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02311" w14:textId="7953EEB9" w:rsidR="008E63C4" w:rsidRDefault="005C5852" w:rsidP="00937370">
      <w:pPr>
        <w:pStyle w:val="SWACaptionstyle"/>
      </w:pPr>
      <w:bookmarkStart w:id="0" w:name="_GoBack"/>
      <w:bookmarkEnd w:id="0"/>
      <w:r>
        <w:rPr>
          <w:noProof/>
        </w:rPr>
        <w:drawing>
          <wp:anchor distT="0" distB="0" distL="114300" distR="114300" simplePos="0" relativeHeight="251674112" behindDoc="0" locked="0" layoutInCell="1" allowOverlap="1" wp14:anchorId="47E399C9" wp14:editId="6CC357E2">
            <wp:simplePos x="0" y="0"/>
            <wp:positionH relativeFrom="column">
              <wp:posOffset>-810260</wp:posOffset>
            </wp:positionH>
            <wp:positionV relativeFrom="paragraph">
              <wp:posOffset>-9777095</wp:posOffset>
            </wp:positionV>
            <wp:extent cx="7555230" cy="10687050"/>
            <wp:effectExtent l="0" t="0" r="7620" b="0"/>
            <wp:wrapSquare wrapText="bothSides"/>
            <wp:docPr id="2" name="Picture 2" descr="26th Edition&#10;&#10;Comparison of workers' compensation arrangements in Australia and New Zealand. 2018&#10;&#10;Healthier, safer and more productive workplaces through improvements to Australian work health and safety and workers' compensation arrangements." title="Comparison report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3499\AppData\Local\Microsoft\Windows\Temporary Internet Files\Content.Word\Workers' comparison report front cover 170908.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523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3E704" w14:textId="6AD54538" w:rsidR="00172AC7" w:rsidRDefault="00C66972" w:rsidP="00C66972">
      <w:pPr>
        <w:pStyle w:val="SWACoverSubhead1"/>
      </w:pPr>
      <w:r w:rsidRPr="00746222">
        <w:lastRenderedPageBreak/>
        <w:t>2017</w:t>
      </w:r>
    </w:p>
    <w:p w14:paraId="381A82F8" w14:textId="77777777" w:rsidR="00C66972" w:rsidRPr="001D7C48" w:rsidRDefault="00C66972" w:rsidP="00C66972"/>
    <w:p w14:paraId="6C1F28BA" w14:textId="77777777" w:rsidR="00C66972" w:rsidRPr="001D7C48" w:rsidRDefault="00C66972" w:rsidP="00C66972">
      <w:pPr>
        <w:pStyle w:val="SWADisclaimerheading"/>
      </w:pPr>
      <w:bookmarkStart w:id="1" w:name="_Toc504654617"/>
      <w:r w:rsidRPr="001D7C48">
        <w:t>Disclaimer</w:t>
      </w:r>
      <w:bookmarkEnd w:id="1"/>
    </w:p>
    <w:p w14:paraId="026A5019" w14:textId="4B9897E6" w:rsidR="00C66972" w:rsidRPr="00F81B48" w:rsidRDefault="00C66972" w:rsidP="00C66972">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rsidR="00DD0D68">
        <w:t>eir particular circumstances.</w:t>
      </w:r>
    </w:p>
    <w:p w14:paraId="438F918B" w14:textId="77777777" w:rsidR="00C66972" w:rsidRPr="00F81B48" w:rsidRDefault="00C66972" w:rsidP="00C66972">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75CF5FC1" w14:textId="64F90856" w:rsidR="00C66972" w:rsidRDefault="00C66972" w:rsidP="00C66972">
      <w:pPr>
        <w:pStyle w:val="SWADisclaimerbodytext"/>
      </w:pPr>
      <w:r w:rsidRPr="00F81B48">
        <w:t xml:space="preserve">This publication may incorporate views or information from third parties, which do not necessarily reflect the views of Safe Work Australia. </w:t>
      </w:r>
      <w:r w:rsidR="00801153">
        <w:br/>
      </w:r>
      <w:r w:rsidRPr="00F81B48">
        <w:t>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40C1AAC7" w14:textId="77777777" w:rsidR="00F04C7E" w:rsidRPr="001D7C48" w:rsidRDefault="00F04C7E" w:rsidP="00C66972">
      <w:pPr>
        <w:pStyle w:val="SWADisclaimerbodytext"/>
      </w:pPr>
    </w:p>
    <w:p w14:paraId="0C4FAB1C" w14:textId="16D4C79B" w:rsidR="00DB7584" w:rsidRDefault="00C66972" w:rsidP="00F04C7E">
      <w:pPr>
        <w:pStyle w:val="SWADisclaimerbodytext"/>
      </w:pPr>
      <w:r w:rsidRPr="001D7C48">
        <w:t>IS</w:t>
      </w:r>
      <w:r w:rsidR="00F04C7E">
        <w:t>SN 2209–9204</w:t>
      </w:r>
    </w:p>
    <w:p w14:paraId="333E08F9" w14:textId="77777777" w:rsidR="00F04C7E" w:rsidRPr="001D7C48" w:rsidRDefault="00F04C7E" w:rsidP="00F04C7E">
      <w:pPr>
        <w:pStyle w:val="SWADisclaimerbodytext"/>
      </w:pPr>
    </w:p>
    <w:p w14:paraId="737EACAC" w14:textId="77777777" w:rsidR="00C66972" w:rsidRPr="001D7C48" w:rsidRDefault="00C66972" w:rsidP="00C66972">
      <w:pPr>
        <w:spacing w:line="276" w:lineRule="auto"/>
        <w:rPr>
          <w:sz w:val="14"/>
          <w:szCs w:val="14"/>
          <w:vertAlign w:val="subscript"/>
        </w:rPr>
      </w:pPr>
      <w:r w:rsidRPr="001D7C48">
        <w:rPr>
          <w:noProof/>
          <w:sz w:val="14"/>
          <w:szCs w:val="14"/>
        </w:rPr>
        <w:drawing>
          <wp:inline distT="0" distB="0" distL="0" distR="0" wp14:anchorId="0428A8B3" wp14:editId="26DC9A58">
            <wp:extent cx="1513205" cy="535940"/>
            <wp:effectExtent l="0" t="0" r="0" b="0"/>
            <wp:docPr id="13" name="Picture 1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14:paraId="5DB34AED" w14:textId="77777777" w:rsidR="00C66972" w:rsidRPr="001D7C48" w:rsidRDefault="00C66972" w:rsidP="00C66972">
      <w:pPr>
        <w:pStyle w:val="SWADisclaimerheading"/>
      </w:pPr>
      <w:bookmarkStart w:id="2" w:name="_Toc504654618"/>
      <w:r w:rsidRPr="001D7C48">
        <w:t>Creative Commons</w:t>
      </w:r>
      <w:bookmarkEnd w:id="2"/>
    </w:p>
    <w:p w14:paraId="424E5D75" w14:textId="5667CF03" w:rsidR="00C66972" w:rsidRPr="001D7C48" w:rsidRDefault="00C66972" w:rsidP="00C66972">
      <w:pPr>
        <w:pStyle w:val="SWADisclaimerbodytext"/>
      </w:pPr>
      <w:r w:rsidRPr="001D7C48">
        <w:t xml:space="preserve">With the exception of the Safe Work Australia logo, this report is licensed by Safe Work Australia under a Creative Commons </w:t>
      </w:r>
      <w:r w:rsidR="00F93E94">
        <w:t>4</w:t>
      </w:r>
      <w:r w:rsidRPr="001D7C48">
        <w:t xml:space="preserve">.0 Australia Licence. To view a copy of this licence, visit </w:t>
      </w:r>
    </w:p>
    <w:p w14:paraId="204F1741" w14:textId="77777777" w:rsidR="00F93E94" w:rsidRPr="001D7C48" w:rsidRDefault="00A7538C" w:rsidP="00F93E94">
      <w:pPr>
        <w:pStyle w:val="SWADisclaimerbodytext"/>
      </w:pPr>
      <w:hyperlink r:id="rId10" w:history="1">
        <w:r w:rsidR="00F93E94" w:rsidRPr="00E329CD">
          <w:rPr>
            <w:rStyle w:val="Hyperlink"/>
            <w:rFonts w:eastAsiaTheme="majorEastAsia"/>
          </w:rPr>
          <w:t>https://creativecommons.org/licenses/by/4.0/</w:t>
        </w:r>
      </w:hyperlink>
    </w:p>
    <w:p w14:paraId="46E7E93C" w14:textId="6B4BE4D9" w:rsidR="00C66972" w:rsidRPr="001D7C48" w:rsidRDefault="00C66972" w:rsidP="00C66972">
      <w:pPr>
        <w:pStyle w:val="SWADisclaimerbodytext"/>
      </w:pPr>
      <w:r w:rsidRPr="001D7C48">
        <w:t xml:space="preserve">In essence, you are free to copy, communicate and adapt the work, as long as you attribute the work to Safe Work Australia and abide by the other licensing terms. The report should be attributed as the </w:t>
      </w:r>
      <w:r w:rsidR="005C5852">
        <w:t>Comparison of workers’ compensation arrangements in Australia and New Zealand 201</w:t>
      </w:r>
      <w:r w:rsidR="0018671C">
        <w:t>8</w:t>
      </w:r>
      <w:r w:rsidRPr="001D7C48">
        <w:t>.</w:t>
      </w:r>
    </w:p>
    <w:p w14:paraId="49EB6B2D" w14:textId="77777777" w:rsidR="00C66972" w:rsidRPr="001D7C48" w:rsidRDefault="00C66972" w:rsidP="00C66972">
      <w:pPr>
        <w:pStyle w:val="SWADisclaimerbodytext"/>
      </w:pPr>
      <w:r w:rsidRPr="001D7C48">
        <w:t>Enquiries regarding the licence and any use of the report are welcome at:</w:t>
      </w:r>
    </w:p>
    <w:p w14:paraId="677B8904" w14:textId="77777777" w:rsidR="00C66972" w:rsidRPr="001D7C48" w:rsidRDefault="00C66972" w:rsidP="00C66972">
      <w:pPr>
        <w:pStyle w:val="SWADisclaimerbodytext"/>
      </w:pPr>
      <w:r w:rsidRPr="001D7C48">
        <w:t>Copyright Officer</w:t>
      </w:r>
      <w:r w:rsidRPr="001D7C48">
        <w:br/>
        <w:t xml:space="preserve">Safe Work Australia </w:t>
      </w:r>
      <w:r w:rsidRPr="001D7C48">
        <w:br/>
        <w:t>GPO Box 641 Canberra ACT 2601</w:t>
      </w:r>
    </w:p>
    <w:p w14:paraId="09445F55" w14:textId="2B50007E" w:rsidR="00C66972" w:rsidRPr="001D7C48" w:rsidRDefault="00C66972" w:rsidP="00C66972">
      <w:pPr>
        <w:pStyle w:val="SWADisclaimerbodytext"/>
      </w:pPr>
      <w:r w:rsidRPr="001D7C48">
        <w:t xml:space="preserve">Email: </w:t>
      </w:r>
      <w:hyperlink r:id="rId11" w:history="1">
        <w:r w:rsidR="00DB7584" w:rsidRPr="00126151">
          <w:rPr>
            <w:rStyle w:val="Hyperlink"/>
            <w:rFonts w:eastAsiaTheme="majorEastAsia"/>
          </w:rPr>
          <w:t>info@swa.gov.au</w:t>
        </w:r>
      </w:hyperlink>
      <w:r w:rsidR="00DB7584">
        <w:rPr>
          <w:rFonts w:eastAsiaTheme="majorEastAsia"/>
        </w:rPr>
        <w:t xml:space="preserve"> </w:t>
      </w:r>
    </w:p>
    <w:p w14:paraId="1F0A038B" w14:textId="77777777" w:rsidR="00C66972" w:rsidRPr="001D7C48" w:rsidRDefault="00C66972" w:rsidP="00C66972">
      <w:pPr>
        <w:pStyle w:val="SWADisclaimerheading"/>
      </w:pPr>
      <w:bookmarkStart w:id="3" w:name="_Toc504654619"/>
      <w:r w:rsidRPr="001D7C48">
        <w:t>Important Notice</w:t>
      </w:r>
      <w:bookmarkEnd w:id="3"/>
    </w:p>
    <w:p w14:paraId="5E369FCB" w14:textId="77777777" w:rsidR="00C66972" w:rsidRPr="00D60313" w:rsidRDefault="00C66972" w:rsidP="00C66972">
      <w:pPr>
        <w:pStyle w:val="SWADisclaimerbodytext"/>
        <w:sectPr w:rsidR="00C66972" w:rsidRPr="00D60313" w:rsidSect="001D7C48">
          <w:headerReference w:type="default" r:id="rId12"/>
          <w:footerReference w:type="default" r:id="rId13"/>
          <w:headerReference w:type="first" r:id="rId14"/>
          <w:footerReference w:type="first" r:id="rId15"/>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709D26B4" w14:textId="77777777" w:rsidR="00C66972" w:rsidRPr="00550BF7" w:rsidRDefault="00C66972" w:rsidP="00550BF7">
      <w:pPr>
        <w:pStyle w:val="Title"/>
        <w:rPr>
          <w:rFonts w:eastAsiaTheme="minorHAnsi"/>
          <w:sz w:val="40"/>
        </w:rPr>
      </w:pPr>
      <w:bookmarkStart w:id="4" w:name="_Toc483227135"/>
      <w:bookmarkStart w:id="5" w:name="_Toc504654620"/>
      <w:r w:rsidRPr="00550BF7">
        <w:rPr>
          <w:lang w:val="en-US"/>
        </w:rPr>
        <w:lastRenderedPageBreak/>
        <w:t>Foreword</w:t>
      </w:r>
      <w:bookmarkEnd w:id="4"/>
      <w:bookmarkEnd w:id="5"/>
    </w:p>
    <w:p w14:paraId="0402C60D" w14:textId="1CC9E7FA" w:rsidR="00172AC7" w:rsidRDefault="00C66972" w:rsidP="005A6FB5">
      <w:pPr>
        <w:spacing w:before="240" w:after="240"/>
        <w:jc w:val="both"/>
        <w:rPr>
          <w:rFonts w:eastAsiaTheme="minorHAnsi"/>
        </w:rPr>
      </w:pPr>
      <w:r w:rsidRPr="00C66972">
        <w:rPr>
          <w:rFonts w:eastAsiaTheme="minorHAnsi"/>
        </w:rPr>
        <w:t>The</w:t>
      </w:r>
      <w:r w:rsidR="00362F96">
        <w:rPr>
          <w:rFonts w:eastAsiaTheme="minorHAnsi"/>
        </w:rPr>
        <w:t xml:space="preserve"> </w:t>
      </w:r>
      <w:r w:rsidR="0002179E">
        <w:rPr>
          <w:rFonts w:eastAsiaTheme="minorHAnsi"/>
        </w:rPr>
        <w:t>2</w:t>
      </w:r>
      <w:r w:rsidR="00973A2B">
        <w:rPr>
          <w:rFonts w:eastAsiaTheme="minorHAnsi"/>
        </w:rPr>
        <w:t>6</w:t>
      </w:r>
      <w:r w:rsidR="0002179E" w:rsidRPr="0002179E">
        <w:rPr>
          <w:rFonts w:eastAsiaTheme="minorHAnsi"/>
          <w:vertAlign w:val="superscript"/>
        </w:rPr>
        <w:t>th</w:t>
      </w:r>
      <w:r w:rsidR="0002179E">
        <w:rPr>
          <w:rFonts w:eastAsiaTheme="minorHAnsi"/>
        </w:rPr>
        <w:t xml:space="preserve"> edition</w:t>
      </w:r>
      <w:r w:rsidR="000849FA">
        <w:rPr>
          <w:rFonts w:eastAsiaTheme="minorHAnsi"/>
        </w:rPr>
        <w:t xml:space="preserve"> of the</w:t>
      </w:r>
      <w:r w:rsidRPr="00C66972">
        <w:rPr>
          <w:rFonts w:eastAsiaTheme="minorHAnsi"/>
        </w:rPr>
        <w:t xml:space="preserve"> Comparison of Workers’ Compensation Arrangements in Australia and New Zealand (the report) provides information on the operation of workers’ compensation schemes in each of the jurisdictions in Australia and New Zealand. The report provides background information and discusses the way ea</w:t>
      </w:r>
      <w:r w:rsidR="00801153">
        <w:rPr>
          <w:rFonts w:eastAsiaTheme="minorHAnsi"/>
        </w:rPr>
        <w:t>ch scheme deals with key issues</w:t>
      </w:r>
      <w:r w:rsidRPr="00C66972">
        <w:rPr>
          <w:rFonts w:eastAsiaTheme="minorHAnsi"/>
        </w:rPr>
        <w:t xml:space="preserve"> </w:t>
      </w:r>
      <w:r w:rsidR="00DB5678">
        <w:rPr>
          <w:rFonts w:eastAsiaTheme="minorHAnsi"/>
        </w:rPr>
        <w:t xml:space="preserve">including </w:t>
      </w:r>
      <w:r w:rsidRPr="00C66972">
        <w:rPr>
          <w:rFonts w:eastAsiaTheme="minorHAnsi"/>
        </w:rPr>
        <w:t xml:space="preserve">coverage, </w:t>
      </w:r>
      <w:r w:rsidR="00152DA5" w:rsidRPr="00C66972">
        <w:rPr>
          <w:rFonts w:eastAsiaTheme="minorHAnsi"/>
        </w:rPr>
        <w:t>benefits</w:t>
      </w:r>
      <w:r w:rsidR="00DB5678">
        <w:rPr>
          <w:rFonts w:eastAsiaTheme="minorHAnsi"/>
        </w:rPr>
        <w:t>,</w:t>
      </w:r>
      <w:r w:rsidRPr="00C66972">
        <w:rPr>
          <w:rFonts w:eastAsiaTheme="minorHAnsi"/>
        </w:rPr>
        <w:t xml:space="preserve"> return to work provisions, self-insurance, common law, dispute resolution and cross-border arrangements.</w:t>
      </w:r>
    </w:p>
    <w:p w14:paraId="064CB263" w14:textId="21A659D4" w:rsidR="00172AC7" w:rsidRDefault="00C66972" w:rsidP="005A6FB5">
      <w:pPr>
        <w:spacing w:before="240" w:after="240"/>
        <w:jc w:val="both"/>
        <w:rPr>
          <w:rFonts w:eastAsiaTheme="minorHAnsi"/>
        </w:rPr>
      </w:pPr>
      <w:r w:rsidRPr="00C66972">
        <w:rPr>
          <w:rFonts w:eastAsiaTheme="minorHAnsi"/>
        </w:rPr>
        <w:t xml:space="preserve">The majority of tables in this report provide a snapshot of workers’ compensation arrangements as at </w:t>
      </w:r>
      <w:r w:rsidR="005A6FB5">
        <w:rPr>
          <w:rFonts w:eastAsiaTheme="minorHAnsi"/>
        </w:rPr>
        <w:br/>
      </w:r>
      <w:r w:rsidRPr="00C66972">
        <w:rPr>
          <w:rFonts w:eastAsiaTheme="minorHAnsi"/>
        </w:rPr>
        <w:t>30 September 201</w:t>
      </w:r>
      <w:r w:rsidR="00973A2B">
        <w:rPr>
          <w:rFonts w:eastAsiaTheme="minorHAnsi"/>
        </w:rPr>
        <w:t>7</w:t>
      </w:r>
      <w:r w:rsidRPr="00C66972">
        <w:rPr>
          <w:rFonts w:eastAsiaTheme="minorHAnsi"/>
        </w:rPr>
        <w:t>. I</w:t>
      </w:r>
      <w:r w:rsidR="00352D17">
        <w:rPr>
          <w:rFonts w:eastAsiaTheme="minorHAnsi"/>
        </w:rPr>
        <w:t xml:space="preserve">nformation taken from the </w:t>
      </w:r>
      <w:r w:rsidR="00973A2B">
        <w:rPr>
          <w:rFonts w:eastAsiaTheme="minorHAnsi"/>
        </w:rPr>
        <w:t>19</w:t>
      </w:r>
      <w:r w:rsidR="00973A2B" w:rsidRPr="000849FA">
        <w:rPr>
          <w:rFonts w:eastAsiaTheme="minorHAnsi"/>
          <w:vertAlign w:val="superscript"/>
        </w:rPr>
        <w:t>th</w:t>
      </w:r>
      <w:r w:rsidR="00973A2B" w:rsidRPr="00C66972">
        <w:rPr>
          <w:rFonts w:eastAsiaTheme="minorHAnsi"/>
        </w:rPr>
        <w:t xml:space="preserve"> </w:t>
      </w:r>
      <w:r w:rsidRPr="00C66972">
        <w:rPr>
          <w:rFonts w:eastAsiaTheme="minorHAnsi"/>
        </w:rPr>
        <w:t xml:space="preserve">edition of the Comparative Performance Monitoring report covers the </w:t>
      </w:r>
      <w:r w:rsidR="00973A2B" w:rsidRPr="00C66972">
        <w:rPr>
          <w:rFonts w:eastAsiaTheme="minorHAnsi"/>
        </w:rPr>
        <w:t>201</w:t>
      </w:r>
      <w:r w:rsidR="00973A2B">
        <w:rPr>
          <w:rFonts w:eastAsiaTheme="minorHAnsi"/>
        </w:rPr>
        <w:t>5</w:t>
      </w:r>
      <w:r w:rsidRPr="00C66972">
        <w:rPr>
          <w:rFonts w:eastAsiaTheme="minorHAnsi"/>
        </w:rPr>
        <w:t>–1</w:t>
      </w:r>
      <w:r w:rsidR="00973A2B">
        <w:rPr>
          <w:rFonts w:eastAsiaTheme="minorHAnsi"/>
        </w:rPr>
        <w:t>6</w:t>
      </w:r>
      <w:r w:rsidRPr="00C66972">
        <w:rPr>
          <w:rFonts w:eastAsiaTheme="minorHAnsi"/>
        </w:rPr>
        <w:t xml:space="preserve"> </w:t>
      </w:r>
      <w:r w:rsidRPr="00441EC1">
        <w:t>financial</w:t>
      </w:r>
      <w:r w:rsidRPr="00C66972">
        <w:rPr>
          <w:rFonts w:eastAsiaTheme="minorHAnsi"/>
        </w:rPr>
        <w:t xml:space="preserve"> year</w:t>
      </w:r>
      <w:r w:rsidR="00DB5678">
        <w:rPr>
          <w:rFonts w:eastAsiaTheme="minorHAnsi"/>
        </w:rPr>
        <w:t>,</w:t>
      </w:r>
      <w:r w:rsidRPr="00C66972">
        <w:rPr>
          <w:rFonts w:eastAsiaTheme="minorHAnsi"/>
        </w:rPr>
        <w:t xml:space="preserve"> and some jurisdictions have reported recent developments to the end of December </w:t>
      </w:r>
      <w:r w:rsidR="00973A2B" w:rsidRPr="00C66972">
        <w:rPr>
          <w:rFonts w:eastAsiaTheme="minorHAnsi"/>
        </w:rPr>
        <w:t>201</w:t>
      </w:r>
      <w:r w:rsidR="00973A2B">
        <w:rPr>
          <w:rFonts w:eastAsiaTheme="minorHAnsi"/>
        </w:rPr>
        <w:t>7</w:t>
      </w:r>
      <w:r w:rsidRPr="00C66972">
        <w:rPr>
          <w:rFonts w:eastAsiaTheme="minorHAnsi"/>
        </w:rPr>
        <w:t xml:space="preserve">. As each jurisdiction may vary its arrangements from time to time and there may be some </w:t>
      </w:r>
      <w:r w:rsidRPr="00441EC1">
        <w:t>exceptions</w:t>
      </w:r>
      <w:r w:rsidRPr="00C66972">
        <w:rPr>
          <w:rFonts w:eastAsiaTheme="minorHAnsi"/>
        </w:rPr>
        <w:t xml:space="preserve"> to the arrangements described in this edition, readers w</w:t>
      </w:r>
      <w:r w:rsidR="000849FA">
        <w:rPr>
          <w:rFonts w:eastAsiaTheme="minorHAnsi"/>
        </w:rPr>
        <w:t>anting more up-to-</w:t>
      </w:r>
      <w:r w:rsidRPr="00C66972">
        <w:rPr>
          <w:rFonts w:eastAsiaTheme="minorHAnsi"/>
        </w:rPr>
        <w:t>date information should check with the relevant authority.</w:t>
      </w:r>
    </w:p>
    <w:p w14:paraId="3438FA19" w14:textId="7636218A" w:rsidR="00550BF7" w:rsidRDefault="00C66972" w:rsidP="005A6FB5">
      <w:pPr>
        <w:spacing w:before="240" w:after="240"/>
        <w:jc w:val="both"/>
        <w:rPr>
          <w:rFonts w:eastAsiaTheme="minorHAnsi"/>
        </w:rPr>
      </w:pPr>
      <w:r w:rsidRPr="00C66972">
        <w:rPr>
          <w:rFonts w:eastAsiaTheme="minorHAnsi"/>
        </w:rPr>
        <w:t>On behalf of the Heads of Workers’</w:t>
      </w:r>
      <w:r w:rsidR="00801153">
        <w:rPr>
          <w:rFonts w:eastAsiaTheme="minorHAnsi"/>
        </w:rPr>
        <w:t xml:space="preserve"> Compensation Authorities</w:t>
      </w:r>
      <w:r w:rsidRPr="00C66972">
        <w:rPr>
          <w:rFonts w:eastAsiaTheme="minorHAnsi"/>
        </w:rPr>
        <w:t xml:space="preserve">, the Victorian WorkCover Authority produced this publication from 1993 to 2005. The Australian Safety and Compensation Council took over responsibility for the report in 2006 and produced it in 2006 and 2007. Safe Work Australia has been producing the report since </w:t>
      </w:r>
      <w:r w:rsidRPr="00441EC1">
        <w:t>2008</w:t>
      </w:r>
      <w:r w:rsidRPr="00C66972">
        <w:rPr>
          <w:rFonts w:eastAsiaTheme="minorHAnsi"/>
        </w:rPr>
        <w:t xml:space="preserve">. The work of the Victorian WorkCover Authority and the Australian Safety and Compensation Council is acknowledged. </w:t>
      </w:r>
    </w:p>
    <w:p w14:paraId="016B880C" w14:textId="27892D96" w:rsidR="00C66972" w:rsidRDefault="00C66972" w:rsidP="005A6FB5">
      <w:pPr>
        <w:spacing w:before="240" w:after="240"/>
        <w:jc w:val="both"/>
        <w:rPr>
          <w:rFonts w:eastAsiaTheme="minorHAnsi"/>
        </w:rPr>
      </w:pPr>
      <w:r w:rsidRPr="00C66972">
        <w:rPr>
          <w:rFonts w:eastAsiaTheme="minorHAnsi"/>
        </w:rPr>
        <w:t>Safe Work Australia thanks representatives from each jurisdiction for the valuable assistance they have provided in producing this</w:t>
      </w:r>
      <w:r w:rsidR="008423AD">
        <w:rPr>
          <w:rFonts w:eastAsiaTheme="minorHAnsi"/>
        </w:rPr>
        <w:t xml:space="preserve"> </w:t>
      </w:r>
      <w:r w:rsidR="00973A2B">
        <w:rPr>
          <w:rFonts w:eastAsiaTheme="minorHAnsi"/>
        </w:rPr>
        <w:t>26</w:t>
      </w:r>
      <w:r w:rsidR="00973A2B" w:rsidRPr="000849FA">
        <w:rPr>
          <w:rFonts w:eastAsiaTheme="minorHAnsi"/>
          <w:vertAlign w:val="superscript"/>
        </w:rPr>
        <w:t>th</w:t>
      </w:r>
      <w:r w:rsidR="00973A2B" w:rsidRPr="00C66972">
        <w:rPr>
          <w:rFonts w:eastAsiaTheme="minorHAnsi"/>
        </w:rPr>
        <w:t xml:space="preserve"> </w:t>
      </w:r>
      <w:r w:rsidRPr="00C66972">
        <w:rPr>
          <w:rFonts w:eastAsiaTheme="minorHAnsi"/>
        </w:rPr>
        <w:t xml:space="preserve">edition of the Comparison of Workers’ Compensation Arrangements in Australia and New Zealand. </w:t>
      </w:r>
    </w:p>
    <w:p w14:paraId="64984285" w14:textId="403CD437" w:rsidR="00B12EFB" w:rsidRPr="00C66972" w:rsidRDefault="00B12EFB" w:rsidP="00B12EFB">
      <w:pPr>
        <w:spacing w:after="200" w:line="276" w:lineRule="auto"/>
        <w:rPr>
          <w:rFonts w:eastAsiaTheme="minorHAnsi"/>
        </w:rPr>
      </w:pPr>
      <w:r>
        <w:rPr>
          <w:rFonts w:eastAsiaTheme="minorHAnsi"/>
        </w:rPr>
        <w:br w:type="page"/>
      </w:r>
    </w:p>
    <w:sdt>
      <w:sdtPr>
        <w:rPr>
          <w:rFonts w:eastAsia="Times New Roman" w:cs="Times New Roman"/>
          <w:b w:val="0"/>
          <w:bCs w:val="0"/>
          <w:color w:val="auto"/>
          <w:sz w:val="20"/>
          <w:szCs w:val="24"/>
          <w:lang w:val="en-AU" w:eastAsia="en-AU"/>
        </w:rPr>
        <w:id w:val="-1142337885"/>
        <w:docPartObj>
          <w:docPartGallery w:val="Table of Contents"/>
          <w:docPartUnique/>
        </w:docPartObj>
      </w:sdtPr>
      <w:sdtEndPr>
        <w:rPr>
          <w:noProof/>
        </w:rPr>
      </w:sdtEndPr>
      <w:sdtContent>
        <w:p w14:paraId="43C20408" w14:textId="2A2B8871" w:rsidR="00E57F2A" w:rsidRDefault="00E57F2A">
          <w:pPr>
            <w:pStyle w:val="TOCHeading"/>
          </w:pPr>
          <w:r>
            <w:t>Contents</w:t>
          </w:r>
        </w:p>
        <w:p w14:paraId="4DF73C21" w14:textId="32690F9A" w:rsidR="005B4BE3" w:rsidRDefault="00E57F2A" w:rsidP="007670EA">
          <w:pPr>
            <w:pStyle w:val="TOC3"/>
            <w:tabs>
              <w:tab w:val="right" w:leader="dot" w:pos="9016"/>
            </w:tabs>
            <w:ind w:left="0"/>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4654620" w:history="1">
            <w:r w:rsidR="005B4BE3" w:rsidRPr="00B4108A">
              <w:rPr>
                <w:rStyle w:val="Hyperlink"/>
                <w:noProof/>
                <w:lang w:val="en-US"/>
              </w:rPr>
              <w:t>Foreword</w:t>
            </w:r>
            <w:r w:rsidR="005B4BE3">
              <w:rPr>
                <w:noProof/>
                <w:webHidden/>
              </w:rPr>
              <w:tab/>
            </w:r>
            <w:r w:rsidR="005B4BE3">
              <w:rPr>
                <w:noProof/>
                <w:webHidden/>
              </w:rPr>
              <w:fldChar w:fldCharType="begin"/>
            </w:r>
            <w:r w:rsidR="005B4BE3">
              <w:rPr>
                <w:noProof/>
                <w:webHidden/>
              </w:rPr>
              <w:instrText xml:space="preserve"> PAGEREF _Toc504654620 \h </w:instrText>
            </w:r>
            <w:r w:rsidR="005B4BE3">
              <w:rPr>
                <w:noProof/>
                <w:webHidden/>
              </w:rPr>
            </w:r>
            <w:r w:rsidR="005B4BE3">
              <w:rPr>
                <w:noProof/>
                <w:webHidden/>
              </w:rPr>
              <w:fldChar w:fldCharType="separate"/>
            </w:r>
            <w:r w:rsidR="00CC415A">
              <w:rPr>
                <w:noProof/>
                <w:webHidden/>
              </w:rPr>
              <w:t>3</w:t>
            </w:r>
            <w:r w:rsidR="005B4BE3">
              <w:rPr>
                <w:noProof/>
                <w:webHidden/>
              </w:rPr>
              <w:fldChar w:fldCharType="end"/>
            </w:r>
          </w:hyperlink>
        </w:p>
        <w:p w14:paraId="20CAAA56" w14:textId="241C438E" w:rsidR="005B4BE3" w:rsidRPr="005B4BE3" w:rsidRDefault="00A7538C" w:rsidP="005B4BE3">
          <w:pPr>
            <w:pStyle w:val="TOC1"/>
            <w:rPr>
              <w:rFonts w:asciiTheme="minorHAnsi" w:eastAsiaTheme="minorEastAsia" w:hAnsiTheme="minorHAnsi" w:cstheme="minorBidi"/>
              <w:sz w:val="22"/>
              <w:szCs w:val="22"/>
            </w:rPr>
          </w:pPr>
          <w:hyperlink w:anchor="_Toc504654621" w:history="1">
            <w:r w:rsidR="005B4BE3" w:rsidRPr="005B4BE3">
              <w:rPr>
                <w:rStyle w:val="Hyperlink"/>
                <w:b/>
              </w:rPr>
              <w:t>Chapter 1: Recent developments in workers’ compensation schemes in Australia and New Zealand</w:t>
            </w:r>
            <w:r w:rsidR="005B4BE3" w:rsidRPr="005B4BE3">
              <w:rPr>
                <w:webHidden/>
              </w:rPr>
              <w:tab/>
            </w:r>
            <w:r w:rsidR="005B4BE3" w:rsidRPr="005B4BE3">
              <w:rPr>
                <w:webHidden/>
              </w:rPr>
              <w:fldChar w:fldCharType="begin"/>
            </w:r>
            <w:r w:rsidR="005B4BE3" w:rsidRPr="005B4BE3">
              <w:rPr>
                <w:webHidden/>
              </w:rPr>
              <w:instrText xml:space="preserve"> PAGEREF _Toc504654621 \h </w:instrText>
            </w:r>
            <w:r w:rsidR="005B4BE3" w:rsidRPr="005B4BE3">
              <w:rPr>
                <w:webHidden/>
              </w:rPr>
            </w:r>
            <w:r w:rsidR="005B4BE3" w:rsidRPr="005B4BE3">
              <w:rPr>
                <w:webHidden/>
              </w:rPr>
              <w:fldChar w:fldCharType="separate"/>
            </w:r>
            <w:r w:rsidR="00CC415A">
              <w:rPr>
                <w:webHidden/>
              </w:rPr>
              <w:t>8</w:t>
            </w:r>
            <w:r w:rsidR="005B4BE3" w:rsidRPr="005B4BE3">
              <w:rPr>
                <w:webHidden/>
              </w:rPr>
              <w:fldChar w:fldCharType="end"/>
            </w:r>
          </w:hyperlink>
        </w:p>
        <w:p w14:paraId="19F571BF" w14:textId="584971D9" w:rsidR="005B4BE3" w:rsidRDefault="00A7538C" w:rsidP="005B4BE3">
          <w:pPr>
            <w:pStyle w:val="TOC1"/>
            <w:rPr>
              <w:rFonts w:asciiTheme="minorHAnsi" w:eastAsiaTheme="minorEastAsia" w:hAnsiTheme="minorHAnsi" w:cstheme="minorBidi"/>
              <w:sz w:val="22"/>
              <w:szCs w:val="22"/>
            </w:rPr>
          </w:pPr>
          <w:hyperlink w:anchor="_Toc504654622" w:history="1">
            <w:r w:rsidR="005B4BE3" w:rsidRPr="00B4108A">
              <w:rPr>
                <w:rStyle w:val="Hyperlink"/>
              </w:rPr>
              <w:t>New South Wales (NSW)</w:t>
            </w:r>
            <w:r w:rsidR="005B4BE3">
              <w:rPr>
                <w:webHidden/>
              </w:rPr>
              <w:tab/>
            </w:r>
            <w:r w:rsidR="005B4BE3">
              <w:rPr>
                <w:webHidden/>
              </w:rPr>
              <w:fldChar w:fldCharType="begin"/>
            </w:r>
            <w:r w:rsidR="005B4BE3">
              <w:rPr>
                <w:webHidden/>
              </w:rPr>
              <w:instrText xml:space="preserve"> PAGEREF _Toc504654622 \h </w:instrText>
            </w:r>
            <w:r w:rsidR="005B4BE3">
              <w:rPr>
                <w:webHidden/>
              </w:rPr>
            </w:r>
            <w:r w:rsidR="005B4BE3">
              <w:rPr>
                <w:webHidden/>
              </w:rPr>
              <w:fldChar w:fldCharType="separate"/>
            </w:r>
            <w:r w:rsidR="00CC415A">
              <w:rPr>
                <w:webHidden/>
              </w:rPr>
              <w:t>9</w:t>
            </w:r>
            <w:r w:rsidR="005B4BE3">
              <w:rPr>
                <w:webHidden/>
              </w:rPr>
              <w:fldChar w:fldCharType="end"/>
            </w:r>
          </w:hyperlink>
        </w:p>
        <w:p w14:paraId="78197151" w14:textId="01A01D5B" w:rsidR="005B4BE3" w:rsidRDefault="00A7538C" w:rsidP="005B4BE3">
          <w:pPr>
            <w:pStyle w:val="TOC1"/>
            <w:rPr>
              <w:rFonts w:asciiTheme="minorHAnsi" w:eastAsiaTheme="minorEastAsia" w:hAnsiTheme="minorHAnsi" w:cstheme="minorBidi"/>
              <w:sz w:val="22"/>
              <w:szCs w:val="22"/>
            </w:rPr>
          </w:pPr>
          <w:hyperlink w:anchor="_Toc504654623" w:history="1">
            <w:r w:rsidR="005B4BE3" w:rsidRPr="00B4108A">
              <w:rPr>
                <w:rStyle w:val="Hyperlink"/>
              </w:rPr>
              <w:t>Victoria</w:t>
            </w:r>
            <w:r w:rsidR="005B4BE3">
              <w:rPr>
                <w:webHidden/>
              </w:rPr>
              <w:tab/>
            </w:r>
            <w:r w:rsidR="005B4BE3">
              <w:rPr>
                <w:webHidden/>
              </w:rPr>
              <w:fldChar w:fldCharType="begin"/>
            </w:r>
            <w:r w:rsidR="005B4BE3">
              <w:rPr>
                <w:webHidden/>
              </w:rPr>
              <w:instrText xml:space="preserve"> PAGEREF _Toc504654623 \h </w:instrText>
            </w:r>
            <w:r w:rsidR="005B4BE3">
              <w:rPr>
                <w:webHidden/>
              </w:rPr>
            </w:r>
            <w:r w:rsidR="005B4BE3">
              <w:rPr>
                <w:webHidden/>
              </w:rPr>
              <w:fldChar w:fldCharType="separate"/>
            </w:r>
            <w:r w:rsidR="00CC415A">
              <w:rPr>
                <w:webHidden/>
              </w:rPr>
              <w:t>9</w:t>
            </w:r>
            <w:r w:rsidR="005B4BE3">
              <w:rPr>
                <w:webHidden/>
              </w:rPr>
              <w:fldChar w:fldCharType="end"/>
            </w:r>
          </w:hyperlink>
        </w:p>
        <w:p w14:paraId="031D34D4" w14:textId="7C47C707" w:rsidR="005B4BE3" w:rsidRDefault="00A7538C" w:rsidP="005B4BE3">
          <w:pPr>
            <w:pStyle w:val="TOC1"/>
            <w:rPr>
              <w:rFonts w:asciiTheme="minorHAnsi" w:eastAsiaTheme="minorEastAsia" w:hAnsiTheme="minorHAnsi" w:cstheme="minorBidi"/>
              <w:sz w:val="22"/>
              <w:szCs w:val="22"/>
            </w:rPr>
          </w:pPr>
          <w:hyperlink w:anchor="_Toc504654624" w:history="1">
            <w:r w:rsidR="005B4BE3" w:rsidRPr="00B4108A">
              <w:rPr>
                <w:rStyle w:val="Hyperlink"/>
              </w:rPr>
              <w:t>Queensland</w:t>
            </w:r>
            <w:r w:rsidR="005B4BE3">
              <w:rPr>
                <w:webHidden/>
              </w:rPr>
              <w:tab/>
            </w:r>
            <w:r w:rsidR="005B4BE3">
              <w:rPr>
                <w:webHidden/>
              </w:rPr>
              <w:fldChar w:fldCharType="begin"/>
            </w:r>
            <w:r w:rsidR="005B4BE3">
              <w:rPr>
                <w:webHidden/>
              </w:rPr>
              <w:instrText xml:space="preserve"> PAGEREF _Toc504654624 \h </w:instrText>
            </w:r>
            <w:r w:rsidR="005B4BE3">
              <w:rPr>
                <w:webHidden/>
              </w:rPr>
            </w:r>
            <w:r w:rsidR="005B4BE3">
              <w:rPr>
                <w:webHidden/>
              </w:rPr>
              <w:fldChar w:fldCharType="separate"/>
            </w:r>
            <w:r w:rsidR="00CC415A">
              <w:rPr>
                <w:webHidden/>
              </w:rPr>
              <w:t>10</w:t>
            </w:r>
            <w:r w:rsidR="005B4BE3">
              <w:rPr>
                <w:webHidden/>
              </w:rPr>
              <w:fldChar w:fldCharType="end"/>
            </w:r>
          </w:hyperlink>
        </w:p>
        <w:p w14:paraId="12805AFF" w14:textId="505AD265" w:rsidR="005B4BE3" w:rsidRDefault="00A7538C" w:rsidP="005B4BE3">
          <w:pPr>
            <w:pStyle w:val="TOC1"/>
            <w:rPr>
              <w:rFonts w:asciiTheme="minorHAnsi" w:eastAsiaTheme="minorEastAsia" w:hAnsiTheme="minorHAnsi" w:cstheme="minorBidi"/>
              <w:sz w:val="22"/>
              <w:szCs w:val="22"/>
            </w:rPr>
          </w:pPr>
          <w:hyperlink w:anchor="_Toc504654625" w:history="1">
            <w:r w:rsidR="005B4BE3" w:rsidRPr="00B4108A">
              <w:rPr>
                <w:rStyle w:val="Hyperlink"/>
              </w:rPr>
              <w:t>Western Australia (WA)</w:t>
            </w:r>
            <w:r w:rsidR="005B4BE3">
              <w:rPr>
                <w:webHidden/>
              </w:rPr>
              <w:tab/>
            </w:r>
            <w:r w:rsidR="005B4BE3">
              <w:rPr>
                <w:webHidden/>
              </w:rPr>
              <w:fldChar w:fldCharType="begin"/>
            </w:r>
            <w:r w:rsidR="005B4BE3">
              <w:rPr>
                <w:webHidden/>
              </w:rPr>
              <w:instrText xml:space="preserve"> PAGEREF _Toc504654625 \h </w:instrText>
            </w:r>
            <w:r w:rsidR="005B4BE3">
              <w:rPr>
                <w:webHidden/>
              </w:rPr>
            </w:r>
            <w:r w:rsidR="005B4BE3">
              <w:rPr>
                <w:webHidden/>
              </w:rPr>
              <w:fldChar w:fldCharType="separate"/>
            </w:r>
            <w:r w:rsidR="00CC415A">
              <w:rPr>
                <w:webHidden/>
              </w:rPr>
              <w:t>10</w:t>
            </w:r>
            <w:r w:rsidR="005B4BE3">
              <w:rPr>
                <w:webHidden/>
              </w:rPr>
              <w:fldChar w:fldCharType="end"/>
            </w:r>
          </w:hyperlink>
        </w:p>
        <w:p w14:paraId="612FA208" w14:textId="0D19B511" w:rsidR="005B4BE3" w:rsidRDefault="00A7538C" w:rsidP="005B4BE3">
          <w:pPr>
            <w:pStyle w:val="TOC1"/>
            <w:rPr>
              <w:rFonts w:asciiTheme="minorHAnsi" w:eastAsiaTheme="minorEastAsia" w:hAnsiTheme="minorHAnsi" w:cstheme="minorBidi"/>
              <w:sz w:val="22"/>
              <w:szCs w:val="22"/>
            </w:rPr>
          </w:pPr>
          <w:hyperlink w:anchor="_Toc504654626" w:history="1">
            <w:r w:rsidR="005B4BE3" w:rsidRPr="00B4108A">
              <w:rPr>
                <w:rStyle w:val="Hyperlink"/>
              </w:rPr>
              <w:t>South Australia (SA)</w:t>
            </w:r>
            <w:r w:rsidR="005B4BE3">
              <w:rPr>
                <w:webHidden/>
              </w:rPr>
              <w:tab/>
            </w:r>
            <w:r w:rsidR="005B4BE3">
              <w:rPr>
                <w:webHidden/>
              </w:rPr>
              <w:fldChar w:fldCharType="begin"/>
            </w:r>
            <w:r w:rsidR="005B4BE3">
              <w:rPr>
                <w:webHidden/>
              </w:rPr>
              <w:instrText xml:space="preserve"> PAGEREF _Toc504654626 \h </w:instrText>
            </w:r>
            <w:r w:rsidR="005B4BE3">
              <w:rPr>
                <w:webHidden/>
              </w:rPr>
            </w:r>
            <w:r w:rsidR="005B4BE3">
              <w:rPr>
                <w:webHidden/>
              </w:rPr>
              <w:fldChar w:fldCharType="separate"/>
            </w:r>
            <w:r w:rsidR="00CC415A">
              <w:rPr>
                <w:webHidden/>
              </w:rPr>
              <w:t>11</w:t>
            </w:r>
            <w:r w:rsidR="005B4BE3">
              <w:rPr>
                <w:webHidden/>
              </w:rPr>
              <w:fldChar w:fldCharType="end"/>
            </w:r>
          </w:hyperlink>
        </w:p>
        <w:p w14:paraId="7B6802FD" w14:textId="3CB484DF" w:rsidR="005B4BE3" w:rsidRDefault="00A7538C" w:rsidP="005B4BE3">
          <w:pPr>
            <w:pStyle w:val="TOC1"/>
            <w:rPr>
              <w:rFonts w:asciiTheme="minorHAnsi" w:eastAsiaTheme="minorEastAsia" w:hAnsiTheme="minorHAnsi" w:cstheme="minorBidi"/>
              <w:sz w:val="22"/>
              <w:szCs w:val="22"/>
            </w:rPr>
          </w:pPr>
          <w:hyperlink w:anchor="_Toc504654627" w:history="1">
            <w:r w:rsidR="005B4BE3" w:rsidRPr="00B4108A">
              <w:rPr>
                <w:rStyle w:val="Hyperlink"/>
              </w:rPr>
              <w:t>Tasmania</w:t>
            </w:r>
            <w:r w:rsidR="005B4BE3">
              <w:rPr>
                <w:webHidden/>
              </w:rPr>
              <w:tab/>
            </w:r>
            <w:r w:rsidR="005B4BE3">
              <w:rPr>
                <w:webHidden/>
              </w:rPr>
              <w:fldChar w:fldCharType="begin"/>
            </w:r>
            <w:r w:rsidR="005B4BE3">
              <w:rPr>
                <w:webHidden/>
              </w:rPr>
              <w:instrText xml:space="preserve"> PAGEREF _Toc504654627 \h </w:instrText>
            </w:r>
            <w:r w:rsidR="005B4BE3">
              <w:rPr>
                <w:webHidden/>
              </w:rPr>
            </w:r>
            <w:r w:rsidR="005B4BE3">
              <w:rPr>
                <w:webHidden/>
              </w:rPr>
              <w:fldChar w:fldCharType="separate"/>
            </w:r>
            <w:r w:rsidR="00CC415A">
              <w:rPr>
                <w:webHidden/>
              </w:rPr>
              <w:t>11</w:t>
            </w:r>
            <w:r w:rsidR="005B4BE3">
              <w:rPr>
                <w:webHidden/>
              </w:rPr>
              <w:fldChar w:fldCharType="end"/>
            </w:r>
          </w:hyperlink>
        </w:p>
        <w:p w14:paraId="6047AE4D" w14:textId="551E4ED1" w:rsidR="005B4BE3" w:rsidRDefault="00A7538C" w:rsidP="005B4BE3">
          <w:pPr>
            <w:pStyle w:val="TOC1"/>
            <w:rPr>
              <w:rFonts w:asciiTheme="minorHAnsi" w:eastAsiaTheme="minorEastAsia" w:hAnsiTheme="minorHAnsi" w:cstheme="minorBidi"/>
              <w:sz w:val="22"/>
              <w:szCs w:val="22"/>
            </w:rPr>
          </w:pPr>
          <w:hyperlink w:anchor="_Toc504654628" w:history="1">
            <w:r w:rsidR="005B4BE3" w:rsidRPr="00B4108A">
              <w:rPr>
                <w:rStyle w:val="Hyperlink"/>
              </w:rPr>
              <w:t>Northern Territory (NT)</w:t>
            </w:r>
            <w:r w:rsidR="005B4BE3">
              <w:rPr>
                <w:webHidden/>
              </w:rPr>
              <w:tab/>
            </w:r>
            <w:r w:rsidR="005B4BE3">
              <w:rPr>
                <w:webHidden/>
              </w:rPr>
              <w:fldChar w:fldCharType="begin"/>
            </w:r>
            <w:r w:rsidR="005B4BE3">
              <w:rPr>
                <w:webHidden/>
              </w:rPr>
              <w:instrText xml:space="preserve"> PAGEREF _Toc504654628 \h </w:instrText>
            </w:r>
            <w:r w:rsidR="005B4BE3">
              <w:rPr>
                <w:webHidden/>
              </w:rPr>
            </w:r>
            <w:r w:rsidR="005B4BE3">
              <w:rPr>
                <w:webHidden/>
              </w:rPr>
              <w:fldChar w:fldCharType="separate"/>
            </w:r>
            <w:r w:rsidR="00CC415A">
              <w:rPr>
                <w:webHidden/>
              </w:rPr>
              <w:t>12</w:t>
            </w:r>
            <w:r w:rsidR="005B4BE3">
              <w:rPr>
                <w:webHidden/>
              </w:rPr>
              <w:fldChar w:fldCharType="end"/>
            </w:r>
          </w:hyperlink>
        </w:p>
        <w:p w14:paraId="38F6ACB2" w14:textId="283840D2" w:rsidR="005B4BE3" w:rsidRDefault="00A7538C" w:rsidP="005B4BE3">
          <w:pPr>
            <w:pStyle w:val="TOC1"/>
            <w:rPr>
              <w:rFonts w:asciiTheme="minorHAnsi" w:eastAsiaTheme="minorEastAsia" w:hAnsiTheme="minorHAnsi" w:cstheme="minorBidi"/>
              <w:sz w:val="22"/>
              <w:szCs w:val="22"/>
            </w:rPr>
          </w:pPr>
          <w:hyperlink w:anchor="_Toc504654629" w:history="1">
            <w:r w:rsidR="005B4BE3" w:rsidRPr="00B4108A">
              <w:rPr>
                <w:rStyle w:val="Hyperlink"/>
              </w:rPr>
              <w:t>Australian Capital Territory (ACT)</w:t>
            </w:r>
            <w:r w:rsidR="005B4BE3">
              <w:rPr>
                <w:webHidden/>
              </w:rPr>
              <w:tab/>
            </w:r>
            <w:r w:rsidR="005B4BE3">
              <w:rPr>
                <w:webHidden/>
              </w:rPr>
              <w:fldChar w:fldCharType="begin"/>
            </w:r>
            <w:r w:rsidR="005B4BE3">
              <w:rPr>
                <w:webHidden/>
              </w:rPr>
              <w:instrText xml:space="preserve"> PAGEREF _Toc504654629 \h </w:instrText>
            </w:r>
            <w:r w:rsidR="005B4BE3">
              <w:rPr>
                <w:webHidden/>
              </w:rPr>
            </w:r>
            <w:r w:rsidR="005B4BE3">
              <w:rPr>
                <w:webHidden/>
              </w:rPr>
              <w:fldChar w:fldCharType="separate"/>
            </w:r>
            <w:r w:rsidR="00CC415A">
              <w:rPr>
                <w:webHidden/>
              </w:rPr>
              <w:t>12</w:t>
            </w:r>
            <w:r w:rsidR="005B4BE3">
              <w:rPr>
                <w:webHidden/>
              </w:rPr>
              <w:fldChar w:fldCharType="end"/>
            </w:r>
          </w:hyperlink>
        </w:p>
        <w:p w14:paraId="6A4BF1A4" w14:textId="43DC89F5" w:rsidR="005B4BE3" w:rsidRDefault="00A7538C" w:rsidP="005B4BE3">
          <w:pPr>
            <w:pStyle w:val="TOC1"/>
            <w:rPr>
              <w:rFonts w:asciiTheme="minorHAnsi" w:eastAsiaTheme="minorEastAsia" w:hAnsiTheme="minorHAnsi" w:cstheme="minorBidi"/>
              <w:sz w:val="22"/>
              <w:szCs w:val="22"/>
            </w:rPr>
          </w:pPr>
          <w:hyperlink w:anchor="_Toc504654630" w:history="1">
            <w:r w:rsidR="005B4BE3" w:rsidRPr="00B4108A">
              <w:rPr>
                <w:rStyle w:val="Hyperlink"/>
              </w:rPr>
              <w:t>Comcare</w:t>
            </w:r>
            <w:r w:rsidR="005B4BE3">
              <w:rPr>
                <w:webHidden/>
              </w:rPr>
              <w:tab/>
            </w:r>
            <w:r w:rsidR="005B4BE3">
              <w:rPr>
                <w:webHidden/>
              </w:rPr>
              <w:fldChar w:fldCharType="begin"/>
            </w:r>
            <w:r w:rsidR="005B4BE3">
              <w:rPr>
                <w:webHidden/>
              </w:rPr>
              <w:instrText xml:space="preserve"> PAGEREF _Toc504654630 \h </w:instrText>
            </w:r>
            <w:r w:rsidR="005B4BE3">
              <w:rPr>
                <w:webHidden/>
              </w:rPr>
            </w:r>
            <w:r w:rsidR="005B4BE3">
              <w:rPr>
                <w:webHidden/>
              </w:rPr>
              <w:fldChar w:fldCharType="separate"/>
            </w:r>
            <w:r w:rsidR="00CC415A">
              <w:rPr>
                <w:webHidden/>
              </w:rPr>
              <w:t>13</w:t>
            </w:r>
            <w:r w:rsidR="005B4BE3">
              <w:rPr>
                <w:webHidden/>
              </w:rPr>
              <w:fldChar w:fldCharType="end"/>
            </w:r>
          </w:hyperlink>
        </w:p>
        <w:p w14:paraId="7E821DA1" w14:textId="653EE36D" w:rsidR="005B4BE3" w:rsidRDefault="00A7538C" w:rsidP="005B4BE3">
          <w:pPr>
            <w:pStyle w:val="TOC1"/>
            <w:rPr>
              <w:rFonts w:asciiTheme="minorHAnsi" w:eastAsiaTheme="minorEastAsia" w:hAnsiTheme="minorHAnsi" w:cstheme="minorBidi"/>
              <w:sz w:val="22"/>
              <w:szCs w:val="22"/>
            </w:rPr>
          </w:pPr>
          <w:hyperlink w:anchor="_Toc504654631" w:history="1">
            <w:r w:rsidR="005B4BE3" w:rsidRPr="00B4108A">
              <w:rPr>
                <w:rStyle w:val="Hyperlink"/>
              </w:rPr>
              <w:t>New Zealand</w:t>
            </w:r>
            <w:r w:rsidR="005B4BE3">
              <w:rPr>
                <w:webHidden/>
              </w:rPr>
              <w:tab/>
            </w:r>
            <w:r w:rsidR="005B4BE3">
              <w:rPr>
                <w:webHidden/>
              </w:rPr>
              <w:fldChar w:fldCharType="begin"/>
            </w:r>
            <w:r w:rsidR="005B4BE3">
              <w:rPr>
                <w:webHidden/>
              </w:rPr>
              <w:instrText xml:space="preserve"> PAGEREF _Toc504654631 \h </w:instrText>
            </w:r>
            <w:r w:rsidR="005B4BE3">
              <w:rPr>
                <w:webHidden/>
              </w:rPr>
            </w:r>
            <w:r w:rsidR="005B4BE3">
              <w:rPr>
                <w:webHidden/>
              </w:rPr>
              <w:fldChar w:fldCharType="separate"/>
            </w:r>
            <w:r w:rsidR="00CC415A">
              <w:rPr>
                <w:webHidden/>
              </w:rPr>
              <w:t>13</w:t>
            </w:r>
            <w:r w:rsidR="005B4BE3">
              <w:rPr>
                <w:webHidden/>
              </w:rPr>
              <w:fldChar w:fldCharType="end"/>
            </w:r>
          </w:hyperlink>
        </w:p>
        <w:p w14:paraId="60B7AFC2" w14:textId="50D82D0F" w:rsidR="005B4BE3" w:rsidRDefault="00A7538C" w:rsidP="005B4BE3">
          <w:pPr>
            <w:pStyle w:val="TOC1"/>
            <w:rPr>
              <w:rFonts w:asciiTheme="minorHAnsi" w:eastAsiaTheme="minorEastAsia" w:hAnsiTheme="minorHAnsi" w:cstheme="minorBidi"/>
              <w:sz w:val="22"/>
              <w:szCs w:val="22"/>
            </w:rPr>
          </w:pPr>
          <w:hyperlink w:anchor="_Toc504654632" w:history="1">
            <w:r w:rsidR="005B4BE3" w:rsidRPr="005B4BE3">
              <w:rPr>
                <w:rStyle w:val="Hyperlink"/>
                <w:b/>
              </w:rPr>
              <w:t>Chapter 2: Schemes at a glance</w:t>
            </w:r>
            <w:r w:rsidR="005B4BE3">
              <w:rPr>
                <w:webHidden/>
              </w:rPr>
              <w:tab/>
            </w:r>
            <w:r w:rsidR="005B4BE3">
              <w:rPr>
                <w:webHidden/>
              </w:rPr>
              <w:fldChar w:fldCharType="begin"/>
            </w:r>
            <w:r w:rsidR="005B4BE3">
              <w:rPr>
                <w:webHidden/>
              </w:rPr>
              <w:instrText xml:space="preserve"> PAGEREF _Toc504654632 \h </w:instrText>
            </w:r>
            <w:r w:rsidR="005B4BE3">
              <w:rPr>
                <w:webHidden/>
              </w:rPr>
            </w:r>
            <w:r w:rsidR="005B4BE3">
              <w:rPr>
                <w:webHidden/>
              </w:rPr>
              <w:fldChar w:fldCharType="separate"/>
            </w:r>
            <w:r w:rsidR="00CC415A">
              <w:rPr>
                <w:webHidden/>
              </w:rPr>
              <w:t>14</w:t>
            </w:r>
            <w:r w:rsidR="005B4BE3">
              <w:rPr>
                <w:webHidden/>
              </w:rPr>
              <w:fldChar w:fldCharType="end"/>
            </w:r>
          </w:hyperlink>
        </w:p>
        <w:p w14:paraId="01DE9280" w14:textId="798AC118" w:rsidR="005B4BE3" w:rsidRDefault="00A7538C" w:rsidP="005B4BE3">
          <w:pPr>
            <w:pStyle w:val="TOC1"/>
            <w:rPr>
              <w:rFonts w:asciiTheme="minorHAnsi" w:eastAsiaTheme="minorEastAsia" w:hAnsiTheme="minorHAnsi" w:cstheme="minorBidi"/>
              <w:sz w:val="22"/>
              <w:szCs w:val="22"/>
            </w:rPr>
          </w:pPr>
          <w:hyperlink w:anchor="_Toc504654633" w:history="1">
            <w:r w:rsidR="005B4BE3" w:rsidRPr="00B4108A">
              <w:rPr>
                <w:rStyle w:val="Hyperlink"/>
              </w:rPr>
              <w:t>Schemes</w:t>
            </w:r>
            <w:r w:rsidR="005B4BE3">
              <w:rPr>
                <w:webHidden/>
              </w:rPr>
              <w:tab/>
            </w:r>
            <w:r w:rsidR="005B4BE3">
              <w:rPr>
                <w:webHidden/>
              </w:rPr>
              <w:fldChar w:fldCharType="begin"/>
            </w:r>
            <w:r w:rsidR="005B4BE3">
              <w:rPr>
                <w:webHidden/>
              </w:rPr>
              <w:instrText xml:space="preserve"> PAGEREF _Toc504654633 \h </w:instrText>
            </w:r>
            <w:r w:rsidR="005B4BE3">
              <w:rPr>
                <w:webHidden/>
              </w:rPr>
            </w:r>
            <w:r w:rsidR="005B4BE3">
              <w:rPr>
                <w:webHidden/>
              </w:rPr>
              <w:fldChar w:fldCharType="separate"/>
            </w:r>
            <w:r w:rsidR="00CC415A">
              <w:rPr>
                <w:webHidden/>
              </w:rPr>
              <w:t>15</w:t>
            </w:r>
            <w:r w:rsidR="005B4BE3">
              <w:rPr>
                <w:webHidden/>
              </w:rPr>
              <w:fldChar w:fldCharType="end"/>
            </w:r>
          </w:hyperlink>
        </w:p>
        <w:p w14:paraId="52A6F6FD" w14:textId="0F8278C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34" w:history="1">
            <w:r w:rsidR="005B4BE3" w:rsidRPr="00B4108A">
              <w:rPr>
                <w:rStyle w:val="Hyperlink"/>
                <w:noProof/>
              </w:rPr>
              <w:t>Table 2.1: Jurisdictional contacts</w:t>
            </w:r>
            <w:r w:rsidR="005B4BE3">
              <w:rPr>
                <w:noProof/>
                <w:webHidden/>
              </w:rPr>
              <w:tab/>
            </w:r>
            <w:r w:rsidR="005B4BE3">
              <w:rPr>
                <w:noProof/>
                <w:webHidden/>
              </w:rPr>
              <w:fldChar w:fldCharType="begin"/>
            </w:r>
            <w:r w:rsidR="005B4BE3">
              <w:rPr>
                <w:noProof/>
                <w:webHidden/>
              </w:rPr>
              <w:instrText xml:space="preserve"> PAGEREF _Toc504654634 \h </w:instrText>
            </w:r>
            <w:r w:rsidR="005B4BE3">
              <w:rPr>
                <w:noProof/>
                <w:webHidden/>
              </w:rPr>
            </w:r>
            <w:r w:rsidR="005B4BE3">
              <w:rPr>
                <w:noProof/>
                <w:webHidden/>
              </w:rPr>
              <w:fldChar w:fldCharType="separate"/>
            </w:r>
            <w:r w:rsidR="00CC415A">
              <w:rPr>
                <w:noProof/>
                <w:webHidden/>
              </w:rPr>
              <w:t>16</w:t>
            </w:r>
            <w:r w:rsidR="005B4BE3">
              <w:rPr>
                <w:noProof/>
                <w:webHidden/>
              </w:rPr>
              <w:fldChar w:fldCharType="end"/>
            </w:r>
          </w:hyperlink>
        </w:p>
        <w:p w14:paraId="6A5E347B" w14:textId="1F8DD04A"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35" w:history="1">
            <w:r w:rsidR="005B4BE3" w:rsidRPr="00B4108A">
              <w:rPr>
                <w:rStyle w:val="Hyperlink"/>
                <w:noProof/>
              </w:rPr>
              <w:t>Table 2.2: Agencies responsible for overseeing workers’ compensation in each jurisdiction</w:t>
            </w:r>
            <w:r w:rsidR="005B4BE3">
              <w:rPr>
                <w:noProof/>
                <w:webHidden/>
              </w:rPr>
              <w:tab/>
            </w:r>
            <w:r w:rsidR="005B4BE3">
              <w:rPr>
                <w:noProof/>
                <w:webHidden/>
              </w:rPr>
              <w:fldChar w:fldCharType="begin"/>
            </w:r>
            <w:r w:rsidR="005B4BE3">
              <w:rPr>
                <w:noProof/>
                <w:webHidden/>
              </w:rPr>
              <w:instrText xml:space="preserve"> PAGEREF _Toc504654635 \h </w:instrText>
            </w:r>
            <w:r w:rsidR="005B4BE3">
              <w:rPr>
                <w:noProof/>
                <w:webHidden/>
              </w:rPr>
            </w:r>
            <w:r w:rsidR="005B4BE3">
              <w:rPr>
                <w:noProof/>
                <w:webHidden/>
              </w:rPr>
              <w:fldChar w:fldCharType="separate"/>
            </w:r>
            <w:r w:rsidR="00CC415A">
              <w:rPr>
                <w:noProof/>
                <w:webHidden/>
              </w:rPr>
              <w:t>18</w:t>
            </w:r>
            <w:r w:rsidR="005B4BE3">
              <w:rPr>
                <w:noProof/>
                <w:webHidden/>
              </w:rPr>
              <w:fldChar w:fldCharType="end"/>
            </w:r>
          </w:hyperlink>
        </w:p>
        <w:p w14:paraId="3B104B18" w14:textId="4CD76C47"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36" w:history="1">
            <w:r w:rsidR="005B4BE3" w:rsidRPr="00B4108A">
              <w:rPr>
                <w:rStyle w:val="Hyperlink"/>
                <w:noProof/>
              </w:rPr>
              <w:t>Table 2.3: Key features of schemes</w:t>
            </w:r>
            <w:r w:rsidR="005B4BE3">
              <w:rPr>
                <w:noProof/>
                <w:webHidden/>
              </w:rPr>
              <w:tab/>
            </w:r>
            <w:r w:rsidR="005B4BE3">
              <w:rPr>
                <w:noProof/>
                <w:webHidden/>
              </w:rPr>
              <w:fldChar w:fldCharType="begin"/>
            </w:r>
            <w:r w:rsidR="005B4BE3">
              <w:rPr>
                <w:noProof/>
                <w:webHidden/>
              </w:rPr>
              <w:instrText xml:space="preserve"> PAGEREF _Toc504654636 \h </w:instrText>
            </w:r>
            <w:r w:rsidR="005B4BE3">
              <w:rPr>
                <w:noProof/>
                <w:webHidden/>
              </w:rPr>
            </w:r>
            <w:r w:rsidR="005B4BE3">
              <w:rPr>
                <w:noProof/>
                <w:webHidden/>
              </w:rPr>
              <w:fldChar w:fldCharType="separate"/>
            </w:r>
            <w:r w:rsidR="00CC415A">
              <w:rPr>
                <w:noProof/>
                <w:webHidden/>
              </w:rPr>
              <w:t>20</w:t>
            </w:r>
            <w:r w:rsidR="005B4BE3">
              <w:rPr>
                <w:noProof/>
                <w:webHidden/>
              </w:rPr>
              <w:fldChar w:fldCharType="end"/>
            </w:r>
          </w:hyperlink>
        </w:p>
        <w:p w14:paraId="7B1DAD95" w14:textId="7BC99809" w:rsidR="005B4BE3" w:rsidRDefault="00A7538C" w:rsidP="005B4BE3">
          <w:pPr>
            <w:pStyle w:val="TOC1"/>
            <w:rPr>
              <w:rFonts w:asciiTheme="minorHAnsi" w:eastAsiaTheme="minorEastAsia" w:hAnsiTheme="minorHAnsi" w:cstheme="minorBidi"/>
              <w:sz w:val="22"/>
              <w:szCs w:val="22"/>
            </w:rPr>
          </w:pPr>
          <w:hyperlink w:anchor="_Toc504654637" w:history="1">
            <w:r w:rsidR="005B4BE3" w:rsidRPr="00B4108A">
              <w:rPr>
                <w:rStyle w:val="Hyperlink"/>
              </w:rPr>
              <w:t>Coverage of workers</w:t>
            </w:r>
            <w:r w:rsidR="005B4BE3">
              <w:rPr>
                <w:webHidden/>
              </w:rPr>
              <w:tab/>
            </w:r>
            <w:r w:rsidR="005B4BE3">
              <w:rPr>
                <w:webHidden/>
              </w:rPr>
              <w:fldChar w:fldCharType="begin"/>
            </w:r>
            <w:r w:rsidR="005B4BE3">
              <w:rPr>
                <w:webHidden/>
              </w:rPr>
              <w:instrText xml:space="preserve"> PAGEREF _Toc504654637 \h </w:instrText>
            </w:r>
            <w:r w:rsidR="005B4BE3">
              <w:rPr>
                <w:webHidden/>
              </w:rPr>
            </w:r>
            <w:r w:rsidR="005B4BE3">
              <w:rPr>
                <w:webHidden/>
              </w:rPr>
              <w:fldChar w:fldCharType="separate"/>
            </w:r>
            <w:r w:rsidR="00CC415A">
              <w:rPr>
                <w:webHidden/>
              </w:rPr>
              <w:t>21</w:t>
            </w:r>
            <w:r w:rsidR="005B4BE3">
              <w:rPr>
                <w:webHidden/>
              </w:rPr>
              <w:fldChar w:fldCharType="end"/>
            </w:r>
          </w:hyperlink>
        </w:p>
        <w:p w14:paraId="3C99337A" w14:textId="5891905E"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38" w:history="1">
            <w:r w:rsidR="005B4BE3" w:rsidRPr="00B4108A">
              <w:rPr>
                <w:rStyle w:val="Hyperlink"/>
                <w:noProof/>
              </w:rPr>
              <w:t>Table 2.4a: Summary of coverage (see Table 3.1a for more information)</w:t>
            </w:r>
            <w:r w:rsidR="005B4BE3">
              <w:rPr>
                <w:noProof/>
                <w:webHidden/>
              </w:rPr>
              <w:tab/>
            </w:r>
            <w:r w:rsidR="005B4BE3">
              <w:rPr>
                <w:noProof/>
                <w:webHidden/>
              </w:rPr>
              <w:fldChar w:fldCharType="begin"/>
            </w:r>
            <w:r w:rsidR="005B4BE3">
              <w:rPr>
                <w:noProof/>
                <w:webHidden/>
              </w:rPr>
              <w:instrText xml:space="preserve"> PAGEREF _Toc504654638 \h </w:instrText>
            </w:r>
            <w:r w:rsidR="005B4BE3">
              <w:rPr>
                <w:noProof/>
                <w:webHidden/>
              </w:rPr>
            </w:r>
            <w:r w:rsidR="005B4BE3">
              <w:rPr>
                <w:noProof/>
                <w:webHidden/>
              </w:rPr>
              <w:fldChar w:fldCharType="separate"/>
            </w:r>
            <w:r w:rsidR="00CC415A">
              <w:rPr>
                <w:noProof/>
                <w:webHidden/>
              </w:rPr>
              <w:t>22</w:t>
            </w:r>
            <w:r w:rsidR="005B4BE3">
              <w:rPr>
                <w:noProof/>
                <w:webHidden/>
              </w:rPr>
              <w:fldChar w:fldCharType="end"/>
            </w:r>
          </w:hyperlink>
        </w:p>
        <w:p w14:paraId="5C589D05" w14:textId="485F6996"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39" w:history="1">
            <w:r w:rsidR="005B4BE3" w:rsidRPr="00B4108A">
              <w:rPr>
                <w:rStyle w:val="Hyperlink"/>
                <w:noProof/>
              </w:rPr>
              <w:t>Table 2.4b: Guidelines and information for determining coverage of workers</w:t>
            </w:r>
            <w:r w:rsidR="005B4BE3">
              <w:rPr>
                <w:noProof/>
                <w:webHidden/>
              </w:rPr>
              <w:tab/>
            </w:r>
            <w:r w:rsidR="005B4BE3">
              <w:rPr>
                <w:noProof/>
                <w:webHidden/>
              </w:rPr>
              <w:fldChar w:fldCharType="begin"/>
            </w:r>
            <w:r w:rsidR="005B4BE3">
              <w:rPr>
                <w:noProof/>
                <w:webHidden/>
              </w:rPr>
              <w:instrText xml:space="preserve"> PAGEREF _Toc504654639 \h </w:instrText>
            </w:r>
            <w:r w:rsidR="005B4BE3">
              <w:rPr>
                <w:noProof/>
                <w:webHidden/>
              </w:rPr>
            </w:r>
            <w:r w:rsidR="005B4BE3">
              <w:rPr>
                <w:noProof/>
                <w:webHidden/>
              </w:rPr>
              <w:fldChar w:fldCharType="separate"/>
            </w:r>
            <w:r w:rsidR="00CC415A">
              <w:rPr>
                <w:noProof/>
                <w:webHidden/>
              </w:rPr>
              <w:t>25</w:t>
            </w:r>
            <w:r w:rsidR="005B4BE3">
              <w:rPr>
                <w:noProof/>
                <w:webHidden/>
              </w:rPr>
              <w:fldChar w:fldCharType="end"/>
            </w:r>
          </w:hyperlink>
        </w:p>
        <w:p w14:paraId="4E8CB084" w14:textId="3539DAE2"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0" w:history="1">
            <w:r w:rsidR="005B4BE3" w:rsidRPr="00B4108A">
              <w:rPr>
                <w:rStyle w:val="Hyperlink"/>
                <w:noProof/>
              </w:rPr>
              <w:t>Table 2.4c: Coverage of journeys and breaks</w:t>
            </w:r>
            <w:r w:rsidR="005B4BE3">
              <w:rPr>
                <w:noProof/>
                <w:webHidden/>
              </w:rPr>
              <w:tab/>
            </w:r>
            <w:r w:rsidR="005B4BE3">
              <w:rPr>
                <w:noProof/>
                <w:webHidden/>
              </w:rPr>
              <w:fldChar w:fldCharType="begin"/>
            </w:r>
            <w:r w:rsidR="005B4BE3">
              <w:rPr>
                <w:noProof/>
                <w:webHidden/>
              </w:rPr>
              <w:instrText xml:space="preserve"> PAGEREF _Toc504654640 \h </w:instrText>
            </w:r>
            <w:r w:rsidR="005B4BE3">
              <w:rPr>
                <w:noProof/>
                <w:webHidden/>
              </w:rPr>
            </w:r>
            <w:r w:rsidR="005B4BE3">
              <w:rPr>
                <w:noProof/>
                <w:webHidden/>
              </w:rPr>
              <w:fldChar w:fldCharType="separate"/>
            </w:r>
            <w:r w:rsidR="00CC415A">
              <w:rPr>
                <w:noProof/>
                <w:webHidden/>
              </w:rPr>
              <w:t>26</w:t>
            </w:r>
            <w:r w:rsidR="005B4BE3">
              <w:rPr>
                <w:noProof/>
                <w:webHidden/>
              </w:rPr>
              <w:fldChar w:fldCharType="end"/>
            </w:r>
          </w:hyperlink>
        </w:p>
        <w:p w14:paraId="065CA0C8" w14:textId="3E84B162"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1" w:history="1">
            <w:r w:rsidR="005B4BE3" w:rsidRPr="00B4108A">
              <w:rPr>
                <w:rStyle w:val="Hyperlink"/>
                <w:noProof/>
              </w:rPr>
              <w:t>Table 2.4d: Definition of injury and employment contribution</w:t>
            </w:r>
            <w:r w:rsidR="005B4BE3">
              <w:rPr>
                <w:noProof/>
                <w:webHidden/>
              </w:rPr>
              <w:tab/>
            </w:r>
            <w:r w:rsidR="005B4BE3">
              <w:rPr>
                <w:noProof/>
                <w:webHidden/>
              </w:rPr>
              <w:fldChar w:fldCharType="begin"/>
            </w:r>
            <w:r w:rsidR="005B4BE3">
              <w:rPr>
                <w:noProof/>
                <w:webHidden/>
              </w:rPr>
              <w:instrText xml:space="preserve"> PAGEREF _Toc504654641 \h </w:instrText>
            </w:r>
            <w:r w:rsidR="005B4BE3">
              <w:rPr>
                <w:noProof/>
                <w:webHidden/>
              </w:rPr>
            </w:r>
            <w:r w:rsidR="005B4BE3">
              <w:rPr>
                <w:noProof/>
                <w:webHidden/>
              </w:rPr>
              <w:fldChar w:fldCharType="separate"/>
            </w:r>
            <w:r w:rsidR="00CC415A">
              <w:rPr>
                <w:noProof/>
                <w:webHidden/>
              </w:rPr>
              <w:t>27</w:t>
            </w:r>
            <w:r w:rsidR="005B4BE3">
              <w:rPr>
                <w:noProof/>
                <w:webHidden/>
              </w:rPr>
              <w:fldChar w:fldCharType="end"/>
            </w:r>
          </w:hyperlink>
        </w:p>
        <w:p w14:paraId="2A90D08E" w14:textId="3A6B21F3"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2" w:history="1">
            <w:r w:rsidR="005B4BE3" w:rsidRPr="00B4108A">
              <w:rPr>
                <w:rStyle w:val="Hyperlink"/>
                <w:noProof/>
              </w:rPr>
              <w:t>Table 2.4e: Coverage of retirement provisions</w:t>
            </w:r>
            <w:r w:rsidR="005B4BE3">
              <w:rPr>
                <w:noProof/>
                <w:webHidden/>
              </w:rPr>
              <w:tab/>
            </w:r>
            <w:r w:rsidR="005B4BE3">
              <w:rPr>
                <w:noProof/>
                <w:webHidden/>
              </w:rPr>
              <w:fldChar w:fldCharType="begin"/>
            </w:r>
            <w:r w:rsidR="005B4BE3">
              <w:rPr>
                <w:noProof/>
                <w:webHidden/>
              </w:rPr>
              <w:instrText xml:space="preserve"> PAGEREF _Toc504654642 \h </w:instrText>
            </w:r>
            <w:r w:rsidR="005B4BE3">
              <w:rPr>
                <w:noProof/>
                <w:webHidden/>
              </w:rPr>
            </w:r>
            <w:r w:rsidR="005B4BE3">
              <w:rPr>
                <w:noProof/>
                <w:webHidden/>
              </w:rPr>
              <w:fldChar w:fldCharType="separate"/>
            </w:r>
            <w:r w:rsidR="00CC415A">
              <w:rPr>
                <w:noProof/>
                <w:webHidden/>
              </w:rPr>
              <w:t>29</w:t>
            </w:r>
            <w:r w:rsidR="005B4BE3">
              <w:rPr>
                <w:noProof/>
                <w:webHidden/>
              </w:rPr>
              <w:fldChar w:fldCharType="end"/>
            </w:r>
          </w:hyperlink>
        </w:p>
        <w:p w14:paraId="109D9E65" w14:textId="1BA8352E"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3" w:history="1">
            <w:r w:rsidR="005B4BE3" w:rsidRPr="00B4108A">
              <w:rPr>
                <w:rStyle w:val="Hyperlink"/>
                <w:noProof/>
              </w:rPr>
              <w:t>Table 2.5: Summary of entitlements as at 30 September 2016</w:t>
            </w:r>
            <w:r w:rsidR="005B4BE3">
              <w:rPr>
                <w:noProof/>
                <w:webHidden/>
              </w:rPr>
              <w:tab/>
            </w:r>
            <w:r w:rsidR="005B4BE3">
              <w:rPr>
                <w:noProof/>
                <w:webHidden/>
              </w:rPr>
              <w:fldChar w:fldCharType="begin"/>
            </w:r>
            <w:r w:rsidR="005B4BE3">
              <w:rPr>
                <w:noProof/>
                <w:webHidden/>
              </w:rPr>
              <w:instrText xml:space="preserve"> PAGEREF _Toc504654643 \h </w:instrText>
            </w:r>
            <w:r w:rsidR="005B4BE3">
              <w:rPr>
                <w:noProof/>
                <w:webHidden/>
              </w:rPr>
            </w:r>
            <w:r w:rsidR="005B4BE3">
              <w:rPr>
                <w:noProof/>
                <w:webHidden/>
              </w:rPr>
              <w:fldChar w:fldCharType="separate"/>
            </w:r>
            <w:r w:rsidR="00CC415A">
              <w:rPr>
                <w:noProof/>
                <w:webHidden/>
              </w:rPr>
              <w:t>31</w:t>
            </w:r>
            <w:r w:rsidR="005B4BE3">
              <w:rPr>
                <w:noProof/>
                <w:webHidden/>
              </w:rPr>
              <w:fldChar w:fldCharType="end"/>
            </w:r>
          </w:hyperlink>
        </w:p>
        <w:p w14:paraId="09D2551F" w14:textId="00441747"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4" w:history="1">
            <w:r w:rsidR="005B4BE3" w:rsidRPr="00B4108A">
              <w:rPr>
                <w:rStyle w:val="Hyperlink"/>
                <w:noProof/>
              </w:rPr>
              <w:t>Table 2.6: Prescribed time periods for injury notification</w:t>
            </w:r>
            <w:r w:rsidR="005B4BE3">
              <w:rPr>
                <w:noProof/>
                <w:webHidden/>
              </w:rPr>
              <w:tab/>
            </w:r>
            <w:r w:rsidR="005B4BE3">
              <w:rPr>
                <w:noProof/>
                <w:webHidden/>
              </w:rPr>
              <w:fldChar w:fldCharType="begin"/>
            </w:r>
            <w:r w:rsidR="005B4BE3">
              <w:rPr>
                <w:noProof/>
                <w:webHidden/>
              </w:rPr>
              <w:instrText xml:space="preserve"> PAGEREF _Toc504654644 \h </w:instrText>
            </w:r>
            <w:r w:rsidR="005B4BE3">
              <w:rPr>
                <w:noProof/>
                <w:webHidden/>
              </w:rPr>
            </w:r>
            <w:r w:rsidR="005B4BE3">
              <w:rPr>
                <w:noProof/>
                <w:webHidden/>
              </w:rPr>
              <w:fldChar w:fldCharType="separate"/>
            </w:r>
            <w:r w:rsidR="00CC415A">
              <w:rPr>
                <w:noProof/>
                <w:webHidden/>
              </w:rPr>
              <w:t>36</w:t>
            </w:r>
            <w:r w:rsidR="005B4BE3">
              <w:rPr>
                <w:noProof/>
                <w:webHidden/>
              </w:rPr>
              <w:fldChar w:fldCharType="end"/>
            </w:r>
          </w:hyperlink>
        </w:p>
        <w:p w14:paraId="6518443A" w14:textId="3106B9EA"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5" w:history="1">
            <w:r w:rsidR="005B4BE3" w:rsidRPr="00B4108A">
              <w:rPr>
                <w:rStyle w:val="Hyperlink"/>
                <w:noProof/>
              </w:rPr>
              <w:t>Table 2.7: Prescribed time periods for claim submission</w:t>
            </w:r>
            <w:r w:rsidR="005B4BE3">
              <w:rPr>
                <w:noProof/>
                <w:webHidden/>
              </w:rPr>
              <w:tab/>
            </w:r>
            <w:r w:rsidR="005B4BE3">
              <w:rPr>
                <w:noProof/>
                <w:webHidden/>
              </w:rPr>
              <w:fldChar w:fldCharType="begin"/>
            </w:r>
            <w:r w:rsidR="005B4BE3">
              <w:rPr>
                <w:noProof/>
                <w:webHidden/>
              </w:rPr>
              <w:instrText xml:space="preserve"> PAGEREF _Toc504654645 \h </w:instrText>
            </w:r>
            <w:r w:rsidR="005B4BE3">
              <w:rPr>
                <w:noProof/>
                <w:webHidden/>
              </w:rPr>
            </w:r>
            <w:r w:rsidR="005B4BE3">
              <w:rPr>
                <w:noProof/>
                <w:webHidden/>
              </w:rPr>
              <w:fldChar w:fldCharType="separate"/>
            </w:r>
            <w:r w:rsidR="00CC415A">
              <w:rPr>
                <w:noProof/>
                <w:webHidden/>
              </w:rPr>
              <w:t>38</w:t>
            </w:r>
            <w:r w:rsidR="005B4BE3">
              <w:rPr>
                <w:noProof/>
                <w:webHidden/>
              </w:rPr>
              <w:fldChar w:fldCharType="end"/>
            </w:r>
          </w:hyperlink>
        </w:p>
        <w:p w14:paraId="6EFE4739" w14:textId="73D0A88A"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6" w:history="1">
            <w:r w:rsidR="005B4BE3" w:rsidRPr="00B4108A">
              <w:rPr>
                <w:rStyle w:val="Hyperlink"/>
                <w:noProof/>
              </w:rPr>
              <w:t>Table 2.8: Prescribed time periods for payments</w:t>
            </w:r>
            <w:r w:rsidR="005B4BE3">
              <w:rPr>
                <w:noProof/>
                <w:webHidden/>
              </w:rPr>
              <w:tab/>
            </w:r>
            <w:r w:rsidR="005B4BE3">
              <w:rPr>
                <w:noProof/>
                <w:webHidden/>
              </w:rPr>
              <w:fldChar w:fldCharType="begin"/>
            </w:r>
            <w:r w:rsidR="005B4BE3">
              <w:rPr>
                <w:noProof/>
                <w:webHidden/>
              </w:rPr>
              <w:instrText xml:space="preserve"> PAGEREF _Toc504654646 \h </w:instrText>
            </w:r>
            <w:r w:rsidR="005B4BE3">
              <w:rPr>
                <w:noProof/>
                <w:webHidden/>
              </w:rPr>
            </w:r>
            <w:r w:rsidR="005B4BE3">
              <w:rPr>
                <w:noProof/>
                <w:webHidden/>
              </w:rPr>
              <w:fldChar w:fldCharType="separate"/>
            </w:r>
            <w:r w:rsidR="00CC415A">
              <w:rPr>
                <w:noProof/>
                <w:webHidden/>
              </w:rPr>
              <w:t>42</w:t>
            </w:r>
            <w:r w:rsidR="005B4BE3">
              <w:rPr>
                <w:noProof/>
                <w:webHidden/>
              </w:rPr>
              <w:fldChar w:fldCharType="end"/>
            </w:r>
          </w:hyperlink>
        </w:p>
        <w:p w14:paraId="2BFF53F6" w14:textId="119301B3"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7" w:history="1">
            <w:r w:rsidR="005B4BE3" w:rsidRPr="00B4108A">
              <w:rPr>
                <w:rStyle w:val="Hyperlink"/>
                <w:noProof/>
              </w:rPr>
              <w:t>Table 2.9: Dispute resolution process</w:t>
            </w:r>
            <w:r w:rsidR="005B4BE3">
              <w:rPr>
                <w:noProof/>
                <w:webHidden/>
              </w:rPr>
              <w:tab/>
            </w:r>
            <w:r w:rsidR="005B4BE3">
              <w:rPr>
                <w:noProof/>
                <w:webHidden/>
              </w:rPr>
              <w:fldChar w:fldCharType="begin"/>
            </w:r>
            <w:r w:rsidR="005B4BE3">
              <w:rPr>
                <w:noProof/>
                <w:webHidden/>
              </w:rPr>
              <w:instrText xml:space="preserve"> PAGEREF _Toc504654647 \h </w:instrText>
            </w:r>
            <w:r w:rsidR="005B4BE3">
              <w:rPr>
                <w:noProof/>
                <w:webHidden/>
              </w:rPr>
            </w:r>
            <w:r w:rsidR="005B4BE3">
              <w:rPr>
                <w:noProof/>
                <w:webHidden/>
              </w:rPr>
              <w:fldChar w:fldCharType="separate"/>
            </w:r>
            <w:r w:rsidR="00CC415A">
              <w:rPr>
                <w:noProof/>
                <w:webHidden/>
              </w:rPr>
              <w:t>44</w:t>
            </w:r>
            <w:r w:rsidR="005B4BE3">
              <w:rPr>
                <w:noProof/>
                <w:webHidden/>
              </w:rPr>
              <w:fldChar w:fldCharType="end"/>
            </w:r>
          </w:hyperlink>
        </w:p>
        <w:p w14:paraId="7D44E0C0" w14:textId="443B8854"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8" w:history="1">
            <w:r w:rsidR="005B4BE3" w:rsidRPr="00B4108A">
              <w:rPr>
                <w:rStyle w:val="Hyperlink"/>
                <w:noProof/>
              </w:rPr>
              <w:t>Table 2.10: Definition of remuneration for the purpose of premium calculation</w:t>
            </w:r>
            <w:r w:rsidR="005B4BE3">
              <w:rPr>
                <w:noProof/>
                <w:webHidden/>
              </w:rPr>
              <w:tab/>
            </w:r>
            <w:r w:rsidR="005B4BE3">
              <w:rPr>
                <w:noProof/>
                <w:webHidden/>
              </w:rPr>
              <w:fldChar w:fldCharType="begin"/>
            </w:r>
            <w:r w:rsidR="005B4BE3">
              <w:rPr>
                <w:noProof/>
                <w:webHidden/>
              </w:rPr>
              <w:instrText xml:space="preserve"> PAGEREF _Toc504654648 \h </w:instrText>
            </w:r>
            <w:r w:rsidR="005B4BE3">
              <w:rPr>
                <w:noProof/>
                <w:webHidden/>
              </w:rPr>
            </w:r>
            <w:r w:rsidR="005B4BE3">
              <w:rPr>
                <w:noProof/>
                <w:webHidden/>
              </w:rPr>
              <w:fldChar w:fldCharType="separate"/>
            </w:r>
            <w:r w:rsidR="00CC415A">
              <w:rPr>
                <w:noProof/>
                <w:webHidden/>
              </w:rPr>
              <w:t>47</w:t>
            </w:r>
            <w:r w:rsidR="005B4BE3">
              <w:rPr>
                <w:noProof/>
                <w:webHidden/>
              </w:rPr>
              <w:fldChar w:fldCharType="end"/>
            </w:r>
          </w:hyperlink>
        </w:p>
        <w:p w14:paraId="566F2487" w14:textId="2A1026F4"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49" w:history="1">
            <w:r w:rsidR="005B4BE3" w:rsidRPr="00B4108A">
              <w:rPr>
                <w:rStyle w:val="Hyperlink"/>
                <w:noProof/>
              </w:rPr>
              <w:t>Table 2.11: Employer excess</w:t>
            </w:r>
            <w:r w:rsidR="005B4BE3">
              <w:rPr>
                <w:noProof/>
                <w:webHidden/>
              </w:rPr>
              <w:tab/>
            </w:r>
            <w:r w:rsidR="005B4BE3">
              <w:rPr>
                <w:noProof/>
                <w:webHidden/>
              </w:rPr>
              <w:fldChar w:fldCharType="begin"/>
            </w:r>
            <w:r w:rsidR="005B4BE3">
              <w:rPr>
                <w:noProof/>
                <w:webHidden/>
              </w:rPr>
              <w:instrText xml:space="preserve"> PAGEREF _Toc504654649 \h </w:instrText>
            </w:r>
            <w:r w:rsidR="005B4BE3">
              <w:rPr>
                <w:noProof/>
                <w:webHidden/>
              </w:rPr>
            </w:r>
            <w:r w:rsidR="005B4BE3">
              <w:rPr>
                <w:noProof/>
                <w:webHidden/>
              </w:rPr>
              <w:fldChar w:fldCharType="separate"/>
            </w:r>
            <w:r w:rsidR="00CC415A">
              <w:rPr>
                <w:noProof/>
                <w:webHidden/>
              </w:rPr>
              <w:t>48</w:t>
            </w:r>
            <w:r w:rsidR="005B4BE3">
              <w:rPr>
                <w:noProof/>
                <w:webHidden/>
              </w:rPr>
              <w:fldChar w:fldCharType="end"/>
            </w:r>
          </w:hyperlink>
        </w:p>
        <w:p w14:paraId="00D935C6" w14:textId="1B908983"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50" w:history="1">
            <w:r w:rsidR="005B4BE3" w:rsidRPr="00B4108A">
              <w:rPr>
                <w:rStyle w:val="Hyperlink"/>
                <w:noProof/>
              </w:rPr>
              <w:t>Table 2.12: Uninsured employer provisions</w:t>
            </w:r>
            <w:r w:rsidR="005B4BE3">
              <w:rPr>
                <w:noProof/>
                <w:webHidden/>
              </w:rPr>
              <w:tab/>
            </w:r>
            <w:r w:rsidR="005B4BE3">
              <w:rPr>
                <w:noProof/>
                <w:webHidden/>
              </w:rPr>
              <w:fldChar w:fldCharType="begin"/>
            </w:r>
            <w:r w:rsidR="005B4BE3">
              <w:rPr>
                <w:noProof/>
                <w:webHidden/>
              </w:rPr>
              <w:instrText xml:space="preserve"> PAGEREF _Toc504654650 \h </w:instrText>
            </w:r>
            <w:r w:rsidR="005B4BE3">
              <w:rPr>
                <w:noProof/>
                <w:webHidden/>
              </w:rPr>
            </w:r>
            <w:r w:rsidR="005B4BE3">
              <w:rPr>
                <w:noProof/>
                <w:webHidden/>
              </w:rPr>
              <w:fldChar w:fldCharType="separate"/>
            </w:r>
            <w:r w:rsidR="00CC415A">
              <w:rPr>
                <w:noProof/>
                <w:webHidden/>
              </w:rPr>
              <w:t>49</w:t>
            </w:r>
            <w:r w:rsidR="005B4BE3">
              <w:rPr>
                <w:noProof/>
                <w:webHidden/>
              </w:rPr>
              <w:fldChar w:fldCharType="end"/>
            </w:r>
          </w:hyperlink>
        </w:p>
        <w:p w14:paraId="27F0A188" w14:textId="54CF859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51" w:history="1">
            <w:r w:rsidR="005B4BE3" w:rsidRPr="00B4108A">
              <w:rPr>
                <w:rStyle w:val="Hyperlink"/>
                <w:noProof/>
              </w:rPr>
              <w:t>Table 2.13: Leave while on workers’ compensation</w:t>
            </w:r>
            <w:r w:rsidR="005B4BE3">
              <w:rPr>
                <w:noProof/>
                <w:webHidden/>
              </w:rPr>
              <w:tab/>
            </w:r>
            <w:r w:rsidR="005B4BE3">
              <w:rPr>
                <w:noProof/>
                <w:webHidden/>
              </w:rPr>
              <w:fldChar w:fldCharType="begin"/>
            </w:r>
            <w:r w:rsidR="005B4BE3">
              <w:rPr>
                <w:noProof/>
                <w:webHidden/>
              </w:rPr>
              <w:instrText xml:space="preserve"> PAGEREF _Toc504654651 \h </w:instrText>
            </w:r>
            <w:r w:rsidR="005B4BE3">
              <w:rPr>
                <w:noProof/>
                <w:webHidden/>
              </w:rPr>
            </w:r>
            <w:r w:rsidR="005B4BE3">
              <w:rPr>
                <w:noProof/>
                <w:webHidden/>
              </w:rPr>
              <w:fldChar w:fldCharType="separate"/>
            </w:r>
            <w:r w:rsidR="00CC415A">
              <w:rPr>
                <w:noProof/>
                <w:webHidden/>
              </w:rPr>
              <w:t>51</w:t>
            </w:r>
            <w:r w:rsidR="005B4BE3">
              <w:rPr>
                <w:noProof/>
                <w:webHidden/>
              </w:rPr>
              <w:fldChar w:fldCharType="end"/>
            </w:r>
          </w:hyperlink>
        </w:p>
        <w:p w14:paraId="5571A583" w14:textId="74B4DE3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52" w:history="1">
            <w:r w:rsidR="005B4BE3" w:rsidRPr="00B4108A">
              <w:rPr>
                <w:rStyle w:val="Hyperlink"/>
                <w:noProof/>
              </w:rPr>
              <w:t>Table 2.14: Superannuation and workers’ compensation</w:t>
            </w:r>
            <w:r w:rsidR="005B4BE3">
              <w:rPr>
                <w:noProof/>
                <w:webHidden/>
              </w:rPr>
              <w:tab/>
            </w:r>
            <w:r w:rsidR="005B4BE3">
              <w:rPr>
                <w:noProof/>
                <w:webHidden/>
              </w:rPr>
              <w:fldChar w:fldCharType="begin"/>
            </w:r>
            <w:r w:rsidR="005B4BE3">
              <w:rPr>
                <w:noProof/>
                <w:webHidden/>
              </w:rPr>
              <w:instrText xml:space="preserve"> PAGEREF _Toc504654652 \h </w:instrText>
            </w:r>
            <w:r w:rsidR="005B4BE3">
              <w:rPr>
                <w:noProof/>
                <w:webHidden/>
              </w:rPr>
            </w:r>
            <w:r w:rsidR="005B4BE3">
              <w:rPr>
                <w:noProof/>
                <w:webHidden/>
              </w:rPr>
              <w:fldChar w:fldCharType="separate"/>
            </w:r>
            <w:r w:rsidR="00CC415A">
              <w:rPr>
                <w:noProof/>
                <w:webHidden/>
              </w:rPr>
              <w:t>54</w:t>
            </w:r>
            <w:r w:rsidR="005B4BE3">
              <w:rPr>
                <w:noProof/>
                <w:webHidden/>
              </w:rPr>
              <w:fldChar w:fldCharType="end"/>
            </w:r>
          </w:hyperlink>
        </w:p>
        <w:p w14:paraId="03E78665" w14:textId="7A6436D5" w:rsidR="005B4BE3" w:rsidRPr="005B4BE3" w:rsidRDefault="00A7538C" w:rsidP="005B4BE3">
          <w:pPr>
            <w:pStyle w:val="TOC1"/>
            <w:rPr>
              <w:rFonts w:asciiTheme="minorHAnsi" w:eastAsiaTheme="minorEastAsia" w:hAnsiTheme="minorHAnsi" w:cstheme="minorBidi"/>
              <w:sz w:val="22"/>
              <w:szCs w:val="22"/>
            </w:rPr>
          </w:pPr>
          <w:hyperlink w:anchor="_Toc504654653" w:history="1">
            <w:r w:rsidR="005B4BE3" w:rsidRPr="005B4BE3">
              <w:rPr>
                <w:rStyle w:val="Hyperlink"/>
                <w:b/>
              </w:rPr>
              <w:t>Chapter 3: Coverage and eligibility for benefits</w:t>
            </w:r>
            <w:r w:rsidR="005B4BE3" w:rsidRPr="005B4BE3">
              <w:rPr>
                <w:webHidden/>
              </w:rPr>
              <w:tab/>
            </w:r>
            <w:r w:rsidR="005B4BE3" w:rsidRPr="005B4BE3">
              <w:rPr>
                <w:webHidden/>
              </w:rPr>
              <w:fldChar w:fldCharType="begin"/>
            </w:r>
            <w:r w:rsidR="005B4BE3" w:rsidRPr="005B4BE3">
              <w:rPr>
                <w:webHidden/>
              </w:rPr>
              <w:instrText xml:space="preserve"> PAGEREF _Toc504654653 \h </w:instrText>
            </w:r>
            <w:r w:rsidR="005B4BE3" w:rsidRPr="005B4BE3">
              <w:rPr>
                <w:webHidden/>
              </w:rPr>
            </w:r>
            <w:r w:rsidR="005B4BE3" w:rsidRPr="005B4BE3">
              <w:rPr>
                <w:webHidden/>
              </w:rPr>
              <w:fldChar w:fldCharType="separate"/>
            </w:r>
            <w:r w:rsidR="00CC415A">
              <w:rPr>
                <w:webHidden/>
              </w:rPr>
              <w:t>55</w:t>
            </w:r>
            <w:r w:rsidR="005B4BE3" w:rsidRPr="005B4BE3">
              <w:rPr>
                <w:webHidden/>
              </w:rPr>
              <w:fldChar w:fldCharType="end"/>
            </w:r>
          </w:hyperlink>
        </w:p>
        <w:p w14:paraId="641B8CC8" w14:textId="76B03E54" w:rsidR="005B4BE3" w:rsidRDefault="00A7538C" w:rsidP="005B4BE3">
          <w:pPr>
            <w:pStyle w:val="TOC1"/>
            <w:rPr>
              <w:rFonts w:asciiTheme="minorHAnsi" w:eastAsiaTheme="minorEastAsia" w:hAnsiTheme="minorHAnsi" w:cstheme="minorBidi"/>
              <w:sz w:val="22"/>
              <w:szCs w:val="22"/>
            </w:rPr>
          </w:pPr>
          <w:hyperlink w:anchor="_Toc504654654" w:history="1">
            <w:r w:rsidR="005B4BE3" w:rsidRPr="00B4108A">
              <w:rPr>
                <w:rStyle w:val="Hyperlink"/>
              </w:rPr>
              <w:t>Coverage and eligibility</w:t>
            </w:r>
            <w:r w:rsidR="005B4BE3">
              <w:rPr>
                <w:webHidden/>
              </w:rPr>
              <w:tab/>
            </w:r>
            <w:r w:rsidR="005B4BE3">
              <w:rPr>
                <w:webHidden/>
              </w:rPr>
              <w:fldChar w:fldCharType="begin"/>
            </w:r>
            <w:r w:rsidR="005B4BE3">
              <w:rPr>
                <w:webHidden/>
              </w:rPr>
              <w:instrText xml:space="preserve"> PAGEREF _Toc504654654 \h </w:instrText>
            </w:r>
            <w:r w:rsidR="005B4BE3">
              <w:rPr>
                <w:webHidden/>
              </w:rPr>
            </w:r>
            <w:r w:rsidR="005B4BE3">
              <w:rPr>
                <w:webHidden/>
              </w:rPr>
              <w:fldChar w:fldCharType="separate"/>
            </w:r>
            <w:r w:rsidR="00CC415A">
              <w:rPr>
                <w:webHidden/>
              </w:rPr>
              <w:t>56</w:t>
            </w:r>
            <w:r w:rsidR="005B4BE3">
              <w:rPr>
                <w:webHidden/>
              </w:rPr>
              <w:fldChar w:fldCharType="end"/>
            </w:r>
          </w:hyperlink>
        </w:p>
        <w:p w14:paraId="0FF4C86C" w14:textId="2E40BCE0"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55" w:history="1">
            <w:r w:rsidR="005B4BE3" w:rsidRPr="00B4108A">
              <w:rPr>
                <w:rStyle w:val="Hyperlink"/>
                <w:noProof/>
              </w:rPr>
              <w:t>Table 3.1a: Definition of worker (see Table 2.4a for summary of coverage of worker)</w:t>
            </w:r>
            <w:r w:rsidR="005B4BE3">
              <w:rPr>
                <w:noProof/>
                <w:webHidden/>
              </w:rPr>
              <w:tab/>
            </w:r>
            <w:r w:rsidR="005B4BE3">
              <w:rPr>
                <w:noProof/>
                <w:webHidden/>
              </w:rPr>
              <w:fldChar w:fldCharType="begin"/>
            </w:r>
            <w:r w:rsidR="005B4BE3">
              <w:rPr>
                <w:noProof/>
                <w:webHidden/>
              </w:rPr>
              <w:instrText xml:space="preserve"> PAGEREF _Toc504654655 \h </w:instrText>
            </w:r>
            <w:r w:rsidR="005B4BE3">
              <w:rPr>
                <w:noProof/>
                <w:webHidden/>
              </w:rPr>
            </w:r>
            <w:r w:rsidR="005B4BE3">
              <w:rPr>
                <w:noProof/>
                <w:webHidden/>
              </w:rPr>
              <w:fldChar w:fldCharType="separate"/>
            </w:r>
            <w:r w:rsidR="00CC415A">
              <w:rPr>
                <w:noProof/>
                <w:webHidden/>
              </w:rPr>
              <w:t>57</w:t>
            </w:r>
            <w:r w:rsidR="005B4BE3">
              <w:rPr>
                <w:noProof/>
                <w:webHidden/>
              </w:rPr>
              <w:fldChar w:fldCharType="end"/>
            </w:r>
          </w:hyperlink>
        </w:p>
        <w:p w14:paraId="3CB9A310" w14:textId="1B0114AF"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56" w:history="1">
            <w:r w:rsidR="005B4BE3" w:rsidRPr="00B4108A">
              <w:rPr>
                <w:rStyle w:val="Hyperlink"/>
                <w:noProof/>
              </w:rPr>
              <w:t>Table 3.1b: Coverage of contractors and labour hire workers (see Table 2.4a for summary of coverage of workers)</w:t>
            </w:r>
            <w:r w:rsidR="005B4BE3">
              <w:rPr>
                <w:noProof/>
                <w:webHidden/>
              </w:rPr>
              <w:tab/>
            </w:r>
            <w:r w:rsidR="005B4BE3">
              <w:rPr>
                <w:noProof/>
                <w:webHidden/>
              </w:rPr>
              <w:fldChar w:fldCharType="begin"/>
            </w:r>
            <w:r w:rsidR="005B4BE3">
              <w:rPr>
                <w:noProof/>
                <w:webHidden/>
              </w:rPr>
              <w:instrText xml:space="preserve"> PAGEREF _Toc504654656 \h </w:instrText>
            </w:r>
            <w:r w:rsidR="005B4BE3">
              <w:rPr>
                <w:noProof/>
                <w:webHidden/>
              </w:rPr>
            </w:r>
            <w:r w:rsidR="005B4BE3">
              <w:rPr>
                <w:noProof/>
                <w:webHidden/>
              </w:rPr>
              <w:fldChar w:fldCharType="separate"/>
            </w:r>
            <w:r w:rsidR="00CC415A">
              <w:rPr>
                <w:noProof/>
                <w:webHidden/>
              </w:rPr>
              <w:t>59</w:t>
            </w:r>
            <w:r w:rsidR="005B4BE3">
              <w:rPr>
                <w:noProof/>
                <w:webHidden/>
              </w:rPr>
              <w:fldChar w:fldCharType="end"/>
            </w:r>
          </w:hyperlink>
        </w:p>
        <w:p w14:paraId="38B16FC2" w14:textId="73EFB12A"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57" w:history="1">
            <w:r w:rsidR="005B4BE3" w:rsidRPr="00B4108A">
              <w:rPr>
                <w:rStyle w:val="Hyperlink"/>
                <w:noProof/>
              </w:rPr>
              <w:t>Table 3.2: Deemed workers</w:t>
            </w:r>
            <w:r w:rsidR="005B4BE3">
              <w:rPr>
                <w:noProof/>
                <w:webHidden/>
              </w:rPr>
              <w:tab/>
            </w:r>
            <w:r w:rsidR="005B4BE3">
              <w:rPr>
                <w:noProof/>
                <w:webHidden/>
              </w:rPr>
              <w:fldChar w:fldCharType="begin"/>
            </w:r>
            <w:r w:rsidR="005B4BE3">
              <w:rPr>
                <w:noProof/>
                <w:webHidden/>
              </w:rPr>
              <w:instrText xml:space="preserve"> PAGEREF _Toc504654657 \h </w:instrText>
            </w:r>
            <w:r w:rsidR="005B4BE3">
              <w:rPr>
                <w:noProof/>
                <w:webHidden/>
              </w:rPr>
            </w:r>
            <w:r w:rsidR="005B4BE3">
              <w:rPr>
                <w:noProof/>
                <w:webHidden/>
              </w:rPr>
              <w:fldChar w:fldCharType="separate"/>
            </w:r>
            <w:r w:rsidR="00CC415A">
              <w:rPr>
                <w:noProof/>
                <w:webHidden/>
              </w:rPr>
              <w:t>61</w:t>
            </w:r>
            <w:r w:rsidR="005B4BE3">
              <w:rPr>
                <w:noProof/>
                <w:webHidden/>
              </w:rPr>
              <w:fldChar w:fldCharType="end"/>
            </w:r>
          </w:hyperlink>
        </w:p>
        <w:p w14:paraId="0A19423E" w14:textId="705ABABC"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58" w:history="1">
            <w:r w:rsidR="005B4BE3" w:rsidRPr="00B4108A">
              <w:rPr>
                <w:rStyle w:val="Hyperlink"/>
                <w:noProof/>
              </w:rPr>
              <w:t>Table 3.3: Workers’ Compensation coverage for volunteers</w:t>
            </w:r>
            <w:r w:rsidR="005B4BE3">
              <w:rPr>
                <w:noProof/>
                <w:webHidden/>
              </w:rPr>
              <w:tab/>
            </w:r>
            <w:r w:rsidR="005B4BE3">
              <w:rPr>
                <w:noProof/>
                <w:webHidden/>
              </w:rPr>
              <w:fldChar w:fldCharType="begin"/>
            </w:r>
            <w:r w:rsidR="005B4BE3">
              <w:rPr>
                <w:noProof/>
                <w:webHidden/>
              </w:rPr>
              <w:instrText xml:space="preserve"> PAGEREF _Toc504654658 \h </w:instrText>
            </w:r>
            <w:r w:rsidR="005B4BE3">
              <w:rPr>
                <w:noProof/>
                <w:webHidden/>
              </w:rPr>
            </w:r>
            <w:r w:rsidR="005B4BE3">
              <w:rPr>
                <w:noProof/>
                <w:webHidden/>
              </w:rPr>
              <w:fldChar w:fldCharType="separate"/>
            </w:r>
            <w:r w:rsidR="00CC415A">
              <w:rPr>
                <w:noProof/>
                <w:webHidden/>
              </w:rPr>
              <w:t>64</w:t>
            </w:r>
            <w:r w:rsidR="005B4BE3">
              <w:rPr>
                <w:noProof/>
                <w:webHidden/>
              </w:rPr>
              <w:fldChar w:fldCharType="end"/>
            </w:r>
          </w:hyperlink>
        </w:p>
        <w:p w14:paraId="060EF30F" w14:textId="1A190AEE"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59" w:history="1">
            <w:r w:rsidR="005B4BE3" w:rsidRPr="00B4108A">
              <w:rPr>
                <w:rStyle w:val="Hyperlink"/>
                <w:noProof/>
              </w:rPr>
              <w:t>Table 3.4: Treatment of sportspersons and sporting injuries</w:t>
            </w:r>
            <w:r w:rsidR="005B4BE3">
              <w:rPr>
                <w:noProof/>
                <w:webHidden/>
              </w:rPr>
              <w:tab/>
            </w:r>
            <w:r w:rsidR="005B4BE3">
              <w:rPr>
                <w:noProof/>
                <w:webHidden/>
              </w:rPr>
              <w:fldChar w:fldCharType="begin"/>
            </w:r>
            <w:r w:rsidR="005B4BE3">
              <w:rPr>
                <w:noProof/>
                <w:webHidden/>
              </w:rPr>
              <w:instrText xml:space="preserve"> PAGEREF _Toc504654659 \h </w:instrText>
            </w:r>
            <w:r w:rsidR="005B4BE3">
              <w:rPr>
                <w:noProof/>
                <w:webHidden/>
              </w:rPr>
            </w:r>
            <w:r w:rsidR="005B4BE3">
              <w:rPr>
                <w:noProof/>
                <w:webHidden/>
              </w:rPr>
              <w:fldChar w:fldCharType="separate"/>
            </w:r>
            <w:r w:rsidR="00CC415A">
              <w:rPr>
                <w:noProof/>
                <w:webHidden/>
              </w:rPr>
              <w:t>66</w:t>
            </w:r>
            <w:r w:rsidR="005B4BE3">
              <w:rPr>
                <w:noProof/>
                <w:webHidden/>
              </w:rPr>
              <w:fldChar w:fldCharType="end"/>
            </w:r>
          </w:hyperlink>
        </w:p>
        <w:p w14:paraId="068F3236" w14:textId="6EDE1DB6"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60" w:history="1">
            <w:r w:rsidR="005B4BE3" w:rsidRPr="00B4108A">
              <w:rPr>
                <w:rStyle w:val="Hyperlink"/>
                <w:noProof/>
              </w:rPr>
              <w:t>Table 3.5: Workers’ compensation arrangements for government employers</w:t>
            </w:r>
            <w:r w:rsidR="005B4BE3">
              <w:rPr>
                <w:noProof/>
                <w:webHidden/>
              </w:rPr>
              <w:tab/>
            </w:r>
            <w:r w:rsidR="005B4BE3">
              <w:rPr>
                <w:noProof/>
                <w:webHidden/>
              </w:rPr>
              <w:fldChar w:fldCharType="begin"/>
            </w:r>
            <w:r w:rsidR="005B4BE3">
              <w:rPr>
                <w:noProof/>
                <w:webHidden/>
              </w:rPr>
              <w:instrText xml:space="preserve"> PAGEREF _Toc504654660 \h </w:instrText>
            </w:r>
            <w:r w:rsidR="005B4BE3">
              <w:rPr>
                <w:noProof/>
                <w:webHidden/>
              </w:rPr>
            </w:r>
            <w:r w:rsidR="005B4BE3">
              <w:rPr>
                <w:noProof/>
                <w:webHidden/>
              </w:rPr>
              <w:fldChar w:fldCharType="separate"/>
            </w:r>
            <w:r w:rsidR="00CC415A">
              <w:rPr>
                <w:noProof/>
                <w:webHidden/>
              </w:rPr>
              <w:t>68</w:t>
            </w:r>
            <w:r w:rsidR="005B4BE3">
              <w:rPr>
                <w:noProof/>
                <w:webHidden/>
              </w:rPr>
              <w:fldChar w:fldCharType="end"/>
            </w:r>
          </w:hyperlink>
        </w:p>
        <w:p w14:paraId="3E85F817" w14:textId="1B7C6BFB"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61" w:history="1">
            <w:r w:rsidR="005B4BE3" w:rsidRPr="00B4108A">
              <w:rPr>
                <w:rStyle w:val="Hyperlink"/>
                <w:noProof/>
              </w:rPr>
              <w:t>Table 3.6: Workers’ compensation arrangements for judges and members of parliament</w:t>
            </w:r>
            <w:r w:rsidR="005B4BE3">
              <w:rPr>
                <w:noProof/>
                <w:webHidden/>
              </w:rPr>
              <w:tab/>
            </w:r>
            <w:r w:rsidR="005B4BE3">
              <w:rPr>
                <w:noProof/>
                <w:webHidden/>
              </w:rPr>
              <w:fldChar w:fldCharType="begin"/>
            </w:r>
            <w:r w:rsidR="005B4BE3">
              <w:rPr>
                <w:noProof/>
                <w:webHidden/>
              </w:rPr>
              <w:instrText xml:space="preserve"> PAGEREF _Toc504654661 \h </w:instrText>
            </w:r>
            <w:r w:rsidR="005B4BE3">
              <w:rPr>
                <w:noProof/>
                <w:webHidden/>
              </w:rPr>
            </w:r>
            <w:r w:rsidR="005B4BE3">
              <w:rPr>
                <w:noProof/>
                <w:webHidden/>
              </w:rPr>
              <w:fldChar w:fldCharType="separate"/>
            </w:r>
            <w:r w:rsidR="00CC415A">
              <w:rPr>
                <w:noProof/>
                <w:webHidden/>
              </w:rPr>
              <w:t>70</w:t>
            </w:r>
            <w:r w:rsidR="005B4BE3">
              <w:rPr>
                <w:noProof/>
                <w:webHidden/>
              </w:rPr>
              <w:fldChar w:fldCharType="end"/>
            </w:r>
          </w:hyperlink>
        </w:p>
        <w:p w14:paraId="348B6638" w14:textId="775EB67C" w:rsidR="005B4BE3" w:rsidRDefault="00A7538C" w:rsidP="005B4BE3">
          <w:pPr>
            <w:pStyle w:val="TOC1"/>
            <w:rPr>
              <w:rFonts w:asciiTheme="minorHAnsi" w:eastAsiaTheme="minorEastAsia" w:hAnsiTheme="minorHAnsi" w:cstheme="minorBidi"/>
              <w:sz w:val="22"/>
              <w:szCs w:val="22"/>
            </w:rPr>
          </w:pPr>
          <w:hyperlink w:anchor="_Toc504654662" w:history="1">
            <w:r w:rsidR="005B4BE3" w:rsidRPr="00B4108A">
              <w:rPr>
                <w:rStyle w:val="Hyperlink"/>
              </w:rPr>
              <w:t>Coverage of work and injury</w:t>
            </w:r>
            <w:r w:rsidR="005B4BE3">
              <w:rPr>
                <w:webHidden/>
              </w:rPr>
              <w:tab/>
            </w:r>
            <w:r w:rsidR="005B4BE3">
              <w:rPr>
                <w:webHidden/>
              </w:rPr>
              <w:fldChar w:fldCharType="begin"/>
            </w:r>
            <w:r w:rsidR="005B4BE3">
              <w:rPr>
                <w:webHidden/>
              </w:rPr>
              <w:instrText xml:space="preserve"> PAGEREF _Toc504654662 \h </w:instrText>
            </w:r>
            <w:r w:rsidR="005B4BE3">
              <w:rPr>
                <w:webHidden/>
              </w:rPr>
            </w:r>
            <w:r w:rsidR="005B4BE3">
              <w:rPr>
                <w:webHidden/>
              </w:rPr>
              <w:fldChar w:fldCharType="separate"/>
            </w:r>
            <w:r w:rsidR="00CC415A">
              <w:rPr>
                <w:webHidden/>
              </w:rPr>
              <w:t>71</w:t>
            </w:r>
            <w:r w:rsidR="005B4BE3">
              <w:rPr>
                <w:webHidden/>
              </w:rPr>
              <w:fldChar w:fldCharType="end"/>
            </w:r>
          </w:hyperlink>
        </w:p>
        <w:p w14:paraId="62DD4058" w14:textId="0489E958"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63" w:history="1">
            <w:r w:rsidR="005B4BE3" w:rsidRPr="00B4108A">
              <w:rPr>
                <w:rStyle w:val="Hyperlink"/>
                <w:noProof/>
              </w:rPr>
              <w:t>Table 3.7: Industrial deafness thresholds</w:t>
            </w:r>
            <w:r w:rsidR="005B4BE3">
              <w:rPr>
                <w:noProof/>
                <w:webHidden/>
              </w:rPr>
              <w:tab/>
            </w:r>
            <w:r w:rsidR="005B4BE3">
              <w:rPr>
                <w:noProof/>
                <w:webHidden/>
              </w:rPr>
              <w:fldChar w:fldCharType="begin"/>
            </w:r>
            <w:r w:rsidR="005B4BE3">
              <w:rPr>
                <w:noProof/>
                <w:webHidden/>
              </w:rPr>
              <w:instrText xml:space="preserve"> PAGEREF _Toc504654663 \h </w:instrText>
            </w:r>
            <w:r w:rsidR="005B4BE3">
              <w:rPr>
                <w:noProof/>
                <w:webHidden/>
              </w:rPr>
            </w:r>
            <w:r w:rsidR="005B4BE3">
              <w:rPr>
                <w:noProof/>
                <w:webHidden/>
              </w:rPr>
              <w:fldChar w:fldCharType="separate"/>
            </w:r>
            <w:r w:rsidR="00CC415A">
              <w:rPr>
                <w:noProof/>
                <w:webHidden/>
              </w:rPr>
              <w:t>72</w:t>
            </w:r>
            <w:r w:rsidR="005B4BE3">
              <w:rPr>
                <w:noProof/>
                <w:webHidden/>
              </w:rPr>
              <w:fldChar w:fldCharType="end"/>
            </w:r>
          </w:hyperlink>
        </w:p>
        <w:p w14:paraId="5CFA4D2E" w14:textId="2F02B0CB"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64" w:history="1">
            <w:r w:rsidR="005B4BE3" w:rsidRPr="00B4108A">
              <w:rPr>
                <w:rStyle w:val="Hyperlink"/>
                <w:noProof/>
              </w:rPr>
              <w:t>Table 3.8: Definition of work — journeys and breaks</w:t>
            </w:r>
            <w:r w:rsidR="005B4BE3">
              <w:rPr>
                <w:noProof/>
                <w:webHidden/>
              </w:rPr>
              <w:tab/>
            </w:r>
            <w:r w:rsidR="005B4BE3">
              <w:rPr>
                <w:noProof/>
                <w:webHidden/>
              </w:rPr>
              <w:fldChar w:fldCharType="begin"/>
            </w:r>
            <w:r w:rsidR="005B4BE3">
              <w:rPr>
                <w:noProof/>
                <w:webHidden/>
              </w:rPr>
              <w:instrText xml:space="preserve"> PAGEREF _Toc504654664 \h </w:instrText>
            </w:r>
            <w:r w:rsidR="005B4BE3">
              <w:rPr>
                <w:noProof/>
                <w:webHidden/>
              </w:rPr>
            </w:r>
            <w:r w:rsidR="005B4BE3">
              <w:rPr>
                <w:noProof/>
                <w:webHidden/>
              </w:rPr>
              <w:fldChar w:fldCharType="separate"/>
            </w:r>
            <w:r w:rsidR="00CC415A">
              <w:rPr>
                <w:noProof/>
                <w:webHidden/>
              </w:rPr>
              <w:t>73</w:t>
            </w:r>
            <w:r w:rsidR="005B4BE3">
              <w:rPr>
                <w:noProof/>
                <w:webHidden/>
              </w:rPr>
              <w:fldChar w:fldCharType="end"/>
            </w:r>
          </w:hyperlink>
        </w:p>
        <w:p w14:paraId="096FB60E" w14:textId="06F6B2A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65" w:history="1">
            <w:r w:rsidR="005B4BE3" w:rsidRPr="00B4108A">
              <w:rPr>
                <w:rStyle w:val="Hyperlink"/>
                <w:noProof/>
              </w:rPr>
              <w:t>Table 3.9: Definition of injury and relationship to employment — detailed</w:t>
            </w:r>
            <w:r w:rsidR="005B4BE3">
              <w:rPr>
                <w:noProof/>
                <w:webHidden/>
              </w:rPr>
              <w:tab/>
            </w:r>
            <w:r w:rsidR="005B4BE3">
              <w:rPr>
                <w:noProof/>
                <w:webHidden/>
              </w:rPr>
              <w:fldChar w:fldCharType="begin"/>
            </w:r>
            <w:r w:rsidR="005B4BE3">
              <w:rPr>
                <w:noProof/>
                <w:webHidden/>
              </w:rPr>
              <w:instrText xml:space="preserve"> PAGEREF _Toc504654665 \h </w:instrText>
            </w:r>
            <w:r w:rsidR="005B4BE3">
              <w:rPr>
                <w:noProof/>
                <w:webHidden/>
              </w:rPr>
            </w:r>
            <w:r w:rsidR="005B4BE3">
              <w:rPr>
                <w:noProof/>
                <w:webHidden/>
              </w:rPr>
              <w:fldChar w:fldCharType="separate"/>
            </w:r>
            <w:r w:rsidR="00CC415A">
              <w:rPr>
                <w:noProof/>
                <w:webHidden/>
              </w:rPr>
              <w:t>75</w:t>
            </w:r>
            <w:r w:rsidR="005B4BE3">
              <w:rPr>
                <w:noProof/>
                <w:webHidden/>
              </w:rPr>
              <w:fldChar w:fldCharType="end"/>
            </w:r>
          </w:hyperlink>
        </w:p>
        <w:p w14:paraId="1DA7F07C" w14:textId="2502EAB1" w:rsidR="005B4BE3" w:rsidRDefault="00A7538C" w:rsidP="005B4BE3">
          <w:pPr>
            <w:pStyle w:val="TOC1"/>
            <w:rPr>
              <w:rFonts w:asciiTheme="minorHAnsi" w:eastAsiaTheme="minorEastAsia" w:hAnsiTheme="minorHAnsi" w:cstheme="minorBidi"/>
              <w:sz w:val="22"/>
              <w:szCs w:val="22"/>
            </w:rPr>
          </w:pPr>
          <w:hyperlink w:anchor="_Toc504654666" w:history="1">
            <w:r w:rsidR="005B4BE3" w:rsidRPr="00B4108A">
              <w:rPr>
                <w:rStyle w:val="Hyperlink"/>
              </w:rPr>
              <w:t>Permanent Impairment</w:t>
            </w:r>
            <w:r w:rsidR="005B4BE3">
              <w:rPr>
                <w:webHidden/>
              </w:rPr>
              <w:tab/>
            </w:r>
            <w:r w:rsidR="005B4BE3">
              <w:rPr>
                <w:webHidden/>
              </w:rPr>
              <w:fldChar w:fldCharType="begin"/>
            </w:r>
            <w:r w:rsidR="005B4BE3">
              <w:rPr>
                <w:webHidden/>
              </w:rPr>
              <w:instrText xml:space="preserve"> PAGEREF _Toc504654666 \h </w:instrText>
            </w:r>
            <w:r w:rsidR="005B4BE3">
              <w:rPr>
                <w:webHidden/>
              </w:rPr>
            </w:r>
            <w:r w:rsidR="005B4BE3">
              <w:rPr>
                <w:webHidden/>
              </w:rPr>
              <w:fldChar w:fldCharType="separate"/>
            </w:r>
            <w:r w:rsidR="00CC415A">
              <w:rPr>
                <w:webHidden/>
              </w:rPr>
              <w:t>78</w:t>
            </w:r>
            <w:r w:rsidR="005B4BE3">
              <w:rPr>
                <w:webHidden/>
              </w:rPr>
              <w:fldChar w:fldCharType="end"/>
            </w:r>
          </w:hyperlink>
        </w:p>
        <w:p w14:paraId="4EC17DC4" w14:textId="75370D88"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67" w:history="1">
            <w:r w:rsidR="005B4BE3" w:rsidRPr="00B4108A">
              <w:rPr>
                <w:rStyle w:val="Hyperlink"/>
                <w:noProof/>
              </w:rPr>
              <w:t>Table 3.10: Statutory definitions of permanent and impairment and criteria for determining whether impairment is permanent</w:t>
            </w:r>
            <w:r w:rsidR="005B4BE3">
              <w:rPr>
                <w:noProof/>
                <w:webHidden/>
              </w:rPr>
              <w:tab/>
            </w:r>
            <w:r w:rsidR="005B4BE3">
              <w:rPr>
                <w:noProof/>
                <w:webHidden/>
              </w:rPr>
              <w:fldChar w:fldCharType="begin"/>
            </w:r>
            <w:r w:rsidR="005B4BE3">
              <w:rPr>
                <w:noProof/>
                <w:webHidden/>
              </w:rPr>
              <w:instrText xml:space="preserve"> PAGEREF _Toc504654667 \h </w:instrText>
            </w:r>
            <w:r w:rsidR="005B4BE3">
              <w:rPr>
                <w:noProof/>
                <w:webHidden/>
              </w:rPr>
            </w:r>
            <w:r w:rsidR="005B4BE3">
              <w:rPr>
                <w:noProof/>
                <w:webHidden/>
              </w:rPr>
              <w:fldChar w:fldCharType="separate"/>
            </w:r>
            <w:r w:rsidR="00CC415A">
              <w:rPr>
                <w:noProof/>
                <w:webHidden/>
              </w:rPr>
              <w:t>79</w:t>
            </w:r>
            <w:r w:rsidR="005B4BE3">
              <w:rPr>
                <w:noProof/>
                <w:webHidden/>
              </w:rPr>
              <w:fldChar w:fldCharType="end"/>
            </w:r>
          </w:hyperlink>
        </w:p>
        <w:p w14:paraId="7002B54C" w14:textId="39279F82"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68" w:history="1">
            <w:r w:rsidR="005B4BE3" w:rsidRPr="00B4108A">
              <w:rPr>
                <w:rStyle w:val="Hyperlink"/>
                <w:noProof/>
              </w:rPr>
              <w:t>Table 3.11: Permanent impairment guides</w:t>
            </w:r>
            <w:r w:rsidR="005B4BE3">
              <w:rPr>
                <w:noProof/>
                <w:webHidden/>
              </w:rPr>
              <w:tab/>
            </w:r>
            <w:r w:rsidR="005B4BE3">
              <w:rPr>
                <w:noProof/>
                <w:webHidden/>
              </w:rPr>
              <w:fldChar w:fldCharType="begin"/>
            </w:r>
            <w:r w:rsidR="005B4BE3">
              <w:rPr>
                <w:noProof/>
                <w:webHidden/>
              </w:rPr>
              <w:instrText xml:space="preserve"> PAGEREF _Toc504654668 \h </w:instrText>
            </w:r>
            <w:r w:rsidR="005B4BE3">
              <w:rPr>
                <w:noProof/>
                <w:webHidden/>
              </w:rPr>
            </w:r>
            <w:r w:rsidR="005B4BE3">
              <w:rPr>
                <w:noProof/>
                <w:webHidden/>
              </w:rPr>
              <w:fldChar w:fldCharType="separate"/>
            </w:r>
            <w:r w:rsidR="00CC415A">
              <w:rPr>
                <w:noProof/>
                <w:webHidden/>
              </w:rPr>
              <w:t>82</w:t>
            </w:r>
            <w:r w:rsidR="005B4BE3">
              <w:rPr>
                <w:noProof/>
                <w:webHidden/>
              </w:rPr>
              <w:fldChar w:fldCharType="end"/>
            </w:r>
          </w:hyperlink>
        </w:p>
        <w:p w14:paraId="32F2106F" w14:textId="4126CE52"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69" w:history="1">
            <w:r w:rsidR="005B4BE3" w:rsidRPr="00B4108A">
              <w:rPr>
                <w:rStyle w:val="Hyperlink"/>
                <w:noProof/>
              </w:rPr>
              <w:t>Table 3.12: Discounting of prior conditions</w:t>
            </w:r>
            <w:r w:rsidR="005B4BE3">
              <w:rPr>
                <w:noProof/>
                <w:webHidden/>
              </w:rPr>
              <w:tab/>
            </w:r>
            <w:r w:rsidR="005B4BE3">
              <w:rPr>
                <w:noProof/>
                <w:webHidden/>
              </w:rPr>
              <w:fldChar w:fldCharType="begin"/>
            </w:r>
            <w:r w:rsidR="005B4BE3">
              <w:rPr>
                <w:noProof/>
                <w:webHidden/>
              </w:rPr>
              <w:instrText xml:space="preserve"> PAGEREF _Toc504654669 \h </w:instrText>
            </w:r>
            <w:r w:rsidR="005B4BE3">
              <w:rPr>
                <w:noProof/>
                <w:webHidden/>
              </w:rPr>
            </w:r>
            <w:r w:rsidR="005B4BE3">
              <w:rPr>
                <w:noProof/>
                <w:webHidden/>
              </w:rPr>
              <w:fldChar w:fldCharType="separate"/>
            </w:r>
            <w:r w:rsidR="00CC415A">
              <w:rPr>
                <w:noProof/>
                <w:webHidden/>
              </w:rPr>
              <w:t>86</w:t>
            </w:r>
            <w:r w:rsidR="005B4BE3">
              <w:rPr>
                <w:noProof/>
                <w:webHidden/>
              </w:rPr>
              <w:fldChar w:fldCharType="end"/>
            </w:r>
          </w:hyperlink>
        </w:p>
        <w:p w14:paraId="0B6D347D" w14:textId="1B828FB5" w:rsidR="005B4BE3" w:rsidRDefault="00A7538C" w:rsidP="005B4BE3">
          <w:pPr>
            <w:pStyle w:val="TOC1"/>
            <w:rPr>
              <w:rFonts w:asciiTheme="minorHAnsi" w:eastAsiaTheme="minorEastAsia" w:hAnsiTheme="minorHAnsi" w:cstheme="minorBidi"/>
              <w:sz w:val="22"/>
              <w:szCs w:val="22"/>
            </w:rPr>
          </w:pPr>
          <w:hyperlink w:anchor="_Toc504654670" w:history="1">
            <w:r w:rsidR="005B4BE3" w:rsidRPr="00B4108A">
              <w:rPr>
                <w:rStyle w:val="Hyperlink"/>
              </w:rPr>
              <w:t>Exclusionary provisions</w:t>
            </w:r>
            <w:r w:rsidR="005B4BE3">
              <w:rPr>
                <w:webHidden/>
              </w:rPr>
              <w:tab/>
            </w:r>
            <w:r w:rsidR="005B4BE3">
              <w:rPr>
                <w:webHidden/>
              </w:rPr>
              <w:fldChar w:fldCharType="begin"/>
            </w:r>
            <w:r w:rsidR="005B4BE3">
              <w:rPr>
                <w:webHidden/>
              </w:rPr>
              <w:instrText xml:space="preserve"> PAGEREF _Toc504654670 \h </w:instrText>
            </w:r>
            <w:r w:rsidR="005B4BE3">
              <w:rPr>
                <w:webHidden/>
              </w:rPr>
            </w:r>
            <w:r w:rsidR="005B4BE3">
              <w:rPr>
                <w:webHidden/>
              </w:rPr>
              <w:fldChar w:fldCharType="separate"/>
            </w:r>
            <w:r w:rsidR="00CC415A">
              <w:rPr>
                <w:webHidden/>
              </w:rPr>
              <w:t>88</w:t>
            </w:r>
            <w:r w:rsidR="005B4BE3">
              <w:rPr>
                <w:webHidden/>
              </w:rPr>
              <w:fldChar w:fldCharType="end"/>
            </w:r>
          </w:hyperlink>
        </w:p>
        <w:p w14:paraId="778361CB" w14:textId="25A22B69"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71" w:history="1">
            <w:r w:rsidR="005B4BE3" w:rsidRPr="00B4108A">
              <w:rPr>
                <w:rStyle w:val="Hyperlink"/>
                <w:noProof/>
              </w:rPr>
              <w:t>Table 3.13: Exclusionary provisions (general)</w:t>
            </w:r>
            <w:r w:rsidR="005B4BE3">
              <w:rPr>
                <w:noProof/>
                <w:webHidden/>
              </w:rPr>
              <w:tab/>
            </w:r>
            <w:r w:rsidR="005B4BE3">
              <w:rPr>
                <w:noProof/>
                <w:webHidden/>
              </w:rPr>
              <w:fldChar w:fldCharType="begin"/>
            </w:r>
            <w:r w:rsidR="005B4BE3">
              <w:rPr>
                <w:noProof/>
                <w:webHidden/>
              </w:rPr>
              <w:instrText xml:space="preserve"> PAGEREF _Toc504654671 \h </w:instrText>
            </w:r>
            <w:r w:rsidR="005B4BE3">
              <w:rPr>
                <w:noProof/>
                <w:webHidden/>
              </w:rPr>
            </w:r>
            <w:r w:rsidR="005B4BE3">
              <w:rPr>
                <w:noProof/>
                <w:webHidden/>
              </w:rPr>
              <w:fldChar w:fldCharType="separate"/>
            </w:r>
            <w:r w:rsidR="00CC415A">
              <w:rPr>
                <w:noProof/>
                <w:webHidden/>
              </w:rPr>
              <w:t>89</w:t>
            </w:r>
            <w:r w:rsidR="005B4BE3">
              <w:rPr>
                <w:noProof/>
                <w:webHidden/>
              </w:rPr>
              <w:fldChar w:fldCharType="end"/>
            </w:r>
          </w:hyperlink>
        </w:p>
        <w:p w14:paraId="064BA668" w14:textId="77CD1CA6"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72" w:history="1">
            <w:r w:rsidR="005B4BE3" w:rsidRPr="00B4108A">
              <w:rPr>
                <w:rStyle w:val="Hyperlink"/>
                <w:noProof/>
              </w:rPr>
              <w:t>Table 3.14: Exclusionary provisions for psychological injuries</w:t>
            </w:r>
            <w:r w:rsidR="005B4BE3">
              <w:rPr>
                <w:noProof/>
                <w:webHidden/>
              </w:rPr>
              <w:tab/>
            </w:r>
            <w:r w:rsidR="005B4BE3">
              <w:rPr>
                <w:noProof/>
                <w:webHidden/>
              </w:rPr>
              <w:fldChar w:fldCharType="begin"/>
            </w:r>
            <w:r w:rsidR="005B4BE3">
              <w:rPr>
                <w:noProof/>
                <w:webHidden/>
              </w:rPr>
              <w:instrText xml:space="preserve"> PAGEREF _Toc504654672 \h </w:instrText>
            </w:r>
            <w:r w:rsidR="005B4BE3">
              <w:rPr>
                <w:noProof/>
                <w:webHidden/>
              </w:rPr>
            </w:r>
            <w:r w:rsidR="005B4BE3">
              <w:rPr>
                <w:noProof/>
                <w:webHidden/>
              </w:rPr>
              <w:fldChar w:fldCharType="separate"/>
            </w:r>
            <w:r w:rsidR="00CC415A">
              <w:rPr>
                <w:noProof/>
                <w:webHidden/>
              </w:rPr>
              <w:t>92</w:t>
            </w:r>
            <w:r w:rsidR="005B4BE3">
              <w:rPr>
                <w:noProof/>
                <w:webHidden/>
              </w:rPr>
              <w:fldChar w:fldCharType="end"/>
            </w:r>
          </w:hyperlink>
        </w:p>
        <w:p w14:paraId="1F3B886C" w14:textId="557E755F" w:rsidR="005B4BE3" w:rsidRDefault="00A7538C" w:rsidP="005B4BE3">
          <w:pPr>
            <w:pStyle w:val="TOC1"/>
            <w:rPr>
              <w:rFonts w:asciiTheme="minorHAnsi" w:eastAsiaTheme="minorEastAsia" w:hAnsiTheme="minorHAnsi" w:cstheme="minorBidi"/>
              <w:sz w:val="22"/>
              <w:szCs w:val="22"/>
            </w:rPr>
          </w:pPr>
          <w:hyperlink w:anchor="_Toc504654673" w:history="1">
            <w:r w:rsidR="005B4BE3" w:rsidRPr="00B4108A">
              <w:rPr>
                <w:rStyle w:val="Hyperlink"/>
              </w:rPr>
              <w:t>Cross-border provisions</w:t>
            </w:r>
            <w:r w:rsidR="005B4BE3">
              <w:rPr>
                <w:webHidden/>
              </w:rPr>
              <w:tab/>
            </w:r>
            <w:r w:rsidR="005B4BE3">
              <w:rPr>
                <w:webHidden/>
              </w:rPr>
              <w:fldChar w:fldCharType="begin"/>
            </w:r>
            <w:r w:rsidR="005B4BE3">
              <w:rPr>
                <w:webHidden/>
              </w:rPr>
              <w:instrText xml:space="preserve"> PAGEREF _Toc504654673 \h </w:instrText>
            </w:r>
            <w:r w:rsidR="005B4BE3">
              <w:rPr>
                <w:webHidden/>
              </w:rPr>
            </w:r>
            <w:r w:rsidR="005B4BE3">
              <w:rPr>
                <w:webHidden/>
              </w:rPr>
              <w:fldChar w:fldCharType="separate"/>
            </w:r>
            <w:r w:rsidR="00CC415A">
              <w:rPr>
                <w:webHidden/>
              </w:rPr>
              <w:t>96</w:t>
            </w:r>
            <w:r w:rsidR="005B4BE3">
              <w:rPr>
                <w:webHidden/>
              </w:rPr>
              <w:fldChar w:fldCharType="end"/>
            </w:r>
          </w:hyperlink>
        </w:p>
        <w:p w14:paraId="49ED6A41" w14:textId="08848A40"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74" w:history="1">
            <w:r w:rsidR="005B4BE3" w:rsidRPr="00B4108A">
              <w:rPr>
                <w:rStyle w:val="Hyperlink"/>
                <w:noProof/>
              </w:rPr>
              <w:t>Table 3.15: Cross border provisions</w:t>
            </w:r>
            <w:r w:rsidR="005B4BE3">
              <w:rPr>
                <w:noProof/>
                <w:webHidden/>
              </w:rPr>
              <w:tab/>
            </w:r>
            <w:r w:rsidR="005B4BE3">
              <w:rPr>
                <w:noProof/>
                <w:webHidden/>
              </w:rPr>
              <w:fldChar w:fldCharType="begin"/>
            </w:r>
            <w:r w:rsidR="005B4BE3">
              <w:rPr>
                <w:noProof/>
                <w:webHidden/>
              </w:rPr>
              <w:instrText xml:space="preserve"> PAGEREF _Toc504654674 \h </w:instrText>
            </w:r>
            <w:r w:rsidR="005B4BE3">
              <w:rPr>
                <w:noProof/>
                <w:webHidden/>
              </w:rPr>
            </w:r>
            <w:r w:rsidR="005B4BE3">
              <w:rPr>
                <w:noProof/>
                <w:webHidden/>
              </w:rPr>
              <w:fldChar w:fldCharType="separate"/>
            </w:r>
            <w:r w:rsidR="00CC415A">
              <w:rPr>
                <w:noProof/>
                <w:webHidden/>
              </w:rPr>
              <w:t>97</w:t>
            </w:r>
            <w:r w:rsidR="005B4BE3">
              <w:rPr>
                <w:noProof/>
                <w:webHidden/>
              </w:rPr>
              <w:fldChar w:fldCharType="end"/>
            </w:r>
          </w:hyperlink>
        </w:p>
        <w:p w14:paraId="34122358" w14:textId="3B7F6355" w:rsidR="005B4BE3" w:rsidRPr="005B4BE3" w:rsidRDefault="00A7538C" w:rsidP="005B4BE3">
          <w:pPr>
            <w:pStyle w:val="TOC1"/>
            <w:rPr>
              <w:rFonts w:asciiTheme="minorHAnsi" w:eastAsiaTheme="minorEastAsia" w:hAnsiTheme="minorHAnsi" w:cstheme="minorBidi"/>
              <w:sz w:val="22"/>
              <w:szCs w:val="22"/>
            </w:rPr>
          </w:pPr>
          <w:hyperlink w:anchor="_Toc504654675" w:history="1">
            <w:r w:rsidR="005B4BE3" w:rsidRPr="005B4BE3">
              <w:rPr>
                <w:rStyle w:val="Hyperlink"/>
                <w:b/>
              </w:rPr>
              <w:t>Chapter 4:  Benefits</w:t>
            </w:r>
            <w:r w:rsidR="005B4BE3" w:rsidRPr="005B4BE3">
              <w:rPr>
                <w:webHidden/>
              </w:rPr>
              <w:tab/>
            </w:r>
            <w:r w:rsidR="005B4BE3" w:rsidRPr="005B4BE3">
              <w:rPr>
                <w:webHidden/>
              </w:rPr>
              <w:fldChar w:fldCharType="begin"/>
            </w:r>
            <w:r w:rsidR="005B4BE3" w:rsidRPr="005B4BE3">
              <w:rPr>
                <w:webHidden/>
              </w:rPr>
              <w:instrText xml:space="preserve"> PAGEREF _Toc504654675 \h </w:instrText>
            </w:r>
            <w:r w:rsidR="005B4BE3" w:rsidRPr="005B4BE3">
              <w:rPr>
                <w:webHidden/>
              </w:rPr>
            </w:r>
            <w:r w:rsidR="005B4BE3" w:rsidRPr="005B4BE3">
              <w:rPr>
                <w:webHidden/>
              </w:rPr>
              <w:fldChar w:fldCharType="separate"/>
            </w:r>
            <w:r w:rsidR="00CC415A">
              <w:rPr>
                <w:webHidden/>
              </w:rPr>
              <w:t>98</w:t>
            </w:r>
            <w:r w:rsidR="005B4BE3" w:rsidRPr="005B4BE3">
              <w:rPr>
                <w:webHidden/>
              </w:rPr>
              <w:fldChar w:fldCharType="end"/>
            </w:r>
          </w:hyperlink>
        </w:p>
        <w:p w14:paraId="36E2B7BE" w14:textId="449B1567" w:rsidR="005B4BE3" w:rsidRDefault="00A7538C" w:rsidP="005B4BE3">
          <w:pPr>
            <w:pStyle w:val="TOC1"/>
            <w:rPr>
              <w:rFonts w:asciiTheme="minorHAnsi" w:eastAsiaTheme="minorEastAsia" w:hAnsiTheme="minorHAnsi" w:cstheme="minorBidi"/>
              <w:sz w:val="22"/>
              <w:szCs w:val="22"/>
            </w:rPr>
          </w:pPr>
          <w:hyperlink w:anchor="_Toc504654676" w:history="1">
            <w:r w:rsidR="005B4BE3" w:rsidRPr="00B4108A">
              <w:rPr>
                <w:rStyle w:val="Hyperlink"/>
              </w:rPr>
              <w:t>Benefits</w:t>
            </w:r>
            <w:r w:rsidR="005B4BE3">
              <w:rPr>
                <w:webHidden/>
              </w:rPr>
              <w:tab/>
            </w:r>
            <w:r w:rsidR="005B4BE3">
              <w:rPr>
                <w:webHidden/>
              </w:rPr>
              <w:fldChar w:fldCharType="begin"/>
            </w:r>
            <w:r w:rsidR="005B4BE3">
              <w:rPr>
                <w:webHidden/>
              </w:rPr>
              <w:instrText xml:space="preserve"> PAGEREF _Toc504654676 \h </w:instrText>
            </w:r>
            <w:r w:rsidR="005B4BE3">
              <w:rPr>
                <w:webHidden/>
              </w:rPr>
            </w:r>
            <w:r w:rsidR="005B4BE3">
              <w:rPr>
                <w:webHidden/>
              </w:rPr>
              <w:fldChar w:fldCharType="separate"/>
            </w:r>
            <w:r w:rsidR="00CC415A">
              <w:rPr>
                <w:webHidden/>
              </w:rPr>
              <w:t>99</w:t>
            </w:r>
            <w:r w:rsidR="005B4BE3">
              <w:rPr>
                <w:webHidden/>
              </w:rPr>
              <w:fldChar w:fldCharType="end"/>
            </w:r>
          </w:hyperlink>
        </w:p>
        <w:p w14:paraId="32AFC685" w14:textId="3B7CF6F8"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77" w:history="1">
            <w:r w:rsidR="005B4BE3" w:rsidRPr="00B4108A">
              <w:rPr>
                <w:rStyle w:val="Hyperlink"/>
                <w:noProof/>
              </w:rPr>
              <w:t>Table 4.1: Income replacement</w:t>
            </w:r>
            <w:r w:rsidR="005B4BE3">
              <w:rPr>
                <w:noProof/>
                <w:webHidden/>
              </w:rPr>
              <w:tab/>
            </w:r>
            <w:r w:rsidR="005B4BE3">
              <w:rPr>
                <w:noProof/>
                <w:webHidden/>
              </w:rPr>
              <w:fldChar w:fldCharType="begin"/>
            </w:r>
            <w:r w:rsidR="005B4BE3">
              <w:rPr>
                <w:noProof/>
                <w:webHidden/>
              </w:rPr>
              <w:instrText xml:space="preserve"> PAGEREF _Toc504654677 \h </w:instrText>
            </w:r>
            <w:r w:rsidR="005B4BE3">
              <w:rPr>
                <w:noProof/>
                <w:webHidden/>
              </w:rPr>
            </w:r>
            <w:r w:rsidR="005B4BE3">
              <w:rPr>
                <w:noProof/>
                <w:webHidden/>
              </w:rPr>
              <w:fldChar w:fldCharType="separate"/>
            </w:r>
            <w:r w:rsidR="00CC415A">
              <w:rPr>
                <w:noProof/>
                <w:webHidden/>
              </w:rPr>
              <w:t>101</w:t>
            </w:r>
            <w:r w:rsidR="005B4BE3">
              <w:rPr>
                <w:noProof/>
                <w:webHidden/>
              </w:rPr>
              <w:fldChar w:fldCharType="end"/>
            </w:r>
          </w:hyperlink>
        </w:p>
        <w:p w14:paraId="1C5FB5A2" w14:textId="451802CE"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78" w:history="1">
            <w:r w:rsidR="005B4BE3" w:rsidRPr="00B4108A">
              <w:rPr>
                <w:rStyle w:val="Hyperlink"/>
                <w:noProof/>
              </w:rPr>
              <w:t>Table 4.2: Medical, hospital and other costs</w:t>
            </w:r>
            <w:r w:rsidR="005B4BE3">
              <w:rPr>
                <w:noProof/>
                <w:webHidden/>
              </w:rPr>
              <w:tab/>
            </w:r>
            <w:r w:rsidR="005B4BE3">
              <w:rPr>
                <w:noProof/>
                <w:webHidden/>
              </w:rPr>
              <w:fldChar w:fldCharType="begin"/>
            </w:r>
            <w:r w:rsidR="005B4BE3">
              <w:rPr>
                <w:noProof/>
                <w:webHidden/>
              </w:rPr>
              <w:instrText xml:space="preserve"> PAGEREF _Toc504654678 \h </w:instrText>
            </w:r>
            <w:r w:rsidR="005B4BE3">
              <w:rPr>
                <w:noProof/>
                <w:webHidden/>
              </w:rPr>
            </w:r>
            <w:r w:rsidR="005B4BE3">
              <w:rPr>
                <w:noProof/>
                <w:webHidden/>
              </w:rPr>
              <w:fldChar w:fldCharType="separate"/>
            </w:r>
            <w:r w:rsidR="00CC415A">
              <w:rPr>
                <w:noProof/>
                <w:webHidden/>
              </w:rPr>
              <w:t>110</w:t>
            </w:r>
            <w:r w:rsidR="005B4BE3">
              <w:rPr>
                <w:noProof/>
                <w:webHidden/>
              </w:rPr>
              <w:fldChar w:fldCharType="end"/>
            </w:r>
          </w:hyperlink>
        </w:p>
        <w:p w14:paraId="1EC7CF1C" w14:textId="30869210"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79" w:history="1">
            <w:r w:rsidR="005B4BE3" w:rsidRPr="00B4108A">
              <w:rPr>
                <w:rStyle w:val="Hyperlink"/>
                <w:noProof/>
              </w:rPr>
              <w:t>Table 4.3: Permanent impairment payments</w:t>
            </w:r>
            <w:r w:rsidR="005B4BE3">
              <w:rPr>
                <w:noProof/>
                <w:webHidden/>
              </w:rPr>
              <w:tab/>
            </w:r>
            <w:r w:rsidR="005B4BE3">
              <w:rPr>
                <w:noProof/>
                <w:webHidden/>
              </w:rPr>
              <w:fldChar w:fldCharType="begin"/>
            </w:r>
            <w:r w:rsidR="005B4BE3">
              <w:rPr>
                <w:noProof/>
                <w:webHidden/>
              </w:rPr>
              <w:instrText xml:space="preserve"> PAGEREF _Toc504654679 \h </w:instrText>
            </w:r>
            <w:r w:rsidR="005B4BE3">
              <w:rPr>
                <w:noProof/>
                <w:webHidden/>
              </w:rPr>
            </w:r>
            <w:r w:rsidR="005B4BE3">
              <w:rPr>
                <w:noProof/>
                <w:webHidden/>
              </w:rPr>
              <w:fldChar w:fldCharType="separate"/>
            </w:r>
            <w:r w:rsidR="00CC415A">
              <w:rPr>
                <w:noProof/>
                <w:webHidden/>
              </w:rPr>
              <w:t>118</w:t>
            </w:r>
            <w:r w:rsidR="005B4BE3">
              <w:rPr>
                <w:noProof/>
                <w:webHidden/>
              </w:rPr>
              <w:fldChar w:fldCharType="end"/>
            </w:r>
          </w:hyperlink>
        </w:p>
        <w:p w14:paraId="7261350B" w14:textId="68DFA2BC"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80" w:history="1">
            <w:r w:rsidR="005B4BE3" w:rsidRPr="00B4108A">
              <w:rPr>
                <w:rStyle w:val="Hyperlink"/>
                <w:noProof/>
              </w:rPr>
              <w:t>Table 4.4: Death entitlements</w:t>
            </w:r>
            <w:r w:rsidR="005B4BE3">
              <w:rPr>
                <w:noProof/>
                <w:webHidden/>
              </w:rPr>
              <w:tab/>
            </w:r>
            <w:r w:rsidR="005B4BE3">
              <w:rPr>
                <w:noProof/>
                <w:webHidden/>
              </w:rPr>
              <w:fldChar w:fldCharType="begin"/>
            </w:r>
            <w:r w:rsidR="005B4BE3">
              <w:rPr>
                <w:noProof/>
                <w:webHidden/>
              </w:rPr>
              <w:instrText xml:space="preserve"> PAGEREF _Toc504654680 \h </w:instrText>
            </w:r>
            <w:r w:rsidR="005B4BE3">
              <w:rPr>
                <w:noProof/>
                <w:webHidden/>
              </w:rPr>
            </w:r>
            <w:r w:rsidR="005B4BE3">
              <w:rPr>
                <w:noProof/>
                <w:webHidden/>
              </w:rPr>
              <w:fldChar w:fldCharType="separate"/>
            </w:r>
            <w:r w:rsidR="00CC415A">
              <w:rPr>
                <w:noProof/>
                <w:webHidden/>
              </w:rPr>
              <w:t>122</w:t>
            </w:r>
            <w:r w:rsidR="005B4BE3">
              <w:rPr>
                <w:noProof/>
                <w:webHidden/>
              </w:rPr>
              <w:fldChar w:fldCharType="end"/>
            </w:r>
          </w:hyperlink>
        </w:p>
        <w:p w14:paraId="163CD8F7" w14:textId="62686C12"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81" w:history="1">
            <w:r w:rsidR="005B4BE3" w:rsidRPr="00B4108A">
              <w:rPr>
                <w:rStyle w:val="Hyperlink"/>
                <w:noProof/>
              </w:rPr>
              <w:t>Table 4.5: Definitions of dependants/spouse for death benefits</w:t>
            </w:r>
            <w:r w:rsidR="005B4BE3">
              <w:rPr>
                <w:noProof/>
                <w:webHidden/>
              </w:rPr>
              <w:tab/>
            </w:r>
            <w:r w:rsidR="005B4BE3">
              <w:rPr>
                <w:noProof/>
                <w:webHidden/>
              </w:rPr>
              <w:fldChar w:fldCharType="begin"/>
            </w:r>
            <w:r w:rsidR="005B4BE3">
              <w:rPr>
                <w:noProof/>
                <w:webHidden/>
              </w:rPr>
              <w:instrText xml:space="preserve"> PAGEREF _Toc504654681 \h </w:instrText>
            </w:r>
            <w:r w:rsidR="005B4BE3">
              <w:rPr>
                <w:noProof/>
                <w:webHidden/>
              </w:rPr>
            </w:r>
            <w:r w:rsidR="005B4BE3">
              <w:rPr>
                <w:noProof/>
                <w:webHidden/>
              </w:rPr>
              <w:fldChar w:fldCharType="separate"/>
            </w:r>
            <w:r w:rsidR="00CC415A">
              <w:rPr>
                <w:noProof/>
                <w:webHidden/>
              </w:rPr>
              <w:t>124</w:t>
            </w:r>
            <w:r w:rsidR="005B4BE3">
              <w:rPr>
                <w:noProof/>
                <w:webHidden/>
              </w:rPr>
              <w:fldChar w:fldCharType="end"/>
            </w:r>
          </w:hyperlink>
        </w:p>
        <w:p w14:paraId="375C39D9" w14:textId="3D50488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82" w:history="1">
            <w:r w:rsidR="005B4BE3" w:rsidRPr="00B4108A">
              <w:rPr>
                <w:rStyle w:val="Hyperlink"/>
                <w:noProof/>
              </w:rPr>
              <w:t>Table 4.6: Common law provisions</w:t>
            </w:r>
            <w:r w:rsidR="005B4BE3">
              <w:rPr>
                <w:noProof/>
                <w:webHidden/>
              </w:rPr>
              <w:tab/>
            </w:r>
            <w:r w:rsidR="005B4BE3">
              <w:rPr>
                <w:noProof/>
                <w:webHidden/>
              </w:rPr>
              <w:fldChar w:fldCharType="begin"/>
            </w:r>
            <w:r w:rsidR="005B4BE3">
              <w:rPr>
                <w:noProof/>
                <w:webHidden/>
              </w:rPr>
              <w:instrText xml:space="preserve"> PAGEREF _Toc504654682 \h </w:instrText>
            </w:r>
            <w:r w:rsidR="005B4BE3">
              <w:rPr>
                <w:noProof/>
                <w:webHidden/>
              </w:rPr>
            </w:r>
            <w:r w:rsidR="005B4BE3">
              <w:rPr>
                <w:noProof/>
                <w:webHidden/>
              </w:rPr>
              <w:fldChar w:fldCharType="separate"/>
            </w:r>
            <w:r w:rsidR="00CC415A">
              <w:rPr>
                <w:noProof/>
                <w:webHidden/>
              </w:rPr>
              <w:t>131</w:t>
            </w:r>
            <w:r w:rsidR="005B4BE3">
              <w:rPr>
                <w:noProof/>
                <w:webHidden/>
              </w:rPr>
              <w:fldChar w:fldCharType="end"/>
            </w:r>
          </w:hyperlink>
        </w:p>
        <w:p w14:paraId="6824038F" w14:textId="66505B7E"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83" w:history="1">
            <w:r w:rsidR="005B4BE3" w:rsidRPr="00B4108A">
              <w:rPr>
                <w:rStyle w:val="Hyperlink"/>
                <w:noProof/>
              </w:rPr>
              <w:t>Table 4.7: Suspension and cessation of benefits</w:t>
            </w:r>
            <w:r w:rsidR="005B4BE3">
              <w:rPr>
                <w:noProof/>
                <w:webHidden/>
              </w:rPr>
              <w:tab/>
            </w:r>
            <w:r w:rsidR="005B4BE3">
              <w:rPr>
                <w:noProof/>
                <w:webHidden/>
              </w:rPr>
              <w:fldChar w:fldCharType="begin"/>
            </w:r>
            <w:r w:rsidR="005B4BE3">
              <w:rPr>
                <w:noProof/>
                <w:webHidden/>
              </w:rPr>
              <w:instrText xml:space="preserve"> PAGEREF _Toc504654683 \h </w:instrText>
            </w:r>
            <w:r w:rsidR="005B4BE3">
              <w:rPr>
                <w:noProof/>
                <w:webHidden/>
              </w:rPr>
            </w:r>
            <w:r w:rsidR="005B4BE3">
              <w:rPr>
                <w:noProof/>
                <w:webHidden/>
              </w:rPr>
              <w:fldChar w:fldCharType="separate"/>
            </w:r>
            <w:r w:rsidR="00CC415A">
              <w:rPr>
                <w:noProof/>
                <w:webHidden/>
              </w:rPr>
              <w:t>135</w:t>
            </w:r>
            <w:r w:rsidR="005B4BE3">
              <w:rPr>
                <w:noProof/>
                <w:webHidden/>
              </w:rPr>
              <w:fldChar w:fldCharType="end"/>
            </w:r>
          </w:hyperlink>
        </w:p>
        <w:p w14:paraId="48A97AF6" w14:textId="242E329A"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84" w:history="1">
            <w:r w:rsidR="005B4BE3" w:rsidRPr="00B4108A">
              <w:rPr>
                <w:rStyle w:val="Hyperlink"/>
                <w:noProof/>
              </w:rPr>
              <w:t>Table 4.8: Incapacity benefits settlements</w:t>
            </w:r>
            <w:r w:rsidR="005B4BE3">
              <w:rPr>
                <w:noProof/>
                <w:webHidden/>
              </w:rPr>
              <w:tab/>
            </w:r>
            <w:r w:rsidR="005B4BE3">
              <w:rPr>
                <w:noProof/>
                <w:webHidden/>
              </w:rPr>
              <w:fldChar w:fldCharType="begin"/>
            </w:r>
            <w:r w:rsidR="005B4BE3">
              <w:rPr>
                <w:noProof/>
                <w:webHidden/>
              </w:rPr>
              <w:instrText xml:space="preserve"> PAGEREF _Toc504654684 \h </w:instrText>
            </w:r>
            <w:r w:rsidR="005B4BE3">
              <w:rPr>
                <w:noProof/>
                <w:webHidden/>
              </w:rPr>
            </w:r>
            <w:r w:rsidR="005B4BE3">
              <w:rPr>
                <w:noProof/>
                <w:webHidden/>
              </w:rPr>
              <w:fldChar w:fldCharType="separate"/>
            </w:r>
            <w:r w:rsidR="00CC415A">
              <w:rPr>
                <w:noProof/>
                <w:webHidden/>
              </w:rPr>
              <w:t>139</w:t>
            </w:r>
            <w:r w:rsidR="005B4BE3">
              <w:rPr>
                <w:noProof/>
                <w:webHidden/>
              </w:rPr>
              <w:fldChar w:fldCharType="end"/>
            </w:r>
          </w:hyperlink>
        </w:p>
        <w:p w14:paraId="28DF0C6E" w14:textId="495EDED0" w:rsidR="005B4BE3" w:rsidRDefault="00A7538C" w:rsidP="005B4BE3">
          <w:pPr>
            <w:pStyle w:val="TOC1"/>
            <w:rPr>
              <w:rFonts w:asciiTheme="minorHAnsi" w:eastAsiaTheme="minorEastAsia" w:hAnsiTheme="minorHAnsi" w:cstheme="minorBidi"/>
              <w:sz w:val="22"/>
              <w:szCs w:val="22"/>
            </w:rPr>
          </w:pPr>
          <w:hyperlink w:anchor="_Toc504654685" w:history="1">
            <w:r w:rsidR="005B4BE3" w:rsidRPr="005B4BE3">
              <w:rPr>
                <w:rStyle w:val="Hyperlink"/>
                <w:b/>
              </w:rPr>
              <w:t>Chapter 5: Return to work</w:t>
            </w:r>
            <w:r w:rsidR="005B4BE3">
              <w:rPr>
                <w:webHidden/>
              </w:rPr>
              <w:tab/>
            </w:r>
            <w:r w:rsidR="005B4BE3">
              <w:rPr>
                <w:webHidden/>
              </w:rPr>
              <w:fldChar w:fldCharType="begin"/>
            </w:r>
            <w:r w:rsidR="005B4BE3">
              <w:rPr>
                <w:webHidden/>
              </w:rPr>
              <w:instrText xml:space="preserve"> PAGEREF _Toc504654685 \h </w:instrText>
            </w:r>
            <w:r w:rsidR="005B4BE3">
              <w:rPr>
                <w:webHidden/>
              </w:rPr>
            </w:r>
            <w:r w:rsidR="005B4BE3">
              <w:rPr>
                <w:webHidden/>
              </w:rPr>
              <w:fldChar w:fldCharType="separate"/>
            </w:r>
            <w:r w:rsidR="00CC415A">
              <w:rPr>
                <w:webHidden/>
              </w:rPr>
              <w:t>140</w:t>
            </w:r>
            <w:r w:rsidR="005B4BE3">
              <w:rPr>
                <w:webHidden/>
              </w:rPr>
              <w:fldChar w:fldCharType="end"/>
            </w:r>
          </w:hyperlink>
        </w:p>
        <w:p w14:paraId="0FECA25E" w14:textId="15443767" w:rsidR="005B4BE3" w:rsidRDefault="00A7538C" w:rsidP="005B4BE3">
          <w:pPr>
            <w:pStyle w:val="TOC1"/>
            <w:rPr>
              <w:rFonts w:asciiTheme="minorHAnsi" w:eastAsiaTheme="minorEastAsia" w:hAnsiTheme="minorHAnsi" w:cstheme="minorBidi"/>
              <w:sz w:val="22"/>
              <w:szCs w:val="22"/>
            </w:rPr>
          </w:pPr>
          <w:hyperlink w:anchor="_Toc504654686" w:history="1">
            <w:r w:rsidR="005B4BE3" w:rsidRPr="00B4108A">
              <w:rPr>
                <w:rStyle w:val="Hyperlink"/>
              </w:rPr>
              <w:t>Return to work</w:t>
            </w:r>
            <w:r w:rsidR="005B4BE3">
              <w:rPr>
                <w:webHidden/>
              </w:rPr>
              <w:tab/>
            </w:r>
            <w:r w:rsidR="005B4BE3">
              <w:rPr>
                <w:webHidden/>
              </w:rPr>
              <w:fldChar w:fldCharType="begin"/>
            </w:r>
            <w:r w:rsidR="005B4BE3">
              <w:rPr>
                <w:webHidden/>
              </w:rPr>
              <w:instrText xml:space="preserve"> PAGEREF _Toc504654686 \h </w:instrText>
            </w:r>
            <w:r w:rsidR="005B4BE3">
              <w:rPr>
                <w:webHidden/>
              </w:rPr>
            </w:r>
            <w:r w:rsidR="005B4BE3">
              <w:rPr>
                <w:webHidden/>
              </w:rPr>
              <w:fldChar w:fldCharType="separate"/>
            </w:r>
            <w:r w:rsidR="00CC415A">
              <w:rPr>
                <w:webHidden/>
              </w:rPr>
              <w:t>141</w:t>
            </w:r>
            <w:r w:rsidR="005B4BE3">
              <w:rPr>
                <w:webHidden/>
              </w:rPr>
              <w:fldChar w:fldCharType="end"/>
            </w:r>
          </w:hyperlink>
        </w:p>
        <w:p w14:paraId="041DB1CA" w14:textId="74C3FBFB"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87" w:history="1">
            <w:r w:rsidR="005B4BE3" w:rsidRPr="00B4108A">
              <w:rPr>
                <w:rStyle w:val="Hyperlink"/>
                <w:noProof/>
              </w:rPr>
              <w:t>Table 5.1: Sections of workers’ compensation Acts and guidance material relating to return to work</w:t>
            </w:r>
            <w:r w:rsidR="005B4BE3">
              <w:rPr>
                <w:noProof/>
                <w:webHidden/>
              </w:rPr>
              <w:tab/>
            </w:r>
            <w:r w:rsidR="005B4BE3">
              <w:rPr>
                <w:noProof/>
                <w:webHidden/>
              </w:rPr>
              <w:fldChar w:fldCharType="begin"/>
            </w:r>
            <w:r w:rsidR="005B4BE3">
              <w:rPr>
                <w:noProof/>
                <w:webHidden/>
              </w:rPr>
              <w:instrText xml:space="preserve"> PAGEREF _Toc504654687 \h </w:instrText>
            </w:r>
            <w:r w:rsidR="005B4BE3">
              <w:rPr>
                <w:noProof/>
                <w:webHidden/>
              </w:rPr>
            </w:r>
            <w:r w:rsidR="005B4BE3">
              <w:rPr>
                <w:noProof/>
                <w:webHidden/>
              </w:rPr>
              <w:fldChar w:fldCharType="separate"/>
            </w:r>
            <w:r w:rsidR="00CC415A">
              <w:rPr>
                <w:noProof/>
                <w:webHidden/>
              </w:rPr>
              <w:t>142</w:t>
            </w:r>
            <w:r w:rsidR="005B4BE3">
              <w:rPr>
                <w:noProof/>
                <w:webHidden/>
              </w:rPr>
              <w:fldChar w:fldCharType="end"/>
            </w:r>
          </w:hyperlink>
        </w:p>
        <w:p w14:paraId="023A4A5C" w14:textId="0E1FF28F"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88" w:history="1">
            <w:r w:rsidR="005B4BE3" w:rsidRPr="00B4108A">
              <w:rPr>
                <w:rStyle w:val="Hyperlink"/>
                <w:noProof/>
              </w:rPr>
              <w:t>Table 5.2a: Requirement to have a workplace rehabilitation/ return to work program or policy</w:t>
            </w:r>
            <w:r w:rsidR="005B4BE3">
              <w:rPr>
                <w:noProof/>
                <w:webHidden/>
              </w:rPr>
              <w:tab/>
            </w:r>
            <w:r w:rsidR="005B4BE3">
              <w:rPr>
                <w:noProof/>
                <w:webHidden/>
              </w:rPr>
              <w:fldChar w:fldCharType="begin"/>
            </w:r>
            <w:r w:rsidR="005B4BE3">
              <w:rPr>
                <w:noProof/>
                <w:webHidden/>
              </w:rPr>
              <w:instrText xml:space="preserve"> PAGEREF _Toc504654688 \h </w:instrText>
            </w:r>
            <w:r w:rsidR="005B4BE3">
              <w:rPr>
                <w:noProof/>
                <w:webHidden/>
              </w:rPr>
            </w:r>
            <w:r w:rsidR="005B4BE3">
              <w:rPr>
                <w:noProof/>
                <w:webHidden/>
              </w:rPr>
              <w:fldChar w:fldCharType="separate"/>
            </w:r>
            <w:r w:rsidR="00CC415A">
              <w:rPr>
                <w:noProof/>
                <w:webHidden/>
              </w:rPr>
              <w:t>146</w:t>
            </w:r>
            <w:r w:rsidR="005B4BE3">
              <w:rPr>
                <w:noProof/>
                <w:webHidden/>
              </w:rPr>
              <w:fldChar w:fldCharType="end"/>
            </w:r>
          </w:hyperlink>
        </w:p>
        <w:p w14:paraId="114352D6" w14:textId="3A60D22F"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89" w:history="1">
            <w:r w:rsidR="005B4BE3" w:rsidRPr="00B4108A">
              <w:rPr>
                <w:rStyle w:val="Hyperlink"/>
                <w:noProof/>
              </w:rPr>
              <w:t>Table 5.2b: Return to work plans — Individual return to work plans</w:t>
            </w:r>
            <w:r w:rsidR="005B4BE3">
              <w:rPr>
                <w:noProof/>
                <w:webHidden/>
              </w:rPr>
              <w:tab/>
            </w:r>
            <w:r w:rsidR="005B4BE3">
              <w:rPr>
                <w:noProof/>
                <w:webHidden/>
              </w:rPr>
              <w:fldChar w:fldCharType="begin"/>
            </w:r>
            <w:r w:rsidR="005B4BE3">
              <w:rPr>
                <w:noProof/>
                <w:webHidden/>
              </w:rPr>
              <w:instrText xml:space="preserve"> PAGEREF _Toc504654689 \h </w:instrText>
            </w:r>
            <w:r w:rsidR="005B4BE3">
              <w:rPr>
                <w:noProof/>
                <w:webHidden/>
              </w:rPr>
            </w:r>
            <w:r w:rsidR="005B4BE3">
              <w:rPr>
                <w:noProof/>
                <w:webHidden/>
              </w:rPr>
              <w:fldChar w:fldCharType="separate"/>
            </w:r>
            <w:r w:rsidR="00CC415A">
              <w:rPr>
                <w:noProof/>
                <w:webHidden/>
              </w:rPr>
              <w:t>151</w:t>
            </w:r>
            <w:r w:rsidR="005B4BE3">
              <w:rPr>
                <w:noProof/>
                <w:webHidden/>
              </w:rPr>
              <w:fldChar w:fldCharType="end"/>
            </w:r>
          </w:hyperlink>
        </w:p>
        <w:p w14:paraId="5ECDA40C" w14:textId="4A039A25"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90" w:history="1">
            <w:r w:rsidR="005B4BE3" w:rsidRPr="00B4108A">
              <w:rPr>
                <w:rStyle w:val="Hyperlink"/>
                <w:noProof/>
              </w:rPr>
              <w:t>Table 5.2c: Suitable duties</w:t>
            </w:r>
            <w:r w:rsidR="005B4BE3">
              <w:rPr>
                <w:noProof/>
                <w:webHidden/>
              </w:rPr>
              <w:tab/>
            </w:r>
            <w:r w:rsidR="005B4BE3">
              <w:rPr>
                <w:noProof/>
                <w:webHidden/>
              </w:rPr>
              <w:fldChar w:fldCharType="begin"/>
            </w:r>
            <w:r w:rsidR="005B4BE3">
              <w:rPr>
                <w:noProof/>
                <w:webHidden/>
              </w:rPr>
              <w:instrText xml:space="preserve"> PAGEREF _Toc504654690 \h </w:instrText>
            </w:r>
            <w:r w:rsidR="005B4BE3">
              <w:rPr>
                <w:noProof/>
                <w:webHidden/>
              </w:rPr>
            </w:r>
            <w:r w:rsidR="005B4BE3">
              <w:rPr>
                <w:noProof/>
                <w:webHidden/>
              </w:rPr>
              <w:fldChar w:fldCharType="separate"/>
            </w:r>
            <w:r w:rsidR="00CC415A">
              <w:rPr>
                <w:noProof/>
                <w:webHidden/>
              </w:rPr>
              <w:t>156</w:t>
            </w:r>
            <w:r w:rsidR="005B4BE3">
              <w:rPr>
                <w:noProof/>
                <w:webHidden/>
              </w:rPr>
              <w:fldChar w:fldCharType="end"/>
            </w:r>
          </w:hyperlink>
        </w:p>
        <w:p w14:paraId="121B5C12" w14:textId="00733319"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91" w:history="1">
            <w:r w:rsidR="005B4BE3" w:rsidRPr="00B4108A">
              <w:rPr>
                <w:rStyle w:val="Hyperlink"/>
                <w:noProof/>
              </w:rPr>
              <w:t>Table 5.2d: Other requirements of employers</w:t>
            </w:r>
            <w:r w:rsidR="005B4BE3">
              <w:rPr>
                <w:noProof/>
                <w:webHidden/>
              </w:rPr>
              <w:tab/>
            </w:r>
            <w:r w:rsidR="005B4BE3">
              <w:rPr>
                <w:noProof/>
                <w:webHidden/>
              </w:rPr>
              <w:fldChar w:fldCharType="begin"/>
            </w:r>
            <w:r w:rsidR="005B4BE3">
              <w:rPr>
                <w:noProof/>
                <w:webHidden/>
              </w:rPr>
              <w:instrText xml:space="preserve"> PAGEREF _Toc504654691 \h </w:instrText>
            </w:r>
            <w:r w:rsidR="005B4BE3">
              <w:rPr>
                <w:noProof/>
                <w:webHidden/>
              </w:rPr>
            </w:r>
            <w:r w:rsidR="005B4BE3">
              <w:rPr>
                <w:noProof/>
                <w:webHidden/>
              </w:rPr>
              <w:fldChar w:fldCharType="separate"/>
            </w:r>
            <w:r w:rsidR="00CC415A">
              <w:rPr>
                <w:noProof/>
                <w:webHidden/>
              </w:rPr>
              <w:t>162</w:t>
            </w:r>
            <w:r w:rsidR="005B4BE3">
              <w:rPr>
                <w:noProof/>
                <w:webHidden/>
              </w:rPr>
              <w:fldChar w:fldCharType="end"/>
            </w:r>
          </w:hyperlink>
        </w:p>
        <w:p w14:paraId="3EA7CDBF" w14:textId="1CF9D10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92" w:history="1">
            <w:r w:rsidR="005B4BE3" w:rsidRPr="00B4108A">
              <w:rPr>
                <w:rStyle w:val="Hyperlink"/>
                <w:noProof/>
              </w:rPr>
              <w:t>Table 5.3: Responsibilities of workers</w:t>
            </w:r>
            <w:r w:rsidR="005B4BE3">
              <w:rPr>
                <w:noProof/>
                <w:webHidden/>
              </w:rPr>
              <w:tab/>
            </w:r>
            <w:r w:rsidR="005B4BE3">
              <w:rPr>
                <w:noProof/>
                <w:webHidden/>
              </w:rPr>
              <w:fldChar w:fldCharType="begin"/>
            </w:r>
            <w:r w:rsidR="005B4BE3">
              <w:rPr>
                <w:noProof/>
                <w:webHidden/>
              </w:rPr>
              <w:instrText xml:space="preserve"> PAGEREF _Toc504654692 \h </w:instrText>
            </w:r>
            <w:r w:rsidR="005B4BE3">
              <w:rPr>
                <w:noProof/>
                <w:webHidden/>
              </w:rPr>
            </w:r>
            <w:r w:rsidR="005B4BE3">
              <w:rPr>
                <w:noProof/>
                <w:webHidden/>
              </w:rPr>
              <w:fldChar w:fldCharType="separate"/>
            </w:r>
            <w:r w:rsidR="00CC415A">
              <w:rPr>
                <w:noProof/>
                <w:webHidden/>
              </w:rPr>
              <w:t>164</w:t>
            </w:r>
            <w:r w:rsidR="005B4BE3">
              <w:rPr>
                <w:noProof/>
                <w:webHidden/>
              </w:rPr>
              <w:fldChar w:fldCharType="end"/>
            </w:r>
          </w:hyperlink>
        </w:p>
        <w:p w14:paraId="468CDC7F" w14:textId="6A421D4D"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93" w:history="1">
            <w:r w:rsidR="005B4BE3" w:rsidRPr="00B4108A">
              <w:rPr>
                <w:rStyle w:val="Hyperlink"/>
                <w:noProof/>
              </w:rPr>
              <w:t>Table 5.4: Injured worker placement incentives</w:t>
            </w:r>
            <w:r w:rsidR="005B4BE3">
              <w:rPr>
                <w:noProof/>
                <w:webHidden/>
              </w:rPr>
              <w:tab/>
            </w:r>
            <w:r w:rsidR="005B4BE3">
              <w:rPr>
                <w:noProof/>
                <w:webHidden/>
              </w:rPr>
              <w:fldChar w:fldCharType="begin"/>
            </w:r>
            <w:r w:rsidR="005B4BE3">
              <w:rPr>
                <w:noProof/>
                <w:webHidden/>
              </w:rPr>
              <w:instrText xml:space="preserve"> PAGEREF _Toc504654693 \h </w:instrText>
            </w:r>
            <w:r w:rsidR="005B4BE3">
              <w:rPr>
                <w:noProof/>
                <w:webHidden/>
              </w:rPr>
            </w:r>
            <w:r w:rsidR="005B4BE3">
              <w:rPr>
                <w:noProof/>
                <w:webHidden/>
              </w:rPr>
              <w:fldChar w:fldCharType="separate"/>
            </w:r>
            <w:r w:rsidR="00CC415A">
              <w:rPr>
                <w:noProof/>
                <w:webHidden/>
              </w:rPr>
              <w:t>169</w:t>
            </w:r>
            <w:r w:rsidR="005B4BE3">
              <w:rPr>
                <w:noProof/>
                <w:webHidden/>
              </w:rPr>
              <w:fldChar w:fldCharType="end"/>
            </w:r>
          </w:hyperlink>
        </w:p>
        <w:p w14:paraId="24F3D240" w14:textId="0D37F033"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94" w:history="1">
            <w:r w:rsidR="005B4BE3" w:rsidRPr="00B4108A">
              <w:rPr>
                <w:rStyle w:val="Hyperlink"/>
                <w:noProof/>
              </w:rPr>
              <w:t>Table 5.5: Responsibilities of authority/insurer</w:t>
            </w:r>
            <w:r w:rsidR="005B4BE3">
              <w:rPr>
                <w:noProof/>
                <w:webHidden/>
              </w:rPr>
              <w:tab/>
            </w:r>
            <w:r w:rsidR="005B4BE3">
              <w:rPr>
                <w:noProof/>
                <w:webHidden/>
              </w:rPr>
              <w:fldChar w:fldCharType="begin"/>
            </w:r>
            <w:r w:rsidR="005B4BE3">
              <w:rPr>
                <w:noProof/>
                <w:webHidden/>
              </w:rPr>
              <w:instrText xml:space="preserve"> PAGEREF _Toc504654694 \h </w:instrText>
            </w:r>
            <w:r w:rsidR="005B4BE3">
              <w:rPr>
                <w:noProof/>
                <w:webHidden/>
              </w:rPr>
            </w:r>
            <w:r w:rsidR="005B4BE3">
              <w:rPr>
                <w:noProof/>
                <w:webHidden/>
              </w:rPr>
              <w:fldChar w:fldCharType="separate"/>
            </w:r>
            <w:r w:rsidR="00CC415A">
              <w:rPr>
                <w:noProof/>
                <w:webHidden/>
              </w:rPr>
              <w:t>172</w:t>
            </w:r>
            <w:r w:rsidR="005B4BE3">
              <w:rPr>
                <w:noProof/>
                <w:webHidden/>
              </w:rPr>
              <w:fldChar w:fldCharType="end"/>
            </w:r>
          </w:hyperlink>
        </w:p>
        <w:p w14:paraId="38D59A1F" w14:textId="012B4383" w:rsidR="005B4BE3" w:rsidRDefault="00A7538C" w:rsidP="005B4BE3">
          <w:pPr>
            <w:pStyle w:val="TOC1"/>
            <w:rPr>
              <w:rFonts w:asciiTheme="minorHAnsi" w:eastAsiaTheme="minorEastAsia" w:hAnsiTheme="minorHAnsi" w:cstheme="minorBidi"/>
              <w:sz w:val="22"/>
              <w:szCs w:val="22"/>
            </w:rPr>
          </w:pPr>
          <w:hyperlink w:anchor="_Toc504654695" w:history="1">
            <w:r w:rsidR="005B4BE3" w:rsidRPr="00B4108A">
              <w:rPr>
                <w:rStyle w:val="Hyperlink"/>
              </w:rPr>
              <w:t>Functions and training of workplace rehabilitation coordinators</w:t>
            </w:r>
            <w:r w:rsidR="005B4BE3">
              <w:rPr>
                <w:webHidden/>
              </w:rPr>
              <w:tab/>
            </w:r>
            <w:r w:rsidR="005B4BE3">
              <w:rPr>
                <w:webHidden/>
              </w:rPr>
              <w:fldChar w:fldCharType="begin"/>
            </w:r>
            <w:r w:rsidR="005B4BE3">
              <w:rPr>
                <w:webHidden/>
              </w:rPr>
              <w:instrText xml:space="preserve"> PAGEREF _Toc504654695 \h </w:instrText>
            </w:r>
            <w:r w:rsidR="005B4BE3">
              <w:rPr>
                <w:webHidden/>
              </w:rPr>
            </w:r>
            <w:r w:rsidR="005B4BE3">
              <w:rPr>
                <w:webHidden/>
              </w:rPr>
              <w:fldChar w:fldCharType="separate"/>
            </w:r>
            <w:r w:rsidR="00CC415A">
              <w:rPr>
                <w:webHidden/>
              </w:rPr>
              <w:t>174</w:t>
            </w:r>
            <w:r w:rsidR="005B4BE3">
              <w:rPr>
                <w:webHidden/>
              </w:rPr>
              <w:fldChar w:fldCharType="end"/>
            </w:r>
          </w:hyperlink>
        </w:p>
        <w:p w14:paraId="75866BEE" w14:textId="37B54E0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96" w:history="1">
            <w:r w:rsidR="005B4BE3" w:rsidRPr="00B4108A">
              <w:rPr>
                <w:rStyle w:val="Hyperlink"/>
                <w:noProof/>
              </w:rPr>
              <w:t>Table 5.6: Functions and training of workplace rehabilitation coordinators</w:t>
            </w:r>
            <w:r w:rsidR="005B4BE3">
              <w:rPr>
                <w:noProof/>
                <w:webHidden/>
              </w:rPr>
              <w:tab/>
            </w:r>
            <w:r w:rsidR="005B4BE3">
              <w:rPr>
                <w:noProof/>
                <w:webHidden/>
              </w:rPr>
              <w:fldChar w:fldCharType="begin"/>
            </w:r>
            <w:r w:rsidR="005B4BE3">
              <w:rPr>
                <w:noProof/>
                <w:webHidden/>
              </w:rPr>
              <w:instrText xml:space="preserve"> PAGEREF _Toc504654696 \h </w:instrText>
            </w:r>
            <w:r w:rsidR="005B4BE3">
              <w:rPr>
                <w:noProof/>
                <w:webHidden/>
              </w:rPr>
            </w:r>
            <w:r w:rsidR="005B4BE3">
              <w:rPr>
                <w:noProof/>
                <w:webHidden/>
              </w:rPr>
              <w:fldChar w:fldCharType="separate"/>
            </w:r>
            <w:r w:rsidR="00CC415A">
              <w:rPr>
                <w:noProof/>
                <w:webHidden/>
              </w:rPr>
              <w:t>175</w:t>
            </w:r>
            <w:r w:rsidR="005B4BE3">
              <w:rPr>
                <w:noProof/>
                <w:webHidden/>
              </w:rPr>
              <w:fldChar w:fldCharType="end"/>
            </w:r>
          </w:hyperlink>
        </w:p>
        <w:p w14:paraId="40E76D0A" w14:textId="067843DD" w:rsidR="005B4BE3" w:rsidRDefault="00A7538C" w:rsidP="005B4BE3">
          <w:pPr>
            <w:pStyle w:val="TOC1"/>
            <w:rPr>
              <w:rFonts w:asciiTheme="minorHAnsi" w:eastAsiaTheme="minorEastAsia" w:hAnsiTheme="minorHAnsi" w:cstheme="minorBidi"/>
              <w:sz w:val="22"/>
              <w:szCs w:val="22"/>
            </w:rPr>
          </w:pPr>
          <w:hyperlink w:anchor="_Toc504654697" w:history="1">
            <w:r w:rsidR="005B4BE3" w:rsidRPr="00B4108A">
              <w:rPr>
                <w:rStyle w:val="Hyperlink"/>
              </w:rPr>
              <w:t>Workplace rehabilitation providers</w:t>
            </w:r>
            <w:r w:rsidR="005B4BE3">
              <w:rPr>
                <w:webHidden/>
              </w:rPr>
              <w:tab/>
            </w:r>
            <w:r w:rsidR="005B4BE3">
              <w:rPr>
                <w:webHidden/>
              </w:rPr>
              <w:fldChar w:fldCharType="begin"/>
            </w:r>
            <w:r w:rsidR="005B4BE3">
              <w:rPr>
                <w:webHidden/>
              </w:rPr>
              <w:instrText xml:space="preserve"> PAGEREF _Toc504654697 \h </w:instrText>
            </w:r>
            <w:r w:rsidR="005B4BE3">
              <w:rPr>
                <w:webHidden/>
              </w:rPr>
            </w:r>
            <w:r w:rsidR="005B4BE3">
              <w:rPr>
                <w:webHidden/>
              </w:rPr>
              <w:fldChar w:fldCharType="separate"/>
            </w:r>
            <w:r w:rsidR="00CC415A">
              <w:rPr>
                <w:webHidden/>
              </w:rPr>
              <w:t>180</w:t>
            </w:r>
            <w:r w:rsidR="005B4BE3">
              <w:rPr>
                <w:webHidden/>
              </w:rPr>
              <w:fldChar w:fldCharType="end"/>
            </w:r>
          </w:hyperlink>
        </w:p>
        <w:p w14:paraId="094F01E9" w14:textId="5E8EBCCC"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98" w:history="1">
            <w:r w:rsidR="005B4BE3" w:rsidRPr="00B4108A">
              <w:rPr>
                <w:rStyle w:val="Hyperlink"/>
                <w:noProof/>
              </w:rPr>
              <w:t>Table 5.7a: Responsibilities of workplace rehabilitation provider</w:t>
            </w:r>
            <w:r w:rsidR="005B4BE3">
              <w:rPr>
                <w:noProof/>
                <w:webHidden/>
              </w:rPr>
              <w:tab/>
            </w:r>
            <w:r w:rsidR="005B4BE3">
              <w:rPr>
                <w:noProof/>
                <w:webHidden/>
              </w:rPr>
              <w:fldChar w:fldCharType="begin"/>
            </w:r>
            <w:r w:rsidR="005B4BE3">
              <w:rPr>
                <w:noProof/>
                <w:webHidden/>
              </w:rPr>
              <w:instrText xml:space="preserve"> PAGEREF _Toc504654698 \h </w:instrText>
            </w:r>
            <w:r w:rsidR="005B4BE3">
              <w:rPr>
                <w:noProof/>
                <w:webHidden/>
              </w:rPr>
            </w:r>
            <w:r w:rsidR="005B4BE3">
              <w:rPr>
                <w:noProof/>
                <w:webHidden/>
              </w:rPr>
              <w:fldChar w:fldCharType="separate"/>
            </w:r>
            <w:r w:rsidR="00CC415A">
              <w:rPr>
                <w:noProof/>
                <w:webHidden/>
              </w:rPr>
              <w:t>181</w:t>
            </w:r>
            <w:r w:rsidR="005B4BE3">
              <w:rPr>
                <w:noProof/>
                <w:webHidden/>
              </w:rPr>
              <w:fldChar w:fldCharType="end"/>
            </w:r>
          </w:hyperlink>
        </w:p>
        <w:p w14:paraId="370902FD" w14:textId="44A993AF"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699" w:history="1">
            <w:r w:rsidR="005B4BE3" w:rsidRPr="00B4108A">
              <w:rPr>
                <w:rStyle w:val="Hyperlink"/>
                <w:noProof/>
              </w:rPr>
              <w:t>Table 5.7b: Rehabilitation provider qualifications and fee structure</w:t>
            </w:r>
            <w:r w:rsidR="005B4BE3">
              <w:rPr>
                <w:noProof/>
                <w:webHidden/>
              </w:rPr>
              <w:tab/>
            </w:r>
            <w:r w:rsidR="005B4BE3">
              <w:rPr>
                <w:noProof/>
                <w:webHidden/>
              </w:rPr>
              <w:fldChar w:fldCharType="begin"/>
            </w:r>
            <w:r w:rsidR="005B4BE3">
              <w:rPr>
                <w:noProof/>
                <w:webHidden/>
              </w:rPr>
              <w:instrText xml:space="preserve"> PAGEREF _Toc504654699 \h </w:instrText>
            </w:r>
            <w:r w:rsidR="005B4BE3">
              <w:rPr>
                <w:noProof/>
                <w:webHidden/>
              </w:rPr>
            </w:r>
            <w:r w:rsidR="005B4BE3">
              <w:rPr>
                <w:noProof/>
                <w:webHidden/>
              </w:rPr>
              <w:fldChar w:fldCharType="separate"/>
            </w:r>
            <w:r w:rsidR="00CC415A">
              <w:rPr>
                <w:noProof/>
                <w:webHidden/>
              </w:rPr>
              <w:t>184</w:t>
            </w:r>
            <w:r w:rsidR="005B4BE3">
              <w:rPr>
                <w:noProof/>
                <w:webHidden/>
              </w:rPr>
              <w:fldChar w:fldCharType="end"/>
            </w:r>
          </w:hyperlink>
        </w:p>
        <w:p w14:paraId="6FC4785A" w14:textId="7FD8C923"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00" w:history="1">
            <w:r w:rsidR="005B4BE3" w:rsidRPr="00B4108A">
              <w:rPr>
                <w:rStyle w:val="Hyperlink"/>
                <w:noProof/>
              </w:rPr>
              <w:t>Table 5.8: Prescribed time periods to establish a return to work plan</w:t>
            </w:r>
            <w:r w:rsidR="005B4BE3">
              <w:rPr>
                <w:noProof/>
                <w:webHidden/>
              </w:rPr>
              <w:tab/>
            </w:r>
            <w:r w:rsidR="005B4BE3">
              <w:rPr>
                <w:noProof/>
                <w:webHidden/>
              </w:rPr>
              <w:fldChar w:fldCharType="begin"/>
            </w:r>
            <w:r w:rsidR="005B4BE3">
              <w:rPr>
                <w:noProof/>
                <w:webHidden/>
              </w:rPr>
              <w:instrText xml:space="preserve"> PAGEREF _Toc504654700 \h </w:instrText>
            </w:r>
            <w:r w:rsidR="005B4BE3">
              <w:rPr>
                <w:noProof/>
                <w:webHidden/>
              </w:rPr>
            </w:r>
            <w:r w:rsidR="005B4BE3">
              <w:rPr>
                <w:noProof/>
                <w:webHidden/>
              </w:rPr>
              <w:fldChar w:fldCharType="separate"/>
            </w:r>
            <w:r w:rsidR="00CC415A">
              <w:rPr>
                <w:noProof/>
                <w:webHidden/>
              </w:rPr>
              <w:t>185</w:t>
            </w:r>
            <w:r w:rsidR="005B4BE3">
              <w:rPr>
                <w:noProof/>
                <w:webHidden/>
              </w:rPr>
              <w:fldChar w:fldCharType="end"/>
            </w:r>
          </w:hyperlink>
        </w:p>
        <w:p w14:paraId="5F4A09BB" w14:textId="0DBEC33C" w:rsidR="005B4BE3" w:rsidRDefault="00A7538C" w:rsidP="005B4BE3">
          <w:pPr>
            <w:pStyle w:val="TOC1"/>
            <w:rPr>
              <w:rFonts w:asciiTheme="minorHAnsi" w:eastAsiaTheme="minorEastAsia" w:hAnsiTheme="minorHAnsi" w:cstheme="minorBidi"/>
              <w:sz w:val="22"/>
              <w:szCs w:val="22"/>
            </w:rPr>
          </w:pPr>
          <w:hyperlink w:anchor="_Toc504654701" w:history="1">
            <w:r w:rsidR="005B4BE3" w:rsidRPr="005B4BE3">
              <w:rPr>
                <w:rStyle w:val="Hyperlink"/>
                <w:b/>
              </w:rPr>
              <w:t>Chapter</w:t>
            </w:r>
            <w:r w:rsidR="005B4BE3" w:rsidRPr="005B4BE3">
              <w:rPr>
                <w:rStyle w:val="Hyperlink"/>
                <w:b/>
                <w:bCs/>
              </w:rPr>
              <w:t xml:space="preserve"> 6: Self-insurer arrangements</w:t>
            </w:r>
            <w:r w:rsidR="005B4BE3">
              <w:rPr>
                <w:webHidden/>
              </w:rPr>
              <w:tab/>
            </w:r>
            <w:r w:rsidR="005B4BE3">
              <w:rPr>
                <w:webHidden/>
              </w:rPr>
              <w:fldChar w:fldCharType="begin"/>
            </w:r>
            <w:r w:rsidR="005B4BE3">
              <w:rPr>
                <w:webHidden/>
              </w:rPr>
              <w:instrText xml:space="preserve"> PAGEREF _Toc504654701 \h </w:instrText>
            </w:r>
            <w:r w:rsidR="005B4BE3">
              <w:rPr>
                <w:webHidden/>
              </w:rPr>
            </w:r>
            <w:r w:rsidR="005B4BE3">
              <w:rPr>
                <w:webHidden/>
              </w:rPr>
              <w:fldChar w:fldCharType="separate"/>
            </w:r>
            <w:r w:rsidR="00CC415A">
              <w:rPr>
                <w:webHidden/>
              </w:rPr>
              <w:t>186</w:t>
            </w:r>
            <w:r w:rsidR="005B4BE3">
              <w:rPr>
                <w:webHidden/>
              </w:rPr>
              <w:fldChar w:fldCharType="end"/>
            </w:r>
          </w:hyperlink>
        </w:p>
        <w:p w14:paraId="366440A6" w14:textId="6064615E" w:rsidR="005B4BE3" w:rsidRDefault="00A7538C" w:rsidP="005B4BE3">
          <w:pPr>
            <w:pStyle w:val="TOC1"/>
            <w:rPr>
              <w:rFonts w:asciiTheme="minorHAnsi" w:eastAsiaTheme="minorEastAsia" w:hAnsiTheme="minorHAnsi" w:cstheme="minorBidi"/>
              <w:sz w:val="22"/>
              <w:szCs w:val="22"/>
            </w:rPr>
          </w:pPr>
          <w:hyperlink w:anchor="_Toc504654702" w:history="1">
            <w:r w:rsidR="005B4BE3" w:rsidRPr="00B4108A">
              <w:rPr>
                <w:rStyle w:val="Hyperlink"/>
              </w:rPr>
              <w:t>Self-insurers</w:t>
            </w:r>
            <w:r w:rsidR="005B4BE3">
              <w:rPr>
                <w:webHidden/>
              </w:rPr>
              <w:tab/>
            </w:r>
            <w:r w:rsidR="005B4BE3">
              <w:rPr>
                <w:webHidden/>
              </w:rPr>
              <w:fldChar w:fldCharType="begin"/>
            </w:r>
            <w:r w:rsidR="005B4BE3">
              <w:rPr>
                <w:webHidden/>
              </w:rPr>
              <w:instrText xml:space="preserve"> PAGEREF _Toc504654702 \h </w:instrText>
            </w:r>
            <w:r w:rsidR="005B4BE3">
              <w:rPr>
                <w:webHidden/>
              </w:rPr>
            </w:r>
            <w:r w:rsidR="005B4BE3">
              <w:rPr>
                <w:webHidden/>
              </w:rPr>
              <w:fldChar w:fldCharType="separate"/>
            </w:r>
            <w:r w:rsidR="00CC415A">
              <w:rPr>
                <w:webHidden/>
              </w:rPr>
              <w:t>187</w:t>
            </w:r>
            <w:r w:rsidR="005B4BE3">
              <w:rPr>
                <w:webHidden/>
              </w:rPr>
              <w:fldChar w:fldCharType="end"/>
            </w:r>
          </w:hyperlink>
        </w:p>
        <w:p w14:paraId="3F10E17E" w14:textId="04CF5126"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03" w:history="1">
            <w:r w:rsidR="005B4BE3" w:rsidRPr="00B4108A">
              <w:rPr>
                <w:rStyle w:val="Hyperlink"/>
                <w:noProof/>
              </w:rPr>
              <w:t>Table 6.1: Workers’ compensation and self-insurance coverage</w:t>
            </w:r>
            <w:r w:rsidR="005B4BE3">
              <w:rPr>
                <w:noProof/>
                <w:webHidden/>
              </w:rPr>
              <w:tab/>
            </w:r>
            <w:r w:rsidR="005B4BE3">
              <w:rPr>
                <w:noProof/>
                <w:webHidden/>
              </w:rPr>
              <w:fldChar w:fldCharType="begin"/>
            </w:r>
            <w:r w:rsidR="005B4BE3">
              <w:rPr>
                <w:noProof/>
                <w:webHidden/>
              </w:rPr>
              <w:instrText xml:space="preserve"> PAGEREF _Toc504654703 \h </w:instrText>
            </w:r>
            <w:r w:rsidR="005B4BE3">
              <w:rPr>
                <w:noProof/>
                <w:webHidden/>
              </w:rPr>
            </w:r>
            <w:r w:rsidR="005B4BE3">
              <w:rPr>
                <w:noProof/>
                <w:webHidden/>
              </w:rPr>
              <w:fldChar w:fldCharType="separate"/>
            </w:r>
            <w:r w:rsidR="00CC415A">
              <w:rPr>
                <w:noProof/>
                <w:webHidden/>
              </w:rPr>
              <w:t>188</w:t>
            </w:r>
            <w:r w:rsidR="005B4BE3">
              <w:rPr>
                <w:noProof/>
                <w:webHidden/>
              </w:rPr>
              <w:fldChar w:fldCharType="end"/>
            </w:r>
          </w:hyperlink>
        </w:p>
        <w:p w14:paraId="05A779AA" w14:textId="53E3DD66"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04" w:history="1">
            <w:r w:rsidR="005B4BE3" w:rsidRPr="00B4108A">
              <w:rPr>
                <w:rStyle w:val="Hyperlink"/>
                <w:noProof/>
              </w:rPr>
              <w:t>Table 6.2: Criteria for becoming a self-insurer</w:t>
            </w:r>
            <w:r w:rsidR="005B4BE3">
              <w:rPr>
                <w:noProof/>
                <w:webHidden/>
              </w:rPr>
              <w:tab/>
            </w:r>
            <w:r w:rsidR="005B4BE3">
              <w:rPr>
                <w:noProof/>
                <w:webHidden/>
              </w:rPr>
              <w:fldChar w:fldCharType="begin"/>
            </w:r>
            <w:r w:rsidR="005B4BE3">
              <w:rPr>
                <w:noProof/>
                <w:webHidden/>
              </w:rPr>
              <w:instrText xml:space="preserve"> PAGEREF _Toc504654704 \h </w:instrText>
            </w:r>
            <w:r w:rsidR="005B4BE3">
              <w:rPr>
                <w:noProof/>
                <w:webHidden/>
              </w:rPr>
            </w:r>
            <w:r w:rsidR="005B4BE3">
              <w:rPr>
                <w:noProof/>
                <w:webHidden/>
              </w:rPr>
              <w:fldChar w:fldCharType="separate"/>
            </w:r>
            <w:r w:rsidR="00CC415A">
              <w:rPr>
                <w:noProof/>
                <w:webHidden/>
              </w:rPr>
              <w:t>189</w:t>
            </w:r>
            <w:r w:rsidR="005B4BE3">
              <w:rPr>
                <w:noProof/>
                <w:webHidden/>
              </w:rPr>
              <w:fldChar w:fldCharType="end"/>
            </w:r>
          </w:hyperlink>
        </w:p>
        <w:p w14:paraId="04F32EE6" w14:textId="48E87787"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05" w:history="1">
            <w:r w:rsidR="005B4BE3" w:rsidRPr="00B4108A">
              <w:rPr>
                <w:rStyle w:val="Hyperlink"/>
                <w:noProof/>
              </w:rPr>
              <w:t>Table 6.3: Approval process, application and ongoing costs and duration of licence</w:t>
            </w:r>
            <w:r w:rsidR="005B4BE3">
              <w:rPr>
                <w:noProof/>
                <w:webHidden/>
              </w:rPr>
              <w:tab/>
            </w:r>
            <w:r w:rsidR="005B4BE3">
              <w:rPr>
                <w:noProof/>
                <w:webHidden/>
              </w:rPr>
              <w:fldChar w:fldCharType="begin"/>
            </w:r>
            <w:r w:rsidR="005B4BE3">
              <w:rPr>
                <w:noProof/>
                <w:webHidden/>
              </w:rPr>
              <w:instrText xml:space="preserve"> PAGEREF _Toc504654705 \h </w:instrText>
            </w:r>
            <w:r w:rsidR="005B4BE3">
              <w:rPr>
                <w:noProof/>
                <w:webHidden/>
              </w:rPr>
            </w:r>
            <w:r w:rsidR="005B4BE3">
              <w:rPr>
                <w:noProof/>
                <w:webHidden/>
              </w:rPr>
              <w:fldChar w:fldCharType="separate"/>
            </w:r>
            <w:r w:rsidR="00CC415A">
              <w:rPr>
                <w:noProof/>
                <w:webHidden/>
              </w:rPr>
              <w:t>192</w:t>
            </w:r>
            <w:r w:rsidR="005B4BE3">
              <w:rPr>
                <w:noProof/>
                <w:webHidden/>
              </w:rPr>
              <w:fldChar w:fldCharType="end"/>
            </w:r>
          </w:hyperlink>
        </w:p>
        <w:p w14:paraId="005AF39E" w14:textId="2E5F207E" w:rsidR="005B4BE3" w:rsidRDefault="00A7538C" w:rsidP="005B4BE3">
          <w:pPr>
            <w:pStyle w:val="TOC1"/>
            <w:rPr>
              <w:rFonts w:asciiTheme="minorHAnsi" w:eastAsiaTheme="minorEastAsia" w:hAnsiTheme="minorHAnsi" w:cstheme="minorBidi"/>
              <w:sz w:val="22"/>
              <w:szCs w:val="22"/>
            </w:rPr>
          </w:pPr>
          <w:hyperlink w:anchor="_Toc504654706" w:history="1">
            <w:r w:rsidR="005B4BE3" w:rsidRPr="00B4108A">
              <w:rPr>
                <w:rStyle w:val="Hyperlink"/>
              </w:rPr>
              <w:t>Ongoing requirements</w:t>
            </w:r>
            <w:r w:rsidR="005B4BE3">
              <w:rPr>
                <w:webHidden/>
              </w:rPr>
              <w:tab/>
            </w:r>
            <w:r w:rsidR="005B4BE3">
              <w:rPr>
                <w:webHidden/>
              </w:rPr>
              <w:fldChar w:fldCharType="begin"/>
            </w:r>
            <w:r w:rsidR="005B4BE3">
              <w:rPr>
                <w:webHidden/>
              </w:rPr>
              <w:instrText xml:space="preserve"> PAGEREF _Toc504654706 \h </w:instrText>
            </w:r>
            <w:r w:rsidR="005B4BE3">
              <w:rPr>
                <w:webHidden/>
              </w:rPr>
            </w:r>
            <w:r w:rsidR="005B4BE3">
              <w:rPr>
                <w:webHidden/>
              </w:rPr>
              <w:fldChar w:fldCharType="separate"/>
            </w:r>
            <w:r w:rsidR="00CC415A">
              <w:rPr>
                <w:webHidden/>
              </w:rPr>
              <w:t>195</w:t>
            </w:r>
            <w:r w:rsidR="005B4BE3">
              <w:rPr>
                <w:webHidden/>
              </w:rPr>
              <w:fldChar w:fldCharType="end"/>
            </w:r>
          </w:hyperlink>
        </w:p>
        <w:p w14:paraId="3C40A181" w14:textId="78BC4CF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07" w:history="1">
            <w:r w:rsidR="005B4BE3" w:rsidRPr="00B4108A">
              <w:rPr>
                <w:rStyle w:val="Hyperlink"/>
                <w:noProof/>
              </w:rPr>
              <w:t>Table 6.4: Work health and safety requirements and auditing</w:t>
            </w:r>
            <w:r w:rsidR="005B4BE3">
              <w:rPr>
                <w:noProof/>
                <w:webHidden/>
              </w:rPr>
              <w:tab/>
            </w:r>
            <w:r w:rsidR="005B4BE3">
              <w:rPr>
                <w:noProof/>
                <w:webHidden/>
              </w:rPr>
              <w:fldChar w:fldCharType="begin"/>
            </w:r>
            <w:r w:rsidR="005B4BE3">
              <w:rPr>
                <w:noProof/>
                <w:webHidden/>
              </w:rPr>
              <w:instrText xml:space="preserve"> PAGEREF _Toc504654707 \h </w:instrText>
            </w:r>
            <w:r w:rsidR="005B4BE3">
              <w:rPr>
                <w:noProof/>
                <w:webHidden/>
              </w:rPr>
            </w:r>
            <w:r w:rsidR="005B4BE3">
              <w:rPr>
                <w:noProof/>
                <w:webHidden/>
              </w:rPr>
              <w:fldChar w:fldCharType="separate"/>
            </w:r>
            <w:r w:rsidR="00CC415A">
              <w:rPr>
                <w:noProof/>
                <w:webHidden/>
              </w:rPr>
              <w:t>196</w:t>
            </w:r>
            <w:r w:rsidR="005B4BE3">
              <w:rPr>
                <w:noProof/>
                <w:webHidden/>
              </w:rPr>
              <w:fldChar w:fldCharType="end"/>
            </w:r>
          </w:hyperlink>
        </w:p>
        <w:p w14:paraId="1680B90B" w14:textId="42ADA97F"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08" w:history="1">
            <w:r w:rsidR="005B4BE3" w:rsidRPr="00B4108A">
              <w:rPr>
                <w:rStyle w:val="Hyperlink"/>
                <w:noProof/>
              </w:rPr>
              <w:t>Table 6.5: Bank guarantees/prudential margins and excess of loss requirements</w:t>
            </w:r>
            <w:r w:rsidR="005B4BE3">
              <w:rPr>
                <w:noProof/>
                <w:webHidden/>
              </w:rPr>
              <w:tab/>
            </w:r>
            <w:r w:rsidR="005B4BE3">
              <w:rPr>
                <w:noProof/>
                <w:webHidden/>
              </w:rPr>
              <w:fldChar w:fldCharType="begin"/>
            </w:r>
            <w:r w:rsidR="005B4BE3">
              <w:rPr>
                <w:noProof/>
                <w:webHidden/>
              </w:rPr>
              <w:instrText xml:space="preserve"> PAGEREF _Toc504654708 \h </w:instrText>
            </w:r>
            <w:r w:rsidR="005B4BE3">
              <w:rPr>
                <w:noProof/>
                <w:webHidden/>
              </w:rPr>
            </w:r>
            <w:r w:rsidR="005B4BE3">
              <w:rPr>
                <w:noProof/>
                <w:webHidden/>
              </w:rPr>
              <w:fldChar w:fldCharType="separate"/>
            </w:r>
            <w:r w:rsidR="00CC415A">
              <w:rPr>
                <w:noProof/>
                <w:webHidden/>
              </w:rPr>
              <w:t>198</w:t>
            </w:r>
            <w:r w:rsidR="005B4BE3">
              <w:rPr>
                <w:noProof/>
                <w:webHidden/>
              </w:rPr>
              <w:fldChar w:fldCharType="end"/>
            </w:r>
          </w:hyperlink>
        </w:p>
        <w:p w14:paraId="6347A16D" w14:textId="75C2DF04"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09" w:history="1">
            <w:r w:rsidR="005B4BE3" w:rsidRPr="00B4108A">
              <w:rPr>
                <w:rStyle w:val="Hyperlink"/>
                <w:noProof/>
              </w:rPr>
              <w:t>Table 6.6: Self-insurance restraints on company structure</w:t>
            </w:r>
            <w:r w:rsidR="005B4BE3">
              <w:rPr>
                <w:noProof/>
                <w:webHidden/>
              </w:rPr>
              <w:tab/>
            </w:r>
            <w:r w:rsidR="005B4BE3">
              <w:rPr>
                <w:noProof/>
                <w:webHidden/>
              </w:rPr>
              <w:fldChar w:fldCharType="begin"/>
            </w:r>
            <w:r w:rsidR="005B4BE3">
              <w:rPr>
                <w:noProof/>
                <w:webHidden/>
              </w:rPr>
              <w:instrText xml:space="preserve"> PAGEREF _Toc504654709 \h </w:instrText>
            </w:r>
            <w:r w:rsidR="005B4BE3">
              <w:rPr>
                <w:noProof/>
                <w:webHidden/>
              </w:rPr>
            </w:r>
            <w:r w:rsidR="005B4BE3">
              <w:rPr>
                <w:noProof/>
                <w:webHidden/>
              </w:rPr>
              <w:fldChar w:fldCharType="separate"/>
            </w:r>
            <w:r w:rsidR="00CC415A">
              <w:rPr>
                <w:noProof/>
                <w:webHidden/>
              </w:rPr>
              <w:t>200</w:t>
            </w:r>
            <w:r w:rsidR="005B4BE3">
              <w:rPr>
                <w:noProof/>
                <w:webHidden/>
              </w:rPr>
              <w:fldChar w:fldCharType="end"/>
            </w:r>
          </w:hyperlink>
        </w:p>
        <w:p w14:paraId="4E08C8E9" w14:textId="5D1C3CE3"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10" w:history="1">
            <w:r w:rsidR="005B4BE3" w:rsidRPr="00B4108A">
              <w:rPr>
                <w:rStyle w:val="Hyperlink"/>
                <w:noProof/>
              </w:rPr>
              <w:t>Table 6.7: Outsourcing of Case Management</w:t>
            </w:r>
            <w:r w:rsidR="005B4BE3">
              <w:rPr>
                <w:noProof/>
                <w:webHidden/>
              </w:rPr>
              <w:tab/>
            </w:r>
            <w:r w:rsidR="005B4BE3">
              <w:rPr>
                <w:noProof/>
                <w:webHidden/>
              </w:rPr>
              <w:fldChar w:fldCharType="begin"/>
            </w:r>
            <w:r w:rsidR="005B4BE3">
              <w:rPr>
                <w:noProof/>
                <w:webHidden/>
              </w:rPr>
              <w:instrText xml:space="preserve"> PAGEREF _Toc504654710 \h </w:instrText>
            </w:r>
            <w:r w:rsidR="005B4BE3">
              <w:rPr>
                <w:noProof/>
                <w:webHidden/>
              </w:rPr>
            </w:r>
            <w:r w:rsidR="005B4BE3">
              <w:rPr>
                <w:noProof/>
                <w:webHidden/>
              </w:rPr>
              <w:fldChar w:fldCharType="separate"/>
            </w:r>
            <w:r w:rsidR="00CC415A">
              <w:rPr>
                <w:noProof/>
                <w:webHidden/>
              </w:rPr>
              <w:t>201</w:t>
            </w:r>
            <w:r w:rsidR="005B4BE3">
              <w:rPr>
                <w:noProof/>
                <w:webHidden/>
              </w:rPr>
              <w:fldChar w:fldCharType="end"/>
            </w:r>
          </w:hyperlink>
        </w:p>
        <w:p w14:paraId="42106537" w14:textId="21D30656"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11" w:history="1">
            <w:r w:rsidR="005B4BE3" w:rsidRPr="00B4108A">
              <w:rPr>
                <w:rStyle w:val="Hyperlink"/>
                <w:noProof/>
              </w:rPr>
              <w:t>Table 6.8: Other ongoing licence requirements</w:t>
            </w:r>
            <w:r w:rsidR="005B4BE3">
              <w:rPr>
                <w:noProof/>
                <w:webHidden/>
              </w:rPr>
              <w:tab/>
            </w:r>
            <w:r w:rsidR="005B4BE3">
              <w:rPr>
                <w:noProof/>
                <w:webHidden/>
              </w:rPr>
              <w:fldChar w:fldCharType="begin"/>
            </w:r>
            <w:r w:rsidR="005B4BE3">
              <w:rPr>
                <w:noProof/>
                <w:webHidden/>
              </w:rPr>
              <w:instrText xml:space="preserve"> PAGEREF _Toc504654711 \h </w:instrText>
            </w:r>
            <w:r w:rsidR="005B4BE3">
              <w:rPr>
                <w:noProof/>
                <w:webHidden/>
              </w:rPr>
            </w:r>
            <w:r w:rsidR="005B4BE3">
              <w:rPr>
                <w:noProof/>
                <w:webHidden/>
              </w:rPr>
              <w:fldChar w:fldCharType="separate"/>
            </w:r>
            <w:r w:rsidR="00CC415A">
              <w:rPr>
                <w:noProof/>
                <w:webHidden/>
              </w:rPr>
              <w:t>202</w:t>
            </w:r>
            <w:r w:rsidR="005B4BE3">
              <w:rPr>
                <w:noProof/>
                <w:webHidden/>
              </w:rPr>
              <w:fldChar w:fldCharType="end"/>
            </w:r>
          </w:hyperlink>
        </w:p>
        <w:p w14:paraId="0A07CF44" w14:textId="7DBA6166"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12" w:history="1">
            <w:r w:rsidR="005B4BE3" w:rsidRPr="00B4108A">
              <w:rPr>
                <w:rStyle w:val="Hyperlink"/>
                <w:noProof/>
              </w:rPr>
              <w:t>Table 6.9: Reporting requirements</w:t>
            </w:r>
            <w:r w:rsidR="005B4BE3">
              <w:rPr>
                <w:noProof/>
                <w:webHidden/>
              </w:rPr>
              <w:tab/>
            </w:r>
            <w:r w:rsidR="005B4BE3">
              <w:rPr>
                <w:noProof/>
                <w:webHidden/>
              </w:rPr>
              <w:fldChar w:fldCharType="begin"/>
            </w:r>
            <w:r w:rsidR="005B4BE3">
              <w:rPr>
                <w:noProof/>
                <w:webHidden/>
              </w:rPr>
              <w:instrText xml:space="preserve"> PAGEREF _Toc504654712 \h </w:instrText>
            </w:r>
            <w:r w:rsidR="005B4BE3">
              <w:rPr>
                <w:noProof/>
                <w:webHidden/>
              </w:rPr>
            </w:r>
            <w:r w:rsidR="005B4BE3">
              <w:rPr>
                <w:noProof/>
                <w:webHidden/>
              </w:rPr>
              <w:fldChar w:fldCharType="separate"/>
            </w:r>
            <w:r w:rsidR="00CC415A">
              <w:rPr>
                <w:noProof/>
                <w:webHidden/>
              </w:rPr>
              <w:t>206</w:t>
            </w:r>
            <w:r w:rsidR="005B4BE3">
              <w:rPr>
                <w:noProof/>
                <w:webHidden/>
              </w:rPr>
              <w:fldChar w:fldCharType="end"/>
            </w:r>
          </w:hyperlink>
        </w:p>
        <w:p w14:paraId="68A726D6" w14:textId="6AE6C3D4"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13" w:history="1">
            <w:r w:rsidR="005B4BE3" w:rsidRPr="00B4108A">
              <w:rPr>
                <w:rStyle w:val="Hyperlink"/>
                <w:noProof/>
              </w:rPr>
              <w:t>Table 6.10: Requirements for surrendering a self-insurance licence and penalties for exiting the scheme</w:t>
            </w:r>
            <w:r w:rsidR="005B4BE3">
              <w:rPr>
                <w:noProof/>
                <w:webHidden/>
              </w:rPr>
              <w:tab/>
            </w:r>
            <w:r w:rsidR="005B4BE3">
              <w:rPr>
                <w:noProof/>
                <w:webHidden/>
              </w:rPr>
              <w:fldChar w:fldCharType="begin"/>
            </w:r>
            <w:r w:rsidR="005B4BE3">
              <w:rPr>
                <w:noProof/>
                <w:webHidden/>
              </w:rPr>
              <w:instrText xml:space="preserve"> PAGEREF _Toc504654713 \h </w:instrText>
            </w:r>
            <w:r w:rsidR="005B4BE3">
              <w:rPr>
                <w:noProof/>
                <w:webHidden/>
              </w:rPr>
            </w:r>
            <w:r w:rsidR="005B4BE3">
              <w:rPr>
                <w:noProof/>
                <w:webHidden/>
              </w:rPr>
              <w:fldChar w:fldCharType="separate"/>
            </w:r>
            <w:r w:rsidR="00CC415A">
              <w:rPr>
                <w:noProof/>
                <w:webHidden/>
              </w:rPr>
              <w:t>214</w:t>
            </w:r>
            <w:r w:rsidR="005B4BE3">
              <w:rPr>
                <w:noProof/>
                <w:webHidden/>
              </w:rPr>
              <w:fldChar w:fldCharType="end"/>
            </w:r>
          </w:hyperlink>
        </w:p>
        <w:p w14:paraId="6F89D65A" w14:textId="5FBE1F4D" w:rsidR="005B4BE3" w:rsidRDefault="00A7538C" w:rsidP="005B4BE3">
          <w:pPr>
            <w:pStyle w:val="TOC1"/>
            <w:rPr>
              <w:rFonts w:asciiTheme="minorHAnsi" w:eastAsiaTheme="minorEastAsia" w:hAnsiTheme="minorHAnsi" w:cstheme="minorBidi"/>
              <w:sz w:val="22"/>
              <w:szCs w:val="22"/>
            </w:rPr>
          </w:pPr>
          <w:hyperlink w:anchor="_Toc504654714" w:history="1">
            <w:r w:rsidR="005B4BE3" w:rsidRPr="00B4108A">
              <w:rPr>
                <w:rStyle w:val="Hyperlink"/>
              </w:rPr>
              <w:t>Chapter 7: Scheme administrative and funding arrangements</w:t>
            </w:r>
            <w:r w:rsidR="005B4BE3">
              <w:rPr>
                <w:webHidden/>
              </w:rPr>
              <w:tab/>
            </w:r>
            <w:r w:rsidR="005B4BE3">
              <w:rPr>
                <w:webHidden/>
              </w:rPr>
              <w:fldChar w:fldCharType="begin"/>
            </w:r>
            <w:r w:rsidR="005B4BE3">
              <w:rPr>
                <w:webHidden/>
              </w:rPr>
              <w:instrText xml:space="preserve"> PAGEREF _Toc504654714 \h </w:instrText>
            </w:r>
            <w:r w:rsidR="005B4BE3">
              <w:rPr>
                <w:webHidden/>
              </w:rPr>
            </w:r>
            <w:r w:rsidR="005B4BE3">
              <w:rPr>
                <w:webHidden/>
              </w:rPr>
              <w:fldChar w:fldCharType="separate"/>
            </w:r>
            <w:r w:rsidR="00CC415A">
              <w:rPr>
                <w:webHidden/>
              </w:rPr>
              <w:t>217</w:t>
            </w:r>
            <w:r w:rsidR="005B4BE3">
              <w:rPr>
                <w:webHidden/>
              </w:rPr>
              <w:fldChar w:fldCharType="end"/>
            </w:r>
          </w:hyperlink>
        </w:p>
        <w:p w14:paraId="15F12924" w14:textId="4A8D7EDA" w:rsidR="005B4BE3" w:rsidRDefault="00A7538C" w:rsidP="005B4BE3">
          <w:pPr>
            <w:pStyle w:val="TOC1"/>
            <w:rPr>
              <w:rFonts w:asciiTheme="minorHAnsi" w:eastAsiaTheme="minorEastAsia" w:hAnsiTheme="minorHAnsi" w:cstheme="minorBidi"/>
              <w:sz w:val="22"/>
              <w:szCs w:val="22"/>
            </w:rPr>
          </w:pPr>
          <w:hyperlink w:anchor="_Toc504654715" w:history="1">
            <w:r w:rsidR="005B4BE3" w:rsidRPr="00B4108A">
              <w:rPr>
                <w:rStyle w:val="Hyperlink"/>
              </w:rPr>
              <w:t>Administrative and funding arrangements</w:t>
            </w:r>
            <w:r w:rsidR="005B4BE3">
              <w:rPr>
                <w:webHidden/>
              </w:rPr>
              <w:tab/>
            </w:r>
            <w:r w:rsidR="005B4BE3">
              <w:rPr>
                <w:webHidden/>
              </w:rPr>
              <w:fldChar w:fldCharType="begin"/>
            </w:r>
            <w:r w:rsidR="005B4BE3">
              <w:rPr>
                <w:webHidden/>
              </w:rPr>
              <w:instrText xml:space="preserve"> PAGEREF _Toc504654715 \h </w:instrText>
            </w:r>
            <w:r w:rsidR="005B4BE3">
              <w:rPr>
                <w:webHidden/>
              </w:rPr>
            </w:r>
            <w:r w:rsidR="005B4BE3">
              <w:rPr>
                <w:webHidden/>
              </w:rPr>
              <w:fldChar w:fldCharType="separate"/>
            </w:r>
            <w:r w:rsidR="00CC415A">
              <w:rPr>
                <w:webHidden/>
              </w:rPr>
              <w:t>218</w:t>
            </w:r>
            <w:r w:rsidR="005B4BE3">
              <w:rPr>
                <w:webHidden/>
              </w:rPr>
              <w:fldChar w:fldCharType="end"/>
            </w:r>
          </w:hyperlink>
        </w:p>
        <w:p w14:paraId="5FC41A06" w14:textId="253B7A2E"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16" w:history="1">
            <w:r w:rsidR="005B4BE3" w:rsidRPr="00B4108A">
              <w:rPr>
                <w:rStyle w:val="Hyperlink"/>
                <w:noProof/>
              </w:rPr>
              <w:t>Table 7.1: Applicable workers’ compensation legislation</w:t>
            </w:r>
            <w:r w:rsidR="005B4BE3">
              <w:rPr>
                <w:noProof/>
                <w:webHidden/>
              </w:rPr>
              <w:tab/>
            </w:r>
            <w:r w:rsidR="005B4BE3">
              <w:rPr>
                <w:noProof/>
                <w:webHidden/>
              </w:rPr>
              <w:fldChar w:fldCharType="begin"/>
            </w:r>
            <w:r w:rsidR="005B4BE3">
              <w:rPr>
                <w:noProof/>
                <w:webHidden/>
              </w:rPr>
              <w:instrText xml:space="preserve"> PAGEREF _Toc504654716 \h </w:instrText>
            </w:r>
            <w:r w:rsidR="005B4BE3">
              <w:rPr>
                <w:noProof/>
                <w:webHidden/>
              </w:rPr>
            </w:r>
            <w:r w:rsidR="005B4BE3">
              <w:rPr>
                <w:noProof/>
                <w:webHidden/>
              </w:rPr>
              <w:fldChar w:fldCharType="separate"/>
            </w:r>
            <w:r w:rsidR="00CC415A">
              <w:rPr>
                <w:noProof/>
                <w:webHidden/>
              </w:rPr>
              <w:t>219</w:t>
            </w:r>
            <w:r w:rsidR="005B4BE3">
              <w:rPr>
                <w:noProof/>
                <w:webHidden/>
              </w:rPr>
              <w:fldChar w:fldCharType="end"/>
            </w:r>
          </w:hyperlink>
        </w:p>
        <w:p w14:paraId="0127511E" w14:textId="71DE96D7"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17" w:history="1">
            <w:r w:rsidR="005B4BE3" w:rsidRPr="00B4108A">
              <w:rPr>
                <w:rStyle w:val="Hyperlink"/>
                <w:noProof/>
              </w:rPr>
              <w:t>Table 7.2: Transitional legislation provisions as at 30 September 2016</w:t>
            </w:r>
            <w:r w:rsidR="005B4BE3">
              <w:rPr>
                <w:noProof/>
                <w:webHidden/>
              </w:rPr>
              <w:tab/>
            </w:r>
            <w:r w:rsidR="005B4BE3">
              <w:rPr>
                <w:noProof/>
                <w:webHidden/>
              </w:rPr>
              <w:fldChar w:fldCharType="begin"/>
            </w:r>
            <w:r w:rsidR="005B4BE3">
              <w:rPr>
                <w:noProof/>
                <w:webHidden/>
              </w:rPr>
              <w:instrText xml:space="preserve"> PAGEREF _Toc504654717 \h </w:instrText>
            </w:r>
            <w:r w:rsidR="005B4BE3">
              <w:rPr>
                <w:noProof/>
                <w:webHidden/>
              </w:rPr>
            </w:r>
            <w:r w:rsidR="005B4BE3">
              <w:rPr>
                <w:noProof/>
                <w:webHidden/>
              </w:rPr>
              <w:fldChar w:fldCharType="separate"/>
            </w:r>
            <w:r w:rsidR="00CC415A">
              <w:rPr>
                <w:noProof/>
                <w:webHidden/>
              </w:rPr>
              <w:t>221</w:t>
            </w:r>
            <w:r w:rsidR="005B4BE3">
              <w:rPr>
                <w:noProof/>
                <w:webHidden/>
              </w:rPr>
              <w:fldChar w:fldCharType="end"/>
            </w:r>
          </w:hyperlink>
        </w:p>
        <w:p w14:paraId="5C5FA5D1" w14:textId="6154A8E1"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18" w:history="1">
            <w:r w:rsidR="005B4BE3" w:rsidRPr="00B4108A">
              <w:rPr>
                <w:rStyle w:val="Hyperlink"/>
                <w:noProof/>
              </w:rPr>
              <w:t>Table 7.3a: Minor schemes — New South Wales</w:t>
            </w:r>
            <w:r w:rsidR="005B4BE3">
              <w:rPr>
                <w:noProof/>
                <w:webHidden/>
              </w:rPr>
              <w:tab/>
            </w:r>
            <w:r w:rsidR="005B4BE3">
              <w:rPr>
                <w:noProof/>
                <w:webHidden/>
              </w:rPr>
              <w:fldChar w:fldCharType="begin"/>
            </w:r>
            <w:r w:rsidR="005B4BE3">
              <w:rPr>
                <w:noProof/>
                <w:webHidden/>
              </w:rPr>
              <w:instrText xml:space="preserve"> PAGEREF _Toc504654718 \h </w:instrText>
            </w:r>
            <w:r w:rsidR="005B4BE3">
              <w:rPr>
                <w:noProof/>
                <w:webHidden/>
              </w:rPr>
            </w:r>
            <w:r w:rsidR="005B4BE3">
              <w:rPr>
                <w:noProof/>
                <w:webHidden/>
              </w:rPr>
              <w:fldChar w:fldCharType="separate"/>
            </w:r>
            <w:r w:rsidR="00CC415A">
              <w:rPr>
                <w:noProof/>
                <w:webHidden/>
              </w:rPr>
              <w:t>223</w:t>
            </w:r>
            <w:r w:rsidR="005B4BE3">
              <w:rPr>
                <w:noProof/>
                <w:webHidden/>
              </w:rPr>
              <w:fldChar w:fldCharType="end"/>
            </w:r>
          </w:hyperlink>
        </w:p>
        <w:p w14:paraId="5C692C6D" w14:textId="3D603FA9"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19" w:history="1">
            <w:r w:rsidR="005B4BE3" w:rsidRPr="00B4108A">
              <w:rPr>
                <w:rStyle w:val="Hyperlink"/>
                <w:noProof/>
              </w:rPr>
              <w:t>Table 7.3b: Minor schemes — Victoria</w:t>
            </w:r>
            <w:r w:rsidR="005B4BE3">
              <w:rPr>
                <w:noProof/>
                <w:webHidden/>
              </w:rPr>
              <w:tab/>
            </w:r>
            <w:r w:rsidR="005B4BE3">
              <w:rPr>
                <w:noProof/>
                <w:webHidden/>
              </w:rPr>
              <w:fldChar w:fldCharType="begin"/>
            </w:r>
            <w:r w:rsidR="005B4BE3">
              <w:rPr>
                <w:noProof/>
                <w:webHidden/>
              </w:rPr>
              <w:instrText xml:space="preserve"> PAGEREF _Toc504654719 \h </w:instrText>
            </w:r>
            <w:r w:rsidR="005B4BE3">
              <w:rPr>
                <w:noProof/>
                <w:webHidden/>
              </w:rPr>
            </w:r>
            <w:r w:rsidR="005B4BE3">
              <w:rPr>
                <w:noProof/>
                <w:webHidden/>
              </w:rPr>
              <w:fldChar w:fldCharType="separate"/>
            </w:r>
            <w:r w:rsidR="00CC415A">
              <w:rPr>
                <w:noProof/>
                <w:webHidden/>
              </w:rPr>
              <w:t>225</w:t>
            </w:r>
            <w:r w:rsidR="005B4BE3">
              <w:rPr>
                <w:noProof/>
                <w:webHidden/>
              </w:rPr>
              <w:fldChar w:fldCharType="end"/>
            </w:r>
          </w:hyperlink>
        </w:p>
        <w:p w14:paraId="49DA2D4F" w14:textId="197FF2D2"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20" w:history="1">
            <w:r w:rsidR="005B4BE3" w:rsidRPr="00B4108A">
              <w:rPr>
                <w:rStyle w:val="Hyperlink"/>
                <w:noProof/>
              </w:rPr>
              <w:t>Table 7.3c: Minor schemes — Western Australia</w:t>
            </w:r>
            <w:r w:rsidR="005B4BE3">
              <w:rPr>
                <w:noProof/>
                <w:webHidden/>
              </w:rPr>
              <w:tab/>
            </w:r>
            <w:r w:rsidR="005B4BE3">
              <w:rPr>
                <w:noProof/>
                <w:webHidden/>
              </w:rPr>
              <w:fldChar w:fldCharType="begin"/>
            </w:r>
            <w:r w:rsidR="005B4BE3">
              <w:rPr>
                <w:noProof/>
                <w:webHidden/>
              </w:rPr>
              <w:instrText xml:space="preserve"> PAGEREF _Toc504654720 \h </w:instrText>
            </w:r>
            <w:r w:rsidR="005B4BE3">
              <w:rPr>
                <w:noProof/>
                <w:webHidden/>
              </w:rPr>
            </w:r>
            <w:r w:rsidR="005B4BE3">
              <w:rPr>
                <w:noProof/>
                <w:webHidden/>
              </w:rPr>
              <w:fldChar w:fldCharType="separate"/>
            </w:r>
            <w:r w:rsidR="00CC415A">
              <w:rPr>
                <w:noProof/>
                <w:webHidden/>
              </w:rPr>
              <w:t>226</w:t>
            </w:r>
            <w:r w:rsidR="005B4BE3">
              <w:rPr>
                <w:noProof/>
                <w:webHidden/>
              </w:rPr>
              <w:fldChar w:fldCharType="end"/>
            </w:r>
          </w:hyperlink>
        </w:p>
        <w:p w14:paraId="52091620" w14:textId="2FA458F0"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21" w:history="1">
            <w:r w:rsidR="005B4BE3" w:rsidRPr="00B4108A">
              <w:rPr>
                <w:rStyle w:val="Hyperlink"/>
                <w:noProof/>
              </w:rPr>
              <w:t>Table 7.3d: Minor schemes — South Australia</w:t>
            </w:r>
            <w:r w:rsidR="005B4BE3">
              <w:rPr>
                <w:noProof/>
                <w:webHidden/>
              </w:rPr>
              <w:tab/>
            </w:r>
            <w:r w:rsidR="005B4BE3">
              <w:rPr>
                <w:noProof/>
                <w:webHidden/>
              </w:rPr>
              <w:fldChar w:fldCharType="begin"/>
            </w:r>
            <w:r w:rsidR="005B4BE3">
              <w:rPr>
                <w:noProof/>
                <w:webHidden/>
              </w:rPr>
              <w:instrText xml:space="preserve"> PAGEREF _Toc504654721 \h </w:instrText>
            </w:r>
            <w:r w:rsidR="005B4BE3">
              <w:rPr>
                <w:noProof/>
                <w:webHidden/>
              </w:rPr>
            </w:r>
            <w:r w:rsidR="005B4BE3">
              <w:rPr>
                <w:noProof/>
                <w:webHidden/>
              </w:rPr>
              <w:fldChar w:fldCharType="separate"/>
            </w:r>
            <w:r w:rsidR="00CC415A">
              <w:rPr>
                <w:noProof/>
                <w:webHidden/>
              </w:rPr>
              <w:t>227</w:t>
            </w:r>
            <w:r w:rsidR="005B4BE3">
              <w:rPr>
                <w:noProof/>
                <w:webHidden/>
              </w:rPr>
              <w:fldChar w:fldCharType="end"/>
            </w:r>
          </w:hyperlink>
        </w:p>
        <w:p w14:paraId="41A2AF14" w14:textId="7125772B"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22" w:history="1">
            <w:r w:rsidR="005B4BE3" w:rsidRPr="00B4108A">
              <w:rPr>
                <w:rStyle w:val="Hyperlink"/>
                <w:noProof/>
              </w:rPr>
              <w:t>Table 7.3e: Minor schemes — Tasmania</w:t>
            </w:r>
            <w:r w:rsidR="005B4BE3">
              <w:rPr>
                <w:noProof/>
                <w:webHidden/>
              </w:rPr>
              <w:tab/>
            </w:r>
            <w:r w:rsidR="005B4BE3">
              <w:rPr>
                <w:noProof/>
                <w:webHidden/>
              </w:rPr>
              <w:fldChar w:fldCharType="begin"/>
            </w:r>
            <w:r w:rsidR="005B4BE3">
              <w:rPr>
                <w:noProof/>
                <w:webHidden/>
              </w:rPr>
              <w:instrText xml:space="preserve"> PAGEREF _Toc504654722 \h </w:instrText>
            </w:r>
            <w:r w:rsidR="005B4BE3">
              <w:rPr>
                <w:noProof/>
                <w:webHidden/>
              </w:rPr>
            </w:r>
            <w:r w:rsidR="005B4BE3">
              <w:rPr>
                <w:noProof/>
                <w:webHidden/>
              </w:rPr>
              <w:fldChar w:fldCharType="separate"/>
            </w:r>
            <w:r w:rsidR="00CC415A">
              <w:rPr>
                <w:noProof/>
                <w:webHidden/>
              </w:rPr>
              <w:t>228</w:t>
            </w:r>
            <w:r w:rsidR="005B4BE3">
              <w:rPr>
                <w:noProof/>
                <w:webHidden/>
              </w:rPr>
              <w:fldChar w:fldCharType="end"/>
            </w:r>
          </w:hyperlink>
        </w:p>
        <w:p w14:paraId="192369DC" w14:textId="4B86CC8D"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23" w:history="1">
            <w:r w:rsidR="005B4BE3" w:rsidRPr="00B4108A">
              <w:rPr>
                <w:rStyle w:val="Hyperlink"/>
                <w:noProof/>
              </w:rPr>
              <w:t>Table 7.3f: Minor schemes — Commonwealth</w:t>
            </w:r>
            <w:r w:rsidR="005B4BE3">
              <w:rPr>
                <w:noProof/>
                <w:webHidden/>
              </w:rPr>
              <w:tab/>
            </w:r>
            <w:r w:rsidR="005B4BE3">
              <w:rPr>
                <w:noProof/>
                <w:webHidden/>
              </w:rPr>
              <w:fldChar w:fldCharType="begin"/>
            </w:r>
            <w:r w:rsidR="005B4BE3">
              <w:rPr>
                <w:noProof/>
                <w:webHidden/>
              </w:rPr>
              <w:instrText xml:space="preserve"> PAGEREF _Toc504654723 \h </w:instrText>
            </w:r>
            <w:r w:rsidR="005B4BE3">
              <w:rPr>
                <w:noProof/>
                <w:webHidden/>
              </w:rPr>
            </w:r>
            <w:r w:rsidR="005B4BE3">
              <w:rPr>
                <w:noProof/>
                <w:webHidden/>
              </w:rPr>
              <w:fldChar w:fldCharType="separate"/>
            </w:r>
            <w:r w:rsidR="00CC415A">
              <w:rPr>
                <w:noProof/>
                <w:webHidden/>
              </w:rPr>
              <w:t>229</w:t>
            </w:r>
            <w:r w:rsidR="005B4BE3">
              <w:rPr>
                <w:noProof/>
                <w:webHidden/>
              </w:rPr>
              <w:fldChar w:fldCharType="end"/>
            </w:r>
          </w:hyperlink>
        </w:p>
        <w:p w14:paraId="7EA0DD5B" w14:textId="4F2CCE7A"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24" w:history="1">
            <w:r w:rsidR="005B4BE3" w:rsidRPr="00B4108A">
              <w:rPr>
                <w:rStyle w:val="Hyperlink"/>
                <w:noProof/>
              </w:rPr>
              <w:t>Table 7.3g: Minor schemes — New Zealand</w:t>
            </w:r>
            <w:r w:rsidR="005B4BE3">
              <w:rPr>
                <w:noProof/>
                <w:webHidden/>
              </w:rPr>
              <w:tab/>
            </w:r>
            <w:r w:rsidR="005B4BE3">
              <w:rPr>
                <w:noProof/>
                <w:webHidden/>
              </w:rPr>
              <w:fldChar w:fldCharType="begin"/>
            </w:r>
            <w:r w:rsidR="005B4BE3">
              <w:rPr>
                <w:noProof/>
                <w:webHidden/>
              </w:rPr>
              <w:instrText xml:space="preserve"> PAGEREF _Toc504654724 \h </w:instrText>
            </w:r>
            <w:r w:rsidR="005B4BE3">
              <w:rPr>
                <w:noProof/>
                <w:webHidden/>
              </w:rPr>
            </w:r>
            <w:r w:rsidR="005B4BE3">
              <w:rPr>
                <w:noProof/>
                <w:webHidden/>
              </w:rPr>
              <w:fldChar w:fldCharType="separate"/>
            </w:r>
            <w:r w:rsidR="00CC415A">
              <w:rPr>
                <w:noProof/>
                <w:webHidden/>
              </w:rPr>
              <w:t>231</w:t>
            </w:r>
            <w:r w:rsidR="005B4BE3">
              <w:rPr>
                <w:noProof/>
                <w:webHidden/>
              </w:rPr>
              <w:fldChar w:fldCharType="end"/>
            </w:r>
          </w:hyperlink>
        </w:p>
        <w:p w14:paraId="7C58F45A" w14:textId="046EAB30" w:rsidR="005B4BE3" w:rsidRDefault="00A7538C" w:rsidP="005B4BE3">
          <w:pPr>
            <w:pStyle w:val="TOC1"/>
            <w:rPr>
              <w:rFonts w:asciiTheme="minorHAnsi" w:eastAsiaTheme="minorEastAsia" w:hAnsiTheme="minorHAnsi" w:cstheme="minorBidi"/>
              <w:sz w:val="22"/>
              <w:szCs w:val="22"/>
            </w:rPr>
          </w:pPr>
          <w:hyperlink w:anchor="_Toc504654725" w:history="1">
            <w:r w:rsidR="005B4BE3" w:rsidRPr="00B4108A">
              <w:rPr>
                <w:rStyle w:val="Hyperlink"/>
              </w:rPr>
              <w:t>Scheme funding arrangements</w:t>
            </w:r>
            <w:r w:rsidR="005B4BE3">
              <w:rPr>
                <w:webHidden/>
              </w:rPr>
              <w:tab/>
            </w:r>
            <w:r w:rsidR="005B4BE3">
              <w:rPr>
                <w:webHidden/>
              </w:rPr>
              <w:fldChar w:fldCharType="begin"/>
            </w:r>
            <w:r w:rsidR="005B4BE3">
              <w:rPr>
                <w:webHidden/>
              </w:rPr>
              <w:instrText xml:space="preserve"> PAGEREF _Toc504654725 \h </w:instrText>
            </w:r>
            <w:r w:rsidR="005B4BE3">
              <w:rPr>
                <w:webHidden/>
              </w:rPr>
            </w:r>
            <w:r w:rsidR="005B4BE3">
              <w:rPr>
                <w:webHidden/>
              </w:rPr>
              <w:fldChar w:fldCharType="separate"/>
            </w:r>
            <w:r w:rsidR="00CC415A">
              <w:rPr>
                <w:webHidden/>
              </w:rPr>
              <w:t>232</w:t>
            </w:r>
            <w:r w:rsidR="005B4BE3">
              <w:rPr>
                <w:webHidden/>
              </w:rPr>
              <w:fldChar w:fldCharType="end"/>
            </w:r>
          </w:hyperlink>
        </w:p>
        <w:p w14:paraId="7BA30A1E" w14:textId="242EBA18"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26" w:history="1">
            <w:r w:rsidR="005B4BE3" w:rsidRPr="00B4108A">
              <w:rPr>
                <w:rStyle w:val="Hyperlink"/>
                <w:noProof/>
              </w:rPr>
              <w:t>Table 7.4: Schemes’ funding positions as at 30 June 2016 and 30 June 2015</w:t>
            </w:r>
            <w:r w:rsidR="005B4BE3">
              <w:rPr>
                <w:noProof/>
                <w:webHidden/>
              </w:rPr>
              <w:tab/>
            </w:r>
            <w:r w:rsidR="005B4BE3">
              <w:rPr>
                <w:noProof/>
                <w:webHidden/>
              </w:rPr>
              <w:fldChar w:fldCharType="begin"/>
            </w:r>
            <w:r w:rsidR="005B4BE3">
              <w:rPr>
                <w:noProof/>
                <w:webHidden/>
              </w:rPr>
              <w:instrText xml:space="preserve"> PAGEREF _Toc504654726 \h </w:instrText>
            </w:r>
            <w:r w:rsidR="005B4BE3">
              <w:rPr>
                <w:noProof/>
                <w:webHidden/>
              </w:rPr>
            </w:r>
            <w:r w:rsidR="005B4BE3">
              <w:rPr>
                <w:noProof/>
                <w:webHidden/>
              </w:rPr>
              <w:fldChar w:fldCharType="separate"/>
            </w:r>
            <w:r w:rsidR="00CC415A">
              <w:rPr>
                <w:noProof/>
                <w:webHidden/>
              </w:rPr>
              <w:t>233</w:t>
            </w:r>
            <w:r w:rsidR="005B4BE3">
              <w:rPr>
                <w:noProof/>
                <w:webHidden/>
              </w:rPr>
              <w:fldChar w:fldCharType="end"/>
            </w:r>
          </w:hyperlink>
        </w:p>
        <w:p w14:paraId="38C8109E" w14:textId="6332E198" w:rsidR="005B4BE3" w:rsidRDefault="00A7538C" w:rsidP="005B4BE3">
          <w:pPr>
            <w:pStyle w:val="TOC1"/>
            <w:rPr>
              <w:rFonts w:asciiTheme="minorHAnsi" w:eastAsiaTheme="minorEastAsia" w:hAnsiTheme="minorHAnsi" w:cstheme="minorBidi"/>
              <w:sz w:val="22"/>
              <w:szCs w:val="22"/>
            </w:rPr>
          </w:pPr>
          <w:hyperlink w:anchor="_Toc504654727" w:history="1">
            <w:r w:rsidR="005B4BE3" w:rsidRPr="00B4108A">
              <w:rPr>
                <w:rStyle w:val="Hyperlink"/>
              </w:rPr>
              <w:t>Premiums</w:t>
            </w:r>
            <w:r w:rsidR="005B4BE3">
              <w:rPr>
                <w:webHidden/>
              </w:rPr>
              <w:tab/>
            </w:r>
            <w:r w:rsidR="005B4BE3">
              <w:rPr>
                <w:webHidden/>
              </w:rPr>
              <w:fldChar w:fldCharType="begin"/>
            </w:r>
            <w:r w:rsidR="005B4BE3">
              <w:rPr>
                <w:webHidden/>
              </w:rPr>
              <w:instrText xml:space="preserve"> PAGEREF _Toc504654727 \h </w:instrText>
            </w:r>
            <w:r w:rsidR="005B4BE3">
              <w:rPr>
                <w:webHidden/>
              </w:rPr>
            </w:r>
            <w:r w:rsidR="005B4BE3">
              <w:rPr>
                <w:webHidden/>
              </w:rPr>
              <w:fldChar w:fldCharType="separate"/>
            </w:r>
            <w:r w:rsidR="00CC415A">
              <w:rPr>
                <w:webHidden/>
              </w:rPr>
              <w:t>234</w:t>
            </w:r>
            <w:r w:rsidR="005B4BE3">
              <w:rPr>
                <w:webHidden/>
              </w:rPr>
              <w:fldChar w:fldCharType="end"/>
            </w:r>
          </w:hyperlink>
        </w:p>
        <w:p w14:paraId="6E3250A4" w14:textId="515597E0"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28" w:history="1">
            <w:r w:rsidR="005B4BE3" w:rsidRPr="00B4108A">
              <w:rPr>
                <w:rStyle w:val="Hyperlink"/>
                <w:noProof/>
              </w:rPr>
              <w:t>Table 7.5: Standardised average premium rates 2010–11 to 2014–15 (% of payroll)</w:t>
            </w:r>
            <w:r w:rsidR="005B4BE3">
              <w:rPr>
                <w:noProof/>
                <w:webHidden/>
              </w:rPr>
              <w:tab/>
            </w:r>
            <w:r w:rsidR="005B4BE3">
              <w:rPr>
                <w:noProof/>
                <w:webHidden/>
              </w:rPr>
              <w:fldChar w:fldCharType="begin"/>
            </w:r>
            <w:r w:rsidR="005B4BE3">
              <w:rPr>
                <w:noProof/>
                <w:webHidden/>
              </w:rPr>
              <w:instrText xml:space="preserve"> PAGEREF _Toc504654728 \h </w:instrText>
            </w:r>
            <w:r w:rsidR="005B4BE3">
              <w:rPr>
                <w:noProof/>
                <w:webHidden/>
              </w:rPr>
            </w:r>
            <w:r w:rsidR="005B4BE3">
              <w:rPr>
                <w:noProof/>
                <w:webHidden/>
              </w:rPr>
              <w:fldChar w:fldCharType="separate"/>
            </w:r>
            <w:r w:rsidR="00CC415A">
              <w:rPr>
                <w:noProof/>
                <w:webHidden/>
              </w:rPr>
              <w:t>235</w:t>
            </w:r>
            <w:r w:rsidR="005B4BE3">
              <w:rPr>
                <w:noProof/>
                <w:webHidden/>
              </w:rPr>
              <w:fldChar w:fldCharType="end"/>
            </w:r>
          </w:hyperlink>
        </w:p>
        <w:p w14:paraId="1B4C9C37" w14:textId="7CEDFB19"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29" w:history="1">
            <w:r w:rsidR="005B4BE3" w:rsidRPr="00B4108A">
              <w:rPr>
                <w:rStyle w:val="Hyperlink"/>
                <w:noProof/>
              </w:rPr>
              <w:t>Table 7.6: Selected industry premium rates as at 30 September 2016 (% of payroll)</w:t>
            </w:r>
            <w:r w:rsidR="005B4BE3">
              <w:rPr>
                <w:noProof/>
                <w:webHidden/>
              </w:rPr>
              <w:tab/>
            </w:r>
            <w:r w:rsidR="005B4BE3">
              <w:rPr>
                <w:noProof/>
                <w:webHidden/>
              </w:rPr>
              <w:fldChar w:fldCharType="begin"/>
            </w:r>
            <w:r w:rsidR="005B4BE3">
              <w:rPr>
                <w:noProof/>
                <w:webHidden/>
              </w:rPr>
              <w:instrText xml:space="preserve"> PAGEREF _Toc504654729 \h </w:instrText>
            </w:r>
            <w:r w:rsidR="005B4BE3">
              <w:rPr>
                <w:noProof/>
                <w:webHidden/>
              </w:rPr>
            </w:r>
            <w:r w:rsidR="005B4BE3">
              <w:rPr>
                <w:noProof/>
                <w:webHidden/>
              </w:rPr>
              <w:fldChar w:fldCharType="separate"/>
            </w:r>
            <w:r w:rsidR="00CC415A">
              <w:rPr>
                <w:noProof/>
                <w:webHidden/>
              </w:rPr>
              <w:t>236</w:t>
            </w:r>
            <w:r w:rsidR="005B4BE3">
              <w:rPr>
                <w:noProof/>
                <w:webHidden/>
              </w:rPr>
              <w:fldChar w:fldCharType="end"/>
            </w:r>
          </w:hyperlink>
        </w:p>
        <w:p w14:paraId="6511AE8A" w14:textId="6CBA8E41" w:rsidR="005B4BE3" w:rsidRDefault="00A7538C" w:rsidP="005B4BE3">
          <w:pPr>
            <w:pStyle w:val="TOC1"/>
            <w:rPr>
              <w:rFonts w:asciiTheme="minorHAnsi" w:eastAsiaTheme="minorEastAsia" w:hAnsiTheme="minorHAnsi" w:cstheme="minorBidi"/>
              <w:sz w:val="22"/>
              <w:szCs w:val="22"/>
            </w:rPr>
          </w:pPr>
          <w:hyperlink w:anchor="_Toc504654730" w:history="1">
            <w:r w:rsidR="005B4BE3" w:rsidRPr="00B4108A">
              <w:rPr>
                <w:rStyle w:val="Hyperlink"/>
              </w:rPr>
              <w:t>Premium setting: Notes relating to the industry rates comparison table</w:t>
            </w:r>
            <w:r w:rsidR="005B4BE3">
              <w:rPr>
                <w:webHidden/>
              </w:rPr>
              <w:tab/>
            </w:r>
            <w:r w:rsidR="005B4BE3">
              <w:rPr>
                <w:webHidden/>
              </w:rPr>
              <w:fldChar w:fldCharType="begin"/>
            </w:r>
            <w:r w:rsidR="005B4BE3">
              <w:rPr>
                <w:webHidden/>
              </w:rPr>
              <w:instrText xml:space="preserve"> PAGEREF _Toc504654730 \h </w:instrText>
            </w:r>
            <w:r w:rsidR="005B4BE3">
              <w:rPr>
                <w:webHidden/>
              </w:rPr>
            </w:r>
            <w:r w:rsidR="005B4BE3">
              <w:rPr>
                <w:webHidden/>
              </w:rPr>
              <w:fldChar w:fldCharType="separate"/>
            </w:r>
            <w:r w:rsidR="00CC415A">
              <w:rPr>
                <w:webHidden/>
              </w:rPr>
              <w:t>239</w:t>
            </w:r>
            <w:r w:rsidR="005B4BE3">
              <w:rPr>
                <w:webHidden/>
              </w:rPr>
              <w:fldChar w:fldCharType="end"/>
            </w:r>
          </w:hyperlink>
        </w:p>
        <w:p w14:paraId="7261C5B0" w14:textId="4307A984" w:rsidR="005B4BE3" w:rsidRDefault="00A7538C" w:rsidP="005B4BE3">
          <w:pPr>
            <w:pStyle w:val="TOC1"/>
            <w:rPr>
              <w:rFonts w:asciiTheme="minorHAnsi" w:eastAsiaTheme="minorEastAsia" w:hAnsiTheme="minorHAnsi" w:cstheme="minorBidi"/>
              <w:sz w:val="22"/>
              <w:szCs w:val="22"/>
            </w:rPr>
          </w:pPr>
          <w:hyperlink w:anchor="_Toc504654731" w:history="1">
            <w:r w:rsidR="005B4BE3" w:rsidRPr="00B4108A">
              <w:rPr>
                <w:rStyle w:val="Hyperlink"/>
              </w:rPr>
              <w:t>Calculation of industry rates</w:t>
            </w:r>
            <w:r w:rsidR="005B4BE3">
              <w:rPr>
                <w:webHidden/>
              </w:rPr>
              <w:tab/>
            </w:r>
            <w:r w:rsidR="005B4BE3">
              <w:rPr>
                <w:webHidden/>
              </w:rPr>
              <w:fldChar w:fldCharType="begin"/>
            </w:r>
            <w:r w:rsidR="005B4BE3">
              <w:rPr>
                <w:webHidden/>
              </w:rPr>
              <w:instrText xml:space="preserve"> PAGEREF _Toc504654731 \h </w:instrText>
            </w:r>
            <w:r w:rsidR="005B4BE3">
              <w:rPr>
                <w:webHidden/>
              </w:rPr>
            </w:r>
            <w:r w:rsidR="005B4BE3">
              <w:rPr>
                <w:webHidden/>
              </w:rPr>
              <w:fldChar w:fldCharType="separate"/>
            </w:r>
            <w:r w:rsidR="00CC415A">
              <w:rPr>
                <w:webHidden/>
              </w:rPr>
              <w:t>240</w:t>
            </w:r>
            <w:r w:rsidR="005B4BE3">
              <w:rPr>
                <w:webHidden/>
              </w:rPr>
              <w:fldChar w:fldCharType="end"/>
            </w:r>
          </w:hyperlink>
        </w:p>
        <w:p w14:paraId="2BE9DDCF" w14:textId="037CA7AC" w:rsidR="005B4BE3" w:rsidRDefault="00A7538C" w:rsidP="005B4BE3">
          <w:pPr>
            <w:pStyle w:val="TOC1"/>
            <w:rPr>
              <w:rFonts w:asciiTheme="minorHAnsi" w:eastAsiaTheme="minorEastAsia" w:hAnsiTheme="minorHAnsi" w:cstheme="minorBidi"/>
              <w:sz w:val="22"/>
              <w:szCs w:val="22"/>
            </w:rPr>
          </w:pPr>
          <w:hyperlink w:anchor="_Toc504654732" w:history="1">
            <w:r w:rsidR="005B4BE3" w:rsidRPr="005B4BE3">
              <w:rPr>
                <w:rStyle w:val="Hyperlink"/>
                <w:b/>
              </w:rPr>
              <w:t>Appendix 1</w:t>
            </w:r>
            <w:r w:rsidR="005B4BE3">
              <w:rPr>
                <w:webHidden/>
              </w:rPr>
              <w:tab/>
            </w:r>
            <w:r w:rsidR="005B4BE3">
              <w:rPr>
                <w:webHidden/>
              </w:rPr>
              <w:fldChar w:fldCharType="begin"/>
            </w:r>
            <w:r w:rsidR="005B4BE3">
              <w:rPr>
                <w:webHidden/>
              </w:rPr>
              <w:instrText xml:space="preserve"> PAGEREF _Toc504654732 \h </w:instrText>
            </w:r>
            <w:r w:rsidR="005B4BE3">
              <w:rPr>
                <w:webHidden/>
              </w:rPr>
            </w:r>
            <w:r w:rsidR="005B4BE3">
              <w:rPr>
                <w:webHidden/>
              </w:rPr>
              <w:fldChar w:fldCharType="separate"/>
            </w:r>
            <w:r w:rsidR="00CC415A">
              <w:rPr>
                <w:webHidden/>
              </w:rPr>
              <w:t>242</w:t>
            </w:r>
            <w:r w:rsidR="005B4BE3">
              <w:rPr>
                <w:webHidden/>
              </w:rPr>
              <w:fldChar w:fldCharType="end"/>
            </w:r>
          </w:hyperlink>
        </w:p>
        <w:p w14:paraId="45EF2531" w14:textId="4DA292FF" w:rsidR="005B4BE3" w:rsidRDefault="00A7538C" w:rsidP="005B4BE3">
          <w:pPr>
            <w:pStyle w:val="TOC1"/>
            <w:rPr>
              <w:rFonts w:asciiTheme="minorHAnsi" w:eastAsiaTheme="minorEastAsia" w:hAnsiTheme="minorHAnsi" w:cstheme="minorBidi"/>
              <w:sz w:val="22"/>
              <w:szCs w:val="22"/>
            </w:rPr>
          </w:pPr>
          <w:hyperlink w:anchor="_Toc504654733" w:history="1">
            <w:r w:rsidR="005B4BE3" w:rsidRPr="00B4108A">
              <w:rPr>
                <w:rStyle w:val="Hyperlink"/>
              </w:rPr>
              <w:t>The Evolution of workers’ compensation schemes in Australia and New Zealand</w:t>
            </w:r>
            <w:r w:rsidR="005B4BE3">
              <w:rPr>
                <w:webHidden/>
              </w:rPr>
              <w:tab/>
            </w:r>
            <w:r w:rsidR="005B4BE3">
              <w:rPr>
                <w:webHidden/>
              </w:rPr>
              <w:fldChar w:fldCharType="begin"/>
            </w:r>
            <w:r w:rsidR="005B4BE3">
              <w:rPr>
                <w:webHidden/>
              </w:rPr>
              <w:instrText xml:space="preserve"> PAGEREF _Toc504654733 \h </w:instrText>
            </w:r>
            <w:r w:rsidR="005B4BE3">
              <w:rPr>
                <w:webHidden/>
              </w:rPr>
            </w:r>
            <w:r w:rsidR="005B4BE3">
              <w:rPr>
                <w:webHidden/>
              </w:rPr>
              <w:fldChar w:fldCharType="separate"/>
            </w:r>
            <w:r w:rsidR="00CC415A">
              <w:rPr>
                <w:webHidden/>
              </w:rPr>
              <w:t>242</w:t>
            </w:r>
            <w:r w:rsidR="005B4BE3">
              <w:rPr>
                <w:webHidden/>
              </w:rPr>
              <w:fldChar w:fldCharType="end"/>
            </w:r>
          </w:hyperlink>
        </w:p>
        <w:p w14:paraId="02729E39" w14:textId="0CC092B1" w:rsidR="005B4BE3" w:rsidRDefault="00A7538C" w:rsidP="005B4BE3">
          <w:pPr>
            <w:pStyle w:val="TOC1"/>
            <w:rPr>
              <w:rFonts w:asciiTheme="minorHAnsi" w:eastAsiaTheme="minorEastAsia" w:hAnsiTheme="minorHAnsi" w:cstheme="minorBidi"/>
              <w:sz w:val="22"/>
              <w:szCs w:val="22"/>
            </w:rPr>
          </w:pPr>
          <w:hyperlink w:anchor="_Toc504654734" w:history="1">
            <w:r w:rsidR="005B4BE3" w:rsidRPr="00B4108A">
              <w:rPr>
                <w:rStyle w:val="Hyperlink"/>
              </w:rPr>
              <w:t>New South Wales</w:t>
            </w:r>
            <w:r w:rsidR="005B4BE3">
              <w:rPr>
                <w:webHidden/>
              </w:rPr>
              <w:tab/>
            </w:r>
            <w:r w:rsidR="005B4BE3">
              <w:rPr>
                <w:webHidden/>
              </w:rPr>
              <w:fldChar w:fldCharType="begin"/>
            </w:r>
            <w:r w:rsidR="005B4BE3">
              <w:rPr>
                <w:webHidden/>
              </w:rPr>
              <w:instrText xml:space="preserve"> PAGEREF _Toc504654734 \h </w:instrText>
            </w:r>
            <w:r w:rsidR="005B4BE3">
              <w:rPr>
                <w:webHidden/>
              </w:rPr>
            </w:r>
            <w:r w:rsidR="005B4BE3">
              <w:rPr>
                <w:webHidden/>
              </w:rPr>
              <w:fldChar w:fldCharType="separate"/>
            </w:r>
            <w:r w:rsidR="00CC415A">
              <w:rPr>
                <w:webHidden/>
              </w:rPr>
              <w:t>243</w:t>
            </w:r>
            <w:r w:rsidR="005B4BE3">
              <w:rPr>
                <w:webHidden/>
              </w:rPr>
              <w:fldChar w:fldCharType="end"/>
            </w:r>
          </w:hyperlink>
        </w:p>
        <w:p w14:paraId="022CA6E2" w14:textId="0965BD03" w:rsidR="005B4BE3" w:rsidRDefault="00A7538C" w:rsidP="005B4BE3">
          <w:pPr>
            <w:pStyle w:val="TOC1"/>
            <w:rPr>
              <w:rFonts w:asciiTheme="minorHAnsi" w:eastAsiaTheme="minorEastAsia" w:hAnsiTheme="minorHAnsi" w:cstheme="minorBidi"/>
              <w:sz w:val="22"/>
              <w:szCs w:val="22"/>
            </w:rPr>
          </w:pPr>
          <w:hyperlink w:anchor="_Toc504654735" w:history="1">
            <w:r w:rsidR="005B4BE3" w:rsidRPr="00B4108A">
              <w:rPr>
                <w:rStyle w:val="Hyperlink"/>
              </w:rPr>
              <w:t>Victoria</w:t>
            </w:r>
            <w:r w:rsidR="005B4BE3">
              <w:rPr>
                <w:webHidden/>
              </w:rPr>
              <w:tab/>
            </w:r>
            <w:r w:rsidR="005B4BE3">
              <w:rPr>
                <w:webHidden/>
              </w:rPr>
              <w:fldChar w:fldCharType="begin"/>
            </w:r>
            <w:r w:rsidR="005B4BE3">
              <w:rPr>
                <w:webHidden/>
              </w:rPr>
              <w:instrText xml:space="preserve"> PAGEREF _Toc504654735 \h </w:instrText>
            </w:r>
            <w:r w:rsidR="005B4BE3">
              <w:rPr>
                <w:webHidden/>
              </w:rPr>
            </w:r>
            <w:r w:rsidR="005B4BE3">
              <w:rPr>
                <w:webHidden/>
              </w:rPr>
              <w:fldChar w:fldCharType="separate"/>
            </w:r>
            <w:r w:rsidR="00CC415A">
              <w:rPr>
                <w:webHidden/>
              </w:rPr>
              <w:t>245</w:t>
            </w:r>
            <w:r w:rsidR="005B4BE3">
              <w:rPr>
                <w:webHidden/>
              </w:rPr>
              <w:fldChar w:fldCharType="end"/>
            </w:r>
          </w:hyperlink>
        </w:p>
        <w:p w14:paraId="060AEC19" w14:textId="55B2CCEF" w:rsidR="005B4BE3" w:rsidRDefault="00A7538C" w:rsidP="005B4BE3">
          <w:pPr>
            <w:pStyle w:val="TOC1"/>
            <w:rPr>
              <w:rFonts w:asciiTheme="minorHAnsi" w:eastAsiaTheme="minorEastAsia" w:hAnsiTheme="minorHAnsi" w:cstheme="minorBidi"/>
              <w:sz w:val="22"/>
              <w:szCs w:val="22"/>
            </w:rPr>
          </w:pPr>
          <w:hyperlink w:anchor="_Toc504654736" w:history="1">
            <w:r w:rsidR="005B4BE3" w:rsidRPr="00B4108A">
              <w:rPr>
                <w:rStyle w:val="Hyperlink"/>
              </w:rPr>
              <w:t>Queensland</w:t>
            </w:r>
            <w:r w:rsidR="005B4BE3">
              <w:rPr>
                <w:webHidden/>
              </w:rPr>
              <w:tab/>
            </w:r>
            <w:r w:rsidR="005B4BE3">
              <w:rPr>
                <w:webHidden/>
              </w:rPr>
              <w:fldChar w:fldCharType="begin"/>
            </w:r>
            <w:r w:rsidR="005B4BE3">
              <w:rPr>
                <w:webHidden/>
              </w:rPr>
              <w:instrText xml:space="preserve"> PAGEREF _Toc504654736 \h </w:instrText>
            </w:r>
            <w:r w:rsidR="005B4BE3">
              <w:rPr>
                <w:webHidden/>
              </w:rPr>
            </w:r>
            <w:r w:rsidR="005B4BE3">
              <w:rPr>
                <w:webHidden/>
              </w:rPr>
              <w:fldChar w:fldCharType="separate"/>
            </w:r>
            <w:r w:rsidR="00CC415A">
              <w:rPr>
                <w:webHidden/>
              </w:rPr>
              <w:t>248</w:t>
            </w:r>
            <w:r w:rsidR="005B4BE3">
              <w:rPr>
                <w:webHidden/>
              </w:rPr>
              <w:fldChar w:fldCharType="end"/>
            </w:r>
          </w:hyperlink>
        </w:p>
        <w:p w14:paraId="6C1023D6" w14:textId="19FAA069" w:rsidR="005B4BE3" w:rsidRDefault="00A7538C" w:rsidP="005B4BE3">
          <w:pPr>
            <w:pStyle w:val="TOC1"/>
            <w:rPr>
              <w:rFonts w:asciiTheme="minorHAnsi" w:eastAsiaTheme="minorEastAsia" w:hAnsiTheme="minorHAnsi" w:cstheme="minorBidi"/>
              <w:sz w:val="22"/>
              <w:szCs w:val="22"/>
            </w:rPr>
          </w:pPr>
          <w:hyperlink w:anchor="_Toc504654737" w:history="1">
            <w:r w:rsidR="005B4BE3" w:rsidRPr="00B4108A">
              <w:rPr>
                <w:rStyle w:val="Hyperlink"/>
              </w:rPr>
              <w:t>Western Australia (WA)</w:t>
            </w:r>
            <w:r w:rsidR="005B4BE3">
              <w:rPr>
                <w:webHidden/>
              </w:rPr>
              <w:tab/>
            </w:r>
            <w:r w:rsidR="005B4BE3">
              <w:rPr>
                <w:webHidden/>
              </w:rPr>
              <w:fldChar w:fldCharType="begin"/>
            </w:r>
            <w:r w:rsidR="005B4BE3">
              <w:rPr>
                <w:webHidden/>
              </w:rPr>
              <w:instrText xml:space="preserve"> PAGEREF _Toc504654737 \h </w:instrText>
            </w:r>
            <w:r w:rsidR="005B4BE3">
              <w:rPr>
                <w:webHidden/>
              </w:rPr>
            </w:r>
            <w:r w:rsidR="005B4BE3">
              <w:rPr>
                <w:webHidden/>
              </w:rPr>
              <w:fldChar w:fldCharType="separate"/>
            </w:r>
            <w:r w:rsidR="00CC415A">
              <w:rPr>
                <w:webHidden/>
              </w:rPr>
              <w:t>249</w:t>
            </w:r>
            <w:r w:rsidR="005B4BE3">
              <w:rPr>
                <w:webHidden/>
              </w:rPr>
              <w:fldChar w:fldCharType="end"/>
            </w:r>
          </w:hyperlink>
        </w:p>
        <w:p w14:paraId="423BBA1F" w14:textId="7FFBF4E5" w:rsidR="005B4BE3" w:rsidRDefault="00A7538C" w:rsidP="005B4BE3">
          <w:pPr>
            <w:pStyle w:val="TOC1"/>
            <w:rPr>
              <w:rFonts w:asciiTheme="minorHAnsi" w:eastAsiaTheme="minorEastAsia" w:hAnsiTheme="minorHAnsi" w:cstheme="minorBidi"/>
              <w:sz w:val="22"/>
              <w:szCs w:val="22"/>
            </w:rPr>
          </w:pPr>
          <w:hyperlink w:anchor="_Toc504654738" w:history="1">
            <w:r w:rsidR="005B4BE3" w:rsidRPr="00B4108A">
              <w:rPr>
                <w:rStyle w:val="Hyperlink"/>
              </w:rPr>
              <w:t>South Australia (SA)</w:t>
            </w:r>
            <w:r w:rsidR="005B4BE3">
              <w:rPr>
                <w:webHidden/>
              </w:rPr>
              <w:tab/>
            </w:r>
            <w:r w:rsidR="005B4BE3">
              <w:rPr>
                <w:webHidden/>
              </w:rPr>
              <w:fldChar w:fldCharType="begin"/>
            </w:r>
            <w:r w:rsidR="005B4BE3">
              <w:rPr>
                <w:webHidden/>
              </w:rPr>
              <w:instrText xml:space="preserve"> PAGEREF _Toc504654738 \h </w:instrText>
            </w:r>
            <w:r w:rsidR="005B4BE3">
              <w:rPr>
                <w:webHidden/>
              </w:rPr>
            </w:r>
            <w:r w:rsidR="005B4BE3">
              <w:rPr>
                <w:webHidden/>
              </w:rPr>
              <w:fldChar w:fldCharType="separate"/>
            </w:r>
            <w:r w:rsidR="00CC415A">
              <w:rPr>
                <w:webHidden/>
              </w:rPr>
              <w:t>249</w:t>
            </w:r>
            <w:r w:rsidR="005B4BE3">
              <w:rPr>
                <w:webHidden/>
              </w:rPr>
              <w:fldChar w:fldCharType="end"/>
            </w:r>
          </w:hyperlink>
        </w:p>
        <w:p w14:paraId="0860214A" w14:textId="0DEF04E7" w:rsidR="005B4BE3" w:rsidRDefault="00A7538C" w:rsidP="005B4BE3">
          <w:pPr>
            <w:pStyle w:val="TOC1"/>
            <w:rPr>
              <w:rFonts w:asciiTheme="minorHAnsi" w:eastAsiaTheme="minorEastAsia" w:hAnsiTheme="minorHAnsi" w:cstheme="minorBidi"/>
              <w:sz w:val="22"/>
              <w:szCs w:val="22"/>
            </w:rPr>
          </w:pPr>
          <w:hyperlink w:anchor="_Toc504654739" w:history="1">
            <w:r w:rsidR="005B4BE3" w:rsidRPr="00B4108A">
              <w:rPr>
                <w:rStyle w:val="Hyperlink"/>
              </w:rPr>
              <w:t>Tasmania</w:t>
            </w:r>
            <w:r w:rsidR="005B4BE3">
              <w:rPr>
                <w:webHidden/>
              </w:rPr>
              <w:tab/>
            </w:r>
            <w:r w:rsidR="005B4BE3">
              <w:rPr>
                <w:webHidden/>
              </w:rPr>
              <w:fldChar w:fldCharType="begin"/>
            </w:r>
            <w:r w:rsidR="005B4BE3">
              <w:rPr>
                <w:webHidden/>
              </w:rPr>
              <w:instrText xml:space="preserve"> PAGEREF _Toc504654739 \h </w:instrText>
            </w:r>
            <w:r w:rsidR="005B4BE3">
              <w:rPr>
                <w:webHidden/>
              </w:rPr>
            </w:r>
            <w:r w:rsidR="005B4BE3">
              <w:rPr>
                <w:webHidden/>
              </w:rPr>
              <w:fldChar w:fldCharType="separate"/>
            </w:r>
            <w:r w:rsidR="00CC415A">
              <w:rPr>
                <w:webHidden/>
              </w:rPr>
              <w:t>251</w:t>
            </w:r>
            <w:r w:rsidR="005B4BE3">
              <w:rPr>
                <w:webHidden/>
              </w:rPr>
              <w:fldChar w:fldCharType="end"/>
            </w:r>
          </w:hyperlink>
        </w:p>
        <w:p w14:paraId="6AE9C82E" w14:textId="3A9A42E2" w:rsidR="005B4BE3" w:rsidRDefault="00A7538C" w:rsidP="005B4BE3">
          <w:pPr>
            <w:pStyle w:val="TOC1"/>
            <w:rPr>
              <w:rFonts w:asciiTheme="minorHAnsi" w:eastAsiaTheme="minorEastAsia" w:hAnsiTheme="minorHAnsi" w:cstheme="minorBidi"/>
              <w:sz w:val="22"/>
              <w:szCs w:val="22"/>
            </w:rPr>
          </w:pPr>
          <w:hyperlink w:anchor="_Toc504654740" w:history="1">
            <w:r w:rsidR="005B4BE3" w:rsidRPr="00B4108A">
              <w:rPr>
                <w:rStyle w:val="Hyperlink"/>
              </w:rPr>
              <w:t>Northern Territory (NT)</w:t>
            </w:r>
            <w:r w:rsidR="005B4BE3">
              <w:rPr>
                <w:webHidden/>
              </w:rPr>
              <w:tab/>
            </w:r>
            <w:r w:rsidR="005B4BE3">
              <w:rPr>
                <w:webHidden/>
              </w:rPr>
              <w:fldChar w:fldCharType="begin"/>
            </w:r>
            <w:r w:rsidR="005B4BE3">
              <w:rPr>
                <w:webHidden/>
              </w:rPr>
              <w:instrText xml:space="preserve"> PAGEREF _Toc504654740 \h </w:instrText>
            </w:r>
            <w:r w:rsidR="005B4BE3">
              <w:rPr>
                <w:webHidden/>
              </w:rPr>
            </w:r>
            <w:r w:rsidR="005B4BE3">
              <w:rPr>
                <w:webHidden/>
              </w:rPr>
              <w:fldChar w:fldCharType="separate"/>
            </w:r>
            <w:r w:rsidR="00CC415A">
              <w:rPr>
                <w:webHidden/>
              </w:rPr>
              <w:t>255</w:t>
            </w:r>
            <w:r w:rsidR="005B4BE3">
              <w:rPr>
                <w:webHidden/>
              </w:rPr>
              <w:fldChar w:fldCharType="end"/>
            </w:r>
          </w:hyperlink>
        </w:p>
        <w:p w14:paraId="25B184AC" w14:textId="6D22168E" w:rsidR="005B4BE3" w:rsidRDefault="00A7538C" w:rsidP="005B4BE3">
          <w:pPr>
            <w:pStyle w:val="TOC1"/>
            <w:rPr>
              <w:rFonts w:asciiTheme="minorHAnsi" w:eastAsiaTheme="minorEastAsia" w:hAnsiTheme="minorHAnsi" w:cstheme="minorBidi"/>
              <w:sz w:val="22"/>
              <w:szCs w:val="22"/>
            </w:rPr>
          </w:pPr>
          <w:hyperlink w:anchor="_Toc504654741" w:history="1">
            <w:r w:rsidR="005B4BE3" w:rsidRPr="00B4108A">
              <w:rPr>
                <w:rStyle w:val="Hyperlink"/>
              </w:rPr>
              <w:t>Australian Capital Territory (ACT)</w:t>
            </w:r>
            <w:r w:rsidR="005B4BE3">
              <w:rPr>
                <w:webHidden/>
              </w:rPr>
              <w:tab/>
            </w:r>
            <w:r w:rsidR="005B4BE3">
              <w:rPr>
                <w:webHidden/>
              </w:rPr>
              <w:fldChar w:fldCharType="begin"/>
            </w:r>
            <w:r w:rsidR="005B4BE3">
              <w:rPr>
                <w:webHidden/>
              </w:rPr>
              <w:instrText xml:space="preserve"> PAGEREF _Toc504654741 \h </w:instrText>
            </w:r>
            <w:r w:rsidR="005B4BE3">
              <w:rPr>
                <w:webHidden/>
              </w:rPr>
            </w:r>
            <w:r w:rsidR="005B4BE3">
              <w:rPr>
                <w:webHidden/>
              </w:rPr>
              <w:fldChar w:fldCharType="separate"/>
            </w:r>
            <w:r w:rsidR="00CC415A">
              <w:rPr>
                <w:webHidden/>
              </w:rPr>
              <w:t>260</w:t>
            </w:r>
            <w:r w:rsidR="005B4BE3">
              <w:rPr>
                <w:webHidden/>
              </w:rPr>
              <w:fldChar w:fldCharType="end"/>
            </w:r>
          </w:hyperlink>
        </w:p>
        <w:p w14:paraId="263B8CFB" w14:textId="758A2D7F" w:rsidR="005B4BE3" w:rsidRDefault="00A7538C" w:rsidP="005B4BE3">
          <w:pPr>
            <w:pStyle w:val="TOC1"/>
            <w:rPr>
              <w:rFonts w:asciiTheme="minorHAnsi" w:eastAsiaTheme="minorEastAsia" w:hAnsiTheme="minorHAnsi" w:cstheme="minorBidi"/>
              <w:sz w:val="22"/>
              <w:szCs w:val="22"/>
            </w:rPr>
          </w:pPr>
          <w:hyperlink w:anchor="_Toc504654742" w:history="1">
            <w:r w:rsidR="005B4BE3" w:rsidRPr="00B4108A">
              <w:rPr>
                <w:rStyle w:val="Hyperlink"/>
              </w:rPr>
              <w:t>The Commonwealth</w:t>
            </w:r>
            <w:r w:rsidR="005B4BE3">
              <w:rPr>
                <w:webHidden/>
              </w:rPr>
              <w:tab/>
            </w:r>
            <w:r w:rsidR="005B4BE3">
              <w:rPr>
                <w:webHidden/>
              </w:rPr>
              <w:fldChar w:fldCharType="begin"/>
            </w:r>
            <w:r w:rsidR="005B4BE3">
              <w:rPr>
                <w:webHidden/>
              </w:rPr>
              <w:instrText xml:space="preserve"> PAGEREF _Toc504654742 \h </w:instrText>
            </w:r>
            <w:r w:rsidR="005B4BE3">
              <w:rPr>
                <w:webHidden/>
              </w:rPr>
            </w:r>
            <w:r w:rsidR="005B4BE3">
              <w:rPr>
                <w:webHidden/>
              </w:rPr>
              <w:fldChar w:fldCharType="separate"/>
            </w:r>
            <w:r w:rsidR="00CC415A">
              <w:rPr>
                <w:webHidden/>
              </w:rPr>
              <w:t>260</w:t>
            </w:r>
            <w:r w:rsidR="005B4BE3">
              <w:rPr>
                <w:webHidden/>
              </w:rPr>
              <w:fldChar w:fldCharType="end"/>
            </w:r>
          </w:hyperlink>
        </w:p>
        <w:p w14:paraId="559C527F" w14:textId="235E5887" w:rsidR="005B4BE3" w:rsidRDefault="00A7538C" w:rsidP="005B4BE3">
          <w:pPr>
            <w:pStyle w:val="TOC1"/>
            <w:rPr>
              <w:rFonts w:asciiTheme="minorHAnsi" w:eastAsiaTheme="minorEastAsia" w:hAnsiTheme="minorHAnsi" w:cstheme="minorBidi"/>
              <w:sz w:val="22"/>
              <w:szCs w:val="22"/>
            </w:rPr>
          </w:pPr>
          <w:hyperlink w:anchor="_Toc504654743" w:history="1">
            <w:r w:rsidR="005B4BE3" w:rsidRPr="00B4108A">
              <w:rPr>
                <w:rStyle w:val="Hyperlink"/>
              </w:rPr>
              <w:t>New Zealand</w:t>
            </w:r>
            <w:r w:rsidR="005B4BE3">
              <w:rPr>
                <w:webHidden/>
              </w:rPr>
              <w:tab/>
            </w:r>
            <w:r w:rsidR="005B4BE3">
              <w:rPr>
                <w:webHidden/>
              </w:rPr>
              <w:fldChar w:fldCharType="begin"/>
            </w:r>
            <w:r w:rsidR="005B4BE3">
              <w:rPr>
                <w:webHidden/>
              </w:rPr>
              <w:instrText xml:space="preserve"> PAGEREF _Toc504654743 \h </w:instrText>
            </w:r>
            <w:r w:rsidR="005B4BE3">
              <w:rPr>
                <w:webHidden/>
              </w:rPr>
            </w:r>
            <w:r w:rsidR="005B4BE3">
              <w:rPr>
                <w:webHidden/>
              </w:rPr>
              <w:fldChar w:fldCharType="separate"/>
            </w:r>
            <w:r w:rsidR="00CC415A">
              <w:rPr>
                <w:webHidden/>
              </w:rPr>
              <w:t>263</w:t>
            </w:r>
            <w:r w:rsidR="005B4BE3">
              <w:rPr>
                <w:webHidden/>
              </w:rPr>
              <w:fldChar w:fldCharType="end"/>
            </w:r>
          </w:hyperlink>
        </w:p>
        <w:p w14:paraId="6915BFC1" w14:textId="781D30C4" w:rsidR="005B4BE3" w:rsidRDefault="00A7538C" w:rsidP="005B4BE3">
          <w:pPr>
            <w:pStyle w:val="TOC1"/>
            <w:rPr>
              <w:rFonts w:asciiTheme="minorHAnsi" w:eastAsiaTheme="minorEastAsia" w:hAnsiTheme="minorHAnsi" w:cstheme="minorBidi"/>
              <w:sz w:val="22"/>
              <w:szCs w:val="22"/>
            </w:rPr>
          </w:pPr>
          <w:hyperlink w:anchor="_Toc504654744" w:history="1">
            <w:r w:rsidR="005B4BE3" w:rsidRPr="005B4BE3">
              <w:rPr>
                <w:rStyle w:val="Hyperlink"/>
                <w:b/>
              </w:rPr>
              <w:t>Appendix 2</w:t>
            </w:r>
            <w:r w:rsidR="005B4BE3">
              <w:rPr>
                <w:webHidden/>
              </w:rPr>
              <w:tab/>
            </w:r>
            <w:r w:rsidR="005B4BE3">
              <w:rPr>
                <w:webHidden/>
              </w:rPr>
              <w:fldChar w:fldCharType="begin"/>
            </w:r>
            <w:r w:rsidR="005B4BE3">
              <w:rPr>
                <w:webHidden/>
              </w:rPr>
              <w:instrText xml:space="preserve"> PAGEREF _Toc504654744 \h </w:instrText>
            </w:r>
            <w:r w:rsidR="005B4BE3">
              <w:rPr>
                <w:webHidden/>
              </w:rPr>
            </w:r>
            <w:r w:rsidR="005B4BE3">
              <w:rPr>
                <w:webHidden/>
              </w:rPr>
              <w:fldChar w:fldCharType="separate"/>
            </w:r>
            <w:r w:rsidR="00CC415A">
              <w:rPr>
                <w:webHidden/>
              </w:rPr>
              <w:t>264</w:t>
            </w:r>
            <w:r w:rsidR="005B4BE3">
              <w:rPr>
                <w:webHidden/>
              </w:rPr>
              <w:fldChar w:fldCharType="end"/>
            </w:r>
          </w:hyperlink>
        </w:p>
        <w:p w14:paraId="026A455B" w14:textId="3DE7FF76" w:rsidR="005B4BE3" w:rsidRDefault="00A7538C" w:rsidP="005B4BE3">
          <w:pPr>
            <w:pStyle w:val="TOC1"/>
            <w:rPr>
              <w:rFonts w:asciiTheme="minorHAnsi" w:eastAsiaTheme="minorEastAsia" w:hAnsiTheme="minorHAnsi" w:cstheme="minorBidi"/>
              <w:sz w:val="22"/>
              <w:szCs w:val="22"/>
            </w:rPr>
          </w:pPr>
          <w:hyperlink w:anchor="_Toc504654745" w:history="1">
            <w:r w:rsidR="005B4BE3" w:rsidRPr="00B4108A">
              <w:rPr>
                <w:rStyle w:val="Hyperlink"/>
              </w:rPr>
              <w:t>Diseases</w:t>
            </w:r>
            <w:r w:rsidR="005B4BE3">
              <w:rPr>
                <w:webHidden/>
              </w:rPr>
              <w:tab/>
            </w:r>
            <w:r w:rsidR="005B4BE3">
              <w:rPr>
                <w:webHidden/>
              </w:rPr>
              <w:fldChar w:fldCharType="begin"/>
            </w:r>
            <w:r w:rsidR="005B4BE3">
              <w:rPr>
                <w:webHidden/>
              </w:rPr>
              <w:instrText xml:space="preserve"> PAGEREF _Toc504654745 \h </w:instrText>
            </w:r>
            <w:r w:rsidR="005B4BE3">
              <w:rPr>
                <w:webHidden/>
              </w:rPr>
            </w:r>
            <w:r w:rsidR="005B4BE3">
              <w:rPr>
                <w:webHidden/>
              </w:rPr>
              <w:fldChar w:fldCharType="separate"/>
            </w:r>
            <w:r w:rsidR="00CC415A">
              <w:rPr>
                <w:webHidden/>
              </w:rPr>
              <w:t>264</w:t>
            </w:r>
            <w:r w:rsidR="005B4BE3">
              <w:rPr>
                <w:webHidden/>
              </w:rPr>
              <w:fldChar w:fldCharType="end"/>
            </w:r>
          </w:hyperlink>
        </w:p>
        <w:p w14:paraId="41F3594C" w14:textId="229DF80C"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46" w:history="1">
            <w:r w:rsidR="005B4BE3" w:rsidRPr="00B4108A">
              <w:rPr>
                <w:rStyle w:val="Hyperlink"/>
                <w:noProof/>
              </w:rPr>
              <w:t>Appendix Table 1: Occupational diseases as prescribed at 30 September 2016 — Occupational diseases caused by agents arising from work activities</w:t>
            </w:r>
            <w:r w:rsidR="005B4BE3">
              <w:rPr>
                <w:noProof/>
                <w:webHidden/>
              </w:rPr>
              <w:tab/>
            </w:r>
            <w:r w:rsidR="005B4BE3">
              <w:rPr>
                <w:noProof/>
                <w:webHidden/>
              </w:rPr>
              <w:fldChar w:fldCharType="begin"/>
            </w:r>
            <w:r w:rsidR="005B4BE3">
              <w:rPr>
                <w:noProof/>
                <w:webHidden/>
              </w:rPr>
              <w:instrText xml:space="preserve"> PAGEREF _Toc504654746 \h </w:instrText>
            </w:r>
            <w:r w:rsidR="005B4BE3">
              <w:rPr>
                <w:noProof/>
                <w:webHidden/>
              </w:rPr>
            </w:r>
            <w:r w:rsidR="005B4BE3">
              <w:rPr>
                <w:noProof/>
                <w:webHidden/>
              </w:rPr>
              <w:fldChar w:fldCharType="separate"/>
            </w:r>
            <w:r w:rsidR="00CC415A">
              <w:rPr>
                <w:noProof/>
                <w:webHidden/>
              </w:rPr>
              <w:t>265</w:t>
            </w:r>
            <w:r w:rsidR="005B4BE3">
              <w:rPr>
                <w:noProof/>
                <w:webHidden/>
              </w:rPr>
              <w:fldChar w:fldCharType="end"/>
            </w:r>
          </w:hyperlink>
        </w:p>
        <w:p w14:paraId="2FB59D04" w14:textId="2C92922B" w:rsidR="005B4BE3" w:rsidRDefault="00A7538C">
          <w:pPr>
            <w:pStyle w:val="TOC3"/>
            <w:tabs>
              <w:tab w:val="right" w:leader="dot" w:pos="9016"/>
            </w:tabs>
            <w:rPr>
              <w:rFonts w:asciiTheme="minorHAnsi" w:eastAsiaTheme="minorEastAsia" w:hAnsiTheme="minorHAnsi" w:cstheme="minorBidi"/>
              <w:noProof/>
              <w:sz w:val="22"/>
              <w:szCs w:val="22"/>
            </w:rPr>
          </w:pPr>
          <w:hyperlink w:anchor="_Toc504654747" w:history="1">
            <w:r w:rsidR="005B4BE3" w:rsidRPr="00B4108A">
              <w:rPr>
                <w:rStyle w:val="Hyperlink"/>
                <w:noProof/>
              </w:rPr>
              <w:t>Appendix Table 2: Occupational diseases as prescribed at 30 September 2016 — Occupational cancer</w:t>
            </w:r>
            <w:r w:rsidR="005B4BE3">
              <w:rPr>
                <w:noProof/>
                <w:webHidden/>
              </w:rPr>
              <w:tab/>
            </w:r>
            <w:r w:rsidR="005B4BE3">
              <w:rPr>
                <w:noProof/>
                <w:webHidden/>
              </w:rPr>
              <w:fldChar w:fldCharType="begin"/>
            </w:r>
            <w:r w:rsidR="005B4BE3">
              <w:rPr>
                <w:noProof/>
                <w:webHidden/>
              </w:rPr>
              <w:instrText xml:space="preserve"> PAGEREF _Toc504654747 \h </w:instrText>
            </w:r>
            <w:r w:rsidR="005B4BE3">
              <w:rPr>
                <w:noProof/>
                <w:webHidden/>
              </w:rPr>
            </w:r>
            <w:r w:rsidR="005B4BE3">
              <w:rPr>
                <w:noProof/>
                <w:webHidden/>
              </w:rPr>
              <w:fldChar w:fldCharType="separate"/>
            </w:r>
            <w:r w:rsidR="00CC415A">
              <w:rPr>
                <w:noProof/>
                <w:webHidden/>
              </w:rPr>
              <w:t>277</w:t>
            </w:r>
            <w:r w:rsidR="005B4BE3">
              <w:rPr>
                <w:noProof/>
                <w:webHidden/>
              </w:rPr>
              <w:fldChar w:fldCharType="end"/>
            </w:r>
          </w:hyperlink>
        </w:p>
        <w:p w14:paraId="65557C37" w14:textId="6424C493" w:rsidR="005B4BE3" w:rsidRPr="005B4BE3" w:rsidRDefault="00A7538C" w:rsidP="005B4BE3">
          <w:pPr>
            <w:pStyle w:val="TOC1"/>
            <w:rPr>
              <w:rFonts w:asciiTheme="minorHAnsi" w:eastAsiaTheme="minorEastAsia" w:hAnsiTheme="minorHAnsi" w:cstheme="minorBidi"/>
              <w:sz w:val="22"/>
              <w:szCs w:val="22"/>
            </w:rPr>
          </w:pPr>
          <w:hyperlink w:anchor="_Toc504654748" w:history="1">
            <w:r w:rsidR="005B4BE3" w:rsidRPr="005B4BE3">
              <w:rPr>
                <w:rStyle w:val="Hyperlink"/>
                <w:b/>
              </w:rPr>
              <w:t>Glossary</w:t>
            </w:r>
            <w:r w:rsidR="005B4BE3" w:rsidRPr="005B4BE3">
              <w:rPr>
                <w:webHidden/>
              </w:rPr>
              <w:tab/>
            </w:r>
            <w:r w:rsidR="005B4BE3" w:rsidRPr="005B4BE3">
              <w:rPr>
                <w:webHidden/>
              </w:rPr>
              <w:fldChar w:fldCharType="begin"/>
            </w:r>
            <w:r w:rsidR="005B4BE3" w:rsidRPr="005B4BE3">
              <w:rPr>
                <w:webHidden/>
              </w:rPr>
              <w:instrText xml:space="preserve"> PAGEREF _Toc504654748 \h </w:instrText>
            </w:r>
            <w:r w:rsidR="005B4BE3" w:rsidRPr="005B4BE3">
              <w:rPr>
                <w:webHidden/>
              </w:rPr>
            </w:r>
            <w:r w:rsidR="005B4BE3" w:rsidRPr="005B4BE3">
              <w:rPr>
                <w:webHidden/>
              </w:rPr>
              <w:fldChar w:fldCharType="separate"/>
            </w:r>
            <w:r w:rsidR="00CC415A">
              <w:rPr>
                <w:webHidden/>
              </w:rPr>
              <w:t>281</w:t>
            </w:r>
            <w:r w:rsidR="005B4BE3" w:rsidRPr="005B4BE3">
              <w:rPr>
                <w:webHidden/>
              </w:rPr>
              <w:fldChar w:fldCharType="end"/>
            </w:r>
          </w:hyperlink>
        </w:p>
        <w:p w14:paraId="1B8B3B0D" w14:textId="5B2CA5B8" w:rsidR="005B4BE3" w:rsidRPr="005B4BE3" w:rsidRDefault="00A7538C" w:rsidP="005B4BE3">
          <w:pPr>
            <w:pStyle w:val="TOC1"/>
            <w:rPr>
              <w:rFonts w:asciiTheme="minorHAnsi" w:eastAsiaTheme="minorEastAsia" w:hAnsiTheme="minorHAnsi" w:cstheme="minorBidi"/>
              <w:sz w:val="22"/>
              <w:szCs w:val="22"/>
            </w:rPr>
          </w:pPr>
          <w:hyperlink w:anchor="_Toc504654749" w:history="1">
            <w:r w:rsidR="005B4BE3" w:rsidRPr="005B4BE3">
              <w:rPr>
                <w:rStyle w:val="Hyperlink"/>
                <w:b/>
              </w:rPr>
              <w:t>Acronyms and abbreviations</w:t>
            </w:r>
            <w:r w:rsidR="005B4BE3" w:rsidRPr="005B4BE3">
              <w:rPr>
                <w:webHidden/>
              </w:rPr>
              <w:tab/>
            </w:r>
            <w:r w:rsidR="005B4BE3" w:rsidRPr="005B4BE3">
              <w:rPr>
                <w:webHidden/>
              </w:rPr>
              <w:fldChar w:fldCharType="begin"/>
            </w:r>
            <w:r w:rsidR="005B4BE3" w:rsidRPr="005B4BE3">
              <w:rPr>
                <w:webHidden/>
              </w:rPr>
              <w:instrText xml:space="preserve"> PAGEREF _Toc504654749 \h </w:instrText>
            </w:r>
            <w:r w:rsidR="005B4BE3" w:rsidRPr="005B4BE3">
              <w:rPr>
                <w:webHidden/>
              </w:rPr>
            </w:r>
            <w:r w:rsidR="005B4BE3" w:rsidRPr="005B4BE3">
              <w:rPr>
                <w:webHidden/>
              </w:rPr>
              <w:fldChar w:fldCharType="separate"/>
            </w:r>
            <w:r w:rsidR="00CC415A">
              <w:rPr>
                <w:webHidden/>
              </w:rPr>
              <w:t>286</w:t>
            </w:r>
            <w:r w:rsidR="005B4BE3" w:rsidRPr="005B4BE3">
              <w:rPr>
                <w:webHidden/>
              </w:rPr>
              <w:fldChar w:fldCharType="end"/>
            </w:r>
          </w:hyperlink>
        </w:p>
        <w:p w14:paraId="476518DF" w14:textId="2BB0DB05" w:rsidR="005B4BE3" w:rsidRPr="005B4BE3" w:rsidRDefault="00A7538C" w:rsidP="005B4BE3">
          <w:pPr>
            <w:pStyle w:val="TOC1"/>
            <w:rPr>
              <w:rFonts w:asciiTheme="minorHAnsi" w:eastAsiaTheme="minorEastAsia" w:hAnsiTheme="minorHAnsi" w:cstheme="minorBidi"/>
              <w:sz w:val="22"/>
              <w:szCs w:val="22"/>
            </w:rPr>
          </w:pPr>
          <w:hyperlink w:anchor="_Toc504654750" w:history="1">
            <w:r w:rsidR="005B4BE3" w:rsidRPr="005B4BE3">
              <w:rPr>
                <w:rStyle w:val="Hyperlink"/>
                <w:b/>
              </w:rPr>
              <w:t>Index</w:t>
            </w:r>
            <w:r w:rsidR="005B4BE3" w:rsidRPr="005B4BE3">
              <w:rPr>
                <w:webHidden/>
              </w:rPr>
              <w:tab/>
            </w:r>
            <w:r w:rsidR="005B4BE3" w:rsidRPr="005B4BE3">
              <w:rPr>
                <w:webHidden/>
              </w:rPr>
              <w:fldChar w:fldCharType="begin"/>
            </w:r>
            <w:r w:rsidR="005B4BE3" w:rsidRPr="005B4BE3">
              <w:rPr>
                <w:webHidden/>
              </w:rPr>
              <w:instrText xml:space="preserve"> PAGEREF _Toc504654750 \h </w:instrText>
            </w:r>
            <w:r w:rsidR="005B4BE3" w:rsidRPr="005B4BE3">
              <w:rPr>
                <w:webHidden/>
              </w:rPr>
            </w:r>
            <w:r w:rsidR="005B4BE3" w:rsidRPr="005B4BE3">
              <w:rPr>
                <w:webHidden/>
              </w:rPr>
              <w:fldChar w:fldCharType="separate"/>
            </w:r>
            <w:r w:rsidR="00CC415A">
              <w:rPr>
                <w:webHidden/>
              </w:rPr>
              <w:t>289</w:t>
            </w:r>
            <w:r w:rsidR="005B4BE3" w:rsidRPr="005B4BE3">
              <w:rPr>
                <w:webHidden/>
              </w:rPr>
              <w:fldChar w:fldCharType="end"/>
            </w:r>
          </w:hyperlink>
        </w:p>
        <w:p w14:paraId="05218C5D" w14:textId="7B84A143" w:rsidR="00E57F2A" w:rsidRDefault="00E57F2A">
          <w:r>
            <w:rPr>
              <w:b/>
              <w:bCs/>
              <w:noProof/>
            </w:rPr>
            <w:fldChar w:fldCharType="end"/>
          </w:r>
        </w:p>
      </w:sdtContent>
    </w:sdt>
    <w:p w14:paraId="7DED4236" w14:textId="77777777" w:rsidR="00C66972" w:rsidRPr="00C66972" w:rsidRDefault="00C66972" w:rsidP="00C66972">
      <w:pPr>
        <w:spacing w:after="200" w:line="276" w:lineRule="auto"/>
        <w:rPr>
          <w:rFonts w:eastAsiaTheme="minorHAnsi"/>
        </w:rPr>
      </w:pPr>
      <w:r w:rsidRPr="00C66972">
        <w:rPr>
          <w:rFonts w:eastAsiaTheme="minorHAnsi"/>
        </w:rPr>
        <w:br w:type="page"/>
      </w:r>
    </w:p>
    <w:p w14:paraId="12120AA2" w14:textId="167A53E3" w:rsidR="00BE34AA" w:rsidRDefault="002E029B" w:rsidP="00BE34AA">
      <w:pPr>
        <w:pStyle w:val="SWASectiontitle"/>
        <w:spacing w:before="4000"/>
      </w:pPr>
      <w:bookmarkStart w:id="6" w:name="_Toc482694951"/>
      <w:bookmarkStart w:id="7" w:name="_Toc487701320"/>
      <w:bookmarkStart w:id="8" w:name="_Toc483227136"/>
      <w:bookmarkStart w:id="9" w:name="_Toc487812890"/>
      <w:bookmarkStart w:id="10" w:name="_Toc504654621"/>
      <w:r>
        <w:rPr>
          <w:noProof/>
        </w:rPr>
        <w:lastRenderedPageBreak/>
        <w:drawing>
          <wp:anchor distT="0" distB="0" distL="114300" distR="114300" simplePos="0" relativeHeight="251655680" behindDoc="1" locked="0" layoutInCell="1" allowOverlap="1" wp14:anchorId="7819E819" wp14:editId="1C235D54">
            <wp:simplePos x="0" y="0"/>
            <wp:positionH relativeFrom="column">
              <wp:posOffset>-909732</wp:posOffset>
            </wp:positionH>
            <wp:positionV relativeFrom="paragraph">
              <wp:posOffset>-959518</wp:posOffset>
            </wp:positionV>
            <wp:extent cx="7600950" cy="10732135"/>
            <wp:effectExtent l="0" t="0" r="0" b="0"/>
            <wp:wrapNone/>
            <wp:docPr id="14" name="Picture 14"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29B">
        <w:t>Chapter 1:</w:t>
      </w:r>
      <w:r w:rsidR="00246D8C">
        <w:br/>
      </w:r>
      <w:r w:rsidRPr="007B353C">
        <w:t>Recent developments in workers’ compensation schemes in Australia and New Zealand</w:t>
      </w:r>
      <w:bookmarkEnd w:id="6"/>
      <w:bookmarkEnd w:id="7"/>
      <w:bookmarkEnd w:id="8"/>
      <w:bookmarkEnd w:id="9"/>
      <w:bookmarkEnd w:id="10"/>
      <w:r w:rsidR="00BE34AA">
        <w:br w:type="page"/>
      </w:r>
    </w:p>
    <w:p w14:paraId="49F682DC" w14:textId="77777777" w:rsidR="00550BF7" w:rsidRDefault="00550BF7" w:rsidP="00550BF7">
      <w:pPr>
        <w:spacing w:before="240"/>
        <w:rPr>
          <w:rFonts w:eastAsiaTheme="minorHAnsi"/>
        </w:rPr>
      </w:pPr>
    </w:p>
    <w:p w14:paraId="26676287" w14:textId="12262268" w:rsidR="00DB52B2" w:rsidRDefault="00C66972" w:rsidP="00550BF7">
      <w:pPr>
        <w:spacing w:before="240"/>
        <w:rPr>
          <w:rFonts w:eastAsiaTheme="minorHAnsi"/>
        </w:rPr>
      </w:pPr>
      <w:r w:rsidRPr="00C66972">
        <w:rPr>
          <w:rFonts w:eastAsiaTheme="minorHAnsi"/>
        </w:rPr>
        <w:t xml:space="preserve">There are </w:t>
      </w:r>
      <w:r w:rsidR="00AB5267">
        <w:rPr>
          <w:rFonts w:eastAsiaTheme="minorHAnsi"/>
        </w:rPr>
        <w:t>12</w:t>
      </w:r>
      <w:r w:rsidRPr="00C66972">
        <w:rPr>
          <w:rFonts w:eastAsiaTheme="minorHAnsi"/>
        </w:rPr>
        <w:t xml:space="preserve"> main </w:t>
      </w:r>
      <w:r w:rsidRPr="00441EC1">
        <w:t>workers’</w:t>
      </w:r>
      <w:r w:rsidRPr="00C66972">
        <w:rPr>
          <w:rFonts w:eastAsiaTheme="minorHAnsi"/>
        </w:rPr>
        <w:t xml:space="preserve"> compensation systems in Australia. Each of the eight Australian states and territories ha</w:t>
      </w:r>
      <w:r w:rsidR="00DB5678">
        <w:rPr>
          <w:rFonts w:eastAsiaTheme="minorHAnsi"/>
        </w:rPr>
        <w:t>ve</w:t>
      </w:r>
      <w:r w:rsidRPr="00C66972">
        <w:rPr>
          <w:rFonts w:eastAsiaTheme="minorHAnsi"/>
        </w:rPr>
        <w:t xml:space="preserve"> developed their own workers’ compensation scheme and there are </w:t>
      </w:r>
      <w:r w:rsidR="00AB5267">
        <w:rPr>
          <w:rFonts w:eastAsiaTheme="minorHAnsi"/>
        </w:rPr>
        <w:t>four</w:t>
      </w:r>
      <w:r w:rsidR="00AB5267" w:rsidRPr="00C66972">
        <w:rPr>
          <w:rFonts w:eastAsiaTheme="minorHAnsi"/>
        </w:rPr>
        <w:t xml:space="preserve"> </w:t>
      </w:r>
      <w:r w:rsidRPr="00C66972">
        <w:rPr>
          <w:rFonts w:eastAsiaTheme="minorHAnsi"/>
        </w:rPr>
        <w:t xml:space="preserve">Commonwealth schemes: the first is for Australian Government employees and the employees of licensed self-insurers under the </w:t>
      </w:r>
      <w:hyperlink r:id="rId17" w:history="1">
        <w:r w:rsidRPr="00C66972">
          <w:rPr>
            <w:rStyle w:val="Hyperlink"/>
            <w:rFonts w:eastAsiaTheme="minorHAnsi"/>
            <w:i/>
          </w:rPr>
          <w:t>Safety, Rehabilitation and Compensation Act 1988</w:t>
        </w:r>
      </w:hyperlink>
      <w:r w:rsidRPr="00C66972">
        <w:rPr>
          <w:rFonts w:eastAsiaTheme="minorHAnsi"/>
        </w:rPr>
        <w:t xml:space="preserve"> (SRC Act); the second is for certain seafarers under the </w:t>
      </w:r>
      <w:hyperlink r:id="rId18" w:history="1">
        <w:r w:rsidRPr="00C66972">
          <w:rPr>
            <w:rStyle w:val="Hyperlink"/>
            <w:rFonts w:eastAsiaTheme="minorHAnsi"/>
            <w:i/>
          </w:rPr>
          <w:t>Seafarers Rehabilitation and Compensation Act 1992</w:t>
        </w:r>
      </w:hyperlink>
      <w:r w:rsidRPr="00C66972">
        <w:rPr>
          <w:rFonts w:eastAsiaTheme="minorHAnsi"/>
        </w:rPr>
        <w:t xml:space="preserve">; and the third </w:t>
      </w:r>
      <w:r w:rsidR="00AB5267">
        <w:rPr>
          <w:rFonts w:eastAsiaTheme="minorHAnsi"/>
        </w:rPr>
        <w:t xml:space="preserve">and fourth </w:t>
      </w:r>
      <w:r w:rsidRPr="00C66972">
        <w:rPr>
          <w:rFonts w:eastAsiaTheme="minorHAnsi"/>
        </w:rPr>
        <w:t xml:space="preserve">is for Australian Defence Force personnel with service </w:t>
      </w:r>
      <w:r w:rsidR="00AB5267">
        <w:rPr>
          <w:rFonts w:eastAsiaTheme="minorHAnsi"/>
        </w:rPr>
        <w:t xml:space="preserve">prior to 1 July 2004 under the </w:t>
      </w:r>
      <w:r w:rsidR="00AB5267">
        <w:rPr>
          <w:rFonts w:eastAsiaTheme="minorHAnsi"/>
          <w:i/>
        </w:rPr>
        <w:t xml:space="preserve">Safety, Rehabilitation and Compensation (Defence-related Claims) Act 1988 </w:t>
      </w:r>
      <w:r w:rsidR="00AB5267">
        <w:rPr>
          <w:rFonts w:eastAsiaTheme="minorHAnsi"/>
        </w:rPr>
        <w:t xml:space="preserve">(DRCA) and for service </w:t>
      </w:r>
      <w:r w:rsidRPr="00C66972">
        <w:rPr>
          <w:rFonts w:eastAsiaTheme="minorHAnsi"/>
        </w:rPr>
        <w:t xml:space="preserve">on or after 1 July 2004 under the </w:t>
      </w:r>
      <w:hyperlink r:id="rId19" w:history="1">
        <w:r w:rsidRPr="00C66972">
          <w:rPr>
            <w:rStyle w:val="Hyperlink"/>
            <w:rFonts w:eastAsiaTheme="minorHAnsi"/>
            <w:i/>
          </w:rPr>
          <w:t>Military Rehabilitation and Compensation Act 2004</w:t>
        </w:r>
      </w:hyperlink>
      <w:r w:rsidRPr="00C66972">
        <w:rPr>
          <w:rFonts w:eastAsiaTheme="minorHAnsi"/>
        </w:rPr>
        <w:t xml:space="preserve"> (MRCA).</w:t>
      </w:r>
    </w:p>
    <w:p w14:paraId="29FE6A5A" w14:textId="6DE89B45" w:rsidR="006A50D4" w:rsidRDefault="00C66972" w:rsidP="00550BF7">
      <w:pPr>
        <w:spacing w:before="240"/>
        <w:rPr>
          <w:rFonts w:eastAsiaTheme="minorHAnsi"/>
        </w:rPr>
      </w:pPr>
      <w:r w:rsidRPr="00C66972">
        <w:rPr>
          <w:rFonts w:eastAsiaTheme="minorHAnsi"/>
        </w:rPr>
        <w:t>This chapter focus</w:t>
      </w:r>
      <w:r w:rsidR="00DB5678">
        <w:rPr>
          <w:rFonts w:eastAsiaTheme="minorHAnsi"/>
        </w:rPr>
        <w:t>es</w:t>
      </w:r>
      <w:r w:rsidRPr="00C66972">
        <w:rPr>
          <w:rFonts w:eastAsiaTheme="minorHAnsi"/>
        </w:rPr>
        <w:t xml:space="preserve"> on recent developments that came into effect between July </w:t>
      </w:r>
      <w:r w:rsidR="004659C4">
        <w:rPr>
          <w:rFonts w:eastAsiaTheme="minorHAnsi"/>
        </w:rPr>
        <w:t>2016</w:t>
      </w:r>
      <w:r w:rsidR="004659C4" w:rsidRPr="00C66972">
        <w:rPr>
          <w:rFonts w:eastAsiaTheme="minorHAnsi"/>
        </w:rPr>
        <w:t xml:space="preserve"> </w:t>
      </w:r>
      <w:r w:rsidRPr="00C66972">
        <w:rPr>
          <w:rFonts w:eastAsiaTheme="minorHAnsi"/>
        </w:rPr>
        <w:t xml:space="preserve">and September </w:t>
      </w:r>
      <w:r w:rsidR="004659C4">
        <w:rPr>
          <w:rFonts w:eastAsiaTheme="minorHAnsi"/>
        </w:rPr>
        <w:t>2017</w:t>
      </w:r>
      <w:r w:rsidR="00DB5678">
        <w:rPr>
          <w:rFonts w:eastAsiaTheme="minorHAnsi"/>
        </w:rPr>
        <w:t>,</w:t>
      </w:r>
      <w:r w:rsidRPr="00C66972">
        <w:rPr>
          <w:rFonts w:eastAsiaTheme="minorHAnsi"/>
        </w:rPr>
        <w:t xml:space="preserve"> or which will come into effect after that time. The historical section on the evolution of the workers’ compensation schemes can be found in Appendix 1.</w:t>
      </w:r>
    </w:p>
    <w:p w14:paraId="3D7A2876" w14:textId="77777777" w:rsidR="006A50D4" w:rsidRPr="00A80282" w:rsidRDefault="00C66972" w:rsidP="00A80282">
      <w:pPr>
        <w:pStyle w:val="Title"/>
      </w:pPr>
      <w:bookmarkStart w:id="11" w:name="_Toc483227137"/>
      <w:bookmarkStart w:id="12" w:name="_Toc504654622"/>
      <w:r w:rsidRPr="00A80282">
        <w:t>N</w:t>
      </w:r>
      <w:bookmarkStart w:id="13" w:name="NSW"/>
      <w:r w:rsidRPr="00A80282">
        <w:t>ew South Wales (NSW)</w:t>
      </w:r>
      <w:bookmarkEnd w:id="11"/>
      <w:bookmarkEnd w:id="12"/>
    </w:p>
    <w:bookmarkEnd w:id="13"/>
    <w:p w14:paraId="75889145" w14:textId="77777777" w:rsidR="00EB003D" w:rsidRPr="00EB003D" w:rsidRDefault="00EB003D" w:rsidP="00EB003D">
      <w:pPr>
        <w:rPr>
          <w:b/>
        </w:rPr>
      </w:pPr>
      <w:r w:rsidRPr="00EB003D">
        <w:rPr>
          <w:b/>
        </w:rPr>
        <w:t>Review of Legal Costs</w:t>
      </w:r>
    </w:p>
    <w:p w14:paraId="1339F7FC" w14:textId="77777777" w:rsidR="00EB003D" w:rsidRDefault="00EB003D" w:rsidP="00EB003D">
      <w:pPr>
        <w:rPr>
          <w:i/>
          <w:iCs/>
        </w:rPr>
      </w:pPr>
      <w:r>
        <w:t>The</w:t>
      </w:r>
      <w:r w:rsidRPr="00BF7CB4">
        <w:t xml:space="preserve"> </w:t>
      </w:r>
      <w:r w:rsidRPr="00BF7CB4">
        <w:rPr>
          <w:iCs/>
        </w:rPr>
        <w:t xml:space="preserve">Workers Compensation Amendment (Legal Costs) Regulation 2016 was made on </w:t>
      </w:r>
      <w:r w:rsidRPr="00BF7CB4">
        <w:rPr>
          <w:iCs/>
        </w:rPr>
        <w:br w:type="textWrapping" w:clear="all"/>
        <w:t xml:space="preserve">16 </w:t>
      </w:r>
      <w:r>
        <w:rPr>
          <w:iCs/>
        </w:rPr>
        <w:t>December 2016 and provides for the recovery of legal costs for merit</w:t>
      </w:r>
      <w:r>
        <w:rPr>
          <w:szCs w:val="20"/>
        </w:rPr>
        <w:t xml:space="preserve"> reviews of work capacity decisions. Further transitional arrangements for </w:t>
      </w:r>
      <w:r>
        <w:rPr>
          <w:rFonts w:eastAsiaTheme="minorHAnsi"/>
        </w:rPr>
        <w:t xml:space="preserve">workers receiving weekly payments of compensation before 1 October 2012 </w:t>
      </w:r>
      <w:r>
        <w:rPr>
          <w:szCs w:val="20"/>
        </w:rPr>
        <w:t xml:space="preserve">were also made on 16 December 2016 </w:t>
      </w:r>
      <w:r>
        <w:rPr>
          <w:rFonts w:eastAsiaTheme="minorHAnsi"/>
        </w:rPr>
        <w:t xml:space="preserve">under </w:t>
      </w:r>
      <w:r w:rsidRPr="00BF7CB4">
        <w:rPr>
          <w:rFonts w:eastAsiaTheme="minorHAnsi"/>
        </w:rPr>
        <w:t xml:space="preserve">the </w:t>
      </w:r>
      <w:r w:rsidRPr="00BF7CB4">
        <w:rPr>
          <w:iCs/>
        </w:rPr>
        <w:t>Workers Compensation Amendment (Transitional Arrangements for Weekly Payments) Regulation 2016.</w:t>
      </w:r>
      <w:r>
        <w:rPr>
          <w:i/>
          <w:iCs/>
        </w:rPr>
        <w:t xml:space="preserve"> </w:t>
      </w:r>
    </w:p>
    <w:p w14:paraId="26EAE1DA" w14:textId="77777777" w:rsidR="00EB003D" w:rsidRPr="00EB003D" w:rsidRDefault="00EB003D" w:rsidP="00EB003D">
      <w:pPr>
        <w:rPr>
          <w:rFonts w:cs="Arial"/>
          <w:b/>
          <w:color w:val="000000"/>
          <w:szCs w:val="20"/>
        </w:rPr>
      </w:pPr>
      <w:r w:rsidRPr="00EB003D">
        <w:rPr>
          <w:rFonts w:cs="Arial"/>
          <w:b/>
          <w:color w:val="000000"/>
          <w:szCs w:val="20"/>
        </w:rPr>
        <w:t>Self-insurer Licensing Framework</w:t>
      </w:r>
    </w:p>
    <w:p w14:paraId="1BE74196" w14:textId="77777777" w:rsidR="00EB003D" w:rsidRDefault="00EB003D" w:rsidP="00EB003D">
      <w:pPr>
        <w:rPr>
          <w:rFonts w:cs="Arial"/>
          <w:color w:val="000000"/>
          <w:szCs w:val="20"/>
        </w:rPr>
      </w:pPr>
      <w:r w:rsidRPr="00D84F22">
        <w:rPr>
          <w:rFonts w:cs="Arial"/>
          <w:color w:val="000000"/>
          <w:szCs w:val="20"/>
        </w:rPr>
        <w:t xml:space="preserve">SIRA implemented the new self-insurer licensing framework </w:t>
      </w:r>
      <w:r w:rsidRPr="00D84F22">
        <w:rPr>
          <w:rFonts w:cs="Arial"/>
          <w:szCs w:val="20"/>
        </w:rPr>
        <w:t xml:space="preserve">in </w:t>
      </w:r>
      <w:r w:rsidRPr="00D84F22">
        <w:rPr>
          <w:rFonts w:cs="Arial"/>
          <w:color w:val="000000"/>
          <w:szCs w:val="20"/>
        </w:rPr>
        <w:t>2017 following an extensive consultation and development process. The new framework enhances SIRA’s regulatory approach, enabling risk-based assessments that provide a comprehensive pictu</w:t>
      </w:r>
      <w:r>
        <w:rPr>
          <w:rFonts w:cs="Arial"/>
          <w:color w:val="000000"/>
          <w:szCs w:val="20"/>
        </w:rPr>
        <w:t>re of self-insurer performance.</w:t>
      </w:r>
    </w:p>
    <w:p w14:paraId="56388F98" w14:textId="77777777" w:rsidR="00EB003D" w:rsidRPr="00D84F22" w:rsidRDefault="00EB003D" w:rsidP="00EB003D">
      <w:pPr>
        <w:rPr>
          <w:rFonts w:cs="Arial"/>
          <w:color w:val="000000"/>
          <w:szCs w:val="20"/>
        </w:rPr>
      </w:pPr>
      <w:r w:rsidRPr="00D84F22">
        <w:rPr>
          <w:rFonts w:cs="Arial"/>
          <w:color w:val="000000"/>
          <w:szCs w:val="20"/>
        </w:rPr>
        <w:t xml:space="preserve">Supported by the introduction of a tiering model, the framework now incentivises performance across those measurement areas. The model recognises and encourages exemplary performance by drawing on quantitative and qualitative data and measuring against regulatory expectations. </w:t>
      </w:r>
    </w:p>
    <w:p w14:paraId="52E9AC8F" w14:textId="77777777" w:rsidR="00EB003D" w:rsidRDefault="00EB003D" w:rsidP="00EB003D">
      <w:pPr>
        <w:rPr>
          <w:rFonts w:cs="Arial"/>
          <w:color w:val="000000"/>
          <w:szCs w:val="20"/>
        </w:rPr>
      </w:pPr>
      <w:r w:rsidRPr="00D84F22">
        <w:rPr>
          <w:rFonts w:cs="Arial"/>
          <w:color w:val="000000"/>
          <w:szCs w:val="20"/>
        </w:rPr>
        <w:t>Key changes in the framework were implemented to improve supervision of internal governance structures,</w:t>
      </w:r>
      <w:r w:rsidRPr="00D84F22">
        <w:rPr>
          <w:rFonts w:cs="Arial"/>
          <w:szCs w:val="20"/>
        </w:rPr>
        <w:t xml:space="preserve"> claims management,</w:t>
      </w:r>
      <w:r w:rsidRPr="00D84F22">
        <w:rPr>
          <w:rFonts w:cs="Arial"/>
          <w:color w:val="000000"/>
          <w:szCs w:val="20"/>
        </w:rPr>
        <w:t xml:space="preserve"> data quality, prudential requirements and clarity around significant matters. </w:t>
      </w:r>
    </w:p>
    <w:p w14:paraId="7FAB21E5" w14:textId="77777777" w:rsidR="00EB003D" w:rsidRPr="00EB003D" w:rsidRDefault="00EB003D" w:rsidP="00EB003D">
      <w:pPr>
        <w:rPr>
          <w:rFonts w:cs="Arial"/>
          <w:b/>
          <w:szCs w:val="20"/>
        </w:rPr>
      </w:pPr>
      <w:r w:rsidRPr="00EB003D">
        <w:rPr>
          <w:rFonts w:cs="Arial"/>
          <w:b/>
          <w:szCs w:val="20"/>
        </w:rPr>
        <w:t>Guidelines for workplace return to work programs</w:t>
      </w:r>
    </w:p>
    <w:p w14:paraId="63404A32" w14:textId="77777777" w:rsidR="00EB003D" w:rsidRDefault="00EB003D" w:rsidP="00EB003D">
      <w:pPr>
        <w:rPr>
          <w:rFonts w:cs="Arial"/>
          <w:szCs w:val="20"/>
        </w:rPr>
      </w:pPr>
      <w:r w:rsidRPr="00D84F22">
        <w:rPr>
          <w:rFonts w:cs="Arial"/>
          <w:szCs w:val="20"/>
        </w:rPr>
        <w:t xml:space="preserve">Following extensive stakeholder consultation, SIRA has updated the </w:t>
      </w:r>
      <w:r w:rsidRPr="00D84F22">
        <w:rPr>
          <w:rFonts w:cs="Arial"/>
          <w:i/>
          <w:szCs w:val="20"/>
        </w:rPr>
        <w:t xml:space="preserve">Guidelines for workplace return to work programs. </w:t>
      </w:r>
      <w:r w:rsidRPr="00D84F22">
        <w:rPr>
          <w:rFonts w:cs="Arial"/>
          <w:szCs w:val="20"/>
        </w:rPr>
        <w:t xml:space="preserve">The </w:t>
      </w:r>
      <w:r w:rsidRPr="00D84F22">
        <w:rPr>
          <w:rFonts w:cs="Arial"/>
          <w:i/>
          <w:szCs w:val="20"/>
        </w:rPr>
        <w:t xml:space="preserve">guidelines </w:t>
      </w:r>
      <w:r w:rsidRPr="00D84F22">
        <w:rPr>
          <w:rFonts w:cs="Arial"/>
          <w:szCs w:val="20"/>
        </w:rPr>
        <w:t>came into effect on 31 May 2017 and replace the previous version released in 2010. They support, inform and guide employers and other stakeholders in the development of an effective workplace return to work (RTW) program.</w:t>
      </w:r>
    </w:p>
    <w:p w14:paraId="0DDD1624" w14:textId="1C46BD71" w:rsidR="00C66972" w:rsidRPr="00A80282" w:rsidRDefault="00C66972" w:rsidP="00A80282">
      <w:pPr>
        <w:pStyle w:val="Title"/>
      </w:pPr>
      <w:bookmarkStart w:id="14" w:name="_Toc483227141"/>
      <w:bookmarkStart w:id="15" w:name="_Toc504654623"/>
      <w:r w:rsidRPr="00A80282">
        <w:t>Victoria</w:t>
      </w:r>
      <w:bookmarkEnd w:id="14"/>
      <w:bookmarkEnd w:id="15"/>
      <w:r w:rsidR="009B5CE0" w:rsidRPr="00A80282">
        <w:fldChar w:fldCharType="begin"/>
      </w:r>
      <w:r w:rsidR="009B5CE0" w:rsidRPr="00A80282">
        <w:instrText xml:space="preserve"> XE "Victoria:recent developments" </w:instrText>
      </w:r>
      <w:r w:rsidR="009B5CE0" w:rsidRPr="00A80282">
        <w:fldChar w:fldCharType="end"/>
      </w:r>
      <w:r w:rsidR="000C63D9" w:rsidRPr="00A80282">
        <w:fldChar w:fldCharType="begin"/>
      </w:r>
      <w:r w:rsidR="000C63D9" w:rsidRPr="00A80282">
        <w:instrText xml:space="preserve"> XE "schemes recent developments:Victoria" </w:instrText>
      </w:r>
      <w:r w:rsidR="000C63D9" w:rsidRPr="00A80282">
        <w:fldChar w:fldCharType="end"/>
      </w:r>
    </w:p>
    <w:p w14:paraId="774267D9" w14:textId="77777777" w:rsidR="00CD36F1" w:rsidRDefault="00CD36F1" w:rsidP="00CD36F1">
      <w:pPr>
        <w:rPr>
          <w:rFonts w:eastAsiaTheme="minorHAnsi"/>
        </w:rPr>
      </w:pPr>
      <w:r>
        <w:rPr>
          <w:rFonts w:eastAsiaTheme="minorHAnsi"/>
        </w:rPr>
        <w:t xml:space="preserve">The </w:t>
      </w:r>
      <w:r>
        <w:rPr>
          <w:rFonts w:eastAsiaTheme="minorHAnsi"/>
          <w:i/>
        </w:rPr>
        <w:t>WorkSafe Legislation Amendment Act 2017</w:t>
      </w:r>
      <w:r>
        <w:rPr>
          <w:rFonts w:eastAsiaTheme="minorHAnsi"/>
        </w:rPr>
        <w:t xml:space="preserve"> received Royal Assent on 26 September 2017. The Act amended the </w:t>
      </w:r>
      <w:r>
        <w:rPr>
          <w:rFonts w:eastAsiaTheme="minorHAnsi"/>
          <w:i/>
        </w:rPr>
        <w:t>Workplace Injury Rehabilitation and Compensation Act 2013</w:t>
      </w:r>
      <w:r>
        <w:rPr>
          <w:rFonts w:eastAsiaTheme="minorHAnsi"/>
        </w:rPr>
        <w:t xml:space="preserve"> (WIRC Act) and </w:t>
      </w:r>
      <w:r>
        <w:rPr>
          <w:rFonts w:eastAsiaTheme="minorHAnsi"/>
          <w:i/>
        </w:rPr>
        <w:t>Accident Compensation Act 1985</w:t>
      </w:r>
      <w:r>
        <w:rPr>
          <w:rFonts w:eastAsiaTheme="minorHAnsi"/>
        </w:rPr>
        <w:t xml:space="preserve"> (AC Act), The Act: </w:t>
      </w:r>
    </w:p>
    <w:p w14:paraId="4996F727" w14:textId="77777777" w:rsidR="00CD36F1" w:rsidRPr="000C6B60" w:rsidRDefault="00CD36F1" w:rsidP="00F839DB">
      <w:pPr>
        <w:pStyle w:val="ListParagraph"/>
        <w:numPr>
          <w:ilvl w:val="0"/>
          <w:numId w:val="541"/>
        </w:numPr>
        <w:ind w:left="782" w:hanging="357"/>
        <w:rPr>
          <w:rFonts w:eastAsiaTheme="minorHAnsi"/>
          <w:lang w:eastAsia="en-US"/>
        </w:rPr>
      </w:pPr>
      <w:r>
        <w:rPr>
          <w:rFonts w:eastAsiaTheme="minorHAnsi"/>
          <w:lang w:eastAsia="en-US"/>
        </w:rPr>
        <w:t>a</w:t>
      </w:r>
      <w:r w:rsidRPr="000C6B60">
        <w:rPr>
          <w:rFonts w:eastAsiaTheme="minorHAnsi"/>
          <w:lang w:eastAsia="en-US"/>
        </w:rPr>
        <w:t xml:space="preserve">mends the WIRC Act and the AC Act to allow reasonable costs to be paid to family members of severely injured or deceased workers for travel and accommodation where the worker’s injury requires them to be hospitalised, or the funeral is held, more than 100km from their residence. </w:t>
      </w:r>
    </w:p>
    <w:p w14:paraId="3F946EA8" w14:textId="77777777" w:rsidR="00CD36F1" w:rsidRPr="000C6B60" w:rsidRDefault="00CD36F1" w:rsidP="00F839DB">
      <w:pPr>
        <w:pStyle w:val="ListParagraph"/>
        <w:numPr>
          <w:ilvl w:val="0"/>
          <w:numId w:val="541"/>
        </w:numPr>
        <w:ind w:left="782" w:hanging="357"/>
        <w:rPr>
          <w:rFonts w:eastAsiaTheme="minorHAnsi"/>
          <w:lang w:eastAsia="en-US"/>
        </w:rPr>
      </w:pPr>
      <w:r>
        <w:rPr>
          <w:rFonts w:eastAsiaTheme="minorHAnsi"/>
          <w:lang w:eastAsia="en-US"/>
        </w:rPr>
        <w:t>a</w:t>
      </w:r>
      <w:r w:rsidRPr="000C6B60">
        <w:rPr>
          <w:rFonts w:eastAsiaTheme="minorHAnsi"/>
          <w:lang w:eastAsia="en-US"/>
        </w:rPr>
        <w:t xml:space="preserve">mends the WIRC Act to clarify that a member of a Medical Panel or an expert giving advice to a Medical Panel cannot be compelled to give evidence relating in any way to their role and function as a member or expert. </w:t>
      </w:r>
    </w:p>
    <w:p w14:paraId="3C65F48E" w14:textId="77777777" w:rsidR="00CD36F1" w:rsidRPr="000C6B60" w:rsidRDefault="00CD36F1" w:rsidP="00F839DB">
      <w:pPr>
        <w:pStyle w:val="ListParagraph"/>
        <w:numPr>
          <w:ilvl w:val="0"/>
          <w:numId w:val="541"/>
        </w:numPr>
        <w:ind w:left="782" w:hanging="357"/>
        <w:rPr>
          <w:rFonts w:eastAsiaTheme="minorHAnsi"/>
          <w:lang w:eastAsia="en-US"/>
        </w:rPr>
      </w:pPr>
      <w:r>
        <w:rPr>
          <w:rFonts w:eastAsiaTheme="minorHAnsi"/>
          <w:lang w:eastAsia="en-US"/>
        </w:rPr>
        <w:lastRenderedPageBreak/>
        <w:t>a</w:t>
      </w:r>
      <w:r w:rsidRPr="000C6B60">
        <w:rPr>
          <w:rFonts w:eastAsiaTheme="minorHAnsi"/>
          <w:lang w:eastAsia="en-US"/>
        </w:rPr>
        <w:t>mends the time limit for prosecuting an offence under Part 8 of the WIRC Act, which governs self-insurers, so that the time limit commences from the date that WorkSafe becomes aware of the offence.</w:t>
      </w:r>
    </w:p>
    <w:p w14:paraId="2E63B70A" w14:textId="365BC5FB" w:rsidR="00CD36F1" w:rsidRDefault="00CD36F1" w:rsidP="00F839DB">
      <w:pPr>
        <w:pStyle w:val="ListParagraph"/>
        <w:numPr>
          <w:ilvl w:val="0"/>
          <w:numId w:val="541"/>
        </w:numPr>
        <w:ind w:left="782" w:hanging="357"/>
        <w:rPr>
          <w:rFonts w:eastAsiaTheme="minorHAnsi"/>
          <w:lang w:eastAsia="en-US"/>
        </w:rPr>
      </w:pPr>
      <w:r>
        <w:rPr>
          <w:rFonts w:eastAsiaTheme="minorHAnsi"/>
          <w:lang w:eastAsia="en-US"/>
        </w:rPr>
        <w:t>confirms</w:t>
      </w:r>
      <w:r w:rsidRPr="008F54CF">
        <w:rPr>
          <w:rFonts w:eastAsiaTheme="minorHAnsi"/>
          <w:lang w:eastAsia="en-US"/>
        </w:rPr>
        <w:t xml:space="preserve"> that workers impacted by the decision of Samson Maritime Pty Ltd v Aucote are validly covered under the WorkSafe Scheme.</w:t>
      </w:r>
      <w:r w:rsidRPr="000C6B60">
        <w:rPr>
          <w:rFonts w:eastAsiaTheme="minorHAnsi"/>
          <w:lang w:eastAsia="en-US"/>
        </w:rPr>
        <w:t xml:space="preserve"> That decision expanded the ambit of the federal Seacare scheme to cover certain workers who were previously understood to be covered under state workers compensation schemes, including the Victorian WorkSafe scheme. The </w:t>
      </w:r>
      <w:r w:rsidRPr="005A1614">
        <w:rPr>
          <w:rFonts w:eastAsiaTheme="minorHAnsi"/>
          <w:i/>
          <w:lang w:eastAsia="en-US"/>
        </w:rPr>
        <w:t>WorkSafe Legislation Amendment Act 2017</w:t>
      </w:r>
      <w:r w:rsidRPr="000C6B60">
        <w:rPr>
          <w:rFonts w:eastAsiaTheme="minorHAnsi"/>
          <w:lang w:eastAsia="en-US"/>
        </w:rPr>
        <w:t xml:space="preserve"> confirms that workers impacted by the decision are validly covered under the WorkSafe scheme, as was previously understood to be the case. The amendments also confirm that any premium collected in relation to these </w:t>
      </w:r>
      <w:r>
        <w:rPr>
          <w:rFonts w:eastAsiaTheme="minorHAnsi"/>
          <w:lang w:eastAsia="en-US"/>
        </w:rPr>
        <w:t xml:space="preserve">workers was validly collected. </w:t>
      </w:r>
    </w:p>
    <w:p w14:paraId="24E5C2BC" w14:textId="6330C26C" w:rsidR="006A50D4" w:rsidRPr="000B5608" w:rsidRDefault="00CD36F1" w:rsidP="000B5608">
      <w:pPr>
        <w:pStyle w:val="NormalWeb"/>
        <w:spacing w:before="0" w:beforeAutospacing="0" w:after="0" w:afterAutospacing="0" w:line="276" w:lineRule="auto"/>
        <w:jc w:val="both"/>
        <w:textAlignment w:val="baseline"/>
        <w:rPr>
          <w:rFonts w:eastAsiaTheme="minorHAnsi" w:cs="Arial"/>
          <w:szCs w:val="20"/>
          <w:lang w:eastAsia="en-US"/>
        </w:rPr>
      </w:pPr>
      <w:r>
        <w:rPr>
          <w:rFonts w:ascii="Arial" w:eastAsiaTheme="minorHAnsi" w:hAnsi="Arial" w:cs="Arial"/>
          <w:sz w:val="20"/>
          <w:szCs w:val="20"/>
          <w:lang w:eastAsia="en-US"/>
        </w:rPr>
        <w:t xml:space="preserve">The </w:t>
      </w:r>
      <w:r>
        <w:rPr>
          <w:rFonts w:ascii="Arial" w:eastAsiaTheme="minorHAnsi" w:hAnsi="Arial" w:cs="Arial"/>
          <w:i/>
          <w:sz w:val="20"/>
          <w:szCs w:val="20"/>
          <w:lang w:eastAsia="en-US"/>
        </w:rPr>
        <w:t>Compensation Legislation Amendment Act 2018</w:t>
      </w:r>
      <w:r>
        <w:rPr>
          <w:rFonts w:ascii="Arial" w:eastAsiaTheme="minorHAnsi" w:hAnsi="Arial" w:cs="Arial"/>
          <w:sz w:val="20"/>
          <w:szCs w:val="20"/>
          <w:lang w:eastAsia="en-US"/>
        </w:rPr>
        <w:t xml:space="preserve"> received Royal Assent on 13 February 2018. It will amend the WIRC Act to create consistent workers’ compensation arrangements for licensed and apprentice jockeys. These amendments will come into operation on 1 July 2018. </w:t>
      </w:r>
    </w:p>
    <w:p w14:paraId="2C9BF30A" w14:textId="60DE69DF" w:rsidR="00C66972" w:rsidRPr="004F360B" w:rsidRDefault="00C66972" w:rsidP="004F360B">
      <w:pPr>
        <w:pStyle w:val="Title"/>
      </w:pPr>
      <w:bookmarkStart w:id="16" w:name="_Toc483227142"/>
      <w:bookmarkStart w:id="17" w:name="_Toc504654624"/>
      <w:r w:rsidRPr="004F360B">
        <w:t>Queensland</w:t>
      </w:r>
      <w:bookmarkEnd w:id="16"/>
      <w:bookmarkEnd w:id="17"/>
      <w:r w:rsidR="00B653B7" w:rsidRPr="004F360B">
        <w:fldChar w:fldCharType="begin"/>
      </w:r>
      <w:r w:rsidR="00B653B7" w:rsidRPr="004F360B">
        <w:instrText xml:space="preserve"> XE "Queensland:recent developments" </w:instrText>
      </w:r>
      <w:r w:rsidR="00B653B7" w:rsidRPr="004F360B">
        <w:fldChar w:fldCharType="end"/>
      </w:r>
      <w:r w:rsidR="000C63D9" w:rsidRPr="004F360B">
        <w:fldChar w:fldCharType="begin"/>
      </w:r>
      <w:r w:rsidR="000C63D9" w:rsidRPr="004F360B">
        <w:instrText xml:space="preserve"> XE "schemes recent developments:Queensland" </w:instrText>
      </w:r>
      <w:r w:rsidR="000C63D9" w:rsidRPr="004F360B">
        <w:fldChar w:fldCharType="end"/>
      </w:r>
      <w:r w:rsidR="000B568E" w:rsidRPr="004F360B">
        <w:fldChar w:fldCharType="begin"/>
      </w:r>
      <w:r w:rsidR="000B568E" w:rsidRPr="004F360B">
        <w:instrText xml:space="preserve"> XE "self-insurer arrangements:recent developments (Queensland)" </w:instrText>
      </w:r>
      <w:r w:rsidR="000B568E" w:rsidRPr="004F360B">
        <w:fldChar w:fldCharType="end"/>
      </w:r>
    </w:p>
    <w:p w14:paraId="76F5D686" w14:textId="77777777" w:rsidR="003B6967" w:rsidRPr="00665F70" w:rsidRDefault="003B6967" w:rsidP="003B6967">
      <w:pPr>
        <w:spacing w:before="240"/>
        <w:rPr>
          <w:rFonts w:eastAsiaTheme="minorHAnsi"/>
        </w:rPr>
      </w:pPr>
      <w:r w:rsidRPr="00665F70">
        <w:rPr>
          <w:rFonts w:eastAsiaTheme="minorHAnsi"/>
        </w:rPr>
        <w:t xml:space="preserve">On 23 August 2017, the Queensland Parliament passed the </w:t>
      </w:r>
      <w:r w:rsidRPr="00DB05DD">
        <w:rPr>
          <w:rFonts w:eastAsiaTheme="minorHAnsi"/>
          <w:i/>
        </w:rPr>
        <w:t>Workers’ Compensation and Rehabilitation (Coal Workers’ Pneumoconiosis) and Other Legislation Amendment Act 2017</w:t>
      </w:r>
      <w:r w:rsidRPr="00665F70">
        <w:rPr>
          <w:rFonts w:eastAsiaTheme="minorHAnsi"/>
        </w:rPr>
        <w:t>.</w:t>
      </w:r>
      <w:r>
        <w:rPr>
          <w:rFonts w:eastAsiaTheme="minorHAnsi"/>
        </w:rPr>
        <w:t xml:space="preserve"> </w:t>
      </w:r>
      <w:r w:rsidRPr="00665F70">
        <w:rPr>
          <w:rFonts w:eastAsiaTheme="minorHAnsi"/>
        </w:rPr>
        <w:t xml:space="preserve">The amendment Act amends the </w:t>
      </w:r>
      <w:r w:rsidRPr="00DB05DD">
        <w:rPr>
          <w:rFonts w:eastAsiaTheme="minorHAnsi"/>
          <w:i/>
        </w:rPr>
        <w:t>Workers’ Compensation and Rehabilitation Act 2003</w:t>
      </w:r>
      <w:r w:rsidRPr="00665F70">
        <w:rPr>
          <w:rFonts w:eastAsiaTheme="minorHAnsi"/>
        </w:rPr>
        <w:t xml:space="preserve"> by:</w:t>
      </w:r>
    </w:p>
    <w:p w14:paraId="5033BBE1" w14:textId="77777777" w:rsidR="003B6967" w:rsidRPr="007F4572" w:rsidRDefault="003B6967" w:rsidP="00F839DB">
      <w:pPr>
        <w:pStyle w:val="ListParagraph"/>
        <w:numPr>
          <w:ilvl w:val="0"/>
          <w:numId w:val="544"/>
        </w:numPr>
        <w:rPr>
          <w:rFonts w:eastAsiaTheme="minorHAnsi"/>
        </w:rPr>
      </w:pPr>
      <w:r w:rsidRPr="003B6967">
        <w:rPr>
          <w:rFonts w:eastAsiaTheme="minorHAnsi"/>
        </w:rPr>
        <w:t xml:space="preserve">introducing free medical examinations for former coal workers concerned they may have </w:t>
      </w:r>
      <w:r w:rsidRPr="007F4572">
        <w:rPr>
          <w:rFonts w:eastAsiaTheme="minorHAnsi"/>
        </w:rPr>
        <w:t>Coal Workers’ Pneumoconiosis (CWP) or a Coal Mine Dust Lung Disease, and who have retired or left the coal mining industry prior to 1 January 2017;</w:t>
      </w:r>
    </w:p>
    <w:p w14:paraId="4A4DBC47" w14:textId="77777777" w:rsidR="003B6967" w:rsidRPr="007F4572" w:rsidRDefault="003B6967" w:rsidP="00F839DB">
      <w:pPr>
        <w:pStyle w:val="ListParagraph"/>
        <w:numPr>
          <w:ilvl w:val="0"/>
          <w:numId w:val="544"/>
        </w:numPr>
        <w:rPr>
          <w:rFonts w:eastAsiaTheme="minorHAnsi"/>
        </w:rPr>
      </w:pPr>
      <w:r w:rsidRPr="007F4572">
        <w:rPr>
          <w:rFonts w:eastAsiaTheme="minorHAnsi"/>
        </w:rPr>
        <w:t>ensuring workers with simple CWP or other pneumoconiosis who experience disease progression can apply to re-open their claim to access further benefits under the workers’ compensation scheme; and</w:t>
      </w:r>
    </w:p>
    <w:p w14:paraId="5F658E1E" w14:textId="1CF14DB9" w:rsidR="006A50D4" w:rsidRPr="007F4572" w:rsidRDefault="003B6967" w:rsidP="00F839DB">
      <w:pPr>
        <w:pStyle w:val="ListParagraph"/>
        <w:numPr>
          <w:ilvl w:val="0"/>
          <w:numId w:val="544"/>
        </w:numPr>
        <w:spacing w:before="240"/>
        <w:rPr>
          <w:rFonts w:eastAsiaTheme="minorHAnsi"/>
        </w:rPr>
      </w:pPr>
      <w:r w:rsidRPr="007F4572">
        <w:rPr>
          <w:rFonts w:eastAsiaTheme="minorHAnsi"/>
        </w:rPr>
        <w:t xml:space="preserve">introducing a new lump sum compensation for pneumoconiosis up to a maximum of $120,000 </w:t>
      </w:r>
      <w:r w:rsidR="00B565FC">
        <w:rPr>
          <w:rFonts w:eastAsiaTheme="minorHAnsi"/>
        </w:rPr>
        <w:t xml:space="preserve">(indexed annually) </w:t>
      </w:r>
      <w:r w:rsidRPr="007F4572">
        <w:rPr>
          <w:rFonts w:eastAsiaTheme="minorHAnsi"/>
        </w:rPr>
        <w:t>based on the severity of the workers’ pneumoconiosis injury as graded under International Labour Organization (ILO) guidelines.</w:t>
      </w:r>
    </w:p>
    <w:p w14:paraId="29076FFC" w14:textId="31860F5C" w:rsidR="00C66972" w:rsidRPr="004F360B" w:rsidRDefault="00C66972" w:rsidP="004F360B">
      <w:pPr>
        <w:pStyle w:val="Title"/>
      </w:pPr>
      <w:bookmarkStart w:id="18" w:name="_Toc483227143"/>
      <w:bookmarkStart w:id="19" w:name="_Toc504654625"/>
      <w:r w:rsidRPr="004F360B">
        <w:t>Western Australia (WA)</w:t>
      </w:r>
      <w:bookmarkEnd w:id="18"/>
      <w:bookmarkEnd w:id="19"/>
      <w:r w:rsidR="00306D40" w:rsidRPr="004F360B">
        <w:fldChar w:fldCharType="begin"/>
      </w:r>
      <w:r w:rsidR="00306D40" w:rsidRPr="004F360B">
        <w:instrText xml:space="preserve"> XE "legislative reviews:Western Australia" </w:instrText>
      </w:r>
      <w:r w:rsidR="00306D40" w:rsidRPr="004F360B">
        <w:fldChar w:fldCharType="end"/>
      </w:r>
      <w:r w:rsidR="00232E14" w:rsidRPr="004F360B">
        <w:fldChar w:fldCharType="begin"/>
      </w:r>
      <w:r w:rsidR="00232E14" w:rsidRPr="004F360B">
        <w:instrText xml:space="preserve"> XE "Western Australia:recent developments" </w:instrText>
      </w:r>
      <w:r w:rsidR="00232E14" w:rsidRPr="004F360B">
        <w:fldChar w:fldCharType="end"/>
      </w:r>
      <w:r w:rsidR="000C63D9" w:rsidRPr="004F360B">
        <w:fldChar w:fldCharType="begin"/>
      </w:r>
      <w:r w:rsidR="000C63D9" w:rsidRPr="004F360B">
        <w:instrText xml:space="preserve"> XE "schemes recent developments:Western Australia" </w:instrText>
      </w:r>
      <w:r w:rsidR="000C63D9" w:rsidRPr="004F360B">
        <w:fldChar w:fldCharType="end"/>
      </w:r>
    </w:p>
    <w:p w14:paraId="0892536E" w14:textId="77777777" w:rsidR="009B2A37" w:rsidRPr="009B2A37" w:rsidRDefault="009B2A37" w:rsidP="009B2A37">
      <w:r w:rsidRPr="009B2A37">
        <w:t xml:space="preserve">The Western Australian Government has approved the drafting of a Bill to modernise the workers’ compensation legislation. The Bill will be incorporate recommendations from WorkCover WA’s </w:t>
      </w:r>
      <w:r w:rsidRPr="009B2A37">
        <w:rPr>
          <w:i/>
        </w:rPr>
        <w:t>Review of the Workers’ Compensation and Injury Management Act 1981: Final Report</w:t>
      </w:r>
      <w:r w:rsidRPr="009B2A37">
        <w:t xml:space="preserve">. </w:t>
      </w:r>
    </w:p>
    <w:p w14:paraId="70975948" w14:textId="77777777" w:rsidR="009B2A37" w:rsidRPr="009B2A37" w:rsidRDefault="009B2A37" w:rsidP="009B2A37">
      <w:r w:rsidRPr="009B2A37">
        <w:t>The Bill will also implement lifetime care and support arrangements for catastrophically injured workers, delivering on a commitment between the Commonwealth, and State and Territory governments.</w:t>
      </w:r>
    </w:p>
    <w:p w14:paraId="79491371" w14:textId="77777777" w:rsidR="009B2A37" w:rsidRPr="009B2A37" w:rsidRDefault="009B2A37" w:rsidP="009B2A37">
      <w:r w:rsidRPr="009B2A37">
        <w:t>Public consultation will occur on a draft Bill before it is introduced into State Parliament, continuing WorkCover WA’s open and consultative approach on the legislative review.</w:t>
      </w:r>
    </w:p>
    <w:p w14:paraId="404D5391" w14:textId="77777777" w:rsidR="009B2A37" w:rsidRPr="009B2A37" w:rsidRDefault="009B2A37" w:rsidP="009B2A37">
      <w:r w:rsidRPr="009B2A37">
        <w:t xml:space="preserve">On 1 November 2017 a Bill was introduced to repeal and replace the provisions of the </w:t>
      </w:r>
      <w:r w:rsidRPr="009B2A37">
        <w:rPr>
          <w:i/>
        </w:rPr>
        <w:t>Workers’ Compensation and Injury Management Act 1981</w:t>
      </w:r>
      <w:r w:rsidRPr="009B2A37">
        <w:t xml:space="preserve"> relating to entitlements payable to dependants of workers who die in the course of employment.</w:t>
      </w:r>
    </w:p>
    <w:p w14:paraId="718BC806" w14:textId="77777777" w:rsidR="009B2A37" w:rsidRPr="009B2A37" w:rsidRDefault="009B2A37" w:rsidP="009B2A37">
      <w:r w:rsidRPr="009B2A37">
        <w:lastRenderedPageBreak/>
        <w:t>The changes will:</w:t>
      </w:r>
    </w:p>
    <w:p w14:paraId="1A859308" w14:textId="77777777" w:rsidR="009B2A37" w:rsidRPr="009B2A37" w:rsidRDefault="009B2A37" w:rsidP="00F839DB">
      <w:pPr>
        <w:pStyle w:val="ListParagraph"/>
        <w:numPr>
          <w:ilvl w:val="0"/>
          <w:numId w:val="540"/>
        </w:numPr>
      </w:pPr>
      <w:r w:rsidRPr="009B2A37">
        <w:t>increase the lump sum payment to dependants (which is low compared to other jurisdictions)</w:t>
      </w:r>
    </w:p>
    <w:p w14:paraId="11664F55" w14:textId="77777777" w:rsidR="009B2A37" w:rsidRPr="0048564E" w:rsidRDefault="009B2A37" w:rsidP="00F839DB">
      <w:pPr>
        <w:pStyle w:val="ListParagraph"/>
        <w:numPr>
          <w:ilvl w:val="0"/>
          <w:numId w:val="540"/>
        </w:numPr>
      </w:pPr>
      <w:r w:rsidRPr="0048564E">
        <w:t>provide for a simple and equitable method for apportioning the lump sum between dependants;</w:t>
      </w:r>
    </w:p>
    <w:p w14:paraId="1CFE36EA" w14:textId="77777777" w:rsidR="009B2A37" w:rsidRPr="0048564E" w:rsidRDefault="009B2A37" w:rsidP="00F839DB">
      <w:pPr>
        <w:pStyle w:val="ListParagraph"/>
        <w:numPr>
          <w:ilvl w:val="0"/>
          <w:numId w:val="540"/>
        </w:numPr>
      </w:pPr>
      <w:r w:rsidRPr="0048564E">
        <w:t>increase the weekly child’s allowance for the care and maintenance of each dependent child;</w:t>
      </w:r>
    </w:p>
    <w:p w14:paraId="5F8D69FA" w14:textId="77777777" w:rsidR="009B2A37" w:rsidRPr="00774E55" w:rsidRDefault="009B2A37" w:rsidP="00F839DB">
      <w:pPr>
        <w:pStyle w:val="ListParagraph"/>
        <w:numPr>
          <w:ilvl w:val="0"/>
          <w:numId w:val="540"/>
        </w:numPr>
      </w:pPr>
      <w:r w:rsidRPr="00774E55">
        <w:t>ensure dependent partners and children have access to the full entitlement irrespective of their level of dependency on the worker at the time of death;</w:t>
      </w:r>
    </w:p>
    <w:p w14:paraId="4F2773C9" w14:textId="77777777" w:rsidR="009B2A37" w:rsidRPr="00774E55" w:rsidRDefault="009B2A37" w:rsidP="00F839DB">
      <w:pPr>
        <w:pStyle w:val="ListParagraph"/>
        <w:numPr>
          <w:ilvl w:val="0"/>
          <w:numId w:val="540"/>
        </w:numPr>
      </w:pPr>
      <w:r w:rsidRPr="00774E55">
        <w:t>ensure dependent children can receive both the child’s allowance and a portion of the lump sum;</w:t>
      </w:r>
    </w:p>
    <w:p w14:paraId="3791C94D" w14:textId="77777777" w:rsidR="009B2A37" w:rsidRPr="00774E55" w:rsidRDefault="009B2A37" w:rsidP="00F839DB">
      <w:pPr>
        <w:pStyle w:val="ListParagraph"/>
        <w:numPr>
          <w:ilvl w:val="0"/>
          <w:numId w:val="540"/>
        </w:numPr>
      </w:pPr>
      <w:r w:rsidRPr="00774E55">
        <w:t xml:space="preserve">facilitate timely access to compensation for dependants through a clear claims procedure, support and guidance, and a single pathway for  expedited  resolution or claims; </w:t>
      </w:r>
    </w:p>
    <w:p w14:paraId="6EE45C4C" w14:textId="77777777" w:rsidR="009B2A37" w:rsidRPr="00774E55" w:rsidRDefault="009B2A37" w:rsidP="00F839DB">
      <w:pPr>
        <w:pStyle w:val="ListParagraph"/>
        <w:numPr>
          <w:ilvl w:val="0"/>
          <w:numId w:val="540"/>
        </w:numPr>
      </w:pPr>
      <w:r w:rsidRPr="00774E55">
        <w:t>delete the outdated definition of ‘de facto partner’ and ensure de facto partners are put on the same footing as any married spouse for the purpose of accessing compensation as a dependant.</w:t>
      </w:r>
    </w:p>
    <w:p w14:paraId="5BCD5485" w14:textId="77777777" w:rsidR="009B2A37" w:rsidRPr="00774E55" w:rsidRDefault="009B2A37" w:rsidP="009B2A37">
      <w:pPr>
        <w:rPr>
          <w:rFonts w:eastAsiaTheme="minorHAnsi"/>
        </w:rPr>
      </w:pPr>
      <w:r w:rsidRPr="00774E55">
        <w:rPr>
          <w:rFonts w:eastAsiaTheme="minorHAnsi"/>
        </w:rPr>
        <w:t xml:space="preserve">In late 2016, WorkCover WA launched the </w:t>
      </w:r>
      <w:r w:rsidRPr="00A277DE">
        <w:rPr>
          <w:rFonts w:eastAsiaTheme="minorHAnsi"/>
          <w:i/>
        </w:rPr>
        <w:t>Guidelines for the Evaluation of Permanent Impairment, fourth edition</w:t>
      </w:r>
      <w:r w:rsidRPr="00774E55">
        <w:rPr>
          <w:rFonts w:eastAsiaTheme="minorHAnsi"/>
        </w:rPr>
        <w:t xml:space="preserve"> (the Guidelines).</w:t>
      </w:r>
    </w:p>
    <w:p w14:paraId="6F3055AB" w14:textId="77777777" w:rsidR="009B2A37" w:rsidRPr="00774E55" w:rsidRDefault="009B2A37" w:rsidP="009B2A37">
      <w:pPr>
        <w:rPr>
          <w:rFonts w:eastAsiaTheme="minorHAnsi"/>
        </w:rPr>
      </w:pPr>
      <w:r w:rsidRPr="00774E55">
        <w:rPr>
          <w:rFonts w:eastAsiaTheme="minorHAnsi"/>
        </w:rPr>
        <w:t xml:space="preserve">The Guidelines are used by Approved Medical Specialists (AMS) when performing an evaluation of permanent impairment under the </w:t>
      </w:r>
      <w:r w:rsidRPr="00356CE3">
        <w:rPr>
          <w:rFonts w:eastAsiaTheme="minorHAnsi"/>
          <w:i/>
        </w:rPr>
        <w:t>Workers’ Compensation and Injury Management Act 1981</w:t>
      </w:r>
      <w:r w:rsidRPr="00774E55">
        <w:rPr>
          <w:rFonts w:eastAsiaTheme="minorHAnsi"/>
        </w:rPr>
        <w:t>.</w:t>
      </w:r>
    </w:p>
    <w:p w14:paraId="2C537BC8" w14:textId="77777777" w:rsidR="009B2A37" w:rsidRPr="00774E55" w:rsidRDefault="009B2A37" w:rsidP="009B2A37">
      <w:pPr>
        <w:rPr>
          <w:rFonts w:eastAsiaTheme="minorHAnsi"/>
        </w:rPr>
      </w:pPr>
      <w:r w:rsidRPr="00774E55">
        <w:rPr>
          <w:rFonts w:eastAsiaTheme="minorHAnsi"/>
        </w:rPr>
        <w:t>The Guidelines implement Safe Work Australia’s National Template Guidelines in Western Australia and provides a platform for adopting nationally consistent training and accreditation processes in the future.</w:t>
      </w:r>
    </w:p>
    <w:p w14:paraId="513CEA8B" w14:textId="4219FE51" w:rsidR="006A50D4" w:rsidRPr="0048564E" w:rsidRDefault="009B2A37" w:rsidP="009B2A37">
      <w:pPr>
        <w:rPr>
          <w:rFonts w:eastAsiaTheme="minorHAnsi"/>
        </w:rPr>
      </w:pPr>
      <w:r w:rsidRPr="00774E55">
        <w:rPr>
          <w:rFonts w:eastAsiaTheme="minorHAnsi"/>
        </w:rPr>
        <w:t xml:space="preserve">A copy of the Guidelines and supporting documentation, including a summary of changes from the third edition, can be found </w:t>
      </w:r>
      <w:r w:rsidR="0048564E">
        <w:rPr>
          <w:rFonts w:eastAsiaTheme="minorHAnsi"/>
        </w:rPr>
        <w:t xml:space="preserve">in </w:t>
      </w:r>
      <w:hyperlink r:id="rId20" w:history="1">
        <w:r w:rsidR="0048564E" w:rsidRPr="0048564E">
          <w:rPr>
            <w:rStyle w:val="Hyperlink"/>
            <w:rFonts w:eastAsiaTheme="minorHAnsi"/>
          </w:rPr>
          <w:t>WorkCover WA’s website</w:t>
        </w:r>
      </w:hyperlink>
      <w:r w:rsidR="0048564E">
        <w:rPr>
          <w:rFonts w:eastAsiaTheme="minorHAnsi"/>
        </w:rPr>
        <w:t>.</w:t>
      </w:r>
    </w:p>
    <w:p w14:paraId="652DB080" w14:textId="76488720" w:rsidR="00C66972" w:rsidRPr="004F360B" w:rsidRDefault="00C66972" w:rsidP="004F360B">
      <w:pPr>
        <w:pStyle w:val="Title"/>
      </w:pPr>
      <w:bookmarkStart w:id="20" w:name="_Toc483227144"/>
      <w:bookmarkStart w:id="21" w:name="_Toc504654626"/>
      <w:r w:rsidRPr="004F360B">
        <w:t>South Australia (SA)</w:t>
      </w:r>
      <w:bookmarkEnd w:id="20"/>
      <w:bookmarkEnd w:id="21"/>
      <w:r w:rsidR="000C63D9" w:rsidRPr="004F360B">
        <w:fldChar w:fldCharType="begin"/>
      </w:r>
      <w:r w:rsidR="000C63D9" w:rsidRPr="004F360B">
        <w:instrText xml:space="preserve"> XE "schemes recent developments:South Australia" </w:instrText>
      </w:r>
      <w:r w:rsidR="000C63D9" w:rsidRPr="004F360B">
        <w:fldChar w:fldCharType="end"/>
      </w:r>
      <w:r w:rsidR="007E7520" w:rsidRPr="004F360B">
        <w:fldChar w:fldCharType="begin"/>
      </w:r>
      <w:r w:rsidR="007E7520" w:rsidRPr="004F360B">
        <w:instrText xml:space="preserve"> XE "South Australia:recent developments" </w:instrText>
      </w:r>
      <w:r w:rsidR="007E7520" w:rsidRPr="004F360B">
        <w:fldChar w:fldCharType="end"/>
      </w:r>
    </w:p>
    <w:p w14:paraId="1112FACD" w14:textId="77777777" w:rsidR="0026417C" w:rsidRDefault="0026417C" w:rsidP="0026417C">
      <w:pPr>
        <w:spacing w:before="240"/>
        <w:rPr>
          <w:rFonts w:eastAsiaTheme="minorHAnsi"/>
        </w:rPr>
      </w:pPr>
      <w:r>
        <w:rPr>
          <w:rFonts w:eastAsiaTheme="minorHAnsi"/>
        </w:rPr>
        <w:t>The Return t</w:t>
      </w:r>
      <w:r w:rsidRPr="00C66972">
        <w:rPr>
          <w:rFonts w:eastAsiaTheme="minorHAnsi"/>
        </w:rPr>
        <w:t xml:space="preserve">o Work scheme under the </w:t>
      </w:r>
      <w:r w:rsidRPr="0026417C">
        <w:rPr>
          <w:rFonts w:eastAsiaTheme="minorHAnsi"/>
          <w:i/>
        </w:rPr>
        <w:t>Return to Work Act 2014</w:t>
      </w:r>
      <w:r w:rsidRPr="00C66972">
        <w:rPr>
          <w:rFonts w:eastAsiaTheme="minorHAnsi"/>
        </w:rPr>
        <w:t xml:space="preserve"> commenced on 1 July 2015 replacing the former </w:t>
      </w:r>
      <w:r w:rsidRPr="006D3C1E">
        <w:rPr>
          <w:rFonts w:eastAsiaTheme="minorHAnsi"/>
          <w:i/>
        </w:rPr>
        <w:t>Workers Rehabilitation and Compensation Act</w:t>
      </w:r>
      <w:r w:rsidRPr="0026417C">
        <w:rPr>
          <w:rFonts w:eastAsiaTheme="minorHAnsi"/>
          <w:i/>
        </w:rPr>
        <w:t xml:space="preserve"> 1986</w:t>
      </w:r>
      <w:r>
        <w:rPr>
          <w:rFonts w:eastAsiaTheme="minorHAnsi"/>
        </w:rPr>
        <w:t xml:space="preserve">. There </w:t>
      </w:r>
      <w:r w:rsidRPr="00C66972">
        <w:rPr>
          <w:rFonts w:eastAsiaTheme="minorHAnsi"/>
        </w:rPr>
        <w:t>were no legislative changes to the Act in 201</w:t>
      </w:r>
      <w:r>
        <w:rPr>
          <w:rFonts w:eastAsiaTheme="minorHAnsi"/>
        </w:rPr>
        <w:t>7</w:t>
      </w:r>
      <w:r w:rsidRPr="00C66972">
        <w:rPr>
          <w:rFonts w:eastAsiaTheme="minorHAnsi"/>
        </w:rPr>
        <w:t xml:space="preserve">. </w:t>
      </w:r>
    </w:p>
    <w:p w14:paraId="202C5541" w14:textId="77777777" w:rsidR="0026417C" w:rsidRDefault="0026417C" w:rsidP="0026417C">
      <w:pPr>
        <w:spacing w:before="240"/>
        <w:rPr>
          <w:rFonts w:eastAsiaTheme="minorHAnsi"/>
        </w:rPr>
      </w:pPr>
      <w:r>
        <w:rPr>
          <w:rFonts w:eastAsiaTheme="minorHAnsi"/>
        </w:rPr>
        <w:t>In 2017, ReturnT</w:t>
      </w:r>
      <w:r w:rsidRPr="00C66972">
        <w:rPr>
          <w:rFonts w:eastAsiaTheme="minorHAnsi"/>
        </w:rPr>
        <w:t>oWorkSA continued to</w:t>
      </w:r>
      <w:r>
        <w:rPr>
          <w:rFonts w:eastAsiaTheme="minorHAnsi"/>
        </w:rPr>
        <w:t xml:space="preserve"> embed</w:t>
      </w:r>
      <w:r w:rsidRPr="00C66972">
        <w:rPr>
          <w:rFonts w:eastAsiaTheme="minorHAnsi"/>
        </w:rPr>
        <w:t xml:space="preserve"> reforms consistent with the scheme’s focus on return to work outcomes, recognising the health benefits of work. </w:t>
      </w:r>
      <w:r>
        <w:rPr>
          <w:rFonts w:eastAsiaTheme="minorHAnsi"/>
        </w:rPr>
        <w:t xml:space="preserve">These reforms in conjunction with the legislation have resulted in improved return to work rates in the scheme. </w:t>
      </w:r>
    </w:p>
    <w:p w14:paraId="5FCF5CBA" w14:textId="77777777" w:rsidR="0026417C" w:rsidRPr="00783247" w:rsidRDefault="0026417C" w:rsidP="0026417C">
      <w:pPr>
        <w:spacing w:before="240"/>
        <w:rPr>
          <w:rFonts w:eastAsiaTheme="minorHAnsi"/>
        </w:rPr>
      </w:pPr>
      <w:r>
        <w:rPr>
          <w:rFonts w:eastAsiaTheme="minorHAnsi"/>
        </w:rPr>
        <w:t>ReturnToWorkSA</w:t>
      </w:r>
      <w:r w:rsidRPr="00783247">
        <w:rPr>
          <w:rFonts w:eastAsiaTheme="minorHAnsi"/>
        </w:rPr>
        <w:t xml:space="preserve"> proactively implemented several</w:t>
      </w:r>
      <w:r>
        <w:rPr>
          <w:rFonts w:eastAsiaTheme="minorHAnsi"/>
        </w:rPr>
        <w:t xml:space="preserve"> </w:t>
      </w:r>
      <w:r w:rsidRPr="00783247">
        <w:rPr>
          <w:rFonts w:eastAsiaTheme="minorHAnsi"/>
        </w:rPr>
        <w:t>programs</w:t>
      </w:r>
      <w:r>
        <w:rPr>
          <w:rFonts w:eastAsiaTheme="minorHAnsi"/>
        </w:rPr>
        <w:t xml:space="preserve"> following the introduction of the legislation</w:t>
      </w:r>
      <w:r w:rsidRPr="00783247">
        <w:rPr>
          <w:rFonts w:eastAsiaTheme="minorHAnsi"/>
        </w:rPr>
        <w:t xml:space="preserve"> designed to</w:t>
      </w:r>
      <w:r>
        <w:rPr>
          <w:rFonts w:eastAsiaTheme="minorHAnsi"/>
        </w:rPr>
        <w:t xml:space="preserve"> </w:t>
      </w:r>
      <w:r w:rsidRPr="00783247">
        <w:rPr>
          <w:rFonts w:eastAsiaTheme="minorHAnsi"/>
        </w:rPr>
        <w:t>assist workers</w:t>
      </w:r>
      <w:r>
        <w:rPr>
          <w:rFonts w:eastAsiaTheme="minorHAnsi"/>
        </w:rPr>
        <w:t xml:space="preserve"> and employers, including mobile case management and telephone reporting of work injury claims. They also introduced a free ReCONNECT program, which is designed to support people transitioning from work injury insurance entitlements by connecting them with community and other services outside of the work injury insurance Scheme. </w:t>
      </w:r>
    </w:p>
    <w:p w14:paraId="132E21C1" w14:textId="2B302501" w:rsidR="006A50D4" w:rsidRDefault="0026417C" w:rsidP="0093111D">
      <w:pPr>
        <w:spacing w:before="240"/>
        <w:rPr>
          <w:rFonts w:eastAsiaTheme="minorHAnsi"/>
        </w:rPr>
      </w:pPr>
      <w:r w:rsidRPr="00C66972">
        <w:rPr>
          <w:rFonts w:eastAsiaTheme="minorHAnsi"/>
        </w:rPr>
        <w:t xml:space="preserve">The </w:t>
      </w:r>
      <w:r w:rsidRPr="00C65EB9">
        <w:rPr>
          <w:rFonts w:eastAsiaTheme="minorHAnsi"/>
          <w:i/>
        </w:rPr>
        <w:t>Return to Work Act</w:t>
      </w:r>
      <w:r w:rsidRPr="00356CE3">
        <w:rPr>
          <w:rFonts w:eastAsiaTheme="minorHAnsi"/>
          <w:i/>
        </w:rPr>
        <w:t xml:space="preserve"> </w:t>
      </w:r>
      <w:r w:rsidRPr="0026417C">
        <w:rPr>
          <w:rFonts w:eastAsiaTheme="minorHAnsi"/>
          <w:i/>
        </w:rPr>
        <w:t>2014</w:t>
      </w:r>
      <w:r>
        <w:rPr>
          <w:rFonts w:eastAsiaTheme="minorHAnsi"/>
        </w:rPr>
        <w:t xml:space="preserve"> </w:t>
      </w:r>
      <w:r w:rsidRPr="00C66972">
        <w:rPr>
          <w:rFonts w:eastAsiaTheme="minorHAnsi"/>
        </w:rPr>
        <w:t>include</w:t>
      </w:r>
      <w:r>
        <w:rPr>
          <w:rFonts w:eastAsiaTheme="minorHAnsi"/>
        </w:rPr>
        <w:t>s</w:t>
      </w:r>
      <w:r w:rsidRPr="00C66972">
        <w:rPr>
          <w:rFonts w:eastAsiaTheme="minorHAnsi"/>
        </w:rPr>
        <w:t xml:space="preserve"> a provision requiring a review of the legislation after the expiry of </w:t>
      </w:r>
      <w:r>
        <w:rPr>
          <w:rFonts w:eastAsiaTheme="minorHAnsi"/>
        </w:rPr>
        <w:t>three</w:t>
      </w:r>
      <w:r w:rsidRPr="00C66972">
        <w:rPr>
          <w:rFonts w:eastAsiaTheme="minorHAnsi"/>
        </w:rPr>
        <w:t xml:space="preserve"> years from </w:t>
      </w:r>
      <w:r>
        <w:rPr>
          <w:rFonts w:eastAsiaTheme="minorHAnsi"/>
        </w:rPr>
        <w:t>its commencement (section 203). T</w:t>
      </w:r>
      <w:r w:rsidRPr="000E52C1">
        <w:rPr>
          <w:rFonts w:eastAsiaTheme="minorHAnsi"/>
        </w:rPr>
        <w:t>he review was conducted by the Hon</w:t>
      </w:r>
      <w:r>
        <w:rPr>
          <w:rFonts w:eastAsiaTheme="minorHAnsi"/>
        </w:rPr>
        <w:t xml:space="preserve"> </w:t>
      </w:r>
      <w:r w:rsidRPr="000E52C1">
        <w:rPr>
          <w:rFonts w:eastAsiaTheme="minorHAnsi"/>
        </w:rPr>
        <w:t>John Mansfield AM QC</w:t>
      </w:r>
      <w:r>
        <w:rPr>
          <w:rFonts w:eastAsiaTheme="minorHAnsi"/>
        </w:rPr>
        <w:t xml:space="preserve"> who provided the Government with </w:t>
      </w:r>
      <w:r w:rsidRPr="000D517B">
        <w:rPr>
          <w:rFonts w:eastAsiaTheme="minorHAnsi"/>
        </w:rPr>
        <w:t xml:space="preserve">his </w:t>
      </w:r>
      <w:r>
        <w:rPr>
          <w:rFonts w:eastAsiaTheme="minorHAnsi"/>
        </w:rPr>
        <w:t xml:space="preserve">report and </w:t>
      </w:r>
      <w:r w:rsidRPr="000D517B">
        <w:rPr>
          <w:rFonts w:eastAsiaTheme="minorHAnsi"/>
        </w:rPr>
        <w:t>recommendations on 4 June 2018</w:t>
      </w:r>
      <w:r>
        <w:rPr>
          <w:rFonts w:eastAsiaTheme="minorHAnsi"/>
        </w:rPr>
        <w:t>. At the time of writing the report is being considered by the South Australian Government.</w:t>
      </w:r>
    </w:p>
    <w:p w14:paraId="1A251B58" w14:textId="743F0A96" w:rsidR="00C66972" w:rsidRPr="00A80282" w:rsidRDefault="00C66972" w:rsidP="00A80282">
      <w:pPr>
        <w:pStyle w:val="Title"/>
      </w:pPr>
      <w:bookmarkStart w:id="22" w:name="_Toc483227145"/>
      <w:bookmarkStart w:id="23" w:name="_Toc504654627"/>
      <w:r w:rsidRPr="00A80282">
        <w:lastRenderedPageBreak/>
        <w:t>Tasmania</w:t>
      </w:r>
      <w:bookmarkEnd w:id="22"/>
      <w:bookmarkEnd w:id="23"/>
      <w:r w:rsidR="0093517C" w:rsidRPr="00A80282">
        <w:fldChar w:fldCharType="begin"/>
      </w:r>
      <w:r w:rsidR="0093517C" w:rsidRPr="00A80282">
        <w:instrText xml:space="preserve"> XE "Tasmania:recent developments" </w:instrText>
      </w:r>
      <w:r w:rsidR="0093517C" w:rsidRPr="00A80282">
        <w:fldChar w:fldCharType="end"/>
      </w:r>
      <w:r w:rsidRPr="00A80282">
        <w:t xml:space="preserve"> </w:t>
      </w:r>
      <w:r w:rsidR="000C63D9" w:rsidRPr="00A80282">
        <w:fldChar w:fldCharType="begin"/>
      </w:r>
      <w:r w:rsidR="000C63D9" w:rsidRPr="00A80282">
        <w:instrText xml:space="preserve"> XE "schemes recent developments:Tasmania" </w:instrText>
      </w:r>
      <w:r w:rsidR="000C63D9" w:rsidRPr="00A80282">
        <w:fldChar w:fldCharType="end"/>
      </w:r>
    </w:p>
    <w:p w14:paraId="2DEA40F3" w14:textId="6688FC35" w:rsidR="00DB52B2" w:rsidRDefault="00B70D9A" w:rsidP="00356CE3">
      <w:pPr>
        <w:rPr>
          <w:rFonts w:eastAsiaTheme="minorHAnsi"/>
        </w:rPr>
      </w:pPr>
      <w:r w:rsidRPr="00B140A5">
        <w:rPr>
          <w:rFonts w:eastAsiaTheme="minorHAnsi"/>
        </w:rPr>
        <w:t xml:space="preserve">The </w:t>
      </w:r>
      <w:r w:rsidRPr="0067010E">
        <w:rPr>
          <w:rFonts w:eastAsiaTheme="minorHAnsi"/>
          <w:i/>
        </w:rPr>
        <w:t>Workers Rehabilitatio</w:t>
      </w:r>
      <w:r w:rsidR="0067010E" w:rsidRPr="0067010E">
        <w:rPr>
          <w:rFonts w:eastAsiaTheme="minorHAnsi"/>
          <w:i/>
        </w:rPr>
        <w:t>n and Compensation Amendment Act 2017</w:t>
      </w:r>
      <w:r w:rsidRPr="00B140A5">
        <w:rPr>
          <w:rFonts w:eastAsiaTheme="minorHAnsi"/>
        </w:rPr>
        <w:t xml:space="preserve"> change</w:t>
      </w:r>
      <w:r w:rsidR="0067010E">
        <w:rPr>
          <w:rFonts w:eastAsiaTheme="minorHAnsi"/>
        </w:rPr>
        <w:t>s</w:t>
      </w:r>
      <w:r w:rsidRPr="00B140A5">
        <w:rPr>
          <w:rFonts w:eastAsiaTheme="minorHAnsi"/>
        </w:rPr>
        <w:t xml:space="preserve"> some of the provisions within the </w:t>
      </w:r>
      <w:r w:rsidRPr="003477B3">
        <w:rPr>
          <w:rFonts w:eastAsiaTheme="minorHAnsi"/>
          <w:i/>
        </w:rPr>
        <w:t>Workers Reha</w:t>
      </w:r>
      <w:r w:rsidR="00C337F9">
        <w:rPr>
          <w:rFonts w:eastAsiaTheme="minorHAnsi"/>
          <w:i/>
        </w:rPr>
        <w:t xml:space="preserve">bilitation and Compensation Act </w:t>
      </w:r>
      <w:r w:rsidRPr="003477B3">
        <w:rPr>
          <w:rFonts w:eastAsiaTheme="minorHAnsi"/>
          <w:i/>
        </w:rPr>
        <w:t>1988</w:t>
      </w:r>
      <w:r w:rsidRPr="00B140A5">
        <w:rPr>
          <w:rFonts w:eastAsiaTheme="minorHAnsi"/>
        </w:rPr>
        <w:t>. The amendments focus on opportunities to reduce unnecessary administrative burden on workers’ compensation scheme participants by moving away from unnecessary</w:t>
      </w:r>
      <w:r w:rsidRPr="00B70D9A">
        <w:rPr>
          <w:rFonts w:eastAsiaTheme="minorHAnsi"/>
        </w:rPr>
        <w:t xml:space="preserve"> </w:t>
      </w:r>
      <w:r w:rsidRPr="003477B3">
        <w:rPr>
          <w:rFonts w:eastAsiaTheme="minorHAnsi"/>
        </w:rPr>
        <w:t>administrative processes to instead focus on achieving positive outcomes for all workers, employers and insurers.</w:t>
      </w:r>
    </w:p>
    <w:p w14:paraId="52E34A9F" w14:textId="643FA780" w:rsidR="006A50D4" w:rsidRDefault="00B70D9A" w:rsidP="00BF43A5">
      <w:pPr>
        <w:spacing w:before="240"/>
        <w:rPr>
          <w:rFonts w:eastAsiaTheme="minorHAnsi"/>
        </w:rPr>
      </w:pPr>
      <w:r w:rsidRPr="00B70D9A">
        <w:rPr>
          <w:rFonts w:eastAsiaTheme="minorHAnsi"/>
        </w:rPr>
        <w:t xml:space="preserve">Two significant changes in the </w:t>
      </w:r>
      <w:r w:rsidR="0067010E">
        <w:rPr>
          <w:rFonts w:eastAsiaTheme="minorHAnsi"/>
        </w:rPr>
        <w:t>Amendment Act</w:t>
      </w:r>
      <w:r w:rsidRPr="00B70D9A">
        <w:rPr>
          <w:rFonts w:eastAsiaTheme="minorHAnsi"/>
        </w:rPr>
        <w:t xml:space="preserve"> are:</w:t>
      </w:r>
    </w:p>
    <w:p w14:paraId="4CF81387" w14:textId="31382B56" w:rsidR="003477B3" w:rsidRPr="008111CD" w:rsidRDefault="00C66972" w:rsidP="00BF43A5">
      <w:pPr>
        <w:pStyle w:val="Heading4"/>
        <w:spacing w:before="240"/>
      </w:pPr>
      <w:r w:rsidRPr="008111CD">
        <w:t>Structure of the WorkCover Tasmania Board</w:t>
      </w:r>
    </w:p>
    <w:p w14:paraId="03E7F9D7" w14:textId="54F99152" w:rsidR="006A50D4" w:rsidRDefault="00C66972" w:rsidP="00356CE3">
      <w:pPr>
        <w:rPr>
          <w:rFonts w:eastAsiaTheme="minorHAnsi"/>
        </w:rPr>
      </w:pPr>
      <w:r w:rsidRPr="00C66972">
        <w:rPr>
          <w:rFonts w:eastAsiaTheme="minorHAnsi"/>
        </w:rPr>
        <w:t xml:space="preserve">The membership and voting structure of the WorkCover Tasmania Board </w:t>
      </w:r>
      <w:r w:rsidR="0067010E">
        <w:rPr>
          <w:rFonts w:eastAsiaTheme="minorHAnsi"/>
        </w:rPr>
        <w:t>has</w:t>
      </w:r>
      <w:r w:rsidRPr="00C66972">
        <w:rPr>
          <w:rFonts w:eastAsiaTheme="minorHAnsi"/>
        </w:rPr>
        <w:t xml:space="preserve"> be</w:t>
      </w:r>
      <w:r w:rsidR="0067010E">
        <w:rPr>
          <w:rFonts w:eastAsiaTheme="minorHAnsi"/>
        </w:rPr>
        <w:t>en</w:t>
      </w:r>
      <w:r w:rsidRPr="00C66972">
        <w:rPr>
          <w:rFonts w:eastAsiaTheme="minorHAnsi"/>
        </w:rPr>
        <w:t xml:space="preserve"> redesigned to ensure all members are equipped with the necessary skills and experien</w:t>
      </w:r>
      <w:r w:rsidR="0093111D">
        <w:rPr>
          <w:rFonts w:eastAsiaTheme="minorHAnsi"/>
        </w:rPr>
        <w:t xml:space="preserve">ce to advise and make decisions. </w:t>
      </w:r>
      <w:r w:rsidR="0067010E">
        <w:rPr>
          <w:rFonts w:eastAsiaTheme="minorHAnsi"/>
        </w:rPr>
        <w:t xml:space="preserve">The new structure </w:t>
      </w:r>
      <w:r w:rsidRPr="00C66972">
        <w:rPr>
          <w:rFonts w:eastAsiaTheme="minorHAnsi"/>
        </w:rPr>
        <w:t>bring</w:t>
      </w:r>
      <w:r w:rsidR="0067010E">
        <w:rPr>
          <w:rFonts w:eastAsiaTheme="minorHAnsi"/>
        </w:rPr>
        <w:t>s</w:t>
      </w:r>
      <w:r w:rsidRPr="00C66972">
        <w:rPr>
          <w:rFonts w:eastAsiaTheme="minorHAnsi"/>
        </w:rPr>
        <w:t xml:space="preserve"> the Tasmanian Board into closer alignment with equivalent bodies in other Australian jurisdictions</w:t>
      </w:r>
      <w:r w:rsidR="0093111D">
        <w:rPr>
          <w:rFonts w:eastAsiaTheme="minorHAnsi"/>
        </w:rPr>
        <w:t>,</w:t>
      </w:r>
      <w:r w:rsidRPr="00C66972">
        <w:rPr>
          <w:rFonts w:eastAsiaTheme="minorHAnsi"/>
        </w:rPr>
        <w:t xml:space="preserve"> and position</w:t>
      </w:r>
      <w:r w:rsidR="0067010E">
        <w:rPr>
          <w:rFonts w:eastAsiaTheme="minorHAnsi"/>
        </w:rPr>
        <w:t>s</w:t>
      </w:r>
      <w:r w:rsidRPr="00C66972">
        <w:rPr>
          <w:rFonts w:eastAsiaTheme="minorHAnsi"/>
        </w:rPr>
        <w:t xml:space="preserve"> the Board to further advance the aims of the workers</w:t>
      </w:r>
      <w:r w:rsidR="00A3046A">
        <w:rPr>
          <w:rFonts w:eastAsiaTheme="minorHAnsi"/>
        </w:rPr>
        <w:t>’</w:t>
      </w:r>
      <w:r w:rsidRPr="00C66972">
        <w:rPr>
          <w:rFonts w:eastAsiaTheme="minorHAnsi"/>
        </w:rPr>
        <w:t xml:space="preserve"> compensation scheme.</w:t>
      </w:r>
    </w:p>
    <w:p w14:paraId="224666C7" w14:textId="74B2A16E" w:rsidR="003477B3" w:rsidRPr="008A5420" w:rsidRDefault="00C66972" w:rsidP="00BF43A5">
      <w:pPr>
        <w:pStyle w:val="Heading4"/>
        <w:keepNext/>
        <w:spacing w:before="240"/>
      </w:pPr>
      <w:r w:rsidRPr="008A5420">
        <w:t>Removal of age restrictions for older workers</w:t>
      </w:r>
    </w:p>
    <w:p w14:paraId="02E8C1B6" w14:textId="21CC453A" w:rsidR="00C66972" w:rsidRPr="00C66972" w:rsidRDefault="00C66972" w:rsidP="0093111D">
      <w:pPr>
        <w:rPr>
          <w:rFonts w:eastAsiaTheme="minorHAnsi"/>
        </w:rPr>
      </w:pPr>
      <w:r w:rsidRPr="00C66972">
        <w:rPr>
          <w:rFonts w:eastAsiaTheme="minorHAnsi"/>
        </w:rPr>
        <w:t xml:space="preserve">The </w:t>
      </w:r>
      <w:r w:rsidR="0067010E">
        <w:rPr>
          <w:rFonts w:eastAsiaTheme="minorHAnsi"/>
        </w:rPr>
        <w:t>Amendment Act</w:t>
      </w:r>
      <w:r w:rsidRPr="00C66972">
        <w:rPr>
          <w:rFonts w:eastAsiaTheme="minorHAnsi"/>
        </w:rPr>
        <w:t xml:space="preserve"> includes amendments specifically designed to future-proof the Act from related changes to Commonwealth legislation by removing</w:t>
      </w:r>
      <w:r w:rsidR="00F5337D">
        <w:rPr>
          <w:rFonts w:eastAsiaTheme="minorHAnsi"/>
        </w:rPr>
        <w:t xml:space="preserve"> references to the specific age of 65 years and, instead, links access to weekly benefits to a person’s eligibility to the Age Pension under the </w:t>
      </w:r>
      <w:r w:rsidR="00F5337D">
        <w:rPr>
          <w:rFonts w:eastAsiaTheme="minorHAnsi"/>
          <w:i/>
        </w:rPr>
        <w:t xml:space="preserve">Social Security Act 1991 </w:t>
      </w:r>
      <w:r w:rsidR="00F5337D">
        <w:rPr>
          <w:rFonts w:eastAsiaTheme="minorHAnsi"/>
        </w:rPr>
        <w:t>(Cth).</w:t>
      </w:r>
      <w:r w:rsidRPr="00C66972">
        <w:rPr>
          <w:rFonts w:eastAsiaTheme="minorHAnsi"/>
        </w:rPr>
        <w:t xml:space="preserve"> This allow</w:t>
      </w:r>
      <w:r w:rsidR="0067010E">
        <w:rPr>
          <w:rFonts w:eastAsiaTheme="minorHAnsi"/>
        </w:rPr>
        <w:t>s</w:t>
      </w:r>
      <w:r w:rsidRPr="00C66972">
        <w:rPr>
          <w:rFonts w:eastAsiaTheme="minorHAnsi"/>
        </w:rPr>
        <w:t xml:space="preserve"> the legislation to keep pace with any changes in retirement age and ensure no worker is disadvantaged on account of their age. </w:t>
      </w:r>
    </w:p>
    <w:p w14:paraId="20F06CBE" w14:textId="43F16A46" w:rsidR="00CB575E" w:rsidRDefault="00C66972" w:rsidP="00356CE3">
      <w:pPr>
        <w:spacing w:before="240"/>
        <w:rPr>
          <w:rFonts w:ascii="Arial Bold" w:eastAsiaTheme="majorEastAsia" w:hAnsi="Arial Bold" w:cs="Arial"/>
          <w:b/>
          <w:bCs/>
          <w:color w:val="C00000"/>
          <w:kern w:val="28"/>
          <w:sz w:val="36"/>
          <w:szCs w:val="32"/>
          <w:lang w:eastAsia="en-US"/>
        </w:rPr>
      </w:pPr>
      <w:r w:rsidRPr="00C66972">
        <w:rPr>
          <w:rFonts w:eastAsiaTheme="minorHAnsi"/>
        </w:rPr>
        <w:t xml:space="preserve">Existing protections under the Act for older workers </w:t>
      </w:r>
      <w:r w:rsidR="0067010E">
        <w:rPr>
          <w:rFonts w:eastAsiaTheme="minorHAnsi"/>
        </w:rPr>
        <w:t>are</w:t>
      </w:r>
      <w:r w:rsidRPr="00C66972">
        <w:rPr>
          <w:rFonts w:eastAsiaTheme="minorHAnsi"/>
        </w:rPr>
        <w:t xml:space="preserve"> retained, whereby a person injured close to retirement age </w:t>
      </w:r>
      <w:r w:rsidR="0067010E">
        <w:rPr>
          <w:rFonts w:eastAsiaTheme="minorHAnsi"/>
        </w:rPr>
        <w:t xml:space="preserve">is </w:t>
      </w:r>
      <w:r w:rsidRPr="00C66972">
        <w:rPr>
          <w:rFonts w:eastAsiaTheme="minorHAnsi"/>
        </w:rPr>
        <w:t>entitled to receive weekly payments for up to twelve months from the date of their injury.</w:t>
      </w:r>
      <w:bookmarkStart w:id="24" w:name="_Toc483227146"/>
      <w:bookmarkStart w:id="25" w:name="_Toc504654628"/>
    </w:p>
    <w:p w14:paraId="4AB624E7" w14:textId="73691250" w:rsidR="00C66972" w:rsidRPr="004F360B" w:rsidRDefault="00C66972" w:rsidP="004F360B">
      <w:pPr>
        <w:pStyle w:val="Title"/>
      </w:pPr>
      <w:r w:rsidRPr="004F360B">
        <w:t>Northern Territory (NT)</w:t>
      </w:r>
      <w:bookmarkEnd w:id="24"/>
      <w:bookmarkEnd w:id="25"/>
      <w:r w:rsidR="00A95C3B" w:rsidRPr="004F360B">
        <w:fldChar w:fldCharType="begin"/>
      </w:r>
      <w:r w:rsidR="00A95C3B" w:rsidRPr="004F360B">
        <w:instrText xml:space="preserve"> XE "Northern Territory:recent developments" </w:instrText>
      </w:r>
      <w:r w:rsidR="00A95C3B" w:rsidRPr="004F360B">
        <w:fldChar w:fldCharType="end"/>
      </w:r>
      <w:r w:rsidR="000C63D9" w:rsidRPr="004F360B">
        <w:fldChar w:fldCharType="begin"/>
      </w:r>
      <w:r w:rsidR="000C63D9" w:rsidRPr="004F360B">
        <w:instrText xml:space="preserve"> XE "schemes recent developments:Northern Territory" </w:instrText>
      </w:r>
      <w:r w:rsidR="000C63D9" w:rsidRPr="004F360B">
        <w:fldChar w:fldCharType="end"/>
      </w:r>
    </w:p>
    <w:p w14:paraId="7691D709" w14:textId="77777777" w:rsidR="00702B2E" w:rsidRDefault="00C66972" w:rsidP="00BF43A5">
      <w:pPr>
        <w:spacing w:before="240"/>
        <w:rPr>
          <w:rFonts w:eastAsiaTheme="minorHAnsi"/>
        </w:rPr>
      </w:pPr>
      <w:r w:rsidRPr="00C66972">
        <w:rPr>
          <w:rFonts w:eastAsiaTheme="minorHAnsi"/>
        </w:rPr>
        <w:t xml:space="preserve">Significant amendments were made to the </w:t>
      </w:r>
      <w:r w:rsidRPr="00C66972">
        <w:rPr>
          <w:rFonts w:eastAsiaTheme="minorHAnsi"/>
          <w:i/>
        </w:rPr>
        <w:t>NT Workers Rehabilitation and Compensation Act</w:t>
      </w:r>
      <w:r w:rsidRPr="00C66972">
        <w:rPr>
          <w:rFonts w:eastAsiaTheme="minorHAnsi"/>
        </w:rPr>
        <w:t xml:space="preserve"> (now the </w:t>
      </w:r>
      <w:r w:rsidRPr="00C66972">
        <w:rPr>
          <w:rFonts w:eastAsiaTheme="minorHAnsi"/>
          <w:i/>
        </w:rPr>
        <w:t>Return to Work Act</w:t>
      </w:r>
      <w:r w:rsidRPr="00C66972">
        <w:rPr>
          <w:rFonts w:eastAsiaTheme="minorHAnsi"/>
        </w:rPr>
        <w:t>) in 2015</w:t>
      </w:r>
      <w:r w:rsidR="00E40650">
        <w:rPr>
          <w:rFonts w:eastAsiaTheme="minorHAnsi"/>
        </w:rPr>
        <w:t xml:space="preserve">. </w:t>
      </w:r>
      <w:r w:rsidR="00702B2E">
        <w:rPr>
          <w:rFonts w:eastAsiaTheme="minorHAnsi"/>
        </w:rPr>
        <w:t>No substantial changes have occurred since 2015.</w:t>
      </w:r>
    </w:p>
    <w:p w14:paraId="2F023333" w14:textId="77777777" w:rsidR="00702B2E" w:rsidRDefault="00702B2E" w:rsidP="00702B2E">
      <w:pPr>
        <w:spacing w:before="240"/>
        <w:rPr>
          <w:rFonts w:eastAsiaTheme="minorHAnsi"/>
        </w:rPr>
      </w:pPr>
      <w:r>
        <w:rPr>
          <w:rFonts w:eastAsiaTheme="minorHAnsi"/>
        </w:rPr>
        <w:t xml:space="preserve">On 1 July 2016 the Northern Territory amended a Regulation to adopt the revised list of deemed diseases developed by Safe Work Australia.  </w:t>
      </w:r>
    </w:p>
    <w:p w14:paraId="2E07FC05" w14:textId="1576D8E2" w:rsidR="006A50D4" w:rsidRPr="00702B2E" w:rsidRDefault="00702B2E" w:rsidP="00702B2E">
      <w:pPr>
        <w:spacing w:before="240"/>
        <w:rPr>
          <w:rFonts w:eastAsiaTheme="minorHAnsi"/>
        </w:rPr>
      </w:pPr>
      <w:r>
        <w:rPr>
          <w:rFonts w:eastAsiaTheme="minorHAnsi"/>
        </w:rPr>
        <w:t xml:space="preserve">On 1 September 2017, the Northern Territory implemented the national template guide for the evaluation of permanent impairment.  This guide was developed through a national process facilitated by Safe Work Australia. The </w:t>
      </w:r>
      <w:r w:rsidRPr="000454B0">
        <w:rPr>
          <w:rFonts w:eastAsiaTheme="minorHAnsi"/>
          <w:i/>
        </w:rPr>
        <w:t>NT WorkSafe Guidelines for the Evaluation of Permanent Impairment</w:t>
      </w:r>
      <w:r>
        <w:rPr>
          <w:rFonts w:eastAsiaTheme="minorHAnsi"/>
        </w:rPr>
        <w:t xml:space="preserve"> applies for all assessments conducted on or after that date. A copy of the guide is located on the NT WorkSafe website.</w:t>
      </w:r>
      <w:r w:rsidR="00C66972" w:rsidRPr="00702B2E">
        <w:rPr>
          <w:rFonts w:eastAsiaTheme="minorHAnsi"/>
        </w:rPr>
        <w:t xml:space="preserve"> </w:t>
      </w:r>
    </w:p>
    <w:p w14:paraId="3B67472B" w14:textId="712BBDF6" w:rsidR="00C66972" w:rsidRPr="00A80282" w:rsidRDefault="00C66972" w:rsidP="00A80282">
      <w:pPr>
        <w:pStyle w:val="Title"/>
      </w:pPr>
      <w:bookmarkStart w:id="26" w:name="_Toc483227147"/>
      <w:bookmarkStart w:id="27" w:name="_Toc504654629"/>
      <w:r w:rsidRPr="00A80282">
        <w:t>Australian Capital Territory (ACT</w:t>
      </w:r>
      <w:bookmarkEnd w:id="26"/>
      <w:r w:rsidRPr="00A80282">
        <w:t>)</w:t>
      </w:r>
      <w:bookmarkEnd w:id="27"/>
      <w:r w:rsidR="006A50D4" w:rsidRPr="00A80282">
        <w:t xml:space="preserve"> </w:t>
      </w:r>
    </w:p>
    <w:p w14:paraId="342E8F71" w14:textId="3B48106A" w:rsidR="00FF1D4B" w:rsidRDefault="00FF1D4B" w:rsidP="00FF1D4B">
      <w:pPr>
        <w:spacing w:before="240"/>
      </w:pPr>
      <w:bookmarkStart w:id="28" w:name="_Toc483227148"/>
      <w:r w:rsidRPr="00B7673F">
        <w:rPr>
          <w:rFonts w:eastAsia="Calibri"/>
          <w:lang w:eastAsia="en-US"/>
        </w:rPr>
        <w:t>The</w:t>
      </w:r>
      <w:r w:rsidRPr="00B7673F">
        <w:rPr>
          <w:rFonts w:eastAsia="Calibri"/>
          <w:i/>
          <w:lang w:eastAsia="en-US"/>
        </w:rPr>
        <w:t xml:space="preserve"> Workers Compensation Amendment Act </w:t>
      </w:r>
      <w:r>
        <w:rPr>
          <w:rFonts w:eastAsia="Calibri"/>
          <w:i/>
          <w:lang w:eastAsia="en-US"/>
        </w:rPr>
        <w:t>2017</w:t>
      </w:r>
      <w:r w:rsidRPr="00B7673F">
        <w:rPr>
          <w:rFonts w:eastAsia="Calibri"/>
          <w:i/>
          <w:lang w:eastAsia="en-US"/>
        </w:rPr>
        <w:t xml:space="preserve"> </w:t>
      </w:r>
      <w:r w:rsidRPr="00B7673F">
        <w:rPr>
          <w:rFonts w:eastAsia="Calibri"/>
          <w:lang w:eastAsia="en-US"/>
        </w:rPr>
        <w:t>(the Act)</w:t>
      </w:r>
      <w:r w:rsidRPr="00B7673F">
        <w:rPr>
          <w:rFonts w:eastAsia="Calibri"/>
          <w:i/>
          <w:lang w:eastAsia="en-US"/>
        </w:rPr>
        <w:t xml:space="preserve"> </w:t>
      </w:r>
      <w:r w:rsidRPr="00B7673F">
        <w:rPr>
          <w:rFonts w:eastAsia="Calibri"/>
          <w:lang w:eastAsia="en-US"/>
        </w:rPr>
        <w:t xml:space="preserve">was passed by the ACT Legislative Assembly in </w:t>
      </w:r>
      <w:r>
        <w:rPr>
          <w:rFonts w:eastAsia="Calibri"/>
          <w:lang w:eastAsia="en-US"/>
        </w:rPr>
        <w:t>October 2017</w:t>
      </w:r>
      <w:r w:rsidRPr="00B7673F">
        <w:rPr>
          <w:rFonts w:eastAsia="Calibri"/>
          <w:lang w:eastAsia="en-US"/>
        </w:rPr>
        <w:t xml:space="preserve">. </w:t>
      </w:r>
      <w:r w:rsidRPr="00B7673F">
        <w:t>The Act introduced amendments to</w:t>
      </w:r>
      <w:r>
        <w:t xml:space="preserve"> increase death entitlements, weekly compensation, modernise the employment-related diseases list and introduced a penalty provision aimed at employers who fail to pay an injured worker following receipt of a claim. All amendments other than weekly compensation </w:t>
      </w:r>
      <w:r>
        <w:rPr>
          <w:rFonts w:eastAsia="Calibri"/>
          <w:lang w:eastAsia="en-US"/>
        </w:rPr>
        <w:t>commenced</w:t>
      </w:r>
      <w:r w:rsidRPr="00B7673F">
        <w:rPr>
          <w:rFonts w:eastAsia="Calibri"/>
          <w:lang w:eastAsia="en-US"/>
        </w:rPr>
        <w:t xml:space="preserve"> on 1</w:t>
      </w:r>
      <w:r>
        <w:rPr>
          <w:rFonts w:eastAsia="Calibri"/>
          <w:lang w:eastAsia="en-US"/>
        </w:rPr>
        <w:t>3 December 2017. The amendments to weekly compensation had a retrospective effect commencing 1 July 2017 to align with the Australian Government aged pension reforms.</w:t>
      </w:r>
    </w:p>
    <w:p w14:paraId="7941B60B" w14:textId="77777777" w:rsidR="00FF1D4B" w:rsidRDefault="00FF1D4B" w:rsidP="00FF1D4B">
      <w:pPr>
        <w:spacing w:before="240"/>
      </w:pPr>
      <w:r>
        <w:lastRenderedPageBreak/>
        <w:t>The death entitlement payments increased to approximately double the previous entitlement, bringing payments to a level consistent with the Commonwealth’s Comcare scheme, this creates equity for the familes of ACT private and public sector workers.</w:t>
      </w:r>
    </w:p>
    <w:p w14:paraId="68F1B596" w14:textId="664A55D9" w:rsidR="00FF1D4B" w:rsidRPr="000B2ED1" w:rsidRDefault="00FF1D4B" w:rsidP="00FF1D4B">
      <w:pPr>
        <w:spacing w:before="240"/>
      </w:pPr>
      <w:r w:rsidRPr="00674F50">
        <w:t>The Australian Government is incrementally increasing the qualifying age for the age pension from 65 to 67 years between 2017 and 2023.</w:t>
      </w:r>
      <w:r w:rsidRPr="00A81031">
        <w:t xml:space="preserve"> </w:t>
      </w:r>
      <w:r w:rsidRPr="000B2ED1">
        <w:t>From 1 July 2017, the qualifying age for the pe</w:t>
      </w:r>
      <w:r>
        <w:t xml:space="preserve">nsion increased to 65.5 years. </w:t>
      </w:r>
    </w:p>
    <w:p w14:paraId="1BD0236C" w14:textId="7CF4996F" w:rsidR="00FF1D4B" w:rsidRPr="00674F50" w:rsidRDefault="00FF1D4B" w:rsidP="00FF1D4B">
      <w:pPr>
        <w:spacing w:before="240"/>
      </w:pPr>
      <w:r>
        <w:t>Prior to the amendments</w:t>
      </w:r>
      <w:r w:rsidRPr="00674F50">
        <w:t>, the ACT workers’ compensation laws provide</w:t>
      </w:r>
      <w:r>
        <w:t>d</w:t>
      </w:r>
      <w:r w:rsidRPr="00674F50">
        <w:t xml:space="preserve"> that workers injured before their 63rd birthday </w:t>
      </w:r>
      <w:r>
        <w:t>were</w:t>
      </w:r>
      <w:r w:rsidRPr="00674F50">
        <w:t xml:space="preserve"> not entitled to weekly compensation payments once they reach</w:t>
      </w:r>
      <w:r>
        <w:t>ed</w:t>
      </w:r>
      <w:r w:rsidRPr="00674F50">
        <w:t xml:space="preserve"> age 65.</w:t>
      </w:r>
      <w:r>
        <w:t xml:space="preserve"> </w:t>
      </w:r>
      <w:r w:rsidRPr="00674F50">
        <w:t xml:space="preserve">Reforms to weekly benefit eligibility align the workers’ compensation laws with the Commonwealth age pension age, ensuring that injured workers can transition from weekly compensation to the age pension without any gap in income. </w:t>
      </w:r>
    </w:p>
    <w:p w14:paraId="1AEB973D" w14:textId="77777777" w:rsidR="00FF1D4B" w:rsidRPr="00674F50" w:rsidRDefault="00FF1D4B" w:rsidP="00FF1D4B">
      <w:pPr>
        <w:spacing w:before="240"/>
      </w:pPr>
      <w:r w:rsidRPr="00674F50">
        <w:t xml:space="preserve">In August 2015 Safe Work Australia published an updated list of Deemed Diseases, which was based on expert research and agreed by a tripartite national committee. </w:t>
      </w:r>
      <w:r>
        <w:t>In a</w:t>
      </w:r>
      <w:r w:rsidRPr="00674F50">
        <w:t>dopting Safe Work Australia</w:t>
      </w:r>
      <w:r>
        <w:t xml:space="preserve">’s deemed diseases list the Territory </w:t>
      </w:r>
      <w:r w:rsidRPr="00674F50">
        <w:t>expand</w:t>
      </w:r>
      <w:r>
        <w:t>ed</w:t>
      </w:r>
      <w:r w:rsidRPr="00674F50">
        <w:t xml:space="preserve"> the number of deemed diseases from 28 to 48.</w:t>
      </w:r>
    </w:p>
    <w:p w14:paraId="08EC67D8" w14:textId="3134B203" w:rsidR="00CB575E" w:rsidRPr="00D14462" w:rsidRDefault="00FF1D4B" w:rsidP="00D14462">
      <w:pPr>
        <w:spacing w:before="240"/>
      </w:pPr>
      <w:r w:rsidRPr="00674F50">
        <w:t>The reforms introduced a penalty provision against an employer who fails to pay a worker weekly compensation after being provided with a notice of a work-related injury. This</w:t>
      </w:r>
      <w:r>
        <w:t xml:space="preserve"> penalty has been introduced to</w:t>
      </w:r>
      <w:r w:rsidRPr="00674F50">
        <w:t xml:space="preserve"> encourage compliance with the legislation and protect worker rights.</w:t>
      </w:r>
      <w:bookmarkStart w:id="29" w:name="_Toc504654630"/>
    </w:p>
    <w:p w14:paraId="4C570FB4" w14:textId="42887B3B" w:rsidR="00C66972" w:rsidRPr="00A80282" w:rsidRDefault="00C66972" w:rsidP="00A80282">
      <w:pPr>
        <w:pStyle w:val="Title"/>
      </w:pPr>
      <w:r w:rsidRPr="00A80282">
        <w:t>Comcare</w:t>
      </w:r>
      <w:bookmarkEnd w:id="28"/>
      <w:bookmarkEnd w:id="29"/>
      <w:r w:rsidR="00C44D5D" w:rsidRPr="00A80282">
        <w:fldChar w:fldCharType="begin"/>
      </w:r>
      <w:r w:rsidR="00C44D5D" w:rsidRPr="00A80282">
        <w:instrText xml:space="preserve"> XE "Comcare:recent developments" </w:instrText>
      </w:r>
      <w:r w:rsidR="00C44D5D" w:rsidRPr="00A80282">
        <w:fldChar w:fldCharType="end"/>
      </w:r>
      <w:r w:rsidR="000C63D9" w:rsidRPr="00A80282">
        <w:fldChar w:fldCharType="begin"/>
      </w:r>
      <w:r w:rsidR="000C63D9" w:rsidRPr="00A80282">
        <w:instrText xml:space="preserve"> XE "schemes recent developments:Comcare" </w:instrText>
      </w:r>
      <w:r w:rsidR="000C63D9" w:rsidRPr="00A80282">
        <w:fldChar w:fldCharType="end"/>
      </w:r>
    </w:p>
    <w:p w14:paraId="43024C99" w14:textId="77777777" w:rsidR="00C66972" w:rsidRPr="00C66972" w:rsidRDefault="00C66972" w:rsidP="00BF43A5">
      <w:pPr>
        <w:pStyle w:val="Heading4"/>
        <w:spacing w:before="240"/>
        <w:rPr>
          <w:rFonts w:eastAsiaTheme="minorHAnsi"/>
        </w:rPr>
      </w:pPr>
      <w:bookmarkStart w:id="30" w:name="_Toc483227149"/>
      <w:r w:rsidRPr="00C66972">
        <w:rPr>
          <w:rFonts w:eastAsiaTheme="minorHAnsi"/>
        </w:rPr>
        <w:t>Self-</w:t>
      </w:r>
      <w:r w:rsidRPr="004D3B20">
        <w:t>insurance</w:t>
      </w:r>
      <w:bookmarkEnd w:id="30"/>
      <w:r w:rsidRPr="00C66972">
        <w:rPr>
          <w:rFonts w:eastAsiaTheme="minorHAnsi"/>
        </w:rPr>
        <w:t xml:space="preserve"> </w:t>
      </w:r>
    </w:p>
    <w:p w14:paraId="1F50A48F" w14:textId="34F985C2" w:rsidR="006A50D4" w:rsidRDefault="00C66972" w:rsidP="0093111D">
      <w:pPr>
        <w:rPr>
          <w:rFonts w:eastAsiaTheme="minorHAnsi"/>
        </w:rPr>
      </w:pPr>
      <w:r w:rsidRPr="00C66972">
        <w:rPr>
          <w:rFonts w:eastAsiaTheme="minorHAnsi"/>
        </w:rPr>
        <w:t>Self-insurance in the Comcare scheme is regulated by the Safety, Rehabilitation and Compensation Commission (the Commission), an independent body appointed by the Minist</w:t>
      </w:r>
      <w:r w:rsidR="004D3B20">
        <w:rPr>
          <w:rFonts w:eastAsiaTheme="minorHAnsi"/>
        </w:rPr>
        <w:t xml:space="preserve">er for Employment. </w:t>
      </w:r>
      <w:r w:rsidR="0093111D">
        <w:rPr>
          <w:rFonts w:eastAsiaTheme="minorHAnsi"/>
        </w:rPr>
        <w:br/>
      </w:r>
      <w:r w:rsidR="00851F52">
        <w:rPr>
          <w:rFonts w:eastAsiaTheme="minorHAnsi"/>
        </w:rPr>
        <w:t>In 2017</w:t>
      </w:r>
      <w:r w:rsidRPr="00C66972">
        <w:rPr>
          <w:rFonts w:eastAsiaTheme="minorHAnsi"/>
        </w:rPr>
        <w:t>, the Commission implement</w:t>
      </w:r>
      <w:r w:rsidR="00851F52">
        <w:rPr>
          <w:rFonts w:eastAsiaTheme="minorHAnsi"/>
        </w:rPr>
        <w:t>ed</w:t>
      </w:r>
      <w:r w:rsidR="003437E5">
        <w:rPr>
          <w:rFonts w:eastAsiaTheme="minorHAnsi"/>
        </w:rPr>
        <w:t xml:space="preserve"> </w:t>
      </w:r>
      <w:r w:rsidRPr="00C66972">
        <w:rPr>
          <w:rFonts w:eastAsiaTheme="minorHAnsi"/>
        </w:rPr>
        <w:t>a new risk-based and more flexible mod</w:t>
      </w:r>
      <w:r w:rsidR="00641566">
        <w:rPr>
          <w:rFonts w:eastAsiaTheme="minorHAnsi"/>
        </w:rPr>
        <w:t>el of self-insurance regulation</w:t>
      </w:r>
      <w:r w:rsidR="00710B26">
        <w:rPr>
          <w:rStyle w:val="FootnoteReference"/>
          <w:rFonts w:eastAsiaTheme="minorHAnsi"/>
        </w:rPr>
        <w:footnoteReference w:id="2"/>
      </w:r>
      <w:r w:rsidRPr="00C66972">
        <w:rPr>
          <w:rFonts w:eastAsiaTheme="minorHAnsi"/>
        </w:rPr>
        <w:t>.</w:t>
      </w:r>
    </w:p>
    <w:p w14:paraId="4ADD68E7" w14:textId="288C0961" w:rsidR="00C66972" w:rsidRPr="004D3B20" w:rsidRDefault="00C66972" w:rsidP="00BF43A5">
      <w:pPr>
        <w:pStyle w:val="Heading4"/>
        <w:spacing w:before="240"/>
      </w:pPr>
      <w:bookmarkStart w:id="31" w:name="_Toc483227150"/>
      <w:r w:rsidRPr="004D3B20">
        <w:t>Legislative amendments</w:t>
      </w:r>
      <w:bookmarkEnd w:id="31"/>
    </w:p>
    <w:p w14:paraId="54134ED2" w14:textId="21960831" w:rsidR="00A47624" w:rsidRDefault="00A47624" w:rsidP="00BF43A5">
      <w:pPr>
        <w:spacing w:before="240"/>
      </w:pPr>
      <w:r>
        <w:t xml:space="preserve">The </w:t>
      </w:r>
      <w:r>
        <w:rPr>
          <w:i/>
          <w:iCs/>
        </w:rPr>
        <w:t>Comcare and Seacare Legislation Amendment (Pension Age and Catastrophic Injury) Act 2017</w:t>
      </w:r>
      <w:r>
        <w:t xml:space="preserve"> received Royal Assent on 22 June 2017. This Act aligned the </w:t>
      </w:r>
      <w:r>
        <w:rPr>
          <w:i/>
          <w:iCs/>
        </w:rPr>
        <w:t>Safety, Rehabilitation and Compensation Act 1988</w:t>
      </w:r>
      <w:r>
        <w:t xml:space="preserve"> and the </w:t>
      </w:r>
      <w:r>
        <w:rPr>
          <w:i/>
          <w:iCs/>
        </w:rPr>
        <w:t>Seafarers’ Rehabilitation and Compensation Act 1992</w:t>
      </w:r>
      <w:r>
        <w:t xml:space="preserve"> with the age of eligibility for the Age Pension and the minimum benchmarks in the National Injury Insurance Scheme for supporting catastrophically injured employees.</w:t>
      </w:r>
    </w:p>
    <w:p w14:paraId="0E02C8E5" w14:textId="252D68DD" w:rsidR="00EA2F67" w:rsidRPr="00EA2F67" w:rsidRDefault="00EA2F67" w:rsidP="00BF43A5">
      <w:pPr>
        <w:spacing w:before="240"/>
        <w:rPr>
          <w:rFonts w:eastAsiaTheme="minorHAnsi"/>
        </w:rPr>
      </w:pPr>
      <w:r>
        <w:t xml:space="preserve">The </w:t>
      </w:r>
      <w:r>
        <w:rPr>
          <w:i/>
        </w:rPr>
        <w:t xml:space="preserve">Safety, Rehabilitation and Compensation (Specified Diseases and Employment) Instrument 2017 </w:t>
      </w:r>
      <w:r>
        <w:t xml:space="preserve">was made effective 1 October 2017. This instrument sets out the circumstances in which a specified disease listed in the instrument may be taken to have been contributed to by employment under the </w:t>
      </w:r>
      <w:r>
        <w:rPr>
          <w:i/>
        </w:rPr>
        <w:t xml:space="preserve">Safety, Rehabilitation and Compensation Act 1988. </w:t>
      </w:r>
      <w:r>
        <w:t>This new list replaces the previous legislative instrument issued in 2007.</w:t>
      </w:r>
    </w:p>
    <w:p w14:paraId="435558AB" w14:textId="15032F90" w:rsidR="00407CB2" w:rsidRPr="00A80282" w:rsidRDefault="00C66972" w:rsidP="00A80282">
      <w:pPr>
        <w:pStyle w:val="Title"/>
      </w:pPr>
      <w:bookmarkStart w:id="32" w:name="_Toc483227152"/>
      <w:bookmarkStart w:id="33" w:name="_Toc504654631"/>
      <w:r w:rsidRPr="00A80282">
        <w:lastRenderedPageBreak/>
        <w:t>New Zealand</w:t>
      </w:r>
      <w:bookmarkEnd w:id="32"/>
      <w:bookmarkEnd w:id="33"/>
      <w:r w:rsidR="003B3E5B" w:rsidRPr="00A80282">
        <w:fldChar w:fldCharType="begin"/>
      </w:r>
      <w:r w:rsidR="003B3E5B" w:rsidRPr="00A80282">
        <w:instrText xml:space="preserve"> XE "New Zealand:</w:instrText>
      </w:r>
      <w:r w:rsidR="00A95C3B" w:rsidRPr="00A80282">
        <w:instrText>recent developments</w:instrText>
      </w:r>
      <w:r w:rsidR="003B3E5B" w:rsidRPr="00A80282">
        <w:instrText xml:space="preserve">" </w:instrText>
      </w:r>
      <w:r w:rsidR="003B3E5B" w:rsidRPr="00A80282">
        <w:fldChar w:fldCharType="end"/>
      </w:r>
      <w:r w:rsidR="000C63D9" w:rsidRPr="00A80282">
        <w:fldChar w:fldCharType="begin"/>
      </w:r>
      <w:r w:rsidR="000C63D9" w:rsidRPr="00A80282">
        <w:instrText xml:space="preserve"> XE "schemes recent developments:New Zealand" </w:instrText>
      </w:r>
      <w:r w:rsidR="000C63D9" w:rsidRPr="00A80282">
        <w:fldChar w:fldCharType="end"/>
      </w:r>
    </w:p>
    <w:p w14:paraId="5C06E079" w14:textId="4422CE41" w:rsidR="00172AC7" w:rsidRPr="00E01D0F" w:rsidRDefault="00C66972" w:rsidP="00BF43A5">
      <w:pPr>
        <w:spacing w:before="240"/>
        <w:rPr>
          <w:rFonts w:eastAsiaTheme="majorEastAsia"/>
        </w:rPr>
      </w:pPr>
      <w:r w:rsidRPr="00C66972">
        <w:rPr>
          <w:rFonts w:eastAsiaTheme="minorHAnsi"/>
        </w:rPr>
        <w:t xml:space="preserve">In September 2015, the </w:t>
      </w:r>
      <w:r w:rsidRPr="00A4264C">
        <w:rPr>
          <w:rFonts w:eastAsiaTheme="minorHAnsi"/>
        </w:rPr>
        <w:t>Accident Compensation (Financial Responsibility and Transparency) Amendment Bill</w:t>
      </w:r>
      <w:r w:rsidRPr="00C66972">
        <w:rPr>
          <w:rFonts w:eastAsiaTheme="minorHAnsi"/>
        </w:rPr>
        <w:t xml:space="preserve"> was passed into legislation. The Minister for the Accident Compensation Corporation (ACC) has now removed the residual portion of levies, and it w</w:t>
      </w:r>
      <w:r w:rsidR="00DD0D68">
        <w:rPr>
          <w:rFonts w:eastAsiaTheme="minorHAnsi"/>
        </w:rPr>
        <w:t xml:space="preserve">ill no longer be collected </w:t>
      </w:r>
      <w:r w:rsidR="009B58A5">
        <w:rPr>
          <w:rFonts w:eastAsiaTheme="minorHAnsi"/>
        </w:rPr>
        <w:t>from</w:t>
      </w:r>
      <w:r w:rsidR="009B58A5" w:rsidRPr="00C66972">
        <w:rPr>
          <w:rFonts w:eastAsiaTheme="minorHAnsi"/>
        </w:rPr>
        <w:t xml:space="preserve"> 1</w:t>
      </w:r>
      <w:r w:rsidR="00DD0D68">
        <w:rPr>
          <w:rFonts w:eastAsiaTheme="minorHAnsi"/>
        </w:rPr>
        <w:t> </w:t>
      </w:r>
      <w:r w:rsidRPr="00C66972">
        <w:rPr>
          <w:rFonts w:eastAsiaTheme="minorHAnsi"/>
        </w:rPr>
        <w:t>April</w:t>
      </w:r>
      <w:r w:rsidR="00DD0D68">
        <w:rPr>
          <w:rFonts w:eastAsiaTheme="minorHAnsi"/>
        </w:rPr>
        <w:t> </w:t>
      </w:r>
      <w:r w:rsidRPr="00C66972">
        <w:rPr>
          <w:rFonts w:eastAsiaTheme="minorHAnsi"/>
        </w:rPr>
        <w:t>2016 for the Work and Earners’ Accounts and from 1 July 2016 for the Motor Vehicle Account.</w:t>
      </w:r>
      <w:r w:rsidR="00E01D0F">
        <w:rPr>
          <w:rFonts w:eastAsiaTheme="majorEastAsia"/>
        </w:rPr>
        <w:t xml:space="preserve"> </w:t>
      </w:r>
      <w:r w:rsidRPr="00C66972">
        <w:rPr>
          <w:rFonts w:eastAsiaTheme="minorHAnsi"/>
        </w:rPr>
        <w:t>The residual levy is most visible to employers and self-employed people because it is itemised in the levy invoicing they receive from ACC and is charged at a different rate according to risk relativities as at 2005. It also means that the full benefits of self-cover can be realised by accredited employers. The removal of the residual portion of the work levy does not automatically result in reduced levies for all employers or industries.</w:t>
      </w:r>
    </w:p>
    <w:p w14:paraId="062C137D" w14:textId="77777777" w:rsidR="00172AC7" w:rsidRDefault="00C66972" w:rsidP="00BF43A5">
      <w:pPr>
        <w:spacing w:before="240"/>
        <w:rPr>
          <w:rFonts w:eastAsiaTheme="minorHAnsi"/>
        </w:rPr>
      </w:pPr>
      <w:r w:rsidRPr="00C66972">
        <w:rPr>
          <w:rFonts w:eastAsiaTheme="minorHAnsi"/>
        </w:rPr>
        <w:t xml:space="preserve">Another change made in the </w:t>
      </w:r>
      <w:r w:rsidRPr="00A4264C">
        <w:rPr>
          <w:rFonts w:eastAsiaTheme="minorHAnsi"/>
        </w:rPr>
        <w:t>Accident Compensation (Financial Responsibility and Transparency) Amendment Bill</w:t>
      </w:r>
      <w:r w:rsidRPr="00C66972">
        <w:rPr>
          <w:rFonts w:eastAsiaTheme="minorHAnsi"/>
        </w:rPr>
        <w:t xml:space="preserve"> is that the Minister for ACC will now set a funding policy for the Board to apply and consult on. This will increase transparency of the Government’s risk preferences and expectations for funding the levied accounts of the scheme.</w:t>
      </w:r>
    </w:p>
    <w:p w14:paraId="6FEF199E" w14:textId="4A80F01E" w:rsidR="00AB2638" w:rsidRDefault="00C66972" w:rsidP="00BF43A5">
      <w:pPr>
        <w:spacing w:before="240"/>
        <w:rPr>
          <w:rFonts w:eastAsiaTheme="minorHAnsi"/>
        </w:rPr>
      </w:pPr>
      <w:r w:rsidRPr="00C66972">
        <w:rPr>
          <w:rFonts w:eastAsiaTheme="minorHAnsi"/>
        </w:rPr>
        <w:t xml:space="preserve">New Zealand recently undertook its most significant workplace health and safety reforms in 20 years resulting in the </w:t>
      </w:r>
      <w:r w:rsidRPr="00C66972">
        <w:rPr>
          <w:rFonts w:eastAsiaTheme="minorHAnsi"/>
          <w:i/>
        </w:rPr>
        <w:t>Health and Safety at Work Act 2015</w:t>
      </w:r>
      <w:r w:rsidRPr="00C66972">
        <w:rPr>
          <w:rFonts w:eastAsiaTheme="minorHAnsi"/>
        </w:rPr>
        <w:t xml:space="preserve"> (HSWA) and the formation of WorkSafe New Zealand (WorkSafe). This new Act came into force on 4 April 2016 and immediately repealed the </w:t>
      </w:r>
      <w:r w:rsidRPr="00C65EB9">
        <w:rPr>
          <w:rFonts w:eastAsiaTheme="minorHAnsi"/>
          <w:i/>
        </w:rPr>
        <w:t>Health and Safety in Employment Act 1992</w:t>
      </w:r>
      <w:r w:rsidRPr="00C66972">
        <w:rPr>
          <w:rFonts w:eastAsiaTheme="minorHAnsi"/>
        </w:rPr>
        <w:t>.</w:t>
      </w:r>
      <w:r w:rsidR="00E01D0F">
        <w:rPr>
          <w:rFonts w:eastAsiaTheme="minorHAnsi"/>
        </w:rPr>
        <w:t xml:space="preserve"> </w:t>
      </w:r>
      <w:r w:rsidRPr="00C66972">
        <w:rPr>
          <w:rFonts w:eastAsiaTheme="minorHAnsi"/>
        </w:rPr>
        <w:t xml:space="preserve">The </w:t>
      </w:r>
      <w:r w:rsidRPr="00C66972">
        <w:rPr>
          <w:rFonts w:eastAsiaTheme="minorHAnsi"/>
          <w:i/>
        </w:rPr>
        <w:t>Health and Safety at Work Act 2015</w:t>
      </w:r>
      <w:r w:rsidRPr="00C66972">
        <w:rPr>
          <w:rFonts w:eastAsiaTheme="minorHAnsi"/>
        </w:rPr>
        <w:t xml:space="preserve"> (HSWA) is New Zealand's workplace health and safety law. It sets out the principles, duties and rights in relation to workplace health and safety.</w:t>
      </w:r>
      <w:r w:rsidR="00E01D0F">
        <w:rPr>
          <w:rFonts w:eastAsiaTheme="minorHAnsi"/>
        </w:rPr>
        <w:t xml:space="preserve"> </w:t>
      </w:r>
      <w:r w:rsidRPr="00C66972">
        <w:rPr>
          <w:rFonts w:eastAsiaTheme="minorHAnsi"/>
        </w:rPr>
        <w:t>HSWA is just the beginning and signals a new way of thinki</w:t>
      </w:r>
      <w:r w:rsidR="00C56EEE">
        <w:rPr>
          <w:rFonts w:eastAsiaTheme="minorHAnsi"/>
        </w:rPr>
        <w:t>ng about health and safety. The Worksafe New Zealand website states that HSWA</w:t>
      </w:r>
      <w:r w:rsidRPr="00C66972">
        <w:rPr>
          <w:rFonts w:eastAsiaTheme="minorHAnsi"/>
        </w:rPr>
        <w:t xml:space="preserve"> </w:t>
      </w:r>
      <w:r w:rsidR="00C56EEE">
        <w:rPr>
          <w:rFonts w:eastAsiaTheme="minorHAnsi"/>
        </w:rPr>
        <w:t>‘</w:t>
      </w:r>
      <w:r w:rsidRPr="00C66972">
        <w:rPr>
          <w:rFonts w:eastAsiaTheme="minorHAnsi"/>
        </w:rPr>
        <w:t>is not just about compliance; it’s about getting people home healthy and safe. It’s</w:t>
      </w:r>
      <w:r w:rsidR="00A56ABF">
        <w:rPr>
          <w:rFonts w:eastAsiaTheme="minorHAnsi"/>
        </w:rPr>
        <w:t xml:space="preserve"> not just good for your business</w:t>
      </w:r>
      <w:r w:rsidRPr="00C66972">
        <w:rPr>
          <w:rFonts w:eastAsiaTheme="minorHAnsi"/>
        </w:rPr>
        <w:t>, it’s the right thing to do.</w:t>
      </w:r>
      <w:r w:rsidR="00C56EEE">
        <w:rPr>
          <w:rFonts w:eastAsiaTheme="minorHAnsi"/>
        </w:rPr>
        <w:t>’</w:t>
      </w:r>
    </w:p>
    <w:p w14:paraId="381B8A4C" w14:textId="79B92D27" w:rsidR="002E029B" w:rsidRDefault="002E029B" w:rsidP="002E029B">
      <w:pPr>
        <w:pStyle w:val="SWASectiontitle"/>
      </w:pPr>
      <w:bookmarkStart w:id="34" w:name="_Toc482694968"/>
      <w:bookmarkStart w:id="35" w:name="_Toc487701337"/>
      <w:bookmarkStart w:id="36" w:name="_Toc483227153"/>
      <w:bookmarkStart w:id="37" w:name="_Toc487812907"/>
      <w:bookmarkStart w:id="38" w:name="_Toc504654632"/>
      <w:r>
        <w:rPr>
          <w:noProof/>
        </w:rPr>
        <w:lastRenderedPageBreak/>
        <w:drawing>
          <wp:anchor distT="0" distB="0" distL="114300" distR="114300" simplePos="0" relativeHeight="251650560" behindDoc="1" locked="0" layoutInCell="1" allowOverlap="1" wp14:anchorId="0A4453B1" wp14:editId="4F058C14">
            <wp:simplePos x="0" y="0"/>
            <wp:positionH relativeFrom="column">
              <wp:posOffset>-913765</wp:posOffset>
            </wp:positionH>
            <wp:positionV relativeFrom="paragraph">
              <wp:posOffset>-956283</wp:posOffset>
            </wp:positionV>
            <wp:extent cx="7600950" cy="10732135"/>
            <wp:effectExtent l="0" t="0" r="0" b="0"/>
            <wp:wrapNone/>
            <wp:docPr id="15" name="Picture 15"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972">
        <w:t>Chapter 2:</w:t>
      </w:r>
      <w:r w:rsidR="00246D8C">
        <w:br/>
      </w:r>
      <w:r w:rsidRPr="00C66972">
        <w:t>Schemes at a glance</w:t>
      </w:r>
      <w:bookmarkEnd w:id="34"/>
      <w:bookmarkEnd w:id="35"/>
      <w:bookmarkEnd w:id="36"/>
      <w:bookmarkEnd w:id="37"/>
      <w:bookmarkEnd w:id="38"/>
    </w:p>
    <w:p w14:paraId="42B6BC88" w14:textId="7069AEE5" w:rsidR="00AB2638" w:rsidRDefault="00AB2638">
      <w:pPr>
        <w:spacing w:after="200" w:line="276" w:lineRule="auto"/>
        <w:rPr>
          <w:rFonts w:eastAsiaTheme="minorHAnsi"/>
        </w:rPr>
      </w:pPr>
      <w:r>
        <w:rPr>
          <w:rFonts w:eastAsiaTheme="minorHAnsi"/>
        </w:rPr>
        <w:br w:type="page"/>
      </w:r>
    </w:p>
    <w:p w14:paraId="776B8A3D" w14:textId="0B1DAD53" w:rsidR="00C66972" w:rsidRPr="00A80282" w:rsidRDefault="00E01D0F" w:rsidP="00A80282">
      <w:pPr>
        <w:pStyle w:val="Title"/>
      </w:pPr>
      <w:bookmarkStart w:id="39" w:name="_Toc504654633"/>
      <w:r w:rsidRPr="00A80282">
        <w:lastRenderedPageBreak/>
        <w:t>Schemes</w:t>
      </w:r>
      <w:bookmarkEnd w:id="39"/>
      <w:r w:rsidR="00232E14" w:rsidRPr="00A80282">
        <w:fldChar w:fldCharType="begin"/>
      </w:r>
      <w:r w:rsidR="00232E14" w:rsidRPr="00A80282">
        <w:instrText xml:space="preserve"> XE "return to work" \r "return" </w:instrText>
      </w:r>
      <w:r w:rsidR="00232E14" w:rsidRPr="00A80282">
        <w:fldChar w:fldCharType="end"/>
      </w:r>
    </w:p>
    <w:p w14:paraId="64B9648B" w14:textId="77777777" w:rsidR="00172AC7" w:rsidRDefault="00C66972" w:rsidP="00BF43A5">
      <w:pPr>
        <w:spacing w:before="240"/>
        <w:rPr>
          <w:rFonts w:eastAsiaTheme="minorHAnsi"/>
        </w:rPr>
      </w:pPr>
      <w:r w:rsidRPr="00C66972">
        <w:rPr>
          <w:rFonts w:eastAsiaTheme="minorHAnsi"/>
        </w:rPr>
        <w:t xml:space="preserve">This chapter provides brief information on some of the important aspects of workers’ compensation legislation and how they differ between jurisdictions. Later chapters deal with some of these aspects in more detail. </w:t>
      </w:r>
    </w:p>
    <w:p w14:paraId="552D01B5" w14:textId="0DF4003A" w:rsidR="006A50D4" w:rsidRDefault="00C66972" w:rsidP="00BF43A5">
      <w:pPr>
        <w:spacing w:before="240"/>
        <w:rPr>
          <w:rFonts w:eastAsiaTheme="minorHAnsi"/>
        </w:rPr>
      </w:pPr>
      <w:r w:rsidRPr="00C66972">
        <w:rPr>
          <w:rFonts w:eastAsiaTheme="minorHAnsi"/>
        </w:rPr>
        <w:t>Below is a summary of the tables contained in this chapter and their content:</w:t>
      </w:r>
    </w:p>
    <w:p w14:paraId="4269A31B" w14:textId="3BC87742" w:rsidR="006A50D4" w:rsidRPr="004F360B" w:rsidRDefault="001A2F9D" w:rsidP="004F360B">
      <w:pPr>
        <w:pStyle w:val="Heading4"/>
      </w:pPr>
      <w:r w:rsidRPr="004F360B">
        <w:t xml:space="preserve">2.1 </w:t>
      </w:r>
      <w:r w:rsidRPr="004F360B">
        <w:tab/>
      </w:r>
      <w:r w:rsidR="00BF43A5" w:rsidRPr="004F360B">
        <w:tab/>
      </w:r>
      <w:r w:rsidRPr="004F360B">
        <w:t>Jurisdictional contacts</w:t>
      </w:r>
    </w:p>
    <w:p w14:paraId="2EFC9B98" w14:textId="713FE887" w:rsidR="006A50D4" w:rsidRPr="004F360B" w:rsidRDefault="00C66972" w:rsidP="004F360B">
      <w:pPr>
        <w:pStyle w:val="Heading4"/>
      </w:pPr>
      <w:r w:rsidRPr="004F360B">
        <w:t xml:space="preserve">2.2 </w:t>
      </w:r>
      <w:r w:rsidRPr="004F360B">
        <w:tab/>
      </w:r>
      <w:r w:rsidR="00BF43A5" w:rsidRPr="004F360B">
        <w:tab/>
      </w:r>
      <w:r w:rsidRPr="004F360B">
        <w:t>Agencies responsible</w:t>
      </w:r>
      <w:r w:rsidR="00DD7859" w:rsidRPr="004F360B">
        <w:fldChar w:fldCharType="begin"/>
      </w:r>
      <w:r w:rsidR="00DD7859" w:rsidRPr="004F360B">
        <w:instrText xml:space="preserve"> XE "Agencies responsible" </w:instrText>
      </w:r>
      <w:r w:rsidR="00DD7859" w:rsidRPr="004F360B">
        <w:fldChar w:fldCharType="end"/>
      </w:r>
      <w:r w:rsidRPr="004F360B">
        <w:t xml:space="preserve"> for overseeing workers’ co</w:t>
      </w:r>
      <w:r w:rsidR="001A2F9D" w:rsidRPr="004F360B">
        <w:t>mpensation in each jurisdiction</w:t>
      </w:r>
    </w:p>
    <w:p w14:paraId="464CBC69"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2.3</w:t>
      </w:r>
      <w:r w:rsidRPr="00BF43A5">
        <w:rPr>
          <w:rFonts w:ascii="Arial Bold" w:eastAsiaTheme="majorEastAsia" w:hAnsi="Arial Bold" w:cstheme="majorBidi"/>
          <w:b/>
          <w:spacing w:val="-3"/>
          <w:szCs w:val="22"/>
          <w:lang w:eastAsia="en-US"/>
        </w:rPr>
        <w:tab/>
        <w:t>Key features of schemes</w:t>
      </w:r>
      <w:r w:rsidRPr="00D678FD">
        <w:rPr>
          <w:rFonts w:eastAsiaTheme="minorHAnsi"/>
        </w:rPr>
        <w:t xml:space="preserve"> — </w:t>
      </w:r>
      <w:r w:rsidR="00A3046A" w:rsidRPr="00D678FD">
        <w:rPr>
          <w:rFonts w:eastAsiaTheme="minorHAnsi"/>
        </w:rPr>
        <w:t xml:space="preserve">Table 2.3 </w:t>
      </w:r>
      <w:r w:rsidRPr="00D678FD">
        <w:rPr>
          <w:rFonts w:eastAsiaTheme="minorHAnsi"/>
        </w:rPr>
        <w:t>provides a summary of some of the key features including the number of employees covered, the number and rate of serious claims and the sta</w:t>
      </w:r>
      <w:r w:rsidR="001A2F9D" w:rsidRPr="00D678FD">
        <w:rPr>
          <w:rFonts w:eastAsiaTheme="minorHAnsi"/>
        </w:rPr>
        <w:t>ndardised average premium rates.</w:t>
      </w:r>
    </w:p>
    <w:p w14:paraId="4DC1891C"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2.4</w:t>
      </w:r>
      <w:r w:rsidRPr="00BF43A5">
        <w:rPr>
          <w:rFonts w:ascii="Arial Bold" w:eastAsiaTheme="majorEastAsia" w:hAnsi="Arial Bold" w:cstheme="majorBidi"/>
          <w:b/>
          <w:spacing w:val="-3"/>
          <w:szCs w:val="22"/>
          <w:lang w:eastAsia="en-US"/>
        </w:rPr>
        <w:tab/>
        <w:t>Summary of coverage</w:t>
      </w:r>
      <w:r w:rsidRPr="00D678FD">
        <w:rPr>
          <w:rFonts w:eastAsiaTheme="minorHAnsi"/>
        </w:rPr>
        <w:t xml:space="preserve"> — Tables 2.4a to 2.4e provide a summary of coverage including who is covered (coverage of employees and coverage of contractors and labour hire workers), whether coverage is extended to injuries that occur during journeys and breaks and what is covered (definition of injury and employment contribution) and retirement provisions. More detailed information on these topics can be found in Chapter 3.</w:t>
      </w:r>
    </w:p>
    <w:p w14:paraId="1E2311A2"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2.5</w:t>
      </w:r>
      <w:r w:rsidRPr="00BF43A5">
        <w:rPr>
          <w:rFonts w:ascii="Arial Bold" w:eastAsiaTheme="majorEastAsia" w:hAnsi="Arial Bold" w:cstheme="majorBidi"/>
          <w:b/>
          <w:spacing w:val="-3"/>
          <w:szCs w:val="22"/>
          <w:lang w:eastAsia="en-US"/>
        </w:rPr>
        <w:tab/>
        <w:t>Summary of benefits</w:t>
      </w:r>
      <w:r w:rsidRPr="00D678FD">
        <w:rPr>
          <w:rFonts w:eastAsiaTheme="minorHAnsi"/>
        </w:rPr>
        <w:t xml:space="preserve"> — </w:t>
      </w:r>
      <w:r w:rsidR="00A3046A" w:rsidRPr="00D678FD">
        <w:rPr>
          <w:rFonts w:eastAsiaTheme="minorHAnsi"/>
        </w:rPr>
        <w:t xml:space="preserve">Table 2.5 </w:t>
      </w:r>
      <w:r w:rsidRPr="00D678FD">
        <w:rPr>
          <w:rFonts w:eastAsiaTheme="minorHAnsi"/>
        </w:rPr>
        <w:t>provides a summary of weekly payments, medical and hospital payments, lump sum payments</w:t>
      </w:r>
      <w:r w:rsidR="00A95C3B" w:rsidRPr="00D678FD">
        <w:rPr>
          <w:rFonts w:eastAsiaTheme="minorHAnsi"/>
        </w:rPr>
        <w:fldChar w:fldCharType="begin"/>
      </w:r>
      <w:r w:rsidR="00A95C3B" w:rsidRPr="00D678FD">
        <w:instrText xml:space="preserve"> XE "payments:lump sum payments" </w:instrText>
      </w:r>
      <w:r w:rsidR="00A95C3B" w:rsidRPr="00D678FD">
        <w:rPr>
          <w:rFonts w:eastAsiaTheme="minorHAnsi"/>
        </w:rPr>
        <w:fldChar w:fldCharType="end"/>
      </w:r>
      <w:r w:rsidRPr="00D678FD">
        <w:rPr>
          <w:rFonts w:eastAsiaTheme="minorHAnsi"/>
        </w:rPr>
        <w:t xml:space="preserve"> for permanent impairment and death entitlements. More detail is provided in Chapter 4.</w:t>
      </w:r>
    </w:p>
    <w:p w14:paraId="35C9F8DD"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2.6</w:t>
      </w:r>
      <w:r w:rsidRPr="00BF43A5">
        <w:rPr>
          <w:rFonts w:ascii="Arial Bold" w:eastAsiaTheme="majorEastAsia" w:hAnsi="Arial Bold" w:cstheme="majorBidi"/>
          <w:b/>
          <w:spacing w:val="-3"/>
          <w:szCs w:val="22"/>
          <w:lang w:eastAsia="en-US"/>
        </w:rPr>
        <w:tab/>
        <w:t>Prescribed time periods for injury notification</w:t>
      </w:r>
      <w:r w:rsidRPr="00D678FD">
        <w:rPr>
          <w:rFonts w:eastAsiaTheme="minorHAnsi"/>
        </w:rPr>
        <w:t xml:space="preserve"> — early intervention is essential for successful outcomes in return to work. Table 2.6 shows the timeframes for injury notification, claims submissions etc. that are prescribed in most jurisdictions.</w:t>
      </w:r>
    </w:p>
    <w:p w14:paraId="2A9CEBB1" w14:textId="1272BFF4"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2.7</w:t>
      </w:r>
      <w:r w:rsidRPr="00BF43A5">
        <w:rPr>
          <w:rFonts w:ascii="Arial Bold" w:eastAsiaTheme="majorEastAsia" w:hAnsi="Arial Bold" w:cstheme="majorBidi"/>
          <w:b/>
          <w:spacing w:val="-3"/>
          <w:szCs w:val="22"/>
          <w:lang w:eastAsia="en-US"/>
        </w:rPr>
        <w:tab/>
        <w:t>Prescribed time periods for claim submission</w:t>
      </w:r>
      <w:r w:rsidR="00BF43A5">
        <w:rPr>
          <w:rFonts w:ascii="Arial Bold" w:eastAsiaTheme="majorEastAsia" w:hAnsi="Arial Bold" w:cstheme="majorBidi"/>
          <w:b/>
          <w:spacing w:val="-3"/>
          <w:szCs w:val="22"/>
          <w:lang w:eastAsia="en-US"/>
        </w:rPr>
        <w:t xml:space="preserve"> </w:t>
      </w:r>
      <w:r w:rsidR="00FF014F" w:rsidRPr="00D678FD">
        <w:rPr>
          <w:rFonts w:eastAsiaTheme="minorHAnsi"/>
        </w:rPr>
        <w:t>— Table 2.7 summarises the processes and timeframes involved in submitting a claim and highlights whether the worker, employer and/or insurer/authority has responsibility for the various aspects.</w:t>
      </w:r>
    </w:p>
    <w:p w14:paraId="6FE9EC93"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2.8</w:t>
      </w:r>
      <w:r w:rsidRPr="00BF43A5">
        <w:rPr>
          <w:rFonts w:ascii="Arial Bold" w:eastAsiaTheme="majorEastAsia" w:hAnsi="Arial Bold" w:cstheme="majorBidi"/>
          <w:b/>
          <w:spacing w:val="-3"/>
          <w:szCs w:val="22"/>
          <w:lang w:eastAsia="en-US"/>
        </w:rPr>
        <w:tab/>
        <w:t>Prescribed time periods for payments</w:t>
      </w:r>
      <w:r w:rsidR="00A95C3B" w:rsidRPr="00BF43A5">
        <w:rPr>
          <w:rFonts w:ascii="Arial Bold" w:eastAsiaTheme="majorEastAsia" w:hAnsi="Arial Bold" w:cstheme="majorBidi"/>
          <w:b/>
          <w:spacing w:val="-3"/>
          <w:szCs w:val="22"/>
          <w:lang w:eastAsia="en-US"/>
        </w:rPr>
        <w:fldChar w:fldCharType="begin"/>
      </w:r>
      <w:r w:rsidR="00A95C3B" w:rsidRPr="00BF43A5">
        <w:rPr>
          <w:rFonts w:ascii="Arial Bold" w:eastAsiaTheme="majorEastAsia" w:hAnsi="Arial Bold" w:cstheme="majorBidi"/>
          <w:b/>
          <w:spacing w:val="-3"/>
          <w:szCs w:val="22"/>
          <w:lang w:eastAsia="en-US"/>
        </w:rPr>
        <w:instrText xml:space="preserve"> XE "payments:prescribed time periods for payments" </w:instrText>
      </w:r>
      <w:r w:rsidR="00A95C3B" w:rsidRPr="00BF43A5">
        <w:rPr>
          <w:rFonts w:ascii="Arial Bold" w:eastAsiaTheme="majorEastAsia" w:hAnsi="Arial Bold" w:cstheme="majorBidi"/>
          <w:b/>
          <w:spacing w:val="-3"/>
          <w:szCs w:val="22"/>
          <w:lang w:eastAsia="en-US"/>
        </w:rPr>
        <w:fldChar w:fldCharType="end"/>
      </w:r>
      <w:r w:rsidRPr="00D678FD">
        <w:rPr>
          <w:rFonts w:eastAsiaTheme="minorHAnsi"/>
        </w:rPr>
        <w:t xml:space="preserve"> — Table 2.8 summarises when eligibility for payments begin, when payments start, when the employer passes on payments to injured workers, period specified for medical invoices to be sent to insurers, and when medical expenses are accepted and paid.</w:t>
      </w:r>
    </w:p>
    <w:p w14:paraId="4B3BF79E"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2.9</w:t>
      </w:r>
      <w:r w:rsidRPr="00BF43A5">
        <w:rPr>
          <w:rFonts w:ascii="Arial Bold" w:eastAsiaTheme="majorEastAsia" w:hAnsi="Arial Bold" w:cstheme="majorBidi"/>
          <w:b/>
          <w:spacing w:val="-3"/>
          <w:szCs w:val="22"/>
          <w:lang w:eastAsia="en-US"/>
        </w:rPr>
        <w:tab/>
        <w:t>Dispute resolution process</w:t>
      </w:r>
      <w:r w:rsidRPr="00D678FD">
        <w:rPr>
          <w:rFonts w:eastAsiaTheme="minorHAnsi"/>
        </w:rPr>
        <w:t xml:space="preserve"> — Table 2.9 outlines the procedures followed by each jurisdiction. The process helps injured workers and their employers resolve issues arising from workers’ compensation claims at an early stage to prevent the issues going to court.</w:t>
      </w:r>
    </w:p>
    <w:p w14:paraId="0E6E5FD8" w14:textId="3E3BC930" w:rsidR="00C66972" w:rsidRPr="00D678FD"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2.10</w:t>
      </w:r>
      <w:r w:rsidRPr="00BF43A5">
        <w:rPr>
          <w:rFonts w:ascii="Arial Bold" w:eastAsiaTheme="majorEastAsia" w:hAnsi="Arial Bold" w:cstheme="majorBidi"/>
          <w:b/>
          <w:spacing w:val="-3"/>
          <w:szCs w:val="22"/>
          <w:lang w:eastAsia="en-US"/>
        </w:rPr>
        <w:tab/>
        <w:t>Remuneration for the purposes of premium calculation</w:t>
      </w:r>
      <w:r w:rsidRPr="00D678FD">
        <w:rPr>
          <w:rFonts w:eastAsiaTheme="minorHAnsi"/>
        </w:rPr>
        <w:t xml:space="preserve"> — Table 2.10 summarises the basis for insurers to quantify workers’ compensation premiums, which are paid by employers annually. Premiums are expressed as a percentage of an employer’s total payroll.</w:t>
      </w:r>
    </w:p>
    <w:p w14:paraId="022B82FA"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2.11</w:t>
      </w:r>
      <w:r w:rsidRPr="00BF43A5">
        <w:rPr>
          <w:rFonts w:ascii="Arial Bold" w:eastAsiaTheme="majorEastAsia" w:hAnsi="Arial Bold" w:cstheme="majorBidi"/>
          <w:b/>
          <w:spacing w:val="-3"/>
          <w:szCs w:val="22"/>
          <w:lang w:eastAsia="en-US"/>
        </w:rPr>
        <w:tab/>
        <w:t>Employer excess</w:t>
      </w:r>
      <w:r w:rsidRPr="00D678FD">
        <w:rPr>
          <w:rFonts w:eastAsiaTheme="minorHAnsi"/>
        </w:rPr>
        <w:t xml:space="preserve"> — some schemes require employers to pay an excess before the workers’ compensation insurer begins making payments. In some cases, employers may ‘buy out’ their excess. Table 2.11 outlines the type and amount of excess payable in each jurisdiction.</w:t>
      </w:r>
    </w:p>
    <w:p w14:paraId="3F09D0C9"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2.12</w:t>
      </w:r>
      <w:r w:rsidRPr="00BF43A5">
        <w:rPr>
          <w:rFonts w:ascii="Arial Bold" w:eastAsiaTheme="majorEastAsia" w:hAnsi="Arial Bold" w:cstheme="majorBidi"/>
          <w:b/>
          <w:spacing w:val="-3"/>
          <w:szCs w:val="22"/>
          <w:lang w:eastAsia="en-US"/>
        </w:rPr>
        <w:tab/>
        <w:t>Uninsured employer provisions</w:t>
      </w:r>
      <w:r w:rsidR="005355FE" w:rsidRPr="00BF43A5">
        <w:rPr>
          <w:rFonts w:ascii="Arial Bold" w:eastAsiaTheme="majorEastAsia" w:hAnsi="Arial Bold" w:cstheme="majorBidi"/>
          <w:b/>
          <w:spacing w:val="-3"/>
          <w:szCs w:val="22"/>
          <w:lang w:eastAsia="en-US"/>
        </w:rPr>
        <w:fldChar w:fldCharType="begin"/>
      </w:r>
      <w:r w:rsidR="005355FE" w:rsidRPr="00BF43A5">
        <w:rPr>
          <w:rFonts w:ascii="Arial Bold" w:eastAsiaTheme="majorEastAsia" w:hAnsi="Arial Bold" w:cstheme="majorBidi"/>
          <w:b/>
          <w:spacing w:val="-3"/>
          <w:szCs w:val="22"/>
          <w:lang w:eastAsia="en-US"/>
        </w:rPr>
        <w:instrText xml:space="preserve"> XE "uninsured employers" </w:instrText>
      </w:r>
      <w:r w:rsidR="005355FE" w:rsidRPr="00BF43A5">
        <w:rPr>
          <w:rFonts w:ascii="Arial Bold" w:eastAsiaTheme="majorEastAsia" w:hAnsi="Arial Bold" w:cstheme="majorBidi"/>
          <w:b/>
          <w:spacing w:val="-3"/>
          <w:szCs w:val="22"/>
          <w:lang w:eastAsia="en-US"/>
        </w:rPr>
        <w:fldChar w:fldCharType="end"/>
      </w:r>
      <w:r w:rsidR="0025506E" w:rsidRPr="00BF43A5">
        <w:rPr>
          <w:rFonts w:ascii="Arial Bold" w:eastAsiaTheme="majorEastAsia" w:hAnsi="Arial Bold" w:cstheme="majorBidi"/>
          <w:b/>
          <w:spacing w:val="-3"/>
          <w:szCs w:val="22"/>
          <w:lang w:eastAsia="en-US"/>
        </w:rPr>
        <w:fldChar w:fldCharType="begin"/>
      </w:r>
      <w:r w:rsidR="0025506E" w:rsidRPr="00BF43A5">
        <w:rPr>
          <w:rFonts w:ascii="Arial Bold" w:eastAsiaTheme="majorEastAsia" w:hAnsi="Arial Bold" w:cstheme="majorBidi"/>
          <w:b/>
          <w:spacing w:val="-3"/>
          <w:szCs w:val="22"/>
          <w:lang w:eastAsia="en-US"/>
        </w:rPr>
        <w:instrText xml:space="preserve"> XE "employers:uninsured employers" </w:instrText>
      </w:r>
      <w:r w:rsidR="0025506E" w:rsidRPr="00BF43A5">
        <w:rPr>
          <w:rFonts w:ascii="Arial Bold" w:eastAsiaTheme="majorEastAsia" w:hAnsi="Arial Bold" w:cstheme="majorBidi"/>
          <w:b/>
          <w:spacing w:val="-3"/>
          <w:szCs w:val="22"/>
          <w:lang w:eastAsia="en-US"/>
        </w:rPr>
        <w:fldChar w:fldCharType="end"/>
      </w:r>
      <w:r w:rsidRPr="00BF43A5">
        <w:rPr>
          <w:rFonts w:ascii="Arial Bold" w:eastAsiaTheme="majorEastAsia" w:hAnsi="Arial Bold" w:cstheme="majorBidi"/>
          <w:b/>
          <w:spacing w:val="-3"/>
          <w:szCs w:val="22"/>
          <w:lang w:eastAsia="en-US"/>
        </w:rPr>
        <w:t xml:space="preserve"> </w:t>
      </w:r>
      <w:r w:rsidRPr="00D678FD">
        <w:rPr>
          <w:rFonts w:eastAsiaTheme="minorHAnsi"/>
        </w:rPr>
        <w:t>— in all jurisdictions it is compulsory for employers to have workers’ compensation insurance for their workers. However, for a variety of reasons some workers may not be covered. Table 2.12 outlines the provisions in place in each jurisdiction to ensure that workers of uninsured employers receive the same benefits as those covered.</w:t>
      </w:r>
    </w:p>
    <w:p w14:paraId="46D2DD9F"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 xml:space="preserve">2.13 </w:t>
      </w:r>
      <w:r w:rsidRPr="00BF43A5">
        <w:rPr>
          <w:rFonts w:ascii="Arial Bold" w:eastAsiaTheme="majorEastAsia" w:hAnsi="Arial Bold" w:cstheme="majorBidi"/>
          <w:b/>
          <w:spacing w:val="-3"/>
          <w:szCs w:val="22"/>
          <w:lang w:eastAsia="en-US"/>
        </w:rPr>
        <w:tab/>
        <w:t>Leave while on workers’ compensation</w:t>
      </w:r>
      <w:r w:rsidR="00184441" w:rsidRPr="00BF43A5">
        <w:rPr>
          <w:rFonts w:ascii="Arial Bold" w:eastAsiaTheme="majorEastAsia" w:hAnsi="Arial Bold" w:cstheme="majorBidi"/>
          <w:b/>
          <w:spacing w:val="-3"/>
          <w:szCs w:val="22"/>
          <w:lang w:eastAsia="en-US"/>
        </w:rPr>
        <w:fldChar w:fldCharType="begin"/>
      </w:r>
      <w:r w:rsidR="00184441" w:rsidRPr="00BF43A5">
        <w:rPr>
          <w:rFonts w:ascii="Arial Bold" w:eastAsiaTheme="majorEastAsia" w:hAnsi="Arial Bold" w:cstheme="majorBidi"/>
          <w:b/>
          <w:spacing w:val="-3"/>
          <w:szCs w:val="22"/>
          <w:lang w:eastAsia="en-US"/>
        </w:rPr>
        <w:instrText xml:space="preserve"> XE "coverage of workers:leave while on workers' compensation" </w:instrText>
      </w:r>
      <w:r w:rsidR="00184441" w:rsidRPr="00BF43A5">
        <w:rPr>
          <w:rFonts w:ascii="Arial Bold" w:eastAsiaTheme="majorEastAsia" w:hAnsi="Arial Bold" w:cstheme="majorBidi"/>
          <w:b/>
          <w:spacing w:val="-3"/>
          <w:szCs w:val="22"/>
          <w:lang w:eastAsia="en-US"/>
        </w:rPr>
        <w:fldChar w:fldCharType="end"/>
      </w:r>
      <w:r w:rsidRPr="00BF43A5">
        <w:rPr>
          <w:rFonts w:ascii="Arial Bold" w:eastAsiaTheme="majorEastAsia" w:hAnsi="Arial Bold" w:cstheme="majorBidi"/>
          <w:b/>
          <w:spacing w:val="-3"/>
          <w:szCs w:val="22"/>
          <w:lang w:eastAsia="en-US"/>
        </w:rPr>
        <w:t xml:space="preserve"> </w:t>
      </w:r>
      <w:r w:rsidRPr="00D678FD">
        <w:rPr>
          <w:rFonts w:eastAsiaTheme="minorHAnsi"/>
        </w:rPr>
        <w:t>— normal leave arrangements such as sick, recreation and long service leave may be affected when a worker is receiving workers’ compensation payments. Also the amount of compensation may be affected by taking leave while on workers’ compensation. Table 2.13 outlines provisions in workers’ compensation or other legislation relating to leave accrual while on workers’ compensation and the effect of taking leave on compensation paid.</w:t>
      </w:r>
    </w:p>
    <w:p w14:paraId="711E0F0D" w14:textId="4CF03A6C" w:rsidR="00C66972" w:rsidRPr="00D678FD" w:rsidRDefault="00C66972" w:rsidP="00DB52B2">
      <w:pPr>
        <w:spacing w:before="120"/>
        <w:ind w:left="720" w:hanging="720"/>
        <w:rPr>
          <w:rFonts w:eastAsiaTheme="minorHAnsi"/>
        </w:rPr>
        <w:sectPr w:rsidR="00C66972" w:rsidRPr="00D678FD">
          <w:headerReference w:type="default" r:id="rId21"/>
          <w:footnotePr>
            <w:numFmt w:val="lowerLetter"/>
            <w:numRestart w:val="eachPage"/>
          </w:footnotePr>
          <w:pgSz w:w="11906" w:h="16838"/>
          <w:pgMar w:top="1440" w:right="1440" w:bottom="1440" w:left="1440" w:header="708" w:footer="708" w:gutter="0"/>
          <w:cols w:space="708"/>
          <w:docGrid w:linePitch="360"/>
        </w:sectPr>
      </w:pPr>
      <w:r w:rsidRPr="00BF43A5">
        <w:rPr>
          <w:rFonts w:ascii="Arial Bold" w:eastAsiaTheme="majorEastAsia" w:hAnsi="Arial Bold" w:cstheme="majorBidi"/>
          <w:b/>
          <w:spacing w:val="-3"/>
          <w:szCs w:val="22"/>
          <w:lang w:eastAsia="en-US"/>
        </w:rPr>
        <w:lastRenderedPageBreak/>
        <w:t>2.14</w:t>
      </w:r>
      <w:r w:rsidRPr="00BF43A5">
        <w:rPr>
          <w:rFonts w:ascii="Arial Bold" w:eastAsiaTheme="majorEastAsia" w:hAnsi="Arial Bold" w:cstheme="majorBidi"/>
          <w:b/>
          <w:spacing w:val="-3"/>
          <w:szCs w:val="22"/>
          <w:lang w:eastAsia="en-US"/>
        </w:rPr>
        <w:tab/>
        <w:t>Superannuation and workers’ compensation</w:t>
      </w:r>
      <w:r w:rsidRPr="00D678FD">
        <w:rPr>
          <w:rFonts w:eastAsiaTheme="minorHAnsi"/>
        </w:rPr>
        <w:t xml:space="preserve"> — Table 2.14 provides information on whether the schemes include superannuation as wages for premium calculations and as part of </w:t>
      </w:r>
      <w:r w:rsidR="00C556A1">
        <w:rPr>
          <w:rFonts w:eastAsiaTheme="minorHAnsi"/>
        </w:rPr>
        <w:t>i</w:t>
      </w:r>
      <w:r w:rsidRPr="00D678FD">
        <w:rPr>
          <w:rFonts w:eastAsiaTheme="minorHAnsi"/>
        </w:rPr>
        <w:t>ncome replacement payments.</w:t>
      </w:r>
    </w:p>
    <w:p w14:paraId="293466AD" w14:textId="16A52A8B" w:rsidR="00C66972" w:rsidRPr="00A80282" w:rsidRDefault="00C66972" w:rsidP="00A80282">
      <w:pPr>
        <w:pStyle w:val="SWATableheader"/>
      </w:pPr>
      <w:bookmarkStart w:id="40" w:name="_Toc504654634"/>
      <w:r w:rsidRPr="00A80282">
        <w:lastRenderedPageBreak/>
        <w:t>Table 2.1: Jurisdictional contacts</w:t>
      </w:r>
      <w:bookmarkEnd w:id="40"/>
      <w:r w:rsidR="00C461E1" w:rsidRPr="00A80282">
        <w:fldChar w:fldCharType="begin"/>
      </w:r>
      <w:r w:rsidR="00C461E1" w:rsidRPr="00A80282">
        <w:instrText xml:space="preserve"> XE "jurisdictions:contact" </w:instrText>
      </w:r>
      <w:r w:rsidR="00C461E1" w:rsidRPr="00A80282">
        <w:fldChar w:fldCharType="end"/>
      </w:r>
      <w:r w:rsidR="00184441" w:rsidRPr="00A80282">
        <w:fldChar w:fldCharType="begin"/>
      </w:r>
      <w:r w:rsidR="00184441" w:rsidRPr="00A80282">
        <w:instrText xml:space="preserve"> XE "contacts" </w:instrText>
      </w:r>
      <w:r w:rsidR="00184441" w:rsidRPr="00A80282">
        <w:fldChar w:fldCharType="end"/>
      </w:r>
    </w:p>
    <w:tbl>
      <w:tblPr>
        <w:tblW w:w="15376"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 Jurisdictional Contacts "/>
        <w:tblDescription w:val="This table provides the contact details for the workers' compensation jurisdictions.  "/>
      </w:tblPr>
      <w:tblGrid>
        <w:gridCol w:w="1311"/>
        <w:gridCol w:w="1449"/>
        <w:gridCol w:w="2694"/>
        <w:gridCol w:w="1275"/>
        <w:gridCol w:w="1134"/>
        <w:gridCol w:w="2694"/>
        <w:gridCol w:w="2551"/>
        <w:gridCol w:w="2268"/>
      </w:tblGrid>
      <w:tr w:rsidR="0006450A" w:rsidRPr="003A51B2" w14:paraId="001AB3F4" w14:textId="77777777" w:rsidTr="00D046C6">
        <w:trPr>
          <w:tblHeader/>
        </w:trPr>
        <w:tc>
          <w:tcPr>
            <w:tcW w:w="1311" w:type="dxa"/>
            <w:shd w:val="clear" w:color="auto" w:fill="C00000"/>
            <w:tcMar>
              <w:top w:w="0" w:type="dxa"/>
              <w:left w:w="0" w:type="dxa"/>
              <w:bottom w:w="0" w:type="dxa"/>
              <w:right w:w="0" w:type="dxa"/>
            </w:tcMar>
            <w:vAlign w:val="center"/>
          </w:tcPr>
          <w:p w14:paraId="5A53C58D" w14:textId="77777777" w:rsidR="00860D1E" w:rsidRPr="003A51B2" w:rsidRDefault="00860D1E" w:rsidP="00B21723">
            <w:pPr>
              <w:pStyle w:val="Tableheaderrow"/>
              <w:spacing w:after="60"/>
            </w:pPr>
          </w:p>
        </w:tc>
        <w:tc>
          <w:tcPr>
            <w:tcW w:w="1449" w:type="dxa"/>
            <w:shd w:val="clear" w:color="auto" w:fill="C00000"/>
            <w:tcMar>
              <w:top w:w="0" w:type="dxa"/>
              <w:left w:w="0" w:type="dxa"/>
              <w:bottom w:w="0" w:type="dxa"/>
              <w:right w:w="0" w:type="dxa"/>
            </w:tcMar>
            <w:vAlign w:val="center"/>
          </w:tcPr>
          <w:p w14:paraId="5ACE8FBB" w14:textId="77777777" w:rsidR="00860D1E" w:rsidRPr="003A51B2" w:rsidRDefault="00860D1E" w:rsidP="00B21723">
            <w:pPr>
              <w:pStyle w:val="Tableheaderrow"/>
              <w:spacing w:after="60"/>
            </w:pPr>
            <w:r w:rsidRPr="003A51B2">
              <w:t>Contact</w:t>
            </w:r>
          </w:p>
        </w:tc>
        <w:tc>
          <w:tcPr>
            <w:tcW w:w="2694" w:type="dxa"/>
            <w:shd w:val="clear" w:color="auto" w:fill="C00000"/>
            <w:tcMar>
              <w:top w:w="0" w:type="dxa"/>
              <w:left w:w="0" w:type="dxa"/>
              <w:bottom w:w="0" w:type="dxa"/>
              <w:right w:w="0" w:type="dxa"/>
            </w:tcMar>
            <w:vAlign w:val="center"/>
          </w:tcPr>
          <w:p w14:paraId="416CED26" w14:textId="77777777" w:rsidR="00860D1E" w:rsidRPr="003A51B2" w:rsidRDefault="00860D1E" w:rsidP="00B21723">
            <w:pPr>
              <w:pStyle w:val="Tableheaderrow"/>
              <w:spacing w:after="60"/>
            </w:pPr>
            <w:r w:rsidRPr="003A51B2">
              <w:t>Position</w:t>
            </w:r>
          </w:p>
        </w:tc>
        <w:tc>
          <w:tcPr>
            <w:tcW w:w="1275" w:type="dxa"/>
            <w:shd w:val="clear" w:color="auto" w:fill="C00000"/>
            <w:tcMar>
              <w:top w:w="0" w:type="dxa"/>
              <w:left w:w="0" w:type="dxa"/>
              <w:bottom w:w="0" w:type="dxa"/>
              <w:right w:w="0" w:type="dxa"/>
            </w:tcMar>
            <w:vAlign w:val="center"/>
          </w:tcPr>
          <w:p w14:paraId="0AD29A15" w14:textId="77777777" w:rsidR="00860D1E" w:rsidRPr="003A51B2" w:rsidRDefault="00860D1E" w:rsidP="00B21723">
            <w:pPr>
              <w:pStyle w:val="Tableheaderrow"/>
              <w:spacing w:after="60"/>
            </w:pPr>
            <w:r w:rsidRPr="003A51B2">
              <w:t>Phone No.</w:t>
            </w:r>
          </w:p>
        </w:tc>
        <w:tc>
          <w:tcPr>
            <w:tcW w:w="1134" w:type="dxa"/>
            <w:shd w:val="clear" w:color="auto" w:fill="C00000"/>
            <w:tcMar>
              <w:top w:w="0" w:type="dxa"/>
              <w:left w:w="0" w:type="dxa"/>
              <w:bottom w:w="0" w:type="dxa"/>
              <w:right w:w="0" w:type="dxa"/>
            </w:tcMar>
            <w:vAlign w:val="center"/>
          </w:tcPr>
          <w:p w14:paraId="4C6DD1D9" w14:textId="77777777" w:rsidR="00860D1E" w:rsidRPr="003A51B2" w:rsidRDefault="00860D1E" w:rsidP="00B21723">
            <w:pPr>
              <w:pStyle w:val="Tableheaderrow"/>
              <w:spacing w:after="60"/>
            </w:pPr>
            <w:r w:rsidRPr="003A51B2">
              <w:t>Fax No.</w:t>
            </w:r>
          </w:p>
        </w:tc>
        <w:tc>
          <w:tcPr>
            <w:tcW w:w="2694" w:type="dxa"/>
            <w:shd w:val="clear" w:color="auto" w:fill="C00000"/>
            <w:tcMar>
              <w:top w:w="0" w:type="dxa"/>
              <w:left w:w="0" w:type="dxa"/>
              <w:bottom w:w="0" w:type="dxa"/>
              <w:right w:w="0" w:type="dxa"/>
            </w:tcMar>
            <w:vAlign w:val="center"/>
          </w:tcPr>
          <w:p w14:paraId="2C1850D8" w14:textId="77777777" w:rsidR="00860D1E" w:rsidRPr="003A51B2" w:rsidRDefault="00860D1E" w:rsidP="00B21723">
            <w:pPr>
              <w:pStyle w:val="Tableheaderrow"/>
              <w:spacing w:after="60"/>
            </w:pPr>
            <w:r w:rsidRPr="003A51B2">
              <w:t>Email</w:t>
            </w:r>
          </w:p>
        </w:tc>
        <w:tc>
          <w:tcPr>
            <w:tcW w:w="2551" w:type="dxa"/>
            <w:shd w:val="clear" w:color="auto" w:fill="C00000"/>
            <w:tcMar>
              <w:top w:w="0" w:type="dxa"/>
              <w:left w:w="0" w:type="dxa"/>
              <w:bottom w:w="0" w:type="dxa"/>
              <w:right w:w="0" w:type="dxa"/>
            </w:tcMar>
            <w:vAlign w:val="center"/>
          </w:tcPr>
          <w:p w14:paraId="3BE22E3C" w14:textId="77777777" w:rsidR="00860D1E" w:rsidRPr="003A51B2" w:rsidRDefault="00860D1E" w:rsidP="00B21723">
            <w:pPr>
              <w:pStyle w:val="Tableheaderrow"/>
              <w:spacing w:after="60"/>
            </w:pPr>
            <w:r w:rsidRPr="003A51B2">
              <w:t>Postal Address</w:t>
            </w:r>
          </w:p>
        </w:tc>
        <w:tc>
          <w:tcPr>
            <w:tcW w:w="2268" w:type="dxa"/>
            <w:shd w:val="clear" w:color="auto" w:fill="C00000"/>
            <w:tcMar>
              <w:top w:w="0" w:type="dxa"/>
              <w:left w:w="0" w:type="dxa"/>
              <w:bottom w:w="0" w:type="dxa"/>
              <w:right w:w="0" w:type="dxa"/>
            </w:tcMar>
            <w:vAlign w:val="center"/>
          </w:tcPr>
          <w:p w14:paraId="6F147D60" w14:textId="77777777" w:rsidR="00860D1E" w:rsidRPr="003A51B2" w:rsidRDefault="00860D1E" w:rsidP="00B21723">
            <w:pPr>
              <w:pStyle w:val="Tableheaderrow"/>
              <w:spacing w:after="60"/>
            </w:pPr>
            <w:r w:rsidRPr="003A51B2">
              <w:t>Internet</w:t>
            </w:r>
          </w:p>
        </w:tc>
      </w:tr>
      <w:tr w:rsidR="00860D1E" w:rsidRPr="00BC4931" w14:paraId="39B1ACD0" w14:textId="77777777" w:rsidTr="00D046C6">
        <w:tc>
          <w:tcPr>
            <w:tcW w:w="1311" w:type="dxa"/>
            <w:shd w:val="clear" w:color="auto" w:fill="FFC9C9"/>
            <w:tcMar>
              <w:top w:w="80" w:type="dxa"/>
              <w:left w:w="80" w:type="dxa"/>
              <w:bottom w:w="80" w:type="dxa"/>
              <w:right w:w="80" w:type="dxa"/>
            </w:tcMar>
          </w:tcPr>
          <w:p w14:paraId="1B7656A8" w14:textId="0FFAF134" w:rsidR="00860D1E" w:rsidRPr="00BC4931" w:rsidRDefault="00860D1E" w:rsidP="00B21723">
            <w:pPr>
              <w:pStyle w:val="TableColumn1bold"/>
              <w:spacing w:after="60"/>
            </w:pPr>
            <w:r w:rsidRPr="00BC4931">
              <w:t>New South Wales</w:t>
            </w:r>
            <w:r w:rsidR="003B3E5B">
              <w:fldChar w:fldCharType="begin"/>
            </w:r>
            <w:r w:rsidR="003B3E5B">
              <w:instrText xml:space="preserve"> XE "</w:instrText>
            </w:r>
            <w:r w:rsidR="003B3E5B" w:rsidRPr="00793F10">
              <w:instrText>New South Wales:contacts</w:instrText>
            </w:r>
            <w:r w:rsidR="003B3E5B">
              <w:instrText xml:space="preserve">" </w:instrText>
            </w:r>
            <w:r w:rsidR="003B3E5B">
              <w:fldChar w:fldCharType="end"/>
            </w:r>
          </w:p>
        </w:tc>
        <w:tc>
          <w:tcPr>
            <w:tcW w:w="1449" w:type="dxa"/>
            <w:shd w:val="clear" w:color="auto" w:fill="FFC9C9"/>
            <w:tcMar>
              <w:top w:w="80" w:type="dxa"/>
              <w:left w:w="80" w:type="dxa"/>
              <w:bottom w:w="80" w:type="dxa"/>
              <w:right w:w="80" w:type="dxa"/>
            </w:tcMar>
          </w:tcPr>
          <w:p w14:paraId="25E73BA8" w14:textId="755DC7FA" w:rsidR="00860D1E" w:rsidRPr="00BC4931" w:rsidRDefault="0004457B" w:rsidP="00B21723">
            <w:pPr>
              <w:pStyle w:val="Table7pttext"/>
              <w:spacing w:after="60"/>
            </w:pPr>
            <w:r>
              <w:t>Nicholas Cobb</w:t>
            </w:r>
          </w:p>
        </w:tc>
        <w:tc>
          <w:tcPr>
            <w:tcW w:w="2694" w:type="dxa"/>
            <w:shd w:val="clear" w:color="auto" w:fill="FFC9C9"/>
            <w:tcMar>
              <w:top w:w="80" w:type="dxa"/>
              <w:left w:w="80" w:type="dxa"/>
              <w:bottom w:w="80" w:type="dxa"/>
              <w:right w:w="80" w:type="dxa"/>
            </w:tcMar>
          </w:tcPr>
          <w:p w14:paraId="32E86EFA" w14:textId="0D9A9A79" w:rsidR="00860D1E" w:rsidRPr="00BC4931" w:rsidRDefault="00860D1E" w:rsidP="00B21723">
            <w:pPr>
              <w:pStyle w:val="Table7pttext"/>
              <w:spacing w:after="60"/>
            </w:pPr>
            <w:r w:rsidRPr="007E1DFD">
              <w:t>Director</w:t>
            </w:r>
            <w:r w:rsidR="00E01D0F">
              <w:t>,</w:t>
            </w:r>
            <w:r w:rsidRPr="007E1DFD">
              <w:t xml:space="preserve"> </w:t>
            </w:r>
            <w:r w:rsidR="00E01D0F">
              <w:br/>
            </w:r>
            <w:r w:rsidRPr="007E1DFD">
              <w:t>Insurance Policy and Design, Workers’ Compensation Regulation</w:t>
            </w:r>
          </w:p>
        </w:tc>
        <w:tc>
          <w:tcPr>
            <w:tcW w:w="1275" w:type="dxa"/>
            <w:shd w:val="clear" w:color="auto" w:fill="FFC9C9"/>
            <w:tcMar>
              <w:top w:w="80" w:type="dxa"/>
              <w:left w:w="80" w:type="dxa"/>
              <w:bottom w:w="80" w:type="dxa"/>
              <w:right w:w="80" w:type="dxa"/>
            </w:tcMar>
          </w:tcPr>
          <w:p w14:paraId="19F64996" w14:textId="6C81B570" w:rsidR="00860D1E" w:rsidRPr="00BC4931" w:rsidRDefault="0004457B" w:rsidP="00414640">
            <w:pPr>
              <w:pStyle w:val="Table7pttext"/>
              <w:spacing w:after="60"/>
            </w:pPr>
            <w:r>
              <w:t xml:space="preserve">13 10 50 </w:t>
            </w:r>
            <w:r>
              <w:br/>
              <w:t>(02) 9289 1352</w:t>
            </w:r>
          </w:p>
        </w:tc>
        <w:tc>
          <w:tcPr>
            <w:tcW w:w="1134" w:type="dxa"/>
            <w:shd w:val="clear" w:color="auto" w:fill="FFC9C9"/>
            <w:tcMar>
              <w:top w:w="80" w:type="dxa"/>
              <w:left w:w="80" w:type="dxa"/>
              <w:bottom w:w="80" w:type="dxa"/>
              <w:right w:w="80" w:type="dxa"/>
            </w:tcMar>
          </w:tcPr>
          <w:p w14:paraId="1871AE07" w14:textId="5B27C55C" w:rsidR="00860D1E" w:rsidRPr="00BC4931" w:rsidRDefault="00860D1E" w:rsidP="00B21723">
            <w:pPr>
              <w:pStyle w:val="Table7pttext"/>
              <w:spacing w:after="60"/>
            </w:pPr>
            <w:r w:rsidRPr="00BC4931">
              <w:t>N/A</w:t>
            </w:r>
          </w:p>
        </w:tc>
        <w:tc>
          <w:tcPr>
            <w:tcW w:w="2694" w:type="dxa"/>
            <w:shd w:val="clear" w:color="auto" w:fill="FFC9C9"/>
            <w:tcMar>
              <w:top w:w="80" w:type="dxa"/>
              <w:left w:w="80" w:type="dxa"/>
              <w:bottom w:w="80" w:type="dxa"/>
              <w:right w:w="80" w:type="dxa"/>
            </w:tcMar>
          </w:tcPr>
          <w:p w14:paraId="5C2DEE4D" w14:textId="61A27D29" w:rsidR="00860D1E" w:rsidRPr="00BC4931" w:rsidRDefault="00A7538C" w:rsidP="00B21723">
            <w:pPr>
              <w:pStyle w:val="Table7pttext"/>
              <w:spacing w:after="60"/>
            </w:pPr>
            <w:hyperlink r:id="rId22" w:history="1">
              <w:r w:rsidR="0004457B">
                <w:rPr>
                  <w:rStyle w:val="Hyperlink"/>
                </w:rPr>
                <w:t>nicholas.cobb@sira.nsw.gov.au</w:t>
              </w:r>
            </w:hyperlink>
          </w:p>
        </w:tc>
        <w:tc>
          <w:tcPr>
            <w:tcW w:w="2551" w:type="dxa"/>
            <w:shd w:val="clear" w:color="auto" w:fill="FFC9C9"/>
            <w:tcMar>
              <w:top w:w="80" w:type="dxa"/>
              <w:left w:w="80" w:type="dxa"/>
              <w:bottom w:w="80" w:type="dxa"/>
              <w:right w:w="80" w:type="dxa"/>
            </w:tcMar>
          </w:tcPr>
          <w:p w14:paraId="4CDA2C6A" w14:textId="4D3ABAFD" w:rsidR="00DD0D68" w:rsidRDefault="00860D1E" w:rsidP="00B21723">
            <w:pPr>
              <w:pStyle w:val="Table7pttext"/>
              <w:spacing w:after="60"/>
            </w:pPr>
            <w:r w:rsidRPr="00BC4931">
              <w:t xml:space="preserve">Workers’ Compensation Regulation State </w:t>
            </w:r>
            <w:r w:rsidR="00DD0D68">
              <w:t>Insurance Regulatory Authority</w:t>
            </w:r>
          </w:p>
          <w:p w14:paraId="101BF3EC" w14:textId="4D48BB8D" w:rsidR="00DD0D68" w:rsidRDefault="00DD0D68" w:rsidP="00B21723">
            <w:pPr>
              <w:pStyle w:val="Table7pttext"/>
              <w:spacing w:after="60"/>
            </w:pPr>
            <w:r>
              <w:t>Locked Bag 2906</w:t>
            </w:r>
          </w:p>
          <w:p w14:paraId="691BDCCE" w14:textId="2D3D5CE0" w:rsidR="00860D1E" w:rsidRPr="00BC4931" w:rsidRDefault="00BF43A5" w:rsidP="00B21723">
            <w:pPr>
              <w:pStyle w:val="Table7pttext"/>
              <w:spacing w:after="60"/>
            </w:pPr>
            <w:r>
              <w:t xml:space="preserve">LISAROW  NSW  </w:t>
            </w:r>
            <w:r w:rsidR="00414640">
              <w:t>2252</w:t>
            </w:r>
          </w:p>
        </w:tc>
        <w:tc>
          <w:tcPr>
            <w:tcW w:w="2268" w:type="dxa"/>
            <w:shd w:val="clear" w:color="auto" w:fill="FFC9C9"/>
            <w:tcMar>
              <w:top w:w="80" w:type="dxa"/>
              <w:left w:w="80" w:type="dxa"/>
              <w:bottom w:w="80" w:type="dxa"/>
              <w:right w:w="80" w:type="dxa"/>
            </w:tcMar>
          </w:tcPr>
          <w:p w14:paraId="6CF2CD0F" w14:textId="0E189CBA" w:rsidR="00860D1E" w:rsidRPr="00BC4931" w:rsidRDefault="00A7538C" w:rsidP="00B21723">
            <w:pPr>
              <w:pStyle w:val="Table7pttext"/>
              <w:spacing w:after="60"/>
            </w:pPr>
            <w:hyperlink r:id="rId23" w:tooltip="State Insurance Regulatory Authority website" w:history="1">
              <w:r w:rsidR="00860D1E" w:rsidRPr="00A82A47">
                <w:rPr>
                  <w:rStyle w:val="Hyperlink"/>
                </w:rPr>
                <w:t>www.sira.nsw.gov.au/</w:t>
              </w:r>
            </w:hyperlink>
          </w:p>
        </w:tc>
      </w:tr>
      <w:tr w:rsidR="00860D1E" w:rsidRPr="00BC4931" w14:paraId="71AA58E6" w14:textId="77777777" w:rsidTr="00D046C6">
        <w:tc>
          <w:tcPr>
            <w:tcW w:w="1311" w:type="dxa"/>
            <w:tcMar>
              <w:top w:w="80" w:type="dxa"/>
              <w:left w:w="80" w:type="dxa"/>
              <w:bottom w:w="80" w:type="dxa"/>
              <w:right w:w="80" w:type="dxa"/>
            </w:tcMar>
          </w:tcPr>
          <w:p w14:paraId="703F84D8" w14:textId="77777777" w:rsidR="00860D1E" w:rsidRPr="00BC4931" w:rsidRDefault="00860D1E" w:rsidP="00B21723">
            <w:pPr>
              <w:pStyle w:val="TableColumn1bold"/>
              <w:spacing w:after="60"/>
            </w:pPr>
            <w:r w:rsidRPr="00BC4931">
              <w:t>Victoria</w:t>
            </w:r>
            <w:r w:rsidR="00DA6564">
              <w:fldChar w:fldCharType="begin"/>
            </w:r>
            <w:r w:rsidR="00DA6564">
              <w:instrText xml:space="preserve"> XE "</w:instrText>
            </w:r>
            <w:r w:rsidR="00DA6564" w:rsidRPr="009C6FBF">
              <w:instrText>Victoria:contacts</w:instrText>
            </w:r>
            <w:r w:rsidR="00DA6564">
              <w:instrText xml:space="preserve">" </w:instrText>
            </w:r>
            <w:r w:rsidR="00DA6564">
              <w:fldChar w:fldCharType="end"/>
            </w:r>
          </w:p>
        </w:tc>
        <w:tc>
          <w:tcPr>
            <w:tcW w:w="1449" w:type="dxa"/>
            <w:tcMar>
              <w:top w:w="80" w:type="dxa"/>
              <w:left w:w="80" w:type="dxa"/>
              <w:bottom w:w="80" w:type="dxa"/>
              <w:right w:w="80" w:type="dxa"/>
            </w:tcMar>
          </w:tcPr>
          <w:p w14:paraId="4FD85824" w14:textId="2396B6C9" w:rsidR="00860D1E" w:rsidRPr="00BC4931" w:rsidRDefault="004C3063" w:rsidP="00B21723">
            <w:pPr>
              <w:pStyle w:val="Table7pttext"/>
              <w:spacing w:after="60"/>
            </w:pPr>
            <w:r>
              <w:t>Alyse Rankin</w:t>
            </w:r>
          </w:p>
        </w:tc>
        <w:tc>
          <w:tcPr>
            <w:tcW w:w="2694" w:type="dxa"/>
            <w:tcMar>
              <w:top w:w="80" w:type="dxa"/>
              <w:left w:w="80" w:type="dxa"/>
              <w:bottom w:w="80" w:type="dxa"/>
              <w:right w:w="80" w:type="dxa"/>
            </w:tcMar>
          </w:tcPr>
          <w:p w14:paraId="39BA38B7" w14:textId="381A5E7F" w:rsidR="00860D1E" w:rsidRPr="00BC4931" w:rsidRDefault="004C3063" w:rsidP="00B21723">
            <w:pPr>
              <w:pStyle w:val="Table7pttext"/>
              <w:spacing w:after="60"/>
            </w:pPr>
            <w:r>
              <w:t>Policy</w:t>
            </w:r>
            <w:r w:rsidRPr="00BC4931">
              <w:t xml:space="preserve"> </w:t>
            </w:r>
            <w:r w:rsidR="00C806CE">
              <w:t xml:space="preserve">and Legislation </w:t>
            </w:r>
            <w:r w:rsidR="00860D1E" w:rsidRPr="00BC4931">
              <w:t>Officer, Policy and Strategy Services</w:t>
            </w:r>
          </w:p>
        </w:tc>
        <w:tc>
          <w:tcPr>
            <w:tcW w:w="1275" w:type="dxa"/>
            <w:tcMar>
              <w:top w:w="80" w:type="dxa"/>
              <w:left w:w="80" w:type="dxa"/>
              <w:bottom w:w="80" w:type="dxa"/>
              <w:right w:w="80" w:type="dxa"/>
            </w:tcMar>
          </w:tcPr>
          <w:p w14:paraId="13615F66" w14:textId="2D7A6AE0" w:rsidR="00DD0D68" w:rsidRDefault="00414640" w:rsidP="00B21723">
            <w:pPr>
              <w:pStyle w:val="Table7pttext"/>
              <w:spacing w:after="60"/>
            </w:pPr>
            <w:r>
              <w:t xml:space="preserve">1800 136 089 </w:t>
            </w:r>
          </w:p>
          <w:p w14:paraId="381EA3F1" w14:textId="406129CF" w:rsidR="00860D1E" w:rsidRPr="00BC4931" w:rsidRDefault="00C806CE" w:rsidP="00414640">
            <w:pPr>
              <w:pStyle w:val="Table7pttext"/>
              <w:spacing w:after="60"/>
            </w:pPr>
            <w:r>
              <w:t>(03) 4243 7184</w:t>
            </w:r>
          </w:p>
        </w:tc>
        <w:tc>
          <w:tcPr>
            <w:tcW w:w="1134" w:type="dxa"/>
            <w:tcMar>
              <w:top w:w="80" w:type="dxa"/>
              <w:left w:w="80" w:type="dxa"/>
              <w:bottom w:w="80" w:type="dxa"/>
              <w:right w:w="80" w:type="dxa"/>
            </w:tcMar>
          </w:tcPr>
          <w:p w14:paraId="0A8417C4" w14:textId="580DE175" w:rsidR="00860D1E" w:rsidRPr="00BC4931" w:rsidRDefault="00860D1E" w:rsidP="004C3063">
            <w:pPr>
              <w:pStyle w:val="Table7pttext"/>
              <w:spacing w:after="60"/>
            </w:pPr>
            <w:r w:rsidRPr="00BC4931">
              <w:t>(03)</w:t>
            </w:r>
            <w:r w:rsidR="00DD0D68">
              <w:t xml:space="preserve"> </w:t>
            </w:r>
            <w:r w:rsidR="004C3063">
              <w:t>9940 4297</w:t>
            </w:r>
          </w:p>
        </w:tc>
        <w:tc>
          <w:tcPr>
            <w:tcW w:w="2694" w:type="dxa"/>
            <w:tcMar>
              <w:top w:w="80" w:type="dxa"/>
              <w:left w:w="80" w:type="dxa"/>
              <w:bottom w:w="80" w:type="dxa"/>
              <w:right w:w="80" w:type="dxa"/>
            </w:tcMar>
          </w:tcPr>
          <w:p w14:paraId="08906B0F" w14:textId="278F317A" w:rsidR="00860D1E" w:rsidRPr="00BC4931" w:rsidRDefault="00A7538C" w:rsidP="00B21723">
            <w:pPr>
              <w:pStyle w:val="Table7pttext"/>
              <w:spacing w:after="60"/>
            </w:pPr>
            <w:hyperlink r:id="rId24" w:history="1">
              <w:r w:rsidR="004C3063">
                <w:rPr>
                  <w:rStyle w:val="Hyperlink"/>
                </w:rPr>
                <w:t>alyse_rankin@worksafe.vic.gov.au</w:t>
              </w:r>
            </w:hyperlink>
          </w:p>
        </w:tc>
        <w:tc>
          <w:tcPr>
            <w:tcW w:w="2551" w:type="dxa"/>
            <w:tcMar>
              <w:top w:w="80" w:type="dxa"/>
              <w:left w:w="80" w:type="dxa"/>
              <w:bottom w:w="80" w:type="dxa"/>
              <w:right w:w="80" w:type="dxa"/>
            </w:tcMar>
          </w:tcPr>
          <w:p w14:paraId="37BCDD55" w14:textId="77777777" w:rsidR="00DD0D68" w:rsidRDefault="00860D1E" w:rsidP="00B21723">
            <w:pPr>
              <w:pStyle w:val="Table7pttext"/>
              <w:spacing w:after="60"/>
            </w:pPr>
            <w:r w:rsidRPr="00BC4931">
              <w:t>WorkSafe Victoria</w:t>
            </w:r>
          </w:p>
          <w:p w14:paraId="473A51F9" w14:textId="6F109E2D" w:rsidR="00DD0D68" w:rsidRDefault="00C806CE" w:rsidP="00B21723">
            <w:pPr>
              <w:pStyle w:val="Table7pttext"/>
              <w:spacing w:after="60"/>
            </w:pPr>
            <w:r>
              <w:t>1 Malop Street</w:t>
            </w:r>
            <w:r w:rsidR="00860D1E" w:rsidRPr="00BC4931">
              <w:t xml:space="preserve"> </w:t>
            </w:r>
          </w:p>
          <w:p w14:paraId="2767E269" w14:textId="2502D2BA" w:rsidR="00860D1E" w:rsidRPr="00BC4931" w:rsidRDefault="00C806CE" w:rsidP="00C806CE">
            <w:pPr>
              <w:pStyle w:val="Table7pttext"/>
              <w:spacing w:after="60"/>
            </w:pPr>
            <w:r>
              <w:t>GEELONG</w:t>
            </w:r>
            <w:r w:rsidR="00BF43A5">
              <w:t xml:space="preserve">  VIC  </w:t>
            </w:r>
            <w:r w:rsidR="00414640">
              <w:t>3</w:t>
            </w:r>
            <w:r>
              <w:t>220</w:t>
            </w:r>
          </w:p>
        </w:tc>
        <w:tc>
          <w:tcPr>
            <w:tcW w:w="2268" w:type="dxa"/>
            <w:tcMar>
              <w:top w:w="80" w:type="dxa"/>
              <w:left w:w="80" w:type="dxa"/>
              <w:bottom w:w="80" w:type="dxa"/>
              <w:right w:w="80" w:type="dxa"/>
            </w:tcMar>
          </w:tcPr>
          <w:p w14:paraId="5765A651" w14:textId="14C0EBED" w:rsidR="00860D1E" w:rsidRPr="00BC4931" w:rsidRDefault="00A7538C" w:rsidP="00B21723">
            <w:pPr>
              <w:pStyle w:val="Table7pttext"/>
              <w:spacing w:after="60"/>
            </w:pPr>
            <w:hyperlink r:id="rId25" w:tooltip="WorkSafe Victoria website" w:history="1">
              <w:r w:rsidR="00860D1E" w:rsidRPr="00BC4931">
                <w:rPr>
                  <w:rStyle w:val="Hyperlink"/>
                </w:rPr>
                <w:t>www.worksafe.vic.gov.au</w:t>
              </w:r>
            </w:hyperlink>
          </w:p>
        </w:tc>
      </w:tr>
      <w:tr w:rsidR="00860D1E" w:rsidRPr="00BC4931" w14:paraId="285BD0A1" w14:textId="77777777" w:rsidTr="00D046C6">
        <w:tc>
          <w:tcPr>
            <w:tcW w:w="1311" w:type="dxa"/>
            <w:shd w:val="clear" w:color="auto" w:fill="FFC9C9"/>
            <w:tcMar>
              <w:top w:w="80" w:type="dxa"/>
              <w:left w:w="80" w:type="dxa"/>
              <w:bottom w:w="80" w:type="dxa"/>
              <w:right w:w="80" w:type="dxa"/>
            </w:tcMar>
          </w:tcPr>
          <w:p w14:paraId="2F2169D7" w14:textId="77777777" w:rsidR="00860D1E" w:rsidRPr="00BC4931" w:rsidRDefault="00860D1E" w:rsidP="00B21723">
            <w:pPr>
              <w:pStyle w:val="TableColumn1bold"/>
              <w:spacing w:after="60"/>
            </w:pPr>
            <w:r w:rsidRPr="00BC4931">
              <w:t>Queensland</w:t>
            </w:r>
            <w:r w:rsidR="00B653B7">
              <w:fldChar w:fldCharType="begin"/>
            </w:r>
            <w:r w:rsidR="00B653B7">
              <w:instrText xml:space="preserve"> XE "</w:instrText>
            </w:r>
            <w:r w:rsidR="00B653B7" w:rsidRPr="00CF53FF">
              <w:instrText>Queensland:contacts</w:instrText>
            </w:r>
            <w:r w:rsidR="00B653B7">
              <w:instrText xml:space="preserve">" </w:instrText>
            </w:r>
            <w:r w:rsidR="00B653B7">
              <w:fldChar w:fldCharType="end"/>
            </w:r>
          </w:p>
        </w:tc>
        <w:tc>
          <w:tcPr>
            <w:tcW w:w="1449" w:type="dxa"/>
            <w:shd w:val="clear" w:color="auto" w:fill="FFC9C9"/>
            <w:tcMar>
              <w:top w:w="80" w:type="dxa"/>
              <w:left w:w="80" w:type="dxa"/>
              <w:bottom w:w="80" w:type="dxa"/>
              <w:right w:w="80" w:type="dxa"/>
            </w:tcMar>
          </w:tcPr>
          <w:p w14:paraId="2FE6215E" w14:textId="0D59B38F" w:rsidR="00860D1E" w:rsidRPr="00BC4931" w:rsidRDefault="00860D1E" w:rsidP="00B21723">
            <w:pPr>
              <w:pStyle w:val="Table7pttext"/>
              <w:spacing w:after="60"/>
            </w:pPr>
            <w:r w:rsidRPr="00BC4931">
              <w:t>Janene Hillhouse</w:t>
            </w:r>
          </w:p>
        </w:tc>
        <w:tc>
          <w:tcPr>
            <w:tcW w:w="2694" w:type="dxa"/>
            <w:shd w:val="clear" w:color="auto" w:fill="FFC9C9"/>
            <w:tcMar>
              <w:top w:w="80" w:type="dxa"/>
              <w:left w:w="80" w:type="dxa"/>
              <w:bottom w:w="80" w:type="dxa"/>
              <w:right w:w="80" w:type="dxa"/>
            </w:tcMar>
          </w:tcPr>
          <w:p w14:paraId="2A9AD8D5" w14:textId="66E17855" w:rsidR="00860D1E" w:rsidRPr="00BC4931" w:rsidRDefault="00693A31" w:rsidP="00B21723">
            <w:pPr>
              <w:pStyle w:val="Table7pttext"/>
              <w:spacing w:after="60"/>
            </w:pPr>
            <w:r>
              <w:t xml:space="preserve">Executive </w:t>
            </w:r>
            <w:r w:rsidR="00860D1E" w:rsidRPr="00B62245">
              <w:t xml:space="preserve">Director, Workers’ Compensation </w:t>
            </w:r>
            <w:r>
              <w:t xml:space="preserve">Policy and </w:t>
            </w:r>
            <w:r w:rsidR="00860D1E" w:rsidRPr="00B62245">
              <w:t>Services, Office of Industrial Relations</w:t>
            </w:r>
          </w:p>
        </w:tc>
        <w:tc>
          <w:tcPr>
            <w:tcW w:w="1275" w:type="dxa"/>
            <w:shd w:val="clear" w:color="auto" w:fill="FFC9C9"/>
            <w:tcMar>
              <w:top w:w="80" w:type="dxa"/>
              <w:left w:w="80" w:type="dxa"/>
              <w:bottom w:w="80" w:type="dxa"/>
              <w:right w:w="80" w:type="dxa"/>
            </w:tcMar>
          </w:tcPr>
          <w:p w14:paraId="538BA182" w14:textId="08DA382D" w:rsidR="00414640" w:rsidRDefault="00414640" w:rsidP="00B21723">
            <w:pPr>
              <w:pStyle w:val="Table7pttext"/>
              <w:spacing w:after="60"/>
            </w:pPr>
            <w:r>
              <w:t xml:space="preserve">1300 362 128 </w:t>
            </w:r>
          </w:p>
          <w:p w14:paraId="0C3523EF" w14:textId="13C6FBC9" w:rsidR="00860D1E" w:rsidRPr="00BC4931" w:rsidRDefault="00BF43A5" w:rsidP="008B24D1">
            <w:pPr>
              <w:pStyle w:val="Table7pttext"/>
              <w:spacing w:after="60"/>
            </w:pPr>
            <w:r>
              <w:t>(07) 3406 9920</w:t>
            </w:r>
          </w:p>
        </w:tc>
        <w:tc>
          <w:tcPr>
            <w:tcW w:w="1134" w:type="dxa"/>
            <w:shd w:val="clear" w:color="auto" w:fill="FFC9C9"/>
            <w:tcMar>
              <w:top w:w="80" w:type="dxa"/>
              <w:left w:w="80" w:type="dxa"/>
              <w:bottom w:w="80" w:type="dxa"/>
              <w:right w:w="80" w:type="dxa"/>
            </w:tcMar>
          </w:tcPr>
          <w:p w14:paraId="6DB03DFF" w14:textId="7F296F71" w:rsidR="00860D1E" w:rsidRPr="00BC4931" w:rsidRDefault="00860D1E" w:rsidP="00B21723">
            <w:pPr>
              <w:pStyle w:val="Table7pttext"/>
              <w:spacing w:after="60"/>
            </w:pPr>
            <w:r w:rsidRPr="00BC4931">
              <w:t>N/A</w:t>
            </w:r>
          </w:p>
        </w:tc>
        <w:tc>
          <w:tcPr>
            <w:tcW w:w="2694" w:type="dxa"/>
            <w:shd w:val="clear" w:color="auto" w:fill="FFC9C9"/>
            <w:tcMar>
              <w:top w:w="80" w:type="dxa"/>
              <w:left w:w="80" w:type="dxa"/>
              <w:bottom w:w="80" w:type="dxa"/>
              <w:right w:w="80" w:type="dxa"/>
            </w:tcMar>
          </w:tcPr>
          <w:p w14:paraId="1D4745FE" w14:textId="371F6148" w:rsidR="00860D1E" w:rsidRPr="00BC4931" w:rsidRDefault="00A7538C" w:rsidP="000644C1">
            <w:pPr>
              <w:pStyle w:val="Table7pttext"/>
              <w:spacing w:after="60"/>
            </w:pPr>
            <w:hyperlink r:id="rId26" w:history="1">
              <w:r w:rsidR="003B6967">
                <w:rPr>
                  <w:rStyle w:val="Hyperlink"/>
                </w:rPr>
                <w:t>janene.hillhouse@oir.qld.gov.au</w:t>
              </w:r>
            </w:hyperlink>
          </w:p>
        </w:tc>
        <w:tc>
          <w:tcPr>
            <w:tcW w:w="2551" w:type="dxa"/>
            <w:shd w:val="clear" w:color="auto" w:fill="FFC9C9"/>
            <w:tcMar>
              <w:top w:w="80" w:type="dxa"/>
              <w:left w:w="80" w:type="dxa"/>
              <w:bottom w:w="80" w:type="dxa"/>
              <w:right w:w="80" w:type="dxa"/>
            </w:tcMar>
          </w:tcPr>
          <w:p w14:paraId="3B6D420A" w14:textId="77777777" w:rsidR="00DD0D68" w:rsidRDefault="00860D1E" w:rsidP="00B21723">
            <w:pPr>
              <w:pStyle w:val="Table7pttext"/>
              <w:spacing w:after="60"/>
            </w:pPr>
            <w:r w:rsidRPr="00BC4931">
              <w:t>Office of Industrial Relations</w:t>
            </w:r>
          </w:p>
          <w:p w14:paraId="6836FFF6" w14:textId="716B461A" w:rsidR="00DD0D68" w:rsidRDefault="00860D1E" w:rsidP="00B21723">
            <w:pPr>
              <w:pStyle w:val="Table7pttext"/>
              <w:spacing w:after="60"/>
            </w:pPr>
            <w:r w:rsidRPr="00BC4931">
              <w:t xml:space="preserve">GPO Box 69, </w:t>
            </w:r>
          </w:p>
          <w:p w14:paraId="5254D98B" w14:textId="1E3815C5" w:rsidR="00860D1E" w:rsidRPr="00BC4931" w:rsidRDefault="00BF43A5" w:rsidP="00B21723">
            <w:pPr>
              <w:pStyle w:val="Table7pttext"/>
              <w:spacing w:after="60"/>
            </w:pPr>
            <w:r>
              <w:t xml:space="preserve">BRISBANE  </w:t>
            </w:r>
            <w:r w:rsidR="00414640">
              <w:t xml:space="preserve">QLD </w:t>
            </w:r>
            <w:r>
              <w:t xml:space="preserve"> </w:t>
            </w:r>
            <w:r w:rsidR="00414640">
              <w:t>4001</w:t>
            </w:r>
          </w:p>
        </w:tc>
        <w:tc>
          <w:tcPr>
            <w:tcW w:w="2268" w:type="dxa"/>
            <w:shd w:val="clear" w:color="auto" w:fill="FFC9C9"/>
            <w:tcMar>
              <w:top w:w="80" w:type="dxa"/>
              <w:left w:w="80" w:type="dxa"/>
              <w:bottom w:w="80" w:type="dxa"/>
              <w:right w:w="80" w:type="dxa"/>
            </w:tcMar>
          </w:tcPr>
          <w:p w14:paraId="1C2A9326" w14:textId="5A8CD7EB" w:rsidR="00860D1E" w:rsidRPr="00BC4931" w:rsidRDefault="00A7538C" w:rsidP="00B21723">
            <w:pPr>
              <w:pStyle w:val="Table7pttext"/>
              <w:spacing w:after="60"/>
            </w:pPr>
            <w:hyperlink r:id="rId27" w:tooltip="Workplace Health and Safety Queensland website" w:history="1">
              <w:r w:rsidR="00860D1E" w:rsidRPr="00BC4931">
                <w:rPr>
                  <w:rStyle w:val="Hyperlink"/>
                </w:rPr>
                <w:t>www.worksafe.qld.gov.au</w:t>
              </w:r>
            </w:hyperlink>
            <w:r w:rsidR="00860D1E" w:rsidRPr="00BC4931">
              <w:t xml:space="preserve"> </w:t>
            </w:r>
          </w:p>
        </w:tc>
      </w:tr>
      <w:tr w:rsidR="00860D1E" w:rsidRPr="00BC4931" w14:paraId="0AFCD467" w14:textId="77777777" w:rsidTr="00D046C6">
        <w:tc>
          <w:tcPr>
            <w:tcW w:w="1311" w:type="dxa"/>
            <w:tcMar>
              <w:top w:w="80" w:type="dxa"/>
              <w:left w:w="80" w:type="dxa"/>
              <w:bottom w:w="80" w:type="dxa"/>
              <w:right w:w="80" w:type="dxa"/>
            </w:tcMar>
          </w:tcPr>
          <w:p w14:paraId="655F7053" w14:textId="58779FB6" w:rsidR="00860D1E" w:rsidRPr="00BC4931" w:rsidRDefault="00860D1E" w:rsidP="00B21723">
            <w:pPr>
              <w:pStyle w:val="TableColumn1bold"/>
              <w:spacing w:after="60"/>
            </w:pPr>
            <w:r w:rsidRPr="00BC4931">
              <w:t>Western Australia</w:t>
            </w:r>
            <w:r w:rsidR="00232E14">
              <w:fldChar w:fldCharType="begin"/>
            </w:r>
            <w:r w:rsidR="00232E14">
              <w:instrText xml:space="preserve"> XE "</w:instrText>
            </w:r>
            <w:r w:rsidR="00232E14" w:rsidRPr="004055FE">
              <w:instrText>Western Australia:contacts</w:instrText>
            </w:r>
            <w:r w:rsidR="00232E14">
              <w:instrText xml:space="preserve">" </w:instrText>
            </w:r>
            <w:r w:rsidR="00232E14">
              <w:fldChar w:fldCharType="end"/>
            </w:r>
          </w:p>
        </w:tc>
        <w:tc>
          <w:tcPr>
            <w:tcW w:w="1449" w:type="dxa"/>
            <w:tcMar>
              <w:top w:w="80" w:type="dxa"/>
              <w:left w:w="80" w:type="dxa"/>
              <w:bottom w:w="80" w:type="dxa"/>
              <w:right w:w="80" w:type="dxa"/>
            </w:tcMar>
          </w:tcPr>
          <w:p w14:paraId="19651711" w14:textId="454A1C5D" w:rsidR="00860D1E" w:rsidRPr="00BC4931" w:rsidRDefault="00860D1E" w:rsidP="00B21723">
            <w:pPr>
              <w:pStyle w:val="Table7pttext"/>
              <w:spacing w:after="60"/>
            </w:pPr>
            <w:r w:rsidRPr="00BC4931">
              <w:t>Kevin Gillingham</w:t>
            </w:r>
          </w:p>
        </w:tc>
        <w:tc>
          <w:tcPr>
            <w:tcW w:w="2694" w:type="dxa"/>
            <w:tcMar>
              <w:top w:w="80" w:type="dxa"/>
              <w:left w:w="80" w:type="dxa"/>
              <w:bottom w:w="80" w:type="dxa"/>
              <w:right w:w="80" w:type="dxa"/>
            </w:tcMar>
          </w:tcPr>
          <w:p w14:paraId="5632A4C4" w14:textId="237E3346" w:rsidR="00860D1E" w:rsidRPr="00BC4931" w:rsidRDefault="00860D1E" w:rsidP="00774E55">
            <w:pPr>
              <w:pStyle w:val="Table7pttext"/>
              <w:spacing w:after="60"/>
            </w:pPr>
            <w:r w:rsidRPr="00BC4931">
              <w:t>Manager</w:t>
            </w:r>
            <w:r w:rsidR="00E01D0F">
              <w:t>,</w:t>
            </w:r>
            <w:r w:rsidRPr="00BC4931">
              <w:t xml:space="preserve"> </w:t>
            </w:r>
            <w:r w:rsidR="00E01D0F">
              <w:br/>
            </w:r>
            <w:r w:rsidRPr="00BC4931">
              <w:t xml:space="preserve">Policy and Legislative Services, </w:t>
            </w:r>
            <w:r w:rsidR="00774E55">
              <w:t>Scheme and Corporate Services</w:t>
            </w:r>
          </w:p>
        </w:tc>
        <w:tc>
          <w:tcPr>
            <w:tcW w:w="1275" w:type="dxa"/>
            <w:tcMar>
              <w:top w:w="80" w:type="dxa"/>
              <w:left w:w="80" w:type="dxa"/>
              <w:bottom w:w="80" w:type="dxa"/>
              <w:right w:w="80" w:type="dxa"/>
            </w:tcMar>
          </w:tcPr>
          <w:p w14:paraId="6FE7D8E1" w14:textId="25FE8426" w:rsidR="00860D1E" w:rsidRDefault="00860D1E" w:rsidP="00B21723">
            <w:pPr>
              <w:pStyle w:val="Table7pttext"/>
              <w:spacing w:after="60"/>
            </w:pPr>
            <w:r>
              <w:t>(08</w:t>
            </w:r>
            <w:r w:rsidR="00414640">
              <w:t xml:space="preserve">) 9388 5555 </w:t>
            </w:r>
          </w:p>
          <w:p w14:paraId="2C781C3C" w14:textId="00C62562" w:rsidR="00860D1E" w:rsidRPr="00BC4931" w:rsidRDefault="00D41D16" w:rsidP="00414640">
            <w:pPr>
              <w:pStyle w:val="Table7pttext"/>
              <w:spacing w:after="60"/>
            </w:pPr>
            <w:r>
              <w:t>(08) 9388 5640</w:t>
            </w:r>
          </w:p>
        </w:tc>
        <w:tc>
          <w:tcPr>
            <w:tcW w:w="1134" w:type="dxa"/>
            <w:tcMar>
              <w:top w:w="80" w:type="dxa"/>
              <w:left w:w="80" w:type="dxa"/>
              <w:bottom w:w="80" w:type="dxa"/>
              <w:right w:w="80" w:type="dxa"/>
            </w:tcMar>
          </w:tcPr>
          <w:p w14:paraId="16E0043D" w14:textId="652516CC" w:rsidR="00860D1E" w:rsidRPr="00BC4931" w:rsidRDefault="00860D1E" w:rsidP="00B21723">
            <w:pPr>
              <w:pStyle w:val="Table7pttext"/>
              <w:spacing w:after="60"/>
            </w:pPr>
            <w:r w:rsidRPr="00BC4931">
              <w:t>(08) 9388 5550</w:t>
            </w:r>
          </w:p>
        </w:tc>
        <w:tc>
          <w:tcPr>
            <w:tcW w:w="2694" w:type="dxa"/>
            <w:tcMar>
              <w:top w:w="80" w:type="dxa"/>
              <w:left w:w="80" w:type="dxa"/>
              <w:bottom w:w="80" w:type="dxa"/>
              <w:right w:w="80" w:type="dxa"/>
            </w:tcMar>
          </w:tcPr>
          <w:p w14:paraId="2B0F54DB" w14:textId="63B42F65" w:rsidR="00860D1E" w:rsidRPr="00BC4931" w:rsidRDefault="00A7538C" w:rsidP="00B21723">
            <w:pPr>
              <w:pStyle w:val="Table7pttext"/>
              <w:spacing w:after="60"/>
            </w:pPr>
            <w:hyperlink r:id="rId28" w:history="1">
              <w:r w:rsidR="00774E55" w:rsidRPr="00774E55">
                <w:rPr>
                  <w:rStyle w:val="Hyperlink"/>
                </w:rPr>
                <w:t>kevin.gillingham@workcover.wa.gov.au</w:t>
              </w:r>
            </w:hyperlink>
          </w:p>
        </w:tc>
        <w:tc>
          <w:tcPr>
            <w:tcW w:w="2551" w:type="dxa"/>
            <w:tcMar>
              <w:top w:w="80" w:type="dxa"/>
              <w:left w:w="80" w:type="dxa"/>
              <w:bottom w:w="80" w:type="dxa"/>
              <w:right w:w="80" w:type="dxa"/>
            </w:tcMar>
          </w:tcPr>
          <w:p w14:paraId="175E6A16" w14:textId="77777777" w:rsidR="00FF0650" w:rsidRDefault="00FF0650" w:rsidP="00B21723">
            <w:pPr>
              <w:pStyle w:val="Table7pttext"/>
              <w:spacing w:after="60"/>
            </w:pPr>
            <w:r>
              <w:t>Scheme and Corporate Services</w:t>
            </w:r>
            <w:r w:rsidR="00860D1E">
              <w:t xml:space="preserve"> </w:t>
            </w:r>
          </w:p>
          <w:p w14:paraId="06370DFC" w14:textId="3FA4264F" w:rsidR="00860D1E" w:rsidRDefault="00860D1E" w:rsidP="00B21723">
            <w:pPr>
              <w:pStyle w:val="Table7pttext"/>
              <w:spacing w:after="60"/>
            </w:pPr>
            <w:r w:rsidRPr="00BC4931">
              <w:t xml:space="preserve">WorkCover WA </w:t>
            </w:r>
          </w:p>
          <w:p w14:paraId="03113862" w14:textId="77777777" w:rsidR="00DD0D68" w:rsidRDefault="00860D1E" w:rsidP="00B21723">
            <w:pPr>
              <w:pStyle w:val="Table7pttext"/>
              <w:spacing w:after="60"/>
            </w:pPr>
            <w:r w:rsidRPr="00BC4931">
              <w:t xml:space="preserve">2 Bedbrook Place </w:t>
            </w:r>
          </w:p>
          <w:p w14:paraId="09202769" w14:textId="0CB7AEE7" w:rsidR="00860D1E" w:rsidRPr="00BC4931" w:rsidRDefault="00414640" w:rsidP="00B21723">
            <w:pPr>
              <w:pStyle w:val="Table7pttext"/>
              <w:spacing w:after="60"/>
            </w:pPr>
            <w:r>
              <w:t xml:space="preserve">SHENTON PARK </w:t>
            </w:r>
            <w:r w:rsidR="00BF43A5">
              <w:t xml:space="preserve"> </w:t>
            </w:r>
            <w:r>
              <w:t xml:space="preserve">WA </w:t>
            </w:r>
            <w:r w:rsidR="00BF43A5">
              <w:t xml:space="preserve"> </w:t>
            </w:r>
            <w:r>
              <w:t>6008</w:t>
            </w:r>
          </w:p>
        </w:tc>
        <w:tc>
          <w:tcPr>
            <w:tcW w:w="2268" w:type="dxa"/>
            <w:tcMar>
              <w:top w:w="80" w:type="dxa"/>
              <w:left w:w="80" w:type="dxa"/>
              <w:bottom w:w="80" w:type="dxa"/>
              <w:right w:w="80" w:type="dxa"/>
            </w:tcMar>
          </w:tcPr>
          <w:p w14:paraId="2C671E29" w14:textId="1DA8EA35" w:rsidR="00860D1E" w:rsidRPr="00BC4931" w:rsidRDefault="00A7538C" w:rsidP="00B21723">
            <w:pPr>
              <w:pStyle w:val="Table7pttext"/>
              <w:spacing w:after="60"/>
            </w:pPr>
            <w:hyperlink r:id="rId29" w:tooltip="WorkCover Western Australia website" w:history="1">
              <w:r w:rsidR="00860D1E" w:rsidRPr="00BC4931">
                <w:rPr>
                  <w:rStyle w:val="Hyperlink"/>
                </w:rPr>
                <w:t>www.workcover.wa.gov.au</w:t>
              </w:r>
            </w:hyperlink>
          </w:p>
        </w:tc>
      </w:tr>
      <w:tr w:rsidR="00860D1E" w:rsidRPr="00BC4931" w14:paraId="0121ED82" w14:textId="77777777" w:rsidTr="00D046C6">
        <w:tc>
          <w:tcPr>
            <w:tcW w:w="1311" w:type="dxa"/>
            <w:shd w:val="clear" w:color="auto" w:fill="FFC9C9"/>
            <w:tcMar>
              <w:top w:w="80" w:type="dxa"/>
              <w:left w:w="80" w:type="dxa"/>
              <w:bottom w:w="80" w:type="dxa"/>
              <w:right w:w="80" w:type="dxa"/>
            </w:tcMar>
          </w:tcPr>
          <w:p w14:paraId="206D2E2A" w14:textId="62D04035" w:rsidR="00860D1E" w:rsidRPr="00BC4931" w:rsidRDefault="00860D1E" w:rsidP="00B21723">
            <w:pPr>
              <w:pStyle w:val="TableColumn1bold"/>
              <w:spacing w:after="60"/>
            </w:pPr>
            <w:r w:rsidRPr="00BC4931">
              <w:t>South Australia</w:t>
            </w:r>
            <w:r w:rsidR="007E7520">
              <w:fldChar w:fldCharType="begin"/>
            </w:r>
            <w:r w:rsidR="007E7520">
              <w:instrText xml:space="preserve"> XE "</w:instrText>
            </w:r>
            <w:r w:rsidR="007E7520" w:rsidRPr="0073710E">
              <w:instrText>South Australia:contacts</w:instrText>
            </w:r>
            <w:r w:rsidR="007E7520">
              <w:instrText xml:space="preserve">" </w:instrText>
            </w:r>
            <w:r w:rsidR="007E7520">
              <w:fldChar w:fldCharType="end"/>
            </w:r>
          </w:p>
        </w:tc>
        <w:tc>
          <w:tcPr>
            <w:tcW w:w="1449" w:type="dxa"/>
            <w:shd w:val="clear" w:color="auto" w:fill="FFC9C9"/>
            <w:tcMar>
              <w:top w:w="80" w:type="dxa"/>
              <w:left w:w="80" w:type="dxa"/>
              <w:bottom w:w="80" w:type="dxa"/>
              <w:right w:w="80" w:type="dxa"/>
            </w:tcMar>
          </w:tcPr>
          <w:p w14:paraId="1790C452" w14:textId="472EE417" w:rsidR="00860D1E" w:rsidRPr="00BC4931" w:rsidRDefault="00860D1E" w:rsidP="00B21723">
            <w:pPr>
              <w:pStyle w:val="Table7pttext"/>
              <w:spacing w:after="60"/>
            </w:pPr>
            <w:r w:rsidRPr="0036303A">
              <w:t>Sally Burridge</w:t>
            </w:r>
          </w:p>
        </w:tc>
        <w:tc>
          <w:tcPr>
            <w:tcW w:w="2694" w:type="dxa"/>
            <w:shd w:val="clear" w:color="auto" w:fill="FFC9C9"/>
            <w:tcMar>
              <w:top w:w="80" w:type="dxa"/>
              <w:left w:w="80" w:type="dxa"/>
              <w:bottom w:w="80" w:type="dxa"/>
              <w:right w:w="80" w:type="dxa"/>
            </w:tcMar>
          </w:tcPr>
          <w:p w14:paraId="27C84712" w14:textId="13213980" w:rsidR="00860D1E" w:rsidRPr="00BC4931" w:rsidRDefault="00860D1E" w:rsidP="00B21723">
            <w:pPr>
              <w:pStyle w:val="Table7pttext"/>
              <w:spacing w:after="60"/>
            </w:pPr>
            <w:r w:rsidRPr="0036303A">
              <w:t>Manager, Government Relations, Regulation, ReturnToWorkSA</w:t>
            </w:r>
          </w:p>
        </w:tc>
        <w:tc>
          <w:tcPr>
            <w:tcW w:w="1275" w:type="dxa"/>
            <w:shd w:val="clear" w:color="auto" w:fill="FFC9C9"/>
            <w:tcMar>
              <w:top w:w="80" w:type="dxa"/>
              <w:left w:w="80" w:type="dxa"/>
              <w:bottom w:w="80" w:type="dxa"/>
              <w:right w:w="80" w:type="dxa"/>
            </w:tcMar>
          </w:tcPr>
          <w:p w14:paraId="495B49BE" w14:textId="2EF3B68F" w:rsidR="00860D1E" w:rsidRDefault="00414640" w:rsidP="00B21723">
            <w:pPr>
              <w:pStyle w:val="Table7pttext"/>
              <w:spacing w:after="60"/>
            </w:pPr>
            <w:r>
              <w:t xml:space="preserve">131 855 </w:t>
            </w:r>
          </w:p>
          <w:p w14:paraId="4E28CD72" w14:textId="169DC2DF" w:rsidR="00860D1E" w:rsidRPr="00BC4931" w:rsidRDefault="00860D1E" w:rsidP="00414640">
            <w:pPr>
              <w:pStyle w:val="Table7pttext"/>
              <w:spacing w:after="60"/>
            </w:pPr>
            <w:r>
              <w:t>(08) 8233 2267</w:t>
            </w:r>
          </w:p>
        </w:tc>
        <w:tc>
          <w:tcPr>
            <w:tcW w:w="1134" w:type="dxa"/>
            <w:shd w:val="clear" w:color="auto" w:fill="FFC9C9"/>
            <w:tcMar>
              <w:top w:w="80" w:type="dxa"/>
              <w:left w:w="80" w:type="dxa"/>
              <w:bottom w:w="80" w:type="dxa"/>
              <w:right w:w="80" w:type="dxa"/>
            </w:tcMar>
          </w:tcPr>
          <w:p w14:paraId="0E5E7CF0" w14:textId="77777777" w:rsidR="00860D1E" w:rsidRPr="00BC4931" w:rsidRDefault="00860D1E" w:rsidP="00B21723">
            <w:pPr>
              <w:pStyle w:val="Table7pttext"/>
              <w:spacing w:after="60"/>
            </w:pPr>
            <w:r w:rsidRPr="0036303A">
              <w:t>N/A</w:t>
            </w:r>
          </w:p>
        </w:tc>
        <w:tc>
          <w:tcPr>
            <w:tcW w:w="2694" w:type="dxa"/>
            <w:shd w:val="clear" w:color="auto" w:fill="FFC9C9"/>
            <w:tcMar>
              <w:top w:w="80" w:type="dxa"/>
              <w:left w:w="80" w:type="dxa"/>
              <w:bottom w:w="80" w:type="dxa"/>
              <w:right w:w="80" w:type="dxa"/>
            </w:tcMar>
          </w:tcPr>
          <w:p w14:paraId="59EBB397" w14:textId="77777777" w:rsidR="00860D1E" w:rsidRPr="00BC4931" w:rsidRDefault="00A7538C" w:rsidP="00B21723">
            <w:pPr>
              <w:pStyle w:val="Table7pttext"/>
              <w:spacing w:after="60"/>
            </w:pPr>
            <w:hyperlink r:id="rId30" w:history="1">
              <w:r w:rsidR="00860D1E" w:rsidRPr="00C644BB">
                <w:rPr>
                  <w:rStyle w:val="Hyperlink"/>
                </w:rPr>
                <w:t>sally.burridge@rtwsa.com</w:t>
              </w:r>
            </w:hyperlink>
            <w:r w:rsidR="00860D1E">
              <w:t xml:space="preserve"> </w:t>
            </w:r>
          </w:p>
        </w:tc>
        <w:tc>
          <w:tcPr>
            <w:tcW w:w="2551" w:type="dxa"/>
            <w:shd w:val="clear" w:color="auto" w:fill="FFC9C9"/>
            <w:tcMar>
              <w:top w:w="80" w:type="dxa"/>
              <w:left w:w="80" w:type="dxa"/>
              <w:bottom w:w="80" w:type="dxa"/>
              <w:right w:w="80" w:type="dxa"/>
            </w:tcMar>
          </w:tcPr>
          <w:p w14:paraId="42558EBB" w14:textId="77777777" w:rsidR="00860D1E" w:rsidRPr="00BC4931" w:rsidRDefault="00860D1E" w:rsidP="00B21723">
            <w:pPr>
              <w:pStyle w:val="Table7pttext"/>
              <w:spacing w:after="60"/>
            </w:pPr>
            <w:r w:rsidRPr="00BC4931">
              <w:t>Government Relations</w:t>
            </w:r>
          </w:p>
          <w:p w14:paraId="675184D5" w14:textId="77777777" w:rsidR="00860D1E" w:rsidRDefault="00860D1E" w:rsidP="00B21723">
            <w:pPr>
              <w:pStyle w:val="Table7pttext"/>
              <w:spacing w:after="60"/>
            </w:pPr>
            <w:r>
              <w:t>ReturnToWorkSA</w:t>
            </w:r>
          </w:p>
          <w:p w14:paraId="3D61C49C" w14:textId="77777777" w:rsidR="00860D1E" w:rsidRDefault="00860D1E" w:rsidP="00B21723">
            <w:pPr>
              <w:pStyle w:val="Table7pttext"/>
              <w:spacing w:after="60"/>
            </w:pPr>
            <w:r w:rsidRPr="00BC4931">
              <w:t>GPO Box 2668</w:t>
            </w:r>
          </w:p>
          <w:p w14:paraId="6AC0575B" w14:textId="6992EFC9" w:rsidR="00860D1E" w:rsidRPr="00BC4931" w:rsidRDefault="008B24D1" w:rsidP="00B21723">
            <w:pPr>
              <w:pStyle w:val="Table7pttext"/>
              <w:spacing w:after="60"/>
            </w:pPr>
            <w:r>
              <w:t xml:space="preserve">ADELAIDE </w:t>
            </w:r>
            <w:r w:rsidR="00BF43A5">
              <w:t xml:space="preserve"> </w:t>
            </w:r>
            <w:r>
              <w:t xml:space="preserve">SA </w:t>
            </w:r>
            <w:r w:rsidR="00BF43A5">
              <w:t xml:space="preserve"> </w:t>
            </w:r>
            <w:r>
              <w:t>5001</w:t>
            </w:r>
          </w:p>
        </w:tc>
        <w:tc>
          <w:tcPr>
            <w:tcW w:w="2268" w:type="dxa"/>
            <w:shd w:val="clear" w:color="auto" w:fill="FFC9C9"/>
            <w:tcMar>
              <w:top w:w="80" w:type="dxa"/>
              <w:left w:w="80" w:type="dxa"/>
              <w:bottom w:w="80" w:type="dxa"/>
              <w:right w:w="80" w:type="dxa"/>
            </w:tcMar>
          </w:tcPr>
          <w:p w14:paraId="20413884" w14:textId="64162DDC" w:rsidR="00860D1E" w:rsidRPr="00BC4931" w:rsidRDefault="00A7538C" w:rsidP="00B21723">
            <w:pPr>
              <w:pStyle w:val="Table7pttext"/>
              <w:spacing w:after="60"/>
            </w:pPr>
            <w:hyperlink r:id="rId31" w:tooltip="Return to Work SA website" w:history="1">
              <w:r w:rsidR="00860D1E" w:rsidRPr="00BC4931">
                <w:rPr>
                  <w:rStyle w:val="Hyperlink"/>
                </w:rPr>
                <w:t>www.rtwsa.com</w:t>
              </w:r>
            </w:hyperlink>
          </w:p>
        </w:tc>
      </w:tr>
      <w:tr w:rsidR="00860D1E" w:rsidRPr="00BC4931" w14:paraId="56A3AB45" w14:textId="77777777" w:rsidTr="00D046C6">
        <w:tc>
          <w:tcPr>
            <w:tcW w:w="1311" w:type="dxa"/>
            <w:tcMar>
              <w:top w:w="80" w:type="dxa"/>
              <w:left w:w="80" w:type="dxa"/>
              <w:bottom w:w="80" w:type="dxa"/>
              <w:right w:w="80" w:type="dxa"/>
            </w:tcMar>
          </w:tcPr>
          <w:p w14:paraId="0DA147A1" w14:textId="77777777" w:rsidR="00860D1E" w:rsidRPr="00BC4931" w:rsidRDefault="00860D1E" w:rsidP="00B21723">
            <w:pPr>
              <w:pStyle w:val="TableColumn1bold"/>
              <w:spacing w:after="60"/>
            </w:pPr>
            <w:r w:rsidRPr="00BC4931">
              <w:t>Tasmania</w:t>
            </w:r>
            <w:r w:rsidR="0093517C">
              <w:fldChar w:fldCharType="begin"/>
            </w:r>
            <w:r w:rsidR="0093517C">
              <w:instrText xml:space="preserve"> XE "</w:instrText>
            </w:r>
            <w:r w:rsidR="0093517C" w:rsidRPr="009F3A84">
              <w:instrText>Tasmania:contacts</w:instrText>
            </w:r>
            <w:r w:rsidR="0093517C">
              <w:instrText xml:space="preserve">" </w:instrText>
            </w:r>
            <w:r w:rsidR="0093517C">
              <w:fldChar w:fldCharType="end"/>
            </w:r>
          </w:p>
        </w:tc>
        <w:tc>
          <w:tcPr>
            <w:tcW w:w="1449" w:type="dxa"/>
            <w:tcMar>
              <w:top w:w="80" w:type="dxa"/>
              <w:left w:w="80" w:type="dxa"/>
              <w:bottom w:w="80" w:type="dxa"/>
              <w:right w:w="80" w:type="dxa"/>
            </w:tcMar>
          </w:tcPr>
          <w:p w14:paraId="6DF25B6E" w14:textId="47D2E79B" w:rsidR="00C337F9" w:rsidRPr="00BC4931" w:rsidRDefault="00096E76" w:rsidP="00B21723">
            <w:pPr>
              <w:pStyle w:val="Table7pttext"/>
              <w:spacing w:after="60"/>
            </w:pPr>
            <w:r>
              <w:t>Mark</w:t>
            </w:r>
            <w:r w:rsidR="00FA51C6">
              <w:t xml:space="preserve"> Cocker</w:t>
            </w:r>
          </w:p>
        </w:tc>
        <w:tc>
          <w:tcPr>
            <w:tcW w:w="2694" w:type="dxa"/>
            <w:tcMar>
              <w:top w:w="80" w:type="dxa"/>
              <w:left w:w="80" w:type="dxa"/>
              <w:bottom w:w="80" w:type="dxa"/>
              <w:right w:w="80" w:type="dxa"/>
            </w:tcMar>
          </w:tcPr>
          <w:p w14:paraId="7B5BD3FC" w14:textId="59190BBE" w:rsidR="00860D1E" w:rsidRPr="00BC4931" w:rsidRDefault="00026722" w:rsidP="00B21723">
            <w:pPr>
              <w:pStyle w:val="Table7pttext"/>
              <w:spacing w:after="60"/>
            </w:pPr>
            <w:r>
              <w:t>Chief Executive, WorkSafe Tasmania</w:t>
            </w:r>
          </w:p>
        </w:tc>
        <w:tc>
          <w:tcPr>
            <w:tcW w:w="1275" w:type="dxa"/>
            <w:tcMar>
              <w:top w:w="80" w:type="dxa"/>
              <w:left w:w="80" w:type="dxa"/>
              <w:bottom w:w="80" w:type="dxa"/>
              <w:right w:w="80" w:type="dxa"/>
            </w:tcMar>
          </w:tcPr>
          <w:p w14:paraId="2A62AE75" w14:textId="7C56EB8C" w:rsidR="00860D1E" w:rsidRPr="00BC4931" w:rsidRDefault="00860D1E" w:rsidP="00C337F9">
            <w:pPr>
              <w:pStyle w:val="Table7pttext"/>
              <w:spacing w:after="60"/>
            </w:pPr>
            <w:r w:rsidRPr="00BC4931">
              <w:t>(03) 6166 4</w:t>
            </w:r>
            <w:r w:rsidR="002F6674">
              <w:t>744</w:t>
            </w:r>
          </w:p>
        </w:tc>
        <w:tc>
          <w:tcPr>
            <w:tcW w:w="1134" w:type="dxa"/>
            <w:tcMar>
              <w:top w:w="80" w:type="dxa"/>
              <w:left w:w="80" w:type="dxa"/>
              <w:bottom w:w="80" w:type="dxa"/>
              <w:right w:w="80" w:type="dxa"/>
            </w:tcMar>
          </w:tcPr>
          <w:p w14:paraId="26CB8BD5" w14:textId="7F7A52AC" w:rsidR="00860D1E" w:rsidRPr="00BC4931" w:rsidRDefault="00860D1E" w:rsidP="00C337F9">
            <w:pPr>
              <w:pStyle w:val="Table7pttext"/>
              <w:spacing w:after="60"/>
            </w:pPr>
            <w:r w:rsidRPr="00BC4931">
              <w:t xml:space="preserve">(03) </w:t>
            </w:r>
            <w:r w:rsidR="00C337F9">
              <w:t>6173 0206</w:t>
            </w:r>
          </w:p>
        </w:tc>
        <w:tc>
          <w:tcPr>
            <w:tcW w:w="2694" w:type="dxa"/>
            <w:tcMar>
              <w:top w:w="80" w:type="dxa"/>
              <w:left w:w="80" w:type="dxa"/>
              <w:bottom w:w="80" w:type="dxa"/>
              <w:right w:w="80" w:type="dxa"/>
            </w:tcMar>
          </w:tcPr>
          <w:p w14:paraId="30EBA375" w14:textId="70D82BE8" w:rsidR="00860D1E" w:rsidRPr="002F6674" w:rsidRDefault="00A7538C" w:rsidP="00B21723">
            <w:pPr>
              <w:pStyle w:val="Table7pttext"/>
              <w:spacing w:after="60"/>
              <w:rPr>
                <w:color w:val="0000FF" w:themeColor="hyperlink"/>
                <w:u w:val="single"/>
              </w:rPr>
            </w:pPr>
            <w:hyperlink r:id="rId32" w:history="1">
              <w:r w:rsidR="002F6674">
                <w:rPr>
                  <w:rStyle w:val="Hyperlink"/>
                </w:rPr>
                <w:t>mark.cocker@justice.tas.gov.au</w:t>
              </w:r>
            </w:hyperlink>
            <w:r w:rsidR="00860D1E">
              <w:rPr>
                <w:rStyle w:val="Hyperlink"/>
              </w:rPr>
              <w:t xml:space="preserve"> </w:t>
            </w:r>
          </w:p>
        </w:tc>
        <w:tc>
          <w:tcPr>
            <w:tcW w:w="2551" w:type="dxa"/>
            <w:tcMar>
              <w:top w:w="80" w:type="dxa"/>
              <w:left w:w="80" w:type="dxa"/>
              <w:bottom w:w="80" w:type="dxa"/>
              <w:right w:w="80" w:type="dxa"/>
            </w:tcMar>
          </w:tcPr>
          <w:p w14:paraId="5AEA97EB" w14:textId="77777777" w:rsidR="00860D1E" w:rsidRDefault="00860D1E" w:rsidP="00B21723">
            <w:pPr>
              <w:pStyle w:val="Table7pttext"/>
              <w:spacing w:after="60"/>
            </w:pPr>
            <w:r w:rsidRPr="00BC4931">
              <w:t>WorkSafe Tasmania</w:t>
            </w:r>
          </w:p>
          <w:p w14:paraId="74D2F918" w14:textId="77777777" w:rsidR="00860D1E" w:rsidRDefault="00860D1E" w:rsidP="00B21723">
            <w:pPr>
              <w:pStyle w:val="Table7pttext"/>
              <w:spacing w:after="60"/>
            </w:pPr>
            <w:r w:rsidRPr="00BC4931">
              <w:t xml:space="preserve">PO Box 56 </w:t>
            </w:r>
          </w:p>
          <w:p w14:paraId="5CAB0F0B" w14:textId="0E0DDEB2" w:rsidR="00860D1E" w:rsidRPr="00BC4931" w:rsidRDefault="00414640" w:rsidP="00B21723">
            <w:pPr>
              <w:pStyle w:val="Table7pttext"/>
              <w:spacing w:after="60"/>
            </w:pPr>
            <w:r>
              <w:t xml:space="preserve">ROSNY PARK </w:t>
            </w:r>
            <w:r w:rsidR="00BF43A5">
              <w:t xml:space="preserve"> </w:t>
            </w:r>
            <w:r>
              <w:t xml:space="preserve">TAS </w:t>
            </w:r>
            <w:r w:rsidR="00BF43A5">
              <w:t xml:space="preserve"> </w:t>
            </w:r>
            <w:r>
              <w:t>7018</w:t>
            </w:r>
          </w:p>
        </w:tc>
        <w:tc>
          <w:tcPr>
            <w:tcW w:w="2268" w:type="dxa"/>
            <w:tcMar>
              <w:top w:w="80" w:type="dxa"/>
              <w:left w:w="80" w:type="dxa"/>
              <w:bottom w:w="80" w:type="dxa"/>
              <w:right w:w="80" w:type="dxa"/>
            </w:tcMar>
          </w:tcPr>
          <w:p w14:paraId="4E692FAF" w14:textId="77777777" w:rsidR="00985FB1" w:rsidRDefault="00A7538C" w:rsidP="00B21723">
            <w:pPr>
              <w:pStyle w:val="Table7pttext"/>
              <w:spacing w:after="60"/>
              <w:rPr>
                <w:rStyle w:val="Hyperlink"/>
              </w:rPr>
            </w:pPr>
            <w:hyperlink r:id="rId33" w:tooltip="WorkSafe Tasmania website" w:history="1">
              <w:r w:rsidR="00860D1E" w:rsidRPr="00A82A47">
                <w:rPr>
                  <w:rStyle w:val="Hyperlink"/>
                </w:rPr>
                <w:t>www.worksafe.tas.gov.au</w:t>
              </w:r>
            </w:hyperlink>
          </w:p>
          <w:p w14:paraId="296D069E" w14:textId="1FE92625" w:rsidR="00860D1E" w:rsidRPr="00BC4931" w:rsidRDefault="00860D1E" w:rsidP="00B21723">
            <w:pPr>
              <w:pStyle w:val="Table7pttext"/>
              <w:spacing w:after="60"/>
            </w:pPr>
            <w:r>
              <w:t xml:space="preserve"> </w:t>
            </w:r>
          </w:p>
        </w:tc>
      </w:tr>
      <w:tr w:rsidR="00860D1E" w:rsidRPr="00BC4931" w14:paraId="681C5ED7" w14:textId="77777777" w:rsidTr="00D046C6">
        <w:tc>
          <w:tcPr>
            <w:tcW w:w="1311" w:type="dxa"/>
            <w:shd w:val="clear" w:color="auto" w:fill="FFC9C9"/>
            <w:tcMar>
              <w:top w:w="80" w:type="dxa"/>
              <w:left w:w="80" w:type="dxa"/>
              <w:bottom w:w="80" w:type="dxa"/>
              <w:right w:w="80" w:type="dxa"/>
            </w:tcMar>
          </w:tcPr>
          <w:p w14:paraId="5FEE6808" w14:textId="57A0C763" w:rsidR="00860D1E" w:rsidRPr="00BC4931" w:rsidRDefault="00860D1E" w:rsidP="00B21723">
            <w:pPr>
              <w:pStyle w:val="TableColumn1bold"/>
              <w:spacing w:after="60"/>
            </w:pPr>
            <w:r w:rsidRPr="00BC4931">
              <w:t>Northern Territory</w:t>
            </w:r>
            <w:r w:rsidR="00A95C3B">
              <w:fldChar w:fldCharType="begin"/>
            </w:r>
            <w:r w:rsidR="00A95C3B">
              <w:instrText xml:space="preserve"> XE "</w:instrText>
            </w:r>
            <w:r w:rsidR="00A95C3B" w:rsidRPr="00E44331">
              <w:instrText>Northern Territory:contacts</w:instrText>
            </w:r>
            <w:r w:rsidR="00A95C3B">
              <w:instrText xml:space="preserve">" </w:instrText>
            </w:r>
            <w:r w:rsidR="00A95C3B">
              <w:fldChar w:fldCharType="end"/>
            </w:r>
          </w:p>
        </w:tc>
        <w:tc>
          <w:tcPr>
            <w:tcW w:w="1449" w:type="dxa"/>
            <w:shd w:val="clear" w:color="auto" w:fill="FFC9C9"/>
            <w:tcMar>
              <w:top w:w="80" w:type="dxa"/>
              <w:left w:w="80" w:type="dxa"/>
              <w:bottom w:w="80" w:type="dxa"/>
              <w:right w:w="80" w:type="dxa"/>
            </w:tcMar>
          </w:tcPr>
          <w:p w14:paraId="5819DF4F" w14:textId="7B0DBD15" w:rsidR="00860D1E" w:rsidRPr="00BC4931" w:rsidRDefault="00860D1E" w:rsidP="00B21723">
            <w:pPr>
              <w:pStyle w:val="Table7pttext"/>
              <w:spacing w:after="60"/>
            </w:pPr>
            <w:r w:rsidRPr="00BC4931">
              <w:t>Bevan Pratt</w:t>
            </w:r>
          </w:p>
        </w:tc>
        <w:tc>
          <w:tcPr>
            <w:tcW w:w="2694" w:type="dxa"/>
            <w:shd w:val="clear" w:color="auto" w:fill="FFC9C9"/>
            <w:tcMar>
              <w:top w:w="80" w:type="dxa"/>
              <w:left w:w="80" w:type="dxa"/>
              <w:bottom w:w="80" w:type="dxa"/>
              <w:right w:w="80" w:type="dxa"/>
            </w:tcMar>
          </w:tcPr>
          <w:p w14:paraId="7398C2D2" w14:textId="63E8F900" w:rsidR="00860D1E" w:rsidRPr="00BC4931" w:rsidRDefault="00860D1E" w:rsidP="00B21723">
            <w:pPr>
              <w:pStyle w:val="Table7pttext"/>
              <w:spacing w:after="60"/>
            </w:pPr>
            <w:r w:rsidRPr="00BC4931">
              <w:t>Director, Rehabilitation and Compensation</w:t>
            </w:r>
          </w:p>
        </w:tc>
        <w:tc>
          <w:tcPr>
            <w:tcW w:w="1275" w:type="dxa"/>
            <w:shd w:val="clear" w:color="auto" w:fill="FFC9C9"/>
            <w:tcMar>
              <w:top w:w="80" w:type="dxa"/>
              <w:left w:w="80" w:type="dxa"/>
              <w:bottom w:w="80" w:type="dxa"/>
              <w:right w:w="80" w:type="dxa"/>
            </w:tcMar>
          </w:tcPr>
          <w:p w14:paraId="059EB5BB" w14:textId="4B205E31" w:rsidR="00414640" w:rsidRDefault="00414640" w:rsidP="00B21723">
            <w:pPr>
              <w:pStyle w:val="Table7pttext"/>
              <w:spacing w:after="60"/>
            </w:pPr>
            <w:r w:rsidRPr="00BC4931">
              <w:t>1</w:t>
            </w:r>
            <w:r>
              <w:t xml:space="preserve">800 250 713 </w:t>
            </w:r>
          </w:p>
          <w:p w14:paraId="4676EC6C" w14:textId="759F3417" w:rsidR="00860D1E" w:rsidRPr="00BC4931" w:rsidRDefault="00860D1E" w:rsidP="00414640">
            <w:pPr>
              <w:pStyle w:val="Table7pttext"/>
              <w:spacing w:after="60"/>
            </w:pPr>
            <w:r w:rsidRPr="00BC4931">
              <w:t xml:space="preserve">(08) 8999 5018 </w:t>
            </w:r>
          </w:p>
        </w:tc>
        <w:tc>
          <w:tcPr>
            <w:tcW w:w="1134" w:type="dxa"/>
            <w:shd w:val="clear" w:color="auto" w:fill="FFC9C9"/>
            <w:tcMar>
              <w:top w:w="80" w:type="dxa"/>
              <w:left w:w="80" w:type="dxa"/>
              <w:bottom w:w="80" w:type="dxa"/>
              <w:right w:w="80" w:type="dxa"/>
            </w:tcMar>
          </w:tcPr>
          <w:p w14:paraId="5B58C812" w14:textId="77777777" w:rsidR="00860D1E" w:rsidRPr="00BC4931" w:rsidRDefault="00860D1E" w:rsidP="00B21723">
            <w:pPr>
              <w:pStyle w:val="Table7pttext"/>
              <w:spacing w:after="60"/>
            </w:pPr>
            <w:r w:rsidRPr="00BC4931">
              <w:t>(08) 8999 5141</w:t>
            </w:r>
          </w:p>
        </w:tc>
        <w:tc>
          <w:tcPr>
            <w:tcW w:w="2694" w:type="dxa"/>
            <w:shd w:val="clear" w:color="auto" w:fill="FFC9C9"/>
            <w:tcMar>
              <w:top w:w="80" w:type="dxa"/>
              <w:left w:w="80" w:type="dxa"/>
              <w:bottom w:w="80" w:type="dxa"/>
              <w:right w:w="80" w:type="dxa"/>
            </w:tcMar>
          </w:tcPr>
          <w:p w14:paraId="3E0BCF37" w14:textId="77777777" w:rsidR="00180BD8" w:rsidRDefault="00A7538C" w:rsidP="00B21723">
            <w:pPr>
              <w:pStyle w:val="Table7pttext"/>
              <w:spacing w:after="60"/>
              <w:rPr>
                <w:rStyle w:val="Hyperlink"/>
              </w:rPr>
            </w:pPr>
            <w:hyperlink r:id="rId34" w:history="1">
              <w:r w:rsidR="00860D1E" w:rsidRPr="00BC4931">
                <w:rPr>
                  <w:rStyle w:val="Hyperlink"/>
                </w:rPr>
                <w:t>bevan.pratt@nt.gov.au</w:t>
              </w:r>
            </w:hyperlink>
          </w:p>
          <w:p w14:paraId="78003666" w14:textId="6B0F1E57" w:rsidR="00860D1E" w:rsidRPr="00BC4931" w:rsidRDefault="00A7538C" w:rsidP="00B21723">
            <w:pPr>
              <w:pStyle w:val="Table7pttext"/>
              <w:spacing w:after="60"/>
            </w:pPr>
            <w:hyperlink r:id="rId35" w:history="1">
              <w:r w:rsidR="00860D1E" w:rsidRPr="00BC4931">
                <w:rPr>
                  <w:rStyle w:val="Hyperlink"/>
                </w:rPr>
                <w:t>ntworksafe@nt.gov.au</w:t>
              </w:r>
            </w:hyperlink>
            <w:r w:rsidR="00860D1E" w:rsidRPr="00BC4931">
              <w:t xml:space="preserve"> </w:t>
            </w:r>
          </w:p>
        </w:tc>
        <w:tc>
          <w:tcPr>
            <w:tcW w:w="2551" w:type="dxa"/>
            <w:shd w:val="clear" w:color="auto" w:fill="FFC9C9"/>
            <w:tcMar>
              <w:top w:w="80" w:type="dxa"/>
              <w:left w:w="80" w:type="dxa"/>
              <w:bottom w:w="80" w:type="dxa"/>
              <w:right w:w="80" w:type="dxa"/>
            </w:tcMar>
          </w:tcPr>
          <w:p w14:paraId="74BD72B3" w14:textId="272DFA62" w:rsidR="00DD0D68" w:rsidRDefault="00860D1E" w:rsidP="00B21723">
            <w:pPr>
              <w:pStyle w:val="Table7pttext"/>
              <w:spacing w:after="60"/>
            </w:pPr>
            <w:r w:rsidRPr="00BC4931">
              <w:t>Rehabilitation and Compensat</w:t>
            </w:r>
            <w:r w:rsidR="00BF43A5">
              <w:t>ion Unit, NT WorkSafe</w:t>
            </w:r>
          </w:p>
          <w:p w14:paraId="480A7909" w14:textId="13C07048" w:rsidR="00DD0D68" w:rsidRDefault="00860D1E" w:rsidP="00B21723">
            <w:pPr>
              <w:pStyle w:val="Table7pttext"/>
              <w:spacing w:after="60"/>
            </w:pPr>
            <w:r>
              <w:t>GPO Box 1722</w:t>
            </w:r>
          </w:p>
          <w:p w14:paraId="3B33DB6B" w14:textId="39779898" w:rsidR="00860D1E" w:rsidRPr="00BC4931" w:rsidRDefault="00414640" w:rsidP="00B21723">
            <w:pPr>
              <w:pStyle w:val="Table7pttext"/>
              <w:spacing w:after="60"/>
            </w:pPr>
            <w:r>
              <w:t xml:space="preserve">DARWIN </w:t>
            </w:r>
            <w:r w:rsidR="00BF43A5">
              <w:t xml:space="preserve"> </w:t>
            </w:r>
            <w:r>
              <w:t xml:space="preserve">NT </w:t>
            </w:r>
            <w:r w:rsidR="00BF43A5">
              <w:t xml:space="preserve"> </w:t>
            </w:r>
            <w:r>
              <w:t>0801</w:t>
            </w:r>
          </w:p>
        </w:tc>
        <w:tc>
          <w:tcPr>
            <w:tcW w:w="2268" w:type="dxa"/>
            <w:shd w:val="clear" w:color="auto" w:fill="FFC9C9"/>
            <w:tcMar>
              <w:top w:w="80" w:type="dxa"/>
              <w:left w:w="80" w:type="dxa"/>
              <w:bottom w:w="80" w:type="dxa"/>
              <w:right w:w="80" w:type="dxa"/>
            </w:tcMar>
          </w:tcPr>
          <w:p w14:paraId="4F757528" w14:textId="4902D53B" w:rsidR="00860D1E" w:rsidRPr="00BC4931" w:rsidRDefault="00A7538C" w:rsidP="00B21723">
            <w:pPr>
              <w:pStyle w:val="Table7pttext"/>
              <w:spacing w:after="60"/>
            </w:pPr>
            <w:hyperlink r:id="rId36" w:tooltip="NT WorkSafe website" w:history="1">
              <w:r w:rsidR="00860D1E" w:rsidRPr="00BC4931">
                <w:rPr>
                  <w:rStyle w:val="Hyperlink"/>
                </w:rPr>
                <w:t>www.worksafe.nt.gov.au</w:t>
              </w:r>
            </w:hyperlink>
          </w:p>
        </w:tc>
      </w:tr>
      <w:tr w:rsidR="00860D1E" w:rsidRPr="00BC4931" w14:paraId="5D1F1755" w14:textId="77777777" w:rsidTr="00D046C6">
        <w:tc>
          <w:tcPr>
            <w:tcW w:w="1311" w:type="dxa"/>
            <w:tcMar>
              <w:top w:w="80" w:type="dxa"/>
              <w:left w:w="80" w:type="dxa"/>
              <w:bottom w:w="80" w:type="dxa"/>
              <w:right w:w="80" w:type="dxa"/>
            </w:tcMar>
          </w:tcPr>
          <w:p w14:paraId="236F39BF" w14:textId="6E09A869" w:rsidR="00860D1E" w:rsidRPr="00BC4931" w:rsidRDefault="00860D1E" w:rsidP="00B21723">
            <w:pPr>
              <w:pStyle w:val="TableColumn1bold"/>
              <w:spacing w:after="60"/>
            </w:pPr>
            <w:r w:rsidRPr="00BC4931">
              <w:t>Australian Capital Territory</w:t>
            </w:r>
            <w:r w:rsidR="00584ACD">
              <w:fldChar w:fldCharType="begin"/>
            </w:r>
            <w:r w:rsidR="00584ACD">
              <w:instrText xml:space="preserve"> XE "</w:instrText>
            </w:r>
            <w:r w:rsidR="00584ACD" w:rsidRPr="0064293C">
              <w:instrText>Australian Capital Territory:</w:instrText>
            </w:r>
            <w:r w:rsidR="000A06AE" w:rsidRPr="002D0EE3">
              <w:instrText>conta</w:instrText>
            </w:r>
            <w:r w:rsidR="000A06AE" w:rsidRPr="002D0EE3">
              <w:lastRenderedPageBreak/>
              <w:instrText>cts</w:instrText>
            </w:r>
            <w:r w:rsidR="00584ACD">
              <w:instrText xml:space="preserve">" </w:instrText>
            </w:r>
            <w:r w:rsidR="00584ACD">
              <w:fldChar w:fldCharType="end"/>
            </w:r>
          </w:p>
        </w:tc>
        <w:tc>
          <w:tcPr>
            <w:tcW w:w="1449" w:type="dxa"/>
            <w:tcMar>
              <w:top w:w="80" w:type="dxa"/>
              <w:left w:w="80" w:type="dxa"/>
              <w:bottom w:w="80" w:type="dxa"/>
              <w:right w:w="80" w:type="dxa"/>
            </w:tcMar>
          </w:tcPr>
          <w:p w14:paraId="6F708CC9" w14:textId="72B869D4" w:rsidR="00DD0D68" w:rsidRDefault="00860D1E" w:rsidP="00B21723">
            <w:pPr>
              <w:pStyle w:val="Table7pttext"/>
              <w:spacing w:after="60"/>
            </w:pPr>
            <w:r w:rsidRPr="00BC4931">
              <w:lastRenderedPageBreak/>
              <w:t>ACT Work Safety Commissioner</w:t>
            </w:r>
            <w:r w:rsidRPr="00BC4931" w:rsidDel="00F45FC5">
              <w:t xml:space="preserve"> </w:t>
            </w:r>
            <w:r w:rsidR="00414640">
              <w:t>(O</w:t>
            </w:r>
            <w:r w:rsidR="00DD0D68">
              <w:t>perations)</w:t>
            </w:r>
          </w:p>
          <w:p w14:paraId="7D070D7B" w14:textId="08BA558C" w:rsidR="00860D1E" w:rsidRPr="00BC4931" w:rsidRDefault="00860D1E" w:rsidP="00B21723">
            <w:pPr>
              <w:pStyle w:val="Table7pttext"/>
              <w:spacing w:after="60"/>
            </w:pPr>
            <w:r w:rsidRPr="00BC4931">
              <w:t>Michael Young</w:t>
            </w:r>
          </w:p>
          <w:p w14:paraId="129D1143" w14:textId="591BB85A" w:rsidR="00860D1E" w:rsidRPr="00BC4931" w:rsidRDefault="00414640" w:rsidP="00B21723">
            <w:pPr>
              <w:pStyle w:val="Table7pttext"/>
              <w:spacing w:after="60"/>
            </w:pPr>
            <w:r>
              <w:t>(P</w:t>
            </w:r>
            <w:r w:rsidR="00860D1E" w:rsidRPr="00BC4931">
              <w:t>olicy)</w:t>
            </w:r>
          </w:p>
        </w:tc>
        <w:tc>
          <w:tcPr>
            <w:tcW w:w="2694" w:type="dxa"/>
            <w:tcMar>
              <w:top w:w="80" w:type="dxa"/>
              <w:left w:w="80" w:type="dxa"/>
              <w:bottom w:w="80" w:type="dxa"/>
              <w:right w:w="80" w:type="dxa"/>
            </w:tcMar>
          </w:tcPr>
          <w:p w14:paraId="2D83119D" w14:textId="77777777" w:rsidR="00D046C6" w:rsidRDefault="00860D1E" w:rsidP="00B21723">
            <w:pPr>
              <w:pStyle w:val="Table7pttext"/>
              <w:spacing w:after="60"/>
            </w:pPr>
            <w:r w:rsidRPr="00BC4931">
              <w:t xml:space="preserve">ACT Work Safety Commissioner, </w:t>
            </w:r>
          </w:p>
          <w:p w14:paraId="2CED3B28" w14:textId="59B5C63E" w:rsidR="00DD0D68" w:rsidRDefault="00860D1E" w:rsidP="00B21723">
            <w:pPr>
              <w:pStyle w:val="Table7pttext"/>
              <w:spacing w:after="60"/>
            </w:pPr>
            <w:r w:rsidRPr="00BC4931">
              <w:t>Chief Minister, Treasury and E</w:t>
            </w:r>
            <w:r w:rsidR="00414640">
              <w:t>conomic Development Directorate</w:t>
            </w:r>
          </w:p>
          <w:p w14:paraId="4BB5BEDE" w14:textId="77777777" w:rsidR="00D046C6" w:rsidRDefault="00860D1E" w:rsidP="00B21723">
            <w:pPr>
              <w:pStyle w:val="Table7pttext"/>
              <w:spacing w:after="60"/>
            </w:pPr>
            <w:r w:rsidRPr="00BC4931">
              <w:t xml:space="preserve">Executive Director, </w:t>
            </w:r>
          </w:p>
          <w:p w14:paraId="2EABE845" w14:textId="2D6D0DC3" w:rsidR="00860D1E" w:rsidRPr="00BC4931" w:rsidRDefault="00860D1E" w:rsidP="00B21723">
            <w:pPr>
              <w:pStyle w:val="Table7pttext"/>
              <w:spacing w:after="60"/>
            </w:pPr>
            <w:r w:rsidRPr="00BC4931">
              <w:t xml:space="preserve">Workplace Safety and Industrial Relations Division, Chief Minister, </w:t>
            </w:r>
            <w:r w:rsidRPr="00BC4931">
              <w:lastRenderedPageBreak/>
              <w:t>Treasury and Economic Development Directorate</w:t>
            </w:r>
          </w:p>
        </w:tc>
        <w:tc>
          <w:tcPr>
            <w:tcW w:w="1275" w:type="dxa"/>
            <w:tcMar>
              <w:top w:w="80" w:type="dxa"/>
              <w:left w:w="80" w:type="dxa"/>
              <w:bottom w:w="80" w:type="dxa"/>
              <w:right w:w="80" w:type="dxa"/>
            </w:tcMar>
          </w:tcPr>
          <w:p w14:paraId="0C40EB0F" w14:textId="215962CD" w:rsidR="00414640" w:rsidRDefault="00414640" w:rsidP="00B21723">
            <w:pPr>
              <w:pStyle w:val="Table7pttext"/>
              <w:spacing w:after="60"/>
            </w:pPr>
            <w:r w:rsidRPr="00BC4931">
              <w:lastRenderedPageBreak/>
              <w:t>13 22 81</w:t>
            </w:r>
            <w:r>
              <w:t xml:space="preserve"> </w:t>
            </w:r>
          </w:p>
          <w:p w14:paraId="1B3D2147" w14:textId="10FAB11E" w:rsidR="00860D1E" w:rsidRPr="00BC4931" w:rsidRDefault="00860D1E" w:rsidP="00D41D16">
            <w:pPr>
              <w:pStyle w:val="Table7pttext"/>
              <w:spacing w:after="60"/>
            </w:pPr>
            <w:r w:rsidRPr="00BC4931">
              <w:t>(02) 6207 3000</w:t>
            </w:r>
          </w:p>
        </w:tc>
        <w:tc>
          <w:tcPr>
            <w:tcW w:w="1134" w:type="dxa"/>
            <w:tcMar>
              <w:top w:w="80" w:type="dxa"/>
              <w:left w:w="80" w:type="dxa"/>
              <w:bottom w:w="80" w:type="dxa"/>
              <w:right w:w="80" w:type="dxa"/>
            </w:tcMar>
          </w:tcPr>
          <w:p w14:paraId="0EE894F2" w14:textId="3590880A" w:rsidR="00860D1E" w:rsidRPr="00BC4931" w:rsidRDefault="00860D1E" w:rsidP="00B21723">
            <w:pPr>
              <w:pStyle w:val="Table7pttext"/>
              <w:spacing w:after="60"/>
            </w:pPr>
            <w:r w:rsidRPr="00BC4931">
              <w:t>N/</w:t>
            </w:r>
            <w:r w:rsidR="00DD0D68">
              <w:t>A</w:t>
            </w:r>
          </w:p>
        </w:tc>
        <w:tc>
          <w:tcPr>
            <w:tcW w:w="2694" w:type="dxa"/>
            <w:tcMar>
              <w:top w:w="80" w:type="dxa"/>
              <w:left w:w="80" w:type="dxa"/>
              <w:bottom w:w="80" w:type="dxa"/>
              <w:right w:w="80" w:type="dxa"/>
            </w:tcMar>
          </w:tcPr>
          <w:p w14:paraId="3587087D" w14:textId="77777777" w:rsidR="006A50D4" w:rsidRDefault="00A7538C" w:rsidP="00B21723">
            <w:pPr>
              <w:pStyle w:val="Table7pttext"/>
              <w:spacing w:after="60"/>
              <w:rPr>
                <w:rStyle w:val="Hyperlink"/>
              </w:rPr>
            </w:pPr>
            <w:hyperlink r:id="rId37" w:history="1">
              <w:r w:rsidR="00860D1E" w:rsidRPr="00BC4931">
                <w:rPr>
                  <w:rStyle w:val="Hyperlink"/>
                </w:rPr>
                <w:t>worksafe@act.gov.au</w:t>
              </w:r>
            </w:hyperlink>
          </w:p>
          <w:p w14:paraId="17DC6BBC" w14:textId="1AF2D4E3" w:rsidR="00860D1E" w:rsidRPr="00BC4931" w:rsidRDefault="00A7538C" w:rsidP="00B21723">
            <w:pPr>
              <w:pStyle w:val="Table7pttext"/>
              <w:spacing w:after="60"/>
            </w:pPr>
            <w:hyperlink r:id="rId38" w:history="1">
              <w:r w:rsidR="00860D1E" w:rsidRPr="00BC4931">
                <w:rPr>
                  <w:rStyle w:val="Hyperlink"/>
                </w:rPr>
                <w:t>michael.young@act.gov.au</w:t>
              </w:r>
            </w:hyperlink>
          </w:p>
        </w:tc>
        <w:tc>
          <w:tcPr>
            <w:tcW w:w="2551" w:type="dxa"/>
            <w:tcMar>
              <w:top w:w="80" w:type="dxa"/>
              <w:left w:w="80" w:type="dxa"/>
              <w:bottom w:w="80" w:type="dxa"/>
              <w:right w:w="80" w:type="dxa"/>
            </w:tcMar>
          </w:tcPr>
          <w:p w14:paraId="7E1DDA45" w14:textId="77777777" w:rsidR="00860D1E" w:rsidRDefault="00860D1E" w:rsidP="00B21723">
            <w:pPr>
              <w:pStyle w:val="Table7pttext"/>
              <w:spacing w:after="60"/>
            </w:pPr>
            <w:r w:rsidRPr="00BC4931">
              <w:t>GPO Box 158,</w:t>
            </w:r>
          </w:p>
          <w:p w14:paraId="5A4B7423" w14:textId="1263ED5E" w:rsidR="00860D1E" w:rsidRPr="00BC4931" w:rsidRDefault="00414640" w:rsidP="00B21723">
            <w:pPr>
              <w:pStyle w:val="Table7pttext"/>
              <w:spacing w:after="60"/>
            </w:pPr>
            <w:r>
              <w:t xml:space="preserve">CANBERRA </w:t>
            </w:r>
            <w:r w:rsidR="00BF43A5">
              <w:t xml:space="preserve"> </w:t>
            </w:r>
            <w:r>
              <w:t xml:space="preserve">ACT </w:t>
            </w:r>
            <w:r w:rsidR="00BF43A5">
              <w:t xml:space="preserve"> </w:t>
            </w:r>
            <w:r>
              <w:t>2601</w:t>
            </w:r>
          </w:p>
        </w:tc>
        <w:tc>
          <w:tcPr>
            <w:tcW w:w="2268" w:type="dxa"/>
            <w:tcMar>
              <w:top w:w="80" w:type="dxa"/>
              <w:left w:w="80" w:type="dxa"/>
              <w:bottom w:w="80" w:type="dxa"/>
              <w:right w:w="80" w:type="dxa"/>
            </w:tcMar>
          </w:tcPr>
          <w:p w14:paraId="25422EE0" w14:textId="7072DF40" w:rsidR="006A50D4" w:rsidRDefault="00A7538C" w:rsidP="00B21723">
            <w:pPr>
              <w:pStyle w:val="Table7pttext"/>
              <w:spacing w:after="60"/>
              <w:rPr>
                <w:rStyle w:val="Hyperlink"/>
              </w:rPr>
            </w:pPr>
            <w:hyperlink r:id="rId39" w:tooltip="WorkSafe ACT website" w:history="1">
              <w:r w:rsidR="00985FB1">
                <w:rPr>
                  <w:rStyle w:val="Hyperlink"/>
                </w:rPr>
                <w:t>http://www.worksafe.act.gov.au/</w:t>
              </w:r>
            </w:hyperlink>
          </w:p>
          <w:p w14:paraId="05F9D9A4" w14:textId="04DA8819" w:rsidR="00860D1E" w:rsidRPr="00BC4931" w:rsidRDefault="00A7538C" w:rsidP="00B21723">
            <w:pPr>
              <w:pStyle w:val="Table7pttext"/>
              <w:spacing w:after="60"/>
            </w:pPr>
            <w:hyperlink r:id="rId40" w:tooltip="Chief Minister, Treasury and Economic Development Directorate website" w:history="1">
              <w:r w:rsidR="00860D1E" w:rsidRPr="00BC4931">
                <w:rPr>
                  <w:rStyle w:val="Hyperlink"/>
                </w:rPr>
                <w:t>www.cmd.act.gov.au</w:t>
              </w:r>
            </w:hyperlink>
          </w:p>
        </w:tc>
      </w:tr>
      <w:tr w:rsidR="00860D1E" w:rsidRPr="00BC4931" w14:paraId="5E2F3240" w14:textId="77777777" w:rsidTr="00D046C6">
        <w:tc>
          <w:tcPr>
            <w:tcW w:w="1311" w:type="dxa"/>
            <w:shd w:val="clear" w:color="auto" w:fill="FFC9C9"/>
            <w:tcMar>
              <w:top w:w="80" w:type="dxa"/>
              <w:left w:w="80" w:type="dxa"/>
              <w:bottom w:w="80" w:type="dxa"/>
              <w:right w:w="80" w:type="dxa"/>
            </w:tcMar>
          </w:tcPr>
          <w:p w14:paraId="0CCEFEE9" w14:textId="77777777" w:rsidR="00860D1E" w:rsidRPr="00BC4931" w:rsidRDefault="00860D1E" w:rsidP="00B21723">
            <w:pPr>
              <w:pStyle w:val="TableColumn1bold"/>
              <w:spacing w:after="60"/>
            </w:pPr>
            <w:r w:rsidRPr="00BC4931">
              <w:t>C’wealth Comcare</w:t>
            </w:r>
            <w:r w:rsidR="00C44D5D">
              <w:fldChar w:fldCharType="begin"/>
            </w:r>
            <w:r w:rsidR="00C44D5D">
              <w:instrText xml:space="preserve"> XE "</w:instrText>
            </w:r>
            <w:r w:rsidR="00C44D5D" w:rsidRPr="001E3C4C">
              <w:instrText>Comcare:contacts</w:instrText>
            </w:r>
            <w:r w:rsidR="00C44D5D">
              <w:instrText xml:space="preserve">" </w:instrText>
            </w:r>
            <w:r w:rsidR="00C44D5D">
              <w:fldChar w:fldCharType="end"/>
            </w:r>
          </w:p>
        </w:tc>
        <w:tc>
          <w:tcPr>
            <w:tcW w:w="1449" w:type="dxa"/>
            <w:shd w:val="clear" w:color="auto" w:fill="FFC9C9"/>
            <w:tcMar>
              <w:top w:w="80" w:type="dxa"/>
              <w:left w:w="80" w:type="dxa"/>
              <w:bottom w:w="80" w:type="dxa"/>
              <w:right w:w="80" w:type="dxa"/>
            </w:tcMar>
          </w:tcPr>
          <w:p w14:paraId="7C15DAC0" w14:textId="0C2FCB1A" w:rsidR="00860D1E" w:rsidRPr="00BC4931" w:rsidRDefault="00BF43A5" w:rsidP="00B21723">
            <w:pPr>
              <w:pStyle w:val="Table7pttext"/>
              <w:spacing w:after="60"/>
            </w:pPr>
            <w:r>
              <w:t>Seyram Tawia</w:t>
            </w:r>
          </w:p>
        </w:tc>
        <w:tc>
          <w:tcPr>
            <w:tcW w:w="2694" w:type="dxa"/>
            <w:shd w:val="clear" w:color="auto" w:fill="FFC9C9"/>
            <w:tcMar>
              <w:top w:w="80" w:type="dxa"/>
              <w:left w:w="80" w:type="dxa"/>
              <w:bottom w:w="80" w:type="dxa"/>
              <w:right w:w="80" w:type="dxa"/>
            </w:tcMar>
          </w:tcPr>
          <w:p w14:paraId="6D75FB19" w14:textId="7F24D8D0" w:rsidR="00860D1E" w:rsidRPr="00BC4931" w:rsidRDefault="000264D7" w:rsidP="00B21723">
            <w:pPr>
              <w:pStyle w:val="Table7pttext"/>
              <w:spacing w:after="60"/>
            </w:pPr>
            <w:r>
              <w:t>Director</w:t>
            </w:r>
            <w:r w:rsidR="00E01D0F">
              <w:t>,</w:t>
            </w:r>
            <w:r>
              <w:br/>
            </w:r>
            <w:r w:rsidR="00860D1E" w:rsidRPr="00B71865">
              <w:t>Scheme Policy</w:t>
            </w:r>
          </w:p>
        </w:tc>
        <w:tc>
          <w:tcPr>
            <w:tcW w:w="1275" w:type="dxa"/>
            <w:shd w:val="clear" w:color="auto" w:fill="FFC9C9"/>
            <w:tcMar>
              <w:top w:w="80" w:type="dxa"/>
              <w:left w:w="80" w:type="dxa"/>
              <w:bottom w:w="80" w:type="dxa"/>
              <w:right w:w="80" w:type="dxa"/>
            </w:tcMar>
          </w:tcPr>
          <w:p w14:paraId="48665EBC" w14:textId="77777777" w:rsidR="00414640" w:rsidRDefault="00414640" w:rsidP="00414640">
            <w:pPr>
              <w:pStyle w:val="Table7pttext"/>
              <w:spacing w:after="60"/>
            </w:pPr>
            <w:r>
              <w:t xml:space="preserve">1300 366 979 </w:t>
            </w:r>
          </w:p>
          <w:p w14:paraId="3A1F9ECE" w14:textId="00F68EB5" w:rsidR="00860D1E" w:rsidRPr="00BC4931" w:rsidRDefault="00860D1E" w:rsidP="00414640">
            <w:pPr>
              <w:pStyle w:val="Table7pttext"/>
              <w:spacing w:after="60"/>
            </w:pPr>
            <w:r>
              <w:t>(</w:t>
            </w:r>
            <w:r w:rsidR="00414640">
              <w:t xml:space="preserve">03) 9627 5433 </w:t>
            </w:r>
          </w:p>
        </w:tc>
        <w:tc>
          <w:tcPr>
            <w:tcW w:w="1134" w:type="dxa"/>
            <w:shd w:val="clear" w:color="auto" w:fill="FFC9C9"/>
            <w:tcMar>
              <w:top w:w="80" w:type="dxa"/>
              <w:left w:w="80" w:type="dxa"/>
              <w:bottom w:w="80" w:type="dxa"/>
              <w:right w:w="80" w:type="dxa"/>
            </w:tcMar>
          </w:tcPr>
          <w:p w14:paraId="6A1C25A4" w14:textId="77777777" w:rsidR="00860D1E" w:rsidRPr="00BC4931" w:rsidRDefault="00860D1E" w:rsidP="00B21723">
            <w:pPr>
              <w:pStyle w:val="Table7pttext"/>
              <w:spacing w:after="60"/>
            </w:pPr>
            <w:r w:rsidRPr="00B71865">
              <w:t>N/A</w:t>
            </w:r>
          </w:p>
        </w:tc>
        <w:tc>
          <w:tcPr>
            <w:tcW w:w="2694" w:type="dxa"/>
            <w:shd w:val="clear" w:color="auto" w:fill="FFC9C9"/>
            <w:tcMar>
              <w:top w:w="80" w:type="dxa"/>
              <w:left w:w="80" w:type="dxa"/>
              <w:bottom w:w="80" w:type="dxa"/>
              <w:right w:w="80" w:type="dxa"/>
            </w:tcMar>
          </w:tcPr>
          <w:p w14:paraId="54DCF87E" w14:textId="77777777" w:rsidR="00860D1E" w:rsidRPr="00BC4931" w:rsidRDefault="00A7538C" w:rsidP="00B21723">
            <w:pPr>
              <w:pStyle w:val="Table7pttext"/>
              <w:spacing w:after="60"/>
            </w:pPr>
            <w:hyperlink r:id="rId41" w:history="1">
              <w:r w:rsidR="00860D1E" w:rsidRPr="00A82A47">
                <w:rPr>
                  <w:rStyle w:val="Hyperlink"/>
                </w:rPr>
                <w:t>seyram.tawia@comcare.gov.au</w:t>
              </w:r>
            </w:hyperlink>
          </w:p>
        </w:tc>
        <w:tc>
          <w:tcPr>
            <w:tcW w:w="2551" w:type="dxa"/>
            <w:shd w:val="clear" w:color="auto" w:fill="FFC9C9"/>
            <w:tcMar>
              <w:top w:w="80" w:type="dxa"/>
              <w:left w:w="80" w:type="dxa"/>
              <w:bottom w:w="80" w:type="dxa"/>
              <w:right w:w="80" w:type="dxa"/>
            </w:tcMar>
          </w:tcPr>
          <w:p w14:paraId="6B2E4FCC" w14:textId="5A92B414" w:rsidR="00180BD8" w:rsidRDefault="00180BD8" w:rsidP="00B21723">
            <w:pPr>
              <w:pStyle w:val="Table7pttext"/>
              <w:spacing w:after="60"/>
            </w:pPr>
            <w:r>
              <w:t>Comcare</w:t>
            </w:r>
          </w:p>
          <w:p w14:paraId="4BE4ACE1" w14:textId="76AD2340" w:rsidR="00180BD8" w:rsidRDefault="00180BD8" w:rsidP="00B21723">
            <w:pPr>
              <w:pStyle w:val="Table7pttext"/>
              <w:spacing w:after="60"/>
            </w:pPr>
            <w:r>
              <w:t>GPO Box 9905</w:t>
            </w:r>
          </w:p>
          <w:p w14:paraId="3C35D38A" w14:textId="6AF0099A" w:rsidR="00860D1E" w:rsidRPr="00BC4931" w:rsidRDefault="00414640" w:rsidP="00B21723">
            <w:pPr>
              <w:pStyle w:val="Table7pttext"/>
              <w:spacing w:after="60"/>
            </w:pPr>
            <w:r>
              <w:t>CANBERRA ACT 2601</w:t>
            </w:r>
          </w:p>
        </w:tc>
        <w:tc>
          <w:tcPr>
            <w:tcW w:w="2268" w:type="dxa"/>
            <w:shd w:val="clear" w:color="auto" w:fill="FFC9C9"/>
            <w:tcMar>
              <w:top w:w="80" w:type="dxa"/>
              <w:left w:w="80" w:type="dxa"/>
              <w:bottom w:w="80" w:type="dxa"/>
              <w:right w:w="80" w:type="dxa"/>
            </w:tcMar>
          </w:tcPr>
          <w:p w14:paraId="78011FD5" w14:textId="6260F16A" w:rsidR="00860D1E" w:rsidRPr="00BC4931" w:rsidRDefault="00A7538C" w:rsidP="00B21723">
            <w:pPr>
              <w:pStyle w:val="Table7pttext"/>
              <w:spacing w:after="60"/>
            </w:pPr>
            <w:hyperlink r:id="rId42" w:tooltip="Comcare website" w:history="1">
              <w:r w:rsidR="00860D1E" w:rsidRPr="00BC4931">
                <w:rPr>
                  <w:rStyle w:val="Hyperlink"/>
                </w:rPr>
                <w:t>www.comcare.gov.au</w:t>
              </w:r>
            </w:hyperlink>
            <w:r w:rsidR="00860D1E" w:rsidRPr="00BC4931">
              <w:t xml:space="preserve"> </w:t>
            </w:r>
          </w:p>
        </w:tc>
      </w:tr>
      <w:tr w:rsidR="00860D1E" w:rsidRPr="00BC4931" w14:paraId="7380DE3F" w14:textId="77777777" w:rsidTr="00D046C6">
        <w:tc>
          <w:tcPr>
            <w:tcW w:w="1311" w:type="dxa"/>
            <w:tcMar>
              <w:top w:w="80" w:type="dxa"/>
              <w:left w:w="80" w:type="dxa"/>
              <w:bottom w:w="80" w:type="dxa"/>
              <w:right w:w="80" w:type="dxa"/>
            </w:tcMar>
          </w:tcPr>
          <w:p w14:paraId="53A7B577" w14:textId="559AE479" w:rsidR="00860D1E" w:rsidRPr="00BC4931" w:rsidRDefault="00860D1E" w:rsidP="00B21723">
            <w:pPr>
              <w:pStyle w:val="TableColumn1bold"/>
              <w:spacing w:after="60"/>
            </w:pPr>
            <w:r w:rsidRPr="00BC4931">
              <w:t>C’wealth Seacare</w:t>
            </w:r>
            <w:r w:rsidR="000B568E">
              <w:fldChar w:fldCharType="begin"/>
            </w:r>
            <w:r w:rsidR="000B568E">
              <w:instrText xml:space="preserve"> XE "</w:instrText>
            </w:r>
            <w:r w:rsidR="000B568E" w:rsidRPr="008F7740">
              <w:instrText>Seacare:contacts</w:instrText>
            </w:r>
            <w:r w:rsidR="000B568E">
              <w:instrText xml:space="preserve">" </w:instrText>
            </w:r>
            <w:r w:rsidR="000B568E">
              <w:fldChar w:fldCharType="end"/>
            </w:r>
          </w:p>
        </w:tc>
        <w:tc>
          <w:tcPr>
            <w:tcW w:w="1449" w:type="dxa"/>
            <w:tcMar>
              <w:top w:w="80" w:type="dxa"/>
              <w:left w:w="80" w:type="dxa"/>
              <w:bottom w:w="80" w:type="dxa"/>
              <w:right w:w="80" w:type="dxa"/>
            </w:tcMar>
          </w:tcPr>
          <w:p w14:paraId="63E96581" w14:textId="31DE36B4" w:rsidR="00860D1E" w:rsidRPr="00BC4931" w:rsidRDefault="00140225" w:rsidP="00B21723">
            <w:pPr>
              <w:pStyle w:val="Table7pttext"/>
              <w:spacing w:after="60"/>
            </w:pPr>
            <w:r>
              <w:t>Greg Webb</w:t>
            </w:r>
          </w:p>
        </w:tc>
        <w:tc>
          <w:tcPr>
            <w:tcW w:w="2694" w:type="dxa"/>
            <w:tcMar>
              <w:top w:w="80" w:type="dxa"/>
              <w:left w:w="80" w:type="dxa"/>
              <w:bottom w:w="80" w:type="dxa"/>
              <w:right w:w="80" w:type="dxa"/>
            </w:tcMar>
          </w:tcPr>
          <w:p w14:paraId="0BE7E673" w14:textId="204C1CE4" w:rsidR="00860D1E" w:rsidRPr="00BC4931" w:rsidRDefault="000264D7" w:rsidP="00B21723">
            <w:pPr>
              <w:pStyle w:val="Table7pttext"/>
              <w:spacing w:after="60"/>
            </w:pPr>
            <w:r>
              <w:t>Director</w:t>
            </w:r>
            <w:r w:rsidR="00E01D0F">
              <w:t>,</w:t>
            </w:r>
            <w:r>
              <w:br/>
            </w:r>
            <w:r w:rsidR="00140225">
              <w:t>Secretariat and Scheme Support Services</w:t>
            </w:r>
          </w:p>
        </w:tc>
        <w:tc>
          <w:tcPr>
            <w:tcW w:w="1275" w:type="dxa"/>
            <w:tcMar>
              <w:top w:w="80" w:type="dxa"/>
              <w:left w:w="80" w:type="dxa"/>
              <w:bottom w:w="80" w:type="dxa"/>
              <w:right w:w="80" w:type="dxa"/>
            </w:tcMar>
          </w:tcPr>
          <w:p w14:paraId="0F184F5D" w14:textId="689F6B41" w:rsidR="00860D1E" w:rsidRPr="00BC4931" w:rsidRDefault="00414640" w:rsidP="00414640">
            <w:pPr>
              <w:pStyle w:val="Table7pttext"/>
              <w:spacing w:after="60"/>
            </w:pPr>
            <w:r>
              <w:t xml:space="preserve">1300 366 979 </w:t>
            </w:r>
          </w:p>
        </w:tc>
        <w:tc>
          <w:tcPr>
            <w:tcW w:w="1134" w:type="dxa"/>
            <w:tcMar>
              <w:top w:w="80" w:type="dxa"/>
              <w:left w:w="80" w:type="dxa"/>
              <w:bottom w:w="80" w:type="dxa"/>
              <w:right w:w="80" w:type="dxa"/>
            </w:tcMar>
          </w:tcPr>
          <w:p w14:paraId="32A96C5E" w14:textId="77777777" w:rsidR="00860D1E" w:rsidRPr="00BC4931" w:rsidRDefault="00860D1E" w:rsidP="00B21723">
            <w:pPr>
              <w:pStyle w:val="Table7pttext"/>
              <w:spacing w:after="60"/>
            </w:pPr>
            <w:r w:rsidRPr="00B71865">
              <w:t>N/A</w:t>
            </w:r>
          </w:p>
        </w:tc>
        <w:tc>
          <w:tcPr>
            <w:tcW w:w="2694" w:type="dxa"/>
            <w:tcMar>
              <w:top w:w="80" w:type="dxa"/>
              <w:left w:w="80" w:type="dxa"/>
              <w:bottom w:w="80" w:type="dxa"/>
              <w:right w:w="80" w:type="dxa"/>
            </w:tcMar>
          </w:tcPr>
          <w:p w14:paraId="28AF13DD" w14:textId="7E3936A6" w:rsidR="00860D1E" w:rsidRPr="00BC4931" w:rsidRDefault="00A7538C" w:rsidP="00B21723">
            <w:pPr>
              <w:pStyle w:val="Table7pttext"/>
              <w:spacing w:after="60"/>
            </w:pPr>
            <w:hyperlink r:id="rId43" w:history="1">
              <w:r w:rsidR="00140225" w:rsidRPr="00140225">
                <w:rPr>
                  <w:rStyle w:val="Hyperlink"/>
                </w:rPr>
                <w:t>seacare@comcare.gov.au</w:t>
              </w:r>
            </w:hyperlink>
            <w:r w:rsidR="00140225">
              <w:rPr>
                <w:rStyle w:val="Hyperlink"/>
              </w:rPr>
              <w:t xml:space="preserve"> </w:t>
            </w:r>
          </w:p>
        </w:tc>
        <w:tc>
          <w:tcPr>
            <w:tcW w:w="2551" w:type="dxa"/>
            <w:tcMar>
              <w:top w:w="80" w:type="dxa"/>
              <w:left w:w="80" w:type="dxa"/>
              <w:bottom w:w="80" w:type="dxa"/>
              <w:right w:w="80" w:type="dxa"/>
            </w:tcMar>
          </w:tcPr>
          <w:p w14:paraId="1FEC1750" w14:textId="77777777" w:rsidR="00180BD8" w:rsidRDefault="00180BD8" w:rsidP="00B21723">
            <w:pPr>
              <w:pStyle w:val="Table7pttext"/>
              <w:spacing w:after="60"/>
            </w:pPr>
            <w:r>
              <w:t>Comcare</w:t>
            </w:r>
          </w:p>
          <w:p w14:paraId="12595C3C" w14:textId="77777777" w:rsidR="00180BD8" w:rsidRDefault="00180BD8" w:rsidP="00B21723">
            <w:pPr>
              <w:pStyle w:val="Table7pttext"/>
              <w:spacing w:after="60"/>
            </w:pPr>
            <w:r>
              <w:t>GPO Box 9905</w:t>
            </w:r>
          </w:p>
          <w:p w14:paraId="5F99C439" w14:textId="35B4FEF7" w:rsidR="00860D1E" w:rsidRPr="00BC4931" w:rsidRDefault="00860D1E" w:rsidP="00B21723">
            <w:pPr>
              <w:pStyle w:val="Table7pttext"/>
              <w:spacing w:after="60"/>
            </w:pPr>
            <w:r w:rsidRPr="00BC4931">
              <w:t>C</w:t>
            </w:r>
            <w:r>
              <w:t>ANBERRA</w:t>
            </w:r>
            <w:r w:rsidR="00414640">
              <w:t xml:space="preserve"> ACT 2601</w:t>
            </w:r>
          </w:p>
        </w:tc>
        <w:tc>
          <w:tcPr>
            <w:tcW w:w="2268" w:type="dxa"/>
            <w:tcMar>
              <w:top w:w="80" w:type="dxa"/>
              <w:left w:w="80" w:type="dxa"/>
              <w:bottom w:w="80" w:type="dxa"/>
              <w:right w:w="80" w:type="dxa"/>
            </w:tcMar>
          </w:tcPr>
          <w:p w14:paraId="2909AEBA" w14:textId="5B2F4105" w:rsidR="00860D1E" w:rsidRPr="00BC4931" w:rsidRDefault="00A7538C" w:rsidP="00B21723">
            <w:pPr>
              <w:pStyle w:val="Table7pttext"/>
              <w:spacing w:after="60"/>
            </w:pPr>
            <w:hyperlink r:id="rId44" w:tooltip="Seacare website" w:history="1">
              <w:r w:rsidR="00860D1E" w:rsidRPr="00BC4931">
                <w:rPr>
                  <w:rStyle w:val="Hyperlink"/>
                </w:rPr>
                <w:t>www.seacare.gov.au</w:t>
              </w:r>
            </w:hyperlink>
            <w:r w:rsidR="00860D1E" w:rsidRPr="00BC4931">
              <w:t xml:space="preserve"> </w:t>
            </w:r>
          </w:p>
        </w:tc>
      </w:tr>
      <w:tr w:rsidR="00860D1E" w:rsidRPr="00BC4931" w14:paraId="12EE5701" w14:textId="77777777" w:rsidTr="00D046C6">
        <w:tc>
          <w:tcPr>
            <w:tcW w:w="1311" w:type="dxa"/>
            <w:shd w:val="clear" w:color="auto" w:fill="FFC9C9"/>
            <w:tcMar>
              <w:top w:w="80" w:type="dxa"/>
              <w:left w:w="80" w:type="dxa"/>
              <w:bottom w:w="80" w:type="dxa"/>
              <w:right w:w="80" w:type="dxa"/>
            </w:tcMar>
          </w:tcPr>
          <w:p w14:paraId="31DB1E6F" w14:textId="71728C95" w:rsidR="00860D1E" w:rsidRPr="00BC4931" w:rsidRDefault="00860D1E" w:rsidP="00B21723">
            <w:pPr>
              <w:pStyle w:val="TableColumn1bold"/>
              <w:spacing w:after="60"/>
            </w:pPr>
            <w:r w:rsidRPr="00BC4931">
              <w:t>C’wealth DVA</w:t>
            </w:r>
            <w:r w:rsidR="008E6A35">
              <w:fldChar w:fldCharType="begin"/>
            </w:r>
            <w:r w:rsidR="008E6A35">
              <w:instrText xml:space="preserve"> XE "</w:instrText>
            </w:r>
            <w:r w:rsidR="008E6A35" w:rsidRPr="00EC4B6C">
              <w:instrText>Department of Veterans' Affairs:contacts</w:instrText>
            </w:r>
            <w:r w:rsidR="008E6A35">
              <w:instrText xml:space="preserve">" </w:instrText>
            </w:r>
            <w:r w:rsidR="008E6A35">
              <w:fldChar w:fldCharType="end"/>
            </w:r>
          </w:p>
        </w:tc>
        <w:tc>
          <w:tcPr>
            <w:tcW w:w="1449" w:type="dxa"/>
            <w:shd w:val="clear" w:color="auto" w:fill="FFC9C9"/>
            <w:tcMar>
              <w:top w:w="80" w:type="dxa"/>
              <w:left w:w="80" w:type="dxa"/>
              <w:bottom w:w="80" w:type="dxa"/>
              <w:right w:w="80" w:type="dxa"/>
            </w:tcMar>
          </w:tcPr>
          <w:p w14:paraId="3E2B526E" w14:textId="697D1AD9" w:rsidR="00860D1E" w:rsidRPr="00BC4931" w:rsidRDefault="0099742D" w:rsidP="00B21723">
            <w:pPr>
              <w:pStyle w:val="Table7pttext"/>
              <w:spacing w:after="60"/>
            </w:pPr>
            <w:r>
              <w:t>Fiona Tuckwell</w:t>
            </w:r>
          </w:p>
        </w:tc>
        <w:tc>
          <w:tcPr>
            <w:tcW w:w="2694" w:type="dxa"/>
            <w:shd w:val="clear" w:color="auto" w:fill="FFC9C9"/>
            <w:tcMar>
              <w:top w:w="80" w:type="dxa"/>
              <w:left w:w="80" w:type="dxa"/>
              <w:bottom w:w="80" w:type="dxa"/>
              <w:right w:w="80" w:type="dxa"/>
            </w:tcMar>
          </w:tcPr>
          <w:p w14:paraId="1F061217" w14:textId="37930CD0" w:rsidR="00860D1E" w:rsidRPr="00BC4931" w:rsidRDefault="00860D1E" w:rsidP="00B21723">
            <w:pPr>
              <w:pStyle w:val="Table7pttext"/>
              <w:spacing w:after="60"/>
            </w:pPr>
            <w:r w:rsidRPr="00BC4931">
              <w:t>Director</w:t>
            </w:r>
            <w:r w:rsidR="00E01D0F">
              <w:t>,</w:t>
            </w:r>
            <w:r w:rsidRPr="00BC4931">
              <w:t xml:space="preserve"> Rehabilitation Policy</w:t>
            </w:r>
          </w:p>
        </w:tc>
        <w:tc>
          <w:tcPr>
            <w:tcW w:w="1275" w:type="dxa"/>
            <w:shd w:val="clear" w:color="auto" w:fill="FFC9C9"/>
            <w:tcMar>
              <w:top w:w="80" w:type="dxa"/>
              <w:left w:w="80" w:type="dxa"/>
              <w:bottom w:w="80" w:type="dxa"/>
              <w:right w:w="80" w:type="dxa"/>
            </w:tcMar>
          </w:tcPr>
          <w:p w14:paraId="46F0C4D0" w14:textId="0AE40AC0" w:rsidR="00860D1E" w:rsidRPr="00BC4931" w:rsidRDefault="0099742D" w:rsidP="00B21723">
            <w:pPr>
              <w:pStyle w:val="Table7pttext"/>
              <w:spacing w:after="60"/>
            </w:pPr>
            <w:r>
              <w:t>(02) 6289 1153</w:t>
            </w:r>
          </w:p>
        </w:tc>
        <w:tc>
          <w:tcPr>
            <w:tcW w:w="1134" w:type="dxa"/>
            <w:shd w:val="clear" w:color="auto" w:fill="FFC9C9"/>
            <w:tcMar>
              <w:top w:w="80" w:type="dxa"/>
              <w:left w:w="80" w:type="dxa"/>
              <w:bottom w:w="80" w:type="dxa"/>
              <w:right w:w="80" w:type="dxa"/>
            </w:tcMar>
          </w:tcPr>
          <w:p w14:paraId="1DBB2BD8" w14:textId="5B542A7B" w:rsidR="00860D1E" w:rsidRPr="00BC4931" w:rsidRDefault="008C2359" w:rsidP="00B21723">
            <w:pPr>
              <w:pStyle w:val="Table7pttext"/>
              <w:spacing w:after="60"/>
            </w:pPr>
            <w:r>
              <w:t>N/A</w:t>
            </w:r>
          </w:p>
        </w:tc>
        <w:tc>
          <w:tcPr>
            <w:tcW w:w="2694" w:type="dxa"/>
            <w:shd w:val="clear" w:color="auto" w:fill="FFC9C9"/>
            <w:tcMar>
              <w:top w:w="80" w:type="dxa"/>
              <w:left w:w="80" w:type="dxa"/>
              <w:bottom w:w="80" w:type="dxa"/>
              <w:right w:w="80" w:type="dxa"/>
            </w:tcMar>
          </w:tcPr>
          <w:p w14:paraId="308DAD80" w14:textId="4D630349" w:rsidR="00860D1E" w:rsidRPr="00BC4931" w:rsidRDefault="00A7538C" w:rsidP="00B21723">
            <w:pPr>
              <w:pStyle w:val="Table7pttext"/>
              <w:spacing w:after="60"/>
            </w:pPr>
            <w:hyperlink r:id="rId45" w:history="1">
              <w:r w:rsidR="0099742D" w:rsidRPr="0099742D">
                <w:rPr>
                  <w:rStyle w:val="Hyperlink"/>
                </w:rPr>
                <w:t>fiona.tuckwell@dva.gov.au</w:t>
              </w:r>
            </w:hyperlink>
          </w:p>
        </w:tc>
        <w:tc>
          <w:tcPr>
            <w:tcW w:w="2551" w:type="dxa"/>
            <w:shd w:val="clear" w:color="auto" w:fill="FFC9C9"/>
            <w:tcMar>
              <w:top w:w="80" w:type="dxa"/>
              <w:left w:w="80" w:type="dxa"/>
              <w:bottom w:w="80" w:type="dxa"/>
              <w:right w:w="80" w:type="dxa"/>
            </w:tcMar>
          </w:tcPr>
          <w:p w14:paraId="6F4EF426" w14:textId="30C1286A" w:rsidR="00180BD8" w:rsidRDefault="00860D1E" w:rsidP="00B21723">
            <w:pPr>
              <w:pStyle w:val="Table7pttext"/>
              <w:spacing w:after="60"/>
            </w:pPr>
            <w:r w:rsidRPr="00BC4931">
              <w:t>D</w:t>
            </w:r>
            <w:r w:rsidR="00180BD8">
              <w:t>epartment of Veterans’ Affairs</w:t>
            </w:r>
          </w:p>
          <w:p w14:paraId="07D1D5FD" w14:textId="77777777" w:rsidR="00180BD8" w:rsidRDefault="00860D1E" w:rsidP="00B21723">
            <w:pPr>
              <w:pStyle w:val="Table7pttext"/>
              <w:spacing w:after="60"/>
            </w:pPr>
            <w:r w:rsidRPr="00BC4931">
              <w:t xml:space="preserve">GPO Box 9998 </w:t>
            </w:r>
          </w:p>
          <w:p w14:paraId="4645CB89" w14:textId="131BD394" w:rsidR="00860D1E" w:rsidRPr="00BC4931" w:rsidRDefault="004D25DF" w:rsidP="00B21723">
            <w:pPr>
              <w:pStyle w:val="Table7pttext"/>
              <w:spacing w:after="60"/>
            </w:pPr>
            <w:r>
              <w:t>BRISBANE QLD 4001</w:t>
            </w:r>
          </w:p>
        </w:tc>
        <w:tc>
          <w:tcPr>
            <w:tcW w:w="2268" w:type="dxa"/>
            <w:shd w:val="clear" w:color="auto" w:fill="FFC9C9"/>
            <w:tcMar>
              <w:top w:w="80" w:type="dxa"/>
              <w:left w:w="80" w:type="dxa"/>
              <w:bottom w:w="80" w:type="dxa"/>
              <w:right w:w="80" w:type="dxa"/>
            </w:tcMar>
          </w:tcPr>
          <w:p w14:paraId="7E9E1DE8" w14:textId="789A43E4" w:rsidR="00860D1E" w:rsidRPr="00BC4931" w:rsidRDefault="00A7538C" w:rsidP="00B21723">
            <w:pPr>
              <w:pStyle w:val="Table7pttext"/>
              <w:spacing w:after="60"/>
            </w:pPr>
            <w:hyperlink r:id="rId46" w:tooltip="Department of Veterans' Affairs website" w:history="1">
              <w:r w:rsidR="00860D1E" w:rsidRPr="00BC4931">
                <w:rPr>
                  <w:rStyle w:val="Hyperlink"/>
                </w:rPr>
                <w:t>www.dva.gov.au</w:t>
              </w:r>
            </w:hyperlink>
          </w:p>
        </w:tc>
      </w:tr>
      <w:tr w:rsidR="00860D1E" w:rsidRPr="00BC4931" w14:paraId="76067E7D" w14:textId="77777777" w:rsidTr="00D046C6">
        <w:tc>
          <w:tcPr>
            <w:tcW w:w="1311" w:type="dxa"/>
            <w:tcMar>
              <w:top w:w="80" w:type="dxa"/>
              <w:left w:w="80" w:type="dxa"/>
              <w:bottom w:w="80" w:type="dxa"/>
              <w:right w:w="80" w:type="dxa"/>
            </w:tcMar>
          </w:tcPr>
          <w:p w14:paraId="5C8C6F71" w14:textId="063C9833" w:rsidR="00860D1E" w:rsidRPr="00BC4931" w:rsidRDefault="00860D1E" w:rsidP="00B21723">
            <w:pPr>
              <w:pStyle w:val="TableColumn1bold"/>
              <w:spacing w:after="60"/>
            </w:pPr>
            <w:r w:rsidRPr="00BC4931">
              <w:t>New Zealand</w:t>
            </w:r>
            <w:r w:rsidR="003B3E5B">
              <w:fldChar w:fldCharType="begin"/>
            </w:r>
            <w:r w:rsidR="003B3E5B">
              <w:instrText xml:space="preserve"> XE "</w:instrText>
            </w:r>
            <w:r w:rsidR="003B3E5B" w:rsidRPr="00144C13">
              <w:instrText>New Zealand:contacts</w:instrText>
            </w:r>
            <w:r w:rsidR="003B3E5B">
              <w:instrText xml:space="preserve">" </w:instrText>
            </w:r>
            <w:r w:rsidR="003B3E5B">
              <w:fldChar w:fldCharType="end"/>
            </w:r>
          </w:p>
        </w:tc>
        <w:tc>
          <w:tcPr>
            <w:tcW w:w="1449" w:type="dxa"/>
            <w:tcMar>
              <w:top w:w="80" w:type="dxa"/>
              <w:left w:w="80" w:type="dxa"/>
              <w:bottom w:w="80" w:type="dxa"/>
              <w:right w:w="80" w:type="dxa"/>
            </w:tcMar>
          </w:tcPr>
          <w:p w14:paraId="129C3718" w14:textId="69C0D5A6" w:rsidR="00860D1E" w:rsidRPr="00BC4931" w:rsidRDefault="008C2359" w:rsidP="00B21723">
            <w:pPr>
              <w:pStyle w:val="Table7pttext"/>
              <w:spacing w:after="60"/>
            </w:pPr>
            <w:r>
              <w:t>Emma Powell</w:t>
            </w:r>
          </w:p>
        </w:tc>
        <w:tc>
          <w:tcPr>
            <w:tcW w:w="2694" w:type="dxa"/>
            <w:tcMar>
              <w:top w:w="80" w:type="dxa"/>
              <w:left w:w="80" w:type="dxa"/>
              <w:bottom w:w="80" w:type="dxa"/>
              <w:right w:w="80" w:type="dxa"/>
            </w:tcMar>
          </w:tcPr>
          <w:p w14:paraId="0DFA3C8F" w14:textId="363111DB" w:rsidR="00860D1E" w:rsidRPr="00BC4931" w:rsidRDefault="00860D1E" w:rsidP="00B21723">
            <w:pPr>
              <w:pStyle w:val="Table7pttext"/>
              <w:spacing w:after="60"/>
            </w:pPr>
            <w:r w:rsidRPr="00BC4931">
              <w:t>Chief Customer Officer</w:t>
            </w:r>
          </w:p>
        </w:tc>
        <w:tc>
          <w:tcPr>
            <w:tcW w:w="1275" w:type="dxa"/>
            <w:tcMar>
              <w:top w:w="80" w:type="dxa"/>
              <w:left w:w="80" w:type="dxa"/>
              <w:bottom w:w="80" w:type="dxa"/>
              <w:right w:w="80" w:type="dxa"/>
            </w:tcMar>
          </w:tcPr>
          <w:p w14:paraId="53F1ED33" w14:textId="57F8342A" w:rsidR="00860D1E" w:rsidRPr="00BC4931" w:rsidRDefault="008C2359" w:rsidP="00B21723">
            <w:pPr>
              <w:pStyle w:val="Table7pttext"/>
              <w:spacing w:after="60"/>
            </w:pPr>
            <w:r>
              <w:t>+64 4 816 7673</w:t>
            </w:r>
          </w:p>
        </w:tc>
        <w:tc>
          <w:tcPr>
            <w:tcW w:w="1134" w:type="dxa"/>
            <w:tcMar>
              <w:top w:w="80" w:type="dxa"/>
              <w:left w:w="80" w:type="dxa"/>
              <w:bottom w:w="80" w:type="dxa"/>
              <w:right w:w="80" w:type="dxa"/>
            </w:tcMar>
          </w:tcPr>
          <w:p w14:paraId="0325A0A9" w14:textId="7AA297AA" w:rsidR="00860D1E" w:rsidRPr="00BC4931" w:rsidRDefault="008C2359" w:rsidP="00B21723">
            <w:pPr>
              <w:pStyle w:val="Table7pttext"/>
              <w:spacing w:after="60"/>
            </w:pPr>
            <w:r>
              <w:t>N/A</w:t>
            </w:r>
          </w:p>
        </w:tc>
        <w:tc>
          <w:tcPr>
            <w:tcW w:w="2694" w:type="dxa"/>
            <w:tcMar>
              <w:top w:w="80" w:type="dxa"/>
              <w:left w:w="80" w:type="dxa"/>
              <w:bottom w:w="80" w:type="dxa"/>
              <w:right w:w="80" w:type="dxa"/>
            </w:tcMar>
          </w:tcPr>
          <w:p w14:paraId="559132C8" w14:textId="0EE10E2F" w:rsidR="00860D1E" w:rsidRPr="00BC4931" w:rsidRDefault="00A7538C" w:rsidP="00B21723">
            <w:pPr>
              <w:pStyle w:val="Table7pttext"/>
              <w:spacing w:after="60"/>
            </w:pPr>
            <w:hyperlink r:id="rId47" w:history="1">
              <w:r w:rsidR="008C2359" w:rsidRPr="00C91D1F">
                <w:rPr>
                  <w:rStyle w:val="Hyperlink"/>
                </w:rPr>
                <w:t>emma.powell@acc.co.nz</w:t>
              </w:r>
            </w:hyperlink>
          </w:p>
        </w:tc>
        <w:tc>
          <w:tcPr>
            <w:tcW w:w="2551" w:type="dxa"/>
            <w:tcMar>
              <w:top w:w="80" w:type="dxa"/>
              <w:left w:w="80" w:type="dxa"/>
              <w:bottom w:w="80" w:type="dxa"/>
              <w:right w:w="80" w:type="dxa"/>
            </w:tcMar>
          </w:tcPr>
          <w:p w14:paraId="0E359850" w14:textId="7B076452" w:rsidR="00180BD8" w:rsidRDefault="00860D1E" w:rsidP="00B21723">
            <w:pPr>
              <w:pStyle w:val="Table7pttext"/>
              <w:spacing w:after="60"/>
            </w:pPr>
            <w:r w:rsidRPr="00BC4931">
              <w:t>Acc</w:t>
            </w:r>
            <w:r w:rsidR="00180BD8">
              <w:t>ident Compensation Corporation</w:t>
            </w:r>
          </w:p>
          <w:p w14:paraId="511AD70F" w14:textId="583599E2" w:rsidR="00180BD8" w:rsidRDefault="00180BD8" w:rsidP="00B21723">
            <w:pPr>
              <w:pStyle w:val="Table7pttext"/>
              <w:spacing w:after="60"/>
            </w:pPr>
            <w:r>
              <w:t>PO Box 242</w:t>
            </w:r>
          </w:p>
          <w:p w14:paraId="3E561620" w14:textId="43AE3223" w:rsidR="00860D1E" w:rsidRPr="00BC4931" w:rsidRDefault="000264D7" w:rsidP="00B21723">
            <w:pPr>
              <w:pStyle w:val="Table7pttext"/>
              <w:spacing w:after="60"/>
            </w:pPr>
            <w:r>
              <w:t>WELLINGTON</w:t>
            </w:r>
            <w:r w:rsidR="00414640">
              <w:t xml:space="preserve"> New Zealand</w:t>
            </w:r>
          </w:p>
        </w:tc>
        <w:tc>
          <w:tcPr>
            <w:tcW w:w="2268" w:type="dxa"/>
            <w:tcMar>
              <w:top w:w="80" w:type="dxa"/>
              <w:left w:w="80" w:type="dxa"/>
              <w:bottom w:w="80" w:type="dxa"/>
              <w:right w:w="80" w:type="dxa"/>
            </w:tcMar>
          </w:tcPr>
          <w:p w14:paraId="079B9096" w14:textId="775C54CA" w:rsidR="00860D1E" w:rsidRPr="00BC4931" w:rsidRDefault="00A7538C" w:rsidP="00B21723">
            <w:pPr>
              <w:pStyle w:val="Table7pttext"/>
              <w:spacing w:after="60"/>
            </w:pPr>
            <w:hyperlink r:id="rId48" w:tooltip="Accident Compensation Corporation website" w:history="1">
              <w:r w:rsidR="00860D1E" w:rsidRPr="00BC4931">
                <w:rPr>
                  <w:rStyle w:val="Hyperlink"/>
                </w:rPr>
                <w:t>www.acc.co.nz</w:t>
              </w:r>
            </w:hyperlink>
            <w:r w:rsidR="00860D1E" w:rsidRPr="00BC4931">
              <w:t xml:space="preserve"> </w:t>
            </w:r>
          </w:p>
        </w:tc>
      </w:tr>
    </w:tbl>
    <w:p w14:paraId="722F83DC" w14:textId="77777777" w:rsidR="00C66972" w:rsidRPr="00C66972" w:rsidRDefault="00C66972" w:rsidP="00C66972">
      <w:pPr>
        <w:spacing w:after="200" w:line="276" w:lineRule="auto"/>
        <w:rPr>
          <w:rFonts w:eastAsiaTheme="minorHAnsi"/>
        </w:rPr>
        <w:sectPr w:rsidR="00C66972" w:rsidRPr="00C66972" w:rsidSect="00691843">
          <w:pgSz w:w="16838" w:h="11906" w:orient="landscape"/>
          <w:pgMar w:top="249" w:right="567" w:bottom="249" w:left="624" w:header="709" w:footer="709" w:gutter="0"/>
          <w:cols w:space="708"/>
          <w:docGrid w:linePitch="360"/>
        </w:sectPr>
      </w:pPr>
    </w:p>
    <w:p w14:paraId="23E271E7" w14:textId="038EAEC6" w:rsidR="0006450A" w:rsidRPr="004F360B" w:rsidRDefault="0006450A" w:rsidP="004F360B">
      <w:pPr>
        <w:pStyle w:val="SWATableheader"/>
      </w:pPr>
      <w:bookmarkStart w:id="41" w:name="_Toc504654635"/>
      <w:r w:rsidRPr="004F360B">
        <w:lastRenderedPageBreak/>
        <w:t>Table 2.2: Agencies responsible</w:t>
      </w:r>
      <w:r w:rsidR="00C461E1" w:rsidRPr="004F360B">
        <w:fldChar w:fldCharType="begin"/>
      </w:r>
      <w:r w:rsidR="00C461E1" w:rsidRPr="004F360B">
        <w:instrText xml:space="preserve"> XE "jurisdictions:responsible agencies" </w:instrText>
      </w:r>
      <w:r w:rsidR="00C461E1" w:rsidRPr="004F360B">
        <w:fldChar w:fldCharType="end"/>
      </w:r>
      <w:r w:rsidR="000A06AE" w:rsidRPr="004F360B">
        <w:fldChar w:fldCharType="begin"/>
      </w:r>
      <w:r w:rsidR="000A06AE" w:rsidRPr="004F360B">
        <w:instrText xml:space="preserve"> XE "Agencies responsible" </w:instrText>
      </w:r>
      <w:r w:rsidR="000A06AE" w:rsidRPr="004F360B">
        <w:fldChar w:fldCharType="end"/>
      </w:r>
      <w:r w:rsidRPr="004F360B">
        <w:t xml:space="preserve"> for overseeing workers’ compensation in each jurisdiction</w:t>
      </w:r>
      <w:bookmarkEnd w:id="41"/>
    </w:p>
    <w:tbl>
      <w:tblPr>
        <w:tblW w:w="15376"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2: Agencies responsible for overseeing workers’ compensation in each jurisdiction"/>
        <w:tblDescription w:val="This table provides information on the agencies responsible for overseeing workers' compensation nationally and in each state and territory. "/>
      </w:tblPr>
      <w:tblGrid>
        <w:gridCol w:w="1626"/>
        <w:gridCol w:w="2421"/>
        <w:gridCol w:w="2399"/>
        <w:gridCol w:w="2878"/>
        <w:gridCol w:w="2638"/>
        <w:gridCol w:w="3414"/>
      </w:tblGrid>
      <w:tr w:rsidR="0006450A" w:rsidRPr="0006450A" w14:paraId="06E6FB0D" w14:textId="77777777" w:rsidTr="004D25DF">
        <w:trPr>
          <w:tblHeader/>
        </w:trPr>
        <w:tc>
          <w:tcPr>
            <w:tcW w:w="1626" w:type="dxa"/>
            <w:shd w:val="clear" w:color="auto" w:fill="C00000"/>
            <w:tcMar>
              <w:top w:w="0" w:type="dxa"/>
              <w:left w:w="0" w:type="dxa"/>
              <w:bottom w:w="0" w:type="dxa"/>
              <w:right w:w="0" w:type="dxa"/>
            </w:tcMar>
            <w:vAlign w:val="center"/>
          </w:tcPr>
          <w:p w14:paraId="413882CF" w14:textId="77777777" w:rsidR="0006450A" w:rsidRPr="0006450A" w:rsidRDefault="0006450A" w:rsidP="00B21723">
            <w:pPr>
              <w:pStyle w:val="Tableheaderrow"/>
              <w:spacing w:after="60"/>
              <w:rPr>
                <w:sz w:val="20"/>
                <w:szCs w:val="20"/>
              </w:rPr>
            </w:pPr>
          </w:p>
        </w:tc>
        <w:tc>
          <w:tcPr>
            <w:tcW w:w="2421" w:type="dxa"/>
            <w:shd w:val="clear" w:color="auto" w:fill="C00000"/>
            <w:tcMar>
              <w:top w:w="0" w:type="dxa"/>
              <w:left w:w="0" w:type="dxa"/>
              <w:bottom w:w="0" w:type="dxa"/>
              <w:right w:w="0" w:type="dxa"/>
            </w:tcMar>
            <w:vAlign w:val="center"/>
          </w:tcPr>
          <w:p w14:paraId="2FFF1B83" w14:textId="77777777" w:rsidR="0006450A" w:rsidRPr="0006450A" w:rsidRDefault="0006450A" w:rsidP="00B21723">
            <w:pPr>
              <w:pStyle w:val="Tableheaderrow"/>
              <w:spacing w:after="60"/>
              <w:rPr>
                <w:sz w:val="20"/>
                <w:szCs w:val="20"/>
              </w:rPr>
            </w:pPr>
            <w:r w:rsidRPr="0006450A">
              <w:rPr>
                <w:sz w:val="20"/>
                <w:szCs w:val="20"/>
              </w:rPr>
              <w:t>Policy</w:t>
            </w:r>
          </w:p>
        </w:tc>
        <w:tc>
          <w:tcPr>
            <w:tcW w:w="2399" w:type="dxa"/>
            <w:shd w:val="clear" w:color="auto" w:fill="C00000"/>
            <w:tcMar>
              <w:top w:w="0" w:type="dxa"/>
              <w:left w:w="0" w:type="dxa"/>
              <w:bottom w:w="0" w:type="dxa"/>
              <w:right w:w="0" w:type="dxa"/>
            </w:tcMar>
            <w:vAlign w:val="center"/>
          </w:tcPr>
          <w:p w14:paraId="68CF4209" w14:textId="77777777" w:rsidR="0006450A" w:rsidRPr="0006450A" w:rsidRDefault="0006450A" w:rsidP="00B21723">
            <w:pPr>
              <w:pStyle w:val="Tableheaderrow"/>
              <w:spacing w:after="60"/>
              <w:rPr>
                <w:sz w:val="20"/>
                <w:szCs w:val="20"/>
              </w:rPr>
            </w:pPr>
            <w:r w:rsidRPr="0006450A">
              <w:rPr>
                <w:sz w:val="20"/>
                <w:szCs w:val="20"/>
              </w:rPr>
              <w:t>Premium</w:t>
            </w:r>
          </w:p>
        </w:tc>
        <w:tc>
          <w:tcPr>
            <w:tcW w:w="2878" w:type="dxa"/>
            <w:shd w:val="clear" w:color="auto" w:fill="C00000"/>
            <w:tcMar>
              <w:top w:w="0" w:type="dxa"/>
              <w:left w:w="0" w:type="dxa"/>
              <w:bottom w:w="0" w:type="dxa"/>
              <w:right w:w="0" w:type="dxa"/>
            </w:tcMar>
            <w:vAlign w:val="center"/>
          </w:tcPr>
          <w:p w14:paraId="72253E1D" w14:textId="77777777" w:rsidR="0006450A" w:rsidRPr="0006450A" w:rsidRDefault="0006450A" w:rsidP="00B21723">
            <w:pPr>
              <w:pStyle w:val="Tableheaderrow"/>
              <w:spacing w:after="60"/>
              <w:rPr>
                <w:sz w:val="20"/>
                <w:szCs w:val="20"/>
              </w:rPr>
            </w:pPr>
            <w:r w:rsidRPr="0006450A">
              <w:rPr>
                <w:sz w:val="20"/>
                <w:szCs w:val="20"/>
              </w:rPr>
              <w:t>Claims</w:t>
            </w:r>
          </w:p>
        </w:tc>
        <w:tc>
          <w:tcPr>
            <w:tcW w:w="2638" w:type="dxa"/>
            <w:shd w:val="clear" w:color="auto" w:fill="C00000"/>
            <w:tcMar>
              <w:top w:w="0" w:type="dxa"/>
              <w:left w:w="0" w:type="dxa"/>
              <w:bottom w:w="0" w:type="dxa"/>
              <w:right w:w="0" w:type="dxa"/>
            </w:tcMar>
            <w:vAlign w:val="center"/>
          </w:tcPr>
          <w:p w14:paraId="19CCDF7D" w14:textId="77777777" w:rsidR="0006450A" w:rsidRPr="0006450A" w:rsidRDefault="0006450A" w:rsidP="00B21723">
            <w:pPr>
              <w:pStyle w:val="Tableheaderrow"/>
              <w:spacing w:after="60"/>
              <w:rPr>
                <w:sz w:val="20"/>
                <w:szCs w:val="20"/>
              </w:rPr>
            </w:pPr>
            <w:r w:rsidRPr="0006450A">
              <w:rPr>
                <w:sz w:val="20"/>
                <w:szCs w:val="20"/>
              </w:rPr>
              <w:t>Current legislation</w:t>
            </w:r>
          </w:p>
        </w:tc>
        <w:tc>
          <w:tcPr>
            <w:tcW w:w="3414" w:type="dxa"/>
            <w:shd w:val="clear" w:color="auto" w:fill="C00000"/>
            <w:tcMar>
              <w:top w:w="0" w:type="dxa"/>
              <w:left w:w="0" w:type="dxa"/>
              <w:bottom w:w="0" w:type="dxa"/>
              <w:right w:w="0" w:type="dxa"/>
            </w:tcMar>
            <w:vAlign w:val="center"/>
          </w:tcPr>
          <w:p w14:paraId="63A6891D" w14:textId="77777777" w:rsidR="0006450A" w:rsidRPr="0006450A" w:rsidRDefault="0006450A" w:rsidP="00B21723">
            <w:pPr>
              <w:pStyle w:val="Tableheaderrow"/>
              <w:spacing w:after="60"/>
              <w:rPr>
                <w:sz w:val="20"/>
                <w:szCs w:val="20"/>
              </w:rPr>
            </w:pPr>
            <w:r w:rsidRPr="0006450A">
              <w:rPr>
                <w:sz w:val="20"/>
                <w:szCs w:val="20"/>
              </w:rPr>
              <w:t>Disputes</w:t>
            </w:r>
          </w:p>
        </w:tc>
      </w:tr>
      <w:tr w:rsidR="0006450A" w:rsidRPr="00BC4931" w14:paraId="15F841D9" w14:textId="77777777" w:rsidTr="004D25DF">
        <w:tc>
          <w:tcPr>
            <w:tcW w:w="1626" w:type="dxa"/>
            <w:shd w:val="clear" w:color="auto" w:fill="FFC9C9"/>
            <w:tcMar>
              <w:top w:w="80" w:type="dxa"/>
              <w:left w:w="80" w:type="dxa"/>
              <w:bottom w:w="80" w:type="dxa"/>
              <w:right w:w="80" w:type="dxa"/>
            </w:tcMar>
          </w:tcPr>
          <w:p w14:paraId="6639C935" w14:textId="360C8B56" w:rsidR="0006450A" w:rsidRPr="00BC4931" w:rsidRDefault="0006450A" w:rsidP="00B21723">
            <w:pPr>
              <w:pStyle w:val="TableColumn1bold"/>
              <w:spacing w:after="60"/>
            </w:pPr>
            <w:r w:rsidRPr="00BC4931">
              <w:t>New South Wales</w:t>
            </w:r>
            <w:r w:rsidR="003B3E5B">
              <w:fldChar w:fldCharType="begin"/>
            </w:r>
            <w:r w:rsidR="003B3E5B">
              <w:instrText xml:space="preserve"> XE "</w:instrText>
            </w:r>
            <w:r w:rsidR="003B3E5B" w:rsidRPr="00773D51">
              <w:instrText>New South Wales:agency responsible</w:instrText>
            </w:r>
            <w:r w:rsidR="003B3E5B">
              <w:instrText xml:space="preserve">" </w:instrText>
            </w:r>
            <w:r w:rsidR="003B3E5B">
              <w:fldChar w:fldCharType="end"/>
            </w:r>
          </w:p>
        </w:tc>
        <w:tc>
          <w:tcPr>
            <w:tcW w:w="2421" w:type="dxa"/>
            <w:shd w:val="clear" w:color="auto" w:fill="FFC9C9"/>
            <w:tcMar>
              <w:top w:w="80" w:type="dxa"/>
              <w:left w:w="80" w:type="dxa"/>
              <w:bottom w:w="80" w:type="dxa"/>
              <w:right w:w="80" w:type="dxa"/>
            </w:tcMar>
          </w:tcPr>
          <w:p w14:paraId="51E8EBE4" w14:textId="2BBAC15B" w:rsidR="0006450A" w:rsidRPr="00BC4931" w:rsidRDefault="00A7538C" w:rsidP="00B21723">
            <w:pPr>
              <w:pStyle w:val="Table7pttext"/>
              <w:spacing w:after="60"/>
            </w:pPr>
            <w:hyperlink r:id="rId49" w:history="1">
              <w:r w:rsidR="0006450A" w:rsidRPr="00BC4931">
                <w:rPr>
                  <w:rStyle w:val="Hyperlink"/>
                </w:rPr>
                <w:t>State Insurance Regulatory Authority</w:t>
              </w:r>
            </w:hyperlink>
            <w:r w:rsidR="000264D7">
              <w:t xml:space="preserve"> (SIRA)</w:t>
            </w:r>
          </w:p>
        </w:tc>
        <w:tc>
          <w:tcPr>
            <w:tcW w:w="2399" w:type="dxa"/>
            <w:shd w:val="clear" w:color="auto" w:fill="FFC9C9"/>
            <w:tcMar>
              <w:top w:w="80" w:type="dxa"/>
              <w:left w:w="80" w:type="dxa"/>
              <w:bottom w:w="80" w:type="dxa"/>
              <w:right w:w="80" w:type="dxa"/>
            </w:tcMar>
          </w:tcPr>
          <w:p w14:paraId="6FAE6A68" w14:textId="37CFE833" w:rsidR="0006450A" w:rsidRPr="00BC4931" w:rsidRDefault="0006450A" w:rsidP="00B21723">
            <w:pPr>
              <w:pStyle w:val="Table7pttext"/>
              <w:spacing w:after="60"/>
            </w:pPr>
            <w:r w:rsidRPr="00BC4931">
              <w:t>Ins</w:t>
            </w:r>
            <w:r w:rsidR="000264D7">
              <w:t>urers subject to SIRA oversight</w:t>
            </w:r>
          </w:p>
        </w:tc>
        <w:tc>
          <w:tcPr>
            <w:tcW w:w="2878" w:type="dxa"/>
            <w:shd w:val="clear" w:color="auto" w:fill="FFC9C9"/>
            <w:tcMar>
              <w:top w:w="80" w:type="dxa"/>
              <w:left w:w="80" w:type="dxa"/>
              <w:bottom w:w="80" w:type="dxa"/>
              <w:right w:w="80" w:type="dxa"/>
            </w:tcMar>
          </w:tcPr>
          <w:p w14:paraId="11351D28" w14:textId="132B166D" w:rsidR="0006450A" w:rsidRPr="00BC4931" w:rsidRDefault="0006450A" w:rsidP="00810E9C">
            <w:pPr>
              <w:pStyle w:val="Table7pttext"/>
              <w:spacing w:after="60"/>
            </w:pPr>
            <w:r w:rsidRPr="007E1DFD">
              <w:t>Nominal Insu</w:t>
            </w:r>
            <w:r w:rsidR="00810E9C">
              <w:t>rer for most employees through 3</w:t>
            </w:r>
            <w:r w:rsidRPr="007E1DFD">
              <w:t xml:space="preserve"> private sector Scheme Agents, Self-Insurance Corporation for most public sector employees through 3 private sector claims administrators, </w:t>
            </w:r>
            <w:r w:rsidR="00810E9C">
              <w:t>60</w:t>
            </w:r>
            <w:r w:rsidR="00810E9C" w:rsidRPr="007E1DFD">
              <w:t xml:space="preserve"> </w:t>
            </w:r>
            <w:r w:rsidRPr="007E1DFD">
              <w:t>self-insurers and 6 specialised insurers.</w:t>
            </w:r>
          </w:p>
        </w:tc>
        <w:tc>
          <w:tcPr>
            <w:tcW w:w="2638" w:type="dxa"/>
            <w:shd w:val="clear" w:color="auto" w:fill="FFC9C9"/>
            <w:tcMar>
              <w:top w:w="80" w:type="dxa"/>
              <w:left w:w="80" w:type="dxa"/>
              <w:bottom w:w="80" w:type="dxa"/>
              <w:right w:w="80" w:type="dxa"/>
            </w:tcMar>
          </w:tcPr>
          <w:p w14:paraId="3DAC474C" w14:textId="1EEA2F10" w:rsidR="0006450A" w:rsidRPr="000D3217" w:rsidRDefault="00A7538C" w:rsidP="00B21723">
            <w:pPr>
              <w:pStyle w:val="Table7pttext"/>
              <w:spacing w:after="60"/>
              <w:rPr>
                <w:i/>
              </w:rPr>
            </w:pPr>
            <w:hyperlink r:id="rId50" w:history="1">
              <w:r w:rsidR="0006450A" w:rsidRPr="000D3217">
                <w:rPr>
                  <w:rStyle w:val="Hyperlink"/>
                  <w:i/>
                </w:rPr>
                <w:t>Workplace Injury Management and Workers Compensation Act 1998</w:t>
              </w:r>
            </w:hyperlink>
            <w:r w:rsidR="000D3217" w:rsidRPr="000D3217">
              <w:rPr>
                <w:i/>
              </w:rPr>
              <w:t xml:space="preserve"> </w:t>
            </w:r>
            <w:r w:rsidR="0006450A" w:rsidRPr="000D3217">
              <w:rPr>
                <w:i/>
              </w:rPr>
              <w:t xml:space="preserve"> </w:t>
            </w:r>
            <w:hyperlink r:id="rId51" w:history="1">
              <w:r w:rsidR="00466121">
                <w:rPr>
                  <w:rStyle w:val="Hyperlink"/>
                  <w:i/>
                </w:rPr>
                <w:t>Workers Compensation Act 1987</w:t>
              </w:r>
            </w:hyperlink>
          </w:p>
        </w:tc>
        <w:tc>
          <w:tcPr>
            <w:tcW w:w="3414" w:type="dxa"/>
            <w:shd w:val="clear" w:color="auto" w:fill="FFC9C9"/>
            <w:tcMar>
              <w:top w:w="80" w:type="dxa"/>
              <w:left w:w="80" w:type="dxa"/>
              <w:bottom w:w="80" w:type="dxa"/>
              <w:right w:w="80" w:type="dxa"/>
            </w:tcMar>
          </w:tcPr>
          <w:p w14:paraId="1537F831" w14:textId="2EF0CF9F" w:rsidR="0006450A" w:rsidRPr="007E1DFD" w:rsidRDefault="00A7538C" w:rsidP="00B21723">
            <w:pPr>
              <w:pStyle w:val="Table7pttext"/>
              <w:spacing w:after="60"/>
            </w:pPr>
            <w:hyperlink r:id="rId52" w:history="1">
              <w:r w:rsidR="0006450A" w:rsidRPr="007E1DFD">
                <w:rPr>
                  <w:rStyle w:val="Hyperlink"/>
                </w:rPr>
                <w:t>SIRA</w:t>
              </w:r>
            </w:hyperlink>
          </w:p>
          <w:p w14:paraId="1F393184" w14:textId="77777777" w:rsidR="0006450A" w:rsidRPr="007E1DFD" w:rsidRDefault="00A7538C" w:rsidP="00B21723">
            <w:pPr>
              <w:pStyle w:val="Table7pttext"/>
              <w:spacing w:after="60"/>
            </w:pPr>
            <w:hyperlink r:id="rId53" w:history="1">
              <w:r w:rsidR="0006450A" w:rsidRPr="007E1DFD">
                <w:rPr>
                  <w:rStyle w:val="Hyperlink"/>
                </w:rPr>
                <w:t>Workers Compensation Commission.</w:t>
              </w:r>
            </w:hyperlink>
          </w:p>
          <w:p w14:paraId="702D53E4" w14:textId="77777777" w:rsidR="0006450A" w:rsidRPr="00BC4931" w:rsidRDefault="00A7538C" w:rsidP="00B21723">
            <w:pPr>
              <w:pStyle w:val="Table7pttext"/>
              <w:spacing w:after="60"/>
            </w:pPr>
            <w:hyperlink r:id="rId54" w:history="1">
              <w:r w:rsidR="0006450A" w:rsidRPr="007E1DFD">
                <w:rPr>
                  <w:rStyle w:val="Hyperlink"/>
                </w:rPr>
                <w:t>Workers Compensation Independent Review Office</w:t>
              </w:r>
            </w:hyperlink>
          </w:p>
        </w:tc>
      </w:tr>
      <w:tr w:rsidR="0006450A" w:rsidRPr="00BC4931" w14:paraId="0EAF69DD" w14:textId="77777777" w:rsidTr="004D25DF">
        <w:tc>
          <w:tcPr>
            <w:tcW w:w="1626" w:type="dxa"/>
            <w:tcMar>
              <w:top w:w="80" w:type="dxa"/>
              <w:left w:w="80" w:type="dxa"/>
              <w:bottom w:w="80" w:type="dxa"/>
              <w:right w:w="80" w:type="dxa"/>
            </w:tcMar>
          </w:tcPr>
          <w:p w14:paraId="7002EA96" w14:textId="77777777" w:rsidR="0006450A" w:rsidRPr="00BC4931" w:rsidRDefault="0006450A" w:rsidP="00B21723">
            <w:pPr>
              <w:pStyle w:val="TableColumn1bold"/>
              <w:spacing w:after="60"/>
            </w:pPr>
            <w:r w:rsidRPr="00BC4931">
              <w:t>Victoria</w:t>
            </w:r>
            <w:r w:rsidR="00DA6564">
              <w:fldChar w:fldCharType="begin"/>
            </w:r>
            <w:r w:rsidR="00DA6564">
              <w:instrText xml:space="preserve"> XE "</w:instrText>
            </w:r>
            <w:r w:rsidR="00DA6564" w:rsidRPr="00A1063A">
              <w:instrText>Victoria:agency responsible</w:instrText>
            </w:r>
            <w:r w:rsidR="00DA6564">
              <w:instrText xml:space="preserve">" </w:instrText>
            </w:r>
            <w:r w:rsidR="00DA6564">
              <w:fldChar w:fldCharType="end"/>
            </w:r>
          </w:p>
        </w:tc>
        <w:tc>
          <w:tcPr>
            <w:tcW w:w="2421" w:type="dxa"/>
            <w:tcMar>
              <w:top w:w="80" w:type="dxa"/>
              <w:left w:w="80" w:type="dxa"/>
              <w:bottom w:w="80" w:type="dxa"/>
              <w:right w:w="80" w:type="dxa"/>
            </w:tcMar>
          </w:tcPr>
          <w:p w14:paraId="3AEE64A5" w14:textId="77777777" w:rsidR="0006450A" w:rsidRPr="00BC4931" w:rsidRDefault="00A7538C" w:rsidP="00B21723">
            <w:pPr>
              <w:pStyle w:val="Table7pttext"/>
              <w:spacing w:after="60"/>
            </w:pPr>
            <w:hyperlink r:id="rId55" w:history="1">
              <w:r w:rsidR="0006450A" w:rsidRPr="00BC4931">
                <w:rPr>
                  <w:rStyle w:val="Hyperlink"/>
                </w:rPr>
                <w:t>WorkSafe Victoria</w:t>
              </w:r>
            </w:hyperlink>
          </w:p>
          <w:p w14:paraId="6697D3FF" w14:textId="36988E49" w:rsidR="0006450A" w:rsidRPr="00BC4931" w:rsidRDefault="00A7538C" w:rsidP="00B21723">
            <w:pPr>
              <w:pStyle w:val="Table7pttext"/>
              <w:spacing w:after="60"/>
            </w:pPr>
            <w:hyperlink r:id="rId56" w:history="1">
              <w:r w:rsidR="0006450A" w:rsidRPr="00BC4931">
                <w:rPr>
                  <w:rStyle w:val="Hyperlink"/>
                </w:rPr>
                <w:t>Victorian WorkCover Authority</w:t>
              </w:r>
            </w:hyperlink>
          </w:p>
        </w:tc>
        <w:tc>
          <w:tcPr>
            <w:tcW w:w="2399" w:type="dxa"/>
            <w:tcMar>
              <w:top w:w="80" w:type="dxa"/>
              <w:left w:w="80" w:type="dxa"/>
              <w:bottom w:w="80" w:type="dxa"/>
              <w:right w:w="80" w:type="dxa"/>
            </w:tcMar>
          </w:tcPr>
          <w:p w14:paraId="69ACD778" w14:textId="52487FEB" w:rsidR="0006450A" w:rsidRPr="00BC4931" w:rsidRDefault="00A7538C" w:rsidP="00B21723">
            <w:pPr>
              <w:pStyle w:val="Table7pttext"/>
              <w:spacing w:after="60"/>
            </w:pPr>
            <w:hyperlink r:id="rId57" w:history="1">
              <w:r w:rsidR="0006450A" w:rsidRPr="000D3217">
                <w:rPr>
                  <w:rStyle w:val="Hyperlink"/>
                </w:rPr>
                <w:t>WorkSafe Victoria</w:t>
              </w:r>
            </w:hyperlink>
          </w:p>
        </w:tc>
        <w:tc>
          <w:tcPr>
            <w:tcW w:w="2878" w:type="dxa"/>
            <w:tcMar>
              <w:top w:w="80" w:type="dxa"/>
              <w:left w:w="80" w:type="dxa"/>
              <w:bottom w:w="80" w:type="dxa"/>
              <w:right w:w="80" w:type="dxa"/>
            </w:tcMar>
          </w:tcPr>
          <w:p w14:paraId="26D2FDC6" w14:textId="031866C1" w:rsidR="0006450A" w:rsidRPr="00BC4931" w:rsidRDefault="0006450A" w:rsidP="00B21723">
            <w:pPr>
              <w:pStyle w:val="Table7pttext"/>
              <w:spacing w:after="60"/>
            </w:pPr>
            <w:r w:rsidRPr="00BC4931">
              <w:t>5 private sec</w:t>
            </w:r>
            <w:r w:rsidR="000264D7">
              <w:t>tor agents and 38 self-insurers</w:t>
            </w:r>
          </w:p>
        </w:tc>
        <w:tc>
          <w:tcPr>
            <w:tcW w:w="2638" w:type="dxa"/>
            <w:tcMar>
              <w:top w:w="80" w:type="dxa"/>
              <w:left w:w="80" w:type="dxa"/>
              <w:bottom w:w="80" w:type="dxa"/>
              <w:right w:w="80" w:type="dxa"/>
            </w:tcMar>
          </w:tcPr>
          <w:p w14:paraId="075E4CFB" w14:textId="2D01E045" w:rsidR="0006450A" w:rsidRPr="000D3217" w:rsidRDefault="00A7538C" w:rsidP="00B21723">
            <w:pPr>
              <w:pStyle w:val="Table7pttext"/>
              <w:spacing w:after="60"/>
              <w:rPr>
                <w:i/>
              </w:rPr>
            </w:pPr>
            <w:hyperlink r:id="rId58" w:history="1">
              <w:r w:rsidR="0006450A" w:rsidRPr="000D3217">
                <w:rPr>
                  <w:rStyle w:val="Hyperlink"/>
                  <w:i/>
                </w:rPr>
                <w:t>Workplace Injury Rehabilitation and Compensation Act 2013</w:t>
              </w:r>
            </w:hyperlink>
          </w:p>
        </w:tc>
        <w:tc>
          <w:tcPr>
            <w:tcW w:w="3414" w:type="dxa"/>
            <w:tcMar>
              <w:top w:w="80" w:type="dxa"/>
              <w:left w:w="80" w:type="dxa"/>
              <w:bottom w:w="80" w:type="dxa"/>
              <w:right w:w="80" w:type="dxa"/>
            </w:tcMar>
          </w:tcPr>
          <w:p w14:paraId="47BBE790" w14:textId="0457A824" w:rsidR="0006450A" w:rsidRPr="00BC4931" w:rsidRDefault="0006450A" w:rsidP="00B21723">
            <w:pPr>
              <w:pStyle w:val="Table7pttext"/>
              <w:spacing w:after="60"/>
            </w:pPr>
            <w:r w:rsidRPr="00BC4931">
              <w:t>WorkSafe</w:t>
            </w:r>
            <w:r w:rsidR="00F84CCD">
              <w:t xml:space="preserve"> Victoria</w:t>
            </w:r>
            <w:r w:rsidRPr="00BC4931">
              <w:br/>
              <w:t>Accident Compensation Conciliation Service (ACCS), Medical Pane</w:t>
            </w:r>
            <w:r w:rsidR="00F84CCD">
              <w:t>ls</w:t>
            </w:r>
            <w:r w:rsidR="00F84CCD">
              <w:br/>
              <w:t>Magistrates’ or County Court</w:t>
            </w:r>
          </w:p>
        </w:tc>
      </w:tr>
      <w:tr w:rsidR="0006450A" w:rsidRPr="00BC4931" w14:paraId="5FFD2875" w14:textId="77777777" w:rsidTr="004D25DF">
        <w:tc>
          <w:tcPr>
            <w:tcW w:w="1626" w:type="dxa"/>
            <w:shd w:val="clear" w:color="auto" w:fill="FFC9C9"/>
            <w:tcMar>
              <w:top w:w="80" w:type="dxa"/>
              <w:left w:w="80" w:type="dxa"/>
              <w:bottom w:w="80" w:type="dxa"/>
              <w:right w:w="80" w:type="dxa"/>
            </w:tcMar>
          </w:tcPr>
          <w:p w14:paraId="7A7D01FF" w14:textId="77777777" w:rsidR="0006450A" w:rsidRPr="00BC4931" w:rsidRDefault="0006450A" w:rsidP="00B21723">
            <w:pPr>
              <w:pStyle w:val="TableColumn1bold"/>
              <w:spacing w:after="60"/>
            </w:pPr>
            <w:r w:rsidRPr="00BC4931">
              <w:t>Queensland</w:t>
            </w:r>
            <w:r w:rsidR="00B653B7">
              <w:fldChar w:fldCharType="begin"/>
            </w:r>
            <w:r w:rsidR="00B653B7">
              <w:instrText xml:space="preserve"> XE "</w:instrText>
            </w:r>
            <w:r w:rsidR="00B653B7" w:rsidRPr="00B06D7F">
              <w:instrText>Queensland:agency responsible</w:instrText>
            </w:r>
            <w:r w:rsidR="00B653B7">
              <w:instrText xml:space="preserve">" </w:instrText>
            </w:r>
            <w:r w:rsidR="00B653B7">
              <w:fldChar w:fldCharType="end"/>
            </w:r>
          </w:p>
        </w:tc>
        <w:tc>
          <w:tcPr>
            <w:tcW w:w="2421" w:type="dxa"/>
            <w:shd w:val="clear" w:color="auto" w:fill="FFC9C9"/>
            <w:tcMar>
              <w:top w:w="80" w:type="dxa"/>
              <w:left w:w="80" w:type="dxa"/>
              <w:bottom w:w="80" w:type="dxa"/>
              <w:right w:w="80" w:type="dxa"/>
            </w:tcMar>
          </w:tcPr>
          <w:p w14:paraId="28C2951D" w14:textId="32E6BA1D" w:rsidR="0006450A" w:rsidRPr="00BC4931" w:rsidRDefault="00A7538C" w:rsidP="00B21723">
            <w:pPr>
              <w:pStyle w:val="Table7pttext"/>
              <w:spacing w:after="60"/>
            </w:pPr>
            <w:hyperlink r:id="rId59" w:history="1">
              <w:r w:rsidR="0006450A" w:rsidRPr="00BC4931">
                <w:rPr>
                  <w:rStyle w:val="Hyperlink"/>
                </w:rPr>
                <w:t>Office of Industrial Relations</w:t>
              </w:r>
            </w:hyperlink>
          </w:p>
        </w:tc>
        <w:tc>
          <w:tcPr>
            <w:tcW w:w="2399" w:type="dxa"/>
            <w:shd w:val="clear" w:color="auto" w:fill="FFC9C9"/>
            <w:tcMar>
              <w:top w:w="80" w:type="dxa"/>
              <w:left w:w="80" w:type="dxa"/>
              <w:bottom w:w="80" w:type="dxa"/>
              <w:right w:w="80" w:type="dxa"/>
            </w:tcMar>
          </w:tcPr>
          <w:p w14:paraId="4BDF4E94" w14:textId="7BFDC729" w:rsidR="0006450A" w:rsidRPr="00BC4931" w:rsidRDefault="00A7538C" w:rsidP="00B21723">
            <w:pPr>
              <w:pStyle w:val="Table7pttext"/>
              <w:spacing w:after="60"/>
            </w:pPr>
            <w:hyperlink r:id="rId60" w:history="1">
              <w:r w:rsidR="000D3217" w:rsidRPr="000D3217">
                <w:rPr>
                  <w:rStyle w:val="Hyperlink"/>
                </w:rPr>
                <w:t>WorkCover Queensland</w:t>
              </w:r>
            </w:hyperlink>
          </w:p>
        </w:tc>
        <w:tc>
          <w:tcPr>
            <w:tcW w:w="2878" w:type="dxa"/>
            <w:shd w:val="clear" w:color="auto" w:fill="FFC9C9"/>
            <w:tcMar>
              <w:top w:w="80" w:type="dxa"/>
              <w:left w:w="80" w:type="dxa"/>
              <w:bottom w:w="80" w:type="dxa"/>
              <w:right w:w="80" w:type="dxa"/>
            </w:tcMar>
          </w:tcPr>
          <w:p w14:paraId="50D663D3" w14:textId="322FCD15" w:rsidR="0006450A" w:rsidRPr="00BC4931" w:rsidRDefault="0006450A" w:rsidP="00B21723">
            <w:pPr>
              <w:pStyle w:val="Table7pttext"/>
              <w:spacing w:after="60"/>
            </w:pPr>
            <w:r w:rsidRPr="00BC4931">
              <w:t xml:space="preserve">WorkCover </w:t>
            </w:r>
            <w:r w:rsidR="000264D7">
              <w:t>Queensland and 28 self-insurers</w:t>
            </w:r>
          </w:p>
        </w:tc>
        <w:tc>
          <w:tcPr>
            <w:tcW w:w="2638" w:type="dxa"/>
            <w:shd w:val="clear" w:color="auto" w:fill="FFC9C9"/>
            <w:tcMar>
              <w:top w:w="80" w:type="dxa"/>
              <w:left w:w="80" w:type="dxa"/>
              <w:bottom w:w="80" w:type="dxa"/>
              <w:right w:w="80" w:type="dxa"/>
            </w:tcMar>
          </w:tcPr>
          <w:p w14:paraId="4BC06A3F" w14:textId="63F229D7" w:rsidR="0006450A" w:rsidRPr="000D3217" w:rsidRDefault="00A7538C" w:rsidP="00B21723">
            <w:pPr>
              <w:pStyle w:val="Table7pttext"/>
              <w:spacing w:after="60"/>
              <w:rPr>
                <w:i/>
              </w:rPr>
            </w:pPr>
            <w:hyperlink r:id="rId61" w:history="1">
              <w:r w:rsidR="0006450A" w:rsidRPr="000D3217">
                <w:rPr>
                  <w:rStyle w:val="Hyperlink"/>
                  <w:i/>
                </w:rPr>
                <w:t>Workers’ Compensation and Rehabilitation Act 2003</w:t>
              </w:r>
            </w:hyperlink>
          </w:p>
        </w:tc>
        <w:tc>
          <w:tcPr>
            <w:tcW w:w="3414" w:type="dxa"/>
            <w:shd w:val="clear" w:color="auto" w:fill="FFC9C9"/>
            <w:tcMar>
              <w:top w:w="80" w:type="dxa"/>
              <w:left w:w="80" w:type="dxa"/>
              <w:bottom w:w="80" w:type="dxa"/>
              <w:right w:w="80" w:type="dxa"/>
            </w:tcMar>
          </w:tcPr>
          <w:p w14:paraId="0454F0D6" w14:textId="3919B5CE" w:rsidR="00DD0D68" w:rsidRDefault="00A7538C" w:rsidP="00B21723">
            <w:pPr>
              <w:pStyle w:val="Table7pttext"/>
              <w:spacing w:after="60"/>
              <w:rPr>
                <w:rStyle w:val="Hyperlink"/>
              </w:rPr>
            </w:pPr>
            <w:hyperlink r:id="rId62" w:history="1">
              <w:r w:rsidR="0006450A" w:rsidRPr="00BC4931">
                <w:rPr>
                  <w:rStyle w:val="Hyperlink"/>
                </w:rPr>
                <w:t>Workers’ Compensation Regulator</w:t>
              </w:r>
            </w:hyperlink>
          </w:p>
          <w:p w14:paraId="2FB8CF80" w14:textId="31DA2CC5" w:rsidR="0006450A" w:rsidRPr="00BC4931" w:rsidRDefault="00A7538C" w:rsidP="00B21723">
            <w:pPr>
              <w:pStyle w:val="Table7pttext"/>
              <w:spacing w:after="60"/>
            </w:pPr>
            <w:hyperlink r:id="rId63" w:history="1">
              <w:r w:rsidR="0006450A" w:rsidRPr="00BC4931">
                <w:rPr>
                  <w:rStyle w:val="Hyperlink"/>
                </w:rPr>
                <w:t>Queensland Industrial Relations Commission</w:t>
              </w:r>
            </w:hyperlink>
            <w:r w:rsidR="0006450A" w:rsidRPr="00BC4931">
              <w:t xml:space="preserve"> or </w:t>
            </w:r>
            <w:hyperlink r:id="rId64" w:history="1">
              <w:r w:rsidR="0006450A" w:rsidRPr="00BC4931">
                <w:rPr>
                  <w:rStyle w:val="Hyperlink"/>
                </w:rPr>
                <w:t>Industrial Magistrate</w:t>
              </w:r>
            </w:hyperlink>
            <w:r w:rsidR="0006450A" w:rsidRPr="00BC4931">
              <w:t xml:space="preserve">, </w:t>
            </w:r>
            <w:hyperlink r:id="rId65" w:anchor="court" w:history="1">
              <w:r w:rsidR="0006450A" w:rsidRPr="00BC4931">
                <w:rPr>
                  <w:rStyle w:val="Hyperlink"/>
                </w:rPr>
                <w:t>Industrial Court</w:t>
              </w:r>
            </w:hyperlink>
          </w:p>
        </w:tc>
      </w:tr>
      <w:tr w:rsidR="0006450A" w:rsidRPr="00BC4931" w14:paraId="1617ABEC" w14:textId="77777777" w:rsidTr="004D25DF">
        <w:tc>
          <w:tcPr>
            <w:tcW w:w="1626" w:type="dxa"/>
            <w:tcMar>
              <w:top w:w="80" w:type="dxa"/>
              <w:left w:w="80" w:type="dxa"/>
              <w:bottom w:w="80" w:type="dxa"/>
              <w:right w:w="80" w:type="dxa"/>
            </w:tcMar>
          </w:tcPr>
          <w:p w14:paraId="0E05EADF" w14:textId="5D0645E4" w:rsidR="0006450A" w:rsidRPr="00BC4931" w:rsidRDefault="0006450A" w:rsidP="00B21723">
            <w:pPr>
              <w:pStyle w:val="TableColumn1bold"/>
              <w:spacing w:after="60"/>
            </w:pPr>
            <w:r w:rsidRPr="00BC4931">
              <w:t>Western Australia</w:t>
            </w:r>
            <w:r w:rsidR="00232E14">
              <w:fldChar w:fldCharType="begin"/>
            </w:r>
            <w:r w:rsidR="00232E14">
              <w:instrText xml:space="preserve"> XE "</w:instrText>
            </w:r>
            <w:r w:rsidR="00232E14" w:rsidRPr="00E73CDB">
              <w:instrText>Western Australia:agenc</w:instrText>
            </w:r>
            <w:r w:rsidR="00232E14">
              <w:instrText>y</w:instrText>
            </w:r>
            <w:r w:rsidR="00232E14" w:rsidRPr="00E73CDB">
              <w:instrText xml:space="preserve"> responsible</w:instrText>
            </w:r>
            <w:r w:rsidR="00232E14">
              <w:instrText xml:space="preserve">" </w:instrText>
            </w:r>
            <w:r w:rsidR="00232E14">
              <w:fldChar w:fldCharType="end"/>
            </w:r>
          </w:p>
        </w:tc>
        <w:tc>
          <w:tcPr>
            <w:tcW w:w="2421" w:type="dxa"/>
            <w:tcMar>
              <w:top w:w="80" w:type="dxa"/>
              <w:left w:w="80" w:type="dxa"/>
              <w:bottom w:w="80" w:type="dxa"/>
              <w:right w:w="80" w:type="dxa"/>
            </w:tcMar>
          </w:tcPr>
          <w:p w14:paraId="141022BD" w14:textId="693C1368" w:rsidR="0006450A" w:rsidRPr="00BC4931" w:rsidRDefault="00A7538C" w:rsidP="00B21723">
            <w:pPr>
              <w:pStyle w:val="Table7pttext"/>
              <w:spacing w:after="60"/>
            </w:pPr>
            <w:hyperlink r:id="rId66" w:history="1">
              <w:r w:rsidR="0006450A" w:rsidRPr="00BC4931">
                <w:rPr>
                  <w:rStyle w:val="Hyperlink"/>
                </w:rPr>
                <w:t>WorkCover WA</w:t>
              </w:r>
            </w:hyperlink>
          </w:p>
        </w:tc>
        <w:tc>
          <w:tcPr>
            <w:tcW w:w="2399" w:type="dxa"/>
            <w:tcMar>
              <w:top w:w="80" w:type="dxa"/>
              <w:left w:w="80" w:type="dxa"/>
              <w:bottom w:w="80" w:type="dxa"/>
              <w:right w:w="80" w:type="dxa"/>
            </w:tcMar>
          </w:tcPr>
          <w:p w14:paraId="4A116934" w14:textId="1B23566D" w:rsidR="0006450A" w:rsidRPr="00BC4931" w:rsidRDefault="0006450A" w:rsidP="00B21723">
            <w:pPr>
              <w:pStyle w:val="Table7pttext"/>
              <w:spacing w:after="60"/>
            </w:pPr>
            <w:r w:rsidRPr="00BC4931">
              <w:t xml:space="preserve">Insurers subject to WorkCover WA </w:t>
            </w:r>
            <w:r w:rsidR="000264D7">
              <w:t>oversight</w:t>
            </w:r>
          </w:p>
        </w:tc>
        <w:tc>
          <w:tcPr>
            <w:tcW w:w="2878" w:type="dxa"/>
            <w:tcMar>
              <w:top w:w="80" w:type="dxa"/>
              <w:left w:w="80" w:type="dxa"/>
              <w:bottom w:w="80" w:type="dxa"/>
              <w:right w:w="80" w:type="dxa"/>
            </w:tcMar>
          </w:tcPr>
          <w:p w14:paraId="18FDC0BE" w14:textId="52ECBF1E" w:rsidR="0006450A" w:rsidRPr="00BC4931" w:rsidRDefault="0006450A" w:rsidP="00774E55">
            <w:pPr>
              <w:pStyle w:val="Table7pttext"/>
              <w:spacing w:after="60"/>
            </w:pPr>
            <w:r w:rsidRPr="00BC4931">
              <w:t xml:space="preserve">8 private sector insurers, </w:t>
            </w:r>
            <w:r w:rsidR="00774E55">
              <w:t>24</w:t>
            </w:r>
            <w:r w:rsidR="00774E55" w:rsidRPr="00BC4931">
              <w:t xml:space="preserve"> </w:t>
            </w:r>
            <w:r w:rsidRPr="00BC4931">
              <w:t xml:space="preserve">self-insurers, (exempt employers) and the Insurance </w:t>
            </w:r>
            <w:r w:rsidR="000264D7">
              <w:t>Commission of Western Australia</w:t>
            </w:r>
          </w:p>
        </w:tc>
        <w:tc>
          <w:tcPr>
            <w:tcW w:w="2638" w:type="dxa"/>
            <w:tcMar>
              <w:top w:w="80" w:type="dxa"/>
              <w:left w:w="80" w:type="dxa"/>
              <w:bottom w:w="80" w:type="dxa"/>
              <w:right w:w="80" w:type="dxa"/>
            </w:tcMar>
          </w:tcPr>
          <w:p w14:paraId="59D7EC20" w14:textId="77777777" w:rsidR="0006450A" w:rsidRPr="000D3217" w:rsidRDefault="00A7538C" w:rsidP="00B21723">
            <w:pPr>
              <w:pStyle w:val="Table7pttext"/>
              <w:spacing w:after="60"/>
              <w:rPr>
                <w:i/>
              </w:rPr>
            </w:pPr>
            <w:hyperlink r:id="rId67" w:history="1">
              <w:r w:rsidR="0006450A" w:rsidRPr="000D3217">
                <w:rPr>
                  <w:rStyle w:val="Hyperlink"/>
                  <w:i/>
                </w:rPr>
                <w:t>Workers’ Compensation and Injury Management Act 1981</w:t>
              </w:r>
            </w:hyperlink>
          </w:p>
        </w:tc>
        <w:tc>
          <w:tcPr>
            <w:tcW w:w="3414" w:type="dxa"/>
            <w:tcMar>
              <w:top w:w="80" w:type="dxa"/>
              <w:left w:w="80" w:type="dxa"/>
              <w:bottom w:w="80" w:type="dxa"/>
              <w:right w:w="80" w:type="dxa"/>
            </w:tcMar>
          </w:tcPr>
          <w:p w14:paraId="4B8A5CD1" w14:textId="4AE85E8B" w:rsidR="0006450A" w:rsidRPr="00BC4931" w:rsidRDefault="0006450A" w:rsidP="00B21723">
            <w:pPr>
              <w:pStyle w:val="Table7pttext"/>
              <w:spacing w:after="60"/>
            </w:pPr>
            <w:r w:rsidRPr="00BC4931">
              <w:t>Concil</w:t>
            </w:r>
            <w:r w:rsidR="00F84CCD">
              <w:t>iation and Arbitration Services</w:t>
            </w:r>
            <w:r w:rsidRPr="00BC4931">
              <w:t xml:space="preserve"> </w:t>
            </w:r>
          </w:p>
        </w:tc>
      </w:tr>
      <w:tr w:rsidR="0006450A" w:rsidRPr="00BC4931" w14:paraId="2AC4C107" w14:textId="77777777" w:rsidTr="004D25DF">
        <w:tc>
          <w:tcPr>
            <w:tcW w:w="1626" w:type="dxa"/>
            <w:shd w:val="clear" w:color="auto" w:fill="FFC9C9"/>
            <w:tcMar>
              <w:top w:w="80" w:type="dxa"/>
              <w:left w:w="80" w:type="dxa"/>
              <w:bottom w:w="80" w:type="dxa"/>
              <w:right w:w="80" w:type="dxa"/>
            </w:tcMar>
          </w:tcPr>
          <w:p w14:paraId="252B4917" w14:textId="0BB7F31C" w:rsidR="0006450A" w:rsidRPr="00BC4931" w:rsidRDefault="0006450A" w:rsidP="00B21723">
            <w:pPr>
              <w:pStyle w:val="TableColumn1bold"/>
              <w:spacing w:after="60"/>
            </w:pPr>
            <w:r w:rsidRPr="00BC4931">
              <w:t>South Australia</w:t>
            </w:r>
            <w:r w:rsidR="007E7520">
              <w:fldChar w:fldCharType="begin"/>
            </w:r>
            <w:r w:rsidR="007E7520">
              <w:instrText xml:space="preserve"> XE "</w:instrText>
            </w:r>
            <w:r w:rsidR="007E7520" w:rsidRPr="0056583C">
              <w:instrText>South Australia:agency responsible</w:instrText>
            </w:r>
            <w:r w:rsidR="007E7520">
              <w:instrText xml:space="preserve">" </w:instrText>
            </w:r>
            <w:r w:rsidR="007E7520">
              <w:fldChar w:fldCharType="end"/>
            </w:r>
          </w:p>
        </w:tc>
        <w:tc>
          <w:tcPr>
            <w:tcW w:w="2421" w:type="dxa"/>
            <w:shd w:val="clear" w:color="auto" w:fill="FFC9C9"/>
            <w:tcMar>
              <w:top w:w="80" w:type="dxa"/>
              <w:left w:w="80" w:type="dxa"/>
              <w:bottom w:w="80" w:type="dxa"/>
              <w:right w:w="80" w:type="dxa"/>
            </w:tcMar>
          </w:tcPr>
          <w:p w14:paraId="089FAE5B" w14:textId="40C15DAA" w:rsidR="0006450A" w:rsidRPr="00BC4931" w:rsidRDefault="00A7538C" w:rsidP="00B21723">
            <w:pPr>
              <w:pStyle w:val="Table7pttext"/>
              <w:spacing w:after="60"/>
            </w:pPr>
            <w:hyperlink r:id="rId68" w:history="1">
              <w:r w:rsidR="000D3217" w:rsidRPr="000D3217">
                <w:rPr>
                  <w:rStyle w:val="Hyperlink"/>
                </w:rPr>
                <w:t>ReturnToWorkSA</w:t>
              </w:r>
            </w:hyperlink>
          </w:p>
        </w:tc>
        <w:tc>
          <w:tcPr>
            <w:tcW w:w="2399" w:type="dxa"/>
            <w:shd w:val="clear" w:color="auto" w:fill="FFC9C9"/>
            <w:tcMar>
              <w:top w:w="80" w:type="dxa"/>
              <w:left w:w="80" w:type="dxa"/>
              <w:bottom w:w="80" w:type="dxa"/>
              <w:right w:w="80" w:type="dxa"/>
            </w:tcMar>
          </w:tcPr>
          <w:p w14:paraId="70F098F8" w14:textId="556CC4CF" w:rsidR="0006450A" w:rsidRPr="00BC4931" w:rsidRDefault="00A7538C" w:rsidP="00B21723">
            <w:pPr>
              <w:pStyle w:val="Table7pttext"/>
              <w:spacing w:after="60"/>
            </w:pPr>
            <w:hyperlink r:id="rId69" w:history="1">
              <w:r w:rsidR="0006450A" w:rsidRPr="000D3217">
                <w:rPr>
                  <w:rStyle w:val="Hyperlink"/>
                </w:rPr>
                <w:t>Retu</w:t>
              </w:r>
              <w:r w:rsidR="000D3217" w:rsidRPr="000D3217">
                <w:rPr>
                  <w:rStyle w:val="Hyperlink"/>
                </w:rPr>
                <w:t>rnToWorkSA</w:t>
              </w:r>
            </w:hyperlink>
          </w:p>
        </w:tc>
        <w:tc>
          <w:tcPr>
            <w:tcW w:w="2878" w:type="dxa"/>
            <w:shd w:val="clear" w:color="auto" w:fill="FFC9C9"/>
            <w:tcMar>
              <w:top w:w="80" w:type="dxa"/>
              <w:left w:w="80" w:type="dxa"/>
              <w:bottom w:w="80" w:type="dxa"/>
              <w:right w:w="80" w:type="dxa"/>
            </w:tcMar>
          </w:tcPr>
          <w:p w14:paraId="59295FF9" w14:textId="7E4AAC0D" w:rsidR="0006450A" w:rsidRPr="00BC4931" w:rsidRDefault="0006450A" w:rsidP="00B21723">
            <w:pPr>
              <w:pStyle w:val="Table7pttext"/>
              <w:spacing w:after="60"/>
            </w:pPr>
            <w:r w:rsidRPr="00F90038">
              <w:t>2 private sector agents, 70 private self-insurers and 44 Crown (State Government) self-insurers</w:t>
            </w:r>
          </w:p>
        </w:tc>
        <w:tc>
          <w:tcPr>
            <w:tcW w:w="2638" w:type="dxa"/>
            <w:shd w:val="clear" w:color="auto" w:fill="FFC9C9"/>
            <w:tcMar>
              <w:top w:w="80" w:type="dxa"/>
              <w:left w:w="80" w:type="dxa"/>
              <w:bottom w:w="80" w:type="dxa"/>
              <w:right w:w="80" w:type="dxa"/>
            </w:tcMar>
          </w:tcPr>
          <w:p w14:paraId="2353B34B" w14:textId="77777777" w:rsidR="0006450A" w:rsidRPr="000D3217" w:rsidRDefault="00A7538C" w:rsidP="00B21723">
            <w:pPr>
              <w:pStyle w:val="Table7pttext"/>
              <w:spacing w:after="60"/>
              <w:rPr>
                <w:i/>
              </w:rPr>
            </w:pPr>
            <w:hyperlink r:id="rId70" w:history="1">
              <w:r w:rsidR="0006450A" w:rsidRPr="000D3217">
                <w:rPr>
                  <w:rStyle w:val="Hyperlink"/>
                  <w:i/>
                </w:rPr>
                <w:t>Return to Work Act 2014</w:t>
              </w:r>
            </w:hyperlink>
          </w:p>
          <w:p w14:paraId="5D1203EF" w14:textId="77777777" w:rsidR="0006450A" w:rsidRPr="000D3217" w:rsidRDefault="00A7538C" w:rsidP="00B21723">
            <w:pPr>
              <w:pStyle w:val="Table7pttext"/>
              <w:spacing w:after="60"/>
              <w:rPr>
                <w:i/>
              </w:rPr>
            </w:pPr>
            <w:hyperlink r:id="rId71" w:history="1">
              <w:r w:rsidR="0006450A" w:rsidRPr="000D3217">
                <w:rPr>
                  <w:rStyle w:val="Hyperlink"/>
                  <w:i/>
                </w:rPr>
                <w:t>Return to Work Corporation of South Australia Act 1994</w:t>
              </w:r>
            </w:hyperlink>
          </w:p>
          <w:p w14:paraId="172DD0CD" w14:textId="69A9DF65" w:rsidR="0006450A" w:rsidRPr="00BC4931" w:rsidRDefault="00A7538C" w:rsidP="00B21723">
            <w:pPr>
              <w:pStyle w:val="Table7pttext"/>
              <w:spacing w:after="60"/>
            </w:pPr>
            <w:hyperlink r:id="rId72" w:history="1">
              <w:r w:rsidR="0006450A" w:rsidRPr="000D3217">
                <w:rPr>
                  <w:rStyle w:val="Hyperlink"/>
                  <w:i/>
                </w:rPr>
                <w:t>South Australian Employment Tribunal Act 2014</w:t>
              </w:r>
            </w:hyperlink>
          </w:p>
        </w:tc>
        <w:tc>
          <w:tcPr>
            <w:tcW w:w="3414" w:type="dxa"/>
            <w:shd w:val="clear" w:color="auto" w:fill="FFC9C9"/>
            <w:tcMar>
              <w:top w:w="80" w:type="dxa"/>
              <w:left w:w="80" w:type="dxa"/>
              <w:bottom w:w="80" w:type="dxa"/>
              <w:right w:w="80" w:type="dxa"/>
            </w:tcMar>
          </w:tcPr>
          <w:p w14:paraId="53B00E4E" w14:textId="77777777" w:rsidR="0006450A" w:rsidRDefault="0006450A" w:rsidP="00B21723">
            <w:pPr>
              <w:pStyle w:val="Table7pttext"/>
              <w:spacing w:after="60"/>
            </w:pPr>
            <w:r>
              <w:t xml:space="preserve">South Australian Employment Tribunal </w:t>
            </w:r>
          </w:p>
          <w:p w14:paraId="2421AB44" w14:textId="77777777" w:rsidR="0006450A" w:rsidRDefault="0006450A" w:rsidP="00B21723">
            <w:pPr>
              <w:pStyle w:val="Table7pttext"/>
              <w:spacing w:after="60"/>
            </w:pPr>
            <w:r>
              <w:t>Supreme Court</w:t>
            </w:r>
          </w:p>
          <w:p w14:paraId="3AB41CE1" w14:textId="04A6ADBA" w:rsidR="0006450A" w:rsidRPr="00BC4931" w:rsidRDefault="0006450A" w:rsidP="00B21723">
            <w:pPr>
              <w:pStyle w:val="Table7pttext"/>
              <w:spacing w:after="60"/>
            </w:pPr>
            <w:r>
              <w:t>ReturnToWorkSA Premium Review Panel</w:t>
            </w:r>
          </w:p>
        </w:tc>
      </w:tr>
      <w:tr w:rsidR="0006450A" w:rsidRPr="00BC4931" w14:paraId="0D657903" w14:textId="77777777" w:rsidTr="004D25DF">
        <w:tc>
          <w:tcPr>
            <w:tcW w:w="1626" w:type="dxa"/>
            <w:tcMar>
              <w:top w:w="80" w:type="dxa"/>
              <w:left w:w="80" w:type="dxa"/>
              <w:bottom w:w="80" w:type="dxa"/>
              <w:right w:w="80" w:type="dxa"/>
            </w:tcMar>
          </w:tcPr>
          <w:p w14:paraId="592DE27D" w14:textId="77777777" w:rsidR="0006450A" w:rsidRPr="00BC4931" w:rsidRDefault="0006450A" w:rsidP="00B21723">
            <w:pPr>
              <w:pStyle w:val="TableColumn1bold"/>
              <w:spacing w:after="60"/>
            </w:pPr>
            <w:r w:rsidRPr="00BC4931">
              <w:t>Tasmania</w:t>
            </w:r>
            <w:r w:rsidR="0093517C">
              <w:fldChar w:fldCharType="begin"/>
            </w:r>
            <w:r w:rsidR="0093517C">
              <w:instrText xml:space="preserve"> XE "</w:instrText>
            </w:r>
            <w:r w:rsidR="0093517C" w:rsidRPr="00D13875">
              <w:instrText>Tasmania:agency responsible</w:instrText>
            </w:r>
            <w:r w:rsidR="0093517C">
              <w:instrText xml:space="preserve">" </w:instrText>
            </w:r>
            <w:r w:rsidR="0093517C">
              <w:fldChar w:fldCharType="end"/>
            </w:r>
          </w:p>
        </w:tc>
        <w:tc>
          <w:tcPr>
            <w:tcW w:w="2421" w:type="dxa"/>
            <w:tcMar>
              <w:top w:w="80" w:type="dxa"/>
              <w:left w:w="80" w:type="dxa"/>
              <w:bottom w:w="80" w:type="dxa"/>
              <w:right w:w="80" w:type="dxa"/>
            </w:tcMar>
          </w:tcPr>
          <w:p w14:paraId="5056B10C" w14:textId="55331747" w:rsidR="0006450A" w:rsidRPr="00BC4931" w:rsidRDefault="00A7538C" w:rsidP="00B21723">
            <w:pPr>
              <w:pStyle w:val="Table7pttext"/>
              <w:spacing w:after="60"/>
            </w:pPr>
            <w:hyperlink r:id="rId73" w:history="1">
              <w:r w:rsidR="0006450A" w:rsidRPr="00BC4931">
                <w:rPr>
                  <w:rStyle w:val="Hyperlink"/>
                </w:rPr>
                <w:t>Department of Justice</w:t>
              </w:r>
            </w:hyperlink>
            <w:r w:rsidR="000D3217">
              <w:t xml:space="preserve"> </w:t>
            </w:r>
            <w:r w:rsidR="0006450A" w:rsidRPr="00BC4931">
              <w:t xml:space="preserve"> </w:t>
            </w:r>
            <w:hyperlink r:id="rId74" w:history="1">
              <w:r w:rsidR="0006450A" w:rsidRPr="00BC4931">
                <w:rPr>
                  <w:rStyle w:val="Hyperlink"/>
                </w:rPr>
                <w:t>WorkSafe Tasmania</w:t>
              </w:r>
            </w:hyperlink>
          </w:p>
        </w:tc>
        <w:tc>
          <w:tcPr>
            <w:tcW w:w="2399" w:type="dxa"/>
            <w:tcMar>
              <w:top w:w="80" w:type="dxa"/>
              <w:left w:w="80" w:type="dxa"/>
              <w:bottom w:w="80" w:type="dxa"/>
              <w:right w:w="80" w:type="dxa"/>
            </w:tcMar>
          </w:tcPr>
          <w:p w14:paraId="28D2F8D2" w14:textId="0D6421AE" w:rsidR="0006450A" w:rsidRPr="00BC4931" w:rsidRDefault="0006450A" w:rsidP="00B21723">
            <w:pPr>
              <w:pStyle w:val="Table7pttext"/>
              <w:spacing w:after="60"/>
            </w:pPr>
            <w:r w:rsidRPr="00BC4931">
              <w:t>Licensed private sector insurers sub</w:t>
            </w:r>
            <w:r w:rsidR="000264D7">
              <w:t>ject to WorkCover Tas oversight</w:t>
            </w:r>
          </w:p>
        </w:tc>
        <w:tc>
          <w:tcPr>
            <w:tcW w:w="2878" w:type="dxa"/>
            <w:tcMar>
              <w:top w:w="80" w:type="dxa"/>
              <w:left w:w="80" w:type="dxa"/>
              <w:bottom w:w="80" w:type="dxa"/>
              <w:right w:w="80" w:type="dxa"/>
            </w:tcMar>
          </w:tcPr>
          <w:p w14:paraId="40A05380" w14:textId="359393B2" w:rsidR="0006450A" w:rsidRPr="00BC4931" w:rsidRDefault="0006450A" w:rsidP="00B21723">
            <w:pPr>
              <w:pStyle w:val="Table7pttext"/>
              <w:spacing w:after="60"/>
            </w:pPr>
            <w:r w:rsidRPr="00BC4931">
              <w:t>7 private sector</w:t>
            </w:r>
            <w:r w:rsidR="000264D7">
              <w:t xml:space="preserve"> insurers and 10 self-insurers</w:t>
            </w:r>
          </w:p>
        </w:tc>
        <w:tc>
          <w:tcPr>
            <w:tcW w:w="2638" w:type="dxa"/>
            <w:tcMar>
              <w:top w:w="80" w:type="dxa"/>
              <w:left w:w="80" w:type="dxa"/>
              <w:bottom w:w="80" w:type="dxa"/>
              <w:right w:w="80" w:type="dxa"/>
            </w:tcMar>
          </w:tcPr>
          <w:p w14:paraId="61B02CB7" w14:textId="07696AA7" w:rsidR="0006450A" w:rsidRPr="000D3217" w:rsidRDefault="00A7538C" w:rsidP="00B21723">
            <w:pPr>
              <w:pStyle w:val="Table7pttext"/>
              <w:spacing w:after="60"/>
              <w:rPr>
                <w:i/>
              </w:rPr>
            </w:pPr>
            <w:hyperlink r:id="rId75" w:history="1">
              <w:r w:rsidR="00FF68C4">
                <w:rPr>
                  <w:rStyle w:val="Hyperlink"/>
                  <w:i/>
                </w:rPr>
                <w:t>Workers Rehabilitation and Compensation Act 1988</w:t>
              </w:r>
            </w:hyperlink>
          </w:p>
        </w:tc>
        <w:tc>
          <w:tcPr>
            <w:tcW w:w="3414" w:type="dxa"/>
            <w:tcMar>
              <w:top w:w="80" w:type="dxa"/>
              <w:left w:w="80" w:type="dxa"/>
              <w:bottom w:w="80" w:type="dxa"/>
              <w:right w:w="80" w:type="dxa"/>
            </w:tcMar>
          </w:tcPr>
          <w:p w14:paraId="3EB052CE" w14:textId="096371AB" w:rsidR="0006450A" w:rsidRPr="00BC4931" w:rsidRDefault="0006450A" w:rsidP="00B21723">
            <w:pPr>
              <w:pStyle w:val="Table7pttext"/>
              <w:spacing w:after="60"/>
            </w:pPr>
            <w:r w:rsidRPr="00BC4931">
              <w:t>Workers Rehabilitation and Compen</w:t>
            </w:r>
            <w:r w:rsidR="00F84CCD">
              <w:t xml:space="preserve">sation Tribunal, </w:t>
            </w:r>
            <w:r w:rsidR="00F84CCD">
              <w:br/>
              <w:t>Supreme Court</w:t>
            </w:r>
          </w:p>
        </w:tc>
      </w:tr>
      <w:tr w:rsidR="0006450A" w:rsidRPr="00BC4931" w14:paraId="7F340562" w14:textId="77777777" w:rsidTr="004D25DF">
        <w:tc>
          <w:tcPr>
            <w:tcW w:w="1626" w:type="dxa"/>
            <w:shd w:val="clear" w:color="auto" w:fill="FFC9C9"/>
            <w:tcMar>
              <w:top w:w="80" w:type="dxa"/>
              <w:left w:w="80" w:type="dxa"/>
              <w:bottom w:w="80" w:type="dxa"/>
              <w:right w:w="80" w:type="dxa"/>
            </w:tcMar>
          </w:tcPr>
          <w:p w14:paraId="08E02935" w14:textId="00359DEF" w:rsidR="0006450A" w:rsidRPr="00BC4931" w:rsidRDefault="0006450A" w:rsidP="00B21723">
            <w:pPr>
              <w:pStyle w:val="TableColumn1bold"/>
              <w:spacing w:after="60"/>
            </w:pPr>
            <w:r w:rsidRPr="00BC4931">
              <w:t>Northern Territory</w:t>
            </w:r>
            <w:r w:rsidR="00A95C3B">
              <w:fldChar w:fldCharType="begin"/>
            </w:r>
            <w:r w:rsidR="00A95C3B">
              <w:instrText xml:space="preserve"> XE "</w:instrText>
            </w:r>
            <w:r w:rsidR="00A95C3B" w:rsidRPr="00A8269E">
              <w:instrText>Northern Territory:agency responsible</w:instrText>
            </w:r>
            <w:r w:rsidR="00A95C3B">
              <w:instrText xml:space="preserve">" </w:instrText>
            </w:r>
            <w:r w:rsidR="00A95C3B">
              <w:fldChar w:fldCharType="end"/>
            </w:r>
          </w:p>
        </w:tc>
        <w:tc>
          <w:tcPr>
            <w:tcW w:w="2421" w:type="dxa"/>
            <w:shd w:val="clear" w:color="auto" w:fill="FFC9C9"/>
            <w:tcMar>
              <w:top w:w="80" w:type="dxa"/>
              <w:left w:w="80" w:type="dxa"/>
              <w:bottom w:w="80" w:type="dxa"/>
              <w:right w:w="80" w:type="dxa"/>
            </w:tcMar>
          </w:tcPr>
          <w:p w14:paraId="1A9983D0" w14:textId="2410D470" w:rsidR="0006450A" w:rsidRPr="00BC4931" w:rsidRDefault="0006450A" w:rsidP="00B21723">
            <w:pPr>
              <w:pStyle w:val="Table7pttext"/>
              <w:spacing w:after="60"/>
            </w:pPr>
            <w:r w:rsidRPr="008D206E">
              <w:t>Department of Attorney General and Justice</w:t>
            </w:r>
            <w:r w:rsidRPr="00BC4931">
              <w:br/>
            </w:r>
            <w:hyperlink r:id="rId76" w:history="1">
              <w:r w:rsidRPr="00BC4931">
                <w:rPr>
                  <w:rStyle w:val="Hyperlink"/>
                </w:rPr>
                <w:t>NT WorkSafe</w:t>
              </w:r>
            </w:hyperlink>
          </w:p>
        </w:tc>
        <w:tc>
          <w:tcPr>
            <w:tcW w:w="2399" w:type="dxa"/>
            <w:shd w:val="clear" w:color="auto" w:fill="FFC9C9"/>
            <w:tcMar>
              <w:top w:w="80" w:type="dxa"/>
              <w:left w:w="80" w:type="dxa"/>
              <w:bottom w:w="80" w:type="dxa"/>
              <w:right w:w="80" w:type="dxa"/>
            </w:tcMar>
          </w:tcPr>
          <w:p w14:paraId="0E6286D3" w14:textId="49F84169" w:rsidR="0006450A" w:rsidRPr="00BC4931" w:rsidRDefault="000264D7" w:rsidP="00B21723">
            <w:pPr>
              <w:pStyle w:val="Table7pttext"/>
              <w:spacing w:after="60"/>
            </w:pPr>
            <w:r>
              <w:t>Private sector insurers</w:t>
            </w:r>
          </w:p>
        </w:tc>
        <w:tc>
          <w:tcPr>
            <w:tcW w:w="2878" w:type="dxa"/>
            <w:shd w:val="clear" w:color="auto" w:fill="FFC9C9"/>
            <w:tcMar>
              <w:top w:w="80" w:type="dxa"/>
              <w:left w:w="80" w:type="dxa"/>
              <w:bottom w:w="80" w:type="dxa"/>
              <w:right w:w="80" w:type="dxa"/>
            </w:tcMar>
          </w:tcPr>
          <w:p w14:paraId="74DB1255" w14:textId="08AE1510" w:rsidR="0006450A" w:rsidRPr="00BC4931" w:rsidRDefault="0006450A" w:rsidP="00B21723">
            <w:pPr>
              <w:pStyle w:val="Table7pttext"/>
              <w:spacing w:after="60"/>
            </w:pPr>
            <w:r>
              <w:t>4</w:t>
            </w:r>
            <w:r w:rsidR="000264D7">
              <w:t xml:space="preserve"> private sector insurers</w:t>
            </w:r>
          </w:p>
        </w:tc>
        <w:tc>
          <w:tcPr>
            <w:tcW w:w="2638" w:type="dxa"/>
            <w:shd w:val="clear" w:color="auto" w:fill="FFC9C9"/>
            <w:tcMar>
              <w:top w:w="80" w:type="dxa"/>
              <w:left w:w="80" w:type="dxa"/>
              <w:bottom w:w="80" w:type="dxa"/>
              <w:right w:w="80" w:type="dxa"/>
            </w:tcMar>
          </w:tcPr>
          <w:p w14:paraId="135B443D" w14:textId="2709C84D" w:rsidR="0006450A" w:rsidRPr="000D3217" w:rsidRDefault="00A7538C" w:rsidP="00B21723">
            <w:pPr>
              <w:pStyle w:val="Table7pttext"/>
              <w:spacing w:after="60"/>
              <w:rPr>
                <w:i/>
              </w:rPr>
            </w:pPr>
            <w:hyperlink r:id="rId77" w:history="1">
              <w:r w:rsidR="0006450A" w:rsidRPr="000D3217">
                <w:rPr>
                  <w:rStyle w:val="Hyperlink"/>
                  <w:i/>
                </w:rPr>
                <w:t>Return to Work Act</w:t>
              </w:r>
            </w:hyperlink>
          </w:p>
        </w:tc>
        <w:tc>
          <w:tcPr>
            <w:tcW w:w="3414" w:type="dxa"/>
            <w:shd w:val="clear" w:color="auto" w:fill="FFC9C9"/>
            <w:tcMar>
              <w:top w:w="80" w:type="dxa"/>
              <w:left w:w="80" w:type="dxa"/>
              <w:bottom w:w="80" w:type="dxa"/>
              <w:right w:w="80" w:type="dxa"/>
            </w:tcMar>
          </w:tcPr>
          <w:p w14:paraId="2F55874B" w14:textId="470C7055" w:rsidR="0006450A" w:rsidRPr="00BC4931" w:rsidRDefault="0006450A" w:rsidP="00B21723">
            <w:pPr>
              <w:pStyle w:val="Table7pttext"/>
              <w:spacing w:after="60"/>
            </w:pPr>
            <w:r w:rsidRPr="00BC4931">
              <w:t>Mediation coordinated by</w:t>
            </w:r>
            <w:r w:rsidR="00F84CCD">
              <w:t xml:space="preserve"> NT WorkSafe. Work Health Court</w:t>
            </w:r>
          </w:p>
        </w:tc>
      </w:tr>
      <w:tr w:rsidR="0006450A" w:rsidRPr="00BC4931" w14:paraId="6CAE5091" w14:textId="77777777" w:rsidTr="004D25DF">
        <w:tc>
          <w:tcPr>
            <w:tcW w:w="1626" w:type="dxa"/>
            <w:tcMar>
              <w:top w:w="80" w:type="dxa"/>
              <w:left w:w="80" w:type="dxa"/>
              <w:bottom w:w="80" w:type="dxa"/>
              <w:right w:w="80" w:type="dxa"/>
            </w:tcMar>
          </w:tcPr>
          <w:p w14:paraId="09BF8933" w14:textId="77777777" w:rsidR="0006450A" w:rsidRPr="00BC4931" w:rsidRDefault="0006450A" w:rsidP="00B21723">
            <w:pPr>
              <w:pStyle w:val="TableColumn1bold"/>
              <w:spacing w:after="60"/>
            </w:pPr>
            <w:r w:rsidRPr="00BC4931">
              <w:t>Australian Capital Territory</w:t>
            </w:r>
            <w:r w:rsidR="00F468D9">
              <w:fldChar w:fldCharType="begin"/>
            </w:r>
            <w:r w:rsidR="00F468D9">
              <w:instrText xml:space="preserve"> XE "</w:instrText>
            </w:r>
            <w:r w:rsidR="00F468D9" w:rsidRPr="00D40137">
              <w:instrText>Australian Capital Territory:agency responsible</w:instrText>
            </w:r>
            <w:r w:rsidR="00F468D9">
              <w:instrText xml:space="preserve">" </w:instrText>
            </w:r>
            <w:r w:rsidR="00F468D9">
              <w:fldChar w:fldCharType="end"/>
            </w:r>
          </w:p>
        </w:tc>
        <w:tc>
          <w:tcPr>
            <w:tcW w:w="2421" w:type="dxa"/>
            <w:tcMar>
              <w:top w:w="80" w:type="dxa"/>
              <w:left w:w="80" w:type="dxa"/>
              <w:bottom w:w="80" w:type="dxa"/>
              <w:right w:w="80" w:type="dxa"/>
            </w:tcMar>
          </w:tcPr>
          <w:p w14:paraId="13FF221A" w14:textId="34B297C4" w:rsidR="0006450A" w:rsidRPr="00BC4931" w:rsidRDefault="00A7538C" w:rsidP="00B21723">
            <w:pPr>
              <w:pStyle w:val="Table7pttext"/>
              <w:spacing w:after="60"/>
            </w:pPr>
            <w:hyperlink r:id="rId78" w:history="1">
              <w:r w:rsidR="0006450A" w:rsidRPr="00BC4931">
                <w:rPr>
                  <w:rStyle w:val="Hyperlink"/>
                </w:rPr>
                <w:t>Chief Minister, Treasury and Economic Development Directorate</w:t>
              </w:r>
            </w:hyperlink>
          </w:p>
        </w:tc>
        <w:tc>
          <w:tcPr>
            <w:tcW w:w="2399" w:type="dxa"/>
            <w:tcMar>
              <w:top w:w="80" w:type="dxa"/>
              <w:left w:w="80" w:type="dxa"/>
              <w:bottom w:w="80" w:type="dxa"/>
              <w:right w:w="80" w:type="dxa"/>
            </w:tcMar>
          </w:tcPr>
          <w:p w14:paraId="3DCBF83E" w14:textId="191BC792" w:rsidR="0006450A" w:rsidRPr="00BC4931" w:rsidRDefault="000264D7" w:rsidP="00B21723">
            <w:pPr>
              <w:pStyle w:val="Table7pttext"/>
              <w:spacing w:after="60"/>
            </w:pPr>
            <w:r>
              <w:t>Private sector insurers</w:t>
            </w:r>
          </w:p>
        </w:tc>
        <w:tc>
          <w:tcPr>
            <w:tcW w:w="2878" w:type="dxa"/>
            <w:tcMar>
              <w:top w:w="80" w:type="dxa"/>
              <w:left w:w="80" w:type="dxa"/>
              <w:bottom w:w="80" w:type="dxa"/>
              <w:right w:w="80" w:type="dxa"/>
            </w:tcMar>
          </w:tcPr>
          <w:p w14:paraId="54FF3039" w14:textId="3022E76A" w:rsidR="0006450A" w:rsidRPr="00BC4931" w:rsidRDefault="0006450A" w:rsidP="00B21723">
            <w:pPr>
              <w:pStyle w:val="Table7pttext"/>
              <w:spacing w:after="60"/>
            </w:pPr>
            <w:r w:rsidRPr="00BC4931">
              <w:t>7 private sect</w:t>
            </w:r>
            <w:r w:rsidR="000264D7">
              <w:t>or insurers and 7 self-insurers</w:t>
            </w:r>
          </w:p>
        </w:tc>
        <w:tc>
          <w:tcPr>
            <w:tcW w:w="2638" w:type="dxa"/>
            <w:tcMar>
              <w:top w:w="80" w:type="dxa"/>
              <w:left w:w="80" w:type="dxa"/>
              <w:bottom w:w="80" w:type="dxa"/>
              <w:right w:w="80" w:type="dxa"/>
            </w:tcMar>
          </w:tcPr>
          <w:p w14:paraId="5CE9E268" w14:textId="3DBFD352" w:rsidR="0006450A" w:rsidRPr="000D3217" w:rsidRDefault="00A7538C" w:rsidP="00B21723">
            <w:pPr>
              <w:pStyle w:val="Table7pttext"/>
              <w:spacing w:after="60"/>
              <w:rPr>
                <w:i/>
              </w:rPr>
            </w:pPr>
            <w:hyperlink r:id="rId79" w:history="1">
              <w:r w:rsidR="003C1CE1">
                <w:rPr>
                  <w:rStyle w:val="Hyperlink"/>
                  <w:i/>
                </w:rPr>
                <w:t>Workers Compensation Act 1951</w:t>
              </w:r>
            </w:hyperlink>
          </w:p>
        </w:tc>
        <w:tc>
          <w:tcPr>
            <w:tcW w:w="3414" w:type="dxa"/>
            <w:tcMar>
              <w:top w:w="80" w:type="dxa"/>
              <w:left w:w="80" w:type="dxa"/>
              <w:bottom w:w="80" w:type="dxa"/>
              <w:right w:w="80" w:type="dxa"/>
            </w:tcMar>
          </w:tcPr>
          <w:p w14:paraId="139F989C" w14:textId="433E4418" w:rsidR="0006450A" w:rsidRPr="00BC4931" w:rsidRDefault="0006450A" w:rsidP="00B21723">
            <w:pPr>
              <w:pStyle w:val="Table7pttext"/>
              <w:spacing w:after="60"/>
            </w:pPr>
            <w:r w:rsidRPr="00BC4931">
              <w:t>Conciliation, arbitration, M</w:t>
            </w:r>
            <w:r w:rsidR="00F84CCD">
              <w:t>agistrates Court, Supreme Court</w:t>
            </w:r>
          </w:p>
        </w:tc>
      </w:tr>
      <w:tr w:rsidR="0006450A" w:rsidRPr="00BC4931" w14:paraId="52601B43" w14:textId="77777777" w:rsidTr="004D25DF">
        <w:tc>
          <w:tcPr>
            <w:tcW w:w="1626" w:type="dxa"/>
            <w:shd w:val="clear" w:color="auto" w:fill="FFC9C9"/>
            <w:tcMar>
              <w:top w:w="80" w:type="dxa"/>
              <w:left w:w="80" w:type="dxa"/>
              <w:bottom w:w="80" w:type="dxa"/>
              <w:right w:w="80" w:type="dxa"/>
            </w:tcMar>
          </w:tcPr>
          <w:p w14:paraId="7655B7D8" w14:textId="77777777" w:rsidR="0006450A" w:rsidRPr="00BC4931" w:rsidRDefault="0006450A" w:rsidP="00B21723">
            <w:pPr>
              <w:pStyle w:val="TableColumn1bold"/>
              <w:spacing w:after="60"/>
            </w:pPr>
            <w:r w:rsidRPr="00BC4931">
              <w:t>C’wealth Comcare</w:t>
            </w:r>
            <w:r w:rsidR="00C44D5D">
              <w:fldChar w:fldCharType="begin"/>
            </w:r>
            <w:r w:rsidR="00C44D5D">
              <w:instrText xml:space="preserve"> XE "</w:instrText>
            </w:r>
            <w:r w:rsidR="00C44D5D" w:rsidRPr="00897D0C">
              <w:instrText>Comcare:agencies responsible</w:instrText>
            </w:r>
            <w:r w:rsidR="00C44D5D">
              <w:instrText xml:space="preserve">" </w:instrText>
            </w:r>
            <w:r w:rsidR="00C44D5D">
              <w:fldChar w:fldCharType="end"/>
            </w:r>
          </w:p>
        </w:tc>
        <w:tc>
          <w:tcPr>
            <w:tcW w:w="2421" w:type="dxa"/>
            <w:shd w:val="clear" w:color="auto" w:fill="FFC9C9"/>
            <w:tcMar>
              <w:top w:w="80" w:type="dxa"/>
              <w:left w:w="80" w:type="dxa"/>
              <w:bottom w:w="80" w:type="dxa"/>
              <w:right w:w="80" w:type="dxa"/>
            </w:tcMar>
          </w:tcPr>
          <w:p w14:paraId="517ACC55" w14:textId="77D36B38" w:rsidR="0006450A" w:rsidRPr="00BC4931" w:rsidRDefault="0006450A" w:rsidP="0017287F">
            <w:pPr>
              <w:pStyle w:val="Table7pttext"/>
              <w:spacing w:after="60"/>
            </w:pPr>
            <w:r w:rsidRPr="000264D7">
              <w:t xml:space="preserve">Department of </w:t>
            </w:r>
            <w:r w:rsidR="0017287F">
              <w:t xml:space="preserve">Jobs and Small Business </w:t>
            </w:r>
          </w:p>
        </w:tc>
        <w:tc>
          <w:tcPr>
            <w:tcW w:w="2399" w:type="dxa"/>
            <w:shd w:val="clear" w:color="auto" w:fill="FFC9C9"/>
            <w:tcMar>
              <w:top w:w="80" w:type="dxa"/>
              <w:left w:w="80" w:type="dxa"/>
              <w:bottom w:w="80" w:type="dxa"/>
              <w:right w:w="80" w:type="dxa"/>
            </w:tcMar>
          </w:tcPr>
          <w:p w14:paraId="6EFDC440" w14:textId="7B4F3C4A" w:rsidR="0006450A" w:rsidRPr="00BC4931" w:rsidRDefault="00A7538C" w:rsidP="00B21723">
            <w:pPr>
              <w:pStyle w:val="Table7pttext"/>
              <w:spacing w:after="60"/>
            </w:pPr>
            <w:hyperlink r:id="rId80" w:history="1">
              <w:r w:rsidR="0006450A" w:rsidRPr="00BC4931">
                <w:rPr>
                  <w:rStyle w:val="Hyperlink"/>
                </w:rPr>
                <w:t>Comcare</w:t>
              </w:r>
            </w:hyperlink>
          </w:p>
        </w:tc>
        <w:tc>
          <w:tcPr>
            <w:tcW w:w="2878" w:type="dxa"/>
            <w:shd w:val="clear" w:color="auto" w:fill="FFC9C9"/>
            <w:tcMar>
              <w:top w:w="80" w:type="dxa"/>
              <w:left w:w="80" w:type="dxa"/>
              <w:bottom w:w="80" w:type="dxa"/>
              <w:right w:w="80" w:type="dxa"/>
            </w:tcMar>
          </w:tcPr>
          <w:p w14:paraId="185EB042" w14:textId="55A8988F" w:rsidR="0006450A" w:rsidRPr="00BC4931" w:rsidRDefault="0006450A" w:rsidP="0099742D">
            <w:pPr>
              <w:pStyle w:val="Table7pttext"/>
              <w:spacing w:after="60"/>
            </w:pPr>
            <w:r w:rsidRPr="00BC4931">
              <w:t>Comcare/Self-insurers and their agents.</w:t>
            </w:r>
            <w:r w:rsidRPr="00BC4931">
              <w:br/>
            </w:r>
          </w:p>
        </w:tc>
        <w:tc>
          <w:tcPr>
            <w:tcW w:w="2638" w:type="dxa"/>
            <w:shd w:val="clear" w:color="auto" w:fill="FFC9C9"/>
            <w:tcMar>
              <w:top w:w="80" w:type="dxa"/>
              <w:left w:w="80" w:type="dxa"/>
              <w:bottom w:w="80" w:type="dxa"/>
              <w:right w:w="80" w:type="dxa"/>
            </w:tcMar>
          </w:tcPr>
          <w:p w14:paraId="039C81C3" w14:textId="3BF455D7" w:rsidR="0006450A" w:rsidRPr="000D3217" w:rsidRDefault="00A7538C" w:rsidP="00B21723">
            <w:pPr>
              <w:pStyle w:val="Table7pttext"/>
              <w:spacing w:after="60"/>
              <w:rPr>
                <w:i/>
              </w:rPr>
            </w:pPr>
            <w:hyperlink r:id="rId81" w:history="1">
              <w:r w:rsidR="0006450A" w:rsidRPr="000D3217">
                <w:rPr>
                  <w:rStyle w:val="Hyperlink"/>
                  <w:i/>
                </w:rPr>
                <w:t>Safety, Rehabilitation and Compensation Act 1988</w:t>
              </w:r>
            </w:hyperlink>
          </w:p>
        </w:tc>
        <w:tc>
          <w:tcPr>
            <w:tcW w:w="3414" w:type="dxa"/>
            <w:shd w:val="clear" w:color="auto" w:fill="FFC9C9"/>
            <w:tcMar>
              <w:top w:w="80" w:type="dxa"/>
              <w:left w:w="80" w:type="dxa"/>
              <w:bottom w:w="80" w:type="dxa"/>
              <w:right w:w="80" w:type="dxa"/>
            </w:tcMar>
          </w:tcPr>
          <w:p w14:paraId="262AC8A5" w14:textId="46C7370B" w:rsidR="0006450A" w:rsidRPr="00BC4931" w:rsidRDefault="00F84CCD" w:rsidP="00B21723">
            <w:pPr>
              <w:pStyle w:val="Table7pttext"/>
              <w:spacing w:after="60"/>
            </w:pPr>
            <w:r>
              <w:t>AAT, Federal Court</w:t>
            </w:r>
          </w:p>
        </w:tc>
      </w:tr>
      <w:tr w:rsidR="0006450A" w:rsidRPr="00BC4931" w14:paraId="79B4A442" w14:textId="77777777" w:rsidTr="004D25DF">
        <w:tc>
          <w:tcPr>
            <w:tcW w:w="1626" w:type="dxa"/>
            <w:tcMar>
              <w:top w:w="80" w:type="dxa"/>
              <w:left w:w="80" w:type="dxa"/>
              <w:bottom w:w="80" w:type="dxa"/>
              <w:right w:w="80" w:type="dxa"/>
            </w:tcMar>
          </w:tcPr>
          <w:p w14:paraId="4C02B175" w14:textId="309A50A2" w:rsidR="0006450A" w:rsidRPr="00BC4931" w:rsidRDefault="0006450A" w:rsidP="00B21723">
            <w:pPr>
              <w:pStyle w:val="TableColumn1bold"/>
              <w:spacing w:after="60"/>
            </w:pPr>
            <w:r w:rsidRPr="00BC4931">
              <w:lastRenderedPageBreak/>
              <w:t>C’wealth Seacare</w:t>
            </w:r>
            <w:r w:rsidR="000B568E">
              <w:fldChar w:fldCharType="begin"/>
            </w:r>
            <w:r w:rsidR="000B568E">
              <w:instrText xml:space="preserve"> XE "</w:instrText>
            </w:r>
            <w:r w:rsidR="000B568E" w:rsidRPr="00FE6749">
              <w:instrText>Seacare:agencies responsible</w:instrText>
            </w:r>
            <w:r w:rsidR="000B568E">
              <w:instrText xml:space="preserve">" </w:instrText>
            </w:r>
            <w:r w:rsidR="000B568E">
              <w:fldChar w:fldCharType="end"/>
            </w:r>
          </w:p>
        </w:tc>
        <w:tc>
          <w:tcPr>
            <w:tcW w:w="2421" w:type="dxa"/>
            <w:tcMar>
              <w:top w:w="80" w:type="dxa"/>
              <w:left w:w="80" w:type="dxa"/>
              <w:bottom w:w="80" w:type="dxa"/>
              <w:right w:w="80" w:type="dxa"/>
            </w:tcMar>
          </w:tcPr>
          <w:p w14:paraId="1E5EA05C" w14:textId="601F2ACF" w:rsidR="0006450A" w:rsidRPr="00BC4931" w:rsidRDefault="0006450A" w:rsidP="00B21723">
            <w:pPr>
              <w:pStyle w:val="Table7pttext"/>
              <w:spacing w:after="60"/>
            </w:pPr>
            <w:r w:rsidRPr="000264D7">
              <w:t>Department of Employment</w:t>
            </w:r>
          </w:p>
        </w:tc>
        <w:tc>
          <w:tcPr>
            <w:tcW w:w="2399" w:type="dxa"/>
            <w:tcMar>
              <w:top w:w="80" w:type="dxa"/>
              <w:left w:w="80" w:type="dxa"/>
              <w:bottom w:w="80" w:type="dxa"/>
              <w:right w:w="80" w:type="dxa"/>
            </w:tcMar>
          </w:tcPr>
          <w:p w14:paraId="2F3AAE82" w14:textId="4D251338" w:rsidR="0006450A" w:rsidRPr="00BC4931" w:rsidRDefault="000264D7" w:rsidP="00B21723">
            <w:pPr>
              <w:pStyle w:val="Table7pttext"/>
              <w:spacing w:after="60"/>
            </w:pPr>
            <w:r>
              <w:t>Private sector insurers</w:t>
            </w:r>
          </w:p>
        </w:tc>
        <w:tc>
          <w:tcPr>
            <w:tcW w:w="2878" w:type="dxa"/>
            <w:tcMar>
              <w:top w:w="80" w:type="dxa"/>
              <w:left w:w="80" w:type="dxa"/>
              <w:bottom w:w="80" w:type="dxa"/>
              <w:right w:w="80" w:type="dxa"/>
            </w:tcMar>
          </w:tcPr>
          <w:p w14:paraId="794576D5" w14:textId="225F27E2" w:rsidR="0006450A" w:rsidRPr="00BC4931" w:rsidRDefault="000D3217" w:rsidP="00B21723">
            <w:pPr>
              <w:pStyle w:val="Table7pttext"/>
              <w:spacing w:after="60"/>
            </w:pPr>
            <w:r>
              <w:t>Employers/ insurers</w:t>
            </w:r>
          </w:p>
        </w:tc>
        <w:tc>
          <w:tcPr>
            <w:tcW w:w="2638" w:type="dxa"/>
            <w:tcMar>
              <w:top w:w="80" w:type="dxa"/>
              <w:left w:w="80" w:type="dxa"/>
              <w:bottom w:w="80" w:type="dxa"/>
              <w:right w:w="80" w:type="dxa"/>
            </w:tcMar>
          </w:tcPr>
          <w:p w14:paraId="78ECBFC3" w14:textId="3789C917" w:rsidR="0006450A" w:rsidRPr="000D3217" w:rsidRDefault="00A7538C" w:rsidP="00B21723">
            <w:pPr>
              <w:pStyle w:val="Table7pttext"/>
              <w:spacing w:after="60"/>
              <w:rPr>
                <w:i/>
              </w:rPr>
            </w:pPr>
            <w:hyperlink r:id="rId82" w:history="1">
              <w:r w:rsidR="0006450A" w:rsidRPr="000D3217">
                <w:rPr>
                  <w:rStyle w:val="Hyperlink"/>
                  <w:i/>
                </w:rPr>
                <w:t>Seafarers Rehabilitation and Compensation Act 1992</w:t>
              </w:r>
            </w:hyperlink>
          </w:p>
        </w:tc>
        <w:tc>
          <w:tcPr>
            <w:tcW w:w="3414" w:type="dxa"/>
            <w:tcMar>
              <w:top w:w="80" w:type="dxa"/>
              <w:left w:w="80" w:type="dxa"/>
              <w:bottom w:w="80" w:type="dxa"/>
              <w:right w:w="80" w:type="dxa"/>
            </w:tcMar>
          </w:tcPr>
          <w:p w14:paraId="2D859BBE" w14:textId="34EC0C92" w:rsidR="0006450A" w:rsidRPr="00BC4931" w:rsidRDefault="00F84CCD" w:rsidP="00B21723">
            <w:pPr>
              <w:pStyle w:val="Table7pttext"/>
              <w:spacing w:after="60"/>
            </w:pPr>
            <w:r>
              <w:t>AAT, Federal Court</w:t>
            </w:r>
          </w:p>
        </w:tc>
      </w:tr>
      <w:tr w:rsidR="0006450A" w:rsidRPr="00BC4931" w14:paraId="59F6CAE3" w14:textId="77777777" w:rsidTr="004D25DF">
        <w:tc>
          <w:tcPr>
            <w:tcW w:w="1626" w:type="dxa"/>
            <w:shd w:val="clear" w:color="auto" w:fill="FFC9C9"/>
            <w:tcMar>
              <w:top w:w="80" w:type="dxa"/>
              <w:left w:w="80" w:type="dxa"/>
              <w:bottom w:w="80" w:type="dxa"/>
              <w:right w:w="80" w:type="dxa"/>
            </w:tcMar>
          </w:tcPr>
          <w:p w14:paraId="220E68D2" w14:textId="131FB7B4" w:rsidR="0006450A" w:rsidRPr="00BC4931" w:rsidRDefault="0006450A" w:rsidP="00B21723">
            <w:pPr>
              <w:pStyle w:val="TableColumn1bold"/>
              <w:spacing w:after="60"/>
            </w:pPr>
            <w:r w:rsidRPr="00BC4931">
              <w:t>C’wealth DVA</w:t>
            </w:r>
            <w:r w:rsidR="008E6A35">
              <w:fldChar w:fldCharType="begin"/>
            </w:r>
            <w:r w:rsidR="008E6A35">
              <w:instrText xml:space="preserve"> XE "</w:instrText>
            </w:r>
            <w:r w:rsidR="008E6A35" w:rsidRPr="00E413F0">
              <w:instrText>Department of Veterans' Affairs:agencies responsible for overseeing workers' compensation</w:instrText>
            </w:r>
            <w:r w:rsidR="008E6A35">
              <w:instrText xml:space="preserve">" </w:instrText>
            </w:r>
            <w:r w:rsidR="008E6A35">
              <w:fldChar w:fldCharType="end"/>
            </w:r>
          </w:p>
        </w:tc>
        <w:tc>
          <w:tcPr>
            <w:tcW w:w="2421" w:type="dxa"/>
            <w:shd w:val="clear" w:color="auto" w:fill="FFC9C9"/>
            <w:tcMar>
              <w:top w:w="80" w:type="dxa"/>
              <w:left w:w="80" w:type="dxa"/>
              <w:bottom w:w="80" w:type="dxa"/>
              <w:right w:w="80" w:type="dxa"/>
            </w:tcMar>
          </w:tcPr>
          <w:p w14:paraId="1DD8090C" w14:textId="36C9B9FB" w:rsidR="0006450A" w:rsidRPr="00BC4931" w:rsidRDefault="0006450A" w:rsidP="00B21723">
            <w:pPr>
              <w:pStyle w:val="Table7pttext"/>
              <w:spacing w:after="60"/>
            </w:pPr>
            <w:r w:rsidRPr="00BC4931">
              <w:t>Military Rehabilitation and Compensation Commission</w:t>
            </w:r>
            <w:r w:rsidR="003B3E5B">
              <w:t xml:space="preserve"> </w:t>
            </w:r>
            <w:r w:rsidR="003B3E5B">
              <w:fldChar w:fldCharType="begin"/>
            </w:r>
            <w:r w:rsidR="003B3E5B">
              <w:instrText xml:space="preserve"> XE "</w:instrText>
            </w:r>
            <w:r w:rsidR="003B3E5B" w:rsidRPr="001854C8">
              <w:instrText>Military Rehabilitation and Compensation Commission</w:instrText>
            </w:r>
            <w:r w:rsidR="003B3E5B">
              <w:instrText xml:space="preserve">" </w:instrText>
            </w:r>
            <w:r w:rsidR="003B3E5B">
              <w:fldChar w:fldCharType="end"/>
            </w:r>
          </w:p>
        </w:tc>
        <w:tc>
          <w:tcPr>
            <w:tcW w:w="2399" w:type="dxa"/>
            <w:shd w:val="clear" w:color="auto" w:fill="FFC9C9"/>
            <w:tcMar>
              <w:top w:w="80" w:type="dxa"/>
              <w:left w:w="80" w:type="dxa"/>
              <w:bottom w:w="80" w:type="dxa"/>
              <w:right w:w="80" w:type="dxa"/>
            </w:tcMar>
          </w:tcPr>
          <w:p w14:paraId="03DFD327" w14:textId="6042F745" w:rsidR="0006450A" w:rsidRPr="00BC4931" w:rsidRDefault="0006450A" w:rsidP="00B21723">
            <w:pPr>
              <w:pStyle w:val="Table7pttext"/>
              <w:spacing w:after="60"/>
            </w:pPr>
            <w:r w:rsidRPr="00BC4931">
              <w:t>N/A</w:t>
            </w:r>
          </w:p>
        </w:tc>
        <w:tc>
          <w:tcPr>
            <w:tcW w:w="2878" w:type="dxa"/>
            <w:shd w:val="clear" w:color="auto" w:fill="FFC9C9"/>
            <w:tcMar>
              <w:top w:w="80" w:type="dxa"/>
              <w:left w:w="80" w:type="dxa"/>
              <w:bottom w:w="80" w:type="dxa"/>
              <w:right w:w="80" w:type="dxa"/>
            </w:tcMar>
          </w:tcPr>
          <w:p w14:paraId="3CB41EB7" w14:textId="1770DFB6" w:rsidR="0006450A" w:rsidRPr="00BC4931" w:rsidRDefault="00A7538C" w:rsidP="00B21723">
            <w:pPr>
              <w:pStyle w:val="Table7pttext"/>
              <w:spacing w:after="60"/>
            </w:pPr>
            <w:hyperlink r:id="rId83" w:history="1">
              <w:r w:rsidR="0006450A" w:rsidRPr="00BC4931">
                <w:rPr>
                  <w:rStyle w:val="Hyperlink"/>
                </w:rPr>
                <w:t>DVA</w:t>
              </w:r>
            </w:hyperlink>
          </w:p>
        </w:tc>
        <w:tc>
          <w:tcPr>
            <w:tcW w:w="2638" w:type="dxa"/>
            <w:shd w:val="clear" w:color="auto" w:fill="FFC9C9"/>
            <w:tcMar>
              <w:top w:w="80" w:type="dxa"/>
              <w:left w:w="80" w:type="dxa"/>
              <w:bottom w:w="80" w:type="dxa"/>
              <w:right w:w="80" w:type="dxa"/>
            </w:tcMar>
          </w:tcPr>
          <w:p w14:paraId="29816497" w14:textId="2F8E55D4" w:rsidR="0006450A" w:rsidRDefault="00A7538C" w:rsidP="00B21723">
            <w:pPr>
              <w:pStyle w:val="Table7pttext"/>
              <w:spacing w:after="60"/>
              <w:rPr>
                <w:rStyle w:val="Hyperlink"/>
                <w:i/>
              </w:rPr>
            </w:pPr>
            <w:hyperlink r:id="rId84" w:history="1">
              <w:r w:rsidR="0099742D" w:rsidRPr="00175ED0">
                <w:rPr>
                  <w:rStyle w:val="Hyperlink"/>
                  <w:i/>
                </w:rPr>
                <w:t>Safety, Rehabilitation and Compensation (Defence-related Claims) Act 1988</w:t>
              </w:r>
            </w:hyperlink>
          </w:p>
          <w:p w14:paraId="650B1803" w14:textId="3BA26971" w:rsidR="004D25DF" w:rsidRPr="004D25DF" w:rsidRDefault="00A7538C" w:rsidP="00B21723">
            <w:pPr>
              <w:pStyle w:val="Table7pttext"/>
              <w:spacing w:after="60"/>
              <w:rPr>
                <w:i/>
              </w:rPr>
            </w:pPr>
            <w:hyperlink r:id="rId85" w:history="1">
              <w:r w:rsidR="004D25DF" w:rsidRPr="004D25DF">
                <w:rPr>
                  <w:rStyle w:val="Hyperlink"/>
                  <w:i/>
                </w:rPr>
                <w:t>Military Rehabilitation and Compensation Act 2004</w:t>
              </w:r>
            </w:hyperlink>
          </w:p>
        </w:tc>
        <w:tc>
          <w:tcPr>
            <w:tcW w:w="3414" w:type="dxa"/>
            <w:shd w:val="clear" w:color="auto" w:fill="FFC9C9"/>
            <w:tcMar>
              <w:top w:w="80" w:type="dxa"/>
              <w:left w:w="80" w:type="dxa"/>
              <w:bottom w:w="80" w:type="dxa"/>
              <w:right w:w="80" w:type="dxa"/>
            </w:tcMar>
          </w:tcPr>
          <w:p w14:paraId="75A51A81" w14:textId="0BB03F7D" w:rsidR="0006450A" w:rsidRPr="00BC4931" w:rsidRDefault="00F84CCD" w:rsidP="00B21723">
            <w:pPr>
              <w:pStyle w:val="Table7pttext"/>
              <w:spacing w:after="60"/>
            </w:pPr>
            <w:r>
              <w:t>AAT, Federal Court</w:t>
            </w:r>
          </w:p>
        </w:tc>
      </w:tr>
      <w:tr w:rsidR="0006450A" w:rsidRPr="00BC4931" w14:paraId="1EF3B321" w14:textId="77777777" w:rsidTr="004D25DF">
        <w:tc>
          <w:tcPr>
            <w:tcW w:w="1626" w:type="dxa"/>
            <w:tcMar>
              <w:top w:w="80" w:type="dxa"/>
              <w:left w:w="80" w:type="dxa"/>
              <w:bottom w:w="80" w:type="dxa"/>
              <w:right w:w="80" w:type="dxa"/>
            </w:tcMar>
          </w:tcPr>
          <w:p w14:paraId="6BD24266" w14:textId="443F9B93" w:rsidR="0006450A" w:rsidRPr="00BC4931" w:rsidRDefault="0006450A" w:rsidP="00B21723">
            <w:pPr>
              <w:pStyle w:val="TableColumn1bold"/>
              <w:spacing w:after="60"/>
            </w:pPr>
            <w:r w:rsidRPr="00BC4931">
              <w:t>New Zealand</w:t>
            </w:r>
            <w:r w:rsidR="00A95C3B">
              <w:fldChar w:fldCharType="begin"/>
            </w:r>
            <w:r w:rsidR="00A95C3B">
              <w:instrText xml:space="preserve"> XE "</w:instrText>
            </w:r>
            <w:r w:rsidR="00A95C3B" w:rsidRPr="00B3216C">
              <w:instrText>New Zealand:agency responsible</w:instrText>
            </w:r>
            <w:r w:rsidR="00A95C3B">
              <w:instrText xml:space="preserve">" </w:instrText>
            </w:r>
            <w:r w:rsidR="00A95C3B">
              <w:fldChar w:fldCharType="end"/>
            </w:r>
          </w:p>
        </w:tc>
        <w:tc>
          <w:tcPr>
            <w:tcW w:w="2421" w:type="dxa"/>
            <w:tcMar>
              <w:top w:w="80" w:type="dxa"/>
              <w:left w:w="80" w:type="dxa"/>
              <w:bottom w:w="80" w:type="dxa"/>
              <w:right w:w="80" w:type="dxa"/>
            </w:tcMar>
          </w:tcPr>
          <w:p w14:paraId="7C4A3E62" w14:textId="7309F397" w:rsidR="0006450A" w:rsidRPr="00BC4931" w:rsidRDefault="00A7538C" w:rsidP="00B21723">
            <w:pPr>
              <w:pStyle w:val="Table7pttext"/>
              <w:spacing w:after="60"/>
            </w:pPr>
            <w:hyperlink r:id="rId86" w:history="1">
              <w:r w:rsidR="0006450A" w:rsidRPr="00BC4931">
                <w:rPr>
                  <w:rStyle w:val="Hyperlink"/>
                </w:rPr>
                <w:t>Ministry of Business, Innovation, and Employment</w:t>
              </w:r>
            </w:hyperlink>
            <w:r w:rsidR="0006450A" w:rsidRPr="00BC4931">
              <w:t xml:space="preserve"> (former) Department of Labour</w:t>
            </w:r>
          </w:p>
        </w:tc>
        <w:tc>
          <w:tcPr>
            <w:tcW w:w="2399" w:type="dxa"/>
            <w:tcMar>
              <w:top w:w="80" w:type="dxa"/>
              <w:left w:w="80" w:type="dxa"/>
              <w:bottom w:w="80" w:type="dxa"/>
              <w:right w:w="80" w:type="dxa"/>
            </w:tcMar>
          </w:tcPr>
          <w:p w14:paraId="47483534" w14:textId="04150E14" w:rsidR="0006450A" w:rsidRPr="00BC4931" w:rsidRDefault="00A7538C" w:rsidP="00B21723">
            <w:pPr>
              <w:pStyle w:val="Table7pttext"/>
              <w:spacing w:after="60"/>
            </w:pPr>
            <w:hyperlink r:id="rId87" w:history="1">
              <w:r w:rsidR="0006450A" w:rsidRPr="00BC4931">
                <w:rPr>
                  <w:rStyle w:val="Hyperlink"/>
                </w:rPr>
                <w:t>Accident Compensation Corporation (ACC)</w:t>
              </w:r>
            </w:hyperlink>
          </w:p>
        </w:tc>
        <w:tc>
          <w:tcPr>
            <w:tcW w:w="2878" w:type="dxa"/>
            <w:tcMar>
              <w:top w:w="80" w:type="dxa"/>
              <w:left w:w="80" w:type="dxa"/>
              <w:bottom w:w="80" w:type="dxa"/>
              <w:right w:w="80" w:type="dxa"/>
            </w:tcMar>
          </w:tcPr>
          <w:p w14:paraId="382DF29E" w14:textId="3F2206EF" w:rsidR="0006450A" w:rsidRPr="00BC4931" w:rsidRDefault="0006450A" w:rsidP="00B21723">
            <w:pPr>
              <w:pStyle w:val="Table7pttext"/>
              <w:spacing w:after="60"/>
            </w:pPr>
            <w:r w:rsidRPr="00BC4931">
              <w:t>ACC</w:t>
            </w:r>
          </w:p>
        </w:tc>
        <w:tc>
          <w:tcPr>
            <w:tcW w:w="2638" w:type="dxa"/>
            <w:tcMar>
              <w:top w:w="80" w:type="dxa"/>
              <w:left w:w="80" w:type="dxa"/>
              <w:bottom w:w="80" w:type="dxa"/>
              <w:right w:w="80" w:type="dxa"/>
            </w:tcMar>
          </w:tcPr>
          <w:p w14:paraId="55C1725C" w14:textId="7961FC89" w:rsidR="0006450A" w:rsidRPr="000D3217" w:rsidRDefault="00A7538C" w:rsidP="00B21723">
            <w:pPr>
              <w:pStyle w:val="Table7pttext"/>
              <w:spacing w:after="60"/>
              <w:rPr>
                <w:i/>
              </w:rPr>
            </w:pPr>
            <w:hyperlink r:id="rId88" w:history="1">
              <w:r w:rsidR="0006450A" w:rsidRPr="000D3217">
                <w:rPr>
                  <w:rStyle w:val="Hyperlink"/>
                  <w:i/>
                </w:rPr>
                <w:t>Accident Compensation Act 2001</w:t>
              </w:r>
            </w:hyperlink>
          </w:p>
        </w:tc>
        <w:tc>
          <w:tcPr>
            <w:tcW w:w="3414" w:type="dxa"/>
            <w:tcMar>
              <w:top w:w="80" w:type="dxa"/>
              <w:left w:w="80" w:type="dxa"/>
              <w:bottom w:w="80" w:type="dxa"/>
              <w:right w:w="80" w:type="dxa"/>
            </w:tcMar>
          </w:tcPr>
          <w:p w14:paraId="794D20E4" w14:textId="73F0AC2B" w:rsidR="0006450A" w:rsidRPr="00BC4931" w:rsidRDefault="0006450A" w:rsidP="00B21723">
            <w:pPr>
              <w:pStyle w:val="Table7pttext"/>
              <w:spacing w:after="60"/>
            </w:pPr>
            <w:r w:rsidRPr="00BC4931">
              <w:t>ACC, mediation, FairWay limited, co</w:t>
            </w:r>
            <w:r w:rsidR="00F84CCD">
              <w:t>urt system</w:t>
            </w:r>
          </w:p>
        </w:tc>
      </w:tr>
    </w:tbl>
    <w:p w14:paraId="030E8214" w14:textId="28BBEF2F" w:rsidR="00EF0F77" w:rsidRPr="00A80282" w:rsidRDefault="00EF0F77" w:rsidP="00A80282">
      <w:pPr>
        <w:pStyle w:val="SWATableheader"/>
      </w:pPr>
      <w:bookmarkStart w:id="42" w:name="_Toc504654636"/>
      <w:r w:rsidRPr="00A80282">
        <w:rPr>
          <w:rStyle w:val="TableheadingChar"/>
          <w:rFonts w:cstheme="majorBidi"/>
          <w:b/>
        </w:rPr>
        <w:lastRenderedPageBreak/>
        <w:t xml:space="preserve">Table 2.3: </w:t>
      </w:r>
      <w:r w:rsidRPr="00A80282">
        <w:t>Key</w:t>
      </w:r>
      <w:r w:rsidRPr="00A80282">
        <w:rPr>
          <w:rStyle w:val="TableheadingChar"/>
          <w:rFonts w:cstheme="majorBidi"/>
          <w:b/>
        </w:rPr>
        <w:t xml:space="preserve"> features of schemes</w:t>
      </w:r>
      <w:bookmarkEnd w:id="42"/>
      <w:r w:rsidR="00A41653" w:rsidRPr="00A80282">
        <w:fldChar w:fldCharType="begin"/>
      </w:r>
      <w:r w:rsidR="00A41653" w:rsidRPr="00A80282">
        <w:instrText xml:space="preserve"> XE "Key features of schemes" </w:instrText>
      </w:r>
      <w:r w:rsidR="00A41653" w:rsidRPr="00A80282">
        <w:fldChar w:fldCharType="end"/>
      </w:r>
      <w:r w:rsidR="000C63D9" w:rsidRPr="00A80282">
        <w:fldChar w:fldCharType="begin"/>
      </w:r>
      <w:r w:rsidR="000C63D9" w:rsidRPr="00A80282">
        <w:instrText xml:space="preserve"> XE "schemes key features" </w:instrText>
      </w:r>
      <w:r w:rsidR="000C63D9" w:rsidRPr="00A80282">
        <w:fldChar w:fldCharType="end"/>
      </w:r>
    </w:p>
    <w:tbl>
      <w:tblPr>
        <w:tblpPr w:leftFromText="180" w:rightFromText="180" w:vertAnchor="text"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3: Key features of schemes "/>
        <w:tblDescription w:val="This table specifies key parts of the workers' compensation schemes. "/>
      </w:tblPr>
      <w:tblGrid>
        <w:gridCol w:w="2127"/>
        <w:gridCol w:w="1324"/>
        <w:gridCol w:w="1325"/>
        <w:gridCol w:w="1325"/>
        <w:gridCol w:w="1325"/>
        <w:gridCol w:w="1325"/>
        <w:gridCol w:w="1325"/>
        <w:gridCol w:w="1325"/>
        <w:gridCol w:w="1325"/>
        <w:gridCol w:w="1325"/>
        <w:gridCol w:w="1325"/>
      </w:tblGrid>
      <w:tr w:rsidR="00C65EB9" w:rsidRPr="00BC4931" w14:paraId="46FE1232" w14:textId="77777777" w:rsidTr="00FB729B">
        <w:trPr>
          <w:tblHeader/>
        </w:trPr>
        <w:tc>
          <w:tcPr>
            <w:tcW w:w="2127" w:type="dxa"/>
            <w:shd w:val="clear" w:color="auto" w:fill="C00000"/>
            <w:tcMar>
              <w:top w:w="0" w:type="dxa"/>
              <w:left w:w="0" w:type="dxa"/>
              <w:bottom w:w="0" w:type="dxa"/>
              <w:right w:w="0" w:type="dxa"/>
            </w:tcMar>
            <w:vAlign w:val="center"/>
          </w:tcPr>
          <w:p w14:paraId="5EA0E985" w14:textId="77777777" w:rsidR="00EF0F77" w:rsidRPr="00BC4931" w:rsidRDefault="00EF0F77" w:rsidP="00B21723">
            <w:pPr>
              <w:pStyle w:val="Tableheaderrow"/>
              <w:spacing w:after="60"/>
            </w:pPr>
          </w:p>
        </w:tc>
        <w:tc>
          <w:tcPr>
            <w:tcW w:w="1324" w:type="dxa"/>
            <w:shd w:val="clear" w:color="auto" w:fill="C00000"/>
            <w:tcMar>
              <w:top w:w="0" w:type="dxa"/>
              <w:left w:w="0" w:type="dxa"/>
              <w:bottom w:w="0" w:type="dxa"/>
              <w:right w:w="0" w:type="dxa"/>
            </w:tcMar>
            <w:vAlign w:val="center"/>
          </w:tcPr>
          <w:p w14:paraId="5E2B6C42" w14:textId="48E448E3" w:rsidR="00EF0F77" w:rsidRPr="00BC4931" w:rsidRDefault="00EF0F77" w:rsidP="00B21723">
            <w:pPr>
              <w:pStyle w:val="Tableheaderrow"/>
              <w:spacing w:after="60"/>
            </w:pPr>
            <w:r w:rsidRPr="00BC4931">
              <w:t>New South Wales</w:t>
            </w:r>
            <w:r w:rsidR="003B3E5B">
              <w:fldChar w:fldCharType="begin"/>
            </w:r>
            <w:r w:rsidR="003B3E5B">
              <w:instrText xml:space="preserve"> XE "</w:instrText>
            </w:r>
            <w:r w:rsidR="003B3E5B" w:rsidRPr="00B5750C">
              <w:instrText>New South Wales:scheme key features</w:instrText>
            </w:r>
            <w:r w:rsidR="003B3E5B">
              <w:instrText xml:space="preserve">" </w:instrText>
            </w:r>
            <w:r w:rsidR="003B3E5B">
              <w:fldChar w:fldCharType="end"/>
            </w:r>
          </w:p>
        </w:tc>
        <w:tc>
          <w:tcPr>
            <w:tcW w:w="1325" w:type="dxa"/>
            <w:shd w:val="clear" w:color="auto" w:fill="C00000"/>
            <w:tcMar>
              <w:top w:w="0" w:type="dxa"/>
              <w:left w:w="0" w:type="dxa"/>
              <w:bottom w:w="0" w:type="dxa"/>
              <w:right w:w="0" w:type="dxa"/>
            </w:tcMar>
            <w:vAlign w:val="center"/>
          </w:tcPr>
          <w:p w14:paraId="42E501C2" w14:textId="77777777" w:rsidR="00EF0F77" w:rsidRPr="00BC4931" w:rsidRDefault="00EF0F77" w:rsidP="00B21723">
            <w:pPr>
              <w:pStyle w:val="Tableheaderrow"/>
              <w:spacing w:after="60"/>
            </w:pPr>
            <w:r w:rsidRPr="00BC4931">
              <w:t>Victoria</w:t>
            </w:r>
            <w:r w:rsidR="00DA6564">
              <w:fldChar w:fldCharType="begin"/>
            </w:r>
            <w:r w:rsidR="00DA6564">
              <w:instrText xml:space="preserve"> XE "</w:instrText>
            </w:r>
            <w:r w:rsidR="00DA6564" w:rsidRPr="001C2BA8">
              <w:instrText>Victoria:scheme key features</w:instrText>
            </w:r>
            <w:r w:rsidR="00DA6564">
              <w:instrText xml:space="preserve">" </w:instrText>
            </w:r>
            <w:r w:rsidR="00DA6564">
              <w:fldChar w:fldCharType="end"/>
            </w:r>
          </w:p>
        </w:tc>
        <w:tc>
          <w:tcPr>
            <w:tcW w:w="1325" w:type="dxa"/>
            <w:shd w:val="clear" w:color="auto" w:fill="C00000"/>
            <w:tcMar>
              <w:top w:w="0" w:type="dxa"/>
              <w:left w:w="0" w:type="dxa"/>
              <w:bottom w:w="0" w:type="dxa"/>
              <w:right w:w="0" w:type="dxa"/>
            </w:tcMar>
            <w:vAlign w:val="center"/>
          </w:tcPr>
          <w:p w14:paraId="66814AE3" w14:textId="77777777" w:rsidR="00EF0F77" w:rsidRPr="00BC4931" w:rsidRDefault="00EF0F77" w:rsidP="00B21723">
            <w:pPr>
              <w:pStyle w:val="Tableheaderrow"/>
              <w:spacing w:after="60"/>
            </w:pPr>
            <w:r w:rsidRPr="00BC4931">
              <w:t>Queensland</w:t>
            </w:r>
            <w:r w:rsidR="00B653B7">
              <w:fldChar w:fldCharType="begin"/>
            </w:r>
            <w:r w:rsidR="00B653B7">
              <w:instrText xml:space="preserve"> XE "</w:instrText>
            </w:r>
            <w:r w:rsidR="00B653B7" w:rsidRPr="00BC354C">
              <w:instrText>Queensland:scheme key features</w:instrText>
            </w:r>
            <w:r w:rsidR="00B653B7">
              <w:instrText xml:space="preserve">" </w:instrText>
            </w:r>
            <w:r w:rsidR="00B653B7">
              <w:fldChar w:fldCharType="end"/>
            </w:r>
          </w:p>
        </w:tc>
        <w:tc>
          <w:tcPr>
            <w:tcW w:w="1325" w:type="dxa"/>
            <w:shd w:val="clear" w:color="auto" w:fill="C00000"/>
            <w:tcMar>
              <w:top w:w="0" w:type="dxa"/>
              <w:left w:w="0" w:type="dxa"/>
              <w:bottom w:w="0" w:type="dxa"/>
              <w:right w:w="0" w:type="dxa"/>
            </w:tcMar>
            <w:vAlign w:val="center"/>
          </w:tcPr>
          <w:p w14:paraId="0922D763" w14:textId="39AFD79A" w:rsidR="00EF0F77" w:rsidRPr="00BC4931" w:rsidRDefault="00EF0F77" w:rsidP="00B21723">
            <w:pPr>
              <w:pStyle w:val="Tableheaderrow"/>
              <w:spacing w:after="60"/>
            </w:pPr>
            <w:r w:rsidRPr="00BC4931">
              <w:t>Western Australia</w:t>
            </w:r>
            <w:r w:rsidR="00232E14">
              <w:fldChar w:fldCharType="begin"/>
            </w:r>
            <w:r w:rsidR="00232E14">
              <w:instrText xml:space="preserve"> XE "</w:instrText>
            </w:r>
            <w:r w:rsidR="00232E14" w:rsidRPr="00B922A7">
              <w:instrText>Western Australia:scheme key features</w:instrText>
            </w:r>
            <w:r w:rsidR="00232E14">
              <w:instrText xml:space="preserve">" </w:instrText>
            </w:r>
            <w:r w:rsidR="00232E14">
              <w:fldChar w:fldCharType="end"/>
            </w:r>
          </w:p>
        </w:tc>
        <w:tc>
          <w:tcPr>
            <w:tcW w:w="1325" w:type="dxa"/>
            <w:shd w:val="clear" w:color="auto" w:fill="C00000"/>
            <w:tcMar>
              <w:top w:w="0" w:type="dxa"/>
              <w:left w:w="0" w:type="dxa"/>
              <w:bottom w:w="0" w:type="dxa"/>
              <w:right w:w="0" w:type="dxa"/>
            </w:tcMar>
            <w:vAlign w:val="center"/>
          </w:tcPr>
          <w:p w14:paraId="18AD9A2E" w14:textId="3540A9C7" w:rsidR="00EF0F77" w:rsidRPr="00BC4931" w:rsidRDefault="00EF0F77" w:rsidP="00B21723">
            <w:pPr>
              <w:pStyle w:val="Tableheaderrow"/>
              <w:spacing w:after="60"/>
            </w:pPr>
            <w:r w:rsidRPr="00BC4931">
              <w:t>South Australia</w:t>
            </w:r>
            <w:r w:rsidR="007E7520">
              <w:fldChar w:fldCharType="begin"/>
            </w:r>
            <w:r w:rsidR="007E7520">
              <w:instrText xml:space="preserve"> XE "</w:instrText>
            </w:r>
            <w:r w:rsidR="007E7520" w:rsidRPr="00235955">
              <w:instrText>South Australia:scheme key features</w:instrText>
            </w:r>
            <w:r w:rsidR="007E7520">
              <w:instrText xml:space="preserve">" </w:instrText>
            </w:r>
            <w:r w:rsidR="007E7520">
              <w:fldChar w:fldCharType="end"/>
            </w:r>
          </w:p>
        </w:tc>
        <w:tc>
          <w:tcPr>
            <w:tcW w:w="1325" w:type="dxa"/>
            <w:shd w:val="clear" w:color="auto" w:fill="C00000"/>
            <w:tcMar>
              <w:top w:w="0" w:type="dxa"/>
              <w:left w:w="0" w:type="dxa"/>
              <w:bottom w:w="0" w:type="dxa"/>
              <w:right w:w="0" w:type="dxa"/>
            </w:tcMar>
            <w:vAlign w:val="center"/>
          </w:tcPr>
          <w:p w14:paraId="57008670" w14:textId="77777777" w:rsidR="00EF0F77" w:rsidRPr="00BC4931" w:rsidRDefault="00EF0F77" w:rsidP="00B21723">
            <w:pPr>
              <w:pStyle w:val="Tableheaderrow"/>
              <w:spacing w:after="60"/>
            </w:pPr>
            <w:r w:rsidRPr="00BC4931">
              <w:t>Tasmania</w:t>
            </w:r>
            <w:r w:rsidR="0093517C">
              <w:fldChar w:fldCharType="begin"/>
            </w:r>
            <w:r w:rsidR="0093517C">
              <w:instrText xml:space="preserve"> XE "</w:instrText>
            </w:r>
            <w:r w:rsidR="0093517C" w:rsidRPr="008F4555">
              <w:instrText>Tasmania:scheme key features</w:instrText>
            </w:r>
            <w:r w:rsidR="0093517C">
              <w:instrText xml:space="preserve">" </w:instrText>
            </w:r>
            <w:r w:rsidR="0093517C">
              <w:fldChar w:fldCharType="end"/>
            </w:r>
          </w:p>
        </w:tc>
        <w:tc>
          <w:tcPr>
            <w:tcW w:w="1325" w:type="dxa"/>
            <w:shd w:val="clear" w:color="auto" w:fill="C00000"/>
            <w:tcMar>
              <w:top w:w="0" w:type="dxa"/>
              <w:left w:w="0" w:type="dxa"/>
              <w:bottom w:w="0" w:type="dxa"/>
              <w:right w:w="0" w:type="dxa"/>
            </w:tcMar>
            <w:vAlign w:val="center"/>
          </w:tcPr>
          <w:p w14:paraId="4A326B93" w14:textId="6598DD3C" w:rsidR="00EF0F77" w:rsidRPr="00BC4931" w:rsidRDefault="00EF0F77" w:rsidP="00B21723">
            <w:pPr>
              <w:pStyle w:val="Tableheaderrow"/>
              <w:spacing w:after="60"/>
            </w:pPr>
            <w:r w:rsidRPr="00BC4931">
              <w:t>Northern Territory</w:t>
            </w:r>
            <w:r w:rsidR="00A95C3B">
              <w:fldChar w:fldCharType="begin"/>
            </w:r>
            <w:r w:rsidR="00A95C3B">
              <w:instrText xml:space="preserve"> XE "</w:instrText>
            </w:r>
            <w:r w:rsidR="00A95C3B" w:rsidRPr="00B529E0">
              <w:instrText>Northern Territory:scheme key features</w:instrText>
            </w:r>
            <w:r w:rsidR="00A95C3B">
              <w:instrText xml:space="preserve">" </w:instrText>
            </w:r>
            <w:r w:rsidR="00A95C3B">
              <w:fldChar w:fldCharType="end"/>
            </w:r>
          </w:p>
        </w:tc>
        <w:tc>
          <w:tcPr>
            <w:tcW w:w="1325" w:type="dxa"/>
            <w:shd w:val="clear" w:color="auto" w:fill="C00000"/>
            <w:tcMar>
              <w:top w:w="0" w:type="dxa"/>
              <w:left w:w="0" w:type="dxa"/>
              <w:bottom w:w="0" w:type="dxa"/>
              <w:right w:w="0" w:type="dxa"/>
            </w:tcMar>
            <w:vAlign w:val="center"/>
          </w:tcPr>
          <w:p w14:paraId="0B55CE08" w14:textId="77777777" w:rsidR="00EF0F77" w:rsidRPr="00BC4931" w:rsidRDefault="00EF0F77" w:rsidP="00B21723">
            <w:pPr>
              <w:pStyle w:val="Tableheaderrow"/>
              <w:spacing w:after="60"/>
            </w:pPr>
            <w:r w:rsidRPr="00BC4931">
              <w:t>Australian Capital Territory</w:t>
            </w:r>
            <w:r w:rsidR="00F468D9">
              <w:fldChar w:fldCharType="begin"/>
            </w:r>
            <w:r w:rsidR="00F468D9">
              <w:instrText xml:space="preserve"> XE "</w:instrText>
            </w:r>
            <w:r w:rsidR="00F468D9" w:rsidRPr="005E7D43">
              <w:instrText>Australian Capital Territory:scheme key features</w:instrText>
            </w:r>
            <w:r w:rsidR="00F468D9">
              <w:instrText xml:space="preserve">" </w:instrText>
            </w:r>
            <w:r w:rsidR="00F468D9">
              <w:fldChar w:fldCharType="end"/>
            </w:r>
          </w:p>
        </w:tc>
        <w:tc>
          <w:tcPr>
            <w:tcW w:w="1325" w:type="dxa"/>
            <w:shd w:val="clear" w:color="auto" w:fill="C00000"/>
            <w:tcMar>
              <w:top w:w="0" w:type="dxa"/>
              <w:left w:w="0" w:type="dxa"/>
              <w:bottom w:w="0" w:type="dxa"/>
              <w:right w:w="0" w:type="dxa"/>
            </w:tcMar>
            <w:vAlign w:val="center"/>
          </w:tcPr>
          <w:p w14:paraId="75CDC465" w14:textId="77777777" w:rsidR="00EF0F77" w:rsidRPr="00BC4931" w:rsidRDefault="00EF0F77" w:rsidP="00B21723">
            <w:pPr>
              <w:pStyle w:val="Tableheaderrow"/>
              <w:spacing w:after="60"/>
            </w:pPr>
            <w:r w:rsidRPr="00BC4931">
              <w:t>C’wealth</w:t>
            </w:r>
            <w:r w:rsidR="00C44D5D">
              <w:fldChar w:fldCharType="begin"/>
            </w:r>
            <w:r w:rsidR="00C44D5D">
              <w:instrText xml:space="preserve"> XE "</w:instrText>
            </w:r>
            <w:r w:rsidR="00C44D5D" w:rsidRPr="00B472CE">
              <w:instrText>Comcare:scheme key features</w:instrText>
            </w:r>
            <w:r w:rsidR="00C44D5D">
              <w:instrText xml:space="preserve">" </w:instrText>
            </w:r>
            <w:r w:rsidR="00C44D5D">
              <w:fldChar w:fldCharType="end"/>
            </w:r>
          </w:p>
        </w:tc>
        <w:tc>
          <w:tcPr>
            <w:tcW w:w="1325" w:type="dxa"/>
            <w:shd w:val="clear" w:color="auto" w:fill="C00000"/>
            <w:tcMar>
              <w:top w:w="0" w:type="dxa"/>
              <w:left w:w="0" w:type="dxa"/>
              <w:bottom w:w="0" w:type="dxa"/>
              <w:right w:w="0" w:type="dxa"/>
            </w:tcMar>
            <w:vAlign w:val="center"/>
          </w:tcPr>
          <w:p w14:paraId="71F45F6F" w14:textId="717AA536" w:rsidR="00EF0F77" w:rsidRPr="00BC4931" w:rsidRDefault="00EF0F77" w:rsidP="00B21723">
            <w:pPr>
              <w:pStyle w:val="Tableheaderrow"/>
              <w:spacing w:after="60"/>
            </w:pPr>
            <w:r w:rsidRPr="00BC4931">
              <w:t>New Zealand</w:t>
            </w:r>
            <w:r w:rsidR="00A95C3B">
              <w:fldChar w:fldCharType="begin"/>
            </w:r>
            <w:r w:rsidR="00A95C3B">
              <w:instrText xml:space="preserve"> XE "</w:instrText>
            </w:r>
            <w:r w:rsidR="00A95C3B" w:rsidRPr="00B42E4C">
              <w:instrText>New Zealand:scheme key features</w:instrText>
            </w:r>
            <w:r w:rsidR="00A95C3B">
              <w:instrText xml:space="preserve">" </w:instrText>
            </w:r>
            <w:r w:rsidR="00A95C3B">
              <w:fldChar w:fldCharType="end"/>
            </w:r>
          </w:p>
        </w:tc>
      </w:tr>
      <w:tr w:rsidR="00C65EB9" w:rsidRPr="00BC4931" w14:paraId="2B87275D" w14:textId="77777777" w:rsidTr="00FB729B">
        <w:tc>
          <w:tcPr>
            <w:tcW w:w="2127" w:type="dxa"/>
            <w:shd w:val="clear" w:color="auto" w:fill="FFC9C9"/>
            <w:tcMar>
              <w:top w:w="80" w:type="dxa"/>
              <w:left w:w="80" w:type="dxa"/>
              <w:bottom w:w="80" w:type="dxa"/>
              <w:right w:w="80" w:type="dxa"/>
            </w:tcMar>
          </w:tcPr>
          <w:p w14:paraId="1C0CDF29" w14:textId="5BEB1CA5" w:rsidR="00EF0F77" w:rsidRPr="00BC4931" w:rsidRDefault="00EF0F77" w:rsidP="00B21723">
            <w:pPr>
              <w:pStyle w:val="TableColumn1bold"/>
              <w:spacing w:after="60"/>
            </w:pPr>
            <w:r w:rsidRPr="00BC4931">
              <w:t>Employees covered for workers’ compensation (201</w:t>
            </w:r>
            <w:r w:rsidR="008850C4">
              <w:t>6</w:t>
            </w:r>
            <w:r w:rsidRPr="00BC4931">
              <w:t>–1</w:t>
            </w:r>
            <w:r w:rsidR="008850C4">
              <w:t>7</w:t>
            </w:r>
            <w:r w:rsidRPr="00BC4931">
              <w:t>)</w:t>
            </w:r>
          </w:p>
        </w:tc>
        <w:tc>
          <w:tcPr>
            <w:tcW w:w="1324" w:type="dxa"/>
            <w:shd w:val="clear" w:color="auto" w:fill="FFC9C9"/>
            <w:tcMar>
              <w:top w:w="80" w:type="dxa"/>
              <w:left w:w="80" w:type="dxa"/>
              <w:bottom w:w="80" w:type="dxa"/>
              <w:right w:w="80" w:type="dxa"/>
            </w:tcMar>
          </w:tcPr>
          <w:p w14:paraId="34D9D6F3" w14:textId="380AF193" w:rsidR="00EF0F77" w:rsidRPr="00BC4931" w:rsidRDefault="00BA7F06" w:rsidP="00B21723">
            <w:pPr>
              <w:pStyle w:val="Table7pttext"/>
              <w:spacing w:after="60"/>
            </w:pPr>
            <w:r>
              <w:t>3</w:t>
            </w:r>
            <w:r w:rsidR="00F10134">
              <w:t>,482,439</w:t>
            </w:r>
          </w:p>
        </w:tc>
        <w:tc>
          <w:tcPr>
            <w:tcW w:w="1325" w:type="dxa"/>
            <w:shd w:val="clear" w:color="auto" w:fill="FFC9C9"/>
            <w:tcMar>
              <w:top w:w="80" w:type="dxa"/>
              <w:left w:w="80" w:type="dxa"/>
              <w:bottom w:w="80" w:type="dxa"/>
              <w:right w:w="80" w:type="dxa"/>
            </w:tcMar>
          </w:tcPr>
          <w:p w14:paraId="241804D1" w14:textId="2A584354" w:rsidR="00EF0F77" w:rsidRPr="00BC4931" w:rsidRDefault="00F10134" w:rsidP="00B21723">
            <w:pPr>
              <w:pStyle w:val="Table7pttext"/>
              <w:spacing w:after="60"/>
            </w:pPr>
            <w:r>
              <w:t>2,879,730</w:t>
            </w:r>
          </w:p>
        </w:tc>
        <w:tc>
          <w:tcPr>
            <w:tcW w:w="1325" w:type="dxa"/>
            <w:shd w:val="clear" w:color="auto" w:fill="FFC9C9"/>
            <w:tcMar>
              <w:top w:w="80" w:type="dxa"/>
              <w:left w:w="80" w:type="dxa"/>
              <w:bottom w:w="80" w:type="dxa"/>
              <w:right w:w="80" w:type="dxa"/>
            </w:tcMar>
          </w:tcPr>
          <w:p w14:paraId="487D85EA" w14:textId="1142304B" w:rsidR="00EF0F77" w:rsidRPr="00BC4931" w:rsidRDefault="00F10134" w:rsidP="00B21723">
            <w:pPr>
              <w:pStyle w:val="Table7pttext"/>
              <w:spacing w:after="60"/>
            </w:pPr>
            <w:r>
              <w:t>2,182,516</w:t>
            </w:r>
          </w:p>
        </w:tc>
        <w:tc>
          <w:tcPr>
            <w:tcW w:w="1325" w:type="dxa"/>
            <w:shd w:val="clear" w:color="auto" w:fill="FFC9C9"/>
            <w:tcMar>
              <w:top w:w="80" w:type="dxa"/>
              <w:left w:w="80" w:type="dxa"/>
              <w:bottom w:w="80" w:type="dxa"/>
              <w:right w:w="80" w:type="dxa"/>
            </w:tcMar>
          </w:tcPr>
          <w:p w14:paraId="1287407F" w14:textId="38B24B15" w:rsidR="00EF0F77" w:rsidRPr="00BC4931" w:rsidRDefault="00F10134" w:rsidP="00B21723">
            <w:pPr>
              <w:pStyle w:val="Table7pttext"/>
              <w:spacing w:after="60"/>
            </w:pPr>
            <w:r>
              <w:t>1,211,769</w:t>
            </w:r>
          </w:p>
        </w:tc>
        <w:tc>
          <w:tcPr>
            <w:tcW w:w="1325" w:type="dxa"/>
            <w:shd w:val="clear" w:color="auto" w:fill="FFC9C9"/>
            <w:tcMar>
              <w:top w:w="80" w:type="dxa"/>
              <w:left w:w="80" w:type="dxa"/>
              <w:bottom w:w="80" w:type="dxa"/>
              <w:right w:w="80" w:type="dxa"/>
            </w:tcMar>
          </w:tcPr>
          <w:p w14:paraId="69C1FD7C" w14:textId="2CEC339B" w:rsidR="00EF0F77" w:rsidRPr="00BC4931" w:rsidRDefault="00F10134" w:rsidP="00B21723">
            <w:pPr>
              <w:pStyle w:val="Table7pttext"/>
              <w:spacing w:after="60"/>
            </w:pPr>
            <w:r>
              <w:t>752,046</w:t>
            </w:r>
          </w:p>
        </w:tc>
        <w:tc>
          <w:tcPr>
            <w:tcW w:w="1325" w:type="dxa"/>
            <w:shd w:val="clear" w:color="auto" w:fill="FFC9C9"/>
            <w:tcMar>
              <w:top w:w="80" w:type="dxa"/>
              <w:left w:w="80" w:type="dxa"/>
              <w:bottom w:w="80" w:type="dxa"/>
              <w:right w:w="80" w:type="dxa"/>
            </w:tcMar>
          </w:tcPr>
          <w:p w14:paraId="52266479" w14:textId="430AFE30" w:rsidR="00EF0F77" w:rsidRPr="00BC4931" w:rsidRDefault="00F10134" w:rsidP="00B21723">
            <w:pPr>
              <w:pStyle w:val="Table7pttext"/>
              <w:spacing w:after="60"/>
            </w:pPr>
            <w:r>
              <w:t>218,994</w:t>
            </w:r>
          </w:p>
        </w:tc>
        <w:tc>
          <w:tcPr>
            <w:tcW w:w="1325" w:type="dxa"/>
            <w:shd w:val="clear" w:color="auto" w:fill="FFC9C9"/>
            <w:tcMar>
              <w:top w:w="80" w:type="dxa"/>
              <w:left w:w="80" w:type="dxa"/>
              <w:bottom w:w="80" w:type="dxa"/>
              <w:right w:w="80" w:type="dxa"/>
            </w:tcMar>
          </w:tcPr>
          <w:p w14:paraId="25E95B69" w14:textId="7FDD9738" w:rsidR="00EF0F77" w:rsidRPr="00BC4931" w:rsidRDefault="00F10134" w:rsidP="00B21723">
            <w:pPr>
              <w:pStyle w:val="Table7pttext"/>
              <w:spacing w:after="60"/>
            </w:pPr>
            <w:r>
              <w:t>140,423</w:t>
            </w:r>
          </w:p>
        </w:tc>
        <w:tc>
          <w:tcPr>
            <w:tcW w:w="1325" w:type="dxa"/>
            <w:shd w:val="clear" w:color="auto" w:fill="FFC9C9"/>
            <w:tcMar>
              <w:top w:w="80" w:type="dxa"/>
              <w:left w:w="80" w:type="dxa"/>
              <w:bottom w:w="80" w:type="dxa"/>
              <w:right w:w="80" w:type="dxa"/>
            </w:tcMar>
          </w:tcPr>
          <w:p w14:paraId="0464A2BD" w14:textId="6186C5C6" w:rsidR="00EF0F77" w:rsidRDefault="00F10134" w:rsidP="00B21723">
            <w:pPr>
              <w:pStyle w:val="Table7pttext"/>
              <w:spacing w:after="60"/>
            </w:pPr>
            <w:r>
              <w:t>143,406</w:t>
            </w:r>
          </w:p>
          <w:p w14:paraId="23C3ED1A" w14:textId="2548CAB6" w:rsidR="00EF0F77" w:rsidRPr="00BC4931" w:rsidRDefault="00E01D0F" w:rsidP="00B21723">
            <w:pPr>
              <w:pStyle w:val="Table7pttext"/>
              <w:spacing w:after="60"/>
            </w:pPr>
            <w:r>
              <w:t>Private Sector Workforce</w:t>
            </w:r>
          </w:p>
        </w:tc>
        <w:tc>
          <w:tcPr>
            <w:tcW w:w="1325" w:type="dxa"/>
            <w:shd w:val="clear" w:color="auto" w:fill="FFC9C9"/>
            <w:tcMar>
              <w:top w:w="80" w:type="dxa"/>
              <w:left w:w="80" w:type="dxa"/>
              <w:bottom w:w="80" w:type="dxa"/>
              <w:right w:w="80" w:type="dxa"/>
            </w:tcMar>
          </w:tcPr>
          <w:p w14:paraId="2E6BBA04" w14:textId="0B26475A" w:rsidR="00EF0F77" w:rsidRPr="00BC4931" w:rsidRDefault="00F10134" w:rsidP="00B21723">
            <w:pPr>
              <w:pStyle w:val="Table7pttext"/>
              <w:spacing w:after="60"/>
            </w:pPr>
            <w:r>
              <w:t>407,111</w:t>
            </w:r>
          </w:p>
        </w:tc>
        <w:tc>
          <w:tcPr>
            <w:tcW w:w="1325" w:type="dxa"/>
            <w:shd w:val="clear" w:color="auto" w:fill="FFC9C9"/>
            <w:tcMar>
              <w:top w:w="80" w:type="dxa"/>
              <w:left w:w="80" w:type="dxa"/>
              <w:bottom w:w="80" w:type="dxa"/>
              <w:right w:w="80" w:type="dxa"/>
            </w:tcMar>
          </w:tcPr>
          <w:p w14:paraId="75CBEE70" w14:textId="7131A9FC" w:rsidR="00EF0F77" w:rsidRPr="00BC4931" w:rsidRDefault="00F10134" w:rsidP="00B21723">
            <w:pPr>
              <w:pStyle w:val="Table7pttext"/>
              <w:spacing w:after="60"/>
              <w:rPr>
                <w:highlight w:val="yellow"/>
              </w:rPr>
            </w:pPr>
            <w:r>
              <w:t>1,885,002</w:t>
            </w:r>
          </w:p>
        </w:tc>
      </w:tr>
      <w:tr w:rsidR="00EF0F77" w:rsidRPr="00BC4931" w14:paraId="7A9C6E4B" w14:textId="77777777" w:rsidTr="00FB729B">
        <w:tc>
          <w:tcPr>
            <w:tcW w:w="2127" w:type="dxa"/>
            <w:tcMar>
              <w:top w:w="80" w:type="dxa"/>
              <w:left w:w="80" w:type="dxa"/>
              <w:bottom w:w="80" w:type="dxa"/>
              <w:right w:w="80" w:type="dxa"/>
            </w:tcMar>
          </w:tcPr>
          <w:p w14:paraId="7AFDEB2E" w14:textId="72899883" w:rsidR="00EF0F77" w:rsidRPr="00BC4931" w:rsidRDefault="00EF0F77" w:rsidP="007E7640">
            <w:pPr>
              <w:pStyle w:val="TableColumn1bold"/>
              <w:spacing w:after="60"/>
            </w:pPr>
            <w:r w:rsidRPr="00BC4931">
              <w:t>Number of serious claims with one week or more incapacity (201</w:t>
            </w:r>
            <w:r w:rsidR="008850C4">
              <w:t>6</w:t>
            </w:r>
            <w:r w:rsidRPr="00BC4931">
              <w:t>–1</w:t>
            </w:r>
            <w:r w:rsidR="008850C4">
              <w:t>7</w:t>
            </w:r>
            <w:r w:rsidRPr="00BC4931">
              <w:t>)</w:t>
            </w:r>
          </w:p>
        </w:tc>
        <w:tc>
          <w:tcPr>
            <w:tcW w:w="1324" w:type="dxa"/>
            <w:tcMar>
              <w:top w:w="80" w:type="dxa"/>
              <w:left w:w="80" w:type="dxa"/>
              <w:bottom w:w="80" w:type="dxa"/>
              <w:right w:w="80" w:type="dxa"/>
            </w:tcMar>
          </w:tcPr>
          <w:p w14:paraId="7A344017" w14:textId="64F108E0" w:rsidR="00EF0F77" w:rsidRPr="00BC4931" w:rsidRDefault="00F10134" w:rsidP="00B21723">
            <w:pPr>
              <w:pStyle w:val="Table7pttext"/>
              <w:spacing w:after="60"/>
            </w:pPr>
            <w:r>
              <w:t>32,998</w:t>
            </w:r>
          </w:p>
        </w:tc>
        <w:tc>
          <w:tcPr>
            <w:tcW w:w="1325" w:type="dxa"/>
            <w:tcMar>
              <w:top w:w="80" w:type="dxa"/>
              <w:left w:w="80" w:type="dxa"/>
              <w:bottom w:w="80" w:type="dxa"/>
              <w:right w:w="80" w:type="dxa"/>
            </w:tcMar>
          </w:tcPr>
          <w:p w14:paraId="418BA047" w14:textId="1C62CE9C" w:rsidR="00EF0F77" w:rsidRPr="00BC4931" w:rsidRDefault="00F10134" w:rsidP="00B21723">
            <w:pPr>
              <w:pStyle w:val="Table7pttext"/>
              <w:spacing w:after="60"/>
            </w:pPr>
            <w:r>
              <w:t>22,934</w:t>
            </w:r>
          </w:p>
        </w:tc>
        <w:tc>
          <w:tcPr>
            <w:tcW w:w="1325" w:type="dxa"/>
            <w:tcMar>
              <w:top w:w="80" w:type="dxa"/>
              <w:left w:w="80" w:type="dxa"/>
              <w:bottom w:w="80" w:type="dxa"/>
              <w:right w:w="80" w:type="dxa"/>
            </w:tcMar>
          </w:tcPr>
          <w:p w14:paraId="24908941" w14:textId="76A2E1B1" w:rsidR="00EF0F77" w:rsidRPr="00BC4931" w:rsidRDefault="00F10134" w:rsidP="00B21723">
            <w:pPr>
              <w:pStyle w:val="Table7pttext"/>
              <w:spacing w:after="60"/>
            </w:pPr>
            <w:r>
              <w:t>25,793</w:t>
            </w:r>
          </w:p>
        </w:tc>
        <w:tc>
          <w:tcPr>
            <w:tcW w:w="1325" w:type="dxa"/>
            <w:tcMar>
              <w:top w:w="80" w:type="dxa"/>
              <w:left w:w="80" w:type="dxa"/>
              <w:bottom w:w="80" w:type="dxa"/>
              <w:right w:w="80" w:type="dxa"/>
            </w:tcMar>
          </w:tcPr>
          <w:p w14:paraId="57EE44B3" w14:textId="4A2A47DD" w:rsidR="00EF0F77" w:rsidRPr="00BC4931" w:rsidRDefault="00F10134" w:rsidP="00B21723">
            <w:pPr>
              <w:pStyle w:val="Table7pttext"/>
              <w:spacing w:after="60"/>
            </w:pPr>
            <w:r>
              <w:t>11,141</w:t>
            </w:r>
          </w:p>
        </w:tc>
        <w:tc>
          <w:tcPr>
            <w:tcW w:w="1325" w:type="dxa"/>
            <w:tcMar>
              <w:top w:w="80" w:type="dxa"/>
              <w:left w:w="80" w:type="dxa"/>
              <w:bottom w:w="80" w:type="dxa"/>
              <w:right w:w="80" w:type="dxa"/>
            </w:tcMar>
          </w:tcPr>
          <w:p w14:paraId="6ACE68CE" w14:textId="2A415FA5" w:rsidR="00EF0F77" w:rsidRPr="00BC4931" w:rsidRDefault="00F10134" w:rsidP="00B21723">
            <w:pPr>
              <w:pStyle w:val="Table7pttext"/>
              <w:spacing w:after="60"/>
            </w:pPr>
            <w:r>
              <w:t>6,363</w:t>
            </w:r>
          </w:p>
        </w:tc>
        <w:tc>
          <w:tcPr>
            <w:tcW w:w="1325" w:type="dxa"/>
            <w:tcMar>
              <w:top w:w="80" w:type="dxa"/>
              <w:left w:w="80" w:type="dxa"/>
              <w:bottom w:w="80" w:type="dxa"/>
              <w:right w:w="80" w:type="dxa"/>
            </w:tcMar>
          </w:tcPr>
          <w:p w14:paraId="0B97A89E" w14:textId="57656420" w:rsidR="00EF0F77" w:rsidRPr="00BC4931" w:rsidRDefault="00F10134" w:rsidP="00B21723">
            <w:pPr>
              <w:pStyle w:val="Table7pttext"/>
              <w:spacing w:after="60"/>
            </w:pPr>
            <w:r>
              <w:t>2,642</w:t>
            </w:r>
          </w:p>
        </w:tc>
        <w:tc>
          <w:tcPr>
            <w:tcW w:w="1325" w:type="dxa"/>
            <w:tcMar>
              <w:top w:w="80" w:type="dxa"/>
              <w:left w:w="80" w:type="dxa"/>
              <w:bottom w:w="80" w:type="dxa"/>
              <w:right w:w="80" w:type="dxa"/>
            </w:tcMar>
          </w:tcPr>
          <w:p w14:paraId="542C5997" w14:textId="053ED16D" w:rsidR="00EF0F77" w:rsidRPr="00BC4931" w:rsidRDefault="00F10134" w:rsidP="00B21723">
            <w:pPr>
              <w:pStyle w:val="Table7pttext"/>
              <w:spacing w:after="60"/>
            </w:pPr>
            <w:r>
              <w:t>985</w:t>
            </w:r>
          </w:p>
        </w:tc>
        <w:tc>
          <w:tcPr>
            <w:tcW w:w="1325" w:type="dxa"/>
            <w:tcMar>
              <w:top w:w="80" w:type="dxa"/>
              <w:left w:w="80" w:type="dxa"/>
              <w:bottom w:w="80" w:type="dxa"/>
              <w:right w:w="80" w:type="dxa"/>
            </w:tcMar>
          </w:tcPr>
          <w:p w14:paraId="4475C56E" w14:textId="43D02BF9" w:rsidR="00EF0F77" w:rsidRPr="00BC4931" w:rsidRDefault="00F10134" w:rsidP="00B21723">
            <w:pPr>
              <w:pStyle w:val="Table7pttext"/>
              <w:spacing w:after="60"/>
            </w:pPr>
            <w:r>
              <w:t>1,731</w:t>
            </w:r>
          </w:p>
        </w:tc>
        <w:tc>
          <w:tcPr>
            <w:tcW w:w="1325" w:type="dxa"/>
            <w:tcMar>
              <w:top w:w="80" w:type="dxa"/>
              <w:left w:w="80" w:type="dxa"/>
              <w:bottom w:w="80" w:type="dxa"/>
              <w:right w:w="80" w:type="dxa"/>
            </w:tcMar>
          </w:tcPr>
          <w:p w14:paraId="7523E30D" w14:textId="4D513D13" w:rsidR="00EF0F77" w:rsidRPr="00BC4931" w:rsidRDefault="00F10134" w:rsidP="00B21723">
            <w:pPr>
              <w:pStyle w:val="Table7pttext"/>
              <w:spacing w:after="60"/>
            </w:pPr>
            <w:r>
              <w:t>1,606</w:t>
            </w:r>
          </w:p>
        </w:tc>
        <w:tc>
          <w:tcPr>
            <w:tcW w:w="1325" w:type="dxa"/>
            <w:tcMar>
              <w:top w:w="80" w:type="dxa"/>
              <w:left w:w="80" w:type="dxa"/>
              <w:bottom w:w="80" w:type="dxa"/>
              <w:right w:w="80" w:type="dxa"/>
            </w:tcMar>
          </w:tcPr>
          <w:p w14:paraId="7CCA5E9B" w14:textId="051A7C5E" w:rsidR="00EF0F77" w:rsidRPr="00BC4931" w:rsidRDefault="00F10134" w:rsidP="00B21723">
            <w:pPr>
              <w:pStyle w:val="Table7pttext"/>
              <w:spacing w:after="60"/>
              <w:rPr>
                <w:highlight w:val="yellow"/>
              </w:rPr>
            </w:pPr>
            <w:r>
              <w:t>25,162</w:t>
            </w:r>
          </w:p>
        </w:tc>
      </w:tr>
      <w:tr w:rsidR="00C65EB9" w:rsidRPr="00BC4931" w14:paraId="0642CA4F" w14:textId="77777777" w:rsidTr="00FB729B">
        <w:tc>
          <w:tcPr>
            <w:tcW w:w="2127" w:type="dxa"/>
            <w:shd w:val="clear" w:color="auto" w:fill="FFC9C9"/>
            <w:tcMar>
              <w:top w:w="80" w:type="dxa"/>
              <w:left w:w="80" w:type="dxa"/>
              <w:bottom w:w="80" w:type="dxa"/>
              <w:right w:w="80" w:type="dxa"/>
            </w:tcMar>
          </w:tcPr>
          <w:p w14:paraId="5E403B8A" w14:textId="56730352" w:rsidR="00EF0F77" w:rsidRPr="00BC4931" w:rsidRDefault="00EF0F77" w:rsidP="007E7640">
            <w:pPr>
              <w:pStyle w:val="TableColumn1bold"/>
              <w:spacing w:after="60"/>
            </w:pPr>
            <w:r w:rsidRPr="00BC4931">
              <w:t>Number of serious claims per 1</w:t>
            </w:r>
            <w:r w:rsidR="004659C4">
              <w:t>,</w:t>
            </w:r>
            <w:r w:rsidRPr="00BC4931">
              <w:t>000 employees (201</w:t>
            </w:r>
            <w:r w:rsidR="008850C4">
              <w:t>6</w:t>
            </w:r>
            <w:r w:rsidRPr="00BC4931">
              <w:t>–1</w:t>
            </w:r>
            <w:r w:rsidR="008850C4">
              <w:t>7</w:t>
            </w:r>
            <w:r w:rsidRPr="00BC4931">
              <w:t>)</w:t>
            </w:r>
          </w:p>
        </w:tc>
        <w:tc>
          <w:tcPr>
            <w:tcW w:w="1324" w:type="dxa"/>
            <w:shd w:val="clear" w:color="auto" w:fill="FFC9C9"/>
            <w:tcMar>
              <w:top w:w="80" w:type="dxa"/>
              <w:left w:w="80" w:type="dxa"/>
              <w:bottom w:w="80" w:type="dxa"/>
              <w:right w:w="80" w:type="dxa"/>
            </w:tcMar>
          </w:tcPr>
          <w:p w14:paraId="6139068E" w14:textId="60ED4590" w:rsidR="00EF0F77" w:rsidRPr="00BC4931" w:rsidRDefault="00F10134" w:rsidP="00B21723">
            <w:pPr>
              <w:pStyle w:val="Table7pttext"/>
              <w:spacing w:after="60"/>
            </w:pPr>
            <w:r>
              <w:t>9.5</w:t>
            </w:r>
          </w:p>
        </w:tc>
        <w:tc>
          <w:tcPr>
            <w:tcW w:w="1325" w:type="dxa"/>
            <w:shd w:val="clear" w:color="auto" w:fill="FFC9C9"/>
            <w:tcMar>
              <w:top w:w="80" w:type="dxa"/>
              <w:left w:w="80" w:type="dxa"/>
              <w:bottom w:w="80" w:type="dxa"/>
              <w:right w:w="80" w:type="dxa"/>
            </w:tcMar>
          </w:tcPr>
          <w:p w14:paraId="63BD653A" w14:textId="70F66FB4" w:rsidR="00EF0F77" w:rsidRPr="00BC4931" w:rsidRDefault="00F10134" w:rsidP="00B21723">
            <w:pPr>
              <w:pStyle w:val="Table7pttext"/>
              <w:spacing w:after="60"/>
            </w:pPr>
            <w:r>
              <w:t>8.0</w:t>
            </w:r>
          </w:p>
        </w:tc>
        <w:tc>
          <w:tcPr>
            <w:tcW w:w="1325" w:type="dxa"/>
            <w:shd w:val="clear" w:color="auto" w:fill="FFC9C9"/>
            <w:tcMar>
              <w:top w:w="80" w:type="dxa"/>
              <w:left w:w="80" w:type="dxa"/>
              <w:bottom w:w="80" w:type="dxa"/>
              <w:right w:w="80" w:type="dxa"/>
            </w:tcMar>
          </w:tcPr>
          <w:p w14:paraId="73E154A2" w14:textId="555FB820" w:rsidR="00EF0F77" w:rsidRPr="00BC4931" w:rsidRDefault="00F10134" w:rsidP="00B21723">
            <w:pPr>
              <w:pStyle w:val="Table7pttext"/>
              <w:spacing w:after="60"/>
            </w:pPr>
            <w:r>
              <w:t>11.8</w:t>
            </w:r>
          </w:p>
        </w:tc>
        <w:tc>
          <w:tcPr>
            <w:tcW w:w="1325" w:type="dxa"/>
            <w:shd w:val="clear" w:color="auto" w:fill="FFC9C9"/>
            <w:tcMar>
              <w:top w:w="80" w:type="dxa"/>
              <w:left w:w="80" w:type="dxa"/>
              <w:bottom w:w="80" w:type="dxa"/>
              <w:right w:w="80" w:type="dxa"/>
            </w:tcMar>
          </w:tcPr>
          <w:p w14:paraId="2678C0A4" w14:textId="5B293507" w:rsidR="00EF0F77" w:rsidRPr="00BC4931" w:rsidRDefault="00F10134" w:rsidP="00B21723">
            <w:pPr>
              <w:pStyle w:val="Table7pttext"/>
              <w:spacing w:after="60"/>
            </w:pPr>
            <w:r>
              <w:t>9.2</w:t>
            </w:r>
          </w:p>
        </w:tc>
        <w:tc>
          <w:tcPr>
            <w:tcW w:w="1325" w:type="dxa"/>
            <w:shd w:val="clear" w:color="auto" w:fill="FFC9C9"/>
            <w:tcMar>
              <w:top w:w="80" w:type="dxa"/>
              <w:left w:w="80" w:type="dxa"/>
              <w:bottom w:w="80" w:type="dxa"/>
              <w:right w:w="80" w:type="dxa"/>
            </w:tcMar>
          </w:tcPr>
          <w:p w14:paraId="01831BBD" w14:textId="03E4C261" w:rsidR="00EF0F77" w:rsidRPr="00BC4931" w:rsidRDefault="00F10134" w:rsidP="00B21723">
            <w:pPr>
              <w:pStyle w:val="Table7pttext"/>
              <w:spacing w:after="60"/>
            </w:pPr>
            <w:r>
              <w:t>8.5</w:t>
            </w:r>
          </w:p>
        </w:tc>
        <w:tc>
          <w:tcPr>
            <w:tcW w:w="1325" w:type="dxa"/>
            <w:shd w:val="clear" w:color="auto" w:fill="FFC9C9"/>
            <w:tcMar>
              <w:top w:w="80" w:type="dxa"/>
              <w:left w:w="80" w:type="dxa"/>
              <w:bottom w:w="80" w:type="dxa"/>
              <w:right w:w="80" w:type="dxa"/>
            </w:tcMar>
          </w:tcPr>
          <w:p w14:paraId="1DCBD211" w14:textId="6E43D9B2" w:rsidR="00EF0F77" w:rsidRPr="00BC4931" w:rsidRDefault="00F10134" w:rsidP="00B21723">
            <w:pPr>
              <w:pStyle w:val="Table7pttext"/>
              <w:spacing w:after="60"/>
            </w:pPr>
            <w:r>
              <w:t>12.1</w:t>
            </w:r>
          </w:p>
        </w:tc>
        <w:tc>
          <w:tcPr>
            <w:tcW w:w="1325" w:type="dxa"/>
            <w:shd w:val="clear" w:color="auto" w:fill="FFC9C9"/>
            <w:tcMar>
              <w:top w:w="80" w:type="dxa"/>
              <w:left w:w="80" w:type="dxa"/>
              <w:bottom w:w="80" w:type="dxa"/>
              <w:right w:w="80" w:type="dxa"/>
            </w:tcMar>
          </w:tcPr>
          <w:p w14:paraId="2F4696B1" w14:textId="1FE01AF6" w:rsidR="00EF0F77" w:rsidRPr="00BC4931" w:rsidRDefault="00F10134" w:rsidP="00B21723">
            <w:pPr>
              <w:pStyle w:val="Table7pttext"/>
              <w:spacing w:after="60"/>
            </w:pPr>
            <w:r>
              <w:t>7.0</w:t>
            </w:r>
          </w:p>
        </w:tc>
        <w:tc>
          <w:tcPr>
            <w:tcW w:w="1325" w:type="dxa"/>
            <w:shd w:val="clear" w:color="auto" w:fill="FFC9C9"/>
            <w:tcMar>
              <w:top w:w="80" w:type="dxa"/>
              <w:left w:w="80" w:type="dxa"/>
              <w:bottom w:w="80" w:type="dxa"/>
              <w:right w:w="80" w:type="dxa"/>
            </w:tcMar>
          </w:tcPr>
          <w:p w14:paraId="420FD257" w14:textId="6307365A" w:rsidR="00EF0F77" w:rsidRPr="00BC4931" w:rsidRDefault="00F10134" w:rsidP="00B21723">
            <w:pPr>
              <w:pStyle w:val="Table7pttext"/>
              <w:spacing w:after="60"/>
            </w:pPr>
            <w:r>
              <w:t>10.3</w:t>
            </w:r>
          </w:p>
        </w:tc>
        <w:tc>
          <w:tcPr>
            <w:tcW w:w="1325" w:type="dxa"/>
            <w:shd w:val="clear" w:color="auto" w:fill="FFC9C9"/>
            <w:tcMar>
              <w:top w:w="80" w:type="dxa"/>
              <w:left w:w="80" w:type="dxa"/>
              <w:bottom w:w="80" w:type="dxa"/>
              <w:right w:w="80" w:type="dxa"/>
            </w:tcMar>
          </w:tcPr>
          <w:p w14:paraId="7405211E" w14:textId="6AED488D" w:rsidR="00EF0F77" w:rsidRPr="00BC4931" w:rsidRDefault="00F10134" w:rsidP="00B21723">
            <w:pPr>
              <w:pStyle w:val="Table7pttext"/>
              <w:spacing w:after="60"/>
            </w:pPr>
            <w:r>
              <w:t>3.9</w:t>
            </w:r>
          </w:p>
        </w:tc>
        <w:tc>
          <w:tcPr>
            <w:tcW w:w="1325" w:type="dxa"/>
            <w:shd w:val="clear" w:color="auto" w:fill="FFC9C9"/>
            <w:tcMar>
              <w:top w:w="80" w:type="dxa"/>
              <w:left w:w="80" w:type="dxa"/>
              <w:bottom w:w="80" w:type="dxa"/>
              <w:right w:w="80" w:type="dxa"/>
            </w:tcMar>
          </w:tcPr>
          <w:p w14:paraId="03D46567" w14:textId="021CBBA4" w:rsidR="00EF0F77" w:rsidRPr="00BC4931" w:rsidRDefault="00F10134" w:rsidP="00B21723">
            <w:pPr>
              <w:pStyle w:val="Table7pttext"/>
              <w:spacing w:after="60"/>
              <w:rPr>
                <w:highlight w:val="yellow"/>
              </w:rPr>
            </w:pPr>
            <w:r>
              <w:t>13.3</w:t>
            </w:r>
          </w:p>
        </w:tc>
      </w:tr>
      <w:tr w:rsidR="00EF0F77" w:rsidRPr="00BC4931" w14:paraId="74D3D74D" w14:textId="77777777" w:rsidTr="00FB729B">
        <w:tc>
          <w:tcPr>
            <w:tcW w:w="2127" w:type="dxa"/>
            <w:tcMar>
              <w:top w:w="80" w:type="dxa"/>
              <w:left w:w="80" w:type="dxa"/>
              <w:bottom w:w="80" w:type="dxa"/>
              <w:right w:w="80" w:type="dxa"/>
            </w:tcMar>
          </w:tcPr>
          <w:p w14:paraId="4B57DA6B" w14:textId="0B60A65F" w:rsidR="00EF0F77" w:rsidRPr="00BC4931" w:rsidRDefault="00EF0F77" w:rsidP="007E7640">
            <w:pPr>
              <w:pStyle w:val="TableColumn1bold"/>
              <w:spacing w:after="60"/>
            </w:pPr>
            <w:r w:rsidRPr="00BC4931">
              <w:t>Compensated deaths per 100</w:t>
            </w:r>
            <w:r w:rsidR="004659C4">
              <w:t>,</w:t>
            </w:r>
            <w:r w:rsidRPr="00BC4931">
              <w:t>000 employees (201</w:t>
            </w:r>
            <w:r w:rsidR="008850C4">
              <w:t>6</w:t>
            </w:r>
            <w:r w:rsidRPr="00BC4931">
              <w:t>–1</w:t>
            </w:r>
            <w:r w:rsidR="008850C4">
              <w:t>7</w:t>
            </w:r>
            <w:r w:rsidRPr="00BC4931">
              <w:t>)</w:t>
            </w:r>
          </w:p>
        </w:tc>
        <w:tc>
          <w:tcPr>
            <w:tcW w:w="1324" w:type="dxa"/>
            <w:tcMar>
              <w:top w:w="80" w:type="dxa"/>
              <w:left w:w="80" w:type="dxa"/>
              <w:bottom w:w="80" w:type="dxa"/>
              <w:right w:w="80" w:type="dxa"/>
            </w:tcMar>
          </w:tcPr>
          <w:p w14:paraId="669D2D1E" w14:textId="0E613340" w:rsidR="00EF0F77" w:rsidRPr="00BC4931" w:rsidRDefault="008F3A71" w:rsidP="00B21723">
            <w:pPr>
              <w:pStyle w:val="Table7pttext"/>
              <w:spacing w:after="60"/>
            </w:pPr>
            <w:r>
              <w:t>1.7</w:t>
            </w:r>
          </w:p>
        </w:tc>
        <w:tc>
          <w:tcPr>
            <w:tcW w:w="1325" w:type="dxa"/>
            <w:tcMar>
              <w:top w:w="80" w:type="dxa"/>
              <w:left w:w="80" w:type="dxa"/>
              <w:bottom w:w="80" w:type="dxa"/>
              <w:right w:w="80" w:type="dxa"/>
            </w:tcMar>
          </w:tcPr>
          <w:p w14:paraId="36D8C06D" w14:textId="7F9F3707" w:rsidR="00EF0F77" w:rsidRPr="00BC4931" w:rsidRDefault="008F3A71" w:rsidP="00B21723">
            <w:pPr>
              <w:pStyle w:val="Table7pttext"/>
              <w:spacing w:after="60"/>
            </w:pPr>
            <w:r>
              <w:t>0.8</w:t>
            </w:r>
          </w:p>
        </w:tc>
        <w:tc>
          <w:tcPr>
            <w:tcW w:w="1325" w:type="dxa"/>
            <w:tcMar>
              <w:top w:w="80" w:type="dxa"/>
              <w:left w:w="80" w:type="dxa"/>
              <w:bottom w:w="80" w:type="dxa"/>
              <w:right w:w="80" w:type="dxa"/>
            </w:tcMar>
          </w:tcPr>
          <w:p w14:paraId="1C1CB5D7" w14:textId="61925A2A" w:rsidR="00EF0F77" w:rsidRPr="00BC4931" w:rsidRDefault="008F3A71" w:rsidP="00B21723">
            <w:pPr>
              <w:pStyle w:val="Table7pttext"/>
              <w:spacing w:after="60"/>
            </w:pPr>
            <w:r>
              <w:t>1.7</w:t>
            </w:r>
          </w:p>
        </w:tc>
        <w:tc>
          <w:tcPr>
            <w:tcW w:w="1325" w:type="dxa"/>
            <w:tcMar>
              <w:top w:w="80" w:type="dxa"/>
              <w:left w:w="80" w:type="dxa"/>
              <w:bottom w:w="80" w:type="dxa"/>
              <w:right w:w="80" w:type="dxa"/>
            </w:tcMar>
          </w:tcPr>
          <w:p w14:paraId="1478C409" w14:textId="1F7F02A5" w:rsidR="00EF0F77" w:rsidRPr="00BC4931" w:rsidRDefault="008F3A71" w:rsidP="00B21723">
            <w:pPr>
              <w:pStyle w:val="Table7pttext"/>
              <w:spacing w:after="60"/>
            </w:pPr>
            <w:r>
              <w:t>1.2</w:t>
            </w:r>
          </w:p>
        </w:tc>
        <w:tc>
          <w:tcPr>
            <w:tcW w:w="1325" w:type="dxa"/>
            <w:tcMar>
              <w:top w:w="80" w:type="dxa"/>
              <w:left w:w="80" w:type="dxa"/>
              <w:bottom w:w="80" w:type="dxa"/>
              <w:right w:w="80" w:type="dxa"/>
            </w:tcMar>
          </w:tcPr>
          <w:p w14:paraId="78055952" w14:textId="19B56192" w:rsidR="00EF0F77" w:rsidRPr="00BC4931" w:rsidRDefault="008F3A71" w:rsidP="00B21723">
            <w:pPr>
              <w:pStyle w:val="Table7pttext"/>
              <w:spacing w:after="60"/>
            </w:pPr>
            <w:r>
              <w:t>2.0</w:t>
            </w:r>
          </w:p>
        </w:tc>
        <w:tc>
          <w:tcPr>
            <w:tcW w:w="1325" w:type="dxa"/>
            <w:tcMar>
              <w:top w:w="80" w:type="dxa"/>
              <w:left w:w="80" w:type="dxa"/>
              <w:bottom w:w="80" w:type="dxa"/>
              <w:right w:w="80" w:type="dxa"/>
            </w:tcMar>
          </w:tcPr>
          <w:p w14:paraId="004086A5" w14:textId="067D0578" w:rsidR="00EF0F77" w:rsidRPr="00BC4931" w:rsidRDefault="008F3A71" w:rsidP="00B21723">
            <w:pPr>
              <w:pStyle w:val="Table7pttext"/>
              <w:spacing w:after="60"/>
            </w:pPr>
            <w:r>
              <w:t>0.5</w:t>
            </w:r>
          </w:p>
        </w:tc>
        <w:tc>
          <w:tcPr>
            <w:tcW w:w="1325" w:type="dxa"/>
            <w:tcMar>
              <w:top w:w="80" w:type="dxa"/>
              <w:left w:w="80" w:type="dxa"/>
              <w:bottom w:w="80" w:type="dxa"/>
              <w:right w:w="80" w:type="dxa"/>
            </w:tcMar>
          </w:tcPr>
          <w:p w14:paraId="467A1220" w14:textId="21E9A071" w:rsidR="00EF0F77" w:rsidRPr="00BC4931" w:rsidRDefault="008F3A71" w:rsidP="00B21723">
            <w:pPr>
              <w:pStyle w:val="Table7pttext"/>
              <w:spacing w:after="60"/>
            </w:pPr>
            <w:r>
              <w:t>2.1</w:t>
            </w:r>
          </w:p>
        </w:tc>
        <w:tc>
          <w:tcPr>
            <w:tcW w:w="1325" w:type="dxa"/>
            <w:tcMar>
              <w:top w:w="80" w:type="dxa"/>
              <w:left w:w="80" w:type="dxa"/>
              <w:bottom w:w="80" w:type="dxa"/>
              <w:right w:w="80" w:type="dxa"/>
            </w:tcMar>
          </w:tcPr>
          <w:p w14:paraId="54163994" w14:textId="7510C0F3" w:rsidR="00EF0F77" w:rsidRPr="00BC4931" w:rsidRDefault="008F3A71" w:rsidP="00B21723">
            <w:pPr>
              <w:pStyle w:val="Table7pttext"/>
              <w:spacing w:after="60"/>
            </w:pPr>
            <w:r>
              <w:t>0.6</w:t>
            </w:r>
          </w:p>
        </w:tc>
        <w:tc>
          <w:tcPr>
            <w:tcW w:w="1325" w:type="dxa"/>
            <w:tcMar>
              <w:top w:w="80" w:type="dxa"/>
              <w:left w:w="80" w:type="dxa"/>
              <w:bottom w:w="80" w:type="dxa"/>
              <w:right w:w="80" w:type="dxa"/>
            </w:tcMar>
          </w:tcPr>
          <w:p w14:paraId="73ABD6D4" w14:textId="1CA1A411" w:rsidR="00EF0F77" w:rsidRPr="00BC4931" w:rsidRDefault="008F3A71" w:rsidP="00B21723">
            <w:pPr>
              <w:pStyle w:val="Table7pttext"/>
              <w:spacing w:after="60"/>
            </w:pPr>
            <w:r>
              <w:t>5.4</w:t>
            </w:r>
          </w:p>
        </w:tc>
        <w:tc>
          <w:tcPr>
            <w:tcW w:w="1325" w:type="dxa"/>
            <w:tcMar>
              <w:top w:w="80" w:type="dxa"/>
              <w:left w:w="80" w:type="dxa"/>
              <w:bottom w:w="80" w:type="dxa"/>
              <w:right w:w="80" w:type="dxa"/>
            </w:tcMar>
          </w:tcPr>
          <w:p w14:paraId="225D6AB8" w14:textId="3E006997" w:rsidR="00EF0F77" w:rsidRPr="00BC4931" w:rsidRDefault="008F3A71" w:rsidP="00B21723">
            <w:pPr>
              <w:pStyle w:val="Table7pttext"/>
              <w:spacing w:after="60"/>
              <w:rPr>
                <w:highlight w:val="yellow"/>
              </w:rPr>
            </w:pPr>
            <w:r>
              <w:t>4.7</w:t>
            </w:r>
          </w:p>
        </w:tc>
      </w:tr>
      <w:tr w:rsidR="00C65EB9" w:rsidRPr="00BC4931" w14:paraId="2A189FF4" w14:textId="77777777" w:rsidTr="00FB729B">
        <w:tc>
          <w:tcPr>
            <w:tcW w:w="2127" w:type="dxa"/>
            <w:shd w:val="clear" w:color="auto" w:fill="FFC9C9"/>
            <w:tcMar>
              <w:top w:w="80" w:type="dxa"/>
              <w:left w:w="80" w:type="dxa"/>
              <w:bottom w:w="80" w:type="dxa"/>
              <w:right w:w="80" w:type="dxa"/>
            </w:tcMar>
          </w:tcPr>
          <w:p w14:paraId="7DF7A998" w14:textId="0A1FDDE7" w:rsidR="00EF0F77" w:rsidRPr="00BC4931" w:rsidRDefault="00EF0F77" w:rsidP="00B21723">
            <w:pPr>
              <w:pStyle w:val="TableColumn1bold"/>
              <w:spacing w:after="60"/>
            </w:pPr>
            <w:r w:rsidRPr="00BC4931">
              <w:t>Scheme funding</w:t>
            </w:r>
            <w:r w:rsidR="001A701E">
              <w:fldChar w:fldCharType="begin"/>
            </w:r>
            <w:r w:rsidR="001A701E">
              <w:instrText xml:space="preserve"> XE "</w:instrText>
            </w:r>
            <w:r w:rsidR="001A701E" w:rsidRPr="001854C8">
              <w:instrText>schemes funding arrangements</w:instrText>
            </w:r>
            <w:r w:rsidR="001A701E">
              <w:instrText xml:space="preserve">" </w:instrText>
            </w:r>
            <w:r w:rsidR="001A701E">
              <w:fldChar w:fldCharType="end"/>
            </w:r>
          </w:p>
        </w:tc>
        <w:tc>
          <w:tcPr>
            <w:tcW w:w="1324" w:type="dxa"/>
            <w:shd w:val="clear" w:color="auto" w:fill="FFC9C9"/>
            <w:tcMar>
              <w:top w:w="80" w:type="dxa"/>
              <w:left w:w="80" w:type="dxa"/>
              <w:bottom w:w="80" w:type="dxa"/>
              <w:right w:w="80" w:type="dxa"/>
            </w:tcMar>
          </w:tcPr>
          <w:p w14:paraId="2132198B" w14:textId="04C89A6D" w:rsidR="00EF0F77" w:rsidRPr="00BC4931" w:rsidRDefault="00EF0F77" w:rsidP="00B21723">
            <w:pPr>
              <w:pStyle w:val="Table7pttext"/>
              <w:spacing w:after="60"/>
            </w:pPr>
            <w:r w:rsidRPr="00BC4931">
              <w:t>Managed</w:t>
            </w:r>
          </w:p>
        </w:tc>
        <w:tc>
          <w:tcPr>
            <w:tcW w:w="1325" w:type="dxa"/>
            <w:shd w:val="clear" w:color="auto" w:fill="FFC9C9"/>
            <w:tcMar>
              <w:top w:w="80" w:type="dxa"/>
              <w:left w:w="80" w:type="dxa"/>
              <w:bottom w:w="80" w:type="dxa"/>
              <w:right w:w="80" w:type="dxa"/>
            </w:tcMar>
          </w:tcPr>
          <w:p w14:paraId="1A0A9D93" w14:textId="538DDF9E" w:rsidR="00EF0F77" w:rsidRPr="00BC4931" w:rsidRDefault="00EF0F77" w:rsidP="00B21723">
            <w:pPr>
              <w:pStyle w:val="Table7pttext"/>
              <w:spacing w:after="60"/>
            </w:pPr>
            <w:r w:rsidRPr="00BC4931">
              <w:t>Central</w:t>
            </w:r>
          </w:p>
        </w:tc>
        <w:tc>
          <w:tcPr>
            <w:tcW w:w="1325" w:type="dxa"/>
            <w:shd w:val="clear" w:color="auto" w:fill="FFC9C9"/>
            <w:tcMar>
              <w:top w:w="80" w:type="dxa"/>
              <w:left w:w="80" w:type="dxa"/>
              <w:bottom w:w="80" w:type="dxa"/>
              <w:right w:w="80" w:type="dxa"/>
            </w:tcMar>
          </w:tcPr>
          <w:p w14:paraId="244BCD19" w14:textId="6C494FF8" w:rsidR="00EF0F77" w:rsidRPr="00BC4931" w:rsidRDefault="00EF0F77" w:rsidP="00B21723">
            <w:pPr>
              <w:pStyle w:val="Table7pttext"/>
              <w:spacing w:after="60"/>
            </w:pPr>
            <w:r w:rsidRPr="00BC4931">
              <w:t>Central</w:t>
            </w:r>
          </w:p>
        </w:tc>
        <w:tc>
          <w:tcPr>
            <w:tcW w:w="1325" w:type="dxa"/>
            <w:shd w:val="clear" w:color="auto" w:fill="FFC9C9"/>
            <w:tcMar>
              <w:top w:w="80" w:type="dxa"/>
              <w:left w:w="80" w:type="dxa"/>
              <w:bottom w:w="80" w:type="dxa"/>
              <w:right w:w="80" w:type="dxa"/>
            </w:tcMar>
          </w:tcPr>
          <w:p w14:paraId="0B07F082" w14:textId="3EEA2DC1" w:rsidR="00EF0F77" w:rsidRPr="00BC4931" w:rsidRDefault="00EF0F77" w:rsidP="00B21723">
            <w:pPr>
              <w:pStyle w:val="Table7pttext"/>
              <w:spacing w:after="60"/>
            </w:pPr>
            <w:r w:rsidRPr="00BC4931">
              <w:t>Private insurers</w:t>
            </w:r>
          </w:p>
        </w:tc>
        <w:tc>
          <w:tcPr>
            <w:tcW w:w="1325" w:type="dxa"/>
            <w:shd w:val="clear" w:color="auto" w:fill="FFC9C9"/>
            <w:tcMar>
              <w:top w:w="80" w:type="dxa"/>
              <w:left w:w="80" w:type="dxa"/>
              <w:bottom w:w="80" w:type="dxa"/>
              <w:right w:w="80" w:type="dxa"/>
            </w:tcMar>
          </w:tcPr>
          <w:p w14:paraId="4AA25616" w14:textId="38EA0AB9" w:rsidR="00EF0F77" w:rsidRPr="00BC4931" w:rsidRDefault="00EF0F77" w:rsidP="00B21723">
            <w:pPr>
              <w:pStyle w:val="Table7pttext"/>
              <w:spacing w:after="60"/>
            </w:pPr>
            <w:r w:rsidRPr="00BC4931">
              <w:t>Central</w:t>
            </w:r>
          </w:p>
        </w:tc>
        <w:tc>
          <w:tcPr>
            <w:tcW w:w="1325" w:type="dxa"/>
            <w:shd w:val="clear" w:color="auto" w:fill="FFC9C9"/>
            <w:tcMar>
              <w:top w:w="80" w:type="dxa"/>
              <w:left w:w="80" w:type="dxa"/>
              <w:bottom w:w="80" w:type="dxa"/>
              <w:right w:w="80" w:type="dxa"/>
            </w:tcMar>
          </w:tcPr>
          <w:p w14:paraId="50CD5FEF" w14:textId="1ED8FBE6" w:rsidR="00EF0F77" w:rsidRPr="00BC4931" w:rsidRDefault="00EF0F77" w:rsidP="00B21723">
            <w:pPr>
              <w:pStyle w:val="Table7pttext"/>
              <w:spacing w:after="60"/>
            </w:pPr>
            <w:r w:rsidRPr="00BC4931">
              <w:t>Private insurers</w:t>
            </w:r>
          </w:p>
        </w:tc>
        <w:tc>
          <w:tcPr>
            <w:tcW w:w="1325" w:type="dxa"/>
            <w:shd w:val="clear" w:color="auto" w:fill="FFC9C9"/>
            <w:tcMar>
              <w:top w:w="80" w:type="dxa"/>
              <w:left w:w="80" w:type="dxa"/>
              <w:bottom w:w="80" w:type="dxa"/>
              <w:right w:w="80" w:type="dxa"/>
            </w:tcMar>
          </w:tcPr>
          <w:p w14:paraId="71E63AC6" w14:textId="05447828" w:rsidR="00EF0F77" w:rsidRPr="00BC4931" w:rsidRDefault="00EF0F77" w:rsidP="000264D7">
            <w:pPr>
              <w:pStyle w:val="Table7pttext"/>
              <w:spacing w:after="60"/>
            </w:pPr>
            <w:r w:rsidRPr="00BC4931">
              <w:t>Private insurers</w:t>
            </w:r>
          </w:p>
        </w:tc>
        <w:tc>
          <w:tcPr>
            <w:tcW w:w="1325" w:type="dxa"/>
            <w:shd w:val="clear" w:color="auto" w:fill="FFC9C9"/>
            <w:tcMar>
              <w:top w:w="80" w:type="dxa"/>
              <w:left w:w="80" w:type="dxa"/>
              <w:bottom w:w="80" w:type="dxa"/>
              <w:right w:w="80" w:type="dxa"/>
            </w:tcMar>
          </w:tcPr>
          <w:p w14:paraId="2869ADCD" w14:textId="2EC24297" w:rsidR="00EF0F77" w:rsidRPr="00BC4931" w:rsidRDefault="00EF0F77" w:rsidP="00B21723">
            <w:pPr>
              <w:pStyle w:val="Table7pttext"/>
              <w:spacing w:after="60"/>
            </w:pPr>
            <w:r w:rsidRPr="00BC4931">
              <w:t>Private insurers</w:t>
            </w:r>
          </w:p>
        </w:tc>
        <w:tc>
          <w:tcPr>
            <w:tcW w:w="1325" w:type="dxa"/>
            <w:shd w:val="clear" w:color="auto" w:fill="FFC9C9"/>
            <w:tcMar>
              <w:top w:w="80" w:type="dxa"/>
              <w:left w:w="80" w:type="dxa"/>
              <w:bottom w:w="80" w:type="dxa"/>
              <w:right w:w="80" w:type="dxa"/>
            </w:tcMar>
          </w:tcPr>
          <w:p w14:paraId="793D4C4A" w14:textId="6D816D33" w:rsidR="00EF0F77" w:rsidRPr="00BC4931" w:rsidRDefault="00EF0F77" w:rsidP="00B21723">
            <w:pPr>
              <w:pStyle w:val="Table7pttext"/>
              <w:spacing w:after="60"/>
            </w:pPr>
            <w:r w:rsidRPr="00BC4931">
              <w:t>Central</w:t>
            </w:r>
          </w:p>
        </w:tc>
        <w:tc>
          <w:tcPr>
            <w:tcW w:w="1325" w:type="dxa"/>
            <w:shd w:val="clear" w:color="auto" w:fill="FFC9C9"/>
            <w:tcMar>
              <w:top w:w="80" w:type="dxa"/>
              <w:left w:w="80" w:type="dxa"/>
              <w:bottom w:w="80" w:type="dxa"/>
              <w:right w:w="80" w:type="dxa"/>
            </w:tcMar>
          </w:tcPr>
          <w:p w14:paraId="3FA4A347" w14:textId="19472F45" w:rsidR="00EF0F77" w:rsidRPr="00BC4931" w:rsidRDefault="00EF0F77" w:rsidP="00B21723">
            <w:pPr>
              <w:pStyle w:val="Table7pttext"/>
              <w:spacing w:after="60"/>
              <w:rPr>
                <w:highlight w:val="yellow"/>
              </w:rPr>
            </w:pPr>
            <w:r w:rsidRPr="00BC4931">
              <w:t>Central</w:t>
            </w:r>
          </w:p>
        </w:tc>
      </w:tr>
      <w:tr w:rsidR="00EF0F77" w:rsidRPr="00BC4931" w14:paraId="5D516B19" w14:textId="77777777" w:rsidTr="00FB729B">
        <w:tc>
          <w:tcPr>
            <w:tcW w:w="2127" w:type="dxa"/>
            <w:tcMar>
              <w:top w:w="80" w:type="dxa"/>
              <w:left w:w="80" w:type="dxa"/>
              <w:bottom w:w="80" w:type="dxa"/>
              <w:right w:w="80" w:type="dxa"/>
            </w:tcMar>
          </w:tcPr>
          <w:p w14:paraId="0DBD2039" w14:textId="77777777" w:rsidR="00EF0F77" w:rsidRPr="00BC4931" w:rsidRDefault="00EF0F77" w:rsidP="00B21723">
            <w:pPr>
              <w:pStyle w:val="TableColumn1bold"/>
              <w:spacing w:after="60"/>
            </w:pPr>
            <w:r w:rsidRPr="00BC4931">
              <w:t>Standardised Average Premium rate (% of payroll)</w:t>
            </w:r>
          </w:p>
        </w:tc>
        <w:tc>
          <w:tcPr>
            <w:tcW w:w="1324" w:type="dxa"/>
            <w:tcMar>
              <w:top w:w="80" w:type="dxa"/>
              <w:left w:w="80" w:type="dxa"/>
              <w:bottom w:w="80" w:type="dxa"/>
              <w:right w:w="80" w:type="dxa"/>
            </w:tcMar>
          </w:tcPr>
          <w:p w14:paraId="2B89D03F" w14:textId="13ED013A" w:rsidR="00EF0F77" w:rsidRPr="00BC4931" w:rsidRDefault="00EF0F77" w:rsidP="00B21723">
            <w:pPr>
              <w:pStyle w:val="Table7pttext"/>
              <w:spacing w:after="60"/>
            </w:pPr>
            <w:r w:rsidRPr="00BC4931">
              <w:t>1.</w:t>
            </w:r>
            <w:r w:rsidR="00D45052">
              <w:t>34</w:t>
            </w:r>
          </w:p>
          <w:p w14:paraId="3B790139" w14:textId="2DCD414F" w:rsidR="006A50D4" w:rsidRDefault="00EF0F77" w:rsidP="00B21723">
            <w:pPr>
              <w:pStyle w:val="Table7pttext"/>
              <w:spacing w:after="60"/>
            </w:pPr>
            <w:r w:rsidRPr="00BC4931">
              <w:t>(201</w:t>
            </w:r>
            <w:r w:rsidR="004D110F">
              <w:t>5</w:t>
            </w:r>
            <w:r w:rsidRPr="00BC4931">
              <w:t>–1</w:t>
            </w:r>
            <w:r w:rsidR="004D110F">
              <w:t>6</w:t>
            </w:r>
            <w:r w:rsidRPr="00BC4931">
              <w:t>)</w:t>
            </w:r>
          </w:p>
          <w:p w14:paraId="54BE04CD" w14:textId="16919E4E" w:rsidR="00EF0F77" w:rsidRPr="00BC4931" w:rsidRDefault="00EF0F77" w:rsidP="00B21723">
            <w:pPr>
              <w:pStyle w:val="Table7pttext"/>
              <w:spacing w:after="60"/>
            </w:pPr>
            <w:r w:rsidRPr="00BC4931">
              <w:t>1.</w:t>
            </w:r>
            <w:r w:rsidR="00D45052">
              <w:t>45</w:t>
            </w:r>
          </w:p>
          <w:p w14:paraId="18CB2170" w14:textId="59DFDDED" w:rsidR="00EF0F77" w:rsidRPr="00BC4931" w:rsidRDefault="00EF0F77" w:rsidP="00B21723">
            <w:pPr>
              <w:pStyle w:val="Table7pttext"/>
              <w:spacing w:after="60"/>
            </w:pPr>
            <w:r w:rsidRPr="00BC4931">
              <w:t>(201</w:t>
            </w:r>
            <w:r w:rsidR="004D110F">
              <w:t>4</w:t>
            </w:r>
            <w:r w:rsidRPr="00BC4931">
              <w:t>–1</w:t>
            </w:r>
            <w:r w:rsidR="004D110F">
              <w:t>5</w:t>
            </w:r>
            <w:r w:rsidRPr="00BC4931">
              <w:t>)</w:t>
            </w:r>
          </w:p>
        </w:tc>
        <w:tc>
          <w:tcPr>
            <w:tcW w:w="1325" w:type="dxa"/>
            <w:tcMar>
              <w:top w:w="80" w:type="dxa"/>
              <w:left w:w="80" w:type="dxa"/>
              <w:bottom w:w="80" w:type="dxa"/>
              <w:right w:w="80" w:type="dxa"/>
            </w:tcMar>
          </w:tcPr>
          <w:p w14:paraId="43CE8DEB" w14:textId="77777777" w:rsidR="00EF0F77" w:rsidRPr="00BC4931" w:rsidRDefault="00EF0F77" w:rsidP="00B21723">
            <w:pPr>
              <w:pStyle w:val="Table7pttext"/>
              <w:spacing w:after="60"/>
            </w:pPr>
            <w:r w:rsidRPr="00BC4931">
              <w:t>1.31</w:t>
            </w:r>
          </w:p>
          <w:p w14:paraId="65F3C43A" w14:textId="0C355A4B" w:rsidR="006A50D4" w:rsidRDefault="00EF0F77" w:rsidP="00B21723">
            <w:pPr>
              <w:pStyle w:val="Table7pttext"/>
              <w:spacing w:after="60"/>
            </w:pPr>
            <w:r w:rsidRPr="00BC4931">
              <w:t>(201</w:t>
            </w:r>
            <w:r w:rsidR="004D110F">
              <w:t>5</w:t>
            </w:r>
            <w:r w:rsidRPr="00BC4931">
              <w:t>–1</w:t>
            </w:r>
            <w:r w:rsidR="004D110F">
              <w:t>6</w:t>
            </w:r>
            <w:r w:rsidRPr="00BC4931">
              <w:t>)</w:t>
            </w:r>
          </w:p>
          <w:p w14:paraId="5F0F3196" w14:textId="2C30C49F" w:rsidR="00EF0F77" w:rsidRPr="00BC4931" w:rsidRDefault="00EF0F77" w:rsidP="00B21723">
            <w:pPr>
              <w:pStyle w:val="Table7pttext"/>
              <w:spacing w:after="60"/>
            </w:pPr>
            <w:r w:rsidRPr="00BC4931">
              <w:t xml:space="preserve">1.31 </w:t>
            </w:r>
          </w:p>
          <w:p w14:paraId="64EE2932" w14:textId="6539AE17" w:rsidR="00EF0F77" w:rsidRPr="00BC4931" w:rsidRDefault="00EF0F77" w:rsidP="00B21723">
            <w:pPr>
              <w:pStyle w:val="Table7pttext"/>
              <w:spacing w:after="60"/>
            </w:pPr>
            <w:r w:rsidRPr="00BC4931">
              <w:t>(201</w:t>
            </w:r>
            <w:r w:rsidR="004D110F">
              <w:t>4</w:t>
            </w:r>
            <w:r w:rsidRPr="00BC4931">
              <w:t>–1</w:t>
            </w:r>
            <w:r w:rsidR="004D110F">
              <w:t>5</w:t>
            </w:r>
            <w:r w:rsidRPr="00BC4931">
              <w:t>)</w:t>
            </w:r>
          </w:p>
        </w:tc>
        <w:tc>
          <w:tcPr>
            <w:tcW w:w="1325" w:type="dxa"/>
            <w:tcMar>
              <w:top w:w="80" w:type="dxa"/>
              <w:left w:w="80" w:type="dxa"/>
              <w:bottom w:w="80" w:type="dxa"/>
              <w:right w:w="80" w:type="dxa"/>
            </w:tcMar>
          </w:tcPr>
          <w:p w14:paraId="1FAF5DF9" w14:textId="77777777" w:rsidR="00EF0F77" w:rsidRPr="00BC4931" w:rsidRDefault="00EF0F77" w:rsidP="00B21723">
            <w:pPr>
              <w:pStyle w:val="Table7pttext"/>
              <w:spacing w:after="60"/>
            </w:pPr>
            <w:r w:rsidRPr="00BC4931">
              <w:t>1.</w:t>
            </w:r>
            <w:r>
              <w:t>19</w:t>
            </w:r>
          </w:p>
          <w:p w14:paraId="67F33BA5" w14:textId="4F0AA62C" w:rsidR="006A50D4" w:rsidRDefault="00EF0F77" w:rsidP="00B21723">
            <w:pPr>
              <w:pStyle w:val="Table7pttext"/>
              <w:spacing w:after="60"/>
            </w:pPr>
            <w:r w:rsidRPr="00BC4931">
              <w:t>(201</w:t>
            </w:r>
            <w:r w:rsidR="004D110F">
              <w:t>5</w:t>
            </w:r>
            <w:r w:rsidRPr="00BC4931">
              <w:t>–1</w:t>
            </w:r>
            <w:r w:rsidR="004D110F">
              <w:t>6</w:t>
            </w:r>
            <w:r w:rsidRPr="00BC4931">
              <w:t>)</w:t>
            </w:r>
          </w:p>
          <w:p w14:paraId="5B3F0DD6" w14:textId="2FEAF8B5" w:rsidR="00EF0F77" w:rsidRPr="00BC4931" w:rsidRDefault="00D45052" w:rsidP="00B21723">
            <w:pPr>
              <w:pStyle w:val="Table7pttext"/>
              <w:spacing w:after="60"/>
            </w:pPr>
            <w:r>
              <w:t>1.19</w:t>
            </w:r>
          </w:p>
          <w:p w14:paraId="1D02ADE0" w14:textId="4AE6D4D9" w:rsidR="00EF0F77" w:rsidRPr="00BC4931" w:rsidRDefault="00EF0F77" w:rsidP="004D110F">
            <w:pPr>
              <w:pStyle w:val="Table7pttext"/>
              <w:spacing w:after="60"/>
            </w:pPr>
            <w:r w:rsidRPr="00BC4931">
              <w:t>(201</w:t>
            </w:r>
            <w:r w:rsidR="004D110F">
              <w:t>4</w:t>
            </w:r>
            <w:r w:rsidRPr="00BC4931">
              <w:t>–1</w:t>
            </w:r>
            <w:r w:rsidR="004D110F">
              <w:t>5</w:t>
            </w:r>
            <w:r w:rsidRPr="00BC4931">
              <w:t>)</w:t>
            </w:r>
          </w:p>
        </w:tc>
        <w:tc>
          <w:tcPr>
            <w:tcW w:w="1325" w:type="dxa"/>
            <w:tcMar>
              <w:top w:w="80" w:type="dxa"/>
              <w:left w:w="80" w:type="dxa"/>
              <w:bottom w:w="80" w:type="dxa"/>
              <w:right w:w="80" w:type="dxa"/>
            </w:tcMar>
          </w:tcPr>
          <w:p w14:paraId="0AD529C5" w14:textId="5256EB0D" w:rsidR="00EF0F77" w:rsidRPr="00BC4931" w:rsidRDefault="00EF0F77" w:rsidP="00B21723">
            <w:pPr>
              <w:pStyle w:val="Table7pttext"/>
              <w:spacing w:after="60"/>
            </w:pPr>
            <w:r w:rsidRPr="00BC4931">
              <w:t>1</w:t>
            </w:r>
            <w:r w:rsidR="00D45052">
              <w:t>.16</w:t>
            </w:r>
          </w:p>
          <w:p w14:paraId="462AAAC7" w14:textId="06F1D3A2" w:rsidR="006A50D4" w:rsidRDefault="00EF0F77" w:rsidP="00B21723">
            <w:pPr>
              <w:pStyle w:val="Table7pttext"/>
              <w:spacing w:after="60"/>
            </w:pPr>
            <w:r w:rsidRPr="00BC4931">
              <w:t>(201</w:t>
            </w:r>
            <w:r w:rsidR="00AB512E">
              <w:t>5</w:t>
            </w:r>
            <w:r w:rsidRPr="00BC4931">
              <w:t>–1</w:t>
            </w:r>
            <w:r w:rsidR="00AB512E">
              <w:t>6</w:t>
            </w:r>
            <w:r w:rsidRPr="00BC4931">
              <w:t>)</w:t>
            </w:r>
          </w:p>
          <w:p w14:paraId="6ABCF118" w14:textId="0816BBB5" w:rsidR="00EF0F77" w:rsidRPr="00BC4931" w:rsidRDefault="00D45052" w:rsidP="00B21723">
            <w:pPr>
              <w:pStyle w:val="Table7pttext"/>
              <w:spacing w:after="60"/>
            </w:pPr>
            <w:r>
              <w:t>1.19</w:t>
            </w:r>
          </w:p>
          <w:p w14:paraId="6D7A2758" w14:textId="737F27A5" w:rsidR="00EF0F77" w:rsidRPr="00BC4931" w:rsidRDefault="00EF0F77" w:rsidP="00B21723">
            <w:pPr>
              <w:pStyle w:val="Table7pttext"/>
              <w:spacing w:after="60"/>
            </w:pPr>
            <w:r w:rsidRPr="00BC4931">
              <w:t>(201</w:t>
            </w:r>
            <w:r w:rsidR="00AB512E">
              <w:t>4</w:t>
            </w:r>
            <w:r w:rsidRPr="00BC4931">
              <w:t>–1</w:t>
            </w:r>
            <w:r w:rsidR="00AB512E">
              <w:t>5</w:t>
            </w:r>
            <w:r w:rsidRPr="00BC4931">
              <w:t>)</w:t>
            </w:r>
          </w:p>
        </w:tc>
        <w:tc>
          <w:tcPr>
            <w:tcW w:w="1325" w:type="dxa"/>
            <w:tcMar>
              <w:top w:w="80" w:type="dxa"/>
              <w:left w:w="80" w:type="dxa"/>
              <w:bottom w:w="80" w:type="dxa"/>
              <w:right w:w="80" w:type="dxa"/>
            </w:tcMar>
          </w:tcPr>
          <w:p w14:paraId="02443DF4" w14:textId="1F9F9C38" w:rsidR="00EF0F77" w:rsidRPr="00BC4931" w:rsidRDefault="00D45052" w:rsidP="00B21723">
            <w:pPr>
              <w:pStyle w:val="Table7pttext"/>
              <w:spacing w:after="60"/>
            </w:pPr>
            <w:r>
              <w:t>1.89</w:t>
            </w:r>
          </w:p>
          <w:p w14:paraId="3D2FD39C" w14:textId="71EBA670" w:rsidR="006A50D4" w:rsidRDefault="00EF0F77" w:rsidP="00B21723">
            <w:pPr>
              <w:pStyle w:val="Table7pttext"/>
              <w:spacing w:after="60"/>
            </w:pPr>
            <w:r w:rsidRPr="00BC4931">
              <w:t>(201</w:t>
            </w:r>
            <w:r w:rsidR="00AB512E">
              <w:t>5</w:t>
            </w:r>
            <w:r w:rsidR="004659C4">
              <w:t>–</w:t>
            </w:r>
            <w:r w:rsidRPr="00BC4931">
              <w:t>1</w:t>
            </w:r>
            <w:r w:rsidR="00AB512E">
              <w:t>6</w:t>
            </w:r>
            <w:r w:rsidRPr="00BC4931">
              <w:t>)</w:t>
            </w:r>
          </w:p>
          <w:p w14:paraId="6605B546" w14:textId="5F8D9CC5" w:rsidR="00EF0F77" w:rsidRPr="00BC4931" w:rsidRDefault="00EF0F77" w:rsidP="00B21723">
            <w:pPr>
              <w:pStyle w:val="Table7pttext"/>
              <w:spacing w:after="60"/>
            </w:pPr>
            <w:r w:rsidRPr="00BC4931">
              <w:t>2.</w:t>
            </w:r>
            <w:r w:rsidR="00D45052">
              <w:t>42</w:t>
            </w:r>
          </w:p>
          <w:p w14:paraId="0408205D" w14:textId="3D1AE173" w:rsidR="00EF0F77" w:rsidRPr="00BC4931" w:rsidRDefault="00EF0F77" w:rsidP="00AB512E">
            <w:pPr>
              <w:pStyle w:val="Table7pttext"/>
              <w:spacing w:after="60"/>
            </w:pPr>
            <w:r w:rsidRPr="00BC4931">
              <w:t>(201</w:t>
            </w:r>
            <w:r w:rsidR="00AB512E">
              <w:t>4</w:t>
            </w:r>
            <w:r w:rsidRPr="00BC4931">
              <w:t>–1</w:t>
            </w:r>
            <w:r w:rsidR="00AB512E">
              <w:t>5</w:t>
            </w:r>
            <w:r w:rsidRPr="00BC4931">
              <w:t>)</w:t>
            </w:r>
          </w:p>
        </w:tc>
        <w:tc>
          <w:tcPr>
            <w:tcW w:w="1325" w:type="dxa"/>
            <w:tcMar>
              <w:top w:w="80" w:type="dxa"/>
              <w:left w:w="80" w:type="dxa"/>
              <w:bottom w:w="80" w:type="dxa"/>
              <w:right w:w="80" w:type="dxa"/>
            </w:tcMar>
          </w:tcPr>
          <w:p w14:paraId="46CE52C5" w14:textId="3C8329CF" w:rsidR="00EF0F77" w:rsidRPr="00BC4931" w:rsidRDefault="00EF0F77" w:rsidP="00B21723">
            <w:pPr>
              <w:pStyle w:val="Table7pttext"/>
              <w:spacing w:after="60"/>
            </w:pPr>
            <w:r>
              <w:t>1</w:t>
            </w:r>
            <w:r w:rsidR="00AB512E">
              <w:t>.55</w:t>
            </w:r>
          </w:p>
          <w:p w14:paraId="1C5C05BB" w14:textId="5BE56A3B" w:rsidR="006A50D4" w:rsidRDefault="00EF0F77" w:rsidP="00B21723">
            <w:pPr>
              <w:pStyle w:val="Table7pttext"/>
              <w:spacing w:after="60"/>
            </w:pPr>
            <w:r w:rsidRPr="00BC4931">
              <w:t>(201</w:t>
            </w:r>
            <w:r w:rsidR="00AB512E">
              <w:t>5</w:t>
            </w:r>
            <w:r w:rsidR="004659C4">
              <w:t>–</w:t>
            </w:r>
            <w:r w:rsidRPr="00BC4931">
              <w:t>1</w:t>
            </w:r>
            <w:r w:rsidR="00AB512E">
              <w:t>6</w:t>
            </w:r>
            <w:r w:rsidRPr="00BC4931">
              <w:t>)</w:t>
            </w:r>
          </w:p>
          <w:p w14:paraId="1BAEBDE2" w14:textId="3A61347E" w:rsidR="00EF0F77" w:rsidRPr="00BC4931" w:rsidRDefault="00D45052" w:rsidP="00B21723">
            <w:pPr>
              <w:pStyle w:val="Table7pttext"/>
              <w:spacing w:after="60"/>
            </w:pPr>
            <w:r>
              <w:t>1.58</w:t>
            </w:r>
          </w:p>
          <w:p w14:paraId="19B752C8" w14:textId="52475B3E" w:rsidR="00EF0F77" w:rsidRPr="00BC4931" w:rsidRDefault="00EF0F77" w:rsidP="00AB512E">
            <w:pPr>
              <w:pStyle w:val="Table7pttext"/>
              <w:spacing w:after="60"/>
            </w:pPr>
            <w:r w:rsidRPr="00BC4931">
              <w:t>(201</w:t>
            </w:r>
            <w:r w:rsidR="00AB512E">
              <w:t>4</w:t>
            </w:r>
            <w:r w:rsidRPr="00BC4931">
              <w:t>–1</w:t>
            </w:r>
            <w:r w:rsidR="00AB512E">
              <w:t>5</w:t>
            </w:r>
            <w:r w:rsidRPr="00BC4931">
              <w:t>)</w:t>
            </w:r>
          </w:p>
        </w:tc>
        <w:tc>
          <w:tcPr>
            <w:tcW w:w="1325" w:type="dxa"/>
            <w:tcMar>
              <w:top w:w="80" w:type="dxa"/>
              <w:left w:w="80" w:type="dxa"/>
              <w:bottom w:w="80" w:type="dxa"/>
              <w:right w:w="80" w:type="dxa"/>
            </w:tcMar>
          </w:tcPr>
          <w:p w14:paraId="28EF87AB" w14:textId="0E4CF8DF" w:rsidR="00EF0F77" w:rsidRPr="00BC4931" w:rsidRDefault="00EF0F77" w:rsidP="00B21723">
            <w:pPr>
              <w:pStyle w:val="Table7pttext"/>
              <w:spacing w:after="60"/>
            </w:pPr>
            <w:r w:rsidRPr="00BC4931">
              <w:t>1.</w:t>
            </w:r>
            <w:r w:rsidR="00AB512E">
              <w:t>62</w:t>
            </w:r>
          </w:p>
          <w:p w14:paraId="7805F97F" w14:textId="1239A638" w:rsidR="006A50D4" w:rsidRDefault="00EF0F77" w:rsidP="00B21723">
            <w:pPr>
              <w:pStyle w:val="Table7pttext"/>
              <w:spacing w:after="60"/>
            </w:pPr>
            <w:r w:rsidRPr="00BC4931">
              <w:t>(201</w:t>
            </w:r>
            <w:r w:rsidR="00AB512E">
              <w:t>5</w:t>
            </w:r>
            <w:r w:rsidR="004659C4">
              <w:t>–</w:t>
            </w:r>
            <w:r w:rsidRPr="00BC4931">
              <w:t>1</w:t>
            </w:r>
            <w:r w:rsidR="00AB512E">
              <w:t>6</w:t>
            </w:r>
            <w:r w:rsidRPr="00BC4931">
              <w:t>)</w:t>
            </w:r>
          </w:p>
          <w:p w14:paraId="30EC69B6" w14:textId="79B410B1" w:rsidR="00EF0F77" w:rsidRPr="00BC4931" w:rsidRDefault="00EF0F77" w:rsidP="00B21723">
            <w:pPr>
              <w:pStyle w:val="Table7pttext"/>
              <w:spacing w:after="60"/>
            </w:pPr>
            <w:r w:rsidRPr="00BC4931">
              <w:t>1.</w:t>
            </w:r>
            <w:r w:rsidR="00D45052">
              <w:t>71</w:t>
            </w:r>
          </w:p>
          <w:p w14:paraId="78A04ACC" w14:textId="1A329E8C" w:rsidR="00EF0F77" w:rsidRPr="00BC4931" w:rsidRDefault="00EF0F77" w:rsidP="00AB512E">
            <w:pPr>
              <w:pStyle w:val="Table7pttext"/>
              <w:spacing w:after="60"/>
            </w:pPr>
            <w:r w:rsidRPr="00BC4931">
              <w:t>(201</w:t>
            </w:r>
            <w:r w:rsidR="00AB512E">
              <w:t>4</w:t>
            </w:r>
            <w:r w:rsidRPr="00BC4931">
              <w:t>–1</w:t>
            </w:r>
            <w:r w:rsidR="00AB512E">
              <w:t>5</w:t>
            </w:r>
            <w:r w:rsidRPr="00BC4931">
              <w:t>)</w:t>
            </w:r>
          </w:p>
        </w:tc>
        <w:tc>
          <w:tcPr>
            <w:tcW w:w="1325" w:type="dxa"/>
            <w:tcMar>
              <w:top w:w="80" w:type="dxa"/>
              <w:left w:w="80" w:type="dxa"/>
              <w:bottom w:w="80" w:type="dxa"/>
              <w:right w:w="80" w:type="dxa"/>
            </w:tcMar>
          </w:tcPr>
          <w:p w14:paraId="38627297" w14:textId="334025D3" w:rsidR="00EF0F77" w:rsidRPr="00BC4931" w:rsidRDefault="00EF0F77" w:rsidP="00B21723">
            <w:pPr>
              <w:pStyle w:val="Table7pttext"/>
              <w:spacing w:after="60"/>
            </w:pPr>
            <w:r>
              <w:t>1</w:t>
            </w:r>
            <w:r w:rsidR="00AB512E">
              <w:t>.74</w:t>
            </w:r>
          </w:p>
          <w:p w14:paraId="22B48CE4" w14:textId="1BF4731D" w:rsidR="006A50D4" w:rsidRDefault="00EF0F77" w:rsidP="00B21723">
            <w:pPr>
              <w:pStyle w:val="Table7pttext"/>
              <w:spacing w:after="60"/>
            </w:pPr>
            <w:r w:rsidRPr="00BC4931">
              <w:t>(201</w:t>
            </w:r>
            <w:r w:rsidR="00AB512E">
              <w:t>5</w:t>
            </w:r>
            <w:r w:rsidR="004659C4">
              <w:t>–</w:t>
            </w:r>
            <w:r w:rsidRPr="00BC4931">
              <w:t>1</w:t>
            </w:r>
            <w:r w:rsidR="00AB512E">
              <w:t>6</w:t>
            </w:r>
            <w:r w:rsidRPr="00BC4931">
              <w:t>)</w:t>
            </w:r>
          </w:p>
          <w:p w14:paraId="2D0CCC80" w14:textId="29ED2AB6" w:rsidR="00EF0F77" w:rsidRPr="00BC4931" w:rsidRDefault="00AB512E" w:rsidP="00B21723">
            <w:pPr>
              <w:pStyle w:val="Table7pttext"/>
              <w:spacing w:after="60"/>
            </w:pPr>
            <w:r>
              <w:t>1.84</w:t>
            </w:r>
          </w:p>
          <w:p w14:paraId="5F0E1A86" w14:textId="74FEB62F" w:rsidR="00EF0F77" w:rsidRPr="00BC4931" w:rsidRDefault="00EF0F77" w:rsidP="00B21723">
            <w:pPr>
              <w:pStyle w:val="Table7pttext"/>
              <w:spacing w:after="60"/>
            </w:pPr>
            <w:r w:rsidRPr="00BC4931">
              <w:t>(201</w:t>
            </w:r>
            <w:r w:rsidR="00AB512E">
              <w:t>4</w:t>
            </w:r>
            <w:r w:rsidRPr="00BC4931">
              <w:t>–1</w:t>
            </w:r>
            <w:r w:rsidR="00AB512E">
              <w:t>5</w:t>
            </w:r>
            <w:r w:rsidRPr="00BC4931">
              <w:t>)</w:t>
            </w:r>
          </w:p>
        </w:tc>
        <w:tc>
          <w:tcPr>
            <w:tcW w:w="1325" w:type="dxa"/>
            <w:tcMar>
              <w:top w:w="80" w:type="dxa"/>
              <w:left w:w="80" w:type="dxa"/>
              <w:bottom w:w="80" w:type="dxa"/>
              <w:right w:w="80" w:type="dxa"/>
            </w:tcMar>
          </w:tcPr>
          <w:p w14:paraId="3B1C6038" w14:textId="66178FC7" w:rsidR="00EF0F77" w:rsidRPr="00BC4931" w:rsidRDefault="00EF0F77" w:rsidP="00B21723">
            <w:pPr>
              <w:pStyle w:val="Table7pttext"/>
              <w:spacing w:after="60"/>
            </w:pPr>
            <w:r w:rsidRPr="00BC4931">
              <w:t>1.</w:t>
            </w:r>
            <w:r w:rsidR="00AB512E">
              <w:t>16</w:t>
            </w:r>
          </w:p>
          <w:p w14:paraId="70AF62CE" w14:textId="081E4AF8" w:rsidR="006A50D4" w:rsidRDefault="00EF0F77" w:rsidP="00B21723">
            <w:pPr>
              <w:pStyle w:val="Table7pttext"/>
              <w:spacing w:after="60"/>
            </w:pPr>
            <w:r w:rsidRPr="00BC4931">
              <w:t>(201</w:t>
            </w:r>
            <w:r w:rsidR="00AB512E">
              <w:t>5</w:t>
            </w:r>
            <w:r w:rsidR="004659C4">
              <w:t>–</w:t>
            </w:r>
            <w:r w:rsidRPr="00BC4931">
              <w:t>1</w:t>
            </w:r>
            <w:r w:rsidR="00AB512E">
              <w:t>6</w:t>
            </w:r>
            <w:r w:rsidRPr="00BC4931">
              <w:t>)</w:t>
            </w:r>
          </w:p>
          <w:p w14:paraId="6590C562" w14:textId="33520F49" w:rsidR="00EF0F77" w:rsidRPr="00BC4931" w:rsidRDefault="00AB512E" w:rsidP="00B21723">
            <w:pPr>
              <w:pStyle w:val="Table7pttext"/>
              <w:spacing w:after="60"/>
            </w:pPr>
            <w:r>
              <w:t>1.22</w:t>
            </w:r>
          </w:p>
          <w:p w14:paraId="7DF140CD" w14:textId="0D23E5F5" w:rsidR="00EF0F77" w:rsidRPr="00BC4931" w:rsidRDefault="00EF0F77" w:rsidP="00AB512E">
            <w:pPr>
              <w:pStyle w:val="Table7pttext"/>
              <w:spacing w:after="60"/>
            </w:pPr>
            <w:r w:rsidRPr="00BC4931">
              <w:t>(201</w:t>
            </w:r>
            <w:r w:rsidR="00AB512E">
              <w:t>4</w:t>
            </w:r>
            <w:r w:rsidRPr="00BC4931">
              <w:t>–1</w:t>
            </w:r>
            <w:r w:rsidR="00AB512E">
              <w:t>5</w:t>
            </w:r>
            <w:r w:rsidRPr="00BC4931">
              <w:t>)</w:t>
            </w:r>
          </w:p>
        </w:tc>
        <w:tc>
          <w:tcPr>
            <w:tcW w:w="1325" w:type="dxa"/>
            <w:tcMar>
              <w:top w:w="80" w:type="dxa"/>
              <w:left w:w="80" w:type="dxa"/>
              <w:bottom w:w="80" w:type="dxa"/>
              <w:right w:w="80" w:type="dxa"/>
            </w:tcMar>
          </w:tcPr>
          <w:p w14:paraId="2B4FF082" w14:textId="14EAE1E9" w:rsidR="00EF0F77" w:rsidRPr="00BC4931" w:rsidRDefault="00EF0F77" w:rsidP="00B21723">
            <w:pPr>
              <w:pStyle w:val="Table7pttext"/>
              <w:spacing w:after="60"/>
            </w:pPr>
            <w:r w:rsidRPr="00BC4931">
              <w:t>0</w:t>
            </w:r>
            <w:r w:rsidR="00D45052">
              <w:t>.47</w:t>
            </w:r>
          </w:p>
          <w:p w14:paraId="0E6E7A18" w14:textId="26761E82" w:rsidR="006A50D4" w:rsidRDefault="00EF0F77" w:rsidP="00B21723">
            <w:pPr>
              <w:pStyle w:val="Table7pttext"/>
              <w:spacing w:after="60"/>
            </w:pPr>
            <w:r w:rsidRPr="00BC4931">
              <w:t>(201</w:t>
            </w:r>
            <w:r w:rsidR="00AB512E">
              <w:t>5</w:t>
            </w:r>
            <w:r w:rsidR="004659C4">
              <w:t>–</w:t>
            </w:r>
            <w:r w:rsidRPr="00BC4931">
              <w:t>1</w:t>
            </w:r>
            <w:r w:rsidR="00AB512E">
              <w:t>6</w:t>
            </w:r>
            <w:r w:rsidRPr="00BC4931">
              <w:t>)</w:t>
            </w:r>
          </w:p>
          <w:p w14:paraId="30A9ECA9" w14:textId="728FA6FF" w:rsidR="00EF0F77" w:rsidRPr="00BC4931" w:rsidRDefault="00D45052" w:rsidP="00B21723">
            <w:pPr>
              <w:pStyle w:val="Table7pttext"/>
              <w:spacing w:after="60"/>
            </w:pPr>
            <w:r>
              <w:t>0.61</w:t>
            </w:r>
          </w:p>
          <w:p w14:paraId="01E8DC20" w14:textId="2495A30D" w:rsidR="00EF0F77" w:rsidRPr="00BC4931" w:rsidRDefault="00EF0F77" w:rsidP="00AB512E">
            <w:pPr>
              <w:pStyle w:val="Table7pttext"/>
              <w:spacing w:after="60"/>
              <w:rPr>
                <w:highlight w:val="yellow"/>
              </w:rPr>
            </w:pPr>
            <w:r w:rsidRPr="00BC4931">
              <w:t>(201</w:t>
            </w:r>
            <w:r w:rsidR="00AB512E">
              <w:t>4</w:t>
            </w:r>
            <w:r w:rsidRPr="00BC4931">
              <w:t>–1</w:t>
            </w:r>
            <w:r w:rsidR="00AB512E">
              <w:t>5</w:t>
            </w:r>
            <w:r w:rsidRPr="00BC4931">
              <w:t>)</w:t>
            </w:r>
          </w:p>
        </w:tc>
      </w:tr>
      <w:tr w:rsidR="00C65EB9" w:rsidRPr="00BC4931" w14:paraId="4A50462F" w14:textId="77777777" w:rsidTr="00FB729B">
        <w:tc>
          <w:tcPr>
            <w:tcW w:w="2127" w:type="dxa"/>
            <w:shd w:val="clear" w:color="auto" w:fill="FFC9C9"/>
            <w:tcMar>
              <w:top w:w="80" w:type="dxa"/>
              <w:left w:w="80" w:type="dxa"/>
              <w:bottom w:w="80" w:type="dxa"/>
              <w:right w:w="80" w:type="dxa"/>
            </w:tcMar>
          </w:tcPr>
          <w:p w14:paraId="1786961F" w14:textId="77777777" w:rsidR="00EF0F77" w:rsidRPr="00BC4931" w:rsidRDefault="00EF0F77" w:rsidP="00B21723">
            <w:pPr>
              <w:pStyle w:val="TableColumn1bold"/>
              <w:spacing w:after="60"/>
            </w:pPr>
            <w:r w:rsidRPr="00BC4931">
              <w:t>Standardised Funding Ratio (%)</w:t>
            </w:r>
          </w:p>
        </w:tc>
        <w:tc>
          <w:tcPr>
            <w:tcW w:w="1324" w:type="dxa"/>
            <w:shd w:val="clear" w:color="auto" w:fill="FFC9C9"/>
            <w:tcMar>
              <w:top w:w="80" w:type="dxa"/>
              <w:left w:w="80" w:type="dxa"/>
              <w:bottom w:w="80" w:type="dxa"/>
              <w:right w:w="80" w:type="dxa"/>
            </w:tcMar>
          </w:tcPr>
          <w:p w14:paraId="2139ED4B" w14:textId="54E5FD88" w:rsidR="00EF0F77" w:rsidRPr="00BC4931" w:rsidRDefault="00D45052" w:rsidP="00B21723">
            <w:pPr>
              <w:pStyle w:val="Table7pttext"/>
              <w:spacing w:after="60"/>
            </w:pPr>
            <w:r>
              <w:t>125</w:t>
            </w:r>
          </w:p>
          <w:p w14:paraId="46511B68" w14:textId="5E8CABA7" w:rsidR="00EF0F77" w:rsidRPr="00BC4931" w:rsidRDefault="00EF0F77" w:rsidP="00B21723">
            <w:pPr>
              <w:pStyle w:val="Table7pttext"/>
              <w:spacing w:after="60"/>
            </w:pPr>
            <w:r w:rsidRPr="00BC4931">
              <w:t>(201</w:t>
            </w:r>
            <w:r w:rsidR="00A53193">
              <w:t>5</w:t>
            </w:r>
            <w:r w:rsidRPr="00BC4931">
              <w:t>–1</w:t>
            </w:r>
            <w:r w:rsidR="00A53193">
              <w:t>6</w:t>
            </w:r>
            <w:r w:rsidRPr="00BC4931">
              <w:t>)</w:t>
            </w:r>
          </w:p>
        </w:tc>
        <w:tc>
          <w:tcPr>
            <w:tcW w:w="1325" w:type="dxa"/>
            <w:shd w:val="clear" w:color="auto" w:fill="FFC9C9"/>
            <w:tcMar>
              <w:top w:w="80" w:type="dxa"/>
              <w:left w:w="80" w:type="dxa"/>
              <w:bottom w:w="80" w:type="dxa"/>
              <w:right w:w="80" w:type="dxa"/>
            </w:tcMar>
          </w:tcPr>
          <w:p w14:paraId="3095315C" w14:textId="5B5FAE58" w:rsidR="00EF0F77" w:rsidRPr="00BC4931" w:rsidRDefault="00A53193" w:rsidP="00B21723">
            <w:pPr>
              <w:pStyle w:val="Table7pttext"/>
              <w:spacing w:after="60"/>
            </w:pPr>
            <w:r>
              <w:t>127</w:t>
            </w:r>
          </w:p>
          <w:p w14:paraId="66936252" w14:textId="00F8F139" w:rsidR="00EF0F77" w:rsidRPr="00BC4931" w:rsidRDefault="00EF0F77" w:rsidP="00A53193">
            <w:pPr>
              <w:pStyle w:val="Table7pttext"/>
              <w:spacing w:after="60"/>
            </w:pPr>
            <w:r w:rsidRPr="00BC4931">
              <w:t>(201</w:t>
            </w:r>
            <w:r w:rsidR="00A53193">
              <w:t>5</w:t>
            </w:r>
            <w:r w:rsidRPr="00BC4931">
              <w:t>–1</w:t>
            </w:r>
            <w:r w:rsidR="00A53193">
              <w:t>6</w:t>
            </w:r>
            <w:r w:rsidRPr="00BC4931">
              <w:t>)</w:t>
            </w:r>
          </w:p>
        </w:tc>
        <w:tc>
          <w:tcPr>
            <w:tcW w:w="1325" w:type="dxa"/>
            <w:shd w:val="clear" w:color="auto" w:fill="FFC9C9"/>
            <w:tcMar>
              <w:top w:w="80" w:type="dxa"/>
              <w:left w:w="80" w:type="dxa"/>
              <w:bottom w:w="80" w:type="dxa"/>
              <w:right w:w="80" w:type="dxa"/>
            </w:tcMar>
          </w:tcPr>
          <w:p w14:paraId="3F2FE411" w14:textId="024A3FF0" w:rsidR="00EF0F77" w:rsidRPr="00BC4931" w:rsidRDefault="00EF0F77" w:rsidP="00B21723">
            <w:pPr>
              <w:pStyle w:val="Table7pttext"/>
              <w:spacing w:after="60"/>
            </w:pPr>
            <w:r>
              <w:t>1</w:t>
            </w:r>
            <w:r w:rsidR="00A53193">
              <w:t>84</w:t>
            </w:r>
          </w:p>
          <w:p w14:paraId="2B4D38D1" w14:textId="6A73BB0E" w:rsidR="00EF0F77" w:rsidRPr="00BC4931" w:rsidRDefault="00EF0F77" w:rsidP="00B21723">
            <w:pPr>
              <w:pStyle w:val="Table7pttext"/>
              <w:spacing w:after="60"/>
            </w:pPr>
            <w:r w:rsidRPr="00BC4931">
              <w:t>(201</w:t>
            </w:r>
            <w:r w:rsidR="00A53193">
              <w:t>5</w:t>
            </w:r>
            <w:r w:rsidRPr="00BC4931">
              <w:t>–1</w:t>
            </w:r>
            <w:r w:rsidR="00A53193">
              <w:t>6</w:t>
            </w:r>
            <w:r w:rsidRPr="00BC4931">
              <w:t>)</w:t>
            </w:r>
          </w:p>
        </w:tc>
        <w:tc>
          <w:tcPr>
            <w:tcW w:w="1325" w:type="dxa"/>
            <w:shd w:val="clear" w:color="auto" w:fill="FFC9C9"/>
            <w:tcMar>
              <w:top w:w="80" w:type="dxa"/>
              <w:left w:w="80" w:type="dxa"/>
              <w:bottom w:w="80" w:type="dxa"/>
              <w:right w:w="80" w:type="dxa"/>
            </w:tcMar>
          </w:tcPr>
          <w:p w14:paraId="4C897F32" w14:textId="77777777" w:rsidR="00EF0F77" w:rsidRPr="00BC4931" w:rsidRDefault="00EF0F77" w:rsidP="00B21723">
            <w:pPr>
              <w:pStyle w:val="Table7pttext"/>
              <w:spacing w:after="60"/>
            </w:pPr>
            <w:r>
              <w:t>136</w:t>
            </w:r>
          </w:p>
          <w:p w14:paraId="50897A6F" w14:textId="4DE9A4F3" w:rsidR="00EF0F77" w:rsidRPr="00BC4931" w:rsidRDefault="00EF0F77" w:rsidP="00B21723">
            <w:pPr>
              <w:pStyle w:val="Table7pttext"/>
              <w:spacing w:after="60"/>
            </w:pPr>
            <w:r w:rsidRPr="00BC4931">
              <w:t>(201</w:t>
            </w:r>
            <w:r w:rsidR="00BD3711">
              <w:t>5</w:t>
            </w:r>
            <w:r w:rsidRPr="00BC4931">
              <w:t>–1</w:t>
            </w:r>
            <w:r w:rsidR="00BD3711">
              <w:t>6</w:t>
            </w:r>
            <w:r w:rsidR="00DD0D68">
              <w:t>)</w:t>
            </w:r>
          </w:p>
        </w:tc>
        <w:tc>
          <w:tcPr>
            <w:tcW w:w="1325" w:type="dxa"/>
            <w:shd w:val="clear" w:color="auto" w:fill="FFC9C9"/>
            <w:tcMar>
              <w:top w:w="80" w:type="dxa"/>
              <w:left w:w="80" w:type="dxa"/>
              <w:bottom w:w="80" w:type="dxa"/>
              <w:right w:w="80" w:type="dxa"/>
            </w:tcMar>
          </w:tcPr>
          <w:p w14:paraId="452AD20F" w14:textId="4A811F02" w:rsidR="00EF0F77" w:rsidRPr="00BC4931" w:rsidRDefault="00D45052" w:rsidP="00B21723">
            <w:pPr>
              <w:pStyle w:val="Table7pttext"/>
              <w:spacing w:after="60"/>
            </w:pPr>
            <w:r>
              <w:t>114</w:t>
            </w:r>
          </w:p>
          <w:p w14:paraId="4848F02A" w14:textId="7C80D3FD" w:rsidR="00EF0F77" w:rsidRPr="00BC4931" w:rsidRDefault="00EF0F77" w:rsidP="00B21723">
            <w:pPr>
              <w:pStyle w:val="Table7pttext"/>
              <w:spacing w:after="60"/>
            </w:pPr>
            <w:r w:rsidRPr="00BC4931">
              <w:t>(201</w:t>
            </w:r>
            <w:r w:rsidR="00BD3711">
              <w:t>5</w:t>
            </w:r>
            <w:r w:rsidRPr="00BC4931">
              <w:t>–1</w:t>
            </w:r>
            <w:r w:rsidR="00BD3711">
              <w:t>6</w:t>
            </w:r>
            <w:r w:rsidR="00DD0D68">
              <w:t>)</w:t>
            </w:r>
          </w:p>
        </w:tc>
        <w:tc>
          <w:tcPr>
            <w:tcW w:w="1325" w:type="dxa"/>
            <w:shd w:val="clear" w:color="auto" w:fill="FFC9C9"/>
            <w:tcMar>
              <w:top w:w="80" w:type="dxa"/>
              <w:left w:w="80" w:type="dxa"/>
              <w:bottom w:w="80" w:type="dxa"/>
              <w:right w:w="80" w:type="dxa"/>
            </w:tcMar>
          </w:tcPr>
          <w:p w14:paraId="31325CF7" w14:textId="7E8978BF" w:rsidR="00EF0F77" w:rsidRPr="00BC4931" w:rsidRDefault="00BD3711" w:rsidP="00B21723">
            <w:pPr>
              <w:pStyle w:val="Table7pttext"/>
              <w:spacing w:after="60"/>
            </w:pPr>
            <w:r>
              <w:t>135</w:t>
            </w:r>
          </w:p>
          <w:p w14:paraId="488C5287" w14:textId="12699BA5" w:rsidR="00EF0F77" w:rsidRPr="00BC4931" w:rsidRDefault="00EF0F77" w:rsidP="00B21723">
            <w:pPr>
              <w:pStyle w:val="Table7pttext"/>
              <w:spacing w:after="60"/>
            </w:pPr>
            <w:r w:rsidRPr="00BC4931">
              <w:t>(201</w:t>
            </w:r>
            <w:r w:rsidR="00BD3711">
              <w:t>5</w:t>
            </w:r>
            <w:r w:rsidRPr="00BC4931">
              <w:t>–1</w:t>
            </w:r>
            <w:r w:rsidR="00BD3711">
              <w:t>6</w:t>
            </w:r>
            <w:r w:rsidRPr="00BC4931">
              <w:t>)</w:t>
            </w:r>
          </w:p>
        </w:tc>
        <w:tc>
          <w:tcPr>
            <w:tcW w:w="1325" w:type="dxa"/>
            <w:shd w:val="clear" w:color="auto" w:fill="FFC9C9"/>
            <w:tcMar>
              <w:top w:w="80" w:type="dxa"/>
              <w:left w:w="80" w:type="dxa"/>
              <w:bottom w:w="80" w:type="dxa"/>
              <w:right w:w="80" w:type="dxa"/>
            </w:tcMar>
          </w:tcPr>
          <w:p w14:paraId="4A46EC98" w14:textId="66FE8CFB" w:rsidR="00EF0F77" w:rsidRPr="00BC4931" w:rsidRDefault="00BD3711" w:rsidP="00B21723">
            <w:pPr>
              <w:pStyle w:val="Table7pttext"/>
              <w:spacing w:after="60"/>
            </w:pPr>
            <w:r>
              <w:t>102</w:t>
            </w:r>
          </w:p>
          <w:p w14:paraId="02FA1851" w14:textId="1E6474F7" w:rsidR="00EF0F77" w:rsidRPr="00BC4931" w:rsidRDefault="00EF0F77" w:rsidP="00B21723">
            <w:pPr>
              <w:pStyle w:val="Table7pttext"/>
              <w:spacing w:after="60"/>
            </w:pPr>
            <w:r w:rsidRPr="00BC4931">
              <w:t>(201</w:t>
            </w:r>
            <w:r w:rsidR="00BD3711">
              <w:t>5</w:t>
            </w:r>
            <w:r w:rsidRPr="00BC4931">
              <w:t>–1</w:t>
            </w:r>
            <w:r w:rsidR="00BD3711">
              <w:t>6</w:t>
            </w:r>
            <w:r w:rsidR="00DD0D68">
              <w:t>)</w:t>
            </w:r>
          </w:p>
        </w:tc>
        <w:tc>
          <w:tcPr>
            <w:tcW w:w="1325" w:type="dxa"/>
            <w:shd w:val="clear" w:color="auto" w:fill="FFC9C9"/>
            <w:tcMar>
              <w:top w:w="80" w:type="dxa"/>
              <w:left w:w="80" w:type="dxa"/>
              <w:bottom w:w="80" w:type="dxa"/>
              <w:right w:w="80" w:type="dxa"/>
            </w:tcMar>
          </w:tcPr>
          <w:p w14:paraId="4F837B1F" w14:textId="77777777" w:rsidR="00EF0F77" w:rsidRPr="00BC4931" w:rsidRDefault="00EF0F77" w:rsidP="00B21723">
            <w:pPr>
              <w:pStyle w:val="Table7pttext"/>
              <w:spacing w:after="60"/>
            </w:pPr>
            <w:r w:rsidRPr="00BC4931">
              <w:t>N/A</w:t>
            </w:r>
          </w:p>
        </w:tc>
        <w:tc>
          <w:tcPr>
            <w:tcW w:w="1325" w:type="dxa"/>
            <w:shd w:val="clear" w:color="auto" w:fill="FFC9C9"/>
            <w:tcMar>
              <w:top w:w="80" w:type="dxa"/>
              <w:left w:w="80" w:type="dxa"/>
              <w:bottom w:w="80" w:type="dxa"/>
              <w:right w:w="80" w:type="dxa"/>
            </w:tcMar>
          </w:tcPr>
          <w:p w14:paraId="021727BD" w14:textId="658A0095" w:rsidR="00EF0F77" w:rsidRPr="00BC4931" w:rsidRDefault="00BD3711" w:rsidP="00B21723">
            <w:pPr>
              <w:pStyle w:val="Table7pttext"/>
              <w:spacing w:after="60"/>
            </w:pPr>
            <w:r>
              <w:t>84</w:t>
            </w:r>
          </w:p>
          <w:p w14:paraId="648840E1" w14:textId="2CC4C489" w:rsidR="00EF0F77" w:rsidRPr="00BC4931" w:rsidRDefault="00EF0F77" w:rsidP="00B21723">
            <w:pPr>
              <w:pStyle w:val="Table7pttext"/>
              <w:spacing w:after="60"/>
            </w:pPr>
            <w:r w:rsidRPr="00BC4931">
              <w:t>(201</w:t>
            </w:r>
            <w:r w:rsidR="00BD3711">
              <w:t>5</w:t>
            </w:r>
            <w:r w:rsidRPr="00BC4931">
              <w:t>–1</w:t>
            </w:r>
            <w:r w:rsidR="00BD3711">
              <w:t>6</w:t>
            </w:r>
            <w:r w:rsidR="00DD0D68">
              <w:t>)</w:t>
            </w:r>
          </w:p>
        </w:tc>
        <w:tc>
          <w:tcPr>
            <w:tcW w:w="1325" w:type="dxa"/>
            <w:shd w:val="clear" w:color="auto" w:fill="FFC9C9"/>
            <w:tcMar>
              <w:top w:w="80" w:type="dxa"/>
              <w:left w:w="80" w:type="dxa"/>
              <w:bottom w:w="80" w:type="dxa"/>
              <w:right w:w="80" w:type="dxa"/>
            </w:tcMar>
          </w:tcPr>
          <w:p w14:paraId="5A2DE44F" w14:textId="1BCC0201" w:rsidR="00EF0F77" w:rsidRPr="00BC4931" w:rsidRDefault="00BD3711" w:rsidP="00B21723">
            <w:pPr>
              <w:pStyle w:val="Table7pttext"/>
              <w:spacing w:after="60"/>
            </w:pPr>
            <w:r>
              <w:t>162</w:t>
            </w:r>
          </w:p>
          <w:p w14:paraId="69B7C6BE" w14:textId="1AC6CD9B" w:rsidR="00EF0F77" w:rsidRPr="00BC4931" w:rsidRDefault="00EF0F77" w:rsidP="00B21723">
            <w:pPr>
              <w:pStyle w:val="Table7pttext"/>
              <w:spacing w:after="60"/>
            </w:pPr>
            <w:r w:rsidRPr="00BC4931">
              <w:t>(201</w:t>
            </w:r>
            <w:r w:rsidR="00BD3711">
              <w:t>5</w:t>
            </w:r>
            <w:r w:rsidRPr="00BC4931">
              <w:t>–1</w:t>
            </w:r>
            <w:r w:rsidR="00BD3711">
              <w:t>6</w:t>
            </w:r>
            <w:r w:rsidR="00DD0D68">
              <w:t>)</w:t>
            </w:r>
          </w:p>
        </w:tc>
      </w:tr>
      <w:tr w:rsidR="00EF0F77" w:rsidRPr="00BC4931" w14:paraId="2BDBCD51" w14:textId="77777777" w:rsidTr="00FB729B">
        <w:tc>
          <w:tcPr>
            <w:tcW w:w="2127" w:type="dxa"/>
            <w:tcMar>
              <w:top w:w="80" w:type="dxa"/>
              <w:left w:w="80" w:type="dxa"/>
              <w:bottom w:w="80" w:type="dxa"/>
              <w:right w:w="80" w:type="dxa"/>
            </w:tcMar>
          </w:tcPr>
          <w:p w14:paraId="04A146C7" w14:textId="77777777" w:rsidR="00EF0F77" w:rsidRPr="00BC4931" w:rsidRDefault="00EF0F77" w:rsidP="00B21723">
            <w:pPr>
              <w:pStyle w:val="TableColumn1bold"/>
              <w:spacing w:after="60"/>
            </w:pPr>
            <w:r w:rsidRPr="00BC4931">
              <w:t xml:space="preserve">Excess/ Unfunded </w:t>
            </w:r>
          </w:p>
          <w:p w14:paraId="3A2501A2" w14:textId="38736A56" w:rsidR="00EF0F77" w:rsidRPr="00BC4931" w:rsidRDefault="00EF0F77" w:rsidP="00AD6367">
            <w:pPr>
              <w:pStyle w:val="TableColumn1bold"/>
              <w:spacing w:after="60"/>
            </w:pPr>
            <w:r w:rsidRPr="00BC4931">
              <w:t>(30 June 201</w:t>
            </w:r>
            <w:r w:rsidR="00AD6367">
              <w:t>7</w:t>
            </w:r>
            <w:r w:rsidRPr="00BC4931">
              <w:t xml:space="preserve">) </w:t>
            </w:r>
          </w:p>
        </w:tc>
        <w:tc>
          <w:tcPr>
            <w:tcW w:w="1324" w:type="dxa"/>
            <w:tcMar>
              <w:top w:w="80" w:type="dxa"/>
              <w:left w:w="80" w:type="dxa"/>
              <w:bottom w:w="80" w:type="dxa"/>
              <w:right w:w="80" w:type="dxa"/>
            </w:tcMar>
          </w:tcPr>
          <w:p w14:paraId="38BC6650" w14:textId="5AED39B7" w:rsidR="00EF0F77" w:rsidRPr="00BC4931" w:rsidRDefault="00EF0F77" w:rsidP="00B21723">
            <w:pPr>
              <w:pStyle w:val="Table7pttext"/>
              <w:spacing w:after="60"/>
            </w:pPr>
            <w:r w:rsidRPr="00D13F5F">
              <w:t>Not Available</w:t>
            </w:r>
          </w:p>
        </w:tc>
        <w:tc>
          <w:tcPr>
            <w:tcW w:w="1325" w:type="dxa"/>
            <w:tcMar>
              <w:top w:w="80" w:type="dxa"/>
              <w:left w:w="80" w:type="dxa"/>
              <w:bottom w:w="80" w:type="dxa"/>
              <w:right w:w="80" w:type="dxa"/>
            </w:tcMar>
          </w:tcPr>
          <w:p w14:paraId="2EADE953" w14:textId="6EB13A1C" w:rsidR="00EF0F77" w:rsidRPr="00BC4931" w:rsidRDefault="00EF0F77" w:rsidP="00B21723">
            <w:pPr>
              <w:pStyle w:val="Table7pttext"/>
              <w:spacing w:after="60"/>
              <w:rPr>
                <w:highlight w:val="yellow"/>
              </w:rPr>
            </w:pPr>
            <w:r w:rsidRPr="002B4F12">
              <w:t>$</w:t>
            </w:r>
            <w:r w:rsidR="00AD6367">
              <w:t>2.462</w:t>
            </w:r>
            <w:r w:rsidR="000264D7">
              <w:t xml:space="preserve"> </w:t>
            </w:r>
            <w:r w:rsidR="000B6CF5">
              <w:t>billion</w:t>
            </w:r>
            <w:r w:rsidRPr="002B4F12">
              <w:t xml:space="preserve"> excess</w:t>
            </w:r>
          </w:p>
        </w:tc>
        <w:tc>
          <w:tcPr>
            <w:tcW w:w="1325" w:type="dxa"/>
            <w:tcMar>
              <w:top w:w="80" w:type="dxa"/>
              <w:left w:w="80" w:type="dxa"/>
              <w:bottom w:w="80" w:type="dxa"/>
              <w:right w:w="80" w:type="dxa"/>
            </w:tcMar>
          </w:tcPr>
          <w:p w14:paraId="60DCDBF5" w14:textId="5C3C185C" w:rsidR="00EF0F77" w:rsidRPr="00BC4931" w:rsidRDefault="00EF0F77" w:rsidP="008D7200">
            <w:pPr>
              <w:pStyle w:val="Table7pttext"/>
              <w:spacing w:after="60"/>
            </w:pPr>
            <w:r w:rsidRPr="00FB28BC">
              <w:t>$</w:t>
            </w:r>
            <w:r w:rsidR="008D7200">
              <w:t>2.115</w:t>
            </w:r>
            <w:r w:rsidRPr="00FB28BC">
              <w:t xml:space="preserve"> billion funded</w:t>
            </w:r>
            <w:r w:rsidR="008D7200">
              <w:t xml:space="preserve"> as at 30 June 2017</w:t>
            </w:r>
          </w:p>
        </w:tc>
        <w:tc>
          <w:tcPr>
            <w:tcW w:w="1325" w:type="dxa"/>
            <w:tcMar>
              <w:top w:w="80" w:type="dxa"/>
              <w:left w:w="80" w:type="dxa"/>
              <w:bottom w:w="80" w:type="dxa"/>
              <w:right w:w="80" w:type="dxa"/>
            </w:tcMar>
          </w:tcPr>
          <w:p w14:paraId="13EF38CC" w14:textId="7DE8ACEB" w:rsidR="00EF0F77" w:rsidRPr="00BC4931" w:rsidRDefault="00EF0F77" w:rsidP="00B21723">
            <w:pPr>
              <w:pStyle w:val="Table7pttext"/>
              <w:spacing w:after="60"/>
            </w:pPr>
            <w:r w:rsidRPr="00BC4931">
              <w:t>N/A</w:t>
            </w:r>
          </w:p>
        </w:tc>
        <w:tc>
          <w:tcPr>
            <w:tcW w:w="1325" w:type="dxa"/>
            <w:tcMar>
              <w:top w:w="80" w:type="dxa"/>
              <w:left w:w="80" w:type="dxa"/>
              <w:bottom w:w="80" w:type="dxa"/>
              <w:right w:w="80" w:type="dxa"/>
            </w:tcMar>
          </w:tcPr>
          <w:p w14:paraId="5B62A813" w14:textId="23A8456C" w:rsidR="00EF0F77" w:rsidRPr="00BC4931" w:rsidRDefault="00EF0F77" w:rsidP="0043102E">
            <w:pPr>
              <w:pStyle w:val="Table7pttext"/>
              <w:spacing w:after="60"/>
            </w:pPr>
            <w:r w:rsidRPr="000D1A7C">
              <w:t>$</w:t>
            </w:r>
            <w:r w:rsidR="0043102E">
              <w:t>501</w:t>
            </w:r>
            <w:r w:rsidR="000264D7">
              <w:t xml:space="preserve"> </w:t>
            </w:r>
            <w:r w:rsidRPr="000D1A7C">
              <w:t>m</w:t>
            </w:r>
            <w:r w:rsidR="000264D7">
              <w:t>illion</w:t>
            </w:r>
            <w:r w:rsidRPr="000D1A7C">
              <w:t xml:space="preserve"> excess as at </w:t>
            </w:r>
            <w:r w:rsidR="000264D7">
              <w:br/>
            </w:r>
            <w:r w:rsidR="0043102E">
              <w:t>30 June 2017</w:t>
            </w:r>
          </w:p>
        </w:tc>
        <w:tc>
          <w:tcPr>
            <w:tcW w:w="1325" w:type="dxa"/>
            <w:tcMar>
              <w:top w:w="80" w:type="dxa"/>
              <w:left w:w="80" w:type="dxa"/>
              <w:bottom w:w="80" w:type="dxa"/>
              <w:right w:w="80" w:type="dxa"/>
            </w:tcMar>
          </w:tcPr>
          <w:p w14:paraId="3405EE57" w14:textId="5EAC32C9" w:rsidR="00EF0F77" w:rsidRPr="00BC4931" w:rsidRDefault="000264D7" w:rsidP="00B21723">
            <w:pPr>
              <w:pStyle w:val="Table7pttext"/>
              <w:spacing w:after="60"/>
            </w:pPr>
            <w:r>
              <w:t>N/A</w:t>
            </w:r>
          </w:p>
        </w:tc>
        <w:tc>
          <w:tcPr>
            <w:tcW w:w="1325" w:type="dxa"/>
            <w:tcMar>
              <w:top w:w="80" w:type="dxa"/>
              <w:left w:w="80" w:type="dxa"/>
              <w:bottom w:w="80" w:type="dxa"/>
              <w:right w:w="80" w:type="dxa"/>
            </w:tcMar>
          </w:tcPr>
          <w:p w14:paraId="62955BFE" w14:textId="0F253359" w:rsidR="00EF0F77" w:rsidRPr="00BC4931" w:rsidRDefault="00EF0F77" w:rsidP="000264D7">
            <w:pPr>
              <w:pStyle w:val="Table7pttext"/>
              <w:spacing w:after="60"/>
            </w:pPr>
            <w:r w:rsidRPr="00BC4931">
              <w:t>N/A</w:t>
            </w:r>
          </w:p>
        </w:tc>
        <w:tc>
          <w:tcPr>
            <w:tcW w:w="1325" w:type="dxa"/>
            <w:tcMar>
              <w:top w:w="80" w:type="dxa"/>
              <w:left w:w="80" w:type="dxa"/>
              <w:bottom w:w="80" w:type="dxa"/>
              <w:right w:w="80" w:type="dxa"/>
            </w:tcMar>
          </w:tcPr>
          <w:p w14:paraId="16F6F7B1" w14:textId="212F8725" w:rsidR="00EF0F77" w:rsidRPr="00BC4931" w:rsidRDefault="00EF0F77" w:rsidP="00B21723">
            <w:pPr>
              <w:pStyle w:val="Table7pttext"/>
              <w:spacing w:after="60"/>
            </w:pPr>
            <w:r w:rsidRPr="00BC4931">
              <w:t>N/A</w:t>
            </w:r>
          </w:p>
        </w:tc>
        <w:tc>
          <w:tcPr>
            <w:tcW w:w="1325" w:type="dxa"/>
            <w:tcMar>
              <w:top w:w="80" w:type="dxa"/>
              <w:left w:w="80" w:type="dxa"/>
              <w:bottom w:w="80" w:type="dxa"/>
              <w:right w:w="80" w:type="dxa"/>
            </w:tcMar>
          </w:tcPr>
          <w:p w14:paraId="1B8901AB" w14:textId="22E589FF" w:rsidR="00EF0F77" w:rsidRPr="00BC4931" w:rsidRDefault="00EF0F77" w:rsidP="00B47768">
            <w:pPr>
              <w:pStyle w:val="Table7pttext"/>
              <w:spacing w:after="60"/>
            </w:pPr>
            <w:r w:rsidRPr="00B71865">
              <w:t>$</w:t>
            </w:r>
            <w:r w:rsidR="00B47768">
              <w:t>55,285</w:t>
            </w:r>
            <w:r w:rsidR="00671957">
              <w:t xml:space="preserve"> </w:t>
            </w:r>
            <w:r w:rsidRPr="00B71865">
              <w:t>m</w:t>
            </w:r>
            <w:r w:rsidR="00671957">
              <w:t>illion</w:t>
            </w:r>
            <w:r w:rsidR="00B47768">
              <w:t xml:space="preserve"> excess as at 30 June 2017.</w:t>
            </w:r>
          </w:p>
        </w:tc>
        <w:tc>
          <w:tcPr>
            <w:tcW w:w="1325" w:type="dxa"/>
            <w:tcMar>
              <w:top w:w="80" w:type="dxa"/>
              <w:left w:w="80" w:type="dxa"/>
              <w:bottom w:w="80" w:type="dxa"/>
              <w:right w:w="80" w:type="dxa"/>
            </w:tcMar>
          </w:tcPr>
          <w:p w14:paraId="7211B1B8" w14:textId="4F352E57" w:rsidR="00EF0F77" w:rsidRPr="00BC4931" w:rsidRDefault="00EF0F77" w:rsidP="00B21723">
            <w:pPr>
              <w:pStyle w:val="Table7pttext"/>
              <w:spacing w:after="60"/>
            </w:pPr>
            <w:r w:rsidRPr="00BC4931">
              <w:t>$</w:t>
            </w:r>
            <w:r w:rsidR="007E0C71">
              <w:t>3.001</w:t>
            </w:r>
            <w:r w:rsidR="000264D7">
              <w:t xml:space="preserve"> billion excess</w:t>
            </w:r>
            <w:r w:rsidR="000264D7">
              <w:br/>
            </w:r>
            <w:r w:rsidRPr="00BC4931">
              <w:t>Work Account only</w:t>
            </w:r>
          </w:p>
        </w:tc>
      </w:tr>
      <w:tr w:rsidR="00C65EB9" w:rsidRPr="00BC4931" w14:paraId="3F74D4B2" w14:textId="77777777" w:rsidTr="00FB729B">
        <w:tc>
          <w:tcPr>
            <w:tcW w:w="2127" w:type="dxa"/>
            <w:shd w:val="clear" w:color="auto" w:fill="FFC9C9"/>
            <w:tcMar>
              <w:top w:w="80" w:type="dxa"/>
              <w:left w:w="80" w:type="dxa"/>
              <w:bottom w:w="80" w:type="dxa"/>
              <w:right w:w="80" w:type="dxa"/>
            </w:tcMar>
          </w:tcPr>
          <w:p w14:paraId="2A605E70" w14:textId="77777777" w:rsidR="00EF0F77" w:rsidRPr="00BC4931" w:rsidRDefault="00EF0F77" w:rsidP="00B21723">
            <w:pPr>
              <w:pStyle w:val="TableColumn1bold"/>
              <w:spacing w:after="60"/>
            </w:pPr>
            <w:r w:rsidRPr="00BC4931">
              <w:t>Access to Common Law</w:t>
            </w:r>
          </w:p>
        </w:tc>
        <w:tc>
          <w:tcPr>
            <w:tcW w:w="1324" w:type="dxa"/>
            <w:shd w:val="clear" w:color="auto" w:fill="FFC9C9"/>
            <w:tcMar>
              <w:top w:w="80" w:type="dxa"/>
              <w:left w:w="80" w:type="dxa"/>
              <w:bottom w:w="80" w:type="dxa"/>
              <w:right w:w="80" w:type="dxa"/>
            </w:tcMar>
          </w:tcPr>
          <w:p w14:paraId="4E13C980" w14:textId="5B95FAF1" w:rsidR="00EF0F77" w:rsidRPr="00BC4931" w:rsidRDefault="00EF0F77" w:rsidP="00B21723">
            <w:pPr>
              <w:pStyle w:val="Table7pttext"/>
              <w:spacing w:after="60"/>
            </w:pPr>
            <w:r w:rsidRPr="00BC4931">
              <w:t>Yes</w:t>
            </w:r>
          </w:p>
        </w:tc>
        <w:tc>
          <w:tcPr>
            <w:tcW w:w="1325" w:type="dxa"/>
            <w:shd w:val="clear" w:color="auto" w:fill="FFC9C9"/>
            <w:tcMar>
              <w:top w:w="80" w:type="dxa"/>
              <w:left w:w="80" w:type="dxa"/>
              <w:bottom w:w="80" w:type="dxa"/>
              <w:right w:w="80" w:type="dxa"/>
            </w:tcMar>
          </w:tcPr>
          <w:p w14:paraId="68261308" w14:textId="69C23C73" w:rsidR="00EF0F77" w:rsidRPr="00BC4931" w:rsidRDefault="00EF0F77" w:rsidP="00B21723">
            <w:pPr>
              <w:pStyle w:val="Table7pttext"/>
              <w:spacing w:after="60"/>
            </w:pPr>
            <w:r w:rsidRPr="00BC4931">
              <w:t>Yes — limited</w:t>
            </w:r>
          </w:p>
        </w:tc>
        <w:tc>
          <w:tcPr>
            <w:tcW w:w="1325" w:type="dxa"/>
            <w:shd w:val="clear" w:color="auto" w:fill="FFC9C9"/>
            <w:tcMar>
              <w:top w:w="80" w:type="dxa"/>
              <w:left w:w="80" w:type="dxa"/>
              <w:bottom w:w="80" w:type="dxa"/>
              <w:right w:w="80" w:type="dxa"/>
            </w:tcMar>
          </w:tcPr>
          <w:p w14:paraId="17B50A74" w14:textId="0F0FBC94" w:rsidR="00EF0F77" w:rsidRPr="00BC4931" w:rsidRDefault="00EF0F77" w:rsidP="00B21723">
            <w:pPr>
              <w:pStyle w:val="Table7pttext"/>
              <w:spacing w:after="60"/>
            </w:pPr>
            <w:r w:rsidRPr="00BC4931">
              <w:t>Yes</w:t>
            </w:r>
          </w:p>
        </w:tc>
        <w:tc>
          <w:tcPr>
            <w:tcW w:w="1325" w:type="dxa"/>
            <w:shd w:val="clear" w:color="auto" w:fill="FFC9C9"/>
            <w:tcMar>
              <w:top w:w="80" w:type="dxa"/>
              <w:left w:w="80" w:type="dxa"/>
              <w:bottom w:w="80" w:type="dxa"/>
              <w:right w:w="80" w:type="dxa"/>
            </w:tcMar>
          </w:tcPr>
          <w:p w14:paraId="175EB0E0" w14:textId="1AD8ED2E" w:rsidR="00EF0F77" w:rsidRPr="00BC4931" w:rsidRDefault="00EF0F77" w:rsidP="00B21723">
            <w:pPr>
              <w:pStyle w:val="Table7pttext"/>
              <w:spacing w:after="60"/>
            </w:pPr>
            <w:r w:rsidRPr="00BC4931">
              <w:t>Yes</w:t>
            </w:r>
          </w:p>
        </w:tc>
        <w:tc>
          <w:tcPr>
            <w:tcW w:w="1325" w:type="dxa"/>
            <w:shd w:val="clear" w:color="auto" w:fill="FFC9C9"/>
            <w:tcMar>
              <w:top w:w="80" w:type="dxa"/>
              <w:left w:w="80" w:type="dxa"/>
              <w:bottom w:w="80" w:type="dxa"/>
              <w:right w:w="80" w:type="dxa"/>
            </w:tcMar>
          </w:tcPr>
          <w:p w14:paraId="26B445B6" w14:textId="6F8EB670" w:rsidR="00EF0F77" w:rsidRPr="00BC4931" w:rsidRDefault="007E73DD" w:rsidP="004659C4">
            <w:pPr>
              <w:pStyle w:val="Table7pttext"/>
              <w:spacing w:after="60"/>
            </w:pPr>
            <w:r>
              <w:t xml:space="preserve">Yes </w:t>
            </w:r>
            <w:r w:rsidR="004659C4">
              <w:t>—</w:t>
            </w:r>
            <w:r>
              <w:t xml:space="preserve"> limited</w:t>
            </w:r>
          </w:p>
        </w:tc>
        <w:tc>
          <w:tcPr>
            <w:tcW w:w="1325" w:type="dxa"/>
            <w:shd w:val="clear" w:color="auto" w:fill="FFC9C9"/>
            <w:tcMar>
              <w:top w:w="80" w:type="dxa"/>
              <w:left w:w="80" w:type="dxa"/>
              <w:bottom w:w="80" w:type="dxa"/>
              <w:right w:w="80" w:type="dxa"/>
            </w:tcMar>
          </w:tcPr>
          <w:p w14:paraId="6CE323C4" w14:textId="59460A43" w:rsidR="00EF0F77" w:rsidRPr="00BC4931" w:rsidRDefault="000264D7" w:rsidP="00B21723">
            <w:pPr>
              <w:pStyle w:val="Table7pttext"/>
              <w:spacing w:after="60"/>
            </w:pPr>
            <w:r>
              <w:t>Yes</w:t>
            </w:r>
          </w:p>
        </w:tc>
        <w:tc>
          <w:tcPr>
            <w:tcW w:w="1325" w:type="dxa"/>
            <w:shd w:val="clear" w:color="auto" w:fill="FFC9C9"/>
            <w:tcMar>
              <w:top w:w="80" w:type="dxa"/>
              <w:left w:w="80" w:type="dxa"/>
              <w:bottom w:w="80" w:type="dxa"/>
              <w:right w:w="80" w:type="dxa"/>
            </w:tcMar>
          </w:tcPr>
          <w:p w14:paraId="60E00F6F" w14:textId="3936889C" w:rsidR="00EF0F77" w:rsidRPr="00BC4931" w:rsidRDefault="00EF0F77" w:rsidP="00B21723">
            <w:pPr>
              <w:pStyle w:val="Table7pttext"/>
              <w:spacing w:after="60"/>
            </w:pPr>
            <w:r w:rsidRPr="00BC4931">
              <w:t>No</w:t>
            </w:r>
          </w:p>
        </w:tc>
        <w:tc>
          <w:tcPr>
            <w:tcW w:w="1325" w:type="dxa"/>
            <w:shd w:val="clear" w:color="auto" w:fill="FFC9C9"/>
            <w:tcMar>
              <w:top w:w="80" w:type="dxa"/>
              <w:left w:w="80" w:type="dxa"/>
              <w:bottom w:w="80" w:type="dxa"/>
              <w:right w:w="80" w:type="dxa"/>
            </w:tcMar>
          </w:tcPr>
          <w:p w14:paraId="0EBD11A2" w14:textId="04E751B7" w:rsidR="00EF0F77" w:rsidRPr="00BC4931" w:rsidRDefault="00EF0F77" w:rsidP="00B21723">
            <w:pPr>
              <w:pStyle w:val="Table7pttext"/>
              <w:spacing w:after="60"/>
            </w:pPr>
            <w:r w:rsidRPr="00BC4931">
              <w:t>Yes</w:t>
            </w:r>
          </w:p>
        </w:tc>
        <w:tc>
          <w:tcPr>
            <w:tcW w:w="1325" w:type="dxa"/>
            <w:shd w:val="clear" w:color="auto" w:fill="FFC9C9"/>
            <w:tcMar>
              <w:top w:w="80" w:type="dxa"/>
              <w:left w:w="80" w:type="dxa"/>
              <w:bottom w:w="80" w:type="dxa"/>
              <w:right w:w="80" w:type="dxa"/>
            </w:tcMar>
          </w:tcPr>
          <w:p w14:paraId="065A3472" w14:textId="6DC04A17" w:rsidR="00EF0F77" w:rsidRPr="00BC4931" w:rsidRDefault="00EF0F77" w:rsidP="00B21723">
            <w:pPr>
              <w:pStyle w:val="Table7pttext"/>
              <w:spacing w:after="60"/>
            </w:pPr>
            <w:r w:rsidRPr="00BC4931">
              <w:t>Yes — limited</w:t>
            </w:r>
          </w:p>
        </w:tc>
        <w:tc>
          <w:tcPr>
            <w:tcW w:w="1325" w:type="dxa"/>
            <w:shd w:val="clear" w:color="auto" w:fill="FFC9C9"/>
            <w:tcMar>
              <w:top w:w="80" w:type="dxa"/>
              <w:left w:w="80" w:type="dxa"/>
              <w:bottom w:w="80" w:type="dxa"/>
              <w:right w:w="80" w:type="dxa"/>
            </w:tcMar>
          </w:tcPr>
          <w:p w14:paraId="4D9A9C8E" w14:textId="0A655D7D" w:rsidR="00EF0F77" w:rsidRPr="00BC4931" w:rsidRDefault="00EF0F77" w:rsidP="00B21723">
            <w:pPr>
              <w:pStyle w:val="Table7pttext"/>
              <w:spacing w:after="60"/>
            </w:pPr>
            <w:r w:rsidRPr="00BC4931">
              <w:t>No</w:t>
            </w:r>
          </w:p>
        </w:tc>
      </w:tr>
    </w:tbl>
    <w:p w14:paraId="4F3E4889" w14:textId="77777777" w:rsidR="00BC09D4" w:rsidRDefault="00BC09D4" w:rsidP="00A54B14">
      <w:pPr>
        <w:pStyle w:val="Heading2"/>
        <w:sectPr w:rsidR="00BC09D4" w:rsidSect="007670EA">
          <w:pgSz w:w="16838" w:h="11906" w:orient="landscape"/>
          <w:pgMar w:top="720" w:right="720" w:bottom="720" w:left="720" w:header="709" w:footer="397" w:gutter="0"/>
          <w:cols w:space="708"/>
          <w:docGrid w:linePitch="360"/>
        </w:sectPr>
      </w:pPr>
      <w:bookmarkStart w:id="43" w:name="_Toc483227154"/>
    </w:p>
    <w:p w14:paraId="00B3CA67" w14:textId="0DDF6BFC" w:rsidR="00C66972" w:rsidRPr="00A80282" w:rsidRDefault="00C66972" w:rsidP="00A80282">
      <w:pPr>
        <w:pStyle w:val="Title"/>
      </w:pPr>
      <w:bookmarkStart w:id="44" w:name="_Toc504654637"/>
      <w:r w:rsidRPr="00A80282">
        <w:lastRenderedPageBreak/>
        <w:t>Coverage of workers</w:t>
      </w:r>
      <w:bookmarkEnd w:id="43"/>
      <w:bookmarkEnd w:id="44"/>
      <w:r w:rsidR="009F5AD7" w:rsidRPr="00A80282">
        <w:fldChar w:fldCharType="begin"/>
      </w:r>
      <w:r w:rsidR="009F5AD7" w:rsidRPr="00A80282">
        <w:instrText xml:space="preserve"> XE "coverage of workers (type of worker)" \r "summary" </w:instrText>
      </w:r>
      <w:r w:rsidR="009F5AD7" w:rsidRPr="00A80282">
        <w:fldChar w:fldCharType="end"/>
      </w:r>
    </w:p>
    <w:p w14:paraId="35665923" w14:textId="74955D77" w:rsidR="000264D7" w:rsidRDefault="00C66972" w:rsidP="000264D7">
      <w:pPr>
        <w:spacing w:before="240"/>
        <w:rPr>
          <w:rFonts w:eastAsiaTheme="minorHAnsi"/>
        </w:rPr>
      </w:pPr>
      <w:r w:rsidRPr="00C66972">
        <w:rPr>
          <w:rFonts w:eastAsiaTheme="minorHAnsi"/>
        </w:rPr>
        <w:t>Determining what type of workers should be covered by workers’ compensation is very important</w:t>
      </w:r>
      <w:r w:rsidR="00E01D0F">
        <w:rPr>
          <w:rFonts w:eastAsiaTheme="minorHAnsi"/>
        </w:rPr>
        <w:t>,</w:t>
      </w:r>
      <w:r w:rsidRPr="00C66972">
        <w:rPr>
          <w:rFonts w:eastAsiaTheme="minorHAnsi"/>
        </w:rPr>
        <w:t xml:space="preserve"> as penalties can apply if an employer does not insure its workers. </w:t>
      </w:r>
    </w:p>
    <w:p w14:paraId="768DD6E9" w14:textId="01C09002" w:rsidR="000264D7" w:rsidRDefault="00C66972" w:rsidP="000264D7">
      <w:pPr>
        <w:spacing w:before="240"/>
        <w:rPr>
          <w:rFonts w:eastAsiaTheme="minorHAnsi"/>
        </w:rPr>
      </w:pPr>
      <w:r w:rsidRPr="00C66972">
        <w:rPr>
          <w:rFonts w:eastAsiaTheme="minorHAnsi"/>
        </w:rPr>
        <w:t xml:space="preserve">A number of jurisdictions apply tests to determine whether or not a worker requires coverage. Table 2.4a provides a summary of coverage and Table 2.4b provides information to help to determine whether or not a worker is covered. </w:t>
      </w:r>
    </w:p>
    <w:p w14:paraId="05335E95" w14:textId="3A7AA4CD" w:rsidR="006A50D4" w:rsidRDefault="00C66972" w:rsidP="000264D7">
      <w:pPr>
        <w:spacing w:before="240"/>
        <w:rPr>
          <w:rFonts w:eastAsiaTheme="minorHAnsi"/>
        </w:rPr>
      </w:pPr>
      <w:r w:rsidRPr="00C66972">
        <w:rPr>
          <w:rFonts w:eastAsiaTheme="minorHAnsi"/>
        </w:rPr>
        <w:t>Employers should contact their workers’ compensation authority if they are unclear whether or not a worker is covered.</w:t>
      </w:r>
      <w:bookmarkStart w:id="45" w:name="summary"/>
    </w:p>
    <w:p w14:paraId="56401144" w14:textId="77777777" w:rsidR="00BC09D4" w:rsidRDefault="00BC09D4" w:rsidP="00A54D3B">
      <w:pPr>
        <w:pStyle w:val="SWATableheader"/>
        <w:rPr>
          <w:rStyle w:val="SWATableheaderChar"/>
          <w:b/>
        </w:rPr>
        <w:sectPr w:rsidR="00BC09D4" w:rsidSect="004B218C">
          <w:pgSz w:w="11906" w:h="16838"/>
          <w:pgMar w:top="1440" w:right="1440" w:bottom="1440" w:left="1440" w:header="709" w:footer="397" w:gutter="0"/>
          <w:cols w:space="708"/>
          <w:docGrid w:linePitch="360"/>
        </w:sectPr>
      </w:pPr>
    </w:p>
    <w:p w14:paraId="213B6946" w14:textId="23718D22" w:rsidR="00EF0F77" w:rsidRPr="004F360B" w:rsidRDefault="00EF0F77" w:rsidP="004F360B">
      <w:pPr>
        <w:pStyle w:val="SWATableheader"/>
      </w:pPr>
      <w:bookmarkStart w:id="46" w:name="_Toc504654638"/>
      <w:r w:rsidRPr="004F360B">
        <w:rPr>
          <w:rStyle w:val="SWATableheaderChar"/>
          <w:b/>
        </w:rPr>
        <w:lastRenderedPageBreak/>
        <w:t>Table 2.4a: Summary of coverage (see Table 3.1a for more information)</w:t>
      </w:r>
      <w:bookmarkEnd w:id="46"/>
      <w:r w:rsidRPr="004F360B">
        <w:t xml:space="preserve"> </w:t>
      </w:r>
      <w:r w:rsidR="009E1927" w:rsidRPr="004F360B">
        <w:fldChar w:fldCharType="begin"/>
      </w:r>
      <w:r w:rsidR="009E1927" w:rsidRPr="004F360B">
        <w:instrText xml:space="preserve"> XE "coverage of workers:summary" \r "summary" </w:instrText>
      </w:r>
      <w:r w:rsidR="009E1927" w:rsidRPr="004F360B">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a: Summary of coverage (see Table 3.1a for more information) "/>
        <w:tblDescription w:val="This table provides information about workers' compensation coverage for employees, independent contractors and labour hire workers. "/>
      </w:tblPr>
      <w:tblGrid>
        <w:gridCol w:w="1843"/>
        <w:gridCol w:w="5954"/>
        <w:gridCol w:w="4035"/>
        <w:gridCol w:w="3544"/>
      </w:tblGrid>
      <w:tr w:rsidR="00EF0F77" w:rsidRPr="00EF0F77" w14:paraId="3A80C07B" w14:textId="77777777" w:rsidTr="00425F09">
        <w:trPr>
          <w:tblHeader/>
        </w:trPr>
        <w:tc>
          <w:tcPr>
            <w:tcW w:w="1843" w:type="dxa"/>
            <w:shd w:val="clear" w:color="auto" w:fill="C00000"/>
            <w:tcMar>
              <w:top w:w="0" w:type="dxa"/>
              <w:left w:w="0" w:type="dxa"/>
              <w:bottom w:w="0" w:type="dxa"/>
              <w:right w:w="0" w:type="dxa"/>
            </w:tcMar>
            <w:vAlign w:val="center"/>
          </w:tcPr>
          <w:p w14:paraId="7F4264F2" w14:textId="77777777" w:rsidR="00EF0F77" w:rsidRPr="00EF0F77" w:rsidRDefault="00EF0F77" w:rsidP="00B21723">
            <w:pPr>
              <w:spacing w:after="60"/>
              <w:rPr>
                <w:rFonts w:eastAsia="Calibri" w:cs="Arial"/>
                <w:b/>
                <w:color w:val="FFFFFF"/>
                <w:sz w:val="18"/>
                <w:szCs w:val="18"/>
                <w:lang w:eastAsia="en-US"/>
              </w:rPr>
            </w:pPr>
            <w:bookmarkStart w:id="47" w:name="contractors" w:colFirst="2" w:colLast="2"/>
          </w:p>
        </w:tc>
        <w:tc>
          <w:tcPr>
            <w:tcW w:w="5954" w:type="dxa"/>
            <w:shd w:val="clear" w:color="auto" w:fill="C00000"/>
            <w:tcMar>
              <w:top w:w="0" w:type="dxa"/>
              <w:left w:w="0" w:type="dxa"/>
              <w:bottom w:w="0" w:type="dxa"/>
              <w:right w:w="0" w:type="dxa"/>
            </w:tcMar>
            <w:vAlign w:val="center"/>
          </w:tcPr>
          <w:p w14:paraId="31278503" w14:textId="77777777" w:rsidR="00EF0F77" w:rsidRPr="00EF0F77" w:rsidRDefault="00EF0F77" w:rsidP="00B21723">
            <w:pPr>
              <w:spacing w:after="60"/>
              <w:rPr>
                <w:rFonts w:eastAsia="Calibri" w:cs="Arial"/>
                <w:b/>
                <w:color w:val="FFFFFF"/>
                <w:sz w:val="18"/>
                <w:szCs w:val="18"/>
                <w:lang w:eastAsia="en-US"/>
              </w:rPr>
            </w:pPr>
            <w:r w:rsidRPr="00EF0F77">
              <w:rPr>
                <w:rFonts w:eastAsia="Calibri" w:cs="Arial"/>
                <w:b/>
                <w:color w:val="FFFFFF"/>
                <w:sz w:val="18"/>
                <w:szCs w:val="18"/>
                <w:lang w:eastAsia="en-US"/>
              </w:rPr>
              <w:t>Coverage of employees</w:t>
            </w:r>
            <w:r w:rsidRPr="00EF0F77">
              <w:rPr>
                <w:rFonts w:eastAsia="Calibri" w:cs="Arial"/>
                <w:b/>
                <w:color w:val="FFFFFF"/>
                <w:sz w:val="18"/>
                <w:szCs w:val="18"/>
                <w:lang w:eastAsia="en-US"/>
              </w:rPr>
              <w:tab/>
            </w:r>
            <w:r w:rsidRPr="00EF0F77">
              <w:rPr>
                <w:rFonts w:eastAsia="Calibri" w:cs="Arial"/>
                <w:b/>
                <w:color w:val="FFFFFF"/>
                <w:sz w:val="18"/>
                <w:szCs w:val="18"/>
                <w:lang w:eastAsia="en-US"/>
              </w:rPr>
              <w:tab/>
            </w:r>
          </w:p>
        </w:tc>
        <w:tc>
          <w:tcPr>
            <w:tcW w:w="4035" w:type="dxa"/>
            <w:shd w:val="clear" w:color="auto" w:fill="C00000"/>
            <w:tcMar>
              <w:top w:w="0" w:type="dxa"/>
              <w:left w:w="0" w:type="dxa"/>
              <w:bottom w:w="0" w:type="dxa"/>
              <w:right w:w="0" w:type="dxa"/>
            </w:tcMar>
            <w:vAlign w:val="center"/>
          </w:tcPr>
          <w:p w14:paraId="5426898C" w14:textId="7848F5D7" w:rsidR="00EF0F77" w:rsidRPr="00EF0F77" w:rsidRDefault="00EF0F77" w:rsidP="00B21723">
            <w:pPr>
              <w:spacing w:after="60"/>
              <w:rPr>
                <w:rFonts w:eastAsia="Calibri" w:cs="Arial"/>
                <w:b/>
                <w:color w:val="FFFFFF"/>
                <w:sz w:val="18"/>
                <w:szCs w:val="18"/>
                <w:lang w:eastAsia="en-US"/>
              </w:rPr>
            </w:pPr>
            <w:r w:rsidRPr="00EF0F77">
              <w:rPr>
                <w:rFonts w:eastAsia="Calibri" w:cs="Arial"/>
                <w:b/>
                <w:color w:val="FFFFFF"/>
                <w:sz w:val="18"/>
                <w:szCs w:val="18"/>
                <w:lang w:eastAsia="en-US"/>
              </w:rPr>
              <w:t>Coverage of independent contractors</w:t>
            </w:r>
            <w:r w:rsidR="00184441">
              <w:rPr>
                <w:rFonts w:eastAsia="Calibri" w:cs="Arial"/>
                <w:b/>
                <w:color w:val="FFFFFF"/>
                <w:sz w:val="18"/>
                <w:szCs w:val="18"/>
                <w:lang w:eastAsia="en-US"/>
              </w:rPr>
              <w:fldChar w:fldCharType="begin"/>
            </w:r>
            <w:r w:rsidR="00184441">
              <w:instrText xml:space="preserve"> XE "</w:instrText>
            </w:r>
            <w:r w:rsidR="00184441" w:rsidRPr="009C57D8">
              <w:instrText>contractors, coverage of</w:instrText>
            </w:r>
            <w:r w:rsidR="00184441">
              <w:instrText xml:space="preserve">" \r "contractors" </w:instrText>
            </w:r>
            <w:r w:rsidR="00184441">
              <w:rPr>
                <w:rFonts w:eastAsia="Calibri" w:cs="Arial"/>
                <w:b/>
                <w:color w:val="FFFFFF"/>
                <w:sz w:val="18"/>
                <w:szCs w:val="18"/>
                <w:lang w:eastAsia="en-US"/>
              </w:rPr>
              <w:fldChar w:fldCharType="end"/>
            </w:r>
          </w:p>
        </w:tc>
        <w:tc>
          <w:tcPr>
            <w:tcW w:w="3544" w:type="dxa"/>
            <w:shd w:val="clear" w:color="auto" w:fill="C00000"/>
            <w:tcMar>
              <w:top w:w="0" w:type="dxa"/>
              <w:left w:w="0" w:type="dxa"/>
              <w:bottom w:w="0" w:type="dxa"/>
              <w:right w:w="0" w:type="dxa"/>
            </w:tcMar>
            <w:vAlign w:val="center"/>
          </w:tcPr>
          <w:p w14:paraId="6577A84F" w14:textId="73937AB9" w:rsidR="00EF0F77" w:rsidRPr="00EF0F77" w:rsidRDefault="00EF0F77" w:rsidP="00B21723">
            <w:pPr>
              <w:spacing w:after="60"/>
              <w:rPr>
                <w:rFonts w:eastAsia="Calibri" w:cs="Arial"/>
                <w:b/>
                <w:color w:val="FFFFFF"/>
                <w:sz w:val="18"/>
                <w:szCs w:val="18"/>
                <w:lang w:eastAsia="en-US"/>
              </w:rPr>
            </w:pPr>
            <w:r w:rsidRPr="00EF0F77">
              <w:rPr>
                <w:rFonts w:eastAsia="Calibri" w:cs="Arial"/>
                <w:b/>
                <w:color w:val="FFFFFF"/>
                <w:sz w:val="18"/>
                <w:szCs w:val="18"/>
                <w:lang w:eastAsia="en-US"/>
              </w:rPr>
              <w:t>Coverage of labour hire workers</w:t>
            </w:r>
            <w:r w:rsidR="009E1927">
              <w:rPr>
                <w:rFonts w:eastAsia="Calibri" w:cs="Arial"/>
                <w:b/>
                <w:color w:val="FFFFFF"/>
                <w:sz w:val="18"/>
                <w:szCs w:val="18"/>
                <w:lang w:eastAsia="en-US"/>
              </w:rPr>
              <w:fldChar w:fldCharType="begin"/>
            </w:r>
            <w:r w:rsidR="009E1927">
              <w:instrText xml:space="preserve"> XE "</w:instrText>
            </w:r>
            <w:r w:rsidR="009E1927" w:rsidRPr="009A5AF9">
              <w:instrText>coverage of workers (type of worker):contractors/labour hire workers</w:instrText>
            </w:r>
            <w:r w:rsidR="009E1927">
              <w:instrText xml:space="preserve">" \r "summary" </w:instrText>
            </w:r>
            <w:r w:rsidR="009E1927">
              <w:rPr>
                <w:rFonts w:eastAsia="Calibri" w:cs="Arial"/>
                <w:b/>
                <w:color w:val="FFFFFF"/>
                <w:sz w:val="18"/>
                <w:szCs w:val="18"/>
                <w:lang w:eastAsia="en-US"/>
              </w:rPr>
              <w:fldChar w:fldCharType="end"/>
            </w:r>
            <w:r w:rsidR="00306D40">
              <w:rPr>
                <w:rFonts w:eastAsia="Calibri" w:cs="Arial"/>
                <w:b/>
                <w:color w:val="FFFFFF"/>
                <w:sz w:val="18"/>
                <w:szCs w:val="18"/>
                <w:lang w:eastAsia="en-US"/>
              </w:rPr>
              <w:fldChar w:fldCharType="begin"/>
            </w:r>
            <w:r w:rsidR="00306D40">
              <w:instrText xml:space="preserve"> XE "</w:instrText>
            </w:r>
            <w:r w:rsidR="00306D40" w:rsidRPr="001854C8">
              <w:instrText>labour hire workers</w:instrText>
            </w:r>
            <w:r w:rsidR="00306D40">
              <w:instrText xml:space="preserve">" \r "summary" </w:instrText>
            </w:r>
            <w:r w:rsidR="00306D40">
              <w:rPr>
                <w:rFonts w:eastAsia="Calibri" w:cs="Arial"/>
                <w:b/>
                <w:color w:val="FFFFFF"/>
                <w:sz w:val="18"/>
                <w:szCs w:val="18"/>
                <w:lang w:eastAsia="en-US"/>
              </w:rPr>
              <w:fldChar w:fldCharType="end"/>
            </w:r>
            <w:r w:rsidR="00870A7B">
              <w:rPr>
                <w:rFonts w:eastAsia="Calibri" w:cs="Arial"/>
                <w:b/>
                <w:color w:val="FFFFFF"/>
                <w:sz w:val="18"/>
                <w:szCs w:val="18"/>
                <w:lang w:eastAsia="en-US"/>
              </w:rPr>
              <w:fldChar w:fldCharType="begin"/>
            </w:r>
            <w:r w:rsidR="00870A7B">
              <w:instrText xml:space="preserve"> XE "</w:instrText>
            </w:r>
            <w:r w:rsidR="00870A7B" w:rsidRPr="00BE781B">
              <w:instrText>workers (types of workers):contractors/labour hire workers</w:instrText>
            </w:r>
            <w:r w:rsidR="00870A7B">
              <w:instrText xml:space="preserve">" \r "summary" </w:instrText>
            </w:r>
            <w:r w:rsidR="00870A7B">
              <w:rPr>
                <w:rFonts w:eastAsia="Calibri" w:cs="Arial"/>
                <w:b/>
                <w:color w:val="FFFFFF"/>
                <w:sz w:val="18"/>
                <w:szCs w:val="18"/>
                <w:lang w:eastAsia="en-US"/>
              </w:rPr>
              <w:fldChar w:fldCharType="end"/>
            </w:r>
          </w:p>
        </w:tc>
      </w:tr>
      <w:tr w:rsidR="00EF0F77" w:rsidRPr="00EF0F77" w14:paraId="2D19A13A" w14:textId="77777777" w:rsidTr="00425F09">
        <w:tc>
          <w:tcPr>
            <w:tcW w:w="1843" w:type="dxa"/>
            <w:shd w:val="clear" w:color="auto" w:fill="FFC9C9"/>
            <w:tcMar>
              <w:top w:w="80" w:type="dxa"/>
              <w:left w:w="80" w:type="dxa"/>
              <w:bottom w:w="80" w:type="dxa"/>
              <w:right w:w="80" w:type="dxa"/>
            </w:tcMar>
          </w:tcPr>
          <w:p w14:paraId="78650A18" w14:textId="5CEEED3B"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New South Wales</w:t>
            </w:r>
            <w:r w:rsidR="003B3E5B">
              <w:rPr>
                <w:rFonts w:eastAsia="Calibri" w:cs="Arial"/>
                <w:b/>
                <w:sz w:val="16"/>
                <w:szCs w:val="16"/>
                <w:lang w:eastAsia="en-US"/>
              </w:rPr>
              <w:fldChar w:fldCharType="begin"/>
            </w:r>
            <w:r w:rsidR="003B3E5B">
              <w:instrText xml:space="preserve"> XE "</w:instrText>
            </w:r>
            <w:r w:rsidR="003B3E5B" w:rsidRPr="004C776E">
              <w:instrText>New South Wales:summary o</w:instrText>
            </w:r>
            <w:r w:rsidR="003B3E5B">
              <w:instrText>f</w:instrText>
            </w:r>
            <w:r w:rsidR="003B3E5B" w:rsidRPr="004C776E">
              <w:instrText xml:space="preserve"> coverage of worker</w:instrText>
            </w:r>
            <w:r w:rsidR="003B3E5B">
              <w:instrText xml:space="preserve">" </w:instrText>
            </w:r>
            <w:r w:rsidR="003B3E5B">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57412BA2" w14:textId="77777777" w:rsidR="00EF0F77" w:rsidRPr="00EF0F77" w:rsidRDefault="00EF0F77" w:rsidP="00F84CCD">
            <w:pPr>
              <w:spacing w:after="60"/>
              <w:contextualSpacing/>
              <w:rPr>
                <w:rFonts w:eastAsia="Calibri" w:cs="Arial"/>
                <w:sz w:val="14"/>
                <w:szCs w:val="14"/>
                <w:lang w:eastAsia="en-US"/>
              </w:rPr>
            </w:pPr>
            <w:r w:rsidRPr="00EF0F77">
              <w:rPr>
                <w:rFonts w:eastAsia="Calibri" w:cs="Arial"/>
                <w:sz w:val="14"/>
                <w:szCs w:val="14"/>
                <w:lang w:eastAsia="en-US"/>
              </w:rPr>
              <w:t>‘worker means a person who has entered into or works under a contract of service or a training contract with an employer (whether by way of manual labour, clerical work or otherwise, and whether the contract is expressed or implied, and whether the contract is oral or in writing). However, it does not include:</w:t>
            </w:r>
          </w:p>
          <w:p w14:paraId="7A33DBDC" w14:textId="77777777" w:rsidR="00EF0F77" w:rsidRPr="00F84CCD" w:rsidRDefault="00EF0F77" w:rsidP="00F84CCD">
            <w:pPr>
              <w:pStyle w:val="ListParagraph"/>
              <w:numPr>
                <w:ilvl w:val="0"/>
                <w:numId w:val="5"/>
              </w:numPr>
              <w:spacing w:after="60"/>
              <w:contextualSpacing/>
              <w:rPr>
                <w:rFonts w:eastAsia="Calibri" w:cs="Arial"/>
                <w:sz w:val="14"/>
                <w:szCs w:val="14"/>
                <w:lang w:eastAsia="en-US"/>
              </w:rPr>
            </w:pPr>
            <w:r w:rsidRPr="00F84CCD">
              <w:rPr>
                <w:rFonts w:eastAsia="Calibri" w:cs="Arial"/>
                <w:sz w:val="14"/>
                <w:szCs w:val="14"/>
                <w:lang w:eastAsia="en-US"/>
              </w:rPr>
              <w:t xml:space="preserve">a member of the NSW Police Force who is a contributor to the Police Superannuation Fund under the </w:t>
            </w:r>
            <w:r w:rsidRPr="00D41D16">
              <w:rPr>
                <w:rFonts w:eastAsia="Calibri" w:cs="Arial"/>
                <w:i/>
                <w:sz w:val="14"/>
                <w:szCs w:val="14"/>
                <w:lang w:eastAsia="en-US"/>
              </w:rPr>
              <w:t>Police Regulation (Superannuation) Act 1906</w:t>
            </w:r>
            <w:r w:rsidRPr="00F84CCD">
              <w:rPr>
                <w:rFonts w:eastAsia="Calibri" w:cs="Arial"/>
                <w:sz w:val="14"/>
                <w:szCs w:val="14"/>
                <w:lang w:eastAsia="en-US"/>
              </w:rPr>
              <w:t>, or</w:t>
            </w:r>
          </w:p>
          <w:p w14:paraId="32868A59" w14:textId="77777777" w:rsidR="00EF0F77" w:rsidRPr="00F84CCD" w:rsidRDefault="00EF0F77" w:rsidP="00F84CCD">
            <w:pPr>
              <w:pStyle w:val="ListParagraph"/>
              <w:numPr>
                <w:ilvl w:val="0"/>
                <w:numId w:val="5"/>
              </w:numPr>
              <w:spacing w:after="60"/>
              <w:contextualSpacing/>
              <w:rPr>
                <w:rFonts w:eastAsia="Calibri" w:cs="Arial"/>
                <w:sz w:val="14"/>
                <w:szCs w:val="14"/>
                <w:lang w:eastAsia="en-US"/>
              </w:rPr>
            </w:pPr>
            <w:r w:rsidRPr="00F84CCD">
              <w:rPr>
                <w:rFonts w:eastAsia="Calibri" w:cs="Arial"/>
                <w:sz w:val="14"/>
                <w:szCs w:val="14"/>
                <w:lang w:eastAsia="en-US"/>
              </w:rPr>
              <w:t>a person whose employment is casual (that is for 1 period only of not more than 5 working days) and who is employed otherwise than for the purposes of the employer’s trade or business, or</w:t>
            </w:r>
          </w:p>
          <w:p w14:paraId="6E7642E2" w14:textId="77777777" w:rsidR="00EF0F77" w:rsidRPr="00F84CCD" w:rsidRDefault="00EF0F77" w:rsidP="00F84CCD">
            <w:pPr>
              <w:pStyle w:val="ListParagraph"/>
              <w:numPr>
                <w:ilvl w:val="0"/>
                <w:numId w:val="5"/>
              </w:numPr>
              <w:spacing w:after="60"/>
              <w:contextualSpacing/>
              <w:rPr>
                <w:rFonts w:eastAsia="Calibri" w:cs="Arial"/>
                <w:sz w:val="14"/>
                <w:szCs w:val="14"/>
                <w:lang w:eastAsia="en-US"/>
              </w:rPr>
            </w:pPr>
            <w:r w:rsidRPr="00F84CCD">
              <w:rPr>
                <w:rFonts w:eastAsia="Calibri" w:cs="Arial"/>
                <w:sz w:val="14"/>
                <w:szCs w:val="14"/>
                <w:lang w:eastAsia="en-US"/>
              </w:rPr>
              <w:t>an officer of a religious or other voluntary association who is employed upon duties for the association outside the officer’s ordinary working hours, so far as the employment on those duties is concerned, if the officer’s remuneration from the association does not exceed $700 per year, or</w:t>
            </w:r>
          </w:p>
          <w:p w14:paraId="49F0CE0A" w14:textId="77777777" w:rsidR="00EF0F77" w:rsidRPr="00F84CCD" w:rsidRDefault="00EF0F77" w:rsidP="00F84CCD">
            <w:pPr>
              <w:pStyle w:val="ListParagraph"/>
              <w:numPr>
                <w:ilvl w:val="0"/>
                <w:numId w:val="5"/>
              </w:numPr>
              <w:spacing w:after="60"/>
              <w:contextualSpacing/>
              <w:rPr>
                <w:rFonts w:eastAsia="Calibri" w:cs="Arial"/>
                <w:sz w:val="14"/>
                <w:szCs w:val="14"/>
                <w:lang w:eastAsia="en-US"/>
              </w:rPr>
            </w:pPr>
            <w:r w:rsidRPr="00F84CCD">
              <w:rPr>
                <w:rFonts w:eastAsia="Calibri" w:cs="Arial"/>
                <w:sz w:val="14"/>
                <w:szCs w:val="14"/>
                <w:lang w:eastAsia="en-US"/>
              </w:rPr>
              <w:t xml:space="preserve">except as provided by Schedule 1, a registered participant of a sporting organisation (within the meaning of the </w:t>
            </w:r>
            <w:r w:rsidRPr="00D41D16">
              <w:rPr>
                <w:rFonts w:eastAsia="Calibri" w:cs="Arial"/>
                <w:i/>
                <w:sz w:val="14"/>
                <w:szCs w:val="14"/>
                <w:lang w:eastAsia="en-US"/>
              </w:rPr>
              <w:t>Sporting Injuries Insurance Act 1978</w:t>
            </w:r>
            <w:r w:rsidRPr="00F84CCD">
              <w:rPr>
                <w:rFonts w:eastAsia="Calibri" w:cs="Arial"/>
                <w:sz w:val="14"/>
                <w:szCs w:val="14"/>
                <w:lang w:eastAsia="en-US"/>
              </w:rPr>
              <w:t xml:space="preserve"> while: </w:t>
            </w:r>
          </w:p>
          <w:p w14:paraId="361D2BE0" w14:textId="77777777" w:rsidR="00EF0F77" w:rsidRPr="00F84CCD" w:rsidRDefault="00EF0F77" w:rsidP="00F839DB">
            <w:pPr>
              <w:pStyle w:val="ListParagraph"/>
              <w:numPr>
                <w:ilvl w:val="0"/>
                <w:numId w:val="532"/>
              </w:numPr>
              <w:spacing w:after="60"/>
              <w:contextualSpacing/>
              <w:rPr>
                <w:rFonts w:eastAsia="Calibri" w:cs="Arial"/>
                <w:sz w:val="14"/>
                <w:szCs w:val="14"/>
                <w:lang w:eastAsia="en-US"/>
              </w:rPr>
            </w:pPr>
            <w:r w:rsidRPr="00F84CCD">
              <w:rPr>
                <w:rFonts w:eastAsia="Calibri" w:cs="Arial"/>
                <w:sz w:val="14"/>
                <w:szCs w:val="14"/>
                <w:lang w:eastAsia="en-US"/>
              </w:rPr>
              <w:t>participating in an authorised activity (within the meaning of that Act) of that organisation, or</w:t>
            </w:r>
          </w:p>
          <w:p w14:paraId="18290CD7" w14:textId="77777777" w:rsidR="00EF0F77" w:rsidRPr="00F84CCD" w:rsidRDefault="00EF0F77" w:rsidP="00F839DB">
            <w:pPr>
              <w:pStyle w:val="ListParagraph"/>
              <w:numPr>
                <w:ilvl w:val="0"/>
                <w:numId w:val="532"/>
              </w:numPr>
              <w:spacing w:after="60"/>
              <w:contextualSpacing/>
              <w:rPr>
                <w:rFonts w:eastAsia="Calibri" w:cs="Arial"/>
                <w:sz w:val="14"/>
                <w:szCs w:val="14"/>
                <w:lang w:eastAsia="en-US"/>
              </w:rPr>
            </w:pPr>
            <w:r w:rsidRPr="00F84CCD">
              <w:rPr>
                <w:rFonts w:eastAsia="Calibri" w:cs="Arial"/>
                <w:sz w:val="14"/>
                <w:szCs w:val="14"/>
                <w:lang w:eastAsia="en-US"/>
              </w:rPr>
              <w:t>engaged in training or preparing himself or herself with a view to so participating, or</w:t>
            </w:r>
          </w:p>
          <w:p w14:paraId="79DE4D1F" w14:textId="77777777" w:rsidR="00EF0F77" w:rsidRPr="00F84CCD" w:rsidRDefault="00EF0F77" w:rsidP="00F839DB">
            <w:pPr>
              <w:pStyle w:val="ListParagraph"/>
              <w:numPr>
                <w:ilvl w:val="0"/>
                <w:numId w:val="532"/>
              </w:numPr>
              <w:spacing w:after="60"/>
              <w:contextualSpacing/>
              <w:rPr>
                <w:rFonts w:eastAsia="Calibri" w:cs="Arial"/>
                <w:sz w:val="14"/>
                <w:szCs w:val="14"/>
                <w:lang w:eastAsia="en-US"/>
              </w:rPr>
            </w:pPr>
            <w:r w:rsidRPr="00F84CCD">
              <w:rPr>
                <w:rFonts w:eastAsia="Calibri" w:cs="Arial"/>
                <w:sz w:val="14"/>
                <w:szCs w:val="14"/>
                <w:lang w:eastAsia="en-US"/>
              </w:rPr>
              <w:t>engaged on any daily or periodic journey or other journey in connection with the registered participant so participating or the registered participant being so engaged, if, under the contract pursuant to which the registered participant does any of the things referred to above in this paragraph, the registered participant is not entitled to remuneration other than for the doing of those things.’</w:t>
            </w:r>
          </w:p>
          <w:p w14:paraId="6041A73B" w14:textId="01310ED7" w:rsidR="00EF0F77" w:rsidRPr="00EF0F77" w:rsidRDefault="00A7538C" w:rsidP="00F84CCD">
            <w:pPr>
              <w:spacing w:after="60"/>
              <w:contextualSpacing/>
              <w:rPr>
                <w:rFonts w:eastAsia="Calibri" w:cs="Arial"/>
                <w:sz w:val="14"/>
                <w:szCs w:val="14"/>
                <w:lang w:eastAsia="en-US"/>
              </w:rPr>
            </w:pPr>
            <w:hyperlink r:id="rId89" w:history="1">
              <w:r w:rsidR="00EF0F77" w:rsidRPr="00891A8F">
                <w:rPr>
                  <w:rStyle w:val="Hyperlink"/>
                  <w:rFonts w:eastAsia="Calibri" w:cs="Arial"/>
                  <w:sz w:val="14"/>
                  <w:szCs w:val="14"/>
                  <w:lang w:eastAsia="en-US"/>
                </w:rPr>
                <w:t>s4</w:t>
              </w:r>
            </w:hyperlink>
            <w:r w:rsidR="00EF0F77" w:rsidRPr="00EF0F77">
              <w:rPr>
                <w:rFonts w:eastAsia="Calibri" w:cs="Arial"/>
                <w:sz w:val="14"/>
                <w:szCs w:val="14"/>
                <w:lang w:eastAsia="en-US"/>
              </w:rPr>
              <w:t xml:space="preserve">, </w:t>
            </w:r>
            <w:r w:rsidR="00681D75" w:rsidRPr="00681D75">
              <w:rPr>
                <w:rFonts w:eastAsia="Calibri" w:cs="Arial"/>
                <w:i/>
                <w:sz w:val="14"/>
                <w:szCs w:val="14"/>
                <w:lang w:eastAsia="en-US"/>
              </w:rPr>
              <w:t>Workers Compensation Act 1998</w:t>
            </w:r>
          </w:p>
          <w:p w14:paraId="51B95DC5" w14:textId="01E6292F" w:rsidR="00EF0F77" w:rsidRPr="00EF0F77" w:rsidRDefault="00EF0F77" w:rsidP="00F84CCD">
            <w:pPr>
              <w:spacing w:after="60"/>
              <w:contextualSpacing/>
              <w:rPr>
                <w:rFonts w:eastAsia="Calibri" w:cs="Arial"/>
                <w:sz w:val="14"/>
                <w:szCs w:val="14"/>
                <w:lang w:eastAsia="en-US"/>
              </w:rPr>
            </w:pPr>
            <w:r w:rsidRPr="00EF0F77">
              <w:rPr>
                <w:rFonts w:eastAsia="Calibri" w:cs="Arial"/>
                <w:sz w:val="14"/>
                <w:szCs w:val="14"/>
                <w:lang w:eastAsia="en-US"/>
              </w:rPr>
              <w:t>The legislation also identifies various factual situations when a person will be deemed to be a ‘worker’</w:t>
            </w:r>
            <w:r w:rsidR="005F7071">
              <w:rPr>
                <w:rFonts w:eastAsia="Calibri" w:cs="Arial"/>
                <w:sz w:val="14"/>
                <w:szCs w:val="14"/>
                <w:lang w:eastAsia="en-US"/>
              </w:rPr>
              <w:t xml:space="preserve"> </w:t>
            </w:r>
            <w:r w:rsidRPr="00EF0F77">
              <w:rPr>
                <w:rFonts w:eastAsia="Calibri" w:cs="Arial"/>
                <w:sz w:val="14"/>
                <w:szCs w:val="14"/>
                <w:lang w:eastAsia="en-US"/>
              </w:rPr>
              <w:t xml:space="preserve">(see </w:t>
            </w:r>
            <w:hyperlink r:id="rId90" w:history="1">
              <w:r w:rsidRPr="00891A8F">
                <w:rPr>
                  <w:rStyle w:val="Hyperlink"/>
                  <w:rFonts w:eastAsia="Calibri" w:cs="Arial"/>
                  <w:sz w:val="14"/>
                  <w:szCs w:val="14"/>
                  <w:lang w:eastAsia="en-US"/>
                </w:rPr>
                <w:t>s5</w:t>
              </w:r>
            </w:hyperlink>
            <w:r w:rsidRPr="00EF0F77">
              <w:rPr>
                <w:rFonts w:eastAsia="Calibri" w:cs="Arial"/>
                <w:sz w:val="14"/>
                <w:szCs w:val="14"/>
                <w:lang w:eastAsia="en-US"/>
              </w:rPr>
              <w:t xml:space="preserve"> and Schedule 1,</w:t>
            </w:r>
            <w:r w:rsidR="007A7EFA">
              <w:rPr>
                <w:rFonts w:eastAsia="Calibri" w:cs="Arial"/>
                <w:sz w:val="14"/>
                <w:szCs w:val="14"/>
                <w:lang w:eastAsia="en-US"/>
              </w:rPr>
              <w:t xml:space="preserve"> </w:t>
            </w:r>
            <w:r w:rsidR="007A7EFA" w:rsidRPr="007A7EFA">
              <w:rPr>
                <w:rFonts w:eastAsia="Calibri" w:cs="Arial"/>
                <w:sz w:val="14"/>
                <w:szCs w:val="14"/>
                <w:lang w:eastAsia="en-US"/>
              </w:rPr>
              <w:t>1998 Act</w:t>
            </w:r>
            <w:r w:rsidR="00C70A25">
              <w:rPr>
                <w:rFonts w:eastAsia="Calibri" w:cs="Arial"/>
                <w:sz w:val="14"/>
                <w:szCs w:val="14"/>
                <w:lang w:eastAsia="en-US"/>
              </w:rPr>
              <w:t>)</w:t>
            </w:r>
            <w:r w:rsidR="008B24D1">
              <w:rPr>
                <w:rFonts w:eastAsia="Calibri" w:cs="Arial"/>
                <w:sz w:val="14"/>
                <w:szCs w:val="14"/>
                <w:lang w:eastAsia="en-US"/>
              </w:rPr>
              <w:t>.</w:t>
            </w:r>
          </w:p>
        </w:tc>
        <w:tc>
          <w:tcPr>
            <w:tcW w:w="4035" w:type="dxa"/>
            <w:shd w:val="clear" w:color="auto" w:fill="FFC9C9"/>
            <w:tcMar>
              <w:top w:w="80" w:type="dxa"/>
              <w:left w:w="80" w:type="dxa"/>
              <w:bottom w:w="80" w:type="dxa"/>
              <w:right w:w="80" w:type="dxa"/>
            </w:tcMar>
          </w:tcPr>
          <w:p w14:paraId="4F4F3884"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Not unless contractor is a deemed worker pursuant to schedule 1, </w:t>
            </w:r>
            <w:r w:rsidR="007A7EFA" w:rsidRPr="007A7EFA">
              <w:rPr>
                <w:rFonts w:eastAsia="Calibri" w:cs="Arial"/>
                <w:sz w:val="14"/>
                <w:szCs w:val="14"/>
                <w:lang w:eastAsia="en-US"/>
              </w:rPr>
              <w:t>1998 Act</w:t>
            </w:r>
            <w:r w:rsidRPr="00EF0F77">
              <w:rPr>
                <w:rFonts w:eastAsia="Calibri" w:cs="Arial"/>
                <w:sz w:val="14"/>
                <w:szCs w:val="14"/>
                <w:lang w:eastAsia="en-US"/>
              </w:rPr>
              <w:t>.</w:t>
            </w:r>
          </w:p>
        </w:tc>
        <w:tc>
          <w:tcPr>
            <w:tcW w:w="3544" w:type="dxa"/>
            <w:shd w:val="clear" w:color="auto" w:fill="FFC9C9"/>
            <w:tcMar>
              <w:top w:w="80" w:type="dxa"/>
              <w:left w:w="80" w:type="dxa"/>
              <w:bottom w:w="80" w:type="dxa"/>
              <w:right w:w="80" w:type="dxa"/>
            </w:tcMar>
          </w:tcPr>
          <w:p w14:paraId="2D37F3A6"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Yes, labour hire firm held to be employer. </w:t>
            </w:r>
          </w:p>
          <w:p w14:paraId="568AFD06"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Schedule 1, clause 2A, </w:t>
            </w:r>
            <w:r w:rsidR="007A7EFA" w:rsidRPr="007A7EFA">
              <w:rPr>
                <w:sz w:val="14"/>
                <w:szCs w:val="14"/>
              </w:rPr>
              <w:t>1998 Act</w:t>
            </w:r>
            <w:r w:rsidRPr="00EF0F77">
              <w:rPr>
                <w:rFonts w:eastAsia="Calibri" w:cs="Arial"/>
                <w:sz w:val="14"/>
                <w:szCs w:val="14"/>
                <w:lang w:eastAsia="en-US"/>
              </w:rPr>
              <w:t xml:space="preserve">. </w:t>
            </w:r>
          </w:p>
        </w:tc>
      </w:tr>
      <w:tr w:rsidR="00EF0F77" w:rsidRPr="00EF0F77" w14:paraId="15B9E71B" w14:textId="77777777" w:rsidTr="00425F09">
        <w:tc>
          <w:tcPr>
            <w:tcW w:w="1843" w:type="dxa"/>
            <w:tcMar>
              <w:top w:w="80" w:type="dxa"/>
              <w:left w:w="80" w:type="dxa"/>
              <w:bottom w:w="80" w:type="dxa"/>
              <w:right w:w="80" w:type="dxa"/>
            </w:tcMar>
          </w:tcPr>
          <w:p w14:paraId="4B4B03F0" w14:textId="77777777"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Victoria</w:t>
            </w:r>
            <w:r w:rsidR="00DA6564">
              <w:rPr>
                <w:rFonts w:eastAsia="Calibri" w:cs="Arial"/>
                <w:b/>
                <w:sz w:val="16"/>
                <w:szCs w:val="16"/>
                <w:lang w:eastAsia="en-US"/>
              </w:rPr>
              <w:fldChar w:fldCharType="begin"/>
            </w:r>
            <w:r w:rsidR="00DA6564">
              <w:instrText xml:space="preserve"> XE "</w:instrText>
            </w:r>
            <w:r w:rsidR="00DA6564" w:rsidRPr="00EA4D68">
              <w:instrText>Victoria:summary of coverage of workers</w:instrText>
            </w:r>
            <w:r w:rsidR="00DA6564">
              <w:instrText xml:space="preserve">" </w:instrText>
            </w:r>
            <w:r w:rsidR="00DA6564">
              <w:rPr>
                <w:rFonts w:eastAsia="Calibri" w:cs="Arial"/>
                <w:b/>
                <w:sz w:val="16"/>
                <w:szCs w:val="16"/>
                <w:lang w:eastAsia="en-US"/>
              </w:rPr>
              <w:fldChar w:fldCharType="end"/>
            </w:r>
          </w:p>
        </w:tc>
        <w:tc>
          <w:tcPr>
            <w:tcW w:w="5954" w:type="dxa"/>
            <w:tcMar>
              <w:top w:w="80" w:type="dxa"/>
              <w:left w:w="80" w:type="dxa"/>
              <w:bottom w:w="80" w:type="dxa"/>
              <w:right w:w="80" w:type="dxa"/>
            </w:tcMar>
          </w:tcPr>
          <w:p w14:paraId="17E2EE2C" w14:textId="362DC780" w:rsidR="00EF0F77" w:rsidRPr="00EF0F77" w:rsidRDefault="00BA06AB" w:rsidP="00B21723">
            <w:pPr>
              <w:spacing w:after="60"/>
              <w:rPr>
                <w:rFonts w:eastAsia="Calibri" w:cs="Arial"/>
                <w:sz w:val="14"/>
                <w:szCs w:val="14"/>
                <w:lang w:eastAsia="en-US"/>
              </w:rPr>
            </w:pPr>
            <w:r>
              <w:rPr>
                <w:rFonts w:eastAsia="Calibri" w:cs="Arial"/>
                <w:sz w:val="14"/>
                <w:szCs w:val="14"/>
                <w:lang w:eastAsia="en-US"/>
              </w:rPr>
              <w:t>“w</w:t>
            </w:r>
            <w:r w:rsidR="00EF0F77" w:rsidRPr="00EF0F77">
              <w:rPr>
                <w:rFonts w:eastAsia="Calibri" w:cs="Arial"/>
                <w:sz w:val="14"/>
                <w:szCs w:val="14"/>
                <w:lang w:eastAsia="en-US"/>
              </w:rPr>
              <w:t>orker</w:t>
            </w:r>
            <w:r>
              <w:rPr>
                <w:rFonts w:eastAsia="Calibri" w:cs="Arial"/>
                <w:sz w:val="14"/>
                <w:szCs w:val="14"/>
                <w:lang w:eastAsia="en-US"/>
              </w:rPr>
              <w:t>”</w:t>
            </w:r>
            <w:r w:rsidR="00EF0F77" w:rsidRPr="00EF0F77">
              <w:rPr>
                <w:rFonts w:eastAsia="Calibri" w:cs="Arial"/>
                <w:sz w:val="14"/>
                <w:szCs w:val="14"/>
                <w:lang w:eastAsia="en-US"/>
              </w:rPr>
              <w:t xml:space="preserve"> means an individual —</w:t>
            </w:r>
          </w:p>
          <w:p w14:paraId="77D7DB9B" w14:textId="13D38154" w:rsidR="00EF0F77" w:rsidRPr="006A3B9A" w:rsidRDefault="00EF0F77" w:rsidP="00F839DB">
            <w:pPr>
              <w:pStyle w:val="ListParagraph"/>
              <w:numPr>
                <w:ilvl w:val="0"/>
                <w:numId w:val="470"/>
              </w:numPr>
              <w:spacing w:after="60"/>
              <w:rPr>
                <w:rFonts w:eastAsia="Calibri" w:cs="Arial"/>
                <w:sz w:val="14"/>
                <w:szCs w:val="14"/>
                <w:lang w:eastAsia="en-US"/>
              </w:rPr>
            </w:pPr>
            <w:r w:rsidRPr="006A3B9A">
              <w:rPr>
                <w:rFonts w:eastAsia="Calibri" w:cs="Arial"/>
                <w:sz w:val="14"/>
                <w:szCs w:val="14"/>
                <w:lang w:eastAsia="en-US"/>
              </w:rPr>
              <w:t>who:</w:t>
            </w:r>
          </w:p>
          <w:p w14:paraId="2F10D068" w14:textId="34152B1D" w:rsidR="00EF0F77" w:rsidRPr="006A3B9A" w:rsidRDefault="00EF0F77" w:rsidP="00F839DB">
            <w:pPr>
              <w:pStyle w:val="ListParagraph"/>
              <w:numPr>
                <w:ilvl w:val="0"/>
                <w:numId w:val="471"/>
              </w:numPr>
              <w:spacing w:after="60"/>
              <w:contextualSpacing/>
              <w:rPr>
                <w:rFonts w:eastAsia="Calibri" w:cs="Arial"/>
                <w:sz w:val="14"/>
                <w:szCs w:val="14"/>
                <w:lang w:eastAsia="en-US"/>
              </w:rPr>
            </w:pPr>
            <w:r w:rsidRPr="006A3B9A">
              <w:rPr>
                <w:rFonts w:eastAsia="Calibri" w:cs="Arial"/>
                <w:sz w:val="14"/>
                <w:szCs w:val="14"/>
                <w:lang w:eastAsia="en-US"/>
              </w:rPr>
              <w:t>performs work for an employer; or</w:t>
            </w:r>
          </w:p>
          <w:p w14:paraId="3317EC71" w14:textId="2B23C8D5" w:rsidR="00EF0F77" w:rsidRPr="006A3B9A" w:rsidRDefault="00EF0F77" w:rsidP="00F839DB">
            <w:pPr>
              <w:pStyle w:val="ListParagraph"/>
              <w:numPr>
                <w:ilvl w:val="0"/>
                <w:numId w:val="471"/>
              </w:numPr>
              <w:spacing w:after="60"/>
              <w:rPr>
                <w:rFonts w:eastAsia="Calibri" w:cs="Arial"/>
                <w:sz w:val="14"/>
                <w:szCs w:val="14"/>
                <w:lang w:eastAsia="en-US"/>
              </w:rPr>
            </w:pPr>
            <w:r w:rsidRPr="006A3B9A">
              <w:rPr>
                <w:rFonts w:eastAsia="Calibri" w:cs="Arial"/>
                <w:sz w:val="14"/>
                <w:szCs w:val="14"/>
                <w:lang w:eastAsia="en-US"/>
              </w:rPr>
              <w:t>agrees with an employer to perform work – at the employer’s direction, instruction or request, whether under a contract of employment (whether express, implied, oral or in writing) or otherwise; or</w:t>
            </w:r>
          </w:p>
          <w:p w14:paraId="37D6698B" w14:textId="7D760D66" w:rsidR="00EF0F77" w:rsidRPr="006A3B9A" w:rsidRDefault="00EF0F77" w:rsidP="00F839DB">
            <w:pPr>
              <w:pStyle w:val="ListParagraph"/>
              <w:numPr>
                <w:ilvl w:val="0"/>
                <w:numId w:val="470"/>
              </w:numPr>
              <w:spacing w:after="60"/>
              <w:rPr>
                <w:rFonts w:eastAsia="Calibri" w:cs="Arial"/>
                <w:sz w:val="14"/>
                <w:szCs w:val="14"/>
                <w:lang w:eastAsia="en-US"/>
              </w:rPr>
            </w:pPr>
            <w:r w:rsidRPr="006A3B9A">
              <w:rPr>
                <w:rFonts w:eastAsia="Calibri" w:cs="Arial"/>
                <w:sz w:val="14"/>
                <w:szCs w:val="14"/>
                <w:lang w:eastAsia="en-US"/>
              </w:rPr>
              <w:t>who is deeme</w:t>
            </w:r>
            <w:r w:rsidR="00681D75">
              <w:rPr>
                <w:rFonts w:eastAsia="Calibri" w:cs="Arial"/>
                <w:sz w:val="14"/>
                <w:szCs w:val="14"/>
                <w:lang w:eastAsia="en-US"/>
              </w:rPr>
              <w:t xml:space="preserve">d to be a worker under the </w:t>
            </w:r>
            <w:r w:rsidR="00681D75">
              <w:rPr>
                <w:rFonts w:eastAsia="Calibri" w:cs="Arial"/>
                <w:i/>
                <w:sz w:val="14"/>
                <w:szCs w:val="14"/>
                <w:lang w:eastAsia="en-US"/>
              </w:rPr>
              <w:t>Workplace Injury Rehabilitation and Compensation</w:t>
            </w:r>
            <w:r w:rsidR="00BA06AB" w:rsidRPr="00681D75">
              <w:rPr>
                <w:rFonts w:eastAsia="Calibri" w:cs="Arial"/>
                <w:i/>
                <w:sz w:val="14"/>
                <w:szCs w:val="14"/>
                <w:lang w:eastAsia="en-US"/>
              </w:rPr>
              <w:t xml:space="preserve"> Ac</w:t>
            </w:r>
            <w:r w:rsidR="00681D75">
              <w:rPr>
                <w:rFonts w:eastAsia="Calibri" w:cs="Arial"/>
                <w:i/>
                <w:sz w:val="14"/>
                <w:szCs w:val="14"/>
                <w:lang w:eastAsia="en-US"/>
              </w:rPr>
              <w:t>t 2013</w:t>
            </w:r>
            <w:r w:rsidRPr="006A3B9A">
              <w:rPr>
                <w:rFonts w:eastAsia="Calibri" w:cs="Arial"/>
                <w:sz w:val="14"/>
                <w:szCs w:val="14"/>
                <w:lang w:eastAsia="en-US"/>
              </w:rPr>
              <w:t xml:space="preserve"> —</w:t>
            </w:r>
            <w:r w:rsidR="00DD0D68">
              <w:rPr>
                <w:rFonts w:eastAsia="Calibri" w:cs="Arial"/>
                <w:sz w:val="14"/>
                <w:szCs w:val="14"/>
                <w:lang w:eastAsia="en-US"/>
              </w:rPr>
              <w:t xml:space="preserve"> </w:t>
            </w:r>
            <w:hyperlink r:id="rId91" w:history="1">
              <w:r w:rsidR="00C64A2B" w:rsidRPr="00891A8F">
                <w:rPr>
                  <w:rStyle w:val="Hyperlink"/>
                  <w:rFonts w:eastAsia="Calibri" w:cs="Arial"/>
                  <w:sz w:val="14"/>
                  <w:szCs w:val="14"/>
                  <w:lang w:eastAsia="en-US"/>
                </w:rPr>
                <w:t>s3</w:t>
              </w:r>
            </w:hyperlink>
            <w:r w:rsidR="008B24D1">
              <w:rPr>
                <w:rFonts w:eastAsia="Calibri" w:cs="Arial"/>
                <w:sz w:val="14"/>
                <w:szCs w:val="14"/>
                <w:lang w:eastAsia="en-US"/>
              </w:rPr>
              <w:t>.</w:t>
            </w:r>
          </w:p>
        </w:tc>
        <w:tc>
          <w:tcPr>
            <w:tcW w:w="4035" w:type="dxa"/>
            <w:tcMar>
              <w:top w:w="80" w:type="dxa"/>
              <w:left w:w="80" w:type="dxa"/>
              <w:bottom w:w="80" w:type="dxa"/>
              <w:right w:w="80" w:type="dxa"/>
            </w:tcMar>
          </w:tcPr>
          <w:p w14:paraId="6D163DCC" w14:textId="110C82D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Not unless the contractor is a deemed worker pursuant to clause 9 of </w:t>
            </w:r>
            <w:hyperlink r:id="rId92" w:history="1">
              <w:r w:rsidRPr="00AB613F">
                <w:rPr>
                  <w:rStyle w:val="Hyperlink"/>
                  <w:rFonts w:eastAsia="Calibri" w:cs="Arial"/>
                  <w:sz w:val="14"/>
                  <w:szCs w:val="14"/>
                  <w:lang w:eastAsia="en-US"/>
                </w:rPr>
                <w:t>schedule 1</w:t>
              </w:r>
            </w:hyperlink>
            <w:r w:rsidR="008B24D1">
              <w:rPr>
                <w:rFonts w:eastAsia="Calibri" w:cs="Arial"/>
                <w:sz w:val="14"/>
                <w:szCs w:val="14"/>
                <w:lang w:eastAsia="en-US"/>
              </w:rPr>
              <w:t>.</w:t>
            </w:r>
          </w:p>
        </w:tc>
        <w:tc>
          <w:tcPr>
            <w:tcW w:w="3544" w:type="dxa"/>
            <w:tcMar>
              <w:top w:w="80" w:type="dxa"/>
              <w:left w:w="80" w:type="dxa"/>
              <w:bottom w:w="80" w:type="dxa"/>
              <w:right w:w="80" w:type="dxa"/>
            </w:tcMar>
          </w:tcPr>
          <w:p w14:paraId="011B773C" w14:textId="21B739E3"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Yes, labour hire firm held to be employer (definition of ‘worker’ in </w:t>
            </w:r>
            <w:hyperlink r:id="rId93" w:history="1">
              <w:r w:rsidRPr="00891A8F">
                <w:rPr>
                  <w:rStyle w:val="Hyperlink"/>
                  <w:rFonts w:eastAsia="Calibri" w:cs="Arial"/>
                  <w:sz w:val="14"/>
                  <w:szCs w:val="14"/>
                  <w:lang w:eastAsia="en-US"/>
                </w:rPr>
                <w:t>s3</w:t>
              </w:r>
            </w:hyperlink>
            <w:r w:rsidR="008B24D1">
              <w:rPr>
                <w:rFonts w:eastAsia="Calibri" w:cs="Arial"/>
                <w:sz w:val="14"/>
                <w:szCs w:val="14"/>
                <w:lang w:eastAsia="en-US"/>
              </w:rPr>
              <w:t>.</w:t>
            </w:r>
          </w:p>
        </w:tc>
      </w:tr>
      <w:tr w:rsidR="00EF0F77" w:rsidRPr="00EF0F77" w14:paraId="09331B88" w14:textId="77777777" w:rsidTr="00425F09">
        <w:tc>
          <w:tcPr>
            <w:tcW w:w="1843" w:type="dxa"/>
            <w:shd w:val="clear" w:color="auto" w:fill="FFC9C9"/>
            <w:tcMar>
              <w:top w:w="80" w:type="dxa"/>
              <w:left w:w="80" w:type="dxa"/>
              <w:bottom w:w="80" w:type="dxa"/>
              <w:right w:w="80" w:type="dxa"/>
            </w:tcMar>
          </w:tcPr>
          <w:p w14:paraId="17E3B407" w14:textId="77777777"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Queensland</w:t>
            </w:r>
            <w:r w:rsidR="00B653B7">
              <w:rPr>
                <w:rFonts w:eastAsia="Calibri" w:cs="Arial"/>
                <w:b/>
                <w:sz w:val="16"/>
                <w:szCs w:val="16"/>
                <w:lang w:eastAsia="en-US"/>
              </w:rPr>
              <w:fldChar w:fldCharType="begin"/>
            </w:r>
            <w:r w:rsidR="00B653B7">
              <w:instrText xml:space="preserve"> XE "</w:instrText>
            </w:r>
            <w:r w:rsidR="00B653B7" w:rsidRPr="00505EB4">
              <w:instrText xml:space="preserve">Queensland:summary of coverage </w:instrText>
            </w:r>
            <w:r w:rsidR="00B653B7" w:rsidRPr="00505EB4">
              <w:lastRenderedPageBreak/>
              <w:instrText>of workers</w:instrText>
            </w:r>
            <w:r w:rsidR="00B653B7">
              <w:instrText xml:space="preserve">" </w:instrText>
            </w:r>
            <w:r w:rsidR="00B653B7">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157E3EE2" w14:textId="76178868"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lastRenderedPageBreak/>
              <w:t xml:space="preserve">A worker is a person who works under a contract and, in relation to the work, is an employee for the purpose of assessment for PAYG withholding — </w:t>
            </w:r>
            <w:hyperlink r:id="rId94" w:anchor="sec.11" w:history="1">
              <w:r w:rsidRPr="00891A8F">
                <w:rPr>
                  <w:rStyle w:val="Hyperlink"/>
                  <w:rFonts w:eastAsia="Calibri" w:cs="Arial"/>
                  <w:sz w:val="14"/>
                  <w:szCs w:val="14"/>
                  <w:lang w:eastAsia="en-US"/>
                </w:rPr>
                <w:t>s11</w:t>
              </w:r>
            </w:hyperlink>
            <w:r w:rsidRPr="00EF0F77">
              <w:rPr>
                <w:rFonts w:eastAsia="Calibri" w:cs="Arial"/>
                <w:sz w:val="14"/>
                <w:szCs w:val="14"/>
                <w:lang w:eastAsia="en-US"/>
              </w:rPr>
              <w:t xml:space="preserve"> </w:t>
            </w:r>
            <w:r w:rsidR="00F026F2">
              <w:rPr>
                <w:rFonts w:eastAsia="Calibri" w:cs="Arial"/>
                <w:sz w:val="14"/>
                <w:szCs w:val="14"/>
                <w:lang w:eastAsia="en-US"/>
              </w:rPr>
              <w:t>(</w:t>
            </w:r>
            <w:r w:rsidRPr="00F026F2">
              <w:rPr>
                <w:rFonts w:eastAsia="Calibri" w:cs="Arial"/>
                <w:i/>
                <w:sz w:val="14"/>
                <w:szCs w:val="14"/>
                <w:lang w:eastAsia="en-US"/>
              </w:rPr>
              <w:t>Workers’ Compensation and Rehabilitation Act 2003</w:t>
            </w:r>
            <w:r w:rsidR="00F026F2">
              <w:rPr>
                <w:rFonts w:eastAsia="Calibri" w:cs="Arial"/>
                <w:i/>
                <w:sz w:val="14"/>
                <w:szCs w:val="14"/>
                <w:lang w:eastAsia="en-US"/>
              </w:rPr>
              <w:t>)</w:t>
            </w:r>
            <w:r w:rsidR="008B24D1">
              <w:rPr>
                <w:rFonts w:eastAsia="Calibri" w:cs="Arial"/>
                <w:i/>
                <w:sz w:val="14"/>
                <w:szCs w:val="14"/>
                <w:lang w:eastAsia="en-US"/>
              </w:rPr>
              <w:t>.</w:t>
            </w:r>
          </w:p>
        </w:tc>
        <w:tc>
          <w:tcPr>
            <w:tcW w:w="4035" w:type="dxa"/>
            <w:shd w:val="clear" w:color="auto" w:fill="FFC9C9"/>
            <w:tcMar>
              <w:top w:w="80" w:type="dxa"/>
              <w:left w:w="80" w:type="dxa"/>
              <w:bottom w:w="80" w:type="dxa"/>
              <w:right w:w="80" w:type="dxa"/>
            </w:tcMar>
          </w:tcPr>
          <w:p w14:paraId="3CCCCF9A" w14:textId="4E2FD8EF"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unless determined an employ</w:t>
            </w:r>
            <w:r w:rsidR="00DD0D68">
              <w:rPr>
                <w:rFonts w:eastAsia="Calibri" w:cs="Arial"/>
                <w:sz w:val="14"/>
                <w:szCs w:val="14"/>
                <w:lang w:eastAsia="en-US"/>
              </w:rPr>
              <w:t>ee using the ATO Decision Tool.</w:t>
            </w:r>
          </w:p>
        </w:tc>
        <w:tc>
          <w:tcPr>
            <w:tcW w:w="3544" w:type="dxa"/>
            <w:shd w:val="clear" w:color="auto" w:fill="FFC9C9"/>
            <w:tcMar>
              <w:top w:w="80" w:type="dxa"/>
              <w:left w:w="80" w:type="dxa"/>
              <w:bottom w:w="80" w:type="dxa"/>
              <w:right w:w="80" w:type="dxa"/>
            </w:tcMar>
          </w:tcPr>
          <w:p w14:paraId="302B539B" w14:textId="04112881"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 labour hire</w:t>
            </w:r>
            <w:r w:rsidR="00DD0D68">
              <w:rPr>
                <w:rFonts w:eastAsia="Calibri" w:cs="Arial"/>
                <w:sz w:val="14"/>
                <w:szCs w:val="14"/>
                <w:lang w:eastAsia="en-US"/>
              </w:rPr>
              <w:t xml:space="preserve"> firm held to be employer.</w:t>
            </w:r>
          </w:p>
        </w:tc>
      </w:tr>
      <w:tr w:rsidR="00EF0F77" w:rsidRPr="00EF0F77" w14:paraId="5E265461" w14:textId="77777777" w:rsidTr="00425F09">
        <w:tc>
          <w:tcPr>
            <w:tcW w:w="1843" w:type="dxa"/>
            <w:tcMar>
              <w:top w:w="80" w:type="dxa"/>
              <w:left w:w="80" w:type="dxa"/>
              <w:bottom w:w="80" w:type="dxa"/>
              <w:right w:w="80" w:type="dxa"/>
            </w:tcMar>
          </w:tcPr>
          <w:p w14:paraId="08B3E90E" w14:textId="38B48D90"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Western Australia</w:t>
            </w:r>
            <w:r w:rsidR="00232E14">
              <w:rPr>
                <w:rFonts w:eastAsia="Calibri" w:cs="Arial"/>
                <w:b/>
                <w:sz w:val="16"/>
                <w:szCs w:val="16"/>
                <w:lang w:eastAsia="en-US"/>
              </w:rPr>
              <w:fldChar w:fldCharType="begin"/>
            </w:r>
            <w:r w:rsidR="00232E14">
              <w:instrText xml:space="preserve"> XE "</w:instrText>
            </w:r>
            <w:r w:rsidR="00232E14" w:rsidRPr="00CC58A2">
              <w:instrText>Western Australia:summary of coverage of workers</w:instrText>
            </w:r>
            <w:r w:rsidR="00232E14">
              <w:instrText xml:space="preserve">" </w:instrText>
            </w:r>
            <w:r w:rsidR="00232E14">
              <w:rPr>
                <w:rFonts w:eastAsia="Calibri" w:cs="Arial"/>
                <w:b/>
                <w:sz w:val="16"/>
                <w:szCs w:val="16"/>
                <w:lang w:eastAsia="en-US"/>
              </w:rPr>
              <w:fldChar w:fldCharType="end"/>
            </w:r>
          </w:p>
        </w:tc>
        <w:tc>
          <w:tcPr>
            <w:tcW w:w="5954" w:type="dxa"/>
            <w:tcMar>
              <w:top w:w="80" w:type="dxa"/>
              <w:left w:w="80" w:type="dxa"/>
              <w:bottom w:w="80" w:type="dxa"/>
              <w:right w:w="80" w:type="dxa"/>
            </w:tcMar>
          </w:tcPr>
          <w:p w14:paraId="79007DD9"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Any person who has entered into or works under a contract of service or apprenticeship with an employer, whether by way of manual labour, clerical work, or otherwise and whether the contract is expressed or implied, is oral or in writing. The meaning of worker also includes:</w:t>
            </w:r>
          </w:p>
          <w:p w14:paraId="67BA1AD8" w14:textId="4870401C" w:rsidR="005E611B" w:rsidRPr="005E611B" w:rsidRDefault="00EF0F77" w:rsidP="00F839DB">
            <w:pPr>
              <w:pStyle w:val="ListParagraph"/>
              <w:numPr>
                <w:ilvl w:val="0"/>
                <w:numId w:val="575"/>
              </w:numPr>
              <w:spacing w:after="60"/>
              <w:ind w:left="268" w:hanging="268"/>
              <w:rPr>
                <w:rFonts w:eastAsia="Calibri" w:cs="Arial"/>
                <w:sz w:val="14"/>
                <w:szCs w:val="14"/>
                <w:lang w:eastAsia="en-US"/>
              </w:rPr>
            </w:pPr>
            <w:r w:rsidRPr="005E611B">
              <w:rPr>
                <w:rFonts w:eastAsia="Calibri" w:cs="Arial"/>
                <w:sz w:val="14"/>
                <w:szCs w:val="14"/>
                <w:lang w:eastAsia="en-US"/>
              </w:rPr>
              <w:t>any person to whose service any industrial award or industrial agreement applies, and</w:t>
            </w:r>
          </w:p>
          <w:p w14:paraId="5A90DD27" w14:textId="6D981F10" w:rsidR="00EF0F77" w:rsidRPr="005E611B" w:rsidRDefault="00EF0F77" w:rsidP="00F839DB">
            <w:pPr>
              <w:pStyle w:val="ListParagraph"/>
              <w:numPr>
                <w:ilvl w:val="0"/>
                <w:numId w:val="575"/>
              </w:numPr>
              <w:spacing w:after="60"/>
              <w:rPr>
                <w:rFonts w:eastAsia="Calibri" w:cs="Arial"/>
                <w:sz w:val="14"/>
                <w:szCs w:val="14"/>
                <w:lang w:eastAsia="en-US"/>
              </w:rPr>
            </w:pPr>
            <w:r w:rsidRPr="005E611B">
              <w:rPr>
                <w:rFonts w:eastAsia="Calibri" w:cs="Arial"/>
                <w:sz w:val="14"/>
                <w:szCs w:val="14"/>
                <w:lang w:eastAsia="en-US"/>
              </w:rPr>
              <w:t xml:space="preserve">any person engaged by another person to work for the purpose of the other person’s trade or business under a contract with him for service, the remuneration by whatever means of the person so working being in substance for his personal manual labour or services — </w:t>
            </w:r>
            <w:r w:rsidR="005E611B" w:rsidRPr="005E611B">
              <w:rPr>
                <w:rFonts w:eastAsia="Calibri" w:cs="Arial"/>
                <w:i/>
                <w:sz w:val="14"/>
                <w:szCs w:val="14"/>
                <w:lang w:eastAsia="en-US"/>
              </w:rPr>
              <w:t>Workers’ Compensation and Injury Management Act 1981</w:t>
            </w:r>
            <w:r w:rsidR="005E611B">
              <w:rPr>
                <w:rFonts w:eastAsia="Calibri" w:cs="Arial"/>
                <w:sz w:val="14"/>
                <w:szCs w:val="14"/>
                <w:lang w:eastAsia="en-US"/>
              </w:rPr>
              <w:t xml:space="preserve"> – </w:t>
            </w:r>
            <w:hyperlink r:id="rId95" w:history="1">
              <w:r w:rsidRPr="007E44D6">
                <w:rPr>
                  <w:rStyle w:val="Hyperlink"/>
                  <w:rFonts w:eastAsia="Calibri" w:cs="Arial"/>
                  <w:sz w:val="14"/>
                  <w:szCs w:val="14"/>
                  <w:lang w:eastAsia="en-US"/>
                </w:rPr>
                <w:t>s5(1)</w:t>
              </w:r>
            </w:hyperlink>
            <w:r w:rsidRPr="005E611B">
              <w:rPr>
                <w:rFonts w:eastAsia="Calibri" w:cs="Arial"/>
                <w:sz w:val="14"/>
                <w:szCs w:val="14"/>
                <w:lang w:eastAsia="en-US"/>
              </w:rPr>
              <w:t>.</w:t>
            </w:r>
          </w:p>
        </w:tc>
        <w:tc>
          <w:tcPr>
            <w:tcW w:w="4035" w:type="dxa"/>
            <w:tcMar>
              <w:top w:w="80" w:type="dxa"/>
              <w:left w:w="80" w:type="dxa"/>
              <w:bottom w:w="80" w:type="dxa"/>
              <w:right w:w="80" w:type="dxa"/>
            </w:tcMar>
          </w:tcPr>
          <w:p w14:paraId="02811469"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unless employed under contract for service and remunerated in substance for personal manual labour or service.</w:t>
            </w:r>
          </w:p>
        </w:tc>
        <w:tc>
          <w:tcPr>
            <w:tcW w:w="3544" w:type="dxa"/>
            <w:tcMar>
              <w:top w:w="80" w:type="dxa"/>
              <w:left w:w="80" w:type="dxa"/>
              <w:bottom w:w="80" w:type="dxa"/>
              <w:right w:w="80" w:type="dxa"/>
            </w:tcMar>
          </w:tcPr>
          <w:p w14:paraId="2CF8C18F"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 labour hire firm held to be employer.</w:t>
            </w:r>
          </w:p>
        </w:tc>
      </w:tr>
      <w:tr w:rsidR="00EF0F77" w:rsidRPr="00EF0F77" w14:paraId="63C9DFCC" w14:textId="77777777" w:rsidTr="00425F09">
        <w:tc>
          <w:tcPr>
            <w:tcW w:w="1843" w:type="dxa"/>
            <w:shd w:val="clear" w:color="auto" w:fill="FFC9C9"/>
            <w:tcMar>
              <w:top w:w="80" w:type="dxa"/>
              <w:left w:w="80" w:type="dxa"/>
              <w:bottom w:w="80" w:type="dxa"/>
              <w:right w:w="80" w:type="dxa"/>
            </w:tcMar>
          </w:tcPr>
          <w:p w14:paraId="7F7FFE60" w14:textId="374B2AA5"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South Australia</w:t>
            </w:r>
            <w:r w:rsidR="007E7520">
              <w:rPr>
                <w:rFonts w:eastAsia="Calibri" w:cs="Arial"/>
                <w:b/>
                <w:sz w:val="16"/>
                <w:szCs w:val="16"/>
                <w:lang w:eastAsia="en-US"/>
              </w:rPr>
              <w:fldChar w:fldCharType="begin"/>
            </w:r>
            <w:r w:rsidR="007E7520">
              <w:instrText xml:space="preserve"> XE "</w:instrText>
            </w:r>
            <w:r w:rsidR="007E7520" w:rsidRPr="00721508">
              <w:instrText>South Australia:summary of coverage of workers</w:instrText>
            </w:r>
            <w:r w:rsidR="007E7520">
              <w:instrText xml:space="preserve">" </w:instrText>
            </w:r>
            <w:r w:rsidR="007E7520">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6C4EB3B7" w14:textId="77777777" w:rsidR="00EF0F77" w:rsidRPr="00EF0F77" w:rsidRDefault="00EF0F77" w:rsidP="00B21723">
            <w:pPr>
              <w:spacing w:after="60"/>
              <w:contextualSpacing/>
              <w:rPr>
                <w:rFonts w:eastAsia="Calibri" w:cs="Arial"/>
                <w:sz w:val="14"/>
                <w:szCs w:val="14"/>
                <w:lang w:eastAsia="en-US"/>
              </w:rPr>
            </w:pPr>
            <w:r w:rsidRPr="00EF0F77">
              <w:rPr>
                <w:rFonts w:eastAsia="Calibri" w:cs="Arial"/>
                <w:sz w:val="14"/>
                <w:szCs w:val="14"/>
                <w:lang w:eastAsia="en-US"/>
              </w:rPr>
              <w:t>A ‘worker’ means</w:t>
            </w:r>
          </w:p>
          <w:p w14:paraId="225163A6" w14:textId="77777777" w:rsidR="00EF0F77" w:rsidRPr="00EF0F77" w:rsidRDefault="00EF0F77" w:rsidP="00DF35F2">
            <w:pPr>
              <w:numPr>
                <w:ilvl w:val="0"/>
                <w:numId w:val="32"/>
              </w:numPr>
              <w:spacing w:after="60"/>
              <w:contextualSpacing/>
              <w:rPr>
                <w:rFonts w:eastAsia="Calibri" w:cs="Arial"/>
                <w:sz w:val="14"/>
                <w:szCs w:val="14"/>
                <w:lang w:eastAsia="en-US"/>
              </w:rPr>
            </w:pPr>
            <w:r w:rsidRPr="00EF0F77">
              <w:rPr>
                <w:rFonts w:eastAsia="Calibri" w:cs="Arial"/>
                <w:sz w:val="14"/>
                <w:szCs w:val="14"/>
                <w:lang w:eastAsia="en-US"/>
              </w:rPr>
              <w:t>a person by whom work is done under a contract of service (whether or not as an employee)</w:t>
            </w:r>
          </w:p>
          <w:p w14:paraId="2768AE00" w14:textId="6B503493" w:rsidR="00EF0F77" w:rsidRPr="00EF0F77" w:rsidRDefault="00EF0F77" w:rsidP="00DF35F2">
            <w:pPr>
              <w:numPr>
                <w:ilvl w:val="0"/>
                <w:numId w:val="32"/>
              </w:numPr>
              <w:spacing w:after="60"/>
              <w:contextualSpacing/>
              <w:rPr>
                <w:rFonts w:eastAsia="Calibri" w:cs="Arial"/>
                <w:sz w:val="14"/>
                <w:szCs w:val="14"/>
                <w:lang w:eastAsia="en-US"/>
              </w:rPr>
            </w:pPr>
            <w:r w:rsidRPr="00EF0F77">
              <w:rPr>
                <w:rFonts w:eastAsia="Calibri" w:cs="Arial"/>
                <w:sz w:val="14"/>
                <w:szCs w:val="14"/>
                <w:lang w:eastAsia="en-US"/>
              </w:rPr>
              <w:t xml:space="preserve">a person who is a worker by virtue of —Schedule 1 </w:t>
            </w:r>
            <w:r w:rsidR="00DB5870" w:rsidRPr="00DB5870">
              <w:rPr>
                <w:rFonts w:eastAsia="Calibri" w:cs="Arial"/>
                <w:i/>
                <w:sz w:val="14"/>
                <w:szCs w:val="14"/>
                <w:lang w:eastAsia="en-US"/>
              </w:rPr>
              <w:t xml:space="preserve">Return to Work </w:t>
            </w:r>
            <w:r w:rsidRPr="00DB5870">
              <w:rPr>
                <w:rFonts w:eastAsia="Calibri" w:cs="Arial"/>
                <w:i/>
                <w:sz w:val="14"/>
                <w:szCs w:val="14"/>
                <w:lang w:eastAsia="en-US"/>
              </w:rPr>
              <w:t>Act 2014</w:t>
            </w:r>
          </w:p>
          <w:p w14:paraId="75E7EF8B" w14:textId="360912F0" w:rsidR="00EF0F77" w:rsidRPr="00EF0F77" w:rsidRDefault="00EF0F77" w:rsidP="00DF35F2">
            <w:pPr>
              <w:numPr>
                <w:ilvl w:val="0"/>
                <w:numId w:val="32"/>
              </w:numPr>
              <w:spacing w:after="60"/>
              <w:contextualSpacing/>
              <w:rPr>
                <w:rFonts w:eastAsia="Calibri" w:cs="Arial"/>
                <w:sz w:val="14"/>
                <w:szCs w:val="14"/>
                <w:lang w:eastAsia="en-US"/>
              </w:rPr>
            </w:pPr>
            <w:r w:rsidRPr="00EF0F77">
              <w:rPr>
                <w:rFonts w:eastAsia="Calibri" w:cs="Arial"/>
                <w:sz w:val="14"/>
                <w:szCs w:val="14"/>
                <w:lang w:eastAsia="en-US"/>
              </w:rPr>
              <w:t xml:space="preserve">a self-employed worker </w:t>
            </w:r>
            <w:r w:rsidR="00DA58A3">
              <w:rPr>
                <w:rFonts w:eastAsia="Calibri" w:cs="Arial"/>
                <w:sz w:val="14"/>
                <w:szCs w:val="14"/>
                <w:lang w:eastAsia="en-US"/>
              </w:rPr>
              <w:t>(subject to s175 or Regulation 5)</w:t>
            </w:r>
          </w:p>
          <w:p w14:paraId="5DDD9484" w14:textId="447F4F6C" w:rsidR="00EF0F77" w:rsidRPr="00EF0F77" w:rsidRDefault="00EF0F77" w:rsidP="00DF35F2">
            <w:pPr>
              <w:numPr>
                <w:ilvl w:val="0"/>
                <w:numId w:val="32"/>
              </w:numPr>
              <w:spacing w:after="60"/>
              <w:contextualSpacing/>
              <w:rPr>
                <w:rFonts w:eastAsia="Calibri" w:cs="Arial"/>
                <w:sz w:val="14"/>
                <w:szCs w:val="14"/>
                <w:lang w:eastAsia="en-US"/>
              </w:rPr>
            </w:pPr>
            <w:r w:rsidRPr="00EF0F77">
              <w:rPr>
                <w:rFonts w:eastAsia="Calibri" w:cs="Arial"/>
                <w:sz w:val="14"/>
                <w:szCs w:val="14"/>
                <w:lang w:eastAsia="en-US"/>
              </w:rPr>
              <w:t>and includes a former worker and the legal personal representative of a deceased worker —</w:t>
            </w:r>
            <w:r w:rsidR="00DB5870">
              <w:rPr>
                <w:rFonts w:eastAsia="Calibri" w:cs="Arial"/>
                <w:sz w:val="14"/>
                <w:szCs w:val="14"/>
                <w:lang w:eastAsia="en-US"/>
              </w:rPr>
              <w:t xml:space="preserve"> </w:t>
            </w:r>
            <w:hyperlink r:id="rId96" w:history="1">
              <w:r w:rsidRPr="00EF0F77">
                <w:rPr>
                  <w:rFonts w:eastAsia="Calibri" w:cs="Arial"/>
                  <w:color w:val="0000FF"/>
                  <w:sz w:val="14"/>
                  <w:szCs w:val="14"/>
                  <w:u w:val="single"/>
                  <w:lang w:eastAsia="en-US"/>
                </w:rPr>
                <w:t>s4(1)</w:t>
              </w:r>
            </w:hyperlink>
            <w:r w:rsidR="005D53E6">
              <w:rPr>
                <w:rFonts w:eastAsia="Calibri" w:cs="Arial"/>
                <w:color w:val="0000FF"/>
                <w:sz w:val="14"/>
                <w:szCs w:val="14"/>
                <w:u w:val="single"/>
                <w:lang w:eastAsia="en-US"/>
              </w:rPr>
              <w:t>.</w:t>
            </w:r>
          </w:p>
        </w:tc>
        <w:tc>
          <w:tcPr>
            <w:tcW w:w="4035" w:type="dxa"/>
            <w:shd w:val="clear" w:color="auto" w:fill="FFC9C9"/>
            <w:tcMar>
              <w:top w:w="80" w:type="dxa"/>
              <w:left w:w="80" w:type="dxa"/>
              <w:bottom w:w="80" w:type="dxa"/>
              <w:right w:w="80" w:type="dxa"/>
            </w:tcMar>
          </w:tcPr>
          <w:p w14:paraId="189770E2" w14:textId="77777777" w:rsidR="00EF0F77" w:rsidRPr="006648B8" w:rsidRDefault="00EF0F77" w:rsidP="00B21723">
            <w:pPr>
              <w:spacing w:after="60"/>
              <w:rPr>
                <w:rFonts w:eastAsia="Calibri" w:cs="Arial"/>
                <w:sz w:val="14"/>
                <w:szCs w:val="14"/>
                <w:lang w:eastAsia="en-US"/>
              </w:rPr>
            </w:pPr>
            <w:r w:rsidRPr="006648B8">
              <w:rPr>
                <w:rFonts w:eastAsia="Calibri" w:cs="Arial"/>
                <w:sz w:val="14"/>
                <w:szCs w:val="14"/>
                <w:lang w:eastAsia="en-US"/>
              </w:rPr>
              <w:t>Yes, if covered by definitions in s4:</w:t>
            </w:r>
          </w:p>
          <w:p w14:paraId="04D25B48" w14:textId="098A0549" w:rsidR="00EF0F77" w:rsidRPr="006648B8" w:rsidRDefault="00EF0F77" w:rsidP="00F839DB">
            <w:pPr>
              <w:pStyle w:val="ListParagraph"/>
              <w:numPr>
                <w:ilvl w:val="0"/>
                <w:numId w:val="415"/>
              </w:numPr>
              <w:spacing w:after="60"/>
              <w:contextualSpacing/>
              <w:rPr>
                <w:rFonts w:eastAsia="Calibri" w:cs="Arial"/>
                <w:sz w:val="14"/>
                <w:szCs w:val="14"/>
                <w:lang w:eastAsia="en-US"/>
              </w:rPr>
            </w:pPr>
            <w:r w:rsidRPr="006648B8">
              <w:rPr>
                <w:rFonts w:eastAsia="Calibri" w:cs="Arial"/>
                <w:sz w:val="14"/>
                <w:szCs w:val="14"/>
                <w:lang w:eastAsia="en-US"/>
              </w:rPr>
              <w:t xml:space="preserve">‘worker’ which includes a person by whom work is </w:t>
            </w:r>
            <w:r w:rsidR="000264D7">
              <w:rPr>
                <w:rFonts w:eastAsia="Calibri" w:cs="Arial"/>
                <w:sz w:val="14"/>
                <w:szCs w:val="14"/>
                <w:lang w:eastAsia="en-US"/>
              </w:rPr>
              <w:t>d</w:t>
            </w:r>
            <w:r w:rsidRPr="006648B8">
              <w:rPr>
                <w:rFonts w:eastAsia="Calibri" w:cs="Arial"/>
                <w:sz w:val="14"/>
                <w:szCs w:val="14"/>
                <w:lang w:eastAsia="en-US"/>
              </w:rPr>
              <w:t>one under a contract of service (whether or not as an employee).</w:t>
            </w:r>
          </w:p>
          <w:p w14:paraId="15049015" w14:textId="77777777" w:rsidR="00EF0F77" w:rsidRPr="006648B8" w:rsidRDefault="00EF0F77" w:rsidP="00F839DB">
            <w:pPr>
              <w:pStyle w:val="ListParagraph"/>
              <w:numPr>
                <w:ilvl w:val="0"/>
                <w:numId w:val="415"/>
              </w:numPr>
              <w:spacing w:after="60"/>
              <w:contextualSpacing/>
              <w:rPr>
                <w:rFonts w:eastAsia="Calibri" w:cs="Arial"/>
                <w:sz w:val="14"/>
                <w:szCs w:val="14"/>
                <w:lang w:eastAsia="en-US"/>
              </w:rPr>
            </w:pPr>
            <w:r w:rsidRPr="006648B8">
              <w:rPr>
                <w:rFonts w:eastAsia="Calibri" w:cs="Arial"/>
                <w:sz w:val="14"/>
                <w:szCs w:val="14"/>
                <w:lang w:eastAsia="en-US"/>
              </w:rPr>
              <w:t>‘contract of service’ which includes if person undertakes prescribed work or work of a prescribed class.</w:t>
            </w:r>
          </w:p>
          <w:p w14:paraId="6B182E92" w14:textId="50E93E69" w:rsidR="00EF0F77" w:rsidRPr="006648B8" w:rsidRDefault="00EF0F77" w:rsidP="00F839DB">
            <w:pPr>
              <w:pStyle w:val="ListParagraph"/>
              <w:numPr>
                <w:ilvl w:val="0"/>
                <w:numId w:val="415"/>
              </w:numPr>
              <w:spacing w:after="60"/>
              <w:contextualSpacing/>
              <w:rPr>
                <w:rFonts w:eastAsia="Calibri" w:cs="Arial"/>
                <w:sz w:val="14"/>
                <w:szCs w:val="14"/>
                <w:lang w:eastAsia="en-US"/>
              </w:rPr>
            </w:pPr>
            <w:r w:rsidRPr="006648B8">
              <w:rPr>
                <w:rFonts w:eastAsia="Calibri" w:cs="Arial"/>
                <w:sz w:val="14"/>
                <w:szCs w:val="14"/>
                <w:lang w:eastAsia="en-US"/>
              </w:rPr>
              <w:t xml:space="preserve">See also </w:t>
            </w:r>
            <w:hyperlink r:id="rId97" w:history="1">
              <w:r w:rsidRPr="006648B8">
                <w:rPr>
                  <w:rFonts w:eastAsia="Calibri" w:cs="Arial"/>
                  <w:color w:val="0000FF"/>
                  <w:sz w:val="14"/>
                  <w:szCs w:val="14"/>
                  <w:u w:val="single"/>
                  <w:lang w:eastAsia="en-US"/>
                </w:rPr>
                <w:t>Regulation 5</w:t>
              </w:r>
            </w:hyperlink>
            <w:r w:rsidRPr="006648B8">
              <w:rPr>
                <w:rFonts w:eastAsia="Calibri" w:cs="Arial"/>
                <w:sz w:val="14"/>
                <w:szCs w:val="14"/>
                <w:lang w:eastAsia="en-US"/>
              </w:rPr>
              <w:t xml:space="preserve"> and </w:t>
            </w:r>
            <w:hyperlink r:id="rId98" w:history="1">
              <w:r w:rsidRPr="006648B8">
                <w:rPr>
                  <w:rFonts w:eastAsia="Calibri" w:cs="Arial"/>
                  <w:color w:val="0000FF"/>
                  <w:sz w:val="14"/>
                  <w:szCs w:val="14"/>
                  <w:u w:val="single"/>
                  <w:lang w:eastAsia="en-US"/>
                </w:rPr>
                <w:t>s4(7)</w:t>
              </w:r>
            </w:hyperlink>
            <w:r w:rsidR="008B24D1">
              <w:rPr>
                <w:rFonts w:eastAsia="Calibri" w:cs="Arial"/>
                <w:color w:val="0000FF"/>
                <w:sz w:val="14"/>
                <w:szCs w:val="14"/>
                <w:u w:val="single"/>
                <w:lang w:eastAsia="en-US"/>
              </w:rPr>
              <w:t>.</w:t>
            </w:r>
          </w:p>
        </w:tc>
        <w:tc>
          <w:tcPr>
            <w:tcW w:w="3544" w:type="dxa"/>
            <w:shd w:val="clear" w:color="auto" w:fill="FFC9C9"/>
            <w:tcMar>
              <w:top w:w="80" w:type="dxa"/>
              <w:left w:w="80" w:type="dxa"/>
              <w:bottom w:w="80" w:type="dxa"/>
              <w:right w:w="80" w:type="dxa"/>
            </w:tcMar>
          </w:tcPr>
          <w:p w14:paraId="665EF42A" w14:textId="437CCC4A" w:rsidR="00EF0F77" w:rsidRPr="00A61E5E" w:rsidRDefault="00EF0F77" w:rsidP="00DA58A3">
            <w:pPr>
              <w:spacing w:after="60"/>
              <w:rPr>
                <w:rFonts w:eastAsia="Calibri" w:cs="Arial"/>
                <w:sz w:val="14"/>
                <w:szCs w:val="14"/>
                <w:lang w:eastAsia="en-US"/>
              </w:rPr>
            </w:pPr>
            <w:r w:rsidRPr="00EF0F77">
              <w:rPr>
                <w:rFonts w:eastAsia="Calibri" w:cs="Arial"/>
                <w:sz w:val="14"/>
                <w:szCs w:val="14"/>
                <w:lang w:eastAsia="en-US"/>
              </w:rPr>
              <w:t xml:space="preserve">Yes. </w:t>
            </w:r>
            <w:r w:rsidR="00DA58A3">
              <w:rPr>
                <w:rFonts w:eastAsia="Calibri" w:cs="Arial"/>
                <w:sz w:val="14"/>
                <w:szCs w:val="14"/>
                <w:lang w:eastAsia="en-US"/>
              </w:rPr>
              <w:t>If the individual’s contract is with the Labour Hire business, they are the employer.</w:t>
            </w:r>
          </w:p>
        </w:tc>
      </w:tr>
      <w:tr w:rsidR="00EF0F77" w:rsidRPr="00EF0F77" w14:paraId="2CF68853" w14:textId="77777777" w:rsidTr="00425F09">
        <w:tc>
          <w:tcPr>
            <w:tcW w:w="1843" w:type="dxa"/>
            <w:tcMar>
              <w:top w:w="80" w:type="dxa"/>
              <w:left w:w="80" w:type="dxa"/>
              <w:bottom w:w="80" w:type="dxa"/>
              <w:right w:w="80" w:type="dxa"/>
            </w:tcMar>
          </w:tcPr>
          <w:p w14:paraId="529B8E91" w14:textId="77777777"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Tasmania</w:t>
            </w:r>
            <w:r w:rsidR="0093517C">
              <w:rPr>
                <w:rFonts w:eastAsia="Calibri" w:cs="Arial"/>
                <w:b/>
                <w:sz w:val="16"/>
                <w:szCs w:val="16"/>
                <w:lang w:eastAsia="en-US"/>
              </w:rPr>
              <w:fldChar w:fldCharType="begin"/>
            </w:r>
            <w:r w:rsidR="0093517C">
              <w:instrText xml:space="preserve"> XE "</w:instrText>
            </w:r>
            <w:r w:rsidR="0093517C" w:rsidRPr="00221CDF">
              <w:instrText>Tasmania:summary of coverage of workers</w:instrText>
            </w:r>
            <w:r w:rsidR="0093517C">
              <w:instrText xml:space="preserve">" </w:instrText>
            </w:r>
            <w:r w:rsidR="0093517C">
              <w:rPr>
                <w:rFonts w:eastAsia="Calibri" w:cs="Arial"/>
                <w:b/>
                <w:sz w:val="16"/>
                <w:szCs w:val="16"/>
                <w:lang w:eastAsia="en-US"/>
              </w:rPr>
              <w:fldChar w:fldCharType="end"/>
            </w:r>
          </w:p>
        </w:tc>
        <w:tc>
          <w:tcPr>
            <w:tcW w:w="5954" w:type="dxa"/>
            <w:tcMar>
              <w:top w:w="80" w:type="dxa"/>
              <w:left w:w="80" w:type="dxa"/>
              <w:bottom w:w="80" w:type="dxa"/>
              <w:right w:w="80" w:type="dxa"/>
            </w:tcMar>
          </w:tcPr>
          <w:p w14:paraId="34B93B60"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Any person who has entered into, or works under, a contract of service or training agreement with an employer, whether by way of manual labour, clerical work or otherwise, and whether the contract is express or implied, or is oral or in writing, and</w:t>
            </w:r>
          </w:p>
          <w:p w14:paraId="41279E87" w14:textId="3C646D74"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Any person or class taken to be a worker for the purposes of the </w:t>
            </w:r>
            <w:r w:rsidR="00DB5870">
              <w:rPr>
                <w:rFonts w:eastAsia="Calibri" w:cs="Arial"/>
                <w:i/>
                <w:sz w:val="14"/>
                <w:szCs w:val="14"/>
                <w:lang w:eastAsia="en-US"/>
              </w:rPr>
              <w:t>Workers Rehabilitation and Compensation Act 1988</w:t>
            </w:r>
            <w:r w:rsidRPr="00EF0F77">
              <w:rPr>
                <w:rFonts w:eastAsia="Calibri" w:cs="Arial"/>
                <w:sz w:val="14"/>
                <w:szCs w:val="14"/>
                <w:lang w:eastAsia="en-US"/>
              </w:rPr>
              <w:t xml:space="preserve"> </w:t>
            </w:r>
          </w:p>
          <w:p w14:paraId="27F973EA" w14:textId="3AFCD888"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And, when used in relation to a person who has been injured and is dead, the legal personal representatives or dependants of that person or other person to whom or for whose benefit compensation is payable—</w:t>
            </w:r>
            <w:hyperlink r:id="rId99" w:history="1">
              <w:r w:rsidRPr="00891A8F">
                <w:rPr>
                  <w:rStyle w:val="Hyperlink"/>
                  <w:rFonts w:eastAsia="Calibri" w:cs="Arial"/>
                  <w:sz w:val="14"/>
                  <w:szCs w:val="14"/>
                  <w:lang w:eastAsia="en-US"/>
                </w:rPr>
                <w:t>s3(1)</w:t>
              </w:r>
            </w:hyperlink>
            <w:r w:rsidRPr="00EF0F77">
              <w:rPr>
                <w:rFonts w:eastAsia="Calibri" w:cs="Arial"/>
                <w:sz w:val="14"/>
                <w:szCs w:val="14"/>
                <w:lang w:eastAsia="en-US"/>
              </w:rPr>
              <w:t>.</w:t>
            </w:r>
            <w:r w:rsidR="00DD0D68">
              <w:rPr>
                <w:rFonts w:eastAsia="Calibri" w:cs="Arial"/>
                <w:sz w:val="14"/>
                <w:szCs w:val="14"/>
                <w:lang w:eastAsia="en-US"/>
              </w:rPr>
              <w:t xml:space="preserve"> </w:t>
            </w:r>
          </w:p>
          <w:p w14:paraId="27E0ADCD"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The Act does not apply to any person:</w:t>
            </w:r>
          </w:p>
          <w:p w14:paraId="71786A7C" w14:textId="77777777" w:rsidR="00EF0F77" w:rsidRPr="00EF0F77" w:rsidRDefault="00EF0F77" w:rsidP="00B21723">
            <w:pPr>
              <w:numPr>
                <w:ilvl w:val="0"/>
                <w:numId w:val="5"/>
              </w:numPr>
              <w:spacing w:after="60"/>
              <w:contextualSpacing/>
              <w:rPr>
                <w:rFonts w:eastAsia="Calibri" w:cs="Arial"/>
                <w:sz w:val="14"/>
                <w:szCs w:val="14"/>
                <w:lang w:eastAsia="en-US"/>
              </w:rPr>
            </w:pPr>
            <w:r w:rsidRPr="00EF0F77">
              <w:rPr>
                <w:rFonts w:eastAsia="Calibri" w:cs="Arial"/>
                <w:sz w:val="14"/>
                <w:szCs w:val="14"/>
                <w:lang w:eastAsia="en-US"/>
              </w:rPr>
              <w:t xml:space="preserve">whose employment is of a casual nature, and who is employed otherwise than for the purposes of the employer’s trade or business, or </w:t>
            </w:r>
          </w:p>
          <w:p w14:paraId="339A0F28" w14:textId="77777777" w:rsidR="00EF0F77" w:rsidRPr="006648B8" w:rsidRDefault="00EF0F77" w:rsidP="00F839DB">
            <w:pPr>
              <w:pStyle w:val="ListParagraph"/>
              <w:numPr>
                <w:ilvl w:val="0"/>
                <w:numId w:val="416"/>
              </w:numPr>
              <w:spacing w:after="60"/>
              <w:ind w:left="703" w:hanging="426"/>
              <w:contextualSpacing/>
              <w:rPr>
                <w:rFonts w:eastAsia="Calibri" w:cs="Arial"/>
                <w:sz w:val="14"/>
                <w:szCs w:val="14"/>
                <w:lang w:eastAsia="en-US"/>
              </w:rPr>
            </w:pPr>
            <w:r w:rsidRPr="006648B8">
              <w:rPr>
                <w:rFonts w:eastAsia="Calibri" w:cs="Arial"/>
                <w:sz w:val="14"/>
                <w:szCs w:val="14"/>
                <w:lang w:eastAsia="en-US"/>
              </w:rPr>
              <w:t xml:space="preserve">who is an outworker, or </w:t>
            </w:r>
          </w:p>
          <w:p w14:paraId="384451F7" w14:textId="77777777" w:rsidR="00EF0F77" w:rsidRPr="006648B8" w:rsidRDefault="00EF0F77" w:rsidP="00F839DB">
            <w:pPr>
              <w:pStyle w:val="ListParagraph"/>
              <w:numPr>
                <w:ilvl w:val="0"/>
                <w:numId w:val="416"/>
              </w:numPr>
              <w:spacing w:after="60"/>
              <w:ind w:left="703" w:hanging="426"/>
              <w:contextualSpacing/>
              <w:rPr>
                <w:rFonts w:eastAsia="Calibri" w:cs="Arial"/>
                <w:sz w:val="14"/>
                <w:szCs w:val="14"/>
                <w:lang w:eastAsia="en-US"/>
              </w:rPr>
            </w:pPr>
            <w:r w:rsidRPr="006648B8">
              <w:rPr>
                <w:rFonts w:eastAsia="Calibri" w:cs="Arial"/>
                <w:sz w:val="14"/>
                <w:szCs w:val="14"/>
                <w:lang w:eastAsia="en-US"/>
              </w:rPr>
              <w:t xml:space="preserve">who is a domestic servant in a private family, and has not completed 48 hours’ employment with the same employer at the time when he suffers injury, or </w:t>
            </w:r>
          </w:p>
          <w:p w14:paraId="300941CE" w14:textId="77777777" w:rsidR="00EF0F77" w:rsidRPr="006648B8" w:rsidRDefault="00EF0F77" w:rsidP="00F839DB">
            <w:pPr>
              <w:pStyle w:val="ListParagraph"/>
              <w:numPr>
                <w:ilvl w:val="0"/>
                <w:numId w:val="416"/>
              </w:numPr>
              <w:spacing w:after="60"/>
              <w:ind w:left="703" w:hanging="426"/>
              <w:rPr>
                <w:rFonts w:eastAsia="Calibri" w:cs="Arial"/>
                <w:sz w:val="14"/>
                <w:szCs w:val="14"/>
                <w:lang w:eastAsia="en-US"/>
              </w:rPr>
            </w:pPr>
            <w:r w:rsidRPr="006648B8">
              <w:rPr>
                <w:rFonts w:eastAsia="Calibri" w:cs="Arial"/>
                <w:sz w:val="14"/>
                <w:szCs w:val="14"/>
                <w:lang w:eastAsia="en-US"/>
              </w:rPr>
              <w:t xml:space="preserve">who is a member of the crew of a fishing boat, and is remunerated wholly or mainly by a share in the profits or gross earnings of that boat, or </w:t>
            </w:r>
          </w:p>
          <w:p w14:paraId="6E2E43D7" w14:textId="361D867D" w:rsidR="00EF0F77" w:rsidRPr="006648B8" w:rsidRDefault="00EF0F77" w:rsidP="00B21723">
            <w:pPr>
              <w:pStyle w:val="ListParagraph"/>
              <w:numPr>
                <w:ilvl w:val="0"/>
                <w:numId w:val="5"/>
              </w:numPr>
              <w:spacing w:after="60"/>
              <w:ind w:left="357" w:hanging="357"/>
              <w:contextualSpacing/>
              <w:rPr>
                <w:rFonts w:eastAsia="Calibri" w:cs="Arial"/>
                <w:sz w:val="14"/>
                <w:szCs w:val="14"/>
                <w:lang w:eastAsia="en-US"/>
              </w:rPr>
            </w:pPr>
            <w:r w:rsidRPr="006648B8">
              <w:rPr>
                <w:rFonts w:eastAsia="Calibri" w:cs="Arial"/>
                <w:sz w:val="14"/>
                <w:szCs w:val="14"/>
                <w:lang w:eastAsia="en-US"/>
              </w:rPr>
              <w:t xml:space="preserve">Notwithstanding section s4D, who is participating in an approved program of work for unemployment payment under the </w:t>
            </w:r>
            <w:r w:rsidRPr="005D53E6">
              <w:rPr>
                <w:rFonts w:eastAsia="Calibri" w:cs="Arial"/>
                <w:i/>
                <w:sz w:val="14"/>
                <w:szCs w:val="14"/>
                <w:lang w:eastAsia="en-US"/>
              </w:rPr>
              <w:t>Social Security Act 1991</w:t>
            </w:r>
            <w:r w:rsidRPr="006648B8">
              <w:rPr>
                <w:rFonts w:eastAsia="Calibri" w:cs="Arial"/>
                <w:sz w:val="14"/>
                <w:szCs w:val="14"/>
                <w:lang w:eastAsia="en-US"/>
              </w:rPr>
              <w:t xml:space="preserve"> (Cth) – </w:t>
            </w:r>
            <w:hyperlink r:id="rId100" w:history="1">
              <w:r w:rsidRPr="00891A8F">
                <w:rPr>
                  <w:rStyle w:val="Hyperlink"/>
                  <w:rFonts w:eastAsia="Calibri" w:cs="Arial"/>
                  <w:sz w:val="14"/>
                  <w:szCs w:val="14"/>
                  <w:lang w:eastAsia="en-US"/>
                </w:rPr>
                <w:t>s4(5)</w:t>
              </w:r>
            </w:hyperlink>
            <w:r w:rsidRPr="006648B8">
              <w:rPr>
                <w:rFonts w:eastAsia="Calibri" w:cs="Arial"/>
                <w:sz w:val="14"/>
                <w:szCs w:val="14"/>
                <w:lang w:eastAsia="en-US"/>
              </w:rPr>
              <w:t>.</w:t>
            </w:r>
          </w:p>
        </w:tc>
        <w:tc>
          <w:tcPr>
            <w:tcW w:w="4035" w:type="dxa"/>
            <w:tcMar>
              <w:top w:w="80" w:type="dxa"/>
              <w:left w:w="80" w:type="dxa"/>
              <w:bottom w:w="80" w:type="dxa"/>
              <w:right w:w="80" w:type="dxa"/>
            </w:tcMar>
          </w:tcPr>
          <w:p w14:paraId="551318BA" w14:textId="2D8A95FB"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Persons engaged under a contract for services are not covered unless the contract is for work exceeding $100 that is not incidental to a trade or business regularly carried out by the contractor.</w:t>
            </w:r>
            <w:r w:rsidR="00DD0D68">
              <w:rPr>
                <w:rFonts w:eastAsia="Calibri" w:cs="Arial"/>
                <w:sz w:val="14"/>
                <w:szCs w:val="14"/>
                <w:lang w:eastAsia="en-US"/>
              </w:rPr>
              <w:t xml:space="preserve"> </w:t>
            </w:r>
            <w:r w:rsidRPr="00EF0F77">
              <w:rPr>
                <w:rFonts w:eastAsia="Calibri" w:cs="Arial"/>
                <w:sz w:val="14"/>
                <w:szCs w:val="14"/>
                <w:lang w:eastAsia="en-US"/>
              </w:rPr>
              <w:t>A contractor is not covered during any period for which they have pers</w:t>
            </w:r>
            <w:r w:rsidR="00DD0D68">
              <w:rPr>
                <w:rFonts w:eastAsia="Calibri" w:cs="Arial"/>
                <w:sz w:val="14"/>
                <w:szCs w:val="14"/>
                <w:lang w:eastAsia="en-US"/>
              </w:rPr>
              <w:t xml:space="preserve">onal accident insurance — </w:t>
            </w:r>
            <w:hyperlink r:id="rId101" w:history="1">
              <w:r w:rsidR="00DD0D68" w:rsidRPr="00891A8F">
                <w:rPr>
                  <w:rStyle w:val="Hyperlink"/>
                  <w:rFonts w:eastAsia="Calibri" w:cs="Arial"/>
                  <w:sz w:val="14"/>
                  <w:szCs w:val="14"/>
                  <w:lang w:eastAsia="en-US"/>
                </w:rPr>
                <w:t>s4B</w:t>
              </w:r>
            </w:hyperlink>
            <w:r w:rsidR="00DD0D68">
              <w:rPr>
                <w:rFonts w:eastAsia="Calibri" w:cs="Arial"/>
                <w:sz w:val="14"/>
                <w:szCs w:val="14"/>
                <w:lang w:eastAsia="en-US"/>
              </w:rPr>
              <w:t xml:space="preserve">. </w:t>
            </w:r>
          </w:p>
        </w:tc>
        <w:tc>
          <w:tcPr>
            <w:tcW w:w="3544" w:type="dxa"/>
            <w:tcMar>
              <w:top w:w="80" w:type="dxa"/>
              <w:left w:w="80" w:type="dxa"/>
              <w:bottom w:w="80" w:type="dxa"/>
              <w:right w:w="80" w:type="dxa"/>
            </w:tcMar>
          </w:tcPr>
          <w:p w14:paraId="533B81FC" w14:textId="33B85918"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Labour hire workers are generally covered with the labour hire co</w:t>
            </w:r>
            <w:r w:rsidR="00DD0D68">
              <w:rPr>
                <w:rFonts w:eastAsia="Calibri" w:cs="Arial"/>
                <w:sz w:val="14"/>
                <w:szCs w:val="14"/>
                <w:lang w:eastAsia="en-US"/>
              </w:rPr>
              <w:t>mpany taken to be the employer.</w:t>
            </w:r>
          </w:p>
        </w:tc>
      </w:tr>
      <w:tr w:rsidR="00EF0F77" w:rsidRPr="00EF0F77" w14:paraId="6C0852FE" w14:textId="77777777" w:rsidTr="00425F09">
        <w:tc>
          <w:tcPr>
            <w:tcW w:w="1843" w:type="dxa"/>
            <w:shd w:val="clear" w:color="auto" w:fill="FFC9C9"/>
            <w:tcMar>
              <w:top w:w="80" w:type="dxa"/>
              <w:left w:w="80" w:type="dxa"/>
              <w:bottom w:w="80" w:type="dxa"/>
              <w:right w:w="80" w:type="dxa"/>
            </w:tcMar>
          </w:tcPr>
          <w:p w14:paraId="08D8A196" w14:textId="0C4AB4CD"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Northern Territory</w:t>
            </w:r>
            <w:r w:rsidR="00A95C3B">
              <w:rPr>
                <w:rFonts w:eastAsia="Calibri" w:cs="Arial"/>
                <w:b/>
                <w:sz w:val="16"/>
                <w:szCs w:val="16"/>
                <w:lang w:eastAsia="en-US"/>
              </w:rPr>
              <w:fldChar w:fldCharType="begin"/>
            </w:r>
            <w:r w:rsidR="00A95C3B">
              <w:instrText xml:space="preserve"> XE "</w:instrText>
            </w:r>
            <w:r w:rsidR="00A95C3B" w:rsidRPr="00503906">
              <w:instrText xml:space="preserve">Northern </w:instrText>
            </w:r>
            <w:r w:rsidR="00A95C3B" w:rsidRPr="00503906">
              <w:lastRenderedPageBreak/>
              <w:instrText>Territory:summary of coverage of workers</w:instrText>
            </w:r>
            <w:r w:rsidR="00A95C3B">
              <w:instrText xml:space="preserve">" </w:instrText>
            </w:r>
            <w:r w:rsidR="00A95C3B">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79BBAB44" w14:textId="2C1B848B"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lastRenderedPageBreak/>
              <w:t xml:space="preserve">A worker is a person who works under a contract and, in relation to the contract, is an employee for the purpose of assessment for PAYG withholding under the </w:t>
            </w:r>
            <w:r w:rsidR="005D53E6">
              <w:rPr>
                <w:rFonts w:eastAsia="Calibri" w:cs="Arial"/>
                <w:i/>
                <w:sz w:val="14"/>
                <w:szCs w:val="14"/>
                <w:lang w:eastAsia="en-US"/>
              </w:rPr>
              <w:t xml:space="preserve">Taxation </w:t>
            </w:r>
            <w:r w:rsidR="005D53E6">
              <w:rPr>
                <w:rFonts w:eastAsia="Calibri" w:cs="Arial"/>
                <w:i/>
                <w:sz w:val="14"/>
                <w:szCs w:val="14"/>
                <w:lang w:eastAsia="en-US"/>
              </w:rPr>
              <w:lastRenderedPageBreak/>
              <w:t>A</w:t>
            </w:r>
            <w:r w:rsidRPr="005D53E6">
              <w:rPr>
                <w:rFonts w:eastAsia="Calibri" w:cs="Arial"/>
                <w:i/>
                <w:sz w:val="14"/>
                <w:szCs w:val="14"/>
                <w:lang w:eastAsia="en-US"/>
              </w:rPr>
              <w:t>dministration Act 1953</w:t>
            </w:r>
            <w:r w:rsidRPr="00EF0F77">
              <w:rPr>
                <w:rFonts w:eastAsia="Calibri" w:cs="Arial"/>
                <w:sz w:val="14"/>
                <w:szCs w:val="14"/>
                <w:lang w:eastAsia="en-US"/>
              </w:rPr>
              <w:t xml:space="preserve"> (</w:t>
            </w:r>
            <w:hyperlink r:id="rId102" w:history="1">
              <w:r w:rsidRPr="00756B11">
                <w:rPr>
                  <w:rStyle w:val="Hyperlink"/>
                  <w:rFonts w:eastAsia="Calibri" w:cs="Arial"/>
                  <w:sz w:val="14"/>
                  <w:szCs w:val="14"/>
                  <w:lang w:eastAsia="en-US"/>
                </w:rPr>
                <w:t>section3(1)</w:t>
              </w:r>
            </w:hyperlink>
            <w:r w:rsidRPr="00EF0F77">
              <w:rPr>
                <w:rFonts w:eastAsia="Calibri" w:cs="Arial"/>
                <w:sz w:val="14"/>
                <w:szCs w:val="14"/>
                <w:lang w:eastAsia="en-US"/>
              </w:rPr>
              <w:t xml:space="preserve"> of the </w:t>
            </w:r>
            <w:r w:rsidRPr="005D53E6">
              <w:rPr>
                <w:rFonts w:eastAsia="Calibri" w:cs="Arial"/>
                <w:i/>
                <w:sz w:val="14"/>
                <w:szCs w:val="14"/>
                <w:lang w:eastAsia="en-US"/>
              </w:rPr>
              <w:t>Return to Work Act</w:t>
            </w:r>
            <w:r w:rsidRPr="00EF0F77">
              <w:rPr>
                <w:rFonts w:eastAsia="Calibri" w:cs="Arial"/>
                <w:sz w:val="14"/>
                <w:szCs w:val="14"/>
                <w:lang w:eastAsia="en-US"/>
              </w:rPr>
              <w:t>)</w:t>
            </w:r>
            <w:r w:rsidR="000464BF">
              <w:rPr>
                <w:rFonts w:eastAsia="Calibri" w:cs="Arial"/>
                <w:sz w:val="14"/>
                <w:szCs w:val="14"/>
                <w:lang w:eastAsia="en-US"/>
              </w:rPr>
              <w:t>.</w:t>
            </w:r>
          </w:p>
        </w:tc>
        <w:tc>
          <w:tcPr>
            <w:tcW w:w="4035" w:type="dxa"/>
            <w:shd w:val="clear" w:color="auto" w:fill="FFC9C9"/>
            <w:tcMar>
              <w:top w:w="80" w:type="dxa"/>
              <w:left w:w="80" w:type="dxa"/>
              <w:bottom w:w="80" w:type="dxa"/>
              <w:right w:w="80" w:type="dxa"/>
            </w:tcMar>
          </w:tcPr>
          <w:p w14:paraId="2FA63D40"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lastRenderedPageBreak/>
              <w:t>No, unless determined an employee using the ATO Decision Tool.</w:t>
            </w:r>
          </w:p>
        </w:tc>
        <w:tc>
          <w:tcPr>
            <w:tcW w:w="3544" w:type="dxa"/>
            <w:shd w:val="clear" w:color="auto" w:fill="FFC9C9"/>
            <w:tcMar>
              <w:top w:w="80" w:type="dxa"/>
              <w:left w:w="80" w:type="dxa"/>
              <w:bottom w:w="80" w:type="dxa"/>
              <w:right w:w="80" w:type="dxa"/>
            </w:tcMar>
          </w:tcPr>
          <w:p w14:paraId="1788894F"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If the individual’s contract is with the Labour Hire business they are the employer.</w:t>
            </w:r>
          </w:p>
        </w:tc>
      </w:tr>
      <w:tr w:rsidR="00EF0F77" w:rsidRPr="00EF0F77" w14:paraId="349A5FC6" w14:textId="77777777" w:rsidTr="00425F09">
        <w:tc>
          <w:tcPr>
            <w:tcW w:w="1843" w:type="dxa"/>
            <w:tcMar>
              <w:top w:w="80" w:type="dxa"/>
              <w:left w:w="80" w:type="dxa"/>
              <w:bottom w:w="80" w:type="dxa"/>
              <w:right w:w="80" w:type="dxa"/>
            </w:tcMar>
          </w:tcPr>
          <w:p w14:paraId="1664DC6D" w14:textId="77777777"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Australian Capital Territory</w:t>
            </w:r>
            <w:r w:rsidR="00530452">
              <w:rPr>
                <w:rFonts w:eastAsia="Calibri" w:cs="Arial"/>
                <w:b/>
                <w:sz w:val="16"/>
                <w:szCs w:val="16"/>
                <w:lang w:eastAsia="en-US"/>
              </w:rPr>
              <w:fldChar w:fldCharType="begin"/>
            </w:r>
            <w:r w:rsidR="00530452">
              <w:instrText xml:space="preserve"> XE "</w:instrText>
            </w:r>
            <w:r w:rsidR="00530452" w:rsidRPr="009E6CFF">
              <w:instrText>Australian Capital Territory:summary of coverage of workers</w:instrText>
            </w:r>
            <w:r w:rsidR="00530452">
              <w:instrText xml:space="preserve">" </w:instrText>
            </w:r>
            <w:r w:rsidR="00530452">
              <w:rPr>
                <w:rFonts w:eastAsia="Calibri" w:cs="Arial"/>
                <w:b/>
                <w:sz w:val="16"/>
                <w:szCs w:val="16"/>
                <w:lang w:eastAsia="en-US"/>
              </w:rPr>
              <w:fldChar w:fldCharType="end"/>
            </w:r>
          </w:p>
        </w:tc>
        <w:tc>
          <w:tcPr>
            <w:tcW w:w="5954" w:type="dxa"/>
            <w:tcMar>
              <w:top w:w="80" w:type="dxa"/>
              <w:left w:w="80" w:type="dxa"/>
              <w:bottom w:w="80" w:type="dxa"/>
              <w:right w:w="80" w:type="dxa"/>
            </w:tcMar>
          </w:tcPr>
          <w:p w14:paraId="366908B5" w14:textId="67EB4D44" w:rsidR="00EF0F77" w:rsidRPr="00EF0F77" w:rsidRDefault="00EF0F77" w:rsidP="003C1CE1">
            <w:pPr>
              <w:spacing w:after="60"/>
              <w:rPr>
                <w:rFonts w:eastAsia="Calibri" w:cs="Arial"/>
                <w:sz w:val="14"/>
                <w:szCs w:val="14"/>
                <w:lang w:eastAsia="en-US"/>
              </w:rPr>
            </w:pPr>
            <w:r w:rsidRPr="00EF0F77">
              <w:rPr>
                <w:rFonts w:eastAsia="Calibri" w:cs="Arial"/>
                <w:sz w:val="14"/>
                <w:szCs w:val="14"/>
                <w:lang w:eastAsia="en-US"/>
              </w:rPr>
              <w:t xml:space="preserve">Individual who has entered into or works under a contract of service with an employer, whether the contract is expressed or implied, oral or written — </w:t>
            </w:r>
            <w:r w:rsidR="003C1CE1">
              <w:rPr>
                <w:rFonts w:eastAsia="Calibri" w:cs="Arial"/>
                <w:i/>
                <w:sz w:val="14"/>
                <w:szCs w:val="14"/>
                <w:lang w:eastAsia="en-US"/>
              </w:rPr>
              <w:t>Workers</w:t>
            </w:r>
            <w:r w:rsidR="008C0E65">
              <w:rPr>
                <w:rFonts w:eastAsia="Calibri" w:cs="Arial"/>
                <w:i/>
                <w:sz w:val="14"/>
                <w:szCs w:val="14"/>
                <w:lang w:eastAsia="en-US"/>
              </w:rPr>
              <w:t xml:space="preserve"> Compensation Act 1951 </w:t>
            </w:r>
            <w:hyperlink r:id="rId103" w:history="1">
              <w:r w:rsidRPr="004A523C">
                <w:rPr>
                  <w:rStyle w:val="Hyperlink"/>
                  <w:rFonts w:eastAsia="Calibri" w:cs="Arial"/>
                  <w:sz w:val="14"/>
                  <w:szCs w:val="14"/>
                  <w:lang w:eastAsia="en-US"/>
                </w:rPr>
                <w:t>s8(1)(a)</w:t>
              </w:r>
            </w:hyperlink>
            <w:r w:rsidRPr="00EF0F77">
              <w:rPr>
                <w:rFonts w:eastAsia="Calibri" w:cs="Arial"/>
                <w:sz w:val="14"/>
                <w:szCs w:val="14"/>
                <w:lang w:eastAsia="en-US"/>
              </w:rPr>
              <w:t xml:space="preserve">, workers for labour only or substantially labour only </w:t>
            </w:r>
            <w:hyperlink r:id="rId104" w:history="1">
              <w:r w:rsidRPr="004A523C">
                <w:rPr>
                  <w:rStyle w:val="Hyperlink"/>
                  <w:rFonts w:eastAsia="Calibri" w:cs="Arial"/>
                  <w:sz w:val="14"/>
                  <w:szCs w:val="14"/>
                  <w:lang w:eastAsia="en-US"/>
                </w:rPr>
                <w:t>s8(1)(b)</w:t>
              </w:r>
            </w:hyperlink>
            <w:r w:rsidRPr="00EF0F77">
              <w:rPr>
                <w:rFonts w:eastAsia="Calibri" w:cs="Arial"/>
                <w:sz w:val="14"/>
                <w:szCs w:val="14"/>
                <w:lang w:eastAsia="en-US"/>
              </w:rPr>
              <w:t>, or works for another person under contract unless they are paid to achieve a stated outcome, and has to supply plant and equipment, and is (or would be) liable for the cost of rectifyin</w:t>
            </w:r>
            <w:r w:rsidR="00DB5870">
              <w:rPr>
                <w:rFonts w:eastAsia="Calibri" w:cs="Arial"/>
                <w:sz w:val="14"/>
                <w:szCs w:val="14"/>
                <w:lang w:eastAsia="en-US"/>
              </w:rPr>
              <w:t xml:space="preserve">g any defective work </w:t>
            </w:r>
            <w:hyperlink r:id="rId105" w:history="1">
              <w:r w:rsidR="00DB5870" w:rsidRPr="004A523C">
                <w:rPr>
                  <w:rStyle w:val="Hyperlink"/>
                  <w:rFonts w:eastAsia="Calibri" w:cs="Arial"/>
                  <w:sz w:val="14"/>
                  <w:szCs w:val="14"/>
                  <w:lang w:eastAsia="en-US"/>
                </w:rPr>
                <w:t>s8(1)(i)(a–</w:t>
              </w:r>
              <w:r w:rsidRPr="004A523C">
                <w:rPr>
                  <w:rStyle w:val="Hyperlink"/>
                  <w:rFonts w:eastAsia="Calibri" w:cs="Arial"/>
                  <w:sz w:val="14"/>
                  <w:szCs w:val="14"/>
                  <w:lang w:eastAsia="en-US"/>
                </w:rPr>
                <w:t>c)</w:t>
              </w:r>
            </w:hyperlink>
            <w:r w:rsidRPr="00EF0F77">
              <w:rPr>
                <w:rFonts w:eastAsia="Calibri" w:cs="Arial"/>
                <w:sz w:val="14"/>
                <w:szCs w:val="14"/>
                <w:lang w:eastAsia="en-US"/>
              </w:rPr>
              <w:t xml:space="preserve"> OR has a personal services business determination </w:t>
            </w:r>
            <w:hyperlink r:id="rId106" w:history="1">
              <w:r w:rsidRPr="004A523C">
                <w:rPr>
                  <w:rStyle w:val="Hyperlink"/>
                  <w:rFonts w:eastAsia="Calibri" w:cs="Arial"/>
                  <w:sz w:val="14"/>
                  <w:szCs w:val="14"/>
                  <w:lang w:eastAsia="en-US"/>
                </w:rPr>
                <w:t>s8(1)(ii)</w:t>
              </w:r>
            </w:hyperlink>
            <w:r w:rsidRPr="00EF0F77">
              <w:rPr>
                <w:rFonts w:eastAsia="Calibri" w:cs="Arial"/>
                <w:sz w:val="14"/>
                <w:szCs w:val="14"/>
                <w:lang w:eastAsia="en-US"/>
              </w:rPr>
              <w:t>.</w:t>
            </w:r>
          </w:p>
        </w:tc>
        <w:tc>
          <w:tcPr>
            <w:tcW w:w="4035" w:type="dxa"/>
            <w:tcMar>
              <w:top w:w="80" w:type="dxa"/>
              <w:left w:w="80" w:type="dxa"/>
              <w:bottom w:w="80" w:type="dxa"/>
              <w:right w:w="80" w:type="dxa"/>
            </w:tcMar>
          </w:tcPr>
          <w:p w14:paraId="767FC9B0"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if employed under contract for services. However, there are provisions for the coverage of regular contractors.</w:t>
            </w:r>
          </w:p>
        </w:tc>
        <w:tc>
          <w:tcPr>
            <w:tcW w:w="3544" w:type="dxa"/>
            <w:tcMar>
              <w:top w:w="80" w:type="dxa"/>
              <w:left w:w="80" w:type="dxa"/>
              <w:bottom w:w="80" w:type="dxa"/>
              <w:right w:w="80" w:type="dxa"/>
            </w:tcMar>
          </w:tcPr>
          <w:p w14:paraId="1F695F26"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 where the individual is not an executive officer of the corporation and:</w:t>
            </w:r>
          </w:p>
          <w:p w14:paraId="2873F22C" w14:textId="77777777" w:rsidR="00EF0F77" w:rsidRPr="00654573" w:rsidRDefault="00EF0F77" w:rsidP="00654573">
            <w:pPr>
              <w:pStyle w:val="ListParagraph"/>
              <w:numPr>
                <w:ilvl w:val="0"/>
                <w:numId w:val="5"/>
              </w:numPr>
              <w:spacing w:after="60"/>
              <w:rPr>
                <w:rFonts w:eastAsia="Calibri" w:cs="Arial"/>
                <w:sz w:val="14"/>
                <w:szCs w:val="14"/>
                <w:lang w:eastAsia="en-US"/>
              </w:rPr>
            </w:pPr>
            <w:r w:rsidRPr="00654573">
              <w:rPr>
                <w:rFonts w:eastAsia="Calibri" w:cs="Arial"/>
                <w:sz w:val="14"/>
                <w:szCs w:val="14"/>
                <w:lang w:eastAsia="en-US"/>
              </w:rPr>
              <w:t>the individual has been engaged by the labour hirer under a contract for services to work for someone other than the labour hirer</w:t>
            </w:r>
          </w:p>
          <w:p w14:paraId="6C82F2D7" w14:textId="77777777" w:rsidR="00F06D44" w:rsidRPr="00654573" w:rsidRDefault="00EF0F77" w:rsidP="00654573">
            <w:pPr>
              <w:pStyle w:val="ListParagraph"/>
              <w:numPr>
                <w:ilvl w:val="0"/>
                <w:numId w:val="5"/>
              </w:numPr>
              <w:spacing w:after="60"/>
              <w:rPr>
                <w:rFonts w:eastAsia="Calibri" w:cs="Arial"/>
                <w:sz w:val="14"/>
                <w:szCs w:val="14"/>
                <w:lang w:eastAsia="en-US"/>
              </w:rPr>
            </w:pPr>
            <w:r w:rsidRPr="00654573">
              <w:rPr>
                <w:rFonts w:eastAsia="Calibri" w:cs="Arial"/>
                <w:sz w:val="14"/>
                <w:szCs w:val="14"/>
                <w:lang w:eastAsia="en-US"/>
              </w:rPr>
              <w:t>there is no contract to perform work between the individual and person for who work is to be performed, and</w:t>
            </w:r>
            <w:r w:rsidR="00F06D44" w:rsidRPr="00654573">
              <w:rPr>
                <w:rFonts w:eastAsia="Calibri" w:cs="Arial"/>
                <w:sz w:val="14"/>
                <w:szCs w:val="14"/>
                <w:lang w:eastAsia="en-US"/>
              </w:rPr>
              <w:t xml:space="preserve"> </w:t>
            </w:r>
          </w:p>
          <w:p w14:paraId="3D59AEF9" w14:textId="08F5FA9E" w:rsidR="00EF0F77" w:rsidRPr="00654573" w:rsidRDefault="00EF0F77" w:rsidP="00654573">
            <w:pPr>
              <w:pStyle w:val="ListParagraph"/>
              <w:numPr>
                <w:ilvl w:val="0"/>
                <w:numId w:val="5"/>
              </w:numPr>
              <w:spacing w:after="60"/>
              <w:rPr>
                <w:rFonts w:eastAsia="Calibri" w:cs="Arial"/>
                <w:sz w:val="14"/>
                <w:szCs w:val="14"/>
                <w:lang w:eastAsia="en-US"/>
              </w:rPr>
            </w:pPr>
            <w:r w:rsidRPr="00654573">
              <w:rPr>
                <w:rFonts w:eastAsia="Calibri" w:cs="Arial"/>
                <w:sz w:val="14"/>
                <w:szCs w:val="14"/>
                <w:lang w:eastAsia="en-US"/>
              </w:rPr>
              <w:t xml:space="preserve">the individual does all or part of the work. </w:t>
            </w:r>
          </w:p>
        </w:tc>
      </w:tr>
      <w:tr w:rsidR="00EF0F77" w:rsidRPr="00EF0F77" w14:paraId="26BD5D4D" w14:textId="77777777" w:rsidTr="00425F09">
        <w:tc>
          <w:tcPr>
            <w:tcW w:w="1843" w:type="dxa"/>
            <w:shd w:val="clear" w:color="auto" w:fill="FFC9C9"/>
            <w:tcMar>
              <w:top w:w="80" w:type="dxa"/>
              <w:left w:w="80" w:type="dxa"/>
              <w:bottom w:w="80" w:type="dxa"/>
              <w:right w:w="80" w:type="dxa"/>
            </w:tcMar>
          </w:tcPr>
          <w:p w14:paraId="21590D31" w14:textId="76AB205B"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C’wealth Comcare</w:t>
            </w:r>
            <w:r w:rsidR="00C44D5D">
              <w:rPr>
                <w:rFonts w:eastAsia="Calibri" w:cs="Arial"/>
                <w:b/>
                <w:sz w:val="16"/>
                <w:szCs w:val="16"/>
                <w:lang w:eastAsia="en-US"/>
              </w:rPr>
              <w:fldChar w:fldCharType="begin"/>
            </w:r>
            <w:r w:rsidR="00C44D5D">
              <w:instrText xml:space="preserve"> XE "</w:instrText>
            </w:r>
            <w:r w:rsidR="00C44D5D" w:rsidRPr="00623D0A">
              <w:instrText>Comcare:summary of coverage of workers</w:instrText>
            </w:r>
            <w:r w:rsidR="00C44D5D">
              <w:instrText xml:space="preserve">" </w:instrText>
            </w:r>
            <w:r w:rsidR="00C44D5D">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705BD79B" w14:textId="02ED820C"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Employee — a person employed by the Commonwealth or by a Commonwealth Authority whether the person is so employed under a law of the Commonwealth or a Territory or under a contract of service or apprenticeship, or a person who is employed by a licensed corporation or ACT Gove</w:t>
            </w:r>
            <w:r w:rsidR="004A523C">
              <w:rPr>
                <w:rFonts w:eastAsia="Calibri" w:cs="Arial"/>
                <w:sz w:val="14"/>
                <w:szCs w:val="14"/>
                <w:lang w:eastAsia="en-US"/>
              </w:rPr>
              <w:t xml:space="preserve">rnment — </w:t>
            </w:r>
            <w:r w:rsidR="004A523C" w:rsidRPr="00016069">
              <w:rPr>
                <w:i/>
                <w:sz w:val="14"/>
              </w:rPr>
              <w:t>Safety, Rehabilitation and Compensation Act 1988</w:t>
            </w:r>
          </w:p>
        </w:tc>
        <w:tc>
          <w:tcPr>
            <w:tcW w:w="4035" w:type="dxa"/>
            <w:shd w:val="clear" w:color="auto" w:fill="FFC9C9"/>
            <w:tcMar>
              <w:top w:w="80" w:type="dxa"/>
              <w:left w:w="80" w:type="dxa"/>
              <w:bottom w:w="80" w:type="dxa"/>
              <w:right w:w="80" w:type="dxa"/>
            </w:tcMar>
          </w:tcPr>
          <w:p w14:paraId="0E6B481A" w14:textId="6C5AEA42"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compensation only through employment of employees</w:t>
            </w:r>
            <w:r w:rsidR="008B24D1">
              <w:rPr>
                <w:rFonts w:eastAsia="Calibri" w:cs="Arial"/>
                <w:sz w:val="14"/>
                <w:szCs w:val="14"/>
                <w:lang w:eastAsia="en-US"/>
              </w:rPr>
              <w:t>.</w:t>
            </w:r>
          </w:p>
        </w:tc>
        <w:tc>
          <w:tcPr>
            <w:tcW w:w="3544" w:type="dxa"/>
            <w:shd w:val="clear" w:color="auto" w:fill="FFC9C9"/>
            <w:tcMar>
              <w:top w:w="80" w:type="dxa"/>
              <w:left w:w="80" w:type="dxa"/>
              <w:bottom w:w="80" w:type="dxa"/>
              <w:right w:w="80" w:type="dxa"/>
            </w:tcMar>
          </w:tcPr>
          <w:p w14:paraId="44B9CB69" w14:textId="3093B193"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Possibly, according</w:t>
            </w:r>
            <w:r w:rsidR="008B24D1">
              <w:rPr>
                <w:rFonts w:eastAsia="Calibri" w:cs="Arial"/>
                <w:sz w:val="14"/>
                <w:szCs w:val="14"/>
                <w:lang w:eastAsia="en-US"/>
              </w:rPr>
              <w:t xml:space="preserve"> to the nature of the contract.</w:t>
            </w:r>
          </w:p>
        </w:tc>
      </w:tr>
      <w:tr w:rsidR="00EF0F77" w:rsidRPr="00EF0F77" w14:paraId="68ABB4EA" w14:textId="77777777" w:rsidTr="00425F09">
        <w:tc>
          <w:tcPr>
            <w:tcW w:w="1843" w:type="dxa"/>
            <w:tcMar>
              <w:top w:w="80" w:type="dxa"/>
              <w:left w:w="80" w:type="dxa"/>
              <w:bottom w:w="80" w:type="dxa"/>
              <w:right w:w="80" w:type="dxa"/>
            </w:tcMar>
          </w:tcPr>
          <w:p w14:paraId="49B12ADD" w14:textId="2C72CF82"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C’wealth Seacare</w:t>
            </w:r>
            <w:r w:rsidR="000B568E">
              <w:rPr>
                <w:rFonts w:eastAsia="Calibri" w:cs="Arial"/>
                <w:b/>
                <w:sz w:val="16"/>
                <w:szCs w:val="16"/>
                <w:lang w:eastAsia="en-US"/>
              </w:rPr>
              <w:fldChar w:fldCharType="begin"/>
            </w:r>
            <w:r w:rsidR="000B568E">
              <w:instrText xml:space="preserve"> XE "</w:instrText>
            </w:r>
            <w:r w:rsidR="000B568E" w:rsidRPr="00CD7FDD">
              <w:instrText>Seacare:summary of coverage</w:instrText>
            </w:r>
            <w:r w:rsidR="000B568E">
              <w:instrText xml:space="preserve">" </w:instrText>
            </w:r>
            <w:r w:rsidR="000B568E">
              <w:rPr>
                <w:rFonts w:eastAsia="Calibri" w:cs="Arial"/>
                <w:b/>
                <w:sz w:val="16"/>
                <w:szCs w:val="16"/>
                <w:lang w:eastAsia="en-US"/>
              </w:rPr>
              <w:fldChar w:fldCharType="end"/>
            </w:r>
          </w:p>
        </w:tc>
        <w:tc>
          <w:tcPr>
            <w:tcW w:w="5954" w:type="dxa"/>
            <w:tcMar>
              <w:top w:w="80" w:type="dxa"/>
              <w:left w:w="80" w:type="dxa"/>
              <w:bottom w:w="80" w:type="dxa"/>
              <w:right w:w="80" w:type="dxa"/>
            </w:tcMar>
          </w:tcPr>
          <w:p w14:paraId="2CC63C99" w14:textId="643713BE"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Employee – (a) a seafarer, as defined in the </w:t>
            </w:r>
            <w:r w:rsidRPr="005D53E6">
              <w:rPr>
                <w:rFonts w:eastAsia="Calibri" w:cs="Arial"/>
                <w:i/>
                <w:sz w:val="14"/>
                <w:szCs w:val="14"/>
                <w:lang w:eastAsia="en-US"/>
              </w:rPr>
              <w:t>Navigation Act 2012</w:t>
            </w:r>
            <w:r w:rsidRPr="00EF0F77">
              <w:rPr>
                <w:rFonts w:eastAsia="Calibri" w:cs="Arial"/>
                <w:sz w:val="14"/>
                <w:szCs w:val="14"/>
                <w:lang w:eastAsia="en-US"/>
              </w:rPr>
              <w:t>, who is employed in any capacity on a prescribed ship, on the business of the ship;</w:t>
            </w:r>
            <w:r w:rsidR="00DD0D68">
              <w:rPr>
                <w:rFonts w:eastAsia="Calibri" w:cs="Arial"/>
                <w:sz w:val="14"/>
                <w:szCs w:val="14"/>
                <w:lang w:eastAsia="en-US"/>
              </w:rPr>
              <w:t xml:space="preserve"> </w:t>
            </w:r>
            <w:r w:rsidRPr="00EF0F77">
              <w:rPr>
                <w:rFonts w:eastAsia="Calibri" w:cs="Arial"/>
                <w:sz w:val="14"/>
                <w:szCs w:val="14"/>
                <w:lang w:eastAsia="en-US"/>
              </w:rPr>
              <w:t>(b) a trainee;</w:t>
            </w:r>
            <w:r w:rsidR="00DD0D68">
              <w:rPr>
                <w:rFonts w:eastAsia="Calibri" w:cs="Arial"/>
                <w:sz w:val="14"/>
                <w:szCs w:val="14"/>
                <w:lang w:eastAsia="en-US"/>
              </w:rPr>
              <w:t xml:space="preserve"> </w:t>
            </w:r>
            <w:r w:rsidRPr="00EF0F77">
              <w:rPr>
                <w:rFonts w:eastAsia="Calibri" w:cs="Arial"/>
                <w:sz w:val="14"/>
                <w:szCs w:val="14"/>
                <w:lang w:eastAsia="en-US"/>
              </w:rPr>
              <w:t>(c)</w:t>
            </w:r>
            <w:r w:rsidR="00DD0D68">
              <w:rPr>
                <w:rFonts w:eastAsia="Calibri" w:cs="Arial"/>
                <w:sz w:val="14"/>
                <w:szCs w:val="14"/>
                <w:lang w:eastAsia="en-US"/>
              </w:rPr>
              <w:t xml:space="preserve"> </w:t>
            </w:r>
            <w:r w:rsidRPr="00EF0F77">
              <w:rPr>
                <w:rFonts w:eastAsia="Calibri" w:cs="Arial"/>
                <w:sz w:val="14"/>
                <w:szCs w:val="14"/>
                <w:lang w:eastAsia="en-US"/>
              </w:rPr>
              <w:t>a person required to attend a Seafarers Engagement Centre for the purpose of registering availability for employment or engagement on a prescribed ship — (</w:t>
            </w:r>
            <w:hyperlink r:id="rId107" w:history="1">
              <w:r w:rsidRPr="004A523C">
                <w:rPr>
                  <w:rStyle w:val="Hyperlink"/>
                  <w:rFonts w:eastAsia="Calibri" w:cs="Arial"/>
                  <w:sz w:val="14"/>
                  <w:szCs w:val="14"/>
                  <w:lang w:eastAsia="en-US"/>
                </w:rPr>
                <w:t>s4</w:t>
              </w:r>
            </w:hyperlink>
            <w:r w:rsidRPr="00EF0F77">
              <w:rPr>
                <w:rFonts w:eastAsia="Calibri" w:cs="Arial"/>
                <w:sz w:val="14"/>
                <w:szCs w:val="14"/>
                <w:lang w:eastAsia="en-US"/>
              </w:rPr>
              <w:t xml:space="preserve"> Employees</w:t>
            </w:r>
            <w:r w:rsidR="004A523C">
              <w:rPr>
                <w:rFonts w:eastAsia="Calibri" w:cs="Arial"/>
                <w:sz w:val="14"/>
                <w:szCs w:val="14"/>
                <w:lang w:eastAsia="en-US"/>
              </w:rPr>
              <w:t xml:space="preserve">, </w:t>
            </w:r>
            <w:r w:rsidR="004A523C" w:rsidRPr="00016069">
              <w:rPr>
                <w:i/>
                <w:sz w:val="14"/>
              </w:rPr>
              <w:t>Seafarers Rehabilitation and Compensation Act 1992</w:t>
            </w:r>
            <w:r w:rsidRPr="00EF0F77">
              <w:rPr>
                <w:rFonts w:eastAsia="Calibri" w:cs="Arial"/>
                <w:sz w:val="14"/>
                <w:szCs w:val="14"/>
                <w:lang w:eastAsia="en-US"/>
              </w:rPr>
              <w:t>).</w:t>
            </w:r>
          </w:p>
        </w:tc>
        <w:tc>
          <w:tcPr>
            <w:tcW w:w="4035" w:type="dxa"/>
            <w:tcMar>
              <w:top w:w="80" w:type="dxa"/>
              <w:left w:w="80" w:type="dxa"/>
              <w:bottom w:w="80" w:type="dxa"/>
              <w:right w:w="80" w:type="dxa"/>
            </w:tcMar>
          </w:tcPr>
          <w:p w14:paraId="4C0F8B07" w14:textId="4D3158D6"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compensation only through employment of employees.</w:t>
            </w:r>
            <w:r w:rsidRPr="00EF0F77">
              <w:rPr>
                <w:rFonts w:eastAsia="Calibri" w:cs="Arial"/>
                <w:sz w:val="14"/>
                <w:szCs w:val="14"/>
                <w:lang w:eastAsia="en-US"/>
              </w:rPr>
              <w:tab/>
            </w:r>
            <w:r w:rsidR="00775B21">
              <w:rPr>
                <w:rFonts w:eastAsia="Calibri" w:cs="Arial"/>
                <w:sz w:val="14"/>
                <w:szCs w:val="14"/>
                <w:lang w:eastAsia="en-US"/>
              </w:rPr>
              <w:t xml:space="preserve"> </w:t>
            </w:r>
            <w:r w:rsidRPr="00EF0F77">
              <w:rPr>
                <w:rFonts w:eastAsia="Calibri" w:cs="Arial"/>
                <w:sz w:val="14"/>
                <w:szCs w:val="14"/>
                <w:lang w:eastAsia="en-US"/>
              </w:rPr>
              <w:t>Possibly, according to definition of nature of contract.</w:t>
            </w:r>
          </w:p>
        </w:tc>
        <w:tc>
          <w:tcPr>
            <w:tcW w:w="3544" w:type="dxa"/>
            <w:tcMar>
              <w:top w:w="80" w:type="dxa"/>
              <w:left w:w="80" w:type="dxa"/>
              <w:bottom w:w="80" w:type="dxa"/>
              <w:right w:w="80" w:type="dxa"/>
            </w:tcMar>
          </w:tcPr>
          <w:p w14:paraId="0B557665" w14:textId="77777777" w:rsidR="00EF0F77" w:rsidRPr="00EF0F77" w:rsidRDefault="00EF0F77" w:rsidP="00B21723">
            <w:pPr>
              <w:spacing w:after="60"/>
              <w:rPr>
                <w:rFonts w:eastAsia="Calibri" w:cs="Arial"/>
                <w:sz w:val="14"/>
                <w:szCs w:val="14"/>
                <w:lang w:eastAsia="en-US"/>
              </w:rPr>
            </w:pPr>
          </w:p>
        </w:tc>
      </w:tr>
      <w:tr w:rsidR="00EF0F77" w:rsidRPr="00EF0F77" w14:paraId="10D9F1E1" w14:textId="77777777" w:rsidTr="00425F09">
        <w:tc>
          <w:tcPr>
            <w:tcW w:w="1843" w:type="dxa"/>
            <w:shd w:val="clear" w:color="auto" w:fill="FFC9C9"/>
            <w:tcMar>
              <w:top w:w="80" w:type="dxa"/>
              <w:left w:w="80" w:type="dxa"/>
              <w:bottom w:w="80" w:type="dxa"/>
              <w:right w:w="80" w:type="dxa"/>
            </w:tcMar>
          </w:tcPr>
          <w:p w14:paraId="1E486601" w14:textId="5EB12D36"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C’wealth DVA</w:t>
            </w:r>
            <w:r w:rsidR="008E6A35">
              <w:rPr>
                <w:rFonts w:eastAsia="Calibri" w:cs="Arial"/>
                <w:b/>
                <w:sz w:val="16"/>
                <w:szCs w:val="16"/>
                <w:lang w:eastAsia="en-US"/>
              </w:rPr>
              <w:fldChar w:fldCharType="begin"/>
            </w:r>
            <w:r w:rsidR="008E6A35">
              <w:instrText xml:space="preserve"> XE "</w:instrText>
            </w:r>
            <w:r w:rsidR="008E6A35" w:rsidRPr="00FD6CCA">
              <w:instrText>Department of Veterans' Affairs:summary of coverage</w:instrText>
            </w:r>
            <w:r w:rsidR="008E6A35">
              <w:instrText xml:space="preserve">" </w:instrText>
            </w:r>
            <w:r w:rsidR="008E6A35">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11D7F104" w14:textId="4C12F2C1" w:rsid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Member or former member of the Permanent Forces, Reserves, or cadets of the Australian Defence Force who has rendered service on or after 1 July 2004 — </w:t>
            </w:r>
            <w:r w:rsidR="003A75BA" w:rsidRPr="003A75BA">
              <w:rPr>
                <w:rFonts w:eastAsia="Calibri" w:cs="Arial"/>
                <w:i/>
                <w:sz w:val="14"/>
                <w:szCs w:val="14"/>
                <w:lang w:eastAsia="en-US"/>
              </w:rPr>
              <w:t>Military Rehabilitation and Compensation Act 2004</w:t>
            </w:r>
            <w:r w:rsidR="003A75BA">
              <w:rPr>
                <w:rFonts w:eastAsia="Calibri" w:cs="Arial"/>
                <w:sz w:val="14"/>
                <w:szCs w:val="14"/>
                <w:lang w:eastAsia="en-US"/>
              </w:rPr>
              <w:t>—</w:t>
            </w:r>
            <w:hyperlink r:id="rId108" w:history="1">
              <w:r w:rsidRPr="004A523C">
                <w:rPr>
                  <w:rStyle w:val="Hyperlink"/>
                  <w:rFonts w:eastAsia="Calibri" w:cs="Arial"/>
                  <w:sz w:val="14"/>
                  <w:szCs w:val="14"/>
                  <w:lang w:eastAsia="en-US"/>
                </w:rPr>
                <w:t>s5</w:t>
              </w:r>
            </w:hyperlink>
            <w:r w:rsidRPr="00EF0F77">
              <w:rPr>
                <w:rFonts w:eastAsia="Calibri" w:cs="Arial"/>
                <w:sz w:val="14"/>
                <w:szCs w:val="14"/>
                <w:lang w:eastAsia="en-US"/>
              </w:rPr>
              <w:t>.</w:t>
            </w:r>
          </w:p>
          <w:p w14:paraId="5A7DE48A" w14:textId="38746A54" w:rsidR="001C3DA4" w:rsidRPr="00EF0F77" w:rsidRDefault="001C3DA4" w:rsidP="003A75BA">
            <w:pPr>
              <w:spacing w:after="60"/>
              <w:rPr>
                <w:rFonts w:eastAsia="Calibri" w:cs="Arial"/>
                <w:sz w:val="14"/>
                <w:szCs w:val="14"/>
                <w:lang w:eastAsia="en-US"/>
              </w:rPr>
            </w:pPr>
            <w:r w:rsidRPr="00EF0F77">
              <w:rPr>
                <w:rFonts w:eastAsia="Calibri" w:cs="Arial"/>
                <w:sz w:val="14"/>
                <w:szCs w:val="14"/>
                <w:lang w:eastAsia="en-US"/>
              </w:rPr>
              <w:t xml:space="preserve">Member or former member of the Permanent Forces, Reserves, or cadets of the Australian Defence Force who has rendered service </w:t>
            </w:r>
            <w:r>
              <w:rPr>
                <w:rFonts w:eastAsia="Calibri" w:cs="Arial"/>
                <w:sz w:val="14"/>
                <w:szCs w:val="14"/>
                <w:lang w:eastAsia="en-US"/>
              </w:rPr>
              <w:t>before</w:t>
            </w:r>
            <w:r w:rsidRPr="00EF0F77">
              <w:rPr>
                <w:rFonts w:eastAsia="Calibri" w:cs="Arial"/>
                <w:sz w:val="14"/>
                <w:szCs w:val="14"/>
                <w:lang w:eastAsia="en-US"/>
              </w:rPr>
              <w:t xml:space="preserve"> 1 July 2004 — </w:t>
            </w:r>
            <w:r w:rsidR="003A75BA" w:rsidRPr="003A75BA">
              <w:rPr>
                <w:rFonts w:eastAsia="Calibri" w:cs="Arial"/>
                <w:i/>
                <w:sz w:val="14"/>
                <w:szCs w:val="14"/>
                <w:lang w:eastAsia="en-US"/>
              </w:rPr>
              <w:t>Safety, Rehabilitation and Compensation (Defence-related Claims) Act 1988</w:t>
            </w:r>
            <w:r w:rsidR="003A75BA">
              <w:rPr>
                <w:rFonts w:eastAsia="Calibri" w:cs="Arial"/>
                <w:sz w:val="14"/>
                <w:szCs w:val="14"/>
                <w:lang w:eastAsia="en-US"/>
              </w:rPr>
              <w:t>—</w:t>
            </w:r>
            <w:hyperlink r:id="rId109" w:history="1">
              <w:r w:rsidRPr="004A523C">
                <w:rPr>
                  <w:rStyle w:val="Hyperlink"/>
                  <w:rFonts w:eastAsia="Calibri" w:cs="Arial"/>
                  <w:sz w:val="14"/>
                  <w:szCs w:val="14"/>
                  <w:lang w:eastAsia="en-US"/>
                </w:rPr>
                <w:t>s5</w:t>
              </w:r>
            </w:hyperlink>
            <w:r w:rsidRPr="00EF0F77">
              <w:rPr>
                <w:rFonts w:eastAsia="Calibri" w:cs="Arial"/>
                <w:sz w:val="14"/>
                <w:szCs w:val="14"/>
                <w:lang w:eastAsia="en-US"/>
              </w:rPr>
              <w:t>.</w:t>
            </w:r>
          </w:p>
        </w:tc>
        <w:tc>
          <w:tcPr>
            <w:tcW w:w="4035" w:type="dxa"/>
            <w:shd w:val="clear" w:color="auto" w:fill="FFC9C9"/>
            <w:tcMar>
              <w:top w:w="80" w:type="dxa"/>
              <w:left w:w="80" w:type="dxa"/>
              <w:bottom w:w="80" w:type="dxa"/>
              <w:right w:w="80" w:type="dxa"/>
            </w:tcMar>
          </w:tcPr>
          <w:p w14:paraId="2AB57A78"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On</w:t>
            </w:r>
            <w:r w:rsidR="00E45CBB">
              <w:rPr>
                <w:rFonts w:eastAsia="Calibri" w:cs="Arial"/>
                <w:sz w:val="14"/>
                <w:szCs w:val="14"/>
                <w:lang w:eastAsia="en-US"/>
              </w:rPr>
              <w:t>ly if a ‘declared member’ — s8.</w:t>
            </w:r>
          </w:p>
        </w:tc>
        <w:tc>
          <w:tcPr>
            <w:tcW w:w="3544" w:type="dxa"/>
            <w:shd w:val="clear" w:color="auto" w:fill="FFC9C9"/>
            <w:tcMar>
              <w:top w:w="80" w:type="dxa"/>
              <w:left w:w="80" w:type="dxa"/>
              <w:bottom w:w="80" w:type="dxa"/>
              <w:right w:w="80" w:type="dxa"/>
            </w:tcMar>
          </w:tcPr>
          <w:p w14:paraId="0F281C7F"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Only if a ‘declared member’ — s8.</w:t>
            </w:r>
          </w:p>
        </w:tc>
      </w:tr>
      <w:tr w:rsidR="00EF0F77" w:rsidRPr="00EF0F77" w14:paraId="059E7B8A" w14:textId="77777777" w:rsidTr="00425F09">
        <w:tc>
          <w:tcPr>
            <w:tcW w:w="1843" w:type="dxa"/>
            <w:tcMar>
              <w:top w:w="80" w:type="dxa"/>
              <w:left w:w="80" w:type="dxa"/>
              <w:bottom w:w="80" w:type="dxa"/>
              <w:right w:w="80" w:type="dxa"/>
            </w:tcMar>
          </w:tcPr>
          <w:p w14:paraId="142111FE" w14:textId="607BDD3E"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New Zealand</w:t>
            </w:r>
            <w:r w:rsidR="003B3E5B">
              <w:rPr>
                <w:rFonts w:eastAsia="Calibri" w:cs="Arial"/>
                <w:b/>
                <w:sz w:val="16"/>
                <w:szCs w:val="16"/>
                <w:lang w:eastAsia="en-US"/>
              </w:rPr>
              <w:fldChar w:fldCharType="begin"/>
            </w:r>
            <w:r w:rsidR="003B3E5B">
              <w:instrText xml:space="preserve"> XE "</w:instrText>
            </w:r>
            <w:r w:rsidR="003B3E5B" w:rsidRPr="00004880">
              <w:instrText xml:space="preserve">New Zealand:summary of coverage of </w:instrText>
            </w:r>
            <w:r w:rsidR="003B3E5B" w:rsidRPr="00004880">
              <w:lastRenderedPageBreak/>
              <w:instrText>workers</w:instrText>
            </w:r>
            <w:r w:rsidR="003B3E5B">
              <w:instrText xml:space="preserve">" </w:instrText>
            </w:r>
            <w:r w:rsidR="003B3E5B">
              <w:rPr>
                <w:rFonts w:eastAsia="Calibri" w:cs="Arial"/>
                <w:b/>
                <w:sz w:val="16"/>
                <w:szCs w:val="16"/>
                <w:lang w:eastAsia="en-US"/>
              </w:rPr>
              <w:fldChar w:fldCharType="end"/>
            </w:r>
          </w:p>
        </w:tc>
        <w:tc>
          <w:tcPr>
            <w:tcW w:w="5954" w:type="dxa"/>
            <w:tcMar>
              <w:top w:w="80" w:type="dxa"/>
              <w:left w:w="80" w:type="dxa"/>
              <w:bottom w:w="80" w:type="dxa"/>
              <w:right w:w="80" w:type="dxa"/>
            </w:tcMar>
          </w:tcPr>
          <w:p w14:paraId="53BBFB2A" w14:textId="7D25356A" w:rsidR="00EF0F77" w:rsidRPr="00EF0F77" w:rsidRDefault="00EF0F77" w:rsidP="00396422">
            <w:pPr>
              <w:spacing w:after="60"/>
              <w:rPr>
                <w:rFonts w:eastAsia="Calibri" w:cs="Arial"/>
                <w:sz w:val="14"/>
                <w:szCs w:val="14"/>
                <w:lang w:eastAsia="en-US"/>
              </w:rPr>
            </w:pPr>
            <w:r w:rsidRPr="00EF0F77">
              <w:rPr>
                <w:rFonts w:eastAsia="Calibri" w:cs="Arial"/>
                <w:sz w:val="14"/>
                <w:szCs w:val="14"/>
                <w:lang w:eastAsia="en-US"/>
              </w:rPr>
              <w:lastRenderedPageBreak/>
              <w:t xml:space="preserve">An earner is a natural person who engages in employment for the purposes of pecuniary gain, whether or not as an employee — </w:t>
            </w:r>
            <w:r w:rsidR="00396422" w:rsidRPr="00396422">
              <w:rPr>
                <w:rFonts w:eastAsia="Calibri" w:cs="Arial"/>
                <w:i/>
                <w:sz w:val="14"/>
                <w:szCs w:val="14"/>
                <w:lang w:eastAsia="en-US"/>
              </w:rPr>
              <w:t>Accident Compensation Act 2001</w:t>
            </w:r>
            <w:r w:rsidR="00396422">
              <w:rPr>
                <w:rFonts w:eastAsia="Calibri" w:cs="Arial"/>
                <w:sz w:val="14"/>
                <w:szCs w:val="14"/>
                <w:lang w:eastAsia="en-US"/>
              </w:rPr>
              <w:t>—</w:t>
            </w:r>
            <w:hyperlink r:id="rId110" w:history="1">
              <w:r w:rsidRPr="004A523C">
                <w:rPr>
                  <w:rStyle w:val="Hyperlink"/>
                  <w:rFonts w:eastAsia="Calibri" w:cs="Arial"/>
                  <w:sz w:val="14"/>
                  <w:szCs w:val="14"/>
                  <w:lang w:eastAsia="en-US"/>
                </w:rPr>
                <w:t>s6</w:t>
              </w:r>
            </w:hyperlink>
            <w:r w:rsidRPr="00EF0F77">
              <w:rPr>
                <w:rFonts w:eastAsia="Calibri" w:cs="Arial"/>
                <w:sz w:val="14"/>
                <w:szCs w:val="14"/>
                <w:lang w:eastAsia="en-US"/>
              </w:rPr>
              <w:t>.</w:t>
            </w:r>
          </w:p>
        </w:tc>
        <w:tc>
          <w:tcPr>
            <w:tcW w:w="4035" w:type="dxa"/>
            <w:tcMar>
              <w:top w:w="80" w:type="dxa"/>
              <w:left w:w="80" w:type="dxa"/>
              <w:bottom w:w="80" w:type="dxa"/>
              <w:right w:w="80" w:type="dxa"/>
            </w:tcMar>
          </w:tcPr>
          <w:p w14:paraId="6D9F5571" w14:textId="0EF97406"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w:t>
            </w:r>
          </w:p>
        </w:tc>
        <w:tc>
          <w:tcPr>
            <w:tcW w:w="3544" w:type="dxa"/>
            <w:tcMar>
              <w:top w:w="80" w:type="dxa"/>
              <w:left w:w="80" w:type="dxa"/>
              <w:bottom w:w="80" w:type="dxa"/>
              <w:right w:w="80" w:type="dxa"/>
            </w:tcMar>
          </w:tcPr>
          <w:p w14:paraId="149DD26E"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 labour hire firm held to be employer.</w:t>
            </w:r>
          </w:p>
        </w:tc>
      </w:tr>
      <w:bookmarkEnd w:id="45"/>
      <w:bookmarkEnd w:id="47"/>
    </w:tbl>
    <w:p w14:paraId="192D2AC1" w14:textId="4BBA5EFE" w:rsidR="00C66972" w:rsidRPr="00C66972" w:rsidRDefault="00C66972" w:rsidP="00BF05F3">
      <w:pPr>
        <w:spacing w:after="200" w:line="276" w:lineRule="auto"/>
        <w:rPr>
          <w:rFonts w:eastAsiaTheme="minorHAnsi"/>
          <w:b/>
        </w:rPr>
      </w:pPr>
    </w:p>
    <w:p w14:paraId="74CDE076" w14:textId="77777777" w:rsidR="00BF05F3" w:rsidRPr="004F360B" w:rsidRDefault="00BF05F3" w:rsidP="004F360B">
      <w:pPr>
        <w:pStyle w:val="SWATableheader"/>
      </w:pPr>
      <w:bookmarkStart w:id="48" w:name="_Toc504654639"/>
      <w:r w:rsidRPr="004F360B">
        <w:rPr>
          <w:rStyle w:val="SWATableheaderChar"/>
          <w:b/>
        </w:rPr>
        <w:lastRenderedPageBreak/>
        <w:t>Table 2.4b: Guidelines and information</w:t>
      </w:r>
      <w:r w:rsidR="00281E99" w:rsidRPr="004F360B">
        <w:rPr>
          <w:rStyle w:val="SWATableheaderChar"/>
          <w:b/>
        </w:rPr>
        <w:fldChar w:fldCharType="begin"/>
      </w:r>
      <w:r w:rsidR="00281E99" w:rsidRPr="004F360B">
        <w:instrText xml:space="preserve"> XE "guidelines and information sources on worker coverage" </w:instrText>
      </w:r>
      <w:r w:rsidR="00281E99" w:rsidRPr="004F360B">
        <w:rPr>
          <w:rStyle w:val="SWATableheaderChar"/>
          <w:b/>
        </w:rPr>
        <w:fldChar w:fldCharType="end"/>
      </w:r>
      <w:r w:rsidRPr="004F360B">
        <w:rPr>
          <w:rStyle w:val="SWATableheaderChar"/>
          <w:b/>
        </w:rPr>
        <w:t xml:space="preserve"> for determining coverage of workers</w:t>
      </w:r>
      <w:bookmarkEnd w:id="48"/>
      <w:r w:rsidRPr="004F360B">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b: Guidelines and information for determining coverage of workers "/>
        <w:tblDescription w:val=" This table provides information for determining coverage for workers under each workers' compensation scheme. "/>
      </w:tblPr>
      <w:tblGrid>
        <w:gridCol w:w="2820"/>
        <w:gridCol w:w="12556"/>
      </w:tblGrid>
      <w:tr w:rsidR="00BF05F3" w:rsidRPr="00BF05F3" w14:paraId="486FC861" w14:textId="77777777" w:rsidTr="00FB729B">
        <w:trPr>
          <w:tblHeader/>
        </w:trPr>
        <w:tc>
          <w:tcPr>
            <w:tcW w:w="2820" w:type="dxa"/>
            <w:shd w:val="clear" w:color="auto" w:fill="C00000"/>
            <w:tcMar>
              <w:top w:w="0" w:type="dxa"/>
              <w:left w:w="0" w:type="dxa"/>
              <w:bottom w:w="0" w:type="dxa"/>
              <w:right w:w="0" w:type="dxa"/>
            </w:tcMar>
            <w:vAlign w:val="center"/>
          </w:tcPr>
          <w:p w14:paraId="19291178" w14:textId="77777777" w:rsidR="00BF05F3" w:rsidRPr="00BF05F3" w:rsidRDefault="00BF05F3" w:rsidP="00B21723">
            <w:pPr>
              <w:spacing w:after="60"/>
              <w:rPr>
                <w:rFonts w:eastAsia="Calibri" w:cs="Arial"/>
                <w:b/>
                <w:color w:val="FFFFFF"/>
                <w:sz w:val="18"/>
                <w:szCs w:val="18"/>
                <w:lang w:eastAsia="en-US"/>
              </w:rPr>
            </w:pPr>
          </w:p>
        </w:tc>
        <w:tc>
          <w:tcPr>
            <w:tcW w:w="12556" w:type="dxa"/>
            <w:shd w:val="clear" w:color="auto" w:fill="C00000"/>
            <w:tcMar>
              <w:top w:w="0" w:type="dxa"/>
              <w:left w:w="0" w:type="dxa"/>
              <w:bottom w:w="0" w:type="dxa"/>
              <w:right w:w="0" w:type="dxa"/>
            </w:tcMar>
            <w:vAlign w:val="center"/>
          </w:tcPr>
          <w:p w14:paraId="578FF325" w14:textId="4AB8B47B"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Guides and information</w:t>
            </w:r>
            <w:r w:rsidR="00184441">
              <w:rPr>
                <w:rFonts w:eastAsia="Calibri" w:cs="Arial"/>
                <w:b/>
                <w:color w:val="FFFFFF"/>
                <w:sz w:val="18"/>
                <w:szCs w:val="18"/>
                <w:lang w:eastAsia="en-US"/>
              </w:rPr>
              <w:fldChar w:fldCharType="begin"/>
            </w:r>
            <w:r w:rsidR="00184441">
              <w:instrText xml:space="preserve"> XE "</w:instrText>
            </w:r>
            <w:r w:rsidR="00184441" w:rsidRPr="0043572B">
              <w:instrText>coverage of workers:guidelines and information sources</w:instrText>
            </w:r>
            <w:r w:rsidR="00184441">
              <w:instrText xml:space="preserve">" </w:instrText>
            </w:r>
            <w:r w:rsidR="00184441">
              <w:rPr>
                <w:rFonts w:eastAsia="Calibri" w:cs="Arial"/>
                <w:b/>
                <w:color w:val="FFFFFF"/>
                <w:sz w:val="18"/>
                <w:szCs w:val="18"/>
                <w:lang w:eastAsia="en-US"/>
              </w:rPr>
              <w:fldChar w:fldCharType="end"/>
            </w:r>
          </w:p>
        </w:tc>
      </w:tr>
      <w:tr w:rsidR="00BF05F3" w:rsidRPr="00BF05F3" w14:paraId="546C68DA" w14:textId="77777777" w:rsidTr="00FB729B">
        <w:tc>
          <w:tcPr>
            <w:tcW w:w="2820" w:type="dxa"/>
            <w:shd w:val="clear" w:color="auto" w:fill="FFC9C9"/>
            <w:tcMar>
              <w:top w:w="80" w:type="dxa"/>
              <w:left w:w="80" w:type="dxa"/>
              <w:bottom w:w="80" w:type="dxa"/>
              <w:right w:w="80" w:type="dxa"/>
            </w:tcMar>
          </w:tcPr>
          <w:p w14:paraId="0367075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South Wales</w:t>
            </w:r>
          </w:p>
        </w:tc>
        <w:tc>
          <w:tcPr>
            <w:tcW w:w="12556" w:type="dxa"/>
            <w:shd w:val="clear" w:color="auto" w:fill="FFC9C9"/>
            <w:tcMar>
              <w:top w:w="80" w:type="dxa"/>
              <w:left w:w="80" w:type="dxa"/>
              <w:bottom w:w="80" w:type="dxa"/>
              <w:right w:w="80" w:type="dxa"/>
            </w:tcMar>
          </w:tcPr>
          <w:p w14:paraId="3315550B" w14:textId="0CEA00A7" w:rsidR="00BF05F3" w:rsidRPr="00BF05F3" w:rsidRDefault="00A7538C" w:rsidP="00B21723">
            <w:pPr>
              <w:spacing w:after="60"/>
              <w:rPr>
                <w:rFonts w:eastAsia="Calibri" w:cs="Arial"/>
                <w:sz w:val="14"/>
                <w:szCs w:val="14"/>
                <w:lang w:eastAsia="en-US"/>
              </w:rPr>
            </w:pPr>
            <w:hyperlink r:id="rId111" w:history="1">
              <w:r w:rsidR="00BF05F3" w:rsidRPr="00EC6C55">
                <w:rPr>
                  <w:rFonts w:eastAsia="Calibri" w:cs="Arial"/>
                  <w:color w:val="0000FF"/>
                  <w:sz w:val="14"/>
                  <w:szCs w:val="14"/>
                  <w:u w:val="single"/>
                  <w:lang w:eastAsia="en-US"/>
                </w:rPr>
                <w:t>Worker or contractor?</w:t>
              </w:r>
            </w:hyperlink>
          </w:p>
        </w:tc>
      </w:tr>
      <w:tr w:rsidR="00BF05F3" w:rsidRPr="00BF05F3" w14:paraId="02BF7BE5" w14:textId="77777777" w:rsidTr="00FB729B">
        <w:tc>
          <w:tcPr>
            <w:tcW w:w="2820" w:type="dxa"/>
            <w:tcMar>
              <w:top w:w="80" w:type="dxa"/>
              <w:left w:w="80" w:type="dxa"/>
              <w:bottom w:w="80" w:type="dxa"/>
              <w:right w:w="80" w:type="dxa"/>
            </w:tcMar>
          </w:tcPr>
          <w:p w14:paraId="5DFF5593" w14:textId="77777777" w:rsidR="00BF05F3" w:rsidRPr="00BF05F3" w:rsidRDefault="00BF05F3" w:rsidP="00B21723">
            <w:pPr>
              <w:spacing w:after="60"/>
              <w:rPr>
                <w:rFonts w:eastAsia="Calibri" w:cs="Arial"/>
                <w:b/>
                <w:sz w:val="16"/>
                <w:szCs w:val="16"/>
                <w:highlight w:val="yellow"/>
                <w:lang w:eastAsia="en-US"/>
              </w:rPr>
            </w:pPr>
            <w:r w:rsidRPr="00BF05F3">
              <w:rPr>
                <w:rFonts w:eastAsia="Calibri" w:cs="Arial"/>
                <w:b/>
                <w:sz w:val="16"/>
                <w:szCs w:val="16"/>
                <w:lang w:eastAsia="en-US"/>
              </w:rPr>
              <w:t>Victoria</w:t>
            </w:r>
          </w:p>
        </w:tc>
        <w:tc>
          <w:tcPr>
            <w:tcW w:w="12556" w:type="dxa"/>
            <w:tcMar>
              <w:top w:w="80" w:type="dxa"/>
              <w:left w:w="80" w:type="dxa"/>
              <w:bottom w:w="80" w:type="dxa"/>
              <w:right w:w="80" w:type="dxa"/>
            </w:tcMar>
          </w:tcPr>
          <w:p w14:paraId="2782D533" w14:textId="77777777" w:rsidR="00BF05F3" w:rsidRPr="00BF05F3" w:rsidRDefault="00A7538C" w:rsidP="00B21723">
            <w:pPr>
              <w:spacing w:after="60"/>
              <w:rPr>
                <w:rFonts w:eastAsia="Calibri" w:cs="Arial"/>
                <w:color w:val="0000FF"/>
                <w:sz w:val="14"/>
                <w:szCs w:val="14"/>
                <w:u w:val="single"/>
                <w:lang w:eastAsia="en-US"/>
              </w:rPr>
            </w:pPr>
            <w:hyperlink r:id="rId112" w:history="1">
              <w:r w:rsidR="00BF05F3" w:rsidRPr="00BF05F3">
                <w:rPr>
                  <w:rFonts w:eastAsia="Calibri" w:cs="Arial"/>
                  <w:color w:val="0000FF"/>
                  <w:sz w:val="14"/>
                  <w:szCs w:val="14"/>
                  <w:u w:val="single"/>
                  <w:lang w:eastAsia="en-US"/>
                </w:rPr>
                <w:t>Contractors and workers</w:t>
              </w:r>
            </w:hyperlink>
          </w:p>
          <w:p w14:paraId="6139D579" w14:textId="7BF24D07" w:rsidR="00BF05F3" w:rsidRPr="00BF05F3" w:rsidRDefault="00A7538C" w:rsidP="00B21723">
            <w:pPr>
              <w:spacing w:after="60"/>
              <w:rPr>
                <w:rFonts w:eastAsia="Calibri" w:cs="Arial"/>
                <w:sz w:val="14"/>
                <w:szCs w:val="14"/>
                <w:lang w:eastAsia="en-US"/>
              </w:rPr>
            </w:pPr>
            <w:hyperlink r:id="rId113" w:history="1">
              <w:r w:rsidR="00BF05F3" w:rsidRPr="00BF05F3">
                <w:rPr>
                  <w:rFonts w:eastAsia="Calibri" w:cs="Arial"/>
                  <w:color w:val="0000FF"/>
                  <w:sz w:val="14"/>
                  <w:szCs w:val="14"/>
                  <w:u w:val="single"/>
                  <w:lang w:eastAsia="en-US"/>
                </w:rPr>
                <w:t>Workers’ rights and responsibilities</w:t>
              </w:r>
            </w:hyperlink>
          </w:p>
        </w:tc>
      </w:tr>
      <w:tr w:rsidR="00BF05F3" w:rsidRPr="00BF05F3" w14:paraId="494386BA" w14:textId="77777777" w:rsidTr="00FB729B">
        <w:tc>
          <w:tcPr>
            <w:tcW w:w="2820" w:type="dxa"/>
            <w:shd w:val="clear" w:color="auto" w:fill="FFC9C9"/>
            <w:tcMar>
              <w:top w:w="80" w:type="dxa"/>
              <w:left w:w="80" w:type="dxa"/>
              <w:bottom w:w="80" w:type="dxa"/>
              <w:right w:w="80" w:type="dxa"/>
            </w:tcMar>
          </w:tcPr>
          <w:p w14:paraId="0700BA1D"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Queensland</w:t>
            </w:r>
          </w:p>
        </w:tc>
        <w:tc>
          <w:tcPr>
            <w:tcW w:w="12556" w:type="dxa"/>
            <w:shd w:val="clear" w:color="auto" w:fill="FFC9C9"/>
            <w:tcMar>
              <w:top w:w="80" w:type="dxa"/>
              <w:left w:w="80" w:type="dxa"/>
              <w:bottom w:w="80" w:type="dxa"/>
              <w:right w:w="80" w:type="dxa"/>
            </w:tcMar>
          </w:tcPr>
          <w:p w14:paraId="41F0ADAC" w14:textId="1981FF87" w:rsidR="00BF05F3" w:rsidRPr="00BF05F3" w:rsidRDefault="00A7538C" w:rsidP="00B21723">
            <w:pPr>
              <w:spacing w:after="60"/>
              <w:rPr>
                <w:rFonts w:eastAsia="Calibri" w:cs="Arial"/>
                <w:sz w:val="14"/>
                <w:szCs w:val="14"/>
                <w:lang w:eastAsia="en-US"/>
              </w:rPr>
            </w:pPr>
            <w:hyperlink r:id="rId114" w:history="1">
              <w:r w:rsidR="00BF05F3" w:rsidRPr="00BF05F3">
                <w:rPr>
                  <w:rFonts w:eastAsia="Calibri" w:cs="Arial"/>
                  <w:color w:val="0000FF"/>
                  <w:sz w:val="14"/>
                  <w:szCs w:val="14"/>
                  <w:u w:val="single"/>
                  <w:lang w:eastAsia="en-US"/>
                </w:rPr>
                <w:t>Worker determination tests</w:t>
              </w:r>
            </w:hyperlink>
          </w:p>
        </w:tc>
      </w:tr>
      <w:tr w:rsidR="00BF05F3" w:rsidRPr="00BF05F3" w14:paraId="02809E84" w14:textId="77777777" w:rsidTr="00FB729B">
        <w:tc>
          <w:tcPr>
            <w:tcW w:w="2820" w:type="dxa"/>
            <w:tcMar>
              <w:top w:w="80" w:type="dxa"/>
              <w:left w:w="79" w:type="dxa"/>
              <w:bottom w:w="80" w:type="dxa"/>
              <w:right w:w="80" w:type="dxa"/>
            </w:tcMar>
          </w:tcPr>
          <w:p w14:paraId="3E9463A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Western Australia</w:t>
            </w:r>
          </w:p>
        </w:tc>
        <w:tc>
          <w:tcPr>
            <w:tcW w:w="12556" w:type="dxa"/>
            <w:shd w:val="clear" w:color="auto" w:fill="auto"/>
            <w:tcMar>
              <w:top w:w="80" w:type="dxa"/>
              <w:left w:w="80" w:type="dxa"/>
              <w:bottom w:w="80" w:type="dxa"/>
              <w:right w:w="80" w:type="dxa"/>
            </w:tcMar>
          </w:tcPr>
          <w:p w14:paraId="5DC03F48" w14:textId="46D6F4F8" w:rsidR="00BF05F3" w:rsidRPr="00BF05F3" w:rsidRDefault="00A7538C" w:rsidP="00B21723">
            <w:pPr>
              <w:spacing w:after="60"/>
              <w:rPr>
                <w:rFonts w:eastAsia="Calibri" w:cs="Arial"/>
                <w:color w:val="0000FF"/>
                <w:sz w:val="14"/>
                <w:szCs w:val="14"/>
                <w:u w:val="single"/>
                <w:lang w:eastAsia="en-US"/>
              </w:rPr>
            </w:pPr>
            <w:hyperlink r:id="rId115" w:history="1">
              <w:r w:rsidR="00BF05F3" w:rsidRPr="00BF05F3">
                <w:rPr>
                  <w:rFonts w:eastAsia="Calibri" w:cs="Arial"/>
                  <w:color w:val="0000FF"/>
                  <w:sz w:val="14"/>
                  <w:szCs w:val="14"/>
                  <w:u w:val="single"/>
                  <w:lang w:eastAsia="en-US"/>
                </w:rPr>
                <w:t>Workers’ Compensation: A Guide for Employers</w:t>
              </w:r>
            </w:hyperlink>
          </w:p>
          <w:p w14:paraId="334894C8" w14:textId="2B34ACCB" w:rsidR="00BF05F3" w:rsidRPr="00BF05F3" w:rsidRDefault="00A7538C" w:rsidP="00B21723">
            <w:pPr>
              <w:spacing w:after="60"/>
              <w:rPr>
                <w:rFonts w:eastAsia="Calibri" w:cs="Arial"/>
                <w:sz w:val="14"/>
                <w:szCs w:val="14"/>
                <w:lang w:eastAsia="en-US"/>
              </w:rPr>
            </w:pPr>
            <w:hyperlink r:id="rId116" w:history="1">
              <w:r w:rsidR="00BF05F3" w:rsidRPr="00BF05F3">
                <w:rPr>
                  <w:rFonts w:eastAsia="Calibri" w:cs="Arial"/>
                  <w:color w:val="0000FF"/>
                  <w:sz w:val="14"/>
                  <w:szCs w:val="14"/>
                  <w:u w:val="single"/>
                  <w:lang w:eastAsia="en-US"/>
                </w:rPr>
                <w:t>A Technical Note on Contractors and Workers’ Compensation</w:t>
              </w:r>
            </w:hyperlink>
          </w:p>
        </w:tc>
      </w:tr>
      <w:tr w:rsidR="00BF05F3" w:rsidRPr="00BF05F3" w14:paraId="37D600C8" w14:textId="77777777" w:rsidTr="00FB729B">
        <w:tc>
          <w:tcPr>
            <w:tcW w:w="2820" w:type="dxa"/>
            <w:shd w:val="clear" w:color="auto" w:fill="FFC9C9"/>
            <w:tcMar>
              <w:top w:w="80" w:type="dxa"/>
              <w:left w:w="80" w:type="dxa"/>
              <w:bottom w:w="80" w:type="dxa"/>
              <w:right w:w="80" w:type="dxa"/>
            </w:tcMar>
          </w:tcPr>
          <w:p w14:paraId="1B4DE9F9"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South Australia</w:t>
            </w:r>
          </w:p>
        </w:tc>
        <w:tc>
          <w:tcPr>
            <w:tcW w:w="12556" w:type="dxa"/>
            <w:shd w:val="clear" w:color="auto" w:fill="FFC9C9"/>
            <w:tcMar>
              <w:top w:w="80" w:type="dxa"/>
              <w:left w:w="80" w:type="dxa"/>
              <w:bottom w:w="80" w:type="dxa"/>
              <w:right w:w="80" w:type="dxa"/>
            </w:tcMar>
          </w:tcPr>
          <w:p w14:paraId="1715BBE5" w14:textId="77777777" w:rsidR="00BF05F3" w:rsidRPr="00BF05F3" w:rsidRDefault="00A7538C" w:rsidP="00B21723">
            <w:pPr>
              <w:spacing w:after="60"/>
              <w:rPr>
                <w:rFonts w:eastAsia="Calibri" w:cs="Arial"/>
                <w:sz w:val="14"/>
                <w:szCs w:val="14"/>
                <w:lang w:eastAsia="en-US"/>
              </w:rPr>
            </w:pPr>
            <w:hyperlink r:id="rId117" w:history="1">
              <w:r w:rsidR="00BF05F3" w:rsidRPr="00BF05F3">
                <w:rPr>
                  <w:rFonts w:eastAsia="Calibri" w:cs="Arial"/>
                  <w:color w:val="0000FF"/>
                  <w:sz w:val="14"/>
                  <w:szCs w:val="14"/>
                  <w:u w:val="single"/>
                  <w:lang w:eastAsia="en-US"/>
                </w:rPr>
                <w:t>Who is a worker?</w:t>
              </w:r>
            </w:hyperlink>
          </w:p>
        </w:tc>
      </w:tr>
      <w:tr w:rsidR="00BF05F3" w:rsidRPr="00BF05F3" w14:paraId="3481DAF1" w14:textId="77777777" w:rsidTr="00FB729B">
        <w:tc>
          <w:tcPr>
            <w:tcW w:w="2820" w:type="dxa"/>
            <w:tcMar>
              <w:top w:w="80" w:type="dxa"/>
              <w:left w:w="80" w:type="dxa"/>
              <w:bottom w:w="80" w:type="dxa"/>
              <w:right w:w="80" w:type="dxa"/>
            </w:tcMar>
          </w:tcPr>
          <w:p w14:paraId="27E8C22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Tasmania</w:t>
            </w:r>
          </w:p>
        </w:tc>
        <w:tc>
          <w:tcPr>
            <w:tcW w:w="12556" w:type="dxa"/>
            <w:tcMar>
              <w:top w:w="80" w:type="dxa"/>
              <w:left w:w="80" w:type="dxa"/>
              <w:bottom w:w="80" w:type="dxa"/>
              <w:right w:w="80" w:type="dxa"/>
            </w:tcMar>
          </w:tcPr>
          <w:p w14:paraId="276D8001"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 person who is engaged under a contract of service would be regarded at common law as being an employee whereas a person who is engaged under a contract for service is regarded as being an independent contractor. </w:t>
            </w:r>
          </w:p>
          <w:p w14:paraId="2ED4696D" w14:textId="440A79E1"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Exception where contract is for work not related to a trade or business regularly carried on by the contractor in the contractor’s own name or under a business or firm name, or where the contractor has taken out his or her own personal accident insurance —</w:t>
            </w:r>
            <w:r w:rsidR="00523A25">
              <w:rPr>
                <w:rFonts w:eastAsia="Calibri" w:cs="Arial"/>
                <w:sz w:val="14"/>
                <w:szCs w:val="14"/>
                <w:lang w:eastAsia="en-US"/>
              </w:rPr>
              <w:t xml:space="preserve"> </w:t>
            </w:r>
            <w:r w:rsidR="00523A25" w:rsidRPr="00523A25">
              <w:rPr>
                <w:rFonts w:eastAsia="Calibri" w:cs="Arial"/>
                <w:i/>
                <w:sz w:val="14"/>
                <w:szCs w:val="14"/>
                <w:lang w:eastAsia="en-US"/>
              </w:rPr>
              <w:t>Workers Rehabilitation and Compensation Act 1988</w:t>
            </w:r>
            <w:r w:rsidRPr="00BF05F3">
              <w:rPr>
                <w:rFonts w:eastAsia="Calibri" w:cs="Arial"/>
                <w:sz w:val="14"/>
                <w:szCs w:val="14"/>
                <w:lang w:eastAsia="en-US"/>
              </w:rPr>
              <w:t xml:space="preserve"> </w:t>
            </w:r>
            <w:hyperlink r:id="rId118" w:history="1">
              <w:r w:rsidRPr="00BF05F3">
                <w:rPr>
                  <w:rFonts w:eastAsia="Calibri" w:cs="Arial"/>
                  <w:color w:val="0000FF"/>
                  <w:sz w:val="14"/>
                  <w:szCs w:val="14"/>
                  <w:u w:val="single"/>
                  <w:lang w:eastAsia="en-US"/>
                </w:rPr>
                <w:t>s4B</w:t>
              </w:r>
            </w:hyperlink>
          </w:p>
          <w:p w14:paraId="25DD43E1" w14:textId="7D8F07D6"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A salesperson, canvasser, collector or other person paid wholly or partly by commission is covered unless the commission relates to work that is incidental to a trade or business regularly carried on by that person the salesperson, canvasser, collector or other person or by a firm of which he or she is a member —</w:t>
            </w:r>
            <w:r w:rsidR="00523A25">
              <w:rPr>
                <w:rFonts w:eastAsia="Calibri" w:cs="Arial"/>
                <w:sz w:val="14"/>
                <w:szCs w:val="14"/>
                <w:lang w:eastAsia="en-US"/>
              </w:rPr>
              <w:t xml:space="preserve"> 1988 Act</w:t>
            </w:r>
            <w:r w:rsidRPr="00BF05F3">
              <w:rPr>
                <w:rFonts w:eastAsia="Calibri" w:cs="Arial"/>
                <w:sz w:val="14"/>
                <w:szCs w:val="14"/>
                <w:lang w:eastAsia="en-US"/>
              </w:rPr>
              <w:t xml:space="preserve"> </w:t>
            </w:r>
            <w:hyperlink r:id="rId119" w:history="1">
              <w:r w:rsidRPr="00BF05F3">
                <w:rPr>
                  <w:rFonts w:eastAsia="Calibri" w:cs="Arial"/>
                  <w:color w:val="0000FF"/>
                  <w:sz w:val="14"/>
                  <w:szCs w:val="14"/>
                  <w:u w:val="single"/>
                  <w:lang w:eastAsia="en-US"/>
                </w:rPr>
                <w:t>s4C</w:t>
              </w:r>
            </w:hyperlink>
            <w:r w:rsidR="008B24D1">
              <w:rPr>
                <w:rFonts w:eastAsia="Calibri" w:cs="Arial"/>
                <w:color w:val="0000FF"/>
                <w:sz w:val="14"/>
                <w:szCs w:val="14"/>
                <w:u w:val="single"/>
                <w:lang w:eastAsia="en-US"/>
              </w:rPr>
              <w:t>.</w:t>
            </w:r>
          </w:p>
        </w:tc>
      </w:tr>
      <w:tr w:rsidR="00BF05F3" w:rsidRPr="00BF05F3" w14:paraId="49207E50" w14:textId="77777777" w:rsidTr="00FB729B">
        <w:tc>
          <w:tcPr>
            <w:tcW w:w="2820" w:type="dxa"/>
            <w:shd w:val="clear" w:color="auto" w:fill="FFC9C9"/>
            <w:tcMar>
              <w:top w:w="80" w:type="dxa"/>
              <w:left w:w="80" w:type="dxa"/>
              <w:bottom w:w="80" w:type="dxa"/>
              <w:right w:w="80" w:type="dxa"/>
            </w:tcMar>
          </w:tcPr>
          <w:p w14:paraId="74B91EF9"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Northern Territory</w:t>
            </w:r>
          </w:p>
        </w:tc>
        <w:tc>
          <w:tcPr>
            <w:tcW w:w="12556" w:type="dxa"/>
            <w:shd w:val="clear" w:color="auto" w:fill="FFC9C9"/>
            <w:tcMar>
              <w:top w:w="80" w:type="dxa"/>
              <w:left w:w="80" w:type="dxa"/>
              <w:bottom w:w="80" w:type="dxa"/>
              <w:right w:w="80" w:type="dxa"/>
            </w:tcMar>
          </w:tcPr>
          <w:p w14:paraId="242561AA" w14:textId="45A40902" w:rsidR="00BF05F3" w:rsidRPr="00BF05F3" w:rsidRDefault="00A7538C" w:rsidP="00B21723">
            <w:pPr>
              <w:spacing w:after="60"/>
              <w:rPr>
                <w:rFonts w:eastAsia="Calibri" w:cs="Arial"/>
                <w:sz w:val="14"/>
                <w:szCs w:val="14"/>
                <w:lang w:eastAsia="en-US"/>
              </w:rPr>
            </w:pPr>
            <w:hyperlink r:id="rId120" w:history="1">
              <w:r w:rsidR="00BF05F3" w:rsidRPr="00BF05F3">
                <w:rPr>
                  <w:rFonts w:eastAsia="Calibri" w:cs="Arial"/>
                  <w:color w:val="0000FF"/>
                  <w:sz w:val="14"/>
                  <w:szCs w:val="14"/>
                  <w:u w:val="single"/>
                  <w:lang w:eastAsia="en-US"/>
                </w:rPr>
                <w:t>ATO Employee/contractor decision tool</w:t>
              </w:r>
            </w:hyperlink>
            <w:r w:rsidR="00BF05F3" w:rsidRPr="00BF05F3">
              <w:rPr>
                <w:rFonts w:eastAsia="Calibri" w:cs="Arial"/>
                <w:color w:val="0000FF"/>
                <w:sz w:val="14"/>
                <w:szCs w:val="14"/>
                <w:u w:val="single"/>
                <w:lang w:eastAsia="en-US"/>
              </w:rPr>
              <w:t xml:space="preserve">: </w:t>
            </w:r>
            <w:r w:rsidR="00DD0D68">
              <w:rPr>
                <w:rFonts w:eastAsia="Calibri" w:cs="Arial"/>
                <w:sz w:val="14"/>
                <w:szCs w:val="14"/>
                <w:lang w:eastAsia="en-US"/>
              </w:rPr>
              <w:t>w</w:t>
            </w:r>
            <w:r w:rsidR="00BF05F3" w:rsidRPr="00BF05F3">
              <w:rPr>
                <w:rFonts w:eastAsia="Calibri" w:cs="Arial"/>
                <w:sz w:val="14"/>
                <w:szCs w:val="14"/>
                <w:lang w:eastAsia="en-US"/>
              </w:rPr>
              <w:t>orkers</w:t>
            </w:r>
            <w:r w:rsidR="00DD0D68">
              <w:rPr>
                <w:rFonts w:eastAsia="Calibri" w:cs="Arial"/>
                <w:sz w:val="14"/>
                <w:szCs w:val="14"/>
                <w:lang w:eastAsia="en-US"/>
              </w:rPr>
              <w:t>’ c</w:t>
            </w:r>
            <w:r w:rsidR="005D53E6">
              <w:rPr>
                <w:rFonts w:eastAsia="Calibri" w:cs="Arial"/>
                <w:sz w:val="14"/>
                <w:szCs w:val="14"/>
                <w:lang w:eastAsia="en-US"/>
              </w:rPr>
              <w:t>ompensation i</w:t>
            </w:r>
            <w:r w:rsidR="00BF05F3" w:rsidRPr="00BF05F3">
              <w:rPr>
                <w:rFonts w:eastAsia="Calibri" w:cs="Arial"/>
                <w:sz w:val="14"/>
                <w:szCs w:val="14"/>
                <w:lang w:eastAsia="en-US"/>
              </w:rPr>
              <w:t>nsuran</w:t>
            </w:r>
            <w:r w:rsidR="00DD0D68">
              <w:rPr>
                <w:rFonts w:eastAsia="Calibri" w:cs="Arial"/>
                <w:sz w:val="14"/>
                <w:szCs w:val="14"/>
                <w:lang w:eastAsia="en-US"/>
              </w:rPr>
              <w:t>ce requirements for employers.</w:t>
            </w:r>
          </w:p>
        </w:tc>
      </w:tr>
      <w:tr w:rsidR="00BF05F3" w:rsidRPr="00BF05F3" w14:paraId="546D8471" w14:textId="77777777" w:rsidTr="00FB729B">
        <w:tc>
          <w:tcPr>
            <w:tcW w:w="2820" w:type="dxa"/>
            <w:tcMar>
              <w:top w:w="80" w:type="dxa"/>
              <w:left w:w="80" w:type="dxa"/>
              <w:bottom w:w="80" w:type="dxa"/>
              <w:right w:w="80" w:type="dxa"/>
            </w:tcMar>
          </w:tcPr>
          <w:p w14:paraId="7E9AAECE"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Australian Capital Territory</w:t>
            </w:r>
          </w:p>
        </w:tc>
        <w:tc>
          <w:tcPr>
            <w:tcW w:w="12556" w:type="dxa"/>
            <w:tcMar>
              <w:top w:w="80" w:type="dxa"/>
              <w:left w:w="80" w:type="dxa"/>
              <w:bottom w:w="80" w:type="dxa"/>
              <w:right w:w="80" w:type="dxa"/>
            </w:tcMar>
          </w:tcPr>
          <w:p w14:paraId="0F311CAF" w14:textId="786F50E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Individual who has entered into or works under a contract of service with an employer, whether the contract is expressed or implied, oral or written —</w:t>
            </w:r>
            <w:r w:rsidR="00523A25">
              <w:rPr>
                <w:rFonts w:eastAsia="Calibri" w:cs="Arial"/>
                <w:sz w:val="14"/>
                <w:szCs w:val="14"/>
                <w:lang w:eastAsia="en-US"/>
              </w:rPr>
              <w:t xml:space="preserve"> </w:t>
            </w:r>
            <w:r w:rsidR="00523A25" w:rsidRPr="00523A25">
              <w:rPr>
                <w:rFonts w:eastAsia="Calibri" w:cs="Arial"/>
                <w:i/>
                <w:sz w:val="14"/>
                <w:szCs w:val="14"/>
                <w:lang w:eastAsia="en-US"/>
              </w:rPr>
              <w:t>Workers Compensation Act 1951</w:t>
            </w:r>
            <w:r w:rsidRPr="00BF05F3">
              <w:rPr>
                <w:rFonts w:eastAsia="Calibri" w:cs="Arial"/>
                <w:sz w:val="14"/>
                <w:szCs w:val="14"/>
                <w:lang w:eastAsia="en-US"/>
              </w:rPr>
              <w:t xml:space="preserve"> </w:t>
            </w:r>
            <w:hyperlink r:id="rId121" w:history="1">
              <w:r w:rsidRPr="00B12501">
                <w:rPr>
                  <w:rStyle w:val="Hyperlink"/>
                  <w:rFonts w:eastAsia="Calibri" w:cs="Arial"/>
                  <w:sz w:val="14"/>
                  <w:szCs w:val="14"/>
                  <w:lang w:eastAsia="en-US"/>
                </w:rPr>
                <w:t>s8(1)(a)</w:t>
              </w:r>
            </w:hyperlink>
            <w:r w:rsidRPr="00BF05F3">
              <w:rPr>
                <w:rFonts w:eastAsia="Calibri" w:cs="Arial"/>
                <w:sz w:val="14"/>
                <w:szCs w:val="14"/>
                <w:lang w:eastAsia="en-US"/>
              </w:rPr>
              <w:t>, workers under a contract, or at piecework rates for labour on</w:t>
            </w:r>
            <w:r w:rsidR="00523A25">
              <w:rPr>
                <w:rFonts w:eastAsia="Calibri" w:cs="Arial"/>
                <w:sz w:val="14"/>
                <w:szCs w:val="14"/>
                <w:lang w:eastAsia="en-US"/>
              </w:rPr>
              <w:t>ly or substantially labour only—</w:t>
            </w:r>
            <w:hyperlink r:id="rId122" w:history="1">
              <w:r w:rsidRPr="00B12501">
                <w:rPr>
                  <w:rStyle w:val="Hyperlink"/>
                  <w:rFonts w:eastAsia="Calibri" w:cs="Arial"/>
                  <w:sz w:val="14"/>
                  <w:szCs w:val="14"/>
                  <w:lang w:eastAsia="en-US"/>
                </w:rPr>
                <w:t>s8(1)(b)</w:t>
              </w:r>
            </w:hyperlink>
            <w:r w:rsidRPr="00BF05F3">
              <w:rPr>
                <w:rFonts w:eastAsia="Calibri" w:cs="Arial"/>
                <w:sz w:val="14"/>
                <w:szCs w:val="14"/>
                <w:lang w:eastAsia="en-US"/>
              </w:rPr>
              <w:t>, or works for another person under contract UNLESS they are paid to achieve a stated outcome, and has to supply plant and equipment, and is (or would be) liable for the cost o</w:t>
            </w:r>
            <w:r w:rsidR="00523A25">
              <w:rPr>
                <w:rFonts w:eastAsia="Calibri" w:cs="Arial"/>
                <w:sz w:val="14"/>
                <w:szCs w:val="14"/>
                <w:lang w:eastAsia="en-US"/>
              </w:rPr>
              <w:t>f rectifying any defective work—</w:t>
            </w:r>
            <w:hyperlink r:id="rId123" w:history="1">
              <w:r w:rsidRPr="00B12501">
                <w:rPr>
                  <w:rStyle w:val="Hyperlink"/>
                  <w:rFonts w:eastAsia="Calibri" w:cs="Arial"/>
                  <w:sz w:val="14"/>
                  <w:szCs w:val="14"/>
                  <w:lang w:eastAsia="en-US"/>
                </w:rPr>
                <w:t>s8(1)(i)(a—c)</w:t>
              </w:r>
            </w:hyperlink>
            <w:r w:rsidRPr="00BF05F3">
              <w:rPr>
                <w:rFonts w:eastAsia="Calibri" w:cs="Arial"/>
                <w:sz w:val="14"/>
                <w:szCs w:val="14"/>
                <w:lang w:eastAsia="en-US"/>
              </w:rPr>
              <w:t xml:space="preserve"> OR has a personal </w:t>
            </w:r>
            <w:r w:rsidR="00523A25">
              <w:rPr>
                <w:rFonts w:eastAsia="Calibri" w:cs="Arial"/>
                <w:sz w:val="14"/>
                <w:szCs w:val="14"/>
                <w:lang w:eastAsia="en-US"/>
              </w:rPr>
              <w:t>services business determination—</w:t>
            </w:r>
            <w:hyperlink r:id="rId124" w:history="1">
              <w:r w:rsidRPr="00B12501">
                <w:rPr>
                  <w:rStyle w:val="Hyperlink"/>
                  <w:rFonts w:eastAsia="Calibri" w:cs="Arial"/>
                  <w:sz w:val="14"/>
                  <w:szCs w:val="14"/>
                  <w:lang w:eastAsia="en-US"/>
                </w:rPr>
                <w:t>s8(1)(ii)</w:t>
              </w:r>
            </w:hyperlink>
            <w:r w:rsidRPr="00BF05F3">
              <w:rPr>
                <w:rFonts w:eastAsia="Calibri" w:cs="Arial"/>
                <w:sz w:val="14"/>
                <w:szCs w:val="14"/>
                <w:lang w:eastAsia="en-US"/>
              </w:rPr>
              <w:t>.</w:t>
            </w:r>
          </w:p>
          <w:p w14:paraId="6A262530" w14:textId="75EF72D1" w:rsidR="00BF05F3" w:rsidRPr="00BF05F3" w:rsidRDefault="00A7538C" w:rsidP="00B21723">
            <w:pPr>
              <w:spacing w:after="60"/>
              <w:rPr>
                <w:rFonts w:eastAsia="Calibri" w:cs="Arial"/>
                <w:sz w:val="14"/>
                <w:szCs w:val="14"/>
                <w:lang w:eastAsia="en-US"/>
              </w:rPr>
            </w:pPr>
            <w:hyperlink r:id="rId125" w:history="1">
              <w:r w:rsidR="00BF05F3" w:rsidRPr="00BF05F3">
                <w:rPr>
                  <w:rFonts w:eastAsia="Calibri" w:cs="Arial"/>
                  <w:color w:val="0000FF"/>
                  <w:sz w:val="14"/>
                  <w:szCs w:val="14"/>
                  <w:u w:val="single"/>
                  <w:lang w:val="en-GB" w:eastAsia="en-US"/>
                </w:rPr>
                <w:t>ACT Wages and Earnings Guide</w:t>
              </w:r>
            </w:hyperlink>
          </w:p>
        </w:tc>
      </w:tr>
      <w:tr w:rsidR="00BF05F3" w:rsidRPr="00BF05F3" w14:paraId="2F6B4717" w14:textId="77777777" w:rsidTr="00FB729B">
        <w:tc>
          <w:tcPr>
            <w:tcW w:w="2820" w:type="dxa"/>
            <w:shd w:val="clear" w:color="auto" w:fill="FFC9C9"/>
            <w:tcMar>
              <w:top w:w="80" w:type="dxa"/>
              <w:left w:w="80" w:type="dxa"/>
              <w:bottom w:w="80" w:type="dxa"/>
              <w:right w:w="80" w:type="dxa"/>
            </w:tcMar>
          </w:tcPr>
          <w:p w14:paraId="087ED35F"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Comcare</w:t>
            </w:r>
          </w:p>
        </w:tc>
        <w:tc>
          <w:tcPr>
            <w:tcW w:w="12556" w:type="dxa"/>
            <w:shd w:val="clear" w:color="auto" w:fill="FFC9C9"/>
            <w:tcMar>
              <w:top w:w="80" w:type="dxa"/>
              <w:left w:w="80" w:type="dxa"/>
              <w:bottom w:w="80" w:type="dxa"/>
              <w:right w:w="80" w:type="dxa"/>
            </w:tcMar>
          </w:tcPr>
          <w:p w14:paraId="047FA1B5" w14:textId="77777777" w:rsidR="00BF05F3" w:rsidRPr="00BF05F3" w:rsidRDefault="00A7538C" w:rsidP="00B21723">
            <w:pPr>
              <w:spacing w:after="60"/>
              <w:rPr>
                <w:rFonts w:eastAsia="Calibri" w:cs="Arial"/>
                <w:sz w:val="14"/>
                <w:szCs w:val="14"/>
                <w:lang w:eastAsia="en-US"/>
              </w:rPr>
            </w:pPr>
            <w:hyperlink r:id="rId126" w:history="1">
              <w:r w:rsidR="00BF05F3" w:rsidRPr="00BF05F3">
                <w:rPr>
                  <w:rFonts w:eastAsia="Calibri" w:cs="Arial"/>
                  <w:color w:val="0000FF"/>
                  <w:sz w:val="14"/>
                  <w:szCs w:val="14"/>
                  <w:u w:val="single"/>
                  <w:lang w:val="en-GB" w:eastAsia="en-US"/>
                </w:rPr>
                <w:t>Can I claim?</w:t>
              </w:r>
            </w:hyperlink>
          </w:p>
        </w:tc>
      </w:tr>
      <w:tr w:rsidR="00BF05F3" w:rsidRPr="00BF05F3" w14:paraId="6C36AC03" w14:textId="77777777" w:rsidTr="00FB729B">
        <w:tc>
          <w:tcPr>
            <w:tcW w:w="2820" w:type="dxa"/>
            <w:tcMar>
              <w:top w:w="80" w:type="dxa"/>
              <w:left w:w="80" w:type="dxa"/>
              <w:bottom w:w="80" w:type="dxa"/>
              <w:right w:w="80" w:type="dxa"/>
            </w:tcMar>
          </w:tcPr>
          <w:p w14:paraId="419308E2"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Seacare</w:t>
            </w:r>
          </w:p>
        </w:tc>
        <w:tc>
          <w:tcPr>
            <w:tcW w:w="12556" w:type="dxa"/>
            <w:tcMar>
              <w:top w:w="80" w:type="dxa"/>
              <w:left w:w="80" w:type="dxa"/>
              <w:bottom w:w="80" w:type="dxa"/>
              <w:right w:w="80" w:type="dxa"/>
            </w:tcMar>
          </w:tcPr>
          <w:p w14:paraId="40C8A38A" w14:textId="1D050502" w:rsidR="00BF05F3" w:rsidRPr="00BF05F3" w:rsidRDefault="00A7538C" w:rsidP="00B21723">
            <w:pPr>
              <w:spacing w:after="60"/>
              <w:rPr>
                <w:rFonts w:eastAsia="Calibri" w:cs="Arial"/>
                <w:sz w:val="14"/>
                <w:szCs w:val="14"/>
                <w:lang w:eastAsia="en-US"/>
              </w:rPr>
            </w:pPr>
            <w:hyperlink r:id="rId127" w:history="1">
              <w:r w:rsidR="00BF05F3" w:rsidRPr="00BF05F3">
                <w:rPr>
                  <w:rFonts w:eastAsia="Calibri" w:cs="Arial"/>
                  <w:color w:val="0000FF"/>
                  <w:sz w:val="14"/>
                  <w:szCs w:val="14"/>
                  <w:u w:val="single"/>
                  <w:lang w:val="en-GB" w:eastAsia="en-US"/>
                </w:rPr>
                <w:t>Coverage of Seafarers Act</w:t>
              </w:r>
            </w:hyperlink>
          </w:p>
        </w:tc>
      </w:tr>
      <w:tr w:rsidR="00BF05F3" w:rsidRPr="00BF05F3" w14:paraId="09441B0A" w14:textId="77777777" w:rsidTr="00FB729B">
        <w:tc>
          <w:tcPr>
            <w:tcW w:w="2820" w:type="dxa"/>
            <w:shd w:val="clear" w:color="auto" w:fill="FFC9C9"/>
            <w:tcMar>
              <w:top w:w="80" w:type="dxa"/>
              <w:left w:w="80" w:type="dxa"/>
              <w:bottom w:w="80" w:type="dxa"/>
              <w:right w:w="80" w:type="dxa"/>
            </w:tcMar>
          </w:tcPr>
          <w:p w14:paraId="0871E8D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DVA</w:t>
            </w:r>
          </w:p>
        </w:tc>
        <w:tc>
          <w:tcPr>
            <w:tcW w:w="12556" w:type="dxa"/>
            <w:shd w:val="clear" w:color="auto" w:fill="FFC9C9"/>
            <w:tcMar>
              <w:top w:w="80" w:type="dxa"/>
              <w:left w:w="80" w:type="dxa"/>
              <w:bottom w:w="80" w:type="dxa"/>
              <w:right w:w="80" w:type="dxa"/>
            </w:tcMar>
          </w:tcPr>
          <w:p w14:paraId="14FEAD1E" w14:textId="08E38F81" w:rsidR="00BF05F3" w:rsidRPr="00BF05F3" w:rsidRDefault="00A7538C" w:rsidP="00B21723">
            <w:pPr>
              <w:spacing w:after="60"/>
              <w:rPr>
                <w:rFonts w:eastAsia="Calibri" w:cs="Arial"/>
                <w:sz w:val="14"/>
                <w:szCs w:val="14"/>
                <w:lang w:eastAsia="en-US"/>
              </w:rPr>
            </w:pPr>
            <w:hyperlink r:id="rId128" w:history="1">
              <w:r w:rsidR="00BF05F3" w:rsidRPr="00BF05F3">
                <w:rPr>
                  <w:rFonts w:eastAsia="Calibri" w:cs="Arial"/>
                  <w:color w:val="0000FF"/>
                  <w:sz w:val="14"/>
                  <w:szCs w:val="14"/>
                  <w:u w:val="single"/>
                  <w:lang w:eastAsia="en-US"/>
                </w:rPr>
                <w:t>Entitlement Self Assessment</w:t>
              </w:r>
            </w:hyperlink>
          </w:p>
        </w:tc>
      </w:tr>
      <w:tr w:rsidR="00BF05F3" w:rsidRPr="00BF05F3" w14:paraId="3ED1EEDB" w14:textId="77777777" w:rsidTr="00FB729B">
        <w:tc>
          <w:tcPr>
            <w:tcW w:w="2820" w:type="dxa"/>
            <w:tcMar>
              <w:top w:w="80" w:type="dxa"/>
              <w:left w:w="80" w:type="dxa"/>
              <w:bottom w:w="80" w:type="dxa"/>
              <w:right w:w="80" w:type="dxa"/>
            </w:tcMar>
          </w:tcPr>
          <w:p w14:paraId="14CDF885"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Zealand</w:t>
            </w:r>
          </w:p>
        </w:tc>
        <w:tc>
          <w:tcPr>
            <w:tcW w:w="12556" w:type="dxa"/>
            <w:tcMar>
              <w:top w:w="80" w:type="dxa"/>
              <w:left w:w="80" w:type="dxa"/>
              <w:bottom w:w="80" w:type="dxa"/>
              <w:right w:w="80" w:type="dxa"/>
            </w:tcMar>
          </w:tcPr>
          <w:p w14:paraId="3CC3CE66" w14:textId="509CFEBC" w:rsidR="00BF05F3" w:rsidRPr="00BF05F3" w:rsidRDefault="00A7538C" w:rsidP="00B21723">
            <w:pPr>
              <w:spacing w:after="60"/>
              <w:rPr>
                <w:rFonts w:eastAsia="Calibri" w:cs="Arial"/>
                <w:sz w:val="14"/>
                <w:szCs w:val="14"/>
                <w:lang w:eastAsia="en-US"/>
              </w:rPr>
            </w:pPr>
            <w:hyperlink r:id="rId129" w:history="1">
              <w:r w:rsidR="00775B21" w:rsidRPr="00775B21">
                <w:rPr>
                  <w:rFonts w:eastAsia="Calibri" w:cs="Arial"/>
                  <w:i/>
                  <w:color w:val="0000FF"/>
                  <w:sz w:val="14"/>
                  <w:szCs w:val="14"/>
                  <w:u w:val="single"/>
                  <w:lang w:eastAsia="en-US"/>
                </w:rPr>
                <w:t>Accident Compensation Act 2001</w:t>
              </w:r>
              <w:r w:rsidR="00775B21">
                <w:rPr>
                  <w:rFonts w:eastAsia="Calibri" w:cs="Arial"/>
                  <w:color w:val="0000FF"/>
                  <w:sz w:val="14"/>
                  <w:szCs w:val="14"/>
                  <w:u w:val="single"/>
                  <w:lang w:eastAsia="en-US"/>
                </w:rPr>
                <w:t xml:space="preserve"> — s20–38</w:t>
              </w:r>
            </w:hyperlink>
          </w:p>
        </w:tc>
      </w:tr>
    </w:tbl>
    <w:p w14:paraId="16C50C32" w14:textId="014AB108" w:rsidR="00C66972" w:rsidRPr="00C66972" w:rsidRDefault="00C66972" w:rsidP="006648B8">
      <w:pPr>
        <w:rPr>
          <w:rFonts w:eastAsiaTheme="minorHAnsi"/>
          <w:b/>
        </w:rPr>
      </w:pPr>
    </w:p>
    <w:p w14:paraId="20719C54" w14:textId="1AB27771" w:rsidR="00BF05F3" w:rsidRPr="004F360B" w:rsidRDefault="00BF05F3" w:rsidP="004F360B">
      <w:pPr>
        <w:pStyle w:val="SWATableheader"/>
      </w:pPr>
      <w:bookmarkStart w:id="49" w:name="_Toc504654640"/>
      <w:r w:rsidRPr="004F360B">
        <w:rPr>
          <w:rStyle w:val="SWATableheaderChar"/>
          <w:b/>
        </w:rPr>
        <w:lastRenderedPageBreak/>
        <w:t>Table 2.4c: Coverage of journeys and breaks</w:t>
      </w:r>
      <w:bookmarkEnd w:id="49"/>
      <w:r w:rsidR="00854F23" w:rsidRPr="004F360B">
        <w:rPr>
          <w:rStyle w:val="SWATableheaderChar"/>
          <w:b/>
        </w:rPr>
        <w:fldChar w:fldCharType="begin"/>
      </w:r>
      <w:r w:rsidR="00854F23" w:rsidRPr="004F360B">
        <w:instrText xml:space="preserve"> XE "breaks, injuries during" </w:instrText>
      </w:r>
      <w:r w:rsidR="00854F23" w:rsidRPr="004F360B">
        <w:rPr>
          <w:rStyle w:val="SWATableheaderChar"/>
          <w:b/>
        </w:rPr>
        <w:fldChar w:fldCharType="end"/>
      </w:r>
      <w:r w:rsidRPr="004F360B">
        <w:t xml:space="preserve"> </w:t>
      </w:r>
      <w:r w:rsidR="00184441" w:rsidRPr="004F360B">
        <w:fldChar w:fldCharType="begin"/>
      </w:r>
      <w:r w:rsidR="00184441" w:rsidRPr="004F360B">
        <w:instrText xml:space="preserve"> XE "coverage of workers:journeys and breaks" </w:instrText>
      </w:r>
      <w:r w:rsidR="00184441" w:rsidRPr="004F360B">
        <w:fldChar w:fldCharType="end"/>
      </w:r>
      <w:r w:rsidR="00870A7B" w:rsidRPr="004F360B">
        <w:fldChar w:fldCharType="begin"/>
      </w:r>
      <w:r w:rsidR="00870A7B" w:rsidRPr="004F360B">
        <w:instrText xml:space="preserve"> XE "work-related travel" </w:instrText>
      </w:r>
      <w:r w:rsidR="00870A7B" w:rsidRPr="004F360B">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c: Coverage of journeys and breaks  "/>
        <w:tblDescription w:val="This table provides information about the coverage of journeys and breaks in each workers' compensation scheme. "/>
      </w:tblPr>
      <w:tblGrid>
        <w:gridCol w:w="1666"/>
        <w:gridCol w:w="30"/>
        <w:gridCol w:w="3407"/>
        <w:gridCol w:w="3402"/>
        <w:gridCol w:w="3402"/>
        <w:gridCol w:w="3554"/>
      </w:tblGrid>
      <w:tr w:rsidR="00BF05F3" w:rsidRPr="00BF05F3" w14:paraId="1BF6CCCA" w14:textId="77777777" w:rsidTr="00FB729B">
        <w:trPr>
          <w:tblHeader/>
        </w:trPr>
        <w:tc>
          <w:tcPr>
            <w:tcW w:w="1666" w:type="dxa"/>
            <w:shd w:val="clear" w:color="auto" w:fill="C00000"/>
            <w:tcMar>
              <w:top w:w="80" w:type="dxa"/>
              <w:left w:w="80" w:type="dxa"/>
              <w:bottom w:w="80" w:type="dxa"/>
              <w:right w:w="80" w:type="dxa"/>
            </w:tcMar>
          </w:tcPr>
          <w:p w14:paraId="418704E7" w14:textId="77777777" w:rsidR="00BF05F3" w:rsidRPr="00BF05F3" w:rsidRDefault="00BF05F3" w:rsidP="00B21723">
            <w:pPr>
              <w:spacing w:after="60"/>
              <w:rPr>
                <w:rFonts w:eastAsia="Calibri" w:cs="Arial"/>
                <w:b/>
                <w:color w:val="FFFFFF"/>
                <w:sz w:val="18"/>
                <w:szCs w:val="18"/>
                <w:lang w:eastAsia="en-US"/>
              </w:rPr>
            </w:pPr>
          </w:p>
        </w:tc>
        <w:tc>
          <w:tcPr>
            <w:tcW w:w="30" w:type="dxa"/>
            <w:shd w:val="clear" w:color="auto" w:fill="C00000"/>
          </w:tcPr>
          <w:p w14:paraId="73D3E935" w14:textId="77777777" w:rsidR="00BF05F3" w:rsidRPr="00BF05F3" w:rsidRDefault="00BF05F3" w:rsidP="00B21723">
            <w:pPr>
              <w:spacing w:after="60"/>
              <w:rPr>
                <w:rFonts w:eastAsia="Calibri" w:cs="Arial"/>
                <w:b/>
                <w:color w:val="FFFFFF"/>
                <w:sz w:val="18"/>
                <w:szCs w:val="18"/>
                <w:lang w:eastAsia="en-US"/>
              </w:rPr>
            </w:pPr>
          </w:p>
        </w:tc>
        <w:tc>
          <w:tcPr>
            <w:tcW w:w="3407" w:type="dxa"/>
            <w:shd w:val="clear" w:color="auto" w:fill="C00000"/>
            <w:tcMar>
              <w:top w:w="80" w:type="dxa"/>
              <w:left w:w="80" w:type="dxa"/>
              <w:bottom w:w="80" w:type="dxa"/>
              <w:right w:w="80" w:type="dxa"/>
            </w:tcMar>
          </w:tcPr>
          <w:p w14:paraId="23A6878C"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Journeys to and from work</w:t>
            </w:r>
            <w:r w:rsidR="009D7327">
              <w:fldChar w:fldCharType="begin"/>
            </w:r>
            <w:r w:rsidR="009D7327">
              <w:instrText xml:space="preserve"> XE "</w:instrText>
            </w:r>
            <w:r w:rsidR="009D7327" w:rsidRPr="00E8318C">
              <w:instrText>journeys to and from work</w:instrText>
            </w:r>
            <w:r w:rsidR="009D7327">
              <w:instrText xml:space="preserve">" </w:instrText>
            </w:r>
            <w:r w:rsidR="009D7327">
              <w:fldChar w:fldCharType="end"/>
            </w:r>
          </w:p>
        </w:tc>
        <w:tc>
          <w:tcPr>
            <w:tcW w:w="3402" w:type="dxa"/>
            <w:shd w:val="clear" w:color="auto" w:fill="C00000"/>
            <w:tcMar>
              <w:top w:w="80" w:type="dxa"/>
              <w:left w:w="80" w:type="dxa"/>
              <w:bottom w:w="80" w:type="dxa"/>
              <w:right w:w="80" w:type="dxa"/>
            </w:tcMar>
          </w:tcPr>
          <w:p w14:paraId="46AAD1E9" w14:textId="2A2FF602"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Work-related travel</w:t>
            </w:r>
            <w:r w:rsidR="001E0C80">
              <w:rPr>
                <w:rFonts w:eastAsia="Calibri" w:cs="Arial"/>
                <w:b/>
                <w:color w:val="FFFFFF"/>
                <w:sz w:val="18"/>
                <w:szCs w:val="18"/>
                <w:lang w:eastAsia="en-US"/>
              </w:rPr>
              <w:fldChar w:fldCharType="begin"/>
            </w:r>
            <w:r w:rsidR="001E0C80">
              <w:instrText xml:space="preserve"> XE "</w:instrText>
            </w:r>
            <w:r w:rsidR="001E0C80" w:rsidRPr="004F45CA">
              <w:instrText xml:space="preserve">travel, work </w:instrText>
            </w:r>
            <w:r w:rsidR="001E0C80" w:rsidRPr="00C65EB9">
              <w:instrText xml:space="preserve">related </w:instrText>
            </w:r>
            <w:r w:rsidR="001E0C80" w:rsidRPr="004F45CA">
              <w:instrText>(see also journeys to and from work)</w:instrText>
            </w:r>
            <w:r w:rsidR="001E0C80">
              <w:instrText xml:space="preserve">" \t "" </w:instrText>
            </w:r>
            <w:r w:rsidR="001E0C80">
              <w:rPr>
                <w:rFonts w:eastAsia="Calibri" w:cs="Arial"/>
                <w:b/>
                <w:color w:val="FFFFFF"/>
                <w:sz w:val="18"/>
                <w:szCs w:val="18"/>
                <w:lang w:eastAsia="en-US"/>
              </w:rPr>
              <w:fldChar w:fldCharType="end"/>
            </w:r>
          </w:p>
        </w:tc>
        <w:tc>
          <w:tcPr>
            <w:tcW w:w="3402" w:type="dxa"/>
            <w:shd w:val="clear" w:color="auto" w:fill="C00000"/>
            <w:tcMar>
              <w:top w:w="80" w:type="dxa"/>
              <w:left w:w="80" w:type="dxa"/>
              <w:bottom w:w="80" w:type="dxa"/>
              <w:right w:w="80" w:type="dxa"/>
            </w:tcMar>
          </w:tcPr>
          <w:p w14:paraId="2243BF7F"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Breaks — onsite</w:t>
            </w:r>
          </w:p>
        </w:tc>
        <w:tc>
          <w:tcPr>
            <w:tcW w:w="3554" w:type="dxa"/>
            <w:shd w:val="clear" w:color="auto" w:fill="C00000"/>
            <w:tcMar>
              <w:top w:w="80" w:type="dxa"/>
              <w:left w:w="80" w:type="dxa"/>
              <w:bottom w:w="80" w:type="dxa"/>
              <w:right w:w="80" w:type="dxa"/>
            </w:tcMar>
          </w:tcPr>
          <w:p w14:paraId="1C163B8A"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Breaks — offsite</w:t>
            </w:r>
          </w:p>
        </w:tc>
      </w:tr>
      <w:tr w:rsidR="00BF05F3" w:rsidRPr="00BF05F3" w14:paraId="424B189B" w14:textId="77777777" w:rsidTr="00FB729B">
        <w:tc>
          <w:tcPr>
            <w:tcW w:w="1666" w:type="dxa"/>
            <w:shd w:val="clear" w:color="auto" w:fill="FFC9C9"/>
            <w:tcMar>
              <w:top w:w="80" w:type="dxa"/>
              <w:left w:w="80" w:type="dxa"/>
              <w:bottom w:w="80" w:type="dxa"/>
              <w:right w:w="80" w:type="dxa"/>
            </w:tcMar>
          </w:tcPr>
          <w:p w14:paraId="661B28F0"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South Wales</w:t>
            </w:r>
          </w:p>
        </w:tc>
        <w:tc>
          <w:tcPr>
            <w:tcW w:w="3437" w:type="dxa"/>
            <w:gridSpan w:val="2"/>
            <w:shd w:val="clear" w:color="auto" w:fill="FFC9C9"/>
            <w:tcMar>
              <w:top w:w="80" w:type="dxa"/>
              <w:left w:w="80" w:type="dxa"/>
              <w:bottom w:w="80" w:type="dxa"/>
              <w:right w:w="80" w:type="dxa"/>
            </w:tcMar>
          </w:tcPr>
          <w:p w14:paraId="4674E082" w14:textId="77777777" w:rsidR="000264D7"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for certain exempt workers. </w:t>
            </w:r>
          </w:p>
          <w:p w14:paraId="3AFE6AEF" w14:textId="0224A191"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For all other workers with injuries received on or after 19 June 2012, there must be a real and substantial connection between employment and the accident or incident out of which the injury arose — </w:t>
            </w:r>
            <w:hyperlink r:id="rId130" w:history="1">
              <w:r w:rsidRPr="00B12501">
                <w:rPr>
                  <w:rStyle w:val="Hyperlink"/>
                  <w:rFonts w:eastAsia="Calibri" w:cs="Arial"/>
                  <w:sz w:val="14"/>
                  <w:szCs w:val="14"/>
                  <w:lang w:eastAsia="en-US"/>
                </w:rPr>
                <w:t>s10</w:t>
              </w:r>
            </w:hyperlink>
            <w:r w:rsidRPr="00BF05F3">
              <w:rPr>
                <w:rFonts w:eastAsia="Calibri" w:cs="Arial"/>
                <w:sz w:val="14"/>
                <w:szCs w:val="14"/>
                <w:lang w:eastAsia="en-US"/>
              </w:rPr>
              <w:t xml:space="preserve"> and Schedule 6</w:t>
            </w:r>
            <w:r w:rsidR="00DD0D68">
              <w:rPr>
                <w:rFonts w:eastAsia="Calibri" w:cs="Arial"/>
                <w:sz w:val="14"/>
                <w:szCs w:val="14"/>
                <w:lang w:eastAsia="en-US"/>
              </w:rPr>
              <w:t xml:space="preserve"> </w:t>
            </w:r>
            <w:r w:rsidRPr="00BF05F3">
              <w:rPr>
                <w:rFonts w:eastAsia="Calibri" w:cs="Arial"/>
                <w:sz w:val="14"/>
                <w:szCs w:val="14"/>
                <w:lang w:eastAsia="en-US"/>
              </w:rPr>
              <w:t xml:space="preserve">Part 19H, Clause 18, </w:t>
            </w:r>
            <w:r w:rsidR="0053780E" w:rsidRPr="0053780E">
              <w:rPr>
                <w:rFonts w:eastAsia="Calibri" w:cs="Arial"/>
                <w:i/>
                <w:sz w:val="14"/>
                <w:szCs w:val="14"/>
                <w:lang w:eastAsia="en-US"/>
              </w:rPr>
              <w:t>Workers’ Compensation Act 1987</w:t>
            </w:r>
            <w:r w:rsidR="008B24D1">
              <w:rPr>
                <w:rFonts w:eastAsia="Calibri" w:cs="Arial"/>
                <w:sz w:val="14"/>
                <w:szCs w:val="14"/>
                <w:lang w:eastAsia="en-US"/>
              </w:rPr>
              <w:t>.</w:t>
            </w:r>
          </w:p>
        </w:tc>
        <w:tc>
          <w:tcPr>
            <w:tcW w:w="3402" w:type="dxa"/>
            <w:shd w:val="clear" w:color="auto" w:fill="FFC9C9"/>
            <w:tcMar>
              <w:top w:w="80" w:type="dxa"/>
              <w:left w:w="80" w:type="dxa"/>
              <w:bottom w:w="80" w:type="dxa"/>
              <w:right w:w="80" w:type="dxa"/>
            </w:tcMar>
          </w:tcPr>
          <w:p w14:paraId="72387A3C" w14:textId="76C48117" w:rsidR="00BF05F3" w:rsidRPr="00BF05F3" w:rsidRDefault="00BF05F3" w:rsidP="0053780E">
            <w:pPr>
              <w:spacing w:after="60"/>
              <w:rPr>
                <w:rFonts w:eastAsia="Calibri" w:cs="Arial"/>
                <w:sz w:val="14"/>
                <w:szCs w:val="14"/>
                <w:lang w:eastAsia="en-US"/>
              </w:rPr>
            </w:pPr>
            <w:r w:rsidRPr="00BF05F3">
              <w:rPr>
                <w:rFonts w:eastAsia="Calibri" w:cs="Arial"/>
                <w:sz w:val="14"/>
                <w:szCs w:val="14"/>
                <w:lang w:eastAsia="en-US"/>
              </w:rPr>
              <w:t>Yes</w:t>
            </w:r>
            <w:r w:rsidR="00DD0D68">
              <w:rPr>
                <w:rFonts w:eastAsia="Calibri" w:cs="Arial"/>
                <w:sz w:val="14"/>
                <w:szCs w:val="14"/>
                <w:lang w:eastAsia="en-US"/>
              </w:rPr>
              <w:t xml:space="preserve"> </w:t>
            </w:r>
            <w:r w:rsidR="000464BF" w:rsidRPr="00BF05F3">
              <w:rPr>
                <w:rFonts w:eastAsia="Calibri" w:cs="Arial"/>
                <w:sz w:val="14"/>
                <w:szCs w:val="14"/>
                <w:lang w:eastAsia="en-US"/>
              </w:rPr>
              <w:t>—</w:t>
            </w:r>
            <w:r w:rsidR="000464BF">
              <w:rPr>
                <w:rFonts w:eastAsia="Calibri" w:cs="Arial"/>
                <w:sz w:val="14"/>
                <w:szCs w:val="14"/>
                <w:lang w:eastAsia="en-US"/>
              </w:rPr>
              <w:t xml:space="preserve"> </w:t>
            </w:r>
            <w:hyperlink r:id="rId131" w:history="1">
              <w:r w:rsidRPr="00B12501">
                <w:rPr>
                  <w:rStyle w:val="Hyperlink"/>
                  <w:rFonts w:eastAsia="Calibri" w:cs="Arial"/>
                  <w:sz w:val="14"/>
                  <w:szCs w:val="14"/>
                  <w:lang w:eastAsia="en-US"/>
                </w:rPr>
                <w:t>s4</w:t>
              </w:r>
            </w:hyperlink>
            <w:r w:rsidRPr="00BF05F3">
              <w:rPr>
                <w:rFonts w:eastAsia="Calibri" w:cs="Arial"/>
                <w:sz w:val="14"/>
                <w:szCs w:val="14"/>
                <w:lang w:eastAsia="en-US"/>
              </w:rPr>
              <w:t xml:space="preserve">, </w:t>
            </w:r>
            <w:r w:rsidR="0053780E" w:rsidRPr="0053780E">
              <w:rPr>
                <w:rFonts w:eastAsia="Calibri" w:cs="Arial"/>
                <w:i/>
                <w:sz w:val="14"/>
                <w:szCs w:val="14"/>
                <w:lang w:eastAsia="en-US"/>
              </w:rPr>
              <w:t>W</w:t>
            </w:r>
            <w:r w:rsidR="0053780E">
              <w:rPr>
                <w:rFonts w:eastAsia="Calibri" w:cs="Arial"/>
                <w:i/>
                <w:sz w:val="14"/>
                <w:szCs w:val="14"/>
                <w:lang w:eastAsia="en-US"/>
              </w:rPr>
              <w:t>orkplace Injury Management and W</w:t>
            </w:r>
            <w:r w:rsidR="0053780E" w:rsidRPr="0053780E">
              <w:rPr>
                <w:rFonts w:eastAsia="Calibri" w:cs="Arial"/>
                <w:i/>
                <w:sz w:val="14"/>
                <w:szCs w:val="14"/>
                <w:lang w:eastAsia="en-US"/>
              </w:rPr>
              <w:t xml:space="preserve">orkers Compensation Act </w:t>
            </w:r>
            <w:r w:rsidR="0074778E" w:rsidRPr="0053780E">
              <w:rPr>
                <w:rFonts w:eastAsia="Calibri" w:cs="Arial"/>
                <w:i/>
                <w:sz w:val="14"/>
                <w:szCs w:val="14"/>
                <w:lang w:eastAsia="en-US"/>
              </w:rPr>
              <w:t>1998</w:t>
            </w:r>
          </w:p>
        </w:tc>
        <w:tc>
          <w:tcPr>
            <w:tcW w:w="3402" w:type="dxa"/>
            <w:shd w:val="clear" w:color="auto" w:fill="FFC9C9"/>
            <w:tcMar>
              <w:top w:w="80" w:type="dxa"/>
              <w:left w:w="80" w:type="dxa"/>
              <w:bottom w:w="80" w:type="dxa"/>
              <w:right w:w="80" w:type="dxa"/>
            </w:tcMar>
          </w:tcPr>
          <w:p w14:paraId="7BB65132" w14:textId="760D985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32" w:history="1">
              <w:r w:rsidRPr="00B12501">
                <w:rPr>
                  <w:rStyle w:val="Hyperlink"/>
                  <w:rFonts w:eastAsia="Calibri" w:cs="Arial"/>
                  <w:sz w:val="14"/>
                  <w:szCs w:val="14"/>
                  <w:lang w:eastAsia="en-US"/>
                </w:rPr>
                <w:t>s11</w:t>
              </w:r>
            </w:hyperlink>
            <w:r w:rsidRPr="00BF05F3">
              <w:rPr>
                <w:rFonts w:eastAsia="Calibri" w:cs="Arial"/>
                <w:sz w:val="14"/>
                <w:szCs w:val="14"/>
                <w:lang w:eastAsia="en-US"/>
              </w:rPr>
              <w:t xml:space="preserve"> 1987 Act</w:t>
            </w:r>
          </w:p>
        </w:tc>
        <w:tc>
          <w:tcPr>
            <w:tcW w:w="3554" w:type="dxa"/>
            <w:shd w:val="clear" w:color="auto" w:fill="FFC9C9"/>
            <w:tcMar>
              <w:top w:w="80" w:type="dxa"/>
              <w:left w:w="80" w:type="dxa"/>
              <w:bottom w:w="80" w:type="dxa"/>
              <w:right w:w="80" w:type="dxa"/>
            </w:tcMar>
          </w:tcPr>
          <w:p w14:paraId="2572DB12" w14:textId="61EBED41" w:rsidR="00BF05F3" w:rsidRPr="00BF05F3" w:rsidRDefault="000264D7" w:rsidP="00B21723">
            <w:pPr>
              <w:spacing w:after="60"/>
              <w:rPr>
                <w:rFonts w:eastAsia="Calibri" w:cs="Arial"/>
                <w:sz w:val="14"/>
                <w:szCs w:val="14"/>
                <w:lang w:eastAsia="en-US"/>
              </w:rPr>
            </w:pPr>
            <w:r>
              <w:rPr>
                <w:rFonts w:eastAsia="Calibri" w:cs="Arial"/>
                <w:sz w:val="14"/>
                <w:szCs w:val="14"/>
                <w:lang w:eastAsia="en-US"/>
              </w:rPr>
              <w:t xml:space="preserve">Yes — </w:t>
            </w:r>
            <w:hyperlink r:id="rId133" w:history="1">
              <w:r w:rsidRPr="00B12501">
                <w:rPr>
                  <w:rStyle w:val="Hyperlink"/>
                  <w:rFonts w:eastAsia="Calibri" w:cs="Arial"/>
                  <w:sz w:val="14"/>
                  <w:szCs w:val="14"/>
                  <w:lang w:eastAsia="en-US"/>
                </w:rPr>
                <w:t>s11</w:t>
              </w:r>
            </w:hyperlink>
            <w:r>
              <w:rPr>
                <w:rFonts w:eastAsia="Calibri" w:cs="Arial"/>
                <w:sz w:val="14"/>
                <w:szCs w:val="14"/>
                <w:lang w:eastAsia="en-US"/>
              </w:rPr>
              <w:t xml:space="preserve"> 1987 Act</w:t>
            </w:r>
          </w:p>
        </w:tc>
      </w:tr>
      <w:tr w:rsidR="00BF05F3" w:rsidRPr="00BF05F3" w14:paraId="66D27EBE" w14:textId="77777777" w:rsidTr="00FB729B">
        <w:tc>
          <w:tcPr>
            <w:tcW w:w="1666" w:type="dxa"/>
            <w:tcMar>
              <w:top w:w="80" w:type="dxa"/>
              <w:left w:w="80" w:type="dxa"/>
              <w:bottom w:w="80" w:type="dxa"/>
              <w:right w:w="80" w:type="dxa"/>
            </w:tcMar>
          </w:tcPr>
          <w:p w14:paraId="55FBCEB2"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Victoria</w:t>
            </w:r>
          </w:p>
        </w:tc>
        <w:tc>
          <w:tcPr>
            <w:tcW w:w="3437" w:type="dxa"/>
            <w:gridSpan w:val="2"/>
            <w:tcMar>
              <w:top w:w="80" w:type="dxa"/>
              <w:left w:w="80" w:type="dxa"/>
              <w:bottom w:w="80" w:type="dxa"/>
              <w:right w:w="80" w:type="dxa"/>
            </w:tcMar>
          </w:tcPr>
          <w:p w14:paraId="38355B15" w14:textId="52C8AB1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No — </w:t>
            </w:r>
            <w:hyperlink r:id="rId134" w:history="1">
              <w:r w:rsidRPr="00B12501">
                <w:rPr>
                  <w:rStyle w:val="Hyperlink"/>
                  <w:rFonts w:eastAsia="Calibri" w:cs="Arial"/>
                  <w:sz w:val="14"/>
                  <w:szCs w:val="14"/>
                  <w:lang w:eastAsia="en-US"/>
                </w:rPr>
                <w:t>s46</w:t>
              </w:r>
            </w:hyperlink>
            <w:r w:rsidR="0053780E">
              <w:rPr>
                <w:rFonts w:eastAsia="Calibri" w:cs="Arial"/>
                <w:sz w:val="14"/>
                <w:szCs w:val="14"/>
                <w:lang w:eastAsia="en-US"/>
              </w:rPr>
              <w:t>,</w:t>
            </w:r>
            <w:r w:rsidR="0053780E" w:rsidRPr="0053780E">
              <w:rPr>
                <w:rFonts w:eastAsia="Calibri" w:cs="Arial"/>
                <w:i/>
                <w:sz w:val="14"/>
                <w:szCs w:val="14"/>
                <w:lang w:eastAsia="en-US"/>
              </w:rPr>
              <w:t xml:space="preserve"> Workplace Injury Rehabilitation and Compensation Act 2013</w:t>
            </w:r>
          </w:p>
        </w:tc>
        <w:tc>
          <w:tcPr>
            <w:tcW w:w="3402" w:type="dxa"/>
            <w:tcMar>
              <w:top w:w="80" w:type="dxa"/>
              <w:left w:w="80" w:type="dxa"/>
              <w:bottom w:w="80" w:type="dxa"/>
              <w:right w:w="80" w:type="dxa"/>
            </w:tcMar>
          </w:tcPr>
          <w:p w14:paraId="71F3F4FD" w14:textId="7DC77C3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some restrictions — </w:t>
            </w:r>
            <w:hyperlink r:id="rId135" w:history="1">
              <w:r w:rsidR="00B12501" w:rsidRPr="00B12501">
                <w:rPr>
                  <w:rStyle w:val="Hyperlink"/>
                  <w:rFonts w:eastAsia="Calibri" w:cs="Arial"/>
                  <w:sz w:val="14"/>
                  <w:szCs w:val="14"/>
                  <w:lang w:eastAsia="en-US"/>
                </w:rPr>
                <w:t>s46</w:t>
              </w:r>
            </w:hyperlink>
          </w:p>
        </w:tc>
        <w:tc>
          <w:tcPr>
            <w:tcW w:w="3402" w:type="dxa"/>
            <w:tcMar>
              <w:top w:w="80" w:type="dxa"/>
              <w:left w:w="80" w:type="dxa"/>
              <w:bottom w:w="80" w:type="dxa"/>
              <w:right w:w="80" w:type="dxa"/>
            </w:tcMar>
          </w:tcPr>
          <w:p w14:paraId="370A8F3D" w14:textId="062F3DD6"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36" w:history="1">
              <w:r w:rsidR="00B12501" w:rsidRPr="00B12501">
                <w:rPr>
                  <w:rStyle w:val="Hyperlink"/>
                  <w:rFonts w:eastAsia="Calibri" w:cs="Arial"/>
                  <w:sz w:val="14"/>
                  <w:szCs w:val="14"/>
                  <w:lang w:eastAsia="en-US"/>
                </w:rPr>
                <w:t>s46</w:t>
              </w:r>
            </w:hyperlink>
          </w:p>
        </w:tc>
        <w:tc>
          <w:tcPr>
            <w:tcW w:w="3554" w:type="dxa"/>
            <w:tcMar>
              <w:top w:w="80" w:type="dxa"/>
              <w:left w:w="80" w:type="dxa"/>
              <w:bottom w:w="80" w:type="dxa"/>
              <w:right w:w="80" w:type="dxa"/>
            </w:tcMar>
          </w:tcPr>
          <w:p w14:paraId="2B25DE6B" w14:textId="7E8BE26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37" w:history="1">
              <w:r w:rsidR="00B12501" w:rsidRPr="00B12501">
                <w:rPr>
                  <w:rStyle w:val="Hyperlink"/>
                  <w:rFonts w:eastAsia="Calibri" w:cs="Arial"/>
                  <w:sz w:val="14"/>
                  <w:szCs w:val="14"/>
                  <w:lang w:eastAsia="en-US"/>
                </w:rPr>
                <w:t>s46</w:t>
              </w:r>
            </w:hyperlink>
          </w:p>
        </w:tc>
      </w:tr>
      <w:tr w:rsidR="00BF05F3" w:rsidRPr="00BF05F3" w14:paraId="4924E1AB" w14:textId="77777777" w:rsidTr="00FB729B">
        <w:tc>
          <w:tcPr>
            <w:tcW w:w="1666" w:type="dxa"/>
            <w:shd w:val="clear" w:color="auto" w:fill="FFC9C9"/>
            <w:tcMar>
              <w:top w:w="80" w:type="dxa"/>
              <w:left w:w="80" w:type="dxa"/>
              <w:bottom w:w="80" w:type="dxa"/>
              <w:right w:w="80" w:type="dxa"/>
            </w:tcMar>
          </w:tcPr>
          <w:p w14:paraId="345530FE"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Queensland</w:t>
            </w:r>
          </w:p>
        </w:tc>
        <w:tc>
          <w:tcPr>
            <w:tcW w:w="3437" w:type="dxa"/>
            <w:gridSpan w:val="2"/>
            <w:shd w:val="clear" w:color="auto" w:fill="FFC9C9"/>
            <w:tcMar>
              <w:top w:w="80" w:type="dxa"/>
              <w:left w:w="80" w:type="dxa"/>
              <w:bottom w:w="80" w:type="dxa"/>
              <w:right w:w="80" w:type="dxa"/>
            </w:tcMar>
          </w:tcPr>
          <w:p w14:paraId="52746C30" w14:textId="385C6C39"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some restrictions — </w:t>
            </w:r>
            <w:hyperlink r:id="rId138" w:anchor="sec.35" w:history="1">
              <w:r w:rsidRPr="00B12501">
                <w:rPr>
                  <w:rStyle w:val="Hyperlink"/>
                  <w:rFonts w:eastAsia="Calibri" w:cs="Arial"/>
                  <w:sz w:val="14"/>
                  <w:szCs w:val="14"/>
                  <w:lang w:eastAsia="en-US"/>
                </w:rPr>
                <w:t>s35</w:t>
              </w:r>
            </w:hyperlink>
            <w:r w:rsidR="0044075D">
              <w:rPr>
                <w:rFonts w:eastAsia="Calibri" w:cs="Arial"/>
                <w:sz w:val="14"/>
                <w:szCs w:val="14"/>
                <w:lang w:eastAsia="en-US"/>
              </w:rPr>
              <w:t xml:space="preserve">, </w:t>
            </w:r>
            <w:r w:rsidR="0044075D" w:rsidRPr="0044075D">
              <w:rPr>
                <w:rFonts w:eastAsia="Calibri" w:cs="Arial"/>
                <w:i/>
                <w:sz w:val="14"/>
                <w:szCs w:val="14"/>
                <w:lang w:eastAsia="en-US"/>
              </w:rPr>
              <w:t>Workers’ Compensation and Rehabilitation Act 2003</w:t>
            </w:r>
          </w:p>
        </w:tc>
        <w:tc>
          <w:tcPr>
            <w:tcW w:w="3402" w:type="dxa"/>
            <w:shd w:val="clear" w:color="auto" w:fill="FFC9C9"/>
            <w:tcMar>
              <w:top w:w="80" w:type="dxa"/>
              <w:left w:w="80" w:type="dxa"/>
              <w:bottom w:w="80" w:type="dxa"/>
              <w:right w:w="80" w:type="dxa"/>
            </w:tcMar>
          </w:tcPr>
          <w:p w14:paraId="2F3D6AF1" w14:textId="7C58D610"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39" w:anchor="sec.34" w:history="1">
              <w:r w:rsidRPr="00B12501">
                <w:rPr>
                  <w:rStyle w:val="Hyperlink"/>
                  <w:rFonts w:eastAsia="Calibri" w:cs="Arial"/>
                  <w:sz w:val="14"/>
                  <w:szCs w:val="14"/>
                  <w:lang w:eastAsia="en-US"/>
                </w:rPr>
                <w:t>s34</w:t>
              </w:r>
            </w:hyperlink>
          </w:p>
        </w:tc>
        <w:tc>
          <w:tcPr>
            <w:tcW w:w="3402" w:type="dxa"/>
            <w:shd w:val="clear" w:color="auto" w:fill="FFC9C9"/>
            <w:tcMar>
              <w:top w:w="80" w:type="dxa"/>
              <w:left w:w="80" w:type="dxa"/>
              <w:bottom w:w="80" w:type="dxa"/>
              <w:right w:w="80" w:type="dxa"/>
            </w:tcMar>
          </w:tcPr>
          <w:p w14:paraId="4340B790" w14:textId="29F3F173"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40" w:anchor="sec.34" w:history="1">
              <w:r w:rsidRPr="00B12501">
                <w:rPr>
                  <w:rStyle w:val="Hyperlink"/>
                  <w:rFonts w:eastAsia="Calibri" w:cs="Arial"/>
                  <w:sz w:val="14"/>
                  <w:szCs w:val="14"/>
                  <w:lang w:eastAsia="en-US"/>
                </w:rPr>
                <w:t>s34(1)(c)</w:t>
              </w:r>
            </w:hyperlink>
          </w:p>
        </w:tc>
        <w:tc>
          <w:tcPr>
            <w:tcW w:w="3554" w:type="dxa"/>
            <w:shd w:val="clear" w:color="auto" w:fill="FFC9C9"/>
            <w:tcMar>
              <w:top w:w="80" w:type="dxa"/>
              <w:left w:w="80" w:type="dxa"/>
              <w:bottom w:w="80" w:type="dxa"/>
              <w:right w:w="80" w:type="dxa"/>
            </w:tcMar>
          </w:tcPr>
          <w:p w14:paraId="3137EA51" w14:textId="3BD94888"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41" w:anchor="sec.34" w:history="1">
              <w:r w:rsidRPr="00B12501">
                <w:rPr>
                  <w:rStyle w:val="Hyperlink"/>
                  <w:rFonts w:eastAsia="Calibri" w:cs="Arial"/>
                  <w:sz w:val="14"/>
                  <w:szCs w:val="14"/>
                  <w:lang w:eastAsia="en-US"/>
                </w:rPr>
                <w:t>s34(1)(c)</w:t>
              </w:r>
            </w:hyperlink>
          </w:p>
        </w:tc>
      </w:tr>
      <w:tr w:rsidR="00BF05F3" w:rsidRPr="00BF05F3" w14:paraId="08FE1C0D" w14:textId="77777777" w:rsidTr="00FB729B">
        <w:tc>
          <w:tcPr>
            <w:tcW w:w="1666" w:type="dxa"/>
            <w:tcMar>
              <w:top w:w="80" w:type="dxa"/>
              <w:left w:w="80" w:type="dxa"/>
              <w:bottom w:w="80" w:type="dxa"/>
              <w:right w:w="80" w:type="dxa"/>
            </w:tcMar>
          </w:tcPr>
          <w:p w14:paraId="26F2387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Western Australia</w:t>
            </w:r>
          </w:p>
        </w:tc>
        <w:tc>
          <w:tcPr>
            <w:tcW w:w="3437" w:type="dxa"/>
            <w:gridSpan w:val="2"/>
            <w:tcMar>
              <w:top w:w="80" w:type="dxa"/>
              <w:left w:w="80" w:type="dxa"/>
              <w:bottom w:w="80" w:type="dxa"/>
              <w:right w:w="80" w:type="dxa"/>
            </w:tcMar>
          </w:tcPr>
          <w:p w14:paraId="299F97D6" w14:textId="19920E45" w:rsidR="00BF05F3" w:rsidRPr="00BF05F3" w:rsidRDefault="000264D7" w:rsidP="00B21723">
            <w:pPr>
              <w:spacing w:after="60"/>
              <w:rPr>
                <w:rFonts w:eastAsia="Calibri" w:cs="Arial"/>
                <w:sz w:val="14"/>
                <w:szCs w:val="14"/>
                <w:lang w:eastAsia="en-US"/>
              </w:rPr>
            </w:pPr>
            <w:r>
              <w:rPr>
                <w:rFonts w:eastAsia="Calibri" w:cs="Arial"/>
                <w:sz w:val="14"/>
                <w:szCs w:val="14"/>
                <w:lang w:eastAsia="en-US"/>
              </w:rPr>
              <w:t xml:space="preserve">No — </w:t>
            </w:r>
            <w:hyperlink r:id="rId142" w:history="1">
              <w:r w:rsidRPr="00B12501">
                <w:rPr>
                  <w:rStyle w:val="Hyperlink"/>
                  <w:rFonts w:eastAsia="Calibri" w:cs="Arial"/>
                  <w:sz w:val="14"/>
                  <w:szCs w:val="14"/>
                  <w:lang w:eastAsia="en-US"/>
                </w:rPr>
                <w:t>s19(2)</w:t>
              </w:r>
            </w:hyperlink>
            <w:r w:rsidR="0044075D">
              <w:rPr>
                <w:rFonts w:eastAsia="Calibri" w:cs="Arial"/>
                <w:sz w:val="14"/>
                <w:szCs w:val="14"/>
                <w:lang w:eastAsia="en-US"/>
              </w:rPr>
              <w:t xml:space="preserve">, </w:t>
            </w:r>
            <w:r w:rsidR="0044075D" w:rsidRPr="0044075D">
              <w:rPr>
                <w:rFonts w:eastAsia="Calibri" w:cs="Arial"/>
                <w:i/>
                <w:sz w:val="14"/>
                <w:szCs w:val="14"/>
                <w:lang w:eastAsia="en-US"/>
              </w:rPr>
              <w:t>Workers’ Compensation and Injury Management Act 1981</w:t>
            </w:r>
          </w:p>
        </w:tc>
        <w:tc>
          <w:tcPr>
            <w:tcW w:w="3402" w:type="dxa"/>
            <w:tcMar>
              <w:top w:w="80" w:type="dxa"/>
              <w:left w:w="80" w:type="dxa"/>
              <w:bottom w:w="80" w:type="dxa"/>
              <w:right w:w="80" w:type="dxa"/>
            </w:tcMar>
          </w:tcPr>
          <w:p w14:paraId="6A90C275" w14:textId="66A99D95"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43" w:history="1">
              <w:r w:rsidRPr="00B12501">
                <w:rPr>
                  <w:rStyle w:val="Hyperlink"/>
                  <w:rFonts w:eastAsia="Calibri" w:cs="Arial"/>
                  <w:sz w:val="14"/>
                  <w:szCs w:val="14"/>
                  <w:lang w:eastAsia="en-US"/>
                </w:rPr>
                <w:t>s19(1)</w:t>
              </w:r>
            </w:hyperlink>
          </w:p>
        </w:tc>
        <w:tc>
          <w:tcPr>
            <w:tcW w:w="3402" w:type="dxa"/>
            <w:tcMar>
              <w:top w:w="80" w:type="dxa"/>
              <w:left w:w="80" w:type="dxa"/>
              <w:bottom w:w="80" w:type="dxa"/>
              <w:right w:w="80" w:type="dxa"/>
            </w:tcMar>
          </w:tcPr>
          <w:p w14:paraId="4E80FAEA" w14:textId="0B695EC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Yes</w:t>
            </w:r>
          </w:p>
        </w:tc>
        <w:tc>
          <w:tcPr>
            <w:tcW w:w="3554" w:type="dxa"/>
            <w:tcMar>
              <w:top w:w="80" w:type="dxa"/>
              <w:left w:w="80" w:type="dxa"/>
              <w:bottom w:w="80" w:type="dxa"/>
              <w:right w:w="80" w:type="dxa"/>
            </w:tcMar>
          </w:tcPr>
          <w:p w14:paraId="3A1A1D1F" w14:textId="77777777" w:rsidR="000264D7" w:rsidRDefault="000264D7" w:rsidP="00B21723">
            <w:pPr>
              <w:spacing w:after="60"/>
              <w:rPr>
                <w:rFonts w:eastAsia="Calibri" w:cs="Arial"/>
                <w:sz w:val="14"/>
                <w:szCs w:val="14"/>
                <w:lang w:eastAsia="en-US"/>
              </w:rPr>
            </w:pPr>
            <w:r>
              <w:rPr>
                <w:rFonts w:eastAsia="Calibri" w:cs="Arial"/>
                <w:sz w:val="14"/>
                <w:szCs w:val="14"/>
                <w:lang w:eastAsia="en-US"/>
              </w:rPr>
              <w:t>No reference in the Act</w:t>
            </w:r>
          </w:p>
          <w:p w14:paraId="798F495B" w14:textId="16DC12BE"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Coverage depends on factu</w:t>
            </w:r>
            <w:r w:rsidR="000264D7">
              <w:rPr>
                <w:rFonts w:eastAsia="Calibri" w:cs="Arial"/>
                <w:sz w:val="14"/>
                <w:szCs w:val="14"/>
                <w:lang w:eastAsia="en-US"/>
              </w:rPr>
              <w:t>al circumstances or common law</w:t>
            </w:r>
          </w:p>
        </w:tc>
      </w:tr>
      <w:tr w:rsidR="00BF05F3" w:rsidRPr="00BF05F3" w14:paraId="16BDED4F" w14:textId="77777777" w:rsidTr="00FB729B">
        <w:tc>
          <w:tcPr>
            <w:tcW w:w="1666" w:type="dxa"/>
            <w:shd w:val="clear" w:color="auto" w:fill="FFC9C9"/>
            <w:tcMar>
              <w:top w:w="80" w:type="dxa"/>
              <w:left w:w="80" w:type="dxa"/>
              <w:bottom w:w="80" w:type="dxa"/>
              <w:right w:w="80" w:type="dxa"/>
            </w:tcMar>
          </w:tcPr>
          <w:p w14:paraId="1786D918"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South Australia</w:t>
            </w:r>
          </w:p>
        </w:tc>
        <w:tc>
          <w:tcPr>
            <w:tcW w:w="3437" w:type="dxa"/>
            <w:gridSpan w:val="2"/>
            <w:shd w:val="clear" w:color="auto" w:fill="FFC9C9"/>
            <w:tcMar>
              <w:top w:w="80" w:type="dxa"/>
              <w:left w:w="80" w:type="dxa"/>
              <w:bottom w:w="80" w:type="dxa"/>
              <w:right w:w="80" w:type="dxa"/>
            </w:tcMar>
          </w:tcPr>
          <w:p w14:paraId="2B43344E" w14:textId="466E64DA"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Yes, but limited</w:t>
            </w:r>
            <w:r w:rsidR="00DD0D68">
              <w:rPr>
                <w:rFonts w:eastAsia="Calibri" w:cs="Arial"/>
                <w:sz w:val="14"/>
                <w:szCs w:val="14"/>
                <w:lang w:eastAsia="en-US"/>
              </w:rPr>
              <w:t xml:space="preserve"> </w:t>
            </w:r>
            <w:hyperlink r:id="rId144" w:history="1">
              <w:r w:rsidRPr="00B12501">
                <w:rPr>
                  <w:rStyle w:val="Hyperlink"/>
                  <w:rFonts w:eastAsia="Calibri" w:cs="Arial"/>
                  <w:sz w:val="14"/>
                  <w:szCs w:val="14"/>
                  <w:lang w:eastAsia="en-US"/>
                </w:rPr>
                <w:t>s7(8)</w:t>
              </w:r>
            </w:hyperlink>
            <w:r w:rsidR="004418FB">
              <w:rPr>
                <w:rFonts w:eastAsia="Calibri" w:cs="Arial"/>
                <w:sz w:val="14"/>
                <w:szCs w:val="14"/>
                <w:lang w:eastAsia="en-US"/>
              </w:rPr>
              <w:t xml:space="preserve">, </w:t>
            </w:r>
            <w:r w:rsidR="004418FB" w:rsidRPr="004418FB">
              <w:rPr>
                <w:rFonts w:eastAsia="Calibri" w:cs="Arial"/>
                <w:i/>
                <w:sz w:val="14"/>
                <w:szCs w:val="14"/>
                <w:lang w:eastAsia="en-US"/>
              </w:rPr>
              <w:t>Return to Work Act 2014</w:t>
            </w:r>
          </w:p>
        </w:tc>
        <w:tc>
          <w:tcPr>
            <w:tcW w:w="3402" w:type="dxa"/>
            <w:shd w:val="clear" w:color="auto" w:fill="FFC9C9"/>
            <w:tcMar>
              <w:top w:w="80" w:type="dxa"/>
              <w:left w:w="80" w:type="dxa"/>
              <w:bottom w:w="80" w:type="dxa"/>
              <w:right w:w="80" w:type="dxa"/>
            </w:tcMar>
          </w:tcPr>
          <w:p w14:paraId="4C3A4BDB" w14:textId="173C0929" w:rsidR="00BF05F3" w:rsidRPr="00BF05F3" w:rsidRDefault="000264D7" w:rsidP="00B21723">
            <w:pPr>
              <w:spacing w:after="60"/>
              <w:rPr>
                <w:rFonts w:eastAsia="Calibri" w:cs="Arial"/>
                <w:sz w:val="14"/>
                <w:szCs w:val="14"/>
                <w:lang w:eastAsia="en-US"/>
              </w:rPr>
            </w:pPr>
            <w:r>
              <w:rPr>
                <w:rFonts w:eastAsia="Calibri" w:cs="Arial"/>
                <w:sz w:val="14"/>
                <w:szCs w:val="14"/>
                <w:lang w:eastAsia="en-US"/>
              </w:rPr>
              <w:t xml:space="preserve">Yes — </w:t>
            </w:r>
            <w:hyperlink r:id="rId145" w:history="1">
              <w:r w:rsidRPr="00B12501">
                <w:rPr>
                  <w:rStyle w:val="Hyperlink"/>
                  <w:rFonts w:eastAsia="Calibri" w:cs="Arial"/>
                  <w:sz w:val="14"/>
                  <w:szCs w:val="14"/>
                  <w:lang w:eastAsia="en-US"/>
                </w:rPr>
                <w:t>s7(8)</w:t>
              </w:r>
            </w:hyperlink>
          </w:p>
        </w:tc>
        <w:tc>
          <w:tcPr>
            <w:tcW w:w="3402" w:type="dxa"/>
            <w:shd w:val="clear" w:color="auto" w:fill="FFC9C9"/>
            <w:tcMar>
              <w:top w:w="80" w:type="dxa"/>
              <w:left w:w="80" w:type="dxa"/>
              <w:bottom w:w="80" w:type="dxa"/>
              <w:right w:w="80" w:type="dxa"/>
            </w:tcMar>
          </w:tcPr>
          <w:p w14:paraId="737D013F" w14:textId="51627CA4"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if the break is authorised — </w:t>
            </w:r>
            <w:hyperlink r:id="rId146" w:history="1">
              <w:r w:rsidRPr="00B12501">
                <w:rPr>
                  <w:rStyle w:val="Hyperlink"/>
                  <w:rFonts w:eastAsia="Calibri" w:cs="Arial"/>
                  <w:sz w:val="14"/>
                  <w:szCs w:val="14"/>
                  <w:lang w:eastAsia="en-US"/>
                </w:rPr>
                <w:t>s7(5)(b)</w:t>
              </w:r>
            </w:hyperlink>
          </w:p>
        </w:tc>
        <w:tc>
          <w:tcPr>
            <w:tcW w:w="3554" w:type="dxa"/>
            <w:shd w:val="clear" w:color="auto" w:fill="FFC9C9"/>
            <w:tcMar>
              <w:top w:w="80" w:type="dxa"/>
              <w:left w:w="80" w:type="dxa"/>
              <w:bottom w:w="80" w:type="dxa"/>
              <w:right w:w="80" w:type="dxa"/>
            </w:tcMar>
          </w:tcPr>
          <w:p w14:paraId="7DF40DAF" w14:textId="39B85241" w:rsidR="00BF05F3" w:rsidRPr="00BF05F3" w:rsidRDefault="00DD0D68" w:rsidP="00B21723">
            <w:pPr>
              <w:spacing w:after="60"/>
              <w:rPr>
                <w:rFonts w:eastAsia="Calibri" w:cs="Arial"/>
                <w:sz w:val="14"/>
                <w:szCs w:val="14"/>
                <w:lang w:eastAsia="en-US"/>
              </w:rPr>
            </w:pPr>
            <w:r>
              <w:rPr>
                <w:rFonts w:eastAsia="Calibri" w:cs="Arial"/>
                <w:sz w:val="14"/>
                <w:szCs w:val="14"/>
                <w:lang w:eastAsia="en-US"/>
              </w:rPr>
              <w:t>No</w:t>
            </w:r>
          </w:p>
        </w:tc>
      </w:tr>
      <w:tr w:rsidR="00BF05F3" w:rsidRPr="00BF05F3" w14:paraId="1D2B72EF" w14:textId="77777777" w:rsidTr="00FB729B">
        <w:tc>
          <w:tcPr>
            <w:tcW w:w="1666" w:type="dxa"/>
            <w:tcMar>
              <w:top w:w="80" w:type="dxa"/>
              <w:left w:w="80" w:type="dxa"/>
              <w:bottom w:w="80" w:type="dxa"/>
              <w:right w:w="80" w:type="dxa"/>
            </w:tcMar>
          </w:tcPr>
          <w:p w14:paraId="0F45B78F"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Tasmania</w:t>
            </w:r>
          </w:p>
        </w:tc>
        <w:tc>
          <w:tcPr>
            <w:tcW w:w="3437" w:type="dxa"/>
            <w:gridSpan w:val="2"/>
            <w:tcMar>
              <w:top w:w="80" w:type="dxa"/>
              <w:left w:w="80" w:type="dxa"/>
              <w:bottom w:w="80" w:type="dxa"/>
              <w:right w:w="80" w:type="dxa"/>
            </w:tcMar>
          </w:tcPr>
          <w:p w14:paraId="075D6678" w14:textId="2DC60108"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No, some exceptions — </w:t>
            </w:r>
            <w:hyperlink r:id="rId147" w:history="1">
              <w:r w:rsidRPr="00B12501">
                <w:rPr>
                  <w:rStyle w:val="Hyperlink"/>
                  <w:rFonts w:eastAsia="Calibri" w:cs="Arial"/>
                  <w:sz w:val="14"/>
                  <w:szCs w:val="14"/>
                  <w:lang w:eastAsia="en-US"/>
                </w:rPr>
                <w:t>s25(6)</w:t>
              </w:r>
            </w:hyperlink>
            <w:r w:rsidR="00282F0D">
              <w:rPr>
                <w:rFonts w:eastAsia="Calibri" w:cs="Arial"/>
                <w:sz w:val="14"/>
                <w:szCs w:val="14"/>
                <w:lang w:eastAsia="en-US"/>
              </w:rPr>
              <w:t xml:space="preserve">, </w:t>
            </w:r>
            <w:r w:rsidR="00282F0D" w:rsidRPr="00282F0D">
              <w:rPr>
                <w:rFonts w:eastAsia="Calibri" w:cs="Arial"/>
                <w:i/>
                <w:sz w:val="14"/>
                <w:szCs w:val="14"/>
                <w:lang w:eastAsia="en-US"/>
              </w:rPr>
              <w:t>Workers Rehabilitation and Compensation Act 1988</w:t>
            </w:r>
          </w:p>
        </w:tc>
        <w:tc>
          <w:tcPr>
            <w:tcW w:w="3402" w:type="dxa"/>
            <w:tcMar>
              <w:top w:w="80" w:type="dxa"/>
              <w:left w:w="80" w:type="dxa"/>
              <w:bottom w:w="80" w:type="dxa"/>
              <w:right w:w="80" w:type="dxa"/>
            </w:tcMar>
          </w:tcPr>
          <w:p w14:paraId="5BDA814E" w14:textId="552FF664"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48" w:history="1">
              <w:r w:rsidR="00B12501" w:rsidRPr="00B12501">
                <w:rPr>
                  <w:rStyle w:val="Hyperlink"/>
                  <w:rFonts w:eastAsia="Calibri" w:cs="Arial"/>
                  <w:sz w:val="14"/>
                  <w:szCs w:val="14"/>
                  <w:lang w:eastAsia="en-US"/>
                </w:rPr>
                <w:t>s25(6)</w:t>
              </w:r>
            </w:hyperlink>
          </w:p>
        </w:tc>
        <w:tc>
          <w:tcPr>
            <w:tcW w:w="3402" w:type="dxa"/>
            <w:tcMar>
              <w:top w:w="80" w:type="dxa"/>
              <w:left w:w="80" w:type="dxa"/>
              <w:bottom w:w="80" w:type="dxa"/>
              <w:right w:w="80" w:type="dxa"/>
            </w:tcMar>
          </w:tcPr>
          <w:p w14:paraId="45DA2FD5" w14:textId="5C2F44B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49" w:history="1">
              <w:r w:rsidR="00B12501" w:rsidRPr="00B12501">
                <w:rPr>
                  <w:rStyle w:val="Hyperlink"/>
                  <w:rFonts w:eastAsia="Calibri" w:cs="Arial"/>
                  <w:sz w:val="14"/>
                  <w:szCs w:val="14"/>
                  <w:lang w:eastAsia="en-US"/>
                </w:rPr>
                <w:t>s25(6)</w:t>
              </w:r>
            </w:hyperlink>
          </w:p>
        </w:tc>
        <w:tc>
          <w:tcPr>
            <w:tcW w:w="3554" w:type="dxa"/>
            <w:tcMar>
              <w:top w:w="80" w:type="dxa"/>
              <w:left w:w="80" w:type="dxa"/>
              <w:bottom w:w="80" w:type="dxa"/>
              <w:right w:w="80" w:type="dxa"/>
            </w:tcMar>
          </w:tcPr>
          <w:p w14:paraId="5E69D55E" w14:textId="44C9FC65"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No, some exceptions — </w:t>
            </w:r>
            <w:hyperlink r:id="rId150" w:history="1">
              <w:r w:rsidR="00B12501" w:rsidRPr="00B12501">
                <w:rPr>
                  <w:rStyle w:val="Hyperlink"/>
                  <w:rFonts w:eastAsia="Calibri" w:cs="Arial"/>
                  <w:sz w:val="14"/>
                  <w:szCs w:val="14"/>
                  <w:lang w:eastAsia="en-US"/>
                </w:rPr>
                <w:t>s25(6)</w:t>
              </w:r>
            </w:hyperlink>
          </w:p>
        </w:tc>
      </w:tr>
      <w:tr w:rsidR="00BF05F3" w:rsidRPr="00BF05F3" w14:paraId="29373BDA" w14:textId="77777777" w:rsidTr="00FB729B">
        <w:tc>
          <w:tcPr>
            <w:tcW w:w="1666" w:type="dxa"/>
            <w:shd w:val="clear" w:color="auto" w:fill="FFC9C9"/>
            <w:tcMar>
              <w:top w:w="80" w:type="dxa"/>
              <w:left w:w="80" w:type="dxa"/>
              <w:bottom w:w="80" w:type="dxa"/>
              <w:right w:w="80" w:type="dxa"/>
            </w:tcMar>
          </w:tcPr>
          <w:p w14:paraId="26E4F100"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Northern Territory</w:t>
            </w:r>
          </w:p>
        </w:tc>
        <w:tc>
          <w:tcPr>
            <w:tcW w:w="3437" w:type="dxa"/>
            <w:gridSpan w:val="2"/>
            <w:shd w:val="clear" w:color="auto" w:fill="FFC9C9"/>
            <w:tcMar>
              <w:top w:w="80" w:type="dxa"/>
              <w:left w:w="80" w:type="dxa"/>
              <w:bottom w:w="80" w:type="dxa"/>
              <w:right w:w="80" w:type="dxa"/>
            </w:tcMar>
          </w:tcPr>
          <w:p w14:paraId="31DC6465" w14:textId="72404F0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No</w:t>
            </w:r>
            <w:r w:rsidR="00DD0D68">
              <w:rPr>
                <w:rFonts w:eastAsia="Calibri" w:cs="Arial"/>
                <w:sz w:val="14"/>
                <w:szCs w:val="14"/>
                <w:lang w:eastAsia="en-US"/>
              </w:rPr>
              <w:t xml:space="preserve">, some exceptions — </w:t>
            </w:r>
            <w:hyperlink r:id="rId151" w:history="1">
              <w:r w:rsidR="00DD0D68" w:rsidRPr="00B12501">
                <w:rPr>
                  <w:rStyle w:val="Hyperlink"/>
                  <w:rFonts w:eastAsia="Calibri" w:cs="Arial"/>
                  <w:sz w:val="14"/>
                  <w:szCs w:val="14"/>
                  <w:lang w:eastAsia="en-US"/>
                </w:rPr>
                <w:t>s4</w:t>
              </w:r>
            </w:hyperlink>
            <w:r w:rsidR="005F156D">
              <w:rPr>
                <w:rFonts w:eastAsia="Calibri" w:cs="Arial"/>
                <w:sz w:val="14"/>
                <w:szCs w:val="14"/>
                <w:lang w:eastAsia="en-US"/>
              </w:rPr>
              <w:t xml:space="preserve">, </w:t>
            </w:r>
            <w:r w:rsidR="005F156D" w:rsidRPr="005F156D">
              <w:rPr>
                <w:rFonts w:eastAsia="Calibri" w:cs="Arial"/>
                <w:i/>
                <w:sz w:val="14"/>
                <w:szCs w:val="14"/>
                <w:lang w:eastAsia="en-US"/>
              </w:rPr>
              <w:t>Return to Work Act</w:t>
            </w:r>
            <w:r w:rsidR="00DD0D68">
              <w:rPr>
                <w:rFonts w:eastAsia="Calibri" w:cs="Arial"/>
                <w:sz w:val="14"/>
                <w:szCs w:val="14"/>
                <w:lang w:eastAsia="en-US"/>
              </w:rPr>
              <w:t xml:space="preserve"> &amp; reg5AA</w:t>
            </w:r>
          </w:p>
        </w:tc>
        <w:tc>
          <w:tcPr>
            <w:tcW w:w="3402" w:type="dxa"/>
            <w:shd w:val="clear" w:color="auto" w:fill="FFC9C9"/>
            <w:tcMar>
              <w:top w:w="80" w:type="dxa"/>
              <w:left w:w="80" w:type="dxa"/>
              <w:bottom w:w="80" w:type="dxa"/>
              <w:right w:w="80" w:type="dxa"/>
            </w:tcMar>
          </w:tcPr>
          <w:p w14:paraId="13DA1FD9" w14:textId="107F3192"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52" w:history="1">
              <w:r w:rsidRPr="00B12501">
                <w:rPr>
                  <w:rStyle w:val="Hyperlink"/>
                  <w:rFonts w:eastAsia="Calibri" w:cs="Arial"/>
                  <w:sz w:val="14"/>
                  <w:szCs w:val="14"/>
                  <w:lang w:eastAsia="en-US"/>
                </w:rPr>
                <w:t>s4</w:t>
              </w:r>
            </w:hyperlink>
          </w:p>
        </w:tc>
        <w:tc>
          <w:tcPr>
            <w:tcW w:w="3402" w:type="dxa"/>
            <w:shd w:val="clear" w:color="auto" w:fill="FFC9C9"/>
            <w:tcMar>
              <w:top w:w="80" w:type="dxa"/>
              <w:left w:w="80" w:type="dxa"/>
              <w:bottom w:w="80" w:type="dxa"/>
              <w:right w:w="80" w:type="dxa"/>
            </w:tcMar>
          </w:tcPr>
          <w:p w14:paraId="72BBC332" w14:textId="33E7FDE0"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53" w:history="1">
              <w:r w:rsidRPr="00B12501">
                <w:rPr>
                  <w:rStyle w:val="Hyperlink"/>
                  <w:rFonts w:eastAsia="Calibri" w:cs="Arial"/>
                  <w:sz w:val="14"/>
                  <w:szCs w:val="14"/>
                  <w:lang w:eastAsia="en-US"/>
                </w:rPr>
                <w:t>s4</w:t>
              </w:r>
            </w:hyperlink>
          </w:p>
        </w:tc>
        <w:tc>
          <w:tcPr>
            <w:tcW w:w="3554" w:type="dxa"/>
            <w:shd w:val="clear" w:color="auto" w:fill="FFC9C9"/>
            <w:tcMar>
              <w:top w:w="80" w:type="dxa"/>
              <w:left w:w="80" w:type="dxa"/>
              <w:bottom w:w="80" w:type="dxa"/>
              <w:right w:w="80" w:type="dxa"/>
            </w:tcMar>
          </w:tcPr>
          <w:p w14:paraId="283C37D9" w14:textId="1E982EE6" w:rsidR="00BF05F3" w:rsidRPr="00BF05F3" w:rsidRDefault="00BF05F3" w:rsidP="00B12501">
            <w:pPr>
              <w:spacing w:after="60"/>
              <w:rPr>
                <w:rFonts w:eastAsia="Calibri" w:cs="Arial"/>
                <w:sz w:val="14"/>
                <w:szCs w:val="14"/>
                <w:lang w:eastAsia="en-US"/>
              </w:rPr>
            </w:pPr>
            <w:r w:rsidRPr="00BF05F3">
              <w:rPr>
                <w:rFonts w:eastAsia="Calibri" w:cs="Arial"/>
                <w:sz w:val="14"/>
                <w:szCs w:val="14"/>
                <w:lang w:eastAsia="en-US"/>
              </w:rPr>
              <w:t>Yes —</w:t>
            </w:r>
            <w:r w:rsidR="000264D7">
              <w:rPr>
                <w:rFonts w:eastAsia="Calibri" w:cs="Arial"/>
                <w:sz w:val="14"/>
                <w:szCs w:val="14"/>
                <w:lang w:eastAsia="en-US"/>
              </w:rPr>
              <w:t xml:space="preserve"> </w:t>
            </w:r>
            <w:r w:rsidRPr="00BF05F3">
              <w:rPr>
                <w:rFonts w:eastAsia="Calibri" w:cs="Arial"/>
                <w:sz w:val="14"/>
                <w:szCs w:val="14"/>
                <w:lang w:eastAsia="en-US"/>
              </w:rPr>
              <w:t xml:space="preserve">some exceptions(MVA’s) </w:t>
            </w:r>
            <w:r w:rsidR="00B12501">
              <w:rPr>
                <w:rFonts w:eastAsia="Calibri" w:cs="Arial"/>
                <w:sz w:val="14"/>
                <w:szCs w:val="14"/>
                <w:lang w:eastAsia="en-US"/>
              </w:rPr>
              <w:t>—</w:t>
            </w:r>
            <w:r w:rsidRPr="00BF05F3">
              <w:rPr>
                <w:rFonts w:eastAsia="Calibri" w:cs="Arial"/>
                <w:sz w:val="14"/>
                <w:szCs w:val="14"/>
                <w:lang w:eastAsia="en-US"/>
              </w:rPr>
              <w:t xml:space="preserve"> </w:t>
            </w:r>
            <w:hyperlink r:id="rId154" w:history="1">
              <w:r w:rsidRPr="00B12501">
                <w:rPr>
                  <w:rStyle w:val="Hyperlink"/>
                  <w:rFonts w:eastAsia="Calibri" w:cs="Arial"/>
                  <w:sz w:val="14"/>
                  <w:szCs w:val="14"/>
                  <w:lang w:eastAsia="en-US"/>
                </w:rPr>
                <w:t>s4</w:t>
              </w:r>
            </w:hyperlink>
          </w:p>
        </w:tc>
      </w:tr>
      <w:tr w:rsidR="00BF05F3" w:rsidRPr="00BF05F3" w14:paraId="53151843" w14:textId="77777777" w:rsidTr="00FB729B">
        <w:tc>
          <w:tcPr>
            <w:tcW w:w="1666" w:type="dxa"/>
            <w:tcMar>
              <w:top w:w="80" w:type="dxa"/>
              <w:left w:w="80" w:type="dxa"/>
              <w:bottom w:w="80" w:type="dxa"/>
              <w:right w:w="80" w:type="dxa"/>
            </w:tcMar>
          </w:tcPr>
          <w:p w14:paraId="46FFE0A1"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Australian Capital Territory</w:t>
            </w:r>
          </w:p>
        </w:tc>
        <w:tc>
          <w:tcPr>
            <w:tcW w:w="3437" w:type="dxa"/>
            <w:gridSpan w:val="2"/>
            <w:tcMar>
              <w:top w:w="80" w:type="dxa"/>
              <w:left w:w="80" w:type="dxa"/>
              <w:bottom w:w="80" w:type="dxa"/>
              <w:right w:w="80" w:type="dxa"/>
            </w:tcMar>
          </w:tcPr>
          <w:p w14:paraId="3A6FAB42" w14:textId="0FFC8EAE"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55" w:history="1">
              <w:r w:rsidRPr="00A84B72">
                <w:rPr>
                  <w:rStyle w:val="Hyperlink"/>
                  <w:rFonts w:eastAsia="Calibri" w:cs="Arial"/>
                  <w:sz w:val="14"/>
                  <w:szCs w:val="14"/>
                  <w:lang w:eastAsia="en-US"/>
                </w:rPr>
                <w:t>s36</w:t>
              </w:r>
            </w:hyperlink>
            <w:r w:rsidR="00486C09">
              <w:rPr>
                <w:rFonts w:eastAsia="Calibri" w:cs="Arial"/>
                <w:sz w:val="14"/>
                <w:szCs w:val="14"/>
                <w:lang w:eastAsia="en-US"/>
              </w:rPr>
              <w:t xml:space="preserve">, </w:t>
            </w:r>
            <w:r w:rsidR="00486C09" w:rsidRPr="00486C09">
              <w:rPr>
                <w:rFonts w:eastAsia="Calibri" w:cs="Arial"/>
                <w:i/>
                <w:sz w:val="14"/>
                <w:szCs w:val="14"/>
                <w:lang w:eastAsia="en-US"/>
              </w:rPr>
              <w:t>Workers Compensation Act 1951</w:t>
            </w:r>
          </w:p>
        </w:tc>
        <w:tc>
          <w:tcPr>
            <w:tcW w:w="3402" w:type="dxa"/>
            <w:tcMar>
              <w:top w:w="80" w:type="dxa"/>
              <w:left w:w="80" w:type="dxa"/>
              <w:bottom w:w="80" w:type="dxa"/>
              <w:right w:w="80" w:type="dxa"/>
            </w:tcMar>
          </w:tcPr>
          <w:p w14:paraId="3B60447A" w14:textId="462EC879"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56" w:history="1">
              <w:r w:rsidRPr="00A84B72">
                <w:rPr>
                  <w:rStyle w:val="Hyperlink"/>
                  <w:rFonts w:eastAsia="Calibri" w:cs="Arial"/>
                  <w:sz w:val="14"/>
                  <w:szCs w:val="14"/>
                  <w:lang w:eastAsia="en-US"/>
                </w:rPr>
                <w:t>s36</w:t>
              </w:r>
            </w:hyperlink>
          </w:p>
        </w:tc>
        <w:tc>
          <w:tcPr>
            <w:tcW w:w="3402" w:type="dxa"/>
            <w:tcMar>
              <w:top w:w="80" w:type="dxa"/>
              <w:left w:w="80" w:type="dxa"/>
              <w:bottom w:w="80" w:type="dxa"/>
              <w:right w:w="80" w:type="dxa"/>
            </w:tcMar>
          </w:tcPr>
          <w:p w14:paraId="772FCC91" w14:textId="6A6D5C2D" w:rsidR="00BF05F3" w:rsidRPr="00BF05F3" w:rsidRDefault="00DD0D68" w:rsidP="00B21723">
            <w:pPr>
              <w:spacing w:after="60"/>
              <w:rPr>
                <w:rFonts w:eastAsia="Calibri" w:cs="Arial"/>
                <w:sz w:val="14"/>
                <w:szCs w:val="14"/>
                <w:lang w:eastAsia="en-US"/>
              </w:rPr>
            </w:pPr>
            <w:r>
              <w:rPr>
                <w:rFonts w:eastAsia="Calibri" w:cs="Arial"/>
                <w:sz w:val="14"/>
                <w:szCs w:val="14"/>
                <w:lang w:eastAsia="en-US"/>
              </w:rPr>
              <w:t>No reference</w:t>
            </w:r>
          </w:p>
        </w:tc>
        <w:tc>
          <w:tcPr>
            <w:tcW w:w="3554" w:type="dxa"/>
            <w:tcMar>
              <w:top w:w="80" w:type="dxa"/>
              <w:left w:w="80" w:type="dxa"/>
              <w:bottom w:w="80" w:type="dxa"/>
              <w:right w:w="80" w:type="dxa"/>
            </w:tcMar>
          </w:tcPr>
          <w:p w14:paraId="2DE20636" w14:textId="00760E15" w:rsidR="00BF05F3" w:rsidRPr="00BF05F3" w:rsidRDefault="00DD0D68" w:rsidP="00B21723">
            <w:pPr>
              <w:spacing w:after="60"/>
              <w:rPr>
                <w:rFonts w:eastAsia="Calibri" w:cs="Arial"/>
                <w:sz w:val="14"/>
                <w:szCs w:val="14"/>
                <w:lang w:eastAsia="en-US"/>
              </w:rPr>
            </w:pPr>
            <w:r>
              <w:rPr>
                <w:rFonts w:eastAsia="Calibri" w:cs="Arial"/>
                <w:sz w:val="14"/>
                <w:szCs w:val="14"/>
                <w:lang w:eastAsia="en-US"/>
              </w:rPr>
              <w:t>No reference</w:t>
            </w:r>
          </w:p>
        </w:tc>
      </w:tr>
      <w:tr w:rsidR="00BF05F3" w:rsidRPr="00BF05F3" w14:paraId="07A0DBC2" w14:textId="77777777" w:rsidTr="00FB729B">
        <w:tc>
          <w:tcPr>
            <w:tcW w:w="1666" w:type="dxa"/>
            <w:shd w:val="clear" w:color="auto" w:fill="FFC9C9"/>
            <w:tcMar>
              <w:top w:w="80" w:type="dxa"/>
              <w:left w:w="80" w:type="dxa"/>
              <w:bottom w:w="80" w:type="dxa"/>
              <w:right w:w="80" w:type="dxa"/>
            </w:tcMar>
          </w:tcPr>
          <w:p w14:paraId="6B50A997"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Comcare</w:t>
            </w:r>
          </w:p>
        </w:tc>
        <w:tc>
          <w:tcPr>
            <w:tcW w:w="3437" w:type="dxa"/>
            <w:gridSpan w:val="2"/>
            <w:shd w:val="clear" w:color="auto" w:fill="FFC9C9"/>
            <w:tcMar>
              <w:top w:w="80" w:type="dxa"/>
              <w:left w:w="80" w:type="dxa"/>
              <w:bottom w:w="80" w:type="dxa"/>
              <w:right w:w="80" w:type="dxa"/>
            </w:tcMar>
          </w:tcPr>
          <w:p w14:paraId="22FB2D7F" w14:textId="061C6E2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No, some excep</w:t>
            </w:r>
            <w:r w:rsidR="00DD0D68">
              <w:rPr>
                <w:rFonts w:eastAsia="Calibri" w:cs="Arial"/>
                <w:sz w:val="14"/>
                <w:szCs w:val="14"/>
                <w:lang w:eastAsia="en-US"/>
              </w:rPr>
              <w:t xml:space="preserve">tions — </w:t>
            </w:r>
            <w:hyperlink r:id="rId157" w:history="1">
              <w:r w:rsidR="00DD0D68" w:rsidRPr="00AA7E62">
                <w:rPr>
                  <w:rStyle w:val="Hyperlink"/>
                  <w:rFonts w:eastAsia="Calibri" w:cs="Arial"/>
                  <w:sz w:val="14"/>
                  <w:szCs w:val="14"/>
                  <w:lang w:eastAsia="en-US"/>
                </w:rPr>
                <w:t>s6(1C)</w:t>
              </w:r>
            </w:hyperlink>
            <w:r w:rsidR="00EC6DDB">
              <w:rPr>
                <w:rFonts w:eastAsia="Calibri" w:cs="Arial"/>
                <w:sz w:val="14"/>
                <w:szCs w:val="14"/>
                <w:lang w:eastAsia="en-US"/>
              </w:rPr>
              <w:t xml:space="preserve">, </w:t>
            </w:r>
            <w:r w:rsidR="00EC6DDB" w:rsidRPr="00EC6DDB">
              <w:rPr>
                <w:rFonts w:eastAsia="Calibri" w:cs="Arial"/>
                <w:i/>
                <w:sz w:val="14"/>
                <w:szCs w:val="14"/>
                <w:lang w:eastAsia="en-US"/>
              </w:rPr>
              <w:t>Safety, Rehabilitation and Compensation Act 1988</w:t>
            </w:r>
          </w:p>
        </w:tc>
        <w:tc>
          <w:tcPr>
            <w:tcW w:w="3402" w:type="dxa"/>
            <w:shd w:val="clear" w:color="auto" w:fill="FFC9C9"/>
            <w:tcMar>
              <w:top w:w="80" w:type="dxa"/>
              <w:left w:w="80" w:type="dxa"/>
              <w:bottom w:w="80" w:type="dxa"/>
              <w:right w:w="80" w:type="dxa"/>
            </w:tcMar>
          </w:tcPr>
          <w:p w14:paraId="190D2CAB" w14:textId="35D965F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58" w:history="1">
              <w:r w:rsidRPr="00AA7E62">
                <w:rPr>
                  <w:rStyle w:val="Hyperlink"/>
                  <w:rFonts w:eastAsia="Calibri" w:cs="Arial"/>
                  <w:sz w:val="14"/>
                  <w:szCs w:val="14"/>
                  <w:lang w:eastAsia="en-US"/>
                </w:rPr>
                <w:t>s6(1)(d)</w:t>
              </w:r>
            </w:hyperlink>
          </w:p>
        </w:tc>
        <w:tc>
          <w:tcPr>
            <w:tcW w:w="3402" w:type="dxa"/>
            <w:shd w:val="clear" w:color="auto" w:fill="FFC9C9"/>
            <w:tcMar>
              <w:top w:w="80" w:type="dxa"/>
              <w:left w:w="80" w:type="dxa"/>
              <w:bottom w:w="80" w:type="dxa"/>
              <w:right w:w="80" w:type="dxa"/>
            </w:tcMar>
          </w:tcPr>
          <w:p w14:paraId="29775332" w14:textId="4702C29C"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59" w:history="1">
              <w:r w:rsidRPr="00AA7E62">
                <w:rPr>
                  <w:rStyle w:val="Hyperlink"/>
                  <w:rFonts w:eastAsia="Calibri" w:cs="Arial"/>
                  <w:sz w:val="14"/>
                  <w:szCs w:val="14"/>
                  <w:lang w:eastAsia="en-US"/>
                </w:rPr>
                <w:t>s6(1)(b)</w:t>
              </w:r>
            </w:hyperlink>
          </w:p>
        </w:tc>
        <w:tc>
          <w:tcPr>
            <w:tcW w:w="3554" w:type="dxa"/>
            <w:shd w:val="clear" w:color="auto" w:fill="FFC9C9"/>
            <w:tcMar>
              <w:top w:w="80" w:type="dxa"/>
              <w:left w:w="80" w:type="dxa"/>
              <w:bottom w:w="80" w:type="dxa"/>
              <w:right w:w="80" w:type="dxa"/>
            </w:tcMar>
          </w:tcPr>
          <w:p w14:paraId="61BF6C0B" w14:textId="1353B35A"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Yes, since 7 December 2011 (‘ordinary recess’)</w:t>
            </w:r>
            <w:r w:rsidR="00B47768">
              <w:rPr>
                <w:rFonts w:eastAsia="Calibri" w:cs="Arial"/>
                <w:sz w:val="14"/>
                <w:szCs w:val="14"/>
                <w:lang w:eastAsia="en-US"/>
              </w:rPr>
              <w:t xml:space="preserve"> </w:t>
            </w:r>
            <w:hyperlink r:id="rId160" w:history="1">
              <w:r w:rsidR="00B47768" w:rsidRPr="00AA7E62">
                <w:rPr>
                  <w:rStyle w:val="Hyperlink"/>
                  <w:rFonts w:eastAsia="Calibri" w:cs="Arial"/>
                  <w:sz w:val="14"/>
                  <w:szCs w:val="14"/>
                  <w:lang w:eastAsia="en-US"/>
                </w:rPr>
                <w:t>s6(1)(b)</w:t>
              </w:r>
            </w:hyperlink>
          </w:p>
        </w:tc>
      </w:tr>
      <w:tr w:rsidR="00BF05F3" w:rsidRPr="00BF05F3" w14:paraId="71D901F1" w14:textId="77777777" w:rsidTr="00FB729B">
        <w:tc>
          <w:tcPr>
            <w:tcW w:w="1666" w:type="dxa"/>
            <w:tcMar>
              <w:top w:w="80" w:type="dxa"/>
              <w:left w:w="80" w:type="dxa"/>
              <w:bottom w:w="80" w:type="dxa"/>
              <w:right w:w="80" w:type="dxa"/>
            </w:tcMar>
          </w:tcPr>
          <w:p w14:paraId="411B5B52"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Seacare</w:t>
            </w:r>
          </w:p>
        </w:tc>
        <w:tc>
          <w:tcPr>
            <w:tcW w:w="3437" w:type="dxa"/>
            <w:gridSpan w:val="2"/>
            <w:tcMar>
              <w:top w:w="80" w:type="dxa"/>
              <w:left w:w="80" w:type="dxa"/>
              <w:bottom w:w="80" w:type="dxa"/>
              <w:right w:w="80" w:type="dxa"/>
            </w:tcMar>
          </w:tcPr>
          <w:p w14:paraId="518B3B52" w14:textId="75FDA74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61" w:history="1">
              <w:r w:rsidRPr="00AA7E62">
                <w:rPr>
                  <w:rStyle w:val="Hyperlink"/>
                  <w:rFonts w:eastAsia="Calibri" w:cs="Arial"/>
                  <w:sz w:val="14"/>
                  <w:szCs w:val="14"/>
                  <w:lang w:eastAsia="en-US"/>
                </w:rPr>
                <w:t>s9(2)(e)</w:t>
              </w:r>
            </w:hyperlink>
            <w:r w:rsidR="00EC6DDB">
              <w:rPr>
                <w:rFonts w:eastAsia="Calibri" w:cs="Arial"/>
                <w:sz w:val="14"/>
                <w:szCs w:val="14"/>
                <w:lang w:eastAsia="en-US"/>
              </w:rPr>
              <w:t xml:space="preserve">, </w:t>
            </w:r>
            <w:r w:rsidR="00EC6DDB" w:rsidRPr="00EC6DDB">
              <w:rPr>
                <w:rFonts w:eastAsia="Calibri" w:cs="Arial"/>
                <w:i/>
                <w:sz w:val="14"/>
                <w:szCs w:val="14"/>
                <w:lang w:eastAsia="en-US"/>
              </w:rPr>
              <w:t>Seafarers Rehabilitation and Compensation Act 1992</w:t>
            </w:r>
          </w:p>
        </w:tc>
        <w:tc>
          <w:tcPr>
            <w:tcW w:w="3402" w:type="dxa"/>
            <w:tcMar>
              <w:top w:w="80" w:type="dxa"/>
              <w:left w:w="80" w:type="dxa"/>
              <w:bottom w:w="80" w:type="dxa"/>
              <w:right w:w="80" w:type="dxa"/>
            </w:tcMar>
          </w:tcPr>
          <w:p w14:paraId="656F8D28" w14:textId="0CC2BB2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62" w:history="1">
              <w:r w:rsidRPr="00AA7E62">
                <w:rPr>
                  <w:rStyle w:val="Hyperlink"/>
                  <w:rFonts w:eastAsia="Calibri" w:cs="Arial"/>
                  <w:sz w:val="14"/>
                  <w:szCs w:val="14"/>
                  <w:lang w:eastAsia="en-US"/>
                </w:rPr>
                <w:t>s9(2)(e)</w:t>
              </w:r>
            </w:hyperlink>
          </w:p>
        </w:tc>
        <w:tc>
          <w:tcPr>
            <w:tcW w:w="3402" w:type="dxa"/>
            <w:tcMar>
              <w:top w:w="80" w:type="dxa"/>
              <w:left w:w="80" w:type="dxa"/>
              <w:bottom w:w="80" w:type="dxa"/>
              <w:right w:w="80" w:type="dxa"/>
            </w:tcMar>
          </w:tcPr>
          <w:p w14:paraId="0387259B" w14:textId="24E35E5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63" w:history="1">
              <w:r w:rsidRPr="00AA7E62">
                <w:rPr>
                  <w:rStyle w:val="Hyperlink"/>
                  <w:rFonts w:eastAsia="Calibri" w:cs="Arial"/>
                  <w:sz w:val="14"/>
                  <w:szCs w:val="14"/>
                  <w:lang w:eastAsia="en-US"/>
                </w:rPr>
                <w:t>s9(2)(b)</w:t>
              </w:r>
            </w:hyperlink>
          </w:p>
        </w:tc>
        <w:tc>
          <w:tcPr>
            <w:tcW w:w="3554" w:type="dxa"/>
            <w:tcMar>
              <w:top w:w="80" w:type="dxa"/>
              <w:left w:w="80" w:type="dxa"/>
              <w:bottom w:w="80" w:type="dxa"/>
              <w:right w:w="80" w:type="dxa"/>
            </w:tcMar>
          </w:tcPr>
          <w:p w14:paraId="72BA5843" w14:textId="5DC29262"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64" w:history="1">
              <w:r w:rsidRPr="00AA7E62">
                <w:rPr>
                  <w:rStyle w:val="Hyperlink"/>
                  <w:rFonts w:eastAsia="Calibri" w:cs="Arial"/>
                  <w:sz w:val="14"/>
                  <w:szCs w:val="14"/>
                  <w:lang w:eastAsia="en-US"/>
                </w:rPr>
                <w:t>s9(2)(b)</w:t>
              </w:r>
            </w:hyperlink>
          </w:p>
        </w:tc>
      </w:tr>
      <w:tr w:rsidR="00BF05F3" w:rsidRPr="00BF05F3" w14:paraId="48A4B35B" w14:textId="77777777" w:rsidTr="00FB729B">
        <w:tc>
          <w:tcPr>
            <w:tcW w:w="1666" w:type="dxa"/>
            <w:shd w:val="clear" w:color="auto" w:fill="FFC9C9"/>
            <w:tcMar>
              <w:top w:w="80" w:type="dxa"/>
              <w:left w:w="80" w:type="dxa"/>
              <w:bottom w:w="80" w:type="dxa"/>
              <w:right w:w="80" w:type="dxa"/>
            </w:tcMar>
          </w:tcPr>
          <w:p w14:paraId="353F76B4" w14:textId="77777777" w:rsid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DVA</w:t>
            </w:r>
          </w:p>
          <w:p w14:paraId="6691E997" w14:textId="77777777" w:rsidR="001C3DA4" w:rsidRDefault="001C3DA4" w:rsidP="00B21723">
            <w:pPr>
              <w:spacing w:after="60"/>
              <w:rPr>
                <w:rFonts w:eastAsia="Calibri" w:cs="Arial"/>
                <w:b/>
                <w:sz w:val="16"/>
                <w:szCs w:val="16"/>
                <w:lang w:eastAsia="en-US"/>
              </w:rPr>
            </w:pPr>
            <w:r>
              <w:rPr>
                <w:rFonts w:eastAsia="Calibri" w:cs="Arial"/>
                <w:b/>
                <w:sz w:val="16"/>
                <w:szCs w:val="16"/>
                <w:lang w:eastAsia="en-US"/>
              </w:rPr>
              <w:t>MRCA</w:t>
            </w:r>
          </w:p>
          <w:p w14:paraId="6005753C" w14:textId="77777777" w:rsidR="0039798F" w:rsidRDefault="0039798F" w:rsidP="00B21723">
            <w:pPr>
              <w:spacing w:after="60"/>
              <w:rPr>
                <w:rFonts w:eastAsia="Calibri" w:cs="Arial"/>
                <w:b/>
                <w:sz w:val="16"/>
                <w:szCs w:val="16"/>
                <w:lang w:eastAsia="en-US"/>
              </w:rPr>
            </w:pPr>
          </w:p>
          <w:p w14:paraId="2D2C6147" w14:textId="255F9C8C" w:rsidR="001C3DA4" w:rsidRPr="00BF05F3" w:rsidRDefault="001C3DA4" w:rsidP="00B21723">
            <w:pPr>
              <w:spacing w:after="60"/>
              <w:rPr>
                <w:rFonts w:eastAsia="Calibri" w:cs="Arial"/>
                <w:b/>
                <w:sz w:val="16"/>
                <w:szCs w:val="16"/>
                <w:lang w:eastAsia="en-US"/>
              </w:rPr>
            </w:pPr>
            <w:r>
              <w:rPr>
                <w:rFonts w:eastAsia="Calibri" w:cs="Arial"/>
                <w:b/>
                <w:sz w:val="16"/>
                <w:szCs w:val="16"/>
                <w:lang w:eastAsia="en-US"/>
              </w:rPr>
              <w:t>DRCA</w:t>
            </w:r>
            <w:r w:rsidR="0039798F">
              <w:rPr>
                <w:rFonts w:eastAsia="Calibri" w:cs="Arial"/>
                <w:b/>
                <w:sz w:val="16"/>
                <w:szCs w:val="16"/>
                <w:lang w:eastAsia="en-US"/>
              </w:rPr>
              <w:t xml:space="preserve"> </w:t>
            </w:r>
          </w:p>
        </w:tc>
        <w:tc>
          <w:tcPr>
            <w:tcW w:w="3437" w:type="dxa"/>
            <w:gridSpan w:val="2"/>
            <w:shd w:val="clear" w:color="auto" w:fill="FFC9C9"/>
            <w:tcMar>
              <w:top w:w="80" w:type="dxa"/>
              <w:left w:w="80" w:type="dxa"/>
              <w:bottom w:w="80" w:type="dxa"/>
              <w:right w:w="80" w:type="dxa"/>
            </w:tcMar>
          </w:tcPr>
          <w:p w14:paraId="152FD1D7" w14:textId="77777777" w:rsidR="001C3DA4" w:rsidRDefault="001C3DA4" w:rsidP="00B21723">
            <w:pPr>
              <w:spacing w:after="60"/>
              <w:rPr>
                <w:rFonts w:eastAsia="Calibri" w:cs="Arial"/>
                <w:sz w:val="14"/>
                <w:szCs w:val="14"/>
                <w:lang w:eastAsia="en-US"/>
              </w:rPr>
            </w:pPr>
          </w:p>
          <w:p w14:paraId="53D8800B" w14:textId="39321FBB" w:rsid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65" w:history="1">
              <w:r w:rsidRPr="00AA7E62">
                <w:rPr>
                  <w:rStyle w:val="Hyperlink"/>
                  <w:rFonts w:eastAsia="Calibri" w:cs="Arial"/>
                  <w:sz w:val="14"/>
                  <w:szCs w:val="14"/>
                  <w:lang w:eastAsia="en-US"/>
                </w:rPr>
                <w:t>s27</w:t>
              </w:r>
            </w:hyperlink>
            <w:r>
              <w:rPr>
                <w:rFonts w:eastAsia="Calibri" w:cs="Arial"/>
                <w:sz w:val="14"/>
                <w:szCs w:val="14"/>
                <w:lang w:eastAsia="en-US"/>
              </w:rPr>
              <w:t xml:space="preserve">; exceptions — </w:t>
            </w:r>
            <w:hyperlink r:id="rId166" w:history="1">
              <w:r w:rsidRPr="00AA7E62">
                <w:rPr>
                  <w:rStyle w:val="Hyperlink"/>
                  <w:rFonts w:eastAsia="Calibri" w:cs="Arial"/>
                  <w:sz w:val="14"/>
                  <w:szCs w:val="14"/>
                  <w:lang w:eastAsia="en-US"/>
                </w:rPr>
                <w:t>s35</w:t>
              </w:r>
            </w:hyperlink>
            <w:r w:rsidR="0039798F">
              <w:rPr>
                <w:rFonts w:eastAsia="Calibri" w:cs="Arial"/>
                <w:sz w:val="14"/>
                <w:szCs w:val="14"/>
                <w:lang w:eastAsia="en-US"/>
              </w:rPr>
              <w:t xml:space="preserve">, </w:t>
            </w:r>
            <w:r w:rsidR="0039798F" w:rsidRPr="0039798F">
              <w:rPr>
                <w:rFonts w:eastAsia="Calibri" w:cs="Arial"/>
                <w:i/>
                <w:sz w:val="14"/>
                <w:szCs w:val="14"/>
                <w:lang w:eastAsia="en-US"/>
              </w:rPr>
              <w:t>Military Rehabilitation and Compensation Act 2004</w:t>
            </w:r>
            <w:r w:rsidR="0039798F" w:rsidRPr="0039798F">
              <w:rPr>
                <w:rFonts w:eastAsia="Calibri" w:cs="Arial"/>
                <w:sz w:val="14"/>
                <w:szCs w:val="14"/>
                <w:lang w:eastAsia="en-US"/>
              </w:rPr>
              <w:t xml:space="preserve"> (MRCA)</w:t>
            </w:r>
          </w:p>
          <w:p w14:paraId="28EF1226" w14:textId="77777777" w:rsidR="0039798F" w:rsidRDefault="0039798F" w:rsidP="00B21723">
            <w:pPr>
              <w:spacing w:after="60"/>
              <w:rPr>
                <w:rFonts w:eastAsia="Calibri" w:cs="Arial"/>
                <w:sz w:val="14"/>
                <w:szCs w:val="14"/>
                <w:lang w:eastAsia="en-US"/>
              </w:rPr>
            </w:pPr>
          </w:p>
          <w:p w14:paraId="09DEA875" w14:textId="01F24A4D" w:rsidR="001C3DA4" w:rsidRPr="00BF05F3" w:rsidRDefault="001C3DA4" w:rsidP="00B21723">
            <w:pPr>
              <w:spacing w:after="60"/>
              <w:rPr>
                <w:rFonts w:eastAsia="Calibri" w:cs="Arial"/>
                <w:sz w:val="14"/>
                <w:szCs w:val="14"/>
                <w:lang w:eastAsia="en-US"/>
              </w:rPr>
            </w:pPr>
            <w:r>
              <w:rPr>
                <w:rFonts w:eastAsia="Calibri" w:cs="Arial"/>
                <w:sz w:val="14"/>
                <w:szCs w:val="14"/>
                <w:lang w:eastAsia="en-US"/>
              </w:rPr>
              <w:t>No, some exception</w:t>
            </w:r>
            <w:r w:rsidR="00F558D9">
              <w:rPr>
                <w:rFonts w:eastAsia="Calibri" w:cs="Arial"/>
                <w:sz w:val="14"/>
                <w:szCs w:val="14"/>
                <w:lang w:eastAsia="en-US"/>
              </w:rPr>
              <w:t xml:space="preserve">s — </w:t>
            </w:r>
            <w:hyperlink r:id="rId167" w:history="1">
              <w:r w:rsidR="00F558D9" w:rsidRPr="00AA7E62">
                <w:rPr>
                  <w:rStyle w:val="Hyperlink"/>
                  <w:rFonts w:eastAsia="Calibri" w:cs="Arial"/>
                  <w:sz w:val="14"/>
                  <w:szCs w:val="14"/>
                  <w:lang w:eastAsia="en-US"/>
                </w:rPr>
                <w:t>s6(1C)</w:t>
              </w:r>
            </w:hyperlink>
            <w:r w:rsidR="0039798F">
              <w:rPr>
                <w:rFonts w:eastAsia="Calibri" w:cs="Arial"/>
                <w:sz w:val="14"/>
                <w:szCs w:val="14"/>
                <w:lang w:eastAsia="en-US"/>
              </w:rPr>
              <w:t xml:space="preserve">, </w:t>
            </w:r>
            <w:r w:rsidR="0039798F" w:rsidRPr="0039798F">
              <w:rPr>
                <w:rFonts w:eastAsia="Calibri" w:cs="Arial"/>
                <w:i/>
                <w:sz w:val="14"/>
                <w:szCs w:val="14"/>
                <w:lang w:eastAsia="en-US"/>
              </w:rPr>
              <w:t xml:space="preserve">Safety, Rehabilitation and Compensation (Defence-related Claims) Act 1988 </w:t>
            </w:r>
            <w:r w:rsidR="0039798F" w:rsidRPr="0039798F">
              <w:rPr>
                <w:rFonts w:eastAsia="Calibri" w:cs="Arial"/>
                <w:sz w:val="14"/>
                <w:szCs w:val="14"/>
                <w:lang w:eastAsia="en-US"/>
              </w:rPr>
              <w:t>(DRCA)</w:t>
            </w:r>
          </w:p>
        </w:tc>
        <w:tc>
          <w:tcPr>
            <w:tcW w:w="3402" w:type="dxa"/>
            <w:shd w:val="clear" w:color="auto" w:fill="FFC9C9"/>
            <w:tcMar>
              <w:top w:w="80" w:type="dxa"/>
              <w:left w:w="80" w:type="dxa"/>
              <w:bottom w:w="80" w:type="dxa"/>
              <w:right w:w="80" w:type="dxa"/>
            </w:tcMar>
          </w:tcPr>
          <w:p w14:paraId="0B5A04A2" w14:textId="77777777" w:rsidR="00F558D9" w:rsidRDefault="00F558D9" w:rsidP="00B21723">
            <w:pPr>
              <w:spacing w:after="60"/>
              <w:rPr>
                <w:rFonts w:eastAsia="Calibri" w:cs="Arial"/>
                <w:sz w:val="14"/>
                <w:szCs w:val="14"/>
                <w:lang w:eastAsia="en-US"/>
              </w:rPr>
            </w:pPr>
          </w:p>
          <w:p w14:paraId="177060FE" w14:textId="42F9DD97" w:rsid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68" w:history="1">
              <w:r w:rsidRPr="00AA7E62">
                <w:rPr>
                  <w:rStyle w:val="Hyperlink"/>
                  <w:rFonts w:eastAsia="Calibri" w:cs="Arial"/>
                  <w:sz w:val="14"/>
                  <w:szCs w:val="14"/>
                  <w:lang w:eastAsia="en-US"/>
                </w:rPr>
                <w:t>s27</w:t>
              </w:r>
            </w:hyperlink>
            <w:r>
              <w:rPr>
                <w:rFonts w:eastAsia="Calibri" w:cs="Arial"/>
                <w:sz w:val="14"/>
                <w:szCs w:val="14"/>
                <w:lang w:eastAsia="en-US"/>
              </w:rPr>
              <w:t xml:space="preserve">; exceptions — </w:t>
            </w:r>
            <w:hyperlink r:id="rId169" w:history="1">
              <w:r w:rsidRPr="00AA7E62">
                <w:rPr>
                  <w:rStyle w:val="Hyperlink"/>
                  <w:rFonts w:eastAsia="Calibri" w:cs="Arial"/>
                  <w:sz w:val="14"/>
                  <w:szCs w:val="14"/>
                  <w:lang w:eastAsia="en-US"/>
                </w:rPr>
                <w:t>s35</w:t>
              </w:r>
            </w:hyperlink>
          </w:p>
          <w:p w14:paraId="2F8FDB9B" w14:textId="77777777" w:rsidR="0039798F" w:rsidRDefault="0039798F" w:rsidP="00B21723">
            <w:pPr>
              <w:spacing w:after="60"/>
              <w:rPr>
                <w:rFonts w:eastAsia="Calibri" w:cs="Arial"/>
                <w:sz w:val="14"/>
                <w:szCs w:val="14"/>
                <w:lang w:eastAsia="en-US"/>
              </w:rPr>
            </w:pPr>
          </w:p>
          <w:p w14:paraId="24EB5253" w14:textId="77777777" w:rsidR="0039798F" w:rsidRDefault="0039798F" w:rsidP="00B21723">
            <w:pPr>
              <w:spacing w:after="60"/>
              <w:rPr>
                <w:rFonts w:eastAsia="Calibri" w:cs="Arial"/>
                <w:sz w:val="14"/>
                <w:szCs w:val="14"/>
                <w:lang w:eastAsia="en-US"/>
              </w:rPr>
            </w:pPr>
          </w:p>
          <w:p w14:paraId="6D567402" w14:textId="68E899D0" w:rsidR="00F558D9" w:rsidRPr="00BF05F3" w:rsidRDefault="00F558D9" w:rsidP="00B21723">
            <w:pPr>
              <w:spacing w:after="60"/>
              <w:rPr>
                <w:rFonts w:eastAsia="Calibri" w:cs="Arial"/>
                <w:sz w:val="14"/>
                <w:szCs w:val="14"/>
                <w:lang w:eastAsia="en-US"/>
              </w:rPr>
            </w:pPr>
            <w:r>
              <w:rPr>
                <w:rFonts w:eastAsia="Calibri" w:cs="Arial"/>
                <w:sz w:val="14"/>
                <w:szCs w:val="14"/>
                <w:lang w:eastAsia="en-US"/>
              </w:rPr>
              <w:t xml:space="preserve">Yes — </w:t>
            </w:r>
            <w:hyperlink r:id="rId170" w:history="1">
              <w:r w:rsidRPr="00AA7E62">
                <w:rPr>
                  <w:rStyle w:val="Hyperlink"/>
                  <w:rFonts w:eastAsia="Calibri" w:cs="Arial"/>
                  <w:sz w:val="14"/>
                  <w:szCs w:val="14"/>
                  <w:lang w:eastAsia="en-US"/>
                </w:rPr>
                <w:t>s6(1)</w:t>
              </w:r>
              <w:r w:rsidR="00AA7E62" w:rsidRPr="00AA7E62">
                <w:rPr>
                  <w:rStyle w:val="Hyperlink"/>
                  <w:rFonts w:eastAsia="Calibri" w:cs="Arial"/>
                  <w:sz w:val="14"/>
                  <w:szCs w:val="14"/>
                  <w:lang w:eastAsia="en-US"/>
                </w:rPr>
                <w:t>(</w:t>
              </w:r>
              <w:r w:rsidRPr="00AA7E62">
                <w:rPr>
                  <w:rStyle w:val="Hyperlink"/>
                  <w:rFonts w:eastAsia="Calibri" w:cs="Arial"/>
                  <w:sz w:val="14"/>
                  <w:szCs w:val="14"/>
                  <w:lang w:eastAsia="en-US"/>
                </w:rPr>
                <w:t>d)</w:t>
              </w:r>
            </w:hyperlink>
          </w:p>
        </w:tc>
        <w:tc>
          <w:tcPr>
            <w:tcW w:w="3402" w:type="dxa"/>
            <w:shd w:val="clear" w:color="auto" w:fill="FFC9C9"/>
            <w:tcMar>
              <w:top w:w="80" w:type="dxa"/>
              <w:left w:w="80" w:type="dxa"/>
              <w:bottom w:w="80" w:type="dxa"/>
              <w:right w:w="80" w:type="dxa"/>
            </w:tcMar>
          </w:tcPr>
          <w:p w14:paraId="35BD3F26" w14:textId="77777777" w:rsidR="00F558D9" w:rsidRDefault="00F558D9" w:rsidP="00B21723">
            <w:pPr>
              <w:spacing w:after="60"/>
              <w:rPr>
                <w:rFonts w:eastAsia="Calibri" w:cs="Arial"/>
                <w:sz w:val="14"/>
                <w:szCs w:val="14"/>
                <w:lang w:eastAsia="en-US"/>
              </w:rPr>
            </w:pPr>
          </w:p>
          <w:p w14:paraId="382C6D98" w14:textId="40B8C309" w:rsid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71" w:history="1">
              <w:r w:rsidRPr="00AA7E62">
                <w:rPr>
                  <w:rStyle w:val="Hyperlink"/>
                  <w:rFonts w:eastAsia="Calibri" w:cs="Arial"/>
                  <w:sz w:val="14"/>
                  <w:szCs w:val="14"/>
                  <w:lang w:eastAsia="en-US"/>
                </w:rPr>
                <w:t>s27</w:t>
              </w:r>
            </w:hyperlink>
          </w:p>
          <w:p w14:paraId="1946C66A" w14:textId="77777777" w:rsidR="0039798F" w:rsidRDefault="0039798F" w:rsidP="00B21723">
            <w:pPr>
              <w:spacing w:after="60"/>
              <w:rPr>
                <w:rFonts w:eastAsia="Calibri" w:cs="Arial"/>
                <w:sz w:val="14"/>
                <w:szCs w:val="14"/>
                <w:lang w:eastAsia="en-US"/>
              </w:rPr>
            </w:pPr>
          </w:p>
          <w:p w14:paraId="1870687A" w14:textId="77777777" w:rsidR="0039798F" w:rsidRDefault="0039798F" w:rsidP="00B21723">
            <w:pPr>
              <w:spacing w:after="60"/>
              <w:rPr>
                <w:rFonts w:eastAsia="Calibri" w:cs="Arial"/>
                <w:sz w:val="14"/>
                <w:szCs w:val="14"/>
                <w:lang w:eastAsia="en-US"/>
              </w:rPr>
            </w:pPr>
          </w:p>
          <w:p w14:paraId="1C03E390" w14:textId="445C174B" w:rsidR="00F558D9" w:rsidRPr="00BF05F3" w:rsidRDefault="00F558D9" w:rsidP="00B21723">
            <w:pPr>
              <w:spacing w:after="60"/>
              <w:rPr>
                <w:rFonts w:eastAsia="Calibri" w:cs="Arial"/>
                <w:sz w:val="14"/>
                <w:szCs w:val="14"/>
                <w:lang w:eastAsia="en-US"/>
              </w:rPr>
            </w:pPr>
            <w:r>
              <w:rPr>
                <w:rFonts w:eastAsia="Calibri" w:cs="Arial"/>
                <w:sz w:val="14"/>
                <w:szCs w:val="14"/>
                <w:lang w:eastAsia="en-US"/>
              </w:rPr>
              <w:t xml:space="preserve">Yes — </w:t>
            </w:r>
            <w:hyperlink r:id="rId172" w:history="1">
              <w:r w:rsidRPr="00AA7E62">
                <w:rPr>
                  <w:rStyle w:val="Hyperlink"/>
                  <w:rFonts w:eastAsia="Calibri" w:cs="Arial"/>
                  <w:sz w:val="14"/>
                  <w:szCs w:val="14"/>
                  <w:lang w:eastAsia="en-US"/>
                </w:rPr>
                <w:t>s6(1)(b)</w:t>
              </w:r>
            </w:hyperlink>
          </w:p>
        </w:tc>
        <w:tc>
          <w:tcPr>
            <w:tcW w:w="3554" w:type="dxa"/>
            <w:shd w:val="clear" w:color="auto" w:fill="FFC9C9"/>
            <w:tcMar>
              <w:top w:w="80" w:type="dxa"/>
              <w:left w:w="80" w:type="dxa"/>
              <w:bottom w:w="80" w:type="dxa"/>
              <w:right w:w="80" w:type="dxa"/>
            </w:tcMar>
          </w:tcPr>
          <w:p w14:paraId="7CA872F4" w14:textId="77777777" w:rsidR="00F558D9" w:rsidRDefault="00F558D9" w:rsidP="00B21723">
            <w:pPr>
              <w:spacing w:after="60"/>
              <w:rPr>
                <w:rFonts w:eastAsia="Calibri" w:cs="Arial"/>
                <w:sz w:val="14"/>
                <w:szCs w:val="14"/>
                <w:lang w:eastAsia="en-US"/>
              </w:rPr>
            </w:pPr>
          </w:p>
          <w:p w14:paraId="654EE9FB" w14:textId="2972A3E7" w:rsid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3" w:history="1">
              <w:r w:rsidRPr="00AA7E62">
                <w:rPr>
                  <w:rStyle w:val="Hyperlink"/>
                  <w:rFonts w:eastAsia="Calibri" w:cs="Arial"/>
                  <w:sz w:val="14"/>
                  <w:szCs w:val="14"/>
                  <w:lang w:eastAsia="en-US"/>
                </w:rPr>
                <w:t>s27</w:t>
              </w:r>
            </w:hyperlink>
          </w:p>
          <w:p w14:paraId="4268F0C1" w14:textId="77777777" w:rsidR="0039798F" w:rsidRDefault="0039798F" w:rsidP="00B21723">
            <w:pPr>
              <w:spacing w:after="60"/>
              <w:rPr>
                <w:rFonts w:eastAsia="Calibri" w:cs="Arial"/>
                <w:sz w:val="14"/>
                <w:szCs w:val="14"/>
                <w:lang w:eastAsia="en-US"/>
              </w:rPr>
            </w:pPr>
          </w:p>
          <w:p w14:paraId="7810198D" w14:textId="77777777" w:rsidR="0039798F" w:rsidRDefault="0039798F" w:rsidP="00B21723">
            <w:pPr>
              <w:spacing w:after="60"/>
              <w:rPr>
                <w:rFonts w:eastAsia="Calibri" w:cs="Arial"/>
                <w:sz w:val="14"/>
                <w:szCs w:val="14"/>
                <w:lang w:eastAsia="en-US"/>
              </w:rPr>
            </w:pPr>
          </w:p>
          <w:p w14:paraId="5C3DC468" w14:textId="3D762256" w:rsidR="00F558D9" w:rsidRPr="00BF05F3" w:rsidRDefault="00F558D9" w:rsidP="00B21723">
            <w:pPr>
              <w:spacing w:after="60"/>
              <w:rPr>
                <w:rFonts w:eastAsia="Calibri" w:cs="Arial"/>
                <w:sz w:val="14"/>
                <w:szCs w:val="14"/>
                <w:lang w:eastAsia="en-US"/>
              </w:rPr>
            </w:pPr>
            <w:r>
              <w:rPr>
                <w:rFonts w:eastAsia="Calibri" w:cs="Arial"/>
                <w:sz w:val="14"/>
                <w:szCs w:val="14"/>
                <w:lang w:eastAsia="en-US"/>
              </w:rPr>
              <w:t>Yes, since 7 December 2011 (‘ordinary recess’)</w:t>
            </w:r>
          </w:p>
        </w:tc>
      </w:tr>
      <w:tr w:rsidR="00BF05F3" w:rsidRPr="00BF05F3" w14:paraId="7DEC5BAB" w14:textId="77777777" w:rsidTr="00FB729B">
        <w:tc>
          <w:tcPr>
            <w:tcW w:w="1666" w:type="dxa"/>
            <w:tcMar>
              <w:top w:w="80" w:type="dxa"/>
              <w:left w:w="80" w:type="dxa"/>
              <w:bottom w:w="80" w:type="dxa"/>
              <w:right w:w="80" w:type="dxa"/>
            </w:tcMar>
          </w:tcPr>
          <w:p w14:paraId="7181814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lastRenderedPageBreak/>
              <w:t>New Zealand</w:t>
            </w:r>
          </w:p>
        </w:tc>
        <w:tc>
          <w:tcPr>
            <w:tcW w:w="3437" w:type="dxa"/>
            <w:gridSpan w:val="2"/>
            <w:tcMar>
              <w:top w:w="80" w:type="dxa"/>
              <w:left w:w="80" w:type="dxa"/>
              <w:bottom w:w="80" w:type="dxa"/>
              <w:right w:w="80" w:type="dxa"/>
            </w:tcMar>
          </w:tcPr>
          <w:p w14:paraId="65DF705C" w14:textId="0875D5EA" w:rsidR="00BF05F3" w:rsidRPr="006D2087" w:rsidRDefault="00BF05F3" w:rsidP="00B21723">
            <w:pPr>
              <w:spacing w:after="60"/>
              <w:rPr>
                <w:rFonts w:eastAsia="Calibri" w:cs="Arial"/>
                <w:i/>
                <w:sz w:val="14"/>
                <w:szCs w:val="14"/>
                <w:lang w:eastAsia="en-US"/>
              </w:rPr>
            </w:pPr>
            <w:r w:rsidRPr="00BF05F3">
              <w:rPr>
                <w:rFonts w:eastAsia="Calibri" w:cs="Arial"/>
                <w:sz w:val="14"/>
                <w:szCs w:val="14"/>
                <w:lang w:eastAsia="en-US"/>
              </w:rPr>
              <w:t>Yes, some restriction</w:t>
            </w:r>
            <w:r w:rsidR="00DD0D68">
              <w:rPr>
                <w:rFonts w:eastAsia="Calibri" w:cs="Arial"/>
                <w:sz w:val="14"/>
                <w:szCs w:val="14"/>
                <w:lang w:eastAsia="en-US"/>
              </w:rPr>
              <w:t xml:space="preserve">s — </w:t>
            </w:r>
            <w:hyperlink r:id="rId174" w:history="1">
              <w:r w:rsidR="00DD0D68" w:rsidRPr="003B2998">
                <w:rPr>
                  <w:rStyle w:val="Hyperlink"/>
                  <w:rFonts w:eastAsia="Calibri" w:cs="Arial"/>
                  <w:sz w:val="14"/>
                  <w:szCs w:val="14"/>
                  <w:lang w:eastAsia="en-US"/>
                </w:rPr>
                <w:t>s28(1)(c)</w:t>
              </w:r>
            </w:hyperlink>
            <w:r w:rsidR="006D2087">
              <w:rPr>
                <w:rFonts w:eastAsia="Calibri" w:cs="Arial"/>
                <w:sz w:val="14"/>
                <w:szCs w:val="14"/>
                <w:lang w:eastAsia="en-US"/>
              </w:rPr>
              <w:t xml:space="preserve">, </w:t>
            </w:r>
            <w:r w:rsidR="006D2087">
              <w:rPr>
                <w:rFonts w:eastAsia="Calibri" w:cs="Arial"/>
                <w:i/>
                <w:sz w:val="14"/>
                <w:szCs w:val="14"/>
                <w:lang w:eastAsia="en-US"/>
              </w:rPr>
              <w:t>Accident Compensation Act 2001</w:t>
            </w:r>
          </w:p>
        </w:tc>
        <w:tc>
          <w:tcPr>
            <w:tcW w:w="3402" w:type="dxa"/>
            <w:tcMar>
              <w:top w:w="80" w:type="dxa"/>
              <w:left w:w="80" w:type="dxa"/>
              <w:bottom w:w="80" w:type="dxa"/>
              <w:right w:w="80" w:type="dxa"/>
            </w:tcMar>
          </w:tcPr>
          <w:p w14:paraId="47E667DE" w14:textId="67992AF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5" w:history="1">
              <w:r w:rsidRPr="003B2998">
                <w:rPr>
                  <w:rStyle w:val="Hyperlink"/>
                  <w:rFonts w:eastAsia="Calibri" w:cs="Arial"/>
                  <w:sz w:val="14"/>
                  <w:szCs w:val="14"/>
                  <w:lang w:eastAsia="en-US"/>
                </w:rPr>
                <w:t>s28(1)(a)</w:t>
              </w:r>
            </w:hyperlink>
          </w:p>
        </w:tc>
        <w:tc>
          <w:tcPr>
            <w:tcW w:w="3402" w:type="dxa"/>
            <w:tcMar>
              <w:top w:w="80" w:type="dxa"/>
              <w:left w:w="80" w:type="dxa"/>
              <w:bottom w:w="80" w:type="dxa"/>
              <w:right w:w="80" w:type="dxa"/>
            </w:tcMar>
          </w:tcPr>
          <w:p w14:paraId="6D2B7F72" w14:textId="43CCC946"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6" w:history="1">
              <w:r w:rsidRPr="003B2998">
                <w:rPr>
                  <w:rStyle w:val="Hyperlink"/>
                  <w:rFonts w:eastAsia="Calibri" w:cs="Arial"/>
                  <w:sz w:val="14"/>
                  <w:szCs w:val="14"/>
                  <w:lang w:eastAsia="en-US"/>
                </w:rPr>
                <w:t>s28(1)(b)</w:t>
              </w:r>
            </w:hyperlink>
          </w:p>
        </w:tc>
        <w:tc>
          <w:tcPr>
            <w:tcW w:w="3554" w:type="dxa"/>
            <w:tcMar>
              <w:top w:w="80" w:type="dxa"/>
              <w:left w:w="80" w:type="dxa"/>
              <w:bottom w:w="80" w:type="dxa"/>
              <w:right w:w="80" w:type="dxa"/>
            </w:tcMar>
          </w:tcPr>
          <w:p w14:paraId="38C5236A" w14:textId="73732556"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Yes, some restrictions</w:t>
            </w:r>
          </w:p>
        </w:tc>
      </w:tr>
    </w:tbl>
    <w:p w14:paraId="310DB638" w14:textId="7F743694" w:rsidR="0025506E" w:rsidRPr="00A80282" w:rsidRDefault="00BF05F3" w:rsidP="004F360B">
      <w:pPr>
        <w:pStyle w:val="SWATableheader"/>
      </w:pPr>
      <w:bookmarkStart w:id="50" w:name="_Toc504654641"/>
      <w:bookmarkStart w:id="51" w:name="definition"/>
      <w:r w:rsidRPr="00A80282">
        <w:rPr>
          <w:rStyle w:val="SWATableheaderChar"/>
          <w:b/>
        </w:rPr>
        <w:lastRenderedPageBreak/>
        <w:t>Table 2.4d: Definition of injury and employment contribution</w:t>
      </w:r>
      <w:bookmarkEnd w:id="50"/>
      <w:r w:rsidRPr="00A80282">
        <w:t xml:space="preserve"> </w:t>
      </w:r>
      <w:r w:rsidR="0025506E" w:rsidRPr="00A80282">
        <w:fldChar w:fldCharType="begin"/>
      </w:r>
      <w:r w:rsidR="0025506E" w:rsidRPr="00A80282">
        <w:instrText xml:space="preserve"> XE "employment as a contributing factor to injury" \r "definition" </w:instrText>
      </w:r>
      <w:r w:rsidR="0025506E" w:rsidRPr="00A80282">
        <w:fldChar w:fldCharType="end"/>
      </w:r>
      <w:r w:rsidR="005E71F1" w:rsidRPr="00A80282">
        <w:fldChar w:fldCharType="begin"/>
      </w:r>
      <w:r w:rsidR="005E71F1" w:rsidRPr="00A80282">
        <w:instrText xml:space="preserve"> XE "injury:definition of injury and relationship to employment" \r "definition" </w:instrText>
      </w:r>
      <w:r w:rsidR="005E71F1" w:rsidRPr="00A80282">
        <w:fldChar w:fldCharType="end"/>
      </w:r>
      <w:r w:rsidR="005E71F1"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d: Definition of injury and employment contribution "/>
        <w:tblDescription w:val="This table outlines the definition of injury and employment contribution under the workers' compensation schemes. "/>
      </w:tblPr>
      <w:tblGrid>
        <w:gridCol w:w="1587"/>
        <w:gridCol w:w="6894"/>
        <w:gridCol w:w="6895"/>
      </w:tblGrid>
      <w:tr w:rsidR="00BF05F3" w:rsidRPr="00BF05F3" w14:paraId="06CE5465" w14:textId="77777777" w:rsidTr="00FB729B">
        <w:trPr>
          <w:tblHeader/>
        </w:trPr>
        <w:tc>
          <w:tcPr>
            <w:tcW w:w="1587" w:type="dxa"/>
            <w:shd w:val="clear" w:color="auto" w:fill="C00000"/>
            <w:tcMar>
              <w:top w:w="0" w:type="dxa"/>
              <w:left w:w="0" w:type="dxa"/>
              <w:bottom w:w="0" w:type="dxa"/>
              <w:right w:w="0" w:type="dxa"/>
            </w:tcMar>
            <w:vAlign w:val="center"/>
          </w:tcPr>
          <w:p w14:paraId="2E6D247C" w14:textId="77777777" w:rsidR="00BF05F3" w:rsidRPr="00BF05F3" w:rsidRDefault="00BF05F3" w:rsidP="00B21723">
            <w:pPr>
              <w:spacing w:after="60"/>
              <w:rPr>
                <w:rFonts w:eastAsia="Calibri" w:cs="Arial"/>
                <w:b/>
                <w:color w:val="FFFFFF"/>
                <w:sz w:val="18"/>
                <w:szCs w:val="18"/>
                <w:lang w:eastAsia="en-US"/>
              </w:rPr>
            </w:pPr>
          </w:p>
        </w:tc>
        <w:tc>
          <w:tcPr>
            <w:tcW w:w="6894" w:type="dxa"/>
            <w:shd w:val="clear" w:color="auto" w:fill="C00000"/>
            <w:tcMar>
              <w:top w:w="0" w:type="dxa"/>
              <w:left w:w="0" w:type="dxa"/>
              <w:bottom w:w="0" w:type="dxa"/>
              <w:right w:w="0" w:type="dxa"/>
            </w:tcMar>
            <w:vAlign w:val="center"/>
          </w:tcPr>
          <w:p w14:paraId="2C1D6E22" w14:textId="68706B09"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Definition of injury and relationship to employment</w:t>
            </w:r>
            <w:r w:rsidR="00184441">
              <w:rPr>
                <w:rFonts w:eastAsia="Calibri" w:cs="Arial"/>
                <w:b/>
                <w:color w:val="FFFFFF"/>
                <w:sz w:val="18"/>
                <w:szCs w:val="18"/>
                <w:lang w:eastAsia="en-US"/>
              </w:rPr>
              <w:fldChar w:fldCharType="begin"/>
            </w:r>
            <w:r w:rsidR="00184441">
              <w:instrText xml:space="preserve"> XE "</w:instrText>
            </w:r>
            <w:r w:rsidR="00184441" w:rsidRPr="00A4729D">
              <w:instrText>coverage of workers:definition of injury and relationship to employment</w:instrText>
            </w:r>
            <w:r w:rsidR="00184441">
              <w:instrText xml:space="preserve">" \r "definition" </w:instrText>
            </w:r>
            <w:r w:rsidR="00184441">
              <w:rPr>
                <w:rFonts w:eastAsia="Calibri" w:cs="Arial"/>
                <w:b/>
                <w:color w:val="FFFFFF"/>
                <w:sz w:val="18"/>
                <w:szCs w:val="18"/>
                <w:lang w:eastAsia="en-US"/>
              </w:rPr>
              <w:fldChar w:fldCharType="end"/>
            </w:r>
          </w:p>
        </w:tc>
        <w:tc>
          <w:tcPr>
            <w:tcW w:w="6895" w:type="dxa"/>
            <w:shd w:val="clear" w:color="auto" w:fill="C00000"/>
            <w:tcMar>
              <w:top w:w="0" w:type="dxa"/>
              <w:left w:w="0" w:type="dxa"/>
              <w:bottom w:w="0" w:type="dxa"/>
              <w:right w:w="0" w:type="dxa"/>
            </w:tcMar>
            <w:vAlign w:val="center"/>
          </w:tcPr>
          <w:p w14:paraId="0016D3F7"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Contribution of employment to injury</w:t>
            </w:r>
          </w:p>
        </w:tc>
      </w:tr>
      <w:tr w:rsidR="00BF05F3" w:rsidRPr="00BF05F3" w14:paraId="2AAE74EB" w14:textId="77777777" w:rsidTr="00FB729B">
        <w:tc>
          <w:tcPr>
            <w:tcW w:w="1587" w:type="dxa"/>
            <w:shd w:val="clear" w:color="auto" w:fill="FFC9C9"/>
            <w:tcMar>
              <w:top w:w="80" w:type="dxa"/>
              <w:left w:w="80" w:type="dxa"/>
              <w:bottom w:w="80" w:type="dxa"/>
              <w:right w:w="80" w:type="dxa"/>
            </w:tcMar>
          </w:tcPr>
          <w:p w14:paraId="348859DF"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South Wales</w:t>
            </w:r>
          </w:p>
        </w:tc>
        <w:tc>
          <w:tcPr>
            <w:tcW w:w="6894" w:type="dxa"/>
            <w:shd w:val="clear" w:color="auto" w:fill="FFC9C9"/>
            <w:tcMar>
              <w:top w:w="80" w:type="dxa"/>
              <w:left w:w="80" w:type="dxa"/>
              <w:bottom w:w="80" w:type="dxa"/>
              <w:right w:w="80" w:type="dxa"/>
            </w:tcMar>
          </w:tcPr>
          <w:p w14:paraId="4BFBD7FE" w14:textId="77777777" w:rsidR="006A50D4" w:rsidRDefault="006937E7" w:rsidP="00B21723">
            <w:pPr>
              <w:spacing w:after="60"/>
              <w:rPr>
                <w:rFonts w:eastAsia="Calibri" w:cs="Arial"/>
                <w:sz w:val="14"/>
                <w:szCs w:val="14"/>
                <w:lang w:eastAsia="en-US"/>
              </w:rPr>
            </w:pPr>
            <w:r w:rsidRPr="006937E7">
              <w:rPr>
                <w:rFonts w:eastAsia="Calibri" w:cs="Arial"/>
                <w:b/>
                <w:bCs/>
                <w:iCs/>
                <w:sz w:val="14"/>
                <w:szCs w:val="14"/>
                <w:lang w:eastAsia="en-US"/>
              </w:rPr>
              <w:t>injury</w:t>
            </w:r>
            <w:r w:rsidRPr="006937E7">
              <w:rPr>
                <w:rFonts w:eastAsia="Calibri" w:cs="Arial"/>
                <w:sz w:val="14"/>
                <w:szCs w:val="14"/>
                <w:lang w:eastAsia="en-US"/>
              </w:rPr>
              <w:t>:</w:t>
            </w:r>
          </w:p>
          <w:p w14:paraId="2D288063" w14:textId="3FC919D0" w:rsidR="006937E7" w:rsidRPr="00180BD8" w:rsidRDefault="006937E7" w:rsidP="00F839DB">
            <w:pPr>
              <w:numPr>
                <w:ilvl w:val="0"/>
                <w:numId w:val="526"/>
              </w:numPr>
              <w:spacing w:after="60"/>
              <w:contextualSpacing/>
              <w:rPr>
                <w:rFonts w:eastAsia="Calibri" w:cs="Arial"/>
                <w:sz w:val="14"/>
                <w:szCs w:val="14"/>
                <w:lang w:eastAsia="en-US"/>
              </w:rPr>
            </w:pPr>
            <w:r w:rsidRPr="00180BD8">
              <w:rPr>
                <w:rFonts w:eastAsia="Calibri" w:cs="Arial"/>
                <w:sz w:val="14"/>
                <w:szCs w:val="14"/>
                <w:lang w:eastAsia="en-US"/>
              </w:rPr>
              <w:t>means personal injury arising out of or in the course of employment,</w:t>
            </w:r>
          </w:p>
          <w:p w14:paraId="05D2198E" w14:textId="66654700" w:rsidR="006937E7" w:rsidRPr="00180BD8" w:rsidRDefault="006937E7" w:rsidP="00F839DB">
            <w:pPr>
              <w:pStyle w:val="ListParagraph"/>
              <w:numPr>
                <w:ilvl w:val="0"/>
                <w:numId w:val="526"/>
              </w:numPr>
              <w:spacing w:after="60"/>
              <w:rPr>
                <w:rFonts w:eastAsia="Calibri" w:cs="Arial"/>
                <w:sz w:val="14"/>
                <w:szCs w:val="14"/>
                <w:lang w:eastAsia="en-US"/>
              </w:rPr>
            </w:pPr>
            <w:r w:rsidRPr="00180BD8">
              <w:rPr>
                <w:rFonts w:eastAsia="Calibri" w:cs="Arial"/>
                <w:sz w:val="14"/>
                <w:szCs w:val="14"/>
                <w:lang w:eastAsia="en-US"/>
              </w:rPr>
              <w:t>includes a </w:t>
            </w:r>
            <w:r w:rsidRPr="00180BD8">
              <w:rPr>
                <w:rFonts w:eastAsia="Calibri" w:cs="Arial"/>
                <w:b/>
                <w:bCs/>
                <w:i/>
                <w:iCs/>
                <w:sz w:val="14"/>
                <w:szCs w:val="14"/>
                <w:lang w:eastAsia="en-US"/>
              </w:rPr>
              <w:t>disease injury</w:t>
            </w:r>
            <w:r w:rsidRPr="00180BD8">
              <w:rPr>
                <w:rFonts w:eastAsia="Calibri" w:cs="Arial"/>
                <w:sz w:val="14"/>
                <w:szCs w:val="14"/>
                <w:lang w:eastAsia="en-US"/>
              </w:rPr>
              <w:t>, which means:</w:t>
            </w:r>
          </w:p>
          <w:p w14:paraId="682B09EA" w14:textId="11FBFE31" w:rsidR="006937E7" w:rsidRPr="006937E7" w:rsidRDefault="006937E7" w:rsidP="00F839DB">
            <w:pPr>
              <w:pStyle w:val="ListParagraph"/>
              <w:numPr>
                <w:ilvl w:val="0"/>
                <w:numId w:val="527"/>
              </w:numPr>
              <w:spacing w:after="60"/>
              <w:contextualSpacing/>
              <w:rPr>
                <w:rFonts w:eastAsia="Calibri" w:cs="Arial"/>
                <w:sz w:val="14"/>
                <w:szCs w:val="14"/>
                <w:lang w:eastAsia="en-US"/>
              </w:rPr>
            </w:pPr>
            <w:r w:rsidRPr="006937E7">
              <w:rPr>
                <w:rFonts w:eastAsia="Calibri" w:cs="Arial"/>
                <w:sz w:val="14"/>
                <w:szCs w:val="14"/>
                <w:lang w:eastAsia="en-US"/>
              </w:rPr>
              <w:t>a disease that is contracted by a worker in the course of employment but only if the employment wa</w:t>
            </w:r>
            <w:r w:rsidR="00180BD8">
              <w:rPr>
                <w:rFonts w:eastAsia="Calibri" w:cs="Arial"/>
                <w:sz w:val="14"/>
                <w:szCs w:val="14"/>
                <w:lang w:eastAsia="en-US"/>
              </w:rPr>
              <w:t xml:space="preserve">s </w:t>
            </w:r>
            <w:r w:rsidRPr="006937E7">
              <w:rPr>
                <w:rFonts w:eastAsia="Calibri" w:cs="Arial"/>
                <w:sz w:val="14"/>
                <w:szCs w:val="14"/>
                <w:lang w:eastAsia="en-US"/>
              </w:rPr>
              <w:t>the main contributing factor to contracting the disease, and</w:t>
            </w:r>
          </w:p>
          <w:p w14:paraId="56285217" w14:textId="67D7BEB4" w:rsidR="006937E7" w:rsidRPr="006937E7" w:rsidRDefault="006937E7" w:rsidP="00F839DB">
            <w:pPr>
              <w:pStyle w:val="ListParagraph"/>
              <w:numPr>
                <w:ilvl w:val="0"/>
                <w:numId w:val="527"/>
              </w:numPr>
              <w:spacing w:after="60"/>
              <w:contextualSpacing/>
              <w:rPr>
                <w:rFonts w:eastAsia="Calibri" w:cs="Arial"/>
                <w:sz w:val="14"/>
                <w:szCs w:val="14"/>
                <w:lang w:eastAsia="en-US"/>
              </w:rPr>
            </w:pPr>
            <w:r w:rsidRPr="006937E7">
              <w:rPr>
                <w:rFonts w:eastAsia="Calibri" w:cs="Arial"/>
                <w:sz w:val="14"/>
                <w:szCs w:val="14"/>
                <w:lang w:eastAsia="en-US"/>
              </w:rPr>
              <w:t>the aggravation, acceleration, exacerbation or deterioration in t</w:t>
            </w:r>
            <w:r w:rsidR="00180BD8">
              <w:rPr>
                <w:rFonts w:eastAsia="Calibri" w:cs="Arial"/>
                <w:sz w:val="14"/>
                <w:szCs w:val="14"/>
                <w:lang w:eastAsia="en-US"/>
              </w:rPr>
              <w:t xml:space="preserve">he course of employment of any </w:t>
            </w:r>
            <w:r w:rsidRPr="006937E7">
              <w:rPr>
                <w:rFonts w:eastAsia="Calibri" w:cs="Arial"/>
                <w:sz w:val="14"/>
                <w:szCs w:val="14"/>
                <w:lang w:eastAsia="en-US"/>
              </w:rPr>
              <w:t>disease, but only if the employment was the main contributing factor to the aggravation,</w:t>
            </w:r>
            <w:r w:rsidR="00180BD8">
              <w:rPr>
                <w:rFonts w:eastAsia="Calibri" w:cs="Arial"/>
                <w:sz w:val="14"/>
                <w:szCs w:val="14"/>
                <w:lang w:eastAsia="en-US"/>
              </w:rPr>
              <w:t xml:space="preserve"> acceleration, </w:t>
            </w:r>
            <w:r w:rsidRPr="006937E7">
              <w:rPr>
                <w:rFonts w:eastAsia="Calibri" w:cs="Arial"/>
                <w:sz w:val="14"/>
                <w:szCs w:val="14"/>
                <w:lang w:eastAsia="en-US"/>
              </w:rPr>
              <w:t>exacerbation or deterioration of the disease, and</w:t>
            </w:r>
          </w:p>
          <w:p w14:paraId="63E20E66" w14:textId="2EB34229" w:rsidR="006937E7" w:rsidRPr="00180BD8" w:rsidRDefault="00DD0D68" w:rsidP="00F839DB">
            <w:pPr>
              <w:pStyle w:val="ListParagraph"/>
              <w:numPr>
                <w:ilvl w:val="0"/>
                <w:numId w:val="526"/>
              </w:numPr>
              <w:spacing w:after="60"/>
              <w:rPr>
                <w:rFonts w:eastAsia="Calibri" w:cs="Arial"/>
                <w:sz w:val="14"/>
                <w:szCs w:val="14"/>
                <w:lang w:eastAsia="en-US"/>
              </w:rPr>
            </w:pPr>
            <w:r w:rsidRPr="00180BD8">
              <w:rPr>
                <w:rFonts w:eastAsia="Calibri" w:cs="Arial"/>
                <w:sz w:val="14"/>
                <w:szCs w:val="14"/>
                <w:lang w:eastAsia="en-US"/>
              </w:rPr>
              <w:t xml:space="preserve"> </w:t>
            </w:r>
            <w:r w:rsidR="006937E7" w:rsidRPr="00180BD8">
              <w:rPr>
                <w:rFonts w:eastAsia="Calibri" w:cs="Arial"/>
                <w:sz w:val="14"/>
                <w:szCs w:val="14"/>
                <w:lang w:eastAsia="en-US"/>
              </w:rPr>
              <w:t>does not include (except in the case of a worker employed in or about a mine) a dust disease</w:t>
            </w:r>
            <w:r w:rsidR="00C7036A" w:rsidRPr="00180BD8">
              <w:rPr>
                <w:rFonts w:eastAsia="Calibri" w:cs="Arial"/>
                <w:sz w:val="14"/>
                <w:szCs w:val="14"/>
                <w:lang w:eastAsia="en-US"/>
              </w:rPr>
              <w:fldChar w:fldCharType="begin"/>
            </w:r>
            <w:r w:rsidR="00C7036A">
              <w:instrText xml:space="preserve"> XE "</w:instrText>
            </w:r>
            <w:r w:rsidR="00C7036A" w:rsidRPr="001854C8">
              <w:instrText>dust diseases</w:instrText>
            </w:r>
            <w:r w:rsidR="00C7036A">
              <w:instrText xml:space="preserve">" </w:instrText>
            </w:r>
            <w:r w:rsidR="00C7036A" w:rsidRPr="00180BD8">
              <w:rPr>
                <w:rFonts w:eastAsia="Calibri" w:cs="Arial"/>
                <w:sz w:val="14"/>
                <w:szCs w:val="14"/>
                <w:lang w:eastAsia="en-US"/>
              </w:rPr>
              <w:fldChar w:fldCharType="end"/>
            </w:r>
            <w:r w:rsidR="006937E7" w:rsidRPr="00180BD8">
              <w:rPr>
                <w:rFonts w:eastAsia="Calibri" w:cs="Arial"/>
                <w:sz w:val="14"/>
                <w:szCs w:val="14"/>
                <w:lang w:eastAsia="en-US"/>
              </w:rPr>
              <w:t>, as defined by the </w:t>
            </w:r>
            <w:hyperlink r:id="rId177" w:anchor="/view/act/1942/14" w:history="1">
              <w:r w:rsidR="006937E7" w:rsidRPr="00180BD8">
                <w:rPr>
                  <w:rFonts w:eastAsia="Calibri" w:cs="Arial"/>
                  <w:i/>
                  <w:iCs/>
                  <w:color w:val="0000FF"/>
                  <w:sz w:val="14"/>
                  <w:szCs w:val="14"/>
                  <w:u w:val="single"/>
                  <w:lang w:eastAsia="en-US"/>
                </w:rPr>
                <w:t>Workers’ Compensation (Dust Diseases) Act 1942</w:t>
              </w:r>
            </w:hyperlink>
            <w:r w:rsidR="006937E7" w:rsidRPr="00180BD8">
              <w:rPr>
                <w:rFonts w:eastAsia="Calibri" w:cs="Arial"/>
                <w:sz w:val="14"/>
                <w:szCs w:val="14"/>
                <w:lang w:eastAsia="en-US"/>
              </w:rPr>
              <w:t>, or the aggravation, acceleration, exacerbation or deterioration of a dust disease, as so defined.</w:t>
            </w:r>
          </w:p>
          <w:p w14:paraId="724F5B48" w14:textId="05A5E44C" w:rsidR="00BF05F3" w:rsidRPr="006937E7" w:rsidRDefault="00A7538C" w:rsidP="00B21723">
            <w:pPr>
              <w:spacing w:after="60"/>
              <w:rPr>
                <w:rFonts w:eastAsia="Calibri" w:cs="Arial"/>
                <w:sz w:val="14"/>
                <w:szCs w:val="14"/>
                <w:lang w:eastAsia="en-US"/>
              </w:rPr>
            </w:pPr>
            <w:hyperlink r:id="rId178" w:history="1">
              <w:r w:rsidR="006937E7" w:rsidRPr="00ED16CB">
                <w:rPr>
                  <w:rStyle w:val="Hyperlink"/>
                  <w:rFonts w:eastAsia="Calibri" w:cs="Arial"/>
                  <w:sz w:val="14"/>
                  <w:szCs w:val="14"/>
                  <w:lang w:eastAsia="en-US"/>
                </w:rPr>
                <w:t>s4</w:t>
              </w:r>
            </w:hyperlink>
            <w:r w:rsidR="006937E7" w:rsidRPr="006937E7">
              <w:rPr>
                <w:rFonts w:eastAsia="Calibri" w:cs="Arial"/>
                <w:sz w:val="14"/>
                <w:szCs w:val="14"/>
                <w:lang w:eastAsia="en-US"/>
              </w:rPr>
              <w:t xml:space="preserve">, </w:t>
            </w:r>
            <w:r w:rsidR="00466121" w:rsidRPr="00466121">
              <w:rPr>
                <w:rFonts w:eastAsia="Calibri" w:cs="Arial"/>
                <w:i/>
                <w:sz w:val="14"/>
                <w:szCs w:val="14"/>
                <w:lang w:eastAsia="en-US"/>
              </w:rPr>
              <w:t>Workers Compensation Act 1987</w:t>
            </w:r>
            <w:r w:rsidR="006937E7" w:rsidRPr="006937E7">
              <w:rPr>
                <w:rFonts w:eastAsia="Calibri" w:cs="Arial"/>
                <w:sz w:val="14"/>
                <w:szCs w:val="14"/>
                <w:lang w:eastAsia="en-US"/>
              </w:rPr>
              <w:t>.</w:t>
            </w:r>
          </w:p>
        </w:tc>
        <w:tc>
          <w:tcPr>
            <w:tcW w:w="6895" w:type="dxa"/>
            <w:shd w:val="clear" w:color="auto" w:fill="FFC9C9"/>
            <w:tcMar>
              <w:top w:w="80" w:type="dxa"/>
              <w:left w:w="80" w:type="dxa"/>
              <w:bottom w:w="80" w:type="dxa"/>
              <w:right w:w="80" w:type="dxa"/>
            </w:tcMar>
          </w:tcPr>
          <w:p w14:paraId="696DDF80"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No compensation is payable under this Act in respect of an injury (other than a disease injury) unless the employment concerned was a substantial contributing factor to the injury.</w:t>
            </w:r>
          </w:p>
          <w:p w14:paraId="37242591" w14:textId="404B753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 </w:t>
            </w:r>
            <w:hyperlink r:id="rId179" w:history="1">
              <w:r w:rsidRPr="00ED16CB">
                <w:rPr>
                  <w:rStyle w:val="Hyperlink"/>
                  <w:rFonts w:eastAsia="Calibri" w:cs="Arial"/>
                  <w:sz w:val="14"/>
                  <w:szCs w:val="14"/>
                  <w:lang w:eastAsia="en-US"/>
                </w:rPr>
                <w:t>s9A (1)</w:t>
              </w:r>
            </w:hyperlink>
            <w:r w:rsidRPr="00BF05F3">
              <w:rPr>
                <w:rFonts w:eastAsia="Calibri" w:cs="Arial"/>
                <w:sz w:val="14"/>
                <w:szCs w:val="14"/>
                <w:lang w:eastAsia="en-US"/>
              </w:rPr>
              <w:t>, 1987 Act.</w:t>
            </w:r>
          </w:p>
          <w:p w14:paraId="00C1ED04" w14:textId="0C9A0C7F" w:rsidR="00BF05F3" w:rsidRPr="00BF05F3" w:rsidRDefault="00A7538C" w:rsidP="00B21723">
            <w:pPr>
              <w:spacing w:after="60"/>
              <w:rPr>
                <w:rFonts w:eastAsia="Calibri" w:cs="Arial"/>
                <w:sz w:val="14"/>
                <w:szCs w:val="14"/>
                <w:lang w:eastAsia="en-US"/>
              </w:rPr>
            </w:pPr>
            <w:hyperlink r:id="rId180" w:history="1">
              <w:r w:rsidR="00BF05F3" w:rsidRPr="00ED16CB">
                <w:rPr>
                  <w:rStyle w:val="Hyperlink"/>
                  <w:rFonts w:eastAsia="Calibri" w:cs="Arial"/>
                  <w:sz w:val="14"/>
                  <w:szCs w:val="14"/>
                  <w:lang w:eastAsia="en-US"/>
                </w:rPr>
                <w:t>s4</w:t>
              </w:r>
            </w:hyperlink>
            <w:r w:rsidR="00BF05F3" w:rsidRPr="00BF05F3">
              <w:rPr>
                <w:rFonts w:eastAsia="Calibri" w:cs="Arial"/>
                <w:sz w:val="14"/>
                <w:szCs w:val="14"/>
                <w:lang w:eastAsia="en-US"/>
              </w:rPr>
              <w:t xml:space="preserve">, </w:t>
            </w:r>
            <w:r w:rsidR="00466121" w:rsidRPr="00466121">
              <w:rPr>
                <w:rFonts w:eastAsia="Calibri" w:cs="Arial"/>
                <w:i/>
                <w:sz w:val="14"/>
                <w:szCs w:val="14"/>
                <w:lang w:eastAsia="en-US"/>
              </w:rPr>
              <w:t>Workplace Injury Management and Workers Compensation Act 1998</w:t>
            </w:r>
            <w:r w:rsidR="004B499F">
              <w:rPr>
                <w:rFonts w:eastAsia="Calibri" w:cs="Arial"/>
                <w:sz w:val="14"/>
                <w:szCs w:val="14"/>
                <w:lang w:eastAsia="en-US"/>
              </w:rPr>
              <w:t>.</w:t>
            </w:r>
          </w:p>
        </w:tc>
      </w:tr>
      <w:tr w:rsidR="00BF05F3" w:rsidRPr="00BF05F3" w14:paraId="770C3EDA" w14:textId="77777777" w:rsidTr="00FB729B">
        <w:tc>
          <w:tcPr>
            <w:tcW w:w="1587" w:type="dxa"/>
            <w:tcMar>
              <w:top w:w="80" w:type="dxa"/>
              <w:left w:w="80" w:type="dxa"/>
              <w:bottom w:w="80" w:type="dxa"/>
              <w:right w:w="80" w:type="dxa"/>
            </w:tcMar>
          </w:tcPr>
          <w:p w14:paraId="01C8134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Victoria</w:t>
            </w:r>
          </w:p>
        </w:tc>
        <w:tc>
          <w:tcPr>
            <w:tcW w:w="6894" w:type="dxa"/>
            <w:tcMar>
              <w:top w:w="80" w:type="dxa"/>
              <w:left w:w="80" w:type="dxa"/>
              <w:bottom w:w="80" w:type="dxa"/>
              <w:right w:w="80" w:type="dxa"/>
            </w:tcMar>
          </w:tcPr>
          <w:p w14:paraId="2BB90DF4" w14:textId="1494D68C" w:rsidR="00BF05F3" w:rsidRPr="003752A7" w:rsidRDefault="00BF05F3" w:rsidP="00B21723">
            <w:pPr>
              <w:spacing w:after="60"/>
              <w:rPr>
                <w:rFonts w:eastAsia="Calibri" w:cs="Arial"/>
                <w:sz w:val="14"/>
                <w:szCs w:val="14"/>
                <w:lang w:eastAsia="en-US"/>
              </w:rPr>
            </w:pPr>
            <w:r w:rsidRPr="00BF05F3">
              <w:rPr>
                <w:rFonts w:eastAsia="Calibri" w:cs="Arial"/>
                <w:sz w:val="14"/>
                <w:szCs w:val="14"/>
                <w:lang w:eastAsia="en-US"/>
              </w:rPr>
              <w:t>‘ . . . arising out of or in the course of, any employment . . .’ —</w:t>
            </w:r>
            <w:r w:rsidR="00DD0D68">
              <w:rPr>
                <w:rFonts w:eastAsia="Calibri" w:cs="Arial"/>
                <w:sz w:val="14"/>
                <w:szCs w:val="14"/>
                <w:lang w:eastAsia="en-US"/>
              </w:rPr>
              <w:t xml:space="preserve"> </w:t>
            </w:r>
            <w:hyperlink r:id="rId181" w:history="1">
              <w:r w:rsidRPr="00BF05F3">
                <w:rPr>
                  <w:rFonts w:eastAsia="Calibri" w:cs="Arial"/>
                  <w:color w:val="0000FF"/>
                  <w:sz w:val="14"/>
                  <w:szCs w:val="14"/>
                  <w:u w:val="single"/>
                  <w:lang w:eastAsia="en-US"/>
                </w:rPr>
                <w:t>s39(1)</w:t>
              </w:r>
            </w:hyperlink>
            <w:r w:rsidR="003752A7">
              <w:rPr>
                <w:rFonts w:eastAsia="Calibri" w:cs="Arial"/>
                <w:color w:val="0000FF"/>
                <w:sz w:val="14"/>
                <w:szCs w:val="14"/>
                <w:lang w:eastAsia="en-US"/>
              </w:rPr>
              <w:t xml:space="preserve">, </w:t>
            </w:r>
            <w:r w:rsidR="003752A7" w:rsidRPr="003752A7">
              <w:rPr>
                <w:rFonts w:eastAsia="Calibri" w:cs="Arial"/>
                <w:i/>
                <w:sz w:val="14"/>
                <w:szCs w:val="14"/>
                <w:lang w:eastAsia="en-US"/>
              </w:rPr>
              <w:t>Workplace Injury Rehabilitation and Compensation Act 2013</w:t>
            </w:r>
            <w:r w:rsidR="003752A7">
              <w:rPr>
                <w:rFonts w:eastAsia="Calibri" w:cs="Arial"/>
                <w:i/>
                <w:sz w:val="14"/>
                <w:szCs w:val="14"/>
                <w:lang w:eastAsia="en-US"/>
              </w:rPr>
              <w:t>.</w:t>
            </w:r>
          </w:p>
        </w:tc>
        <w:tc>
          <w:tcPr>
            <w:tcW w:w="6895" w:type="dxa"/>
            <w:tcMar>
              <w:top w:w="80" w:type="dxa"/>
              <w:left w:w="80" w:type="dxa"/>
              <w:bottom w:w="80" w:type="dxa"/>
              <w:right w:w="80" w:type="dxa"/>
            </w:tcMar>
          </w:tcPr>
          <w:p w14:paraId="75591F22" w14:textId="5F03964C"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Compensation is not payable in respect of the following injuries unless the worker’s employment was a significant contributing factor to the injury: a) a heart attack or stroke injury b) a disease contracted by a worker in the course of employment (whether at, or away from, the place of employment) c) a recurrence, aggravation, acceleration, exacerbation or deterioration of any pre-existing injury or disease — </w:t>
            </w:r>
            <w:hyperlink r:id="rId182" w:history="1">
              <w:r w:rsidRPr="00BF05F3">
                <w:rPr>
                  <w:rFonts w:eastAsia="Calibri" w:cs="Arial"/>
                  <w:color w:val="0000FF"/>
                  <w:sz w:val="14"/>
                  <w:szCs w:val="14"/>
                  <w:u w:val="single"/>
                  <w:lang w:eastAsia="en-US"/>
                </w:rPr>
                <w:t>s40(2)</w:t>
              </w:r>
            </w:hyperlink>
            <w:r w:rsidRPr="00BF05F3">
              <w:rPr>
                <w:rFonts w:eastAsia="Calibri" w:cs="Arial"/>
                <w:sz w:val="14"/>
                <w:szCs w:val="14"/>
                <w:lang w:eastAsia="en-US"/>
              </w:rPr>
              <w:t xml:space="preserve"> and </w:t>
            </w:r>
            <w:hyperlink r:id="rId183" w:history="1">
              <w:r w:rsidRPr="00BF05F3">
                <w:rPr>
                  <w:rFonts w:eastAsia="Calibri" w:cs="Arial"/>
                  <w:color w:val="0000FF"/>
                  <w:sz w:val="14"/>
                  <w:szCs w:val="14"/>
                  <w:u w:val="single"/>
                  <w:lang w:eastAsia="en-US"/>
                </w:rPr>
                <w:t>s40(3)</w:t>
              </w:r>
            </w:hyperlink>
            <w:r w:rsidR="008B24D1" w:rsidRPr="003752A7">
              <w:rPr>
                <w:rFonts w:eastAsia="Calibri" w:cs="Arial"/>
                <w:sz w:val="14"/>
                <w:szCs w:val="14"/>
                <w:lang w:eastAsia="en-US"/>
              </w:rPr>
              <w:t>.</w:t>
            </w:r>
          </w:p>
        </w:tc>
      </w:tr>
      <w:tr w:rsidR="00BF05F3" w:rsidRPr="00BF05F3" w14:paraId="21DB3694" w14:textId="77777777" w:rsidTr="00FB729B">
        <w:tc>
          <w:tcPr>
            <w:tcW w:w="1587" w:type="dxa"/>
            <w:shd w:val="clear" w:color="auto" w:fill="FFC9C9"/>
            <w:tcMar>
              <w:top w:w="80" w:type="dxa"/>
              <w:left w:w="80" w:type="dxa"/>
              <w:bottom w:w="80" w:type="dxa"/>
              <w:right w:w="80" w:type="dxa"/>
            </w:tcMar>
          </w:tcPr>
          <w:p w14:paraId="2BD439CB"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Queensland</w:t>
            </w:r>
          </w:p>
        </w:tc>
        <w:tc>
          <w:tcPr>
            <w:tcW w:w="6894" w:type="dxa"/>
            <w:shd w:val="clear" w:color="auto" w:fill="FFC9C9"/>
            <w:tcMar>
              <w:top w:w="80" w:type="dxa"/>
              <w:left w:w="80" w:type="dxa"/>
              <w:bottom w:w="80" w:type="dxa"/>
              <w:right w:w="80" w:type="dxa"/>
            </w:tcMar>
          </w:tcPr>
          <w:p w14:paraId="07B9D952" w14:textId="071231B4" w:rsidR="00BF05F3" w:rsidRPr="003752A7"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 . . . a personal injury arising out of, or in the course of, employment . . .’ — </w:t>
            </w:r>
            <w:hyperlink r:id="rId184" w:anchor="sec.32" w:history="1">
              <w:r w:rsidRPr="00BF05F3">
                <w:rPr>
                  <w:rFonts w:eastAsia="Calibri" w:cs="Arial"/>
                  <w:color w:val="0000FF"/>
                  <w:sz w:val="14"/>
                  <w:szCs w:val="14"/>
                  <w:u w:val="single"/>
                  <w:lang w:eastAsia="en-US"/>
                </w:rPr>
                <w:t>s32(1)</w:t>
              </w:r>
            </w:hyperlink>
            <w:r w:rsidR="003752A7">
              <w:rPr>
                <w:rFonts w:eastAsia="Calibri" w:cs="Arial"/>
                <w:sz w:val="14"/>
                <w:szCs w:val="14"/>
                <w:lang w:eastAsia="en-US"/>
              </w:rPr>
              <w:t xml:space="preserve">, </w:t>
            </w:r>
            <w:r w:rsidR="003752A7" w:rsidRPr="003752A7">
              <w:rPr>
                <w:rFonts w:eastAsia="Calibri" w:cs="Arial"/>
                <w:i/>
                <w:sz w:val="14"/>
                <w:szCs w:val="14"/>
                <w:lang w:eastAsia="en-US"/>
              </w:rPr>
              <w:t>Workers’ Compensation and Rehabilitation Act 2003</w:t>
            </w:r>
            <w:r w:rsidR="003361BC">
              <w:rPr>
                <w:rFonts w:eastAsia="Calibri" w:cs="Arial"/>
                <w:i/>
                <w:sz w:val="14"/>
                <w:szCs w:val="14"/>
                <w:lang w:eastAsia="en-US"/>
              </w:rPr>
              <w:t>.</w:t>
            </w:r>
          </w:p>
        </w:tc>
        <w:tc>
          <w:tcPr>
            <w:tcW w:w="6895" w:type="dxa"/>
            <w:shd w:val="clear" w:color="auto" w:fill="FFC9C9"/>
            <w:tcMar>
              <w:top w:w="80" w:type="dxa"/>
              <w:left w:w="80" w:type="dxa"/>
              <w:bottom w:w="80" w:type="dxa"/>
              <w:right w:w="80" w:type="dxa"/>
            </w:tcMar>
          </w:tcPr>
          <w:p w14:paraId="7FD2D795" w14:textId="49EF5A3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 significant contributing factor — </w:t>
            </w:r>
            <w:hyperlink r:id="rId185" w:anchor="sec.32" w:history="1">
              <w:r w:rsidR="008B68BD" w:rsidRPr="00BF05F3">
                <w:rPr>
                  <w:rFonts w:eastAsia="Calibri" w:cs="Arial"/>
                  <w:color w:val="0000FF"/>
                  <w:sz w:val="14"/>
                  <w:szCs w:val="14"/>
                  <w:u w:val="single"/>
                  <w:lang w:eastAsia="en-US"/>
                </w:rPr>
                <w:t>s32(1)</w:t>
              </w:r>
            </w:hyperlink>
          </w:p>
          <w:p w14:paraId="56A56331" w14:textId="172C93D1" w:rsidR="00BF05F3" w:rsidRPr="00BF05F3" w:rsidRDefault="00BF05F3" w:rsidP="00775B21">
            <w:pPr>
              <w:spacing w:after="60"/>
              <w:rPr>
                <w:rFonts w:eastAsia="Calibri" w:cs="Arial"/>
                <w:sz w:val="14"/>
                <w:szCs w:val="14"/>
                <w:lang w:eastAsia="en-US"/>
              </w:rPr>
            </w:pPr>
            <w:r w:rsidRPr="00BF05F3">
              <w:rPr>
                <w:rFonts w:eastAsia="Calibri" w:cs="Arial"/>
                <w:sz w:val="14"/>
                <w:szCs w:val="14"/>
                <w:lang w:eastAsia="en-US"/>
              </w:rPr>
              <w:t xml:space="preserve">For a psychiatric or psychological disorder, the major significant contributing factor </w:t>
            </w:r>
            <w:r w:rsidR="00775B21">
              <w:rPr>
                <w:rFonts w:eastAsia="Calibri" w:cs="Arial"/>
                <w:sz w:val="14"/>
                <w:szCs w:val="14"/>
                <w:lang w:eastAsia="en-US"/>
              </w:rPr>
              <w:t>—</w:t>
            </w:r>
            <w:r w:rsidRPr="00BF05F3">
              <w:rPr>
                <w:rFonts w:eastAsia="Calibri" w:cs="Arial"/>
                <w:sz w:val="14"/>
                <w:szCs w:val="14"/>
                <w:lang w:eastAsia="en-US"/>
              </w:rPr>
              <w:t xml:space="preserve"> </w:t>
            </w:r>
            <w:hyperlink r:id="rId186" w:anchor="sec.32" w:history="1">
              <w:r w:rsidR="008B68BD" w:rsidRPr="00BF05F3">
                <w:rPr>
                  <w:rFonts w:eastAsia="Calibri" w:cs="Arial"/>
                  <w:color w:val="0000FF"/>
                  <w:sz w:val="14"/>
                  <w:szCs w:val="14"/>
                  <w:u w:val="single"/>
                  <w:lang w:eastAsia="en-US"/>
                </w:rPr>
                <w:t>s32(1)</w:t>
              </w:r>
            </w:hyperlink>
            <w:r w:rsidR="008B24D1" w:rsidRPr="003752A7">
              <w:rPr>
                <w:rFonts w:eastAsia="Calibri" w:cs="Arial"/>
                <w:sz w:val="14"/>
                <w:szCs w:val="14"/>
                <w:lang w:eastAsia="en-US"/>
              </w:rPr>
              <w:t>.</w:t>
            </w:r>
          </w:p>
        </w:tc>
      </w:tr>
      <w:tr w:rsidR="00BF05F3" w:rsidRPr="00BF05F3" w14:paraId="08F9D319" w14:textId="77777777" w:rsidTr="00FB729B">
        <w:tc>
          <w:tcPr>
            <w:tcW w:w="1587" w:type="dxa"/>
            <w:tcMar>
              <w:top w:w="80" w:type="dxa"/>
              <w:left w:w="80" w:type="dxa"/>
              <w:bottom w:w="80" w:type="dxa"/>
              <w:right w:w="80" w:type="dxa"/>
            </w:tcMar>
          </w:tcPr>
          <w:p w14:paraId="71C99531"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Western Australia</w:t>
            </w:r>
          </w:p>
        </w:tc>
        <w:tc>
          <w:tcPr>
            <w:tcW w:w="6894" w:type="dxa"/>
            <w:tcMar>
              <w:top w:w="80" w:type="dxa"/>
              <w:left w:w="80" w:type="dxa"/>
              <w:bottom w:w="80" w:type="dxa"/>
              <w:right w:w="80" w:type="dxa"/>
            </w:tcMar>
          </w:tcPr>
          <w:p w14:paraId="5D6D794D" w14:textId="09CE7B3D" w:rsidR="00BF05F3" w:rsidRPr="00BF05F3" w:rsidRDefault="00BF05F3" w:rsidP="003752A7">
            <w:pPr>
              <w:spacing w:after="60"/>
              <w:rPr>
                <w:rFonts w:eastAsia="Calibri" w:cs="Arial"/>
                <w:sz w:val="14"/>
                <w:szCs w:val="14"/>
                <w:lang w:eastAsia="en-US"/>
              </w:rPr>
            </w:pPr>
            <w:r w:rsidRPr="00BF05F3">
              <w:rPr>
                <w:rFonts w:eastAsia="Calibri" w:cs="Arial"/>
                <w:sz w:val="14"/>
                <w:szCs w:val="14"/>
                <w:lang w:eastAsia="en-US"/>
              </w:rPr>
              <w:t xml:space="preserve">‘ . . . a personal injury by accident arising out of or in the course of the employment . .’— </w:t>
            </w:r>
            <w:hyperlink r:id="rId187" w:history="1">
              <w:r w:rsidRPr="00BF05F3">
                <w:rPr>
                  <w:rFonts w:eastAsia="Calibri" w:cs="Arial"/>
                  <w:color w:val="0000FF"/>
                  <w:sz w:val="14"/>
                  <w:szCs w:val="14"/>
                  <w:u w:val="single"/>
                  <w:lang w:eastAsia="en-US"/>
                </w:rPr>
                <w:t>s5</w:t>
              </w:r>
            </w:hyperlink>
            <w:r w:rsidR="003752A7">
              <w:rPr>
                <w:rFonts w:eastAsia="Calibri" w:cs="Arial"/>
                <w:sz w:val="14"/>
                <w:szCs w:val="14"/>
                <w:lang w:eastAsia="en-US"/>
              </w:rPr>
              <w:t xml:space="preserve">, </w:t>
            </w:r>
            <w:r w:rsidR="003752A7" w:rsidRPr="003752A7">
              <w:rPr>
                <w:rFonts w:eastAsia="Calibri" w:cs="Arial"/>
                <w:i/>
                <w:sz w:val="14"/>
                <w:szCs w:val="14"/>
                <w:lang w:eastAsia="en-US"/>
              </w:rPr>
              <w:t>Workers’ Compensation and Injury Management Act 1981</w:t>
            </w:r>
            <w:r w:rsidR="003752A7">
              <w:rPr>
                <w:rFonts w:eastAsia="Calibri" w:cs="Arial"/>
                <w:i/>
                <w:sz w:val="14"/>
                <w:szCs w:val="14"/>
                <w:lang w:eastAsia="en-US"/>
              </w:rPr>
              <w:t>.</w:t>
            </w:r>
          </w:p>
        </w:tc>
        <w:tc>
          <w:tcPr>
            <w:tcW w:w="6895" w:type="dxa"/>
            <w:tcMar>
              <w:top w:w="80" w:type="dxa"/>
              <w:left w:w="80" w:type="dxa"/>
              <w:bottom w:w="80" w:type="dxa"/>
              <w:right w:w="80" w:type="dxa"/>
            </w:tcMar>
          </w:tcPr>
          <w:p w14:paraId="4BD36C98" w14:textId="2DAB93B8"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Injury includes: a disease contracted by a worker in the course of his employment at or away from his place of employment and to which the employment was a contributing factor and contributed to a significant degree — </w:t>
            </w:r>
            <w:hyperlink r:id="rId188" w:history="1">
              <w:r w:rsidR="00FF0650" w:rsidRPr="00BF05F3">
                <w:rPr>
                  <w:rFonts w:eastAsia="Calibri" w:cs="Arial"/>
                  <w:color w:val="0000FF"/>
                  <w:sz w:val="14"/>
                  <w:szCs w:val="14"/>
                  <w:u w:val="single"/>
                  <w:lang w:eastAsia="en-US"/>
                </w:rPr>
                <w:t>s5</w:t>
              </w:r>
            </w:hyperlink>
            <w:r w:rsidR="00D712B3">
              <w:rPr>
                <w:rFonts w:eastAsia="Calibri" w:cs="Arial"/>
                <w:sz w:val="14"/>
                <w:szCs w:val="14"/>
                <w:lang w:eastAsia="en-US"/>
              </w:rPr>
              <w:t>.</w:t>
            </w:r>
          </w:p>
        </w:tc>
      </w:tr>
      <w:tr w:rsidR="00BF05F3" w:rsidRPr="00BF05F3" w14:paraId="1D15DD56" w14:textId="77777777" w:rsidTr="00FB729B">
        <w:tc>
          <w:tcPr>
            <w:tcW w:w="1587" w:type="dxa"/>
            <w:shd w:val="clear" w:color="auto" w:fill="FFC9C9"/>
            <w:tcMar>
              <w:top w:w="80" w:type="dxa"/>
              <w:left w:w="80" w:type="dxa"/>
              <w:bottom w:w="80" w:type="dxa"/>
              <w:right w:w="80" w:type="dxa"/>
            </w:tcMar>
          </w:tcPr>
          <w:p w14:paraId="73240B52"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South Australia</w:t>
            </w:r>
          </w:p>
        </w:tc>
        <w:tc>
          <w:tcPr>
            <w:tcW w:w="6894" w:type="dxa"/>
            <w:shd w:val="clear" w:color="auto" w:fill="FFC9C9"/>
            <w:tcMar>
              <w:top w:w="80" w:type="dxa"/>
              <w:left w:w="80" w:type="dxa"/>
              <w:bottom w:w="80" w:type="dxa"/>
              <w:right w:w="80" w:type="dxa"/>
            </w:tcMar>
          </w:tcPr>
          <w:p w14:paraId="48D32D31" w14:textId="06249D3F" w:rsidR="00BF05F3" w:rsidRPr="00BF05F3" w:rsidRDefault="00BF05F3" w:rsidP="00D712B3">
            <w:pPr>
              <w:spacing w:after="60"/>
              <w:rPr>
                <w:rFonts w:eastAsia="Calibri" w:cs="Arial"/>
                <w:sz w:val="14"/>
                <w:szCs w:val="14"/>
                <w:lang w:eastAsia="en-US"/>
              </w:rPr>
            </w:pPr>
            <w:r w:rsidRPr="00BF05F3">
              <w:rPr>
                <w:rFonts w:eastAsia="Calibri" w:cs="Arial"/>
                <w:sz w:val="14"/>
                <w:szCs w:val="14"/>
                <w:lang w:eastAsia="en-US"/>
              </w:rPr>
              <w:t xml:space="preserve">‘ . . . .injury if (and only if) it arises from employment’ — </w:t>
            </w:r>
            <w:hyperlink r:id="rId189" w:history="1">
              <w:r w:rsidRPr="00BF05F3">
                <w:rPr>
                  <w:rFonts w:eastAsia="Calibri" w:cs="Arial"/>
                  <w:color w:val="0000FF"/>
                  <w:sz w:val="14"/>
                  <w:szCs w:val="14"/>
                  <w:u w:val="single"/>
                  <w:lang w:eastAsia="en-US"/>
                </w:rPr>
                <w:t>s7</w:t>
              </w:r>
            </w:hyperlink>
            <w:r w:rsidR="00D712B3">
              <w:rPr>
                <w:rFonts w:eastAsia="Calibri" w:cs="Arial"/>
                <w:sz w:val="14"/>
                <w:szCs w:val="14"/>
                <w:lang w:eastAsia="en-US"/>
              </w:rPr>
              <w:t xml:space="preserve">, </w:t>
            </w:r>
            <w:r w:rsidR="00D712B3" w:rsidRPr="00D712B3">
              <w:rPr>
                <w:rFonts w:eastAsia="Calibri" w:cs="Arial"/>
                <w:i/>
                <w:sz w:val="14"/>
                <w:szCs w:val="14"/>
                <w:lang w:eastAsia="en-US"/>
              </w:rPr>
              <w:t>Return to Work Act 2014.</w:t>
            </w:r>
          </w:p>
        </w:tc>
        <w:tc>
          <w:tcPr>
            <w:tcW w:w="6895" w:type="dxa"/>
            <w:shd w:val="clear" w:color="auto" w:fill="FFC9C9"/>
            <w:tcMar>
              <w:top w:w="80" w:type="dxa"/>
              <w:left w:w="80" w:type="dxa"/>
              <w:bottom w:w="80" w:type="dxa"/>
              <w:right w:w="80" w:type="dxa"/>
            </w:tcMar>
          </w:tcPr>
          <w:p w14:paraId="687999EC" w14:textId="2F898B0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The </w:t>
            </w:r>
            <w:r w:rsidRPr="005D53E6">
              <w:rPr>
                <w:rFonts w:eastAsia="Calibri" w:cs="Arial"/>
                <w:i/>
                <w:sz w:val="14"/>
                <w:szCs w:val="14"/>
                <w:lang w:eastAsia="en-US"/>
              </w:rPr>
              <w:t>Return to Work Act 2014</w:t>
            </w:r>
            <w:r w:rsidRPr="00BF05F3">
              <w:rPr>
                <w:rFonts w:eastAsia="Calibri" w:cs="Arial"/>
                <w:sz w:val="14"/>
                <w:szCs w:val="14"/>
                <w:lang w:eastAsia="en-US"/>
              </w:rPr>
              <w:t xml:space="preserve"> applies to an injury if (and onl</w:t>
            </w:r>
            <w:r w:rsidR="00570C99">
              <w:rPr>
                <w:rFonts w:eastAsia="Calibri" w:cs="Arial"/>
                <w:sz w:val="14"/>
                <w:szCs w:val="14"/>
                <w:lang w:eastAsia="en-US"/>
              </w:rPr>
              <w:t>y if) it arises from employment —</w:t>
            </w:r>
            <w:r w:rsidRPr="00BF05F3">
              <w:rPr>
                <w:rFonts w:eastAsia="Calibri" w:cs="Arial"/>
                <w:sz w:val="14"/>
                <w:szCs w:val="14"/>
                <w:lang w:eastAsia="en-US"/>
              </w:rPr>
              <w:t xml:space="preserve"> </w:t>
            </w:r>
            <w:hyperlink r:id="rId190" w:history="1">
              <w:r w:rsidR="00570C99" w:rsidRPr="00BF05F3">
                <w:rPr>
                  <w:rFonts w:eastAsia="Calibri" w:cs="Arial"/>
                  <w:color w:val="0000FF"/>
                  <w:sz w:val="14"/>
                  <w:szCs w:val="14"/>
                  <w:u w:val="single"/>
                  <w:lang w:eastAsia="en-US"/>
                </w:rPr>
                <w:t>s7</w:t>
              </w:r>
            </w:hyperlink>
            <w:r w:rsidRPr="00BF05F3">
              <w:rPr>
                <w:rFonts w:eastAsia="Calibri" w:cs="Arial"/>
                <w:sz w:val="14"/>
                <w:szCs w:val="14"/>
                <w:lang w:eastAsia="en-US"/>
              </w:rPr>
              <w:t>.</w:t>
            </w:r>
            <w:r w:rsidR="00DD0D68">
              <w:rPr>
                <w:rFonts w:eastAsia="Calibri" w:cs="Arial"/>
                <w:sz w:val="14"/>
                <w:szCs w:val="14"/>
                <w:lang w:eastAsia="en-US"/>
              </w:rPr>
              <w:t xml:space="preserve"> </w:t>
            </w:r>
          </w:p>
          <w:p w14:paraId="1C12ECDF" w14:textId="067F9E05"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For psychological injuries to be compensable, employment must be ‘the si</w:t>
            </w:r>
            <w:r w:rsidR="00775B21">
              <w:rPr>
                <w:rFonts w:eastAsia="Calibri" w:cs="Arial"/>
                <w:sz w:val="14"/>
                <w:szCs w:val="14"/>
                <w:lang w:eastAsia="en-US"/>
              </w:rPr>
              <w:t xml:space="preserve">gnificant contributing cause.’ </w:t>
            </w:r>
            <w:hyperlink r:id="rId191" w:history="1">
              <w:r w:rsidR="00775B21" w:rsidRPr="00570C99">
                <w:rPr>
                  <w:rStyle w:val="Hyperlink"/>
                  <w:rFonts w:eastAsia="Calibri" w:cs="Arial"/>
                  <w:sz w:val="14"/>
                  <w:szCs w:val="14"/>
                  <w:lang w:eastAsia="en-US"/>
                </w:rPr>
                <w:t>s</w:t>
              </w:r>
              <w:r w:rsidRPr="00570C99">
                <w:rPr>
                  <w:rStyle w:val="Hyperlink"/>
                  <w:rFonts w:eastAsia="Calibri" w:cs="Arial"/>
                  <w:sz w:val="14"/>
                  <w:szCs w:val="14"/>
                  <w:lang w:eastAsia="en-US"/>
                </w:rPr>
                <w:t>7(2)(b)(i)</w:t>
              </w:r>
            </w:hyperlink>
            <w:r w:rsidR="008B24D1">
              <w:rPr>
                <w:rFonts w:eastAsia="Calibri" w:cs="Arial"/>
                <w:sz w:val="14"/>
                <w:szCs w:val="14"/>
                <w:lang w:eastAsia="en-US"/>
              </w:rPr>
              <w:t>.</w:t>
            </w:r>
          </w:p>
        </w:tc>
      </w:tr>
      <w:tr w:rsidR="00BF05F3" w:rsidRPr="00BF05F3" w14:paraId="2BCCC49A" w14:textId="77777777" w:rsidTr="00FB729B">
        <w:tc>
          <w:tcPr>
            <w:tcW w:w="1587" w:type="dxa"/>
            <w:tcMar>
              <w:top w:w="80" w:type="dxa"/>
              <w:left w:w="80" w:type="dxa"/>
              <w:bottom w:w="80" w:type="dxa"/>
              <w:right w:w="80" w:type="dxa"/>
            </w:tcMar>
          </w:tcPr>
          <w:p w14:paraId="6AD8FA2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Tasmania</w:t>
            </w:r>
          </w:p>
        </w:tc>
        <w:tc>
          <w:tcPr>
            <w:tcW w:w="6894" w:type="dxa"/>
            <w:tcMar>
              <w:top w:w="80" w:type="dxa"/>
              <w:left w:w="80" w:type="dxa"/>
              <w:bottom w:w="80" w:type="dxa"/>
              <w:right w:w="80" w:type="dxa"/>
            </w:tcMar>
          </w:tcPr>
          <w:p w14:paraId="210219DE" w14:textId="771B37A5" w:rsidR="00BF05F3" w:rsidRPr="00EA0ECE"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‘An injury, not being a disease, arising out of, or in the course of employment’— </w:t>
            </w:r>
            <w:hyperlink r:id="rId192" w:history="1">
              <w:r w:rsidRPr="00BF05F3">
                <w:rPr>
                  <w:rFonts w:eastAsia="Calibri" w:cs="Arial"/>
                  <w:color w:val="0000FF"/>
                  <w:sz w:val="14"/>
                  <w:szCs w:val="14"/>
                  <w:u w:val="single"/>
                  <w:lang w:eastAsia="en-US"/>
                </w:rPr>
                <w:t>s25(1)(a)</w:t>
              </w:r>
            </w:hyperlink>
            <w:r w:rsidR="00EA0ECE">
              <w:rPr>
                <w:rFonts w:eastAsia="Calibri" w:cs="Arial"/>
                <w:sz w:val="14"/>
                <w:szCs w:val="14"/>
                <w:lang w:eastAsia="en-US"/>
              </w:rPr>
              <w:t xml:space="preserve">, </w:t>
            </w:r>
            <w:r w:rsidR="00EA0ECE" w:rsidRPr="00EA0ECE">
              <w:rPr>
                <w:rFonts w:eastAsia="Calibri" w:cs="Arial"/>
                <w:i/>
                <w:sz w:val="14"/>
                <w:szCs w:val="14"/>
                <w:lang w:eastAsia="en-US"/>
              </w:rPr>
              <w:t>Workers Rehabilitation and Compensation Act 1988</w:t>
            </w:r>
            <w:r w:rsidR="00EA0ECE">
              <w:rPr>
                <w:rFonts w:eastAsia="Calibri" w:cs="Arial"/>
                <w:i/>
                <w:sz w:val="14"/>
                <w:szCs w:val="14"/>
                <w:lang w:eastAsia="en-US"/>
              </w:rPr>
              <w:t>.</w:t>
            </w:r>
          </w:p>
          <w:p w14:paraId="68A70FD2" w14:textId="621B3B9F"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‘an injury, which is a disease, to which his employment contributed to a substantial degree’ — </w:t>
            </w:r>
            <w:hyperlink r:id="rId193" w:history="1">
              <w:r w:rsidRPr="00BF05F3">
                <w:rPr>
                  <w:rFonts w:eastAsia="Calibri" w:cs="Arial"/>
                  <w:color w:val="0000FF"/>
                  <w:sz w:val="14"/>
                  <w:szCs w:val="14"/>
                  <w:u w:val="single"/>
                  <w:lang w:eastAsia="en-US"/>
                </w:rPr>
                <w:t>s25(1)(b)</w:t>
              </w:r>
            </w:hyperlink>
            <w:r w:rsidR="008B24D1" w:rsidRPr="00EA0ECE">
              <w:rPr>
                <w:rFonts w:eastAsia="Calibri" w:cs="Arial"/>
                <w:sz w:val="14"/>
                <w:szCs w:val="14"/>
                <w:lang w:eastAsia="en-US"/>
              </w:rPr>
              <w:t>.</w:t>
            </w:r>
          </w:p>
        </w:tc>
        <w:tc>
          <w:tcPr>
            <w:tcW w:w="6895" w:type="dxa"/>
            <w:tcMar>
              <w:top w:w="80" w:type="dxa"/>
              <w:left w:w="80" w:type="dxa"/>
              <w:bottom w:w="80" w:type="dxa"/>
              <w:right w:w="80" w:type="dxa"/>
            </w:tcMar>
          </w:tcPr>
          <w:p w14:paraId="6C16D1A4"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To a substantial degree, that is, employment is the ‘major or most significant factor’ (for diseases only) — </w:t>
            </w:r>
            <w:hyperlink r:id="rId194" w:history="1">
              <w:r w:rsidRPr="00BF05F3">
                <w:rPr>
                  <w:rFonts w:eastAsia="Calibri" w:cs="Arial"/>
                  <w:color w:val="0000FF"/>
                  <w:sz w:val="14"/>
                  <w:szCs w:val="14"/>
                  <w:u w:val="single"/>
                  <w:lang w:eastAsia="en-US"/>
                </w:rPr>
                <w:t>s3(2A)</w:t>
              </w:r>
            </w:hyperlink>
            <w:r w:rsidRPr="00BF05F3">
              <w:rPr>
                <w:rFonts w:eastAsia="Calibri" w:cs="Arial"/>
                <w:sz w:val="14"/>
                <w:szCs w:val="14"/>
                <w:lang w:eastAsia="en-US"/>
              </w:rPr>
              <w:t>.</w:t>
            </w:r>
          </w:p>
          <w:p w14:paraId="42755F10"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Employment being the major or most significant contributing factor is also a requirement in relation to injuries that are a recurrence, aggravation, acceleration, exacerbation or deterioration of any pre-existing injury or disease </w:t>
            </w:r>
            <w:hyperlink r:id="rId195" w:history="1">
              <w:r w:rsidRPr="00BF05F3">
                <w:rPr>
                  <w:rFonts w:eastAsia="Calibri" w:cs="Arial"/>
                  <w:color w:val="0000FF"/>
                  <w:sz w:val="14"/>
                  <w:szCs w:val="14"/>
                  <w:u w:val="single"/>
                  <w:lang w:eastAsia="en-US"/>
                </w:rPr>
                <w:t>(s3(1)</w:t>
              </w:r>
            </w:hyperlink>
            <w:r w:rsidRPr="00BF05F3">
              <w:rPr>
                <w:rFonts w:eastAsia="Calibri" w:cs="Arial"/>
                <w:sz w:val="14"/>
                <w:szCs w:val="14"/>
                <w:lang w:eastAsia="en-US"/>
              </w:rPr>
              <w:t xml:space="preserve"> — in definition of ‘injury’).</w:t>
            </w:r>
          </w:p>
        </w:tc>
      </w:tr>
      <w:tr w:rsidR="00BF05F3" w:rsidRPr="00BF05F3" w14:paraId="05D83E93" w14:textId="77777777" w:rsidTr="00FB729B">
        <w:tc>
          <w:tcPr>
            <w:tcW w:w="1587" w:type="dxa"/>
            <w:shd w:val="clear" w:color="auto" w:fill="FFC9C9"/>
            <w:tcMar>
              <w:top w:w="80" w:type="dxa"/>
              <w:left w:w="80" w:type="dxa"/>
              <w:bottom w:w="80" w:type="dxa"/>
              <w:right w:w="80" w:type="dxa"/>
            </w:tcMar>
          </w:tcPr>
          <w:p w14:paraId="699F0EF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Northern Territory</w:t>
            </w:r>
          </w:p>
        </w:tc>
        <w:tc>
          <w:tcPr>
            <w:tcW w:w="6894" w:type="dxa"/>
            <w:shd w:val="clear" w:color="auto" w:fill="FFC9C9"/>
            <w:tcMar>
              <w:top w:w="80" w:type="dxa"/>
              <w:left w:w="80" w:type="dxa"/>
              <w:bottom w:w="80" w:type="dxa"/>
              <w:right w:w="80" w:type="dxa"/>
            </w:tcMar>
          </w:tcPr>
          <w:p w14:paraId="160E6E28" w14:textId="5A45EFAA" w:rsidR="00BF05F3" w:rsidRPr="00FA04D5" w:rsidRDefault="00BF05F3" w:rsidP="00B21723">
            <w:pPr>
              <w:spacing w:after="60"/>
              <w:rPr>
                <w:rFonts w:eastAsia="Calibri" w:cs="Arial"/>
                <w:i/>
                <w:sz w:val="14"/>
                <w:szCs w:val="14"/>
                <w:lang w:eastAsia="en-US"/>
              </w:rPr>
            </w:pPr>
            <w:r w:rsidRPr="00BF05F3">
              <w:rPr>
                <w:rFonts w:eastAsia="Calibri" w:cs="Arial"/>
                <w:sz w:val="14"/>
                <w:szCs w:val="14"/>
                <w:lang w:eastAsia="en-US"/>
              </w:rPr>
              <w:t xml:space="preserve">‘ . . . a physical or mental injury . . . out of or in the course of employment . . .’ — </w:t>
            </w:r>
            <w:hyperlink r:id="rId196" w:history="1">
              <w:r w:rsidR="00E37A0D" w:rsidRPr="00CF07C9">
                <w:rPr>
                  <w:rStyle w:val="Hyperlink"/>
                  <w:rFonts w:eastAsia="Calibri" w:cs="Arial"/>
                  <w:sz w:val="14"/>
                  <w:szCs w:val="14"/>
                  <w:lang w:eastAsia="en-US"/>
                </w:rPr>
                <w:t>s3</w:t>
              </w:r>
              <w:r w:rsidRPr="00CF07C9">
                <w:rPr>
                  <w:rStyle w:val="Hyperlink"/>
                  <w:rFonts w:eastAsia="Calibri" w:cs="Arial"/>
                  <w:sz w:val="14"/>
                  <w:szCs w:val="14"/>
                  <w:lang w:eastAsia="en-US"/>
                </w:rPr>
                <w:t>A</w:t>
              </w:r>
            </w:hyperlink>
            <w:r w:rsidRPr="00BF05F3">
              <w:rPr>
                <w:rFonts w:eastAsia="Calibri" w:cs="Arial"/>
                <w:sz w:val="14"/>
                <w:szCs w:val="14"/>
                <w:lang w:eastAsia="en-US"/>
              </w:rPr>
              <w:t xml:space="preserve"> and </w:t>
            </w:r>
            <w:hyperlink r:id="rId197" w:history="1">
              <w:r w:rsidR="00E37A0D" w:rsidRPr="00CF07C9">
                <w:rPr>
                  <w:rStyle w:val="Hyperlink"/>
                  <w:rFonts w:eastAsia="Calibri" w:cs="Arial"/>
                  <w:sz w:val="14"/>
                  <w:szCs w:val="14"/>
                  <w:lang w:eastAsia="en-US"/>
                </w:rPr>
                <w:t>s4</w:t>
              </w:r>
            </w:hyperlink>
            <w:r w:rsidR="00FA04D5">
              <w:rPr>
                <w:rStyle w:val="Hyperlink"/>
                <w:rFonts w:eastAsia="Calibri" w:cs="Arial"/>
                <w:color w:val="auto"/>
                <w:sz w:val="14"/>
                <w:szCs w:val="14"/>
                <w:u w:val="none"/>
                <w:lang w:eastAsia="en-US"/>
              </w:rPr>
              <w:t xml:space="preserve">, </w:t>
            </w:r>
            <w:r w:rsidR="00FA04D5">
              <w:rPr>
                <w:rStyle w:val="Hyperlink"/>
                <w:rFonts w:eastAsia="Calibri" w:cs="Arial"/>
                <w:i/>
                <w:color w:val="auto"/>
                <w:sz w:val="14"/>
                <w:szCs w:val="14"/>
                <w:u w:val="none"/>
                <w:lang w:eastAsia="en-US"/>
              </w:rPr>
              <w:t>Return to Work Act</w:t>
            </w:r>
          </w:p>
        </w:tc>
        <w:tc>
          <w:tcPr>
            <w:tcW w:w="6895" w:type="dxa"/>
            <w:shd w:val="clear" w:color="auto" w:fill="FFC9C9"/>
            <w:tcMar>
              <w:top w:w="80" w:type="dxa"/>
              <w:left w:w="80" w:type="dxa"/>
              <w:bottom w:w="80" w:type="dxa"/>
              <w:right w:w="80" w:type="dxa"/>
            </w:tcMar>
          </w:tcPr>
          <w:p w14:paraId="42A4A622" w14:textId="660084A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Material contribution, (for diseases — </w:t>
            </w:r>
            <w:hyperlink r:id="rId198" w:history="1">
              <w:r w:rsidR="00E37A0D" w:rsidRPr="00CF07C9">
                <w:rPr>
                  <w:rStyle w:val="Hyperlink"/>
                  <w:rFonts w:eastAsia="Calibri" w:cs="Arial"/>
                  <w:sz w:val="14"/>
                  <w:szCs w:val="14"/>
                  <w:lang w:eastAsia="en-US"/>
                </w:rPr>
                <w:t>s4(6)</w:t>
              </w:r>
            </w:hyperlink>
            <w:r w:rsidRPr="00BF05F3">
              <w:rPr>
                <w:rFonts w:eastAsia="Calibri" w:cs="Arial"/>
                <w:sz w:val="14"/>
                <w:szCs w:val="14"/>
                <w:lang w:eastAsia="en-US"/>
              </w:rPr>
              <w:t xml:space="preserve"> and gradual process — </w:t>
            </w:r>
            <w:hyperlink r:id="rId199" w:history="1">
              <w:r w:rsidR="00E37A0D" w:rsidRPr="00570C99">
                <w:rPr>
                  <w:rStyle w:val="Hyperlink"/>
                  <w:rFonts w:eastAsia="Calibri" w:cs="Arial"/>
                  <w:sz w:val="14"/>
                  <w:szCs w:val="14"/>
                  <w:lang w:eastAsia="en-US"/>
                </w:rPr>
                <w:t>s4(5)</w:t>
              </w:r>
            </w:hyperlink>
            <w:r w:rsidRPr="00BF05F3">
              <w:rPr>
                <w:rFonts w:eastAsia="Calibri" w:cs="Arial"/>
                <w:sz w:val="14"/>
                <w:szCs w:val="14"/>
                <w:lang w:eastAsia="en-US"/>
              </w:rPr>
              <w:t xml:space="preserve"> that is employment was the real proximate or effective cause (</w:t>
            </w:r>
            <w:hyperlink r:id="rId200" w:history="1">
              <w:r w:rsidR="00E37A0D" w:rsidRPr="00570C99">
                <w:rPr>
                  <w:rStyle w:val="Hyperlink"/>
                  <w:rFonts w:eastAsia="Calibri" w:cs="Arial"/>
                  <w:sz w:val="14"/>
                  <w:szCs w:val="14"/>
                  <w:lang w:eastAsia="en-US"/>
                </w:rPr>
                <w:t>s</w:t>
              </w:r>
              <w:r w:rsidRPr="00570C99">
                <w:rPr>
                  <w:rStyle w:val="Hyperlink"/>
                  <w:rFonts w:eastAsia="Calibri" w:cs="Arial"/>
                  <w:sz w:val="14"/>
                  <w:szCs w:val="14"/>
                  <w:lang w:eastAsia="en-US"/>
                </w:rPr>
                <w:t>4(8)</w:t>
              </w:r>
            </w:hyperlink>
            <w:r w:rsidRPr="00BF05F3">
              <w:rPr>
                <w:rFonts w:eastAsia="Calibri" w:cs="Arial"/>
                <w:sz w:val="14"/>
                <w:szCs w:val="14"/>
                <w:lang w:eastAsia="en-US"/>
              </w:rPr>
              <w:t>)</w:t>
            </w:r>
          </w:p>
          <w:p w14:paraId="418649A2" w14:textId="01A2E3F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 mental injury is not an injury if due to management action taken on reasonable grounds and in a reasonable manner </w:t>
            </w:r>
            <w:r w:rsidR="00775B21">
              <w:rPr>
                <w:rFonts w:eastAsia="Calibri" w:cs="Arial"/>
                <w:sz w:val="14"/>
                <w:szCs w:val="14"/>
                <w:lang w:eastAsia="en-US"/>
              </w:rPr>
              <w:t>—</w:t>
            </w:r>
            <w:r w:rsidRPr="00BF05F3">
              <w:rPr>
                <w:rFonts w:eastAsia="Calibri" w:cs="Arial"/>
                <w:sz w:val="14"/>
                <w:szCs w:val="14"/>
                <w:lang w:eastAsia="en-US"/>
              </w:rPr>
              <w:t xml:space="preserve"> </w:t>
            </w:r>
            <w:hyperlink r:id="rId201" w:history="1">
              <w:r w:rsidRPr="00570C99">
                <w:rPr>
                  <w:rStyle w:val="Hyperlink"/>
                  <w:rFonts w:eastAsia="Calibri" w:cs="Arial"/>
                  <w:sz w:val="14"/>
                  <w:szCs w:val="14"/>
                  <w:lang w:eastAsia="en-US"/>
                </w:rPr>
                <w:t>s3A(2)</w:t>
              </w:r>
            </w:hyperlink>
            <w:r w:rsidRPr="00BF05F3">
              <w:rPr>
                <w:rFonts w:eastAsia="Calibri" w:cs="Arial"/>
                <w:sz w:val="14"/>
                <w:szCs w:val="14"/>
                <w:lang w:eastAsia="en-US"/>
              </w:rPr>
              <w:t xml:space="preserve">. See </w:t>
            </w:r>
            <w:hyperlink r:id="rId202" w:history="1">
              <w:r w:rsidRPr="00570C99">
                <w:rPr>
                  <w:rStyle w:val="Hyperlink"/>
                  <w:rFonts w:eastAsia="Calibri" w:cs="Arial"/>
                  <w:sz w:val="14"/>
                  <w:szCs w:val="14"/>
                  <w:lang w:eastAsia="en-US"/>
                </w:rPr>
                <w:t>s3(1)</w:t>
              </w:r>
            </w:hyperlink>
            <w:r w:rsidRPr="00BF05F3">
              <w:rPr>
                <w:rFonts w:eastAsia="Calibri" w:cs="Arial"/>
                <w:sz w:val="14"/>
                <w:szCs w:val="14"/>
                <w:lang w:eastAsia="en-US"/>
              </w:rPr>
              <w:t xml:space="preserve"> for definition of ‘management action</w:t>
            </w:r>
          </w:p>
          <w:p w14:paraId="57C3992D" w14:textId="24F7F6A4" w:rsidR="00BF05F3" w:rsidRPr="00BF05F3" w:rsidRDefault="00BF05F3" w:rsidP="00775B21">
            <w:pPr>
              <w:spacing w:after="60"/>
              <w:rPr>
                <w:rFonts w:eastAsia="Calibri" w:cs="Arial"/>
                <w:sz w:val="14"/>
                <w:szCs w:val="14"/>
                <w:lang w:eastAsia="en-US"/>
              </w:rPr>
            </w:pPr>
            <w:r w:rsidRPr="00BF05F3">
              <w:rPr>
                <w:rFonts w:eastAsia="Calibri" w:cs="Arial"/>
                <w:sz w:val="14"/>
                <w:szCs w:val="14"/>
                <w:lang w:eastAsia="en-US"/>
              </w:rPr>
              <w:t>For heart attack or stroke injury</w:t>
            </w:r>
            <w:r w:rsidR="00DD0D68">
              <w:rPr>
                <w:rFonts w:eastAsia="Calibri" w:cs="Arial"/>
                <w:sz w:val="14"/>
                <w:szCs w:val="14"/>
                <w:lang w:eastAsia="en-US"/>
              </w:rPr>
              <w:t xml:space="preserve"> </w:t>
            </w:r>
            <w:r w:rsidR="00775B21">
              <w:rPr>
                <w:rFonts w:eastAsia="Calibri" w:cs="Arial"/>
                <w:sz w:val="14"/>
                <w:szCs w:val="14"/>
                <w:lang w:eastAsia="en-US"/>
              </w:rPr>
              <w:t>—</w:t>
            </w:r>
            <w:r w:rsidRPr="00BF05F3">
              <w:rPr>
                <w:rFonts w:eastAsia="Calibri" w:cs="Arial"/>
                <w:sz w:val="14"/>
                <w:szCs w:val="14"/>
                <w:lang w:eastAsia="en-US"/>
              </w:rPr>
              <w:t xml:space="preserve"> material contribution </w:t>
            </w:r>
            <w:r w:rsidR="00775B21">
              <w:rPr>
                <w:rFonts w:eastAsia="Calibri" w:cs="Arial"/>
                <w:sz w:val="14"/>
                <w:szCs w:val="14"/>
                <w:lang w:eastAsia="en-US"/>
              </w:rPr>
              <w:t>—</w:t>
            </w:r>
            <w:r w:rsidRPr="00BF05F3">
              <w:rPr>
                <w:rFonts w:eastAsia="Calibri" w:cs="Arial"/>
                <w:sz w:val="14"/>
                <w:szCs w:val="14"/>
                <w:lang w:eastAsia="en-US"/>
              </w:rPr>
              <w:t xml:space="preserve"> </w:t>
            </w:r>
            <w:hyperlink r:id="rId203" w:history="1">
              <w:r w:rsidRPr="00570C99">
                <w:rPr>
                  <w:rStyle w:val="Hyperlink"/>
                  <w:rFonts w:eastAsia="Calibri" w:cs="Arial"/>
                  <w:sz w:val="14"/>
                  <w:szCs w:val="14"/>
                  <w:lang w:eastAsia="en-US"/>
                </w:rPr>
                <w:t>s58</w:t>
              </w:r>
            </w:hyperlink>
            <w:r w:rsidRPr="00BF05F3">
              <w:rPr>
                <w:rFonts w:eastAsia="Calibri" w:cs="Arial"/>
                <w:sz w:val="14"/>
                <w:szCs w:val="14"/>
                <w:lang w:eastAsia="en-US"/>
              </w:rPr>
              <w:t xml:space="preserve"> that is employment was the real proximate or effective cause </w:t>
            </w:r>
            <w:r w:rsidR="00775B21">
              <w:rPr>
                <w:rFonts w:eastAsia="Calibri" w:cs="Arial"/>
                <w:sz w:val="14"/>
                <w:szCs w:val="14"/>
                <w:lang w:eastAsia="en-US"/>
              </w:rPr>
              <w:t>—</w:t>
            </w:r>
            <w:r w:rsidRPr="00BF05F3">
              <w:rPr>
                <w:rFonts w:eastAsia="Calibri" w:cs="Arial"/>
                <w:sz w:val="14"/>
                <w:szCs w:val="14"/>
                <w:lang w:eastAsia="en-US"/>
              </w:rPr>
              <w:t xml:space="preserve"> </w:t>
            </w:r>
            <w:hyperlink r:id="rId204" w:history="1">
              <w:r w:rsidRPr="00570C99">
                <w:rPr>
                  <w:rStyle w:val="Hyperlink"/>
                  <w:rFonts w:eastAsia="Calibri" w:cs="Arial"/>
                  <w:sz w:val="14"/>
                  <w:szCs w:val="14"/>
                  <w:lang w:eastAsia="en-US"/>
                </w:rPr>
                <w:t>s4(8)</w:t>
              </w:r>
            </w:hyperlink>
            <w:r w:rsidR="008B24D1">
              <w:rPr>
                <w:rFonts w:eastAsia="Calibri" w:cs="Arial"/>
                <w:sz w:val="14"/>
                <w:szCs w:val="14"/>
                <w:lang w:eastAsia="en-US"/>
              </w:rPr>
              <w:t>.</w:t>
            </w:r>
          </w:p>
        </w:tc>
      </w:tr>
      <w:tr w:rsidR="00BF05F3" w:rsidRPr="00BF05F3" w14:paraId="1FC2B07F" w14:textId="77777777" w:rsidTr="00FB729B">
        <w:tc>
          <w:tcPr>
            <w:tcW w:w="1587" w:type="dxa"/>
            <w:tcMar>
              <w:top w:w="80" w:type="dxa"/>
              <w:left w:w="80" w:type="dxa"/>
              <w:bottom w:w="80" w:type="dxa"/>
              <w:right w:w="80" w:type="dxa"/>
            </w:tcMar>
          </w:tcPr>
          <w:p w14:paraId="53E53E1B"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lastRenderedPageBreak/>
              <w:t>Australian Capital Territory</w:t>
            </w:r>
          </w:p>
        </w:tc>
        <w:tc>
          <w:tcPr>
            <w:tcW w:w="6894" w:type="dxa"/>
            <w:tcMar>
              <w:top w:w="80" w:type="dxa"/>
              <w:left w:w="80" w:type="dxa"/>
              <w:bottom w:w="80" w:type="dxa"/>
              <w:right w:w="80" w:type="dxa"/>
            </w:tcMar>
          </w:tcPr>
          <w:p w14:paraId="1C8C6E33" w14:textId="7C3D7744"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 physical or mental injury (including stress) . . . includes aggravation, acceleration or recurrence of a pre-existing injury . . . arising out of, or in the course of, the worker’s employment . . .’ — </w:t>
            </w:r>
            <w:hyperlink r:id="rId205" w:history="1">
              <w:r w:rsidRPr="00BF05F3">
                <w:rPr>
                  <w:rFonts w:eastAsia="Calibri" w:cs="Arial"/>
                  <w:color w:val="0000FF"/>
                  <w:sz w:val="14"/>
                  <w:szCs w:val="14"/>
                  <w:u w:val="single"/>
                  <w:lang w:eastAsia="en-US"/>
                </w:rPr>
                <w:t>s4</w:t>
              </w:r>
            </w:hyperlink>
            <w:r w:rsidRPr="00BF05F3">
              <w:rPr>
                <w:rFonts w:eastAsia="Calibri" w:cs="Arial"/>
                <w:sz w:val="14"/>
                <w:szCs w:val="14"/>
                <w:lang w:eastAsia="en-US"/>
              </w:rPr>
              <w:t xml:space="preserve"> and </w:t>
            </w:r>
            <w:hyperlink r:id="rId206" w:history="1">
              <w:r w:rsidRPr="00BF05F3">
                <w:rPr>
                  <w:rFonts w:eastAsia="Calibri" w:cs="Arial"/>
                  <w:color w:val="0000FF"/>
                  <w:sz w:val="14"/>
                  <w:szCs w:val="14"/>
                  <w:u w:val="single"/>
                  <w:lang w:eastAsia="en-US"/>
                </w:rPr>
                <w:t>s31</w:t>
              </w:r>
            </w:hyperlink>
            <w:r w:rsidR="00D335B8">
              <w:rPr>
                <w:rFonts w:eastAsia="Calibri" w:cs="Arial"/>
                <w:sz w:val="14"/>
                <w:szCs w:val="14"/>
                <w:lang w:eastAsia="en-US"/>
              </w:rPr>
              <w:t xml:space="preserve">, </w:t>
            </w:r>
            <w:r w:rsidR="00D335B8" w:rsidRPr="00D335B8">
              <w:rPr>
                <w:rFonts w:eastAsia="Calibri" w:cs="Arial"/>
                <w:i/>
                <w:sz w:val="14"/>
                <w:szCs w:val="14"/>
                <w:lang w:eastAsia="en-US"/>
              </w:rPr>
              <w:t>Workers Compensation Act 1951</w:t>
            </w:r>
            <w:r w:rsidR="00D335B8">
              <w:rPr>
                <w:rFonts w:eastAsia="Calibri" w:cs="Arial"/>
                <w:sz w:val="14"/>
                <w:szCs w:val="14"/>
                <w:lang w:eastAsia="en-US"/>
              </w:rPr>
              <w:t>.</w:t>
            </w:r>
          </w:p>
        </w:tc>
        <w:tc>
          <w:tcPr>
            <w:tcW w:w="6895" w:type="dxa"/>
            <w:tcMar>
              <w:top w:w="80" w:type="dxa"/>
              <w:left w:w="80" w:type="dxa"/>
              <w:bottom w:w="80" w:type="dxa"/>
              <w:right w:w="80" w:type="dxa"/>
            </w:tcMar>
          </w:tcPr>
          <w:p w14:paraId="526C4C94" w14:textId="48AE9908"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 substantial contributing factor — </w:t>
            </w:r>
            <w:hyperlink r:id="rId207" w:history="1">
              <w:r w:rsidRPr="00BF05F3">
                <w:rPr>
                  <w:rFonts w:eastAsia="Calibri" w:cs="Arial"/>
                  <w:color w:val="0000FF"/>
                  <w:sz w:val="14"/>
                  <w:szCs w:val="14"/>
                  <w:u w:val="single"/>
                  <w:lang w:eastAsia="en-US"/>
                </w:rPr>
                <w:t>s31(2)</w:t>
              </w:r>
            </w:hyperlink>
            <w:r w:rsidR="008B24D1">
              <w:rPr>
                <w:rFonts w:eastAsia="Calibri" w:cs="Arial"/>
                <w:color w:val="0000FF"/>
                <w:sz w:val="14"/>
                <w:szCs w:val="14"/>
                <w:u w:val="single"/>
                <w:lang w:eastAsia="en-US"/>
              </w:rPr>
              <w:t>.</w:t>
            </w:r>
          </w:p>
        </w:tc>
      </w:tr>
      <w:tr w:rsidR="00BF05F3" w:rsidRPr="00BF05F3" w14:paraId="203B0CF3" w14:textId="77777777" w:rsidTr="00FB729B">
        <w:tc>
          <w:tcPr>
            <w:tcW w:w="1587" w:type="dxa"/>
            <w:shd w:val="clear" w:color="auto" w:fill="FFC9C9"/>
            <w:tcMar>
              <w:top w:w="80" w:type="dxa"/>
              <w:left w:w="80" w:type="dxa"/>
              <w:bottom w:w="80" w:type="dxa"/>
              <w:right w:w="80" w:type="dxa"/>
            </w:tcMar>
          </w:tcPr>
          <w:p w14:paraId="0AF9ACBD"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Comcare</w:t>
            </w:r>
          </w:p>
        </w:tc>
        <w:tc>
          <w:tcPr>
            <w:tcW w:w="6894" w:type="dxa"/>
            <w:shd w:val="clear" w:color="auto" w:fill="FFC9C9"/>
            <w:tcMar>
              <w:top w:w="80" w:type="dxa"/>
              <w:left w:w="80" w:type="dxa"/>
              <w:bottom w:w="80" w:type="dxa"/>
              <w:right w:w="80" w:type="dxa"/>
            </w:tcMar>
          </w:tcPr>
          <w:p w14:paraId="276495C5"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For injuries: ‘ . . . a physical or mental injury arising out of, or in the course of, the employee’s employment’, or</w:t>
            </w:r>
          </w:p>
          <w:p w14:paraId="58D26881"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 an aggravation of a physical or mental injury (other than a disease) suffered by an employee...’’ — </w:t>
            </w:r>
            <w:hyperlink r:id="rId208" w:history="1">
              <w:r w:rsidRPr="00BF05F3">
                <w:rPr>
                  <w:rFonts w:eastAsia="Calibri" w:cs="Arial"/>
                  <w:color w:val="0000FF"/>
                  <w:sz w:val="14"/>
                  <w:szCs w:val="14"/>
                  <w:u w:val="single"/>
                  <w:lang w:eastAsia="en-US"/>
                </w:rPr>
                <w:t>s5A</w:t>
              </w:r>
            </w:hyperlink>
            <w:r w:rsidRPr="00BF05F3">
              <w:rPr>
                <w:rFonts w:eastAsia="Calibri" w:cs="Arial"/>
                <w:sz w:val="14"/>
                <w:szCs w:val="14"/>
                <w:lang w:eastAsia="en-US"/>
              </w:rPr>
              <w:t xml:space="preserve"> </w:t>
            </w:r>
          </w:p>
          <w:p w14:paraId="1AFFF0B6" w14:textId="6AF9DFA8"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For diseases: ‘an ailment suffered by an employee; or an aggravation of such an ailment that was contributed to, to a significant degree, by an employee’s employment…’ — </w:t>
            </w:r>
            <w:hyperlink r:id="rId209" w:history="1">
              <w:r w:rsidRPr="00BF05F3">
                <w:rPr>
                  <w:rFonts w:eastAsia="Calibri" w:cs="Arial"/>
                  <w:color w:val="0000FF"/>
                  <w:sz w:val="14"/>
                  <w:szCs w:val="14"/>
                  <w:u w:val="single"/>
                  <w:lang w:eastAsia="en-US"/>
                </w:rPr>
                <w:t>s5B</w:t>
              </w:r>
            </w:hyperlink>
            <w:r w:rsidR="00D335B8">
              <w:rPr>
                <w:rFonts w:eastAsia="Calibri" w:cs="Arial"/>
                <w:sz w:val="14"/>
                <w:szCs w:val="14"/>
                <w:lang w:eastAsia="en-US"/>
              </w:rPr>
              <w:t xml:space="preserve">, </w:t>
            </w:r>
            <w:r w:rsidR="00D335B8" w:rsidRPr="00D335B8">
              <w:rPr>
                <w:rFonts w:eastAsia="Calibri" w:cs="Arial"/>
                <w:i/>
                <w:sz w:val="14"/>
                <w:szCs w:val="14"/>
                <w:lang w:eastAsia="en-US"/>
              </w:rPr>
              <w:t>Safety, Rehabilitation and Compensation Act 1988</w:t>
            </w:r>
            <w:r w:rsidR="00D335B8">
              <w:rPr>
                <w:rFonts w:eastAsia="Calibri" w:cs="Arial"/>
                <w:sz w:val="14"/>
                <w:szCs w:val="14"/>
                <w:lang w:eastAsia="en-US"/>
              </w:rPr>
              <w:t>.</w:t>
            </w:r>
          </w:p>
        </w:tc>
        <w:tc>
          <w:tcPr>
            <w:tcW w:w="6895" w:type="dxa"/>
            <w:shd w:val="clear" w:color="auto" w:fill="FFC9C9"/>
            <w:tcMar>
              <w:top w:w="80" w:type="dxa"/>
              <w:left w:w="80" w:type="dxa"/>
              <w:bottom w:w="80" w:type="dxa"/>
              <w:right w:w="80" w:type="dxa"/>
            </w:tcMar>
          </w:tcPr>
          <w:p w14:paraId="67C23368" w14:textId="094554A5"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To a significant degree (for diseases) — </w:t>
            </w:r>
            <w:hyperlink r:id="rId210" w:history="1">
              <w:r w:rsidRPr="00BF05F3">
                <w:rPr>
                  <w:rFonts w:eastAsia="Calibri" w:cs="Arial"/>
                  <w:color w:val="0000FF"/>
                  <w:sz w:val="14"/>
                  <w:szCs w:val="14"/>
                  <w:u w:val="single"/>
                  <w:lang w:eastAsia="en-US"/>
                </w:rPr>
                <w:t>s5B</w:t>
              </w:r>
            </w:hyperlink>
            <w:r w:rsidRPr="00BF05F3">
              <w:rPr>
                <w:rFonts w:eastAsia="Calibri" w:cs="Arial"/>
                <w:sz w:val="14"/>
                <w:szCs w:val="14"/>
                <w:lang w:eastAsia="en-US"/>
              </w:rPr>
              <w:t xml:space="preserve"> with matter</w:t>
            </w:r>
            <w:r w:rsidR="007918B3">
              <w:rPr>
                <w:rFonts w:eastAsia="Calibri" w:cs="Arial"/>
                <w:sz w:val="14"/>
                <w:szCs w:val="14"/>
                <w:lang w:eastAsia="en-US"/>
              </w:rPr>
              <w:t>s</w:t>
            </w:r>
            <w:r w:rsidRPr="00BF05F3">
              <w:rPr>
                <w:rFonts w:eastAsia="Calibri" w:cs="Arial"/>
                <w:sz w:val="14"/>
                <w:szCs w:val="14"/>
                <w:lang w:eastAsia="en-US"/>
              </w:rPr>
              <w:t xml:space="preserve"> to be taken into account being set out in a non-exclusive list and with ‘significant degree’ being defined as ‘substantially more than material’.</w:t>
            </w:r>
          </w:p>
        </w:tc>
      </w:tr>
      <w:tr w:rsidR="00BF05F3" w:rsidRPr="00BF05F3" w14:paraId="54B8FBCD" w14:textId="77777777" w:rsidTr="00FB729B">
        <w:tc>
          <w:tcPr>
            <w:tcW w:w="1587" w:type="dxa"/>
            <w:tcMar>
              <w:top w:w="80" w:type="dxa"/>
              <w:left w:w="80" w:type="dxa"/>
              <w:bottom w:w="80" w:type="dxa"/>
              <w:right w:w="80" w:type="dxa"/>
            </w:tcMar>
          </w:tcPr>
          <w:p w14:paraId="146C9CE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Seacare</w:t>
            </w:r>
          </w:p>
        </w:tc>
        <w:tc>
          <w:tcPr>
            <w:tcW w:w="6894" w:type="dxa"/>
            <w:tcMar>
              <w:top w:w="80" w:type="dxa"/>
              <w:left w:w="80" w:type="dxa"/>
              <w:bottom w:w="80" w:type="dxa"/>
              <w:right w:w="80" w:type="dxa"/>
            </w:tcMar>
          </w:tcPr>
          <w:p w14:paraId="25CBD622"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For injuries: ‘an injury (other than a disease) suffered by an employee, being. a physical or mental injury arising out of, or in the course of, the employee’s employment’, or</w:t>
            </w:r>
          </w:p>
          <w:p w14:paraId="17E2A122" w14:textId="0826905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 an aggravation of a physical or mental injury (other than a disease) suffered by an employee...’ — </w:t>
            </w:r>
            <w:hyperlink r:id="rId211" w:history="1">
              <w:r w:rsidRPr="00A51EF9">
                <w:rPr>
                  <w:rStyle w:val="Hyperlink"/>
                  <w:rFonts w:eastAsia="Calibri" w:cs="Arial"/>
                  <w:sz w:val="14"/>
                  <w:szCs w:val="14"/>
                  <w:lang w:eastAsia="en-US"/>
                </w:rPr>
                <w:t>s3</w:t>
              </w:r>
            </w:hyperlink>
          </w:p>
          <w:p w14:paraId="6C4C5377" w14:textId="78C2E1C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For diseases: ‘any ailment suffered by an employee, or the aggravation of any such ailment, being an ailment or an aggravation that was contributed to in a material degree by the employee’s employment’ — </w:t>
            </w:r>
            <w:hyperlink r:id="rId212" w:history="1">
              <w:r w:rsidR="00A51EF9" w:rsidRPr="00A51EF9">
                <w:rPr>
                  <w:rStyle w:val="Hyperlink"/>
                  <w:rFonts w:eastAsia="Calibri" w:cs="Arial"/>
                  <w:sz w:val="14"/>
                  <w:szCs w:val="14"/>
                  <w:lang w:eastAsia="en-US"/>
                </w:rPr>
                <w:t>s3</w:t>
              </w:r>
            </w:hyperlink>
            <w:r w:rsidR="00D335B8">
              <w:rPr>
                <w:rFonts w:eastAsia="Calibri" w:cs="Arial"/>
                <w:sz w:val="14"/>
                <w:szCs w:val="14"/>
                <w:lang w:eastAsia="en-US"/>
              </w:rPr>
              <w:t xml:space="preserve">, </w:t>
            </w:r>
            <w:r w:rsidR="00D335B8" w:rsidRPr="00D335B8">
              <w:rPr>
                <w:rFonts w:eastAsia="Calibri" w:cs="Arial"/>
                <w:i/>
                <w:sz w:val="14"/>
                <w:szCs w:val="14"/>
                <w:lang w:eastAsia="en-US"/>
              </w:rPr>
              <w:t>Seafarers Rehabilitation and Compensation Act 1992</w:t>
            </w:r>
            <w:r w:rsidR="008B24D1">
              <w:rPr>
                <w:rFonts w:eastAsia="Calibri" w:cs="Arial"/>
                <w:sz w:val="14"/>
                <w:szCs w:val="14"/>
                <w:lang w:eastAsia="en-US"/>
              </w:rPr>
              <w:t>.</w:t>
            </w:r>
          </w:p>
        </w:tc>
        <w:tc>
          <w:tcPr>
            <w:tcW w:w="6895" w:type="dxa"/>
            <w:tcMar>
              <w:top w:w="80" w:type="dxa"/>
              <w:left w:w="80" w:type="dxa"/>
              <w:bottom w:w="80" w:type="dxa"/>
              <w:right w:w="80" w:type="dxa"/>
            </w:tcMar>
          </w:tcPr>
          <w:p w14:paraId="472AEC53" w14:textId="249B653D"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To a material degree (for diseases) — </w:t>
            </w:r>
            <w:hyperlink r:id="rId213" w:history="1">
              <w:r w:rsidR="00A51EF9" w:rsidRPr="00A51EF9">
                <w:rPr>
                  <w:rStyle w:val="Hyperlink"/>
                  <w:rFonts w:eastAsia="Calibri" w:cs="Arial"/>
                  <w:sz w:val="14"/>
                  <w:szCs w:val="14"/>
                  <w:lang w:eastAsia="en-US"/>
                </w:rPr>
                <w:t>s3</w:t>
              </w:r>
            </w:hyperlink>
            <w:r w:rsidR="008B24D1">
              <w:rPr>
                <w:rFonts w:eastAsia="Calibri" w:cs="Arial"/>
                <w:sz w:val="14"/>
                <w:szCs w:val="14"/>
                <w:lang w:eastAsia="en-US"/>
              </w:rPr>
              <w:t>.</w:t>
            </w:r>
          </w:p>
        </w:tc>
      </w:tr>
      <w:tr w:rsidR="00BF05F3" w:rsidRPr="00BF05F3" w14:paraId="0E940EC2" w14:textId="77777777" w:rsidTr="00FB729B">
        <w:tc>
          <w:tcPr>
            <w:tcW w:w="1587" w:type="dxa"/>
            <w:shd w:val="clear" w:color="auto" w:fill="FFC9C9"/>
            <w:tcMar>
              <w:top w:w="80" w:type="dxa"/>
              <w:left w:w="80" w:type="dxa"/>
              <w:bottom w:w="80" w:type="dxa"/>
              <w:right w:w="80" w:type="dxa"/>
            </w:tcMar>
          </w:tcPr>
          <w:p w14:paraId="57A0C488"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DVA</w:t>
            </w:r>
          </w:p>
        </w:tc>
        <w:tc>
          <w:tcPr>
            <w:tcW w:w="6894" w:type="dxa"/>
            <w:shd w:val="clear" w:color="auto" w:fill="FFC9C9"/>
            <w:tcMar>
              <w:top w:w="80" w:type="dxa"/>
              <w:left w:w="80" w:type="dxa"/>
              <w:bottom w:w="80" w:type="dxa"/>
              <w:right w:w="80" w:type="dxa"/>
            </w:tcMar>
          </w:tcPr>
          <w:p w14:paraId="4DA0862C" w14:textId="56F15C9F" w:rsidR="00BF05F3" w:rsidRPr="009B4AE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Refer </w:t>
            </w:r>
            <w:hyperlink r:id="rId214" w:history="1">
              <w:r w:rsidRPr="006E6699">
                <w:rPr>
                  <w:rStyle w:val="Hyperlink"/>
                  <w:rFonts w:eastAsia="Calibri" w:cs="Arial"/>
                  <w:sz w:val="14"/>
                  <w:szCs w:val="14"/>
                  <w:lang w:eastAsia="en-US"/>
                </w:rPr>
                <w:t>s27</w:t>
              </w:r>
            </w:hyperlink>
            <w:r w:rsidRPr="00BF05F3">
              <w:rPr>
                <w:rFonts w:eastAsia="Calibri" w:cs="Arial"/>
                <w:sz w:val="14"/>
                <w:szCs w:val="14"/>
                <w:lang w:eastAsia="en-US"/>
              </w:rPr>
              <w:t xml:space="preserve">, </w:t>
            </w:r>
            <w:hyperlink r:id="rId215" w:history="1">
              <w:r w:rsidRPr="006E6699">
                <w:rPr>
                  <w:rStyle w:val="Hyperlink"/>
                  <w:rFonts w:eastAsia="Calibri" w:cs="Arial"/>
                  <w:sz w:val="14"/>
                  <w:szCs w:val="14"/>
                  <w:lang w:eastAsia="en-US"/>
                </w:rPr>
                <w:t>s29(1)</w:t>
              </w:r>
            </w:hyperlink>
            <w:r w:rsidRPr="00BF05F3">
              <w:rPr>
                <w:rFonts w:eastAsia="Calibri" w:cs="Arial"/>
                <w:sz w:val="14"/>
                <w:szCs w:val="14"/>
                <w:lang w:eastAsia="en-US"/>
              </w:rPr>
              <w:t xml:space="preserve">, </w:t>
            </w:r>
            <w:hyperlink r:id="rId216" w:history="1">
              <w:r w:rsidRPr="006E6699">
                <w:rPr>
                  <w:rStyle w:val="Hyperlink"/>
                  <w:rFonts w:eastAsia="Calibri" w:cs="Arial"/>
                  <w:sz w:val="14"/>
                  <w:szCs w:val="14"/>
                  <w:lang w:eastAsia="en-US"/>
                </w:rPr>
                <w:t>s29(2)</w:t>
              </w:r>
            </w:hyperlink>
            <w:r w:rsidRPr="00BF05F3">
              <w:rPr>
                <w:rFonts w:eastAsia="Calibri" w:cs="Arial"/>
                <w:sz w:val="14"/>
                <w:szCs w:val="14"/>
                <w:lang w:eastAsia="en-US"/>
              </w:rPr>
              <w:t xml:space="preserve"> and </w:t>
            </w:r>
            <w:hyperlink r:id="rId217" w:history="1">
              <w:r w:rsidRPr="006E6699">
                <w:rPr>
                  <w:rStyle w:val="Hyperlink"/>
                  <w:rFonts w:eastAsia="Calibri" w:cs="Arial"/>
                  <w:sz w:val="14"/>
                  <w:szCs w:val="14"/>
                  <w:lang w:eastAsia="en-US"/>
                </w:rPr>
                <w:t>s30</w:t>
              </w:r>
            </w:hyperlink>
            <w:r w:rsidRPr="00BF05F3">
              <w:rPr>
                <w:rFonts w:eastAsia="Calibri" w:cs="Arial"/>
                <w:sz w:val="14"/>
                <w:szCs w:val="14"/>
                <w:lang w:eastAsia="en-US"/>
              </w:rPr>
              <w:t xml:space="preserve"> of </w:t>
            </w:r>
            <w:hyperlink r:id="rId218" w:history="1">
              <w:r w:rsidRPr="00BF05F3">
                <w:rPr>
                  <w:rFonts w:eastAsia="Calibri" w:cs="Arial"/>
                  <w:color w:val="0000FF"/>
                  <w:sz w:val="14"/>
                  <w:szCs w:val="14"/>
                  <w:u w:val="single"/>
                  <w:lang w:eastAsia="en-US"/>
                </w:rPr>
                <w:t>MRCA</w:t>
              </w:r>
            </w:hyperlink>
            <w:r w:rsidR="009B4AE3">
              <w:rPr>
                <w:rFonts w:eastAsia="Calibri" w:cs="Arial"/>
                <w:sz w:val="14"/>
                <w:szCs w:val="14"/>
                <w:lang w:eastAsia="en-US"/>
              </w:rPr>
              <w:t xml:space="preserve"> (</w:t>
            </w:r>
            <w:r w:rsidR="009B4AE3" w:rsidRPr="0039798F">
              <w:rPr>
                <w:rFonts w:eastAsia="Calibri" w:cs="Arial"/>
                <w:i/>
                <w:sz w:val="14"/>
                <w:szCs w:val="14"/>
                <w:lang w:eastAsia="en-US"/>
              </w:rPr>
              <w:t>Military Rehabilitation and Compensation Act 2004</w:t>
            </w:r>
            <w:r w:rsidR="009B4AE3">
              <w:rPr>
                <w:rFonts w:eastAsia="Calibri" w:cs="Arial"/>
                <w:sz w:val="14"/>
                <w:szCs w:val="14"/>
                <w:lang w:eastAsia="en-US"/>
              </w:rPr>
              <w:t>)</w:t>
            </w:r>
          </w:p>
          <w:p w14:paraId="22482DFD" w14:textId="0CFD7F8D" w:rsidR="00BF05F3" w:rsidRPr="006A3B9A" w:rsidRDefault="00BF05F3" w:rsidP="00F839DB">
            <w:pPr>
              <w:pStyle w:val="ListParagraph"/>
              <w:numPr>
                <w:ilvl w:val="0"/>
                <w:numId w:val="472"/>
              </w:numPr>
              <w:spacing w:after="60"/>
              <w:rPr>
                <w:rFonts w:eastAsia="Calibri" w:cs="Arial"/>
                <w:sz w:val="14"/>
                <w:szCs w:val="14"/>
                <w:lang w:eastAsia="en-US"/>
              </w:rPr>
            </w:pPr>
            <w:r w:rsidRPr="006A3B9A">
              <w:rPr>
                <w:rFonts w:eastAsia="Calibri" w:cs="Arial"/>
                <w:sz w:val="14"/>
                <w:szCs w:val="14"/>
                <w:lang w:eastAsia="en-US"/>
              </w:rPr>
              <w:t>any injury or disease (or recurrence) that:</w:t>
            </w:r>
          </w:p>
          <w:p w14:paraId="4618FAE2" w14:textId="77777777" w:rsidR="00BF05F3" w:rsidRPr="006A3B9A" w:rsidRDefault="00BF05F3" w:rsidP="00B21723">
            <w:pPr>
              <w:pStyle w:val="ListParagraph"/>
              <w:numPr>
                <w:ilvl w:val="0"/>
                <w:numId w:val="5"/>
              </w:numPr>
              <w:spacing w:after="60"/>
              <w:ind w:left="665" w:hanging="283"/>
              <w:contextualSpacing/>
              <w:rPr>
                <w:rFonts w:eastAsia="Calibri" w:cs="Arial"/>
                <w:sz w:val="14"/>
                <w:szCs w:val="14"/>
                <w:lang w:eastAsia="en-US"/>
              </w:rPr>
            </w:pPr>
            <w:r w:rsidRPr="006A3B9A">
              <w:rPr>
                <w:rFonts w:eastAsia="Calibri" w:cs="Arial"/>
                <w:sz w:val="14"/>
                <w:szCs w:val="14"/>
                <w:lang w:eastAsia="en-US"/>
              </w:rPr>
              <w:t>resulted from an occurrence that happened on service</w:t>
            </w:r>
          </w:p>
          <w:p w14:paraId="475D7DE1" w14:textId="77777777" w:rsidR="00BF05F3" w:rsidRPr="00A80E4D" w:rsidRDefault="00BF05F3" w:rsidP="00B21723">
            <w:pPr>
              <w:pStyle w:val="ListParagraph"/>
              <w:numPr>
                <w:ilvl w:val="0"/>
                <w:numId w:val="5"/>
              </w:numPr>
              <w:spacing w:after="60"/>
              <w:ind w:left="665" w:hanging="283"/>
              <w:contextualSpacing/>
              <w:rPr>
                <w:rFonts w:eastAsia="Calibri" w:cs="Arial"/>
                <w:sz w:val="14"/>
                <w:szCs w:val="14"/>
                <w:lang w:eastAsia="en-US"/>
              </w:rPr>
            </w:pPr>
            <w:r w:rsidRPr="00A80E4D">
              <w:rPr>
                <w:rFonts w:eastAsia="Calibri" w:cs="Arial"/>
                <w:sz w:val="14"/>
                <w:szCs w:val="14"/>
                <w:lang w:eastAsia="en-US"/>
              </w:rPr>
              <w:t>arose out of, or was attributable to, any service</w:t>
            </w:r>
          </w:p>
          <w:p w14:paraId="68B2E90B" w14:textId="77777777" w:rsidR="00BF05F3" w:rsidRPr="00A80E4D" w:rsidRDefault="00BF05F3" w:rsidP="00B21723">
            <w:pPr>
              <w:pStyle w:val="ListParagraph"/>
              <w:numPr>
                <w:ilvl w:val="0"/>
                <w:numId w:val="5"/>
              </w:numPr>
              <w:spacing w:after="60"/>
              <w:ind w:left="665" w:hanging="283"/>
              <w:contextualSpacing/>
              <w:rPr>
                <w:rFonts w:eastAsia="Calibri" w:cs="Arial"/>
                <w:sz w:val="14"/>
                <w:szCs w:val="14"/>
                <w:lang w:eastAsia="en-US"/>
              </w:rPr>
            </w:pPr>
            <w:r w:rsidRPr="00A80E4D">
              <w:rPr>
                <w:rFonts w:eastAsia="Calibri" w:cs="Arial"/>
                <w:sz w:val="14"/>
                <w:szCs w:val="14"/>
                <w:lang w:eastAsia="en-US"/>
              </w:rPr>
              <w:t>due to an accident not occurring or a disease not being contracted but for service, or but for changes in the person's environment due to service</w:t>
            </w:r>
          </w:p>
          <w:p w14:paraId="32A32FB3" w14:textId="77777777" w:rsidR="00BF05F3" w:rsidRPr="00A80E4D" w:rsidRDefault="00BF05F3" w:rsidP="00B21723">
            <w:pPr>
              <w:pStyle w:val="ListParagraph"/>
              <w:numPr>
                <w:ilvl w:val="0"/>
                <w:numId w:val="5"/>
              </w:numPr>
              <w:spacing w:after="60"/>
              <w:ind w:left="665" w:hanging="283"/>
              <w:contextualSpacing/>
              <w:rPr>
                <w:rFonts w:eastAsia="Calibri" w:cs="Arial"/>
                <w:sz w:val="14"/>
                <w:szCs w:val="14"/>
                <w:lang w:eastAsia="en-US"/>
              </w:rPr>
            </w:pPr>
            <w:r w:rsidRPr="00A80E4D">
              <w:rPr>
                <w:rFonts w:eastAsia="Calibri" w:cs="Arial"/>
                <w:sz w:val="14"/>
                <w:szCs w:val="14"/>
                <w:lang w:eastAsia="en-US"/>
              </w:rPr>
              <w:t>resulted from an accident that occurred whilst travelling, while a member rendering peacetime service but otherwise than in the course of duty, on a journey to a place for the purpose of performing duty; or away from a place of duty upon having ceased to perform duty, or</w:t>
            </w:r>
          </w:p>
          <w:p w14:paraId="3969C4AA" w14:textId="77777777" w:rsidR="00BF05F3" w:rsidRPr="00A80E4D" w:rsidRDefault="00BF05F3" w:rsidP="00B21723">
            <w:pPr>
              <w:pStyle w:val="ListParagraph"/>
              <w:numPr>
                <w:ilvl w:val="0"/>
                <w:numId w:val="5"/>
              </w:numPr>
              <w:spacing w:after="60"/>
              <w:ind w:left="665" w:hanging="283"/>
              <w:contextualSpacing/>
              <w:rPr>
                <w:rFonts w:eastAsia="Calibri" w:cs="Arial"/>
                <w:sz w:val="14"/>
                <w:szCs w:val="14"/>
                <w:lang w:eastAsia="en-US"/>
              </w:rPr>
            </w:pPr>
            <w:r w:rsidRPr="00A80E4D">
              <w:rPr>
                <w:rFonts w:eastAsia="Calibri" w:cs="Arial"/>
                <w:sz w:val="14"/>
                <w:szCs w:val="14"/>
                <w:lang w:eastAsia="en-US"/>
              </w:rPr>
              <w:t>arising from treatment provided by the Commonwealth.</w:t>
            </w:r>
          </w:p>
          <w:p w14:paraId="29AA710C" w14:textId="7412E902" w:rsidR="00BF05F3" w:rsidRPr="006A3B9A" w:rsidRDefault="00BF05F3" w:rsidP="00F839DB">
            <w:pPr>
              <w:pStyle w:val="ListParagraph"/>
              <w:numPr>
                <w:ilvl w:val="0"/>
                <w:numId w:val="472"/>
              </w:numPr>
              <w:spacing w:after="60"/>
              <w:rPr>
                <w:rFonts w:eastAsia="Calibri" w:cs="Arial"/>
                <w:sz w:val="14"/>
                <w:szCs w:val="14"/>
                <w:lang w:eastAsia="en-US"/>
              </w:rPr>
            </w:pPr>
            <w:r w:rsidRPr="006A3B9A">
              <w:rPr>
                <w:rFonts w:eastAsia="Calibri" w:cs="Arial"/>
                <w:sz w:val="14"/>
                <w:szCs w:val="14"/>
                <w:lang w:eastAsia="en-US"/>
              </w:rPr>
              <w:t>any aggravation of an injury or disease, or its signs and symptoms:</w:t>
            </w:r>
          </w:p>
          <w:p w14:paraId="0ABF912F" w14:textId="77777777" w:rsidR="00BF05F3" w:rsidRPr="00BF05F3" w:rsidRDefault="00BF05F3" w:rsidP="00B21723">
            <w:pPr>
              <w:pStyle w:val="ListParagraph"/>
              <w:numPr>
                <w:ilvl w:val="0"/>
                <w:numId w:val="5"/>
              </w:numPr>
              <w:spacing w:after="60"/>
              <w:ind w:left="665" w:hanging="283"/>
              <w:contextualSpacing/>
              <w:rPr>
                <w:rFonts w:eastAsia="Calibri" w:cs="Arial"/>
                <w:sz w:val="14"/>
                <w:szCs w:val="14"/>
                <w:lang w:eastAsia="en-US"/>
              </w:rPr>
            </w:pPr>
            <w:r w:rsidRPr="00BF05F3">
              <w:rPr>
                <w:rFonts w:eastAsia="Calibri" w:cs="Arial"/>
                <w:sz w:val="14"/>
                <w:szCs w:val="14"/>
                <w:lang w:eastAsia="en-US"/>
              </w:rPr>
              <w:t>contributed to in a material degree by or was aggravated by service, and/or</w:t>
            </w:r>
          </w:p>
          <w:p w14:paraId="12919E4B" w14:textId="77777777" w:rsidR="00BF05F3" w:rsidRDefault="00BF05F3" w:rsidP="00B21723">
            <w:pPr>
              <w:pStyle w:val="ListParagraph"/>
              <w:numPr>
                <w:ilvl w:val="0"/>
                <w:numId w:val="5"/>
              </w:numPr>
              <w:spacing w:after="60"/>
              <w:ind w:left="665" w:hanging="283"/>
              <w:contextualSpacing/>
              <w:rPr>
                <w:rFonts w:eastAsia="Calibri" w:cs="Arial"/>
                <w:sz w:val="14"/>
                <w:szCs w:val="14"/>
                <w:lang w:eastAsia="en-US"/>
              </w:rPr>
            </w:pPr>
            <w:r w:rsidRPr="00BF05F3">
              <w:rPr>
                <w:rFonts w:eastAsia="Calibri" w:cs="Arial"/>
                <w:sz w:val="14"/>
                <w:szCs w:val="14"/>
                <w:lang w:eastAsia="en-US"/>
              </w:rPr>
              <w:t>aggravated by treatment provided by the Commonwealth.</w:t>
            </w:r>
          </w:p>
          <w:p w14:paraId="4CCAD3B3" w14:textId="77777777" w:rsidR="00FA0B82" w:rsidRDefault="00FA0B82" w:rsidP="00FA0B82">
            <w:pPr>
              <w:spacing w:after="60"/>
              <w:contextualSpacing/>
              <w:rPr>
                <w:rFonts w:eastAsia="Calibri" w:cs="Arial"/>
                <w:sz w:val="14"/>
                <w:szCs w:val="14"/>
                <w:lang w:eastAsia="en-US"/>
              </w:rPr>
            </w:pPr>
          </w:p>
          <w:p w14:paraId="61E1F8D1" w14:textId="2EA9B98B" w:rsidR="00FA0B82" w:rsidRDefault="00FA0B82" w:rsidP="00FA0B82">
            <w:pPr>
              <w:spacing w:after="60"/>
              <w:contextualSpacing/>
              <w:rPr>
                <w:rFonts w:eastAsia="Calibri" w:cs="Arial"/>
                <w:sz w:val="14"/>
                <w:szCs w:val="14"/>
                <w:lang w:eastAsia="en-US"/>
              </w:rPr>
            </w:pPr>
            <w:r>
              <w:rPr>
                <w:rFonts w:eastAsia="Calibri" w:cs="Arial"/>
                <w:sz w:val="14"/>
                <w:szCs w:val="14"/>
                <w:lang w:eastAsia="en-US"/>
              </w:rPr>
              <w:t xml:space="preserve">Refer </w:t>
            </w:r>
            <w:hyperlink r:id="rId219" w:history="1">
              <w:r w:rsidRPr="006E6699">
                <w:rPr>
                  <w:rStyle w:val="Hyperlink"/>
                  <w:rFonts w:eastAsia="Calibri" w:cs="Arial"/>
                  <w:sz w:val="14"/>
                  <w:szCs w:val="14"/>
                  <w:lang w:eastAsia="en-US"/>
                </w:rPr>
                <w:t>s5A</w:t>
              </w:r>
            </w:hyperlink>
            <w:r>
              <w:rPr>
                <w:rFonts w:eastAsia="Calibri" w:cs="Arial"/>
                <w:sz w:val="14"/>
                <w:szCs w:val="14"/>
                <w:lang w:eastAsia="en-US"/>
              </w:rPr>
              <w:t xml:space="preserve"> and </w:t>
            </w:r>
            <w:hyperlink r:id="rId220" w:history="1">
              <w:r w:rsidRPr="006E6699">
                <w:rPr>
                  <w:rStyle w:val="Hyperlink"/>
                  <w:rFonts w:eastAsia="Calibri" w:cs="Arial"/>
                  <w:sz w:val="14"/>
                  <w:szCs w:val="14"/>
                  <w:lang w:eastAsia="en-US"/>
                </w:rPr>
                <w:t>5B</w:t>
              </w:r>
            </w:hyperlink>
            <w:r>
              <w:rPr>
                <w:rFonts w:eastAsia="Calibri" w:cs="Arial"/>
                <w:sz w:val="14"/>
                <w:szCs w:val="14"/>
                <w:lang w:eastAsia="en-US"/>
              </w:rPr>
              <w:t xml:space="preserve"> of DRCA</w:t>
            </w:r>
            <w:r w:rsidR="009B4AE3">
              <w:rPr>
                <w:rFonts w:eastAsia="Calibri" w:cs="Arial"/>
                <w:sz w:val="14"/>
                <w:szCs w:val="14"/>
                <w:lang w:eastAsia="en-US"/>
              </w:rPr>
              <w:t xml:space="preserve"> (</w:t>
            </w:r>
            <w:r w:rsidR="009B4AE3" w:rsidRPr="0039798F">
              <w:rPr>
                <w:rFonts w:eastAsia="Calibri" w:cs="Arial"/>
                <w:i/>
                <w:sz w:val="14"/>
                <w:szCs w:val="14"/>
                <w:lang w:eastAsia="en-US"/>
              </w:rPr>
              <w:t>Safety, Rehabilitation and Compensation (Defence-related Claims) Act 1988</w:t>
            </w:r>
            <w:r w:rsidR="009B4AE3">
              <w:rPr>
                <w:rFonts w:eastAsia="Calibri" w:cs="Arial"/>
                <w:sz w:val="14"/>
                <w:szCs w:val="14"/>
                <w:lang w:eastAsia="en-US"/>
              </w:rPr>
              <w:t>)</w:t>
            </w:r>
          </w:p>
          <w:p w14:paraId="351345B7" w14:textId="77777777" w:rsidR="00FA0B82" w:rsidRPr="00BF05F3" w:rsidRDefault="00FA0B82" w:rsidP="00FA0B82">
            <w:pPr>
              <w:spacing w:after="60"/>
              <w:rPr>
                <w:rFonts w:eastAsia="Calibri" w:cs="Arial"/>
                <w:sz w:val="14"/>
                <w:szCs w:val="14"/>
                <w:lang w:eastAsia="en-US"/>
              </w:rPr>
            </w:pPr>
            <w:r w:rsidRPr="00BF05F3">
              <w:rPr>
                <w:rFonts w:eastAsia="Calibri" w:cs="Arial"/>
                <w:sz w:val="14"/>
                <w:szCs w:val="14"/>
                <w:lang w:eastAsia="en-US"/>
              </w:rPr>
              <w:t>For injuries: ‘ . . . a physical or mental injury arising out of, or in the course of, the employee’s employment’, or</w:t>
            </w:r>
          </w:p>
          <w:p w14:paraId="3F664483" w14:textId="77777777" w:rsidR="00FA0B82" w:rsidRPr="00BF05F3" w:rsidRDefault="00FA0B82" w:rsidP="00FA0B82">
            <w:pPr>
              <w:spacing w:after="60"/>
              <w:rPr>
                <w:rFonts w:eastAsia="Calibri" w:cs="Arial"/>
                <w:sz w:val="14"/>
                <w:szCs w:val="14"/>
                <w:lang w:eastAsia="en-US"/>
              </w:rPr>
            </w:pPr>
            <w:r w:rsidRPr="00BF05F3">
              <w:rPr>
                <w:rFonts w:eastAsia="Calibri" w:cs="Arial"/>
                <w:sz w:val="14"/>
                <w:szCs w:val="14"/>
                <w:lang w:eastAsia="en-US"/>
              </w:rPr>
              <w:t xml:space="preserve">‘... an aggravation of a physical or mental injury (other than a disease) suffered by an employee...’’ — </w:t>
            </w:r>
            <w:hyperlink r:id="rId221" w:history="1">
              <w:r w:rsidRPr="00BF05F3">
                <w:rPr>
                  <w:rFonts w:eastAsia="Calibri" w:cs="Arial"/>
                  <w:color w:val="0000FF"/>
                  <w:sz w:val="14"/>
                  <w:szCs w:val="14"/>
                  <w:u w:val="single"/>
                  <w:lang w:eastAsia="en-US"/>
                </w:rPr>
                <w:t>s5A</w:t>
              </w:r>
            </w:hyperlink>
            <w:r w:rsidRPr="00BF05F3">
              <w:rPr>
                <w:rFonts w:eastAsia="Calibri" w:cs="Arial"/>
                <w:sz w:val="14"/>
                <w:szCs w:val="14"/>
                <w:lang w:eastAsia="en-US"/>
              </w:rPr>
              <w:t xml:space="preserve"> </w:t>
            </w:r>
          </w:p>
          <w:p w14:paraId="515F36EC" w14:textId="77777777" w:rsidR="00FA0B82" w:rsidRDefault="00FA0B82" w:rsidP="00FA0B82">
            <w:pPr>
              <w:spacing w:after="60"/>
              <w:contextualSpacing/>
              <w:rPr>
                <w:rFonts w:eastAsia="Calibri" w:cs="Arial"/>
                <w:sz w:val="14"/>
                <w:szCs w:val="14"/>
                <w:lang w:eastAsia="en-US"/>
              </w:rPr>
            </w:pPr>
            <w:r w:rsidRPr="00BF05F3">
              <w:rPr>
                <w:rFonts w:eastAsia="Calibri" w:cs="Arial"/>
                <w:sz w:val="14"/>
                <w:szCs w:val="14"/>
                <w:lang w:eastAsia="en-US"/>
              </w:rPr>
              <w:t xml:space="preserve">For diseases: ‘an ailment suffered by an employee; or an aggravation of such an ailment that was contributed to, to a significant degree, by an employee’s employment…’ — </w:t>
            </w:r>
            <w:hyperlink r:id="rId222" w:history="1">
              <w:r w:rsidRPr="00BF05F3">
                <w:rPr>
                  <w:rFonts w:eastAsia="Calibri" w:cs="Arial"/>
                  <w:color w:val="0000FF"/>
                  <w:sz w:val="14"/>
                  <w:szCs w:val="14"/>
                  <w:u w:val="single"/>
                  <w:lang w:eastAsia="en-US"/>
                </w:rPr>
                <w:t>s5B</w:t>
              </w:r>
            </w:hyperlink>
            <w:r>
              <w:rPr>
                <w:rFonts w:eastAsia="Calibri" w:cs="Arial"/>
                <w:color w:val="0000FF"/>
                <w:sz w:val="14"/>
                <w:szCs w:val="14"/>
                <w:u w:val="single"/>
                <w:lang w:eastAsia="en-US"/>
              </w:rPr>
              <w:t>.</w:t>
            </w:r>
          </w:p>
          <w:p w14:paraId="723177E9" w14:textId="77777777" w:rsidR="00FA0B82" w:rsidRPr="00FA0B82" w:rsidRDefault="00FA0B82" w:rsidP="00FA0B82">
            <w:pPr>
              <w:spacing w:after="60"/>
              <w:contextualSpacing/>
              <w:rPr>
                <w:rFonts w:eastAsia="Calibri" w:cs="Arial"/>
                <w:sz w:val="14"/>
                <w:szCs w:val="14"/>
                <w:lang w:eastAsia="en-US"/>
              </w:rPr>
            </w:pPr>
          </w:p>
        </w:tc>
        <w:tc>
          <w:tcPr>
            <w:tcW w:w="6895" w:type="dxa"/>
            <w:shd w:val="clear" w:color="auto" w:fill="FFC9C9"/>
            <w:tcMar>
              <w:top w:w="80" w:type="dxa"/>
              <w:left w:w="80" w:type="dxa"/>
              <w:bottom w:w="80" w:type="dxa"/>
              <w:right w:w="80" w:type="dxa"/>
            </w:tcMar>
          </w:tcPr>
          <w:p w14:paraId="6ED21C8E" w14:textId="351C398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Minimum material contribution required (‘arose out of, or was attributable to’) — </w:t>
            </w:r>
            <w:hyperlink r:id="rId223" w:history="1">
              <w:r w:rsidRPr="00BF05F3">
                <w:rPr>
                  <w:rFonts w:eastAsia="Calibri" w:cs="Arial"/>
                  <w:color w:val="0000FF"/>
                  <w:sz w:val="14"/>
                  <w:szCs w:val="14"/>
                  <w:u w:val="single"/>
                  <w:lang w:eastAsia="en-US"/>
                </w:rPr>
                <w:t>MRCA</w:t>
              </w:r>
            </w:hyperlink>
            <w:r w:rsidRPr="00BF05F3">
              <w:rPr>
                <w:rFonts w:eastAsia="Calibri" w:cs="Arial"/>
                <w:sz w:val="14"/>
                <w:szCs w:val="14"/>
                <w:lang w:eastAsia="en-US"/>
              </w:rPr>
              <w:t xml:space="preserve"> </w:t>
            </w:r>
            <w:hyperlink r:id="rId224" w:history="1">
              <w:r w:rsidRPr="006E6699">
                <w:rPr>
                  <w:rStyle w:val="Hyperlink"/>
                  <w:rFonts w:eastAsia="Calibri" w:cs="Arial"/>
                  <w:sz w:val="14"/>
                  <w:szCs w:val="14"/>
                  <w:lang w:eastAsia="en-US"/>
                </w:rPr>
                <w:t>s27b</w:t>
              </w:r>
            </w:hyperlink>
            <w:r w:rsidRPr="00BF05F3">
              <w:rPr>
                <w:rFonts w:eastAsia="Calibri" w:cs="Arial"/>
                <w:sz w:val="14"/>
                <w:szCs w:val="14"/>
                <w:lang w:eastAsia="en-US"/>
              </w:rPr>
              <w:t xml:space="preserve"> and </w:t>
            </w:r>
            <w:hyperlink r:id="rId225" w:history="1">
              <w:r w:rsidRPr="006E6699">
                <w:rPr>
                  <w:rStyle w:val="Hyperlink"/>
                  <w:rFonts w:eastAsia="Calibri" w:cs="Arial"/>
                  <w:sz w:val="14"/>
                  <w:szCs w:val="14"/>
                  <w:lang w:eastAsia="en-US"/>
                </w:rPr>
                <w:t>s27c</w:t>
              </w:r>
            </w:hyperlink>
            <w:r w:rsidRPr="00BF05F3">
              <w:rPr>
                <w:rFonts w:eastAsia="Calibri" w:cs="Arial"/>
                <w:sz w:val="14"/>
                <w:szCs w:val="14"/>
                <w:lang w:eastAsia="en-US"/>
              </w:rPr>
              <w:t>.</w:t>
            </w:r>
          </w:p>
          <w:p w14:paraId="0C05C87D" w14:textId="69B8D992" w:rsid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In a material degree (for aggravations only) — </w:t>
            </w:r>
            <w:hyperlink r:id="rId226" w:history="1">
              <w:r w:rsidRPr="00BF05F3">
                <w:rPr>
                  <w:rFonts w:eastAsia="Calibri" w:cs="Arial"/>
                  <w:color w:val="0000FF"/>
                  <w:sz w:val="14"/>
                  <w:szCs w:val="14"/>
                  <w:u w:val="single"/>
                  <w:lang w:eastAsia="en-US"/>
                </w:rPr>
                <w:t>MRCA</w:t>
              </w:r>
            </w:hyperlink>
            <w:r w:rsidRPr="00BF05F3">
              <w:rPr>
                <w:rFonts w:eastAsia="Calibri" w:cs="Arial"/>
                <w:sz w:val="14"/>
                <w:szCs w:val="14"/>
                <w:lang w:eastAsia="en-US"/>
              </w:rPr>
              <w:t xml:space="preserve">, </w:t>
            </w:r>
            <w:hyperlink r:id="rId227" w:history="1">
              <w:r w:rsidRPr="006E6699">
                <w:rPr>
                  <w:rStyle w:val="Hyperlink"/>
                  <w:rFonts w:eastAsia="Calibri" w:cs="Arial"/>
                  <w:sz w:val="14"/>
                  <w:szCs w:val="14"/>
                  <w:lang w:eastAsia="en-US"/>
                </w:rPr>
                <w:t>s27d</w:t>
              </w:r>
            </w:hyperlink>
            <w:r w:rsidRPr="00BF05F3">
              <w:rPr>
                <w:rFonts w:eastAsia="Calibri" w:cs="Arial"/>
                <w:sz w:val="14"/>
                <w:szCs w:val="14"/>
                <w:lang w:eastAsia="en-US"/>
              </w:rPr>
              <w:t xml:space="preserve"> and </w:t>
            </w:r>
            <w:hyperlink r:id="rId228" w:history="1">
              <w:r w:rsidRPr="006E6699">
                <w:rPr>
                  <w:rStyle w:val="Hyperlink"/>
                  <w:rFonts w:eastAsia="Calibri" w:cs="Arial"/>
                  <w:sz w:val="14"/>
                  <w:szCs w:val="14"/>
                  <w:lang w:eastAsia="en-US"/>
                </w:rPr>
                <w:t>s30</w:t>
              </w:r>
            </w:hyperlink>
            <w:r w:rsidRPr="00BF05F3">
              <w:rPr>
                <w:rFonts w:eastAsia="Calibri" w:cs="Arial"/>
                <w:sz w:val="14"/>
                <w:szCs w:val="14"/>
                <w:lang w:eastAsia="en-US"/>
              </w:rPr>
              <w:t>.</w:t>
            </w:r>
          </w:p>
          <w:p w14:paraId="3BA03F98" w14:textId="77777777" w:rsidR="00FA0B82" w:rsidRDefault="00FA0B82" w:rsidP="00662C41">
            <w:pPr>
              <w:spacing w:after="1920"/>
              <w:rPr>
                <w:rFonts w:eastAsia="Calibri" w:cs="Arial"/>
                <w:sz w:val="14"/>
                <w:szCs w:val="14"/>
                <w:lang w:eastAsia="en-US"/>
              </w:rPr>
            </w:pPr>
          </w:p>
          <w:p w14:paraId="0D9E579E" w14:textId="0DB47D9E" w:rsidR="00FA0B82" w:rsidRPr="00BF05F3" w:rsidRDefault="00FA0B82" w:rsidP="00B21723">
            <w:pPr>
              <w:spacing w:after="60"/>
              <w:rPr>
                <w:rFonts w:eastAsia="Calibri" w:cs="Arial"/>
                <w:sz w:val="14"/>
                <w:szCs w:val="14"/>
                <w:lang w:eastAsia="en-US"/>
              </w:rPr>
            </w:pPr>
            <w:r w:rsidRPr="00BF05F3">
              <w:rPr>
                <w:rFonts w:eastAsia="Calibri" w:cs="Arial"/>
                <w:sz w:val="14"/>
                <w:szCs w:val="14"/>
                <w:lang w:eastAsia="en-US"/>
              </w:rPr>
              <w:t xml:space="preserve">To a significant degree (for diseases) — </w:t>
            </w:r>
            <w:hyperlink r:id="rId229" w:history="1">
              <w:r w:rsidRPr="00BF05F3">
                <w:rPr>
                  <w:rFonts w:eastAsia="Calibri" w:cs="Arial"/>
                  <w:color w:val="0000FF"/>
                  <w:sz w:val="14"/>
                  <w:szCs w:val="14"/>
                  <w:u w:val="single"/>
                  <w:lang w:eastAsia="en-US"/>
                </w:rPr>
                <w:t>s5B</w:t>
              </w:r>
            </w:hyperlink>
            <w:r w:rsidRPr="00BF05F3">
              <w:rPr>
                <w:rFonts w:eastAsia="Calibri" w:cs="Arial"/>
                <w:sz w:val="14"/>
                <w:szCs w:val="14"/>
                <w:lang w:eastAsia="en-US"/>
              </w:rPr>
              <w:t xml:space="preserve"> with matter to be taken into account being set out in a non-exclusive list and with ‘significant degree’ being defined as ‘substantially more than material’.</w:t>
            </w:r>
          </w:p>
        </w:tc>
      </w:tr>
      <w:tr w:rsidR="00BF05F3" w:rsidRPr="00BF05F3" w14:paraId="03D01190" w14:textId="77777777" w:rsidTr="00FB729B">
        <w:tc>
          <w:tcPr>
            <w:tcW w:w="1587" w:type="dxa"/>
            <w:tcMar>
              <w:top w:w="80" w:type="dxa"/>
              <w:left w:w="80" w:type="dxa"/>
              <w:bottom w:w="80" w:type="dxa"/>
              <w:right w:w="80" w:type="dxa"/>
            </w:tcMar>
          </w:tcPr>
          <w:p w14:paraId="6106F174" w14:textId="7EB0D878"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Zealand</w:t>
            </w:r>
          </w:p>
        </w:tc>
        <w:tc>
          <w:tcPr>
            <w:tcW w:w="6894" w:type="dxa"/>
            <w:tcMar>
              <w:top w:w="80" w:type="dxa"/>
              <w:left w:w="80" w:type="dxa"/>
              <w:bottom w:w="80" w:type="dxa"/>
              <w:right w:w="80" w:type="dxa"/>
            </w:tcMar>
          </w:tcPr>
          <w:p w14:paraId="6269EC32" w14:textId="15E3EBD0" w:rsidR="00BF05F3" w:rsidRPr="009B4AE3" w:rsidRDefault="00BF05F3" w:rsidP="00B21723">
            <w:pPr>
              <w:spacing w:after="60"/>
              <w:rPr>
                <w:rFonts w:eastAsia="Calibri" w:cs="Arial"/>
                <w:i/>
                <w:sz w:val="14"/>
                <w:szCs w:val="14"/>
                <w:lang w:eastAsia="en-US"/>
              </w:rPr>
            </w:pPr>
            <w:r w:rsidRPr="00BF05F3">
              <w:rPr>
                <w:rFonts w:eastAsia="Calibri" w:cs="Arial"/>
                <w:sz w:val="14"/>
                <w:szCs w:val="14"/>
                <w:lang w:eastAsia="en-US"/>
              </w:rPr>
              <w:t xml:space="preserve">A work-related personal injury is a personal injury that a person suffers while he or she is at any place for the purposes of his or her employment — </w:t>
            </w:r>
            <w:hyperlink r:id="rId230" w:history="1">
              <w:r w:rsidRPr="00BF05F3">
                <w:rPr>
                  <w:rFonts w:eastAsia="Calibri" w:cs="Arial"/>
                  <w:color w:val="0000FF"/>
                  <w:sz w:val="14"/>
                  <w:szCs w:val="14"/>
                  <w:u w:val="single"/>
                  <w:lang w:eastAsia="en-US"/>
                </w:rPr>
                <w:t>s28</w:t>
              </w:r>
            </w:hyperlink>
            <w:r w:rsidR="009B4AE3">
              <w:rPr>
                <w:rFonts w:eastAsia="Calibri" w:cs="Arial"/>
                <w:sz w:val="14"/>
                <w:szCs w:val="14"/>
                <w:lang w:eastAsia="en-US"/>
              </w:rPr>
              <w:t xml:space="preserve">, </w:t>
            </w:r>
            <w:r w:rsidR="009B4AE3">
              <w:rPr>
                <w:rFonts w:eastAsia="Calibri" w:cs="Arial"/>
                <w:i/>
                <w:sz w:val="14"/>
                <w:szCs w:val="14"/>
                <w:lang w:eastAsia="en-US"/>
              </w:rPr>
              <w:t>Accident Compensation Act 2001.</w:t>
            </w:r>
          </w:p>
        </w:tc>
        <w:tc>
          <w:tcPr>
            <w:tcW w:w="6895" w:type="dxa"/>
            <w:tcMar>
              <w:top w:w="80" w:type="dxa"/>
              <w:left w:w="80" w:type="dxa"/>
              <w:bottom w:w="80" w:type="dxa"/>
              <w:right w:w="80" w:type="dxa"/>
            </w:tcMar>
          </w:tcPr>
          <w:p w14:paraId="14971A13" w14:textId="49507FBE"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A work-related personal injury is a personal injury that a person suffers while he or she is at any place for the purposes of his or her employ</w:t>
            </w:r>
            <w:r w:rsidR="008B24D1">
              <w:rPr>
                <w:rFonts w:eastAsia="Calibri" w:cs="Arial"/>
                <w:sz w:val="14"/>
                <w:szCs w:val="14"/>
                <w:lang w:eastAsia="en-US"/>
              </w:rPr>
              <w:t xml:space="preserve">ment — </w:t>
            </w:r>
            <w:hyperlink r:id="rId231" w:history="1">
              <w:r w:rsidR="006E6699" w:rsidRPr="00BF05F3">
                <w:rPr>
                  <w:rFonts w:eastAsia="Calibri" w:cs="Arial"/>
                  <w:color w:val="0000FF"/>
                  <w:sz w:val="14"/>
                  <w:szCs w:val="14"/>
                  <w:u w:val="single"/>
                  <w:lang w:eastAsia="en-US"/>
                </w:rPr>
                <w:t>s28</w:t>
              </w:r>
            </w:hyperlink>
            <w:r w:rsidR="008B24D1">
              <w:rPr>
                <w:rFonts w:eastAsia="Calibri" w:cs="Arial"/>
                <w:sz w:val="14"/>
                <w:szCs w:val="14"/>
                <w:lang w:eastAsia="en-US"/>
              </w:rPr>
              <w:t>.</w:t>
            </w:r>
          </w:p>
        </w:tc>
      </w:tr>
      <w:bookmarkEnd w:id="51"/>
    </w:tbl>
    <w:p w14:paraId="58B9C80B" w14:textId="77777777" w:rsidR="00C66972" w:rsidRPr="00C66972" w:rsidRDefault="00C66972" w:rsidP="00C66972">
      <w:pPr>
        <w:spacing w:after="200" w:line="276" w:lineRule="auto"/>
        <w:rPr>
          <w:rFonts w:eastAsiaTheme="minorHAnsi"/>
        </w:rPr>
      </w:pPr>
      <w:r w:rsidRPr="00C66972">
        <w:rPr>
          <w:rFonts w:eastAsiaTheme="minorHAnsi"/>
        </w:rPr>
        <w:br w:type="page"/>
      </w:r>
    </w:p>
    <w:p w14:paraId="6A3C2F67" w14:textId="6C547FC6" w:rsidR="00BF05F3" w:rsidRPr="00A80282" w:rsidRDefault="00BF05F3" w:rsidP="00A80282">
      <w:pPr>
        <w:pStyle w:val="SWATableheader"/>
      </w:pPr>
      <w:bookmarkStart w:id="52" w:name="_Toc504654642"/>
      <w:r w:rsidRPr="00A80282">
        <w:rPr>
          <w:rStyle w:val="SWATableheaderChar"/>
          <w:b/>
        </w:rPr>
        <w:lastRenderedPageBreak/>
        <w:t>Table 2.4e: Coverage of retirement provisions</w:t>
      </w:r>
      <w:bookmarkEnd w:id="52"/>
      <w:r w:rsidRPr="00A80282">
        <w:t xml:space="preserve"> </w:t>
      </w:r>
      <w:r w:rsidR="00184441" w:rsidRPr="00A80282">
        <w:fldChar w:fldCharType="begin"/>
      </w:r>
      <w:r w:rsidR="00184441" w:rsidRPr="00A80282">
        <w:instrText xml:space="preserve"> XE "coverage of workers:retirement provisions" </w:instrText>
      </w:r>
      <w:r w:rsidR="00184441" w:rsidRPr="00A80282">
        <w:fldChar w:fldCharType="end"/>
      </w:r>
      <w:r w:rsidR="00232E14" w:rsidRPr="00A80282">
        <w:fldChar w:fldCharType="begin"/>
      </w:r>
      <w:r w:rsidR="00232E14" w:rsidRPr="00A80282">
        <w:instrText xml:space="preserve"> XE "retirement provisions" </w:instrText>
      </w:r>
      <w:r w:rsidR="00232E1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b: Guidelines and information for determining coverage of workers  "/>
        <w:tblDescription w:val="This table provides information about the coverage of retirement provisions. "/>
      </w:tblPr>
      <w:tblGrid>
        <w:gridCol w:w="1591"/>
        <w:gridCol w:w="13785"/>
      </w:tblGrid>
      <w:tr w:rsidR="00BF05F3" w:rsidRPr="00BF05F3" w14:paraId="12F6D743" w14:textId="77777777" w:rsidTr="00FB729B">
        <w:trPr>
          <w:tblHeader/>
        </w:trPr>
        <w:tc>
          <w:tcPr>
            <w:tcW w:w="1591" w:type="dxa"/>
            <w:shd w:val="clear" w:color="auto" w:fill="C00000"/>
            <w:tcMar>
              <w:top w:w="0" w:type="dxa"/>
              <w:left w:w="0" w:type="dxa"/>
              <w:bottom w:w="0" w:type="dxa"/>
              <w:right w:w="0" w:type="dxa"/>
            </w:tcMar>
            <w:vAlign w:val="center"/>
          </w:tcPr>
          <w:p w14:paraId="21F3615B" w14:textId="77777777" w:rsidR="00BF05F3" w:rsidRPr="00BF05F3" w:rsidRDefault="00BF05F3" w:rsidP="00B21723">
            <w:pPr>
              <w:spacing w:after="60" w:line="276" w:lineRule="auto"/>
              <w:rPr>
                <w:rFonts w:ascii="Calibri" w:eastAsia="Calibri" w:hAnsi="Calibri"/>
                <w:sz w:val="22"/>
                <w:szCs w:val="22"/>
                <w:lang w:eastAsia="en-US"/>
              </w:rPr>
            </w:pPr>
          </w:p>
        </w:tc>
        <w:tc>
          <w:tcPr>
            <w:tcW w:w="13785" w:type="dxa"/>
            <w:shd w:val="clear" w:color="auto" w:fill="C00000"/>
            <w:tcMar>
              <w:top w:w="0" w:type="dxa"/>
              <w:left w:w="0" w:type="dxa"/>
              <w:bottom w:w="0" w:type="dxa"/>
              <w:right w:w="0" w:type="dxa"/>
            </w:tcMar>
            <w:vAlign w:val="center"/>
          </w:tcPr>
          <w:p w14:paraId="10EA98DC"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Retirement provisions</w:t>
            </w:r>
          </w:p>
        </w:tc>
      </w:tr>
      <w:tr w:rsidR="00BF05F3" w:rsidRPr="00BF05F3" w14:paraId="5F890B97" w14:textId="77777777" w:rsidTr="00FB729B">
        <w:tc>
          <w:tcPr>
            <w:tcW w:w="1591" w:type="dxa"/>
            <w:shd w:val="clear" w:color="auto" w:fill="FFC9C9"/>
            <w:tcMar>
              <w:top w:w="80" w:type="dxa"/>
              <w:left w:w="80" w:type="dxa"/>
              <w:bottom w:w="80" w:type="dxa"/>
              <w:right w:w="80" w:type="dxa"/>
            </w:tcMar>
          </w:tcPr>
          <w:p w14:paraId="22ACE6AE"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South Wales</w:t>
            </w:r>
          </w:p>
        </w:tc>
        <w:tc>
          <w:tcPr>
            <w:tcW w:w="13785" w:type="dxa"/>
            <w:shd w:val="clear" w:color="auto" w:fill="FFC9C9"/>
            <w:tcMar>
              <w:top w:w="80" w:type="dxa"/>
              <w:left w:w="80" w:type="dxa"/>
              <w:bottom w:w="80" w:type="dxa"/>
              <w:right w:w="80" w:type="dxa"/>
            </w:tcMar>
          </w:tcPr>
          <w:p w14:paraId="5E1A63AC" w14:textId="77777777" w:rsidR="00BF05F3" w:rsidRPr="00BF05F3" w:rsidRDefault="00BF05F3" w:rsidP="00B21723">
            <w:pPr>
              <w:spacing w:after="60"/>
              <w:rPr>
                <w:rFonts w:eastAsia="Calibri" w:cs="Arial"/>
                <w:i/>
                <w:color w:val="0000FF"/>
                <w:sz w:val="14"/>
                <w:szCs w:val="14"/>
                <w:u w:val="single"/>
                <w:lang w:eastAsia="en-US"/>
              </w:rPr>
            </w:pPr>
            <w:r w:rsidRPr="00BF05F3">
              <w:rPr>
                <w:rFonts w:eastAsia="Calibri" w:cs="Arial"/>
                <w:sz w:val="14"/>
                <w:szCs w:val="14"/>
                <w:lang w:eastAsia="en-US"/>
              </w:rPr>
              <w:t xml:space="preserve">Retiring age means the age the person would, subject to satisfying any other qualifying requirements, be eligible to receive an age pension under the </w:t>
            </w:r>
            <w:hyperlink r:id="rId232" w:history="1">
              <w:r w:rsidRPr="00BF05F3">
                <w:rPr>
                  <w:rFonts w:eastAsia="Calibri" w:cs="Arial"/>
                  <w:i/>
                  <w:color w:val="0000FF"/>
                  <w:sz w:val="14"/>
                  <w:szCs w:val="14"/>
                  <w:u w:val="single"/>
                  <w:lang w:eastAsia="en-US"/>
                </w:rPr>
                <w:t>Commonwealth Social Security Act 1991</w:t>
              </w:r>
            </w:hyperlink>
          </w:p>
          <w:p w14:paraId="356E9BBF" w14:textId="0ABD71E2"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If the injury occurs before reaching retiring age:</w:t>
            </w:r>
            <w:r w:rsidR="000709F5">
              <w:rPr>
                <w:rFonts w:eastAsia="Calibri" w:cs="Arial"/>
                <w:sz w:val="14"/>
                <w:szCs w:val="14"/>
                <w:lang w:eastAsia="en-US"/>
              </w:rPr>
              <w:t xml:space="preserve"> </w:t>
            </w:r>
            <w:r w:rsidR="000709F5">
              <w:rPr>
                <w:rFonts w:cs="Arial"/>
                <w:color w:val="000000"/>
                <w:sz w:val="14"/>
                <w:szCs w:val="14"/>
                <w:lang w:val="en"/>
              </w:rPr>
              <w:t>a weekly payment of compensation is not to be made in respect of any resulting period of incapacity for work occurring after the first anniversary of the date on which that person reaches the retiring age</w:t>
            </w:r>
            <w:r w:rsidRPr="00BF05F3">
              <w:rPr>
                <w:rFonts w:eastAsia="Calibri" w:cs="Arial"/>
                <w:sz w:val="14"/>
                <w:szCs w:val="14"/>
                <w:lang w:eastAsia="en-US"/>
              </w:rPr>
              <w:t xml:space="preserve">. </w:t>
            </w:r>
          </w:p>
          <w:p w14:paraId="6F59B531" w14:textId="3644496B" w:rsidR="00BF05F3" w:rsidRPr="00BF05F3" w:rsidRDefault="00BF05F3" w:rsidP="00185383">
            <w:pPr>
              <w:spacing w:after="60"/>
              <w:rPr>
                <w:rFonts w:eastAsia="Calibri" w:cs="Arial"/>
                <w:sz w:val="14"/>
                <w:szCs w:val="14"/>
                <w:lang w:eastAsia="en-US"/>
              </w:rPr>
            </w:pPr>
            <w:r w:rsidRPr="00BF05F3">
              <w:rPr>
                <w:rFonts w:eastAsia="Calibri" w:cs="Arial"/>
                <w:sz w:val="14"/>
                <w:szCs w:val="14"/>
                <w:lang w:eastAsia="en-US"/>
              </w:rPr>
              <w:t xml:space="preserve">If the injury occurs on or after retiring age: </w:t>
            </w:r>
            <w:r w:rsidR="000709F5">
              <w:rPr>
                <w:rFonts w:cs="Arial"/>
                <w:color w:val="000000"/>
                <w:sz w:val="14"/>
                <w:szCs w:val="14"/>
                <w:lang w:val="en"/>
              </w:rPr>
              <w:t>a weekly payment of compensation shall not be made in respect of any resulting period of incapacity for work occurring more than 12 months after the first occasion of incapacity for work resulting from the injury</w:t>
            </w:r>
            <w:r w:rsidR="000709F5" w:rsidRPr="00BF05F3" w:rsidDel="000709F5">
              <w:rPr>
                <w:rFonts w:eastAsia="Calibri" w:cs="Arial"/>
                <w:sz w:val="14"/>
                <w:szCs w:val="14"/>
                <w:lang w:eastAsia="en-US"/>
              </w:rPr>
              <w:t xml:space="preserve"> </w:t>
            </w:r>
            <w:r w:rsidR="00780EAA">
              <w:rPr>
                <w:rFonts w:eastAsia="Calibri" w:cs="Arial"/>
                <w:sz w:val="14"/>
                <w:szCs w:val="14"/>
                <w:lang w:eastAsia="en-US"/>
              </w:rPr>
              <w:t>(</w:t>
            </w:r>
            <w:hyperlink r:id="rId233" w:history="1">
              <w:r w:rsidR="00780EAA" w:rsidRPr="00780EAA">
                <w:rPr>
                  <w:rStyle w:val="Hyperlink"/>
                  <w:rFonts w:eastAsia="Calibri" w:cs="Arial"/>
                  <w:sz w:val="14"/>
                  <w:szCs w:val="14"/>
                  <w:lang w:eastAsia="en-US"/>
                </w:rPr>
                <w:t>s</w:t>
              </w:r>
              <w:r w:rsidRPr="00780EAA">
                <w:rPr>
                  <w:rStyle w:val="Hyperlink"/>
                  <w:rFonts w:eastAsia="Calibri" w:cs="Arial"/>
                  <w:sz w:val="14"/>
                  <w:szCs w:val="14"/>
                  <w:lang w:eastAsia="en-US"/>
                </w:rPr>
                <w:t>52</w:t>
              </w:r>
            </w:hyperlink>
            <w:r w:rsidR="00185383">
              <w:rPr>
                <w:rFonts w:eastAsia="Calibri" w:cs="Arial"/>
                <w:sz w:val="14"/>
                <w:szCs w:val="14"/>
                <w:lang w:eastAsia="en-US"/>
              </w:rPr>
              <w:t xml:space="preserve">, </w:t>
            </w:r>
            <w:r w:rsidR="00185383" w:rsidRPr="00185383">
              <w:rPr>
                <w:rFonts w:eastAsia="Calibri" w:cs="Arial"/>
                <w:i/>
                <w:sz w:val="14"/>
                <w:szCs w:val="14"/>
                <w:lang w:eastAsia="en-US"/>
              </w:rPr>
              <w:t>Workers Compensation Act 1987</w:t>
            </w:r>
            <w:r w:rsidRPr="00BF05F3">
              <w:rPr>
                <w:rFonts w:eastAsia="Calibri" w:cs="Arial"/>
                <w:sz w:val="14"/>
                <w:szCs w:val="14"/>
                <w:lang w:eastAsia="en-US"/>
              </w:rPr>
              <w:t>)</w:t>
            </w:r>
            <w:r w:rsidR="008B24D1">
              <w:rPr>
                <w:rFonts w:eastAsia="Calibri" w:cs="Arial"/>
                <w:sz w:val="14"/>
                <w:szCs w:val="14"/>
                <w:lang w:eastAsia="en-US"/>
              </w:rPr>
              <w:t>.</w:t>
            </w:r>
          </w:p>
        </w:tc>
      </w:tr>
      <w:tr w:rsidR="00BF05F3" w:rsidRPr="00BF05F3" w14:paraId="1DD20EAE" w14:textId="77777777" w:rsidTr="00FB729B">
        <w:tc>
          <w:tcPr>
            <w:tcW w:w="1591" w:type="dxa"/>
            <w:tcMar>
              <w:top w:w="80" w:type="dxa"/>
              <w:left w:w="80" w:type="dxa"/>
              <w:bottom w:w="80" w:type="dxa"/>
              <w:right w:w="80" w:type="dxa"/>
            </w:tcMar>
          </w:tcPr>
          <w:p w14:paraId="278E8430" w14:textId="77777777" w:rsidR="00BF05F3" w:rsidRPr="00BF05F3" w:rsidRDefault="00BF05F3" w:rsidP="00B21723">
            <w:pPr>
              <w:spacing w:after="60"/>
              <w:rPr>
                <w:rFonts w:eastAsia="Calibri" w:cs="Arial"/>
                <w:b/>
                <w:sz w:val="16"/>
                <w:szCs w:val="16"/>
                <w:highlight w:val="yellow"/>
                <w:lang w:eastAsia="en-US"/>
              </w:rPr>
            </w:pPr>
            <w:r w:rsidRPr="00BF05F3">
              <w:rPr>
                <w:rFonts w:eastAsia="Calibri" w:cs="Arial"/>
                <w:b/>
                <w:sz w:val="16"/>
                <w:szCs w:val="16"/>
                <w:lang w:eastAsia="en-US"/>
              </w:rPr>
              <w:t>Victoria</w:t>
            </w:r>
          </w:p>
        </w:tc>
        <w:tc>
          <w:tcPr>
            <w:tcW w:w="13785" w:type="dxa"/>
            <w:tcMar>
              <w:top w:w="80" w:type="dxa"/>
              <w:left w:w="80" w:type="dxa"/>
              <w:bottom w:w="80" w:type="dxa"/>
              <w:right w:w="80" w:type="dxa"/>
            </w:tcMar>
          </w:tcPr>
          <w:p w14:paraId="4C781FE2" w14:textId="6DF8C3A1" w:rsidR="00A93AA7" w:rsidRPr="00656459" w:rsidRDefault="00A93AA7" w:rsidP="00A93AA7">
            <w:pPr>
              <w:spacing w:after="60"/>
              <w:rPr>
                <w:rFonts w:eastAsia="Calibri" w:cs="Arial"/>
                <w:sz w:val="14"/>
                <w:szCs w:val="14"/>
                <w:lang w:eastAsia="en-US"/>
              </w:rPr>
            </w:pPr>
            <w:r>
              <w:rPr>
                <w:rFonts w:eastAsia="Calibri" w:cs="Arial"/>
                <w:sz w:val="14"/>
                <w:szCs w:val="14"/>
                <w:lang w:eastAsia="en-US"/>
              </w:rPr>
              <w:t xml:space="preserve">Retirement age means the age at which the worker attains pension age within the meaning of the </w:t>
            </w:r>
            <w:r>
              <w:rPr>
                <w:rFonts w:eastAsia="Calibri" w:cs="Arial"/>
                <w:i/>
                <w:sz w:val="14"/>
                <w:szCs w:val="14"/>
                <w:lang w:eastAsia="en-US"/>
              </w:rPr>
              <w:t>Socia</w:t>
            </w:r>
            <w:r w:rsidR="00F06D44">
              <w:rPr>
                <w:rFonts w:eastAsia="Calibri" w:cs="Arial"/>
                <w:i/>
                <w:sz w:val="14"/>
                <w:szCs w:val="14"/>
                <w:lang w:eastAsia="en-US"/>
              </w:rPr>
              <w:t>l</w:t>
            </w:r>
            <w:r>
              <w:rPr>
                <w:rFonts w:eastAsia="Calibri" w:cs="Arial"/>
                <w:i/>
                <w:sz w:val="14"/>
                <w:szCs w:val="14"/>
                <w:lang w:eastAsia="en-US"/>
              </w:rPr>
              <w:t xml:space="preserve"> Security Act 1991 </w:t>
            </w:r>
            <w:r>
              <w:rPr>
                <w:rFonts w:eastAsia="Calibri" w:cs="Arial"/>
                <w:sz w:val="14"/>
                <w:szCs w:val="14"/>
                <w:lang w:eastAsia="en-US"/>
              </w:rPr>
              <w:t xml:space="preserve">(Cth). </w:t>
            </w:r>
          </w:p>
          <w:p w14:paraId="2171E13C" w14:textId="001781B8" w:rsidR="00BF05F3" w:rsidRPr="00BF05F3" w:rsidRDefault="00A93AA7" w:rsidP="00A93AA7">
            <w:pPr>
              <w:spacing w:after="60"/>
              <w:rPr>
                <w:rFonts w:eastAsia="Calibri" w:cs="Arial"/>
                <w:sz w:val="14"/>
                <w:szCs w:val="14"/>
                <w:lang w:eastAsia="en-US"/>
              </w:rPr>
            </w:pPr>
            <w:r w:rsidRPr="000C6B60">
              <w:rPr>
                <w:rFonts w:eastAsia="Calibri" w:cs="Arial"/>
                <w:sz w:val="14"/>
                <w:szCs w:val="14"/>
                <w:lang w:eastAsia="en-US"/>
              </w:rPr>
              <w:t xml:space="preserve">Under </w:t>
            </w:r>
            <w:hyperlink r:id="rId234" w:history="1">
              <w:r w:rsidRPr="00780EAA">
                <w:rPr>
                  <w:rStyle w:val="Hyperlink"/>
                  <w:rFonts w:eastAsia="Calibri" w:cs="Arial"/>
                  <w:sz w:val="14"/>
                  <w:szCs w:val="14"/>
                  <w:lang w:eastAsia="en-US"/>
                </w:rPr>
                <w:t>section 171</w:t>
              </w:r>
            </w:hyperlink>
            <w:r>
              <w:rPr>
                <w:rFonts w:eastAsia="Calibri" w:cs="Arial"/>
                <w:sz w:val="14"/>
                <w:szCs w:val="14"/>
                <w:lang w:eastAsia="en-US"/>
              </w:rPr>
              <w:t>, workers are not normally entitled to payments under the Act after attaining retirement age, except in the following circumstances:</w:t>
            </w:r>
          </w:p>
          <w:p w14:paraId="28DA6C54" w14:textId="56C0DBD0" w:rsidR="00BF05F3" w:rsidRPr="00A80E4D" w:rsidRDefault="00BF05F3" w:rsidP="00F839DB">
            <w:pPr>
              <w:pStyle w:val="ListParagraph"/>
              <w:numPr>
                <w:ilvl w:val="0"/>
                <w:numId w:val="417"/>
              </w:numPr>
              <w:spacing w:after="60"/>
              <w:contextualSpacing/>
              <w:rPr>
                <w:rFonts w:eastAsia="Calibri" w:cs="Arial"/>
                <w:sz w:val="14"/>
                <w:szCs w:val="14"/>
                <w:lang w:eastAsia="en-US"/>
              </w:rPr>
            </w:pPr>
            <w:r w:rsidRPr="00A80E4D">
              <w:rPr>
                <w:rFonts w:eastAsia="Calibri" w:cs="Arial"/>
                <w:sz w:val="14"/>
                <w:szCs w:val="14"/>
                <w:lang w:eastAsia="en-US"/>
              </w:rPr>
              <w:t xml:space="preserve">if injured within the period of 130 weeks before attaining retirement age or at any time after attaining that age, the worker is entitled to weekly payments for no more than the first 130 weeks of incapacity for work — </w:t>
            </w:r>
            <w:hyperlink r:id="rId235" w:history="1">
              <w:r w:rsidRPr="00780EAA">
                <w:rPr>
                  <w:rStyle w:val="Hyperlink"/>
                  <w:rFonts w:eastAsia="Calibri" w:cs="Arial"/>
                  <w:sz w:val="14"/>
                  <w:szCs w:val="14"/>
                  <w:lang w:eastAsia="en-US"/>
                </w:rPr>
                <w:t>s169</w:t>
              </w:r>
            </w:hyperlink>
            <w:r w:rsidRPr="00A80E4D">
              <w:rPr>
                <w:rFonts w:eastAsia="Calibri" w:cs="Arial"/>
                <w:sz w:val="14"/>
                <w:szCs w:val="14"/>
                <w:lang w:eastAsia="en-US"/>
              </w:rPr>
              <w:t>,</w:t>
            </w:r>
            <w:r w:rsidR="00185383" w:rsidRPr="00185383">
              <w:rPr>
                <w:rFonts w:eastAsia="Calibri" w:cs="Arial"/>
                <w:i/>
                <w:sz w:val="14"/>
                <w:szCs w:val="14"/>
                <w:lang w:eastAsia="en-US"/>
              </w:rPr>
              <w:t xml:space="preserve"> Workplace Injury Rehabilitation and Compensation Act 2013</w:t>
            </w:r>
            <w:r w:rsidRPr="00A80E4D">
              <w:rPr>
                <w:rFonts w:eastAsia="Calibri" w:cs="Arial"/>
                <w:sz w:val="14"/>
                <w:szCs w:val="14"/>
                <w:lang w:eastAsia="en-US"/>
              </w:rPr>
              <w:t xml:space="preserve"> or</w:t>
            </w:r>
          </w:p>
          <w:p w14:paraId="5E7A8876" w14:textId="040D8C4E" w:rsidR="00BF05F3" w:rsidRPr="00A80E4D" w:rsidRDefault="00BF05F3" w:rsidP="00F839DB">
            <w:pPr>
              <w:pStyle w:val="ListParagraph"/>
              <w:numPr>
                <w:ilvl w:val="0"/>
                <w:numId w:val="417"/>
              </w:numPr>
              <w:spacing w:after="60"/>
              <w:contextualSpacing/>
              <w:rPr>
                <w:rFonts w:eastAsia="Calibri" w:cs="Arial"/>
                <w:sz w:val="14"/>
                <w:szCs w:val="14"/>
                <w:lang w:eastAsia="en-US"/>
              </w:rPr>
            </w:pPr>
            <w:r w:rsidRPr="00A80E4D">
              <w:rPr>
                <w:rFonts w:eastAsia="Calibri" w:cs="Arial"/>
                <w:sz w:val="14"/>
                <w:szCs w:val="14"/>
                <w:lang w:eastAsia="en-US"/>
              </w:rPr>
              <w:t xml:space="preserve">if worker’s incapacity after reaching retirement age relates to an injury suffered within the preceding 10 years and if the incapacity is due to inpatient treatment, the worker is entitled to weekly payments for a limited period of up to 13 weeks — </w:t>
            </w:r>
            <w:hyperlink r:id="rId236" w:history="1">
              <w:r w:rsidRPr="00780EAA">
                <w:rPr>
                  <w:rStyle w:val="Hyperlink"/>
                  <w:rFonts w:eastAsia="Calibri" w:cs="Arial"/>
                  <w:sz w:val="14"/>
                  <w:szCs w:val="14"/>
                  <w:lang w:eastAsia="en-US"/>
                </w:rPr>
                <w:t>s170</w:t>
              </w:r>
            </w:hyperlink>
            <w:r w:rsidR="00185383">
              <w:rPr>
                <w:rFonts w:eastAsia="Calibri" w:cs="Arial"/>
                <w:sz w:val="14"/>
                <w:szCs w:val="14"/>
                <w:lang w:eastAsia="en-US"/>
              </w:rPr>
              <w:t>, 2013 Act</w:t>
            </w:r>
            <w:r w:rsidR="000464BF">
              <w:rPr>
                <w:rFonts w:eastAsia="Calibri" w:cs="Arial"/>
                <w:sz w:val="14"/>
                <w:szCs w:val="14"/>
                <w:lang w:eastAsia="en-US"/>
              </w:rPr>
              <w:t>.</w:t>
            </w:r>
          </w:p>
        </w:tc>
      </w:tr>
      <w:tr w:rsidR="00BF05F3" w:rsidRPr="00BF05F3" w14:paraId="77C0A83D" w14:textId="77777777" w:rsidTr="00FB729B">
        <w:tc>
          <w:tcPr>
            <w:tcW w:w="1591" w:type="dxa"/>
            <w:shd w:val="clear" w:color="auto" w:fill="FFC9C9"/>
            <w:tcMar>
              <w:top w:w="80" w:type="dxa"/>
              <w:left w:w="80" w:type="dxa"/>
              <w:bottom w:w="80" w:type="dxa"/>
              <w:right w:w="80" w:type="dxa"/>
            </w:tcMar>
          </w:tcPr>
          <w:p w14:paraId="1E89EDB3"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Queensland</w:t>
            </w:r>
          </w:p>
        </w:tc>
        <w:tc>
          <w:tcPr>
            <w:tcW w:w="13785" w:type="dxa"/>
            <w:shd w:val="clear" w:color="auto" w:fill="FFC9C9"/>
            <w:tcMar>
              <w:top w:w="80" w:type="dxa"/>
              <w:left w:w="80" w:type="dxa"/>
              <w:bottom w:w="80" w:type="dxa"/>
              <w:right w:w="80" w:type="dxa"/>
            </w:tcMar>
          </w:tcPr>
          <w:p w14:paraId="2C70A041" w14:textId="28271298"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Queensland does not include retirement age provisions in its workers’ compensation legislation. The Queensland workers’ compensation scheme does not have an age cut-off for access or benefits. Instead benefits are only payable to injured workers (no matter what age) until the injury is stable and stationary or for a maximum of five years.</w:t>
            </w:r>
            <w:r w:rsidR="00185383">
              <w:rPr>
                <w:rFonts w:eastAsia="Calibri" w:cs="Arial"/>
                <w:sz w:val="14"/>
                <w:szCs w:val="14"/>
                <w:lang w:eastAsia="en-US"/>
              </w:rPr>
              <w:t xml:space="preserve"> </w:t>
            </w:r>
          </w:p>
        </w:tc>
      </w:tr>
      <w:tr w:rsidR="00BF05F3" w:rsidRPr="00BF05F3" w14:paraId="435EB793" w14:textId="77777777" w:rsidTr="00FB729B">
        <w:tc>
          <w:tcPr>
            <w:tcW w:w="1591" w:type="dxa"/>
            <w:tcMar>
              <w:top w:w="80" w:type="dxa"/>
              <w:left w:w="79" w:type="dxa"/>
              <w:bottom w:w="80" w:type="dxa"/>
              <w:right w:w="80" w:type="dxa"/>
            </w:tcMar>
          </w:tcPr>
          <w:p w14:paraId="35032911"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Western Australia</w:t>
            </w:r>
          </w:p>
        </w:tc>
        <w:tc>
          <w:tcPr>
            <w:tcW w:w="13785" w:type="dxa"/>
            <w:shd w:val="clear" w:color="auto" w:fill="auto"/>
            <w:tcMar>
              <w:top w:w="80" w:type="dxa"/>
              <w:left w:w="80" w:type="dxa"/>
              <w:bottom w:w="80" w:type="dxa"/>
              <w:right w:w="80" w:type="dxa"/>
            </w:tcMar>
          </w:tcPr>
          <w:p w14:paraId="554B4339" w14:textId="579D021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No retirement provisions in the </w:t>
            </w:r>
            <w:hyperlink r:id="rId237" w:history="1">
              <w:r w:rsidRPr="00BF05F3">
                <w:rPr>
                  <w:rFonts w:eastAsia="Calibri" w:cs="Arial"/>
                  <w:i/>
                  <w:color w:val="0000FF"/>
                  <w:sz w:val="14"/>
                  <w:szCs w:val="14"/>
                  <w:u w:val="single"/>
                  <w:lang w:eastAsia="en-US"/>
                </w:rPr>
                <w:t>Workers’ Compensation and Injury Management Act 1981</w:t>
              </w:r>
            </w:hyperlink>
            <w:r w:rsidRPr="00BF05F3">
              <w:rPr>
                <w:rFonts w:eastAsia="Calibri" w:cs="Arial"/>
                <w:sz w:val="14"/>
                <w:szCs w:val="14"/>
                <w:lang w:eastAsia="en-US"/>
              </w:rPr>
              <w:t>. Age restrictions were removed on 1 October 2011.</w:t>
            </w:r>
          </w:p>
        </w:tc>
      </w:tr>
      <w:tr w:rsidR="00BF05F3" w:rsidRPr="00BF05F3" w14:paraId="55C69713" w14:textId="77777777" w:rsidTr="00FB729B">
        <w:tc>
          <w:tcPr>
            <w:tcW w:w="1591" w:type="dxa"/>
            <w:shd w:val="clear" w:color="auto" w:fill="FFC9C9"/>
            <w:tcMar>
              <w:top w:w="80" w:type="dxa"/>
              <w:left w:w="80" w:type="dxa"/>
              <w:bottom w:w="80" w:type="dxa"/>
              <w:right w:w="80" w:type="dxa"/>
            </w:tcMar>
          </w:tcPr>
          <w:p w14:paraId="23B56263"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South Australia</w:t>
            </w:r>
          </w:p>
        </w:tc>
        <w:tc>
          <w:tcPr>
            <w:tcW w:w="13785" w:type="dxa"/>
            <w:shd w:val="clear" w:color="auto" w:fill="FFC9C9"/>
            <w:tcMar>
              <w:top w:w="80" w:type="dxa"/>
              <w:left w:w="80" w:type="dxa"/>
              <w:bottom w:w="80" w:type="dxa"/>
              <w:right w:w="80" w:type="dxa"/>
            </w:tcMar>
          </w:tcPr>
          <w:p w14:paraId="008C3D98"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Under section 44, retiring age means the lesser of the normal retiring age for workers in that particular employment or, subject to satisfying any other qualifying requirements, be eligible to receive an age pension under the </w:t>
            </w:r>
            <w:hyperlink r:id="rId238" w:history="1">
              <w:r w:rsidRPr="00BF05F3">
                <w:rPr>
                  <w:rFonts w:eastAsia="Calibri" w:cs="Arial"/>
                  <w:i/>
                  <w:color w:val="0000FF"/>
                  <w:sz w:val="14"/>
                  <w:szCs w:val="14"/>
                  <w:u w:val="single"/>
                  <w:lang w:eastAsia="en-US"/>
                </w:rPr>
                <w:t>Social Security Act 1991</w:t>
              </w:r>
            </w:hyperlink>
            <w:r w:rsidRPr="00BF05F3">
              <w:rPr>
                <w:rFonts w:eastAsia="Calibri" w:cs="Arial"/>
                <w:sz w:val="14"/>
                <w:szCs w:val="14"/>
                <w:lang w:eastAsia="en-US"/>
              </w:rPr>
              <w:t xml:space="preserve"> (Cth). </w:t>
            </w:r>
          </w:p>
          <w:p w14:paraId="1F23AA97" w14:textId="12D62EA5" w:rsidR="00BF05F3" w:rsidRPr="00185383" w:rsidRDefault="00BF05F3" w:rsidP="00B21723">
            <w:pPr>
              <w:spacing w:after="60"/>
              <w:rPr>
                <w:rFonts w:eastAsia="Calibri" w:cs="Arial"/>
                <w:i/>
                <w:sz w:val="14"/>
                <w:szCs w:val="14"/>
                <w:lang w:eastAsia="en-US"/>
              </w:rPr>
            </w:pPr>
            <w:r w:rsidRPr="00BF05F3">
              <w:rPr>
                <w:rFonts w:eastAsia="Calibri" w:cs="Arial"/>
                <w:sz w:val="14"/>
                <w:szCs w:val="14"/>
                <w:lang w:eastAsia="en-US"/>
              </w:rPr>
              <w:t xml:space="preserve">If a worker is above or within 2 years of their retiring age weekly payments are payable for a maximum of two years </w:t>
            </w:r>
            <w:hyperlink r:id="rId239" w:history="1">
              <w:r w:rsidRPr="00BF05F3">
                <w:rPr>
                  <w:rFonts w:eastAsia="Calibri" w:cs="Arial"/>
                  <w:color w:val="0000FF"/>
                  <w:sz w:val="14"/>
                  <w:szCs w:val="14"/>
                  <w:u w:val="single"/>
                  <w:lang w:eastAsia="en-US"/>
                </w:rPr>
                <w:t>s44(3)</w:t>
              </w:r>
            </w:hyperlink>
            <w:r w:rsidR="00185383">
              <w:rPr>
                <w:rFonts w:eastAsia="Calibri" w:cs="Arial"/>
                <w:sz w:val="14"/>
                <w:szCs w:val="14"/>
                <w:lang w:eastAsia="en-US"/>
              </w:rPr>
              <w:t xml:space="preserve">, </w:t>
            </w:r>
            <w:r w:rsidR="00185383">
              <w:rPr>
                <w:rFonts w:eastAsia="Calibri" w:cs="Arial"/>
                <w:i/>
                <w:sz w:val="14"/>
                <w:szCs w:val="14"/>
                <w:lang w:eastAsia="en-US"/>
              </w:rPr>
              <w:t>Return to Work Act 2014.</w:t>
            </w:r>
          </w:p>
          <w:p w14:paraId="36542971"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Subject to the usual compensability thresholds, workers who are seriously injured are entitled to medical expenses for life.</w:t>
            </w:r>
          </w:p>
        </w:tc>
      </w:tr>
      <w:tr w:rsidR="00BF05F3" w:rsidRPr="00BF05F3" w14:paraId="48B29042" w14:textId="77777777" w:rsidTr="00FB729B">
        <w:tc>
          <w:tcPr>
            <w:tcW w:w="1591" w:type="dxa"/>
            <w:tcMar>
              <w:top w:w="80" w:type="dxa"/>
              <w:left w:w="80" w:type="dxa"/>
              <w:bottom w:w="80" w:type="dxa"/>
              <w:right w:w="80" w:type="dxa"/>
            </w:tcMar>
          </w:tcPr>
          <w:p w14:paraId="3E9E8CEB"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Tasmania</w:t>
            </w:r>
          </w:p>
        </w:tc>
        <w:tc>
          <w:tcPr>
            <w:tcW w:w="13785" w:type="dxa"/>
            <w:tcMar>
              <w:top w:w="80" w:type="dxa"/>
              <w:left w:w="80" w:type="dxa"/>
              <w:bottom w:w="80" w:type="dxa"/>
              <w:right w:w="80" w:type="dxa"/>
            </w:tcMar>
          </w:tcPr>
          <w:p w14:paraId="6390E51E" w14:textId="22F84E31"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If injury occurs on or before the age of 64, compensation ceases at 65 years old. If injury occurs after the age of 64, compensation ceases one year after injury occurs. The Tribunal may allow payments to continue where the worker would have continued to</w:t>
            </w:r>
            <w:r w:rsidR="0014748D">
              <w:rPr>
                <w:rFonts w:eastAsia="Calibri" w:cs="Arial"/>
                <w:sz w:val="14"/>
                <w:szCs w:val="14"/>
                <w:lang w:eastAsia="en-US"/>
              </w:rPr>
              <w:t xml:space="preserve"> work beyond the age of 65 — </w:t>
            </w:r>
            <w:hyperlink r:id="rId240" w:history="1">
              <w:r w:rsidR="0014748D" w:rsidRPr="00780EAA">
                <w:rPr>
                  <w:rStyle w:val="Hyperlink"/>
                  <w:rFonts w:eastAsia="Calibri" w:cs="Arial"/>
                  <w:sz w:val="14"/>
                  <w:szCs w:val="14"/>
                  <w:lang w:eastAsia="en-US"/>
                </w:rPr>
                <w:t>s87</w:t>
              </w:r>
            </w:hyperlink>
            <w:r w:rsidR="0014748D">
              <w:rPr>
                <w:rFonts w:eastAsia="Calibri" w:cs="Arial"/>
                <w:sz w:val="14"/>
                <w:szCs w:val="14"/>
                <w:lang w:eastAsia="en-US"/>
              </w:rPr>
              <w:t xml:space="preserve">, </w:t>
            </w:r>
            <w:r w:rsidR="0014748D" w:rsidRPr="0014748D">
              <w:rPr>
                <w:rFonts w:eastAsia="Calibri" w:cs="Arial"/>
                <w:i/>
                <w:sz w:val="14"/>
                <w:szCs w:val="14"/>
                <w:lang w:eastAsia="en-US"/>
              </w:rPr>
              <w:t>Workers Rehabilitation and Compensation Act 1988</w:t>
            </w:r>
            <w:r w:rsidRPr="00BF05F3">
              <w:rPr>
                <w:rFonts w:eastAsia="Calibri" w:cs="Arial"/>
                <w:sz w:val="14"/>
                <w:szCs w:val="14"/>
                <w:lang w:eastAsia="en-US"/>
              </w:rPr>
              <w:t>.</w:t>
            </w:r>
          </w:p>
        </w:tc>
      </w:tr>
      <w:tr w:rsidR="00BF05F3" w:rsidRPr="00BF05F3" w14:paraId="5E4AFE1A" w14:textId="77777777" w:rsidTr="00FB729B">
        <w:tc>
          <w:tcPr>
            <w:tcW w:w="1591" w:type="dxa"/>
            <w:shd w:val="clear" w:color="auto" w:fill="FFC9C9"/>
            <w:tcMar>
              <w:top w:w="80" w:type="dxa"/>
              <w:left w:w="80" w:type="dxa"/>
              <w:bottom w:w="80" w:type="dxa"/>
              <w:right w:w="80" w:type="dxa"/>
            </w:tcMar>
          </w:tcPr>
          <w:p w14:paraId="0554FE1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Northern Territory</w:t>
            </w:r>
          </w:p>
        </w:tc>
        <w:tc>
          <w:tcPr>
            <w:tcW w:w="13785" w:type="dxa"/>
            <w:shd w:val="clear" w:color="auto" w:fill="FFC9C9"/>
            <w:tcMar>
              <w:top w:w="80" w:type="dxa"/>
              <w:left w:w="80" w:type="dxa"/>
              <w:bottom w:w="80" w:type="dxa"/>
              <w:right w:w="80" w:type="dxa"/>
            </w:tcMar>
          </w:tcPr>
          <w:p w14:paraId="28A437C2"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Weekly compensation generally stops when the person reaches retirement age under Social Security legislation. The retirement age in the legislation has been linked to the retiring age in the </w:t>
            </w:r>
            <w:r w:rsidRPr="005D53E6">
              <w:rPr>
                <w:rFonts w:eastAsia="Calibri" w:cs="Arial"/>
                <w:i/>
                <w:sz w:val="14"/>
                <w:szCs w:val="14"/>
                <w:lang w:eastAsia="en-US"/>
              </w:rPr>
              <w:t>Social Security Act 1991</w:t>
            </w:r>
            <w:r w:rsidRPr="00BF05F3">
              <w:rPr>
                <w:rFonts w:eastAsia="Calibri" w:cs="Arial"/>
                <w:sz w:val="14"/>
                <w:szCs w:val="14"/>
                <w:lang w:eastAsia="en-US"/>
              </w:rPr>
              <w:t xml:space="preserve"> (Cth), which means it will increase in increments from 2017, reaching 67 years of age in 2023. </w:t>
            </w:r>
          </w:p>
          <w:p w14:paraId="3EFBD5EF" w14:textId="57F70807" w:rsidR="00BF05F3" w:rsidRPr="00BF05F3" w:rsidRDefault="00BF05F3" w:rsidP="00775B21">
            <w:pPr>
              <w:spacing w:after="60"/>
              <w:rPr>
                <w:rFonts w:eastAsia="Calibri" w:cs="Arial"/>
                <w:sz w:val="14"/>
                <w:szCs w:val="14"/>
                <w:lang w:eastAsia="en-US"/>
              </w:rPr>
            </w:pPr>
            <w:r w:rsidRPr="00BF05F3">
              <w:rPr>
                <w:rFonts w:eastAsia="Calibri" w:cs="Arial"/>
                <w:sz w:val="14"/>
                <w:szCs w:val="14"/>
                <w:lang w:eastAsia="en-US"/>
              </w:rPr>
              <w:t xml:space="preserve">If a worker is injured within 2 years of, or after, their retirement age, they are entitled to receive up to 104 weeks of weekly compensation </w:t>
            </w:r>
            <w:r w:rsidR="00775B21">
              <w:rPr>
                <w:rFonts w:eastAsia="Calibri" w:cs="Arial"/>
                <w:sz w:val="14"/>
                <w:szCs w:val="14"/>
                <w:lang w:eastAsia="en-US"/>
              </w:rPr>
              <w:t>—</w:t>
            </w:r>
            <w:r w:rsidRPr="00BF05F3">
              <w:rPr>
                <w:rFonts w:eastAsia="Calibri" w:cs="Arial"/>
                <w:sz w:val="14"/>
                <w:szCs w:val="14"/>
                <w:lang w:eastAsia="en-US"/>
              </w:rPr>
              <w:t xml:space="preserve"> </w:t>
            </w:r>
            <w:hyperlink r:id="rId241" w:history="1">
              <w:r w:rsidRPr="00780EAA">
                <w:rPr>
                  <w:rStyle w:val="Hyperlink"/>
                  <w:rFonts w:eastAsia="Calibri" w:cs="Arial"/>
                  <w:sz w:val="14"/>
                  <w:szCs w:val="14"/>
                  <w:lang w:eastAsia="en-US"/>
                </w:rPr>
                <w:t>s65</w:t>
              </w:r>
            </w:hyperlink>
            <w:r w:rsidR="0014748D">
              <w:rPr>
                <w:rFonts w:eastAsia="Calibri" w:cs="Arial"/>
                <w:sz w:val="14"/>
                <w:szCs w:val="14"/>
                <w:lang w:eastAsia="en-US"/>
              </w:rPr>
              <w:t xml:space="preserve">, </w:t>
            </w:r>
            <w:r w:rsidR="0014748D" w:rsidRPr="0014748D">
              <w:rPr>
                <w:rFonts w:eastAsia="Calibri" w:cs="Arial"/>
                <w:i/>
                <w:sz w:val="14"/>
                <w:szCs w:val="14"/>
                <w:lang w:eastAsia="en-US"/>
              </w:rPr>
              <w:t>Return to Work Act</w:t>
            </w:r>
            <w:r w:rsidR="000464BF">
              <w:rPr>
                <w:rFonts w:eastAsia="Calibri" w:cs="Arial"/>
                <w:sz w:val="14"/>
                <w:szCs w:val="14"/>
                <w:lang w:eastAsia="en-US"/>
              </w:rPr>
              <w:t>.</w:t>
            </w:r>
          </w:p>
        </w:tc>
      </w:tr>
      <w:tr w:rsidR="00BF05F3" w:rsidRPr="00BF05F3" w14:paraId="2CA54B53" w14:textId="77777777" w:rsidTr="00FB729B">
        <w:tc>
          <w:tcPr>
            <w:tcW w:w="1591" w:type="dxa"/>
            <w:tcMar>
              <w:top w:w="80" w:type="dxa"/>
              <w:left w:w="80" w:type="dxa"/>
              <w:bottom w:w="80" w:type="dxa"/>
              <w:right w:w="80" w:type="dxa"/>
            </w:tcMar>
          </w:tcPr>
          <w:p w14:paraId="7E0301D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Australian Capital Territory</w:t>
            </w:r>
          </w:p>
        </w:tc>
        <w:tc>
          <w:tcPr>
            <w:tcW w:w="13785" w:type="dxa"/>
            <w:tcMar>
              <w:top w:w="80" w:type="dxa"/>
              <w:left w:w="80" w:type="dxa"/>
              <w:bottom w:w="80" w:type="dxa"/>
              <w:right w:w="80" w:type="dxa"/>
            </w:tcMar>
          </w:tcPr>
          <w:p w14:paraId="097E29D3" w14:textId="14150E1A" w:rsidR="006A50D4" w:rsidRPr="0014748D"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If the worker was, on the initial incapacity date for the injury, younger than </w:t>
            </w:r>
            <w:r w:rsidR="00CF5D3F">
              <w:rPr>
                <w:rFonts w:eastAsia="Calibri" w:cs="Arial"/>
                <w:sz w:val="14"/>
                <w:szCs w:val="14"/>
                <w:lang w:eastAsia="en-US"/>
              </w:rPr>
              <w:t>the pension age by more than two years</w:t>
            </w:r>
            <w:r w:rsidRPr="00BF05F3">
              <w:rPr>
                <w:rFonts w:eastAsia="Calibri" w:cs="Arial"/>
                <w:sz w:val="14"/>
                <w:szCs w:val="14"/>
                <w:lang w:eastAsia="en-US"/>
              </w:rPr>
              <w:t xml:space="preserve">, compensation for incapacity is not payable for any period after the worker reaches </w:t>
            </w:r>
            <w:r w:rsidR="00CF5D3F">
              <w:rPr>
                <w:rFonts w:eastAsia="Calibri" w:cs="Arial"/>
                <w:sz w:val="14"/>
                <w:szCs w:val="14"/>
                <w:lang w:eastAsia="en-US"/>
              </w:rPr>
              <w:t>pension</w:t>
            </w:r>
            <w:r w:rsidRPr="00BF05F3">
              <w:rPr>
                <w:rFonts w:eastAsia="Calibri" w:cs="Arial"/>
                <w:sz w:val="14"/>
                <w:szCs w:val="14"/>
                <w:lang w:eastAsia="en-US"/>
              </w:rPr>
              <w:t xml:space="preserve"> age — </w:t>
            </w:r>
            <w:hyperlink r:id="rId242" w:history="1">
              <w:r w:rsidRPr="00BF05F3">
                <w:rPr>
                  <w:rFonts w:eastAsia="Calibri" w:cs="Arial"/>
                  <w:color w:val="0000FF"/>
                  <w:sz w:val="14"/>
                  <w:szCs w:val="14"/>
                  <w:u w:val="single"/>
                  <w:lang w:eastAsia="en-US"/>
                </w:rPr>
                <w:t>s39(3)(b)</w:t>
              </w:r>
            </w:hyperlink>
            <w:r w:rsidRPr="00BF05F3">
              <w:rPr>
                <w:rFonts w:eastAsia="Calibri" w:cs="Arial"/>
                <w:sz w:val="14"/>
                <w:szCs w:val="14"/>
                <w:lang w:eastAsia="en-US"/>
              </w:rPr>
              <w:t xml:space="preserve">); </w:t>
            </w:r>
            <w:hyperlink r:id="rId243" w:history="1">
              <w:r w:rsidRPr="00BF05F3">
                <w:rPr>
                  <w:rFonts w:eastAsia="Calibri" w:cs="Arial"/>
                  <w:color w:val="0000FF"/>
                  <w:sz w:val="14"/>
                  <w:szCs w:val="14"/>
                  <w:u w:val="single"/>
                  <w:lang w:eastAsia="en-US"/>
                </w:rPr>
                <w:t>s40(4)(a)</w:t>
              </w:r>
            </w:hyperlink>
            <w:r w:rsidR="0014748D">
              <w:rPr>
                <w:rFonts w:eastAsia="Calibri" w:cs="Arial"/>
                <w:color w:val="0000FF"/>
                <w:sz w:val="14"/>
                <w:szCs w:val="14"/>
                <w:u w:val="single"/>
                <w:lang w:eastAsia="en-US"/>
              </w:rPr>
              <w:t xml:space="preserve"> </w:t>
            </w:r>
            <w:r w:rsidR="0014748D">
              <w:rPr>
                <w:rFonts w:eastAsia="Calibri" w:cs="Arial"/>
                <w:sz w:val="14"/>
                <w:szCs w:val="14"/>
                <w:lang w:eastAsia="en-US"/>
              </w:rPr>
              <w:t xml:space="preserve">— </w:t>
            </w:r>
            <w:r w:rsidR="0014748D" w:rsidRPr="0014748D">
              <w:rPr>
                <w:rFonts w:eastAsia="Calibri" w:cs="Arial"/>
                <w:i/>
                <w:sz w:val="14"/>
                <w:szCs w:val="14"/>
                <w:lang w:eastAsia="en-US"/>
              </w:rPr>
              <w:t>Workers Compensation Act 1951</w:t>
            </w:r>
            <w:r w:rsidR="0014748D">
              <w:rPr>
                <w:rFonts w:eastAsia="Calibri" w:cs="Arial"/>
                <w:sz w:val="14"/>
                <w:szCs w:val="14"/>
                <w:lang w:eastAsia="en-US"/>
              </w:rPr>
              <w:t>.</w:t>
            </w:r>
          </w:p>
          <w:p w14:paraId="57D1F4B3" w14:textId="65E1F69A" w:rsidR="00BF05F3" w:rsidRPr="0014748D" w:rsidRDefault="00BF05F3" w:rsidP="00CF5D3F">
            <w:pPr>
              <w:spacing w:after="60"/>
              <w:rPr>
                <w:rFonts w:eastAsia="Calibri" w:cs="Arial"/>
                <w:sz w:val="14"/>
                <w:szCs w:val="14"/>
                <w:lang w:eastAsia="en-US"/>
              </w:rPr>
            </w:pPr>
            <w:r w:rsidRPr="00BF05F3">
              <w:rPr>
                <w:rFonts w:eastAsia="Calibri" w:cs="Arial"/>
                <w:sz w:val="14"/>
                <w:szCs w:val="14"/>
                <w:lang w:eastAsia="en-US"/>
              </w:rPr>
              <w:t xml:space="preserve">If the worker was, on the initial incapacity date for the injury, </w:t>
            </w:r>
            <w:r w:rsidR="00CF5D3F">
              <w:rPr>
                <w:rFonts w:eastAsia="Calibri" w:cs="Arial"/>
                <w:sz w:val="14"/>
                <w:szCs w:val="14"/>
                <w:lang w:eastAsia="en-US"/>
              </w:rPr>
              <w:t>younger than the pension</w:t>
            </w:r>
            <w:r w:rsidRPr="00BF05F3">
              <w:rPr>
                <w:rFonts w:eastAsia="Calibri" w:cs="Arial"/>
                <w:sz w:val="14"/>
                <w:szCs w:val="14"/>
                <w:lang w:eastAsia="en-US"/>
              </w:rPr>
              <w:t xml:space="preserve"> age</w:t>
            </w:r>
            <w:r w:rsidR="00CF5D3F">
              <w:rPr>
                <w:rFonts w:eastAsia="Calibri" w:cs="Arial"/>
                <w:sz w:val="14"/>
                <w:szCs w:val="14"/>
                <w:lang w:eastAsia="en-US"/>
              </w:rPr>
              <w:t xml:space="preserve"> by 2 years or less</w:t>
            </w:r>
            <w:r w:rsidRPr="00BF05F3">
              <w:rPr>
                <w:rFonts w:eastAsia="Calibri" w:cs="Arial"/>
                <w:sz w:val="14"/>
                <w:szCs w:val="14"/>
                <w:lang w:eastAsia="en-US"/>
              </w:rPr>
              <w:t xml:space="preserve">, compensation for incapacity is not payable for any period more than 2 years after the initial incapacity date — </w:t>
            </w:r>
            <w:hyperlink r:id="rId244" w:history="1">
              <w:r w:rsidRPr="00BF05F3">
                <w:rPr>
                  <w:rFonts w:eastAsia="Calibri" w:cs="Arial"/>
                  <w:color w:val="0000FF"/>
                  <w:sz w:val="14"/>
                  <w:szCs w:val="14"/>
                  <w:u w:val="single"/>
                  <w:lang w:eastAsia="en-US"/>
                </w:rPr>
                <w:t>s39(3)(c)</w:t>
              </w:r>
            </w:hyperlink>
            <w:r w:rsidRPr="00BF05F3">
              <w:rPr>
                <w:rFonts w:eastAsia="Calibri" w:cs="Arial"/>
                <w:sz w:val="14"/>
                <w:szCs w:val="14"/>
                <w:lang w:eastAsia="en-US"/>
              </w:rPr>
              <w:t xml:space="preserve">; </w:t>
            </w:r>
            <w:hyperlink r:id="rId245" w:history="1">
              <w:r w:rsidRPr="00BF05F3">
                <w:rPr>
                  <w:rFonts w:eastAsia="Calibri" w:cs="Arial"/>
                  <w:color w:val="0000FF"/>
                  <w:sz w:val="14"/>
                  <w:szCs w:val="14"/>
                  <w:u w:val="single"/>
                  <w:lang w:eastAsia="en-US"/>
                </w:rPr>
                <w:t>s40(4)(b)</w:t>
              </w:r>
            </w:hyperlink>
            <w:r w:rsidR="0014748D">
              <w:rPr>
                <w:rFonts w:eastAsia="Calibri" w:cs="Arial"/>
                <w:sz w:val="14"/>
                <w:szCs w:val="14"/>
                <w:lang w:eastAsia="en-US"/>
              </w:rPr>
              <w:t xml:space="preserve"> — 1951 Act.</w:t>
            </w:r>
          </w:p>
        </w:tc>
      </w:tr>
      <w:tr w:rsidR="00BF05F3" w:rsidRPr="00BF05F3" w14:paraId="778010EE" w14:textId="77777777" w:rsidTr="00FB729B">
        <w:tc>
          <w:tcPr>
            <w:tcW w:w="1591" w:type="dxa"/>
            <w:shd w:val="clear" w:color="auto" w:fill="FFC9C9"/>
            <w:tcMar>
              <w:top w:w="80" w:type="dxa"/>
              <w:left w:w="80" w:type="dxa"/>
              <w:bottom w:w="80" w:type="dxa"/>
              <w:right w:w="80" w:type="dxa"/>
            </w:tcMar>
          </w:tcPr>
          <w:p w14:paraId="5C476FE4"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Comcare</w:t>
            </w:r>
          </w:p>
        </w:tc>
        <w:tc>
          <w:tcPr>
            <w:tcW w:w="13785" w:type="dxa"/>
            <w:shd w:val="clear" w:color="auto" w:fill="FFC9C9"/>
            <w:tcMar>
              <w:top w:w="80" w:type="dxa"/>
              <w:left w:w="80" w:type="dxa"/>
              <w:bottom w:w="80" w:type="dxa"/>
              <w:right w:w="80" w:type="dxa"/>
            </w:tcMar>
          </w:tcPr>
          <w:p w14:paraId="3B9C5545" w14:textId="75305141" w:rsidR="00BF05F3" w:rsidRPr="00BF05F3" w:rsidRDefault="00BF05F3" w:rsidP="00B47768">
            <w:pPr>
              <w:spacing w:after="60"/>
              <w:rPr>
                <w:rFonts w:eastAsia="Calibri" w:cs="Arial"/>
                <w:sz w:val="14"/>
                <w:szCs w:val="14"/>
                <w:lang w:eastAsia="en-US"/>
              </w:rPr>
            </w:pPr>
            <w:r w:rsidRPr="00BF05F3">
              <w:rPr>
                <w:rFonts w:eastAsia="Calibri" w:cs="Arial"/>
                <w:sz w:val="14"/>
                <w:szCs w:val="14"/>
                <w:lang w:eastAsia="en-US"/>
              </w:rPr>
              <w:t xml:space="preserve">Compensation in the form of income replacement is not generally payable to an employee who has reached </w:t>
            </w:r>
            <w:r w:rsidR="00B47768">
              <w:rPr>
                <w:rFonts w:eastAsia="Calibri" w:cs="Arial"/>
                <w:sz w:val="14"/>
                <w:szCs w:val="14"/>
                <w:lang w:eastAsia="en-US"/>
              </w:rPr>
              <w:t>the pension age</w:t>
            </w:r>
            <w:r w:rsidRPr="00BF05F3">
              <w:rPr>
                <w:rFonts w:eastAsia="Calibri" w:cs="Arial"/>
                <w:sz w:val="14"/>
                <w:szCs w:val="14"/>
                <w:lang w:eastAsia="en-US"/>
              </w:rPr>
              <w:t xml:space="preserve">, however if an employee who has reached </w:t>
            </w:r>
            <w:r w:rsidR="00B47768">
              <w:rPr>
                <w:rFonts w:eastAsia="Calibri" w:cs="Arial"/>
                <w:sz w:val="14"/>
                <w:szCs w:val="14"/>
                <w:lang w:eastAsia="en-US"/>
              </w:rPr>
              <w:t>the age that is 2 years before pension age</w:t>
            </w:r>
            <w:r w:rsidR="00B47768" w:rsidRPr="00BF05F3">
              <w:rPr>
                <w:rFonts w:eastAsia="Calibri" w:cs="Arial"/>
                <w:sz w:val="14"/>
                <w:szCs w:val="14"/>
                <w:lang w:eastAsia="en-US"/>
              </w:rPr>
              <w:t xml:space="preserve"> </w:t>
            </w:r>
            <w:r w:rsidRPr="00BF05F3">
              <w:rPr>
                <w:rFonts w:eastAsia="Calibri" w:cs="Arial"/>
                <w:sz w:val="14"/>
                <w:szCs w:val="14"/>
                <w:lang w:eastAsia="en-US"/>
              </w:rPr>
              <w:t xml:space="preserve">suffers an injury, compensation is payable for a maximum of 104 weeks (whether consecutive or not) during which the employee is incapacitated — </w:t>
            </w:r>
            <w:hyperlink r:id="rId246" w:history="1">
              <w:r w:rsidRPr="00BF05F3">
                <w:rPr>
                  <w:rFonts w:eastAsia="Calibri" w:cs="Arial"/>
                  <w:color w:val="0000FF"/>
                  <w:sz w:val="14"/>
                  <w:szCs w:val="14"/>
                  <w:u w:val="single"/>
                  <w:lang w:eastAsia="en-US"/>
                </w:rPr>
                <w:t>s23</w:t>
              </w:r>
            </w:hyperlink>
            <w:r w:rsidR="0014748D">
              <w:rPr>
                <w:rFonts w:eastAsia="Calibri" w:cs="Arial"/>
                <w:sz w:val="14"/>
                <w:szCs w:val="14"/>
                <w:lang w:eastAsia="en-US"/>
              </w:rPr>
              <w:t xml:space="preserve">, </w:t>
            </w:r>
            <w:r w:rsidR="0014748D" w:rsidRPr="0014748D">
              <w:rPr>
                <w:rFonts w:eastAsia="Calibri" w:cs="Arial"/>
                <w:i/>
                <w:sz w:val="14"/>
                <w:szCs w:val="14"/>
                <w:lang w:eastAsia="en-US"/>
              </w:rPr>
              <w:t>Safety, Rehabilitation and Compensation Act 1988</w:t>
            </w:r>
            <w:r w:rsidR="0014748D">
              <w:rPr>
                <w:rFonts w:eastAsia="Calibri" w:cs="Arial"/>
                <w:sz w:val="14"/>
                <w:szCs w:val="14"/>
                <w:lang w:eastAsia="en-US"/>
              </w:rPr>
              <w:t>.</w:t>
            </w:r>
            <w:r w:rsidR="0014748D">
              <w:rPr>
                <w:rFonts w:eastAsia="Calibri" w:cs="Arial"/>
                <w:color w:val="0000FF"/>
                <w:sz w:val="14"/>
                <w:szCs w:val="14"/>
                <w:u w:val="single"/>
                <w:lang w:eastAsia="en-US"/>
              </w:rPr>
              <w:t xml:space="preserve"> </w:t>
            </w:r>
          </w:p>
        </w:tc>
      </w:tr>
      <w:tr w:rsidR="00BF05F3" w:rsidRPr="00BF05F3" w14:paraId="3105A25E" w14:textId="77777777" w:rsidTr="00FB729B">
        <w:tc>
          <w:tcPr>
            <w:tcW w:w="1591" w:type="dxa"/>
            <w:tcMar>
              <w:top w:w="80" w:type="dxa"/>
              <w:left w:w="80" w:type="dxa"/>
              <w:bottom w:w="80" w:type="dxa"/>
              <w:right w:w="80" w:type="dxa"/>
            </w:tcMar>
          </w:tcPr>
          <w:p w14:paraId="071664A3"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Seacare</w:t>
            </w:r>
          </w:p>
        </w:tc>
        <w:tc>
          <w:tcPr>
            <w:tcW w:w="13785" w:type="dxa"/>
            <w:tcMar>
              <w:top w:w="80" w:type="dxa"/>
              <w:left w:w="80" w:type="dxa"/>
              <w:bottom w:w="80" w:type="dxa"/>
              <w:right w:w="80" w:type="dxa"/>
            </w:tcMar>
          </w:tcPr>
          <w:p w14:paraId="011F8388" w14:textId="715A5BA8" w:rsidR="00BF05F3" w:rsidRPr="0014748D" w:rsidRDefault="00BF05F3" w:rsidP="00B47768">
            <w:pPr>
              <w:spacing w:after="60"/>
              <w:rPr>
                <w:rFonts w:eastAsia="Calibri" w:cs="Arial"/>
                <w:sz w:val="14"/>
                <w:szCs w:val="14"/>
                <w:lang w:eastAsia="en-US"/>
              </w:rPr>
            </w:pPr>
            <w:r w:rsidRPr="00BF05F3">
              <w:rPr>
                <w:rFonts w:eastAsia="Calibri" w:cs="Arial"/>
                <w:sz w:val="14"/>
                <w:szCs w:val="14"/>
                <w:lang w:eastAsia="en-US"/>
              </w:rPr>
              <w:t xml:space="preserve">Compensation in the form of income replacement is not generally payable to an employee who has reached </w:t>
            </w:r>
            <w:r w:rsidR="00B47768">
              <w:rPr>
                <w:rFonts w:eastAsia="Calibri" w:cs="Arial"/>
                <w:sz w:val="14"/>
                <w:szCs w:val="14"/>
                <w:lang w:eastAsia="en-US"/>
              </w:rPr>
              <w:t>the pension age</w:t>
            </w:r>
            <w:r w:rsidRPr="00BF05F3">
              <w:rPr>
                <w:rFonts w:eastAsia="Calibri" w:cs="Arial"/>
                <w:sz w:val="14"/>
                <w:szCs w:val="14"/>
                <w:lang w:eastAsia="en-US"/>
              </w:rPr>
              <w:t xml:space="preserve">, however if an employee who has reached </w:t>
            </w:r>
            <w:r w:rsidR="00B47768">
              <w:rPr>
                <w:rFonts w:eastAsia="Calibri" w:cs="Arial"/>
                <w:sz w:val="14"/>
                <w:szCs w:val="14"/>
                <w:lang w:eastAsia="en-US"/>
              </w:rPr>
              <w:t>the age that is one year before the pension age</w:t>
            </w:r>
            <w:r w:rsidR="00B47768" w:rsidRPr="00BF05F3">
              <w:rPr>
                <w:rFonts w:eastAsia="Calibri" w:cs="Arial"/>
                <w:sz w:val="14"/>
                <w:szCs w:val="14"/>
                <w:lang w:eastAsia="en-US"/>
              </w:rPr>
              <w:t xml:space="preserve"> </w:t>
            </w:r>
            <w:r w:rsidRPr="00BF05F3">
              <w:rPr>
                <w:rFonts w:eastAsia="Calibri" w:cs="Arial"/>
                <w:sz w:val="14"/>
                <w:szCs w:val="14"/>
                <w:lang w:eastAsia="en-US"/>
              </w:rPr>
              <w:t xml:space="preserve">suffers an injury, compensation is payable for up to 12 months from the date of injury — </w:t>
            </w:r>
            <w:hyperlink r:id="rId247" w:history="1">
              <w:r w:rsidRPr="00BF05F3">
                <w:rPr>
                  <w:rFonts w:eastAsia="Calibri" w:cs="Arial"/>
                  <w:color w:val="0000FF"/>
                  <w:sz w:val="14"/>
                  <w:szCs w:val="14"/>
                  <w:u w:val="single"/>
                  <w:lang w:eastAsia="en-US"/>
                </w:rPr>
                <w:t>s38</w:t>
              </w:r>
            </w:hyperlink>
            <w:r w:rsidR="0014748D">
              <w:rPr>
                <w:rFonts w:eastAsia="Calibri" w:cs="Arial"/>
                <w:sz w:val="14"/>
                <w:szCs w:val="14"/>
                <w:lang w:eastAsia="en-US"/>
              </w:rPr>
              <w:t xml:space="preserve">, </w:t>
            </w:r>
            <w:r w:rsidR="0014748D" w:rsidRPr="0014748D">
              <w:rPr>
                <w:rFonts w:eastAsia="Calibri" w:cs="Arial"/>
                <w:i/>
                <w:sz w:val="14"/>
                <w:szCs w:val="14"/>
                <w:lang w:eastAsia="en-US"/>
              </w:rPr>
              <w:t>Seafarers Rehabilitation and Compensation Act 1992</w:t>
            </w:r>
            <w:r w:rsidR="0014748D">
              <w:rPr>
                <w:rFonts w:eastAsia="Calibri" w:cs="Arial"/>
                <w:sz w:val="14"/>
                <w:szCs w:val="14"/>
                <w:lang w:eastAsia="en-US"/>
              </w:rPr>
              <w:t>.</w:t>
            </w:r>
          </w:p>
        </w:tc>
      </w:tr>
      <w:tr w:rsidR="00BF05F3" w:rsidRPr="00BF05F3" w14:paraId="5BB5995F" w14:textId="77777777" w:rsidTr="00FB729B">
        <w:tc>
          <w:tcPr>
            <w:tcW w:w="1591" w:type="dxa"/>
            <w:shd w:val="clear" w:color="auto" w:fill="FFC9C9"/>
            <w:tcMar>
              <w:top w:w="80" w:type="dxa"/>
              <w:left w:w="80" w:type="dxa"/>
              <w:bottom w:w="80" w:type="dxa"/>
              <w:right w:w="80" w:type="dxa"/>
            </w:tcMar>
          </w:tcPr>
          <w:p w14:paraId="4032BF33"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DVA</w:t>
            </w:r>
          </w:p>
        </w:tc>
        <w:tc>
          <w:tcPr>
            <w:tcW w:w="13785" w:type="dxa"/>
            <w:shd w:val="clear" w:color="auto" w:fill="FFC9C9"/>
            <w:tcMar>
              <w:top w:w="80" w:type="dxa"/>
              <w:left w:w="80" w:type="dxa"/>
              <w:bottom w:w="80" w:type="dxa"/>
              <w:right w:w="80" w:type="dxa"/>
            </w:tcMar>
          </w:tcPr>
          <w:p w14:paraId="5BE8F600" w14:textId="5DE687DD" w:rsidR="00BF05F3" w:rsidRPr="00932D29" w:rsidRDefault="00BF05F3" w:rsidP="00932D29">
            <w:pPr>
              <w:rPr>
                <w:i/>
                <w:sz w:val="14"/>
              </w:rPr>
            </w:pPr>
            <w:r w:rsidRPr="00BF05F3">
              <w:rPr>
                <w:rFonts w:eastAsia="Calibri" w:cs="Arial"/>
                <w:sz w:val="14"/>
                <w:szCs w:val="14"/>
                <w:lang w:eastAsia="en-US"/>
              </w:rPr>
              <w:t xml:space="preserve">Compensation in the form of income replacement is not payable to a person who has reached </w:t>
            </w:r>
            <w:r w:rsidR="0099292D">
              <w:rPr>
                <w:rFonts w:eastAsia="Calibri" w:cs="Arial"/>
                <w:sz w:val="14"/>
                <w:szCs w:val="14"/>
                <w:lang w:eastAsia="en-US"/>
              </w:rPr>
              <w:t>pension age or older</w:t>
            </w:r>
            <w:r w:rsidRPr="00BF05F3">
              <w:rPr>
                <w:rFonts w:eastAsia="Calibri" w:cs="Arial"/>
                <w:sz w:val="14"/>
                <w:szCs w:val="14"/>
                <w:lang w:eastAsia="en-US"/>
              </w:rPr>
              <w:t>, however if a person who has reached suffers an injury, compensation is payab</w:t>
            </w:r>
            <w:r w:rsidR="00932D29">
              <w:rPr>
                <w:rFonts w:eastAsia="Calibri" w:cs="Arial"/>
                <w:sz w:val="14"/>
                <w:szCs w:val="14"/>
                <w:lang w:eastAsia="en-US"/>
              </w:rPr>
              <w:t xml:space="preserve">le for a maximum of 104 weeks — </w:t>
            </w:r>
            <w:r w:rsidR="00932D29" w:rsidRPr="00780EAA">
              <w:rPr>
                <w:rFonts w:eastAsia="Calibri" w:cs="Arial"/>
                <w:i/>
                <w:sz w:val="14"/>
                <w:szCs w:val="14"/>
                <w:lang w:eastAsia="en-US"/>
              </w:rPr>
              <w:t>Military Rehabilitation and Compensation Act 2004</w:t>
            </w:r>
            <w:r w:rsidR="00932D29">
              <w:rPr>
                <w:rFonts w:eastAsia="Calibri" w:cs="Arial"/>
                <w:i/>
                <w:sz w:val="14"/>
                <w:szCs w:val="14"/>
                <w:lang w:eastAsia="en-US"/>
              </w:rPr>
              <w:t>,</w:t>
            </w:r>
            <w:r w:rsidR="00932D29">
              <w:rPr>
                <w:rFonts w:eastAsia="Calibri" w:cs="Arial"/>
                <w:sz w:val="14"/>
                <w:szCs w:val="14"/>
                <w:lang w:eastAsia="en-US"/>
              </w:rPr>
              <w:t xml:space="preserve"> </w:t>
            </w:r>
            <w:hyperlink r:id="rId248" w:history="1">
              <w:r w:rsidRPr="00780EAA">
                <w:rPr>
                  <w:rStyle w:val="Hyperlink"/>
                  <w:rFonts w:eastAsia="Calibri" w:cs="Arial"/>
                  <w:sz w:val="14"/>
                  <w:szCs w:val="14"/>
                  <w:lang w:eastAsia="en-US"/>
                </w:rPr>
                <w:t>s121</w:t>
              </w:r>
            </w:hyperlink>
            <w:r w:rsidR="000464BF">
              <w:rPr>
                <w:rFonts w:eastAsia="Calibri" w:cs="Arial"/>
                <w:sz w:val="14"/>
                <w:szCs w:val="14"/>
                <w:lang w:eastAsia="en-US"/>
              </w:rPr>
              <w:t>.</w:t>
            </w:r>
          </w:p>
          <w:p w14:paraId="75DDDEB4" w14:textId="689CFABC" w:rsidR="0099292D" w:rsidRPr="00BF05F3" w:rsidRDefault="0099292D" w:rsidP="00932D29">
            <w:pPr>
              <w:spacing w:after="60"/>
              <w:rPr>
                <w:rFonts w:eastAsia="Calibri" w:cs="Arial"/>
                <w:sz w:val="14"/>
                <w:szCs w:val="14"/>
                <w:lang w:eastAsia="en-US"/>
              </w:rPr>
            </w:pPr>
            <w:r w:rsidRPr="00BF05F3">
              <w:rPr>
                <w:rFonts w:eastAsia="Calibri" w:cs="Arial"/>
                <w:sz w:val="14"/>
                <w:szCs w:val="14"/>
                <w:lang w:eastAsia="en-US"/>
              </w:rPr>
              <w:t xml:space="preserve">Compensation in the form of income replacement is not generally payable to an employee who has reached </w:t>
            </w:r>
            <w:r>
              <w:rPr>
                <w:rFonts w:eastAsia="Calibri" w:cs="Arial"/>
                <w:sz w:val="14"/>
                <w:szCs w:val="14"/>
                <w:lang w:eastAsia="en-US"/>
              </w:rPr>
              <w:t>pension age</w:t>
            </w:r>
            <w:r w:rsidRPr="00BF05F3">
              <w:rPr>
                <w:rFonts w:eastAsia="Calibri" w:cs="Arial"/>
                <w:sz w:val="14"/>
                <w:szCs w:val="14"/>
                <w:lang w:eastAsia="en-US"/>
              </w:rPr>
              <w:t xml:space="preserve">, however if an employee who has reached </w:t>
            </w:r>
            <w:r>
              <w:rPr>
                <w:rFonts w:eastAsia="Calibri" w:cs="Arial"/>
                <w:sz w:val="14"/>
                <w:szCs w:val="14"/>
                <w:lang w:eastAsia="en-US"/>
              </w:rPr>
              <w:t xml:space="preserve">the age that is 2 years before pension age </w:t>
            </w:r>
            <w:r w:rsidRPr="00BF05F3">
              <w:rPr>
                <w:rFonts w:eastAsia="Calibri" w:cs="Arial"/>
                <w:sz w:val="14"/>
                <w:szCs w:val="14"/>
                <w:lang w:eastAsia="en-US"/>
              </w:rPr>
              <w:t xml:space="preserve">suffers an injury, compensation is payable for a maximum of 104 weeks (whether consecutive or not) during which </w:t>
            </w:r>
            <w:r w:rsidR="00932D29">
              <w:rPr>
                <w:rFonts w:eastAsia="Calibri" w:cs="Arial"/>
                <w:sz w:val="14"/>
                <w:szCs w:val="14"/>
                <w:lang w:eastAsia="en-US"/>
              </w:rPr>
              <w:t xml:space="preserve">the employee is incapacitated — </w:t>
            </w:r>
            <w:r w:rsidR="00932D29" w:rsidRPr="00016069">
              <w:rPr>
                <w:rFonts w:eastAsiaTheme="majorEastAsia"/>
                <w:i/>
                <w:sz w:val="14"/>
              </w:rPr>
              <w:t>Safety, Rehabilitation and Compensation (Defence-related Claims) Act 1988</w:t>
            </w:r>
            <w:r w:rsidR="00932D29">
              <w:rPr>
                <w:rFonts w:eastAsiaTheme="majorEastAsia"/>
                <w:sz w:val="14"/>
              </w:rPr>
              <w:t>,</w:t>
            </w:r>
            <w:r>
              <w:rPr>
                <w:rFonts w:eastAsia="Calibri" w:cs="Arial"/>
                <w:sz w:val="14"/>
                <w:szCs w:val="14"/>
                <w:lang w:eastAsia="en-US"/>
              </w:rPr>
              <w:t xml:space="preserve"> </w:t>
            </w:r>
            <w:hyperlink r:id="rId249" w:history="1">
              <w:r w:rsidRPr="00BF05F3">
                <w:rPr>
                  <w:rFonts w:eastAsia="Calibri" w:cs="Arial"/>
                  <w:color w:val="0000FF"/>
                  <w:sz w:val="14"/>
                  <w:szCs w:val="14"/>
                  <w:u w:val="single"/>
                  <w:lang w:eastAsia="en-US"/>
                </w:rPr>
                <w:t>s23</w:t>
              </w:r>
            </w:hyperlink>
            <w:r>
              <w:rPr>
                <w:rFonts w:eastAsia="Calibri" w:cs="Arial"/>
                <w:color w:val="0000FF"/>
                <w:sz w:val="14"/>
                <w:szCs w:val="14"/>
                <w:u w:val="single"/>
                <w:lang w:eastAsia="en-US"/>
              </w:rPr>
              <w:t>.</w:t>
            </w:r>
          </w:p>
        </w:tc>
      </w:tr>
      <w:tr w:rsidR="00BF05F3" w:rsidRPr="00BF05F3" w14:paraId="1DF218BE" w14:textId="77777777" w:rsidTr="00FB729B">
        <w:tc>
          <w:tcPr>
            <w:tcW w:w="1591" w:type="dxa"/>
            <w:tcMar>
              <w:top w:w="80" w:type="dxa"/>
              <w:left w:w="80" w:type="dxa"/>
              <w:bottom w:w="80" w:type="dxa"/>
              <w:right w:w="80" w:type="dxa"/>
            </w:tcMar>
          </w:tcPr>
          <w:p w14:paraId="60C9C69F"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lastRenderedPageBreak/>
              <w:t>New Zealand</w:t>
            </w:r>
          </w:p>
        </w:tc>
        <w:tc>
          <w:tcPr>
            <w:tcW w:w="13785" w:type="dxa"/>
            <w:tcMar>
              <w:top w:w="80" w:type="dxa"/>
              <w:left w:w="80" w:type="dxa"/>
              <w:bottom w:w="80" w:type="dxa"/>
              <w:right w:w="80" w:type="dxa"/>
            </w:tcMar>
          </w:tcPr>
          <w:p w14:paraId="37D5BE4B" w14:textId="49D4AC5F" w:rsidR="00BF05F3" w:rsidRPr="004C7AF5" w:rsidRDefault="00BF05F3" w:rsidP="00B21723">
            <w:pPr>
              <w:spacing w:after="60"/>
              <w:rPr>
                <w:rFonts w:eastAsia="Calibri" w:cs="Arial"/>
                <w:i/>
                <w:sz w:val="14"/>
                <w:szCs w:val="14"/>
                <w:lang w:eastAsia="en-US"/>
              </w:rPr>
            </w:pPr>
            <w:r w:rsidRPr="00BF05F3">
              <w:rPr>
                <w:rFonts w:eastAsia="Calibri" w:cs="Arial"/>
                <w:sz w:val="14"/>
                <w:szCs w:val="14"/>
                <w:lang w:eastAsia="en-US"/>
              </w:rPr>
              <w:t xml:space="preserve">Complex set of rules for employees who are injured either shortly before or after qualifying for national superannuation — </w:t>
            </w:r>
            <w:hyperlink r:id="rId250" w:history="1">
              <w:r w:rsidRPr="00BF05F3">
                <w:rPr>
                  <w:rFonts w:eastAsia="Calibri" w:cs="Arial"/>
                  <w:color w:val="0000FF"/>
                  <w:sz w:val="14"/>
                  <w:szCs w:val="14"/>
                  <w:u w:val="single"/>
                  <w:lang w:eastAsia="en-US"/>
                </w:rPr>
                <w:t>clause 52 of schedule 1</w:t>
              </w:r>
            </w:hyperlink>
            <w:r w:rsidR="004C7AF5">
              <w:rPr>
                <w:rFonts w:eastAsia="Calibri" w:cs="Arial"/>
                <w:sz w:val="14"/>
                <w:szCs w:val="14"/>
                <w:lang w:eastAsia="en-US"/>
              </w:rPr>
              <w:t xml:space="preserve">, </w:t>
            </w:r>
            <w:r w:rsidR="004C7AF5">
              <w:rPr>
                <w:rFonts w:eastAsia="Calibri" w:cs="Arial"/>
                <w:i/>
                <w:sz w:val="14"/>
                <w:szCs w:val="14"/>
                <w:lang w:eastAsia="en-US"/>
              </w:rPr>
              <w:t>Accident Compensation Act 2001.</w:t>
            </w:r>
          </w:p>
        </w:tc>
      </w:tr>
    </w:tbl>
    <w:p w14:paraId="5478D158" w14:textId="455090F1" w:rsidR="000268F6" w:rsidRPr="004F360B" w:rsidRDefault="000268F6" w:rsidP="004F360B">
      <w:pPr>
        <w:pStyle w:val="SWATableheader"/>
      </w:pPr>
      <w:bookmarkStart w:id="53" w:name="_Toc504654643"/>
      <w:bookmarkStart w:id="54" w:name="ACT1"/>
      <w:r w:rsidRPr="004F360B">
        <w:lastRenderedPageBreak/>
        <w:t xml:space="preserve">Table 2.5: Summary of entitlements as at 30 September </w:t>
      </w:r>
      <w:bookmarkEnd w:id="53"/>
      <w:r w:rsidR="004761CF" w:rsidRPr="004F360B">
        <w:t>201</w:t>
      </w:r>
      <w:r w:rsidR="004761CF">
        <w:t>7</w:t>
      </w:r>
      <w:r w:rsidR="004761CF" w:rsidRPr="004F360B">
        <w:t xml:space="preserve"> </w:t>
      </w:r>
      <w:r w:rsidR="005A67A3" w:rsidRPr="004F360B">
        <w:fldChar w:fldCharType="begin"/>
      </w:r>
      <w:r w:rsidR="005A67A3" w:rsidRPr="004F360B">
        <w:instrText xml:space="preserve"> XE "benefits:entitlements summary" \r "ACT1" </w:instrText>
      </w:r>
      <w:r w:rsidR="005A67A3" w:rsidRPr="004F360B">
        <w:fldChar w:fldCharType="end"/>
      </w:r>
      <w:r w:rsidR="0025506E" w:rsidRPr="004F360B">
        <w:fldChar w:fldCharType="begin"/>
      </w:r>
      <w:r w:rsidR="0025506E" w:rsidRPr="004F360B">
        <w:instrText xml:space="preserve"> XE "entitlements (summary) see also specific entitlements and benefits" \r "ACT1" </w:instrText>
      </w:r>
      <w:r w:rsidR="0025506E" w:rsidRPr="004F360B">
        <w:fldChar w:fldCharType="end"/>
      </w:r>
      <w:r w:rsidR="009915C5" w:rsidRPr="004F360B">
        <w:t xml:space="preserve"> </w:t>
      </w:r>
      <w:r w:rsidR="009915C5" w:rsidRPr="004F360B">
        <w:fldChar w:fldCharType="begin"/>
      </w:r>
      <w:r w:rsidR="009915C5" w:rsidRPr="004F360B">
        <w:instrText xml:space="preserve"> XE "incapacity:entitlements summary" \r "ACT1" </w:instrText>
      </w:r>
      <w:r w:rsidR="009915C5" w:rsidRPr="004F360B">
        <w:fldChar w:fldCharType="end"/>
      </w:r>
      <w:r w:rsidR="00306D40" w:rsidRPr="004F360B">
        <w:fldChar w:fldCharType="begin"/>
      </w:r>
      <w:r w:rsidR="00306D40" w:rsidRPr="004F360B">
        <w:instrText xml:space="preserve"> XE "lump sum payments" \r "ACT1" </w:instrText>
      </w:r>
      <w:r w:rsidR="00306D40" w:rsidRPr="004F360B">
        <w:fldChar w:fldCharType="end"/>
      </w:r>
      <w:r w:rsidR="003D18DA" w:rsidRPr="004F360B">
        <w:fldChar w:fldCharType="begin"/>
      </w:r>
      <w:r w:rsidR="003D18DA" w:rsidRPr="004F360B">
        <w:instrText xml:space="preserve"> XE "permanent impairment:summary of entitlements" \r "ACT1" </w:instrText>
      </w:r>
      <w:r w:rsidR="003D18DA" w:rsidRPr="004F360B">
        <w:fldChar w:fldCharType="end"/>
      </w:r>
    </w:p>
    <w:tbl>
      <w:tblPr>
        <w:tblW w:w="4953"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000" w:firstRow="0" w:lastRow="0" w:firstColumn="0" w:lastColumn="0" w:noHBand="0" w:noVBand="0"/>
        <w:tblCaption w:val="Table 2.5: Summary of entitlements as at 30 September 2014  "/>
        <w:tblDescription w:val="This tables provides a summary of entitlements for workers' compensation schemes as at 30 September 2016. "/>
      </w:tblPr>
      <w:tblGrid>
        <w:gridCol w:w="1179"/>
        <w:gridCol w:w="1193"/>
        <w:gridCol w:w="1167"/>
        <w:gridCol w:w="1284"/>
        <w:gridCol w:w="1193"/>
        <w:gridCol w:w="1175"/>
        <w:gridCol w:w="1198"/>
        <w:gridCol w:w="1194"/>
        <w:gridCol w:w="1172"/>
        <w:gridCol w:w="1201"/>
        <w:gridCol w:w="1201"/>
        <w:gridCol w:w="1194"/>
        <w:gridCol w:w="1159"/>
      </w:tblGrid>
      <w:tr w:rsidR="00FF68C4" w:rsidRPr="000268F6" w14:paraId="30906E8F" w14:textId="77777777" w:rsidTr="008B24D1">
        <w:trPr>
          <w:tblHeader/>
        </w:trPr>
        <w:tc>
          <w:tcPr>
            <w:tcW w:w="1112" w:type="dxa"/>
            <w:shd w:val="clear" w:color="auto" w:fill="C00000"/>
            <w:tcMar>
              <w:top w:w="0" w:type="dxa"/>
              <w:left w:w="0" w:type="dxa"/>
              <w:bottom w:w="0" w:type="dxa"/>
              <w:right w:w="0" w:type="dxa"/>
            </w:tcMar>
            <w:vAlign w:val="center"/>
          </w:tcPr>
          <w:p w14:paraId="3A03FC21" w14:textId="77777777" w:rsidR="000268F6" w:rsidRPr="000268F6" w:rsidRDefault="000268F6" w:rsidP="00B21723">
            <w:pPr>
              <w:spacing w:after="60"/>
              <w:rPr>
                <w:rFonts w:eastAsia="Calibri" w:cs="Arial"/>
                <w:b/>
                <w:color w:val="FFFFFF"/>
                <w:sz w:val="18"/>
                <w:szCs w:val="18"/>
                <w:lang w:eastAsia="en-US"/>
              </w:rPr>
            </w:pPr>
          </w:p>
        </w:tc>
        <w:tc>
          <w:tcPr>
            <w:tcW w:w="1125" w:type="dxa"/>
            <w:shd w:val="clear" w:color="auto" w:fill="C00000"/>
            <w:tcMar>
              <w:top w:w="0" w:type="dxa"/>
              <w:left w:w="0" w:type="dxa"/>
              <w:bottom w:w="0" w:type="dxa"/>
              <w:right w:w="0" w:type="dxa"/>
            </w:tcMar>
            <w:vAlign w:val="center"/>
          </w:tcPr>
          <w:p w14:paraId="45EC4BB0" w14:textId="7FCF8A19"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New South Wales</w:t>
            </w:r>
            <w:r w:rsidR="003B3E5B">
              <w:rPr>
                <w:rFonts w:eastAsia="Calibri" w:cs="Arial"/>
                <w:b/>
                <w:color w:val="FFFFFF"/>
                <w:sz w:val="18"/>
                <w:szCs w:val="18"/>
                <w:lang w:eastAsia="en-US"/>
              </w:rPr>
              <w:fldChar w:fldCharType="begin"/>
            </w:r>
            <w:r w:rsidR="003B3E5B">
              <w:instrText xml:space="preserve"> XE "</w:instrText>
            </w:r>
            <w:r w:rsidR="003B3E5B" w:rsidRPr="00462111">
              <w:instrText>New South Wales:summary of entitlements</w:instrText>
            </w:r>
            <w:r w:rsidR="003B3E5B">
              <w:instrText xml:space="preserve">" \r "ACT1" </w:instrText>
            </w:r>
            <w:r w:rsidR="003B3E5B">
              <w:rPr>
                <w:rFonts w:eastAsia="Calibri" w:cs="Arial"/>
                <w:b/>
                <w:color w:val="FFFFFF"/>
                <w:sz w:val="18"/>
                <w:szCs w:val="18"/>
                <w:lang w:eastAsia="en-US"/>
              </w:rPr>
              <w:fldChar w:fldCharType="end"/>
            </w:r>
          </w:p>
        </w:tc>
        <w:tc>
          <w:tcPr>
            <w:tcW w:w="1101" w:type="dxa"/>
            <w:shd w:val="clear" w:color="auto" w:fill="C00000"/>
            <w:tcMar>
              <w:top w:w="0" w:type="dxa"/>
              <w:left w:w="0" w:type="dxa"/>
              <w:bottom w:w="0" w:type="dxa"/>
              <w:right w:w="0" w:type="dxa"/>
            </w:tcMar>
            <w:vAlign w:val="center"/>
          </w:tcPr>
          <w:p w14:paraId="152086A4"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Victoria</w:t>
            </w:r>
            <w:r w:rsidR="000041B6">
              <w:rPr>
                <w:rFonts w:eastAsia="Calibri" w:cs="Arial"/>
                <w:b/>
                <w:color w:val="FFFFFF"/>
                <w:sz w:val="18"/>
                <w:szCs w:val="18"/>
                <w:lang w:eastAsia="en-US"/>
              </w:rPr>
              <w:fldChar w:fldCharType="begin"/>
            </w:r>
            <w:r w:rsidR="000041B6">
              <w:instrText xml:space="preserve"> XE "</w:instrText>
            </w:r>
            <w:r w:rsidR="000041B6" w:rsidRPr="006402AA">
              <w:instrText>Victoria:summary of entitlements</w:instrText>
            </w:r>
            <w:r w:rsidR="000041B6">
              <w:instrText xml:space="preserve">" \r "ACT1" </w:instrText>
            </w:r>
            <w:r w:rsidR="000041B6">
              <w:rPr>
                <w:rFonts w:eastAsia="Calibri" w:cs="Arial"/>
                <w:b/>
                <w:color w:val="FFFFFF"/>
                <w:sz w:val="18"/>
                <w:szCs w:val="18"/>
                <w:lang w:eastAsia="en-US"/>
              </w:rPr>
              <w:fldChar w:fldCharType="end"/>
            </w:r>
          </w:p>
        </w:tc>
        <w:tc>
          <w:tcPr>
            <w:tcW w:w="1125" w:type="dxa"/>
            <w:shd w:val="clear" w:color="auto" w:fill="C00000"/>
            <w:tcMar>
              <w:top w:w="0" w:type="dxa"/>
              <w:left w:w="0" w:type="dxa"/>
              <w:bottom w:w="0" w:type="dxa"/>
              <w:right w:w="0" w:type="dxa"/>
            </w:tcMar>
            <w:vAlign w:val="center"/>
          </w:tcPr>
          <w:p w14:paraId="1BDA040B" w14:textId="1481F90D"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Queensland</w:t>
            </w:r>
            <w:r w:rsidR="00B653B7">
              <w:rPr>
                <w:rFonts w:eastAsia="Calibri" w:cs="Arial"/>
                <w:b/>
                <w:color w:val="FFFFFF"/>
                <w:sz w:val="18"/>
                <w:szCs w:val="18"/>
                <w:lang w:eastAsia="en-US"/>
              </w:rPr>
              <w:fldChar w:fldCharType="begin"/>
            </w:r>
            <w:r w:rsidR="00B653B7">
              <w:instrText xml:space="preserve"> XE "</w:instrText>
            </w:r>
            <w:r w:rsidR="00B653B7" w:rsidRPr="00764D70">
              <w:instrText>Queensland:summary of entitlements</w:instrText>
            </w:r>
            <w:r w:rsidR="00B653B7">
              <w:instrText xml:space="preserve">" </w:instrText>
            </w:r>
            <w:r w:rsidR="00B653B7">
              <w:rPr>
                <w:rFonts w:eastAsia="Calibri" w:cs="Arial"/>
                <w:b/>
                <w:color w:val="FFFFFF"/>
                <w:sz w:val="18"/>
                <w:szCs w:val="18"/>
                <w:lang w:eastAsia="en-US"/>
              </w:rPr>
              <w:fldChar w:fldCharType="end"/>
            </w:r>
            <w:r w:rsidR="00B653B7">
              <w:rPr>
                <w:rFonts w:eastAsia="Calibri" w:cs="Arial"/>
                <w:b/>
                <w:color w:val="FFFFFF"/>
                <w:sz w:val="18"/>
                <w:szCs w:val="18"/>
                <w:lang w:eastAsia="en-US"/>
              </w:rPr>
              <w:fldChar w:fldCharType="begin"/>
            </w:r>
            <w:r w:rsidR="00B653B7">
              <w:instrText xml:space="preserve"> XE "</w:instrText>
            </w:r>
            <w:r w:rsidR="00B653B7" w:rsidRPr="00AF09C8">
              <w:instrText>Queensland:summary of entitlements</w:instrText>
            </w:r>
            <w:r w:rsidR="00B653B7">
              <w:instrText xml:space="preserve">" \r "ACT1" </w:instrText>
            </w:r>
            <w:r w:rsidR="00B653B7">
              <w:rPr>
                <w:rFonts w:eastAsia="Calibri" w:cs="Arial"/>
                <w:b/>
                <w:color w:val="FFFFFF"/>
                <w:sz w:val="18"/>
                <w:szCs w:val="18"/>
                <w:lang w:eastAsia="en-US"/>
              </w:rPr>
              <w:fldChar w:fldCharType="end"/>
            </w:r>
          </w:p>
        </w:tc>
        <w:tc>
          <w:tcPr>
            <w:tcW w:w="1125" w:type="dxa"/>
            <w:shd w:val="clear" w:color="auto" w:fill="C00000"/>
            <w:tcMar>
              <w:top w:w="0" w:type="dxa"/>
              <w:left w:w="0" w:type="dxa"/>
              <w:bottom w:w="0" w:type="dxa"/>
              <w:right w:w="0" w:type="dxa"/>
            </w:tcMar>
            <w:vAlign w:val="center"/>
          </w:tcPr>
          <w:p w14:paraId="15D9D1E5" w14:textId="52109E33"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Western Australia</w:t>
            </w:r>
            <w:r w:rsidR="00232E14">
              <w:rPr>
                <w:rFonts w:eastAsia="Calibri" w:cs="Arial"/>
                <w:b/>
                <w:color w:val="FFFFFF"/>
                <w:sz w:val="18"/>
                <w:szCs w:val="18"/>
                <w:lang w:eastAsia="en-US"/>
              </w:rPr>
              <w:fldChar w:fldCharType="begin"/>
            </w:r>
            <w:r w:rsidR="00232E14">
              <w:instrText xml:space="preserve"> XE "</w:instrText>
            </w:r>
            <w:r w:rsidR="00232E14" w:rsidRPr="002302A0">
              <w:instrText>Western Australia:summary of entitlements</w:instrText>
            </w:r>
            <w:r w:rsidR="00232E14">
              <w:instrText xml:space="preserve">" \r "ACT1" </w:instrText>
            </w:r>
            <w:r w:rsidR="00232E14">
              <w:rPr>
                <w:rFonts w:eastAsia="Calibri" w:cs="Arial"/>
                <w:b/>
                <w:color w:val="FFFFFF"/>
                <w:sz w:val="18"/>
                <w:szCs w:val="18"/>
                <w:lang w:eastAsia="en-US"/>
              </w:rPr>
              <w:fldChar w:fldCharType="end"/>
            </w:r>
          </w:p>
        </w:tc>
        <w:tc>
          <w:tcPr>
            <w:tcW w:w="1108" w:type="dxa"/>
            <w:shd w:val="clear" w:color="auto" w:fill="C00000"/>
            <w:tcMar>
              <w:top w:w="0" w:type="dxa"/>
              <w:left w:w="0" w:type="dxa"/>
              <w:bottom w:w="0" w:type="dxa"/>
              <w:right w:w="0" w:type="dxa"/>
            </w:tcMar>
            <w:vAlign w:val="center"/>
          </w:tcPr>
          <w:p w14:paraId="605604FF" w14:textId="31505503"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South Australia</w:t>
            </w:r>
            <w:r w:rsidR="007E7520">
              <w:rPr>
                <w:rFonts w:eastAsia="Calibri" w:cs="Arial"/>
                <w:b/>
                <w:color w:val="FFFFFF"/>
                <w:sz w:val="18"/>
                <w:szCs w:val="18"/>
                <w:lang w:eastAsia="en-US"/>
              </w:rPr>
              <w:fldChar w:fldCharType="begin"/>
            </w:r>
            <w:r w:rsidR="007E7520">
              <w:instrText xml:space="preserve"> XE "</w:instrText>
            </w:r>
            <w:r w:rsidR="007E7520" w:rsidRPr="00C04D02">
              <w:instrText>South Australia:summary of entitlements</w:instrText>
            </w:r>
            <w:r w:rsidR="007E7520">
              <w:instrText xml:space="preserve">" \r "ACT1" </w:instrText>
            </w:r>
            <w:r w:rsidR="007E7520">
              <w:rPr>
                <w:rFonts w:eastAsia="Calibri" w:cs="Arial"/>
                <w:b/>
                <w:color w:val="FFFFFF"/>
                <w:sz w:val="18"/>
                <w:szCs w:val="18"/>
                <w:lang w:eastAsia="en-US"/>
              </w:rPr>
              <w:fldChar w:fldCharType="end"/>
            </w:r>
          </w:p>
        </w:tc>
        <w:tc>
          <w:tcPr>
            <w:tcW w:w="1130" w:type="dxa"/>
            <w:shd w:val="clear" w:color="auto" w:fill="C00000"/>
            <w:tcMar>
              <w:top w:w="0" w:type="dxa"/>
              <w:left w:w="0" w:type="dxa"/>
              <w:bottom w:w="0" w:type="dxa"/>
              <w:right w:w="0" w:type="dxa"/>
            </w:tcMar>
            <w:vAlign w:val="center"/>
          </w:tcPr>
          <w:p w14:paraId="5F0A9D6D"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Tasmania</w:t>
            </w:r>
            <w:r w:rsidR="0093517C">
              <w:rPr>
                <w:rFonts w:eastAsia="Calibri" w:cs="Arial"/>
                <w:b/>
                <w:color w:val="FFFFFF"/>
                <w:sz w:val="18"/>
                <w:szCs w:val="18"/>
                <w:lang w:eastAsia="en-US"/>
              </w:rPr>
              <w:fldChar w:fldCharType="begin"/>
            </w:r>
            <w:r w:rsidR="0093517C">
              <w:instrText xml:space="preserve"> XE "</w:instrText>
            </w:r>
            <w:r w:rsidR="0093517C" w:rsidRPr="00184E6D">
              <w:instrText>Tasmania:summary of entitlements</w:instrText>
            </w:r>
            <w:r w:rsidR="0093517C">
              <w:instrText xml:space="preserve">" \r "ACT1" </w:instrText>
            </w:r>
            <w:r w:rsidR="0093517C">
              <w:rPr>
                <w:rFonts w:eastAsia="Calibri" w:cs="Arial"/>
                <w:b/>
                <w:color w:val="FFFFFF"/>
                <w:sz w:val="18"/>
                <w:szCs w:val="18"/>
                <w:lang w:eastAsia="en-US"/>
              </w:rPr>
              <w:fldChar w:fldCharType="end"/>
            </w:r>
          </w:p>
        </w:tc>
        <w:tc>
          <w:tcPr>
            <w:tcW w:w="1126" w:type="dxa"/>
            <w:shd w:val="clear" w:color="auto" w:fill="C00000"/>
            <w:tcMar>
              <w:top w:w="0" w:type="dxa"/>
              <w:left w:w="0" w:type="dxa"/>
              <w:bottom w:w="0" w:type="dxa"/>
              <w:right w:w="0" w:type="dxa"/>
            </w:tcMar>
            <w:vAlign w:val="center"/>
          </w:tcPr>
          <w:p w14:paraId="354642ED" w14:textId="0B493FCA"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Northern Territory</w:t>
            </w:r>
            <w:r w:rsidR="00A95C3B">
              <w:rPr>
                <w:rFonts w:eastAsia="Calibri" w:cs="Arial"/>
                <w:b/>
                <w:color w:val="FFFFFF"/>
                <w:sz w:val="18"/>
                <w:szCs w:val="18"/>
                <w:lang w:eastAsia="en-US"/>
              </w:rPr>
              <w:fldChar w:fldCharType="begin"/>
            </w:r>
            <w:r w:rsidR="00A95C3B">
              <w:instrText xml:space="preserve"> XE "</w:instrText>
            </w:r>
            <w:r w:rsidR="00A95C3B" w:rsidRPr="00A835DC">
              <w:instrText>Northern Territory:summary of entitlements</w:instrText>
            </w:r>
            <w:r w:rsidR="00A95C3B">
              <w:instrText xml:space="preserve">" \r "ACT1" </w:instrText>
            </w:r>
            <w:r w:rsidR="00A95C3B">
              <w:rPr>
                <w:rFonts w:eastAsia="Calibri" w:cs="Arial"/>
                <w:b/>
                <w:color w:val="FFFFFF"/>
                <w:sz w:val="18"/>
                <w:szCs w:val="18"/>
                <w:lang w:eastAsia="en-US"/>
              </w:rPr>
              <w:fldChar w:fldCharType="end"/>
            </w:r>
          </w:p>
        </w:tc>
        <w:tc>
          <w:tcPr>
            <w:tcW w:w="1105" w:type="dxa"/>
            <w:shd w:val="clear" w:color="auto" w:fill="C00000"/>
            <w:tcMar>
              <w:top w:w="0" w:type="dxa"/>
              <w:left w:w="0" w:type="dxa"/>
              <w:bottom w:w="0" w:type="dxa"/>
              <w:right w:w="0" w:type="dxa"/>
            </w:tcMar>
            <w:vAlign w:val="center"/>
          </w:tcPr>
          <w:p w14:paraId="63826040"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Australian Capital Territory</w:t>
            </w:r>
            <w:r w:rsidR="0048347D">
              <w:rPr>
                <w:rFonts w:eastAsia="Calibri" w:cs="Arial"/>
                <w:b/>
                <w:color w:val="FFFFFF"/>
                <w:sz w:val="18"/>
                <w:szCs w:val="18"/>
                <w:lang w:eastAsia="en-US"/>
              </w:rPr>
              <w:fldChar w:fldCharType="begin"/>
            </w:r>
            <w:r w:rsidR="0048347D">
              <w:instrText xml:space="preserve"> XE "</w:instrText>
            </w:r>
            <w:r w:rsidR="0048347D" w:rsidRPr="00AE0FCE">
              <w:instrText>Australian Capital Territory:summary of entitlements</w:instrText>
            </w:r>
            <w:r w:rsidR="0048347D">
              <w:instrText xml:space="preserve">" \r "ACT1" </w:instrText>
            </w:r>
            <w:r w:rsidR="0048347D">
              <w:rPr>
                <w:rFonts w:eastAsia="Calibri" w:cs="Arial"/>
                <w:b/>
                <w:color w:val="FFFFFF"/>
                <w:sz w:val="18"/>
                <w:szCs w:val="18"/>
                <w:lang w:eastAsia="en-US"/>
              </w:rPr>
              <w:fldChar w:fldCharType="end"/>
            </w:r>
          </w:p>
        </w:tc>
        <w:tc>
          <w:tcPr>
            <w:tcW w:w="1133" w:type="dxa"/>
            <w:shd w:val="clear" w:color="auto" w:fill="C00000"/>
            <w:tcMar>
              <w:top w:w="0" w:type="dxa"/>
              <w:left w:w="0" w:type="dxa"/>
              <w:bottom w:w="0" w:type="dxa"/>
              <w:right w:w="0" w:type="dxa"/>
            </w:tcMar>
            <w:vAlign w:val="center"/>
          </w:tcPr>
          <w:p w14:paraId="1BB37582"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C’wealth</w:t>
            </w:r>
          </w:p>
          <w:p w14:paraId="4EAFB22D" w14:textId="593C1CFF"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Comcare</w:t>
            </w:r>
            <w:r w:rsidR="00C44D5D">
              <w:rPr>
                <w:rFonts w:eastAsia="Calibri" w:cs="Arial"/>
                <w:b/>
                <w:color w:val="FFFFFF"/>
                <w:sz w:val="18"/>
                <w:szCs w:val="18"/>
                <w:lang w:eastAsia="en-US"/>
              </w:rPr>
              <w:fldChar w:fldCharType="begin"/>
            </w:r>
            <w:r w:rsidR="00C44D5D">
              <w:instrText xml:space="preserve"> XE "</w:instrText>
            </w:r>
            <w:r w:rsidR="00C44D5D" w:rsidRPr="00E95269">
              <w:instrText>Comcare:summary of entitlements</w:instrText>
            </w:r>
            <w:r w:rsidR="00C44D5D">
              <w:instrText xml:space="preserve">" \r "ACT1" </w:instrText>
            </w:r>
            <w:r w:rsidR="00C44D5D">
              <w:rPr>
                <w:rFonts w:eastAsia="Calibri" w:cs="Arial"/>
                <w:b/>
                <w:color w:val="FFFFFF"/>
                <w:sz w:val="18"/>
                <w:szCs w:val="18"/>
                <w:lang w:eastAsia="en-US"/>
              </w:rPr>
              <w:fldChar w:fldCharType="end"/>
            </w:r>
          </w:p>
        </w:tc>
        <w:tc>
          <w:tcPr>
            <w:tcW w:w="1133" w:type="dxa"/>
            <w:shd w:val="clear" w:color="auto" w:fill="C00000"/>
            <w:tcMar>
              <w:top w:w="79" w:type="dxa"/>
              <w:left w:w="79" w:type="dxa"/>
              <w:bottom w:w="79" w:type="dxa"/>
              <w:right w:w="79" w:type="dxa"/>
            </w:tcMar>
            <w:vAlign w:val="center"/>
          </w:tcPr>
          <w:p w14:paraId="455339CB" w14:textId="3770E29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C’wealth Seacare</w:t>
            </w:r>
            <w:r w:rsidR="000B568E">
              <w:rPr>
                <w:rFonts w:eastAsia="Calibri" w:cs="Arial"/>
                <w:b/>
                <w:color w:val="FFFFFF"/>
                <w:sz w:val="18"/>
                <w:szCs w:val="18"/>
                <w:lang w:eastAsia="en-US"/>
              </w:rPr>
              <w:fldChar w:fldCharType="begin"/>
            </w:r>
            <w:r w:rsidR="000B568E">
              <w:instrText xml:space="preserve"> XE "</w:instrText>
            </w:r>
            <w:r w:rsidR="000B568E" w:rsidRPr="00306F10">
              <w:instrText xml:space="preserve">Seacare:summary of </w:instrText>
            </w:r>
            <w:r w:rsidR="000B568E">
              <w:instrText xml:space="preserve">entitlements" \r "ACT1" </w:instrText>
            </w:r>
            <w:r w:rsidR="000B568E">
              <w:rPr>
                <w:rFonts w:eastAsia="Calibri" w:cs="Arial"/>
                <w:b/>
                <w:color w:val="FFFFFF"/>
                <w:sz w:val="18"/>
                <w:szCs w:val="18"/>
                <w:lang w:eastAsia="en-US"/>
              </w:rPr>
              <w:fldChar w:fldCharType="end"/>
            </w:r>
          </w:p>
        </w:tc>
        <w:tc>
          <w:tcPr>
            <w:tcW w:w="1105" w:type="dxa"/>
            <w:shd w:val="clear" w:color="auto" w:fill="C00000"/>
            <w:tcMar>
              <w:top w:w="0" w:type="dxa"/>
              <w:left w:w="0" w:type="dxa"/>
              <w:bottom w:w="0" w:type="dxa"/>
              <w:right w:w="0" w:type="dxa"/>
            </w:tcMar>
            <w:vAlign w:val="center"/>
          </w:tcPr>
          <w:p w14:paraId="24DD0B99"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C’wealth</w:t>
            </w:r>
          </w:p>
          <w:p w14:paraId="4F12A0CE" w14:textId="35717456"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 xml:space="preserve"> DVA</w:t>
            </w:r>
            <w:r w:rsidR="008E6A35">
              <w:rPr>
                <w:rFonts w:eastAsia="Calibri" w:cs="Arial"/>
                <w:b/>
                <w:color w:val="FFFFFF"/>
                <w:sz w:val="18"/>
                <w:szCs w:val="18"/>
                <w:lang w:eastAsia="en-US"/>
              </w:rPr>
              <w:fldChar w:fldCharType="begin"/>
            </w:r>
            <w:r w:rsidR="008E6A35">
              <w:instrText xml:space="preserve"> XE "</w:instrText>
            </w:r>
            <w:r w:rsidR="008E6A35" w:rsidRPr="000A4385">
              <w:instrText>Depar</w:instrText>
            </w:r>
            <w:r w:rsidR="007B3F66">
              <w:instrText>t</w:instrText>
            </w:r>
            <w:r w:rsidR="008E6A35" w:rsidRPr="000A4385">
              <w:instrText>ment of Veterans' Affairs:summary of entitlements</w:instrText>
            </w:r>
            <w:r w:rsidR="008E6A35">
              <w:instrText xml:space="preserve">" \r "ACT1" </w:instrText>
            </w:r>
            <w:r w:rsidR="008E6A35">
              <w:rPr>
                <w:rFonts w:eastAsia="Calibri" w:cs="Arial"/>
                <w:b/>
                <w:color w:val="FFFFFF"/>
                <w:sz w:val="18"/>
                <w:szCs w:val="18"/>
                <w:lang w:eastAsia="en-US"/>
              </w:rPr>
              <w:fldChar w:fldCharType="end"/>
            </w:r>
          </w:p>
        </w:tc>
        <w:tc>
          <w:tcPr>
            <w:tcW w:w="1093" w:type="dxa"/>
            <w:shd w:val="clear" w:color="auto" w:fill="C00000"/>
            <w:vAlign w:val="center"/>
          </w:tcPr>
          <w:p w14:paraId="18AFEFD5" w14:textId="10770012"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New Zealand</w:t>
            </w:r>
            <w:r w:rsidR="003B3E5B">
              <w:rPr>
                <w:rFonts w:eastAsia="Calibri" w:cs="Arial"/>
                <w:b/>
                <w:color w:val="FFFFFF"/>
                <w:sz w:val="18"/>
                <w:szCs w:val="18"/>
                <w:lang w:eastAsia="en-US"/>
              </w:rPr>
              <w:fldChar w:fldCharType="begin"/>
            </w:r>
            <w:r w:rsidR="003B3E5B">
              <w:instrText xml:space="preserve"> XE "</w:instrText>
            </w:r>
            <w:r w:rsidR="003B3E5B" w:rsidRPr="00F23AA6">
              <w:instrText>New Zealand:summary of entitlements</w:instrText>
            </w:r>
            <w:r w:rsidR="003B3E5B">
              <w:instrText xml:space="preserve">" \r "ACT1" </w:instrText>
            </w:r>
            <w:r w:rsidR="003B3E5B">
              <w:rPr>
                <w:rFonts w:eastAsia="Calibri" w:cs="Arial"/>
                <w:b/>
                <w:color w:val="FFFFFF"/>
                <w:sz w:val="18"/>
                <w:szCs w:val="18"/>
                <w:lang w:eastAsia="en-US"/>
              </w:rPr>
              <w:fldChar w:fldCharType="end"/>
            </w:r>
          </w:p>
        </w:tc>
      </w:tr>
      <w:tr w:rsidR="000268F6" w:rsidRPr="000268F6" w14:paraId="60976DA2" w14:textId="77777777" w:rsidTr="008B24D1">
        <w:tc>
          <w:tcPr>
            <w:tcW w:w="14521" w:type="dxa"/>
            <w:gridSpan w:val="13"/>
            <w:tcMar>
              <w:top w:w="79" w:type="dxa"/>
              <w:left w:w="79" w:type="dxa"/>
              <w:bottom w:w="79" w:type="dxa"/>
              <w:right w:w="79" w:type="dxa"/>
            </w:tcMar>
            <w:vAlign w:val="center"/>
          </w:tcPr>
          <w:p w14:paraId="2FEE35EC" w14:textId="3C557531" w:rsidR="000268F6" w:rsidRPr="000268F6" w:rsidRDefault="000268F6" w:rsidP="00B21723">
            <w:pPr>
              <w:spacing w:after="60"/>
              <w:jc w:val="center"/>
              <w:rPr>
                <w:rFonts w:eastAsia="Calibri" w:cs="Arial"/>
                <w:b/>
                <w:sz w:val="16"/>
                <w:szCs w:val="16"/>
                <w:lang w:eastAsia="en-US"/>
              </w:rPr>
            </w:pPr>
            <w:r w:rsidRPr="000268F6">
              <w:rPr>
                <w:rFonts w:eastAsia="Calibri" w:cs="Arial"/>
                <w:b/>
                <w:sz w:val="16"/>
                <w:szCs w:val="16"/>
                <w:lang w:eastAsia="en-US"/>
              </w:rPr>
              <w:t>What pre-injury weekly earning includes</w:t>
            </w:r>
            <w:r w:rsidR="003D18DA">
              <w:rPr>
                <w:rFonts w:eastAsia="Calibri" w:cs="Arial"/>
                <w:b/>
                <w:sz w:val="16"/>
                <w:szCs w:val="16"/>
                <w:lang w:eastAsia="en-US"/>
              </w:rPr>
              <w:fldChar w:fldCharType="begin"/>
            </w:r>
            <w:r w:rsidR="003D18DA">
              <w:instrText xml:space="preserve"> XE "</w:instrText>
            </w:r>
            <w:r w:rsidR="003D18DA" w:rsidRPr="001854C8">
              <w:instrText>pre-injury weekly earnings</w:instrText>
            </w:r>
            <w:r w:rsidR="003D18DA">
              <w:instrText xml:space="preserve">" \r "weekly" </w:instrText>
            </w:r>
            <w:r w:rsidR="003D18DA">
              <w:rPr>
                <w:rFonts w:eastAsia="Calibri" w:cs="Arial"/>
                <w:b/>
                <w:sz w:val="16"/>
                <w:szCs w:val="16"/>
                <w:lang w:eastAsia="en-US"/>
              </w:rPr>
              <w:fldChar w:fldCharType="end"/>
            </w:r>
            <w:r w:rsidR="00232E14">
              <w:rPr>
                <w:rFonts w:eastAsia="Calibri" w:cs="Arial"/>
                <w:b/>
                <w:sz w:val="16"/>
                <w:szCs w:val="16"/>
                <w:lang w:eastAsia="en-US"/>
              </w:rPr>
              <w:fldChar w:fldCharType="begin"/>
            </w:r>
            <w:r w:rsidR="00232E14">
              <w:instrText xml:space="preserve"> XE "</w:instrText>
            </w:r>
            <w:r w:rsidR="00232E14" w:rsidRPr="001854C8">
              <w:instrText>weekly earnings</w:instrText>
            </w:r>
            <w:r w:rsidR="00232E14">
              <w:instrText xml:space="preserve">" \r "weekly" </w:instrText>
            </w:r>
            <w:r w:rsidR="00232E14">
              <w:rPr>
                <w:rFonts w:eastAsia="Calibri" w:cs="Arial"/>
                <w:b/>
                <w:sz w:val="16"/>
                <w:szCs w:val="16"/>
                <w:lang w:eastAsia="en-US"/>
              </w:rPr>
              <w:fldChar w:fldCharType="end"/>
            </w:r>
          </w:p>
        </w:tc>
      </w:tr>
      <w:tr w:rsidR="00FF68C4" w:rsidRPr="000268F6" w14:paraId="3CDF5608" w14:textId="77777777" w:rsidTr="008B24D1">
        <w:tc>
          <w:tcPr>
            <w:tcW w:w="1112" w:type="dxa"/>
            <w:shd w:val="clear" w:color="auto" w:fill="FFC9C9"/>
            <w:tcMar>
              <w:top w:w="80" w:type="dxa"/>
              <w:left w:w="80" w:type="dxa"/>
              <w:bottom w:w="80" w:type="dxa"/>
              <w:right w:w="80" w:type="dxa"/>
            </w:tcMar>
          </w:tcPr>
          <w:p w14:paraId="2C55C3F5" w14:textId="77777777" w:rsidR="000268F6" w:rsidRPr="000268F6" w:rsidRDefault="000268F6" w:rsidP="00B21723">
            <w:pPr>
              <w:spacing w:after="60"/>
              <w:rPr>
                <w:rFonts w:eastAsia="Calibri" w:cs="Arial"/>
                <w:b/>
                <w:sz w:val="16"/>
                <w:szCs w:val="16"/>
                <w:lang w:eastAsia="en-US"/>
              </w:rPr>
            </w:pPr>
            <w:bookmarkStart w:id="55" w:name="weekly"/>
            <w:r w:rsidRPr="000268F6">
              <w:rPr>
                <w:rFonts w:eastAsia="Calibri" w:cs="Arial"/>
                <w:b/>
                <w:sz w:val="16"/>
                <w:szCs w:val="16"/>
                <w:lang w:eastAsia="en-US"/>
              </w:rPr>
              <w:t>Overtime</w:t>
            </w:r>
          </w:p>
        </w:tc>
        <w:tc>
          <w:tcPr>
            <w:tcW w:w="1125" w:type="dxa"/>
            <w:shd w:val="clear" w:color="auto" w:fill="FFC9C9"/>
            <w:tcMar>
              <w:top w:w="80" w:type="dxa"/>
              <w:left w:w="80" w:type="dxa"/>
              <w:bottom w:w="80" w:type="dxa"/>
              <w:right w:w="80" w:type="dxa"/>
            </w:tcMar>
          </w:tcPr>
          <w:p w14:paraId="714B5B41" w14:textId="5E8ED651"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for the fi</w:t>
            </w:r>
            <w:r w:rsidR="00E01D0F">
              <w:rPr>
                <w:rFonts w:eastAsia="Calibri" w:cs="Arial"/>
                <w:sz w:val="14"/>
                <w:szCs w:val="14"/>
                <w:lang w:eastAsia="en-US"/>
              </w:rPr>
              <w:t>rst 52 weeks of weekly payments</w:t>
            </w:r>
          </w:p>
        </w:tc>
        <w:tc>
          <w:tcPr>
            <w:tcW w:w="1101" w:type="dxa"/>
            <w:shd w:val="clear" w:color="auto" w:fill="FFC9C9"/>
            <w:tcMar>
              <w:top w:w="80" w:type="dxa"/>
              <w:left w:w="80" w:type="dxa"/>
              <w:bottom w:w="80" w:type="dxa"/>
              <w:right w:w="80" w:type="dxa"/>
            </w:tcMar>
          </w:tcPr>
          <w:p w14:paraId="72F8B0DD" w14:textId="3DF04DB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for first 52 weeks of</w:t>
            </w:r>
            <w:r w:rsidR="00E01D0F">
              <w:rPr>
                <w:rFonts w:eastAsia="Calibri" w:cs="Arial"/>
                <w:sz w:val="14"/>
                <w:szCs w:val="14"/>
                <w:lang w:eastAsia="en-US"/>
              </w:rPr>
              <w:t xml:space="preserve"> weekly payments</w:t>
            </w:r>
          </w:p>
        </w:tc>
        <w:tc>
          <w:tcPr>
            <w:tcW w:w="1125" w:type="dxa"/>
            <w:shd w:val="clear" w:color="auto" w:fill="FFC9C9"/>
            <w:tcMar>
              <w:top w:w="80" w:type="dxa"/>
              <w:left w:w="80" w:type="dxa"/>
              <w:bottom w:w="80" w:type="dxa"/>
              <w:right w:w="80" w:type="dxa"/>
            </w:tcMar>
          </w:tcPr>
          <w:p w14:paraId="49A60FFC" w14:textId="6140D01E" w:rsidR="000268F6" w:rsidRPr="000268F6" w:rsidRDefault="00E01D0F" w:rsidP="00B21723">
            <w:pPr>
              <w:spacing w:after="60"/>
              <w:rPr>
                <w:rFonts w:eastAsia="Calibri" w:cs="Arial"/>
                <w:sz w:val="14"/>
                <w:szCs w:val="14"/>
                <w:lang w:eastAsia="en-US"/>
              </w:rPr>
            </w:pPr>
            <w:r>
              <w:rPr>
                <w:rFonts w:eastAsia="Calibri" w:cs="Arial"/>
                <w:sz w:val="14"/>
                <w:szCs w:val="14"/>
                <w:lang w:eastAsia="en-US"/>
              </w:rPr>
              <w:t>Yes (NWE)</w:t>
            </w:r>
          </w:p>
        </w:tc>
        <w:tc>
          <w:tcPr>
            <w:tcW w:w="1125" w:type="dxa"/>
            <w:shd w:val="clear" w:color="auto" w:fill="FFC9C9"/>
            <w:tcMar>
              <w:top w:w="80" w:type="dxa"/>
              <w:left w:w="80" w:type="dxa"/>
              <w:bottom w:w="80" w:type="dxa"/>
              <w:right w:w="80" w:type="dxa"/>
            </w:tcMar>
          </w:tcPr>
          <w:p w14:paraId="02C02093" w14:textId="2CCDBB8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for the first 1</w:t>
            </w:r>
            <w:r w:rsidR="00E01D0F">
              <w:rPr>
                <w:rFonts w:eastAsia="Calibri" w:cs="Arial"/>
                <w:sz w:val="14"/>
                <w:szCs w:val="14"/>
                <w:lang w:eastAsia="en-US"/>
              </w:rPr>
              <w:t>3 weeks. No from week 14 onward</w:t>
            </w:r>
          </w:p>
        </w:tc>
        <w:tc>
          <w:tcPr>
            <w:tcW w:w="1108" w:type="dxa"/>
            <w:shd w:val="clear" w:color="auto" w:fill="FFC9C9"/>
            <w:tcMar>
              <w:top w:w="80" w:type="dxa"/>
              <w:left w:w="80" w:type="dxa"/>
              <w:bottom w:w="80" w:type="dxa"/>
              <w:right w:w="80" w:type="dxa"/>
            </w:tcMar>
          </w:tcPr>
          <w:p w14:paraId="1FAE5BB4" w14:textId="4C80FA8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w:t>
            </w:r>
          </w:p>
        </w:tc>
        <w:tc>
          <w:tcPr>
            <w:tcW w:w="1130" w:type="dxa"/>
            <w:shd w:val="clear" w:color="auto" w:fill="FFC9C9"/>
            <w:tcMar>
              <w:top w:w="80" w:type="dxa"/>
              <w:left w:w="80" w:type="dxa"/>
              <w:bottom w:w="80" w:type="dxa"/>
              <w:right w:w="80" w:type="dxa"/>
            </w:tcMar>
          </w:tcPr>
          <w:p w14:paraId="7F00D9FD" w14:textId="3C334C3C"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w:t>
            </w:r>
            <w:r w:rsidR="00E01D0F">
              <w:rPr>
                <w:rFonts w:eastAsia="Calibri" w:cs="Arial"/>
                <w:sz w:val="14"/>
                <w:szCs w:val="14"/>
                <w:lang w:eastAsia="en-US"/>
              </w:rPr>
              <w:t xml:space="preserve"> with some exceptions (see note)</w:t>
            </w:r>
            <w:r w:rsidRPr="000268F6">
              <w:rPr>
                <w:rFonts w:eastAsia="Calibri" w:cs="Arial"/>
                <w:sz w:val="14"/>
                <w:szCs w:val="14"/>
                <w:vertAlign w:val="superscript"/>
                <w:lang w:eastAsia="en-US"/>
              </w:rPr>
              <w:t>a</w:t>
            </w:r>
          </w:p>
        </w:tc>
        <w:tc>
          <w:tcPr>
            <w:tcW w:w="1126" w:type="dxa"/>
            <w:shd w:val="clear" w:color="auto" w:fill="FFC9C9"/>
            <w:tcMar>
              <w:top w:w="80" w:type="dxa"/>
              <w:left w:w="80" w:type="dxa"/>
              <w:bottom w:w="80" w:type="dxa"/>
              <w:right w:w="80" w:type="dxa"/>
            </w:tcMar>
          </w:tcPr>
          <w:p w14:paraId="5EB7A855" w14:textId="1693A786" w:rsidR="000268F6" w:rsidRPr="000268F6" w:rsidRDefault="00E01D0F" w:rsidP="00B21723">
            <w:pPr>
              <w:spacing w:after="60"/>
              <w:rPr>
                <w:rFonts w:eastAsia="Calibri" w:cs="Arial"/>
                <w:sz w:val="14"/>
                <w:szCs w:val="14"/>
                <w:lang w:eastAsia="en-US"/>
              </w:rPr>
            </w:pPr>
            <w:r>
              <w:rPr>
                <w:rFonts w:eastAsia="Calibri" w:cs="Arial"/>
                <w:sz w:val="14"/>
                <w:szCs w:val="14"/>
                <w:lang w:eastAsia="en-US"/>
              </w:rPr>
              <w:t>Yes, if regular and established</w:t>
            </w:r>
          </w:p>
        </w:tc>
        <w:tc>
          <w:tcPr>
            <w:tcW w:w="1105" w:type="dxa"/>
            <w:shd w:val="clear" w:color="auto" w:fill="FFC9C9"/>
            <w:tcMar>
              <w:top w:w="80" w:type="dxa"/>
              <w:left w:w="80" w:type="dxa"/>
              <w:bottom w:w="80" w:type="dxa"/>
              <w:right w:w="80" w:type="dxa"/>
            </w:tcMar>
          </w:tcPr>
          <w:p w14:paraId="46C1B499" w14:textId="24AD5934"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if regular and required</w:t>
            </w:r>
          </w:p>
        </w:tc>
        <w:tc>
          <w:tcPr>
            <w:tcW w:w="1133" w:type="dxa"/>
            <w:shd w:val="clear" w:color="auto" w:fill="FFC9C9"/>
            <w:tcMar>
              <w:top w:w="80" w:type="dxa"/>
              <w:left w:w="80" w:type="dxa"/>
              <w:bottom w:w="80" w:type="dxa"/>
              <w:right w:w="80" w:type="dxa"/>
            </w:tcMar>
          </w:tcPr>
          <w:p w14:paraId="103A24C1" w14:textId="65B74764"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w:t>
            </w:r>
          </w:p>
        </w:tc>
        <w:tc>
          <w:tcPr>
            <w:tcW w:w="1133" w:type="dxa"/>
            <w:shd w:val="clear" w:color="auto" w:fill="FFC9C9"/>
            <w:tcMar>
              <w:top w:w="79" w:type="dxa"/>
              <w:left w:w="79" w:type="dxa"/>
              <w:bottom w:w="79" w:type="dxa"/>
              <w:right w:w="79" w:type="dxa"/>
            </w:tcMar>
          </w:tcPr>
          <w:p w14:paraId="21A0CB6B" w14:textId="124402DF"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if regular and required</w:t>
            </w:r>
          </w:p>
        </w:tc>
        <w:tc>
          <w:tcPr>
            <w:tcW w:w="1105" w:type="dxa"/>
            <w:shd w:val="clear" w:color="auto" w:fill="FFC9C9"/>
            <w:tcMar>
              <w:top w:w="80" w:type="dxa"/>
              <w:left w:w="80" w:type="dxa"/>
              <w:bottom w:w="80" w:type="dxa"/>
              <w:right w:w="80" w:type="dxa"/>
            </w:tcMar>
          </w:tcPr>
          <w:p w14:paraId="66FF1CE6" w14:textId="7A5AA1BD" w:rsidR="000268F6" w:rsidRDefault="002B2B84" w:rsidP="00B21723">
            <w:pPr>
              <w:spacing w:after="60"/>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99292D">
              <w:rPr>
                <w:rFonts w:eastAsia="Calibri" w:cs="Arial"/>
                <w:sz w:val="14"/>
                <w:szCs w:val="14"/>
                <w:lang w:eastAsia="en-US"/>
              </w:rPr>
              <w:t>MRCA</w:t>
            </w:r>
            <w:r>
              <w:rPr>
                <w:rFonts w:eastAsia="Calibri" w:cs="Arial"/>
                <w:sz w:val="14"/>
                <w:szCs w:val="14"/>
                <w:lang w:eastAsia="en-US"/>
              </w:rPr>
              <w:t>)</w:t>
            </w:r>
            <w:r w:rsidR="0099292D">
              <w:rPr>
                <w:rFonts w:eastAsia="Calibri" w:cs="Arial"/>
                <w:sz w:val="14"/>
                <w:szCs w:val="14"/>
                <w:lang w:eastAsia="en-US"/>
              </w:rPr>
              <w:t xml:space="preserve"> – </w:t>
            </w:r>
            <w:r w:rsidR="000268F6" w:rsidRPr="000268F6">
              <w:rPr>
                <w:rFonts w:eastAsia="Calibri" w:cs="Arial"/>
                <w:sz w:val="14"/>
                <w:szCs w:val="14"/>
                <w:lang w:eastAsia="en-US"/>
              </w:rPr>
              <w:t>Yes</w:t>
            </w:r>
          </w:p>
          <w:p w14:paraId="30A89067" w14:textId="2B50C178" w:rsidR="0099292D" w:rsidRPr="000268F6" w:rsidRDefault="002B2B84" w:rsidP="00B21723">
            <w:pPr>
              <w:spacing w:after="60"/>
              <w:rPr>
                <w:rFonts w:eastAsia="Calibri" w:cs="Arial"/>
                <w:sz w:val="14"/>
                <w:szCs w:val="14"/>
                <w:lang w:eastAsia="en-US"/>
              </w:rPr>
            </w:pPr>
            <w:r w:rsidRPr="00016069">
              <w:rPr>
                <w:rFonts w:eastAsiaTheme="majorEastAsia"/>
                <w:i/>
                <w:sz w:val="14"/>
              </w:rPr>
              <w:t>Safety, Rehabilitation and Compensation (Defence-related Claims) Act 1988</w:t>
            </w:r>
            <w:r>
              <w:rPr>
                <w:rFonts w:eastAsia="Calibri" w:cs="Arial"/>
                <w:sz w:val="14"/>
                <w:szCs w:val="14"/>
                <w:lang w:eastAsia="en-US"/>
              </w:rPr>
              <w:t xml:space="preserve"> (</w:t>
            </w:r>
            <w:r w:rsidR="0099292D">
              <w:rPr>
                <w:rFonts w:eastAsia="Calibri" w:cs="Arial"/>
                <w:sz w:val="14"/>
                <w:szCs w:val="14"/>
                <w:lang w:eastAsia="en-US"/>
              </w:rPr>
              <w:t>DRCA</w:t>
            </w:r>
            <w:r>
              <w:rPr>
                <w:rFonts w:eastAsia="Calibri" w:cs="Arial"/>
                <w:sz w:val="14"/>
                <w:szCs w:val="14"/>
                <w:lang w:eastAsia="en-US"/>
              </w:rPr>
              <w:t>)</w:t>
            </w:r>
            <w:r w:rsidR="0099292D">
              <w:rPr>
                <w:rFonts w:eastAsia="Calibri" w:cs="Arial"/>
                <w:sz w:val="14"/>
                <w:szCs w:val="14"/>
                <w:lang w:eastAsia="en-US"/>
              </w:rPr>
              <w:t xml:space="preserve"> – Yes</w:t>
            </w:r>
          </w:p>
        </w:tc>
        <w:tc>
          <w:tcPr>
            <w:tcW w:w="1093" w:type="dxa"/>
            <w:shd w:val="clear" w:color="auto" w:fill="FFC9C9"/>
          </w:tcPr>
          <w:p w14:paraId="4DB892AA" w14:textId="0AC11A65"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Yes</w:t>
            </w:r>
          </w:p>
        </w:tc>
      </w:tr>
      <w:tr w:rsidR="00FF68C4" w:rsidRPr="000268F6" w14:paraId="560C97DE" w14:textId="77777777" w:rsidTr="008B24D1">
        <w:tc>
          <w:tcPr>
            <w:tcW w:w="1112" w:type="dxa"/>
            <w:tcMar>
              <w:top w:w="80" w:type="dxa"/>
              <w:left w:w="80" w:type="dxa"/>
              <w:bottom w:w="80" w:type="dxa"/>
              <w:right w:w="80" w:type="dxa"/>
            </w:tcMar>
          </w:tcPr>
          <w:p w14:paraId="5EF43550" w14:textId="77777777"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t>Bonuses</w:t>
            </w:r>
          </w:p>
        </w:tc>
        <w:tc>
          <w:tcPr>
            <w:tcW w:w="1125" w:type="dxa"/>
            <w:tcMar>
              <w:top w:w="80" w:type="dxa"/>
              <w:left w:w="80" w:type="dxa"/>
              <w:bottom w:w="80" w:type="dxa"/>
              <w:right w:w="80" w:type="dxa"/>
            </w:tcMar>
          </w:tcPr>
          <w:p w14:paraId="59AE380B" w14:textId="36529871" w:rsidR="000268F6" w:rsidRPr="000268F6" w:rsidRDefault="000268F6" w:rsidP="00B21723">
            <w:pPr>
              <w:spacing w:after="60"/>
              <w:rPr>
                <w:rFonts w:eastAsia="Calibri" w:cs="Arial"/>
                <w:sz w:val="14"/>
                <w:szCs w:val="14"/>
                <w:highlight w:val="yellow"/>
                <w:lang w:eastAsia="en-US"/>
              </w:rPr>
            </w:pPr>
            <w:r w:rsidRPr="000268F6">
              <w:rPr>
                <w:rFonts w:eastAsia="Calibri" w:cs="Arial"/>
                <w:sz w:val="14"/>
                <w:szCs w:val="14"/>
                <w:lang w:eastAsia="en-US"/>
              </w:rPr>
              <w:t>No</w:t>
            </w:r>
          </w:p>
        </w:tc>
        <w:tc>
          <w:tcPr>
            <w:tcW w:w="1101" w:type="dxa"/>
            <w:tcMar>
              <w:top w:w="80" w:type="dxa"/>
              <w:left w:w="80" w:type="dxa"/>
              <w:bottom w:w="80" w:type="dxa"/>
              <w:right w:w="80" w:type="dxa"/>
            </w:tcMar>
          </w:tcPr>
          <w:p w14:paraId="0BA8F31D" w14:textId="7D5A35EE"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w:t>
            </w:r>
          </w:p>
        </w:tc>
        <w:tc>
          <w:tcPr>
            <w:tcW w:w="1125" w:type="dxa"/>
            <w:tcMar>
              <w:top w:w="80" w:type="dxa"/>
              <w:left w:w="80" w:type="dxa"/>
              <w:bottom w:w="80" w:type="dxa"/>
              <w:right w:w="80" w:type="dxa"/>
            </w:tcMar>
          </w:tcPr>
          <w:p w14:paraId="6B834F56" w14:textId="166DD3E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w:t>
            </w:r>
          </w:p>
        </w:tc>
        <w:tc>
          <w:tcPr>
            <w:tcW w:w="1125" w:type="dxa"/>
            <w:tcMar>
              <w:top w:w="80" w:type="dxa"/>
              <w:left w:w="80" w:type="dxa"/>
              <w:bottom w:w="80" w:type="dxa"/>
              <w:right w:w="80" w:type="dxa"/>
            </w:tcMar>
          </w:tcPr>
          <w:p w14:paraId="2787921A" w14:textId="5116E7BE" w:rsidR="000268F6" w:rsidRPr="000268F6" w:rsidRDefault="000264D7" w:rsidP="00B21723">
            <w:pPr>
              <w:spacing w:after="60"/>
              <w:rPr>
                <w:rFonts w:eastAsia="Calibri" w:cs="Arial"/>
                <w:sz w:val="14"/>
                <w:szCs w:val="14"/>
                <w:lang w:eastAsia="en-US"/>
              </w:rPr>
            </w:pPr>
            <w:r>
              <w:rPr>
                <w:rFonts w:eastAsia="Calibri" w:cs="Arial"/>
                <w:sz w:val="14"/>
                <w:szCs w:val="14"/>
                <w:lang w:eastAsia="en-US"/>
              </w:rPr>
              <w:t>Yes, for the first 13 weeks</w:t>
            </w:r>
            <w:r>
              <w:rPr>
                <w:rFonts w:eastAsia="Calibri" w:cs="Arial"/>
                <w:sz w:val="14"/>
                <w:szCs w:val="14"/>
                <w:lang w:eastAsia="en-US"/>
              </w:rPr>
              <w:br/>
            </w:r>
            <w:r w:rsidR="000268F6" w:rsidRPr="000268F6">
              <w:rPr>
                <w:rFonts w:eastAsia="Calibri" w:cs="Arial"/>
                <w:sz w:val="14"/>
                <w:szCs w:val="14"/>
                <w:lang w:eastAsia="en-US"/>
              </w:rPr>
              <w:t>No from week</w:t>
            </w:r>
            <w:r w:rsidR="00E32E61">
              <w:rPr>
                <w:rFonts w:eastAsia="Calibri" w:cs="Arial"/>
                <w:sz w:val="14"/>
                <w:szCs w:val="14"/>
                <w:lang w:eastAsia="en-US"/>
              </w:rPr>
              <w:t xml:space="preserve"> </w:t>
            </w:r>
            <w:r w:rsidR="000268F6" w:rsidRPr="000268F6">
              <w:rPr>
                <w:rFonts w:eastAsia="Calibri" w:cs="Arial"/>
                <w:sz w:val="14"/>
                <w:szCs w:val="14"/>
                <w:lang w:eastAsia="en-US"/>
              </w:rPr>
              <w:t>14 onward</w:t>
            </w:r>
          </w:p>
        </w:tc>
        <w:tc>
          <w:tcPr>
            <w:tcW w:w="1108" w:type="dxa"/>
            <w:tcMar>
              <w:top w:w="80" w:type="dxa"/>
              <w:left w:w="80" w:type="dxa"/>
              <w:bottom w:w="80" w:type="dxa"/>
              <w:right w:w="80" w:type="dxa"/>
            </w:tcMar>
          </w:tcPr>
          <w:p w14:paraId="16FCACAA" w14:textId="1A5D7A6B"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w:t>
            </w:r>
          </w:p>
        </w:tc>
        <w:tc>
          <w:tcPr>
            <w:tcW w:w="1130" w:type="dxa"/>
            <w:tcMar>
              <w:top w:w="80" w:type="dxa"/>
              <w:left w:w="80" w:type="dxa"/>
              <w:bottom w:w="80" w:type="dxa"/>
              <w:right w:w="80" w:type="dxa"/>
            </w:tcMar>
          </w:tcPr>
          <w:p w14:paraId="104E79F6" w14:textId="0408AFBE"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 (</w:t>
            </w:r>
            <w:hyperlink r:id="rId251" w:history="1">
              <w:r w:rsidRPr="000268F6">
                <w:rPr>
                  <w:rFonts w:eastAsia="Calibri" w:cs="Arial"/>
                  <w:color w:val="0000FF"/>
                  <w:sz w:val="14"/>
                  <w:szCs w:val="14"/>
                  <w:u w:val="single"/>
                  <w:lang w:eastAsia="en-US"/>
                </w:rPr>
                <w:t>s70(2)(ac)</w:t>
              </w:r>
            </w:hyperlink>
            <w:r w:rsidR="000264D7">
              <w:rPr>
                <w:rFonts w:eastAsia="Calibri" w:cs="Arial"/>
                <w:sz w:val="14"/>
                <w:szCs w:val="14"/>
                <w:lang w:eastAsia="en-US"/>
              </w:rPr>
              <w:t>)</w:t>
            </w:r>
          </w:p>
        </w:tc>
        <w:tc>
          <w:tcPr>
            <w:tcW w:w="1126" w:type="dxa"/>
            <w:tcMar>
              <w:top w:w="80" w:type="dxa"/>
              <w:left w:w="80" w:type="dxa"/>
              <w:bottom w:w="80" w:type="dxa"/>
              <w:right w:w="80" w:type="dxa"/>
            </w:tcMar>
          </w:tcPr>
          <w:p w14:paraId="2DA984A5" w14:textId="0507372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w:t>
            </w:r>
          </w:p>
        </w:tc>
        <w:tc>
          <w:tcPr>
            <w:tcW w:w="1105" w:type="dxa"/>
            <w:tcMar>
              <w:top w:w="80" w:type="dxa"/>
              <w:left w:w="80" w:type="dxa"/>
              <w:bottom w:w="80" w:type="dxa"/>
              <w:right w:w="80" w:type="dxa"/>
            </w:tcMar>
          </w:tcPr>
          <w:p w14:paraId="5B528335" w14:textId="4EC966DC" w:rsidR="000268F6" w:rsidRPr="000268F6" w:rsidRDefault="000268F6" w:rsidP="00B21723">
            <w:pPr>
              <w:spacing w:after="60"/>
              <w:rPr>
                <w:rFonts w:eastAsia="Calibri" w:cs="Arial"/>
                <w:sz w:val="14"/>
                <w:szCs w:val="14"/>
                <w:highlight w:val="yellow"/>
                <w:lang w:eastAsia="en-US"/>
              </w:rPr>
            </w:pPr>
            <w:r w:rsidRPr="000268F6">
              <w:rPr>
                <w:rFonts w:eastAsia="Calibri" w:cs="Arial"/>
                <w:sz w:val="14"/>
                <w:szCs w:val="14"/>
                <w:lang w:eastAsia="en-US"/>
              </w:rPr>
              <w:t>No</w:t>
            </w:r>
          </w:p>
        </w:tc>
        <w:tc>
          <w:tcPr>
            <w:tcW w:w="1133" w:type="dxa"/>
            <w:tcMar>
              <w:top w:w="80" w:type="dxa"/>
              <w:left w:w="80" w:type="dxa"/>
              <w:bottom w:w="80" w:type="dxa"/>
              <w:right w:w="80" w:type="dxa"/>
            </w:tcMar>
          </w:tcPr>
          <w:p w14:paraId="07807D39" w14:textId="3D6F3F8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 (some allowances are payable)</w:t>
            </w:r>
          </w:p>
        </w:tc>
        <w:tc>
          <w:tcPr>
            <w:tcW w:w="1133" w:type="dxa"/>
            <w:tcMar>
              <w:top w:w="79" w:type="dxa"/>
              <w:left w:w="79" w:type="dxa"/>
              <w:bottom w:w="79" w:type="dxa"/>
              <w:right w:w="79" w:type="dxa"/>
            </w:tcMar>
          </w:tcPr>
          <w:p w14:paraId="67509593" w14:textId="6179A7ED"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 (some allowances are payable)</w:t>
            </w:r>
          </w:p>
        </w:tc>
        <w:tc>
          <w:tcPr>
            <w:tcW w:w="1105" w:type="dxa"/>
            <w:tcMar>
              <w:top w:w="80" w:type="dxa"/>
              <w:left w:w="80" w:type="dxa"/>
              <w:bottom w:w="80" w:type="dxa"/>
              <w:right w:w="80" w:type="dxa"/>
            </w:tcMar>
          </w:tcPr>
          <w:p w14:paraId="73F4F6AB" w14:textId="77777777" w:rsidR="000268F6" w:rsidRDefault="0099292D" w:rsidP="00B21723">
            <w:pPr>
              <w:spacing w:after="60"/>
              <w:rPr>
                <w:rFonts w:eastAsia="Calibri" w:cs="Arial"/>
                <w:sz w:val="14"/>
                <w:szCs w:val="14"/>
                <w:lang w:eastAsia="en-US"/>
              </w:rPr>
            </w:pPr>
            <w:r>
              <w:rPr>
                <w:rFonts w:eastAsia="Calibri" w:cs="Arial"/>
                <w:sz w:val="14"/>
                <w:szCs w:val="14"/>
                <w:lang w:eastAsia="en-US"/>
              </w:rPr>
              <w:t xml:space="preserve">MRCA – </w:t>
            </w:r>
            <w:r w:rsidR="000268F6" w:rsidRPr="000268F6">
              <w:rPr>
                <w:rFonts w:eastAsia="Calibri" w:cs="Arial"/>
                <w:sz w:val="14"/>
                <w:szCs w:val="14"/>
                <w:lang w:eastAsia="en-US"/>
              </w:rPr>
              <w:t>No (some allowances are payable)</w:t>
            </w:r>
          </w:p>
          <w:p w14:paraId="19870624" w14:textId="1F50B8FC" w:rsidR="0099292D" w:rsidRPr="000268F6" w:rsidRDefault="0099292D" w:rsidP="00B21723">
            <w:pPr>
              <w:spacing w:after="60"/>
              <w:rPr>
                <w:rFonts w:eastAsia="Calibri" w:cs="Arial"/>
                <w:sz w:val="14"/>
                <w:szCs w:val="14"/>
                <w:lang w:eastAsia="en-US"/>
              </w:rPr>
            </w:pPr>
            <w:r>
              <w:rPr>
                <w:rFonts w:eastAsia="Calibri" w:cs="Arial"/>
                <w:sz w:val="14"/>
                <w:szCs w:val="14"/>
                <w:lang w:eastAsia="en-US"/>
              </w:rPr>
              <w:t>DRCA – No (some allowances are payable)</w:t>
            </w:r>
          </w:p>
        </w:tc>
        <w:tc>
          <w:tcPr>
            <w:tcW w:w="1093" w:type="dxa"/>
          </w:tcPr>
          <w:p w14:paraId="6C034F78" w14:textId="2DEA7FF2"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No</w:t>
            </w:r>
          </w:p>
        </w:tc>
      </w:tr>
      <w:tr w:rsidR="000268F6" w:rsidRPr="000268F6" w14:paraId="58E2B45F" w14:textId="77777777" w:rsidTr="008B24D1">
        <w:tc>
          <w:tcPr>
            <w:tcW w:w="14521" w:type="dxa"/>
            <w:gridSpan w:val="13"/>
            <w:tcMar>
              <w:top w:w="79" w:type="dxa"/>
              <w:left w:w="79" w:type="dxa"/>
              <w:bottom w:w="79" w:type="dxa"/>
              <w:right w:w="79" w:type="dxa"/>
            </w:tcMar>
            <w:vAlign w:val="center"/>
          </w:tcPr>
          <w:p w14:paraId="3C2B016E" w14:textId="77777777"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Entitlements expressed as a percentage of pre-injury earnings for award wage earners</w:t>
            </w:r>
            <w:r w:rsidRPr="000268F6">
              <w:rPr>
                <w:rFonts w:eastAsia="Calibri" w:cs="Arial"/>
                <w:sz w:val="14"/>
                <w:szCs w:val="14"/>
                <w:vertAlign w:val="superscript"/>
                <w:lang w:eastAsia="en-US"/>
              </w:rPr>
              <w:t>b</w:t>
            </w:r>
          </w:p>
        </w:tc>
      </w:tr>
      <w:tr w:rsidR="00FF68C4" w:rsidRPr="000268F6" w14:paraId="155368B4" w14:textId="77777777" w:rsidTr="008B24D1">
        <w:tc>
          <w:tcPr>
            <w:tcW w:w="1112" w:type="dxa"/>
            <w:shd w:val="clear" w:color="auto" w:fill="FFC9C9"/>
            <w:tcMar>
              <w:top w:w="80" w:type="dxa"/>
              <w:left w:w="80" w:type="dxa"/>
              <w:bottom w:w="80" w:type="dxa"/>
              <w:right w:w="80" w:type="dxa"/>
            </w:tcMar>
          </w:tcPr>
          <w:p w14:paraId="0C2E916F" w14:textId="77777777"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t>0–13 weeks (total incapacity)</w:t>
            </w:r>
          </w:p>
        </w:tc>
        <w:tc>
          <w:tcPr>
            <w:tcW w:w="1125" w:type="dxa"/>
            <w:shd w:val="clear" w:color="auto" w:fill="FFC9C9"/>
            <w:tcMar>
              <w:top w:w="80" w:type="dxa"/>
              <w:left w:w="80" w:type="dxa"/>
              <w:bottom w:w="80" w:type="dxa"/>
              <w:right w:w="80" w:type="dxa"/>
            </w:tcMar>
          </w:tcPr>
          <w:p w14:paraId="718DF888" w14:textId="2061771F"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95% less any d</w:t>
            </w:r>
            <w:r w:rsidR="000264D7">
              <w:rPr>
                <w:rFonts w:eastAsia="Calibri" w:cs="Arial"/>
                <w:sz w:val="14"/>
                <w:szCs w:val="14"/>
                <w:lang w:eastAsia="en-US"/>
              </w:rPr>
              <w:t>eductibles (subject to max cap)</w:t>
            </w:r>
            <w:r w:rsidRPr="000268F6">
              <w:rPr>
                <w:rFonts w:eastAsia="Calibri" w:cs="Arial"/>
                <w:sz w:val="14"/>
                <w:szCs w:val="14"/>
                <w:lang w:eastAsia="en-US"/>
              </w:rPr>
              <w:t>*</w:t>
            </w:r>
          </w:p>
        </w:tc>
        <w:tc>
          <w:tcPr>
            <w:tcW w:w="1101" w:type="dxa"/>
            <w:shd w:val="clear" w:color="auto" w:fill="FFC9C9"/>
            <w:tcMar>
              <w:top w:w="80" w:type="dxa"/>
              <w:left w:w="80" w:type="dxa"/>
              <w:bottom w:w="80" w:type="dxa"/>
              <w:right w:w="80" w:type="dxa"/>
            </w:tcMar>
          </w:tcPr>
          <w:p w14:paraId="6E8475DC" w14:textId="736F4B81" w:rsidR="000268F6" w:rsidRPr="000268F6" w:rsidRDefault="000264D7" w:rsidP="00B21723">
            <w:pPr>
              <w:spacing w:after="60"/>
              <w:rPr>
                <w:rFonts w:eastAsia="Calibri" w:cs="Arial"/>
                <w:sz w:val="14"/>
                <w:szCs w:val="14"/>
                <w:lang w:eastAsia="en-US"/>
              </w:rPr>
            </w:pPr>
            <w:r>
              <w:rPr>
                <w:rFonts w:eastAsia="Calibri" w:cs="Arial"/>
                <w:sz w:val="14"/>
                <w:szCs w:val="14"/>
                <w:lang w:eastAsia="en-US"/>
              </w:rPr>
              <w:t>95% up to max</w:t>
            </w:r>
          </w:p>
        </w:tc>
        <w:tc>
          <w:tcPr>
            <w:tcW w:w="1125" w:type="dxa"/>
            <w:shd w:val="clear" w:color="auto" w:fill="FFC9C9"/>
            <w:tcMar>
              <w:top w:w="80" w:type="dxa"/>
              <w:left w:w="80" w:type="dxa"/>
              <w:bottom w:w="80" w:type="dxa"/>
              <w:right w:w="80" w:type="dxa"/>
            </w:tcMar>
          </w:tcPr>
          <w:p w14:paraId="6AAA6DE2" w14:textId="682E2D4A"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85% of NWE</w:t>
            </w:r>
            <w:r w:rsidRPr="004761CF">
              <w:rPr>
                <w:rFonts w:eastAsia="Calibri" w:cs="Arial"/>
                <w:sz w:val="14"/>
                <w:szCs w:val="14"/>
                <w:vertAlign w:val="superscript"/>
                <w:lang w:eastAsia="en-US"/>
              </w:rPr>
              <w:t>c</w:t>
            </w:r>
            <w:r w:rsidRPr="000268F6">
              <w:rPr>
                <w:rFonts w:eastAsia="Calibri" w:cs="Arial"/>
                <w:sz w:val="14"/>
                <w:szCs w:val="14"/>
                <w:lang w:eastAsia="en-US"/>
              </w:rPr>
              <w:t xml:space="preserve"> (or 1</w:t>
            </w:r>
            <w:r w:rsidR="000264D7">
              <w:rPr>
                <w:rFonts w:eastAsia="Calibri" w:cs="Arial"/>
                <w:sz w:val="14"/>
                <w:szCs w:val="14"/>
                <w:lang w:eastAsia="en-US"/>
              </w:rPr>
              <w:t>00% under industrial agreement)</w:t>
            </w:r>
          </w:p>
        </w:tc>
        <w:tc>
          <w:tcPr>
            <w:tcW w:w="1125" w:type="dxa"/>
            <w:shd w:val="clear" w:color="auto" w:fill="FFC9C9"/>
            <w:tcMar>
              <w:top w:w="80" w:type="dxa"/>
              <w:left w:w="80" w:type="dxa"/>
              <w:bottom w:w="80" w:type="dxa"/>
              <w:right w:w="80" w:type="dxa"/>
            </w:tcMar>
          </w:tcPr>
          <w:p w14:paraId="274665C6" w14:textId="2F9DB291"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8" w:type="dxa"/>
            <w:shd w:val="clear" w:color="auto" w:fill="FFC9C9"/>
            <w:tcMar>
              <w:top w:w="80" w:type="dxa"/>
              <w:left w:w="80" w:type="dxa"/>
              <w:bottom w:w="80" w:type="dxa"/>
              <w:right w:w="80" w:type="dxa"/>
            </w:tcMar>
          </w:tcPr>
          <w:p w14:paraId="52BB1B45"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30" w:type="dxa"/>
            <w:shd w:val="clear" w:color="auto" w:fill="FFC9C9"/>
            <w:tcMar>
              <w:top w:w="80" w:type="dxa"/>
              <w:left w:w="80" w:type="dxa"/>
              <w:bottom w:w="80" w:type="dxa"/>
              <w:right w:w="80" w:type="dxa"/>
            </w:tcMar>
          </w:tcPr>
          <w:p w14:paraId="6F1204B3"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p w14:paraId="214B30AE" w14:textId="657599D8" w:rsidR="000268F6" w:rsidRPr="000268F6" w:rsidRDefault="00A7538C" w:rsidP="00B21723">
            <w:pPr>
              <w:spacing w:after="60"/>
              <w:rPr>
                <w:rFonts w:eastAsia="Calibri" w:cs="Arial"/>
                <w:sz w:val="14"/>
                <w:szCs w:val="14"/>
                <w:lang w:eastAsia="en-US"/>
              </w:rPr>
            </w:pPr>
            <w:hyperlink r:id="rId252" w:history="1">
              <w:r w:rsidR="00FF68C4">
                <w:rPr>
                  <w:rFonts w:eastAsia="Calibri" w:cs="Arial"/>
                  <w:color w:val="0000FF"/>
                  <w:sz w:val="14"/>
                  <w:szCs w:val="14"/>
                  <w:u w:val="single"/>
                  <w:lang w:eastAsia="en-US"/>
                </w:rPr>
                <w:t>s69B(1)(a)</w:t>
              </w:r>
            </w:hyperlink>
          </w:p>
        </w:tc>
        <w:tc>
          <w:tcPr>
            <w:tcW w:w="1126" w:type="dxa"/>
            <w:shd w:val="clear" w:color="auto" w:fill="FFC9C9"/>
            <w:tcMar>
              <w:top w:w="80" w:type="dxa"/>
              <w:left w:w="80" w:type="dxa"/>
              <w:bottom w:w="80" w:type="dxa"/>
              <w:right w:w="80" w:type="dxa"/>
            </w:tcMar>
          </w:tcPr>
          <w:p w14:paraId="5C973B2E"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5" w:type="dxa"/>
            <w:shd w:val="clear" w:color="auto" w:fill="FFC9C9"/>
            <w:tcMar>
              <w:top w:w="80" w:type="dxa"/>
              <w:left w:w="80" w:type="dxa"/>
              <w:bottom w:w="80" w:type="dxa"/>
              <w:right w:w="80" w:type="dxa"/>
            </w:tcMar>
          </w:tcPr>
          <w:p w14:paraId="30C647DA"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33" w:type="dxa"/>
            <w:shd w:val="clear" w:color="auto" w:fill="FFC9C9"/>
            <w:tcMar>
              <w:top w:w="80" w:type="dxa"/>
              <w:left w:w="80" w:type="dxa"/>
              <w:bottom w:w="80" w:type="dxa"/>
              <w:right w:w="80" w:type="dxa"/>
            </w:tcMar>
          </w:tcPr>
          <w:p w14:paraId="41BF3E80"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33" w:type="dxa"/>
            <w:shd w:val="clear" w:color="auto" w:fill="FFC9C9"/>
            <w:tcMar>
              <w:top w:w="79" w:type="dxa"/>
              <w:left w:w="79" w:type="dxa"/>
              <w:bottom w:w="79" w:type="dxa"/>
              <w:right w:w="79" w:type="dxa"/>
            </w:tcMar>
          </w:tcPr>
          <w:p w14:paraId="60CD9934"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5" w:type="dxa"/>
            <w:shd w:val="clear" w:color="auto" w:fill="FFC9C9"/>
            <w:tcMar>
              <w:top w:w="80" w:type="dxa"/>
              <w:left w:w="80" w:type="dxa"/>
              <w:bottom w:w="80" w:type="dxa"/>
              <w:right w:w="80" w:type="dxa"/>
            </w:tcMar>
          </w:tcPr>
          <w:p w14:paraId="2B6651C1" w14:textId="77777777" w:rsidR="000268F6" w:rsidRDefault="007306D7" w:rsidP="00B21723">
            <w:pPr>
              <w:spacing w:after="60"/>
              <w:rPr>
                <w:rFonts w:eastAsia="Calibri" w:cs="Arial"/>
                <w:sz w:val="14"/>
                <w:szCs w:val="14"/>
                <w:lang w:eastAsia="en-US"/>
              </w:rPr>
            </w:pPr>
            <w:r>
              <w:rPr>
                <w:rFonts w:eastAsia="Calibri" w:cs="Arial"/>
                <w:sz w:val="14"/>
                <w:szCs w:val="14"/>
                <w:lang w:eastAsia="en-US"/>
              </w:rPr>
              <w:t xml:space="preserve">MRCA – </w:t>
            </w:r>
            <w:r w:rsidR="000268F6" w:rsidRPr="000268F6">
              <w:rPr>
                <w:rFonts w:eastAsia="Calibri" w:cs="Arial"/>
                <w:sz w:val="14"/>
                <w:szCs w:val="14"/>
                <w:lang w:eastAsia="en-US"/>
              </w:rPr>
              <w:t>100%</w:t>
            </w:r>
          </w:p>
          <w:p w14:paraId="4A7B3E86" w14:textId="58437A63" w:rsidR="007306D7" w:rsidRPr="000268F6" w:rsidRDefault="007306D7" w:rsidP="00B21723">
            <w:pPr>
              <w:spacing w:after="60"/>
              <w:rPr>
                <w:rFonts w:eastAsia="Calibri" w:cs="Arial"/>
                <w:sz w:val="14"/>
                <w:szCs w:val="14"/>
                <w:lang w:eastAsia="en-US"/>
              </w:rPr>
            </w:pPr>
            <w:r>
              <w:rPr>
                <w:rFonts w:eastAsia="Calibri" w:cs="Arial"/>
                <w:sz w:val="14"/>
                <w:szCs w:val="14"/>
                <w:lang w:eastAsia="en-US"/>
              </w:rPr>
              <w:t>DRCA – 100%</w:t>
            </w:r>
          </w:p>
        </w:tc>
        <w:tc>
          <w:tcPr>
            <w:tcW w:w="1093" w:type="dxa"/>
            <w:shd w:val="clear" w:color="auto" w:fill="FFC9C9"/>
          </w:tcPr>
          <w:p w14:paraId="751A8453" w14:textId="6D8D092D"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80%</w:t>
            </w:r>
          </w:p>
        </w:tc>
      </w:tr>
      <w:tr w:rsidR="00FF68C4" w:rsidRPr="000268F6" w14:paraId="7CD6CCB4" w14:textId="77777777" w:rsidTr="008B24D1">
        <w:tc>
          <w:tcPr>
            <w:tcW w:w="1112" w:type="dxa"/>
            <w:tcMar>
              <w:top w:w="80" w:type="dxa"/>
              <w:left w:w="80" w:type="dxa"/>
              <w:bottom w:w="80" w:type="dxa"/>
              <w:right w:w="80" w:type="dxa"/>
            </w:tcMar>
          </w:tcPr>
          <w:p w14:paraId="3BE4814E" w14:textId="77777777"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lastRenderedPageBreak/>
              <w:t>14–26 weeks (total incapacity)</w:t>
            </w:r>
          </w:p>
        </w:tc>
        <w:tc>
          <w:tcPr>
            <w:tcW w:w="1125" w:type="dxa"/>
            <w:tcMar>
              <w:top w:w="80" w:type="dxa"/>
              <w:left w:w="80" w:type="dxa"/>
              <w:bottom w:w="80" w:type="dxa"/>
              <w:right w:w="80" w:type="dxa"/>
            </w:tcMar>
          </w:tcPr>
          <w:p w14:paraId="5B66F598" w14:textId="0F4A140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80% less any d</w:t>
            </w:r>
            <w:r w:rsidR="000264D7">
              <w:rPr>
                <w:rFonts w:eastAsia="Calibri" w:cs="Arial"/>
                <w:sz w:val="14"/>
                <w:szCs w:val="14"/>
                <w:lang w:eastAsia="en-US"/>
              </w:rPr>
              <w:t>eductibles (subject to max cap)</w:t>
            </w:r>
            <w:r w:rsidRPr="000268F6">
              <w:rPr>
                <w:rFonts w:eastAsia="Calibri" w:cs="Arial"/>
                <w:sz w:val="14"/>
                <w:szCs w:val="14"/>
                <w:lang w:eastAsia="en-US"/>
              </w:rPr>
              <w:t>*</w:t>
            </w:r>
          </w:p>
        </w:tc>
        <w:tc>
          <w:tcPr>
            <w:tcW w:w="1101" w:type="dxa"/>
            <w:tcMar>
              <w:top w:w="80" w:type="dxa"/>
              <w:left w:w="80" w:type="dxa"/>
              <w:bottom w:w="80" w:type="dxa"/>
              <w:right w:w="80" w:type="dxa"/>
            </w:tcMar>
          </w:tcPr>
          <w:p w14:paraId="17E8B132" w14:textId="36EA7FA8" w:rsidR="000268F6" w:rsidRPr="000268F6" w:rsidRDefault="000264D7" w:rsidP="00B21723">
            <w:pPr>
              <w:spacing w:after="60"/>
              <w:rPr>
                <w:rFonts w:eastAsia="Calibri" w:cs="Arial"/>
                <w:sz w:val="14"/>
                <w:szCs w:val="14"/>
                <w:lang w:eastAsia="en-US"/>
              </w:rPr>
            </w:pPr>
            <w:r>
              <w:rPr>
                <w:rFonts w:eastAsia="Calibri" w:cs="Arial"/>
                <w:sz w:val="14"/>
                <w:szCs w:val="14"/>
                <w:lang w:eastAsia="en-US"/>
              </w:rPr>
              <w:t>80% up to max</w:t>
            </w:r>
          </w:p>
        </w:tc>
        <w:tc>
          <w:tcPr>
            <w:tcW w:w="1125" w:type="dxa"/>
            <w:tcMar>
              <w:top w:w="80" w:type="dxa"/>
              <w:left w:w="80" w:type="dxa"/>
              <w:bottom w:w="80" w:type="dxa"/>
              <w:right w:w="80" w:type="dxa"/>
            </w:tcMar>
          </w:tcPr>
          <w:p w14:paraId="54E290FF" w14:textId="5452F8CD"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85% of NWE</w:t>
            </w:r>
            <w:r w:rsidRPr="00F6068C">
              <w:rPr>
                <w:rFonts w:eastAsia="Calibri" w:cs="Arial"/>
                <w:sz w:val="14"/>
                <w:szCs w:val="14"/>
                <w:vertAlign w:val="superscript"/>
                <w:lang w:eastAsia="en-US"/>
              </w:rPr>
              <w:t xml:space="preserve">c </w:t>
            </w:r>
            <w:r w:rsidRPr="000268F6">
              <w:rPr>
                <w:rFonts w:eastAsia="Calibri" w:cs="Arial"/>
                <w:sz w:val="14"/>
                <w:szCs w:val="14"/>
                <w:lang w:eastAsia="en-US"/>
              </w:rPr>
              <w:br/>
              <w:t>(or 10</w:t>
            </w:r>
            <w:r w:rsidR="000264D7">
              <w:rPr>
                <w:rFonts w:eastAsia="Calibri" w:cs="Arial"/>
                <w:sz w:val="14"/>
                <w:szCs w:val="14"/>
                <w:lang w:eastAsia="en-US"/>
              </w:rPr>
              <w:t xml:space="preserve">0% under industrial </w:t>
            </w:r>
            <w:r w:rsidR="000264D7">
              <w:rPr>
                <w:rFonts w:eastAsia="Calibri" w:cs="Arial"/>
                <w:sz w:val="14"/>
                <w:szCs w:val="14"/>
                <w:lang w:eastAsia="en-US"/>
              </w:rPr>
              <w:br/>
              <w:t>agreement)</w:t>
            </w:r>
          </w:p>
        </w:tc>
        <w:tc>
          <w:tcPr>
            <w:tcW w:w="1125" w:type="dxa"/>
            <w:tcMar>
              <w:top w:w="80" w:type="dxa"/>
              <w:left w:w="80" w:type="dxa"/>
              <w:bottom w:w="80" w:type="dxa"/>
              <w:right w:w="80" w:type="dxa"/>
            </w:tcMar>
          </w:tcPr>
          <w:p w14:paraId="12E16B91"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8" w:type="dxa"/>
            <w:tcMar>
              <w:top w:w="80" w:type="dxa"/>
              <w:left w:w="80" w:type="dxa"/>
              <w:bottom w:w="80" w:type="dxa"/>
              <w:right w:w="80" w:type="dxa"/>
            </w:tcMar>
          </w:tcPr>
          <w:p w14:paraId="6CE866D9"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30" w:type="dxa"/>
            <w:tcMar>
              <w:top w:w="80" w:type="dxa"/>
              <w:left w:w="80" w:type="dxa"/>
              <w:bottom w:w="80" w:type="dxa"/>
              <w:right w:w="80" w:type="dxa"/>
            </w:tcMar>
          </w:tcPr>
          <w:p w14:paraId="2ABE967C"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p w14:paraId="6C9FCC11" w14:textId="1B7C01E2" w:rsidR="000268F6" w:rsidRPr="000268F6" w:rsidRDefault="00A7538C" w:rsidP="00B21723">
            <w:pPr>
              <w:spacing w:after="60"/>
              <w:rPr>
                <w:rFonts w:eastAsia="Calibri" w:cs="Arial"/>
                <w:sz w:val="14"/>
                <w:szCs w:val="14"/>
                <w:lang w:eastAsia="en-US"/>
              </w:rPr>
            </w:pPr>
            <w:hyperlink r:id="rId253" w:history="1">
              <w:r w:rsidR="00FF68C4">
                <w:rPr>
                  <w:rFonts w:eastAsia="Calibri" w:cs="Arial"/>
                  <w:color w:val="0000FF"/>
                  <w:sz w:val="14"/>
                  <w:szCs w:val="14"/>
                  <w:u w:val="single"/>
                  <w:lang w:eastAsia="en-US"/>
                </w:rPr>
                <w:t>s69B(1)(a)</w:t>
              </w:r>
            </w:hyperlink>
          </w:p>
        </w:tc>
        <w:tc>
          <w:tcPr>
            <w:tcW w:w="1126" w:type="dxa"/>
            <w:tcMar>
              <w:top w:w="80" w:type="dxa"/>
              <w:left w:w="80" w:type="dxa"/>
              <w:bottom w:w="80" w:type="dxa"/>
              <w:right w:w="80" w:type="dxa"/>
            </w:tcMar>
          </w:tcPr>
          <w:p w14:paraId="49648AC8"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5" w:type="dxa"/>
            <w:tcMar>
              <w:top w:w="80" w:type="dxa"/>
              <w:left w:w="80" w:type="dxa"/>
              <w:bottom w:w="80" w:type="dxa"/>
              <w:right w:w="80" w:type="dxa"/>
            </w:tcMar>
          </w:tcPr>
          <w:p w14:paraId="312CF5FF"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33" w:type="dxa"/>
            <w:tcMar>
              <w:top w:w="80" w:type="dxa"/>
              <w:left w:w="80" w:type="dxa"/>
              <w:bottom w:w="80" w:type="dxa"/>
              <w:right w:w="80" w:type="dxa"/>
            </w:tcMar>
          </w:tcPr>
          <w:p w14:paraId="24E5FB39"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33" w:type="dxa"/>
            <w:tcMar>
              <w:top w:w="79" w:type="dxa"/>
              <w:left w:w="79" w:type="dxa"/>
              <w:bottom w:w="79" w:type="dxa"/>
              <w:right w:w="79" w:type="dxa"/>
            </w:tcMar>
          </w:tcPr>
          <w:p w14:paraId="25E38D67"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5" w:type="dxa"/>
            <w:tcMar>
              <w:top w:w="80" w:type="dxa"/>
              <w:left w:w="80" w:type="dxa"/>
              <w:bottom w:w="80" w:type="dxa"/>
              <w:right w:w="80" w:type="dxa"/>
            </w:tcMar>
          </w:tcPr>
          <w:p w14:paraId="57A75D35" w14:textId="77777777" w:rsidR="007306D7" w:rsidRDefault="007306D7" w:rsidP="00B21723">
            <w:pPr>
              <w:spacing w:after="60"/>
              <w:rPr>
                <w:rFonts w:eastAsia="Calibri" w:cs="Arial"/>
                <w:sz w:val="14"/>
                <w:szCs w:val="14"/>
                <w:lang w:eastAsia="en-US"/>
              </w:rPr>
            </w:pPr>
            <w:r>
              <w:rPr>
                <w:rFonts w:eastAsia="Calibri" w:cs="Arial"/>
                <w:sz w:val="14"/>
                <w:szCs w:val="14"/>
                <w:lang w:eastAsia="en-US"/>
              </w:rPr>
              <w:t>MRCA – 100%</w:t>
            </w:r>
          </w:p>
          <w:p w14:paraId="25B47E23" w14:textId="4BE578FF" w:rsidR="000268F6" w:rsidRPr="000268F6" w:rsidRDefault="007306D7" w:rsidP="00B21723">
            <w:pPr>
              <w:spacing w:after="60"/>
              <w:rPr>
                <w:rFonts w:eastAsia="Calibri" w:cs="Arial"/>
                <w:sz w:val="14"/>
                <w:szCs w:val="14"/>
                <w:lang w:eastAsia="en-US"/>
              </w:rPr>
            </w:pPr>
            <w:r>
              <w:rPr>
                <w:rFonts w:eastAsia="Calibri" w:cs="Arial"/>
                <w:sz w:val="14"/>
                <w:szCs w:val="14"/>
                <w:lang w:eastAsia="en-US"/>
              </w:rPr>
              <w:t xml:space="preserve">DRCA – </w:t>
            </w:r>
            <w:r w:rsidR="000268F6" w:rsidRPr="000268F6">
              <w:rPr>
                <w:rFonts w:eastAsia="Calibri" w:cs="Arial"/>
                <w:sz w:val="14"/>
                <w:szCs w:val="14"/>
                <w:lang w:eastAsia="en-US"/>
              </w:rPr>
              <w:t>100%</w:t>
            </w:r>
          </w:p>
        </w:tc>
        <w:tc>
          <w:tcPr>
            <w:tcW w:w="1093" w:type="dxa"/>
          </w:tcPr>
          <w:p w14:paraId="1857D6C4" w14:textId="0C368A0B"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80%</w:t>
            </w:r>
          </w:p>
        </w:tc>
      </w:tr>
      <w:tr w:rsidR="00FF68C4" w:rsidRPr="000268F6" w14:paraId="0466184F" w14:textId="77777777" w:rsidTr="008B24D1">
        <w:tc>
          <w:tcPr>
            <w:tcW w:w="1112" w:type="dxa"/>
            <w:shd w:val="clear" w:color="auto" w:fill="FFC9C9"/>
            <w:tcMar>
              <w:top w:w="80" w:type="dxa"/>
              <w:left w:w="80" w:type="dxa"/>
              <w:bottom w:w="80" w:type="dxa"/>
              <w:right w:w="80" w:type="dxa"/>
            </w:tcMar>
          </w:tcPr>
          <w:p w14:paraId="57781BBC" w14:textId="4AAF8DF3"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t>27–52 weeks (total incapacity)</w:t>
            </w:r>
          </w:p>
        </w:tc>
        <w:tc>
          <w:tcPr>
            <w:tcW w:w="1125" w:type="dxa"/>
            <w:shd w:val="clear" w:color="auto" w:fill="FFC9C9"/>
            <w:tcMar>
              <w:top w:w="80" w:type="dxa"/>
              <w:left w:w="80" w:type="dxa"/>
              <w:bottom w:w="80" w:type="dxa"/>
              <w:right w:w="80" w:type="dxa"/>
            </w:tcMar>
          </w:tcPr>
          <w:p w14:paraId="35CCEF5D" w14:textId="3E9143E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80% less any d</w:t>
            </w:r>
            <w:r w:rsidR="000264D7">
              <w:rPr>
                <w:rFonts w:eastAsia="Calibri" w:cs="Arial"/>
                <w:sz w:val="14"/>
                <w:szCs w:val="14"/>
                <w:lang w:eastAsia="en-US"/>
              </w:rPr>
              <w:t>eductibles (subject to max cap)</w:t>
            </w:r>
            <w:r w:rsidRPr="000268F6">
              <w:rPr>
                <w:rFonts w:eastAsia="Calibri" w:cs="Arial"/>
                <w:sz w:val="14"/>
                <w:szCs w:val="14"/>
                <w:lang w:eastAsia="en-US"/>
              </w:rPr>
              <w:t>*</w:t>
            </w:r>
          </w:p>
        </w:tc>
        <w:tc>
          <w:tcPr>
            <w:tcW w:w="1101" w:type="dxa"/>
            <w:shd w:val="clear" w:color="auto" w:fill="FFC9C9"/>
            <w:tcMar>
              <w:top w:w="80" w:type="dxa"/>
              <w:left w:w="80" w:type="dxa"/>
              <w:bottom w:w="80" w:type="dxa"/>
              <w:right w:w="80" w:type="dxa"/>
            </w:tcMar>
          </w:tcPr>
          <w:p w14:paraId="12078420" w14:textId="115591EF" w:rsidR="000268F6" w:rsidRPr="000268F6" w:rsidRDefault="000264D7" w:rsidP="00B21723">
            <w:pPr>
              <w:spacing w:after="60"/>
              <w:rPr>
                <w:rFonts w:eastAsia="Calibri" w:cs="Arial"/>
                <w:sz w:val="14"/>
                <w:szCs w:val="14"/>
                <w:lang w:eastAsia="en-US"/>
              </w:rPr>
            </w:pPr>
            <w:r>
              <w:rPr>
                <w:rFonts w:eastAsia="Calibri" w:cs="Arial"/>
                <w:sz w:val="14"/>
                <w:szCs w:val="14"/>
                <w:lang w:eastAsia="en-US"/>
              </w:rPr>
              <w:t>80% up to max</w:t>
            </w:r>
          </w:p>
        </w:tc>
        <w:tc>
          <w:tcPr>
            <w:tcW w:w="1125" w:type="dxa"/>
            <w:shd w:val="clear" w:color="auto" w:fill="FFC9C9"/>
            <w:tcMar>
              <w:top w:w="80" w:type="dxa"/>
              <w:left w:w="80" w:type="dxa"/>
              <w:bottom w:w="80" w:type="dxa"/>
              <w:right w:w="80" w:type="dxa"/>
            </w:tcMar>
          </w:tcPr>
          <w:p w14:paraId="45648216" w14:textId="66D4EB00" w:rsidR="000268F6" w:rsidRPr="000268F6" w:rsidRDefault="000264D7" w:rsidP="00B21723">
            <w:pPr>
              <w:spacing w:after="60"/>
              <w:rPr>
                <w:rFonts w:eastAsia="Calibri" w:cs="Arial"/>
                <w:sz w:val="14"/>
                <w:szCs w:val="14"/>
                <w:lang w:eastAsia="en-US"/>
              </w:rPr>
            </w:pPr>
            <w:r>
              <w:rPr>
                <w:rFonts w:eastAsia="Calibri" w:cs="Arial"/>
                <w:sz w:val="14"/>
                <w:szCs w:val="14"/>
                <w:lang w:eastAsia="en-US"/>
              </w:rPr>
              <w:t>75% NWE or 70% QOTE</w:t>
            </w:r>
            <w:r w:rsidR="000268F6" w:rsidRPr="000268F6">
              <w:rPr>
                <w:rFonts w:eastAsia="Calibri" w:cs="Arial"/>
                <w:sz w:val="14"/>
                <w:szCs w:val="14"/>
                <w:vertAlign w:val="superscript"/>
                <w:lang w:eastAsia="en-US"/>
              </w:rPr>
              <w:t>c</w:t>
            </w:r>
          </w:p>
        </w:tc>
        <w:tc>
          <w:tcPr>
            <w:tcW w:w="1125" w:type="dxa"/>
            <w:shd w:val="clear" w:color="auto" w:fill="FFC9C9"/>
            <w:tcMar>
              <w:top w:w="80" w:type="dxa"/>
              <w:left w:w="80" w:type="dxa"/>
              <w:bottom w:w="80" w:type="dxa"/>
              <w:right w:w="80" w:type="dxa"/>
            </w:tcMar>
          </w:tcPr>
          <w:p w14:paraId="3BDF6441"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8" w:type="dxa"/>
            <w:shd w:val="clear" w:color="auto" w:fill="FFC9C9"/>
            <w:tcMar>
              <w:top w:w="80" w:type="dxa"/>
              <w:left w:w="80" w:type="dxa"/>
              <w:bottom w:w="80" w:type="dxa"/>
              <w:right w:w="80" w:type="dxa"/>
            </w:tcMar>
          </w:tcPr>
          <w:p w14:paraId="0415D86D"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30" w:type="dxa"/>
            <w:shd w:val="clear" w:color="auto" w:fill="FFC9C9"/>
            <w:tcMar>
              <w:top w:w="80" w:type="dxa"/>
              <w:left w:w="80" w:type="dxa"/>
              <w:bottom w:w="80" w:type="dxa"/>
              <w:right w:w="80" w:type="dxa"/>
            </w:tcMar>
          </w:tcPr>
          <w:p w14:paraId="551C73A9"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 xml:space="preserve">90% </w:t>
            </w:r>
          </w:p>
          <w:p w14:paraId="3F8DFEB9"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(95% in some circumstances)</w:t>
            </w:r>
          </w:p>
          <w:p w14:paraId="4571E15D" w14:textId="4B8579BA" w:rsidR="000268F6" w:rsidRPr="000268F6" w:rsidRDefault="00A7538C" w:rsidP="00B21723">
            <w:pPr>
              <w:spacing w:after="60"/>
              <w:rPr>
                <w:rFonts w:eastAsia="Calibri" w:cs="Arial"/>
                <w:sz w:val="14"/>
                <w:szCs w:val="14"/>
                <w:lang w:eastAsia="en-US"/>
              </w:rPr>
            </w:pPr>
            <w:hyperlink r:id="rId254" w:history="1">
              <w:r w:rsidR="00FF68C4">
                <w:rPr>
                  <w:rFonts w:eastAsia="Calibri" w:cs="Arial"/>
                  <w:color w:val="0000FF"/>
                  <w:sz w:val="14"/>
                  <w:szCs w:val="14"/>
                  <w:u w:val="single"/>
                  <w:lang w:eastAsia="en-US"/>
                </w:rPr>
                <w:t>s69B(1)(b)</w:t>
              </w:r>
            </w:hyperlink>
          </w:p>
        </w:tc>
        <w:tc>
          <w:tcPr>
            <w:tcW w:w="1126" w:type="dxa"/>
            <w:shd w:val="clear" w:color="auto" w:fill="FFC9C9"/>
            <w:tcMar>
              <w:top w:w="80" w:type="dxa"/>
              <w:left w:w="80" w:type="dxa"/>
              <w:bottom w:w="80" w:type="dxa"/>
              <w:right w:w="80" w:type="dxa"/>
            </w:tcMar>
          </w:tcPr>
          <w:p w14:paraId="3CDF84AD"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75–90%</w:t>
            </w:r>
          </w:p>
        </w:tc>
        <w:tc>
          <w:tcPr>
            <w:tcW w:w="1105" w:type="dxa"/>
            <w:shd w:val="clear" w:color="auto" w:fill="FFC9C9"/>
            <w:tcMar>
              <w:top w:w="80" w:type="dxa"/>
              <w:left w:w="80" w:type="dxa"/>
              <w:bottom w:w="80" w:type="dxa"/>
              <w:right w:w="80" w:type="dxa"/>
            </w:tcMar>
          </w:tcPr>
          <w:p w14:paraId="65F1BD28" w14:textId="798AC8A3" w:rsidR="000268F6" w:rsidRPr="000268F6" w:rsidRDefault="000264D7" w:rsidP="00B21723">
            <w:pPr>
              <w:spacing w:after="60"/>
              <w:rPr>
                <w:rFonts w:eastAsia="Calibri" w:cs="Arial"/>
                <w:sz w:val="14"/>
                <w:szCs w:val="14"/>
                <w:lang w:eastAsia="en-US"/>
              </w:rPr>
            </w:pPr>
            <w:r>
              <w:rPr>
                <w:rFonts w:eastAsia="Calibri" w:cs="Arial"/>
                <w:sz w:val="14"/>
                <w:szCs w:val="14"/>
                <w:lang w:eastAsia="en-US"/>
              </w:rPr>
              <w:t>65% or Stat Floor</w:t>
            </w:r>
          </w:p>
        </w:tc>
        <w:tc>
          <w:tcPr>
            <w:tcW w:w="1133" w:type="dxa"/>
            <w:shd w:val="clear" w:color="auto" w:fill="FFC9C9"/>
            <w:tcMar>
              <w:top w:w="80" w:type="dxa"/>
              <w:left w:w="80" w:type="dxa"/>
              <w:bottom w:w="80" w:type="dxa"/>
              <w:right w:w="80" w:type="dxa"/>
            </w:tcMar>
          </w:tcPr>
          <w:p w14:paraId="05F29F58"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27–45 wks. 100%.</w:t>
            </w:r>
          </w:p>
          <w:p w14:paraId="47D7B774" w14:textId="0810C2D2" w:rsidR="000268F6" w:rsidRPr="000268F6" w:rsidRDefault="000264D7" w:rsidP="00B21723">
            <w:pPr>
              <w:spacing w:after="60"/>
              <w:rPr>
                <w:rFonts w:eastAsia="Calibri" w:cs="Arial"/>
                <w:sz w:val="14"/>
                <w:szCs w:val="14"/>
                <w:lang w:eastAsia="en-US"/>
              </w:rPr>
            </w:pPr>
            <w:r>
              <w:rPr>
                <w:rFonts w:eastAsia="Calibri" w:cs="Arial"/>
                <w:sz w:val="14"/>
                <w:szCs w:val="14"/>
                <w:lang w:eastAsia="en-US"/>
              </w:rPr>
              <w:t>46–52 wks. 75%</w:t>
            </w:r>
          </w:p>
        </w:tc>
        <w:tc>
          <w:tcPr>
            <w:tcW w:w="1133" w:type="dxa"/>
            <w:shd w:val="clear" w:color="auto" w:fill="FFC9C9"/>
            <w:tcMar>
              <w:top w:w="79" w:type="dxa"/>
              <w:left w:w="79" w:type="dxa"/>
              <w:bottom w:w="79" w:type="dxa"/>
              <w:right w:w="79" w:type="dxa"/>
            </w:tcMar>
          </w:tcPr>
          <w:p w14:paraId="39A5B7BB"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27–45 wks. 100%.</w:t>
            </w:r>
          </w:p>
          <w:p w14:paraId="25864B90" w14:textId="6D9C27BB"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46–52 wks. 75%</w:t>
            </w:r>
          </w:p>
        </w:tc>
        <w:tc>
          <w:tcPr>
            <w:tcW w:w="1105" w:type="dxa"/>
            <w:shd w:val="clear" w:color="auto" w:fill="FFC9C9"/>
            <w:tcMar>
              <w:top w:w="80" w:type="dxa"/>
              <w:left w:w="80" w:type="dxa"/>
              <w:bottom w:w="80" w:type="dxa"/>
              <w:right w:w="80" w:type="dxa"/>
            </w:tcMar>
          </w:tcPr>
          <w:p w14:paraId="5B0135D4" w14:textId="78062C6D" w:rsidR="000268F6" w:rsidRDefault="009D50B0" w:rsidP="00B21723">
            <w:pPr>
              <w:spacing w:after="60"/>
              <w:rPr>
                <w:rFonts w:eastAsia="Calibri" w:cs="Arial"/>
                <w:sz w:val="14"/>
                <w:szCs w:val="14"/>
                <w:lang w:eastAsia="en-US"/>
              </w:rPr>
            </w:pPr>
            <w:r>
              <w:rPr>
                <w:rFonts w:eastAsia="Calibri" w:cs="Arial"/>
                <w:sz w:val="14"/>
                <w:szCs w:val="14"/>
                <w:lang w:eastAsia="en-US"/>
              </w:rPr>
              <w:t xml:space="preserve">MRCA – </w:t>
            </w:r>
            <w:r w:rsidR="000264D7">
              <w:rPr>
                <w:rFonts w:eastAsia="Calibri" w:cs="Arial"/>
                <w:sz w:val="14"/>
                <w:szCs w:val="14"/>
                <w:lang w:eastAsia="en-US"/>
              </w:rPr>
              <w:t xml:space="preserve">27–45 wks. </w:t>
            </w:r>
            <w:r>
              <w:rPr>
                <w:rFonts w:eastAsia="Calibri" w:cs="Arial"/>
                <w:sz w:val="14"/>
                <w:szCs w:val="14"/>
                <w:lang w:eastAsia="en-US"/>
              </w:rPr>
              <w:t xml:space="preserve">— </w:t>
            </w:r>
            <w:r w:rsidR="000264D7">
              <w:rPr>
                <w:rFonts w:eastAsia="Calibri" w:cs="Arial"/>
                <w:sz w:val="14"/>
                <w:szCs w:val="14"/>
                <w:lang w:eastAsia="en-US"/>
              </w:rPr>
              <w:t>100%.</w:t>
            </w:r>
            <w:r w:rsidR="000264D7">
              <w:rPr>
                <w:rFonts w:eastAsia="Calibri" w:cs="Arial"/>
                <w:sz w:val="14"/>
                <w:szCs w:val="14"/>
                <w:lang w:eastAsia="en-US"/>
              </w:rPr>
              <w:br/>
              <w:t>46–52 wks.</w:t>
            </w:r>
            <w:r>
              <w:rPr>
                <w:rFonts w:eastAsia="Calibri" w:cs="Arial"/>
                <w:sz w:val="14"/>
                <w:szCs w:val="14"/>
                <w:lang w:eastAsia="en-US"/>
              </w:rPr>
              <w:t xml:space="preserve"> — </w:t>
            </w:r>
            <w:r w:rsidR="000264D7">
              <w:rPr>
                <w:rFonts w:eastAsia="Calibri" w:cs="Arial"/>
                <w:sz w:val="14"/>
                <w:szCs w:val="14"/>
                <w:lang w:eastAsia="en-US"/>
              </w:rPr>
              <w:t xml:space="preserve"> 75%</w:t>
            </w:r>
          </w:p>
          <w:p w14:paraId="5A539C1F" w14:textId="77777777" w:rsidR="009D50B0" w:rsidRDefault="009D50B0" w:rsidP="00B21723">
            <w:pPr>
              <w:spacing w:after="60"/>
              <w:rPr>
                <w:rFonts w:eastAsia="Calibri" w:cs="Arial"/>
                <w:sz w:val="14"/>
                <w:szCs w:val="14"/>
                <w:lang w:eastAsia="en-US"/>
              </w:rPr>
            </w:pPr>
            <w:r>
              <w:rPr>
                <w:rFonts w:eastAsia="Calibri" w:cs="Arial"/>
                <w:sz w:val="14"/>
                <w:szCs w:val="14"/>
                <w:lang w:eastAsia="en-US"/>
              </w:rPr>
              <w:t>DRCA – 27–45 wks. — 100%.</w:t>
            </w:r>
          </w:p>
          <w:p w14:paraId="1295FBF1" w14:textId="77777777" w:rsidR="009D50B0" w:rsidRDefault="009D50B0" w:rsidP="00B21723">
            <w:pPr>
              <w:spacing w:after="60"/>
              <w:rPr>
                <w:rFonts w:eastAsia="Calibri" w:cs="Arial"/>
                <w:sz w:val="14"/>
                <w:szCs w:val="14"/>
                <w:lang w:eastAsia="en-US"/>
              </w:rPr>
            </w:pPr>
            <w:r>
              <w:rPr>
                <w:rFonts w:eastAsia="Calibri" w:cs="Arial"/>
                <w:sz w:val="14"/>
                <w:szCs w:val="14"/>
                <w:lang w:eastAsia="en-US"/>
              </w:rPr>
              <w:t>46–52 wks. — 75%.</w:t>
            </w:r>
          </w:p>
          <w:p w14:paraId="2C0DA9DB" w14:textId="7F984F25" w:rsidR="009D50B0" w:rsidRPr="000268F6" w:rsidRDefault="009D50B0" w:rsidP="00B21723">
            <w:pPr>
              <w:spacing w:after="60"/>
              <w:rPr>
                <w:rFonts w:eastAsia="Calibri" w:cs="Arial"/>
                <w:sz w:val="14"/>
                <w:szCs w:val="14"/>
                <w:lang w:eastAsia="en-US"/>
              </w:rPr>
            </w:pPr>
            <w:r>
              <w:rPr>
                <w:rFonts w:eastAsia="Calibri" w:cs="Arial"/>
                <w:sz w:val="14"/>
                <w:szCs w:val="14"/>
                <w:lang w:eastAsia="en-US"/>
              </w:rPr>
              <w:t>Where a person is in receipt of superannuation – 70% less any employer funded superannuation benefit (weekly equivalent if lump sum is involved) received</w:t>
            </w:r>
          </w:p>
        </w:tc>
        <w:tc>
          <w:tcPr>
            <w:tcW w:w="1093" w:type="dxa"/>
            <w:shd w:val="clear" w:color="auto" w:fill="FFC9C9"/>
          </w:tcPr>
          <w:p w14:paraId="233A0888" w14:textId="592B7A96"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80%</w:t>
            </w:r>
          </w:p>
        </w:tc>
      </w:tr>
      <w:tr w:rsidR="00FF68C4" w:rsidRPr="000268F6" w14:paraId="4F4584C5" w14:textId="77777777" w:rsidTr="008B24D1">
        <w:tc>
          <w:tcPr>
            <w:tcW w:w="1112" w:type="dxa"/>
            <w:tcMar>
              <w:top w:w="80" w:type="dxa"/>
              <w:left w:w="80" w:type="dxa"/>
              <w:bottom w:w="80" w:type="dxa"/>
              <w:right w:w="80" w:type="dxa"/>
            </w:tcMar>
          </w:tcPr>
          <w:p w14:paraId="5BBF4C70" w14:textId="1EEEF936"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t>53–104 weeks (total incapacity)</w:t>
            </w:r>
          </w:p>
        </w:tc>
        <w:tc>
          <w:tcPr>
            <w:tcW w:w="1125" w:type="dxa"/>
            <w:tcMar>
              <w:top w:w="80" w:type="dxa"/>
              <w:left w:w="80" w:type="dxa"/>
              <w:bottom w:w="80" w:type="dxa"/>
              <w:right w:w="80" w:type="dxa"/>
            </w:tcMar>
          </w:tcPr>
          <w:p w14:paraId="571C663A" w14:textId="17CCFF4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 xml:space="preserve">80% less any deductibles (subject to max cap and excludes </w:t>
            </w:r>
            <w:r w:rsidR="000264D7">
              <w:rPr>
                <w:rFonts w:eastAsia="Calibri" w:cs="Arial"/>
                <w:sz w:val="14"/>
                <w:szCs w:val="14"/>
                <w:lang w:eastAsia="en-US"/>
              </w:rPr>
              <w:t>overtime and shift allowance)</w:t>
            </w:r>
            <w:r w:rsidR="00180BD8">
              <w:rPr>
                <w:rFonts w:eastAsia="Calibri" w:cs="Arial"/>
                <w:sz w:val="14"/>
                <w:szCs w:val="14"/>
                <w:lang w:eastAsia="en-US"/>
              </w:rPr>
              <w:t>*</w:t>
            </w:r>
          </w:p>
        </w:tc>
        <w:tc>
          <w:tcPr>
            <w:tcW w:w="1101" w:type="dxa"/>
            <w:tcMar>
              <w:top w:w="80" w:type="dxa"/>
              <w:left w:w="80" w:type="dxa"/>
              <w:bottom w:w="80" w:type="dxa"/>
              <w:right w:w="80" w:type="dxa"/>
            </w:tcMar>
          </w:tcPr>
          <w:p w14:paraId="778A9A41" w14:textId="47A28D4F" w:rsidR="000268F6" w:rsidRPr="000268F6" w:rsidRDefault="000264D7" w:rsidP="00B21723">
            <w:pPr>
              <w:spacing w:after="60"/>
              <w:rPr>
                <w:rFonts w:eastAsia="Calibri" w:cs="Arial"/>
                <w:sz w:val="14"/>
                <w:szCs w:val="14"/>
                <w:lang w:eastAsia="en-US"/>
              </w:rPr>
            </w:pPr>
            <w:r>
              <w:rPr>
                <w:rFonts w:eastAsia="Calibri" w:cs="Arial"/>
                <w:sz w:val="14"/>
                <w:szCs w:val="14"/>
                <w:lang w:eastAsia="en-US"/>
              </w:rPr>
              <w:t>80% up to max</w:t>
            </w:r>
          </w:p>
        </w:tc>
        <w:tc>
          <w:tcPr>
            <w:tcW w:w="1125" w:type="dxa"/>
            <w:tcMar>
              <w:top w:w="80" w:type="dxa"/>
              <w:left w:w="80" w:type="dxa"/>
              <w:bottom w:w="80" w:type="dxa"/>
              <w:right w:w="80" w:type="dxa"/>
            </w:tcMar>
          </w:tcPr>
          <w:p w14:paraId="1B4CB1FE" w14:textId="63EE1F32" w:rsidR="000268F6" w:rsidRPr="000268F6" w:rsidRDefault="000264D7" w:rsidP="004761CF">
            <w:pPr>
              <w:spacing w:after="60"/>
              <w:rPr>
                <w:rFonts w:eastAsia="Calibri" w:cs="Arial"/>
                <w:sz w:val="14"/>
                <w:szCs w:val="14"/>
                <w:lang w:eastAsia="en-US"/>
              </w:rPr>
            </w:pPr>
            <w:r>
              <w:rPr>
                <w:rFonts w:eastAsia="Calibri" w:cs="Arial"/>
                <w:sz w:val="14"/>
                <w:szCs w:val="14"/>
                <w:lang w:eastAsia="en-US"/>
              </w:rPr>
              <w:t>75% NWE or 70% QOTE</w:t>
            </w:r>
            <w:r w:rsidR="000268F6" w:rsidRPr="00F6068C">
              <w:rPr>
                <w:rFonts w:eastAsia="Calibri" w:cs="Arial"/>
                <w:sz w:val="14"/>
                <w:szCs w:val="14"/>
                <w:vertAlign w:val="superscript"/>
                <w:lang w:eastAsia="en-US"/>
              </w:rPr>
              <w:t>c</w:t>
            </w:r>
          </w:p>
        </w:tc>
        <w:tc>
          <w:tcPr>
            <w:tcW w:w="1125" w:type="dxa"/>
            <w:tcMar>
              <w:top w:w="80" w:type="dxa"/>
              <w:left w:w="80" w:type="dxa"/>
              <w:bottom w:w="80" w:type="dxa"/>
              <w:right w:w="80" w:type="dxa"/>
            </w:tcMar>
          </w:tcPr>
          <w:p w14:paraId="685512D8"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8" w:type="dxa"/>
            <w:tcMar>
              <w:top w:w="80" w:type="dxa"/>
              <w:left w:w="80" w:type="dxa"/>
              <w:bottom w:w="80" w:type="dxa"/>
              <w:right w:w="80" w:type="dxa"/>
            </w:tcMar>
          </w:tcPr>
          <w:p w14:paraId="22C0E3CE"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80%</w:t>
            </w:r>
          </w:p>
        </w:tc>
        <w:tc>
          <w:tcPr>
            <w:tcW w:w="1130" w:type="dxa"/>
            <w:tcMar>
              <w:top w:w="80" w:type="dxa"/>
              <w:left w:w="80" w:type="dxa"/>
              <w:bottom w:w="80" w:type="dxa"/>
              <w:right w:w="80" w:type="dxa"/>
            </w:tcMar>
          </w:tcPr>
          <w:p w14:paraId="5CF00890"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53–78 weeks 90% (or 95%),</w:t>
            </w:r>
          </w:p>
          <w:p w14:paraId="7F855506" w14:textId="699C5CF3" w:rsidR="000268F6" w:rsidRPr="000268F6" w:rsidRDefault="00A7538C" w:rsidP="00B21723">
            <w:pPr>
              <w:spacing w:after="60"/>
              <w:rPr>
                <w:rFonts w:eastAsia="Calibri" w:cs="Arial"/>
                <w:sz w:val="14"/>
                <w:szCs w:val="14"/>
                <w:lang w:eastAsia="en-US"/>
              </w:rPr>
            </w:pPr>
            <w:hyperlink r:id="rId255" w:history="1">
              <w:r w:rsidR="00FF68C4">
                <w:rPr>
                  <w:rFonts w:eastAsia="Calibri" w:cs="Arial"/>
                  <w:color w:val="0000FF"/>
                  <w:sz w:val="14"/>
                  <w:szCs w:val="14"/>
                  <w:u w:val="single"/>
                  <w:lang w:eastAsia="en-US"/>
                </w:rPr>
                <w:t>s69B(1)(b)</w:t>
              </w:r>
            </w:hyperlink>
          </w:p>
          <w:p w14:paraId="391BC9C8" w14:textId="6A23649A"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79–104 weeks 8</w:t>
            </w:r>
            <w:r w:rsidR="00F6068C">
              <w:rPr>
                <w:rFonts w:eastAsia="Calibri" w:cs="Arial"/>
                <w:sz w:val="14"/>
                <w:szCs w:val="14"/>
                <w:lang w:eastAsia="en-US"/>
              </w:rPr>
              <w:t xml:space="preserve">0% </w:t>
            </w:r>
            <w:r w:rsidR="00F6068C">
              <w:rPr>
                <w:rFonts w:eastAsia="Calibri" w:cs="Arial"/>
                <w:sz w:val="14"/>
                <w:szCs w:val="14"/>
                <w:lang w:eastAsia="en-US"/>
              </w:rPr>
              <w:br/>
              <w:t>(85% in some circumstances</w:t>
            </w:r>
          </w:p>
          <w:p w14:paraId="7A18C835" w14:textId="22A495B9" w:rsidR="000268F6" w:rsidRPr="000268F6" w:rsidRDefault="00A7538C" w:rsidP="00B21723">
            <w:pPr>
              <w:spacing w:after="60"/>
              <w:rPr>
                <w:rFonts w:eastAsia="Calibri" w:cs="Arial"/>
                <w:sz w:val="14"/>
                <w:szCs w:val="14"/>
                <w:lang w:eastAsia="en-US"/>
              </w:rPr>
            </w:pPr>
            <w:hyperlink r:id="rId256" w:anchor="GS69B@Gs2@EN" w:history="1">
              <w:r w:rsidR="00FF68C4">
                <w:rPr>
                  <w:rFonts w:eastAsia="Calibri" w:cs="Arial"/>
                  <w:color w:val="0000FF"/>
                  <w:sz w:val="14"/>
                  <w:szCs w:val="14"/>
                  <w:u w:val="single"/>
                  <w:lang w:eastAsia="en-US"/>
                </w:rPr>
                <w:t>s69B(1)(c)</w:t>
              </w:r>
            </w:hyperlink>
          </w:p>
        </w:tc>
        <w:tc>
          <w:tcPr>
            <w:tcW w:w="1126" w:type="dxa"/>
            <w:tcMar>
              <w:top w:w="80" w:type="dxa"/>
              <w:left w:w="80" w:type="dxa"/>
              <w:bottom w:w="80" w:type="dxa"/>
              <w:right w:w="80" w:type="dxa"/>
            </w:tcMar>
          </w:tcPr>
          <w:p w14:paraId="23C58F31"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75–90%</w:t>
            </w:r>
          </w:p>
        </w:tc>
        <w:tc>
          <w:tcPr>
            <w:tcW w:w="1105" w:type="dxa"/>
            <w:tcMar>
              <w:top w:w="80" w:type="dxa"/>
              <w:left w:w="80" w:type="dxa"/>
              <w:bottom w:w="80" w:type="dxa"/>
              <w:right w:w="80" w:type="dxa"/>
            </w:tcMar>
          </w:tcPr>
          <w:p w14:paraId="6D13210A" w14:textId="5AFE25C0" w:rsidR="000268F6" w:rsidRPr="000268F6" w:rsidRDefault="00F6068C" w:rsidP="00B21723">
            <w:pPr>
              <w:spacing w:after="60"/>
              <w:rPr>
                <w:rFonts w:eastAsia="Calibri" w:cs="Arial"/>
                <w:sz w:val="14"/>
                <w:szCs w:val="14"/>
                <w:lang w:eastAsia="en-US"/>
              </w:rPr>
            </w:pPr>
            <w:r>
              <w:rPr>
                <w:rFonts w:eastAsia="Calibri" w:cs="Arial"/>
                <w:sz w:val="14"/>
                <w:szCs w:val="14"/>
                <w:lang w:eastAsia="en-US"/>
              </w:rPr>
              <w:t>65% or Stat Floor</w:t>
            </w:r>
          </w:p>
        </w:tc>
        <w:tc>
          <w:tcPr>
            <w:tcW w:w="1133" w:type="dxa"/>
            <w:tcMar>
              <w:top w:w="80" w:type="dxa"/>
              <w:left w:w="80" w:type="dxa"/>
              <w:bottom w:w="80" w:type="dxa"/>
              <w:right w:w="80" w:type="dxa"/>
            </w:tcMar>
          </w:tcPr>
          <w:p w14:paraId="11E77F76"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75%</w:t>
            </w:r>
          </w:p>
          <w:p w14:paraId="79118B09" w14:textId="5D767FF8"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If an employee retires or is retired - 70% less any employer funded superannuation benefit (weekly equivalent if</w:t>
            </w:r>
            <w:r w:rsidR="00F6068C">
              <w:rPr>
                <w:rFonts w:eastAsia="Calibri" w:cs="Arial"/>
                <w:sz w:val="14"/>
                <w:szCs w:val="14"/>
                <w:lang w:eastAsia="en-US"/>
              </w:rPr>
              <w:t xml:space="preserve"> lump sum is involved) received</w:t>
            </w:r>
          </w:p>
        </w:tc>
        <w:tc>
          <w:tcPr>
            <w:tcW w:w="1133" w:type="dxa"/>
            <w:tcMar>
              <w:top w:w="79" w:type="dxa"/>
              <w:left w:w="79" w:type="dxa"/>
              <w:bottom w:w="79" w:type="dxa"/>
              <w:right w:w="79" w:type="dxa"/>
            </w:tcMar>
          </w:tcPr>
          <w:p w14:paraId="310FC8D0"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75%</w:t>
            </w:r>
          </w:p>
          <w:p w14:paraId="4597A6CF" w14:textId="05D24AFF"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If an employee retires or is retired - 70% less any employer funded superannuation benefit (weekly equivalent if</w:t>
            </w:r>
            <w:r w:rsidR="00F6068C">
              <w:rPr>
                <w:rFonts w:eastAsia="Calibri" w:cs="Arial"/>
                <w:sz w:val="14"/>
                <w:szCs w:val="14"/>
                <w:lang w:eastAsia="en-US"/>
              </w:rPr>
              <w:t xml:space="preserve"> lump sum is involved) received</w:t>
            </w:r>
          </w:p>
        </w:tc>
        <w:tc>
          <w:tcPr>
            <w:tcW w:w="1105" w:type="dxa"/>
            <w:tcMar>
              <w:top w:w="80" w:type="dxa"/>
              <w:left w:w="80" w:type="dxa"/>
              <w:bottom w:w="80" w:type="dxa"/>
              <w:right w:w="80" w:type="dxa"/>
            </w:tcMar>
          </w:tcPr>
          <w:p w14:paraId="702BFF22" w14:textId="77777777" w:rsidR="000268F6" w:rsidRDefault="009D50B0" w:rsidP="00B21723">
            <w:pPr>
              <w:spacing w:after="60"/>
              <w:rPr>
                <w:rFonts w:eastAsia="Calibri" w:cs="Arial"/>
                <w:sz w:val="14"/>
                <w:szCs w:val="14"/>
                <w:lang w:eastAsia="en-US"/>
              </w:rPr>
            </w:pPr>
            <w:r>
              <w:rPr>
                <w:rFonts w:eastAsia="Calibri" w:cs="Arial"/>
                <w:sz w:val="14"/>
                <w:szCs w:val="14"/>
                <w:lang w:eastAsia="en-US"/>
              </w:rPr>
              <w:t xml:space="preserve">MRCA – </w:t>
            </w:r>
            <w:r w:rsidR="000268F6" w:rsidRPr="000268F6">
              <w:rPr>
                <w:rFonts w:eastAsia="Calibri" w:cs="Arial"/>
                <w:sz w:val="14"/>
                <w:szCs w:val="14"/>
                <w:lang w:eastAsia="en-US"/>
              </w:rPr>
              <w:t>75%</w:t>
            </w:r>
          </w:p>
          <w:p w14:paraId="3E1EA048" w14:textId="77777777" w:rsidR="009D50B0" w:rsidRDefault="009D50B0" w:rsidP="00B21723">
            <w:pPr>
              <w:spacing w:after="60"/>
              <w:rPr>
                <w:rFonts w:eastAsia="Calibri" w:cs="Arial"/>
                <w:sz w:val="14"/>
                <w:szCs w:val="14"/>
                <w:lang w:eastAsia="en-US"/>
              </w:rPr>
            </w:pPr>
            <w:r>
              <w:rPr>
                <w:rFonts w:eastAsia="Calibri" w:cs="Arial"/>
                <w:sz w:val="14"/>
                <w:szCs w:val="14"/>
                <w:lang w:eastAsia="en-US"/>
              </w:rPr>
              <w:t>DRCA – 75%</w:t>
            </w:r>
          </w:p>
          <w:p w14:paraId="65E72578" w14:textId="3DA46E09" w:rsidR="009D50B0" w:rsidRPr="000268F6" w:rsidRDefault="009D50B0" w:rsidP="00B21723">
            <w:pPr>
              <w:spacing w:after="60"/>
              <w:rPr>
                <w:rFonts w:eastAsia="Calibri" w:cs="Arial"/>
                <w:sz w:val="14"/>
                <w:szCs w:val="14"/>
                <w:lang w:eastAsia="en-US"/>
              </w:rPr>
            </w:pPr>
            <w:r>
              <w:rPr>
                <w:rFonts w:eastAsia="Calibri" w:cs="Arial"/>
                <w:sz w:val="14"/>
                <w:szCs w:val="14"/>
                <w:lang w:eastAsia="en-US"/>
              </w:rPr>
              <w:t>Where a person is in receipt of superannuation –</w:t>
            </w:r>
            <w:r w:rsidRPr="000268F6">
              <w:rPr>
                <w:rFonts w:eastAsia="Calibri" w:cs="Arial"/>
                <w:sz w:val="14"/>
                <w:szCs w:val="14"/>
                <w:lang w:eastAsia="en-US"/>
              </w:rPr>
              <w:t xml:space="preserve"> 70% less any employer funded superannuation benefit (weekly equivalent if</w:t>
            </w:r>
            <w:r>
              <w:rPr>
                <w:rFonts w:eastAsia="Calibri" w:cs="Arial"/>
                <w:sz w:val="14"/>
                <w:szCs w:val="14"/>
                <w:lang w:eastAsia="en-US"/>
              </w:rPr>
              <w:t xml:space="preserve"> lump sum is involved) received</w:t>
            </w:r>
          </w:p>
        </w:tc>
        <w:tc>
          <w:tcPr>
            <w:tcW w:w="1093" w:type="dxa"/>
          </w:tcPr>
          <w:p w14:paraId="6F95575D" w14:textId="623731D9"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80%</w:t>
            </w:r>
          </w:p>
        </w:tc>
      </w:tr>
      <w:tr w:rsidR="00FF68C4" w:rsidRPr="000268F6" w14:paraId="2A9B523A" w14:textId="77777777" w:rsidTr="008B24D1">
        <w:tc>
          <w:tcPr>
            <w:tcW w:w="1112" w:type="dxa"/>
            <w:shd w:val="clear" w:color="auto" w:fill="FFC9C9"/>
            <w:tcMar>
              <w:top w:w="80" w:type="dxa"/>
              <w:left w:w="80" w:type="dxa"/>
              <w:bottom w:w="80" w:type="dxa"/>
              <w:right w:w="80" w:type="dxa"/>
            </w:tcMar>
          </w:tcPr>
          <w:p w14:paraId="39034851" w14:textId="37F7D202"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lastRenderedPageBreak/>
              <w:t>104+ weeks (total incapacity)</w:t>
            </w:r>
          </w:p>
        </w:tc>
        <w:tc>
          <w:tcPr>
            <w:tcW w:w="1125" w:type="dxa"/>
            <w:shd w:val="clear" w:color="auto" w:fill="FFC9C9"/>
            <w:tcMar>
              <w:top w:w="80" w:type="dxa"/>
              <w:left w:w="80" w:type="dxa"/>
              <w:bottom w:w="80" w:type="dxa"/>
              <w:right w:w="80" w:type="dxa"/>
            </w:tcMar>
          </w:tcPr>
          <w:p w14:paraId="0C782046" w14:textId="1D4E0EF7" w:rsidR="00E01D0F" w:rsidRDefault="000268F6" w:rsidP="00B21723">
            <w:pPr>
              <w:spacing w:after="60"/>
              <w:rPr>
                <w:rFonts w:eastAsia="Calibri" w:cs="Arial"/>
                <w:sz w:val="14"/>
                <w:szCs w:val="14"/>
                <w:lang w:eastAsia="en-US"/>
              </w:rPr>
            </w:pPr>
            <w:r w:rsidRPr="000268F6">
              <w:rPr>
                <w:rFonts w:eastAsia="Calibri" w:cs="Arial"/>
                <w:sz w:val="14"/>
                <w:szCs w:val="14"/>
                <w:lang w:eastAsia="en-US"/>
              </w:rPr>
              <w:t>80% less any deductibles (subject to max cap, excludes overtime and shift allowance</w:t>
            </w:r>
            <w:r w:rsidR="00D938CD">
              <w:rPr>
                <w:rFonts w:eastAsia="Calibri" w:cs="Arial"/>
                <w:sz w:val="14"/>
                <w:szCs w:val="14"/>
                <w:lang w:eastAsia="en-US"/>
              </w:rPr>
              <w:t xml:space="preserve">, subject to meeting requirements of </w:t>
            </w:r>
            <w:hyperlink r:id="rId257" w:history="1">
              <w:r w:rsidR="00D938CD" w:rsidRPr="008B3283">
                <w:rPr>
                  <w:rStyle w:val="Hyperlink"/>
                  <w:rFonts w:eastAsia="Calibri" w:cs="Arial"/>
                  <w:sz w:val="14"/>
                  <w:szCs w:val="14"/>
                  <w:lang w:eastAsia="en-US"/>
                </w:rPr>
                <w:t>s38</w:t>
              </w:r>
            </w:hyperlink>
            <w:r w:rsidR="00D938CD">
              <w:rPr>
                <w:rFonts w:eastAsia="Calibri" w:cs="Arial"/>
                <w:sz w:val="14"/>
                <w:szCs w:val="14"/>
                <w:lang w:eastAsia="en-US"/>
              </w:rPr>
              <w:t xml:space="preserve"> of the </w:t>
            </w:r>
            <w:r w:rsidR="00BD285C" w:rsidRPr="00016069">
              <w:rPr>
                <w:rFonts w:eastAsiaTheme="majorEastAsia"/>
                <w:i/>
                <w:sz w:val="14"/>
              </w:rPr>
              <w:t>Workers Compensation Act 1987</w:t>
            </w:r>
            <w:r w:rsidR="00D938CD">
              <w:rPr>
                <w:rFonts w:eastAsia="Calibri" w:cs="Arial"/>
                <w:sz w:val="14"/>
                <w:szCs w:val="14"/>
                <w:lang w:eastAsia="en-US"/>
              </w:rPr>
              <w:t>. These provisions apply after week 130.</w:t>
            </w:r>
            <w:r w:rsidRPr="000268F6">
              <w:rPr>
                <w:rFonts w:eastAsia="Calibri" w:cs="Arial"/>
                <w:sz w:val="14"/>
                <w:szCs w:val="14"/>
                <w:lang w:eastAsia="en-US"/>
              </w:rPr>
              <w:t xml:space="preserve">) </w:t>
            </w:r>
            <w:r w:rsidR="00E01D0F">
              <w:rPr>
                <w:rFonts w:eastAsia="Calibri" w:cs="Arial"/>
                <w:sz w:val="14"/>
                <w:szCs w:val="14"/>
                <w:lang w:eastAsia="en-US"/>
              </w:rPr>
              <w:br/>
            </w:r>
          </w:p>
          <w:p w14:paraId="0FE799B7" w14:textId="19A5D0E5" w:rsidR="000268F6" w:rsidRPr="000268F6" w:rsidRDefault="000268F6" w:rsidP="00D938CD">
            <w:pPr>
              <w:spacing w:after="60"/>
              <w:rPr>
                <w:rFonts w:eastAsia="Calibri" w:cs="Arial"/>
                <w:sz w:val="14"/>
                <w:szCs w:val="14"/>
                <w:lang w:eastAsia="en-US"/>
              </w:rPr>
            </w:pPr>
            <w:r w:rsidRPr="000268F6">
              <w:rPr>
                <w:rFonts w:eastAsia="Calibri" w:cs="Arial"/>
                <w:sz w:val="14"/>
                <w:szCs w:val="14"/>
                <w:lang w:eastAsia="en-US"/>
              </w:rPr>
              <w:t>Payments cease at five years unless permanent impairment of &gt;20%</w:t>
            </w:r>
            <w:r w:rsidR="00180BD8">
              <w:rPr>
                <w:rFonts w:eastAsia="Calibri" w:cs="Arial"/>
                <w:sz w:val="14"/>
                <w:szCs w:val="14"/>
                <w:lang w:eastAsia="en-US"/>
              </w:rPr>
              <w:t>.</w:t>
            </w:r>
          </w:p>
        </w:tc>
        <w:tc>
          <w:tcPr>
            <w:tcW w:w="1101" w:type="dxa"/>
            <w:shd w:val="clear" w:color="auto" w:fill="FFC9C9"/>
            <w:tcMar>
              <w:top w:w="80" w:type="dxa"/>
              <w:left w:w="80" w:type="dxa"/>
              <w:bottom w:w="80" w:type="dxa"/>
              <w:right w:w="80" w:type="dxa"/>
            </w:tcMar>
          </w:tcPr>
          <w:p w14:paraId="4300BE9F" w14:textId="24E9C03C"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80% (up to max, subject to work</w:t>
            </w:r>
            <w:r w:rsidR="00F6068C">
              <w:rPr>
                <w:rFonts w:eastAsia="Calibri" w:cs="Arial"/>
                <w:sz w:val="14"/>
                <w:szCs w:val="14"/>
                <w:lang w:eastAsia="en-US"/>
              </w:rPr>
              <w:t xml:space="preserve"> capacity test after 130 weeks)</w:t>
            </w:r>
          </w:p>
        </w:tc>
        <w:tc>
          <w:tcPr>
            <w:tcW w:w="1125" w:type="dxa"/>
            <w:shd w:val="clear" w:color="auto" w:fill="FFC9C9"/>
            <w:tcMar>
              <w:top w:w="80" w:type="dxa"/>
              <w:left w:w="80" w:type="dxa"/>
              <w:bottom w:w="80" w:type="dxa"/>
              <w:right w:w="80" w:type="dxa"/>
            </w:tcMar>
          </w:tcPr>
          <w:p w14:paraId="0E9DBBFF" w14:textId="38BB8F0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If &gt;15% degree of permanent impairment, 75% NWE or 70% QOTE</w:t>
            </w:r>
            <w:r w:rsidR="00F6068C">
              <w:rPr>
                <w:rFonts w:eastAsia="Calibri" w:cs="Arial"/>
                <w:sz w:val="14"/>
                <w:szCs w:val="14"/>
                <w:lang w:eastAsia="en-US"/>
              </w:rPr>
              <w:t>, otherwise single pension rate</w:t>
            </w:r>
            <w:r w:rsidRPr="000268F6">
              <w:rPr>
                <w:rFonts w:eastAsia="Calibri" w:cs="Arial"/>
                <w:sz w:val="14"/>
                <w:szCs w:val="14"/>
                <w:vertAlign w:val="superscript"/>
                <w:lang w:eastAsia="en-US"/>
              </w:rPr>
              <w:t>d</w:t>
            </w:r>
          </w:p>
        </w:tc>
        <w:tc>
          <w:tcPr>
            <w:tcW w:w="1125" w:type="dxa"/>
            <w:shd w:val="clear" w:color="auto" w:fill="FFC9C9"/>
            <w:tcMar>
              <w:top w:w="80" w:type="dxa"/>
              <w:left w:w="80" w:type="dxa"/>
              <w:bottom w:w="80" w:type="dxa"/>
              <w:right w:w="80" w:type="dxa"/>
            </w:tcMar>
          </w:tcPr>
          <w:p w14:paraId="5441DE22"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100%</w:t>
            </w:r>
          </w:p>
        </w:tc>
        <w:tc>
          <w:tcPr>
            <w:tcW w:w="1108" w:type="dxa"/>
            <w:shd w:val="clear" w:color="auto" w:fill="FFC9C9"/>
            <w:tcMar>
              <w:top w:w="80" w:type="dxa"/>
              <w:left w:w="80" w:type="dxa"/>
              <w:bottom w:w="80" w:type="dxa"/>
              <w:right w:w="80" w:type="dxa"/>
            </w:tcMar>
          </w:tcPr>
          <w:p w14:paraId="7DF3968A"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 xml:space="preserve">80% for seriously injured workers (WPI of 30% or more) </w:t>
            </w:r>
            <w:hyperlink r:id="rId258" w:history="1">
              <w:r w:rsidRPr="000268F6">
                <w:rPr>
                  <w:rFonts w:eastAsia="Calibri" w:cs="Arial"/>
                  <w:color w:val="0000FF"/>
                  <w:sz w:val="14"/>
                  <w:szCs w:val="14"/>
                  <w:u w:val="single"/>
                  <w:lang w:eastAsia="en-US"/>
                </w:rPr>
                <w:t>s41(1)</w:t>
              </w:r>
            </w:hyperlink>
            <w:r w:rsidR="00E32E61" w:rsidRPr="00BD285C">
              <w:rPr>
                <w:rFonts w:eastAsia="Calibri" w:cs="Arial"/>
                <w:sz w:val="14"/>
                <w:szCs w:val="14"/>
                <w:lang w:eastAsia="en-US"/>
              </w:rPr>
              <w:t>.</w:t>
            </w:r>
            <w:hyperlink r:id="rId259" w:history="1"/>
          </w:p>
          <w:p w14:paraId="0EA9981A" w14:textId="7DA798F5"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 entitlements for non-seriously injured workers</w:t>
            </w:r>
            <w:hyperlink r:id="rId260" w:history="1">
              <w:r w:rsidRPr="000268F6">
                <w:rPr>
                  <w:rFonts w:eastAsia="Calibri" w:cs="Arial"/>
                  <w:color w:val="0000FF"/>
                  <w:sz w:val="14"/>
                  <w:szCs w:val="14"/>
                  <w:u w:val="single"/>
                  <w:lang w:eastAsia="en-US"/>
                </w:rPr>
                <w:t xml:space="preserve"> s39(3)</w:t>
              </w:r>
            </w:hyperlink>
            <w:r w:rsidRPr="000268F6">
              <w:rPr>
                <w:rFonts w:eastAsia="Calibri" w:cs="Arial"/>
                <w:sz w:val="14"/>
                <w:szCs w:val="14"/>
                <w:lang w:eastAsia="en-US"/>
              </w:rPr>
              <w:t xml:space="preserve"> beyond 104 weeks</w:t>
            </w:r>
          </w:p>
        </w:tc>
        <w:tc>
          <w:tcPr>
            <w:tcW w:w="1130" w:type="dxa"/>
            <w:shd w:val="clear" w:color="auto" w:fill="FFC9C9"/>
            <w:tcMar>
              <w:top w:w="80" w:type="dxa"/>
              <w:left w:w="80" w:type="dxa"/>
              <w:bottom w:w="80" w:type="dxa"/>
              <w:right w:w="80" w:type="dxa"/>
            </w:tcMar>
          </w:tcPr>
          <w:p w14:paraId="1B3CC396"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80% (or 85%)</w:t>
            </w:r>
          </w:p>
          <w:p w14:paraId="0528166E"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The maximum payment period varies according to the assessed percentage of whole person impairment.</w:t>
            </w:r>
          </w:p>
          <w:p w14:paraId="6DF131A1" w14:textId="2266B0A3" w:rsidR="000268F6" w:rsidRPr="000268F6" w:rsidRDefault="00A7538C" w:rsidP="00B21723">
            <w:pPr>
              <w:spacing w:after="60"/>
              <w:rPr>
                <w:rFonts w:eastAsia="Calibri" w:cs="Arial"/>
                <w:sz w:val="14"/>
                <w:szCs w:val="14"/>
                <w:lang w:eastAsia="en-US"/>
              </w:rPr>
            </w:pPr>
            <w:hyperlink r:id="rId261" w:history="1">
              <w:r w:rsidR="00FF68C4">
                <w:rPr>
                  <w:rFonts w:eastAsia="Calibri" w:cs="Arial"/>
                  <w:color w:val="0000FF"/>
                  <w:sz w:val="14"/>
                  <w:szCs w:val="14"/>
                  <w:u w:val="single"/>
                  <w:lang w:eastAsia="en-US"/>
                </w:rPr>
                <w:t>s69B(1)(c)</w:t>
              </w:r>
            </w:hyperlink>
          </w:p>
        </w:tc>
        <w:tc>
          <w:tcPr>
            <w:tcW w:w="1126" w:type="dxa"/>
            <w:shd w:val="clear" w:color="auto" w:fill="FFC9C9"/>
            <w:tcMar>
              <w:top w:w="80" w:type="dxa"/>
              <w:left w:w="80" w:type="dxa"/>
              <w:bottom w:w="80" w:type="dxa"/>
              <w:right w:w="80" w:type="dxa"/>
            </w:tcMar>
          </w:tcPr>
          <w:p w14:paraId="5909EC1E"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75–90%</w:t>
            </w:r>
          </w:p>
          <w:p w14:paraId="6CB413D6" w14:textId="41B95F1F"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Compensation ceases after 260 weeks unless 15% or greater WPI</w:t>
            </w:r>
          </w:p>
        </w:tc>
        <w:tc>
          <w:tcPr>
            <w:tcW w:w="1105" w:type="dxa"/>
            <w:shd w:val="clear" w:color="auto" w:fill="FFC9C9"/>
            <w:tcMar>
              <w:top w:w="80" w:type="dxa"/>
              <w:left w:w="80" w:type="dxa"/>
              <w:bottom w:w="80" w:type="dxa"/>
              <w:right w:w="80" w:type="dxa"/>
            </w:tcMar>
          </w:tcPr>
          <w:p w14:paraId="5369E9E2"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65% or Stat Floor.</w:t>
            </w:r>
          </w:p>
        </w:tc>
        <w:tc>
          <w:tcPr>
            <w:tcW w:w="1133" w:type="dxa"/>
            <w:shd w:val="clear" w:color="auto" w:fill="FFC9C9"/>
            <w:tcMar>
              <w:top w:w="80" w:type="dxa"/>
              <w:left w:w="80" w:type="dxa"/>
              <w:bottom w:w="80" w:type="dxa"/>
              <w:right w:w="80" w:type="dxa"/>
            </w:tcMar>
          </w:tcPr>
          <w:p w14:paraId="213E67BC"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75%</w:t>
            </w:r>
          </w:p>
          <w:p w14:paraId="721E4899" w14:textId="08ED4EEF"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If an employee retires or is retired, 70% less any employer funded superannuation benefit (weekly equivalent if</w:t>
            </w:r>
            <w:r w:rsidR="00F6068C">
              <w:rPr>
                <w:rFonts w:eastAsia="Calibri" w:cs="Arial"/>
                <w:sz w:val="14"/>
                <w:szCs w:val="14"/>
                <w:lang w:eastAsia="en-US"/>
              </w:rPr>
              <w:t xml:space="preserve"> lump sum is involved) received</w:t>
            </w:r>
          </w:p>
        </w:tc>
        <w:tc>
          <w:tcPr>
            <w:tcW w:w="1133" w:type="dxa"/>
            <w:shd w:val="clear" w:color="auto" w:fill="FFC9C9"/>
            <w:tcMar>
              <w:top w:w="79" w:type="dxa"/>
              <w:left w:w="79" w:type="dxa"/>
              <w:bottom w:w="79" w:type="dxa"/>
              <w:right w:w="79" w:type="dxa"/>
            </w:tcMar>
          </w:tcPr>
          <w:p w14:paraId="0ED4035B"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75%</w:t>
            </w:r>
          </w:p>
          <w:p w14:paraId="76917194" w14:textId="27A268C2"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If an employee retires or is retired, 70% less any employer funded superannuation benefit (weekly equivalent if</w:t>
            </w:r>
            <w:r w:rsidR="00F6068C">
              <w:rPr>
                <w:rFonts w:eastAsia="Calibri" w:cs="Arial"/>
                <w:sz w:val="14"/>
                <w:szCs w:val="14"/>
                <w:lang w:eastAsia="en-US"/>
              </w:rPr>
              <w:t xml:space="preserve"> lump sum is involved) received</w:t>
            </w:r>
          </w:p>
        </w:tc>
        <w:tc>
          <w:tcPr>
            <w:tcW w:w="1105" w:type="dxa"/>
            <w:shd w:val="clear" w:color="auto" w:fill="FFC9C9"/>
            <w:tcMar>
              <w:top w:w="80" w:type="dxa"/>
              <w:left w:w="80" w:type="dxa"/>
              <w:bottom w:w="80" w:type="dxa"/>
              <w:right w:w="80" w:type="dxa"/>
            </w:tcMar>
          </w:tcPr>
          <w:p w14:paraId="7A6AE05D" w14:textId="77777777" w:rsidR="000268F6" w:rsidRDefault="009D50B0" w:rsidP="00B21723">
            <w:pPr>
              <w:spacing w:after="60"/>
              <w:rPr>
                <w:rFonts w:eastAsia="Calibri" w:cs="Arial"/>
                <w:sz w:val="14"/>
                <w:szCs w:val="14"/>
                <w:lang w:eastAsia="en-US"/>
              </w:rPr>
            </w:pPr>
            <w:r>
              <w:rPr>
                <w:rFonts w:eastAsia="Calibri" w:cs="Arial"/>
                <w:sz w:val="14"/>
                <w:szCs w:val="14"/>
                <w:lang w:eastAsia="en-US"/>
              </w:rPr>
              <w:t xml:space="preserve">MRCA – </w:t>
            </w:r>
            <w:r w:rsidR="000268F6" w:rsidRPr="000268F6">
              <w:rPr>
                <w:rFonts w:eastAsia="Calibri" w:cs="Arial"/>
                <w:sz w:val="14"/>
                <w:szCs w:val="14"/>
                <w:lang w:eastAsia="en-US"/>
              </w:rPr>
              <w:t>75%</w:t>
            </w:r>
          </w:p>
          <w:p w14:paraId="268EF83D" w14:textId="77777777" w:rsidR="009D50B0" w:rsidRDefault="009D50B0" w:rsidP="00B21723">
            <w:pPr>
              <w:spacing w:after="60"/>
              <w:rPr>
                <w:rFonts w:eastAsia="Calibri" w:cs="Arial"/>
                <w:sz w:val="14"/>
                <w:szCs w:val="14"/>
                <w:lang w:eastAsia="en-US"/>
              </w:rPr>
            </w:pPr>
            <w:r>
              <w:rPr>
                <w:rFonts w:eastAsia="Calibri" w:cs="Arial"/>
                <w:sz w:val="14"/>
                <w:szCs w:val="14"/>
                <w:lang w:eastAsia="en-US"/>
              </w:rPr>
              <w:t>DRCA – 75%</w:t>
            </w:r>
          </w:p>
          <w:p w14:paraId="44BF2B75" w14:textId="7204D055" w:rsidR="009D50B0" w:rsidRPr="000268F6" w:rsidRDefault="009D50B0" w:rsidP="00B21723">
            <w:pPr>
              <w:spacing w:after="60"/>
              <w:rPr>
                <w:rFonts w:eastAsia="Calibri" w:cs="Arial"/>
                <w:sz w:val="14"/>
                <w:szCs w:val="14"/>
                <w:lang w:eastAsia="en-US"/>
              </w:rPr>
            </w:pPr>
            <w:r>
              <w:rPr>
                <w:rFonts w:eastAsia="Calibri" w:cs="Arial"/>
                <w:sz w:val="14"/>
                <w:szCs w:val="14"/>
                <w:lang w:eastAsia="en-US"/>
              </w:rPr>
              <w:t>Where a person is in receipt of superannuation –</w:t>
            </w:r>
            <w:r w:rsidRPr="000268F6">
              <w:rPr>
                <w:rFonts w:eastAsia="Calibri" w:cs="Arial"/>
                <w:sz w:val="14"/>
                <w:szCs w:val="14"/>
                <w:lang w:eastAsia="en-US"/>
              </w:rPr>
              <w:t xml:space="preserve"> 70% less any employer funded superannuation benefit (weekly equivalent if</w:t>
            </w:r>
            <w:r>
              <w:rPr>
                <w:rFonts w:eastAsia="Calibri" w:cs="Arial"/>
                <w:sz w:val="14"/>
                <w:szCs w:val="14"/>
                <w:lang w:eastAsia="en-US"/>
              </w:rPr>
              <w:t xml:space="preserve"> lump sum is involved) received</w:t>
            </w:r>
          </w:p>
        </w:tc>
        <w:tc>
          <w:tcPr>
            <w:tcW w:w="1093" w:type="dxa"/>
            <w:shd w:val="clear" w:color="auto" w:fill="FFC9C9"/>
          </w:tcPr>
          <w:p w14:paraId="74F30888" w14:textId="68A1381C"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80%</w:t>
            </w:r>
          </w:p>
        </w:tc>
      </w:tr>
      <w:bookmarkEnd w:id="55"/>
      <w:tr w:rsidR="000268F6" w:rsidRPr="000268F6" w14:paraId="7024D586" w14:textId="77777777" w:rsidTr="008B24D1">
        <w:tc>
          <w:tcPr>
            <w:tcW w:w="14521" w:type="dxa"/>
            <w:gridSpan w:val="13"/>
            <w:tcMar>
              <w:top w:w="79" w:type="dxa"/>
              <w:left w:w="79" w:type="dxa"/>
              <w:bottom w:w="79" w:type="dxa"/>
              <w:right w:w="79" w:type="dxa"/>
            </w:tcMar>
            <w:vAlign w:val="center"/>
          </w:tcPr>
          <w:p w14:paraId="23AE48A0" w14:textId="55D61519" w:rsidR="000268F6" w:rsidRPr="000268F6" w:rsidRDefault="000268F6" w:rsidP="00B21723">
            <w:pPr>
              <w:spacing w:after="60"/>
              <w:jc w:val="center"/>
              <w:rPr>
                <w:rFonts w:eastAsia="Calibri" w:cs="Arial"/>
                <w:b/>
                <w:sz w:val="16"/>
                <w:szCs w:val="16"/>
                <w:lang w:eastAsia="en-US"/>
              </w:rPr>
            </w:pPr>
            <w:r w:rsidRPr="000268F6">
              <w:rPr>
                <w:rFonts w:eastAsia="Calibri" w:cs="Arial"/>
                <w:b/>
                <w:sz w:val="16"/>
                <w:szCs w:val="16"/>
                <w:lang w:eastAsia="en-US"/>
              </w:rPr>
              <w:t>Other entitlements</w:t>
            </w:r>
          </w:p>
        </w:tc>
      </w:tr>
      <w:tr w:rsidR="00FF68C4" w:rsidRPr="000268F6" w14:paraId="5CAE5010" w14:textId="77777777" w:rsidTr="008B24D1">
        <w:tc>
          <w:tcPr>
            <w:tcW w:w="1112" w:type="dxa"/>
            <w:shd w:val="clear" w:color="auto" w:fill="FFC9C9"/>
            <w:tcMar>
              <w:top w:w="80" w:type="dxa"/>
              <w:left w:w="80" w:type="dxa"/>
              <w:bottom w:w="80" w:type="dxa"/>
              <w:right w:w="80" w:type="dxa"/>
            </w:tcMar>
          </w:tcPr>
          <w:p w14:paraId="502066BF" w14:textId="77777777"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t>Permanent impairment</w:t>
            </w:r>
          </w:p>
        </w:tc>
        <w:tc>
          <w:tcPr>
            <w:tcW w:w="1125" w:type="dxa"/>
            <w:shd w:val="clear" w:color="auto" w:fill="FFC9C9"/>
            <w:tcMar>
              <w:top w:w="80" w:type="dxa"/>
              <w:left w:w="80" w:type="dxa"/>
              <w:bottom w:w="80" w:type="dxa"/>
              <w:right w:w="80" w:type="dxa"/>
            </w:tcMar>
          </w:tcPr>
          <w:p w14:paraId="06128AFA" w14:textId="7C226100" w:rsidR="000268F6" w:rsidRDefault="000268F6" w:rsidP="00B21723">
            <w:pPr>
              <w:spacing w:after="60"/>
              <w:rPr>
                <w:rFonts w:eastAsia="Calibri" w:cs="Arial"/>
                <w:sz w:val="14"/>
                <w:szCs w:val="14"/>
                <w:lang w:eastAsia="en-US"/>
              </w:rPr>
            </w:pPr>
            <w:r w:rsidRPr="000268F6">
              <w:rPr>
                <w:rFonts w:eastAsia="Calibri" w:cs="Arial"/>
                <w:sz w:val="14"/>
                <w:szCs w:val="14"/>
                <w:lang w:eastAsia="en-US"/>
              </w:rPr>
              <w:t>Date of injury on or from 5th August 2015 - maximum amount payable f</w:t>
            </w:r>
            <w:r w:rsidR="00D41D16">
              <w:rPr>
                <w:rFonts w:eastAsia="Calibri" w:cs="Arial"/>
                <w:sz w:val="14"/>
                <w:szCs w:val="14"/>
                <w:lang w:eastAsia="en-US"/>
              </w:rPr>
              <w:t>or permanent impairment is $577</w:t>
            </w:r>
            <w:r w:rsidR="004761CF">
              <w:rPr>
                <w:rFonts w:eastAsia="Calibri" w:cs="Arial"/>
                <w:sz w:val="14"/>
                <w:szCs w:val="14"/>
                <w:lang w:eastAsia="en-US"/>
              </w:rPr>
              <w:t>,</w:t>
            </w:r>
            <w:r w:rsidRPr="000268F6">
              <w:rPr>
                <w:rFonts w:eastAsia="Calibri" w:cs="Arial"/>
                <w:sz w:val="14"/>
                <w:szCs w:val="14"/>
                <w:lang w:eastAsia="en-US"/>
              </w:rPr>
              <w:t>050 (plus add</w:t>
            </w:r>
            <w:r w:rsidR="00F6068C">
              <w:rPr>
                <w:rFonts w:eastAsia="Calibri" w:cs="Arial"/>
                <w:sz w:val="14"/>
                <w:szCs w:val="14"/>
                <w:lang w:eastAsia="en-US"/>
              </w:rPr>
              <w:t>itional 5% for back impairment)</w:t>
            </w:r>
            <w:r w:rsidR="00D938CD">
              <w:rPr>
                <w:rFonts w:eastAsia="Calibri" w:cs="Arial"/>
                <w:sz w:val="14"/>
                <w:szCs w:val="14"/>
                <w:lang w:eastAsia="en-US"/>
              </w:rPr>
              <w:t xml:space="preserve"> Indexed to $598,560 on 1 July 2017.</w:t>
            </w:r>
          </w:p>
          <w:p w14:paraId="4DF04239" w14:textId="77777777" w:rsidR="00D938CD" w:rsidRPr="000268F6" w:rsidRDefault="00D938CD" w:rsidP="00B21723">
            <w:pPr>
              <w:spacing w:after="60"/>
              <w:rPr>
                <w:rFonts w:eastAsia="Calibri" w:cs="Arial"/>
                <w:sz w:val="14"/>
                <w:szCs w:val="14"/>
                <w:lang w:eastAsia="en-US"/>
              </w:rPr>
            </w:pPr>
          </w:p>
          <w:p w14:paraId="106A4747" w14:textId="5C9EECE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 xml:space="preserve">Date of injury </w:t>
            </w:r>
            <w:r w:rsidRPr="000268F6">
              <w:rPr>
                <w:rFonts w:eastAsia="Calibri" w:cs="Arial"/>
                <w:sz w:val="14"/>
                <w:szCs w:val="14"/>
                <w:lang w:eastAsia="en-US"/>
              </w:rPr>
              <w:lastRenderedPageBreak/>
              <w:t>prior to 5th August 2015 maximum amount payable for permanent impairment is $220</w:t>
            </w:r>
            <w:r w:rsidR="004761CF">
              <w:rPr>
                <w:rFonts w:eastAsia="Calibri" w:cs="Arial"/>
                <w:sz w:val="14"/>
                <w:szCs w:val="14"/>
                <w:lang w:eastAsia="en-US"/>
              </w:rPr>
              <w:t>,</w:t>
            </w:r>
            <w:r w:rsidRPr="000268F6">
              <w:rPr>
                <w:rFonts w:eastAsia="Calibri" w:cs="Arial"/>
                <w:sz w:val="14"/>
                <w:szCs w:val="14"/>
                <w:lang w:eastAsia="en-US"/>
              </w:rPr>
              <w:t>000 (plus additiona</w:t>
            </w:r>
            <w:r w:rsidR="00F6068C">
              <w:rPr>
                <w:rFonts w:eastAsia="Calibri" w:cs="Arial"/>
                <w:sz w:val="14"/>
                <w:szCs w:val="14"/>
                <w:lang w:eastAsia="en-US"/>
              </w:rPr>
              <w:t>l 5% for back impairment)</w:t>
            </w:r>
          </w:p>
        </w:tc>
        <w:tc>
          <w:tcPr>
            <w:tcW w:w="1101" w:type="dxa"/>
            <w:shd w:val="clear" w:color="auto" w:fill="FFC9C9"/>
            <w:tcMar>
              <w:top w:w="80" w:type="dxa"/>
              <w:left w:w="80" w:type="dxa"/>
              <w:bottom w:w="80" w:type="dxa"/>
              <w:right w:w="80" w:type="dxa"/>
            </w:tcMar>
          </w:tcPr>
          <w:p w14:paraId="583D39F2" w14:textId="52D57794" w:rsidR="000268F6" w:rsidRPr="000268F6" w:rsidRDefault="000268F6" w:rsidP="00EA5E24">
            <w:pPr>
              <w:spacing w:after="60"/>
              <w:rPr>
                <w:rFonts w:eastAsia="Calibri" w:cs="Arial"/>
                <w:sz w:val="14"/>
                <w:szCs w:val="14"/>
                <w:lang w:eastAsia="en-US"/>
              </w:rPr>
            </w:pPr>
            <w:r w:rsidRPr="000268F6">
              <w:rPr>
                <w:rFonts w:eastAsia="Calibri" w:cs="Arial"/>
                <w:sz w:val="14"/>
                <w:szCs w:val="14"/>
                <w:lang w:eastAsia="en-US"/>
              </w:rPr>
              <w:lastRenderedPageBreak/>
              <w:t>$</w:t>
            </w:r>
            <w:r w:rsidR="00EA5E24">
              <w:rPr>
                <w:rFonts w:eastAsia="Calibri" w:cs="Arial"/>
                <w:sz w:val="14"/>
                <w:szCs w:val="14"/>
                <w:lang w:eastAsia="en-US"/>
              </w:rPr>
              <w:t>598,360</w:t>
            </w:r>
            <w:r w:rsidR="00EB23D3">
              <w:rPr>
                <w:rFonts w:eastAsia="Calibri" w:cs="Arial"/>
                <w:sz w:val="14"/>
                <w:szCs w:val="14"/>
                <w:lang w:eastAsia="en-US"/>
              </w:rPr>
              <w:t>.00</w:t>
            </w:r>
          </w:p>
        </w:tc>
        <w:tc>
          <w:tcPr>
            <w:tcW w:w="1125" w:type="dxa"/>
            <w:shd w:val="clear" w:color="auto" w:fill="FFC9C9"/>
            <w:tcMar>
              <w:top w:w="80" w:type="dxa"/>
              <w:left w:w="80" w:type="dxa"/>
              <w:bottom w:w="80" w:type="dxa"/>
              <w:right w:w="80" w:type="dxa"/>
            </w:tcMar>
          </w:tcPr>
          <w:p w14:paraId="3FE4D9DF" w14:textId="211B7ED8" w:rsidR="000268F6" w:rsidRPr="000268F6" w:rsidRDefault="000268F6" w:rsidP="008D7200">
            <w:pPr>
              <w:spacing w:after="60"/>
              <w:rPr>
                <w:rFonts w:eastAsia="Calibri" w:cs="Arial"/>
                <w:sz w:val="14"/>
                <w:szCs w:val="14"/>
                <w:lang w:eastAsia="en-US"/>
              </w:rPr>
            </w:pPr>
            <w:r w:rsidRPr="000268F6">
              <w:rPr>
                <w:rFonts w:eastAsia="Calibri" w:cs="Arial"/>
                <w:sz w:val="14"/>
                <w:szCs w:val="14"/>
                <w:lang w:eastAsia="en-US"/>
              </w:rPr>
              <w:t>$</w:t>
            </w:r>
            <w:r w:rsidR="008D7200">
              <w:rPr>
                <w:rFonts w:eastAsia="Calibri" w:cs="Arial"/>
                <w:sz w:val="14"/>
                <w:szCs w:val="14"/>
                <w:lang w:eastAsia="en-US"/>
              </w:rPr>
              <w:t>320,370</w:t>
            </w:r>
            <w:r w:rsidR="00EB23D3">
              <w:rPr>
                <w:rFonts w:eastAsia="Calibri" w:cs="Arial"/>
                <w:sz w:val="14"/>
                <w:szCs w:val="14"/>
                <w:lang w:eastAsia="en-US"/>
              </w:rPr>
              <w:t>.00</w:t>
            </w:r>
            <w:r w:rsidRPr="000268F6">
              <w:rPr>
                <w:rFonts w:eastAsia="Calibri" w:cs="Arial"/>
                <w:sz w:val="14"/>
                <w:szCs w:val="14"/>
                <w:lang w:eastAsia="en-US"/>
              </w:rPr>
              <w:t xml:space="preserve"> permanent impairmen</w:t>
            </w:r>
            <w:r w:rsidR="00F6068C">
              <w:rPr>
                <w:rFonts w:eastAsia="Calibri" w:cs="Arial"/>
                <w:sz w:val="14"/>
                <w:szCs w:val="14"/>
                <w:lang w:eastAsia="en-US"/>
              </w:rPr>
              <w:t>t plus $</w:t>
            </w:r>
            <w:r w:rsidR="008D7200">
              <w:rPr>
                <w:rFonts w:eastAsia="Calibri" w:cs="Arial"/>
                <w:sz w:val="14"/>
                <w:szCs w:val="14"/>
                <w:lang w:eastAsia="en-US"/>
              </w:rPr>
              <w:t>362,920</w:t>
            </w:r>
            <w:r w:rsidR="00F6068C">
              <w:rPr>
                <w:rFonts w:eastAsia="Calibri" w:cs="Arial"/>
                <w:sz w:val="14"/>
                <w:szCs w:val="14"/>
                <w:lang w:eastAsia="en-US"/>
              </w:rPr>
              <w:t xml:space="preserve"> gratuitous care</w:t>
            </w:r>
          </w:p>
        </w:tc>
        <w:tc>
          <w:tcPr>
            <w:tcW w:w="1125" w:type="dxa"/>
            <w:shd w:val="clear" w:color="auto" w:fill="FFC9C9"/>
            <w:tcMar>
              <w:top w:w="80" w:type="dxa"/>
              <w:left w:w="80" w:type="dxa"/>
              <w:bottom w:w="80" w:type="dxa"/>
              <w:right w:w="80" w:type="dxa"/>
            </w:tcMar>
          </w:tcPr>
          <w:p w14:paraId="49871B80" w14:textId="5640B663" w:rsidR="000268F6" w:rsidRPr="000268F6" w:rsidRDefault="009F384D" w:rsidP="009F384D">
            <w:pPr>
              <w:spacing w:after="60"/>
              <w:rPr>
                <w:rFonts w:eastAsia="Calibri" w:cs="Arial"/>
                <w:sz w:val="14"/>
                <w:szCs w:val="14"/>
                <w:lang w:eastAsia="en-US"/>
              </w:rPr>
            </w:pPr>
            <w:r>
              <w:rPr>
                <w:rFonts w:eastAsia="Calibri" w:cs="Arial"/>
                <w:sz w:val="14"/>
                <w:szCs w:val="14"/>
                <w:lang w:eastAsia="en-US"/>
              </w:rPr>
              <w:t>$224,921</w:t>
            </w:r>
            <w:r w:rsidR="00EB23D3">
              <w:rPr>
                <w:rFonts w:eastAsia="Calibri" w:cs="Arial"/>
                <w:sz w:val="14"/>
                <w:szCs w:val="14"/>
                <w:lang w:eastAsia="en-US"/>
              </w:rPr>
              <w:t>.00</w:t>
            </w:r>
            <w:r w:rsidR="000268F6" w:rsidRPr="000268F6">
              <w:rPr>
                <w:rFonts w:eastAsia="Calibri" w:cs="Arial"/>
                <w:sz w:val="14"/>
                <w:szCs w:val="14"/>
                <w:lang w:eastAsia="en-US"/>
              </w:rPr>
              <w:t xml:space="preserve"> + up to $</w:t>
            </w:r>
            <w:r>
              <w:rPr>
                <w:rFonts w:eastAsia="Calibri" w:cs="Arial"/>
                <w:sz w:val="14"/>
                <w:szCs w:val="14"/>
                <w:lang w:eastAsia="en-US"/>
              </w:rPr>
              <w:t>168,690.75</w:t>
            </w:r>
            <w:r w:rsidR="000268F6" w:rsidRPr="000268F6">
              <w:rPr>
                <w:rFonts w:eastAsia="Calibri" w:cs="Arial"/>
                <w:sz w:val="14"/>
                <w:szCs w:val="14"/>
                <w:lang w:eastAsia="en-US"/>
              </w:rPr>
              <w:t xml:space="preserve"> in special circumstances</w:t>
            </w:r>
            <w:r w:rsidR="008B24D1">
              <w:rPr>
                <w:rFonts w:eastAsia="Calibri" w:cs="Arial"/>
                <w:sz w:val="14"/>
                <w:szCs w:val="14"/>
                <w:lang w:eastAsia="en-US"/>
              </w:rPr>
              <w:t>.</w:t>
            </w:r>
          </w:p>
        </w:tc>
        <w:tc>
          <w:tcPr>
            <w:tcW w:w="1108" w:type="dxa"/>
            <w:shd w:val="clear" w:color="auto" w:fill="FFC9C9"/>
            <w:tcMar>
              <w:top w:w="80" w:type="dxa"/>
              <w:left w:w="80" w:type="dxa"/>
              <w:bottom w:w="80" w:type="dxa"/>
              <w:right w:w="80" w:type="dxa"/>
            </w:tcMar>
          </w:tcPr>
          <w:p w14:paraId="62BB3779" w14:textId="6D9CD7EF" w:rsidR="006A50D4" w:rsidRDefault="000268F6" w:rsidP="00B21723">
            <w:pPr>
              <w:spacing w:after="60"/>
              <w:rPr>
                <w:rFonts w:eastAsia="Calibri" w:cs="Arial"/>
                <w:sz w:val="14"/>
                <w:szCs w:val="14"/>
                <w:lang w:eastAsia="en-US"/>
              </w:rPr>
            </w:pPr>
            <w:r w:rsidRPr="000268F6">
              <w:rPr>
                <w:rFonts w:eastAsia="Calibri" w:cs="Arial"/>
                <w:sz w:val="14"/>
                <w:szCs w:val="14"/>
                <w:lang w:eastAsia="en-US"/>
              </w:rPr>
              <w:t>Lump sum of up to $361</w:t>
            </w:r>
            <w:r w:rsidR="004761CF">
              <w:rPr>
                <w:rFonts w:eastAsia="Calibri" w:cs="Arial"/>
                <w:sz w:val="14"/>
                <w:szCs w:val="14"/>
                <w:lang w:eastAsia="en-US"/>
              </w:rPr>
              <w:t>,</w:t>
            </w:r>
            <w:r w:rsidRPr="000268F6">
              <w:rPr>
                <w:rFonts w:eastAsia="Calibri" w:cs="Arial"/>
                <w:sz w:val="14"/>
                <w:szCs w:val="14"/>
                <w:lang w:eastAsia="en-US"/>
              </w:rPr>
              <w:t xml:space="preserve">476 –economic loss </w:t>
            </w:r>
            <w:hyperlink r:id="rId262" w:history="1">
              <w:r w:rsidRPr="000268F6">
                <w:rPr>
                  <w:rFonts w:eastAsia="Calibri" w:cs="Arial"/>
                  <w:color w:val="0000FF"/>
                  <w:sz w:val="14"/>
                  <w:szCs w:val="14"/>
                  <w:u w:val="single"/>
                  <w:lang w:eastAsia="en-US"/>
                </w:rPr>
                <w:t>s55(8)</w:t>
              </w:r>
            </w:hyperlink>
            <w:r w:rsidR="00BD285C" w:rsidRPr="00BD285C">
              <w:rPr>
                <w:rFonts w:eastAsia="Calibri" w:cs="Arial"/>
                <w:sz w:val="14"/>
                <w:szCs w:val="14"/>
                <w:lang w:eastAsia="en-US"/>
              </w:rPr>
              <w:t>.</w:t>
            </w:r>
          </w:p>
          <w:p w14:paraId="591031EE" w14:textId="0AC9BB2D" w:rsidR="000268F6" w:rsidRPr="000268F6" w:rsidRDefault="000268F6" w:rsidP="00BD285C">
            <w:pPr>
              <w:spacing w:after="60"/>
              <w:rPr>
                <w:rFonts w:eastAsia="Calibri" w:cs="Arial"/>
                <w:sz w:val="14"/>
                <w:szCs w:val="14"/>
                <w:lang w:eastAsia="en-US"/>
              </w:rPr>
            </w:pPr>
            <w:r w:rsidRPr="000268F6">
              <w:rPr>
                <w:rFonts w:eastAsia="Calibri" w:cs="Arial"/>
                <w:sz w:val="14"/>
                <w:szCs w:val="14"/>
                <w:lang w:eastAsia="en-US"/>
              </w:rPr>
              <w:t xml:space="preserve">Lump sum of up to </w:t>
            </w:r>
            <w:r w:rsidR="00D41D16">
              <w:rPr>
                <w:rFonts w:eastAsia="Calibri" w:cs="Arial"/>
                <w:sz w:val="14"/>
                <w:szCs w:val="14"/>
                <w:lang w:eastAsia="en-US"/>
              </w:rPr>
              <w:t>$487</w:t>
            </w:r>
            <w:r w:rsidR="004761CF">
              <w:rPr>
                <w:rFonts w:eastAsia="Calibri" w:cs="Arial"/>
                <w:sz w:val="14"/>
                <w:szCs w:val="14"/>
                <w:lang w:eastAsia="en-US"/>
              </w:rPr>
              <w:t>,</w:t>
            </w:r>
            <w:r w:rsidRPr="000268F6">
              <w:rPr>
                <w:rFonts w:eastAsia="Calibri" w:cs="Arial"/>
                <w:sz w:val="14"/>
                <w:szCs w:val="14"/>
                <w:lang w:eastAsia="en-US"/>
              </w:rPr>
              <w:t xml:space="preserve">476 – non economic loss </w:t>
            </w:r>
            <w:hyperlink r:id="rId263" w:history="1">
              <w:r w:rsidRPr="000268F6">
                <w:rPr>
                  <w:rFonts w:eastAsia="Calibri" w:cs="Arial"/>
                  <w:color w:val="0000FF"/>
                  <w:sz w:val="14"/>
                  <w:szCs w:val="14"/>
                  <w:u w:val="single"/>
                  <w:lang w:eastAsia="en-US"/>
                </w:rPr>
                <w:t>s58(4)</w:t>
              </w:r>
            </w:hyperlink>
            <w:r w:rsidR="008B24D1" w:rsidRPr="00BD285C">
              <w:rPr>
                <w:rFonts w:eastAsia="Calibri" w:cs="Arial"/>
                <w:sz w:val="14"/>
                <w:szCs w:val="14"/>
                <w:lang w:eastAsia="en-US"/>
              </w:rPr>
              <w:t>.</w:t>
            </w:r>
          </w:p>
        </w:tc>
        <w:tc>
          <w:tcPr>
            <w:tcW w:w="1130" w:type="dxa"/>
            <w:shd w:val="clear" w:color="auto" w:fill="FFC9C9"/>
            <w:tcMar>
              <w:top w:w="80" w:type="dxa"/>
              <w:left w:w="80" w:type="dxa"/>
              <w:bottom w:w="80" w:type="dxa"/>
              <w:right w:w="80" w:type="dxa"/>
            </w:tcMar>
          </w:tcPr>
          <w:p w14:paraId="5D586E98" w14:textId="61021273" w:rsidR="000268F6" w:rsidRPr="000268F6" w:rsidRDefault="000268F6" w:rsidP="00FF68C4">
            <w:pPr>
              <w:spacing w:after="60"/>
              <w:rPr>
                <w:rFonts w:eastAsia="Calibri" w:cs="Arial"/>
                <w:sz w:val="14"/>
                <w:szCs w:val="14"/>
                <w:lang w:eastAsia="en-US"/>
              </w:rPr>
            </w:pPr>
            <w:r w:rsidRPr="000268F6">
              <w:rPr>
                <w:rFonts w:eastAsia="Calibri" w:cs="Arial"/>
                <w:sz w:val="14"/>
                <w:szCs w:val="14"/>
                <w:lang w:eastAsia="en-US"/>
              </w:rPr>
              <w:t>$</w:t>
            </w:r>
            <w:r w:rsidR="00FF68C4">
              <w:rPr>
                <w:rFonts w:eastAsia="Calibri" w:cs="Arial"/>
                <w:sz w:val="14"/>
                <w:szCs w:val="14"/>
                <w:lang w:eastAsia="en-US"/>
              </w:rPr>
              <w:t>355,169.45</w:t>
            </w:r>
          </w:p>
        </w:tc>
        <w:tc>
          <w:tcPr>
            <w:tcW w:w="1126" w:type="dxa"/>
            <w:shd w:val="clear" w:color="auto" w:fill="FFC9C9"/>
            <w:tcMar>
              <w:top w:w="80" w:type="dxa"/>
              <w:left w:w="80" w:type="dxa"/>
              <w:bottom w:w="80" w:type="dxa"/>
              <w:right w:w="80" w:type="dxa"/>
            </w:tcMar>
          </w:tcPr>
          <w:p w14:paraId="2497B615" w14:textId="149FB355" w:rsidR="000268F6" w:rsidRPr="000268F6" w:rsidRDefault="00F90303" w:rsidP="00B21723">
            <w:pPr>
              <w:spacing w:after="60"/>
              <w:rPr>
                <w:rFonts w:eastAsia="Calibri" w:cs="Arial"/>
                <w:sz w:val="14"/>
                <w:szCs w:val="14"/>
                <w:lang w:eastAsia="en-US"/>
              </w:rPr>
            </w:pPr>
            <w:r>
              <w:rPr>
                <w:rFonts w:eastAsia="Calibri" w:cs="Arial"/>
                <w:sz w:val="14"/>
                <w:szCs w:val="14"/>
                <w:lang w:eastAsia="en-US"/>
              </w:rPr>
              <w:t>$326,497.60</w:t>
            </w:r>
          </w:p>
        </w:tc>
        <w:tc>
          <w:tcPr>
            <w:tcW w:w="1105" w:type="dxa"/>
            <w:shd w:val="clear" w:color="auto" w:fill="FFC9C9"/>
            <w:tcMar>
              <w:top w:w="80" w:type="dxa"/>
              <w:left w:w="80" w:type="dxa"/>
              <w:bottom w:w="80" w:type="dxa"/>
              <w:right w:w="80" w:type="dxa"/>
            </w:tcMar>
          </w:tcPr>
          <w:p w14:paraId="6B30F694" w14:textId="17F4E3C1" w:rsidR="000268F6" w:rsidRPr="000268F6" w:rsidRDefault="000268F6" w:rsidP="00AD3863">
            <w:pPr>
              <w:spacing w:after="60"/>
              <w:rPr>
                <w:rFonts w:eastAsia="Calibri" w:cs="Arial"/>
                <w:sz w:val="14"/>
                <w:szCs w:val="14"/>
                <w:lang w:eastAsia="en-US"/>
              </w:rPr>
            </w:pPr>
            <w:r w:rsidRPr="000268F6">
              <w:rPr>
                <w:rFonts w:eastAsia="Calibri" w:cs="Arial"/>
                <w:sz w:val="14"/>
                <w:szCs w:val="14"/>
                <w:lang w:eastAsia="en-US"/>
              </w:rPr>
              <w:t>$</w:t>
            </w:r>
            <w:r w:rsidR="00AD3863">
              <w:rPr>
                <w:rFonts w:eastAsia="Calibri" w:cs="Arial"/>
                <w:sz w:val="14"/>
                <w:szCs w:val="14"/>
                <w:lang w:eastAsia="en-US"/>
              </w:rPr>
              <w:t>216,335.00</w:t>
            </w:r>
          </w:p>
        </w:tc>
        <w:tc>
          <w:tcPr>
            <w:tcW w:w="1133" w:type="dxa"/>
            <w:shd w:val="clear" w:color="auto" w:fill="FFC9C9"/>
            <w:tcMar>
              <w:top w:w="80" w:type="dxa"/>
              <w:left w:w="80" w:type="dxa"/>
              <w:bottom w:w="80" w:type="dxa"/>
              <w:right w:w="80" w:type="dxa"/>
            </w:tcMar>
          </w:tcPr>
          <w:p w14:paraId="50707963" w14:textId="6D588EDC" w:rsidR="000268F6" w:rsidRPr="000268F6" w:rsidRDefault="00F6068C" w:rsidP="00B21723">
            <w:pPr>
              <w:spacing w:after="60"/>
              <w:rPr>
                <w:rFonts w:eastAsia="Calibri" w:cs="Arial"/>
                <w:sz w:val="14"/>
                <w:szCs w:val="14"/>
                <w:lang w:eastAsia="en-US"/>
              </w:rPr>
            </w:pPr>
            <w:r>
              <w:rPr>
                <w:rFonts w:eastAsia="Calibri" w:cs="Arial"/>
                <w:sz w:val="14"/>
                <w:szCs w:val="14"/>
                <w:lang w:eastAsia="en-US"/>
              </w:rPr>
              <w:t>$</w:t>
            </w:r>
            <w:r w:rsidR="00164DBA">
              <w:rPr>
                <w:rFonts w:eastAsia="Calibri" w:cs="Arial"/>
                <w:sz w:val="14"/>
                <w:szCs w:val="14"/>
                <w:lang w:eastAsia="en-US"/>
              </w:rPr>
              <w:t>185,780.36</w:t>
            </w:r>
            <w:r>
              <w:rPr>
                <w:rFonts w:eastAsia="Calibri" w:cs="Arial"/>
                <w:sz w:val="14"/>
                <w:szCs w:val="14"/>
                <w:lang w:eastAsia="en-US"/>
              </w:rPr>
              <w:t xml:space="preserve"> (Economic)</w:t>
            </w:r>
          </w:p>
          <w:p w14:paraId="05ED9AEB" w14:textId="5E8028A7" w:rsidR="000268F6" w:rsidRPr="000268F6" w:rsidRDefault="000268F6" w:rsidP="00164DBA">
            <w:pPr>
              <w:spacing w:after="60"/>
              <w:rPr>
                <w:rFonts w:eastAsia="Calibri" w:cs="Arial"/>
                <w:sz w:val="14"/>
                <w:szCs w:val="14"/>
                <w:lang w:eastAsia="en-US"/>
              </w:rPr>
            </w:pPr>
            <w:r w:rsidRPr="000268F6">
              <w:rPr>
                <w:rFonts w:eastAsia="Calibri" w:cs="Arial"/>
                <w:sz w:val="14"/>
                <w:szCs w:val="14"/>
                <w:lang w:eastAsia="en-US"/>
              </w:rPr>
              <w:t xml:space="preserve">$ </w:t>
            </w:r>
            <w:r w:rsidR="00164DBA">
              <w:rPr>
                <w:rFonts w:eastAsia="Calibri" w:cs="Arial"/>
                <w:sz w:val="14"/>
                <w:szCs w:val="14"/>
                <w:lang w:eastAsia="en-US"/>
              </w:rPr>
              <w:t xml:space="preserve">69,667.68 </w:t>
            </w:r>
            <w:r w:rsidRPr="000268F6">
              <w:rPr>
                <w:rFonts w:eastAsia="Calibri" w:cs="Arial"/>
                <w:sz w:val="14"/>
                <w:szCs w:val="14"/>
                <w:lang w:eastAsia="en-US"/>
              </w:rPr>
              <w:t>(non-economic loss)</w:t>
            </w:r>
          </w:p>
        </w:tc>
        <w:tc>
          <w:tcPr>
            <w:tcW w:w="1133" w:type="dxa"/>
            <w:shd w:val="clear" w:color="auto" w:fill="FFC9C9"/>
            <w:tcMar>
              <w:top w:w="79" w:type="dxa"/>
              <w:left w:w="79" w:type="dxa"/>
              <w:bottom w:w="79" w:type="dxa"/>
              <w:right w:w="79" w:type="dxa"/>
            </w:tcMar>
          </w:tcPr>
          <w:p w14:paraId="075CD595" w14:textId="1AEA4348" w:rsidR="000268F6" w:rsidRPr="000268F6" w:rsidRDefault="00F6068C" w:rsidP="00B21723">
            <w:pPr>
              <w:spacing w:after="60"/>
              <w:rPr>
                <w:rFonts w:eastAsia="Calibri" w:cs="Arial"/>
                <w:sz w:val="14"/>
                <w:szCs w:val="14"/>
                <w:lang w:eastAsia="en-US"/>
              </w:rPr>
            </w:pPr>
            <w:r>
              <w:rPr>
                <w:rFonts w:eastAsia="Calibri" w:cs="Arial"/>
                <w:sz w:val="14"/>
                <w:szCs w:val="14"/>
                <w:lang w:eastAsia="en-US"/>
              </w:rPr>
              <w:t>$</w:t>
            </w:r>
            <w:r w:rsidR="00164DBA">
              <w:rPr>
                <w:rFonts w:eastAsia="Calibri" w:cs="Arial"/>
                <w:sz w:val="14"/>
                <w:szCs w:val="14"/>
                <w:lang w:eastAsia="en-US"/>
              </w:rPr>
              <w:t>185,780.36</w:t>
            </w:r>
            <w:r>
              <w:rPr>
                <w:rFonts w:eastAsia="Calibri" w:cs="Arial"/>
                <w:sz w:val="14"/>
                <w:szCs w:val="14"/>
                <w:lang w:eastAsia="en-US"/>
              </w:rPr>
              <w:t xml:space="preserve"> (Economic)</w:t>
            </w:r>
          </w:p>
          <w:p w14:paraId="0F7A6F0D" w14:textId="61B42A10" w:rsidR="000268F6" w:rsidRPr="000268F6" w:rsidRDefault="000268F6" w:rsidP="00164DBA">
            <w:pPr>
              <w:spacing w:after="60"/>
              <w:rPr>
                <w:rFonts w:eastAsia="Calibri" w:cs="Arial"/>
                <w:sz w:val="14"/>
                <w:szCs w:val="14"/>
                <w:lang w:eastAsia="en-US"/>
              </w:rPr>
            </w:pPr>
            <w:r w:rsidRPr="000268F6">
              <w:rPr>
                <w:rFonts w:eastAsia="Calibri" w:cs="Arial"/>
                <w:sz w:val="14"/>
                <w:szCs w:val="14"/>
                <w:lang w:eastAsia="en-US"/>
              </w:rPr>
              <w:t>$</w:t>
            </w:r>
            <w:r w:rsidR="00164DBA">
              <w:rPr>
                <w:rFonts w:eastAsia="Calibri" w:cs="Arial"/>
                <w:sz w:val="14"/>
                <w:szCs w:val="14"/>
                <w:lang w:eastAsia="en-US"/>
              </w:rPr>
              <w:t>69,667.68</w:t>
            </w:r>
            <w:r w:rsidRPr="000268F6">
              <w:rPr>
                <w:rFonts w:eastAsia="Calibri" w:cs="Arial"/>
                <w:sz w:val="14"/>
                <w:szCs w:val="14"/>
                <w:lang w:eastAsia="en-US"/>
              </w:rPr>
              <w:t xml:space="preserve"> (non-economic loss)</w:t>
            </w:r>
          </w:p>
        </w:tc>
        <w:tc>
          <w:tcPr>
            <w:tcW w:w="1105" w:type="dxa"/>
            <w:shd w:val="clear" w:color="auto" w:fill="FFC9C9"/>
            <w:tcMar>
              <w:top w:w="80" w:type="dxa"/>
              <w:left w:w="80" w:type="dxa"/>
              <w:bottom w:w="80" w:type="dxa"/>
              <w:right w:w="80" w:type="dxa"/>
            </w:tcMar>
          </w:tcPr>
          <w:p w14:paraId="670308DB" w14:textId="20C91C79" w:rsidR="000268F6" w:rsidRPr="000268F6" w:rsidRDefault="000268F6" w:rsidP="00D552BE">
            <w:pPr>
              <w:spacing w:after="60"/>
              <w:rPr>
                <w:rFonts w:eastAsia="Calibri" w:cs="Arial"/>
                <w:sz w:val="14"/>
                <w:szCs w:val="14"/>
                <w:lang w:eastAsia="en-US"/>
              </w:rPr>
            </w:pPr>
            <w:r w:rsidRPr="000268F6">
              <w:rPr>
                <w:rFonts w:eastAsia="Calibri" w:cs="Arial"/>
                <w:sz w:val="14"/>
                <w:szCs w:val="14"/>
                <w:lang w:eastAsia="en-US"/>
              </w:rPr>
              <w:t xml:space="preserve">Up to </w:t>
            </w:r>
            <w:r w:rsidR="00F6068C">
              <w:rPr>
                <w:rFonts w:eastAsia="Calibri" w:cs="Arial"/>
                <w:sz w:val="14"/>
                <w:szCs w:val="14"/>
                <w:lang w:eastAsia="en-US"/>
              </w:rPr>
              <w:br/>
            </w:r>
            <w:r w:rsidRPr="000268F6">
              <w:rPr>
                <w:rFonts w:eastAsia="Calibri" w:cs="Arial"/>
                <w:sz w:val="14"/>
                <w:szCs w:val="14"/>
                <w:lang w:eastAsia="en-US"/>
              </w:rPr>
              <w:t>$</w:t>
            </w:r>
            <w:r w:rsidR="00D552BE">
              <w:rPr>
                <w:rFonts w:eastAsia="Calibri" w:cs="Arial"/>
                <w:sz w:val="14"/>
                <w:szCs w:val="14"/>
                <w:lang w:eastAsia="en-US"/>
              </w:rPr>
              <w:t>455,711.72</w:t>
            </w:r>
            <w:r w:rsidRPr="000268F6">
              <w:rPr>
                <w:rFonts w:eastAsia="Calibri" w:cs="Arial"/>
                <w:sz w:val="14"/>
                <w:szCs w:val="14"/>
                <w:lang w:eastAsia="en-US"/>
              </w:rPr>
              <w:t xml:space="preserve"> (or up to </w:t>
            </w:r>
            <w:r w:rsidR="00F6068C">
              <w:rPr>
                <w:rFonts w:eastAsia="Calibri" w:cs="Arial"/>
                <w:sz w:val="14"/>
                <w:szCs w:val="14"/>
                <w:lang w:eastAsia="en-US"/>
              </w:rPr>
              <w:br/>
            </w:r>
            <w:r w:rsidRPr="000268F6">
              <w:rPr>
                <w:rFonts w:eastAsia="Calibri" w:cs="Arial"/>
                <w:sz w:val="14"/>
                <w:szCs w:val="14"/>
                <w:lang w:eastAsia="en-US"/>
              </w:rPr>
              <w:t>$</w:t>
            </w:r>
            <w:r w:rsidR="00D552BE">
              <w:rPr>
                <w:rFonts w:eastAsia="Calibri" w:cs="Arial"/>
                <w:sz w:val="14"/>
                <w:szCs w:val="14"/>
                <w:lang w:eastAsia="en-US"/>
              </w:rPr>
              <w:t>340.77</w:t>
            </w:r>
            <w:r w:rsidRPr="000268F6">
              <w:rPr>
                <w:rFonts w:eastAsia="Calibri" w:cs="Arial"/>
                <w:sz w:val="14"/>
                <w:szCs w:val="14"/>
                <w:lang w:eastAsia="en-US"/>
              </w:rPr>
              <w:t xml:space="preserve"> pw) + $</w:t>
            </w:r>
            <w:r w:rsidR="00D552BE">
              <w:rPr>
                <w:rFonts w:eastAsia="Calibri" w:cs="Arial"/>
                <w:sz w:val="14"/>
                <w:szCs w:val="14"/>
                <w:lang w:eastAsia="en-US"/>
              </w:rPr>
              <w:t>87,726.20</w:t>
            </w:r>
            <w:r w:rsidRPr="000268F6">
              <w:rPr>
                <w:rFonts w:eastAsia="Calibri" w:cs="Arial"/>
                <w:sz w:val="14"/>
                <w:szCs w:val="14"/>
                <w:lang w:eastAsia="en-US"/>
              </w:rPr>
              <w:t xml:space="preserve"> for each dependent child if on 80 or more impairment points + </w:t>
            </w:r>
            <w:r w:rsidR="00F6068C">
              <w:rPr>
                <w:rFonts w:eastAsia="Calibri" w:cs="Arial"/>
                <w:sz w:val="14"/>
                <w:szCs w:val="14"/>
                <w:lang w:eastAsia="en-US"/>
              </w:rPr>
              <w:br/>
            </w:r>
            <w:r w:rsidRPr="000268F6">
              <w:rPr>
                <w:rFonts w:eastAsia="Calibri" w:cs="Arial"/>
                <w:sz w:val="14"/>
                <w:szCs w:val="14"/>
                <w:lang w:eastAsia="en-US"/>
              </w:rPr>
              <w:t>$</w:t>
            </w:r>
            <w:r w:rsidR="00D552BE">
              <w:rPr>
                <w:rFonts w:eastAsia="Calibri" w:cs="Arial"/>
                <w:sz w:val="14"/>
                <w:szCs w:val="14"/>
                <w:lang w:eastAsia="en-US"/>
              </w:rPr>
              <w:t>2,587.55</w:t>
            </w:r>
            <w:r w:rsidRPr="000268F6">
              <w:rPr>
                <w:rFonts w:eastAsia="Calibri" w:cs="Arial"/>
                <w:sz w:val="14"/>
                <w:szCs w:val="14"/>
                <w:lang w:eastAsia="en-US"/>
              </w:rPr>
              <w:t xml:space="preserve"> financial and legal advice if on 50 or more impairment points</w:t>
            </w:r>
          </w:p>
        </w:tc>
        <w:tc>
          <w:tcPr>
            <w:tcW w:w="1093" w:type="dxa"/>
            <w:shd w:val="clear" w:color="auto" w:fill="FFC9C9"/>
          </w:tcPr>
          <w:p w14:paraId="7A77B02B" w14:textId="61614E2E" w:rsidR="000268F6" w:rsidRPr="000268F6" w:rsidRDefault="000268F6" w:rsidP="00DF5481">
            <w:pPr>
              <w:spacing w:after="60"/>
              <w:ind w:left="110"/>
              <w:rPr>
                <w:rFonts w:eastAsia="Calibri" w:cs="Arial"/>
                <w:sz w:val="14"/>
                <w:szCs w:val="14"/>
                <w:lang w:eastAsia="en-US"/>
              </w:rPr>
            </w:pPr>
            <w:r w:rsidRPr="000268F6">
              <w:rPr>
                <w:rFonts w:eastAsia="Calibri" w:cs="Arial"/>
                <w:sz w:val="14"/>
                <w:szCs w:val="14"/>
                <w:lang w:eastAsia="en-US"/>
              </w:rPr>
              <w:t xml:space="preserve">Up to </w:t>
            </w:r>
            <w:r w:rsidR="00153F5B">
              <w:rPr>
                <w:rFonts w:eastAsia="Calibri" w:cs="Arial"/>
                <w:sz w:val="14"/>
                <w:szCs w:val="14"/>
                <w:lang w:eastAsia="en-US"/>
              </w:rPr>
              <w:t>$</w:t>
            </w:r>
            <w:r w:rsidR="00E368CE">
              <w:rPr>
                <w:rFonts w:eastAsia="Calibri" w:cs="Arial"/>
                <w:sz w:val="14"/>
                <w:szCs w:val="14"/>
                <w:lang w:eastAsia="en-US"/>
              </w:rPr>
              <w:t>136,705.79</w:t>
            </w:r>
            <w:r w:rsidR="00F6068C">
              <w:rPr>
                <w:rFonts w:eastAsia="Calibri" w:cs="Arial"/>
                <w:sz w:val="14"/>
                <w:szCs w:val="14"/>
                <w:lang w:eastAsia="en-US"/>
              </w:rPr>
              <w:t xml:space="preserve"> lump sum payment</w:t>
            </w:r>
          </w:p>
        </w:tc>
      </w:tr>
      <w:tr w:rsidR="00FF68C4" w:rsidRPr="000268F6" w14:paraId="7302740E" w14:textId="77777777" w:rsidTr="008B24D1">
        <w:tc>
          <w:tcPr>
            <w:tcW w:w="1112" w:type="dxa"/>
            <w:tcMar>
              <w:top w:w="80" w:type="dxa"/>
              <w:left w:w="80" w:type="dxa"/>
              <w:bottom w:w="80" w:type="dxa"/>
              <w:right w:w="80" w:type="dxa"/>
            </w:tcMar>
          </w:tcPr>
          <w:p w14:paraId="26426C20" w14:textId="3C4131A9"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t>Limits—medical and hospital</w:t>
            </w:r>
            <w:r w:rsidR="003B3E5B">
              <w:rPr>
                <w:rFonts w:eastAsia="Calibri" w:cs="Arial"/>
                <w:b/>
                <w:sz w:val="16"/>
                <w:szCs w:val="16"/>
                <w:lang w:eastAsia="en-US"/>
              </w:rPr>
              <w:fldChar w:fldCharType="begin"/>
            </w:r>
            <w:r w:rsidR="003B3E5B">
              <w:instrText xml:space="preserve"> XE "</w:instrText>
            </w:r>
            <w:r w:rsidR="003B3E5B" w:rsidRPr="00AA4D8F">
              <w:instrText>medical, hospital and other costs:entitlement limits</w:instrText>
            </w:r>
            <w:r w:rsidR="003B3E5B">
              <w:instrText xml:space="preserve">" </w:instrText>
            </w:r>
            <w:r w:rsidR="003B3E5B">
              <w:rPr>
                <w:rFonts w:eastAsia="Calibri" w:cs="Arial"/>
                <w:b/>
                <w:sz w:val="16"/>
                <w:szCs w:val="16"/>
                <w:lang w:eastAsia="en-US"/>
              </w:rPr>
              <w:fldChar w:fldCharType="end"/>
            </w:r>
          </w:p>
        </w:tc>
        <w:tc>
          <w:tcPr>
            <w:tcW w:w="1125" w:type="dxa"/>
            <w:tcMar>
              <w:top w:w="80" w:type="dxa"/>
              <w:left w:w="80" w:type="dxa"/>
              <w:bottom w:w="80" w:type="dxa"/>
              <w:right w:w="80" w:type="dxa"/>
            </w:tcMar>
          </w:tcPr>
          <w:p w14:paraId="5D3ADA32" w14:textId="77777777" w:rsidR="003035F0" w:rsidRPr="003035F0" w:rsidRDefault="003035F0" w:rsidP="00B21723">
            <w:pPr>
              <w:pStyle w:val="Table7pttext"/>
              <w:spacing w:after="60"/>
            </w:pPr>
            <w:r w:rsidRPr="003035F0">
              <w:t xml:space="preserve">Medical </w:t>
            </w:r>
          </w:p>
          <w:p w14:paraId="35D19073" w14:textId="22AF3ED2" w:rsidR="003035F0" w:rsidRPr="003035F0" w:rsidRDefault="003035F0" w:rsidP="00B21723">
            <w:pPr>
              <w:pStyle w:val="Table7pttext"/>
              <w:spacing w:after="60"/>
            </w:pPr>
            <w:r w:rsidRPr="003035F0">
              <w:t>1) if over 20% permanent impairment</w:t>
            </w:r>
            <w:r w:rsidR="00F6068C">
              <w:t xml:space="preserve"> - No compensation period limit</w:t>
            </w:r>
            <w:r w:rsidRPr="003035F0">
              <w:t xml:space="preserve"> </w:t>
            </w:r>
          </w:p>
          <w:p w14:paraId="439F4EEA" w14:textId="3D3461F5" w:rsidR="003035F0" w:rsidRPr="003035F0" w:rsidRDefault="003035F0" w:rsidP="00B21723">
            <w:pPr>
              <w:pStyle w:val="Table7pttext"/>
              <w:spacing w:after="60"/>
            </w:pPr>
            <w:r w:rsidRPr="003035F0">
              <w:t xml:space="preserve">2) if 11-20% permanent impairment, 5 years after weekly </w:t>
            </w:r>
            <w:r w:rsidR="008B3283">
              <w:t>p</w:t>
            </w:r>
            <w:r w:rsidRPr="003035F0">
              <w:t xml:space="preserve">ayments cease to be payable or from the date of claim if no weekly payments are payable </w:t>
            </w:r>
          </w:p>
          <w:p w14:paraId="51A33741" w14:textId="0F506F58" w:rsidR="000268F6" w:rsidRPr="003035F0" w:rsidRDefault="003035F0" w:rsidP="008B3283">
            <w:pPr>
              <w:spacing w:after="60"/>
              <w:rPr>
                <w:rFonts w:eastAsia="Calibri" w:cs="Arial"/>
                <w:sz w:val="14"/>
                <w:szCs w:val="14"/>
                <w:lang w:eastAsia="en-US"/>
              </w:rPr>
            </w:pPr>
            <w:r w:rsidRPr="003035F0">
              <w:rPr>
                <w:sz w:val="14"/>
                <w:szCs w:val="14"/>
              </w:rPr>
              <w:t xml:space="preserve">3) if &lt;11% permanent impairment, 2 years after weekly payments cease to be payable or from the date of claim if no weekly payments are payable (see further </w:t>
            </w:r>
            <w:hyperlink r:id="rId264" w:history="1">
              <w:r w:rsidRPr="008B3283">
                <w:rPr>
                  <w:rStyle w:val="Hyperlink"/>
                  <w:sz w:val="14"/>
                  <w:szCs w:val="14"/>
                </w:rPr>
                <w:t>s59A</w:t>
              </w:r>
            </w:hyperlink>
            <w:r w:rsidRPr="003035F0">
              <w:rPr>
                <w:sz w:val="14"/>
                <w:szCs w:val="14"/>
              </w:rPr>
              <w:t xml:space="preserve"> </w:t>
            </w:r>
            <w:r w:rsidRPr="003035F0">
              <w:rPr>
                <w:sz w:val="14"/>
                <w:szCs w:val="14"/>
              </w:rPr>
              <w:lastRenderedPageBreak/>
              <w:t>1987 Act)</w:t>
            </w:r>
            <w:r w:rsidR="00D938CD">
              <w:rPr>
                <w:sz w:val="14"/>
                <w:szCs w:val="14"/>
              </w:rPr>
              <w:t>.</w:t>
            </w:r>
            <w:r w:rsidRPr="003035F0">
              <w:rPr>
                <w:sz w:val="14"/>
                <w:szCs w:val="14"/>
              </w:rPr>
              <w:t xml:space="preserve"> Some medical treatment and services are exempt. See </w:t>
            </w:r>
            <w:hyperlink r:id="rId265" w:history="1">
              <w:r w:rsidRPr="008B3283">
                <w:rPr>
                  <w:rStyle w:val="Hyperlink"/>
                  <w:sz w:val="14"/>
                  <w:szCs w:val="14"/>
                </w:rPr>
                <w:t>s59A</w:t>
              </w:r>
            </w:hyperlink>
            <w:r w:rsidRPr="003035F0">
              <w:rPr>
                <w:sz w:val="14"/>
                <w:szCs w:val="14"/>
              </w:rPr>
              <w:t>, 1987 Act</w:t>
            </w:r>
            <w:r w:rsidR="00E32E61">
              <w:rPr>
                <w:sz w:val="14"/>
                <w:szCs w:val="14"/>
              </w:rPr>
              <w:t>.</w:t>
            </w:r>
            <w:r w:rsidRPr="003035F0">
              <w:rPr>
                <w:sz w:val="14"/>
                <w:szCs w:val="14"/>
              </w:rPr>
              <w:t xml:space="preserve"> </w:t>
            </w:r>
          </w:p>
        </w:tc>
        <w:tc>
          <w:tcPr>
            <w:tcW w:w="1101" w:type="dxa"/>
            <w:tcMar>
              <w:top w:w="80" w:type="dxa"/>
              <w:left w:w="80" w:type="dxa"/>
              <w:bottom w:w="80" w:type="dxa"/>
              <w:right w:w="80" w:type="dxa"/>
            </w:tcMar>
          </w:tcPr>
          <w:p w14:paraId="7D8BA70E" w14:textId="5E371A02" w:rsidR="000268F6" w:rsidRPr="003035F0" w:rsidRDefault="000268F6" w:rsidP="00B21723">
            <w:pPr>
              <w:spacing w:after="60"/>
              <w:rPr>
                <w:rFonts w:eastAsia="Calibri" w:cs="Arial"/>
                <w:sz w:val="14"/>
                <w:szCs w:val="14"/>
                <w:lang w:eastAsia="en-US"/>
              </w:rPr>
            </w:pPr>
            <w:r w:rsidRPr="003035F0">
              <w:rPr>
                <w:rFonts w:eastAsia="Calibri" w:cs="Arial"/>
                <w:sz w:val="14"/>
                <w:szCs w:val="14"/>
                <w:lang w:eastAsia="en-US"/>
              </w:rPr>
              <w:lastRenderedPageBreak/>
              <w:t>52 weeks fr</w:t>
            </w:r>
            <w:r w:rsidR="00F6068C">
              <w:rPr>
                <w:rFonts w:eastAsia="Calibri" w:cs="Arial"/>
                <w:sz w:val="14"/>
                <w:szCs w:val="14"/>
                <w:lang w:eastAsia="en-US"/>
              </w:rPr>
              <w:t>om cessation of weekly payments</w:t>
            </w:r>
            <w:r w:rsidRPr="003035F0">
              <w:rPr>
                <w:rFonts w:eastAsia="Calibri" w:cs="Arial"/>
                <w:sz w:val="14"/>
                <w:szCs w:val="14"/>
                <w:vertAlign w:val="superscript"/>
                <w:lang w:eastAsia="en-US"/>
              </w:rPr>
              <w:t>d</w:t>
            </w:r>
          </w:p>
        </w:tc>
        <w:tc>
          <w:tcPr>
            <w:tcW w:w="1125" w:type="dxa"/>
            <w:tcMar>
              <w:top w:w="80" w:type="dxa"/>
              <w:left w:w="80" w:type="dxa"/>
              <w:bottom w:w="80" w:type="dxa"/>
              <w:right w:w="80" w:type="dxa"/>
            </w:tcMar>
          </w:tcPr>
          <w:p w14:paraId="7194BA3F" w14:textId="3ACC93B1"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Medical — no limit. Hospital —</w:t>
            </w:r>
            <w:r w:rsidR="00F6068C">
              <w:rPr>
                <w:rFonts w:eastAsia="Calibri" w:cs="Arial"/>
                <w:sz w:val="14"/>
                <w:szCs w:val="14"/>
                <w:lang w:eastAsia="en-US"/>
              </w:rPr>
              <w:t xml:space="preserve"> 4 days (&gt;4 days if reasonable)</w:t>
            </w:r>
          </w:p>
        </w:tc>
        <w:tc>
          <w:tcPr>
            <w:tcW w:w="1125" w:type="dxa"/>
            <w:tcMar>
              <w:top w:w="80" w:type="dxa"/>
              <w:left w:w="80" w:type="dxa"/>
              <w:bottom w:w="80" w:type="dxa"/>
              <w:right w:w="80" w:type="dxa"/>
            </w:tcMar>
          </w:tcPr>
          <w:p w14:paraId="71B9EDF5" w14:textId="5A5B3E41" w:rsidR="000268F6" w:rsidRPr="000268F6" w:rsidRDefault="000268F6" w:rsidP="009F384D">
            <w:pPr>
              <w:spacing w:after="60"/>
              <w:rPr>
                <w:rFonts w:eastAsia="Calibri" w:cs="Arial"/>
                <w:sz w:val="14"/>
                <w:szCs w:val="14"/>
                <w:lang w:eastAsia="en-US"/>
              </w:rPr>
            </w:pPr>
            <w:r w:rsidRPr="000268F6">
              <w:rPr>
                <w:rFonts w:eastAsia="Calibri" w:cs="Arial"/>
                <w:sz w:val="14"/>
                <w:szCs w:val="14"/>
                <w:lang w:eastAsia="en-US"/>
              </w:rPr>
              <w:t>$</w:t>
            </w:r>
            <w:r w:rsidR="009F384D">
              <w:rPr>
                <w:rFonts w:eastAsia="Calibri" w:cs="Arial"/>
                <w:sz w:val="14"/>
                <w:szCs w:val="14"/>
                <w:lang w:eastAsia="en-US"/>
              </w:rPr>
              <w:t>67,476.00</w:t>
            </w:r>
            <w:r w:rsidRPr="000268F6">
              <w:rPr>
                <w:rFonts w:eastAsia="Calibri" w:cs="Arial"/>
                <w:sz w:val="14"/>
                <w:szCs w:val="14"/>
                <w:lang w:eastAsia="en-US"/>
              </w:rPr>
              <w:t xml:space="preserve"> + $50</w:t>
            </w:r>
            <w:r w:rsidR="009F384D">
              <w:rPr>
                <w:rFonts w:eastAsia="Calibri" w:cs="Arial"/>
                <w:sz w:val="14"/>
                <w:szCs w:val="14"/>
                <w:lang w:eastAsia="en-US"/>
              </w:rPr>
              <w:t>,</w:t>
            </w:r>
            <w:r w:rsidRPr="000268F6">
              <w:rPr>
                <w:rFonts w:eastAsia="Calibri" w:cs="Arial"/>
                <w:sz w:val="14"/>
                <w:szCs w:val="14"/>
                <w:lang w:eastAsia="en-US"/>
              </w:rPr>
              <w:t>000 in special circumstances</w:t>
            </w:r>
          </w:p>
        </w:tc>
        <w:tc>
          <w:tcPr>
            <w:tcW w:w="1108" w:type="dxa"/>
            <w:tcMar>
              <w:top w:w="80" w:type="dxa"/>
              <w:left w:w="80" w:type="dxa"/>
              <w:bottom w:w="80" w:type="dxa"/>
              <w:right w:w="80" w:type="dxa"/>
            </w:tcMar>
          </w:tcPr>
          <w:p w14:paraId="04EABF93" w14:textId="6F4AAD44"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 xml:space="preserve">No financial limit, but entitlements for non-seriously injured workers cease 1 year after end of weekly payments or 1 year after claim was made </w:t>
            </w:r>
            <w:hyperlink r:id="rId266" w:history="1">
              <w:r w:rsidR="008B3283">
                <w:rPr>
                  <w:rFonts w:eastAsia="Calibri" w:cs="Arial"/>
                  <w:color w:val="0000FF"/>
                  <w:sz w:val="14"/>
                  <w:szCs w:val="14"/>
                  <w:u w:val="single"/>
                  <w:lang w:eastAsia="en-US"/>
                </w:rPr>
                <w:t xml:space="preserve">s33(20). </w:t>
              </w:r>
            </w:hyperlink>
            <w:r w:rsidRPr="000268F6">
              <w:rPr>
                <w:rFonts w:eastAsia="Calibri" w:cs="Arial"/>
                <w:sz w:val="14"/>
                <w:szCs w:val="14"/>
                <w:lang w:eastAsia="en-US"/>
              </w:rPr>
              <w:t xml:space="preserve"> </w:t>
            </w:r>
          </w:p>
          <w:p w14:paraId="4D6733A1" w14:textId="24E9E2AF"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 xml:space="preserve">For seriously injured workers, lifetime care and support </w:t>
            </w:r>
            <w:hyperlink r:id="rId267" w:history="1">
              <w:r w:rsidR="008B3283">
                <w:rPr>
                  <w:rFonts w:eastAsia="Calibri" w:cs="Arial"/>
                  <w:color w:val="0000FF"/>
                  <w:sz w:val="14"/>
                  <w:szCs w:val="14"/>
                  <w:u w:val="single"/>
                  <w:lang w:eastAsia="en-US"/>
                </w:rPr>
                <w:t>s33(21)</w:t>
              </w:r>
            </w:hyperlink>
          </w:p>
        </w:tc>
        <w:tc>
          <w:tcPr>
            <w:tcW w:w="1130" w:type="dxa"/>
            <w:tcMar>
              <w:top w:w="80" w:type="dxa"/>
              <w:left w:w="80" w:type="dxa"/>
              <w:bottom w:w="80" w:type="dxa"/>
              <w:right w:w="80" w:type="dxa"/>
            </w:tcMar>
          </w:tcPr>
          <w:p w14:paraId="0B349184" w14:textId="17FBBF5B"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 xml:space="preserve">No limit, but entitlements cease either after 1 year of weekly benefits cessation or 1 year after claim was made. unless the Tribunal makes a relevant determination </w:t>
            </w:r>
            <w:hyperlink r:id="rId268" w:history="1">
              <w:r w:rsidRPr="000268F6">
                <w:rPr>
                  <w:rFonts w:eastAsia="Calibri" w:cs="Arial"/>
                  <w:color w:val="0000FF"/>
                  <w:sz w:val="14"/>
                  <w:szCs w:val="14"/>
                  <w:u w:val="single"/>
                  <w:lang w:eastAsia="en-US"/>
                </w:rPr>
                <w:t>s75</w:t>
              </w:r>
            </w:hyperlink>
          </w:p>
        </w:tc>
        <w:tc>
          <w:tcPr>
            <w:tcW w:w="1126" w:type="dxa"/>
            <w:tcMar>
              <w:top w:w="80" w:type="dxa"/>
              <w:left w:w="80" w:type="dxa"/>
              <w:bottom w:w="80" w:type="dxa"/>
              <w:right w:w="80" w:type="dxa"/>
            </w:tcMar>
          </w:tcPr>
          <w:p w14:paraId="4AF978DC" w14:textId="77777777" w:rsidR="000268F6" w:rsidRDefault="00F6068C" w:rsidP="00B21723">
            <w:pPr>
              <w:spacing w:after="60"/>
              <w:rPr>
                <w:rFonts w:eastAsia="Calibri" w:cs="Arial"/>
                <w:sz w:val="14"/>
                <w:szCs w:val="14"/>
                <w:lang w:eastAsia="en-US"/>
              </w:rPr>
            </w:pPr>
            <w:r>
              <w:rPr>
                <w:rFonts w:eastAsia="Calibri" w:cs="Arial"/>
                <w:sz w:val="14"/>
                <w:szCs w:val="14"/>
                <w:lang w:eastAsia="en-US"/>
              </w:rPr>
              <w:t>No limit</w:t>
            </w:r>
          </w:p>
          <w:p w14:paraId="7ABF2940" w14:textId="658DB20E" w:rsidR="00F90303" w:rsidRPr="000268F6" w:rsidRDefault="00F90303" w:rsidP="00B21723">
            <w:pPr>
              <w:spacing w:after="60"/>
              <w:rPr>
                <w:rFonts w:eastAsia="Calibri" w:cs="Arial"/>
                <w:sz w:val="14"/>
                <w:szCs w:val="14"/>
                <w:lang w:eastAsia="en-US"/>
              </w:rPr>
            </w:pPr>
            <w:r>
              <w:rPr>
                <w:rFonts w:eastAsia="Calibri" w:cs="Arial"/>
                <w:sz w:val="14"/>
                <w:szCs w:val="14"/>
                <w:lang w:eastAsia="en-US"/>
              </w:rPr>
              <w:t>After 260 weeks of paid weekly compensation, medical entitlement ceases after a further 12 months if WPI is less than 15%</w:t>
            </w:r>
          </w:p>
        </w:tc>
        <w:tc>
          <w:tcPr>
            <w:tcW w:w="1105" w:type="dxa"/>
            <w:tcMar>
              <w:top w:w="80" w:type="dxa"/>
              <w:left w:w="80" w:type="dxa"/>
              <w:bottom w:w="80" w:type="dxa"/>
              <w:right w:w="80" w:type="dxa"/>
            </w:tcMar>
          </w:tcPr>
          <w:p w14:paraId="129E7437" w14:textId="5E8A2B6A" w:rsidR="000268F6" w:rsidRPr="000268F6" w:rsidRDefault="00F6068C" w:rsidP="00B21723">
            <w:pPr>
              <w:spacing w:after="60"/>
              <w:rPr>
                <w:rFonts w:eastAsia="Calibri" w:cs="Arial"/>
                <w:sz w:val="14"/>
                <w:szCs w:val="14"/>
                <w:lang w:eastAsia="en-US"/>
              </w:rPr>
            </w:pPr>
            <w:r>
              <w:rPr>
                <w:rFonts w:eastAsia="Calibri" w:cs="Arial"/>
                <w:sz w:val="14"/>
                <w:szCs w:val="14"/>
                <w:lang w:eastAsia="en-US"/>
              </w:rPr>
              <w:t>No limit</w:t>
            </w:r>
          </w:p>
        </w:tc>
        <w:tc>
          <w:tcPr>
            <w:tcW w:w="1133" w:type="dxa"/>
            <w:tcMar>
              <w:top w:w="80" w:type="dxa"/>
              <w:left w:w="80" w:type="dxa"/>
              <w:bottom w:w="80" w:type="dxa"/>
              <w:right w:w="80" w:type="dxa"/>
            </w:tcMar>
          </w:tcPr>
          <w:p w14:paraId="63DD0E1D" w14:textId="56E79AF9" w:rsidR="000268F6" w:rsidRPr="000268F6" w:rsidRDefault="00F6068C" w:rsidP="00B21723">
            <w:pPr>
              <w:spacing w:after="60"/>
              <w:rPr>
                <w:rFonts w:eastAsia="Calibri" w:cs="Arial"/>
                <w:sz w:val="14"/>
                <w:szCs w:val="14"/>
                <w:lang w:eastAsia="en-US"/>
              </w:rPr>
            </w:pPr>
            <w:r>
              <w:rPr>
                <w:rFonts w:eastAsia="Calibri" w:cs="Arial"/>
                <w:sz w:val="14"/>
                <w:szCs w:val="14"/>
                <w:lang w:eastAsia="en-US"/>
              </w:rPr>
              <w:t>No limit</w:t>
            </w:r>
          </w:p>
        </w:tc>
        <w:tc>
          <w:tcPr>
            <w:tcW w:w="1133" w:type="dxa"/>
            <w:tcMar>
              <w:top w:w="79" w:type="dxa"/>
              <w:left w:w="79" w:type="dxa"/>
              <w:bottom w:w="79" w:type="dxa"/>
              <w:right w:w="79" w:type="dxa"/>
            </w:tcMar>
          </w:tcPr>
          <w:p w14:paraId="327347DA" w14:textId="4B2D7F05" w:rsidR="000268F6" w:rsidRPr="000268F6" w:rsidRDefault="00F6068C" w:rsidP="00B21723">
            <w:pPr>
              <w:spacing w:after="60"/>
              <w:rPr>
                <w:rFonts w:eastAsia="Calibri" w:cs="Arial"/>
                <w:sz w:val="14"/>
                <w:szCs w:val="14"/>
                <w:lang w:eastAsia="en-US"/>
              </w:rPr>
            </w:pPr>
            <w:r>
              <w:rPr>
                <w:rFonts w:eastAsia="Calibri" w:cs="Arial"/>
                <w:sz w:val="14"/>
                <w:szCs w:val="14"/>
                <w:lang w:eastAsia="en-US"/>
              </w:rPr>
              <w:t>No limit</w:t>
            </w:r>
          </w:p>
        </w:tc>
        <w:tc>
          <w:tcPr>
            <w:tcW w:w="1105" w:type="dxa"/>
            <w:tcMar>
              <w:top w:w="80" w:type="dxa"/>
              <w:left w:w="80" w:type="dxa"/>
              <w:bottom w:w="80" w:type="dxa"/>
              <w:right w:w="80" w:type="dxa"/>
            </w:tcMar>
          </w:tcPr>
          <w:p w14:paraId="0B983D75" w14:textId="7BFCA12F" w:rsidR="000268F6" w:rsidRPr="000268F6" w:rsidRDefault="00F6068C" w:rsidP="00B21723">
            <w:pPr>
              <w:spacing w:after="60"/>
              <w:rPr>
                <w:rFonts w:eastAsia="Calibri" w:cs="Arial"/>
                <w:sz w:val="14"/>
                <w:szCs w:val="14"/>
                <w:lang w:eastAsia="en-US"/>
              </w:rPr>
            </w:pPr>
            <w:r>
              <w:rPr>
                <w:rFonts w:eastAsia="Calibri" w:cs="Arial"/>
                <w:sz w:val="14"/>
                <w:szCs w:val="14"/>
                <w:lang w:eastAsia="en-US"/>
              </w:rPr>
              <w:t>No limit</w:t>
            </w:r>
          </w:p>
        </w:tc>
        <w:tc>
          <w:tcPr>
            <w:tcW w:w="1093" w:type="dxa"/>
          </w:tcPr>
          <w:p w14:paraId="6A7A5B03" w14:textId="014036A0" w:rsidR="000268F6" w:rsidRPr="000268F6" w:rsidRDefault="00F6068C" w:rsidP="00DF5481">
            <w:pPr>
              <w:spacing w:after="60"/>
              <w:ind w:left="110"/>
              <w:rPr>
                <w:rFonts w:eastAsia="Calibri" w:cs="Arial"/>
                <w:sz w:val="14"/>
                <w:szCs w:val="14"/>
                <w:lang w:eastAsia="en-US"/>
              </w:rPr>
            </w:pPr>
            <w:r>
              <w:rPr>
                <w:rFonts w:eastAsia="Calibri" w:cs="Arial"/>
                <w:sz w:val="14"/>
                <w:szCs w:val="14"/>
                <w:lang w:eastAsia="en-US"/>
              </w:rPr>
              <w:t>No limit</w:t>
            </w:r>
          </w:p>
        </w:tc>
      </w:tr>
      <w:tr w:rsidR="00FF68C4" w:rsidRPr="000268F6" w14:paraId="0E3515F9" w14:textId="77777777" w:rsidTr="008B24D1">
        <w:tc>
          <w:tcPr>
            <w:tcW w:w="1112" w:type="dxa"/>
            <w:shd w:val="clear" w:color="auto" w:fill="FFC9C9"/>
            <w:tcMar>
              <w:top w:w="80" w:type="dxa"/>
              <w:left w:w="80" w:type="dxa"/>
              <w:bottom w:w="80" w:type="dxa"/>
              <w:right w:w="80" w:type="dxa"/>
            </w:tcMar>
          </w:tcPr>
          <w:p w14:paraId="1244144E" w14:textId="518A2F3B" w:rsidR="008D7200" w:rsidRPr="000268F6" w:rsidRDefault="008D7200" w:rsidP="00B21723">
            <w:pPr>
              <w:spacing w:after="60"/>
              <w:rPr>
                <w:rFonts w:eastAsia="Calibri" w:cs="Arial"/>
                <w:b/>
                <w:sz w:val="16"/>
                <w:szCs w:val="16"/>
                <w:lang w:eastAsia="en-US"/>
              </w:rPr>
            </w:pPr>
            <w:r>
              <w:rPr>
                <w:rFonts w:eastAsia="Calibri" w:cs="Arial"/>
                <w:b/>
                <w:sz w:val="16"/>
                <w:szCs w:val="16"/>
                <w:lang w:eastAsia="en-US"/>
              </w:rPr>
              <w:t>Special entitlements</w:t>
            </w:r>
          </w:p>
        </w:tc>
        <w:tc>
          <w:tcPr>
            <w:tcW w:w="1125" w:type="dxa"/>
            <w:shd w:val="clear" w:color="auto" w:fill="FFC9C9"/>
            <w:tcMar>
              <w:top w:w="80" w:type="dxa"/>
              <w:left w:w="80" w:type="dxa"/>
              <w:bottom w:w="80" w:type="dxa"/>
              <w:right w:w="80" w:type="dxa"/>
            </w:tcMar>
          </w:tcPr>
          <w:p w14:paraId="58CBB8F8" w14:textId="7EA1A74C"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c>
          <w:tcPr>
            <w:tcW w:w="1101" w:type="dxa"/>
            <w:shd w:val="clear" w:color="auto" w:fill="FFC9C9"/>
            <w:tcMar>
              <w:top w:w="80" w:type="dxa"/>
              <w:left w:w="80" w:type="dxa"/>
              <w:bottom w:w="80" w:type="dxa"/>
              <w:right w:w="80" w:type="dxa"/>
            </w:tcMar>
          </w:tcPr>
          <w:p w14:paraId="1A83EA9F" w14:textId="25EA007D" w:rsidR="008D7200" w:rsidRPr="000268F6" w:rsidRDefault="008D7200" w:rsidP="00EA5E24">
            <w:pPr>
              <w:spacing w:after="60"/>
              <w:rPr>
                <w:rFonts w:eastAsia="Calibri" w:cs="Arial"/>
                <w:sz w:val="14"/>
                <w:szCs w:val="14"/>
                <w:lang w:eastAsia="en-US"/>
              </w:rPr>
            </w:pPr>
            <w:r>
              <w:rPr>
                <w:rFonts w:eastAsia="Calibri" w:cs="Arial"/>
                <w:sz w:val="14"/>
                <w:szCs w:val="14"/>
                <w:lang w:eastAsia="en-US"/>
              </w:rPr>
              <w:t>—</w:t>
            </w:r>
          </w:p>
        </w:tc>
        <w:tc>
          <w:tcPr>
            <w:tcW w:w="1125" w:type="dxa"/>
            <w:shd w:val="clear" w:color="auto" w:fill="FFC9C9"/>
            <w:tcMar>
              <w:top w:w="80" w:type="dxa"/>
              <w:left w:w="80" w:type="dxa"/>
              <w:bottom w:w="0" w:type="dxa"/>
              <w:right w:w="80" w:type="dxa"/>
            </w:tcMar>
          </w:tcPr>
          <w:p w14:paraId="4BA17245" w14:textId="77777777" w:rsidR="008D7200" w:rsidRPr="00916685" w:rsidRDefault="008D7200" w:rsidP="008D7200">
            <w:pPr>
              <w:spacing w:after="60"/>
              <w:rPr>
                <w:rFonts w:eastAsia="Calibri" w:cs="Arial"/>
                <w:sz w:val="14"/>
                <w:szCs w:val="14"/>
                <w:lang w:eastAsia="en-US"/>
              </w:rPr>
            </w:pPr>
            <w:r>
              <w:rPr>
                <w:rFonts w:eastAsia="Calibri" w:cs="Arial"/>
                <w:sz w:val="14"/>
                <w:szCs w:val="14"/>
                <w:lang w:eastAsia="en-US"/>
              </w:rPr>
              <w:t xml:space="preserve">Worker </w:t>
            </w:r>
            <w:r w:rsidRPr="00916685">
              <w:rPr>
                <w:rFonts w:eastAsia="Calibri" w:cs="Arial"/>
                <w:sz w:val="14"/>
                <w:szCs w:val="14"/>
                <w:lang w:eastAsia="en-US"/>
              </w:rPr>
              <w:t>who has sustained an injury that is pneumoconiosis</w:t>
            </w:r>
            <w:r>
              <w:rPr>
                <w:rFonts w:eastAsia="Calibri" w:cs="Arial"/>
                <w:sz w:val="14"/>
                <w:szCs w:val="14"/>
                <w:lang w:eastAsia="en-US"/>
              </w:rPr>
              <w:t xml:space="preserve">: up to $120,000 based on a </w:t>
            </w:r>
            <w:r w:rsidRPr="00916685">
              <w:rPr>
                <w:rFonts w:eastAsia="Calibri" w:cs="Arial"/>
                <w:sz w:val="14"/>
                <w:szCs w:val="14"/>
                <w:lang w:eastAsia="en-US"/>
              </w:rPr>
              <w:t>graduated scale calculated on the basis of—</w:t>
            </w:r>
          </w:p>
          <w:p w14:paraId="0BA9A0FB" w14:textId="77777777" w:rsidR="008D7200" w:rsidRPr="00916685" w:rsidRDefault="008D7200" w:rsidP="008D7200">
            <w:pPr>
              <w:spacing w:after="60"/>
              <w:rPr>
                <w:rFonts w:eastAsia="Calibri" w:cs="Arial"/>
                <w:sz w:val="14"/>
                <w:szCs w:val="14"/>
                <w:lang w:eastAsia="en-US"/>
              </w:rPr>
            </w:pPr>
            <w:r w:rsidRPr="00916685">
              <w:rPr>
                <w:rFonts w:eastAsia="Calibri" w:cs="Arial"/>
                <w:sz w:val="14"/>
                <w:szCs w:val="14"/>
                <w:lang w:eastAsia="en-US"/>
              </w:rPr>
              <w:t>(a) the worker’s pneumoconiosis score; and</w:t>
            </w:r>
          </w:p>
          <w:p w14:paraId="51CC9826" w14:textId="059168F2" w:rsidR="008D7200" w:rsidRPr="000268F6" w:rsidRDefault="008D7200" w:rsidP="008D7200">
            <w:pPr>
              <w:spacing w:after="60"/>
              <w:rPr>
                <w:rFonts w:eastAsia="Calibri" w:cs="Arial"/>
                <w:sz w:val="14"/>
                <w:szCs w:val="14"/>
                <w:lang w:eastAsia="en-US"/>
              </w:rPr>
            </w:pPr>
            <w:r w:rsidRPr="00916685">
              <w:rPr>
                <w:rFonts w:eastAsia="Calibri" w:cs="Arial"/>
                <w:sz w:val="14"/>
                <w:szCs w:val="14"/>
                <w:lang w:eastAsia="en-US"/>
              </w:rPr>
              <w:t>(b) the worker’s lodgement age.</w:t>
            </w:r>
          </w:p>
        </w:tc>
        <w:tc>
          <w:tcPr>
            <w:tcW w:w="1125" w:type="dxa"/>
            <w:shd w:val="clear" w:color="auto" w:fill="FFC9C9"/>
            <w:tcMar>
              <w:top w:w="80" w:type="dxa"/>
              <w:left w:w="80" w:type="dxa"/>
              <w:bottom w:w="80" w:type="dxa"/>
              <w:right w:w="80" w:type="dxa"/>
            </w:tcMar>
          </w:tcPr>
          <w:p w14:paraId="30F5C119" w14:textId="3ED4628F" w:rsidR="008D7200" w:rsidRPr="000268F6" w:rsidRDefault="008D7200" w:rsidP="009F384D">
            <w:pPr>
              <w:spacing w:after="60"/>
              <w:rPr>
                <w:rFonts w:eastAsia="Calibri" w:cs="Arial"/>
                <w:sz w:val="14"/>
                <w:szCs w:val="14"/>
                <w:lang w:eastAsia="en-US"/>
              </w:rPr>
            </w:pPr>
            <w:r>
              <w:rPr>
                <w:rFonts w:eastAsia="Calibri" w:cs="Arial"/>
                <w:sz w:val="14"/>
                <w:szCs w:val="14"/>
                <w:lang w:eastAsia="en-US"/>
              </w:rPr>
              <w:t>—</w:t>
            </w:r>
          </w:p>
        </w:tc>
        <w:tc>
          <w:tcPr>
            <w:tcW w:w="1108" w:type="dxa"/>
            <w:shd w:val="clear" w:color="auto" w:fill="FFC9C9"/>
            <w:tcMar>
              <w:top w:w="80" w:type="dxa"/>
              <w:left w:w="80" w:type="dxa"/>
              <w:bottom w:w="80" w:type="dxa"/>
              <w:right w:w="80" w:type="dxa"/>
            </w:tcMar>
          </w:tcPr>
          <w:p w14:paraId="5EFDA702" w14:textId="5BD3A1AE"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c>
          <w:tcPr>
            <w:tcW w:w="1130" w:type="dxa"/>
            <w:shd w:val="clear" w:color="auto" w:fill="FFC9C9"/>
            <w:tcMar>
              <w:top w:w="80" w:type="dxa"/>
              <w:left w:w="80" w:type="dxa"/>
              <w:bottom w:w="80" w:type="dxa"/>
              <w:right w:w="80" w:type="dxa"/>
            </w:tcMar>
          </w:tcPr>
          <w:p w14:paraId="43FCEA24" w14:textId="2CBD7491"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c>
          <w:tcPr>
            <w:tcW w:w="1126" w:type="dxa"/>
            <w:shd w:val="clear" w:color="auto" w:fill="FFC9C9"/>
            <w:tcMar>
              <w:top w:w="80" w:type="dxa"/>
              <w:left w:w="80" w:type="dxa"/>
              <w:bottom w:w="80" w:type="dxa"/>
              <w:right w:w="80" w:type="dxa"/>
            </w:tcMar>
          </w:tcPr>
          <w:p w14:paraId="58AF4EED" w14:textId="796AF7DF"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c>
          <w:tcPr>
            <w:tcW w:w="1105" w:type="dxa"/>
            <w:shd w:val="clear" w:color="auto" w:fill="FFC9C9"/>
            <w:tcMar>
              <w:top w:w="80" w:type="dxa"/>
              <w:left w:w="80" w:type="dxa"/>
              <w:bottom w:w="80" w:type="dxa"/>
              <w:right w:w="80" w:type="dxa"/>
            </w:tcMar>
          </w:tcPr>
          <w:p w14:paraId="5873D0DC" w14:textId="181AA0E4"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c>
          <w:tcPr>
            <w:tcW w:w="1133" w:type="dxa"/>
            <w:shd w:val="clear" w:color="auto" w:fill="FFC9C9"/>
            <w:tcMar>
              <w:top w:w="80" w:type="dxa"/>
              <w:left w:w="80" w:type="dxa"/>
              <w:bottom w:w="80" w:type="dxa"/>
              <w:right w:w="80" w:type="dxa"/>
            </w:tcMar>
          </w:tcPr>
          <w:p w14:paraId="6E205DF0" w14:textId="58BC0838"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c>
          <w:tcPr>
            <w:tcW w:w="1133" w:type="dxa"/>
            <w:shd w:val="clear" w:color="auto" w:fill="FFC9C9"/>
            <w:tcMar>
              <w:top w:w="79" w:type="dxa"/>
              <w:left w:w="79" w:type="dxa"/>
              <w:bottom w:w="79" w:type="dxa"/>
              <w:right w:w="79" w:type="dxa"/>
            </w:tcMar>
          </w:tcPr>
          <w:p w14:paraId="6AC0AE1B" w14:textId="2273B037"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c>
          <w:tcPr>
            <w:tcW w:w="1105" w:type="dxa"/>
            <w:shd w:val="clear" w:color="auto" w:fill="FFC9C9"/>
            <w:tcMar>
              <w:top w:w="80" w:type="dxa"/>
              <w:left w:w="80" w:type="dxa"/>
              <w:bottom w:w="80" w:type="dxa"/>
              <w:right w:w="80" w:type="dxa"/>
            </w:tcMar>
          </w:tcPr>
          <w:p w14:paraId="7CE42DA1" w14:textId="41B2C8CE"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c>
          <w:tcPr>
            <w:tcW w:w="1093" w:type="dxa"/>
            <w:shd w:val="clear" w:color="auto" w:fill="FFC9C9"/>
          </w:tcPr>
          <w:p w14:paraId="58B761F0" w14:textId="516676FB" w:rsidR="008D7200" w:rsidRPr="000268F6" w:rsidRDefault="008D7200" w:rsidP="00B21723">
            <w:pPr>
              <w:spacing w:after="60"/>
              <w:rPr>
                <w:rFonts w:eastAsia="Calibri" w:cs="Arial"/>
                <w:sz w:val="14"/>
                <w:szCs w:val="14"/>
                <w:lang w:eastAsia="en-US"/>
              </w:rPr>
            </w:pPr>
            <w:r>
              <w:rPr>
                <w:rFonts w:eastAsia="Calibri" w:cs="Arial"/>
                <w:sz w:val="14"/>
                <w:szCs w:val="14"/>
                <w:lang w:eastAsia="en-US"/>
              </w:rPr>
              <w:t>—</w:t>
            </w:r>
          </w:p>
        </w:tc>
      </w:tr>
      <w:tr w:rsidR="00FF68C4" w:rsidRPr="000268F6" w14:paraId="0206B7B4" w14:textId="77777777" w:rsidTr="008D7200">
        <w:tc>
          <w:tcPr>
            <w:tcW w:w="1112" w:type="dxa"/>
            <w:shd w:val="clear" w:color="auto" w:fill="auto"/>
            <w:tcMar>
              <w:top w:w="80" w:type="dxa"/>
              <w:left w:w="80" w:type="dxa"/>
              <w:bottom w:w="80" w:type="dxa"/>
              <w:right w:w="80" w:type="dxa"/>
            </w:tcMar>
          </w:tcPr>
          <w:p w14:paraId="402B217D" w14:textId="2411253E"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t>Death entitlements</w:t>
            </w:r>
            <w:r w:rsidR="0008303E">
              <w:rPr>
                <w:rFonts w:eastAsia="Calibri" w:cs="Arial"/>
                <w:b/>
                <w:sz w:val="16"/>
                <w:szCs w:val="16"/>
                <w:lang w:eastAsia="en-US"/>
              </w:rPr>
              <w:fldChar w:fldCharType="begin"/>
            </w:r>
            <w:r w:rsidR="0008303E">
              <w:instrText xml:space="preserve"> XE "</w:instrText>
            </w:r>
            <w:r w:rsidR="0008303E" w:rsidRPr="00F26D64">
              <w:instrText>benefits:death entitlements</w:instrText>
            </w:r>
            <w:r w:rsidR="0008303E">
              <w:instrText xml:space="preserve">" </w:instrText>
            </w:r>
            <w:r w:rsidR="008E6A35">
              <w:fldChar w:fldCharType="begin"/>
            </w:r>
            <w:r w:rsidR="008E6A35">
              <w:instrText xml:space="preserve"> XE "</w:instrText>
            </w:r>
            <w:r w:rsidR="008E6A35" w:rsidRPr="009C57D8">
              <w:instrText>death entitlements</w:instrText>
            </w:r>
            <w:r w:rsidR="008E6A35">
              <w:instrText xml:space="preserve">" </w:instrText>
            </w:r>
            <w:r w:rsidR="008E6A35">
              <w:fldChar w:fldCharType="end"/>
            </w:r>
            <w:r w:rsidR="0008303E">
              <w:rPr>
                <w:rFonts w:eastAsia="Calibri" w:cs="Arial"/>
                <w:b/>
                <w:sz w:val="16"/>
                <w:szCs w:val="16"/>
                <w:lang w:eastAsia="en-US"/>
              </w:rPr>
              <w:fldChar w:fldCharType="end"/>
            </w:r>
            <w:r w:rsidRPr="000268F6">
              <w:rPr>
                <w:rFonts w:eastAsia="Calibri" w:cs="Arial"/>
                <w:b/>
                <w:sz w:val="16"/>
                <w:szCs w:val="16"/>
                <w:lang w:eastAsia="en-US"/>
              </w:rPr>
              <w:t xml:space="preserve"> (all jurisdictions pay funeral expenses</w:t>
            </w:r>
            <w:r w:rsidR="00A41653">
              <w:rPr>
                <w:rFonts w:eastAsia="Calibri" w:cs="Arial"/>
                <w:b/>
                <w:sz w:val="16"/>
                <w:szCs w:val="16"/>
                <w:lang w:eastAsia="en-US"/>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eastAsia="Calibri" w:cs="Arial"/>
                <w:b/>
                <w:sz w:val="16"/>
                <w:szCs w:val="16"/>
                <w:lang w:eastAsia="en-US"/>
              </w:rPr>
              <w:lastRenderedPageBreak/>
              <w:fldChar w:fldCharType="end"/>
            </w:r>
            <w:r w:rsidRPr="000268F6">
              <w:rPr>
                <w:rFonts w:eastAsia="Calibri" w:cs="Arial"/>
                <w:b/>
                <w:sz w:val="16"/>
                <w:szCs w:val="16"/>
                <w:lang w:eastAsia="en-US"/>
              </w:rPr>
              <w:t xml:space="preserve"> to differing amounts)</w:t>
            </w:r>
          </w:p>
        </w:tc>
        <w:tc>
          <w:tcPr>
            <w:tcW w:w="1125" w:type="dxa"/>
            <w:shd w:val="clear" w:color="auto" w:fill="auto"/>
            <w:tcMar>
              <w:top w:w="80" w:type="dxa"/>
              <w:left w:w="80" w:type="dxa"/>
              <w:bottom w:w="80" w:type="dxa"/>
              <w:right w:w="80" w:type="dxa"/>
            </w:tcMar>
          </w:tcPr>
          <w:p w14:paraId="51B0A189" w14:textId="0296B90A"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lastRenderedPageBreak/>
              <w:t>$</w:t>
            </w:r>
            <w:r w:rsidR="00AC43CC">
              <w:rPr>
                <w:rFonts w:eastAsia="Calibri" w:cs="Arial"/>
                <w:sz w:val="14"/>
                <w:szCs w:val="14"/>
                <w:lang w:eastAsia="en-US"/>
              </w:rPr>
              <w:t>775,600</w:t>
            </w:r>
            <w:r w:rsidRPr="000268F6">
              <w:rPr>
                <w:rFonts w:eastAsia="Calibri" w:cs="Arial"/>
                <w:sz w:val="14"/>
                <w:szCs w:val="14"/>
                <w:lang w:eastAsia="en-US"/>
              </w:rPr>
              <w:t xml:space="preserve"> + $13</w:t>
            </w:r>
            <w:r w:rsidR="00AC43CC">
              <w:rPr>
                <w:rFonts w:eastAsia="Calibri" w:cs="Arial"/>
                <w:sz w:val="14"/>
                <w:szCs w:val="14"/>
                <w:lang w:eastAsia="en-US"/>
              </w:rPr>
              <w:t>8.9</w:t>
            </w:r>
            <w:r w:rsidR="008A450A">
              <w:rPr>
                <w:rFonts w:eastAsia="Calibri" w:cs="Arial"/>
                <w:sz w:val="14"/>
                <w:szCs w:val="14"/>
                <w:lang w:eastAsia="en-US"/>
              </w:rPr>
              <w:t>0</w:t>
            </w:r>
            <w:r w:rsidRPr="000268F6">
              <w:rPr>
                <w:rFonts w:eastAsia="Calibri" w:cs="Arial"/>
                <w:sz w:val="14"/>
                <w:szCs w:val="14"/>
                <w:lang w:eastAsia="en-US"/>
              </w:rPr>
              <w:t xml:space="preserve"> pw for each dependent child</w:t>
            </w:r>
          </w:p>
          <w:p w14:paraId="0031D88B" w14:textId="0723AEDE"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F</w:t>
            </w:r>
            <w:r w:rsidR="00F6068C">
              <w:rPr>
                <w:rFonts w:eastAsia="Calibri" w:cs="Arial"/>
                <w:sz w:val="14"/>
                <w:szCs w:val="14"/>
                <w:lang w:eastAsia="en-US"/>
              </w:rPr>
              <w:t>uneral expenses: maximum $15</w:t>
            </w:r>
            <w:r w:rsidR="004761CF">
              <w:rPr>
                <w:rFonts w:eastAsia="Calibri" w:cs="Arial"/>
                <w:sz w:val="14"/>
                <w:szCs w:val="14"/>
                <w:lang w:eastAsia="en-US"/>
              </w:rPr>
              <w:t>,</w:t>
            </w:r>
            <w:r w:rsidR="00F6068C">
              <w:rPr>
                <w:rFonts w:eastAsia="Calibri" w:cs="Arial"/>
                <w:sz w:val="14"/>
                <w:szCs w:val="14"/>
                <w:lang w:eastAsia="en-US"/>
              </w:rPr>
              <w:t>000</w:t>
            </w:r>
          </w:p>
        </w:tc>
        <w:tc>
          <w:tcPr>
            <w:tcW w:w="1101" w:type="dxa"/>
            <w:shd w:val="clear" w:color="auto" w:fill="auto"/>
            <w:tcMar>
              <w:top w:w="80" w:type="dxa"/>
              <w:left w:w="80" w:type="dxa"/>
              <w:bottom w:w="80" w:type="dxa"/>
              <w:right w:w="80" w:type="dxa"/>
            </w:tcMar>
          </w:tcPr>
          <w:p w14:paraId="134D02D2" w14:textId="4CC8836E" w:rsidR="000268F6" w:rsidRPr="000268F6" w:rsidRDefault="000268F6" w:rsidP="00EA5E24">
            <w:pPr>
              <w:spacing w:after="60"/>
              <w:rPr>
                <w:rFonts w:eastAsia="Calibri" w:cs="Arial"/>
                <w:sz w:val="14"/>
                <w:szCs w:val="14"/>
                <w:lang w:eastAsia="en-US"/>
              </w:rPr>
            </w:pPr>
            <w:r w:rsidRPr="000268F6">
              <w:rPr>
                <w:rFonts w:eastAsia="Calibri" w:cs="Arial"/>
                <w:sz w:val="14"/>
                <w:szCs w:val="14"/>
                <w:lang w:eastAsia="en-US"/>
              </w:rPr>
              <w:t>$</w:t>
            </w:r>
            <w:r w:rsidR="00EA5E24">
              <w:rPr>
                <w:rFonts w:eastAsia="Calibri" w:cs="Arial"/>
                <w:sz w:val="14"/>
                <w:szCs w:val="14"/>
                <w:lang w:eastAsia="en-US"/>
              </w:rPr>
              <w:t>598,360</w:t>
            </w:r>
            <w:r w:rsidRPr="000268F6">
              <w:rPr>
                <w:rFonts w:eastAsia="Calibri" w:cs="Arial"/>
                <w:sz w:val="14"/>
                <w:szCs w:val="14"/>
                <w:lang w:eastAsia="en-US"/>
              </w:rPr>
              <w:t xml:space="preserve"> (shared) + pre-injury earnings-related pensions to a maximum of $</w:t>
            </w:r>
            <w:r w:rsidR="00EA5E24">
              <w:rPr>
                <w:rFonts w:eastAsia="Calibri" w:cs="Arial"/>
                <w:sz w:val="14"/>
                <w:szCs w:val="14"/>
                <w:lang w:eastAsia="en-US"/>
              </w:rPr>
              <w:t>2,220</w:t>
            </w:r>
            <w:r w:rsidRPr="000268F6">
              <w:rPr>
                <w:rFonts w:eastAsia="Calibri" w:cs="Arial"/>
                <w:sz w:val="14"/>
                <w:szCs w:val="14"/>
                <w:lang w:eastAsia="en-US"/>
              </w:rPr>
              <w:t xml:space="preserve"> pw for dependant partner/s and children</w:t>
            </w:r>
          </w:p>
        </w:tc>
        <w:tc>
          <w:tcPr>
            <w:tcW w:w="1125" w:type="dxa"/>
            <w:shd w:val="clear" w:color="auto" w:fill="auto"/>
            <w:tcMar>
              <w:top w:w="80" w:type="dxa"/>
              <w:left w:w="80" w:type="dxa"/>
              <w:bottom w:w="0" w:type="dxa"/>
              <w:right w:w="80" w:type="dxa"/>
            </w:tcMar>
          </w:tcPr>
          <w:p w14:paraId="0C720038" w14:textId="78338AC3"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w:t>
            </w:r>
            <w:r w:rsidR="008D7200">
              <w:rPr>
                <w:rFonts w:eastAsia="Calibri" w:cs="Arial"/>
                <w:sz w:val="14"/>
                <w:szCs w:val="14"/>
                <w:lang w:eastAsia="en-US"/>
              </w:rPr>
              <w:t>600,080</w:t>
            </w:r>
            <w:r w:rsidRPr="000268F6">
              <w:rPr>
                <w:rFonts w:eastAsia="Calibri" w:cs="Arial"/>
                <w:sz w:val="14"/>
                <w:szCs w:val="14"/>
                <w:lang w:eastAsia="en-US"/>
              </w:rPr>
              <w:t xml:space="preserve"> + </w:t>
            </w:r>
          </w:p>
          <w:p w14:paraId="0C7F2298" w14:textId="22179C74"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w:t>
            </w:r>
            <w:r w:rsidR="008D7200">
              <w:rPr>
                <w:rFonts w:eastAsia="Calibri" w:cs="Arial"/>
                <w:sz w:val="14"/>
                <w:szCs w:val="14"/>
                <w:lang w:eastAsia="en-US"/>
              </w:rPr>
              <w:t>16,045</w:t>
            </w:r>
            <w:r w:rsidRPr="000268F6">
              <w:rPr>
                <w:rFonts w:eastAsia="Calibri" w:cs="Arial"/>
                <w:sz w:val="14"/>
                <w:szCs w:val="14"/>
                <w:lang w:eastAsia="en-US"/>
              </w:rPr>
              <w:t xml:space="preserve"> to dependant spouse + </w:t>
            </w:r>
          </w:p>
          <w:p w14:paraId="045EDA60" w14:textId="3FD44800" w:rsidR="000268F6" w:rsidRPr="000268F6" w:rsidRDefault="000268F6" w:rsidP="008D7200">
            <w:pPr>
              <w:spacing w:after="60"/>
              <w:rPr>
                <w:rFonts w:eastAsia="Calibri" w:cs="Arial"/>
                <w:sz w:val="14"/>
                <w:szCs w:val="14"/>
                <w:lang w:eastAsia="en-US"/>
              </w:rPr>
            </w:pPr>
            <w:r w:rsidRPr="000268F6">
              <w:rPr>
                <w:rFonts w:eastAsia="Calibri" w:cs="Arial"/>
                <w:sz w:val="14"/>
                <w:szCs w:val="14"/>
                <w:lang w:eastAsia="en-US"/>
              </w:rPr>
              <w:t>$</w:t>
            </w:r>
            <w:r w:rsidR="008D7200">
              <w:rPr>
                <w:rFonts w:eastAsia="Calibri" w:cs="Arial"/>
                <w:sz w:val="14"/>
                <w:szCs w:val="14"/>
                <w:lang w:eastAsia="en-US"/>
              </w:rPr>
              <w:t>32,070</w:t>
            </w:r>
            <w:r w:rsidRPr="000268F6">
              <w:rPr>
                <w:rFonts w:eastAsia="Calibri" w:cs="Arial"/>
                <w:sz w:val="14"/>
                <w:szCs w:val="14"/>
                <w:lang w:eastAsia="en-US"/>
              </w:rPr>
              <w:t xml:space="preserve"> for each dependant family member under 16 or student + $11</w:t>
            </w:r>
            <w:r w:rsidR="008D7200">
              <w:rPr>
                <w:rFonts w:eastAsia="Calibri" w:cs="Arial"/>
                <w:sz w:val="14"/>
                <w:szCs w:val="14"/>
                <w:lang w:eastAsia="en-US"/>
              </w:rPr>
              <w:t>8</w:t>
            </w:r>
            <w:r w:rsidRPr="000268F6">
              <w:rPr>
                <w:rFonts w:eastAsia="Calibri" w:cs="Arial"/>
                <w:sz w:val="14"/>
                <w:szCs w:val="14"/>
                <w:lang w:eastAsia="en-US"/>
              </w:rPr>
              <w:t>.60</w:t>
            </w:r>
            <w:r w:rsidR="00DD0D68">
              <w:rPr>
                <w:rFonts w:eastAsia="Calibri" w:cs="Arial"/>
                <w:sz w:val="14"/>
                <w:szCs w:val="14"/>
                <w:lang w:eastAsia="en-US"/>
              </w:rPr>
              <w:t xml:space="preserve"> </w:t>
            </w:r>
            <w:r w:rsidRPr="000268F6">
              <w:rPr>
                <w:rFonts w:eastAsia="Calibri" w:cs="Arial"/>
                <w:sz w:val="14"/>
                <w:szCs w:val="14"/>
                <w:lang w:eastAsia="en-US"/>
              </w:rPr>
              <w:t>pw per child to spouse while children are under 6 yrs. + $</w:t>
            </w:r>
            <w:r w:rsidR="008D7200">
              <w:rPr>
                <w:rFonts w:eastAsia="Calibri" w:cs="Arial"/>
                <w:sz w:val="14"/>
                <w:szCs w:val="14"/>
                <w:lang w:eastAsia="en-US"/>
              </w:rPr>
              <w:t>148.25</w:t>
            </w:r>
            <w:r w:rsidR="00DD0D68">
              <w:rPr>
                <w:rFonts w:eastAsia="Calibri" w:cs="Arial"/>
                <w:sz w:val="14"/>
                <w:szCs w:val="14"/>
                <w:lang w:eastAsia="en-US"/>
              </w:rPr>
              <w:t xml:space="preserve"> </w:t>
            </w:r>
            <w:r w:rsidRPr="000268F6">
              <w:rPr>
                <w:rFonts w:eastAsia="Calibri" w:cs="Arial"/>
                <w:sz w:val="14"/>
                <w:szCs w:val="14"/>
                <w:lang w:eastAsia="en-US"/>
              </w:rPr>
              <w:t>pw per dependent child/family member while children/family members under 16 yrs. or</w:t>
            </w:r>
            <w:r w:rsidR="00DD0D68">
              <w:rPr>
                <w:rFonts w:eastAsia="Calibri" w:cs="Arial"/>
                <w:sz w:val="14"/>
                <w:szCs w:val="14"/>
                <w:lang w:eastAsia="en-US"/>
              </w:rPr>
              <w:t xml:space="preserve"> </w:t>
            </w:r>
            <w:r w:rsidRPr="000268F6">
              <w:rPr>
                <w:rFonts w:eastAsia="Calibri" w:cs="Arial"/>
                <w:sz w:val="14"/>
                <w:szCs w:val="14"/>
                <w:lang w:eastAsia="en-US"/>
              </w:rPr>
              <w:t xml:space="preserve">a </w:t>
            </w:r>
            <w:r w:rsidRPr="000268F6">
              <w:rPr>
                <w:rFonts w:eastAsia="Calibri" w:cs="Arial"/>
                <w:sz w:val="14"/>
                <w:szCs w:val="14"/>
                <w:lang w:eastAsia="en-US"/>
              </w:rPr>
              <w:lastRenderedPageBreak/>
              <w:t>student</w:t>
            </w:r>
          </w:p>
        </w:tc>
        <w:tc>
          <w:tcPr>
            <w:tcW w:w="1125" w:type="dxa"/>
            <w:shd w:val="clear" w:color="auto" w:fill="auto"/>
            <w:tcMar>
              <w:top w:w="80" w:type="dxa"/>
              <w:left w:w="80" w:type="dxa"/>
              <w:bottom w:w="80" w:type="dxa"/>
              <w:right w:w="80" w:type="dxa"/>
            </w:tcMar>
          </w:tcPr>
          <w:p w14:paraId="45EC408A" w14:textId="25035B06" w:rsidR="000268F6" w:rsidRPr="000268F6" w:rsidRDefault="000268F6" w:rsidP="009F384D">
            <w:pPr>
              <w:spacing w:after="60"/>
              <w:rPr>
                <w:rFonts w:eastAsia="Calibri" w:cs="Arial"/>
                <w:sz w:val="14"/>
                <w:szCs w:val="14"/>
                <w:lang w:eastAsia="en-US"/>
              </w:rPr>
            </w:pPr>
            <w:r w:rsidRPr="000268F6">
              <w:rPr>
                <w:rFonts w:eastAsia="Calibri" w:cs="Arial"/>
                <w:sz w:val="14"/>
                <w:szCs w:val="14"/>
                <w:lang w:eastAsia="en-US"/>
              </w:rPr>
              <w:lastRenderedPageBreak/>
              <w:t>$</w:t>
            </w:r>
            <w:r w:rsidR="009F384D">
              <w:rPr>
                <w:rFonts w:eastAsia="Calibri" w:cs="Arial"/>
                <w:sz w:val="14"/>
                <w:szCs w:val="14"/>
                <w:lang w:eastAsia="en-US"/>
              </w:rPr>
              <w:t>308,339.00</w:t>
            </w:r>
            <w:r w:rsidRPr="000268F6">
              <w:rPr>
                <w:rFonts w:eastAsia="Calibri" w:cs="Arial"/>
                <w:sz w:val="14"/>
                <w:szCs w:val="14"/>
                <w:lang w:eastAsia="en-US"/>
              </w:rPr>
              <w:t xml:space="preserve"> + $58.</w:t>
            </w:r>
            <w:r w:rsidR="009F384D">
              <w:rPr>
                <w:rFonts w:eastAsia="Calibri" w:cs="Arial"/>
                <w:sz w:val="14"/>
                <w:szCs w:val="14"/>
                <w:lang w:eastAsia="en-US"/>
              </w:rPr>
              <w:t>9</w:t>
            </w:r>
            <w:r w:rsidRPr="000268F6">
              <w:rPr>
                <w:rFonts w:eastAsia="Calibri" w:cs="Arial"/>
                <w:sz w:val="14"/>
                <w:szCs w:val="14"/>
                <w:lang w:eastAsia="en-US"/>
              </w:rPr>
              <w:t xml:space="preserve">0 pw for each dependent child </w:t>
            </w:r>
          </w:p>
        </w:tc>
        <w:tc>
          <w:tcPr>
            <w:tcW w:w="1108" w:type="dxa"/>
            <w:shd w:val="clear" w:color="auto" w:fill="auto"/>
            <w:tcMar>
              <w:top w:w="80" w:type="dxa"/>
              <w:left w:w="80" w:type="dxa"/>
              <w:bottom w:w="80" w:type="dxa"/>
              <w:right w:w="80" w:type="dxa"/>
            </w:tcMar>
          </w:tcPr>
          <w:p w14:paraId="1374CBDA" w14:textId="583CAE18"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$487</w:t>
            </w:r>
            <w:r w:rsidR="004761CF">
              <w:rPr>
                <w:rFonts w:eastAsia="Calibri" w:cs="Arial"/>
                <w:sz w:val="14"/>
                <w:szCs w:val="14"/>
                <w:lang w:eastAsia="en-US"/>
              </w:rPr>
              <w:t>,</w:t>
            </w:r>
            <w:r w:rsidRPr="000268F6">
              <w:rPr>
                <w:rFonts w:eastAsia="Calibri" w:cs="Arial"/>
                <w:sz w:val="14"/>
                <w:szCs w:val="14"/>
                <w:lang w:eastAsia="en-US"/>
              </w:rPr>
              <w:t xml:space="preserve">476 + </w:t>
            </w:r>
          </w:p>
          <w:p w14:paraId="02BD2E76"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Up to:</w:t>
            </w:r>
          </w:p>
          <w:p w14:paraId="2EAC0430"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50% worker’s NWE for spouse</w:t>
            </w:r>
          </w:p>
          <w:p w14:paraId="18297C6F"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25% worker’s NWE for orphaned child</w:t>
            </w:r>
          </w:p>
          <w:p w14:paraId="0A977463"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12.5% worker’s NWE for non-orphaned child</w:t>
            </w:r>
          </w:p>
          <w:p w14:paraId="6F58A712" w14:textId="2AEFBDFD" w:rsidR="000268F6" w:rsidRPr="000268F6" w:rsidRDefault="00D41D16" w:rsidP="004761CF">
            <w:pPr>
              <w:spacing w:after="60"/>
              <w:rPr>
                <w:rFonts w:eastAsia="Calibri" w:cs="Arial"/>
                <w:sz w:val="14"/>
                <w:szCs w:val="14"/>
                <w:lang w:eastAsia="en-US"/>
              </w:rPr>
            </w:pPr>
            <w:r>
              <w:rPr>
                <w:rFonts w:eastAsia="Calibri" w:cs="Arial"/>
                <w:sz w:val="14"/>
                <w:szCs w:val="14"/>
                <w:lang w:eastAsia="en-US"/>
              </w:rPr>
              <w:t>Funeral benefit: up to $10</w:t>
            </w:r>
            <w:r w:rsidR="004761CF">
              <w:rPr>
                <w:rFonts w:eastAsia="Calibri" w:cs="Arial"/>
                <w:sz w:val="14"/>
                <w:szCs w:val="14"/>
                <w:lang w:eastAsia="en-US"/>
              </w:rPr>
              <w:t>,</w:t>
            </w:r>
            <w:r w:rsidR="000268F6" w:rsidRPr="000268F6">
              <w:rPr>
                <w:rFonts w:eastAsia="Calibri" w:cs="Arial"/>
                <w:sz w:val="14"/>
                <w:szCs w:val="14"/>
                <w:lang w:eastAsia="en-US"/>
              </w:rPr>
              <w:t>288</w:t>
            </w:r>
          </w:p>
        </w:tc>
        <w:tc>
          <w:tcPr>
            <w:tcW w:w="1130" w:type="dxa"/>
            <w:shd w:val="clear" w:color="auto" w:fill="auto"/>
            <w:tcMar>
              <w:top w:w="80" w:type="dxa"/>
              <w:left w:w="80" w:type="dxa"/>
              <w:bottom w:w="80" w:type="dxa"/>
              <w:right w:w="80" w:type="dxa"/>
            </w:tcMar>
          </w:tcPr>
          <w:p w14:paraId="370E44B7" w14:textId="60BDDE5A"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w:t>
            </w:r>
            <w:r w:rsidR="00FF68C4">
              <w:rPr>
                <w:rFonts w:eastAsia="Calibri" w:cs="Arial"/>
                <w:sz w:val="14"/>
                <w:szCs w:val="14"/>
                <w:lang w:eastAsia="en-US"/>
              </w:rPr>
              <w:t>355,169.45</w:t>
            </w:r>
            <w:r w:rsidRPr="000268F6">
              <w:rPr>
                <w:rFonts w:eastAsia="Calibri" w:cs="Arial"/>
                <w:sz w:val="14"/>
                <w:szCs w:val="14"/>
                <w:lang w:eastAsia="en-US"/>
              </w:rPr>
              <w:t xml:space="preserve"> + 100% weekly payment</w:t>
            </w:r>
            <w:r w:rsidR="0096198D">
              <w:rPr>
                <w:rFonts w:eastAsia="Calibri" w:cs="Arial"/>
                <w:sz w:val="14"/>
                <w:szCs w:val="14"/>
                <w:lang w:eastAsia="en-US"/>
              </w:rPr>
              <w:t>—</w:t>
            </w:r>
            <w:r w:rsidRPr="000268F6">
              <w:rPr>
                <w:rFonts w:eastAsia="Calibri" w:cs="Arial"/>
                <w:sz w:val="14"/>
                <w:szCs w:val="14"/>
                <w:lang w:eastAsia="en-US"/>
              </w:rPr>
              <w:t xml:space="preserve"> 0–26 weeks, 90% weekly payment</w:t>
            </w:r>
            <w:r w:rsidR="0096198D">
              <w:rPr>
                <w:rFonts w:eastAsia="Calibri" w:cs="Arial"/>
                <w:sz w:val="14"/>
                <w:szCs w:val="14"/>
                <w:lang w:eastAsia="en-US"/>
              </w:rPr>
              <w:t xml:space="preserve"> </w:t>
            </w:r>
            <w:r w:rsidR="004761CF">
              <w:rPr>
                <w:rFonts w:eastAsia="Calibri" w:cs="Arial"/>
                <w:sz w:val="14"/>
                <w:szCs w:val="14"/>
                <w:lang w:eastAsia="en-US"/>
              </w:rPr>
              <w:t>—</w:t>
            </w:r>
            <w:r w:rsidR="004761CF" w:rsidRPr="000268F6">
              <w:rPr>
                <w:rFonts w:eastAsia="Calibri" w:cs="Arial"/>
                <w:sz w:val="14"/>
                <w:szCs w:val="14"/>
                <w:lang w:eastAsia="en-US"/>
              </w:rPr>
              <w:t xml:space="preserve"> </w:t>
            </w:r>
            <w:r w:rsidRPr="000268F6">
              <w:rPr>
                <w:rFonts w:eastAsia="Calibri" w:cs="Arial"/>
                <w:sz w:val="14"/>
                <w:szCs w:val="14"/>
                <w:lang w:eastAsia="en-US"/>
              </w:rPr>
              <w:t xml:space="preserve">27–78 weeks, 80% weekly </w:t>
            </w:r>
            <w:r w:rsidR="00FF68C4">
              <w:rPr>
                <w:rFonts w:eastAsia="Calibri" w:cs="Arial"/>
                <w:sz w:val="14"/>
                <w:szCs w:val="14"/>
                <w:lang w:eastAsia="en-US"/>
              </w:rPr>
              <w:t xml:space="preserve">payment </w:t>
            </w:r>
            <w:r w:rsidR="0096198D">
              <w:rPr>
                <w:rFonts w:eastAsia="Calibri" w:cs="Arial"/>
                <w:sz w:val="14"/>
                <w:szCs w:val="14"/>
                <w:lang w:eastAsia="en-US"/>
              </w:rPr>
              <w:t>—</w:t>
            </w:r>
            <w:r w:rsidR="00FF68C4">
              <w:rPr>
                <w:rFonts w:eastAsia="Calibri" w:cs="Arial"/>
                <w:sz w:val="14"/>
                <w:szCs w:val="14"/>
                <w:lang w:eastAsia="en-US"/>
              </w:rPr>
              <w:t xml:space="preserve"> 79–104 weeks + $128.37</w:t>
            </w:r>
            <w:r w:rsidRPr="000268F6">
              <w:rPr>
                <w:rFonts w:eastAsia="Calibri" w:cs="Arial"/>
                <w:sz w:val="14"/>
                <w:szCs w:val="14"/>
                <w:lang w:eastAsia="en-US"/>
              </w:rPr>
              <w:t xml:space="preserve"> pw for each depe</w:t>
            </w:r>
            <w:r w:rsidR="00F6068C">
              <w:rPr>
                <w:rFonts w:eastAsia="Calibri" w:cs="Arial"/>
                <w:sz w:val="14"/>
                <w:szCs w:val="14"/>
                <w:lang w:eastAsia="en-US"/>
              </w:rPr>
              <w:t>ndent child</w:t>
            </w:r>
          </w:p>
          <w:p w14:paraId="396EFEF7" w14:textId="29755B0E" w:rsidR="000268F6" w:rsidRPr="000268F6" w:rsidRDefault="00A7538C" w:rsidP="00B21723">
            <w:pPr>
              <w:spacing w:after="60"/>
              <w:rPr>
                <w:rFonts w:eastAsia="Calibri" w:cs="Arial"/>
                <w:sz w:val="14"/>
                <w:szCs w:val="14"/>
                <w:lang w:eastAsia="en-US"/>
              </w:rPr>
            </w:pPr>
            <w:hyperlink r:id="rId269" w:history="1">
              <w:r w:rsidR="000268F6" w:rsidRPr="000268F6">
                <w:rPr>
                  <w:rFonts w:eastAsia="Calibri" w:cs="Arial"/>
                  <w:color w:val="0000FF"/>
                  <w:sz w:val="14"/>
                  <w:szCs w:val="14"/>
                  <w:u w:val="single"/>
                  <w:lang w:eastAsia="en-US"/>
                </w:rPr>
                <w:t>s67A</w:t>
              </w:r>
            </w:hyperlink>
          </w:p>
        </w:tc>
        <w:tc>
          <w:tcPr>
            <w:tcW w:w="1126" w:type="dxa"/>
            <w:shd w:val="clear" w:color="auto" w:fill="auto"/>
            <w:tcMar>
              <w:top w:w="80" w:type="dxa"/>
              <w:left w:w="80" w:type="dxa"/>
              <w:bottom w:w="80" w:type="dxa"/>
              <w:right w:w="80" w:type="dxa"/>
            </w:tcMar>
          </w:tcPr>
          <w:p w14:paraId="72382571" w14:textId="46055090" w:rsidR="000268F6" w:rsidRPr="000268F6" w:rsidRDefault="000268F6" w:rsidP="00A16BFD">
            <w:pPr>
              <w:spacing w:after="60"/>
              <w:rPr>
                <w:rFonts w:eastAsia="Calibri" w:cs="Arial"/>
                <w:sz w:val="14"/>
                <w:szCs w:val="14"/>
                <w:lang w:eastAsia="en-US"/>
              </w:rPr>
            </w:pPr>
            <w:r w:rsidRPr="000268F6">
              <w:rPr>
                <w:rFonts w:eastAsia="Calibri" w:cs="Arial"/>
                <w:sz w:val="14"/>
                <w:szCs w:val="14"/>
                <w:lang w:eastAsia="en-US"/>
              </w:rPr>
              <w:t>$5</w:t>
            </w:r>
            <w:r w:rsidR="00A16BFD">
              <w:rPr>
                <w:rFonts w:eastAsia="Calibri" w:cs="Arial"/>
                <w:sz w:val="14"/>
                <w:szCs w:val="14"/>
                <w:lang w:eastAsia="en-US"/>
              </w:rPr>
              <w:t>71,370.80</w:t>
            </w:r>
            <w:r w:rsidRPr="000268F6">
              <w:rPr>
                <w:rFonts w:eastAsia="Calibri" w:cs="Arial"/>
                <w:sz w:val="14"/>
                <w:szCs w:val="14"/>
                <w:lang w:eastAsia="en-US"/>
              </w:rPr>
              <w:t xml:space="preserve"> + $15</w:t>
            </w:r>
            <w:r w:rsidR="00A16BFD">
              <w:rPr>
                <w:rFonts w:eastAsia="Calibri" w:cs="Arial"/>
                <w:sz w:val="14"/>
                <w:szCs w:val="14"/>
                <w:lang w:eastAsia="en-US"/>
              </w:rPr>
              <w:t>6.97</w:t>
            </w:r>
            <w:r w:rsidRPr="000268F6">
              <w:rPr>
                <w:rFonts w:eastAsia="Calibri" w:cs="Arial"/>
                <w:sz w:val="14"/>
                <w:szCs w:val="14"/>
                <w:lang w:eastAsia="en-US"/>
              </w:rPr>
              <w:t>pw for each dependent child to max of 10 children</w:t>
            </w:r>
          </w:p>
        </w:tc>
        <w:tc>
          <w:tcPr>
            <w:tcW w:w="1105" w:type="dxa"/>
            <w:shd w:val="clear" w:color="auto" w:fill="auto"/>
            <w:tcMar>
              <w:top w:w="80" w:type="dxa"/>
              <w:left w:w="80" w:type="dxa"/>
              <w:bottom w:w="80" w:type="dxa"/>
              <w:right w:w="80" w:type="dxa"/>
            </w:tcMar>
          </w:tcPr>
          <w:p w14:paraId="3846B56D" w14:textId="34D3DCAA" w:rsidR="00F6068C" w:rsidRDefault="000268F6" w:rsidP="00B21723">
            <w:pPr>
              <w:spacing w:after="60"/>
              <w:rPr>
                <w:rFonts w:eastAsia="Calibri" w:cs="Arial"/>
                <w:sz w:val="14"/>
                <w:szCs w:val="14"/>
                <w:lang w:eastAsia="en-US"/>
              </w:rPr>
            </w:pPr>
            <w:r w:rsidRPr="000268F6">
              <w:rPr>
                <w:rFonts w:eastAsia="Calibri" w:cs="Arial"/>
                <w:sz w:val="14"/>
                <w:szCs w:val="14"/>
                <w:lang w:eastAsia="en-US"/>
              </w:rPr>
              <w:t>$</w:t>
            </w:r>
            <w:r w:rsidR="00AD3863">
              <w:rPr>
                <w:rFonts w:eastAsia="Calibri" w:cs="Arial"/>
                <w:sz w:val="14"/>
                <w:szCs w:val="14"/>
                <w:lang w:eastAsia="en-US"/>
              </w:rPr>
              <w:t>216,335</w:t>
            </w:r>
            <w:r w:rsidRPr="000268F6">
              <w:rPr>
                <w:rFonts w:eastAsia="Calibri" w:cs="Arial"/>
                <w:sz w:val="14"/>
                <w:szCs w:val="14"/>
                <w:lang w:eastAsia="en-US"/>
              </w:rPr>
              <w:t xml:space="preserve"> (lump sum) cpi indexed + $7</w:t>
            </w:r>
            <w:r w:rsidR="00AD3863">
              <w:rPr>
                <w:rFonts w:eastAsia="Calibri" w:cs="Arial"/>
                <w:sz w:val="14"/>
                <w:szCs w:val="14"/>
                <w:lang w:eastAsia="en-US"/>
              </w:rPr>
              <w:t>2</w:t>
            </w:r>
            <w:r w:rsidRPr="000268F6">
              <w:rPr>
                <w:rFonts w:eastAsia="Calibri" w:cs="Arial"/>
                <w:sz w:val="14"/>
                <w:szCs w:val="14"/>
                <w:lang w:eastAsia="en-US"/>
              </w:rPr>
              <w:t>.</w:t>
            </w:r>
            <w:r w:rsidR="00AD3863">
              <w:rPr>
                <w:rFonts w:eastAsia="Calibri" w:cs="Arial"/>
                <w:sz w:val="14"/>
                <w:szCs w:val="14"/>
                <w:lang w:eastAsia="en-US"/>
              </w:rPr>
              <w:t>11</w:t>
            </w:r>
            <w:r w:rsidRPr="000268F6">
              <w:rPr>
                <w:rFonts w:eastAsia="Calibri" w:cs="Arial"/>
                <w:sz w:val="14"/>
                <w:szCs w:val="14"/>
                <w:lang w:eastAsia="en-US"/>
              </w:rPr>
              <w:t xml:space="preserve"> (cpi index</w:t>
            </w:r>
            <w:r w:rsidR="00F6068C">
              <w:rPr>
                <w:rFonts w:eastAsia="Calibri" w:cs="Arial"/>
                <w:sz w:val="14"/>
                <w:szCs w:val="14"/>
                <w:lang w:eastAsia="en-US"/>
              </w:rPr>
              <w:t>ed) pw for each dependent child</w:t>
            </w:r>
            <w:r w:rsidRPr="000268F6">
              <w:rPr>
                <w:rFonts w:eastAsia="Calibri" w:cs="Arial"/>
                <w:sz w:val="14"/>
                <w:szCs w:val="14"/>
                <w:lang w:eastAsia="en-US"/>
              </w:rPr>
              <w:t xml:space="preserve"> </w:t>
            </w:r>
          </w:p>
          <w:p w14:paraId="1EF99BDA" w14:textId="304B0093" w:rsidR="000268F6" w:rsidRPr="000268F6" w:rsidRDefault="00F6068C" w:rsidP="00AD3863">
            <w:pPr>
              <w:spacing w:after="60"/>
              <w:rPr>
                <w:rFonts w:eastAsia="Calibri" w:cs="Arial"/>
                <w:sz w:val="14"/>
                <w:szCs w:val="14"/>
                <w:lang w:eastAsia="en-US"/>
              </w:rPr>
            </w:pPr>
            <w:r>
              <w:rPr>
                <w:rFonts w:eastAsia="Calibri" w:cs="Arial"/>
                <w:sz w:val="14"/>
                <w:szCs w:val="14"/>
                <w:lang w:eastAsia="en-US"/>
              </w:rPr>
              <w:t xml:space="preserve">Funeral expense </w:t>
            </w:r>
            <w:r>
              <w:rPr>
                <w:rFonts w:eastAsia="Calibri" w:cs="Arial"/>
                <w:sz w:val="14"/>
                <w:szCs w:val="14"/>
                <w:lang w:eastAsia="en-US"/>
              </w:rPr>
              <w:br/>
            </w:r>
            <w:r w:rsidR="000268F6" w:rsidRPr="000268F6">
              <w:rPr>
                <w:rFonts w:eastAsia="Calibri" w:cs="Arial"/>
                <w:sz w:val="14"/>
                <w:szCs w:val="14"/>
                <w:lang w:eastAsia="en-US"/>
              </w:rPr>
              <w:t>$5</w:t>
            </w:r>
            <w:r w:rsidR="004761CF">
              <w:rPr>
                <w:rFonts w:eastAsia="Calibri" w:cs="Arial"/>
                <w:sz w:val="14"/>
                <w:szCs w:val="14"/>
                <w:lang w:eastAsia="en-US"/>
              </w:rPr>
              <w:t>,</w:t>
            </w:r>
            <w:r w:rsidR="00AD3863">
              <w:rPr>
                <w:rFonts w:eastAsia="Calibri" w:cs="Arial"/>
                <w:sz w:val="14"/>
                <w:szCs w:val="14"/>
                <w:lang w:eastAsia="en-US"/>
              </w:rPr>
              <w:t>768.92</w:t>
            </w:r>
            <w:r w:rsidR="000268F6" w:rsidRPr="000268F6">
              <w:rPr>
                <w:rFonts w:eastAsia="Calibri" w:cs="Arial"/>
                <w:sz w:val="14"/>
                <w:szCs w:val="14"/>
                <w:lang w:eastAsia="en-US"/>
              </w:rPr>
              <w:t xml:space="preserve"> (cpi indexed)</w:t>
            </w:r>
          </w:p>
        </w:tc>
        <w:tc>
          <w:tcPr>
            <w:tcW w:w="1133" w:type="dxa"/>
            <w:shd w:val="clear" w:color="auto" w:fill="auto"/>
            <w:tcMar>
              <w:top w:w="80" w:type="dxa"/>
              <w:left w:w="80" w:type="dxa"/>
              <w:bottom w:w="80" w:type="dxa"/>
              <w:right w:w="80" w:type="dxa"/>
            </w:tcMar>
          </w:tcPr>
          <w:p w14:paraId="68DCB277" w14:textId="777777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Comcare —</w:t>
            </w:r>
          </w:p>
          <w:p w14:paraId="75B768E0" w14:textId="6A2E6F7A"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w:t>
            </w:r>
            <w:r w:rsidR="00164DBA">
              <w:rPr>
                <w:rFonts w:eastAsia="Calibri" w:cs="Arial"/>
                <w:sz w:val="14"/>
                <w:szCs w:val="14"/>
                <w:lang w:eastAsia="en-US"/>
              </w:rPr>
              <w:t>539,002.37</w:t>
            </w:r>
            <w:r w:rsidRPr="000268F6">
              <w:rPr>
                <w:rFonts w:eastAsia="Calibri" w:cs="Arial"/>
                <w:sz w:val="14"/>
                <w:szCs w:val="14"/>
                <w:lang w:eastAsia="en-US"/>
              </w:rPr>
              <w:t xml:space="preserve"> lump sum + </w:t>
            </w:r>
          </w:p>
          <w:p w14:paraId="183F5DED" w14:textId="75FE1F74" w:rsidR="000268F6" w:rsidRPr="000268F6" w:rsidRDefault="000268F6" w:rsidP="00164DBA">
            <w:pPr>
              <w:spacing w:after="60"/>
              <w:rPr>
                <w:rFonts w:eastAsia="Calibri" w:cs="Arial"/>
                <w:sz w:val="14"/>
                <w:szCs w:val="14"/>
                <w:lang w:eastAsia="en-US"/>
              </w:rPr>
            </w:pPr>
            <w:r w:rsidRPr="000268F6">
              <w:rPr>
                <w:rFonts w:eastAsia="Calibri" w:cs="Arial"/>
                <w:sz w:val="14"/>
                <w:szCs w:val="14"/>
                <w:lang w:eastAsia="en-US"/>
              </w:rPr>
              <w:t>$</w:t>
            </w:r>
            <w:r w:rsidR="00164DBA">
              <w:rPr>
                <w:rFonts w:eastAsia="Calibri" w:cs="Arial"/>
                <w:sz w:val="14"/>
                <w:szCs w:val="14"/>
                <w:lang w:eastAsia="en-US"/>
              </w:rPr>
              <w:t xml:space="preserve">11,828.87 </w:t>
            </w:r>
            <w:r w:rsidRPr="000268F6">
              <w:rPr>
                <w:rFonts w:eastAsia="Calibri" w:cs="Arial"/>
                <w:sz w:val="14"/>
                <w:szCs w:val="14"/>
                <w:lang w:eastAsia="en-US"/>
              </w:rPr>
              <w:t>funeral + $</w:t>
            </w:r>
            <w:r w:rsidR="00164DBA">
              <w:rPr>
                <w:rFonts w:eastAsia="Calibri" w:cs="Arial"/>
                <w:sz w:val="14"/>
                <w:szCs w:val="14"/>
                <w:lang w:eastAsia="en-US"/>
              </w:rPr>
              <w:t>148.23</w:t>
            </w:r>
            <w:r w:rsidR="00F6068C">
              <w:rPr>
                <w:rFonts w:eastAsia="Calibri" w:cs="Arial"/>
                <w:sz w:val="14"/>
                <w:szCs w:val="14"/>
                <w:lang w:eastAsia="en-US"/>
              </w:rPr>
              <w:t xml:space="preserve"> pw for each dependent child</w:t>
            </w:r>
          </w:p>
        </w:tc>
        <w:tc>
          <w:tcPr>
            <w:tcW w:w="1133" w:type="dxa"/>
            <w:shd w:val="clear" w:color="auto" w:fill="auto"/>
            <w:tcMar>
              <w:top w:w="79" w:type="dxa"/>
              <w:left w:w="79" w:type="dxa"/>
              <w:bottom w:w="79" w:type="dxa"/>
              <w:right w:w="79" w:type="dxa"/>
            </w:tcMar>
          </w:tcPr>
          <w:p w14:paraId="52030D03" w14:textId="788FA0ED" w:rsidR="000268F6" w:rsidRPr="000268F6" w:rsidRDefault="000268F6" w:rsidP="00164DBA">
            <w:pPr>
              <w:spacing w:after="60"/>
              <w:rPr>
                <w:rFonts w:eastAsia="Calibri" w:cs="Arial"/>
                <w:sz w:val="14"/>
                <w:szCs w:val="14"/>
                <w:lang w:eastAsia="en-US"/>
              </w:rPr>
            </w:pPr>
            <w:r w:rsidRPr="000268F6">
              <w:rPr>
                <w:rFonts w:eastAsia="Calibri" w:cs="Arial"/>
                <w:sz w:val="14"/>
                <w:szCs w:val="14"/>
                <w:lang w:eastAsia="en-US"/>
              </w:rPr>
              <w:t>$</w:t>
            </w:r>
            <w:r w:rsidR="00164DBA">
              <w:rPr>
                <w:rFonts w:eastAsia="Calibri" w:cs="Arial"/>
                <w:sz w:val="14"/>
                <w:szCs w:val="14"/>
                <w:lang w:eastAsia="en-US"/>
              </w:rPr>
              <w:t>539,002.37</w:t>
            </w:r>
            <w:r w:rsidRPr="000268F6">
              <w:rPr>
                <w:rFonts w:eastAsia="Calibri" w:cs="Arial"/>
                <w:sz w:val="14"/>
                <w:szCs w:val="14"/>
                <w:lang w:eastAsia="en-US"/>
              </w:rPr>
              <w:t xml:space="preserve"> lump sum + </w:t>
            </w:r>
            <w:r w:rsidR="00E32E61">
              <w:rPr>
                <w:rFonts w:eastAsia="Calibri" w:cs="Arial"/>
                <w:sz w:val="14"/>
                <w:szCs w:val="14"/>
                <w:lang w:eastAsia="en-US"/>
              </w:rPr>
              <w:br/>
            </w:r>
            <w:r w:rsidRPr="000268F6">
              <w:rPr>
                <w:rFonts w:eastAsia="Calibri" w:cs="Arial"/>
                <w:sz w:val="14"/>
                <w:szCs w:val="14"/>
                <w:lang w:eastAsia="en-US"/>
              </w:rPr>
              <w:t>$</w:t>
            </w:r>
            <w:r w:rsidR="00164DBA">
              <w:rPr>
                <w:rFonts w:eastAsia="Calibri" w:cs="Arial"/>
                <w:sz w:val="14"/>
                <w:szCs w:val="14"/>
                <w:lang w:eastAsia="en-US"/>
              </w:rPr>
              <w:t>6,432.81</w:t>
            </w:r>
            <w:r w:rsidRPr="000268F6">
              <w:rPr>
                <w:rFonts w:eastAsia="Calibri" w:cs="Arial"/>
                <w:sz w:val="14"/>
                <w:szCs w:val="14"/>
                <w:lang w:eastAsia="en-US"/>
              </w:rPr>
              <w:t xml:space="preserve"> funeral + $</w:t>
            </w:r>
            <w:r w:rsidR="00164DBA">
              <w:rPr>
                <w:rFonts w:eastAsia="Calibri" w:cs="Arial"/>
                <w:sz w:val="14"/>
                <w:szCs w:val="14"/>
                <w:lang w:eastAsia="en-US"/>
              </w:rPr>
              <w:t>148.23</w:t>
            </w:r>
            <w:r w:rsidR="00F6068C">
              <w:rPr>
                <w:rFonts w:eastAsia="Calibri" w:cs="Arial"/>
                <w:sz w:val="14"/>
                <w:szCs w:val="14"/>
                <w:lang w:eastAsia="en-US"/>
              </w:rPr>
              <w:t xml:space="preserve"> for each dependent child</w:t>
            </w:r>
          </w:p>
        </w:tc>
        <w:tc>
          <w:tcPr>
            <w:tcW w:w="1105" w:type="dxa"/>
            <w:shd w:val="clear" w:color="auto" w:fill="auto"/>
            <w:tcMar>
              <w:top w:w="80" w:type="dxa"/>
              <w:left w:w="80" w:type="dxa"/>
              <w:bottom w:w="80" w:type="dxa"/>
              <w:right w:w="80" w:type="dxa"/>
            </w:tcMar>
          </w:tcPr>
          <w:p w14:paraId="3D3F66F6" w14:textId="678F8CC6" w:rsidR="00D552BE" w:rsidRDefault="00D552BE" w:rsidP="00B21723">
            <w:pPr>
              <w:spacing w:after="60"/>
              <w:rPr>
                <w:rFonts w:eastAsia="Calibri" w:cs="Arial"/>
                <w:sz w:val="14"/>
                <w:szCs w:val="14"/>
                <w:lang w:eastAsia="en-US"/>
              </w:rPr>
            </w:pPr>
            <w:r>
              <w:rPr>
                <w:rFonts w:eastAsia="Calibri" w:cs="Arial"/>
                <w:sz w:val="14"/>
                <w:szCs w:val="14"/>
                <w:lang w:eastAsia="en-US"/>
              </w:rPr>
              <w:t xml:space="preserve">MRCA — Dependent partner receives $461.25 + $146,210.34 additional compensation for service related death + $2,587.55 financial and legal advice + for each dependent child ($87,726.20 + $429.75 + $143.75 pw) + up to $87,726.20 for an ‘other </w:t>
            </w:r>
            <w:r>
              <w:rPr>
                <w:rFonts w:eastAsia="Calibri" w:cs="Arial"/>
                <w:sz w:val="14"/>
                <w:szCs w:val="14"/>
                <w:lang w:eastAsia="en-US"/>
              </w:rPr>
              <w:lastRenderedPageBreak/>
              <w:t>dependent’.</w:t>
            </w:r>
          </w:p>
          <w:p w14:paraId="49541821" w14:textId="18464AA5" w:rsidR="00D552BE" w:rsidRPr="000268F6" w:rsidRDefault="00D552BE" w:rsidP="00B21723">
            <w:pPr>
              <w:spacing w:after="60"/>
              <w:rPr>
                <w:rFonts w:eastAsia="Calibri" w:cs="Arial"/>
                <w:sz w:val="14"/>
                <w:szCs w:val="14"/>
                <w:lang w:eastAsia="en-US"/>
              </w:rPr>
            </w:pPr>
            <w:r>
              <w:rPr>
                <w:rFonts w:eastAsia="Calibri" w:cs="Arial"/>
                <w:sz w:val="14"/>
                <w:szCs w:val="14"/>
                <w:lang w:eastAsia="en-US"/>
              </w:rPr>
              <w:t>DRCA — $539,002.37 lump sum + $148.23 pw for each dependent child + additional death benefit lump sum $59,506.61 + $87,465.21 for each dependent child + $1674.36 financial advice.</w:t>
            </w:r>
          </w:p>
        </w:tc>
        <w:tc>
          <w:tcPr>
            <w:tcW w:w="1093" w:type="dxa"/>
            <w:shd w:val="clear" w:color="auto" w:fill="auto"/>
          </w:tcPr>
          <w:p w14:paraId="3A2E92F7" w14:textId="697E174F" w:rsidR="000268F6" w:rsidRPr="000268F6" w:rsidRDefault="000268F6" w:rsidP="00DF5481">
            <w:pPr>
              <w:spacing w:after="60"/>
              <w:ind w:left="110"/>
              <w:rPr>
                <w:rFonts w:eastAsia="Calibri" w:cs="Arial"/>
                <w:sz w:val="14"/>
                <w:szCs w:val="14"/>
                <w:lang w:eastAsia="en-US"/>
              </w:rPr>
            </w:pPr>
            <w:r w:rsidRPr="000268F6">
              <w:rPr>
                <w:rFonts w:eastAsia="Calibri" w:cs="Arial"/>
                <w:sz w:val="14"/>
                <w:szCs w:val="14"/>
                <w:lang w:eastAsia="en-US"/>
              </w:rPr>
              <w:lastRenderedPageBreak/>
              <w:t>Up to $</w:t>
            </w:r>
            <w:r w:rsidR="00E368CE">
              <w:rPr>
                <w:rFonts w:eastAsia="Calibri" w:cs="Arial"/>
                <w:sz w:val="14"/>
                <w:szCs w:val="14"/>
                <w:lang w:eastAsia="en-US"/>
              </w:rPr>
              <w:t>136,705.79</w:t>
            </w:r>
            <w:r w:rsidRPr="000268F6">
              <w:rPr>
                <w:rFonts w:eastAsia="Calibri" w:cs="Arial"/>
                <w:sz w:val="14"/>
                <w:szCs w:val="14"/>
                <w:lang w:eastAsia="en-US"/>
              </w:rPr>
              <w:t xml:space="preserve"> lump sum + Survivors grant of $6</w:t>
            </w:r>
            <w:r w:rsidR="004761CF">
              <w:rPr>
                <w:rFonts w:eastAsia="Calibri" w:cs="Arial"/>
                <w:sz w:val="14"/>
                <w:szCs w:val="14"/>
                <w:lang w:eastAsia="en-US"/>
              </w:rPr>
              <w:t>,</w:t>
            </w:r>
            <w:r w:rsidRPr="000268F6">
              <w:rPr>
                <w:rFonts w:eastAsia="Calibri" w:cs="Arial"/>
                <w:sz w:val="14"/>
                <w:szCs w:val="14"/>
                <w:lang w:eastAsia="en-US"/>
              </w:rPr>
              <w:t>455.40 + Funeral grant of $6</w:t>
            </w:r>
            <w:r w:rsidR="004761CF">
              <w:rPr>
                <w:rFonts w:eastAsia="Calibri" w:cs="Arial"/>
                <w:sz w:val="14"/>
                <w:szCs w:val="14"/>
                <w:lang w:eastAsia="en-US"/>
              </w:rPr>
              <w:t>,</w:t>
            </w:r>
            <w:r w:rsidRPr="000268F6">
              <w:rPr>
                <w:rFonts w:eastAsia="Calibri" w:cs="Arial"/>
                <w:sz w:val="14"/>
                <w:szCs w:val="14"/>
                <w:lang w:eastAsia="en-US"/>
              </w:rPr>
              <w:t>021.11.</w:t>
            </w:r>
          </w:p>
          <w:p w14:paraId="27C8D391" w14:textId="7D4E0241" w:rsidR="000268F6" w:rsidRPr="000268F6" w:rsidRDefault="000268F6" w:rsidP="00DF5481">
            <w:pPr>
              <w:spacing w:after="60"/>
              <w:ind w:left="110"/>
              <w:rPr>
                <w:rFonts w:eastAsia="Calibri" w:cs="Arial"/>
                <w:sz w:val="14"/>
                <w:szCs w:val="14"/>
                <w:lang w:eastAsia="en-US"/>
              </w:rPr>
            </w:pPr>
            <w:r w:rsidRPr="000268F6">
              <w:rPr>
                <w:rFonts w:eastAsia="Calibri" w:cs="Arial"/>
                <w:sz w:val="14"/>
                <w:szCs w:val="14"/>
                <w:lang w:eastAsia="en-US"/>
              </w:rPr>
              <w:t>Child care payments of $137.27 p/w for one child, $82.35 p/w each for two children, or $192.18 pw in t</w:t>
            </w:r>
            <w:r w:rsidR="00F6068C">
              <w:rPr>
                <w:rFonts w:eastAsia="Calibri" w:cs="Arial"/>
                <w:sz w:val="14"/>
                <w:szCs w:val="14"/>
                <w:lang w:eastAsia="en-US"/>
              </w:rPr>
              <w:t>otal for three or more children</w:t>
            </w:r>
          </w:p>
          <w:p w14:paraId="5E69203D" w14:textId="77777777" w:rsidR="000268F6" w:rsidRPr="000268F6" w:rsidRDefault="000268F6" w:rsidP="00B21723">
            <w:pPr>
              <w:spacing w:after="60"/>
              <w:rPr>
                <w:rFonts w:eastAsia="Calibri" w:cs="Arial"/>
                <w:sz w:val="14"/>
                <w:szCs w:val="14"/>
                <w:lang w:eastAsia="en-US"/>
              </w:rPr>
            </w:pPr>
          </w:p>
        </w:tc>
      </w:tr>
      <w:bookmarkEnd w:id="54"/>
    </w:tbl>
    <w:p w14:paraId="56C22B50" w14:textId="5ED83E81" w:rsidR="004B499F" w:rsidRDefault="004B499F" w:rsidP="004B499F">
      <w:pPr>
        <w:rPr>
          <w:rFonts w:eastAsiaTheme="minorHAnsi"/>
          <w:sz w:val="16"/>
          <w:szCs w:val="16"/>
          <w:lang w:val="en-GB"/>
        </w:rPr>
      </w:pPr>
    </w:p>
    <w:p w14:paraId="72047B5F" w14:textId="2F1E8BC5" w:rsidR="00C66972" w:rsidRPr="0084535B" w:rsidRDefault="00C66972" w:rsidP="0084535B">
      <w:pPr>
        <w:rPr>
          <w:rFonts w:eastAsiaTheme="minorHAnsi"/>
          <w:sz w:val="16"/>
          <w:szCs w:val="16"/>
          <w:lang w:val="en-GB"/>
        </w:rPr>
      </w:pPr>
      <w:r w:rsidRPr="0084535B">
        <w:rPr>
          <w:rFonts w:eastAsiaTheme="minorHAnsi"/>
          <w:sz w:val="16"/>
          <w:szCs w:val="16"/>
          <w:lang w:val="en-GB"/>
        </w:rPr>
        <w:t>Entitlements benefits in New South Wales, Western Australia, Victoria, Tasmania, Queensland, Northern Territory, Australian Capital Territory and New Zealand do not include superannuation contributions. Compensation in the form of superannuation contribution is payable in Victoria after 52 weeks of weekly payments</w:t>
      </w:r>
      <w:r w:rsidR="00C70A25">
        <w:rPr>
          <w:rFonts w:eastAsiaTheme="minorHAnsi"/>
          <w:sz w:val="16"/>
          <w:szCs w:val="16"/>
          <w:lang w:val="en-GB"/>
        </w:rPr>
        <w:t>.</w:t>
      </w:r>
    </w:p>
    <w:p w14:paraId="30FDDE27" w14:textId="3E5ECEB0" w:rsidR="00C66972" w:rsidRPr="00762F09" w:rsidRDefault="00C66972" w:rsidP="00F839DB">
      <w:pPr>
        <w:pStyle w:val="ListParagraph"/>
        <w:numPr>
          <w:ilvl w:val="0"/>
          <w:numId w:val="478"/>
        </w:numPr>
        <w:contextualSpacing/>
        <w:rPr>
          <w:rFonts w:eastAsiaTheme="minorHAnsi"/>
          <w:sz w:val="16"/>
          <w:szCs w:val="16"/>
        </w:rPr>
      </w:pPr>
      <w:r w:rsidRPr="00762F09">
        <w:rPr>
          <w:rFonts w:eastAsiaTheme="minorHAnsi"/>
          <w:sz w:val="16"/>
          <w:szCs w:val="16"/>
        </w:rPr>
        <w:t xml:space="preserve">No, unless overtime was a requirement of the worker’s contract of employment, the overtime was worked in accordance with a regular and established pattern and in accordance with a roster, the pattern was substantially uniform as to the number of overtime hours worked and the worker would have continued to work overtime in accordance with the established pattern if the worker had not been incapacitated </w:t>
      </w:r>
      <w:hyperlink r:id="rId270" w:history="1">
        <w:r w:rsidRPr="008B3283">
          <w:rPr>
            <w:rStyle w:val="Hyperlink"/>
            <w:rFonts w:eastAsiaTheme="minorHAnsi"/>
            <w:sz w:val="16"/>
            <w:szCs w:val="16"/>
          </w:rPr>
          <w:t>s70(2)(ab)</w:t>
        </w:r>
      </w:hyperlink>
      <w:r w:rsidRPr="00762F09">
        <w:rPr>
          <w:rFonts w:eastAsiaTheme="minorHAnsi"/>
          <w:sz w:val="16"/>
          <w:szCs w:val="16"/>
        </w:rPr>
        <w:t>.</w:t>
      </w:r>
    </w:p>
    <w:p w14:paraId="164054B7" w14:textId="77777777" w:rsidR="00C66972" w:rsidRPr="00762F09" w:rsidRDefault="00C66972" w:rsidP="00F839DB">
      <w:pPr>
        <w:pStyle w:val="ListParagraph"/>
        <w:numPr>
          <w:ilvl w:val="0"/>
          <w:numId w:val="478"/>
        </w:numPr>
        <w:contextualSpacing/>
        <w:rPr>
          <w:rFonts w:eastAsiaTheme="minorHAnsi"/>
          <w:sz w:val="16"/>
          <w:szCs w:val="16"/>
          <w:lang w:val="en-GB"/>
        </w:rPr>
      </w:pPr>
      <w:r w:rsidRPr="00762F09">
        <w:rPr>
          <w:rFonts w:eastAsiaTheme="minorHAnsi"/>
          <w:sz w:val="16"/>
          <w:szCs w:val="16"/>
          <w:lang w:val="en-GB"/>
        </w:rPr>
        <w:t>Payment thresholds and specific benefit arrangements may also apply. The relevant jurisdiction should be contacted directly if further information is required.</w:t>
      </w:r>
    </w:p>
    <w:p w14:paraId="3CFE9C17" w14:textId="6FFBFF5A" w:rsidR="008614F2" w:rsidRPr="00762F09" w:rsidRDefault="00C66972" w:rsidP="00F839DB">
      <w:pPr>
        <w:pStyle w:val="ListParagraph"/>
        <w:numPr>
          <w:ilvl w:val="0"/>
          <w:numId w:val="478"/>
        </w:numPr>
        <w:contextualSpacing/>
        <w:rPr>
          <w:rFonts w:eastAsiaTheme="minorHAnsi"/>
          <w:sz w:val="16"/>
          <w:szCs w:val="16"/>
          <w:lang w:val="en-GB"/>
        </w:rPr>
      </w:pPr>
      <w:r w:rsidRPr="00762F09">
        <w:rPr>
          <w:rFonts w:eastAsiaTheme="minorHAnsi"/>
          <w:sz w:val="16"/>
          <w:szCs w:val="16"/>
          <w:lang w:val="en-GB"/>
        </w:rPr>
        <w:t>NWE — normal weekly earnings</w:t>
      </w:r>
      <w:r w:rsidR="00791093" w:rsidRPr="00762F09">
        <w:rPr>
          <w:rFonts w:eastAsiaTheme="minorHAnsi"/>
          <w:sz w:val="16"/>
          <w:szCs w:val="16"/>
          <w:lang w:val="en-GB"/>
        </w:rPr>
        <w:fldChar w:fldCharType="begin"/>
      </w:r>
      <w:r w:rsidR="00791093">
        <w:instrText xml:space="preserve"> XE "</w:instrText>
      </w:r>
      <w:r w:rsidR="00791093" w:rsidRPr="00762F09">
        <w:rPr>
          <w:rFonts w:eastAsiaTheme="minorHAnsi"/>
        </w:rPr>
        <w:instrText>weekly earnings</w:instrText>
      </w:r>
      <w:r w:rsidR="00791093">
        <w:instrText xml:space="preserve">" </w:instrText>
      </w:r>
      <w:r w:rsidR="00791093" w:rsidRPr="00762F09">
        <w:rPr>
          <w:rFonts w:eastAsiaTheme="minorHAnsi"/>
          <w:sz w:val="16"/>
          <w:szCs w:val="16"/>
          <w:lang w:val="en-GB"/>
        </w:rPr>
        <w:fldChar w:fldCharType="end"/>
      </w:r>
      <w:r w:rsidRPr="00762F09">
        <w:rPr>
          <w:rFonts w:eastAsiaTheme="minorHAnsi"/>
          <w:sz w:val="16"/>
          <w:szCs w:val="16"/>
          <w:lang w:val="en-GB"/>
        </w:rPr>
        <w:t xml:space="preserve"> (except South Australia where NWE denotes notional weekly earnings), QOTE — the amount of Queensland full-time adult persons ordinary time earnings declared by the Australian Statistician in the original series of the statistician’s average weekly earnings publication most recently published before the start of the financial year, or, if that amount is less than QOTE for the previous financial year—the amount that is QOTE for the previous financial year. </w:t>
      </w:r>
      <w:r w:rsidR="008D7200">
        <w:rPr>
          <w:rFonts w:eastAsiaTheme="minorHAnsi"/>
          <w:sz w:val="16"/>
          <w:szCs w:val="16"/>
          <w:lang w:val="en-GB"/>
        </w:rPr>
        <w:t>QOTE for 2017–18 is $1,482.10.</w:t>
      </w:r>
    </w:p>
    <w:p w14:paraId="0EB6ED42" w14:textId="77777777" w:rsidR="00C66972" w:rsidRPr="00762F09" w:rsidRDefault="00C66972" w:rsidP="00F839DB">
      <w:pPr>
        <w:pStyle w:val="ListParagraph"/>
        <w:numPr>
          <w:ilvl w:val="0"/>
          <w:numId w:val="478"/>
        </w:numPr>
        <w:contextualSpacing/>
        <w:rPr>
          <w:rFonts w:eastAsiaTheme="minorHAnsi"/>
          <w:sz w:val="16"/>
          <w:szCs w:val="16"/>
          <w:lang w:val="en-GB"/>
        </w:rPr>
      </w:pPr>
      <w:r w:rsidRPr="00762F09">
        <w:rPr>
          <w:rFonts w:eastAsiaTheme="minorHAnsi"/>
          <w:sz w:val="16"/>
          <w:szCs w:val="16"/>
          <w:lang w:val="en-GB"/>
        </w:rPr>
        <w:t>Lump sums maximum and Death entitlements are updated on annual basis and may since have been changed</w:t>
      </w:r>
      <w:r w:rsidR="00762F09">
        <w:rPr>
          <w:rFonts w:eastAsiaTheme="minorHAnsi"/>
          <w:sz w:val="16"/>
          <w:szCs w:val="16"/>
          <w:lang w:val="en-GB"/>
        </w:rPr>
        <w:t>.</w:t>
      </w:r>
    </w:p>
    <w:p w14:paraId="1AB8BAB8" w14:textId="77777777" w:rsidR="00C66972" w:rsidRPr="00762F09" w:rsidRDefault="00C66972" w:rsidP="00F839DB">
      <w:pPr>
        <w:pStyle w:val="ListParagraph"/>
        <w:numPr>
          <w:ilvl w:val="0"/>
          <w:numId w:val="478"/>
        </w:numPr>
        <w:rPr>
          <w:rFonts w:eastAsiaTheme="minorHAnsi"/>
          <w:sz w:val="16"/>
          <w:szCs w:val="16"/>
          <w:lang w:val="en-GB"/>
        </w:rPr>
      </w:pPr>
      <w:r w:rsidRPr="00762F09">
        <w:rPr>
          <w:rFonts w:eastAsiaTheme="minorHAnsi"/>
          <w:sz w:val="16"/>
          <w:szCs w:val="16"/>
          <w:lang w:val="en-GB"/>
        </w:rPr>
        <w:t>Lump sum shared under statutory formulae between spouse and children. Pension payable to partner for 3 years and to children until age of 16 (or 21 in full-time study).</w:t>
      </w:r>
    </w:p>
    <w:p w14:paraId="3BDFF218" w14:textId="384FBFAF" w:rsidR="00C66972" w:rsidRPr="0084535B" w:rsidRDefault="00A54D3B" w:rsidP="0084535B">
      <w:pPr>
        <w:rPr>
          <w:rFonts w:eastAsiaTheme="minorHAnsi"/>
          <w:sz w:val="16"/>
          <w:szCs w:val="16"/>
          <w:lang w:val="en-GB"/>
        </w:rPr>
      </w:pPr>
      <w:r>
        <w:rPr>
          <w:rFonts w:eastAsiaTheme="minorHAnsi"/>
          <w:sz w:val="16"/>
          <w:szCs w:val="16"/>
          <w:lang w:val="en-GB"/>
        </w:rPr>
        <w:t xml:space="preserve">* </w:t>
      </w:r>
      <w:r w:rsidR="00C66972" w:rsidRPr="0084535B">
        <w:rPr>
          <w:rFonts w:eastAsiaTheme="minorHAnsi"/>
          <w:sz w:val="16"/>
          <w:szCs w:val="16"/>
          <w:lang w:val="en-GB"/>
        </w:rPr>
        <w:t>NSW Exemptions:</w:t>
      </w:r>
      <w:r w:rsidR="00DD0D68">
        <w:rPr>
          <w:rFonts w:eastAsiaTheme="minorHAnsi"/>
          <w:sz w:val="16"/>
          <w:szCs w:val="16"/>
          <w:lang w:val="en-GB"/>
        </w:rPr>
        <w:t xml:space="preserve"> </w:t>
      </w:r>
    </w:p>
    <w:p w14:paraId="195766FA" w14:textId="5B1FC4EE" w:rsidR="00C66972" w:rsidRPr="0084535B" w:rsidRDefault="00C66972" w:rsidP="0084535B">
      <w:pPr>
        <w:pStyle w:val="ListParagraph"/>
        <w:numPr>
          <w:ilvl w:val="0"/>
          <w:numId w:val="5"/>
        </w:numPr>
        <w:ind w:left="357" w:hanging="357"/>
        <w:contextualSpacing/>
        <w:rPr>
          <w:rFonts w:eastAsiaTheme="minorHAnsi"/>
          <w:sz w:val="16"/>
          <w:szCs w:val="16"/>
        </w:rPr>
      </w:pPr>
      <w:r w:rsidRPr="0084535B">
        <w:rPr>
          <w:rFonts w:eastAsiaTheme="minorHAnsi"/>
          <w:sz w:val="16"/>
          <w:szCs w:val="16"/>
        </w:rPr>
        <w:t>police officers, paramedics and fire fighters</w:t>
      </w:r>
      <w:r w:rsidR="00DD0D68">
        <w:rPr>
          <w:rFonts w:eastAsiaTheme="minorHAnsi"/>
          <w:sz w:val="16"/>
          <w:szCs w:val="16"/>
        </w:rPr>
        <w:t xml:space="preserve"> </w:t>
      </w:r>
    </w:p>
    <w:p w14:paraId="491639A5" w14:textId="6E33EE44" w:rsidR="00C66972" w:rsidRPr="0084535B" w:rsidRDefault="00C66972" w:rsidP="0084535B">
      <w:pPr>
        <w:pStyle w:val="ListParagraph"/>
        <w:numPr>
          <w:ilvl w:val="0"/>
          <w:numId w:val="5"/>
        </w:numPr>
        <w:ind w:left="357" w:hanging="357"/>
        <w:contextualSpacing/>
        <w:rPr>
          <w:rFonts w:eastAsiaTheme="minorHAnsi"/>
          <w:sz w:val="16"/>
          <w:szCs w:val="16"/>
        </w:rPr>
      </w:pPr>
      <w:r w:rsidRPr="0084535B">
        <w:rPr>
          <w:rFonts w:eastAsiaTheme="minorHAnsi"/>
          <w:sz w:val="16"/>
          <w:szCs w:val="16"/>
        </w:rPr>
        <w:t>workers injured while working in or around a coal mine</w:t>
      </w:r>
      <w:r w:rsidR="00DD0D68">
        <w:rPr>
          <w:rFonts w:eastAsiaTheme="minorHAnsi"/>
          <w:sz w:val="16"/>
          <w:szCs w:val="16"/>
        </w:rPr>
        <w:t xml:space="preserve"> </w:t>
      </w:r>
    </w:p>
    <w:p w14:paraId="74AE4AF3" w14:textId="27CA208A" w:rsidR="00C66972" w:rsidRPr="0084535B" w:rsidRDefault="00C66972" w:rsidP="0084535B">
      <w:pPr>
        <w:pStyle w:val="ListParagraph"/>
        <w:numPr>
          <w:ilvl w:val="0"/>
          <w:numId w:val="5"/>
        </w:numPr>
        <w:ind w:left="357" w:hanging="357"/>
        <w:contextualSpacing/>
        <w:rPr>
          <w:rFonts w:eastAsiaTheme="minorHAnsi"/>
          <w:sz w:val="16"/>
          <w:szCs w:val="16"/>
        </w:rPr>
      </w:pPr>
      <w:r w:rsidRPr="0084535B">
        <w:rPr>
          <w:rFonts w:eastAsiaTheme="minorHAnsi"/>
          <w:sz w:val="16"/>
          <w:szCs w:val="16"/>
        </w:rPr>
        <w:t>bush fire fighter and emergency service volunteers (Rural Fire Service, Sur</w:t>
      </w:r>
      <w:r w:rsidR="00762F09">
        <w:rPr>
          <w:rFonts w:eastAsiaTheme="minorHAnsi"/>
          <w:sz w:val="16"/>
          <w:szCs w:val="16"/>
        </w:rPr>
        <w:t>f Life Savers, SES volunteers),</w:t>
      </w:r>
      <w:r w:rsidRPr="0084535B">
        <w:rPr>
          <w:rFonts w:eastAsiaTheme="minorHAnsi"/>
          <w:sz w:val="16"/>
          <w:szCs w:val="16"/>
        </w:rPr>
        <w:t xml:space="preserve"> and </w:t>
      </w:r>
    </w:p>
    <w:p w14:paraId="5D7E4E94" w14:textId="2D3FC167" w:rsidR="00C66972" w:rsidRPr="0084535B" w:rsidRDefault="00C66972" w:rsidP="0084535B">
      <w:pPr>
        <w:pStyle w:val="ListParagraph"/>
        <w:numPr>
          <w:ilvl w:val="0"/>
          <w:numId w:val="5"/>
        </w:numPr>
        <w:rPr>
          <w:rFonts w:eastAsiaTheme="minorHAnsi"/>
          <w:sz w:val="16"/>
          <w:szCs w:val="16"/>
        </w:rPr>
      </w:pPr>
      <w:r w:rsidRPr="0084535B">
        <w:rPr>
          <w:rFonts w:eastAsiaTheme="minorHAnsi"/>
          <w:sz w:val="16"/>
          <w:szCs w:val="16"/>
        </w:rPr>
        <w:t xml:space="preserve">people with a dust disease claim under the </w:t>
      </w:r>
      <w:r w:rsidRPr="00163791">
        <w:rPr>
          <w:rFonts w:eastAsiaTheme="minorHAnsi"/>
          <w:i/>
          <w:sz w:val="16"/>
          <w:szCs w:val="16"/>
        </w:rPr>
        <w:t>Workers’ Compensation (Dust Diseases) Act 1942</w:t>
      </w:r>
      <w:r w:rsidRPr="0084535B">
        <w:rPr>
          <w:rFonts w:eastAsiaTheme="minorHAnsi"/>
          <w:sz w:val="16"/>
          <w:szCs w:val="16"/>
        </w:rPr>
        <w:t xml:space="preserve">. </w:t>
      </w:r>
      <w:r w:rsidR="00C7036A">
        <w:rPr>
          <w:rFonts w:eastAsiaTheme="minorHAnsi"/>
          <w:sz w:val="16"/>
          <w:szCs w:val="16"/>
        </w:rPr>
        <w:fldChar w:fldCharType="begin"/>
      </w:r>
      <w:r w:rsidR="00C7036A">
        <w:instrText xml:space="preserve"> XE "</w:instrText>
      </w:r>
      <w:r w:rsidR="00C7036A" w:rsidRPr="001854C8">
        <w:instrText>dust diseases</w:instrText>
      </w:r>
      <w:r w:rsidR="00C7036A">
        <w:instrText xml:space="preserve">" </w:instrText>
      </w:r>
      <w:r w:rsidR="00C7036A">
        <w:rPr>
          <w:rFonts w:eastAsiaTheme="minorHAnsi"/>
          <w:sz w:val="16"/>
          <w:szCs w:val="16"/>
        </w:rPr>
        <w:fldChar w:fldCharType="end"/>
      </w:r>
    </w:p>
    <w:p w14:paraId="519958CF" w14:textId="77777777" w:rsidR="00C66972" w:rsidRPr="0084535B" w:rsidRDefault="00C66972" w:rsidP="0084535B">
      <w:pPr>
        <w:rPr>
          <w:rFonts w:eastAsiaTheme="minorHAnsi"/>
          <w:sz w:val="16"/>
          <w:szCs w:val="16"/>
          <w:lang w:val="en-GB"/>
        </w:rPr>
      </w:pPr>
      <w:r w:rsidRPr="0084535B">
        <w:rPr>
          <w:rFonts w:eastAsiaTheme="minorHAnsi"/>
          <w:sz w:val="16"/>
          <w:szCs w:val="16"/>
          <w:lang w:val="en-GB"/>
        </w:rPr>
        <w:t>Claims by these exempt workers continue to be managed and administered as though the June 2012 changes never occurred.</w:t>
      </w:r>
    </w:p>
    <w:p w14:paraId="6D650191" w14:textId="72895899" w:rsidR="00C66972" w:rsidRPr="00A80282" w:rsidRDefault="00C66972" w:rsidP="00A80282">
      <w:pPr>
        <w:pStyle w:val="SWATableheader"/>
      </w:pPr>
      <w:bookmarkStart w:id="56" w:name="_Toc504654644"/>
      <w:r w:rsidRPr="00A80282">
        <w:lastRenderedPageBreak/>
        <w:t>Table 2.6: Prescribed time periods for injury notification</w:t>
      </w:r>
      <w:bookmarkEnd w:id="56"/>
      <w:r w:rsidRPr="00A80282">
        <w:t xml:space="preserve"> </w:t>
      </w:r>
      <w:r w:rsidR="005E71F1" w:rsidRPr="00A80282">
        <w:fldChar w:fldCharType="begin"/>
      </w:r>
      <w:r w:rsidR="005E71F1" w:rsidRPr="00A80282">
        <w:instrText xml:space="preserve"> XE "injury:prescribed time periods for notification" </w:instrText>
      </w:r>
      <w:r w:rsidR="005E71F1"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6: Prescribed time periods for injury notification  "/>
        <w:tblDescription w:val="This table provides the prescribed time periods for injury notification under each workers' compensation scheme. "/>
      </w:tblPr>
      <w:tblGrid>
        <w:gridCol w:w="1928"/>
        <w:gridCol w:w="3376"/>
        <w:gridCol w:w="3377"/>
        <w:gridCol w:w="3377"/>
        <w:gridCol w:w="3377"/>
      </w:tblGrid>
      <w:tr w:rsidR="0084535B" w:rsidRPr="00FC3751" w14:paraId="58A8F55D" w14:textId="77777777" w:rsidTr="00FB729B">
        <w:trPr>
          <w:tblHeader/>
        </w:trPr>
        <w:tc>
          <w:tcPr>
            <w:tcW w:w="1928" w:type="dxa"/>
            <w:shd w:val="clear" w:color="auto" w:fill="C00000"/>
            <w:tcMar>
              <w:top w:w="0" w:type="dxa"/>
              <w:left w:w="0" w:type="dxa"/>
              <w:bottom w:w="0" w:type="dxa"/>
              <w:right w:w="0" w:type="dxa"/>
            </w:tcMar>
            <w:vAlign w:val="center"/>
          </w:tcPr>
          <w:p w14:paraId="56FA1AA7" w14:textId="77777777" w:rsidR="0084535B" w:rsidRPr="00FC3751" w:rsidRDefault="0084535B" w:rsidP="00B21723">
            <w:pPr>
              <w:pStyle w:val="Tableheaderrow"/>
              <w:spacing w:after="60"/>
            </w:pPr>
          </w:p>
        </w:tc>
        <w:tc>
          <w:tcPr>
            <w:tcW w:w="3376" w:type="dxa"/>
            <w:shd w:val="clear" w:color="auto" w:fill="C00000"/>
            <w:tcMar>
              <w:top w:w="0" w:type="dxa"/>
              <w:left w:w="0" w:type="dxa"/>
              <w:bottom w:w="0" w:type="dxa"/>
              <w:right w:w="0" w:type="dxa"/>
            </w:tcMar>
            <w:vAlign w:val="center"/>
          </w:tcPr>
          <w:p w14:paraId="53DD56B4" w14:textId="77777777" w:rsidR="0084535B" w:rsidRPr="00FC3751" w:rsidRDefault="0084535B" w:rsidP="00B21723">
            <w:pPr>
              <w:pStyle w:val="Tableheaderrow"/>
              <w:spacing w:after="60"/>
            </w:pPr>
            <w:r w:rsidRPr="00FC3751">
              <w:t>Injured worker notifies employer</w:t>
            </w:r>
            <w:r>
              <w:t xml:space="preserve"> </w:t>
            </w:r>
            <w:r w:rsidRPr="00FC3751">
              <w:t>/ insurer of injury</w:t>
            </w:r>
          </w:p>
        </w:tc>
        <w:tc>
          <w:tcPr>
            <w:tcW w:w="3377" w:type="dxa"/>
            <w:shd w:val="clear" w:color="auto" w:fill="C00000"/>
            <w:tcMar>
              <w:top w:w="0" w:type="dxa"/>
              <w:left w:w="0" w:type="dxa"/>
              <w:bottom w:w="0" w:type="dxa"/>
              <w:right w:w="0" w:type="dxa"/>
            </w:tcMar>
            <w:vAlign w:val="center"/>
          </w:tcPr>
          <w:p w14:paraId="6D540FA7" w14:textId="77777777" w:rsidR="0084535B" w:rsidRPr="00FC3751" w:rsidRDefault="0084535B" w:rsidP="00B21723">
            <w:pPr>
              <w:pStyle w:val="Tableheaderrow"/>
              <w:spacing w:after="60"/>
            </w:pPr>
            <w:r w:rsidRPr="00FC3751">
              <w:t>Employer notifies insurer</w:t>
            </w:r>
            <w:r>
              <w:t xml:space="preserve"> </w:t>
            </w:r>
            <w:r w:rsidRPr="00FC3751">
              <w:t>/ authority of injury to worker</w:t>
            </w:r>
          </w:p>
        </w:tc>
        <w:tc>
          <w:tcPr>
            <w:tcW w:w="3377" w:type="dxa"/>
            <w:shd w:val="clear" w:color="auto" w:fill="C00000"/>
            <w:tcMar>
              <w:top w:w="0" w:type="dxa"/>
              <w:left w:w="0" w:type="dxa"/>
              <w:bottom w:w="0" w:type="dxa"/>
              <w:right w:w="0" w:type="dxa"/>
            </w:tcMar>
            <w:vAlign w:val="center"/>
          </w:tcPr>
          <w:p w14:paraId="4CE978D2" w14:textId="77777777" w:rsidR="0084535B" w:rsidRPr="00FC3751" w:rsidRDefault="0084535B" w:rsidP="00B21723">
            <w:pPr>
              <w:pStyle w:val="Tableheaderrow"/>
              <w:spacing w:after="60"/>
            </w:pPr>
            <w:r w:rsidRPr="00FC3751">
              <w:t>Insurer notifies authority of injury to worker</w:t>
            </w:r>
          </w:p>
        </w:tc>
        <w:tc>
          <w:tcPr>
            <w:tcW w:w="3377" w:type="dxa"/>
            <w:shd w:val="clear" w:color="auto" w:fill="C00000"/>
            <w:tcMar>
              <w:top w:w="0" w:type="dxa"/>
              <w:left w:w="0" w:type="dxa"/>
              <w:bottom w:w="0" w:type="dxa"/>
              <w:right w:w="0" w:type="dxa"/>
            </w:tcMar>
            <w:vAlign w:val="center"/>
          </w:tcPr>
          <w:p w14:paraId="33CCF392" w14:textId="77777777" w:rsidR="0084535B" w:rsidRPr="00FC3751" w:rsidRDefault="0084535B" w:rsidP="00B21723">
            <w:pPr>
              <w:pStyle w:val="Tableheaderrow"/>
              <w:spacing w:after="60"/>
            </w:pPr>
            <w:r w:rsidRPr="00FC3751">
              <w:t>Authority notifies insurer of injury to worker</w:t>
            </w:r>
          </w:p>
        </w:tc>
      </w:tr>
      <w:tr w:rsidR="0084535B" w:rsidRPr="00FC3751" w14:paraId="2136AD80" w14:textId="77777777" w:rsidTr="00FB729B">
        <w:tc>
          <w:tcPr>
            <w:tcW w:w="1928" w:type="dxa"/>
            <w:shd w:val="clear" w:color="auto" w:fill="FFC9C9"/>
            <w:tcMar>
              <w:top w:w="80" w:type="dxa"/>
              <w:left w:w="80" w:type="dxa"/>
              <w:bottom w:w="80" w:type="dxa"/>
              <w:right w:w="80" w:type="dxa"/>
            </w:tcMar>
          </w:tcPr>
          <w:p w14:paraId="64D9DC01" w14:textId="77777777" w:rsidR="0084535B" w:rsidRPr="00FC3751" w:rsidRDefault="0084535B" w:rsidP="00B21723">
            <w:pPr>
              <w:pStyle w:val="TableColumn1bold"/>
              <w:spacing w:after="60"/>
            </w:pPr>
            <w:r w:rsidRPr="00FC3751">
              <w:t>New South Wales</w:t>
            </w:r>
          </w:p>
        </w:tc>
        <w:tc>
          <w:tcPr>
            <w:tcW w:w="3376" w:type="dxa"/>
            <w:shd w:val="clear" w:color="auto" w:fill="FFC9C9"/>
            <w:tcMar>
              <w:top w:w="80" w:type="dxa"/>
              <w:left w:w="80" w:type="dxa"/>
              <w:bottom w:w="80" w:type="dxa"/>
              <w:right w:w="80" w:type="dxa"/>
            </w:tcMar>
          </w:tcPr>
          <w:p w14:paraId="14DA0FCC" w14:textId="139F2077" w:rsidR="0084535B" w:rsidRPr="00FC3751" w:rsidRDefault="0084535B" w:rsidP="00B21723">
            <w:pPr>
              <w:pStyle w:val="Table7pttext"/>
              <w:spacing w:after="60"/>
            </w:pPr>
            <w:r w:rsidRPr="00FC3751">
              <w:t>‘…as soon as possible after the</w:t>
            </w:r>
            <w:r w:rsidR="00F21C51">
              <w:t xml:space="preserve"> injury </w:t>
            </w:r>
            <w:r w:rsidR="00382803">
              <w:t>happens.’ —</w:t>
            </w:r>
            <w:r w:rsidR="003F2196">
              <w:t xml:space="preserve"> </w:t>
            </w:r>
            <w:hyperlink r:id="rId271" w:history="1">
              <w:r w:rsidR="003F2196" w:rsidRPr="00382803">
                <w:rPr>
                  <w:rStyle w:val="Hyperlink"/>
                </w:rPr>
                <w:t>s44(1)</w:t>
              </w:r>
            </w:hyperlink>
            <w:r w:rsidR="003F2196">
              <w:t xml:space="preserve">, </w:t>
            </w:r>
            <w:r w:rsidR="003F2196" w:rsidRPr="003F2196">
              <w:rPr>
                <w:i/>
              </w:rPr>
              <w:t>Workplace Injury Management and Workers Compensation Act 1998</w:t>
            </w:r>
            <w:r w:rsidR="003F2196" w:rsidRPr="003F2196">
              <w:t xml:space="preserve">  </w:t>
            </w:r>
          </w:p>
        </w:tc>
        <w:tc>
          <w:tcPr>
            <w:tcW w:w="3377" w:type="dxa"/>
            <w:shd w:val="clear" w:color="auto" w:fill="FFC9C9"/>
            <w:tcMar>
              <w:top w:w="80" w:type="dxa"/>
              <w:left w:w="80" w:type="dxa"/>
              <w:bottom w:w="80" w:type="dxa"/>
              <w:right w:w="80" w:type="dxa"/>
            </w:tcMar>
          </w:tcPr>
          <w:p w14:paraId="0C9CBB23" w14:textId="330D7207" w:rsidR="0084535B" w:rsidRPr="00FC3751" w:rsidRDefault="0084535B" w:rsidP="00382803">
            <w:pPr>
              <w:pStyle w:val="Table7pttext"/>
              <w:spacing w:after="60"/>
            </w:pPr>
            <w:r w:rsidRPr="00FC3751">
              <w:t>‘..within 48 hours after becoming aware that a worker has received a workplace injury…’ —</w:t>
            </w:r>
            <w:r w:rsidR="00382803">
              <w:t xml:space="preserve"> </w:t>
            </w:r>
            <w:hyperlink r:id="rId272" w:history="1">
              <w:r w:rsidR="00382803" w:rsidRPr="00382803">
                <w:rPr>
                  <w:rStyle w:val="Hyperlink"/>
                </w:rPr>
                <w:t>s44(2)</w:t>
              </w:r>
            </w:hyperlink>
            <w:r w:rsidR="00382803">
              <w:t>,</w:t>
            </w:r>
            <w:r w:rsidR="00DD0D68">
              <w:t xml:space="preserve"> </w:t>
            </w:r>
            <w:r w:rsidR="00F21C51">
              <w:t>1998 Act</w:t>
            </w:r>
            <w:r w:rsidR="00F21C51" w:rsidRPr="00FC3751">
              <w:t>.</w:t>
            </w:r>
          </w:p>
        </w:tc>
        <w:tc>
          <w:tcPr>
            <w:tcW w:w="3377" w:type="dxa"/>
            <w:shd w:val="clear" w:color="auto" w:fill="FFC9C9"/>
            <w:tcMar>
              <w:top w:w="80" w:type="dxa"/>
              <w:left w:w="80" w:type="dxa"/>
              <w:bottom w:w="80" w:type="dxa"/>
              <w:right w:w="80" w:type="dxa"/>
            </w:tcMar>
          </w:tcPr>
          <w:p w14:paraId="73C3DFC4" w14:textId="1193CD66" w:rsidR="0084535B" w:rsidRPr="00FC3751" w:rsidRDefault="0084535B" w:rsidP="00B21723">
            <w:pPr>
              <w:pStyle w:val="Table7pttext"/>
              <w:spacing w:after="60"/>
            </w:pPr>
            <w:r>
              <w:t>N</w:t>
            </w:r>
            <w:r w:rsidR="00382803">
              <w:t xml:space="preserve">o time specified — </w:t>
            </w:r>
            <w:hyperlink r:id="rId273" w:history="1">
              <w:r w:rsidR="00382803" w:rsidRPr="00382803">
                <w:rPr>
                  <w:rStyle w:val="Hyperlink"/>
                </w:rPr>
                <w:t>s44(3)</w:t>
              </w:r>
            </w:hyperlink>
            <w:r w:rsidR="00382803">
              <w:t>,</w:t>
            </w:r>
            <w:r w:rsidR="006E2FCD">
              <w:t xml:space="preserve"> </w:t>
            </w:r>
            <w:r w:rsidR="00F21C51">
              <w:t>1998 Act</w:t>
            </w:r>
            <w:r w:rsidR="00F21C51" w:rsidRPr="00FC3751">
              <w:t>.</w:t>
            </w:r>
          </w:p>
        </w:tc>
        <w:tc>
          <w:tcPr>
            <w:tcW w:w="3377" w:type="dxa"/>
            <w:shd w:val="clear" w:color="auto" w:fill="FFC9C9"/>
            <w:tcMar>
              <w:top w:w="80" w:type="dxa"/>
              <w:left w:w="80" w:type="dxa"/>
              <w:bottom w:w="80" w:type="dxa"/>
              <w:right w:w="80" w:type="dxa"/>
            </w:tcMar>
          </w:tcPr>
          <w:p w14:paraId="3C6C48EE" w14:textId="4F00BC83" w:rsidR="0084535B" w:rsidRPr="00FC3751" w:rsidRDefault="00C80F74" w:rsidP="00382803">
            <w:pPr>
              <w:pStyle w:val="Table7pttext"/>
              <w:spacing w:after="60"/>
            </w:pPr>
            <w:r>
              <w:t>No time specified</w:t>
            </w:r>
            <w:r w:rsidR="0084535B" w:rsidRPr="00FC3751">
              <w:t xml:space="preserve"> —</w:t>
            </w:r>
            <w:r w:rsidR="0084535B">
              <w:t xml:space="preserve"> </w:t>
            </w:r>
            <w:hyperlink r:id="rId274" w:history="1">
              <w:r w:rsidR="00382803" w:rsidRPr="00382803">
                <w:rPr>
                  <w:rStyle w:val="Hyperlink"/>
                </w:rPr>
                <w:t>s44</w:t>
              </w:r>
              <w:r w:rsidR="0084535B" w:rsidRPr="00382803">
                <w:rPr>
                  <w:rStyle w:val="Hyperlink"/>
                </w:rPr>
                <w:t>(3A)</w:t>
              </w:r>
            </w:hyperlink>
            <w:r w:rsidR="00382803">
              <w:t>,</w:t>
            </w:r>
            <w:r w:rsidR="0084535B" w:rsidRPr="00FC3751">
              <w:t xml:space="preserve"> </w:t>
            </w:r>
            <w:r w:rsidR="00F21C51">
              <w:t>1998 Act</w:t>
            </w:r>
            <w:r w:rsidR="00F21C51" w:rsidRPr="00FC3751">
              <w:t>.</w:t>
            </w:r>
          </w:p>
        </w:tc>
      </w:tr>
      <w:tr w:rsidR="0084535B" w:rsidRPr="00FC3751" w14:paraId="1F12E192" w14:textId="77777777" w:rsidTr="00FB729B">
        <w:tc>
          <w:tcPr>
            <w:tcW w:w="1928" w:type="dxa"/>
            <w:tcMar>
              <w:top w:w="80" w:type="dxa"/>
              <w:left w:w="80" w:type="dxa"/>
              <w:bottom w:w="80" w:type="dxa"/>
              <w:right w:w="80" w:type="dxa"/>
            </w:tcMar>
          </w:tcPr>
          <w:p w14:paraId="49AAD593" w14:textId="77777777" w:rsidR="0084535B" w:rsidRPr="00FC3751" w:rsidRDefault="0084535B" w:rsidP="00B21723">
            <w:pPr>
              <w:pStyle w:val="TableColumn1bold"/>
              <w:spacing w:after="60"/>
            </w:pPr>
            <w:r w:rsidRPr="00FC3751">
              <w:t>Victoria</w:t>
            </w:r>
          </w:p>
        </w:tc>
        <w:tc>
          <w:tcPr>
            <w:tcW w:w="3376" w:type="dxa"/>
            <w:tcMar>
              <w:top w:w="80" w:type="dxa"/>
              <w:left w:w="80" w:type="dxa"/>
              <w:bottom w:w="80" w:type="dxa"/>
              <w:right w:w="80" w:type="dxa"/>
            </w:tcMar>
          </w:tcPr>
          <w:p w14:paraId="39D04C95" w14:textId="1DF8663D" w:rsidR="0084535B" w:rsidRPr="00FC3751" w:rsidRDefault="0084535B" w:rsidP="00B21723">
            <w:pPr>
              <w:pStyle w:val="Table7pttext"/>
              <w:spacing w:after="60"/>
            </w:pPr>
            <w:r w:rsidRPr="00FC3751">
              <w:t>30 days after be</w:t>
            </w:r>
            <w:r w:rsidR="00F6068C">
              <w:t xml:space="preserve">coming aware of injury — </w:t>
            </w:r>
            <w:hyperlink r:id="rId275" w:history="1">
              <w:r w:rsidR="00F6068C" w:rsidRPr="00DC0E27">
                <w:rPr>
                  <w:rStyle w:val="Hyperlink"/>
                </w:rPr>
                <w:t>s18(1)</w:t>
              </w:r>
            </w:hyperlink>
            <w:r w:rsidR="003F2196">
              <w:t xml:space="preserve">, </w:t>
            </w:r>
            <w:r w:rsidR="003F2196" w:rsidRPr="00016069">
              <w:rPr>
                <w:i/>
              </w:rPr>
              <w:t>Workplace Injury Rehabilitation and Compensation Act 2013</w:t>
            </w:r>
            <w:r w:rsidR="003F2196">
              <w:rPr>
                <w:i/>
              </w:rPr>
              <w:t>.</w:t>
            </w:r>
          </w:p>
          <w:p w14:paraId="0716C45A" w14:textId="0B18F055" w:rsidR="0084535B" w:rsidRPr="00FC3751" w:rsidRDefault="0084535B" w:rsidP="00B21723">
            <w:pPr>
              <w:pStyle w:val="Table7pttext"/>
              <w:spacing w:after="60"/>
            </w:pPr>
            <w:r w:rsidRPr="00FC3751">
              <w:t xml:space="preserve">Beyond 30 days after becoming aware of injury in certain conditions — </w:t>
            </w:r>
            <w:hyperlink r:id="rId276" w:history="1">
              <w:r w:rsidRPr="00DC0E27">
                <w:rPr>
                  <w:rStyle w:val="Hyperlink"/>
                </w:rPr>
                <w:t>s18(6)</w:t>
              </w:r>
            </w:hyperlink>
            <w:r w:rsidR="00DC0E27">
              <w:t>.</w:t>
            </w:r>
          </w:p>
        </w:tc>
        <w:tc>
          <w:tcPr>
            <w:tcW w:w="3377" w:type="dxa"/>
            <w:tcMar>
              <w:top w:w="80" w:type="dxa"/>
              <w:left w:w="80" w:type="dxa"/>
              <w:bottom w:w="80" w:type="dxa"/>
              <w:right w:w="80" w:type="dxa"/>
            </w:tcMar>
          </w:tcPr>
          <w:p w14:paraId="0F776A78" w14:textId="30E8AEC6" w:rsidR="0084535B" w:rsidRPr="00FC3751" w:rsidRDefault="0084535B" w:rsidP="00B21723">
            <w:pPr>
              <w:pStyle w:val="Table7pttext"/>
              <w:spacing w:after="60"/>
            </w:pPr>
            <w:r w:rsidRPr="00FC3751">
              <w:t xml:space="preserve"> N/A — o</w:t>
            </w:r>
            <w:r w:rsidR="00F6068C">
              <w:t>nly obligation to forward claim</w:t>
            </w:r>
          </w:p>
        </w:tc>
        <w:tc>
          <w:tcPr>
            <w:tcW w:w="3377" w:type="dxa"/>
            <w:tcMar>
              <w:top w:w="80" w:type="dxa"/>
              <w:left w:w="80" w:type="dxa"/>
              <w:bottom w:w="80" w:type="dxa"/>
              <w:right w:w="80" w:type="dxa"/>
            </w:tcMar>
          </w:tcPr>
          <w:p w14:paraId="733C32CA" w14:textId="77777777" w:rsidR="0084535B" w:rsidRPr="00FC3751" w:rsidRDefault="0084535B" w:rsidP="00B21723">
            <w:pPr>
              <w:pStyle w:val="Table7pttext"/>
              <w:spacing w:after="60"/>
            </w:pPr>
            <w:r w:rsidRPr="00FC3751">
              <w:t>N/A</w:t>
            </w:r>
          </w:p>
        </w:tc>
        <w:tc>
          <w:tcPr>
            <w:tcW w:w="3377" w:type="dxa"/>
            <w:tcMar>
              <w:top w:w="80" w:type="dxa"/>
              <w:left w:w="80" w:type="dxa"/>
              <w:bottom w:w="80" w:type="dxa"/>
              <w:right w:w="80" w:type="dxa"/>
            </w:tcMar>
          </w:tcPr>
          <w:p w14:paraId="67756E3C" w14:textId="77777777" w:rsidR="0084535B" w:rsidRPr="00FC3751" w:rsidRDefault="0084535B" w:rsidP="00B21723">
            <w:pPr>
              <w:pStyle w:val="Table7pttext"/>
              <w:spacing w:after="60"/>
            </w:pPr>
            <w:r w:rsidRPr="00FC3751">
              <w:t>N/A</w:t>
            </w:r>
          </w:p>
        </w:tc>
      </w:tr>
      <w:tr w:rsidR="0084535B" w:rsidRPr="00FC3751" w14:paraId="18FC3640" w14:textId="77777777" w:rsidTr="00FB729B">
        <w:tc>
          <w:tcPr>
            <w:tcW w:w="1928" w:type="dxa"/>
            <w:shd w:val="clear" w:color="auto" w:fill="FFC9C9"/>
            <w:tcMar>
              <w:top w:w="80" w:type="dxa"/>
              <w:left w:w="80" w:type="dxa"/>
              <w:bottom w:w="80" w:type="dxa"/>
              <w:right w:w="80" w:type="dxa"/>
            </w:tcMar>
          </w:tcPr>
          <w:p w14:paraId="3264557D" w14:textId="77777777" w:rsidR="0084535B" w:rsidRPr="00FC3751" w:rsidRDefault="0084535B" w:rsidP="00B21723">
            <w:pPr>
              <w:pStyle w:val="TableColumn1bold"/>
              <w:spacing w:after="60"/>
            </w:pPr>
            <w:r w:rsidRPr="00FC3751">
              <w:t>Queensland</w:t>
            </w:r>
          </w:p>
        </w:tc>
        <w:tc>
          <w:tcPr>
            <w:tcW w:w="3376" w:type="dxa"/>
            <w:shd w:val="clear" w:color="auto" w:fill="FFC9C9"/>
            <w:tcMar>
              <w:top w:w="80" w:type="dxa"/>
              <w:left w:w="80" w:type="dxa"/>
              <w:bottom w:w="80" w:type="dxa"/>
              <w:right w:w="80" w:type="dxa"/>
            </w:tcMar>
          </w:tcPr>
          <w:p w14:paraId="4E305FC5" w14:textId="77777777" w:rsidR="0084535B" w:rsidRPr="00FC3751" w:rsidRDefault="0084535B" w:rsidP="00B21723">
            <w:pPr>
              <w:pStyle w:val="Table7pttext"/>
              <w:spacing w:after="60"/>
            </w:pPr>
            <w:r w:rsidRPr="00FC3751">
              <w:t>—</w:t>
            </w:r>
          </w:p>
        </w:tc>
        <w:tc>
          <w:tcPr>
            <w:tcW w:w="3377" w:type="dxa"/>
            <w:shd w:val="clear" w:color="auto" w:fill="FFC9C9"/>
            <w:tcMar>
              <w:top w:w="80" w:type="dxa"/>
              <w:left w:w="80" w:type="dxa"/>
              <w:bottom w:w="80" w:type="dxa"/>
              <w:right w:w="80" w:type="dxa"/>
            </w:tcMar>
          </w:tcPr>
          <w:p w14:paraId="30D6EDB9" w14:textId="261776F9" w:rsidR="0084535B" w:rsidRPr="00FC3751" w:rsidRDefault="0084535B" w:rsidP="00B21723">
            <w:pPr>
              <w:pStyle w:val="Table7pttext"/>
              <w:spacing w:after="60"/>
            </w:pPr>
            <w:r w:rsidRPr="00FC3751">
              <w:t xml:space="preserve">8 business days — </w:t>
            </w:r>
            <w:hyperlink r:id="rId277" w:anchor="sec.133" w:history="1">
              <w:r w:rsidRPr="00DC0E27">
                <w:rPr>
                  <w:rStyle w:val="Hyperlink"/>
                </w:rPr>
                <w:t>s133(3)</w:t>
              </w:r>
            </w:hyperlink>
            <w:r w:rsidR="003F2196">
              <w:t xml:space="preserve">, </w:t>
            </w:r>
            <w:r w:rsidR="003F2196" w:rsidRPr="00016069">
              <w:rPr>
                <w:i/>
              </w:rPr>
              <w:t>Workers’ Compensation and Rehabilitation Act 2003</w:t>
            </w:r>
          </w:p>
        </w:tc>
        <w:tc>
          <w:tcPr>
            <w:tcW w:w="3377" w:type="dxa"/>
            <w:shd w:val="clear" w:color="auto" w:fill="FFC9C9"/>
            <w:tcMar>
              <w:top w:w="80" w:type="dxa"/>
              <w:left w:w="80" w:type="dxa"/>
              <w:bottom w:w="80" w:type="dxa"/>
              <w:right w:w="80" w:type="dxa"/>
            </w:tcMar>
          </w:tcPr>
          <w:p w14:paraId="406A8DED" w14:textId="77777777" w:rsidR="0084535B" w:rsidRPr="00FC3751" w:rsidRDefault="0084535B" w:rsidP="00B21723">
            <w:pPr>
              <w:pStyle w:val="Table7pttext"/>
              <w:spacing w:after="60"/>
            </w:pPr>
            <w:r w:rsidRPr="00FC3751">
              <w:t>N/A</w:t>
            </w:r>
          </w:p>
        </w:tc>
        <w:tc>
          <w:tcPr>
            <w:tcW w:w="3377" w:type="dxa"/>
            <w:shd w:val="clear" w:color="auto" w:fill="FFC9C9"/>
            <w:tcMar>
              <w:top w:w="80" w:type="dxa"/>
              <w:left w:w="80" w:type="dxa"/>
              <w:bottom w:w="80" w:type="dxa"/>
              <w:right w:w="80" w:type="dxa"/>
            </w:tcMar>
          </w:tcPr>
          <w:p w14:paraId="52D38E05" w14:textId="77777777" w:rsidR="0084535B" w:rsidRPr="00FC3751" w:rsidRDefault="0084535B" w:rsidP="00B21723">
            <w:pPr>
              <w:pStyle w:val="Table7pttext"/>
              <w:spacing w:after="60"/>
            </w:pPr>
            <w:r w:rsidRPr="00FC3751">
              <w:t>N/A</w:t>
            </w:r>
          </w:p>
        </w:tc>
      </w:tr>
      <w:tr w:rsidR="0084535B" w:rsidRPr="00FC3751" w14:paraId="42B85F6C" w14:textId="77777777" w:rsidTr="00FB729B">
        <w:tc>
          <w:tcPr>
            <w:tcW w:w="1928" w:type="dxa"/>
            <w:tcMar>
              <w:top w:w="80" w:type="dxa"/>
              <w:left w:w="80" w:type="dxa"/>
              <w:bottom w:w="80" w:type="dxa"/>
              <w:right w:w="80" w:type="dxa"/>
            </w:tcMar>
          </w:tcPr>
          <w:p w14:paraId="1EBA0653" w14:textId="77777777" w:rsidR="0084535B" w:rsidRPr="00FC3751" w:rsidRDefault="0084535B" w:rsidP="00B21723">
            <w:pPr>
              <w:pStyle w:val="TableColumn1bold"/>
              <w:spacing w:after="60"/>
            </w:pPr>
            <w:r w:rsidRPr="00FC3751">
              <w:t>Western Australia</w:t>
            </w:r>
          </w:p>
        </w:tc>
        <w:tc>
          <w:tcPr>
            <w:tcW w:w="3376" w:type="dxa"/>
            <w:tcMar>
              <w:top w:w="80" w:type="dxa"/>
              <w:left w:w="80" w:type="dxa"/>
              <w:bottom w:w="80" w:type="dxa"/>
              <w:right w:w="80" w:type="dxa"/>
            </w:tcMar>
          </w:tcPr>
          <w:p w14:paraId="61916628" w14:textId="41DFD0DB" w:rsidR="0084535B" w:rsidRPr="00FC3751" w:rsidRDefault="0084535B" w:rsidP="00B21723">
            <w:pPr>
              <w:pStyle w:val="Table7pttext"/>
              <w:spacing w:after="60"/>
            </w:pPr>
            <w:r w:rsidRPr="00FC3751">
              <w:t xml:space="preserve">As soon as practicable — </w:t>
            </w:r>
            <w:hyperlink r:id="rId278" w:history="1">
              <w:r w:rsidRPr="00DC0E27">
                <w:rPr>
                  <w:rStyle w:val="Hyperlink"/>
                </w:rPr>
                <w:t>s178(1)(a)</w:t>
              </w:r>
            </w:hyperlink>
            <w:r w:rsidR="003F2196">
              <w:t xml:space="preserve">, </w:t>
            </w:r>
            <w:r w:rsidR="003F2196" w:rsidRPr="00016069">
              <w:rPr>
                <w:i/>
              </w:rPr>
              <w:t>Workers’ Compensation and Injury Management Act 1981</w:t>
            </w:r>
            <w:r w:rsidR="003F2196">
              <w:rPr>
                <w:i/>
              </w:rPr>
              <w:t>.</w:t>
            </w:r>
          </w:p>
          <w:p w14:paraId="2208FBBA" w14:textId="761D2BAF" w:rsidR="0084535B" w:rsidRPr="00FC3751" w:rsidRDefault="0084535B" w:rsidP="00B21723">
            <w:pPr>
              <w:pStyle w:val="Table7pttext"/>
              <w:spacing w:after="60"/>
            </w:pPr>
            <w:r w:rsidRPr="00FC3751">
              <w:t xml:space="preserve">Claim within 12 months of injury — </w:t>
            </w:r>
            <w:hyperlink r:id="rId279" w:history="1">
              <w:r w:rsidRPr="00DC0E27">
                <w:rPr>
                  <w:rStyle w:val="Hyperlink"/>
                </w:rPr>
                <w:t>s178(1)(b)</w:t>
              </w:r>
            </w:hyperlink>
            <w:r w:rsidR="00DC0E27">
              <w:t>.</w:t>
            </w:r>
          </w:p>
        </w:tc>
        <w:tc>
          <w:tcPr>
            <w:tcW w:w="3377" w:type="dxa"/>
            <w:tcMar>
              <w:top w:w="80" w:type="dxa"/>
              <w:left w:w="80" w:type="dxa"/>
              <w:bottom w:w="80" w:type="dxa"/>
              <w:right w:w="80" w:type="dxa"/>
            </w:tcMar>
          </w:tcPr>
          <w:p w14:paraId="4DADD753" w14:textId="6C59C165" w:rsidR="0084535B" w:rsidRPr="00FC3751" w:rsidRDefault="0084535B" w:rsidP="00B21723">
            <w:pPr>
              <w:pStyle w:val="Table7pttext"/>
              <w:spacing w:after="60"/>
            </w:pPr>
            <w:r w:rsidRPr="00FC3751">
              <w:t xml:space="preserve">5 days after claim is made — </w:t>
            </w:r>
            <w:hyperlink r:id="rId280" w:history="1">
              <w:r w:rsidRPr="00DC0E27">
                <w:rPr>
                  <w:rStyle w:val="Hyperlink"/>
                </w:rPr>
                <w:t>s57A(2A)</w:t>
              </w:r>
            </w:hyperlink>
          </w:p>
        </w:tc>
        <w:tc>
          <w:tcPr>
            <w:tcW w:w="3377" w:type="dxa"/>
            <w:tcMar>
              <w:top w:w="80" w:type="dxa"/>
              <w:left w:w="80" w:type="dxa"/>
              <w:bottom w:w="80" w:type="dxa"/>
              <w:right w:w="80" w:type="dxa"/>
            </w:tcMar>
          </w:tcPr>
          <w:p w14:paraId="212A734E" w14:textId="77777777" w:rsidR="0084535B" w:rsidRPr="00FC3751" w:rsidRDefault="0084535B" w:rsidP="00B21723">
            <w:pPr>
              <w:pStyle w:val="Table7pttext"/>
              <w:spacing w:after="60"/>
            </w:pPr>
            <w:r w:rsidRPr="00FC3751">
              <w:t>—</w:t>
            </w:r>
          </w:p>
        </w:tc>
        <w:tc>
          <w:tcPr>
            <w:tcW w:w="3377" w:type="dxa"/>
            <w:tcMar>
              <w:top w:w="80" w:type="dxa"/>
              <w:left w:w="80" w:type="dxa"/>
              <w:bottom w:w="80" w:type="dxa"/>
              <w:right w:w="80" w:type="dxa"/>
            </w:tcMar>
          </w:tcPr>
          <w:p w14:paraId="74963D3E" w14:textId="77777777" w:rsidR="0084535B" w:rsidRPr="00FC3751" w:rsidRDefault="0084535B" w:rsidP="00B21723">
            <w:pPr>
              <w:pStyle w:val="Table7pttext"/>
              <w:spacing w:after="60"/>
            </w:pPr>
            <w:r w:rsidRPr="00FC3751">
              <w:t>—</w:t>
            </w:r>
          </w:p>
        </w:tc>
      </w:tr>
      <w:tr w:rsidR="0084535B" w:rsidRPr="00FC3751" w14:paraId="1A880B8E" w14:textId="77777777" w:rsidTr="00FB729B">
        <w:tc>
          <w:tcPr>
            <w:tcW w:w="1928" w:type="dxa"/>
            <w:shd w:val="clear" w:color="auto" w:fill="FFC9C9"/>
            <w:tcMar>
              <w:top w:w="80" w:type="dxa"/>
              <w:left w:w="80" w:type="dxa"/>
              <w:bottom w:w="80" w:type="dxa"/>
              <w:right w:w="80" w:type="dxa"/>
            </w:tcMar>
          </w:tcPr>
          <w:p w14:paraId="36317B4A" w14:textId="77777777" w:rsidR="0084535B" w:rsidRPr="00FC3751" w:rsidRDefault="0084535B" w:rsidP="00B21723">
            <w:pPr>
              <w:pStyle w:val="TableColumn1bold"/>
              <w:spacing w:after="60"/>
            </w:pPr>
            <w:r w:rsidRPr="00FC3751">
              <w:t>South Australia</w:t>
            </w:r>
          </w:p>
        </w:tc>
        <w:tc>
          <w:tcPr>
            <w:tcW w:w="3376" w:type="dxa"/>
            <w:shd w:val="clear" w:color="auto" w:fill="FFC9C9"/>
            <w:tcMar>
              <w:top w:w="80" w:type="dxa"/>
              <w:left w:w="80" w:type="dxa"/>
              <w:bottom w:w="80" w:type="dxa"/>
              <w:right w:w="80" w:type="dxa"/>
            </w:tcMar>
          </w:tcPr>
          <w:p w14:paraId="2353A38C" w14:textId="11B9DEBD" w:rsidR="0084535B" w:rsidRPr="00FC3751" w:rsidRDefault="0084535B" w:rsidP="00B21723">
            <w:pPr>
              <w:pStyle w:val="Table7pttext"/>
              <w:spacing w:after="60"/>
            </w:pPr>
            <w:r w:rsidRPr="00FC3751">
              <w:t xml:space="preserve">Within 24 hours or as soon as practicable — </w:t>
            </w:r>
            <w:hyperlink r:id="rId281" w:anchor="s25" w:history="1">
              <w:r w:rsidRPr="004131A3">
                <w:rPr>
                  <w:rStyle w:val="Hyperlink"/>
                </w:rPr>
                <w:t>s16(2)</w:t>
              </w:r>
            </w:hyperlink>
            <w:r w:rsidR="003F2196" w:rsidRPr="003F2196">
              <w:rPr>
                <w:rStyle w:val="Hyperlink"/>
                <w:color w:val="auto"/>
                <w:u w:val="none"/>
              </w:rPr>
              <w:t xml:space="preserve">, </w:t>
            </w:r>
            <w:r w:rsidR="003F2196" w:rsidRPr="00016069">
              <w:rPr>
                <w:i/>
              </w:rPr>
              <w:t>Return to Work Act 2014</w:t>
            </w:r>
          </w:p>
        </w:tc>
        <w:tc>
          <w:tcPr>
            <w:tcW w:w="3377" w:type="dxa"/>
            <w:shd w:val="clear" w:color="auto" w:fill="FFC9C9"/>
            <w:tcMar>
              <w:top w:w="80" w:type="dxa"/>
              <w:left w:w="80" w:type="dxa"/>
              <w:bottom w:w="80" w:type="dxa"/>
              <w:right w:w="80" w:type="dxa"/>
            </w:tcMar>
          </w:tcPr>
          <w:p w14:paraId="5AB5E748" w14:textId="77777777" w:rsidR="0084535B" w:rsidRPr="00FC3751" w:rsidRDefault="0084535B" w:rsidP="00B21723">
            <w:pPr>
              <w:pStyle w:val="Table7pttext"/>
              <w:spacing w:after="60"/>
            </w:pPr>
            <w:r w:rsidRPr="00FC3751">
              <w:t xml:space="preserve">5 business days — </w:t>
            </w:r>
            <w:hyperlink r:id="rId282" w:history="1">
              <w:r w:rsidRPr="004131A3">
                <w:rPr>
                  <w:rStyle w:val="Hyperlink"/>
                </w:rPr>
                <w:t>s16(6)</w:t>
              </w:r>
            </w:hyperlink>
          </w:p>
        </w:tc>
        <w:tc>
          <w:tcPr>
            <w:tcW w:w="3377" w:type="dxa"/>
            <w:shd w:val="clear" w:color="auto" w:fill="FFC9C9"/>
            <w:tcMar>
              <w:top w:w="80" w:type="dxa"/>
              <w:left w:w="80" w:type="dxa"/>
              <w:bottom w:w="80" w:type="dxa"/>
              <w:right w:w="80" w:type="dxa"/>
            </w:tcMar>
          </w:tcPr>
          <w:p w14:paraId="0F76A28E" w14:textId="77777777" w:rsidR="0084535B" w:rsidRPr="00FC3751" w:rsidRDefault="0084535B" w:rsidP="00B21723">
            <w:pPr>
              <w:pStyle w:val="Table7pttext"/>
              <w:spacing w:after="60"/>
            </w:pPr>
            <w:r w:rsidRPr="00FC3751">
              <w:t>N/A</w:t>
            </w:r>
          </w:p>
        </w:tc>
        <w:tc>
          <w:tcPr>
            <w:tcW w:w="3377" w:type="dxa"/>
            <w:shd w:val="clear" w:color="auto" w:fill="FFC9C9"/>
            <w:tcMar>
              <w:top w:w="80" w:type="dxa"/>
              <w:left w:w="80" w:type="dxa"/>
              <w:bottom w:w="80" w:type="dxa"/>
              <w:right w:w="80" w:type="dxa"/>
            </w:tcMar>
          </w:tcPr>
          <w:p w14:paraId="5546DC8E" w14:textId="77777777" w:rsidR="0084535B" w:rsidRPr="00FC3751" w:rsidRDefault="0084535B" w:rsidP="00B21723">
            <w:pPr>
              <w:pStyle w:val="Table7pttext"/>
              <w:spacing w:after="60"/>
            </w:pPr>
            <w:r w:rsidRPr="00FC3751">
              <w:t>N/A</w:t>
            </w:r>
          </w:p>
        </w:tc>
      </w:tr>
      <w:tr w:rsidR="0084535B" w:rsidRPr="00FC3751" w14:paraId="0CE86DDE" w14:textId="77777777" w:rsidTr="00FB729B">
        <w:tc>
          <w:tcPr>
            <w:tcW w:w="1928" w:type="dxa"/>
            <w:tcMar>
              <w:top w:w="80" w:type="dxa"/>
              <w:left w:w="80" w:type="dxa"/>
              <w:bottom w:w="80" w:type="dxa"/>
              <w:right w:w="80" w:type="dxa"/>
            </w:tcMar>
          </w:tcPr>
          <w:p w14:paraId="70300380" w14:textId="77777777" w:rsidR="0084535B" w:rsidRPr="00FC3751" w:rsidRDefault="0084535B" w:rsidP="00B21723">
            <w:pPr>
              <w:pStyle w:val="TableColumn1bold"/>
              <w:spacing w:after="60"/>
            </w:pPr>
            <w:r w:rsidRPr="00FC3751">
              <w:t>Tasmania</w:t>
            </w:r>
          </w:p>
        </w:tc>
        <w:tc>
          <w:tcPr>
            <w:tcW w:w="3376" w:type="dxa"/>
            <w:tcMar>
              <w:top w:w="80" w:type="dxa"/>
              <w:left w:w="80" w:type="dxa"/>
              <w:bottom w:w="80" w:type="dxa"/>
              <w:right w:w="80" w:type="dxa"/>
            </w:tcMar>
          </w:tcPr>
          <w:p w14:paraId="7D033930" w14:textId="014DB540" w:rsidR="0084535B" w:rsidRPr="00FC3751" w:rsidRDefault="0084535B" w:rsidP="00B21723">
            <w:pPr>
              <w:pStyle w:val="Table7pttext"/>
              <w:spacing w:after="60"/>
            </w:pPr>
            <w:r w:rsidRPr="00FC3751">
              <w:t xml:space="preserve">As soon as practicable — </w:t>
            </w:r>
            <w:hyperlink r:id="rId283" w:history="1">
              <w:r w:rsidRPr="00FC3751">
                <w:rPr>
                  <w:rStyle w:val="Hyperlink"/>
                </w:rPr>
                <w:t>s32(1)(a)</w:t>
              </w:r>
            </w:hyperlink>
            <w:r w:rsidR="003F2196" w:rsidRPr="003F2196">
              <w:rPr>
                <w:rStyle w:val="Hyperlink"/>
                <w:color w:val="auto"/>
                <w:u w:val="none"/>
              </w:rPr>
              <w:t xml:space="preserve">, </w:t>
            </w:r>
            <w:r w:rsidR="003F2196" w:rsidRPr="00016069">
              <w:rPr>
                <w:i/>
              </w:rPr>
              <w:t>Workers Rehabilitation and Compensation Act 1988</w:t>
            </w:r>
            <w:r w:rsidR="003F2196">
              <w:rPr>
                <w:i/>
              </w:rPr>
              <w:t>.</w:t>
            </w:r>
          </w:p>
        </w:tc>
        <w:tc>
          <w:tcPr>
            <w:tcW w:w="3377" w:type="dxa"/>
            <w:tcMar>
              <w:top w:w="80" w:type="dxa"/>
              <w:left w:w="80" w:type="dxa"/>
              <w:bottom w:w="80" w:type="dxa"/>
              <w:right w:w="80" w:type="dxa"/>
            </w:tcMar>
          </w:tcPr>
          <w:p w14:paraId="7FB5D1A8" w14:textId="17E76713" w:rsidR="0084535B" w:rsidRPr="00FC3751" w:rsidRDefault="0084535B" w:rsidP="00B21723">
            <w:pPr>
              <w:pStyle w:val="Table7pttext"/>
              <w:spacing w:after="60"/>
            </w:pPr>
            <w:r w:rsidRPr="00FC3751">
              <w:t xml:space="preserve">3 working days after becoming aware that worker has suffered a workplace injury — </w:t>
            </w:r>
            <w:hyperlink r:id="rId284" w:history="1">
              <w:r w:rsidRPr="00FC3751">
                <w:rPr>
                  <w:rStyle w:val="Hyperlink"/>
                </w:rPr>
                <w:t>s143A</w:t>
              </w:r>
            </w:hyperlink>
          </w:p>
        </w:tc>
        <w:tc>
          <w:tcPr>
            <w:tcW w:w="3377" w:type="dxa"/>
            <w:tcMar>
              <w:top w:w="80" w:type="dxa"/>
              <w:left w:w="80" w:type="dxa"/>
              <w:bottom w:w="80" w:type="dxa"/>
              <w:right w:w="80" w:type="dxa"/>
            </w:tcMar>
          </w:tcPr>
          <w:p w14:paraId="7D391788" w14:textId="2369F342" w:rsidR="0084535B" w:rsidRPr="00FC3751" w:rsidRDefault="0084535B" w:rsidP="00B21723">
            <w:pPr>
              <w:pStyle w:val="Table7pttext"/>
              <w:spacing w:after="60"/>
            </w:pPr>
            <w:r w:rsidRPr="00FC3751">
              <w:t xml:space="preserve">Insurer must forward a copy of a claim for compensation to the Board within 5 working days after receiving it. </w:t>
            </w:r>
            <w:hyperlink r:id="rId285" w:history="1">
              <w:r w:rsidRPr="00FC3751">
                <w:rPr>
                  <w:rStyle w:val="Hyperlink"/>
                </w:rPr>
                <w:t>s36(2)</w:t>
              </w:r>
            </w:hyperlink>
          </w:p>
        </w:tc>
        <w:tc>
          <w:tcPr>
            <w:tcW w:w="3377" w:type="dxa"/>
            <w:tcMar>
              <w:top w:w="80" w:type="dxa"/>
              <w:left w:w="80" w:type="dxa"/>
              <w:bottom w:w="80" w:type="dxa"/>
              <w:right w:w="80" w:type="dxa"/>
            </w:tcMar>
          </w:tcPr>
          <w:p w14:paraId="1248C634" w14:textId="77777777" w:rsidR="0084535B" w:rsidRPr="00FC3751" w:rsidRDefault="0084535B" w:rsidP="00B21723">
            <w:pPr>
              <w:pStyle w:val="Table7pttext"/>
              <w:spacing w:after="60"/>
            </w:pPr>
            <w:r w:rsidRPr="00FC3751">
              <w:t>—</w:t>
            </w:r>
          </w:p>
        </w:tc>
      </w:tr>
      <w:tr w:rsidR="0084535B" w:rsidRPr="00FC3751" w14:paraId="19070084" w14:textId="77777777" w:rsidTr="00FB729B">
        <w:tc>
          <w:tcPr>
            <w:tcW w:w="1928" w:type="dxa"/>
            <w:shd w:val="clear" w:color="auto" w:fill="FFC9C9"/>
            <w:tcMar>
              <w:top w:w="80" w:type="dxa"/>
              <w:left w:w="80" w:type="dxa"/>
              <w:bottom w:w="80" w:type="dxa"/>
              <w:right w:w="80" w:type="dxa"/>
            </w:tcMar>
          </w:tcPr>
          <w:p w14:paraId="4BCBA13C" w14:textId="77777777" w:rsidR="0084535B" w:rsidRPr="00FC3751" w:rsidRDefault="0084535B" w:rsidP="00B21723">
            <w:pPr>
              <w:pStyle w:val="TableColumn1bold"/>
              <w:spacing w:after="60"/>
            </w:pPr>
            <w:r w:rsidRPr="00FC3751">
              <w:t>Northern Territory</w:t>
            </w:r>
          </w:p>
        </w:tc>
        <w:tc>
          <w:tcPr>
            <w:tcW w:w="3376" w:type="dxa"/>
            <w:shd w:val="clear" w:color="auto" w:fill="FFC9C9"/>
            <w:tcMar>
              <w:top w:w="80" w:type="dxa"/>
              <w:left w:w="80" w:type="dxa"/>
              <w:bottom w:w="80" w:type="dxa"/>
              <w:right w:w="80" w:type="dxa"/>
            </w:tcMar>
          </w:tcPr>
          <w:p w14:paraId="5DF54E7E" w14:textId="0ACA4F46" w:rsidR="0084535B" w:rsidRPr="00FC3751" w:rsidRDefault="0084535B" w:rsidP="00B21723">
            <w:pPr>
              <w:pStyle w:val="Table7pttext"/>
              <w:spacing w:after="60"/>
            </w:pPr>
            <w:r w:rsidRPr="00FC3751">
              <w:t xml:space="preserve">As soon as practicable — </w:t>
            </w:r>
            <w:hyperlink r:id="rId286" w:history="1">
              <w:r w:rsidRPr="00325F05">
                <w:rPr>
                  <w:rStyle w:val="Hyperlink"/>
                </w:rPr>
                <w:t>s80(1)</w:t>
              </w:r>
            </w:hyperlink>
            <w:r w:rsidR="00A96929">
              <w:t xml:space="preserve">, </w:t>
            </w:r>
            <w:r w:rsidR="00A96929" w:rsidRPr="00016069">
              <w:rPr>
                <w:i/>
              </w:rPr>
              <w:t>Return to Work Act</w:t>
            </w:r>
            <w:r w:rsidR="00A96929">
              <w:rPr>
                <w:i/>
              </w:rPr>
              <w:t>.</w:t>
            </w:r>
          </w:p>
        </w:tc>
        <w:tc>
          <w:tcPr>
            <w:tcW w:w="3377" w:type="dxa"/>
            <w:shd w:val="clear" w:color="auto" w:fill="FFC9C9"/>
            <w:tcMar>
              <w:top w:w="80" w:type="dxa"/>
              <w:left w:w="80" w:type="dxa"/>
              <w:bottom w:w="80" w:type="dxa"/>
              <w:right w:w="80" w:type="dxa"/>
            </w:tcMar>
          </w:tcPr>
          <w:p w14:paraId="26D10D7E" w14:textId="708C1369" w:rsidR="0084535B" w:rsidRPr="00FC3751" w:rsidRDefault="0084535B" w:rsidP="00EA5E24">
            <w:pPr>
              <w:pStyle w:val="Table7pttext"/>
              <w:spacing w:after="60"/>
            </w:pPr>
            <w:r w:rsidRPr="00FC3751">
              <w:t>Forward the claim form to the insurer within 3 working days of receiv</w:t>
            </w:r>
            <w:r w:rsidR="00F6068C">
              <w:t xml:space="preserve">ing claim from the worker </w:t>
            </w:r>
            <w:r w:rsidR="00EA5E24">
              <w:t xml:space="preserve">— </w:t>
            </w:r>
            <w:hyperlink r:id="rId287" w:history="1">
              <w:r w:rsidR="00F6068C" w:rsidRPr="00325F05">
                <w:rPr>
                  <w:rStyle w:val="Hyperlink"/>
                </w:rPr>
                <w:t>s84</w:t>
              </w:r>
            </w:hyperlink>
            <w:r w:rsidR="00325F05">
              <w:t>.</w:t>
            </w:r>
          </w:p>
        </w:tc>
        <w:tc>
          <w:tcPr>
            <w:tcW w:w="3377" w:type="dxa"/>
            <w:shd w:val="clear" w:color="auto" w:fill="FFC9C9"/>
            <w:tcMar>
              <w:top w:w="80" w:type="dxa"/>
              <w:left w:w="80" w:type="dxa"/>
              <w:bottom w:w="80" w:type="dxa"/>
              <w:right w:w="80" w:type="dxa"/>
            </w:tcMar>
          </w:tcPr>
          <w:p w14:paraId="3CFF6CD2" w14:textId="7F405A75" w:rsidR="0084535B" w:rsidRPr="00FC3751" w:rsidRDefault="0084535B" w:rsidP="00B21723">
            <w:pPr>
              <w:pStyle w:val="Table7pttext"/>
              <w:spacing w:after="60"/>
            </w:pPr>
            <w:r w:rsidRPr="00FC3751">
              <w:t xml:space="preserve">An insurer who is given notice of a claim under </w:t>
            </w:r>
            <w:hyperlink r:id="rId288" w:history="1">
              <w:r w:rsidRPr="00325F05">
                <w:rPr>
                  <w:rStyle w:val="Hyperlink"/>
                </w:rPr>
                <w:t>section 81</w:t>
              </w:r>
            </w:hyperlink>
            <w:r w:rsidRPr="00FC3751">
              <w:t xml:space="preserve"> or receives a claim forwarded under subsection (1) shall, within 10 working days after the notice is given or the claim received, forward a copy to the Authority.</w:t>
            </w:r>
          </w:p>
        </w:tc>
        <w:tc>
          <w:tcPr>
            <w:tcW w:w="3377" w:type="dxa"/>
            <w:shd w:val="clear" w:color="auto" w:fill="FFC9C9"/>
            <w:tcMar>
              <w:top w:w="80" w:type="dxa"/>
              <w:left w:w="80" w:type="dxa"/>
              <w:bottom w:w="80" w:type="dxa"/>
              <w:right w:w="80" w:type="dxa"/>
            </w:tcMar>
          </w:tcPr>
          <w:p w14:paraId="2DFE8A29" w14:textId="77777777" w:rsidR="0084535B" w:rsidRPr="00FC3751" w:rsidRDefault="0084535B" w:rsidP="00B21723">
            <w:pPr>
              <w:pStyle w:val="Table7pttext"/>
              <w:spacing w:after="60"/>
            </w:pPr>
            <w:r w:rsidRPr="00FC3751">
              <w:t>N/A</w:t>
            </w:r>
          </w:p>
        </w:tc>
      </w:tr>
      <w:tr w:rsidR="0084535B" w:rsidRPr="00FC3751" w14:paraId="7CEF382F" w14:textId="77777777" w:rsidTr="00FB729B">
        <w:tc>
          <w:tcPr>
            <w:tcW w:w="1928" w:type="dxa"/>
            <w:tcMar>
              <w:top w:w="80" w:type="dxa"/>
              <w:left w:w="80" w:type="dxa"/>
              <w:bottom w:w="80" w:type="dxa"/>
              <w:right w:w="80" w:type="dxa"/>
            </w:tcMar>
          </w:tcPr>
          <w:p w14:paraId="3CAB9594" w14:textId="77777777" w:rsidR="0084535B" w:rsidRPr="00FC3751" w:rsidRDefault="0084535B" w:rsidP="00B21723">
            <w:pPr>
              <w:pStyle w:val="TableColumn1bold"/>
              <w:spacing w:after="60"/>
            </w:pPr>
            <w:r w:rsidRPr="00FC3751">
              <w:t>Australian Capital Territory</w:t>
            </w:r>
          </w:p>
        </w:tc>
        <w:tc>
          <w:tcPr>
            <w:tcW w:w="3376" w:type="dxa"/>
            <w:tcMar>
              <w:top w:w="80" w:type="dxa"/>
              <w:left w:w="80" w:type="dxa"/>
              <w:bottom w:w="80" w:type="dxa"/>
              <w:right w:w="80" w:type="dxa"/>
            </w:tcMar>
          </w:tcPr>
          <w:p w14:paraId="1D962F80" w14:textId="228A537E" w:rsidR="0084535B" w:rsidRPr="00FC3751" w:rsidRDefault="0084535B" w:rsidP="00B21723">
            <w:pPr>
              <w:pStyle w:val="Table7pttext"/>
              <w:spacing w:after="60"/>
            </w:pPr>
            <w:r w:rsidRPr="00FC3751">
              <w:t xml:space="preserve">As soon as possible — </w:t>
            </w:r>
            <w:hyperlink r:id="rId289" w:history="1">
              <w:r w:rsidRPr="00325F05">
                <w:rPr>
                  <w:rStyle w:val="Hyperlink"/>
                </w:rPr>
                <w:t>s93(1)</w:t>
              </w:r>
            </w:hyperlink>
            <w:r w:rsidR="00A96929">
              <w:t xml:space="preserve">, </w:t>
            </w:r>
            <w:r w:rsidR="00A96929">
              <w:rPr>
                <w:i/>
              </w:rPr>
              <w:t>Workers Compensation Act 1951.</w:t>
            </w:r>
          </w:p>
        </w:tc>
        <w:tc>
          <w:tcPr>
            <w:tcW w:w="3377" w:type="dxa"/>
            <w:tcMar>
              <w:top w:w="80" w:type="dxa"/>
              <w:left w:w="80" w:type="dxa"/>
              <w:bottom w:w="80" w:type="dxa"/>
              <w:right w:w="80" w:type="dxa"/>
            </w:tcMar>
          </w:tcPr>
          <w:p w14:paraId="25A90816" w14:textId="3F220FA5" w:rsidR="0084535B" w:rsidRPr="00FC3751" w:rsidRDefault="0084535B" w:rsidP="00B21723">
            <w:pPr>
              <w:pStyle w:val="Table7pttext"/>
              <w:spacing w:after="60"/>
            </w:pPr>
            <w:r w:rsidRPr="00FC3751">
              <w:t xml:space="preserve">48 hrs of becoming aware — </w:t>
            </w:r>
            <w:hyperlink r:id="rId290" w:history="1">
              <w:r w:rsidRPr="00325F05">
                <w:rPr>
                  <w:rStyle w:val="Hyperlink"/>
                </w:rPr>
                <w:t>s93(2)</w:t>
              </w:r>
            </w:hyperlink>
          </w:p>
        </w:tc>
        <w:tc>
          <w:tcPr>
            <w:tcW w:w="3377" w:type="dxa"/>
            <w:tcMar>
              <w:top w:w="80" w:type="dxa"/>
              <w:left w:w="80" w:type="dxa"/>
              <w:bottom w:w="80" w:type="dxa"/>
              <w:right w:w="80" w:type="dxa"/>
            </w:tcMar>
          </w:tcPr>
          <w:p w14:paraId="60A7EB83" w14:textId="77777777" w:rsidR="0084535B" w:rsidRPr="00FC3751" w:rsidRDefault="0084535B" w:rsidP="00B21723">
            <w:pPr>
              <w:pStyle w:val="Table7pttext"/>
              <w:spacing w:after="60"/>
            </w:pPr>
            <w:r w:rsidRPr="00FC3751">
              <w:t>N/A</w:t>
            </w:r>
          </w:p>
        </w:tc>
        <w:tc>
          <w:tcPr>
            <w:tcW w:w="3377" w:type="dxa"/>
            <w:tcMar>
              <w:top w:w="80" w:type="dxa"/>
              <w:left w:w="80" w:type="dxa"/>
              <w:bottom w:w="80" w:type="dxa"/>
              <w:right w:w="80" w:type="dxa"/>
            </w:tcMar>
          </w:tcPr>
          <w:p w14:paraId="2502F149" w14:textId="77777777" w:rsidR="0084535B" w:rsidRPr="00FC3751" w:rsidRDefault="0084535B" w:rsidP="00B21723">
            <w:pPr>
              <w:pStyle w:val="Table7pttext"/>
              <w:spacing w:after="60"/>
            </w:pPr>
            <w:r w:rsidRPr="00FC3751">
              <w:t>N/A</w:t>
            </w:r>
          </w:p>
        </w:tc>
      </w:tr>
      <w:tr w:rsidR="0084535B" w:rsidRPr="00FC3751" w14:paraId="495229B9" w14:textId="77777777" w:rsidTr="00FB729B">
        <w:tc>
          <w:tcPr>
            <w:tcW w:w="1928" w:type="dxa"/>
            <w:shd w:val="clear" w:color="auto" w:fill="FFC9C9"/>
            <w:tcMar>
              <w:top w:w="80" w:type="dxa"/>
              <w:left w:w="80" w:type="dxa"/>
              <w:bottom w:w="80" w:type="dxa"/>
              <w:right w:w="80" w:type="dxa"/>
            </w:tcMar>
          </w:tcPr>
          <w:p w14:paraId="004B6BE6" w14:textId="77777777" w:rsidR="0084535B" w:rsidRPr="00FC3751" w:rsidRDefault="0084535B" w:rsidP="00B21723">
            <w:pPr>
              <w:pStyle w:val="TableColumn1bold"/>
              <w:spacing w:after="60"/>
            </w:pPr>
            <w:r w:rsidRPr="00FC3751">
              <w:t>C’wealth Comcare</w:t>
            </w:r>
          </w:p>
        </w:tc>
        <w:tc>
          <w:tcPr>
            <w:tcW w:w="3376" w:type="dxa"/>
            <w:shd w:val="clear" w:color="auto" w:fill="FFC9C9"/>
            <w:tcMar>
              <w:top w:w="80" w:type="dxa"/>
              <w:left w:w="80" w:type="dxa"/>
              <w:bottom w:w="80" w:type="dxa"/>
              <w:right w:w="80" w:type="dxa"/>
            </w:tcMar>
          </w:tcPr>
          <w:p w14:paraId="6876FDBD" w14:textId="47B9978B" w:rsidR="0084535B" w:rsidRPr="00FC3751" w:rsidRDefault="0084535B" w:rsidP="00B21723">
            <w:pPr>
              <w:pStyle w:val="Table7pttext"/>
              <w:spacing w:after="60"/>
            </w:pPr>
            <w:r w:rsidRPr="00FC3751">
              <w:t xml:space="preserve">As soon as practicable — </w:t>
            </w:r>
            <w:hyperlink r:id="rId291" w:history="1">
              <w:r w:rsidRPr="00325F05">
                <w:rPr>
                  <w:rStyle w:val="Hyperlink"/>
                </w:rPr>
                <w:t>s53(1)(a)</w:t>
              </w:r>
            </w:hyperlink>
            <w:r w:rsidR="00A96929">
              <w:t xml:space="preserve">, </w:t>
            </w:r>
            <w:r w:rsidR="00A96929" w:rsidRPr="00016069">
              <w:rPr>
                <w:i/>
              </w:rPr>
              <w:t>Safety, Rehabilitation and Compensation Act 1988</w:t>
            </w:r>
            <w:r w:rsidR="00A96929">
              <w:rPr>
                <w:i/>
              </w:rPr>
              <w:t>.</w:t>
            </w:r>
          </w:p>
        </w:tc>
        <w:tc>
          <w:tcPr>
            <w:tcW w:w="3377" w:type="dxa"/>
            <w:shd w:val="clear" w:color="auto" w:fill="FFC9C9"/>
            <w:tcMar>
              <w:top w:w="80" w:type="dxa"/>
              <w:left w:w="80" w:type="dxa"/>
              <w:bottom w:w="80" w:type="dxa"/>
              <w:right w:w="80" w:type="dxa"/>
            </w:tcMar>
          </w:tcPr>
          <w:p w14:paraId="37F13BCA" w14:textId="77777777" w:rsidR="0084535B" w:rsidRPr="00FC3751" w:rsidRDefault="0084535B" w:rsidP="00B21723">
            <w:pPr>
              <w:pStyle w:val="Table7pttext"/>
              <w:spacing w:after="60"/>
            </w:pPr>
            <w:r w:rsidRPr="00FC3751">
              <w:t>—</w:t>
            </w:r>
          </w:p>
        </w:tc>
        <w:tc>
          <w:tcPr>
            <w:tcW w:w="3377" w:type="dxa"/>
            <w:shd w:val="clear" w:color="auto" w:fill="FFC9C9"/>
            <w:tcMar>
              <w:top w:w="80" w:type="dxa"/>
              <w:left w:w="80" w:type="dxa"/>
              <w:bottom w:w="80" w:type="dxa"/>
              <w:right w:w="80" w:type="dxa"/>
            </w:tcMar>
          </w:tcPr>
          <w:p w14:paraId="3C8F8D79" w14:textId="77777777" w:rsidR="0084535B" w:rsidRPr="00FC3751" w:rsidRDefault="0084535B" w:rsidP="00B21723">
            <w:pPr>
              <w:pStyle w:val="Table7pttext"/>
              <w:spacing w:after="60"/>
            </w:pPr>
            <w:r w:rsidRPr="00FC3751">
              <w:t>—</w:t>
            </w:r>
          </w:p>
        </w:tc>
        <w:tc>
          <w:tcPr>
            <w:tcW w:w="3377" w:type="dxa"/>
            <w:shd w:val="clear" w:color="auto" w:fill="FFC9C9"/>
            <w:tcMar>
              <w:top w:w="80" w:type="dxa"/>
              <w:left w:w="80" w:type="dxa"/>
              <w:bottom w:w="80" w:type="dxa"/>
              <w:right w:w="80" w:type="dxa"/>
            </w:tcMar>
          </w:tcPr>
          <w:p w14:paraId="6A3333AB" w14:textId="77777777" w:rsidR="0084535B" w:rsidRPr="00FC3751" w:rsidRDefault="0084535B" w:rsidP="00B21723">
            <w:pPr>
              <w:pStyle w:val="Table7pttext"/>
              <w:spacing w:after="60"/>
            </w:pPr>
            <w:r w:rsidRPr="00FC3751">
              <w:t>—</w:t>
            </w:r>
          </w:p>
        </w:tc>
      </w:tr>
      <w:tr w:rsidR="0084535B" w:rsidRPr="00FC3751" w14:paraId="0CCFA480" w14:textId="77777777" w:rsidTr="00FB729B">
        <w:tc>
          <w:tcPr>
            <w:tcW w:w="1928" w:type="dxa"/>
            <w:tcMar>
              <w:top w:w="80" w:type="dxa"/>
              <w:left w:w="80" w:type="dxa"/>
              <w:bottom w:w="80" w:type="dxa"/>
              <w:right w:w="80" w:type="dxa"/>
            </w:tcMar>
          </w:tcPr>
          <w:p w14:paraId="701768AF" w14:textId="77777777" w:rsidR="0084535B" w:rsidRPr="00FC3751" w:rsidRDefault="0084535B" w:rsidP="00B21723">
            <w:pPr>
              <w:pStyle w:val="TableColumn1bold"/>
              <w:spacing w:after="60"/>
            </w:pPr>
            <w:r w:rsidRPr="00FC3751">
              <w:t>C’wealth Seacare</w:t>
            </w:r>
          </w:p>
        </w:tc>
        <w:tc>
          <w:tcPr>
            <w:tcW w:w="3376" w:type="dxa"/>
            <w:tcMar>
              <w:top w:w="80" w:type="dxa"/>
              <w:left w:w="80" w:type="dxa"/>
              <w:bottom w:w="80" w:type="dxa"/>
              <w:right w:w="80" w:type="dxa"/>
            </w:tcMar>
          </w:tcPr>
          <w:p w14:paraId="4D17F08B" w14:textId="0C0F9FA7" w:rsidR="0084535B" w:rsidRPr="00FC3751" w:rsidRDefault="0084535B" w:rsidP="00B21723">
            <w:pPr>
              <w:pStyle w:val="Table7pttext"/>
              <w:spacing w:after="60"/>
            </w:pPr>
            <w:r w:rsidRPr="00FC3751">
              <w:t xml:space="preserve">As soon as practicable — </w:t>
            </w:r>
            <w:hyperlink r:id="rId292" w:history="1">
              <w:r w:rsidRPr="00325F05">
                <w:rPr>
                  <w:rStyle w:val="Hyperlink"/>
                </w:rPr>
                <w:t>s62(1)(a)</w:t>
              </w:r>
            </w:hyperlink>
            <w:r w:rsidR="00A96929">
              <w:t xml:space="preserve">, </w:t>
            </w:r>
            <w:r w:rsidR="00A96929" w:rsidRPr="00016069">
              <w:rPr>
                <w:i/>
              </w:rPr>
              <w:t>Seafarers Rehabilitation and Compensation Act 1992</w:t>
            </w:r>
            <w:r w:rsidR="00A96929">
              <w:rPr>
                <w:i/>
              </w:rPr>
              <w:t>.</w:t>
            </w:r>
          </w:p>
        </w:tc>
        <w:tc>
          <w:tcPr>
            <w:tcW w:w="3377" w:type="dxa"/>
            <w:tcMar>
              <w:top w:w="80" w:type="dxa"/>
              <w:left w:w="80" w:type="dxa"/>
              <w:bottom w:w="80" w:type="dxa"/>
              <w:right w:w="80" w:type="dxa"/>
            </w:tcMar>
          </w:tcPr>
          <w:p w14:paraId="2A73DEC9" w14:textId="77777777" w:rsidR="0084535B" w:rsidRPr="00FC3751" w:rsidRDefault="0084535B" w:rsidP="00B21723">
            <w:pPr>
              <w:pStyle w:val="Table7pttext"/>
              <w:spacing w:after="60"/>
            </w:pPr>
            <w:r w:rsidRPr="00FC3751">
              <w:t>—</w:t>
            </w:r>
          </w:p>
        </w:tc>
        <w:tc>
          <w:tcPr>
            <w:tcW w:w="3377" w:type="dxa"/>
            <w:tcMar>
              <w:top w:w="80" w:type="dxa"/>
              <w:left w:w="80" w:type="dxa"/>
              <w:bottom w:w="80" w:type="dxa"/>
              <w:right w:w="80" w:type="dxa"/>
            </w:tcMar>
          </w:tcPr>
          <w:p w14:paraId="3A369A24" w14:textId="77777777" w:rsidR="0084535B" w:rsidRPr="00FC3751" w:rsidRDefault="0084535B" w:rsidP="00B21723">
            <w:pPr>
              <w:pStyle w:val="Table7pttext"/>
              <w:spacing w:after="60"/>
            </w:pPr>
            <w:r w:rsidRPr="00FC3751">
              <w:t>—</w:t>
            </w:r>
          </w:p>
        </w:tc>
        <w:tc>
          <w:tcPr>
            <w:tcW w:w="3377" w:type="dxa"/>
            <w:tcMar>
              <w:top w:w="80" w:type="dxa"/>
              <w:left w:w="80" w:type="dxa"/>
              <w:bottom w:w="80" w:type="dxa"/>
              <w:right w:w="80" w:type="dxa"/>
            </w:tcMar>
          </w:tcPr>
          <w:p w14:paraId="5BC417BD" w14:textId="77777777" w:rsidR="0084535B" w:rsidRPr="00FC3751" w:rsidRDefault="0084535B" w:rsidP="00B21723">
            <w:pPr>
              <w:pStyle w:val="Table7pttext"/>
              <w:spacing w:after="60"/>
            </w:pPr>
            <w:r w:rsidRPr="00FC3751">
              <w:t>—</w:t>
            </w:r>
          </w:p>
        </w:tc>
      </w:tr>
      <w:tr w:rsidR="0084535B" w:rsidRPr="00FC3751" w14:paraId="000DBF86" w14:textId="77777777" w:rsidTr="00FB729B">
        <w:tc>
          <w:tcPr>
            <w:tcW w:w="1928" w:type="dxa"/>
            <w:shd w:val="clear" w:color="auto" w:fill="FFC9C9"/>
            <w:tcMar>
              <w:top w:w="80" w:type="dxa"/>
              <w:left w:w="80" w:type="dxa"/>
              <w:bottom w:w="80" w:type="dxa"/>
              <w:right w:w="80" w:type="dxa"/>
            </w:tcMar>
          </w:tcPr>
          <w:p w14:paraId="14E67920" w14:textId="77777777" w:rsidR="0084535B" w:rsidRPr="00FC3751" w:rsidRDefault="0084535B" w:rsidP="00B21723">
            <w:pPr>
              <w:pStyle w:val="TableColumn1bold"/>
              <w:spacing w:after="60"/>
            </w:pPr>
            <w:r w:rsidRPr="00FC3751">
              <w:t>C’wealth DVA</w:t>
            </w:r>
          </w:p>
        </w:tc>
        <w:tc>
          <w:tcPr>
            <w:tcW w:w="3376" w:type="dxa"/>
            <w:shd w:val="clear" w:color="auto" w:fill="FFC9C9"/>
            <w:tcMar>
              <w:top w:w="80" w:type="dxa"/>
              <w:left w:w="80" w:type="dxa"/>
              <w:bottom w:w="80" w:type="dxa"/>
              <w:right w:w="80" w:type="dxa"/>
            </w:tcMar>
          </w:tcPr>
          <w:p w14:paraId="78163914" w14:textId="4C8BD51B" w:rsidR="0084535B" w:rsidRDefault="003B2809" w:rsidP="003B2809">
            <w:r w:rsidRPr="0039798F">
              <w:rPr>
                <w:rFonts w:eastAsia="Calibri" w:cs="Arial"/>
                <w:i/>
                <w:sz w:val="14"/>
                <w:szCs w:val="14"/>
                <w:lang w:eastAsia="en-US"/>
              </w:rPr>
              <w:t>Military Rehabilitation and Compensation Act 2004</w:t>
            </w:r>
            <w:r>
              <w:t xml:space="preserve"> </w:t>
            </w:r>
            <w:r w:rsidRPr="003B2809">
              <w:rPr>
                <w:sz w:val="14"/>
              </w:rPr>
              <w:t>(</w:t>
            </w:r>
            <w:r w:rsidR="000E4173" w:rsidRPr="003B2809">
              <w:rPr>
                <w:sz w:val="14"/>
              </w:rPr>
              <w:t>MRCA</w:t>
            </w:r>
            <w:r w:rsidRPr="003B2809">
              <w:rPr>
                <w:sz w:val="14"/>
              </w:rPr>
              <w:t>)</w:t>
            </w:r>
            <w:r w:rsidR="000E4173" w:rsidRPr="003B2809">
              <w:rPr>
                <w:sz w:val="14"/>
              </w:rPr>
              <w:t xml:space="preserve"> — </w:t>
            </w:r>
            <w:r w:rsidR="0084535B" w:rsidRPr="003B2809">
              <w:rPr>
                <w:sz w:val="14"/>
              </w:rPr>
              <w:t>N/A</w:t>
            </w:r>
          </w:p>
          <w:p w14:paraId="68C1840F" w14:textId="32309125" w:rsidR="000E4173" w:rsidRPr="00FC3751" w:rsidRDefault="003B2809" w:rsidP="00B21723">
            <w:pPr>
              <w:pStyle w:val="Table7pttext"/>
              <w:spacing w:after="60"/>
            </w:pPr>
            <w:r w:rsidRPr="00016069">
              <w:rPr>
                <w:i/>
              </w:rPr>
              <w:t>Safety, Rehabilitation and Compensation (Defence-related Claims) Act 1988</w:t>
            </w:r>
            <w:r>
              <w:rPr>
                <w:i/>
              </w:rPr>
              <w:t xml:space="preserve"> </w:t>
            </w:r>
            <w:r>
              <w:t>(</w:t>
            </w:r>
            <w:r w:rsidR="000E4173">
              <w:t>DRCA</w:t>
            </w:r>
            <w:r>
              <w:t>)</w:t>
            </w:r>
            <w:r w:rsidR="000E4173">
              <w:t xml:space="preserve"> — As soon as practicable — </w:t>
            </w:r>
            <w:hyperlink r:id="rId293" w:history="1">
              <w:r w:rsidR="000E4173" w:rsidRPr="00325F05">
                <w:rPr>
                  <w:rStyle w:val="Hyperlink"/>
                </w:rPr>
                <w:t>s53(1)(a)</w:t>
              </w:r>
            </w:hyperlink>
          </w:p>
        </w:tc>
        <w:tc>
          <w:tcPr>
            <w:tcW w:w="3377" w:type="dxa"/>
            <w:shd w:val="clear" w:color="auto" w:fill="FFC9C9"/>
            <w:tcMar>
              <w:top w:w="80" w:type="dxa"/>
              <w:left w:w="80" w:type="dxa"/>
              <w:bottom w:w="80" w:type="dxa"/>
              <w:right w:w="80" w:type="dxa"/>
            </w:tcMar>
          </w:tcPr>
          <w:p w14:paraId="43FADF7C" w14:textId="6889CEB1" w:rsidR="0084535B" w:rsidRDefault="000E4173" w:rsidP="00B21723">
            <w:pPr>
              <w:pStyle w:val="Table7pttext"/>
              <w:spacing w:after="60"/>
            </w:pPr>
            <w:r>
              <w:t>MRCA — N/A</w:t>
            </w:r>
          </w:p>
          <w:p w14:paraId="62F41F92" w14:textId="218438F5" w:rsidR="000E4173" w:rsidRPr="00FC3751" w:rsidRDefault="000E4173" w:rsidP="00B21723">
            <w:pPr>
              <w:pStyle w:val="Table7pttext"/>
              <w:spacing w:after="60"/>
            </w:pPr>
            <w:r>
              <w:t>DRCA — N/A</w:t>
            </w:r>
          </w:p>
        </w:tc>
        <w:tc>
          <w:tcPr>
            <w:tcW w:w="3377" w:type="dxa"/>
            <w:shd w:val="clear" w:color="auto" w:fill="FFC9C9"/>
            <w:tcMar>
              <w:top w:w="80" w:type="dxa"/>
              <w:left w:w="80" w:type="dxa"/>
              <w:bottom w:w="80" w:type="dxa"/>
              <w:right w:w="80" w:type="dxa"/>
            </w:tcMar>
          </w:tcPr>
          <w:p w14:paraId="3B684F6F" w14:textId="77777777" w:rsidR="000E4173" w:rsidRDefault="000E4173" w:rsidP="000E4173">
            <w:pPr>
              <w:pStyle w:val="Table7pttext"/>
              <w:spacing w:after="60"/>
            </w:pPr>
            <w:r>
              <w:t>MRCA — N/A</w:t>
            </w:r>
          </w:p>
          <w:p w14:paraId="4A6C0200" w14:textId="1547C6CB" w:rsidR="0084535B" w:rsidRPr="00FC3751" w:rsidRDefault="000E4173" w:rsidP="000E4173">
            <w:pPr>
              <w:pStyle w:val="Table7pttext"/>
              <w:spacing w:after="60"/>
            </w:pPr>
            <w:r>
              <w:t>DRCA — N/A</w:t>
            </w:r>
          </w:p>
        </w:tc>
        <w:tc>
          <w:tcPr>
            <w:tcW w:w="3377" w:type="dxa"/>
            <w:shd w:val="clear" w:color="auto" w:fill="FFC9C9"/>
            <w:tcMar>
              <w:top w:w="80" w:type="dxa"/>
              <w:left w:w="80" w:type="dxa"/>
              <w:bottom w:w="80" w:type="dxa"/>
              <w:right w:w="80" w:type="dxa"/>
            </w:tcMar>
          </w:tcPr>
          <w:p w14:paraId="74578439" w14:textId="77777777" w:rsidR="000E4173" w:rsidRDefault="000E4173" w:rsidP="000E4173">
            <w:pPr>
              <w:pStyle w:val="Table7pttext"/>
              <w:spacing w:after="60"/>
            </w:pPr>
            <w:r>
              <w:t>MRCA — N/A</w:t>
            </w:r>
          </w:p>
          <w:p w14:paraId="2C958B4C" w14:textId="7DA20666" w:rsidR="0084535B" w:rsidRPr="00FC3751" w:rsidRDefault="000E4173" w:rsidP="000E4173">
            <w:pPr>
              <w:pStyle w:val="Table7pttext"/>
              <w:spacing w:after="60"/>
            </w:pPr>
            <w:r>
              <w:t>DRCA — N/A</w:t>
            </w:r>
          </w:p>
        </w:tc>
      </w:tr>
      <w:tr w:rsidR="0084535B" w:rsidRPr="00FC3751" w14:paraId="709AAAB6" w14:textId="77777777" w:rsidTr="00FB729B">
        <w:tc>
          <w:tcPr>
            <w:tcW w:w="1928" w:type="dxa"/>
            <w:tcMar>
              <w:top w:w="80" w:type="dxa"/>
              <w:left w:w="80" w:type="dxa"/>
              <w:bottom w:w="80" w:type="dxa"/>
              <w:right w:w="80" w:type="dxa"/>
            </w:tcMar>
          </w:tcPr>
          <w:p w14:paraId="2A793426" w14:textId="0A5C7E54" w:rsidR="0084535B" w:rsidRPr="00FC3751" w:rsidRDefault="0084535B" w:rsidP="00B21723">
            <w:pPr>
              <w:pStyle w:val="TableColumn1bold"/>
              <w:spacing w:after="60"/>
            </w:pPr>
            <w:r w:rsidRPr="00FC3751">
              <w:lastRenderedPageBreak/>
              <w:t>New Zealand</w:t>
            </w:r>
          </w:p>
        </w:tc>
        <w:tc>
          <w:tcPr>
            <w:tcW w:w="3376" w:type="dxa"/>
            <w:tcMar>
              <w:top w:w="80" w:type="dxa"/>
              <w:left w:w="80" w:type="dxa"/>
              <w:bottom w:w="80" w:type="dxa"/>
              <w:right w:w="80" w:type="dxa"/>
            </w:tcMar>
          </w:tcPr>
          <w:p w14:paraId="06D25FB0" w14:textId="722AC5B6" w:rsidR="0084535B" w:rsidRPr="00FC3751" w:rsidRDefault="0084535B" w:rsidP="00EA5E24">
            <w:pPr>
              <w:pStyle w:val="Table7pttext"/>
              <w:spacing w:after="60"/>
            </w:pPr>
            <w:r w:rsidRPr="00FC3751">
              <w:t xml:space="preserve">In the case of a claim for cover, within 12 months after the date on which he/she suffers the personal injury; or in the case of a claim for an entitlement, within 12 months after the date on which the need for the entitlement arose </w:t>
            </w:r>
            <w:r w:rsidR="00EA5E24">
              <w:t xml:space="preserve">— </w:t>
            </w:r>
            <w:hyperlink r:id="rId294" w:history="1">
              <w:r w:rsidRPr="00325F05">
                <w:rPr>
                  <w:rStyle w:val="Hyperlink"/>
                </w:rPr>
                <w:t>s53(3)</w:t>
              </w:r>
            </w:hyperlink>
          </w:p>
        </w:tc>
        <w:tc>
          <w:tcPr>
            <w:tcW w:w="3377" w:type="dxa"/>
            <w:tcMar>
              <w:top w:w="80" w:type="dxa"/>
              <w:left w:w="80" w:type="dxa"/>
              <w:bottom w:w="80" w:type="dxa"/>
              <w:right w:w="80" w:type="dxa"/>
            </w:tcMar>
          </w:tcPr>
          <w:p w14:paraId="4FADA7CC" w14:textId="77777777" w:rsidR="0084535B" w:rsidRPr="00FC3751" w:rsidRDefault="0084535B" w:rsidP="00B21723">
            <w:pPr>
              <w:pStyle w:val="Table7pttext"/>
              <w:spacing w:after="60"/>
            </w:pPr>
            <w:r w:rsidRPr="00FC3751">
              <w:t>N/A</w:t>
            </w:r>
          </w:p>
        </w:tc>
        <w:tc>
          <w:tcPr>
            <w:tcW w:w="3377" w:type="dxa"/>
            <w:tcMar>
              <w:top w:w="80" w:type="dxa"/>
              <w:left w:w="80" w:type="dxa"/>
              <w:bottom w:w="80" w:type="dxa"/>
              <w:right w:w="80" w:type="dxa"/>
            </w:tcMar>
          </w:tcPr>
          <w:p w14:paraId="540B142D" w14:textId="77777777" w:rsidR="0084535B" w:rsidRPr="00FC3751" w:rsidRDefault="0084535B" w:rsidP="00B21723">
            <w:pPr>
              <w:pStyle w:val="Table7pttext"/>
              <w:spacing w:after="60"/>
            </w:pPr>
            <w:r w:rsidRPr="00FC3751">
              <w:t>N/A</w:t>
            </w:r>
          </w:p>
        </w:tc>
        <w:tc>
          <w:tcPr>
            <w:tcW w:w="3377" w:type="dxa"/>
            <w:tcMar>
              <w:top w:w="80" w:type="dxa"/>
              <w:left w:w="80" w:type="dxa"/>
              <w:bottom w:w="80" w:type="dxa"/>
              <w:right w:w="80" w:type="dxa"/>
            </w:tcMar>
          </w:tcPr>
          <w:p w14:paraId="4811DEBC" w14:textId="77777777" w:rsidR="0084535B" w:rsidRPr="00FC3751" w:rsidRDefault="0084535B" w:rsidP="00B21723">
            <w:pPr>
              <w:pStyle w:val="Table7pttext"/>
              <w:spacing w:after="60"/>
            </w:pPr>
            <w:r w:rsidRPr="00FC3751">
              <w:t>N/A</w:t>
            </w:r>
          </w:p>
        </w:tc>
      </w:tr>
    </w:tbl>
    <w:p w14:paraId="5655CA1D" w14:textId="391DA127" w:rsidR="006A50D4" w:rsidRDefault="00C66972" w:rsidP="00A54D3B">
      <w:pPr>
        <w:spacing w:after="200" w:line="276" w:lineRule="auto"/>
        <w:rPr>
          <w:rFonts w:eastAsiaTheme="minorHAnsi"/>
          <w:sz w:val="16"/>
        </w:rPr>
      </w:pPr>
      <w:r w:rsidRPr="00A54D3B">
        <w:rPr>
          <w:rFonts w:eastAsiaTheme="minorHAnsi"/>
          <w:sz w:val="16"/>
        </w:rPr>
        <w:t>Note: Throughout this report cells containing only ‘—’</w:t>
      </w:r>
      <w:r w:rsidR="00164DBA">
        <w:rPr>
          <w:rFonts w:eastAsiaTheme="minorHAnsi"/>
          <w:sz w:val="16"/>
        </w:rPr>
        <w:t xml:space="preserve"> </w:t>
      </w:r>
      <w:r w:rsidRPr="00A54D3B">
        <w:rPr>
          <w:rFonts w:eastAsiaTheme="minorHAnsi"/>
          <w:sz w:val="16"/>
        </w:rPr>
        <w:t xml:space="preserve">denotes that no information has been supplied. </w:t>
      </w:r>
    </w:p>
    <w:p w14:paraId="18163A06" w14:textId="77777777" w:rsidR="00C66972" w:rsidRPr="00A80282" w:rsidRDefault="00C66972" w:rsidP="00A80282">
      <w:pPr>
        <w:pStyle w:val="SWATableheader"/>
      </w:pPr>
      <w:bookmarkStart w:id="57" w:name="_Toc504654645"/>
      <w:bookmarkStart w:id="58" w:name="claim"/>
      <w:r w:rsidRPr="00A80282">
        <w:lastRenderedPageBreak/>
        <w:t>Table 2.7: Prescribed time periods for claim submission</w:t>
      </w:r>
      <w:bookmarkEnd w:id="57"/>
      <w:r w:rsidRPr="00A80282">
        <w:t xml:space="preserve"> </w:t>
      </w:r>
      <w:r w:rsidR="00C44D5D" w:rsidRPr="00A80282">
        <w:fldChar w:fldCharType="begin"/>
      </w:r>
      <w:r w:rsidR="00C44D5D" w:rsidRPr="00A80282">
        <w:instrText xml:space="preserve"> XE "claim submission prescribed time periods" \r "claim" </w:instrText>
      </w:r>
      <w:r w:rsidR="00C44D5D" w:rsidRPr="00A80282">
        <w:fldChar w:fldCharType="end"/>
      </w:r>
    </w:p>
    <w:tbl>
      <w:tblPr>
        <w:tblW w:w="15433" w:type="dxa"/>
        <w:tblInd w:w="15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7: Prescribed time periods for claim submission "/>
        <w:tblDescription w:val="This table provides the prescribed time periods for claim submission under each workers' compensation scheme. "/>
      </w:tblPr>
      <w:tblGrid>
        <w:gridCol w:w="1341"/>
        <w:gridCol w:w="1304"/>
        <w:gridCol w:w="1163"/>
        <w:gridCol w:w="1162"/>
        <w:gridCol w:w="1163"/>
        <w:gridCol w:w="1162"/>
        <w:gridCol w:w="1163"/>
        <w:gridCol w:w="1162"/>
        <w:gridCol w:w="1163"/>
        <w:gridCol w:w="1162"/>
        <w:gridCol w:w="1163"/>
        <w:gridCol w:w="1162"/>
        <w:gridCol w:w="1163"/>
      </w:tblGrid>
      <w:tr w:rsidR="00570B9E" w:rsidRPr="00570B9E" w14:paraId="298E7CCD" w14:textId="77777777" w:rsidTr="00F6068C">
        <w:trPr>
          <w:tblHeader/>
        </w:trPr>
        <w:tc>
          <w:tcPr>
            <w:tcW w:w="1341" w:type="dxa"/>
            <w:shd w:val="clear" w:color="auto" w:fill="C00000"/>
            <w:tcMar>
              <w:top w:w="80" w:type="dxa"/>
              <w:left w:w="80" w:type="dxa"/>
              <w:bottom w:w="80" w:type="dxa"/>
              <w:right w:w="80" w:type="dxa"/>
            </w:tcMar>
          </w:tcPr>
          <w:p w14:paraId="27BCC848" w14:textId="77777777" w:rsidR="00570B9E" w:rsidRPr="00570B9E" w:rsidRDefault="00570B9E" w:rsidP="007670EA">
            <w:pPr>
              <w:spacing w:after="0"/>
              <w:rPr>
                <w:rFonts w:eastAsia="Calibri" w:cs="Arial"/>
                <w:b/>
                <w:color w:val="FFFFFF"/>
                <w:sz w:val="18"/>
                <w:szCs w:val="18"/>
                <w:lang w:eastAsia="en-US"/>
              </w:rPr>
            </w:pPr>
          </w:p>
        </w:tc>
        <w:tc>
          <w:tcPr>
            <w:tcW w:w="1304" w:type="dxa"/>
            <w:shd w:val="clear" w:color="auto" w:fill="C00000"/>
            <w:tcMar>
              <w:top w:w="0" w:type="dxa"/>
              <w:left w:w="0" w:type="dxa"/>
              <w:bottom w:w="0" w:type="dxa"/>
              <w:right w:w="0" w:type="dxa"/>
            </w:tcMar>
            <w:vAlign w:val="center"/>
          </w:tcPr>
          <w:p w14:paraId="105C2C4E"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New South Wales</w:t>
            </w:r>
          </w:p>
        </w:tc>
        <w:tc>
          <w:tcPr>
            <w:tcW w:w="1163" w:type="dxa"/>
            <w:shd w:val="clear" w:color="auto" w:fill="C00000"/>
            <w:tcMar>
              <w:top w:w="0" w:type="dxa"/>
              <w:left w:w="0" w:type="dxa"/>
              <w:bottom w:w="0" w:type="dxa"/>
              <w:right w:w="0" w:type="dxa"/>
            </w:tcMar>
            <w:vAlign w:val="center"/>
          </w:tcPr>
          <w:p w14:paraId="3B1C5E04"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Victoria</w:t>
            </w:r>
          </w:p>
        </w:tc>
        <w:tc>
          <w:tcPr>
            <w:tcW w:w="1162" w:type="dxa"/>
            <w:shd w:val="clear" w:color="auto" w:fill="C00000"/>
            <w:tcMar>
              <w:top w:w="0" w:type="dxa"/>
              <w:left w:w="0" w:type="dxa"/>
              <w:bottom w:w="0" w:type="dxa"/>
              <w:right w:w="0" w:type="dxa"/>
            </w:tcMar>
            <w:vAlign w:val="center"/>
          </w:tcPr>
          <w:p w14:paraId="4A4F8356"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Queensland</w:t>
            </w:r>
          </w:p>
        </w:tc>
        <w:tc>
          <w:tcPr>
            <w:tcW w:w="1163" w:type="dxa"/>
            <w:shd w:val="clear" w:color="auto" w:fill="C00000"/>
            <w:tcMar>
              <w:top w:w="0" w:type="dxa"/>
              <w:left w:w="0" w:type="dxa"/>
              <w:bottom w:w="0" w:type="dxa"/>
              <w:right w:w="0" w:type="dxa"/>
            </w:tcMar>
            <w:vAlign w:val="center"/>
          </w:tcPr>
          <w:p w14:paraId="676E69CF"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Western Australia</w:t>
            </w:r>
          </w:p>
        </w:tc>
        <w:tc>
          <w:tcPr>
            <w:tcW w:w="1162" w:type="dxa"/>
            <w:shd w:val="clear" w:color="auto" w:fill="C00000"/>
            <w:tcMar>
              <w:top w:w="0" w:type="dxa"/>
              <w:left w:w="0" w:type="dxa"/>
              <w:bottom w:w="0" w:type="dxa"/>
              <w:right w:w="0" w:type="dxa"/>
            </w:tcMar>
            <w:vAlign w:val="center"/>
          </w:tcPr>
          <w:p w14:paraId="11DE15CD"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South Australia</w:t>
            </w:r>
          </w:p>
        </w:tc>
        <w:tc>
          <w:tcPr>
            <w:tcW w:w="1163" w:type="dxa"/>
            <w:shd w:val="clear" w:color="auto" w:fill="C00000"/>
            <w:tcMar>
              <w:top w:w="0" w:type="dxa"/>
              <w:left w:w="0" w:type="dxa"/>
              <w:bottom w:w="0" w:type="dxa"/>
              <w:right w:w="0" w:type="dxa"/>
            </w:tcMar>
            <w:vAlign w:val="center"/>
          </w:tcPr>
          <w:p w14:paraId="0FF706A8"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Tasmania</w:t>
            </w:r>
          </w:p>
        </w:tc>
        <w:tc>
          <w:tcPr>
            <w:tcW w:w="1162" w:type="dxa"/>
            <w:shd w:val="clear" w:color="auto" w:fill="C00000"/>
            <w:tcMar>
              <w:top w:w="0" w:type="dxa"/>
              <w:left w:w="0" w:type="dxa"/>
              <w:bottom w:w="0" w:type="dxa"/>
              <w:right w:w="0" w:type="dxa"/>
            </w:tcMar>
            <w:vAlign w:val="center"/>
          </w:tcPr>
          <w:p w14:paraId="12C722D1"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Northern Territory</w:t>
            </w:r>
          </w:p>
        </w:tc>
        <w:tc>
          <w:tcPr>
            <w:tcW w:w="1163" w:type="dxa"/>
            <w:shd w:val="clear" w:color="auto" w:fill="C00000"/>
            <w:tcMar>
              <w:top w:w="0" w:type="dxa"/>
              <w:left w:w="0" w:type="dxa"/>
              <w:bottom w:w="0" w:type="dxa"/>
              <w:right w:w="0" w:type="dxa"/>
            </w:tcMar>
            <w:vAlign w:val="center"/>
          </w:tcPr>
          <w:p w14:paraId="7C8F5FD9"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Australian Capital Territory</w:t>
            </w:r>
          </w:p>
        </w:tc>
        <w:tc>
          <w:tcPr>
            <w:tcW w:w="1162" w:type="dxa"/>
            <w:shd w:val="clear" w:color="auto" w:fill="C00000"/>
            <w:tcMar>
              <w:top w:w="0" w:type="dxa"/>
              <w:left w:w="0" w:type="dxa"/>
              <w:bottom w:w="0" w:type="dxa"/>
              <w:right w:w="0" w:type="dxa"/>
            </w:tcMar>
            <w:vAlign w:val="center"/>
          </w:tcPr>
          <w:p w14:paraId="235D0351"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C’wealth Comcare</w:t>
            </w:r>
          </w:p>
        </w:tc>
        <w:tc>
          <w:tcPr>
            <w:tcW w:w="1163" w:type="dxa"/>
            <w:shd w:val="clear" w:color="auto" w:fill="C00000"/>
            <w:tcMar>
              <w:top w:w="0" w:type="dxa"/>
              <w:left w:w="0" w:type="dxa"/>
              <w:bottom w:w="0" w:type="dxa"/>
              <w:right w:w="0" w:type="dxa"/>
            </w:tcMar>
            <w:vAlign w:val="center"/>
          </w:tcPr>
          <w:p w14:paraId="4254FB17"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C’wealth Seacare</w:t>
            </w:r>
          </w:p>
        </w:tc>
        <w:tc>
          <w:tcPr>
            <w:tcW w:w="1162" w:type="dxa"/>
            <w:shd w:val="clear" w:color="auto" w:fill="C00000"/>
            <w:tcMar>
              <w:top w:w="0" w:type="dxa"/>
              <w:left w:w="0" w:type="dxa"/>
              <w:bottom w:w="0" w:type="dxa"/>
              <w:right w:w="0" w:type="dxa"/>
            </w:tcMar>
            <w:vAlign w:val="center"/>
          </w:tcPr>
          <w:p w14:paraId="513171D4"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C’wealth DVA</w:t>
            </w:r>
          </w:p>
        </w:tc>
        <w:tc>
          <w:tcPr>
            <w:tcW w:w="1163" w:type="dxa"/>
            <w:shd w:val="clear" w:color="auto" w:fill="C00000"/>
            <w:tcMar>
              <w:top w:w="0" w:type="dxa"/>
              <w:left w:w="0" w:type="dxa"/>
              <w:bottom w:w="0" w:type="dxa"/>
              <w:right w:w="0" w:type="dxa"/>
            </w:tcMar>
            <w:vAlign w:val="center"/>
          </w:tcPr>
          <w:p w14:paraId="70E8AF00" w14:textId="77777777" w:rsidR="00570B9E" w:rsidRPr="00B52BD8" w:rsidRDefault="00570B9E" w:rsidP="00B52BD8">
            <w:pPr>
              <w:rPr>
                <w:rFonts w:eastAsia="Calibri"/>
                <w:b/>
                <w:lang w:eastAsia="en-US"/>
              </w:rPr>
            </w:pPr>
            <w:r w:rsidRPr="00B52BD8">
              <w:rPr>
                <w:rFonts w:eastAsia="Calibri"/>
                <w:b/>
                <w:sz w:val="18"/>
                <w:lang w:eastAsia="en-US"/>
              </w:rPr>
              <w:t>New Zealand</w:t>
            </w:r>
          </w:p>
        </w:tc>
      </w:tr>
      <w:tr w:rsidR="00570B9E" w:rsidRPr="00570B9E" w14:paraId="03A44FD7" w14:textId="77777777" w:rsidTr="00F6068C">
        <w:tc>
          <w:tcPr>
            <w:tcW w:w="1341" w:type="dxa"/>
            <w:shd w:val="clear" w:color="auto" w:fill="FFC9C9"/>
            <w:tcMar>
              <w:top w:w="80" w:type="dxa"/>
              <w:left w:w="80" w:type="dxa"/>
              <w:bottom w:w="80" w:type="dxa"/>
              <w:right w:w="80" w:type="dxa"/>
            </w:tcMar>
          </w:tcPr>
          <w:p w14:paraId="5A568A3B" w14:textId="77777777" w:rsidR="00570B9E" w:rsidRPr="00570B9E" w:rsidRDefault="00570B9E" w:rsidP="007670EA">
            <w:pPr>
              <w:spacing w:after="0"/>
              <w:rPr>
                <w:rFonts w:eastAsia="Calibri" w:cs="Arial"/>
                <w:b/>
                <w:sz w:val="16"/>
                <w:szCs w:val="16"/>
                <w:lang w:eastAsia="en-US"/>
              </w:rPr>
            </w:pPr>
            <w:r w:rsidRPr="00570B9E">
              <w:rPr>
                <w:rFonts w:eastAsia="Calibri" w:cs="Arial"/>
                <w:b/>
                <w:sz w:val="16"/>
                <w:szCs w:val="16"/>
                <w:lang w:eastAsia="en-US"/>
              </w:rPr>
              <w:t>Timeframe for claim lodgement</w:t>
            </w:r>
          </w:p>
        </w:tc>
        <w:tc>
          <w:tcPr>
            <w:tcW w:w="1304" w:type="dxa"/>
            <w:shd w:val="clear" w:color="auto" w:fill="FFC9C9"/>
            <w:tcMar>
              <w:top w:w="80" w:type="dxa"/>
              <w:left w:w="80" w:type="dxa"/>
              <w:bottom w:w="80" w:type="dxa"/>
              <w:right w:w="80" w:type="dxa"/>
            </w:tcMar>
          </w:tcPr>
          <w:p w14:paraId="4501D765" w14:textId="6F4870B4" w:rsidR="00885F3B" w:rsidRPr="002B6B33" w:rsidRDefault="00C00292" w:rsidP="002B6B33">
            <w:pPr>
              <w:rPr>
                <w:i/>
                <w:sz w:val="14"/>
              </w:rPr>
            </w:pPr>
            <w:r>
              <w:rPr>
                <w:rFonts w:eastAsia="Calibri" w:cs="Arial"/>
                <w:sz w:val="14"/>
                <w:szCs w:val="14"/>
                <w:lang w:eastAsia="en-US"/>
              </w:rPr>
              <w:t xml:space="preserve">Within 6 months — </w:t>
            </w:r>
            <w:hyperlink r:id="rId295" w:history="1">
              <w:r w:rsidRPr="00C00292">
                <w:rPr>
                  <w:rStyle w:val="Hyperlink"/>
                  <w:rFonts w:eastAsia="Calibri" w:cs="Arial"/>
                  <w:sz w:val="14"/>
                  <w:szCs w:val="14"/>
                  <w:lang w:eastAsia="en-US"/>
                </w:rPr>
                <w:t>s261</w:t>
              </w:r>
              <w:r w:rsidR="00885F3B" w:rsidRPr="00C00292">
                <w:rPr>
                  <w:rStyle w:val="Hyperlink"/>
                  <w:rFonts w:eastAsia="Calibri" w:cs="Arial"/>
                  <w:sz w:val="14"/>
                  <w:szCs w:val="14"/>
                  <w:lang w:eastAsia="en-US"/>
                </w:rPr>
                <w:t>(1)</w:t>
              </w:r>
            </w:hyperlink>
            <w:r w:rsidR="00885F3B" w:rsidRPr="00885F3B">
              <w:rPr>
                <w:rFonts w:eastAsia="Calibri" w:cs="Arial"/>
                <w:sz w:val="14"/>
                <w:szCs w:val="14"/>
                <w:lang w:eastAsia="en-US"/>
              </w:rPr>
              <w:t xml:space="preserve"> </w:t>
            </w:r>
            <w:r w:rsidR="002B6B33" w:rsidRPr="00016069">
              <w:rPr>
                <w:i/>
                <w:sz w:val="14"/>
              </w:rPr>
              <w:t>Workplace Injury Management and</w:t>
            </w:r>
            <w:r w:rsidR="002B6B33">
              <w:rPr>
                <w:i/>
                <w:sz w:val="14"/>
              </w:rPr>
              <w:t xml:space="preserve"> Workers Compensation Act 1998</w:t>
            </w:r>
            <w:r w:rsidR="00885F3B" w:rsidRPr="00885F3B">
              <w:rPr>
                <w:rFonts w:eastAsia="Calibri" w:cs="Arial"/>
                <w:sz w:val="14"/>
                <w:szCs w:val="14"/>
                <w:lang w:eastAsia="en-US"/>
              </w:rPr>
              <w:t xml:space="preserve">; or </w:t>
            </w:r>
          </w:p>
          <w:p w14:paraId="72B10EFC" w14:textId="39303CD4" w:rsidR="00570B9E" w:rsidRPr="00570B9E" w:rsidRDefault="00885F3B" w:rsidP="007670EA">
            <w:pPr>
              <w:spacing w:after="0"/>
              <w:contextualSpacing/>
              <w:rPr>
                <w:rFonts w:eastAsia="Calibri" w:cs="Arial"/>
                <w:sz w:val="14"/>
                <w:szCs w:val="14"/>
                <w:lang w:eastAsia="en-US"/>
              </w:rPr>
            </w:pPr>
            <w:r w:rsidRPr="00885F3B">
              <w:rPr>
                <w:rFonts w:eastAsia="Calibri" w:cs="Arial"/>
                <w:sz w:val="14"/>
                <w:szCs w:val="14"/>
                <w:lang w:eastAsia="en-US"/>
              </w:rPr>
              <w:t xml:space="preserve">If injury resulting in death or serious and permanent disablement within 3 years — </w:t>
            </w:r>
            <w:hyperlink r:id="rId296" w:history="1">
              <w:r w:rsidRPr="00C00292">
                <w:rPr>
                  <w:rStyle w:val="Hyperlink"/>
                  <w:rFonts w:eastAsia="Calibri" w:cs="Arial"/>
                  <w:sz w:val="14"/>
                  <w:szCs w:val="14"/>
                  <w:lang w:eastAsia="en-US"/>
                </w:rPr>
                <w:t>s261(4)</w:t>
              </w:r>
            </w:hyperlink>
            <w:r w:rsidRPr="00885F3B">
              <w:rPr>
                <w:rFonts w:eastAsia="Calibri" w:cs="Arial"/>
                <w:sz w:val="14"/>
                <w:szCs w:val="14"/>
                <w:lang w:eastAsia="en-US"/>
              </w:rPr>
              <w:t xml:space="preserve">, 1998 Act; or longer period with approval of SIRA </w:t>
            </w:r>
            <w:hyperlink r:id="rId297" w:history="1">
              <w:r w:rsidRPr="00C00292">
                <w:rPr>
                  <w:rStyle w:val="Hyperlink"/>
                  <w:rFonts w:eastAsia="Calibri" w:cs="Arial"/>
                  <w:sz w:val="14"/>
                  <w:szCs w:val="14"/>
                  <w:lang w:eastAsia="en-US"/>
                </w:rPr>
                <w:t>s261(5)</w:t>
              </w:r>
            </w:hyperlink>
            <w:r w:rsidRPr="00885F3B">
              <w:rPr>
                <w:rFonts w:eastAsia="Calibri" w:cs="Arial"/>
                <w:sz w:val="14"/>
                <w:szCs w:val="14"/>
                <w:lang w:eastAsia="en-US"/>
              </w:rPr>
              <w:t>, 1998 Act</w:t>
            </w:r>
          </w:p>
        </w:tc>
        <w:tc>
          <w:tcPr>
            <w:tcW w:w="1163" w:type="dxa"/>
            <w:shd w:val="clear" w:color="auto" w:fill="FFC9C9"/>
            <w:tcMar>
              <w:top w:w="80" w:type="dxa"/>
              <w:left w:w="80" w:type="dxa"/>
              <w:bottom w:w="80" w:type="dxa"/>
              <w:right w:w="80" w:type="dxa"/>
            </w:tcMar>
          </w:tcPr>
          <w:p w14:paraId="0D98DCD3" w14:textId="5100280D"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As soon as practicable with injury employer for weekly payments, 2 years for death claims, 6 months after relevant service for claim for medical and like service — </w:t>
            </w:r>
            <w:hyperlink r:id="rId298" w:history="1">
              <w:r w:rsidRPr="00A724E3">
                <w:rPr>
                  <w:rStyle w:val="Hyperlink"/>
                  <w:rFonts w:eastAsia="Calibri" w:cs="Arial"/>
                  <w:sz w:val="14"/>
                  <w:szCs w:val="14"/>
                  <w:lang w:eastAsia="en-US"/>
                </w:rPr>
                <w:t>s20(8)</w:t>
              </w:r>
            </w:hyperlink>
            <w:r w:rsidR="002B6B33">
              <w:rPr>
                <w:rFonts w:eastAsia="Calibri" w:cs="Arial"/>
                <w:sz w:val="14"/>
                <w:szCs w:val="14"/>
                <w:lang w:eastAsia="en-US"/>
              </w:rPr>
              <w:t xml:space="preserve">, </w:t>
            </w:r>
            <w:r w:rsidR="002B6B33" w:rsidRPr="00016069">
              <w:rPr>
                <w:i/>
                <w:sz w:val="14"/>
              </w:rPr>
              <w:t>Workplace Injury Rehabilitation and Compensation Act 2013</w:t>
            </w:r>
            <w:r w:rsidR="002B6B33">
              <w:rPr>
                <w:i/>
                <w:sz w:val="14"/>
              </w:rPr>
              <w:t>.</w:t>
            </w:r>
          </w:p>
        </w:tc>
        <w:tc>
          <w:tcPr>
            <w:tcW w:w="1162" w:type="dxa"/>
            <w:shd w:val="clear" w:color="auto" w:fill="FFC9C9"/>
            <w:tcMar>
              <w:top w:w="80" w:type="dxa"/>
              <w:left w:w="80" w:type="dxa"/>
              <w:bottom w:w="80" w:type="dxa"/>
              <w:right w:w="80" w:type="dxa"/>
            </w:tcMar>
          </w:tcPr>
          <w:p w14:paraId="3C5C471F" w14:textId="62C18C49"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6 months — </w:t>
            </w:r>
            <w:hyperlink r:id="rId299" w:anchor="sec.131" w:history="1">
              <w:r w:rsidRPr="00A724E3">
                <w:rPr>
                  <w:rStyle w:val="Hyperlink"/>
                  <w:rFonts w:eastAsia="Calibri" w:cs="Arial"/>
                  <w:sz w:val="14"/>
                  <w:szCs w:val="14"/>
                  <w:lang w:eastAsia="en-US"/>
                </w:rPr>
                <w:t>s131(1)</w:t>
              </w:r>
            </w:hyperlink>
            <w:r w:rsidR="002B6B33">
              <w:rPr>
                <w:rFonts w:eastAsia="Calibri" w:cs="Arial"/>
                <w:sz w:val="14"/>
                <w:szCs w:val="14"/>
                <w:lang w:eastAsia="en-US"/>
              </w:rPr>
              <w:t xml:space="preserve">, </w:t>
            </w:r>
            <w:r w:rsidR="002B6B33" w:rsidRPr="00016069">
              <w:rPr>
                <w:i/>
                <w:sz w:val="14"/>
              </w:rPr>
              <w:t>Workers’ Compensation and Rehabilitation Act 2003</w:t>
            </w:r>
            <w:r w:rsidR="002B6B33">
              <w:rPr>
                <w:i/>
                <w:sz w:val="14"/>
              </w:rPr>
              <w:t xml:space="preserve"> </w:t>
            </w:r>
          </w:p>
          <w:p w14:paraId="3B213A24" w14:textId="2B204004"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(if beyond 20 days, extent of the insurer’s liability to pay compensation is limited to a period starting no earlier than 20 business days before the day on which the valid application is lodged) — </w:t>
            </w:r>
            <w:hyperlink r:id="rId300" w:anchor="sec.131" w:history="1">
              <w:r w:rsidRPr="00A724E3">
                <w:rPr>
                  <w:rStyle w:val="Hyperlink"/>
                  <w:rFonts w:eastAsia="Calibri" w:cs="Arial"/>
                  <w:sz w:val="14"/>
                  <w:szCs w:val="14"/>
                  <w:lang w:eastAsia="en-US"/>
                </w:rPr>
                <w:t>s131(2)</w:t>
              </w:r>
            </w:hyperlink>
          </w:p>
          <w:p w14:paraId="04C054AB" w14:textId="3CF9349D"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Beyond 6 months — </w:t>
            </w:r>
            <w:hyperlink r:id="rId301" w:anchor="sec.131" w:history="1">
              <w:r w:rsidRPr="00A724E3">
                <w:rPr>
                  <w:rStyle w:val="Hyperlink"/>
                  <w:rFonts w:eastAsia="Calibri" w:cs="Arial"/>
                  <w:sz w:val="14"/>
                  <w:szCs w:val="14"/>
                  <w:lang w:eastAsia="en-US"/>
                </w:rPr>
                <w:t>s131(5)</w:t>
              </w:r>
            </w:hyperlink>
          </w:p>
        </w:tc>
        <w:tc>
          <w:tcPr>
            <w:tcW w:w="1163" w:type="dxa"/>
            <w:shd w:val="clear" w:color="auto" w:fill="FFC9C9"/>
            <w:tcMar>
              <w:top w:w="80" w:type="dxa"/>
              <w:left w:w="80" w:type="dxa"/>
              <w:bottom w:w="80" w:type="dxa"/>
              <w:right w:w="80" w:type="dxa"/>
            </w:tcMar>
          </w:tcPr>
          <w:p w14:paraId="617CD293" w14:textId="6D779E13"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12 months --</w:t>
            </w:r>
            <w:hyperlink r:id="rId302" w:history="1">
              <w:r w:rsidRPr="00274476">
                <w:rPr>
                  <w:rStyle w:val="Hyperlink"/>
                  <w:rFonts w:eastAsia="Calibri" w:cs="Arial"/>
                  <w:sz w:val="14"/>
                  <w:szCs w:val="14"/>
                  <w:lang w:eastAsia="en-US"/>
                </w:rPr>
                <w:t>s178(1)(b)</w:t>
              </w:r>
            </w:hyperlink>
            <w:r w:rsidR="002B6B33">
              <w:rPr>
                <w:rFonts w:eastAsia="Calibri" w:cs="Arial"/>
                <w:sz w:val="14"/>
                <w:szCs w:val="14"/>
                <w:lang w:eastAsia="en-US"/>
              </w:rPr>
              <w:t xml:space="preserve">, </w:t>
            </w:r>
            <w:r w:rsidR="002B6B33" w:rsidRPr="00016069">
              <w:rPr>
                <w:i/>
                <w:sz w:val="14"/>
              </w:rPr>
              <w:t>Workers’ Compensation and Injury Management Act 1981</w:t>
            </w:r>
          </w:p>
          <w:p w14:paraId="07BF1255" w14:textId="23611304" w:rsidR="00570B9E" w:rsidRPr="00570B9E" w:rsidRDefault="00570B9E" w:rsidP="000B02C9">
            <w:pPr>
              <w:spacing w:after="0"/>
              <w:contextualSpacing/>
              <w:rPr>
                <w:rFonts w:eastAsia="Calibri" w:cs="Arial"/>
                <w:sz w:val="14"/>
                <w:szCs w:val="14"/>
                <w:lang w:eastAsia="en-US"/>
              </w:rPr>
            </w:pPr>
            <w:r w:rsidRPr="00570B9E">
              <w:rPr>
                <w:rFonts w:eastAsia="Calibri" w:cs="Arial"/>
                <w:sz w:val="14"/>
                <w:szCs w:val="14"/>
                <w:lang w:eastAsia="en-US"/>
              </w:rPr>
              <w:t xml:space="preserve">Beyond 12 months </w:t>
            </w:r>
            <w:r w:rsidR="000B02C9">
              <w:rPr>
                <w:rFonts w:eastAsia="Calibri" w:cs="Arial"/>
                <w:sz w:val="14"/>
                <w:szCs w:val="14"/>
                <w:lang w:eastAsia="en-US"/>
              </w:rPr>
              <w:t>—</w:t>
            </w:r>
            <w:r w:rsidRPr="00570B9E">
              <w:rPr>
                <w:rFonts w:eastAsia="Calibri" w:cs="Arial"/>
                <w:sz w:val="14"/>
                <w:szCs w:val="14"/>
                <w:lang w:eastAsia="en-US"/>
              </w:rPr>
              <w:t xml:space="preserve"> </w:t>
            </w:r>
            <w:hyperlink r:id="rId303" w:history="1">
              <w:r w:rsidRPr="00274476">
                <w:rPr>
                  <w:rStyle w:val="Hyperlink"/>
                  <w:rFonts w:eastAsia="Calibri" w:cs="Arial"/>
                  <w:sz w:val="14"/>
                  <w:szCs w:val="14"/>
                  <w:lang w:eastAsia="en-US"/>
                </w:rPr>
                <w:t>s178(1)(d)</w:t>
              </w:r>
            </w:hyperlink>
          </w:p>
        </w:tc>
        <w:tc>
          <w:tcPr>
            <w:tcW w:w="1162" w:type="dxa"/>
            <w:shd w:val="clear" w:color="auto" w:fill="FFC9C9"/>
            <w:tcMar>
              <w:top w:w="80" w:type="dxa"/>
              <w:left w:w="80" w:type="dxa"/>
              <w:bottom w:w="80" w:type="dxa"/>
              <w:right w:w="80" w:type="dxa"/>
            </w:tcMar>
          </w:tcPr>
          <w:p w14:paraId="482EFC01" w14:textId="56074DF8"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Within 6 months of the day on which the entitlement to make the claim arises — </w:t>
            </w:r>
            <w:hyperlink r:id="rId304" w:history="1">
              <w:r w:rsidRPr="00570B9E">
                <w:rPr>
                  <w:rFonts w:eastAsia="Calibri" w:cs="Arial"/>
                  <w:color w:val="0000FF"/>
                  <w:sz w:val="14"/>
                  <w:szCs w:val="14"/>
                  <w:u w:val="single"/>
                  <w:lang w:eastAsia="en-US"/>
                </w:rPr>
                <w:t>s30(1)(b)</w:t>
              </w:r>
            </w:hyperlink>
            <w:r w:rsidR="002B6B33">
              <w:rPr>
                <w:rFonts w:eastAsia="Calibri" w:cs="Arial"/>
                <w:color w:val="0000FF"/>
                <w:sz w:val="14"/>
                <w:szCs w:val="14"/>
                <w:u w:val="single"/>
                <w:lang w:eastAsia="en-US"/>
              </w:rPr>
              <w:t xml:space="preserve">, </w:t>
            </w:r>
            <w:r w:rsidR="002B6B33" w:rsidRPr="00016069">
              <w:rPr>
                <w:i/>
                <w:sz w:val="14"/>
              </w:rPr>
              <w:t>Return to Work Act 2014</w:t>
            </w:r>
          </w:p>
          <w:p w14:paraId="4D8683E2" w14:textId="547BEFCF"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A claim can be made later if the determination has not been substantially prejudiced or if the time frame was missed due to ignorance, mistake, absence from the State or other reasonable cause—</w:t>
            </w:r>
            <w:hyperlink r:id="rId305" w:history="1">
              <w:r w:rsidR="002B6B33">
                <w:rPr>
                  <w:rFonts w:eastAsia="Calibri" w:cs="Arial"/>
                  <w:color w:val="0000FF"/>
                  <w:sz w:val="14"/>
                  <w:szCs w:val="14"/>
                  <w:u w:val="single"/>
                  <w:lang w:eastAsia="en-US"/>
                </w:rPr>
                <w:t>s30(3)</w:t>
              </w:r>
            </w:hyperlink>
          </w:p>
        </w:tc>
        <w:tc>
          <w:tcPr>
            <w:tcW w:w="1163" w:type="dxa"/>
            <w:shd w:val="clear" w:color="auto" w:fill="FFC9C9"/>
            <w:tcMar>
              <w:top w:w="80" w:type="dxa"/>
              <w:left w:w="80" w:type="dxa"/>
              <w:bottom w:w="80" w:type="dxa"/>
              <w:right w:w="80" w:type="dxa"/>
            </w:tcMar>
          </w:tcPr>
          <w:p w14:paraId="3C7E66EB" w14:textId="10EE8C1F"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6 months — </w:t>
            </w:r>
            <w:hyperlink r:id="rId306" w:history="1">
              <w:r w:rsidRPr="00570B9E">
                <w:rPr>
                  <w:rFonts w:eastAsia="Calibri" w:cs="Arial"/>
                  <w:color w:val="0000FF"/>
                  <w:sz w:val="14"/>
                  <w:szCs w:val="14"/>
                  <w:u w:val="single"/>
                  <w:lang w:eastAsia="en-US"/>
                </w:rPr>
                <w:t>s32(1)(b)</w:t>
              </w:r>
            </w:hyperlink>
            <w:r w:rsidR="002B6B33">
              <w:rPr>
                <w:rFonts w:eastAsia="Calibri" w:cs="Arial"/>
                <w:color w:val="0000FF"/>
                <w:sz w:val="14"/>
                <w:szCs w:val="14"/>
                <w:u w:val="single"/>
                <w:lang w:eastAsia="en-US"/>
              </w:rPr>
              <w:t xml:space="preserve">, </w:t>
            </w:r>
            <w:r w:rsidR="002B6B33" w:rsidRPr="00016069">
              <w:rPr>
                <w:i/>
                <w:sz w:val="14"/>
              </w:rPr>
              <w:t>Workers Rehabilitation and Compensation Act 1988</w:t>
            </w:r>
          </w:p>
          <w:p w14:paraId="081BD21D" w14:textId="57EFC1E7"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Beyond 6 months — </w:t>
            </w:r>
            <w:hyperlink r:id="rId307" w:history="1">
              <w:r w:rsidRPr="00570B9E">
                <w:rPr>
                  <w:rFonts w:eastAsia="Calibri" w:cs="Arial"/>
                  <w:color w:val="0000FF"/>
                  <w:sz w:val="14"/>
                  <w:szCs w:val="14"/>
                  <w:u w:val="single"/>
                  <w:lang w:eastAsia="en-US"/>
                </w:rPr>
                <w:t>s38(1)</w:t>
              </w:r>
            </w:hyperlink>
          </w:p>
        </w:tc>
        <w:tc>
          <w:tcPr>
            <w:tcW w:w="1162" w:type="dxa"/>
            <w:shd w:val="clear" w:color="auto" w:fill="FFC9C9"/>
            <w:tcMar>
              <w:top w:w="80" w:type="dxa"/>
              <w:left w:w="80" w:type="dxa"/>
              <w:bottom w:w="80" w:type="dxa"/>
              <w:right w:w="80" w:type="dxa"/>
            </w:tcMar>
          </w:tcPr>
          <w:p w14:paraId="2E584F32" w14:textId="54A79BC4"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6 months — </w:t>
            </w:r>
            <w:hyperlink r:id="rId308" w:history="1">
              <w:r w:rsidRPr="00274476">
                <w:rPr>
                  <w:rStyle w:val="Hyperlink"/>
                  <w:rFonts w:eastAsia="Calibri" w:cs="Arial"/>
                  <w:sz w:val="14"/>
                  <w:szCs w:val="14"/>
                  <w:lang w:eastAsia="en-US"/>
                </w:rPr>
                <w:t>s182(1)</w:t>
              </w:r>
            </w:hyperlink>
            <w:r w:rsidR="002B6B33">
              <w:rPr>
                <w:rFonts w:eastAsia="Calibri" w:cs="Arial"/>
                <w:sz w:val="14"/>
                <w:szCs w:val="14"/>
                <w:lang w:eastAsia="en-US"/>
              </w:rPr>
              <w:t xml:space="preserve">, </w:t>
            </w:r>
            <w:r w:rsidR="002B6B33" w:rsidRPr="00016069">
              <w:rPr>
                <w:i/>
                <w:sz w:val="14"/>
              </w:rPr>
              <w:t>Return to Work Act</w:t>
            </w:r>
            <w:r w:rsidRPr="00570B9E">
              <w:rPr>
                <w:rFonts w:eastAsia="Calibri" w:cs="Arial"/>
                <w:sz w:val="14"/>
                <w:szCs w:val="14"/>
                <w:lang w:eastAsia="en-US"/>
              </w:rPr>
              <w:t>.</w:t>
            </w:r>
          </w:p>
          <w:p w14:paraId="78E5A82D" w14:textId="1F2630A0"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Beyond 6 months — </w:t>
            </w:r>
            <w:hyperlink r:id="rId309" w:history="1">
              <w:r w:rsidRPr="00274476">
                <w:rPr>
                  <w:rStyle w:val="Hyperlink"/>
                  <w:rFonts w:eastAsia="Calibri" w:cs="Arial"/>
                  <w:sz w:val="14"/>
                  <w:szCs w:val="14"/>
                  <w:lang w:eastAsia="en-US"/>
                </w:rPr>
                <w:t>s182(3)</w:t>
              </w:r>
            </w:hyperlink>
          </w:p>
        </w:tc>
        <w:tc>
          <w:tcPr>
            <w:tcW w:w="1163" w:type="dxa"/>
            <w:shd w:val="clear" w:color="auto" w:fill="FFC9C9"/>
            <w:tcMar>
              <w:top w:w="80" w:type="dxa"/>
              <w:left w:w="80" w:type="dxa"/>
              <w:bottom w:w="80" w:type="dxa"/>
              <w:right w:w="80" w:type="dxa"/>
            </w:tcMar>
          </w:tcPr>
          <w:p w14:paraId="1D71BF36" w14:textId="03802E49"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3 years — </w:t>
            </w:r>
            <w:hyperlink r:id="rId310" w:history="1">
              <w:r w:rsidRPr="00274476">
                <w:rPr>
                  <w:rStyle w:val="Hyperlink"/>
                  <w:rFonts w:eastAsia="Calibri" w:cs="Arial"/>
                  <w:sz w:val="14"/>
                  <w:szCs w:val="14"/>
                  <w:lang w:eastAsia="en-US"/>
                </w:rPr>
                <w:t>s120(1)(b)</w:t>
              </w:r>
            </w:hyperlink>
            <w:r w:rsidRPr="00570B9E">
              <w:rPr>
                <w:rFonts w:eastAsia="Calibri" w:cs="Arial"/>
                <w:sz w:val="14"/>
                <w:szCs w:val="14"/>
                <w:lang w:eastAsia="en-US"/>
              </w:rPr>
              <w:t>, or</w:t>
            </w:r>
          </w:p>
          <w:p w14:paraId="2100E12B" w14:textId="3A86644A"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Beyond 3 years — </w:t>
            </w:r>
            <w:hyperlink r:id="rId311" w:history="1">
              <w:r w:rsidRPr="00274476">
                <w:rPr>
                  <w:rStyle w:val="Hyperlink"/>
                  <w:rFonts w:eastAsia="Calibri" w:cs="Arial"/>
                  <w:sz w:val="14"/>
                  <w:szCs w:val="14"/>
                  <w:lang w:eastAsia="en-US"/>
                </w:rPr>
                <w:t>s120(2)</w:t>
              </w:r>
            </w:hyperlink>
            <w:r w:rsidR="002B6B33">
              <w:rPr>
                <w:rFonts w:eastAsia="Calibri" w:cs="Arial"/>
                <w:sz w:val="14"/>
                <w:szCs w:val="14"/>
                <w:lang w:eastAsia="en-US"/>
              </w:rPr>
              <w:t xml:space="preserve">, </w:t>
            </w:r>
            <w:r w:rsidR="002B6B33" w:rsidRPr="00016069">
              <w:rPr>
                <w:i/>
                <w:sz w:val="14"/>
              </w:rPr>
              <w:t>Workers Compensation Act 1951</w:t>
            </w:r>
          </w:p>
        </w:tc>
        <w:tc>
          <w:tcPr>
            <w:tcW w:w="1162" w:type="dxa"/>
            <w:shd w:val="clear" w:color="auto" w:fill="FFC9C9"/>
            <w:tcMar>
              <w:top w:w="80" w:type="dxa"/>
              <w:left w:w="80" w:type="dxa"/>
              <w:bottom w:w="80" w:type="dxa"/>
              <w:right w:w="80" w:type="dxa"/>
            </w:tcMar>
          </w:tcPr>
          <w:p w14:paraId="39CAFA60" w14:textId="5F099084" w:rsidR="00570B9E" w:rsidRPr="00570B9E" w:rsidRDefault="00C748F6" w:rsidP="007670EA">
            <w:pPr>
              <w:spacing w:after="0"/>
              <w:contextualSpacing/>
              <w:rPr>
                <w:rFonts w:eastAsia="Calibri" w:cs="Arial"/>
                <w:sz w:val="14"/>
                <w:szCs w:val="14"/>
                <w:lang w:eastAsia="en-US"/>
              </w:rPr>
            </w:pPr>
            <w:r>
              <w:rPr>
                <w:rFonts w:eastAsia="Calibri" w:cs="Arial"/>
                <w:sz w:val="14"/>
                <w:szCs w:val="14"/>
                <w:lang w:eastAsia="en-US"/>
              </w:rPr>
              <w:t xml:space="preserve">No specified time — </w:t>
            </w:r>
            <w:hyperlink r:id="rId312" w:history="1">
              <w:r w:rsidRPr="00C748F6">
                <w:rPr>
                  <w:rStyle w:val="Hyperlink"/>
                  <w:rFonts w:eastAsia="Calibri" w:cs="Arial"/>
                  <w:sz w:val="14"/>
                  <w:szCs w:val="14"/>
                  <w:lang w:eastAsia="en-US"/>
                </w:rPr>
                <w:t>s</w:t>
              </w:r>
              <w:r w:rsidR="00570B9E" w:rsidRPr="00C748F6">
                <w:rPr>
                  <w:rStyle w:val="Hyperlink"/>
                  <w:rFonts w:eastAsia="Calibri" w:cs="Arial"/>
                  <w:sz w:val="14"/>
                  <w:szCs w:val="14"/>
                  <w:lang w:eastAsia="en-US"/>
                </w:rPr>
                <w:t>54(1)</w:t>
              </w:r>
            </w:hyperlink>
            <w:r w:rsidR="002B6B33">
              <w:rPr>
                <w:rFonts w:eastAsia="Calibri" w:cs="Arial"/>
                <w:sz w:val="14"/>
                <w:szCs w:val="14"/>
                <w:lang w:eastAsia="en-US"/>
              </w:rPr>
              <w:t xml:space="preserve">, </w:t>
            </w:r>
            <w:r w:rsidR="002B6B33" w:rsidRPr="00016069">
              <w:rPr>
                <w:i/>
                <w:sz w:val="14"/>
              </w:rPr>
              <w:t>Safety, Rehabilitation and Compensation Act 1988</w:t>
            </w:r>
          </w:p>
        </w:tc>
        <w:tc>
          <w:tcPr>
            <w:tcW w:w="1163" w:type="dxa"/>
            <w:shd w:val="clear" w:color="auto" w:fill="FFC9C9"/>
            <w:tcMar>
              <w:top w:w="80" w:type="dxa"/>
              <w:left w:w="80" w:type="dxa"/>
              <w:bottom w:w="80" w:type="dxa"/>
              <w:right w:w="80" w:type="dxa"/>
            </w:tcMar>
          </w:tcPr>
          <w:p w14:paraId="3AF400DA" w14:textId="12E46A1C"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No time specified — </w:t>
            </w:r>
            <w:hyperlink r:id="rId313" w:history="1">
              <w:r w:rsidRPr="00C748F6">
                <w:rPr>
                  <w:rStyle w:val="Hyperlink"/>
                  <w:rFonts w:eastAsia="Calibri" w:cs="Arial"/>
                  <w:sz w:val="14"/>
                  <w:szCs w:val="14"/>
                  <w:lang w:eastAsia="en-US"/>
                </w:rPr>
                <w:t>s63</w:t>
              </w:r>
            </w:hyperlink>
            <w:r w:rsidR="002B6B33">
              <w:rPr>
                <w:rFonts w:eastAsia="Calibri" w:cs="Arial"/>
                <w:sz w:val="14"/>
                <w:szCs w:val="14"/>
                <w:lang w:eastAsia="en-US"/>
              </w:rPr>
              <w:t xml:space="preserve">, </w:t>
            </w:r>
            <w:r w:rsidR="002B6B33" w:rsidRPr="00016069">
              <w:rPr>
                <w:i/>
                <w:sz w:val="14"/>
              </w:rPr>
              <w:t>Seafarers Rehabilitation and Compensation Act 1992</w:t>
            </w:r>
          </w:p>
        </w:tc>
        <w:tc>
          <w:tcPr>
            <w:tcW w:w="1162" w:type="dxa"/>
            <w:shd w:val="clear" w:color="auto" w:fill="FFC9C9"/>
            <w:tcMar>
              <w:top w:w="80" w:type="dxa"/>
              <w:left w:w="80" w:type="dxa"/>
              <w:bottom w:w="80" w:type="dxa"/>
              <w:right w:w="80" w:type="dxa"/>
            </w:tcMar>
          </w:tcPr>
          <w:p w14:paraId="5E8EC260" w14:textId="721B9BD5" w:rsidR="00570B9E" w:rsidRPr="002B6B33" w:rsidRDefault="002B6B33" w:rsidP="002B6B33">
            <w:pPr>
              <w:rPr>
                <w:i/>
                <w:sz w:val="14"/>
              </w:rPr>
            </w:pPr>
            <w:r w:rsidRPr="0039798F">
              <w:rPr>
                <w:rFonts w:eastAsia="Calibri" w:cs="Arial"/>
                <w:i/>
                <w:sz w:val="14"/>
                <w:szCs w:val="14"/>
                <w:lang w:eastAsia="en-US"/>
              </w:rPr>
              <w:t>Military Rehabilitation and Compensation Act 2004</w:t>
            </w:r>
            <w:r>
              <w:rPr>
                <w:i/>
                <w:sz w:val="14"/>
              </w:rPr>
              <w:t xml:space="preserve"> </w:t>
            </w:r>
            <w:r>
              <w:rPr>
                <w:rFonts w:eastAsia="Calibri" w:cs="Arial"/>
                <w:sz w:val="14"/>
                <w:szCs w:val="14"/>
                <w:lang w:eastAsia="en-US"/>
              </w:rPr>
              <w:t>(</w:t>
            </w:r>
            <w:r w:rsidR="008813AC">
              <w:rPr>
                <w:rFonts w:eastAsia="Calibri" w:cs="Arial"/>
                <w:sz w:val="14"/>
                <w:szCs w:val="14"/>
                <w:lang w:eastAsia="en-US"/>
              </w:rPr>
              <w:t>MRCA</w:t>
            </w:r>
            <w:r>
              <w:rPr>
                <w:rFonts w:eastAsia="Calibri" w:cs="Arial"/>
                <w:sz w:val="14"/>
                <w:szCs w:val="14"/>
                <w:lang w:eastAsia="en-US"/>
              </w:rPr>
              <w:t>)</w:t>
            </w:r>
            <w:r w:rsidR="008813AC">
              <w:rPr>
                <w:rFonts w:eastAsia="Calibri" w:cs="Arial"/>
                <w:sz w:val="14"/>
                <w:szCs w:val="14"/>
                <w:lang w:eastAsia="en-US"/>
              </w:rPr>
              <w:t xml:space="preserve"> — </w:t>
            </w:r>
            <w:r w:rsidR="00570B9E" w:rsidRPr="00570B9E">
              <w:rPr>
                <w:rFonts w:eastAsia="Calibri" w:cs="Arial"/>
                <w:sz w:val="14"/>
                <w:szCs w:val="14"/>
                <w:lang w:eastAsia="en-US"/>
              </w:rPr>
              <w:t xml:space="preserve">No specified time </w:t>
            </w:r>
            <w:r w:rsidR="008813AC">
              <w:rPr>
                <w:rFonts w:eastAsia="Calibri" w:cs="Arial"/>
                <w:sz w:val="14"/>
                <w:szCs w:val="14"/>
                <w:lang w:eastAsia="en-US"/>
              </w:rPr>
              <w:t>—</w:t>
            </w:r>
            <w:r w:rsidR="008813AC" w:rsidRPr="00570B9E">
              <w:rPr>
                <w:rFonts w:eastAsia="Calibri" w:cs="Arial"/>
                <w:sz w:val="14"/>
                <w:szCs w:val="14"/>
                <w:lang w:eastAsia="en-US"/>
              </w:rPr>
              <w:t xml:space="preserve"> </w:t>
            </w:r>
            <w:hyperlink r:id="rId314" w:history="1">
              <w:r w:rsidR="00570B9E" w:rsidRPr="007C4199">
                <w:rPr>
                  <w:rStyle w:val="Hyperlink"/>
                  <w:rFonts w:eastAsia="Calibri" w:cs="Arial"/>
                  <w:sz w:val="14"/>
                  <w:szCs w:val="14"/>
                  <w:lang w:eastAsia="en-US"/>
                </w:rPr>
                <w:t>s319</w:t>
              </w:r>
            </w:hyperlink>
          </w:p>
          <w:p w14:paraId="4AAFFEBE" w14:textId="77777777" w:rsidR="008813AC" w:rsidRDefault="008813AC" w:rsidP="008813AC">
            <w:pPr>
              <w:spacing w:after="0"/>
              <w:contextualSpacing/>
              <w:rPr>
                <w:rFonts w:eastAsia="Calibri" w:cs="Arial"/>
                <w:sz w:val="14"/>
                <w:szCs w:val="14"/>
                <w:lang w:eastAsia="en-US"/>
              </w:rPr>
            </w:pPr>
          </w:p>
          <w:p w14:paraId="2AF7AFC9" w14:textId="1087A575" w:rsidR="008813AC" w:rsidRPr="00570B9E" w:rsidRDefault="002B6B33" w:rsidP="008813AC">
            <w:pPr>
              <w:spacing w:after="0"/>
              <w:contextualSpacing/>
              <w:rPr>
                <w:rFonts w:eastAsia="Calibri" w:cs="Arial"/>
                <w:sz w:val="14"/>
                <w:szCs w:val="14"/>
                <w:lang w:eastAsia="en-US"/>
              </w:rPr>
            </w:pPr>
            <w:r w:rsidRPr="00016069">
              <w:rPr>
                <w:i/>
                <w:sz w:val="14"/>
              </w:rPr>
              <w:t>Safety, Rehabilitation and Compensation (Defence-related Claims) Act 1988</w:t>
            </w:r>
            <w:r>
              <w:rPr>
                <w:i/>
                <w:sz w:val="14"/>
              </w:rPr>
              <w:t xml:space="preserve"> </w:t>
            </w:r>
            <w:r>
              <w:rPr>
                <w:sz w:val="14"/>
              </w:rPr>
              <w:t>(</w:t>
            </w:r>
            <w:r w:rsidR="008813AC">
              <w:rPr>
                <w:rFonts w:eastAsia="Calibri" w:cs="Arial"/>
                <w:sz w:val="14"/>
                <w:szCs w:val="14"/>
                <w:lang w:eastAsia="en-US"/>
              </w:rPr>
              <w:t>DRCA</w:t>
            </w:r>
            <w:r>
              <w:rPr>
                <w:rFonts w:eastAsia="Calibri" w:cs="Arial"/>
                <w:sz w:val="14"/>
                <w:szCs w:val="14"/>
                <w:lang w:eastAsia="en-US"/>
              </w:rPr>
              <w:t>)</w:t>
            </w:r>
            <w:r w:rsidR="008813AC">
              <w:rPr>
                <w:rFonts w:eastAsia="Calibri" w:cs="Arial"/>
                <w:sz w:val="14"/>
                <w:szCs w:val="14"/>
                <w:lang w:eastAsia="en-US"/>
              </w:rPr>
              <w:t xml:space="preserve"> — As soon as practicable after employee becomes aware of the injury or as soon as practicable after the death — </w:t>
            </w:r>
            <w:hyperlink r:id="rId315" w:history="1">
              <w:r w:rsidR="008813AC" w:rsidRPr="007C4199">
                <w:rPr>
                  <w:rStyle w:val="Hyperlink"/>
                  <w:rFonts w:eastAsia="Calibri" w:cs="Arial"/>
                  <w:sz w:val="14"/>
                  <w:szCs w:val="14"/>
                  <w:lang w:eastAsia="en-US"/>
                </w:rPr>
                <w:t>s53</w:t>
              </w:r>
            </w:hyperlink>
          </w:p>
        </w:tc>
        <w:tc>
          <w:tcPr>
            <w:tcW w:w="1163" w:type="dxa"/>
            <w:shd w:val="clear" w:color="auto" w:fill="FFC9C9"/>
            <w:tcMar>
              <w:top w:w="80" w:type="dxa"/>
              <w:left w:w="80" w:type="dxa"/>
              <w:bottom w:w="80" w:type="dxa"/>
              <w:right w:w="80" w:type="dxa"/>
            </w:tcMar>
          </w:tcPr>
          <w:p w14:paraId="7B1F87A9" w14:textId="50833D3D"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Within 12 months — </w:t>
            </w:r>
            <w:hyperlink r:id="rId316" w:history="1">
              <w:r w:rsidRPr="007C4199">
                <w:rPr>
                  <w:rStyle w:val="Hyperlink"/>
                  <w:rFonts w:eastAsia="Calibri" w:cs="Arial"/>
                  <w:sz w:val="14"/>
                  <w:szCs w:val="14"/>
                  <w:lang w:eastAsia="en-US"/>
                </w:rPr>
                <w:t>s53</w:t>
              </w:r>
            </w:hyperlink>
            <w:r w:rsidR="002B6B33">
              <w:rPr>
                <w:rFonts w:eastAsia="Calibri" w:cs="Arial"/>
                <w:sz w:val="14"/>
                <w:szCs w:val="14"/>
                <w:lang w:eastAsia="en-US"/>
              </w:rPr>
              <w:t xml:space="preserve">, </w:t>
            </w:r>
            <w:r w:rsidR="002B6B33" w:rsidRPr="00016069">
              <w:rPr>
                <w:i/>
                <w:sz w:val="14"/>
              </w:rPr>
              <w:t>Accident Compensation Act 2001</w:t>
            </w:r>
          </w:p>
        </w:tc>
      </w:tr>
      <w:tr w:rsidR="00570B9E" w:rsidRPr="00570B9E" w14:paraId="1642FF36" w14:textId="77777777" w:rsidTr="00F6068C">
        <w:tc>
          <w:tcPr>
            <w:tcW w:w="1341" w:type="dxa"/>
            <w:tcMar>
              <w:top w:w="80" w:type="dxa"/>
              <w:left w:w="80" w:type="dxa"/>
              <w:bottom w:w="80" w:type="dxa"/>
              <w:right w:w="80" w:type="dxa"/>
            </w:tcMar>
          </w:tcPr>
          <w:p w14:paraId="51979EE1" w14:textId="77777777" w:rsidR="00570B9E" w:rsidRPr="00570B9E" w:rsidRDefault="00570B9E" w:rsidP="007670EA">
            <w:pPr>
              <w:spacing w:after="0"/>
              <w:rPr>
                <w:rFonts w:eastAsia="Calibri" w:cs="Arial"/>
                <w:b/>
                <w:sz w:val="16"/>
                <w:szCs w:val="16"/>
                <w:lang w:eastAsia="en-US"/>
              </w:rPr>
            </w:pPr>
            <w:r w:rsidRPr="00570B9E">
              <w:rPr>
                <w:rFonts w:eastAsia="Calibri" w:cs="Arial"/>
                <w:b/>
                <w:sz w:val="16"/>
                <w:szCs w:val="16"/>
                <w:lang w:eastAsia="en-US"/>
              </w:rPr>
              <w:t>How a claim must be lodged</w:t>
            </w:r>
          </w:p>
        </w:tc>
        <w:tc>
          <w:tcPr>
            <w:tcW w:w="1304" w:type="dxa"/>
            <w:tcMar>
              <w:top w:w="80" w:type="dxa"/>
              <w:left w:w="80" w:type="dxa"/>
              <w:bottom w:w="80" w:type="dxa"/>
              <w:right w:w="80" w:type="dxa"/>
            </w:tcMar>
          </w:tcPr>
          <w:p w14:paraId="2918C1C0" w14:textId="501A8248" w:rsidR="00F6068C" w:rsidRDefault="00885F3B" w:rsidP="007670EA">
            <w:pPr>
              <w:spacing w:after="0"/>
              <w:contextualSpacing/>
              <w:rPr>
                <w:rFonts w:eastAsia="Calibri" w:cs="Arial"/>
                <w:sz w:val="14"/>
                <w:szCs w:val="14"/>
                <w:lang w:eastAsia="en-US"/>
              </w:rPr>
            </w:pPr>
            <w:r w:rsidRPr="00885F3B">
              <w:rPr>
                <w:rFonts w:eastAsia="Calibri" w:cs="Arial"/>
                <w:sz w:val="14"/>
                <w:szCs w:val="14"/>
                <w:lang w:eastAsia="en-US"/>
              </w:rPr>
              <w:t xml:space="preserve">A workplace injury must be notified to the employer as soon as possible. – </w:t>
            </w:r>
            <w:hyperlink r:id="rId317" w:history="1">
              <w:r w:rsidRPr="00A724E3">
                <w:rPr>
                  <w:rStyle w:val="Hyperlink"/>
                  <w:rFonts w:eastAsia="Calibri" w:cs="Arial"/>
                  <w:sz w:val="14"/>
                  <w:szCs w:val="14"/>
                  <w:lang w:eastAsia="en-US"/>
                </w:rPr>
                <w:t>s44</w:t>
              </w:r>
            </w:hyperlink>
            <w:r w:rsidRPr="00885F3B">
              <w:rPr>
                <w:rFonts w:eastAsia="Calibri" w:cs="Arial"/>
                <w:sz w:val="14"/>
                <w:szCs w:val="14"/>
                <w:lang w:eastAsia="en-US"/>
              </w:rPr>
              <w:t xml:space="preserve"> and </w:t>
            </w:r>
            <w:hyperlink r:id="rId318" w:history="1">
              <w:r w:rsidRPr="00A724E3">
                <w:rPr>
                  <w:rStyle w:val="Hyperlink"/>
                  <w:rFonts w:eastAsia="Calibri" w:cs="Arial"/>
                  <w:sz w:val="14"/>
                  <w:szCs w:val="14"/>
                  <w:lang w:eastAsia="en-US"/>
                </w:rPr>
                <w:t>s254</w:t>
              </w:r>
            </w:hyperlink>
            <w:r w:rsidRPr="00885F3B">
              <w:rPr>
                <w:rFonts w:eastAsia="Calibri" w:cs="Arial"/>
                <w:sz w:val="14"/>
                <w:szCs w:val="14"/>
                <w:lang w:eastAsia="en-US"/>
              </w:rPr>
              <w:t xml:space="preserve"> 1998 Act</w:t>
            </w:r>
            <w:r w:rsidRPr="00885F3B">
              <w:rPr>
                <w:rFonts w:eastAsia="Calibri" w:cs="Arial"/>
                <w:sz w:val="14"/>
                <w:szCs w:val="14"/>
                <w:lang w:eastAsia="en-US"/>
              </w:rPr>
              <w:br/>
            </w:r>
          </w:p>
          <w:p w14:paraId="40B70B49" w14:textId="3CBD7CF9" w:rsidR="00885F3B" w:rsidRPr="00885F3B" w:rsidRDefault="00885F3B" w:rsidP="007670EA">
            <w:pPr>
              <w:spacing w:after="0"/>
              <w:contextualSpacing/>
              <w:rPr>
                <w:rFonts w:eastAsia="Calibri" w:cs="Arial"/>
                <w:sz w:val="14"/>
                <w:szCs w:val="14"/>
                <w:lang w:eastAsia="en-US"/>
              </w:rPr>
            </w:pPr>
            <w:r w:rsidRPr="00885F3B">
              <w:rPr>
                <w:rFonts w:eastAsia="Calibri" w:cs="Arial"/>
                <w:sz w:val="14"/>
                <w:szCs w:val="14"/>
                <w:lang w:eastAsia="en-US"/>
              </w:rPr>
              <w:t xml:space="preserve">The employer must notify the insurer within 48 hours of becoming aware that a worker has received a workplace injury– </w:t>
            </w:r>
            <w:hyperlink r:id="rId319" w:history="1">
              <w:r w:rsidRPr="00A724E3">
                <w:rPr>
                  <w:rStyle w:val="Hyperlink"/>
                  <w:rFonts w:eastAsia="Calibri" w:cs="Arial"/>
                  <w:sz w:val="14"/>
                  <w:szCs w:val="14"/>
                  <w:lang w:eastAsia="en-US"/>
                </w:rPr>
                <w:t>s44</w:t>
              </w:r>
            </w:hyperlink>
            <w:r w:rsidRPr="00885F3B">
              <w:rPr>
                <w:rFonts w:eastAsia="Calibri" w:cs="Arial"/>
                <w:sz w:val="14"/>
                <w:szCs w:val="14"/>
                <w:lang w:eastAsia="en-US"/>
              </w:rPr>
              <w:t xml:space="preserve"> 1998 </w:t>
            </w:r>
            <w:r w:rsidR="00F6068C">
              <w:rPr>
                <w:rFonts w:eastAsia="Calibri" w:cs="Arial"/>
                <w:sz w:val="14"/>
                <w:szCs w:val="14"/>
                <w:lang w:eastAsia="en-US"/>
              </w:rPr>
              <w:t>Act</w:t>
            </w:r>
          </w:p>
          <w:p w14:paraId="5C722F87" w14:textId="77777777" w:rsidR="00F6068C" w:rsidRDefault="00F6068C" w:rsidP="007670EA">
            <w:pPr>
              <w:spacing w:after="0"/>
              <w:contextualSpacing/>
              <w:rPr>
                <w:rFonts w:eastAsia="Calibri" w:cs="Arial"/>
                <w:sz w:val="14"/>
                <w:szCs w:val="14"/>
                <w:lang w:eastAsia="en-US"/>
              </w:rPr>
            </w:pPr>
          </w:p>
          <w:p w14:paraId="2007FD53" w14:textId="680D2C87" w:rsidR="00570B9E" w:rsidRPr="00570B9E" w:rsidRDefault="00885F3B" w:rsidP="007670EA">
            <w:pPr>
              <w:spacing w:after="0"/>
              <w:contextualSpacing/>
              <w:rPr>
                <w:rFonts w:eastAsia="Calibri" w:cs="Arial"/>
                <w:sz w:val="14"/>
                <w:szCs w:val="14"/>
                <w:lang w:eastAsia="en-US"/>
              </w:rPr>
            </w:pPr>
            <w:r w:rsidRPr="00885F3B">
              <w:rPr>
                <w:rFonts w:eastAsia="Calibri" w:cs="Arial"/>
                <w:sz w:val="14"/>
                <w:szCs w:val="14"/>
                <w:lang w:eastAsia="en-US"/>
              </w:rPr>
              <w:t xml:space="preserve">A worker, employer or their representative can make initial notification of the injury to the </w:t>
            </w:r>
            <w:r w:rsidRPr="00885F3B">
              <w:rPr>
                <w:rFonts w:eastAsia="Calibri" w:cs="Arial"/>
                <w:sz w:val="14"/>
                <w:szCs w:val="14"/>
                <w:lang w:eastAsia="en-US"/>
              </w:rPr>
              <w:lastRenderedPageBreak/>
              <w:t xml:space="preserve">insurer, either electronically, in </w:t>
            </w:r>
            <w:r w:rsidR="00F6068C">
              <w:rPr>
                <w:rFonts w:eastAsia="Calibri" w:cs="Arial"/>
                <w:sz w:val="14"/>
                <w:szCs w:val="14"/>
                <w:lang w:eastAsia="en-US"/>
              </w:rPr>
              <w:t>writing or by phone</w:t>
            </w:r>
          </w:p>
        </w:tc>
        <w:tc>
          <w:tcPr>
            <w:tcW w:w="1163" w:type="dxa"/>
            <w:tcMar>
              <w:top w:w="80" w:type="dxa"/>
              <w:left w:w="80" w:type="dxa"/>
              <w:bottom w:w="80" w:type="dxa"/>
              <w:right w:w="80" w:type="dxa"/>
            </w:tcMar>
          </w:tcPr>
          <w:p w14:paraId="702306C3" w14:textId="00220D5F" w:rsidR="00F6068C"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lastRenderedPageBreak/>
              <w:t>In an approved form given o</w:t>
            </w:r>
            <w:r w:rsidR="00F6068C">
              <w:rPr>
                <w:rFonts w:eastAsia="Calibri" w:cs="Arial"/>
                <w:sz w:val="14"/>
                <w:szCs w:val="14"/>
                <w:lang w:eastAsia="en-US"/>
              </w:rPr>
              <w:t xml:space="preserve">r served on the employer — </w:t>
            </w:r>
            <w:hyperlink r:id="rId320" w:history="1">
              <w:r w:rsidR="00F6068C" w:rsidRPr="00A724E3">
                <w:rPr>
                  <w:rStyle w:val="Hyperlink"/>
                  <w:rFonts w:eastAsia="Calibri" w:cs="Arial"/>
                  <w:sz w:val="14"/>
                  <w:szCs w:val="14"/>
                  <w:lang w:eastAsia="en-US"/>
                </w:rPr>
                <w:t>s20</w:t>
              </w:r>
            </w:hyperlink>
          </w:p>
          <w:p w14:paraId="3DC0E587" w14:textId="77777777" w:rsidR="00F6068C" w:rsidRDefault="00F6068C" w:rsidP="007670EA">
            <w:pPr>
              <w:spacing w:after="0"/>
              <w:contextualSpacing/>
              <w:rPr>
                <w:rFonts w:eastAsia="Calibri" w:cs="Arial"/>
                <w:sz w:val="14"/>
                <w:szCs w:val="14"/>
                <w:lang w:eastAsia="en-US"/>
              </w:rPr>
            </w:pPr>
          </w:p>
          <w:p w14:paraId="6D8E16D1" w14:textId="511D731B"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It may be lodged with the Authority in certain circumstances — </w:t>
            </w:r>
            <w:hyperlink r:id="rId321" w:history="1">
              <w:r w:rsidRPr="00A724E3">
                <w:rPr>
                  <w:rStyle w:val="Hyperlink"/>
                  <w:rFonts w:eastAsia="Calibri" w:cs="Arial"/>
                  <w:sz w:val="14"/>
                  <w:szCs w:val="14"/>
                  <w:lang w:eastAsia="en-US"/>
                </w:rPr>
                <w:t>s29</w:t>
              </w:r>
            </w:hyperlink>
          </w:p>
        </w:tc>
        <w:tc>
          <w:tcPr>
            <w:tcW w:w="1162" w:type="dxa"/>
            <w:tcMar>
              <w:top w:w="80" w:type="dxa"/>
              <w:left w:w="80" w:type="dxa"/>
              <w:bottom w:w="80" w:type="dxa"/>
              <w:right w:w="80" w:type="dxa"/>
            </w:tcMar>
          </w:tcPr>
          <w:p w14:paraId="2C3242E3" w14:textId="5F3112C0" w:rsid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With the insurer in the approved form (whether by paper form, online, te</w:t>
            </w:r>
            <w:r w:rsidR="00E01D0F">
              <w:rPr>
                <w:rFonts w:eastAsia="Calibri" w:cs="Arial"/>
                <w:sz w:val="14"/>
                <w:szCs w:val="14"/>
                <w:lang w:eastAsia="en-US"/>
              </w:rPr>
              <w:t>lephone or submitted by doctor)</w:t>
            </w:r>
          </w:p>
          <w:p w14:paraId="7F0E3C91" w14:textId="77777777" w:rsidR="00F6068C" w:rsidRPr="00570B9E" w:rsidRDefault="00F6068C" w:rsidP="007670EA">
            <w:pPr>
              <w:spacing w:after="0"/>
              <w:contextualSpacing/>
              <w:rPr>
                <w:rFonts w:eastAsia="Calibri" w:cs="Arial"/>
                <w:sz w:val="14"/>
                <w:szCs w:val="14"/>
                <w:lang w:eastAsia="en-US"/>
              </w:rPr>
            </w:pPr>
          </w:p>
        </w:tc>
        <w:tc>
          <w:tcPr>
            <w:tcW w:w="1163" w:type="dxa"/>
            <w:tcMar>
              <w:top w:w="80" w:type="dxa"/>
              <w:left w:w="80" w:type="dxa"/>
              <w:bottom w:w="80" w:type="dxa"/>
              <w:right w:w="80" w:type="dxa"/>
            </w:tcMar>
          </w:tcPr>
          <w:p w14:paraId="439BA372" w14:textId="70B1873A" w:rsid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Worker must lodge claim form and first certif</w:t>
            </w:r>
            <w:r w:rsidR="00E01D0F">
              <w:rPr>
                <w:rFonts w:eastAsia="Calibri" w:cs="Arial"/>
                <w:sz w:val="14"/>
                <w:szCs w:val="14"/>
                <w:lang w:eastAsia="en-US"/>
              </w:rPr>
              <w:t>icate of capacity with employer</w:t>
            </w:r>
          </w:p>
          <w:p w14:paraId="60369590" w14:textId="77777777" w:rsidR="00F6068C" w:rsidRPr="00570B9E" w:rsidRDefault="00F6068C" w:rsidP="007670EA">
            <w:pPr>
              <w:spacing w:after="0"/>
              <w:contextualSpacing/>
              <w:rPr>
                <w:rFonts w:eastAsia="Calibri" w:cs="Arial"/>
                <w:sz w:val="14"/>
                <w:szCs w:val="14"/>
                <w:lang w:eastAsia="en-US"/>
              </w:rPr>
            </w:pPr>
          </w:p>
        </w:tc>
        <w:tc>
          <w:tcPr>
            <w:tcW w:w="1162" w:type="dxa"/>
            <w:tcMar>
              <w:top w:w="80" w:type="dxa"/>
              <w:left w:w="80" w:type="dxa"/>
              <w:bottom w:w="80" w:type="dxa"/>
              <w:right w:w="80" w:type="dxa"/>
            </w:tcMar>
          </w:tcPr>
          <w:p w14:paraId="29149E24" w14:textId="77777777"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For workers of an employer who is not a self-insured employer, the claim form must be given by the worker, or their representative to:</w:t>
            </w:r>
          </w:p>
          <w:p w14:paraId="52771B20" w14:textId="77777777" w:rsidR="00F6068C" w:rsidRDefault="00F6068C" w:rsidP="007670EA">
            <w:pPr>
              <w:spacing w:after="0"/>
              <w:contextualSpacing/>
              <w:rPr>
                <w:rFonts w:eastAsia="Calibri" w:cs="Arial"/>
                <w:sz w:val="14"/>
                <w:szCs w:val="14"/>
                <w:lang w:eastAsia="en-US"/>
              </w:rPr>
            </w:pPr>
          </w:p>
          <w:p w14:paraId="170382FA" w14:textId="77777777"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 xml:space="preserve">their employer direct (if the worker is in employment at the commencement of incapacity), or the Corporation, or the employer’s claims agent in one of the </w:t>
            </w:r>
            <w:r w:rsidRPr="00570B9E">
              <w:rPr>
                <w:rFonts w:eastAsia="Calibri" w:cs="Arial"/>
                <w:sz w:val="14"/>
                <w:szCs w:val="14"/>
                <w:lang w:eastAsia="en-US"/>
              </w:rPr>
              <w:lastRenderedPageBreak/>
              <w:t>following manners:</w:t>
            </w:r>
          </w:p>
          <w:p w14:paraId="7CC477A0" w14:textId="77777777"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in person, via post, via facsimile, via telephone or via email</w:t>
            </w:r>
          </w:p>
          <w:p w14:paraId="182E27EB" w14:textId="587E3E7A" w:rsidR="00570B9E" w:rsidRPr="00570B9E" w:rsidRDefault="00A7538C" w:rsidP="007670EA">
            <w:pPr>
              <w:spacing w:after="0"/>
              <w:contextualSpacing/>
              <w:rPr>
                <w:rFonts w:eastAsia="Calibri" w:cs="Arial"/>
                <w:sz w:val="14"/>
                <w:szCs w:val="14"/>
                <w:lang w:eastAsia="en-US"/>
              </w:rPr>
            </w:pPr>
            <w:hyperlink r:id="rId322" w:history="1">
              <w:r w:rsidR="00570B9E" w:rsidRPr="00570B9E">
                <w:rPr>
                  <w:rFonts w:eastAsia="Calibri" w:cs="Arial"/>
                  <w:color w:val="0000FF"/>
                  <w:sz w:val="14"/>
                  <w:szCs w:val="14"/>
                  <w:u w:val="single"/>
                  <w:lang w:eastAsia="en-US"/>
                </w:rPr>
                <w:t>30(1)(a)</w:t>
              </w:r>
            </w:hyperlink>
          </w:p>
        </w:tc>
        <w:tc>
          <w:tcPr>
            <w:tcW w:w="1163" w:type="dxa"/>
            <w:tcMar>
              <w:top w:w="80" w:type="dxa"/>
              <w:left w:w="80" w:type="dxa"/>
              <w:bottom w:w="80" w:type="dxa"/>
              <w:right w:w="80" w:type="dxa"/>
            </w:tcMar>
          </w:tcPr>
          <w:p w14:paraId="3DBE2056" w14:textId="77777777"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lastRenderedPageBreak/>
              <w:t xml:space="preserve">Claim form plus medical certificate to be given to employer or person designated by employer </w:t>
            </w:r>
            <w:hyperlink r:id="rId323" w:history="1">
              <w:r w:rsidRPr="00570B9E">
                <w:rPr>
                  <w:rFonts w:eastAsia="Calibri" w:cs="Arial"/>
                  <w:color w:val="0000FF"/>
                  <w:sz w:val="14"/>
                  <w:szCs w:val="14"/>
                  <w:u w:val="single"/>
                  <w:lang w:eastAsia="en-US"/>
                </w:rPr>
                <w:t>s34</w:t>
              </w:r>
            </w:hyperlink>
          </w:p>
          <w:p w14:paraId="7FAD7FA4" w14:textId="5AE728DE" w:rsidR="00570B9E" w:rsidRDefault="00570B9E" w:rsidP="007670EA">
            <w:pPr>
              <w:spacing w:after="0"/>
              <w:contextualSpacing/>
              <w:rPr>
                <w:rFonts w:eastAsia="Calibri" w:cs="Arial"/>
                <w:color w:val="0000FF"/>
                <w:sz w:val="14"/>
                <w:szCs w:val="14"/>
                <w:u w:val="single"/>
                <w:lang w:eastAsia="en-US"/>
              </w:rPr>
            </w:pPr>
            <w:r w:rsidRPr="00570B9E">
              <w:rPr>
                <w:rFonts w:eastAsia="Calibri" w:cs="Arial"/>
                <w:sz w:val="14"/>
                <w:szCs w:val="14"/>
                <w:lang w:eastAsia="en-US"/>
              </w:rPr>
              <w:t>May be given to</w:t>
            </w:r>
            <w:r w:rsidR="00F6068C">
              <w:rPr>
                <w:rFonts w:eastAsia="Calibri" w:cs="Arial"/>
                <w:sz w:val="14"/>
                <w:szCs w:val="14"/>
                <w:lang w:eastAsia="en-US"/>
              </w:rPr>
              <w:t xml:space="preserve"> employer personally or by post </w:t>
            </w:r>
            <w:hyperlink r:id="rId324" w:history="1">
              <w:r w:rsidRPr="00570B9E">
                <w:rPr>
                  <w:rFonts w:eastAsia="Calibri" w:cs="Arial"/>
                  <w:color w:val="0000FF"/>
                  <w:sz w:val="14"/>
                  <w:szCs w:val="14"/>
                  <w:u w:val="single"/>
                  <w:lang w:eastAsia="en-US"/>
                </w:rPr>
                <w:t>s35</w:t>
              </w:r>
            </w:hyperlink>
          </w:p>
          <w:p w14:paraId="41EB6566" w14:textId="319D6147" w:rsidR="00F6068C" w:rsidRPr="00570B9E" w:rsidRDefault="00F6068C" w:rsidP="007670EA">
            <w:pPr>
              <w:spacing w:after="0"/>
              <w:contextualSpacing/>
              <w:rPr>
                <w:rFonts w:eastAsia="Calibri" w:cs="Arial"/>
                <w:sz w:val="14"/>
                <w:szCs w:val="14"/>
                <w:lang w:eastAsia="en-US"/>
              </w:rPr>
            </w:pPr>
          </w:p>
        </w:tc>
        <w:tc>
          <w:tcPr>
            <w:tcW w:w="1162" w:type="dxa"/>
            <w:tcMar>
              <w:top w:w="80" w:type="dxa"/>
              <w:left w:w="80" w:type="dxa"/>
              <w:bottom w:w="80" w:type="dxa"/>
              <w:right w:w="80" w:type="dxa"/>
            </w:tcMar>
          </w:tcPr>
          <w:p w14:paraId="7E9DD1F1" w14:textId="21531A20"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On approved form with First Statement of Fitness for W</w:t>
            </w:r>
            <w:r w:rsidR="00F6068C">
              <w:rPr>
                <w:rFonts w:eastAsia="Calibri" w:cs="Arial"/>
                <w:sz w:val="14"/>
                <w:szCs w:val="14"/>
                <w:lang w:eastAsia="en-US"/>
              </w:rPr>
              <w:t xml:space="preserve">ork (medical certificate) </w:t>
            </w:r>
            <w:r w:rsidR="00B52BD8">
              <w:rPr>
                <w:rFonts w:eastAsia="Calibri" w:cs="Arial"/>
                <w:sz w:val="14"/>
                <w:szCs w:val="14"/>
                <w:lang w:eastAsia="en-US"/>
              </w:rPr>
              <w:t xml:space="preserve">— </w:t>
            </w:r>
            <w:hyperlink r:id="rId325" w:history="1">
              <w:r w:rsidR="00F6068C" w:rsidRPr="00274476">
                <w:rPr>
                  <w:rStyle w:val="Hyperlink"/>
                  <w:rFonts w:eastAsia="Calibri" w:cs="Arial"/>
                  <w:sz w:val="14"/>
                  <w:szCs w:val="14"/>
                  <w:lang w:eastAsia="en-US"/>
                </w:rPr>
                <w:t>s82</w:t>
              </w:r>
            </w:hyperlink>
            <w:r w:rsidRPr="00570B9E">
              <w:rPr>
                <w:rFonts w:eastAsia="Calibri" w:cs="Arial"/>
                <w:sz w:val="14"/>
                <w:szCs w:val="14"/>
                <w:lang w:eastAsia="en-US"/>
              </w:rPr>
              <w:t xml:space="preserve"> </w:t>
            </w:r>
          </w:p>
          <w:p w14:paraId="167F188A" w14:textId="77777777" w:rsidR="00F6068C" w:rsidRDefault="00F6068C" w:rsidP="007670EA">
            <w:pPr>
              <w:spacing w:after="0"/>
              <w:contextualSpacing/>
              <w:rPr>
                <w:rFonts w:eastAsia="Calibri" w:cs="Arial"/>
                <w:sz w:val="14"/>
                <w:szCs w:val="14"/>
                <w:lang w:eastAsia="en-US"/>
              </w:rPr>
            </w:pPr>
          </w:p>
          <w:p w14:paraId="078C0D3B" w14:textId="6312B55F" w:rsidR="00570B9E" w:rsidRPr="00570B9E" w:rsidRDefault="00570B9E" w:rsidP="00B52BD8">
            <w:pPr>
              <w:spacing w:after="0"/>
              <w:contextualSpacing/>
              <w:rPr>
                <w:rFonts w:eastAsia="Calibri" w:cs="Arial"/>
                <w:sz w:val="14"/>
                <w:szCs w:val="14"/>
                <w:lang w:eastAsia="en-US"/>
              </w:rPr>
            </w:pPr>
            <w:r w:rsidRPr="00570B9E">
              <w:rPr>
                <w:rFonts w:eastAsia="Calibri" w:cs="Arial"/>
                <w:sz w:val="14"/>
                <w:szCs w:val="14"/>
                <w:lang w:eastAsia="en-US"/>
              </w:rPr>
              <w:t>Giving or serving personally on employer. Pos</w:t>
            </w:r>
            <w:r w:rsidR="00F6068C">
              <w:rPr>
                <w:rFonts w:eastAsia="Calibri" w:cs="Arial"/>
                <w:sz w:val="14"/>
                <w:szCs w:val="14"/>
                <w:lang w:eastAsia="en-US"/>
              </w:rPr>
              <w:t xml:space="preserve">ting to employer </w:t>
            </w:r>
            <w:r w:rsidR="00B52BD8">
              <w:rPr>
                <w:rFonts w:eastAsia="Calibri" w:cs="Arial"/>
                <w:sz w:val="14"/>
                <w:szCs w:val="14"/>
                <w:lang w:eastAsia="en-US"/>
              </w:rPr>
              <w:t xml:space="preserve">— </w:t>
            </w:r>
            <w:hyperlink r:id="rId326" w:history="1">
              <w:r w:rsidR="00F6068C" w:rsidRPr="00274476">
                <w:rPr>
                  <w:rStyle w:val="Hyperlink"/>
                  <w:rFonts w:eastAsia="Calibri" w:cs="Arial"/>
                  <w:sz w:val="14"/>
                  <w:szCs w:val="14"/>
                  <w:lang w:eastAsia="en-US"/>
                </w:rPr>
                <w:t>s83</w:t>
              </w:r>
            </w:hyperlink>
          </w:p>
        </w:tc>
        <w:tc>
          <w:tcPr>
            <w:tcW w:w="1163" w:type="dxa"/>
            <w:tcMar>
              <w:top w:w="80" w:type="dxa"/>
              <w:left w:w="80" w:type="dxa"/>
              <w:bottom w:w="80" w:type="dxa"/>
              <w:right w:w="80" w:type="dxa"/>
            </w:tcMar>
          </w:tcPr>
          <w:p w14:paraId="22E43B85" w14:textId="77777777" w:rsidR="00570B9E" w:rsidRPr="00570B9E" w:rsidRDefault="00570B9E" w:rsidP="007670EA">
            <w:pPr>
              <w:spacing w:after="0"/>
              <w:contextualSpacing/>
              <w:rPr>
                <w:rFonts w:eastAsia="Calibri" w:cs="Arial"/>
                <w:sz w:val="14"/>
                <w:szCs w:val="14"/>
                <w:lang w:eastAsia="en-US"/>
              </w:rPr>
            </w:pPr>
          </w:p>
        </w:tc>
        <w:tc>
          <w:tcPr>
            <w:tcW w:w="1162" w:type="dxa"/>
            <w:tcMar>
              <w:top w:w="80" w:type="dxa"/>
              <w:left w:w="80" w:type="dxa"/>
              <w:bottom w:w="80" w:type="dxa"/>
              <w:right w:w="80" w:type="dxa"/>
            </w:tcMar>
          </w:tcPr>
          <w:p w14:paraId="3A399010" w14:textId="3BC14E42" w:rsidR="00570B9E" w:rsidRPr="00570B9E" w:rsidRDefault="00F37ACC" w:rsidP="007670EA">
            <w:pPr>
              <w:spacing w:after="0"/>
              <w:contextualSpacing/>
              <w:rPr>
                <w:rFonts w:eastAsia="Calibri" w:cs="Arial"/>
                <w:sz w:val="14"/>
                <w:szCs w:val="14"/>
                <w:lang w:eastAsia="en-US"/>
              </w:rPr>
            </w:pPr>
            <w:r>
              <w:rPr>
                <w:rFonts w:eastAsia="Calibri" w:cs="Arial"/>
                <w:sz w:val="14"/>
                <w:szCs w:val="14"/>
                <w:lang w:eastAsia="en-US"/>
              </w:rPr>
              <w:t xml:space="preserve">Section </w:t>
            </w:r>
            <w:hyperlink r:id="rId327" w:history="1">
              <w:r w:rsidRPr="00F37ACC">
                <w:rPr>
                  <w:rStyle w:val="Hyperlink"/>
                  <w:rFonts w:eastAsia="Calibri" w:cs="Arial"/>
                  <w:sz w:val="14"/>
                  <w:szCs w:val="14"/>
                  <w:lang w:eastAsia="en-US"/>
                </w:rPr>
                <w:t>54(2)</w:t>
              </w:r>
            </w:hyperlink>
            <w:r>
              <w:rPr>
                <w:rFonts w:eastAsia="Calibri" w:cs="Arial"/>
                <w:sz w:val="14"/>
                <w:szCs w:val="14"/>
                <w:lang w:eastAsia="en-US"/>
              </w:rPr>
              <w:t xml:space="preserve"> — A written claim on a form approved by Comcare, given to the employer</w:t>
            </w:r>
          </w:p>
        </w:tc>
        <w:tc>
          <w:tcPr>
            <w:tcW w:w="1163" w:type="dxa"/>
            <w:tcMar>
              <w:top w:w="80" w:type="dxa"/>
              <w:left w:w="80" w:type="dxa"/>
              <w:bottom w:w="80" w:type="dxa"/>
              <w:right w:w="80" w:type="dxa"/>
            </w:tcMar>
          </w:tcPr>
          <w:p w14:paraId="4D588071" w14:textId="2F27690A" w:rsidR="00570B9E" w:rsidRPr="00570B9E" w:rsidRDefault="00A7538C" w:rsidP="007670EA">
            <w:pPr>
              <w:spacing w:after="0"/>
              <w:contextualSpacing/>
              <w:rPr>
                <w:rFonts w:eastAsia="Calibri" w:cs="Arial"/>
                <w:sz w:val="14"/>
                <w:szCs w:val="14"/>
                <w:lang w:eastAsia="en-US"/>
              </w:rPr>
            </w:pPr>
            <w:hyperlink r:id="rId328" w:history="1">
              <w:r w:rsidR="00570B9E" w:rsidRPr="00C748F6">
                <w:rPr>
                  <w:rStyle w:val="Hyperlink"/>
                  <w:rFonts w:eastAsia="Calibri" w:cs="Arial"/>
                  <w:sz w:val="14"/>
                  <w:szCs w:val="14"/>
                  <w:lang w:eastAsia="en-US"/>
                </w:rPr>
                <w:t>s63(2)</w:t>
              </w:r>
            </w:hyperlink>
            <w:r w:rsidR="00570B9E" w:rsidRPr="00570B9E">
              <w:rPr>
                <w:rFonts w:eastAsia="Calibri" w:cs="Arial"/>
                <w:sz w:val="14"/>
                <w:szCs w:val="14"/>
                <w:lang w:eastAsia="en-US"/>
              </w:rPr>
              <w:t xml:space="preserve"> - A written claim on a form approved by the Seacare Authority, given to the employer</w:t>
            </w:r>
          </w:p>
        </w:tc>
        <w:tc>
          <w:tcPr>
            <w:tcW w:w="1162" w:type="dxa"/>
            <w:tcMar>
              <w:top w:w="80" w:type="dxa"/>
              <w:left w:w="80" w:type="dxa"/>
              <w:bottom w:w="80" w:type="dxa"/>
              <w:right w:w="80" w:type="dxa"/>
            </w:tcMar>
          </w:tcPr>
          <w:p w14:paraId="17737465" w14:textId="402504B5" w:rsidR="00570B9E" w:rsidRDefault="008813AC" w:rsidP="007670EA">
            <w:pPr>
              <w:spacing w:after="0"/>
              <w:contextualSpacing/>
              <w:rPr>
                <w:rFonts w:eastAsia="Calibri" w:cs="Arial"/>
                <w:sz w:val="14"/>
                <w:szCs w:val="14"/>
                <w:lang w:eastAsia="en-US"/>
              </w:rPr>
            </w:pPr>
            <w:r>
              <w:rPr>
                <w:rFonts w:eastAsia="Calibri" w:cs="Arial"/>
                <w:sz w:val="14"/>
                <w:szCs w:val="14"/>
                <w:lang w:eastAsia="en-US"/>
              </w:rPr>
              <w:t xml:space="preserve">MRCA — </w:t>
            </w:r>
            <w:hyperlink r:id="rId329" w:history="1">
              <w:r w:rsidR="00570B9E" w:rsidRPr="007C4199">
                <w:rPr>
                  <w:rStyle w:val="Hyperlink"/>
                  <w:rFonts w:eastAsia="Calibri" w:cs="Arial"/>
                  <w:sz w:val="14"/>
                  <w:szCs w:val="14"/>
                  <w:lang w:eastAsia="en-US"/>
                </w:rPr>
                <w:t>s319(2)</w:t>
              </w:r>
            </w:hyperlink>
            <w:r w:rsidR="00570B9E" w:rsidRPr="00570B9E">
              <w:rPr>
                <w:rFonts w:eastAsia="Calibri" w:cs="Arial"/>
                <w:sz w:val="14"/>
                <w:szCs w:val="14"/>
                <w:lang w:eastAsia="en-US"/>
              </w:rPr>
              <w:t xml:space="preserve"> </w:t>
            </w:r>
            <w:r>
              <w:rPr>
                <w:rFonts w:eastAsia="Calibri" w:cs="Arial"/>
                <w:sz w:val="14"/>
                <w:szCs w:val="14"/>
                <w:lang w:eastAsia="en-US"/>
              </w:rPr>
              <w:t xml:space="preserve">— </w:t>
            </w:r>
            <w:r w:rsidR="00570B9E" w:rsidRPr="00570B9E">
              <w:rPr>
                <w:rFonts w:eastAsia="Calibri" w:cs="Arial"/>
                <w:sz w:val="14"/>
                <w:szCs w:val="14"/>
                <w:lang w:eastAsia="en-US"/>
              </w:rPr>
              <w:t>A claim must:</w:t>
            </w:r>
            <w:r w:rsidR="00570B9E" w:rsidRPr="00570B9E">
              <w:rPr>
                <w:rFonts w:eastAsia="Calibri" w:cs="Arial"/>
                <w:sz w:val="14"/>
                <w:szCs w:val="14"/>
                <w:lang w:eastAsia="en-US"/>
              </w:rPr>
              <w:br/>
              <w:t>(a) be in writing; and</w:t>
            </w:r>
            <w:r w:rsidR="00570B9E" w:rsidRPr="00570B9E">
              <w:rPr>
                <w:rFonts w:eastAsia="Calibri" w:cs="Arial"/>
                <w:sz w:val="14"/>
                <w:szCs w:val="14"/>
                <w:lang w:eastAsia="en-US"/>
              </w:rPr>
              <w:br/>
              <w:t>(b) be given to the Commission; and</w:t>
            </w:r>
            <w:r w:rsidR="00570B9E" w:rsidRPr="00570B9E">
              <w:rPr>
                <w:rFonts w:eastAsia="Calibri" w:cs="Arial"/>
                <w:sz w:val="14"/>
                <w:szCs w:val="14"/>
                <w:lang w:eastAsia="en-US"/>
              </w:rPr>
              <w:br/>
              <w:t>(c) satisfy the requirements (if any):</w:t>
            </w:r>
            <w:r w:rsidR="00570B9E" w:rsidRPr="00570B9E">
              <w:rPr>
                <w:rFonts w:eastAsia="Calibri" w:cs="Arial"/>
                <w:sz w:val="14"/>
                <w:szCs w:val="14"/>
                <w:lang w:eastAsia="en-US"/>
              </w:rPr>
              <w:br/>
              <w:t>(i) prescribed by the regulations; or</w:t>
            </w:r>
            <w:r w:rsidR="00570B9E" w:rsidRPr="00570B9E">
              <w:rPr>
                <w:rFonts w:eastAsia="Calibri" w:cs="Arial"/>
                <w:sz w:val="14"/>
                <w:szCs w:val="14"/>
                <w:lang w:eastAsia="en-US"/>
              </w:rPr>
              <w:br/>
              <w:t>(ii) determined in writing by the Commission;</w:t>
            </w:r>
            <w:r w:rsidR="00570B9E" w:rsidRPr="00570B9E">
              <w:rPr>
                <w:rFonts w:eastAsia="Calibri" w:cs="Arial"/>
                <w:sz w:val="14"/>
                <w:szCs w:val="14"/>
                <w:lang w:eastAsia="en-US"/>
              </w:rPr>
              <w:br/>
              <w:t xml:space="preserve">as to the form and content of </w:t>
            </w:r>
            <w:r w:rsidR="00F6068C">
              <w:rPr>
                <w:rFonts w:eastAsia="Calibri" w:cs="Arial"/>
                <w:sz w:val="14"/>
                <w:szCs w:val="14"/>
                <w:lang w:eastAsia="en-US"/>
              </w:rPr>
              <w:t>claims, or claims of that kind</w:t>
            </w:r>
            <w:r>
              <w:rPr>
                <w:rFonts w:eastAsia="Calibri" w:cs="Arial"/>
                <w:sz w:val="14"/>
                <w:szCs w:val="14"/>
                <w:lang w:eastAsia="en-US"/>
              </w:rPr>
              <w:t>.</w:t>
            </w:r>
          </w:p>
          <w:p w14:paraId="798AA9EB" w14:textId="77777777" w:rsidR="00140B32" w:rsidRDefault="00140B32" w:rsidP="008813AC">
            <w:pPr>
              <w:spacing w:after="0"/>
              <w:contextualSpacing/>
              <w:rPr>
                <w:rFonts w:eastAsia="Calibri" w:cs="Arial"/>
                <w:sz w:val="14"/>
                <w:szCs w:val="14"/>
                <w:lang w:eastAsia="en-US"/>
              </w:rPr>
            </w:pPr>
          </w:p>
          <w:p w14:paraId="7C82EB4C" w14:textId="1641E8BF" w:rsidR="008813AC" w:rsidRDefault="008813AC" w:rsidP="008813AC">
            <w:pPr>
              <w:spacing w:after="0"/>
              <w:contextualSpacing/>
              <w:rPr>
                <w:rFonts w:eastAsia="Calibri" w:cs="Arial"/>
                <w:sz w:val="14"/>
                <w:szCs w:val="14"/>
                <w:lang w:eastAsia="en-US"/>
              </w:rPr>
            </w:pPr>
            <w:r>
              <w:rPr>
                <w:rFonts w:eastAsia="Calibri" w:cs="Arial"/>
                <w:sz w:val="14"/>
                <w:szCs w:val="14"/>
                <w:lang w:eastAsia="en-US"/>
              </w:rPr>
              <w:t xml:space="preserve">DRCA — </w:t>
            </w:r>
          </w:p>
          <w:p w14:paraId="4589B480" w14:textId="7947A045" w:rsidR="008813AC" w:rsidRDefault="00A7538C" w:rsidP="008813AC">
            <w:pPr>
              <w:spacing w:after="0"/>
              <w:contextualSpacing/>
              <w:rPr>
                <w:rFonts w:eastAsia="Calibri" w:cs="Arial"/>
                <w:sz w:val="14"/>
                <w:szCs w:val="14"/>
                <w:lang w:eastAsia="en-US"/>
              </w:rPr>
            </w:pPr>
            <w:hyperlink r:id="rId330" w:history="1">
              <w:r w:rsidR="008813AC" w:rsidRPr="007C4199">
                <w:rPr>
                  <w:rStyle w:val="Hyperlink"/>
                  <w:rFonts w:eastAsia="Calibri" w:cs="Arial"/>
                  <w:sz w:val="14"/>
                  <w:szCs w:val="14"/>
                  <w:lang w:eastAsia="en-US"/>
                </w:rPr>
                <w:t>s54(2)</w:t>
              </w:r>
            </w:hyperlink>
            <w:r w:rsidR="008813AC">
              <w:rPr>
                <w:rFonts w:eastAsia="Calibri" w:cs="Arial"/>
                <w:sz w:val="14"/>
                <w:szCs w:val="14"/>
                <w:lang w:eastAsia="en-US"/>
              </w:rPr>
              <w:t xml:space="preserve"> — </w:t>
            </w:r>
          </w:p>
          <w:p w14:paraId="4EDE6FEF" w14:textId="77777777" w:rsidR="008813AC" w:rsidRPr="00997CBA" w:rsidRDefault="008813AC" w:rsidP="008813AC">
            <w:pPr>
              <w:spacing w:after="0"/>
              <w:contextualSpacing/>
              <w:rPr>
                <w:rFonts w:eastAsia="Calibri" w:cs="Arial"/>
                <w:sz w:val="14"/>
                <w:szCs w:val="14"/>
                <w:lang w:eastAsia="en-US"/>
              </w:rPr>
            </w:pPr>
            <w:r w:rsidRPr="00D76541">
              <w:rPr>
                <w:rFonts w:eastAsia="Calibri" w:cs="Arial"/>
                <w:sz w:val="14"/>
                <w:szCs w:val="14"/>
                <w:lang w:eastAsia="en-US"/>
              </w:rPr>
              <w:t>A claim</w:t>
            </w:r>
            <w:r w:rsidRPr="00997CBA">
              <w:rPr>
                <w:rFonts w:eastAsia="Calibri" w:cs="Arial"/>
                <w:sz w:val="14"/>
                <w:szCs w:val="14"/>
                <w:lang w:eastAsia="en-US"/>
              </w:rPr>
              <w:t xml:space="preserve"> shall be made by giving the relevant authority:</w:t>
            </w:r>
          </w:p>
          <w:p w14:paraId="46791112" w14:textId="33B14C26" w:rsidR="008813AC" w:rsidRPr="000C700E" w:rsidRDefault="008813AC" w:rsidP="008813AC">
            <w:pPr>
              <w:spacing w:after="0"/>
              <w:contextualSpacing/>
              <w:rPr>
                <w:rFonts w:eastAsia="Calibri" w:cs="Arial"/>
                <w:sz w:val="14"/>
                <w:szCs w:val="14"/>
                <w:lang w:eastAsia="en-US"/>
              </w:rPr>
            </w:pPr>
            <w:r>
              <w:rPr>
                <w:rFonts w:eastAsia="Calibri" w:cs="Arial"/>
                <w:sz w:val="14"/>
                <w:szCs w:val="14"/>
                <w:lang w:eastAsia="en-US"/>
              </w:rPr>
              <w:t xml:space="preserve">(a) </w:t>
            </w:r>
            <w:r w:rsidRPr="000C700E">
              <w:rPr>
                <w:rFonts w:eastAsia="Calibri" w:cs="Arial"/>
                <w:sz w:val="14"/>
                <w:szCs w:val="14"/>
                <w:lang w:eastAsia="en-US"/>
              </w:rPr>
              <w:t>a written claim in accordance with the form approved by Comcare for the purposes of this paragraph; and</w:t>
            </w:r>
          </w:p>
          <w:p w14:paraId="712EAA30" w14:textId="19C6D47C" w:rsidR="008813AC" w:rsidRPr="00570B9E" w:rsidRDefault="008813AC" w:rsidP="008813AC">
            <w:pPr>
              <w:spacing w:after="0"/>
              <w:contextualSpacing/>
              <w:rPr>
                <w:rFonts w:eastAsia="Calibri" w:cs="Arial"/>
                <w:sz w:val="14"/>
                <w:szCs w:val="14"/>
                <w:lang w:eastAsia="en-US"/>
              </w:rPr>
            </w:pPr>
            <w:r w:rsidRPr="00D76541">
              <w:rPr>
                <w:rFonts w:eastAsia="Calibri" w:cs="Arial"/>
                <w:sz w:val="14"/>
                <w:szCs w:val="14"/>
                <w:lang w:eastAsia="en-US"/>
              </w:rPr>
              <w:t>(b) except where the claim is for compensation under section 16 or 17—</w:t>
            </w:r>
            <w:r>
              <w:rPr>
                <w:rFonts w:eastAsia="Calibri" w:cs="Arial"/>
                <w:sz w:val="14"/>
                <w:szCs w:val="14"/>
                <w:lang w:eastAsia="en-US"/>
              </w:rPr>
              <w:t xml:space="preserve"> </w:t>
            </w:r>
            <w:r w:rsidRPr="00D76541">
              <w:rPr>
                <w:rFonts w:eastAsia="Calibri" w:cs="Arial"/>
                <w:sz w:val="14"/>
                <w:szCs w:val="14"/>
                <w:lang w:eastAsia="en-US"/>
              </w:rPr>
              <w:t>a certificate by a legally qualified medical practitioner in accordance with the form approved by Comcare for the purposes of this paragraph.</w:t>
            </w:r>
          </w:p>
        </w:tc>
        <w:tc>
          <w:tcPr>
            <w:tcW w:w="1163" w:type="dxa"/>
            <w:tcMar>
              <w:top w:w="80" w:type="dxa"/>
              <w:left w:w="80" w:type="dxa"/>
              <w:bottom w:w="80" w:type="dxa"/>
              <w:right w:w="80" w:type="dxa"/>
            </w:tcMar>
          </w:tcPr>
          <w:p w14:paraId="41B827DD" w14:textId="77777777" w:rsidR="00F6068C"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lastRenderedPageBreak/>
              <w:t xml:space="preserve">Claim form or in a manner specified by the Corporation. </w:t>
            </w:r>
          </w:p>
          <w:p w14:paraId="72167567" w14:textId="77777777" w:rsidR="00F6068C" w:rsidRDefault="00F6068C" w:rsidP="007670EA">
            <w:pPr>
              <w:spacing w:after="0"/>
              <w:contextualSpacing/>
              <w:rPr>
                <w:rFonts w:eastAsia="Calibri" w:cs="Arial"/>
                <w:sz w:val="14"/>
                <w:szCs w:val="14"/>
                <w:lang w:eastAsia="en-US"/>
              </w:rPr>
            </w:pPr>
          </w:p>
          <w:p w14:paraId="2643E8B4" w14:textId="50DE0FF1" w:rsidR="00570B9E" w:rsidRPr="00570B9E" w:rsidRDefault="00570B9E" w:rsidP="007670EA">
            <w:pPr>
              <w:spacing w:after="0"/>
              <w:contextualSpacing/>
              <w:rPr>
                <w:rFonts w:eastAsia="Calibri" w:cs="Arial"/>
                <w:sz w:val="14"/>
                <w:szCs w:val="14"/>
                <w:lang w:eastAsia="en-US"/>
              </w:rPr>
            </w:pPr>
            <w:r w:rsidRPr="00570B9E">
              <w:rPr>
                <w:rFonts w:eastAsia="Calibri" w:cs="Arial"/>
                <w:sz w:val="14"/>
                <w:szCs w:val="14"/>
                <w:lang w:eastAsia="en-US"/>
              </w:rPr>
              <w:t>The Corporation may impose reasonable requirements such as requiring the person to lodge a wri</w:t>
            </w:r>
            <w:r w:rsidR="00F6068C">
              <w:rPr>
                <w:rFonts w:eastAsia="Calibri" w:cs="Arial"/>
                <w:sz w:val="14"/>
                <w:szCs w:val="14"/>
                <w:lang w:eastAsia="en-US"/>
              </w:rPr>
              <w:t>tten claim</w:t>
            </w:r>
          </w:p>
        </w:tc>
      </w:tr>
      <w:tr w:rsidR="00570B9E" w:rsidRPr="00570B9E" w14:paraId="309851CC" w14:textId="77777777" w:rsidTr="00F6068C">
        <w:tc>
          <w:tcPr>
            <w:tcW w:w="1341" w:type="dxa"/>
            <w:shd w:val="clear" w:color="auto" w:fill="FFC9C9"/>
            <w:tcMar>
              <w:top w:w="80" w:type="dxa"/>
              <w:left w:w="80" w:type="dxa"/>
              <w:bottom w:w="80" w:type="dxa"/>
              <w:right w:w="80" w:type="dxa"/>
            </w:tcMar>
          </w:tcPr>
          <w:p w14:paraId="2345687A" w14:textId="434500FC" w:rsidR="00570B9E" w:rsidRPr="00570B9E" w:rsidRDefault="00F6068C" w:rsidP="007670EA">
            <w:pPr>
              <w:spacing w:after="0"/>
              <w:rPr>
                <w:rFonts w:eastAsia="Calibri" w:cs="Arial"/>
                <w:b/>
                <w:sz w:val="16"/>
                <w:szCs w:val="16"/>
                <w:lang w:eastAsia="en-US"/>
              </w:rPr>
            </w:pPr>
            <w:r>
              <w:rPr>
                <w:rFonts w:eastAsia="Calibri" w:cs="Arial"/>
                <w:b/>
                <w:sz w:val="16"/>
                <w:szCs w:val="16"/>
                <w:lang w:eastAsia="en-US"/>
              </w:rPr>
              <w:t xml:space="preserve">Employer acknowledges receipt </w:t>
            </w:r>
            <w:r w:rsidR="00570B9E" w:rsidRPr="00570B9E">
              <w:rPr>
                <w:rFonts w:eastAsia="Calibri" w:cs="Arial"/>
                <w:b/>
                <w:sz w:val="16"/>
                <w:szCs w:val="16"/>
                <w:lang w:eastAsia="en-US"/>
              </w:rPr>
              <w:t>of claim</w:t>
            </w:r>
          </w:p>
        </w:tc>
        <w:tc>
          <w:tcPr>
            <w:tcW w:w="1304" w:type="dxa"/>
            <w:shd w:val="clear" w:color="auto" w:fill="FFC9C9"/>
            <w:tcMar>
              <w:top w:w="80" w:type="dxa"/>
              <w:left w:w="80" w:type="dxa"/>
              <w:bottom w:w="80" w:type="dxa"/>
              <w:right w:w="80" w:type="dxa"/>
            </w:tcMar>
          </w:tcPr>
          <w:p w14:paraId="38C5CA17"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16E6AFEC" w14:textId="51F90D9E"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 xml:space="preserve">As soon </w:t>
            </w:r>
            <w:r w:rsidR="00F6068C">
              <w:rPr>
                <w:rFonts w:eastAsia="Calibri" w:cs="Arial"/>
                <w:sz w:val="14"/>
                <w:szCs w:val="14"/>
                <w:lang w:eastAsia="en-US"/>
              </w:rPr>
              <w:t xml:space="preserve">as reasonably practicable — </w:t>
            </w:r>
            <w:hyperlink r:id="rId331" w:history="1">
              <w:r w:rsidR="00F6068C" w:rsidRPr="00A724E3">
                <w:rPr>
                  <w:rStyle w:val="Hyperlink"/>
                  <w:rFonts w:eastAsia="Calibri" w:cs="Arial"/>
                  <w:sz w:val="14"/>
                  <w:szCs w:val="14"/>
                  <w:lang w:eastAsia="en-US"/>
                </w:rPr>
                <w:t>s21</w:t>
              </w:r>
            </w:hyperlink>
          </w:p>
        </w:tc>
        <w:tc>
          <w:tcPr>
            <w:tcW w:w="1162" w:type="dxa"/>
            <w:shd w:val="clear" w:color="auto" w:fill="FFC9C9"/>
            <w:tcMar>
              <w:top w:w="80" w:type="dxa"/>
              <w:left w:w="80" w:type="dxa"/>
              <w:bottom w:w="80" w:type="dxa"/>
              <w:right w:w="80" w:type="dxa"/>
            </w:tcMar>
          </w:tcPr>
          <w:p w14:paraId="2AF7A2DD"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792FBF9D"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2" w:type="dxa"/>
            <w:shd w:val="clear" w:color="auto" w:fill="FFC9C9"/>
            <w:tcMar>
              <w:top w:w="80" w:type="dxa"/>
              <w:left w:w="80" w:type="dxa"/>
              <w:bottom w:w="80" w:type="dxa"/>
              <w:right w:w="80" w:type="dxa"/>
            </w:tcMar>
          </w:tcPr>
          <w:p w14:paraId="37D6E73E"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4A71FD14"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2" w:type="dxa"/>
            <w:shd w:val="clear" w:color="auto" w:fill="FFC9C9"/>
            <w:tcMar>
              <w:top w:w="80" w:type="dxa"/>
              <w:left w:w="80" w:type="dxa"/>
              <w:bottom w:w="80" w:type="dxa"/>
              <w:right w:w="80" w:type="dxa"/>
            </w:tcMar>
          </w:tcPr>
          <w:p w14:paraId="1206D404"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2B005893"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2" w:type="dxa"/>
            <w:shd w:val="clear" w:color="auto" w:fill="FFC9C9"/>
            <w:tcMar>
              <w:top w:w="80" w:type="dxa"/>
              <w:left w:w="80" w:type="dxa"/>
              <w:bottom w:w="80" w:type="dxa"/>
              <w:right w:w="80" w:type="dxa"/>
            </w:tcMar>
          </w:tcPr>
          <w:p w14:paraId="4752BEF1"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4C73FE97"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2" w:type="dxa"/>
            <w:shd w:val="clear" w:color="auto" w:fill="FFC9C9"/>
            <w:tcMar>
              <w:top w:w="80" w:type="dxa"/>
              <w:left w:w="80" w:type="dxa"/>
              <w:bottom w:w="80" w:type="dxa"/>
              <w:right w:w="80" w:type="dxa"/>
            </w:tcMar>
          </w:tcPr>
          <w:p w14:paraId="18FAB4EF"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c>
          <w:tcPr>
            <w:tcW w:w="1163" w:type="dxa"/>
            <w:shd w:val="clear" w:color="auto" w:fill="FFC9C9"/>
            <w:tcMar>
              <w:top w:w="80" w:type="dxa"/>
              <w:left w:w="80" w:type="dxa"/>
              <w:bottom w:w="80" w:type="dxa"/>
              <w:right w:w="80" w:type="dxa"/>
            </w:tcMar>
          </w:tcPr>
          <w:p w14:paraId="64FBF2A3"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r>
      <w:tr w:rsidR="00885F3B" w:rsidRPr="00570B9E" w14:paraId="76BCD81C" w14:textId="77777777" w:rsidTr="00F6068C">
        <w:tc>
          <w:tcPr>
            <w:tcW w:w="1341" w:type="dxa"/>
            <w:tcMar>
              <w:top w:w="80" w:type="dxa"/>
              <w:left w:w="80" w:type="dxa"/>
              <w:bottom w:w="80" w:type="dxa"/>
              <w:right w:w="80" w:type="dxa"/>
            </w:tcMar>
          </w:tcPr>
          <w:p w14:paraId="5E86DF3E" w14:textId="3D5667DE" w:rsidR="00885F3B" w:rsidRPr="00570B9E" w:rsidRDefault="00885F3B" w:rsidP="007670EA">
            <w:pPr>
              <w:spacing w:after="0"/>
              <w:rPr>
                <w:rFonts w:eastAsia="Calibri" w:cs="Arial"/>
                <w:b/>
                <w:sz w:val="16"/>
                <w:szCs w:val="16"/>
                <w:lang w:eastAsia="en-US"/>
              </w:rPr>
            </w:pPr>
            <w:r w:rsidRPr="00570B9E">
              <w:rPr>
                <w:rFonts w:eastAsia="Calibri" w:cs="Arial"/>
                <w:b/>
                <w:sz w:val="16"/>
                <w:szCs w:val="16"/>
                <w:lang w:eastAsia="en-US"/>
              </w:rPr>
              <w:t>Employer passes on claim form to insurer/</w:t>
            </w:r>
            <w:r w:rsidR="00F6068C">
              <w:rPr>
                <w:rFonts w:eastAsia="Calibri" w:cs="Arial"/>
                <w:b/>
                <w:sz w:val="16"/>
                <w:szCs w:val="16"/>
                <w:lang w:eastAsia="en-US"/>
              </w:rPr>
              <w:br/>
            </w:r>
            <w:r w:rsidRPr="00570B9E">
              <w:rPr>
                <w:rFonts w:eastAsia="Calibri" w:cs="Arial"/>
                <w:b/>
                <w:sz w:val="16"/>
                <w:szCs w:val="16"/>
                <w:lang w:eastAsia="en-US"/>
              </w:rPr>
              <w:t>authority</w:t>
            </w:r>
          </w:p>
        </w:tc>
        <w:tc>
          <w:tcPr>
            <w:tcW w:w="1304" w:type="dxa"/>
            <w:tcMar>
              <w:top w:w="80" w:type="dxa"/>
              <w:left w:w="80" w:type="dxa"/>
              <w:bottom w:w="80" w:type="dxa"/>
              <w:right w:w="80" w:type="dxa"/>
            </w:tcMar>
          </w:tcPr>
          <w:p w14:paraId="772F2915" w14:textId="626744A3" w:rsidR="00885F3B" w:rsidRPr="00885F3B" w:rsidRDefault="00885F3B" w:rsidP="007670EA">
            <w:pPr>
              <w:spacing w:after="0"/>
              <w:rPr>
                <w:sz w:val="14"/>
                <w:szCs w:val="14"/>
              </w:rPr>
            </w:pPr>
            <w:r w:rsidRPr="00885F3B">
              <w:rPr>
                <w:sz w:val="14"/>
                <w:szCs w:val="14"/>
              </w:rPr>
              <w:t>Within seven days of receiving claim or other documentation in respect of a claim —</w:t>
            </w:r>
            <w:r w:rsidR="00A724E3">
              <w:rPr>
                <w:sz w:val="14"/>
                <w:szCs w:val="14"/>
              </w:rPr>
              <w:t xml:space="preserve"> </w:t>
            </w:r>
            <w:hyperlink r:id="rId332" w:history="1">
              <w:r w:rsidRPr="00A724E3">
                <w:rPr>
                  <w:rStyle w:val="Hyperlink"/>
                  <w:sz w:val="14"/>
                  <w:szCs w:val="14"/>
                </w:rPr>
                <w:t>s2</w:t>
              </w:r>
              <w:r w:rsidR="00F6068C" w:rsidRPr="00A724E3">
                <w:rPr>
                  <w:rStyle w:val="Hyperlink"/>
                  <w:sz w:val="14"/>
                  <w:szCs w:val="14"/>
                </w:rPr>
                <w:t>64(1)</w:t>
              </w:r>
            </w:hyperlink>
            <w:r w:rsidR="00F6068C">
              <w:rPr>
                <w:sz w:val="14"/>
                <w:szCs w:val="14"/>
              </w:rPr>
              <w:t>, 1998 Act</w:t>
            </w:r>
          </w:p>
        </w:tc>
        <w:tc>
          <w:tcPr>
            <w:tcW w:w="1163" w:type="dxa"/>
            <w:tcMar>
              <w:top w:w="80" w:type="dxa"/>
              <w:left w:w="80" w:type="dxa"/>
              <w:bottom w:w="80" w:type="dxa"/>
              <w:right w:w="80" w:type="dxa"/>
            </w:tcMar>
          </w:tcPr>
          <w:p w14:paraId="6748097B" w14:textId="46045DC2"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Within 10 days after the emplo</w:t>
            </w:r>
            <w:r w:rsidR="00F6068C">
              <w:rPr>
                <w:rFonts w:eastAsia="Calibri" w:cs="Arial"/>
                <w:sz w:val="14"/>
                <w:szCs w:val="14"/>
                <w:lang w:eastAsia="en-US"/>
              </w:rPr>
              <w:t xml:space="preserve">yer receives the claim — </w:t>
            </w:r>
            <w:hyperlink r:id="rId333" w:history="1">
              <w:r w:rsidR="00F6068C" w:rsidRPr="00A724E3">
                <w:rPr>
                  <w:rStyle w:val="Hyperlink"/>
                  <w:rFonts w:eastAsia="Calibri" w:cs="Arial"/>
                  <w:sz w:val="14"/>
                  <w:szCs w:val="14"/>
                  <w:lang w:eastAsia="en-US"/>
                </w:rPr>
                <w:t>s73(1)</w:t>
              </w:r>
            </w:hyperlink>
          </w:p>
        </w:tc>
        <w:tc>
          <w:tcPr>
            <w:tcW w:w="1162" w:type="dxa"/>
            <w:tcMar>
              <w:top w:w="80" w:type="dxa"/>
              <w:left w:w="80" w:type="dxa"/>
              <w:bottom w:w="80" w:type="dxa"/>
              <w:right w:w="80" w:type="dxa"/>
            </w:tcMar>
          </w:tcPr>
          <w:p w14:paraId="51A0A174"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tcMar>
              <w:top w:w="80" w:type="dxa"/>
              <w:left w:w="80" w:type="dxa"/>
              <w:bottom w:w="80" w:type="dxa"/>
              <w:right w:w="80" w:type="dxa"/>
            </w:tcMar>
          </w:tcPr>
          <w:p w14:paraId="1A5EBCF4" w14:textId="0CC6FE60" w:rsidR="00885F3B" w:rsidRPr="00570B9E" w:rsidRDefault="00F6068C" w:rsidP="007670EA">
            <w:pPr>
              <w:spacing w:after="0"/>
              <w:rPr>
                <w:rFonts w:eastAsia="Calibri" w:cs="Arial"/>
                <w:sz w:val="14"/>
                <w:szCs w:val="14"/>
                <w:lang w:eastAsia="en-US"/>
              </w:rPr>
            </w:pPr>
            <w:r>
              <w:rPr>
                <w:rFonts w:eastAsia="Calibri" w:cs="Arial"/>
                <w:sz w:val="14"/>
                <w:szCs w:val="14"/>
                <w:lang w:eastAsia="en-US"/>
              </w:rPr>
              <w:t xml:space="preserve">Five working days — </w:t>
            </w:r>
            <w:hyperlink r:id="rId334" w:history="1">
              <w:r w:rsidRPr="00274476">
                <w:rPr>
                  <w:rStyle w:val="Hyperlink"/>
                  <w:rFonts w:eastAsia="Calibri" w:cs="Arial"/>
                  <w:sz w:val="14"/>
                  <w:szCs w:val="14"/>
                  <w:lang w:eastAsia="en-US"/>
                </w:rPr>
                <w:t>s57A(2A)</w:t>
              </w:r>
            </w:hyperlink>
          </w:p>
        </w:tc>
        <w:tc>
          <w:tcPr>
            <w:tcW w:w="1162" w:type="dxa"/>
            <w:tcMar>
              <w:top w:w="80" w:type="dxa"/>
              <w:left w:w="80" w:type="dxa"/>
              <w:bottom w:w="80" w:type="dxa"/>
              <w:right w:w="80" w:type="dxa"/>
            </w:tcMar>
          </w:tcPr>
          <w:p w14:paraId="3F83A000" w14:textId="72381838"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 xml:space="preserve">five business days — </w:t>
            </w:r>
            <w:hyperlink r:id="rId335" w:history="1">
              <w:r w:rsidRPr="00570B9E">
                <w:rPr>
                  <w:rFonts w:eastAsia="Calibri" w:cs="Arial"/>
                  <w:color w:val="0000FF"/>
                  <w:sz w:val="14"/>
                  <w:szCs w:val="14"/>
                  <w:u w:val="single"/>
                  <w:lang w:eastAsia="en-US"/>
                </w:rPr>
                <w:t>s30(5</w:t>
              </w:r>
            </w:hyperlink>
            <w:r w:rsidRPr="00570B9E">
              <w:rPr>
                <w:rFonts w:eastAsia="Calibri" w:cs="Arial"/>
                <w:sz w:val="14"/>
                <w:szCs w:val="14"/>
                <w:lang w:eastAsia="en-US"/>
              </w:rPr>
              <w:t>)</w:t>
            </w:r>
          </w:p>
        </w:tc>
        <w:tc>
          <w:tcPr>
            <w:tcW w:w="1163" w:type="dxa"/>
            <w:tcMar>
              <w:top w:w="80" w:type="dxa"/>
              <w:left w:w="80" w:type="dxa"/>
              <w:bottom w:w="80" w:type="dxa"/>
              <w:right w:w="80" w:type="dxa"/>
            </w:tcMar>
          </w:tcPr>
          <w:p w14:paraId="379E0527"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 xml:space="preserve">Employer must notify insurer of claim within 3 working days of receiving claim — </w:t>
            </w:r>
            <w:hyperlink r:id="rId336" w:history="1">
              <w:r w:rsidRPr="00570B9E">
                <w:rPr>
                  <w:rFonts w:eastAsia="Calibri" w:cs="Arial"/>
                  <w:color w:val="0000FF"/>
                  <w:sz w:val="14"/>
                  <w:szCs w:val="14"/>
                  <w:u w:val="single"/>
                  <w:lang w:eastAsia="en-US"/>
                </w:rPr>
                <w:t>s36(1AA)</w:t>
              </w:r>
            </w:hyperlink>
          </w:p>
          <w:p w14:paraId="44388B40" w14:textId="23DA571A"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 xml:space="preserve">Employer must immediately complete employer’s report section of claim and forward it to insurer within 5 working days of receiving claim </w:t>
            </w:r>
            <w:r w:rsidRPr="00570B9E">
              <w:rPr>
                <w:rFonts w:eastAsia="Calibri" w:cs="Arial"/>
                <w:sz w:val="14"/>
                <w:szCs w:val="14"/>
                <w:lang w:eastAsia="en-US"/>
              </w:rPr>
              <w:lastRenderedPageBreak/>
              <w:t xml:space="preserve">— </w:t>
            </w:r>
            <w:hyperlink r:id="rId337" w:history="1">
              <w:r w:rsidRPr="00570B9E">
                <w:rPr>
                  <w:rFonts w:eastAsia="Calibri" w:cs="Arial"/>
                  <w:color w:val="0000FF"/>
                  <w:sz w:val="14"/>
                  <w:szCs w:val="14"/>
                  <w:u w:val="single"/>
                  <w:lang w:eastAsia="en-US"/>
                </w:rPr>
                <w:t>s36(1)</w:t>
              </w:r>
            </w:hyperlink>
          </w:p>
        </w:tc>
        <w:tc>
          <w:tcPr>
            <w:tcW w:w="1162" w:type="dxa"/>
            <w:tcMar>
              <w:top w:w="80" w:type="dxa"/>
              <w:left w:w="80" w:type="dxa"/>
              <w:bottom w:w="80" w:type="dxa"/>
              <w:right w:w="80" w:type="dxa"/>
            </w:tcMar>
          </w:tcPr>
          <w:p w14:paraId="4842E72C" w14:textId="57A08213" w:rsidR="00885F3B" w:rsidRPr="00570B9E" w:rsidRDefault="00F6068C" w:rsidP="007670EA">
            <w:pPr>
              <w:spacing w:after="0"/>
              <w:rPr>
                <w:rFonts w:eastAsia="Calibri" w:cs="Arial"/>
                <w:sz w:val="14"/>
                <w:szCs w:val="14"/>
                <w:lang w:eastAsia="en-US"/>
              </w:rPr>
            </w:pPr>
            <w:r>
              <w:rPr>
                <w:rFonts w:eastAsia="Calibri" w:cs="Arial"/>
                <w:sz w:val="14"/>
                <w:szCs w:val="14"/>
                <w:lang w:eastAsia="en-US"/>
              </w:rPr>
              <w:lastRenderedPageBreak/>
              <w:t xml:space="preserve">Three working days — </w:t>
            </w:r>
            <w:hyperlink r:id="rId338" w:history="1">
              <w:r w:rsidRPr="00274476">
                <w:rPr>
                  <w:rStyle w:val="Hyperlink"/>
                  <w:rFonts w:eastAsia="Calibri" w:cs="Arial"/>
                  <w:sz w:val="14"/>
                  <w:szCs w:val="14"/>
                  <w:lang w:eastAsia="en-US"/>
                </w:rPr>
                <w:t>s84(1)</w:t>
              </w:r>
            </w:hyperlink>
          </w:p>
        </w:tc>
        <w:tc>
          <w:tcPr>
            <w:tcW w:w="1163" w:type="dxa"/>
            <w:tcMar>
              <w:top w:w="80" w:type="dxa"/>
              <w:left w:w="80" w:type="dxa"/>
              <w:bottom w:w="80" w:type="dxa"/>
              <w:right w:w="80" w:type="dxa"/>
            </w:tcMar>
          </w:tcPr>
          <w:p w14:paraId="49AB636B" w14:textId="2D24E136" w:rsidR="00885F3B" w:rsidRPr="00570B9E" w:rsidRDefault="00F6068C" w:rsidP="007670EA">
            <w:pPr>
              <w:spacing w:after="0"/>
              <w:rPr>
                <w:rFonts w:eastAsia="Calibri" w:cs="Arial"/>
                <w:sz w:val="14"/>
                <w:szCs w:val="14"/>
                <w:lang w:eastAsia="en-US"/>
              </w:rPr>
            </w:pPr>
            <w:r>
              <w:rPr>
                <w:rFonts w:eastAsia="Calibri" w:cs="Arial"/>
                <w:sz w:val="14"/>
                <w:szCs w:val="14"/>
                <w:lang w:eastAsia="en-US"/>
              </w:rPr>
              <w:t xml:space="preserve">Seven days — </w:t>
            </w:r>
            <w:hyperlink r:id="rId339" w:history="1">
              <w:r w:rsidRPr="00274476">
                <w:rPr>
                  <w:rStyle w:val="Hyperlink"/>
                  <w:rFonts w:eastAsia="Calibri" w:cs="Arial"/>
                  <w:sz w:val="14"/>
                  <w:szCs w:val="14"/>
                  <w:lang w:eastAsia="en-US"/>
                </w:rPr>
                <w:t>s126(1)</w:t>
              </w:r>
            </w:hyperlink>
          </w:p>
        </w:tc>
        <w:tc>
          <w:tcPr>
            <w:tcW w:w="1162" w:type="dxa"/>
            <w:tcMar>
              <w:top w:w="80" w:type="dxa"/>
              <w:left w:w="80" w:type="dxa"/>
              <w:bottom w:w="80" w:type="dxa"/>
              <w:right w:w="80" w:type="dxa"/>
            </w:tcMar>
          </w:tcPr>
          <w:p w14:paraId="4F11D0F1"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tcMar>
              <w:top w:w="80" w:type="dxa"/>
              <w:left w:w="80" w:type="dxa"/>
              <w:bottom w:w="80" w:type="dxa"/>
              <w:right w:w="80" w:type="dxa"/>
            </w:tcMar>
          </w:tcPr>
          <w:p w14:paraId="79899BEB"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w:t>
            </w:r>
            <w:r w:rsidRPr="00570B9E">
              <w:rPr>
                <w:rFonts w:eastAsia="Calibri" w:cs="Arial"/>
                <w:sz w:val="14"/>
                <w:szCs w:val="14"/>
                <w:lang w:eastAsia="en-US"/>
              </w:rPr>
              <w:tab/>
            </w:r>
          </w:p>
        </w:tc>
        <w:tc>
          <w:tcPr>
            <w:tcW w:w="1162" w:type="dxa"/>
            <w:tcMar>
              <w:top w:w="80" w:type="dxa"/>
              <w:left w:w="80" w:type="dxa"/>
              <w:bottom w:w="80" w:type="dxa"/>
              <w:right w:w="80" w:type="dxa"/>
            </w:tcMar>
          </w:tcPr>
          <w:p w14:paraId="2F2F7591"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N/A</w:t>
            </w:r>
          </w:p>
        </w:tc>
        <w:tc>
          <w:tcPr>
            <w:tcW w:w="1163" w:type="dxa"/>
            <w:tcMar>
              <w:top w:w="80" w:type="dxa"/>
              <w:left w:w="80" w:type="dxa"/>
              <w:bottom w:w="80" w:type="dxa"/>
              <w:right w:w="80" w:type="dxa"/>
            </w:tcMar>
          </w:tcPr>
          <w:p w14:paraId="4ABE046E"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N/A</w:t>
            </w:r>
          </w:p>
        </w:tc>
      </w:tr>
      <w:tr w:rsidR="00885F3B" w:rsidRPr="00570B9E" w14:paraId="10DB90C2" w14:textId="77777777" w:rsidTr="00F6068C">
        <w:tc>
          <w:tcPr>
            <w:tcW w:w="1341" w:type="dxa"/>
            <w:shd w:val="clear" w:color="auto" w:fill="FFC9C9"/>
            <w:tcMar>
              <w:top w:w="80" w:type="dxa"/>
              <w:left w:w="80" w:type="dxa"/>
              <w:bottom w:w="80" w:type="dxa"/>
              <w:right w:w="80" w:type="dxa"/>
            </w:tcMar>
          </w:tcPr>
          <w:p w14:paraId="45BB9671" w14:textId="5968F50A" w:rsidR="00885F3B" w:rsidRPr="00570B9E" w:rsidRDefault="00885F3B" w:rsidP="007670EA">
            <w:pPr>
              <w:spacing w:after="0"/>
              <w:rPr>
                <w:rFonts w:eastAsia="Calibri" w:cs="Arial"/>
                <w:b/>
                <w:sz w:val="16"/>
                <w:szCs w:val="16"/>
                <w:lang w:eastAsia="en-US"/>
              </w:rPr>
            </w:pPr>
            <w:r w:rsidRPr="00570B9E">
              <w:rPr>
                <w:rFonts w:eastAsia="Calibri" w:cs="Arial"/>
                <w:b/>
                <w:sz w:val="16"/>
                <w:szCs w:val="16"/>
                <w:lang w:eastAsia="en-US"/>
              </w:rPr>
              <w:t>Employer/</w:t>
            </w:r>
            <w:r w:rsidR="00052453">
              <w:rPr>
                <w:rFonts w:eastAsia="Calibri" w:cs="Arial"/>
                <w:b/>
                <w:sz w:val="16"/>
                <w:szCs w:val="16"/>
                <w:lang w:eastAsia="en-US"/>
              </w:rPr>
              <w:t xml:space="preserve"> </w:t>
            </w:r>
            <w:r w:rsidRPr="00570B9E">
              <w:rPr>
                <w:rFonts w:eastAsia="Calibri" w:cs="Arial"/>
                <w:b/>
                <w:sz w:val="16"/>
                <w:szCs w:val="16"/>
                <w:lang w:eastAsia="en-US"/>
              </w:rPr>
              <w:t>worker supplies further information to insurer on request</w:t>
            </w:r>
          </w:p>
        </w:tc>
        <w:tc>
          <w:tcPr>
            <w:tcW w:w="1304" w:type="dxa"/>
            <w:shd w:val="clear" w:color="auto" w:fill="FFC9C9"/>
            <w:tcMar>
              <w:top w:w="80" w:type="dxa"/>
              <w:left w:w="80" w:type="dxa"/>
              <w:bottom w:w="80" w:type="dxa"/>
              <w:right w:w="80" w:type="dxa"/>
            </w:tcMar>
          </w:tcPr>
          <w:p w14:paraId="0B6F0B35" w14:textId="33DE8C2B" w:rsidR="00885F3B" w:rsidRPr="00885F3B" w:rsidRDefault="00140B32" w:rsidP="007670EA">
            <w:pPr>
              <w:spacing w:after="0"/>
              <w:rPr>
                <w:sz w:val="14"/>
                <w:szCs w:val="14"/>
              </w:rPr>
            </w:pPr>
            <w:r>
              <w:rPr>
                <w:sz w:val="14"/>
                <w:szCs w:val="14"/>
              </w:rPr>
              <w:t xml:space="preserve">Seven days — 1998 Act, </w:t>
            </w:r>
            <w:hyperlink r:id="rId340" w:history="1">
              <w:r w:rsidRPr="00A724E3">
                <w:rPr>
                  <w:rStyle w:val="Hyperlink"/>
                  <w:sz w:val="14"/>
                  <w:szCs w:val="14"/>
                </w:rPr>
                <w:t>s264(2)</w:t>
              </w:r>
            </w:hyperlink>
          </w:p>
        </w:tc>
        <w:tc>
          <w:tcPr>
            <w:tcW w:w="1163" w:type="dxa"/>
            <w:shd w:val="clear" w:color="auto" w:fill="FFC9C9"/>
            <w:tcMar>
              <w:top w:w="80" w:type="dxa"/>
              <w:left w:w="80" w:type="dxa"/>
              <w:bottom w:w="80" w:type="dxa"/>
              <w:right w:w="80" w:type="dxa"/>
            </w:tcMar>
          </w:tcPr>
          <w:p w14:paraId="3E0DA36E" w14:textId="635C0EF5"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No time limit except decision must be made on claim for weekly payme</w:t>
            </w:r>
            <w:r w:rsidR="00F6068C">
              <w:rPr>
                <w:rFonts w:eastAsia="Calibri" w:cs="Arial"/>
                <w:sz w:val="14"/>
                <w:szCs w:val="14"/>
                <w:lang w:eastAsia="en-US"/>
              </w:rPr>
              <w:t>nts or deemed accepted</w:t>
            </w:r>
          </w:p>
        </w:tc>
        <w:tc>
          <w:tcPr>
            <w:tcW w:w="1162" w:type="dxa"/>
            <w:shd w:val="clear" w:color="auto" w:fill="FFC9C9"/>
            <w:tcMar>
              <w:top w:w="80" w:type="dxa"/>
              <w:left w:w="80" w:type="dxa"/>
              <w:bottom w:w="80" w:type="dxa"/>
              <w:right w:w="80" w:type="dxa"/>
            </w:tcMar>
          </w:tcPr>
          <w:p w14:paraId="2C438F20" w14:textId="071A78E2"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10 business day</w:t>
            </w:r>
            <w:r w:rsidR="00F6068C">
              <w:rPr>
                <w:rFonts w:eastAsia="Calibri" w:cs="Arial"/>
                <w:sz w:val="14"/>
                <w:szCs w:val="14"/>
                <w:lang w:eastAsia="en-US"/>
              </w:rPr>
              <w:t xml:space="preserve">s of receiving notice — </w:t>
            </w:r>
            <w:hyperlink r:id="rId341" w:anchor="sec.167" w:history="1">
              <w:r w:rsidR="00F6068C" w:rsidRPr="00A724E3">
                <w:rPr>
                  <w:rStyle w:val="Hyperlink"/>
                  <w:rFonts w:eastAsia="Calibri" w:cs="Arial"/>
                  <w:sz w:val="14"/>
                  <w:szCs w:val="14"/>
                  <w:lang w:eastAsia="en-US"/>
                </w:rPr>
                <w:t>s167(2)</w:t>
              </w:r>
            </w:hyperlink>
          </w:p>
        </w:tc>
        <w:tc>
          <w:tcPr>
            <w:tcW w:w="1163" w:type="dxa"/>
            <w:shd w:val="clear" w:color="auto" w:fill="FFC9C9"/>
            <w:tcMar>
              <w:top w:w="80" w:type="dxa"/>
              <w:left w:w="80" w:type="dxa"/>
              <w:bottom w:w="80" w:type="dxa"/>
              <w:right w:w="80" w:type="dxa"/>
            </w:tcMar>
          </w:tcPr>
          <w:p w14:paraId="36D68223"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w:t>
            </w:r>
          </w:p>
        </w:tc>
        <w:tc>
          <w:tcPr>
            <w:tcW w:w="1162" w:type="dxa"/>
            <w:shd w:val="clear" w:color="auto" w:fill="FFC9C9"/>
            <w:tcMar>
              <w:top w:w="80" w:type="dxa"/>
              <w:left w:w="80" w:type="dxa"/>
              <w:bottom w:w="80" w:type="dxa"/>
              <w:right w:w="80" w:type="dxa"/>
            </w:tcMar>
          </w:tcPr>
          <w:p w14:paraId="5E4B4571"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N/A</w:t>
            </w:r>
          </w:p>
        </w:tc>
        <w:tc>
          <w:tcPr>
            <w:tcW w:w="1163" w:type="dxa"/>
            <w:shd w:val="clear" w:color="auto" w:fill="FFC9C9"/>
            <w:tcMar>
              <w:top w:w="80" w:type="dxa"/>
              <w:left w:w="80" w:type="dxa"/>
              <w:bottom w:w="80" w:type="dxa"/>
              <w:right w:w="80" w:type="dxa"/>
            </w:tcMar>
          </w:tcPr>
          <w:p w14:paraId="08B3D9E5"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w:t>
            </w:r>
          </w:p>
        </w:tc>
        <w:tc>
          <w:tcPr>
            <w:tcW w:w="1162" w:type="dxa"/>
            <w:shd w:val="clear" w:color="auto" w:fill="FFC9C9"/>
            <w:tcMar>
              <w:top w:w="80" w:type="dxa"/>
              <w:left w:w="80" w:type="dxa"/>
              <w:bottom w:w="80" w:type="dxa"/>
              <w:right w:w="80" w:type="dxa"/>
            </w:tcMar>
          </w:tcPr>
          <w:p w14:paraId="76BAD17F"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7803F4E3" w14:textId="42B06CD3" w:rsidR="00885F3B" w:rsidRPr="00570B9E" w:rsidRDefault="00F6068C" w:rsidP="007670EA">
            <w:pPr>
              <w:spacing w:after="0"/>
              <w:rPr>
                <w:rFonts w:eastAsia="Calibri" w:cs="Arial"/>
                <w:sz w:val="14"/>
                <w:szCs w:val="14"/>
                <w:lang w:eastAsia="en-US"/>
              </w:rPr>
            </w:pPr>
            <w:r>
              <w:rPr>
                <w:rFonts w:eastAsia="Calibri" w:cs="Arial"/>
                <w:sz w:val="14"/>
                <w:szCs w:val="14"/>
                <w:lang w:eastAsia="en-US"/>
              </w:rPr>
              <w:t xml:space="preserve">Seven days — </w:t>
            </w:r>
            <w:hyperlink r:id="rId342" w:history="1">
              <w:r w:rsidRPr="00274476">
                <w:rPr>
                  <w:rStyle w:val="Hyperlink"/>
                  <w:rFonts w:eastAsia="Calibri" w:cs="Arial"/>
                  <w:sz w:val="14"/>
                  <w:szCs w:val="14"/>
                  <w:lang w:eastAsia="en-US"/>
                </w:rPr>
                <w:t>s126(2)</w:t>
              </w:r>
            </w:hyperlink>
          </w:p>
        </w:tc>
        <w:tc>
          <w:tcPr>
            <w:tcW w:w="1162" w:type="dxa"/>
            <w:shd w:val="clear" w:color="auto" w:fill="FFC9C9"/>
            <w:tcMar>
              <w:top w:w="80" w:type="dxa"/>
              <w:left w:w="80" w:type="dxa"/>
              <w:bottom w:w="80" w:type="dxa"/>
              <w:right w:w="80" w:type="dxa"/>
            </w:tcMar>
          </w:tcPr>
          <w:p w14:paraId="4AD69D21" w14:textId="403AE7D0" w:rsidR="00885F3B" w:rsidRPr="00570B9E" w:rsidRDefault="00F6068C" w:rsidP="007670EA">
            <w:pPr>
              <w:spacing w:after="0"/>
              <w:rPr>
                <w:rFonts w:eastAsia="Calibri" w:cs="Arial"/>
                <w:sz w:val="14"/>
                <w:szCs w:val="14"/>
                <w:lang w:eastAsia="en-US"/>
              </w:rPr>
            </w:pPr>
            <w:r>
              <w:rPr>
                <w:rFonts w:eastAsia="Calibri" w:cs="Arial"/>
                <w:sz w:val="14"/>
                <w:szCs w:val="14"/>
                <w:lang w:eastAsia="en-US"/>
              </w:rPr>
              <w:t xml:space="preserve">28 days — </w:t>
            </w:r>
            <w:hyperlink r:id="rId343" w:history="1">
              <w:r w:rsidR="00AF0F2D">
                <w:rPr>
                  <w:rStyle w:val="Hyperlink"/>
                  <w:rFonts w:eastAsia="Calibri" w:cs="Arial"/>
                  <w:sz w:val="14"/>
                  <w:szCs w:val="14"/>
                  <w:lang w:eastAsia="en-US"/>
                </w:rPr>
                <w:t>s58</w:t>
              </w:r>
            </w:hyperlink>
          </w:p>
        </w:tc>
        <w:tc>
          <w:tcPr>
            <w:tcW w:w="1163" w:type="dxa"/>
            <w:shd w:val="clear" w:color="auto" w:fill="FFC9C9"/>
            <w:tcMar>
              <w:top w:w="80" w:type="dxa"/>
              <w:left w:w="80" w:type="dxa"/>
              <w:bottom w:w="80" w:type="dxa"/>
              <w:right w:w="80" w:type="dxa"/>
            </w:tcMar>
          </w:tcPr>
          <w:p w14:paraId="2656CDC9" w14:textId="2A5DB6C8" w:rsidR="00885F3B" w:rsidRPr="00570B9E" w:rsidRDefault="00F6068C" w:rsidP="007670EA">
            <w:pPr>
              <w:spacing w:after="0"/>
              <w:rPr>
                <w:rFonts w:eastAsia="Calibri" w:cs="Arial"/>
                <w:sz w:val="14"/>
                <w:szCs w:val="14"/>
                <w:lang w:eastAsia="en-US"/>
              </w:rPr>
            </w:pPr>
            <w:r>
              <w:rPr>
                <w:rFonts w:eastAsia="Calibri" w:cs="Arial"/>
                <w:sz w:val="14"/>
                <w:szCs w:val="14"/>
                <w:lang w:eastAsia="en-US"/>
              </w:rPr>
              <w:t xml:space="preserve">No time specified — </w:t>
            </w:r>
            <w:hyperlink r:id="rId344" w:history="1">
              <w:r w:rsidRPr="00C748F6">
                <w:rPr>
                  <w:rStyle w:val="Hyperlink"/>
                  <w:rFonts w:eastAsia="Calibri" w:cs="Arial"/>
                  <w:sz w:val="14"/>
                  <w:szCs w:val="14"/>
                  <w:lang w:eastAsia="en-US"/>
                </w:rPr>
                <w:t>s67</w:t>
              </w:r>
            </w:hyperlink>
          </w:p>
        </w:tc>
        <w:tc>
          <w:tcPr>
            <w:tcW w:w="1162" w:type="dxa"/>
            <w:shd w:val="clear" w:color="auto" w:fill="FFC9C9"/>
            <w:tcMar>
              <w:top w:w="80" w:type="dxa"/>
              <w:left w:w="80" w:type="dxa"/>
              <w:bottom w:w="80" w:type="dxa"/>
              <w:right w:w="80" w:type="dxa"/>
            </w:tcMar>
          </w:tcPr>
          <w:p w14:paraId="6B2166D7" w14:textId="77777777" w:rsidR="00885F3B" w:rsidRPr="00570B9E" w:rsidRDefault="00885F3B" w:rsidP="007670EA">
            <w:pPr>
              <w:spacing w:after="0"/>
              <w:rPr>
                <w:rFonts w:eastAsia="Calibri" w:cs="Arial"/>
                <w:sz w:val="14"/>
                <w:szCs w:val="14"/>
                <w:lang w:eastAsia="en-US"/>
              </w:rPr>
            </w:pPr>
            <w:r w:rsidRPr="00570B9E">
              <w:rPr>
                <w:rFonts w:eastAsia="Calibri" w:cs="Arial"/>
                <w:sz w:val="14"/>
                <w:szCs w:val="14"/>
                <w:lang w:eastAsia="en-US"/>
              </w:rPr>
              <w:t>N/A</w:t>
            </w:r>
          </w:p>
        </w:tc>
        <w:tc>
          <w:tcPr>
            <w:tcW w:w="1163" w:type="dxa"/>
            <w:shd w:val="clear" w:color="auto" w:fill="FFC9C9"/>
            <w:tcMar>
              <w:top w:w="80" w:type="dxa"/>
              <w:left w:w="80" w:type="dxa"/>
              <w:bottom w:w="80" w:type="dxa"/>
              <w:right w:w="80" w:type="dxa"/>
            </w:tcMar>
          </w:tcPr>
          <w:p w14:paraId="7B73499A" w14:textId="5BDA87CB" w:rsidR="00885F3B" w:rsidRPr="00570B9E" w:rsidRDefault="00885F3B" w:rsidP="00B52BD8">
            <w:pPr>
              <w:spacing w:after="0"/>
              <w:rPr>
                <w:rFonts w:eastAsia="Calibri" w:cs="Arial"/>
                <w:sz w:val="14"/>
                <w:szCs w:val="14"/>
                <w:lang w:eastAsia="en-US"/>
              </w:rPr>
            </w:pPr>
            <w:r w:rsidRPr="00570B9E">
              <w:rPr>
                <w:rFonts w:eastAsia="Calibri" w:cs="Arial"/>
                <w:sz w:val="14"/>
                <w:szCs w:val="14"/>
                <w:lang w:eastAsia="en-US"/>
              </w:rPr>
              <w:t>No time limit on the claimant but the Insurer must make request for additional information within 21 days</w:t>
            </w:r>
            <w:r w:rsidR="00F6068C">
              <w:rPr>
                <w:rFonts w:eastAsia="Calibri" w:cs="Arial"/>
                <w:sz w:val="14"/>
                <w:szCs w:val="14"/>
                <w:lang w:eastAsia="en-US"/>
              </w:rPr>
              <w:t xml:space="preserve"> after claim is lodged </w:t>
            </w:r>
            <w:r w:rsidR="00B52BD8">
              <w:rPr>
                <w:rFonts w:eastAsia="Calibri" w:cs="Arial"/>
                <w:sz w:val="14"/>
                <w:szCs w:val="14"/>
                <w:lang w:eastAsia="en-US"/>
              </w:rPr>
              <w:t xml:space="preserve">— </w:t>
            </w:r>
            <w:hyperlink r:id="rId345" w:history="1">
              <w:r w:rsidR="00F6068C" w:rsidRPr="007C4199">
                <w:rPr>
                  <w:rStyle w:val="Hyperlink"/>
                  <w:rFonts w:eastAsia="Calibri" w:cs="Arial"/>
                  <w:sz w:val="14"/>
                  <w:szCs w:val="14"/>
                  <w:lang w:eastAsia="en-US"/>
                </w:rPr>
                <w:t>s56(2)</w:t>
              </w:r>
            </w:hyperlink>
          </w:p>
        </w:tc>
      </w:tr>
      <w:tr w:rsidR="00570B9E" w:rsidRPr="00570B9E" w14:paraId="0DA93456" w14:textId="77777777" w:rsidTr="007670EA">
        <w:trPr>
          <w:trHeight w:val="518"/>
        </w:trPr>
        <w:tc>
          <w:tcPr>
            <w:tcW w:w="1341" w:type="dxa"/>
            <w:tcMar>
              <w:top w:w="80" w:type="dxa"/>
              <w:left w:w="80" w:type="dxa"/>
              <w:bottom w:w="80" w:type="dxa"/>
              <w:right w:w="80" w:type="dxa"/>
            </w:tcMar>
          </w:tcPr>
          <w:p w14:paraId="524D2709" w14:textId="77777777" w:rsidR="00570B9E" w:rsidRPr="00570B9E" w:rsidRDefault="00570B9E" w:rsidP="007670EA">
            <w:pPr>
              <w:spacing w:after="0"/>
              <w:rPr>
                <w:rFonts w:eastAsia="Calibri" w:cs="Arial"/>
                <w:b/>
                <w:sz w:val="16"/>
                <w:szCs w:val="16"/>
                <w:lang w:eastAsia="en-US"/>
              </w:rPr>
            </w:pPr>
            <w:r w:rsidRPr="00570B9E">
              <w:rPr>
                <w:rFonts w:eastAsia="Calibri" w:cs="Arial"/>
                <w:b/>
                <w:sz w:val="16"/>
                <w:szCs w:val="16"/>
                <w:lang w:eastAsia="en-US"/>
              </w:rPr>
              <w:t>Insurer passes on claim form to authority</w:t>
            </w:r>
          </w:p>
        </w:tc>
        <w:tc>
          <w:tcPr>
            <w:tcW w:w="1304" w:type="dxa"/>
            <w:tcMar>
              <w:top w:w="80" w:type="dxa"/>
              <w:left w:w="80" w:type="dxa"/>
              <w:bottom w:w="80" w:type="dxa"/>
              <w:right w:w="80" w:type="dxa"/>
            </w:tcMar>
          </w:tcPr>
          <w:p w14:paraId="74DF65D3"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tcMar>
              <w:top w:w="80" w:type="dxa"/>
              <w:left w:w="80" w:type="dxa"/>
              <w:bottom w:w="80" w:type="dxa"/>
              <w:right w:w="80" w:type="dxa"/>
            </w:tcMar>
          </w:tcPr>
          <w:p w14:paraId="39523C86" w14:textId="55CFBB90"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 Authorised agent of authority</w:t>
            </w:r>
            <w:r w:rsidR="00F6068C">
              <w:rPr>
                <w:rFonts w:eastAsia="Calibri" w:cs="Arial"/>
                <w:sz w:val="14"/>
                <w:szCs w:val="14"/>
                <w:lang w:eastAsia="en-US"/>
              </w:rPr>
              <w:t xml:space="preserve"> has claims management function</w:t>
            </w:r>
          </w:p>
        </w:tc>
        <w:tc>
          <w:tcPr>
            <w:tcW w:w="1162" w:type="dxa"/>
            <w:tcMar>
              <w:top w:w="80" w:type="dxa"/>
              <w:left w:w="80" w:type="dxa"/>
              <w:bottom w:w="80" w:type="dxa"/>
              <w:right w:w="80" w:type="dxa"/>
            </w:tcMar>
          </w:tcPr>
          <w:p w14:paraId="22E8B7AC"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3" w:type="dxa"/>
            <w:tcMar>
              <w:top w:w="80" w:type="dxa"/>
              <w:left w:w="80" w:type="dxa"/>
              <w:bottom w:w="80" w:type="dxa"/>
              <w:right w:w="80" w:type="dxa"/>
            </w:tcMar>
          </w:tcPr>
          <w:p w14:paraId="54DB16E7" w14:textId="3BAD49C3"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Within 21 days af</w:t>
            </w:r>
            <w:r w:rsidR="00F6068C">
              <w:rPr>
                <w:rFonts w:eastAsia="Calibri" w:cs="Arial"/>
                <w:sz w:val="14"/>
                <w:szCs w:val="14"/>
                <w:lang w:eastAsia="en-US"/>
              </w:rPr>
              <w:t xml:space="preserve">ter payments commence — </w:t>
            </w:r>
            <w:hyperlink r:id="rId346" w:history="1">
              <w:r w:rsidR="00F6068C" w:rsidRPr="00274476">
                <w:rPr>
                  <w:rStyle w:val="Hyperlink"/>
                  <w:rFonts w:eastAsia="Calibri" w:cs="Arial"/>
                  <w:sz w:val="14"/>
                  <w:szCs w:val="14"/>
                  <w:lang w:eastAsia="en-US"/>
                </w:rPr>
                <w:t>s57C(2)</w:t>
              </w:r>
            </w:hyperlink>
          </w:p>
        </w:tc>
        <w:tc>
          <w:tcPr>
            <w:tcW w:w="1162" w:type="dxa"/>
            <w:tcMar>
              <w:top w:w="80" w:type="dxa"/>
              <w:left w:w="80" w:type="dxa"/>
              <w:bottom w:w="80" w:type="dxa"/>
              <w:right w:w="80" w:type="dxa"/>
            </w:tcMar>
          </w:tcPr>
          <w:p w14:paraId="740A7874"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c>
          <w:tcPr>
            <w:tcW w:w="1163" w:type="dxa"/>
            <w:tcMar>
              <w:top w:w="80" w:type="dxa"/>
              <w:left w:w="80" w:type="dxa"/>
              <w:bottom w:w="80" w:type="dxa"/>
              <w:right w:w="80" w:type="dxa"/>
            </w:tcMar>
          </w:tcPr>
          <w:p w14:paraId="50BBE07E" w14:textId="60CB19F0"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 xml:space="preserve">Five working days — </w:t>
            </w:r>
            <w:hyperlink r:id="rId347" w:history="1">
              <w:r w:rsidRPr="00570B9E">
                <w:rPr>
                  <w:rFonts w:eastAsia="Calibri" w:cs="Arial"/>
                  <w:color w:val="0000FF"/>
                  <w:sz w:val="14"/>
                  <w:szCs w:val="14"/>
                  <w:u w:val="single"/>
                  <w:lang w:eastAsia="en-US"/>
                </w:rPr>
                <w:t>s36(2)</w:t>
              </w:r>
            </w:hyperlink>
          </w:p>
        </w:tc>
        <w:tc>
          <w:tcPr>
            <w:tcW w:w="1162" w:type="dxa"/>
            <w:tcMar>
              <w:top w:w="80" w:type="dxa"/>
              <w:left w:w="80" w:type="dxa"/>
              <w:bottom w:w="80" w:type="dxa"/>
              <w:right w:w="80" w:type="dxa"/>
            </w:tcMar>
          </w:tcPr>
          <w:p w14:paraId="52A02068" w14:textId="55B133C9" w:rsidR="00570B9E" w:rsidRPr="00570B9E" w:rsidRDefault="00F6068C" w:rsidP="007670EA">
            <w:pPr>
              <w:spacing w:after="0"/>
              <w:rPr>
                <w:rFonts w:eastAsia="Calibri" w:cs="Arial"/>
                <w:sz w:val="14"/>
                <w:szCs w:val="14"/>
                <w:lang w:eastAsia="en-US"/>
              </w:rPr>
            </w:pPr>
            <w:r>
              <w:rPr>
                <w:rFonts w:eastAsia="Calibri" w:cs="Arial"/>
                <w:sz w:val="14"/>
                <w:szCs w:val="14"/>
                <w:lang w:eastAsia="en-US"/>
              </w:rPr>
              <w:t xml:space="preserve">10 working days — </w:t>
            </w:r>
            <w:hyperlink r:id="rId348" w:history="1">
              <w:r w:rsidRPr="00274476">
                <w:rPr>
                  <w:rStyle w:val="Hyperlink"/>
                  <w:rFonts w:eastAsia="Calibri" w:cs="Arial"/>
                  <w:sz w:val="14"/>
                  <w:szCs w:val="14"/>
                  <w:lang w:eastAsia="en-US"/>
                </w:rPr>
                <w:t>s84(2)</w:t>
              </w:r>
            </w:hyperlink>
          </w:p>
        </w:tc>
        <w:tc>
          <w:tcPr>
            <w:tcW w:w="1163" w:type="dxa"/>
            <w:tcMar>
              <w:top w:w="80" w:type="dxa"/>
              <w:left w:w="80" w:type="dxa"/>
              <w:bottom w:w="80" w:type="dxa"/>
              <w:right w:w="80" w:type="dxa"/>
            </w:tcMar>
          </w:tcPr>
          <w:p w14:paraId="64081F6E"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c>
          <w:tcPr>
            <w:tcW w:w="1162" w:type="dxa"/>
            <w:tcMar>
              <w:top w:w="80" w:type="dxa"/>
              <w:left w:w="80" w:type="dxa"/>
              <w:bottom w:w="80" w:type="dxa"/>
              <w:right w:w="80" w:type="dxa"/>
            </w:tcMar>
          </w:tcPr>
          <w:p w14:paraId="26AA9D26"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c>
          <w:tcPr>
            <w:tcW w:w="1163" w:type="dxa"/>
            <w:tcMar>
              <w:top w:w="80" w:type="dxa"/>
              <w:left w:w="80" w:type="dxa"/>
              <w:bottom w:w="80" w:type="dxa"/>
              <w:right w:w="80" w:type="dxa"/>
            </w:tcMar>
          </w:tcPr>
          <w:p w14:paraId="7A5B7AA4"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w:t>
            </w:r>
          </w:p>
        </w:tc>
        <w:tc>
          <w:tcPr>
            <w:tcW w:w="1162" w:type="dxa"/>
            <w:tcMar>
              <w:top w:w="80" w:type="dxa"/>
              <w:left w:w="80" w:type="dxa"/>
              <w:bottom w:w="80" w:type="dxa"/>
              <w:right w:w="80" w:type="dxa"/>
            </w:tcMar>
          </w:tcPr>
          <w:p w14:paraId="227CDC7E"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c>
          <w:tcPr>
            <w:tcW w:w="1163" w:type="dxa"/>
            <w:tcMar>
              <w:top w:w="80" w:type="dxa"/>
              <w:left w:w="80" w:type="dxa"/>
              <w:bottom w:w="80" w:type="dxa"/>
              <w:right w:w="80" w:type="dxa"/>
            </w:tcMar>
          </w:tcPr>
          <w:p w14:paraId="2B238B71"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r>
      <w:tr w:rsidR="00570B9E" w:rsidRPr="00570B9E" w14:paraId="222AF9FE" w14:textId="77777777" w:rsidTr="007670EA">
        <w:trPr>
          <w:trHeight w:val="4340"/>
        </w:trPr>
        <w:tc>
          <w:tcPr>
            <w:tcW w:w="1341" w:type="dxa"/>
            <w:shd w:val="clear" w:color="auto" w:fill="FFC9C9"/>
            <w:tcMar>
              <w:top w:w="80" w:type="dxa"/>
              <w:left w:w="80" w:type="dxa"/>
              <w:bottom w:w="80" w:type="dxa"/>
              <w:right w:w="80" w:type="dxa"/>
            </w:tcMar>
          </w:tcPr>
          <w:p w14:paraId="2F498941" w14:textId="68259BC2" w:rsidR="00570B9E" w:rsidRPr="00570B9E" w:rsidRDefault="00570B9E" w:rsidP="007670EA">
            <w:pPr>
              <w:spacing w:after="0"/>
              <w:rPr>
                <w:rFonts w:eastAsia="Calibri" w:cs="Arial"/>
                <w:b/>
                <w:sz w:val="16"/>
                <w:szCs w:val="16"/>
                <w:lang w:eastAsia="en-US"/>
              </w:rPr>
            </w:pPr>
            <w:r w:rsidRPr="00570B9E">
              <w:rPr>
                <w:rFonts w:eastAsia="Calibri" w:cs="Arial"/>
                <w:b/>
                <w:sz w:val="16"/>
                <w:szCs w:val="16"/>
                <w:lang w:eastAsia="en-US"/>
              </w:rPr>
              <w:t>Availability of provisional liability</w:t>
            </w:r>
            <w:r w:rsidR="003D18DA">
              <w:rPr>
                <w:rFonts w:eastAsia="Calibri" w:cs="Arial"/>
                <w:b/>
                <w:sz w:val="16"/>
                <w:szCs w:val="16"/>
                <w:lang w:eastAsia="en-US"/>
              </w:rPr>
              <w:fldChar w:fldCharType="begin"/>
            </w:r>
            <w:r w:rsidR="003D18DA">
              <w:instrText xml:space="preserve"> XE "</w:instrText>
            </w:r>
            <w:r w:rsidR="003D18DA" w:rsidRPr="001854C8">
              <w:instrText>provisional liability, availability</w:instrText>
            </w:r>
            <w:r w:rsidR="003D18DA">
              <w:instrText xml:space="preserve">" </w:instrText>
            </w:r>
            <w:r w:rsidR="003D18DA">
              <w:rPr>
                <w:rFonts w:eastAsia="Calibri" w:cs="Arial"/>
                <w:b/>
                <w:sz w:val="16"/>
                <w:szCs w:val="16"/>
                <w:lang w:eastAsia="en-US"/>
              </w:rPr>
              <w:fldChar w:fldCharType="end"/>
            </w:r>
          </w:p>
        </w:tc>
        <w:tc>
          <w:tcPr>
            <w:tcW w:w="1304" w:type="dxa"/>
            <w:shd w:val="clear" w:color="auto" w:fill="FFC9C9"/>
            <w:tcMar>
              <w:top w:w="80" w:type="dxa"/>
              <w:left w:w="80" w:type="dxa"/>
              <w:bottom w:w="80" w:type="dxa"/>
              <w:right w:w="80" w:type="dxa"/>
            </w:tcMar>
          </w:tcPr>
          <w:p w14:paraId="33235D6D" w14:textId="75BAEBC0" w:rsidR="00885F3B" w:rsidRPr="00885F3B" w:rsidRDefault="00F6068C" w:rsidP="007670EA">
            <w:pPr>
              <w:spacing w:after="0"/>
              <w:rPr>
                <w:rFonts w:eastAsia="Calibri" w:cs="Arial"/>
                <w:sz w:val="14"/>
                <w:szCs w:val="14"/>
                <w:lang w:eastAsia="en-US"/>
              </w:rPr>
            </w:pPr>
            <w:r>
              <w:rPr>
                <w:rFonts w:eastAsia="Calibri" w:cs="Arial"/>
                <w:sz w:val="14"/>
                <w:szCs w:val="14"/>
                <w:lang w:eastAsia="en-US"/>
              </w:rPr>
              <w:t>Yes</w:t>
            </w:r>
          </w:p>
          <w:p w14:paraId="6EC3FE21" w14:textId="1CD7D32E" w:rsidR="00885F3B" w:rsidRPr="00885F3B" w:rsidRDefault="00885F3B" w:rsidP="007670EA">
            <w:pPr>
              <w:spacing w:after="0"/>
              <w:rPr>
                <w:rFonts w:eastAsia="Calibri" w:cs="Arial"/>
                <w:sz w:val="14"/>
                <w:szCs w:val="14"/>
                <w:lang w:eastAsia="en-US"/>
              </w:rPr>
            </w:pPr>
            <w:r w:rsidRPr="00885F3B">
              <w:rPr>
                <w:rFonts w:eastAsia="Calibri" w:cs="Arial"/>
                <w:sz w:val="14"/>
                <w:szCs w:val="14"/>
                <w:lang w:eastAsia="en-US"/>
              </w:rPr>
              <w:t xml:space="preserve">Commence weekly payments on a provisional basis within seven days of receiving initial notification, unless the insurer </w:t>
            </w:r>
            <w:r w:rsidR="00C12CEE">
              <w:rPr>
                <w:rFonts w:eastAsia="Calibri" w:cs="Arial"/>
                <w:sz w:val="14"/>
                <w:szCs w:val="14"/>
                <w:lang w:eastAsia="en-US"/>
              </w:rPr>
              <w:t>has</w:t>
            </w:r>
            <w:r w:rsidRPr="00885F3B">
              <w:rPr>
                <w:rFonts w:eastAsia="Calibri" w:cs="Arial"/>
                <w:sz w:val="14"/>
                <w:szCs w:val="14"/>
                <w:lang w:eastAsia="en-US"/>
              </w:rPr>
              <w:t xml:space="preserve"> one of the seven prescribed reasonable excuses and this is communicated to the worker within 7 days (</w:t>
            </w:r>
            <w:hyperlink r:id="rId349" w:history="1">
              <w:r w:rsidRPr="00A724E3">
                <w:rPr>
                  <w:rStyle w:val="Hyperlink"/>
                  <w:rFonts w:eastAsia="Calibri" w:cs="Arial"/>
                  <w:sz w:val="14"/>
                  <w:szCs w:val="14"/>
                  <w:lang w:eastAsia="en-US"/>
                </w:rPr>
                <w:t>s267</w:t>
              </w:r>
            </w:hyperlink>
            <w:r w:rsidRPr="00885F3B">
              <w:rPr>
                <w:rFonts w:eastAsia="Calibri" w:cs="Arial"/>
                <w:sz w:val="14"/>
                <w:szCs w:val="14"/>
                <w:lang w:eastAsia="en-US"/>
              </w:rPr>
              <w:t xml:space="preserve">, 1998 Act) </w:t>
            </w:r>
          </w:p>
          <w:p w14:paraId="6FF92887" w14:textId="438B4DCC" w:rsidR="00570B9E" w:rsidRPr="00570B9E" w:rsidRDefault="00885F3B" w:rsidP="007670EA">
            <w:pPr>
              <w:spacing w:after="0"/>
              <w:rPr>
                <w:rFonts w:eastAsia="Calibri" w:cs="Arial"/>
                <w:sz w:val="14"/>
                <w:szCs w:val="14"/>
                <w:lang w:eastAsia="en-US"/>
              </w:rPr>
            </w:pPr>
            <w:r w:rsidRPr="00885F3B">
              <w:rPr>
                <w:rFonts w:eastAsia="Calibri" w:cs="Arial"/>
                <w:sz w:val="14"/>
                <w:szCs w:val="14"/>
                <w:lang w:eastAsia="en-US"/>
              </w:rPr>
              <w:t>Provisional medical expenses up to $7</w:t>
            </w:r>
            <w:r w:rsidR="00C12CEE">
              <w:rPr>
                <w:rFonts w:eastAsia="Calibri" w:cs="Arial"/>
                <w:sz w:val="14"/>
                <w:szCs w:val="14"/>
                <w:lang w:eastAsia="en-US"/>
              </w:rPr>
              <w:t>,</w:t>
            </w:r>
            <w:r w:rsidRPr="00885F3B">
              <w:rPr>
                <w:rFonts w:eastAsia="Calibri" w:cs="Arial"/>
                <w:sz w:val="14"/>
                <w:szCs w:val="14"/>
                <w:lang w:eastAsia="en-US"/>
              </w:rPr>
              <w:t>500 (</w:t>
            </w:r>
            <w:hyperlink r:id="rId350" w:history="1">
              <w:r w:rsidRPr="00A724E3">
                <w:rPr>
                  <w:rStyle w:val="Hyperlink"/>
                  <w:rFonts w:eastAsia="Calibri" w:cs="Arial"/>
                  <w:sz w:val="14"/>
                  <w:szCs w:val="14"/>
                  <w:lang w:eastAsia="en-US"/>
                </w:rPr>
                <w:t>s280</w:t>
              </w:r>
            </w:hyperlink>
            <w:r w:rsidRPr="00885F3B">
              <w:rPr>
                <w:rFonts w:eastAsia="Calibri" w:cs="Arial"/>
                <w:sz w:val="14"/>
                <w:szCs w:val="14"/>
                <w:lang w:eastAsia="en-US"/>
              </w:rPr>
              <w:t>, 1998 Act).</w:t>
            </w:r>
            <w:r w:rsidR="00DD0D68">
              <w:rPr>
                <w:rFonts w:eastAsia="Calibri" w:cs="Arial"/>
                <w:sz w:val="14"/>
                <w:szCs w:val="14"/>
                <w:lang w:eastAsia="en-US"/>
              </w:rPr>
              <w:t xml:space="preserve"> </w:t>
            </w:r>
            <w:r w:rsidRPr="00885F3B">
              <w:rPr>
                <w:rFonts w:eastAsia="Calibri" w:cs="Arial"/>
                <w:sz w:val="14"/>
                <w:szCs w:val="14"/>
                <w:lang w:eastAsia="en-US"/>
              </w:rPr>
              <w:t>However reasonable excuse cannot</w:t>
            </w:r>
            <w:r w:rsidR="00F6068C">
              <w:rPr>
                <w:rFonts w:eastAsia="Calibri" w:cs="Arial"/>
                <w:sz w:val="14"/>
                <w:szCs w:val="14"/>
                <w:lang w:eastAsia="en-US"/>
              </w:rPr>
              <w:t xml:space="preserve"> be applied to medical expenses</w:t>
            </w:r>
          </w:p>
        </w:tc>
        <w:tc>
          <w:tcPr>
            <w:tcW w:w="1163" w:type="dxa"/>
            <w:shd w:val="clear" w:color="auto" w:fill="FFC9C9"/>
            <w:tcMar>
              <w:top w:w="80" w:type="dxa"/>
              <w:left w:w="80" w:type="dxa"/>
              <w:bottom w:w="80" w:type="dxa"/>
              <w:right w:w="80" w:type="dxa"/>
            </w:tcMar>
          </w:tcPr>
          <w:p w14:paraId="4494BCA7" w14:textId="6351C3BE" w:rsidR="00570B9E" w:rsidRPr="00570B9E" w:rsidRDefault="00570B9E" w:rsidP="00B52BD8">
            <w:pPr>
              <w:spacing w:after="0"/>
              <w:rPr>
                <w:rFonts w:eastAsia="Calibri" w:cs="Arial"/>
                <w:sz w:val="14"/>
                <w:szCs w:val="14"/>
                <w:lang w:eastAsia="en-US"/>
              </w:rPr>
            </w:pPr>
            <w:r w:rsidRPr="00570B9E">
              <w:rPr>
                <w:rFonts w:eastAsia="Calibri" w:cs="Arial"/>
                <w:sz w:val="14"/>
                <w:szCs w:val="14"/>
                <w:lang w:eastAsia="en-US"/>
              </w:rPr>
              <w:t>Provisional payments can be made where it appears that a person may be entitled to compensation in respect of the death of</w:t>
            </w:r>
            <w:r w:rsidR="00F6068C">
              <w:rPr>
                <w:rFonts w:eastAsia="Calibri" w:cs="Arial"/>
                <w:sz w:val="14"/>
                <w:szCs w:val="14"/>
                <w:lang w:eastAsia="en-US"/>
              </w:rPr>
              <w:t xml:space="preserve"> a worker </w:t>
            </w:r>
            <w:r w:rsidR="00B52BD8">
              <w:rPr>
                <w:rFonts w:eastAsia="Calibri" w:cs="Arial"/>
                <w:sz w:val="14"/>
                <w:szCs w:val="14"/>
                <w:lang w:eastAsia="en-US"/>
              </w:rPr>
              <w:t xml:space="preserve">— </w:t>
            </w:r>
            <w:hyperlink r:id="rId351" w:history="1">
              <w:r w:rsidR="00F6068C" w:rsidRPr="00A724E3">
                <w:rPr>
                  <w:rStyle w:val="Hyperlink"/>
                  <w:rFonts w:eastAsia="Calibri" w:cs="Arial"/>
                  <w:sz w:val="14"/>
                  <w:szCs w:val="14"/>
                  <w:lang w:eastAsia="en-US"/>
                </w:rPr>
                <w:t>s243</w:t>
              </w:r>
            </w:hyperlink>
            <w:r w:rsidR="00EA5E24">
              <w:rPr>
                <w:rFonts w:eastAsia="Calibri" w:cs="Arial"/>
                <w:sz w:val="14"/>
                <w:szCs w:val="14"/>
                <w:lang w:eastAsia="en-US"/>
              </w:rPr>
              <w:t>. Maximum amount for medical and other costs $8,910.</w:t>
            </w:r>
          </w:p>
        </w:tc>
        <w:tc>
          <w:tcPr>
            <w:tcW w:w="1162" w:type="dxa"/>
            <w:shd w:val="clear" w:color="auto" w:fill="FFC9C9"/>
            <w:tcMar>
              <w:top w:w="80" w:type="dxa"/>
              <w:left w:w="80" w:type="dxa"/>
              <w:bottom w:w="80" w:type="dxa"/>
              <w:right w:w="80" w:type="dxa"/>
            </w:tcMar>
          </w:tcPr>
          <w:p w14:paraId="19162504"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No</w:t>
            </w:r>
          </w:p>
        </w:tc>
        <w:tc>
          <w:tcPr>
            <w:tcW w:w="1163" w:type="dxa"/>
            <w:shd w:val="clear" w:color="auto" w:fill="FFC9C9"/>
            <w:tcMar>
              <w:top w:w="80" w:type="dxa"/>
              <w:left w:w="80" w:type="dxa"/>
              <w:bottom w:w="80" w:type="dxa"/>
              <w:right w:w="80" w:type="dxa"/>
            </w:tcMar>
          </w:tcPr>
          <w:p w14:paraId="0196D5D6"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 xml:space="preserve">No </w:t>
            </w:r>
          </w:p>
        </w:tc>
        <w:tc>
          <w:tcPr>
            <w:tcW w:w="1162" w:type="dxa"/>
            <w:shd w:val="clear" w:color="auto" w:fill="FFC9C9"/>
            <w:tcMar>
              <w:top w:w="80" w:type="dxa"/>
              <w:left w:w="80" w:type="dxa"/>
              <w:bottom w:w="80" w:type="dxa"/>
              <w:right w:w="80" w:type="dxa"/>
            </w:tcMar>
          </w:tcPr>
          <w:p w14:paraId="12961BE2" w14:textId="72AB90AA" w:rsidR="00570B9E" w:rsidRPr="00570B9E" w:rsidRDefault="00F6068C" w:rsidP="007670EA">
            <w:pPr>
              <w:spacing w:after="0"/>
              <w:rPr>
                <w:rFonts w:eastAsia="Calibri" w:cs="Arial"/>
                <w:sz w:val="14"/>
                <w:szCs w:val="14"/>
                <w:lang w:eastAsia="en-US"/>
              </w:rPr>
            </w:pPr>
            <w:r>
              <w:rPr>
                <w:rFonts w:eastAsia="Calibri" w:cs="Arial"/>
                <w:sz w:val="14"/>
                <w:szCs w:val="14"/>
                <w:lang w:eastAsia="en-US"/>
              </w:rPr>
              <w:t>No</w:t>
            </w:r>
          </w:p>
          <w:p w14:paraId="23B855DE" w14:textId="4B77BBDE"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 xml:space="preserve">However, obliged to offer interim benefits to a worker if the claim has not been determined within 10 days of receipt </w:t>
            </w:r>
            <w:hyperlink r:id="rId352" w:history="1">
              <w:r w:rsidRPr="00570B9E">
                <w:rPr>
                  <w:rFonts w:eastAsia="Calibri" w:cs="Arial"/>
                  <w:color w:val="0000FF"/>
                  <w:sz w:val="14"/>
                  <w:szCs w:val="14"/>
                  <w:u w:val="single"/>
                  <w:lang w:eastAsia="en-US"/>
                </w:rPr>
                <w:t>s32</w:t>
              </w:r>
            </w:hyperlink>
          </w:p>
        </w:tc>
        <w:tc>
          <w:tcPr>
            <w:tcW w:w="1163" w:type="dxa"/>
            <w:shd w:val="clear" w:color="auto" w:fill="FFC9C9"/>
            <w:tcMar>
              <w:top w:w="80" w:type="dxa"/>
              <w:left w:w="80" w:type="dxa"/>
              <w:bottom w:w="80" w:type="dxa"/>
              <w:right w:w="80" w:type="dxa"/>
            </w:tcMar>
          </w:tcPr>
          <w:p w14:paraId="5BB5BADC" w14:textId="3AD9B7C1"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 xml:space="preserve">Yes, employer obliged to commence weekly payments — </w:t>
            </w:r>
            <w:hyperlink r:id="rId353" w:history="1">
              <w:r w:rsidRPr="00570B9E">
                <w:rPr>
                  <w:rFonts w:eastAsia="Calibri" w:cs="Arial"/>
                  <w:color w:val="0000FF"/>
                  <w:sz w:val="14"/>
                  <w:szCs w:val="14"/>
                  <w:u w:val="single"/>
                  <w:lang w:eastAsia="en-US"/>
                </w:rPr>
                <w:t>s81</w:t>
              </w:r>
            </w:hyperlink>
            <w:r w:rsidRPr="00570B9E">
              <w:rPr>
                <w:rFonts w:eastAsia="Calibri" w:cs="Arial"/>
                <w:sz w:val="14"/>
                <w:szCs w:val="14"/>
                <w:lang w:eastAsia="en-US"/>
              </w:rPr>
              <w:t>.</w:t>
            </w:r>
            <w:r w:rsidR="00DD0D68">
              <w:rPr>
                <w:rFonts w:eastAsia="Calibri" w:cs="Arial"/>
                <w:sz w:val="14"/>
                <w:szCs w:val="14"/>
                <w:lang w:eastAsia="en-US"/>
              </w:rPr>
              <w:t xml:space="preserve"> </w:t>
            </w:r>
            <w:r w:rsidRPr="00570B9E">
              <w:rPr>
                <w:rFonts w:eastAsia="Calibri" w:cs="Arial"/>
                <w:sz w:val="14"/>
                <w:szCs w:val="14"/>
                <w:lang w:eastAsia="en-US"/>
              </w:rPr>
              <w:t xml:space="preserve">Payments are not an admission of liability — </w:t>
            </w:r>
            <w:hyperlink r:id="rId354" w:history="1">
              <w:r w:rsidRPr="00570B9E">
                <w:rPr>
                  <w:rFonts w:eastAsia="Calibri" w:cs="Arial"/>
                  <w:color w:val="0000FF"/>
                  <w:sz w:val="14"/>
                  <w:szCs w:val="14"/>
                  <w:u w:val="single"/>
                  <w:lang w:eastAsia="en-US"/>
                </w:rPr>
                <w:t>s81AA</w:t>
              </w:r>
            </w:hyperlink>
          </w:p>
        </w:tc>
        <w:tc>
          <w:tcPr>
            <w:tcW w:w="1162" w:type="dxa"/>
            <w:shd w:val="clear" w:color="auto" w:fill="FFC9C9"/>
            <w:tcMar>
              <w:top w:w="80" w:type="dxa"/>
              <w:left w:w="80" w:type="dxa"/>
              <w:bottom w:w="80" w:type="dxa"/>
              <w:right w:w="80" w:type="dxa"/>
            </w:tcMar>
          </w:tcPr>
          <w:p w14:paraId="65CE6FBF" w14:textId="14E26766"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Liability is deemed accepted if decision not made within 10 working days of receiving claim (</w:t>
            </w:r>
            <w:hyperlink r:id="rId355" w:history="1">
              <w:r w:rsidRPr="00274476">
                <w:rPr>
                  <w:rStyle w:val="Hyperlink"/>
                  <w:rFonts w:eastAsia="Calibri" w:cs="Arial"/>
                  <w:sz w:val="14"/>
                  <w:szCs w:val="14"/>
                  <w:lang w:eastAsia="en-US"/>
                </w:rPr>
                <w:t>s85</w:t>
              </w:r>
            </w:hyperlink>
            <w:r w:rsidRPr="00570B9E">
              <w:rPr>
                <w:rFonts w:eastAsia="Calibri" w:cs="Arial"/>
                <w:sz w:val="14"/>
                <w:szCs w:val="14"/>
                <w:lang w:eastAsia="en-US"/>
              </w:rPr>
              <w:t>).</w:t>
            </w:r>
            <w:r w:rsidR="00DD0D68">
              <w:rPr>
                <w:rFonts w:eastAsia="Calibri" w:cs="Arial"/>
                <w:sz w:val="14"/>
                <w:szCs w:val="14"/>
                <w:lang w:eastAsia="en-US"/>
              </w:rPr>
              <w:t xml:space="preserve"> </w:t>
            </w:r>
            <w:r w:rsidRPr="00570B9E">
              <w:rPr>
                <w:rFonts w:eastAsia="Calibri" w:cs="Arial"/>
                <w:sz w:val="14"/>
                <w:szCs w:val="14"/>
                <w:lang w:eastAsia="en-US"/>
              </w:rPr>
              <w:t>Liability continues until 14 days after the employer notifi</w:t>
            </w:r>
            <w:r w:rsidR="00F6068C">
              <w:rPr>
                <w:rFonts w:eastAsia="Calibri" w:cs="Arial"/>
                <w:sz w:val="14"/>
                <w:szCs w:val="14"/>
                <w:lang w:eastAsia="en-US"/>
              </w:rPr>
              <w:t>es the claimant of the decision</w:t>
            </w:r>
          </w:p>
        </w:tc>
        <w:tc>
          <w:tcPr>
            <w:tcW w:w="1163" w:type="dxa"/>
            <w:shd w:val="clear" w:color="auto" w:fill="FFC9C9"/>
            <w:tcMar>
              <w:top w:w="80" w:type="dxa"/>
              <w:left w:w="80" w:type="dxa"/>
              <w:bottom w:w="80" w:type="dxa"/>
              <w:right w:w="80" w:type="dxa"/>
            </w:tcMar>
          </w:tcPr>
          <w:p w14:paraId="3BA1ECD2" w14:textId="77777777" w:rsidR="00570B9E" w:rsidRPr="00570B9E" w:rsidRDefault="00570B9E" w:rsidP="007670EA">
            <w:pPr>
              <w:spacing w:after="0"/>
              <w:rPr>
                <w:rFonts w:eastAsia="Calibri" w:cs="Arial"/>
                <w:sz w:val="14"/>
                <w:szCs w:val="14"/>
                <w:lang w:eastAsia="en-US"/>
              </w:rPr>
            </w:pPr>
          </w:p>
        </w:tc>
        <w:tc>
          <w:tcPr>
            <w:tcW w:w="1162" w:type="dxa"/>
            <w:shd w:val="clear" w:color="auto" w:fill="FFC9C9"/>
            <w:tcMar>
              <w:top w:w="80" w:type="dxa"/>
              <w:left w:w="80" w:type="dxa"/>
              <w:bottom w:w="80" w:type="dxa"/>
              <w:right w:w="80" w:type="dxa"/>
            </w:tcMar>
          </w:tcPr>
          <w:p w14:paraId="4E07067C"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c>
          <w:tcPr>
            <w:tcW w:w="1163" w:type="dxa"/>
            <w:shd w:val="clear" w:color="auto" w:fill="FFC9C9"/>
            <w:tcMar>
              <w:top w:w="80" w:type="dxa"/>
              <w:left w:w="80" w:type="dxa"/>
              <w:bottom w:w="80" w:type="dxa"/>
              <w:right w:w="80" w:type="dxa"/>
            </w:tcMar>
          </w:tcPr>
          <w:p w14:paraId="7E90A6D9"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p w14:paraId="0E5DD0F1" w14:textId="77777777" w:rsidR="00570B9E" w:rsidRPr="00570B9E" w:rsidRDefault="00570B9E" w:rsidP="007670EA">
            <w:pPr>
              <w:spacing w:after="0"/>
              <w:rPr>
                <w:rFonts w:eastAsia="Calibri" w:cs="Arial"/>
                <w:sz w:val="14"/>
                <w:szCs w:val="14"/>
                <w:lang w:eastAsia="en-US"/>
              </w:rPr>
            </w:pPr>
          </w:p>
        </w:tc>
        <w:tc>
          <w:tcPr>
            <w:tcW w:w="1162" w:type="dxa"/>
            <w:shd w:val="clear" w:color="auto" w:fill="FFC9C9"/>
            <w:tcMar>
              <w:top w:w="80" w:type="dxa"/>
              <w:left w:w="80" w:type="dxa"/>
              <w:bottom w:w="80" w:type="dxa"/>
              <w:right w:w="80" w:type="dxa"/>
            </w:tcMar>
          </w:tcPr>
          <w:p w14:paraId="402555A3"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p w14:paraId="73532EDF" w14:textId="77777777" w:rsidR="00570B9E" w:rsidRPr="00570B9E" w:rsidRDefault="00570B9E" w:rsidP="007670EA">
            <w:pPr>
              <w:spacing w:after="0"/>
              <w:rPr>
                <w:rFonts w:eastAsia="Calibri" w:cs="Arial"/>
                <w:sz w:val="14"/>
                <w:szCs w:val="14"/>
                <w:lang w:eastAsia="en-US"/>
              </w:rPr>
            </w:pPr>
          </w:p>
        </w:tc>
        <w:tc>
          <w:tcPr>
            <w:tcW w:w="1163" w:type="dxa"/>
            <w:shd w:val="clear" w:color="auto" w:fill="FFC9C9"/>
            <w:tcMar>
              <w:top w:w="80" w:type="dxa"/>
              <w:left w:w="80" w:type="dxa"/>
              <w:bottom w:w="80" w:type="dxa"/>
              <w:right w:w="80" w:type="dxa"/>
            </w:tcMar>
          </w:tcPr>
          <w:p w14:paraId="593A06FD"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N/A</w:t>
            </w:r>
          </w:p>
        </w:tc>
      </w:tr>
      <w:tr w:rsidR="00570B9E" w:rsidRPr="00570B9E" w14:paraId="351074DB" w14:textId="77777777" w:rsidTr="007670EA">
        <w:trPr>
          <w:trHeight w:val="92"/>
        </w:trPr>
        <w:tc>
          <w:tcPr>
            <w:tcW w:w="1341" w:type="dxa"/>
            <w:tcMar>
              <w:top w:w="80" w:type="dxa"/>
              <w:left w:w="80" w:type="dxa"/>
              <w:bottom w:w="80" w:type="dxa"/>
              <w:right w:w="80" w:type="dxa"/>
            </w:tcMar>
          </w:tcPr>
          <w:p w14:paraId="65C55632" w14:textId="77777777" w:rsidR="00570B9E" w:rsidRPr="00570B9E" w:rsidRDefault="00570B9E" w:rsidP="007670EA">
            <w:pPr>
              <w:spacing w:after="0"/>
              <w:rPr>
                <w:rFonts w:eastAsia="Calibri" w:cs="Arial"/>
                <w:b/>
                <w:sz w:val="16"/>
                <w:szCs w:val="16"/>
                <w:lang w:eastAsia="en-US"/>
              </w:rPr>
            </w:pPr>
            <w:r w:rsidRPr="00570B9E">
              <w:rPr>
                <w:rFonts w:eastAsia="Calibri" w:cs="Arial"/>
                <w:b/>
                <w:sz w:val="16"/>
                <w:szCs w:val="16"/>
                <w:lang w:eastAsia="en-US"/>
              </w:rPr>
              <w:t>Timeframes for claim decision</w:t>
            </w:r>
          </w:p>
        </w:tc>
        <w:tc>
          <w:tcPr>
            <w:tcW w:w="1304" w:type="dxa"/>
            <w:tcMar>
              <w:top w:w="80" w:type="dxa"/>
              <w:left w:w="80" w:type="dxa"/>
              <w:bottom w:w="80" w:type="dxa"/>
              <w:right w:w="80" w:type="dxa"/>
            </w:tcMar>
          </w:tcPr>
          <w:p w14:paraId="5E889C98" w14:textId="064F7626" w:rsidR="00885F3B" w:rsidRPr="00885F3B" w:rsidRDefault="00885F3B" w:rsidP="007670EA">
            <w:pPr>
              <w:spacing w:after="0"/>
              <w:rPr>
                <w:rFonts w:eastAsia="Calibri" w:cs="Arial"/>
                <w:sz w:val="14"/>
                <w:szCs w:val="14"/>
                <w:lang w:eastAsia="en-US"/>
              </w:rPr>
            </w:pPr>
            <w:r w:rsidRPr="00885F3B">
              <w:rPr>
                <w:rFonts w:eastAsia="Calibri" w:cs="Arial"/>
                <w:sz w:val="14"/>
                <w:szCs w:val="14"/>
                <w:lang w:eastAsia="en-US"/>
              </w:rPr>
              <w:t xml:space="preserve">Provisional liability within seven days after notification of injury for up to 12 weeks of weekly </w:t>
            </w:r>
            <w:r w:rsidR="009B58A5">
              <w:rPr>
                <w:rFonts w:eastAsia="Calibri" w:cs="Arial"/>
                <w:sz w:val="14"/>
                <w:szCs w:val="14"/>
                <w:lang w:eastAsia="en-US"/>
              </w:rPr>
              <w:lastRenderedPageBreak/>
              <w:t>p</w:t>
            </w:r>
            <w:r w:rsidRPr="00885F3B">
              <w:rPr>
                <w:rFonts w:eastAsia="Calibri" w:cs="Arial"/>
                <w:sz w:val="14"/>
                <w:szCs w:val="14"/>
                <w:lang w:eastAsia="en-US"/>
              </w:rPr>
              <w:t xml:space="preserve">ayments and/or medical costs up to </w:t>
            </w:r>
          </w:p>
          <w:p w14:paraId="39EC6AA8" w14:textId="5528D89C" w:rsidR="00885F3B" w:rsidRPr="00885F3B" w:rsidRDefault="00885F3B" w:rsidP="007670EA">
            <w:pPr>
              <w:spacing w:after="0"/>
              <w:rPr>
                <w:rFonts w:eastAsia="Calibri" w:cs="Arial"/>
                <w:sz w:val="14"/>
                <w:szCs w:val="14"/>
                <w:lang w:eastAsia="en-US"/>
              </w:rPr>
            </w:pPr>
            <w:r w:rsidRPr="00885F3B">
              <w:rPr>
                <w:rFonts w:eastAsia="Calibri" w:cs="Arial"/>
                <w:sz w:val="14"/>
                <w:szCs w:val="14"/>
                <w:lang w:eastAsia="en-US"/>
              </w:rPr>
              <w:t>$7</w:t>
            </w:r>
            <w:r w:rsidR="00A724E3">
              <w:rPr>
                <w:rFonts w:eastAsia="Calibri" w:cs="Arial"/>
                <w:sz w:val="14"/>
                <w:szCs w:val="14"/>
                <w:lang w:eastAsia="en-US"/>
              </w:rPr>
              <w:t>,</w:t>
            </w:r>
            <w:r w:rsidR="00F6068C">
              <w:rPr>
                <w:rFonts w:eastAsia="Calibri" w:cs="Arial"/>
                <w:sz w:val="14"/>
                <w:szCs w:val="14"/>
                <w:lang w:eastAsia="en-US"/>
              </w:rPr>
              <w:t xml:space="preserve">500 — </w:t>
            </w:r>
            <w:hyperlink r:id="rId356" w:history="1">
              <w:r w:rsidR="00F6068C" w:rsidRPr="00A724E3">
                <w:rPr>
                  <w:rStyle w:val="Hyperlink"/>
                  <w:rFonts w:eastAsia="Calibri" w:cs="Arial"/>
                  <w:sz w:val="14"/>
                  <w:szCs w:val="14"/>
                  <w:lang w:eastAsia="en-US"/>
                </w:rPr>
                <w:t>s274</w:t>
              </w:r>
            </w:hyperlink>
            <w:r w:rsidR="00F6068C">
              <w:rPr>
                <w:rFonts w:eastAsia="Calibri" w:cs="Arial"/>
                <w:sz w:val="14"/>
                <w:szCs w:val="14"/>
                <w:lang w:eastAsia="en-US"/>
              </w:rPr>
              <w:t xml:space="preserve"> and </w:t>
            </w:r>
            <w:hyperlink r:id="rId357" w:history="1">
              <w:r w:rsidR="00F6068C" w:rsidRPr="00A724E3">
                <w:rPr>
                  <w:rStyle w:val="Hyperlink"/>
                  <w:rFonts w:eastAsia="Calibri" w:cs="Arial"/>
                  <w:sz w:val="14"/>
                  <w:szCs w:val="14"/>
                  <w:lang w:eastAsia="en-US"/>
                </w:rPr>
                <w:t>s280</w:t>
              </w:r>
            </w:hyperlink>
            <w:r w:rsidR="00F6068C">
              <w:rPr>
                <w:rFonts w:eastAsia="Calibri" w:cs="Arial"/>
                <w:sz w:val="14"/>
                <w:szCs w:val="14"/>
                <w:lang w:eastAsia="en-US"/>
              </w:rPr>
              <w:t>, 1998 Act</w:t>
            </w:r>
          </w:p>
          <w:p w14:paraId="3DC4770A" w14:textId="7189688A" w:rsidR="00570B9E" w:rsidRPr="00570B9E" w:rsidRDefault="00885F3B" w:rsidP="007670EA">
            <w:pPr>
              <w:spacing w:after="0"/>
              <w:rPr>
                <w:rFonts w:eastAsia="Calibri" w:cs="Arial"/>
                <w:sz w:val="14"/>
                <w:szCs w:val="14"/>
                <w:lang w:eastAsia="en-US"/>
              </w:rPr>
            </w:pPr>
            <w:r w:rsidRPr="00885F3B">
              <w:rPr>
                <w:rFonts w:eastAsia="Calibri" w:cs="Arial"/>
                <w:sz w:val="14"/>
                <w:szCs w:val="14"/>
                <w:lang w:eastAsia="en-US"/>
              </w:rPr>
              <w:t>Decision on claim liability within 21 days of the claim being made</w:t>
            </w:r>
            <w:r w:rsidR="00F6068C">
              <w:rPr>
                <w:rFonts w:eastAsia="Calibri" w:cs="Arial"/>
                <w:sz w:val="14"/>
                <w:szCs w:val="14"/>
                <w:lang w:eastAsia="en-US"/>
              </w:rPr>
              <w:t xml:space="preserve"> —</w:t>
            </w:r>
            <w:hyperlink r:id="rId358" w:history="1">
              <w:r w:rsidR="00F6068C" w:rsidRPr="00A724E3">
                <w:rPr>
                  <w:rStyle w:val="Hyperlink"/>
                  <w:rFonts w:eastAsia="Calibri" w:cs="Arial"/>
                  <w:sz w:val="14"/>
                  <w:szCs w:val="14"/>
                  <w:lang w:eastAsia="en-US"/>
                </w:rPr>
                <w:t>s274(1)</w:t>
              </w:r>
            </w:hyperlink>
            <w:r w:rsidR="00F6068C">
              <w:rPr>
                <w:rFonts w:eastAsia="Calibri" w:cs="Arial"/>
                <w:sz w:val="14"/>
                <w:szCs w:val="14"/>
                <w:lang w:eastAsia="en-US"/>
              </w:rPr>
              <w:t xml:space="preserve"> and </w:t>
            </w:r>
            <w:hyperlink r:id="rId359" w:history="1">
              <w:r w:rsidR="00F6068C" w:rsidRPr="00A724E3">
                <w:rPr>
                  <w:rStyle w:val="Hyperlink"/>
                  <w:rFonts w:eastAsia="Calibri" w:cs="Arial"/>
                  <w:sz w:val="14"/>
                  <w:szCs w:val="14"/>
                  <w:lang w:eastAsia="en-US"/>
                </w:rPr>
                <w:t>s279(1)</w:t>
              </w:r>
            </w:hyperlink>
            <w:r w:rsidR="00F6068C">
              <w:rPr>
                <w:rFonts w:eastAsia="Calibri" w:cs="Arial"/>
                <w:sz w:val="14"/>
                <w:szCs w:val="14"/>
                <w:lang w:eastAsia="en-US"/>
              </w:rPr>
              <w:t>, 1998 Act</w:t>
            </w:r>
          </w:p>
        </w:tc>
        <w:tc>
          <w:tcPr>
            <w:tcW w:w="1163" w:type="dxa"/>
            <w:tcMar>
              <w:top w:w="80" w:type="dxa"/>
              <w:left w:w="80" w:type="dxa"/>
              <w:bottom w:w="80" w:type="dxa"/>
              <w:right w:w="80" w:type="dxa"/>
            </w:tcMar>
          </w:tcPr>
          <w:p w14:paraId="35178377" w14:textId="1C2E7B3D"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lastRenderedPageBreak/>
              <w:t xml:space="preserve">28 days for weekly payments if received by insurer within </w:t>
            </w:r>
            <w:r w:rsidRPr="00570B9E">
              <w:rPr>
                <w:rFonts w:eastAsia="Calibri" w:cs="Arial"/>
                <w:sz w:val="14"/>
                <w:szCs w:val="14"/>
                <w:lang w:eastAsia="en-US"/>
              </w:rPr>
              <w:lastRenderedPageBreak/>
              <w:t xml:space="preserve">10 days or </w:t>
            </w:r>
            <w:r w:rsidRPr="00570B9E">
              <w:rPr>
                <w:rFonts w:eastAsia="Calibri" w:cs="Arial"/>
                <w:sz w:val="14"/>
                <w:szCs w:val="14"/>
                <w:lang w:eastAsia="en-US"/>
              </w:rPr>
              <w:br/>
              <w:t xml:space="preserve">39 days in other circumstances— </w:t>
            </w:r>
            <w:hyperlink r:id="rId360" w:history="1">
              <w:r w:rsidRPr="00A724E3">
                <w:rPr>
                  <w:rStyle w:val="Hyperlink"/>
                  <w:rFonts w:eastAsia="Calibri" w:cs="Arial"/>
                  <w:sz w:val="14"/>
                  <w:szCs w:val="14"/>
                  <w:lang w:eastAsia="en-US"/>
                </w:rPr>
                <w:t>s75</w:t>
              </w:r>
            </w:hyperlink>
          </w:p>
        </w:tc>
        <w:tc>
          <w:tcPr>
            <w:tcW w:w="1162" w:type="dxa"/>
            <w:tcMar>
              <w:top w:w="80" w:type="dxa"/>
              <w:left w:w="80" w:type="dxa"/>
              <w:bottom w:w="80" w:type="dxa"/>
              <w:right w:w="80" w:type="dxa"/>
            </w:tcMar>
          </w:tcPr>
          <w:p w14:paraId="621B34FC" w14:textId="0D639C66"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lastRenderedPageBreak/>
              <w:t xml:space="preserve">No statute for deemed acceptance or rejection, however claims </w:t>
            </w:r>
            <w:r w:rsidRPr="00570B9E">
              <w:rPr>
                <w:rFonts w:eastAsia="Calibri" w:cs="Arial"/>
                <w:sz w:val="14"/>
                <w:szCs w:val="14"/>
                <w:lang w:eastAsia="en-US"/>
              </w:rPr>
              <w:lastRenderedPageBreak/>
              <w:t>must be determined within 20 business</w:t>
            </w:r>
            <w:r w:rsidR="00F6068C">
              <w:rPr>
                <w:rFonts w:eastAsia="Calibri" w:cs="Arial"/>
                <w:sz w:val="14"/>
                <w:szCs w:val="14"/>
                <w:lang w:eastAsia="en-US"/>
              </w:rPr>
              <w:t xml:space="preserve"> days — </w:t>
            </w:r>
            <w:hyperlink r:id="rId361" w:anchor="sec.134" w:history="1">
              <w:r w:rsidR="00F6068C" w:rsidRPr="00A724E3">
                <w:rPr>
                  <w:rStyle w:val="Hyperlink"/>
                  <w:rFonts w:eastAsia="Calibri" w:cs="Arial"/>
                  <w:sz w:val="14"/>
                  <w:szCs w:val="14"/>
                  <w:lang w:eastAsia="en-US"/>
                </w:rPr>
                <w:t>s134(2)</w:t>
              </w:r>
            </w:hyperlink>
            <w:r w:rsidR="00F6068C">
              <w:rPr>
                <w:rFonts w:eastAsia="Calibri" w:cs="Arial"/>
                <w:sz w:val="14"/>
                <w:szCs w:val="14"/>
                <w:lang w:eastAsia="en-US"/>
              </w:rPr>
              <w:t xml:space="preserve"> where practical</w:t>
            </w:r>
          </w:p>
        </w:tc>
        <w:tc>
          <w:tcPr>
            <w:tcW w:w="1163" w:type="dxa"/>
            <w:tcMar>
              <w:top w:w="80" w:type="dxa"/>
              <w:left w:w="80" w:type="dxa"/>
              <w:bottom w:w="80" w:type="dxa"/>
              <w:right w:w="80" w:type="dxa"/>
            </w:tcMar>
          </w:tcPr>
          <w:p w14:paraId="48CC8FB2" w14:textId="0F53FF3E" w:rsidR="00570B9E" w:rsidRPr="00570B9E" w:rsidRDefault="00570B9E" w:rsidP="00B52BD8">
            <w:pPr>
              <w:spacing w:after="0"/>
              <w:rPr>
                <w:rFonts w:eastAsia="Calibri" w:cs="Arial"/>
                <w:sz w:val="14"/>
                <w:szCs w:val="14"/>
                <w:lang w:eastAsia="en-US"/>
              </w:rPr>
            </w:pPr>
            <w:r w:rsidRPr="00570B9E">
              <w:rPr>
                <w:rFonts w:eastAsia="Calibri" w:cs="Arial"/>
                <w:sz w:val="14"/>
                <w:szCs w:val="14"/>
                <w:lang w:eastAsia="en-US"/>
              </w:rPr>
              <w:lastRenderedPageBreak/>
              <w:t>Insurers have up to</w:t>
            </w:r>
            <w:r w:rsidRPr="00570B9E">
              <w:rPr>
                <w:rFonts w:eastAsia="Calibri" w:cs="Arial"/>
                <w:sz w:val="14"/>
                <w:szCs w:val="14"/>
                <w:lang w:eastAsia="en-US"/>
              </w:rPr>
              <w:br/>
              <w:t xml:space="preserve">14 days </w:t>
            </w:r>
            <w:r w:rsidR="00B52BD8">
              <w:rPr>
                <w:rFonts w:eastAsia="Calibri" w:cs="Arial"/>
                <w:sz w:val="14"/>
                <w:szCs w:val="14"/>
                <w:lang w:eastAsia="en-US"/>
              </w:rPr>
              <w:t>—</w:t>
            </w:r>
            <w:hyperlink r:id="rId362" w:history="1">
              <w:r w:rsidRPr="00274476">
                <w:rPr>
                  <w:rStyle w:val="Hyperlink"/>
                  <w:rFonts w:eastAsia="Calibri" w:cs="Arial"/>
                  <w:sz w:val="14"/>
                  <w:szCs w:val="14"/>
                  <w:lang w:eastAsia="en-US"/>
                </w:rPr>
                <w:t>s57A(3)</w:t>
              </w:r>
            </w:hyperlink>
          </w:p>
        </w:tc>
        <w:tc>
          <w:tcPr>
            <w:tcW w:w="1162" w:type="dxa"/>
            <w:tcMar>
              <w:top w:w="80" w:type="dxa"/>
              <w:left w:w="80" w:type="dxa"/>
              <w:bottom w:w="80" w:type="dxa"/>
              <w:right w:w="80" w:type="dxa"/>
            </w:tcMar>
          </w:tcPr>
          <w:p w14:paraId="6AB18BEF" w14:textId="560163BB"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 xml:space="preserve">10 Business days — </w:t>
            </w:r>
            <w:hyperlink r:id="rId363" w:history="1">
              <w:r w:rsidRPr="00570B9E">
                <w:rPr>
                  <w:rFonts w:eastAsia="Calibri" w:cs="Arial"/>
                  <w:color w:val="0000FF"/>
                  <w:sz w:val="14"/>
                  <w:szCs w:val="14"/>
                  <w:u w:val="single"/>
                  <w:lang w:eastAsia="en-US"/>
                </w:rPr>
                <w:t>s31(4)</w:t>
              </w:r>
            </w:hyperlink>
            <w:r w:rsidR="00F6068C">
              <w:rPr>
                <w:rFonts w:eastAsia="Calibri" w:cs="Arial"/>
                <w:sz w:val="14"/>
                <w:szCs w:val="14"/>
                <w:lang w:eastAsia="en-US"/>
              </w:rPr>
              <w:t xml:space="preserve"> (wherever practicable)</w:t>
            </w:r>
          </w:p>
        </w:tc>
        <w:tc>
          <w:tcPr>
            <w:tcW w:w="1163" w:type="dxa"/>
            <w:tcMar>
              <w:top w:w="80" w:type="dxa"/>
              <w:left w:w="80" w:type="dxa"/>
              <w:bottom w:w="80" w:type="dxa"/>
              <w:right w:w="80" w:type="dxa"/>
            </w:tcMar>
          </w:tcPr>
          <w:p w14:paraId="45C9F143" w14:textId="0E5BCE16"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 xml:space="preserve">If the liability has not been disputed via a referral to the Tribunal within </w:t>
            </w:r>
            <w:r w:rsidRPr="00570B9E">
              <w:rPr>
                <w:rFonts w:eastAsia="Calibri" w:cs="Arial"/>
                <w:sz w:val="14"/>
                <w:szCs w:val="14"/>
                <w:lang w:eastAsia="en-US"/>
              </w:rPr>
              <w:lastRenderedPageBreak/>
              <w:t xml:space="preserve">84 days, the liability is taken to have been accepted. — </w:t>
            </w:r>
            <w:hyperlink r:id="rId364" w:history="1">
              <w:r w:rsidRPr="00570B9E">
                <w:rPr>
                  <w:rFonts w:eastAsia="Calibri" w:cs="Arial"/>
                  <w:color w:val="0000FF"/>
                  <w:sz w:val="14"/>
                  <w:szCs w:val="14"/>
                  <w:u w:val="single"/>
                  <w:lang w:eastAsia="en-US"/>
                </w:rPr>
                <w:t>s81A(1)</w:t>
              </w:r>
            </w:hyperlink>
            <w:r w:rsidRPr="00570B9E">
              <w:rPr>
                <w:rFonts w:eastAsia="Calibri" w:cs="Arial"/>
                <w:sz w:val="14"/>
                <w:szCs w:val="14"/>
                <w:lang w:eastAsia="en-US"/>
              </w:rPr>
              <w:t xml:space="preserve">, </w:t>
            </w:r>
            <w:hyperlink r:id="rId365" w:history="1">
              <w:r w:rsidRPr="00570B9E">
                <w:rPr>
                  <w:rFonts w:eastAsia="Calibri" w:cs="Arial"/>
                  <w:color w:val="0000FF"/>
                  <w:sz w:val="14"/>
                  <w:szCs w:val="14"/>
                  <w:u w:val="single"/>
                  <w:lang w:eastAsia="en-US"/>
                </w:rPr>
                <w:t>s81AB</w:t>
              </w:r>
            </w:hyperlink>
          </w:p>
        </w:tc>
        <w:tc>
          <w:tcPr>
            <w:tcW w:w="1162" w:type="dxa"/>
            <w:tcMar>
              <w:top w:w="80" w:type="dxa"/>
              <w:left w:w="80" w:type="dxa"/>
              <w:bottom w:w="80" w:type="dxa"/>
              <w:right w:w="80" w:type="dxa"/>
            </w:tcMar>
          </w:tcPr>
          <w:p w14:paraId="6F3974FF" w14:textId="54469011"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lastRenderedPageBreak/>
              <w:t xml:space="preserve">10 working days after receipt by employer if no decision has </w:t>
            </w:r>
            <w:r w:rsidRPr="00570B9E">
              <w:rPr>
                <w:rFonts w:eastAsia="Calibri" w:cs="Arial"/>
                <w:sz w:val="14"/>
                <w:szCs w:val="14"/>
                <w:lang w:eastAsia="en-US"/>
              </w:rPr>
              <w:lastRenderedPageBreak/>
              <w:t xml:space="preserve">been made — </w:t>
            </w:r>
            <w:hyperlink r:id="rId366" w:history="1">
              <w:r w:rsidRPr="00274476">
                <w:rPr>
                  <w:rStyle w:val="Hyperlink"/>
                  <w:rFonts w:eastAsia="Calibri" w:cs="Arial"/>
                  <w:sz w:val="14"/>
                  <w:szCs w:val="14"/>
                  <w:lang w:eastAsia="en-US"/>
                </w:rPr>
                <w:t>s85(1)</w:t>
              </w:r>
            </w:hyperlink>
            <w:r w:rsidRPr="00570B9E">
              <w:rPr>
                <w:rFonts w:eastAsia="Calibri" w:cs="Arial"/>
                <w:sz w:val="14"/>
                <w:szCs w:val="14"/>
                <w:lang w:eastAsia="en-US"/>
              </w:rPr>
              <w:t xml:space="preserve"> and </w:t>
            </w:r>
            <w:hyperlink r:id="rId367" w:history="1">
              <w:r w:rsidRPr="00274476">
                <w:rPr>
                  <w:rStyle w:val="Hyperlink"/>
                  <w:rFonts w:eastAsia="Calibri" w:cs="Arial"/>
                  <w:sz w:val="14"/>
                  <w:szCs w:val="14"/>
                  <w:lang w:eastAsia="en-US"/>
                </w:rPr>
                <w:t>s87</w:t>
              </w:r>
            </w:hyperlink>
          </w:p>
        </w:tc>
        <w:tc>
          <w:tcPr>
            <w:tcW w:w="1163" w:type="dxa"/>
            <w:tcMar>
              <w:top w:w="80" w:type="dxa"/>
              <w:left w:w="80" w:type="dxa"/>
              <w:bottom w:w="80" w:type="dxa"/>
              <w:right w:w="80" w:type="dxa"/>
            </w:tcMar>
          </w:tcPr>
          <w:p w14:paraId="0A4A5CCA" w14:textId="2E7BE4A8"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lastRenderedPageBreak/>
              <w:t xml:space="preserve">28 days — </w:t>
            </w:r>
            <w:hyperlink r:id="rId368" w:history="1">
              <w:r w:rsidRPr="00274476">
                <w:rPr>
                  <w:rStyle w:val="Hyperlink"/>
                  <w:rFonts w:eastAsia="Calibri" w:cs="Arial"/>
                  <w:sz w:val="14"/>
                  <w:szCs w:val="14"/>
                  <w:lang w:eastAsia="en-US"/>
                </w:rPr>
                <w:t>s128(1)</w:t>
              </w:r>
            </w:hyperlink>
          </w:p>
        </w:tc>
        <w:tc>
          <w:tcPr>
            <w:tcW w:w="1162" w:type="dxa"/>
            <w:tcMar>
              <w:top w:w="80" w:type="dxa"/>
              <w:left w:w="80" w:type="dxa"/>
              <w:bottom w:w="80" w:type="dxa"/>
              <w:right w:w="80" w:type="dxa"/>
            </w:tcMar>
          </w:tcPr>
          <w:p w14:paraId="5158849A" w14:textId="55BCBD38" w:rsidR="00F6068C" w:rsidRDefault="00570B9E" w:rsidP="007670EA">
            <w:pPr>
              <w:spacing w:after="0"/>
              <w:rPr>
                <w:rFonts w:eastAsia="Calibri" w:cs="Arial"/>
                <w:sz w:val="14"/>
                <w:szCs w:val="14"/>
                <w:lang w:eastAsia="en-US"/>
              </w:rPr>
            </w:pPr>
            <w:r w:rsidRPr="00570B9E">
              <w:rPr>
                <w:rFonts w:eastAsia="Calibri" w:cs="Arial"/>
                <w:sz w:val="14"/>
                <w:szCs w:val="14"/>
                <w:lang w:eastAsia="en-US"/>
              </w:rPr>
              <w:t>No legislated</w:t>
            </w:r>
            <w:r w:rsidR="00F6068C">
              <w:rPr>
                <w:rFonts w:eastAsia="Calibri" w:cs="Arial"/>
                <w:sz w:val="14"/>
                <w:szCs w:val="14"/>
                <w:lang w:eastAsia="en-US"/>
              </w:rPr>
              <w:t xml:space="preserve"> timeframes for claim decisions</w:t>
            </w:r>
            <w:r w:rsidRPr="00570B9E">
              <w:rPr>
                <w:rFonts w:eastAsia="Calibri" w:cs="Arial"/>
                <w:sz w:val="14"/>
                <w:szCs w:val="14"/>
                <w:lang w:eastAsia="en-US"/>
              </w:rPr>
              <w:t xml:space="preserve"> </w:t>
            </w:r>
          </w:p>
          <w:p w14:paraId="61D6787D" w14:textId="30807C87" w:rsidR="00570B9E" w:rsidRPr="00570B9E" w:rsidRDefault="00F6068C" w:rsidP="00B52BD8">
            <w:pPr>
              <w:spacing w:after="0"/>
              <w:rPr>
                <w:rFonts w:eastAsia="Calibri" w:cs="Arial"/>
                <w:sz w:val="14"/>
                <w:szCs w:val="14"/>
                <w:lang w:eastAsia="en-US"/>
              </w:rPr>
            </w:pPr>
            <w:r>
              <w:rPr>
                <w:rFonts w:eastAsia="Calibri" w:cs="Arial"/>
                <w:sz w:val="14"/>
                <w:szCs w:val="14"/>
                <w:lang w:eastAsia="en-US"/>
              </w:rPr>
              <w:t>D</w:t>
            </w:r>
            <w:r w:rsidR="00570B9E" w:rsidRPr="00570B9E">
              <w:rPr>
                <w:rFonts w:eastAsia="Calibri" w:cs="Arial"/>
                <w:sz w:val="14"/>
                <w:szCs w:val="14"/>
                <w:lang w:eastAsia="en-US"/>
              </w:rPr>
              <w:t xml:space="preserve">etermining authorities are </w:t>
            </w:r>
            <w:r w:rsidR="00570B9E" w:rsidRPr="00570B9E">
              <w:rPr>
                <w:rFonts w:eastAsia="Calibri" w:cs="Arial"/>
                <w:sz w:val="14"/>
                <w:szCs w:val="14"/>
                <w:lang w:eastAsia="en-US"/>
              </w:rPr>
              <w:lastRenderedPageBreak/>
              <w:t xml:space="preserve">required to make determinations accurately and quickly </w:t>
            </w:r>
            <w:r w:rsidR="00B52BD8">
              <w:rPr>
                <w:rFonts w:eastAsia="Calibri" w:cs="Arial"/>
                <w:sz w:val="14"/>
                <w:szCs w:val="14"/>
                <w:lang w:eastAsia="en-US"/>
              </w:rPr>
              <w:t>—</w:t>
            </w:r>
            <w:r w:rsidR="00B52BD8" w:rsidRPr="00570B9E">
              <w:rPr>
                <w:rFonts w:eastAsia="Calibri" w:cs="Arial"/>
                <w:sz w:val="14"/>
                <w:szCs w:val="14"/>
                <w:lang w:eastAsia="en-US"/>
              </w:rPr>
              <w:t xml:space="preserve"> </w:t>
            </w:r>
            <w:hyperlink r:id="rId369" w:history="1">
              <w:r w:rsidR="00570B9E" w:rsidRPr="00C748F6">
                <w:rPr>
                  <w:rStyle w:val="Hyperlink"/>
                  <w:rFonts w:eastAsia="Calibri" w:cs="Arial"/>
                  <w:sz w:val="14"/>
                  <w:szCs w:val="14"/>
                  <w:lang w:eastAsia="en-US"/>
                </w:rPr>
                <w:t>s69(a)</w:t>
              </w:r>
            </w:hyperlink>
            <w:r w:rsidR="00570B9E" w:rsidRPr="00570B9E">
              <w:rPr>
                <w:rFonts w:eastAsia="Calibri" w:cs="Arial"/>
                <w:sz w:val="14"/>
                <w:szCs w:val="14"/>
                <w:lang w:eastAsia="en-US"/>
              </w:rPr>
              <w:t xml:space="preserve"> and </w:t>
            </w:r>
            <w:hyperlink r:id="rId370" w:history="1">
              <w:r w:rsidR="00AF0F2D">
                <w:rPr>
                  <w:rStyle w:val="Hyperlink"/>
                  <w:rFonts w:eastAsia="Calibri" w:cs="Arial"/>
                  <w:sz w:val="14"/>
                  <w:szCs w:val="14"/>
                  <w:lang w:eastAsia="en-US"/>
                </w:rPr>
                <w:t>108E(b)</w:t>
              </w:r>
            </w:hyperlink>
          </w:p>
        </w:tc>
        <w:tc>
          <w:tcPr>
            <w:tcW w:w="1163" w:type="dxa"/>
            <w:tcMar>
              <w:top w:w="80" w:type="dxa"/>
              <w:left w:w="80" w:type="dxa"/>
              <w:bottom w:w="80" w:type="dxa"/>
              <w:right w:w="80" w:type="dxa"/>
            </w:tcMar>
          </w:tcPr>
          <w:p w14:paraId="7BD93BB5" w14:textId="2BCC0735" w:rsidR="00570B9E" w:rsidRPr="00570B9E" w:rsidRDefault="00570B9E" w:rsidP="000B02C9">
            <w:pPr>
              <w:spacing w:after="0"/>
              <w:rPr>
                <w:rFonts w:eastAsia="Calibri" w:cs="Arial"/>
                <w:sz w:val="14"/>
                <w:szCs w:val="14"/>
                <w:lang w:eastAsia="en-US"/>
              </w:rPr>
            </w:pPr>
            <w:r w:rsidRPr="00570B9E">
              <w:rPr>
                <w:rFonts w:eastAsia="Calibri" w:cs="Arial"/>
                <w:sz w:val="14"/>
                <w:szCs w:val="14"/>
                <w:lang w:eastAsia="en-US"/>
              </w:rPr>
              <w:lastRenderedPageBreak/>
              <w:t xml:space="preserve">Claims are deemed to be rejected if not determined within the </w:t>
            </w:r>
            <w:r w:rsidRPr="00570B9E">
              <w:rPr>
                <w:rFonts w:eastAsia="Calibri" w:cs="Arial"/>
                <w:sz w:val="14"/>
                <w:szCs w:val="14"/>
                <w:lang w:eastAsia="en-US"/>
              </w:rPr>
              <w:lastRenderedPageBreak/>
              <w:t xml:space="preserve">following statutory time frames: </w:t>
            </w:r>
            <w:r w:rsidRPr="00570B9E">
              <w:rPr>
                <w:rFonts w:eastAsia="Calibri" w:cs="Arial"/>
                <w:sz w:val="14"/>
                <w:szCs w:val="14"/>
                <w:lang w:eastAsia="en-US"/>
              </w:rPr>
              <w:br/>
              <w:t>60 days for death claims (</w:t>
            </w:r>
            <w:hyperlink r:id="rId371" w:history="1">
              <w:r w:rsidRPr="00C748F6">
                <w:rPr>
                  <w:rStyle w:val="Hyperlink"/>
                  <w:rFonts w:eastAsia="Calibri" w:cs="Arial"/>
                  <w:sz w:val="14"/>
                  <w:szCs w:val="14"/>
                  <w:lang w:eastAsia="en-US"/>
                </w:rPr>
                <w:t>s72</w:t>
              </w:r>
            </w:hyperlink>
            <w:r w:rsidRPr="00570B9E">
              <w:rPr>
                <w:rFonts w:eastAsia="Calibri" w:cs="Arial"/>
                <w:sz w:val="14"/>
                <w:szCs w:val="14"/>
                <w:lang w:eastAsia="en-US"/>
              </w:rPr>
              <w:t>), 12 days for incapacity, loss of property and medical expenses (</w:t>
            </w:r>
            <w:hyperlink r:id="rId372" w:history="1">
              <w:r w:rsidRPr="00C748F6">
                <w:rPr>
                  <w:rStyle w:val="Hyperlink"/>
                  <w:rFonts w:eastAsia="Calibri" w:cs="Arial"/>
                  <w:sz w:val="14"/>
                  <w:szCs w:val="14"/>
                  <w:lang w:eastAsia="en-US"/>
                </w:rPr>
                <w:t>s73</w:t>
              </w:r>
            </w:hyperlink>
            <w:r w:rsidRPr="00570B9E">
              <w:rPr>
                <w:rFonts w:eastAsia="Calibri" w:cs="Arial"/>
                <w:sz w:val="14"/>
                <w:szCs w:val="14"/>
                <w:lang w:eastAsia="en-US"/>
              </w:rPr>
              <w:t>), 30 days for permanent impairment (</w:t>
            </w:r>
            <w:hyperlink r:id="rId373" w:history="1">
              <w:r w:rsidRPr="00C748F6">
                <w:rPr>
                  <w:rStyle w:val="Hyperlink"/>
                  <w:rFonts w:eastAsia="Calibri" w:cs="Arial"/>
                  <w:sz w:val="14"/>
                  <w:szCs w:val="14"/>
                  <w:lang w:eastAsia="en-US"/>
                </w:rPr>
                <w:t>s73A</w:t>
              </w:r>
            </w:hyperlink>
            <w:r w:rsidRPr="00570B9E">
              <w:rPr>
                <w:rFonts w:eastAsia="Calibri" w:cs="Arial"/>
                <w:sz w:val="14"/>
                <w:szCs w:val="14"/>
                <w:lang w:eastAsia="en-US"/>
              </w:rPr>
              <w:t>)</w:t>
            </w:r>
          </w:p>
        </w:tc>
        <w:tc>
          <w:tcPr>
            <w:tcW w:w="1162" w:type="dxa"/>
            <w:tcMar>
              <w:top w:w="80" w:type="dxa"/>
              <w:left w:w="80" w:type="dxa"/>
              <w:bottom w:w="80" w:type="dxa"/>
              <w:right w:w="80" w:type="dxa"/>
            </w:tcMar>
          </w:tcPr>
          <w:p w14:paraId="57D488F6" w14:textId="77777777"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lastRenderedPageBreak/>
              <w:t>N/A</w:t>
            </w:r>
          </w:p>
        </w:tc>
        <w:tc>
          <w:tcPr>
            <w:tcW w:w="1163" w:type="dxa"/>
            <w:tcMar>
              <w:top w:w="80" w:type="dxa"/>
              <w:left w:w="80" w:type="dxa"/>
              <w:bottom w:w="80" w:type="dxa"/>
              <w:right w:w="80" w:type="dxa"/>
            </w:tcMar>
          </w:tcPr>
          <w:p w14:paraId="0F97291A" w14:textId="5F0CB91E" w:rsidR="00570B9E" w:rsidRPr="00570B9E" w:rsidRDefault="00570B9E" w:rsidP="007670EA">
            <w:pPr>
              <w:spacing w:after="0"/>
              <w:rPr>
                <w:rFonts w:eastAsia="Calibri" w:cs="Arial"/>
                <w:sz w:val="14"/>
                <w:szCs w:val="14"/>
                <w:lang w:eastAsia="en-US"/>
              </w:rPr>
            </w:pPr>
            <w:r w:rsidRPr="00570B9E">
              <w:rPr>
                <w:rFonts w:eastAsia="Calibri" w:cs="Arial"/>
                <w:sz w:val="14"/>
                <w:szCs w:val="14"/>
                <w:lang w:eastAsia="en-US"/>
              </w:rPr>
              <w:t xml:space="preserve">The Corporation must make a claim cover decision within </w:t>
            </w:r>
            <w:r w:rsidRPr="00570B9E">
              <w:rPr>
                <w:rFonts w:eastAsia="Calibri" w:cs="Arial"/>
                <w:sz w:val="14"/>
                <w:szCs w:val="14"/>
                <w:lang w:eastAsia="en-US"/>
              </w:rPr>
              <w:lastRenderedPageBreak/>
              <w:t>21 days or seek an extension. If an extension is sought the Corporation must make a decision within 4 months from the date the</w:t>
            </w:r>
            <w:r w:rsidR="00885F3B">
              <w:rPr>
                <w:rFonts w:eastAsia="Calibri" w:cs="Arial"/>
                <w:sz w:val="14"/>
                <w:szCs w:val="14"/>
                <w:lang w:eastAsia="en-US"/>
              </w:rPr>
              <w:t xml:space="preserve"> </w:t>
            </w:r>
            <w:r w:rsidRPr="00570B9E">
              <w:rPr>
                <w:rFonts w:eastAsia="Calibri" w:cs="Arial"/>
                <w:sz w:val="14"/>
                <w:szCs w:val="14"/>
                <w:lang w:eastAsia="en-US"/>
              </w:rPr>
              <w:t xml:space="preserve">claim is lodged. For complicated claims the Corporation has up to 9 months to make a </w:t>
            </w:r>
            <w:r w:rsidR="00885F3B">
              <w:rPr>
                <w:rFonts w:eastAsia="Calibri" w:cs="Arial"/>
                <w:sz w:val="14"/>
                <w:szCs w:val="14"/>
                <w:lang w:eastAsia="en-US"/>
              </w:rPr>
              <w:t>d</w:t>
            </w:r>
            <w:r w:rsidRPr="00570B9E">
              <w:rPr>
                <w:rFonts w:eastAsia="Calibri" w:cs="Arial"/>
                <w:sz w:val="14"/>
                <w:szCs w:val="14"/>
                <w:lang w:eastAsia="en-US"/>
              </w:rPr>
              <w:t xml:space="preserve">ecision — </w:t>
            </w:r>
            <w:hyperlink r:id="rId374" w:history="1">
              <w:r w:rsidRPr="007C4199">
                <w:rPr>
                  <w:rStyle w:val="Hyperlink"/>
                  <w:rFonts w:eastAsia="Calibri" w:cs="Arial"/>
                  <w:sz w:val="14"/>
                  <w:szCs w:val="14"/>
                  <w:lang w:eastAsia="en-US"/>
                </w:rPr>
                <w:t>s56</w:t>
              </w:r>
            </w:hyperlink>
            <w:r w:rsidRPr="00570B9E">
              <w:rPr>
                <w:rFonts w:eastAsia="Calibri" w:cs="Arial"/>
                <w:sz w:val="14"/>
                <w:szCs w:val="14"/>
                <w:lang w:eastAsia="en-US"/>
              </w:rPr>
              <w:t xml:space="preserve"> and </w:t>
            </w:r>
            <w:hyperlink r:id="rId375" w:history="1">
              <w:r w:rsidRPr="007C4199">
                <w:rPr>
                  <w:rStyle w:val="Hyperlink"/>
                  <w:rFonts w:eastAsia="Calibri" w:cs="Arial"/>
                  <w:sz w:val="14"/>
                  <w:szCs w:val="14"/>
                  <w:lang w:eastAsia="en-US"/>
                </w:rPr>
                <w:t>s57</w:t>
              </w:r>
            </w:hyperlink>
          </w:p>
        </w:tc>
      </w:tr>
    </w:tbl>
    <w:p w14:paraId="535FC80E" w14:textId="6B00FA7D" w:rsidR="00C66972" w:rsidRPr="00A80282" w:rsidRDefault="00C66972" w:rsidP="00A80282">
      <w:pPr>
        <w:pStyle w:val="SWATableheader"/>
      </w:pPr>
      <w:bookmarkStart w:id="59" w:name="_Toc504654646"/>
      <w:bookmarkEnd w:id="58"/>
      <w:r w:rsidRPr="00A80282">
        <w:lastRenderedPageBreak/>
        <w:t>Table 2.8: Prescribed time periods for payments</w:t>
      </w:r>
      <w:bookmarkEnd w:id="59"/>
      <w:r w:rsidRPr="00A80282">
        <w:t xml:space="preserve"> </w:t>
      </w:r>
      <w:r w:rsidR="00A95C3B" w:rsidRPr="00A80282">
        <w:fldChar w:fldCharType="begin"/>
      </w:r>
      <w:r w:rsidR="00A95C3B" w:rsidRPr="00A80282">
        <w:instrText xml:space="preserve"> XE "payments:prescribed time periods for payments" \r "payments" </w:instrText>
      </w:r>
      <w:r w:rsidR="00A95C3B" w:rsidRPr="00A80282">
        <w:fldChar w:fldCharType="end"/>
      </w:r>
    </w:p>
    <w:tbl>
      <w:tblPr>
        <w:tblW w:w="1543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8: Prescribed time periods for payments "/>
        <w:tblDescription w:val="This table provides the prescribed time periods for payments under each workers' compensation scheme. "/>
      </w:tblPr>
      <w:tblGrid>
        <w:gridCol w:w="1582"/>
        <w:gridCol w:w="1154"/>
        <w:gridCol w:w="1154"/>
        <w:gridCol w:w="1155"/>
        <w:gridCol w:w="1154"/>
        <w:gridCol w:w="1155"/>
        <w:gridCol w:w="1154"/>
        <w:gridCol w:w="1154"/>
        <w:gridCol w:w="1155"/>
        <w:gridCol w:w="1154"/>
        <w:gridCol w:w="1155"/>
        <w:gridCol w:w="1154"/>
        <w:gridCol w:w="1155"/>
      </w:tblGrid>
      <w:tr w:rsidR="00DD0592" w:rsidRPr="00F842E9" w14:paraId="2EE2CBB2" w14:textId="77777777" w:rsidTr="00FB729B">
        <w:trPr>
          <w:tblHeader/>
        </w:trPr>
        <w:tc>
          <w:tcPr>
            <w:tcW w:w="1582" w:type="dxa"/>
            <w:shd w:val="clear" w:color="auto" w:fill="C00000"/>
            <w:tcMar>
              <w:top w:w="0" w:type="dxa"/>
              <w:left w:w="0" w:type="dxa"/>
              <w:bottom w:w="0" w:type="dxa"/>
              <w:right w:w="0" w:type="dxa"/>
            </w:tcMar>
            <w:vAlign w:val="center"/>
          </w:tcPr>
          <w:p w14:paraId="1C8A9A67" w14:textId="77777777" w:rsidR="00DD0592" w:rsidRPr="00F842E9" w:rsidRDefault="00DD0592" w:rsidP="00B21723">
            <w:pPr>
              <w:pStyle w:val="Tableheaderrow"/>
              <w:spacing w:after="60"/>
            </w:pPr>
            <w:bookmarkStart w:id="60" w:name="payments"/>
          </w:p>
          <w:p w14:paraId="0C5228AE" w14:textId="77777777" w:rsidR="00DD0592" w:rsidRPr="00F842E9" w:rsidRDefault="00DD0592" w:rsidP="00B21723">
            <w:pPr>
              <w:pStyle w:val="Tableheaderrow"/>
              <w:spacing w:after="60"/>
            </w:pPr>
          </w:p>
        </w:tc>
        <w:tc>
          <w:tcPr>
            <w:tcW w:w="1154" w:type="dxa"/>
            <w:shd w:val="clear" w:color="auto" w:fill="C00000"/>
            <w:tcMar>
              <w:top w:w="0" w:type="dxa"/>
              <w:left w:w="0" w:type="dxa"/>
              <w:bottom w:w="0" w:type="dxa"/>
              <w:right w:w="0" w:type="dxa"/>
            </w:tcMar>
            <w:vAlign w:val="center"/>
          </w:tcPr>
          <w:p w14:paraId="46EF44B9" w14:textId="77777777" w:rsidR="00DD0592" w:rsidRPr="00F842E9" w:rsidRDefault="00DD0592" w:rsidP="00B21723">
            <w:pPr>
              <w:pStyle w:val="Tableheaderrow"/>
              <w:spacing w:after="60"/>
            </w:pPr>
            <w:r w:rsidRPr="00F842E9">
              <w:t>New South Wales</w:t>
            </w:r>
          </w:p>
        </w:tc>
        <w:tc>
          <w:tcPr>
            <w:tcW w:w="1154" w:type="dxa"/>
            <w:shd w:val="clear" w:color="auto" w:fill="C00000"/>
            <w:tcMar>
              <w:top w:w="0" w:type="dxa"/>
              <w:left w:w="0" w:type="dxa"/>
              <w:bottom w:w="0" w:type="dxa"/>
              <w:right w:w="0" w:type="dxa"/>
            </w:tcMar>
            <w:vAlign w:val="center"/>
          </w:tcPr>
          <w:p w14:paraId="642C38CF" w14:textId="77777777" w:rsidR="00DD0592" w:rsidRPr="00F842E9" w:rsidRDefault="00DD0592" w:rsidP="00B21723">
            <w:pPr>
              <w:pStyle w:val="Tableheaderrow"/>
              <w:spacing w:after="60"/>
            </w:pPr>
            <w:r w:rsidRPr="00F842E9">
              <w:t>Victoria</w:t>
            </w:r>
          </w:p>
        </w:tc>
        <w:tc>
          <w:tcPr>
            <w:tcW w:w="1155" w:type="dxa"/>
            <w:shd w:val="clear" w:color="auto" w:fill="C00000"/>
            <w:tcMar>
              <w:top w:w="0" w:type="dxa"/>
              <w:left w:w="0" w:type="dxa"/>
              <w:bottom w:w="0" w:type="dxa"/>
              <w:right w:w="0" w:type="dxa"/>
            </w:tcMar>
            <w:vAlign w:val="center"/>
          </w:tcPr>
          <w:p w14:paraId="0F8C419B" w14:textId="77777777" w:rsidR="00DD0592" w:rsidRPr="00F842E9" w:rsidRDefault="00DD0592" w:rsidP="00B21723">
            <w:pPr>
              <w:pStyle w:val="Tableheaderrow"/>
              <w:spacing w:after="60"/>
            </w:pPr>
            <w:r w:rsidRPr="00F842E9">
              <w:t>Queensland</w:t>
            </w:r>
          </w:p>
        </w:tc>
        <w:tc>
          <w:tcPr>
            <w:tcW w:w="1154" w:type="dxa"/>
            <w:shd w:val="clear" w:color="auto" w:fill="C00000"/>
            <w:tcMar>
              <w:top w:w="0" w:type="dxa"/>
              <w:left w:w="0" w:type="dxa"/>
              <w:bottom w:w="0" w:type="dxa"/>
              <w:right w:w="0" w:type="dxa"/>
            </w:tcMar>
            <w:vAlign w:val="center"/>
          </w:tcPr>
          <w:p w14:paraId="12BD9A13" w14:textId="77777777" w:rsidR="00DD0592" w:rsidRPr="00F842E9" w:rsidRDefault="00DD0592" w:rsidP="00B21723">
            <w:pPr>
              <w:pStyle w:val="Tableheaderrow"/>
              <w:spacing w:after="60"/>
            </w:pPr>
            <w:r w:rsidRPr="00F842E9">
              <w:t>Western Australia</w:t>
            </w:r>
          </w:p>
        </w:tc>
        <w:tc>
          <w:tcPr>
            <w:tcW w:w="1155" w:type="dxa"/>
            <w:shd w:val="clear" w:color="auto" w:fill="C00000"/>
            <w:tcMar>
              <w:top w:w="0" w:type="dxa"/>
              <w:left w:w="0" w:type="dxa"/>
              <w:bottom w:w="0" w:type="dxa"/>
              <w:right w:w="0" w:type="dxa"/>
            </w:tcMar>
            <w:vAlign w:val="center"/>
          </w:tcPr>
          <w:p w14:paraId="0ECC7850" w14:textId="77777777" w:rsidR="00DD0592" w:rsidRPr="00F842E9" w:rsidRDefault="00DD0592" w:rsidP="00B21723">
            <w:pPr>
              <w:pStyle w:val="Tableheaderrow"/>
              <w:spacing w:after="60"/>
            </w:pPr>
            <w:r w:rsidRPr="00F842E9">
              <w:t>South Australia</w:t>
            </w:r>
          </w:p>
        </w:tc>
        <w:tc>
          <w:tcPr>
            <w:tcW w:w="1154" w:type="dxa"/>
            <w:shd w:val="clear" w:color="auto" w:fill="C00000"/>
            <w:tcMar>
              <w:top w:w="0" w:type="dxa"/>
              <w:left w:w="0" w:type="dxa"/>
              <w:bottom w:w="0" w:type="dxa"/>
              <w:right w:w="0" w:type="dxa"/>
            </w:tcMar>
            <w:vAlign w:val="center"/>
          </w:tcPr>
          <w:p w14:paraId="55304B62" w14:textId="77777777" w:rsidR="00DD0592" w:rsidRPr="00F842E9" w:rsidRDefault="00DD0592" w:rsidP="00B21723">
            <w:pPr>
              <w:pStyle w:val="Tableheaderrow"/>
              <w:spacing w:after="60"/>
            </w:pPr>
            <w:r w:rsidRPr="00F842E9">
              <w:t>Tasmania</w:t>
            </w:r>
          </w:p>
        </w:tc>
        <w:tc>
          <w:tcPr>
            <w:tcW w:w="1154" w:type="dxa"/>
            <w:shd w:val="clear" w:color="auto" w:fill="C00000"/>
            <w:tcMar>
              <w:top w:w="0" w:type="dxa"/>
              <w:left w:w="0" w:type="dxa"/>
              <w:bottom w:w="0" w:type="dxa"/>
              <w:right w:w="0" w:type="dxa"/>
            </w:tcMar>
            <w:vAlign w:val="center"/>
          </w:tcPr>
          <w:p w14:paraId="38C8E2E4" w14:textId="77777777" w:rsidR="00DD0592" w:rsidRPr="00F842E9" w:rsidRDefault="00DD0592" w:rsidP="00B21723">
            <w:pPr>
              <w:pStyle w:val="Tableheaderrow"/>
              <w:spacing w:after="60"/>
            </w:pPr>
            <w:r w:rsidRPr="00F842E9">
              <w:t>Northern Territory</w:t>
            </w:r>
          </w:p>
        </w:tc>
        <w:tc>
          <w:tcPr>
            <w:tcW w:w="1155" w:type="dxa"/>
            <w:shd w:val="clear" w:color="auto" w:fill="C00000"/>
            <w:tcMar>
              <w:top w:w="0" w:type="dxa"/>
              <w:left w:w="0" w:type="dxa"/>
              <w:bottom w:w="0" w:type="dxa"/>
              <w:right w:w="0" w:type="dxa"/>
            </w:tcMar>
            <w:vAlign w:val="center"/>
          </w:tcPr>
          <w:p w14:paraId="0DB51B13" w14:textId="77777777" w:rsidR="00DD0592" w:rsidRPr="00F842E9" w:rsidRDefault="00DD0592" w:rsidP="00B21723">
            <w:pPr>
              <w:pStyle w:val="Tableheaderrow"/>
              <w:spacing w:after="60"/>
            </w:pPr>
            <w:r w:rsidRPr="00F842E9">
              <w:t>Australian Capital Territory</w:t>
            </w:r>
          </w:p>
        </w:tc>
        <w:tc>
          <w:tcPr>
            <w:tcW w:w="1154" w:type="dxa"/>
            <w:shd w:val="clear" w:color="auto" w:fill="C00000"/>
            <w:tcMar>
              <w:top w:w="0" w:type="dxa"/>
              <w:left w:w="0" w:type="dxa"/>
              <w:bottom w:w="0" w:type="dxa"/>
              <w:right w:w="0" w:type="dxa"/>
            </w:tcMar>
            <w:vAlign w:val="center"/>
          </w:tcPr>
          <w:p w14:paraId="77DC5DFF" w14:textId="77777777" w:rsidR="00DD0592" w:rsidRPr="00F842E9" w:rsidRDefault="00DD0592" w:rsidP="00B21723">
            <w:pPr>
              <w:pStyle w:val="Tableheaderrow"/>
              <w:spacing w:after="60"/>
            </w:pPr>
            <w:r w:rsidRPr="00F842E9">
              <w:t>C’wealth Comcare</w:t>
            </w:r>
          </w:p>
        </w:tc>
        <w:tc>
          <w:tcPr>
            <w:tcW w:w="1155" w:type="dxa"/>
            <w:shd w:val="clear" w:color="auto" w:fill="C00000"/>
            <w:tcMar>
              <w:top w:w="0" w:type="dxa"/>
              <w:left w:w="0" w:type="dxa"/>
              <w:bottom w:w="0" w:type="dxa"/>
              <w:right w:w="0" w:type="dxa"/>
            </w:tcMar>
            <w:vAlign w:val="center"/>
          </w:tcPr>
          <w:p w14:paraId="5C0F0562" w14:textId="77777777" w:rsidR="00DD0592" w:rsidRPr="00F842E9" w:rsidRDefault="00DD0592" w:rsidP="00B21723">
            <w:pPr>
              <w:pStyle w:val="Tableheaderrow"/>
              <w:spacing w:after="60"/>
            </w:pPr>
            <w:r w:rsidRPr="00F842E9">
              <w:t>C’wealth Seacare</w:t>
            </w:r>
          </w:p>
        </w:tc>
        <w:tc>
          <w:tcPr>
            <w:tcW w:w="1154" w:type="dxa"/>
            <w:shd w:val="clear" w:color="auto" w:fill="C00000"/>
            <w:tcMar>
              <w:top w:w="0" w:type="dxa"/>
              <w:left w:w="0" w:type="dxa"/>
              <w:bottom w:w="0" w:type="dxa"/>
              <w:right w:w="0" w:type="dxa"/>
            </w:tcMar>
            <w:vAlign w:val="center"/>
          </w:tcPr>
          <w:p w14:paraId="474E6348" w14:textId="77777777" w:rsidR="00DD0592" w:rsidRPr="00F842E9" w:rsidRDefault="00DD0592" w:rsidP="00B21723">
            <w:pPr>
              <w:pStyle w:val="Tableheaderrow"/>
              <w:spacing w:after="60"/>
            </w:pPr>
            <w:r w:rsidRPr="00F842E9">
              <w:t>C’wealth DVA</w:t>
            </w:r>
          </w:p>
        </w:tc>
        <w:tc>
          <w:tcPr>
            <w:tcW w:w="1155" w:type="dxa"/>
            <w:shd w:val="clear" w:color="auto" w:fill="C00000"/>
            <w:tcMar>
              <w:top w:w="0" w:type="dxa"/>
              <w:left w:w="0" w:type="dxa"/>
              <w:bottom w:w="0" w:type="dxa"/>
              <w:right w:w="0" w:type="dxa"/>
            </w:tcMar>
            <w:vAlign w:val="center"/>
          </w:tcPr>
          <w:p w14:paraId="2543A377" w14:textId="77777777" w:rsidR="00DD0592" w:rsidRPr="00F842E9" w:rsidRDefault="00DD0592" w:rsidP="00B21723">
            <w:pPr>
              <w:spacing w:after="60"/>
            </w:pPr>
            <w:r w:rsidRPr="00F842E9">
              <w:t>New Zealand</w:t>
            </w:r>
          </w:p>
        </w:tc>
      </w:tr>
      <w:tr w:rsidR="00DD0592" w:rsidRPr="00F842E9" w14:paraId="1FA12F1F" w14:textId="77777777" w:rsidTr="00FB729B">
        <w:tc>
          <w:tcPr>
            <w:tcW w:w="1582" w:type="dxa"/>
            <w:shd w:val="clear" w:color="auto" w:fill="FFC9C9"/>
            <w:tcMar>
              <w:top w:w="80" w:type="dxa"/>
              <w:left w:w="80" w:type="dxa"/>
              <w:bottom w:w="80" w:type="dxa"/>
              <w:right w:w="80" w:type="dxa"/>
            </w:tcMar>
          </w:tcPr>
          <w:p w14:paraId="4DAD3FBC" w14:textId="77777777" w:rsidR="00DD0592" w:rsidRPr="00F842E9" w:rsidRDefault="00DD0592" w:rsidP="00B21723">
            <w:pPr>
              <w:pStyle w:val="TableColumn1bold"/>
              <w:spacing w:after="60"/>
            </w:pPr>
            <w:r w:rsidRPr="00F842E9">
              <w:t>Eligibility from</w:t>
            </w:r>
          </w:p>
        </w:tc>
        <w:tc>
          <w:tcPr>
            <w:tcW w:w="1154" w:type="dxa"/>
            <w:shd w:val="clear" w:color="auto" w:fill="FFC9C9"/>
            <w:tcMar>
              <w:top w:w="80" w:type="dxa"/>
              <w:left w:w="80" w:type="dxa"/>
              <w:bottom w:w="80" w:type="dxa"/>
              <w:right w:w="80" w:type="dxa"/>
            </w:tcMar>
          </w:tcPr>
          <w:p w14:paraId="0A72E17F" w14:textId="5A72B45C" w:rsidR="00DD0592" w:rsidRPr="00F842E9" w:rsidRDefault="00DD0592" w:rsidP="00B21723">
            <w:pPr>
              <w:pStyle w:val="Table7pttext"/>
              <w:spacing w:after="60"/>
            </w:pPr>
            <w:r w:rsidRPr="009822D5">
              <w:t xml:space="preserve">Weekly payments payable from the first date of either total or partial incapacity for work resulting from the injury — </w:t>
            </w:r>
            <w:hyperlink r:id="rId376" w:history="1">
              <w:r w:rsidRPr="00021D92">
                <w:rPr>
                  <w:rStyle w:val="Hyperlink"/>
                </w:rPr>
                <w:t>s33</w:t>
              </w:r>
            </w:hyperlink>
            <w:r w:rsidRPr="009822D5">
              <w:t xml:space="preserve">, </w:t>
            </w:r>
            <w:r w:rsidRPr="00D41D16">
              <w:rPr>
                <w:i/>
              </w:rPr>
              <w:t>Workers Compensation</w:t>
            </w:r>
            <w:r w:rsidR="00DD0D68" w:rsidRPr="00D41D16">
              <w:rPr>
                <w:i/>
              </w:rPr>
              <w:t xml:space="preserve"> </w:t>
            </w:r>
            <w:r w:rsidRPr="00D41D16">
              <w:rPr>
                <w:i/>
              </w:rPr>
              <w:t>Act 1987</w:t>
            </w:r>
          </w:p>
        </w:tc>
        <w:tc>
          <w:tcPr>
            <w:tcW w:w="1154" w:type="dxa"/>
            <w:shd w:val="clear" w:color="auto" w:fill="FFC9C9"/>
            <w:tcMar>
              <w:top w:w="80" w:type="dxa"/>
              <w:left w:w="80" w:type="dxa"/>
              <w:bottom w:w="80" w:type="dxa"/>
              <w:right w:w="80" w:type="dxa"/>
            </w:tcMar>
          </w:tcPr>
          <w:p w14:paraId="74418293" w14:textId="4F60E177" w:rsidR="00DD0592" w:rsidRPr="00F842E9" w:rsidRDefault="00DD0592" w:rsidP="00B21723">
            <w:pPr>
              <w:pStyle w:val="Table7pttext"/>
              <w:spacing w:after="60"/>
            </w:pPr>
            <w:r w:rsidRPr="00F842E9">
              <w:t>Date of incapacity for work for weekly payments —</w:t>
            </w:r>
            <w:hyperlink r:id="rId377" w:history="1">
              <w:r w:rsidRPr="00021D92">
                <w:rPr>
                  <w:rStyle w:val="Hyperlink"/>
                </w:rPr>
                <w:t>s160</w:t>
              </w:r>
            </w:hyperlink>
            <w:r w:rsidR="00D47853">
              <w:t xml:space="preserve">, </w:t>
            </w:r>
            <w:r w:rsidR="00D47853" w:rsidRPr="00016069">
              <w:rPr>
                <w:i/>
              </w:rPr>
              <w:t>Workplace Injury Rehabilitation and Compensation Act 2013</w:t>
            </w:r>
          </w:p>
        </w:tc>
        <w:tc>
          <w:tcPr>
            <w:tcW w:w="1155" w:type="dxa"/>
            <w:shd w:val="clear" w:color="auto" w:fill="FFC9C9"/>
            <w:tcMar>
              <w:top w:w="80" w:type="dxa"/>
              <w:left w:w="80" w:type="dxa"/>
              <w:bottom w:w="80" w:type="dxa"/>
              <w:right w:w="80" w:type="dxa"/>
            </w:tcMar>
          </w:tcPr>
          <w:p w14:paraId="103B3F83" w14:textId="6F44A050" w:rsidR="00DD0592" w:rsidRPr="00F842E9" w:rsidRDefault="00DD0592" w:rsidP="00B21723">
            <w:pPr>
              <w:pStyle w:val="Table7pttext"/>
              <w:spacing w:after="60"/>
            </w:pPr>
            <w:r w:rsidRPr="00F842E9">
              <w:t xml:space="preserve">Assessment by medical practitioner, nurse practitioner or dentist — </w:t>
            </w:r>
            <w:hyperlink r:id="rId378" w:anchor="sec.141" w:history="1">
              <w:r w:rsidRPr="00C8605D">
                <w:rPr>
                  <w:rStyle w:val="Hyperlink"/>
                </w:rPr>
                <w:t>s141(1)</w:t>
              </w:r>
            </w:hyperlink>
            <w:r w:rsidR="00D47853">
              <w:t xml:space="preserve">, </w:t>
            </w:r>
            <w:r w:rsidR="00D47853" w:rsidRPr="00016069">
              <w:rPr>
                <w:i/>
              </w:rPr>
              <w:t>Workers’ Compensation and Rehabilitation Act 2003</w:t>
            </w:r>
          </w:p>
        </w:tc>
        <w:tc>
          <w:tcPr>
            <w:tcW w:w="1154" w:type="dxa"/>
            <w:shd w:val="clear" w:color="auto" w:fill="FFC9C9"/>
            <w:tcMar>
              <w:top w:w="80" w:type="dxa"/>
              <w:left w:w="80" w:type="dxa"/>
              <w:bottom w:w="80" w:type="dxa"/>
              <w:right w:w="80" w:type="dxa"/>
            </w:tcMar>
          </w:tcPr>
          <w:p w14:paraId="4C002CAD" w14:textId="50767F8A" w:rsidR="00DD0592" w:rsidRPr="00F842E9" w:rsidRDefault="00DD0592" w:rsidP="00B21723">
            <w:pPr>
              <w:pStyle w:val="Table7pttext"/>
              <w:spacing w:after="60"/>
            </w:pPr>
            <w:r w:rsidRPr="00F842E9">
              <w:t>From date of incapacity —</w:t>
            </w:r>
            <w:hyperlink r:id="rId379" w:history="1">
              <w:r w:rsidRPr="00C8605D">
                <w:rPr>
                  <w:rStyle w:val="Hyperlink"/>
                </w:rPr>
                <w:t>s21</w:t>
              </w:r>
            </w:hyperlink>
            <w:r w:rsidRPr="00F842E9">
              <w:t xml:space="preserve"> (weekly benefits). From date of </w:t>
            </w:r>
            <w:r w:rsidR="00F6068C">
              <w:t xml:space="preserve">injury — </w:t>
            </w:r>
            <w:hyperlink r:id="rId380" w:history="1">
              <w:r w:rsidR="00F6068C" w:rsidRPr="00C8605D">
                <w:rPr>
                  <w:rStyle w:val="Hyperlink"/>
                </w:rPr>
                <w:t>s18</w:t>
              </w:r>
            </w:hyperlink>
            <w:r w:rsidR="00F6068C">
              <w:t xml:space="preserve"> (medical expenses)</w:t>
            </w:r>
            <w:r w:rsidR="00D47853">
              <w:t xml:space="preserve">, </w:t>
            </w:r>
            <w:r w:rsidR="008029EF" w:rsidRPr="00016069">
              <w:rPr>
                <w:i/>
              </w:rPr>
              <w:t>Workers’ Compensation and Injury Management Act 1981</w:t>
            </w:r>
          </w:p>
        </w:tc>
        <w:tc>
          <w:tcPr>
            <w:tcW w:w="1155" w:type="dxa"/>
            <w:shd w:val="clear" w:color="auto" w:fill="FFC9C9"/>
            <w:tcMar>
              <w:top w:w="80" w:type="dxa"/>
              <w:left w:w="80" w:type="dxa"/>
              <w:bottom w:w="80" w:type="dxa"/>
              <w:right w:w="80" w:type="dxa"/>
            </w:tcMar>
          </w:tcPr>
          <w:p w14:paraId="3DBEC981" w14:textId="72AE5B45" w:rsidR="00DD0592" w:rsidRPr="008029EF" w:rsidRDefault="00DD0592" w:rsidP="00B21723">
            <w:pPr>
              <w:pStyle w:val="Table7pttext"/>
              <w:spacing w:after="60"/>
            </w:pPr>
            <w:r w:rsidRPr="00F842E9">
              <w:t>From date of incapacity —</w:t>
            </w:r>
            <w:hyperlink r:id="rId381" w:history="1">
              <w:r w:rsidRPr="00F842E9">
                <w:rPr>
                  <w:rStyle w:val="Hyperlink"/>
                </w:rPr>
                <w:t>s39(1)</w:t>
              </w:r>
            </w:hyperlink>
            <w:r w:rsidR="008029EF">
              <w:rPr>
                <w:rStyle w:val="Hyperlink"/>
                <w:color w:val="auto"/>
                <w:u w:val="none"/>
              </w:rPr>
              <w:t xml:space="preserve">, </w:t>
            </w:r>
            <w:r w:rsidR="008029EF" w:rsidRPr="00016069">
              <w:rPr>
                <w:i/>
              </w:rPr>
              <w:t>Return to Work Act 2014</w:t>
            </w:r>
          </w:p>
        </w:tc>
        <w:tc>
          <w:tcPr>
            <w:tcW w:w="1154" w:type="dxa"/>
            <w:shd w:val="clear" w:color="auto" w:fill="FFC9C9"/>
            <w:tcMar>
              <w:top w:w="80" w:type="dxa"/>
              <w:left w:w="80" w:type="dxa"/>
              <w:bottom w:w="80" w:type="dxa"/>
              <w:right w:w="80" w:type="dxa"/>
            </w:tcMar>
          </w:tcPr>
          <w:p w14:paraId="5B453FD7" w14:textId="77777777" w:rsidR="00DD0592" w:rsidRPr="00F842E9" w:rsidRDefault="00DD0592" w:rsidP="00B21723">
            <w:pPr>
              <w:pStyle w:val="Table7pttext"/>
              <w:spacing w:after="60"/>
            </w:pPr>
            <w:r w:rsidRPr="00F842E9">
              <w:t>Date of injury (for medical etc expenses).</w:t>
            </w:r>
          </w:p>
          <w:p w14:paraId="0AAEFD1E" w14:textId="65F806FB" w:rsidR="00DD0592" w:rsidRPr="008029EF" w:rsidRDefault="00DD0592" w:rsidP="00B21723">
            <w:pPr>
              <w:pStyle w:val="Table7pttext"/>
              <w:spacing w:after="60"/>
            </w:pPr>
            <w:r w:rsidRPr="00F842E9">
              <w:t>Date of incapacity for weekly payments (or 14 days before claim was given to the employer, whichever is the later) —</w:t>
            </w:r>
            <w:hyperlink r:id="rId382" w:history="1">
              <w:r w:rsidRPr="00F842E9">
                <w:rPr>
                  <w:rStyle w:val="Hyperlink"/>
                </w:rPr>
                <w:t>s81(3)(a)</w:t>
              </w:r>
            </w:hyperlink>
            <w:r w:rsidR="008029EF">
              <w:rPr>
                <w:rStyle w:val="Hyperlink"/>
                <w:color w:val="auto"/>
                <w:u w:val="none"/>
              </w:rPr>
              <w:t xml:space="preserve">, </w:t>
            </w:r>
            <w:r w:rsidR="008029EF" w:rsidRPr="00016069">
              <w:rPr>
                <w:i/>
              </w:rPr>
              <w:t>Workers Rehabilitation and Compensation Act 1988</w:t>
            </w:r>
          </w:p>
        </w:tc>
        <w:tc>
          <w:tcPr>
            <w:tcW w:w="1154" w:type="dxa"/>
            <w:shd w:val="clear" w:color="auto" w:fill="FFC9C9"/>
            <w:tcMar>
              <w:top w:w="80" w:type="dxa"/>
              <w:left w:w="80" w:type="dxa"/>
              <w:bottom w:w="80" w:type="dxa"/>
              <w:right w:w="80" w:type="dxa"/>
            </w:tcMar>
          </w:tcPr>
          <w:p w14:paraId="76310B7D" w14:textId="6CD196C6" w:rsidR="00DD0592" w:rsidRPr="00F842E9" w:rsidRDefault="00DD0592" w:rsidP="00B21723">
            <w:pPr>
              <w:pStyle w:val="Table7pttext"/>
              <w:spacing w:after="60"/>
            </w:pPr>
            <w:r w:rsidRPr="00F842E9">
              <w:t>Date of Incapacity –</w:t>
            </w:r>
            <w:hyperlink r:id="rId383" w:history="1">
              <w:r w:rsidRPr="00C8605D">
                <w:rPr>
                  <w:rStyle w:val="Hyperlink"/>
                </w:rPr>
                <w:t>s64</w:t>
              </w:r>
            </w:hyperlink>
            <w:r w:rsidR="008029EF">
              <w:t xml:space="preserve">, </w:t>
            </w:r>
            <w:r w:rsidR="008029EF" w:rsidRPr="00016069">
              <w:rPr>
                <w:i/>
              </w:rPr>
              <w:t>Return to Work Act</w:t>
            </w:r>
          </w:p>
        </w:tc>
        <w:tc>
          <w:tcPr>
            <w:tcW w:w="1155" w:type="dxa"/>
            <w:shd w:val="clear" w:color="auto" w:fill="FFC9C9"/>
            <w:tcMar>
              <w:top w:w="80" w:type="dxa"/>
              <w:left w:w="80" w:type="dxa"/>
              <w:bottom w:w="80" w:type="dxa"/>
              <w:right w:w="80" w:type="dxa"/>
            </w:tcMar>
          </w:tcPr>
          <w:p w14:paraId="52929EF7" w14:textId="0AA99BA7" w:rsidR="00DD0592" w:rsidRPr="00F842E9" w:rsidRDefault="00DD0592" w:rsidP="00B21723">
            <w:pPr>
              <w:pStyle w:val="Table7pttext"/>
              <w:spacing w:after="60"/>
            </w:pPr>
            <w:r w:rsidRPr="00F842E9">
              <w:t xml:space="preserve">Date of injury — </w:t>
            </w:r>
            <w:hyperlink r:id="rId384" w:history="1">
              <w:r w:rsidRPr="00BC2D04">
                <w:rPr>
                  <w:rStyle w:val="Hyperlink"/>
                </w:rPr>
                <w:t>s38(1)(b)</w:t>
              </w:r>
            </w:hyperlink>
            <w:r w:rsidR="008029EF">
              <w:t xml:space="preserve">, </w:t>
            </w:r>
            <w:r w:rsidR="008029EF" w:rsidRPr="00016069">
              <w:rPr>
                <w:i/>
              </w:rPr>
              <w:t>Workers Compensation Act 1951</w:t>
            </w:r>
          </w:p>
        </w:tc>
        <w:tc>
          <w:tcPr>
            <w:tcW w:w="1154" w:type="dxa"/>
            <w:shd w:val="clear" w:color="auto" w:fill="FFC9C9"/>
            <w:tcMar>
              <w:top w:w="80" w:type="dxa"/>
              <w:left w:w="80" w:type="dxa"/>
              <w:bottom w:w="80" w:type="dxa"/>
              <w:right w:w="80" w:type="dxa"/>
            </w:tcMar>
          </w:tcPr>
          <w:p w14:paraId="5DE93A94" w14:textId="17E43566" w:rsidR="00DD0592" w:rsidRPr="00F842E9" w:rsidRDefault="00DD0592" w:rsidP="00B21723">
            <w:pPr>
              <w:pStyle w:val="Table7pttext"/>
              <w:spacing w:after="60"/>
            </w:pPr>
            <w:r w:rsidRPr="00F842E9">
              <w:t xml:space="preserve">For injuries — date of injury — for diseases the date employee first sought medical treatment, date of death or date of first incapacity or impairment — </w:t>
            </w:r>
            <w:hyperlink r:id="rId385" w:history="1">
              <w:r w:rsidRPr="00BC2D04">
                <w:rPr>
                  <w:rStyle w:val="Hyperlink"/>
                </w:rPr>
                <w:t>s7(4)</w:t>
              </w:r>
            </w:hyperlink>
            <w:r w:rsidR="008029EF">
              <w:t xml:space="preserve">, </w:t>
            </w:r>
            <w:r w:rsidR="008029EF" w:rsidRPr="00016069">
              <w:rPr>
                <w:i/>
              </w:rPr>
              <w:t>Safety, Rehabilitation and Compensation Act 1988</w:t>
            </w:r>
          </w:p>
        </w:tc>
        <w:tc>
          <w:tcPr>
            <w:tcW w:w="1155" w:type="dxa"/>
            <w:shd w:val="clear" w:color="auto" w:fill="FFC9C9"/>
            <w:tcMar>
              <w:top w:w="80" w:type="dxa"/>
              <w:left w:w="80" w:type="dxa"/>
              <w:bottom w:w="80" w:type="dxa"/>
              <w:right w:w="80" w:type="dxa"/>
            </w:tcMar>
          </w:tcPr>
          <w:p w14:paraId="5779193B" w14:textId="22C279DD" w:rsidR="00DD0592" w:rsidRPr="00F842E9" w:rsidRDefault="00DD0592" w:rsidP="00B21723">
            <w:pPr>
              <w:pStyle w:val="Table7pttext"/>
              <w:spacing w:after="60"/>
            </w:pPr>
            <w:r w:rsidRPr="00F842E9">
              <w:t>Date of injury —</w:t>
            </w:r>
            <w:r w:rsidR="00BC2D04">
              <w:t xml:space="preserve"> </w:t>
            </w:r>
            <w:hyperlink r:id="rId386" w:history="1">
              <w:r w:rsidRPr="00BC2D04">
                <w:rPr>
                  <w:rStyle w:val="Hyperlink"/>
                </w:rPr>
                <w:t>s31</w:t>
              </w:r>
            </w:hyperlink>
            <w:r w:rsidR="008029EF">
              <w:t xml:space="preserve">, </w:t>
            </w:r>
            <w:r w:rsidR="008029EF" w:rsidRPr="00016069">
              <w:rPr>
                <w:i/>
              </w:rPr>
              <w:t>Seafarers Rehabilitation and Compensation Act 1992</w:t>
            </w:r>
            <w:r w:rsidRPr="00F842E9">
              <w:t>.</w:t>
            </w:r>
          </w:p>
          <w:p w14:paraId="5BC9C1A0" w14:textId="0D77FF57" w:rsidR="00DD0592" w:rsidRPr="00F842E9" w:rsidRDefault="00A7538C" w:rsidP="00B21723">
            <w:pPr>
              <w:pStyle w:val="Table7pttext"/>
              <w:spacing w:after="60"/>
            </w:pPr>
            <w:hyperlink r:id="rId387" w:history="1">
              <w:r w:rsidR="00DD0592" w:rsidRPr="00BC2D04">
                <w:rPr>
                  <w:rStyle w:val="Hyperlink"/>
                </w:rPr>
                <w:t>s31(3)</w:t>
              </w:r>
            </w:hyperlink>
            <w:r w:rsidR="00DD0592" w:rsidRPr="00F842E9">
              <w:t xml:space="preserve"> — </w:t>
            </w:r>
            <w:r w:rsidR="00DD0592" w:rsidRPr="00F842E9">
              <w:br/>
              <w:t>Date seafarer left onshore or returned to home port.</w:t>
            </w:r>
          </w:p>
          <w:p w14:paraId="6616051E" w14:textId="4FEB1745" w:rsidR="00DD0592" w:rsidRPr="00F842E9" w:rsidRDefault="00DD0592" w:rsidP="00B52BD8">
            <w:pPr>
              <w:pStyle w:val="Table7pttext"/>
              <w:spacing w:after="60"/>
            </w:pPr>
            <w:r w:rsidRPr="00F842E9">
              <w:t xml:space="preserve">For diseases the date employee first sought medical treatment, date of death or date of first incapacity or impairment </w:t>
            </w:r>
            <w:r w:rsidR="00B52BD8">
              <w:t>—</w:t>
            </w:r>
            <w:r w:rsidR="00B52BD8" w:rsidRPr="00F842E9">
              <w:t xml:space="preserve"> </w:t>
            </w:r>
            <w:hyperlink r:id="rId388" w:history="1">
              <w:r w:rsidRPr="00BC2D04">
                <w:rPr>
                  <w:rStyle w:val="Hyperlink"/>
                </w:rPr>
                <w:t>s10(4)</w:t>
              </w:r>
            </w:hyperlink>
          </w:p>
        </w:tc>
        <w:tc>
          <w:tcPr>
            <w:tcW w:w="1154" w:type="dxa"/>
            <w:shd w:val="clear" w:color="auto" w:fill="FFC9C9"/>
            <w:tcMar>
              <w:top w:w="80" w:type="dxa"/>
              <w:left w:w="80" w:type="dxa"/>
              <w:bottom w:w="80" w:type="dxa"/>
              <w:right w:w="80" w:type="dxa"/>
            </w:tcMar>
          </w:tcPr>
          <w:p w14:paraId="179D6465" w14:textId="3F6ED6C4" w:rsidR="0090403B" w:rsidRPr="008029EF" w:rsidRDefault="008029EF" w:rsidP="008029EF">
            <w:pPr>
              <w:rPr>
                <w:i/>
                <w:sz w:val="14"/>
              </w:rPr>
            </w:pPr>
            <w:r w:rsidRPr="0039798F">
              <w:rPr>
                <w:rFonts w:eastAsia="Calibri" w:cs="Arial"/>
                <w:i/>
                <w:sz w:val="14"/>
                <w:szCs w:val="14"/>
                <w:lang w:eastAsia="en-US"/>
              </w:rPr>
              <w:t>Military Rehabilitation and Compensation Act 2004</w:t>
            </w:r>
            <w:r>
              <w:rPr>
                <w:rFonts w:eastAsia="Calibri" w:cs="Arial"/>
                <w:i/>
                <w:sz w:val="14"/>
                <w:szCs w:val="14"/>
                <w:lang w:eastAsia="en-US"/>
              </w:rPr>
              <w:t xml:space="preserve"> </w:t>
            </w:r>
            <w:r w:rsidRPr="008029EF">
              <w:rPr>
                <w:sz w:val="14"/>
              </w:rPr>
              <w:t>(</w:t>
            </w:r>
            <w:r w:rsidR="0090403B" w:rsidRPr="008029EF">
              <w:rPr>
                <w:sz w:val="14"/>
              </w:rPr>
              <w:t>MRCA</w:t>
            </w:r>
            <w:r w:rsidRPr="008029EF">
              <w:rPr>
                <w:sz w:val="14"/>
              </w:rPr>
              <w:t>)</w:t>
            </w:r>
          </w:p>
          <w:p w14:paraId="71DF6852" w14:textId="77777777" w:rsidR="00DD0592" w:rsidRDefault="00DD0592" w:rsidP="00B21723">
            <w:pPr>
              <w:pStyle w:val="Table7pttext"/>
              <w:spacing w:after="60"/>
            </w:pPr>
            <w:r w:rsidRPr="00F842E9">
              <w:t>Date of incapacity —Chapter 4, Parts 3 and 4</w:t>
            </w:r>
          </w:p>
          <w:p w14:paraId="4F0287BF" w14:textId="77777777" w:rsidR="0090403B" w:rsidRDefault="0090403B" w:rsidP="00B21723">
            <w:pPr>
              <w:pStyle w:val="Table7pttext"/>
              <w:spacing w:after="60"/>
            </w:pPr>
          </w:p>
          <w:p w14:paraId="2F1E893F" w14:textId="5A72A29C" w:rsidR="0090403B" w:rsidRDefault="008029EF" w:rsidP="00B21723">
            <w:pPr>
              <w:pStyle w:val="Table7pttext"/>
              <w:spacing w:after="60"/>
            </w:pPr>
            <w:r w:rsidRPr="00016069">
              <w:rPr>
                <w:i/>
              </w:rPr>
              <w:t>Safety, Rehabilitation and Compensation (Defence-related Claims) Act 1988</w:t>
            </w:r>
            <w:r>
              <w:rPr>
                <w:i/>
              </w:rPr>
              <w:t xml:space="preserve"> </w:t>
            </w:r>
            <w:r w:rsidRPr="008029EF">
              <w:t>(</w:t>
            </w:r>
            <w:r w:rsidR="0090403B" w:rsidRPr="008029EF">
              <w:t>DRCA</w:t>
            </w:r>
            <w:r w:rsidRPr="008029EF">
              <w:t>)</w:t>
            </w:r>
          </w:p>
          <w:p w14:paraId="75CF429C" w14:textId="353FD48E" w:rsidR="0090403B" w:rsidRPr="00F842E9" w:rsidRDefault="0090403B" w:rsidP="00B21723">
            <w:pPr>
              <w:pStyle w:val="Table7pttext"/>
              <w:spacing w:after="60"/>
            </w:pPr>
            <w:r>
              <w:t>Date of incapacity — Part II, Division 3</w:t>
            </w:r>
          </w:p>
        </w:tc>
        <w:tc>
          <w:tcPr>
            <w:tcW w:w="1155" w:type="dxa"/>
            <w:shd w:val="clear" w:color="auto" w:fill="FFC9C9"/>
            <w:tcMar>
              <w:top w:w="80" w:type="dxa"/>
              <w:left w:w="80" w:type="dxa"/>
              <w:bottom w:w="80" w:type="dxa"/>
              <w:right w:w="80" w:type="dxa"/>
            </w:tcMar>
          </w:tcPr>
          <w:p w14:paraId="2B3B5E66" w14:textId="03AB374E" w:rsidR="00DD0592" w:rsidRPr="00F842E9" w:rsidRDefault="00DD0592" w:rsidP="00B21723">
            <w:pPr>
              <w:pStyle w:val="Table7pttext"/>
              <w:spacing w:after="60"/>
            </w:pPr>
            <w:r w:rsidRPr="00F842E9">
              <w:t>Date of incapacity —Schedule 1, Part 2, cl 32</w:t>
            </w:r>
            <w:r w:rsidR="008029EF">
              <w:t xml:space="preserve">, </w:t>
            </w:r>
            <w:r w:rsidR="008029EF" w:rsidRPr="00016069">
              <w:rPr>
                <w:i/>
              </w:rPr>
              <w:t>Accident Compensation Act 2001</w:t>
            </w:r>
          </w:p>
        </w:tc>
      </w:tr>
      <w:tr w:rsidR="00DD0592" w:rsidRPr="00F842E9" w14:paraId="3B71330A" w14:textId="77777777" w:rsidTr="00FB729B">
        <w:tc>
          <w:tcPr>
            <w:tcW w:w="1582" w:type="dxa"/>
            <w:tcMar>
              <w:top w:w="80" w:type="dxa"/>
              <w:left w:w="80" w:type="dxa"/>
              <w:bottom w:w="80" w:type="dxa"/>
              <w:right w:w="80" w:type="dxa"/>
            </w:tcMar>
          </w:tcPr>
          <w:p w14:paraId="0599775B" w14:textId="41840E14" w:rsidR="00DD0592" w:rsidRPr="00F842E9" w:rsidRDefault="00DD0592" w:rsidP="00B21723">
            <w:pPr>
              <w:pStyle w:val="TableColumn1bold"/>
              <w:spacing w:after="60"/>
            </w:pPr>
            <w:r w:rsidRPr="00F842E9">
              <w:t>Payments begin</w:t>
            </w:r>
          </w:p>
        </w:tc>
        <w:tc>
          <w:tcPr>
            <w:tcW w:w="1154" w:type="dxa"/>
            <w:tcMar>
              <w:top w:w="80" w:type="dxa"/>
              <w:left w:w="80" w:type="dxa"/>
              <w:bottom w:w="80" w:type="dxa"/>
              <w:right w:w="80" w:type="dxa"/>
            </w:tcMar>
          </w:tcPr>
          <w:p w14:paraId="7CB336DB" w14:textId="77CC2C43" w:rsidR="007611D7" w:rsidRDefault="00B64F53" w:rsidP="00B21723">
            <w:pPr>
              <w:pStyle w:val="Table7pttext"/>
              <w:spacing w:after="60"/>
            </w:pPr>
            <w:r w:rsidRPr="00B64F53">
              <w:t>Within seven days of notification if provisional liability —</w:t>
            </w:r>
            <w:hyperlink r:id="rId389" w:history="1">
              <w:r w:rsidRPr="00021D92">
                <w:rPr>
                  <w:rStyle w:val="Hyperlink"/>
                </w:rPr>
                <w:t>s267(1)</w:t>
              </w:r>
            </w:hyperlink>
            <w:r w:rsidRPr="00B64F53">
              <w:t xml:space="preserve">, </w:t>
            </w:r>
            <w:r w:rsidR="007611D7" w:rsidRPr="007611D7">
              <w:rPr>
                <w:i/>
              </w:rPr>
              <w:t>Workplace Injury Management and Workers Compensation Act 1998</w:t>
            </w:r>
            <w:r w:rsidR="007611D7" w:rsidRPr="007611D7">
              <w:t xml:space="preserve">  </w:t>
            </w:r>
          </w:p>
          <w:p w14:paraId="5779CA52" w14:textId="4A4FAC88" w:rsidR="00DD0592" w:rsidRPr="00F842E9" w:rsidRDefault="00B64F53" w:rsidP="00B21723">
            <w:pPr>
              <w:pStyle w:val="Table7pttext"/>
              <w:spacing w:after="60"/>
            </w:pPr>
            <w:r w:rsidRPr="00B64F53">
              <w:t>Promptly when liability accept</w:t>
            </w:r>
            <w:r w:rsidR="00F6068C">
              <w:t>ed by insurer —</w:t>
            </w:r>
            <w:hyperlink r:id="rId390" w:history="1">
              <w:r w:rsidR="00F6068C" w:rsidRPr="00021D92">
                <w:rPr>
                  <w:rStyle w:val="Hyperlink"/>
                </w:rPr>
                <w:t>s74A(1)</w:t>
              </w:r>
            </w:hyperlink>
            <w:r w:rsidR="00021D92">
              <w:t>,</w:t>
            </w:r>
            <w:r w:rsidR="00F6068C">
              <w:t xml:space="preserve"> 1998 Act</w:t>
            </w:r>
          </w:p>
        </w:tc>
        <w:tc>
          <w:tcPr>
            <w:tcW w:w="1154" w:type="dxa"/>
            <w:tcMar>
              <w:top w:w="80" w:type="dxa"/>
              <w:left w:w="80" w:type="dxa"/>
              <w:bottom w:w="80" w:type="dxa"/>
              <w:right w:w="80" w:type="dxa"/>
            </w:tcMar>
          </w:tcPr>
          <w:p w14:paraId="76538DB8" w14:textId="172EF1CC" w:rsidR="00DD0592" w:rsidRPr="00F842E9" w:rsidRDefault="00DD0592" w:rsidP="00B21723">
            <w:pPr>
              <w:pStyle w:val="Table7pttext"/>
              <w:spacing w:after="60"/>
            </w:pPr>
            <w:r w:rsidRPr="00F842E9">
              <w:t xml:space="preserve">Max seven days after end of week in which payments are due — </w:t>
            </w:r>
            <w:hyperlink r:id="rId391" w:history="1">
              <w:r w:rsidRPr="00021D92">
                <w:rPr>
                  <w:rStyle w:val="Hyperlink"/>
                </w:rPr>
                <w:t>s179(1)</w:t>
              </w:r>
            </w:hyperlink>
          </w:p>
        </w:tc>
        <w:tc>
          <w:tcPr>
            <w:tcW w:w="1155" w:type="dxa"/>
            <w:tcMar>
              <w:top w:w="80" w:type="dxa"/>
              <w:left w:w="80" w:type="dxa"/>
              <w:bottom w:w="80" w:type="dxa"/>
              <w:right w:w="80" w:type="dxa"/>
            </w:tcMar>
          </w:tcPr>
          <w:p w14:paraId="7E70B531" w14:textId="6DA4F2E1" w:rsidR="00DD0592" w:rsidRPr="00F842E9" w:rsidRDefault="00DD0592" w:rsidP="00B21723">
            <w:pPr>
              <w:pStyle w:val="Table7pttext"/>
              <w:spacing w:after="60"/>
            </w:pPr>
            <w:r w:rsidRPr="00F842E9">
              <w:t xml:space="preserve">Day of assessment — </w:t>
            </w:r>
            <w:hyperlink r:id="rId392" w:anchor="sec.141" w:history="1">
              <w:r w:rsidRPr="00C8605D">
                <w:rPr>
                  <w:rStyle w:val="Hyperlink"/>
                </w:rPr>
                <w:t>s141(1)</w:t>
              </w:r>
            </w:hyperlink>
          </w:p>
          <w:p w14:paraId="7A1F3575" w14:textId="6EECF3E9" w:rsidR="00DD0592" w:rsidRPr="00F842E9" w:rsidRDefault="00DD0592" w:rsidP="00B21723">
            <w:pPr>
              <w:pStyle w:val="Table7pttext"/>
              <w:spacing w:after="60"/>
            </w:pPr>
            <w:r w:rsidRPr="00F842E9">
              <w:t xml:space="preserve">Day after assessment day — </w:t>
            </w:r>
            <w:hyperlink r:id="rId393" w:anchor="sec.141" w:history="1">
              <w:r w:rsidRPr="00C8605D">
                <w:rPr>
                  <w:rStyle w:val="Hyperlink"/>
                </w:rPr>
                <w:t>s141(2)</w:t>
              </w:r>
            </w:hyperlink>
          </w:p>
        </w:tc>
        <w:tc>
          <w:tcPr>
            <w:tcW w:w="1154" w:type="dxa"/>
            <w:tcMar>
              <w:top w:w="80" w:type="dxa"/>
              <w:left w:w="80" w:type="dxa"/>
              <w:bottom w:w="80" w:type="dxa"/>
              <w:right w:w="80" w:type="dxa"/>
            </w:tcMar>
          </w:tcPr>
          <w:p w14:paraId="1A52BDA5" w14:textId="1BF92B13" w:rsidR="00DD0592" w:rsidRPr="00F842E9" w:rsidRDefault="00DD0592" w:rsidP="00B21723">
            <w:pPr>
              <w:pStyle w:val="Table7pttext"/>
              <w:spacing w:after="60"/>
            </w:pPr>
            <w:r w:rsidRPr="00F842E9">
              <w:t xml:space="preserve">Not later than 14 days — </w:t>
            </w:r>
            <w:hyperlink r:id="rId394" w:history="1">
              <w:r w:rsidRPr="00C8605D">
                <w:rPr>
                  <w:rStyle w:val="Hyperlink"/>
                </w:rPr>
                <w:t>s57A(7)</w:t>
              </w:r>
            </w:hyperlink>
          </w:p>
        </w:tc>
        <w:tc>
          <w:tcPr>
            <w:tcW w:w="1155" w:type="dxa"/>
            <w:tcMar>
              <w:top w:w="80" w:type="dxa"/>
              <w:left w:w="80" w:type="dxa"/>
              <w:bottom w:w="80" w:type="dxa"/>
              <w:right w:w="80" w:type="dxa"/>
            </w:tcMar>
          </w:tcPr>
          <w:p w14:paraId="73422B65" w14:textId="2D322F34" w:rsidR="00DD0592" w:rsidRPr="00F842E9" w:rsidRDefault="00DD0592" w:rsidP="00B21723">
            <w:pPr>
              <w:pStyle w:val="Table7pttext"/>
              <w:spacing w:after="60"/>
            </w:pPr>
            <w:r w:rsidRPr="00F842E9">
              <w:t>Within 14 days of claim — s</w:t>
            </w:r>
            <w:hyperlink r:id="rId395" w:history="1">
              <w:r w:rsidRPr="00F842E9">
                <w:rPr>
                  <w:rStyle w:val="Hyperlink"/>
                </w:rPr>
                <w:t>64(9)</w:t>
              </w:r>
            </w:hyperlink>
          </w:p>
        </w:tc>
        <w:tc>
          <w:tcPr>
            <w:tcW w:w="1154" w:type="dxa"/>
            <w:tcMar>
              <w:top w:w="80" w:type="dxa"/>
              <w:left w:w="80" w:type="dxa"/>
              <w:bottom w:w="80" w:type="dxa"/>
              <w:right w:w="80" w:type="dxa"/>
            </w:tcMar>
          </w:tcPr>
          <w:p w14:paraId="4C87B455" w14:textId="77777777" w:rsidR="00DD0592" w:rsidRPr="00F842E9" w:rsidRDefault="00DD0592" w:rsidP="00B21723">
            <w:pPr>
              <w:pStyle w:val="Table7pttext"/>
              <w:spacing w:after="60"/>
            </w:pPr>
            <w:r w:rsidRPr="00F842E9">
              <w:t xml:space="preserve">On first pay day following receipt of claim. If the first pay day is within 14 days of receipt of claim and it is not reasonably practicable to make payment on that day, payment must begin not less than 14 days from receipt of claim — </w:t>
            </w:r>
            <w:hyperlink r:id="rId396" w:history="1">
              <w:r w:rsidRPr="00F842E9">
                <w:rPr>
                  <w:rStyle w:val="Hyperlink"/>
                </w:rPr>
                <w:t>s81(1)</w:t>
              </w:r>
            </w:hyperlink>
          </w:p>
        </w:tc>
        <w:tc>
          <w:tcPr>
            <w:tcW w:w="1154" w:type="dxa"/>
            <w:tcMar>
              <w:top w:w="80" w:type="dxa"/>
              <w:left w:w="80" w:type="dxa"/>
              <w:bottom w:w="80" w:type="dxa"/>
              <w:right w:w="80" w:type="dxa"/>
            </w:tcMar>
          </w:tcPr>
          <w:p w14:paraId="0D1DF76D" w14:textId="2444A908" w:rsidR="00DD0592" w:rsidRPr="00F842E9" w:rsidRDefault="00DD0592" w:rsidP="00C8605D">
            <w:pPr>
              <w:pStyle w:val="Table7pttext"/>
              <w:spacing w:after="60"/>
            </w:pPr>
            <w:r w:rsidRPr="00F842E9">
              <w:t xml:space="preserve">Within three working days from accepting liability — </w:t>
            </w:r>
            <w:hyperlink r:id="rId397" w:history="1">
              <w:r w:rsidR="00C8605D" w:rsidRPr="00C8605D">
                <w:rPr>
                  <w:rStyle w:val="Hyperlink"/>
                </w:rPr>
                <w:t>s</w:t>
              </w:r>
              <w:r w:rsidRPr="00C8605D">
                <w:rPr>
                  <w:rStyle w:val="Hyperlink"/>
                </w:rPr>
                <w:t>85(2)</w:t>
              </w:r>
            </w:hyperlink>
          </w:p>
        </w:tc>
        <w:tc>
          <w:tcPr>
            <w:tcW w:w="1155" w:type="dxa"/>
            <w:tcMar>
              <w:top w:w="80" w:type="dxa"/>
              <w:left w:w="80" w:type="dxa"/>
              <w:bottom w:w="80" w:type="dxa"/>
              <w:right w:w="80" w:type="dxa"/>
            </w:tcMar>
          </w:tcPr>
          <w:p w14:paraId="51A9BC35" w14:textId="554D3B50" w:rsidR="00DD0592" w:rsidRPr="00F842E9" w:rsidRDefault="00DD0592" w:rsidP="00B21723">
            <w:pPr>
              <w:pStyle w:val="Table7pttext"/>
              <w:spacing w:after="60"/>
            </w:pPr>
            <w:r w:rsidRPr="00F842E9">
              <w:t xml:space="preserve">From notification of injury — </w:t>
            </w:r>
            <w:hyperlink r:id="rId398" w:history="1">
              <w:r w:rsidRPr="00BC2D04">
                <w:rPr>
                  <w:rStyle w:val="Hyperlink"/>
                </w:rPr>
                <w:t>s38(1)(a)</w:t>
              </w:r>
            </w:hyperlink>
          </w:p>
        </w:tc>
        <w:tc>
          <w:tcPr>
            <w:tcW w:w="1154" w:type="dxa"/>
            <w:tcMar>
              <w:top w:w="80" w:type="dxa"/>
              <w:left w:w="80" w:type="dxa"/>
              <w:bottom w:w="80" w:type="dxa"/>
              <w:right w:w="80" w:type="dxa"/>
            </w:tcMar>
          </w:tcPr>
          <w:p w14:paraId="77A60C26" w14:textId="5287A1BC"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382D1846" w14:textId="22EA5487" w:rsidR="00DD0592" w:rsidRPr="00F842E9" w:rsidRDefault="00DD0592" w:rsidP="00B21723">
            <w:pPr>
              <w:pStyle w:val="Table7pttext"/>
              <w:spacing w:after="60"/>
            </w:pPr>
            <w:r w:rsidRPr="00F842E9">
              <w:t>Within 30 days of date of determination of amount for injuries resulting in death or permanent impairment</w:t>
            </w:r>
            <w:r w:rsidR="00BC2D04">
              <w:t xml:space="preserve"> </w:t>
            </w:r>
            <w:r w:rsidRPr="00F842E9">
              <w:t xml:space="preserve">— </w:t>
            </w:r>
            <w:hyperlink r:id="rId399" w:history="1">
              <w:r w:rsidRPr="00BC2D04">
                <w:rPr>
                  <w:rStyle w:val="Hyperlink"/>
                </w:rPr>
                <w:t>s130</w:t>
              </w:r>
            </w:hyperlink>
            <w:r w:rsidRPr="00F842E9">
              <w:t>.</w:t>
            </w:r>
          </w:p>
          <w:p w14:paraId="350902AF" w14:textId="66D8E358" w:rsidR="00DD0592" w:rsidRPr="00F842E9" w:rsidRDefault="00F6068C" w:rsidP="00B52BD8">
            <w:pPr>
              <w:pStyle w:val="Table7pttext"/>
              <w:spacing w:after="60"/>
            </w:pPr>
            <w:r>
              <w:t xml:space="preserve">All others </w:t>
            </w:r>
            <w:r w:rsidR="00B52BD8">
              <w:t xml:space="preserve">— </w:t>
            </w:r>
            <w:r>
              <w:t>no time specified</w:t>
            </w:r>
          </w:p>
        </w:tc>
        <w:tc>
          <w:tcPr>
            <w:tcW w:w="1154" w:type="dxa"/>
            <w:tcMar>
              <w:top w:w="80" w:type="dxa"/>
              <w:left w:w="80" w:type="dxa"/>
              <w:bottom w:w="80" w:type="dxa"/>
              <w:right w:w="80" w:type="dxa"/>
            </w:tcMar>
          </w:tcPr>
          <w:p w14:paraId="35B8B177" w14:textId="1964030D"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097CFD6C" w14:textId="2A380F3D" w:rsidR="00DD0592" w:rsidRPr="00F842E9" w:rsidRDefault="00DD0592" w:rsidP="00B21723">
            <w:pPr>
              <w:pStyle w:val="Table7pttext"/>
              <w:spacing w:after="60"/>
            </w:pPr>
            <w:r w:rsidRPr="00F842E9">
              <w:t>Employer must pay first week of compensation for loss of earnings —</w:t>
            </w:r>
            <w:r w:rsidR="00BC2D04">
              <w:t xml:space="preserve"> </w:t>
            </w:r>
            <w:hyperlink r:id="rId400" w:history="1">
              <w:r w:rsidRPr="00BC2D04">
                <w:rPr>
                  <w:rStyle w:val="Hyperlink"/>
                </w:rPr>
                <w:t>s98</w:t>
              </w:r>
            </w:hyperlink>
          </w:p>
          <w:p w14:paraId="122CED5C" w14:textId="77777777" w:rsidR="00F6068C" w:rsidRDefault="00F6068C" w:rsidP="00B21723">
            <w:pPr>
              <w:pStyle w:val="Table7pttext"/>
              <w:spacing w:after="60"/>
            </w:pPr>
          </w:p>
          <w:p w14:paraId="1B12CDE3" w14:textId="27E46C47" w:rsidR="00DD0592" w:rsidRPr="00F842E9" w:rsidRDefault="00DD0592" w:rsidP="00B21723">
            <w:pPr>
              <w:pStyle w:val="Table7pttext"/>
              <w:spacing w:after="60"/>
            </w:pPr>
            <w:r w:rsidRPr="00F842E9">
              <w:t xml:space="preserve">The Corporation to pay weekly compensation for loss of earning to claimant to who was an earner on and from the day after the first week of incapacity — Schedule 1, Part 2, </w:t>
            </w:r>
            <w:hyperlink r:id="rId401" w:history="1">
              <w:r w:rsidRPr="00BC2D04">
                <w:rPr>
                  <w:rStyle w:val="Hyperlink"/>
                </w:rPr>
                <w:t>s32</w:t>
              </w:r>
            </w:hyperlink>
          </w:p>
        </w:tc>
      </w:tr>
      <w:tr w:rsidR="00DD0592" w:rsidRPr="00F842E9" w14:paraId="09D4F495" w14:textId="77777777" w:rsidTr="00FB729B">
        <w:tc>
          <w:tcPr>
            <w:tcW w:w="1582" w:type="dxa"/>
            <w:shd w:val="clear" w:color="auto" w:fill="FFC9C9"/>
            <w:tcMar>
              <w:top w:w="80" w:type="dxa"/>
              <w:left w:w="80" w:type="dxa"/>
              <w:bottom w:w="80" w:type="dxa"/>
              <w:right w:w="80" w:type="dxa"/>
            </w:tcMar>
          </w:tcPr>
          <w:p w14:paraId="00BFDB9B" w14:textId="77777777" w:rsidR="00DD0592" w:rsidRPr="00F842E9" w:rsidRDefault="00DD0592" w:rsidP="00B21723">
            <w:pPr>
              <w:pStyle w:val="TableColumn1bold"/>
              <w:spacing w:after="60"/>
            </w:pPr>
            <w:r w:rsidRPr="00F842E9">
              <w:lastRenderedPageBreak/>
              <w:t>Employer passes on payments to injured worker</w:t>
            </w:r>
          </w:p>
        </w:tc>
        <w:tc>
          <w:tcPr>
            <w:tcW w:w="1154" w:type="dxa"/>
            <w:shd w:val="clear" w:color="auto" w:fill="FFC9C9"/>
            <w:tcMar>
              <w:top w:w="80" w:type="dxa"/>
              <w:left w:w="80" w:type="dxa"/>
              <w:bottom w:w="80" w:type="dxa"/>
              <w:right w:w="80" w:type="dxa"/>
            </w:tcMar>
          </w:tcPr>
          <w:p w14:paraId="5B587C09" w14:textId="1897C729" w:rsidR="00DD0592" w:rsidRPr="00F842E9" w:rsidRDefault="00B64F53" w:rsidP="00B21723">
            <w:pPr>
              <w:pStyle w:val="Table7pttext"/>
              <w:spacing w:after="60"/>
              <w:rPr>
                <w:highlight w:val="yellow"/>
              </w:rPr>
            </w:pPr>
            <w:r w:rsidRPr="00B64F53">
              <w:t>As soon as p</w:t>
            </w:r>
            <w:r w:rsidR="00F6068C">
              <w:t>racticable —</w:t>
            </w:r>
            <w:hyperlink r:id="rId402" w:history="1">
              <w:r w:rsidR="00F6068C" w:rsidRPr="00021D92">
                <w:rPr>
                  <w:rStyle w:val="Hyperlink"/>
                </w:rPr>
                <w:t>s69(1)(c)</w:t>
              </w:r>
            </w:hyperlink>
            <w:r w:rsidR="00F6068C">
              <w:t>, 1998 Act</w:t>
            </w:r>
          </w:p>
        </w:tc>
        <w:tc>
          <w:tcPr>
            <w:tcW w:w="1154" w:type="dxa"/>
            <w:shd w:val="clear" w:color="auto" w:fill="FFC9C9"/>
            <w:tcMar>
              <w:top w:w="80" w:type="dxa"/>
              <w:left w:w="80" w:type="dxa"/>
              <w:bottom w:w="80" w:type="dxa"/>
              <w:right w:w="80" w:type="dxa"/>
            </w:tcMar>
          </w:tcPr>
          <w:p w14:paraId="6C9B3DFC" w14:textId="06F05482" w:rsidR="00DD0592" w:rsidRPr="00F842E9" w:rsidRDefault="00DD0592" w:rsidP="00B21723">
            <w:pPr>
              <w:pStyle w:val="Table7pttext"/>
              <w:spacing w:after="60"/>
            </w:pPr>
            <w:r w:rsidRPr="00F842E9">
              <w:t xml:space="preserve">Max seven days after end of week in which payments are due — </w:t>
            </w:r>
            <w:hyperlink r:id="rId403" w:history="1">
              <w:r w:rsidRPr="00021D92">
                <w:rPr>
                  <w:rStyle w:val="Hyperlink"/>
                </w:rPr>
                <w:t>s179(1)</w:t>
              </w:r>
            </w:hyperlink>
          </w:p>
        </w:tc>
        <w:tc>
          <w:tcPr>
            <w:tcW w:w="1155" w:type="dxa"/>
            <w:shd w:val="clear" w:color="auto" w:fill="FFC9C9"/>
            <w:tcMar>
              <w:top w:w="80" w:type="dxa"/>
              <w:left w:w="80" w:type="dxa"/>
              <w:bottom w:w="80" w:type="dxa"/>
              <w:right w:w="80" w:type="dxa"/>
            </w:tcMar>
          </w:tcPr>
          <w:p w14:paraId="1AA5D440" w14:textId="74B3EE0D" w:rsidR="00DD0592" w:rsidRPr="00F842E9" w:rsidRDefault="00DD0592" w:rsidP="00B21723">
            <w:pPr>
              <w:pStyle w:val="Table7pttext"/>
              <w:spacing w:after="60"/>
            </w:pPr>
            <w:r w:rsidRPr="00F842E9">
              <w:t>Excess to be paid within 10 business days after receiving notice from WorkCover —</w:t>
            </w:r>
            <w:hyperlink r:id="rId404" w:anchor="sec.66" w:history="1">
              <w:r w:rsidRPr="00C8605D">
                <w:rPr>
                  <w:rStyle w:val="Hyperlink"/>
                </w:rPr>
                <w:t>s66(5)</w:t>
              </w:r>
            </w:hyperlink>
          </w:p>
        </w:tc>
        <w:tc>
          <w:tcPr>
            <w:tcW w:w="1154" w:type="dxa"/>
            <w:shd w:val="clear" w:color="auto" w:fill="FFC9C9"/>
            <w:tcMar>
              <w:top w:w="80" w:type="dxa"/>
              <w:left w:w="80" w:type="dxa"/>
              <w:bottom w:w="80" w:type="dxa"/>
              <w:right w:w="80" w:type="dxa"/>
            </w:tcMar>
          </w:tcPr>
          <w:p w14:paraId="66CC5DB6" w14:textId="0458F0AE" w:rsidR="00DD0592" w:rsidRPr="00F842E9" w:rsidRDefault="00DD0592" w:rsidP="00B21723">
            <w:pPr>
              <w:pStyle w:val="Table7pttext"/>
              <w:spacing w:after="60"/>
            </w:pPr>
            <w:r w:rsidRPr="00F842E9">
              <w:t>As above. Subseq</w:t>
            </w:r>
            <w:r w:rsidR="00F6068C">
              <w:t>uent payments on usual pay days</w:t>
            </w:r>
          </w:p>
        </w:tc>
        <w:tc>
          <w:tcPr>
            <w:tcW w:w="1155" w:type="dxa"/>
            <w:shd w:val="clear" w:color="auto" w:fill="FFC9C9"/>
            <w:tcMar>
              <w:top w:w="80" w:type="dxa"/>
              <w:left w:w="80" w:type="dxa"/>
              <w:bottom w:w="80" w:type="dxa"/>
              <w:right w:w="80" w:type="dxa"/>
            </w:tcMar>
          </w:tcPr>
          <w:p w14:paraId="4933ED60" w14:textId="574FEAF9" w:rsidR="00DD0592" w:rsidRPr="00F842E9" w:rsidRDefault="00F6068C" w:rsidP="00B21723">
            <w:pPr>
              <w:pStyle w:val="Table7pttext"/>
              <w:spacing w:after="60"/>
            </w:pPr>
            <w:r>
              <w:t>As above</w:t>
            </w:r>
          </w:p>
        </w:tc>
        <w:tc>
          <w:tcPr>
            <w:tcW w:w="1154" w:type="dxa"/>
            <w:shd w:val="clear" w:color="auto" w:fill="FFC9C9"/>
            <w:tcMar>
              <w:top w:w="80" w:type="dxa"/>
              <w:left w:w="80" w:type="dxa"/>
              <w:bottom w:w="80" w:type="dxa"/>
              <w:right w:w="80" w:type="dxa"/>
            </w:tcMar>
          </w:tcPr>
          <w:p w14:paraId="6826690B" w14:textId="77777777" w:rsidR="00DD0592" w:rsidRPr="00F842E9" w:rsidRDefault="00DD0592" w:rsidP="00B21723">
            <w:pPr>
              <w:pStyle w:val="Table7pttext"/>
              <w:spacing w:after="60"/>
            </w:pPr>
            <w:r w:rsidRPr="00F842E9">
              <w:t>—</w:t>
            </w:r>
          </w:p>
        </w:tc>
        <w:tc>
          <w:tcPr>
            <w:tcW w:w="1154" w:type="dxa"/>
            <w:shd w:val="clear" w:color="auto" w:fill="FFC9C9"/>
            <w:tcMar>
              <w:top w:w="80" w:type="dxa"/>
              <w:left w:w="80" w:type="dxa"/>
              <w:bottom w:w="80" w:type="dxa"/>
              <w:right w:w="80" w:type="dxa"/>
            </w:tcMar>
          </w:tcPr>
          <w:p w14:paraId="2498BDCA" w14:textId="32F09E0D" w:rsidR="00DD0592" w:rsidRPr="00F842E9" w:rsidRDefault="00DD0592" w:rsidP="00B21723">
            <w:pPr>
              <w:pStyle w:val="Table7pttext"/>
              <w:spacing w:after="60"/>
            </w:pPr>
            <w:r w:rsidRPr="00F842E9">
              <w:t xml:space="preserve">Three working days from accepting liability — </w:t>
            </w:r>
            <w:hyperlink r:id="rId405" w:history="1">
              <w:r w:rsidRPr="00C8605D">
                <w:rPr>
                  <w:rStyle w:val="Hyperlink"/>
                </w:rPr>
                <w:t>s85(2)</w:t>
              </w:r>
            </w:hyperlink>
            <w:r w:rsidRPr="00F842E9">
              <w:br/>
              <w:t>From then on – within seven days after the end of the week</w:t>
            </w:r>
            <w:r>
              <w:t xml:space="preserve"> </w:t>
            </w:r>
            <w:r w:rsidRPr="00F842E9">
              <w:t>in which payments are due —</w:t>
            </w:r>
            <w:r w:rsidR="00C8605D">
              <w:t xml:space="preserve"> </w:t>
            </w:r>
            <w:hyperlink r:id="rId406" w:history="1">
              <w:r w:rsidRPr="00C8605D">
                <w:rPr>
                  <w:rStyle w:val="Hyperlink"/>
                </w:rPr>
                <w:t>s88</w:t>
              </w:r>
            </w:hyperlink>
          </w:p>
        </w:tc>
        <w:tc>
          <w:tcPr>
            <w:tcW w:w="1155" w:type="dxa"/>
            <w:shd w:val="clear" w:color="auto" w:fill="FFC9C9"/>
            <w:tcMar>
              <w:top w:w="80" w:type="dxa"/>
              <w:left w:w="80" w:type="dxa"/>
              <w:bottom w:w="80" w:type="dxa"/>
              <w:right w:w="80" w:type="dxa"/>
            </w:tcMar>
          </w:tcPr>
          <w:p w14:paraId="12B5AC5A" w14:textId="1EA1F87E" w:rsidR="00DD0592" w:rsidRPr="00F842E9" w:rsidRDefault="00DD0592" w:rsidP="00B21723">
            <w:pPr>
              <w:pStyle w:val="Table7pttext"/>
              <w:spacing w:after="60"/>
            </w:pPr>
            <w:r w:rsidRPr="00F842E9">
              <w:t xml:space="preserve">Immediately — </w:t>
            </w:r>
            <w:hyperlink r:id="rId407" w:history="1">
              <w:r w:rsidRPr="00BC2D04">
                <w:rPr>
                  <w:rStyle w:val="Hyperlink"/>
                </w:rPr>
                <w:t>s126(3)</w:t>
              </w:r>
            </w:hyperlink>
          </w:p>
        </w:tc>
        <w:tc>
          <w:tcPr>
            <w:tcW w:w="1154" w:type="dxa"/>
            <w:shd w:val="clear" w:color="auto" w:fill="FFC9C9"/>
            <w:tcMar>
              <w:top w:w="80" w:type="dxa"/>
              <w:left w:w="80" w:type="dxa"/>
              <w:bottom w:w="80" w:type="dxa"/>
              <w:right w:w="80" w:type="dxa"/>
            </w:tcMar>
          </w:tcPr>
          <w:p w14:paraId="5EA1B47D" w14:textId="5D389B13" w:rsidR="00DD0592" w:rsidRPr="00F842E9" w:rsidRDefault="00F6068C" w:rsidP="00B21723">
            <w:pPr>
              <w:pStyle w:val="Table7pttext"/>
              <w:spacing w:after="60"/>
            </w:pPr>
            <w:r>
              <w:t>No time specified</w:t>
            </w:r>
          </w:p>
        </w:tc>
        <w:tc>
          <w:tcPr>
            <w:tcW w:w="1155" w:type="dxa"/>
            <w:shd w:val="clear" w:color="auto" w:fill="FFC9C9"/>
            <w:tcMar>
              <w:top w:w="80" w:type="dxa"/>
              <w:left w:w="80" w:type="dxa"/>
              <w:bottom w:w="80" w:type="dxa"/>
              <w:right w:w="80" w:type="dxa"/>
            </w:tcMar>
          </w:tcPr>
          <w:p w14:paraId="7C95F74C" w14:textId="3BED7319" w:rsidR="00DD0592" w:rsidRPr="00F842E9" w:rsidRDefault="00F6068C" w:rsidP="00B21723">
            <w:pPr>
              <w:pStyle w:val="Table7pttext"/>
              <w:spacing w:after="60"/>
            </w:pPr>
            <w:r>
              <w:t>No time specified</w:t>
            </w:r>
          </w:p>
        </w:tc>
        <w:tc>
          <w:tcPr>
            <w:tcW w:w="1154" w:type="dxa"/>
            <w:shd w:val="clear" w:color="auto" w:fill="FFC9C9"/>
            <w:tcMar>
              <w:top w:w="80" w:type="dxa"/>
              <w:left w:w="80" w:type="dxa"/>
              <w:bottom w:w="80" w:type="dxa"/>
              <w:right w:w="80" w:type="dxa"/>
            </w:tcMar>
          </w:tcPr>
          <w:p w14:paraId="203D2149" w14:textId="18DBC0DA" w:rsidR="00DD0592" w:rsidRPr="00F842E9" w:rsidRDefault="00F6068C" w:rsidP="00B21723">
            <w:pPr>
              <w:pStyle w:val="Table7pttext"/>
              <w:spacing w:after="60"/>
            </w:pPr>
            <w:r>
              <w:t>No time specified</w:t>
            </w:r>
          </w:p>
        </w:tc>
        <w:tc>
          <w:tcPr>
            <w:tcW w:w="1155" w:type="dxa"/>
            <w:shd w:val="clear" w:color="auto" w:fill="FFC9C9"/>
            <w:tcMar>
              <w:top w:w="80" w:type="dxa"/>
              <w:left w:w="80" w:type="dxa"/>
              <w:bottom w:w="80" w:type="dxa"/>
              <w:right w:w="80" w:type="dxa"/>
            </w:tcMar>
          </w:tcPr>
          <w:p w14:paraId="6432BEF7" w14:textId="41823467" w:rsidR="00DD0592" w:rsidRPr="00F842E9" w:rsidRDefault="00DD0592" w:rsidP="00B21723">
            <w:pPr>
              <w:pStyle w:val="Table7pttext"/>
              <w:spacing w:after="60"/>
            </w:pPr>
            <w:r w:rsidRPr="00F842E9">
              <w:t>Payments made dir</w:t>
            </w:r>
            <w:r w:rsidR="000D3C6D">
              <w:t>ectly to Injured worker/ claimant</w:t>
            </w:r>
          </w:p>
        </w:tc>
      </w:tr>
      <w:tr w:rsidR="00DD0592" w:rsidRPr="00F842E9" w14:paraId="6C206127" w14:textId="77777777" w:rsidTr="00FB729B">
        <w:tc>
          <w:tcPr>
            <w:tcW w:w="1582" w:type="dxa"/>
            <w:tcMar>
              <w:top w:w="80" w:type="dxa"/>
              <w:left w:w="80" w:type="dxa"/>
              <w:bottom w:w="80" w:type="dxa"/>
              <w:right w:w="80" w:type="dxa"/>
            </w:tcMar>
          </w:tcPr>
          <w:p w14:paraId="49B7AC5B" w14:textId="77777777" w:rsidR="00DD0592" w:rsidRPr="00F842E9" w:rsidRDefault="00DD0592" w:rsidP="00B21723">
            <w:pPr>
              <w:pStyle w:val="TableColumn1bold"/>
              <w:spacing w:after="60"/>
            </w:pPr>
            <w:r w:rsidRPr="00F842E9">
              <w:t>Medical invoices sent to insurer</w:t>
            </w:r>
          </w:p>
        </w:tc>
        <w:tc>
          <w:tcPr>
            <w:tcW w:w="1154" w:type="dxa"/>
            <w:tcMar>
              <w:top w:w="80" w:type="dxa"/>
              <w:left w:w="80" w:type="dxa"/>
              <w:bottom w:w="80" w:type="dxa"/>
              <w:right w:w="80" w:type="dxa"/>
            </w:tcMar>
          </w:tcPr>
          <w:p w14:paraId="265BE9B0" w14:textId="1F0CD260" w:rsidR="00DD0592" w:rsidRPr="00F842E9" w:rsidRDefault="00F6068C" w:rsidP="00B21723">
            <w:pPr>
              <w:pStyle w:val="Table7pttext"/>
              <w:spacing w:after="60"/>
              <w:rPr>
                <w:highlight w:val="yellow"/>
              </w:rPr>
            </w:pPr>
            <w:r>
              <w:t>No time specified</w:t>
            </w:r>
          </w:p>
        </w:tc>
        <w:tc>
          <w:tcPr>
            <w:tcW w:w="1154" w:type="dxa"/>
            <w:tcMar>
              <w:top w:w="80" w:type="dxa"/>
              <w:left w:w="80" w:type="dxa"/>
              <w:bottom w:w="80" w:type="dxa"/>
              <w:right w:w="80" w:type="dxa"/>
            </w:tcMar>
          </w:tcPr>
          <w:p w14:paraId="2F20DB7B" w14:textId="63237C80" w:rsidR="00DD0592" w:rsidRPr="00F842E9" w:rsidRDefault="00DD0592" w:rsidP="00B21723">
            <w:pPr>
              <w:pStyle w:val="Table7pttext"/>
              <w:spacing w:after="60"/>
            </w:pPr>
            <w:r w:rsidRPr="00F842E9">
              <w:t xml:space="preserve">Within six months after the date of the service — </w:t>
            </w:r>
            <w:hyperlink r:id="rId408" w:history="1">
              <w:r w:rsidRPr="00021D92">
                <w:rPr>
                  <w:rStyle w:val="Hyperlink"/>
                </w:rPr>
                <w:t>s20(8)(c)</w:t>
              </w:r>
            </w:hyperlink>
          </w:p>
        </w:tc>
        <w:tc>
          <w:tcPr>
            <w:tcW w:w="1155" w:type="dxa"/>
            <w:tcMar>
              <w:top w:w="80" w:type="dxa"/>
              <w:left w:w="80" w:type="dxa"/>
              <w:bottom w:w="80" w:type="dxa"/>
              <w:right w:w="80" w:type="dxa"/>
            </w:tcMar>
          </w:tcPr>
          <w:p w14:paraId="1A90CFA8" w14:textId="350F9BA2" w:rsidR="00DD0592" w:rsidRPr="00F842E9" w:rsidRDefault="00DD0592" w:rsidP="00B21723">
            <w:pPr>
              <w:pStyle w:val="Table7pttext"/>
              <w:spacing w:after="60"/>
            </w:pPr>
            <w:r w:rsidRPr="00F842E9">
              <w:t xml:space="preserve">Two months — </w:t>
            </w:r>
            <w:hyperlink r:id="rId409" w:anchor="sec.213" w:history="1">
              <w:r w:rsidRPr="00C8605D">
                <w:rPr>
                  <w:rStyle w:val="Hyperlink"/>
                </w:rPr>
                <w:t>s213(2)</w:t>
              </w:r>
            </w:hyperlink>
          </w:p>
        </w:tc>
        <w:tc>
          <w:tcPr>
            <w:tcW w:w="1154" w:type="dxa"/>
            <w:tcMar>
              <w:top w:w="80" w:type="dxa"/>
              <w:left w:w="80" w:type="dxa"/>
              <w:bottom w:w="80" w:type="dxa"/>
              <w:right w:w="80" w:type="dxa"/>
            </w:tcMar>
          </w:tcPr>
          <w:p w14:paraId="407B2EEE" w14:textId="026A2836"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50C44490" w14:textId="7CDCB62F" w:rsidR="00DD0592" w:rsidRPr="00F842E9" w:rsidRDefault="00F6068C" w:rsidP="00B21723">
            <w:pPr>
              <w:pStyle w:val="Table7pttext"/>
              <w:spacing w:after="60"/>
            </w:pPr>
            <w:r>
              <w:t>No time specified</w:t>
            </w:r>
          </w:p>
        </w:tc>
        <w:tc>
          <w:tcPr>
            <w:tcW w:w="1154" w:type="dxa"/>
            <w:tcMar>
              <w:top w:w="80" w:type="dxa"/>
              <w:left w:w="80" w:type="dxa"/>
              <w:bottom w:w="80" w:type="dxa"/>
              <w:right w:w="80" w:type="dxa"/>
            </w:tcMar>
          </w:tcPr>
          <w:p w14:paraId="14873BEE" w14:textId="3A461ABE" w:rsidR="00DD0592" w:rsidRPr="00F842E9" w:rsidRDefault="00DD0592" w:rsidP="00B21723">
            <w:pPr>
              <w:pStyle w:val="Table7pttext"/>
              <w:spacing w:after="60"/>
            </w:pPr>
            <w:r w:rsidRPr="00F842E9">
              <w:t xml:space="preserve">Within seven days of employer receiving account — </w:t>
            </w:r>
            <w:hyperlink r:id="rId410" w:history="1">
              <w:r w:rsidRPr="00F842E9">
                <w:rPr>
                  <w:rStyle w:val="Hyperlink"/>
                </w:rPr>
                <w:t>s76A(2)</w:t>
              </w:r>
            </w:hyperlink>
          </w:p>
        </w:tc>
        <w:tc>
          <w:tcPr>
            <w:tcW w:w="1154" w:type="dxa"/>
            <w:tcMar>
              <w:top w:w="80" w:type="dxa"/>
              <w:left w:w="80" w:type="dxa"/>
              <w:bottom w:w="80" w:type="dxa"/>
              <w:right w:w="80" w:type="dxa"/>
            </w:tcMar>
          </w:tcPr>
          <w:p w14:paraId="2312D75B" w14:textId="687FA14E"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24DC72E3" w14:textId="7B548123" w:rsidR="00DD0592" w:rsidRPr="00F842E9" w:rsidRDefault="00F6068C" w:rsidP="00B21723">
            <w:pPr>
              <w:pStyle w:val="Table7pttext"/>
              <w:spacing w:after="60"/>
            </w:pPr>
            <w:r>
              <w:t>Not specified</w:t>
            </w:r>
          </w:p>
        </w:tc>
        <w:tc>
          <w:tcPr>
            <w:tcW w:w="1154" w:type="dxa"/>
            <w:tcMar>
              <w:top w:w="80" w:type="dxa"/>
              <w:left w:w="80" w:type="dxa"/>
              <w:bottom w:w="80" w:type="dxa"/>
              <w:right w:w="80" w:type="dxa"/>
            </w:tcMar>
          </w:tcPr>
          <w:p w14:paraId="3830241D" w14:textId="0FCDEE98"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29E64879" w14:textId="27DC2FBE" w:rsidR="00DD0592" w:rsidRPr="00F842E9" w:rsidRDefault="00F6068C" w:rsidP="00B21723">
            <w:pPr>
              <w:pStyle w:val="Table7pttext"/>
              <w:spacing w:after="60"/>
            </w:pPr>
            <w:r>
              <w:t>No time specified</w:t>
            </w:r>
          </w:p>
        </w:tc>
        <w:tc>
          <w:tcPr>
            <w:tcW w:w="1154" w:type="dxa"/>
            <w:tcMar>
              <w:top w:w="80" w:type="dxa"/>
              <w:left w:w="80" w:type="dxa"/>
              <w:bottom w:w="80" w:type="dxa"/>
              <w:right w:w="80" w:type="dxa"/>
            </w:tcMar>
          </w:tcPr>
          <w:p w14:paraId="02771EEE" w14:textId="2FBAF78E"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2EEA4330" w14:textId="0809EF3A" w:rsidR="00DD0592" w:rsidRPr="00F842E9" w:rsidRDefault="00F6068C" w:rsidP="00B21723">
            <w:pPr>
              <w:pStyle w:val="Table7pttext"/>
              <w:spacing w:after="60"/>
            </w:pPr>
            <w:r>
              <w:t>No time specified</w:t>
            </w:r>
          </w:p>
        </w:tc>
      </w:tr>
      <w:tr w:rsidR="00DD0592" w:rsidRPr="00F842E9" w14:paraId="0CD98CD7" w14:textId="77777777" w:rsidTr="00FB729B">
        <w:tc>
          <w:tcPr>
            <w:tcW w:w="1582" w:type="dxa"/>
            <w:shd w:val="clear" w:color="auto" w:fill="FFC9C9"/>
            <w:tcMar>
              <w:top w:w="80" w:type="dxa"/>
              <w:left w:w="80" w:type="dxa"/>
              <w:bottom w:w="80" w:type="dxa"/>
              <w:right w:w="80" w:type="dxa"/>
            </w:tcMar>
          </w:tcPr>
          <w:p w14:paraId="313C0869" w14:textId="77777777" w:rsidR="00DD0592" w:rsidRPr="00F842E9" w:rsidRDefault="00DD0592" w:rsidP="00B21723">
            <w:pPr>
              <w:pStyle w:val="TableColumn1bold"/>
              <w:spacing w:after="60"/>
            </w:pPr>
            <w:r w:rsidRPr="00F842E9">
              <w:t>Medical expenses accepted</w:t>
            </w:r>
          </w:p>
        </w:tc>
        <w:tc>
          <w:tcPr>
            <w:tcW w:w="1154" w:type="dxa"/>
            <w:shd w:val="clear" w:color="auto" w:fill="FFC9C9"/>
            <w:tcMar>
              <w:top w:w="80" w:type="dxa"/>
              <w:left w:w="80" w:type="dxa"/>
              <w:bottom w:w="80" w:type="dxa"/>
              <w:right w:w="80" w:type="dxa"/>
            </w:tcMar>
          </w:tcPr>
          <w:p w14:paraId="671B65B4" w14:textId="3161A384" w:rsidR="00DD0592" w:rsidRPr="00F842E9" w:rsidRDefault="00B64F53" w:rsidP="00B21723">
            <w:pPr>
              <w:pStyle w:val="Table7pttext"/>
              <w:spacing w:after="60"/>
            </w:pPr>
            <w:r w:rsidRPr="00B64F53">
              <w:t>Within 21 days of claim being made —</w:t>
            </w:r>
            <w:hyperlink r:id="rId411" w:history="1">
              <w:r w:rsidRPr="00021D92">
                <w:rPr>
                  <w:rStyle w:val="Hyperlink"/>
                </w:rPr>
                <w:t>s279(1)</w:t>
              </w:r>
            </w:hyperlink>
            <w:r w:rsidRPr="00B64F53">
              <w:t xml:space="preserve"> and </w:t>
            </w:r>
            <w:hyperlink r:id="rId412" w:history="1">
              <w:r w:rsidRPr="00021D92">
                <w:rPr>
                  <w:rStyle w:val="Hyperlink"/>
                </w:rPr>
                <w:t>s280</w:t>
              </w:r>
            </w:hyperlink>
            <w:r w:rsidRPr="00B64F53">
              <w:t xml:space="preserve"> 1998 Act</w:t>
            </w:r>
          </w:p>
        </w:tc>
        <w:tc>
          <w:tcPr>
            <w:tcW w:w="1154" w:type="dxa"/>
            <w:shd w:val="clear" w:color="auto" w:fill="FFC9C9"/>
            <w:tcMar>
              <w:top w:w="80" w:type="dxa"/>
              <w:left w:w="80" w:type="dxa"/>
              <w:bottom w:w="80" w:type="dxa"/>
              <w:right w:w="80" w:type="dxa"/>
            </w:tcMar>
          </w:tcPr>
          <w:p w14:paraId="2119A81F" w14:textId="58AA8CD1" w:rsidR="00DD0592" w:rsidRPr="00F842E9" w:rsidRDefault="00DD0592" w:rsidP="00B21723">
            <w:pPr>
              <w:pStyle w:val="Table7pttext"/>
              <w:spacing w:after="60"/>
            </w:pPr>
            <w:r w:rsidRPr="00F842E9">
              <w:t xml:space="preserve">Claim for compensation to be accepted or rejected within 28 days — </w:t>
            </w:r>
            <w:hyperlink r:id="rId413" w:history="1">
              <w:r w:rsidRPr="00021D92">
                <w:rPr>
                  <w:rStyle w:val="Hyperlink"/>
                </w:rPr>
                <w:t>s75(2)</w:t>
              </w:r>
            </w:hyperlink>
          </w:p>
        </w:tc>
        <w:tc>
          <w:tcPr>
            <w:tcW w:w="1155" w:type="dxa"/>
            <w:shd w:val="clear" w:color="auto" w:fill="FFC9C9"/>
            <w:tcMar>
              <w:top w:w="80" w:type="dxa"/>
              <w:left w:w="80" w:type="dxa"/>
              <w:bottom w:w="80" w:type="dxa"/>
              <w:right w:w="80" w:type="dxa"/>
            </w:tcMar>
          </w:tcPr>
          <w:p w14:paraId="70537F28" w14:textId="77777777" w:rsidR="00DD0592" w:rsidRPr="00F842E9" w:rsidRDefault="00DD0592" w:rsidP="00B21723">
            <w:pPr>
              <w:pStyle w:val="Table7pttext"/>
              <w:spacing w:after="60"/>
            </w:pPr>
            <w:r w:rsidRPr="00F842E9">
              <w:t>—</w:t>
            </w:r>
          </w:p>
        </w:tc>
        <w:tc>
          <w:tcPr>
            <w:tcW w:w="1154" w:type="dxa"/>
            <w:shd w:val="clear" w:color="auto" w:fill="FFC9C9"/>
            <w:tcMar>
              <w:top w:w="80" w:type="dxa"/>
              <w:left w:w="80" w:type="dxa"/>
              <w:bottom w:w="80" w:type="dxa"/>
              <w:right w:w="80" w:type="dxa"/>
            </w:tcMar>
          </w:tcPr>
          <w:p w14:paraId="5765F9E0" w14:textId="701D294F" w:rsidR="00DD0592" w:rsidRPr="00F842E9" w:rsidRDefault="00F6068C" w:rsidP="00B21723">
            <w:pPr>
              <w:pStyle w:val="Table7pttext"/>
              <w:spacing w:after="60"/>
            </w:pPr>
            <w:r>
              <w:t>No time specified</w:t>
            </w:r>
          </w:p>
        </w:tc>
        <w:tc>
          <w:tcPr>
            <w:tcW w:w="1155" w:type="dxa"/>
            <w:shd w:val="clear" w:color="auto" w:fill="FFC9C9"/>
            <w:tcMar>
              <w:top w:w="80" w:type="dxa"/>
              <w:left w:w="80" w:type="dxa"/>
              <w:bottom w:w="80" w:type="dxa"/>
              <w:right w:w="80" w:type="dxa"/>
            </w:tcMar>
          </w:tcPr>
          <w:p w14:paraId="7E2FF99C" w14:textId="5EF1474E" w:rsidR="00DD0592" w:rsidRPr="00F842E9" w:rsidRDefault="00F6068C" w:rsidP="00B21723">
            <w:pPr>
              <w:pStyle w:val="Table7pttext"/>
              <w:spacing w:after="60"/>
            </w:pPr>
            <w:r>
              <w:t>No time specified</w:t>
            </w:r>
          </w:p>
        </w:tc>
        <w:tc>
          <w:tcPr>
            <w:tcW w:w="1154" w:type="dxa"/>
            <w:shd w:val="clear" w:color="auto" w:fill="FFC9C9"/>
            <w:tcMar>
              <w:top w:w="80" w:type="dxa"/>
              <w:left w:w="80" w:type="dxa"/>
              <w:bottom w:w="80" w:type="dxa"/>
              <w:right w:w="80" w:type="dxa"/>
            </w:tcMar>
          </w:tcPr>
          <w:p w14:paraId="1187E3D0" w14:textId="77777777" w:rsidR="00DD0592" w:rsidRPr="00F842E9" w:rsidRDefault="00DD0592" w:rsidP="00B21723">
            <w:pPr>
              <w:pStyle w:val="Table7pttext"/>
              <w:spacing w:after="60"/>
            </w:pPr>
            <w:r w:rsidRPr="00F842E9">
              <w:t>—</w:t>
            </w:r>
          </w:p>
        </w:tc>
        <w:tc>
          <w:tcPr>
            <w:tcW w:w="1154" w:type="dxa"/>
            <w:shd w:val="clear" w:color="auto" w:fill="FFC9C9"/>
            <w:tcMar>
              <w:top w:w="80" w:type="dxa"/>
              <w:left w:w="80" w:type="dxa"/>
              <w:bottom w:w="80" w:type="dxa"/>
              <w:right w:w="80" w:type="dxa"/>
            </w:tcMar>
          </w:tcPr>
          <w:p w14:paraId="253B6C12" w14:textId="0C4415A1" w:rsidR="00DD0592" w:rsidRPr="00F842E9" w:rsidRDefault="00F6068C" w:rsidP="00B21723">
            <w:pPr>
              <w:pStyle w:val="Table7pttext"/>
              <w:spacing w:after="60"/>
            </w:pPr>
            <w:r>
              <w:t>No time specified</w:t>
            </w:r>
          </w:p>
        </w:tc>
        <w:tc>
          <w:tcPr>
            <w:tcW w:w="1155" w:type="dxa"/>
            <w:shd w:val="clear" w:color="auto" w:fill="FFC9C9"/>
            <w:tcMar>
              <w:top w:w="80" w:type="dxa"/>
              <w:left w:w="80" w:type="dxa"/>
              <w:bottom w:w="80" w:type="dxa"/>
              <w:right w:w="80" w:type="dxa"/>
            </w:tcMar>
          </w:tcPr>
          <w:p w14:paraId="73ADA948" w14:textId="017A9B25" w:rsidR="00DD0592" w:rsidRPr="00F842E9" w:rsidRDefault="00F6068C" w:rsidP="00B21723">
            <w:pPr>
              <w:pStyle w:val="Table7pttext"/>
              <w:spacing w:after="60"/>
            </w:pPr>
            <w:r>
              <w:t>Not specified</w:t>
            </w:r>
          </w:p>
        </w:tc>
        <w:tc>
          <w:tcPr>
            <w:tcW w:w="1154" w:type="dxa"/>
            <w:shd w:val="clear" w:color="auto" w:fill="FFC9C9"/>
            <w:tcMar>
              <w:top w:w="80" w:type="dxa"/>
              <w:left w:w="80" w:type="dxa"/>
              <w:bottom w:w="80" w:type="dxa"/>
              <w:right w:w="80" w:type="dxa"/>
            </w:tcMar>
          </w:tcPr>
          <w:p w14:paraId="68441894" w14:textId="1F1AD19A" w:rsidR="00DD0592" w:rsidRPr="00F842E9" w:rsidRDefault="00F6068C" w:rsidP="00B21723">
            <w:pPr>
              <w:pStyle w:val="Table7pttext"/>
              <w:spacing w:after="60"/>
            </w:pPr>
            <w:r>
              <w:t>No time specified</w:t>
            </w:r>
          </w:p>
        </w:tc>
        <w:tc>
          <w:tcPr>
            <w:tcW w:w="1155" w:type="dxa"/>
            <w:shd w:val="clear" w:color="auto" w:fill="FFC9C9"/>
            <w:tcMar>
              <w:top w:w="80" w:type="dxa"/>
              <w:left w:w="80" w:type="dxa"/>
              <w:bottom w:w="80" w:type="dxa"/>
              <w:right w:w="80" w:type="dxa"/>
            </w:tcMar>
          </w:tcPr>
          <w:p w14:paraId="176FD57D" w14:textId="0ABF99AD" w:rsidR="00DD0592" w:rsidRPr="00F842E9" w:rsidRDefault="00F6068C" w:rsidP="00B21723">
            <w:pPr>
              <w:pStyle w:val="Table7pttext"/>
              <w:spacing w:after="60"/>
            </w:pPr>
            <w:r>
              <w:t>No time specified</w:t>
            </w:r>
          </w:p>
        </w:tc>
        <w:tc>
          <w:tcPr>
            <w:tcW w:w="1154" w:type="dxa"/>
            <w:shd w:val="clear" w:color="auto" w:fill="FFC9C9"/>
            <w:tcMar>
              <w:top w:w="80" w:type="dxa"/>
              <w:left w:w="80" w:type="dxa"/>
              <w:bottom w:w="80" w:type="dxa"/>
              <w:right w:w="80" w:type="dxa"/>
            </w:tcMar>
          </w:tcPr>
          <w:p w14:paraId="385DC938" w14:textId="45D00095" w:rsidR="00DD0592" w:rsidRPr="00F842E9" w:rsidRDefault="00F6068C" w:rsidP="00B21723">
            <w:pPr>
              <w:pStyle w:val="Table7pttext"/>
              <w:spacing w:after="60"/>
            </w:pPr>
            <w:r>
              <w:t>No time specified</w:t>
            </w:r>
          </w:p>
        </w:tc>
        <w:tc>
          <w:tcPr>
            <w:tcW w:w="1155" w:type="dxa"/>
            <w:shd w:val="clear" w:color="auto" w:fill="FFC9C9"/>
            <w:tcMar>
              <w:top w:w="80" w:type="dxa"/>
              <w:left w:w="80" w:type="dxa"/>
              <w:bottom w:w="80" w:type="dxa"/>
              <w:right w:w="80" w:type="dxa"/>
            </w:tcMar>
          </w:tcPr>
          <w:p w14:paraId="00FD34A7" w14:textId="5B519EF9" w:rsidR="00DD0592" w:rsidRPr="00F842E9" w:rsidRDefault="00F6068C" w:rsidP="00B21723">
            <w:pPr>
              <w:pStyle w:val="Table7pttext"/>
              <w:spacing w:after="60"/>
            </w:pPr>
            <w:r>
              <w:t>No time specified</w:t>
            </w:r>
          </w:p>
        </w:tc>
      </w:tr>
      <w:tr w:rsidR="00DD0592" w:rsidRPr="00F842E9" w14:paraId="285F91D0" w14:textId="77777777" w:rsidTr="00FB729B">
        <w:tc>
          <w:tcPr>
            <w:tcW w:w="1582" w:type="dxa"/>
            <w:tcMar>
              <w:top w:w="80" w:type="dxa"/>
              <w:left w:w="80" w:type="dxa"/>
              <w:bottom w:w="80" w:type="dxa"/>
              <w:right w:w="80" w:type="dxa"/>
            </w:tcMar>
          </w:tcPr>
          <w:p w14:paraId="10FCC0FE" w14:textId="77777777" w:rsidR="00DD0592" w:rsidRPr="00F842E9" w:rsidRDefault="00DD0592" w:rsidP="00B21723">
            <w:pPr>
              <w:pStyle w:val="TableColumn1bold"/>
              <w:spacing w:after="60"/>
            </w:pPr>
            <w:r w:rsidRPr="00F842E9">
              <w:t>Medical expenses paid</w:t>
            </w:r>
          </w:p>
        </w:tc>
        <w:tc>
          <w:tcPr>
            <w:tcW w:w="1154" w:type="dxa"/>
            <w:tcMar>
              <w:top w:w="80" w:type="dxa"/>
              <w:left w:w="80" w:type="dxa"/>
              <w:bottom w:w="80" w:type="dxa"/>
              <w:right w:w="80" w:type="dxa"/>
            </w:tcMar>
          </w:tcPr>
          <w:p w14:paraId="4B8487AF" w14:textId="3F993DF3" w:rsidR="00DD0592" w:rsidRPr="00F842E9" w:rsidRDefault="00F6068C" w:rsidP="00B21723">
            <w:pPr>
              <w:pStyle w:val="Table7pttext"/>
              <w:spacing w:after="60"/>
            </w:pPr>
            <w:r>
              <w:t>No time specified</w:t>
            </w:r>
          </w:p>
        </w:tc>
        <w:tc>
          <w:tcPr>
            <w:tcW w:w="1154" w:type="dxa"/>
            <w:tcMar>
              <w:top w:w="80" w:type="dxa"/>
              <w:left w:w="80" w:type="dxa"/>
              <w:bottom w:w="80" w:type="dxa"/>
              <w:right w:w="80" w:type="dxa"/>
            </w:tcMar>
          </w:tcPr>
          <w:p w14:paraId="365617A2" w14:textId="6137E042" w:rsidR="00DD0592" w:rsidRPr="00F842E9" w:rsidRDefault="00DD0592" w:rsidP="00B21723">
            <w:pPr>
              <w:pStyle w:val="Table7pttext"/>
              <w:spacing w:after="60"/>
            </w:pPr>
            <w:r w:rsidRPr="00F842E9">
              <w:t xml:space="preserve">No time </w:t>
            </w:r>
            <w:r w:rsidR="00F6068C">
              <w:t>specified</w:t>
            </w:r>
          </w:p>
        </w:tc>
        <w:tc>
          <w:tcPr>
            <w:tcW w:w="1155" w:type="dxa"/>
            <w:tcMar>
              <w:top w:w="80" w:type="dxa"/>
              <w:left w:w="80" w:type="dxa"/>
              <w:bottom w:w="80" w:type="dxa"/>
              <w:right w:w="80" w:type="dxa"/>
            </w:tcMar>
          </w:tcPr>
          <w:p w14:paraId="1FD575EC" w14:textId="06F80C6C" w:rsidR="00DD0592" w:rsidRPr="00F842E9" w:rsidRDefault="00DD0592" w:rsidP="00B21723">
            <w:pPr>
              <w:pStyle w:val="Table7pttext"/>
              <w:spacing w:after="60"/>
            </w:pPr>
            <w:r w:rsidRPr="00F842E9">
              <w:t xml:space="preserve">No time specified — </w:t>
            </w:r>
            <w:hyperlink r:id="rId414" w:anchor="sec.210" w:history="1">
              <w:r w:rsidRPr="00C8605D">
                <w:rPr>
                  <w:rStyle w:val="Hyperlink"/>
                </w:rPr>
                <w:t>s210</w:t>
              </w:r>
            </w:hyperlink>
          </w:p>
        </w:tc>
        <w:tc>
          <w:tcPr>
            <w:tcW w:w="1154" w:type="dxa"/>
            <w:tcMar>
              <w:top w:w="80" w:type="dxa"/>
              <w:left w:w="80" w:type="dxa"/>
              <w:bottom w:w="80" w:type="dxa"/>
              <w:right w:w="80" w:type="dxa"/>
            </w:tcMar>
          </w:tcPr>
          <w:p w14:paraId="03A57E45" w14:textId="1DD01047" w:rsidR="00DD0592" w:rsidRPr="00F842E9" w:rsidRDefault="00DD0592" w:rsidP="00B21723">
            <w:pPr>
              <w:pStyle w:val="Table7pttext"/>
              <w:spacing w:after="60"/>
            </w:pPr>
            <w:r w:rsidRPr="00F842E9">
              <w:t>No time specifi</w:t>
            </w:r>
            <w:r w:rsidR="00F6068C">
              <w:t>ed</w:t>
            </w:r>
          </w:p>
        </w:tc>
        <w:tc>
          <w:tcPr>
            <w:tcW w:w="1155" w:type="dxa"/>
            <w:tcMar>
              <w:top w:w="80" w:type="dxa"/>
              <w:left w:w="80" w:type="dxa"/>
              <w:bottom w:w="80" w:type="dxa"/>
              <w:right w:w="80" w:type="dxa"/>
            </w:tcMar>
          </w:tcPr>
          <w:p w14:paraId="7EE9CE71" w14:textId="194A8643" w:rsidR="00DD0592" w:rsidRPr="00F842E9" w:rsidRDefault="00F6068C" w:rsidP="00B21723">
            <w:pPr>
              <w:pStyle w:val="Table7pttext"/>
              <w:spacing w:after="60"/>
            </w:pPr>
            <w:r>
              <w:t>No time specified</w:t>
            </w:r>
          </w:p>
        </w:tc>
        <w:tc>
          <w:tcPr>
            <w:tcW w:w="1154" w:type="dxa"/>
            <w:tcMar>
              <w:top w:w="80" w:type="dxa"/>
              <w:left w:w="80" w:type="dxa"/>
              <w:bottom w:w="80" w:type="dxa"/>
              <w:right w:w="80" w:type="dxa"/>
            </w:tcMar>
          </w:tcPr>
          <w:p w14:paraId="6AA1B9C9" w14:textId="5B0D7C26" w:rsidR="00DD0592" w:rsidRPr="00F842E9" w:rsidRDefault="00DD0592" w:rsidP="00B21723">
            <w:pPr>
              <w:pStyle w:val="Table7pttext"/>
              <w:spacing w:after="60"/>
            </w:pPr>
            <w:r w:rsidRPr="00F842E9">
              <w:t xml:space="preserve">28 days — </w:t>
            </w:r>
            <w:hyperlink r:id="rId415" w:history="1">
              <w:r w:rsidRPr="00F842E9">
                <w:rPr>
                  <w:rStyle w:val="Hyperlink"/>
                </w:rPr>
                <w:t>s77AA(1)</w:t>
              </w:r>
            </w:hyperlink>
            <w:r w:rsidRPr="00F842E9">
              <w:t xml:space="preserve"> and </w:t>
            </w:r>
            <w:hyperlink r:id="rId416" w:history="1">
              <w:r w:rsidRPr="00F842E9">
                <w:rPr>
                  <w:rStyle w:val="Hyperlink"/>
                </w:rPr>
                <w:t>s77AB(2)</w:t>
              </w:r>
            </w:hyperlink>
          </w:p>
        </w:tc>
        <w:tc>
          <w:tcPr>
            <w:tcW w:w="1154" w:type="dxa"/>
            <w:tcMar>
              <w:top w:w="80" w:type="dxa"/>
              <w:left w:w="80" w:type="dxa"/>
              <w:bottom w:w="80" w:type="dxa"/>
              <w:right w:w="80" w:type="dxa"/>
            </w:tcMar>
          </w:tcPr>
          <w:p w14:paraId="59615438" w14:textId="769C4413" w:rsidR="00DD0592" w:rsidRPr="00F842E9" w:rsidRDefault="00DD0592" w:rsidP="00B21723">
            <w:pPr>
              <w:pStyle w:val="Table7pttext"/>
              <w:spacing w:after="60"/>
            </w:pPr>
            <w:r w:rsidRPr="009D138E">
              <w:t xml:space="preserve">as soon as practicable </w:t>
            </w:r>
            <w:hyperlink r:id="rId417" w:history="1">
              <w:r w:rsidRPr="00C8605D">
                <w:rPr>
                  <w:rStyle w:val="Hyperlink"/>
                </w:rPr>
                <w:t>s85(3)</w:t>
              </w:r>
            </w:hyperlink>
          </w:p>
        </w:tc>
        <w:tc>
          <w:tcPr>
            <w:tcW w:w="1155" w:type="dxa"/>
            <w:tcMar>
              <w:top w:w="80" w:type="dxa"/>
              <w:left w:w="80" w:type="dxa"/>
              <w:bottom w:w="80" w:type="dxa"/>
              <w:right w:w="80" w:type="dxa"/>
            </w:tcMar>
          </w:tcPr>
          <w:p w14:paraId="05E8E062" w14:textId="7987160B" w:rsidR="00DD0592" w:rsidRPr="00F842E9" w:rsidRDefault="00DD0592" w:rsidP="00B21723">
            <w:pPr>
              <w:pStyle w:val="Table7pttext"/>
              <w:spacing w:after="60"/>
            </w:pPr>
            <w:r w:rsidRPr="00F842E9">
              <w:t xml:space="preserve">30 days of insurer receiving notice — </w:t>
            </w:r>
            <w:hyperlink r:id="rId418" w:history="1">
              <w:r w:rsidRPr="00BC2D04">
                <w:rPr>
                  <w:rStyle w:val="Hyperlink"/>
                </w:rPr>
                <w:t>s90(1)</w:t>
              </w:r>
            </w:hyperlink>
          </w:p>
        </w:tc>
        <w:tc>
          <w:tcPr>
            <w:tcW w:w="1154" w:type="dxa"/>
            <w:tcMar>
              <w:top w:w="80" w:type="dxa"/>
              <w:left w:w="80" w:type="dxa"/>
              <w:bottom w:w="80" w:type="dxa"/>
              <w:right w:w="80" w:type="dxa"/>
            </w:tcMar>
          </w:tcPr>
          <w:p w14:paraId="51F4C2A1" w14:textId="057280B3" w:rsidR="00DD0592" w:rsidRPr="00F842E9" w:rsidRDefault="00DD0592" w:rsidP="00B21723">
            <w:pPr>
              <w:pStyle w:val="Table7pttext"/>
              <w:spacing w:after="60"/>
            </w:pPr>
            <w:r w:rsidRPr="00F842E9">
              <w:t>No t</w:t>
            </w:r>
            <w:r w:rsidR="00F6068C">
              <w:t>ime specified</w:t>
            </w:r>
          </w:p>
        </w:tc>
        <w:tc>
          <w:tcPr>
            <w:tcW w:w="1155" w:type="dxa"/>
            <w:tcMar>
              <w:top w:w="80" w:type="dxa"/>
              <w:left w:w="80" w:type="dxa"/>
              <w:bottom w:w="80" w:type="dxa"/>
              <w:right w:w="80" w:type="dxa"/>
            </w:tcMar>
          </w:tcPr>
          <w:p w14:paraId="35DB68B7" w14:textId="29A99BA2" w:rsidR="00DD0592" w:rsidRPr="00F842E9" w:rsidRDefault="00F6068C" w:rsidP="00B21723">
            <w:pPr>
              <w:pStyle w:val="Table7pttext"/>
              <w:spacing w:after="60"/>
            </w:pPr>
            <w:r>
              <w:t>No time specified</w:t>
            </w:r>
          </w:p>
        </w:tc>
        <w:tc>
          <w:tcPr>
            <w:tcW w:w="1154" w:type="dxa"/>
            <w:tcMar>
              <w:top w:w="80" w:type="dxa"/>
              <w:left w:w="80" w:type="dxa"/>
              <w:bottom w:w="80" w:type="dxa"/>
              <w:right w:w="80" w:type="dxa"/>
            </w:tcMar>
          </w:tcPr>
          <w:p w14:paraId="3D4D003C" w14:textId="33F6DA1F"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4E0EC9C6" w14:textId="3BA43D22" w:rsidR="00DD0592" w:rsidRPr="00F842E9" w:rsidRDefault="00F6068C" w:rsidP="00B21723">
            <w:pPr>
              <w:pStyle w:val="Table7pttext"/>
              <w:spacing w:after="60"/>
            </w:pPr>
            <w:r>
              <w:t>No time specified</w:t>
            </w:r>
          </w:p>
        </w:tc>
      </w:tr>
      <w:bookmarkEnd w:id="60"/>
    </w:tbl>
    <w:p w14:paraId="7221D445" w14:textId="62D0D669" w:rsidR="00C66972" w:rsidRPr="00C66972" w:rsidRDefault="00C66972" w:rsidP="00C66972">
      <w:pPr>
        <w:spacing w:after="200" w:line="276" w:lineRule="auto"/>
        <w:rPr>
          <w:rFonts w:eastAsiaTheme="minorHAnsi"/>
        </w:rPr>
      </w:pPr>
    </w:p>
    <w:p w14:paraId="16D94C96" w14:textId="76572637" w:rsidR="00C66972" w:rsidRPr="00A80282" w:rsidRDefault="00C66972" w:rsidP="00A80282">
      <w:pPr>
        <w:pStyle w:val="SWATableheader"/>
      </w:pPr>
      <w:bookmarkStart w:id="61" w:name="_Toc504654647"/>
      <w:bookmarkStart w:id="62" w:name="resolution"/>
      <w:r w:rsidRPr="00A80282">
        <w:lastRenderedPageBreak/>
        <w:t>Table 2.9: Dispute resolution process</w:t>
      </w:r>
      <w:bookmarkEnd w:id="61"/>
      <w:r w:rsidRPr="00A80282">
        <w:t xml:space="preserve"> </w:t>
      </w:r>
      <w:r w:rsidR="00C7036A" w:rsidRPr="00A80282">
        <w:fldChar w:fldCharType="begin"/>
      </w:r>
      <w:r w:rsidR="00C7036A" w:rsidRPr="00A80282">
        <w:instrText xml:space="preserve"> XE "dispute resolution" \r "resolution" </w:instrText>
      </w:r>
      <w:r w:rsidR="00C7036A"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9: Dispute resolution process "/>
        <w:tblDescription w:val="This table specifies the dispute resolution process under each workers' compensation scheme. "/>
      </w:tblPr>
      <w:tblGrid>
        <w:gridCol w:w="1542"/>
        <w:gridCol w:w="13893"/>
      </w:tblGrid>
      <w:tr w:rsidR="00DD0592" w:rsidRPr="002878BD" w14:paraId="7571EE18" w14:textId="77777777" w:rsidTr="00FB729B">
        <w:trPr>
          <w:tblHeader/>
        </w:trPr>
        <w:tc>
          <w:tcPr>
            <w:tcW w:w="1542" w:type="dxa"/>
            <w:shd w:val="clear" w:color="auto" w:fill="C00000"/>
            <w:tcMar>
              <w:top w:w="0" w:type="dxa"/>
              <w:left w:w="0" w:type="dxa"/>
              <w:bottom w:w="0" w:type="dxa"/>
              <w:right w:w="0" w:type="dxa"/>
            </w:tcMar>
            <w:vAlign w:val="center"/>
          </w:tcPr>
          <w:p w14:paraId="295BD12A" w14:textId="77777777" w:rsidR="00DD0592" w:rsidRPr="002878BD" w:rsidRDefault="00DD0592" w:rsidP="00B21723">
            <w:pPr>
              <w:pStyle w:val="Tableheaderrow"/>
              <w:spacing w:after="60"/>
            </w:pPr>
          </w:p>
        </w:tc>
        <w:tc>
          <w:tcPr>
            <w:tcW w:w="13893" w:type="dxa"/>
            <w:shd w:val="clear" w:color="auto" w:fill="C00000"/>
            <w:tcMar>
              <w:top w:w="0" w:type="dxa"/>
              <w:left w:w="0" w:type="dxa"/>
              <w:bottom w:w="0" w:type="dxa"/>
              <w:right w:w="0" w:type="dxa"/>
            </w:tcMar>
            <w:vAlign w:val="center"/>
          </w:tcPr>
          <w:p w14:paraId="4273F45A" w14:textId="77777777" w:rsidR="00DD0592" w:rsidRPr="002878BD" w:rsidRDefault="00DD0592" w:rsidP="00B21723">
            <w:pPr>
              <w:pStyle w:val="Tableheaderrow"/>
              <w:spacing w:after="60"/>
            </w:pPr>
            <w:r w:rsidRPr="002878BD">
              <w:t>Dispute resolution provisions</w:t>
            </w:r>
          </w:p>
        </w:tc>
      </w:tr>
      <w:tr w:rsidR="00DD0592" w:rsidRPr="002878BD" w14:paraId="76AD94A5" w14:textId="77777777" w:rsidTr="00FB729B">
        <w:tc>
          <w:tcPr>
            <w:tcW w:w="1542" w:type="dxa"/>
            <w:shd w:val="clear" w:color="auto" w:fill="FFC9C9"/>
            <w:tcMar>
              <w:top w:w="80" w:type="dxa"/>
              <w:left w:w="80" w:type="dxa"/>
              <w:bottom w:w="80" w:type="dxa"/>
              <w:right w:w="80" w:type="dxa"/>
            </w:tcMar>
          </w:tcPr>
          <w:p w14:paraId="2EC800E9" w14:textId="77777777" w:rsidR="00DD0592" w:rsidRPr="002878BD" w:rsidRDefault="00DD0592" w:rsidP="00B21723">
            <w:pPr>
              <w:pStyle w:val="TableColumn1bold"/>
              <w:spacing w:after="60"/>
            </w:pPr>
            <w:r w:rsidRPr="002878BD">
              <w:t>New South Wales</w:t>
            </w:r>
          </w:p>
        </w:tc>
        <w:tc>
          <w:tcPr>
            <w:tcW w:w="13893" w:type="dxa"/>
            <w:shd w:val="clear" w:color="auto" w:fill="FFC9C9"/>
            <w:tcMar>
              <w:top w:w="80" w:type="dxa"/>
              <w:left w:w="80" w:type="dxa"/>
              <w:bottom w:w="80" w:type="dxa"/>
              <w:right w:w="80" w:type="dxa"/>
            </w:tcMar>
          </w:tcPr>
          <w:p w14:paraId="49D7BD97" w14:textId="09592F29" w:rsidR="00DD0592" w:rsidRPr="009822D5" w:rsidRDefault="00DD0592" w:rsidP="00B21723">
            <w:pPr>
              <w:pStyle w:val="lgetabletxt"/>
              <w:spacing w:after="60" w:afterAutospacing="0"/>
            </w:pPr>
            <w:r w:rsidRPr="00EB23D3">
              <w:rPr>
                <w:b/>
              </w:rPr>
              <w:t xml:space="preserve">Liability: </w:t>
            </w:r>
            <w:r w:rsidR="006E2FCD">
              <w:t>I</w:t>
            </w:r>
            <w:r w:rsidRPr="009822D5">
              <w:t xml:space="preserve">f liability for a claim or a request for compensation is disputed, the worker will receive a copy of all information relevant to the decision. This means that all information is exchanged and considered before an application for dispute resolution is lodged with the Workers Compensation Commission (the Commission). A worker can ask the insurer to review the decision. A worker may also seek assistance from SIRA’s Customer </w:t>
            </w:r>
            <w:r w:rsidR="00C12CEE">
              <w:t xml:space="preserve">Advisory </w:t>
            </w:r>
            <w:r w:rsidRPr="009822D5">
              <w:t>Service, which provides access to information and assistance for workers and employers regarding claims and disputes.</w:t>
            </w:r>
          </w:p>
          <w:p w14:paraId="7491269D" w14:textId="77777777" w:rsidR="00DD0592" w:rsidRPr="009822D5" w:rsidRDefault="00DD0592" w:rsidP="00B21723">
            <w:pPr>
              <w:pStyle w:val="lgetabletxt"/>
              <w:spacing w:after="60" w:afterAutospacing="0"/>
            </w:pPr>
            <w:r w:rsidRPr="009822D5">
              <w:t>If the dispute is about the degree of permanent impairment, a Commission-appointed Approved Medical Specialist (AMS) will review all medical evidence, assess the worker and issue a medical assessment certificate that is conclusively presumed to be correct on the degree of permanent impairment. An AMS may also be appointed to assess medical disputes.</w:t>
            </w:r>
          </w:p>
          <w:p w14:paraId="7F83504A" w14:textId="77777777" w:rsidR="00DD0592" w:rsidRPr="009822D5" w:rsidRDefault="00DD0592" w:rsidP="00B21723">
            <w:pPr>
              <w:pStyle w:val="lgetabletxt"/>
              <w:spacing w:after="60" w:afterAutospacing="0"/>
            </w:pPr>
            <w:r w:rsidRPr="009822D5">
              <w:t>The Commission is an independent Statutory Tribunal, which deals with disputed workers’ compensation claims (except for coal miners and Bush Fire and Emergency Rescue Service Volunteers). Any party to a workers’ compensation dispute can lodge an application to the Commission, except for disputes about permanent impairment, which can only be lodged by a worker.</w:t>
            </w:r>
          </w:p>
          <w:p w14:paraId="6BAC1F71" w14:textId="77777777" w:rsidR="00DD0592" w:rsidRPr="009822D5" w:rsidRDefault="00DD0592" w:rsidP="00B21723">
            <w:pPr>
              <w:pStyle w:val="lgetabletxt"/>
              <w:spacing w:after="60" w:afterAutospacing="0"/>
            </w:pPr>
            <w:r w:rsidRPr="009822D5">
              <w:t>Appeal provisions exist in relation to decisions of Commission arbitrators and AMS under limited grounds. Appeals against the decision of an arbitrator are determined by a Presidential member of the Commission. Appeals against the assessment of AMS are determined by an Appeal Panel comprising two AMS and one arbitrator.</w:t>
            </w:r>
          </w:p>
          <w:p w14:paraId="453F15EE" w14:textId="424085B7" w:rsidR="00DD0592" w:rsidRPr="009822D5" w:rsidRDefault="00DD0592" w:rsidP="00B21723">
            <w:pPr>
              <w:pStyle w:val="lgetabletxt"/>
              <w:spacing w:after="60" w:afterAutospacing="0"/>
            </w:pPr>
            <w:r w:rsidRPr="00EB23D3">
              <w:rPr>
                <w:b/>
              </w:rPr>
              <w:t xml:space="preserve">Coal miners: </w:t>
            </w:r>
            <w:r w:rsidR="006E2FCD">
              <w:t>T</w:t>
            </w:r>
            <w:r w:rsidRPr="009822D5">
              <w:t xml:space="preserve">he District Court has exclusive jurisdiction to examine, hear and determine all coal miner matters (except matters arising under Part 5 of the </w:t>
            </w:r>
            <w:r w:rsidR="005779EC" w:rsidRPr="00016069">
              <w:rPr>
                <w:i/>
              </w:rPr>
              <w:t>Workers Compensation Act 1987</w:t>
            </w:r>
            <w:r w:rsidRPr="009822D5">
              <w:t>).</w:t>
            </w:r>
          </w:p>
          <w:p w14:paraId="20392A3F" w14:textId="7FBE4D29" w:rsidR="00DD0592" w:rsidRPr="009822D5" w:rsidRDefault="00DD0592" w:rsidP="00B21723">
            <w:pPr>
              <w:pStyle w:val="lgetabletxt"/>
              <w:spacing w:after="60" w:afterAutospacing="0"/>
            </w:pPr>
            <w:r w:rsidRPr="00EB23D3">
              <w:rPr>
                <w:b/>
              </w:rPr>
              <w:t xml:space="preserve">Dust Diseases: </w:t>
            </w:r>
            <w:r w:rsidRPr="009822D5">
              <w:t xml:space="preserve">Workers who disagree with a decision made by the Dust Diseases Authority or its Medical Assessment Panel can lodge an appeal in the District Court of NSW in accordance with </w:t>
            </w:r>
            <w:hyperlink r:id="rId419" w:history="1">
              <w:r w:rsidRPr="00681628">
                <w:rPr>
                  <w:rStyle w:val="Hyperlink"/>
                </w:rPr>
                <w:t>s8I</w:t>
              </w:r>
            </w:hyperlink>
            <w:r w:rsidRPr="009822D5">
              <w:t xml:space="preserve"> of the </w:t>
            </w:r>
            <w:r w:rsidRPr="008E0BC4">
              <w:rPr>
                <w:i/>
              </w:rPr>
              <w:t>Workers’ Compensation (Dust Diseases) Act 1942</w:t>
            </w:r>
            <w:r w:rsidRPr="009822D5">
              <w:t>.</w:t>
            </w:r>
          </w:p>
          <w:p w14:paraId="4C16841C" w14:textId="77777777" w:rsidR="00DD0592" w:rsidRPr="009822D5" w:rsidRDefault="00DD0592" w:rsidP="00B21723">
            <w:pPr>
              <w:pStyle w:val="lgetabletxt"/>
              <w:spacing w:after="60" w:afterAutospacing="0"/>
            </w:pPr>
            <w:r w:rsidRPr="009822D5">
              <w:t>Bush Fire and Emergency Rescue Services Volunteers</w:t>
            </w:r>
          </w:p>
          <w:p w14:paraId="16D6FC1E" w14:textId="77777777" w:rsidR="00DD0592" w:rsidRPr="009822D5" w:rsidRDefault="00DD0592" w:rsidP="00B21723">
            <w:pPr>
              <w:pStyle w:val="lgetabletxt"/>
              <w:spacing w:after="60" w:afterAutospacing="0"/>
            </w:pPr>
            <w:r w:rsidRPr="009822D5">
              <w:t>The District Court has exclusive jurisdiction to examine, hear and determine all Bush Fire and Emergency Rescue Services Volunteers.</w:t>
            </w:r>
          </w:p>
          <w:p w14:paraId="5092CB7C" w14:textId="77777777" w:rsidR="00DD0592" w:rsidRPr="009822D5" w:rsidRDefault="00DD0592" w:rsidP="00B21723">
            <w:pPr>
              <w:pStyle w:val="lgetabletxt"/>
              <w:spacing w:after="60" w:afterAutospacing="0"/>
              <w:rPr>
                <w:lang w:val="en-AU"/>
              </w:rPr>
            </w:pPr>
            <w:r w:rsidRPr="009822D5">
              <w:rPr>
                <w:b/>
              </w:rPr>
              <w:t>Work capacity decisions</w:t>
            </w:r>
            <w:r w:rsidRPr="009822D5">
              <w:t xml:space="preserve">: </w:t>
            </w:r>
            <w:r w:rsidRPr="009822D5">
              <w:rPr>
                <w:lang w:val="en-AU"/>
              </w:rPr>
              <w:t>A work capacity decision can only be reviewed if the worker makes an application for the decision to be reviewed. There are three types of administrative review:</w:t>
            </w:r>
          </w:p>
          <w:p w14:paraId="2A9543EB" w14:textId="77777777" w:rsidR="00DD0592" w:rsidRPr="009822D5" w:rsidRDefault="00DD0592" w:rsidP="00F839DB">
            <w:pPr>
              <w:pStyle w:val="lgetabletxt"/>
              <w:numPr>
                <w:ilvl w:val="0"/>
                <w:numId w:val="473"/>
              </w:numPr>
              <w:spacing w:after="60" w:afterAutospacing="0"/>
              <w:rPr>
                <w:lang w:val="en-AU"/>
              </w:rPr>
            </w:pPr>
            <w:r w:rsidRPr="009822D5">
              <w:rPr>
                <w:lang w:val="en-AU"/>
              </w:rPr>
              <w:t>an internal review, where the insurer undertakes the review and informs the worker of the review decision</w:t>
            </w:r>
          </w:p>
          <w:p w14:paraId="3B5B491E" w14:textId="77777777" w:rsidR="00DD0592" w:rsidRPr="009822D5" w:rsidRDefault="00DD0592" w:rsidP="00F839DB">
            <w:pPr>
              <w:pStyle w:val="lgetabletxt"/>
              <w:numPr>
                <w:ilvl w:val="0"/>
                <w:numId w:val="473"/>
              </w:numPr>
              <w:spacing w:after="60" w:afterAutospacing="0"/>
              <w:rPr>
                <w:lang w:val="en-AU"/>
              </w:rPr>
            </w:pPr>
            <w:r w:rsidRPr="009822D5">
              <w:rPr>
                <w:lang w:val="en-AU"/>
              </w:rPr>
              <w:t>a merit review, where SIRA undertakes the review and informs the worker and insurer of its findings and recommendations</w:t>
            </w:r>
          </w:p>
          <w:p w14:paraId="3810C6F6" w14:textId="77777777" w:rsidR="00DD0592" w:rsidRPr="00DD0592" w:rsidRDefault="00DD0592" w:rsidP="00F839DB">
            <w:pPr>
              <w:pStyle w:val="lgetabletxt"/>
              <w:numPr>
                <w:ilvl w:val="0"/>
                <w:numId w:val="473"/>
              </w:numPr>
              <w:spacing w:after="60" w:afterAutospacing="0"/>
              <w:rPr>
                <w:lang w:val="en-AU"/>
              </w:rPr>
            </w:pPr>
            <w:r w:rsidRPr="009822D5">
              <w:rPr>
                <w:lang w:val="en-AU"/>
              </w:rPr>
              <w:t>a procedural review, where the Workers Compensation Independent Review Officer (WIRO) undertakes the review and informs the worker, insurer and SIRA of its findings.</w:t>
            </w:r>
          </w:p>
        </w:tc>
      </w:tr>
      <w:tr w:rsidR="00DD0592" w:rsidRPr="002878BD" w14:paraId="6AD6B957" w14:textId="77777777" w:rsidTr="00FB729B">
        <w:tc>
          <w:tcPr>
            <w:tcW w:w="1542" w:type="dxa"/>
            <w:tcMar>
              <w:top w:w="80" w:type="dxa"/>
              <w:left w:w="80" w:type="dxa"/>
              <w:bottom w:w="80" w:type="dxa"/>
              <w:right w:w="80" w:type="dxa"/>
            </w:tcMar>
          </w:tcPr>
          <w:p w14:paraId="7C2C7081" w14:textId="77777777" w:rsidR="00DD0592" w:rsidRPr="002878BD" w:rsidRDefault="00DD0592" w:rsidP="00B21723">
            <w:pPr>
              <w:pStyle w:val="TableColumn1bold"/>
              <w:spacing w:after="60"/>
            </w:pPr>
            <w:r w:rsidRPr="002878BD">
              <w:t>Victoria</w:t>
            </w:r>
          </w:p>
        </w:tc>
        <w:tc>
          <w:tcPr>
            <w:tcW w:w="13893" w:type="dxa"/>
            <w:tcMar>
              <w:top w:w="80" w:type="dxa"/>
              <w:left w:w="80" w:type="dxa"/>
              <w:bottom w:w="80" w:type="dxa"/>
              <w:right w:w="80" w:type="dxa"/>
            </w:tcMar>
          </w:tcPr>
          <w:p w14:paraId="4FE4FABA" w14:textId="5465A026" w:rsidR="00DD0592" w:rsidRPr="00A41661" w:rsidRDefault="00DD0592" w:rsidP="00B21723">
            <w:pPr>
              <w:pStyle w:val="lgetabletxt"/>
              <w:spacing w:after="60" w:afterAutospacing="0"/>
            </w:pPr>
            <w:r w:rsidRPr="00A41661">
              <w:t xml:space="preserve">Court proceedings must not be commenced (except in the case of a fatality or lump sum claims under the old Table of Maims) unless the dispute has been referred for conciliation and the conciliation officer certifies that the worker has taken all reasonable steps to settle the dispute — </w:t>
            </w:r>
            <w:hyperlink r:id="rId420" w:history="1">
              <w:r w:rsidRPr="00F21061">
                <w:rPr>
                  <w:rStyle w:val="Hyperlink"/>
                </w:rPr>
                <w:t>s273</w:t>
              </w:r>
            </w:hyperlink>
          </w:p>
          <w:p w14:paraId="1E7380C6" w14:textId="30DB5392" w:rsidR="00DD0592" w:rsidRPr="00A41661" w:rsidRDefault="00DD0592" w:rsidP="00B21723">
            <w:pPr>
              <w:pStyle w:val="lgetabletxt"/>
              <w:spacing w:after="60" w:afterAutospacing="0"/>
            </w:pPr>
            <w:r w:rsidRPr="00074450">
              <w:rPr>
                <w:b/>
              </w:rPr>
              <w:t>Conciliation:</w:t>
            </w:r>
            <w:r w:rsidRPr="00A41661">
              <w:t xml:space="preserve"> The worker or person making the claim may refer the dispute for conciliation to attempt to resolve the dispute — </w:t>
            </w:r>
            <w:hyperlink r:id="rId421" w:history="1">
              <w:r w:rsidRPr="00F21061">
                <w:rPr>
                  <w:rStyle w:val="Hyperlink"/>
                </w:rPr>
                <w:t>s282</w:t>
              </w:r>
            </w:hyperlink>
          </w:p>
          <w:p w14:paraId="501FDF2E" w14:textId="67BF052B" w:rsidR="00DD0592" w:rsidRPr="00A41661" w:rsidRDefault="00DD0592" w:rsidP="00B21723">
            <w:pPr>
              <w:pStyle w:val="lgetabletxt"/>
              <w:spacing w:after="60" w:afterAutospacing="0"/>
            </w:pPr>
            <w:r w:rsidRPr="00A41661">
              <w:t xml:space="preserve">If the dispute is resolved by agreement, </w:t>
            </w:r>
            <w:r w:rsidR="000E6606">
              <w:t xml:space="preserve">the Accident Compensation Conciliation Service (ACCS) </w:t>
            </w:r>
            <w:r w:rsidRPr="00A41661">
              <w:t xml:space="preserve">will issue a certificate outlining the agreement. Failing agreement, </w:t>
            </w:r>
            <w:r w:rsidR="000E6606">
              <w:t>the ACCS</w:t>
            </w:r>
            <w:r w:rsidRPr="00A41661">
              <w:t xml:space="preserve"> may give directions, make recommendations or decline to give directions or recommendations or refer a medical question to the Medical Panel — </w:t>
            </w:r>
            <w:hyperlink r:id="rId422" w:history="1">
              <w:r w:rsidRPr="00F21061">
                <w:rPr>
                  <w:rStyle w:val="Hyperlink"/>
                </w:rPr>
                <w:t>ss284</w:t>
              </w:r>
            </w:hyperlink>
            <w:r w:rsidRPr="00A41661">
              <w:t xml:space="preserve">, </w:t>
            </w:r>
            <w:hyperlink r:id="rId423" w:history="1">
              <w:r w:rsidRPr="005D2EA4">
                <w:rPr>
                  <w:rStyle w:val="Hyperlink"/>
                </w:rPr>
                <w:t>294</w:t>
              </w:r>
            </w:hyperlink>
            <w:r w:rsidR="00C806CE">
              <w:t xml:space="preserve"> and </w:t>
            </w:r>
            <w:hyperlink r:id="rId424" w:history="1">
              <w:r w:rsidR="00C806CE" w:rsidRPr="00C806CE">
                <w:rPr>
                  <w:rStyle w:val="Hyperlink"/>
                </w:rPr>
                <w:t>296</w:t>
              </w:r>
            </w:hyperlink>
          </w:p>
          <w:p w14:paraId="71C1CAD7" w14:textId="077BB7F7" w:rsidR="00DD0592" w:rsidRPr="00A41661" w:rsidRDefault="00DD0592" w:rsidP="00B21723">
            <w:pPr>
              <w:pStyle w:val="lgetabletxt"/>
              <w:spacing w:after="60" w:afterAutospacing="0"/>
            </w:pPr>
            <w:r w:rsidRPr="00A41661">
              <w:t xml:space="preserve">A direction of </w:t>
            </w:r>
            <w:r w:rsidR="000E6606">
              <w:t>the ACCS</w:t>
            </w:r>
            <w:r w:rsidRPr="00A41661">
              <w:t xml:space="preserve"> is binding on the parties unless subsequently revoked by th</w:t>
            </w:r>
            <w:r w:rsidR="000E6606">
              <w:t>e</w:t>
            </w:r>
            <w:r w:rsidRPr="00A41661">
              <w:t xml:space="preserve"> </w:t>
            </w:r>
            <w:r w:rsidR="000E6606">
              <w:t>ACCS</w:t>
            </w:r>
            <w:r w:rsidRPr="00A41661">
              <w:t xml:space="preserve"> or a Court — </w:t>
            </w:r>
            <w:hyperlink r:id="rId425" w:history="1">
              <w:r w:rsidRPr="005D2EA4">
                <w:rPr>
                  <w:rStyle w:val="Hyperlink"/>
                </w:rPr>
                <w:t>s299</w:t>
              </w:r>
            </w:hyperlink>
          </w:p>
          <w:p w14:paraId="328F7FDC" w14:textId="1D86D311" w:rsidR="00DD0592" w:rsidRPr="00A41661" w:rsidRDefault="00DD0592" w:rsidP="00B21723">
            <w:pPr>
              <w:pStyle w:val="lgetabletxt"/>
              <w:spacing w:after="60" w:afterAutospacing="0"/>
            </w:pPr>
            <w:r w:rsidRPr="00A41661">
              <w:t xml:space="preserve">Where a claimant has taken all reasonable steps to attempt settlement of the dispute but agreement cannot be reached, </w:t>
            </w:r>
            <w:r w:rsidR="000E6606">
              <w:t>the ACCS</w:t>
            </w:r>
            <w:r w:rsidRPr="00A41661">
              <w:t xml:space="preserve"> will issue a certificate permitting the claimant to commence court proceedings — </w:t>
            </w:r>
            <w:hyperlink r:id="rId426" w:history="1">
              <w:r w:rsidRPr="005D2EA4">
                <w:rPr>
                  <w:rStyle w:val="Hyperlink"/>
                </w:rPr>
                <w:t>s273</w:t>
              </w:r>
            </w:hyperlink>
          </w:p>
          <w:p w14:paraId="4628E82C" w14:textId="75E0F7B5" w:rsidR="00DD0592" w:rsidRPr="00A41661" w:rsidRDefault="00DD0592" w:rsidP="00B21723">
            <w:pPr>
              <w:pStyle w:val="lgetabletxt"/>
              <w:spacing w:after="60" w:afterAutospacing="0"/>
            </w:pPr>
            <w:r w:rsidRPr="00A41661">
              <w:t xml:space="preserve">Unless a Court orders otherwise, a dispute can be conciliated notwithstanding that court proceedings have been commenced — </w:t>
            </w:r>
            <w:hyperlink r:id="rId427" w:history="1">
              <w:r w:rsidRPr="005D2EA4">
                <w:rPr>
                  <w:rStyle w:val="Hyperlink"/>
                </w:rPr>
                <w:t>s294(2)</w:t>
              </w:r>
            </w:hyperlink>
          </w:p>
          <w:p w14:paraId="2A5FC43D" w14:textId="4413ECB2" w:rsidR="00DD0592" w:rsidRPr="00A41661" w:rsidRDefault="00DD0592" w:rsidP="00B21723">
            <w:pPr>
              <w:pStyle w:val="lgetabletxt"/>
              <w:spacing w:after="60" w:afterAutospacing="0"/>
            </w:pPr>
            <w:r w:rsidRPr="00A41661">
              <w:t xml:space="preserve">The County Court has exclusive jurisdiction under the Act subject to the </w:t>
            </w:r>
            <w:r w:rsidRPr="008E0BC4">
              <w:rPr>
                <w:i/>
              </w:rPr>
              <w:t>County Court Act 1958</w:t>
            </w:r>
            <w:r w:rsidRPr="00A41661">
              <w:t xml:space="preserve"> — </w:t>
            </w:r>
            <w:hyperlink r:id="rId428" w:history="1">
              <w:r w:rsidRPr="005D2EA4">
                <w:rPr>
                  <w:rStyle w:val="Hyperlink"/>
                </w:rPr>
                <w:t>s264</w:t>
              </w:r>
            </w:hyperlink>
            <w:r w:rsidRPr="00A41661">
              <w:t xml:space="preserve">. The Magistrates’ Court has the same jurisdiction as the County Court and additionally deals with disputes regarding access to claims documents, claims for reimbursement of expenses incurred by non-family members of a deceased worker and civil proceedings relating to discriminatory conduct against a worker — </w:t>
            </w:r>
            <w:hyperlink r:id="rId429" w:history="1">
              <w:r w:rsidRPr="005D2EA4">
                <w:rPr>
                  <w:rStyle w:val="Hyperlink"/>
                </w:rPr>
                <w:t>ss266</w:t>
              </w:r>
            </w:hyperlink>
            <w:r w:rsidRPr="00A41661">
              <w:t xml:space="preserve"> and </w:t>
            </w:r>
            <w:hyperlink r:id="rId430" w:history="1">
              <w:r w:rsidRPr="005D2EA4">
                <w:rPr>
                  <w:rStyle w:val="Hyperlink"/>
                </w:rPr>
                <w:t>578</w:t>
              </w:r>
            </w:hyperlink>
          </w:p>
          <w:p w14:paraId="36F83359" w14:textId="4648A886" w:rsidR="00DD0592" w:rsidRPr="002878BD" w:rsidRDefault="00DD0592" w:rsidP="00B21723">
            <w:pPr>
              <w:pStyle w:val="lgetabletxt"/>
              <w:spacing w:after="60" w:afterAutospacing="0"/>
            </w:pPr>
            <w:r w:rsidRPr="00074450">
              <w:rPr>
                <w:b/>
              </w:rPr>
              <w:t>Medical Panels:</w:t>
            </w:r>
            <w:r w:rsidRPr="00A41661">
              <w:t xml:space="preserve"> ‘medical questions’ as defined in s3 may be referred to Medical Panels. Disputed impairment benefits assessments under s203 and any medical question arising in a conciliation dispute relating to a worker’s entitlement to weekly payments for reduced work capacity after 130 weeks under s165 must be referred to Medical Panels. Medical Panels must form binding opinions on medical questions referred — </w:t>
            </w:r>
            <w:hyperlink r:id="rId431" w:history="1">
              <w:r w:rsidRPr="005D2EA4">
                <w:rPr>
                  <w:rStyle w:val="Hyperlink"/>
                </w:rPr>
                <w:t>s313</w:t>
              </w:r>
            </w:hyperlink>
            <w:r w:rsidR="000D3C6D">
              <w:t>.</w:t>
            </w:r>
          </w:p>
        </w:tc>
      </w:tr>
      <w:tr w:rsidR="00DD0592" w:rsidRPr="002878BD" w14:paraId="4B40A1B1" w14:textId="77777777" w:rsidTr="00FB729B">
        <w:tc>
          <w:tcPr>
            <w:tcW w:w="1542" w:type="dxa"/>
            <w:shd w:val="clear" w:color="auto" w:fill="FFC9C9"/>
            <w:tcMar>
              <w:top w:w="80" w:type="dxa"/>
              <w:left w:w="80" w:type="dxa"/>
              <w:bottom w:w="80" w:type="dxa"/>
              <w:right w:w="80" w:type="dxa"/>
            </w:tcMar>
          </w:tcPr>
          <w:p w14:paraId="4A9140E8" w14:textId="77777777" w:rsidR="00DD0592" w:rsidRPr="002878BD" w:rsidRDefault="00DD0592" w:rsidP="00B21723">
            <w:pPr>
              <w:pStyle w:val="TableColumn1bold"/>
              <w:spacing w:after="60"/>
            </w:pPr>
            <w:r w:rsidRPr="002878BD">
              <w:t>Queensland</w:t>
            </w:r>
          </w:p>
        </w:tc>
        <w:tc>
          <w:tcPr>
            <w:tcW w:w="13893" w:type="dxa"/>
            <w:shd w:val="clear" w:color="auto" w:fill="FFC9C9"/>
            <w:tcMar>
              <w:top w:w="80" w:type="dxa"/>
              <w:left w:w="80" w:type="dxa"/>
              <w:bottom w:w="80" w:type="dxa"/>
              <w:right w:w="80" w:type="dxa"/>
            </w:tcMar>
          </w:tcPr>
          <w:p w14:paraId="4173D953" w14:textId="559E91B5" w:rsidR="00DD0592" w:rsidRPr="002878BD" w:rsidRDefault="00DD0592" w:rsidP="00B21723">
            <w:pPr>
              <w:pStyle w:val="lgetabletxt"/>
              <w:spacing w:after="60" w:afterAutospacing="0"/>
            </w:pPr>
            <w:r w:rsidRPr="00074450">
              <w:rPr>
                <w:b/>
              </w:rPr>
              <w:t>Internal Review by Insurer:</w:t>
            </w:r>
            <w:r w:rsidRPr="002878BD">
              <w:t xml:space="preserve"> The insurer must undertake an internal review of proposed decision to reject the application for compensation or to terminate compensation. The review is to be undertaken by a person in a more senior position than the person who proposes to make the decision — </w:t>
            </w:r>
            <w:hyperlink r:id="rId432" w:anchor="sec.538" w:history="1">
              <w:r w:rsidRPr="00EE0548">
                <w:rPr>
                  <w:rStyle w:val="Hyperlink"/>
                </w:rPr>
                <w:t>s538</w:t>
              </w:r>
            </w:hyperlink>
            <w:r w:rsidRPr="002878BD">
              <w:t xml:space="preserve">. Reviewable decisions are outlined in </w:t>
            </w:r>
            <w:hyperlink r:id="rId433" w:anchor="sec.540" w:history="1">
              <w:r w:rsidRPr="00EE0548">
                <w:rPr>
                  <w:rStyle w:val="Hyperlink"/>
                </w:rPr>
                <w:t>s540</w:t>
              </w:r>
            </w:hyperlink>
            <w:r w:rsidRPr="002878BD">
              <w:t>.</w:t>
            </w:r>
          </w:p>
          <w:p w14:paraId="14652537" w14:textId="1E87DA8D" w:rsidR="00DD0592" w:rsidRPr="002878BD" w:rsidRDefault="00DD0592" w:rsidP="00B21723">
            <w:pPr>
              <w:pStyle w:val="lgetabletxt"/>
              <w:spacing w:after="60" w:afterAutospacing="0"/>
            </w:pPr>
            <w:r w:rsidRPr="00074450">
              <w:rPr>
                <w:b/>
              </w:rPr>
              <w:t>Review by Regulator:</w:t>
            </w:r>
            <w:r w:rsidRPr="002878BD">
              <w:t xml:space="preserve"> The Workers’ Compensation Regulator is to hear from both parties and review all relevant information and documentation. Once the Regulator has reviewed the decision, it can confirm or vary the decision, set aside the decision and substitute another decision, or set aside the decision and return the matter to the decision maker with directions the Regulator considers appropriate — </w:t>
            </w:r>
            <w:hyperlink r:id="rId434" w:anchor="sec.545" w:history="1">
              <w:r w:rsidRPr="00EE0548">
                <w:rPr>
                  <w:rStyle w:val="Hyperlink"/>
                </w:rPr>
                <w:t>s545</w:t>
              </w:r>
            </w:hyperlink>
          </w:p>
          <w:p w14:paraId="07515D37" w14:textId="193360B9" w:rsidR="00DD0592" w:rsidRPr="002878BD" w:rsidRDefault="00DD0592" w:rsidP="00B21723">
            <w:pPr>
              <w:pStyle w:val="lgetabletxt"/>
              <w:spacing w:after="60" w:afterAutospacing="0"/>
            </w:pPr>
            <w:r w:rsidRPr="00074450">
              <w:rPr>
                <w:b/>
              </w:rPr>
              <w:t>Appeal to Industrial Magistrate (premium matters) or Industrial Relations Commission (claim matters):</w:t>
            </w:r>
            <w:r w:rsidRPr="002878BD">
              <w:t xml:space="preserve"> Formal hearing of both sides, where the appeal body can confirm, vary, set aside and substitute another decision, or set aside the decision and return the matter to the decision maker with directions considered appropriate — </w:t>
            </w:r>
            <w:hyperlink r:id="rId435" w:anchor="sec.558" w:history="1">
              <w:r w:rsidRPr="00EE0548">
                <w:rPr>
                  <w:rStyle w:val="Hyperlink"/>
                </w:rPr>
                <w:t>s558</w:t>
              </w:r>
            </w:hyperlink>
          </w:p>
          <w:p w14:paraId="5771BD3A" w14:textId="636C67F2" w:rsidR="00DD0592" w:rsidRPr="002878BD" w:rsidRDefault="00DD0592" w:rsidP="00B21723">
            <w:pPr>
              <w:pStyle w:val="lgetabletxt"/>
              <w:spacing w:after="60" w:afterAutospacing="0"/>
            </w:pPr>
            <w:r w:rsidRPr="00074450">
              <w:rPr>
                <w:b/>
              </w:rPr>
              <w:t>Appeal to Industrial Court:</w:t>
            </w:r>
            <w:r w:rsidRPr="002878BD">
              <w:t xml:space="preserve"> Court rehears evidence and proceedings and additional evidence if ordered by the Court. The Court’s decision is final — </w:t>
            </w:r>
            <w:hyperlink r:id="rId436" w:anchor="sec.561" w:history="1">
              <w:r w:rsidRPr="00EE0548">
                <w:rPr>
                  <w:rStyle w:val="Hyperlink"/>
                </w:rPr>
                <w:t>s561</w:t>
              </w:r>
            </w:hyperlink>
            <w:r w:rsidRPr="002878BD">
              <w:t xml:space="preserve"> and </w:t>
            </w:r>
            <w:hyperlink r:id="rId437" w:anchor="sec.562" w:history="1">
              <w:r w:rsidRPr="00EE0548">
                <w:rPr>
                  <w:rStyle w:val="Hyperlink"/>
                </w:rPr>
                <w:t>s562</w:t>
              </w:r>
            </w:hyperlink>
          </w:p>
          <w:p w14:paraId="41754764" w14:textId="71639D79" w:rsidR="00DD0592" w:rsidRPr="002878BD" w:rsidRDefault="00DD0592" w:rsidP="00B21723">
            <w:pPr>
              <w:pStyle w:val="lgetabletxt"/>
              <w:spacing w:after="60" w:afterAutospacing="0"/>
            </w:pPr>
            <w:r w:rsidRPr="00074450">
              <w:rPr>
                <w:b/>
              </w:rPr>
              <w:t>Medical Panel:</w:t>
            </w:r>
            <w:r w:rsidRPr="002878BD">
              <w:t xml:space="preserve"> Referral to Medical Assessment Tribunal (MAT) by an insurer to decide a worker’s capacity for work or permanent impairment — </w:t>
            </w:r>
            <w:hyperlink r:id="rId438" w:anchor="sec.500" w:history="1">
              <w:r w:rsidRPr="00EE0548">
                <w:rPr>
                  <w:rStyle w:val="Hyperlink"/>
                </w:rPr>
                <w:t>s500</w:t>
              </w:r>
            </w:hyperlink>
            <w:r w:rsidRPr="002878BD">
              <w:t xml:space="preserve">. No appeal against a decision by MAT unless the worker submits fresh medical evidence to the insurer within 12 months of the MAT decision and the insurer refers it to a review panel — </w:t>
            </w:r>
            <w:hyperlink r:id="rId439" w:anchor="sec.512" w:history="1">
              <w:r w:rsidRPr="00EE0548">
                <w:rPr>
                  <w:rStyle w:val="Hyperlink"/>
                </w:rPr>
                <w:t>s512</w:t>
              </w:r>
            </w:hyperlink>
            <w:r w:rsidR="000D3C6D">
              <w:t>.</w:t>
            </w:r>
            <w:r w:rsidR="00C221C1">
              <w:t xml:space="preserve"> Does not affect right to judicial review.</w:t>
            </w:r>
          </w:p>
        </w:tc>
      </w:tr>
      <w:tr w:rsidR="00DD0592" w:rsidRPr="002878BD" w14:paraId="47F29962" w14:textId="77777777" w:rsidTr="00FB729B">
        <w:tc>
          <w:tcPr>
            <w:tcW w:w="1542" w:type="dxa"/>
            <w:tcMar>
              <w:top w:w="80" w:type="dxa"/>
              <w:left w:w="80" w:type="dxa"/>
              <w:bottom w:w="80" w:type="dxa"/>
              <w:right w:w="80" w:type="dxa"/>
            </w:tcMar>
          </w:tcPr>
          <w:p w14:paraId="0987DF64" w14:textId="77777777" w:rsidR="00DD0592" w:rsidRPr="002878BD" w:rsidRDefault="00DD0592" w:rsidP="00B21723">
            <w:pPr>
              <w:pStyle w:val="TableColumn1bold"/>
              <w:spacing w:after="60"/>
            </w:pPr>
            <w:r w:rsidRPr="002878BD">
              <w:t>Western Australia</w:t>
            </w:r>
          </w:p>
        </w:tc>
        <w:tc>
          <w:tcPr>
            <w:tcW w:w="13893" w:type="dxa"/>
            <w:tcMar>
              <w:top w:w="80" w:type="dxa"/>
              <w:left w:w="80" w:type="dxa"/>
              <w:bottom w:w="80" w:type="dxa"/>
              <w:right w:w="80" w:type="dxa"/>
            </w:tcMar>
          </w:tcPr>
          <w:p w14:paraId="3C91BBDF" w14:textId="77777777" w:rsidR="00DD0592" w:rsidRPr="002878BD" w:rsidRDefault="00DD0592" w:rsidP="00B21723">
            <w:pPr>
              <w:pStyle w:val="lgetabletxt"/>
              <w:spacing w:after="60" w:afterAutospacing="0"/>
            </w:pPr>
            <w:r w:rsidRPr="00074450">
              <w:rPr>
                <w:b/>
              </w:rPr>
              <w:t>Conciliation:</w:t>
            </w:r>
            <w:r w:rsidRPr="002878BD">
              <w:t xml:space="preserve"> An application for conciliation can only be made after a claim for workers’ compensation has been made on an employer. Before making a conciliation application the applicant must have made reasonable attempts to resolve the dispute by negotiation with the other party.</w:t>
            </w:r>
          </w:p>
          <w:p w14:paraId="3DE12ADC" w14:textId="77777777" w:rsidR="00DD0592" w:rsidRPr="002878BD" w:rsidRDefault="00DD0592" w:rsidP="00B21723">
            <w:pPr>
              <w:pStyle w:val="lgetabletxt"/>
              <w:spacing w:after="60" w:afterAutospacing="0"/>
            </w:pPr>
            <w:r w:rsidRPr="002878BD">
              <w:lastRenderedPageBreak/>
              <w:t>After an application has been accepted, the Conciliation Service may contact the parties to clarify and discuss the matters. Many disputes are resolved quickly and informally at this stage. If needed, a conciliation meeting is usually scheduled within 21 days from acceptance of the application, at the WorkCover WA offices.</w:t>
            </w:r>
          </w:p>
          <w:p w14:paraId="02361364" w14:textId="77777777" w:rsidR="00DD0592" w:rsidRPr="002878BD" w:rsidRDefault="00DD0592" w:rsidP="00B21723">
            <w:pPr>
              <w:pStyle w:val="lgetabletxt"/>
              <w:spacing w:after="60" w:afterAutospacing="0"/>
            </w:pPr>
            <w:r w:rsidRPr="002878BD">
              <w:t>When the conciliation process is concluded, the result is recorded in a Certificate of Outcome, which is provided to the parties in dispute by the Conciliation Service. It outlines:</w:t>
            </w:r>
          </w:p>
          <w:p w14:paraId="6F929228" w14:textId="77777777" w:rsidR="00DD0592" w:rsidRPr="002878BD" w:rsidRDefault="00DD0592" w:rsidP="00B21723">
            <w:pPr>
              <w:pStyle w:val="Tabledotpointlist7pt"/>
              <w:spacing w:after="60"/>
            </w:pPr>
            <w:r w:rsidRPr="002878BD">
              <w:t>the matters in dispute at the outset of the process</w:t>
            </w:r>
          </w:p>
          <w:p w14:paraId="64FDF687" w14:textId="77777777" w:rsidR="00DD0592" w:rsidRPr="002878BD" w:rsidRDefault="00DD0592" w:rsidP="00B21723">
            <w:pPr>
              <w:pStyle w:val="Tabledotpointlist7pt"/>
              <w:spacing w:after="60"/>
            </w:pPr>
            <w:r w:rsidRPr="002878BD">
              <w:t>those matters that were resolved and the basis on which they were resolved</w:t>
            </w:r>
          </w:p>
          <w:p w14:paraId="7DE77C78" w14:textId="77777777" w:rsidR="00DD0592" w:rsidRPr="002878BD" w:rsidRDefault="00DD0592" w:rsidP="00B21723">
            <w:pPr>
              <w:pStyle w:val="Tabledotpointlist7pt"/>
              <w:spacing w:after="60"/>
            </w:pPr>
            <w:r w:rsidRPr="002878BD">
              <w:t>those matters remaining in dispute, and</w:t>
            </w:r>
          </w:p>
          <w:p w14:paraId="349F0939" w14:textId="77777777" w:rsidR="00DD0592" w:rsidRPr="002878BD" w:rsidRDefault="00DD0592" w:rsidP="00B21723">
            <w:pPr>
              <w:pStyle w:val="Tabledotpointlist7pt"/>
              <w:spacing w:after="60"/>
            </w:pPr>
            <w:r w:rsidRPr="002878BD">
              <w:t>details of any payment directions issued.</w:t>
            </w:r>
          </w:p>
          <w:p w14:paraId="54318C79" w14:textId="77777777" w:rsidR="00DD0592" w:rsidRPr="002878BD" w:rsidRDefault="00DD0592" w:rsidP="00B21723">
            <w:pPr>
              <w:pStyle w:val="lgetabletxt"/>
              <w:spacing w:after="60" w:afterAutospacing="0"/>
            </w:pPr>
            <w:r w:rsidRPr="002878BD">
              <w:t>In the event that a party does not comply with the monetary terms of the agreement, the Certificate of Outcome may be enforced through court proceedings.</w:t>
            </w:r>
          </w:p>
          <w:p w14:paraId="0BE6E3B7" w14:textId="77777777" w:rsidR="00DD0592" w:rsidRPr="002878BD" w:rsidRDefault="00DD0592" w:rsidP="00B21723">
            <w:pPr>
              <w:pStyle w:val="lgetabletxt"/>
              <w:spacing w:after="60" w:afterAutospacing="0"/>
            </w:pPr>
            <w:r w:rsidRPr="00074450">
              <w:rPr>
                <w:b/>
              </w:rPr>
              <w:t>Arbitration</w:t>
            </w:r>
            <w:r w:rsidRPr="002878BD">
              <w:t xml:space="preserve">: Before an arbitration application can be made, the dispute must have been conciliated by the Conciliation Service or a certificate issued by the Director of Conciliation advising the matter is not suitable for conciliation. </w:t>
            </w:r>
          </w:p>
          <w:p w14:paraId="33BA8A38" w14:textId="77777777" w:rsidR="00DD0592" w:rsidRPr="002878BD" w:rsidRDefault="00DD0592" w:rsidP="00B21723">
            <w:pPr>
              <w:pStyle w:val="lgetabletxt"/>
              <w:spacing w:after="60" w:afterAutospacing="0"/>
            </w:pPr>
            <w:r w:rsidRPr="002878BD">
              <w:t>An Arbitrator makes his or her determination based on evidence. Witnesses may be sworn in and cross examined to give verbal evidence. Parties may be required to attend a directions hearing to clarify matters and address preliminary matters and this will be followed by a recorded arbitration hearing where the Arbitrator considers all available evidence and hears from each party before making a formal determination.</w:t>
            </w:r>
          </w:p>
          <w:p w14:paraId="16555CAA" w14:textId="77777777" w:rsidR="00DD0592" w:rsidRPr="002878BD" w:rsidRDefault="00DD0592" w:rsidP="00B21723">
            <w:pPr>
              <w:pStyle w:val="lgetabletxt"/>
              <w:spacing w:after="60" w:afterAutospacing="0"/>
            </w:pPr>
            <w:r w:rsidRPr="002878BD">
              <w:t xml:space="preserve">A determination by an Arbitrator is legally binding but questions of law may be appealed to the District Court of Western Australia, providing certain thresholds are met. </w:t>
            </w:r>
          </w:p>
          <w:p w14:paraId="63D0A2D3" w14:textId="3E4BD9EB" w:rsidR="00DD0592" w:rsidRPr="002878BD" w:rsidRDefault="00DD0592" w:rsidP="00B21723">
            <w:pPr>
              <w:pStyle w:val="lgetabletxt"/>
              <w:spacing w:after="60" w:afterAutospacing="0"/>
            </w:pPr>
            <w:r w:rsidRPr="00074450">
              <w:rPr>
                <w:b/>
              </w:rPr>
              <w:t>Medical Assessment Panels:</w:t>
            </w:r>
            <w:r w:rsidRPr="002878BD">
              <w:t xml:space="preserve"> Where the dispute is of a medical nature, the Conciliation officer or Arbitrator may refer the matter to a medical assessment panel, made up of medical practitioners. </w:t>
            </w:r>
            <w:r w:rsidR="009B58A5" w:rsidRPr="002878BD">
              <w:t>For example, questions may be referred to a panel if there is a conflict of opinion between the worker’s and employer</w:t>
            </w:r>
            <w:r w:rsidR="009B58A5">
              <w:t>’s</w:t>
            </w:r>
            <w:r w:rsidR="009B58A5" w:rsidRPr="002878BD">
              <w:t xml:space="preserve"> medical practitioners, about the nature or extent of an injury or a worker’s capacity for work. </w:t>
            </w:r>
            <w:r w:rsidRPr="002878BD">
              <w:t>The panel may require the worker to attend a medical examination. The determination of the panel is final and binding on all parties and on any court or tribunal.</w:t>
            </w:r>
          </w:p>
          <w:p w14:paraId="560353EA" w14:textId="77777777" w:rsidR="00DD0592" w:rsidRPr="002878BD" w:rsidRDefault="00DD0592" w:rsidP="00B21723">
            <w:pPr>
              <w:pStyle w:val="lgetabletxt"/>
              <w:spacing w:after="60" w:afterAutospacing="0"/>
            </w:pPr>
            <w:r w:rsidRPr="00074450">
              <w:rPr>
                <w:b/>
              </w:rPr>
              <w:t>Legal representation and other assistance:</w:t>
            </w:r>
            <w:r w:rsidRPr="002878BD">
              <w:t xml:space="preserve"> Parties in a dispute may have legal representation, but this is not compulsory. If a worker is not represented, a Conciliation officer or an Arbitrator can refuse permission for an employer or insurer to be represented by a legal practitioner or registered agent.</w:t>
            </w:r>
          </w:p>
          <w:p w14:paraId="58B71AFD" w14:textId="73A8A33C" w:rsidR="00DD0592" w:rsidRPr="002878BD" w:rsidRDefault="00DD0592" w:rsidP="00B21723">
            <w:pPr>
              <w:pStyle w:val="lgetabletxt"/>
              <w:spacing w:after="60" w:afterAutospacing="0"/>
            </w:pPr>
            <w:r w:rsidRPr="002878BD">
              <w:t>Registered agents regulated by WorkCover WA can represent parties at proceedings. In certain circumstances the Conciliation officer or Arbitrator may appoint a guardian, allow</w:t>
            </w:r>
            <w:r w:rsidR="000B02C9">
              <w:t>s</w:t>
            </w:r>
            <w:r w:rsidRPr="002878BD">
              <w:t xml:space="preserve"> an interpreter to assist in proceedings or allow a family member or friend to support the injured worker during the dispute resolution process.</w:t>
            </w:r>
          </w:p>
          <w:p w14:paraId="039333BB" w14:textId="77777777" w:rsidR="00DD0592" w:rsidRPr="002878BD" w:rsidRDefault="00DD0592" w:rsidP="00B21723">
            <w:pPr>
              <w:pStyle w:val="lgetabletxt"/>
              <w:spacing w:after="60" w:afterAutospacing="0"/>
            </w:pPr>
            <w:r w:rsidRPr="002878BD">
              <w:t xml:space="preserve">Under the </w:t>
            </w:r>
            <w:r w:rsidRPr="00074450">
              <w:rPr>
                <w:i/>
              </w:rPr>
              <w:t>Workers’ Compensation and Injury Management Act 1981</w:t>
            </w:r>
            <w:r w:rsidRPr="002878BD">
              <w:t>, maximum costs are set for legal, registered agent and related services. The costs scale is structured to promote the early settlement of disputes by agreement.</w:t>
            </w:r>
          </w:p>
          <w:p w14:paraId="41343BEA" w14:textId="77777777" w:rsidR="00DD0592" w:rsidRPr="002878BD" w:rsidRDefault="00DD0592" w:rsidP="00B21723">
            <w:pPr>
              <w:pStyle w:val="lgetabletxt"/>
              <w:spacing w:after="60" w:afterAutospacing="0"/>
            </w:pPr>
            <w:r w:rsidRPr="002878BD">
              <w:t>Further information:</w:t>
            </w:r>
          </w:p>
          <w:p w14:paraId="0BEB5594" w14:textId="029AF4C6" w:rsidR="00DD0592" w:rsidRPr="002878BD" w:rsidRDefault="00A7538C" w:rsidP="00B21723">
            <w:pPr>
              <w:pStyle w:val="lgetabletxt"/>
              <w:spacing w:after="60" w:afterAutospacing="0"/>
              <w:contextualSpacing/>
            </w:pPr>
            <w:hyperlink r:id="rId440" w:history="1">
              <w:r w:rsidR="00DD0592" w:rsidRPr="002878BD">
                <w:rPr>
                  <w:rStyle w:val="Hyperlink"/>
                </w:rPr>
                <w:t>‘What happens if there is a dispute?’</w:t>
              </w:r>
            </w:hyperlink>
            <w:r w:rsidR="00DD0592" w:rsidRPr="002878BD">
              <w:t xml:space="preserve"> </w:t>
            </w:r>
          </w:p>
          <w:p w14:paraId="5E3ED2E0" w14:textId="3E57C1C3" w:rsidR="00DD0592" w:rsidRPr="002878BD" w:rsidRDefault="00A7538C" w:rsidP="00B21723">
            <w:pPr>
              <w:pStyle w:val="lgetabletxt"/>
              <w:spacing w:after="60" w:afterAutospacing="0"/>
              <w:contextualSpacing/>
            </w:pPr>
            <w:hyperlink r:id="rId441" w:history="1">
              <w:r w:rsidR="00DD0592" w:rsidRPr="002878BD">
                <w:rPr>
                  <w:rStyle w:val="Hyperlink"/>
                </w:rPr>
                <w:t>A guide to the Workers’ Compensation Conciliation Service</w:t>
              </w:r>
            </w:hyperlink>
          </w:p>
          <w:p w14:paraId="2B2CB97D" w14:textId="77777777" w:rsidR="00DD0592" w:rsidRPr="002878BD" w:rsidRDefault="00A7538C" w:rsidP="00B21723">
            <w:pPr>
              <w:pStyle w:val="lgetabletxt"/>
              <w:spacing w:after="60" w:afterAutospacing="0"/>
              <w:contextualSpacing/>
            </w:pPr>
            <w:hyperlink r:id="rId442" w:history="1">
              <w:r w:rsidR="00DD0592" w:rsidRPr="002878BD">
                <w:rPr>
                  <w:rStyle w:val="Hyperlink"/>
                </w:rPr>
                <w:t>Conciliation Rules and Forms</w:t>
              </w:r>
            </w:hyperlink>
            <w:r w:rsidR="00DD0592" w:rsidRPr="002878BD">
              <w:t xml:space="preserve"> </w:t>
            </w:r>
          </w:p>
          <w:p w14:paraId="6DD4A947" w14:textId="47B12C62" w:rsidR="00DD0592" w:rsidRPr="002878BD" w:rsidRDefault="00A7538C" w:rsidP="00B21723">
            <w:pPr>
              <w:pStyle w:val="lgetabletxt"/>
              <w:spacing w:after="60" w:afterAutospacing="0"/>
              <w:contextualSpacing/>
            </w:pPr>
            <w:hyperlink r:id="rId443" w:history="1">
              <w:r w:rsidR="00DD0592" w:rsidRPr="002878BD">
                <w:rPr>
                  <w:rStyle w:val="Hyperlink"/>
                </w:rPr>
                <w:t>A guide to the Workers’ Compensation Arbitration Service</w:t>
              </w:r>
            </w:hyperlink>
          </w:p>
          <w:p w14:paraId="126F03D4" w14:textId="77777777" w:rsidR="00DD0592" w:rsidRPr="002878BD" w:rsidRDefault="00A7538C" w:rsidP="00B21723">
            <w:pPr>
              <w:pStyle w:val="lgetabletxt"/>
              <w:spacing w:after="60" w:afterAutospacing="0"/>
              <w:contextualSpacing/>
            </w:pPr>
            <w:hyperlink r:id="rId444" w:history="1">
              <w:r w:rsidR="00DD0592" w:rsidRPr="002878BD">
                <w:rPr>
                  <w:rStyle w:val="Hyperlink"/>
                </w:rPr>
                <w:t>Arbitration Rules and Forms</w:t>
              </w:r>
            </w:hyperlink>
            <w:r w:rsidR="00DD0592" w:rsidRPr="002878BD">
              <w:t>.</w:t>
            </w:r>
          </w:p>
        </w:tc>
      </w:tr>
      <w:tr w:rsidR="00DD0592" w:rsidRPr="002878BD" w14:paraId="7AF29C1D" w14:textId="77777777" w:rsidTr="00FB729B">
        <w:tc>
          <w:tcPr>
            <w:tcW w:w="1542" w:type="dxa"/>
            <w:shd w:val="clear" w:color="auto" w:fill="FFC9C9"/>
            <w:tcMar>
              <w:top w:w="80" w:type="dxa"/>
              <w:left w:w="80" w:type="dxa"/>
              <w:bottom w:w="80" w:type="dxa"/>
              <w:right w:w="80" w:type="dxa"/>
            </w:tcMar>
          </w:tcPr>
          <w:p w14:paraId="40F31560" w14:textId="77777777" w:rsidR="00DD0592" w:rsidRPr="002878BD" w:rsidRDefault="00DD0592" w:rsidP="00B21723">
            <w:pPr>
              <w:pStyle w:val="TableColumn1bold"/>
              <w:spacing w:after="60"/>
            </w:pPr>
            <w:r w:rsidRPr="002878BD">
              <w:lastRenderedPageBreak/>
              <w:t>South Australia</w:t>
            </w:r>
          </w:p>
        </w:tc>
        <w:tc>
          <w:tcPr>
            <w:tcW w:w="13893" w:type="dxa"/>
            <w:shd w:val="clear" w:color="auto" w:fill="FFC9C9"/>
            <w:tcMar>
              <w:top w:w="80" w:type="dxa"/>
              <w:left w:w="80" w:type="dxa"/>
              <w:bottom w:w="80" w:type="dxa"/>
              <w:right w:w="80" w:type="dxa"/>
            </w:tcMar>
          </w:tcPr>
          <w:p w14:paraId="4887D65F" w14:textId="342E03F7" w:rsidR="00DD0592" w:rsidRPr="002878BD" w:rsidRDefault="00DD0592" w:rsidP="00B21723">
            <w:pPr>
              <w:pStyle w:val="lgetabletxt"/>
              <w:spacing w:after="60" w:afterAutospacing="0"/>
            </w:pPr>
            <w:r w:rsidRPr="00074450">
              <w:rPr>
                <w:b/>
              </w:rPr>
              <w:t>Reconsideration:</w:t>
            </w:r>
            <w:r w:rsidRPr="002878BD">
              <w:t xml:space="preserve"> Disputed claim determinations on a claim must be reviewed and reconsidered by a person who did not make the disputed decision. The reconsideration of the disputed decision must be completed within 10 </w:t>
            </w:r>
            <w:r w:rsidR="005F7410">
              <w:t xml:space="preserve">business </w:t>
            </w:r>
            <w:r w:rsidRPr="002878BD">
              <w:t xml:space="preserve">days after receiving notice of the dispute — </w:t>
            </w:r>
            <w:hyperlink r:id="rId445" w:history="1">
              <w:r w:rsidRPr="002878BD">
                <w:rPr>
                  <w:rStyle w:val="Hyperlink"/>
                </w:rPr>
                <w:t>s102</w:t>
              </w:r>
            </w:hyperlink>
          </w:p>
          <w:p w14:paraId="1E37D3D4" w14:textId="4B525003" w:rsidR="00DD0592" w:rsidRPr="002878BD" w:rsidRDefault="00DD0592" w:rsidP="00B21723">
            <w:pPr>
              <w:pStyle w:val="lgetabletxt"/>
              <w:spacing w:after="60" w:afterAutospacing="0"/>
            </w:pPr>
            <w:r w:rsidRPr="00074450">
              <w:rPr>
                <w:b/>
              </w:rPr>
              <w:t>The South Australian Employment Tribunal</w:t>
            </w:r>
            <w:r w:rsidRPr="002878BD">
              <w:t xml:space="preserve"> has jurisdiction to deal with a reviewable decision </w:t>
            </w:r>
            <w:r w:rsidR="00B52BD8">
              <w:t>—</w:t>
            </w:r>
            <w:r w:rsidRPr="002878BD">
              <w:t xml:space="preserve"> </w:t>
            </w:r>
            <w:hyperlink r:id="rId446" w:history="1">
              <w:r w:rsidRPr="002878BD">
                <w:rPr>
                  <w:rStyle w:val="Hyperlink"/>
                </w:rPr>
                <w:t>s98</w:t>
              </w:r>
            </w:hyperlink>
          </w:p>
          <w:p w14:paraId="5EC63345" w14:textId="77777777" w:rsidR="00DD0592" w:rsidRPr="002878BD" w:rsidRDefault="00DD0592" w:rsidP="00B21723">
            <w:pPr>
              <w:pStyle w:val="Tabledotpointlist7pt"/>
              <w:spacing w:after="60"/>
            </w:pPr>
            <w:r w:rsidRPr="002878BD">
              <w:t xml:space="preserve">A person with a direct interest in a reviewable decision may commence proceedings for a review of the reviewable decision by the Tribunal — </w:t>
            </w:r>
            <w:hyperlink r:id="rId447" w:history="1">
              <w:r w:rsidRPr="002878BD">
                <w:rPr>
                  <w:rStyle w:val="Hyperlink"/>
                </w:rPr>
                <w:t>s99(1</w:t>
              </w:r>
            </w:hyperlink>
            <w:r w:rsidRPr="002878BD">
              <w:t>)</w:t>
            </w:r>
          </w:p>
          <w:p w14:paraId="74A9D44D" w14:textId="6B63B18A" w:rsidR="00DD0592" w:rsidRPr="002878BD" w:rsidRDefault="00DD0592" w:rsidP="00B21723">
            <w:pPr>
              <w:pStyle w:val="Tabledotpointlist7pt"/>
              <w:spacing w:after="60"/>
            </w:pPr>
            <w:r w:rsidRPr="002878BD">
              <w:t>An application may be made to the Tribunal within one month after the applicant receives notice of the reviewable decision unless the Tribunal allows an extension of time</w:t>
            </w:r>
            <w:r w:rsidR="00B52BD8">
              <w:t xml:space="preserve"> —</w:t>
            </w:r>
            <w:r w:rsidRPr="002878BD">
              <w:t xml:space="preserve"> </w:t>
            </w:r>
            <w:hyperlink r:id="rId448" w:history="1">
              <w:r w:rsidRPr="002878BD">
                <w:rPr>
                  <w:rStyle w:val="Hyperlink"/>
                </w:rPr>
                <w:t>s100(1)</w:t>
              </w:r>
            </w:hyperlink>
          </w:p>
          <w:p w14:paraId="32427FF1" w14:textId="77777777" w:rsidR="00DD0592" w:rsidRPr="002878BD" w:rsidRDefault="00DD0592" w:rsidP="00B21723">
            <w:pPr>
              <w:pStyle w:val="Tabledotpointlist7pt"/>
              <w:spacing w:after="60"/>
            </w:pPr>
            <w:r w:rsidRPr="002878BD">
              <w:t xml:space="preserve">Initial reconsideration by compensating authority — </w:t>
            </w:r>
            <w:hyperlink r:id="rId449" w:history="1">
              <w:r w:rsidRPr="002878BD">
                <w:rPr>
                  <w:rStyle w:val="Hyperlink"/>
                </w:rPr>
                <w:t>s102</w:t>
              </w:r>
            </w:hyperlink>
          </w:p>
          <w:p w14:paraId="3C32FEAB" w14:textId="6AA1C9A7" w:rsidR="00DD0592" w:rsidRPr="002878BD" w:rsidRDefault="00DD0592" w:rsidP="00B21723">
            <w:pPr>
              <w:pStyle w:val="Tabledotpointlist7pt"/>
              <w:spacing w:after="60"/>
            </w:pPr>
            <w:r w:rsidRPr="002878BD">
              <w:t xml:space="preserve">If no resolution at reconsideration, the dispute will be dealt with under </w:t>
            </w:r>
            <w:hyperlink r:id="rId450" w:history="1">
              <w:r w:rsidRPr="002878BD">
                <w:rPr>
                  <w:rStyle w:val="Hyperlink"/>
                </w:rPr>
                <w:t>Part 3</w:t>
              </w:r>
            </w:hyperlink>
            <w:r w:rsidRPr="002878BD">
              <w:t xml:space="preserve"> of the </w:t>
            </w:r>
            <w:r w:rsidRPr="00F91353">
              <w:rPr>
                <w:i/>
              </w:rPr>
              <w:t>South Australian Employment Tribunal Act 2014</w:t>
            </w:r>
            <w:r w:rsidRPr="002878BD">
              <w:t>,</w:t>
            </w:r>
            <w:r w:rsidR="00DD0D68">
              <w:t xml:space="preserve"> </w:t>
            </w:r>
            <w:hyperlink r:id="rId451" w:history="1">
              <w:r w:rsidRPr="002878BD">
                <w:rPr>
                  <w:rStyle w:val="Hyperlink"/>
                </w:rPr>
                <w:t>s103</w:t>
              </w:r>
            </w:hyperlink>
          </w:p>
          <w:p w14:paraId="0B60AFDB" w14:textId="77777777" w:rsidR="00DD0592" w:rsidRPr="002878BD" w:rsidRDefault="00DD0592" w:rsidP="00B21723">
            <w:pPr>
              <w:pStyle w:val="Tabledotpointlist7pt"/>
              <w:spacing w:after="60"/>
            </w:pPr>
            <w:r w:rsidRPr="002878BD">
              <w:t xml:space="preserve">Conciliation Conference </w:t>
            </w:r>
            <w:hyperlink r:id="rId452" w:history="1">
              <w:r w:rsidRPr="002878BD">
                <w:rPr>
                  <w:rStyle w:val="Hyperlink"/>
                </w:rPr>
                <w:t>s104</w:t>
              </w:r>
            </w:hyperlink>
            <w:r w:rsidRPr="002878BD">
              <w:t xml:space="preserve"> Return to Work Act and — </w:t>
            </w:r>
            <w:hyperlink r:id="rId453" w:history="1">
              <w:r w:rsidRPr="002878BD">
                <w:rPr>
                  <w:rStyle w:val="Hyperlink"/>
                </w:rPr>
                <w:t>s43</w:t>
              </w:r>
            </w:hyperlink>
            <w:r w:rsidRPr="002878BD">
              <w:t xml:space="preserve"> </w:t>
            </w:r>
            <w:r w:rsidRPr="00F91353">
              <w:rPr>
                <w:i/>
              </w:rPr>
              <w:t>South Australian Employment Tribunal Act 2014</w:t>
            </w:r>
          </w:p>
          <w:p w14:paraId="17470DD9" w14:textId="77777777" w:rsidR="00DD0592" w:rsidRPr="00F91353" w:rsidRDefault="00DD0592" w:rsidP="00B21723">
            <w:pPr>
              <w:pStyle w:val="Tabledotpointlist7pt"/>
              <w:spacing w:after="60"/>
              <w:rPr>
                <w:i/>
              </w:rPr>
            </w:pPr>
            <w:r w:rsidRPr="002878BD">
              <w:t xml:space="preserve">Hearing for determination — </w:t>
            </w:r>
            <w:hyperlink r:id="rId454" w:history="1">
              <w:r w:rsidRPr="002878BD">
                <w:rPr>
                  <w:rStyle w:val="Hyperlink"/>
                </w:rPr>
                <w:t>s44</w:t>
              </w:r>
            </w:hyperlink>
            <w:r w:rsidRPr="002878BD">
              <w:t xml:space="preserve"> </w:t>
            </w:r>
            <w:r w:rsidRPr="00F91353">
              <w:rPr>
                <w:i/>
              </w:rPr>
              <w:t>South Australian Employment Tribunal Act 2014</w:t>
            </w:r>
          </w:p>
          <w:p w14:paraId="1BEAF488" w14:textId="77777777" w:rsidR="00DD0592" w:rsidRPr="002878BD" w:rsidRDefault="00DD0592" w:rsidP="00B21723">
            <w:pPr>
              <w:pStyle w:val="Tabledotpointlist7pt"/>
              <w:spacing w:after="60"/>
            </w:pPr>
            <w:r w:rsidRPr="002878BD">
              <w:t xml:space="preserve">Pre hearing conference — </w:t>
            </w:r>
            <w:hyperlink r:id="rId455" w:history="1">
              <w:r w:rsidRPr="002878BD">
                <w:rPr>
                  <w:rStyle w:val="Hyperlink"/>
                </w:rPr>
                <w:t>s45</w:t>
              </w:r>
            </w:hyperlink>
            <w:r w:rsidRPr="002878BD">
              <w:t xml:space="preserve"> </w:t>
            </w:r>
            <w:r w:rsidRPr="00F91353">
              <w:rPr>
                <w:i/>
              </w:rPr>
              <w:t>South Australian Employment Tribunal Act 2014</w:t>
            </w:r>
          </w:p>
          <w:p w14:paraId="1FB3CFD0" w14:textId="77777777" w:rsidR="00DD0592" w:rsidRPr="002878BD" w:rsidRDefault="00DD0592" w:rsidP="00B21723">
            <w:pPr>
              <w:pStyle w:val="Tabledotpointlist7pt"/>
              <w:spacing w:after="60"/>
            </w:pPr>
            <w:r w:rsidRPr="002878BD">
              <w:t xml:space="preserve">Settlement conference or mediation </w:t>
            </w:r>
            <w:hyperlink r:id="rId456" w:history="1">
              <w:r w:rsidRPr="002878BD">
                <w:rPr>
                  <w:rStyle w:val="Hyperlink"/>
                </w:rPr>
                <w:t>ss46</w:t>
              </w:r>
            </w:hyperlink>
            <w:r w:rsidRPr="002878BD">
              <w:t xml:space="preserve"> and </w:t>
            </w:r>
            <w:hyperlink r:id="rId457" w:history="1">
              <w:r w:rsidRPr="002878BD">
                <w:rPr>
                  <w:rStyle w:val="Hyperlink"/>
                </w:rPr>
                <w:t>47</w:t>
              </w:r>
            </w:hyperlink>
            <w:r w:rsidRPr="002878BD">
              <w:t xml:space="preserve"> </w:t>
            </w:r>
            <w:r w:rsidRPr="00F91353">
              <w:rPr>
                <w:i/>
              </w:rPr>
              <w:t>South Australian Employment Tribunal Act 2014</w:t>
            </w:r>
          </w:p>
          <w:p w14:paraId="50382033" w14:textId="77777777" w:rsidR="00DD0592" w:rsidRPr="002878BD" w:rsidRDefault="00DD0592" w:rsidP="00B21723">
            <w:pPr>
              <w:pStyle w:val="Tabledotpointlist7pt"/>
              <w:spacing w:after="60"/>
            </w:pPr>
            <w:r w:rsidRPr="002878BD">
              <w:t xml:space="preserve">Medical question to Independent Medical Adviser — </w:t>
            </w:r>
            <w:hyperlink r:id="rId458" w:history="1">
              <w:r w:rsidRPr="002878BD">
                <w:rPr>
                  <w:rStyle w:val="Hyperlink"/>
                </w:rPr>
                <w:t>s121</w:t>
              </w:r>
            </w:hyperlink>
            <w:r w:rsidRPr="002878BD">
              <w:t xml:space="preserve"> </w:t>
            </w:r>
            <w:r w:rsidRPr="00F91353">
              <w:rPr>
                <w:i/>
              </w:rPr>
              <w:t>Return to Work Act 2014</w:t>
            </w:r>
          </w:p>
          <w:p w14:paraId="143822DD" w14:textId="3D9EE393" w:rsidR="00DD0592" w:rsidRPr="002878BD" w:rsidRDefault="00DD0592" w:rsidP="00B21723">
            <w:pPr>
              <w:pStyle w:val="Tabledotpointlist7pt"/>
              <w:spacing w:after="60"/>
            </w:pPr>
            <w:r w:rsidRPr="002878BD">
              <w:t>Full Bench appeal only on question of law —</w:t>
            </w:r>
            <w:r w:rsidR="00DD0D68">
              <w:t xml:space="preserve"> </w:t>
            </w:r>
            <w:hyperlink r:id="rId459" w:history="1">
              <w:r w:rsidRPr="002878BD">
                <w:rPr>
                  <w:rStyle w:val="Hyperlink"/>
                </w:rPr>
                <w:t>s67</w:t>
              </w:r>
            </w:hyperlink>
            <w:r w:rsidRPr="002878BD">
              <w:t xml:space="preserve"> </w:t>
            </w:r>
          </w:p>
          <w:p w14:paraId="489E460F" w14:textId="268E509B" w:rsidR="00DD0592" w:rsidRPr="002878BD" w:rsidRDefault="00DD0592" w:rsidP="00B21723">
            <w:pPr>
              <w:pStyle w:val="Tabledotpointlist7pt"/>
              <w:spacing w:after="60"/>
            </w:pPr>
            <w:r w:rsidRPr="002878BD">
              <w:t xml:space="preserve">Appeal to the Full Court of Supreme Court (with permission) — </w:t>
            </w:r>
            <w:hyperlink r:id="rId460" w:history="1">
              <w:r w:rsidRPr="002878BD">
                <w:rPr>
                  <w:rStyle w:val="Hyperlink"/>
                </w:rPr>
                <w:t>s68</w:t>
              </w:r>
            </w:hyperlink>
            <w:r w:rsidR="000D3C6D">
              <w:rPr>
                <w:rStyle w:val="Hyperlink"/>
              </w:rPr>
              <w:t>.</w:t>
            </w:r>
          </w:p>
        </w:tc>
      </w:tr>
      <w:tr w:rsidR="00DD0592" w:rsidRPr="002878BD" w14:paraId="5653D5C2" w14:textId="77777777" w:rsidTr="00FB729B">
        <w:tc>
          <w:tcPr>
            <w:tcW w:w="1542" w:type="dxa"/>
            <w:tcMar>
              <w:top w:w="80" w:type="dxa"/>
              <w:left w:w="80" w:type="dxa"/>
              <w:bottom w:w="80" w:type="dxa"/>
              <w:right w:w="80" w:type="dxa"/>
            </w:tcMar>
          </w:tcPr>
          <w:p w14:paraId="485C0F9A" w14:textId="77777777" w:rsidR="00DD0592" w:rsidRPr="002878BD" w:rsidRDefault="00DD0592" w:rsidP="00B21723">
            <w:pPr>
              <w:pStyle w:val="TableColumn1bold"/>
              <w:spacing w:after="60"/>
            </w:pPr>
            <w:r w:rsidRPr="002878BD">
              <w:t>Tasmania</w:t>
            </w:r>
          </w:p>
        </w:tc>
        <w:tc>
          <w:tcPr>
            <w:tcW w:w="13893" w:type="dxa"/>
            <w:tcMar>
              <w:top w:w="80" w:type="dxa"/>
              <w:left w:w="80" w:type="dxa"/>
              <w:bottom w:w="80" w:type="dxa"/>
              <w:right w:w="80" w:type="dxa"/>
            </w:tcMar>
          </w:tcPr>
          <w:p w14:paraId="0ECF6595" w14:textId="77777777" w:rsidR="00DD0592" w:rsidRPr="002878BD" w:rsidRDefault="00A7538C" w:rsidP="00B21723">
            <w:pPr>
              <w:pStyle w:val="lgetabletxt"/>
              <w:spacing w:after="60" w:afterAutospacing="0"/>
            </w:pPr>
            <w:hyperlink r:id="rId461" w:history="1">
              <w:r w:rsidR="00DD0592" w:rsidRPr="002878BD">
                <w:rPr>
                  <w:rStyle w:val="Hyperlink"/>
                </w:rPr>
                <w:t>Conciliation</w:t>
              </w:r>
            </w:hyperlink>
            <w:r w:rsidR="00DD0592" w:rsidRPr="002878BD">
              <w:t xml:space="preserve">: 2 steps: </w:t>
            </w:r>
          </w:p>
          <w:p w14:paraId="4578C86A" w14:textId="0F9CAB7E" w:rsidR="00DD0592" w:rsidRPr="002878BD" w:rsidRDefault="00DD0592" w:rsidP="00B21723">
            <w:pPr>
              <w:pStyle w:val="Tabledotpointlist7pt"/>
              <w:spacing w:after="60"/>
            </w:pPr>
            <w:r w:rsidRPr="002878BD">
              <w:t xml:space="preserve">Preliminary stage is to identify issues being disputed and to try and resolve the dispute amicably — </w:t>
            </w:r>
            <w:hyperlink r:id="rId462" w:history="1">
              <w:r w:rsidRPr="00BE16CB">
                <w:rPr>
                  <w:rStyle w:val="Hyperlink"/>
                </w:rPr>
                <w:t>s42D</w:t>
              </w:r>
            </w:hyperlink>
          </w:p>
          <w:p w14:paraId="45AD68B1" w14:textId="2C9D20AB" w:rsidR="00DD0592" w:rsidRPr="002878BD" w:rsidRDefault="00DD0592" w:rsidP="00B21723">
            <w:pPr>
              <w:pStyle w:val="Tabledotpointlist7pt"/>
              <w:spacing w:after="60"/>
            </w:pPr>
            <w:r w:rsidRPr="002878BD">
              <w:t xml:space="preserve">The next stage is a conciliation conference which provides an opportunity for open and ‘without prejudice’ discussions based on all available information to facilitate a resolution — </w:t>
            </w:r>
            <w:hyperlink r:id="rId463" w:history="1">
              <w:r w:rsidRPr="00BE16CB">
                <w:rPr>
                  <w:rStyle w:val="Hyperlink"/>
                </w:rPr>
                <w:t>ss42E</w:t>
              </w:r>
            </w:hyperlink>
            <w:r w:rsidRPr="002878BD">
              <w:t xml:space="preserve"> to </w:t>
            </w:r>
            <w:hyperlink r:id="rId464" w:history="1">
              <w:r w:rsidRPr="00BE16CB">
                <w:rPr>
                  <w:rStyle w:val="Hyperlink"/>
                </w:rPr>
                <w:t>42N</w:t>
              </w:r>
            </w:hyperlink>
          </w:p>
          <w:p w14:paraId="28963481" w14:textId="11984A5F" w:rsidR="00DD0592" w:rsidRPr="002878BD" w:rsidRDefault="00A7538C" w:rsidP="00B21723">
            <w:pPr>
              <w:pStyle w:val="lgetabletxt"/>
              <w:spacing w:after="60" w:afterAutospacing="0"/>
            </w:pPr>
            <w:hyperlink r:id="rId465" w:history="1">
              <w:r w:rsidR="00DD0592" w:rsidRPr="002878BD">
                <w:rPr>
                  <w:rStyle w:val="Hyperlink"/>
                </w:rPr>
                <w:t>Arbitration</w:t>
              </w:r>
            </w:hyperlink>
            <w:r w:rsidR="00DD0592" w:rsidRPr="002878BD">
              <w:t xml:space="preserve">: Formal hearing normally held in private, where both parties give evidence. Orders made by the Tribunal are final and binding — </w:t>
            </w:r>
            <w:hyperlink r:id="rId466" w:history="1">
              <w:r w:rsidR="00DD0592" w:rsidRPr="00BE16CB">
                <w:rPr>
                  <w:rStyle w:val="Hyperlink"/>
                </w:rPr>
                <w:t>s44</w:t>
              </w:r>
            </w:hyperlink>
            <w:r w:rsidR="00DD0592" w:rsidRPr="002878BD">
              <w:t xml:space="preserve"> to </w:t>
            </w:r>
            <w:hyperlink r:id="rId467" w:history="1">
              <w:r w:rsidR="00DD0592" w:rsidRPr="00BE16CB">
                <w:rPr>
                  <w:rStyle w:val="Hyperlink"/>
                </w:rPr>
                <w:t>s49</w:t>
              </w:r>
            </w:hyperlink>
          </w:p>
          <w:p w14:paraId="2569096A" w14:textId="77777777" w:rsidR="00DD0592" w:rsidRPr="002878BD" w:rsidRDefault="00DD0592" w:rsidP="00B21723">
            <w:pPr>
              <w:pStyle w:val="lgetabletxt"/>
              <w:spacing w:after="60" w:afterAutospacing="0"/>
            </w:pPr>
            <w:r w:rsidRPr="002878BD">
              <w:t xml:space="preserve">Appeal to Supreme Court: Can only appeal on points of law — </w:t>
            </w:r>
            <w:hyperlink r:id="rId468" w:history="1">
              <w:r w:rsidRPr="002878BD">
                <w:rPr>
                  <w:rStyle w:val="Hyperlink"/>
                </w:rPr>
                <w:t>s63</w:t>
              </w:r>
            </w:hyperlink>
          </w:p>
          <w:p w14:paraId="499AE519" w14:textId="36A53D46" w:rsidR="00DD0592" w:rsidRPr="002878BD" w:rsidRDefault="00DD0592" w:rsidP="00B21723">
            <w:pPr>
              <w:pStyle w:val="lgetabletxt"/>
              <w:spacing w:after="60" w:afterAutospacing="0"/>
            </w:pPr>
            <w:r w:rsidRPr="00EB23D3">
              <w:rPr>
                <w:b/>
              </w:rPr>
              <w:lastRenderedPageBreak/>
              <w:t xml:space="preserve">Medical Panel: </w:t>
            </w:r>
            <w:r w:rsidRPr="002878BD">
              <w:t xml:space="preserve">The Tribunal may refer a medical question to a medical panel when there is conflicting medical opinion, and one of the parties wishes to continue with proceedings. The determination of the medical panel is binding on the Tribunal — </w:t>
            </w:r>
            <w:hyperlink r:id="rId469" w:history="1">
              <w:r w:rsidRPr="002878BD">
                <w:rPr>
                  <w:rStyle w:val="Hyperlink"/>
                </w:rPr>
                <w:t>s49</w:t>
              </w:r>
            </w:hyperlink>
            <w:r w:rsidR="000D3C6D">
              <w:rPr>
                <w:rStyle w:val="Hyperlink"/>
              </w:rPr>
              <w:t>.</w:t>
            </w:r>
          </w:p>
        </w:tc>
      </w:tr>
      <w:tr w:rsidR="00DD0592" w:rsidRPr="002878BD" w14:paraId="633EC3E9" w14:textId="77777777" w:rsidTr="00FB729B">
        <w:tc>
          <w:tcPr>
            <w:tcW w:w="1542" w:type="dxa"/>
            <w:shd w:val="clear" w:color="auto" w:fill="FFC9C9"/>
            <w:tcMar>
              <w:top w:w="80" w:type="dxa"/>
              <w:left w:w="80" w:type="dxa"/>
              <w:bottom w:w="80" w:type="dxa"/>
              <w:right w:w="80" w:type="dxa"/>
            </w:tcMar>
          </w:tcPr>
          <w:p w14:paraId="693C5FF8" w14:textId="77777777" w:rsidR="00DD0592" w:rsidRPr="002878BD" w:rsidRDefault="00DD0592" w:rsidP="00B21723">
            <w:pPr>
              <w:pStyle w:val="TableColumn1bold"/>
              <w:spacing w:after="60"/>
            </w:pPr>
            <w:r w:rsidRPr="002878BD">
              <w:lastRenderedPageBreak/>
              <w:t>Northern Territory</w:t>
            </w:r>
          </w:p>
        </w:tc>
        <w:tc>
          <w:tcPr>
            <w:tcW w:w="13893" w:type="dxa"/>
            <w:shd w:val="clear" w:color="auto" w:fill="FFC9C9"/>
            <w:tcMar>
              <w:top w:w="80" w:type="dxa"/>
              <w:left w:w="80" w:type="dxa"/>
              <w:bottom w:w="80" w:type="dxa"/>
              <w:right w:w="80" w:type="dxa"/>
            </w:tcMar>
          </w:tcPr>
          <w:p w14:paraId="4C3AADE5" w14:textId="6B5BED36" w:rsidR="00DD0592" w:rsidRPr="002878BD" w:rsidRDefault="00DD0592" w:rsidP="00B21723">
            <w:pPr>
              <w:pStyle w:val="lgetabletxt"/>
              <w:spacing w:after="60" w:afterAutospacing="0"/>
            </w:pPr>
            <w:r w:rsidRPr="00BB6C3C">
              <w:rPr>
                <w:b/>
              </w:rPr>
              <w:t>Mediation:</w:t>
            </w:r>
            <w:r w:rsidRPr="002878BD">
              <w:t xml:space="preserve"> To try and resolve disputes by having discussions with each party and through conference with parties. The mediator may make recommendation to parties in relation to resolution of dispute — </w:t>
            </w:r>
            <w:hyperlink r:id="rId470" w:history="1">
              <w:r w:rsidRPr="00BE16CB">
                <w:rPr>
                  <w:rStyle w:val="Hyperlink"/>
                </w:rPr>
                <w:t>ss103B to 103E</w:t>
              </w:r>
            </w:hyperlink>
          </w:p>
          <w:p w14:paraId="022E0D40" w14:textId="7871C38E" w:rsidR="00DD0592" w:rsidRPr="002878BD" w:rsidRDefault="00DD0592" w:rsidP="00B21723">
            <w:pPr>
              <w:pStyle w:val="lgetabletxt"/>
              <w:spacing w:after="60" w:afterAutospacing="0"/>
            </w:pPr>
            <w:r w:rsidRPr="00BB6C3C">
              <w:rPr>
                <w:b/>
              </w:rPr>
              <w:t>Work Health Court:</w:t>
            </w:r>
            <w:r w:rsidRPr="002878BD">
              <w:t xml:space="preserve"> Hear and determine claims for compensation and all matters and questions incidental to or arising out of such claims — </w:t>
            </w:r>
            <w:hyperlink r:id="rId471" w:history="1">
              <w:r w:rsidRPr="00BE16CB">
                <w:rPr>
                  <w:rStyle w:val="Hyperlink"/>
                </w:rPr>
                <w:t>ss93 to 110B</w:t>
              </w:r>
            </w:hyperlink>
            <w:r w:rsidRPr="002878BD">
              <w:t xml:space="preserve"> </w:t>
            </w:r>
          </w:p>
          <w:p w14:paraId="3BBF08AC" w14:textId="5D6ED9EB" w:rsidR="00DD0592" w:rsidRPr="002878BD" w:rsidRDefault="00DD0592" w:rsidP="00B21723">
            <w:pPr>
              <w:pStyle w:val="lgetabletxt"/>
              <w:spacing w:after="60" w:afterAutospacing="0"/>
            </w:pPr>
            <w:r w:rsidRPr="00BB6C3C">
              <w:rPr>
                <w:b/>
              </w:rPr>
              <w:t>Supreme Court:</w:t>
            </w:r>
            <w:r w:rsidRPr="002878BD">
              <w:t xml:space="preserve"> Points of law only can be referred to the Supreme Court — </w:t>
            </w:r>
            <w:hyperlink r:id="rId472" w:history="1">
              <w:r w:rsidRPr="00BE16CB">
                <w:rPr>
                  <w:rStyle w:val="Hyperlink"/>
                </w:rPr>
                <w:t>ss115</w:t>
              </w:r>
            </w:hyperlink>
            <w:r w:rsidRPr="002878BD">
              <w:t xml:space="preserve"> and </w:t>
            </w:r>
            <w:hyperlink r:id="rId473" w:history="1">
              <w:r w:rsidRPr="00BE16CB">
                <w:rPr>
                  <w:rStyle w:val="Hyperlink"/>
                </w:rPr>
                <w:t>116</w:t>
              </w:r>
            </w:hyperlink>
          </w:p>
          <w:p w14:paraId="2ABC7FB6" w14:textId="2F0E4F80" w:rsidR="00DD0592" w:rsidRPr="002878BD" w:rsidRDefault="00DD0592" w:rsidP="00B21723">
            <w:pPr>
              <w:pStyle w:val="lgetabletxt"/>
              <w:spacing w:after="60" w:afterAutospacing="0"/>
            </w:pPr>
            <w:r w:rsidRPr="002878BD">
              <w:t xml:space="preserve">NB: Claimant is not entitled to commence court proceedings unless an attempt at resolution had been made through mediation — </w:t>
            </w:r>
            <w:hyperlink r:id="rId474" w:history="1">
              <w:r w:rsidRPr="00BE16CB">
                <w:rPr>
                  <w:rStyle w:val="Hyperlink"/>
                </w:rPr>
                <w:t>s103J(1)</w:t>
              </w:r>
            </w:hyperlink>
          </w:p>
          <w:p w14:paraId="1C7C2FB4" w14:textId="06C3C466" w:rsidR="00DD0592" w:rsidRPr="002878BD" w:rsidRDefault="00DD0592" w:rsidP="00B52BD8">
            <w:pPr>
              <w:pStyle w:val="lgetabletxt"/>
              <w:spacing w:after="60" w:afterAutospacing="0"/>
            </w:pPr>
            <w:r w:rsidRPr="002878BD">
              <w:t xml:space="preserve">Medical Panels – only for disputes over level of permanent impairment </w:t>
            </w:r>
            <w:r w:rsidR="00B52BD8">
              <w:t>—</w:t>
            </w:r>
            <w:r w:rsidR="00B52BD8" w:rsidRPr="002878BD">
              <w:t xml:space="preserve"> </w:t>
            </w:r>
            <w:hyperlink r:id="rId475" w:history="1">
              <w:r w:rsidRPr="00BE16CB">
                <w:rPr>
                  <w:rStyle w:val="Hyperlink"/>
                </w:rPr>
                <w:t>s72</w:t>
              </w:r>
            </w:hyperlink>
            <w:r w:rsidRPr="002878BD">
              <w:t xml:space="preserve">. Not subject to review </w:t>
            </w:r>
            <w:r w:rsidR="00B52BD8">
              <w:t>—</w:t>
            </w:r>
            <w:r w:rsidR="00B52BD8" w:rsidRPr="002878BD">
              <w:t xml:space="preserve"> </w:t>
            </w:r>
            <w:hyperlink r:id="rId476" w:history="1">
              <w:r w:rsidRPr="00BE16CB">
                <w:rPr>
                  <w:rStyle w:val="Hyperlink"/>
                </w:rPr>
                <w:t>s72(4)</w:t>
              </w:r>
            </w:hyperlink>
            <w:r w:rsidR="000D3C6D">
              <w:t>.</w:t>
            </w:r>
          </w:p>
        </w:tc>
      </w:tr>
      <w:tr w:rsidR="00DD0592" w:rsidRPr="002878BD" w14:paraId="343ABDD6" w14:textId="77777777" w:rsidTr="00FB729B">
        <w:tc>
          <w:tcPr>
            <w:tcW w:w="1542" w:type="dxa"/>
            <w:tcMar>
              <w:top w:w="80" w:type="dxa"/>
              <w:left w:w="80" w:type="dxa"/>
              <w:bottom w:w="80" w:type="dxa"/>
              <w:right w:w="80" w:type="dxa"/>
            </w:tcMar>
          </w:tcPr>
          <w:p w14:paraId="79EEB255" w14:textId="77777777" w:rsidR="00DD0592" w:rsidRPr="002878BD" w:rsidRDefault="00DD0592" w:rsidP="00B21723">
            <w:pPr>
              <w:pStyle w:val="TableColumn1bold"/>
              <w:spacing w:after="60"/>
            </w:pPr>
            <w:r w:rsidRPr="002878BD">
              <w:t>Australian Capital Territory</w:t>
            </w:r>
          </w:p>
        </w:tc>
        <w:tc>
          <w:tcPr>
            <w:tcW w:w="13893" w:type="dxa"/>
            <w:tcMar>
              <w:top w:w="80" w:type="dxa"/>
              <w:left w:w="80" w:type="dxa"/>
              <w:bottom w:w="80" w:type="dxa"/>
              <w:right w:w="80" w:type="dxa"/>
            </w:tcMar>
          </w:tcPr>
          <w:p w14:paraId="553C6E46" w14:textId="77777777" w:rsidR="00DD0592" w:rsidRPr="002878BD" w:rsidRDefault="00DD0592" w:rsidP="00B21723">
            <w:pPr>
              <w:pStyle w:val="lgetabletxt"/>
              <w:spacing w:after="60" w:afterAutospacing="0"/>
            </w:pPr>
            <w:r w:rsidRPr="00BB6C3C">
              <w:rPr>
                <w:b/>
              </w:rPr>
              <w:t>Conciliation:</w:t>
            </w:r>
            <w:r w:rsidRPr="002878BD">
              <w:t xml:space="preserve"> Parties must make a genuine effort to reach an agreement. Conciliation must occur before arbitration unless there is an issue with the insurer rejecting a claim for compensation.</w:t>
            </w:r>
          </w:p>
          <w:p w14:paraId="0A5F55F7" w14:textId="77777777" w:rsidR="00DD0592" w:rsidRPr="002878BD" w:rsidRDefault="00DD0592" w:rsidP="00B21723">
            <w:pPr>
              <w:pStyle w:val="lgetabletxt"/>
              <w:spacing w:after="60" w:afterAutospacing="0"/>
            </w:pPr>
            <w:r w:rsidRPr="002878BD">
              <w:t>The conciliation officer may decide claim for compensation is not suitable for conciliation or the issue is unresolved and may make a recommendation. If parties agree, the record of agreement must be in writing — Part 6, Regulations</w:t>
            </w:r>
          </w:p>
          <w:p w14:paraId="067192BE" w14:textId="77777777" w:rsidR="00DD0592" w:rsidRPr="002878BD" w:rsidRDefault="00DD0592" w:rsidP="00B21723">
            <w:pPr>
              <w:pStyle w:val="lgetabletxt"/>
              <w:spacing w:after="60" w:afterAutospacing="0"/>
            </w:pPr>
            <w:r w:rsidRPr="00BB6C3C">
              <w:rPr>
                <w:b/>
              </w:rPr>
              <w:t>Arbitration:</w:t>
            </w:r>
            <w:r w:rsidRPr="002878BD">
              <w:t xml:space="preserve"> If conciliation is unsuccessful or compensation claim has been rejected by the insurer, the matter must be decided by the Committee unless the Committee refers the matter to the Magistrates Court — Part 7, Regulations</w:t>
            </w:r>
          </w:p>
          <w:p w14:paraId="4E17245E" w14:textId="77777777" w:rsidR="00DD0592" w:rsidRPr="002878BD" w:rsidRDefault="00DD0592" w:rsidP="00B21723">
            <w:pPr>
              <w:pStyle w:val="lgetabletxt"/>
              <w:spacing w:after="60" w:afterAutospacing="0"/>
            </w:pPr>
            <w:r w:rsidRPr="00BB6C3C">
              <w:rPr>
                <w:b/>
              </w:rPr>
              <w:t>Magistrates Court:</w:t>
            </w:r>
            <w:r w:rsidRPr="002878BD">
              <w:t xml:space="preserve"> Appeals or referrals by the Committee — Part 7, Regulations</w:t>
            </w:r>
          </w:p>
          <w:p w14:paraId="68DAFD77" w14:textId="633D11C8" w:rsidR="00DD0592" w:rsidRPr="002878BD" w:rsidRDefault="00DD0592" w:rsidP="00B21723">
            <w:pPr>
              <w:pStyle w:val="lgetabletxt"/>
              <w:spacing w:after="60" w:afterAutospacing="0"/>
            </w:pPr>
            <w:r w:rsidRPr="00BB6C3C">
              <w:rPr>
                <w:b/>
              </w:rPr>
              <w:t>Medical Referees:</w:t>
            </w:r>
            <w:r w:rsidRPr="002878BD">
              <w:t xml:space="preserve"> Medical referees may be requested throughout the resolution process to prepare a report to help parties reach an agreement — Part 7, Regulations</w:t>
            </w:r>
            <w:r w:rsidR="000D3C6D">
              <w:t>.</w:t>
            </w:r>
          </w:p>
        </w:tc>
      </w:tr>
      <w:tr w:rsidR="00DD0592" w:rsidRPr="002878BD" w14:paraId="1F41B55F" w14:textId="77777777" w:rsidTr="00FB729B">
        <w:tc>
          <w:tcPr>
            <w:tcW w:w="1542" w:type="dxa"/>
            <w:shd w:val="clear" w:color="auto" w:fill="FFC9C9"/>
            <w:tcMar>
              <w:top w:w="80" w:type="dxa"/>
              <w:left w:w="80" w:type="dxa"/>
              <w:bottom w:w="80" w:type="dxa"/>
              <w:right w:w="80" w:type="dxa"/>
            </w:tcMar>
          </w:tcPr>
          <w:p w14:paraId="4C917B08" w14:textId="77777777" w:rsidR="00DD0592" w:rsidRPr="002878BD" w:rsidRDefault="00DD0592" w:rsidP="00B21723">
            <w:pPr>
              <w:pStyle w:val="TableColumn1bold"/>
              <w:spacing w:after="60"/>
            </w:pPr>
            <w:r w:rsidRPr="002878BD">
              <w:t>C’wealth Comcare</w:t>
            </w:r>
          </w:p>
        </w:tc>
        <w:tc>
          <w:tcPr>
            <w:tcW w:w="13893" w:type="dxa"/>
            <w:shd w:val="clear" w:color="auto" w:fill="FFC9C9"/>
            <w:tcMar>
              <w:top w:w="80" w:type="dxa"/>
              <w:left w:w="80" w:type="dxa"/>
              <w:bottom w:w="80" w:type="dxa"/>
              <w:right w:w="80" w:type="dxa"/>
            </w:tcMar>
          </w:tcPr>
          <w:p w14:paraId="0429B5E8" w14:textId="5DAF1288" w:rsidR="00DD0592" w:rsidRDefault="00DD0592" w:rsidP="00B21723">
            <w:pPr>
              <w:pStyle w:val="lgetabletxt"/>
              <w:spacing w:after="60" w:afterAutospacing="0"/>
            </w:pPr>
            <w:r>
              <w:t xml:space="preserve">Following an internal reconsideration process — </w:t>
            </w:r>
            <w:hyperlink r:id="rId477" w:history="1">
              <w:r w:rsidRPr="008F0293">
                <w:rPr>
                  <w:rStyle w:val="Hyperlink"/>
                </w:rPr>
                <w:t>s62</w:t>
              </w:r>
            </w:hyperlink>
            <w:r>
              <w:t>, by an independent review officer (or by a delegate not involved in the initial decision</w:t>
            </w:r>
            <w:r w:rsidR="00164DBA">
              <w:t xml:space="preserve">, or by the initial decision delegate in relation to reconsideration </w:t>
            </w:r>
            <w:r w:rsidR="00C66BCF">
              <w:t xml:space="preserve">of </w:t>
            </w:r>
            <w:r w:rsidR="00164DBA">
              <w:t>own motion</w:t>
            </w:r>
            <w:r>
              <w:t xml:space="preserve">), if either party (employee or employer) to a reconsidered decision is not satisfied with that decision an application to the Administrative Appeals Tribunal (AAT) may be made (a dispute). The AAT processes include compulsory conciliation. The AAT has the discretion to make or decline to make a decision in the terms agreed to by the parties. The AAT must be satisfied that a decision in those terms or consistent with those terms would be within the powers of the Tribunal. If conciliation is unsuccessful, the AAT can also make determinative decisions — </w:t>
            </w:r>
            <w:hyperlink r:id="rId478" w:history="1">
              <w:r w:rsidRPr="008F0293">
                <w:rPr>
                  <w:rStyle w:val="Hyperlink"/>
                </w:rPr>
                <w:t>s64</w:t>
              </w:r>
            </w:hyperlink>
            <w:r>
              <w:t>.</w:t>
            </w:r>
          </w:p>
          <w:p w14:paraId="4F342A25" w14:textId="77777777" w:rsidR="00DD0592" w:rsidRPr="002878BD" w:rsidRDefault="00DD0592" w:rsidP="00B21723">
            <w:pPr>
              <w:pStyle w:val="lgetabletxt"/>
              <w:spacing w:after="60" w:afterAutospacing="0"/>
            </w:pPr>
            <w:r w:rsidRPr="00EB23D3">
              <w:rPr>
                <w:b/>
              </w:rPr>
              <w:t>Appeals:</w:t>
            </w:r>
            <w:r>
              <w:t xml:space="preserve"> A party may apply from the AAT to the Federal Court on questions of law.</w:t>
            </w:r>
          </w:p>
        </w:tc>
      </w:tr>
      <w:tr w:rsidR="00DD0592" w:rsidRPr="002878BD" w14:paraId="3A5A01DA" w14:textId="77777777" w:rsidTr="00FB729B">
        <w:tc>
          <w:tcPr>
            <w:tcW w:w="1542" w:type="dxa"/>
            <w:tcMar>
              <w:top w:w="80" w:type="dxa"/>
              <w:left w:w="80" w:type="dxa"/>
              <w:bottom w:w="80" w:type="dxa"/>
              <w:right w:w="80" w:type="dxa"/>
            </w:tcMar>
          </w:tcPr>
          <w:p w14:paraId="36D7AE84" w14:textId="77777777" w:rsidR="00DD0592" w:rsidRPr="00153F5B" w:rsidRDefault="00DD0592" w:rsidP="00B21723">
            <w:pPr>
              <w:pStyle w:val="lgetabletxt"/>
              <w:spacing w:after="60" w:afterAutospacing="0"/>
              <w:rPr>
                <w:b/>
              </w:rPr>
            </w:pPr>
            <w:r w:rsidRPr="00153F5B">
              <w:rPr>
                <w:rFonts w:eastAsiaTheme="minorHAnsi"/>
                <w:b/>
                <w:color w:val="auto"/>
                <w:sz w:val="16"/>
                <w:lang w:val="en-AU" w:eastAsia="en-US"/>
              </w:rPr>
              <w:t>C’wealth Seacare</w:t>
            </w:r>
          </w:p>
        </w:tc>
        <w:tc>
          <w:tcPr>
            <w:tcW w:w="13893" w:type="dxa"/>
            <w:tcMar>
              <w:top w:w="80" w:type="dxa"/>
              <w:left w:w="80" w:type="dxa"/>
              <w:bottom w:w="80" w:type="dxa"/>
              <w:right w:w="80" w:type="dxa"/>
            </w:tcMar>
          </w:tcPr>
          <w:p w14:paraId="0B4ECFDA" w14:textId="794DA15A" w:rsidR="00DD0592" w:rsidRPr="002878BD" w:rsidRDefault="00DD0592" w:rsidP="00B21723">
            <w:pPr>
              <w:pStyle w:val="lgetabletxt"/>
              <w:spacing w:after="60" w:afterAutospacing="0"/>
            </w:pPr>
            <w:r w:rsidRPr="002878BD">
              <w:t>Following a reconsideration process</w:t>
            </w:r>
            <w:r w:rsidR="00C66BCF">
              <w:t xml:space="preserve"> – </w:t>
            </w:r>
            <w:hyperlink r:id="rId479" w:history="1">
              <w:r w:rsidR="00C66BCF" w:rsidRPr="00C66BCF">
                <w:rPr>
                  <w:rStyle w:val="Hyperlink"/>
                </w:rPr>
                <w:t>s78</w:t>
              </w:r>
            </w:hyperlink>
            <w:r w:rsidR="00C66BCF">
              <w:t xml:space="preserve"> </w:t>
            </w:r>
            <w:r w:rsidR="00C66BCF" w:rsidRPr="00016069">
              <w:rPr>
                <w:i/>
              </w:rPr>
              <w:t>Seafarers Rehabilitation and Compensation Act 1992</w:t>
            </w:r>
            <w:r w:rsidRPr="002878BD">
              <w:t xml:space="preserve"> which must involve the assistance of an industry panel or Comcare officer, if the employee is not satisfied with that decision an application to the Administrative Appeals Tribunal (AAT) may be made (a dispute). The AAT processes include compulsory conciliation. The AAT has the discretion to make or decline to make a decision in the terms agreed to by the parties. The AAT must be satisfied that a decision in those terms or consistent with those terms would be within the powers of the Tribunal. If conciliation is unsuccessful, the AAT can also make determinative decisions — </w:t>
            </w:r>
            <w:hyperlink r:id="rId480" w:history="1">
              <w:r w:rsidRPr="008F0293">
                <w:rPr>
                  <w:rStyle w:val="Hyperlink"/>
                </w:rPr>
                <w:t>s88</w:t>
              </w:r>
            </w:hyperlink>
          </w:p>
          <w:p w14:paraId="6988A620" w14:textId="77777777" w:rsidR="00DD0592" w:rsidRPr="002878BD" w:rsidRDefault="00DD0592" w:rsidP="00B21723">
            <w:pPr>
              <w:pStyle w:val="lgetabletxt"/>
              <w:spacing w:after="60" w:afterAutospacing="0"/>
            </w:pPr>
            <w:r w:rsidRPr="00153F5B">
              <w:rPr>
                <w:b/>
              </w:rPr>
              <w:t>Appeals</w:t>
            </w:r>
            <w:r w:rsidRPr="00153F5B">
              <w:t>:</w:t>
            </w:r>
            <w:r w:rsidRPr="002878BD">
              <w:t xml:space="preserve"> A party may apply from the AAT to the Federal Court on questions of law.</w:t>
            </w:r>
          </w:p>
        </w:tc>
      </w:tr>
      <w:tr w:rsidR="00DD0592" w:rsidRPr="002878BD" w14:paraId="78751BDA" w14:textId="77777777" w:rsidTr="00FB729B">
        <w:tc>
          <w:tcPr>
            <w:tcW w:w="1542" w:type="dxa"/>
            <w:shd w:val="clear" w:color="auto" w:fill="FFC9C9"/>
            <w:tcMar>
              <w:top w:w="80" w:type="dxa"/>
              <w:left w:w="80" w:type="dxa"/>
              <w:bottom w:w="80" w:type="dxa"/>
              <w:right w:w="80" w:type="dxa"/>
            </w:tcMar>
          </w:tcPr>
          <w:p w14:paraId="2A05D513" w14:textId="77777777" w:rsidR="00DD0592" w:rsidRPr="002878BD" w:rsidRDefault="00DD0592" w:rsidP="00B21723">
            <w:pPr>
              <w:pStyle w:val="TableColumn1bold"/>
              <w:spacing w:after="60"/>
            </w:pPr>
            <w:r w:rsidRPr="002878BD">
              <w:t>C’wealth DVA</w:t>
            </w:r>
          </w:p>
        </w:tc>
        <w:tc>
          <w:tcPr>
            <w:tcW w:w="13893" w:type="dxa"/>
            <w:shd w:val="clear" w:color="auto" w:fill="FFC9C9"/>
            <w:tcMar>
              <w:top w:w="80" w:type="dxa"/>
              <w:left w:w="80" w:type="dxa"/>
              <w:bottom w:w="80" w:type="dxa"/>
              <w:right w:w="80" w:type="dxa"/>
            </w:tcMar>
          </w:tcPr>
          <w:p w14:paraId="7822C3FB" w14:textId="0607D6F5" w:rsidR="0090403B" w:rsidRDefault="0090403B" w:rsidP="0090403B">
            <w:pPr>
              <w:pStyle w:val="lgetabletxt"/>
              <w:spacing w:after="60" w:afterAutospacing="0"/>
            </w:pPr>
            <w:r w:rsidRPr="008F0EFC">
              <w:t xml:space="preserve">For </w:t>
            </w:r>
            <w:r w:rsidR="006119DA" w:rsidRPr="0039798F">
              <w:rPr>
                <w:rFonts w:eastAsia="Calibri"/>
                <w:i/>
                <w:szCs w:val="14"/>
                <w:lang w:eastAsia="en-US"/>
              </w:rPr>
              <w:t>Military Rehabilitation and Compensation Act 2004</w:t>
            </w:r>
            <w:r w:rsidR="006119DA">
              <w:rPr>
                <w:rFonts w:eastAsia="Calibri"/>
                <w:i/>
                <w:szCs w:val="14"/>
                <w:lang w:eastAsia="en-US"/>
              </w:rPr>
              <w:t xml:space="preserve"> </w:t>
            </w:r>
            <w:r w:rsidR="006119DA">
              <w:rPr>
                <w:rFonts w:eastAsia="Calibri"/>
                <w:szCs w:val="14"/>
                <w:lang w:eastAsia="en-US"/>
              </w:rPr>
              <w:t>(</w:t>
            </w:r>
            <w:r>
              <w:t>MRCA</w:t>
            </w:r>
            <w:r w:rsidR="006119DA">
              <w:t>)</w:t>
            </w:r>
            <w:r>
              <w:t xml:space="preserve"> </w:t>
            </w:r>
            <w:r w:rsidRPr="008F0EFC">
              <w:t xml:space="preserve">primary decisions made before 1 January 2017, </w:t>
            </w:r>
            <w:r>
              <w:t xml:space="preserve">a dual appeal pathway existed including </w:t>
            </w:r>
            <w:r w:rsidRPr="008F0EFC">
              <w:t xml:space="preserve">an internal reconsideration process — </w:t>
            </w:r>
            <w:hyperlink r:id="rId481" w:history="1">
              <w:r w:rsidRPr="008F0293">
                <w:rPr>
                  <w:rStyle w:val="Hyperlink"/>
                </w:rPr>
                <w:t>s350</w:t>
              </w:r>
            </w:hyperlink>
            <w:r w:rsidRPr="008F0EFC">
              <w:t xml:space="preserve">, or review by the Veterans’ Review Board — </w:t>
            </w:r>
            <w:hyperlink r:id="rId482" w:history="1">
              <w:r w:rsidRPr="008F0293">
                <w:rPr>
                  <w:rStyle w:val="Hyperlink"/>
                </w:rPr>
                <w:t>s353</w:t>
              </w:r>
            </w:hyperlink>
            <w:r>
              <w:t>.  I</w:t>
            </w:r>
            <w:r w:rsidRPr="008F0EFC">
              <w:t xml:space="preserve">f either party (claimant, Chief of the Defence Force or MRCC) is not satisfied with that decision an application to the AAT may be made. For primary decisions made on or after 1 January 2017, </w:t>
            </w:r>
            <w:r>
              <w:t xml:space="preserve">a single appeal pathway exists consisting of </w:t>
            </w:r>
            <w:r w:rsidRPr="008F0EFC">
              <w:t>a review by the VRB is conducted then if either the veteran or the MRCC is not satisfied with the outcome, an application to the AAT may be made</w:t>
            </w:r>
            <w:r>
              <w:t>.</w:t>
            </w:r>
          </w:p>
          <w:p w14:paraId="68C56C84" w14:textId="77777777" w:rsidR="0090403B" w:rsidRDefault="0090403B" w:rsidP="0090403B">
            <w:pPr>
              <w:pStyle w:val="lgetabletxt"/>
              <w:spacing w:after="60" w:afterAutospacing="0"/>
            </w:pPr>
          </w:p>
          <w:p w14:paraId="78E0F936" w14:textId="4EB2C3F1" w:rsidR="0090403B" w:rsidRDefault="0090403B" w:rsidP="0090403B">
            <w:pPr>
              <w:pStyle w:val="lgetabletxt"/>
              <w:spacing w:after="60" w:afterAutospacing="0"/>
            </w:pPr>
            <w:r>
              <w:t xml:space="preserve">For </w:t>
            </w:r>
            <w:r w:rsidR="006119DA" w:rsidRPr="00016069">
              <w:rPr>
                <w:i/>
              </w:rPr>
              <w:t>Safety, Rehabilitation and Compensation (Defence-related Claims) Act 1988</w:t>
            </w:r>
            <w:r w:rsidR="006119DA">
              <w:t xml:space="preserve"> (</w:t>
            </w:r>
            <w:r>
              <w:t>DRCA</w:t>
            </w:r>
            <w:r w:rsidR="006119DA">
              <w:t>)</w:t>
            </w:r>
            <w:r>
              <w:t xml:space="preserve"> primary decisions</w:t>
            </w:r>
          </w:p>
          <w:p w14:paraId="69C59715" w14:textId="2A1B0D71" w:rsidR="0090403B" w:rsidRDefault="0090403B" w:rsidP="0090403B">
            <w:pPr>
              <w:pStyle w:val="lgetabletxt"/>
              <w:spacing w:after="60" w:afterAutospacing="0"/>
            </w:pPr>
            <w:r>
              <w:t xml:space="preserve">Following an internal reconsideration process — </w:t>
            </w:r>
            <w:hyperlink r:id="rId483" w:history="1">
              <w:r w:rsidRPr="008F0293">
                <w:rPr>
                  <w:rStyle w:val="Hyperlink"/>
                </w:rPr>
                <w:t>s62</w:t>
              </w:r>
            </w:hyperlink>
            <w:r>
              <w:t xml:space="preserve">, by an independent review officer (or by a delegate not involved in the initial decision), if either party (employee or employer) to a reconsidered decision is not satisfied with that decision an application to the Administrative Appeals Tribunal (AAT) may be made (a dispute). The AAT processes include compulsory conciliation. The AAT has the discretion to make or decline to make a decision in the terms agreed to by the parties. The AAT must be satisfied that a decision in those terms or consistent with those terms would be within the powers of the Tribunal. If conciliation is unsuccessful, the AAT can also make determinative decisions — </w:t>
            </w:r>
            <w:hyperlink r:id="rId484" w:history="1">
              <w:r w:rsidRPr="008F0293">
                <w:rPr>
                  <w:rStyle w:val="Hyperlink"/>
                </w:rPr>
                <w:t>s64</w:t>
              </w:r>
            </w:hyperlink>
            <w:r>
              <w:t>.</w:t>
            </w:r>
          </w:p>
          <w:p w14:paraId="3CCBFB51" w14:textId="33FD1319" w:rsidR="00DD0592" w:rsidRPr="002878BD" w:rsidRDefault="0090403B" w:rsidP="0090403B">
            <w:pPr>
              <w:pStyle w:val="lgetabletxt"/>
              <w:spacing w:after="60" w:afterAutospacing="0"/>
            </w:pPr>
            <w:r w:rsidRPr="00EB23D3">
              <w:rPr>
                <w:b/>
              </w:rPr>
              <w:t>Appeals:</w:t>
            </w:r>
            <w:r>
              <w:t xml:space="preserve"> A party may apply from the AAT to the Federal Court on questions of law.</w:t>
            </w:r>
          </w:p>
        </w:tc>
      </w:tr>
      <w:tr w:rsidR="00DD0592" w:rsidRPr="002878BD" w14:paraId="7E5D9880" w14:textId="77777777" w:rsidTr="00FB729B">
        <w:tc>
          <w:tcPr>
            <w:tcW w:w="1542" w:type="dxa"/>
            <w:tcMar>
              <w:top w:w="80" w:type="dxa"/>
              <w:left w:w="80" w:type="dxa"/>
              <w:bottom w:w="80" w:type="dxa"/>
              <w:right w:w="80" w:type="dxa"/>
            </w:tcMar>
          </w:tcPr>
          <w:p w14:paraId="3FBA7AB3" w14:textId="77777777" w:rsidR="00DD0592" w:rsidRPr="002878BD" w:rsidRDefault="00DD0592" w:rsidP="00B21723">
            <w:pPr>
              <w:pStyle w:val="TableColumn1bold"/>
              <w:spacing w:after="60"/>
            </w:pPr>
            <w:r w:rsidRPr="002878BD">
              <w:t>New Zealand</w:t>
            </w:r>
          </w:p>
        </w:tc>
        <w:tc>
          <w:tcPr>
            <w:tcW w:w="13893" w:type="dxa"/>
            <w:tcMar>
              <w:top w:w="80" w:type="dxa"/>
              <w:left w:w="80" w:type="dxa"/>
              <w:bottom w:w="80" w:type="dxa"/>
              <w:right w:w="80" w:type="dxa"/>
            </w:tcMar>
          </w:tcPr>
          <w:p w14:paraId="7001EC48" w14:textId="77777777" w:rsidR="00DD0592" w:rsidRPr="002878BD" w:rsidRDefault="00DD0592" w:rsidP="00B21723">
            <w:pPr>
              <w:pStyle w:val="lgetabletxt"/>
              <w:spacing w:after="60" w:afterAutospacing="0"/>
            </w:pPr>
            <w:r w:rsidRPr="002878BD">
              <w:t xml:space="preserve">An employer may apply to the Corporation for a review of its decision that a claimant’s injury is a work-related personal injury suffered during employment with that employer. </w:t>
            </w:r>
          </w:p>
          <w:p w14:paraId="14D27C65" w14:textId="77777777" w:rsidR="00DD0592" w:rsidRPr="002878BD" w:rsidRDefault="00DD0592" w:rsidP="00B21723">
            <w:pPr>
              <w:pStyle w:val="lgetabletxt"/>
              <w:spacing w:after="60" w:afterAutospacing="0"/>
            </w:pPr>
            <w:r w:rsidRPr="002878BD">
              <w:t>A claimant may apply to the Corporation for a review of:</w:t>
            </w:r>
          </w:p>
          <w:p w14:paraId="69FAFA71" w14:textId="77777777" w:rsidR="00DD0592" w:rsidRPr="002878BD" w:rsidRDefault="00DD0592" w:rsidP="00B21723">
            <w:pPr>
              <w:pStyle w:val="Tableabc7pt"/>
              <w:numPr>
                <w:ilvl w:val="0"/>
                <w:numId w:val="6"/>
              </w:numPr>
              <w:spacing w:before="0" w:after="60"/>
            </w:pPr>
            <w:r w:rsidRPr="002878BD">
              <w:t>any of its decisions on the claim</w:t>
            </w:r>
          </w:p>
          <w:p w14:paraId="5C66B364" w14:textId="77777777" w:rsidR="00DD0592" w:rsidRPr="002878BD" w:rsidRDefault="00DD0592" w:rsidP="00B21723">
            <w:pPr>
              <w:pStyle w:val="Tableabc7pt"/>
              <w:numPr>
                <w:ilvl w:val="0"/>
                <w:numId w:val="6"/>
              </w:numPr>
              <w:spacing w:before="0" w:after="60"/>
            </w:pPr>
            <w:r w:rsidRPr="002878BD">
              <w:t>any delay in processing the claim for entitlement that the claimant believes is an unreasonable delay, or</w:t>
            </w:r>
          </w:p>
          <w:p w14:paraId="6AFCE435" w14:textId="77777777" w:rsidR="00DD0592" w:rsidRPr="002878BD" w:rsidRDefault="00DD0592" w:rsidP="00B21723">
            <w:pPr>
              <w:pStyle w:val="Tableabc7pt"/>
              <w:numPr>
                <w:ilvl w:val="0"/>
                <w:numId w:val="6"/>
              </w:numPr>
              <w:spacing w:before="0" w:after="60"/>
            </w:pPr>
            <w:r w:rsidRPr="002878BD">
              <w:t>any of its decisions under the Code on a complaint.</w:t>
            </w:r>
          </w:p>
          <w:p w14:paraId="02CBC024" w14:textId="77777777" w:rsidR="00DD0592" w:rsidRPr="002878BD" w:rsidRDefault="00DD0592" w:rsidP="00B21723">
            <w:pPr>
              <w:pStyle w:val="lgetabletxt"/>
              <w:spacing w:after="60" w:afterAutospacing="0"/>
            </w:pPr>
            <w:r w:rsidRPr="002878BD">
              <w:t xml:space="preserve">Levy payers can also ask for a review of any levy paid or payable. Reviews are conducted by an independent reviewer. A review decision can be appealed to the District Court. </w:t>
            </w:r>
          </w:p>
          <w:p w14:paraId="5D96D45B" w14:textId="77777777" w:rsidR="00DD0592" w:rsidRPr="002878BD" w:rsidRDefault="00DD0592" w:rsidP="00B21723">
            <w:pPr>
              <w:pStyle w:val="lgetabletxt"/>
              <w:spacing w:after="60" w:afterAutospacing="0"/>
            </w:pPr>
            <w:r w:rsidRPr="002878BD">
              <w:t>Appeals on questions of law can be taken to the High Court and the Court of Appeal.</w:t>
            </w:r>
          </w:p>
        </w:tc>
      </w:tr>
    </w:tbl>
    <w:p w14:paraId="2D9E1C66" w14:textId="7C972A50" w:rsidR="00285430" w:rsidRPr="00A80282" w:rsidRDefault="00285430" w:rsidP="00A80282">
      <w:pPr>
        <w:pStyle w:val="SWATableheader"/>
      </w:pPr>
      <w:bookmarkStart w:id="63" w:name="_Toc504654648"/>
      <w:bookmarkEnd w:id="62"/>
      <w:r w:rsidRPr="00A80282">
        <w:lastRenderedPageBreak/>
        <w:t>Table 2.10: Definition of remuneration for the purpose of premium calculation</w:t>
      </w:r>
      <w:bookmarkEnd w:id="63"/>
      <w:r w:rsidRPr="00A80282">
        <w:t xml:space="preserve"> </w:t>
      </w:r>
      <w:r w:rsidR="00184441" w:rsidRPr="00A80282">
        <w:fldChar w:fldCharType="begin"/>
      </w:r>
      <w:r w:rsidR="00184441" w:rsidRPr="00A80282">
        <w:instrText xml:space="preserve"> XE "coverage of workers:remuneration (definition for the purpose of premuim calculation)" </w:instrText>
      </w:r>
      <w:r w:rsidR="00184441" w:rsidRPr="00A80282">
        <w:fldChar w:fldCharType="end"/>
      </w:r>
      <w:r w:rsidR="003D18DA" w:rsidRPr="00A80282">
        <w:fldChar w:fldCharType="begin"/>
      </w:r>
      <w:r w:rsidR="003D18DA" w:rsidRPr="00A80282">
        <w:instrText xml:space="preserve"> XE "premiums:calculation (remuneration definitions)" </w:instrText>
      </w:r>
      <w:r w:rsidR="003D18DA" w:rsidRPr="00A80282">
        <w:fldChar w:fldCharType="end"/>
      </w:r>
      <w:r w:rsidR="00E566A9" w:rsidRPr="00A80282">
        <w:fldChar w:fldCharType="begin"/>
      </w:r>
      <w:r w:rsidR="00E566A9" w:rsidRPr="00A80282">
        <w:instrText xml:space="preserve"> XE "remuneration:definition for the purpose of premium calculation" </w:instrText>
      </w:r>
      <w:r w:rsidR="00E566A9" w:rsidRPr="00A80282">
        <w:fldChar w:fldCharType="end"/>
      </w:r>
      <w:r w:rsidR="00CA3CD4" w:rsidRPr="00A80282">
        <w:fldChar w:fldCharType="begin"/>
      </w:r>
      <w:r w:rsidR="00CA3CD4" w:rsidRPr="00A80282">
        <w:instrText xml:space="preserve"> XE "superannuation:contribution and entitlement benefits"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0: Definition of remuneration for the purpose of premium calculation "/>
        <w:tblDescription w:val="This table provides the definition for remuneration for permium calculation under the workers' compensation schemes. "/>
      </w:tblPr>
      <w:tblGrid>
        <w:gridCol w:w="1609"/>
        <w:gridCol w:w="13826"/>
      </w:tblGrid>
      <w:tr w:rsidR="00285430" w:rsidRPr="00285430" w14:paraId="5CE4FF6B" w14:textId="77777777" w:rsidTr="00FB729B">
        <w:trPr>
          <w:tblHeader/>
        </w:trPr>
        <w:tc>
          <w:tcPr>
            <w:tcW w:w="1609" w:type="dxa"/>
            <w:shd w:val="clear" w:color="auto" w:fill="C00000"/>
            <w:tcMar>
              <w:top w:w="0" w:type="dxa"/>
              <w:left w:w="0" w:type="dxa"/>
              <w:bottom w:w="0" w:type="dxa"/>
              <w:right w:w="0" w:type="dxa"/>
            </w:tcMar>
            <w:vAlign w:val="center"/>
          </w:tcPr>
          <w:p w14:paraId="25B4441B" w14:textId="77777777" w:rsidR="00285430" w:rsidRPr="00285430" w:rsidRDefault="00285430" w:rsidP="00B21723">
            <w:pPr>
              <w:spacing w:after="60"/>
              <w:rPr>
                <w:rFonts w:eastAsia="Calibri" w:cs="Arial"/>
                <w:b/>
                <w:color w:val="FFFFFF"/>
                <w:sz w:val="18"/>
                <w:szCs w:val="18"/>
                <w:lang w:eastAsia="en-US"/>
              </w:rPr>
            </w:pPr>
          </w:p>
        </w:tc>
        <w:tc>
          <w:tcPr>
            <w:tcW w:w="13826" w:type="dxa"/>
            <w:shd w:val="clear" w:color="auto" w:fill="C00000"/>
            <w:tcMar>
              <w:top w:w="0" w:type="dxa"/>
              <w:left w:w="0" w:type="dxa"/>
              <w:bottom w:w="0" w:type="dxa"/>
              <w:right w:w="0" w:type="dxa"/>
            </w:tcMar>
            <w:vAlign w:val="center"/>
          </w:tcPr>
          <w:p w14:paraId="0FA58B7D" w14:textId="77777777" w:rsidR="00285430" w:rsidRPr="00285430" w:rsidRDefault="00285430" w:rsidP="00B21723">
            <w:pPr>
              <w:spacing w:after="60"/>
              <w:rPr>
                <w:rFonts w:eastAsia="Calibri" w:cs="Arial"/>
                <w:b/>
                <w:color w:val="FFFFFF"/>
                <w:sz w:val="18"/>
                <w:szCs w:val="18"/>
                <w:lang w:eastAsia="en-US"/>
              </w:rPr>
            </w:pPr>
            <w:r w:rsidRPr="00285430">
              <w:rPr>
                <w:rFonts w:eastAsia="Calibri" w:cs="Arial"/>
                <w:b/>
                <w:color w:val="FFFFFF"/>
                <w:sz w:val="18"/>
                <w:szCs w:val="18"/>
                <w:lang w:eastAsia="en-US"/>
              </w:rPr>
              <w:t>Definition of remuneration</w:t>
            </w:r>
          </w:p>
        </w:tc>
      </w:tr>
      <w:tr w:rsidR="00285430" w:rsidRPr="00285430" w14:paraId="3A59887B" w14:textId="77777777" w:rsidTr="00FB729B">
        <w:tc>
          <w:tcPr>
            <w:tcW w:w="1609" w:type="dxa"/>
            <w:shd w:val="clear" w:color="auto" w:fill="FFC9C9"/>
            <w:tcMar>
              <w:top w:w="80" w:type="dxa"/>
              <w:left w:w="80" w:type="dxa"/>
              <w:bottom w:w="80" w:type="dxa"/>
              <w:right w:w="80" w:type="dxa"/>
            </w:tcMar>
          </w:tcPr>
          <w:p w14:paraId="582790E0"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New South Wales</w:t>
            </w:r>
          </w:p>
        </w:tc>
        <w:tc>
          <w:tcPr>
            <w:tcW w:w="13826" w:type="dxa"/>
            <w:shd w:val="clear" w:color="auto" w:fill="FFC9C9"/>
            <w:tcMar>
              <w:top w:w="80" w:type="dxa"/>
              <w:left w:w="80" w:type="dxa"/>
              <w:bottom w:w="80" w:type="dxa"/>
              <w:right w:w="80" w:type="dxa"/>
            </w:tcMar>
          </w:tcPr>
          <w:p w14:paraId="00EDB586" w14:textId="72484434"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 xml:space="preserve">Total gross earnings (before tax), bonuses, commissions, payments to working directors, fringe benefits, superannuation, trust distributions where in lieu of wages and some other payments as outlined in the </w:t>
            </w:r>
            <w:hyperlink r:id="rId485" w:history="1">
              <w:r w:rsidRPr="00285430">
                <w:rPr>
                  <w:rFonts w:cs="Arial"/>
                  <w:color w:val="0000FF"/>
                  <w:sz w:val="14"/>
                  <w:szCs w:val="16"/>
                  <w:u w:val="single"/>
                  <w:lang w:val="en-GB"/>
                </w:rPr>
                <w:t>Wages Definition Manual</w:t>
              </w:r>
            </w:hyperlink>
            <w:r w:rsidRPr="00285430">
              <w:rPr>
                <w:rFonts w:cs="Arial"/>
                <w:color w:val="000000"/>
                <w:sz w:val="14"/>
                <w:szCs w:val="16"/>
                <w:lang w:val="en-GB"/>
              </w:rPr>
              <w:t>.</w:t>
            </w:r>
          </w:p>
        </w:tc>
      </w:tr>
      <w:tr w:rsidR="00285430" w:rsidRPr="00285430" w14:paraId="6F0A174D" w14:textId="77777777" w:rsidTr="00FB729B">
        <w:tc>
          <w:tcPr>
            <w:tcW w:w="1609" w:type="dxa"/>
            <w:tcMar>
              <w:top w:w="80" w:type="dxa"/>
              <w:left w:w="80" w:type="dxa"/>
              <w:bottom w:w="80" w:type="dxa"/>
              <w:right w:w="80" w:type="dxa"/>
            </w:tcMar>
          </w:tcPr>
          <w:p w14:paraId="17D5B65F"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Victoria</w:t>
            </w:r>
          </w:p>
        </w:tc>
        <w:tc>
          <w:tcPr>
            <w:tcW w:w="13826" w:type="dxa"/>
            <w:tcMar>
              <w:top w:w="80" w:type="dxa"/>
              <w:left w:w="80" w:type="dxa"/>
              <w:bottom w:w="80" w:type="dxa"/>
              <w:right w:w="80" w:type="dxa"/>
            </w:tcMar>
          </w:tcPr>
          <w:p w14:paraId="7CC217BA" w14:textId="789243EC"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 xml:space="preserve">Gross wages, salaries (including overtime and loadings), bonuses, commission, fringe benefits and superannuation. The Remuneration Checklist is in </w:t>
            </w:r>
            <w:hyperlink r:id="rId486" w:history="1">
              <w:r w:rsidRPr="00285430">
                <w:rPr>
                  <w:rFonts w:cs="Arial"/>
                  <w:color w:val="0000FF"/>
                  <w:sz w:val="14"/>
                  <w:szCs w:val="16"/>
                  <w:u w:val="single"/>
                  <w:lang w:val="en-GB"/>
                </w:rPr>
                <w:t>A guide for employers — Your WorkCover Insurance</w:t>
              </w:r>
            </w:hyperlink>
            <w:r w:rsidRPr="00285430">
              <w:rPr>
                <w:rFonts w:cs="Arial"/>
                <w:color w:val="000000"/>
                <w:sz w:val="14"/>
                <w:szCs w:val="16"/>
                <w:lang w:val="en-GB"/>
              </w:rPr>
              <w:t xml:space="preserve">. </w:t>
            </w:r>
            <w:hyperlink r:id="rId487" w:history="1">
              <w:r w:rsidRPr="00285430">
                <w:rPr>
                  <w:rFonts w:cs="Arial"/>
                  <w:color w:val="0000FF"/>
                  <w:sz w:val="14"/>
                  <w:szCs w:val="16"/>
                  <w:u w:val="single"/>
                  <w:lang w:val="en-GB"/>
                </w:rPr>
                <w:t>Determining your remuneration</w:t>
              </w:r>
            </w:hyperlink>
            <w:r w:rsidRPr="00285430">
              <w:rPr>
                <w:rFonts w:cs="Arial"/>
                <w:color w:val="000000"/>
                <w:sz w:val="14"/>
                <w:szCs w:val="16"/>
                <w:lang w:val="en-GB"/>
              </w:rPr>
              <w:t xml:space="preserve"> provides an overview of what is considered to be remuneration for the purposes of calculating an employer’s premium.</w:t>
            </w:r>
          </w:p>
          <w:p w14:paraId="3D1523C5" w14:textId="77777777" w:rsidR="00285430" w:rsidRPr="00285430" w:rsidRDefault="00285430" w:rsidP="00B21723">
            <w:pPr>
              <w:spacing w:after="60"/>
              <w:rPr>
                <w:rFonts w:cs="Arial"/>
                <w:color w:val="000000"/>
                <w:sz w:val="14"/>
                <w:szCs w:val="16"/>
                <w:lang w:val="en-GB"/>
              </w:rPr>
            </w:pPr>
            <w:r w:rsidRPr="00285430">
              <w:rPr>
                <w:rFonts w:cs="Arial"/>
                <w:color w:val="000000"/>
                <w:sz w:val="14"/>
                <w:szCs w:val="16"/>
              </w:rPr>
              <w:t xml:space="preserve">Remuneration is also defined in Part 2 of Schedule 1 of the </w:t>
            </w:r>
            <w:r w:rsidRPr="001D2A53">
              <w:rPr>
                <w:rFonts w:cs="Arial"/>
                <w:i/>
                <w:color w:val="000000"/>
                <w:sz w:val="14"/>
                <w:szCs w:val="16"/>
              </w:rPr>
              <w:t>Workplace Injury Rehabilitation and Compensation Act 2013</w:t>
            </w:r>
            <w:r w:rsidRPr="00285430">
              <w:rPr>
                <w:rFonts w:cs="Arial"/>
                <w:color w:val="000000"/>
                <w:sz w:val="14"/>
                <w:szCs w:val="16"/>
              </w:rPr>
              <w:t>.</w:t>
            </w:r>
          </w:p>
        </w:tc>
      </w:tr>
      <w:tr w:rsidR="00285430" w:rsidRPr="00285430" w14:paraId="62326DE1" w14:textId="77777777" w:rsidTr="00FB729B">
        <w:tc>
          <w:tcPr>
            <w:tcW w:w="1609" w:type="dxa"/>
            <w:shd w:val="clear" w:color="auto" w:fill="FFC9C9"/>
            <w:tcMar>
              <w:top w:w="80" w:type="dxa"/>
              <w:left w:w="80" w:type="dxa"/>
              <w:bottom w:w="80" w:type="dxa"/>
              <w:right w:w="80" w:type="dxa"/>
            </w:tcMar>
          </w:tcPr>
          <w:p w14:paraId="712CE3E6"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Queensland</w:t>
            </w:r>
          </w:p>
        </w:tc>
        <w:tc>
          <w:tcPr>
            <w:tcW w:w="13826" w:type="dxa"/>
            <w:shd w:val="clear" w:color="auto" w:fill="FFC9C9"/>
            <w:tcMar>
              <w:top w:w="80" w:type="dxa"/>
              <w:left w:w="80" w:type="dxa"/>
              <w:bottom w:w="80" w:type="dxa"/>
              <w:right w:w="80" w:type="dxa"/>
            </w:tcMar>
          </w:tcPr>
          <w:p w14:paraId="622FE35E" w14:textId="77777777"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 xml:space="preserve">Total gross wages, salaries, superannuation contributions and other payments as outlined in the </w:t>
            </w:r>
            <w:hyperlink r:id="rId488" w:history="1">
              <w:r w:rsidRPr="00285430">
                <w:rPr>
                  <w:rFonts w:cs="Arial"/>
                  <w:color w:val="0000FF"/>
                  <w:sz w:val="14"/>
                  <w:szCs w:val="16"/>
                  <w:u w:val="single"/>
                  <w:lang w:val="en-GB"/>
                </w:rPr>
                <w:t>Wages Definition Manual</w:t>
              </w:r>
            </w:hyperlink>
            <w:r w:rsidRPr="00285430">
              <w:rPr>
                <w:rFonts w:cs="Arial"/>
                <w:color w:val="000000"/>
                <w:sz w:val="14"/>
                <w:szCs w:val="16"/>
                <w:lang w:val="en-GB"/>
              </w:rPr>
              <w:t>.</w:t>
            </w:r>
          </w:p>
        </w:tc>
      </w:tr>
      <w:tr w:rsidR="00285430" w:rsidRPr="00285430" w14:paraId="0AD79433" w14:textId="77777777" w:rsidTr="00FB729B">
        <w:tc>
          <w:tcPr>
            <w:tcW w:w="1609" w:type="dxa"/>
            <w:tcMar>
              <w:top w:w="80" w:type="dxa"/>
              <w:left w:w="80" w:type="dxa"/>
              <w:bottom w:w="80" w:type="dxa"/>
              <w:right w:w="80" w:type="dxa"/>
            </w:tcMar>
          </w:tcPr>
          <w:p w14:paraId="43AE3DAF"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Western Australia</w:t>
            </w:r>
          </w:p>
        </w:tc>
        <w:tc>
          <w:tcPr>
            <w:tcW w:w="13826" w:type="dxa"/>
            <w:tcMar>
              <w:top w:w="80" w:type="dxa"/>
              <w:left w:w="80" w:type="dxa"/>
              <w:bottom w:w="80" w:type="dxa"/>
              <w:right w:w="80" w:type="dxa"/>
            </w:tcMar>
          </w:tcPr>
          <w:p w14:paraId="0E814076" w14:textId="33574722"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All gross wages, salaries, commissions, bonuses, overtime, allowances and the like, directors fees, superannuation contributions (except those made by force of law) and all other benefits paid (whether at piece work rates or otherwise and whether paid in cash or in kind) to, or in relation to, a worker before the deduction of income tax. ‘Wages’ do not include termination payments, retirement pay, retrenchment pay in lieu of notice,</w:t>
            </w:r>
            <w:r w:rsidR="00681628">
              <w:rPr>
                <w:rFonts w:cs="Arial"/>
                <w:color w:val="000000"/>
                <w:sz w:val="14"/>
                <w:szCs w:val="16"/>
                <w:lang w:val="en-GB"/>
              </w:rPr>
              <w:t xml:space="preserve"> pensions, ‘golden handshakes’, </w:t>
            </w:r>
            <w:r w:rsidRPr="00285430">
              <w:rPr>
                <w:rFonts w:cs="Arial"/>
                <w:color w:val="000000"/>
                <w:sz w:val="14"/>
                <w:szCs w:val="16"/>
                <w:lang w:val="en-GB"/>
              </w:rPr>
              <w:t xml:space="preserve">or weekly payments of workers’ compensation. </w:t>
            </w:r>
          </w:p>
          <w:p w14:paraId="0F92B933" w14:textId="73007D92" w:rsidR="00285430" w:rsidRPr="00285430" w:rsidRDefault="00A7538C" w:rsidP="00B21723">
            <w:pPr>
              <w:spacing w:after="60"/>
              <w:rPr>
                <w:rFonts w:cs="Arial"/>
                <w:color w:val="000000"/>
                <w:sz w:val="14"/>
                <w:szCs w:val="16"/>
                <w:lang w:val="en-GB"/>
              </w:rPr>
            </w:pPr>
            <w:hyperlink r:id="rId489" w:history="1">
              <w:r w:rsidR="00285430" w:rsidRPr="00285430">
                <w:rPr>
                  <w:rFonts w:cs="Arial"/>
                  <w:color w:val="0000FF"/>
                  <w:sz w:val="14"/>
                  <w:szCs w:val="16"/>
                  <w:u w:val="single"/>
                  <w:lang w:val="en-GB"/>
                </w:rPr>
                <w:t>Workers’ Compensation: A Guide for Employers</w:t>
              </w:r>
            </w:hyperlink>
            <w:r w:rsidR="00285430" w:rsidRPr="00285430">
              <w:rPr>
                <w:rFonts w:cs="Arial"/>
                <w:color w:val="000000"/>
                <w:sz w:val="14"/>
                <w:szCs w:val="16"/>
                <w:lang w:val="en-GB"/>
              </w:rPr>
              <w:t>.</w:t>
            </w:r>
          </w:p>
        </w:tc>
      </w:tr>
      <w:tr w:rsidR="00285430" w:rsidRPr="00285430" w14:paraId="72FCD815" w14:textId="77777777" w:rsidTr="00FB729B">
        <w:tc>
          <w:tcPr>
            <w:tcW w:w="1609" w:type="dxa"/>
            <w:shd w:val="clear" w:color="auto" w:fill="FFC9C9"/>
            <w:tcMar>
              <w:top w:w="80" w:type="dxa"/>
              <w:left w:w="80" w:type="dxa"/>
              <w:bottom w:w="80" w:type="dxa"/>
              <w:right w:w="80" w:type="dxa"/>
            </w:tcMar>
          </w:tcPr>
          <w:p w14:paraId="0B5D24A0"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South Australia</w:t>
            </w:r>
          </w:p>
        </w:tc>
        <w:tc>
          <w:tcPr>
            <w:tcW w:w="13826" w:type="dxa"/>
            <w:shd w:val="clear" w:color="auto" w:fill="FFC9C9"/>
            <w:tcMar>
              <w:top w:w="80" w:type="dxa"/>
              <w:left w:w="80" w:type="dxa"/>
              <w:bottom w:w="80" w:type="dxa"/>
              <w:right w:w="80" w:type="dxa"/>
            </w:tcMar>
          </w:tcPr>
          <w:p w14:paraId="0F52B52A" w14:textId="4C0D09A2"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Remuneration is defined as payments made to or for the benefit of a worker include and includes more than 60 allowances or benefits, such as superannuation contributions, fees or bonuses, footwear, uniform, clothing and/or dry cleaning allowances and living away from home allowances.</w:t>
            </w:r>
            <w:r w:rsidR="00DD0D68">
              <w:rPr>
                <w:rFonts w:cs="Arial"/>
                <w:color w:val="000000"/>
                <w:sz w:val="14"/>
                <w:szCs w:val="16"/>
                <w:lang w:val="en-GB"/>
              </w:rPr>
              <w:t xml:space="preserve"> </w:t>
            </w:r>
            <w:r w:rsidRPr="00285430">
              <w:rPr>
                <w:rFonts w:cs="Arial"/>
                <w:color w:val="000000"/>
                <w:sz w:val="14"/>
                <w:szCs w:val="16"/>
                <w:lang w:val="en-GB"/>
              </w:rPr>
              <w:t xml:space="preserve">The ReturnToWorkSA </w:t>
            </w:r>
            <w:hyperlink r:id="rId490" w:history="1">
              <w:r w:rsidRPr="00285430">
                <w:rPr>
                  <w:rFonts w:cs="Arial"/>
                  <w:color w:val="0000FF"/>
                  <w:sz w:val="14"/>
                  <w:szCs w:val="16"/>
                  <w:u w:val="single"/>
                  <w:lang w:val="en-GB"/>
                </w:rPr>
                <w:t>Remuneration Guide</w:t>
              </w:r>
            </w:hyperlink>
            <w:r w:rsidRPr="00285430">
              <w:rPr>
                <w:rFonts w:cs="Arial"/>
                <w:color w:val="000000"/>
                <w:sz w:val="14"/>
                <w:szCs w:val="16"/>
                <w:lang w:val="en-GB"/>
              </w:rPr>
              <w:t xml:space="preserve"> outlines what is included as remuneration.</w:t>
            </w:r>
          </w:p>
        </w:tc>
      </w:tr>
      <w:tr w:rsidR="00285430" w:rsidRPr="00285430" w14:paraId="7FC95025" w14:textId="77777777" w:rsidTr="00FB729B">
        <w:tc>
          <w:tcPr>
            <w:tcW w:w="1609" w:type="dxa"/>
            <w:tcMar>
              <w:top w:w="80" w:type="dxa"/>
              <w:left w:w="80" w:type="dxa"/>
              <w:bottom w:w="80" w:type="dxa"/>
              <w:right w:w="80" w:type="dxa"/>
            </w:tcMar>
          </w:tcPr>
          <w:p w14:paraId="68FA96F0"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Tasmania</w:t>
            </w:r>
          </w:p>
        </w:tc>
        <w:tc>
          <w:tcPr>
            <w:tcW w:w="13826" w:type="dxa"/>
            <w:tcMar>
              <w:top w:w="80" w:type="dxa"/>
              <w:left w:w="80" w:type="dxa"/>
              <w:bottom w:w="80" w:type="dxa"/>
              <w:right w:w="80" w:type="dxa"/>
            </w:tcMar>
          </w:tcPr>
          <w:p w14:paraId="707D5205" w14:textId="51B1E1A4"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 xml:space="preserve">Wages are used for defining premiums. Wages include the monetary value of all payments made to a worker, whether in cash or in kind, in return for the worker’s labour. Wages are defined in the Guideline on the Definition of Wages, and s96A of the </w:t>
            </w:r>
            <w:r w:rsidR="00F578BD" w:rsidRPr="00016069">
              <w:rPr>
                <w:i/>
                <w:sz w:val="14"/>
              </w:rPr>
              <w:t>Workers Rehabilitation and Compensation Act 1988</w:t>
            </w:r>
            <w:r w:rsidRPr="00285430">
              <w:rPr>
                <w:rFonts w:cs="Arial"/>
                <w:color w:val="000000"/>
                <w:sz w:val="14"/>
                <w:szCs w:val="16"/>
                <w:lang w:val="en-GB"/>
              </w:rPr>
              <w:t>.</w:t>
            </w:r>
          </w:p>
          <w:p w14:paraId="12C08C0B" w14:textId="06C486E1" w:rsidR="00285430" w:rsidRPr="00285430" w:rsidRDefault="00A7538C" w:rsidP="00B21723">
            <w:pPr>
              <w:spacing w:after="60"/>
              <w:rPr>
                <w:rFonts w:cs="Arial"/>
                <w:color w:val="000000"/>
                <w:sz w:val="14"/>
                <w:szCs w:val="16"/>
                <w:lang w:val="en-GB"/>
              </w:rPr>
            </w:pPr>
            <w:hyperlink r:id="rId491" w:history="1">
              <w:r w:rsidR="00285430" w:rsidRPr="00285430">
                <w:rPr>
                  <w:rFonts w:cs="Arial"/>
                  <w:color w:val="0000FF"/>
                  <w:sz w:val="14"/>
                  <w:szCs w:val="16"/>
                  <w:u w:val="single"/>
                  <w:lang w:val="en-GB"/>
                </w:rPr>
                <w:t>Guideline on the Definition of Wages (GB118)</w:t>
              </w:r>
            </w:hyperlink>
            <w:r w:rsidR="000D3C6D">
              <w:rPr>
                <w:rFonts w:cs="Arial"/>
                <w:color w:val="000000"/>
                <w:sz w:val="14"/>
                <w:szCs w:val="16"/>
                <w:lang w:val="en-GB"/>
              </w:rPr>
              <w:t>.</w:t>
            </w:r>
          </w:p>
        </w:tc>
      </w:tr>
      <w:tr w:rsidR="00285430" w:rsidRPr="00285430" w14:paraId="0BE576CA" w14:textId="77777777" w:rsidTr="00FB729B">
        <w:tc>
          <w:tcPr>
            <w:tcW w:w="1609" w:type="dxa"/>
            <w:shd w:val="clear" w:color="auto" w:fill="FFC9C9"/>
            <w:tcMar>
              <w:top w:w="80" w:type="dxa"/>
              <w:left w:w="80" w:type="dxa"/>
              <w:bottom w:w="80" w:type="dxa"/>
              <w:right w:w="80" w:type="dxa"/>
            </w:tcMar>
          </w:tcPr>
          <w:p w14:paraId="69148696"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Northern Territory</w:t>
            </w:r>
          </w:p>
        </w:tc>
        <w:tc>
          <w:tcPr>
            <w:tcW w:w="13826" w:type="dxa"/>
            <w:shd w:val="clear" w:color="auto" w:fill="FFC9C9"/>
            <w:tcMar>
              <w:top w:w="80" w:type="dxa"/>
              <w:left w:w="80" w:type="dxa"/>
              <w:bottom w:w="80" w:type="dxa"/>
              <w:right w:w="80" w:type="dxa"/>
            </w:tcMar>
          </w:tcPr>
          <w:p w14:paraId="537C1F1A" w14:textId="38B8E530" w:rsidR="00285430" w:rsidRPr="00285430" w:rsidRDefault="001A1177" w:rsidP="00B21723">
            <w:pPr>
              <w:spacing w:after="60"/>
              <w:rPr>
                <w:rFonts w:cs="Arial"/>
                <w:color w:val="000000"/>
                <w:sz w:val="14"/>
                <w:szCs w:val="16"/>
                <w:lang w:val="en-GB"/>
              </w:rPr>
            </w:pPr>
            <w:r>
              <w:rPr>
                <w:rFonts w:cs="Arial"/>
                <w:color w:val="000000"/>
                <w:sz w:val="14"/>
                <w:szCs w:val="16"/>
                <w:lang w:val="en-GB"/>
              </w:rPr>
              <w:t xml:space="preserve">Condition 9 of </w:t>
            </w:r>
            <w:hyperlink r:id="rId492" w:history="1">
              <w:r w:rsidRPr="001A1177">
                <w:rPr>
                  <w:rStyle w:val="Hyperlink"/>
                  <w:rFonts w:cs="Arial"/>
                  <w:sz w:val="14"/>
                  <w:szCs w:val="16"/>
                  <w:lang w:val="en-GB"/>
                </w:rPr>
                <w:t>S</w:t>
              </w:r>
              <w:r w:rsidR="00285430" w:rsidRPr="001A1177">
                <w:rPr>
                  <w:rStyle w:val="Hyperlink"/>
                  <w:rFonts w:cs="Arial"/>
                  <w:sz w:val="14"/>
                  <w:szCs w:val="16"/>
                  <w:lang w:val="en-GB"/>
                </w:rPr>
                <w:t>chedule</w:t>
              </w:r>
              <w:r w:rsidRPr="001A1177">
                <w:rPr>
                  <w:rStyle w:val="Hyperlink"/>
                  <w:rFonts w:cs="Arial"/>
                  <w:sz w:val="14"/>
                  <w:szCs w:val="16"/>
                  <w:lang w:val="en-GB"/>
                </w:rPr>
                <w:t xml:space="preserve"> 3</w:t>
              </w:r>
            </w:hyperlink>
            <w:r w:rsidR="00285430" w:rsidRPr="00285430">
              <w:rPr>
                <w:rFonts w:cs="Arial"/>
                <w:color w:val="000000"/>
                <w:sz w:val="14"/>
                <w:szCs w:val="16"/>
                <w:lang w:val="en-GB"/>
              </w:rPr>
              <w:t xml:space="preserve"> of the Return To Work Regulations provides that premiums shall be regulated by the amount of wages, salaries and all other forms of remuneration paid or allowed to workers. Further, guidance material suggests ‘wages’, ‘salaries’ and ‘remuneration’ includes: wages, salary, overtime, shift and other allowances, over-award payments, bonuses, commissions, payments for public and annual holidays (including loadings), payments for sick leave, payments for long service leave (including a lump sum payment instead of long service leave). This includes but is not limited to:</w:t>
            </w:r>
          </w:p>
          <w:p w14:paraId="5BC216E3" w14:textId="77777777" w:rsidR="00285430" w:rsidRPr="00285430" w:rsidRDefault="00285430" w:rsidP="00B21723">
            <w:pPr>
              <w:pStyle w:val="ListParagraph"/>
              <w:numPr>
                <w:ilvl w:val="0"/>
                <w:numId w:val="6"/>
              </w:numPr>
              <w:spacing w:after="60"/>
              <w:contextualSpacing/>
              <w:rPr>
                <w:rFonts w:eastAsia="Calibri" w:cs="Arial"/>
                <w:sz w:val="14"/>
                <w:szCs w:val="14"/>
                <w:lang w:eastAsia="en-US"/>
              </w:rPr>
            </w:pPr>
            <w:r w:rsidRPr="00285430">
              <w:rPr>
                <w:rFonts w:eastAsia="Calibri" w:cs="Arial"/>
                <w:sz w:val="14"/>
                <w:szCs w:val="14"/>
                <w:lang w:eastAsia="en-US"/>
              </w:rPr>
              <w:t>the market value of meals, accommodation</w:t>
            </w:r>
            <w:r w:rsidR="000A06AE">
              <w:rPr>
                <w:rFonts w:eastAsia="Calibri" w:cs="Arial"/>
                <w:sz w:val="14"/>
                <w:szCs w:val="14"/>
                <w:lang w:eastAsia="en-US"/>
              </w:rPr>
              <w:fldChar w:fldCharType="begin"/>
            </w:r>
            <w:r w:rsidR="000A06AE">
              <w:instrText xml:space="preserve"> XE "</w:instrText>
            </w:r>
            <w:r w:rsidR="000A06AE" w:rsidRPr="0091695A">
              <w:rPr>
                <w:rFonts w:eastAsia="Calibri" w:cs="Arial"/>
                <w:sz w:val="14"/>
                <w:szCs w:val="14"/>
                <w:lang w:eastAsia="en-US"/>
              </w:rPr>
              <w:instrText>accommodation</w:instrText>
            </w:r>
            <w:r w:rsidR="000A06AE">
              <w:instrText xml:space="preserve">" </w:instrText>
            </w:r>
            <w:r w:rsidR="000A06AE">
              <w:rPr>
                <w:rFonts w:eastAsia="Calibri" w:cs="Arial"/>
                <w:sz w:val="14"/>
                <w:szCs w:val="14"/>
                <w:lang w:eastAsia="en-US"/>
              </w:rPr>
              <w:fldChar w:fldCharType="end"/>
            </w:r>
            <w:r w:rsidRPr="00285430">
              <w:rPr>
                <w:rFonts w:eastAsia="Calibri" w:cs="Arial"/>
                <w:sz w:val="14"/>
                <w:szCs w:val="14"/>
                <w:lang w:eastAsia="en-US"/>
              </w:rPr>
              <w:t xml:space="preserve"> and electricity provided by the employer for the worker </w:t>
            </w:r>
          </w:p>
          <w:p w14:paraId="3FF4F8A1" w14:textId="77777777" w:rsidR="00285430" w:rsidRPr="00285430" w:rsidRDefault="00285430" w:rsidP="00B21723">
            <w:pPr>
              <w:pStyle w:val="ListParagraph"/>
              <w:numPr>
                <w:ilvl w:val="0"/>
                <w:numId w:val="6"/>
              </w:numPr>
              <w:spacing w:after="60"/>
              <w:contextualSpacing/>
              <w:rPr>
                <w:rFonts w:eastAsia="Calibri" w:cs="Arial"/>
                <w:sz w:val="14"/>
                <w:szCs w:val="14"/>
                <w:lang w:eastAsia="en-US"/>
              </w:rPr>
            </w:pPr>
            <w:r w:rsidRPr="00285430">
              <w:rPr>
                <w:rFonts w:eastAsia="Calibri" w:cs="Arial"/>
                <w:sz w:val="14"/>
                <w:szCs w:val="14"/>
                <w:lang w:eastAsia="en-US"/>
              </w:rPr>
              <w:t xml:space="preserve">the total value of any salary sacrificed amounts, for example motor vehicles (including fringe benefits applicable to these salary sacrifices), and </w:t>
            </w:r>
          </w:p>
          <w:p w14:paraId="33F2FD20" w14:textId="77777777" w:rsidR="00285430" w:rsidRPr="00285430" w:rsidRDefault="00285430" w:rsidP="00B21723">
            <w:pPr>
              <w:pStyle w:val="ListParagraph"/>
              <w:numPr>
                <w:ilvl w:val="0"/>
                <w:numId w:val="6"/>
              </w:numPr>
              <w:spacing w:after="60"/>
              <w:contextualSpacing/>
              <w:rPr>
                <w:rFonts w:eastAsia="Calibri" w:cs="Arial"/>
                <w:sz w:val="14"/>
                <w:szCs w:val="14"/>
                <w:lang w:eastAsia="en-US"/>
              </w:rPr>
            </w:pPr>
            <w:r w:rsidRPr="00285430">
              <w:rPr>
                <w:rFonts w:eastAsia="Calibri" w:cs="Arial"/>
                <w:sz w:val="14"/>
                <w:szCs w:val="14"/>
                <w:lang w:eastAsia="en-US"/>
              </w:rPr>
              <w:t xml:space="preserve">superannuation contributions that would be payable to a worker as wages or salary if the worker so elected (e.g. salary sacrificed superannuation). </w:t>
            </w:r>
          </w:p>
        </w:tc>
      </w:tr>
      <w:tr w:rsidR="00285430" w:rsidRPr="00285430" w14:paraId="56D7FBED" w14:textId="77777777" w:rsidTr="00FB729B">
        <w:tc>
          <w:tcPr>
            <w:tcW w:w="1609" w:type="dxa"/>
            <w:tcMar>
              <w:top w:w="80" w:type="dxa"/>
              <w:left w:w="80" w:type="dxa"/>
              <w:bottom w:w="80" w:type="dxa"/>
              <w:right w:w="80" w:type="dxa"/>
            </w:tcMar>
          </w:tcPr>
          <w:p w14:paraId="7D0AE5C4"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Australian Capital Territory</w:t>
            </w:r>
          </w:p>
        </w:tc>
        <w:tc>
          <w:tcPr>
            <w:tcW w:w="13826" w:type="dxa"/>
            <w:tcMar>
              <w:top w:w="80" w:type="dxa"/>
              <w:left w:w="80" w:type="dxa"/>
              <w:bottom w:w="80" w:type="dxa"/>
              <w:right w:w="80" w:type="dxa"/>
            </w:tcMar>
            <w:vAlign w:val="center"/>
          </w:tcPr>
          <w:p w14:paraId="261D8DDC" w14:textId="61436CBD"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 xml:space="preserve">Wages including salary, overtime, shift and other allowances, over award payments, bonuses, commissions and any other payments/sums that the employer has been accustomed to pay to the worker — as defined in the </w:t>
            </w:r>
            <w:hyperlink r:id="rId493" w:history="1">
              <w:r w:rsidRPr="00285430">
                <w:rPr>
                  <w:rFonts w:cs="Arial"/>
                  <w:color w:val="0000FF"/>
                  <w:sz w:val="14"/>
                  <w:szCs w:val="16"/>
                  <w:u w:val="single"/>
                  <w:lang w:val="en-GB"/>
                </w:rPr>
                <w:t>ACT Wages and Earnings Guide</w:t>
              </w:r>
            </w:hyperlink>
            <w:r w:rsidRPr="00285430">
              <w:rPr>
                <w:rFonts w:cs="Arial"/>
                <w:color w:val="000000"/>
                <w:sz w:val="14"/>
                <w:szCs w:val="16"/>
                <w:lang w:val="en-GB"/>
              </w:rPr>
              <w:t xml:space="preserve">. </w:t>
            </w:r>
          </w:p>
        </w:tc>
      </w:tr>
      <w:tr w:rsidR="00285430" w:rsidRPr="00285430" w14:paraId="4680C143" w14:textId="77777777" w:rsidTr="00FB729B">
        <w:tc>
          <w:tcPr>
            <w:tcW w:w="1609" w:type="dxa"/>
            <w:shd w:val="clear" w:color="auto" w:fill="FFC9C9"/>
            <w:tcMar>
              <w:top w:w="80" w:type="dxa"/>
              <w:left w:w="80" w:type="dxa"/>
              <w:bottom w:w="80" w:type="dxa"/>
              <w:right w:w="80" w:type="dxa"/>
            </w:tcMar>
          </w:tcPr>
          <w:p w14:paraId="36E8861E"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C’wealth Comcare</w:t>
            </w:r>
          </w:p>
        </w:tc>
        <w:tc>
          <w:tcPr>
            <w:tcW w:w="13826" w:type="dxa"/>
            <w:shd w:val="clear" w:color="auto" w:fill="FFC9C9"/>
            <w:tcMar>
              <w:top w:w="80" w:type="dxa"/>
              <w:left w:w="80" w:type="dxa"/>
              <w:bottom w:w="80" w:type="dxa"/>
              <w:right w:w="80" w:type="dxa"/>
            </w:tcMar>
          </w:tcPr>
          <w:p w14:paraId="116E10A2" w14:textId="77777777"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Gross wages/salaries including overtime that is regular and required (also including condition of service payments normally covered by sick leave, holidays, long service leave) and generally any taxable allowances.</w:t>
            </w:r>
            <w:r w:rsidRPr="00285430">
              <w:rPr>
                <w:rFonts w:cs="Arial"/>
                <w:color w:val="000000"/>
                <w:sz w:val="14"/>
                <w:szCs w:val="16"/>
                <w:lang w:val="en-GB"/>
              </w:rPr>
              <w:br/>
              <w:t>Excludes employer superannuation contributions, one off payments and bonuses — generally, non-taxable allowances.</w:t>
            </w:r>
          </w:p>
        </w:tc>
      </w:tr>
      <w:tr w:rsidR="00285430" w:rsidRPr="00285430" w14:paraId="78ECE6B4" w14:textId="77777777" w:rsidTr="00FB729B">
        <w:tc>
          <w:tcPr>
            <w:tcW w:w="1609" w:type="dxa"/>
            <w:tcMar>
              <w:top w:w="80" w:type="dxa"/>
              <w:left w:w="80" w:type="dxa"/>
              <w:bottom w:w="80" w:type="dxa"/>
              <w:right w:w="80" w:type="dxa"/>
            </w:tcMar>
          </w:tcPr>
          <w:p w14:paraId="5482F9D6"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C’wealth Seacare</w:t>
            </w:r>
          </w:p>
        </w:tc>
        <w:tc>
          <w:tcPr>
            <w:tcW w:w="13826" w:type="dxa"/>
            <w:tcMar>
              <w:top w:w="80" w:type="dxa"/>
              <w:left w:w="80" w:type="dxa"/>
              <w:bottom w:w="80" w:type="dxa"/>
              <w:right w:w="80" w:type="dxa"/>
            </w:tcMar>
            <w:vAlign w:val="center"/>
          </w:tcPr>
          <w:p w14:paraId="3FB7600F" w14:textId="3013631C"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N/A</w:t>
            </w:r>
            <w:r w:rsidR="000D3C6D">
              <w:rPr>
                <w:rFonts w:cs="Arial"/>
                <w:color w:val="000000"/>
                <w:sz w:val="14"/>
                <w:szCs w:val="16"/>
                <w:lang w:val="en-GB"/>
              </w:rPr>
              <w:t>.</w:t>
            </w:r>
          </w:p>
        </w:tc>
      </w:tr>
      <w:tr w:rsidR="00285430" w:rsidRPr="00285430" w14:paraId="13A5F781" w14:textId="77777777" w:rsidTr="00FB729B">
        <w:tc>
          <w:tcPr>
            <w:tcW w:w="1609" w:type="dxa"/>
            <w:shd w:val="clear" w:color="auto" w:fill="FFC9C9"/>
            <w:tcMar>
              <w:top w:w="80" w:type="dxa"/>
              <w:left w:w="80" w:type="dxa"/>
              <w:bottom w:w="80" w:type="dxa"/>
              <w:right w:w="80" w:type="dxa"/>
            </w:tcMar>
          </w:tcPr>
          <w:p w14:paraId="335B7DA1"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C’wealth DVA</w:t>
            </w:r>
          </w:p>
        </w:tc>
        <w:tc>
          <w:tcPr>
            <w:tcW w:w="13826" w:type="dxa"/>
            <w:shd w:val="clear" w:color="auto" w:fill="FFC9C9"/>
            <w:tcMar>
              <w:top w:w="80" w:type="dxa"/>
              <w:left w:w="80" w:type="dxa"/>
              <w:bottom w:w="80" w:type="dxa"/>
              <w:right w:w="80" w:type="dxa"/>
            </w:tcMar>
            <w:vAlign w:val="center"/>
          </w:tcPr>
          <w:p w14:paraId="57EF553D" w14:textId="3AF83E61"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N/A</w:t>
            </w:r>
            <w:r w:rsidR="000D3C6D">
              <w:rPr>
                <w:rFonts w:cs="Arial"/>
                <w:color w:val="000000"/>
                <w:sz w:val="14"/>
                <w:szCs w:val="16"/>
                <w:lang w:val="en-GB"/>
              </w:rPr>
              <w:t>.</w:t>
            </w:r>
          </w:p>
        </w:tc>
      </w:tr>
      <w:tr w:rsidR="00285430" w:rsidRPr="00285430" w14:paraId="521D08E7" w14:textId="77777777" w:rsidTr="00FB729B">
        <w:tc>
          <w:tcPr>
            <w:tcW w:w="1609" w:type="dxa"/>
            <w:tcMar>
              <w:top w:w="80" w:type="dxa"/>
              <w:left w:w="80" w:type="dxa"/>
              <w:bottom w:w="80" w:type="dxa"/>
              <w:right w:w="80" w:type="dxa"/>
            </w:tcMar>
          </w:tcPr>
          <w:p w14:paraId="6114CA61"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New Zealand</w:t>
            </w:r>
          </w:p>
        </w:tc>
        <w:tc>
          <w:tcPr>
            <w:tcW w:w="13826" w:type="dxa"/>
            <w:tcMar>
              <w:top w:w="80" w:type="dxa"/>
              <w:left w:w="80" w:type="dxa"/>
              <w:bottom w:w="80" w:type="dxa"/>
              <w:right w:w="80" w:type="dxa"/>
            </w:tcMar>
          </w:tcPr>
          <w:p w14:paraId="75A4E61E" w14:textId="77777777"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‘Earnings’ as an employee means all gross source deduction payments (i.e. taxable wages) but does not include social security benefit, student allowance, redundancy payment, retiring allowance or superannuation scheme pension. Earnings as a self-employed person are defined as their annual assessable income, after expenses are deducted, that results from personal exertions. This definition includes Private Domestic Workers. Earnings as a shareholder-employee are any earnings as an employee, and/or any further salary representing payment for services provided as an employee or director of the company.</w:t>
            </w:r>
          </w:p>
        </w:tc>
      </w:tr>
    </w:tbl>
    <w:p w14:paraId="5529C2B1" w14:textId="4715826C" w:rsidR="006A50D4" w:rsidRDefault="006A50D4">
      <w:pPr>
        <w:spacing w:after="200" w:line="276" w:lineRule="auto"/>
        <w:rPr>
          <w:rFonts w:eastAsiaTheme="minorHAnsi"/>
        </w:rPr>
      </w:pPr>
    </w:p>
    <w:p w14:paraId="0AAEAA78" w14:textId="3437A10A" w:rsidR="00053239" w:rsidRPr="00A80282" w:rsidRDefault="00053239" w:rsidP="00A80282">
      <w:pPr>
        <w:pStyle w:val="SWATableheader"/>
      </w:pPr>
      <w:bookmarkStart w:id="64" w:name="_Toc504654649"/>
      <w:r w:rsidRPr="00A80282">
        <w:lastRenderedPageBreak/>
        <w:t>Table 2.11: Employer excess</w:t>
      </w:r>
      <w:bookmarkEnd w:id="64"/>
      <w:r w:rsidRPr="00A80282">
        <w:t xml:space="preserve"> </w:t>
      </w:r>
      <w:r w:rsidR="00C7036A" w:rsidRPr="00A80282">
        <w:fldChar w:fldCharType="begin"/>
      </w:r>
      <w:r w:rsidR="00C7036A" w:rsidRPr="00A80282">
        <w:instrText xml:space="preserve"> XE "employer excess" </w:instrText>
      </w:r>
      <w:r w:rsidR="00C7036A"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1: Employer excess  "/>
        <w:tblDescription w:val="This tables provides information on employer excess under the workers' compensation schemes.  "/>
      </w:tblPr>
      <w:tblGrid>
        <w:gridCol w:w="1187"/>
        <w:gridCol w:w="1187"/>
        <w:gridCol w:w="1187"/>
        <w:gridCol w:w="1188"/>
        <w:gridCol w:w="1187"/>
        <w:gridCol w:w="1187"/>
        <w:gridCol w:w="1188"/>
        <w:gridCol w:w="1187"/>
        <w:gridCol w:w="1187"/>
        <w:gridCol w:w="1188"/>
        <w:gridCol w:w="1187"/>
        <w:gridCol w:w="1187"/>
        <w:gridCol w:w="1188"/>
      </w:tblGrid>
      <w:tr w:rsidR="00053239" w:rsidRPr="00053239" w14:paraId="627C5B05" w14:textId="77777777" w:rsidTr="00FB729B">
        <w:trPr>
          <w:tblHeader/>
        </w:trPr>
        <w:tc>
          <w:tcPr>
            <w:tcW w:w="1187" w:type="dxa"/>
            <w:shd w:val="clear" w:color="auto" w:fill="C00000"/>
            <w:tcMar>
              <w:top w:w="0" w:type="dxa"/>
              <w:left w:w="0" w:type="dxa"/>
              <w:bottom w:w="0" w:type="dxa"/>
              <w:right w:w="0" w:type="dxa"/>
            </w:tcMar>
            <w:vAlign w:val="center"/>
          </w:tcPr>
          <w:p w14:paraId="69CE62AE" w14:textId="77777777" w:rsidR="00053239" w:rsidRPr="00053239" w:rsidRDefault="00053239" w:rsidP="00B21723">
            <w:pPr>
              <w:spacing w:after="60"/>
              <w:rPr>
                <w:rFonts w:eastAsia="Calibri" w:cs="Arial"/>
                <w:b/>
                <w:color w:val="FFFFFF"/>
                <w:sz w:val="18"/>
                <w:szCs w:val="18"/>
                <w:lang w:eastAsia="en-US"/>
              </w:rPr>
            </w:pPr>
          </w:p>
          <w:p w14:paraId="2DACAA0B" w14:textId="77777777" w:rsidR="00053239" w:rsidRPr="00053239" w:rsidRDefault="00053239" w:rsidP="00B21723">
            <w:pPr>
              <w:spacing w:after="60"/>
              <w:rPr>
                <w:rFonts w:eastAsia="Calibri" w:cs="Arial"/>
                <w:b/>
                <w:color w:val="FFFFFF"/>
                <w:sz w:val="18"/>
                <w:szCs w:val="18"/>
                <w:lang w:eastAsia="en-US"/>
              </w:rPr>
            </w:pPr>
          </w:p>
        </w:tc>
        <w:tc>
          <w:tcPr>
            <w:tcW w:w="1187" w:type="dxa"/>
            <w:shd w:val="clear" w:color="auto" w:fill="C00000"/>
            <w:tcMar>
              <w:top w:w="0" w:type="dxa"/>
              <w:left w:w="0" w:type="dxa"/>
              <w:bottom w:w="0" w:type="dxa"/>
              <w:right w:w="0" w:type="dxa"/>
            </w:tcMar>
            <w:vAlign w:val="center"/>
          </w:tcPr>
          <w:p w14:paraId="54043300"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New South Wales</w:t>
            </w:r>
          </w:p>
        </w:tc>
        <w:tc>
          <w:tcPr>
            <w:tcW w:w="1187" w:type="dxa"/>
            <w:shd w:val="clear" w:color="auto" w:fill="C00000"/>
            <w:tcMar>
              <w:top w:w="0" w:type="dxa"/>
              <w:left w:w="0" w:type="dxa"/>
              <w:bottom w:w="0" w:type="dxa"/>
              <w:right w:w="0" w:type="dxa"/>
            </w:tcMar>
            <w:vAlign w:val="center"/>
          </w:tcPr>
          <w:p w14:paraId="40255A05"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Victoria</w:t>
            </w:r>
          </w:p>
        </w:tc>
        <w:tc>
          <w:tcPr>
            <w:tcW w:w="1188" w:type="dxa"/>
            <w:shd w:val="clear" w:color="auto" w:fill="C00000"/>
            <w:tcMar>
              <w:top w:w="0" w:type="dxa"/>
              <w:left w:w="0" w:type="dxa"/>
              <w:bottom w:w="0" w:type="dxa"/>
              <w:right w:w="0" w:type="dxa"/>
            </w:tcMar>
            <w:vAlign w:val="center"/>
          </w:tcPr>
          <w:p w14:paraId="73FB558B"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Queensland</w:t>
            </w:r>
          </w:p>
        </w:tc>
        <w:tc>
          <w:tcPr>
            <w:tcW w:w="1187" w:type="dxa"/>
            <w:shd w:val="clear" w:color="auto" w:fill="C00000"/>
            <w:tcMar>
              <w:top w:w="0" w:type="dxa"/>
              <w:left w:w="0" w:type="dxa"/>
              <w:bottom w:w="0" w:type="dxa"/>
              <w:right w:w="0" w:type="dxa"/>
            </w:tcMar>
            <w:vAlign w:val="center"/>
          </w:tcPr>
          <w:p w14:paraId="0C0DACA3"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Western Australia</w:t>
            </w:r>
          </w:p>
        </w:tc>
        <w:tc>
          <w:tcPr>
            <w:tcW w:w="1187" w:type="dxa"/>
            <w:shd w:val="clear" w:color="auto" w:fill="C00000"/>
            <w:tcMar>
              <w:top w:w="0" w:type="dxa"/>
              <w:left w:w="0" w:type="dxa"/>
              <w:bottom w:w="0" w:type="dxa"/>
              <w:right w:w="0" w:type="dxa"/>
            </w:tcMar>
            <w:vAlign w:val="center"/>
          </w:tcPr>
          <w:p w14:paraId="03A49580"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South Australia</w:t>
            </w:r>
          </w:p>
        </w:tc>
        <w:tc>
          <w:tcPr>
            <w:tcW w:w="1188" w:type="dxa"/>
            <w:shd w:val="clear" w:color="auto" w:fill="C00000"/>
            <w:tcMar>
              <w:top w:w="0" w:type="dxa"/>
              <w:left w:w="0" w:type="dxa"/>
              <w:bottom w:w="0" w:type="dxa"/>
              <w:right w:w="0" w:type="dxa"/>
            </w:tcMar>
            <w:vAlign w:val="center"/>
          </w:tcPr>
          <w:p w14:paraId="5C081063"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Tasmania</w:t>
            </w:r>
          </w:p>
        </w:tc>
        <w:tc>
          <w:tcPr>
            <w:tcW w:w="1187" w:type="dxa"/>
            <w:shd w:val="clear" w:color="auto" w:fill="C00000"/>
            <w:tcMar>
              <w:top w:w="0" w:type="dxa"/>
              <w:left w:w="0" w:type="dxa"/>
              <w:bottom w:w="0" w:type="dxa"/>
              <w:right w:w="0" w:type="dxa"/>
            </w:tcMar>
            <w:vAlign w:val="center"/>
          </w:tcPr>
          <w:p w14:paraId="3C698B58"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Northern Territory</w:t>
            </w:r>
          </w:p>
        </w:tc>
        <w:tc>
          <w:tcPr>
            <w:tcW w:w="1187" w:type="dxa"/>
            <w:shd w:val="clear" w:color="auto" w:fill="C00000"/>
            <w:tcMar>
              <w:top w:w="0" w:type="dxa"/>
              <w:left w:w="0" w:type="dxa"/>
              <w:bottom w:w="0" w:type="dxa"/>
              <w:right w:w="0" w:type="dxa"/>
            </w:tcMar>
            <w:vAlign w:val="center"/>
          </w:tcPr>
          <w:p w14:paraId="38137F98"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Australian Capital Territory</w:t>
            </w:r>
          </w:p>
        </w:tc>
        <w:tc>
          <w:tcPr>
            <w:tcW w:w="1188" w:type="dxa"/>
            <w:shd w:val="clear" w:color="auto" w:fill="C00000"/>
            <w:tcMar>
              <w:top w:w="0" w:type="dxa"/>
              <w:left w:w="0" w:type="dxa"/>
              <w:bottom w:w="0" w:type="dxa"/>
              <w:right w:w="0" w:type="dxa"/>
            </w:tcMar>
            <w:vAlign w:val="center"/>
          </w:tcPr>
          <w:p w14:paraId="5F12AEC7"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C’wealth Comcare</w:t>
            </w:r>
          </w:p>
        </w:tc>
        <w:tc>
          <w:tcPr>
            <w:tcW w:w="1187" w:type="dxa"/>
            <w:shd w:val="clear" w:color="auto" w:fill="C00000"/>
            <w:tcMar>
              <w:top w:w="0" w:type="dxa"/>
              <w:left w:w="0" w:type="dxa"/>
              <w:bottom w:w="0" w:type="dxa"/>
              <w:right w:w="0" w:type="dxa"/>
            </w:tcMar>
            <w:vAlign w:val="center"/>
          </w:tcPr>
          <w:p w14:paraId="6AC7E9D9"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C’wealth Seacare</w:t>
            </w:r>
          </w:p>
        </w:tc>
        <w:tc>
          <w:tcPr>
            <w:tcW w:w="1187" w:type="dxa"/>
            <w:shd w:val="clear" w:color="auto" w:fill="C00000"/>
            <w:tcMar>
              <w:top w:w="0" w:type="dxa"/>
              <w:left w:w="0" w:type="dxa"/>
              <w:bottom w:w="0" w:type="dxa"/>
              <w:right w:w="0" w:type="dxa"/>
            </w:tcMar>
            <w:vAlign w:val="center"/>
          </w:tcPr>
          <w:p w14:paraId="126316B5"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C’wealth DVA</w:t>
            </w:r>
          </w:p>
        </w:tc>
        <w:tc>
          <w:tcPr>
            <w:tcW w:w="1188" w:type="dxa"/>
            <w:shd w:val="clear" w:color="auto" w:fill="C00000"/>
            <w:tcMar>
              <w:top w:w="0" w:type="dxa"/>
              <w:left w:w="0" w:type="dxa"/>
              <w:bottom w:w="0" w:type="dxa"/>
              <w:right w:w="0" w:type="dxa"/>
            </w:tcMar>
            <w:vAlign w:val="center"/>
          </w:tcPr>
          <w:p w14:paraId="7E6ACE61"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New Zealand</w:t>
            </w:r>
          </w:p>
        </w:tc>
      </w:tr>
      <w:tr w:rsidR="00053239" w:rsidRPr="00053239" w14:paraId="29847BF8" w14:textId="77777777" w:rsidTr="00FB729B">
        <w:tc>
          <w:tcPr>
            <w:tcW w:w="1187" w:type="dxa"/>
            <w:shd w:val="clear" w:color="auto" w:fill="FFC9C9"/>
            <w:tcMar>
              <w:top w:w="80" w:type="dxa"/>
              <w:left w:w="80" w:type="dxa"/>
              <w:bottom w:w="80" w:type="dxa"/>
              <w:right w:w="80" w:type="dxa"/>
            </w:tcMar>
          </w:tcPr>
          <w:p w14:paraId="57BCAB5A"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Excess</w:t>
            </w:r>
          </w:p>
        </w:tc>
        <w:tc>
          <w:tcPr>
            <w:tcW w:w="1187" w:type="dxa"/>
            <w:shd w:val="clear" w:color="auto" w:fill="FFC9C9"/>
            <w:tcMar>
              <w:top w:w="80" w:type="dxa"/>
              <w:left w:w="80" w:type="dxa"/>
              <w:bottom w:w="80" w:type="dxa"/>
              <w:right w:w="80" w:type="dxa"/>
            </w:tcMar>
          </w:tcPr>
          <w:p w14:paraId="7C06820B" w14:textId="304F6AA8"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Yes — </w:t>
            </w:r>
            <w:hyperlink r:id="rId494" w:history="1">
              <w:r w:rsidRPr="00A65B73">
                <w:rPr>
                  <w:rStyle w:val="Hyperlink"/>
                  <w:rFonts w:eastAsia="Calibri" w:cs="Arial"/>
                  <w:sz w:val="14"/>
                  <w:szCs w:val="14"/>
                  <w:lang w:eastAsia="en-US"/>
                </w:rPr>
                <w:t>s160</w:t>
              </w:r>
            </w:hyperlink>
            <w:r w:rsidRPr="00053239">
              <w:rPr>
                <w:rFonts w:eastAsia="Calibri" w:cs="Arial"/>
                <w:sz w:val="14"/>
                <w:szCs w:val="14"/>
                <w:lang w:eastAsia="en-US"/>
              </w:rPr>
              <w:t xml:space="preserve"> (</w:t>
            </w:r>
            <w:r w:rsidR="00F578BD" w:rsidRPr="00016069">
              <w:rPr>
                <w:i/>
                <w:sz w:val="14"/>
              </w:rPr>
              <w:t>Workers Compensation Act 1987</w:t>
            </w:r>
            <w:r w:rsidRPr="00053239">
              <w:rPr>
                <w:rFonts w:eastAsia="Calibri" w:cs="Arial"/>
                <w:sz w:val="14"/>
                <w:szCs w:val="14"/>
                <w:lang w:eastAsia="en-US"/>
              </w:rPr>
              <w:t>)</w:t>
            </w:r>
            <w:r w:rsidR="006E2FCD">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20B7E4D9" w14:textId="5F3AB03A"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Yes — </w:t>
            </w:r>
            <w:hyperlink r:id="rId495" w:history="1">
              <w:r w:rsidRPr="00D532EE">
                <w:rPr>
                  <w:rStyle w:val="Hyperlink"/>
                  <w:rFonts w:eastAsia="Calibri" w:cs="Arial"/>
                  <w:sz w:val="14"/>
                  <w:szCs w:val="14"/>
                  <w:lang w:eastAsia="en-US"/>
                </w:rPr>
                <w:t>s72</w:t>
              </w:r>
            </w:hyperlink>
          </w:p>
        </w:tc>
        <w:tc>
          <w:tcPr>
            <w:tcW w:w="1188" w:type="dxa"/>
            <w:shd w:val="clear" w:color="auto" w:fill="FFC9C9"/>
            <w:tcMar>
              <w:top w:w="80" w:type="dxa"/>
              <w:left w:w="80" w:type="dxa"/>
              <w:bottom w:w="80" w:type="dxa"/>
              <w:right w:w="80" w:type="dxa"/>
            </w:tcMar>
          </w:tcPr>
          <w:p w14:paraId="40D6C102" w14:textId="10DC53C5"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Yes — </w:t>
            </w:r>
            <w:hyperlink r:id="rId496" w:anchor="sec.65" w:history="1">
              <w:r w:rsidRPr="00D532EE">
                <w:rPr>
                  <w:rStyle w:val="Hyperlink"/>
                  <w:rFonts w:eastAsia="Calibri" w:cs="Arial"/>
                  <w:sz w:val="14"/>
                  <w:szCs w:val="14"/>
                  <w:lang w:eastAsia="en-US"/>
                </w:rPr>
                <w:t>s65</w:t>
              </w:r>
            </w:hyperlink>
          </w:p>
        </w:tc>
        <w:tc>
          <w:tcPr>
            <w:tcW w:w="1187" w:type="dxa"/>
            <w:shd w:val="clear" w:color="auto" w:fill="FFC9C9"/>
            <w:tcMar>
              <w:top w:w="80" w:type="dxa"/>
              <w:left w:w="80" w:type="dxa"/>
              <w:bottom w:w="80" w:type="dxa"/>
              <w:right w:w="80" w:type="dxa"/>
            </w:tcMar>
          </w:tcPr>
          <w:p w14:paraId="57C7566A" w14:textId="6F5F1F05" w:rsidR="00053239" w:rsidRPr="00053239" w:rsidRDefault="00153F5B" w:rsidP="00B21723">
            <w:pPr>
              <w:spacing w:after="60"/>
              <w:rPr>
                <w:rFonts w:eastAsia="Calibri" w:cs="Arial"/>
                <w:sz w:val="14"/>
                <w:szCs w:val="14"/>
                <w:lang w:eastAsia="en-US"/>
              </w:rPr>
            </w:pPr>
            <w:r>
              <w:rPr>
                <w:rFonts w:eastAsia="Calibri" w:cs="Arial"/>
                <w:sz w:val="14"/>
                <w:szCs w:val="14"/>
                <w:lang w:eastAsia="en-US"/>
              </w:rPr>
              <w:t>No</w:t>
            </w:r>
          </w:p>
        </w:tc>
        <w:tc>
          <w:tcPr>
            <w:tcW w:w="1187" w:type="dxa"/>
            <w:shd w:val="clear" w:color="auto" w:fill="FFC9C9"/>
            <w:tcMar>
              <w:top w:w="80" w:type="dxa"/>
              <w:left w:w="80" w:type="dxa"/>
              <w:bottom w:w="80" w:type="dxa"/>
              <w:right w:w="80" w:type="dxa"/>
            </w:tcMar>
          </w:tcPr>
          <w:p w14:paraId="79DD29B5" w14:textId="2F35FC20"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Yes — </w:t>
            </w:r>
            <w:hyperlink r:id="rId497" w:history="1">
              <w:r w:rsidRPr="00053239">
                <w:rPr>
                  <w:rFonts w:eastAsia="Calibri" w:cs="Arial"/>
                  <w:color w:val="0000FF"/>
                  <w:sz w:val="14"/>
                  <w:szCs w:val="14"/>
                  <w:u w:val="single"/>
                  <w:lang w:eastAsia="en-US"/>
                </w:rPr>
                <w:t>s34</w:t>
              </w:r>
            </w:hyperlink>
            <w:r w:rsidRPr="00053239">
              <w:rPr>
                <w:rFonts w:eastAsia="Calibri" w:cs="Arial"/>
                <w:sz w:val="14"/>
                <w:szCs w:val="14"/>
                <w:lang w:eastAsia="en-US"/>
              </w:rPr>
              <w:t xml:space="preserve"> (transportation) and </w:t>
            </w:r>
            <w:hyperlink r:id="rId498" w:history="1">
              <w:r w:rsidRPr="00053239">
                <w:rPr>
                  <w:rFonts w:eastAsia="Calibri" w:cs="Arial"/>
                  <w:color w:val="0000FF"/>
                  <w:sz w:val="14"/>
                  <w:szCs w:val="14"/>
                  <w:u w:val="single"/>
                  <w:lang w:eastAsia="en-US"/>
                </w:rPr>
                <w:t>s64</w:t>
              </w:r>
            </w:hyperlink>
            <w:r w:rsidRPr="00053239">
              <w:rPr>
                <w:rFonts w:eastAsia="Calibri" w:cs="Arial"/>
                <w:sz w:val="14"/>
                <w:szCs w:val="14"/>
                <w:lang w:eastAsia="en-US"/>
              </w:rPr>
              <w:t xml:space="preserve"> (income support)</w:t>
            </w:r>
          </w:p>
        </w:tc>
        <w:tc>
          <w:tcPr>
            <w:tcW w:w="1188" w:type="dxa"/>
            <w:shd w:val="clear" w:color="auto" w:fill="FFC9C9"/>
            <w:tcMar>
              <w:top w:w="80" w:type="dxa"/>
              <w:left w:w="80" w:type="dxa"/>
              <w:bottom w:w="80" w:type="dxa"/>
              <w:right w:w="80" w:type="dxa"/>
            </w:tcMar>
          </w:tcPr>
          <w:p w14:paraId="772420F5" w14:textId="45163476"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Yes — </w:t>
            </w:r>
            <w:hyperlink r:id="rId499" w:history="1">
              <w:r w:rsidRPr="00053239">
                <w:rPr>
                  <w:rFonts w:eastAsia="Calibri" w:cs="Arial"/>
                  <w:color w:val="0000FF"/>
                  <w:sz w:val="14"/>
                  <w:szCs w:val="14"/>
                  <w:u w:val="single"/>
                  <w:lang w:eastAsia="en-US"/>
                </w:rPr>
                <w:t>s97(1A)</w:t>
              </w:r>
            </w:hyperlink>
          </w:p>
        </w:tc>
        <w:tc>
          <w:tcPr>
            <w:tcW w:w="1187" w:type="dxa"/>
            <w:shd w:val="clear" w:color="auto" w:fill="FFC9C9"/>
            <w:tcMar>
              <w:top w:w="80" w:type="dxa"/>
              <w:left w:w="80" w:type="dxa"/>
              <w:bottom w:w="80" w:type="dxa"/>
              <w:right w:w="80" w:type="dxa"/>
            </w:tcMar>
          </w:tcPr>
          <w:p w14:paraId="75B86DA6" w14:textId="6BCD7736"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Yes — </w:t>
            </w:r>
            <w:hyperlink r:id="rId500" w:history="1">
              <w:r w:rsidRPr="00D532EE">
                <w:rPr>
                  <w:rStyle w:val="Hyperlink"/>
                  <w:rFonts w:eastAsia="Calibri" w:cs="Arial"/>
                  <w:sz w:val="14"/>
                  <w:szCs w:val="14"/>
                  <w:lang w:eastAsia="en-US"/>
                </w:rPr>
                <w:t>s56</w:t>
              </w:r>
            </w:hyperlink>
          </w:p>
        </w:tc>
        <w:tc>
          <w:tcPr>
            <w:tcW w:w="1187" w:type="dxa"/>
            <w:shd w:val="clear" w:color="auto" w:fill="FFC9C9"/>
            <w:tcMar>
              <w:top w:w="80" w:type="dxa"/>
              <w:left w:w="80" w:type="dxa"/>
              <w:bottom w:w="80" w:type="dxa"/>
              <w:right w:w="80" w:type="dxa"/>
            </w:tcMar>
          </w:tcPr>
          <w:p w14:paraId="3F536E58" w14:textId="52A3D2C1"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Employers are liable for weekly compensation payments from date of injury until the insurer is notified of the injury — </w:t>
            </w:r>
            <w:hyperlink r:id="rId501" w:history="1">
              <w:r w:rsidRPr="00D532EE">
                <w:rPr>
                  <w:rStyle w:val="Hyperlink"/>
                  <w:rFonts w:eastAsia="Calibri" w:cs="Arial"/>
                  <w:sz w:val="14"/>
                  <w:szCs w:val="14"/>
                  <w:lang w:eastAsia="en-US"/>
                </w:rPr>
                <w:t>s95</w:t>
              </w:r>
            </w:hyperlink>
            <w:r w:rsidRPr="00053239">
              <w:rPr>
                <w:rFonts w:eastAsia="Calibri" w:cs="Arial"/>
                <w:sz w:val="14"/>
                <w:szCs w:val="14"/>
                <w:lang w:eastAsia="en-US"/>
              </w:rPr>
              <w:t xml:space="preserve"> </w:t>
            </w:r>
            <w:r w:rsidR="00F578BD" w:rsidRPr="00016069">
              <w:rPr>
                <w:i/>
                <w:sz w:val="14"/>
              </w:rPr>
              <w:t>Workers Compensation Act 1951</w:t>
            </w:r>
          </w:p>
        </w:tc>
        <w:tc>
          <w:tcPr>
            <w:tcW w:w="1188" w:type="dxa"/>
            <w:shd w:val="clear" w:color="auto" w:fill="FFC9C9"/>
            <w:tcMar>
              <w:top w:w="80" w:type="dxa"/>
              <w:left w:w="80" w:type="dxa"/>
              <w:bottom w:w="80" w:type="dxa"/>
              <w:right w:w="80" w:type="dxa"/>
            </w:tcMar>
          </w:tcPr>
          <w:p w14:paraId="7EBCF550" w14:textId="6342B31C"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No</w:t>
            </w:r>
          </w:p>
        </w:tc>
        <w:tc>
          <w:tcPr>
            <w:tcW w:w="1187" w:type="dxa"/>
            <w:shd w:val="clear" w:color="auto" w:fill="FFC9C9"/>
            <w:tcMar>
              <w:top w:w="80" w:type="dxa"/>
              <w:left w:w="80" w:type="dxa"/>
              <w:bottom w:w="80" w:type="dxa"/>
              <w:right w:w="80" w:type="dxa"/>
            </w:tcMar>
          </w:tcPr>
          <w:p w14:paraId="321C0BFA" w14:textId="3360E231"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Not prescribed under legislation but may be negotiat</w:t>
            </w:r>
            <w:r w:rsidR="00F6068C">
              <w:rPr>
                <w:rFonts w:eastAsia="Calibri" w:cs="Arial"/>
                <w:sz w:val="14"/>
                <w:szCs w:val="14"/>
                <w:lang w:eastAsia="en-US"/>
              </w:rPr>
              <w:t>ed between employer and insurer</w:t>
            </w:r>
          </w:p>
        </w:tc>
        <w:tc>
          <w:tcPr>
            <w:tcW w:w="1187" w:type="dxa"/>
            <w:shd w:val="clear" w:color="auto" w:fill="FFC9C9"/>
            <w:tcMar>
              <w:top w:w="80" w:type="dxa"/>
              <w:left w:w="80" w:type="dxa"/>
              <w:bottom w:w="80" w:type="dxa"/>
              <w:right w:w="80" w:type="dxa"/>
            </w:tcMar>
          </w:tcPr>
          <w:p w14:paraId="790450DB" w14:textId="26D24D24"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N/A</w:t>
            </w:r>
          </w:p>
        </w:tc>
        <w:tc>
          <w:tcPr>
            <w:tcW w:w="1188" w:type="dxa"/>
            <w:shd w:val="clear" w:color="auto" w:fill="FFC9C9"/>
            <w:tcMar>
              <w:top w:w="80" w:type="dxa"/>
              <w:left w:w="80" w:type="dxa"/>
              <w:bottom w:w="80" w:type="dxa"/>
              <w:right w:w="80" w:type="dxa"/>
            </w:tcMar>
          </w:tcPr>
          <w:p w14:paraId="359ED600" w14:textId="4698101A"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Yes — </w:t>
            </w:r>
            <w:hyperlink r:id="rId502" w:history="1">
              <w:r w:rsidRPr="00D532EE">
                <w:rPr>
                  <w:rStyle w:val="Hyperlink"/>
                  <w:rFonts w:eastAsia="Calibri" w:cs="Arial"/>
                  <w:sz w:val="14"/>
                  <w:szCs w:val="14"/>
                  <w:lang w:eastAsia="en-US"/>
                </w:rPr>
                <w:t>s98</w:t>
              </w:r>
            </w:hyperlink>
          </w:p>
        </w:tc>
      </w:tr>
      <w:tr w:rsidR="00053239" w:rsidRPr="00053239" w14:paraId="1CFADBF3" w14:textId="77777777" w:rsidTr="00FB729B">
        <w:tc>
          <w:tcPr>
            <w:tcW w:w="1187" w:type="dxa"/>
            <w:tcMar>
              <w:top w:w="80" w:type="dxa"/>
              <w:left w:w="80" w:type="dxa"/>
              <w:bottom w:w="80" w:type="dxa"/>
              <w:right w:w="80" w:type="dxa"/>
            </w:tcMar>
          </w:tcPr>
          <w:p w14:paraId="5A9494E3"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Period of incapacity</w:t>
            </w:r>
          </w:p>
        </w:tc>
        <w:tc>
          <w:tcPr>
            <w:tcW w:w="1187" w:type="dxa"/>
            <w:tcMar>
              <w:top w:w="80" w:type="dxa"/>
              <w:left w:w="80" w:type="dxa"/>
              <w:bottom w:w="80" w:type="dxa"/>
              <w:right w:w="80" w:type="dxa"/>
            </w:tcMar>
          </w:tcPr>
          <w:p w14:paraId="1120A05C" w14:textId="4D1816AC"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One week’s weekly compensation</w:t>
            </w:r>
            <w:r w:rsidR="00C12CEE">
              <w:rPr>
                <w:rFonts w:eastAsia="Calibri" w:cs="Arial"/>
                <w:sz w:val="14"/>
                <w:szCs w:val="14"/>
                <w:lang w:eastAsia="en-US"/>
              </w:rPr>
              <w:t xml:space="preserve"> up to a maximum</w:t>
            </w:r>
            <w:r w:rsidR="00F6068C">
              <w:rPr>
                <w:rFonts w:eastAsia="Calibri" w:cs="Arial"/>
                <w:sz w:val="14"/>
                <w:szCs w:val="14"/>
                <w:lang w:eastAsia="en-US"/>
              </w:rPr>
              <w:t xml:space="preserve"> amount</w:t>
            </w:r>
            <w:r w:rsidR="00C12CEE">
              <w:rPr>
                <w:rFonts w:eastAsia="Calibri" w:cs="Arial"/>
                <w:sz w:val="14"/>
                <w:szCs w:val="14"/>
                <w:lang w:eastAsia="en-US"/>
              </w:rPr>
              <w:t xml:space="preserve"> prescribed in the Market Practice and Premium Guidelines</w:t>
            </w:r>
          </w:p>
        </w:tc>
        <w:tc>
          <w:tcPr>
            <w:tcW w:w="1187" w:type="dxa"/>
            <w:tcMar>
              <w:top w:w="80" w:type="dxa"/>
              <w:left w:w="80" w:type="dxa"/>
              <w:bottom w:w="80" w:type="dxa"/>
              <w:right w:w="80" w:type="dxa"/>
            </w:tcMar>
          </w:tcPr>
          <w:p w14:paraId="2BB49F5F" w14:textId="7D146543" w:rsidR="00053239" w:rsidRPr="00053239" w:rsidRDefault="00F6068C" w:rsidP="00B21723">
            <w:pPr>
              <w:spacing w:after="60"/>
              <w:rPr>
                <w:rFonts w:eastAsia="Calibri" w:cs="Arial"/>
                <w:sz w:val="14"/>
                <w:szCs w:val="14"/>
                <w:lang w:eastAsia="en-US"/>
              </w:rPr>
            </w:pPr>
            <w:r>
              <w:rPr>
                <w:rFonts w:eastAsia="Calibri" w:cs="Arial"/>
                <w:sz w:val="14"/>
                <w:szCs w:val="14"/>
                <w:lang w:eastAsia="en-US"/>
              </w:rPr>
              <w:t>First 10 days</w:t>
            </w:r>
          </w:p>
        </w:tc>
        <w:tc>
          <w:tcPr>
            <w:tcW w:w="1188" w:type="dxa"/>
            <w:tcMar>
              <w:top w:w="80" w:type="dxa"/>
              <w:left w:w="80" w:type="dxa"/>
              <w:bottom w:w="80" w:type="dxa"/>
              <w:right w:w="80" w:type="dxa"/>
            </w:tcMar>
          </w:tcPr>
          <w:p w14:paraId="4B52D0F5"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The lesser of:</w:t>
            </w:r>
          </w:p>
          <w:p w14:paraId="432731DA"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100% of Qld full-time adult’s ordinary time earnings (QOTE), or </w:t>
            </w:r>
          </w:p>
          <w:p w14:paraId="51B052C8"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the injured worker’s weekly compensation rate.</w:t>
            </w:r>
          </w:p>
          <w:p w14:paraId="7464B3A5" w14:textId="0666F887" w:rsidR="00053239" w:rsidRPr="00053239" w:rsidRDefault="00053239" w:rsidP="00A5564F">
            <w:pPr>
              <w:spacing w:after="60"/>
              <w:rPr>
                <w:rFonts w:eastAsia="Calibri" w:cs="Arial"/>
                <w:sz w:val="14"/>
                <w:szCs w:val="14"/>
                <w:lang w:eastAsia="en-US"/>
              </w:rPr>
            </w:pPr>
            <w:r w:rsidRPr="00053239">
              <w:rPr>
                <w:rFonts w:eastAsia="Calibri" w:cs="Arial"/>
                <w:sz w:val="14"/>
                <w:szCs w:val="14"/>
                <w:lang w:eastAsia="en-US"/>
              </w:rPr>
              <w:t>QOTE is</w:t>
            </w:r>
            <w:r w:rsidR="00153F5B">
              <w:rPr>
                <w:rFonts w:eastAsia="Calibri" w:cs="Arial"/>
                <w:sz w:val="14"/>
                <w:szCs w:val="14"/>
                <w:lang w:eastAsia="en-US"/>
              </w:rPr>
              <w:t xml:space="preserve"> $</w:t>
            </w:r>
            <w:r w:rsidR="00A5564F">
              <w:rPr>
                <w:rFonts w:eastAsia="Calibri" w:cs="Arial"/>
                <w:sz w:val="14"/>
                <w:szCs w:val="14"/>
                <w:lang w:eastAsia="en-US"/>
              </w:rPr>
              <w:t>1,482.10</w:t>
            </w:r>
            <w:r w:rsidRPr="00053239">
              <w:rPr>
                <w:rFonts w:eastAsia="Calibri" w:cs="Arial"/>
                <w:sz w:val="14"/>
                <w:szCs w:val="14"/>
                <w:lang w:eastAsia="en-US"/>
              </w:rPr>
              <w:t xml:space="preserve"> (as</w:t>
            </w:r>
            <w:r w:rsidR="00F6068C">
              <w:rPr>
                <w:rFonts w:eastAsia="Calibri" w:cs="Arial"/>
                <w:sz w:val="14"/>
                <w:szCs w:val="14"/>
                <w:lang w:eastAsia="en-US"/>
              </w:rPr>
              <w:t xml:space="preserve"> at 1 July </w:t>
            </w:r>
            <w:r w:rsidR="00A5564F">
              <w:rPr>
                <w:rFonts w:eastAsia="Calibri" w:cs="Arial"/>
                <w:sz w:val="14"/>
                <w:szCs w:val="14"/>
                <w:lang w:eastAsia="en-US"/>
              </w:rPr>
              <w:t>2017</w:t>
            </w:r>
            <w:r w:rsidR="00F6068C">
              <w:rPr>
                <w:rFonts w:eastAsia="Calibri" w:cs="Arial"/>
                <w:sz w:val="14"/>
                <w:szCs w:val="14"/>
                <w:lang w:eastAsia="en-US"/>
              </w:rPr>
              <w:t>)</w:t>
            </w:r>
          </w:p>
        </w:tc>
        <w:tc>
          <w:tcPr>
            <w:tcW w:w="1187" w:type="dxa"/>
            <w:tcMar>
              <w:top w:w="80" w:type="dxa"/>
              <w:left w:w="80" w:type="dxa"/>
              <w:bottom w:w="80" w:type="dxa"/>
              <w:right w:w="80" w:type="dxa"/>
            </w:tcMar>
          </w:tcPr>
          <w:p w14:paraId="564CBDD9"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2234309C" w14:textId="0A11B6DD" w:rsidR="00053239" w:rsidRPr="00053239" w:rsidRDefault="00053239" w:rsidP="00B21723">
            <w:pPr>
              <w:spacing w:after="60" w:line="276" w:lineRule="auto"/>
              <w:rPr>
                <w:rFonts w:eastAsia="Calibri" w:cs="Arial"/>
                <w:sz w:val="14"/>
                <w:szCs w:val="14"/>
                <w:lang w:eastAsia="en-US"/>
              </w:rPr>
            </w:pPr>
            <w:r w:rsidRPr="00053239">
              <w:rPr>
                <w:rFonts w:eastAsia="Calibri" w:cs="Arial"/>
                <w:sz w:val="14"/>
                <w:szCs w:val="14"/>
                <w:lang w:eastAsia="en-US"/>
              </w:rPr>
              <w:t>First two weeks of the period of incapacit</w:t>
            </w:r>
            <w:r w:rsidR="00F6068C">
              <w:rPr>
                <w:rFonts w:eastAsia="Calibri" w:cs="Arial"/>
                <w:sz w:val="14"/>
                <w:szCs w:val="14"/>
                <w:lang w:eastAsia="en-US"/>
              </w:rPr>
              <w:t>y per worker per calendar year</w:t>
            </w:r>
          </w:p>
        </w:tc>
        <w:tc>
          <w:tcPr>
            <w:tcW w:w="1188" w:type="dxa"/>
            <w:tcMar>
              <w:top w:w="80" w:type="dxa"/>
              <w:left w:w="80" w:type="dxa"/>
              <w:bottom w:w="80" w:type="dxa"/>
              <w:right w:w="80" w:type="dxa"/>
            </w:tcMar>
          </w:tcPr>
          <w:p w14:paraId="47398A4B"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First weekly payment.</w:t>
            </w:r>
          </w:p>
          <w:p w14:paraId="057B2CE0" w14:textId="5BA632A6"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May be extende</w:t>
            </w:r>
            <w:r w:rsidR="00F6068C">
              <w:rPr>
                <w:rFonts w:eastAsia="Calibri" w:cs="Arial"/>
                <w:sz w:val="14"/>
                <w:szCs w:val="14"/>
                <w:lang w:eastAsia="en-US"/>
              </w:rPr>
              <w:t>d up to first 4 weekly payments</w:t>
            </w:r>
          </w:p>
        </w:tc>
        <w:tc>
          <w:tcPr>
            <w:tcW w:w="1187" w:type="dxa"/>
            <w:tcMar>
              <w:top w:w="80" w:type="dxa"/>
              <w:left w:w="80" w:type="dxa"/>
              <w:bottom w:w="80" w:type="dxa"/>
              <w:right w:w="80" w:type="dxa"/>
            </w:tcMar>
          </w:tcPr>
          <w:p w14:paraId="617547BE" w14:textId="603DB5EE"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Any </w:t>
            </w:r>
            <w:r w:rsidR="00F6068C">
              <w:rPr>
                <w:rFonts w:eastAsia="Calibri" w:cs="Arial"/>
                <w:sz w:val="14"/>
                <w:szCs w:val="14"/>
                <w:lang w:eastAsia="en-US"/>
              </w:rPr>
              <w:t>part day lost on day of injury</w:t>
            </w:r>
          </w:p>
        </w:tc>
        <w:tc>
          <w:tcPr>
            <w:tcW w:w="1187" w:type="dxa"/>
            <w:tcMar>
              <w:top w:w="80" w:type="dxa"/>
              <w:left w:w="80" w:type="dxa"/>
              <w:bottom w:w="80" w:type="dxa"/>
              <w:right w:w="80" w:type="dxa"/>
            </w:tcMar>
          </w:tcPr>
          <w:p w14:paraId="6B4E30F8" w14:textId="1FCAED81" w:rsidR="00053239" w:rsidRPr="00053239" w:rsidRDefault="00F6068C" w:rsidP="00B21723">
            <w:pPr>
              <w:spacing w:after="60"/>
              <w:rPr>
                <w:rFonts w:eastAsia="Calibri" w:cs="Arial"/>
                <w:sz w:val="14"/>
                <w:szCs w:val="14"/>
                <w:lang w:eastAsia="en-US"/>
              </w:rPr>
            </w:pPr>
            <w:r>
              <w:rPr>
                <w:rFonts w:eastAsia="Calibri" w:cs="Arial"/>
                <w:sz w:val="14"/>
                <w:szCs w:val="14"/>
                <w:lang w:eastAsia="en-US"/>
              </w:rPr>
              <w:t>As above</w:t>
            </w:r>
          </w:p>
        </w:tc>
        <w:tc>
          <w:tcPr>
            <w:tcW w:w="1188" w:type="dxa"/>
            <w:tcMar>
              <w:top w:w="80" w:type="dxa"/>
              <w:left w:w="80" w:type="dxa"/>
              <w:bottom w:w="80" w:type="dxa"/>
              <w:right w:w="80" w:type="dxa"/>
            </w:tcMar>
          </w:tcPr>
          <w:p w14:paraId="31B977FB" w14:textId="70F0FE8D"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Any</w:t>
            </w:r>
            <w:r w:rsidR="00F6068C">
              <w:rPr>
                <w:rFonts w:eastAsia="Calibri" w:cs="Arial"/>
                <w:sz w:val="14"/>
                <w:szCs w:val="14"/>
                <w:lang w:eastAsia="en-US"/>
              </w:rPr>
              <w:t xml:space="preserve"> part day lost on day of injury</w:t>
            </w:r>
          </w:p>
        </w:tc>
        <w:tc>
          <w:tcPr>
            <w:tcW w:w="1187" w:type="dxa"/>
            <w:tcMar>
              <w:top w:w="80" w:type="dxa"/>
              <w:left w:w="80" w:type="dxa"/>
              <w:bottom w:w="80" w:type="dxa"/>
              <w:right w:w="80" w:type="dxa"/>
            </w:tcMar>
          </w:tcPr>
          <w:p w14:paraId="333CA297"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38363C7E" w14:textId="1986BED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N/A</w:t>
            </w:r>
          </w:p>
        </w:tc>
        <w:tc>
          <w:tcPr>
            <w:tcW w:w="1188" w:type="dxa"/>
            <w:tcMar>
              <w:top w:w="80" w:type="dxa"/>
              <w:left w:w="80" w:type="dxa"/>
              <w:bottom w:w="80" w:type="dxa"/>
              <w:right w:w="80" w:type="dxa"/>
            </w:tcMar>
          </w:tcPr>
          <w:p w14:paraId="13BB8C1C" w14:textId="2D8319EF"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Fir</w:t>
            </w:r>
            <w:r w:rsidR="00F6068C">
              <w:rPr>
                <w:rFonts w:eastAsia="Calibri" w:cs="Arial"/>
                <w:sz w:val="14"/>
                <w:szCs w:val="14"/>
                <w:lang w:eastAsia="en-US"/>
              </w:rPr>
              <w:t>st week</w:t>
            </w:r>
          </w:p>
        </w:tc>
      </w:tr>
      <w:tr w:rsidR="00053239" w:rsidRPr="00053239" w14:paraId="2DB65B90" w14:textId="77777777" w:rsidTr="00FB729B">
        <w:tc>
          <w:tcPr>
            <w:tcW w:w="1187" w:type="dxa"/>
            <w:shd w:val="clear" w:color="auto" w:fill="FFC9C9"/>
            <w:tcMar>
              <w:top w:w="80" w:type="dxa"/>
              <w:left w:w="80" w:type="dxa"/>
              <w:bottom w:w="80" w:type="dxa"/>
              <w:right w:w="80" w:type="dxa"/>
            </w:tcMar>
          </w:tcPr>
          <w:p w14:paraId="5ED4C195"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Cost of benefits</w:t>
            </w:r>
          </w:p>
        </w:tc>
        <w:tc>
          <w:tcPr>
            <w:tcW w:w="1187" w:type="dxa"/>
            <w:shd w:val="clear" w:color="auto" w:fill="FFC9C9"/>
            <w:tcMar>
              <w:top w:w="80" w:type="dxa"/>
              <w:left w:w="80" w:type="dxa"/>
              <w:bottom w:w="80" w:type="dxa"/>
              <w:right w:w="80" w:type="dxa"/>
            </w:tcMar>
          </w:tcPr>
          <w:p w14:paraId="231355D6"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37D0AB04" w14:textId="406FAA7C" w:rsidR="00053239" w:rsidRPr="00053239" w:rsidRDefault="00F6068C" w:rsidP="000E6606">
            <w:pPr>
              <w:spacing w:after="60"/>
              <w:rPr>
                <w:rFonts w:eastAsia="Calibri" w:cs="Arial"/>
                <w:sz w:val="14"/>
                <w:szCs w:val="14"/>
                <w:lang w:eastAsia="en-US"/>
              </w:rPr>
            </w:pPr>
            <w:r>
              <w:rPr>
                <w:rFonts w:eastAsia="Calibri" w:cs="Arial"/>
                <w:sz w:val="14"/>
                <w:szCs w:val="14"/>
                <w:lang w:eastAsia="en-US"/>
              </w:rPr>
              <w:t>First $</w:t>
            </w:r>
            <w:r w:rsidR="000E6606">
              <w:rPr>
                <w:rFonts w:eastAsia="Calibri" w:cs="Arial"/>
                <w:sz w:val="14"/>
                <w:szCs w:val="14"/>
                <w:lang w:eastAsia="en-US"/>
              </w:rPr>
              <w:t xml:space="preserve">692 </w:t>
            </w:r>
            <w:r>
              <w:rPr>
                <w:rFonts w:eastAsia="Calibri" w:cs="Arial"/>
                <w:sz w:val="14"/>
                <w:szCs w:val="14"/>
                <w:lang w:eastAsia="en-US"/>
              </w:rPr>
              <w:t>of medical costs</w:t>
            </w:r>
          </w:p>
        </w:tc>
        <w:tc>
          <w:tcPr>
            <w:tcW w:w="1188" w:type="dxa"/>
            <w:shd w:val="clear" w:color="auto" w:fill="FFC9C9"/>
            <w:tcMar>
              <w:top w:w="80" w:type="dxa"/>
              <w:left w:w="80" w:type="dxa"/>
              <w:bottom w:w="80" w:type="dxa"/>
              <w:right w:w="80" w:type="dxa"/>
            </w:tcMar>
          </w:tcPr>
          <w:p w14:paraId="5B3D7BBD" w14:textId="6FE870A1" w:rsidR="00053239" w:rsidRPr="00053239" w:rsidRDefault="00053239" w:rsidP="00A5564F">
            <w:pPr>
              <w:spacing w:after="60"/>
              <w:rPr>
                <w:rFonts w:eastAsia="Calibri" w:cs="Arial"/>
                <w:sz w:val="14"/>
                <w:szCs w:val="14"/>
                <w:lang w:eastAsia="en-US"/>
              </w:rPr>
            </w:pPr>
            <w:r w:rsidRPr="00053239">
              <w:rPr>
                <w:rFonts w:eastAsia="Calibri" w:cs="Arial"/>
                <w:sz w:val="14"/>
                <w:szCs w:val="14"/>
                <w:lang w:eastAsia="en-US"/>
              </w:rPr>
              <w:t>$</w:t>
            </w:r>
            <w:r w:rsidR="00A5564F">
              <w:rPr>
                <w:rFonts w:eastAsia="Calibri" w:cs="Arial"/>
                <w:sz w:val="14"/>
                <w:szCs w:val="14"/>
                <w:lang w:eastAsia="en-US"/>
              </w:rPr>
              <w:t>1,482.10</w:t>
            </w:r>
            <w:r w:rsidRPr="00053239">
              <w:rPr>
                <w:rFonts w:eastAsia="Calibri" w:cs="Arial"/>
                <w:sz w:val="14"/>
                <w:szCs w:val="14"/>
                <w:lang w:eastAsia="en-US"/>
              </w:rPr>
              <w:t xml:space="preserve"> (max)</w:t>
            </w:r>
          </w:p>
        </w:tc>
        <w:tc>
          <w:tcPr>
            <w:tcW w:w="1187" w:type="dxa"/>
            <w:shd w:val="clear" w:color="auto" w:fill="FFC9C9"/>
            <w:tcMar>
              <w:top w:w="80" w:type="dxa"/>
              <w:left w:w="80" w:type="dxa"/>
              <w:bottom w:w="80" w:type="dxa"/>
              <w:right w:w="80" w:type="dxa"/>
            </w:tcMar>
          </w:tcPr>
          <w:p w14:paraId="60C0DFD8"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625847AB" w14:textId="598A1AAF"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Differs depending upon cost of 2 </w:t>
            </w:r>
            <w:r w:rsidR="00F6068C">
              <w:rPr>
                <w:rFonts w:eastAsia="Calibri" w:cs="Arial"/>
                <w:sz w:val="14"/>
                <w:szCs w:val="14"/>
                <w:lang w:eastAsia="en-US"/>
              </w:rPr>
              <w:t>weeks income support for worker</w:t>
            </w:r>
          </w:p>
        </w:tc>
        <w:tc>
          <w:tcPr>
            <w:tcW w:w="1188" w:type="dxa"/>
            <w:shd w:val="clear" w:color="auto" w:fill="FFC9C9"/>
            <w:tcMar>
              <w:top w:w="80" w:type="dxa"/>
              <w:left w:w="80" w:type="dxa"/>
              <w:bottom w:w="80" w:type="dxa"/>
              <w:right w:w="80" w:type="dxa"/>
            </w:tcMar>
          </w:tcPr>
          <w:p w14:paraId="6FC26208"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First $200 of other benefits.</w:t>
            </w:r>
          </w:p>
        </w:tc>
        <w:tc>
          <w:tcPr>
            <w:tcW w:w="1187" w:type="dxa"/>
            <w:shd w:val="clear" w:color="auto" w:fill="FFC9C9"/>
            <w:tcMar>
              <w:top w:w="80" w:type="dxa"/>
              <w:left w:w="80" w:type="dxa"/>
              <w:bottom w:w="80" w:type="dxa"/>
              <w:right w:w="80" w:type="dxa"/>
            </w:tcMar>
          </w:tcPr>
          <w:p w14:paraId="0F37B0DD"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6688CDBF" w14:textId="6EE3581D" w:rsidR="00053239" w:rsidRPr="00053239" w:rsidRDefault="00F6068C" w:rsidP="00B21723">
            <w:pPr>
              <w:spacing w:after="60"/>
              <w:rPr>
                <w:rFonts w:eastAsia="Calibri" w:cs="Arial"/>
                <w:sz w:val="14"/>
                <w:szCs w:val="14"/>
                <w:lang w:eastAsia="en-US"/>
              </w:rPr>
            </w:pPr>
            <w:r>
              <w:rPr>
                <w:rFonts w:eastAsia="Calibri" w:cs="Arial"/>
                <w:sz w:val="14"/>
                <w:szCs w:val="14"/>
                <w:lang w:eastAsia="en-US"/>
              </w:rPr>
              <w:t>As above</w:t>
            </w:r>
          </w:p>
        </w:tc>
        <w:tc>
          <w:tcPr>
            <w:tcW w:w="1188" w:type="dxa"/>
            <w:shd w:val="clear" w:color="auto" w:fill="FFC9C9"/>
            <w:tcMar>
              <w:top w:w="80" w:type="dxa"/>
              <w:left w:w="80" w:type="dxa"/>
              <w:bottom w:w="80" w:type="dxa"/>
              <w:right w:w="80" w:type="dxa"/>
            </w:tcMar>
          </w:tcPr>
          <w:p w14:paraId="294A12D2" w14:textId="49B5D94C"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N/A</w:t>
            </w:r>
          </w:p>
        </w:tc>
        <w:tc>
          <w:tcPr>
            <w:tcW w:w="1187" w:type="dxa"/>
            <w:shd w:val="clear" w:color="auto" w:fill="FFC9C9"/>
            <w:tcMar>
              <w:top w:w="80" w:type="dxa"/>
              <w:left w:w="80" w:type="dxa"/>
              <w:bottom w:w="80" w:type="dxa"/>
              <w:right w:w="80" w:type="dxa"/>
            </w:tcMar>
          </w:tcPr>
          <w:p w14:paraId="19C0D47D"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15A47CDB" w14:textId="22B8560F"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N/A</w:t>
            </w:r>
          </w:p>
        </w:tc>
        <w:tc>
          <w:tcPr>
            <w:tcW w:w="1188" w:type="dxa"/>
            <w:shd w:val="clear" w:color="auto" w:fill="FFC9C9"/>
            <w:tcMar>
              <w:top w:w="80" w:type="dxa"/>
              <w:left w:w="80" w:type="dxa"/>
              <w:bottom w:w="80" w:type="dxa"/>
              <w:right w:w="80" w:type="dxa"/>
            </w:tcMar>
          </w:tcPr>
          <w:p w14:paraId="62568EEF" w14:textId="14CA4B4D"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N/A</w:t>
            </w:r>
          </w:p>
        </w:tc>
      </w:tr>
      <w:tr w:rsidR="00053239" w:rsidRPr="00053239" w14:paraId="3DE2DE1A" w14:textId="77777777" w:rsidTr="00FB729B">
        <w:tc>
          <w:tcPr>
            <w:tcW w:w="1187" w:type="dxa"/>
            <w:tcMar>
              <w:top w:w="80" w:type="dxa"/>
              <w:left w:w="80" w:type="dxa"/>
              <w:bottom w:w="80" w:type="dxa"/>
              <w:right w:w="80" w:type="dxa"/>
            </w:tcMar>
          </w:tcPr>
          <w:p w14:paraId="47E37D00"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Buyout option</w:t>
            </w:r>
          </w:p>
        </w:tc>
        <w:tc>
          <w:tcPr>
            <w:tcW w:w="1187" w:type="dxa"/>
            <w:tcMar>
              <w:top w:w="80" w:type="dxa"/>
              <w:left w:w="80" w:type="dxa"/>
              <w:bottom w:w="80" w:type="dxa"/>
              <w:right w:w="80" w:type="dxa"/>
            </w:tcMar>
          </w:tcPr>
          <w:p w14:paraId="7D3F5318" w14:textId="67E58E8D" w:rsidR="00053239" w:rsidRPr="00053239" w:rsidRDefault="00053239" w:rsidP="00C12CEE">
            <w:pPr>
              <w:spacing w:after="60"/>
              <w:rPr>
                <w:rFonts w:eastAsia="Calibri" w:cs="Arial"/>
                <w:sz w:val="14"/>
                <w:szCs w:val="14"/>
                <w:lang w:eastAsia="en-US"/>
              </w:rPr>
            </w:pPr>
            <w:r w:rsidRPr="00053239">
              <w:rPr>
                <w:rFonts w:eastAsia="Calibri" w:cs="Arial"/>
                <w:sz w:val="14"/>
                <w:szCs w:val="14"/>
                <w:lang w:eastAsia="en-US"/>
              </w:rPr>
              <w:t>Excess is waived if the claim is reported to a</w:t>
            </w:r>
            <w:r w:rsidR="00C12CEE">
              <w:rPr>
                <w:rFonts w:eastAsia="Calibri" w:cs="Arial"/>
                <w:sz w:val="14"/>
                <w:szCs w:val="14"/>
                <w:lang w:eastAsia="en-US"/>
              </w:rPr>
              <w:t>n insurer</w:t>
            </w:r>
            <w:r w:rsidRPr="00053239">
              <w:rPr>
                <w:rFonts w:eastAsia="Calibri" w:cs="Arial"/>
                <w:sz w:val="14"/>
                <w:szCs w:val="14"/>
                <w:lang w:eastAsia="en-US"/>
              </w:rPr>
              <w:t xml:space="preserve"> within 5 calendar days of the employ</w:t>
            </w:r>
            <w:r w:rsidR="00F6068C">
              <w:rPr>
                <w:rFonts w:eastAsia="Calibri" w:cs="Arial"/>
                <w:sz w:val="14"/>
                <w:szCs w:val="14"/>
                <w:lang w:eastAsia="en-US"/>
              </w:rPr>
              <w:t>er becoming aware of the injury</w:t>
            </w:r>
          </w:p>
        </w:tc>
        <w:tc>
          <w:tcPr>
            <w:tcW w:w="1187" w:type="dxa"/>
            <w:tcMar>
              <w:top w:w="80" w:type="dxa"/>
              <w:left w:w="80" w:type="dxa"/>
              <w:bottom w:w="80" w:type="dxa"/>
              <w:right w:w="80" w:type="dxa"/>
            </w:tcMar>
          </w:tcPr>
          <w:p w14:paraId="0163C7B8" w14:textId="02B87C4A" w:rsidR="00053239" w:rsidRPr="00053239" w:rsidRDefault="00F6068C" w:rsidP="00B21723">
            <w:pPr>
              <w:spacing w:after="60"/>
              <w:rPr>
                <w:rFonts w:eastAsia="Calibri" w:cs="Arial"/>
                <w:sz w:val="14"/>
                <w:szCs w:val="14"/>
                <w:lang w:eastAsia="en-US"/>
              </w:rPr>
            </w:pPr>
            <w:r>
              <w:rPr>
                <w:rFonts w:eastAsia="Calibri" w:cs="Arial"/>
                <w:sz w:val="14"/>
                <w:szCs w:val="14"/>
                <w:lang w:eastAsia="en-US"/>
              </w:rPr>
              <w:t>Yes — 10% of premium</w:t>
            </w:r>
          </w:p>
        </w:tc>
        <w:tc>
          <w:tcPr>
            <w:tcW w:w="1188" w:type="dxa"/>
            <w:tcMar>
              <w:top w:w="80" w:type="dxa"/>
              <w:left w:w="80" w:type="dxa"/>
              <w:bottom w:w="80" w:type="dxa"/>
              <w:right w:w="80" w:type="dxa"/>
            </w:tcMar>
          </w:tcPr>
          <w:p w14:paraId="6BF18507" w14:textId="410D17BE"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No</w:t>
            </w:r>
          </w:p>
        </w:tc>
        <w:tc>
          <w:tcPr>
            <w:tcW w:w="1187" w:type="dxa"/>
            <w:tcMar>
              <w:top w:w="80" w:type="dxa"/>
              <w:left w:w="80" w:type="dxa"/>
              <w:bottom w:w="80" w:type="dxa"/>
              <w:right w:w="80" w:type="dxa"/>
            </w:tcMar>
          </w:tcPr>
          <w:p w14:paraId="2B895DAC"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4FDB65BA" w14:textId="5D5E91A3" w:rsidR="00053239" w:rsidRPr="00053239" w:rsidRDefault="00F6068C" w:rsidP="00B21723">
            <w:pPr>
              <w:spacing w:after="60"/>
              <w:rPr>
                <w:rFonts w:eastAsia="Calibri" w:cs="Arial"/>
                <w:sz w:val="14"/>
                <w:szCs w:val="14"/>
                <w:lang w:eastAsia="en-US"/>
              </w:rPr>
            </w:pPr>
            <w:r>
              <w:rPr>
                <w:rFonts w:eastAsia="Calibri" w:cs="Arial"/>
                <w:sz w:val="14"/>
                <w:szCs w:val="14"/>
                <w:lang w:eastAsia="en-US"/>
              </w:rPr>
              <w:t xml:space="preserve">See </w:t>
            </w:r>
            <w:hyperlink r:id="rId503" w:history="1">
              <w:r w:rsidRPr="00D532EE">
                <w:rPr>
                  <w:rStyle w:val="Hyperlink"/>
                  <w:rFonts w:eastAsia="Calibri" w:cs="Arial"/>
                  <w:sz w:val="14"/>
                  <w:szCs w:val="14"/>
                  <w:lang w:eastAsia="en-US"/>
                </w:rPr>
                <w:t>s64(14)</w:t>
              </w:r>
            </w:hyperlink>
          </w:p>
        </w:tc>
        <w:tc>
          <w:tcPr>
            <w:tcW w:w="1188" w:type="dxa"/>
            <w:tcMar>
              <w:top w:w="80" w:type="dxa"/>
              <w:left w:w="80" w:type="dxa"/>
              <w:bottom w:w="80" w:type="dxa"/>
              <w:right w:w="80" w:type="dxa"/>
            </w:tcMar>
          </w:tcPr>
          <w:p w14:paraId="2EDA6D08" w14:textId="7EFB95C1"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 xml:space="preserve">Yes — subject to the approval of the WorkCover Tasmania Board — </w:t>
            </w:r>
            <w:hyperlink r:id="rId504" w:history="1">
              <w:r w:rsidRPr="00053239">
                <w:rPr>
                  <w:rFonts w:eastAsia="Calibri" w:cs="Arial"/>
                  <w:color w:val="0000FF"/>
                  <w:sz w:val="14"/>
                  <w:szCs w:val="14"/>
                  <w:u w:val="single"/>
                  <w:lang w:eastAsia="en-US"/>
                </w:rPr>
                <w:t>s97(1C)</w:t>
              </w:r>
            </w:hyperlink>
          </w:p>
        </w:tc>
        <w:tc>
          <w:tcPr>
            <w:tcW w:w="1187" w:type="dxa"/>
            <w:tcMar>
              <w:top w:w="80" w:type="dxa"/>
              <w:left w:w="80" w:type="dxa"/>
              <w:bottom w:w="80" w:type="dxa"/>
              <w:right w:w="80" w:type="dxa"/>
            </w:tcMar>
          </w:tcPr>
          <w:p w14:paraId="0C95AB4B"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64D9187D" w14:textId="132B4B7C" w:rsidR="00053239" w:rsidRPr="00053239" w:rsidRDefault="00F6068C" w:rsidP="00B21723">
            <w:pPr>
              <w:spacing w:after="60"/>
              <w:rPr>
                <w:rFonts w:eastAsia="Calibri" w:cs="Arial"/>
                <w:sz w:val="14"/>
                <w:szCs w:val="14"/>
                <w:lang w:eastAsia="en-US"/>
              </w:rPr>
            </w:pPr>
            <w:r>
              <w:rPr>
                <w:rFonts w:eastAsia="Calibri" w:cs="Arial"/>
                <w:sz w:val="14"/>
                <w:szCs w:val="14"/>
                <w:lang w:eastAsia="en-US"/>
              </w:rPr>
              <w:t>As above</w:t>
            </w:r>
          </w:p>
        </w:tc>
        <w:tc>
          <w:tcPr>
            <w:tcW w:w="1188" w:type="dxa"/>
            <w:tcMar>
              <w:top w:w="80" w:type="dxa"/>
              <w:left w:w="80" w:type="dxa"/>
              <w:bottom w:w="80" w:type="dxa"/>
              <w:right w:w="80" w:type="dxa"/>
            </w:tcMar>
          </w:tcPr>
          <w:p w14:paraId="778D4EBF" w14:textId="2C9E9F9B"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N/A</w:t>
            </w:r>
          </w:p>
        </w:tc>
        <w:tc>
          <w:tcPr>
            <w:tcW w:w="1187" w:type="dxa"/>
            <w:tcMar>
              <w:top w:w="80" w:type="dxa"/>
              <w:left w:w="80" w:type="dxa"/>
              <w:bottom w:w="80" w:type="dxa"/>
              <w:right w:w="80" w:type="dxa"/>
            </w:tcMar>
          </w:tcPr>
          <w:p w14:paraId="0312DF57" w14:textId="77777777"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060EBA17" w14:textId="31588978"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N/A</w:t>
            </w:r>
          </w:p>
        </w:tc>
        <w:tc>
          <w:tcPr>
            <w:tcW w:w="1188" w:type="dxa"/>
            <w:tcMar>
              <w:top w:w="80" w:type="dxa"/>
              <w:left w:w="80" w:type="dxa"/>
              <w:bottom w:w="80" w:type="dxa"/>
              <w:right w:w="80" w:type="dxa"/>
            </w:tcMar>
          </w:tcPr>
          <w:p w14:paraId="7E05C1A5" w14:textId="2FB79840" w:rsidR="00053239" w:rsidRPr="00053239" w:rsidRDefault="00053239" w:rsidP="00B21723">
            <w:pPr>
              <w:spacing w:after="60"/>
              <w:rPr>
                <w:rFonts w:eastAsia="Calibri" w:cs="Arial"/>
                <w:sz w:val="14"/>
                <w:szCs w:val="14"/>
                <w:lang w:eastAsia="en-US"/>
              </w:rPr>
            </w:pPr>
            <w:r w:rsidRPr="00053239">
              <w:rPr>
                <w:rFonts w:eastAsia="Calibri" w:cs="Arial"/>
                <w:sz w:val="14"/>
                <w:szCs w:val="14"/>
                <w:lang w:eastAsia="en-US"/>
              </w:rPr>
              <w:t>N/A</w:t>
            </w:r>
          </w:p>
        </w:tc>
      </w:tr>
    </w:tbl>
    <w:p w14:paraId="25312050" w14:textId="373DA52A" w:rsidR="00C66972" w:rsidRPr="00C66972" w:rsidRDefault="00C66972" w:rsidP="00C66972">
      <w:pPr>
        <w:spacing w:after="200" w:line="276" w:lineRule="auto"/>
        <w:rPr>
          <w:rFonts w:eastAsiaTheme="minorHAnsi"/>
        </w:rPr>
      </w:pPr>
    </w:p>
    <w:p w14:paraId="68B15C3A" w14:textId="0830BE5F" w:rsidR="00053239" w:rsidRPr="00A80282" w:rsidRDefault="00053239" w:rsidP="00A80282">
      <w:pPr>
        <w:pStyle w:val="SWATableheader"/>
      </w:pPr>
      <w:bookmarkStart w:id="65" w:name="_Toc504654650"/>
      <w:bookmarkStart w:id="66" w:name="uninsured"/>
      <w:r w:rsidRPr="00A80282">
        <w:lastRenderedPageBreak/>
        <w:t>Table 2.12: Uninsured employer provisions</w:t>
      </w:r>
      <w:bookmarkEnd w:id="65"/>
      <w:r w:rsidR="005355FE" w:rsidRPr="00A80282">
        <w:fldChar w:fldCharType="begin"/>
      </w:r>
      <w:r w:rsidR="005355FE" w:rsidRPr="00A80282">
        <w:instrText xml:space="preserve"> XE "uninsured employers" </w:instrText>
      </w:r>
      <w:r w:rsidR="005355FE" w:rsidRPr="00A80282">
        <w:fldChar w:fldCharType="end"/>
      </w:r>
      <w:r w:rsidR="00DD0D68" w:rsidRPr="00A80282">
        <w:t xml:space="preserve"> </w:t>
      </w:r>
      <w:r w:rsidR="00184441" w:rsidRPr="00A80282">
        <w:fldChar w:fldCharType="begin"/>
      </w:r>
      <w:r w:rsidR="00184441" w:rsidRPr="00A80282">
        <w:instrText xml:space="preserve"> XE "coverage of workers:uninsured employers" \r "uninsured" </w:instrText>
      </w:r>
      <w:r w:rsidR="00184441" w:rsidRPr="00A80282">
        <w:fldChar w:fldCharType="end"/>
      </w:r>
      <w:r w:rsidR="0025506E" w:rsidRPr="00A80282">
        <w:t xml:space="preserve"> </w:t>
      </w:r>
      <w:r w:rsidR="0025506E" w:rsidRPr="00A80282">
        <w:fldChar w:fldCharType="begin"/>
      </w:r>
      <w:r w:rsidR="0025506E" w:rsidRPr="00A80282">
        <w:instrText xml:space="preserve"> XE "employers:uninsured employers" \r "uninsured" </w:instrText>
      </w:r>
      <w:r w:rsidR="0025506E"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2: Uninsured employer provisions  "/>
        <w:tblDescription w:val="This table provides information about uninsured employer provisions under each workers' compensation scheme. "/>
      </w:tblPr>
      <w:tblGrid>
        <w:gridCol w:w="1984"/>
        <w:gridCol w:w="13451"/>
      </w:tblGrid>
      <w:tr w:rsidR="00053239" w:rsidRPr="00053239" w14:paraId="44CE7E01" w14:textId="77777777" w:rsidTr="00FB729B">
        <w:trPr>
          <w:tblHeader/>
        </w:trPr>
        <w:tc>
          <w:tcPr>
            <w:tcW w:w="1984" w:type="dxa"/>
            <w:shd w:val="clear" w:color="auto" w:fill="C00000"/>
            <w:tcMar>
              <w:top w:w="0" w:type="dxa"/>
              <w:left w:w="0" w:type="dxa"/>
              <w:bottom w:w="0" w:type="dxa"/>
              <w:right w:w="0" w:type="dxa"/>
            </w:tcMar>
            <w:vAlign w:val="center"/>
          </w:tcPr>
          <w:p w14:paraId="772BFBA0" w14:textId="77777777" w:rsidR="00053239" w:rsidRPr="00053239" w:rsidRDefault="00053239" w:rsidP="00B21723">
            <w:pPr>
              <w:spacing w:after="60"/>
              <w:rPr>
                <w:rFonts w:eastAsia="Calibri" w:cs="Arial"/>
                <w:b/>
                <w:color w:val="FFFFFF"/>
                <w:sz w:val="18"/>
                <w:szCs w:val="18"/>
                <w:lang w:eastAsia="en-US"/>
              </w:rPr>
            </w:pPr>
          </w:p>
        </w:tc>
        <w:tc>
          <w:tcPr>
            <w:tcW w:w="13451" w:type="dxa"/>
            <w:shd w:val="clear" w:color="auto" w:fill="C00000"/>
            <w:tcMar>
              <w:top w:w="0" w:type="dxa"/>
              <w:left w:w="0" w:type="dxa"/>
              <w:bottom w:w="0" w:type="dxa"/>
              <w:right w:w="0" w:type="dxa"/>
            </w:tcMar>
            <w:vAlign w:val="center"/>
          </w:tcPr>
          <w:p w14:paraId="6D61322B"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Uninsured Employers</w:t>
            </w:r>
          </w:p>
        </w:tc>
      </w:tr>
      <w:tr w:rsidR="00053239" w:rsidRPr="00053239" w14:paraId="387DD7E9" w14:textId="77777777" w:rsidTr="00FB729B">
        <w:tc>
          <w:tcPr>
            <w:tcW w:w="1984" w:type="dxa"/>
            <w:shd w:val="clear" w:color="auto" w:fill="FFC9C9"/>
            <w:tcMar>
              <w:top w:w="80" w:type="dxa"/>
              <w:left w:w="80" w:type="dxa"/>
              <w:bottom w:w="80" w:type="dxa"/>
              <w:right w:w="80" w:type="dxa"/>
            </w:tcMar>
          </w:tcPr>
          <w:p w14:paraId="40C4B2DF"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New South Wales</w:t>
            </w:r>
          </w:p>
        </w:tc>
        <w:tc>
          <w:tcPr>
            <w:tcW w:w="13451" w:type="dxa"/>
            <w:shd w:val="clear" w:color="auto" w:fill="FFC9C9"/>
            <w:tcMar>
              <w:top w:w="80" w:type="dxa"/>
              <w:left w:w="80" w:type="dxa"/>
              <w:bottom w:w="80" w:type="dxa"/>
              <w:right w:w="80" w:type="dxa"/>
            </w:tcMar>
          </w:tcPr>
          <w:p w14:paraId="550EEBED" w14:textId="3784C765" w:rsidR="00053239" w:rsidRPr="00053239" w:rsidRDefault="00B64F53" w:rsidP="009F1DE8">
            <w:pPr>
              <w:spacing w:after="60"/>
              <w:contextualSpacing/>
              <w:rPr>
                <w:rFonts w:cs="Arial"/>
                <w:color w:val="000000"/>
                <w:sz w:val="14"/>
                <w:szCs w:val="16"/>
                <w:lang w:val="en-GB"/>
              </w:rPr>
            </w:pPr>
            <w:r w:rsidRPr="00B64F53">
              <w:rPr>
                <w:rFonts w:cs="Arial"/>
                <w:color w:val="000000"/>
                <w:sz w:val="14"/>
                <w:szCs w:val="16"/>
              </w:rPr>
              <w:t xml:space="preserve">A claim may be made against the Nominal Insurer by any person in respect of an injury if the employer is uninsured or unable to be identified by the worker — </w:t>
            </w:r>
            <w:hyperlink r:id="rId505" w:history="1">
              <w:r w:rsidRPr="004B4B7F">
                <w:rPr>
                  <w:rStyle w:val="Hyperlink"/>
                  <w:rFonts w:cs="Arial"/>
                  <w:sz w:val="14"/>
                  <w:szCs w:val="16"/>
                </w:rPr>
                <w:t>s140</w:t>
              </w:r>
            </w:hyperlink>
            <w:r w:rsidRPr="00B64F53">
              <w:rPr>
                <w:rFonts w:cs="Arial"/>
                <w:color w:val="000000"/>
                <w:sz w:val="14"/>
                <w:szCs w:val="16"/>
              </w:rPr>
              <w:t xml:space="preserve">, </w:t>
            </w:r>
            <w:r w:rsidRPr="006F17FC">
              <w:rPr>
                <w:rFonts w:cs="Arial"/>
                <w:i/>
                <w:color w:val="000000"/>
                <w:sz w:val="14"/>
                <w:szCs w:val="16"/>
              </w:rPr>
              <w:t>Workers Compensation</w:t>
            </w:r>
            <w:r w:rsidR="00DD0D68" w:rsidRPr="006F17FC">
              <w:rPr>
                <w:rFonts w:cs="Arial"/>
                <w:i/>
                <w:color w:val="000000"/>
                <w:sz w:val="14"/>
                <w:szCs w:val="16"/>
              </w:rPr>
              <w:t xml:space="preserve"> </w:t>
            </w:r>
            <w:r w:rsidRPr="006F17FC">
              <w:rPr>
                <w:rFonts w:cs="Arial"/>
                <w:i/>
                <w:color w:val="000000"/>
                <w:sz w:val="14"/>
                <w:szCs w:val="16"/>
              </w:rPr>
              <w:t>Act 1987</w:t>
            </w:r>
            <w:r w:rsidRPr="00B64F53">
              <w:rPr>
                <w:rFonts w:cs="Arial"/>
                <w:color w:val="000000"/>
                <w:sz w:val="14"/>
                <w:szCs w:val="16"/>
              </w:rPr>
              <w:t xml:space="preserve">. The employer is required to repay the amount spent on the claim — </w:t>
            </w:r>
            <w:hyperlink r:id="rId506" w:history="1">
              <w:r w:rsidRPr="004B4B7F">
                <w:rPr>
                  <w:rStyle w:val="Hyperlink"/>
                  <w:rFonts w:cs="Arial"/>
                  <w:sz w:val="14"/>
                  <w:szCs w:val="16"/>
                </w:rPr>
                <w:t>s145</w:t>
              </w:r>
            </w:hyperlink>
            <w:r w:rsidRPr="00B64F53">
              <w:rPr>
                <w:rFonts w:cs="Arial"/>
                <w:color w:val="000000"/>
                <w:sz w:val="14"/>
                <w:szCs w:val="16"/>
              </w:rPr>
              <w:t xml:space="preserve">, 1987 Act, plus penalties incurred for not maintaining a workers’ compensation insurance policy </w:t>
            </w:r>
            <w:r w:rsidR="009F1DE8">
              <w:rPr>
                <w:rFonts w:cs="Arial"/>
                <w:color w:val="000000"/>
                <w:sz w:val="14"/>
                <w:szCs w:val="16"/>
              </w:rPr>
              <w:t>—</w:t>
            </w:r>
            <w:r w:rsidR="009F1DE8" w:rsidRPr="00B64F53">
              <w:rPr>
                <w:rFonts w:cs="Arial"/>
                <w:color w:val="000000"/>
                <w:sz w:val="14"/>
                <w:szCs w:val="16"/>
              </w:rPr>
              <w:t xml:space="preserve"> </w:t>
            </w:r>
            <w:hyperlink r:id="rId507" w:history="1">
              <w:r w:rsidRPr="004B4B7F">
                <w:rPr>
                  <w:rStyle w:val="Hyperlink"/>
                  <w:rFonts w:cs="Arial"/>
                  <w:sz w:val="14"/>
                  <w:szCs w:val="16"/>
                </w:rPr>
                <w:t>s155</w:t>
              </w:r>
            </w:hyperlink>
            <w:r w:rsidRPr="00B64F53">
              <w:rPr>
                <w:rFonts w:cs="Arial"/>
                <w:color w:val="000000"/>
                <w:sz w:val="14"/>
                <w:szCs w:val="16"/>
              </w:rPr>
              <w:t>, 1987 Act.</w:t>
            </w:r>
          </w:p>
        </w:tc>
      </w:tr>
      <w:tr w:rsidR="00053239" w:rsidRPr="00053239" w14:paraId="3E2EFB79" w14:textId="77777777" w:rsidTr="00FB729B">
        <w:tc>
          <w:tcPr>
            <w:tcW w:w="1984" w:type="dxa"/>
            <w:tcMar>
              <w:top w:w="80" w:type="dxa"/>
              <w:left w:w="80" w:type="dxa"/>
              <w:bottom w:w="80" w:type="dxa"/>
              <w:right w:w="80" w:type="dxa"/>
            </w:tcMar>
          </w:tcPr>
          <w:p w14:paraId="4ED0E64D"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Victoria</w:t>
            </w:r>
          </w:p>
        </w:tc>
        <w:tc>
          <w:tcPr>
            <w:tcW w:w="13451" w:type="dxa"/>
            <w:tcMar>
              <w:top w:w="80" w:type="dxa"/>
              <w:left w:w="80" w:type="dxa"/>
              <w:bottom w:w="80" w:type="dxa"/>
              <w:right w:w="80" w:type="dxa"/>
            </w:tcMar>
          </w:tcPr>
          <w:p w14:paraId="3F1FFDF3" w14:textId="0EBDB4EA"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Where an employer is required to register for WorkCover Insurance and pay premium but has not done so, WorkSafe Victoria is liable to pay compensation and damages to injured workers in accordance with the Act and to indemnify the employer in respect of their liabilities under the </w:t>
            </w:r>
            <w:r w:rsidR="00F578BD" w:rsidRPr="00016069">
              <w:rPr>
                <w:i/>
                <w:sz w:val="14"/>
              </w:rPr>
              <w:t>Workplace Injury Rehabilitation and Compensation Act 2013</w:t>
            </w:r>
            <w:r w:rsidRPr="00053239">
              <w:rPr>
                <w:rFonts w:cs="Arial"/>
                <w:color w:val="000000"/>
                <w:sz w:val="14"/>
                <w:szCs w:val="16"/>
                <w:lang w:val="en-GB"/>
              </w:rPr>
              <w:t xml:space="preserve"> — </w:t>
            </w:r>
            <w:hyperlink r:id="rId508" w:history="1">
              <w:r w:rsidRPr="004B4B7F">
                <w:rPr>
                  <w:rStyle w:val="Hyperlink"/>
                  <w:rFonts w:cs="Arial"/>
                  <w:sz w:val="14"/>
                  <w:szCs w:val="16"/>
                  <w:lang w:val="en-GB"/>
                </w:rPr>
                <w:t>ss70</w:t>
              </w:r>
            </w:hyperlink>
            <w:r w:rsidRPr="00053239">
              <w:rPr>
                <w:rFonts w:cs="Arial"/>
                <w:color w:val="000000"/>
                <w:sz w:val="14"/>
                <w:szCs w:val="16"/>
                <w:lang w:val="en-GB"/>
              </w:rPr>
              <w:t xml:space="preserve"> and </w:t>
            </w:r>
            <w:hyperlink r:id="rId509" w:history="1">
              <w:r w:rsidRPr="004B4B7F">
                <w:rPr>
                  <w:rStyle w:val="Hyperlink"/>
                  <w:rFonts w:cs="Arial"/>
                  <w:sz w:val="14"/>
                  <w:szCs w:val="16"/>
                  <w:lang w:val="en-GB"/>
                </w:rPr>
                <w:t>71</w:t>
              </w:r>
            </w:hyperlink>
          </w:p>
          <w:p w14:paraId="495E3549" w14:textId="19016FCC"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 xml:space="preserve">WorkSafe Victoria may recover an amount, not exceeding the amount of compensation and damages which has been paid, as well as additional penalties from an employer which is required to register for WorkCover Insurance and pay premium but has not done so — </w:t>
            </w:r>
            <w:hyperlink r:id="rId510" w:history="1">
              <w:r w:rsidRPr="004B4B7F">
                <w:rPr>
                  <w:rStyle w:val="Hyperlink"/>
                  <w:rFonts w:cs="Arial"/>
                  <w:sz w:val="14"/>
                  <w:szCs w:val="16"/>
                  <w:lang w:val="en-GB"/>
                </w:rPr>
                <w:t>ss34</w:t>
              </w:r>
            </w:hyperlink>
            <w:r w:rsidRPr="00053239">
              <w:rPr>
                <w:rFonts w:cs="Arial"/>
                <w:color w:val="000000"/>
                <w:sz w:val="14"/>
                <w:szCs w:val="16"/>
                <w:lang w:val="en-GB"/>
              </w:rPr>
              <w:t xml:space="preserve"> and </w:t>
            </w:r>
            <w:hyperlink r:id="rId511" w:history="1">
              <w:r w:rsidRPr="004B4B7F">
                <w:rPr>
                  <w:rStyle w:val="Hyperlink"/>
                  <w:rFonts w:cs="Arial"/>
                  <w:sz w:val="14"/>
                  <w:szCs w:val="16"/>
                  <w:lang w:val="en-GB"/>
                </w:rPr>
                <w:t>488</w:t>
              </w:r>
            </w:hyperlink>
            <w:r w:rsidR="000D3C6D">
              <w:rPr>
                <w:rFonts w:cs="Arial"/>
                <w:color w:val="000000"/>
                <w:sz w:val="14"/>
                <w:szCs w:val="16"/>
                <w:lang w:val="en-GB"/>
              </w:rPr>
              <w:t>.</w:t>
            </w:r>
          </w:p>
        </w:tc>
      </w:tr>
      <w:tr w:rsidR="00053239" w:rsidRPr="00053239" w14:paraId="3F99E969" w14:textId="77777777" w:rsidTr="00FB729B">
        <w:tc>
          <w:tcPr>
            <w:tcW w:w="1984" w:type="dxa"/>
            <w:shd w:val="clear" w:color="auto" w:fill="FFC9C9"/>
            <w:tcMar>
              <w:top w:w="80" w:type="dxa"/>
              <w:left w:w="80" w:type="dxa"/>
              <w:bottom w:w="80" w:type="dxa"/>
              <w:right w:w="80" w:type="dxa"/>
            </w:tcMar>
          </w:tcPr>
          <w:p w14:paraId="2B723583"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Queensland</w:t>
            </w:r>
          </w:p>
        </w:tc>
        <w:tc>
          <w:tcPr>
            <w:tcW w:w="13451" w:type="dxa"/>
            <w:shd w:val="clear" w:color="auto" w:fill="FFC9C9"/>
            <w:tcMar>
              <w:top w:w="80" w:type="dxa"/>
              <w:left w:w="80" w:type="dxa"/>
              <w:bottom w:w="80" w:type="dxa"/>
              <w:right w:w="80" w:type="dxa"/>
            </w:tcMar>
          </w:tcPr>
          <w:p w14:paraId="577BB349" w14:textId="4F12B17E"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 xml:space="preserve">WorkCover may recover from the employer the amount of the payment made to an injured worker together with a penalty equal to 50% of the payment, as well as the amount of unpaid premium together with a penalty equal to 100% of the unpaid premium — </w:t>
            </w:r>
            <w:hyperlink r:id="rId512" w:anchor="sec.57" w:history="1">
              <w:r w:rsidRPr="003D5796">
                <w:rPr>
                  <w:rStyle w:val="Hyperlink"/>
                  <w:rFonts w:cs="Arial"/>
                  <w:sz w:val="14"/>
                  <w:szCs w:val="16"/>
                  <w:lang w:val="en-GB"/>
                </w:rPr>
                <w:t>s57</w:t>
              </w:r>
            </w:hyperlink>
            <w:r w:rsidR="000D3C6D">
              <w:rPr>
                <w:rFonts w:cs="Arial"/>
                <w:color w:val="000000"/>
                <w:sz w:val="14"/>
                <w:szCs w:val="16"/>
                <w:lang w:val="en-GB"/>
              </w:rPr>
              <w:t>.</w:t>
            </w:r>
          </w:p>
        </w:tc>
      </w:tr>
      <w:tr w:rsidR="00053239" w:rsidRPr="00053239" w14:paraId="2E77188B" w14:textId="77777777" w:rsidTr="00FB729B">
        <w:tc>
          <w:tcPr>
            <w:tcW w:w="1984" w:type="dxa"/>
            <w:tcMar>
              <w:top w:w="80" w:type="dxa"/>
              <w:left w:w="80" w:type="dxa"/>
              <w:bottom w:w="80" w:type="dxa"/>
              <w:right w:w="80" w:type="dxa"/>
            </w:tcMar>
          </w:tcPr>
          <w:p w14:paraId="0E9C3E95"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Western Australia</w:t>
            </w:r>
          </w:p>
        </w:tc>
        <w:tc>
          <w:tcPr>
            <w:tcW w:w="13451" w:type="dxa"/>
            <w:tcMar>
              <w:top w:w="80" w:type="dxa"/>
              <w:left w:w="80" w:type="dxa"/>
              <w:bottom w:w="80" w:type="dxa"/>
              <w:right w:w="80" w:type="dxa"/>
            </w:tcMar>
          </w:tcPr>
          <w:p w14:paraId="1B19A103" w14:textId="7EBEA4AC"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Where an employer is not insured against their liability to pay compensation or damages to an injured worker, WorkCover WA will pay an amount to satisfy the award or any award for costs made from the General Account (uninsured fund) — </w:t>
            </w:r>
            <w:hyperlink r:id="rId513" w:history="1">
              <w:r w:rsidRPr="003D5796">
                <w:rPr>
                  <w:rStyle w:val="Hyperlink"/>
                  <w:rFonts w:cs="Arial"/>
                  <w:sz w:val="14"/>
                  <w:szCs w:val="16"/>
                  <w:lang w:val="en-GB"/>
                </w:rPr>
                <w:t>s174</w:t>
              </w:r>
            </w:hyperlink>
          </w:p>
          <w:p w14:paraId="4142C37C" w14:textId="77777777"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Where an employer is uninsured, that employer will be directly liable for the following costs:</w:t>
            </w:r>
          </w:p>
          <w:p w14:paraId="39524C41" w14:textId="77777777"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statutory benefits</w:t>
            </w:r>
          </w:p>
          <w:p w14:paraId="25443C25" w14:textId="77777777"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 xml:space="preserve">legal costs involved in court action </w:t>
            </w:r>
          </w:p>
          <w:p w14:paraId="45C42BD0" w14:textId="77777777"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 xml:space="preserve">liability for damages </w:t>
            </w:r>
          </w:p>
          <w:p w14:paraId="11D19246" w14:textId="2959511E"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fines of up to $5</w:t>
            </w:r>
            <w:r w:rsidR="009F1DE8">
              <w:rPr>
                <w:rFonts w:eastAsia="Calibri" w:cs="Arial"/>
                <w:sz w:val="14"/>
                <w:szCs w:val="14"/>
                <w:lang w:eastAsia="en-US"/>
              </w:rPr>
              <w:t>,</w:t>
            </w:r>
            <w:r w:rsidRPr="00747A82">
              <w:rPr>
                <w:rFonts w:eastAsia="Calibri" w:cs="Arial"/>
                <w:sz w:val="14"/>
                <w:szCs w:val="14"/>
                <w:lang w:eastAsia="en-US"/>
              </w:rPr>
              <w:t xml:space="preserve">000 per worker </w:t>
            </w:r>
          </w:p>
          <w:p w14:paraId="2FE53463" w14:textId="77777777"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 xml:space="preserve">an amount equal to any avoided premiums going back five years, and </w:t>
            </w:r>
          </w:p>
          <w:p w14:paraId="07179335" w14:textId="6DDC1BB1"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 xml:space="preserve">separate and further offences for every week remaining uninsured after the date of conviction — </w:t>
            </w:r>
            <w:hyperlink r:id="rId514" w:history="1">
              <w:r w:rsidRPr="003D5796">
                <w:rPr>
                  <w:rStyle w:val="Hyperlink"/>
                  <w:rFonts w:eastAsia="Calibri" w:cs="Arial"/>
                  <w:sz w:val="14"/>
                  <w:szCs w:val="14"/>
                  <w:lang w:eastAsia="en-US"/>
                </w:rPr>
                <w:t>ss170</w:t>
              </w:r>
            </w:hyperlink>
            <w:r w:rsidRPr="00747A82">
              <w:rPr>
                <w:rFonts w:eastAsia="Calibri" w:cs="Arial"/>
                <w:sz w:val="14"/>
                <w:szCs w:val="14"/>
                <w:lang w:eastAsia="en-US"/>
              </w:rPr>
              <w:t xml:space="preserve"> and </w:t>
            </w:r>
            <w:hyperlink r:id="rId515" w:history="1">
              <w:r w:rsidRPr="003D5796">
                <w:rPr>
                  <w:rStyle w:val="Hyperlink"/>
                  <w:rFonts w:eastAsia="Calibri" w:cs="Arial"/>
                  <w:sz w:val="14"/>
                  <w:szCs w:val="14"/>
                  <w:lang w:eastAsia="en-US"/>
                </w:rPr>
                <w:t>174AA</w:t>
              </w:r>
            </w:hyperlink>
            <w:r w:rsidR="000D3C6D">
              <w:rPr>
                <w:rFonts w:eastAsia="Calibri" w:cs="Arial"/>
                <w:sz w:val="14"/>
                <w:szCs w:val="14"/>
                <w:lang w:eastAsia="en-US"/>
              </w:rPr>
              <w:t>.</w:t>
            </w:r>
          </w:p>
        </w:tc>
      </w:tr>
      <w:tr w:rsidR="00053239" w:rsidRPr="00053239" w14:paraId="3F8CFB77" w14:textId="77777777" w:rsidTr="00FB729B">
        <w:tc>
          <w:tcPr>
            <w:tcW w:w="1984" w:type="dxa"/>
            <w:shd w:val="clear" w:color="auto" w:fill="FFC9C9"/>
            <w:tcMar>
              <w:top w:w="80" w:type="dxa"/>
              <w:left w:w="80" w:type="dxa"/>
              <w:bottom w:w="80" w:type="dxa"/>
              <w:right w:w="80" w:type="dxa"/>
            </w:tcMar>
          </w:tcPr>
          <w:p w14:paraId="29F5607E"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South Australia</w:t>
            </w:r>
          </w:p>
        </w:tc>
        <w:tc>
          <w:tcPr>
            <w:tcW w:w="13451" w:type="dxa"/>
            <w:shd w:val="clear" w:color="auto" w:fill="FFC9C9"/>
            <w:tcMar>
              <w:top w:w="80" w:type="dxa"/>
              <w:left w:w="80" w:type="dxa"/>
              <w:bottom w:w="80" w:type="dxa"/>
              <w:right w:w="80" w:type="dxa"/>
            </w:tcMar>
          </w:tcPr>
          <w:p w14:paraId="45838D00" w14:textId="77777777"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An injured worker can make a claim regardless of the status of the employer.</w:t>
            </w:r>
          </w:p>
          <w:p w14:paraId="62C520EC" w14:textId="27478B9D"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 xml:space="preserve">The employer is required to register and pay a premium. If an employer fails to make a payment of compensation that it is liable to make under the </w:t>
            </w:r>
            <w:r w:rsidR="00F578BD" w:rsidRPr="00016069">
              <w:rPr>
                <w:i/>
                <w:sz w:val="14"/>
              </w:rPr>
              <w:t>Return to Work Act 2014</w:t>
            </w:r>
            <w:r w:rsidRPr="00053239">
              <w:rPr>
                <w:rFonts w:cs="Arial"/>
                <w:color w:val="000000"/>
                <w:sz w:val="14"/>
                <w:szCs w:val="16"/>
                <w:lang w:val="en-GB"/>
              </w:rPr>
              <w:t xml:space="preserve"> (e.g., first two weeks income maintenance), ReturnToWorkSA shall make that payment and will take all reasonable steps to recover the debt — </w:t>
            </w:r>
            <w:hyperlink r:id="rId516" w:history="1">
              <w:r w:rsidRPr="00053239">
                <w:rPr>
                  <w:rFonts w:cs="Arial"/>
                  <w:color w:val="0000FF"/>
                  <w:sz w:val="14"/>
                  <w:szCs w:val="16"/>
                  <w:u w:val="single"/>
                  <w:lang w:val="en-GB"/>
                </w:rPr>
                <w:t>s64(20)</w:t>
              </w:r>
            </w:hyperlink>
            <w:r w:rsidR="000D3C6D">
              <w:rPr>
                <w:rFonts w:cs="Arial"/>
                <w:color w:val="0000FF"/>
                <w:sz w:val="14"/>
                <w:szCs w:val="16"/>
                <w:u w:val="single"/>
                <w:lang w:val="en-GB"/>
              </w:rPr>
              <w:t>.</w:t>
            </w:r>
          </w:p>
        </w:tc>
      </w:tr>
      <w:tr w:rsidR="00053239" w:rsidRPr="00053239" w14:paraId="106F5909" w14:textId="77777777" w:rsidTr="00FB729B">
        <w:tc>
          <w:tcPr>
            <w:tcW w:w="1984" w:type="dxa"/>
            <w:tcMar>
              <w:top w:w="80" w:type="dxa"/>
              <w:left w:w="80" w:type="dxa"/>
              <w:bottom w:w="80" w:type="dxa"/>
              <w:right w:w="80" w:type="dxa"/>
            </w:tcMar>
          </w:tcPr>
          <w:p w14:paraId="1E97D621"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Tasmania</w:t>
            </w:r>
          </w:p>
        </w:tc>
        <w:tc>
          <w:tcPr>
            <w:tcW w:w="13451" w:type="dxa"/>
            <w:tcMar>
              <w:top w:w="80" w:type="dxa"/>
              <w:left w:w="80" w:type="dxa"/>
              <w:bottom w:w="80" w:type="dxa"/>
              <w:right w:w="80" w:type="dxa"/>
            </w:tcMar>
          </w:tcPr>
          <w:p w14:paraId="41FE77EB" w14:textId="77777777"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The Nominal Insurer is an independent statutory body established to ensure that injured workers are not disadvantaged in circumstances where: </w:t>
            </w:r>
          </w:p>
          <w:p w14:paraId="5A4B5A98" w14:textId="77777777" w:rsidR="00053239" w:rsidRPr="00053239" w:rsidRDefault="00053239" w:rsidP="00B21723">
            <w:pPr>
              <w:numPr>
                <w:ilvl w:val="0"/>
                <w:numId w:val="7"/>
              </w:numPr>
              <w:spacing w:after="60"/>
              <w:contextualSpacing/>
              <w:rPr>
                <w:rFonts w:eastAsia="Calibri" w:cs="Arial"/>
                <w:sz w:val="14"/>
                <w:szCs w:val="14"/>
                <w:lang w:eastAsia="en-US"/>
              </w:rPr>
            </w:pPr>
            <w:r w:rsidRPr="00053239">
              <w:rPr>
                <w:rFonts w:eastAsia="Calibri" w:cs="Arial"/>
                <w:sz w:val="14"/>
                <w:szCs w:val="14"/>
                <w:lang w:eastAsia="en-US"/>
              </w:rPr>
              <w:t>the employer is not insured</w:t>
            </w:r>
          </w:p>
          <w:p w14:paraId="17DF6C76" w14:textId="77777777" w:rsidR="00053239" w:rsidRPr="00053239" w:rsidRDefault="00053239" w:rsidP="00B21723">
            <w:pPr>
              <w:numPr>
                <w:ilvl w:val="0"/>
                <w:numId w:val="7"/>
              </w:numPr>
              <w:spacing w:after="60"/>
              <w:contextualSpacing/>
              <w:rPr>
                <w:rFonts w:eastAsia="Calibri" w:cs="Arial"/>
                <w:sz w:val="14"/>
                <w:szCs w:val="14"/>
                <w:lang w:eastAsia="en-US"/>
              </w:rPr>
            </w:pPr>
            <w:r w:rsidRPr="00053239">
              <w:rPr>
                <w:rFonts w:eastAsia="Calibri" w:cs="Arial"/>
                <w:sz w:val="14"/>
                <w:szCs w:val="14"/>
                <w:lang w:eastAsia="en-US"/>
              </w:rPr>
              <w:t>the employer has left the State and its whereabouts are unknown</w:t>
            </w:r>
          </w:p>
          <w:p w14:paraId="7150AC47" w14:textId="77777777" w:rsidR="00053239" w:rsidRPr="00053239" w:rsidRDefault="00053239" w:rsidP="00B21723">
            <w:pPr>
              <w:numPr>
                <w:ilvl w:val="0"/>
                <w:numId w:val="7"/>
              </w:numPr>
              <w:spacing w:after="60"/>
              <w:contextualSpacing/>
              <w:rPr>
                <w:rFonts w:eastAsia="Calibri" w:cs="Arial"/>
                <w:sz w:val="14"/>
                <w:szCs w:val="14"/>
                <w:lang w:eastAsia="en-US"/>
              </w:rPr>
            </w:pPr>
            <w:r w:rsidRPr="00053239">
              <w:rPr>
                <w:rFonts w:eastAsia="Calibri" w:cs="Arial"/>
                <w:sz w:val="14"/>
                <w:szCs w:val="14"/>
                <w:lang w:eastAsia="en-US"/>
              </w:rPr>
              <w:t>the employer or licensed insurer has become insolvent, or</w:t>
            </w:r>
          </w:p>
          <w:p w14:paraId="3EEE0F96" w14:textId="0E65FBCA" w:rsidR="00053239" w:rsidRPr="00053239" w:rsidRDefault="00053239" w:rsidP="00B21723">
            <w:pPr>
              <w:numPr>
                <w:ilvl w:val="0"/>
                <w:numId w:val="7"/>
              </w:numPr>
              <w:spacing w:after="60"/>
              <w:ind w:left="357" w:hanging="357"/>
              <w:rPr>
                <w:rFonts w:eastAsia="Calibri" w:cs="Arial"/>
                <w:sz w:val="14"/>
                <w:szCs w:val="14"/>
                <w:lang w:eastAsia="en-US"/>
              </w:rPr>
            </w:pPr>
            <w:r w:rsidRPr="00053239">
              <w:rPr>
                <w:rFonts w:eastAsia="Calibri" w:cs="Arial"/>
                <w:sz w:val="14"/>
                <w:szCs w:val="14"/>
                <w:lang w:eastAsia="en-US"/>
              </w:rPr>
              <w:t xml:space="preserve">for any other reasons, there are reasonable grounds for believing that the employer or licensed insurer is, or is likely to be, unable to discharge in full any liability under the </w:t>
            </w:r>
            <w:r w:rsidR="00F578BD" w:rsidRPr="00016069">
              <w:rPr>
                <w:i/>
                <w:sz w:val="14"/>
              </w:rPr>
              <w:t>Workers Rehabilitation and Compensation Act 1988</w:t>
            </w:r>
            <w:r w:rsidRPr="00053239">
              <w:rPr>
                <w:rFonts w:eastAsia="Calibri" w:cs="Arial"/>
                <w:sz w:val="14"/>
                <w:szCs w:val="14"/>
                <w:lang w:eastAsia="en-US"/>
              </w:rPr>
              <w:t xml:space="preserve"> — </w:t>
            </w:r>
            <w:hyperlink r:id="rId517" w:history="1">
              <w:r w:rsidRPr="00053239">
                <w:rPr>
                  <w:rFonts w:eastAsia="Calibri" w:cs="Arial"/>
                  <w:color w:val="0000FF"/>
                  <w:sz w:val="14"/>
                  <w:szCs w:val="14"/>
                  <w:u w:val="single"/>
                  <w:lang w:eastAsia="en-US"/>
                </w:rPr>
                <w:t>ss121</w:t>
              </w:r>
            </w:hyperlink>
            <w:r w:rsidRPr="00053239">
              <w:rPr>
                <w:rFonts w:eastAsia="Calibri" w:cs="Arial"/>
                <w:sz w:val="14"/>
                <w:szCs w:val="14"/>
                <w:lang w:eastAsia="en-US"/>
              </w:rPr>
              <w:t xml:space="preserve"> and </w:t>
            </w:r>
            <w:hyperlink r:id="rId518" w:history="1">
              <w:r w:rsidRPr="00053239">
                <w:rPr>
                  <w:rFonts w:eastAsia="Calibri" w:cs="Arial"/>
                  <w:color w:val="0000FF"/>
                  <w:sz w:val="14"/>
                  <w:szCs w:val="14"/>
                  <w:u w:val="single"/>
                  <w:lang w:eastAsia="en-US"/>
                </w:rPr>
                <w:t>126</w:t>
              </w:r>
            </w:hyperlink>
          </w:p>
          <w:p w14:paraId="4DD8C7A1" w14:textId="3837D3A4"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 xml:space="preserve">The Workers Rehabilitation and Compensation Tribunal can order the Nominal Insurer to meet the employer’s liability for the claim — </w:t>
            </w:r>
            <w:hyperlink r:id="rId519" w:history="1">
              <w:r w:rsidRPr="00053239">
                <w:rPr>
                  <w:rFonts w:cs="Arial"/>
                  <w:color w:val="0000FF"/>
                  <w:sz w:val="14"/>
                  <w:szCs w:val="16"/>
                  <w:u w:val="single"/>
                  <w:lang w:val="en-GB"/>
                </w:rPr>
                <w:t>s127</w:t>
              </w:r>
            </w:hyperlink>
            <w:r w:rsidRPr="00053239">
              <w:rPr>
                <w:rFonts w:cs="Arial"/>
                <w:color w:val="000000"/>
                <w:sz w:val="14"/>
                <w:szCs w:val="16"/>
                <w:lang w:val="en-GB"/>
              </w:rPr>
              <w:t xml:space="preserve">. The Nominal Insurer will then attempt to recover the amount paid in relation to the claim from the employer or insurers involved — </w:t>
            </w:r>
            <w:hyperlink r:id="rId520" w:history="1">
              <w:r w:rsidRPr="00053239">
                <w:rPr>
                  <w:rFonts w:cs="Arial"/>
                  <w:color w:val="0000FF"/>
                  <w:sz w:val="14"/>
                  <w:szCs w:val="16"/>
                  <w:u w:val="single"/>
                  <w:lang w:val="en-GB"/>
                </w:rPr>
                <w:t>s130</w:t>
              </w:r>
            </w:hyperlink>
            <w:r w:rsidRPr="00053239">
              <w:rPr>
                <w:rFonts w:cs="Arial"/>
                <w:color w:val="000000"/>
                <w:sz w:val="14"/>
                <w:szCs w:val="16"/>
                <w:lang w:val="en-GB"/>
              </w:rPr>
              <w:t xml:space="preserve">. An uninsured employer may be prosecuted and, if convicted, may be ordered to pay avoided premiums in addition to any fine the court may impose — </w:t>
            </w:r>
            <w:hyperlink r:id="rId521" w:history="1">
              <w:r w:rsidRPr="00053239">
                <w:rPr>
                  <w:rFonts w:cs="Arial"/>
                  <w:color w:val="0000FF"/>
                  <w:sz w:val="14"/>
                  <w:szCs w:val="16"/>
                  <w:u w:val="single"/>
                  <w:lang w:val="en-GB"/>
                </w:rPr>
                <w:t>s97(10)</w:t>
              </w:r>
            </w:hyperlink>
            <w:r w:rsidR="003D5796" w:rsidRPr="00053239">
              <w:rPr>
                <w:rFonts w:cs="Arial"/>
                <w:color w:val="000000"/>
                <w:sz w:val="14"/>
                <w:szCs w:val="16"/>
                <w:lang w:val="en-GB"/>
              </w:rPr>
              <w:t>.</w:t>
            </w:r>
          </w:p>
        </w:tc>
      </w:tr>
      <w:tr w:rsidR="00053239" w:rsidRPr="00053239" w14:paraId="0E259B92" w14:textId="77777777" w:rsidTr="00FB729B">
        <w:tc>
          <w:tcPr>
            <w:tcW w:w="1984" w:type="dxa"/>
            <w:shd w:val="clear" w:color="auto" w:fill="FFC9C9"/>
            <w:tcMar>
              <w:top w:w="80" w:type="dxa"/>
              <w:left w:w="80" w:type="dxa"/>
              <w:bottom w:w="80" w:type="dxa"/>
              <w:right w:w="80" w:type="dxa"/>
            </w:tcMar>
          </w:tcPr>
          <w:p w14:paraId="1AB7772D"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Northern Territory</w:t>
            </w:r>
          </w:p>
        </w:tc>
        <w:tc>
          <w:tcPr>
            <w:tcW w:w="13451" w:type="dxa"/>
            <w:shd w:val="clear" w:color="auto" w:fill="FFC9C9"/>
            <w:tcMar>
              <w:top w:w="80" w:type="dxa"/>
              <w:left w:w="80" w:type="dxa"/>
              <w:bottom w:w="80" w:type="dxa"/>
              <w:right w:w="80" w:type="dxa"/>
            </w:tcMar>
          </w:tcPr>
          <w:p w14:paraId="0B63C913" w14:textId="1619EEAD" w:rsidR="00053239" w:rsidRPr="00053239" w:rsidRDefault="00053239" w:rsidP="009F1DE8">
            <w:pPr>
              <w:spacing w:after="60"/>
              <w:contextualSpacing/>
              <w:rPr>
                <w:rFonts w:cs="Arial"/>
                <w:color w:val="000000"/>
                <w:sz w:val="14"/>
                <w:szCs w:val="16"/>
                <w:lang w:val="en-GB"/>
              </w:rPr>
            </w:pPr>
            <w:r w:rsidRPr="00053239">
              <w:rPr>
                <w:rFonts w:cs="Arial"/>
                <w:color w:val="000000"/>
                <w:sz w:val="14"/>
                <w:szCs w:val="16"/>
                <w:lang w:val="en-GB"/>
              </w:rPr>
              <w:t>The Nominal Insurer Fund is established by the Min</w:t>
            </w:r>
            <w:r w:rsidR="00A05A5E">
              <w:rPr>
                <w:rFonts w:cs="Arial"/>
                <w:color w:val="000000"/>
                <w:sz w:val="14"/>
                <w:szCs w:val="16"/>
                <w:lang w:val="en-GB"/>
              </w:rPr>
              <w:t>i</w:t>
            </w:r>
            <w:r w:rsidRPr="00053239">
              <w:rPr>
                <w:rFonts w:cs="Arial"/>
                <w:color w:val="000000"/>
                <w:sz w:val="14"/>
                <w:szCs w:val="16"/>
                <w:lang w:val="en-GB"/>
              </w:rPr>
              <w:t xml:space="preserve">ster and administered by the Nominal Insurer — </w:t>
            </w:r>
            <w:hyperlink r:id="rId522" w:history="1">
              <w:r w:rsidRPr="003D5796">
                <w:rPr>
                  <w:rStyle w:val="Hyperlink"/>
                  <w:rFonts w:cs="Arial"/>
                  <w:sz w:val="14"/>
                  <w:szCs w:val="16"/>
                  <w:lang w:val="en-GB"/>
                </w:rPr>
                <w:t>s162</w:t>
              </w:r>
            </w:hyperlink>
            <w:r w:rsidRPr="00053239">
              <w:rPr>
                <w:rFonts w:cs="Arial"/>
                <w:color w:val="000000"/>
                <w:sz w:val="14"/>
                <w:szCs w:val="16"/>
                <w:lang w:val="en-GB"/>
              </w:rPr>
              <w:t xml:space="preserve">. Where an employer is uninsured, the employer must forward the claim to the Nominal Insurer </w:t>
            </w:r>
            <w:r w:rsidR="009F1DE8">
              <w:rPr>
                <w:rFonts w:cs="Arial"/>
                <w:color w:val="000000"/>
                <w:sz w:val="14"/>
                <w:szCs w:val="16"/>
                <w:lang w:val="en-GB"/>
              </w:rPr>
              <w:t>—</w:t>
            </w:r>
            <w:r w:rsidR="009F1DE8" w:rsidRPr="00053239">
              <w:rPr>
                <w:rFonts w:cs="Arial"/>
                <w:color w:val="000000"/>
                <w:sz w:val="14"/>
                <w:szCs w:val="16"/>
                <w:lang w:val="en-GB"/>
              </w:rPr>
              <w:t xml:space="preserve"> </w:t>
            </w:r>
            <w:hyperlink r:id="rId523" w:history="1">
              <w:r w:rsidRPr="003D5796">
                <w:rPr>
                  <w:rStyle w:val="Hyperlink"/>
                  <w:rFonts w:cs="Arial"/>
                  <w:sz w:val="14"/>
                  <w:szCs w:val="16"/>
                  <w:lang w:val="en-GB"/>
                </w:rPr>
                <w:t>s84</w:t>
              </w:r>
            </w:hyperlink>
            <w:r w:rsidRPr="00053239">
              <w:rPr>
                <w:rFonts w:cs="Arial"/>
                <w:color w:val="000000"/>
                <w:sz w:val="14"/>
                <w:szCs w:val="16"/>
                <w:lang w:val="en-GB"/>
              </w:rPr>
              <w:t xml:space="preserve">. The Nominal insurer will manage and pay the claim — </w:t>
            </w:r>
            <w:hyperlink r:id="rId524" w:history="1">
              <w:r w:rsidRPr="003D5796">
                <w:rPr>
                  <w:rStyle w:val="Hyperlink"/>
                  <w:rFonts w:cs="Arial"/>
                  <w:sz w:val="14"/>
                  <w:szCs w:val="16"/>
                  <w:lang w:val="en-GB"/>
                </w:rPr>
                <w:t>s85(10)</w:t>
              </w:r>
            </w:hyperlink>
            <w:r w:rsidRPr="00053239">
              <w:rPr>
                <w:rFonts w:cs="Arial"/>
                <w:color w:val="000000"/>
                <w:sz w:val="14"/>
                <w:szCs w:val="16"/>
                <w:lang w:val="en-GB"/>
              </w:rPr>
              <w:t xml:space="preserve">. The Nominal Insurer is entitled to recover compensation amounts paid, from the employer </w:t>
            </w:r>
            <w:r w:rsidR="009F1DE8">
              <w:rPr>
                <w:rFonts w:cs="Arial"/>
                <w:color w:val="000000"/>
                <w:sz w:val="14"/>
                <w:szCs w:val="16"/>
                <w:lang w:val="en-GB"/>
              </w:rPr>
              <w:t>—</w:t>
            </w:r>
            <w:r w:rsidR="009F1DE8" w:rsidRPr="00053239">
              <w:rPr>
                <w:rFonts w:cs="Arial"/>
                <w:color w:val="000000"/>
                <w:sz w:val="14"/>
                <w:szCs w:val="16"/>
                <w:lang w:val="en-GB"/>
              </w:rPr>
              <w:t xml:space="preserve"> </w:t>
            </w:r>
            <w:hyperlink r:id="rId525" w:history="1">
              <w:r w:rsidRPr="003D5796">
                <w:rPr>
                  <w:rStyle w:val="Hyperlink"/>
                  <w:rFonts w:cs="Arial"/>
                  <w:sz w:val="14"/>
                  <w:szCs w:val="16"/>
                  <w:lang w:val="en-GB"/>
                </w:rPr>
                <w:t>s172(2)</w:t>
              </w:r>
            </w:hyperlink>
            <w:r w:rsidRPr="00053239">
              <w:rPr>
                <w:rFonts w:cs="Arial"/>
                <w:color w:val="000000"/>
                <w:sz w:val="14"/>
                <w:szCs w:val="16"/>
                <w:lang w:val="en-GB"/>
              </w:rPr>
              <w:t xml:space="preserve">. The employer shall also pay an amount equal to the highest premium payment for the period there was no cover, to the Nominal Insurer — </w:t>
            </w:r>
            <w:hyperlink r:id="rId526" w:history="1">
              <w:r w:rsidRPr="003D5796">
                <w:rPr>
                  <w:rStyle w:val="Hyperlink"/>
                  <w:rFonts w:cs="Arial"/>
                  <w:sz w:val="14"/>
                  <w:szCs w:val="16"/>
                  <w:lang w:val="en-GB"/>
                </w:rPr>
                <w:t>s172(3)</w:t>
              </w:r>
            </w:hyperlink>
            <w:r w:rsidR="000D3C6D">
              <w:rPr>
                <w:rFonts w:cs="Arial"/>
                <w:color w:val="000000"/>
                <w:sz w:val="14"/>
                <w:szCs w:val="16"/>
                <w:lang w:val="en-GB"/>
              </w:rPr>
              <w:t>.</w:t>
            </w:r>
          </w:p>
        </w:tc>
      </w:tr>
      <w:tr w:rsidR="00053239" w:rsidRPr="00053239" w14:paraId="4A081FB9" w14:textId="77777777" w:rsidTr="00FB729B">
        <w:tc>
          <w:tcPr>
            <w:tcW w:w="1984" w:type="dxa"/>
            <w:tcMar>
              <w:top w:w="80" w:type="dxa"/>
              <w:left w:w="80" w:type="dxa"/>
              <w:bottom w:w="80" w:type="dxa"/>
              <w:right w:w="80" w:type="dxa"/>
            </w:tcMar>
          </w:tcPr>
          <w:p w14:paraId="53CDF652"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Australian Capital Territory</w:t>
            </w:r>
          </w:p>
        </w:tc>
        <w:tc>
          <w:tcPr>
            <w:tcW w:w="13451" w:type="dxa"/>
            <w:tcMar>
              <w:top w:w="80" w:type="dxa"/>
              <w:left w:w="80" w:type="dxa"/>
              <w:bottom w:w="80" w:type="dxa"/>
              <w:right w:w="80" w:type="dxa"/>
            </w:tcMar>
          </w:tcPr>
          <w:p w14:paraId="1F6F902B" w14:textId="78248F28"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The Default Insurance Fund (DI Fund) provides a safety net to meet the costs of workers’ compensation claims where an employer did not have an insurance policy or an approved insurer is wound up or cannot provide the indemnity required to be provided under a policy — </w:t>
            </w:r>
            <w:hyperlink r:id="rId527" w:history="1">
              <w:r w:rsidRPr="00D52A61">
                <w:rPr>
                  <w:rStyle w:val="Hyperlink"/>
                  <w:rFonts w:cs="Arial"/>
                  <w:sz w:val="14"/>
                  <w:szCs w:val="16"/>
                  <w:lang w:val="en-GB"/>
                </w:rPr>
                <w:t>s166A</w:t>
              </w:r>
            </w:hyperlink>
          </w:p>
          <w:p w14:paraId="15FA7613" w14:textId="4E628432" w:rsidR="00053239" w:rsidRPr="00827D10" w:rsidRDefault="00053239" w:rsidP="00F839DB">
            <w:pPr>
              <w:pStyle w:val="ListParagraph"/>
              <w:numPr>
                <w:ilvl w:val="0"/>
                <w:numId w:val="469"/>
              </w:numPr>
              <w:spacing w:after="60"/>
              <w:contextualSpacing/>
              <w:rPr>
                <w:rFonts w:cs="Arial"/>
                <w:color w:val="000000"/>
                <w:sz w:val="14"/>
                <w:szCs w:val="16"/>
                <w:lang w:val="en-GB"/>
              </w:rPr>
            </w:pPr>
            <w:r w:rsidRPr="00827D10">
              <w:rPr>
                <w:rFonts w:cs="Arial"/>
                <w:color w:val="000000"/>
                <w:sz w:val="14"/>
                <w:szCs w:val="16"/>
                <w:lang w:val="en-GB"/>
              </w:rPr>
              <w:t>If an employer fails to maintain a compulsory insurance policy, the Director-General may recover up to double the avoided premium for a period of up to five years,</w:t>
            </w:r>
            <w:r w:rsidR="00DD0D68">
              <w:rPr>
                <w:rFonts w:cs="Arial"/>
                <w:color w:val="000000"/>
                <w:sz w:val="14"/>
                <w:szCs w:val="16"/>
                <w:lang w:val="en-GB"/>
              </w:rPr>
              <w:t xml:space="preserve"> </w:t>
            </w:r>
            <w:r w:rsidRPr="00827D10">
              <w:rPr>
                <w:rFonts w:cs="Arial"/>
                <w:color w:val="000000"/>
                <w:sz w:val="14"/>
                <w:szCs w:val="16"/>
                <w:lang w:val="en-GB"/>
              </w:rPr>
              <w:t xml:space="preserve">as a debt owing by the employer to the DI fund. However, the employer is not liable under s(1) for a failure to maintain a compulsory insurance policy in relation to a worker if: </w:t>
            </w:r>
          </w:p>
          <w:p w14:paraId="44907013" w14:textId="77777777" w:rsidR="00053239" w:rsidRPr="00827D10" w:rsidRDefault="00053239" w:rsidP="00F839DB">
            <w:pPr>
              <w:pStyle w:val="ListParagraph"/>
              <w:numPr>
                <w:ilvl w:val="0"/>
                <w:numId w:val="469"/>
              </w:numPr>
              <w:spacing w:after="60"/>
              <w:contextualSpacing/>
              <w:rPr>
                <w:rFonts w:cs="Arial"/>
                <w:color w:val="000000"/>
                <w:sz w:val="14"/>
                <w:szCs w:val="16"/>
                <w:lang w:val="en-GB"/>
              </w:rPr>
            </w:pPr>
            <w:r w:rsidRPr="00827D10">
              <w:rPr>
                <w:rFonts w:cs="Arial"/>
                <w:color w:val="000000"/>
                <w:sz w:val="14"/>
                <w:szCs w:val="16"/>
                <w:lang w:val="en-GB"/>
              </w:rPr>
              <w:t xml:space="preserve">the employer believed, on reasonable grounds, that a State was the Territory or State of connection for the employment under the law of a State corresponding to part 4.2A (Employment connection with ACT or State), and </w:t>
            </w:r>
          </w:p>
          <w:p w14:paraId="74285314" w14:textId="6417CB58" w:rsidR="00053239" w:rsidRPr="00827D10" w:rsidRDefault="00053239" w:rsidP="00F839DB">
            <w:pPr>
              <w:pStyle w:val="ListParagraph"/>
              <w:numPr>
                <w:ilvl w:val="0"/>
                <w:numId w:val="469"/>
              </w:numPr>
              <w:spacing w:after="60"/>
              <w:rPr>
                <w:rFonts w:cs="Arial"/>
                <w:color w:val="000000"/>
                <w:sz w:val="14"/>
                <w:szCs w:val="16"/>
                <w:lang w:val="en-GB"/>
              </w:rPr>
            </w:pPr>
            <w:r w:rsidRPr="00827D10">
              <w:rPr>
                <w:rFonts w:cs="Arial"/>
                <w:color w:val="000000"/>
                <w:sz w:val="14"/>
                <w:szCs w:val="16"/>
                <w:lang w:val="en-GB"/>
              </w:rPr>
              <w:t xml:space="preserve">the employer had insurance, or was registered, as required under a law of the State in relation to liability for workers’ compensation under the law of the State — </w:t>
            </w:r>
            <w:hyperlink r:id="rId528" w:history="1">
              <w:r w:rsidRPr="00D52A61">
                <w:rPr>
                  <w:rStyle w:val="Hyperlink"/>
                  <w:rFonts w:cs="Arial"/>
                  <w:sz w:val="14"/>
                  <w:szCs w:val="16"/>
                  <w:lang w:val="en-GB"/>
                </w:rPr>
                <w:t>s149</w:t>
              </w:r>
            </w:hyperlink>
            <w:r w:rsidR="000D3C6D">
              <w:rPr>
                <w:rFonts w:cs="Arial"/>
                <w:color w:val="000000"/>
                <w:sz w:val="14"/>
                <w:szCs w:val="16"/>
                <w:lang w:val="en-GB"/>
              </w:rPr>
              <w:t>.</w:t>
            </w:r>
          </w:p>
        </w:tc>
      </w:tr>
      <w:tr w:rsidR="00053239" w:rsidRPr="00053239" w14:paraId="40BDF396" w14:textId="77777777" w:rsidTr="00FB729B">
        <w:tc>
          <w:tcPr>
            <w:tcW w:w="1984" w:type="dxa"/>
            <w:shd w:val="clear" w:color="auto" w:fill="FFC9C9"/>
            <w:tcMar>
              <w:top w:w="80" w:type="dxa"/>
              <w:left w:w="80" w:type="dxa"/>
              <w:bottom w:w="80" w:type="dxa"/>
              <w:right w:w="80" w:type="dxa"/>
            </w:tcMar>
          </w:tcPr>
          <w:p w14:paraId="34B5E6FB"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C’wealth Comcare</w:t>
            </w:r>
          </w:p>
        </w:tc>
        <w:tc>
          <w:tcPr>
            <w:tcW w:w="13451" w:type="dxa"/>
            <w:shd w:val="clear" w:color="auto" w:fill="FFC9C9"/>
            <w:tcMar>
              <w:top w:w="80" w:type="dxa"/>
              <w:left w:w="80" w:type="dxa"/>
              <w:bottom w:w="80" w:type="dxa"/>
              <w:right w:w="80" w:type="dxa"/>
            </w:tcMar>
          </w:tcPr>
          <w:p w14:paraId="416AFECE" w14:textId="7D4F77B4" w:rsidR="00053239" w:rsidRPr="00053239" w:rsidRDefault="00053239" w:rsidP="0090403B">
            <w:pPr>
              <w:spacing w:after="60"/>
              <w:rPr>
                <w:rFonts w:cs="Arial"/>
                <w:color w:val="000000"/>
                <w:sz w:val="14"/>
                <w:szCs w:val="16"/>
                <w:lang w:val="en-GB"/>
              </w:rPr>
            </w:pPr>
            <w:r w:rsidRPr="00053239">
              <w:rPr>
                <w:rFonts w:cs="Arial"/>
                <w:color w:val="000000"/>
                <w:sz w:val="14"/>
                <w:szCs w:val="16"/>
                <w:lang w:val="en-GB"/>
              </w:rPr>
              <w:t xml:space="preserve">Not necessary within the ‘premium’ (Commonwealth and ACT Public Sector) component of the scheme as all employees are ‘Government’ employees. The Commonwealth could be considered to be the nominal </w:t>
            </w:r>
            <w:r w:rsidRPr="00053239">
              <w:rPr>
                <w:rFonts w:cs="Arial"/>
                <w:color w:val="000000"/>
                <w:sz w:val="14"/>
                <w:szCs w:val="16"/>
                <w:lang w:val="en-GB"/>
              </w:rPr>
              <w:lastRenderedPageBreak/>
              <w:t>insurer through the Department of Finance and Administration for inju</w:t>
            </w:r>
            <w:r w:rsidR="009F2581">
              <w:rPr>
                <w:rFonts w:cs="Arial"/>
                <w:color w:val="000000"/>
                <w:sz w:val="14"/>
                <w:szCs w:val="16"/>
                <w:lang w:val="en-GB"/>
              </w:rPr>
              <w:t>ries incurred before 1 July 1988</w:t>
            </w:r>
            <w:r w:rsidRPr="00053239">
              <w:rPr>
                <w:rFonts w:cs="Arial"/>
                <w:color w:val="000000"/>
                <w:sz w:val="14"/>
                <w:szCs w:val="16"/>
                <w:lang w:val="en-GB"/>
              </w:rPr>
              <w:t>. Liabilities of the Commonwealth (but not self-insured licensees) incurred before this date are not funded through the Comcare premium scheme. In the self-insured (licensee) component of the scheme, prudential arrangements including the requirement for a guarantee held by the SRC Commission ensure licensee liabilities are covered in the event of bankruptcy.</w:t>
            </w:r>
          </w:p>
        </w:tc>
      </w:tr>
      <w:tr w:rsidR="00053239" w:rsidRPr="00053239" w14:paraId="2552FEF9" w14:textId="77777777" w:rsidTr="00FB729B">
        <w:tc>
          <w:tcPr>
            <w:tcW w:w="1984" w:type="dxa"/>
            <w:tcMar>
              <w:top w:w="80" w:type="dxa"/>
              <w:left w:w="80" w:type="dxa"/>
              <w:bottom w:w="80" w:type="dxa"/>
              <w:right w:w="80" w:type="dxa"/>
            </w:tcMar>
          </w:tcPr>
          <w:p w14:paraId="523697A9"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lastRenderedPageBreak/>
              <w:t>C’wealth Seacare</w:t>
            </w:r>
          </w:p>
        </w:tc>
        <w:tc>
          <w:tcPr>
            <w:tcW w:w="13451" w:type="dxa"/>
            <w:tcMar>
              <w:top w:w="80" w:type="dxa"/>
              <w:left w:w="80" w:type="dxa"/>
              <w:bottom w:w="80" w:type="dxa"/>
              <w:right w:w="80" w:type="dxa"/>
            </w:tcMar>
          </w:tcPr>
          <w:p w14:paraId="136503E4" w14:textId="375A1BD2" w:rsidR="00053239" w:rsidRPr="00053239" w:rsidRDefault="00053239" w:rsidP="009F1DE8">
            <w:pPr>
              <w:spacing w:after="60"/>
              <w:rPr>
                <w:rFonts w:cs="Arial"/>
                <w:color w:val="000000"/>
                <w:sz w:val="14"/>
                <w:szCs w:val="16"/>
                <w:lang w:val="en-GB"/>
              </w:rPr>
            </w:pPr>
            <w:r w:rsidRPr="00053239">
              <w:rPr>
                <w:rFonts w:cs="Arial"/>
                <w:color w:val="000000"/>
                <w:sz w:val="14"/>
                <w:szCs w:val="16"/>
                <w:lang w:val="en-GB"/>
              </w:rPr>
              <w:t xml:space="preserve">A policy of insurance or indemnity is compulsory for all employers </w:t>
            </w:r>
            <w:r w:rsidR="009F1DE8">
              <w:rPr>
                <w:rFonts w:cs="Arial"/>
                <w:color w:val="000000"/>
                <w:sz w:val="14"/>
                <w:szCs w:val="16"/>
                <w:lang w:val="en-GB"/>
              </w:rPr>
              <w:t>—</w:t>
            </w:r>
            <w:r w:rsidR="009F1DE8" w:rsidRPr="00053239">
              <w:rPr>
                <w:rFonts w:cs="Arial"/>
                <w:color w:val="000000"/>
                <w:sz w:val="14"/>
                <w:szCs w:val="16"/>
                <w:lang w:val="en-GB"/>
              </w:rPr>
              <w:t xml:space="preserve"> </w:t>
            </w:r>
            <w:hyperlink r:id="rId529" w:history="1">
              <w:r w:rsidRPr="00D52A61">
                <w:rPr>
                  <w:rStyle w:val="Hyperlink"/>
                  <w:rFonts w:cs="Arial"/>
                  <w:sz w:val="14"/>
                  <w:szCs w:val="16"/>
                  <w:lang w:val="en-GB"/>
                </w:rPr>
                <w:t>s93</w:t>
              </w:r>
            </w:hyperlink>
            <w:r w:rsidRPr="00053239">
              <w:rPr>
                <w:rFonts w:cs="Arial"/>
                <w:color w:val="000000"/>
                <w:sz w:val="14"/>
                <w:szCs w:val="16"/>
                <w:lang w:val="en-GB"/>
              </w:rPr>
              <w:t xml:space="preserve">. A statutory fund stands in the place of an employer’s if there is a default event in relation to the employer </w:t>
            </w:r>
            <w:r w:rsidR="009F1DE8">
              <w:rPr>
                <w:rFonts w:cs="Arial"/>
                <w:color w:val="000000"/>
                <w:sz w:val="14"/>
                <w:szCs w:val="16"/>
                <w:lang w:val="en-GB"/>
              </w:rPr>
              <w:t>—</w:t>
            </w:r>
            <w:r w:rsidR="009F1DE8" w:rsidRPr="00053239">
              <w:rPr>
                <w:rFonts w:cs="Arial"/>
                <w:color w:val="000000"/>
                <w:sz w:val="14"/>
                <w:szCs w:val="16"/>
                <w:lang w:val="en-GB"/>
              </w:rPr>
              <w:t xml:space="preserve"> </w:t>
            </w:r>
            <w:hyperlink r:id="rId530" w:history="1">
              <w:r w:rsidRPr="00914D5C">
                <w:rPr>
                  <w:rStyle w:val="Hyperlink"/>
                  <w:rFonts w:cs="Arial"/>
                  <w:sz w:val="14"/>
                  <w:szCs w:val="16"/>
                  <w:lang w:val="en-GB"/>
                </w:rPr>
                <w:t>s4(3)</w:t>
              </w:r>
            </w:hyperlink>
            <w:r w:rsidRPr="00053239">
              <w:rPr>
                <w:rFonts w:cs="Arial"/>
                <w:color w:val="000000"/>
                <w:sz w:val="14"/>
                <w:szCs w:val="16"/>
                <w:lang w:val="en-GB"/>
              </w:rPr>
              <w:t xml:space="preserve"> and </w:t>
            </w:r>
            <w:hyperlink r:id="rId531" w:history="1">
              <w:r w:rsidRPr="00914D5C">
                <w:rPr>
                  <w:rStyle w:val="Hyperlink"/>
                  <w:rFonts w:cs="Arial"/>
                  <w:sz w:val="14"/>
                  <w:szCs w:val="16"/>
                  <w:lang w:val="en-GB"/>
                </w:rPr>
                <w:t>ss96-102</w:t>
              </w:r>
            </w:hyperlink>
            <w:r w:rsidR="000D3C6D">
              <w:rPr>
                <w:rFonts w:cs="Arial"/>
                <w:color w:val="000000"/>
                <w:sz w:val="14"/>
                <w:szCs w:val="16"/>
                <w:lang w:val="en-GB"/>
              </w:rPr>
              <w:t>.</w:t>
            </w:r>
          </w:p>
        </w:tc>
      </w:tr>
      <w:tr w:rsidR="00053239" w:rsidRPr="00053239" w14:paraId="612F606E" w14:textId="77777777" w:rsidTr="00FB729B">
        <w:tc>
          <w:tcPr>
            <w:tcW w:w="1984" w:type="dxa"/>
            <w:shd w:val="clear" w:color="auto" w:fill="FFC9C9"/>
            <w:tcMar>
              <w:top w:w="80" w:type="dxa"/>
              <w:left w:w="80" w:type="dxa"/>
              <w:bottom w:w="80" w:type="dxa"/>
              <w:right w:w="80" w:type="dxa"/>
            </w:tcMar>
          </w:tcPr>
          <w:p w14:paraId="7C0C5252"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C’wealth DVA</w:t>
            </w:r>
          </w:p>
        </w:tc>
        <w:tc>
          <w:tcPr>
            <w:tcW w:w="13451" w:type="dxa"/>
            <w:shd w:val="clear" w:color="auto" w:fill="FFC9C9"/>
            <w:tcMar>
              <w:top w:w="80" w:type="dxa"/>
              <w:left w:w="80" w:type="dxa"/>
              <w:bottom w:w="80" w:type="dxa"/>
              <w:right w:w="80" w:type="dxa"/>
            </w:tcMar>
          </w:tcPr>
          <w:p w14:paraId="7FBF1902" w14:textId="2773CF83"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N/A</w:t>
            </w:r>
            <w:r w:rsidR="000D3C6D">
              <w:rPr>
                <w:rFonts w:cs="Arial"/>
                <w:color w:val="000000"/>
                <w:sz w:val="14"/>
                <w:szCs w:val="16"/>
                <w:lang w:val="en-GB"/>
              </w:rPr>
              <w:t>.</w:t>
            </w:r>
          </w:p>
        </w:tc>
      </w:tr>
      <w:tr w:rsidR="00053239" w:rsidRPr="00053239" w14:paraId="0BEB4092" w14:textId="77777777" w:rsidTr="00FB729B">
        <w:tc>
          <w:tcPr>
            <w:tcW w:w="1984" w:type="dxa"/>
            <w:tcMar>
              <w:top w:w="80" w:type="dxa"/>
              <w:left w:w="80" w:type="dxa"/>
              <w:bottom w:w="80" w:type="dxa"/>
              <w:right w:w="80" w:type="dxa"/>
            </w:tcMar>
          </w:tcPr>
          <w:p w14:paraId="71933BCB"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New Zealand</w:t>
            </w:r>
          </w:p>
        </w:tc>
        <w:tc>
          <w:tcPr>
            <w:tcW w:w="13451" w:type="dxa"/>
            <w:tcMar>
              <w:top w:w="80" w:type="dxa"/>
              <w:left w:w="80" w:type="dxa"/>
              <w:bottom w:w="80" w:type="dxa"/>
              <w:right w:w="80" w:type="dxa"/>
            </w:tcMar>
          </w:tcPr>
          <w:p w14:paraId="3869C0CD" w14:textId="16F17E9B"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An employer must pay, in accordance with the </w:t>
            </w:r>
            <w:r w:rsidR="00BA3A64" w:rsidRPr="00016069">
              <w:rPr>
                <w:i/>
                <w:sz w:val="14"/>
              </w:rPr>
              <w:t>Accident Compensation Act 2001</w:t>
            </w:r>
            <w:r w:rsidRPr="00053239">
              <w:rPr>
                <w:rFonts w:cs="Arial"/>
                <w:color w:val="000000"/>
                <w:sz w:val="14"/>
                <w:szCs w:val="16"/>
                <w:lang w:val="en-GB"/>
              </w:rPr>
              <w:t xml:space="preserve"> and regulations made under the Act, levies to fund the Work Account.</w:t>
            </w:r>
          </w:p>
          <w:p w14:paraId="4C163B3C" w14:textId="77777777"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The Scheme covers all workers regardless of whether their employer has breached the Act by failing to pay levies. </w:t>
            </w:r>
          </w:p>
        </w:tc>
      </w:tr>
      <w:bookmarkEnd w:id="66"/>
    </w:tbl>
    <w:p w14:paraId="630AD8B5" w14:textId="798B6BC8" w:rsidR="00C66972" w:rsidRPr="00C66972" w:rsidRDefault="00C66972" w:rsidP="00C66972">
      <w:pPr>
        <w:spacing w:after="200" w:line="276" w:lineRule="auto"/>
        <w:rPr>
          <w:rFonts w:eastAsiaTheme="minorHAnsi"/>
        </w:rPr>
      </w:pPr>
    </w:p>
    <w:p w14:paraId="3228945C" w14:textId="62D25848" w:rsidR="006A50FD" w:rsidRPr="00A80282" w:rsidRDefault="006A50FD" w:rsidP="00A80282">
      <w:pPr>
        <w:pStyle w:val="SWATableheader"/>
      </w:pPr>
      <w:bookmarkStart w:id="67" w:name="_Toc504654651"/>
      <w:bookmarkStart w:id="68" w:name="leave"/>
      <w:r w:rsidRPr="00A80282">
        <w:lastRenderedPageBreak/>
        <w:t>Table 2.13: Leave while on workers’ compensation</w:t>
      </w:r>
      <w:bookmarkEnd w:id="67"/>
      <w:r w:rsidRPr="00A80282">
        <w:t xml:space="preserve"> </w:t>
      </w:r>
      <w:r w:rsidR="00184441" w:rsidRPr="00A80282">
        <w:fldChar w:fldCharType="begin"/>
      </w:r>
      <w:r w:rsidR="00184441" w:rsidRPr="00A80282">
        <w:instrText xml:space="preserve"> XE "coverage of workers:leave while on workers' compensation" \r "leave" </w:instrText>
      </w:r>
      <w:r w:rsidR="00184441" w:rsidRPr="00A80282">
        <w:fldChar w:fldCharType="end"/>
      </w:r>
      <w:r w:rsidR="00306D40" w:rsidRPr="00A80282">
        <w:fldChar w:fldCharType="begin"/>
      </w:r>
      <w:r w:rsidR="00306D40" w:rsidRPr="00A80282">
        <w:instrText xml:space="preserve"> XE "leave while on workers' compensation" \r "leave" </w:instrText>
      </w:r>
      <w:r w:rsidR="00306D40"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3: Leave while on workers’ compensation  "/>
        <w:tblDescription w:val="This table provides information about leave accural under the workers' compensation schemes. "/>
      </w:tblPr>
      <w:tblGrid>
        <w:gridCol w:w="1984"/>
        <w:gridCol w:w="13451"/>
      </w:tblGrid>
      <w:tr w:rsidR="006A50FD" w:rsidRPr="006A50FD" w14:paraId="244F91A8" w14:textId="77777777" w:rsidTr="003F3DE3">
        <w:trPr>
          <w:tblHeader/>
        </w:trPr>
        <w:tc>
          <w:tcPr>
            <w:tcW w:w="1984" w:type="dxa"/>
            <w:shd w:val="clear" w:color="auto" w:fill="C00000"/>
            <w:tcMar>
              <w:top w:w="0" w:type="dxa"/>
              <w:left w:w="0" w:type="dxa"/>
              <w:bottom w:w="0" w:type="dxa"/>
              <w:right w:w="0" w:type="dxa"/>
            </w:tcMar>
            <w:vAlign w:val="center"/>
          </w:tcPr>
          <w:p w14:paraId="59D069E2" w14:textId="77777777" w:rsidR="006A50FD" w:rsidRPr="006A50FD" w:rsidRDefault="006A50FD" w:rsidP="00B21723">
            <w:pPr>
              <w:spacing w:after="60"/>
              <w:rPr>
                <w:rFonts w:eastAsia="Calibri" w:cs="Arial"/>
                <w:b/>
                <w:color w:val="FFFFFF"/>
                <w:sz w:val="18"/>
                <w:szCs w:val="18"/>
                <w:lang w:eastAsia="en-US"/>
              </w:rPr>
            </w:pPr>
          </w:p>
        </w:tc>
        <w:tc>
          <w:tcPr>
            <w:tcW w:w="13451" w:type="dxa"/>
            <w:shd w:val="clear" w:color="auto" w:fill="C00000"/>
            <w:tcMar>
              <w:top w:w="0" w:type="dxa"/>
              <w:left w:w="0" w:type="dxa"/>
              <w:bottom w:w="0" w:type="dxa"/>
              <w:right w:w="0" w:type="dxa"/>
            </w:tcMar>
            <w:vAlign w:val="center"/>
          </w:tcPr>
          <w:p w14:paraId="2B7AE27D" w14:textId="77777777" w:rsidR="006A50FD" w:rsidRPr="006A50FD" w:rsidRDefault="006A50FD" w:rsidP="00B21723">
            <w:pPr>
              <w:spacing w:after="60"/>
              <w:rPr>
                <w:rFonts w:eastAsia="Calibri" w:cs="Arial"/>
                <w:b/>
                <w:color w:val="FFFFFF"/>
                <w:sz w:val="18"/>
                <w:szCs w:val="18"/>
                <w:lang w:eastAsia="en-US"/>
              </w:rPr>
            </w:pPr>
            <w:r w:rsidRPr="006A50FD">
              <w:rPr>
                <w:rFonts w:eastAsia="Calibri" w:cs="Arial"/>
                <w:b/>
                <w:color w:val="FFFFFF"/>
                <w:sz w:val="18"/>
                <w:szCs w:val="18"/>
                <w:lang w:eastAsia="en-US"/>
              </w:rPr>
              <w:t>Leave accrual while on workers’ compensation</w:t>
            </w:r>
          </w:p>
        </w:tc>
      </w:tr>
      <w:tr w:rsidR="006A50FD" w:rsidRPr="006A50FD" w14:paraId="27A5E7C2" w14:textId="77777777" w:rsidTr="003F3DE3">
        <w:trPr>
          <w:tblHeader/>
        </w:trPr>
        <w:tc>
          <w:tcPr>
            <w:tcW w:w="1984" w:type="dxa"/>
            <w:shd w:val="clear" w:color="auto" w:fill="FFC9C9"/>
            <w:tcMar>
              <w:top w:w="80" w:type="dxa"/>
              <w:left w:w="80" w:type="dxa"/>
              <w:bottom w:w="80" w:type="dxa"/>
              <w:right w:w="80" w:type="dxa"/>
            </w:tcMar>
          </w:tcPr>
          <w:p w14:paraId="1B938F02"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New South Wales</w:t>
            </w:r>
          </w:p>
        </w:tc>
        <w:tc>
          <w:tcPr>
            <w:tcW w:w="13451" w:type="dxa"/>
            <w:shd w:val="clear" w:color="auto" w:fill="FFC9C9"/>
            <w:tcMar>
              <w:top w:w="80" w:type="dxa"/>
              <w:left w:w="80" w:type="dxa"/>
              <w:bottom w:w="80" w:type="dxa"/>
              <w:right w:w="80" w:type="dxa"/>
            </w:tcMar>
          </w:tcPr>
          <w:p w14:paraId="06E20351" w14:textId="36D098BB" w:rsidR="006A50FD" w:rsidRPr="006A50FD" w:rsidRDefault="00B64F53" w:rsidP="00B21723">
            <w:pPr>
              <w:spacing w:after="60" w:line="276" w:lineRule="auto"/>
              <w:rPr>
                <w:rFonts w:cs="Arial"/>
                <w:color w:val="000000"/>
                <w:sz w:val="14"/>
                <w:szCs w:val="16"/>
                <w:lang w:val="en-GB"/>
              </w:rPr>
            </w:pPr>
            <w:r w:rsidRPr="00B64F53">
              <w:rPr>
                <w:rFonts w:cs="Arial"/>
                <w:color w:val="000000"/>
                <w:sz w:val="14"/>
                <w:szCs w:val="16"/>
              </w:rPr>
              <w:t xml:space="preserve">Payment of weekly workers compensation benefits if a worker is on paid leave is permitted - ‘Compensation is payable under this Division to a worker in respect of any period of incapacity for work even though the worker has received or is entitled to receive in respect of the period any payment, allowance or benefit for holidays, annual holidays or long service leave under any Act (Commonwealth or State), award or industrial agreement under any such Act or contract of employment’ — </w:t>
            </w:r>
            <w:hyperlink r:id="rId532" w:history="1">
              <w:r w:rsidRPr="007008D2">
                <w:rPr>
                  <w:rStyle w:val="Hyperlink"/>
                  <w:rFonts w:cs="Arial"/>
                  <w:sz w:val="14"/>
                  <w:szCs w:val="16"/>
                </w:rPr>
                <w:t>s49</w:t>
              </w:r>
            </w:hyperlink>
            <w:r w:rsidRPr="00B64F53">
              <w:rPr>
                <w:rFonts w:cs="Arial"/>
                <w:color w:val="000000"/>
                <w:sz w:val="14"/>
                <w:szCs w:val="16"/>
              </w:rPr>
              <w:t xml:space="preserve">, </w:t>
            </w:r>
            <w:r w:rsidR="000B6A5B" w:rsidRPr="00016069">
              <w:rPr>
                <w:i/>
                <w:sz w:val="14"/>
              </w:rPr>
              <w:t>Workers Compensation Act 1987</w:t>
            </w:r>
            <w:r w:rsidRPr="00B64F53">
              <w:rPr>
                <w:rFonts w:cs="Arial"/>
                <w:color w:val="000000"/>
                <w:sz w:val="14"/>
                <w:szCs w:val="16"/>
              </w:rPr>
              <w:t>.</w:t>
            </w:r>
          </w:p>
        </w:tc>
      </w:tr>
      <w:tr w:rsidR="006A50FD" w:rsidRPr="006A50FD" w14:paraId="193AA87D" w14:textId="77777777" w:rsidTr="003F3DE3">
        <w:trPr>
          <w:tblHeader/>
        </w:trPr>
        <w:tc>
          <w:tcPr>
            <w:tcW w:w="1984" w:type="dxa"/>
            <w:tcMar>
              <w:top w:w="80" w:type="dxa"/>
              <w:left w:w="80" w:type="dxa"/>
              <w:bottom w:w="80" w:type="dxa"/>
              <w:right w:w="80" w:type="dxa"/>
            </w:tcMar>
          </w:tcPr>
          <w:p w14:paraId="22B8D332"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Victoria</w:t>
            </w:r>
          </w:p>
        </w:tc>
        <w:tc>
          <w:tcPr>
            <w:tcW w:w="13451" w:type="dxa"/>
            <w:tcMar>
              <w:top w:w="80" w:type="dxa"/>
              <w:left w:w="80" w:type="dxa"/>
              <w:bottom w:w="80" w:type="dxa"/>
              <w:right w:w="80" w:type="dxa"/>
            </w:tcMar>
          </w:tcPr>
          <w:p w14:paraId="278AF736" w14:textId="2D15DAA6"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Leave provisions are not covered under workers’ compensation legislation. WorkSafe Victoria does not advise employers whether a worker is entitled to the payment or accrual of leave and refers employers and workers to the appropriate employment agreement and/or the </w:t>
            </w:r>
            <w:r w:rsidRPr="006F17FC">
              <w:rPr>
                <w:rFonts w:cs="Arial"/>
                <w:i/>
                <w:color w:val="000000"/>
                <w:sz w:val="14"/>
                <w:szCs w:val="16"/>
                <w:lang w:val="en-GB"/>
              </w:rPr>
              <w:t>Fair Work Act 2009</w:t>
            </w:r>
            <w:r w:rsidRPr="006A50FD">
              <w:rPr>
                <w:rFonts w:cs="Arial"/>
                <w:color w:val="000000"/>
                <w:sz w:val="14"/>
                <w:szCs w:val="16"/>
                <w:lang w:val="en-GB"/>
              </w:rPr>
              <w:t xml:space="preserve"> (Cth). Where weekly payments are paid or payable, regard shall not be had to any sum paid or payable in lieu of accrued annual leave or long service leave — </w:t>
            </w:r>
            <w:hyperlink r:id="rId533" w:history="1">
              <w:r w:rsidRPr="007008D2">
                <w:rPr>
                  <w:rStyle w:val="Hyperlink"/>
                  <w:rFonts w:cs="Arial"/>
                  <w:sz w:val="14"/>
                  <w:szCs w:val="16"/>
                  <w:lang w:val="en-GB"/>
                </w:rPr>
                <w:t>s174(d)</w:t>
              </w:r>
            </w:hyperlink>
            <w:r w:rsidR="00FD0090">
              <w:rPr>
                <w:rFonts w:cs="Arial"/>
                <w:color w:val="000000"/>
                <w:sz w:val="14"/>
                <w:szCs w:val="16"/>
                <w:lang w:val="en-GB"/>
              </w:rPr>
              <w:t xml:space="preserve">, </w:t>
            </w:r>
            <w:r w:rsidR="00FD0090" w:rsidRPr="00016069">
              <w:rPr>
                <w:i/>
                <w:sz w:val="14"/>
              </w:rPr>
              <w:t>Workplace Injury Rehabilitation and Compensation Act 2013</w:t>
            </w:r>
            <w:r w:rsidR="000D3C6D">
              <w:rPr>
                <w:rFonts w:cs="Arial"/>
                <w:color w:val="000000"/>
                <w:sz w:val="14"/>
                <w:szCs w:val="16"/>
                <w:lang w:val="en-GB"/>
              </w:rPr>
              <w:t>.</w:t>
            </w:r>
          </w:p>
        </w:tc>
      </w:tr>
      <w:tr w:rsidR="006A50FD" w:rsidRPr="006A50FD" w14:paraId="1CB06724" w14:textId="77777777" w:rsidTr="003F3DE3">
        <w:trPr>
          <w:tblHeader/>
        </w:trPr>
        <w:tc>
          <w:tcPr>
            <w:tcW w:w="1984" w:type="dxa"/>
            <w:shd w:val="clear" w:color="auto" w:fill="FFC9C9"/>
            <w:tcMar>
              <w:top w:w="80" w:type="dxa"/>
              <w:left w:w="80" w:type="dxa"/>
              <w:bottom w:w="80" w:type="dxa"/>
              <w:right w:w="80" w:type="dxa"/>
            </w:tcMar>
          </w:tcPr>
          <w:p w14:paraId="7A5E7D07"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Queensland</w:t>
            </w:r>
          </w:p>
        </w:tc>
        <w:tc>
          <w:tcPr>
            <w:tcW w:w="13451" w:type="dxa"/>
            <w:shd w:val="clear" w:color="auto" w:fill="FFC9C9"/>
            <w:tcMar>
              <w:top w:w="80" w:type="dxa"/>
              <w:left w:w="80" w:type="dxa"/>
              <w:bottom w:w="80" w:type="dxa"/>
              <w:right w:w="80" w:type="dxa"/>
            </w:tcMar>
          </w:tcPr>
          <w:p w14:paraId="15EF6989" w14:textId="5B20A75D"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A worker is entitled to take or accrue annual leave, sick leave and long service leave under an Industrial Act or industrial instrument while they are entitled to and receiving workers’ compensation payments — </w:t>
            </w:r>
            <w:hyperlink r:id="rId534" w:anchor="sec.119A" w:history="1">
              <w:r w:rsidRPr="007008D2">
                <w:rPr>
                  <w:rStyle w:val="Hyperlink"/>
                  <w:rFonts w:cs="Arial"/>
                  <w:sz w:val="14"/>
                  <w:szCs w:val="16"/>
                  <w:lang w:val="en-GB"/>
                </w:rPr>
                <w:t>s119A</w:t>
              </w:r>
            </w:hyperlink>
            <w:r w:rsidR="00D13366">
              <w:rPr>
                <w:rFonts w:cs="Arial"/>
                <w:color w:val="000000"/>
                <w:sz w:val="14"/>
                <w:szCs w:val="16"/>
                <w:lang w:val="en-GB"/>
              </w:rPr>
              <w:t xml:space="preserve">, </w:t>
            </w:r>
            <w:r w:rsidR="00D13366" w:rsidRPr="00016069">
              <w:rPr>
                <w:i/>
                <w:sz w:val="14"/>
              </w:rPr>
              <w:t>Workers’ Compensation and Rehabilitation Act 2003</w:t>
            </w:r>
            <w:r w:rsidR="000D3C6D">
              <w:rPr>
                <w:rFonts w:cs="Arial"/>
                <w:color w:val="000000"/>
                <w:sz w:val="14"/>
                <w:szCs w:val="16"/>
                <w:lang w:val="en-GB"/>
              </w:rPr>
              <w:t>.</w:t>
            </w:r>
          </w:p>
        </w:tc>
      </w:tr>
      <w:tr w:rsidR="006A50FD" w:rsidRPr="006A50FD" w14:paraId="282A277D" w14:textId="77777777" w:rsidTr="003F3DE3">
        <w:trPr>
          <w:tblHeader/>
        </w:trPr>
        <w:tc>
          <w:tcPr>
            <w:tcW w:w="1984" w:type="dxa"/>
            <w:tcMar>
              <w:top w:w="80" w:type="dxa"/>
              <w:left w:w="80" w:type="dxa"/>
              <w:bottom w:w="80" w:type="dxa"/>
              <w:right w:w="80" w:type="dxa"/>
            </w:tcMar>
          </w:tcPr>
          <w:p w14:paraId="367196A9"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Western Australia</w:t>
            </w:r>
          </w:p>
        </w:tc>
        <w:tc>
          <w:tcPr>
            <w:tcW w:w="13451" w:type="dxa"/>
            <w:tcMar>
              <w:top w:w="80" w:type="dxa"/>
              <w:left w:w="80" w:type="dxa"/>
              <w:bottom w:w="80" w:type="dxa"/>
              <w:right w:w="80" w:type="dxa"/>
            </w:tcMar>
          </w:tcPr>
          <w:p w14:paraId="3EADAF48" w14:textId="0D025486"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Compensation is payable to a worker in respect of any period of incapacity notwithstanding that the worker has received or is entitled to receive in respect of any such period any payment, allowance, or benefit for annual leave, or long service leave — </w:t>
            </w:r>
            <w:hyperlink r:id="rId535" w:history="1">
              <w:r w:rsidRPr="007008D2">
                <w:rPr>
                  <w:rStyle w:val="Hyperlink"/>
                  <w:rFonts w:cs="Arial"/>
                  <w:sz w:val="14"/>
                  <w:szCs w:val="16"/>
                  <w:lang w:val="en-GB"/>
                </w:rPr>
                <w:t>s80(1)</w:t>
              </w:r>
            </w:hyperlink>
            <w:r w:rsidR="00140ED8">
              <w:rPr>
                <w:rFonts w:cs="Arial"/>
                <w:color w:val="000000"/>
                <w:sz w:val="14"/>
                <w:szCs w:val="16"/>
                <w:lang w:val="en-GB"/>
              </w:rPr>
              <w:t xml:space="preserve">, </w:t>
            </w:r>
            <w:r w:rsidR="00140ED8" w:rsidRPr="00016069">
              <w:rPr>
                <w:i/>
                <w:sz w:val="14"/>
              </w:rPr>
              <w:t>Workers’ Compensation and Injury Management Act 1981</w:t>
            </w:r>
            <w:r w:rsidRPr="006A50FD">
              <w:rPr>
                <w:rFonts w:cs="Arial"/>
                <w:color w:val="000000"/>
                <w:sz w:val="14"/>
                <w:szCs w:val="16"/>
                <w:lang w:val="en-GB"/>
              </w:rPr>
              <w:t xml:space="preserve">. Any sick leave payments made in lieu of workers’ compensation payments must be repaid to the employer and the sick leave entitlement reinstated for the relevant period — </w:t>
            </w:r>
            <w:hyperlink r:id="rId536" w:history="1">
              <w:r w:rsidRPr="007008D2">
                <w:rPr>
                  <w:rStyle w:val="Hyperlink"/>
                  <w:rFonts w:cs="Arial"/>
                  <w:sz w:val="14"/>
                  <w:szCs w:val="16"/>
                  <w:lang w:val="en-GB"/>
                </w:rPr>
                <w:t>s80(2)</w:t>
              </w:r>
            </w:hyperlink>
            <w:r w:rsidRPr="006A50FD">
              <w:rPr>
                <w:rFonts w:cs="Arial"/>
                <w:color w:val="000000"/>
                <w:sz w:val="14"/>
                <w:szCs w:val="16"/>
                <w:lang w:val="en-GB"/>
              </w:rPr>
              <w:t>. The Act does not specify whether leave can be accrued whilst receiving weekly payments of compensation.</w:t>
            </w:r>
          </w:p>
        </w:tc>
      </w:tr>
      <w:tr w:rsidR="006A50FD" w:rsidRPr="006A50FD" w14:paraId="376FACC2" w14:textId="77777777" w:rsidTr="003F3DE3">
        <w:trPr>
          <w:tblHeader/>
        </w:trPr>
        <w:tc>
          <w:tcPr>
            <w:tcW w:w="1984" w:type="dxa"/>
            <w:shd w:val="clear" w:color="auto" w:fill="FFC9C9"/>
            <w:tcMar>
              <w:top w:w="80" w:type="dxa"/>
              <w:left w:w="80" w:type="dxa"/>
              <w:bottom w:w="80" w:type="dxa"/>
              <w:right w:w="80" w:type="dxa"/>
            </w:tcMar>
          </w:tcPr>
          <w:p w14:paraId="7439A113"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South Australia</w:t>
            </w:r>
          </w:p>
        </w:tc>
        <w:tc>
          <w:tcPr>
            <w:tcW w:w="13451" w:type="dxa"/>
            <w:shd w:val="clear" w:color="auto" w:fill="FFC9C9"/>
            <w:tcMar>
              <w:top w:w="80" w:type="dxa"/>
              <w:left w:w="80" w:type="dxa"/>
              <w:bottom w:w="80" w:type="dxa"/>
              <w:right w:w="80" w:type="dxa"/>
            </w:tcMar>
          </w:tcPr>
          <w:p w14:paraId="61E55EB8" w14:textId="440789C5"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A worker receiving weekly payments for their compensable injury may continue to accrue annual leave entitlements depending on the terms of the relevant award, industrial agreement etc. If a worker is entitled to accrue annual leave but has received weekly payments for total incapacity for a period of 52 weeks or more (continuous or separate periods) the worker’s entitlement to annual leave is considered to be satisfied in respect of a year of employment that coincides with, or ends during that period. If the worker is not entitled to continue to accrue annual leave, the worker may be entitled, by way of compensation, to the monetary value of the annual leave that would have accrued if the worker had not been absent from employment — </w:t>
            </w:r>
            <w:hyperlink r:id="rId537" w:history="1">
              <w:r w:rsidRPr="006A50FD">
                <w:rPr>
                  <w:rFonts w:cs="Arial"/>
                  <w:color w:val="0000FF"/>
                  <w:sz w:val="14"/>
                  <w:szCs w:val="16"/>
                  <w:u w:val="single"/>
                  <w:lang w:val="en-GB"/>
                </w:rPr>
                <w:t>s50</w:t>
              </w:r>
            </w:hyperlink>
            <w:r w:rsidR="000D3C6D">
              <w:rPr>
                <w:rFonts w:cs="Arial"/>
                <w:color w:val="0000FF"/>
                <w:sz w:val="14"/>
                <w:szCs w:val="16"/>
                <w:u w:val="single"/>
                <w:lang w:val="en-GB"/>
              </w:rPr>
              <w:t>.</w:t>
            </w:r>
          </w:p>
        </w:tc>
      </w:tr>
      <w:tr w:rsidR="006A50FD" w:rsidRPr="006A50FD" w14:paraId="3606C116" w14:textId="77777777" w:rsidTr="003F3DE3">
        <w:trPr>
          <w:tblHeader/>
        </w:trPr>
        <w:tc>
          <w:tcPr>
            <w:tcW w:w="1984" w:type="dxa"/>
            <w:tcMar>
              <w:top w:w="80" w:type="dxa"/>
              <w:left w:w="80" w:type="dxa"/>
              <w:bottom w:w="80" w:type="dxa"/>
              <w:right w:w="80" w:type="dxa"/>
            </w:tcMar>
          </w:tcPr>
          <w:p w14:paraId="5243683D"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Tasmania</w:t>
            </w:r>
          </w:p>
        </w:tc>
        <w:tc>
          <w:tcPr>
            <w:tcW w:w="13451" w:type="dxa"/>
            <w:tcMar>
              <w:top w:w="80" w:type="dxa"/>
              <w:left w:w="80" w:type="dxa"/>
              <w:bottom w:w="80" w:type="dxa"/>
              <w:right w:w="80" w:type="dxa"/>
            </w:tcMar>
          </w:tcPr>
          <w:p w14:paraId="7F02DD39" w14:textId="77777777"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When compensation is payable and the worker would be entitled to be absent from his/her employment on annual recreational leave or long service leave: </w:t>
            </w:r>
          </w:p>
          <w:p w14:paraId="2BEDD795" w14:textId="77777777" w:rsidR="006A50FD" w:rsidRPr="006A50FD" w:rsidRDefault="006A50FD" w:rsidP="00F839DB">
            <w:pPr>
              <w:pStyle w:val="ListParagraph"/>
              <w:numPr>
                <w:ilvl w:val="0"/>
                <w:numId w:val="74"/>
              </w:numPr>
              <w:spacing w:after="60" w:line="276" w:lineRule="auto"/>
              <w:contextualSpacing/>
              <w:rPr>
                <w:rFonts w:eastAsia="Calibri" w:cs="Arial"/>
                <w:sz w:val="14"/>
                <w:szCs w:val="14"/>
                <w:lang w:eastAsia="en-US"/>
              </w:rPr>
            </w:pPr>
            <w:r w:rsidRPr="006A50FD">
              <w:rPr>
                <w:rFonts w:eastAsia="Calibri" w:cs="Arial"/>
                <w:sz w:val="14"/>
                <w:szCs w:val="14"/>
                <w:lang w:eastAsia="en-US"/>
              </w:rPr>
              <w:t>the worker must be given a similar period of leave on pay in lieu of that annual recreational leave or long service leave within 3 months from the date of their return to work or at the termination of their right to compensation if they do not then return to work, or</w:t>
            </w:r>
          </w:p>
          <w:p w14:paraId="5E743CFA" w14:textId="1190CFF1" w:rsidR="006A50FD" w:rsidRPr="006A50FD" w:rsidRDefault="006A50FD" w:rsidP="00F839DB">
            <w:pPr>
              <w:pStyle w:val="ListParagraph"/>
              <w:numPr>
                <w:ilvl w:val="0"/>
                <w:numId w:val="74"/>
              </w:numPr>
              <w:spacing w:after="60"/>
              <w:rPr>
                <w:rFonts w:eastAsia="Calibri" w:cs="Arial"/>
                <w:sz w:val="14"/>
                <w:szCs w:val="14"/>
                <w:lang w:eastAsia="en-US"/>
              </w:rPr>
            </w:pPr>
            <w:r w:rsidRPr="006A50FD">
              <w:rPr>
                <w:rFonts w:eastAsia="Calibri" w:cs="Arial"/>
                <w:sz w:val="14"/>
                <w:szCs w:val="14"/>
                <w:lang w:eastAsia="en-US"/>
              </w:rPr>
              <w:t>if the worker so desires, he/she may by arrangement with the employer, take the leave during the period of incapacity for which compensation is payable. The worker is then not entitled to receive weekly payments during that period of annual recreational leave or long service leave.</w:t>
            </w:r>
            <w:r w:rsidR="00DD0D68">
              <w:rPr>
                <w:rFonts w:eastAsia="Calibri" w:cs="Arial"/>
                <w:sz w:val="14"/>
                <w:szCs w:val="14"/>
                <w:lang w:eastAsia="en-US"/>
              </w:rPr>
              <w:t xml:space="preserve"> </w:t>
            </w:r>
          </w:p>
          <w:p w14:paraId="2C543876" w14:textId="77777777"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An employer must not attempt to cause or require a worker to take annual recreational leave or long service leave during a period of incapacity for which compensation is payable — </w:t>
            </w:r>
            <w:hyperlink r:id="rId538" w:history="1">
              <w:r w:rsidRPr="006A50FD">
                <w:rPr>
                  <w:rFonts w:cs="Arial"/>
                  <w:color w:val="0000FF"/>
                  <w:sz w:val="14"/>
                  <w:szCs w:val="16"/>
                  <w:u w:val="single"/>
                  <w:lang w:val="en-GB"/>
                </w:rPr>
                <w:t>s84</w:t>
              </w:r>
            </w:hyperlink>
            <w:r w:rsidRPr="006A50FD">
              <w:rPr>
                <w:rFonts w:cs="Arial"/>
                <w:color w:val="000000"/>
                <w:sz w:val="14"/>
                <w:szCs w:val="16"/>
                <w:lang w:val="en-GB"/>
              </w:rPr>
              <w:t xml:space="preserve">. A worker is entitled to be recredited with annual recreational leave or long service leave taken whilst his/her entitlement to workers’ compensation is pending — </w:t>
            </w:r>
            <w:hyperlink r:id="rId539" w:history="1">
              <w:r w:rsidRPr="006A50FD">
                <w:rPr>
                  <w:rFonts w:cs="Arial"/>
                  <w:color w:val="0000FF"/>
                  <w:sz w:val="14"/>
                  <w:szCs w:val="16"/>
                  <w:u w:val="single"/>
                  <w:lang w:val="en-GB"/>
                </w:rPr>
                <w:t>s84B</w:t>
              </w:r>
            </w:hyperlink>
            <w:r w:rsidRPr="006A50FD">
              <w:rPr>
                <w:rFonts w:cs="Arial"/>
                <w:color w:val="000000"/>
                <w:sz w:val="14"/>
                <w:szCs w:val="16"/>
                <w:lang w:val="en-GB"/>
              </w:rPr>
              <w:t xml:space="preserve">. Workers are entitled to accrue various leave entitlements whilst in receipt of weekly payments under the </w:t>
            </w:r>
            <w:r w:rsidRPr="006F17FC">
              <w:rPr>
                <w:rFonts w:cs="Arial"/>
                <w:i/>
                <w:color w:val="000000"/>
                <w:sz w:val="14"/>
                <w:szCs w:val="16"/>
                <w:lang w:val="en-GB"/>
              </w:rPr>
              <w:t>Workers Rehabilitation and Compensation Act 1988</w:t>
            </w:r>
            <w:r w:rsidRPr="006A50FD">
              <w:rPr>
                <w:rFonts w:cs="Arial"/>
                <w:color w:val="000000"/>
                <w:sz w:val="14"/>
                <w:szCs w:val="16"/>
                <w:lang w:val="en-GB"/>
              </w:rPr>
              <w:t>.</w:t>
            </w:r>
          </w:p>
        </w:tc>
      </w:tr>
      <w:tr w:rsidR="006A50FD" w:rsidRPr="006A50FD" w14:paraId="053FD192" w14:textId="77777777" w:rsidTr="003F3DE3">
        <w:trPr>
          <w:tblHeader/>
        </w:trPr>
        <w:tc>
          <w:tcPr>
            <w:tcW w:w="1984" w:type="dxa"/>
            <w:shd w:val="clear" w:color="auto" w:fill="FFC9C9"/>
            <w:tcMar>
              <w:top w:w="80" w:type="dxa"/>
              <w:left w:w="80" w:type="dxa"/>
              <w:bottom w:w="80" w:type="dxa"/>
              <w:right w:w="80" w:type="dxa"/>
            </w:tcMar>
          </w:tcPr>
          <w:p w14:paraId="3C2A4800"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Northern Territory</w:t>
            </w:r>
          </w:p>
        </w:tc>
        <w:tc>
          <w:tcPr>
            <w:tcW w:w="13451" w:type="dxa"/>
            <w:shd w:val="clear" w:color="auto" w:fill="FFC9C9"/>
            <w:tcMar>
              <w:top w:w="80" w:type="dxa"/>
              <w:left w:w="80" w:type="dxa"/>
              <w:bottom w:w="80" w:type="dxa"/>
              <w:right w:w="80" w:type="dxa"/>
            </w:tcMar>
          </w:tcPr>
          <w:p w14:paraId="3D190E21" w14:textId="25C13354"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The </w:t>
            </w:r>
            <w:r w:rsidRPr="006A50FD">
              <w:rPr>
                <w:rFonts w:cs="Arial"/>
                <w:i/>
                <w:color w:val="000000"/>
                <w:sz w:val="14"/>
                <w:szCs w:val="16"/>
                <w:lang w:val="en-GB"/>
              </w:rPr>
              <w:t>Return to Work Act</w:t>
            </w:r>
            <w:r w:rsidRPr="006A50FD">
              <w:rPr>
                <w:rFonts w:cs="Arial"/>
                <w:color w:val="000000"/>
                <w:sz w:val="14"/>
                <w:szCs w:val="16"/>
                <w:lang w:val="en-GB"/>
              </w:rPr>
              <w:t xml:space="preserve"> is silent on the taking or accruing of leave and therefore </w:t>
            </w:r>
            <w:hyperlink r:id="rId540" w:history="1">
              <w:r w:rsidRPr="006C5749">
                <w:rPr>
                  <w:rStyle w:val="Hyperlink"/>
                  <w:rFonts w:cs="Arial"/>
                  <w:sz w:val="14"/>
                  <w:szCs w:val="16"/>
                  <w:lang w:val="en-GB"/>
                </w:rPr>
                <w:t>s130</w:t>
              </w:r>
            </w:hyperlink>
            <w:r w:rsidRPr="006A50FD">
              <w:rPr>
                <w:rFonts w:cs="Arial"/>
                <w:color w:val="000000"/>
                <w:sz w:val="14"/>
                <w:szCs w:val="16"/>
                <w:lang w:val="en-GB"/>
              </w:rPr>
              <w:t xml:space="preserve"> of the </w:t>
            </w:r>
            <w:r w:rsidRPr="006A50FD">
              <w:rPr>
                <w:rFonts w:cs="Arial"/>
                <w:i/>
                <w:color w:val="000000"/>
                <w:sz w:val="14"/>
                <w:szCs w:val="16"/>
                <w:lang w:val="en-GB"/>
              </w:rPr>
              <w:t>Fair Work Act 2009</w:t>
            </w:r>
            <w:r w:rsidRPr="006A50FD">
              <w:rPr>
                <w:rFonts w:cs="Arial"/>
                <w:color w:val="000000"/>
                <w:sz w:val="14"/>
                <w:szCs w:val="16"/>
                <w:lang w:val="en-GB"/>
              </w:rPr>
              <w:t xml:space="preserve"> (Cth) applies. Under this section an employee is not entitled to take or accrue any leave or absence (whether paid or unpaid) under this Part during a period (a compensation period) when the employee is absent from work because of a personal illness, or a personal injury, for which the employee is receiving compensation payable under a law (a compensation law) of the Commonwealth, a State or a Territory that is about workers’ compensation. Section 130 of the </w:t>
            </w:r>
            <w:r w:rsidRPr="006F17FC">
              <w:rPr>
                <w:rFonts w:cs="Arial"/>
                <w:i/>
                <w:color w:val="000000"/>
                <w:sz w:val="14"/>
                <w:szCs w:val="16"/>
                <w:lang w:val="en-GB"/>
              </w:rPr>
              <w:t>Fair Work Act</w:t>
            </w:r>
            <w:r w:rsidR="006F17FC" w:rsidRPr="006F17FC">
              <w:rPr>
                <w:rFonts w:cs="Arial"/>
                <w:i/>
                <w:color w:val="000000"/>
                <w:sz w:val="14"/>
                <w:szCs w:val="16"/>
                <w:lang w:val="en-GB"/>
              </w:rPr>
              <w:t xml:space="preserve"> 2009</w:t>
            </w:r>
            <w:r w:rsidRPr="006A50FD">
              <w:rPr>
                <w:rFonts w:cs="Arial"/>
                <w:color w:val="000000"/>
                <w:sz w:val="14"/>
                <w:szCs w:val="16"/>
                <w:lang w:val="en-GB"/>
              </w:rPr>
              <w:t xml:space="preserve"> </w:t>
            </w:r>
            <w:r w:rsidR="00EA4D53">
              <w:rPr>
                <w:rFonts w:cs="Arial"/>
                <w:color w:val="000000"/>
                <w:sz w:val="14"/>
                <w:szCs w:val="16"/>
                <w:lang w:val="en-GB"/>
              </w:rPr>
              <w:t xml:space="preserve">(Cth) </w:t>
            </w:r>
            <w:r w:rsidRPr="006A50FD">
              <w:rPr>
                <w:rFonts w:cs="Arial"/>
                <w:color w:val="000000"/>
                <w:sz w:val="14"/>
                <w:szCs w:val="16"/>
                <w:lang w:val="en-GB"/>
              </w:rPr>
              <w:t>does not prevent an employee from taking unpaid parental leave during a compensation period.</w:t>
            </w:r>
          </w:p>
        </w:tc>
      </w:tr>
      <w:tr w:rsidR="006A50FD" w:rsidRPr="006A50FD" w14:paraId="038169B5" w14:textId="77777777" w:rsidTr="003F3DE3">
        <w:trPr>
          <w:tblHeader/>
        </w:trPr>
        <w:tc>
          <w:tcPr>
            <w:tcW w:w="1984" w:type="dxa"/>
            <w:tcMar>
              <w:top w:w="80" w:type="dxa"/>
              <w:left w:w="80" w:type="dxa"/>
              <w:bottom w:w="80" w:type="dxa"/>
              <w:right w:w="80" w:type="dxa"/>
            </w:tcMar>
          </w:tcPr>
          <w:p w14:paraId="7C578FBF"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Australian Capital Territory</w:t>
            </w:r>
          </w:p>
        </w:tc>
        <w:tc>
          <w:tcPr>
            <w:tcW w:w="13451" w:type="dxa"/>
            <w:tcMar>
              <w:top w:w="80" w:type="dxa"/>
              <w:left w:w="80" w:type="dxa"/>
              <w:bottom w:w="80" w:type="dxa"/>
              <w:right w:w="80" w:type="dxa"/>
            </w:tcMar>
          </w:tcPr>
          <w:p w14:paraId="46329E0E" w14:textId="00F0AD54" w:rsidR="006A50FD" w:rsidRPr="006A50FD" w:rsidRDefault="006A50FD" w:rsidP="00B21723">
            <w:pPr>
              <w:spacing w:after="60" w:line="276" w:lineRule="auto"/>
              <w:rPr>
                <w:rFonts w:cs="Arial"/>
                <w:color w:val="000000"/>
                <w:sz w:val="14"/>
                <w:szCs w:val="16"/>
                <w:lang w:val="en-GB"/>
              </w:rPr>
            </w:pPr>
            <w:bookmarkStart w:id="69" w:name="OLE_LINK1"/>
            <w:r w:rsidRPr="006A50FD">
              <w:rPr>
                <w:rFonts w:cs="Arial"/>
                <w:i/>
                <w:color w:val="000000"/>
                <w:sz w:val="14"/>
                <w:szCs w:val="16"/>
                <w:lang w:val="en-GB"/>
              </w:rPr>
              <w:t>Workers Compensation Act</w:t>
            </w:r>
            <w:r w:rsidR="00D9075D">
              <w:rPr>
                <w:rFonts w:cs="Arial"/>
                <w:i/>
                <w:color w:val="000000"/>
                <w:sz w:val="14"/>
                <w:szCs w:val="16"/>
                <w:lang w:val="en-GB"/>
              </w:rPr>
              <w:t xml:space="preserve"> 1951</w:t>
            </w:r>
            <w:r w:rsidRPr="006A50FD">
              <w:rPr>
                <w:rFonts w:cs="Arial"/>
                <w:color w:val="000000"/>
                <w:sz w:val="14"/>
                <w:szCs w:val="16"/>
                <w:lang w:val="en-GB"/>
              </w:rPr>
              <w:t xml:space="preserve"> (</w:t>
            </w:r>
            <w:hyperlink r:id="rId541" w:history="1">
              <w:r w:rsidRPr="006C5749">
                <w:rPr>
                  <w:rStyle w:val="Hyperlink"/>
                  <w:rFonts w:cs="Arial"/>
                  <w:sz w:val="14"/>
                  <w:szCs w:val="16"/>
                  <w:lang w:val="en-GB"/>
                </w:rPr>
                <w:t>s46</w:t>
              </w:r>
            </w:hyperlink>
            <w:r w:rsidRPr="006A50FD">
              <w:rPr>
                <w:rFonts w:cs="Arial"/>
                <w:color w:val="000000"/>
                <w:sz w:val="14"/>
                <w:szCs w:val="16"/>
                <w:lang w:val="en-GB"/>
              </w:rPr>
              <w:t xml:space="preserve">) does not affect an entitlement to annual or long service leave accrual that arises apart from the Act. </w:t>
            </w:r>
          </w:p>
          <w:p w14:paraId="1EE648BE" w14:textId="0DF93FEE"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An employee’s entitlement to accrue long service leave/annual leave would be covered under their award or agreement or in some cases under the </w:t>
            </w:r>
            <w:r w:rsidRPr="006F17FC">
              <w:rPr>
                <w:rFonts w:cs="Arial"/>
                <w:i/>
                <w:color w:val="000000"/>
                <w:sz w:val="14"/>
                <w:szCs w:val="16"/>
                <w:lang w:val="en-GB"/>
              </w:rPr>
              <w:t>Fair Work Act 2009</w:t>
            </w:r>
            <w:r w:rsidR="00EF6EB9">
              <w:rPr>
                <w:rFonts w:cs="Arial"/>
                <w:color w:val="000000"/>
                <w:sz w:val="14"/>
                <w:szCs w:val="16"/>
                <w:lang w:val="en-GB"/>
              </w:rPr>
              <w:t xml:space="preserve"> (Cth)</w:t>
            </w:r>
            <w:r w:rsidRPr="006A50FD">
              <w:rPr>
                <w:rFonts w:cs="Arial"/>
                <w:color w:val="000000"/>
                <w:sz w:val="14"/>
                <w:szCs w:val="16"/>
                <w:lang w:val="en-GB"/>
              </w:rPr>
              <w:t xml:space="preserve">, specifically under the National Employment Standards. These are administered by the Fair Work Ombudsman and therefore enquiries of this nature would be usually directed to them. In the case of a construction worker or cleaner, they may be directed to the ACT Long Service Leave Authority. If an employee was covered by the </w:t>
            </w:r>
            <w:r w:rsidRPr="006F17FC">
              <w:rPr>
                <w:rFonts w:cs="Arial"/>
                <w:i/>
                <w:color w:val="000000"/>
                <w:sz w:val="14"/>
                <w:szCs w:val="16"/>
                <w:lang w:val="en-GB"/>
              </w:rPr>
              <w:t>Long Service Leave Act 1976</w:t>
            </w:r>
            <w:r w:rsidRPr="006A50FD">
              <w:rPr>
                <w:rFonts w:cs="Arial"/>
                <w:color w:val="000000"/>
                <w:sz w:val="14"/>
                <w:szCs w:val="16"/>
                <w:lang w:val="en-GB"/>
              </w:rPr>
              <w:t>, the Act stipulates that while off work on workers’ compensation people do not accrue long service leave, however the employee’s continuity would not be broken.</w:t>
            </w:r>
            <w:bookmarkEnd w:id="69"/>
          </w:p>
        </w:tc>
      </w:tr>
      <w:tr w:rsidR="006A50FD" w:rsidRPr="006A50FD" w14:paraId="0E312608" w14:textId="77777777" w:rsidTr="003F3DE3">
        <w:trPr>
          <w:tblHeader/>
        </w:trPr>
        <w:tc>
          <w:tcPr>
            <w:tcW w:w="1984" w:type="dxa"/>
            <w:shd w:val="clear" w:color="auto" w:fill="FFC9C9"/>
            <w:tcMar>
              <w:top w:w="80" w:type="dxa"/>
              <w:left w:w="80" w:type="dxa"/>
              <w:bottom w:w="80" w:type="dxa"/>
              <w:right w:w="80" w:type="dxa"/>
            </w:tcMar>
          </w:tcPr>
          <w:p w14:paraId="16C0FF93"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lastRenderedPageBreak/>
              <w:t>C’wealth Comcare</w:t>
            </w:r>
          </w:p>
        </w:tc>
        <w:tc>
          <w:tcPr>
            <w:tcW w:w="13451" w:type="dxa"/>
            <w:shd w:val="clear" w:color="auto" w:fill="FFC9C9"/>
            <w:tcMar>
              <w:top w:w="80" w:type="dxa"/>
              <w:left w:w="80" w:type="dxa"/>
              <w:bottom w:w="80" w:type="dxa"/>
              <w:right w:w="80" w:type="dxa"/>
            </w:tcMar>
          </w:tcPr>
          <w:p w14:paraId="0519746F" w14:textId="65AAE188" w:rsidR="006A50FD" w:rsidRPr="006A50FD" w:rsidRDefault="00974E9B" w:rsidP="00B21723">
            <w:pPr>
              <w:spacing w:after="60" w:line="276" w:lineRule="auto"/>
              <w:rPr>
                <w:rFonts w:cs="Arial"/>
                <w:color w:val="000000"/>
                <w:sz w:val="14"/>
                <w:szCs w:val="16"/>
                <w:lang w:val="en-GB"/>
              </w:rPr>
            </w:pPr>
            <w:r>
              <w:rPr>
                <w:rFonts w:cs="Arial"/>
                <w:color w:val="000000"/>
                <w:sz w:val="14"/>
                <w:szCs w:val="16"/>
                <w:lang w:val="en-GB"/>
              </w:rPr>
              <w:t>If an</w:t>
            </w:r>
            <w:r w:rsidR="006A50FD" w:rsidRPr="006A50FD">
              <w:rPr>
                <w:rFonts w:cs="Arial"/>
                <w:color w:val="000000"/>
                <w:sz w:val="14"/>
                <w:szCs w:val="16"/>
                <w:lang w:val="en-GB"/>
              </w:rPr>
              <w:t xml:space="preserve"> injured employee cannot take leave </w:t>
            </w:r>
            <w:r>
              <w:rPr>
                <w:rFonts w:cs="Arial"/>
                <w:color w:val="000000"/>
                <w:sz w:val="14"/>
                <w:szCs w:val="16"/>
                <w:lang w:val="en-GB"/>
              </w:rPr>
              <w:t>(</w:t>
            </w:r>
            <w:r w:rsidR="006A50FD" w:rsidRPr="006A50FD">
              <w:rPr>
                <w:rFonts w:cs="Arial"/>
                <w:color w:val="000000"/>
                <w:sz w:val="14"/>
                <w:szCs w:val="16"/>
                <w:lang w:val="en-GB"/>
              </w:rPr>
              <w:t>other than maternity leave</w:t>
            </w:r>
            <w:r>
              <w:rPr>
                <w:rFonts w:cs="Arial"/>
                <w:color w:val="000000"/>
                <w:sz w:val="14"/>
                <w:szCs w:val="16"/>
                <w:lang w:val="en-GB"/>
              </w:rPr>
              <w:t>) during a period of post-determination</w:t>
            </w:r>
            <w:r w:rsidR="006A50FD" w:rsidRPr="006A50FD">
              <w:rPr>
                <w:rFonts w:cs="Arial"/>
                <w:color w:val="000000"/>
                <w:sz w:val="14"/>
                <w:szCs w:val="16"/>
                <w:lang w:val="en-GB"/>
              </w:rPr>
              <w:t xml:space="preserve"> compensation leave — </w:t>
            </w:r>
            <w:hyperlink r:id="rId542" w:history="1">
              <w:r w:rsidR="006A50FD" w:rsidRPr="006C5749">
                <w:rPr>
                  <w:rStyle w:val="Hyperlink"/>
                  <w:rFonts w:cs="Arial"/>
                  <w:sz w:val="14"/>
                  <w:szCs w:val="16"/>
                  <w:lang w:val="en-GB"/>
                </w:rPr>
                <w:t>s116</w:t>
              </w:r>
            </w:hyperlink>
            <w:r>
              <w:rPr>
                <w:rFonts w:cs="Arial"/>
                <w:color w:val="000000"/>
                <w:sz w:val="14"/>
                <w:szCs w:val="16"/>
                <w:lang w:val="en-GB"/>
              </w:rPr>
              <w:t>:</w:t>
            </w:r>
          </w:p>
          <w:p w14:paraId="3C948B7C" w14:textId="20762E9A" w:rsidR="006A50FD" w:rsidRPr="006A50FD" w:rsidRDefault="00974E9B" w:rsidP="00DF35F2">
            <w:pPr>
              <w:numPr>
                <w:ilvl w:val="0"/>
                <w:numId w:val="57"/>
              </w:numPr>
              <w:spacing w:after="60" w:line="276" w:lineRule="auto"/>
              <w:ind w:left="357" w:hanging="357"/>
              <w:contextualSpacing/>
              <w:rPr>
                <w:rFonts w:cs="Arial"/>
                <w:color w:val="000000"/>
                <w:sz w:val="14"/>
                <w:szCs w:val="16"/>
                <w:lang w:val="en-GB"/>
              </w:rPr>
            </w:pPr>
            <w:r>
              <w:rPr>
                <w:rFonts w:cs="Arial"/>
                <w:color w:val="000000"/>
                <w:sz w:val="14"/>
                <w:szCs w:val="16"/>
                <w:lang w:val="en-GB"/>
              </w:rPr>
              <w:t>Recreation</w:t>
            </w:r>
            <w:r w:rsidR="006A50FD" w:rsidRPr="006A50FD">
              <w:rPr>
                <w:rFonts w:cs="Arial"/>
                <w:color w:val="000000"/>
                <w:sz w:val="14"/>
                <w:szCs w:val="16"/>
                <w:lang w:val="en-GB"/>
              </w:rPr>
              <w:t xml:space="preserve"> leave and sick leave accrue </w:t>
            </w:r>
            <w:r>
              <w:rPr>
                <w:rFonts w:cs="Arial"/>
                <w:color w:val="000000"/>
                <w:sz w:val="14"/>
                <w:szCs w:val="16"/>
                <w:lang w:val="en-GB"/>
              </w:rPr>
              <w:t xml:space="preserve">for </w:t>
            </w:r>
            <w:r w:rsidR="006A50FD" w:rsidRPr="006A50FD">
              <w:rPr>
                <w:rFonts w:cs="Arial"/>
                <w:color w:val="000000"/>
                <w:sz w:val="14"/>
                <w:szCs w:val="16"/>
                <w:lang w:val="en-GB"/>
              </w:rPr>
              <w:t xml:space="preserve">the first 45 weeks of </w:t>
            </w:r>
            <w:r>
              <w:rPr>
                <w:rFonts w:cs="Arial"/>
                <w:color w:val="000000"/>
                <w:sz w:val="14"/>
                <w:szCs w:val="16"/>
                <w:lang w:val="en-GB"/>
              </w:rPr>
              <w:t>post-determination leave</w:t>
            </w:r>
            <w:r w:rsidR="006A50FD" w:rsidRPr="006A50FD">
              <w:rPr>
                <w:rFonts w:cs="Arial"/>
                <w:color w:val="000000"/>
                <w:sz w:val="14"/>
                <w:szCs w:val="16"/>
                <w:lang w:val="en-GB"/>
              </w:rPr>
              <w:t xml:space="preserve">. </w:t>
            </w:r>
          </w:p>
          <w:p w14:paraId="126916E7" w14:textId="1C811E5A" w:rsidR="00974E9B" w:rsidRDefault="006A50FD" w:rsidP="00974E9B">
            <w:pPr>
              <w:numPr>
                <w:ilvl w:val="0"/>
                <w:numId w:val="57"/>
              </w:numPr>
              <w:spacing w:after="60" w:line="276" w:lineRule="auto"/>
              <w:ind w:left="357" w:hanging="357"/>
              <w:contextualSpacing/>
              <w:rPr>
                <w:rFonts w:eastAsia="Calibri" w:cs="Arial"/>
                <w:sz w:val="14"/>
                <w:szCs w:val="14"/>
                <w:lang w:eastAsia="en-US"/>
              </w:rPr>
            </w:pPr>
            <w:r w:rsidRPr="006A50FD">
              <w:rPr>
                <w:rFonts w:eastAsia="Calibri" w:cs="Arial"/>
                <w:sz w:val="14"/>
                <w:szCs w:val="14"/>
                <w:lang w:eastAsia="en-US"/>
              </w:rPr>
              <w:t>Long service leave accrue</w:t>
            </w:r>
            <w:r w:rsidR="00974E9B">
              <w:rPr>
                <w:rFonts w:eastAsia="Calibri" w:cs="Arial"/>
                <w:sz w:val="14"/>
                <w:szCs w:val="14"/>
                <w:lang w:eastAsia="en-US"/>
              </w:rPr>
              <w:t>s</w:t>
            </w:r>
            <w:r w:rsidRPr="006A50FD">
              <w:rPr>
                <w:rFonts w:eastAsia="Calibri" w:cs="Arial"/>
                <w:sz w:val="14"/>
                <w:szCs w:val="14"/>
                <w:lang w:eastAsia="en-US"/>
              </w:rPr>
              <w:t xml:space="preserve"> throughout</w:t>
            </w:r>
            <w:r w:rsidR="00974E9B">
              <w:rPr>
                <w:rFonts w:eastAsia="Calibri" w:cs="Arial"/>
                <w:sz w:val="14"/>
                <w:szCs w:val="14"/>
                <w:lang w:eastAsia="en-US"/>
              </w:rPr>
              <w:t xml:space="preserve"> the post-determination compensation leave period (as if the employee was at work)</w:t>
            </w:r>
            <w:r w:rsidR="000D3C6D">
              <w:rPr>
                <w:rFonts w:eastAsia="Calibri" w:cs="Arial"/>
                <w:sz w:val="14"/>
                <w:szCs w:val="14"/>
                <w:lang w:eastAsia="en-US"/>
              </w:rPr>
              <w:t>.</w:t>
            </w:r>
          </w:p>
          <w:p w14:paraId="29B7E0A0" w14:textId="3984FAEE" w:rsidR="00974E9B" w:rsidRPr="00974E9B" w:rsidRDefault="00974E9B" w:rsidP="009B7D2D">
            <w:pPr>
              <w:spacing w:after="60" w:line="276" w:lineRule="auto"/>
              <w:contextualSpacing/>
              <w:rPr>
                <w:rFonts w:eastAsia="Calibri" w:cs="Arial"/>
                <w:sz w:val="14"/>
                <w:szCs w:val="14"/>
                <w:lang w:eastAsia="en-US"/>
              </w:rPr>
            </w:pPr>
            <w:r>
              <w:rPr>
                <w:rFonts w:eastAsia="Calibri" w:cs="Arial"/>
                <w:sz w:val="14"/>
                <w:szCs w:val="14"/>
                <w:lang w:eastAsia="en-US"/>
              </w:rPr>
              <w:t xml:space="preserve">Post-determination compensation leave starts </w:t>
            </w:r>
            <w:r w:rsidR="009B7D2D">
              <w:rPr>
                <w:rFonts w:eastAsia="Calibri" w:cs="Arial"/>
                <w:sz w:val="14"/>
                <w:szCs w:val="14"/>
                <w:lang w:eastAsia="en-US"/>
              </w:rPr>
              <w:t xml:space="preserve">the day </w:t>
            </w:r>
            <w:r>
              <w:rPr>
                <w:rFonts w:eastAsia="Calibri" w:cs="Arial"/>
                <w:sz w:val="14"/>
                <w:szCs w:val="14"/>
                <w:lang w:eastAsia="en-US"/>
              </w:rPr>
              <w:t xml:space="preserve">after a claim for compensation is successful under </w:t>
            </w:r>
            <w:hyperlink r:id="rId543" w:history="1">
              <w:r w:rsidRPr="006C5749">
                <w:rPr>
                  <w:rStyle w:val="Hyperlink"/>
                  <w:rFonts w:eastAsia="Calibri" w:cs="Arial"/>
                  <w:sz w:val="14"/>
                  <w:szCs w:val="14"/>
                  <w:lang w:eastAsia="en-US"/>
                </w:rPr>
                <w:t>s19</w:t>
              </w:r>
            </w:hyperlink>
            <w:r>
              <w:rPr>
                <w:rFonts w:eastAsia="Calibri" w:cs="Arial"/>
                <w:sz w:val="14"/>
                <w:szCs w:val="14"/>
                <w:lang w:eastAsia="en-US"/>
              </w:rPr>
              <w:t xml:space="preserve"> or </w:t>
            </w:r>
            <w:hyperlink r:id="rId544" w:history="1">
              <w:r w:rsidRPr="006C5749">
                <w:rPr>
                  <w:rStyle w:val="Hyperlink"/>
                  <w:rFonts w:eastAsia="Calibri" w:cs="Arial"/>
                  <w:sz w:val="14"/>
                  <w:szCs w:val="14"/>
                  <w:lang w:eastAsia="en-US"/>
                </w:rPr>
                <w:t>s22</w:t>
              </w:r>
            </w:hyperlink>
            <w:r>
              <w:rPr>
                <w:rFonts w:eastAsia="Calibri" w:cs="Arial"/>
                <w:sz w:val="14"/>
                <w:szCs w:val="14"/>
                <w:lang w:eastAsia="en-US"/>
              </w:rPr>
              <w:t xml:space="preserve"> of the </w:t>
            </w:r>
            <w:r w:rsidR="00D9075D" w:rsidRPr="00016069">
              <w:rPr>
                <w:i/>
                <w:sz w:val="14"/>
              </w:rPr>
              <w:t>Safety, Rehabilitation and Compensation Act 1988</w:t>
            </w:r>
            <w:r>
              <w:rPr>
                <w:rFonts w:eastAsia="Calibri" w:cs="Arial"/>
                <w:sz w:val="14"/>
                <w:szCs w:val="14"/>
                <w:lang w:eastAsia="en-US"/>
              </w:rPr>
              <w:t>.</w:t>
            </w:r>
          </w:p>
        </w:tc>
      </w:tr>
      <w:tr w:rsidR="006A50FD" w:rsidRPr="006A50FD" w14:paraId="53EBA1B7" w14:textId="77777777" w:rsidTr="003F3DE3">
        <w:trPr>
          <w:tblHeader/>
        </w:trPr>
        <w:tc>
          <w:tcPr>
            <w:tcW w:w="1984" w:type="dxa"/>
            <w:tcMar>
              <w:top w:w="80" w:type="dxa"/>
              <w:left w:w="80" w:type="dxa"/>
              <w:bottom w:w="80" w:type="dxa"/>
              <w:right w:w="80" w:type="dxa"/>
            </w:tcMar>
          </w:tcPr>
          <w:p w14:paraId="0E8CB476"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C’wealth Seacare</w:t>
            </w:r>
          </w:p>
        </w:tc>
        <w:tc>
          <w:tcPr>
            <w:tcW w:w="13451" w:type="dxa"/>
            <w:tcMar>
              <w:top w:w="80" w:type="dxa"/>
              <w:left w:w="80" w:type="dxa"/>
              <w:bottom w:w="80" w:type="dxa"/>
              <w:right w:w="80" w:type="dxa"/>
            </w:tcMar>
          </w:tcPr>
          <w:p w14:paraId="46F3C525" w14:textId="528409AC" w:rsidR="006A50FD" w:rsidRPr="006A50FD" w:rsidRDefault="006A50FD" w:rsidP="00B21723">
            <w:pPr>
              <w:spacing w:after="60"/>
              <w:rPr>
                <w:rFonts w:cs="Arial"/>
                <w:color w:val="000000"/>
                <w:sz w:val="14"/>
                <w:szCs w:val="16"/>
                <w:lang w:val="en-GB"/>
              </w:rPr>
            </w:pPr>
            <w:r w:rsidRPr="006A50FD">
              <w:rPr>
                <w:rFonts w:cs="Arial"/>
                <w:color w:val="000000"/>
                <w:sz w:val="14"/>
                <w:szCs w:val="16"/>
                <w:lang w:val="en-GB"/>
              </w:rPr>
              <w:t xml:space="preserve">An injured employee cannot take leave other than maternity leave while they are on compensation leave — </w:t>
            </w:r>
            <w:hyperlink r:id="rId545" w:history="1">
              <w:r w:rsidRPr="006C5749">
                <w:rPr>
                  <w:rStyle w:val="Hyperlink"/>
                  <w:rFonts w:cs="Arial"/>
                  <w:sz w:val="14"/>
                  <w:szCs w:val="16"/>
                  <w:lang w:val="en-GB"/>
                </w:rPr>
                <w:t>s137</w:t>
              </w:r>
            </w:hyperlink>
          </w:p>
          <w:p w14:paraId="10DEF1B7" w14:textId="36E772DD" w:rsidR="006A50FD" w:rsidRPr="006A50FD" w:rsidRDefault="006A50FD" w:rsidP="00B21723">
            <w:pPr>
              <w:spacing w:after="60"/>
              <w:rPr>
                <w:rFonts w:cs="Arial"/>
                <w:color w:val="000000"/>
                <w:sz w:val="14"/>
                <w:szCs w:val="16"/>
                <w:lang w:val="en-GB"/>
              </w:rPr>
            </w:pPr>
            <w:r w:rsidRPr="006A50FD">
              <w:rPr>
                <w:rFonts w:cs="Arial"/>
                <w:color w:val="000000"/>
                <w:sz w:val="14"/>
                <w:szCs w:val="16"/>
                <w:lang w:val="en-GB"/>
              </w:rPr>
              <w:t xml:space="preserve">Long service leave entitlements continue to accrue in accordance with the applicable industrial instrument or National Employment Standard — </w:t>
            </w:r>
            <w:hyperlink r:id="rId546" w:history="1">
              <w:r w:rsidRPr="006C5749">
                <w:rPr>
                  <w:rStyle w:val="Hyperlink"/>
                  <w:rFonts w:cs="Arial"/>
                  <w:sz w:val="14"/>
                  <w:szCs w:val="16"/>
                  <w:lang w:val="en-GB"/>
                </w:rPr>
                <w:t>s137</w:t>
              </w:r>
            </w:hyperlink>
            <w:r w:rsidR="000D3C6D">
              <w:rPr>
                <w:rFonts w:cs="Arial"/>
                <w:color w:val="000000"/>
                <w:sz w:val="14"/>
                <w:szCs w:val="16"/>
                <w:lang w:val="en-GB"/>
              </w:rPr>
              <w:t>.</w:t>
            </w:r>
          </w:p>
        </w:tc>
      </w:tr>
      <w:tr w:rsidR="006A50FD" w:rsidRPr="006A50FD" w14:paraId="341F05F9" w14:textId="77777777" w:rsidTr="003F3DE3">
        <w:trPr>
          <w:tblHeader/>
        </w:trPr>
        <w:tc>
          <w:tcPr>
            <w:tcW w:w="1984" w:type="dxa"/>
            <w:shd w:val="clear" w:color="auto" w:fill="FFC9C9"/>
            <w:tcMar>
              <w:top w:w="80" w:type="dxa"/>
              <w:left w:w="80" w:type="dxa"/>
              <w:bottom w:w="80" w:type="dxa"/>
              <w:right w:w="80" w:type="dxa"/>
            </w:tcMar>
          </w:tcPr>
          <w:p w14:paraId="11A7D814"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C’wealth DVA</w:t>
            </w:r>
          </w:p>
        </w:tc>
        <w:tc>
          <w:tcPr>
            <w:tcW w:w="13451" w:type="dxa"/>
            <w:shd w:val="clear" w:color="auto" w:fill="FFC9C9"/>
            <w:tcMar>
              <w:top w:w="80" w:type="dxa"/>
              <w:left w:w="80" w:type="dxa"/>
              <w:bottom w:w="80" w:type="dxa"/>
              <w:right w:w="80" w:type="dxa"/>
            </w:tcMar>
          </w:tcPr>
          <w:p w14:paraId="6F192EA3" w14:textId="32DBAB2A" w:rsidR="006A50FD" w:rsidRPr="006A50FD" w:rsidRDefault="00D9075D" w:rsidP="0090403B">
            <w:pPr>
              <w:spacing w:after="60"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Pr>
                <w:rFonts w:eastAsia="Calibri" w:cs="Arial"/>
                <w:i/>
                <w:sz w:val="14"/>
                <w:szCs w:val="14"/>
                <w:lang w:eastAsia="en-US"/>
              </w:rPr>
              <w:t xml:space="preserve"> </w:t>
            </w:r>
            <w:r>
              <w:rPr>
                <w:rFonts w:eastAsia="Calibri" w:cs="Arial"/>
                <w:sz w:val="14"/>
                <w:szCs w:val="14"/>
                <w:lang w:eastAsia="en-US"/>
              </w:rPr>
              <w:t>(</w:t>
            </w:r>
            <w:r w:rsidR="0090403B">
              <w:rPr>
                <w:rFonts w:cs="Arial"/>
                <w:color w:val="000000"/>
                <w:sz w:val="14"/>
                <w:szCs w:val="16"/>
                <w:lang w:val="en-GB"/>
              </w:rPr>
              <w:t>MRCA</w:t>
            </w:r>
            <w:r>
              <w:rPr>
                <w:rFonts w:cs="Arial"/>
                <w:color w:val="000000"/>
                <w:sz w:val="14"/>
                <w:szCs w:val="16"/>
                <w:lang w:val="en-GB"/>
              </w:rPr>
              <w:t>)</w:t>
            </w:r>
            <w:r w:rsidR="0090403B">
              <w:rPr>
                <w:rFonts w:cs="Arial"/>
                <w:color w:val="000000"/>
                <w:sz w:val="14"/>
                <w:szCs w:val="16"/>
                <w:lang w:val="en-GB"/>
              </w:rPr>
              <w:t>/</w:t>
            </w:r>
            <w:r w:rsidRPr="00016069">
              <w:rPr>
                <w:i/>
                <w:sz w:val="14"/>
              </w:rPr>
              <w:t xml:space="preserve"> Safety, Rehabilitation and Compensation (Defence-related Claims) Act 1988</w:t>
            </w:r>
            <w:r>
              <w:rPr>
                <w:rFonts w:cs="Arial"/>
                <w:color w:val="000000"/>
                <w:sz w:val="14"/>
                <w:szCs w:val="16"/>
                <w:lang w:val="en-GB"/>
              </w:rPr>
              <w:t xml:space="preserve"> (</w:t>
            </w:r>
            <w:r w:rsidR="0090403B">
              <w:rPr>
                <w:rFonts w:cs="Arial"/>
                <w:color w:val="000000"/>
                <w:sz w:val="14"/>
                <w:szCs w:val="16"/>
                <w:lang w:val="en-GB"/>
              </w:rPr>
              <w:t>DRCA</w:t>
            </w:r>
            <w:r>
              <w:rPr>
                <w:rFonts w:cs="Arial"/>
                <w:color w:val="000000"/>
                <w:sz w:val="14"/>
                <w:szCs w:val="16"/>
                <w:lang w:val="en-GB"/>
              </w:rPr>
              <w:t>)</w:t>
            </w:r>
            <w:r w:rsidR="0090403B">
              <w:rPr>
                <w:rFonts w:cs="Arial"/>
                <w:color w:val="000000"/>
                <w:sz w:val="14"/>
                <w:szCs w:val="16"/>
                <w:lang w:val="en-GB"/>
              </w:rPr>
              <w:t xml:space="preserve"> — </w:t>
            </w:r>
            <w:r w:rsidR="006A50FD" w:rsidRPr="006A50FD">
              <w:rPr>
                <w:rFonts w:cs="Arial"/>
                <w:color w:val="000000"/>
                <w:sz w:val="14"/>
                <w:szCs w:val="16"/>
                <w:lang w:val="en-GB"/>
              </w:rPr>
              <w:t xml:space="preserve">If incapacity payments would have continued were it not for the pregnancy/maternity leave then they should still continue during the period that is generally considered to be the period of ‘confinement’ i.e. six weeks either side of the expected/actual birth date. </w:t>
            </w:r>
          </w:p>
        </w:tc>
      </w:tr>
      <w:tr w:rsidR="006A50FD" w:rsidRPr="006A50FD" w14:paraId="300B38C9" w14:textId="77777777" w:rsidTr="003F3DE3">
        <w:trPr>
          <w:tblHeader/>
        </w:trPr>
        <w:tc>
          <w:tcPr>
            <w:tcW w:w="1984" w:type="dxa"/>
            <w:tcMar>
              <w:top w:w="80" w:type="dxa"/>
              <w:left w:w="80" w:type="dxa"/>
              <w:bottom w:w="80" w:type="dxa"/>
              <w:right w:w="80" w:type="dxa"/>
            </w:tcMar>
          </w:tcPr>
          <w:p w14:paraId="2534E485" w14:textId="77777777" w:rsidR="006A50FD" w:rsidRPr="006A50FD" w:rsidRDefault="006A50FD" w:rsidP="00B21723">
            <w:pPr>
              <w:spacing w:after="60"/>
              <w:rPr>
                <w:rFonts w:eastAsia="Calibri" w:cs="Arial"/>
                <w:b/>
                <w:sz w:val="16"/>
                <w:szCs w:val="16"/>
                <w:lang w:eastAsia="en-US"/>
              </w:rPr>
            </w:pPr>
            <w:r w:rsidRPr="006A50FD">
              <w:rPr>
                <w:rFonts w:eastAsia="Calibri" w:cs="Arial"/>
                <w:b/>
                <w:sz w:val="16"/>
                <w:szCs w:val="16"/>
                <w:lang w:eastAsia="en-US"/>
              </w:rPr>
              <w:t>New Zealand</w:t>
            </w:r>
          </w:p>
        </w:tc>
        <w:tc>
          <w:tcPr>
            <w:tcW w:w="13451" w:type="dxa"/>
            <w:tcMar>
              <w:top w:w="80" w:type="dxa"/>
              <w:left w:w="80" w:type="dxa"/>
              <w:bottom w:w="80" w:type="dxa"/>
              <w:right w:w="80" w:type="dxa"/>
            </w:tcMar>
          </w:tcPr>
          <w:p w14:paraId="792F8B98" w14:textId="77777777" w:rsidR="006A50FD" w:rsidRPr="006A50FD" w:rsidRDefault="006A50FD" w:rsidP="00B21723">
            <w:pPr>
              <w:spacing w:after="60" w:line="276" w:lineRule="auto"/>
              <w:rPr>
                <w:rFonts w:cs="Arial"/>
                <w:color w:val="000000"/>
                <w:sz w:val="14"/>
                <w:szCs w:val="16"/>
                <w:lang w:val="en-GB"/>
              </w:rPr>
            </w:pPr>
            <w:r w:rsidRPr="006A50FD">
              <w:rPr>
                <w:rFonts w:cs="Arial"/>
                <w:color w:val="000000"/>
                <w:sz w:val="14"/>
                <w:szCs w:val="16"/>
                <w:lang w:val="en-GB"/>
              </w:rPr>
              <w:t xml:space="preserve">Leave provisions are not covered under accident compensation legislation. Annual leave continues to accrue if an employee is receiving accident compensation — </w:t>
            </w:r>
            <w:r w:rsidRPr="00B11BBE">
              <w:rPr>
                <w:rFonts w:cs="Arial"/>
                <w:i/>
                <w:color w:val="000000"/>
                <w:sz w:val="14"/>
                <w:szCs w:val="16"/>
                <w:lang w:val="en-GB"/>
              </w:rPr>
              <w:t>Holidays Act 2003</w:t>
            </w:r>
            <w:r w:rsidRPr="006A50FD">
              <w:rPr>
                <w:rFonts w:cs="Arial"/>
                <w:color w:val="000000"/>
                <w:sz w:val="14"/>
                <w:szCs w:val="16"/>
                <w:lang w:val="en-GB"/>
              </w:rPr>
              <w:t xml:space="preserve"> (administered by Ministry of Business, Innovation and Employment).</w:t>
            </w:r>
          </w:p>
        </w:tc>
      </w:tr>
      <w:bookmarkEnd w:id="68"/>
    </w:tbl>
    <w:p w14:paraId="6B85CE8F" w14:textId="5A72E24C" w:rsidR="00C66972" w:rsidRPr="0039384D" w:rsidRDefault="00C66972" w:rsidP="00961404">
      <w:pPr>
        <w:spacing w:after="0" w:line="276" w:lineRule="auto"/>
        <w:rPr>
          <w:rFonts w:eastAsiaTheme="minorHAnsi"/>
          <w:sz w:val="2"/>
        </w:rPr>
      </w:pP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3: Leave while on workers’ compensation  "/>
        <w:tblDescription w:val="This table provides information about leave accural under the workers' compensation schemes. "/>
      </w:tblPr>
      <w:tblGrid>
        <w:gridCol w:w="1984"/>
        <w:gridCol w:w="13451"/>
      </w:tblGrid>
      <w:tr w:rsidR="00F83044" w:rsidRPr="006A50FD" w14:paraId="46408469" w14:textId="77777777" w:rsidTr="00961404">
        <w:trPr>
          <w:cantSplit/>
          <w:tblHeader/>
        </w:trPr>
        <w:tc>
          <w:tcPr>
            <w:tcW w:w="1984" w:type="dxa"/>
            <w:shd w:val="clear" w:color="auto" w:fill="C00000"/>
            <w:tcMar>
              <w:top w:w="0" w:type="dxa"/>
              <w:left w:w="0" w:type="dxa"/>
              <w:bottom w:w="0" w:type="dxa"/>
              <w:right w:w="0" w:type="dxa"/>
            </w:tcMar>
            <w:vAlign w:val="center"/>
          </w:tcPr>
          <w:p w14:paraId="4486E2DC" w14:textId="77777777" w:rsidR="00F83044" w:rsidRPr="006A50FD" w:rsidRDefault="00F83044" w:rsidP="006C5923">
            <w:pPr>
              <w:spacing w:after="60"/>
              <w:rPr>
                <w:rFonts w:eastAsia="Calibri" w:cs="Arial"/>
                <w:b/>
                <w:color w:val="FFFFFF"/>
                <w:sz w:val="18"/>
                <w:szCs w:val="18"/>
                <w:lang w:eastAsia="en-US"/>
              </w:rPr>
            </w:pPr>
          </w:p>
        </w:tc>
        <w:tc>
          <w:tcPr>
            <w:tcW w:w="13451" w:type="dxa"/>
            <w:shd w:val="clear" w:color="auto" w:fill="C00000"/>
            <w:tcMar>
              <w:top w:w="0" w:type="dxa"/>
              <w:left w:w="0" w:type="dxa"/>
              <w:bottom w:w="0" w:type="dxa"/>
              <w:right w:w="0" w:type="dxa"/>
            </w:tcMar>
            <w:vAlign w:val="center"/>
          </w:tcPr>
          <w:p w14:paraId="05B9DC2E" w14:textId="77777777" w:rsidR="00F83044" w:rsidRPr="006A50FD" w:rsidRDefault="00F83044" w:rsidP="006C5923">
            <w:pPr>
              <w:spacing w:after="60"/>
              <w:rPr>
                <w:rFonts w:eastAsia="Calibri" w:cs="Arial"/>
                <w:b/>
                <w:color w:val="FFFFFF"/>
                <w:sz w:val="18"/>
                <w:szCs w:val="18"/>
                <w:lang w:eastAsia="en-US"/>
              </w:rPr>
            </w:pPr>
            <w:r w:rsidRPr="006A50FD">
              <w:rPr>
                <w:rFonts w:eastAsia="Calibri" w:cs="Arial"/>
                <w:b/>
                <w:color w:val="FFFFFF"/>
                <w:sz w:val="18"/>
                <w:szCs w:val="18"/>
                <w:lang w:eastAsia="en-US"/>
              </w:rPr>
              <w:t>Effect of taking leave while on compensation</w:t>
            </w:r>
          </w:p>
        </w:tc>
      </w:tr>
      <w:tr w:rsidR="00F83044" w:rsidRPr="006A50FD" w14:paraId="5A2A4125" w14:textId="77777777" w:rsidTr="00961404">
        <w:trPr>
          <w:cantSplit/>
        </w:trPr>
        <w:tc>
          <w:tcPr>
            <w:tcW w:w="1984" w:type="dxa"/>
            <w:shd w:val="clear" w:color="auto" w:fill="FFC9C9"/>
            <w:tcMar>
              <w:top w:w="80" w:type="dxa"/>
              <w:left w:w="80" w:type="dxa"/>
              <w:bottom w:w="80" w:type="dxa"/>
              <w:right w:w="80" w:type="dxa"/>
            </w:tcMar>
          </w:tcPr>
          <w:p w14:paraId="342496B9"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New South Wales</w:t>
            </w:r>
          </w:p>
        </w:tc>
        <w:tc>
          <w:tcPr>
            <w:tcW w:w="13451" w:type="dxa"/>
            <w:shd w:val="clear" w:color="auto" w:fill="FFC9C9"/>
            <w:tcMar>
              <w:top w:w="80" w:type="dxa"/>
              <w:left w:w="80" w:type="dxa"/>
              <w:bottom w:w="80" w:type="dxa"/>
              <w:right w:w="80" w:type="dxa"/>
            </w:tcMar>
          </w:tcPr>
          <w:p w14:paraId="7AB7043B" w14:textId="563A6182" w:rsidR="00F83044" w:rsidRPr="006A50FD" w:rsidRDefault="00A7538C" w:rsidP="006C5923">
            <w:pPr>
              <w:spacing w:after="60" w:line="276" w:lineRule="auto"/>
              <w:rPr>
                <w:rFonts w:cs="Arial"/>
                <w:color w:val="000000"/>
                <w:sz w:val="14"/>
                <w:szCs w:val="16"/>
                <w:lang w:val="en-GB"/>
              </w:rPr>
            </w:pPr>
            <w:hyperlink r:id="rId547" w:history="1">
              <w:r w:rsidR="00F83044" w:rsidRPr="006C5749">
                <w:rPr>
                  <w:rStyle w:val="Hyperlink"/>
                  <w:rFonts w:cs="Arial"/>
                  <w:sz w:val="14"/>
                  <w:szCs w:val="16"/>
                  <w:lang w:val="en-GB"/>
                </w:rPr>
                <w:t>Section 49</w:t>
              </w:r>
            </w:hyperlink>
            <w:r w:rsidR="00F83044" w:rsidRPr="006A50FD">
              <w:rPr>
                <w:rFonts w:cs="Arial"/>
                <w:color w:val="000000"/>
                <w:sz w:val="14"/>
                <w:szCs w:val="16"/>
                <w:lang w:val="en-GB"/>
              </w:rPr>
              <w:t xml:space="preserve"> of the 1987 Act does not expressly permit the taking of leave. Rather, it permits the payment of weekly workers’ compensation benefits if a worker is on paid leave.</w:t>
            </w:r>
          </w:p>
        </w:tc>
      </w:tr>
      <w:tr w:rsidR="00F83044" w:rsidRPr="006A50FD" w14:paraId="3FFB9B4A" w14:textId="77777777" w:rsidTr="00961404">
        <w:trPr>
          <w:cantSplit/>
        </w:trPr>
        <w:tc>
          <w:tcPr>
            <w:tcW w:w="1984" w:type="dxa"/>
            <w:tcMar>
              <w:top w:w="80" w:type="dxa"/>
              <w:left w:w="80" w:type="dxa"/>
              <w:bottom w:w="80" w:type="dxa"/>
              <w:right w:w="80" w:type="dxa"/>
            </w:tcMar>
          </w:tcPr>
          <w:p w14:paraId="22121012"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Victoria</w:t>
            </w:r>
          </w:p>
        </w:tc>
        <w:tc>
          <w:tcPr>
            <w:tcW w:w="13451" w:type="dxa"/>
            <w:tcMar>
              <w:top w:w="80" w:type="dxa"/>
              <w:left w:w="80" w:type="dxa"/>
              <w:bottom w:w="80" w:type="dxa"/>
              <w:right w:w="80" w:type="dxa"/>
            </w:tcMar>
          </w:tcPr>
          <w:p w14:paraId="29FF3E09" w14:textId="2E276F50" w:rsidR="00F83044" w:rsidRPr="006A50FD" w:rsidRDefault="00F83044" w:rsidP="006C5923">
            <w:pPr>
              <w:spacing w:after="60" w:line="276" w:lineRule="auto"/>
              <w:rPr>
                <w:rFonts w:cs="Arial"/>
                <w:color w:val="000000"/>
                <w:sz w:val="14"/>
                <w:szCs w:val="16"/>
                <w:lang w:val="en-GB"/>
              </w:rPr>
            </w:pPr>
            <w:r w:rsidRPr="006A50FD">
              <w:rPr>
                <w:rFonts w:cs="Arial"/>
                <w:color w:val="000000"/>
                <w:sz w:val="14"/>
                <w:szCs w:val="16"/>
                <w:lang w:val="en-GB"/>
              </w:rPr>
              <w:t xml:space="preserve">If the current weekly earnings of a worker are reduced because the worker is on paid annual leave or long service leave, WorkSafe Victoria or self-insurer must not, by reason only of that reduction, alter the amount of compensation in the form of weekly payments — </w:t>
            </w:r>
            <w:hyperlink r:id="rId548" w:history="1">
              <w:r w:rsidRPr="006C5749">
                <w:rPr>
                  <w:rStyle w:val="Hyperlink"/>
                  <w:rFonts w:cs="Arial"/>
                  <w:sz w:val="14"/>
                  <w:szCs w:val="16"/>
                  <w:lang w:val="en-GB"/>
                </w:rPr>
                <w:t>s185(4)</w:t>
              </w:r>
            </w:hyperlink>
            <w:r w:rsidRPr="006A50FD">
              <w:rPr>
                <w:rFonts w:cs="Arial"/>
                <w:color w:val="000000"/>
                <w:sz w:val="14"/>
                <w:szCs w:val="16"/>
                <w:lang w:val="en-GB"/>
              </w:rPr>
              <w:t>.</w:t>
            </w:r>
          </w:p>
        </w:tc>
      </w:tr>
      <w:tr w:rsidR="00F83044" w:rsidRPr="006A50FD" w14:paraId="00250873" w14:textId="77777777" w:rsidTr="00961404">
        <w:trPr>
          <w:cantSplit/>
        </w:trPr>
        <w:tc>
          <w:tcPr>
            <w:tcW w:w="1984" w:type="dxa"/>
            <w:shd w:val="clear" w:color="auto" w:fill="FFC9C9"/>
            <w:tcMar>
              <w:top w:w="80" w:type="dxa"/>
              <w:left w:w="80" w:type="dxa"/>
              <w:bottom w:w="80" w:type="dxa"/>
              <w:right w:w="80" w:type="dxa"/>
            </w:tcMar>
          </w:tcPr>
          <w:p w14:paraId="32812C51"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Queensland</w:t>
            </w:r>
          </w:p>
        </w:tc>
        <w:tc>
          <w:tcPr>
            <w:tcW w:w="13451" w:type="dxa"/>
            <w:shd w:val="clear" w:color="auto" w:fill="FFC9C9"/>
            <w:tcMar>
              <w:top w:w="80" w:type="dxa"/>
              <w:left w:w="80" w:type="dxa"/>
              <w:bottom w:w="80" w:type="dxa"/>
              <w:right w:w="80" w:type="dxa"/>
            </w:tcMar>
          </w:tcPr>
          <w:p w14:paraId="208DEF60" w14:textId="77777777" w:rsidR="00F83044" w:rsidRPr="006A50FD" w:rsidRDefault="00F83044" w:rsidP="006C5923">
            <w:pPr>
              <w:spacing w:after="60" w:line="276" w:lineRule="auto"/>
              <w:rPr>
                <w:rFonts w:cs="Arial"/>
                <w:color w:val="000000"/>
                <w:sz w:val="14"/>
                <w:szCs w:val="16"/>
                <w:lang w:val="en-GB"/>
              </w:rPr>
            </w:pPr>
            <w:r w:rsidRPr="006A50FD">
              <w:rPr>
                <w:rFonts w:cs="Arial"/>
                <w:color w:val="000000"/>
                <w:sz w:val="14"/>
                <w:szCs w:val="16"/>
                <w:lang w:val="en-GB"/>
              </w:rPr>
              <w:t>If a worker requests to take annual or long service leave and the employer approves this request, WorkCover continues to pay weekly benefits for the duration of the leave.</w:t>
            </w:r>
          </w:p>
        </w:tc>
      </w:tr>
      <w:tr w:rsidR="00F83044" w:rsidRPr="006A50FD" w14:paraId="13182CE5" w14:textId="77777777" w:rsidTr="00961404">
        <w:trPr>
          <w:cantSplit/>
        </w:trPr>
        <w:tc>
          <w:tcPr>
            <w:tcW w:w="1984" w:type="dxa"/>
            <w:tcMar>
              <w:top w:w="80" w:type="dxa"/>
              <w:left w:w="80" w:type="dxa"/>
              <w:bottom w:w="80" w:type="dxa"/>
              <w:right w:w="80" w:type="dxa"/>
            </w:tcMar>
          </w:tcPr>
          <w:p w14:paraId="27C1DDB3"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Western Australia</w:t>
            </w:r>
          </w:p>
        </w:tc>
        <w:tc>
          <w:tcPr>
            <w:tcW w:w="13451" w:type="dxa"/>
            <w:tcMar>
              <w:top w:w="80" w:type="dxa"/>
              <w:left w:w="80" w:type="dxa"/>
              <w:bottom w:w="80" w:type="dxa"/>
              <w:right w:w="80" w:type="dxa"/>
            </w:tcMar>
          </w:tcPr>
          <w:p w14:paraId="5362DF2A" w14:textId="696553EC" w:rsidR="00F83044" w:rsidRPr="006A50FD" w:rsidRDefault="00F83044" w:rsidP="006C5923">
            <w:pPr>
              <w:spacing w:after="60" w:line="276" w:lineRule="auto"/>
              <w:rPr>
                <w:rFonts w:cs="Arial"/>
                <w:color w:val="000000"/>
                <w:sz w:val="14"/>
                <w:szCs w:val="16"/>
                <w:lang w:val="en-GB"/>
              </w:rPr>
            </w:pPr>
            <w:r w:rsidRPr="006A50FD">
              <w:rPr>
                <w:rFonts w:cs="Arial"/>
                <w:color w:val="000000"/>
                <w:sz w:val="14"/>
                <w:szCs w:val="16"/>
                <w:lang w:val="en-GB"/>
              </w:rPr>
              <w:t xml:space="preserve">Leave payments do not affect a worker's compensation entitlements in any way. Any leave entitlements taken by the worker will be credited back if the worker's claim is accepted — </w:t>
            </w:r>
            <w:hyperlink r:id="rId549" w:history="1">
              <w:r w:rsidRPr="006C5749">
                <w:rPr>
                  <w:rStyle w:val="Hyperlink"/>
                  <w:rFonts w:cs="Arial"/>
                  <w:sz w:val="14"/>
                  <w:szCs w:val="16"/>
                  <w:lang w:val="en-GB"/>
                </w:rPr>
                <w:t>s80 (1–3)</w:t>
              </w:r>
            </w:hyperlink>
            <w:r w:rsidR="000D3C6D">
              <w:rPr>
                <w:rFonts w:cs="Arial"/>
                <w:color w:val="000000"/>
                <w:sz w:val="14"/>
                <w:szCs w:val="16"/>
                <w:lang w:val="en-GB"/>
              </w:rPr>
              <w:t>.</w:t>
            </w:r>
          </w:p>
        </w:tc>
      </w:tr>
      <w:tr w:rsidR="00F83044" w:rsidRPr="006A50FD" w14:paraId="20A89911" w14:textId="77777777" w:rsidTr="00961404">
        <w:trPr>
          <w:cantSplit/>
        </w:trPr>
        <w:tc>
          <w:tcPr>
            <w:tcW w:w="1984" w:type="dxa"/>
            <w:shd w:val="clear" w:color="auto" w:fill="FFC9C9"/>
            <w:tcMar>
              <w:top w:w="80" w:type="dxa"/>
              <w:left w:w="80" w:type="dxa"/>
              <w:bottom w:w="80" w:type="dxa"/>
              <w:right w:w="80" w:type="dxa"/>
            </w:tcMar>
          </w:tcPr>
          <w:p w14:paraId="217F107B"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South Australia</w:t>
            </w:r>
          </w:p>
        </w:tc>
        <w:tc>
          <w:tcPr>
            <w:tcW w:w="13451" w:type="dxa"/>
            <w:shd w:val="clear" w:color="auto" w:fill="FFC9C9"/>
            <w:tcMar>
              <w:top w:w="80" w:type="dxa"/>
              <w:left w:w="80" w:type="dxa"/>
              <w:bottom w:w="80" w:type="dxa"/>
              <w:right w:w="80" w:type="dxa"/>
            </w:tcMar>
          </w:tcPr>
          <w:p w14:paraId="22A7F682" w14:textId="51A4000E" w:rsidR="00F83044" w:rsidRPr="006A50FD" w:rsidRDefault="00F83044" w:rsidP="009F1DE8">
            <w:pPr>
              <w:spacing w:after="60" w:line="276" w:lineRule="auto"/>
              <w:rPr>
                <w:rFonts w:cs="Arial"/>
                <w:color w:val="000000"/>
                <w:sz w:val="14"/>
                <w:szCs w:val="16"/>
                <w:lang w:val="en-GB"/>
              </w:rPr>
            </w:pPr>
            <w:r w:rsidRPr="006A50FD">
              <w:rPr>
                <w:rFonts w:cs="Arial"/>
                <w:color w:val="000000"/>
                <w:sz w:val="14"/>
                <w:szCs w:val="16"/>
                <w:lang w:val="en-GB"/>
              </w:rPr>
              <w:t xml:space="preserve">If the worker applies for, and takes, annual leave their weekly payments may be suspended while the worker is on leave </w:t>
            </w:r>
            <w:r w:rsidR="009F1DE8">
              <w:rPr>
                <w:rFonts w:cs="Arial"/>
                <w:color w:val="000000"/>
                <w:sz w:val="14"/>
                <w:szCs w:val="16"/>
                <w:lang w:val="en-GB"/>
              </w:rPr>
              <w:t>—</w:t>
            </w:r>
            <w:r w:rsidR="009F1DE8" w:rsidRPr="006A50FD">
              <w:rPr>
                <w:rFonts w:cs="Arial"/>
                <w:color w:val="000000"/>
                <w:sz w:val="14"/>
                <w:szCs w:val="16"/>
                <w:lang w:val="en-GB"/>
              </w:rPr>
              <w:t xml:space="preserve"> </w:t>
            </w:r>
            <w:hyperlink r:id="rId550" w:history="1">
              <w:r w:rsidRPr="006A50FD">
                <w:rPr>
                  <w:rFonts w:cs="Arial"/>
                  <w:color w:val="0000FF"/>
                  <w:sz w:val="14"/>
                  <w:szCs w:val="16"/>
                  <w:u w:val="single"/>
                  <w:lang w:val="en-GB"/>
                </w:rPr>
                <w:t>s50(7)</w:t>
              </w:r>
            </w:hyperlink>
            <w:r w:rsidR="000D3C6D">
              <w:rPr>
                <w:rFonts w:cs="Arial"/>
                <w:color w:val="0000FF"/>
                <w:sz w:val="14"/>
                <w:szCs w:val="16"/>
                <w:u w:val="single"/>
                <w:lang w:val="en-GB"/>
              </w:rPr>
              <w:t>.</w:t>
            </w:r>
          </w:p>
        </w:tc>
      </w:tr>
      <w:tr w:rsidR="00F83044" w:rsidRPr="006A50FD" w14:paraId="3D8B3ADC" w14:textId="77777777" w:rsidTr="00961404">
        <w:trPr>
          <w:cantSplit/>
        </w:trPr>
        <w:tc>
          <w:tcPr>
            <w:tcW w:w="1984" w:type="dxa"/>
            <w:tcMar>
              <w:top w:w="80" w:type="dxa"/>
              <w:left w:w="80" w:type="dxa"/>
              <w:bottom w:w="80" w:type="dxa"/>
              <w:right w:w="80" w:type="dxa"/>
            </w:tcMar>
          </w:tcPr>
          <w:p w14:paraId="7F04F1B8"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Tasmania</w:t>
            </w:r>
          </w:p>
        </w:tc>
        <w:tc>
          <w:tcPr>
            <w:tcW w:w="13451" w:type="dxa"/>
            <w:tcMar>
              <w:top w:w="80" w:type="dxa"/>
              <w:left w:w="80" w:type="dxa"/>
              <w:bottom w:w="80" w:type="dxa"/>
              <w:right w:w="80" w:type="dxa"/>
            </w:tcMar>
          </w:tcPr>
          <w:p w14:paraId="7BBA2A28" w14:textId="77777777" w:rsidR="00F83044" w:rsidRDefault="00A7538C" w:rsidP="006C5923">
            <w:pPr>
              <w:spacing w:after="60" w:line="276" w:lineRule="auto"/>
              <w:rPr>
                <w:rFonts w:cs="Arial"/>
                <w:color w:val="000000"/>
                <w:sz w:val="14"/>
                <w:szCs w:val="16"/>
                <w:lang w:val="en-GB"/>
              </w:rPr>
            </w:pPr>
            <w:hyperlink r:id="rId551" w:history="1">
              <w:r w:rsidR="00F83044" w:rsidRPr="006A50FD">
                <w:rPr>
                  <w:rFonts w:cs="Arial"/>
                  <w:color w:val="0000FF"/>
                  <w:sz w:val="14"/>
                  <w:szCs w:val="16"/>
                  <w:u w:val="single"/>
                  <w:lang w:val="en-GB"/>
                </w:rPr>
                <w:t>Section 84</w:t>
              </w:r>
            </w:hyperlink>
            <w:r w:rsidR="00F83044" w:rsidRPr="006A50FD">
              <w:rPr>
                <w:rFonts w:cs="Arial"/>
                <w:color w:val="000000"/>
                <w:sz w:val="14"/>
                <w:szCs w:val="16"/>
                <w:lang w:val="en-GB"/>
              </w:rPr>
              <w:t xml:space="preserve"> was inserted by 16 of 1995 and subsequently amended by 8 of 2007 to include long service leave.</w:t>
            </w:r>
          </w:p>
          <w:p w14:paraId="2FF04CB9" w14:textId="77777777" w:rsidR="00F83044" w:rsidRDefault="00F83044" w:rsidP="006C5923">
            <w:pPr>
              <w:spacing w:after="60" w:line="276" w:lineRule="auto"/>
              <w:rPr>
                <w:rFonts w:cs="Arial"/>
                <w:color w:val="000000"/>
                <w:sz w:val="14"/>
                <w:szCs w:val="16"/>
                <w:lang w:val="en-GB"/>
              </w:rPr>
            </w:pPr>
            <w:r w:rsidRPr="006A50FD">
              <w:rPr>
                <w:rFonts w:cs="Arial"/>
                <w:color w:val="000000"/>
                <w:sz w:val="14"/>
                <w:szCs w:val="16"/>
                <w:lang w:val="en-GB"/>
              </w:rPr>
              <w:t>The worker can arrange with his or her employer to take annual leave or long service leave during a period that he/she would be entitled to workers’ compensation, but would not be entitled to receive weekly payments during that leave. An employer must not attempt to cause or require a worker to take annual leave or long service leave during a period of incapacity for which compensation is payable.</w:t>
            </w:r>
            <w:r w:rsidRPr="006A50FD">
              <w:rPr>
                <w:rFonts w:cs="Arial"/>
                <w:color w:val="000000"/>
                <w:sz w:val="14"/>
                <w:szCs w:val="16"/>
                <w:lang w:val="en-GB"/>
              </w:rPr>
              <w:br/>
            </w:r>
            <w:hyperlink r:id="rId552" w:history="1">
              <w:r w:rsidRPr="006A50FD">
                <w:rPr>
                  <w:rFonts w:cs="Arial"/>
                  <w:color w:val="0000FF"/>
                  <w:sz w:val="14"/>
                  <w:szCs w:val="16"/>
                  <w:u w:val="single"/>
                  <w:lang w:val="en-GB"/>
                </w:rPr>
                <w:t>Section 84B</w:t>
              </w:r>
            </w:hyperlink>
            <w:r w:rsidRPr="006A50FD">
              <w:rPr>
                <w:rFonts w:cs="Arial"/>
                <w:color w:val="000000"/>
                <w:sz w:val="14"/>
                <w:szCs w:val="16"/>
                <w:lang w:val="en-GB"/>
              </w:rPr>
              <w:t xml:space="preserve"> was inserted by 81 of 2004 and amended by 8 of 2007 to include long service leave.</w:t>
            </w:r>
          </w:p>
          <w:p w14:paraId="30BC295A" w14:textId="77777777" w:rsidR="00F83044" w:rsidRPr="006A50FD" w:rsidRDefault="00F83044" w:rsidP="006C5923">
            <w:pPr>
              <w:spacing w:after="60" w:line="276" w:lineRule="auto"/>
              <w:rPr>
                <w:rFonts w:cs="Arial"/>
                <w:color w:val="000000"/>
                <w:sz w:val="14"/>
                <w:szCs w:val="16"/>
                <w:lang w:val="en-GB"/>
              </w:rPr>
            </w:pPr>
            <w:r w:rsidRPr="006A50FD">
              <w:rPr>
                <w:rFonts w:cs="Arial"/>
                <w:color w:val="000000"/>
                <w:sz w:val="14"/>
                <w:szCs w:val="16"/>
                <w:lang w:val="en-GB"/>
              </w:rPr>
              <w:t>Where a worker takes annual leave or long service leave whilst his/her entitlement to workers’ compensation is pending or in dispute and the employer is subsequently found to be liable to pay weekly payments for that period, the worker's annual leave or long service leave is to be recredited.</w:t>
            </w:r>
          </w:p>
        </w:tc>
      </w:tr>
      <w:tr w:rsidR="00F83044" w:rsidRPr="006A50FD" w14:paraId="30A49B74" w14:textId="77777777" w:rsidTr="00961404">
        <w:trPr>
          <w:cantSplit/>
        </w:trPr>
        <w:tc>
          <w:tcPr>
            <w:tcW w:w="1984" w:type="dxa"/>
            <w:shd w:val="clear" w:color="auto" w:fill="FFC9C9"/>
            <w:tcMar>
              <w:top w:w="80" w:type="dxa"/>
              <w:left w:w="80" w:type="dxa"/>
              <w:bottom w:w="80" w:type="dxa"/>
              <w:right w:w="80" w:type="dxa"/>
            </w:tcMar>
          </w:tcPr>
          <w:p w14:paraId="215DE99C"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Northern Territory</w:t>
            </w:r>
          </w:p>
        </w:tc>
        <w:tc>
          <w:tcPr>
            <w:tcW w:w="13451" w:type="dxa"/>
            <w:shd w:val="clear" w:color="auto" w:fill="FFC9C9"/>
            <w:tcMar>
              <w:top w:w="80" w:type="dxa"/>
              <w:left w:w="80" w:type="dxa"/>
              <w:bottom w:w="80" w:type="dxa"/>
              <w:right w:w="80" w:type="dxa"/>
            </w:tcMar>
          </w:tcPr>
          <w:p w14:paraId="2AD7B76D" w14:textId="17234DAC" w:rsidR="00F83044" w:rsidRPr="006A50FD" w:rsidRDefault="00F83044" w:rsidP="00B4319E">
            <w:pPr>
              <w:spacing w:after="60" w:line="276" w:lineRule="auto"/>
              <w:rPr>
                <w:rFonts w:cs="Arial"/>
                <w:color w:val="000000"/>
                <w:sz w:val="14"/>
                <w:szCs w:val="16"/>
                <w:lang w:val="en-GB"/>
              </w:rPr>
            </w:pPr>
            <w:r w:rsidRPr="006A50FD">
              <w:rPr>
                <w:rFonts w:cs="Arial"/>
                <w:color w:val="000000"/>
                <w:sz w:val="14"/>
                <w:szCs w:val="16"/>
                <w:lang w:val="en-GB"/>
              </w:rPr>
              <w:t xml:space="preserve">The </w:t>
            </w:r>
            <w:r w:rsidRPr="00B11BBE">
              <w:rPr>
                <w:rFonts w:cs="Arial"/>
                <w:i/>
                <w:color w:val="000000"/>
                <w:sz w:val="14"/>
                <w:szCs w:val="16"/>
                <w:lang w:val="en-GB"/>
              </w:rPr>
              <w:t>Return to Work Act</w:t>
            </w:r>
            <w:r w:rsidRPr="006A50FD">
              <w:rPr>
                <w:rFonts w:cs="Arial"/>
                <w:color w:val="000000"/>
                <w:sz w:val="14"/>
                <w:szCs w:val="16"/>
                <w:lang w:val="en-GB"/>
              </w:rPr>
              <w:t xml:space="preserve"> is silent on the taking or accruing of leave and therefore </w:t>
            </w:r>
            <w:hyperlink r:id="rId553" w:history="1">
              <w:r w:rsidRPr="00156958">
                <w:rPr>
                  <w:rStyle w:val="Hyperlink"/>
                  <w:rFonts w:cs="Arial"/>
                  <w:sz w:val="14"/>
                  <w:szCs w:val="16"/>
                  <w:lang w:val="en-GB"/>
                </w:rPr>
                <w:t>s130</w:t>
              </w:r>
            </w:hyperlink>
            <w:r w:rsidRPr="006A50FD">
              <w:rPr>
                <w:rFonts w:cs="Arial"/>
                <w:color w:val="000000"/>
                <w:sz w:val="14"/>
                <w:szCs w:val="16"/>
                <w:lang w:val="en-GB"/>
              </w:rPr>
              <w:t xml:space="preserve"> of the </w:t>
            </w:r>
            <w:r w:rsidRPr="00B11BBE">
              <w:rPr>
                <w:rFonts w:cs="Arial"/>
                <w:i/>
                <w:color w:val="000000"/>
                <w:sz w:val="14"/>
                <w:szCs w:val="16"/>
                <w:lang w:val="en-GB"/>
              </w:rPr>
              <w:t>Fair Work Act 2009</w:t>
            </w:r>
            <w:r>
              <w:rPr>
                <w:rFonts w:cs="Arial"/>
                <w:i/>
                <w:color w:val="000000"/>
                <w:sz w:val="14"/>
                <w:szCs w:val="16"/>
                <w:lang w:val="en-GB"/>
              </w:rPr>
              <w:t xml:space="preserve"> </w:t>
            </w:r>
            <w:r>
              <w:rPr>
                <w:rFonts w:cs="Arial"/>
                <w:color w:val="000000"/>
                <w:sz w:val="14"/>
                <w:szCs w:val="16"/>
                <w:lang w:val="en-GB"/>
              </w:rPr>
              <w:t>(Cth)</w:t>
            </w:r>
            <w:r w:rsidRPr="006A50FD">
              <w:rPr>
                <w:rFonts w:cs="Arial"/>
                <w:color w:val="000000"/>
                <w:sz w:val="14"/>
                <w:szCs w:val="16"/>
                <w:lang w:val="en-GB"/>
              </w:rPr>
              <w:t xml:space="preserve"> applies. Under this section an employee is not entitled to take or accrue any leave or absence (whether paid or unpaid) under this Part during a period (a compensation period) when the employee is absent from work because of a personal illness, or a personal injury, for which the employee is receiving compensation payable under a law (a compensation law) of the Commonwealth, a State or a Territory that is about workers’ compensation. </w:t>
            </w:r>
            <w:r w:rsidR="00B4319E">
              <w:rPr>
                <w:rFonts w:cs="Arial"/>
                <w:color w:val="000000"/>
                <w:sz w:val="14"/>
                <w:szCs w:val="16"/>
                <w:lang w:val="en-GB"/>
              </w:rPr>
              <w:t>S</w:t>
            </w:r>
            <w:r w:rsidR="00565D14">
              <w:rPr>
                <w:rFonts w:cs="Arial"/>
                <w:color w:val="000000"/>
                <w:sz w:val="14"/>
                <w:szCs w:val="16"/>
                <w:lang w:val="en-GB"/>
              </w:rPr>
              <w:t xml:space="preserve">ection </w:t>
            </w:r>
            <w:r w:rsidR="00B4319E" w:rsidRPr="006A50FD">
              <w:rPr>
                <w:rFonts w:cs="Arial"/>
                <w:color w:val="000000"/>
                <w:sz w:val="14"/>
                <w:szCs w:val="16"/>
                <w:lang w:val="en-GB"/>
              </w:rPr>
              <w:t xml:space="preserve">130 </w:t>
            </w:r>
            <w:r w:rsidRPr="006A50FD">
              <w:rPr>
                <w:rFonts w:cs="Arial"/>
                <w:color w:val="000000"/>
                <w:sz w:val="14"/>
                <w:szCs w:val="16"/>
                <w:lang w:val="en-GB"/>
              </w:rPr>
              <w:t xml:space="preserve">of the </w:t>
            </w:r>
            <w:r w:rsidRPr="000B02C9">
              <w:rPr>
                <w:rFonts w:cs="Arial"/>
                <w:i/>
                <w:color w:val="000000"/>
                <w:sz w:val="14"/>
                <w:szCs w:val="16"/>
                <w:lang w:val="en-GB"/>
              </w:rPr>
              <w:t>Fair Work Act</w:t>
            </w:r>
            <w:r w:rsidR="000B02C9">
              <w:rPr>
                <w:rFonts w:cs="Arial"/>
                <w:i/>
                <w:color w:val="000000"/>
                <w:sz w:val="14"/>
                <w:szCs w:val="16"/>
                <w:lang w:val="en-GB"/>
              </w:rPr>
              <w:t xml:space="preserve"> 2009</w:t>
            </w:r>
            <w:r w:rsidRPr="000B02C9">
              <w:rPr>
                <w:rFonts w:cs="Arial"/>
                <w:i/>
                <w:color w:val="000000"/>
                <w:sz w:val="14"/>
                <w:szCs w:val="16"/>
                <w:lang w:val="en-GB"/>
              </w:rPr>
              <w:t xml:space="preserve"> </w:t>
            </w:r>
            <w:r w:rsidRPr="006A50FD">
              <w:rPr>
                <w:rFonts w:cs="Arial"/>
                <w:color w:val="000000"/>
                <w:sz w:val="14"/>
                <w:szCs w:val="16"/>
                <w:lang w:val="en-GB"/>
              </w:rPr>
              <w:t>does not prevent an employee from taking unpaid parental leave during a compensation period.</w:t>
            </w:r>
          </w:p>
        </w:tc>
      </w:tr>
      <w:tr w:rsidR="00F83044" w:rsidRPr="006A50FD" w14:paraId="5A5C8E71" w14:textId="77777777" w:rsidTr="00961404">
        <w:trPr>
          <w:cantSplit/>
        </w:trPr>
        <w:tc>
          <w:tcPr>
            <w:tcW w:w="1984" w:type="dxa"/>
            <w:tcMar>
              <w:top w:w="80" w:type="dxa"/>
              <w:left w:w="80" w:type="dxa"/>
              <w:bottom w:w="80" w:type="dxa"/>
              <w:right w:w="80" w:type="dxa"/>
            </w:tcMar>
          </w:tcPr>
          <w:p w14:paraId="35EC763A"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C’wealth Comcare</w:t>
            </w:r>
          </w:p>
        </w:tc>
        <w:tc>
          <w:tcPr>
            <w:tcW w:w="13451" w:type="dxa"/>
            <w:tcMar>
              <w:top w:w="80" w:type="dxa"/>
              <w:left w:w="80" w:type="dxa"/>
              <w:bottom w:w="80" w:type="dxa"/>
              <w:right w:w="80" w:type="dxa"/>
            </w:tcMar>
          </w:tcPr>
          <w:p w14:paraId="4B8054AE" w14:textId="6DBBB553" w:rsidR="00F83044" w:rsidRPr="006A50FD" w:rsidRDefault="00A7538C" w:rsidP="006C5923">
            <w:pPr>
              <w:spacing w:after="60" w:line="276" w:lineRule="auto"/>
              <w:contextualSpacing/>
              <w:rPr>
                <w:rFonts w:cs="Arial"/>
                <w:color w:val="000000"/>
                <w:sz w:val="14"/>
                <w:szCs w:val="16"/>
                <w:lang w:val="en-GB"/>
              </w:rPr>
            </w:pPr>
            <w:hyperlink r:id="rId554" w:history="1">
              <w:r w:rsidR="00F83044" w:rsidRPr="00156958">
                <w:rPr>
                  <w:rStyle w:val="Hyperlink"/>
                  <w:rFonts w:cs="Arial"/>
                  <w:sz w:val="14"/>
                  <w:szCs w:val="16"/>
                  <w:lang w:val="en-GB"/>
                </w:rPr>
                <w:t>s116</w:t>
              </w:r>
            </w:hyperlink>
            <w:r w:rsidR="00F83044" w:rsidRPr="006A50FD">
              <w:rPr>
                <w:rFonts w:cs="Arial"/>
                <w:color w:val="000000"/>
                <w:sz w:val="14"/>
                <w:szCs w:val="16"/>
                <w:lang w:val="en-GB"/>
              </w:rPr>
              <w:t xml:space="preserve"> of the SRC Act 1988:</w:t>
            </w:r>
          </w:p>
          <w:p w14:paraId="153D673D" w14:textId="3810866D" w:rsidR="00F83044" w:rsidRPr="006A50FD" w:rsidRDefault="00F83044" w:rsidP="006C5923">
            <w:pPr>
              <w:spacing w:after="60" w:line="276" w:lineRule="auto"/>
              <w:contextualSpacing/>
              <w:rPr>
                <w:rFonts w:cs="Arial"/>
                <w:color w:val="000000"/>
                <w:sz w:val="14"/>
                <w:szCs w:val="16"/>
                <w:lang w:val="en-GB"/>
              </w:rPr>
            </w:pPr>
            <w:r w:rsidRPr="006A50FD">
              <w:rPr>
                <w:rFonts w:cs="Arial"/>
                <w:color w:val="000000"/>
                <w:sz w:val="14"/>
                <w:szCs w:val="16"/>
                <w:lang w:val="en-GB"/>
              </w:rPr>
              <w:t>(1) In spite of the provisions of any other Act, or an award, an employee is not entitled to be granted any kind of leave of absence with pay (other than maternity leave with pay) during, or in respect of, an</w:t>
            </w:r>
            <w:r w:rsidR="0077068C">
              <w:rPr>
                <w:rFonts w:cs="Arial"/>
                <w:color w:val="000000"/>
                <w:sz w:val="14"/>
                <w:szCs w:val="16"/>
                <w:lang w:val="en-GB"/>
              </w:rPr>
              <w:t>y</w:t>
            </w:r>
            <w:r w:rsidRPr="006A50FD">
              <w:rPr>
                <w:rFonts w:cs="Arial"/>
                <w:color w:val="000000"/>
                <w:sz w:val="14"/>
                <w:szCs w:val="16"/>
                <w:lang w:val="en-GB"/>
              </w:rPr>
              <w:t xml:space="preserve"> period when the employee is or was on post-determination compensation leave but: </w:t>
            </w:r>
          </w:p>
          <w:p w14:paraId="6FAE4255" w14:textId="77777777" w:rsidR="00F83044" w:rsidRPr="006A50FD" w:rsidRDefault="00F83044" w:rsidP="00F839DB">
            <w:pPr>
              <w:pStyle w:val="ListParagraph"/>
              <w:numPr>
                <w:ilvl w:val="0"/>
                <w:numId w:val="75"/>
              </w:numPr>
              <w:spacing w:after="60" w:line="276" w:lineRule="auto"/>
              <w:contextualSpacing/>
              <w:rPr>
                <w:rFonts w:cs="Arial"/>
                <w:color w:val="000000"/>
                <w:sz w:val="14"/>
                <w:szCs w:val="16"/>
                <w:lang w:val="en-GB"/>
              </w:rPr>
            </w:pPr>
            <w:r w:rsidRPr="006A50FD">
              <w:rPr>
                <w:rFonts w:cs="Arial"/>
                <w:color w:val="000000"/>
                <w:sz w:val="14"/>
                <w:szCs w:val="16"/>
                <w:lang w:val="en-GB"/>
              </w:rPr>
              <w:t>sick leave and recreation leave entitlements continue to accrue in relation to the employee during each of the first 45 weeks during which he or she is on post-determination compensation leave, and</w:t>
            </w:r>
          </w:p>
          <w:p w14:paraId="0B33B968" w14:textId="77777777" w:rsidR="00F83044" w:rsidRPr="006A50FD" w:rsidRDefault="00F83044" w:rsidP="00F839DB">
            <w:pPr>
              <w:pStyle w:val="ListParagraph"/>
              <w:numPr>
                <w:ilvl w:val="0"/>
                <w:numId w:val="75"/>
              </w:numPr>
              <w:spacing w:after="60"/>
              <w:ind w:left="357" w:hanging="357"/>
              <w:contextualSpacing/>
              <w:rPr>
                <w:rFonts w:cs="Arial"/>
                <w:color w:val="000000"/>
                <w:sz w:val="14"/>
                <w:szCs w:val="16"/>
                <w:lang w:val="en-GB"/>
              </w:rPr>
            </w:pPr>
            <w:r w:rsidRPr="006A50FD">
              <w:rPr>
                <w:rFonts w:cs="Arial"/>
                <w:color w:val="000000"/>
                <w:sz w:val="14"/>
                <w:szCs w:val="16"/>
                <w:lang w:val="en-GB"/>
              </w:rPr>
              <w:t>long service leave entitlements continue to accrue in relation to the employee during the whole of the period of the post-determination compensation leave; as if the employee were not absent from work.</w:t>
            </w:r>
          </w:p>
        </w:tc>
      </w:tr>
      <w:tr w:rsidR="00F83044" w:rsidRPr="006A50FD" w14:paraId="4D68EEB0" w14:textId="77777777" w:rsidTr="0039384D">
        <w:trPr>
          <w:cantSplit/>
        </w:trPr>
        <w:tc>
          <w:tcPr>
            <w:tcW w:w="1984" w:type="dxa"/>
            <w:tcBorders>
              <w:bottom w:val="single" w:sz="4" w:space="0" w:color="C00000"/>
            </w:tcBorders>
            <w:shd w:val="clear" w:color="auto" w:fill="FFC9C9"/>
            <w:tcMar>
              <w:top w:w="80" w:type="dxa"/>
              <w:left w:w="80" w:type="dxa"/>
              <w:bottom w:w="80" w:type="dxa"/>
              <w:right w:w="80" w:type="dxa"/>
            </w:tcMar>
          </w:tcPr>
          <w:p w14:paraId="2BD15FB7"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C’wealth DVA</w:t>
            </w:r>
          </w:p>
        </w:tc>
        <w:tc>
          <w:tcPr>
            <w:tcW w:w="13451" w:type="dxa"/>
            <w:shd w:val="clear" w:color="auto" w:fill="FFC9C9"/>
            <w:tcMar>
              <w:top w:w="80" w:type="dxa"/>
              <w:left w:w="80" w:type="dxa"/>
              <w:bottom w:w="80" w:type="dxa"/>
              <w:right w:w="80" w:type="dxa"/>
            </w:tcMar>
          </w:tcPr>
          <w:p w14:paraId="1A51C114" w14:textId="77777777" w:rsidR="00F83044" w:rsidRPr="006A50FD" w:rsidRDefault="00F83044" w:rsidP="006C5923">
            <w:pPr>
              <w:spacing w:after="60" w:line="276" w:lineRule="auto"/>
              <w:rPr>
                <w:rFonts w:cs="Arial"/>
                <w:color w:val="000000"/>
                <w:sz w:val="14"/>
                <w:szCs w:val="16"/>
                <w:lang w:val="en-GB"/>
              </w:rPr>
            </w:pPr>
            <w:r w:rsidRPr="006A50FD">
              <w:rPr>
                <w:rFonts w:cs="Arial"/>
                <w:color w:val="000000"/>
                <w:sz w:val="14"/>
                <w:szCs w:val="16"/>
                <w:lang w:val="en-GB"/>
              </w:rPr>
              <w:t>Nil.</w:t>
            </w:r>
          </w:p>
        </w:tc>
      </w:tr>
      <w:tr w:rsidR="00F83044" w:rsidRPr="006A50FD" w14:paraId="56B6CE36" w14:textId="77777777" w:rsidTr="0039384D">
        <w:trPr>
          <w:cantSplit/>
        </w:trPr>
        <w:tc>
          <w:tcPr>
            <w:tcW w:w="1984" w:type="dxa"/>
            <w:tcBorders>
              <w:bottom w:val="single" w:sz="4" w:space="0" w:color="C00000"/>
            </w:tcBorders>
            <w:tcMar>
              <w:top w:w="80" w:type="dxa"/>
              <w:left w:w="80" w:type="dxa"/>
              <w:bottom w:w="80" w:type="dxa"/>
              <w:right w:w="80" w:type="dxa"/>
            </w:tcMar>
          </w:tcPr>
          <w:p w14:paraId="4D99A848"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lastRenderedPageBreak/>
              <w:t>Seacare</w:t>
            </w:r>
          </w:p>
        </w:tc>
        <w:tc>
          <w:tcPr>
            <w:tcW w:w="13451" w:type="dxa"/>
            <w:tcMar>
              <w:top w:w="80" w:type="dxa"/>
              <w:left w:w="80" w:type="dxa"/>
              <w:bottom w:w="80" w:type="dxa"/>
              <w:right w:w="80" w:type="dxa"/>
            </w:tcMar>
          </w:tcPr>
          <w:p w14:paraId="1AD9C3E6" w14:textId="73022E72" w:rsidR="00F83044" w:rsidRPr="006A50FD" w:rsidRDefault="00A7538C" w:rsidP="006C5923">
            <w:pPr>
              <w:spacing w:after="60"/>
              <w:rPr>
                <w:rFonts w:cs="Arial"/>
                <w:color w:val="000000"/>
                <w:sz w:val="14"/>
                <w:szCs w:val="16"/>
                <w:lang w:val="en-GB"/>
              </w:rPr>
            </w:pPr>
            <w:hyperlink r:id="rId555" w:history="1">
              <w:r w:rsidR="00F83044" w:rsidRPr="00156958">
                <w:rPr>
                  <w:rStyle w:val="Hyperlink"/>
                  <w:rFonts w:cs="Arial"/>
                  <w:sz w:val="14"/>
                  <w:szCs w:val="16"/>
                  <w:lang w:val="en-GB"/>
                </w:rPr>
                <w:t>Section 137</w:t>
              </w:r>
            </w:hyperlink>
            <w:r w:rsidR="00F83044" w:rsidRPr="006A50FD">
              <w:rPr>
                <w:rFonts w:cs="Arial"/>
                <w:color w:val="000000"/>
                <w:sz w:val="14"/>
                <w:szCs w:val="16"/>
                <w:lang w:val="en-GB"/>
              </w:rPr>
              <w:t xml:space="preserve"> of the </w:t>
            </w:r>
            <w:r w:rsidR="00BB412D" w:rsidRPr="00016069">
              <w:rPr>
                <w:i/>
                <w:sz w:val="14"/>
              </w:rPr>
              <w:t>Seafarers Rehabilitation and Compensation Act 1992</w:t>
            </w:r>
            <w:r w:rsidR="00F83044" w:rsidRPr="006A50FD">
              <w:rPr>
                <w:rFonts w:cs="Arial"/>
                <w:color w:val="000000"/>
                <w:sz w:val="14"/>
                <w:szCs w:val="16"/>
                <w:lang w:val="en-GB"/>
              </w:rPr>
              <w:t>:</w:t>
            </w:r>
          </w:p>
          <w:p w14:paraId="2F3D1E0E" w14:textId="77777777" w:rsidR="00F83044" w:rsidRPr="006A50FD" w:rsidRDefault="00F83044" w:rsidP="006C5923">
            <w:pPr>
              <w:spacing w:after="60"/>
              <w:rPr>
                <w:rFonts w:cs="Arial"/>
                <w:color w:val="000000"/>
                <w:sz w:val="14"/>
                <w:szCs w:val="16"/>
                <w:lang w:val="en-GB"/>
              </w:rPr>
            </w:pPr>
            <w:r w:rsidRPr="006A50FD">
              <w:rPr>
                <w:rFonts w:cs="Arial"/>
                <w:color w:val="000000"/>
                <w:sz w:val="14"/>
                <w:szCs w:val="16"/>
                <w:lang w:val="en-GB"/>
              </w:rPr>
              <w:t>Despite any other Act, or any award, an employee is not entitled to be granted any kind of leave with pay (other than maternity leave with pay) during, or in respect of, any period when the employee is or was on compensation leave, but long service leave entitlements continue to accrue in relation to the employee in accordance with the applicable industrial instrument or National Employment Standards.</w:t>
            </w:r>
          </w:p>
        </w:tc>
      </w:tr>
      <w:tr w:rsidR="00F83044" w:rsidRPr="006A50FD" w14:paraId="3F91CC63" w14:textId="77777777" w:rsidTr="0039384D">
        <w:trPr>
          <w:cantSplit/>
        </w:trPr>
        <w:tc>
          <w:tcPr>
            <w:tcW w:w="1984" w:type="dxa"/>
            <w:tcBorders>
              <w:top w:val="single" w:sz="4" w:space="0" w:color="C00000"/>
            </w:tcBorders>
            <w:shd w:val="clear" w:color="auto" w:fill="FFC9C9"/>
            <w:tcMar>
              <w:top w:w="80" w:type="dxa"/>
              <w:left w:w="80" w:type="dxa"/>
              <w:bottom w:w="80" w:type="dxa"/>
              <w:right w:w="80" w:type="dxa"/>
            </w:tcMar>
          </w:tcPr>
          <w:p w14:paraId="3E11C043" w14:textId="77777777" w:rsidR="00F83044" w:rsidRPr="006A50FD" w:rsidRDefault="00F83044" w:rsidP="006C5923">
            <w:pPr>
              <w:spacing w:after="60"/>
              <w:rPr>
                <w:rFonts w:eastAsia="Calibri" w:cs="Arial"/>
                <w:b/>
                <w:sz w:val="16"/>
                <w:szCs w:val="16"/>
                <w:lang w:eastAsia="en-US"/>
              </w:rPr>
            </w:pPr>
            <w:r w:rsidRPr="006A50FD">
              <w:rPr>
                <w:rFonts w:eastAsia="Calibri" w:cs="Arial"/>
                <w:b/>
                <w:sz w:val="16"/>
                <w:szCs w:val="16"/>
                <w:lang w:eastAsia="en-US"/>
              </w:rPr>
              <w:t>New Zealand</w:t>
            </w:r>
          </w:p>
        </w:tc>
        <w:tc>
          <w:tcPr>
            <w:tcW w:w="13451" w:type="dxa"/>
            <w:shd w:val="clear" w:color="auto" w:fill="FFC9C9"/>
            <w:tcMar>
              <w:top w:w="80" w:type="dxa"/>
              <w:left w:w="80" w:type="dxa"/>
              <w:bottom w:w="80" w:type="dxa"/>
              <w:right w:w="80" w:type="dxa"/>
            </w:tcMar>
          </w:tcPr>
          <w:p w14:paraId="4A09B197" w14:textId="77777777" w:rsidR="00F83044" w:rsidRDefault="00F83044" w:rsidP="00F839DB">
            <w:pPr>
              <w:pStyle w:val="ListParagraph"/>
              <w:numPr>
                <w:ilvl w:val="0"/>
                <w:numId w:val="76"/>
              </w:numPr>
              <w:spacing w:after="60"/>
              <w:contextualSpacing/>
              <w:rPr>
                <w:rFonts w:eastAsia="Calibri" w:cs="Arial"/>
                <w:sz w:val="14"/>
                <w:szCs w:val="14"/>
                <w:lang w:eastAsia="en-US"/>
              </w:rPr>
            </w:pPr>
            <w:r w:rsidRPr="006A50FD">
              <w:rPr>
                <w:rFonts w:eastAsia="Calibri" w:cs="Arial"/>
                <w:sz w:val="14"/>
                <w:szCs w:val="14"/>
                <w:lang w:eastAsia="en-US"/>
              </w:rPr>
              <w:t>A client [employee] has a period of annual leave in the 52 weeks before the commencement of his incapacity. What is the effect of that annual leave on the calculation of his weekly benefit?</w:t>
            </w:r>
          </w:p>
          <w:p w14:paraId="70EED33B" w14:textId="77777777" w:rsidR="00F83044" w:rsidRPr="00153F5B" w:rsidRDefault="00F83044" w:rsidP="00AC7B0B">
            <w:pPr>
              <w:spacing w:after="60"/>
              <w:ind w:left="357"/>
              <w:contextualSpacing/>
              <w:rPr>
                <w:rFonts w:eastAsia="Calibri" w:cs="Arial"/>
                <w:sz w:val="14"/>
                <w:szCs w:val="14"/>
                <w:lang w:eastAsia="en-US"/>
              </w:rPr>
            </w:pPr>
            <w:r w:rsidRPr="00153F5B">
              <w:rPr>
                <w:rFonts w:eastAsia="Calibri" w:cs="Arial"/>
                <w:sz w:val="14"/>
                <w:szCs w:val="14"/>
                <w:lang w:eastAsia="en-US"/>
              </w:rPr>
              <w:t>Answer: ‘Earnings as an employee’ means all payments received by the client in the 52 weeks before the commencement of the incapacity that are subject to tax deductions.</w:t>
            </w:r>
          </w:p>
          <w:p w14:paraId="152A756C" w14:textId="77777777" w:rsidR="00F83044" w:rsidRPr="006A50FD" w:rsidRDefault="00F83044" w:rsidP="00F839DB">
            <w:pPr>
              <w:pStyle w:val="ListParagraph"/>
              <w:numPr>
                <w:ilvl w:val="0"/>
                <w:numId w:val="76"/>
              </w:numPr>
              <w:spacing w:after="60"/>
              <w:contextualSpacing/>
              <w:rPr>
                <w:rFonts w:eastAsia="Calibri" w:cs="Arial"/>
                <w:sz w:val="14"/>
                <w:szCs w:val="14"/>
                <w:lang w:eastAsia="en-US"/>
              </w:rPr>
            </w:pPr>
            <w:r w:rsidRPr="006A50FD">
              <w:rPr>
                <w:rFonts w:eastAsia="Calibri" w:cs="Arial"/>
                <w:sz w:val="14"/>
                <w:szCs w:val="14"/>
                <w:lang w:eastAsia="en-US"/>
              </w:rPr>
              <w:t>A client in receipt of weekly compensation has made a partial return to work and is receiving partial weekly compensation. What is the effect on his weekly compensation if he takes a period of annual leave from his employment and receives holiday pay?</w:t>
            </w:r>
          </w:p>
          <w:p w14:paraId="18E774CC" w14:textId="77777777" w:rsidR="00F83044" w:rsidRPr="006A50FD" w:rsidRDefault="00F83044" w:rsidP="00AC7B0B">
            <w:pPr>
              <w:spacing w:after="60" w:line="276" w:lineRule="auto"/>
              <w:ind w:left="357"/>
              <w:rPr>
                <w:rFonts w:cs="Arial"/>
                <w:color w:val="000000"/>
                <w:sz w:val="14"/>
                <w:szCs w:val="16"/>
                <w:lang w:val="en-GB"/>
              </w:rPr>
            </w:pPr>
            <w:r w:rsidRPr="006A50FD">
              <w:rPr>
                <w:rFonts w:cs="Arial"/>
                <w:color w:val="000000"/>
                <w:sz w:val="14"/>
                <w:szCs w:val="16"/>
                <w:lang w:val="en-GB"/>
              </w:rPr>
              <w:t>Answer: In this scenario ACC would be required to abate the full amount of the holiday pay that he received, reducing the rate of weekly compensation that he received. ACC is also required to abate the full amount of any payment that the client receives for any statutory holiday.</w:t>
            </w:r>
          </w:p>
          <w:p w14:paraId="0278714F" w14:textId="77777777" w:rsidR="00F83044" w:rsidRPr="006A50FD" w:rsidRDefault="00F83044" w:rsidP="00F839DB">
            <w:pPr>
              <w:pStyle w:val="ListParagraph"/>
              <w:numPr>
                <w:ilvl w:val="0"/>
                <w:numId w:val="76"/>
              </w:numPr>
              <w:spacing w:after="60"/>
              <w:contextualSpacing/>
              <w:rPr>
                <w:rFonts w:eastAsia="Calibri" w:cs="Arial"/>
                <w:sz w:val="14"/>
                <w:szCs w:val="14"/>
                <w:lang w:eastAsia="en-US"/>
              </w:rPr>
            </w:pPr>
            <w:r w:rsidRPr="006A50FD">
              <w:rPr>
                <w:rFonts w:eastAsia="Calibri" w:cs="Arial"/>
                <w:sz w:val="14"/>
                <w:szCs w:val="14"/>
                <w:lang w:eastAsia="en-US"/>
              </w:rPr>
              <w:t>A client in receipt of full unabated weekly compensation receives holiday pay on termination of employment. </w:t>
            </w:r>
          </w:p>
          <w:p w14:paraId="619F83D7" w14:textId="77777777" w:rsidR="00F83044" w:rsidRPr="006A50FD" w:rsidRDefault="00F83044" w:rsidP="00AC7B0B">
            <w:pPr>
              <w:spacing w:after="60" w:line="276" w:lineRule="auto"/>
              <w:ind w:left="357"/>
              <w:rPr>
                <w:rFonts w:cs="Arial"/>
                <w:color w:val="000000"/>
                <w:sz w:val="14"/>
                <w:szCs w:val="16"/>
                <w:lang w:val="en-GB"/>
              </w:rPr>
            </w:pPr>
            <w:r w:rsidRPr="006A50FD">
              <w:rPr>
                <w:rFonts w:cs="Arial"/>
                <w:color w:val="000000"/>
                <w:sz w:val="14"/>
                <w:szCs w:val="16"/>
                <w:lang w:val="en-GB"/>
              </w:rPr>
              <w:t xml:space="preserve">Answer: In such a situation, the holiday pay would be abated. The period over which it is abated depends on whether the holiday pay is for a specific period. If it is for a specific period (i.e. four weeks and three days), it is abated over that period. </w:t>
            </w:r>
          </w:p>
        </w:tc>
      </w:tr>
    </w:tbl>
    <w:p w14:paraId="7EC0C65D" w14:textId="77777777" w:rsidR="00F83044" w:rsidRPr="00C66972" w:rsidRDefault="00F83044" w:rsidP="00C66972">
      <w:pPr>
        <w:spacing w:after="200" w:line="276" w:lineRule="auto"/>
        <w:rPr>
          <w:rFonts w:eastAsiaTheme="minorHAnsi"/>
        </w:rPr>
      </w:pPr>
    </w:p>
    <w:p w14:paraId="07523A91" w14:textId="4B1E83E9" w:rsidR="00D55DE0" w:rsidRPr="00A80282" w:rsidRDefault="00D55DE0" w:rsidP="00A80282">
      <w:pPr>
        <w:pStyle w:val="SWATableheader"/>
      </w:pPr>
      <w:bookmarkStart w:id="70" w:name="_Toc504654652"/>
      <w:r w:rsidRPr="00A80282">
        <w:lastRenderedPageBreak/>
        <w:t>Table 2.14: Superannuation and workers’ compensation</w:t>
      </w:r>
      <w:bookmarkEnd w:id="70"/>
      <w:r w:rsidRPr="00A80282">
        <w:t xml:space="preserve"> </w:t>
      </w:r>
      <w:r w:rsidR="00184441" w:rsidRPr="00A80282">
        <w:fldChar w:fldCharType="begin"/>
      </w:r>
      <w:r w:rsidR="00184441" w:rsidRPr="00A80282">
        <w:instrText xml:space="preserve"> XE "coverage of workers:superannuation and workers' compensation" </w:instrText>
      </w:r>
      <w:r w:rsidR="00184441" w:rsidRPr="00A80282">
        <w:fldChar w:fldCharType="end"/>
      </w:r>
      <w:r w:rsidR="003D18DA" w:rsidRPr="00A80282">
        <w:fldChar w:fldCharType="begin"/>
      </w:r>
      <w:r w:rsidR="003D18DA" w:rsidRPr="00A80282">
        <w:instrText xml:space="preserve"> XE "premiums:calculation (superannuation inclusion)" </w:instrText>
      </w:r>
      <w:r w:rsidR="003D18DA" w:rsidRPr="00A80282">
        <w:fldChar w:fldCharType="end"/>
      </w:r>
      <w:r w:rsidR="00CA3CD4" w:rsidRPr="00A80282">
        <w:fldChar w:fldCharType="begin"/>
      </w:r>
      <w:r w:rsidR="00CA3CD4" w:rsidRPr="00A80282">
        <w:instrText xml:space="preserve"> XE "superannuation:included in wages for premium calculations" </w:instrText>
      </w:r>
      <w:r w:rsidR="00CA3CD4" w:rsidRPr="00A80282">
        <w:fldChar w:fldCharType="end"/>
      </w:r>
      <w:r w:rsidR="00CA3CD4" w:rsidRPr="00A80282">
        <w:t xml:space="preserve"> </w:t>
      </w:r>
      <w:r w:rsidR="00CA3CD4" w:rsidRPr="00A80282">
        <w:fldChar w:fldCharType="begin"/>
      </w:r>
      <w:r w:rsidR="00CA3CD4" w:rsidRPr="00A80282">
        <w:instrText xml:space="preserve"> XE "superannuation:included with income replacement payments"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4: Superannuation and workers’ compensation  "/>
        <w:tblDescription w:val="This table provides information about superannuation under each of the workers' compensation schemes. "/>
      </w:tblPr>
      <w:tblGrid>
        <w:gridCol w:w="2268"/>
        <w:gridCol w:w="5811"/>
        <w:gridCol w:w="7356"/>
      </w:tblGrid>
      <w:tr w:rsidR="00D55DE0" w:rsidRPr="00D55DE0" w14:paraId="27300441" w14:textId="77777777" w:rsidTr="00FB729B">
        <w:trPr>
          <w:tblHeader/>
        </w:trPr>
        <w:tc>
          <w:tcPr>
            <w:tcW w:w="2268" w:type="dxa"/>
            <w:shd w:val="clear" w:color="auto" w:fill="C00000"/>
            <w:tcMar>
              <w:top w:w="0" w:type="dxa"/>
              <w:left w:w="0" w:type="dxa"/>
              <w:bottom w:w="0" w:type="dxa"/>
              <w:right w:w="0" w:type="dxa"/>
            </w:tcMar>
            <w:vAlign w:val="center"/>
          </w:tcPr>
          <w:p w14:paraId="789D6E77" w14:textId="77777777" w:rsidR="00D55DE0" w:rsidRPr="00D55DE0" w:rsidRDefault="00D55DE0" w:rsidP="00B21723">
            <w:pPr>
              <w:spacing w:after="60"/>
              <w:rPr>
                <w:rFonts w:eastAsia="Calibri" w:cs="Arial"/>
                <w:b/>
                <w:color w:val="FFFFFF"/>
                <w:sz w:val="18"/>
                <w:szCs w:val="18"/>
                <w:lang w:eastAsia="en-US"/>
              </w:rPr>
            </w:pPr>
          </w:p>
        </w:tc>
        <w:tc>
          <w:tcPr>
            <w:tcW w:w="5811" w:type="dxa"/>
            <w:shd w:val="clear" w:color="auto" w:fill="C00000"/>
            <w:tcMar>
              <w:top w:w="0" w:type="dxa"/>
              <w:left w:w="0" w:type="dxa"/>
              <w:bottom w:w="0" w:type="dxa"/>
              <w:right w:w="0" w:type="dxa"/>
            </w:tcMar>
            <w:vAlign w:val="center"/>
          </w:tcPr>
          <w:p w14:paraId="4AA3C85C" w14:textId="77777777" w:rsidR="00D55DE0" w:rsidRPr="00D55DE0" w:rsidRDefault="00D55DE0" w:rsidP="00B21723">
            <w:pPr>
              <w:spacing w:after="60"/>
              <w:rPr>
                <w:rFonts w:eastAsia="Calibri" w:cs="Arial"/>
                <w:b/>
                <w:color w:val="FFFFFF"/>
                <w:sz w:val="18"/>
                <w:szCs w:val="18"/>
                <w:lang w:eastAsia="en-US"/>
              </w:rPr>
            </w:pPr>
            <w:r w:rsidRPr="00D55DE0">
              <w:rPr>
                <w:rFonts w:eastAsia="Calibri" w:cs="Arial"/>
                <w:b/>
                <w:color w:val="FFFFFF"/>
                <w:sz w:val="18"/>
                <w:szCs w:val="18"/>
                <w:lang w:eastAsia="en-US"/>
              </w:rPr>
              <w:t>Included in wages for premium calculations</w:t>
            </w:r>
          </w:p>
        </w:tc>
        <w:tc>
          <w:tcPr>
            <w:tcW w:w="7356" w:type="dxa"/>
            <w:shd w:val="clear" w:color="auto" w:fill="C00000"/>
            <w:tcMar>
              <w:top w:w="0" w:type="dxa"/>
              <w:left w:w="0" w:type="dxa"/>
              <w:bottom w:w="0" w:type="dxa"/>
              <w:right w:w="0" w:type="dxa"/>
            </w:tcMar>
            <w:vAlign w:val="center"/>
          </w:tcPr>
          <w:p w14:paraId="084A5874" w14:textId="77777777" w:rsidR="00D55DE0" w:rsidRPr="00D55DE0" w:rsidRDefault="00D55DE0" w:rsidP="00B21723">
            <w:pPr>
              <w:spacing w:after="60"/>
              <w:rPr>
                <w:rFonts w:eastAsia="Calibri" w:cs="Arial"/>
                <w:b/>
                <w:color w:val="FFFFFF"/>
                <w:sz w:val="18"/>
                <w:szCs w:val="18"/>
                <w:lang w:eastAsia="en-US"/>
              </w:rPr>
            </w:pPr>
            <w:r w:rsidRPr="00D55DE0">
              <w:rPr>
                <w:rFonts w:eastAsia="Calibri" w:cs="Arial"/>
                <w:b/>
                <w:color w:val="FFFFFF"/>
                <w:sz w:val="18"/>
                <w:szCs w:val="18"/>
                <w:lang w:eastAsia="en-US"/>
              </w:rPr>
              <w:t>Included with income replacement payments</w:t>
            </w:r>
          </w:p>
        </w:tc>
      </w:tr>
      <w:tr w:rsidR="00D55DE0" w:rsidRPr="00D55DE0" w14:paraId="0A40D5A5" w14:textId="77777777" w:rsidTr="00FB729B">
        <w:tc>
          <w:tcPr>
            <w:tcW w:w="2268" w:type="dxa"/>
            <w:shd w:val="clear" w:color="auto" w:fill="FFC9C9"/>
            <w:tcMar>
              <w:top w:w="80" w:type="dxa"/>
              <w:left w:w="80" w:type="dxa"/>
              <w:bottom w:w="80" w:type="dxa"/>
              <w:right w:w="80" w:type="dxa"/>
            </w:tcMar>
          </w:tcPr>
          <w:p w14:paraId="781FE83C"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New South Wales</w:t>
            </w:r>
          </w:p>
        </w:tc>
        <w:tc>
          <w:tcPr>
            <w:tcW w:w="5811" w:type="dxa"/>
            <w:shd w:val="clear" w:color="auto" w:fill="FFC9C9"/>
            <w:tcMar>
              <w:top w:w="80" w:type="dxa"/>
              <w:left w:w="80" w:type="dxa"/>
              <w:bottom w:w="80" w:type="dxa"/>
              <w:right w:w="80" w:type="dxa"/>
            </w:tcMar>
          </w:tcPr>
          <w:p w14:paraId="7B1D2F98" w14:textId="711CB45C"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w:t>
            </w:r>
          </w:p>
        </w:tc>
        <w:tc>
          <w:tcPr>
            <w:tcW w:w="7356" w:type="dxa"/>
            <w:shd w:val="clear" w:color="auto" w:fill="FFC9C9"/>
            <w:tcMar>
              <w:top w:w="80" w:type="dxa"/>
              <w:left w:w="80" w:type="dxa"/>
              <w:bottom w:w="80" w:type="dxa"/>
              <w:right w:w="80" w:type="dxa"/>
            </w:tcMar>
          </w:tcPr>
          <w:p w14:paraId="29B7C658" w14:textId="77777777"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r>
      <w:tr w:rsidR="00D55DE0" w:rsidRPr="00D55DE0" w14:paraId="1DF6274E" w14:textId="77777777" w:rsidTr="00FB729B">
        <w:tc>
          <w:tcPr>
            <w:tcW w:w="2268" w:type="dxa"/>
            <w:tcMar>
              <w:top w:w="80" w:type="dxa"/>
              <w:left w:w="80" w:type="dxa"/>
              <w:bottom w:w="80" w:type="dxa"/>
              <w:right w:w="80" w:type="dxa"/>
            </w:tcMar>
          </w:tcPr>
          <w:p w14:paraId="7450CCD7"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Victoria</w:t>
            </w:r>
          </w:p>
        </w:tc>
        <w:tc>
          <w:tcPr>
            <w:tcW w:w="5811" w:type="dxa"/>
            <w:tcMar>
              <w:top w:w="80" w:type="dxa"/>
              <w:left w:w="80" w:type="dxa"/>
              <w:bottom w:w="80" w:type="dxa"/>
              <w:right w:w="80" w:type="dxa"/>
            </w:tcMar>
          </w:tcPr>
          <w:p w14:paraId="5ACF5342" w14:textId="75402B99"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w:t>
            </w:r>
          </w:p>
        </w:tc>
        <w:tc>
          <w:tcPr>
            <w:tcW w:w="7356" w:type="dxa"/>
            <w:tcMar>
              <w:top w:w="80" w:type="dxa"/>
              <w:left w:w="80" w:type="dxa"/>
              <w:bottom w:w="80" w:type="dxa"/>
              <w:right w:w="80" w:type="dxa"/>
            </w:tcMar>
          </w:tcPr>
          <w:p w14:paraId="5EB9EE41" w14:textId="18D03F99" w:rsidR="00D55DE0" w:rsidRPr="00D55DE0" w:rsidRDefault="00F6068C" w:rsidP="00B21723">
            <w:pPr>
              <w:spacing w:after="60"/>
              <w:rPr>
                <w:rFonts w:eastAsia="Calibri" w:cs="Arial"/>
                <w:sz w:val="14"/>
                <w:szCs w:val="14"/>
                <w:lang w:eastAsia="en-US"/>
              </w:rPr>
            </w:pPr>
            <w:r>
              <w:rPr>
                <w:rFonts w:eastAsia="Calibri" w:cs="Arial"/>
                <w:sz w:val="14"/>
                <w:szCs w:val="14"/>
                <w:lang w:eastAsia="en-US"/>
              </w:rPr>
              <w:t xml:space="preserve">No, however, </w:t>
            </w:r>
            <w:r w:rsidR="00D55DE0" w:rsidRPr="00D55DE0">
              <w:rPr>
                <w:rFonts w:eastAsia="Calibri" w:cs="Arial"/>
                <w:sz w:val="14"/>
                <w:szCs w:val="14"/>
                <w:lang w:eastAsia="en-US"/>
              </w:rPr>
              <w:t xml:space="preserve">workers are entitled to compensation in the form of superannuation contributions if weekly payments have been paid or payable for an aggregate period of 52 weeks and not ceased to be paid or payable and worker has not reached 65 years — </w:t>
            </w:r>
            <w:hyperlink r:id="rId556" w:history="1">
              <w:r w:rsidR="00D55DE0" w:rsidRPr="00AB0531">
                <w:rPr>
                  <w:rStyle w:val="Hyperlink"/>
                  <w:rFonts w:eastAsia="Calibri" w:cs="Arial"/>
                  <w:sz w:val="14"/>
                  <w:szCs w:val="14"/>
                  <w:lang w:eastAsia="en-US"/>
                </w:rPr>
                <w:t>s168</w:t>
              </w:r>
            </w:hyperlink>
            <w:r w:rsidR="00D55DE0" w:rsidRPr="00D55DE0">
              <w:rPr>
                <w:rFonts w:eastAsia="Calibri" w:cs="Arial"/>
                <w:sz w:val="14"/>
                <w:szCs w:val="14"/>
                <w:lang w:eastAsia="en-US"/>
              </w:rPr>
              <w:t>.</w:t>
            </w:r>
          </w:p>
        </w:tc>
      </w:tr>
      <w:tr w:rsidR="00D55DE0" w:rsidRPr="00D55DE0" w14:paraId="4CE134C7" w14:textId="77777777" w:rsidTr="00FB729B">
        <w:tc>
          <w:tcPr>
            <w:tcW w:w="2268" w:type="dxa"/>
            <w:shd w:val="clear" w:color="auto" w:fill="FFC9C9"/>
            <w:tcMar>
              <w:top w:w="80" w:type="dxa"/>
              <w:left w:w="80" w:type="dxa"/>
              <w:bottom w:w="80" w:type="dxa"/>
              <w:right w:w="80" w:type="dxa"/>
            </w:tcMar>
          </w:tcPr>
          <w:p w14:paraId="074EA033"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Queensland</w:t>
            </w:r>
          </w:p>
        </w:tc>
        <w:tc>
          <w:tcPr>
            <w:tcW w:w="5811" w:type="dxa"/>
            <w:shd w:val="clear" w:color="auto" w:fill="FFC9C9"/>
            <w:tcMar>
              <w:top w:w="80" w:type="dxa"/>
              <w:left w:w="80" w:type="dxa"/>
              <w:bottom w:w="80" w:type="dxa"/>
              <w:right w:w="80" w:type="dxa"/>
            </w:tcMar>
          </w:tcPr>
          <w:p w14:paraId="6E64753A" w14:textId="39D5884A"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w:t>
            </w:r>
          </w:p>
        </w:tc>
        <w:tc>
          <w:tcPr>
            <w:tcW w:w="7356" w:type="dxa"/>
            <w:shd w:val="clear" w:color="auto" w:fill="FFC9C9"/>
            <w:tcMar>
              <w:top w:w="80" w:type="dxa"/>
              <w:left w:w="80" w:type="dxa"/>
              <w:bottom w:w="80" w:type="dxa"/>
              <w:right w:w="80" w:type="dxa"/>
            </w:tcMar>
          </w:tcPr>
          <w:p w14:paraId="1EF234D3" w14:textId="4FDA5486"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r>
      <w:tr w:rsidR="00D55DE0" w:rsidRPr="00D55DE0" w14:paraId="701F0321" w14:textId="77777777" w:rsidTr="00FB729B">
        <w:tc>
          <w:tcPr>
            <w:tcW w:w="2268" w:type="dxa"/>
            <w:tcMar>
              <w:top w:w="80" w:type="dxa"/>
              <w:left w:w="80" w:type="dxa"/>
              <w:bottom w:w="80" w:type="dxa"/>
              <w:right w:w="80" w:type="dxa"/>
            </w:tcMar>
          </w:tcPr>
          <w:p w14:paraId="76B2A3FC"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Western Australia</w:t>
            </w:r>
          </w:p>
        </w:tc>
        <w:tc>
          <w:tcPr>
            <w:tcW w:w="5811" w:type="dxa"/>
            <w:tcMar>
              <w:top w:w="80" w:type="dxa"/>
              <w:left w:w="80" w:type="dxa"/>
              <w:bottom w:w="80" w:type="dxa"/>
              <w:right w:w="80" w:type="dxa"/>
            </w:tcMar>
          </w:tcPr>
          <w:p w14:paraId="3E49F7C1" w14:textId="5A4CB7E3" w:rsidR="00D55DE0" w:rsidRPr="00D55DE0" w:rsidRDefault="00F6068C" w:rsidP="00B21723">
            <w:pPr>
              <w:spacing w:after="60"/>
              <w:rPr>
                <w:rFonts w:eastAsia="Calibri" w:cs="Arial"/>
                <w:sz w:val="14"/>
                <w:szCs w:val="14"/>
                <w:lang w:eastAsia="en-US"/>
              </w:rPr>
            </w:pPr>
            <w:r>
              <w:rPr>
                <w:rFonts w:eastAsia="Calibri" w:cs="Arial"/>
                <w:sz w:val="14"/>
                <w:szCs w:val="14"/>
                <w:lang w:eastAsia="en-US"/>
              </w:rPr>
              <w:t>Yes (Worker Contributions)</w:t>
            </w:r>
          </w:p>
          <w:p w14:paraId="36B26EAC" w14:textId="0E8AF3DD"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 (Contribu</w:t>
            </w:r>
            <w:r w:rsidR="00F6068C">
              <w:rPr>
                <w:rFonts w:eastAsia="Calibri" w:cs="Arial"/>
                <w:sz w:val="14"/>
                <w:szCs w:val="14"/>
                <w:lang w:eastAsia="en-US"/>
              </w:rPr>
              <w:t>tions required by force of law)</w:t>
            </w:r>
          </w:p>
        </w:tc>
        <w:tc>
          <w:tcPr>
            <w:tcW w:w="7356" w:type="dxa"/>
            <w:tcMar>
              <w:top w:w="80" w:type="dxa"/>
              <w:left w:w="80" w:type="dxa"/>
              <w:bottom w:w="80" w:type="dxa"/>
              <w:right w:w="80" w:type="dxa"/>
            </w:tcMar>
          </w:tcPr>
          <w:p w14:paraId="764C81DD" w14:textId="05E98A20"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r>
      <w:tr w:rsidR="00D55DE0" w:rsidRPr="00D55DE0" w14:paraId="1C9A545A" w14:textId="77777777" w:rsidTr="00FB729B">
        <w:tc>
          <w:tcPr>
            <w:tcW w:w="2268" w:type="dxa"/>
            <w:shd w:val="clear" w:color="auto" w:fill="FFC9C9"/>
            <w:tcMar>
              <w:top w:w="80" w:type="dxa"/>
              <w:left w:w="80" w:type="dxa"/>
              <w:bottom w:w="80" w:type="dxa"/>
              <w:right w:w="80" w:type="dxa"/>
            </w:tcMar>
          </w:tcPr>
          <w:p w14:paraId="70C7EEF7"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South Australia</w:t>
            </w:r>
          </w:p>
        </w:tc>
        <w:tc>
          <w:tcPr>
            <w:tcW w:w="5811" w:type="dxa"/>
            <w:shd w:val="clear" w:color="auto" w:fill="FFC9C9"/>
            <w:tcMar>
              <w:top w:w="80" w:type="dxa"/>
              <w:left w:w="80" w:type="dxa"/>
              <w:bottom w:w="80" w:type="dxa"/>
              <w:right w:w="80" w:type="dxa"/>
            </w:tcMar>
          </w:tcPr>
          <w:p w14:paraId="41275BD0" w14:textId="4C376418"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w:t>
            </w:r>
          </w:p>
        </w:tc>
        <w:tc>
          <w:tcPr>
            <w:tcW w:w="7356" w:type="dxa"/>
            <w:shd w:val="clear" w:color="auto" w:fill="FFC9C9"/>
            <w:tcMar>
              <w:top w:w="80" w:type="dxa"/>
              <w:left w:w="80" w:type="dxa"/>
              <w:bottom w:w="80" w:type="dxa"/>
              <w:right w:w="80" w:type="dxa"/>
            </w:tcMar>
          </w:tcPr>
          <w:p w14:paraId="1DFA0B90" w14:textId="54A4A766"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 xml:space="preserve">No, however, any amount otherwise payable to the worker that has been the subject of a voluntary salary sacrifice arrangement by the worker for superannuation purposes is included in the average weekly earnings calculation </w:t>
            </w:r>
            <w:r w:rsidR="009F1DE8">
              <w:rPr>
                <w:rFonts w:eastAsia="Calibri" w:cs="Arial"/>
                <w:sz w:val="14"/>
                <w:szCs w:val="14"/>
                <w:lang w:eastAsia="en-US"/>
              </w:rPr>
              <w:t xml:space="preserve">— </w:t>
            </w:r>
            <w:r w:rsidR="002276E5">
              <w:rPr>
                <w:rFonts w:eastAsia="Calibri" w:cs="Arial"/>
                <w:color w:val="0000FF"/>
                <w:sz w:val="14"/>
                <w:szCs w:val="14"/>
                <w:u w:val="single"/>
                <w:lang w:eastAsia="en-US"/>
              </w:rPr>
              <w:t>s5(13)(a)</w:t>
            </w:r>
            <w:r w:rsidR="00F6068C">
              <w:rPr>
                <w:rFonts w:eastAsia="Calibri" w:cs="Arial"/>
                <w:color w:val="0000FF"/>
                <w:sz w:val="14"/>
                <w:szCs w:val="14"/>
                <w:u w:val="single"/>
                <w:lang w:eastAsia="en-US"/>
              </w:rPr>
              <w:t>.</w:t>
            </w:r>
          </w:p>
        </w:tc>
      </w:tr>
      <w:tr w:rsidR="00D55DE0" w:rsidRPr="00D55DE0" w14:paraId="6ABBA579" w14:textId="77777777" w:rsidTr="00FB729B">
        <w:tc>
          <w:tcPr>
            <w:tcW w:w="2268" w:type="dxa"/>
            <w:tcMar>
              <w:top w:w="80" w:type="dxa"/>
              <w:left w:w="80" w:type="dxa"/>
              <w:bottom w:w="80" w:type="dxa"/>
              <w:right w:w="80" w:type="dxa"/>
            </w:tcMar>
          </w:tcPr>
          <w:p w14:paraId="67A2CDA5"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Tasmania</w:t>
            </w:r>
          </w:p>
        </w:tc>
        <w:tc>
          <w:tcPr>
            <w:tcW w:w="5811" w:type="dxa"/>
            <w:tcMar>
              <w:top w:w="80" w:type="dxa"/>
              <w:left w:w="80" w:type="dxa"/>
              <w:bottom w:w="80" w:type="dxa"/>
              <w:right w:w="80" w:type="dxa"/>
            </w:tcMar>
          </w:tcPr>
          <w:p w14:paraId="6BB821AF" w14:textId="7750C871" w:rsidR="00D55DE0" w:rsidRPr="00D55DE0" w:rsidRDefault="00F6068C" w:rsidP="00B21723">
            <w:pPr>
              <w:spacing w:after="60"/>
              <w:rPr>
                <w:rFonts w:eastAsia="Calibri" w:cs="Arial"/>
                <w:sz w:val="14"/>
                <w:szCs w:val="14"/>
                <w:lang w:eastAsia="en-US"/>
              </w:rPr>
            </w:pPr>
            <w:r>
              <w:rPr>
                <w:rFonts w:eastAsia="Calibri" w:cs="Arial"/>
                <w:sz w:val="14"/>
                <w:szCs w:val="14"/>
                <w:lang w:eastAsia="en-US"/>
              </w:rPr>
              <w:t xml:space="preserve">Yes </w:t>
            </w:r>
            <w:r w:rsidRPr="00F6068C">
              <w:rPr>
                <w:rFonts w:eastAsia="Calibri" w:cs="Arial"/>
                <w:sz w:val="14"/>
                <w:szCs w:val="14"/>
                <w:lang w:eastAsia="en-US"/>
              </w:rPr>
              <w:t xml:space="preserve">— </w:t>
            </w:r>
            <w:r>
              <w:rPr>
                <w:rFonts w:eastAsia="Calibri" w:cs="Arial"/>
                <w:sz w:val="14"/>
                <w:szCs w:val="14"/>
                <w:lang w:eastAsia="en-US"/>
              </w:rPr>
              <w:t>salary sacrifice only</w:t>
            </w:r>
            <w:r w:rsidR="00D55DE0" w:rsidRPr="00D55DE0">
              <w:rPr>
                <w:rFonts w:eastAsia="Calibri" w:cs="Arial"/>
                <w:sz w:val="14"/>
                <w:szCs w:val="14"/>
                <w:lang w:eastAsia="en-US"/>
              </w:rPr>
              <w:t xml:space="preserve"> — </w:t>
            </w:r>
            <w:hyperlink r:id="rId557" w:history="1">
              <w:r w:rsidR="00D55DE0" w:rsidRPr="00D55DE0">
                <w:rPr>
                  <w:rFonts w:eastAsia="Calibri" w:cs="Arial"/>
                  <w:color w:val="0000FF"/>
                  <w:sz w:val="14"/>
                  <w:szCs w:val="14"/>
                  <w:u w:val="single"/>
                  <w:lang w:eastAsia="en-US"/>
                </w:rPr>
                <w:t>s96A</w:t>
              </w:r>
            </w:hyperlink>
          </w:p>
        </w:tc>
        <w:tc>
          <w:tcPr>
            <w:tcW w:w="7356" w:type="dxa"/>
            <w:tcMar>
              <w:top w:w="80" w:type="dxa"/>
              <w:left w:w="80" w:type="dxa"/>
              <w:bottom w:w="80" w:type="dxa"/>
              <w:right w:w="80" w:type="dxa"/>
            </w:tcMar>
          </w:tcPr>
          <w:p w14:paraId="11F12240" w14:textId="1BA2EE82"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r w:rsidR="009F1DE8">
              <w:rPr>
                <w:rFonts w:eastAsia="Calibri" w:cs="Arial"/>
                <w:sz w:val="14"/>
                <w:szCs w:val="14"/>
                <w:lang w:eastAsia="en-US"/>
              </w:rPr>
              <w:t xml:space="preserve"> </w:t>
            </w:r>
            <w:r w:rsidRPr="00D55DE0">
              <w:rPr>
                <w:rFonts w:eastAsia="Calibri" w:cs="Arial"/>
                <w:sz w:val="14"/>
                <w:szCs w:val="14"/>
                <w:lang w:eastAsia="en-US"/>
              </w:rPr>
              <w:t xml:space="preserve">— </w:t>
            </w:r>
            <w:hyperlink r:id="rId558" w:history="1">
              <w:r w:rsidRPr="00D55DE0">
                <w:rPr>
                  <w:rFonts w:eastAsia="Calibri" w:cs="Arial"/>
                  <w:color w:val="0000FF"/>
                  <w:sz w:val="14"/>
                  <w:szCs w:val="14"/>
                  <w:u w:val="single"/>
                  <w:lang w:eastAsia="en-US"/>
                </w:rPr>
                <w:t>s69(5)</w:t>
              </w:r>
            </w:hyperlink>
          </w:p>
        </w:tc>
      </w:tr>
      <w:tr w:rsidR="00D55DE0" w:rsidRPr="00D55DE0" w14:paraId="7E76C144" w14:textId="77777777" w:rsidTr="00FB729B">
        <w:tc>
          <w:tcPr>
            <w:tcW w:w="2268" w:type="dxa"/>
            <w:shd w:val="clear" w:color="auto" w:fill="FFC9C9"/>
            <w:tcMar>
              <w:top w:w="80" w:type="dxa"/>
              <w:left w:w="80" w:type="dxa"/>
              <w:bottom w:w="80" w:type="dxa"/>
              <w:right w:w="80" w:type="dxa"/>
            </w:tcMar>
          </w:tcPr>
          <w:p w14:paraId="3BC803F3"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Northern Territory</w:t>
            </w:r>
          </w:p>
        </w:tc>
        <w:tc>
          <w:tcPr>
            <w:tcW w:w="5811" w:type="dxa"/>
            <w:shd w:val="clear" w:color="auto" w:fill="FFC9C9"/>
            <w:tcMar>
              <w:top w:w="80" w:type="dxa"/>
              <w:left w:w="80" w:type="dxa"/>
              <w:bottom w:w="80" w:type="dxa"/>
              <w:right w:w="80" w:type="dxa"/>
            </w:tcMar>
          </w:tcPr>
          <w:p w14:paraId="034C57D3" w14:textId="1F1FD526"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 — salary sac</w:t>
            </w:r>
            <w:r w:rsidR="00F6068C">
              <w:rPr>
                <w:rFonts w:eastAsia="Calibri" w:cs="Arial"/>
                <w:sz w:val="14"/>
                <w:szCs w:val="14"/>
                <w:lang w:eastAsia="en-US"/>
              </w:rPr>
              <w:t>rifice only</w:t>
            </w:r>
          </w:p>
        </w:tc>
        <w:tc>
          <w:tcPr>
            <w:tcW w:w="7356" w:type="dxa"/>
            <w:shd w:val="clear" w:color="auto" w:fill="FFC9C9"/>
            <w:tcMar>
              <w:top w:w="80" w:type="dxa"/>
              <w:left w:w="80" w:type="dxa"/>
              <w:bottom w:w="80" w:type="dxa"/>
              <w:right w:w="80" w:type="dxa"/>
            </w:tcMar>
          </w:tcPr>
          <w:p w14:paraId="22D1E543" w14:textId="007B3C16"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 xml:space="preserve">No </w:t>
            </w:r>
            <w:r w:rsidR="00F6068C" w:rsidRPr="00F6068C">
              <w:rPr>
                <w:rFonts w:eastAsia="Calibri" w:cs="Arial"/>
                <w:sz w:val="14"/>
                <w:szCs w:val="14"/>
                <w:lang w:eastAsia="en-US"/>
              </w:rPr>
              <w:t xml:space="preserve">— </w:t>
            </w:r>
            <w:r w:rsidRPr="00D55DE0">
              <w:rPr>
                <w:rFonts w:eastAsia="Calibri" w:cs="Arial"/>
                <w:sz w:val="14"/>
                <w:szCs w:val="14"/>
                <w:lang w:eastAsia="en-US"/>
              </w:rPr>
              <w:t>Employer contributions</w:t>
            </w:r>
          </w:p>
          <w:p w14:paraId="69550A3D" w14:textId="71269574" w:rsidR="00D55DE0" w:rsidRPr="00D55DE0" w:rsidRDefault="002C05DA" w:rsidP="00B21723">
            <w:pPr>
              <w:spacing w:after="60"/>
              <w:rPr>
                <w:rFonts w:eastAsia="Calibri" w:cs="Arial"/>
                <w:sz w:val="14"/>
                <w:szCs w:val="14"/>
                <w:lang w:eastAsia="en-US"/>
              </w:rPr>
            </w:pPr>
            <w:r>
              <w:rPr>
                <w:rFonts w:eastAsia="Calibri" w:cs="Arial"/>
                <w:sz w:val="14"/>
                <w:szCs w:val="14"/>
                <w:lang w:eastAsia="en-US"/>
              </w:rPr>
              <w:t>Yes — employee contributions</w:t>
            </w:r>
          </w:p>
        </w:tc>
      </w:tr>
      <w:tr w:rsidR="00D55DE0" w:rsidRPr="00D55DE0" w14:paraId="66A2BFDE" w14:textId="77777777" w:rsidTr="00FB729B">
        <w:tc>
          <w:tcPr>
            <w:tcW w:w="2268" w:type="dxa"/>
            <w:tcMar>
              <w:top w:w="80" w:type="dxa"/>
              <w:left w:w="80" w:type="dxa"/>
              <w:bottom w:w="80" w:type="dxa"/>
              <w:right w:w="80" w:type="dxa"/>
            </w:tcMar>
          </w:tcPr>
          <w:p w14:paraId="2CE13841"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Australian Capital Territory</w:t>
            </w:r>
          </w:p>
        </w:tc>
        <w:tc>
          <w:tcPr>
            <w:tcW w:w="5811" w:type="dxa"/>
            <w:tcMar>
              <w:top w:w="80" w:type="dxa"/>
              <w:left w:w="80" w:type="dxa"/>
              <w:bottom w:w="80" w:type="dxa"/>
              <w:right w:w="80" w:type="dxa"/>
            </w:tcMar>
          </w:tcPr>
          <w:p w14:paraId="5737D47A" w14:textId="7029E884"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 — Employer contrib</w:t>
            </w:r>
            <w:r w:rsidR="00F6068C">
              <w:rPr>
                <w:rFonts w:eastAsia="Calibri" w:cs="Arial"/>
                <w:sz w:val="14"/>
                <w:szCs w:val="14"/>
                <w:lang w:eastAsia="en-US"/>
              </w:rPr>
              <w:t>utions required by force of law</w:t>
            </w:r>
          </w:p>
          <w:p w14:paraId="13DF355F" w14:textId="68194702" w:rsidR="00D55DE0" w:rsidRPr="00D55DE0" w:rsidRDefault="00D55DE0" w:rsidP="00B21723">
            <w:pPr>
              <w:spacing w:after="60"/>
              <w:rPr>
                <w:rFonts w:eastAsia="Calibri" w:cs="Arial"/>
                <w:sz w:val="14"/>
                <w:szCs w:val="14"/>
                <w:highlight w:val="yellow"/>
                <w:lang w:eastAsia="en-US"/>
              </w:rPr>
            </w:pPr>
            <w:r w:rsidRPr="00D55DE0">
              <w:rPr>
                <w:rFonts w:eastAsia="Calibri" w:cs="Arial"/>
                <w:sz w:val="14"/>
                <w:szCs w:val="14"/>
                <w:lang w:eastAsia="en-US"/>
              </w:rPr>
              <w:t>Yes — if the employer’s contributions are debited</w:t>
            </w:r>
            <w:r w:rsidR="00F6068C">
              <w:rPr>
                <w:rFonts w:eastAsia="Calibri" w:cs="Arial"/>
                <w:sz w:val="14"/>
                <w:szCs w:val="14"/>
                <w:lang w:eastAsia="en-US"/>
              </w:rPr>
              <w:t xml:space="preserve"> to the worker’s salary package</w:t>
            </w:r>
          </w:p>
        </w:tc>
        <w:tc>
          <w:tcPr>
            <w:tcW w:w="7356" w:type="dxa"/>
            <w:tcMar>
              <w:top w:w="80" w:type="dxa"/>
              <w:left w:w="80" w:type="dxa"/>
              <w:bottom w:w="80" w:type="dxa"/>
              <w:right w:w="80" w:type="dxa"/>
            </w:tcMar>
          </w:tcPr>
          <w:p w14:paraId="750F4A4F" w14:textId="441B5375"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 — employer contributions required by force of law aren’t considered to</w:t>
            </w:r>
            <w:r w:rsidR="00F6068C">
              <w:rPr>
                <w:rFonts w:eastAsia="Calibri" w:cs="Arial"/>
                <w:sz w:val="14"/>
                <w:szCs w:val="14"/>
                <w:lang w:eastAsia="en-US"/>
              </w:rPr>
              <w:t xml:space="preserve"> be part of a worker’s earnings</w:t>
            </w:r>
          </w:p>
        </w:tc>
      </w:tr>
      <w:tr w:rsidR="00D55DE0" w:rsidRPr="00D55DE0" w14:paraId="427F952B" w14:textId="77777777" w:rsidTr="00FB729B">
        <w:tc>
          <w:tcPr>
            <w:tcW w:w="2268" w:type="dxa"/>
            <w:shd w:val="clear" w:color="auto" w:fill="FFC9C9"/>
            <w:tcMar>
              <w:top w:w="80" w:type="dxa"/>
              <w:left w:w="80" w:type="dxa"/>
              <w:bottom w:w="80" w:type="dxa"/>
              <w:right w:w="80" w:type="dxa"/>
            </w:tcMar>
          </w:tcPr>
          <w:p w14:paraId="0CA79B91"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C’wealth Comcare</w:t>
            </w:r>
          </w:p>
        </w:tc>
        <w:tc>
          <w:tcPr>
            <w:tcW w:w="5811" w:type="dxa"/>
            <w:shd w:val="clear" w:color="auto" w:fill="FFC9C9"/>
            <w:tcMar>
              <w:top w:w="80" w:type="dxa"/>
              <w:left w:w="80" w:type="dxa"/>
              <w:bottom w:w="80" w:type="dxa"/>
              <w:right w:w="80" w:type="dxa"/>
            </w:tcMar>
          </w:tcPr>
          <w:p w14:paraId="1507BD14" w14:textId="770BB7F9"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 xml:space="preserve">Yes </w:t>
            </w:r>
            <w:r w:rsidR="00F6068C">
              <w:rPr>
                <w:rFonts w:eastAsia="Calibri" w:cs="Arial"/>
                <w:sz w:val="14"/>
                <w:szCs w:val="14"/>
                <w:lang w:eastAsia="en-US"/>
              </w:rPr>
              <w:t>— employee contribution amount</w:t>
            </w:r>
          </w:p>
          <w:p w14:paraId="64ED72F8" w14:textId="18BB0540" w:rsidR="00D55DE0" w:rsidRPr="00D55DE0" w:rsidRDefault="00F6068C" w:rsidP="00B21723">
            <w:pPr>
              <w:spacing w:after="60"/>
              <w:rPr>
                <w:rFonts w:eastAsia="Calibri" w:cs="Arial"/>
                <w:sz w:val="14"/>
                <w:szCs w:val="14"/>
                <w:lang w:eastAsia="en-US"/>
              </w:rPr>
            </w:pPr>
            <w:r>
              <w:rPr>
                <w:rFonts w:eastAsia="Calibri" w:cs="Arial"/>
                <w:sz w:val="14"/>
                <w:szCs w:val="14"/>
                <w:lang w:eastAsia="en-US"/>
              </w:rPr>
              <w:t>No — employer contribution</w:t>
            </w:r>
          </w:p>
        </w:tc>
        <w:tc>
          <w:tcPr>
            <w:tcW w:w="7356" w:type="dxa"/>
            <w:shd w:val="clear" w:color="auto" w:fill="FFC9C9"/>
            <w:tcMar>
              <w:top w:w="80" w:type="dxa"/>
              <w:left w:w="80" w:type="dxa"/>
              <w:bottom w:w="80" w:type="dxa"/>
              <w:right w:w="80" w:type="dxa"/>
            </w:tcMar>
          </w:tcPr>
          <w:p w14:paraId="0460719C" w14:textId="079F06D9"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r w:rsidR="00F6068C">
              <w:rPr>
                <w:rFonts w:eastAsia="Calibri" w:cs="Arial"/>
                <w:sz w:val="14"/>
                <w:szCs w:val="14"/>
                <w:lang w:eastAsia="en-US"/>
              </w:rPr>
              <w:t xml:space="preserve"> — employer contribution amount</w:t>
            </w:r>
          </w:p>
          <w:p w14:paraId="02F3152A" w14:textId="0C9BA7D5"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 — employee contribution amount while still empl</w:t>
            </w:r>
            <w:r w:rsidR="00F6068C">
              <w:rPr>
                <w:rFonts w:eastAsia="Calibri" w:cs="Arial"/>
                <w:sz w:val="14"/>
                <w:szCs w:val="14"/>
                <w:lang w:eastAsia="en-US"/>
              </w:rPr>
              <w:t>oyed</w:t>
            </w:r>
          </w:p>
        </w:tc>
      </w:tr>
      <w:tr w:rsidR="00D55DE0" w:rsidRPr="00D55DE0" w14:paraId="08CA3A80" w14:textId="77777777" w:rsidTr="00FB729B">
        <w:tc>
          <w:tcPr>
            <w:tcW w:w="2268" w:type="dxa"/>
            <w:tcMar>
              <w:top w:w="80" w:type="dxa"/>
              <w:left w:w="80" w:type="dxa"/>
              <w:bottom w:w="80" w:type="dxa"/>
              <w:right w:w="80" w:type="dxa"/>
            </w:tcMar>
          </w:tcPr>
          <w:p w14:paraId="338A7335"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C’wealth Seacare</w:t>
            </w:r>
          </w:p>
        </w:tc>
        <w:tc>
          <w:tcPr>
            <w:tcW w:w="5811" w:type="dxa"/>
            <w:tcMar>
              <w:top w:w="80" w:type="dxa"/>
              <w:left w:w="80" w:type="dxa"/>
              <w:bottom w:w="80" w:type="dxa"/>
              <w:right w:w="80" w:type="dxa"/>
            </w:tcMar>
          </w:tcPr>
          <w:p w14:paraId="617287E7" w14:textId="59C5356D"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N/A</w:t>
            </w:r>
          </w:p>
        </w:tc>
        <w:tc>
          <w:tcPr>
            <w:tcW w:w="7356" w:type="dxa"/>
            <w:tcMar>
              <w:top w:w="80" w:type="dxa"/>
              <w:left w:w="80" w:type="dxa"/>
              <w:bottom w:w="80" w:type="dxa"/>
              <w:right w:w="80" w:type="dxa"/>
            </w:tcMar>
          </w:tcPr>
          <w:p w14:paraId="01D485FC" w14:textId="187CC299"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r w:rsidR="00F6068C">
              <w:rPr>
                <w:rFonts w:eastAsia="Calibri" w:cs="Arial"/>
                <w:sz w:val="14"/>
                <w:szCs w:val="14"/>
                <w:lang w:eastAsia="en-US"/>
              </w:rPr>
              <w:t xml:space="preserve"> — employer contribution amount</w:t>
            </w:r>
          </w:p>
          <w:p w14:paraId="5124B896" w14:textId="7DD0458F"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 — employee contribut</w:t>
            </w:r>
            <w:r w:rsidR="00F6068C">
              <w:rPr>
                <w:rFonts w:eastAsia="Calibri" w:cs="Arial"/>
                <w:sz w:val="14"/>
                <w:szCs w:val="14"/>
                <w:lang w:eastAsia="en-US"/>
              </w:rPr>
              <w:t>ion amount while still employed</w:t>
            </w:r>
          </w:p>
        </w:tc>
      </w:tr>
      <w:tr w:rsidR="00D55DE0" w:rsidRPr="00D55DE0" w14:paraId="2B9BE215" w14:textId="77777777" w:rsidTr="00FB729B">
        <w:tc>
          <w:tcPr>
            <w:tcW w:w="2268" w:type="dxa"/>
            <w:shd w:val="clear" w:color="auto" w:fill="FFC9C9"/>
            <w:tcMar>
              <w:top w:w="80" w:type="dxa"/>
              <w:left w:w="80" w:type="dxa"/>
              <w:bottom w:w="80" w:type="dxa"/>
              <w:right w:w="80" w:type="dxa"/>
            </w:tcMar>
          </w:tcPr>
          <w:p w14:paraId="5132E91C"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C’wealth DVA</w:t>
            </w:r>
          </w:p>
        </w:tc>
        <w:tc>
          <w:tcPr>
            <w:tcW w:w="5811" w:type="dxa"/>
            <w:shd w:val="clear" w:color="auto" w:fill="FFC9C9"/>
            <w:tcMar>
              <w:top w:w="80" w:type="dxa"/>
              <w:left w:w="80" w:type="dxa"/>
              <w:bottom w:w="80" w:type="dxa"/>
              <w:right w:w="80" w:type="dxa"/>
            </w:tcMar>
          </w:tcPr>
          <w:p w14:paraId="2925C23F" w14:textId="49751844" w:rsidR="00D55DE0" w:rsidRPr="00D55DE0" w:rsidRDefault="00247917" w:rsidP="00B21723">
            <w:pPr>
              <w:spacing w:after="60"/>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90403B">
              <w:rPr>
                <w:rFonts w:eastAsia="Calibri" w:cs="Arial"/>
                <w:sz w:val="14"/>
                <w:szCs w:val="14"/>
                <w:lang w:eastAsia="en-US"/>
              </w:rPr>
              <w:t>MRCA</w:t>
            </w:r>
            <w:r>
              <w:rPr>
                <w:rFonts w:eastAsia="Calibri" w:cs="Arial"/>
                <w:sz w:val="14"/>
                <w:szCs w:val="14"/>
                <w:lang w:eastAsia="en-US"/>
              </w:rPr>
              <w:t>)</w:t>
            </w:r>
            <w:r w:rsidR="0090403B">
              <w:rPr>
                <w:rFonts w:eastAsia="Calibri" w:cs="Arial"/>
                <w:sz w:val="14"/>
                <w:szCs w:val="14"/>
                <w:lang w:eastAsia="en-US"/>
              </w:rPr>
              <w:t xml:space="preserve"> &amp;</w:t>
            </w:r>
            <w:r>
              <w:rPr>
                <w:rFonts w:eastAsia="Calibri" w:cs="Arial"/>
                <w:sz w:val="14"/>
                <w:szCs w:val="14"/>
                <w:lang w:eastAsia="en-US"/>
              </w:rPr>
              <w:t xml:space="preserve"> </w:t>
            </w:r>
            <w:r w:rsidRPr="00016069">
              <w:rPr>
                <w:i/>
                <w:sz w:val="14"/>
              </w:rPr>
              <w:t>Safety, Rehabilitation and Compensation (Defence-related Claims) Act 1988</w:t>
            </w:r>
            <w:r w:rsidR="0090403B">
              <w:rPr>
                <w:rFonts w:eastAsia="Calibri" w:cs="Arial"/>
                <w:sz w:val="14"/>
                <w:szCs w:val="14"/>
                <w:lang w:eastAsia="en-US"/>
              </w:rPr>
              <w:t xml:space="preserve"> </w:t>
            </w:r>
            <w:r>
              <w:rPr>
                <w:rFonts w:eastAsia="Calibri" w:cs="Arial"/>
                <w:sz w:val="14"/>
                <w:szCs w:val="14"/>
                <w:lang w:eastAsia="en-US"/>
              </w:rPr>
              <w:t>(</w:t>
            </w:r>
            <w:r w:rsidR="0090403B">
              <w:rPr>
                <w:rFonts w:eastAsia="Calibri" w:cs="Arial"/>
                <w:sz w:val="14"/>
                <w:szCs w:val="14"/>
                <w:lang w:eastAsia="en-US"/>
              </w:rPr>
              <w:t>DRCA</w:t>
            </w:r>
            <w:r>
              <w:rPr>
                <w:rFonts w:eastAsia="Calibri" w:cs="Arial"/>
                <w:sz w:val="14"/>
                <w:szCs w:val="14"/>
                <w:lang w:eastAsia="en-US"/>
              </w:rPr>
              <w:t>)</w:t>
            </w:r>
            <w:r w:rsidR="0090403B">
              <w:rPr>
                <w:rFonts w:eastAsia="Calibri" w:cs="Arial"/>
                <w:sz w:val="14"/>
                <w:szCs w:val="14"/>
                <w:lang w:eastAsia="en-US"/>
              </w:rPr>
              <w:t xml:space="preserve"> — </w:t>
            </w:r>
            <w:r w:rsidR="00D55DE0" w:rsidRPr="00D55DE0">
              <w:rPr>
                <w:rFonts w:eastAsia="Calibri" w:cs="Arial"/>
                <w:sz w:val="14"/>
                <w:szCs w:val="14"/>
                <w:lang w:eastAsia="en-US"/>
              </w:rPr>
              <w:t>N/A</w:t>
            </w:r>
          </w:p>
        </w:tc>
        <w:tc>
          <w:tcPr>
            <w:tcW w:w="7356" w:type="dxa"/>
            <w:shd w:val="clear" w:color="auto" w:fill="FFC9C9"/>
            <w:tcMar>
              <w:top w:w="80" w:type="dxa"/>
              <w:left w:w="80" w:type="dxa"/>
              <w:bottom w:w="80" w:type="dxa"/>
              <w:right w:w="80" w:type="dxa"/>
            </w:tcMar>
          </w:tcPr>
          <w:p w14:paraId="2899B405" w14:textId="5A211186" w:rsidR="00D55DE0" w:rsidRPr="00D55DE0" w:rsidRDefault="0090403B" w:rsidP="00B21723">
            <w:pPr>
              <w:spacing w:after="60"/>
              <w:rPr>
                <w:rFonts w:eastAsia="Calibri" w:cs="Arial"/>
                <w:sz w:val="14"/>
                <w:szCs w:val="14"/>
                <w:lang w:eastAsia="en-US"/>
              </w:rPr>
            </w:pPr>
            <w:r>
              <w:rPr>
                <w:rFonts w:eastAsia="Calibri" w:cs="Arial"/>
                <w:sz w:val="14"/>
                <w:szCs w:val="14"/>
                <w:lang w:eastAsia="en-US"/>
              </w:rPr>
              <w:t xml:space="preserve">MRCA &amp; DRCA — </w:t>
            </w:r>
            <w:r w:rsidR="00D55DE0" w:rsidRPr="00D55DE0">
              <w:rPr>
                <w:rFonts w:eastAsia="Calibri" w:cs="Arial"/>
                <w:sz w:val="14"/>
                <w:szCs w:val="14"/>
                <w:lang w:eastAsia="en-US"/>
              </w:rPr>
              <w:t>No</w:t>
            </w:r>
          </w:p>
        </w:tc>
      </w:tr>
      <w:tr w:rsidR="00D55DE0" w:rsidRPr="00D55DE0" w14:paraId="3F876510" w14:textId="77777777" w:rsidTr="00FB729B">
        <w:tc>
          <w:tcPr>
            <w:tcW w:w="2268" w:type="dxa"/>
            <w:tcMar>
              <w:top w:w="80" w:type="dxa"/>
              <w:left w:w="80" w:type="dxa"/>
              <w:bottom w:w="80" w:type="dxa"/>
              <w:right w:w="80" w:type="dxa"/>
            </w:tcMar>
          </w:tcPr>
          <w:p w14:paraId="163D174C"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New Zealand</w:t>
            </w:r>
          </w:p>
        </w:tc>
        <w:tc>
          <w:tcPr>
            <w:tcW w:w="5811" w:type="dxa"/>
            <w:tcMar>
              <w:top w:w="80" w:type="dxa"/>
              <w:left w:w="80" w:type="dxa"/>
              <w:bottom w:w="80" w:type="dxa"/>
              <w:right w:w="80" w:type="dxa"/>
            </w:tcMar>
          </w:tcPr>
          <w:p w14:paraId="40B38604" w14:textId="692D8468"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c>
          <w:tcPr>
            <w:tcW w:w="7356" w:type="dxa"/>
            <w:tcMar>
              <w:top w:w="80" w:type="dxa"/>
              <w:left w:w="80" w:type="dxa"/>
              <w:bottom w:w="80" w:type="dxa"/>
              <w:right w:w="80" w:type="dxa"/>
            </w:tcMar>
          </w:tcPr>
          <w:p w14:paraId="42292543" w14:textId="5E28571D"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r>
    </w:tbl>
    <w:p w14:paraId="770D0676" w14:textId="77777777" w:rsidR="006A50D4" w:rsidRDefault="006A50D4" w:rsidP="00C66972">
      <w:pPr>
        <w:spacing w:after="200" w:line="276" w:lineRule="auto"/>
        <w:rPr>
          <w:rFonts w:eastAsiaTheme="minorHAnsi"/>
        </w:rPr>
      </w:pPr>
    </w:p>
    <w:p w14:paraId="7B08B57A" w14:textId="77777777" w:rsidR="006124B8" w:rsidRPr="00C66972" w:rsidRDefault="006124B8" w:rsidP="00C66972">
      <w:pPr>
        <w:spacing w:after="200" w:line="276" w:lineRule="auto"/>
        <w:rPr>
          <w:rFonts w:eastAsiaTheme="minorHAnsi"/>
          <w:b/>
        </w:rPr>
        <w:sectPr w:rsidR="006124B8" w:rsidRPr="00C66972" w:rsidSect="00BC09D4">
          <w:pgSz w:w="16838" w:h="11906" w:orient="landscape"/>
          <w:pgMar w:top="249" w:right="567" w:bottom="249" w:left="624" w:header="709" w:footer="397" w:gutter="0"/>
          <w:cols w:space="708"/>
          <w:docGrid w:linePitch="360"/>
        </w:sectPr>
      </w:pPr>
    </w:p>
    <w:p w14:paraId="0B78281B" w14:textId="1423134E" w:rsidR="002E029B" w:rsidRDefault="002E029B" w:rsidP="002E029B">
      <w:pPr>
        <w:pStyle w:val="SWASectiontitle"/>
      </w:pPr>
      <w:bookmarkStart w:id="71" w:name="_Toc482694970"/>
      <w:bookmarkStart w:id="72" w:name="_Toc487701339"/>
      <w:bookmarkStart w:id="73" w:name="_Toc483227155"/>
      <w:bookmarkStart w:id="74" w:name="_Toc487812909"/>
      <w:bookmarkStart w:id="75" w:name="_Toc504654653"/>
      <w:r>
        <w:rPr>
          <w:noProof/>
        </w:rPr>
        <w:lastRenderedPageBreak/>
        <w:drawing>
          <wp:anchor distT="0" distB="0" distL="114300" distR="114300" simplePos="0" relativeHeight="251658752" behindDoc="1" locked="0" layoutInCell="1" allowOverlap="1" wp14:anchorId="2383A178" wp14:editId="3F7ECEAC">
            <wp:simplePos x="0" y="0"/>
            <wp:positionH relativeFrom="column">
              <wp:posOffset>-911860</wp:posOffset>
            </wp:positionH>
            <wp:positionV relativeFrom="paragraph">
              <wp:posOffset>-960755</wp:posOffset>
            </wp:positionV>
            <wp:extent cx="7600950" cy="10732135"/>
            <wp:effectExtent l="0" t="0" r="0" b="0"/>
            <wp:wrapNone/>
            <wp:docPr id="17" name="Picture 17"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D3B">
        <w:t>Chapter</w:t>
      </w:r>
      <w:r w:rsidR="00246D8C">
        <w:t xml:space="preserve"> 3:</w:t>
      </w:r>
      <w:r w:rsidR="00246D8C">
        <w:br/>
      </w:r>
      <w:r w:rsidRPr="006124B8">
        <w:t>Coverage and eligibility for benefits</w:t>
      </w:r>
      <w:bookmarkEnd w:id="71"/>
      <w:bookmarkEnd w:id="72"/>
      <w:bookmarkEnd w:id="73"/>
      <w:bookmarkEnd w:id="74"/>
      <w:bookmarkEnd w:id="75"/>
      <w:r w:rsidRPr="006124B8">
        <w:t xml:space="preserve"> </w:t>
      </w:r>
    </w:p>
    <w:p w14:paraId="182700C2" w14:textId="3C426C6C" w:rsidR="006124B8" w:rsidRDefault="006124B8" w:rsidP="00C66972">
      <w:pPr>
        <w:spacing w:after="200" w:line="276" w:lineRule="auto"/>
        <w:rPr>
          <w:rFonts w:eastAsiaTheme="minorHAnsi"/>
          <w:b/>
        </w:rPr>
      </w:pPr>
    </w:p>
    <w:p w14:paraId="3A953E6F" w14:textId="510DEE09" w:rsidR="006A50D4" w:rsidRDefault="006124B8">
      <w:pPr>
        <w:spacing w:after="200" w:line="276" w:lineRule="auto"/>
        <w:rPr>
          <w:rFonts w:eastAsiaTheme="minorHAnsi"/>
          <w:b/>
        </w:rPr>
      </w:pPr>
      <w:r>
        <w:rPr>
          <w:rFonts w:eastAsiaTheme="minorHAnsi"/>
          <w:b/>
        </w:rPr>
        <w:br w:type="page"/>
      </w:r>
    </w:p>
    <w:p w14:paraId="4A7F4746" w14:textId="64F180C0" w:rsidR="00C66972" w:rsidRPr="00A80282" w:rsidRDefault="00C66972" w:rsidP="00A80282">
      <w:pPr>
        <w:pStyle w:val="Title"/>
      </w:pPr>
      <w:bookmarkStart w:id="76" w:name="_Toc483227156"/>
      <w:bookmarkStart w:id="77" w:name="_Toc504654654"/>
      <w:r w:rsidRPr="00A80282">
        <w:lastRenderedPageBreak/>
        <w:t>Coverag</w:t>
      </w:r>
      <w:bookmarkEnd w:id="76"/>
      <w:r w:rsidR="006C2A6A" w:rsidRPr="00A80282">
        <w:t>e and eligibility</w:t>
      </w:r>
      <w:bookmarkEnd w:id="77"/>
      <w:r w:rsidR="006C2A6A" w:rsidRPr="00A80282">
        <w:t xml:space="preserve"> </w:t>
      </w:r>
      <w:r w:rsidR="009E1927" w:rsidRPr="00A80282">
        <w:fldChar w:fldCharType="begin"/>
      </w:r>
      <w:r w:rsidR="009E1927" w:rsidRPr="00A80282">
        <w:instrText xml:space="preserve"> XE "coverage of workers (type of worker):worker (definition)" </w:instrText>
      </w:r>
      <w:r w:rsidR="009E1927" w:rsidRPr="00A80282">
        <w:fldChar w:fldCharType="end"/>
      </w:r>
      <w:r w:rsidR="00870A7B" w:rsidRPr="00A80282">
        <w:fldChar w:fldCharType="begin"/>
      </w:r>
      <w:r w:rsidR="00870A7B" w:rsidRPr="00A80282">
        <w:instrText xml:space="preserve"> XE "work health and safety requirements and auditing:workers, definitions" </w:instrText>
      </w:r>
      <w:r w:rsidR="00870A7B" w:rsidRPr="00A80282">
        <w:fldChar w:fldCharType="end"/>
      </w:r>
    </w:p>
    <w:p w14:paraId="0FDE3168" w14:textId="45C93029" w:rsidR="00C66972" w:rsidRPr="00C66972" w:rsidRDefault="006C2A6A" w:rsidP="006C2A6A">
      <w:pPr>
        <w:spacing w:before="240"/>
        <w:rPr>
          <w:rFonts w:eastAsiaTheme="minorHAnsi"/>
        </w:rPr>
      </w:pPr>
      <w:r>
        <w:rPr>
          <w:rFonts w:eastAsiaTheme="minorHAnsi"/>
        </w:rPr>
        <w:t xml:space="preserve">This chapter provides information about worker’s compensation coverage and eligibility for benefits in each jurisdiction. </w:t>
      </w:r>
      <w:r w:rsidR="00C66972" w:rsidRPr="00C66972">
        <w:rPr>
          <w:rFonts w:eastAsiaTheme="minorHAnsi"/>
        </w:rPr>
        <w:t>Workers’ compensation coverage differs between each jurisdiction. Determining whether a person is covered by workers’ compensation depends on the definitions of:</w:t>
      </w:r>
    </w:p>
    <w:p w14:paraId="0D473331" w14:textId="77777777" w:rsidR="00A54D3B" w:rsidRDefault="00C66972" w:rsidP="00F839DB">
      <w:pPr>
        <w:pStyle w:val="ListParagraph"/>
        <w:numPr>
          <w:ilvl w:val="0"/>
          <w:numId w:val="479"/>
        </w:numPr>
        <w:rPr>
          <w:rFonts w:eastAsiaTheme="minorHAnsi"/>
        </w:rPr>
      </w:pPr>
      <w:r w:rsidRPr="00A54D3B">
        <w:rPr>
          <w:rFonts w:eastAsiaTheme="minorHAnsi"/>
        </w:rPr>
        <w:t>workers/employees</w:t>
      </w:r>
    </w:p>
    <w:p w14:paraId="7CC4C986" w14:textId="77777777" w:rsidR="00A54D3B" w:rsidRDefault="00C66972" w:rsidP="00F839DB">
      <w:pPr>
        <w:pStyle w:val="ListParagraph"/>
        <w:numPr>
          <w:ilvl w:val="0"/>
          <w:numId w:val="479"/>
        </w:numPr>
        <w:rPr>
          <w:rFonts w:eastAsiaTheme="minorHAnsi"/>
        </w:rPr>
      </w:pPr>
      <w:r w:rsidRPr="00A54D3B">
        <w:rPr>
          <w:rFonts w:eastAsiaTheme="minorHAnsi"/>
        </w:rPr>
        <w:t>deemed workers/employees</w:t>
      </w:r>
    </w:p>
    <w:p w14:paraId="5FA724F2" w14:textId="77777777" w:rsidR="00A54D3B" w:rsidRDefault="00C66972" w:rsidP="00F839DB">
      <w:pPr>
        <w:pStyle w:val="ListParagraph"/>
        <w:numPr>
          <w:ilvl w:val="0"/>
          <w:numId w:val="479"/>
        </w:numPr>
        <w:rPr>
          <w:rFonts w:eastAsiaTheme="minorHAnsi"/>
        </w:rPr>
      </w:pPr>
      <w:r w:rsidRPr="00A54D3B">
        <w:rPr>
          <w:rFonts w:eastAsiaTheme="minorHAnsi"/>
        </w:rPr>
        <w:t>injury, and</w:t>
      </w:r>
    </w:p>
    <w:p w14:paraId="44615FB9" w14:textId="77777777" w:rsidR="006A50D4" w:rsidRDefault="00C66972" w:rsidP="00F839DB">
      <w:pPr>
        <w:pStyle w:val="ListParagraph"/>
        <w:numPr>
          <w:ilvl w:val="0"/>
          <w:numId w:val="479"/>
        </w:numPr>
        <w:rPr>
          <w:rFonts w:eastAsiaTheme="minorHAnsi"/>
        </w:rPr>
      </w:pPr>
      <w:r w:rsidRPr="00A54D3B">
        <w:rPr>
          <w:rFonts w:eastAsiaTheme="minorHAnsi"/>
        </w:rPr>
        <w:t>workplace.</w:t>
      </w:r>
    </w:p>
    <w:p w14:paraId="1FC325FD" w14:textId="2915AAB1" w:rsidR="00C66972" w:rsidRPr="006C2A6A" w:rsidRDefault="00C66972" w:rsidP="00EE7768">
      <w:pPr>
        <w:pStyle w:val="Heading4"/>
        <w:spacing w:before="360"/>
        <w:rPr>
          <w:rFonts w:eastAsiaTheme="minorHAnsi"/>
        </w:rPr>
      </w:pPr>
      <w:bookmarkStart w:id="78" w:name="_Toc483227157"/>
      <w:r w:rsidRPr="006C2A6A">
        <w:rPr>
          <w:rFonts w:eastAsiaTheme="minorHAnsi"/>
        </w:rPr>
        <w:t>Coverage of employees</w:t>
      </w:r>
      <w:bookmarkEnd w:id="78"/>
      <w:r w:rsidR="009E1927" w:rsidRPr="006C2A6A">
        <w:rPr>
          <w:rFonts w:eastAsiaTheme="minorHAnsi"/>
        </w:rPr>
        <w:fldChar w:fldCharType="begin"/>
      </w:r>
      <w:r w:rsidR="009E1927" w:rsidRPr="006C2A6A">
        <w:rPr>
          <w:rFonts w:eastAsiaTheme="minorHAnsi"/>
        </w:rPr>
        <w:instrText xml:space="preserve"> XE "coverage of workers (type of worker):eligibility" </w:instrText>
      </w:r>
      <w:r w:rsidR="009E1927" w:rsidRPr="006C2A6A">
        <w:rPr>
          <w:rFonts w:eastAsiaTheme="minorHAnsi"/>
        </w:rPr>
        <w:fldChar w:fldCharType="end"/>
      </w:r>
      <w:r w:rsidR="009F5AD7" w:rsidRPr="006C2A6A">
        <w:rPr>
          <w:rFonts w:eastAsiaTheme="minorHAnsi"/>
        </w:rPr>
        <w:fldChar w:fldCharType="begin"/>
      </w:r>
      <w:r w:rsidR="009F5AD7" w:rsidRPr="006C2A6A">
        <w:rPr>
          <w:rFonts w:eastAsiaTheme="minorHAnsi"/>
        </w:rPr>
        <w:instrText xml:space="preserve"> XE "coverage of workers (type of worker)" </w:instrText>
      </w:r>
      <w:r w:rsidR="009F5AD7" w:rsidRPr="006C2A6A">
        <w:rPr>
          <w:rFonts w:eastAsiaTheme="minorHAnsi"/>
        </w:rPr>
        <w:fldChar w:fldCharType="end"/>
      </w:r>
    </w:p>
    <w:p w14:paraId="74E3C8A1" w14:textId="2E2FB417" w:rsidR="006A50D4" w:rsidRDefault="00C66972" w:rsidP="006C2A6A">
      <w:pPr>
        <w:spacing w:before="120"/>
        <w:rPr>
          <w:rFonts w:eastAsiaTheme="minorHAnsi"/>
        </w:rPr>
      </w:pPr>
      <w:r w:rsidRPr="00C66972">
        <w:rPr>
          <w:rFonts w:eastAsiaTheme="minorHAnsi"/>
        </w:rPr>
        <w:t>To be eligible for compensation a person injured in the workplace must fall within the definition of worker/employee in their jurisdiction. Determining what type</w:t>
      </w:r>
      <w:r w:rsidR="00EE7768">
        <w:rPr>
          <w:rFonts w:eastAsiaTheme="minorHAnsi"/>
        </w:rPr>
        <w:t>s</w:t>
      </w:r>
      <w:r w:rsidRPr="00C66972">
        <w:rPr>
          <w:rFonts w:eastAsiaTheme="minorHAnsi"/>
        </w:rPr>
        <w:t xml:space="preserve"> of workers are covered is very important</w:t>
      </w:r>
      <w:r w:rsidR="00EE7768">
        <w:rPr>
          <w:rFonts w:eastAsiaTheme="minorHAnsi"/>
        </w:rPr>
        <w:t>,</w:t>
      </w:r>
      <w:r w:rsidRPr="00C66972">
        <w:rPr>
          <w:rFonts w:eastAsiaTheme="minorHAnsi"/>
        </w:rPr>
        <w:t xml:space="preserve"> as penalties can apply if an employer does not insure its workers. A number of jurisdictions apply tests to determine if a worker requires coverage.</w:t>
      </w:r>
    </w:p>
    <w:p w14:paraId="1D9ABA89" w14:textId="67750D20" w:rsidR="00C66972" w:rsidRPr="006C2A6A" w:rsidRDefault="00C66972" w:rsidP="00EE7768">
      <w:pPr>
        <w:pStyle w:val="Heading4"/>
        <w:spacing w:before="360"/>
        <w:rPr>
          <w:rFonts w:eastAsiaTheme="minorHAnsi"/>
        </w:rPr>
      </w:pPr>
      <w:bookmarkStart w:id="79" w:name="_Toc483227158"/>
      <w:r w:rsidRPr="006C2A6A">
        <w:rPr>
          <w:rFonts w:eastAsiaTheme="minorHAnsi"/>
        </w:rPr>
        <w:t>Definitions of deemed workers</w:t>
      </w:r>
      <w:bookmarkEnd w:id="79"/>
    </w:p>
    <w:p w14:paraId="0B13DACD" w14:textId="77777777" w:rsidR="00172AC7" w:rsidRDefault="00C66972" w:rsidP="006C2A6A">
      <w:pPr>
        <w:spacing w:before="120"/>
        <w:rPr>
          <w:rFonts w:eastAsiaTheme="minorHAnsi"/>
        </w:rPr>
      </w:pPr>
      <w:r w:rsidRPr="00C66972">
        <w:rPr>
          <w:rFonts w:eastAsiaTheme="minorHAnsi"/>
        </w:rPr>
        <w:t>A deemed worker for workers’ compensation purposes is a person who performs work for another in circumstances that fall outside of the general statutory definition of worker in a jurisdiction, but who is deemed by legislation to be a worker in order to receive a workers’ compensation benefit.</w:t>
      </w:r>
    </w:p>
    <w:p w14:paraId="4BF4CBF8" w14:textId="37532088" w:rsidR="006A50D4" w:rsidRDefault="00C66972" w:rsidP="006C2A6A">
      <w:pPr>
        <w:spacing w:before="240"/>
        <w:rPr>
          <w:rFonts w:eastAsiaTheme="minorHAnsi"/>
        </w:rPr>
      </w:pPr>
      <w:r w:rsidRPr="00C66972">
        <w:rPr>
          <w:rFonts w:eastAsiaTheme="minorHAnsi"/>
        </w:rPr>
        <w:t>Over time there has been a decline of employment under traditional arrangements. As new working arrangements have emerged, jurisdictions have modified the definition of ‘worker’ to ensure that workers under these arrangements are properly covered by workers’ compensation. Table</w:t>
      </w:r>
      <w:r w:rsidR="00827D10">
        <w:rPr>
          <w:rFonts w:eastAsiaTheme="minorHAnsi"/>
        </w:rPr>
        <w:t xml:space="preserve"> </w:t>
      </w:r>
      <w:r w:rsidRPr="00C66972">
        <w:rPr>
          <w:rFonts w:eastAsiaTheme="minorHAnsi"/>
        </w:rPr>
        <w:t>3.2 provides a list of deemed workers in each jurisdiction.</w:t>
      </w:r>
    </w:p>
    <w:p w14:paraId="53C31361" w14:textId="10858415" w:rsidR="00C66972" w:rsidRPr="006C2A6A" w:rsidRDefault="00C66972" w:rsidP="00EE7768">
      <w:pPr>
        <w:pStyle w:val="Heading4"/>
        <w:spacing w:before="360"/>
        <w:rPr>
          <w:rFonts w:eastAsiaTheme="minorHAnsi"/>
        </w:rPr>
      </w:pPr>
      <w:bookmarkStart w:id="80" w:name="_Toc483227159"/>
      <w:r w:rsidRPr="006C2A6A">
        <w:rPr>
          <w:rFonts w:eastAsiaTheme="minorHAnsi"/>
        </w:rPr>
        <w:t>Compensation coverage for volunteers</w:t>
      </w:r>
      <w:bookmarkEnd w:id="80"/>
      <w:r w:rsidR="00C23E2F" w:rsidRPr="006C2A6A">
        <w:rPr>
          <w:rFonts w:eastAsiaTheme="minorHAnsi"/>
        </w:rPr>
        <w:fldChar w:fldCharType="begin"/>
      </w:r>
      <w:r w:rsidR="00C23E2F" w:rsidRPr="006C2A6A">
        <w:rPr>
          <w:rFonts w:eastAsiaTheme="minorHAnsi"/>
        </w:rPr>
        <w:instrText xml:space="preserve"> XE "volunteers, coverage of"</w:instrText>
      </w:r>
      <w:r w:rsidR="00C23E2F" w:rsidRPr="006C2A6A">
        <w:rPr>
          <w:rFonts w:eastAsiaTheme="minorHAnsi"/>
        </w:rPr>
        <w:fldChar w:fldCharType="end"/>
      </w:r>
    </w:p>
    <w:p w14:paraId="3DDCBA19" w14:textId="77777777" w:rsidR="006A50D4" w:rsidRDefault="00C66972" w:rsidP="00A54D3B">
      <w:pPr>
        <w:rPr>
          <w:rFonts w:eastAsiaTheme="minorHAnsi"/>
        </w:rPr>
      </w:pPr>
      <w:r w:rsidRPr="00C66972">
        <w:rPr>
          <w:rFonts w:eastAsiaTheme="minorHAnsi"/>
        </w:rPr>
        <w:t>Table 3.3 provides a summary of workers’ compensation arrangements in each jurisdiction for volunteers such as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emergency service volunteers and persons performing community services or unpaid duties.</w:t>
      </w:r>
    </w:p>
    <w:p w14:paraId="7972E39E" w14:textId="6D28CBFA" w:rsidR="00C66972" w:rsidRPr="006C2A6A" w:rsidRDefault="00C66972" w:rsidP="00EE7768">
      <w:pPr>
        <w:pStyle w:val="Heading4"/>
        <w:spacing w:before="360"/>
        <w:rPr>
          <w:rFonts w:eastAsiaTheme="minorHAnsi"/>
        </w:rPr>
      </w:pPr>
      <w:bookmarkStart w:id="81" w:name="_Toc483227160"/>
      <w:r w:rsidRPr="006C2A6A">
        <w:rPr>
          <w:rFonts w:eastAsiaTheme="minorHAnsi"/>
        </w:rPr>
        <w:t>Treatment of sportspersons</w:t>
      </w:r>
      <w:bookmarkEnd w:id="81"/>
      <w:r w:rsidR="009E1927" w:rsidRPr="006C2A6A">
        <w:rPr>
          <w:rFonts w:eastAsiaTheme="minorHAnsi"/>
        </w:rPr>
        <w:fldChar w:fldCharType="begin"/>
      </w:r>
      <w:r w:rsidR="009E1927" w:rsidRPr="006C2A6A">
        <w:rPr>
          <w:rFonts w:eastAsiaTheme="minorHAnsi"/>
        </w:rPr>
        <w:instrText xml:space="preserve"> XE "coverage of workers (type of worker):volunteers" </w:instrText>
      </w:r>
      <w:r w:rsidR="009E1927" w:rsidRPr="006C2A6A">
        <w:rPr>
          <w:rFonts w:eastAsiaTheme="minorHAnsi"/>
        </w:rPr>
        <w:fldChar w:fldCharType="end"/>
      </w:r>
      <w:r w:rsidR="00870A7B" w:rsidRPr="006C2A6A">
        <w:rPr>
          <w:rFonts w:eastAsiaTheme="minorHAnsi"/>
        </w:rPr>
        <w:fldChar w:fldCharType="begin"/>
      </w:r>
      <w:r w:rsidR="00870A7B" w:rsidRPr="006C2A6A">
        <w:rPr>
          <w:rFonts w:eastAsiaTheme="minorHAnsi"/>
        </w:rPr>
        <w:instrText xml:space="preserve"> XE "workers (types of workers):sportspersons" </w:instrText>
      </w:r>
      <w:r w:rsidR="00870A7B" w:rsidRPr="006C2A6A">
        <w:rPr>
          <w:rFonts w:eastAsiaTheme="minorHAnsi"/>
        </w:rPr>
        <w:fldChar w:fldCharType="end"/>
      </w:r>
      <w:r w:rsidR="00CA3CD4" w:rsidRPr="006C2A6A">
        <w:rPr>
          <w:rFonts w:eastAsiaTheme="minorHAnsi"/>
        </w:rPr>
        <w:fldChar w:fldCharType="begin"/>
      </w:r>
      <w:r w:rsidR="00CA3CD4" w:rsidRPr="006C2A6A">
        <w:rPr>
          <w:rFonts w:eastAsiaTheme="minorHAnsi"/>
        </w:rPr>
        <w:instrText xml:space="preserve"> XE "sportspersons" </w:instrText>
      </w:r>
      <w:r w:rsidR="00CA3CD4" w:rsidRPr="006C2A6A">
        <w:rPr>
          <w:rFonts w:eastAsiaTheme="minorHAnsi"/>
        </w:rPr>
        <w:fldChar w:fldCharType="end"/>
      </w:r>
    </w:p>
    <w:p w14:paraId="6AA3B8FE" w14:textId="5BCC43C1" w:rsidR="00172AC7" w:rsidRDefault="00C66972" w:rsidP="006C2A6A">
      <w:pPr>
        <w:spacing w:before="120"/>
        <w:rPr>
          <w:rFonts w:eastAsiaTheme="minorHAnsi"/>
        </w:rPr>
      </w:pPr>
      <w:r w:rsidRPr="00C66972">
        <w:rPr>
          <w:rFonts w:eastAsiaTheme="minorHAnsi"/>
        </w:rPr>
        <w:t>All jurisdictions that cover sporting activities in their workers’ compensation legislation refer to the professional side of the sport only. Comcare, Seacare and DVA have no direct reference to sport-related injuries. As New Zealand’s scheme has much broader coverage, there is no distinction made between sport</w:t>
      </w:r>
      <w:r w:rsidR="00DD6659">
        <w:rPr>
          <w:rFonts w:eastAsiaTheme="minorHAnsi"/>
        </w:rPr>
        <w:t xml:space="preserve">-related and any other injury — </w:t>
      </w:r>
      <w:r w:rsidRPr="00C66972">
        <w:rPr>
          <w:rFonts w:eastAsiaTheme="minorHAnsi"/>
        </w:rPr>
        <w:t xml:space="preserve">all receive the same cover. </w:t>
      </w:r>
    </w:p>
    <w:p w14:paraId="22187562" w14:textId="0DB5DEFE" w:rsidR="006A50D4" w:rsidRDefault="00C66972" w:rsidP="006C2A6A">
      <w:pPr>
        <w:spacing w:before="240"/>
        <w:rPr>
          <w:rFonts w:eastAsiaTheme="minorHAnsi"/>
        </w:rPr>
      </w:pPr>
      <w:r w:rsidRPr="00C66972">
        <w:rPr>
          <w:rFonts w:eastAsiaTheme="minorHAnsi"/>
        </w:rPr>
        <w:t>In N</w:t>
      </w:r>
      <w:r w:rsidR="00EE7768">
        <w:rPr>
          <w:rFonts w:eastAsiaTheme="minorHAnsi"/>
        </w:rPr>
        <w:t xml:space="preserve">ew </w:t>
      </w:r>
      <w:r w:rsidRPr="00C66972">
        <w:rPr>
          <w:rFonts w:eastAsiaTheme="minorHAnsi"/>
        </w:rPr>
        <w:t>S</w:t>
      </w:r>
      <w:r w:rsidR="00EE7768">
        <w:rPr>
          <w:rFonts w:eastAsiaTheme="minorHAnsi"/>
        </w:rPr>
        <w:t xml:space="preserve">outh </w:t>
      </w:r>
      <w:r w:rsidRPr="00C66972">
        <w:rPr>
          <w:rFonts w:eastAsiaTheme="minorHAnsi"/>
        </w:rPr>
        <w:t>W</w:t>
      </w:r>
      <w:r w:rsidR="00EE7768">
        <w:rPr>
          <w:rFonts w:eastAsiaTheme="minorHAnsi"/>
        </w:rPr>
        <w:t>ales</w:t>
      </w:r>
      <w:r w:rsidRPr="00C66972">
        <w:rPr>
          <w:rFonts w:eastAsiaTheme="minorHAnsi"/>
        </w:rPr>
        <w:t xml:space="preserve">, coverage for workers’ compensation depends on whether the person is within the definition of a ‘worker’, it being noted that persons who might otherwise be workers are excluded where they are covered by the </w:t>
      </w:r>
      <w:r w:rsidRPr="00C65EB9">
        <w:rPr>
          <w:rFonts w:eastAsiaTheme="minorHAnsi"/>
          <w:i/>
        </w:rPr>
        <w:t>Sporting Injuries Insurance Act 1978</w:t>
      </w:r>
      <w:r w:rsidRPr="00C66972">
        <w:rPr>
          <w:rFonts w:eastAsiaTheme="minorHAnsi"/>
        </w:rPr>
        <w:t>. A comparison of jurisdictions can be found in Table 3.4.</w:t>
      </w:r>
    </w:p>
    <w:p w14:paraId="2446998F" w14:textId="77777777" w:rsidR="006A50D4" w:rsidRPr="006C2A6A" w:rsidRDefault="00C66972" w:rsidP="00EE7768">
      <w:pPr>
        <w:pStyle w:val="Heading4"/>
        <w:spacing w:before="360"/>
        <w:rPr>
          <w:rFonts w:eastAsiaTheme="minorHAnsi"/>
        </w:rPr>
      </w:pPr>
      <w:bookmarkStart w:id="82" w:name="_Toc483227161"/>
      <w:r w:rsidRPr="006C2A6A">
        <w:rPr>
          <w:rFonts w:eastAsiaTheme="minorHAnsi"/>
        </w:rPr>
        <w:t>Workers’ compensation arrangements for government employers</w:t>
      </w:r>
      <w:bookmarkEnd w:id="82"/>
    </w:p>
    <w:p w14:paraId="4BDFE1D5" w14:textId="77777777" w:rsidR="006A50D4" w:rsidRDefault="00C66972" w:rsidP="006C2A6A">
      <w:pPr>
        <w:spacing w:before="120"/>
        <w:rPr>
          <w:rFonts w:eastAsiaTheme="minorHAnsi"/>
        </w:rPr>
      </w:pPr>
      <w:r w:rsidRPr="00C66972">
        <w:rPr>
          <w:rFonts w:eastAsiaTheme="minorHAnsi"/>
        </w:rPr>
        <w:lastRenderedPageBreak/>
        <w:t>Table 3.5 summarises the legislation, self-insurance, claims managers and premiums covering workers’ compensation for government employers in each of the jurisdictions.</w:t>
      </w:r>
    </w:p>
    <w:p w14:paraId="00993CB0" w14:textId="5126386B" w:rsidR="00C66972" w:rsidRPr="006C2A6A" w:rsidRDefault="00C66972" w:rsidP="00EE7768">
      <w:pPr>
        <w:pStyle w:val="Heading4"/>
        <w:spacing w:before="360"/>
        <w:rPr>
          <w:rFonts w:eastAsiaTheme="minorHAnsi"/>
        </w:rPr>
      </w:pPr>
      <w:bookmarkStart w:id="83" w:name="_Toc483227162"/>
      <w:r w:rsidRPr="006C2A6A">
        <w:rPr>
          <w:rFonts w:eastAsiaTheme="minorHAnsi"/>
        </w:rPr>
        <w:t>Workers’ compensation arrangements for judges</w:t>
      </w:r>
      <w:r w:rsidR="00C461E1" w:rsidRPr="006C2A6A">
        <w:rPr>
          <w:rFonts w:eastAsiaTheme="minorHAnsi"/>
        </w:rPr>
        <w:fldChar w:fldCharType="begin"/>
      </w:r>
      <w:r w:rsidR="00C461E1" w:rsidRPr="006C2A6A">
        <w:rPr>
          <w:rFonts w:eastAsiaTheme="minorHAnsi"/>
        </w:rPr>
        <w:instrText xml:space="preserve"> XE "judges" </w:instrText>
      </w:r>
      <w:r w:rsidR="00C461E1" w:rsidRPr="006C2A6A">
        <w:rPr>
          <w:rFonts w:eastAsiaTheme="minorHAnsi"/>
        </w:rPr>
        <w:fldChar w:fldCharType="end"/>
      </w:r>
      <w:r w:rsidRPr="006C2A6A">
        <w:rPr>
          <w:rFonts w:eastAsiaTheme="minorHAnsi"/>
        </w:rPr>
        <w:t xml:space="preserve"> and members of parliament</w:t>
      </w:r>
      <w:bookmarkEnd w:id="83"/>
      <w:r w:rsidR="009E1927" w:rsidRPr="006C2A6A">
        <w:rPr>
          <w:rFonts w:eastAsiaTheme="minorHAnsi"/>
        </w:rPr>
        <w:fldChar w:fldCharType="begin"/>
      </w:r>
      <w:r w:rsidR="009E1927" w:rsidRPr="006C2A6A">
        <w:rPr>
          <w:rFonts w:eastAsiaTheme="minorHAnsi"/>
        </w:rPr>
        <w:instrText xml:space="preserve"> XE "coverage of workers (type of worker):judges and members of parliament" </w:instrText>
      </w:r>
      <w:r w:rsidR="009E1927" w:rsidRPr="006C2A6A">
        <w:rPr>
          <w:rFonts w:eastAsiaTheme="minorHAnsi"/>
        </w:rPr>
        <w:fldChar w:fldCharType="end"/>
      </w:r>
      <w:r w:rsidR="003B3E5B" w:rsidRPr="006C2A6A">
        <w:rPr>
          <w:rFonts w:eastAsiaTheme="minorHAnsi"/>
        </w:rPr>
        <w:fldChar w:fldCharType="begin"/>
      </w:r>
      <w:r w:rsidR="003B3E5B" w:rsidRPr="006C2A6A">
        <w:rPr>
          <w:rFonts w:eastAsiaTheme="minorHAnsi"/>
        </w:rPr>
        <w:instrText xml:space="preserve"> XE "members of parliament" </w:instrText>
      </w:r>
      <w:r w:rsidR="003B3E5B" w:rsidRPr="006C2A6A">
        <w:rPr>
          <w:rFonts w:eastAsiaTheme="minorHAnsi"/>
        </w:rPr>
        <w:fldChar w:fldCharType="end"/>
      </w:r>
    </w:p>
    <w:p w14:paraId="11B9D7D9" w14:textId="77777777" w:rsidR="00C66972" w:rsidRPr="00C66972" w:rsidRDefault="00C66972" w:rsidP="00A54D3B">
      <w:pPr>
        <w:rPr>
          <w:rFonts w:eastAsiaTheme="minorHAnsi"/>
        </w:rPr>
        <w:sectPr w:rsidR="00C66972" w:rsidRPr="00C66972" w:rsidSect="00BE34AA">
          <w:pgSz w:w="11906" w:h="16838"/>
          <w:pgMar w:top="1440" w:right="1440" w:bottom="1440" w:left="1440" w:header="709" w:footer="709" w:gutter="0"/>
          <w:cols w:space="708"/>
          <w:docGrid w:linePitch="360"/>
        </w:sectPr>
      </w:pPr>
      <w:r w:rsidRPr="00C66972">
        <w:rPr>
          <w:rFonts w:eastAsiaTheme="minorHAnsi"/>
        </w:rPr>
        <w:t>Table 3.6 provides a summary of workers’ compensation arrangements for judges</w:t>
      </w:r>
      <w:r w:rsidR="00C461E1">
        <w:rPr>
          <w:rFonts w:eastAsiaTheme="minorHAnsi"/>
        </w:rPr>
        <w:fldChar w:fldCharType="begin"/>
      </w:r>
      <w:r w:rsidR="00C461E1">
        <w:instrText xml:space="preserve"> XE "</w:instrText>
      </w:r>
      <w:r w:rsidR="00C461E1" w:rsidRPr="0063546E">
        <w:rPr>
          <w:rFonts w:eastAsia="Calibri"/>
        </w:rPr>
        <w:instrText>judges</w:instrText>
      </w:r>
      <w:r w:rsidR="00C461E1">
        <w:instrText xml:space="preserve">" </w:instrText>
      </w:r>
      <w:r w:rsidR="00C461E1">
        <w:rPr>
          <w:rFonts w:eastAsiaTheme="minorHAnsi"/>
        </w:rPr>
        <w:fldChar w:fldCharType="end"/>
      </w:r>
      <w:r w:rsidRPr="00C66972">
        <w:rPr>
          <w:rFonts w:eastAsiaTheme="minorHAnsi"/>
        </w:rPr>
        <w:t xml:space="preserve"> and members of parliament in each jurisdiction.</w:t>
      </w:r>
    </w:p>
    <w:p w14:paraId="219A643F" w14:textId="3E8BFE9E" w:rsidR="006D1B3D" w:rsidRPr="00A80282" w:rsidRDefault="006D1B3D" w:rsidP="00A80282">
      <w:pPr>
        <w:pStyle w:val="SWATableheader"/>
      </w:pPr>
      <w:bookmarkStart w:id="84" w:name="_Toc504654655"/>
      <w:bookmarkStart w:id="85" w:name="worker"/>
      <w:r w:rsidRPr="00A80282">
        <w:lastRenderedPageBreak/>
        <w:t>Table 3.1a: Definition of worker (see Table 2.4a for summary of coverage of worker)</w:t>
      </w:r>
      <w:bookmarkEnd w:id="84"/>
      <w:r w:rsidRPr="00A80282">
        <w:t xml:space="preserve"> </w:t>
      </w:r>
      <w:r w:rsidR="009F5AD7" w:rsidRPr="00A80282">
        <w:fldChar w:fldCharType="begin"/>
      </w:r>
      <w:r w:rsidR="009F5AD7" w:rsidRPr="00A80282">
        <w:instrText xml:space="preserve"> XE "coverage of workers (type of worker):worker (definition)" \r "definition" </w:instrText>
      </w:r>
      <w:r w:rsidR="009F5AD7" w:rsidRPr="00A80282">
        <w:fldChar w:fldCharType="end"/>
      </w:r>
      <w:r w:rsidR="00870A7B" w:rsidRPr="00A80282">
        <w:fldChar w:fldCharType="begin"/>
      </w:r>
      <w:r w:rsidR="00870A7B" w:rsidRPr="00A80282">
        <w:instrText xml:space="preserve"> XE "work health and safety requirements and auditing:workers definitions" \r "definition" </w:instrText>
      </w:r>
      <w:r w:rsidR="00870A7B" w:rsidRPr="00A80282">
        <w:fldChar w:fldCharType="end"/>
      </w:r>
      <w:r w:rsidR="00870A7B" w:rsidRPr="00A80282">
        <w:fldChar w:fldCharType="begin"/>
      </w:r>
      <w:r w:rsidR="00870A7B" w:rsidRPr="00A80282">
        <w:instrText xml:space="preserve"> XE "workers (types of workers):contractors/labour hire workers" \r "definition"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a: Definition of worker (see Table 2.4a for summary of coverage of worker) "/>
        <w:tblDescription w:val="This table outlines the definition of a worker under each of the workers' compensation schemes. "/>
      </w:tblPr>
      <w:tblGrid>
        <w:gridCol w:w="1626"/>
        <w:gridCol w:w="13809"/>
      </w:tblGrid>
      <w:tr w:rsidR="006D1B3D" w:rsidRPr="006D1B3D" w14:paraId="75FAE038" w14:textId="77777777" w:rsidTr="00FB729B">
        <w:trPr>
          <w:tblHeader/>
        </w:trPr>
        <w:tc>
          <w:tcPr>
            <w:tcW w:w="1626" w:type="dxa"/>
            <w:shd w:val="clear" w:color="auto" w:fill="C00000"/>
            <w:tcMar>
              <w:top w:w="0" w:type="dxa"/>
              <w:left w:w="0" w:type="dxa"/>
              <w:bottom w:w="0" w:type="dxa"/>
              <w:right w:w="0" w:type="dxa"/>
            </w:tcMar>
            <w:vAlign w:val="center"/>
          </w:tcPr>
          <w:p w14:paraId="3B047DA5" w14:textId="77777777" w:rsidR="006D1B3D" w:rsidRPr="006D1B3D" w:rsidRDefault="006D1B3D" w:rsidP="00B21723">
            <w:pPr>
              <w:spacing w:after="60"/>
              <w:rPr>
                <w:rFonts w:eastAsia="Calibri" w:cs="Arial"/>
                <w:b/>
                <w:sz w:val="16"/>
                <w:szCs w:val="16"/>
                <w:lang w:eastAsia="en-US"/>
              </w:rPr>
            </w:pPr>
          </w:p>
        </w:tc>
        <w:tc>
          <w:tcPr>
            <w:tcW w:w="13809" w:type="dxa"/>
            <w:shd w:val="clear" w:color="auto" w:fill="C00000"/>
            <w:tcMar>
              <w:top w:w="0" w:type="dxa"/>
              <w:left w:w="0" w:type="dxa"/>
              <w:bottom w:w="0" w:type="dxa"/>
              <w:right w:w="0" w:type="dxa"/>
            </w:tcMar>
            <w:vAlign w:val="center"/>
          </w:tcPr>
          <w:p w14:paraId="36550057" w14:textId="77777777" w:rsidR="006D1B3D" w:rsidRPr="006D1B3D" w:rsidRDefault="006D1B3D" w:rsidP="00B21723">
            <w:pPr>
              <w:pStyle w:val="Tableheaderrow"/>
              <w:spacing w:after="60"/>
              <w:rPr>
                <w:lang w:val="en-GB"/>
              </w:rPr>
            </w:pPr>
            <w:r w:rsidRPr="006D1B3D">
              <w:rPr>
                <w:lang w:val="en-GB"/>
              </w:rPr>
              <w:t>Definition of ‘worker’</w:t>
            </w:r>
          </w:p>
        </w:tc>
      </w:tr>
      <w:tr w:rsidR="006D1B3D" w:rsidRPr="006D1B3D" w14:paraId="66EC23FA" w14:textId="77777777" w:rsidTr="00FB729B">
        <w:tc>
          <w:tcPr>
            <w:tcW w:w="1626" w:type="dxa"/>
            <w:shd w:val="clear" w:color="auto" w:fill="FFC9C9"/>
            <w:tcMar>
              <w:top w:w="80" w:type="dxa"/>
              <w:left w:w="80" w:type="dxa"/>
              <w:bottom w:w="80" w:type="dxa"/>
              <w:right w:w="80" w:type="dxa"/>
            </w:tcMar>
          </w:tcPr>
          <w:p w14:paraId="3478C3A6"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New South Wales</w:t>
            </w:r>
          </w:p>
        </w:tc>
        <w:tc>
          <w:tcPr>
            <w:tcW w:w="13809" w:type="dxa"/>
            <w:shd w:val="clear" w:color="auto" w:fill="FFC9C9"/>
            <w:tcMar>
              <w:top w:w="80" w:type="dxa"/>
              <w:left w:w="80" w:type="dxa"/>
              <w:bottom w:w="80" w:type="dxa"/>
              <w:right w:w="80" w:type="dxa"/>
            </w:tcMar>
          </w:tcPr>
          <w:p w14:paraId="17F68229" w14:textId="1F0F858A"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 xml:space="preserve">A person who has entered into or works under a contract of service or a training contract with an employer (whether by way of manual labour, clerical work or otherwise, and whether the contract is expressed or implied, and whether the contract is oral or in writing). Certain exclusions apply — </w:t>
            </w:r>
            <w:hyperlink r:id="rId559" w:history="1">
              <w:r w:rsidRPr="005E0044">
                <w:rPr>
                  <w:rStyle w:val="Hyperlink"/>
                  <w:rFonts w:cs="Arial"/>
                  <w:sz w:val="14"/>
                  <w:szCs w:val="16"/>
                  <w:lang w:val="en-GB"/>
                </w:rPr>
                <w:t>s4</w:t>
              </w:r>
            </w:hyperlink>
            <w:r w:rsidRPr="006D1B3D">
              <w:rPr>
                <w:rFonts w:cs="Arial"/>
                <w:color w:val="000000"/>
                <w:sz w:val="14"/>
                <w:szCs w:val="16"/>
                <w:lang w:val="en-GB"/>
              </w:rPr>
              <w:t xml:space="preserve"> and </w:t>
            </w:r>
            <w:hyperlink r:id="rId560" w:history="1">
              <w:r w:rsidRPr="005E0044">
                <w:rPr>
                  <w:rStyle w:val="Hyperlink"/>
                  <w:rFonts w:cs="Arial"/>
                  <w:sz w:val="14"/>
                  <w:szCs w:val="16"/>
                  <w:lang w:val="en-GB"/>
                </w:rPr>
                <w:t>s4(1)</w:t>
              </w:r>
            </w:hyperlink>
            <w:r w:rsidRPr="006D1B3D">
              <w:rPr>
                <w:rFonts w:cs="Arial"/>
                <w:color w:val="000000"/>
                <w:sz w:val="14"/>
                <w:szCs w:val="16"/>
                <w:lang w:val="en-GB"/>
              </w:rPr>
              <w:t xml:space="preserve">, </w:t>
            </w:r>
            <w:r w:rsidR="00247917" w:rsidRPr="00016069">
              <w:rPr>
                <w:i/>
                <w:sz w:val="14"/>
              </w:rPr>
              <w:t>Workplace Injury Management and</w:t>
            </w:r>
            <w:r w:rsidR="00247917">
              <w:rPr>
                <w:i/>
                <w:sz w:val="14"/>
              </w:rPr>
              <w:t xml:space="preserve"> Workers Compensation Act 1998</w:t>
            </w:r>
            <w:r w:rsidRPr="006D1B3D">
              <w:rPr>
                <w:rFonts w:cs="Arial"/>
                <w:color w:val="000000"/>
                <w:sz w:val="14"/>
                <w:szCs w:val="16"/>
                <w:lang w:val="en-GB"/>
              </w:rPr>
              <w:t xml:space="preserve">. In addition, </w:t>
            </w:r>
            <w:hyperlink r:id="rId561" w:history="1">
              <w:r w:rsidRPr="005E0044">
                <w:rPr>
                  <w:rStyle w:val="Hyperlink"/>
                  <w:rFonts w:cs="Arial"/>
                  <w:sz w:val="14"/>
                  <w:szCs w:val="16"/>
                  <w:lang w:val="en-GB"/>
                </w:rPr>
                <w:t>s5</w:t>
              </w:r>
            </w:hyperlink>
            <w:r w:rsidRPr="006D1B3D">
              <w:rPr>
                <w:rFonts w:cs="Arial"/>
                <w:color w:val="000000"/>
                <w:sz w:val="14"/>
                <w:szCs w:val="16"/>
                <w:lang w:val="en-GB"/>
              </w:rPr>
              <w:t xml:space="preserve"> of the 1998 Act provides that Schedule 1 of the 1998 Act deems outworkers, labour hire workers</w:t>
            </w:r>
            <w:r w:rsidR="009E1927">
              <w:rPr>
                <w:rFonts w:cs="Arial"/>
                <w:color w:val="000000"/>
                <w:sz w:val="14"/>
                <w:szCs w:val="16"/>
                <w:lang w:val="en-GB"/>
              </w:rPr>
              <w:fldChar w:fldCharType="begin"/>
            </w:r>
            <w:r w:rsidR="009E1927">
              <w:instrText xml:space="preserve"> XE "</w:instrText>
            </w:r>
            <w:r w:rsidR="009E1927" w:rsidRPr="00B90D57">
              <w:instrText>coverage of workers (type of worker):contractors/labour hire workers</w:instrText>
            </w:r>
            <w:r w:rsidR="009E1927">
              <w:instrText xml:space="preserve">" </w:instrText>
            </w:r>
            <w:r w:rsidR="009E1927">
              <w:rPr>
                <w:rFonts w:cs="Arial"/>
                <w:color w:val="000000"/>
                <w:sz w:val="14"/>
                <w:szCs w:val="16"/>
                <w:lang w:val="en-GB"/>
              </w:rPr>
              <w:fldChar w:fldCharType="end"/>
            </w:r>
            <w:r w:rsidRPr="006D1B3D">
              <w:rPr>
                <w:rFonts w:cs="Arial"/>
                <w:color w:val="000000"/>
                <w:sz w:val="14"/>
                <w:szCs w:val="16"/>
                <w:lang w:val="en-GB"/>
              </w:rPr>
              <w:t>,</w:t>
            </w:r>
            <w:r w:rsidR="00306D40">
              <w:rPr>
                <w:rFonts w:cs="Arial"/>
                <w:color w:val="000000"/>
                <w:sz w:val="14"/>
                <w:szCs w:val="16"/>
                <w:lang w:val="en-GB"/>
              </w:rPr>
              <w:fldChar w:fldCharType="begin"/>
            </w:r>
            <w:r w:rsidR="00306D40">
              <w:instrText xml:space="preserve"> XE "</w:instrText>
            </w:r>
            <w:r w:rsidR="00306D40" w:rsidRPr="001854C8">
              <w:instrText>labour hire workers</w:instrText>
            </w:r>
            <w:r w:rsidR="00306D40">
              <w:instrText xml:space="preserve">" </w:instrText>
            </w:r>
            <w:r w:rsidR="00306D40">
              <w:rPr>
                <w:rFonts w:cs="Arial"/>
                <w:color w:val="000000"/>
                <w:sz w:val="14"/>
                <w:szCs w:val="16"/>
                <w:lang w:val="en-GB"/>
              </w:rPr>
              <w:fldChar w:fldCharType="end"/>
            </w:r>
            <w:r w:rsidRPr="006D1B3D">
              <w:rPr>
                <w:rFonts w:cs="Arial"/>
                <w:color w:val="000000"/>
                <w:sz w:val="14"/>
                <w:szCs w:val="16"/>
                <w:lang w:val="en-GB"/>
              </w:rPr>
              <w:t xml:space="preserve"> some contractors and certain other classes of persons to be workers.</w:t>
            </w:r>
          </w:p>
        </w:tc>
      </w:tr>
      <w:tr w:rsidR="006D1B3D" w:rsidRPr="006D1B3D" w14:paraId="72DCBD20" w14:textId="77777777" w:rsidTr="00FB729B">
        <w:tc>
          <w:tcPr>
            <w:tcW w:w="1626" w:type="dxa"/>
            <w:tcMar>
              <w:top w:w="80" w:type="dxa"/>
              <w:left w:w="80" w:type="dxa"/>
              <w:bottom w:w="80" w:type="dxa"/>
              <w:right w:w="80" w:type="dxa"/>
            </w:tcMar>
          </w:tcPr>
          <w:p w14:paraId="0C2D19CC"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Victoria</w:t>
            </w:r>
          </w:p>
        </w:tc>
        <w:tc>
          <w:tcPr>
            <w:tcW w:w="13809" w:type="dxa"/>
            <w:tcMar>
              <w:top w:w="80" w:type="dxa"/>
              <w:left w:w="80" w:type="dxa"/>
              <w:bottom w:w="80" w:type="dxa"/>
              <w:right w:w="80" w:type="dxa"/>
            </w:tcMar>
          </w:tcPr>
          <w:p w14:paraId="394350C5"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‘worker means an individual —</w:t>
            </w:r>
          </w:p>
          <w:p w14:paraId="667E6F1B" w14:textId="77777777" w:rsidR="006D1B3D" w:rsidRPr="006D1B3D" w:rsidRDefault="006D1B3D" w:rsidP="00B21723">
            <w:pPr>
              <w:numPr>
                <w:ilvl w:val="0"/>
                <w:numId w:val="10"/>
              </w:numPr>
              <w:spacing w:after="60"/>
              <w:contextualSpacing/>
              <w:rPr>
                <w:rFonts w:eastAsia="Calibri" w:cs="Arial"/>
                <w:sz w:val="14"/>
                <w:szCs w:val="14"/>
                <w:lang w:eastAsia="en-US"/>
              </w:rPr>
            </w:pPr>
            <w:r w:rsidRPr="006D1B3D">
              <w:rPr>
                <w:rFonts w:eastAsia="Calibri" w:cs="Arial"/>
                <w:sz w:val="14"/>
                <w:szCs w:val="14"/>
                <w:lang w:eastAsia="en-US"/>
              </w:rPr>
              <w:t>who:</w:t>
            </w:r>
          </w:p>
          <w:p w14:paraId="1B793AF9" w14:textId="77777777" w:rsidR="006D1B3D" w:rsidRPr="006D1B3D" w:rsidRDefault="006D1B3D" w:rsidP="00B21723">
            <w:pPr>
              <w:numPr>
                <w:ilvl w:val="0"/>
                <w:numId w:val="9"/>
              </w:numPr>
              <w:spacing w:after="60"/>
              <w:contextualSpacing/>
              <w:rPr>
                <w:rFonts w:eastAsia="Calibri" w:cs="Arial"/>
                <w:sz w:val="14"/>
                <w:szCs w:val="14"/>
                <w:lang w:eastAsia="en-US"/>
              </w:rPr>
            </w:pPr>
            <w:r w:rsidRPr="006D1B3D">
              <w:rPr>
                <w:rFonts w:eastAsia="Calibri" w:cs="Arial"/>
                <w:sz w:val="14"/>
                <w:szCs w:val="14"/>
                <w:lang w:eastAsia="en-US"/>
              </w:rPr>
              <w:t>performs work for an employer, or</w:t>
            </w:r>
          </w:p>
          <w:p w14:paraId="14D825F8" w14:textId="0EEB9AD8" w:rsidR="006D1B3D" w:rsidRPr="006D1B3D" w:rsidRDefault="006D1B3D" w:rsidP="00B21723">
            <w:pPr>
              <w:numPr>
                <w:ilvl w:val="0"/>
                <w:numId w:val="9"/>
              </w:numPr>
              <w:spacing w:after="60"/>
              <w:contextualSpacing/>
              <w:rPr>
                <w:rFonts w:eastAsia="Calibri" w:cs="Arial"/>
                <w:sz w:val="14"/>
                <w:szCs w:val="14"/>
                <w:lang w:eastAsia="en-US"/>
              </w:rPr>
            </w:pPr>
            <w:r w:rsidRPr="006D1B3D">
              <w:rPr>
                <w:rFonts w:eastAsia="Calibri" w:cs="Arial"/>
                <w:sz w:val="14"/>
                <w:szCs w:val="14"/>
                <w:lang w:eastAsia="en-US"/>
              </w:rPr>
              <w:t xml:space="preserve">agrees with an employer to perform work </w:t>
            </w:r>
            <w:r w:rsidR="00DD6659">
              <w:rPr>
                <w:rFonts w:eastAsia="Calibri" w:cs="Arial"/>
                <w:sz w:val="14"/>
                <w:szCs w:val="14"/>
                <w:lang w:eastAsia="en-US"/>
              </w:rPr>
              <w:t>—</w:t>
            </w:r>
            <w:r w:rsidRPr="006D1B3D">
              <w:rPr>
                <w:rFonts w:eastAsia="Calibri" w:cs="Arial"/>
                <w:sz w:val="14"/>
                <w:szCs w:val="14"/>
                <w:lang w:eastAsia="en-US"/>
              </w:rPr>
              <w:t xml:space="preserve"> at the employer’s direction, instruction or request, whether under a contract of employment (whether express, implied, oral or in writing) or otherwise</w:t>
            </w:r>
            <w:r w:rsidR="00323A77">
              <w:rPr>
                <w:rFonts w:eastAsia="Calibri" w:cs="Arial"/>
                <w:sz w:val="14"/>
                <w:szCs w:val="14"/>
                <w:lang w:eastAsia="en-US"/>
              </w:rPr>
              <w:t>,</w:t>
            </w:r>
            <w:r w:rsidRPr="006D1B3D">
              <w:rPr>
                <w:rFonts w:eastAsia="Calibri" w:cs="Arial"/>
                <w:sz w:val="14"/>
                <w:szCs w:val="14"/>
                <w:lang w:eastAsia="en-US"/>
              </w:rPr>
              <w:t xml:space="preserve"> or</w:t>
            </w:r>
          </w:p>
          <w:p w14:paraId="433567D2" w14:textId="53AC9466" w:rsidR="006D1B3D" w:rsidRPr="006D1B3D" w:rsidRDefault="006D1B3D" w:rsidP="00B21723">
            <w:pPr>
              <w:numPr>
                <w:ilvl w:val="0"/>
                <w:numId w:val="10"/>
              </w:numPr>
              <w:spacing w:after="60"/>
              <w:contextualSpacing/>
              <w:rPr>
                <w:rFonts w:eastAsia="Calibri" w:cs="Arial"/>
                <w:sz w:val="14"/>
                <w:szCs w:val="14"/>
                <w:lang w:eastAsia="en-US"/>
              </w:rPr>
            </w:pPr>
            <w:r w:rsidRPr="006D1B3D">
              <w:rPr>
                <w:rFonts w:eastAsia="Calibri" w:cs="Arial"/>
                <w:sz w:val="14"/>
                <w:szCs w:val="14"/>
                <w:lang w:eastAsia="en-US"/>
              </w:rPr>
              <w:t xml:space="preserve">who is deemed to be a worker under this Act;’ — </w:t>
            </w:r>
            <w:hyperlink r:id="rId562" w:history="1">
              <w:r w:rsidRPr="005E0044">
                <w:rPr>
                  <w:rStyle w:val="Hyperlink"/>
                  <w:rFonts w:eastAsia="Calibri" w:cs="Arial"/>
                  <w:sz w:val="14"/>
                  <w:szCs w:val="14"/>
                  <w:lang w:eastAsia="en-US"/>
                </w:rPr>
                <w:t>s3</w:t>
              </w:r>
            </w:hyperlink>
            <w:r w:rsidR="00247917">
              <w:rPr>
                <w:rFonts w:eastAsia="Calibri" w:cs="Arial"/>
                <w:sz w:val="14"/>
                <w:szCs w:val="14"/>
                <w:lang w:eastAsia="en-US"/>
              </w:rPr>
              <w:t xml:space="preserve">, </w:t>
            </w:r>
            <w:r w:rsidR="00247917" w:rsidRPr="00016069">
              <w:rPr>
                <w:i/>
                <w:sz w:val="14"/>
              </w:rPr>
              <w:t>Workplace Injury Rehabilitation and Compensation Act 2013</w:t>
            </w:r>
            <w:r w:rsidR="00323A77">
              <w:rPr>
                <w:rFonts w:eastAsia="Calibri" w:cs="Arial"/>
                <w:sz w:val="14"/>
                <w:szCs w:val="14"/>
                <w:lang w:eastAsia="en-US"/>
              </w:rPr>
              <w:t>.</w:t>
            </w:r>
          </w:p>
        </w:tc>
      </w:tr>
      <w:tr w:rsidR="006D1B3D" w:rsidRPr="006D1B3D" w14:paraId="767774FC" w14:textId="77777777" w:rsidTr="00FB729B">
        <w:tc>
          <w:tcPr>
            <w:tcW w:w="1626" w:type="dxa"/>
            <w:shd w:val="clear" w:color="auto" w:fill="FFC9C9"/>
            <w:tcMar>
              <w:top w:w="80" w:type="dxa"/>
              <w:left w:w="80" w:type="dxa"/>
              <w:bottom w:w="80" w:type="dxa"/>
              <w:right w:w="80" w:type="dxa"/>
            </w:tcMar>
          </w:tcPr>
          <w:p w14:paraId="19506CAA"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Queensland</w:t>
            </w:r>
          </w:p>
        </w:tc>
        <w:tc>
          <w:tcPr>
            <w:tcW w:w="13809" w:type="dxa"/>
            <w:shd w:val="clear" w:color="auto" w:fill="FFC9C9"/>
            <w:tcMar>
              <w:top w:w="80" w:type="dxa"/>
              <w:left w:w="80" w:type="dxa"/>
              <w:bottom w:w="80" w:type="dxa"/>
              <w:right w:w="80" w:type="dxa"/>
            </w:tcMar>
          </w:tcPr>
          <w:p w14:paraId="3D6568EF" w14:textId="4C21686A"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 xml:space="preserve">A worker is an individual who works under a contract and, in relation to the work, is an employee for the purpose of assessment for PAYG withholding under the </w:t>
            </w:r>
            <w:r w:rsidRPr="009600D4">
              <w:rPr>
                <w:rFonts w:cs="Arial"/>
                <w:i/>
                <w:color w:val="000000"/>
                <w:sz w:val="14"/>
                <w:szCs w:val="16"/>
                <w:lang w:val="en-GB"/>
              </w:rPr>
              <w:t>Taxation Administration Act 1953</w:t>
            </w:r>
            <w:r w:rsidRPr="006D1B3D">
              <w:rPr>
                <w:rFonts w:cs="Arial"/>
                <w:color w:val="000000"/>
                <w:sz w:val="14"/>
                <w:szCs w:val="16"/>
                <w:lang w:val="en-GB"/>
              </w:rPr>
              <w:t xml:space="preserve"> (Cth), schedule 1, part 2-5. (</w:t>
            </w:r>
            <w:hyperlink r:id="rId563" w:anchor="sec.11" w:history="1">
              <w:r w:rsidRPr="005E0044">
                <w:rPr>
                  <w:rStyle w:val="Hyperlink"/>
                  <w:rFonts w:cs="Arial"/>
                  <w:sz w:val="14"/>
                  <w:szCs w:val="16"/>
                  <w:lang w:val="en-GB"/>
                </w:rPr>
                <w:t>s11</w:t>
              </w:r>
            </w:hyperlink>
            <w:r w:rsidRPr="006D1B3D">
              <w:rPr>
                <w:rFonts w:cs="Arial"/>
                <w:color w:val="000000"/>
                <w:sz w:val="14"/>
                <w:szCs w:val="16"/>
                <w:lang w:val="en-GB"/>
              </w:rPr>
              <w:t xml:space="preserve">, </w:t>
            </w:r>
            <w:r w:rsidRPr="009600D4">
              <w:rPr>
                <w:rFonts w:cs="Arial"/>
                <w:i/>
                <w:color w:val="000000"/>
                <w:sz w:val="14"/>
                <w:szCs w:val="16"/>
                <w:lang w:val="en-GB"/>
              </w:rPr>
              <w:t>Workers’ Compensation and Rehabilitation Act 2003</w:t>
            </w:r>
            <w:r w:rsidRPr="006D1B3D">
              <w:rPr>
                <w:rFonts w:cs="Arial"/>
                <w:color w:val="000000"/>
                <w:sz w:val="14"/>
                <w:szCs w:val="16"/>
                <w:lang w:val="en-GB"/>
              </w:rPr>
              <w:t>).</w:t>
            </w:r>
          </w:p>
        </w:tc>
      </w:tr>
      <w:tr w:rsidR="006D1B3D" w:rsidRPr="006D1B3D" w14:paraId="1957E53A" w14:textId="77777777" w:rsidTr="00FB729B">
        <w:tc>
          <w:tcPr>
            <w:tcW w:w="1626" w:type="dxa"/>
            <w:tcMar>
              <w:top w:w="80" w:type="dxa"/>
              <w:left w:w="80" w:type="dxa"/>
              <w:bottom w:w="80" w:type="dxa"/>
              <w:right w:w="80" w:type="dxa"/>
            </w:tcMar>
          </w:tcPr>
          <w:p w14:paraId="5FCFD16B"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Western Australia</w:t>
            </w:r>
          </w:p>
        </w:tc>
        <w:tc>
          <w:tcPr>
            <w:tcW w:w="13809" w:type="dxa"/>
            <w:tcMar>
              <w:top w:w="80" w:type="dxa"/>
              <w:left w:w="80" w:type="dxa"/>
              <w:bottom w:w="80" w:type="dxa"/>
              <w:right w:w="80" w:type="dxa"/>
            </w:tcMar>
          </w:tcPr>
          <w:p w14:paraId="42A1E909"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Any person who has entered into or works under a contract of service or apprenticeship with an employer, whether by way of manual labour, clerical work, or otherwise and whether the contract is expressed or implied, is oral or in writing. The meaning of worker also includes:</w:t>
            </w:r>
          </w:p>
          <w:p w14:paraId="5875DF13" w14:textId="77777777" w:rsidR="006D1B3D" w:rsidRPr="000026F3" w:rsidRDefault="006D1B3D" w:rsidP="00F839DB">
            <w:pPr>
              <w:pStyle w:val="ListParagraph"/>
              <w:numPr>
                <w:ilvl w:val="0"/>
                <w:numId w:val="419"/>
              </w:numPr>
              <w:spacing w:after="60"/>
              <w:contextualSpacing/>
              <w:rPr>
                <w:rFonts w:eastAsia="Calibri" w:cs="Arial"/>
                <w:sz w:val="14"/>
                <w:szCs w:val="14"/>
                <w:lang w:eastAsia="en-US"/>
              </w:rPr>
            </w:pPr>
            <w:r w:rsidRPr="000026F3">
              <w:rPr>
                <w:rFonts w:eastAsia="Calibri" w:cs="Arial"/>
                <w:sz w:val="14"/>
                <w:szCs w:val="14"/>
                <w:lang w:eastAsia="en-US"/>
              </w:rPr>
              <w:t>any person to whose service any industrial award or industrial agreement applies, and</w:t>
            </w:r>
          </w:p>
          <w:p w14:paraId="3CFBCFD1" w14:textId="60C318B7" w:rsidR="006D1B3D" w:rsidRPr="000026F3" w:rsidRDefault="006D1B3D" w:rsidP="00F839DB">
            <w:pPr>
              <w:pStyle w:val="ListParagraph"/>
              <w:numPr>
                <w:ilvl w:val="0"/>
                <w:numId w:val="419"/>
              </w:numPr>
              <w:spacing w:after="60"/>
              <w:contextualSpacing/>
              <w:rPr>
                <w:rFonts w:eastAsia="Calibri" w:cs="Arial"/>
                <w:sz w:val="14"/>
                <w:szCs w:val="14"/>
                <w:lang w:eastAsia="en-US"/>
              </w:rPr>
            </w:pPr>
            <w:r w:rsidRPr="000026F3">
              <w:rPr>
                <w:rFonts w:eastAsia="Calibri" w:cs="Arial"/>
                <w:sz w:val="14"/>
                <w:szCs w:val="14"/>
                <w:lang w:eastAsia="en-US"/>
              </w:rPr>
              <w:t xml:space="preserve">any person engaged by another person to work for the purpose of the other person’s trade or business under a contract with him for service, the remuneration by whatever means of the person so working being in substance for his personal manual labour or services — </w:t>
            </w:r>
            <w:hyperlink r:id="rId564" w:history="1">
              <w:r w:rsidRPr="005E0044">
                <w:rPr>
                  <w:rStyle w:val="Hyperlink"/>
                  <w:rFonts w:eastAsia="Calibri" w:cs="Arial"/>
                  <w:sz w:val="14"/>
                  <w:szCs w:val="14"/>
                  <w:lang w:eastAsia="en-US"/>
                </w:rPr>
                <w:t>s5(1)</w:t>
              </w:r>
            </w:hyperlink>
            <w:r w:rsidR="00247917">
              <w:rPr>
                <w:rFonts w:eastAsia="Calibri" w:cs="Arial"/>
                <w:sz w:val="14"/>
                <w:szCs w:val="14"/>
                <w:lang w:eastAsia="en-US"/>
              </w:rPr>
              <w:t xml:space="preserve">, </w:t>
            </w:r>
            <w:r w:rsidR="00247917" w:rsidRPr="00016069">
              <w:rPr>
                <w:i/>
                <w:sz w:val="14"/>
              </w:rPr>
              <w:t>Workers’ Compensation and Injury Management Act 1981</w:t>
            </w:r>
            <w:r w:rsidR="00323A77">
              <w:rPr>
                <w:rFonts w:eastAsia="Calibri" w:cs="Arial"/>
                <w:sz w:val="14"/>
                <w:szCs w:val="14"/>
                <w:lang w:eastAsia="en-US"/>
              </w:rPr>
              <w:t>.</w:t>
            </w:r>
          </w:p>
          <w:p w14:paraId="23605EB1"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WorkCover WA guidance:</w:t>
            </w:r>
          </w:p>
          <w:p w14:paraId="431D7701" w14:textId="74DE3F4D" w:rsidR="006D1B3D" w:rsidRPr="006D1B3D" w:rsidRDefault="00A7538C" w:rsidP="00B21723">
            <w:pPr>
              <w:spacing w:after="60"/>
              <w:rPr>
                <w:rFonts w:cs="Arial"/>
                <w:color w:val="000000"/>
                <w:sz w:val="14"/>
                <w:szCs w:val="16"/>
                <w:lang w:val="en-GB"/>
              </w:rPr>
            </w:pPr>
            <w:hyperlink r:id="rId565" w:history="1">
              <w:r w:rsidR="006D1B3D" w:rsidRPr="006D1B3D">
                <w:rPr>
                  <w:rFonts w:cs="Arial"/>
                  <w:color w:val="0000FF"/>
                  <w:sz w:val="14"/>
                  <w:szCs w:val="16"/>
                  <w:u w:val="single"/>
                  <w:lang w:val="en-GB"/>
                </w:rPr>
                <w:t>Workers’ Compensation and Injury Management: A Guide for Employers</w:t>
              </w:r>
            </w:hyperlink>
            <w:r w:rsidR="006D1B3D" w:rsidRPr="006D1B3D">
              <w:rPr>
                <w:rFonts w:cs="Arial"/>
                <w:color w:val="000000"/>
                <w:sz w:val="14"/>
                <w:szCs w:val="16"/>
                <w:lang w:val="en-GB"/>
              </w:rPr>
              <w:t xml:space="preserve">. </w:t>
            </w:r>
          </w:p>
          <w:p w14:paraId="5C6B3EDF" w14:textId="77777777" w:rsidR="006D1B3D" w:rsidRPr="006D1B3D" w:rsidRDefault="00A7538C" w:rsidP="00B21723">
            <w:pPr>
              <w:spacing w:after="60"/>
              <w:rPr>
                <w:rFonts w:cs="Arial"/>
                <w:color w:val="000000"/>
                <w:sz w:val="14"/>
                <w:szCs w:val="16"/>
                <w:lang w:val="en-GB"/>
              </w:rPr>
            </w:pPr>
            <w:hyperlink r:id="rId566" w:history="1">
              <w:r w:rsidR="006D1B3D" w:rsidRPr="006D1B3D">
                <w:rPr>
                  <w:rFonts w:cs="Arial"/>
                  <w:color w:val="0000FF"/>
                  <w:sz w:val="14"/>
                  <w:szCs w:val="16"/>
                  <w:u w:val="single"/>
                  <w:lang w:val="en-GB"/>
                </w:rPr>
                <w:t>A Technical Note on Contractors and Workers’ Compensation</w:t>
              </w:r>
            </w:hyperlink>
            <w:r w:rsidR="006D1B3D" w:rsidRPr="006D1B3D">
              <w:rPr>
                <w:rFonts w:cs="Arial"/>
                <w:color w:val="000000"/>
                <w:sz w:val="14"/>
                <w:szCs w:val="16"/>
                <w:lang w:val="en-GB"/>
              </w:rPr>
              <w:t>.</w:t>
            </w:r>
          </w:p>
        </w:tc>
      </w:tr>
      <w:tr w:rsidR="006D1B3D" w:rsidRPr="006D1B3D" w14:paraId="681D98DE" w14:textId="77777777" w:rsidTr="00FB729B">
        <w:tc>
          <w:tcPr>
            <w:tcW w:w="1626" w:type="dxa"/>
            <w:shd w:val="clear" w:color="auto" w:fill="FFC9C9"/>
            <w:tcMar>
              <w:top w:w="80" w:type="dxa"/>
              <w:left w:w="80" w:type="dxa"/>
              <w:bottom w:w="80" w:type="dxa"/>
              <w:right w:w="80" w:type="dxa"/>
            </w:tcMar>
          </w:tcPr>
          <w:p w14:paraId="5C01B158"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South Australia</w:t>
            </w:r>
          </w:p>
        </w:tc>
        <w:tc>
          <w:tcPr>
            <w:tcW w:w="13809" w:type="dxa"/>
            <w:shd w:val="clear" w:color="auto" w:fill="FFC9C9"/>
            <w:tcMar>
              <w:top w:w="80" w:type="dxa"/>
              <w:left w:w="80" w:type="dxa"/>
              <w:bottom w:w="80" w:type="dxa"/>
              <w:right w:w="80" w:type="dxa"/>
            </w:tcMar>
          </w:tcPr>
          <w:p w14:paraId="47FD5D8D"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A worker is:</w:t>
            </w:r>
          </w:p>
          <w:p w14:paraId="5DFAC93B" w14:textId="77777777" w:rsidR="006D1B3D" w:rsidRPr="006D1B3D" w:rsidRDefault="006D1B3D" w:rsidP="00DF35F2">
            <w:pPr>
              <w:numPr>
                <w:ilvl w:val="0"/>
                <w:numId w:val="34"/>
              </w:numPr>
              <w:spacing w:after="60"/>
              <w:ind w:left="357" w:hanging="357"/>
              <w:contextualSpacing/>
              <w:rPr>
                <w:rFonts w:cs="Arial"/>
                <w:color w:val="000000"/>
                <w:sz w:val="14"/>
                <w:szCs w:val="16"/>
                <w:lang w:val="en-GB"/>
              </w:rPr>
            </w:pPr>
            <w:r w:rsidRPr="006D1B3D">
              <w:rPr>
                <w:rFonts w:cs="Arial"/>
                <w:color w:val="000000"/>
                <w:sz w:val="14"/>
                <w:szCs w:val="16"/>
                <w:lang w:val="en-GB"/>
              </w:rPr>
              <w:t>a person by whom work is done under a contract of service (whether or not as an employee)</w:t>
            </w:r>
          </w:p>
          <w:p w14:paraId="7906C28F" w14:textId="77777777" w:rsidR="006D1B3D" w:rsidRPr="006D1B3D" w:rsidRDefault="006D1B3D" w:rsidP="00DF35F2">
            <w:pPr>
              <w:numPr>
                <w:ilvl w:val="0"/>
                <w:numId w:val="34"/>
              </w:numPr>
              <w:spacing w:after="60"/>
              <w:ind w:left="357" w:hanging="357"/>
              <w:contextualSpacing/>
              <w:rPr>
                <w:rFonts w:cs="Arial"/>
                <w:color w:val="000000"/>
                <w:sz w:val="14"/>
                <w:szCs w:val="16"/>
                <w:lang w:val="en-GB"/>
              </w:rPr>
            </w:pPr>
            <w:r w:rsidRPr="006D1B3D">
              <w:rPr>
                <w:rFonts w:cs="Arial"/>
                <w:color w:val="000000"/>
                <w:sz w:val="14"/>
                <w:szCs w:val="16"/>
                <w:lang w:val="en-GB"/>
              </w:rPr>
              <w:t xml:space="preserve">a person who is a worker by virtue of Schedule 1 </w:t>
            </w:r>
          </w:p>
          <w:p w14:paraId="1362D7E5" w14:textId="77777777" w:rsidR="006D1B3D" w:rsidRPr="006D1B3D" w:rsidRDefault="006D1B3D" w:rsidP="00DF35F2">
            <w:pPr>
              <w:numPr>
                <w:ilvl w:val="0"/>
                <w:numId w:val="34"/>
              </w:numPr>
              <w:spacing w:after="60"/>
              <w:ind w:left="357" w:hanging="357"/>
              <w:rPr>
                <w:rFonts w:cs="Arial"/>
                <w:color w:val="000000"/>
                <w:sz w:val="14"/>
                <w:szCs w:val="16"/>
                <w:lang w:val="en-GB"/>
              </w:rPr>
            </w:pPr>
            <w:r w:rsidRPr="006D1B3D">
              <w:rPr>
                <w:rFonts w:cs="Arial"/>
                <w:color w:val="000000"/>
                <w:sz w:val="14"/>
                <w:szCs w:val="16"/>
                <w:lang w:val="en-GB"/>
              </w:rPr>
              <w:t>a self-employed worker</w:t>
            </w:r>
          </w:p>
          <w:p w14:paraId="52012E0D" w14:textId="5B8E4BA4"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 xml:space="preserve">and includes a former worker and the legal personal representative of a deceased worker </w:t>
            </w:r>
            <w:r w:rsidR="009F1DE8">
              <w:rPr>
                <w:rFonts w:cs="Arial"/>
                <w:color w:val="000000"/>
                <w:sz w:val="14"/>
                <w:szCs w:val="16"/>
                <w:lang w:val="en-GB"/>
              </w:rPr>
              <w:t>—</w:t>
            </w:r>
            <w:r w:rsidR="009F1DE8" w:rsidRPr="006D1B3D">
              <w:rPr>
                <w:rFonts w:cs="Arial"/>
                <w:color w:val="000000"/>
                <w:sz w:val="14"/>
                <w:szCs w:val="16"/>
                <w:lang w:val="en-GB"/>
              </w:rPr>
              <w:t xml:space="preserve"> </w:t>
            </w:r>
            <w:hyperlink r:id="rId567" w:history="1">
              <w:r w:rsidRPr="005E0044">
                <w:rPr>
                  <w:rStyle w:val="Hyperlink"/>
                  <w:rFonts w:cs="Arial"/>
                  <w:sz w:val="14"/>
                  <w:szCs w:val="16"/>
                  <w:lang w:val="en-GB"/>
                </w:rPr>
                <w:t>s4</w:t>
              </w:r>
            </w:hyperlink>
            <w:r w:rsidR="00247917">
              <w:rPr>
                <w:rFonts w:cs="Arial"/>
                <w:color w:val="000000"/>
                <w:sz w:val="14"/>
                <w:szCs w:val="16"/>
                <w:lang w:val="en-GB"/>
              </w:rPr>
              <w:t xml:space="preserve">, </w:t>
            </w:r>
            <w:r w:rsidR="00247917" w:rsidRPr="00016069">
              <w:rPr>
                <w:i/>
                <w:sz w:val="14"/>
              </w:rPr>
              <w:t>Return to Work Act 2014</w:t>
            </w:r>
            <w:r w:rsidRPr="006D1B3D">
              <w:rPr>
                <w:rFonts w:cs="Arial"/>
                <w:color w:val="000000"/>
                <w:sz w:val="14"/>
                <w:szCs w:val="16"/>
                <w:lang w:val="en-GB"/>
              </w:rPr>
              <w:t xml:space="preserve">. </w:t>
            </w:r>
          </w:p>
          <w:p w14:paraId="12509BF7" w14:textId="565F468E"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Also see definition of ‘contract of service’ and</w:t>
            </w:r>
            <w:r w:rsidR="005A1111">
              <w:rPr>
                <w:rFonts w:cs="Arial"/>
                <w:color w:val="000000"/>
                <w:sz w:val="14"/>
                <w:szCs w:val="16"/>
                <w:lang w:val="en-GB"/>
              </w:rPr>
              <w:t xml:space="preserve"> s175 and</w:t>
            </w:r>
            <w:r w:rsidRPr="006D1B3D">
              <w:rPr>
                <w:rFonts w:cs="Arial"/>
                <w:color w:val="000000"/>
                <w:sz w:val="14"/>
                <w:szCs w:val="16"/>
                <w:lang w:val="en-GB"/>
              </w:rPr>
              <w:t xml:space="preserve"> </w:t>
            </w:r>
            <w:hyperlink r:id="rId568" w:history="1">
              <w:r w:rsidRPr="006D1B3D">
                <w:rPr>
                  <w:rFonts w:cs="Arial"/>
                  <w:color w:val="0000FF"/>
                  <w:sz w:val="14"/>
                  <w:szCs w:val="16"/>
                  <w:u w:val="single"/>
                  <w:lang w:val="en-GB"/>
                </w:rPr>
                <w:t>Regulation 5</w:t>
              </w:r>
            </w:hyperlink>
            <w:r w:rsidRPr="006D1B3D">
              <w:rPr>
                <w:rFonts w:cs="Arial"/>
                <w:color w:val="000000"/>
                <w:sz w:val="14"/>
                <w:szCs w:val="16"/>
                <w:lang w:val="en-GB"/>
              </w:rPr>
              <w:t xml:space="preserve"> — ‘Contract of service and other terms’ and </w:t>
            </w:r>
            <w:hyperlink r:id="rId569" w:history="1">
              <w:r w:rsidRPr="006D1B3D">
                <w:rPr>
                  <w:rFonts w:cs="Arial"/>
                  <w:color w:val="0000FF"/>
                  <w:sz w:val="14"/>
                  <w:szCs w:val="16"/>
                  <w:u w:val="single"/>
                  <w:lang w:val="en-GB"/>
                </w:rPr>
                <w:t>Regulation 69</w:t>
              </w:r>
            </w:hyperlink>
            <w:r w:rsidRPr="006D1B3D">
              <w:rPr>
                <w:rFonts w:cs="Arial"/>
                <w:color w:val="000000"/>
                <w:sz w:val="14"/>
                <w:szCs w:val="16"/>
                <w:lang w:val="en-GB"/>
              </w:rPr>
              <w:t xml:space="preserve"> </w:t>
            </w:r>
            <w:r w:rsidR="009F1DE8">
              <w:rPr>
                <w:rFonts w:cs="Arial"/>
                <w:color w:val="000000"/>
                <w:sz w:val="14"/>
                <w:szCs w:val="16"/>
                <w:lang w:val="en-GB"/>
              </w:rPr>
              <w:t>—</w:t>
            </w:r>
            <w:r w:rsidR="009F1DE8" w:rsidRPr="006D1B3D">
              <w:rPr>
                <w:rFonts w:cs="Arial"/>
                <w:color w:val="000000"/>
                <w:sz w:val="14"/>
                <w:szCs w:val="16"/>
                <w:lang w:val="en-GB"/>
              </w:rPr>
              <w:t xml:space="preserve"> </w:t>
            </w:r>
            <w:r w:rsidRPr="006D1B3D">
              <w:rPr>
                <w:rFonts w:cs="Arial"/>
                <w:color w:val="000000"/>
                <w:sz w:val="14"/>
                <w:szCs w:val="16"/>
                <w:lang w:val="en-GB"/>
              </w:rPr>
              <w:t>‘Volunteers’ (prescribed under Schedule 1)</w:t>
            </w:r>
          </w:p>
          <w:p w14:paraId="397C1425"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Note: regulations may exclude specified classes of workers.</w:t>
            </w:r>
          </w:p>
        </w:tc>
      </w:tr>
      <w:tr w:rsidR="006D1B3D" w:rsidRPr="006D1B3D" w14:paraId="228389FD" w14:textId="77777777" w:rsidTr="00FB729B">
        <w:tc>
          <w:tcPr>
            <w:tcW w:w="1626" w:type="dxa"/>
            <w:tcMar>
              <w:top w:w="80" w:type="dxa"/>
              <w:left w:w="80" w:type="dxa"/>
              <w:bottom w:w="80" w:type="dxa"/>
              <w:right w:w="80" w:type="dxa"/>
            </w:tcMar>
          </w:tcPr>
          <w:p w14:paraId="527E7D26"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Tasmania</w:t>
            </w:r>
          </w:p>
        </w:tc>
        <w:tc>
          <w:tcPr>
            <w:tcW w:w="13809" w:type="dxa"/>
            <w:tcMar>
              <w:top w:w="80" w:type="dxa"/>
              <w:left w:w="80" w:type="dxa"/>
              <w:bottom w:w="80" w:type="dxa"/>
              <w:right w:w="80" w:type="dxa"/>
            </w:tcMar>
          </w:tcPr>
          <w:p w14:paraId="59940859" w14:textId="77777777" w:rsidR="006D1B3D" w:rsidRPr="006D1B3D" w:rsidRDefault="006D1B3D" w:rsidP="00F839DB">
            <w:pPr>
              <w:pStyle w:val="ListParagraph"/>
              <w:numPr>
                <w:ilvl w:val="0"/>
                <w:numId w:val="77"/>
              </w:numPr>
              <w:spacing w:after="60"/>
              <w:contextualSpacing/>
              <w:rPr>
                <w:rFonts w:eastAsia="Calibri" w:cs="Arial"/>
                <w:sz w:val="14"/>
                <w:szCs w:val="14"/>
                <w:lang w:eastAsia="en-US"/>
              </w:rPr>
            </w:pPr>
            <w:r w:rsidRPr="006D1B3D">
              <w:rPr>
                <w:rFonts w:eastAsia="Calibri" w:cs="Arial"/>
                <w:sz w:val="14"/>
                <w:szCs w:val="14"/>
                <w:lang w:eastAsia="en-US"/>
              </w:rPr>
              <w:t>Any person who has entered into, or works under, a contract of service or training agreement with an employer, whether by way of manual labour, clerical work or otherwise, and whether the contract is express or implied, or is oral or in writing, and</w:t>
            </w:r>
          </w:p>
          <w:p w14:paraId="1F112D9A" w14:textId="400AF269" w:rsidR="006D1B3D" w:rsidRPr="006D1B3D" w:rsidRDefault="006D1B3D" w:rsidP="00F839DB">
            <w:pPr>
              <w:pStyle w:val="ListParagraph"/>
              <w:numPr>
                <w:ilvl w:val="0"/>
                <w:numId w:val="77"/>
              </w:numPr>
              <w:spacing w:after="60"/>
              <w:contextualSpacing/>
              <w:rPr>
                <w:rFonts w:eastAsia="Calibri" w:cs="Arial"/>
                <w:sz w:val="14"/>
                <w:szCs w:val="14"/>
                <w:lang w:eastAsia="en-US"/>
              </w:rPr>
            </w:pPr>
            <w:r w:rsidRPr="006D1B3D">
              <w:rPr>
                <w:rFonts w:eastAsia="Calibri" w:cs="Arial"/>
                <w:sz w:val="14"/>
                <w:szCs w:val="14"/>
                <w:lang w:eastAsia="en-US"/>
              </w:rPr>
              <w:t xml:space="preserve">Any person or class taken to be a worker for the purposes of the Act and when used in relation to a person who has been injured and is dead, includes the legal personal representatives or dependants of that person or other person to whom or for whose benefit compensation is payable — </w:t>
            </w:r>
            <w:hyperlink r:id="rId570" w:history="1">
              <w:r w:rsidRPr="005E0044">
                <w:rPr>
                  <w:rStyle w:val="Hyperlink"/>
                  <w:rFonts w:eastAsia="Calibri" w:cs="Arial"/>
                  <w:sz w:val="14"/>
                  <w:szCs w:val="14"/>
                  <w:lang w:eastAsia="en-US"/>
                </w:rPr>
                <w:t>s3(1)</w:t>
              </w:r>
            </w:hyperlink>
          </w:p>
          <w:p w14:paraId="710F3CAB"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The Act does not apply to any person:</w:t>
            </w:r>
          </w:p>
          <w:p w14:paraId="70975026" w14:textId="77777777" w:rsidR="006D1B3D" w:rsidRPr="006D1B3D" w:rsidRDefault="006D1B3D" w:rsidP="00F839DB">
            <w:pPr>
              <w:pStyle w:val="ListParagraph"/>
              <w:numPr>
                <w:ilvl w:val="0"/>
                <w:numId w:val="78"/>
              </w:numPr>
              <w:spacing w:after="60" w:line="276" w:lineRule="auto"/>
              <w:contextualSpacing/>
              <w:rPr>
                <w:rFonts w:eastAsia="Calibri" w:cs="Arial"/>
                <w:sz w:val="14"/>
                <w:szCs w:val="14"/>
                <w:lang w:eastAsia="en-US"/>
              </w:rPr>
            </w:pPr>
            <w:r w:rsidRPr="006D1B3D">
              <w:rPr>
                <w:rFonts w:eastAsia="Calibri" w:cs="Arial"/>
                <w:sz w:val="14"/>
                <w:szCs w:val="14"/>
                <w:lang w:eastAsia="en-US"/>
              </w:rPr>
              <w:t xml:space="preserve">whose employment is of a casual nature, and who is employed otherwise than for the purposes of the employer’s trade or business, or </w:t>
            </w:r>
          </w:p>
          <w:p w14:paraId="77EAAE86" w14:textId="77777777" w:rsidR="006D1B3D" w:rsidRPr="006D1B3D" w:rsidRDefault="006D1B3D" w:rsidP="00F839DB">
            <w:pPr>
              <w:pStyle w:val="ListParagraph"/>
              <w:numPr>
                <w:ilvl w:val="0"/>
                <w:numId w:val="78"/>
              </w:numPr>
              <w:spacing w:after="60"/>
              <w:contextualSpacing/>
              <w:rPr>
                <w:rFonts w:eastAsia="Calibri" w:cs="Arial"/>
                <w:sz w:val="14"/>
                <w:szCs w:val="14"/>
                <w:lang w:eastAsia="en-US"/>
              </w:rPr>
            </w:pPr>
            <w:r w:rsidRPr="006D1B3D">
              <w:rPr>
                <w:rFonts w:eastAsia="Calibri" w:cs="Arial"/>
                <w:sz w:val="14"/>
                <w:szCs w:val="14"/>
                <w:lang w:eastAsia="en-US"/>
              </w:rPr>
              <w:t xml:space="preserve">who is an outworker, or </w:t>
            </w:r>
          </w:p>
          <w:p w14:paraId="01363A1A" w14:textId="77777777" w:rsidR="006D1B3D" w:rsidRPr="006D1B3D" w:rsidRDefault="006D1B3D" w:rsidP="00F839DB">
            <w:pPr>
              <w:pStyle w:val="ListParagraph"/>
              <w:numPr>
                <w:ilvl w:val="0"/>
                <w:numId w:val="78"/>
              </w:numPr>
              <w:spacing w:after="60"/>
              <w:contextualSpacing/>
              <w:rPr>
                <w:rFonts w:eastAsia="Calibri" w:cs="Arial"/>
                <w:sz w:val="14"/>
                <w:szCs w:val="14"/>
                <w:lang w:eastAsia="en-US"/>
              </w:rPr>
            </w:pPr>
            <w:r w:rsidRPr="006D1B3D">
              <w:rPr>
                <w:rFonts w:eastAsia="Calibri" w:cs="Arial"/>
                <w:sz w:val="14"/>
                <w:szCs w:val="14"/>
                <w:lang w:eastAsia="en-US"/>
              </w:rPr>
              <w:t xml:space="preserve">who is a domestic servant in a private family, and has not completed 48 hours’ employment with the same employer at the time when he suffers injury, or </w:t>
            </w:r>
          </w:p>
          <w:p w14:paraId="185FAED2" w14:textId="77777777" w:rsidR="006D1B3D" w:rsidRPr="006D1B3D" w:rsidRDefault="006D1B3D" w:rsidP="00F839DB">
            <w:pPr>
              <w:pStyle w:val="ListParagraph"/>
              <w:numPr>
                <w:ilvl w:val="0"/>
                <w:numId w:val="78"/>
              </w:numPr>
              <w:spacing w:after="60"/>
              <w:contextualSpacing/>
              <w:rPr>
                <w:rFonts w:eastAsia="Calibri" w:cs="Arial"/>
                <w:sz w:val="14"/>
                <w:szCs w:val="14"/>
                <w:lang w:eastAsia="en-US"/>
              </w:rPr>
            </w:pPr>
            <w:r w:rsidRPr="006D1B3D">
              <w:rPr>
                <w:rFonts w:eastAsia="Calibri" w:cs="Arial"/>
                <w:sz w:val="14"/>
                <w:szCs w:val="14"/>
                <w:lang w:eastAsia="en-US"/>
              </w:rPr>
              <w:t xml:space="preserve">who is a member of the crew of a fishing boat, and is remunerated wholly or mainly by a share in the profits or gross earnings of that boat, or </w:t>
            </w:r>
          </w:p>
          <w:p w14:paraId="29C26AAF" w14:textId="1C3EC43E" w:rsidR="006D1B3D" w:rsidRPr="006D1B3D" w:rsidRDefault="006D1B3D" w:rsidP="00F839DB">
            <w:pPr>
              <w:pStyle w:val="ListParagraph"/>
              <w:numPr>
                <w:ilvl w:val="0"/>
                <w:numId w:val="78"/>
              </w:numPr>
              <w:spacing w:after="60"/>
              <w:contextualSpacing/>
              <w:rPr>
                <w:rFonts w:eastAsia="Calibri" w:cs="Arial"/>
                <w:sz w:val="14"/>
                <w:szCs w:val="14"/>
                <w:lang w:eastAsia="en-US"/>
              </w:rPr>
            </w:pPr>
            <w:r w:rsidRPr="006D1B3D">
              <w:rPr>
                <w:rFonts w:eastAsia="Calibri" w:cs="Arial"/>
                <w:sz w:val="14"/>
                <w:szCs w:val="14"/>
                <w:lang w:eastAsia="en-US"/>
              </w:rPr>
              <w:t xml:space="preserve">notwithstanding section s4D, who is participating in an approved program of work for unemployment payment under the </w:t>
            </w:r>
            <w:r w:rsidRPr="009600D4">
              <w:rPr>
                <w:rFonts w:eastAsia="Calibri" w:cs="Arial"/>
                <w:i/>
                <w:sz w:val="14"/>
                <w:szCs w:val="14"/>
                <w:lang w:eastAsia="en-US"/>
              </w:rPr>
              <w:t>Social Security Act 1991</w:t>
            </w:r>
            <w:r w:rsidRPr="006D1B3D">
              <w:rPr>
                <w:rFonts w:eastAsia="Calibri" w:cs="Arial"/>
                <w:sz w:val="14"/>
                <w:szCs w:val="14"/>
                <w:lang w:eastAsia="en-US"/>
              </w:rPr>
              <w:t xml:space="preserve"> (Cth) — s4(5) and no such person shall be deemed to be a worker within the meaning of this Act — </w:t>
            </w:r>
            <w:hyperlink r:id="rId571" w:history="1">
              <w:r w:rsidRPr="006D1B3D">
                <w:rPr>
                  <w:rFonts w:eastAsia="Calibri" w:cs="Arial"/>
                  <w:color w:val="0000FF"/>
                  <w:sz w:val="14"/>
                  <w:szCs w:val="14"/>
                  <w:u w:val="single"/>
                  <w:lang w:eastAsia="en-US"/>
                </w:rPr>
                <w:t>s4(5)</w:t>
              </w:r>
            </w:hyperlink>
            <w:r w:rsidR="00247917">
              <w:rPr>
                <w:rFonts w:eastAsia="Calibri" w:cs="Arial"/>
                <w:sz w:val="14"/>
                <w:szCs w:val="14"/>
                <w:lang w:eastAsia="en-US"/>
              </w:rPr>
              <w:t xml:space="preserve">, </w:t>
            </w:r>
            <w:r w:rsidR="00247917" w:rsidRPr="00016069">
              <w:rPr>
                <w:i/>
                <w:sz w:val="14"/>
              </w:rPr>
              <w:t>Workers Rehabilitation and Compensation Act 1988</w:t>
            </w:r>
            <w:r w:rsidR="00247917">
              <w:rPr>
                <w:i/>
                <w:sz w:val="14"/>
              </w:rPr>
              <w:t>.</w:t>
            </w:r>
          </w:p>
        </w:tc>
      </w:tr>
      <w:tr w:rsidR="006D1B3D" w:rsidRPr="006D1B3D" w14:paraId="36E22FC0" w14:textId="77777777" w:rsidTr="00FB729B">
        <w:tc>
          <w:tcPr>
            <w:tcW w:w="1626" w:type="dxa"/>
            <w:shd w:val="clear" w:color="auto" w:fill="FFC9C9"/>
            <w:tcMar>
              <w:top w:w="80" w:type="dxa"/>
              <w:left w:w="80" w:type="dxa"/>
              <w:bottom w:w="80" w:type="dxa"/>
              <w:right w:w="80" w:type="dxa"/>
            </w:tcMar>
          </w:tcPr>
          <w:p w14:paraId="2B5178E7"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Northern Territory</w:t>
            </w:r>
          </w:p>
        </w:tc>
        <w:tc>
          <w:tcPr>
            <w:tcW w:w="13809" w:type="dxa"/>
            <w:shd w:val="clear" w:color="auto" w:fill="FFC9C9"/>
            <w:tcMar>
              <w:top w:w="80" w:type="dxa"/>
              <w:left w:w="80" w:type="dxa"/>
              <w:bottom w:w="80" w:type="dxa"/>
              <w:right w:w="80" w:type="dxa"/>
            </w:tcMar>
          </w:tcPr>
          <w:p w14:paraId="6F980AC6" w14:textId="36194BE5" w:rsidR="006D1B3D" w:rsidRPr="006D1B3D" w:rsidRDefault="006D1B3D" w:rsidP="00B21723">
            <w:pPr>
              <w:spacing w:after="60" w:line="276" w:lineRule="auto"/>
              <w:rPr>
                <w:rFonts w:cs="Arial"/>
                <w:color w:val="000000"/>
                <w:sz w:val="14"/>
                <w:szCs w:val="16"/>
                <w:lang w:val="en-GB"/>
              </w:rPr>
            </w:pPr>
            <w:r w:rsidRPr="006D1B3D">
              <w:rPr>
                <w:rFonts w:cs="Arial"/>
                <w:color w:val="000000"/>
                <w:sz w:val="14"/>
                <w:szCs w:val="16"/>
                <w:lang w:val="en-GB"/>
              </w:rPr>
              <w:t xml:space="preserve">A worker is a person who works under a contract and, in relation to the contract, is an employee for the purpose of assessment for PAYG withholding under the </w:t>
            </w:r>
            <w:r w:rsidRPr="009600D4">
              <w:rPr>
                <w:rFonts w:cs="Arial"/>
                <w:i/>
                <w:color w:val="000000"/>
                <w:sz w:val="14"/>
                <w:szCs w:val="16"/>
                <w:lang w:val="en-GB"/>
              </w:rPr>
              <w:t>Taxatio</w:t>
            </w:r>
            <w:r w:rsidR="009600D4" w:rsidRPr="009600D4">
              <w:rPr>
                <w:rFonts w:cs="Arial"/>
                <w:i/>
                <w:color w:val="000000"/>
                <w:sz w:val="14"/>
                <w:szCs w:val="16"/>
                <w:lang w:val="en-GB"/>
              </w:rPr>
              <w:t>n A</w:t>
            </w:r>
            <w:r w:rsidRPr="009600D4">
              <w:rPr>
                <w:rFonts w:cs="Arial"/>
                <w:i/>
                <w:color w:val="000000"/>
                <w:sz w:val="14"/>
                <w:szCs w:val="16"/>
                <w:lang w:val="en-GB"/>
              </w:rPr>
              <w:t>dministration Act 1953</w:t>
            </w:r>
            <w:r w:rsidR="00670B0F">
              <w:rPr>
                <w:rFonts w:cs="Arial"/>
                <w:color w:val="000000"/>
                <w:sz w:val="14"/>
                <w:szCs w:val="16"/>
                <w:lang w:val="en-GB"/>
              </w:rPr>
              <w:t xml:space="preserve"> (</w:t>
            </w:r>
            <w:hyperlink r:id="rId572" w:history="1">
              <w:r w:rsidRPr="005E0044">
                <w:rPr>
                  <w:rStyle w:val="Hyperlink"/>
                  <w:rFonts w:cs="Arial"/>
                  <w:sz w:val="14"/>
                  <w:szCs w:val="16"/>
                  <w:lang w:val="en-GB"/>
                </w:rPr>
                <w:t>section3(1)</w:t>
              </w:r>
            </w:hyperlink>
            <w:r w:rsidRPr="006D1B3D">
              <w:rPr>
                <w:rFonts w:cs="Arial"/>
                <w:color w:val="000000"/>
                <w:sz w:val="14"/>
                <w:szCs w:val="16"/>
                <w:lang w:val="en-GB"/>
              </w:rPr>
              <w:t xml:space="preserve"> of the </w:t>
            </w:r>
            <w:r w:rsidRPr="006D1B3D">
              <w:rPr>
                <w:rFonts w:cs="Arial"/>
                <w:i/>
                <w:color w:val="000000"/>
                <w:sz w:val="14"/>
                <w:szCs w:val="16"/>
                <w:lang w:val="en-GB"/>
              </w:rPr>
              <w:t xml:space="preserve">Return </w:t>
            </w:r>
            <w:r w:rsidRPr="006D1B3D">
              <w:rPr>
                <w:rFonts w:cs="Arial"/>
                <w:i/>
                <w:color w:val="000000"/>
                <w:sz w:val="14"/>
                <w:szCs w:val="16"/>
                <w:lang w:val="en-GB"/>
              </w:rPr>
              <w:lastRenderedPageBreak/>
              <w:t>to Work Act</w:t>
            </w:r>
            <w:r w:rsidR="00670B0F">
              <w:rPr>
                <w:rFonts w:cs="Arial"/>
                <w:i/>
                <w:color w:val="000000"/>
                <w:sz w:val="14"/>
                <w:szCs w:val="16"/>
                <w:lang w:val="en-GB"/>
              </w:rPr>
              <w:t>)</w:t>
            </w:r>
            <w:r w:rsidR="009600D4">
              <w:rPr>
                <w:rFonts w:cs="Arial"/>
                <w:color w:val="000000"/>
                <w:sz w:val="14"/>
                <w:szCs w:val="16"/>
                <w:lang w:val="en-GB"/>
              </w:rPr>
              <w:t xml:space="preserve">. </w:t>
            </w:r>
          </w:p>
        </w:tc>
      </w:tr>
      <w:tr w:rsidR="006D1B3D" w:rsidRPr="006D1B3D" w14:paraId="4BD30C1A" w14:textId="77777777" w:rsidTr="00FB729B">
        <w:tc>
          <w:tcPr>
            <w:tcW w:w="1626" w:type="dxa"/>
            <w:tcMar>
              <w:top w:w="80" w:type="dxa"/>
              <w:left w:w="80" w:type="dxa"/>
              <w:bottom w:w="80" w:type="dxa"/>
              <w:right w:w="80" w:type="dxa"/>
            </w:tcMar>
          </w:tcPr>
          <w:p w14:paraId="1E4EA481"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lastRenderedPageBreak/>
              <w:t>Australian Capital Territory</w:t>
            </w:r>
          </w:p>
        </w:tc>
        <w:tc>
          <w:tcPr>
            <w:tcW w:w="13809" w:type="dxa"/>
            <w:tcMar>
              <w:top w:w="80" w:type="dxa"/>
              <w:left w:w="80" w:type="dxa"/>
              <w:bottom w:w="80" w:type="dxa"/>
              <w:right w:w="80" w:type="dxa"/>
            </w:tcMar>
          </w:tcPr>
          <w:p w14:paraId="4A09B4D7" w14:textId="13D2FBFC" w:rsidR="006D1B3D" w:rsidRPr="006D1B3D" w:rsidRDefault="006D1B3D" w:rsidP="00B21723">
            <w:pPr>
              <w:spacing w:after="60" w:line="276" w:lineRule="auto"/>
              <w:rPr>
                <w:rFonts w:cs="Arial"/>
                <w:color w:val="000000"/>
                <w:sz w:val="14"/>
                <w:szCs w:val="16"/>
                <w:lang w:val="en-GB"/>
              </w:rPr>
            </w:pPr>
            <w:r w:rsidRPr="006D1B3D">
              <w:rPr>
                <w:rFonts w:cs="Arial"/>
                <w:color w:val="000000"/>
                <w:sz w:val="14"/>
                <w:szCs w:val="16"/>
                <w:lang w:val="en-GB"/>
              </w:rPr>
              <w:t xml:space="preserve">The </w:t>
            </w:r>
            <w:r w:rsidR="0049238E" w:rsidRPr="00016069">
              <w:rPr>
                <w:i/>
                <w:sz w:val="14"/>
              </w:rPr>
              <w:t>Workers Compensation Act 1951</w:t>
            </w:r>
            <w:r w:rsidRPr="006D1B3D">
              <w:rPr>
                <w:rFonts w:cs="Arial"/>
                <w:color w:val="000000"/>
                <w:sz w:val="14"/>
                <w:szCs w:val="16"/>
                <w:lang w:val="en-GB"/>
              </w:rPr>
              <w:t xml:space="preserve"> devotes an entire chapter (Chapter 3) to defining and identifying a worker in general and certain categories of workers. The Minister may additionally make a declaration to deem persons in certain occupations to be workers:</w:t>
            </w:r>
          </w:p>
          <w:p w14:paraId="716B7CFC" w14:textId="6E13F855" w:rsidR="006D1B3D" w:rsidRPr="006D1B3D" w:rsidRDefault="006D1B3D" w:rsidP="00F839DB">
            <w:pPr>
              <w:pStyle w:val="ListParagraph"/>
              <w:numPr>
                <w:ilvl w:val="0"/>
                <w:numId w:val="79"/>
              </w:numPr>
              <w:spacing w:after="60"/>
              <w:contextualSpacing/>
              <w:rPr>
                <w:rFonts w:eastAsia="Calibri" w:cs="Arial"/>
                <w:sz w:val="14"/>
                <w:szCs w:val="14"/>
                <w:lang w:eastAsia="en-US"/>
              </w:rPr>
            </w:pPr>
            <w:r w:rsidRPr="006D1B3D">
              <w:rPr>
                <w:rFonts w:eastAsia="Calibri" w:cs="Arial"/>
                <w:sz w:val="14"/>
                <w:szCs w:val="14"/>
                <w:lang w:eastAsia="en-US"/>
              </w:rPr>
              <w:t xml:space="preserve">An individual who has entered into or works under a contract of service with an employer, whether the contract is expressed or implied, oral or written — </w:t>
            </w:r>
            <w:hyperlink r:id="rId573" w:history="1">
              <w:r w:rsidRPr="005E0044">
                <w:rPr>
                  <w:rStyle w:val="Hyperlink"/>
                  <w:rFonts w:eastAsia="Calibri" w:cs="Arial"/>
                  <w:sz w:val="14"/>
                  <w:szCs w:val="14"/>
                  <w:lang w:eastAsia="en-US"/>
                </w:rPr>
                <w:t>s8(1)(a)</w:t>
              </w:r>
            </w:hyperlink>
            <w:r w:rsidRPr="006D1B3D">
              <w:rPr>
                <w:rFonts w:eastAsia="Calibri" w:cs="Arial"/>
                <w:sz w:val="14"/>
                <w:szCs w:val="14"/>
                <w:lang w:eastAsia="en-US"/>
              </w:rPr>
              <w:t>, or</w:t>
            </w:r>
          </w:p>
          <w:p w14:paraId="43A6CA6E" w14:textId="2979E656" w:rsidR="006D1B3D" w:rsidRPr="006D1B3D" w:rsidRDefault="006D1B3D" w:rsidP="00F839DB">
            <w:pPr>
              <w:pStyle w:val="ListParagraph"/>
              <w:numPr>
                <w:ilvl w:val="0"/>
                <w:numId w:val="79"/>
              </w:numPr>
              <w:spacing w:after="60"/>
              <w:contextualSpacing/>
              <w:rPr>
                <w:rFonts w:eastAsia="Calibri" w:cs="Arial"/>
                <w:sz w:val="14"/>
                <w:szCs w:val="14"/>
                <w:lang w:eastAsia="en-US"/>
              </w:rPr>
            </w:pPr>
            <w:r w:rsidRPr="006D1B3D">
              <w:rPr>
                <w:rFonts w:eastAsia="Calibri" w:cs="Arial"/>
                <w:sz w:val="14"/>
                <w:szCs w:val="14"/>
                <w:lang w:eastAsia="en-US"/>
              </w:rPr>
              <w:t xml:space="preserve">workers for labour only or substantially labour only </w:t>
            </w:r>
            <w:hyperlink r:id="rId574" w:history="1">
              <w:r w:rsidRPr="005E0044">
                <w:rPr>
                  <w:rStyle w:val="Hyperlink"/>
                  <w:rFonts w:eastAsia="Calibri" w:cs="Arial"/>
                  <w:sz w:val="14"/>
                  <w:szCs w:val="14"/>
                  <w:lang w:eastAsia="en-US"/>
                </w:rPr>
                <w:t>s8(1)(b)</w:t>
              </w:r>
            </w:hyperlink>
            <w:r w:rsidRPr="006D1B3D">
              <w:rPr>
                <w:rFonts w:eastAsia="Calibri" w:cs="Arial"/>
                <w:sz w:val="14"/>
                <w:szCs w:val="14"/>
                <w:lang w:eastAsia="en-US"/>
              </w:rPr>
              <w:t xml:space="preserve">, or </w:t>
            </w:r>
          </w:p>
          <w:p w14:paraId="70B0B39A" w14:textId="79A34C89" w:rsidR="006D1B3D" w:rsidRPr="006D1B3D" w:rsidRDefault="006D1B3D" w:rsidP="00F839DB">
            <w:pPr>
              <w:pStyle w:val="ListParagraph"/>
              <w:numPr>
                <w:ilvl w:val="0"/>
                <w:numId w:val="79"/>
              </w:numPr>
              <w:spacing w:after="60"/>
              <w:contextualSpacing/>
              <w:rPr>
                <w:rFonts w:eastAsia="Calibri" w:cs="Arial"/>
                <w:sz w:val="14"/>
                <w:szCs w:val="14"/>
                <w:lang w:eastAsia="en-US"/>
              </w:rPr>
            </w:pPr>
            <w:r w:rsidRPr="006D1B3D">
              <w:rPr>
                <w:rFonts w:eastAsia="Calibri" w:cs="Arial"/>
                <w:sz w:val="14"/>
                <w:szCs w:val="14"/>
                <w:lang w:eastAsia="en-US"/>
              </w:rPr>
              <w:t>works for another person under contract UNLESS they are paid to achieve a stated outcome, and has to supply plant and equipment, and is (or would be) liable for the cost of rectifying</w:t>
            </w:r>
            <w:r w:rsidR="005E0044">
              <w:rPr>
                <w:rFonts w:eastAsia="Calibri" w:cs="Arial"/>
                <w:sz w:val="14"/>
                <w:szCs w:val="14"/>
                <w:lang w:eastAsia="en-US"/>
              </w:rPr>
              <w:t xml:space="preserve"> any defective work </w:t>
            </w:r>
            <w:hyperlink r:id="rId575" w:history="1">
              <w:r w:rsidR="005E0044" w:rsidRPr="005E0044">
                <w:rPr>
                  <w:rStyle w:val="Hyperlink"/>
                  <w:rFonts w:eastAsia="Calibri" w:cs="Arial"/>
                  <w:sz w:val="14"/>
                  <w:szCs w:val="14"/>
                  <w:lang w:eastAsia="en-US"/>
                </w:rPr>
                <w:t>s8(1)(i)(a –</w:t>
              </w:r>
              <w:r w:rsidRPr="005E0044">
                <w:rPr>
                  <w:rStyle w:val="Hyperlink"/>
                  <w:rFonts w:eastAsia="Calibri" w:cs="Arial"/>
                  <w:sz w:val="14"/>
                  <w:szCs w:val="14"/>
                  <w:lang w:eastAsia="en-US"/>
                </w:rPr>
                <w:t xml:space="preserve"> c)</w:t>
              </w:r>
            </w:hyperlink>
            <w:r w:rsidRPr="006D1B3D">
              <w:rPr>
                <w:rFonts w:eastAsia="Calibri" w:cs="Arial"/>
                <w:sz w:val="14"/>
                <w:szCs w:val="14"/>
                <w:lang w:eastAsia="en-US"/>
              </w:rPr>
              <w:t xml:space="preserve">, or </w:t>
            </w:r>
          </w:p>
          <w:p w14:paraId="45E70C63" w14:textId="6E44D3BD" w:rsidR="006D1B3D" w:rsidRPr="006D1B3D" w:rsidRDefault="006D1B3D" w:rsidP="00F839DB">
            <w:pPr>
              <w:pStyle w:val="ListParagraph"/>
              <w:numPr>
                <w:ilvl w:val="0"/>
                <w:numId w:val="79"/>
              </w:numPr>
              <w:spacing w:after="60"/>
              <w:contextualSpacing/>
              <w:rPr>
                <w:rFonts w:eastAsia="Calibri" w:cs="Arial"/>
                <w:sz w:val="14"/>
                <w:szCs w:val="14"/>
                <w:lang w:eastAsia="en-US"/>
              </w:rPr>
            </w:pPr>
            <w:r w:rsidRPr="006D1B3D">
              <w:rPr>
                <w:rFonts w:eastAsia="Calibri" w:cs="Arial"/>
                <w:sz w:val="14"/>
                <w:szCs w:val="14"/>
                <w:lang w:eastAsia="en-US"/>
              </w:rPr>
              <w:t xml:space="preserve">has a personal services business determination </w:t>
            </w:r>
            <w:hyperlink r:id="rId576" w:history="1">
              <w:r w:rsidRPr="005E0044">
                <w:rPr>
                  <w:rStyle w:val="Hyperlink"/>
                  <w:rFonts w:eastAsia="Calibri" w:cs="Arial"/>
                  <w:sz w:val="14"/>
                  <w:szCs w:val="14"/>
                  <w:lang w:eastAsia="en-US"/>
                </w:rPr>
                <w:t>s8(1)(ii)</w:t>
              </w:r>
            </w:hyperlink>
            <w:r w:rsidR="002B3287">
              <w:rPr>
                <w:rFonts w:eastAsia="Calibri" w:cs="Arial"/>
                <w:sz w:val="14"/>
                <w:szCs w:val="14"/>
                <w:lang w:eastAsia="en-US"/>
              </w:rPr>
              <w:t>.</w:t>
            </w:r>
          </w:p>
        </w:tc>
      </w:tr>
      <w:tr w:rsidR="006D1B3D" w:rsidRPr="006D1B3D" w14:paraId="3CA7113A" w14:textId="77777777" w:rsidTr="00FB729B">
        <w:tc>
          <w:tcPr>
            <w:tcW w:w="1626" w:type="dxa"/>
            <w:shd w:val="clear" w:color="auto" w:fill="FFC9C9"/>
            <w:tcMar>
              <w:top w:w="80" w:type="dxa"/>
              <w:left w:w="80" w:type="dxa"/>
              <w:bottom w:w="80" w:type="dxa"/>
              <w:right w:w="80" w:type="dxa"/>
            </w:tcMar>
          </w:tcPr>
          <w:p w14:paraId="7A842EFD"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C’wealth Comcare</w:t>
            </w:r>
          </w:p>
        </w:tc>
        <w:tc>
          <w:tcPr>
            <w:tcW w:w="13809" w:type="dxa"/>
            <w:shd w:val="clear" w:color="auto" w:fill="FFC9C9"/>
            <w:tcMar>
              <w:top w:w="80" w:type="dxa"/>
              <w:left w:w="80" w:type="dxa"/>
              <w:bottom w:w="80" w:type="dxa"/>
              <w:right w:w="80" w:type="dxa"/>
            </w:tcMar>
          </w:tcPr>
          <w:p w14:paraId="3C0B8F2E" w14:textId="77777777" w:rsidR="006D1B3D" w:rsidRPr="006D1B3D" w:rsidRDefault="006D1B3D" w:rsidP="00B21723">
            <w:pPr>
              <w:spacing w:after="60" w:line="276" w:lineRule="auto"/>
              <w:rPr>
                <w:rFonts w:cs="Arial"/>
                <w:color w:val="000000"/>
                <w:sz w:val="14"/>
                <w:szCs w:val="16"/>
                <w:lang w:val="en-GB"/>
              </w:rPr>
            </w:pPr>
            <w:r w:rsidRPr="006D1B3D">
              <w:rPr>
                <w:rFonts w:cs="Arial"/>
                <w:color w:val="000000"/>
                <w:sz w:val="14"/>
                <w:szCs w:val="16"/>
                <w:lang w:val="en-GB"/>
              </w:rPr>
              <w:t>‘Employee’ — a person employed by the Commonwealth or by a Commonwealth Authority whether the person is so employed under a law of the Commonwealth or of a territory or under a contract of service or apprenticeship. Can also be covered if subject of a ministerial declaration.</w:t>
            </w:r>
          </w:p>
          <w:p w14:paraId="2280A783" w14:textId="0C3BDB70" w:rsidR="006D1B3D" w:rsidRPr="006D1B3D" w:rsidRDefault="006D1B3D" w:rsidP="00B21723">
            <w:pPr>
              <w:spacing w:after="60" w:line="276" w:lineRule="auto"/>
              <w:rPr>
                <w:rFonts w:cs="Arial"/>
                <w:color w:val="000000"/>
                <w:sz w:val="14"/>
                <w:szCs w:val="16"/>
                <w:lang w:val="en-GB"/>
              </w:rPr>
            </w:pPr>
            <w:r w:rsidRPr="006D1B3D">
              <w:rPr>
                <w:rFonts w:cs="Arial"/>
                <w:color w:val="000000"/>
                <w:sz w:val="14"/>
                <w:szCs w:val="16"/>
                <w:lang w:val="en-GB"/>
              </w:rPr>
              <w:t xml:space="preserve">Also a person who is employed by a licensed corporation if a person performs work for that corporation under a law or a contract and the person would, if the corporation were not licensed, be entitled to workers’ compensation in connection of that work — </w:t>
            </w:r>
            <w:hyperlink r:id="rId577" w:history="1">
              <w:r w:rsidRPr="005E0044">
                <w:rPr>
                  <w:rStyle w:val="Hyperlink"/>
                  <w:rFonts w:cs="Arial"/>
                  <w:sz w:val="14"/>
                  <w:szCs w:val="16"/>
                  <w:lang w:val="en-GB"/>
                </w:rPr>
                <w:t>s4</w:t>
              </w:r>
            </w:hyperlink>
            <w:r w:rsidRPr="006D1B3D">
              <w:rPr>
                <w:rFonts w:cs="Arial"/>
                <w:color w:val="000000"/>
                <w:sz w:val="14"/>
                <w:szCs w:val="16"/>
                <w:lang w:val="en-GB"/>
              </w:rPr>
              <w:t xml:space="preserve"> and </w:t>
            </w:r>
            <w:hyperlink r:id="rId578" w:history="1">
              <w:r w:rsidRPr="005E0044">
                <w:rPr>
                  <w:rStyle w:val="Hyperlink"/>
                  <w:rFonts w:cs="Arial"/>
                  <w:sz w:val="14"/>
                  <w:szCs w:val="16"/>
                  <w:lang w:val="en-GB"/>
                </w:rPr>
                <w:t>s5</w:t>
              </w:r>
            </w:hyperlink>
            <w:r w:rsidR="0049238E">
              <w:rPr>
                <w:rFonts w:cs="Arial"/>
                <w:color w:val="000000"/>
                <w:sz w:val="14"/>
                <w:szCs w:val="16"/>
                <w:lang w:val="en-GB"/>
              </w:rPr>
              <w:t xml:space="preserve">, </w:t>
            </w:r>
            <w:r w:rsidR="0049238E" w:rsidRPr="00016069">
              <w:rPr>
                <w:i/>
                <w:sz w:val="14"/>
              </w:rPr>
              <w:t>Safety, Rehabilitation and Compensation Act 1988</w:t>
            </w:r>
            <w:r w:rsidRPr="006D1B3D">
              <w:rPr>
                <w:rFonts w:cs="Arial"/>
                <w:color w:val="000000"/>
                <w:sz w:val="14"/>
                <w:szCs w:val="16"/>
                <w:lang w:val="en-GB"/>
              </w:rPr>
              <w:t>.</w:t>
            </w:r>
          </w:p>
        </w:tc>
      </w:tr>
      <w:tr w:rsidR="006D1B3D" w:rsidRPr="006D1B3D" w14:paraId="4AC44284" w14:textId="77777777" w:rsidTr="00FB729B">
        <w:tc>
          <w:tcPr>
            <w:tcW w:w="1626" w:type="dxa"/>
            <w:tcMar>
              <w:top w:w="80" w:type="dxa"/>
              <w:left w:w="80" w:type="dxa"/>
              <w:bottom w:w="80" w:type="dxa"/>
              <w:right w:w="80" w:type="dxa"/>
            </w:tcMar>
          </w:tcPr>
          <w:p w14:paraId="704CA03B"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C’wealth Seacare</w:t>
            </w:r>
          </w:p>
        </w:tc>
        <w:tc>
          <w:tcPr>
            <w:tcW w:w="13809" w:type="dxa"/>
            <w:tcMar>
              <w:top w:w="80" w:type="dxa"/>
              <w:left w:w="80" w:type="dxa"/>
              <w:bottom w:w="80" w:type="dxa"/>
              <w:right w:w="80" w:type="dxa"/>
            </w:tcMar>
          </w:tcPr>
          <w:p w14:paraId="46ABE02F" w14:textId="63D20BFF" w:rsidR="006D1B3D" w:rsidRPr="006D1B3D" w:rsidRDefault="006D1B3D" w:rsidP="009F1DE8">
            <w:pPr>
              <w:spacing w:after="60" w:line="276" w:lineRule="auto"/>
              <w:rPr>
                <w:rFonts w:cs="Arial"/>
                <w:color w:val="000000"/>
                <w:sz w:val="14"/>
                <w:szCs w:val="16"/>
                <w:lang w:val="en-GB"/>
              </w:rPr>
            </w:pPr>
            <w:r w:rsidRPr="006D1B3D">
              <w:rPr>
                <w:rFonts w:cs="Arial"/>
                <w:color w:val="000000"/>
                <w:sz w:val="14"/>
                <w:szCs w:val="16"/>
                <w:lang w:val="en-GB"/>
              </w:rPr>
              <w:t xml:space="preserve">Employee </w:t>
            </w:r>
            <w:r w:rsidR="009F1DE8">
              <w:rPr>
                <w:rFonts w:cs="Arial"/>
                <w:color w:val="000000"/>
                <w:sz w:val="14"/>
                <w:szCs w:val="16"/>
                <w:lang w:val="en-GB"/>
              </w:rPr>
              <w:t>—</w:t>
            </w:r>
            <w:r w:rsidR="009F1DE8" w:rsidRPr="006D1B3D">
              <w:rPr>
                <w:rFonts w:cs="Arial"/>
                <w:color w:val="000000"/>
                <w:sz w:val="14"/>
                <w:szCs w:val="16"/>
                <w:lang w:val="en-GB"/>
              </w:rPr>
              <w:t xml:space="preserve"> </w:t>
            </w:r>
            <w:r w:rsidRPr="006D1B3D">
              <w:rPr>
                <w:rFonts w:cs="Arial"/>
                <w:color w:val="000000"/>
                <w:sz w:val="14"/>
                <w:szCs w:val="16"/>
                <w:lang w:val="en-GB"/>
              </w:rPr>
              <w:t xml:space="preserve">(a) a seafarer, as defined in the </w:t>
            </w:r>
            <w:r w:rsidRPr="00C81F2D">
              <w:rPr>
                <w:rFonts w:cs="Arial"/>
                <w:i/>
                <w:color w:val="000000"/>
                <w:sz w:val="14"/>
                <w:szCs w:val="16"/>
                <w:lang w:val="en-GB"/>
              </w:rPr>
              <w:t>Navigation Act 2012</w:t>
            </w:r>
            <w:r w:rsidRPr="006D1B3D">
              <w:rPr>
                <w:rFonts w:cs="Arial"/>
                <w:color w:val="000000"/>
                <w:sz w:val="14"/>
                <w:szCs w:val="16"/>
                <w:lang w:val="en-GB"/>
              </w:rPr>
              <w:t>, who is employed in any capacity on a prescribed ship, on the business of the ship;</w:t>
            </w:r>
            <w:r w:rsidR="00DD0D68">
              <w:rPr>
                <w:rFonts w:cs="Arial"/>
                <w:color w:val="000000"/>
                <w:sz w:val="14"/>
                <w:szCs w:val="16"/>
                <w:lang w:val="en-GB"/>
              </w:rPr>
              <w:t xml:space="preserve"> </w:t>
            </w:r>
            <w:r w:rsidRPr="006D1B3D">
              <w:rPr>
                <w:rFonts w:cs="Arial"/>
                <w:color w:val="000000"/>
                <w:sz w:val="14"/>
                <w:szCs w:val="16"/>
                <w:lang w:val="en-GB"/>
              </w:rPr>
              <w:t>(b) a trainee; (c)</w:t>
            </w:r>
            <w:r w:rsidR="00DD0D68">
              <w:rPr>
                <w:rFonts w:cs="Arial"/>
                <w:color w:val="000000"/>
                <w:sz w:val="14"/>
                <w:szCs w:val="16"/>
                <w:lang w:val="en-GB"/>
              </w:rPr>
              <w:t xml:space="preserve"> </w:t>
            </w:r>
            <w:r w:rsidRPr="006D1B3D">
              <w:rPr>
                <w:rFonts w:cs="Arial"/>
                <w:color w:val="000000"/>
                <w:sz w:val="14"/>
                <w:szCs w:val="16"/>
                <w:lang w:val="en-GB"/>
              </w:rPr>
              <w:t>a person required to attend a Seafarers Engagement Centre for the purpose of registering availability for employment or engagement on a prescribed ship —</w:t>
            </w:r>
            <w:r w:rsidR="009F1DE8">
              <w:rPr>
                <w:rFonts w:cs="Arial"/>
                <w:color w:val="000000"/>
                <w:sz w:val="14"/>
                <w:szCs w:val="16"/>
                <w:lang w:val="en-GB"/>
              </w:rPr>
              <w:t xml:space="preserve"> </w:t>
            </w:r>
            <w:hyperlink r:id="rId579" w:history="1">
              <w:r w:rsidRPr="005E0044">
                <w:rPr>
                  <w:rStyle w:val="Hyperlink"/>
                  <w:rFonts w:cs="Arial"/>
                  <w:sz w:val="14"/>
                  <w:szCs w:val="16"/>
                  <w:lang w:val="en-GB"/>
                </w:rPr>
                <w:t>s4</w:t>
              </w:r>
            </w:hyperlink>
            <w:r w:rsidRPr="006D1B3D">
              <w:rPr>
                <w:rFonts w:cs="Arial"/>
                <w:color w:val="000000"/>
                <w:sz w:val="14"/>
                <w:szCs w:val="16"/>
                <w:lang w:val="en-GB"/>
              </w:rPr>
              <w:t>.</w:t>
            </w:r>
          </w:p>
        </w:tc>
      </w:tr>
      <w:tr w:rsidR="006D1B3D" w:rsidRPr="006D1B3D" w14:paraId="7D2D5DAE" w14:textId="77777777" w:rsidTr="00FB729B">
        <w:tc>
          <w:tcPr>
            <w:tcW w:w="1626" w:type="dxa"/>
            <w:shd w:val="clear" w:color="auto" w:fill="FFC9C9"/>
            <w:tcMar>
              <w:top w:w="80" w:type="dxa"/>
              <w:left w:w="80" w:type="dxa"/>
              <w:bottom w:w="80" w:type="dxa"/>
              <w:right w:w="80" w:type="dxa"/>
            </w:tcMar>
          </w:tcPr>
          <w:p w14:paraId="66389AD1"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C’wealth DVA</w:t>
            </w:r>
          </w:p>
        </w:tc>
        <w:tc>
          <w:tcPr>
            <w:tcW w:w="13809" w:type="dxa"/>
            <w:shd w:val="clear" w:color="auto" w:fill="FFC9C9"/>
            <w:tcMar>
              <w:top w:w="80" w:type="dxa"/>
              <w:left w:w="80" w:type="dxa"/>
              <w:bottom w:w="80" w:type="dxa"/>
              <w:right w:w="80" w:type="dxa"/>
            </w:tcMar>
          </w:tcPr>
          <w:p w14:paraId="7A7094A1" w14:textId="43C26B13" w:rsidR="006D1B3D" w:rsidRDefault="0049238E" w:rsidP="00B21723">
            <w:pPr>
              <w:spacing w:after="60"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A93872">
              <w:rPr>
                <w:rFonts w:cs="Arial"/>
                <w:color w:val="000000"/>
                <w:sz w:val="14"/>
                <w:szCs w:val="16"/>
                <w:lang w:val="en-GB"/>
              </w:rPr>
              <w:t>MRCA</w:t>
            </w:r>
            <w:r>
              <w:rPr>
                <w:rFonts w:cs="Arial"/>
                <w:color w:val="000000"/>
                <w:sz w:val="14"/>
                <w:szCs w:val="16"/>
                <w:lang w:val="en-GB"/>
              </w:rPr>
              <w:t>)</w:t>
            </w:r>
            <w:r w:rsidR="00A93872">
              <w:rPr>
                <w:rFonts w:cs="Arial"/>
                <w:color w:val="000000"/>
                <w:sz w:val="14"/>
                <w:szCs w:val="16"/>
                <w:lang w:val="en-GB"/>
              </w:rPr>
              <w:t xml:space="preserve"> — </w:t>
            </w:r>
            <w:r w:rsidR="006D1B3D" w:rsidRPr="006D1B3D">
              <w:rPr>
                <w:rFonts w:cs="Arial"/>
                <w:color w:val="000000"/>
                <w:sz w:val="14"/>
                <w:szCs w:val="16"/>
                <w:lang w:val="en-GB"/>
              </w:rPr>
              <w:t xml:space="preserve">Member or former member of the Permanent Forces, Reserves, or cadets of the Australian Defence Force who has rendered service on or after 1 July 2004 — MRCA </w:t>
            </w:r>
            <w:hyperlink r:id="rId580" w:history="1">
              <w:r w:rsidR="006D1B3D" w:rsidRPr="005D07F3">
                <w:rPr>
                  <w:rStyle w:val="Hyperlink"/>
                  <w:rFonts w:cs="Arial"/>
                  <w:sz w:val="14"/>
                  <w:szCs w:val="16"/>
                  <w:lang w:val="en-GB"/>
                </w:rPr>
                <w:t>s5</w:t>
              </w:r>
            </w:hyperlink>
            <w:r w:rsidR="006D1B3D" w:rsidRPr="006D1B3D">
              <w:rPr>
                <w:rFonts w:cs="Arial"/>
                <w:color w:val="000000"/>
                <w:sz w:val="14"/>
                <w:szCs w:val="16"/>
                <w:lang w:val="en-GB"/>
              </w:rPr>
              <w:t>.</w:t>
            </w:r>
          </w:p>
          <w:p w14:paraId="24982E1A" w14:textId="66A835CD" w:rsidR="00A93872" w:rsidRPr="006D1B3D" w:rsidRDefault="0049238E" w:rsidP="00B21723">
            <w:pPr>
              <w:spacing w:after="60" w:line="276" w:lineRule="auto"/>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A93872">
              <w:rPr>
                <w:rFonts w:cs="Arial"/>
                <w:color w:val="000000"/>
                <w:sz w:val="14"/>
                <w:szCs w:val="16"/>
                <w:lang w:val="en-GB"/>
              </w:rPr>
              <w:t>DRCA</w:t>
            </w:r>
            <w:r>
              <w:rPr>
                <w:rFonts w:cs="Arial"/>
                <w:color w:val="000000"/>
                <w:sz w:val="14"/>
                <w:szCs w:val="16"/>
                <w:lang w:val="en-GB"/>
              </w:rPr>
              <w:t>)</w:t>
            </w:r>
            <w:r w:rsidR="00A93872">
              <w:rPr>
                <w:rFonts w:cs="Arial"/>
                <w:color w:val="000000"/>
                <w:sz w:val="14"/>
                <w:szCs w:val="16"/>
                <w:lang w:val="en-GB"/>
              </w:rPr>
              <w:t xml:space="preserve"> — Member or former member of the Permanent Forces, Reserves, or cadets of the Australian Defence Force who has rendered service prior to 1 July 2004 — DRCA </w:t>
            </w:r>
            <w:hyperlink r:id="rId581" w:history="1">
              <w:r w:rsidR="00A93872" w:rsidRPr="005D07F3">
                <w:rPr>
                  <w:rStyle w:val="Hyperlink"/>
                  <w:rFonts w:cs="Arial"/>
                  <w:sz w:val="14"/>
                  <w:szCs w:val="16"/>
                  <w:lang w:val="en-GB"/>
                </w:rPr>
                <w:t>s5</w:t>
              </w:r>
            </w:hyperlink>
            <w:r w:rsidR="00A93872">
              <w:rPr>
                <w:rFonts w:cs="Arial"/>
                <w:color w:val="000000"/>
                <w:sz w:val="14"/>
                <w:szCs w:val="16"/>
                <w:lang w:val="en-GB"/>
              </w:rPr>
              <w:t>.</w:t>
            </w:r>
          </w:p>
        </w:tc>
      </w:tr>
      <w:tr w:rsidR="006D1B3D" w:rsidRPr="006D1B3D" w14:paraId="53F8BE06" w14:textId="77777777" w:rsidTr="00FB729B">
        <w:tc>
          <w:tcPr>
            <w:tcW w:w="1626" w:type="dxa"/>
            <w:tcMar>
              <w:top w:w="80" w:type="dxa"/>
              <w:left w:w="80" w:type="dxa"/>
              <w:bottom w:w="80" w:type="dxa"/>
              <w:right w:w="80" w:type="dxa"/>
            </w:tcMar>
          </w:tcPr>
          <w:p w14:paraId="506FCBEE"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New Zealand</w:t>
            </w:r>
          </w:p>
        </w:tc>
        <w:tc>
          <w:tcPr>
            <w:tcW w:w="13809" w:type="dxa"/>
            <w:tcMar>
              <w:top w:w="80" w:type="dxa"/>
              <w:left w:w="80" w:type="dxa"/>
              <w:bottom w:w="80" w:type="dxa"/>
              <w:right w:w="80" w:type="dxa"/>
            </w:tcMar>
          </w:tcPr>
          <w:p w14:paraId="6BEF3CB4" w14:textId="1706334D" w:rsidR="006D1B3D" w:rsidRPr="006D1B3D" w:rsidRDefault="006D1B3D" w:rsidP="00B21723">
            <w:pPr>
              <w:spacing w:after="60" w:line="276" w:lineRule="auto"/>
              <w:rPr>
                <w:rFonts w:cs="Arial"/>
                <w:color w:val="000000"/>
                <w:sz w:val="14"/>
                <w:szCs w:val="16"/>
                <w:lang w:val="en-GB"/>
              </w:rPr>
            </w:pPr>
            <w:r w:rsidRPr="006D1B3D">
              <w:rPr>
                <w:rFonts w:cs="Arial"/>
                <w:color w:val="000000"/>
                <w:sz w:val="14"/>
                <w:szCs w:val="16"/>
                <w:lang w:val="en-GB"/>
              </w:rPr>
              <w:t xml:space="preserve">An earner is a natural person who engages in employment for the purposes of pecuniary gain, whether or not as an employee — </w:t>
            </w:r>
            <w:hyperlink r:id="rId582" w:history="1">
              <w:r w:rsidRPr="005D07F3">
                <w:rPr>
                  <w:rStyle w:val="Hyperlink"/>
                  <w:rFonts w:cs="Arial"/>
                  <w:sz w:val="14"/>
                  <w:szCs w:val="16"/>
                  <w:lang w:val="en-GB"/>
                </w:rPr>
                <w:t>s(6)</w:t>
              </w:r>
            </w:hyperlink>
            <w:r w:rsidRPr="006D1B3D">
              <w:rPr>
                <w:rFonts w:cs="Arial"/>
                <w:color w:val="000000"/>
                <w:sz w:val="14"/>
                <w:szCs w:val="16"/>
                <w:lang w:val="en-GB"/>
              </w:rPr>
              <w:t xml:space="preserve"> (also includes employees on unpaid parental leave, self-employed persons and employees who have purchased weekly compensation and employees who ceased work in the 28 days prior to incapacity, and who had an agreement to start work within three months of the date of incapacity or within 12 months for seasonal workers).</w:t>
            </w:r>
          </w:p>
        </w:tc>
      </w:tr>
      <w:bookmarkEnd w:id="85"/>
    </w:tbl>
    <w:p w14:paraId="50AEE200" w14:textId="6FFC20C9" w:rsidR="00C66972" w:rsidRPr="00C66972" w:rsidRDefault="00C66972" w:rsidP="00C66972">
      <w:pPr>
        <w:spacing w:after="200" w:line="276" w:lineRule="auto"/>
        <w:rPr>
          <w:rFonts w:eastAsiaTheme="minorHAnsi"/>
        </w:rPr>
      </w:pPr>
    </w:p>
    <w:p w14:paraId="602106DF" w14:textId="0BC6ECDA" w:rsidR="00C66972" w:rsidRPr="00A80282" w:rsidRDefault="00C66972" w:rsidP="00A80282">
      <w:pPr>
        <w:pStyle w:val="SWATableheader"/>
      </w:pPr>
      <w:bookmarkStart w:id="86" w:name="_Toc504654656"/>
      <w:bookmarkStart w:id="87" w:name="labour"/>
      <w:r w:rsidRPr="00A80282">
        <w:lastRenderedPageBreak/>
        <w:t>Table 3.1b: Coverage of contractors and labour hire workers (see Table 2.4a for summary of coverage of workers)</w:t>
      </w:r>
      <w:bookmarkEnd w:id="86"/>
      <w:r w:rsidRPr="00A80282">
        <w:t xml:space="preserve"> </w:t>
      </w:r>
      <w:r w:rsidR="009E1927" w:rsidRPr="00A80282">
        <w:fldChar w:fldCharType="begin"/>
      </w:r>
      <w:r w:rsidR="009E1927" w:rsidRPr="00A80282">
        <w:instrText xml:space="preserve"> XE "coverage of workers (type of worker):contractors/labour hire workers" \r "labour" </w:instrText>
      </w:r>
      <w:r w:rsidR="009E1927" w:rsidRPr="00A80282">
        <w:fldChar w:fldCharType="end"/>
      </w:r>
      <w:r w:rsidR="00306D40" w:rsidRPr="00A80282">
        <w:t xml:space="preserve"> </w:t>
      </w:r>
      <w:r w:rsidR="00306D40" w:rsidRPr="00A80282">
        <w:fldChar w:fldCharType="begin"/>
      </w:r>
      <w:r w:rsidR="00306D40" w:rsidRPr="00A80282">
        <w:instrText xml:space="preserve"> XE "labour hire workers" \r "labour" </w:instrText>
      </w:r>
      <w:r w:rsidR="00306D40" w:rsidRPr="00A80282">
        <w:fldChar w:fldCharType="end"/>
      </w:r>
      <w:r w:rsidR="00870A7B" w:rsidRPr="00A80282">
        <w:fldChar w:fldCharType="begin"/>
      </w:r>
      <w:r w:rsidR="00870A7B" w:rsidRPr="00A80282">
        <w:instrText xml:space="preserve"> XE "workers (types of workers):contractors/labour hire workers" \r "labour"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b: Coverage of contractors and labour hire workers (see Table 2.4a for summary of coverage of workers) "/>
        <w:tblDescription w:val="This table outlines the coverage of contractors and labour hire workers under the workers' compensation schemes. "/>
      </w:tblPr>
      <w:tblGrid>
        <w:gridCol w:w="1626"/>
        <w:gridCol w:w="6904"/>
        <w:gridCol w:w="6905"/>
      </w:tblGrid>
      <w:tr w:rsidR="00C66972" w:rsidRPr="008C7298" w14:paraId="7F4F71D1" w14:textId="77777777" w:rsidTr="00FB729B">
        <w:trPr>
          <w:tblHeader/>
        </w:trPr>
        <w:tc>
          <w:tcPr>
            <w:tcW w:w="1626" w:type="dxa"/>
            <w:shd w:val="clear" w:color="auto" w:fill="C00000"/>
            <w:tcMar>
              <w:top w:w="0" w:type="dxa"/>
              <w:left w:w="0" w:type="dxa"/>
              <w:bottom w:w="0" w:type="dxa"/>
              <w:right w:w="0" w:type="dxa"/>
            </w:tcMar>
            <w:vAlign w:val="center"/>
          </w:tcPr>
          <w:p w14:paraId="6E116FED" w14:textId="77777777" w:rsidR="00C66972" w:rsidRPr="008C7298" w:rsidRDefault="00C66972" w:rsidP="00B21723">
            <w:pPr>
              <w:pStyle w:val="Tableheaderrow"/>
              <w:spacing w:after="60"/>
            </w:pPr>
          </w:p>
        </w:tc>
        <w:tc>
          <w:tcPr>
            <w:tcW w:w="6904" w:type="dxa"/>
            <w:shd w:val="clear" w:color="auto" w:fill="C00000"/>
            <w:tcMar>
              <w:top w:w="0" w:type="dxa"/>
              <w:left w:w="0" w:type="dxa"/>
              <w:bottom w:w="0" w:type="dxa"/>
              <w:right w:w="0" w:type="dxa"/>
            </w:tcMar>
            <w:vAlign w:val="center"/>
          </w:tcPr>
          <w:p w14:paraId="2DFFCBEA" w14:textId="77777777" w:rsidR="00C66972" w:rsidRPr="008C7298" w:rsidRDefault="00C66972" w:rsidP="00B21723">
            <w:pPr>
              <w:pStyle w:val="Tableheaderrow"/>
              <w:spacing w:after="60"/>
            </w:pPr>
            <w:r w:rsidRPr="008C7298">
              <w:t>Are individual contractors covered under legislation?</w:t>
            </w:r>
          </w:p>
        </w:tc>
        <w:tc>
          <w:tcPr>
            <w:tcW w:w="6905" w:type="dxa"/>
            <w:shd w:val="clear" w:color="auto" w:fill="C00000"/>
            <w:tcMar>
              <w:top w:w="0" w:type="dxa"/>
              <w:left w:w="0" w:type="dxa"/>
              <w:bottom w:w="0" w:type="dxa"/>
              <w:right w:w="0" w:type="dxa"/>
            </w:tcMar>
            <w:vAlign w:val="center"/>
          </w:tcPr>
          <w:p w14:paraId="493E8A60" w14:textId="77777777" w:rsidR="00C66972" w:rsidRPr="008C7298" w:rsidRDefault="00C66972" w:rsidP="00B21723">
            <w:pPr>
              <w:pStyle w:val="Tableheaderrow"/>
              <w:spacing w:after="60"/>
            </w:pPr>
            <w:r w:rsidRPr="008C7298">
              <w:t xml:space="preserve">Are labour hire workers covered under legislation? </w:t>
            </w:r>
          </w:p>
        </w:tc>
      </w:tr>
      <w:tr w:rsidR="00C66972" w:rsidRPr="008C7298" w14:paraId="62193415" w14:textId="77777777" w:rsidTr="00FB729B">
        <w:tc>
          <w:tcPr>
            <w:tcW w:w="1626" w:type="dxa"/>
            <w:shd w:val="clear" w:color="auto" w:fill="FFC9C9"/>
            <w:tcMar>
              <w:top w:w="80" w:type="dxa"/>
              <w:left w:w="80" w:type="dxa"/>
              <w:bottom w:w="80" w:type="dxa"/>
              <w:right w:w="80" w:type="dxa"/>
            </w:tcMar>
          </w:tcPr>
          <w:p w14:paraId="25CE632D"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New South Wales</w:t>
            </w:r>
          </w:p>
        </w:tc>
        <w:tc>
          <w:tcPr>
            <w:tcW w:w="6904" w:type="dxa"/>
            <w:shd w:val="clear" w:color="auto" w:fill="FFC9C9"/>
            <w:tcMar>
              <w:top w:w="80" w:type="dxa"/>
              <w:left w:w="80" w:type="dxa"/>
              <w:bottom w:w="80" w:type="dxa"/>
              <w:right w:w="80" w:type="dxa"/>
            </w:tcMar>
          </w:tcPr>
          <w:p w14:paraId="79BF7FC0" w14:textId="0C0349DA"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Not unless contractor is a deemed worker</w:t>
            </w:r>
            <w:r w:rsidR="00870A7B">
              <w:rPr>
                <w:rFonts w:eastAsiaTheme="minorHAnsi" w:cs="Arial"/>
                <w:sz w:val="14"/>
                <w:szCs w:val="14"/>
              </w:rPr>
              <w:fldChar w:fldCharType="begin"/>
            </w:r>
            <w:r w:rsidR="00870A7B">
              <w:instrText xml:space="preserve"> XE "</w:instrText>
            </w:r>
            <w:r w:rsidR="00870A7B" w:rsidRPr="003223EB">
              <w:instrText>workers (types of workers):deemed workers</w:instrText>
            </w:r>
            <w:r w:rsidR="00870A7B">
              <w:instrText xml:space="preserve">" </w:instrText>
            </w:r>
            <w:r w:rsidR="00870A7B">
              <w:rPr>
                <w:rFonts w:eastAsiaTheme="minorHAnsi" w:cs="Arial"/>
                <w:sz w:val="14"/>
                <w:szCs w:val="14"/>
              </w:rPr>
              <w:fldChar w:fldCharType="end"/>
            </w:r>
            <w:r w:rsidRPr="008C7298">
              <w:rPr>
                <w:rFonts w:eastAsiaTheme="minorHAnsi" w:cs="Arial"/>
                <w:sz w:val="14"/>
                <w:szCs w:val="14"/>
              </w:rPr>
              <w:t xml:space="preserve"> p</w:t>
            </w:r>
            <w:r w:rsidR="006C2A6A">
              <w:rPr>
                <w:rFonts w:eastAsiaTheme="minorHAnsi" w:cs="Arial"/>
                <w:sz w:val="14"/>
                <w:szCs w:val="14"/>
              </w:rPr>
              <w:t xml:space="preserve">ursuant to </w:t>
            </w:r>
            <w:hyperlink r:id="rId583" w:history="1">
              <w:r w:rsidR="006C2A6A" w:rsidRPr="000D402E">
                <w:rPr>
                  <w:rStyle w:val="Hyperlink"/>
                  <w:rFonts w:eastAsiaTheme="minorHAnsi" w:cs="Arial"/>
                  <w:sz w:val="14"/>
                  <w:szCs w:val="14"/>
                </w:rPr>
                <w:t>Schedule 1</w:t>
              </w:r>
            </w:hyperlink>
            <w:r w:rsidR="006C2A6A">
              <w:rPr>
                <w:rFonts w:eastAsiaTheme="minorHAnsi" w:cs="Arial"/>
                <w:sz w:val="14"/>
                <w:szCs w:val="14"/>
              </w:rPr>
              <w:t xml:space="preserve">, </w:t>
            </w:r>
            <w:r w:rsidR="001F47B9" w:rsidRPr="00016069">
              <w:rPr>
                <w:i/>
                <w:sz w:val="14"/>
              </w:rPr>
              <w:t>Workplace Injury Management and</w:t>
            </w:r>
            <w:r w:rsidR="001F47B9">
              <w:rPr>
                <w:i/>
                <w:sz w:val="14"/>
              </w:rPr>
              <w:t xml:space="preserve"> Workers Compensation Act 1998</w:t>
            </w:r>
          </w:p>
        </w:tc>
        <w:tc>
          <w:tcPr>
            <w:tcW w:w="6905" w:type="dxa"/>
            <w:shd w:val="clear" w:color="auto" w:fill="FFC9C9"/>
            <w:tcMar>
              <w:top w:w="80" w:type="dxa"/>
              <w:left w:w="80" w:type="dxa"/>
              <w:bottom w:w="80" w:type="dxa"/>
              <w:right w:w="80" w:type="dxa"/>
            </w:tcMar>
          </w:tcPr>
          <w:p w14:paraId="4294D0C0" w14:textId="3EE09B42"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Yes, labour hire firm held to be employer — </w:t>
            </w:r>
            <w:r w:rsidR="006C2A6A">
              <w:rPr>
                <w:rFonts w:eastAsiaTheme="minorHAnsi" w:cs="Arial"/>
                <w:sz w:val="14"/>
                <w:szCs w:val="14"/>
              </w:rPr>
              <w:t xml:space="preserve">Clause 2A. </w:t>
            </w:r>
            <w:hyperlink r:id="rId584" w:history="1">
              <w:r w:rsidR="006C2A6A" w:rsidRPr="000D402E">
                <w:rPr>
                  <w:rStyle w:val="Hyperlink"/>
                  <w:rFonts w:eastAsiaTheme="minorHAnsi" w:cs="Arial"/>
                  <w:sz w:val="14"/>
                  <w:szCs w:val="14"/>
                </w:rPr>
                <w:t>Schedule 1</w:t>
              </w:r>
            </w:hyperlink>
            <w:r w:rsidR="006C2A6A">
              <w:rPr>
                <w:rFonts w:eastAsiaTheme="minorHAnsi" w:cs="Arial"/>
                <w:sz w:val="14"/>
                <w:szCs w:val="14"/>
              </w:rPr>
              <w:t>, 1998 Act</w:t>
            </w:r>
          </w:p>
        </w:tc>
      </w:tr>
      <w:tr w:rsidR="00C66972" w:rsidRPr="008C7298" w14:paraId="4D1F43FC" w14:textId="77777777" w:rsidTr="00FB729B">
        <w:tc>
          <w:tcPr>
            <w:tcW w:w="1626" w:type="dxa"/>
            <w:tcMar>
              <w:top w:w="80" w:type="dxa"/>
              <w:left w:w="80" w:type="dxa"/>
              <w:bottom w:w="80" w:type="dxa"/>
              <w:right w:w="80" w:type="dxa"/>
            </w:tcMar>
          </w:tcPr>
          <w:p w14:paraId="7BEFFDC4"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Victoria</w:t>
            </w:r>
          </w:p>
        </w:tc>
        <w:tc>
          <w:tcPr>
            <w:tcW w:w="6904" w:type="dxa"/>
            <w:tcMar>
              <w:top w:w="80" w:type="dxa"/>
              <w:left w:w="80" w:type="dxa"/>
              <w:bottom w:w="80" w:type="dxa"/>
              <w:right w:w="80" w:type="dxa"/>
            </w:tcMar>
          </w:tcPr>
          <w:p w14:paraId="40E736DF" w14:textId="65E3AA93"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Not unless the contractor is a deemed worker pur</w:t>
            </w:r>
            <w:r w:rsidR="006C2A6A">
              <w:rPr>
                <w:rFonts w:eastAsiaTheme="minorHAnsi" w:cs="Arial"/>
                <w:sz w:val="14"/>
                <w:szCs w:val="14"/>
              </w:rPr>
              <w:t xml:space="preserve">suant to clause 9 of </w:t>
            </w:r>
            <w:hyperlink r:id="rId585" w:history="1">
              <w:r w:rsidR="006C2A6A" w:rsidRPr="000D402E">
                <w:rPr>
                  <w:rStyle w:val="Hyperlink"/>
                  <w:rFonts w:eastAsiaTheme="minorHAnsi" w:cs="Arial"/>
                  <w:sz w:val="14"/>
                  <w:szCs w:val="14"/>
                </w:rPr>
                <w:t>schedule 1</w:t>
              </w:r>
            </w:hyperlink>
          </w:p>
        </w:tc>
        <w:tc>
          <w:tcPr>
            <w:tcW w:w="6905" w:type="dxa"/>
            <w:tcMar>
              <w:top w:w="80" w:type="dxa"/>
              <w:left w:w="80" w:type="dxa"/>
              <w:bottom w:w="80" w:type="dxa"/>
              <w:right w:w="80" w:type="dxa"/>
            </w:tcMar>
          </w:tcPr>
          <w:p w14:paraId="0130EDCB" w14:textId="0D716BCA"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labour hire firm held to be employer</w:t>
            </w:r>
            <w:r w:rsidR="006C2A6A">
              <w:rPr>
                <w:rFonts w:eastAsiaTheme="minorHAnsi" w:cs="Arial"/>
                <w:sz w:val="14"/>
                <w:szCs w:val="14"/>
              </w:rPr>
              <w:t xml:space="preserve"> (definition of ‘worker’ in </w:t>
            </w:r>
            <w:hyperlink r:id="rId586" w:history="1">
              <w:r w:rsidR="006C2A6A" w:rsidRPr="00657FFB">
                <w:rPr>
                  <w:rStyle w:val="Hyperlink"/>
                  <w:rFonts w:eastAsiaTheme="minorHAnsi" w:cs="Arial"/>
                  <w:sz w:val="14"/>
                  <w:szCs w:val="14"/>
                </w:rPr>
                <w:t>s3</w:t>
              </w:r>
            </w:hyperlink>
            <w:r w:rsidR="006C2A6A">
              <w:rPr>
                <w:rFonts w:eastAsiaTheme="minorHAnsi" w:cs="Arial"/>
                <w:sz w:val="14"/>
                <w:szCs w:val="14"/>
              </w:rPr>
              <w:t>)</w:t>
            </w:r>
          </w:p>
        </w:tc>
      </w:tr>
      <w:tr w:rsidR="00C66972" w:rsidRPr="008C7298" w14:paraId="1AC98270" w14:textId="77777777" w:rsidTr="00FB729B">
        <w:tc>
          <w:tcPr>
            <w:tcW w:w="1626" w:type="dxa"/>
            <w:shd w:val="clear" w:color="auto" w:fill="FFC9C9"/>
            <w:tcMar>
              <w:top w:w="80" w:type="dxa"/>
              <w:left w:w="80" w:type="dxa"/>
              <w:bottom w:w="80" w:type="dxa"/>
              <w:right w:w="80" w:type="dxa"/>
            </w:tcMar>
          </w:tcPr>
          <w:p w14:paraId="43800013"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Queensland</w:t>
            </w:r>
          </w:p>
        </w:tc>
        <w:tc>
          <w:tcPr>
            <w:tcW w:w="6904" w:type="dxa"/>
            <w:shd w:val="clear" w:color="auto" w:fill="FFC9C9"/>
            <w:tcMar>
              <w:top w:w="80" w:type="dxa"/>
              <w:left w:w="80" w:type="dxa"/>
              <w:bottom w:w="80" w:type="dxa"/>
              <w:right w:w="80" w:type="dxa"/>
            </w:tcMar>
          </w:tcPr>
          <w:p w14:paraId="208FC2EE" w14:textId="060A2E28"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w:t>
            </w:r>
            <w:r w:rsidR="006C2A6A">
              <w:rPr>
                <w:rFonts w:eastAsiaTheme="minorHAnsi" w:cs="Arial"/>
                <w:sz w:val="14"/>
                <w:szCs w:val="14"/>
              </w:rPr>
              <w:t xml:space="preserve">o. </w:t>
            </w:r>
            <w:r w:rsidRPr="008C7298">
              <w:rPr>
                <w:rFonts w:eastAsiaTheme="minorHAnsi" w:cs="Arial"/>
                <w:sz w:val="14"/>
                <w:szCs w:val="14"/>
              </w:rPr>
              <w:t>The following guidance for determining whether a person is a worker is provided:</w:t>
            </w:r>
            <w:r w:rsidRPr="008C7298">
              <w:rPr>
                <w:rFonts w:eastAsiaTheme="minorHAnsi" w:cs="Arial"/>
                <w:sz w:val="14"/>
                <w:szCs w:val="14"/>
              </w:rPr>
              <w:br/>
            </w:r>
            <w:hyperlink r:id="rId587" w:history="1">
              <w:r w:rsidRPr="008C7298">
                <w:rPr>
                  <w:rStyle w:val="Hyperlink"/>
                  <w:rFonts w:eastAsiaTheme="minorHAnsi" w:cs="Arial"/>
                  <w:sz w:val="14"/>
                  <w:szCs w:val="14"/>
                </w:rPr>
                <w:t>Worker guidelines</w:t>
              </w:r>
            </w:hyperlink>
            <w:r w:rsidRPr="008C7298">
              <w:rPr>
                <w:rFonts w:eastAsiaTheme="minorHAnsi" w:cs="Arial"/>
                <w:sz w:val="14"/>
                <w:szCs w:val="14"/>
              </w:rPr>
              <w:t xml:space="preserve"> and </w:t>
            </w:r>
            <w:hyperlink r:id="rId588" w:history="1">
              <w:r w:rsidRPr="008C7298">
                <w:rPr>
                  <w:rStyle w:val="Hyperlink"/>
                  <w:rFonts w:eastAsiaTheme="minorHAnsi" w:cs="Arial"/>
                  <w:sz w:val="14"/>
                  <w:szCs w:val="14"/>
                </w:rPr>
                <w:t>Worker determination</w:t>
              </w:r>
            </w:hyperlink>
          </w:p>
        </w:tc>
        <w:tc>
          <w:tcPr>
            <w:tcW w:w="6905" w:type="dxa"/>
            <w:shd w:val="clear" w:color="auto" w:fill="FFC9C9"/>
            <w:tcMar>
              <w:top w:w="80" w:type="dxa"/>
              <w:left w:w="80" w:type="dxa"/>
              <w:bottom w:w="80" w:type="dxa"/>
              <w:right w:w="80" w:type="dxa"/>
            </w:tcMar>
          </w:tcPr>
          <w:p w14:paraId="4635D8C3" w14:textId="3C74C5E8"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w:t>
            </w:r>
            <w:r w:rsidR="006C2A6A">
              <w:rPr>
                <w:rFonts w:eastAsiaTheme="minorHAnsi" w:cs="Arial"/>
                <w:sz w:val="14"/>
                <w:szCs w:val="14"/>
              </w:rPr>
              <w:t>r hire firm held to be employer</w:t>
            </w:r>
          </w:p>
        </w:tc>
      </w:tr>
      <w:tr w:rsidR="00C66972" w:rsidRPr="008C7298" w14:paraId="394DFE2A" w14:textId="77777777" w:rsidTr="00FB729B">
        <w:tc>
          <w:tcPr>
            <w:tcW w:w="1626" w:type="dxa"/>
            <w:tcMar>
              <w:top w:w="80" w:type="dxa"/>
              <w:left w:w="80" w:type="dxa"/>
              <w:bottom w:w="80" w:type="dxa"/>
              <w:right w:w="80" w:type="dxa"/>
            </w:tcMar>
          </w:tcPr>
          <w:p w14:paraId="3F9DD51C"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Western Australia</w:t>
            </w:r>
          </w:p>
        </w:tc>
        <w:tc>
          <w:tcPr>
            <w:tcW w:w="6904" w:type="dxa"/>
            <w:tcMar>
              <w:top w:w="80" w:type="dxa"/>
              <w:left w:w="80" w:type="dxa"/>
              <w:bottom w:w="80" w:type="dxa"/>
              <w:right w:w="80" w:type="dxa"/>
            </w:tcMar>
          </w:tcPr>
          <w:p w14:paraId="25056585" w14:textId="3BD42076"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 unless employed under contract for service and remunerated in substance for pe</w:t>
            </w:r>
            <w:r w:rsidR="006C2A6A">
              <w:rPr>
                <w:rFonts w:eastAsiaTheme="minorHAnsi" w:cs="Arial"/>
                <w:sz w:val="14"/>
                <w:szCs w:val="14"/>
              </w:rPr>
              <w:t>rsonal manual labour or service</w:t>
            </w:r>
          </w:p>
        </w:tc>
        <w:tc>
          <w:tcPr>
            <w:tcW w:w="6905" w:type="dxa"/>
            <w:tcMar>
              <w:top w:w="80" w:type="dxa"/>
              <w:left w:w="80" w:type="dxa"/>
              <w:bottom w:w="80" w:type="dxa"/>
              <w:right w:w="80" w:type="dxa"/>
            </w:tcMar>
          </w:tcPr>
          <w:p w14:paraId="5B146AB1" w14:textId="18F77B94"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w:t>
            </w:r>
            <w:r w:rsidR="006C2A6A">
              <w:rPr>
                <w:rFonts w:eastAsiaTheme="minorHAnsi" w:cs="Arial"/>
                <w:sz w:val="14"/>
                <w:szCs w:val="14"/>
              </w:rPr>
              <w:t>r hire firm held to be employer</w:t>
            </w:r>
          </w:p>
        </w:tc>
      </w:tr>
      <w:tr w:rsidR="00C66972" w:rsidRPr="008C7298" w14:paraId="24611C7B" w14:textId="77777777" w:rsidTr="00FB729B">
        <w:tc>
          <w:tcPr>
            <w:tcW w:w="1626" w:type="dxa"/>
            <w:shd w:val="clear" w:color="auto" w:fill="FFC9C9"/>
            <w:tcMar>
              <w:top w:w="80" w:type="dxa"/>
              <w:left w:w="80" w:type="dxa"/>
              <w:bottom w:w="80" w:type="dxa"/>
              <w:right w:w="80" w:type="dxa"/>
            </w:tcMar>
          </w:tcPr>
          <w:p w14:paraId="001C6063"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South Australia</w:t>
            </w:r>
          </w:p>
        </w:tc>
        <w:tc>
          <w:tcPr>
            <w:tcW w:w="6904" w:type="dxa"/>
            <w:shd w:val="clear" w:color="auto" w:fill="FFC9C9"/>
            <w:tcMar>
              <w:top w:w="80" w:type="dxa"/>
              <w:left w:w="80" w:type="dxa"/>
              <w:bottom w:w="80" w:type="dxa"/>
              <w:right w:w="80" w:type="dxa"/>
            </w:tcMar>
          </w:tcPr>
          <w:p w14:paraId="5BAA623F" w14:textId="1B608A05" w:rsidR="00C66972" w:rsidRPr="008C7298" w:rsidRDefault="00C66972" w:rsidP="00506358">
            <w:pPr>
              <w:spacing w:after="60" w:line="276" w:lineRule="auto"/>
              <w:rPr>
                <w:rFonts w:eastAsiaTheme="minorHAnsi" w:cs="Arial"/>
                <w:sz w:val="14"/>
                <w:szCs w:val="14"/>
              </w:rPr>
            </w:pPr>
            <w:r w:rsidRPr="008C7298">
              <w:rPr>
                <w:rFonts w:eastAsiaTheme="minorHAnsi" w:cs="Arial"/>
                <w:sz w:val="14"/>
                <w:szCs w:val="14"/>
              </w:rPr>
              <w:t xml:space="preserve">Yes, if undertaking prescribed work or work of a prescribed class — </w:t>
            </w:r>
            <w:hyperlink r:id="rId589" w:history="1">
              <w:r w:rsidRPr="008C7298">
                <w:rPr>
                  <w:rStyle w:val="Hyperlink"/>
                  <w:rFonts w:eastAsiaTheme="minorHAnsi" w:cs="Arial"/>
                  <w:sz w:val="14"/>
                  <w:szCs w:val="14"/>
                </w:rPr>
                <w:t>s4(1)</w:t>
              </w:r>
            </w:hyperlink>
            <w:r w:rsidRPr="008C7298">
              <w:rPr>
                <w:rFonts w:eastAsiaTheme="minorHAnsi" w:cs="Arial"/>
                <w:sz w:val="14"/>
                <w:szCs w:val="14"/>
              </w:rPr>
              <w:t xml:space="preserve"> </w:t>
            </w:r>
            <w:r w:rsidR="009F1DE8">
              <w:rPr>
                <w:rFonts w:eastAsiaTheme="minorHAnsi" w:cs="Arial"/>
                <w:sz w:val="14"/>
                <w:szCs w:val="14"/>
              </w:rPr>
              <w:t>—</w:t>
            </w:r>
            <w:r w:rsidR="009F1DE8" w:rsidRPr="008C7298">
              <w:rPr>
                <w:rFonts w:eastAsiaTheme="minorHAnsi" w:cs="Arial"/>
                <w:sz w:val="14"/>
                <w:szCs w:val="14"/>
              </w:rPr>
              <w:t xml:space="preserve"> </w:t>
            </w:r>
            <w:r w:rsidRPr="008C7298">
              <w:rPr>
                <w:rFonts w:eastAsiaTheme="minorHAnsi" w:cs="Arial"/>
                <w:sz w:val="14"/>
                <w:szCs w:val="14"/>
              </w:rPr>
              <w:t xml:space="preserve">contract of service and </w:t>
            </w:r>
            <w:hyperlink r:id="rId590" w:history="1">
              <w:r w:rsidRPr="008C7298">
                <w:rPr>
                  <w:rStyle w:val="Hyperlink"/>
                  <w:rFonts w:eastAsiaTheme="minorHAnsi" w:cs="Arial"/>
                  <w:sz w:val="14"/>
                  <w:szCs w:val="14"/>
                </w:rPr>
                <w:t>Regulation 5</w:t>
              </w:r>
            </w:hyperlink>
            <w:r w:rsidR="00506358" w:rsidRPr="00506358">
              <w:rPr>
                <w:rStyle w:val="Hyperlink"/>
                <w:rFonts w:eastAsiaTheme="minorHAnsi" w:cs="Arial"/>
                <w:sz w:val="14"/>
                <w:szCs w:val="14"/>
                <w:u w:val="none"/>
              </w:rPr>
              <w:t xml:space="preserve"> </w:t>
            </w:r>
            <w:r w:rsidR="009F1DE8">
              <w:rPr>
                <w:rFonts w:eastAsiaTheme="minorHAnsi" w:cs="Arial"/>
                <w:sz w:val="14"/>
                <w:szCs w:val="14"/>
              </w:rPr>
              <w:t>—</w:t>
            </w:r>
            <w:r w:rsidR="009F1DE8" w:rsidRPr="008C7298">
              <w:rPr>
                <w:rFonts w:eastAsiaTheme="minorHAnsi" w:cs="Arial"/>
                <w:sz w:val="14"/>
                <w:szCs w:val="14"/>
              </w:rPr>
              <w:t xml:space="preserve"> </w:t>
            </w:r>
            <w:r w:rsidRPr="008C7298">
              <w:rPr>
                <w:rFonts w:eastAsiaTheme="minorHAnsi" w:cs="Arial"/>
                <w:sz w:val="14"/>
                <w:szCs w:val="14"/>
              </w:rPr>
              <w:t>cont</w:t>
            </w:r>
            <w:r w:rsidR="006C2A6A">
              <w:rPr>
                <w:rFonts w:eastAsiaTheme="minorHAnsi" w:cs="Arial"/>
                <w:sz w:val="14"/>
                <w:szCs w:val="14"/>
              </w:rPr>
              <w:t>ract of service and other terms</w:t>
            </w:r>
          </w:p>
        </w:tc>
        <w:tc>
          <w:tcPr>
            <w:tcW w:w="6905" w:type="dxa"/>
            <w:shd w:val="clear" w:color="auto" w:fill="FFC9C9"/>
            <w:tcMar>
              <w:top w:w="80" w:type="dxa"/>
              <w:left w:w="80" w:type="dxa"/>
              <w:bottom w:w="80" w:type="dxa"/>
              <w:right w:w="80" w:type="dxa"/>
            </w:tcMar>
          </w:tcPr>
          <w:p w14:paraId="3287F224" w14:textId="1EFED3A7"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Yes, labour hire firm held to be employer </w:t>
            </w:r>
            <w:hyperlink r:id="rId591" w:history="1">
              <w:r w:rsidRPr="008C7298">
                <w:rPr>
                  <w:rStyle w:val="Hyperlink"/>
                  <w:rFonts w:eastAsiaTheme="minorHAnsi" w:cs="Arial"/>
                  <w:sz w:val="14"/>
                  <w:szCs w:val="14"/>
                </w:rPr>
                <w:t>s4(4).</w:t>
              </w:r>
            </w:hyperlink>
            <w:r w:rsidRPr="008C7298">
              <w:rPr>
                <w:rFonts w:eastAsiaTheme="minorHAnsi" w:cs="Arial"/>
                <w:sz w:val="14"/>
                <w:szCs w:val="14"/>
              </w:rPr>
              <w:t xml:space="preserve"> See </w:t>
            </w:r>
            <w:hyperlink r:id="rId592" w:history="1">
              <w:r w:rsidRPr="008C7298">
                <w:rPr>
                  <w:rStyle w:val="Hyperlink"/>
                  <w:rFonts w:eastAsiaTheme="minorHAnsi" w:cs="Arial"/>
                  <w:sz w:val="14"/>
                  <w:szCs w:val="14"/>
                </w:rPr>
                <w:t>Employment Services (Labour Hire) Guidelines</w:t>
              </w:r>
            </w:hyperlink>
            <w:r w:rsidRPr="008C7298">
              <w:rPr>
                <w:rFonts w:eastAsiaTheme="minorHAnsi" w:cs="Arial"/>
                <w:sz w:val="14"/>
                <w:szCs w:val="14"/>
              </w:rPr>
              <w:t xml:space="preserve"> (available on ReturnToWorkSA website for more information)</w:t>
            </w:r>
          </w:p>
        </w:tc>
      </w:tr>
      <w:tr w:rsidR="00C66972" w:rsidRPr="008C7298" w14:paraId="62DCBD68" w14:textId="77777777" w:rsidTr="00FB729B">
        <w:tc>
          <w:tcPr>
            <w:tcW w:w="1626" w:type="dxa"/>
            <w:tcMar>
              <w:top w:w="80" w:type="dxa"/>
              <w:left w:w="80" w:type="dxa"/>
              <w:bottom w:w="80" w:type="dxa"/>
              <w:right w:w="80" w:type="dxa"/>
            </w:tcMar>
          </w:tcPr>
          <w:p w14:paraId="3C8E6683"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Tasmania</w:t>
            </w:r>
          </w:p>
        </w:tc>
        <w:tc>
          <w:tcPr>
            <w:tcW w:w="6904" w:type="dxa"/>
            <w:tcMar>
              <w:top w:w="80" w:type="dxa"/>
              <w:left w:w="80" w:type="dxa"/>
              <w:bottom w:w="80" w:type="dxa"/>
              <w:right w:w="80" w:type="dxa"/>
            </w:tcMar>
          </w:tcPr>
          <w:p w14:paraId="3DFF8289" w14:textId="2DACD324"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 if engag</w:t>
            </w:r>
            <w:r w:rsidR="006C2A6A">
              <w:rPr>
                <w:rFonts w:eastAsiaTheme="minorHAnsi" w:cs="Arial"/>
                <w:sz w:val="14"/>
                <w:szCs w:val="14"/>
              </w:rPr>
              <w:t>ed under contract for services</w:t>
            </w:r>
          </w:p>
          <w:p w14:paraId="0E3F9E89" w14:textId="77777777"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Exceptions:</w:t>
            </w:r>
          </w:p>
          <w:p w14:paraId="39B19C4D" w14:textId="77777777" w:rsidR="00C66972" w:rsidRPr="000026F3" w:rsidRDefault="00C66972" w:rsidP="00F839DB">
            <w:pPr>
              <w:pStyle w:val="ListParagraph"/>
              <w:numPr>
                <w:ilvl w:val="0"/>
                <w:numId w:val="420"/>
              </w:numPr>
              <w:spacing w:after="60" w:line="276" w:lineRule="auto"/>
              <w:ind w:left="357" w:hanging="357"/>
              <w:contextualSpacing/>
              <w:rPr>
                <w:rFonts w:eastAsiaTheme="minorHAnsi" w:cs="Arial"/>
                <w:sz w:val="14"/>
                <w:szCs w:val="14"/>
              </w:rPr>
            </w:pPr>
            <w:r w:rsidRPr="000026F3">
              <w:rPr>
                <w:rFonts w:eastAsiaTheme="minorHAnsi" w:cs="Arial"/>
                <w:sz w:val="14"/>
                <w:szCs w:val="14"/>
              </w:rPr>
              <w:t xml:space="preserve">where contract is for work exceeding $100 in value which is not related to a trade or business regularly carried on by the contractor in the contractor’s own name or under a business or firm name — </w:t>
            </w:r>
            <w:hyperlink r:id="rId593" w:history="1">
              <w:r w:rsidRPr="000026F3">
                <w:rPr>
                  <w:rStyle w:val="Hyperlink"/>
                  <w:rFonts w:eastAsiaTheme="minorHAnsi" w:cs="Arial"/>
                  <w:sz w:val="14"/>
                  <w:szCs w:val="14"/>
                </w:rPr>
                <w:t>s4B</w:t>
              </w:r>
            </w:hyperlink>
            <w:r w:rsidRPr="000026F3">
              <w:rPr>
                <w:rFonts w:eastAsiaTheme="minorHAnsi" w:cs="Arial"/>
                <w:sz w:val="14"/>
                <w:szCs w:val="14"/>
              </w:rPr>
              <w:t xml:space="preserve"> </w:t>
            </w:r>
          </w:p>
          <w:p w14:paraId="6DC60817" w14:textId="77777777" w:rsidR="00C66972" w:rsidRPr="000026F3" w:rsidRDefault="00C66972" w:rsidP="00F839DB">
            <w:pPr>
              <w:pStyle w:val="ListParagraph"/>
              <w:numPr>
                <w:ilvl w:val="0"/>
                <w:numId w:val="420"/>
              </w:numPr>
              <w:spacing w:after="60" w:line="276" w:lineRule="auto"/>
              <w:ind w:left="357" w:hanging="357"/>
              <w:contextualSpacing/>
              <w:rPr>
                <w:rFonts w:eastAsiaTheme="minorHAnsi" w:cs="Arial"/>
                <w:sz w:val="14"/>
                <w:szCs w:val="14"/>
              </w:rPr>
            </w:pPr>
            <w:r w:rsidRPr="000026F3">
              <w:rPr>
                <w:rFonts w:eastAsiaTheme="minorHAnsi" w:cs="Arial"/>
                <w:sz w:val="14"/>
                <w:szCs w:val="14"/>
              </w:rPr>
              <w:t xml:space="preserve">taxi and luxury hire car drivers — </w:t>
            </w:r>
            <w:hyperlink r:id="rId594" w:history="1">
              <w:r w:rsidRPr="000026F3">
                <w:rPr>
                  <w:rStyle w:val="Hyperlink"/>
                  <w:rFonts w:eastAsiaTheme="minorHAnsi" w:cs="Arial"/>
                  <w:sz w:val="14"/>
                  <w:szCs w:val="14"/>
                </w:rPr>
                <w:t>s4DA</w:t>
              </w:r>
            </w:hyperlink>
            <w:r w:rsidRPr="000026F3">
              <w:rPr>
                <w:rFonts w:eastAsiaTheme="minorHAnsi" w:cs="Arial"/>
                <w:sz w:val="14"/>
                <w:szCs w:val="14"/>
              </w:rPr>
              <w:t xml:space="preserve"> &amp; </w:t>
            </w:r>
            <w:hyperlink r:id="rId595" w:history="1">
              <w:r w:rsidRPr="000026F3">
                <w:rPr>
                  <w:rStyle w:val="Hyperlink"/>
                  <w:rFonts w:eastAsiaTheme="minorHAnsi" w:cs="Arial"/>
                  <w:sz w:val="14"/>
                  <w:szCs w:val="14"/>
                </w:rPr>
                <w:t>s4DB</w:t>
              </w:r>
            </w:hyperlink>
          </w:p>
          <w:p w14:paraId="61315D8E" w14:textId="77777777" w:rsidR="00C66972" w:rsidRPr="000026F3" w:rsidRDefault="00C66972" w:rsidP="00F839DB">
            <w:pPr>
              <w:pStyle w:val="ListParagraph"/>
              <w:numPr>
                <w:ilvl w:val="0"/>
                <w:numId w:val="420"/>
              </w:numPr>
              <w:spacing w:after="60" w:line="276" w:lineRule="auto"/>
              <w:ind w:left="357" w:hanging="357"/>
              <w:contextualSpacing/>
              <w:rPr>
                <w:rFonts w:eastAsiaTheme="minorHAnsi" w:cs="Arial"/>
                <w:sz w:val="14"/>
                <w:szCs w:val="14"/>
              </w:rPr>
            </w:pPr>
            <w:r w:rsidRPr="000026F3">
              <w:rPr>
                <w:rFonts w:eastAsiaTheme="minorHAnsi" w:cs="Arial"/>
                <w:sz w:val="14"/>
                <w:szCs w:val="14"/>
              </w:rPr>
              <w:t xml:space="preserve">salesperson paid by commission — </w:t>
            </w:r>
            <w:hyperlink r:id="rId596" w:history="1">
              <w:r w:rsidRPr="000026F3">
                <w:rPr>
                  <w:rStyle w:val="Hyperlink"/>
                  <w:rFonts w:eastAsiaTheme="minorHAnsi" w:cs="Arial"/>
                  <w:sz w:val="14"/>
                  <w:szCs w:val="14"/>
                </w:rPr>
                <w:t>s4C</w:t>
              </w:r>
            </w:hyperlink>
          </w:p>
          <w:p w14:paraId="3DDEEC86" w14:textId="77777777" w:rsidR="00C66972" w:rsidRPr="000026F3" w:rsidRDefault="00C66972" w:rsidP="00F839DB">
            <w:pPr>
              <w:pStyle w:val="ListParagraph"/>
              <w:numPr>
                <w:ilvl w:val="0"/>
                <w:numId w:val="420"/>
              </w:numPr>
              <w:spacing w:after="60" w:line="276" w:lineRule="auto"/>
              <w:rPr>
                <w:rFonts w:eastAsiaTheme="minorHAnsi" w:cs="Arial"/>
                <w:sz w:val="14"/>
                <w:szCs w:val="14"/>
              </w:rPr>
            </w:pPr>
            <w:r w:rsidRPr="000026F3">
              <w:rPr>
                <w:rFonts w:eastAsiaTheme="minorHAnsi" w:cs="Arial"/>
                <w:sz w:val="14"/>
                <w:szCs w:val="14"/>
              </w:rPr>
              <w:t>jockeys —</w:t>
            </w:r>
            <w:hyperlink r:id="rId597" w:history="1">
              <w:r w:rsidRPr="000026F3">
                <w:rPr>
                  <w:rStyle w:val="Hyperlink"/>
                  <w:rFonts w:eastAsiaTheme="minorHAnsi" w:cs="Arial"/>
                  <w:sz w:val="14"/>
                  <w:szCs w:val="14"/>
                </w:rPr>
                <w:t>s4DC</w:t>
              </w:r>
            </w:hyperlink>
            <w:r w:rsidR="002B3287">
              <w:rPr>
                <w:rStyle w:val="Hyperlink"/>
                <w:rFonts w:eastAsiaTheme="minorHAnsi" w:cs="Arial"/>
                <w:sz w:val="14"/>
                <w:szCs w:val="14"/>
              </w:rPr>
              <w:t>.</w:t>
            </w:r>
          </w:p>
          <w:p w14:paraId="2C24A5A6" w14:textId="65BCB622"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Some forms of contract may misrepresent the true nature of the contract. The final arbiter is the Workers Rehabilit</w:t>
            </w:r>
            <w:r w:rsidR="006C2A6A">
              <w:rPr>
                <w:rFonts w:eastAsiaTheme="minorHAnsi" w:cs="Arial"/>
                <w:sz w:val="14"/>
                <w:szCs w:val="14"/>
              </w:rPr>
              <w:t>ation and Compensation Tribunal.</w:t>
            </w:r>
          </w:p>
        </w:tc>
        <w:tc>
          <w:tcPr>
            <w:tcW w:w="6905" w:type="dxa"/>
            <w:tcMar>
              <w:top w:w="80" w:type="dxa"/>
              <w:left w:w="80" w:type="dxa"/>
              <w:bottom w:w="80" w:type="dxa"/>
              <w:right w:w="80" w:type="dxa"/>
            </w:tcMar>
          </w:tcPr>
          <w:p w14:paraId="14F3AA66" w14:textId="2A8EEEA4"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w:t>
            </w:r>
            <w:r w:rsidR="006C2A6A">
              <w:rPr>
                <w:rFonts w:eastAsiaTheme="minorHAnsi" w:cs="Arial"/>
                <w:sz w:val="14"/>
                <w:szCs w:val="14"/>
              </w:rPr>
              <w:t>r hire firm held to be employer</w:t>
            </w:r>
          </w:p>
        </w:tc>
      </w:tr>
      <w:tr w:rsidR="00C66972" w:rsidRPr="008C7298" w14:paraId="18C7F532" w14:textId="77777777" w:rsidTr="00FB729B">
        <w:tc>
          <w:tcPr>
            <w:tcW w:w="1626" w:type="dxa"/>
            <w:shd w:val="clear" w:color="auto" w:fill="FFC9C9"/>
            <w:tcMar>
              <w:top w:w="80" w:type="dxa"/>
              <w:left w:w="80" w:type="dxa"/>
              <w:bottom w:w="80" w:type="dxa"/>
              <w:right w:w="80" w:type="dxa"/>
            </w:tcMar>
          </w:tcPr>
          <w:p w14:paraId="495B1B05"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Northern Territory</w:t>
            </w:r>
          </w:p>
        </w:tc>
        <w:tc>
          <w:tcPr>
            <w:tcW w:w="6904" w:type="dxa"/>
            <w:shd w:val="clear" w:color="auto" w:fill="FFC9C9"/>
            <w:tcMar>
              <w:top w:w="80" w:type="dxa"/>
              <w:left w:w="80" w:type="dxa"/>
              <w:bottom w:w="80" w:type="dxa"/>
              <w:right w:w="80" w:type="dxa"/>
            </w:tcMar>
          </w:tcPr>
          <w:p w14:paraId="4728594C" w14:textId="44B8929C"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No, unless contractor is a person who works under a contract and, in relation to the contract, is an employee for the purpose of assessment for PAYG </w:t>
            </w:r>
            <w:r w:rsidR="00670B0F">
              <w:rPr>
                <w:rFonts w:eastAsiaTheme="minorHAnsi" w:cs="Arial"/>
                <w:sz w:val="14"/>
                <w:szCs w:val="14"/>
              </w:rPr>
              <w:t xml:space="preserve">withholding under the </w:t>
            </w:r>
            <w:r w:rsidR="00670B0F" w:rsidRPr="00670B0F">
              <w:rPr>
                <w:rFonts w:eastAsiaTheme="minorHAnsi" w:cs="Arial"/>
                <w:i/>
                <w:sz w:val="14"/>
                <w:szCs w:val="14"/>
              </w:rPr>
              <w:t>Taxation A</w:t>
            </w:r>
            <w:r w:rsidRPr="00670B0F">
              <w:rPr>
                <w:rFonts w:eastAsiaTheme="minorHAnsi" w:cs="Arial"/>
                <w:i/>
                <w:sz w:val="14"/>
                <w:szCs w:val="14"/>
              </w:rPr>
              <w:t>dministration Act 1953</w:t>
            </w:r>
            <w:r w:rsidRPr="008C7298">
              <w:rPr>
                <w:rFonts w:eastAsiaTheme="minorHAnsi" w:cs="Arial"/>
                <w:sz w:val="14"/>
                <w:szCs w:val="14"/>
              </w:rPr>
              <w:t xml:space="preserve"> (</w:t>
            </w:r>
            <w:hyperlink r:id="rId598" w:history="1">
              <w:r w:rsidRPr="00657FFB">
                <w:rPr>
                  <w:rStyle w:val="Hyperlink"/>
                  <w:rFonts w:eastAsiaTheme="minorHAnsi" w:cs="Arial"/>
                  <w:sz w:val="14"/>
                  <w:szCs w:val="14"/>
                </w:rPr>
                <w:t>section3(1)</w:t>
              </w:r>
            </w:hyperlink>
            <w:r w:rsidRPr="008C7298">
              <w:rPr>
                <w:rFonts w:eastAsiaTheme="minorHAnsi" w:cs="Arial"/>
                <w:sz w:val="14"/>
                <w:szCs w:val="14"/>
              </w:rPr>
              <w:t xml:space="preserve"> </w:t>
            </w:r>
            <w:r w:rsidRPr="00670B0F">
              <w:rPr>
                <w:rFonts w:eastAsiaTheme="minorHAnsi" w:cs="Arial"/>
                <w:i/>
                <w:sz w:val="14"/>
                <w:szCs w:val="14"/>
              </w:rPr>
              <w:t>of the Return to Work Act</w:t>
            </w:r>
            <w:r w:rsidRPr="008C7298">
              <w:rPr>
                <w:rFonts w:eastAsiaTheme="minorHAnsi" w:cs="Arial"/>
                <w:sz w:val="14"/>
                <w:szCs w:val="14"/>
              </w:rPr>
              <w:t>)</w:t>
            </w:r>
            <w:r w:rsidR="002B3287">
              <w:rPr>
                <w:rFonts w:eastAsiaTheme="minorHAnsi" w:cs="Arial"/>
                <w:sz w:val="14"/>
                <w:szCs w:val="14"/>
              </w:rPr>
              <w:t>.</w:t>
            </w:r>
          </w:p>
        </w:tc>
        <w:tc>
          <w:tcPr>
            <w:tcW w:w="6905" w:type="dxa"/>
            <w:shd w:val="clear" w:color="auto" w:fill="FFC9C9"/>
            <w:tcMar>
              <w:top w:w="80" w:type="dxa"/>
              <w:left w:w="80" w:type="dxa"/>
              <w:bottom w:w="80" w:type="dxa"/>
              <w:right w:w="80" w:type="dxa"/>
            </w:tcMar>
          </w:tcPr>
          <w:p w14:paraId="71F68136" w14:textId="5F9FF912"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if the individual’s contract or agreement is with the Labour Hir</w:t>
            </w:r>
            <w:r w:rsidR="006C2A6A">
              <w:rPr>
                <w:rFonts w:eastAsiaTheme="minorHAnsi" w:cs="Arial"/>
                <w:sz w:val="14"/>
                <w:szCs w:val="14"/>
              </w:rPr>
              <w:t>e firm the firm is the employer</w:t>
            </w:r>
          </w:p>
        </w:tc>
      </w:tr>
      <w:tr w:rsidR="00C66972" w:rsidRPr="008C7298" w14:paraId="19327140" w14:textId="77777777" w:rsidTr="00FB729B">
        <w:tc>
          <w:tcPr>
            <w:tcW w:w="1626" w:type="dxa"/>
            <w:tcMar>
              <w:top w:w="80" w:type="dxa"/>
              <w:left w:w="80" w:type="dxa"/>
              <w:bottom w:w="80" w:type="dxa"/>
              <w:right w:w="80" w:type="dxa"/>
            </w:tcMar>
          </w:tcPr>
          <w:p w14:paraId="4A164D50"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Australian Capital Territory</w:t>
            </w:r>
          </w:p>
        </w:tc>
        <w:tc>
          <w:tcPr>
            <w:tcW w:w="6904" w:type="dxa"/>
            <w:tcMar>
              <w:top w:w="80" w:type="dxa"/>
              <w:left w:w="80" w:type="dxa"/>
              <w:bottom w:w="80" w:type="dxa"/>
              <w:right w:w="80" w:type="dxa"/>
            </w:tcMar>
          </w:tcPr>
          <w:p w14:paraId="54A0E136" w14:textId="77777777"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 if employed under contract for services. However, there are provisions for the coverage of regular contractors.</w:t>
            </w:r>
          </w:p>
        </w:tc>
        <w:tc>
          <w:tcPr>
            <w:tcW w:w="6905" w:type="dxa"/>
            <w:tcMar>
              <w:top w:w="80" w:type="dxa"/>
              <w:left w:w="80" w:type="dxa"/>
              <w:bottom w:w="80" w:type="dxa"/>
              <w:right w:w="80" w:type="dxa"/>
            </w:tcMar>
          </w:tcPr>
          <w:p w14:paraId="3AECA4B7" w14:textId="77777777" w:rsidR="00C66972" w:rsidRPr="008C7298" w:rsidRDefault="00C66972" w:rsidP="00B21723">
            <w:pPr>
              <w:spacing w:after="60"/>
              <w:rPr>
                <w:rFonts w:eastAsiaTheme="minorHAnsi" w:cs="Arial"/>
                <w:sz w:val="14"/>
                <w:szCs w:val="14"/>
              </w:rPr>
            </w:pPr>
            <w:r w:rsidRPr="008C7298">
              <w:rPr>
                <w:rFonts w:eastAsiaTheme="minorHAnsi" w:cs="Arial"/>
                <w:sz w:val="14"/>
                <w:szCs w:val="14"/>
              </w:rPr>
              <w:t>Yes, where the individual is not an executive officer of the corporation and:</w:t>
            </w:r>
          </w:p>
          <w:p w14:paraId="2377E0FD" w14:textId="77777777" w:rsidR="00C66972" w:rsidRPr="000026F3" w:rsidRDefault="00C66972" w:rsidP="00F839DB">
            <w:pPr>
              <w:pStyle w:val="ListParagraph"/>
              <w:numPr>
                <w:ilvl w:val="0"/>
                <w:numId w:val="421"/>
              </w:numPr>
              <w:spacing w:after="60"/>
              <w:ind w:left="357" w:hanging="357"/>
              <w:contextualSpacing/>
              <w:rPr>
                <w:rFonts w:eastAsiaTheme="minorHAnsi" w:cs="Arial"/>
                <w:sz w:val="14"/>
                <w:szCs w:val="14"/>
              </w:rPr>
            </w:pPr>
            <w:r w:rsidRPr="000026F3">
              <w:rPr>
                <w:rFonts w:eastAsiaTheme="minorHAnsi" w:cs="Arial"/>
                <w:sz w:val="14"/>
                <w:szCs w:val="14"/>
              </w:rPr>
              <w:t>the individual has been engaged by the labour hirer under a contract for services to work for someone other than the labour hirer</w:t>
            </w:r>
          </w:p>
          <w:p w14:paraId="48FF21F3" w14:textId="77777777" w:rsidR="00C66972" w:rsidRPr="000026F3" w:rsidRDefault="00C66972" w:rsidP="00F839DB">
            <w:pPr>
              <w:pStyle w:val="ListParagraph"/>
              <w:numPr>
                <w:ilvl w:val="0"/>
                <w:numId w:val="421"/>
              </w:numPr>
              <w:spacing w:after="60"/>
              <w:ind w:left="357" w:hanging="357"/>
              <w:contextualSpacing/>
              <w:rPr>
                <w:rFonts w:eastAsiaTheme="minorHAnsi" w:cs="Arial"/>
                <w:sz w:val="14"/>
                <w:szCs w:val="14"/>
              </w:rPr>
            </w:pPr>
            <w:r w:rsidRPr="000026F3">
              <w:rPr>
                <w:rFonts w:eastAsiaTheme="minorHAnsi" w:cs="Arial"/>
                <w:sz w:val="14"/>
                <w:szCs w:val="14"/>
              </w:rPr>
              <w:t>there is no contract to perform work between the individual and person for who work is to be performed, or</w:t>
            </w:r>
          </w:p>
          <w:p w14:paraId="7EC65186" w14:textId="77777777" w:rsidR="00C66972" w:rsidRPr="000026F3" w:rsidRDefault="00C66972" w:rsidP="00F839DB">
            <w:pPr>
              <w:pStyle w:val="ListParagraph"/>
              <w:numPr>
                <w:ilvl w:val="0"/>
                <w:numId w:val="421"/>
              </w:numPr>
              <w:spacing w:after="60"/>
              <w:rPr>
                <w:rFonts w:eastAsiaTheme="minorHAnsi" w:cs="Arial"/>
                <w:sz w:val="14"/>
                <w:szCs w:val="14"/>
              </w:rPr>
            </w:pPr>
            <w:r w:rsidRPr="000026F3">
              <w:rPr>
                <w:rFonts w:eastAsiaTheme="minorHAnsi" w:cs="Arial"/>
                <w:sz w:val="14"/>
                <w:szCs w:val="14"/>
              </w:rPr>
              <w:t>the individual does all or part of the work</w:t>
            </w:r>
            <w:r w:rsidR="002B3287">
              <w:rPr>
                <w:rFonts w:eastAsiaTheme="minorHAnsi" w:cs="Arial"/>
                <w:sz w:val="14"/>
                <w:szCs w:val="14"/>
              </w:rPr>
              <w:t>.</w:t>
            </w:r>
          </w:p>
        </w:tc>
      </w:tr>
      <w:tr w:rsidR="00C66972" w:rsidRPr="008C7298" w14:paraId="25E3D27E" w14:textId="77777777" w:rsidTr="00FB729B">
        <w:tc>
          <w:tcPr>
            <w:tcW w:w="1626" w:type="dxa"/>
            <w:shd w:val="clear" w:color="auto" w:fill="FFC9C9"/>
            <w:tcMar>
              <w:top w:w="80" w:type="dxa"/>
              <w:left w:w="80" w:type="dxa"/>
              <w:bottom w:w="80" w:type="dxa"/>
              <w:right w:w="80" w:type="dxa"/>
            </w:tcMar>
          </w:tcPr>
          <w:p w14:paraId="3F2F698F"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C’wealth Comcare</w:t>
            </w:r>
          </w:p>
        </w:tc>
        <w:tc>
          <w:tcPr>
            <w:tcW w:w="6904" w:type="dxa"/>
            <w:shd w:val="clear" w:color="auto" w:fill="FFC9C9"/>
            <w:tcMar>
              <w:top w:w="80" w:type="dxa"/>
              <w:left w:w="80" w:type="dxa"/>
              <w:bottom w:w="80" w:type="dxa"/>
              <w:right w:w="80" w:type="dxa"/>
            </w:tcMar>
          </w:tcPr>
          <w:p w14:paraId="18F16D77" w14:textId="37F6B95E"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No, compensation only </w:t>
            </w:r>
            <w:r w:rsidR="002239E9">
              <w:rPr>
                <w:rFonts w:eastAsiaTheme="minorHAnsi" w:cs="Arial"/>
                <w:sz w:val="14"/>
                <w:szCs w:val="14"/>
              </w:rPr>
              <w:t>through employment of employees</w:t>
            </w:r>
          </w:p>
        </w:tc>
        <w:tc>
          <w:tcPr>
            <w:tcW w:w="6905" w:type="dxa"/>
            <w:shd w:val="clear" w:color="auto" w:fill="FFC9C9"/>
            <w:tcMar>
              <w:top w:w="80" w:type="dxa"/>
              <w:left w:w="80" w:type="dxa"/>
              <w:bottom w:w="80" w:type="dxa"/>
              <w:right w:w="80" w:type="dxa"/>
            </w:tcMar>
          </w:tcPr>
          <w:p w14:paraId="010131E5" w14:textId="7D0CE3B5"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Possibly, dependin</w:t>
            </w:r>
            <w:r w:rsidR="002239E9">
              <w:rPr>
                <w:rFonts w:eastAsiaTheme="minorHAnsi" w:cs="Arial"/>
                <w:sz w:val="14"/>
                <w:szCs w:val="14"/>
              </w:rPr>
              <w:t>g on the nature of the contract</w:t>
            </w:r>
          </w:p>
        </w:tc>
      </w:tr>
      <w:tr w:rsidR="00C66972" w:rsidRPr="008C7298" w14:paraId="33B0079E" w14:textId="77777777" w:rsidTr="00FB729B">
        <w:tc>
          <w:tcPr>
            <w:tcW w:w="1626" w:type="dxa"/>
            <w:tcMar>
              <w:top w:w="80" w:type="dxa"/>
              <w:left w:w="80" w:type="dxa"/>
              <w:bottom w:w="80" w:type="dxa"/>
              <w:right w:w="80" w:type="dxa"/>
            </w:tcMar>
          </w:tcPr>
          <w:p w14:paraId="300EFD5F"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C’wealth Seacare</w:t>
            </w:r>
          </w:p>
        </w:tc>
        <w:tc>
          <w:tcPr>
            <w:tcW w:w="6904" w:type="dxa"/>
            <w:tcMar>
              <w:top w:w="80" w:type="dxa"/>
              <w:left w:w="80" w:type="dxa"/>
              <w:bottom w:w="80" w:type="dxa"/>
              <w:right w:w="80" w:type="dxa"/>
            </w:tcMar>
          </w:tcPr>
          <w:p w14:paraId="4A1B036F" w14:textId="0DF07B8E"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No, compensation only </w:t>
            </w:r>
            <w:r w:rsidR="002239E9">
              <w:rPr>
                <w:rFonts w:eastAsiaTheme="minorHAnsi" w:cs="Arial"/>
                <w:sz w:val="14"/>
                <w:szCs w:val="14"/>
              </w:rPr>
              <w:t>through employment of employees</w:t>
            </w:r>
          </w:p>
        </w:tc>
        <w:tc>
          <w:tcPr>
            <w:tcW w:w="6905" w:type="dxa"/>
            <w:tcMar>
              <w:top w:w="80" w:type="dxa"/>
              <w:left w:w="80" w:type="dxa"/>
              <w:bottom w:w="80" w:type="dxa"/>
              <w:right w:w="80" w:type="dxa"/>
            </w:tcMar>
          </w:tcPr>
          <w:p w14:paraId="095F9A53" w14:textId="7E7876B6"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Possibly, according to d</w:t>
            </w:r>
            <w:r w:rsidR="002239E9">
              <w:rPr>
                <w:rFonts w:eastAsiaTheme="minorHAnsi" w:cs="Arial"/>
                <w:sz w:val="14"/>
                <w:szCs w:val="14"/>
              </w:rPr>
              <w:t>efinition of nature of contract</w:t>
            </w:r>
          </w:p>
        </w:tc>
      </w:tr>
      <w:tr w:rsidR="00C66972" w:rsidRPr="008C7298" w14:paraId="70EC8323" w14:textId="77777777" w:rsidTr="00FB729B">
        <w:tc>
          <w:tcPr>
            <w:tcW w:w="1626" w:type="dxa"/>
            <w:shd w:val="clear" w:color="auto" w:fill="FFC9C9"/>
            <w:tcMar>
              <w:top w:w="80" w:type="dxa"/>
              <w:left w:w="80" w:type="dxa"/>
              <w:bottom w:w="80" w:type="dxa"/>
              <w:right w:w="80" w:type="dxa"/>
            </w:tcMar>
          </w:tcPr>
          <w:p w14:paraId="03210B59"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C’wealth DVA</w:t>
            </w:r>
          </w:p>
        </w:tc>
        <w:tc>
          <w:tcPr>
            <w:tcW w:w="6904" w:type="dxa"/>
            <w:shd w:val="clear" w:color="auto" w:fill="FFC9C9"/>
            <w:tcMar>
              <w:top w:w="80" w:type="dxa"/>
              <w:left w:w="80" w:type="dxa"/>
              <w:bottom w:w="80" w:type="dxa"/>
              <w:right w:w="80" w:type="dxa"/>
            </w:tcMar>
          </w:tcPr>
          <w:p w14:paraId="67A58D33" w14:textId="2F6EA44F" w:rsidR="00C66972" w:rsidRDefault="00C66972" w:rsidP="00B21723">
            <w:pPr>
              <w:spacing w:after="60" w:line="276" w:lineRule="auto"/>
              <w:rPr>
                <w:rFonts w:eastAsiaTheme="minorHAnsi" w:cs="Arial"/>
                <w:sz w:val="14"/>
                <w:szCs w:val="14"/>
              </w:rPr>
            </w:pPr>
            <w:r w:rsidRPr="008C7298">
              <w:rPr>
                <w:rFonts w:eastAsiaTheme="minorHAnsi" w:cs="Arial"/>
                <w:sz w:val="14"/>
                <w:szCs w:val="14"/>
              </w:rPr>
              <w:t>Only if a</w:t>
            </w:r>
            <w:r w:rsidR="002239E9">
              <w:rPr>
                <w:rFonts w:eastAsiaTheme="minorHAnsi" w:cs="Arial"/>
                <w:sz w:val="14"/>
                <w:szCs w:val="14"/>
              </w:rPr>
              <w:t xml:space="preserve"> ‘member’ under</w:t>
            </w:r>
            <w:r w:rsidR="001F47B9">
              <w:rPr>
                <w:rFonts w:eastAsiaTheme="minorHAnsi" w:cs="Arial"/>
                <w:sz w:val="14"/>
                <w:szCs w:val="14"/>
              </w:rPr>
              <w:t xml:space="preserve"> </w:t>
            </w:r>
            <w:r w:rsidR="001F47B9" w:rsidRPr="0039798F">
              <w:rPr>
                <w:rFonts w:eastAsia="Calibri" w:cs="Arial"/>
                <w:i/>
                <w:sz w:val="14"/>
                <w:szCs w:val="14"/>
                <w:lang w:eastAsia="en-US"/>
              </w:rPr>
              <w:t>Military Rehabilitation and Compensation Act 2004</w:t>
            </w:r>
            <w:r w:rsidR="002239E9">
              <w:rPr>
                <w:rFonts w:eastAsiaTheme="minorHAnsi" w:cs="Arial"/>
                <w:sz w:val="14"/>
                <w:szCs w:val="14"/>
              </w:rPr>
              <w:t xml:space="preserve"> </w:t>
            </w:r>
            <w:r w:rsidR="001F47B9">
              <w:rPr>
                <w:rFonts w:eastAsiaTheme="minorHAnsi" w:cs="Arial"/>
                <w:sz w:val="14"/>
                <w:szCs w:val="14"/>
              </w:rPr>
              <w:t>(</w:t>
            </w:r>
            <w:r w:rsidR="002239E9">
              <w:rPr>
                <w:rFonts w:eastAsiaTheme="minorHAnsi" w:cs="Arial"/>
                <w:sz w:val="14"/>
                <w:szCs w:val="14"/>
              </w:rPr>
              <w:t>MRCA</w:t>
            </w:r>
            <w:r w:rsidR="001F47B9">
              <w:rPr>
                <w:rFonts w:eastAsiaTheme="minorHAnsi" w:cs="Arial"/>
                <w:sz w:val="14"/>
                <w:szCs w:val="14"/>
              </w:rPr>
              <w:t>)</w:t>
            </w:r>
            <w:r w:rsidR="002239E9">
              <w:rPr>
                <w:rFonts w:eastAsiaTheme="minorHAnsi" w:cs="Arial"/>
                <w:sz w:val="14"/>
                <w:szCs w:val="14"/>
              </w:rPr>
              <w:t xml:space="preserve"> ss </w:t>
            </w:r>
            <w:hyperlink r:id="rId599" w:history="1">
              <w:r w:rsidR="002239E9" w:rsidRPr="00657FFB">
                <w:rPr>
                  <w:rStyle w:val="Hyperlink"/>
                  <w:rFonts w:eastAsiaTheme="minorHAnsi" w:cs="Arial"/>
                  <w:sz w:val="14"/>
                  <w:szCs w:val="14"/>
                </w:rPr>
                <w:t>7A</w:t>
              </w:r>
            </w:hyperlink>
            <w:r w:rsidR="002239E9">
              <w:rPr>
                <w:rFonts w:eastAsiaTheme="minorHAnsi" w:cs="Arial"/>
                <w:sz w:val="14"/>
                <w:szCs w:val="14"/>
              </w:rPr>
              <w:t xml:space="preserve"> or </w:t>
            </w:r>
            <w:hyperlink r:id="rId600" w:history="1">
              <w:r w:rsidR="002239E9" w:rsidRPr="00657FFB">
                <w:rPr>
                  <w:rStyle w:val="Hyperlink"/>
                  <w:rFonts w:eastAsiaTheme="minorHAnsi" w:cs="Arial"/>
                  <w:sz w:val="14"/>
                  <w:szCs w:val="14"/>
                </w:rPr>
                <w:t>8</w:t>
              </w:r>
            </w:hyperlink>
          </w:p>
          <w:p w14:paraId="25BD0BBB" w14:textId="01779D73" w:rsidR="00A93872" w:rsidRPr="008C7298" w:rsidRDefault="001F47B9" w:rsidP="00B21723">
            <w:pPr>
              <w:spacing w:after="60" w:line="276" w:lineRule="auto"/>
              <w:rPr>
                <w:rFonts w:eastAsiaTheme="minorHAnsi" w:cs="Arial"/>
                <w:sz w:val="14"/>
                <w:szCs w:val="14"/>
              </w:rPr>
            </w:pPr>
            <w:r w:rsidRPr="00016069">
              <w:rPr>
                <w:i/>
                <w:sz w:val="14"/>
              </w:rPr>
              <w:lastRenderedPageBreak/>
              <w:t>Safety, Rehabilitation and Compensation (Defence-related Claims) Act 1988</w:t>
            </w:r>
            <w:r>
              <w:rPr>
                <w:sz w:val="14"/>
              </w:rPr>
              <w:t xml:space="preserve"> (DRCA)</w:t>
            </w:r>
            <w:r w:rsidR="00A93872">
              <w:rPr>
                <w:rFonts w:eastAsiaTheme="minorHAnsi" w:cs="Arial"/>
                <w:sz w:val="14"/>
                <w:szCs w:val="14"/>
              </w:rPr>
              <w:t xml:space="preserve"> — No — employee means a member of the Defence Force — </w:t>
            </w:r>
            <w:hyperlink r:id="rId601" w:history="1">
              <w:r w:rsidR="00A93872" w:rsidRPr="00657FFB">
                <w:rPr>
                  <w:rStyle w:val="Hyperlink"/>
                  <w:rFonts w:eastAsiaTheme="minorHAnsi" w:cs="Arial"/>
                  <w:sz w:val="14"/>
                  <w:szCs w:val="14"/>
                </w:rPr>
                <w:t>s5</w:t>
              </w:r>
            </w:hyperlink>
          </w:p>
        </w:tc>
        <w:tc>
          <w:tcPr>
            <w:tcW w:w="6905" w:type="dxa"/>
            <w:shd w:val="clear" w:color="auto" w:fill="FFC9C9"/>
            <w:tcMar>
              <w:top w:w="80" w:type="dxa"/>
              <w:left w:w="80" w:type="dxa"/>
              <w:bottom w:w="80" w:type="dxa"/>
              <w:right w:w="80" w:type="dxa"/>
            </w:tcMar>
          </w:tcPr>
          <w:p w14:paraId="6077D9D4" w14:textId="0EC10A10"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lastRenderedPageBreak/>
              <w:t>Only if a</w:t>
            </w:r>
            <w:r w:rsidR="002239E9">
              <w:rPr>
                <w:rFonts w:eastAsiaTheme="minorHAnsi" w:cs="Arial"/>
                <w:sz w:val="14"/>
                <w:szCs w:val="14"/>
              </w:rPr>
              <w:t xml:space="preserve"> ‘member’ under MRCA ss </w:t>
            </w:r>
            <w:hyperlink r:id="rId602" w:history="1">
              <w:r w:rsidR="00657FFB" w:rsidRPr="00657FFB">
                <w:rPr>
                  <w:rStyle w:val="Hyperlink"/>
                  <w:rFonts w:eastAsiaTheme="minorHAnsi" w:cs="Arial"/>
                  <w:sz w:val="14"/>
                  <w:szCs w:val="14"/>
                </w:rPr>
                <w:t>7A</w:t>
              </w:r>
            </w:hyperlink>
            <w:r w:rsidR="00657FFB">
              <w:rPr>
                <w:rFonts w:eastAsiaTheme="minorHAnsi" w:cs="Arial"/>
                <w:sz w:val="14"/>
                <w:szCs w:val="14"/>
              </w:rPr>
              <w:t xml:space="preserve"> or </w:t>
            </w:r>
            <w:hyperlink r:id="rId603" w:history="1">
              <w:r w:rsidR="00657FFB" w:rsidRPr="00657FFB">
                <w:rPr>
                  <w:rStyle w:val="Hyperlink"/>
                  <w:rFonts w:eastAsiaTheme="minorHAnsi" w:cs="Arial"/>
                  <w:sz w:val="14"/>
                  <w:szCs w:val="14"/>
                </w:rPr>
                <w:t>8</w:t>
              </w:r>
            </w:hyperlink>
          </w:p>
        </w:tc>
      </w:tr>
      <w:tr w:rsidR="00C66972" w:rsidRPr="008C7298" w14:paraId="0994748D" w14:textId="77777777" w:rsidTr="00FB729B">
        <w:tc>
          <w:tcPr>
            <w:tcW w:w="1626" w:type="dxa"/>
            <w:tcMar>
              <w:top w:w="80" w:type="dxa"/>
              <w:left w:w="80" w:type="dxa"/>
              <w:bottom w:w="80" w:type="dxa"/>
              <w:right w:w="80" w:type="dxa"/>
            </w:tcMar>
          </w:tcPr>
          <w:p w14:paraId="3C6FCFD9"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New Zealand</w:t>
            </w:r>
          </w:p>
        </w:tc>
        <w:tc>
          <w:tcPr>
            <w:tcW w:w="6904" w:type="dxa"/>
            <w:tcMar>
              <w:top w:w="80" w:type="dxa"/>
              <w:left w:w="80" w:type="dxa"/>
              <w:bottom w:w="80" w:type="dxa"/>
              <w:right w:w="80" w:type="dxa"/>
            </w:tcMar>
          </w:tcPr>
          <w:p w14:paraId="288594AC" w14:textId="65259F61" w:rsidR="00C66972" w:rsidRPr="008C7298" w:rsidRDefault="002239E9" w:rsidP="00B21723">
            <w:pPr>
              <w:spacing w:after="60" w:line="276" w:lineRule="auto"/>
              <w:rPr>
                <w:rFonts w:eastAsiaTheme="minorHAnsi" w:cs="Arial"/>
                <w:sz w:val="14"/>
                <w:szCs w:val="14"/>
              </w:rPr>
            </w:pPr>
            <w:r>
              <w:rPr>
                <w:rFonts w:eastAsiaTheme="minorHAnsi" w:cs="Arial"/>
                <w:sz w:val="14"/>
                <w:szCs w:val="14"/>
              </w:rPr>
              <w:t>Yes</w:t>
            </w:r>
          </w:p>
        </w:tc>
        <w:tc>
          <w:tcPr>
            <w:tcW w:w="6905" w:type="dxa"/>
            <w:tcMar>
              <w:top w:w="80" w:type="dxa"/>
              <w:left w:w="80" w:type="dxa"/>
              <w:bottom w:w="80" w:type="dxa"/>
              <w:right w:w="80" w:type="dxa"/>
            </w:tcMar>
          </w:tcPr>
          <w:p w14:paraId="27A53FFC" w14:textId="578A7476"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w:t>
            </w:r>
            <w:r w:rsidR="002239E9">
              <w:rPr>
                <w:rFonts w:eastAsiaTheme="minorHAnsi" w:cs="Arial"/>
                <w:sz w:val="14"/>
                <w:szCs w:val="14"/>
              </w:rPr>
              <w:t>r hire firm held to be employer</w:t>
            </w:r>
          </w:p>
        </w:tc>
      </w:tr>
    </w:tbl>
    <w:p w14:paraId="76E0957E" w14:textId="5EA46AF6" w:rsidR="00C66972" w:rsidRPr="00A80282" w:rsidRDefault="00C66972" w:rsidP="00A80282">
      <w:pPr>
        <w:pStyle w:val="SWATableheader"/>
      </w:pPr>
      <w:bookmarkStart w:id="88" w:name="_Toc504654657"/>
      <w:bookmarkStart w:id="89" w:name="deemed"/>
      <w:bookmarkEnd w:id="87"/>
      <w:r w:rsidRPr="00A80282">
        <w:lastRenderedPageBreak/>
        <w:t>Table 3.2: Deemed workers</w:t>
      </w:r>
      <w:bookmarkEnd w:id="88"/>
      <w:r w:rsidRPr="00A80282">
        <w:t xml:space="preserve"> </w:t>
      </w:r>
      <w:r w:rsidR="009E1927" w:rsidRPr="00A80282">
        <w:fldChar w:fldCharType="begin"/>
      </w:r>
      <w:r w:rsidR="009E1927" w:rsidRPr="00A80282">
        <w:instrText xml:space="preserve"> XE "coverage of workers (type of worker):deemed workers" \r "deemed" </w:instrText>
      </w:r>
      <w:r w:rsidR="009E1927" w:rsidRPr="00A80282">
        <w:fldChar w:fldCharType="end"/>
      </w:r>
      <w:r w:rsidR="008E6A35" w:rsidRPr="00A80282">
        <w:fldChar w:fldCharType="begin"/>
      </w:r>
      <w:r w:rsidR="008E6A35" w:rsidRPr="00A80282">
        <w:instrText xml:space="preserve"> XE "deemed workers" \r "deemed" </w:instrText>
      </w:r>
      <w:r w:rsidR="008E6A35"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2: Deemed workers "/>
        <w:tblDescription w:val="This table defines a deemed worker under each of the workers' compensation schemes. "/>
      </w:tblPr>
      <w:tblGrid>
        <w:gridCol w:w="1626"/>
        <w:gridCol w:w="13809"/>
      </w:tblGrid>
      <w:tr w:rsidR="00F86BEA" w:rsidRPr="008232A9" w14:paraId="64474961" w14:textId="77777777" w:rsidTr="00153F5B">
        <w:trPr>
          <w:trHeight w:val="20"/>
          <w:tblHeader/>
        </w:trPr>
        <w:tc>
          <w:tcPr>
            <w:tcW w:w="1626" w:type="dxa"/>
            <w:shd w:val="clear" w:color="auto" w:fill="C00000"/>
            <w:tcMar>
              <w:top w:w="0" w:type="dxa"/>
              <w:left w:w="0" w:type="dxa"/>
              <w:bottom w:w="0" w:type="dxa"/>
              <w:right w:w="0" w:type="dxa"/>
            </w:tcMar>
            <w:vAlign w:val="center"/>
          </w:tcPr>
          <w:p w14:paraId="20D40839" w14:textId="77777777" w:rsidR="00F86BEA" w:rsidRPr="008232A9" w:rsidRDefault="00F86BEA" w:rsidP="00B21723">
            <w:pPr>
              <w:pStyle w:val="Tableheaderrow"/>
              <w:spacing w:after="60"/>
            </w:pPr>
          </w:p>
        </w:tc>
        <w:tc>
          <w:tcPr>
            <w:tcW w:w="13809" w:type="dxa"/>
            <w:shd w:val="clear" w:color="auto" w:fill="C00000"/>
            <w:tcMar>
              <w:top w:w="0" w:type="dxa"/>
              <w:left w:w="0" w:type="dxa"/>
              <w:bottom w:w="0" w:type="dxa"/>
              <w:right w:w="0" w:type="dxa"/>
            </w:tcMar>
            <w:vAlign w:val="center"/>
          </w:tcPr>
          <w:p w14:paraId="014C3985" w14:textId="77777777" w:rsidR="00F86BEA" w:rsidRPr="008232A9" w:rsidRDefault="00F86BEA" w:rsidP="00B21723">
            <w:pPr>
              <w:pStyle w:val="Tableheaderrow"/>
              <w:spacing w:after="60"/>
            </w:pPr>
            <w:r w:rsidRPr="008232A9">
              <w:t>Definition of deemed worker</w:t>
            </w:r>
          </w:p>
        </w:tc>
      </w:tr>
      <w:tr w:rsidR="00F86BEA" w:rsidRPr="008232A9" w14:paraId="10110DDA" w14:textId="77777777" w:rsidTr="00153F5B">
        <w:trPr>
          <w:trHeight w:val="20"/>
        </w:trPr>
        <w:tc>
          <w:tcPr>
            <w:tcW w:w="1626" w:type="dxa"/>
            <w:shd w:val="clear" w:color="auto" w:fill="FFC9C9"/>
            <w:tcMar>
              <w:top w:w="80" w:type="dxa"/>
              <w:left w:w="80" w:type="dxa"/>
              <w:bottom w:w="80" w:type="dxa"/>
              <w:right w:w="80" w:type="dxa"/>
            </w:tcMar>
          </w:tcPr>
          <w:p w14:paraId="1DD6F292" w14:textId="77777777" w:rsidR="00F86BEA" w:rsidRPr="008232A9" w:rsidRDefault="00F86BEA" w:rsidP="00B21723">
            <w:pPr>
              <w:pStyle w:val="TableColumn1bold"/>
              <w:spacing w:after="60"/>
            </w:pPr>
            <w:r w:rsidRPr="008232A9">
              <w:t>New South Wales</w:t>
            </w:r>
          </w:p>
        </w:tc>
        <w:tc>
          <w:tcPr>
            <w:tcW w:w="13809" w:type="dxa"/>
            <w:shd w:val="clear" w:color="auto" w:fill="FFC9C9"/>
            <w:tcMar>
              <w:top w:w="80" w:type="dxa"/>
              <w:left w:w="80" w:type="dxa"/>
              <w:bottom w:w="80" w:type="dxa"/>
              <w:right w:w="80" w:type="dxa"/>
            </w:tcMar>
          </w:tcPr>
          <w:p w14:paraId="5A24924B" w14:textId="1FA5ADDD" w:rsidR="00F86BEA" w:rsidRDefault="00A7538C" w:rsidP="00B21723">
            <w:pPr>
              <w:pStyle w:val="lgetabletxt"/>
              <w:spacing w:after="60" w:afterAutospacing="0"/>
            </w:pPr>
            <w:hyperlink r:id="rId604" w:history="1">
              <w:r w:rsidR="00F86BEA" w:rsidRPr="000D402E">
                <w:rPr>
                  <w:rStyle w:val="Hyperlink"/>
                </w:rPr>
                <w:t>Schedule 1</w:t>
              </w:r>
            </w:hyperlink>
            <w:r w:rsidR="00F86BEA">
              <w:t xml:space="preserve"> of the </w:t>
            </w:r>
            <w:r w:rsidR="001A52E4" w:rsidRPr="00016069">
              <w:rPr>
                <w:i/>
              </w:rPr>
              <w:t>Workplace Injury Management and</w:t>
            </w:r>
            <w:r w:rsidR="001A52E4">
              <w:rPr>
                <w:i/>
              </w:rPr>
              <w:t xml:space="preserve"> Workers Compensation Act 1998 </w:t>
            </w:r>
            <w:r w:rsidR="00F86BEA">
              <w:t>lists the twenty-one specific circumstances in which persons are deemed to be workers:</w:t>
            </w:r>
          </w:p>
          <w:p w14:paraId="480D3D7C" w14:textId="77777777" w:rsidR="00F86BEA" w:rsidRDefault="00F86BEA" w:rsidP="00DF35F2">
            <w:pPr>
              <w:pStyle w:val="lgetabletxt"/>
              <w:numPr>
                <w:ilvl w:val="0"/>
                <w:numId w:val="69"/>
              </w:numPr>
              <w:spacing w:after="60" w:afterAutospacing="0"/>
              <w:contextualSpacing/>
            </w:pPr>
            <w:r>
              <w:t>workers lent or on hire</w:t>
            </w:r>
          </w:p>
          <w:p w14:paraId="3EFC89A6" w14:textId="1EB14CB6" w:rsidR="00F86BEA" w:rsidRDefault="00F1686F" w:rsidP="009650EC">
            <w:pPr>
              <w:pStyle w:val="lgetabletxt"/>
              <w:tabs>
                <w:tab w:val="left" w:pos="364"/>
                <w:tab w:val="left" w:pos="514"/>
                <w:tab w:val="left" w:pos="679"/>
              </w:tabs>
              <w:spacing w:after="60" w:afterAutospacing="0"/>
              <w:contextualSpacing/>
            </w:pPr>
            <w:r>
              <w:t>1A</w:t>
            </w:r>
            <w:r w:rsidR="00F86BEA">
              <w:t>.</w:t>
            </w:r>
            <w:r w:rsidR="00153F5B">
              <w:tab/>
            </w:r>
            <w:r w:rsidR="00F86BEA">
              <w:t>outworkers</w:t>
            </w:r>
          </w:p>
          <w:p w14:paraId="153BCF7B" w14:textId="77777777" w:rsidR="00F1686F" w:rsidRDefault="00F86BEA" w:rsidP="00DF35F2">
            <w:pPr>
              <w:pStyle w:val="lgetabletxt"/>
              <w:numPr>
                <w:ilvl w:val="0"/>
                <w:numId w:val="69"/>
              </w:numPr>
              <w:spacing w:after="60" w:afterAutospacing="0"/>
              <w:contextualSpacing/>
            </w:pPr>
            <w:r>
              <w:t>other contractors</w:t>
            </w:r>
          </w:p>
          <w:p w14:paraId="2F64CDE1" w14:textId="5A4C9B0E" w:rsidR="00F86BEA" w:rsidRDefault="00F1686F" w:rsidP="009650EC">
            <w:pPr>
              <w:pStyle w:val="lgetabletxt"/>
              <w:tabs>
                <w:tab w:val="left" w:pos="351"/>
              </w:tabs>
              <w:spacing w:after="60" w:afterAutospacing="0"/>
              <w:contextualSpacing/>
            </w:pPr>
            <w:r>
              <w:t>2A.</w:t>
            </w:r>
            <w:r w:rsidR="00153F5B">
              <w:tab/>
              <w:t>c</w:t>
            </w:r>
            <w:r w:rsidR="00F86BEA">
              <w:t>ontractors under labour hire services arrangements</w:t>
            </w:r>
          </w:p>
          <w:p w14:paraId="493B0495" w14:textId="77777777" w:rsidR="00F86BEA" w:rsidRDefault="00F86BEA" w:rsidP="00DF35F2">
            <w:pPr>
              <w:pStyle w:val="lgetabletxt"/>
              <w:numPr>
                <w:ilvl w:val="0"/>
                <w:numId w:val="69"/>
              </w:numPr>
              <w:spacing w:after="60" w:afterAutospacing="0"/>
              <w:contextualSpacing/>
            </w:pPr>
            <w:r>
              <w:t>rural work</w:t>
            </w:r>
          </w:p>
          <w:p w14:paraId="782BABC8" w14:textId="77777777" w:rsidR="00F86BEA" w:rsidRDefault="00F86BEA" w:rsidP="00DF35F2">
            <w:pPr>
              <w:pStyle w:val="lgetabletxt"/>
              <w:numPr>
                <w:ilvl w:val="0"/>
                <w:numId w:val="69"/>
              </w:numPr>
              <w:spacing w:after="60" w:afterAutospacing="0"/>
              <w:contextualSpacing/>
            </w:pPr>
            <w:r>
              <w:t>timbergetters</w:t>
            </w:r>
          </w:p>
          <w:p w14:paraId="3E6A07D3" w14:textId="77777777" w:rsidR="00F86BEA" w:rsidRDefault="00F86BEA" w:rsidP="00DF35F2">
            <w:pPr>
              <w:pStyle w:val="lgetabletxt"/>
              <w:numPr>
                <w:ilvl w:val="0"/>
                <w:numId w:val="69"/>
              </w:numPr>
              <w:spacing w:after="60" w:afterAutospacing="0"/>
              <w:contextualSpacing/>
            </w:pPr>
            <w:r>
              <w:t>salespersons, canvassers, collectors and others</w:t>
            </w:r>
          </w:p>
          <w:p w14:paraId="04BB0059" w14:textId="77777777" w:rsidR="00F86BEA" w:rsidRDefault="00F86BEA" w:rsidP="00DF35F2">
            <w:pPr>
              <w:pStyle w:val="lgetabletxt"/>
              <w:numPr>
                <w:ilvl w:val="0"/>
                <w:numId w:val="69"/>
              </w:numPr>
              <w:spacing w:after="60" w:afterAutospacing="0"/>
              <w:contextualSpacing/>
            </w:pPr>
            <w:r>
              <w:t>tributers</w:t>
            </w:r>
          </w:p>
          <w:p w14:paraId="15090FE1" w14:textId="77777777" w:rsidR="00F86BEA" w:rsidRDefault="00F86BEA" w:rsidP="00DF35F2">
            <w:pPr>
              <w:pStyle w:val="lgetabletxt"/>
              <w:numPr>
                <w:ilvl w:val="0"/>
                <w:numId w:val="69"/>
              </w:numPr>
              <w:spacing w:after="60" w:afterAutospacing="0"/>
              <w:contextualSpacing/>
            </w:pPr>
            <w:r>
              <w:t>mine employees</w:t>
            </w:r>
          </w:p>
          <w:p w14:paraId="17B2F166" w14:textId="77777777" w:rsidR="00F86BEA" w:rsidRDefault="00F86BEA" w:rsidP="00DF35F2">
            <w:pPr>
              <w:pStyle w:val="lgetabletxt"/>
              <w:numPr>
                <w:ilvl w:val="0"/>
                <w:numId w:val="69"/>
              </w:numPr>
              <w:spacing w:after="60" w:afterAutospacing="0"/>
            </w:pPr>
            <w:r>
              <w:t>mines rescue personnel</w:t>
            </w:r>
          </w:p>
          <w:p w14:paraId="46E3948B" w14:textId="77777777" w:rsidR="00F86BEA" w:rsidRDefault="00F86BEA" w:rsidP="00DF35F2">
            <w:pPr>
              <w:pStyle w:val="lgetabletxt"/>
              <w:numPr>
                <w:ilvl w:val="0"/>
                <w:numId w:val="69"/>
              </w:numPr>
              <w:spacing w:after="60" w:afterAutospacing="0"/>
            </w:pPr>
            <w:r>
              <w:t>jockeys and harness racing drivers</w:t>
            </w:r>
          </w:p>
          <w:p w14:paraId="23C68512" w14:textId="77777777" w:rsidR="00F86BEA" w:rsidRDefault="00F86BEA" w:rsidP="00DF35F2">
            <w:pPr>
              <w:pStyle w:val="lgetabletxt"/>
              <w:numPr>
                <w:ilvl w:val="0"/>
                <w:numId w:val="69"/>
              </w:numPr>
              <w:spacing w:after="60" w:afterAutospacing="0"/>
            </w:pPr>
            <w:r>
              <w:t>drivers of hire-vehicles or hire-vessels — contract of bailment</w:t>
            </w:r>
          </w:p>
          <w:p w14:paraId="11EBBE96" w14:textId="77777777" w:rsidR="00F86BEA" w:rsidRDefault="00F86BEA" w:rsidP="00DF35F2">
            <w:pPr>
              <w:pStyle w:val="lgetabletxt"/>
              <w:numPr>
                <w:ilvl w:val="0"/>
                <w:numId w:val="69"/>
              </w:numPr>
              <w:spacing w:after="60" w:afterAutospacing="0"/>
            </w:pPr>
            <w:r>
              <w:t>caddies and others employed through club</w:t>
            </w:r>
          </w:p>
          <w:p w14:paraId="1BFB3911" w14:textId="77777777" w:rsidR="00F86BEA" w:rsidRDefault="00F86BEA" w:rsidP="00DF35F2">
            <w:pPr>
              <w:pStyle w:val="lgetabletxt"/>
              <w:numPr>
                <w:ilvl w:val="0"/>
                <w:numId w:val="69"/>
              </w:numPr>
              <w:spacing w:after="60" w:afterAutospacing="0"/>
            </w:pPr>
            <w:r>
              <w:t>shearers’ cooks and others</w:t>
            </w:r>
          </w:p>
          <w:p w14:paraId="0FC8F9FA" w14:textId="77777777" w:rsidR="00F86BEA" w:rsidRDefault="00F86BEA" w:rsidP="00DF35F2">
            <w:pPr>
              <w:pStyle w:val="lgetabletxt"/>
              <w:numPr>
                <w:ilvl w:val="0"/>
                <w:numId w:val="69"/>
              </w:numPr>
              <w:spacing w:after="60" w:afterAutospacing="0"/>
            </w:pPr>
            <w:r>
              <w:t>fire fighters in fire districts</w:t>
            </w:r>
          </w:p>
          <w:p w14:paraId="2C2A9329" w14:textId="77777777" w:rsidR="00F86BEA" w:rsidRDefault="00F86BEA" w:rsidP="00DF35F2">
            <w:pPr>
              <w:pStyle w:val="lgetabletxt"/>
              <w:numPr>
                <w:ilvl w:val="0"/>
                <w:numId w:val="69"/>
              </w:numPr>
              <w:spacing w:after="60" w:afterAutospacing="0"/>
            </w:pPr>
            <w:r>
              <w:t>workers at place of pick-up</w:t>
            </w:r>
          </w:p>
          <w:p w14:paraId="785C4D3B" w14:textId="77777777" w:rsidR="00F86BEA" w:rsidRDefault="00F86BEA" w:rsidP="00DF35F2">
            <w:pPr>
              <w:pStyle w:val="lgetabletxt"/>
              <w:numPr>
                <w:ilvl w:val="0"/>
                <w:numId w:val="69"/>
              </w:numPr>
              <w:spacing w:after="60" w:afterAutospacing="0"/>
            </w:pPr>
            <w:r>
              <w:t>boxers, wrestlers, referees and entertainers</w:t>
            </w:r>
          </w:p>
          <w:p w14:paraId="080BB943" w14:textId="77777777" w:rsidR="00F86BEA" w:rsidRDefault="00F86BEA" w:rsidP="00DF35F2">
            <w:pPr>
              <w:pStyle w:val="lgetabletxt"/>
              <w:numPr>
                <w:ilvl w:val="0"/>
                <w:numId w:val="69"/>
              </w:numPr>
              <w:spacing w:after="60" w:afterAutospacing="0"/>
            </w:pPr>
            <w:r>
              <w:t>voluntary ambulance workers</w:t>
            </w:r>
          </w:p>
          <w:p w14:paraId="44CEF750" w14:textId="77777777" w:rsidR="00F86BEA" w:rsidRDefault="00F86BEA" w:rsidP="00DF35F2">
            <w:pPr>
              <w:pStyle w:val="lgetabletxt"/>
              <w:numPr>
                <w:ilvl w:val="0"/>
                <w:numId w:val="69"/>
              </w:numPr>
              <w:spacing w:after="60" w:afterAutospacing="0"/>
            </w:pPr>
            <w:r>
              <w:t>ministers of religion</w:t>
            </w:r>
          </w:p>
          <w:p w14:paraId="52F285D6" w14:textId="77777777" w:rsidR="00F86BEA" w:rsidRDefault="00F86BEA" w:rsidP="00DF35F2">
            <w:pPr>
              <w:pStyle w:val="lgetabletxt"/>
              <w:numPr>
                <w:ilvl w:val="0"/>
                <w:numId w:val="69"/>
              </w:numPr>
              <w:spacing w:after="60" w:afterAutospacing="0"/>
            </w:pPr>
            <w:r>
              <w:t>ministers of religion covered by policies, and</w:t>
            </w:r>
          </w:p>
          <w:p w14:paraId="3D055169" w14:textId="77777777" w:rsidR="00F86BEA" w:rsidRPr="008232A9" w:rsidRDefault="00F86BEA" w:rsidP="00DF35F2">
            <w:pPr>
              <w:pStyle w:val="Tablenolist"/>
              <w:numPr>
                <w:ilvl w:val="0"/>
                <w:numId w:val="69"/>
              </w:numPr>
              <w:spacing w:after="60"/>
              <w:ind w:left="357" w:hanging="357"/>
            </w:pPr>
            <w:r>
              <w:t>participants in training programs.</w:t>
            </w:r>
          </w:p>
        </w:tc>
      </w:tr>
      <w:tr w:rsidR="00F86BEA" w:rsidRPr="008232A9" w14:paraId="4BA126F9" w14:textId="77777777" w:rsidTr="00153F5B">
        <w:trPr>
          <w:trHeight w:val="20"/>
        </w:trPr>
        <w:tc>
          <w:tcPr>
            <w:tcW w:w="1626" w:type="dxa"/>
            <w:tcMar>
              <w:top w:w="80" w:type="dxa"/>
              <w:left w:w="80" w:type="dxa"/>
              <w:bottom w:w="80" w:type="dxa"/>
              <w:right w:w="80" w:type="dxa"/>
            </w:tcMar>
          </w:tcPr>
          <w:p w14:paraId="794D1C77" w14:textId="77777777" w:rsidR="00F86BEA" w:rsidRPr="008232A9" w:rsidRDefault="00F86BEA" w:rsidP="00B21723">
            <w:pPr>
              <w:pStyle w:val="TableColumn1bold"/>
              <w:spacing w:after="60"/>
            </w:pPr>
            <w:r w:rsidRPr="008232A9">
              <w:t>Victoria</w:t>
            </w:r>
          </w:p>
        </w:tc>
        <w:tc>
          <w:tcPr>
            <w:tcW w:w="13809" w:type="dxa"/>
            <w:tcMar>
              <w:top w:w="80" w:type="dxa"/>
              <w:left w:w="80" w:type="dxa"/>
              <w:bottom w:w="80" w:type="dxa"/>
              <w:right w:w="80" w:type="dxa"/>
            </w:tcMar>
          </w:tcPr>
          <w:p w14:paraId="1E49EAE2" w14:textId="2E560F50" w:rsidR="00F86BEA" w:rsidRPr="008232A9" w:rsidRDefault="00F86BEA" w:rsidP="00B21723">
            <w:pPr>
              <w:pStyle w:val="lgetabletxt"/>
              <w:spacing w:after="60" w:afterAutospacing="0"/>
            </w:pPr>
            <w:r w:rsidRPr="008232A9">
              <w:t>Circumstances under the</w:t>
            </w:r>
            <w:r w:rsidR="001A52E4">
              <w:t xml:space="preserve"> </w:t>
            </w:r>
            <w:r w:rsidR="001A52E4" w:rsidRPr="00016069">
              <w:rPr>
                <w:i/>
              </w:rPr>
              <w:t>Workplace Injury Rehabilitation and Compensation Act 2013</w:t>
            </w:r>
            <w:r w:rsidRPr="008232A9">
              <w:t xml:space="preserve"> where a person may be deemed to be a worker:</w:t>
            </w:r>
          </w:p>
          <w:p w14:paraId="14C49813" w14:textId="08DE8214" w:rsidR="00F86BEA" w:rsidRPr="008232A9" w:rsidRDefault="00F86BEA" w:rsidP="00B21723">
            <w:pPr>
              <w:pStyle w:val="Tabledotpointlist7pt"/>
              <w:spacing w:after="60"/>
            </w:pPr>
            <w:r w:rsidRPr="008232A9">
              <w:t>students under work experience and practical placement arrangements, apprentices, persons participating in declared training programs — Clauses 1 to 3</w:t>
            </w:r>
            <w:r w:rsidR="00DD0D68">
              <w:t xml:space="preserve"> </w:t>
            </w:r>
            <w:hyperlink r:id="rId605" w:history="1">
              <w:r w:rsidRPr="000D402E">
                <w:rPr>
                  <w:rStyle w:val="Hyperlink"/>
                </w:rPr>
                <w:t>Schedule 1</w:t>
              </w:r>
            </w:hyperlink>
          </w:p>
          <w:p w14:paraId="550ADEAD" w14:textId="2FED5181" w:rsidR="00F86BEA" w:rsidRPr="008232A9" w:rsidRDefault="00F86BEA" w:rsidP="00B21723">
            <w:pPr>
              <w:pStyle w:val="Tabledotpointlist7pt"/>
              <w:spacing w:after="60"/>
            </w:pPr>
            <w:r w:rsidRPr="008232A9">
              <w:t xml:space="preserve">secretaries of cooperatives — Clause 4 </w:t>
            </w:r>
            <w:hyperlink r:id="rId606" w:history="1">
              <w:r w:rsidR="000D402E" w:rsidRPr="000D402E">
                <w:rPr>
                  <w:rStyle w:val="Hyperlink"/>
                </w:rPr>
                <w:t>Schedule 1</w:t>
              </w:r>
            </w:hyperlink>
          </w:p>
          <w:p w14:paraId="1D0D8185" w14:textId="6D51F512" w:rsidR="00F86BEA" w:rsidRPr="008232A9" w:rsidRDefault="00F86BEA" w:rsidP="00B21723">
            <w:pPr>
              <w:pStyle w:val="Tabledotpointlist7pt"/>
              <w:spacing w:after="60"/>
            </w:pPr>
            <w:r w:rsidRPr="008232A9">
              <w:t xml:space="preserve">door to door sellers — Clause 5 </w:t>
            </w:r>
            <w:hyperlink r:id="rId607" w:history="1">
              <w:r w:rsidR="000D402E" w:rsidRPr="000D402E">
                <w:rPr>
                  <w:rStyle w:val="Hyperlink"/>
                </w:rPr>
                <w:t>Schedule 1</w:t>
              </w:r>
            </w:hyperlink>
          </w:p>
          <w:p w14:paraId="2A2E89A9" w14:textId="591DDDF5" w:rsidR="00F86BEA" w:rsidRPr="008232A9" w:rsidRDefault="00F86BEA" w:rsidP="00B21723">
            <w:pPr>
              <w:pStyle w:val="Tabledotpointlist7pt"/>
              <w:spacing w:after="60"/>
            </w:pPr>
            <w:r w:rsidRPr="008232A9">
              <w:t xml:space="preserve">timber contractors — Clause 6 </w:t>
            </w:r>
            <w:hyperlink r:id="rId608" w:history="1">
              <w:r w:rsidR="000D402E" w:rsidRPr="000D402E">
                <w:rPr>
                  <w:rStyle w:val="Hyperlink"/>
                </w:rPr>
                <w:t>Schedule 1</w:t>
              </w:r>
            </w:hyperlink>
            <w:r w:rsidRPr="008232A9">
              <w:t xml:space="preserve"> </w:t>
            </w:r>
          </w:p>
          <w:p w14:paraId="5663D0AA" w14:textId="7FA1B40D" w:rsidR="00F86BEA" w:rsidRPr="008232A9" w:rsidRDefault="00F86BEA" w:rsidP="00B21723">
            <w:pPr>
              <w:pStyle w:val="Tabledotpointlist7pt"/>
              <w:spacing w:after="60"/>
            </w:pPr>
            <w:r w:rsidRPr="008232A9">
              <w:t xml:space="preserve">drivers of passenger vehicles — Clause 7 </w:t>
            </w:r>
            <w:hyperlink r:id="rId609" w:history="1">
              <w:r w:rsidR="000D402E" w:rsidRPr="000D402E">
                <w:rPr>
                  <w:rStyle w:val="Hyperlink"/>
                </w:rPr>
                <w:t>Schedule 1</w:t>
              </w:r>
            </w:hyperlink>
          </w:p>
          <w:p w14:paraId="4E48F368" w14:textId="6AE7BC77" w:rsidR="00F86BEA" w:rsidRPr="008232A9" w:rsidRDefault="00F86BEA" w:rsidP="00B21723">
            <w:pPr>
              <w:pStyle w:val="Tabledotpointlist7pt"/>
              <w:spacing w:after="60"/>
            </w:pPr>
            <w:r w:rsidRPr="008232A9">
              <w:t xml:space="preserve">owner drivers carrying goods for reward — Clause 8 </w:t>
            </w:r>
            <w:hyperlink r:id="rId610" w:history="1">
              <w:r w:rsidR="000D402E" w:rsidRPr="000D402E">
                <w:rPr>
                  <w:rStyle w:val="Hyperlink"/>
                </w:rPr>
                <w:t>Schedule 1</w:t>
              </w:r>
            </w:hyperlink>
          </w:p>
          <w:p w14:paraId="5FAEBAF7" w14:textId="7099AAEC" w:rsidR="00F86BEA" w:rsidRPr="008232A9" w:rsidRDefault="00F86BEA" w:rsidP="00B21723">
            <w:pPr>
              <w:pStyle w:val="Tabledotpointlist7pt"/>
              <w:spacing w:after="60"/>
            </w:pPr>
            <w:r w:rsidRPr="008232A9">
              <w:t xml:space="preserve">contractors — Clause 9 </w:t>
            </w:r>
            <w:hyperlink r:id="rId611" w:history="1">
              <w:r w:rsidR="000D402E" w:rsidRPr="000D402E">
                <w:rPr>
                  <w:rStyle w:val="Hyperlink"/>
                </w:rPr>
                <w:t>Schedule 1</w:t>
              </w:r>
            </w:hyperlink>
            <w:r w:rsidRPr="008232A9">
              <w:t xml:space="preserve"> </w:t>
            </w:r>
          </w:p>
          <w:p w14:paraId="4D477BEF" w14:textId="329DC52D" w:rsidR="00F86BEA" w:rsidRPr="008232A9" w:rsidRDefault="00F86BEA" w:rsidP="00B21723">
            <w:pPr>
              <w:pStyle w:val="Tabledotpointlist7pt"/>
              <w:spacing w:after="60"/>
            </w:pPr>
            <w:r w:rsidRPr="008232A9">
              <w:t xml:space="preserve">share farmers — Clause 12 </w:t>
            </w:r>
            <w:hyperlink r:id="rId612" w:history="1">
              <w:r w:rsidR="000D402E" w:rsidRPr="000D402E">
                <w:rPr>
                  <w:rStyle w:val="Hyperlink"/>
                </w:rPr>
                <w:t>Schedule 1</w:t>
              </w:r>
            </w:hyperlink>
          </w:p>
          <w:p w14:paraId="4A6A505F" w14:textId="0B7FD35F" w:rsidR="00F86BEA" w:rsidRPr="008232A9" w:rsidRDefault="00F86BEA" w:rsidP="00B21723">
            <w:pPr>
              <w:pStyle w:val="Tabledotpointlist7pt"/>
              <w:spacing w:after="60"/>
            </w:pPr>
            <w:r w:rsidRPr="008232A9">
              <w:t xml:space="preserve">declared workers of religious bodies and organizations — Clause 13 </w:t>
            </w:r>
            <w:hyperlink r:id="rId613" w:history="1">
              <w:r w:rsidR="000D402E" w:rsidRPr="000D402E">
                <w:rPr>
                  <w:rStyle w:val="Hyperlink"/>
                </w:rPr>
                <w:t>Schedule 1</w:t>
              </w:r>
            </w:hyperlink>
            <w:r w:rsidRPr="008232A9">
              <w:t xml:space="preserve"> </w:t>
            </w:r>
          </w:p>
          <w:p w14:paraId="6B9A3077" w14:textId="6EDE30B9" w:rsidR="00F86BEA" w:rsidRPr="008232A9" w:rsidRDefault="00F86BEA" w:rsidP="00B21723">
            <w:pPr>
              <w:pStyle w:val="Tabledotpointlist7pt"/>
              <w:spacing w:after="60"/>
            </w:pPr>
            <w:r w:rsidRPr="008232A9">
              <w:t xml:space="preserve">crown employees, Ministers, government members, judicial officers, bail justices, public corporation members, retired police reserve members — Clause 14 </w:t>
            </w:r>
            <w:hyperlink r:id="rId614" w:history="1">
              <w:r w:rsidR="000D402E" w:rsidRPr="000D402E">
                <w:rPr>
                  <w:rStyle w:val="Hyperlink"/>
                </w:rPr>
                <w:t>Schedule 1</w:t>
              </w:r>
            </w:hyperlink>
          </w:p>
          <w:p w14:paraId="15422AE9" w14:textId="3A2DD3CC" w:rsidR="00F86BEA" w:rsidRPr="008232A9" w:rsidRDefault="00F86BEA" w:rsidP="00B21723">
            <w:pPr>
              <w:pStyle w:val="Tabledotpointlist7pt"/>
              <w:spacing w:after="60"/>
            </w:pPr>
            <w:r w:rsidRPr="008232A9">
              <w:t xml:space="preserve">municipal councillors — Clause 15 </w:t>
            </w:r>
            <w:hyperlink r:id="rId615" w:history="1">
              <w:r w:rsidR="000D402E" w:rsidRPr="000D402E">
                <w:rPr>
                  <w:rStyle w:val="Hyperlink"/>
                </w:rPr>
                <w:t>Schedule 1</w:t>
              </w:r>
            </w:hyperlink>
            <w:r w:rsidRPr="008232A9">
              <w:t xml:space="preserve"> </w:t>
            </w:r>
          </w:p>
          <w:p w14:paraId="2674F2DB" w14:textId="6BA97957" w:rsidR="00F86BEA" w:rsidRPr="008232A9" w:rsidRDefault="00F86BEA" w:rsidP="00B21723">
            <w:pPr>
              <w:pStyle w:val="Tabledotpointlist7pt"/>
              <w:spacing w:after="60"/>
            </w:pPr>
            <w:r w:rsidRPr="008232A9">
              <w:t xml:space="preserve">persons engaged at places of pick-up for the purposes of being selected for work (e.g. fruit pickers) — Clause 16 </w:t>
            </w:r>
            <w:hyperlink r:id="rId616" w:history="1">
              <w:r w:rsidR="000D402E" w:rsidRPr="000D402E">
                <w:rPr>
                  <w:rStyle w:val="Hyperlink"/>
                </w:rPr>
                <w:t>Schedule 1</w:t>
              </w:r>
            </w:hyperlink>
            <w:r w:rsidRPr="008232A9">
              <w:t xml:space="preserve"> </w:t>
            </w:r>
          </w:p>
          <w:p w14:paraId="6F957699" w14:textId="17379FED" w:rsidR="00F86BEA" w:rsidRPr="008232A9" w:rsidRDefault="00F86BEA" w:rsidP="00B21723">
            <w:pPr>
              <w:pStyle w:val="Tabledotpointlist7pt"/>
              <w:spacing w:after="60"/>
            </w:pPr>
            <w:r w:rsidRPr="008232A9">
              <w:t xml:space="preserve">jockeys and track riders, riders and drivers in mixed sports gatherings — Clauses 17 and 18 </w:t>
            </w:r>
            <w:hyperlink r:id="rId617" w:history="1">
              <w:r w:rsidR="000D402E" w:rsidRPr="000D402E">
                <w:rPr>
                  <w:rStyle w:val="Hyperlink"/>
                </w:rPr>
                <w:t>Schedule 1</w:t>
              </w:r>
            </w:hyperlink>
            <w:r w:rsidRPr="008232A9">
              <w:t xml:space="preserve"> </w:t>
            </w:r>
          </w:p>
          <w:p w14:paraId="53F3D0E1" w14:textId="424CA9D5" w:rsidR="00F86BEA" w:rsidRPr="008232A9" w:rsidRDefault="00F86BEA" w:rsidP="00B21723">
            <w:pPr>
              <w:pStyle w:val="Tabledotpointlist7pt"/>
              <w:spacing w:after="60"/>
            </w:pPr>
            <w:r w:rsidRPr="008232A9">
              <w:t xml:space="preserve">outworkers — Clause 19 </w:t>
            </w:r>
            <w:hyperlink r:id="rId618" w:history="1">
              <w:r w:rsidR="000D402E" w:rsidRPr="000D402E">
                <w:rPr>
                  <w:rStyle w:val="Hyperlink"/>
                </w:rPr>
                <w:t>Schedule 1</w:t>
              </w:r>
            </w:hyperlink>
            <w:r w:rsidR="000D3C6D">
              <w:t>.</w:t>
            </w:r>
          </w:p>
        </w:tc>
      </w:tr>
      <w:tr w:rsidR="00F86BEA" w:rsidRPr="008232A9" w14:paraId="5B2F23C2" w14:textId="77777777" w:rsidTr="00153F5B">
        <w:trPr>
          <w:trHeight w:val="20"/>
        </w:trPr>
        <w:tc>
          <w:tcPr>
            <w:tcW w:w="1626" w:type="dxa"/>
            <w:shd w:val="clear" w:color="auto" w:fill="FFC9C9"/>
            <w:tcMar>
              <w:top w:w="80" w:type="dxa"/>
              <w:left w:w="80" w:type="dxa"/>
              <w:bottom w:w="80" w:type="dxa"/>
              <w:right w:w="80" w:type="dxa"/>
            </w:tcMar>
          </w:tcPr>
          <w:p w14:paraId="0060F321" w14:textId="77777777" w:rsidR="00F86BEA" w:rsidRPr="008232A9" w:rsidRDefault="00F86BEA" w:rsidP="00B21723">
            <w:pPr>
              <w:pStyle w:val="TableColumn1bold"/>
              <w:spacing w:after="60"/>
            </w:pPr>
            <w:r w:rsidRPr="008232A9">
              <w:t>Queensland</w:t>
            </w:r>
          </w:p>
        </w:tc>
        <w:tc>
          <w:tcPr>
            <w:tcW w:w="13809" w:type="dxa"/>
            <w:shd w:val="clear" w:color="auto" w:fill="FFC9C9"/>
            <w:tcMar>
              <w:top w:w="80" w:type="dxa"/>
              <w:left w:w="80" w:type="dxa"/>
              <w:bottom w:w="80" w:type="dxa"/>
              <w:right w:w="80" w:type="dxa"/>
            </w:tcMar>
          </w:tcPr>
          <w:p w14:paraId="225BF635" w14:textId="6AFB7073" w:rsidR="00F86BEA" w:rsidRPr="008232A9" w:rsidRDefault="00F86BEA" w:rsidP="00B21723">
            <w:pPr>
              <w:pStyle w:val="lgetabletxt"/>
              <w:spacing w:after="60" w:afterAutospacing="0"/>
            </w:pPr>
            <w:r w:rsidRPr="008232A9">
              <w:t xml:space="preserve">Circumstances under the </w:t>
            </w:r>
            <w:r w:rsidR="001A52E4" w:rsidRPr="00016069">
              <w:rPr>
                <w:i/>
              </w:rPr>
              <w:t>Workers’ Compensation and Rehabilitation Act 2003</w:t>
            </w:r>
            <w:r w:rsidRPr="008232A9">
              <w:t xml:space="preserve"> where a person may be deemed to be a worker:</w:t>
            </w:r>
          </w:p>
          <w:p w14:paraId="3D011218" w14:textId="25376C47" w:rsidR="00F86BEA" w:rsidRPr="008232A9" w:rsidRDefault="00F86BEA" w:rsidP="00B21723">
            <w:pPr>
              <w:pStyle w:val="Tabledotpointlist7pt"/>
              <w:spacing w:after="60"/>
            </w:pPr>
            <w:r w:rsidRPr="008232A9">
              <w:t xml:space="preserve">sharefarmers — </w:t>
            </w:r>
            <w:hyperlink r:id="rId619" w:anchor="sch.2" w:history="1">
              <w:r w:rsidRPr="009B6A72">
                <w:rPr>
                  <w:rStyle w:val="Hyperlink"/>
                </w:rPr>
                <w:t>Schedule 2 (1.1)</w:t>
              </w:r>
            </w:hyperlink>
          </w:p>
          <w:p w14:paraId="6D1FE57A" w14:textId="254755DF" w:rsidR="00F86BEA" w:rsidRPr="008232A9" w:rsidRDefault="00F86BEA" w:rsidP="00B21723">
            <w:pPr>
              <w:pStyle w:val="Tabledotpointlist7pt"/>
              <w:spacing w:after="60"/>
            </w:pPr>
            <w:r w:rsidRPr="008232A9">
              <w:t xml:space="preserve">salespersons — </w:t>
            </w:r>
            <w:hyperlink r:id="rId620" w:anchor="sch.2" w:history="1">
              <w:r w:rsidRPr="009B6A72">
                <w:rPr>
                  <w:rStyle w:val="Hyperlink"/>
                </w:rPr>
                <w:t>Schedule 2 (1.2)</w:t>
              </w:r>
            </w:hyperlink>
          </w:p>
          <w:p w14:paraId="7BB37373" w14:textId="57F10AF1" w:rsidR="00F86BEA" w:rsidRPr="008232A9" w:rsidRDefault="00F86BEA" w:rsidP="00B21723">
            <w:pPr>
              <w:pStyle w:val="Tabledotpointlist7pt"/>
              <w:spacing w:after="60"/>
            </w:pPr>
            <w:r w:rsidRPr="008232A9">
              <w:t xml:space="preserve">contractors and workers of contractors — </w:t>
            </w:r>
            <w:hyperlink r:id="rId621" w:anchor="sch.2" w:history="1">
              <w:r w:rsidRPr="009B6A72">
                <w:rPr>
                  <w:rStyle w:val="Hyperlink"/>
                </w:rPr>
                <w:t>Schedule 2 (1.3)</w:t>
              </w:r>
            </w:hyperlink>
            <w:r w:rsidRPr="008232A9">
              <w:t xml:space="preserve">. </w:t>
            </w:r>
          </w:p>
          <w:p w14:paraId="2E6105FA" w14:textId="7FD1B777" w:rsidR="00F86BEA" w:rsidRPr="008232A9" w:rsidRDefault="00F86BEA" w:rsidP="00B21723">
            <w:pPr>
              <w:pStyle w:val="Tabledotpointlist7pt"/>
              <w:spacing w:after="60"/>
            </w:pPr>
            <w:r w:rsidRPr="008232A9">
              <w:t xml:space="preserve">workers lent or on hire (including labour hire firms and holding companies) — </w:t>
            </w:r>
            <w:hyperlink r:id="rId622" w:anchor="sch.2" w:history="1">
              <w:r w:rsidRPr="009B6A72">
                <w:rPr>
                  <w:rStyle w:val="Hyperlink"/>
                </w:rPr>
                <w:t>Schedule 2 (1.4 - 1.6)</w:t>
              </w:r>
            </w:hyperlink>
            <w:r w:rsidR="000D3C6D">
              <w:t>.</w:t>
            </w:r>
          </w:p>
        </w:tc>
      </w:tr>
      <w:tr w:rsidR="00F86BEA" w:rsidRPr="008232A9" w14:paraId="7C1D6585" w14:textId="77777777" w:rsidTr="00153F5B">
        <w:trPr>
          <w:trHeight w:val="20"/>
        </w:trPr>
        <w:tc>
          <w:tcPr>
            <w:tcW w:w="1626" w:type="dxa"/>
            <w:tcMar>
              <w:top w:w="80" w:type="dxa"/>
              <w:left w:w="80" w:type="dxa"/>
              <w:bottom w:w="80" w:type="dxa"/>
              <w:right w:w="80" w:type="dxa"/>
            </w:tcMar>
          </w:tcPr>
          <w:p w14:paraId="3A7B9E72" w14:textId="77777777" w:rsidR="00F86BEA" w:rsidRPr="008232A9" w:rsidRDefault="00F86BEA" w:rsidP="00B21723">
            <w:pPr>
              <w:pStyle w:val="TableColumn1bold"/>
              <w:spacing w:after="60"/>
            </w:pPr>
            <w:r w:rsidRPr="008232A9">
              <w:lastRenderedPageBreak/>
              <w:t>Western Australia</w:t>
            </w:r>
          </w:p>
        </w:tc>
        <w:tc>
          <w:tcPr>
            <w:tcW w:w="13809" w:type="dxa"/>
            <w:tcMar>
              <w:top w:w="80" w:type="dxa"/>
              <w:left w:w="80" w:type="dxa"/>
              <w:bottom w:w="80" w:type="dxa"/>
              <w:right w:w="80" w:type="dxa"/>
            </w:tcMar>
          </w:tcPr>
          <w:p w14:paraId="5DABCB49" w14:textId="16A87BBC" w:rsidR="006A50D4" w:rsidRDefault="00F86BEA" w:rsidP="00B21723">
            <w:pPr>
              <w:pStyle w:val="Tabledotpointlist7pt"/>
              <w:numPr>
                <w:ilvl w:val="0"/>
                <w:numId w:val="0"/>
              </w:numPr>
              <w:spacing w:after="60"/>
              <w:ind w:left="360" w:hanging="360"/>
            </w:pPr>
            <w:r w:rsidRPr="008232A9">
              <w:t xml:space="preserve">Circumstances under the </w:t>
            </w:r>
            <w:r w:rsidR="001A52E4" w:rsidRPr="00016069">
              <w:rPr>
                <w:i/>
              </w:rPr>
              <w:t>Workers’ Compensation and Injury Management Act 1981</w:t>
            </w:r>
            <w:r w:rsidRPr="008232A9">
              <w:t xml:space="preserve"> where a person may be deemed to be a worker:</w:t>
            </w:r>
          </w:p>
          <w:p w14:paraId="23915701" w14:textId="5E5B8405" w:rsidR="00F86BEA" w:rsidRPr="008232A9" w:rsidRDefault="00F86BEA" w:rsidP="00B21723">
            <w:pPr>
              <w:pStyle w:val="Tabledotpointlist7pt"/>
              <w:spacing w:after="60"/>
            </w:pPr>
            <w:r w:rsidRPr="008232A9">
              <w:t xml:space="preserve">workers lent or let on hire — </w:t>
            </w:r>
            <w:hyperlink r:id="rId623" w:history="1">
              <w:r w:rsidRPr="009B6A72">
                <w:rPr>
                  <w:rStyle w:val="Hyperlink"/>
                </w:rPr>
                <w:t>s5(1)</w:t>
              </w:r>
            </w:hyperlink>
          </w:p>
          <w:p w14:paraId="19C38BEB" w14:textId="38EDBFA3" w:rsidR="00F86BEA" w:rsidRPr="008232A9" w:rsidRDefault="00F86BEA" w:rsidP="00B21723">
            <w:pPr>
              <w:pStyle w:val="Tabledotpointlist7pt"/>
              <w:spacing w:after="60"/>
            </w:pPr>
            <w:r w:rsidRPr="008232A9">
              <w:t xml:space="preserve">contract in substance for personal manual labour or service — </w:t>
            </w:r>
            <w:hyperlink r:id="rId624" w:history="1">
              <w:r w:rsidR="009B6A72" w:rsidRPr="009B6A72">
                <w:rPr>
                  <w:rStyle w:val="Hyperlink"/>
                </w:rPr>
                <w:t>s5(1)</w:t>
              </w:r>
            </w:hyperlink>
          </w:p>
          <w:p w14:paraId="7DDB85F1" w14:textId="5D883C0E" w:rsidR="00F86BEA" w:rsidRPr="008232A9" w:rsidRDefault="00F86BEA" w:rsidP="00B21723">
            <w:pPr>
              <w:pStyle w:val="Tabledotpointlist7pt"/>
              <w:spacing w:after="60"/>
            </w:pPr>
            <w:r w:rsidRPr="008232A9">
              <w:t xml:space="preserve">workers under an industrial award or agreement — </w:t>
            </w:r>
            <w:hyperlink r:id="rId625" w:history="1">
              <w:r w:rsidR="009B6A72" w:rsidRPr="009B6A72">
                <w:rPr>
                  <w:rStyle w:val="Hyperlink"/>
                </w:rPr>
                <w:t>s5(1)</w:t>
              </w:r>
            </w:hyperlink>
          </w:p>
          <w:p w14:paraId="69AE6B01" w14:textId="34D4FDE7" w:rsidR="00F86BEA" w:rsidRPr="008232A9" w:rsidRDefault="00F86BEA" w:rsidP="00B21723">
            <w:pPr>
              <w:pStyle w:val="Tabledotpointlist7pt"/>
              <w:spacing w:after="60"/>
            </w:pPr>
            <w:r w:rsidRPr="008232A9">
              <w:t xml:space="preserve">deceased worker — </w:t>
            </w:r>
            <w:hyperlink r:id="rId626" w:history="1">
              <w:r w:rsidR="009B6A72" w:rsidRPr="009B6A72">
                <w:rPr>
                  <w:rStyle w:val="Hyperlink"/>
                </w:rPr>
                <w:t>s5(1)</w:t>
              </w:r>
            </w:hyperlink>
          </w:p>
          <w:p w14:paraId="634BFA53" w14:textId="503531CD" w:rsidR="00F86BEA" w:rsidRPr="008232A9" w:rsidRDefault="00F86BEA" w:rsidP="00B21723">
            <w:pPr>
              <w:pStyle w:val="Tabledotpointlist7pt"/>
              <w:spacing w:after="60"/>
            </w:pPr>
            <w:r w:rsidRPr="008232A9">
              <w:t xml:space="preserve">police officer — </w:t>
            </w:r>
            <w:hyperlink r:id="rId627" w:history="1">
              <w:r w:rsidR="009B6A72" w:rsidRPr="009B6A72">
                <w:rPr>
                  <w:rStyle w:val="Hyperlink"/>
                </w:rPr>
                <w:t>s5(1)</w:t>
              </w:r>
            </w:hyperlink>
            <w:r w:rsidRPr="008232A9">
              <w:t xml:space="preserve"> (Who suffers an injury and dies as a result of that injury)</w:t>
            </w:r>
          </w:p>
          <w:p w14:paraId="74CF30BE" w14:textId="16D4E8A8" w:rsidR="00F86BEA" w:rsidRPr="008232A9" w:rsidRDefault="00F86BEA" w:rsidP="00B21723">
            <w:pPr>
              <w:pStyle w:val="Tabledotpointlist7pt"/>
              <w:spacing w:after="60"/>
            </w:pPr>
            <w:r w:rsidRPr="008232A9">
              <w:t xml:space="preserve">clergy — </w:t>
            </w:r>
            <w:hyperlink r:id="rId628" w:history="1">
              <w:r w:rsidRPr="009B6A72">
                <w:rPr>
                  <w:rStyle w:val="Hyperlink"/>
                </w:rPr>
                <w:t>ss8</w:t>
              </w:r>
            </w:hyperlink>
            <w:r w:rsidRPr="008232A9">
              <w:t xml:space="preserve">, </w:t>
            </w:r>
            <w:hyperlink r:id="rId629" w:history="1">
              <w:r w:rsidRPr="009B6A72">
                <w:rPr>
                  <w:rStyle w:val="Hyperlink"/>
                </w:rPr>
                <w:t>9</w:t>
              </w:r>
            </w:hyperlink>
            <w:r w:rsidRPr="008232A9">
              <w:t xml:space="preserve"> and </w:t>
            </w:r>
            <w:hyperlink r:id="rId630" w:history="1">
              <w:r w:rsidRPr="009B6A72">
                <w:rPr>
                  <w:rStyle w:val="Hyperlink"/>
                </w:rPr>
                <w:t>10</w:t>
              </w:r>
            </w:hyperlink>
          </w:p>
          <w:p w14:paraId="4B8DED1F" w14:textId="39DFB5F3" w:rsidR="00F86BEA" w:rsidRPr="008232A9" w:rsidRDefault="00F86BEA" w:rsidP="00B21723">
            <w:pPr>
              <w:pStyle w:val="Tabledotpointlist7pt"/>
              <w:spacing w:after="60"/>
            </w:pPr>
            <w:r w:rsidRPr="008232A9">
              <w:t xml:space="preserve">tributers — </w:t>
            </w:r>
            <w:hyperlink r:id="rId631" w:history="1">
              <w:r w:rsidRPr="009B6A72">
                <w:rPr>
                  <w:rStyle w:val="Hyperlink"/>
                </w:rPr>
                <w:t>s7</w:t>
              </w:r>
            </w:hyperlink>
          </w:p>
          <w:p w14:paraId="1ECEA118" w14:textId="000CF971" w:rsidR="00F86BEA" w:rsidRPr="008232A9" w:rsidRDefault="00F86BEA" w:rsidP="00B21723">
            <w:pPr>
              <w:pStyle w:val="Tabledotpointlist7pt"/>
              <w:spacing w:after="60"/>
            </w:pPr>
            <w:r w:rsidRPr="008232A9">
              <w:t xml:space="preserve">jockey — </w:t>
            </w:r>
            <w:hyperlink r:id="rId632" w:history="1">
              <w:r w:rsidRPr="009B6A72">
                <w:rPr>
                  <w:rStyle w:val="Hyperlink"/>
                </w:rPr>
                <w:t>s11A</w:t>
              </w:r>
            </w:hyperlink>
          </w:p>
          <w:p w14:paraId="7806DF98" w14:textId="59E7F3CC" w:rsidR="00F86BEA" w:rsidRPr="008232A9" w:rsidRDefault="00F86BEA" w:rsidP="00B21723">
            <w:pPr>
              <w:pStyle w:val="Tabledotpointlist7pt"/>
              <w:spacing w:after="60"/>
            </w:pPr>
            <w:r w:rsidRPr="008232A9">
              <w:t xml:space="preserve">crown workers — </w:t>
            </w:r>
            <w:hyperlink r:id="rId633" w:history="1">
              <w:r w:rsidRPr="009B6A72">
                <w:rPr>
                  <w:rStyle w:val="Hyperlink"/>
                </w:rPr>
                <w:t>s14(2)</w:t>
              </w:r>
            </w:hyperlink>
          </w:p>
          <w:p w14:paraId="3ABCCE2B" w14:textId="7B007F3C" w:rsidR="00F86BEA" w:rsidRPr="008232A9" w:rsidRDefault="00F86BEA" w:rsidP="00B21723">
            <w:pPr>
              <w:pStyle w:val="Tabledotpointlist7pt"/>
              <w:spacing w:after="60"/>
            </w:pPr>
            <w:r w:rsidRPr="008232A9">
              <w:t xml:space="preserve">certain persons deemed workers — </w:t>
            </w:r>
            <w:hyperlink r:id="rId634" w:history="1">
              <w:r w:rsidRPr="009B6A72">
                <w:rPr>
                  <w:rStyle w:val="Hyperlink"/>
                </w:rPr>
                <w:t>s175AA</w:t>
              </w:r>
            </w:hyperlink>
            <w:r w:rsidRPr="008232A9">
              <w:t>, and</w:t>
            </w:r>
          </w:p>
          <w:p w14:paraId="533F8047" w14:textId="6E81DC7F" w:rsidR="006A50D4" w:rsidRDefault="00F86BEA" w:rsidP="00B21723">
            <w:pPr>
              <w:pStyle w:val="Tabledotpointlist7pt"/>
              <w:spacing w:after="60"/>
            </w:pPr>
            <w:r w:rsidRPr="008232A9">
              <w:t xml:space="preserve">working directors — </w:t>
            </w:r>
            <w:hyperlink r:id="rId635" w:history="1">
              <w:r w:rsidRPr="009B6A72">
                <w:rPr>
                  <w:rStyle w:val="Hyperlink"/>
                </w:rPr>
                <w:t>s10A</w:t>
              </w:r>
            </w:hyperlink>
            <w:r w:rsidRPr="008232A9">
              <w:t>.</w:t>
            </w:r>
          </w:p>
          <w:p w14:paraId="7433A3BC" w14:textId="6B491976" w:rsidR="00F86BEA" w:rsidRPr="008232A9" w:rsidRDefault="00F86BEA" w:rsidP="00B21723">
            <w:pPr>
              <w:pStyle w:val="Tabledotpointlist7pt"/>
              <w:numPr>
                <w:ilvl w:val="0"/>
                <w:numId w:val="0"/>
              </w:numPr>
              <w:spacing w:after="60"/>
            </w:pPr>
            <w:r w:rsidRPr="008232A9">
              <w:t xml:space="preserve">WorkCover WA guidance: </w:t>
            </w:r>
            <w:hyperlink r:id="rId636" w:tgtFrame="_blank" w:history="1">
              <w:r w:rsidRPr="008232A9">
                <w:rPr>
                  <w:rStyle w:val="Hyperlink"/>
                </w:rPr>
                <w:t>Workers Compensation: A Guide for Employers</w:t>
              </w:r>
            </w:hyperlink>
            <w:r w:rsidR="002B3287">
              <w:rPr>
                <w:rStyle w:val="Hyperlink"/>
              </w:rPr>
              <w:t>.</w:t>
            </w:r>
          </w:p>
        </w:tc>
      </w:tr>
      <w:tr w:rsidR="00F86BEA" w:rsidRPr="008232A9" w14:paraId="75D568AA" w14:textId="77777777" w:rsidTr="00153F5B">
        <w:trPr>
          <w:trHeight w:val="20"/>
        </w:trPr>
        <w:tc>
          <w:tcPr>
            <w:tcW w:w="1626" w:type="dxa"/>
            <w:shd w:val="clear" w:color="auto" w:fill="FFC9C9"/>
            <w:tcMar>
              <w:top w:w="80" w:type="dxa"/>
              <w:left w:w="80" w:type="dxa"/>
              <w:bottom w:w="80" w:type="dxa"/>
              <w:right w:w="80" w:type="dxa"/>
            </w:tcMar>
          </w:tcPr>
          <w:p w14:paraId="0ECCAAC3" w14:textId="77777777" w:rsidR="00F86BEA" w:rsidRPr="008232A9" w:rsidRDefault="00F86BEA" w:rsidP="00B21723">
            <w:pPr>
              <w:pStyle w:val="TableColumn1bold"/>
              <w:spacing w:after="60"/>
            </w:pPr>
            <w:r w:rsidRPr="008232A9">
              <w:t>South Australia</w:t>
            </w:r>
          </w:p>
        </w:tc>
        <w:tc>
          <w:tcPr>
            <w:tcW w:w="13809" w:type="dxa"/>
            <w:shd w:val="clear" w:color="auto" w:fill="FFC9C9"/>
            <w:tcMar>
              <w:top w:w="80" w:type="dxa"/>
              <w:left w:w="80" w:type="dxa"/>
              <w:bottom w:w="80" w:type="dxa"/>
              <w:right w:w="80" w:type="dxa"/>
            </w:tcMar>
          </w:tcPr>
          <w:p w14:paraId="5CBFAFAA" w14:textId="77777777" w:rsidR="00F86BEA" w:rsidRDefault="00F86BEA" w:rsidP="00B21723">
            <w:pPr>
              <w:pStyle w:val="lgetabletxt"/>
              <w:spacing w:after="60" w:afterAutospacing="0"/>
            </w:pPr>
            <w:r>
              <w:t xml:space="preserve">The definition of ‘contract of service’ in </w:t>
            </w:r>
            <w:hyperlink r:id="rId637" w:history="1">
              <w:r w:rsidRPr="006A6CF8">
                <w:rPr>
                  <w:rStyle w:val="Hyperlink"/>
                </w:rPr>
                <w:t>s4(1)</w:t>
              </w:r>
            </w:hyperlink>
            <w:r>
              <w:t xml:space="preserve"> of the </w:t>
            </w:r>
            <w:r w:rsidRPr="002E74E4">
              <w:rPr>
                <w:i/>
              </w:rPr>
              <w:t>Return to Work Act 2014</w:t>
            </w:r>
            <w:r>
              <w:t xml:space="preserve"> includes: ‘a contract, arrangement or understanding under which one person (the worker) works for another in prescribed work or work of a prescribed class’.</w:t>
            </w:r>
          </w:p>
          <w:p w14:paraId="40C2E8C5" w14:textId="45D2FEF2" w:rsidR="00F86BEA" w:rsidRDefault="00F86BEA" w:rsidP="00B21723">
            <w:pPr>
              <w:pStyle w:val="lgetabletxt"/>
              <w:spacing w:after="60" w:afterAutospacing="0"/>
            </w:pPr>
            <w:r>
              <w:t xml:space="preserve">Current classes of work prescribed under </w:t>
            </w:r>
            <w:hyperlink r:id="rId638" w:history="1">
              <w:r w:rsidR="009650EC">
                <w:rPr>
                  <w:rStyle w:val="Hyperlink"/>
                </w:rPr>
                <w:t>Regulation 5</w:t>
              </w:r>
            </w:hyperlink>
            <w:r>
              <w:t xml:space="preserve"> of the Return to Work Regulations 2015, include:</w:t>
            </w:r>
          </w:p>
          <w:p w14:paraId="1068A982" w14:textId="77777777" w:rsidR="00F86BEA" w:rsidRDefault="00F86BEA" w:rsidP="00B21723">
            <w:pPr>
              <w:pStyle w:val="lgetabletxt"/>
              <w:numPr>
                <w:ilvl w:val="0"/>
                <w:numId w:val="5"/>
              </w:numPr>
              <w:spacing w:after="60" w:afterAutospacing="0"/>
              <w:ind w:left="357" w:hanging="357"/>
              <w:contextualSpacing/>
            </w:pPr>
            <w:r>
              <w:t>building</w:t>
            </w:r>
            <w:r w:rsidR="000C19E6">
              <w:t xml:space="preserve"> work (other than wall or floor</w:t>
            </w:r>
            <w:r>
              <w:t xml:space="preserve"> tilers)</w:t>
            </w:r>
          </w:p>
          <w:p w14:paraId="1A3B8ED6" w14:textId="77777777" w:rsidR="00F86BEA" w:rsidRDefault="00F86BEA" w:rsidP="00B21723">
            <w:pPr>
              <w:pStyle w:val="lgetabletxt"/>
              <w:numPr>
                <w:ilvl w:val="0"/>
                <w:numId w:val="5"/>
              </w:numPr>
              <w:spacing w:after="60" w:afterAutospacing="0"/>
              <w:ind w:left="357" w:hanging="357"/>
              <w:contextualSpacing/>
            </w:pPr>
            <w:r>
              <w:t>cleaning work</w:t>
            </w:r>
          </w:p>
          <w:p w14:paraId="79E35A77" w14:textId="77777777" w:rsidR="00F86BEA" w:rsidRDefault="00F86BEA" w:rsidP="00B21723">
            <w:pPr>
              <w:pStyle w:val="lgetabletxt"/>
              <w:numPr>
                <w:ilvl w:val="0"/>
                <w:numId w:val="5"/>
              </w:numPr>
              <w:spacing w:after="60" w:afterAutospacing="0"/>
              <w:ind w:left="357" w:hanging="357"/>
              <w:contextualSpacing/>
            </w:pPr>
            <w:r>
              <w:t xml:space="preserve">council workers driving a motor vehicle used for the transporting goods or materials </w:t>
            </w:r>
          </w:p>
          <w:p w14:paraId="22128650" w14:textId="77777777" w:rsidR="00F86BEA" w:rsidRDefault="00F86BEA" w:rsidP="00B21723">
            <w:pPr>
              <w:pStyle w:val="lgetabletxt"/>
              <w:numPr>
                <w:ilvl w:val="0"/>
                <w:numId w:val="5"/>
              </w:numPr>
              <w:spacing w:after="60" w:afterAutospacing="0"/>
              <w:ind w:left="357" w:hanging="357"/>
              <w:contextualSpacing/>
            </w:pPr>
            <w:r>
              <w:t>driving a taxi cab or similar motor vehicle</w:t>
            </w:r>
          </w:p>
          <w:p w14:paraId="3BB760F0" w14:textId="77777777" w:rsidR="00F86BEA" w:rsidRDefault="00F86BEA" w:rsidP="00B21723">
            <w:pPr>
              <w:pStyle w:val="lgetabletxt"/>
              <w:numPr>
                <w:ilvl w:val="0"/>
                <w:numId w:val="5"/>
              </w:numPr>
              <w:spacing w:after="60" w:afterAutospacing="0"/>
              <w:ind w:left="357" w:hanging="357"/>
              <w:contextualSpacing/>
            </w:pPr>
            <w:r>
              <w:t>driving or riding for fee or reward a vehicle, other than a commercial vehicle, for the purpose of transporting by road goods or materials (including money) where the driver or rider does not simultaneously own or operate more than 1 vehicle for work purposes</w:t>
            </w:r>
          </w:p>
          <w:p w14:paraId="050EA1AC" w14:textId="77777777" w:rsidR="00F86BEA" w:rsidRDefault="00F86BEA" w:rsidP="00B21723">
            <w:pPr>
              <w:pStyle w:val="lgetabletxt"/>
              <w:numPr>
                <w:ilvl w:val="0"/>
                <w:numId w:val="5"/>
              </w:numPr>
              <w:spacing w:after="60" w:afterAutospacing="0"/>
              <w:ind w:left="357" w:hanging="357"/>
              <w:contextualSpacing/>
            </w:pPr>
            <w:r>
              <w:t>work as an entertainer</w:t>
            </w:r>
          </w:p>
          <w:p w14:paraId="1D5CE5BB" w14:textId="77777777" w:rsidR="00F86BEA" w:rsidRDefault="00F86BEA" w:rsidP="00B21723">
            <w:pPr>
              <w:pStyle w:val="lgetabletxt"/>
              <w:numPr>
                <w:ilvl w:val="0"/>
                <w:numId w:val="5"/>
              </w:numPr>
              <w:spacing w:after="60" w:afterAutospacing="0"/>
              <w:ind w:left="357" w:hanging="357"/>
              <w:contextualSpacing/>
            </w:pPr>
            <w:r>
              <w:t>thoroughbred riding work where the work is performed by a licensed jockey</w:t>
            </w:r>
          </w:p>
          <w:p w14:paraId="0FE5EACA" w14:textId="77777777" w:rsidR="00F86BEA" w:rsidRDefault="00F86BEA" w:rsidP="00B21723">
            <w:pPr>
              <w:pStyle w:val="lgetabletxt"/>
              <w:numPr>
                <w:ilvl w:val="0"/>
                <w:numId w:val="5"/>
              </w:numPr>
              <w:spacing w:after="60" w:afterAutospacing="0"/>
              <w:ind w:left="357" w:hanging="357"/>
              <w:contextualSpacing/>
            </w:pPr>
            <w:r>
              <w:t>work as an outworker, and</w:t>
            </w:r>
          </w:p>
          <w:p w14:paraId="026CEF2C" w14:textId="77777777" w:rsidR="00F86BEA" w:rsidRDefault="00F86BEA" w:rsidP="00B21723">
            <w:pPr>
              <w:pStyle w:val="lgetabletxt"/>
              <w:numPr>
                <w:ilvl w:val="0"/>
                <w:numId w:val="5"/>
              </w:numPr>
              <w:spacing w:after="60" w:afterAutospacing="0"/>
              <w:ind w:left="357" w:hanging="357"/>
              <w:contextualSpacing/>
            </w:pPr>
            <w:r>
              <w:t>work as a licensed jockey.</w:t>
            </w:r>
          </w:p>
          <w:p w14:paraId="28202FC5" w14:textId="77777777" w:rsidR="00F86BEA" w:rsidRPr="008232A9" w:rsidRDefault="00F86BEA" w:rsidP="00B21723">
            <w:pPr>
              <w:pStyle w:val="lgetabletxt"/>
              <w:spacing w:after="60" w:afterAutospacing="0"/>
            </w:pPr>
            <w:r>
              <w:t xml:space="preserve">Under </w:t>
            </w:r>
            <w:hyperlink r:id="rId639" w:history="1">
              <w:r w:rsidRPr="006A6CF8">
                <w:rPr>
                  <w:rStyle w:val="Hyperlink"/>
                </w:rPr>
                <w:t>s175(2)</w:t>
              </w:r>
            </w:hyperlink>
            <w:r>
              <w:t xml:space="preserve"> of the </w:t>
            </w:r>
            <w:r w:rsidRPr="002E74E4">
              <w:rPr>
                <w:i/>
              </w:rPr>
              <w:t>Return to Work Act 2014</w:t>
            </w:r>
            <w:r>
              <w:t>, the Corporation may also extend the application of the Act to self-employed persons.</w:t>
            </w:r>
          </w:p>
        </w:tc>
      </w:tr>
      <w:tr w:rsidR="00F86BEA" w:rsidRPr="008232A9" w14:paraId="02D45285" w14:textId="77777777" w:rsidTr="00153F5B">
        <w:trPr>
          <w:trHeight w:val="20"/>
        </w:trPr>
        <w:tc>
          <w:tcPr>
            <w:tcW w:w="1626" w:type="dxa"/>
            <w:tcMar>
              <w:top w:w="80" w:type="dxa"/>
              <w:left w:w="80" w:type="dxa"/>
              <w:bottom w:w="80" w:type="dxa"/>
              <w:right w:w="80" w:type="dxa"/>
            </w:tcMar>
          </w:tcPr>
          <w:p w14:paraId="171D3945" w14:textId="77777777" w:rsidR="00F86BEA" w:rsidRPr="008232A9" w:rsidRDefault="00F86BEA" w:rsidP="00B21723">
            <w:pPr>
              <w:pStyle w:val="TableColumn1bold"/>
              <w:spacing w:after="60"/>
            </w:pPr>
            <w:r w:rsidRPr="008232A9">
              <w:t>Tasmania</w:t>
            </w:r>
          </w:p>
        </w:tc>
        <w:tc>
          <w:tcPr>
            <w:tcW w:w="13809" w:type="dxa"/>
            <w:tcMar>
              <w:top w:w="80" w:type="dxa"/>
              <w:left w:w="80" w:type="dxa"/>
              <w:bottom w:w="80" w:type="dxa"/>
              <w:right w:w="80" w:type="dxa"/>
            </w:tcMar>
          </w:tcPr>
          <w:p w14:paraId="572ADB1D" w14:textId="18CC4C9B" w:rsidR="00F86BEA" w:rsidRPr="008232A9" w:rsidRDefault="00F86BEA" w:rsidP="00B21723">
            <w:pPr>
              <w:pStyle w:val="lgetabletxt"/>
              <w:spacing w:after="60" w:afterAutospacing="0"/>
            </w:pPr>
            <w:r w:rsidRPr="008232A9">
              <w:t xml:space="preserve">Circumstances under the </w:t>
            </w:r>
            <w:r w:rsidR="004C71D9" w:rsidRPr="00016069">
              <w:rPr>
                <w:i/>
              </w:rPr>
              <w:t>Workers Rehabilitation and Compensation Act 1988</w:t>
            </w:r>
            <w:r w:rsidRPr="008232A9">
              <w:t xml:space="preserve"> where a person may be deemed to be a worker:</w:t>
            </w:r>
          </w:p>
          <w:p w14:paraId="2224D994" w14:textId="77777777" w:rsidR="00F86BEA" w:rsidRPr="008232A9" w:rsidRDefault="00F86BEA" w:rsidP="00B21723">
            <w:pPr>
              <w:pStyle w:val="Tabledotpointlist7pt"/>
              <w:spacing w:after="60"/>
            </w:pPr>
            <w:r w:rsidRPr="008232A9">
              <w:t xml:space="preserve">contractors where the work exceeds $100 and is not incidental to a trade or business regularly carried on by the contractor, where the contractor does not have personal accident insurance — </w:t>
            </w:r>
            <w:hyperlink r:id="rId640" w:history="1">
              <w:r w:rsidRPr="008232A9">
                <w:rPr>
                  <w:rStyle w:val="Hyperlink"/>
                </w:rPr>
                <w:t>s4B</w:t>
              </w:r>
            </w:hyperlink>
          </w:p>
          <w:p w14:paraId="7ABBC7C5" w14:textId="77777777" w:rsidR="00F86BEA" w:rsidRPr="008232A9" w:rsidRDefault="00F86BEA" w:rsidP="00B21723">
            <w:pPr>
              <w:pStyle w:val="Tabledotpointlist7pt"/>
              <w:spacing w:after="60"/>
            </w:pPr>
            <w:r w:rsidRPr="008232A9">
              <w:t xml:space="preserve">services of workers lent or on hire — </w:t>
            </w:r>
            <w:hyperlink r:id="rId641" w:history="1">
              <w:r w:rsidRPr="008232A9">
                <w:rPr>
                  <w:rStyle w:val="Hyperlink"/>
                </w:rPr>
                <w:t>s4A</w:t>
              </w:r>
            </w:hyperlink>
          </w:p>
          <w:p w14:paraId="10EBDBF0" w14:textId="77777777" w:rsidR="00F86BEA" w:rsidRPr="008232A9" w:rsidRDefault="00F86BEA" w:rsidP="00B21723">
            <w:pPr>
              <w:pStyle w:val="Tabledotpointlist7pt"/>
              <w:spacing w:after="60"/>
            </w:pPr>
            <w:r w:rsidRPr="008232A9">
              <w:t xml:space="preserve">police volunteers ( i.e., volunteers performing police operations) — </w:t>
            </w:r>
            <w:hyperlink r:id="rId642" w:history="1">
              <w:r w:rsidRPr="008232A9">
                <w:rPr>
                  <w:rStyle w:val="Hyperlink"/>
                </w:rPr>
                <w:t>s6A</w:t>
              </w:r>
            </w:hyperlink>
          </w:p>
          <w:p w14:paraId="436133F8" w14:textId="77777777" w:rsidR="00F86BEA" w:rsidRPr="008232A9" w:rsidRDefault="00F86BEA" w:rsidP="00B21723">
            <w:pPr>
              <w:pStyle w:val="Tabledotpointlist7pt"/>
              <w:spacing w:after="60"/>
            </w:pPr>
            <w:r w:rsidRPr="008232A9">
              <w:t xml:space="preserve">volunteers performing fire-fighting operations and fire prevention operations — </w:t>
            </w:r>
            <w:hyperlink r:id="rId643" w:history="1">
              <w:r w:rsidRPr="008232A9">
                <w:rPr>
                  <w:rStyle w:val="Hyperlink"/>
                </w:rPr>
                <w:t>s5</w:t>
              </w:r>
            </w:hyperlink>
          </w:p>
          <w:p w14:paraId="03138A43" w14:textId="77777777" w:rsidR="00F86BEA" w:rsidRPr="008232A9" w:rsidRDefault="00F86BEA" w:rsidP="00B21723">
            <w:pPr>
              <w:pStyle w:val="Tabledotpointlist7pt"/>
              <w:spacing w:after="60"/>
            </w:pPr>
            <w:r w:rsidRPr="008232A9">
              <w:t xml:space="preserve">volunteers providing ambulance services — </w:t>
            </w:r>
            <w:hyperlink r:id="rId644" w:history="1">
              <w:r w:rsidRPr="008232A9">
                <w:rPr>
                  <w:rStyle w:val="Hyperlink"/>
                </w:rPr>
                <w:t>s6</w:t>
              </w:r>
            </w:hyperlink>
          </w:p>
          <w:p w14:paraId="1FABE5AA" w14:textId="77777777" w:rsidR="00F86BEA" w:rsidRPr="008232A9" w:rsidRDefault="00F86BEA" w:rsidP="00B21723">
            <w:pPr>
              <w:pStyle w:val="Tabledotpointlist7pt"/>
              <w:spacing w:after="60"/>
            </w:pPr>
            <w:r w:rsidRPr="008232A9">
              <w:t xml:space="preserve">port and harbour persons engaged at places of pickup — </w:t>
            </w:r>
            <w:hyperlink r:id="rId645" w:history="1">
              <w:r w:rsidRPr="008232A9">
                <w:rPr>
                  <w:rStyle w:val="Hyperlink"/>
                </w:rPr>
                <w:t>s25(4)</w:t>
              </w:r>
            </w:hyperlink>
          </w:p>
          <w:p w14:paraId="20965C84" w14:textId="77777777" w:rsidR="00F86BEA" w:rsidRPr="008232A9" w:rsidRDefault="00F86BEA" w:rsidP="00B21723">
            <w:pPr>
              <w:pStyle w:val="Tabledotpointlist7pt"/>
              <w:spacing w:after="60"/>
            </w:pPr>
            <w:r w:rsidRPr="008232A9">
              <w:t xml:space="preserve">salespersons, canvassers and collectors — </w:t>
            </w:r>
            <w:hyperlink r:id="rId646" w:history="1">
              <w:r w:rsidRPr="008232A9">
                <w:rPr>
                  <w:rStyle w:val="Hyperlink"/>
                </w:rPr>
                <w:t>s4C</w:t>
              </w:r>
            </w:hyperlink>
          </w:p>
          <w:p w14:paraId="4367EF72" w14:textId="77777777" w:rsidR="00F86BEA" w:rsidRPr="008232A9" w:rsidRDefault="00F86BEA" w:rsidP="00B21723">
            <w:pPr>
              <w:pStyle w:val="Tabledotpointlist7pt"/>
              <w:spacing w:after="60"/>
            </w:pPr>
            <w:r w:rsidRPr="008232A9">
              <w:t xml:space="preserve">luxury hire car drivers and taxi drivers — </w:t>
            </w:r>
            <w:hyperlink r:id="rId647" w:history="1">
              <w:r w:rsidRPr="008232A9">
                <w:rPr>
                  <w:rStyle w:val="Hyperlink"/>
                </w:rPr>
                <w:t>s4DA</w:t>
              </w:r>
            </w:hyperlink>
            <w:r w:rsidRPr="008232A9">
              <w:t xml:space="preserve"> and </w:t>
            </w:r>
            <w:hyperlink r:id="rId648" w:history="1">
              <w:r w:rsidRPr="008232A9">
                <w:rPr>
                  <w:rStyle w:val="Hyperlink"/>
                </w:rPr>
                <w:t>s4DB</w:t>
              </w:r>
            </w:hyperlink>
          </w:p>
          <w:p w14:paraId="0559CACC" w14:textId="77777777" w:rsidR="00F86BEA" w:rsidRPr="008232A9" w:rsidRDefault="00F86BEA" w:rsidP="00B21723">
            <w:pPr>
              <w:pStyle w:val="Tabledotpointlist7pt"/>
              <w:spacing w:after="60"/>
            </w:pPr>
            <w:r w:rsidRPr="008232A9">
              <w:t xml:space="preserve">jockeys — </w:t>
            </w:r>
            <w:hyperlink r:id="rId649" w:history="1">
              <w:r w:rsidRPr="008232A9">
                <w:rPr>
                  <w:rStyle w:val="Hyperlink"/>
                </w:rPr>
                <w:t>s4DC</w:t>
              </w:r>
            </w:hyperlink>
          </w:p>
          <w:p w14:paraId="60C5BA8A" w14:textId="77777777" w:rsidR="00F86BEA" w:rsidRPr="008232A9" w:rsidRDefault="00F86BEA" w:rsidP="00B21723">
            <w:pPr>
              <w:pStyle w:val="Tabledotpointlist7pt"/>
              <w:spacing w:after="60"/>
            </w:pPr>
            <w:r w:rsidRPr="008232A9">
              <w:t xml:space="preserve">specified clergymen — </w:t>
            </w:r>
            <w:hyperlink r:id="rId650" w:history="1">
              <w:r w:rsidRPr="008232A9">
                <w:rPr>
                  <w:rStyle w:val="Hyperlink"/>
                </w:rPr>
                <w:t>s3(4)</w:t>
              </w:r>
            </w:hyperlink>
          </w:p>
          <w:p w14:paraId="1C923672" w14:textId="77777777" w:rsidR="00F86BEA" w:rsidRPr="008232A9" w:rsidRDefault="00F86BEA" w:rsidP="00B21723">
            <w:pPr>
              <w:pStyle w:val="Tabledotpointlist7pt"/>
              <w:spacing w:after="60"/>
            </w:pPr>
            <w:r w:rsidRPr="008232A9">
              <w:t xml:space="preserve">participants in training programs — </w:t>
            </w:r>
            <w:hyperlink r:id="rId651" w:history="1">
              <w:r w:rsidRPr="008232A9">
                <w:rPr>
                  <w:rStyle w:val="Hyperlink"/>
                </w:rPr>
                <w:t>s4D</w:t>
              </w:r>
            </w:hyperlink>
          </w:p>
          <w:p w14:paraId="303F85FD" w14:textId="77777777" w:rsidR="00F86BEA" w:rsidRPr="008232A9" w:rsidRDefault="00F86BEA" w:rsidP="00B21723">
            <w:pPr>
              <w:pStyle w:val="Tabledotpointlist7pt"/>
              <w:spacing w:after="60"/>
            </w:pPr>
            <w:r w:rsidRPr="008232A9">
              <w:t xml:space="preserve">persons in relationship prescribed to be relationship between employer and worker — </w:t>
            </w:r>
            <w:hyperlink r:id="rId652" w:history="1">
              <w:r w:rsidRPr="008232A9">
                <w:rPr>
                  <w:rStyle w:val="Hyperlink"/>
                </w:rPr>
                <w:t>s4E</w:t>
              </w:r>
            </w:hyperlink>
            <w:r w:rsidRPr="008232A9">
              <w:t>, and</w:t>
            </w:r>
          </w:p>
          <w:p w14:paraId="1003F4D5" w14:textId="09F488D2" w:rsidR="00F86BEA" w:rsidRPr="008232A9" w:rsidRDefault="00F86BEA" w:rsidP="00B21723">
            <w:pPr>
              <w:pStyle w:val="Tabledotpointlist7pt"/>
              <w:spacing w:after="60"/>
            </w:pPr>
            <w:r w:rsidRPr="008232A9">
              <w:t xml:space="preserve">prescribed classes of volunteers — </w:t>
            </w:r>
            <w:hyperlink r:id="rId653" w:history="1">
              <w:r w:rsidRPr="008232A9">
                <w:rPr>
                  <w:rStyle w:val="Hyperlink"/>
                </w:rPr>
                <w:t>s6B</w:t>
              </w:r>
            </w:hyperlink>
            <w:r w:rsidRPr="008232A9">
              <w:t xml:space="preserve"> (none are currently prescribed for the purpose of s6B).</w:t>
            </w:r>
          </w:p>
        </w:tc>
      </w:tr>
      <w:tr w:rsidR="00F86BEA" w:rsidRPr="008232A9" w14:paraId="119C4A13" w14:textId="77777777" w:rsidTr="00153F5B">
        <w:trPr>
          <w:trHeight w:val="20"/>
        </w:trPr>
        <w:tc>
          <w:tcPr>
            <w:tcW w:w="1626" w:type="dxa"/>
            <w:shd w:val="clear" w:color="auto" w:fill="FFC9C9"/>
            <w:tcMar>
              <w:top w:w="80" w:type="dxa"/>
              <w:left w:w="80" w:type="dxa"/>
              <w:bottom w:w="80" w:type="dxa"/>
              <w:right w:w="80" w:type="dxa"/>
            </w:tcMar>
          </w:tcPr>
          <w:p w14:paraId="266E6234" w14:textId="77777777" w:rsidR="00F86BEA" w:rsidRPr="008232A9" w:rsidRDefault="00F86BEA" w:rsidP="00B21723">
            <w:pPr>
              <w:pStyle w:val="TableColumn1bold"/>
              <w:spacing w:after="60"/>
            </w:pPr>
            <w:r w:rsidRPr="008232A9">
              <w:t>Northern Territory</w:t>
            </w:r>
          </w:p>
        </w:tc>
        <w:tc>
          <w:tcPr>
            <w:tcW w:w="13809" w:type="dxa"/>
            <w:shd w:val="clear" w:color="auto" w:fill="FFC9C9"/>
            <w:tcMar>
              <w:top w:w="80" w:type="dxa"/>
              <w:left w:w="80" w:type="dxa"/>
              <w:bottom w:w="80" w:type="dxa"/>
              <w:right w:w="80" w:type="dxa"/>
            </w:tcMar>
          </w:tcPr>
          <w:p w14:paraId="73BA2CF9" w14:textId="0D9DC123" w:rsidR="00F86BEA" w:rsidRPr="008232A9" w:rsidRDefault="00F86BEA" w:rsidP="00B21723">
            <w:pPr>
              <w:pStyle w:val="lgetabletxt"/>
              <w:spacing w:after="60" w:afterAutospacing="0"/>
            </w:pPr>
            <w:r w:rsidRPr="008232A9">
              <w:t xml:space="preserve">Circumstances under the </w:t>
            </w:r>
            <w:r w:rsidR="004C71D9" w:rsidRPr="00016069">
              <w:rPr>
                <w:i/>
              </w:rPr>
              <w:t>Return to Work Act</w:t>
            </w:r>
            <w:r w:rsidRPr="008232A9">
              <w:t xml:space="preserve"> and Regulations where a person may be deemed or prescribed to be a worker:</w:t>
            </w:r>
          </w:p>
          <w:p w14:paraId="485C3342" w14:textId="7694132C" w:rsidR="00F86BEA" w:rsidRPr="008232A9" w:rsidRDefault="00F86BEA" w:rsidP="00B21723">
            <w:pPr>
              <w:pStyle w:val="Tabledotpointlist7pt"/>
              <w:spacing w:after="60"/>
            </w:pPr>
            <w:r w:rsidRPr="008232A9">
              <w:t xml:space="preserve">workers of householders — </w:t>
            </w:r>
            <w:hyperlink r:id="rId654" w:history="1">
              <w:r w:rsidRPr="009F5BE3">
                <w:rPr>
                  <w:rStyle w:val="Hyperlink"/>
                </w:rPr>
                <w:t>s3(5)</w:t>
              </w:r>
            </w:hyperlink>
          </w:p>
          <w:p w14:paraId="14274CE9" w14:textId="2F0A8A61" w:rsidR="00F86BEA" w:rsidRPr="008232A9" w:rsidRDefault="00F86BEA" w:rsidP="00B21723">
            <w:pPr>
              <w:pStyle w:val="Tabledotpointlist7pt"/>
              <w:spacing w:after="60"/>
            </w:pPr>
            <w:r w:rsidRPr="008232A9">
              <w:t xml:space="preserve">directors — </w:t>
            </w:r>
            <w:hyperlink r:id="rId655" w:history="1">
              <w:r w:rsidRPr="009F5BE3">
                <w:rPr>
                  <w:rStyle w:val="Hyperlink"/>
                </w:rPr>
                <w:t>s3(3)</w:t>
              </w:r>
            </w:hyperlink>
          </w:p>
          <w:p w14:paraId="42BE49A1" w14:textId="34D5408F" w:rsidR="00F86BEA" w:rsidRPr="008232A9" w:rsidRDefault="00F86BEA" w:rsidP="00B21723">
            <w:pPr>
              <w:pStyle w:val="Tabledotpointlist7pt"/>
              <w:spacing w:after="60"/>
            </w:pPr>
            <w:r w:rsidRPr="008232A9">
              <w:t xml:space="preserve">jockeys — </w:t>
            </w:r>
            <w:hyperlink r:id="rId656" w:history="1">
              <w:r w:rsidRPr="009F5BE3">
                <w:rPr>
                  <w:rStyle w:val="Hyperlink"/>
                </w:rPr>
                <w:t>reg 3A(1)(b)</w:t>
              </w:r>
            </w:hyperlink>
          </w:p>
          <w:p w14:paraId="191B8E2A" w14:textId="20C8899E" w:rsidR="00F86BEA" w:rsidRPr="008232A9" w:rsidRDefault="00F86BEA" w:rsidP="00B21723">
            <w:pPr>
              <w:pStyle w:val="Tabledotpointlist7pt"/>
              <w:spacing w:after="60"/>
            </w:pPr>
            <w:r w:rsidRPr="008232A9">
              <w:t xml:space="preserve">taxi drivers — </w:t>
            </w:r>
            <w:hyperlink r:id="rId657" w:history="1">
              <w:r w:rsidRPr="009F5BE3">
                <w:rPr>
                  <w:rStyle w:val="Hyperlink"/>
                </w:rPr>
                <w:t>reg 3A(1)(c)</w:t>
              </w:r>
            </w:hyperlink>
          </w:p>
          <w:p w14:paraId="5129B195" w14:textId="345E3719" w:rsidR="00F86BEA" w:rsidRPr="008232A9" w:rsidRDefault="00F86BEA" w:rsidP="00B21723">
            <w:pPr>
              <w:pStyle w:val="Tabledotpointlist7pt"/>
              <w:spacing w:after="60"/>
            </w:pPr>
            <w:r w:rsidRPr="008232A9">
              <w:t>person performing work u</w:t>
            </w:r>
            <w:r>
              <w:t>n</w:t>
            </w:r>
            <w:r w:rsidRPr="008232A9">
              <w:t xml:space="preserve">der a community court order — </w:t>
            </w:r>
            <w:hyperlink r:id="rId658" w:history="1">
              <w:r w:rsidRPr="009F5BE3">
                <w:rPr>
                  <w:rStyle w:val="Hyperlink"/>
                </w:rPr>
                <w:t>s3(4)</w:t>
              </w:r>
            </w:hyperlink>
          </w:p>
          <w:p w14:paraId="478E702E" w14:textId="6C30B2B1" w:rsidR="00F86BEA" w:rsidRPr="008232A9" w:rsidRDefault="00F86BEA" w:rsidP="00B21723">
            <w:pPr>
              <w:pStyle w:val="Tabledotpointlist7pt"/>
              <w:spacing w:after="60"/>
            </w:pPr>
            <w:r w:rsidRPr="008232A9">
              <w:t xml:space="preserve">Jurors </w:t>
            </w:r>
            <w:r w:rsidR="009650EC">
              <w:t>—</w:t>
            </w:r>
            <w:r w:rsidR="009650EC" w:rsidRPr="008232A9">
              <w:t xml:space="preserve"> </w:t>
            </w:r>
            <w:hyperlink r:id="rId659" w:history="1">
              <w:r w:rsidRPr="009F5BE3">
                <w:rPr>
                  <w:rStyle w:val="Hyperlink"/>
                </w:rPr>
                <w:t>reg 3(A)(1)(aa)</w:t>
              </w:r>
            </w:hyperlink>
          </w:p>
          <w:p w14:paraId="3E726064" w14:textId="09B860F7" w:rsidR="00F86BEA" w:rsidRPr="008232A9" w:rsidRDefault="00F86BEA" w:rsidP="00B21723">
            <w:pPr>
              <w:pStyle w:val="Tabledotpointlist7pt"/>
              <w:spacing w:after="60"/>
            </w:pPr>
            <w:r w:rsidRPr="008232A9">
              <w:t xml:space="preserve">family members — </w:t>
            </w:r>
            <w:hyperlink r:id="rId660" w:history="1">
              <w:r w:rsidRPr="009F5BE3">
                <w:rPr>
                  <w:rStyle w:val="Hyperlink"/>
                </w:rPr>
                <w:t>s3(2)</w:t>
              </w:r>
            </w:hyperlink>
          </w:p>
          <w:p w14:paraId="44E8A156" w14:textId="5262091A" w:rsidR="00F86BEA" w:rsidRPr="008232A9" w:rsidRDefault="00F86BEA" w:rsidP="00B21723">
            <w:pPr>
              <w:pStyle w:val="Tabledotpointlist7pt"/>
              <w:spacing w:after="60"/>
            </w:pPr>
            <w:r w:rsidRPr="008232A9">
              <w:lastRenderedPageBreak/>
              <w:t xml:space="preserve">emergency service volunteers — </w:t>
            </w:r>
            <w:hyperlink r:id="rId661" w:history="1">
              <w:r w:rsidRPr="009F5BE3">
                <w:rPr>
                  <w:rStyle w:val="Hyperlink"/>
                </w:rPr>
                <w:t>s3(7)</w:t>
              </w:r>
            </w:hyperlink>
            <w:r w:rsidRPr="008232A9">
              <w:t>, and</w:t>
            </w:r>
          </w:p>
          <w:p w14:paraId="2B82453F" w14:textId="6C713C3A" w:rsidR="00F86BEA" w:rsidRPr="008232A9" w:rsidRDefault="00F86BEA" w:rsidP="00B21723">
            <w:pPr>
              <w:pStyle w:val="Tabledotpointlist7pt"/>
              <w:spacing w:after="60"/>
            </w:pPr>
            <w:r w:rsidRPr="008232A9">
              <w:t xml:space="preserve">volunteer fire fighters — </w:t>
            </w:r>
            <w:hyperlink r:id="rId662" w:history="1">
              <w:r w:rsidRPr="009F5BE3">
                <w:rPr>
                  <w:rStyle w:val="Hyperlink"/>
                </w:rPr>
                <w:t>s3(8)</w:t>
              </w:r>
            </w:hyperlink>
            <w:r w:rsidRPr="008232A9">
              <w:t xml:space="preserve"> and </w:t>
            </w:r>
            <w:hyperlink r:id="rId663" w:history="1">
              <w:r w:rsidRPr="009F5BE3">
                <w:rPr>
                  <w:rStyle w:val="Hyperlink"/>
                </w:rPr>
                <w:t>s3(8A)</w:t>
              </w:r>
            </w:hyperlink>
          </w:p>
          <w:p w14:paraId="3FA75608" w14:textId="740BE242" w:rsidR="00F86BEA" w:rsidRPr="008232A9" w:rsidRDefault="00F86BEA" w:rsidP="009650EC">
            <w:pPr>
              <w:pStyle w:val="Tabledotpointlist7pt"/>
              <w:spacing w:after="60"/>
            </w:pPr>
            <w:r w:rsidRPr="008232A9">
              <w:t xml:space="preserve">St Johns ambulance volunteers </w:t>
            </w:r>
            <w:r w:rsidR="009650EC">
              <w:t>—</w:t>
            </w:r>
            <w:r w:rsidR="009650EC" w:rsidRPr="008232A9">
              <w:t xml:space="preserve"> </w:t>
            </w:r>
            <w:hyperlink r:id="rId664" w:history="1">
              <w:r w:rsidRPr="009F5BE3">
                <w:rPr>
                  <w:rStyle w:val="Hyperlink"/>
                </w:rPr>
                <w:t>reg 3A(1)(a)</w:t>
              </w:r>
            </w:hyperlink>
            <w:r w:rsidR="000D3C6D">
              <w:t>.</w:t>
            </w:r>
          </w:p>
        </w:tc>
      </w:tr>
      <w:tr w:rsidR="00F86BEA" w:rsidRPr="008232A9" w14:paraId="6252BFFF" w14:textId="77777777" w:rsidTr="00153F5B">
        <w:trPr>
          <w:trHeight w:val="20"/>
        </w:trPr>
        <w:tc>
          <w:tcPr>
            <w:tcW w:w="1626" w:type="dxa"/>
            <w:tcMar>
              <w:top w:w="80" w:type="dxa"/>
              <w:left w:w="80" w:type="dxa"/>
              <w:bottom w:w="80" w:type="dxa"/>
              <w:right w:w="80" w:type="dxa"/>
            </w:tcMar>
          </w:tcPr>
          <w:p w14:paraId="33D27439" w14:textId="77777777" w:rsidR="00F86BEA" w:rsidRPr="008232A9" w:rsidRDefault="00F86BEA" w:rsidP="00B21723">
            <w:pPr>
              <w:pStyle w:val="TableColumn1bold"/>
              <w:spacing w:after="60"/>
            </w:pPr>
            <w:r w:rsidRPr="008232A9">
              <w:lastRenderedPageBreak/>
              <w:t>Australian Capital Territory</w:t>
            </w:r>
          </w:p>
        </w:tc>
        <w:tc>
          <w:tcPr>
            <w:tcW w:w="13809" w:type="dxa"/>
            <w:tcMar>
              <w:top w:w="80" w:type="dxa"/>
              <w:left w:w="80" w:type="dxa"/>
              <w:bottom w:w="80" w:type="dxa"/>
              <w:right w:w="80" w:type="dxa"/>
            </w:tcMar>
          </w:tcPr>
          <w:p w14:paraId="2BC186D3" w14:textId="3BE77DA8" w:rsidR="00F86BEA" w:rsidRPr="008232A9" w:rsidRDefault="00F86BEA" w:rsidP="00B21723">
            <w:pPr>
              <w:pStyle w:val="lgetabletxt"/>
              <w:spacing w:after="60" w:afterAutospacing="0"/>
            </w:pPr>
            <w:r w:rsidRPr="008232A9">
              <w:t xml:space="preserve">Circumstances under the </w:t>
            </w:r>
            <w:r w:rsidR="004C71D9" w:rsidRPr="00016069">
              <w:rPr>
                <w:i/>
              </w:rPr>
              <w:t>Workers Compensation Act 1951</w:t>
            </w:r>
            <w:r w:rsidRPr="008232A9">
              <w:t xml:space="preserve"> where a person may be deemed to be a worker:</w:t>
            </w:r>
          </w:p>
          <w:p w14:paraId="3A5E1782" w14:textId="2BE4C628" w:rsidR="00F86BEA" w:rsidRPr="008232A9" w:rsidRDefault="00F86BEA" w:rsidP="00B21723">
            <w:pPr>
              <w:pStyle w:val="Tabledotpointlist7pt"/>
              <w:spacing w:after="60"/>
            </w:pPr>
            <w:r w:rsidRPr="008232A9">
              <w:t xml:space="preserve">casuals (in certain instances) — </w:t>
            </w:r>
            <w:hyperlink r:id="rId665" w:history="1">
              <w:r w:rsidRPr="009F5BE3">
                <w:rPr>
                  <w:rStyle w:val="Hyperlink"/>
                </w:rPr>
                <w:t>s10</w:t>
              </w:r>
            </w:hyperlink>
          </w:p>
          <w:p w14:paraId="46B89B4F" w14:textId="08593EA7" w:rsidR="00F86BEA" w:rsidRPr="008232A9" w:rsidRDefault="00F86BEA" w:rsidP="00B21723">
            <w:pPr>
              <w:pStyle w:val="Tabledotpointlist7pt"/>
              <w:spacing w:after="60"/>
            </w:pPr>
            <w:r w:rsidRPr="008232A9">
              <w:t xml:space="preserve">regular contractors — </w:t>
            </w:r>
            <w:hyperlink r:id="rId666" w:history="1">
              <w:r w:rsidRPr="00543691">
                <w:rPr>
                  <w:rStyle w:val="Hyperlink"/>
                </w:rPr>
                <w:t>s11(1)</w:t>
              </w:r>
            </w:hyperlink>
          </w:p>
          <w:p w14:paraId="332B11AC" w14:textId="3057BDBA" w:rsidR="00F86BEA" w:rsidRPr="008232A9" w:rsidRDefault="00F86BEA" w:rsidP="00B21723">
            <w:pPr>
              <w:pStyle w:val="Tabledotpointlist7pt"/>
              <w:spacing w:after="60"/>
            </w:pPr>
            <w:r w:rsidRPr="008232A9">
              <w:t xml:space="preserve">subcontracting — </w:t>
            </w:r>
            <w:hyperlink r:id="rId667" w:history="1">
              <w:r w:rsidRPr="00543691">
                <w:rPr>
                  <w:rStyle w:val="Hyperlink"/>
                </w:rPr>
                <w:t>s13</w:t>
              </w:r>
            </w:hyperlink>
          </w:p>
          <w:p w14:paraId="1651C383" w14:textId="290A3544" w:rsidR="00F86BEA" w:rsidRPr="008232A9" w:rsidRDefault="00F86BEA" w:rsidP="00B21723">
            <w:pPr>
              <w:pStyle w:val="Tabledotpointlist7pt"/>
              <w:spacing w:after="60"/>
            </w:pPr>
            <w:r w:rsidRPr="008232A9">
              <w:t xml:space="preserve">trainees — </w:t>
            </w:r>
            <w:hyperlink r:id="rId668" w:history="1">
              <w:r w:rsidRPr="00543691">
                <w:rPr>
                  <w:rStyle w:val="Hyperlink"/>
                </w:rPr>
                <w:t>s14</w:t>
              </w:r>
            </w:hyperlink>
          </w:p>
          <w:p w14:paraId="59C62BC4" w14:textId="3C37C477" w:rsidR="00F86BEA" w:rsidRPr="008232A9" w:rsidRDefault="00F86BEA" w:rsidP="00B21723">
            <w:pPr>
              <w:pStyle w:val="Tabledotpointlist7pt"/>
              <w:spacing w:after="60"/>
            </w:pPr>
            <w:r w:rsidRPr="008232A9">
              <w:t xml:space="preserve">outworkers — </w:t>
            </w:r>
            <w:hyperlink r:id="rId669" w:history="1">
              <w:r w:rsidRPr="00543691">
                <w:rPr>
                  <w:rStyle w:val="Hyperlink"/>
                </w:rPr>
                <w:t>s15</w:t>
              </w:r>
            </w:hyperlink>
          </w:p>
          <w:p w14:paraId="2289DA5E" w14:textId="2E979D49" w:rsidR="00F86BEA" w:rsidRPr="008232A9" w:rsidRDefault="00F86BEA" w:rsidP="00B21723">
            <w:pPr>
              <w:pStyle w:val="Tabledotpointlist7pt"/>
              <w:spacing w:after="60"/>
            </w:pPr>
            <w:r w:rsidRPr="008232A9">
              <w:t xml:space="preserve">timber contractors — </w:t>
            </w:r>
            <w:hyperlink r:id="rId670" w:history="1">
              <w:r w:rsidRPr="00543691">
                <w:rPr>
                  <w:rStyle w:val="Hyperlink"/>
                </w:rPr>
                <w:t>s16</w:t>
              </w:r>
            </w:hyperlink>
          </w:p>
          <w:p w14:paraId="1D8B0BA9" w14:textId="40865671" w:rsidR="00F86BEA" w:rsidRPr="008232A9" w:rsidRDefault="00F86BEA" w:rsidP="00B21723">
            <w:pPr>
              <w:pStyle w:val="Tabledotpointlist7pt"/>
              <w:spacing w:after="60"/>
            </w:pPr>
            <w:r w:rsidRPr="008232A9">
              <w:t xml:space="preserve">family day care carers — </w:t>
            </w:r>
            <w:hyperlink r:id="rId671" w:history="1">
              <w:r w:rsidRPr="00543691">
                <w:rPr>
                  <w:rStyle w:val="Hyperlink"/>
                </w:rPr>
                <w:t>s16A</w:t>
              </w:r>
            </w:hyperlink>
          </w:p>
          <w:p w14:paraId="7A4B1F1E" w14:textId="56706152" w:rsidR="00F86BEA" w:rsidRPr="008232A9" w:rsidRDefault="00F86BEA" w:rsidP="00B21723">
            <w:pPr>
              <w:pStyle w:val="Tabledotpointlist7pt"/>
              <w:spacing w:after="60"/>
            </w:pPr>
            <w:r w:rsidRPr="008232A9">
              <w:t xml:space="preserve">religious workers — </w:t>
            </w:r>
            <w:hyperlink r:id="rId672" w:history="1">
              <w:r w:rsidRPr="00543691">
                <w:rPr>
                  <w:rStyle w:val="Hyperlink"/>
                </w:rPr>
                <w:t>s17</w:t>
              </w:r>
            </w:hyperlink>
          </w:p>
          <w:p w14:paraId="2EF5C21A" w14:textId="0932CE3A" w:rsidR="00F86BEA" w:rsidRPr="008232A9" w:rsidRDefault="00F86BEA" w:rsidP="00B21723">
            <w:pPr>
              <w:pStyle w:val="Tabledotpointlist7pt"/>
              <w:spacing w:after="60"/>
            </w:pPr>
            <w:r w:rsidRPr="008232A9">
              <w:t xml:space="preserve">volunteers — </w:t>
            </w:r>
            <w:hyperlink r:id="rId673" w:history="1">
              <w:r w:rsidRPr="00543691">
                <w:rPr>
                  <w:rStyle w:val="Hyperlink"/>
                </w:rPr>
                <w:t>s17A</w:t>
              </w:r>
            </w:hyperlink>
          </w:p>
          <w:p w14:paraId="25243132" w14:textId="72D118D4" w:rsidR="00F86BEA" w:rsidRPr="008232A9" w:rsidRDefault="00F86BEA" w:rsidP="00B21723">
            <w:pPr>
              <w:pStyle w:val="Tabledotpointlist7pt"/>
              <w:spacing w:after="60"/>
            </w:pPr>
            <w:r w:rsidRPr="008232A9">
              <w:t xml:space="preserve">commercial voluntary workers — </w:t>
            </w:r>
            <w:hyperlink r:id="rId674" w:history="1">
              <w:r w:rsidRPr="00543691">
                <w:rPr>
                  <w:rStyle w:val="Hyperlink"/>
                </w:rPr>
                <w:t>s18</w:t>
              </w:r>
            </w:hyperlink>
            <w:r w:rsidRPr="008232A9">
              <w:t>, and</w:t>
            </w:r>
          </w:p>
          <w:p w14:paraId="78800528" w14:textId="5D9FAD99" w:rsidR="00F86BEA" w:rsidRPr="008232A9" w:rsidRDefault="00F86BEA" w:rsidP="00B21723">
            <w:pPr>
              <w:pStyle w:val="Tabledotpointlist7pt"/>
              <w:spacing w:after="60"/>
            </w:pPr>
            <w:r w:rsidRPr="008232A9">
              <w:t xml:space="preserve">public interest voluntary workers — </w:t>
            </w:r>
            <w:hyperlink r:id="rId675" w:history="1">
              <w:r w:rsidRPr="00543691">
                <w:rPr>
                  <w:rStyle w:val="Hyperlink"/>
                </w:rPr>
                <w:t>s19</w:t>
              </w:r>
            </w:hyperlink>
            <w:r w:rsidR="000D3C6D">
              <w:t>.</w:t>
            </w:r>
          </w:p>
        </w:tc>
      </w:tr>
      <w:tr w:rsidR="00F86BEA" w:rsidRPr="008232A9" w14:paraId="0326BC36" w14:textId="77777777" w:rsidTr="00153F5B">
        <w:trPr>
          <w:trHeight w:val="20"/>
        </w:trPr>
        <w:tc>
          <w:tcPr>
            <w:tcW w:w="1626" w:type="dxa"/>
            <w:shd w:val="clear" w:color="auto" w:fill="FFC9C9"/>
            <w:tcMar>
              <w:top w:w="80" w:type="dxa"/>
              <w:left w:w="80" w:type="dxa"/>
              <w:bottom w:w="80" w:type="dxa"/>
              <w:right w:w="80" w:type="dxa"/>
            </w:tcMar>
          </w:tcPr>
          <w:p w14:paraId="1B9C8C34" w14:textId="77777777" w:rsidR="00F86BEA" w:rsidRPr="008232A9" w:rsidRDefault="00F86BEA" w:rsidP="00B21723">
            <w:pPr>
              <w:pStyle w:val="TableColumn1bold"/>
              <w:spacing w:after="60"/>
            </w:pPr>
            <w:r w:rsidRPr="008232A9">
              <w:t>C’wealth Comcare</w:t>
            </w:r>
          </w:p>
        </w:tc>
        <w:tc>
          <w:tcPr>
            <w:tcW w:w="13809" w:type="dxa"/>
            <w:shd w:val="clear" w:color="auto" w:fill="FFC9C9"/>
            <w:tcMar>
              <w:top w:w="80" w:type="dxa"/>
              <w:left w:w="80" w:type="dxa"/>
              <w:bottom w:w="80" w:type="dxa"/>
              <w:right w:w="80" w:type="dxa"/>
            </w:tcMar>
          </w:tcPr>
          <w:p w14:paraId="5FBB7650" w14:textId="57534FD7" w:rsidR="00F86BEA" w:rsidRDefault="00F86BEA" w:rsidP="00B21723">
            <w:pPr>
              <w:pStyle w:val="lgetabletxt"/>
              <w:spacing w:after="60" w:afterAutospacing="0"/>
            </w:pPr>
            <w:r>
              <w:t xml:space="preserve">Under </w:t>
            </w:r>
            <w:hyperlink r:id="rId676" w:history="1">
              <w:r w:rsidRPr="00E374EA">
                <w:rPr>
                  <w:rStyle w:val="Hyperlink"/>
                </w:rPr>
                <w:t>s5(2)</w:t>
              </w:r>
            </w:hyperlink>
            <w:r>
              <w:t xml:space="preserve"> of the </w:t>
            </w:r>
            <w:r w:rsidR="004C71D9" w:rsidRPr="00016069">
              <w:rPr>
                <w:i/>
              </w:rPr>
              <w:t>Safety, Rehabilitation and Compensation Act 1988</w:t>
            </w:r>
            <w:r>
              <w:t>, the following persons are deemed to be employees of the Commonwealth, provided they perform certain duties:</w:t>
            </w:r>
          </w:p>
          <w:p w14:paraId="35B6C995" w14:textId="77777777" w:rsidR="00F86BEA" w:rsidRDefault="00F86BEA" w:rsidP="00DF35F2">
            <w:pPr>
              <w:pStyle w:val="lgetabletxt"/>
              <w:numPr>
                <w:ilvl w:val="0"/>
                <w:numId w:val="58"/>
              </w:numPr>
              <w:spacing w:after="60" w:afterAutospacing="0"/>
            </w:pPr>
            <w:r>
              <w:t>the Commissioner of the Australian Federal Police (AFP), Deputy Commissioner of the AFP or an AFP employee</w:t>
            </w:r>
          </w:p>
          <w:p w14:paraId="40602FE5" w14:textId="77777777" w:rsidR="00F86BEA" w:rsidRDefault="00F86BEA" w:rsidP="00DF35F2">
            <w:pPr>
              <w:pStyle w:val="lgetabletxt"/>
              <w:numPr>
                <w:ilvl w:val="0"/>
                <w:numId w:val="58"/>
              </w:numPr>
              <w:spacing w:after="60" w:afterAutospacing="0"/>
            </w:pPr>
            <w:r>
              <w:t>a member of the Defence Force in certain circumstances, or</w:t>
            </w:r>
          </w:p>
          <w:p w14:paraId="451A4B11" w14:textId="77777777" w:rsidR="00F86BEA" w:rsidRDefault="00F86BEA" w:rsidP="00DF35F2">
            <w:pPr>
              <w:pStyle w:val="lgetabletxt"/>
              <w:numPr>
                <w:ilvl w:val="0"/>
                <w:numId w:val="58"/>
              </w:numPr>
              <w:spacing w:after="60" w:afterAutospacing="0"/>
            </w:pPr>
            <w:r>
              <w:t>a person who is the holder of or is acting in:</w:t>
            </w:r>
          </w:p>
          <w:p w14:paraId="1CBEB414" w14:textId="77777777" w:rsidR="00F86BEA" w:rsidRDefault="00F86BEA" w:rsidP="00DF35F2">
            <w:pPr>
              <w:pStyle w:val="lgetabletxt"/>
              <w:numPr>
                <w:ilvl w:val="0"/>
                <w:numId w:val="59"/>
              </w:numPr>
              <w:spacing w:after="60" w:afterAutospacing="0"/>
            </w:pPr>
            <w:r>
              <w:t>an office established by a law of the Commonwealth, or</w:t>
            </w:r>
          </w:p>
          <w:p w14:paraId="5B0F2221" w14:textId="0CF2DF92" w:rsidR="00F86BEA" w:rsidRDefault="00F86BEA" w:rsidP="00DF35F2">
            <w:pPr>
              <w:pStyle w:val="lgetabletxt"/>
              <w:numPr>
                <w:ilvl w:val="0"/>
                <w:numId w:val="59"/>
              </w:numPr>
              <w:spacing w:after="60" w:afterAutospacing="0"/>
            </w:pPr>
            <w:r>
              <w:t xml:space="preserve">an office that is established by a law of a Territory (other than an ACT enactment or a law of the NT) and is declared by the Minister to be an office to which the SRC Act applies — </w:t>
            </w:r>
            <w:hyperlink r:id="rId677" w:history="1">
              <w:r w:rsidRPr="00E374EA">
                <w:rPr>
                  <w:rStyle w:val="Hyperlink"/>
                </w:rPr>
                <w:t>s5(2)</w:t>
              </w:r>
            </w:hyperlink>
            <w:r w:rsidR="002B3287">
              <w:t>.</w:t>
            </w:r>
          </w:p>
          <w:p w14:paraId="6E9D3509" w14:textId="0B1FBF91" w:rsidR="00F86BEA" w:rsidRDefault="00F86BEA" w:rsidP="00B21723">
            <w:pPr>
              <w:pStyle w:val="lgetabletxt"/>
              <w:spacing w:after="60" w:afterAutospacing="0"/>
            </w:pPr>
            <w:r>
              <w:t xml:space="preserve">Under </w:t>
            </w:r>
            <w:hyperlink r:id="rId678" w:history="1">
              <w:r w:rsidRPr="00E374EA">
                <w:rPr>
                  <w:rStyle w:val="Hyperlink"/>
                </w:rPr>
                <w:t>s5(6)</w:t>
              </w:r>
            </w:hyperlink>
            <w:r>
              <w:t>, certain categories of persons are deemed to be employees of the Commonwealth and the Minister may declare persons who engage in activities or perform acts at the request of the Commonwealth or a licensee as employees. This includes those undertaking work for the Commonwealth on a voluntary basis. Such volunteers, following a declaration by the Minister, are deemed Commonwealth employees for the purposes of workers’ compensation.</w:t>
            </w:r>
          </w:p>
          <w:p w14:paraId="20088D70" w14:textId="273F747D" w:rsidR="00F86BEA" w:rsidRPr="008232A9" w:rsidRDefault="00F86BEA" w:rsidP="00E374EA">
            <w:pPr>
              <w:pStyle w:val="lgetabletxt"/>
              <w:spacing w:after="60" w:afterAutospacing="0"/>
            </w:pPr>
            <w:r>
              <w:t xml:space="preserve">Under </w:t>
            </w:r>
            <w:hyperlink r:id="rId679" w:history="1">
              <w:r w:rsidRPr="00E374EA">
                <w:rPr>
                  <w:rStyle w:val="Hyperlink"/>
                </w:rPr>
                <w:t>s5(15)</w:t>
              </w:r>
            </w:hyperlink>
            <w:r>
              <w:t>, at the request of the Chief Minister of the ACT, the Minister may make a written declaration that persons may be taken to be employees of the ACT government when engaging in certain activities</w:t>
            </w:r>
            <w:r w:rsidR="00E374EA">
              <w:t xml:space="preserve"> </w:t>
            </w:r>
            <w:r w:rsidRPr="008232A9">
              <w:t xml:space="preserve">— </w:t>
            </w:r>
            <w:hyperlink r:id="rId680" w:history="1">
              <w:r w:rsidRPr="00E374EA">
                <w:rPr>
                  <w:rStyle w:val="Hyperlink"/>
                </w:rPr>
                <w:t>s5(15)</w:t>
              </w:r>
            </w:hyperlink>
            <w:r w:rsidR="002B3287">
              <w:t>.</w:t>
            </w:r>
          </w:p>
        </w:tc>
      </w:tr>
      <w:tr w:rsidR="00F86BEA" w:rsidRPr="008232A9" w14:paraId="231B1F7B" w14:textId="77777777" w:rsidTr="00153F5B">
        <w:trPr>
          <w:trHeight w:val="20"/>
        </w:trPr>
        <w:tc>
          <w:tcPr>
            <w:tcW w:w="1626" w:type="dxa"/>
            <w:tcMar>
              <w:top w:w="80" w:type="dxa"/>
              <w:left w:w="80" w:type="dxa"/>
              <w:bottom w:w="80" w:type="dxa"/>
              <w:right w:w="80" w:type="dxa"/>
            </w:tcMar>
          </w:tcPr>
          <w:p w14:paraId="000F11C7" w14:textId="77777777" w:rsidR="00F86BEA" w:rsidRPr="008232A9" w:rsidRDefault="00F86BEA" w:rsidP="00B21723">
            <w:pPr>
              <w:pStyle w:val="TableColumn1bold"/>
              <w:spacing w:after="60"/>
            </w:pPr>
            <w:r w:rsidRPr="008232A9">
              <w:t>C’wealth Seacare</w:t>
            </w:r>
          </w:p>
        </w:tc>
        <w:tc>
          <w:tcPr>
            <w:tcW w:w="13809" w:type="dxa"/>
            <w:tcMar>
              <w:top w:w="80" w:type="dxa"/>
              <w:left w:w="80" w:type="dxa"/>
              <w:bottom w:w="80" w:type="dxa"/>
              <w:right w:w="80" w:type="dxa"/>
            </w:tcMar>
          </w:tcPr>
          <w:p w14:paraId="5D29AE93" w14:textId="552CDD93" w:rsidR="00F86BEA" w:rsidRPr="008232A9" w:rsidRDefault="00F86BEA" w:rsidP="00B21723">
            <w:pPr>
              <w:pStyle w:val="lgetabletxt"/>
              <w:spacing w:after="60" w:afterAutospacing="0"/>
            </w:pPr>
            <w:r w:rsidRPr="008232A9">
              <w:t xml:space="preserve">The </w:t>
            </w:r>
            <w:r w:rsidR="004C71D9" w:rsidRPr="00016069">
              <w:rPr>
                <w:i/>
              </w:rPr>
              <w:t>Seafarers Rehabilitation and Compensation Act 1992</w:t>
            </w:r>
            <w:r w:rsidRPr="008232A9">
              <w:t xml:space="preserve"> does not include </w:t>
            </w:r>
            <w:r w:rsidR="002239E9">
              <w:t>any category of ‘deemed’ worker</w:t>
            </w:r>
          </w:p>
        </w:tc>
      </w:tr>
      <w:tr w:rsidR="00F86BEA" w:rsidRPr="008232A9" w14:paraId="43C452CE" w14:textId="77777777" w:rsidTr="00153F5B">
        <w:trPr>
          <w:trHeight w:val="20"/>
        </w:trPr>
        <w:tc>
          <w:tcPr>
            <w:tcW w:w="1626" w:type="dxa"/>
            <w:shd w:val="clear" w:color="auto" w:fill="FFC9C9"/>
            <w:tcMar>
              <w:top w:w="80" w:type="dxa"/>
              <w:left w:w="80" w:type="dxa"/>
              <w:bottom w:w="80" w:type="dxa"/>
              <w:right w:w="80" w:type="dxa"/>
            </w:tcMar>
          </w:tcPr>
          <w:p w14:paraId="629371AC" w14:textId="77777777" w:rsidR="00F86BEA" w:rsidRPr="008232A9" w:rsidRDefault="00F86BEA" w:rsidP="00B21723">
            <w:pPr>
              <w:pStyle w:val="TableColumn1bold"/>
              <w:spacing w:after="60"/>
            </w:pPr>
            <w:r w:rsidRPr="008232A9">
              <w:t>C’wealth DVA</w:t>
            </w:r>
          </w:p>
        </w:tc>
        <w:tc>
          <w:tcPr>
            <w:tcW w:w="13809" w:type="dxa"/>
            <w:shd w:val="clear" w:color="auto" w:fill="FFC9C9"/>
            <w:tcMar>
              <w:top w:w="80" w:type="dxa"/>
              <w:left w:w="80" w:type="dxa"/>
              <w:bottom w:w="80" w:type="dxa"/>
              <w:right w:w="80" w:type="dxa"/>
            </w:tcMar>
          </w:tcPr>
          <w:p w14:paraId="12B30C1A" w14:textId="632DE7A2" w:rsidR="00F86BEA" w:rsidRDefault="00F86BEA" w:rsidP="00B21723">
            <w:pPr>
              <w:pStyle w:val="lgetabletxt"/>
              <w:spacing w:after="60" w:afterAutospacing="0"/>
            </w:pPr>
            <w:r w:rsidRPr="008232A9">
              <w:t xml:space="preserve">Only if a ‘member’ under </w:t>
            </w:r>
            <w:r w:rsidR="004C71D9" w:rsidRPr="0039798F">
              <w:rPr>
                <w:rFonts w:eastAsia="Calibri"/>
                <w:i/>
                <w:szCs w:val="14"/>
                <w:lang w:eastAsia="en-US"/>
              </w:rPr>
              <w:t>Military Rehabilitation and Compensation Act 2004</w:t>
            </w:r>
            <w:r w:rsidR="004C71D9">
              <w:rPr>
                <w:rFonts w:eastAsia="Calibri"/>
                <w:i/>
                <w:szCs w:val="14"/>
                <w:lang w:eastAsia="en-US"/>
              </w:rPr>
              <w:t xml:space="preserve"> </w:t>
            </w:r>
            <w:r w:rsidR="004C71D9" w:rsidRPr="004C71D9">
              <w:rPr>
                <w:rFonts w:eastAsia="Calibri"/>
                <w:szCs w:val="14"/>
                <w:lang w:eastAsia="en-US"/>
              </w:rPr>
              <w:t>(</w:t>
            </w:r>
            <w:r w:rsidRPr="008232A9">
              <w:t>MRCA</w:t>
            </w:r>
            <w:r w:rsidR="004C71D9">
              <w:t>)</w:t>
            </w:r>
            <w:r w:rsidRPr="008232A9">
              <w:t xml:space="preserve"> — ss </w:t>
            </w:r>
            <w:hyperlink r:id="rId681" w:history="1">
              <w:r w:rsidRPr="00E374EA">
                <w:rPr>
                  <w:rStyle w:val="Hyperlink"/>
                </w:rPr>
                <w:t>7A</w:t>
              </w:r>
            </w:hyperlink>
            <w:r w:rsidRPr="008232A9">
              <w:t xml:space="preserve"> or </w:t>
            </w:r>
            <w:hyperlink r:id="rId682" w:history="1">
              <w:r w:rsidRPr="00E374EA">
                <w:rPr>
                  <w:rStyle w:val="Hyperlink"/>
                </w:rPr>
                <w:t>8</w:t>
              </w:r>
            </w:hyperlink>
          </w:p>
          <w:p w14:paraId="4D7CB1F8" w14:textId="1B6B5D2B" w:rsidR="00A93872" w:rsidRPr="008232A9" w:rsidRDefault="004C71D9" w:rsidP="004C71D9">
            <w:pPr>
              <w:pStyle w:val="lgetabletxt"/>
              <w:spacing w:after="60" w:afterAutospacing="0"/>
            </w:pPr>
            <w:r w:rsidRPr="00016069">
              <w:rPr>
                <w:i/>
              </w:rPr>
              <w:t>Safety, Rehabilitation and Compensation (Defence-related Claims) Act 1988</w:t>
            </w:r>
            <w:r>
              <w:t xml:space="preserve"> (</w:t>
            </w:r>
            <w:r w:rsidR="00A93872">
              <w:t>DRCA</w:t>
            </w:r>
            <w:r>
              <w:t>)</w:t>
            </w:r>
            <w:r w:rsidR="00A93872">
              <w:t xml:space="preserve"> — Under </w:t>
            </w:r>
            <w:hyperlink r:id="rId683" w:history="1">
              <w:r w:rsidR="00A93872" w:rsidRPr="00E374EA">
                <w:rPr>
                  <w:rStyle w:val="Hyperlink"/>
                </w:rPr>
                <w:t>s5</w:t>
              </w:r>
            </w:hyperlink>
            <w:r w:rsidR="00A93872">
              <w:t xml:space="preserve"> of DRCA, </w:t>
            </w:r>
            <w:r w:rsidR="00A93872" w:rsidRPr="00646680">
              <w:t>a person who is a member of the Defence Force is taken to be employed by the Commonwealth, and the person’s employment is taken to be constituted by the person’s performance of duties as such a member of the Defence Force.</w:t>
            </w:r>
          </w:p>
        </w:tc>
      </w:tr>
      <w:tr w:rsidR="00F86BEA" w:rsidRPr="008232A9" w14:paraId="43AE5D56" w14:textId="77777777" w:rsidTr="00153F5B">
        <w:trPr>
          <w:trHeight w:val="20"/>
        </w:trPr>
        <w:tc>
          <w:tcPr>
            <w:tcW w:w="1626" w:type="dxa"/>
            <w:tcMar>
              <w:top w:w="80" w:type="dxa"/>
              <w:left w:w="80" w:type="dxa"/>
              <w:bottom w:w="80" w:type="dxa"/>
              <w:right w:w="80" w:type="dxa"/>
            </w:tcMar>
          </w:tcPr>
          <w:p w14:paraId="5DA98F43" w14:textId="77777777" w:rsidR="00F86BEA" w:rsidRPr="008232A9" w:rsidRDefault="00F86BEA" w:rsidP="00B21723">
            <w:pPr>
              <w:pStyle w:val="TableColumn1bold"/>
              <w:spacing w:after="60"/>
            </w:pPr>
            <w:r w:rsidRPr="008232A9">
              <w:t>New Zealand</w:t>
            </w:r>
          </w:p>
        </w:tc>
        <w:tc>
          <w:tcPr>
            <w:tcW w:w="13809" w:type="dxa"/>
            <w:tcMar>
              <w:top w:w="80" w:type="dxa"/>
              <w:left w:w="80" w:type="dxa"/>
              <w:bottom w:w="80" w:type="dxa"/>
              <w:right w:w="80" w:type="dxa"/>
            </w:tcMar>
          </w:tcPr>
          <w:p w14:paraId="4CE9E2CB" w14:textId="0BE3D96B" w:rsidR="00F86BEA" w:rsidRPr="004B1B53" w:rsidRDefault="00F86BEA" w:rsidP="00B21723">
            <w:pPr>
              <w:pStyle w:val="lgetabletxt"/>
              <w:spacing w:after="60" w:afterAutospacing="0"/>
              <w:rPr>
                <w:i/>
              </w:rPr>
            </w:pPr>
            <w:r w:rsidRPr="008232A9">
              <w:t xml:space="preserve">An earner is a natural person who engages in employment for the purposes of pecuniary gain, whether or not as an employee — </w:t>
            </w:r>
            <w:hyperlink r:id="rId684" w:history="1">
              <w:r w:rsidRPr="00E374EA">
                <w:rPr>
                  <w:rStyle w:val="Hyperlink"/>
                </w:rPr>
                <w:t>s6</w:t>
              </w:r>
            </w:hyperlink>
            <w:r w:rsidR="004B1B53">
              <w:t xml:space="preserve">, </w:t>
            </w:r>
            <w:r w:rsidR="004B1B53">
              <w:rPr>
                <w:i/>
              </w:rPr>
              <w:t>Accident Compensation Act 2001</w:t>
            </w:r>
          </w:p>
        </w:tc>
      </w:tr>
      <w:bookmarkEnd w:id="89"/>
    </w:tbl>
    <w:p w14:paraId="133F930C" w14:textId="77777777" w:rsidR="00C66972" w:rsidRPr="00C66972" w:rsidRDefault="00C66972" w:rsidP="00C66972">
      <w:pPr>
        <w:spacing w:after="200" w:line="276" w:lineRule="auto"/>
        <w:rPr>
          <w:rFonts w:eastAsiaTheme="minorHAnsi"/>
        </w:rPr>
      </w:pPr>
    </w:p>
    <w:p w14:paraId="08F8EEEE" w14:textId="095FA0C3" w:rsidR="00F86BEA" w:rsidRPr="00A80282" w:rsidRDefault="00F86BEA" w:rsidP="00A80282">
      <w:pPr>
        <w:pStyle w:val="SWATableheader"/>
      </w:pPr>
      <w:bookmarkStart w:id="90" w:name="_Toc504654658"/>
      <w:bookmarkStart w:id="91" w:name="volunteers"/>
      <w:r w:rsidRPr="00A80282">
        <w:lastRenderedPageBreak/>
        <w:t>Table 3.3: Workers’ Compensation coverage for volunteers</w:t>
      </w:r>
      <w:bookmarkEnd w:id="90"/>
      <w:r w:rsidRPr="00A80282">
        <w:t xml:space="preserve"> </w:t>
      </w:r>
      <w:r w:rsidR="009B5CE0" w:rsidRPr="00A80282">
        <w:fldChar w:fldCharType="begin"/>
      </w:r>
      <w:r w:rsidR="009B5CE0" w:rsidRPr="00A80282">
        <w:instrText xml:space="preserve"> XE "volunteers, coverage of" \r "volunteers" </w:instrText>
      </w:r>
      <w:r w:rsidR="009B5CE0" w:rsidRPr="00A80282">
        <w:fldChar w:fldCharType="end"/>
      </w:r>
      <w:r w:rsidR="00870A7B" w:rsidRPr="00A80282">
        <w:fldChar w:fldCharType="begin"/>
      </w:r>
      <w:r w:rsidR="00870A7B" w:rsidRPr="00A80282">
        <w:instrText xml:space="preserve"> XE "workers (types of workers):volunteers" \r "volunteers"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3: Workers’ Compensation coverage for volunteers "/>
        <w:tblDescription w:val="This tables outlines workers' compensation coverage for volunteers. "/>
      </w:tblPr>
      <w:tblGrid>
        <w:gridCol w:w="1626"/>
        <w:gridCol w:w="13809"/>
      </w:tblGrid>
      <w:tr w:rsidR="00F86BEA" w:rsidRPr="00F86BEA" w14:paraId="25F4C3AE" w14:textId="77777777" w:rsidTr="00FB729B">
        <w:trPr>
          <w:tblHeader/>
        </w:trPr>
        <w:tc>
          <w:tcPr>
            <w:tcW w:w="1626" w:type="dxa"/>
            <w:shd w:val="clear" w:color="auto" w:fill="C00000"/>
            <w:tcMar>
              <w:top w:w="0" w:type="dxa"/>
              <w:left w:w="0" w:type="dxa"/>
              <w:bottom w:w="0" w:type="dxa"/>
              <w:right w:w="0" w:type="dxa"/>
            </w:tcMar>
            <w:vAlign w:val="center"/>
          </w:tcPr>
          <w:p w14:paraId="50F2E372" w14:textId="77777777" w:rsidR="00F86BEA" w:rsidRPr="00F86BEA" w:rsidRDefault="00F86BEA" w:rsidP="00B21723">
            <w:pPr>
              <w:spacing w:after="60"/>
              <w:rPr>
                <w:rFonts w:eastAsia="Calibri" w:cs="Arial"/>
                <w:b/>
                <w:color w:val="FFFFFF"/>
                <w:sz w:val="18"/>
                <w:szCs w:val="18"/>
                <w:lang w:eastAsia="en-US"/>
              </w:rPr>
            </w:pPr>
          </w:p>
        </w:tc>
        <w:tc>
          <w:tcPr>
            <w:tcW w:w="13809" w:type="dxa"/>
            <w:shd w:val="clear" w:color="auto" w:fill="C00000"/>
            <w:tcMar>
              <w:top w:w="0" w:type="dxa"/>
              <w:left w:w="0" w:type="dxa"/>
              <w:bottom w:w="0" w:type="dxa"/>
              <w:right w:w="0" w:type="dxa"/>
            </w:tcMar>
            <w:vAlign w:val="center"/>
          </w:tcPr>
          <w:p w14:paraId="110C7518" w14:textId="77777777" w:rsidR="00F86BEA" w:rsidRPr="00F86BEA" w:rsidRDefault="00F86BEA" w:rsidP="00B21723">
            <w:pPr>
              <w:spacing w:after="60"/>
              <w:rPr>
                <w:rFonts w:eastAsia="Calibri" w:cs="Arial"/>
                <w:b/>
                <w:color w:val="FFFFFF"/>
                <w:sz w:val="18"/>
                <w:szCs w:val="18"/>
                <w:lang w:eastAsia="en-US"/>
              </w:rPr>
            </w:pPr>
            <w:r w:rsidRPr="00F86BEA">
              <w:rPr>
                <w:rFonts w:eastAsia="Calibri" w:cs="Arial"/>
                <w:b/>
                <w:color w:val="FFFFFF"/>
                <w:sz w:val="18"/>
                <w:szCs w:val="18"/>
                <w:lang w:eastAsia="en-US"/>
              </w:rPr>
              <w:t>Workers’ Compensation coverage for volunteers</w:t>
            </w:r>
          </w:p>
        </w:tc>
      </w:tr>
      <w:tr w:rsidR="00F86BEA" w:rsidRPr="00F86BEA" w14:paraId="06EF732E" w14:textId="77777777" w:rsidTr="00FB729B">
        <w:tc>
          <w:tcPr>
            <w:tcW w:w="1626" w:type="dxa"/>
            <w:shd w:val="clear" w:color="auto" w:fill="FFC9C9"/>
            <w:tcMar>
              <w:top w:w="80" w:type="dxa"/>
              <w:left w:w="80" w:type="dxa"/>
              <w:bottom w:w="80" w:type="dxa"/>
              <w:right w:w="80" w:type="dxa"/>
            </w:tcMar>
          </w:tcPr>
          <w:p w14:paraId="3A03B943"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New South Wales</w:t>
            </w:r>
          </w:p>
        </w:tc>
        <w:tc>
          <w:tcPr>
            <w:tcW w:w="13809" w:type="dxa"/>
            <w:shd w:val="clear" w:color="auto" w:fill="FFC9C9"/>
            <w:tcMar>
              <w:top w:w="80" w:type="dxa"/>
              <w:left w:w="80" w:type="dxa"/>
              <w:bottom w:w="80" w:type="dxa"/>
              <w:right w:w="80" w:type="dxa"/>
            </w:tcMar>
          </w:tcPr>
          <w:p w14:paraId="3BE70B05" w14:textId="29AFFC58" w:rsidR="00A17E71" w:rsidRPr="00A17E71" w:rsidRDefault="00A17E71" w:rsidP="00F839DB">
            <w:pPr>
              <w:pStyle w:val="ListParagraph"/>
              <w:numPr>
                <w:ilvl w:val="0"/>
                <w:numId w:val="80"/>
              </w:numPr>
              <w:spacing w:after="60"/>
              <w:contextualSpacing/>
              <w:rPr>
                <w:rFonts w:eastAsia="Calibri" w:cs="Arial"/>
                <w:sz w:val="14"/>
                <w:szCs w:val="14"/>
                <w:lang w:eastAsia="en-US"/>
              </w:rPr>
            </w:pPr>
            <w:r w:rsidRPr="00A17E71">
              <w:rPr>
                <w:rFonts w:eastAsia="Calibri" w:cs="Arial"/>
                <w:sz w:val="14"/>
                <w:szCs w:val="14"/>
                <w:lang w:eastAsia="en-US"/>
              </w:rPr>
              <w:t xml:space="preserve">A person who voluntarily and without obligation engages in any ambulance work with the consent of or under the authority and supervision of or in cooperation with the Health Administration Corporation constituted by the </w:t>
            </w:r>
            <w:r w:rsidRPr="00670B0F">
              <w:rPr>
                <w:rFonts w:eastAsia="Calibri" w:cs="Arial"/>
                <w:i/>
                <w:sz w:val="14"/>
                <w:szCs w:val="14"/>
                <w:lang w:eastAsia="en-US"/>
              </w:rPr>
              <w:t>Health Administration Act 1982</w:t>
            </w:r>
            <w:r w:rsidR="00670B0F">
              <w:rPr>
                <w:rFonts w:eastAsia="Calibri" w:cs="Arial"/>
                <w:sz w:val="14"/>
                <w:szCs w:val="14"/>
                <w:lang w:eastAsia="en-US"/>
              </w:rPr>
              <w:t>,</w:t>
            </w:r>
            <w:r w:rsidRPr="00A17E71">
              <w:rPr>
                <w:rFonts w:eastAsia="Calibri" w:cs="Arial"/>
                <w:sz w:val="14"/>
                <w:szCs w:val="14"/>
                <w:lang w:eastAsia="en-US"/>
              </w:rPr>
              <w:t xml:space="preserve"> </w:t>
            </w:r>
            <w:hyperlink r:id="rId685" w:history="1">
              <w:r w:rsidRPr="00464707">
                <w:rPr>
                  <w:rStyle w:val="Hyperlink"/>
                  <w:rFonts w:eastAsia="Calibri" w:cs="Arial"/>
                  <w:sz w:val="14"/>
                  <w:szCs w:val="14"/>
                  <w:lang w:eastAsia="en-US"/>
                </w:rPr>
                <w:t>Schedule 1</w:t>
              </w:r>
            </w:hyperlink>
            <w:r w:rsidRPr="00A17E71">
              <w:rPr>
                <w:rFonts w:eastAsia="Calibri" w:cs="Arial"/>
                <w:sz w:val="14"/>
                <w:szCs w:val="14"/>
                <w:lang w:eastAsia="en-US"/>
              </w:rPr>
              <w:t xml:space="preserve">, </w:t>
            </w:r>
            <w:r w:rsidR="00464707">
              <w:rPr>
                <w:rFonts w:eastAsia="Calibri" w:cs="Arial"/>
                <w:i/>
                <w:sz w:val="14"/>
                <w:szCs w:val="14"/>
                <w:lang w:eastAsia="en-US"/>
              </w:rPr>
              <w:t>Workplace Injury Management and Workers Compensation Act 1998</w:t>
            </w:r>
            <w:r w:rsidRPr="00A17E71">
              <w:rPr>
                <w:rFonts w:eastAsia="Calibri" w:cs="Arial"/>
                <w:sz w:val="14"/>
                <w:szCs w:val="14"/>
                <w:lang w:eastAsia="en-US"/>
              </w:rPr>
              <w:t>.</w:t>
            </w:r>
          </w:p>
          <w:p w14:paraId="299E83D4" w14:textId="10B65870" w:rsidR="00A17E71" w:rsidRPr="00A17E71" w:rsidRDefault="00A17E71" w:rsidP="00F839DB">
            <w:pPr>
              <w:pStyle w:val="ListParagraph"/>
              <w:numPr>
                <w:ilvl w:val="0"/>
                <w:numId w:val="80"/>
              </w:numPr>
              <w:spacing w:after="60"/>
              <w:contextualSpacing/>
              <w:rPr>
                <w:rFonts w:eastAsia="Calibri" w:cs="Arial"/>
                <w:sz w:val="14"/>
                <w:szCs w:val="14"/>
                <w:lang w:eastAsia="en-US"/>
              </w:rPr>
            </w:pPr>
            <w:r w:rsidRPr="00A17E71">
              <w:rPr>
                <w:rFonts w:eastAsia="Calibri" w:cs="Arial"/>
                <w:sz w:val="14"/>
                <w:szCs w:val="14"/>
                <w:lang w:eastAsia="en-US"/>
              </w:rPr>
              <w:t xml:space="preserve">A person who voluntarily and without obligation engages in fighting a bush fire in any fire district constituted under the </w:t>
            </w:r>
            <w:r w:rsidRPr="00670B0F">
              <w:rPr>
                <w:rFonts w:eastAsia="Calibri" w:cs="Arial"/>
                <w:i/>
                <w:sz w:val="14"/>
                <w:szCs w:val="14"/>
                <w:lang w:eastAsia="en-US"/>
              </w:rPr>
              <w:t>Fire Brigades Act 1989</w:t>
            </w:r>
            <w:r w:rsidRPr="00A17E71">
              <w:rPr>
                <w:rFonts w:eastAsia="Calibri" w:cs="Arial"/>
                <w:sz w:val="14"/>
                <w:szCs w:val="14"/>
                <w:lang w:eastAsia="en-US"/>
              </w:rPr>
              <w:t xml:space="preserve"> or is undergoing training for the purposes of fighting bu</w:t>
            </w:r>
            <w:r w:rsidR="00464707">
              <w:rPr>
                <w:rFonts w:eastAsia="Calibri" w:cs="Arial"/>
                <w:sz w:val="14"/>
                <w:szCs w:val="14"/>
                <w:lang w:eastAsia="en-US"/>
              </w:rPr>
              <w:t>sh fires in those circumstances —</w:t>
            </w:r>
            <w:r w:rsidRPr="00A17E71">
              <w:rPr>
                <w:rFonts w:eastAsia="Calibri" w:cs="Arial"/>
                <w:sz w:val="14"/>
                <w:szCs w:val="14"/>
                <w:lang w:eastAsia="en-US"/>
              </w:rPr>
              <w:t xml:space="preserve"> </w:t>
            </w:r>
            <w:hyperlink r:id="rId686" w:history="1">
              <w:r w:rsidRPr="00464707">
                <w:rPr>
                  <w:rStyle w:val="Hyperlink"/>
                  <w:rFonts w:eastAsia="Calibri" w:cs="Arial"/>
                  <w:sz w:val="14"/>
                  <w:szCs w:val="14"/>
                  <w:lang w:eastAsia="en-US"/>
                </w:rPr>
                <w:t>Schedule 1</w:t>
              </w:r>
            </w:hyperlink>
            <w:r w:rsidRPr="00A17E71">
              <w:rPr>
                <w:rFonts w:eastAsia="Calibri" w:cs="Arial"/>
                <w:sz w:val="14"/>
                <w:szCs w:val="14"/>
                <w:lang w:eastAsia="en-US"/>
              </w:rPr>
              <w:t>, 1998 Act.</w:t>
            </w:r>
          </w:p>
          <w:p w14:paraId="41341AA8" w14:textId="77777777" w:rsidR="00F86BEA" w:rsidRPr="00F86BEA" w:rsidRDefault="00A17E71" w:rsidP="00F839DB">
            <w:pPr>
              <w:pStyle w:val="ListParagraph"/>
              <w:numPr>
                <w:ilvl w:val="0"/>
                <w:numId w:val="80"/>
              </w:numPr>
              <w:spacing w:after="60"/>
              <w:contextualSpacing/>
              <w:rPr>
                <w:rFonts w:eastAsia="Calibri" w:cs="Arial"/>
                <w:sz w:val="14"/>
                <w:szCs w:val="14"/>
                <w:lang w:eastAsia="en-US"/>
              </w:rPr>
            </w:pPr>
            <w:r w:rsidRPr="00A17E71">
              <w:rPr>
                <w:rFonts w:eastAsia="Calibri" w:cs="Arial"/>
                <w:sz w:val="14"/>
                <w:szCs w:val="14"/>
                <w:lang w:eastAsia="en-US"/>
              </w:rPr>
              <w:t xml:space="preserve">A person who meets the definition of volunteer contained under the </w:t>
            </w:r>
            <w:r w:rsidRPr="00670B0F">
              <w:rPr>
                <w:rFonts w:eastAsia="Calibri" w:cs="Arial"/>
                <w:i/>
                <w:sz w:val="14"/>
                <w:szCs w:val="14"/>
                <w:lang w:eastAsia="en-US"/>
              </w:rPr>
              <w:t>Workers Compensation (Bush Fire, Emergency and Rescue Services) Act 1987</w:t>
            </w:r>
            <w:r w:rsidRPr="00A17E71">
              <w:rPr>
                <w:rFonts w:eastAsia="Calibri" w:cs="Arial"/>
                <w:sz w:val="14"/>
                <w:szCs w:val="14"/>
                <w:lang w:eastAsia="en-US"/>
              </w:rPr>
              <w:t xml:space="preserve"> i.e. Rural Fire Service, State Emergency Service, Surf Life Saving, Volunteer Rescue Association and Marine Rescue Service.</w:t>
            </w:r>
          </w:p>
        </w:tc>
      </w:tr>
      <w:tr w:rsidR="00F86BEA" w:rsidRPr="00F86BEA" w14:paraId="09AB7753" w14:textId="77777777" w:rsidTr="00FB729B">
        <w:tc>
          <w:tcPr>
            <w:tcW w:w="1626" w:type="dxa"/>
            <w:tcMar>
              <w:top w:w="80" w:type="dxa"/>
              <w:left w:w="80" w:type="dxa"/>
              <w:bottom w:w="80" w:type="dxa"/>
              <w:right w:w="80" w:type="dxa"/>
            </w:tcMar>
          </w:tcPr>
          <w:p w14:paraId="2B225E84"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Victoria</w:t>
            </w:r>
          </w:p>
        </w:tc>
        <w:tc>
          <w:tcPr>
            <w:tcW w:w="13809" w:type="dxa"/>
            <w:tcMar>
              <w:top w:w="80" w:type="dxa"/>
              <w:left w:w="80" w:type="dxa"/>
              <w:bottom w:w="80" w:type="dxa"/>
              <w:right w:w="80" w:type="dxa"/>
            </w:tcMar>
          </w:tcPr>
          <w:p w14:paraId="6090A746"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 xml:space="preserve">Under certain Acts, volunteers assisting Government Agencies are entitled to compensation in accordance with the </w:t>
            </w:r>
            <w:r w:rsidRPr="00974EA0">
              <w:rPr>
                <w:rFonts w:cs="Arial"/>
                <w:i/>
                <w:color w:val="000000"/>
                <w:sz w:val="14"/>
                <w:szCs w:val="16"/>
                <w:lang w:val="en-GB"/>
              </w:rPr>
              <w:t>Workplace Injury Rehabilitation and Compensation Act 2013</w:t>
            </w:r>
            <w:r w:rsidRPr="00F86BEA">
              <w:rPr>
                <w:rFonts w:cs="Arial"/>
                <w:color w:val="000000"/>
                <w:sz w:val="14"/>
                <w:szCs w:val="16"/>
                <w:lang w:val="en-GB"/>
              </w:rPr>
              <w:t xml:space="preserve"> if injured while carrying out specified duties. Volunteers covered include:</w:t>
            </w:r>
          </w:p>
          <w:p w14:paraId="286E008C"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volunteer auxiliary workers, officers and volunteer members of the Country Fire Authority (</w:t>
            </w:r>
            <w:r w:rsidRPr="00974EA0">
              <w:rPr>
                <w:rFonts w:eastAsia="Calibri" w:cs="Arial"/>
                <w:i/>
                <w:sz w:val="14"/>
                <w:szCs w:val="14"/>
                <w:lang w:eastAsia="en-US"/>
              </w:rPr>
              <w:t>Country Fire Authority Act 1956</w:t>
            </w:r>
            <w:r w:rsidRPr="00F86BEA">
              <w:rPr>
                <w:rFonts w:eastAsia="Calibri" w:cs="Arial"/>
                <w:sz w:val="14"/>
                <w:szCs w:val="14"/>
                <w:lang w:eastAsia="en-US"/>
              </w:rPr>
              <w:t>)</w:t>
            </w:r>
          </w:p>
          <w:p w14:paraId="1F17C5B7"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volunteers assisting police officers (</w:t>
            </w:r>
            <w:r w:rsidRPr="00974EA0">
              <w:rPr>
                <w:rFonts w:eastAsia="Calibri" w:cs="Arial"/>
                <w:i/>
                <w:sz w:val="14"/>
                <w:szCs w:val="14"/>
                <w:lang w:eastAsia="en-US"/>
              </w:rPr>
              <w:t>Police Assistance Compensation Act 1968</w:t>
            </w:r>
            <w:r w:rsidRPr="00F86BEA">
              <w:rPr>
                <w:rFonts w:eastAsia="Calibri" w:cs="Arial"/>
                <w:sz w:val="14"/>
                <w:szCs w:val="14"/>
                <w:lang w:eastAsia="en-US"/>
              </w:rPr>
              <w:t>)</w:t>
            </w:r>
          </w:p>
          <w:p w14:paraId="6E08C290"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volunteer school workers or volunteer student workers (</w:t>
            </w:r>
            <w:r w:rsidRPr="00974EA0">
              <w:rPr>
                <w:rFonts w:eastAsia="Calibri" w:cs="Arial"/>
                <w:i/>
                <w:sz w:val="14"/>
                <w:szCs w:val="14"/>
                <w:lang w:eastAsia="en-US"/>
              </w:rPr>
              <w:t>Education Training and Reform Act 2006</w:t>
            </w:r>
            <w:r w:rsidRPr="00F86BEA">
              <w:rPr>
                <w:rFonts w:eastAsia="Calibri" w:cs="Arial"/>
                <w:sz w:val="14"/>
                <w:szCs w:val="14"/>
                <w:lang w:eastAsia="en-US"/>
              </w:rPr>
              <w:t>)</w:t>
            </w:r>
          </w:p>
          <w:p w14:paraId="611CFA48"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jurors (</w:t>
            </w:r>
            <w:r w:rsidRPr="00065027">
              <w:rPr>
                <w:rFonts w:eastAsia="Calibri" w:cs="Arial"/>
                <w:i/>
                <w:sz w:val="14"/>
                <w:szCs w:val="14"/>
                <w:lang w:eastAsia="en-US"/>
              </w:rPr>
              <w:t>Juries Act 2000</w:t>
            </w:r>
            <w:r w:rsidRPr="00F86BEA">
              <w:rPr>
                <w:rFonts w:eastAsia="Calibri" w:cs="Arial"/>
                <w:sz w:val="14"/>
                <w:szCs w:val="14"/>
                <w:lang w:eastAsia="en-US"/>
              </w:rPr>
              <w:t>)</w:t>
            </w:r>
          </w:p>
          <w:p w14:paraId="2FBA929F"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volunteers in prisons and offenders working or participating in a program under a Correctional Order (</w:t>
            </w:r>
            <w:r w:rsidRPr="00974EA0">
              <w:rPr>
                <w:rFonts w:eastAsia="Calibri" w:cs="Arial"/>
                <w:i/>
                <w:sz w:val="14"/>
                <w:szCs w:val="14"/>
                <w:lang w:eastAsia="en-US"/>
              </w:rPr>
              <w:t>Sentencing Act 1991 or Corrections Act 1986</w:t>
            </w:r>
            <w:r w:rsidRPr="00F86BEA">
              <w:rPr>
                <w:rFonts w:eastAsia="Calibri" w:cs="Arial"/>
                <w:sz w:val="14"/>
                <w:szCs w:val="14"/>
                <w:lang w:eastAsia="en-US"/>
              </w:rPr>
              <w:t>), and</w:t>
            </w:r>
          </w:p>
          <w:p w14:paraId="239797E8"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registered and casual emergency workers (</w:t>
            </w:r>
            <w:r w:rsidRPr="00974EA0">
              <w:rPr>
                <w:rFonts w:eastAsia="Calibri" w:cs="Arial"/>
                <w:i/>
                <w:sz w:val="14"/>
                <w:szCs w:val="14"/>
                <w:lang w:eastAsia="en-US"/>
              </w:rPr>
              <w:t>Victorian State Emergency Service Act 2005</w:t>
            </w:r>
            <w:r w:rsidRPr="00974EA0">
              <w:rPr>
                <w:rFonts w:eastAsia="Calibri" w:cs="Arial"/>
                <w:sz w:val="14"/>
                <w:szCs w:val="14"/>
                <w:lang w:eastAsia="en-US"/>
              </w:rPr>
              <w:t>,</w:t>
            </w:r>
            <w:r w:rsidRPr="00974EA0">
              <w:rPr>
                <w:rFonts w:eastAsia="Calibri" w:cs="Arial"/>
                <w:i/>
                <w:sz w:val="14"/>
                <w:szCs w:val="14"/>
                <w:lang w:eastAsia="en-US"/>
              </w:rPr>
              <w:t xml:space="preserve"> Emergency Management Act 1986</w:t>
            </w:r>
            <w:r w:rsidRPr="00F86BEA">
              <w:rPr>
                <w:rFonts w:eastAsia="Calibri" w:cs="Arial"/>
                <w:sz w:val="14"/>
                <w:szCs w:val="14"/>
                <w:lang w:eastAsia="en-US"/>
              </w:rPr>
              <w:t>).</w:t>
            </w:r>
          </w:p>
        </w:tc>
      </w:tr>
      <w:tr w:rsidR="00F86BEA" w:rsidRPr="00F86BEA" w14:paraId="4D92078D" w14:textId="77777777" w:rsidTr="00FB729B">
        <w:tc>
          <w:tcPr>
            <w:tcW w:w="1626" w:type="dxa"/>
            <w:shd w:val="clear" w:color="auto" w:fill="FFC9C9"/>
            <w:tcMar>
              <w:top w:w="80" w:type="dxa"/>
              <w:left w:w="80" w:type="dxa"/>
              <w:bottom w:w="80" w:type="dxa"/>
              <w:right w:w="80" w:type="dxa"/>
            </w:tcMar>
          </w:tcPr>
          <w:p w14:paraId="120D6F0A"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Queensland</w:t>
            </w:r>
          </w:p>
        </w:tc>
        <w:tc>
          <w:tcPr>
            <w:tcW w:w="13809" w:type="dxa"/>
            <w:shd w:val="clear" w:color="auto" w:fill="FFC9C9"/>
            <w:tcMar>
              <w:top w:w="80" w:type="dxa"/>
              <w:left w:w="80" w:type="dxa"/>
              <w:bottom w:w="80" w:type="dxa"/>
              <w:right w:w="80" w:type="dxa"/>
            </w:tcMar>
          </w:tcPr>
          <w:p w14:paraId="28699BD7"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Workers’ compensation coverage may extend to the following volunteers if WorkCover has entered into a contract of insurance with the responsible authority/person/charitable institution/not-for-profit organisation:</w:t>
            </w:r>
          </w:p>
          <w:p w14:paraId="768C4C56"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 xml:space="preserve">particular persons under </w:t>
            </w:r>
            <w:r w:rsidRPr="00974EA0">
              <w:rPr>
                <w:rFonts w:eastAsia="Calibri" w:cs="Arial"/>
                <w:i/>
                <w:sz w:val="14"/>
                <w:szCs w:val="14"/>
                <w:lang w:eastAsia="en-US"/>
              </w:rPr>
              <w:t>Disaster Management Act 2003</w:t>
            </w:r>
          </w:p>
          <w:p w14:paraId="7F597926"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 xml:space="preserve">volunteer fire fighter or volunteer fire warden </w:t>
            </w:r>
          </w:p>
          <w:p w14:paraId="26899507"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honorary ambulance officers</w:t>
            </w:r>
          </w:p>
          <w:p w14:paraId="0726E884"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rural fire brigade member</w:t>
            </w:r>
          </w:p>
          <w:p w14:paraId="7AB2C18D" w14:textId="284D81F9"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person in voluntary or honorary position</w:t>
            </w:r>
            <w:r w:rsidR="00DD0D68">
              <w:rPr>
                <w:rFonts w:eastAsia="Calibri" w:cs="Arial"/>
                <w:sz w:val="14"/>
                <w:szCs w:val="14"/>
                <w:lang w:eastAsia="en-US"/>
              </w:rPr>
              <w:t xml:space="preserve"> </w:t>
            </w:r>
            <w:r w:rsidRPr="00F86BEA">
              <w:rPr>
                <w:rFonts w:eastAsia="Calibri" w:cs="Arial"/>
                <w:sz w:val="14"/>
                <w:szCs w:val="14"/>
                <w:lang w:eastAsia="en-US"/>
              </w:rPr>
              <w:t>with religious, charitable or benevolent organisation</w:t>
            </w:r>
          </w:p>
          <w:p w14:paraId="36B847DE" w14:textId="06213446"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person in voluntary or honorary position</w:t>
            </w:r>
            <w:r w:rsidR="00DD0D68">
              <w:rPr>
                <w:rFonts w:eastAsia="Calibri" w:cs="Arial"/>
                <w:sz w:val="14"/>
                <w:szCs w:val="14"/>
                <w:lang w:eastAsia="en-US"/>
              </w:rPr>
              <w:t xml:space="preserve"> </w:t>
            </w:r>
            <w:r w:rsidRPr="00F86BEA">
              <w:rPr>
                <w:rFonts w:eastAsia="Calibri" w:cs="Arial"/>
                <w:sz w:val="14"/>
                <w:szCs w:val="14"/>
                <w:lang w:eastAsia="en-US"/>
              </w:rPr>
              <w:t>with non-profit organisation, and</w:t>
            </w:r>
          </w:p>
          <w:p w14:paraId="56A9DD0C"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persons performing community service or unpaid duties.</w:t>
            </w:r>
          </w:p>
        </w:tc>
      </w:tr>
      <w:tr w:rsidR="00F86BEA" w:rsidRPr="00F86BEA" w14:paraId="5DCD4713" w14:textId="77777777" w:rsidTr="00FB729B">
        <w:tc>
          <w:tcPr>
            <w:tcW w:w="1626" w:type="dxa"/>
            <w:tcMar>
              <w:top w:w="80" w:type="dxa"/>
              <w:left w:w="80" w:type="dxa"/>
              <w:bottom w:w="80" w:type="dxa"/>
              <w:right w:w="80" w:type="dxa"/>
            </w:tcMar>
          </w:tcPr>
          <w:p w14:paraId="76387F2A"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Western Australia</w:t>
            </w:r>
          </w:p>
        </w:tc>
        <w:tc>
          <w:tcPr>
            <w:tcW w:w="13809" w:type="dxa"/>
            <w:tcMar>
              <w:top w:w="80" w:type="dxa"/>
              <w:left w:w="80" w:type="dxa"/>
              <w:bottom w:w="80" w:type="dxa"/>
              <w:right w:w="80" w:type="dxa"/>
            </w:tcMar>
          </w:tcPr>
          <w:p w14:paraId="70737161"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 xml:space="preserve">No provision under the </w:t>
            </w:r>
            <w:r w:rsidRPr="00974EA0">
              <w:rPr>
                <w:rFonts w:cs="Arial"/>
                <w:i/>
                <w:color w:val="000000"/>
                <w:sz w:val="14"/>
                <w:szCs w:val="16"/>
                <w:lang w:val="en-GB"/>
              </w:rPr>
              <w:t>Workers’ Compensation and Injury Management Act 1981</w:t>
            </w:r>
            <w:r w:rsidRPr="00F86BEA">
              <w:rPr>
                <w:rFonts w:cs="Arial"/>
                <w:color w:val="000000"/>
                <w:sz w:val="14"/>
                <w:szCs w:val="16"/>
                <w:lang w:val="en-GB"/>
              </w:rPr>
              <w:t>.</w:t>
            </w:r>
          </w:p>
          <w:p w14:paraId="17D191A6"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Some volunteers are covered for personal injury under private insurance.</w:t>
            </w:r>
          </w:p>
        </w:tc>
      </w:tr>
      <w:tr w:rsidR="00F86BEA" w:rsidRPr="00F86BEA" w14:paraId="33BD54FA" w14:textId="77777777" w:rsidTr="00FB729B">
        <w:tc>
          <w:tcPr>
            <w:tcW w:w="1626" w:type="dxa"/>
            <w:shd w:val="clear" w:color="auto" w:fill="FFC9C9"/>
            <w:tcMar>
              <w:top w:w="80" w:type="dxa"/>
              <w:left w:w="80" w:type="dxa"/>
              <w:bottom w:w="80" w:type="dxa"/>
              <w:right w:w="80" w:type="dxa"/>
            </w:tcMar>
          </w:tcPr>
          <w:p w14:paraId="272C7F77"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South Australia</w:t>
            </w:r>
          </w:p>
        </w:tc>
        <w:tc>
          <w:tcPr>
            <w:tcW w:w="13809" w:type="dxa"/>
            <w:shd w:val="clear" w:color="auto" w:fill="FFC9C9"/>
            <w:tcMar>
              <w:top w:w="80" w:type="dxa"/>
              <w:left w:w="80" w:type="dxa"/>
              <w:bottom w:w="80" w:type="dxa"/>
              <w:right w:w="80" w:type="dxa"/>
            </w:tcMar>
          </w:tcPr>
          <w:p w14:paraId="7122D0B8" w14:textId="3421A01E" w:rsidR="00F86BEA" w:rsidRPr="00F86BEA" w:rsidRDefault="00A7538C" w:rsidP="00B21723">
            <w:pPr>
              <w:spacing w:after="60"/>
              <w:rPr>
                <w:rFonts w:cs="Arial"/>
                <w:color w:val="000000"/>
                <w:sz w:val="14"/>
                <w:szCs w:val="16"/>
                <w:lang w:val="en-GB"/>
              </w:rPr>
            </w:pPr>
            <w:hyperlink r:id="rId687" w:history="1">
              <w:r w:rsidR="00F86BEA" w:rsidRPr="00F86BEA">
                <w:rPr>
                  <w:rFonts w:cs="Arial"/>
                  <w:color w:val="0000FF"/>
                  <w:sz w:val="14"/>
                  <w:szCs w:val="16"/>
                  <w:u w:val="single"/>
                </w:rPr>
                <w:t>Schedule 1</w:t>
              </w:r>
            </w:hyperlink>
            <w:r w:rsidR="00F86BEA" w:rsidRPr="00F86BEA">
              <w:rPr>
                <w:rFonts w:cs="Arial"/>
                <w:color w:val="000000"/>
                <w:sz w:val="14"/>
                <w:szCs w:val="16"/>
                <w:lang w:val="en-GB"/>
              </w:rPr>
              <w:t xml:space="preserve"> of the </w:t>
            </w:r>
            <w:r w:rsidR="00F86BEA" w:rsidRPr="00F86BEA">
              <w:rPr>
                <w:rFonts w:cs="Arial"/>
                <w:i/>
                <w:color w:val="000000"/>
                <w:sz w:val="14"/>
                <w:szCs w:val="16"/>
                <w:lang w:val="en-GB"/>
              </w:rPr>
              <w:t>Return to Work 2014</w:t>
            </w:r>
            <w:r w:rsidR="00F86BEA" w:rsidRPr="00F86BEA">
              <w:rPr>
                <w:rFonts w:cs="Arial"/>
                <w:color w:val="000000"/>
                <w:sz w:val="14"/>
                <w:szCs w:val="16"/>
                <w:lang w:val="en-GB"/>
              </w:rPr>
              <w:t xml:space="preserve"> establishes the Crown as the presumptive employer of volunteers as prescribed by the regulations</w:t>
            </w:r>
            <w:r w:rsidR="005A1111">
              <w:rPr>
                <w:rFonts w:cs="Arial"/>
                <w:color w:val="000000"/>
                <w:sz w:val="14"/>
                <w:szCs w:val="16"/>
                <w:lang w:val="en-GB"/>
              </w:rPr>
              <w:t xml:space="preserve"> and members of the SA Country Fire Service</w:t>
            </w:r>
            <w:r w:rsidR="00F86BEA" w:rsidRPr="00F86BEA">
              <w:rPr>
                <w:rFonts w:cs="Arial"/>
                <w:color w:val="000000"/>
                <w:sz w:val="14"/>
                <w:szCs w:val="16"/>
                <w:lang w:val="en-GB"/>
              </w:rPr>
              <w:t>.</w:t>
            </w:r>
          </w:p>
          <w:p w14:paraId="5FAE108A" w14:textId="77777777" w:rsidR="00F86BEA" w:rsidRPr="00F86BEA" w:rsidRDefault="00A7538C" w:rsidP="00B21723">
            <w:pPr>
              <w:spacing w:after="60" w:line="276" w:lineRule="auto"/>
              <w:rPr>
                <w:rFonts w:cs="Arial"/>
                <w:color w:val="000000"/>
                <w:sz w:val="14"/>
                <w:szCs w:val="16"/>
                <w:lang w:val="en-GB"/>
              </w:rPr>
            </w:pPr>
            <w:hyperlink r:id="rId688" w:history="1">
              <w:r w:rsidR="00F86BEA" w:rsidRPr="00F86BEA">
                <w:rPr>
                  <w:rFonts w:cs="Arial"/>
                  <w:color w:val="0000FF"/>
                  <w:sz w:val="14"/>
                  <w:szCs w:val="16"/>
                  <w:u w:val="single"/>
                  <w:lang w:val="en-GB"/>
                </w:rPr>
                <w:t>Regulation 69</w:t>
              </w:r>
            </w:hyperlink>
            <w:r w:rsidR="00F86BEA" w:rsidRPr="00F86BEA">
              <w:rPr>
                <w:rFonts w:cs="Arial"/>
                <w:color w:val="000000"/>
                <w:sz w:val="14"/>
                <w:szCs w:val="16"/>
                <w:lang w:val="en-GB"/>
              </w:rPr>
              <w:t xml:space="preserve"> prescribes South Australian State Emergency Services, marine rescue members and volunteer fire-fighters as a class of person covered by the Act.</w:t>
            </w:r>
          </w:p>
        </w:tc>
      </w:tr>
      <w:tr w:rsidR="00F86BEA" w:rsidRPr="00F86BEA" w14:paraId="0E41C6D1" w14:textId="77777777" w:rsidTr="00FB729B">
        <w:tc>
          <w:tcPr>
            <w:tcW w:w="1626" w:type="dxa"/>
            <w:tcMar>
              <w:top w:w="80" w:type="dxa"/>
              <w:left w:w="80" w:type="dxa"/>
              <w:bottom w:w="80" w:type="dxa"/>
              <w:right w:w="80" w:type="dxa"/>
            </w:tcMar>
          </w:tcPr>
          <w:p w14:paraId="0171C24E"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Tasmania</w:t>
            </w:r>
          </w:p>
        </w:tc>
        <w:tc>
          <w:tcPr>
            <w:tcW w:w="13809" w:type="dxa"/>
            <w:tcMar>
              <w:top w:w="80" w:type="dxa"/>
              <w:left w:w="80" w:type="dxa"/>
              <w:bottom w:w="80" w:type="dxa"/>
              <w:right w:w="80" w:type="dxa"/>
            </w:tcMar>
          </w:tcPr>
          <w:p w14:paraId="0437E8C1" w14:textId="77777777" w:rsidR="00F86BEA" w:rsidRPr="00553DD4" w:rsidRDefault="00F86BEA" w:rsidP="00F839DB">
            <w:pPr>
              <w:pStyle w:val="ListParagraph"/>
              <w:numPr>
                <w:ilvl w:val="0"/>
                <w:numId w:val="83"/>
              </w:numPr>
              <w:spacing w:after="60"/>
              <w:contextualSpacing/>
              <w:rPr>
                <w:rFonts w:eastAsia="Calibri" w:cs="Arial"/>
                <w:sz w:val="14"/>
                <w:szCs w:val="14"/>
                <w:lang w:eastAsia="en-US"/>
              </w:rPr>
            </w:pPr>
            <w:r w:rsidRPr="00553DD4">
              <w:rPr>
                <w:rFonts w:eastAsia="Calibri" w:cs="Arial"/>
                <w:sz w:val="14"/>
                <w:szCs w:val="14"/>
                <w:lang w:eastAsia="en-US"/>
              </w:rPr>
              <w:t xml:space="preserve">Volunteers performing police operations — </w:t>
            </w:r>
            <w:hyperlink r:id="rId689" w:history="1">
              <w:r w:rsidRPr="00553DD4">
                <w:rPr>
                  <w:rFonts w:eastAsia="Calibri" w:cs="Arial"/>
                  <w:color w:val="0000FF"/>
                  <w:sz w:val="14"/>
                  <w:szCs w:val="14"/>
                  <w:u w:val="single"/>
                  <w:lang w:eastAsia="en-US"/>
                </w:rPr>
                <w:t>s6A</w:t>
              </w:r>
            </w:hyperlink>
          </w:p>
          <w:p w14:paraId="6FE8F35A" w14:textId="77777777" w:rsidR="00F86BEA" w:rsidRPr="00553DD4" w:rsidRDefault="00F86BEA" w:rsidP="00F839DB">
            <w:pPr>
              <w:pStyle w:val="ListParagraph"/>
              <w:numPr>
                <w:ilvl w:val="0"/>
                <w:numId w:val="83"/>
              </w:numPr>
              <w:spacing w:after="60"/>
              <w:contextualSpacing/>
              <w:rPr>
                <w:rFonts w:eastAsia="Calibri" w:cs="Arial"/>
                <w:sz w:val="14"/>
                <w:szCs w:val="14"/>
                <w:lang w:eastAsia="en-US"/>
              </w:rPr>
            </w:pPr>
            <w:r w:rsidRPr="00553DD4">
              <w:rPr>
                <w:rFonts w:eastAsia="Calibri" w:cs="Arial"/>
                <w:sz w:val="14"/>
                <w:szCs w:val="14"/>
                <w:lang w:eastAsia="en-US"/>
              </w:rPr>
              <w:t xml:space="preserve">Volunteers performing fire-fighting operations and fire prevention operations — </w:t>
            </w:r>
            <w:hyperlink r:id="rId690" w:history="1">
              <w:r w:rsidRPr="00553DD4">
                <w:rPr>
                  <w:rFonts w:eastAsia="Calibri" w:cs="Arial"/>
                  <w:color w:val="0000FF"/>
                  <w:sz w:val="14"/>
                  <w:szCs w:val="14"/>
                  <w:u w:val="single"/>
                  <w:lang w:eastAsia="en-US"/>
                </w:rPr>
                <w:t>s5</w:t>
              </w:r>
            </w:hyperlink>
          </w:p>
          <w:p w14:paraId="56CCB4B8" w14:textId="77777777" w:rsidR="00F86BEA" w:rsidRPr="00553DD4" w:rsidRDefault="00F86BEA" w:rsidP="00F839DB">
            <w:pPr>
              <w:pStyle w:val="ListParagraph"/>
              <w:numPr>
                <w:ilvl w:val="0"/>
                <w:numId w:val="83"/>
              </w:numPr>
              <w:spacing w:after="60"/>
              <w:contextualSpacing/>
              <w:rPr>
                <w:rFonts w:eastAsia="Calibri" w:cs="Arial"/>
                <w:sz w:val="14"/>
                <w:szCs w:val="14"/>
                <w:lang w:eastAsia="en-US"/>
              </w:rPr>
            </w:pPr>
            <w:r w:rsidRPr="00553DD4">
              <w:rPr>
                <w:rFonts w:eastAsia="Calibri" w:cs="Arial"/>
                <w:sz w:val="14"/>
                <w:szCs w:val="14"/>
                <w:lang w:eastAsia="en-US"/>
              </w:rPr>
              <w:t xml:space="preserve">Volunteers providing ambulance services — </w:t>
            </w:r>
            <w:hyperlink r:id="rId691" w:history="1">
              <w:r w:rsidRPr="00553DD4">
                <w:rPr>
                  <w:rFonts w:eastAsia="Calibri" w:cs="Arial"/>
                  <w:color w:val="0000FF"/>
                  <w:sz w:val="14"/>
                  <w:szCs w:val="14"/>
                  <w:u w:val="single"/>
                  <w:lang w:eastAsia="en-US"/>
                </w:rPr>
                <w:t>s6</w:t>
              </w:r>
            </w:hyperlink>
          </w:p>
          <w:p w14:paraId="063DDC86" w14:textId="7836F820" w:rsidR="00F86BEA" w:rsidRPr="00553DD4" w:rsidRDefault="00F86BEA" w:rsidP="00F839DB">
            <w:pPr>
              <w:pStyle w:val="ListParagraph"/>
              <w:numPr>
                <w:ilvl w:val="0"/>
                <w:numId w:val="83"/>
              </w:numPr>
              <w:spacing w:after="60"/>
              <w:contextualSpacing/>
              <w:rPr>
                <w:rFonts w:eastAsia="Calibri" w:cs="Arial"/>
                <w:sz w:val="14"/>
                <w:szCs w:val="14"/>
                <w:lang w:eastAsia="en-US"/>
              </w:rPr>
            </w:pPr>
            <w:r w:rsidRPr="00553DD4">
              <w:rPr>
                <w:rFonts w:eastAsia="Calibri" w:cs="Arial"/>
                <w:sz w:val="14"/>
                <w:szCs w:val="14"/>
                <w:lang w:eastAsia="en-US"/>
              </w:rPr>
              <w:t xml:space="preserve">Volunteers performing work of a prescribed class which is of benefit to the State — </w:t>
            </w:r>
            <w:hyperlink r:id="rId692" w:history="1">
              <w:r w:rsidRPr="00553DD4">
                <w:rPr>
                  <w:rFonts w:eastAsia="Calibri" w:cs="Arial"/>
                  <w:color w:val="0000FF"/>
                  <w:sz w:val="14"/>
                  <w:szCs w:val="14"/>
                  <w:u w:val="single"/>
                  <w:lang w:eastAsia="en-US"/>
                </w:rPr>
                <w:t>s6B</w:t>
              </w:r>
            </w:hyperlink>
            <w:r w:rsidRPr="00553DD4">
              <w:rPr>
                <w:rFonts w:eastAsia="Calibri" w:cs="Arial"/>
                <w:sz w:val="14"/>
                <w:szCs w:val="14"/>
                <w:lang w:eastAsia="en-US"/>
              </w:rPr>
              <w:t xml:space="preserve"> (none are currently prescribed for the purpose of this section)</w:t>
            </w:r>
            <w:r w:rsidR="00280A43">
              <w:rPr>
                <w:rFonts w:eastAsia="Calibri" w:cs="Arial"/>
                <w:sz w:val="14"/>
                <w:szCs w:val="14"/>
                <w:lang w:eastAsia="en-US"/>
              </w:rPr>
              <w:t xml:space="preserve">, </w:t>
            </w:r>
            <w:r w:rsidR="00280A43" w:rsidRPr="00016069">
              <w:rPr>
                <w:i/>
                <w:sz w:val="14"/>
              </w:rPr>
              <w:t>Workers Rehabilitation and Compensation Act 1988</w:t>
            </w:r>
            <w:r w:rsidRPr="00553DD4">
              <w:rPr>
                <w:rFonts w:eastAsia="Calibri" w:cs="Arial"/>
                <w:sz w:val="14"/>
                <w:szCs w:val="14"/>
                <w:lang w:eastAsia="en-US"/>
              </w:rPr>
              <w:t>.</w:t>
            </w:r>
          </w:p>
        </w:tc>
      </w:tr>
      <w:tr w:rsidR="00F86BEA" w:rsidRPr="00F86BEA" w14:paraId="5727119C" w14:textId="77777777" w:rsidTr="00FB729B">
        <w:tc>
          <w:tcPr>
            <w:tcW w:w="1626" w:type="dxa"/>
            <w:shd w:val="clear" w:color="auto" w:fill="FFC9C9"/>
            <w:tcMar>
              <w:top w:w="80" w:type="dxa"/>
              <w:left w:w="80" w:type="dxa"/>
              <w:bottom w:w="80" w:type="dxa"/>
              <w:right w:w="80" w:type="dxa"/>
            </w:tcMar>
          </w:tcPr>
          <w:p w14:paraId="0C74F401"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Northern territory</w:t>
            </w:r>
          </w:p>
        </w:tc>
        <w:tc>
          <w:tcPr>
            <w:tcW w:w="13809" w:type="dxa"/>
            <w:shd w:val="clear" w:color="auto" w:fill="FFC9C9"/>
            <w:tcMar>
              <w:top w:w="80" w:type="dxa"/>
              <w:left w:w="80" w:type="dxa"/>
              <w:bottom w:w="80" w:type="dxa"/>
              <w:right w:w="80" w:type="dxa"/>
            </w:tcMar>
          </w:tcPr>
          <w:p w14:paraId="7DC1870D" w14:textId="7F053B64" w:rsidR="00F86BEA" w:rsidRPr="00553DD4" w:rsidRDefault="00974EA0" w:rsidP="00F839DB">
            <w:pPr>
              <w:pStyle w:val="ListParagraph"/>
              <w:numPr>
                <w:ilvl w:val="0"/>
                <w:numId w:val="84"/>
              </w:numPr>
              <w:spacing w:after="60"/>
              <w:contextualSpacing/>
              <w:rPr>
                <w:rFonts w:eastAsia="Calibri" w:cs="Arial"/>
                <w:sz w:val="14"/>
                <w:szCs w:val="14"/>
                <w:lang w:eastAsia="en-US"/>
              </w:rPr>
            </w:pPr>
            <w:r>
              <w:rPr>
                <w:rFonts w:eastAsia="Calibri" w:cs="Arial"/>
                <w:sz w:val="14"/>
                <w:szCs w:val="14"/>
                <w:lang w:eastAsia="en-US"/>
              </w:rPr>
              <w:t>Emergency service volunteers</w:t>
            </w:r>
          </w:p>
          <w:p w14:paraId="046702E0" w14:textId="6F54AE4E" w:rsidR="00F86BEA" w:rsidRPr="00553DD4" w:rsidRDefault="00974EA0" w:rsidP="00F839DB">
            <w:pPr>
              <w:pStyle w:val="ListParagraph"/>
              <w:numPr>
                <w:ilvl w:val="0"/>
                <w:numId w:val="84"/>
              </w:numPr>
              <w:spacing w:after="60"/>
              <w:contextualSpacing/>
              <w:rPr>
                <w:rFonts w:eastAsia="Calibri" w:cs="Arial"/>
                <w:sz w:val="14"/>
                <w:szCs w:val="14"/>
                <w:lang w:eastAsia="en-US"/>
              </w:rPr>
            </w:pPr>
            <w:r>
              <w:rPr>
                <w:rFonts w:eastAsia="Calibri" w:cs="Arial"/>
                <w:sz w:val="14"/>
                <w:szCs w:val="14"/>
                <w:lang w:eastAsia="en-US"/>
              </w:rPr>
              <w:t>Volunteer fire fighters</w:t>
            </w:r>
          </w:p>
          <w:p w14:paraId="7EE5F64E" w14:textId="7FF51A95" w:rsidR="00F86BEA" w:rsidRPr="00553DD4" w:rsidRDefault="00F86BEA" w:rsidP="00F839DB">
            <w:pPr>
              <w:pStyle w:val="ListParagraph"/>
              <w:numPr>
                <w:ilvl w:val="0"/>
                <w:numId w:val="84"/>
              </w:numPr>
              <w:spacing w:after="60"/>
              <w:contextualSpacing/>
              <w:rPr>
                <w:rFonts w:eastAsia="Calibri" w:cs="Arial"/>
                <w:sz w:val="14"/>
                <w:szCs w:val="14"/>
                <w:lang w:eastAsia="en-US"/>
              </w:rPr>
            </w:pPr>
            <w:r w:rsidRPr="00553DD4">
              <w:rPr>
                <w:rFonts w:eastAsia="Calibri" w:cs="Arial"/>
                <w:sz w:val="14"/>
                <w:szCs w:val="14"/>
                <w:lang w:eastAsia="en-US"/>
              </w:rPr>
              <w:t>St John Ambulance volunteers</w:t>
            </w:r>
            <w:r w:rsidR="000D3C6D">
              <w:rPr>
                <w:rFonts w:eastAsia="Calibri" w:cs="Arial"/>
                <w:sz w:val="14"/>
                <w:szCs w:val="14"/>
                <w:lang w:eastAsia="en-US"/>
              </w:rPr>
              <w:t>.</w:t>
            </w:r>
          </w:p>
        </w:tc>
      </w:tr>
      <w:tr w:rsidR="00F86BEA" w:rsidRPr="00F86BEA" w14:paraId="3F5E79ED" w14:textId="77777777" w:rsidTr="00FB729B">
        <w:tc>
          <w:tcPr>
            <w:tcW w:w="1626" w:type="dxa"/>
            <w:tcMar>
              <w:top w:w="80" w:type="dxa"/>
              <w:left w:w="80" w:type="dxa"/>
              <w:bottom w:w="80" w:type="dxa"/>
              <w:right w:w="80" w:type="dxa"/>
            </w:tcMar>
          </w:tcPr>
          <w:p w14:paraId="10DB7081"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Australian Capital Territory</w:t>
            </w:r>
          </w:p>
        </w:tc>
        <w:tc>
          <w:tcPr>
            <w:tcW w:w="13809" w:type="dxa"/>
            <w:tcMar>
              <w:top w:w="80" w:type="dxa"/>
              <w:left w:w="80" w:type="dxa"/>
              <w:bottom w:w="80" w:type="dxa"/>
              <w:right w:w="80" w:type="dxa"/>
            </w:tcMar>
          </w:tcPr>
          <w:p w14:paraId="4D77CEBE" w14:textId="4931D800" w:rsidR="00F86BEA" w:rsidRPr="00553DD4" w:rsidRDefault="00A7538C" w:rsidP="00F839DB">
            <w:pPr>
              <w:pStyle w:val="ListParagraph"/>
              <w:numPr>
                <w:ilvl w:val="0"/>
                <w:numId w:val="85"/>
              </w:numPr>
              <w:spacing w:after="60"/>
              <w:contextualSpacing/>
              <w:rPr>
                <w:rFonts w:eastAsia="Calibri" w:cs="Arial"/>
                <w:sz w:val="14"/>
                <w:szCs w:val="14"/>
                <w:lang w:eastAsia="en-US"/>
              </w:rPr>
            </w:pPr>
            <w:hyperlink r:id="rId693" w:history="1">
              <w:r w:rsidR="00F86BEA" w:rsidRPr="00464707">
                <w:rPr>
                  <w:rStyle w:val="Hyperlink"/>
                  <w:rFonts w:eastAsia="Calibri" w:cs="Arial"/>
                  <w:sz w:val="14"/>
                  <w:szCs w:val="14"/>
                  <w:lang w:eastAsia="en-US"/>
                </w:rPr>
                <w:t>s17A</w:t>
              </w:r>
            </w:hyperlink>
            <w:r w:rsidR="00F86BEA" w:rsidRPr="00553DD4">
              <w:rPr>
                <w:rFonts w:eastAsia="Calibri" w:cs="Arial"/>
                <w:sz w:val="14"/>
                <w:szCs w:val="14"/>
                <w:lang w:eastAsia="en-US"/>
              </w:rPr>
              <w:t xml:space="preserve"> </w:t>
            </w:r>
            <w:r w:rsidR="009D78A9">
              <w:rPr>
                <w:rFonts w:eastAsia="Calibri" w:cs="Arial"/>
                <w:sz w:val="14"/>
                <w:szCs w:val="14"/>
                <w:lang w:eastAsia="en-US"/>
              </w:rPr>
              <w:t>—</w:t>
            </w:r>
            <w:r w:rsidR="009D78A9" w:rsidRPr="00553DD4">
              <w:rPr>
                <w:rFonts w:eastAsia="Calibri" w:cs="Arial"/>
                <w:sz w:val="14"/>
                <w:szCs w:val="14"/>
                <w:lang w:eastAsia="en-US"/>
              </w:rPr>
              <w:t xml:space="preserve"> </w:t>
            </w:r>
            <w:r w:rsidR="00F86BEA" w:rsidRPr="00553DD4">
              <w:rPr>
                <w:rFonts w:eastAsia="Calibri" w:cs="Arial"/>
                <w:sz w:val="14"/>
                <w:szCs w:val="14"/>
                <w:lang w:eastAsia="en-US"/>
              </w:rPr>
              <w:t>an individual who is engaged to perform work for someone else, and receives no payment for the work</w:t>
            </w:r>
            <w:r w:rsidR="002B3287">
              <w:rPr>
                <w:rFonts w:eastAsia="Calibri" w:cs="Arial"/>
                <w:sz w:val="14"/>
                <w:szCs w:val="14"/>
                <w:lang w:eastAsia="en-US"/>
              </w:rPr>
              <w:t>.</w:t>
            </w:r>
            <w:r w:rsidR="00F86BEA" w:rsidRPr="00553DD4">
              <w:rPr>
                <w:rFonts w:eastAsia="Calibri" w:cs="Arial"/>
                <w:sz w:val="14"/>
                <w:szCs w:val="14"/>
                <w:lang w:eastAsia="en-US"/>
              </w:rPr>
              <w:t xml:space="preserve"> </w:t>
            </w:r>
          </w:p>
          <w:p w14:paraId="08432C9D" w14:textId="77777777" w:rsidR="00F86BEA" w:rsidRPr="00553DD4" w:rsidRDefault="00F86BEA" w:rsidP="00F839DB">
            <w:pPr>
              <w:pStyle w:val="ListParagraph"/>
              <w:numPr>
                <w:ilvl w:val="0"/>
                <w:numId w:val="85"/>
              </w:numPr>
              <w:spacing w:after="60"/>
              <w:contextualSpacing/>
              <w:rPr>
                <w:rFonts w:eastAsia="Calibri" w:cs="Arial"/>
                <w:sz w:val="14"/>
                <w:szCs w:val="14"/>
                <w:lang w:eastAsia="en-US"/>
              </w:rPr>
            </w:pPr>
            <w:r w:rsidRPr="00553DD4">
              <w:rPr>
                <w:rFonts w:eastAsia="Calibri" w:cs="Arial"/>
                <w:sz w:val="14"/>
                <w:szCs w:val="14"/>
                <w:lang w:eastAsia="en-US"/>
              </w:rPr>
              <w:t xml:space="preserve">Commercial voluntary workers (e.g. volunteer marshals at an event run by a corporation incorporated under the </w:t>
            </w:r>
            <w:r w:rsidRPr="000926A9">
              <w:rPr>
                <w:rFonts w:eastAsia="Calibri" w:cs="Arial"/>
                <w:i/>
                <w:sz w:val="14"/>
                <w:szCs w:val="14"/>
                <w:lang w:eastAsia="en-US"/>
              </w:rPr>
              <w:t>Corporations Act 2001</w:t>
            </w:r>
            <w:r w:rsidRPr="00553DD4">
              <w:rPr>
                <w:rFonts w:eastAsia="Calibri" w:cs="Arial"/>
                <w:sz w:val="14"/>
                <w:szCs w:val="14"/>
                <w:lang w:eastAsia="en-US"/>
              </w:rPr>
              <w:t xml:space="preserve"> (Cth)). </w:t>
            </w:r>
          </w:p>
          <w:p w14:paraId="1413317E" w14:textId="77777777" w:rsidR="00F86BEA" w:rsidRPr="00553DD4" w:rsidRDefault="00F86BEA" w:rsidP="00F839DB">
            <w:pPr>
              <w:pStyle w:val="ListParagraph"/>
              <w:numPr>
                <w:ilvl w:val="0"/>
                <w:numId w:val="85"/>
              </w:numPr>
              <w:spacing w:after="60"/>
              <w:contextualSpacing/>
              <w:rPr>
                <w:rFonts w:eastAsia="Calibri" w:cs="Arial"/>
                <w:sz w:val="14"/>
                <w:szCs w:val="14"/>
                <w:lang w:eastAsia="en-US"/>
              </w:rPr>
            </w:pPr>
            <w:r w:rsidRPr="00553DD4">
              <w:rPr>
                <w:rFonts w:eastAsia="Calibri" w:cs="Arial"/>
                <w:sz w:val="14"/>
                <w:szCs w:val="14"/>
                <w:lang w:eastAsia="en-US"/>
              </w:rPr>
              <w:t xml:space="preserve">Public interest voluntary workers. </w:t>
            </w:r>
          </w:p>
        </w:tc>
      </w:tr>
      <w:tr w:rsidR="00F86BEA" w:rsidRPr="00F86BEA" w14:paraId="577527F9" w14:textId="77777777" w:rsidTr="00FB729B">
        <w:tc>
          <w:tcPr>
            <w:tcW w:w="1626" w:type="dxa"/>
            <w:shd w:val="clear" w:color="auto" w:fill="FFC9C9"/>
            <w:tcMar>
              <w:top w:w="80" w:type="dxa"/>
              <w:left w:w="80" w:type="dxa"/>
              <w:bottom w:w="80" w:type="dxa"/>
              <w:right w:w="80" w:type="dxa"/>
            </w:tcMar>
          </w:tcPr>
          <w:p w14:paraId="26785A0F"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C’wealth Comcare</w:t>
            </w:r>
          </w:p>
        </w:tc>
        <w:tc>
          <w:tcPr>
            <w:tcW w:w="13809" w:type="dxa"/>
            <w:shd w:val="clear" w:color="auto" w:fill="FFC9C9"/>
            <w:tcMar>
              <w:top w:w="80" w:type="dxa"/>
              <w:left w:w="80" w:type="dxa"/>
              <w:bottom w:w="80" w:type="dxa"/>
              <w:right w:w="80" w:type="dxa"/>
            </w:tcMar>
          </w:tcPr>
          <w:p w14:paraId="7223A692" w14:textId="77777777" w:rsidR="00F86BEA" w:rsidRPr="00553DD4" w:rsidRDefault="00F86BEA" w:rsidP="00F839DB">
            <w:pPr>
              <w:pStyle w:val="ListParagraph"/>
              <w:numPr>
                <w:ilvl w:val="0"/>
                <w:numId w:val="86"/>
              </w:numPr>
              <w:spacing w:after="60"/>
              <w:contextualSpacing/>
              <w:rPr>
                <w:rFonts w:eastAsia="Calibri" w:cs="Arial"/>
                <w:sz w:val="14"/>
                <w:szCs w:val="14"/>
                <w:lang w:eastAsia="en-US"/>
              </w:rPr>
            </w:pPr>
            <w:r w:rsidRPr="00553DD4">
              <w:rPr>
                <w:rFonts w:eastAsia="Calibri" w:cs="Arial"/>
                <w:sz w:val="14"/>
                <w:szCs w:val="14"/>
                <w:lang w:eastAsia="en-US"/>
              </w:rPr>
              <w:t>CSIRO — volunteer fellows.</w:t>
            </w:r>
          </w:p>
          <w:p w14:paraId="5CBA26EC" w14:textId="77777777" w:rsidR="00F86BEA" w:rsidRPr="00553DD4" w:rsidRDefault="00F86BEA" w:rsidP="00F839DB">
            <w:pPr>
              <w:pStyle w:val="ListParagraph"/>
              <w:numPr>
                <w:ilvl w:val="0"/>
                <w:numId w:val="86"/>
              </w:numPr>
              <w:spacing w:after="60"/>
              <w:contextualSpacing/>
              <w:rPr>
                <w:rFonts w:eastAsia="Calibri" w:cs="Arial"/>
                <w:sz w:val="14"/>
                <w:szCs w:val="14"/>
                <w:lang w:eastAsia="en-US"/>
              </w:rPr>
            </w:pPr>
            <w:r w:rsidRPr="00553DD4">
              <w:rPr>
                <w:rFonts w:eastAsia="Calibri" w:cs="Arial"/>
                <w:sz w:val="14"/>
                <w:szCs w:val="14"/>
                <w:lang w:eastAsia="en-US"/>
              </w:rPr>
              <w:t xml:space="preserve">Volunteers who assist in the running of the: </w:t>
            </w:r>
          </w:p>
          <w:p w14:paraId="6C741D8C" w14:textId="77777777" w:rsidR="00F86BEA" w:rsidRPr="00F86BEA" w:rsidRDefault="00F86BEA" w:rsidP="00B21723">
            <w:pPr>
              <w:numPr>
                <w:ilvl w:val="0"/>
                <w:numId w:val="12"/>
              </w:numPr>
              <w:spacing w:after="60" w:line="276" w:lineRule="auto"/>
              <w:contextualSpacing/>
              <w:rPr>
                <w:rFonts w:eastAsia="Calibri" w:cs="Arial"/>
                <w:sz w:val="14"/>
                <w:szCs w:val="14"/>
                <w:lang w:eastAsia="en-US"/>
              </w:rPr>
            </w:pPr>
            <w:r w:rsidRPr="00F86BEA">
              <w:rPr>
                <w:rFonts w:eastAsia="Calibri" w:cs="Arial"/>
                <w:sz w:val="14"/>
                <w:szCs w:val="14"/>
                <w:lang w:eastAsia="en-US"/>
              </w:rPr>
              <w:lastRenderedPageBreak/>
              <w:t>Australian National Gallery</w:t>
            </w:r>
          </w:p>
          <w:p w14:paraId="3D9E80B1" w14:textId="77777777" w:rsidR="00F86BEA" w:rsidRPr="00F86BEA" w:rsidRDefault="00F86BEA" w:rsidP="00B21723">
            <w:pPr>
              <w:numPr>
                <w:ilvl w:val="0"/>
                <w:numId w:val="12"/>
              </w:numPr>
              <w:spacing w:after="60" w:line="276" w:lineRule="auto"/>
              <w:contextualSpacing/>
              <w:rPr>
                <w:rFonts w:eastAsia="Calibri" w:cs="Arial"/>
                <w:sz w:val="14"/>
                <w:szCs w:val="14"/>
                <w:lang w:eastAsia="en-US"/>
              </w:rPr>
            </w:pPr>
            <w:r w:rsidRPr="00F86BEA">
              <w:rPr>
                <w:rFonts w:eastAsia="Calibri" w:cs="Arial"/>
                <w:sz w:val="14"/>
                <w:szCs w:val="14"/>
                <w:lang w:eastAsia="en-US"/>
              </w:rPr>
              <w:t>Australian War Memorial</w:t>
            </w:r>
          </w:p>
          <w:p w14:paraId="04BBD175" w14:textId="77777777" w:rsidR="00F86BEA" w:rsidRPr="00F86BEA" w:rsidRDefault="00F86BEA" w:rsidP="00B21723">
            <w:pPr>
              <w:numPr>
                <w:ilvl w:val="0"/>
                <w:numId w:val="12"/>
              </w:numPr>
              <w:spacing w:after="60" w:line="276" w:lineRule="auto"/>
              <w:contextualSpacing/>
              <w:rPr>
                <w:rFonts w:eastAsia="Calibri" w:cs="Arial"/>
                <w:sz w:val="14"/>
                <w:szCs w:val="14"/>
                <w:lang w:eastAsia="en-US"/>
              </w:rPr>
            </w:pPr>
            <w:r w:rsidRPr="00F86BEA">
              <w:rPr>
                <w:rFonts w:eastAsia="Calibri" w:cs="Arial"/>
                <w:sz w:val="14"/>
                <w:szCs w:val="14"/>
                <w:lang w:eastAsia="en-US"/>
              </w:rPr>
              <w:t>Australian National Botanic Gardens</w:t>
            </w:r>
          </w:p>
          <w:p w14:paraId="345F3019" w14:textId="77777777" w:rsidR="00F86BEA" w:rsidRPr="00F86BEA" w:rsidRDefault="00F86BEA" w:rsidP="00B21723">
            <w:pPr>
              <w:numPr>
                <w:ilvl w:val="0"/>
                <w:numId w:val="12"/>
              </w:numPr>
              <w:spacing w:after="60" w:line="276" w:lineRule="auto"/>
              <w:contextualSpacing/>
              <w:rPr>
                <w:rFonts w:eastAsia="Calibri" w:cs="Arial"/>
                <w:sz w:val="14"/>
                <w:szCs w:val="14"/>
                <w:lang w:eastAsia="en-US"/>
              </w:rPr>
            </w:pPr>
            <w:r w:rsidRPr="00F86BEA">
              <w:rPr>
                <w:rFonts w:eastAsia="Calibri" w:cs="Arial"/>
                <w:sz w:val="14"/>
                <w:szCs w:val="14"/>
                <w:lang w:eastAsia="en-US"/>
              </w:rPr>
              <w:t>Australian National Maritime Museum</w:t>
            </w:r>
          </w:p>
          <w:p w14:paraId="42C50A92" w14:textId="77777777" w:rsidR="00F86BEA" w:rsidRPr="00F86BEA" w:rsidRDefault="00F86BEA" w:rsidP="00B21723">
            <w:pPr>
              <w:numPr>
                <w:ilvl w:val="0"/>
                <w:numId w:val="12"/>
              </w:numPr>
              <w:spacing w:after="60" w:line="276" w:lineRule="auto"/>
              <w:contextualSpacing/>
              <w:rPr>
                <w:rFonts w:eastAsia="Calibri" w:cs="Arial"/>
                <w:sz w:val="14"/>
                <w:szCs w:val="14"/>
                <w:lang w:eastAsia="en-US"/>
              </w:rPr>
            </w:pPr>
            <w:r w:rsidRPr="00F86BEA">
              <w:rPr>
                <w:rFonts w:eastAsia="Calibri" w:cs="Arial"/>
                <w:sz w:val="14"/>
                <w:szCs w:val="14"/>
                <w:lang w:eastAsia="en-US"/>
              </w:rPr>
              <w:t>Australian Nature Conservation Agency</w:t>
            </w:r>
          </w:p>
          <w:p w14:paraId="1C335490" w14:textId="77777777" w:rsidR="00F86BEA" w:rsidRPr="00F86BEA" w:rsidRDefault="00F86BEA" w:rsidP="00B21723">
            <w:pPr>
              <w:numPr>
                <w:ilvl w:val="0"/>
                <w:numId w:val="12"/>
              </w:numPr>
              <w:spacing w:after="60" w:line="276" w:lineRule="auto"/>
              <w:contextualSpacing/>
              <w:rPr>
                <w:rFonts w:eastAsia="Calibri" w:cs="Arial"/>
                <w:sz w:val="14"/>
                <w:szCs w:val="14"/>
                <w:lang w:eastAsia="en-US"/>
              </w:rPr>
            </w:pPr>
            <w:r w:rsidRPr="00F86BEA">
              <w:rPr>
                <w:rFonts w:eastAsia="Calibri" w:cs="Arial"/>
                <w:sz w:val="14"/>
                <w:szCs w:val="14"/>
                <w:lang w:eastAsia="en-US"/>
              </w:rPr>
              <w:t xml:space="preserve">National Science and Technology Centre (Questacon) </w:t>
            </w:r>
          </w:p>
          <w:p w14:paraId="783FE3C3" w14:textId="77777777" w:rsidR="00F86BEA" w:rsidRPr="00F86BEA" w:rsidRDefault="00F86BEA" w:rsidP="00B21723">
            <w:pPr>
              <w:numPr>
                <w:ilvl w:val="0"/>
                <w:numId w:val="12"/>
              </w:numPr>
              <w:spacing w:after="60" w:line="276" w:lineRule="auto"/>
              <w:contextualSpacing/>
              <w:rPr>
                <w:rFonts w:eastAsia="Calibri" w:cs="Arial"/>
                <w:sz w:val="14"/>
                <w:szCs w:val="14"/>
                <w:lang w:eastAsia="en-US"/>
              </w:rPr>
            </w:pPr>
            <w:r w:rsidRPr="00F86BEA">
              <w:rPr>
                <w:rFonts w:eastAsia="Calibri" w:cs="Arial"/>
                <w:sz w:val="14"/>
                <w:szCs w:val="14"/>
                <w:lang w:eastAsia="en-US"/>
              </w:rPr>
              <w:t>National Museum of Australia, and</w:t>
            </w:r>
          </w:p>
          <w:p w14:paraId="4611ACAC" w14:textId="77777777" w:rsidR="00F86BEA" w:rsidRPr="00F86BEA" w:rsidRDefault="00F86BEA" w:rsidP="00B21723">
            <w:pPr>
              <w:numPr>
                <w:ilvl w:val="0"/>
                <w:numId w:val="12"/>
              </w:numPr>
              <w:spacing w:after="60" w:line="276" w:lineRule="auto"/>
              <w:contextualSpacing/>
              <w:rPr>
                <w:rFonts w:eastAsia="Calibri" w:cs="Arial"/>
                <w:sz w:val="14"/>
                <w:szCs w:val="14"/>
                <w:lang w:eastAsia="en-US"/>
              </w:rPr>
            </w:pPr>
            <w:r w:rsidRPr="00F86BEA">
              <w:rPr>
                <w:rFonts w:eastAsia="Calibri" w:cs="Arial"/>
                <w:sz w:val="14"/>
                <w:szCs w:val="14"/>
                <w:lang w:eastAsia="en-US"/>
              </w:rPr>
              <w:t>Old Parliament House.</w:t>
            </w:r>
          </w:p>
          <w:p w14:paraId="2F1A0DA4" w14:textId="6FFDF575"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in connection with Australian Fi</w:t>
            </w:r>
            <w:r w:rsidR="000926A9">
              <w:rPr>
                <w:rFonts w:eastAsia="Calibri" w:cs="Arial"/>
                <w:sz w:val="14"/>
                <w:szCs w:val="14"/>
                <w:lang w:eastAsia="en-US"/>
              </w:rPr>
              <w:t>lm, Television and Radio School</w:t>
            </w:r>
          </w:p>
          <w:p w14:paraId="158A072D" w14:textId="41137D30"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in connection with lighthou</w:t>
            </w:r>
            <w:r w:rsidR="000926A9">
              <w:rPr>
                <w:rFonts w:eastAsia="Calibri" w:cs="Arial"/>
                <w:sz w:val="14"/>
                <w:szCs w:val="14"/>
                <w:lang w:eastAsia="en-US"/>
              </w:rPr>
              <w:t>se keeping on Maatsuyker Island</w:t>
            </w:r>
          </w:p>
          <w:p w14:paraId="6B41FE78" w14:textId="3B6DE0B1"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in relation to search and rescue services and training exercises provided by Austr</w:t>
            </w:r>
            <w:r w:rsidR="000926A9">
              <w:rPr>
                <w:rFonts w:eastAsia="Calibri" w:cs="Arial"/>
                <w:sz w:val="14"/>
                <w:szCs w:val="14"/>
                <w:lang w:eastAsia="en-US"/>
              </w:rPr>
              <w:t>alian Maritime Safety Authority</w:t>
            </w:r>
          </w:p>
          <w:p w14:paraId="5DCC397A" w14:textId="3C9D56C6"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who participate in recruit training exercise for th</w:t>
            </w:r>
            <w:r w:rsidR="000926A9">
              <w:rPr>
                <w:rFonts w:eastAsia="Calibri" w:cs="Arial"/>
                <w:sz w:val="14"/>
                <w:szCs w:val="14"/>
                <w:lang w:eastAsia="en-US"/>
              </w:rPr>
              <w:t>e Australian Protective Service</w:t>
            </w:r>
          </w:p>
          <w:p w14:paraId="483B864A" w14:textId="77777777" w:rsidR="000926A9"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 xml:space="preserve">Volunteers promoting the House of Representatives and </w:t>
            </w:r>
            <w:r w:rsidR="000926A9">
              <w:rPr>
                <w:rFonts w:eastAsia="Calibri" w:cs="Arial"/>
                <w:sz w:val="14"/>
                <w:szCs w:val="14"/>
                <w:lang w:eastAsia="en-US"/>
              </w:rPr>
              <w:t>the Parliament to the community</w:t>
            </w:r>
          </w:p>
          <w:p w14:paraId="7EC5EF22" w14:textId="223114E0"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providing firefighting, search and rescue and first aid services, attending environmental incidents and taking part in training exercises for the Snowy Mou</w:t>
            </w:r>
            <w:r w:rsidR="000926A9">
              <w:rPr>
                <w:rFonts w:eastAsia="Calibri" w:cs="Arial"/>
                <w:sz w:val="14"/>
                <w:szCs w:val="14"/>
                <w:lang w:eastAsia="en-US"/>
              </w:rPr>
              <w:t>ntains Hydro-electric Authority</w:t>
            </w:r>
          </w:p>
          <w:p w14:paraId="0A73E830" w14:textId="3527C8DF"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assisting the Department of the Environment and Heritage (excluding the Bureau of Meteorology) and</w:t>
            </w:r>
            <w:r w:rsidR="000926A9">
              <w:rPr>
                <w:rFonts w:eastAsia="Calibri" w:cs="Arial"/>
                <w:sz w:val="14"/>
                <w:szCs w:val="14"/>
                <w:lang w:eastAsia="en-US"/>
              </w:rPr>
              <w:t xml:space="preserve"> the Director of National Parks</w:t>
            </w:r>
          </w:p>
          <w:p w14:paraId="1B9F1E3B" w14:textId="08070DE8"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assisting the National Capital Authority in fostering an awareness of C</w:t>
            </w:r>
            <w:r w:rsidR="000926A9">
              <w:rPr>
                <w:rFonts w:eastAsia="Calibri" w:cs="Arial"/>
                <w:sz w:val="14"/>
                <w:szCs w:val="14"/>
                <w:lang w:eastAsia="en-US"/>
              </w:rPr>
              <w:t>anberra as the National Capital</w:t>
            </w:r>
          </w:p>
          <w:p w14:paraId="42577807" w14:textId="5232FF72"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assisting in the administration of the CHOGM 2001,</w:t>
            </w:r>
            <w:r w:rsidR="000926A9">
              <w:rPr>
                <w:rFonts w:eastAsia="Calibri" w:cs="Arial"/>
                <w:sz w:val="14"/>
                <w:szCs w:val="14"/>
                <w:lang w:eastAsia="en-US"/>
              </w:rPr>
              <w:t xml:space="preserve"> 2002</w:t>
            </w:r>
          </w:p>
          <w:p w14:paraId="30A48008" w14:textId="2FB42219"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 xml:space="preserve">Volunteers assisting the </w:t>
            </w:r>
            <w:r w:rsidR="000926A9">
              <w:rPr>
                <w:rFonts w:eastAsia="Calibri" w:cs="Arial"/>
                <w:sz w:val="14"/>
                <w:szCs w:val="14"/>
                <w:lang w:eastAsia="en-US"/>
              </w:rPr>
              <w:t>Sydney Harbour Federation Trust</w:t>
            </w:r>
          </w:p>
          <w:p w14:paraId="31D0846E" w14:textId="4464FDC9"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w:t>
            </w:r>
            <w:r w:rsidR="000926A9">
              <w:rPr>
                <w:rFonts w:eastAsia="Calibri" w:cs="Arial"/>
                <w:sz w:val="14"/>
                <w:szCs w:val="14"/>
                <w:lang w:eastAsia="en-US"/>
              </w:rPr>
              <w:t>lunteers assisting in APEC 2007</w:t>
            </w:r>
          </w:p>
          <w:p w14:paraId="27753B6A" w14:textId="4A43B5C7"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 xml:space="preserve">Others as declared from time to time by the </w:t>
            </w:r>
            <w:r w:rsidRPr="00553DD4">
              <w:rPr>
                <w:rFonts w:eastAsia="Calibri" w:cs="Arial"/>
                <w:i/>
                <w:sz w:val="14"/>
                <w:szCs w:val="14"/>
                <w:lang w:eastAsia="en-US"/>
              </w:rPr>
              <w:t>Safety Rehabilitation and Compensation Act 1988</w:t>
            </w:r>
            <w:r w:rsidR="000D3C6D">
              <w:rPr>
                <w:rFonts w:eastAsia="Calibri" w:cs="Arial"/>
                <w:i/>
                <w:sz w:val="14"/>
                <w:szCs w:val="14"/>
                <w:lang w:eastAsia="en-US"/>
              </w:rPr>
              <w:t>.</w:t>
            </w:r>
          </w:p>
        </w:tc>
      </w:tr>
      <w:tr w:rsidR="00F86BEA" w:rsidRPr="00F86BEA" w14:paraId="67458336" w14:textId="77777777" w:rsidTr="00FB729B">
        <w:tc>
          <w:tcPr>
            <w:tcW w:w="1626" w:type="dxa"/>
            <w:tcMar>
              <w:top w:w="80" w:type="dxa"/>
              <w:left w:w="80" w:type="dxa"/>
              <w:bottom w:w="80" w:type="dxa"/>
              <w:right w:w="80" w:type="dxa"/>
            </w:tcMar>
          </w:tcPr>
          <w:p w14:paraId="448B6CD3"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lastRenderedPageBreak/>
              <w:t>C’wealth Seacare</w:t>
            </w:r>
          </w:p>
        </w:tc>
        <w:tc>
          <w:tcPr>
            <w:tcW w:w="13809" w:type="dxa"/>
            <w:tcMar>
              <w:top w:w="80" w:type="dxa"/>
              <w:left w:w="80" w:type="dxa"/>
              <w:bottom w:w="80" w:type="dxa"/>
              <w:right w:w="80" w:type="dxa"/>
            </w:tcMar>
          </w:tcPr>
          <w:p w14:paraId="33DAADAD" w14:textId="63C47141"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N/A</w:t>
            </w:r>
          </w:p>
        </w:tc>
      </w:tr>
      <w:tr w:rsidR="00F86BEA" w:rsidRPr="00F86BEA" w14:paraId="3813CD10" w14:textId="77777777" w:rsidTr="00FB729B">
        <w:tc>
          <w:tcPr>
            <w:tcW w:w="1626" w:type="dxa"/>
            <w:shd w:val="clear" w:color="auto" w:fill="FFC9C9"/>
            <w:tcMar>
              <w:top w:w="80" w:type="dxa"/>
              <w:left w:w="80" w:type="dxa"/>
              <w:bottom w:w="80" w:type="dxa"/>
              <w:right w:w="80" w:type="dxa"/>
            </w:tcMar>
          </w:tcPr>
          <w:p w14:paraId="70C7A5C0"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C’wealth DVA</w:t>
            </w:r>
          </w:p>
        </w:tc>
        <w:tc>
          <w:tcPr>
            <w:tcW w:w="13809" w:type="dxa"/>
            <w:shd w:val="clear" w:color="auto" w:fill="FFC9C9"/>
            <w:tcMar>
              <w:top w:w="80" w:type="dxa"/>
              <w:left w:w="80" w:type="dxa"/>
              <w:bottom w:w="80" w:type="dxa"/>
              <w:right w:w="80" w:type="dxa"/>
            </w:tcMar>
          </w:tcPr>
          <w:p w14:paraId="362EAF9C"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Volunteers who, under the control or direction of a Commonwealth officer, render services in an institution or for a service conducted by DVA.</w:t>
            </w:r>
          </w:p>
        </w:tc>
      </w:tr>
      <w:bookmarkEnd w:id="91"/>
    </w:tbl>
    <w:p w14:paraId="4A312463" w14:textId="6E2CA182" w:rsidR="00C66972" w:rsidRPr="00C66972" w:rsidRDefault="00C66972" w:rsidP="00C66972">
      <w:pPr>
        <w:spacing w:after="200" w:line="276" w:lineRule="auto"/>
        <w:rPr>
          <w:rFonts w:eastAsiaTheme="minorHAnsi"/>
        </w:rPr>
      </w:pPr>
    </w:p>
    <w:p w14:paraId="5A4DB5F1" w14:textId="0C7A662C" w:rsidR="00E070B7" w:rsidRPr="00A80282" w:rsidRDefault="00E070B7" w:rsidP="00A80282">
      <w:pPr>
        <w:pStyle w:val="SWATableheader"/>
      </w:pPr>
      <w:bookmarkStart w:id="92" w:name="_Toc504654659"/>
      <w:bookmarkStart w:id="93" w:name="sports"/>
      <w:r w:rsidRPr="00A80282">
        <w:lastRenderedPageBreak/>
        <w:t>Table 3.4: Treatment of sportspersons and sporting injuries</w:t>
      </w:r>
      <w:bookmarkEnd w:id="92"/>
      <w:r w:rsidR="009F5AD7" w:rsidRPr="00A80282">
        <w:fldChar w:fldCharType="begin"/>
      </w:r>
      <w:r w:rsidR="009F5AD7" w:rsidRPr="00A80282">
        <w:instrText xml:space="preserve"> XE "coverage of workers (type of worker):sportspersons and sporting injuries" \r "sports" </w:instrText>
      </w:r>
      <w:r w:rsidR="009F5AD7" w:rsidRPr="00A80282">
        <w:fldChar w:fldCharType="end"/>
      </w:r>
      <w:r w:rsidRPr="00A80282">
        <w:t xml:space="preserve"> </w:t>
      </w:r>
      <w:r w:rsidR="005E71F1" w:rsidRPr="00A80282">
        <w:fldChar w:fldCharType="begin"/>
      </w:r>
      <w:r w:rsidR="005E71F1" w:rsidRPr="00A80282">
        <w:instrText xml:space="preserve"> XE "injury:sporting injuries" \r "sports" </w:instrText>
      </w:r>
      <w:r w:rsidR="005E71F1" w:rsidRPr="00A80282">
        <w:fldChar w:fldCharType="end"/>
      </w:r>
      <w:r w:rsidR="00870A7B" w:rsidRPr="00A80282">
        <w:fldChar w:fldCharType="begin"/>
      </w:r>
      <w:r w:rsidR="00870A7B" w:rsidRPr="00A80282">
        <w:instrText xml:space="preserve"> XE "workers (types of workers):sportspersons" \r "sports" </w:instrText>
      </w:r>
      <w:r w:rsidR="00870A7B" w:rsidRPr="00A80282">
        <w:fldChar w:fldCharType="end"/>
      </w:r>
      <w:r w:rsidR="00CA3CD4" w:rsidRPr="00A80282">
        <w:fldChar w:fldCharType="begin"/>
      </w:r>
      <w:r w:rsidR="00CA3CD4" w:rsidRPr="00A80282">
        <w:instrText xml:space="preserve"> XE "sportspersons" \r "sports"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4: Treatment of sportspersons and sporting injuries "/>
        <w:tblDescription w:val="This table provides information about the treatment of sportspersons and sporting injuries under each of the workers' compensation schemes. "/>
      </w:tblPr>
      <w:tblGrid>
        <w:gridCol w:w="1626"/>
        <w:gridCol w:w="13809"/>
      </w:tblGrid>
      <w:tr w:rsidR="00E070B7" w:rsidRPr="00E070B7" w14:paraId="034F091E" w14:textId="77777777" w:rsidTr="00FB729B">
        <w:trPr>
          <w:tblHeader/>
        </w:trPr>
        <w:tc>
          <w:tcPr>
            <w:tcW w:w="1626" w:type="dxa"/>
            <w:shd w:val="clear" w:color="auto" w:fill="C00000"/>
            <w:tcMar>
              <w:top w:w="0" w:type="dxa"/>
              <w:left w:w="0" w:type="dxa"/>
              <w:bottom w:w="0" w:type="dxa"/>
              <w:right w:w="0" w:type="dxa"/>
            </w:tcMar>
            <w:vAlign w:val="center"/>
          </w:tcPr>
          <w:p w14:paraId="7249BF6E" w14:textId="77777777" w:rsidR="00E070B7" w:rsidRPr="00E070B7" w:rsidRDefault="00E070B7" w:rsidP="00B21723">
            <w:pPr>
              <w:spacing w:after="60"/>
              <w:rPr>
                <w:rFonts w:eastAsia="Calibri" w:cs="Arial"/>
                <w:b/>
                <w:color w:val="FFFFFF"/>
                <w:sz w:val="18"/>
                <w:szCs w:val="18"/>
                <w:lang w:eastAsia="en-US"/>
              </w:rPr>
            </w:pPr>
          </w:p>
        </w:tc>
        <w:tc>
          <w:tcPr>
            <w:tcW w:w="13809" w:type="dxa"/>
            <w:shd w:val="clear" w:color="auto" w:fill="C00000"/>
            <w:tcMar>
              <w:top w:w="0" w:type="dxa"/>
              <w:left w:w="0" w:type="dxa"/>
              <w:bottom w:w="0" w:type="dxa"/>
              <w:right w:w="0" w:type="dxa"/>
            </w:tcMar>
            <w:vAlign w:val="center"/>
          </w:tcPr>
          <w:p w14:paraId="1241D9D9" w14:textId="004DE472" w:rsidR="00E070B7" w:rsidRPr="00E070B7" w:rsidRDefault="00E070B7" w:rsidP="00B21723">
            <w:pPr>
              <w:spacing w:after="60"/>
              <w:rPr>
                <w:rFonts w:eastAsia="Calibri" w:cs="Arial"/>
                <w:b/>
                <w:color w:val="FFFFFF"/>
                <w:sz w:val="18"/>
                <w:szCs w:val="18"/>
                <w:lang w:eastAsia="en-US"/>
              </w:rPr>
            </w:pPr>
            <w:r w:rsidRPr="00E070B7">
              <w:rPr>
                <w:rFonts w:eastAsia="Calibri" w:cs="Arial"/>
                <w:b/>
                <w:color w:val="FFFFFF"/>
                <w:sz w:val="18"/>
                <w:szCs w:val="18"/>
                <w:lang w:eastAsia="en-US"/>
              </w:rPr>
              <w:t>Treatment of sportsperson and sporting injuries</w:t>
            </w:r>
            <w:r w:rsidR="00C82A26">
              <w:rPr>
                <w:rFonts w:eastAsia="Calibri" w:cs="Arial"/>
                <w:b/>
                <w:color w:val="FFFFFF"/>
                <w:sz w:val="18"/>
                <w:szCs w:val="18"/>
                <w:lang w:eastAsia="en-US"/>
              </w:rPr>
              <w:fldChar w:fldCharType="begin"/>
            </w:r>
            <w:r w:rsidR="00C82A26">
              <w:instrText xml:space="preserve"> XE "</w:instrText>
            </w:r>
            <w:r w:rsidR="00C82A26" w:rsidRPr="001854C8">
              <w:instrText>sporting injuries</w:instrText>
            </w:r>
            <w:r w:rsidR="00C82A26">
              <w:instrText xml:space="preserve">" \r "sports" </w:instrText>
            </w:r>
            <w:r w:rsidR="00C82A26">
              <w:rPr>
                <w:rFonts w:eastAsia="Calibri" w:cs="Arial"/>
                <w:b/>
                <w:color w:val="FFFFFF"/>
                <w:sz w:val="18"/>
                <w:szCs w:val="18"/>
                <w:lang w:eastAsia="en-US"/>
              </w:rPr>
              <w:fldChar w:fldCharType="end"/>
            </w:r>
          </w:p>
        </w:tc>
      </w:tr>
      <w:tr w:rsidR="00E070B7" w:rsidRPr="00E070B7" w14:paraId="4A12F797" w14:textId="77777777" w:rsidTr="00FB729B">
        <w:tc>
          <w:tcPr>
            <w:tcW w:w="1626" w:type="dxa"/>
            <w:shd w:val="clear" w:color="auto" w:fill="FFC9C9"/>
            <w:tcMar>
              <w:top w:w="80" w:type="dxa"/>
              <w:left w:w="80" w:type="dxa"/>
              <w:bottom w:w="80" w:type="dxa"/>
              <w:right w:w="80" w:type="dxa"/>
            </w:tcMar>
          </w:tcPr>
          <w:p w14:paraId="0A1D689E"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New South Wales</w:t>
            </w:r>
          </w:p>
        </w:tc>
        <w:tc>
          <w:tcPr>
            <w:tcW w:w="13809" w:type="dxa"/>
            <w:shd w:val="clear" w:color="auto" w:fill="FFC9C9"/>
            <w:tcMar>
              <w:top w:w="80" w:type="dxa"/>
              <w:left w:w="80" w:type="dxa"/>
              <w:bottom w:w="80" w:type="dxa"/>
              <w:right w:w="80" w:type="dxa"/>
            </w:tcMar>
          </w:tcPr>
          <w:p w14:paraId="25432907" w14:textId="3500FCC0" w:rsidR="00A17E71" w:rsidRPr="00A17E71" w:rsidRDefault="00A17E71" w:rsidP="00B21723">
            <w:pPr>
              <w:spacing w:after="60"/>
              <w:rPr>
                <w:rFonts w:cs="Arial"/>
                <w:color w:val="000000"/>
                <w:sz w:val="14"/>
                <w:szCs w:val="16"/>
                <w:lang w:val="en-GB"/>
              </w:rPr>
            </w:pPr>
            <w:r w:rsidRPr="00A17E71">
              <w:rPr>
                <w:rFonts w:cs="Arial"/>
                <w:color w:val="000000"/>
                <w:sz w:val="14"/>
                <w:szCs w:val="16"/>
                <w:lang w:val="en-GB"/>
              </w:rPr>
              <w:t xml:space="preserve">A sporting participant meeting the definition of a ‘worker’ is covered under the </w:t>
            </w:r>
            <w:r w:rsidR="00F70D53" w:rsidRPr="00016069">
              <w:rPr>
                <w:i/>
                <w:sz w:val="14"/>
              </w:rPr>
              <w:t>Workplace Injury Management and</w:t>
            </w:r>
            <w:r w:rsidR="00F70D53">
              <w:rPr>
                <w:i/>
                <w:sz w:val="14"/>
              </w:rPr>
              <w:t xml:space="preserve"> Workers Compensation Act 1998</w:t>
            </w:r>
            <w:r w:rsidRPr="00A17E71">
              <w:rPr>
                <w:rFonts w:cs="Arial"/>
                <w:color w:val="000000"/>
                <w:sz w:val="14"/>
                <w:szCs w:val="16"/>
                <w:lang w:val="en-GB"/>
              </w:rPr>
              <w:t xml:space="preserve"> unless he/she is a registered participant of a sporting organisation (within the meaning of the </w:t>
            </w:r>
            <w:r w:rsidRPr="00743B62">
              <w:rPr>
                <w:rFonts w:cs="Arial"/>
                <w:i/>
                <w:color w:val="000000"/>
                <w:sz w:val="14"/>
                <w:szCs w:val="16"/>
                <w:lang w:val="en-GB"/>
              </w:rPr>
              <w:t>Sporting Injuries Insurance Act 1978</w:t>
            </w:r>
            <w:r w:rsidRPr="00A17E71">
              <w:rPr>
                <w:rFonts w:cs="Arial"/>
                <w:color w:val="000000"/>
                <w:sz w:val="14"/>
                <w:szCs w:val="16"/>
                <w:lang w:val="en-GB"/>
              </w:rPr>
              <w:t xml:space="preserve">) while: </w:t>
            </w:r>
          </w:p>
          <w:p w14:paraId="1C89C1C9" w14:textId="77777777" w:rsidR="00A17E71" w:rsidRPr="00A17E71" w:rsidRDefault="00A17E71" w:rsidP="00F839DB">
            <w:pPr>
              <w:numPr>
                <w:ilvl w:val="0"/>
                <w:numId w:val="423"/>
              </w:numPr>
              <w:spacing w:after="60"/>
              <w:ind w:left="357" w:hanging="357"/>
              <w:contextualSpacing/>
              <w:rPr>
                <w:rFonts w:cs="Arial"/>
                <w:color w:val="000000"/>
                <w:sz w:val="14"/>
                <w:szCs w:val="16"/>
                <w:lang w:val="en-GB"/>
              </w:rPr>
            </w:pPr>
            <w:r w:rsidRPr="00A17E71">
              <w:rPr>
                <w:rFonts w:cs="Arial"/>
                <w:color w:val="000000"/>
                <w:sz w:val="14"/>
                <w:szCs w:val="16"/>
                <w:lang w:val="en-GB"/>
              </w:rPr>
              <w:t xml:space="preserve">participating in an authorised activity (within the meaning of that Act) of that organisation, or </w:t>
            </w:r>
          </w:p>
          <w:p w14:paraId="6BDBF4DA" w14:textId="77777777" w:rsidR="00A17E71" w:rsidRPr="00A17E71" w:rsidRDefault="00A17E71" w:rsidP="00F839DB">
            <w:pPr>
              <w:numPr>
                <w:ilvl w:val="0"/>
                <w:numId w:val="423"/>
              </w:numPr>
              <w:spacing w:after="60"/>
              <w:ind w:left="357" w:hanging="357"/>
              <w:contextualSpacing/>
              <w:rPr>
                <w:rFonts w:cs="Arial"/>
                <w:color w:val="000000"/>
                <w:sz w:val="14"/>
                <w:szCs w:val="16"/>
                <w:lang w:val="en-GB"/>
              </w:rPr>
            </w:pPr>
            <w:r w:rsidRPr="00A17E71">
              <w:rPr>
                <w:rFonts w:cs="Arial"/>
                <w:color w:val="000000"/>
                <w:sz w:val="14"/>
                <w:szCs w:val="16"/>
                <w:lang w:val="en-GB"/>
              </w:rPr>
              <w:t>engaged in training or preparing himself or herself with a view to so participating, or</w:t>
            </w:r>
          </w:p>
          <w:p w14:paraId="704D338F" w14:textId="77777777" w:rsidR="00A17E71" w:rsidRPr="00A17E71" w:rsidRDefault="00A17E71" w:rsidP="00F839DB">
            <w:pPr>
              <w:numPr>
                <w:ilvl w:val="0"/>
                <w:numId w:val="423"/>
              </w:numPr>
              <w:spacing w:after="60"/>
              <w:rPr>
                <w:rFonts w:cs="Arial"/>
                <w:color w:val="000000"/>
                <w:sz w:val="14"/>
                <w:szCs w:val="16"/>
                <w:lang w:val="en-GB"/>
              </w:rPr>
            </w:pPr>
            <w:r w:rsidRPr="00A17E71">
              <w:rPr>
                <w:rFonts w:cs="Arial"/>
                <w:color w:val="000000"/>
                <w:sz w:val="14"/>
                <w:szCs w:val="16"/>
                <w:lang w:val="en-GB"/>
              </w:rPr>
              <w:t>engaged on any daily or periodic journey or other journey in connection with the registered participant so participating or the registered participant being so engaged, if, under the contract pursuant to which the registered participant does any of the things referred to above in this paragraph, the registered participant is not entitled to remuneration other than for the doing of those things.</w:t>
            </w:r>
          </w:p>
          <w:p w14:paraId="5CBFEDCF" w14:textId="77777777" w:rsidR="00E070B7" w:rsidRPr="00E070B7" w:rsidRDefault="00A17E71" w:rsidP="00B21723">
            <w:pPr>
              <w:spacing w:after="60"/>
              <w:rPr>
                <w:rFonts w:cs="Arial"/>
                <w:color w:val="000000"/>
                <w:sz w:val="14"/>
                <w:szCs w:val="16"/>
                <w:lang w:val="en-GB"/>
              </w:rPr>
            </w:pPr>
            <w:r w:rsidRPr="00A17E71">
              <w:rPr>
                <w:rFonts w:cs="Arial"/>
                <w:color w:val="000000"/>
                <w:sz w:val="14"/>
                <w:szCs w:val="16"/>
                <w:lang w:val="en-GB"/>
              </w:rPr>
              <w:t xml:space="preserve">The </w:t>
            </w:r>
            <w:r w:rsidRPr="00743B62">
              <w:rPr>
                <w:rFonts w:cs="Arial"/>
                <w:i/>
                <w:color w:val="000000"/>
                <w:sz w:val="14"/>
                <w:szCs w:val="16"/>
                <w:lang w:val="en-GB"/>
              </w:rPr>
              <w:t>Sporting Injuries Insurance Act 1978</w:t>
            </w:r>
            <w:r w:rsidRPr="00A17E71">
              <w:rPr>
                <w:rFonts w:cs="Arial"/>
                <w:color w:val="000000"/>
                <w:sz w:val="14"/>
                <w:szCs w:val="16"/>
                <w:lang w:val="en-GB"/>
              </w:rPr>
              <w:t xml:space="preserve"> provides coverage for serious injury and death while participating in an authorised activity to persons who are registered members of a sporting organisation that is recognised by The Sporting Injuries Compensation Authority (a division of Insurance and Care NSW). </w:t>
            </w:r>
          </w:p>
        </w:tc>
      </w:tr>
      <w:tr w:rsidR="00E070B7" w:rsidRPr="00E070B7" w14:paraId="67DA2021" w14:textId="77777777" w:rsidTr="00FB729B">
        <w:tc>
          <w:tcPr>
            <w:tcW w:w="1626" w:type="dxa"/>
            <w:tcMar>
              <w:top w:w="80" w:type="dxa"/>
              <w:left w:w="80" w:type="dxa"/>
              <w:bottom w:w="80" w:type="dxa"/>
              <w:right w:w="80" w:type="dxa"/>
            </w:tcMar>
          </w:tcPr>
          <w:p w14:paraId="54B12A14"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Victoria</w:t>
            </w:r>
          </w:p>
        </w:tc>
        <w:tc>
          <w:tcPr>
            <w:tcW w:w="13809" w:type="dxa"/>
            <w:tcMar>
              <w:top w:w="80" w:type="dxa"/>
              <w:left w:w="80" w:type="dxa"/>
              <w:bottom w:w="80" w:type="dxa"/>
              <w:right w:w="80" w:type="dxa"/>
            </w:tcMar>
          </w:tcPr>
          <w:p w14:paraId="2BA83362" w14:textId="210382F5" w:rsidR="00E070B7" w:rsidRPr="00E070B7" w:rsidRDefault="00E070B7" w:rsidP="00B21723">
            <w:pPr>
              <w:spacing w:after="60"/>
              <w:rPr>
                <w:rFonts w:cs="Arial"/>
                <w:color w:val="000000"/>
                <w:sz w:val="14"/>
                <w:szCs w:val="16"/>
                <w:lang w:val="en-GB"/>
              </w:rPr>
            </w:pPr>
            <w:r w:rsidRPr="00743B62">
              <w:rPr>
                <w:rFonts w:cs="Arial"/>
                <w:i/>
                <w:color w:val="000000"/>
                <w:sz w:val="14"/>
                <w:szCs w:val="16"/>
                <w:lang w:val="en-GB"/>
              </w:rPr>
              <w:t>Workplace Injury Rehabilitation and Compensation Act 2013</w:t>
            </w:r>
            <w:r w:rsidRPr="00E070B7">
              <w:rPr>
                <w:rFonts w:cs="Arial"/>
                <w:color w:val="000000"/>
                <w:sz w:val="14"/>
                <w:szCs w:val="16"/>
                <w:lang w:val="en-GB"/>
              </w:rPr>
              <w:t xml:space="preserve"> — Clause 17, </w:t>
            </w:r>
            <w:hyperlink r:id="rId694" w:history="1">
              <w:r w:rsidRPr="001D4DB0">
                <w:rPr>
                  <w:rStyle w:val="Hyperlink"/>
                  <w:rFonts w:cs="Arial"/>
                  <w:sz w:val="14"/>
                  <w:szCs w:val="16"/>
                  <w:lang w:val="en-GB"/>
                </w:rPr>
                <w:t>Schedule 1</w:t>
              </w:r>
            </w:hyperlink>
          </w:p>
          <w:p w14:paraId="6EC80294" w14:textId="77777777" w:rsidR="00E070B7" w:rsidRPr="00E070B7" w:rsidRDefault="00E070B7" w:rsidP="009D78A9">
            <w:pPr>
              <w:numPr>
                <w:ilvl w:val="0"/>
                <w:numId w:val="13"/>
              </w:numPr>
              <w:spacing w:after="60"/>
              <w:contextualSpacing/>
              <w:rPr>
                <w:rFonts w:eastAsia="Calibri" w:cs="Arial"/>
                <w:sz w:val="14"/>
                <w:szCs w:val="14"/>
                <w:lang w:eastAsia="en-US"/>
              </w:rPr>
            </w:pPr>
            <w:r w:rsidRPr="00E070B7">
              <w:rPr>
                <w:rFonts w:eastAsia="Calibri" w:cs="Arial"/>
                <w:sz w:val="14"/>
                <w:szCs w:val="14"/>
                <w:lang w:eastAsia="en-US"/>
              </w:rPr>
              <w:t>Except as provided in subclause (3), if a person is engaged by an employer to participate as a contestant in a sporting or athletic activity, neither the employer or self-insurer nor the Authority is liable to pay compensation for an injury received by the person if the injury is received while the person is:</w:t>
            </w:r>
          </w:p>
          <w:p w14:paraId="0A17C8A7" w14:textId="77777777" w:rsidR="00E070B7" w:rsidRDefault="00E070B7" w:rsidP="00F839DB">
            <w:pPr>
              <w:pStyle w:val="Tablenolist"/>
              <w:numPr>
                <w:ilvl w:val="0"/>
                <w:numId w:val="88"/>
              </w:numPr>
              <w:spacing w:after="60"/>
              <w:ind w:left="634" w:hanging="283"/>
              <w:rPr>
                <w:rFonts w:eastAsia="Calibri"/>
                <w:lang w:eastAsia="en-US"/>
              </w:rPr>
            </w:pPr>
            <w:r w:rsidRPr="00E070B7">
              <w:rPr>
                <w:rFonts w:eastAsia="Calibri"/>
                <w:lang w:eastAsia="en-US"/>
              </w:rPr>
              <w:t xml:space="preserve">participating as a contestant in a sporting or athletic activity; </w:t>
            </w:r>
          </w:p>
          <w:p w14:paraId="4D795CE6" w14:textId="77777777" w:rsidR="00E070B7" w:rsidRDefault="00E070B7" w:rsidP="00F839DB">
            <w:pPr>
              <w:pStyle w:val="Tablenolist"/>
              <w:numPr>
                <w:ilvl w:val="0"/>
                <w:numId w:val="88"/>
              </w:numPr>
              <w:spacing w:after="60"/>
              <w:ind w:left="634" w:hanging="283"/>
              <w:rPr>
                <w:rFonts w:eastAsia="Calibri"/>
                <w:lang w:eastAsia="en-US"/>
              </w:rPr>
            </w:pPr>
            <w:r w:rsidRPr="00E070B7">
              <w:rPr>
                <w:rFonts w:eastAsia="Calibri"/>
                <w:lang w:eastAsia="en-US"/>
              </w:rPr>
              <w:t xml:space="preserve">engaged in training or preparation with a view to so participating; or </w:t>
            </w:r>
          </w:p>
          <w:p w14:paraId="43EDC02B" w14:textId="77777777" w:rsidR="00E070B7" w:rsidRPr="00E070B7" w:rsidRDefault="00E070B7" w:rsidP="00F839DB">
            <w:pPr>
              <w:pStyle w:val="Tablenolist"/>
              <w:numPr>
                <w:ilvl w:val="0"/>
                <w:numId w:val="88"/>
              </w:numPr>
              <w:spacing w:after="60"/>
              <w:ind w:left="634" w:hanging="283"/>
              <w:rPr>
                <w:rFonts w:eastAsia="Calibri"/>
                <w:lang w:eastAsia="en-US"/>
              </w:rPr>
            </w:pPr>
            <w:r w:rsidRPr="00E070B7">
              <w:rPr>
                <w:rFonts w:eastAsia="Calibri"/>
                <w:lang w:eastAsia="en-US"/>
              </w:rPr>
              <w:t xml:space="preserve">travelling between a place of residence and the place at which the person is so participating or so engaged. </w:t>
            </w:r>
          </w:p>
          <w:p w14:paraId="12F1F895" w14:textId="77777777"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Exception for jockeys and harness riders (see Table 3.2).</w:t>
            </w:r>
          </w:p>
        </w:tc>
      </w:tr>
      <w:tr w:rsidR="00E070B7" w:rsidRPr="00E070B7" w14:paraId="3550CC7E" w14:textId="77777777" w:rsidTr="00FB729B">
        <w:tc>
          <w:tcPr>
            <w:tcW w:w="1626" w:type="dxa"/>
            <w:shd w:val="clear" w:color="auto" w:fill="FFC9C9"/>
            <w:tcMar>
              <w:top w:w="80" w:type="dxa"/>
              <w:left w:w="80" w:type="dxa"/>
              <w:bottom w:w="80" w:type="dxa"/>
              <w:right w:w="80" w:type="dxa"/>
            </w:tcMar>
          </w:tcPr>
          <w:p w14:paraId="360F6E13"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Queensland</w:t>
            </w:r>
          </w:p>
        </w:tc>
        <w:tc>
          <w:tcPr>
            <w:tcW w:w="13809" w:type="dxa"/>
            <w:shd w:val="clear" w:color="auto" w:fill="FFC9C9"/>
            <w:tcMar>
              <w:top w:w="80" w:type="dxa"/>
              <w:left w:w="80" w:type="dxa"/>
              <w:bottom w:w="80" w:type="dxa"/>
              <w:right w:w="80" w:type="dxa"/>
            </w:tcMar>
          </w:tcPr>
          <w:p w14:paraId="08FEB1D0" w14:textId="76A0D29C" w:rsidR="00E070B7" w:rsidRPr="00E070B7" w:rsidRDefault="00E070B7" w:rsidP="00B21723">
            <w:pPr>
              <w:spacing w:after="60"/>
              <w:rPr>
                <w:rFonts w:cs="Arial"/>
                <w:color w:val="000000"/>
                <w:sz w:val="14"/>
                <w:szCs w:val="16"/>
                <w:lang w:val="en-GB"/>
              </w:rPr>
            </w:pPr>
            <w:r w:rsidRPr="00743B62">
              <w:rPr>
                <w:rFonts w:cs="Arial"/>
                <w:i/>
                <w:color w:val="000000"/>
                <w:sz w:val="14"/>
                <w:szCs w:val="16"/>
                <w:lang w:val="en-GB"/>
              </w:rPr>
              <w:t>Workers Compensation and Rehabilitation Act 2003</w:t>
            </w:r>
            <w:r w:rsidRPr="00E070B7">
              <w:rPr>
                <w:rFonts w:cs="Arial"/>
                <w:color w:val="000000"/>
                <w:sz w:val="14"/>
                <w:szCs w:val="16"/>
                <w:lang w:val="en-GB"/>
              </w:rPr>
              <w:t xml:space="preserve"> — </w:t>
            </w:r>
            <w:hyperlink r:id="rId695" w:anchor="sch.2" w:history="1">
              <w:r w:rsidRPr="001D4DB0">
                <w:rPr>
                  <w:rStyle w:val="Hyperlink"/>
                  <w:rFonts w:cs="Arial"/>
                  <w:sz w:val="14"/>
                  <w:szCs w:val="16"/>
                  <w:lang w:val="en-GB"/>
                </w:rPr>
                <w:t>Schedule 2</w:t>
              </w:r>
            </w:hyperlink>
            <w:r w:rsidRPr="00E070B7">
              <w:rPr>
                <w:rFonts w:cs="Arial"/>
                <w:color w:val="000000"/>
                <w:sz w:val="14"/>
                <w:szCs w:val="16"/>
                <w:lang w:val="en-GB"/>
              </w:rPr>
              <w:t xml:space="preserve"> Part 2 — Persons who are not workers</w:t>
            </w:r>
          </w:p>
          <w:p w14:paraId="2DF8230C" w14:textId="77777777" w:rsidR="00E070B7" w:rsidRPr="00E070B7" w:rsidRDefault="00E070B7" w:rsidP="00F839DB">
            <w:pPr>
              <w:numPr>
                <w:ilvl w:val="0"/>
                <w:numId w:val="436"/>
              </w:numPr>
              <w:spacing w:after="60"/>
              <w:contextualSpacing/>
              <w:rPr>
                <w:rFonts w:eastAsia="Calibri" w:cs="Arial"/>
                <w:sz w:val="14"/>
                <w:szCs w:val="14"/>
                <w:lang w:eastAsia="en-US"/>
              </w:rPr>
            </w:pPr>
            <w:r w:rsidRPr="00E070B7">
              <w:rPr>
                <w:rFonts w:eastAsia="Calibri" w:cs="Arial"/>
                <w:sz w:val="14"/>
                <w:szCs w:val="14"/>
                <w:lang w:eastAsia="en-US"/>
              </w:rPr>
              <w:t>A person who performs work under a contract of service as a professional sportsperson is not a worker while the person is:</w:t>
            </w:r>
          </w:p>
          <w:p w14:paraId="23655CD3" w14:textId="77777777" w:rsidR="00E070B7" w:rsidRPr="00E070B7" w:rsidRDefault="00E070B7" w:rsidP="00F839DB">
            <w:pPr>
              <w:pStyle w:val="ListParagraph"/>
              <w:numPr>
                <w:ilvl w:val="0"/>
                <w:numId w:val="89"/>
              </w:numPr>
              <w:spacing w:after="60"/>
              <w:ind w:left="634" w:hanging="283"/>
              <w:contextualSpacing/>
              <w:rPr>
                <w:rFonts w:eastAsia="Calibri" w:cs="Arial"/>
                <w:sz w:val="14"/>
                <w:szCs w:val="14"/>
                <w:lang w:eastAsia="en-US"/>
              </w:rPr>
            </w:pPr>
            <w:r w:rsidRPr="00E070B7">
              <w:rPr>
                <w:rFonts w:eastAsia="Calibri" w:cs="Arial"/>
                <w:sz w:val="14"/>
                <w:szCs w:val="14"/>
                <w:lang w:eastAsia="en-US"/>
              </w:rPr>
              <w:t>participating in a sporting or athletic activity as a contestant, or</w:t>
            </w:r>
          </w:p>
          <w:p w14:paraId="02A6DFDA" w14:textId="77777777" w:rsidR="00E070B7" w:rsidRPr="00E070B7" w:rsidRDefault="00E070B7" w:rsidP="00F839DB">
            <w:pPr>
              <w:pStyle w:val="ListParagraph"/>
              <w:numPr>
                <w:ilvl w:val="0"/>
                <w:numId w:val="89"/>
              </w:numPr>
              <w:spacing w:after="60"/>
              <w:ind w:left="634" w:hanging="283"/>
              <w:contextualSpacing/>
              <w:rPr>
                <w:rFonts w:eastAsia="Calibri" w:cs="Arial"/>
                <w:sz w:val="14"/>
                <w:szCs w:val="14"/>
                <w:lang w:eastAsia="en-US"/>
              </w:rPr>
            </w:pPr>
            <w:r w:rsidRPr="00E070B7">
              <w:rPr>
                <w:rFonts w:eastAsia="Calibri" w:cs="Arial"/>
                <w:sz w:val="14"/>
                <w:szCs w:val="14"/>
                <w:lang w:eastAsia="en-US"/>
              </w:rPr>
              <w:t>training or preparing for participation in a sporting or athletic activity as a contestant, or</w:t>
            </w:r>
          </w:p>
          <w:p w14:paraId="56E64F76" w14:textId="77777777" w:rsidR="00E070B7" w:rsidRPr="00E070B7" w:rsidRDefault="00E070B7" w:rsidP="00F839DB">
            <w:pPr>
              <w:pStyle w:val="ListParagraph"/>
              <w:numPr>
                <w:ilvl w:val="0"/>
                <w:numId w:val="89"/>
              </w:numPr>
              <w:spacing w:after="60"/>
              <w:ind w:left="634" w:hanging="283"/>
              <w:contextualSpacing/>
              <w:rPr>
                <w:rFonts w:eastAsia="Calibri" w:cs="Arial"/>
                <w:sz w:val="14"/>
                <w:szCs w:val="14"/>
                <w:lang w:eastAsia="en-US"/>
              </w:rPr>
            </w:pPr>
            <w:r w:rsidRPr="00E070B7">
              <w:rPr>
                <w:rFonts w:eastAsia="Calibri" w:cs="Arial"/>
                <w:sz w:val="14"/>
                <w:szCs w:val="14"/>
                <w:lang w:eastAsia="en-US"/>
              </w:rPr>
              <w:t>performing promotional activities offered to the person because of the person’s standing as a sportsperson, or</w:t>
            </w:r>
          </w:p>
          <w:p w14:paraId="5C835495" w14:textId="77777777" w:rsidR="00E070B7" w:rsidRPr="00E070B7" w:rsidRDefault="00E070B7" w:rsidP="00F839DB">
            <w:pPr>
              <w:pStyle w:val="ListParagraph"/>
              <w:numPr>
                <w:ilvl w:val="0"/>
                <w:numId w:val="89"/>
              </w:numPr>
              <w:spacing w:after="60"/>
              <w:ind w:left="634" w:hanging="283"/>
              <w:contextualSpacing/>
              <w:rPr>
                <w:rFonts w:eastAsia="Calibri" w:cs="Arial"/>
                <w:sz w:val="14"/>
                <w:szCs w:val="14"/>
                <w:lang w:eastAsia="en-US"/>
              </w:rPr>
            </w:pPr>
            <w:r w:rsidRPr="00E070B7">
              <w:rPr>
                <w:rFonts w:eastAsia="Calibri" w:cs="Arial"/>
                <w:sz w:val="14"/>
                <w:szCs w:val="14"/>
                <w:lang w:eastAsia="en-US"/>
              </w:rPr>
              <w:t>engaging on any daily or other periodic journey in connection with the participation, training, preparation or performance.</w:t>
            </w:r>
          </w:p>
        </w:tc>
      </w:tr>
      <w:tr w:rsidR="00E070B7" w:rsidRPr="00E070B7" w14:paraId="08DDFB39" w14:textId="77777777" w:rsidTr="00FB729B">
        <w:tc>
          <w:tcPr>
            <w:tcW w:w="1626" w:type="dxa"/>
            <w:tcMar>
              <w:top w:w="80" w:type="dxa"/>
              <w:left w:w="80" w:type="dxa"/>
              <w:bottom w:w="80" w:type="dxa"/>
              <w:right w:w="80" w:type="dxa"/>
            </w:tcMar>
          </w:tcPr>
          <w:p w14:paraId="77C1DAFB"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Western Australia</w:t>
            </w:r>
          </w:p>
        </w:tc>
        <w:tc>
          <w:tcPr>
            <w:tcW w:w="13809" w:type="dxa"/>
            <w:tcMar>
              <w:top w:w="80" w:type="dxa"/>
              <w:left w:w="80" w:type="dxa"/>
              <w:bottom w:w="80" w:type="dxa"/>
              <w:right w:w="80" w:type="dxa"/>
            </w:tcMar>
          </w:tcPr>
          <w:p w14:paraId="62FACDE3" w14:textId="792B08C4" w:rsidR="00E070B7" w:rsidRPr="00E070B7" w:rsidRDefault="00E070B7" w:rsidP="00B21723">
            <w:pPr>
              <w:spacing w:after="60"/>
              <w:rPr>
                <w:rFonts w:cs="Arial"/>
                <w:color w:val="000000"/>
                <w:sz w:val="14"/>
                <w:szCs w:val="16"/>
                <w:lang w:val="en-GB"/>
              </w:rPr>
            </w:pPr>
            <w:r w:rsidRPr="00743B62">
              <w:rPr>
                <w:rFonts w:cs="Arial"/>
                <w:i/>
                <w:color w:val="000000"/>
                <w:sz w:val="14"/>
                <w:szCs w:val="16"/>
                <w:lang w:val="en-GB"/>
              </w:rPr>
              <w:t>Workers Compensation and Injury Management Act 1981</w:t>
            </w:r>
            <w:r w:rsidRPr="00E070B7">
              <w:rPr>
                <w:rFonts w:cs="Arial"/>
                <w:color w:val="000000"/>
                <w:sz w:val="14"/>
                <w:szCs w:val="16"/>
                <w:lang w:val="en-GB"/>
              </w:rPr>
              <w:t xml:space="preserve"> </w:t>
            </w:r>
            <w:hyperlink r:id="rId696" w:history="1">
              <w:r w:rsidRPr="001D4DB0">
                <w:rPr>
                  <w:rStyle w:val="Hyperlink"/>
                  <w:rFonts w:cs="Arial"/>
                  <w:sz w:val="14"/>
                  <w:szCs w:val="16"/>
                  <w:lang w:val="en-GB"/>
                </w:rPr>
                <w:t>s11</w:t>
              </w:r>
            </w:hyperlink>
            <w:r w:rsidRPr="00E070B7">
              <w:rPr>
                <w:rFonts w:cs="Arial"/>
                <w:color w:val="000000"/>
                <w:sz w:val="14"/>
                <w:szCs w:val="16"/>
                <w:lang w:val="en-GB"/>
              </w:rPr>
              <w:t xml:space="preserve"> — Exclusion of certain persons who are contestants in sporting or athletic activities </w:t>
            </w:r>
          </w:p>
          <w:p w14:paraId="4AB95D4C" w14:textId="1BEB8B0E"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 xml:space="preserve">Notwithstanding anything in </w:t>
            </w:r>
            <w:hyperlink r:id="rId697" w:history="1">
              <w:r w:rsidRPr="001D4DB0">
                <w:rPr>
                  <w:rStyle w:val="Hyperlink"/>
                  <w:rFonts w:cs="Arial"/>
                  <w:sz w:val="14"/>
                  <w:szCs w:val="16"/>
                  <w:lang w:val="en-GB"/>
                </w:rPr>
                <w:t>s5</w:t>
              </w:r>
            </w:hyperlink>
            <w:r w:rsidRPr="00E070B7">
              <w:rPr>
                <w:rFonts w:cs="Arial"/>
                <w:color w:val="000000"/>
                <w:sz w:val="14"/>
                <w:szCs w:val="16"/>
                <w:lang w:val="en-GB"/>
              </w:rPr>
              <w:t xml:space="preserve"> and subject to </w:t>
            </w:r>
            <w:hyperlink r:id="rId698" w:history="1">
              <w:r w:rsidRPr="001D4DB0">
                <w:rPr>
                  <w:rStyle w:val="Hyperlink"/>
                  <w:rFonts w:cs="Arial"/>
                  <w:sz w:val="14"/>
                  <w:szCs w:val="16"/>
                  <w:lang w:val="en-GB"/>
                </w:rPr>
                <w:t>s11A</w:t>
              </w:r>
            </w:hyperlink>
            <w:r w:rsidRPr="00E070B7">
              <w:rPr>
                <w:rFonts w:cs="Arial"/>
                <w:color w:val="000000"/>
                <w:sz w:val="14"/>
                <w:szCs w:val="16"/>
                <w:lang w:val="en-GB"/>
              </w:rPr>
              <w:t>, a person is deemed not to be a worker while they are:</w:t>
            </w:r>
          </w:p>
          <w:p w14:paraId="443D12A9" w14:textId="77777777" w:rsidR="00E070B7" w:rsidRPr="00E070B7" w:rsidRDefault="00E070B7" w:rsidP="00F839DB">
            <w:pPr>
              <w:pStyle w:val="ListParagraph"/>
              <w:numPr>
                <w:ilvl w:val="0"/>
                <w:numId w:val="90"/>
              </w:numPr>
              <w:spacing w:after="60"/>
              <w:contextualSpacing/>
              <w:rPr>
                <w:rFonts w:eastAsia="Calibri" w:cs="Arial"/>
                <w:sz w:val="14"/>
                <w:szCs w:val="14"/>
                <w:lang w:eastAsia="en-US"/>
              </w:rPr>
            </w:pPr>
            <w:r w:rsidRPr="00E070B7">
              <w:rPr>
                <w:rFonts w:eastAsia="Calibri" w:cs="Arial"/>
                <w:sz w:val="14"/>
                <w:szCs w:val="14"/>
                <w:lang w:eastAsia="en-US"/>
              </w:rPr>
              <w:t>participating as a contestant in any sporting or athletic activity</w:t>
            </w:r>
          </w:p>
          <w:p w14:paraId="7601C65E" w14:textId="77777777" w:rsidR="00E070B7" w:rsidRPr="00E070B7" w:rsidRDefault="00E070B7" w:rsidP="00F839DB">
            <w:pPr>
              <w:pStyle w:val="ListParagraph"/>
              <w:numPr>
                <w:ilvl w:val="0"/>
                <w:numId w:val="90"/>
              </w:numPr>
              <w:spacing w:after="60"/>
              <w:contextualSpacing/>
              <w:rPr>
                <w:rFonts w:eastAsia="Calibri" w:cs="Arial"/>
                <w:sz w:val="14"/>
                <w:szCs w:val="14"/>
                <w:lang w:eastAsia="en-US"/>
              </w:rPr>
            </w:pPr>
            <w:r w:rsidRPr="00E070B7">
              <w:rPr>
                <w:rFonts w:eastAsia="Calibri" w:cs="Arial"/>
                <w:sz w:val="14"/>
                <w:szCs w:val="14"/>
                <w:lang w:eastAsia="en-US"/>
              </w:rPr>
              <w:t>engaged in training or preparing himself with a view to his so participating</w:t>
            </w:r>
          </w:p>
          <w:p w14:paraId="3D23F058" w14:textId="77777777" w:rsidR="00E070B7" w:rsidRPr="00E070B7" w:rsidRDefault="00E070B7" w:rsidP="00F839DB">
            <w:pPr>
              <w:pStyle w:val="ListParagraph"/>
              <w:numPr>
                <w:ilvl w:val="0"/>
                <w:numId w:val="90"/>
              </w:numPr>
              <w:spacing w:after="60"/>
              <w:contextualSpacing/>
              <w:rPr>
                <w:rFonts w:eastAsia="Calibri" w:cs="Arial"/>
                <w:sz w:val="14"/>
                <w:szCs w:val="14"/>
                <w:lang w:eastAsia="en-US"/>
              </w:rPr>
            </w:pPr>
            <w:r w:rsidRPr="00E070B7">
              <w:rPr>
                <w:rFonts w:eastAsia="Calibri" w:cs="Arial"/>
                <w:sz w:val="14"/>
                <w:szCs w:val="14"/>
                <w:lang w:eastAsia="en-US"/>
              </w:rPr>
              <w:t>engaged in promotional activities in accordance with the contract pursuant to which he so participates, or</w:t>
            </w:r>
          </w:p>
          <w:p w14:paraId="26C844E6" w14:textId="77777777" w:rsidR="00E070B7" w:rsidRPr="00E070B7" w:rsidRDefault="00E070B7" w:rsidP="00F839DB">
            <w:pPr>
              <w:pStyle w:val="ListParagraph"/>
              <w:numPr>
                <w:ilvl w:val="0"/>
                <w:numId w:val="90"/>
              </w:numPr>
              <w:spacing w:after="60"/>
              <w:contextualSpacing/>
              <w:rPr>
                <w:rFonts w:eastAsia="Calibri" w:cs="Arial"/>
                <w:sz w:val="14"/>
                <w:szCs w:val="14"/>
                <w:lang w:eastAsia="en-US"/>
              </w:rPr>
            </w:pPr>
            <w:r w:rsidRPr="00E070B7">
              <w:rPr>
                <w:rFonts w:eastAsia="Calibri" w:cs="Arial"/>
                <w:sz w:val="14"/>
                <w:szCs w:val="14"/>
                <w:lang w:eastAsia="en-US"/>
              </w:rPr>
              <w:t xml:space="preserve">engaged on any regular journey, daily, or other periodic journey, or other journey in connection with his so participating or being so engaged, if, under that contract, he is not entitled to any remuneration other than remuneration for the doing of those things. </w:t>
            </w:r>
          </w:p>
          <w:p w14:paraId="6C07F8BA" w14:textId="5C9CAD7B"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 xml:space="preserve">Except for licensed jockeys under the </w:t>
            </w:r>
            <w:r w:rsidRPr="00743B62">
              <w:rPr>
                <w:rFonts w:cs="Arial"/>
                <w:i/>
                <w:color w:val="000000"/>
                <w:sz w:val="14"/>
                <w:szCs w:val="16"/>
                <w:lang w:val="en-GB"/>
              </w:rPr>
              <w:t>Racing and Wagering Western Australia Act 2003</w:t>
            </w:r>
            <w:r w:rsidRPr="00E070B7">
              <w:rPr>
                <w:rFonts w:cs="Arial"/>
                <w:color w:val="000000"/>
                <w:sz w:val="14"/>
                <w:szCs w:val="16"/>
                <w:lang w:val="en-GB"/>
              </w:rPr>
              <w:t xml:space="preserve"> while engaged in racing or riding work or carrying out their usual duties as of a Jockey — </w:t>
            </w:r>
            <w:hyperlink r:id="rId699" w:history="1">
              <w:r w:rsidRPr="001D4DB0">
                <w:rPr>
                  <w:rStyle w:val="Hyperlink"/>
                  <w:rFonts w:cs="Arial"/>
                  <w:sz w:val="14"/>
                  <w:szCs w:val="16"/>
                  <w:lang w:val="en-GB"/>
                </w:rPr>
                <w:t>s11A</w:t>
              </w:r>
            </w:hyperlink>
            <w:r w:rsidR="000D3C6D">
              <w:rPr>
                <w:rFonts w:cs="Arial"/>
                <w:color w:val="000000"/>
                <w:sz w:val="14"/>
                <w:szCs w:val="16"/>
                <w:lang w:val="en-GB"/>
              </w:rPr>
              <w:t>.</w:t>
            </w:r>
          </w:p>
        </w:tc>
      </w:tr>
      <w:tr w:rsidR="00E070B7" w:rsidRPr="00E070B7" w14:paraId="224ECF5B" w14:textId="77777777" w:rsidTr="00FB729B">
        <w:tc>
          <w:tcPr>
            <w:tcW w:w="1626" w:type="dxa"/>
            <w:shd w:val="clear" w:color="auto" w:fill="FFC9C9"/>
            <w:tcMar>
              <w:top w:w="80" w:type="dxa"/>
              <w:left w:w="80" w:type="dxa"/>
              <w:bottom w:w="80" w:type="dxa"/>
              <w:right w:w="80" w:type="dxa"/>
            </w:tcMar>
          </w:tcPr>
          <w:p w14:paraId="46FB72BA"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South Australia</w:t>
            </w:r>
          </w:p>
        </w:tc>
        <w:tc>
          <w:tcPr>
            <w:tcW w:w="13809" w:type="dxa"/>
            <w:shd w:val="clear" w:color="auto" w:fill="FFC9C9"/>
            <w:tcMar>
              <w:top w:w="80" w:type="dxa"/>
              <w:left w:w="80" w:type="dxa"/>
              <w:bottom w:w="80" w:type="dxa"/>
              <w:right w:w="80" w:type="dxa"/>
            </w:tcMar>
          </w:tcPr>
          <w:p w14:paraId="376D2C2D" w14:textId="749CD131" w:rsidR="00E070B7" w:rsidRPr="00E070B7" w:rsidRDefault="00A7538C" w:rsidP="00B21723">
            <w:pPr>
              <w:spacing w:after="60"/>
              <w:rPr>
                <w:rFonts w:cs="Arial"/>
                <w:color w:val="000000"/>
                <w:sz w:val="14"/>
                <w:szCs w:val="16"/>
                <w:lang w:val="en-GB"/>
              </w:rPr>
            </w:pPr>
            <w:hyperlink r:id="rId700" w:history="1">
              <w:r w:rsidR="00E070B7" w:rsidRPr="00E070B7">
                <w:rPr>
                  <w:rFonts w:cs="Arial"/>
                  <w:color w:val="0000FF"/>
                  <w:sz w:val="14"/>
                  <w:szCs w:val="16"/>
                  <w:u w:val="single"/>
                  <w:lang w:val="en-GB"/>
                </w:rPr>
                <w:t>Section 69</w:t>
              </w:r>
            </w:hyperlink>
            <w:r w:rsidR="00E070B7" w:rsidRPr="00E070B7">
              <w:rPr>
                <w:rFonts w:cs="Arial"/>
                <w:color w:val="000000"/>
                <w:sz w:val="14"/>
                <w:szCs w:val="16"/>
                <w:lang w:val="en-GB"/>
              </w:rPr>
              <w:t xml:space="preserve"> of the </w:t>
            </w:r>
            <w:r w:rsidR="00F70D53" w:rsidRPr="00016069">
              <w:rPr>
                <w:i/>
                <w:sz w:val="14"/>
              </w:rPr>
              <w:t>Return to Work Act 2014</w:t>
            </w:r>
            <w:r w:rsidR="00E070B7" w:rsidRPr="00E070B7">
              <w:rPr>
                <w:rFonts w:cs="Arial"/>
                <w:color w:val="000000"/>
                <w:sz w:val="14"/>
                <w:szCs w:val="16"/>
                <w:lang w:val="en-GB"/>
              </w:rPr>
              <w:t xml:space="preserve"> states:</w:t>
            </w:r>
          </w:p>
          <w:p w14:paraId="724495AF" w14:textId="77777777" w:rsidR="00E070B7" w:rsidRPr="00E070B7" w:rsidRDefault="00E070B7" w:rsidP="00DF35F2">
            <w:pPr>
              <w:numPr>
                <w:ilvl w:val="0"/>
                <w:numId w:val="35"/>
              </w:numPr>
              <w:spacing w:after="60"/>
              <w:rPr>
                <w:rFonts w:cs="Arial"/>
                <w:color w:val="000000"/>
                <w:sz w:val="14"/>
                <w:szCs w:val="16"/>
                <w:lang w:val="en-GB"/>
              </w:rPr>
            </w:pPr>
            <w:r w:rsidRPr="00E070B7">
              <w:rPr>
                <w:rFonts w:cs="Arial"/>
                <w:color w:val="000000"/>
                <w:sz w:val="14"/>
                <w:szCs w:val="16"/>
                <w:lang w:val="en-GB"/>
              </w:rPr>
              <w:t>Despite any other provision of this Act, but subject to ss(2), if:</w:t>
            </w:r>
          </w:p>
          <w:p w14:paraId="4C2F4486" w14:textId="77777777" w:rsidR="00E070B7" w:rsidRPr="00E070B7" w:rsidRDefault="00E070B7" w:rsidP="00DF35F2">
            <w:pPr>
              <w:numPr>
                <w:ilvl w:val="0"/>
                <w:numId w:val="36"/>
              </w:numPr>
              <w:spacing w:after="60"/>
              <w:rPr>
                <w:rFonts w:cs="Arial"/>
                <w:color w:val="000000"/>
                <w:sz w:val="14"/>
                <w:szCs w:val="16"/>
                <w:lang w:val="en-GB"/>
              </w:rPr>
            </w:pPr>
            <w:r w:rsidRPr="00E070B7">
              <w:rPr>
                <w:rFonts w:cs="Arial"/>
                <w:color w:val="000000"/>
                <w:sz w:val="14"/>
                <w:szCs w:val="16"/>
                <w:lang w:val="en-GB"/>
              </w:rPr>
              <w:t>a worker is employed by an employer solely:</w:t>
            </w:r>
          </w:p>
          <w:p w14:paraId="4C649C86" w14:textId="77777777" w:rsidR="00E070B7" w:rsidRPr="00E070B7" w:rsidRDefault="00E070B7" w:rsidP="00DF35F2">
            <w:pPr>
              <w:numPr>
                <w:ilvl w:val="0"/>
                <w:numId w:val="37"/>
              </w:numPr>
              <w:spacing w:after="60"/>
              <w:ind w:left="1077" w:hanging="357"/>
              <w:contextualSpacing/>
              <w:rPr>
                <w:rFonts w:cs="Arial"/>
                <w:color w:val="000000"/>
                <w:sz w:val="14"/>
                <w:szCs w:val="16"/>
                <w:lang w:val="en-GB"/>
              </w:rPr>
            </w:pPr>
            <w:r w:rsidRPr="00E070B7">
              <w:rPr>
                <w:rFonts w:cs="Arial"/>
                <w:color w:val="000000"/>
                <w:sz w:val="14"/>
                <w:szCs w:val="16"/>
                <w:lang w:val="en-GB"/>
              </w:rPr>
              <w:t xml:space="preserve">to participate as a contestant in a sporting or athletic activity (and to engage in training or preparation with a view to such participation), or </w:t>
            </w:r>
          </w:p>
          <w:p w14:paraId="4AD5A455" w14:textId="77777777" w:rsidR="00E070B7" w:rsidRPr="00E070B7" w:rsidRDefault="00E070B7" w:rsidP="00DF35F2">
            <w:pPr>
              <w:numPr>
                <w:ilvl w:val="0"/>
                <w:numId w:val="37"/>
              </w:numPr>
              <w:spacing w:after="60"/>
              <w:ind w:left="1077" w:hanging="357"/>
              <w:rPr>
                <w:rFonts w:cs="Arial"/>
                <w:color w:val="000000"/>
                <w:sz w:val="14"/>
                <w:szCs w:val="16"/>
                <w:lang w:val="en-GB"/>
              </w:rPr>
            </w:pPr>
            <w:r w:rsidRPr="00E070B7">
              <w:rPr>
                <w:rFonts w:cs="Arial"/>
                <w:color w:val="000000"/>
                <w:sz w:val="14"/>
                <w:szCs w:val="16"/>
                <w:lang w:val="en-GB"/>
              </w:rPr>
              <w:t xml:space="preserve">to act as a referee or umpire in relation to a sporting or athletic contest (and to engage in training or preparation with a view to so acting); and </w:t>
            </w:r>
          </w:p>
          <w:p w14:paraId="010E410D" w14:textId="77777777" w:rsidR="00E070B7" w:rsidRPr="00E070B7" w:rsidRDefault="00E070B7" w:rsidP="00DF35F2">
            <w:pPr>
              <w:numPr>
                <w:ilvl w:val="0"/>
                <w:numId w:val="36"/>
              </w:numPr>
              <w:spacing w:after="60"/>
              <w:rPr>
                <w:rFonts w:cs="Arial"/>
                <w:color w:val="000000"/>
                <w:sz w:val="14"/>
                <w:szCs w:val="16"/>
                <w:lang w:val="en-GB"/>
              </w:rPr>
            </w:pPr>
            <w:r w:rsidRPr="00E070B7">
              <w:rPr>
                <w:rFonts w:cs="Arial"/>
                <w:color w:val="000000"/>
                <w:sz w:val="14"/>
                <w:szCs w:val="16"/>
                <w:lang w:val="en-GB"/>
              </w:rPr>
              <w:t>remuneration is not payable under the contract of employment except in respect of such employment, an injury arising out of or in the course of that employment is not compensable under this Act.</w:t>
            </w:r>
          </w:p>
          <w:p w14:paraId="1AE23FFB" w14:textId="77777777" w:rsidR="00E070B7" w:rsidRPr="00E070B7" w:rsidRDefault="00E070B7" w:rsidP="00DF35F2">
            <w:pPr>
              <w:keepNext/>
              <w:numPr>
                <w:ilvl w:val="0"/>
                <w:numId w:val="35"/>
              </w:numPr>
              <w:spacing w:after="60"/>
              <w:ind w:left="357" w:hanging="357"/>
              <w:rPr>
                <w:rFonts w:cs="Arial"/>
                <w:color w:val="000000"/>
                <w:sz w:val="14"/>
                <w:szCs w:val="16"/>
                <w:lang w:val="en-GB"/>
              </w:rPr>
            </w:pPr>
            <w:r w:rsidRPr="00E070B7">
              <w:rPr>
                <w:rFonts w:cs="Arial"/>
                <w:color w:val="000000"/>
                <w:sz w:val="14"/>
                <w:szCs w:val="16"/>
                <w:lang w:val="en-GB"/>
              </w:rPr>
              <w:t>This section does not apply to:</w:t>
            </w:r>
          </w:p>
          <w:p w14:paraId="74BD32C2" w14:textId="77777777" w:rsidR="00E070B7" w:rsidRPr="00E070B7" w:rsidRDefault="00E070B7" w:rsidP="00DF35F2">
            <w:pPr>
              <w:numPr>
                <w:ilvl w:val="0"/>
                <w:numId w:val="38"/>
              </w:numPr>
              <w:spacing w:after="60"/>
              <w:ind w:left="714" w:hanging="357"/>
              <w:contextualSpacing/>
              <w:rPr>
                <w:rFonts w:cs="Arial"/>
                <w:color w:val="000000"/>
                <w:sz w:val="14"/>
                <w:szCs w:val="16"/>
                <w:lang w:val="en-GB"/>
              </w:rPr>
            </w:pPr>
            <w:r w:rsidRPr="00E070B7">
              <w:rPr>
                <w:rFonts w:cs="Arial"/>
                <w:color w:val="000000"/>
                <w:sz w:val="14"/>
                <w:szCs w:val="16"/>
                <w:lang w:val="en-GB"/>
              </w:rPr>
              <w:t xml:space="preserve">a person authorised or permitted by a racing controlling authority within the meaning of the </w:t>
            </w:r>
            <w:r w:rsidRPr="00743B62">
              <w:rPr>
                <w:rFonts w:cs="Arial"/>
                <w:i/>
                <w:color w:val="000000"/>
                <w:sz w:val="14"/>
                <w:szCs w:val="16"/>
                <w:lang w:val="en-GB"/>
              </w:rPr>
              <w:t>Authorised Betting Operations Act 2000</w:t>
            </w:r>
            <w:r w:rsidRPr="00E070B7">
              <w:rPr>
                <w:rFonts w:cs="Arial"/>
                <w:color w:val="000000"/>
                <w:sz w:val="14"/>
                <w:szCs w:val="16"/>
                <w:lang w:val="en-GB"/>
              </w:rPr>
              <w:t xml:space="preserve"> to ride or drive in a race within the meaning of that Act, or </w:t>
            </w:r>
          </w:p>
          <w:p w14:paraId="1951391F" w14:textId="77777777" w:rsidR="00E070B7" w:rsidRPr="00E070B7" w:rsidRDefault="00E070B7" w:rsidP="00DF35F2">
            <w:pPr>
              <w:numPr>
                <w:ilvl w:val="0"/>
                <w:numId w:val="38"/>
              </w:numPr>
              <w:spacing w:after="60"/>
              <w:ind w:left="714" w:hanging="357"/>
              <w:contextualSpacing/>
              <w:rPr>
                <w:rFonts w:cs="Arial"/>
                <w:color w:val="000000"/>
                <w:sz w:val="14"/>
                <w:szCs w:val="16"/>
                <w:lang w:val="en-GB"/>
              </w:rPr>
            </w:pPr>
            <w:r w:rsidRPr="00E070B7">
              <w:rPr>
                <w:rFonts w:cs="Arial"/>
                <w:color w:val="000000"/>
                <w:sz w:val="14"/>
                <w:szCs w:val="16"/>
                <w:lang w:val="en-GB"/>
              </w:rPr>
              <w:t>a boxer, wrestler or referee employed or engaged for a fee to take part in a boxing or wrestling match, or</w:t>
            </w:r>
          </w:p>
          <w:p w14:paraId="5C092710" w14:textId="77777777" w:rsidR="00E070B7" w:rsidRPr="00E070B7" w:rsidRDefault="00E070B7" w:rsidP="00DF35F2">
            <w:pPr>
              <w:numPr>
                <w:ilvl w:val="0"/>
                <w:numId w:val="38"/>
              </w:numPr>
              <w:spacing w:after="60"/>
              <w:ind w:left="714" w:hanging="357"/>
              <w:rPr>
                <w:rFonts w:cs="Arial"/>
                <w:color w:val="000000"/>
                <w:sz w:val="14"/>
                <w:szCs w:val="16"/>
                <w:lang w:val="en-GB"/>
              </w:rPr>
            </w:pPr>
            <w:r w:rsidRPr="00E070B7">
              <w:rPr>
                <w:rFonts w:cs="Arial"/>
                <w:color w:val="000000"/>
                <w:sz w:val="14"/>
                <w:szCs w:val="16"/>
                <w:lang w:val="en-GB"/>
              </w:rPr>
              <w:t>a person who derives an entire livelihood, or an annual income in excess of the prescribed amount, from employment of a kind referred to in ss(1)(a).</w:t>
            </w:r>
          </w:p>
          <w:p w14:paraId="662C719E" w14:textId="77777777" w:rsidR="00E070B7" w:rsidRPr="00E070B7" w:rsidRDefault="00E070B7" w:rsidP="00DF35F2">
            <w:pPr>
              <w:numPr>
                <w:ilvl w:val="0"/>
                <w:numId w:val="35"/>
              </w:numPr>
              <w:spacing w:after="60"/>
              <w:rPr>
                <w:rFonts w:cs="Arial"/>
                <w:color w:val="000000"/>
                <w:sz w:val="14"/>
                <w:szCs w:val="16"/>
                <w:lang w:val="en-GB"/>
              </w:rPr>
            </w:pPr>
            <w:r w:rsidRPr="00E070B7">
              <w:rPr>
                <w:rFonts w:cs="Arial"/>
                <w:color w:val="000000"/>
                <w:sz w:val="14"/>
                <w:szCs w:val="16"/>
                <w:lang w:val="en-GB"/>
              </w:rPr>
              <w:t>In this section, the prescribed amount means:</w:t>
            </w:r>
          </w:p>
          <w:p w14:paraId="520FAE50" w14:textId="66EA9760" w:rsidR="00E070B7" w:rsidRPr="00E070B7" w:rsidRDefault="00E070B7" w:rsidP="00DF35F2">
            <w:pPr>
              <w:numPr>
                <w:ilvl w:val="0"/>
                <w:numId w:val="39"/>
              </w:numPr>
              <w:spacing w:after="60"/>
              <w:ind w:left="714" w:hanging="357"/>
              <w:contextualSpacing/>
              <w:rPr>
                <w:rFonts w:cs="Arial"/>
                <w:color w:val="000000"/>
                <w:sz w:val="14"/>
                <w:szCs w:val="16"/>
                <w:lang w:val="en-GB"/>
              </w:rPr>
            </w:pPr>
            <w:r w:rsidRPr="00E070B7">
              <w:rPr>
                <w:rFonts w:cs="Arial"/>
                <w:color w:val="000000"/>
                <w:sz w:val="14"/>
                <w:szCs w:val="16"/>
                <w:lang w:val="en-GB"/>
              </w:rPr>
              <w:lastRenderedPageBreak/>
              <w:t>in relation to 2014 — $65</w:t>
            </w:r>
            <w:r w:rsidR="009D78A9">
              <w:rPr>
                <w:rFonts w:cs="Arial"/>
                <w:color w:val="000000"/>
                <w:sz w:val="14"/>
                <w:szCs w:val="16"/>
                <w:lang w:val="en-GB"/>
              </w:rPr>
              <w:t>,</w:t>
            </w:r>
            <w:r w:rsidRPr="00E070B7">
              <w:rPr>
                <w:rFonts w:cs="Arial"/>
                <w:color w:val="000000"/>
                <w:sz w:val="14"/>
                <w:szCs w:val="16"/>
                <w:lang w:val="en-GB"/>
              </w:rPr>
              <w:t>600 (indexed), or</w:t>
            </w:r>
          </w:p>
          <w:p w14:paraId="3E9F0CD4" w14:textId="50BE298C" w:rsidR="00E070B7" w:rsidRPr="00E070B7" w:rsidRDefault="00E070B7" w:rsidP="00DF35F2">
            <w:pPr>
              <w:numPr>
                <w:ilvl w:val="0"/>
                <w:numId w:val="39"/>
              </w:numPr>
              <w:spacing w:after="60"/>
              <w:ind w:left="714" w:hanging="357"/>
              <w:rPr>
                <w:rFonts w:cs="Arial"/>
                <w:color w:val="000000"/>
                <w:sz w:val="14"/>
                <w:szCs w:val="16"/>
                <w:lang w:val="en-GB"/>
              </w:rPr>
            </w:pPr>
            <w:r w:rsidRPr="00E070B7">
              <w:rPr>
                <w:rFonts w:cs="Arial"/>
                <w:color w:val="000000"/>
                <w:sz w:val="14"/>
                <w:szCs w:val="16"/>
                <w:lang w:val="en-GB"/>
              </w:rPr>
              <w:t>in relation to a subsequent year — a sum (calculated to the nearest multiple of $100) that bears to $25</w:t>
            </w:r>
            <w:r w:rsidR="009D78A9">
              <w:rPr>
                <w:rFonts w:cs="Arial"/>
                <w:color w:val="000000"/>
                <w:sz w:val="14"/>
                <w:szCs w:val="16"/>
                <w:lang w:val="en-GB"/>
              </w:rPr>
              <w:t>,</w:t>
            </w:r>
            <w:r w:rsidRPr="00E070B7">
              <w:rPr>
                <w:rFonts w:cs="Arial"/>
                <w:color w:val="000000"/>
                <w:sz w:val="14"/>
                <w:szCs w:val="16"/>
                <w:lang w:val="en-GB"/>
              </w:rPr>
              <w:t>000 the same proportion as the Consumer Price Index for the September quarter of the immediately preceding year bears to the CPI for the September quarter, 1985.</w:t>
            </w:r>
          </w:p>
          <w:p w14:paraId="76BBEBB7" w14:textId="2A4CBA60"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A professional sportsperson’s prescr</w:t>
            </w:r>
            <w:r w:rsidR="00D41D16">
              <w:rPr>
                <w:rFonts w:cs="Arial"/>
                <w:color w:val="000000"/>
                <w:sz w:val="14"/>
                <w:szCs w:val="16"/>
                <w:lang w:val="en-GB"/>
              </w:rPr>
              <w:t>ibed income as at 1/1/2016: $67</w:t>
            </w:r>
            <w:r w:rsidR="009D78A9">
              <w:rPr>
                <w:rFonts w:cs="Arial"/>
                <w:color w:val="000000"/>
                <w:sz w:val="14"/>
                <w:szCs w:val="16"/>
                <w:lang w:val="en-GB"/>
              </w:rPr>
              <w:t>,</w:t>
            </w:r>
            <w:r w:rsidRPr="00E070B7">
              <w:rPr>
                <w:rFonts w:cs="Arial"/>
                <w:color w:val="000000"/>
                <w:sz w:val="14"/>
                <w:szCs w:val="16"/>
                <w:lang w:val="en-GB"/>
              </w:rPr>
              <w:t>751 (see the ‘</w:t>
            </w:r>
            <w:hyperlink r:id="rId701" w:history="1">
              <w:r w:rsidRPr="00E070B7">
                <w:rPr>
                  <w:rFonts w:cs="Arial"/>
                  <w:color w:val="0000FF"/>
                  <w:sz w:val="14"/>
                  <w:szCs w:val="16"/>
                  <w:u w:val="single"/>
                </w:rPr>
                <w:t>Schedule of Sums’</w:t>
              </w:r>
            </w:hyperlink>
            <w:r w:rsidRPr="00E070B7">
              <w:rPr>
                <w:rFonts w:cs="Arial"/>
                <w:color w:val="000000"/>
                <w:sz w:val="14"/>
                <w:szCs w:val="16"/>
                <w:lang w:val="en-GB"/>
              </w:rPr>
              <w:t xml:space="preserve"> available at ReturnToWorkSA website).</w:t>
            </w:r>
          </w:p>
        </w:tc>
      </w:tr>
      <w:tr w:rsidR="00E070B7" w:rsidRPr="00E070B7" w14:paraId="3B0E4D32" w14:textId="77777777" w:rsidTr="00FB729B">
        <w:tc>
          <w:tcPr>
            <w:tcW w:w="1626" w:type="dxa"/>
            <w:tcMar>
              <w:top w:w="80" w:type="dxa"/>
              <w:left w:w="80" w:type="dxa"/>
              <w:bottom w:w="80" w:type="dxa"/>
              <w:right w:w="80" w:type="dxa"/>
            </w:tcMar>
          </w:tcPr>
          <w:p w14:paraId="4475A3E9"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lastRenderedPageBreak/>
              <w:t>Tasmania</w:t>
            </w:r>
          </w:p>
        </w:tc>
        <w:tc>
          <w:tcPr>
            <w:tcW w:w="13809" w:type="dxa"/>
            <w:tcMar>
              <w:top w:w="80" w:type="dxa"/>
              <w:left w:w="80" w:type="dxa"/>
              <w:bottom w:w="80" w:type="dxa"/>
              <w:right w:w="80" w:type="dxa"/>
            </w:tcMar>
          </w:tcPr>
          <w:p w14:paraId="701DF0EB" w14:textId="464BE3D4"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 xml:space="preserve">A person is deemed not to be a worker within the meaning of the </w:t>
            </w:r>
            <w:r w:rsidR="00F70D53" w:rsidRPr="00016069">
              <w:rPr>
                <w:i/>
                <w:sz w:val="14"/>
              </w:rPr>
              <w:t>Workers Rehabilitation and Compensation Act 1988</w:t>
            </w:r>
            <w:r w:rsidRPr="00E070B7">
              <w:rPr>
                <w:rFonts w:cs="Arial"/>
                <w:color w:val="000000"/>
                <w:sz w:val="14"/>
                <w:szCs w:val="16"/>
                <w:lang w:val="en-GB"/>
              </w:rPr>
              <w:t xml:space="preserve"> while he is, pursuant to a contract: </w:t>
            </w:r>
          </w:p>
          <w:p w14:paraId="47B047F4" w14:textId="77777777" w:rsidR="00E070B7" w:rsidRPr="00D959BD" w:rsidRDefault="00E070B7" w:rsidP="00F839DB">
            <w:pPr>
              <w:pStyle w:val="ListParagraph"/>
              <w:numPr>
                <w:ilvl w:val="0"/>
                <w:numId w:val="468"/>
              </w:numPr>
              <w:spacing w:after="60"/>
              <w:ind w:left="357" w:hanging="357"/>
              <w:contextualSpacing/>
              <w:rPr>
                <w:rFonts w:cs="Arial"/>
                <w:color w:val="000000"/>
                <w:sz w:val="14"/>
                <w:szCs w:val="16"/>
                <w:lang w:val="en-GB"/>
              </w:rPr>
            </w:pPr>
            <w:r w:rsidRPr="00D959BD">
              <w:rPr>
                <w:rFonts w:cs="Arial"/>
                <w:color w:val="000000"/>
                <w:sz w:val="14"/>
                <w:szCs w:val="16"/>
                <w:lang w:val="en-GB"/>
              </w:rPr>
              <w:t xml:space="preserve">participating as a contestant in any sporting or athletic activity </w:t>
            </w:r>
          </w:p>
          <w:p w14:paraId="50C53AB9" w14:textId="77777777" w:rsidR="00E070B7" w:rsidRPr="00D959BD" w:rsidRDefault="00E070B7" w:rsidP="00F839DB">
            <w:pPr>
              <w:pStyle w:val="ListParagraph"/>
              <w:numPr>
                <w:ilvl w:val="0"/>
                <w:numId w:val="468"/>
              </w:numPr>
              <w:spacing w:after="60"/>
              <w:ind w:left="357" w:hanging="357"/>
              <w:contextualSpacing/>
              <w:rPr>
                <w:rFonts w:cs="Arial"/>
                <w:color w:val="000000"/>
                <w:sz w:val="14"/>
                <w:szCs w:val="16"/>
                <w:lang w:val="en-GB"/>
              </w:rPr>
            </w:pPr>
            <w:r w:rsidRPr="00D959BD">
              <w:rPr>
                <w:rFonts w:cs="Arial"/>
                <w:color w:val="000000"/>
                <w:sz w:val="14"/>
                <w:szCs w:val="16"/>
                <w:lang w:val="en-GB"/>
              </w:rPr>
              <w:t xml:space="preserve">engaged in training or preparing himself with a view to his so participating, or </w:t>
            </w:r>
          </w:p>
          <w:p w14:paraId="396AB84E" w14:textId="77777777" w:rsidR="00E070B7" w:rsidRPr="00D959BD" w:rsidRDefault="00E070B7" w:rsidP="00F839DB">
            <w:pPr>
              <w:pStyle w:val="ListParagraph"/>
              <w:numPr>
                <w:ilvl w:val="0"/>
                <w:numId w:val="468"/>
              </w:numPr>
              <w:spacing w:after="60"/>
              <w:ind w:left="357" w:hanging="357"/>
              <w:contextualSpacing/>
              <w:rPr>
                <w:rFonts w:cs="Arial"/>
                <w:color w:val="000000"/>
                <w:sz w:val="14"/>
                <w:szCs w:val="16"/>
                <w:lang w:val="en-GB"/>
              </w:rPr>
            </w:pPr>
            <w:r w:rsidRPr="00D959BD">
              <w:rPr>
                <w:rFonts w:cs="Arial"/>
                <w:color w:val="000000"/>
                <w:sz w:val="14"/>
                <w:szCs w:val="16"/>
                <w:lang w:val="en-GB"/>
              </w:rPr>
              <w:t xml:space="preserve">travelling in connection with his so participating or being so engaged — if, under that contract, he is not entitled to any remuneration other than remuneration for the doing of those things. — </w:t>
            </w:r>
            <w:hyperlink r:id="rId702" w:history="1">
              <w:r w:rsidRPr="00D959BD">
                <w:rPr>
                  <w:rFonts w:cs="Arial"/>
                  <w:color w:val="0000FF"/>
                  <w:sz w:val="14"/>
                  <w:szCs w:val="16"/>
                  <w:u w:val="single"/>
                  <w:lang w:val="en-GB"/>
                </w:rPr>
                <w:t>s7</w:t>
              </w:r>
            </w:hyperlink>
          </w:p>
          <w:p w14:paraId="4E2D4DCB" w14:textId="77777777" w:rsidR="00E070B7" w:rsidRPr="00D959BD" w:rsidRDefault="002B3287" w:rsidP="00F839DB">
            <w:pPr>
              <w:pStyle w:val="ListParagraph"/>
              <w:numPr>
                <w:ilvl w:val="0"/>
                <w:numId w:val="468"/>
              </w:numPr>
              <w:spacing w:after="60"/>
              <w:rPr>
                <w:rFonts w:cs="Arial"/>
                <w:color w:val="000000"/>
                <w:sz w:val="14"/>
                <w:szCs w:val="16"/>
                <w:lang w:val="en-GB"/>
              </w:rPr>
            </w:pPr>
            <w:r>
              <w:rPr>
                <w:rFonts w:cs="Arial"/>
                <w:color w:val="000000"/>
                <w:sz w:val="14"/>
                <w:szCs w:val="16"/>
                <w:lang w:val="en-GB"/>
              </w:rPr>
              <w:t>j</w:t>
            </w:r>
            <w:r w:rsidR="00E070B7" w:rsidRPr="00D959BD">
              <w:rPr>
                <w:rFonts w:cs="Arial"/>
                <w:color w:val="000000"/>
                <w:sz w:val="14"/>
                <w:szCs w:val="16"/>
                <w:lang w:val="en-GB"/>
              </w:rPr>
              <w:t xml:space="preserve">ockeys — s7 does not apply to jockeys and apprentices whilst engaged in riding in Tasmania at a race meeting or official trial or whilst riding in a training session for a licensed trainer — </w:t>
            </w:r>
            <w:hyperlink r:id="rId703" w:history="1">
              <w:r w:rsidR="00E070B7" w:rsidRPr="00D959BD">
                <w:rPr>
                  <w:rFonts w:cs="Arial"/>
                  <w:color w:val="0000FF"/>
                  <w:sz w:val="14"/>
                  <w:szCs w:val="16"/>
                  <w:u w:val="single"/>
                  <w:lang w:val="en-GB"/>
                </w:rPr>
                <w:t>s4DC</w:t>
              </w:r>
            </w:hyperlink>
            <w:r>
              <w:rPr>
                <w:rFonts w:cs="Arial"/>
                <w:color w:val="0000FF"/>
                <w:sz w:val="14"/>
                <w:szCs w:val="16"/>
                <w:u w:val="single"/>
                <w:lang w:val="en-GB"/>
              </w:rPr>
              <w:t>.</w:t>
            </w:r>
          </w:p>
        </w:tc>
      </w:tr>
      <w:tr w:rsidR="00E070B7" w:rsidRPr="00E070B7" w14:paraId="155C51B8" w14:textId="77777777" w:rsidTr="00FB729B">
        <w:tc>
          <w:tcPr>
            <w:tcW w:w="1626" w:type="dxa"/>
            <w:shd w:val="clear" w:color="auto" w:fill="FFC9C9"/>
            <w:tcMar>
              <w:top w:w="80" w:type="dxa"/>
              <w:left w:w="80" w:type="dxa"/>
              <w:bottom w:w="80" w:type="dxa"/>
              <w:right w:w="80" w:type="dxa"/>
            </w:tcMar>
          </w:tcPr>
          <w:p w14:paraId="2EB458F2"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Northern Territory</w:t>
            </w:r>
          </w:p>
        </w:tc>
        <w:tc>
          <w:tcPr>
            <w:tcW w:w="13809" w:type="dxa"/>
            <w:shd w:val="clear" w:color="auto" w:fill="FFC9C9"/>
            <w:tcMar>
              <w:top w:w="80" w:type="dxa"/>
              <w:left w:w="80" w:type="dxa"/>
              <w:bottom w:w="80" w:type="dxa"/>
              <w:right w:w="80" w:type="dxa"/>
            </w:tcMar>
          </w:tcPr>
          <w:p w14:paraId="57C51753" w14:textId="77777777" w:rsidR="00E070B7" w:rsidRPr="00E070B7" w:rsidRDefault="00E070B7" w:rsidP="00B21723">
            <w:pPr>
              <w:spacing w:after="60"/>
              <w:rPr>
                <w:rFonts w:cs="Arial"/>
                <w:color w:val="000000"/>
                <w:sz w:val="14"/>
                <w:szCs w:val="16"/>
                <w:lang w:val="en-GB"/>
              </w:rPr>
            </w:pPr>
            <w:r w:rsidRPr="00E070B7">
              <w:rPr>
                <w:rFonts w:cs="Arial"/>
                <w:i/>
                <w:color w:val="000000"/>
                <w:sz w:val="14"/>
                <w:szCs w:val="16"/>
                <w:lang w:val="en-GB"/>
              </w:rPr>
              <w:t>Return to Work Act 2015</w:t>
            </w:r>
            <w:r w:rsidRPr="00E070B7">
              <w:rPr>
                <w:rFonts w:cs="Arial"/>
                <w:color w:val="000000"/>
                <w:sz w:val="14"/>
                <w:szCs w:val="16"/>
                <w:lang w:val="en-GB"/>
              </w:rPr>
              <w:t>. A person shall be deemed not to be a worker while they are:</w:t>
            </w:r>
          </w:p>
          <w:p w14:paraId="3F1CBC12" w14:textId="77777777" w:rsidR="00E070B7" w:rsidRPr="00E070B7" w:rsidRDefault="00E070B7" w:rsidP="00F839DB">
            <w:pPr>
              <w:pStyle w:val="ListParagraph"/>
              <w:numPr>
                <w:ilvl w:val="0"/>
                <w:numId w:val="91"/>
              </w:numPr>
              <w:spacing w:after="60"/>
              <w:contextualSpacing/>
              <w:rPr>
                <w:rFonts w:eastAsia="Calibri" w:cs="Arial"/>
                <w:sz w:val="14"/>
                <w:szCs w:val="14"/>
                <w:lang w:eastAsia="en-US"/>
              </w:rPr>
            </w:pPr>
            <w:r w:rsidRPr="00E070B7">
              <w:rPr>
                <w:rFonts w:eastAsia="Calibri" w:cs="Arial"/>
                <w:sz w:val="14"/>
                <w:szCs w:val="14"/>
                <w:lang w:eastAsia="en-US"/>
              </w:rPr>
              <w:t>participating as a contestant in a sporting or athletic activity</w:t>
            </w:r>
          </w:p>
          <w:p w14:paraId="4C67CE1D" w14:textId="77777777" w:rsidR="00E070B7" w:rsidRPr="00E070B7" w:rsidRDefault="00E070B7" w:rsidP="00F839DB">
            <w:pPr>
              <w:pStyle w:val="ListParagraph"/>
              <w:numPr>
                <w:ilvl w:val="0"/>
                <w:numId w:val="91"/>
              </w:numPr>
              <w:spacing w:after="60"/>
              <w:contextualSpacing/>
              <w:rPr>
                <w:rFonts w:eastAsia="Calibri" w:cs="Arial"/>
                <w:sz w:val="14"/>
                <w:szCs w:val="14"/>
                <w:lang w:eastAsia="en-US"/>
              </w:rPr>
            </w:pPr>
            <w:r w:rsidRPr="00E070B7">
              <w:rPr>
                <w:rFonts w:eastAsia="Calibri" w:cs="Arial"/>
                <w:sz w:val="14"/>
                <w:szCs w:val="14"/>
                <w:lang w:eastAsia="en-US"/>
              </w:rPr>
              <w:t>engaged in training or preparing themself with a view to his or her so participating, or</w:t>
            </w:r>
          </w:p>
          <w:p w14:paraId="455B04A1" w14:textId="19A14CFF" w:rsidR="00E070B7" w:rsidRPr="00E070B7" w:rsidRDefault="00E070B7" w:rsidP="00F839DB">
            <w:pPr>
              <w:pStyle w:val="ListParagraph"/>
              <w:numPr>
                <w:ilvl w:val="0"/>
                <w:numId w:val="91"/>
              </w:numPr>
              <w:spacing w:after="60"/>
              <w:contextualSpacing/>
              <w:rPr>
                <w:rFonts w:eastAsia="Calibri" w:cs="Arial"/>
                <w:sz w:val="14"/>
                <w:szCs w:val="14"/>
                <w:lang w:eastAsia="en-US"/>
              </w:rPr>
            </w:pPr>
            <w:r w:rsidRPr="00E070B7">
              <w:rPr>
                <w:rFonts w:eastAsia="Calibri" w:cs="Arial"/>
                <w:sz w:val="14"/>
                <w:szCs w:val="14"/>
                <w:lang w:eastAsia="en-US"/>
              </w:rPr>
              <w:t>travelling in connection with them so participating or being so engaged, unless, under the contract, they are entitled to remuneration of not less than the prescribed amount per year (annual equivalent of 65% of Average weekly earnings</w:t>
            </w:r>
            <w:r w:rsidR="00065027">
              <w:rPr>
                <w:rFonts w:eastAsia="Calibri" w:cs="Arial"/>
                <w:sz w:val="14"/>
                <w:szCs w:val="14"/>
                <w:lang w:eastAsia="en-US"/>
              </w:rPr>
              <w:t xml:space="preserve"> </w:t>
            </w:r>
            <w:r w:rsidRPr="00E070B7">
              <w:rPr>
                <w:rFonts w:eastAsia="Calibri" w:cs="Arial"/>
                <w:sz w:val="14"/>
                <w:szCs w:val="14"/>
                <w:lang w:eastAsia="en-US"/>
              </w:rPr>
              <w:t>= $</w:t>
            </w:r>
            <w:r w:rsidR="00877B78">
              <w:rPr>
                <w:rFonts w:eastAsia="Calibri" w:cs="Arial"/>
                <w:sz w:val="14"/>
                <w:szCs w:val="14"/>
                <w:lang w:eastAsia="en-US"/>
              </w:rPr>
              <w:t>53,055.85</w:t>
            </w:r>
            <w:r w:rsidRPr="00E070B7">
              <w:rPr>
                <w:rFonts w:eastAsia="Calibri" w:cs="Arial"/>
                <w:sz w:val="14"/>
                <w:szCs w:val="14"/>
                <w:lang w:eastAsia="en-US"/>
              </w:rPr>
              <w:t xml:space="preserve">) or at a rate that, if the contract continued for a year, would result in his or her receiving remuneration of not less than that amount — </w:t>
            </w:r>
            <w:hyperlink r:id="rId704" w:history="1">
              <w:r w:rsidRPr="00A04487">
                <w:rPr>
                  <w:rStyle w:val="Hyperlink"/>
                  <w:rFonts w:eastAsia="Calibri" w:cs="Arial"/>
                  <w:sz w:val="14"/>
                  <w:szCs w:val="14"/>
                  <w:lang w:eastAsia="en-US"/>
                </w:rPr>
                <w:t>s3(10)</w:t>
              </w:r>
            </w:hyperlink>
            <w:r w:rsidR="002B3287">
              <w:rPr>
                <w:rFonts w:eastAsia="Calibri" w:cs="Arial"/>
                <w:sz w:val="14"/>
                <w:szCs w:val="14"/>
                <w:lang w:eastAsia="en-US"/>
              </w:rPr>
              <w:t>.</w:t>
            </w:r>
          </w:p>
          <w:p w14:paraId="4FCD6303" w14:textId="4DCF1512"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 xml:space="preserve">Regulation </w:t>
            </w:r>
            <w:hyperlink r:id="rId705" w:history="1">
              <w:r w:rsidRPr="00A04487">
                <w:rPr>
                  <w:rStyle w:val="Hyperlink"/>
                  <w:rFonts w:cs="Arial"/>
                  <w:sz w:val="14"/>
                  <w:szCs w:val="16"/>
                  <w:lang w:val="en-GB"/>
                </w:rPr>
                <w:t>3A</w:t>
              </w:r>
            </w:hyperlink>
            <w:r w:rsidRPr="00E070B7">
              <w:rPr>
                <w:rFonts w:cs="Arial"/>
                <w:color w:val="000000"/>
                <w:sz w:val="14"/>
                <w:szCs w:val="16"/>
                <w:lang w:val="en-GB"/>
              </w:rPr>
              <w:t xml:space="preserve"> Definition of ‘worker’ — Jockeys are defined as workers.</w:t>
            </w:r>
          </w:p>
        </w:tc>
      </w:tr>
      <w:tr w:rsidR="00E070B7" w:rsidRPr="00E070B7" w14:paraId="08EDB721" w14:textId="77777777" w:rsidTr="00FB729B">
        <w:tc>
          <w:tcPr>
            <w:tcW w:w="1626" w:type="dxa"/>
            <w:tcMar>
              <w:top w:w="80" w:type="dxa"/>
              <w:left w:w="80" w:type="dxa"/>
              <w:bottom w:w="80" w:type="dxa"/>
              <w:right w:w="80" w:type="dxa"/>
            </w:tcMar>
          </w:tcPr>
          <w:p w14:paraId="11B7BB57"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Australian Capital Territory</w:t>
            </w:r>
          </w:p>
        </w:tc>
        <w:tc>
          <w:tcPr>
            <w:tcW w:w="13809" w:type="dxa"/>
            <w:tcMar>
              <w:top w:w="80" w:type="dxa"/>
              <w:left w:w="80" w:type="dxa"/>
              <w:bottom w:w="80" w:type="dxa"/>
              <w:right w:w="80" w:type="dxa"/>
            </w:tcMar>
          </w:tcPr>
          <w:p w14:paraId="509AB49F" w14:textId="77777777" w:rsidR="00E070B7" w:rsidRPr="00E070B7" w:rsidRDefault="00E070B7" w:rsidP="00B21723">
            <w:pPr>
              <w:spacing w:after="60"/>
              <w:rPr>
                <w:rFonts w:cs="Arial"/>
                <w:i/>
                <w:color w:val="000000"/>
                <w:sz w:val="14"/>
                <w:szCs w:val="16"/>
                <w:lang w:val="en-GB"/>
              </w:rPr>
            </w:pPr>
            <w:r w:rsidRPr="00E070B7">
              <w:rPr>
                <w:rFonts w:cs="Arial"/>
                <w:i/>
                <w:color w:val="000000"/>
                <w:sz w:val="14"/>
                <w:szCs w:val="16"/>
                <w:lang w:val="en-GB"/>
              </w:rPr>
              <w:t xml:space="preserve">Workers’ Compensation Act 1951 </w:t>
            </w:r>
          </w:p>
          <w:p w14:paraId="5A10248E" w14:textId="191544D1" w:rsidR="00E070B7" w:rsidRPr="00E070B7" w:rsidRDefault="00A7538C" w:rsidP="00F839DB">
            <w:pPr>
              <w:pStyle w:val="ListParagraph"/>
              <w:numPr>
                <w:ilvl w:val="0"/>
                <w:numId w:val="92"/>
              </w:numPr>
              <w:spacing w:after="60"/>
              <w:contextualSpacing/>
              <w:rPr>
                <w:rFonts w:eastAsia="Calibri" w:cs="Arial"/>
                <w:sz w:val="14"/>
                <w:szCs w:val="14"/>
                <w:lang w:eastAsia="en-US"/>
              </w:rPr>
            </w:pPr>
            <w:hyperlink r:id="rId706" w:history="1">
              <w:r w:rsidR="00E070B7" w:rsidRPr="00A04487">
                <w:rPr>
                  <w:rStyle w:val="Hyperlink"/>
                  <w:rFonts w:eastAsia="Calibri" w:cs="Arial"/>
                  <w:sz w:val="14"/>
                  <w:szCs w:val="14"/>
                  <w:lang w:eastAsia="en-US"/>
                </w:rPr>
                <w:t>s84</w:t>
              </w:r>
            </w:hyperlink>
            <w:r w:rsidR="00E070B7" w:rsidRPr="00E070B7">
              <w:rPr>
                <w:rFonts w:eastAsia="Calibri" w:cs="Arial"/>
                <w:sz w:val="14"/>
                <w:szCs w:val="14"/>
                <w:lang w:eastAsia="en-US"/>
              </w:rPr>
              <w:t xml:space="preserve"> — Compensation for sporting injuries. A person is not entitled to receive compensation for an injury sustained as a result of the person’s engagement in professional sporting activity.</w:t>
            </w:r>
          </w:p>
          <w:p w14:paraId="385751E6" w14:textId="385DE049" w:rsidR="00E070B7" w:rsidRPr="00E070B7" w:rsidRDefault="00A7538C" w:rsidP="00F839DB">
            <w:pPr>
              <w:pStyle w:val="ListParagraph"/>
              <w:numPr>
                <w:ilvl w:val="0"/>
                <w:numId w:val="92"/>
              </w:numPr>
              <w:spacing w:after="60"/>
              <w:contextualSpacing/>
              <w:rPr>
                <w:rFonts w:eastAsia="Calibri" w:cs="Arial"/>
                <w:sz w:val="14"/>
                <w:szCs w:val="14"/>
                <w:lang w:eastAsia="en-US"/>
              </w:rPr>
            </w:pPr>
            <w:hyperlink r:id="rId707" w:history="1">
              <w:r w:rsidR="00E070B7" w:rsidRPr="00A04487">
                <w:rPr>
                  <w:rStyle w:val="Hyperlink"/>
                  <w:rFonts w:eastAsia="Calibri" w:cs="Arial"/>
                  <w:sz w:val="14"/>
                  <w:szCs w:val="14"/>
                  <w:lang w:eastAsia="en-US"/>
                </w:rPr>
                <w:t>s177</w:t>
              </w:r>
            </w:hyperlink>
            <w:r w:rsidR="00E070B7" w:rsidRPr="00E070B7">
              <w:rPr>
                <w:rFonts w:eastAsia="Calibri" w:cs="Arial"/>
                <w:sz w:val="14"/>
                <w:szCs w:val="14"/>
                <w:lang w:eastAsia="en-US"/>
              </w:rPr>
              <w:t xml:space="preserve"> Premiums — remuneration for professional sporting activity. An employer is not liable to pay any part of a premium for a compulsory insurance policy calculated by reference to the remuneration payable to an employee for engaging in professional sporting activity.</w:t>
            </w:r>
          </w:p>
        </w:tc>
      </w:tr>
      <w:tr w:rsidR="00E070B7" w:rsidRPr="00E070B7" w14:paraId="28E577E8" w14:textId="77777777" w:rsidTr="00FB729B">
        <w:tc>
          <w:tcPr>
            <w:tcW w:w="1626" w:type="dxa"/>
            <w:shd w:val="clear" w:color="auto" w:fill="FFC9C9"/>
            <w:tcMar>
              <w:top w:w="80" w:type="dxa"/>
              <w:left w:w="80" w:type="dxa"/>
              <w:bottom w:w="80" w:type="dxa"/>
              <w:right w:w="80" w:type="dxa"/>
            </w:tcMar>
          </w:tcPr>
          <w:p w14:paraId="229726E9"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C’wealth Comcare</w:t>
            </w:r>
          </w:p>
        </w:tc>
        <w:tc>
          <w:tcPr>
            <w:tcW w:w="13809" w:type="dxa"/>
            <w:shd w:val="clear" w:color="auto" w:fill="FFC9C9"/>
            <w:tcMar>
              <w:top w:w="80" w:type="dxa"/>
              <w:left w:w="80" w:type="dxa"/>
              <w:bottom w:w="80" w:type="dxa"/>
              <w:right w:w="80" w:type="dxa"/>
            </w:tcMar>
          </w:tcPr>
          <w:p w14:paraId="1BBC7BC8" w14:textId="77777777"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Nothing specific in legislation. The</w:t>
            </w:r>
            <w:r w:rsidRPr="00E070B7">
              <w:rPr>
                <w:rFonts w:cs="Arial"/>
                <w:i/>
                <w:color w:val="000000"/>
                <w:sz w:val="14"/>
                <w:szCs w:val="16"/>
                <w:lang w:val="en-GB"/>
              </w:rPr>
              <w:t xml:space="preserve"> Safety Rehabilitation and Compensation Act 1988</w:t>
            </w:r>
            <w:r w:rsidRPr="00E070B7">
              <w:rPr>
                <w:rFonts w:cs="Arial"/>
                <w:color w:val="000000"/>
                <w:sz w:val="14"/>
                <w:szCs w:val="16"/>
                <w:lang w:val="en-GB"/>
              </w:rPr>
              <w:t xml:space="preserve"> provides that in the case of an injury, compensation is payable where the injury ‘arises out of or in the course of the employee’s employment.’</w:t>
            </w:r>
          </w:p>
        </w:tc>
      </w:tr>
      <w:tr w:rsidR="00E070B7" w:rsidRPr="00E070B7" w14:paraId="7958E120" w14:textId="77777777" w:rsidTr="00FB729B">
        <w:tc>
          <w:tcPr>
            <w:tcW w:w="1626" w:type="dxa"/>
            <w:tcMar>
              <w:top w:w="80" w:type="dxa"/>
              <w:left w:w="80" w:type="dxa"/>
              <w:bottom w:w="80" w:type="dxa"/>
              <w:right w:w="80" w:type="dxa"/>
            </w:tcMar>
          </w:tcPr>
          <w:p w14:paraId="0635C75E"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C’wealth Seacare</w:t>
            </w:r>
          </w:p>
        </w:tc>
        <w:tc>
          <w:tcPr>
            <w:tcW w:w="13809" w:type="dxa"/>
            <w:tcMar>
              <w:top w:w="80" w:type="dxa"/>
              <w:left w:w="80" w:type="dxa"/>
              <w:bottom w:w="80" w:type="dxa"/>
              <w:right w:w="80" w:type="dxa"/>
            </w:tcMar>
          </w:tcPr>
          <w:p w14:paraId="582E0A95" w14:textId="77777777"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 xml:space="preserve">Nothing specific in legislation. The </w:t>
            </w:r>
            <w:r w:rsidRPr="00E070B7">
              <w:rPr>
                <w:rFonts w:cs="Arial"/>
                <w:i/>
                <w:color w:val="000000"/>
                <w:sz w:val="14"/>
                <w:szCs w:val="16"/>
                <w:lang w:val="en-GB"/>
              </w:rPr>
              <w:t>Seafarers Rehabilitation and Compensation Act 1992</w:t>
            </w:r>
            <w:r w:rsidRPr="00E070B7">
              <w:rPr>
                <w:rFonts w:cs="Arial"/>
                <w:color w:val="000000"/>
                <w:sz w:val="14"/>
                <w:szCs w:val="16"/>
                <w:lang w:val="en-GB"/>
              </w:rPr>
              <w:t xml:space="preserve"> provides that in the case of an injury, compensation is payable where the injury ‘arises out of or in the course of the employee’s employment’.</w:t>
            </w:r>
          </w:p>
        </w:tc>
      </w:tr>
      <w:tr w:rsidR="00E070B7" w:rsidRPr="00E070B7" w14:paraId="1411A9C0" w14:textId="77777777" w:rsidTr="00FB729B">
        <w:tc>
          <w:tcPr>
            <w:tcW w:w="1626" w:type="dxa"/>
            <w:shd w:val="clear" w:color="auto" w:fill="FFC9C9"/>
            <w:tcMar>
              <w:top w:w="80" w:type="dxa"/>
              <w:left w:w="80" w:type="dxa"/>
              <w:bottom w:w="80" w:type="dxa"/>
              <w:right w:w="80" w:type="dxa"/>
            </w:tcMar>
          </w:tcPr>
          <w:p w14:paraId="61C17126"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C’wealth DVA</w:t>
            </w:r>
          </w:p>
        </w:tc>
        <w:tc>
          <w:tcPr>
            <w:tcW w:w="13809" w:type="dxa"/>
            <w:shd w:val="clear" w:color="auto" w:fill="FFC9C9"/>
            <w:tcMar>
              <w:top w:w="80" w:type="dxa"/>
              <w:left w:w="80" w:type="dxa"/>
              <w:bottom w:w="80" w:type="dxa"/>
              <w:right w:w="80" w:type="dxa"/>
            </w:tcMar>
          </w:tcPr>
          <w:p w14:paraId="3DF8EAE2" w14:textId="3216CE95" w:rsidR="00E070B7" w:rsidRDefault="00E070B7" w:rsidP="00A93872">
            <w:pPr>
              <w:spacing w:after="60"/>
              <w:rPr>
                <w:rFonts w:cs="Arial"/>
                <w:color w:val="000000"/>
                <w:sz w:val="14"/>
                <w:szCs w:val="16"/>
                <w:lang w:val="en-GB"/>
              </w:rPr>
            </w:pPr>
            <w:r w:rsidRPr="00E070B7">
              <w:rPr>
                <w:rFonts w:cs="Arial"/>
                <w:color w:val="000000"/>
                <w:sz w:val="14"/>
                <w:szCs w:val="16"/>
                <w:lang w:val="en-GB"/>
              </w:rPr>
              <w:t xml:space="preserve">Nothing specific in </w:t>
            </w:r>
            <w:r w:rsidR="0048609F" w:rsidRPr="0039798F">
              <w:rPr>
                <w:rFonts w:eastAsia="Calibri" w:cs="Arial"/>
                <w:i/>
                <w:sz w:val="14"/>
                <w:szCs w:val="14"/>
                <w:lang w:eastAsia="en-US"/>
              </w:rPr>
              <w:t>Military Rehabilitation and Compensation Act 2004</w:t>
            </w:r>
            <w:r w:rsidRPr="00E070B7">
              <w:rPr>
                <w:rFonts w:cs="Arial"/>
                <w:color w:val="000000"/>
                <w:sz w:val="14"/>
                <w:szCs w:val="16"/>
                <w:lang w:val="en-GB"/>
              </w:rPr>
              <w:t>. Each claim for an injury sustained during a sporting or leisure activity will be decided on its own merits in accordance with the principle of ‘relatedness to service’ and relevant case law applicable at the time the claim is considered.</w:t>
            </w:r>
          </w:p>
          <w:p w14:paraId="551EA7A1" w14:textId="0FC5BF65" w:rsidR="00A93872" w:rsidRPr="00E070B7" w:rsidRDefault="00A93872" w:rsidP="00A93872">
            <w:pPr>
              <w:spacing w:after="60"/>
              <w:rPr>
                <w:rFonts w:cs="Arial"/>
                <w:color w:val="000000"/>
                <w:sz w:val="14"/>
                <w:szCs w:val="16"/>
                <w:lang w:val="en-GB"/>
              </w:rPr>
            </w:pPr>
            <w:r>
              <w:rPr>
                <w:rFonts w:cs="Arial"/>
                <w:color w:val="000000"/>
                <w:sz w:val="14"/>
                <w:szCs w:val="16"/>
                <w:lang w:val="en-GB"/>
              </w:rPr>
              <w:t xml:space="preserve">Nothing specific in </w:t>
            </w:r>
            <w:r w:rsidR="0048609F" w:rsidRPr="00016069">
              <w:rPr>
                <w:i/>
                <w:sz w:val="14"/>
              </w:rPr>
              <w:t>Safety, Rehabilitation and Compensation (Defence-related Claims) Act 1988</w:t>
            </w:r>
            <w:r>
              <w:rPr>
                <w:rFonts w:cs="Arial"/>
                <w:color w:val="000000"/>
                <w:sz w:val="14"/>
                <w:szCs w:val="16"/>
                <w:lang w:val="en-GB"/>
              </w:rPr>
              <w:t xml:space="preserve"> provides that in the case of an injury, compensation is payable where the injury ‘arises out of or in the course of the employee’s employment’.</w:t>
            </w:r>
          </w:p>
        </w:tc>
      </w:tr>
      <w:tr w:rsidR="00E070B7" w:rsidRPr="00E070B7" w14:paraId="7A819233" w14:textId="77777777" w:rsidTr="00FB729B">
        <w:tc>
          <w:tcPr>
            <w:tcW w:w="1626" w:type="dxa"/>
            <w:tcMar>
              <w:top w:w="80" w:type="dxa"/>
              <w:left w:w="80" w:type="dxa"/>
              <w:bottom w:w="80" w:type="dxa"/>
              <w:right w:w="80" w:type="dxa"/>
            </w:tcMar>
          </w:tcPr>
          <w:p w14:paraId="04A9F190"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New Zealand</w:t>
            </w:r>
          </w:p>
        </w:tc>
        <w:tc>
          <w:tcPr>
            <w:tcW w:w="13809" w:type="dxa"/>
            <w:tcMar>
              <w:top w:w="80" w:type="dxa"/>
              <w:left w:w="80" w:type="dxa"/>
              <w:bottom w:w="80" w:type="dxa"/>
              <w:right w:w="80" w:type="dxa"/>
            </w:tcMar>
          </w:tcPr>
          <w:p w14:paraId="06A4C761" w14:textId="77777777"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 xml:space="preserve">The </w:t>
            </w:r>
            <w:r w:rsidRPr="00E070B7">
              <w:rPr>
                <w:rFonts w:cs="Arial"/>
                <w:i/>
                <w:color w:val="000000"/>
                <w:sz w:val="14"/>
                <w:szCs w:val="16"/>
                <w:lang w:val="en-GB"/>
              </w:rPr>
              <w:t>Accident Compensation Act 2001</w:t>
            </w:r>
            <w:r w:rsidRPr="00E070B7">
              <w:rPr>
                <w:rFonts w:cs="Arial"/>
                <w:color w:val="000000"/>
                <w:sz w:val="14"/>
                <w:szCs w:val="16"/>
                <w:lang w:val="en-GB"/>
              </w:rPr>
              <w:t xml:space="preserve"> provides broad cover for personal injury and makes no distinction in coverage between sport-related injury and any other injury. However, injuries that are not work-related are not funded through levies collected from employers.</w:t>
            </w:r>
          </w:p>
        </w:tc>
      </w:tr>
      <w:bookmarkEnd w:id="93"/>
    </w:tbl>
    <w:p w14:paraId="2A52764E" w14:textId="086CADF4" w:rsidR="00C66972" w:rsidRPr="00C66972" w:rsidRDefault="00C66972" w:rsidP="00C66972">
      <w:pPr>
        <w:spacing w:after="200" w:line="276" w:lineRule="auto"/>
        <w:rPr>
          <w:rFonts w:eastAsiaTheme="minorHAnsi"/>
        </w:rPr>
      </w:pPr>
    </w:p>
    <w:p w14:paraId="3891578B" w14:textId="79AE6AE8" w:rsidR="00367B31" w:rsidRPr="00A80282" w:rsidRDefault="00367B31" w:rsidP="00A80282">
      <w:pPr>
        <w:pStyle w:val="SWATableheader"/>
      </w:pPr>
      <w:bookmarkStart w:id="94" w:name="_Toc504654660"/>
      <w:bookmarkStart w:id="95" w:name="employers"/>
      <w:bookmarkStart w:id="96" w:name="government"/>
      <w:r w:rsidRPr="00A80282">
        <w:lastRenderedPageBreak/>
        <w:t>Table 3.5: Workers’ compensation arrangements for government employers</w:t>
      </w:r>
      <w:bookmarkEnd w:id="94"/>
      <w:r w:rsidRPr="00A80282">
        <w:t xml:space="preserve"> </w:t>
      </w:r>
      <w:r w:rsidR="00D069A1" w:rsidRPr="00A80282">
        <w:fldChar w:fldCharType="begin"/>
      </w:r>
      <w:r w:rsidR="00D069A1" w:rsidRPr="00A80282">
        <w:instrText xml:space="preserve"> XE "government employers" \r "employers" </w:instrText>
      </w:r>
      <w:r w:rsidR="00D069A1" w:rsidRPr="00A80282">
        <w:fldChar w:fldCharType="end"/>
      </w:r>
      <w:r w:rsidR="00184441" w:rsidRPr="00A80282">
        <w:fldChar w:fldCharType="begin"/>
      </w:r>
      <w:r w:rsidR="00184441" w:rsidRPr="00A80282">
        <w:instrText xml:space="preserve"> XE "coverage of workers:government employers" \r "government" </w:instrText>
      </w:r>
      <w:r w:rsidR="00184441" w:rsidRPr="00A80282">
        <w:fldChar w:fldCharType="end"/>
      </w:r>
      <w:r w:rsidR="0025506E" w:rsidRPr="00A80282">
        <w:fldChar w:fldCharType="begin"/>
      </w:r>
      <w:r w:rsidR="0025506E" w:rsidRPr="00A80282">
        <w:instrText xml:space="preserve"> XE "employers:government employers" \r "employers" </w:instrText>
      </w:r>
      <w:r w:rsidR="0025506E"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5: Workers’ compensation arrangements for government employers "/>
        <w:tblDescription w:val="This table provides information about workers' compensation for government employers. "/>
      </w:tblPr>
      <w:tblGrid>
        <w:gridCol w:w="1633"/>
        <w:gridCol w:w="1694"/>
        <w:gridCol w:w="4036"/>
        <w:gridCol w:w="4036"/>
        <w:gridCol w:w="4036"/>
      </w:tblGrid>
      <w:tr w:rsidR="00367B31" w:rsidRPr="00367B31" w14:paraId="160D225A" w14:textId="77777777" w:rsidTr="00854AFF">
        <w:trPr>
          <w:tblHeader/>
        </w:trPr>
        <w:tc>
          <w:tcPr>
            <w:tcW w:w="1633" w:type="dxa"/>
            <w:shd w:val="clear" w:color="auto" w:fill="C00000"/>
            <w:tcMar>
              <w:top w:w="0" w:type="dxa"/>
              <w:left w:w="0" w:type="dxa"/>
              <w:bottom w:w="0" w:type="dxa"/>
              <w:right w:w="0" w:type="dxa"/>
            </w:tcMar>
            <w:vAlign w:val="center"/>
          </w:tcPr>
          <w:p w14:paraId="3AD834BB" w14:textId="77777777" w:rsidR="00367B31" w:rsidRPr="00367B31" w:rsidRDefault="00367B31" w:rsidP="00B21723">
            <w:pPr>
              <w:spacing w:after="60"/>
              <w:rPr>
                <w:rFonts w:eastAsia="Calibri" w:cs="Arial"/>
                <w:b/>
                <w:color w:val="FFFFFF"/>
                <w:sz w:val="18"/>
                <w:szCs w:val="18"/>
                <w:lang w:eastAsia="en-US"/>
              </w:rPr>
            </w:pPr>
          </w:p>
        </w:tc>
        <w:tc>
          <w:tcPr>
            <w:tcW w:w="1694" w:type="dxa"/>
            <w:shd w:val="clear" w:color="auto" w:fill="C00000"/>
            <w:tcMar>
              <w:top w:w="0" w:type="dxa"/>
              <w:left w:w="0" w:type="dxa"/>
              <w:bottom w:w="0" w:type="dxa"/>
              <w:right w:w="0" w:type="dxa"/>
            </w:tcMar>
            <w:vAlign w:val="center"/>
          </w:tcPr>
          <w:p w14:paraId="136BBD7B" w14:textId="77777777" w:rsidR="00367B31" w:rsidRPr="00367B31" w:rsidRDefault="00367B31" w:rsidP="00B21723">
            <w:pPr>
              <w:spacing w:after="60"/>
              <w:rPr>
                <w:rFonts w:eastAsia="Calibri" w:cs="Arial"/>
                <w:b/>
                <w:color w:val="FFFFFF"/>
                <w:sz w:val="18"/>
                <w:szCs w:val="18"/>
                <w:lang w:eastAsia="en-US"/>
              </w:rPr>
            </w:pPr>
            <w:r w:rsidRPr="00367B31">
              <w:rPr>
                <w:rFonts w:eastAsia="Calibri" w:cs="Arial"/>
                <w:b/>
                <w:color w:val="FFFFFF"/>
                <w:sz w:val="18"/>
                <w:szCs w:val="18"/>
                <w:lang w:eastAsia="en-US"/>
              </w:rPr>
              <w:t>Legislation</w:t>
            </w:r>
          </w:p>
        </w:tc>
        <w:tc>
          <w:tcPr>
            <w:tcW w:w="4036" w:type="dxa"/>
            <w:shd w:val="clear" w:color="auto" w:fill="C00000"/>
            <w:tcMar>
              <w:top w:w="0" w:type="dxa"/>
              <w:left w:w="0" w:type="dxa"/>
              <w:bottom w:w="0" w:type="dxa"/>
              <w:right w:w="0" w:type="dxa"/>
            </w:tcMar>
            <w:vAlign w:val="center"/>
          </w:tcPr>
          <w:p w14:paraId="2750DF77" w14:textId="77777777" w:rsidR="00367B31" w:rsidRPr="00367B31" w:rsidRDefault="00367B31" w:rsidP="00B21723">
            <w:pPr>
              <w:spacing w:after="60"/>
              <w:rPr>
                <w:rFonts w:eastAsia="Calibri" w:cs="Arial"/>
                <w:b/>
                <w:color w:val="FFFFFF"/>
                <w:sz w:val="18"/>
                <w:szCs w:val="18"/>
                <w:lang w:eastAsia="en-US"/>
              </w:rPr>
            </w:pPr>
            <w:r w:rsidRPr="00367B31">
              <w:rPr>
                <w:rFonts w:eastAsia="Calibri" w:cs="Arial"/>
                <w:b/>
                <w:color w:val="FFFFFF"/>
                <w:sz w:val="18"/>
                <w:szCs w:val="18"/>
                <w:lang w:eastAsia="en-US"/>
              </w:rPr>
              <w:t>Self-insurance</w:t>
            </w:r>
          </w:p>
        </w:tc>
        <w:tc>
          <w:tcPr>
            <w:tcW w:w="4036" w:type="dxa"/>
            <w:shd w:val="clear" w:color="auto" w:fill="C00000"/>
            <w:tcMar>
              <w:top w:w="0" w:type="dxa"/>
              <w:left w:w="0" w:type="dxa"/>
              <w:bottom w:w="0" w:type="dxa"/>
              <w:right w:w="0" w:type="dxa"/>
            </w:tcMar>
            <w:vAlign w:val="center"/>
          </w:tcPr>
          <w:p w14:paraId="6499B284" w14:textId="77777777" w:rsidR="00367B31" w:rsidRPr="00367B31" w:rsidRDefault="00367B31" w:rsidP="00B21723">
            <w:pPr>
              <w:spacing w:after="60"/>
              <w:rPr>
                <w:rFonts w:eastAsia="Calibri" w:cs="Arial"/>
                <w:b/>
                <w:color w:val="FFFFFF"/>
                <w:sz w:val="18"/>
                <w:szCs w:val="18"/>
                <w:lang w:eastAsia="en-US"/>
              </w:rPr>
            </w:pPr>
            <w:r w:rsidRPr="00367B31">
              <w:rPr>
                <w:rFonts w:eastAsia="Calibri" w:cs="Arial"/>
                <w:b/>
                <w:color w:val="FFFFFF"/>
                <w:sz w:val="18"/>
                <w:szCs w:val="18"/>
                <w:lang w:eastAsia="en-US"/>
              </w:rPr>
              <w:t>Claims managers</w:t>
            </w:r>
          </w:p>
        </w:tc>
        <w:tc>
          <w:tcPr>
            <w:tcW w:w="4036" w:type="dxa"/>
            <w:shd w:val="clear" w:color="auto" w:fill="C00000"/>
            <w:tcMar>
              <w:top w:w="0" w:type="dxa"/>
              <w:left w:w="0" w:type="dxa"/>
              <w:bottom w:w="0" w:type="dxa"/>
              <w:right w:w="0" w:type="dxa"/>
            </w:tcMar>
            <w:vAlign w:val="center"/>
          </w:tcPr>
          <w:p w14:paraId="77626D6F" w14:textId="77777777" w:rsidR="00367B31" w:rsidRPr="00367B31" w:rsidRDefault="00367B31" w:rsidP="00B21723">
            <w:pPr>
              <w:spacing w:after="60"/>
              <w:rPr>
                <w:rFonts w:eastAsia="Calibri" w:cs="Arial"/>
                <w:b/>
                <w:color w:val="FFFFFF"/>
                <w:sz w:val="18"/>
                <w:szCs w:val="18"/>
                <w:lang w:eastAsia="en-US"/>
              </w:rPr>
            </w:pPr>
            <w:r w:rsidRPr="00367B31">
              <w:rPr>
                <w:rFonts w:eastAsia="Calibri" w:cs="Arial"/>
                <w:b/>
                <w:color w:val="FFFFFF"/>
                <w:sz w:val="18"/>
                <w:szCs w:val="18"/>
                <w:lang w:eastAsia="en-US"/>
              </w:rPr>
              <w:t>Premiums</w:t>
            </w:r>
          </w:p>
        </w:tc>
      </w:tr>
      <w:tr w:rsidR="00367B31" w:rsidRPr="00367B31" w14:paraId="4C612641" w14:textId="77777777" w:rsidTr="00854AFF">
        <w:tc>
          <w:tcPr>
            <w:tcW w:w="1633" w:type="dxa"/>
            <w:shd w:val="clear" w:color="auto" w:fill="FFC9C9"/>
            <w:tcMar>
              <w:top w:w="80" w:type="dxa"/>
              <w:left w:w="80" w:type="dxa"/>
              <w:bottom w:w="80" w:type="dxa"/>
              <w:right w:w="80" w:type="dxa"/>
            </w:tcMar>
          </w:tcPr>
          <w:p w14:paraId="10EBA73F"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New South Wales</w:t>
            </w:r>
          </w:p>
        </w:tc>
        <w:tc>
          <w:tcPr>
            <w:tcW w:w="1694" w:type="dxa"/>
            <w:shd w:val="clear" w:color="auto" w:fill="FFC9C9"/>
            <w:tcMar>
              <w:top w:w="80" w:type="dxa"/>
              <w:left w:w="80" w:type="dxa"/>
              <w:bottom w:w="80" w:type="dxa"/>
              <w:right w:w="80" w:type="dxa"/>
            </w:tcMar>
          </w:tcPr>
          <w:p w14:paraId="24596B95" w14:textId="503E0954" w:rsidR="006A50D4" w:rsidRDefault="00A17E71" w:rsidP="00B21723">
            <w:pPr>
              <w:spacing w:after="60"/>
              <w:rPr>
                <w:rFonts w:cs="Arial"/>
                <w:i/>
                <w:color w:val="000000"/>
                <w:sz w:val="14"/>
                <w:szCs w:val="16"/>
                <w:lang w:val="en-GB"/>
              </w:rPr>
            </w:pPr>
            <w:r>
              <w:rPr>
                <w:rFonts w:cs="Arial"/>
                <w:i/>
                <w:color w:val="000000"/>
                <w:sz w:val="14"/>
                <w:szCs w:val="16"/>
                <w:lang w:val="en-GB"/>
              </w:rPr>
              <w:t xml:space="preserve">Workers </w:t>
            </w:r>
            <w:r w:rsidR="00550A69">
              <w:rPr>
                <w:rFonts w:cs="Arial"/>
                <w:i/>
                <w:color w:val="000000"/>
                <w:sz w:val="14"/>
                <w:szCs w:val="16"/>
                <w:lang w:val="en-GB"/>
              </w:rPr>
              <w:t>Compensation Act 1987</w:t>
            </w:r>
          </w:p>
          <w:p w14:paraId="3C7E3BCA" w14:textId="3CC4CD88"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Workplace</w:t>
            </w:r>
            <w:r w:rsidR="00A17E71">
              <w:rPr>
                <w:rFonts w:cs="Arial"/>
                <w:i/>
                <w:color w:val="000000"/>
                <w:sz w:val="14"/>
                <w:szCs w:val="16"/>
                <w:lang w:val="en-GB"/>
              </w:rPr>
              <w:t xml:space="preserve"> Injury Management and Workers </w:t>
            </w:r>
            <w:r w:rsidR="00550A69">
              <w:rPr>
                <w:rFonts w:cs="Arial"/>
                <w:i/>
                <w:color w:val="000000"/>
                <w:sz w:val="14"/>
                <w:szCs w:val="16"/>
                <w:lang w:val="en-GB"/>
              </w:rPr>
              <w:t>Compensation Act 1998</w:t>
            </w:r>
          </w:p>
        </w:tc>
        <w:tc>
          <w:tcPr>
            <w:tcW w:w="4036" w:type="dxa"/>
            <w:shd w:val="clear" w:color="auto" w:fill="FFC9C9"/>
            <w:tcMar>
              <w:top w:w="80" w:type="dxa"/>
              <w:left w:w="80" w:type="dxa"/>
              <w:bottom w:w="80" w:type="dxa"/>
              <w:right w:w="80" w:type="dxa"/>
            </w:tcMar>
          </w:tcPr>
          <w:p w14:paraId="51C89770"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Several different types of cover are available to public sector employers in NSW:</w:t>
            </w:r>
          </w:p>
          <w:p w14:paraId="17668279" w14:textId="77777777" w:rsidR="00367B31" w:rsidRPr="00367B31" w:rsidRDefault="00367B31" w:rsidP="00DF35F2">
            <w:pPr>
              <w:numPr>
                <w:ilvl w:val="0"/>
                <w:numId w:val="70"/>
              </w:numPr>
              <w:spacing w:after="60"/>
              <w:ind w:left="357" w:hanging="357"/>
              <w:rPr>
                <w:rFonts w:cs="Arial"/>
                <w:color w:val="000000"/>
                <w:sz w:val="14"/>
                <w:szCs w:val="16"/>
                <w:lang w:val="en-GB"/>
              </w:rPr>
            </w:pPr>
            <w:r w:rsidRPr="00367B31">
              <w:rPr>
                <w:rFonts w:cs="Arial"/>
                <w:color w:val="000000"/>
                <w:sz w:val="14"/>
                <w:szCs w:val="16"/>
                <w:lang w:val="en-GB"/>
              </w:rPr>
              <w:t>NSW Self-Insurance Corporation (SICorp) manages and administers the Treasury Managed Fund</w:t>
            </w:r>
            <w:r w:rsidR="00AE6838">
              <w:rPr>
                <w:rFonts w:cs="Arial"/>
                <w:color w:val="000000"/>
                <w:sz w:val="14"/>
                <w:szCs w:val="16"/>
                <w:lang w:val="en-GB"/>
              </w:rPr>
              <w:fldChar w:fldCharType="begin"/>
            </w:r>
            <w:r w:rsidR="00AE6838">
              <w:instrText xml:space="preserve"> XE "</w:instrText>
            </w:r>
            <w:r w:rsidR="00AE6838" w:rsidRPr="00AC3644">
              <w:rPr>
                <w:rFonts w:cs="Arial"/>
                <w:color w:val="000000"/>
                <w:sz w:val="14"/>
                <w:szCs w:val="16"/>
                <w:lang w:val="en-GB"/>
              </w:rPr>
              <w:instrText>Treasury Managed Fund (NSW)</w:instrText>
            </w:r>
            <w:r w:rsidR="00AE6838">
              <w:instrText xml:space="preserve">" </w:instrText>
            </w:r>
            <w:r w:rsidR="00AE6838">
              <w:rPr>
                <w:rFonts w:cs="Arial"/>
                <w:color w:val="000000"/>
                <w:sz w:val="14"/>
                <w:szCs w:val="16"/>
                <w:lang w:val="en-GB"/>
              </w:rPr>
              <w:fldChar w:fldCharType="end"/>
            </w:r>
            <w:r w:rsidRPr="00367B31">
              <w:rPr>
                <w:rFonts w:cs="Arial"/>
                <w:color w:val="000000"/>
                <w:sz w:val="14"/>
                <w:szCs w:val="16"/>
                <w:lang w:val="en-GB"/>
              </w:rPr>
              <w:t xml:space="preserve"> (TMF) which is a NSW Government self-insurance scheme providing workers’ compensation insurance coverage for all general government sector agencies and a number of state-owned corporations that have elected to join the scheme</w:t>
            </w:r>
          </w:p>
          <w:p w14:paraId="52A82D2E" w14:textId="435E9BEF" w:rsidR="00367B31" w:rsidRPr="00367B31" w:rsidRDefault="00367B31" w:rsidP="00DF35F2">
            <w:pPr>
              <w:numPr>
                <w:ilvl w:val="0"/>
                <w:numId w:val="70"/>
              </w:numPr>
              <w:spacing w:after="60"/>
              <w:ind w:left="357" w:hanging="357"/>
              <w:rPr>
                <w:rFonts w:cs="Arial"/>
                <w:color w:val="000000"/>
                <w:sz w:val="14"/>
                <w:szCs w:val="16"/>
                <w:lang w:val="en-GB"/>
              </w:rPr>
            </w:pPr>
            <w:r w:rsidRPr="00367B31">
              <w:rPr>
                <w:rFonts w:cs="Arial"/>
                <w:color w:val="000000"/>
                <w:sz w:val="14"/>
                <w:szCs w:val="16"/>
                <w:lang w:val="en-GB"/>
              </w:rPr>
              <w:t xml:space="preserve">a number of government agencies and state owned corporations are licensed </w:t>
            </w:r>
            <w:r w:rsidR="00E43A0F">
              <w:rPr>
                <w:rFonts w:cs="Arial"/>
                <w:color w:val="000000"/>
                <w:sz w:val="14"/>
                <w:szCs w:val="16"/>
                <w:lang w:val="en-GB"/>
              </w:rPr>
              <w:t>self-insurer</w:t>
            </w:r>
            <w:r w:rsidRPr="00367B31">
              <w:rPr>
                <w:rFonts w:cs="Arial"/>
                <w:color w:val="000000"/>
                <w:sz w:val="14"/>
                <w:szCs w:val="16"/>
                <w:lang w:val="en-GB"/>
              </w:rPr>
              <w:t>s in NSW, and</w:t>
            </w:r>
          </w:p>
          <w:p w14:paraId="18DA13A8" w14:textId="77777777" w:rsidR="00367B31" w:rsidRPr="00367B31" w:rsidRDefault="00367B31" w:rsidP="00DF35F2">
            <w:pPr>
              <w:numPr>
                <w:ilvl w:val="0"/>
                <w:numId w:val="70"/>
              </w:numPr>
              <w:spacing w:after="60"/>
              <w:ind w:left="357" w:hanging="357"/>
              <w:rPr>
                <w:rFonts w:eastAsia="Calibri" w:cs="Arial"/>
                <w:sz w:val="14"/>
                <w:szCs w:val="14"/>
                <w:lang w:eastAsia="en-US"/>
              </w:rPr>
            </w:pPr>
            <w:r w:rsidRPr="00367B31">
              <w:rPr>
                <w:rFonts w:eastAsia="Calibri" w:cs="Arial"/>
                <w:sz w:val="14"/>
                <w:szCs w:val="14"/>
                <w:lang w:eastAsia="en-US"/>
              </w:rPr>
              <w:t>Specialised Insurers are licensed in similar fashion to self-insurers but organised on an industry basis. Some local councils in NSW are insured through StateCover Mutual, a specialised insurer in NSW.</w:t>
            </w:r>
          </w:p>
        </w:tc>
        <w:tc>
          <w:tcPr>
            <w:tcW w:w="4036" w:type="dxa"/>
            <w:shd w:val="clear" w:color="auto" w:fill="FFC9C9"/>
            <w:tcMar>
              <w:top w:w="80" w:type="dxa"/>
              <w:left w:w="80" w:type="dxa"/>
              <w:bottom w:w="80" w:type="dxa"/>
              <w:right w:w="80" w:type="dxa"/>
            </w:tcMar>
          </w:tcPr>
          <w:p w14:paraId="0130D4A0" w14:textId="77777777" w:rsidR="00367B31" w:rsidRPr="00367B31" w:rsidRDefault="00367B31" w:rsidP="00DF35F2">
            <w:pPr>
              <w:pStyle w:val="ListParagraph"/>
              <w:numPr>
                <w:ilvl w:val="0"/>
                <w:numId w:val="70"/>
              </w:numPr>
              <w:spacing w:after="60"/>
              <w:ind w:left="360" w:hanging="360"/>
              <w:rPr>
                <w:rFonts w:eastAsia="Calibri" w:cs="Arial"/>
                <w:sz w:val="14"/>
                <w:szCs w:val="14"/>
                <w:lang w:eastAsia="en-US"/>
              </w:rPr>
            </w:pPr>
            <w:r w:rsidRPr="00367B31">
              <w:rPr>
                <w:rFonts w:eastAsia="Calibri" w:cs="Arial"/>
                <w:sz w:val="14"/>
                <w:szCs w:val="14"/>
                <w:lang w:eastAsia="en-US"/>
              </w:rPr>
              <w:t>All claims under the TMF are handled by claim agents, which are contracted to SICorp.</w:t>
            </w:r>
          </w:p>
          <w:p w14:paraId="4959A144" w14:textId="77777777" w:rsidR="00367B31" w:rsidRPr="00367B31" w:rsidRDefault="00367B31" w:rsidP="00DF35F2">
            <w:pPr>
              <w:pStyle w:val="ListParagraph"/>
              <w:numPr>
                <w:ilvl w:val="0"/>
                <w:numId w:val="70"/>
              </w:numPr>
              <w:spacing w:after="60"/>
              <w:ind w:left="360" w:hanging="360"/>
              <w:rPr>
                <w:rFonts w:eastAsia="Calibri" w:cs="Arial"/>
                <w:sz w:val="14"/>
                <w:szCs w:val="14"/>
                <w:lang w:eastAsia="en-US"/>
              </w:rPr>
            </w:pPr>
            <w:r w:rsidRPr="00367B31">
              <w:rPr>
                <w:rFonts w:eastAsia="Calibri" w:cs="Arial"/>
                <w:sz w:val="14"/>
                <w:szCs w:val="14"/>
                <w:lang w:eastAsia="en-US"/>
              </w:rPr>
              <w:t>The claims of self-insured agencies are managed by the licensed self-insurer organisations.</w:t>
            </w:r>
          </w:p>
          <w:p w14:paraId="0E8C8ED1" w14:textId="77777777" w:rsidR="00367B31" w:rsidRPr="00367B31" w:rsidRDefault="00367B31" w:rsidP="00DF35F2">
            <w:pPr>
              <w:pStyle w:val="ListParagraph"/>
              <w:numPr>
                <w:ilvl w:val="0"/>
                <w:numId w:val="70"/>
              </w:numPr>
              <w:spacing w:after="60"/>
              <w:ind w:left="360" w:hanging="360"/>
              <w:rPr>
                <w:rFonts w:eastAsia="Calibri" w:cs="Arial"/>
                <w:sz w:val="14"/>
                <w:szCs w:val="14"/>
                <w:lang w:eastAsia="en-US"/>
              </w:rPr>
            </w:pPr>
            <w:r w:rsidRPr="00367B31">
              <w:rPr>
                <w:rFonts w:eastAsia="Calibri" w:cs="Arial"/>
                <w:sz w:val="14"/>
                <w:szCs w:val="14"/>
                <w:lang w:eastAsia="en-US"/>
              </w:rPr>
              <w:t>Some claims of local councils in NSW managed by the licensed specialised insurer StateCover Mutual.</w:t>
            </w:r>
          </w:p>
        </w:tc>
        <w:tc>
          <w:tcPr>
            <w:tcW w:w="4036" w:type="dxa"/>
            <w:shd w:val="clear" w:color="auto" w:fill="FFC9C9"/>
            <w:tcMar>
              <w:top w:w="80" w:type="dxa"/>
              <w:left w:w="80" w:type="dxa"/>
              <w:bottom w:w="80" w:type="dxa"/>
              <w:right w:w="80" w:type="dxa"/>
            </w:tcMar>
          </w:tcPr>
          <w:p w14:paraId="414F9016"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TMF (SICorp): Deposit contributions are based on a weighting between an Agency’s own claims experience and an appropriate external premium measure.</w:t>
            </w:r>
          </w:p>
          <w:p w14:paraId="2457839F" w14:textId="77777777" w:rsidR="00367B31" w:rsidRPr="00367B31" w:rsidRDefault="00367B31" w:rsidP="00B21723">
            <w:pPr>
              <w:spacing w:after="60"/>
              <w:rPr>
                <w:rFonts w:cs="Arial"/>
                <w:color w:val="000000"/>
                <w:sz w:val="14"/>
                <w:szCs w:val="16"/>
                <w:highlight w:val="yellow"/>
                <w:lang w:val="en-GB"/>
              </w:rPr>
            </w:pPr>
            <w:r w:rsidRPr="00367B31">
              <w:rPr>
                <w:rFonts w:cs="Arial"/>
                <w:color w:val="000000"/>
                <w:sz w:val="14"/>
                <w:szCs w:val="16"/>
                <w:lang w:val="en-GB"/>
              </w:rPr>
              <w:t>StateCover Mutual determines annual contributions in accordance with its published premium rating methodology.</w:t>
            </w:r>
          </w:p>
        </w:tc>
      </w:tr>
      <w:tr w:rsidR="00367B31" w:rsidRPr="00367B31" w14:paraId="33081789" w14:textId="77777777" w:rsidTr="00854AFF">
        <w:tc>
          <w:tcPr>
            <w:tcW w:w="1633" w:type="dxa"/>
            <w:tcMar>
              <w:top w:w="80" w:type="dxa"/>
              <w:left w:w="80" w:type="dxa"/>
              <w:bottom w:w="80" w:type="dxa"/>
              <w:right w:w="80" w:type="dxa"/>
            </w:tcMar>
          </w:tcPr>
          <w:p w14:paraId="46056DFE"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Victoria</w:t>
            </w:r>
          </w:p>
        </w:tc>
        <w:tc>
          <w:tcPr>
            <w:tcW w:w="1694" w:type="dxa"/>
            <w:tcMar>
              <w:top w:w="80" w:type="dxa"/>
              <w:left w:w="80" w:type="dxa"/>
              <w:bottom w:w="80" w:type="dxa"/>
              <w:right w:w="80" w:type="dxa"/>
            </w:tcMar>
          </w:tcPr>
          <w:p w14:paraId="59599611" w14:textId="194DC1C1"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Workplace Injury Rehabilitation and Compensatio</w:t>
            </w:r>
            <w:r w:rsidR="00550A69">
              <w:rPr>
                <w:rFonts w:cs="Arial"/>
                <w:i/>
                <w:color w:val="000000"/>
                <w:sz w:val="14"/>
                <w:szCs w:val="16"/>
                <w:lang w:val="en-GB"/>
              </w:rPr>
              <w:t>n Act 2013</w:t>
            </w:r>
          </w:p>
        </w:tc>
        <w:tc>
          <w:tcPr>
            <w:tcW w:w="4036" w:type="dxa"/>
            <w:tcMar>
              <w:top w:w="80" w:type="dxa"/>
              <w:left w:w="80" w:type="dxa"/>
              <w:bottom w:w="80" w:type="dxa"/>
              <w:right w:w="80" w:type="dxa"/>
            </w:tcMar>
          </w:tcPr>
          <w:p w14:paraId="5CDF007C" w14:textId="5EE2819C" w:rsidR="00367B31" w:rsidRPr="00367B31" w:rsidRDefault="00427925" w:rsidP="00B21723">
            <w:pPr>
              <w:spacing w:after="60"/>
              <w:rPr>
                <w:rFonts w:cs="Arial"/>
                <w:color w:val="000000"/>
                <w:sz w:val="14"/>
                <w:szCs w:val="16"/>
                <w:lang w:val="en-GB"/>
              </w:rPr>
            </w:pPr>
            <w:r>
              <w:rPr>
                <w:rFonts w:cs="Arial"/>
                <w:color w:val="000000"/>
                <w:sz w:val="14"/>
                <w:szCs w:val="16"/>
                <w:lang w:val="en-GB"/>
              </w:rPr>
              <w:t>Body</w:t>
            </w:r>
            <w:r w:rsidR="00367B31" w:rsidRPr="00367B31">
              <w:rPr>
                <w:rFonts w:cs="Arial"/>
                <w:color w:val="000000"/>
                <w:sz w:val="14"/>
                <w:szCs w:val="16"/>
                <w:lang w:val="en-GB"/>
              </w:rPr>
              <w:t xml:space="preserve"> corporate</w:t>
            </w:r>
            <w:r>
              <w:rPr>
                <w:rFonts w:cs="Arial"/>
                <w:color w:val="000000"/>
                <w:sz w:val="14"/>
                <w:szCs w:val="16"/>
                <w:lang w:val="en-GB"/>
              </w:rPr>
              <w:t>s</w:t>
            </w:r>
            <w:r w:rsidR="00367B31" w:rsidRPr="00367B31">
              <w:rPr>
                <w:rFonts w:cs="Arial"/>
                <w:color w:val="000000"/>
                <w:sz w:val="14"/>
                <w:szCs w:val="16"/>
                <w:lang w:val="en-GB"/>
              </w:rPr>
              <w:t xml:space="preserve"> and the Municipal Association of Victoria can apply to become self-insurers in Victoria — </w:t>
            </w:r>
            <w:hyperlink r:id="rId708" w:history="1">
              <w:r w:rsidR="00367B31" w:rsidRPr="004B22FF">
                <w:rPr>
                  <w:rStyle w:val="Hyperlink"/>
                  <w:rFonts w:cs="Arial"/>
                  <w:sz w:val="14"/>
                  <w:szCs w:val="16"/>
                  <w:lang w:val="en-GB"/>
                </w:rPr>
                <w:t>s376</w:t>
              </w:r>
            </w:hyperlink>
            <w:r w:rsidR="00367B31" w:rsidRPr="00367B31">
              <w:rPr>
                <w:rFonts w:cs="Arial"/>
                <w:color w:val="000000"/>
                <w:sz w:val="14"/>
                <w:szCs w:val="16"/>
                <w:lang w:val="en-GB"/>
              </w:rPr>
              <w:t>.</w:t>
            </w:r>
          </w:p>
          <w:p w14:paraId="72228DFA"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Government agencies are neither and therefore cannot become self-insurers under Victorian legislation.</w:t>
            </w:r>
          </w:p>
        </w:tc>
        <w:tc>
          <w:tcPr>
            <w:tcW w:w="4036" w:type="dxa"/>
            <w:tcMar>
              <w:top w:w="80" w:type="dxa"/>
              <w:left w:w="80" w:type="dxa"/>
              <w:bottom w:w="80" w:type="dxa"/>
              <w:right w:w="80" w:type="dxa"/>
            </w:tcMar>
          </w:tcPr>
          <w:p w14:paraId="32ADB678"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Each government agency chooses one of the agents appointed by WorkSafe Victoria to manage claims on their behalf. </w:t>
            </w:r>
          </w:p>
          <w:p w14:paraId="4D3DDCCE"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Employers, including government agencies, may change agents once per year if they believe another agent will provide better service.</w:t>
            </w:r>
          </w:p>
        </w:tc>
        <w:tc>
          <w:tcPr>
            <w:tcW w:w="4036" w:type="dxa"/>
            <w:tcMar>
              <w:top w:w="80" w:type="dxa"/>
              <w:left w:w="80" w:type="dxa"/>
              <w:bottom w:w="80" w:type="dxa"/>
              <w:right w:w="80" w:type="dxa"/>
            </w:tcMar>
          </w:tcPr>
          <w:p w14:paraId="594CA20D"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Government agencies must register for WorkCover Insurance and pay premiums to the WorkCover fund.</w:t>
            </w:r>
          </w:p>
          <w:p w14:paraId="6BF1B70B"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Administration of WorkCover Insurance and the calculation of premium is the same as for private sector employers.</w:t>
            </w:r>
          </w:p>
        </w:tc>
      </w:tr>
      <w:tr w:rsidR="00367B31" w:rsidRPr="00367B31" w14:paraId="316E681D" w14:textId="77777777" w:rsidTr="00854AFF">
        <w:tc>
          <w:tcPr>
            <w:tcW w:w="1633" w:type="dxa"/>
            <w:shd w:val="clear" w:color="auto" w:fill="FFC9C9"/>
            <w:tcMar>
              <w:top w:w="80" w:type="dxa"/>
              <w:left w:w="80" w:type="dxa"/>
              <w:bottom w:w="80" w:type="dxa"/>
              <w:right w:w="80" w:type="dxa"/>
            </w:tcMar>
          </w:tcPr>
          <w:p w14:paraId="587BA408"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Queensland</w:t>
            </w:r>
          </w:p>
        </w:tc>
        <w:tc>
          <w:tcPr>
            <w:tcW w:w="1694" w:type="dxa"/>
            <w:shd w:val="clear" w:color="auto" w:fill="FFC9C9"/>
            <w:tcMar>
              <w:top w:w="80" w:type="dxa"/>
              <w:left w:w="80" w:type="dxa"/>
              <w:bottom w:w="80" w:type="dxa"/>
              <w:right w:w="80" w:type="dxa"/>
            </w:tcMar>
          </w:tcPr>
          <w:p w14:paraId="1A50A8C4" w14:textId="2CE8D932"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Workers’ Compensat</w:t>
            </w:r>
            <w:r w:rsidR="00550A69">
              <w:rPr>
                <w:rFonts w:cs="Arial"/>
                <w:i/>
                <w:color w:val="000000"/>
                <w:sz w:val="14"/>
                <w:szCs w:val="16"/>
                <w:lang w:val="en-GB"/>
              </w:rPr>
              <w:t>ion and Rehabilitation Act 2003</w:t>
            </w:r>
          </w:p>
        </w:tc>
        <w:tc>
          <w:tcPr>
            <w:tcW w:w="4036" w:type="dxa"/>
            <w:shd w:val="clear" w:color="auto" w:fill="FFC9C9"/>
            <w:tcMar>
              <w:top w:w="80" w:type="dxa"/>
              <w:left w:w="80" w:type="dxa"/>
              <w:bottom w:w="80" w:type="dxa"/>
              <w:right w:w="80" w:type="dxa"/>
            </w:tcMar>
          </w:tcPr>
          <w:p w14:paraId="23672339" w14:textId="59022848" w:rsidR="00367B31" w:rsidRPr="00367B31" w:rsidRDefault="00A5564F" w:rsidP="00B21723">
            <w:pPr>
              <w:spacing w:after="60"/>
              <w:rPr>
                <w:rFonts w:cs="Arial"/>
                <w:color w:val="000000"/>
                <w:sz w:val="14"/>
                <w:szCs w:val="16"/>
                <w:lang w:val="en-GB"/>
              </w:rPr>
            </w:pPr>
            <w:r>
              <w:rPr>
                <w:rFonts w:cs="Arial"/>
                <w:color w:val="000000"/>
                <w:sz w:val="14"/>
                <w:szCs w:val="16"/>
                <w:lang w:val="en-GB"/>
              </w:rPr>
              <w:t xml:space="preserve">State government departments cannot apply for self-insurance. </w:t>
            </w:r>
            <w:r w:rsidR="00367B31" w:rsidRPr="00367B31">
              <w:rPr>
                <w:rFonts w:cs="Arial"/>
                <w:color w:val="000000"/>
                <w:sz w:val="14"/>
                <w:szCs w:val="16"/>
                <w:lang w:val="en-GB"/>
              </w:rPr>
              <w:t>Local governments can apply for self-insurance. The majority of local governments have self-insurance arrangements.</w:t>
            </w:r>
          </w:p>
        </w:tc>
        <w:tc>
          <w:tcPr>
            <w:tcW w:w="4036" w:type="dxa"/>
            <w:shd w:val="clear" w:color="auto" w:fill="FFC9C9"/>
            <w:tcMar>
              <w:top w:w="80" w:type="dxa"/>
              <w:left w:w="80" w:type="dxa"/>
              <w:bottom w:w="80" w:type="dxa"/>
              <w:right w:w="80" w:type="dxa"/>
            </w:tcMar>
          </w:tcPr>
          <w:p w14:paraId="46BF0824" w14:textId="4335C17B" w:rsidR="00367B31" w:rsidRPr="00367B31" w:rsidRDefault="002A28CF" w:rsidP="002A28CF">
            <w:pPr>
              <w:spacing w:after="60"/>
              <w:rPr>
                <w:rFonts w:cs="Arial"/>
                <w:color w:val="000000"/>
                <w:sz w:val="14"/>
                <w:szCs w:val="16"/>
                <w:lang w:val="en-GB"/>
              </w:rPr>
            </w:pPr>
            <w:r>
              <w:rPr>
                <w:rFonts w:cs="Arial"/>
                <w:color w:val="000000"/>
                <w:sz w:val="14"/>
                <w:szCs w:val="16"/>
                <w:lang w:val="en-GB"/>
              </w:rPr>
              <w:t>For State government departments, a</w:t>
            </w:r>
            <w:r w:rsidR="00367B31" w:rsidRPr="00367B31">
              <w:rPr>
                <w:rFonts w:cs="Arial"/>
                <w:color w:val="000000"/>
                <w:sz w:val="14"/>
                <w:szCs w:val="16"/>
                <w:lang w:val="en-GB"/>
              </w:rPr>
              <w:t xml:space="preserve">ll claims are handled by WorkCover Queensland. </w:t>
            </w:r>
          </w:p>
        </w:tc>
        <w:tc>
          <w:tcPr>
            <w:tcW w:w="4036" w:type="dxa"/>
            <w:shd w:val="clear" w:color="auto" w:fill="FFC9C9"/>
            <w:tcMar>
              <w:top w:w="80" w:type="dxa"/>
              <w:left w:w="80" w:type="dxa"/>
              <w:bottom w:w="80" w:type="dxa"/>
              <w:right w:w="80" w:type="dxa"/>
            </w:tcMar>
          </w:tcPr>
          <w:p w14:paraId="29A81D0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employers are required to pay a premium for a workers’ compensation policy.</w:t>
            </w:r>
          </w:p>
        </w:tc>
      </w:tr>
      <w:tr w:rsidR="00367B31" w:rsidRPr="00367B31" w14:paraId="0D28B9D6" w14:textId="77777777" w:rsidTr="00854AFF">
        <w:tc>
          <w:tcPr>
            <w:tcW w:w="1633" w:type="dxa"/>
            <w:tcMar>
              <w:top w:w="80" w:type="dxa"/>
              <w:left w:w="80" w:type="dxa"/>
              <w:bottom w:w="80" w:type="dxa"/>
              <w:right w:w="80" w:type="dxa"/>
            </w:tcMar>
          </w:tcPr>
          <w:p w14:paraId="739D00D1"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Western Australia</w:t>
            </w:r>
          </w:p>
        </w:tc>
        <w:tc>
          <w:tcPr>
            <w:tcW w:w="1694" w:type="dxa"/>
            <w:tcMar>
              <w:top w:w="80" w:type="dxa"/>
              <w:left w:w="80" w:type="dxa"/>
              <w:bottom w:w="80" w:type="dxa"/>
              <w:right w:w="80" w:type="dxa"/>
            </w:tcMar>
          </w:tcPr>
          <w:p w14:paraId="69353B6C" w14:textId="35D74E3F"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Workers’ Compensation</w:t>
            </w:r>
            <w:r w:rsidR="00550A69">
              <w:rPr>
                <w:rFonts w:cs="Arial"/>
                <w:i/>
                <w:color w:val="000000"/>
                <w:sz w:val="14"/>
                <w:szCs w:val="16"/>
                <w:lang w:val="en-GB"/>
              </w:rPr>
              <w:t xml:space="preserve"> and Injury Management Act 1981</w:t>
            </w:r>
          </w:p>
        </w:tc>
        <w:tc>
          <w:tcPr>
            <w:tcW w:w="4036" w:type="dxa"/>
            <w:tcMar>
              <w:top w:w="80" w:type="dxa"/>
              <w:left w:w="80" w:type="dxa"/>
              <w:bottom w:w="80" w:type="dxa"/>
              <w:right w:w="80" w:type="dxa"/>
            </w:tcMar>
          </w:tcPr>
          <w:p w14:paraId="3A3594D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Agencies are underwritten by the Insurance Commission of WA through the ‘RiskCover’ fund. No government agencies are directly self-insured.</w:t>
            </w:r>
          </w:p>
        </w:tc>
        <w:tc>
          <w:tcPr>
            <w:tcW w:w="4036" w:type="dxa"/>
            <w:tcMar>
              <w:top w:w="80" w:type="dxa"/>
              <w:left w:w="80" w:type="dxa"/>
              <w:bottom w:w="80" w:type="dxa"/>
              <w:right w:w="80" w:type="dxa"/>
            </w:tcMar>
          </w:tcPr>
          <w:p w14:paraId="349C10EA"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government agency claims are handled by RiskCover.</w:t>
            </w:r>
          </w:p>
        </w:tc>
        <w:tc>
          <w:tcPr>
            <w:tcW w:w="4036" w:type="dxa"/>
            <w:tcMar>
              <w:top w:w="80" w:type="dxa"/>
              <w:left w:w="80" w:type="dxa"/>
              <w:bottom w:w="80" w:type="dxa"/>
              <w:right w:w="80" w:type="dxa"/>
            </w:tcMar>
          </w:tcPr>
          <w:p w14:paraId="6241B0CE"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government agencies must have workers’ compensation coverage with RiskCover. Premiums are paid direct to RiskCover.</w:t>
            </w:r>
          </w:p>
        </w:tc>
      </w:tr>
      <w:tr w:rsidR="00367B31" w:rsidRPr="00367B31" w14:paraId="14A79883" w14:textId="77777777" w:rsidTr="00854AFF">
        <w:tc>
          <w:tcPr>
            <w:tcW w:w="1633" w:type="dxa"/>
            <w:shd w:val="clear" w:color="auto" w:fill="FFC9C9"/>
            <w:tcMar>
              <w:top w:w="80" w:type="dxa"/>
              <w:left w:w="80" w:type="dxa"/>
              <w:bottom w:w="80" w:type="dxa"/>
              <w:right w:w="80" w:type="dxa"/>
            </w:tcMar>
          </w:tcPr>
          <w:p w14:paraId="6E6E08E7"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South Australia</w:t>
            </w:r>
          </w:p>
        </w:tc>
        <w:tc>
          <w:tcPr>
            <w:tcW w:w="1694" w:type="dxa"/>
            <w:shd w:val="clear" w:color="auto" w:fill="FFC9C9"/>
            <w:tcMar>
              <w:top w:w="80" w:type="dxa"/>
              <w:left w:w="80" w:type="dxa"/>
              <w:bottom w:w="80" w:type="dxa"/>
              <w:right w:w="80" w:type="dxa"/>
            </w:tcMar>
          </w:tcPr>
          <w:p w14:paraId="0E586EAC" w14:textId="2DA4ECD6"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Return to Work Ac</w:t>
            </w:r>
            <w:r w:rsidRPr="00065027">
              <w:rPr>
                <w:rFonts w:cs="Arial"/>
                <w:i/>
                <w:color w:val="000000"/>
                <w:sz w:val="14"/>
                <w:szCs w:val="16"/>
                <w:lang w:val="en-GB"/>
              </w:rPr>
              <w:t>t 2014</w:t>
            </w:r>
          </w:p>
        </w:tc>
        <w:tc>
          <w:tcPr>
            <w:tcW w:w="4036" w:type="dxa"/>
            <w:shd w:val="clear" w:color="auto" w:fill="FFC9C9"/>
            <w:tcMar>
              <w:top w:w="80" w:type="dxa"/>
              <w:left w:w="80" w:type="dxa"/>
              <w:bottom w:w="80" w:type="dxa"/>
              <w:right w:w="80" w:type="dxa"/>
            </w:tcMar>
          </w:tcPr>
          <w:p w14:paraId="719A6D8F"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The Crown and any agency or instrumentality of the Crown will be taken to be registered as self-insured employers under </w:t>
            </w:r>
            <w:hyperlink r:id="rId709" w:history="1">
              <w:r w:rsidRPr="00367B31">
                <w:rPr>
                  <w:rFonts w:cs="Arial"/>
                  <w:color w:val="0000FF"/>
                  <w:sz w:val="14"/>
                  <w:szCs w:val="16"/>
                  <w:u w:val="single"/>
                  <w:lang w:val="en-GB"/>
                </w:rPr>
                <w:t>s130</w:t>
              </w:r>
            </w:hyperlink>
            <w:r w:rsidRPr="00367B31">
              <w:rPr>
                <w:rFonts w:cs="Arial"/>
                <w:color w:val="000000"/>
                <w:sz w:val="14"/>
                <w:szCs w:val="16"/>
                <w:lang w:val="en-GB"/>
              </w:rPr>
              <w:t xml:space="preserve"> of the Act and therefore meet all of the costs associated with workers’ compensation claims.</w:t>
            </w:r>
          </w:p>
          <w:p w14:paraId="4C6A062D"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The Local Government Association is not considered an agency or instrument of the Crown and is registered as a private self-insured employer.</w:t>
            </w:r>
          </w:p>
        </w:tc>
        <w:tc>
          <w:tcPr>
            <w:tcW w:w="4036" w:type="dxa"/>
            <w:shd w:val="clear" w:color="auto" w:fill="FFC9C9"/>
            <w:tcMar>
              <w:top w:w="80" w:type="dxa"/>
              <w:left w:w="80" w:type="dxa"/>
              <w:bottom w:w="80" w:type="dxa"/>
              <w:right w:w="80" w:type="dxa"/>
            </w:tcMar>
          </w:tcPr>
          <w:p w14:paraId="1A7BD6AC"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Crown agencies (and private self-insured employers) assume responsibility for the management of workers’ compensation claims.</w:t>
            </w:r>
          </w:p>
        </w:tc>
        <w:tc>
          <w:tcPr>
            <w:tcW w:w="4036" w:type="dxa"/>
            <w:shd w:val="clear" w:color="auto" w:fill="FFC9C9"/>
            <w:tcMar>
              <w:top w:w="80" w:type="dxa"/>
              <w:left w:w="80" w:type="dxa"/>
              <w:bottom w:w="80" w:type="dxa"/>
              <w:right w:w="80" w:type="dxa"/>
            </w:tcMar>
          </w:tcPr>
          <w:p w14:paraId="1BE754A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Crown agencies are required to pay a fee each year as a contribution towards the costs associated with scheme administration.</w:t>
            </w:r>
          </w:p>
        </w:tc>
      </w:tr>
      <w:tr w:rsidR="00367B31" w:rsidRPr="00367B31" w14:paraId="49CF2A13" w14:textId="77777777" w:rsidTr="00854AFF">
        <w:tc>
          <w:tcPr>
            <w:tcW w:w="1633" w:type="dxa"/>
            <w:tcMar>
              <w:top w:w="80" w:type="dxa"/>
              <w:left w:w="80" w:type="dxa"/>
              <w:bottom w:w="80" w:type="dxa"/>
              <w:right w:w="80" w:type="dxa"/>
            </w:tcMar>
          </w:tcPr>
          <w:p w14:paraId="7C928725"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Tasmania</w:t>
            </w:r>
          </w:p>
        </w:tc>
        <w:tc>
          <w:tcPr>
            <w:tcW w:w="1694" w:type="dxa"/>
            <w:tcMar>
              <w:top w:w="80" w:type="dxa"/>
              <w:left w:w="80" w:type="dxa"/>
              <w:bottom w:w="80" w:type="dxa"/>
              <w:right w:w="80" w:type="dxa"/>
            </w:tcMar>
          </w:tcPr>
          <w:p w14:paraId="1C578111" w14:textId="6B49506C"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Workers’ Rehabilit</w:t>
            </w:r>
            <w:r w:rsidR="00550A69">
              <w:rPr>
                <w:rFonts w:cs="Arial"/>
                <w:i/>
                <w:color w:val="000000"/>
                <w:sz w:val="14"/>
                <w:szCs w:val="16"/>
                <w:lang w:val="en-GB"/>
              </w:rPr>
              <w:t>ation and Compensation Act 1988</w:t>
            </w:r>
          </w:p>
        </w:tc>
        <w:tc>
          <w:tcPr>
            <w:tcW w:w="4036" w:type="dxa"/>
            <w:tcMar>
              <w:top w:w="80" w:type="dxa"/>
              <w:left w:w="80" w:type="dxa"/>
              <w:bottom w:w="80" w:type="dxa"/>
              <w:right w:w="80" w:type="dxa"/>
            </w:tcMar>
          </w:tcPr>
          <w:p w14:paraId="63FF2EEF"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The Crown and any agency or instrumentality of the Crown is deemed to be an exempt employer under </w:t>
            </w:r>
            <w:hyperlink r:id="rId710" w:history="1">
              <w:r w:rsidRPr="00367B31">
                <w:rPr>
                  <w:rFonts w:cs="Arial"/>
                  <w:color w:val="0000FF"/>
                  <w:sz w:val="14"/>
                  <w:szCs w:val="16"/>
                  <w:u w:val="single"/>
                  <w:lang w:val="en-GB"/>
                </w:rPr>
                <w:t>s97(9)</w:t>
              </w:r>
            </w:hyperlink>
            <w:r w:rsidRPr="00367B31">
              <w:rPr>
                <w:rFonts w:cs="Arial"/>
                <w:color w:val="000000"/>
                <w:sz w:val="14"/>
                <w:szCs w:val="16"/>
                <w:lang w:val="en-GB"/>
              </w:rPr>
              <w:t xml:space="preserve"> and </w:t>
            </w:r>
            <w:hyperlink r:id="rId711" w:history="1">
              <w:r w:rsidRPr="00367B31">
                <w:rPr>
                  <w:rFonts w:cs="Arial"/>
                  <w:color w:val="0000FF"/>
                  <w:sz w:val="14"/>
                  <w:szCs w:val="16"/>
                  <w:u w:val="single"/>
                  <w:lang w:val="en-GB"/>
                </w:rPr>
                <w:t>114(5)</w:t>
              </w:r>
            </w:hyperlink>
            <w:r w:rsidRPr="00367B31">
              <w:rPr>
                <w:rFonts w:cs="Arial"/>
                <w:color w:val="000000"/>
                <w:sz w:val="14"/>
                <w:szCs w:val="16"/>
                <w:lang w:val="en-GB"/>
              </w:rPr>
              <w:t xml:space="preserve"> of the Act and is therefore not obliged to maintain a policy of insurance or hold a permit to self-insure. The </w:t>
            </w:r>
            <w:hyperlink r:id="rId712" w:history="1">
              <w:r w:rsidRPr="00367B31">
                <w:rPr>
                  <w:rFonts w:cs="Arial"/>
                  <w:color w:val="0000FF"/>
                  <w:sz w:val="14"/>
                  <w:szCs w:val="16"/>
                  <w:u w:val="single"/>
                  <w:lang w:val="en-GB"/>
                </w:rPr>
                <w:t>Tasmanian Risk Management Fund</w:t>
              </w:r>
            </w:hyperlink>
            <w:r w:rsidRPr="00367B31">
              <w:rPr>
                <w:rFonts w:cs="Arial"/>
                <w:color w:val="000000"/>
                <w:sz w:val="14"/>
                <w:szCs w:val="16"/>
                <w:lang w:val="en-GB"/>
              </w:rPr>
              <w:t xml:space="preserve"> is a whole-of-government self</w:t>
            </w:r>
            <w:r w:rsidRPr="00367B31">
              <w:rPr>
                <w:rFonts w:cs="Arial"/>
                <w:color w:val="000000"/>
                <w:sz w:val="14"/>
                <w:szCs w:val="16"/>
                <w:lang w:val="en-GB"/>
              </w:rPr>
              <w:noBreakHyphen/>
              <w:t xml:space="preserve">insurance arrangement for funding and managing the insurable liabilities </w:t>
            </w:r>
            <w:r w:rsidRPr="00367B31">
              <w:rPr>
                <w:rFonts w:cs="Arial"/>
                <w:color w:val="000000"/>
                <w:sz w:val="14"/>
                <w:szCs w:val="16"/>
                <w:lang w:val="en-GB"/>
              </w:rPr>
              <w:lastRenderedPageBreak/>
              <w:t>of participants.</w:t>
            </w:r>
          </w:p>
          <w:p w14:paraId="4FB864C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The Fund is administered by the Department of Treasury and Finance.</w:t>
            </w:r>
          </w:p>
        </w:tc>
        <w:tc>
          <w:tcPr>
            <w:tcW w:w="4036" w:type="dxa"/>
            <w:tcMar>
              <w:top w:w="80" w:type="dxa"/>
              <w:left w:w="80" w:type="dxa"/>
              <w:bottom w:w="80" w:type="dxa"/>
              <w:right w:w="80" w:type="dxa"/>
            </w:tcMar>
          </w:tcPr>
          <w:p w14:paraId="6FFF4450"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lastRenderedPageBreak/>
              <w:t>Claims administration is undertaken by a Fund Administration Agent, Jardine Lloyd Thompson Pty Ltd, who is engaged under contract.</w:t>
            </w:r>
          </w:p>
        </w:tc>
        <w:tc>
          <w:tcPr>
            <w:tcW w:w="4036" w:type="dxa"/>
            <w:tcMar>
              <w:top w:w="80" w:type="dxa"/>
              <w:left w:w="80" w:type="dxa"/>
              <w:bottom w:w="80" w:type="dxa"/>
              <w:right w:w="80" w:type="dxa"/>
            </w:tcMar>
          </w:tcPr>
          <w:p w14:paraId="2EECB45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The Fund operates on a cost recovery basis with contributions set to ensure adequate financial provision for the cost of risk now and into the future. The level of Agencies’ contributions is determined by an independent actuary to reflect their risk exposure, claims experience and nominated excess amount.</w:t>
            </w:r>
          </w:p>
        </w:tc>
      </w:tr>
      <w:tr w:rsidR="00367B31" w:rsidRPr="00367B31" w14:paraId="709DD626" w14:textId="77777777" w:rsidTr="00854AFF">
        <w:tc>
          <w:tcPr>
            <w:tcW w:w="1633" w:type="dxa"/>
            <w:shd w:val="clear" w:color="auto" w:fill="FFC9C9"/>
            <w:tcMar>
              <w:top w:w="80" w:type="dxa"/>
              <w:left w:w="80" w:type="dxa"/>
              <w:bottom w:w="80" w:type="dxa"/>
              <w:right w:w="80" w:type="dxa"/>
            </w:tcMar>
          </w:tcPr>
          <w:p w14:paraId="2B8DE4C9"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Northern Territory</w:t>
            </w:r>
          </w:p>
        </w:tc>
        <w:tc>
          <w:tcPr>
            <w:tcW w:w="1694" w:type="dxa"/>
            <w:shd w:val="clear" w:color="auto" w:fill="FFC9C9"/>
            <w:tcMar>
              <w:top w:w="80" w:type="dxa"/>
              <w:left w:w="80" w:type="dxa"/>
              <w:bottom w:w="80" w:type="dxa"/>
              <w:right w:w="80" w:type="dxa"/>
            </w:tcMar>
          </w:tcPr>
          <w:p w14:paraId="7D8EAA3D" w14:textId="101CD7A3" w:rsidR="00367B31" w:rsidRPr="00367B31" w:rsidRDefault="00550A69" w:rsidP="00B21723">
            <w:pPr>
              <w:spacing w:after="60"/>
              <w:rPr>
                <w:rFonts w:cs="Arial"/>
                <w:i/>
                <w:color w:val="000000"/>
                <w:sz w:val="14"/>
                <w:szCs w:val="16"/>
                <w:lang w:val="en-GB"/>
              </w:rPr>
            </w:pPr>
            <w:r>
              <w:rPr>
                <w:rFonts w:cs="Arial"/>
                <w:i/>
                <w:color w:val="000000"/>
                <w:sz w:val="14"/>
                <w:szCs w:val="16"/>
                <w:lang w:val="en-GB"/>
              </w:rPr>
              <w:t>Return to Work Act</w:t>
            </w:r>
          </w:p>
        </w:tc>
        <w:tc>
          <w:tcPr>
            <w:tcW w:w="4036" w:type="dxa"/>
            <w:shd w:val="clear" w:color="auto" w:fill="FFC9C9"/>
            <w:tcMar>
              <w:top w:w="80" w:type="dxa"/>
              <w:left w:w="80" w:type="dxa"/>
              <w:bottom w:w="80" w:type="dxa"/>
              <w:right w:w="80" w:type="dxa"/>
            </w:tcMar>
          </w:tcPr>
          <w:p w14:paraId="6525E15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The insurance provisions of the legislation do not apply to the NT Government</w:t>
            </w:r>
            <w:r w:rsidR="002B3287">
              <w:rPr>
                <w:rFonts w:cs="Arial"/>
                <w:color w:val="000000"/>
                <w:sz w:val="14"/>
                <w:szCs w:val="16"/>
                <w:lang w:val="en-GB"/>
              </w:rPr>
              <w:t>.</w:t>
            </w:r>
          </w:p>
          <w:p w14:paraId="7942B81E"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Local Government and some statutory agencies are insured with approved insurers. </w:t>
            </w:r>
          </w:p>
        </w:tc>
        <w:tc>
          <w:tcPr>
            <w:tcW w:w="4036" w:type="dxa"/>
            <w:shd w:val="clear" w:color="auto" w:fill="FFC9C9"/>
            <w:tcMar>
              <w:top w:w="80" w:type="dxa"/>
              <w:left w:w="80" w:type="dxa"/>
              <w:bottom w:w="80" w:type="dxa"/>
              <w:right w:w="80" w:type="dxa"/>
            </w:tcMar>
          </w:tcPr>
          <w:p w14:paraId="0F9E5E39" w14:textId="2644F921"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The majority of the Northern Territory Public Servants are covered by Government’s </w:t>
            </w:r>
            <w:r w:rsidR="00E43A0F">
              <w:rPr>
                <w:rFonts w:cs="Arial"/>
                <w:color w:val="000000"/>
                <w:sz w:val="14"/>
                <w:szCs w:val="16"/>
                <w:lang w:val="en-GB"/>
              </w:rPr>
              <w:t>self-insurance</w:t>
            </w:r>
            <w:r w:rsidRPr="00367B31">
              <w:rPr>
                <w:rFonts w:cs="Arial"/>
                <w:color w:val="000000"/>
                <w:sz w:val="14"/>
                <w:szCs w:val="16"/>
                <w:lang w:val="en-GB"/>
              </w:rPr>
              <w:t xml:space="preserve"> arrangement.</w:t>
            </w:r>
            <w:r w:rsidR="00DD0D68">
              <w:rPr>
                <w:rFonts w:cs="Arial"/>
                <w:color w:val="000000"/>
                <w:sz w:val="14"/>
                <w:szCs w:val="16"/>
                <w:lang w:val="en-GB"/>
              </w:rPr>
              <w:t xml:space="preserve"> </w:t>
            </w:r>
            <w:r w:rsidRPr="00367B31">
              <w:rPr>
                <w:rFonts w:cs="Arial"/>
                <w:color w:val="000000"/>
                <w:sz w:val="14"/>
                <w:szCs w:val="16"/>
                <w:lang w:val="en-GB"/>
              </w:rPr>
              <w:t xml:space="preserve">Claims management is contracted to </w:t>
            </w:r>
            <w:r w:rsidR="00877B78">
              <w:rPr>
                <w:rFonts w:cs="Arial"/>
                <w:color w:val="000000"/>
                <w:sz w:val="14"/>
                <w:szCs w:val="16"/>
                <w:lang w:val="en-GB"/>
              </w:rPr>
              <w:t>Gallagher Bassett</w:t>
            </w:r>
            <w:r w:rsidRPr="00367B31">
              <w:rPr>
                <w:rFonts w:cs="Arial"/>
                <w:color w:val="000000"/>
                <w:sz w:val="14"/>
                <w:szCs w:val="16"/>
                <w:lang w:val="en-GB"/>
              </w:rPr>
              <w:t>.</w:t>
            </w:r>
          </w:p>
          <w:p w14:paraId="499165FB"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Some agencies are insured commercially, and the insurer manages these claims.</w:t>
            </w:r>
          </w:p>
        </w:tc>
        <w:tc>
          <w:tcPr>
            <w:tcW w:w="4036" w:type="dxa"/>
            <w:shd w:val="clear" w:color="auto" w:fill="FFC9C9"/>
            <w:tcMar>
              <w:top w:w="80" w:type="dxa"/>
              <w:left w:w="80" w:type="dxa"/>
              <w:bottom w:w="80" w:type="dxa"/>
              <w:right w:w="80" w:type="dxa"/>
            </w:tcMar>
          </w:tcPr>
          <w:p w14:paraId="6A022DA4" w14:textId="51F30B82" w:rsidR="00367B31" w:rsidRPr="00367B31" w:rsidRDefault="00877B78" w:rsidP="00877B78">
            <w:pPr>
              <w:spacing w:after="60"/>
              <w:rPr>
                <w:rFonts w:cs="Arial"/>
                <w:color w:val="000000"/>
                <w:sz w:val="14"/>
                <w:szCs w:val="16"/>
                <w:lang w:val="en-GB"/>
              </w:rPr>
            </w:pPr>
            <w:r>
              <w:rPr>
                <w:rFonts w:cs="Arial"/>
                <w:color w:val="000000"/>
                <w:sz w:val="14"/>
                <w:szCs w:val="16"/>
                <w:lang w:val="en-GB"/>
              </w:rPr>
              <w:t>Government has introduced an internal “premium” model to create a fund for claim payments</w:t>
            </w:r>
            <w:r w:rsidRPr="00367B31">
              <w:rPr>
                <w:rFonts w:cs="Arial"/>
                <w:color w:val="000000"/>
                <w:sz w:val="14"/>
                <w:szCs w:val="16"/>
                <w:lang w:val="en-GB"/>
              </w:rPr>
              <w:t>.</w:t>
            </w:r>
            <w:r>
              <w:rPr>
                <w:rFonts w:cs="Arial"/>
                <w:color w:val="000000"/>
                <w:sz w:val="14"/>
                <w:szCs w:val="16"/>
                <w:lang w:val="en-GB"/>
              </w:rPr>
              <w:t>This will develop into an experience based model.</w:t>
            </w:r>
          </w:p>
        </w:tc>
      </w:tr>
      <w:tr w:rsidR="00367B31" w:rsidRPr="00367B31" w14:paraId="305B4956" w14:textId="77777777" w:rsidTr="00854AFF">
        <w:tc>
          <w:tcPr>
            <w:tcW w:w="1633" w:type="dxa"/>
            <w:tcMar>
              <w:top w:w="80" w:type="dxa"/>
              <w:left w:w="80" w:type="dxa"/>
              <w:bottom w:w="80" w:type="dxa"/>
              <w:right w:w="80" w:type="dxa"/>
            </w:tcMar>
          </w:tcPr>
          <w:p w14:paraId="722D6D62"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Australian Capital Territory</w:t>
            </w:r>
          </w:p>
        </w:tc>
        <w:tc>
          <w:tcPr>
            <w:tcW w:w="1694" w:type="dxa"/>
            <w:tcMar>
              <w:top w:w="80" w:type="dxa"/>
              <w:left w:w="80" w:type="dxa"/>
              <w:bottom w:w="80" w:type="dxa"/>
              <w:right w:w="80" w:type="dxa"/>
            </w:tcMar>
          </w:tcPr>
          <w:p w14:paraId="53CA32ED" w14:textId="050B5578"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Safety, Rehabilitation and Compens</w:t>
            </w:r>
            <w:r w:rsidR="00550A69">
              <w:rPr>
                <w:rFonts w:cs="Arial"/>
                <w:i/>
                <w:color w:val="000000"/>
                <w:sz w:val="14"/>
                <w:szCs w:val="16"/>
                <w:lang w:val="en-GB"/>
              </w:rPr>
              <w:t>ation Act 1988 (Cth)</w:t>
            </w:r>
          </w:p>
        </w:tc>
        <w:tc>
          <w:tcPr>
            <w:tcW w:w="4036" w:type="dxa"/>
            <w:tcMar>
              <w:top w:w="80" w:type="dxa"/>
              <w:left w:w="80" w:type="dxa"/>
              <w:bottom w:w="80" w:type="dxa"/>
              <w:right w:w="80" w:type="dxa"/>
            </w:tcMar>
          </w:tcPr>
          <w:p w14:paraId="0F107E5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ACT Government workers are covered under the Comcare scheme.</w:t>
            </w:r>
          </w:p>
        </w:tc>
        <w:tc>
          <w:tcPr>
            <w:tcW w:w="4036" w:type="dxa"/>
            <w:tcMar>
              <w:top w:w="80" w:type="dxa"/>
              <w:left w:w="80" w:type="dxa"/>
              <w:bottom w:w="80" w:type="dxa"/>
              <w:right w:w="80" w:type="dxa"/>
            </w:tcMar>
          </w:tcPr>
          <w:p w14:paraId="06CBE46B"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government claims are handled by Comcare.</w:t>
            </w:r>
          </w:p>
        </w:tc>
        <w:tc>
          <w:tcPr>
            <w:tcW w:w="4036" w:type="dxa"/>
            <w:tcMar>
              <w:top w:w="80" w:type="dxa"/>
              <w:left w:w="80" w:type="dxa"/>
              <w:bottom w:w="80" w:type="dxa"/>
              <w:right w:w="80" w:type="dxa"/>
            </w:tcMar>
          </w:tcPr>
          <w:p w14:paraId="5706864E"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 premium is paid to Comcare annually.</w:t>
            </w:r>
          </w:p>
        </w:tc>
      </w:tr>
      <w:tr w:rsidR="00367B31" w:rsidRPr="00367B31" w14:paraId="74DD374C" w14:textId="77777777" w:rsidTr="00854AFF">
        <w:tc>
          <w:tcPr>
            <w:tcW w:w="1633" w:type="dxa"/>
            <w:shd w:val="clear" w:color="auto" w:fill="FFC9C9"/>
            <w:tcMar>
              <w:top w:w="80" w:type="dxa"/>
              <w:left w:w="80" w:type="dxa"/>
              <w:bottom w:w="80" w:type="dxa"/>
              <w:right w:w="80" w:type="dxa"/>
            </w:tcMar>
          </w:tcPr>
          <w:p w14:paraId="39192A68"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Commonwealth Comcare</w:t>
            </w:r>
          </w:p>
        </w:tc>
        <w:tc>
          <w:tcPr>
            <w:tcW w:w="1694" w:type="dxa"/>
            <w:shd w:val="clear" w:color="auto" w:fill="FFC9C9"/>
            <w:tcMar>
              <w:top w:w="80" w:type="dxa"/>
              <w:left w:w="80" w:type="dxa"/>
              <w:bottom w:w="80" w:type="dxa"/>
              <w:right w:w="80" w:type="dxa"/>
            </w:tcMar>
          </w:tcPr>
          <w:p w14:paraId="157C9A2C" w14:textId="31A07C01"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 xml:space="preserve">Safety, Rehabilitation </w:t>
            </w:r>
            <w:r w:rsidR="00550A69">
              <w:rPr>
                <w:rFonts w:cs="Arial"/>
                <w:i/>
                <w:color w:val="000000"/>
                <w:sz w:val="14"/>
                <w:szCs w:val="16"/>
                <w:lang w:val="en-GB"/>
              </w:rPr>
              <w:t>and Compensation Act 1988 (Cth)</w:t>
            </w:r>
          </w:p>
        </w:tc>
        <w:tc>
          <w:tcPr>
            <w:tcW w:w="4036" w:type="dxa"/>
            <w:shd w:val="clear" w:color="auto" w:fill="FFC9C9"/>
            <w:tcMar>
              <w:top w:w="80" w:type="dxa"/>
              <w:left w:w="80" w:type="dxa"/>
              <w:bottom w:w="80" w:type="dxa"/>
              <w:right w:w="80" w:type="dxa"/>
            </w:tcMar>
          </w:tcPr>
          <w:p w14:paraId="68333AE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Commonwealth Authorities (defined in the Act) may be granted a licence to self-insure which may include self- management of claims.</w:t>
            </w:r>
          </w:p>
          <w:p w14:paraId="1067EDF0"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Commonwealth Government departments are not Commonwealth authorities and are not eligible to apply.</w:t>
            </w:r>
          </w:p>
          <w:p w14:paraId="7E1FDC3C" w14:textId="6E48D389"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Note: current licensed Commonwealth authorities are Australian Postal Corporation and Reserve Bank of Australia.</w:t>
            </w:r>
            <w:r w:rsidR="005E1DF3">
              <w:rPr>
                <w:rFonts w:cs="Arial"/>
                <w:color w:val="000000"/>
                <w:sz w:val="14"/>
                <w:szCs w:val="16"/>
                <w:lang w:val="en-GB"/>
              </w:rPr>
              <w:t xml:space="preserve"> The Australian National University will commence as a self-insurer from 1 July 2018.</w:t>
            </w:r>
          </w:p>
        </w:tc>
        <w:tc>
          <w:tcPr>
            <w:tcW w:w="4036" w:type="dxa"/>
            <w:shd w:val="clear" w:color="auto" w:fill="FFC9C9"/>
            <w:tcMar>
              <w:top w:w="80" w:type="dxa"/>
              <w:left w:w="80" w:type="dxa"/>
              <w:bottom w:w="80" w:type="dxa"/>
              <w:right w:w="80" w:type="dxa"/>
            </w:tcMar>
          </w:tcPr>
          <w:p w14:paraId="2750F803"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Commonwealth Government claims are managed by Comcare.</w:t>
            </w:r>
          </w:p>
          <w:p w14:paraId="68475BA3"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Claims by the two licensed Commonwealth authorities (Australian Postal Corporation and Reserve Bank of Australia) are managed in-house by those authorities.</w:t>
            </w:r>
          </w:p>
        </w:tc>
        <w:tc>
          <w:tcPr>
            <w:tcW w:w="4036" w:type="dxa"/>
            <w:shd w:val="clear" w:color="auto" w:fill="FFC9C9"/>
            <w:tcMar>
              <w:top w:w="80" w:type="dxa"/>
              <w:left w:w="80" w:type="dxa"/>
              <w:bottom w:w="80" w:type="dxa"/>
              <w:right w:w="80" w:type="dxa"/>
            </w:tcMar>
          </w:tcPr>
          <w:p w14:paraId="1493602C" w14:textId="574A06C9"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Commonwealth entities, other than the two licensed Commonwea</w:t>
            </w:r>
            <w:r w:rsidR="005E1DF3">
              <w:rPr>
                <w:rFonts w:cs="Arial"/>
                <w:color w:val="000000"/>
                <w:sz w:val="14"/>
                <w:szCs w:val="16"/>
                <w:lang w:val="en-GB"/>
              </w:rPr>
              <w:t>lth authorities, pay experience</w:t>
            </w:r>
            <w:r w:rsidRPr="00367B31">
              <w:rPr>
                <w:rFonts w:cs="Arial"/>
                <w:color w:val="000000"/>
                <w:sz w:val="14"/>
                <w:szCs w:val="16"/>
                <w:lang w:val="en-GB"/>
              </w:rPr>
              <w:t xml:space="preserve"> based premiums to Comcare annually.</w:t>
            </w:r>
          </w:p>
        </w:tc>
      </w:tr>
      <w:tr w:rsidR="00367B31" w:rsidRPr="00367B31" w14:paraId="252AE1F0" w14:textId="77777777" w:rsidTr="00854AFF">
        <w:tc>
          <w:tcPr>
            <w:tcW w:w="1633" w:type="dxa"/>
            <w:tcMar>
              <w:top w:w="80" w:type="dxa"/>
              <w:left w:w="80" w:type="dxa"/>
              <w:bottom w:w="80" w:type="dxa"/>
              <w:right w:w="80" w:type="dxa"/>
            </w:tcMar>
          </w:tcPr>
          <w:p w14:paraId="659F4B1B"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Commonwealth Seacare</w:t>
            </w:r>
          </w:p>
        </w:tc>
        <w:tc>
          <w:tcPr>
            <w:tcW w:w="1694" w:type="dxa"/>
            <w:tcMar>
              <w:top w:w="80" w:type="dxa"/>
              <w:left w:w="80" w:type="dxa"/>
              <w:bottom w:w="80" w:type="dxa"/>
              <w:right w:w="80" w:type="dxa"/>
            </w:tcMar>
          </w:tcPr>
          <w:p w14:paraId="2B112540" w14:textId="53C553C7"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Seafarers’ Rehabilit</w:t>
            </w:r>
            <w:r w:rsidR="00550A69">
              <w:rPr>
                <w:rFonts w:cs="Arial"/>
                <w:i/>
                <w:color w:val="000000"/>
                <w:sz w:val="14"/>
                <w:szCs w:val="16"/>
                <w:lang w:val="en-GB"/>
              </w:rPr>
              <w:t>ation and Compensation Act 1992</w:t>
            </w:r>
          </w:p>
        </w:tc>
        <w:tc>
          <w:tcPr>
            <w:tcW w:w="4036" w:type="dxa"/>
            <w:tcMar>
              <w:top w:w="80" w:type="dxa"/>
              <w:left w:w="80" w:type="dxa"/>
              <w:bottom w:w="80" w:type="dxa"/>
              <w:right w:w="80" w:type="dxa"/>
            </w:tcMar>
          </w:tcPr>
          <w:p w14:paraId="56663056" w14:textId="7055D772" w:rsidR="00367B31" w:rsidRPr="00367B31" w:rsidRDefault="00854AFF" w:rsidP="00B21723">
            <w:pPr>
              <w:spacing w:after="60"/>
              <w:rPr>
                <w:rFonts w:cs="Arial"/>
                <w:color w:val="000000"/>
                <w:sz w:val="14"/>
                <w:szCs w:val="16"/>
                <w:lang w:val="en-GB"/>
              </w:rPr>
            </w:pPr>
            <w:r>
              <w:rPr>
                <w:rFonts w:cs="Arial"/>
                <w:color w:val="000000"/>
                <w:sz w:val="14"/>
                <w:szCs w:val="16"/>
                <w:lang w:val="en-GB"/>
              </w:rPr>
              <w:t>N/A</w:t>
            </w:r>
          </w:p>
        </w:tc>
        <w:tc>
          <w:tcPr>
            <w:tcW w:w="4036" w:type="dxa"/>
            <w:tcMar>
              <w:top w:w="80" w:type="dxa"/>
              <w:left w:w="80" w:type="dxa"/>
              <w:bottom w:w="80" w:type="dxa"/>
              <w:right w:w="80" w:type="dxa"/>
            </w:tcMar>
          </w:tcPr>
          <w:p w14:paraId="2959247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Act does not apply to a person who is an employee within the meaning of the </w:t>
            </w:r>
            <w:r w:rsidRPr="00367B31">
              <w:rPr>
                <w:rFonts w:cs="Arial"/>
                <w:i/>
                <w:color w:val="000000"/>
                <w:sz w:val="14"/>
                <w:szCs w:val="16"/>
                <w:lang w:val="en-GB"/>
              </w:rPr>
              <w:t>Safety Rehabilitation and Compensation Act 1988.</w:t>
            </w:r>
            <w:r w:rsidRPr="00367B31">
              <w:rPr>
                <w:rFonts w:cs="Arial"/>
                <w:color w:val="000000"/>
                <w:sz w:val="14"/>
                <w:szCs w:val="16"/>
                <w:lang w:val="en-GB"/>
              </w:rPr>
              <w:t xml:space="preserve"> </w:t>
            </w:r>
          </w:p>
        </w:tc>
        <w:tc>
          <w:tcPr>
            <w:tcW w:w="4036" w:type="dxa"/>
            <w:tcMar>
              <w:top w:w="80" w:type="dxa"/>
              <w:left w:w="80" w:type="dxa"/>
              <w:bottom w:w="80" w:type="dxa"/>
              <w:right w:w="80" w:type="dxa"/>
            </w:tcMar>
          </w:tcPr>
          <w:p w14:paraId="5BD8BF2C"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Act does not apply to a person who is an employee within the meaning of the </w:t>
            </w:r>
            <w:r w:rsidRPr="00367B31">
              <w:rPr>
                <w:rFonts w:cs="Arial"/>
                <w:i/>
                <w:color w:val="000000"/>
                <w:sz w:val="14"/>
                <w:szCs w:val="16"/>
                <w:lang w:val="en-GB"/>
              </w:rPr>
              <w:t>Safety Rehabilitation and Compensation Act 1988.</w:t>
            </w:r>
            <w:r w:rsidRPr="00367B31">
              <w:rPr>
                <w:rFonts w:cs="Arial"/>
                <w:color w:val="000000"/>
                <w:sz w:val="14"/>
                <w:szCs w:val="16"/>
                <w:lang w:val="en-GB"/>
              </w:rPr>
              <w:t xml:space="preserve"> </w:t>
            </w:r>
          </w:p>
        </w:tc>
      </w:tr>
      <w:tr w:rsidR="00367B31" w:rsidRPr="00367B31" w14:paraId="610205C5" w14:textId="77777777" w:rsidTr="00854AFF">
        <w:tc>
          <w:tcPr>
            <w:tcW w:w="1633" w:type="dxa"/>
            <w:shd w:val="clear" w:color="auto" w:fill="FFC9C9"/>
            <w:tcMar>
              <w:top w:w="80" w:type="dxa"/>
              <w:left w:w="80" w:type="dxa"/>
              <w:bottom w:w="80" w:type="dxa"/>
              <w:right w:w="80" w:type="dxa"/>
            </w:tcMar>
          </w:tcPr>
          <w:p w14:paraId="792A7DB0"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Commonwealth DVA</w:t>
            </w:r>
          </w:p>
        </w:tc>
        <w:tc>
          <w:tcPr>
            <w:tcW w:w="1694" w:type="dxa"/>
            <w:shd w:val="clear" w:color="auto" w:fill="FFC9C9"/>
            <w:tcMar>
              <w:top w:w="80" w:type="dxa"/>
              <w:left w:w="80" w:type="dxa"/>
              <w:bottom w:w="80" w:type="dxa"/>
              <w:right w:w="80" w:type="dxa"/>
            </w:tcMar>
          </w:tcPr>
          <w:p w14:paraId="6E24D068" w14:textId="74C20EF9"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N/A</w:t>
            </w:r>
          </w:p>
        </w:tc>
        <w:tc>
          <w:tcPr>
            <w:tcW w:w="4036" w:type="dxa"/>
            <w:shd w:val="clear" w:color="auto" w:fill="FFC9C9"/>
            <w:tcMar>
              <w:top w:w="80" w:type="dxa"/>
              <w:left w:w="80" w:type="dxa"/>
              <w:bottom w:w="80" w:type="dxa"/>
              <w:right w:w="80" w:type="dxa"/>
            </w:tcMar>
          </w:tcPr>
          <w:p w14:paraId="155C0F35" w14:textId="22C4BB65"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N/A</w:t>
            </w:r>
          </w:p>
        </w:tc>
        <w:tc>
          <w:tcPr>
            <w:tcW w:w="4036" w:type="dxa"/>
            <w:shd w:val="clear" w:color="auto" w:fill="FFC9C9"/>
            <w:tcMar>
              <w:top w:w="80" w:type="dxa"/>
              <w:left w:w="80" w:type="dxa"/>
              <w:bottom w:w="80" w:type="dxa"/>
              <w:right w:w="80" w:type="dxa"/>
            </w:tcMar>
          </w:tcPr>
          <w:p w14:paraId="07C02D9D" w14:textId="283734BD"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N/A</w:t>
            </w:r>
          </w:p>
        </w:tc>
        <w:tc>
          <w:tcPr>
            <w:tcW w:w="4036" w:type="dxa"/>
            <w:shd w:val="clear" w:color="auto" w:fill="FFC9C9"/>
            <w:tcMar>
              <w:top w:w="80" w:type="dxa"/>
              <w:left w:w="80" w:type="dxa"/>
              <w:bottom w:w="80" w:type="dxa"/>
              <w:right w:w="80" w:type="dxa"/>
            </w:tcMar>
          </w:tcPr>
          <w:p w14:paraId="72A28CD7" w14:textId="4FD97764"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N/A</w:t>
            </w:r>
          </w:p>
        </w:tc>
      </w:tr>
      <w:tr w:rsidR="00367B31" w:rsidRPr="00367B31" w14:paraId="269CBA41" w14:textId="77777777" w:rsidTr="00854AFF">
        <w:tc>
          <w:tcPr>
            <w:tcW w:w="1633" w:type="dxa"/>
            <w:tcMar>
              <w:top w:w="80" w:type="dxa"/>
              <w:left w:w="80" w:type="dxa"/>
              <w:bottom w:w="80" w:type="dxa"/>
              <w:right w:w="80" w:type="dxa"/>
            </w:tcMar>
          </w:tcPr>
          <w:p w14:paraId="25A4458A"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New Zealand</w:t>
            </w:r>
          </w:p>
        </w:tc>
        <w:tc>
          <w:tcPr>
            <w:tcW w:w="1694" w:type="dxa"/>
            <w:tcMar>
              <w:top w:w="80" w:type="dxa"/>
              <w:left w:w="80" w:type="dxa"/>
              <w:bottom w:w="80" w:type="dxa"/>
              <w:right w:w="80" w:type="dxa"/>
            </w:tcMar>
          </w:tcPr>
          <w:p w14:paraId="3AA3FBB3" w14:textId="6F636CE2" w:rsidR="00367B31" w:rsidRPr="00367B31" w:rsidRDefault="00550A69" w:rsidP="00B21723">
            <w:pPr>
              <w:spacing w:after="60"/>
              <w:rPr>
                <w:rFonts w:cs="Arial"/>
                <w:i/>
                <w:color w:val="000000"/>
                <w:sz w:val="14"/>
                <w:szCs w:val="16"/>
                <w:lang w:val="en-GB"/>
              </w:rPr>
            </w:pPr>
            <w:r>
              <w:rPr>
                <w:rFonts w:cs="Arial"/>
                <w:i/>
                <w:color w:val="000000"/>
                <w:sz w:val="14"/>
                <w:szCs w:val="16"/>
                <w:lang w:val="en-GB"/>
              </w:rPr>
              <w:t>Accident Compensation Act 2001</w:t>
            </w:r>
          </w:p>
        </w:tc>
        <w:tc>
          <w:tcPr>
            <w:tcW w:w="4036" w:type="dxa"/>
            <w:tcMar>
              <w:top w:w="80" w:type="dxa"/>
              <w:left w:w="80" w:type="dxa"/>
              <w:bottom w:w="80" w:type="dxa"/>
              <w:right w:w="80" w:type="dxa"/>
            </w:tcMar>
          </w:tcPr>
          <w:p w14:paraId="3FFBC6D0"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w:t>
            </w:r>
          </w:p>
        </w:tc>
        <w:tc>
          <w:tcPr>
            <w:tcW w:w="4036" w:type="dxa"/>
            <w:tcMar>
              <w:top w:w="80" w:type="dxa"/>
              <w:left w:w="80" w:type="dxa"/>
              <w:bottom w:w="80" w:type="dxa"/>
              <w:right w:w="80" w:type="dxa"/>
            </w:tcMar>
          </w:tcPr>
          <w:p w14:paraId="3906E9A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government claims except those covered by Accredited Employers are managed by ACC.</w:t>
            </w:r>
          </w:p>
          <w:p w14:paraId="593ED8E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Claims by Accredited Employers are managed by those employers, either in-house or by a contracted third-party administrator.</w:t>
            </w:r>
          </w:p>
        </w:tc>
        <w:tc>
          <w:tcPr>
            <w:tcW w:w="4036" w:type="dxa"/>
            <w:tcMar>
              <w:top w:w="80" w:type="dxa"/>
              <w:left w:w="80" w:type="dxa"/>
              <w:bottom w:w="80" w:type="dxa"/>
              <w:right w:w="80" w:type="dxa"/>
            </w:tcMar>
          </w:tcPr>
          <w:p w14:paraId="5B13EDF5" w14:textId="2749881D"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Government employers pay levies to ACC like all other employers unless they are Accredited Employers where a discount is applicable. Refer to Chapter 6 of this document for Self-insurer arrangements</w:t>
            </w:r>
            <w:r w:rsidR="000D3C6D">
              <w:rPr>
                <w:rFonts w:cs="Arial"/>
                <w:color w:val="000000"/>
                <w:sz w:val="14"/>
                <w:szCs w:val="16"/>
                <w:lang w:val="en-GB"/>
              </w:rPr>
              <w:t>.</w:t>
            </w:r>
          </w:p>
        </w:tc>
      </w:tr>
      <w:bookmarkEnd w:id="95"/>
      <w:bookmarkEnd w:id="96"/>
    </w:tbl>
    <w:p w14:paraId="169EF587" w14:textId="243C448F" w:rsidR="00C66972" w:rsidRPr="00C66972" w:rsidRDefault="00C66972" w:rsidP="00C66972">
      <w:pPr>
        <w:spacing w:after="200" w:line="276" w:lineRule="auto"/>
        <w:rPr>
          <w:rFonts w:eastAsiaTheme="minorHAnsi"/>
        </w:rPr>
      </w:pPr>
    </w:p>
    <w:p w14:paraId="6B3DE939" w14:textId="77BEDE63" w:rsidR="00367B31" w:rsidRPr="00A80282" w:rsidRDefault="00367B31" w:rsidP="00A80282">
      <w:pPr>
        <w:pStyle w:val="SWATableheader"/>
      </w:pPr>
      <w:bookmarkStart w:id="97" w:name="_Toc504654661"/>
      <w:r w:rsidRPr="00A80282">
        <w:lastRenderedPageBreak/>
        <w:t>Table 3.6: Workers’ compensation arrangements for judges and members of parliament</w:t>
      </w:r>
      <w:bookmarkEnd w:id="97"/>
      <w:r w:rsidRPr="00A80282">
        <w:t xml:space="preserve"> </w:t>
      </w:r>
      <w:r w:rsidR="009F5AD7" w:rsidRPr="00A80282">
        <w:fldChar w:fldCharType="begin"/>
      </w:r>
      <w:r w:rsidR="009F5AD7" w:rsidRPr="00A80282">
        <w:instrText xml:space="preserve"> XE "coverage of workers (type of worker):judges and members of parliament" </w:instrText>
      </w:r>
      <w:r w:rsidR="009F5AD7" w:rsidRPr="00A80282">
        <w:fldChar w:fldCharType="end"/>
      </w:r>
      <w:r w:rsidR="003B3E5B" w:rsidRPr="00A80282">
        <w:fldChar w:fldCharType="begin"/>
      </w:r>
      <w:r w:rsidR="003B3E5B" w:rsidRPr="00A80282">
        <w:instrText xml:space="preserve"> XE "members of parliament" </w:instrText>
      </w:r>
      <w:r w:rsidR="003B3E5B" w:rsidRPr="00A80282">
        <w:fldChar w:fldCharType="end"/>
      </w:r>
      <w:r w:rsidR="00870A7B" w:rsidRPr="00A80282">
        <w:fldChar w:fldCharType="begin"/>
      </w:r>
      <w:r w:rsidR="00870A7B" w:rsidRPr="00A80282">
        <w:instrText xml:space="preserve"> XE "workers (types of workers):judges and members of parliament"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6: Workers’ compensation arrangements for judges and members of parliament "/>
        <w:tblDescription w:val="This table provides information about workers' compensation arrangements for judges and members of parliament. "/>
      </w:tblPr>
      <w:tblGrid>
        <w:gridCol w:w="1626"/>
        <w:gridCol w:w="2835"/>
        <w:gridCol w:w="10974"/>
      </w:tblGrid>
      <w:tr w:rsidR="00367B31" w:rsidRPr="00367B31" w14:paraId="74298610" w14:textId="77777777" w:rsidTr="00B21723">
        <w:trPr>
          <w:tblHeader/>
        </w:trPr>
        <w:tc>
          <w:tcPr>
            <w:tcW w:w="1626" w:type="dxa"/>
            <w:shd w:val="clear" w:color="auto" w:fill="C00000"/>
            <w:tcMar>
              <w:top w:w="0" w:type="dxa"/>
              <w:left w:w="0" w:type="dxa"/>
              <w:bottom w:w="0" w:type="dxa"/>
              <w:right w:w="0" w:type="dxa"/>
            </w:tcMar>
            <w:vAlign w:val="center"/>
          </w:tcPr>
          <w:p w14:paraId="41291DDA" w14:textId="77777777" w:rsidR="00367B31" w:rsidRPr="00B21723" w:rsidRDefault="00367B31" w:rsidP="00B21723">
            <w:pPr>
              <w:spacing w:after="60"/>
              <w:rPr>
                <w:rFonts w:eastAsia="Calibri" w:cs="Arial"/>
                <w:b/>
                <w:color w:val="FFFFFF"/>
                <w:sz w:val="18"/>
                <w:szCs w:val="18"/>
                <w:lang w:eastAsia="en-US"/>
              </w:rPr>
            </w:pPr>
          </w:p>
        </w:tc>
        <w:tc>
          <w:tcPr>
            <w:tcW w:w="2835" w:type="dxa"/>
            <w:shd w:val="clear" w:color="auto" w:fill="C00000"/>
            <w:tcMar>
              <w:top w:w="0" w:type="dxa"/>
              <w:left w:w="0" w:type="dxa"/>
              <w:bottom w:w="0" w:type="dxa"/>
              <w:right w:w="0" w:type="dxa"/>
            </w:tcMar>
            <w:vAlign w:val="center"/>
          </w:tcPr>
          <w:p w14:paraId="616B0EA2" w14:textId="77777777" w:rsidR="00367B31" w:rsidRPr="00B21723" w:rsidRDefault="00367B31" w:rsidP="00B21723">
            <w:pPr>
              <w:spacing w:after="60"/>
              <w:rPr>
                <w:rFonts w:eastAsia="Calibri" w:cs="Arial"/>
                <w:b/>
                <w:color w:val="FFFFFF"/>
                <w:sz w:val="18"/>
                <w:szCs w:val="18"/>
                <w:lang w:eastAsia="en-US"/>
              </w:rPr>
            </w:pPr>
            <w:r w:rsidRPr="00B21723">
              <w:rPr>
                <w:rFonts w:eastAsia="Calibri" w:cs="Arial"/>
                <w:b/>
                <w:color w:val="FFFFFF"/>
                <w:sz w:val="18"/>
                <w:szCs w:val="18"/>
                <w:lang w:eastAsia="en-US"/>
              </w:rPr>
              <w:t>Coverage for judges</w:t>
            </w:r>
            <w:r w:rsidR="00C461E1" w:rsidRPr="00B21723">
              <w:rPr>
                <w:rFonts w:eastAsia="Calibri" w:cs="Arial"/>
                <w:b/>
                <w:color w:val="FFFFFF"/>
                <w:sz w:val="18"/>
                <w:szCs w:val="18"/>
                <w:lang w:eastAsia="en-US"/>
              </w:rPr>
              <w:fldChar w:fldCharType="begin"/>
            </w:r>
            <w:r w:rsidR="00C461E1" w:rsidRPr="00B21723">
              <w:rPr>
                <w:rFonts w:eastAsia="Calibri" w:cs="Arial"/>
                <w:b/>
                <w:color w:val="FFFFFF"/>
                <w:sz w:val="18"/>
                <w:szCs w:val="18"/>
                <w:lang w:eastAsia="en-US"/>
              </w:rPr>
              <w:instrText xml:space="preserve"> XE "judges" </w:instrText>
            </w:r>
            <w:r w:rsidR="00C461E1" w:rsidRPr="00B21723">
              <w:rPr>
                <w:rFonts w:eastAsia="Calibri" w:cs="Arial"/>
                <w:b/>
                <w:color w:val="FFFFFF"/>
                <w:sz w:val="18"/>
                <w:szCs w:val="18"/>
                <w:lang w:eastAsia="en-US"/>
              </w:rPr>
              <w:fldChar w:fldCharType="end"/>
            </w:r>
          </w:p>
        </w:tc>
        <w:tc>
          <w:tcPr>
            <w:tcW w:w="10974" w:type="dxa"/>
            <w:shd w:val="clear" w:color="auto" w:fill="C00000"/>
            <w:tcMar>
              <w:top w:w="0" w:type="dxa"/>
              <w:left w:w="0" w:type="dxa"/>
              <w:bottom w:w="0" w:type="dxa"/>
              <w:right w:w="0" w:type="dxa"/>
            </w:tcMar>
            <w:vAlign w:val="center"/>
          </w:tcPr>
          <w:p w14:paraId="631D3FE8" w14:textId="77777777" w:rsidR="00367B31" w:rsidRPr="00B21723" w:rsidRDefault="00367B31" w:rsidP="00B21723">
            <w:pPr>
              <w:spacing w:after="60"/>
              <w:rPr>
                <w:rFonts w:eastAsia="Calibri" w:cs="Arial"/>
                <w:b/>
                <w:color w:val="FFFFFF"/>
                <w:sz w:val="18"/>
                <w:szCs w:val="18"/>
                <w:lang w:eastAsia="en-US"/>
              </w:rPr>
            </w:pPr>
            <w:r w:rsidRPr="00B21723">
              <w:rPr>
                <w:rFonts w:eastAsia="Calibri" w:cs="Arial"/>
                <w:b/>
                <w:color w:val="FFFFFF"/>
                <w:sz w:val="18"/>
                <w:szCs w:val="18"/>
                <w:lang w:eastAsia="en-US"/>
              </w:rPr>
              <w:t>Coverage for members of parliament</w:t>
            </w:r>
          </w:p>
        </w:tc>
      </w:tr>
      <w:tr w:rsidR="00367B31" w:rsidRPr="00367B31" w14:paraId="7A04983A" w14:textId="77777777" w:rsidTr="00B21723">
        <w:tc>
          <w:tcPr>
            <w:tcW w:w="1626" w:type="dxa"/>
            <w:shd w:val="clear" w:color="auto" w:fill="FFC9C9"/>
            <w:tcMar>
              <w:top w:w="80" w:type="dxa"/>
              <w:left w:w="80" w:type="dxa"/>
              <w:bottom w:w="80" w:type="dxa"/>
              <w:right w:w="80" w:type="dxa"/>
            </w:tcMar>
          </w:tcPr>
          <w:p w14:paraId="78090B65"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New South Wales</w:t>
            </w:r>
          </w:p>
        </w:tc>
        <w:tc>
          <w:tcPr>
            <w:tcW w:w="2835" w:type="dxa"/>
            <w:shd w:val="clear" w:color="auto" w:fill="FFC9C9"/>
            <w:tcMar>
              <w:top w:w="80" w:type="dxa"/>
              <w:left w:w="80" w:type="dxa"/>
              <w:bottom w:w="80" w:type="dxa"/>
              <w:right w:w="80" w:type="dxa"/>
            </w:tcMar>
          </w:tcPr>
          <w:p w14:paraId="0E071E00" w14:textId="24C86085"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shd w:val="clear" w:color="auto" w:fill="FFC9C9"/>
            <w:tcMar>
              <w:top w:w="80" w:type="dxa"/>
              <w:left w:w="80" w:type="dxa"/>
              <w:bottom w:w="80" w:type="dxa"/>
              <w:right w:w="80" w:type="dxa"/>
            </w:tcMar>
          </w:tcPr>
          <w:p w14:paraId="4216A6AA"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Members and electorate officers are covered by insurance arranged with the NSW Treasury Managed Fund</w:t>
            </w:r>
            <w:r w:rsidR="00AE6838">
              <w:rPr>
                <w:rFonts w:cs="Arial"/>
                <w:color w:val="000000"/>
                <w:sz w:val="14"/>
                <w:szCs w:val="16"/>
                <w:lang w:val="en-GB"/>
              </w:rPr>
              <w:fldChar w:fldCharType="begin"/>
            </w:r>
            <w:r w:rsidR="00AE6838">
              <w:instrText xml:space="preserve"> XE "</w:instrText>
            </w:r>
            <w:r w:rsidR="00AE6838" w:rsidRPr="00AC3644">
              <w:rPr>
                <w:rFonts w:cs="Arial"/>
                <w:color w:val="000000"/>
                <w:sz w:val="14"/>
                <w:szCs w:val="16"/>
                <w:lang w:val="en-GB"/>
              </w:rPr>
              <w:instrText>Treasury Managed Fund (NSW)</w:instrText>
            </w:r>
            <w:r w:rsidR="00AE6838">
              <w:instrText xml:space="preserve">" </w:instrText>
            </w:r>
            <w:r w:rsidR="00AE6838">
              <w:rPr>
                <w:rFonts w:cs="Arial"/>
                <w:color w:val="000000"/>
                <w:sz w:val="14"/>
                <w:szCs w:val="16"/>
                <w:lang w:val="en-GB"/>
              </w:rPr>
              <w:fldChar w:fldCharType="end"/>
            </w:r>
            <w:r w:rsidRPr="00367B31">
              <w:rPr>
                <w:rFonts w:cs="Arial"/>
                <w:color w:val="000000"/>
                <w:sz w:val="14"/>
                <w:szCs w:val="16"/>
                <w:lang w:val="en-GB"/>
              </w:rPr>
              <w:t xml:space="preserve"> which includes personal accident insurance and workers’ compensation insurance in connection with their electorate or parliamentary duties. Members need to satisfy the Treasury Managed Fund</w:t>
            </w:r>
            <w:r w:rsidR="00AE6838">
              <w:rPr>
                <w:rFonts w:cs="Arial"/>
                <w:color w:val="000000"/>
                <w:sz w:val="14"/>
                <w:szCs w:val="16"/>
                <w:lang w:val="en-GB"/>
              </w:rPr>
              <w:fldChar w:fldCharType="begin"/>
            </w:r>
            <w:r w:rsidR="00AE6838">
              <w:instrText xml:space="preserve"> XE "</w:instrText>
            </w:r>
            <w:r w:rsidR="00AE6838" w:rsidRPr="00AC3644">
              <w:rPr>
                <w:rFonts w:cs="Arial"/>
                <w:color w:val="000000"/>
                <w:sz w:val="14"/>
                <w:szCs w:val="16"/>
                <w:lang w:val="en-GB"/>
              </w:rPr>
              <w:instrText>Treasury Managed Fund (NSW)</w:instrText>
            </w:r>
            <w:r w:rsidR="00AE6838">
              <w:instrText xml:space="preserve">" </w:instrText>
            </w:r>
            <w:r w:rsidR="00AE6838">
              <w:rPr>
                <w:rFonts w:cs="Arial"/>
                <w:color w:val="000000"/>
                <w:sz w:val="14"/>
                <w:szCs w:val="16"/>
                <w:lang w:val="en-GB"/>
              </w:rPr>
              <w:fldChar w:fldCharType="end"/>
            </w:r>
            <w:r w:rsidRPr="00367B31">
              <w:rPr>
                <w:rFonts w:cs="Arial"/>
                <w:color w:val="000000"/>
                <w:sz w:val="14"/>
                <w:szCs w:val="16"/>
                <w:lang w:val="en-GB"/>
              </w:rPr>
              <w:t xml:space="preserve"> and, if subject to dispute, the Treasurer that they were on duty at the time of the accident.</w:t>
            </w:r>
          </w:p>
        </w:tc>
      </w:tr>
      <w:tr w:rsidR="00367B31" w:rsidRPr="00367B31" w14:paraId="247E0C60" w14:textId="77777777" w:rsidTr="00B21723">
        <w:tc>
          <w:tcPr>
            <w:tcW w:w="1626" w:type="dxa"/>
            <w:tcMar>
              <w:top w:w="80" w:type="dxa"/>
              <w:left w:w="80" w:type="dxa"/>
              <w:bottom w:w="80" w:type="dxa"/>
              <w:right w:w="80" w:type="dxa"/>
            </w:tcMar>
          </w:tcPr>
          <w:p w14:paraId="1D50EC6C"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Victoria</w:t>
            </w:r>
          </w:p>
        </w:tc>
        <w:tc>
          <w:tcPr>
            <w:tcW w:w="2835" w:type="dxa"/>
            <w:tcMar>
              <w:top w:w="80" w:type="dxa"/>
              <w:left w:w="80" w:type="dxa"/>
              <w:bottom w:w="80" w:type="dxa"/>
              <w:right w:w="80" w:type="dxa"/>
            </w:tcMar>
          </w:tcPr>
          <w:p w14:paraId="448AAEBF" w14:textId="41FBEDEE"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tcMar>
              <w:top w:w="80" w:type="dxa"/>
              <w:left w:w="80" w:type="dxa"/>
              <w:bottom w:w="80" w:type="dxa"/>
              <w:right w:w="80" w:type="dxa"/>
            </w:tcMar>
          </w:tcPr>
          <w:p w14:paraId="175EA21E" w14:textId="781DCD8F"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 xml:space="preserve">Clause 14(1), </w:t>
            </w:r>
            <w:hyperlink r:id="rId713" w:history="1">
              <w:r w:rsidRPr="004B22FF">
                <w:rPr>
                  <w:rStyle w:val="Hyperlink"/>
                  <w:rFonts w:cs="Arial"/>
                  <w:sz w:val="14"/>
                  <w:szCs w:val="16"/>
                  <w:lang w:val="en-GB"/>
                </w:rPr>
                <w:t>Schedule 1</w:t>
              </w:r>
            </w:hyperlink>
            <w:r w:rsidRPr="00367B31">
              <w:rPr>
                <w:rFonts w:cs="Arial"/>
                <w:color w:val="000000"/>
                <w:sz w:val="14"/>
                <w:szCs w:val="16"/>
                <w:lang w:val="en-GB"/>
              </w:rPr>
              <w:t xml:space="preserve"> of the </w:t>
            </w:r>
            <w:r w:rsidRPr="00367B31">
              <w:rPr>
                <w:rFonts w:cs="Arial"/>
                <w:i/>
                <w:color w:val="000000"/>
                <w:sz w:val="14"/>
                <w:szCs w:val="16"/>
                <w:lang w:val="en-GB"/>
              </w:rPr>
              <w:t>Workplace Injury Rehabilitation and Compensation Act 2013</w:t>
            </w:r>
            <w:r w:rsidRPr="00367B31">
              <w:rPr>
                <w:rFonts w:cs="Arial"/>
                <w:color w:val="000000"/>
                <w:sz w:val="14"/>
                <w:szCs w:val="16"/>
                <w:lang w:val="en-GB"/>
              </w:rPr>
              <w:t xml:space="preserve"> provides that politicians are covered.</w:t>
            </w:r>
          </w:p>
        </w:tc>
      </w:tr>
      <w:tr w:rsidR="00367B31" w:rsidRPr="00367B31" w14:paraId="5E370912" w14:textId="77777777" w:rsidTr="00B21723">
        <w:tc>
          <w:tcPr>
            <w:tcW w:w="1626" w:type="dxa"/>
            <w:shd w:val="clear" w:color="auto" w:fill="FFC9C9"/>
            <w:tcMar>
              <w:top w:w="80" w:type="dxa"/>
              <w:left w:w="80" w:type="dxa"/>
              <w:bottom w:w="80" w:type="dxa"/>
              <w:right w:w="80" w:type="dxa"/>
            </w:tcMar>
          </w:tcPr>
          <w:p w14:paraId="12AD908D"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Queensland</w:t>
            </w:r>
          </w:p>
        </w:tc>
        <w:tc>
          <w:tcPr>
            <w:tcW w:w="2835" w:type="dxa"/>
            <w:shd w:val="clear" w:color="auto" w:fill="FFC9C9"/>
            <w:tcMar>
              <w:top w:w="80" w:type="dxa"/>
              <w:left w:w="80" w:type="dxa"/>
              <w:bottom w:w="80" w:type="dxa"/>
              <w:right w:w="80" w:type="dxa"/>
            </w:tcMar>
          </w:tcPr>
          <w:p w14:paraId="278F2440" w14:textId="4F4A2251"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shd w:val="clear" w:color="auto" w:fill="FFC9C9"/>
            <w:tcMar>
              <w:top w:w="80" w:type="dxa"/>
              <w:left w:w="80" w:type="dxa"/>
              <w:bottom w:w="80" w:type="dxa"/>
              <w:right w:w="80" w:type="dxa"/>
            </w:tcMar>
          </w:tcPr>
          <w:p w14:paraId="396E797A"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 xml:space="preserve">All Members have personal accident indemnity cover on a 24 hour basis. Members are indemnified in the event of injury, as defined, resulting in death. </w:t>
            </w:r>
          </w:p>
        </w:tc>
      </w:tr>
      <w:tr w:rsidR="00367B31" w:rsidRPr="00367B31" w14:paraId="29219B2B" w14:textId="77777777" w:rsidTr="00B21723">
        <w:tc>
          <w:tcPr>
            <w:tcW w:w="1626" w:type="dxa"/>
            <w:tcMar>
              <w:top w:w="80" w:type="dxa"/>
              <w:left w:w="80" w:type="dxa"/>
              <w:bottom w:w="80" w:type="dxa"/>
              <w:right w:w="80" w:type="dxa"/>
            </w:tcMar>
          </w:tcPr>
          <w:p w14:paraId="0063E9E2"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Western Australia</w:t>
            </w:r>
          </w:p>
        </w:tc>
        <w:tc>
          <w:tcPr>
            <w:tcW w:w="2835" w:type="dxa"/>
            <w:tcMar>
              <w:top w:w="80" w:type="dxa"/>
              <w:left w:w="80" w:type="dxa"/>
              <w:bottom w:w="80" w:type="dxa"/>
              <w:right w:w="80" w:type="dxa"/>
            </w:tcMar>
          </w:tcPr>
          <w:p w14:paraId="14103DA0" w14:textId="035819C2"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tcMar>
              <w:top w:w="80" w:type="dxa"/>
              <w:left w:w="80" w:type="dxa"/>
              <w:bottom w:w="80" w:type="dxa"/>
              <w:right w:w="80" w:type="dxa"/>
            </w:tcMar>
          </w:tcPr>
          <w:p w14:paraId="4E18D148"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Not covered for workers’ compensation, although insurance is taken out by the Joint House Committee, consistent with personal injury insurance.</w:t>
            </w:r>
          </w:p>
        </w:tc>
      </w:tr>
      <w:tr w:rsidR="00367B31" w:rsidRPr="00367B31" w14:paraId="220F9047" w14:textId="77777777" w:rsidTr="00B21723">
        <w:tc>
          <w:tcPr>
            <w:tcW w:w="1626" w:type="dxa"/>
            <w:shd w:val="clear" w:color="auto" w:fill="FFC9C9"/>
            <w:tcMar>
              <w:top w:w="80" w:type="dxa"/>
              <w:left w:w="80" w:type="dxa"/>
              <w:bottom w:w="80" w:type="dxa"/>
              <w:right w:w="80" w:type="dxa"/>
            </w:tcMar>
          </w:tcPr>
          <w:p w14:paraId="094A8EC6"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South Australia</w:t>
            </w:r>
          </w:p>
        </w:tc>
        <w:tc>
          <w:tcPr>
            <w:tcW w:w="2835" w:type="dxa"/>
            <w:shd w:val="clear" w:color="auto" w:fill="FFC9C9"/>
            <w:tcMar>
              <w:top w:w="80" w:type="dxa"/>
              <w:left w:w="80" w:type="dxa"/>
              <w:bottom w:w="80" w:type="dxa"/>
              <w:right w:w="80" w:type="dxa"/>
            </w:tcMar>
          </w:tcPr>
          <w:p w14:paraId="0C5406B8" w14:textId="7E1FD59A"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shd w:val="clear" w:color="auto" w:fill="FFC9C9"/>
            <w:tcMar>
              <w:top w:w="80" w:type="dxa"/>
              <w:left w:w="80" w:type="dxa"/>
              <w:bottom w:w="80" w:type="dxa"/>
              <w:right w:w="80" w:type="dxa"/>
            </w:tcMar>
          </w:tcPr>
          <w:p w14:paraId="0E926A95"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Not covered for workers’ compensation, although an administrative arrangement provides the equivalent of workers’ compensation.</w:t>
            </w:r>
          </w:p>
        </w:tc>
      </w:tr>
      <w:tr w:rsidR="00367B31" w:rsidRPr="00367B31" w14:paraId="5CB3702C" w14:textId="77777777" w:rsidTr="00B21723">
        <w:tc>
          <w:tcPr>
            <w:tcW w:w="1626" w:type="dxa"/>
            <w:tcMar>
              <w:top w:w="80" w:type="dxa"/>
              <w:left w:w="80" w:type="dxa"/>
              <w:bottom w:w="80" w:type="dxa"/>
              <w:right w:w="80" w:type="dxa"/>
            </w:tcMar>
          </w:tcPr>
          <w:p w14:paraId="4A1EA578"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Tasmania</w:t>
            </w:r>
          </w:p>
        </w:tc>
        <w:tc>
          <w:tcPr>
            <w:tcW w:w="2835" w:type="dxa"/>
            <w:tcMar>
              <w:top w:w="80" w:type="dxa"/>
              <w:left w:w="80" w:type="dxa"/>
              <w:bottom w:w="80" w:type="dxa"/>
              <w:right w:w="80" w:type="dxa"/>
            </w:tcMar>
          </w:tcPr>
          <w:p w14:paraId="7844E5AC" w14:textId="2652778C" w:rsidR="00367B31" w:rsidRPr="00367B31" w:rsidRDefault="00367B31" w:rsidP="002239E9">
            <w:pPr>
              <w:spacing w:after="60" w:line="276" w:lineRule="auto"/>
              <w:rPr>
                <w:rFonts w:cs="Arial"/>
                <w:color w:val="000000"/>
                <w:sz w:val="14"/>
                <w:szCs w:val="16"/>
                <w:lang w:val="en-GB"/>
              </w:rPr>
            </w:pPr>
            <w:r w:rsidRPr="00367B31">
              <w:rPr>
                <w:rFonts w:cs="Arial"/>
                <w:color w:val="000000"/>
                <w:sz w:val="14"/>
                <w:szCs w:val="16"/>
                <w:lang w:val="en-GB"/>
              </w:rPr>
              <w:t>Covered as state government employees</w:t>
            </w:r>
          </w:p>
        </w:tc>
        <w:tc>
          <w:tcPr>
            <w:tcW w:w="10974" w:type="dxa"/>
            <w:tcMar>
              <w:top w:w="80" w:type="dxa"/>
              <w:left w:w="80" w:type="dxa"/>
              <w:bottom w:w="80" w:type="dxa"/>
              <w:right w:w="80" w:type="dxa"/>
            </w:tcMar>
          </w:tcPr>
          <w:p w14:paraId="062BE316"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Workers’ compensation is not provided to Members of Parliament. Members of Parliament are eligible for personal accident cover in the event of an injury whilst in service to the Government. Cover is provided by the Tasmanian Risk Management Fund (TRMF). The TRMF provides no-fault personal accident cover for Ministers and Members of Parliament who suffer or aggravate an injury which arises out of, and in the course of, their official parliamentary duties or contract a disease for which their official parliamentary duties was the major contributor.</w:t>
            </w:r>
          </w:p>
        </w:tc>
      </w:tr>
      <w:tr w:rsidR="00367B31" w:rsidRPr="00367B31" w14:paraId="21BE838B" w14:textId="77777777" w:rsidTr="00B21723">
        <w:tc>
          <w:tcPr>
            <w:tcW w:w="1626" w:type="dxa"/>
            <w:shd w:val="clear" w:color="auto" w:fill="FFC9C9"/>
            <w:tcMar>
              <w:top w:w="80" w:type="dxa"/>
              <w:left w:w="80" w:type="dxa"/>
              <w:bottom w:w="80" w:type="dxa"/>
              <w:right w:w="80" w:type="dxa"/>
            </w:tcMar>
          </w:tcPr>
          <w:p w14:paraId="6AE33620"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Northern Territory</w:t>
            </w:r>
          </w:p>
        </w:tc>
        <w:tc>
          <w:tcPr>
            <w:tcW w:w="2835" w:type="dxa"/>
            <w:shd w:val="clear" w:color="auto" w:fill="FFC9C9"/>
            <w:tcMar>
              <w:top w:w="80" w:type="dxa"/>
              <w:left w:w="80" w:type="dxa"/>
              <w:bottom w:w="80" w:type="dxa"/>
              <w:right w:w="80" w:type="dxa"/>
            </w:tcMar>
          </w:tcPr>
          <w:p w14:paraId="29A06A47" w14:textId="3B39B215" w:rsidR="00367B31" w:rsidRPr="00367B31" w:rsidRDefault="002239E9" w:rsidP="00B21723">
            <w:pPr>
              <w:spacing w:after="60" w:line="276" w:lineRule="auto"/>
              <w:rPr>
                <w:rFonts w:cs="Arial"/>
                <w:color w:val="000000"/>
                <w:sz w:val="14"/>
                <w:szCs w:val="16"/>
                <w:lang w:val="en-GB"/>
              </w:rPr>
            </w:pPr>
            <w:r>
              <w:rPr>
                <w:rFonts w:cs="Arial"/>
                <w:color w:val="000000"/>
                <w:sz w:val="14"/>
                <w:szCs w:val="16"/>
                <w:lang w:val="en-GB"/>
              </w:rPr>
              <w:t>Covered as government employees</w:t>
            </w:r>
          </w:p>
        </w:tc>
        <w:tc>
          <w:tcPr>
            <w:tcW w:w="10974" w:type="dxa"/>
            <w:shd w:val="clear" w:color="auto" w:fill="FFC9C9"/>
            <w:tcMar>
              <w:top w:w="80" w:type="dxa"/>
              <w:left w:w="80" w:type="dxa"/>
              <w:bottom w:w="80" w:type="dxa"/>
              <w:right w:w="80" w:type="dxa"/>
            </w:tcMar>
          </w:tcPr>
          <w:p w14:paraId="0A19FAFD" w14:textId="38CBA0CE" w:rsidR="00367B31" w:rsidRPr="00367B31" w:rsidRDefault="002239E9" w:rsidP="00B21723">
            <w:pPr>
              <w:spacing w:after="60" w:line="276" w:lineRule="auto"/>
              <w:rPr>
                <w:rFonts w:cs="Arial"/>
                <w:color w:val="000000"/>
                <w:sz w:val="14"/>
                <w:szCs w:val="16"/>
                <w:lang w:val="en-GB"/>
              </w:rPr>
            </w:pPr>
            <w:r>
              <w:rPr>
                <w:rFonts w:cs="Arial"/>
                <w:color w:val="000000"/>
                <w:sz w:val="14"/>
                <w:szCs w:val="16"/>
                <w:lang w:val="en-GB"/>
              </w:rPr>
              <w:t>Covered as government employees</w:t>
            </w:r>
          </w:p>
        </w:tc>
      </w:tr>
      <w:tr w:rsidR="00367B31" w:rsidRPr="00367B31" w14:paraId="288061C9" w14:textId="77777777" w:rsidTr="00B21723">
        <w:tc>
          <w:tcPr>
            <w:tcW w:w="1626" w:type="dxa"/>
            <w:tcMar>
              <w:top w:w="80" w:type="dxa"/>
              <w:left w:w="80" w:type="dxa"/>
              <w:bottom w:w="80" w:type="dxa"/>
              <w:right w:w="80" w:type="dxa"/>
            </w:tcMar>
          </w:tcPr>
          <w:p w14:paraId="24C937DA"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Australian Capital Territory</w:t>
            </w:r>
          </w:p>
        </w:tc>
        <w:tc>
          <w:tcPr>
            <w:tcW w:w="2835" w:type="dxa"/>
            <w:tcMar>
              <w:top w:w="80" w:type="dxa"/>
              <w:left w:w="80" w:type="dxa"/>
              <w:bottom w:w="80" w:type="dxa"/>
              <w:right w:w="80" w:type="dxa"/>
            </w:tcMar>
          </w:tcPr>
          <w:p w14:paraId="56705D31" w14:textId="35EF78BC"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Covered as government em</w:t>
            </w:r>
            <w:r w:rsidR="002239E9">
              <w:rPr>
                <w:rFonts w:cs="Arial"/>
                <w:color w:val="000000"/>
                <w:sz w:val="14"/>
                <w:szCs w:val="16"/>
                <w:lang w:val="en-GB"/>
              </w:rPr>
              <w:t>ployees</w:t>
            </w:r>
          </w:p>
        </w:tc>
        <w:tc>
          <w:tcPr>
            <w:tcW w:w="10974" w:type="dxa"/>
            <w:tcMar>
              <w:top w:w="80" w:type="dxa"/>
              <w:left w:w="80" w:type="dxa"/>
              <w:bottom w:w="80" w:type="dxa"/>
              <w:right w:w="80" w:type="dxa"/>
            </w:tcMar>
          </w:tcPr>
          <w:p w14:paraId="2FB40714" w14:textId="45A0E7C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No</w:t>
            </w:r>
            <w:r w:rsidR="002239E9">
              <w:rPr>
                <w:rFonts w:cs="Arial"/>
                <w:color w:val="000000"/>
                <w:sz w:val="14"/>
                <w:szCs w:val="16"/>
                <w:lang w:val="en-GB"/>
              </w:rPr>
              <w:t>t covered under the legislation</w:t>
            </w:r>
          </w:p>
        </w:tc>
      </w:tr>
      <w:tr w:rsidR="00367B31" w:rsidRPr="00367B31" w14:paraId="10367A19" w14:textId="77777777" w:rsidTr="00B21723">
        <w:tc>
          <w:tcPr>
            <w:tcW w:w="1626" w:type="dxa"/>
            <w:shd w:val="clear" w:color="auto" w:fill="FFC9C9"/>
            <w:tcMar>
              <w:top w:w="80" w:type="dxa"/>
              <w:left w:w="80" w:type="dxa"/>
              <w:bottom w:w="80" w:type="dxa"/>
              <w:right w:w="80" w:type="dxa"/>
            </w:tcMar>
          </w:tcPr>
          <w:p w14:paraId="6034157D"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C’wealth Comcare</w:t>
            </w:r>
          </w:p>
        </w:tc>
        <w:tc>
          <w:tcPr>
            <w:tcW w:w="2835" w:type="dxa"/>
            <w:shd w:val="clear" w:color="auto" w:fill="FFC9C9"/>
            <w:tcMar>
              <w:top w:w="80" w:type="dxa"/>
              <w:left w:w="80" w:type="dxa"/>
              <w:bottom w:w="80" w:type="dxa"/>
              <w:right w:w="80" w:type="dxa"/>
            </w:tcMar>
          </w:tcPr>
          <w:p w14:paraId="49294276" w14:textId="1C7F5619" w:rsidR="00367B31" w:rsidRPr="00367B31" w:rsidRDefault="002239E9" w:rsidP="00B21723">
            <w:pPr>
              <w:spacing w:after="60" w:line="276" w:lineRule="auto"/>
              <w:rPr>
                <w:rFonts w:cs="Arial"/>
                <w:color w:val="000000"/>
                <w:sz w:val="14"/>
                <w:szCs w:val="16"/>
                <w:lang w:val="en-GB"/>
              </w:rPr>
            </w:pPr>
            <w:r>
              <w:rPr>
                <w:rFonts w:cs="Arial"/>
                <w:color w:val="000000"/>
                <w:sz w:val="14"/>
                <w:szCs w:val="16"/>
                <w:lang w:val="en-GB"/>
              </w:rPr>
              <w:t>Separate arrangements</w:t>
            </w:r>
          </w:p>
          <w:p w14:paraId="4EE791D7" w14:textId="438D6EE9" w:rsidR="00367B31" w:rsidRPr="00367B31" w:rsidRDefault="00A7538C" w:rsidP="00B21723">
            <w:pPr>
              <w:spacing w:after="60" w:line="276" w:lineRule="auto"/>
              <w:rPr>
                <w:rFonts w:cs="Arial"/>
                <w:color w:val="000000"/>
                <w:sz w:val="14"/>
                <w:szCs w:val="16"/>
                <w:lang w:val="en-GB"/>
              </w:rPr>
            </w:pPr>
            <w:hyperlink r:id="rId714" w:history="1">
              <w:r w:rsidR="00367B31" w:rsidRPr="004B22FF">
                <w:rPr>
                  <w:rStyle w:val="Hyperlink"/>
                  <w:rFonts w:cs="Arial"/>
                  <w:sz w:val="14"/>
                  <w:szCs w:val="16"/>
                  <w:lang w:val="en-GB"/>
                </w:rPr>
                <w:t>s5(8)</w:t>
              </w:r>
            </w:hyperlink>
            <w:r w:rsidR="00367B31" w:rsidRPr="00367B31">
              <w:rPr>
                <w:rFonts w:cs="Arial"/>
                <w:color w:val="000000"/>
                <w:sz w:val="14"/>
                <w:szCs w:val="16"/>
                <w:lang w:val="en-GB"/>
              </w:rPr>
              <w:t xml:space="preserve"> of the </w:t>
            </w:r>
            <w:r w:rsidR="00367B31" w:rsidRPr="00367B31">
              <w:rPr>
                <w:rFonts w:cs="Arial"/>
                <w:i/>
                <w:color w:val="000000"/>
                <w:sz w:val="14"/>
                <w:szCs w:val="16"/>
                <w:lang w:val="en-GB"/>
              </w:rPr>
              <w:t>Safety Rehabilitation and Compensation Act 1988</w:t>
            </w:r>
            <w:r w:rsidR="00367B31" w:rsidRPr="00367B31">
              <w:rPr>
                <w:rFonts w:cs="Arial"/>
                <w:color w:val="000000"/>
                <w:sz w:val="14"/>
                <w:szCs w:val="16"/>
                <w:lang w:val="en-GB"/>
              </w:rPr>
              <w:t xml:space="preserve"> excludes judges</w:t>
            </w:r>
            <w:r w:rsidR="00C461E1">
              <w:rPr>
                <w:rFonts w:cs="Arial"/>
                <w:color w:val="000000"/>
                <w:sz w:val="14"/>
                <w:szCs w:val="16"/>
                <w:lang w:val="en-GB"/>
              </w:rPr>
              <w:fldChar w:fldCharType="begin"/>
            </w:r>
            <w:r w:rsidR="00C461E1">
              <w:instrText xml:space="preserve"> XE "</w:instrText>
            </w:r>
            <w:r w:rsidR="00C461E1" w:rsidRPr="0063546E">
              <w:rPr>
                <w:rFonts w:eastAsia="Calibri"/>
              </w:rPr>
              <w:instrText>judges</w:instrText>
            </w:r>
            <w:r w:rsidR="00C461E1">
              <w:instrText xml:space="preserve">" </w:instrText>
            </w:r>
            <w:r w:rsidR="00C461E1">
              <w:rPr>
                <w:rFonts w:cs="Arial"/>
                <w:color w:val="000000"/>
                <w:sz w:val="14"/>
                <w:szCs w:val="16"/>
                <w:lang w:val="en-GB"/>
              </w:rPr>
              <w:fldChar w:fldCharType="end"/>
            </w:r>
            <w:r w:rsidR="002239E9">
              <w:rPr>
                <w:rFonts w:cs="Arial"/>
                <w:color w:val="000000"/>
                <w:sz w:val="14"/>
                <w:szCs w:val="16"/>
                <w:lang w:val="en-GB"/>
              </w:rPr>
              <w:t xml:space="preserve"> from coverage under that Act</w:t>
            </w:r>
          </w:p>
        </w:tc>
        <w:tc>
          <w:tcPr>
            <w:tcW w:w="10974" w:type="dxa"/>
            <w:shd w:val="clear" w:color="auto" w:fill="FFC9C9"/>
            <w:tcMar>
              <w:top w:w="80" w:type="dxa"/>
              <w:left w:w="80" w:type="dxa"/>
              <w:bottom w:w="80" w:type="dxa"/>
              <w:right w:w="80" w:type="dxa"/>
            </w:tcMar>
          </w:tcPr>
          <w:p w14:paraId="24D2D14E" w14:textId="320E57E8" w:rsidR="00367B31" w:rsidRPr="00367B31" w:rsidRDefault="002239E9" w:rsidP="00B21723">
            <w:pPr>
              <w:spacing w:after="60" w:line="276" w:lineRule="auto"/>
              <w:rPr>
                <w:rFonts w:cs="Arial"/>
                <w:color w:val="000000"/>
                <w:sz w:val="14"/>
                <w:szCs w:val="16"/>
                <w:lang w:val="en-GB"/>
              </w:rPr>
            </w:pPr>
            <w:r>
              <w:rPr>
                <w:rFonts w:cs="Arial"/>
                <w:color w:val="000000"/>
                <w:sz w:val="14"/>
                <w:szCs w:val="16"/>
                <w:lang w:val="en-GB"/>
              </w:rPr>
              <w:t>Separate arrangements</w:t>
            </w:r>
          </w:p>
          <w:p w14:paraId="46B45BE7" w14:textId="401A673A" w:rsidR="00367B31" w:rsidRPr="00367B31" w:rsidRDefault="00A7538C" w:rsidP="00B21723">
            <w:pPr>
              <w:spacing w:after="60" w:line="276" w:lineRule="auto"/>
              <w:rPr>
                <w:rFonts w:cs="Arial"/>
                <w:color w:val="000000"/>
                <w:sz w:val="14"/>
                <w:szCs w:val="16"/>
                <w:lang w:val="en-GB"/>
              </w:rPr>
            </w:pPr>
            <w:hyperlink r:id="rId715" w:history="1">
              <w:r w:rsidR="00367B31" w:rsidRPr="004B22FF">
                <w:rPr>
                  <w:rStyle w:val="Hyperlink"/>
                  <w:rFonts w:cs="Arial"/>
                  <w:sz w:val="14"/>
                  <w:szCs w:val="16"/>
                  <w:lang w:val="en-GB"/>
                </w:rPr>
                <w:t>s5(8)</w:t>
              </w:r>
            </w:hyperlink>
            <w:r w:rsidR="00367B31" w:rsidRPr="00367B31">
              <w:rPr>
                <w:rFonts w:cs="Arial"/>
                <w:color w:val="000000"/>
                <w:sz w:val="14"/>
                <w:szCs w:val="16"/>
                <w:lang w:val="en-GB"/>
              </w:rPr>
              <w:t xml:space="preserve"> of the </w:t>
            </w:r>
            <w:r w:rsidR="00FA7C94" w:rsidRPr="00016069">
              <w:rPr>
                <w:i/>
                <w:sz w:val="14"/>
              </w:rPr>
              <w:t>Safety, Rehabilitation and Compensation Act 1988</w:t>
            </w:r>
            <w:r w:rsidR="00FA7C94">
              <w:rPr>
                <w:i/>
                <w:sz w:val="14"/>
              </w:rPr>
              <w:t xml:space="preserve"> </w:t>
            </w:r>
            <w:r w:rsidR="00367B31" w:rsidRPr="00367B31">
              <w:rPr>
                <w:rFonts w:cs="Arial"/>
                <w:color w:val="000000"/>
                <w:sz w:val="14"/>
                <w:szCs w:val="16"/>
                <w:lang w:val="en-GB"/>
              </w:rPr>
              <w:t>excludes members of Parliament and Ministers of sta</w:t>
            </w:r>
            <w:r w:rsidR="002239E9">
              <w:rPr>
                <w:rFonts w:cs="Arial"/>
                <w:color w:val="000000"/>
                <w:sz w:val="14"/>
                <w:szCs w:val="16"/>
                <w:lang w:val="en-GB"/>
              </w:rPr>
              <w:t>te from coverage under that Act</w:t>
            </w:r>
          </w:p>
        </w:tc>
      </w:tr>
      <w:tr w:rsidR="00367B31" w:rsidRPr="00367B31" w14:paraId="562233B8" w14:textId="77777777" w:rsidTr="00B21723">
        <w:tc>
          <w:tcPr>
            <w:tcW w:w="1626" w:type="dxa"/>
            <w:tcMar>
              <w:top w:w="80" w:type="dxa"/>
              <w:left w:w="80" w:type="dxa"/>
              <w:bottom w:w="80" w:type="dxa"/>
              <w:right w:w="80" w:type="dxa"/>
            </w:tcMar>
          </w:tcPr>
          <w:p w14:paraId="14F6C802"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C’wealth Seacare</w:t>
            </w:r>
          </w:p>
        </w:tc>
        <w:tc>
          <w:tcPr>
            <w:tcW w:w="2835" w:type="dxa"/>
            <w:tcMar>
              <w:top w:w="80" w:type="dxa"/>
              <w:left w:w="80" w:type="dxa"/>
              <w:bottom w:w="80" w:type="dxa"/>
              <w:right w:w="80" w:type="dxa"/>
            </w:tcMar>
          </w:tcPr>
          <w:p w14:paraId="5A63ADAC" w14:textId="1254BDBD"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N/A</w:t>
            </w:r>
          </w:p>
        </w:tc>
        <w:tc>
          <w:tcPr>
            <w:tcW w:w="10974" w:type="dxa"/>
            <w:tcMar>
              <w:top w:w="80" w:type="dxa"/>
              <w:left w:w="80" w:type="dxa"/>
              <w:bottom w:w="80" w:type="dxa"/>
              <w:right w:w="80" w:type="dxa"/>
            </w:tcMar>
          </w:tcPr>
          <w:p w14:paraId="3D0A7B1F" w14:textId="57FFC8D6"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N/A</w:t>
            </w:r>
          </w:p>
        </w:tc>
      </w:tr>
      <w:tr w:rsidR="00367B31" w:rsidRPr="00367B31" w14:paraId="64278099" w14:textId="77777777" w:rsidTr="00B21723">
        <w:tc>
          <w:tcPr>
            <w:tcW w:w="1626" w:type="dxa"/>
            <w:shd w:val="clear" w:color="auto" w:fill="FFC9C9"/>
            <w:tcMar>
              <w:top w:w="80" w:type="dxa"/>
              <w:left w:w="80" w:type="dxa"/>
              <w:bottom w:w="80" w:type="dxa"/>
              <w:right w:w="80" w:type="dxa"/>
            </w:tcMar>
          </w:tcPr>
          <w:p w14:paraId="7927036A"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C’wealth DVA</w:t>
            </w:r>
          </w:p>
        </w:tc>
        <w:tc>
          <w:tcPr>
            <w:tcW w:w="2835" w:type="dxa"/>
            <w:shd w:val="clear" w:color="auto" w:fill="FFC9C9"/>
            <w:tcMar>
              <w:top w:w="80" w:type="dxa"/>
              <w:left w:w="80" w:type="dxa"/>
              <w:bottom w:w="80" w:type="dxa"/>
              <w:right w:w="80" w:type="dxa"/>
            </w:tcMar>
          </w:tcPr>
          <w:p w14:paraId="68BAF716" w14:textId="0AC89708"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N/A</w:t>
            </w:r>
          </w:p>
        </w:tc>
        <w:tc>
          <w:tcPr>
            <w:tcW w:w="10974" w:type="dxa"/>
            <w:shd w:val="clear" w:color="auto" w:fill="FFC9C9"/>
            <w:tcMar>
              <w:top w:w="80" w:type="dxa"/>
              <w:left w:w="80" w:type="dxa"/>
              <w:bottom w:w="80" w:type="dxa"/>
              <w:right w:w="80" w:type="dxa"/>
            </w:tcMar>
          </w:tcPr>
          <w:p w14:paraId="67A5F150" w14:textId="4C56C6DA"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N/A</w:t>
            </w:r>
          </w:p>
        </w:tc>
      </w:tr>
      <w:tr w:rsidR="00367B31" w:rsidRPr="00367B31" w14:paraId="40B1059D" w14:textId="77777777" w:rsidTr="00B21723">
        <w:tc>
          <w:tcPr>
            <w:tcW w:w="1626" w:type="dxa"/>
            <w:tcMar>
              <w:top w:w="80" w:type="dxa"/>
              <w:left w:w="80" w:type="dxa"/>
              <w:bottom w:w="80" w:type="dxa"/>
              <w:right w:w="80" w:type="dxa"/>
            </w:tcMar>
          </w:tcPr>
          <w:p w14:paraId="5A7D550F"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New Zealand</w:t>
            </w:r>
          </w:p>
        </w:tc>
        <w:tc>
          <w:tcPr>
            <w:tcW w:w="2835" w:type="dxa"/>
            <w:tcMar>
              <w:top w:w="80" w:type="dxa"/>
              <w:left w:w="80" w:type="dxa"/>
              <w:bottom w:w="80" w:type="dxa"/>
              <w:right w:w="80" w:type="dxa"/>
            </w:tcMar>
          </w:tcPr>
          <w:p w14:paraId="1534F45F" w14:textId="381774D5"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 xml:space="preserve">Covered as any other employee under the </w:t>
            </w:r>
            <w:r w:rsidRPr="00367B31">
              <w:rPr>
                <w:rFonts w:cs="Arial"/>
                <w:i/>
                <w:color w:val="000000"/>
                <w:sz w:val="14"/>
                <w:szCs w:val="16"/>
                <w:lang w:val="en-GB"/>
              </w:rPr>
              <w:t>Accident Compensation Act 2001</w:t>
            </w:r>
          </w:p>
        </w:tc>
        <w:tc>
          <w:tcPr>
            <w:tcW w:w="10974" w:type="dxa"/>
            <w:tcMar>
              <w:top w:w="80" w:type="dxa"/>
              <w:left w:w="80" w:type="dxa"/>
              <w:bottom w:w="80" w:type="dxa"/>
              <w:right w:w="80" w:type="dxa"/>
            </w:tcMar>
          </w:tcPr>
          <w:p w14:paraId="2B8FA4C6" w14:textId="76E9EED6"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 xml:space="preserve">Covered as any other employee under the </w:t>
            </w:r>
            <w:r w:rsidRPr="00367B31">
              <w:rPr>
                <w:rFonts w:cs="Arial"/>
                <w:i/>
                <w:color w:val="000000"/>
                <w:sz w:val="14"/>
                <w:szCs w:val="16"/>
                <w:lang w:val="en-GB"/>
              </w:rPr>
              <w:t>Accident Compensation Act 2001</w:t>
            </w:r>
          </w:p>
        </w:tc>
      </w:tr>
    </w:tbl>
    <w:p w14:paraId="62312F06" w14:textId="77777777" w:rsidR="00C66972" w:rsidRPr="00C66972" w:rsidRDefault="00C66972" w:rsidP="00C66972">
      <w:pPr>
        <w:spacing w:after="200" w:line="276" w:lineRule="auto"/>
        <w:rPr>
          <w:rFonts w:eastAsiaTheme="minorHAnsi"/>
          <w:b/>
        </w:rPr>
        <w:sectPr w:rsidR="00C66972" w:rsidRPr="00C66972" w:rsidSect="00BC09D4">
          <w:pgSz w:w="16838" w:h="11906" w:orient="landscape"/>
          <w:pgMar w:top="249" w:right="567" w:bottom="249" w:left="624" w:header="709" w:footer="397" w:gutter="0"/>
          <w:cols w:space="708"/>
          <w:docGrid w:linePitch="360"/>
        </w:sectPr>
      </w:pPr>
    </w:p>
    <w:p w14:paraId="13E5F4F7" w14:textId="424F51CA" w:rsidR="00C955DE" w:rsidRPr="00A80282" w:rsidRDefault="00C955DE" w:rsidP="00A80282">
      <w:pPr>
        <w:pStyle w:val="Title"/>
      </w:pPr>
      <w:bookmarkStart w:id="98" w:name="_Toc504654662"/>
      <w:r w:rsidRPr="00A80282">
        <w:lastRenderedPageBreak/>
        <w:t>Coverage of work and injury</w:t>
      </w:r>
      <w:bookmarkEnd w:id="98"/>
      <w:r w:rsidRPr="00A80282">
        <w:t xml:space="preserve"> </w:t>
      </w:r>
    </w:p>
    <w:p w14:paraId="1009D83B" w14:textId="77777777" w:rsidR="006A50D4" w:rsidRDefault="00C955DE" w:rsidP="00A54D3B">
      <w:r w:rsidRPr="00962914">
        <w:t>An entitlement to workers’ compensation is reliant on the relationship of a worker’s injury to work.</w:t>
      </w:r>
    </w:p>
    <w:p w14:paraId="4E664D45" w14:textId="780181F4" w:rsidR="00C955DE" w:rsidRPr="00A80282" w:rsidRDefault="00C955DE" w:rsidP="00A80282">
      <w:pPr>
        <w:pStyle w:val="Heading4"/>
      </w:pPr>
      <w:r w:rsidRPr="00A80282">
        <w:t>Journeys and breaks</w:t>
      </w:r>
      <w:r w:rsidR="00854F23" w:rsidRPr="00A80282">
        <w:t xml:space="preserve"> </w:t>
      </w:r>
      <w:r w:rsidR="00854F23" w:rsidRPr="00A80282">
        <w:fldChar w:fldCharType="begin"/>
      </w:r>
      <w:r w:rsidR="00854F23" w:rsidRPr="00A80282">
        <w:instrText xml:space="preserve"> XE "breaks, injuries during" </w:instrText>
      </w:r>
      <w:r w:rsidR="00854F23" w:rsidRPr="00A80282">
        <w:fldChar w:fldCharType="end"/>
      </w:r>
      <w:r w:rsidR="00184441" w:rsidRPr="00A80282">
        <w:fldChar w:fldCharType="begin"/>
      </w:r>
      <w:r w:rsidR="00184441" w:rsidRPr="00A80282">
        <w:instrText xml:space="preserve"> XE "coverage of workers:journeys and breaks" </w:instrText>
      </w:r>
      <w:r w:rsidR="00184441" w:rsidRPr="00A80282">
        <w:fldChar w:fldCharType="end"/>
      </w:r>
    </w:p>
    <w:p w14:paraId="45AF2EB3" w14:textId="3313388D" w:rsidR="00C955DE" w:rsidRPr="00962914" w:rsidRDefault="00C955DE" w:rsidP="00EE7768">
      <w:pPr>
        <w:spacing w:before="120"/>
      </w:pPr>
      <w:r w:rsidRPr="00962914">
        <w:t>Injuries that occur on work premises while a person is working are easily identifiable as occurring at work. However it is not always simple to determine whether or not a p</w:t>
      </w:r>
      <w:r w:rsidR="00EE7768">
        <w:t xml:space="preserve">erson was at work when injured. </w:t>
      </w:r>
      <w:r w:rsidRPr="00962914">
        <w:t>Table 3.8 provides information on the variations between the jurisdictions regarding whether or not they provide workers’ compensation coverage for people who are injured on:</w:t>
      </w:r>
    </w:p>
    <w:p w14:paraId="0EB30725" w14:textId="77777777" w:rsidR="00A54D3B" w:rsidRDefault="00C955DE" w:rsidP="00F839DB">
      <w:pPr>
        <w:pStyle w:val="ListParagraph"/>
        <w:numPr>
          <w:ilvl w:val="0"/>
          <w:numId w:val="480"/>
        </w:numPr>
      </w:pPr>
      <w:r w:rsidRPr="00962914">
        <w:t>journeys to and from work</w:t>
      </w:r>
      <w:r w:rsidR="00F04381">
        <w:fldChar w:fldCharType="begin"/>
      </w:r>
      <w:r w:rsidR="00F04381">
        <w:instrText xml:space="preserve"> XE "</w:instrText>
      </w:r>
      <w:r w:rsidR="00F04381" w:rsidRPr="00E8318C">
        <w:instrText>journeys to and from work</w:instrText>
      </w:r>
      <w:r w:rsidR="00F04381">
        <w:instrText xml:space="preserve">" </w:instrText>
      </w:r>
      <w:r w:rsidR="00F04381">
        <w:fldChar w:fldCharType="end"/>
      </w:r>
    </w:p>
    <w:p w14:paraId="12180F9C" w14:textId="77777777" w:rsidR="00A54D3B" w:rsidRDefault="00C955DE" w:rsidP="00F839DB">
      <w:pPr>
        <w:pStyle w:val="ListParagraph"/>
        <w:numPr>
          <w:ilvl w:val="0"/>
          <w:numId w:val="480"/>
        </w:numPr>
      </w:pPr>
      <w:r w:rsidRPr="00962914">
        <w:t>work-related travel</w:t>
      </w:r>
      <w:r w:rsidR="00870A7B">
        <w:fldChar w:fldCharType="begin"/>
      </w:r>
      <w:r w:rsidR="00870A7B">
        <w:instrText xml:space="preserve"> XE "</w:instrText>
      </w:r>
      <w:r w:rsidR="00870A7B" w:rsidRPr="001854C8">
        <w:instrText>work-related travel</w:instrText>
      </w:r>
      <w:r w:rsidR="00870A7B">
        <w:instrText xml:space="preserve">" </w:instrText>
      </w:r>
      <w:r w:rsidR="00870A7B">
        <w:fldChar w:fldCharType="end"/>
      </w:r>
    </w:p>
    <w:p w14:paraId="3E2BE2FF" w14:textId="77777777" w:rsidR="00A54D3B" w:rsidRDefault="00C955DE" w:rsidP="00F839DB">
      <w:pPr>
        <w:pStyle w:val="ListParagraph"/>
        <w:numPr>
          <w:ilvl w:val="0"/>
          <w:numId w:val="480"/>
        </w:numPr>
      </w:pPr>
      <w:r w:rsidRPr="00962914">
        <w:t>breaks spent at the work premises, and</w:t>
      </w:r>
    </w:p>
    <w:p w14:paraId="57A77D15" w14:textId="77777777" w:rsidR="006A50D4" w:rsidRDefault="00C955DE" w:rsidP="00F839DB">
      <w:pPr>
        <w:pStyle w:val="ListParagraph"/>
        <w:numPr>
          <w:ilvl w:val="0"/>
          <w:numId w:val="480"/>
        </w:numPr>
      </w:pPr>
      <w:r w:rsidRPr="00962914">
        <w:t>breaks spent outside the work premises.</w:t>
      </w:r>
    </w:p>
    <w:p w14:paraId="6ED344B0" w14:textId="6B6A0FAE" w:rsidR="00C955DE" w:rsidRPr="00A80282" w:rsidRDefault="00C955DE" w:rsidP="00A80282">
      <w:pPr>
        <w:pStyle w:val="Heading4"/>
      </w:pPr>
      <w:r w:rsidRPr="00A80282">
        <w:t>Definition of injury</w:t>
      </w:r>
      <w:r w:rsidR="005E71F1" w:rsidRPr="00A80282">
        <w:fldChar w:fldCharType="begin"/>
      </w:r>
      <w:r w:rsidR="005E71F1" w:rsidRPr="00A80282">
        <w:instrText xml:space="preserve"> XE "injury:definition of injury and relationship to employment" </w:instrText>
      </w:r>
      <w:r w:rsidR="005E71F1" w:rsidRPr="00A80282">
        <w:fldChar w:fldCharType="end"/>
      </w:r>
    </w:p>
    <w:p w14:paraId="1C252079" w14:textId="246090DB" w:rsidR="00172AC7" w:rsidRDefault="00C955DE" w:rsidP="002239E9">
      <w:pPr>
        <w:spacing w:before="120"/>
      </w:pPr>
      <w:r w:rsidRPr="00962914">
        <w:t>Workers’ compensation schemes generally deem that a worker is entitled to workers’ compensation if they have suffered an injury that arises out of</w:t>
      </w:r>
      <w:r w:rsidR="002239E9">
        <w:t xml:space="preserve">, or in the course of, </w:t>
      </w:r>
      <w:r w:rsidRPr="00962914">
        <w:t>employment. It is therefore essential for workers to establish that they have suffered an injury as defin</w:t>
      </w:r>
      <w:r w:rsidR="00DB52B2">
        <w:t xml:space="preserve">ed in the relevant legislation. </w:t>
      </w:r>
    </w:p>
    <w:p w14:paraId="0C2B19ED" w14:textId="27A1E49F" w:rsidR="006A50D4" w:rsidRDefault="00C955DE" w:rsidP="002239E9">
      <w:pPr>
        <w:spacing w:before="240"/>
      </w:pPr>
      <w:r w:rsidRPr="00962914">
        <w:t>Although the everyday ordinary meaning of injury is any harm caused to a person’s body as a result of any form of trauma, each jurisdiction places limits on the term injury and defines it differently. To determine whether an incident falls within the definition of injury</w:t>
      </w:r>
      <w:r w:rsidR="002239E9">
        <w:t>,</w:t>
      </w:r>
      <w:r w:rsidRPr="00962914">
        <w:t xml:space="preserve"> several factors need to be considered. Refer to Table 3.9 for more information.</w:t>
      </w:r>
    </w:p>
    <w:p w14:paraId="2947BEA5" w14:textId="77777777" w:rsidR="006A50D4" w:rsidRPr="00A80282" w:rsidRDefault="00C955DE" w:rsidP="00A80282">
      <w:pPr>
        <w:pStyle w:val="Heading4"/>
      </w:pPr>
      <w:r w:rsidRPr="00A80282">
        <w:t>Relationship to employment and contribution of employment</w:t>
      </w:r>
    </w:p>
    <w:p w14:paraId="2DE16378" w14:textId="30A590BE" w:rsidR="006A50D4" w:rsidRDefault="00C955DE" w:rsidP="002239E9">
      <w:pPr>
        <w:spacing w:before="120"/>
      </w:pPr>
      <w:r w:rsidRPr="00962914">
        <w:t>Where any incident has occurred in the workplace, it needs to be determined that there is a relationship between the injury and employment before the worker can claim workers’ compensation. In addition, a worker’s employment has to contribute to the injury to a certain extent before a worker is entitled to compensation.</w:t>
      </w:r>
      <w:r w:rsidR="00D678FD">
        <w:t xml:space="preserve"> </w:t>
      </w:r>
      <w:r w:rsidRPr="00962914">
        <w:t>Table 3.9 provides information on how each jurisdiction defines injury, its relationship to employment and the contribution of employment to the injury.</w:t>
      </w:r>
    </w:p>
    <w:p w14:paraId="0E8140B8" w14:textId="5EE874E1" w:rsidR="00C955DE" w:rsidRPr="00A80282" w:rsidRDefault="00C955DE" w:rsidP="00A80282">
      <w:pPr>
        <w:pStyle w:val="Heading4"/>
      </w:pPr>
      <w:r w:rsidRPr="00A80282">
        <w:t>Aggravation and acceleration</w:t>
      </w:r>
      <w:r w:rsidR="000A06AE" w:rsidRPr="00A80282">
        <w:fldChar w:fldCharType="begin"/>
      </w:r>
      <w:r w:rsidR="000A06AE" w:rsidRPr="00A80282">
        <w:instrText xml:space="preserve"> XE "Aggravation and acceleration" </w:instrText>
      </w:r>
      <w:r w:rsidR="000A06AE" w:rsidRPr="00A80282">
        <w:fldChar w:fldCharType="end"/>
      </w:r>
      <w:r w:rsidR="005E71F1" w:rsidRPr="00A80282">
        <w:fldChar w:fldCharType="begin"/>
      </w:r>
      <w:r w:rsidR="005E71F1" w:rsidRPr="00A80282">
        <w:instrText xml:space="preserve"> XE "injury:aggravation and acceleration of existing injuries" </w:instrText>
      </w:r>
      <w:r w:rsidR="005E71F1" w:rsidRPr="00A80282">
        <w:fldChar w:fldCharType="end"/>
      </w:r>
    </w:p>
    <w:p w14:paraId="4EAF7604" w14:textId="072E8D30" w:rsidR="006A50D4" w:rsidRDefault="00C955DE" w:rsidP="00A54D3B">
      <w:r w:rsidRPr="00962914">
        <w:t xml:space="preserve">Sometimes employment is not </w:t>
      </w:r>
      <w:r w:rsidR="00EE7768">
        <w:t>the original cause of an injury; h</w:t>
      </w:r>
      <w:r w:rsidRPr="00962914">
        <w:t>owever</w:t>
      </w:r>
      <w:r w:rsidR="00EE7768">
        <w:t>,</w:t>
      </w:r>
      <w:r w:rsidRPr="00962914">
        <w:t xml:space="preserve"> employment can aggravate or accelerate an existing injury. </w:t>
      </w:r>
      <w:r w:rsidRPr="004D39D0">
        <w:t>As at September 2015</w:t>
      </w:r>
      <w:r w:rsidRPr="00962914">
        <w:t>, aggravation and acceleration of existing injuries was covered in all jurisdictions.</w:t>
      </w:r>
    </w:p>
    <w:p w14:paraId="4ADEB281" w14:textId="16D8C085" w:rsidR="00C955DE" w:rsidRPr="00A80282" w:rsidRDefault="00C955DE" w:rsidP="00A80282">
      <w:pPr>
        <w:pStyle w:val="Heading4"/>
      </w:pPr>
      <w:r w:rsidRPr="00A80282">
        <w:t>Diseases</w:t>
      </w:r>
      <w:r w:rsidR="00C7036A" w:rsidRPr="00A80282">
        <w:fldChar w:fldCharType="begin"/>
      </w:r>
      <w:r w:rsidR="00C7036A" w:rsidRPr="00A80282">
        <w:instrText xml:space="preserve"> XE "diseases:defined" </w:instrText>
      </w:r>
      <w:r w:rsidR="00C7036A" w:rsidRPr="00A80282">
        <w:fldChar w:fldCharType="end"/>
      </w:r>
    </w:p>
    <w:p w14:paraId="4D35D628" w14:textId="3CD7152A" w:rsidR="006A50D4" w:rsidRDefault="00C955DE" w:rsidP="00A54D3B">
      <w:r w:rsidRPr="00962914">
        <w:t>Diseases are classed differently to physical injuries. Diseases include any physical or mental ailment, disorder, defect or morbid condition, whet</w:t>
      </w:r>
      <w:r w:rsidR="00A54D3B">
        <w:t xml:space="preserve">her of sudden or gradual onset. </w:t>
      </w:r>
      <w:r w:rsidRPr="00962914">
        <w:t xml:space="preserve">All jurisdictions, except Queensland, have in their legislation tables of diseases that are deemed to be caused by work. Appendix 2 </w:t>
      </w:r>
      <w:r w:rsidR="00AE6B13">
        <w:t xml:space="preserve">— </w:t>
      </w:r>
      <w:r w:rsidRPr="00962914">
        <w:t>Table 1 provides a jurisdictional comparison of these lists.</w:t>
      </w:r>
    </w:p>
    <w:p w14:paraId="3E40AAEF" w14:textId="145E6D8F" w:rsidR="00C955DE" w:rsidRPr="00A80282" w:rsidRDefault="00C955DE" w:rsidP="00A80282">
      <w:pPr>
        <w:pStyle w:val="Heading4"/>
      </w:pPr>
      <w:r w:rsidRPr="00A80282">
        <w:t>Industrial deafness</w:t>
      </w:r>
      <w:r w:rsidR="009F5AD7" w:rsidRPr="00A80282">
        <w:fldChar w:fldCharType="begin"/>
      </w:r>
      <w:r w:rsidR="009F5AD7" w:rsidRPr="00A80282">
        <w:instrText xml:space="preserve"> XE "deafness" </w:instrText>
      </w:r>
      <w:r w:rsidR="009F5AD7" w:rsidRPr="00A80282">
        <w:fldChar w:fldCharType="end"/>
      </w:r>
      <w:r w:rsidR="009915C5" w:rsidRPr="00A80282">
        <w:fldChar w:fldCharType="begin"/>
      </w:r>
      <w:r w:rsidR="009915C5" w:rsidRPr="00A80282">
        <w:instrText xml:space="preserve"> XE "industrial deafness" </w:instrText>
      </w:r>
      <w:r w:rsidR="009915C5" w:rsidRPr="00A80282">
        <w:fldChar w:fldCharType="end"/>
      </w:r>
    </w:p>
    <w:p w14:paraId="72E5EAAC" w14:textId="26197F33" w:rsidR="008F7A23" w:rsidRDefault="00C955DE" w:rsidP="008F7A23">
      <w:r w:rsidRPr="00962914">
        <w:t>Industrial deafness is generally treated separately from other types of injury or disease. All jurisdictions have an impairment threshold in place for industrial deafness, which means that an injured worker is not entitled to lump sum compensation until they reach the threshold level. Table 3.7 illustrates the industrial deafness provisions in each jurisdiction.</w:t>
      </w:r>
    </w:p>
    <w:p w14:paraId="1BCE4213" w14:textId="77777777" w:rsidR="00AC5AB6" w:rsidRPr="00A80282" w:rsidRDefault="00AC5AB6" w:rsidP="00A80282">
      <w:pPr>
        <w:pStyle w:val="SWATableheader"/>
      </w:pPr>
      <w:bookmarkStart w:id="99" w:name="_Toc504654663"/>
      <w:r w:rsidRPr="00A80282">
        <w:lastRenderedPageBreak/>
        <w:t>Table 3.7: Industrial deafness thresholds</w:t>
      </w:r>
      <w:bookmarkEnd w:id="99"/>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7: Industrial deafness thresholds "/>
        <w:tblDescription w:val="This report provides information on industrial deafness thresholds under the workers' compensation schemes. "/>
      </w:tblPr>
      <w:tblGrid>
        <w:gridCol w:w="1843"/>
        <w:gridCol w:w="7259"/>
      </w:tblGrid>
      <w:tr w:rsidR="00AC5AB6" w:rsidRPr="00AC5AB6" w14:paraId="7647F797" w14:textId="77777777" w:rsidTr="00FB729B">
        <w:trPr>
          <w:tblHeader/>
        </w:trPr>
        <w:tc>
          <w:tcPr>
            <w:tcW w:w="1843" w:type="dxa"/>
            <w:shd w:val="clear" w:color="auto" w:fill="C00000"/>
            <w:tcMar>
              <w:top w:w="80" w:type="dxa"/>
              <w:left w:w="80" w:type="dxa"/>
              <w:bottom w:w="80" w:type="dxa"/>
              <w:right w:w="80" w:type="dxa"/>
            </w:tcMar>
          </w:tcPr>
          <w:p w14:paraId="52C99DFB" w14:textId="77777777" w:rsidR="00AC5AB6" w:rsidRPr="00AC5AB6" w:rsidRDefault="00AC5AB6" w:rsidP="00AC5AB6">
            <w:pPr>
              <w:rPr>
                <w:rFonts w:eastAsia="Calibri" w:cs="Arial"/>
                <w:b/>
                <w:color w:val="FFFFFF"/>
                <w:sz w:val="18"/>
                <w:szCs w:val="18"/>
                <w:lang w:eastAsia="en-US"/>
              </w:rPr>
            </w:pPr>
          </w:p>
        </w:tc>
        <w:tc>
          <w:tcPr>
            <w:tcW w:w="7259" w:type="dxa"/>
            <w:shd w:val="clear" w:color="auto" w:fill="C00000"/>
            <w:tcMar>
              <w:top w:w="80" w:type="dxa"/>
              <w:left w:w="80" w:type="dxa"/>
              <w:bottom w:w="80" w:type="dxa"/>
              <w:right w:w="80" w:type="dxa"/>
            </w:tcMar>
          </w:tcPr>
          <w:p w14:paraId="1BBE802D" w14:textId="77777777" w:rsidR="00AC5AB6" w:rsidRPr="00AC5AB6" w:rsidRDefault="00AC5AB6" w:rsidP="00AC5AB6">
            <w:pPr>
              <w:rPr>
                <w:rFonts w:eastAsia="Calibri" w:cs="Arial"/>
                <w:b/>
                <w:color w:val="FFFFFF"/>
                <w:sz w:val="18"/>
                <w:szCs w:val="18"/>
                <w:lang w:eastAsia="en-US"/>
              </w:rPr>
            </w:pPr>
            <w:r w:rsidRPr="00AC5AB6">
              <w:rPr>
                <w:rFonts w:eastAsia="Calibri" w:cs="Arial"/>
                <w:b/>
                <w:color w:val="FFFFFF"/>
                <w:sz w:val="18"/>
                <w:szCs w:val="18"/>
                <w:lang w:eastAsia="en-US"/>
              </w:rPr>
              <w:t>Industrial deafness thresholds</w:t>
            </w:r>
          </w:p>
        </w:tc>
      </w:tr>
      <w:tr w:rsidR="00AC5AB6" w:rsidRPr="00AC5AB6" w14:paraId="7BE3D242" w14:textId="77777777" w:rsidTr="00FB729B">
        <w:tc>
          <w:tcPr>
            <w:tcW w:w="1843" w:type="dxa"/>
            <w:shd w:val="clear" w:color="auto" w:fill="FFC9C9"/>
            <w:tcMar>
              <w:top w:w="80" w:type="dxa"/>
              <w:left w:w="80" w:type="dxa"/>
              <w:bottom w:w="80" w:type="dxa"/>
              <w:right w:w="80" w:type="dxa"/>
            </w:tcMar>
          </w:tcPr>
          <w:p w14:paraId="41F2535E"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New South Wales</w:t>
            </w:r>
          </w:p>
        </w:tc>
        <w:tc>
          <w:tcPr>
            <w:tcW w:w="7259" w:type="dxa"/>
            <w:shd w:val="clear" w:color="auto" w:fill="FFC9C9"/>
            <w:tcMar>
              <w:top w:w="80" w:type="dxa"/>
              <w:left w:w="80" w:type="dxa"/>
              <w:bottom w:w="80" w:type="dxa"/>
              <w:right w:w="80" w:type="dxa"/>
            </w:tcMar>
          </w:tcPr>
          <w:p w14:paraId="08750C34" w14:textId="08FB5645" w:rsidR="00A17E71" w:rsidRPr="00A17E71" w:rsidRDefault="00A17E71" w:rsidP="00A17E71">
            <w:pPr>
              <w:spacing w:after="40" w:afterAutospacing="1" w:line="276" w:lineRule="auto"/>
              <w:rPr>
                <w:rFonts w:cs="Arial"/>
                <w:color w:val="000000"/>
                <w:sz w:val="14"/>
                <w:szCs w:val="16"/>
                <w:lang w:val="en-GB"/>
              </w:rPr>
            </w:pPr>
            <w:r w:rsidRPr="00A17E71">
              <w:rPr>
                <w:rFonts w:cs="Arial"/>
                <w:color w:val="000000"/>
                <w:sz w:val="14"/>
                <w:szCs w:val="16"/>
                <w:lang w:val="en-GB"/>
              </w:rPr>
              <w:t>For claims made on or after 19 June 2012, the threshold for lump sum compensation for permanent impairment is greater than 10% permanen</w:t>
            </w:r>
            <w:r w:rsidR="002239E9">
              <w:rPr>
                <w:rFonts w:cs="Arial"/>
                <w:color w:val="000000"/>
                <w:sz w:val="14"/>
                <w:szCs w:val="16"/>
                <w:lang w:val="en-GB"/>
              </w:rPr>
              <w:t xml:space="preserve">t impairment — </w:t>
            </w:r>
            <w:hyperlink r:id="rId716" w:history="1">
              <w:r w:rsidR="002239E9" w:rsidRPr="004B22FF">
                <w:rPr>
                  <w:rStyle w:val="Hyperlink"/>
                  <w:rFonts w:cs="Arial"/>
                  <w:sz w:val="14"/>
                  <w:szCs w:val="16"/>
                  <w:lang w:val="en-GB"/>
                </w:rPr>
                <w:t>s66(1)</w:t>
              </w:r>
            </w:hyperlink>
            <w:r w:rsidR="002239E9">
              <w:rPr>
                <w:rFonts w:cs="Arial"/>
                <w:color w:val="000000"/>
                <w:sz w:val="14"/>
                <w:szCs w:val="16"/>
                <w:lang w:val="en-GB"/>
              </w:rPr>
              <w:t xml:space="preserve">, </w:t>
            </w:r>
            <w:r w:rsidR="00FA7C94" w:rsidRPr="00016069">
              <w:rPr>
                <w:i/>
                <w:sz w:val="14"/>
              </w:rPr>
              <w:t>Workers Compensation Act 1987</w:t>
            </w:r>
          </w:p>
          <w:p w14:paraId="0D61CC35" w14:textId="62414666" w:rsidR="00AC5AB6" w:rsidRPr="00AC5AB6" w:rsidRDefault="00A17E71" w:rsidP="00A17E71">
            <w:pPr>
              <w:spacing w:after="40" w:afterAutospacing="1" w:line="276" w:lineRule="auto"/>
              <w:rPr>
                <w:rFonts w:cs="Arial"/>
                <w:color w:val="000000"/>
                <w:sz w:val="14"/>
                <w:szCs w:val="16"/>
                <w:lang w:val="en-GB"/>
              </w:rPr>
            </w:pPr>
            <w:r w:rsidRPr="00A17E71">
              <w:rPr>
                <w:rFonts w:cs="Arial"/>
                <w:color w:val="000000"/>
                <w:sz w:val="14"/>
                <w:szCs w:val="16"/>
              </w:rPr>
              <w:t>Different arran</w:t>
            </w:r>
            <w:r w:rsidR="002239E9">
              <w:rPr>
                <w:rFonts w:cs="Arial"/>
                <w:color w:val="000000"/>
                <w:sz w:val="14"/>
                <w:szCs w:val="16"/>
              </w:rPr>
              <w:t>gements apply to exempt workers</w:t>
            </w:r>
          </w:p>
        </w:tc>
      </w:tr>
      <w:tr w:rsidR="00AC5AB6" w:rsidRPr="00AC5AB6" w14:paraId="73B7A0A7" w14:textId="77777777" w:rsidTr="00FB729B">
        <w:tc>
          <w:tcPr>
            <w:tcW w:w="1843" w:type="dxa"/>
            <w:tcMar>
              <w:top w:w="80" w:type="dxa"/>
              <w:left w:w="80" w:type="dxa"/>
              <w:bottom w:w="80" w:type="dxa"/>
              <w:right w:w="80" w:type="dxa"/>
            </w:tcMar>
          </w:tcPr>
          <w:p w14:paraId="6E063957"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Victoria</w:t>
            </w:r>
          </w:p>
        </w:tc>
        <w:tc>
          <w:tcPr>
            <w:tcW w:w="7259" w:type="dxa"/>
            <w:tcMar>
              <w:top w:w="80" w:type="dxa"/>
              <w:left w:w="80" w:type="dxa"/>
              <w:bottom w:w="80" w:type="dxa"/>
              <w:right w:w="80" w:type="dxa"/>
            </w:tcMar>
          </w:tcPr>
          <w:p w14:paraId="7FD2B91C" w14:textId="35B9E0D1"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No specific level of hearing loss required to claim compe</w:t>
            </w:r>
            <w:r w:rsidR="002239E9">
              <w:rPr>
                <w:rFonts w:cs="Arial"/>
                <w:color w:val="000000"/>
                <w:sz w:val="14"/>
                <w:szCs w:val="16"/>
                <w:lang w:val="en-GB"/>
              </w:rPr>
              <w:t>nsation (e.g. medical expenses)</w:t>
            </w:r>
          </w:p>
          <w:p w14:paraId="521466C6" w14:textId="10ACB80D"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10% hearing loss and further hearing loss required for lump sum impairment benefit — </w:t>
            </w:r>
            <w:hyperlink r:id="rId717" w:history="1">
              <w:r w:rsidRPr="004B22FF">
                <w:rPr>
                  <w:rStyle w:val="Hyperlink"/>
                  <w:rFonts w:cs="Arial"/>
                  <w:sz w:val="14"/>
                  <w:szCs w:val="16"/>
                  <w:lang w:val="en-GB"/>
                </w:rPr>
                <w:t>ss61</w:t>
              </w:r>
            </w:hyperlink>
            <w:r w:rsidRPr="00AC5AB6">
              <w:rPr>
                <w:rFonts w:cs="Arial"/>
                <w:color w:val="000000"/>
                <w:sz w:val="14"/>
                <w:szCs w:val="16"/>
                <w:lang w:val="en-GB"/>
              </w:rPr>
              <w:t xml:space="preserve">, </w:t>
            </w:r>
            <w:hyperlink r:id="rId718" w:history="1">
              <w:r w:rsidRPr="004B22FF">
                <w:rPr>
                  <w:rStyle w:val="Hyperlink"/>
                  <w:rFonts w:cs="Arial"/>
                  <w:sz w:val="14"/>
                  <w:szCs w:val="16"/>
                  <w:lang w:val="en-GB"/>
                </w:rPr>
                <w:t>62</w:t>
              </w:r>
            </w:hyperlink>
            <w:r w:rsidRPr="00AC5AB6">
              <w:rPr>
                <w:rFonts w:cs="Arial"/>
                <w:color w:val="000000"/>
                <w:sz w:val="14"/>
                <w:szCs w:val="16"/>
                <w:lang w:val="en-GB"/>
              </w:rPr>
              <w:t xml:space="preserve">, </w:t>
            </w:r>
            <w:hyperlink r:id="rId719" w:history="1">
              <w:r w:rsidRPr="004B22FF">
                <w:rPr>
                  <w:rStyle w:val="Hyperlink"/>
                  <w:rFonts w:cs="Arial"/>
                  <w:sz w:val="14"/>
                  <w:szCs w:val="16"/>
                  <w:lang w:val="en-GB"/>
                </w:rPr>
                <w:t>211</w:t>
              </w:r>
            </w:hyperlink>
            <w:r w:rsidRPr="00AC5AB6">
              <w:rPr>
                <w:rFonts w:cs="Arial"/>
                <w:color w:val="000000"/>
                <w:sz w:val="14"/>
                <w:szCs w:val="16"/>
                <w:lang w:val="en-GB"/>
              </w:rPr>
              <w:t xml:space="preserve"> and </w:t>
            </w:r>
            <w:hyperlink r:id="rId720" w:history="1">
              <w:r w:rsidRPr="004B22FF">
                <w:rPr>
                  <w:rStyle w:val="Hyperlink"/>
                  <w:rFonts w:cs="Arial"/>
                  <w:sz w:val="14"/>
                  <w:szCs w:val="16"/>
                  <w:lang w:val="en-GB"/>
                </w:rPr>
                <w:t>213</w:t>
              </w:r>
            </w:hyperlink>
            <w:r w:rsidR="00FA7C94">
              <w:rPr>
                <w:rFonts w:cs="Arial"/>
                <w:color w:val="000000"/>
                <w:sz w:val="14"/>
                <w:szCs w:val="16"/>
                <w:lang w:val="en-GB"/>
              </w:rPr>
              <w:t xml:space="preserve">, </w:t>
            </w:r>
            <w:r w:rsidR="00FA7C94" w:rsidRPr="00016069">
              <w:rPr>
                <w:i/>
                <w:sz w:val="14"/>
              </w:rPr>
              <w:t>Workplace Injury Rehabilitation and Compensation Act 2013</w:t>
            </w:r>
          </w:p>
        </w:tc>
      </w:tr>
      <w:tr w:rsidR="00AC5AB6" w:rsidRPr="00AC5AB6" w14:paraId="42DFA911" w14:textId="77777777" w:rsidTr="00FB729B">
        <w:tc>
          <w:tcPr>
            <w:tcW w:w="1843" w:type="dxa"/>
            <w:shd w:val="clear" w:color="auto" w:fill="FFC9C9"/>
            <w:tcMar>
              <w:top w:w="80" w:type="dxa"/>
              <w:left w:w="80" w:type="dxa"/>
              <w:bottom w:w="80" w:type="dxa"/>
              <w:right w:w="80" w:type="dxa"/>
            </w:tcMar>
          </w:tcPr>
          <w:p w14:paraId="669B27FE"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Queensland</w:t>
            </w:r>
          </w:p>
        </w:tc>
        <w:tc>
          <w:tcPr>
            <w:tcW w:w="7259" w:type="dxa"/>
            <w:shd w:val="clear" w:color="auto" w:fill="FFC9C9"/>
            <w:tcMar>
              <w:top w:w="80" w:type="dxa"/>
              <w:left w:w="80" w:type="dxa"/>
              <w:bottom w:w="80" w:type="dxa"/>
              <w:right w:w="80" w:type="dxa"/>
            </w:tcMar>
          </w:tcPr>
          <w:p w14:paraId="695A28E4" w14:textId="617A6103"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Not for the first 5% — </w:t>
            </w:r>
            <w:hyperlink r:id="rId721" w:anchor="sec.125" w:history="1">
              <w:r w:rsidRPr="004B22FF">
                <w:rPr>
                  <w:rStyle w:val="Hyperlink"/>
                  <w:rFonts w:cs="Arial"/>
                  <w:sz w:val="14"/>
                  <w:szCs w:val="16"/>
                  <w:lang w:val="en-GB"/>
                </w:rPr>
                <w:t>s125</w:t>
              </w:r>
            </w:hyperlink>
            <w:r w:rsidR="00FA7C94">
              <w:rPr>
                <w:rFonts w:cs="Arial"/>
                <w:color w:val="000000"/>
                <w:sz w:val="14"/>
                <w:szCs w:val="16"/>
                <w:lang w:val="en-GB"/>
              </w:rPr>
              <w:t xml:space="preserve">, </w:t>
            </w:r>
            <w:r w:rsidR="00FA7C94" w:rsidRPr="00016069">
              <w:rPr>
                <w:i/>
                <w:sz w:val="14"/>
              </w:rPr>
              <w:t>Workers’ Compensation and Rehabilitation Act 2003</w:t>
            </w:r>
          </w:p>
        </w:tc>
      </w:tr>
      <w:tr w:rsidR="00AC5AB6" w:rsidRPr="00AC5AB6" w14:paraId="6D6DCC3A" w14:textId="77777777" w:rsidTr="00FB729B">
        <w:tc>
          <w:tcPr>
            <w:tcW w:w="1843" w:type="dxa"/>
            <w:tcMar>
              <w:top w:w="80" w:type="dxa"/>
              <w:left w:w="80" w:type="dxa"/>
              <w:bottom w:w="80" w:type="dxa"/>
              <w:right w:w="80" w:type="dxa"/>
            </w:tcMar>
          </w:tcPr>
          <w:p w14:paraId="1965BCC8"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Western Australia</w:t>
            </w:r>
          </w:p>
        </w:tc>
        <w:tc>
          <w:tcPr>
            <w:tcW w:w="7259" w:type="dxa"/>
            <w:tcMar>
              <w:top w:w="80" w:type="dxa"/>
              <w:left w:w="80" w:type="dxa"/>
              <w:bottom w:w="80" w:type="dxa"/>
              <w:right w:w="80" w:type="dxa"/>
            </w:tcMar>
          </w:tcPr>
          <w:p w14:paraId="6F0802B2" w14:textId="69360F18"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At least 10% hearing loss for first election — </w:t>
            </w:r>
            <w:hyperlink r:id="rId722" w:history="1">
              <w:r w:rsidRPr="004B22FF">
                <w:rPr>
                  <w:rStyle w:val="Hyperlink"/>
                  <w:rFonts w:cs="Arial"/>
                  <w:sz w:val="14"/>
                  <w:szCs w:val="16"/>
                  <w:lang w:val="en-GB"/>
                </w:rPr>
                <w:t>s24A</w:t>
              </w:r>
            </w:hyperlink>
            <w:r w:rsidR="00FA7C94">
              <w:rPr>
                <w:rFonts w:cs="Arial"/>
                <w:color w:val="000000"/>
                <w:sz w:val="14"/>
                <w:szCs w:val="16"/>
                <w:lang w:val="en-GB"/>
              </w:rPr>
              <w:t xml:space="preserve">, </w:t>
            </w:r>
            <w:r w:rsidR="00FA7C94" w:rsidRPr="00016069">
              <w:rPr>
                <w:i/>
                <w:sz w:val="14"/>
              </w:rPr>
              <w:t>Workers’ Compensation and Injury Management Act 1981</w:t>
            </w:r>
          </w:p>
          <w:p w14:paraId="215C4FCA" w14:textId="7AB3B0FA"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Further 5% for subsequent elections — </w:t>
            </w:r>
            <w:hyperlink r:id="rId723" w:history="1">
              <w:r w:rsidRPr="004B22FF">
                <w:rPr>
                  <w:rStyle w:val="Hyperlink"/>
                  <w:rFonts w:cs="Arial"/>
                  <w:sz w:val="14"/>
                  <w:szCs w:val="16"/>
                  <w:lang w:val="en-GB"/>
                </w:rPr>
                <w:t>s24A</w:t>
              </w:r>
            </w:hyperlink>
            <w:r w:rsidR="00FA7C94">
              <w:rPr>
                <w:rFonts w:cs="Arial"/>
                <w:color w:val="000000"/>
                <w:sz w:val="14"/>
                <w:szCs w:val="16"/>
                <w:lang w:val="en-GB"/>
              </w:rPr>
              <w:t>, 1981 Act</w:t>
            </w:r>
          </w:p>
        </w:tc>
      </w:tr>
      <w:tr w:rsidR="00AC5AB6" w:rsidRPr="00AC5AB6" w14:paraId="2EB68E3C" w14:textId="77777777" w:rsidTr="00FB729B">
        <w:tc>
          <w:tcPr>
            <w:tcW w:w="1843" w:type="dxa"/>
            <w:shd w:val="clear" w:color="auto" w:fill="FFC9C9"/>
            <w:tcMar>
              <w:top w:w="80" w:type="dxa"/>
              <w:left w:w="80" w:type="dxa"/>
              <w:bottom w:w="80" w:type="dxa"/>
              <w:right w:w="80" w:type="dxa"/>
            </w:tcMar>
          </w:tcPr>
          <w:p w14:paraId="2840B0BA"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South Australia</w:t>
            </w:r>
          </w:p>
        </w:tc>
        <w:tc>
          <w:tcPr>
            <w:tcW w:w="7259" w:type="dxa"/>
            <w:shd w:val="clear" w:color="auto" w:fill="FFC9C9"/>
            <w:tcMar>
              <w:top w:w="80" w:type="dxa"/>
              <w:left w:w="80" w:type="dxa"/>
              <w:bottom w:w="80" w:type="dxa"/>
              <w:right w:w="80" w:type="dxa"/>
            </w:tcMar>
          </w:tcPr>
          <w:p w14:paraId="54C89986" w14:textId="6EE884DB"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No specific thresholds required for hearing loss to be compensable, however, a lump sum for non-economic loss is only payable if there is a 5% or greater whole person impairment</w:t>
            </w:r>
            <w:r w:rsidR="00DD0D68">
              <w:rPr>
                <w:rFonts w:cs="Arial"/>
                <w:color w:val="000000"/>
                <w:sz w:val="14"/>
                <w:szCs w:val="16"/>
                <w:lang w:val="en-GB"/>
              </w:rPr>
              <w:t xml:space="preserve"> </w:t>
            </w:r>
            <w:r w:rsidRPr="00AC5AB6">
              <w:rPr>
                <w:rFonts w:cs="Arial"/>
                <w:color w:val="000000"/>
                <w:sz w:val="14"/>
                <w:szCs w:val="16"/>
                <w:lang w:val="en-GB"/>
              </w:rPr>
              <w:t xml:space="preserve">— </w:t>
            </w:r>
            <w:hyperlink r:id="rId724" w:history="1">
              <w:r w:rsidRPr="004B22FF">
                <w:rPr>
                  <w:rStyle w:val="Hyperlink"/>
                  <w:rFonts w:cs="Arial"/>
                  <w:sz w:val="14"/>
                  <w:szCs w:val="16"/>
                  <w:lang w:val="en-GB"/>
                </w:rPr>
                <w:t>s58(2)</w:t>
              </w:r>
            </w:hyperlink>
            <w:r w:rsidR="00FA7C94">
              <w:rPr>
                <w:rFonts w:cs="Arial"/>
                <w:color w:val="000000"/>
                <w:sz w:val="14"/>
                <w:szCs w:val="16"/>
                <w:lang w:val="en-GB"/>
              </w:rPr>
              <w:t xml:space="preserve">, </w:t>
            </w:r>
            <w:r w:rsidR="00FA7C94" w:rsidRPr="00016069">
              <w:rPr>
                <w:i/>
                <w:sz w:val="14"/>
              </w:rPr>
              <w:t>Return to Work Act 2014</w:t>
            </w:r>
          </w:p>
        </w:tc>
      </w:tr>
      <w:tr w:rsidR="00AC5AB6" w:rsidRPr="00AC5AB6" w14:paraId="50BD8231" w14:textId="77777777" w:rsidTr="00FB729B">
        <w:tc>
          <w:tcPr>
            <w:tcW w:w="1843" w:type="dxa"/>
            <w:tcMar>
              <w:top w:w="80" w:type="dxa"/>
              <w:left w:w="80" w:type="dxa"/>
              <w:bottom w:w="80" w:type="dxa"/>
              <w:right w:w="80" w:type="dxa"/>
            </w:tcMar>
          </w:tcPr>
          <w:p w14:paraId="2C7B647F"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Tasmania</w:t>
            </w:r>
          </w:p>
        </w:tc>
        <w:tc>
          <w:tcPr>
            <w:tcW w:w="7259" w:type="dxa"/>
            <w:tcMar>
              <w:top w:w="80" w:type="dxa"/>
              <w:left w:w="80" w:type="dxa"/>
              <w:bottom w:w="80" w:type="dxa"/>
              <w:right w:w="80" w:type="dxa"/>
            </w:tcMar>
          </w:tcPr>
          <w:p w14:paraId="14CB27AB" w14:textId="586D4CF9"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5% binaural hearing impairment</w:t>
            </w:r>
            <w:r w:rsidR="00D57A63">
              <w:rPr>
                <w:rFonts w:cs="Arial"/>
                <w:color w:val="000000"/>
                <w:sz w:val="14"/>
                <w:szCs w:val="16"/>
                <w:lang w:val="en-GB"/>
              </w:rPr>
              <w:fldChar w:fldCharType="begin"/>
            </w:r>
            <w:r w:rsidR="00D57A63">
              <w:instrText xml:space="preserve"> XE "</w:instrText>
            </w:r>
            <w:r w:rsidR="00D57A63" w:rsidRPr="003C702B">
              <w:rPr>
                <w:rFonts w:cs="Arial"/>
                <w:color w:val="000000"/>
                <w:sz w:val="14"/>
                <w:szCs w:val="16"/>
                <w:lang w:val="en-GB"/>
              </w:rPr>
              <w:instrText>hearing impairment</w:instrText>
            </w:r>
            <w:r w:rsidR="00D57A63">
              <w:instrText xml:space="preserve">" </w:instrText>
            </w:r>
            <w:r w:rsidR="00D57A63">
              <w:rPr>
                <w:rFonts w:cs="Arial"/>
                <w:color w:val="000000"/>
                <w:sz w:val="14"/>
                <w:szCs w:val="16"/>
                <w:lang w:val="en-GB"/>
              </w:rPr>
              <w:fldChar w:fldCharType="end"/>
            </w:r>
            <w:r w:rsidRPr="00AC5AB6">
              <w:rPr>
                <w:rFonts w:cs="Arial"/>
                <w:color w:val="000000"/>
                <w:sz w:val="14"/>
                <w:szCs w:val="16"/>
                <w:lang w:val="en-GB"/>
              </w:rPr>
              <w:t xml:space="preserve"> — </w:t>
            </w:r>
            <w:hyperlink r:id="rId725" w:history="1">
              <w:r w:rsidRPr="004B22FF">
                <w:rPr>
                  <w:rStyle w:val="Hyperlink"/>
                  <w:rFonts w:cs="Arial"/>
                  <w:sz w:val="14"/>
                  <w:szCs w:val="16"/>
                  <w:lang w:val="en-GB"/>
                </w:rPr>
                <w:t>s72A(3)</w:t>
              </w:r>
            </w:hyperlink>
            <w:r w:rsidR="00FA7C94">
              <w:rPr>
                <w:rFonts w:cs="Arial"/>
                <w:color w:val="000000"/>
                <w:sz w:val="14"/>
                <w:szCs w:val="16"/>
                <w:lang w:val="en-GB"/>
              </w:rPr>
              <w:t xml:space="preserve">, </w:t>
            </w:r>
            <w:r w:rsidR="00FA7C94" w:rsidRPr="00016069">
              <w:rPr>
                <w:i/>
                <w:sz w:val="14"/>
              </w:rPr>
              <w:t>Workers Rehabilitation and Compensation Act 1988</w:t>
            </w:r>
          </w:p>
        </w:tc>
      </w:tr>
      <w:tr w:rsidR="00AC5AB6" w:rsidRPr="00AC5AB6" w14:paraId="17324653" w14:textId="77777777" w:rsidTr="00FB729B">
        <w:tc>
          <w:tcPr>
            <w:tcW w:w="1843" w:type="dxa"/>
            <w:shd w:val="clear" w:color="auto" w:fill="FFC9C9"/>
            <w:tcMar>
              <w:top w:w="80" w:type="dxa"/>
              <w:left w:w="80" w:type="dxa"/>
              <w:bottom w:w="80" w:type="dxa"/>
              <w:right w:w="80" w:type="dxa"/>
            </w:tcMar>
          </w:tcPr>
          <w:p w14:paraId="11387F0D"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Northern Territory</w:t>
            </w:r>
          </w:p>
        </w:tc>
        <w:tc>
          <w:tcPr>
            <w:tcW w:w="7259" w:type="dxa"/>
            <w:shd w:val="clear" w:color="auto" w:fill="FFC9C9"/>
            <w:tcMar>
              <w:top w:w="80" w:type="dxa"/>
              <w:left w:w="80" w:type="dxa"/>
              <w:bottom w:w="80" w:type="dxa"/>
              <w:right w:w="80" w:type="dxa"/>
            </w:tcMar>
          </w:tcPr>
          <w:p w14:paraId="3F6EC2C1" w14:textId="4C68FD61"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Impairments must be 5% WPI or more — </w:t>
            </w:r>
            <w:hyperlink r:id="rId726" w:history="1">
              <w:r w:rsidRPr="004B22FF">
                <w:rPr>
                  <w:rStyle w:val="Hyperlink"/>
                  <w:rFonts w:cs="Arial"/>
                  <w:sz w:val="14"/>
                  <w:szCs w:val="16"/>
                  <w:lang w:val="en-GB"/>
                </w:rPr>
                <w:t>s70</w:t>
              </w:r>
            </w:hyperlink>
            <w:r w:rsidR="00FA7C94">
              <w:rPr>
                <w:rFonts w:cs="Arial"/>
                <w:color w:val="000000"/>
                <w:sz w:val="14"/>
                <w:szCs w:val="16"/>
                <w:lang w:val="en-GB"/>
              </w:rPr>
              <w:t xml:space="preserve">, </w:t>
            </w:r>
            <w:r w:rsidR="00FA7C94" w:rsidRPr="00016069">
              <w:rPr>
                <w:i/>
                <w:sz w:val="14"/>
              </w:rPr>
              <w:t>Return to Work Act</w:t>
            </w:r>
          </w:p>
        </w:tc>
      </w:tr>
      <w:tr w:rsidR="00AC5AB6" w:rsidRPr="00AC5AB6" w14:paraId="4A91BCC0" w14:textId="77777777" w:rsidTr="00FB729B">
        <w:tc>
          <w:tcPr>
            <w:tcW w:w="1843" w:type="dxa"/>
            <w:tcMar>
              <w:top w:w="80" w:type="dxa"/>
              <w:left w:w="80" w:type="dxa"/>
              <w:bottom w:w="80" w:type="dxa"/>
              <w:right w:w="80" w:type="dxa"/>
            </w:tcMar>
          </w:tcPr>
          <w:p w14:paraId="7EC09A51"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Australian Capital Territory</w:t>
            </w:r>
          </w:p>
        </w:tc>
        <w:tc>
          <w:tcPr>
            <w:tcW w:w="7259" w:type="dxa"/>
            <w:tcMar>
              <w:top w:w="80" w:type="dxa"/>
              <w:left w:w="80" w:type="dxa"/>
              <w:bottom w:w="80" w:type="dxa"/>
              <w:right w:w="80" w:type="dxa"/>
            </w:tcMar>
          </w:tcPr>
          <w:p w14:paraId="3DED1029" w14:textId="4F8A1067"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6% hearing loss (boilermakers deafness or similar deafness) — </w:t>
            </w:r>
            <w:hyperlink r:id="rId727" w:history="1">
              <w:r w:rsidRPr="0003704F">
                <w:rPr>
                  <w:rStyle w:val="Hyperlink"/>
                  <w:rFonts w:cs="Arial"/>
                  <w:sz w:val="14"/>
                  <w:szCs w:val="16"/>
                  <w:lang w:val="en-GB"/>
                </w:rPr>
                <w:t>s64(1)</w:t>
              </w:r>
            </w:hyperlink>
            <w:r w:rsidR="00FA7C94">
              <w:rPr>
                <w:rFonts w:cs="Arial"/>
                <w:color w:val="000000"/>
                <w:sz w:val="14"/>
                <w:szCs w:val="16"/>
                <w:lang w:val="en-GB"/>
              </w:rPr>
              <w:t xml:space="preserve">, </w:t>
            </w:r>
            <w:r w:rsidR="00FA7C94" w:rsidRPr="00016069">
              <w:rPr>
                <w:i/>
                <w:sz w:val="14"/>
              </w:rPr>
              <w:t>Workers Compensation Act 1951</w:t>
            </w:r>
          </w:p>
        </w:tc>
      </w:tr>
      <w:tr w:rsidR="00AC5AB6" w:rsidRPr="00AC5AB6" w14:paraId="51F1F49B" w14:textId="77777777" w:rsidTr="00FB729B">
        <w:tc>
          <w:tcPr>
            <w:tcW w:w="1843" w:type="dxa"/>
            <w:shd w:val="clear" w:color="auto" w:fill="FFC9C9"/>
            <w:tcMar>
              <w:top w:w="80" w:type="dxa"/>
              <w:left w:w="80" w:type="dxa"/>
              <w:bottom w:w="80" w:type="dxa"/>
              <w:right w:w="80" w:type="dxa"/>
            </w:tcMar>
          </w:tcPr>
          <w:p w14:paraId="5402F302"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C’wealth Comcare</w:t>
            </w:r>
          </w:p>
        </w:tc>
        <w:tc>
          <w:tcPr>
            <w:tcW w:w="7259" w:type="dxa"/>
            <w:shd w:val="clear" w:color="auto" w:fill="FFC9C9"/>
            <w:tcMar>
              <w:top w:w="80" w:type="dxa"/>
              <w:left w:w="80" w:type="dxa"/>
              <w:bottom w:w="80" w:type="dxa"/>
              <w:right w:w="80" w:type="dxa"/>
            </w:tcMar>
          </w:tcPr>
          <w:p w14:paraId="103164BA" w14:textId="09E85D3B"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Binaural hearing loss of less than 5% is not payable as a permanent impairment lump sum</w:t>
            </w:r>
            <w:r w:rsidR="0013176A">
              <w:rPr>
                <w:rFonts w:cs="Arial"/>
                <w:color w:val="000000"/>
                <w:sz w:val="14"/>
                <w:szCs w:val="16"/>
                <w:lang w:val="en-GB"/>
              </w:rPr>
              <w:t xml:space="preserve"> </w:t>
            </w:r>
            <w:r w:rsidRPr="00AC5AB6">
              <w:rPr>
                <w:rFonts w:cs="Arial"/>
                <w:color w:val="000000"/>
                <w:sz w:val="14"/>
                <w:szCs w:val="16"/>
                <w:lang w:val="en-GB"/>
              </w:rPr>
              <w:t xml:space="preserve">— </w:t>
            </w:r>
            <w:hyperlink r:id="rId728" w:history="1">
              <w:r w:rsidRPr="0003704F">
                <w:rPr>
                  <w:rStyle w:val="Hyperlink"/>
                  <w:rFonts w:cs="Arial"/>
                  <w:sz w:val="14"/>
                  <w:szCs w:val="16"/>
                  <w:lang w:val="en-GB"/>
                </w:rPr>
                <w:t>s24(7A)</w:t>
              </w:r>
            </w:hyperlink>
            <w:r w:rsidR="00FA7C94">
              <w:rPr>
                <w:rFonts w:cs="Arial"/>
                <w:color w:val="000000"/>
                <w:sz w:val="14"/>
                <w:szCs w:val="16"/>
                <w:lang w:val="en-GB"/>
              </w:rPr>
              <w:t xml:space="preserve">, </w:t>
            </w:r>
            <w:r w:rsidR="00FA7C94" w:rsidRPr="00016069">
              <w:rPr>
                <w:i/>
                <w:sz w:val="14"/>
              </w:rPr>
              <w:t>Safety, Rehabilitation and Compensation Act 1988</w:t>
            </w:r>
          </w:p>
        </w:tc>
      </w:tr>
      <w:tr w:rsidR="00AC5AB6" w:rsidRPr="00AC5AB6" w14:paraId="12000949" w14:textId="77777777" w:rsidTr="00FB729B">
        <w:tc>
          <w:tcPr>
            <w:tcW w:w="1843" w:type="dxa"/>
            <w:tcMar>
              <w:top w:w="80" w:type="dxa"/>
              <w:left w:w="80" w:type="dxa"/>
              <w:bottom w:w="80" w:type="dxa"/>
              <w:right w:w="80" w:type="dxa"/>
            </w:tcMar>
          </w:tcPr>
          <w:p w14:paraId="4A41D19F"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C’wealth Seacare</w:t>
            </w:r>
          </w:p>
        </w:tc>
        <w:tc>
          <w:tcPr>
            <w:tcW w:w="7259" w:type="dxa"/>
            <w:tcMar>
              <w:top w:w="80" w:type="dxa"/>
              <w:left w:w="80" w:type="dxa"/>
              <w:bottom w:w="80" w:type="dxa"/>
              <w:right w:w="80" w:type="dxa"/>
            </w:tcMar>
          </w:tcPr>
          <w:p w14:paraId="5A13AF81" w14:textId="46B9C513"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No specific level of hearing loss required to claim compensation for medical expenses</w:t>
            </w:r>
          </w:p>
          <w:p w14:paraId="4040D389" w14:textId="562E4A10"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10% hearing loss required for lump sum permanent impairment and non-economic loss benefit — </w:t>
            </w:r>
            <w:hyperlink r:id="rId729" w:history="1">
              <w:r w:rsidRPr="0003704F">
                <w:rPr>
                  <w:rStyle w:val="Hyperlink"/>
                  <w:rFonts w:cs="Arial"/>
                  <w:sz w:val="14"/>
                  <w:szCs w:val="16"/>
                  <w:lang w:val="en-GB"/>
                </w:rPr>
                <w:t>s39(7)</w:t>
              </w:r>
            </w:hyperlink>
            <w:r w:rsidR="00FA7C94">
              <w:rPr>
                <w:rFonts w:cs="Arial"/>
                <w:color w:val="000000"/>
                <w:sz w:val="14"/>
                <w:szCs w:val="16"/>
                <w:lang w:val="en-GB"/>
              </w:rPr>
              <w:t xml:space="preserve">, </w:t>
            </w:r>
            <w:r w:rsidR="00FA7C94" w:rsidRPr="00016069">
              <w:rPr>
                <w:i/>
                <w:sz w:val="14"/>
              </w:rPr>
              <w:t>Seafarers Rehabilitation and Compensation Act 1992</w:t>
            </w:r>
          </w:p>
        </w:tc>
      </w:tr>
      <w:tr w:rsidR="00AC5AB6" w:rsidRPr="00AC5AB6" w14:paraId="3D2A1879" w14:textId="77777777" w:rsidTr="00FB729B">
        <w:tc>
          <w:tcPr>
            <w:tcW w:w="1843" w:type="dxa"/>
            <w:shd w:val="clear" w:color="auto" w:fill="FFC9C9"/>
            <w:tcMar>
              <w:top w:w="80" w:type="dxa"/>
              <w:left w:w="80" w:type="dxa"/>
              <w:bottom w:w="80" w:type="dxa"/>
              <w:right w:w="80" w:type="dxa"/>
            </w:tcMar>
          </w:tcPr>
          <w:p w14:paraId="2670F92F"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C’wealth DVA</w:t>
            </w:r>
          </w:p>
        </w:tc>
        <w:tc>
          <w:tcPr>
            <w:tcW w:w="7259" w:type="dxa"/>
            <w:shd w:val="clear" w:color="auto" w:fill="FFC9C9"/>
            <w:tcMar>
              <w:top w:w="80" w:type="dxa"/>
              <w:left w:w="80" w:type="dxa"/>
              <w:bottom w:w="80" w:type="dxa"/>
              <w:right w:w="80" w:type="dxa"/>
            </w:tcMar>
          </w:tcPr>
          <w:p w14:paraId="485BBC94" w14:textId="64F57180" w:rsidR="00AC5AB6" w:rsidRDefault="00FA7C94" w:rsidP="00097C51">
            <w:pPr>
              <w:spacing w:after="40" w:afterAutospacing="1"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sidR="00097C51">
              <w:rPr>
                <w:rFonts w:cs="Arial"/>
                <w:color w:val="000000"/>
                <w:sz w:val="14"/>
                <w:szCs w:val="16"/>
                <w:lang w:val="en-GB"/>
              </w:rPr>
              <w:t xml:space="preserve"> </w:t>
            </w:r>
            <w:hyperlink r:id="rId730" w:history="1">
              <w:r w:rsidR="00097C51" w:rsidRPr="0003704F">
                <w:rPr>
                  <w:rStyle w:val="Hyperlink"/>
                  <w:rFonts w:cs="Arial"/>
                  <w:sz w:val="14"/>
                  <w:szCs w:val="16"/>
                  <w:lang w:val="en-GB"/>
                </w:rPr>
                <w:t>s69(a)</w:t>
              </w:r>
            </w:hyperlink>
            <w:r w:rsidR="00097C51">
              <w:rPr>
                <w:rFonts w:cs="Arial"/>
                <w:color w:val="000000"/>
                <w:sz w:val="14"/>
                <w:szCs w:val="16"/>
                <w:lang w:val="en-GB"/>
              </w:rPr>
              <w:t xml:space="preserve"> — </w:t>
            </w:r>
            <w:r w:rsidR="00AC5AB6" w:rsidRPr="00AC5AB6">
              <w:rPr>
                <w:rFonts w:cs="Arial"/>
                <w:color w:val="000000"/>
                <w:sz w:val="14"/>
                <w:szCs w:val="16"/>
                <w:lang w:val="en-GB"/>
              </w:rPr>
              <w:t xml:space="preserve">At least 5 impairment points hearing loss </w:t>
            </w:r>
          </w:p>
          <w:p w14:paraId="57143460" w14:textId="04408519" w:rsidR="00097C51" w:rsidRPr="00AC5AB6" w:rsidRDefault="00FA7C94" w:rsidP="00097C51">
            <w:pPr>
              <w:spacing w:after="40" w:afterAutospacing="1" w:line="276" w:lineRule="auto"/>
              <w:rPr>
                <w:rFonts w:cs="Arial"/>
                <w:color w:val="000000"/>
                <w:sz w:val="14"/>
                <w:szCs w:val="16"/>
                <w:lang w:val="en-GB"/>
              </w:rPr>
            </w:pPr>
            <w:r w:rsidRPr="00016069">
              <w:rPr>
                <w:i/>
                <w:sz w:val="14"/>
              </w:rPr>
              <w:t>Safety, Rehabilitation and Compensation (Defence-related Claims) Act 1988</w:t>
            </w:r>
            <w:r w:rsidR="00097C51">
              <w:rPr>
                <w:rFonts w:cs="Arial"/>
                <w:color w:val="000000"/>
                <w:sz w:val="14"/>
                <w:szCs w:val="16"/>
                <w:lang w:val="en-GB"/>
              </w:rPr>
              <w:t xml:space="preserve"> </w:t>
            </w:r>
            <w:hyperlink r:id="rId731" w:history="1">
              <w:r w:rsidR="00097C51" w:rsidRPr="0003704F">
                <w:rPr>
                  <w:rStyle w:val="Hyperlink"/>
                  <w:rFonts w:cs="Arial"/>
                  <w:sz w:val="14"/>
                  <w:szCs w:val="16"/>
                  <w:lang w:val="en-GB"/>
                </w:rPr>
                <w:t>s24(7)</w:t>
              </w:r>
            </w:hyperlink>
            <w:r w:rsidR="00097C51">
              <w:rPr>
                <w:rFonts w:cs="Arial"/>
                <w:color w:val="000000"/>
                <w:sz w:val="14"/>
                <w:szCs w:val="16"/>
                <w:lang w:val="en-GB"/>
              </w:rPr>
              <w:t xml:space="preserve"> — Binaural hearing loss of less than 5% is not payable as a permanent impairment lump sum</w:t>
            </w:r>
          </w:p>
        </w:tc>
      </w:tr>
      <w:tr w:rsidR="00AC5AB6" w:rsidRPr="00AC5AB6" w14:paraId="119960E0" w14:textId="77777777" w:rsidTr="00FB729B">
        <w:tc>
          <w:tcPr>
            <w:tcW w:w="1843" w:type="dxa"/>
            <w:tcMar>
              <w:top w:w="80" w:type="dxa"/>
              <w:left w:w="80" w:type="dxa"/>
              <w:bottom w:w="80" w:type="dxa"/>
              <w:right w:w="80" w:type="dxa"/>
            </w:tcMar>
          </w:tcPr>
          <w:p w14:paraId="12F9AC62"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New Zealand</w:t>
            </w:r>
          </w:p>
        </w:tc>
        <w:tc>
          <w:tcPr>
            <w:tcW w:w="7259" w:type="dxa"/>
            <w:tcMar>
              <w:top w:w="80" w:type="dxa"/>
              <w:left w:w="80" w:type="dxa"/>
              <w:bottom w:w="80" w:type="dxa"/>
              <w:right w:w="80" w:type="dxa"/>
            </w:tcMar>
          </w:tcPr>
          <w:p w14:paraId="0F56D796" w14:textId="022F8B26"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6% binaural hearing loss — </w:t>
            </w:r>
            <w:hyperlink r:id="rId732" w:history="1">
              <w:r w:rsidRPr="0003704F">
                <w:rPr>
                  <w:rStyle w:val="Hyperlink"/>
                  <w:rFonts w:cs="Arial"/>
                  <w:sz w:val="14"/>
                  <w:szCs w:val="16"/>
                  <w:lang w:val="en-GB"/>
                </w:rPr>
                <w:t>s26(1A)</w:t>
              </w:r>
            </w:hyperlink>
            <w:r w:rsidR="00FA7C94">
              <w:rPr>
                <w:rFonts w:cs="Arial"/>
                <w:color w:val="000000"/>
                <w:sz w:val="14"/>
                <w:szCs w:val="16"/>
                <w:lang w:val="en-GB"/>
              </w:rPr>
              <w:t xml:space="preserve">, </w:t>
            </w:r>
            <w:r w:rsidR="00FA7C94" w:rsidRPr="00016069">
              <w:rPr>
                <w:i/>
                <w:sz w:val="14"/>
              </w:rPr>
              <w:t>Accident Compensation Act 2001</w:t>
            </w:r>
          </w:p>
        </w:tc>
      </w:tr>
    </w:tbl>
    <w:p w14:paraId="256587D6" w14:textId="77777777" w:rsidR="006A50D4" w:rsidRDefault="006A50D4" w:rsidP="00C66972">
      <w:pPr>
        <w:spacing w:after="200" w:line="276" w:lineRule="auto"/>
        <w:rPr>
          <w:rFonts w:eastAsiaTheme="minorHAnsi"/>
        </w:rPr>
      </w:pPr>
    </w:p>
    <w:p w14:paraId="4FAD5920"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484107E0" w14:textId="375CE930" w:rsidR="00AC5AB6" w:rsidRPr="00A80282" w:rsidRDefault="00AC5AB6" w:rsidP="00A80282">
      <w:pPr>
        <w:pStyle w:val="SWATableheader"/>
      </w:pPr>
      <w:bookmarkStart w:id="100" w:name="_Toc504654664"/>
      <w:bookmarkStart w:id="101" w:name="breaks"/>
      <w:r w:rsidRPr="00A80282">
        <w:lastRenderedPageBreak/>
        <w:t>Table 3.8: Definition of work — journeys and breaks</w:t>
      </w:r>
      <w:bookmarkEnd w:id="100"/>
      <w:r w:rsidRPr="00A80282">
        <w:t xml:space="preserve"> </w:t>
      </w:r>
      <w:r w:rsidR="00854F23" w:rsidRPr="00A80282">
        <w:fldChar w:fldCharType="begin"/>
      </w:r>
      <w:r w:rsidR="00854F23" w:rsidRPr="00A80282">
        <w:instrText xml:space="preserve"> XE "breaks, injuries during" \r "breaks" </w:instrText>
      </w:r>
      <w:r w:rsidR="00854F23" w:rsidRPr="00A80282">
        <w:fldChar w:fldCharType="end"/>
      </w:r>
      <w:r w:rsidR="00184441" w:rsidRPr="00A80282">
        <w:t xml:space="preserve"> </w:t>
      </w:r>
      <w:r w:rsidR="00184441" w:rsidRPr="00A80282">
        <w:fldChar w:fldCharType="begin"/>
      </w:r>
      <w:r w:rsidR="00184441" w:rsidRPr="00A80282">
        <w:instrText xml:space="preserve"> XE "coverage of workers:journeys and breaks" </w:instrText>
      </w:r>
      <w:r w:rsidR="00184441" w:rsidRPr="00A80282">
        <w:fldChar w:fldCharType="end"/>
      </w:r>
    </w:p>
    <w:tbl>
      <w:tblPr>
        <w:tblW w:w="4955"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8: Definition of work — journeys and breaks  "/>
        <w:tblDescription w:val="This table outlines the definition of work for journeys and breaks according to each of the workers' compensation schemes. "/>
      </w:tblPr>
      <w:tblGrid>
        <w:gridCol w:w="1283"/>
        <w:gridCol w:w="1581"/>
        <w:gridCol w:w="1151"/>
        <w:gridCol w:w="1151"/>
        <w:gridCol w:w="1151"/>
        <w:gridCol w:w="1151"/>
        <w:gridCol w:w="1151"/>
        <w:gridCol w:w="1151"/>
        <w:gridCol w:w="1151"/>
        <w:gridCol w:w="1151"/>
        <w:gridCol w:w="1151"/>
        <w:gridCol w:w="1151"/>
        <w:gridCol w:w="1142"/>
      </w:tblGrid>
      <w:tr w:rsidR="00AC5AB6" w:rsidRPr="00AC5AB6" w14:paraId="39E9E55F" w14:textId="77777777" w:rsidTr="008737E6">
        <w:trPr>
          <w:tblHeader/>
        </w:trPr>
        <w:tc>
          <w:tcPr>
            <w:tcW w:w="413" w:type="pct"/>
            <w:shd w:val="clear" w:color="auto" w:fill="C00000"/>
            <w:tcMar>
              <w:top w:w="0" w:type="dxa"/>
              <w:left w:w="0" w:type="dxa"/>
              <w:bottom w:w="0" w:type="dxa"/>
              <w:right w:w="0" w:type="dxa"/>
            </w:tcMar>
            <w:vAlign w:val="center"/>
          </w:tcPr>
          <w:p w14:paraId="01D801C2" w14:textId="77777777" w:rsidR="00AC5AB6" w:rsidRPr="00AC5AB6" w:rsidRDefault="00AC5AB6" w:rsidP="009146AE">
            <w:pPr>
              <w:pStyle w:val="Tableheaderrow"/>
              <w:spacing w:after="60"/>
            </w:pPr>
          </w:p>
          <w:p w14:paraId="56C819BC" w14:textId="77777777" w:rsidR="00AC5AB6" w:rsidRPr="00AC5AB6" w:rsidRDefault="00AC5AB6" w:rsidP="009146AE">
            <w:pPr>
              <w:pStyle w:val="Tableheaderrow"/>
              <w:spacing w:after="60"/>
            </w:pPr>
          </w:p>
        </w:tc>
        <w:tc>
          <w:tcPr>
            <w:tcW w:w="509" w:type="pct"/>
            <w:shd w:val="clear" w:color="auto" w:fill="C00000"/>
            <w:tcMar>
              <w:top w:w="0" w:type="dxa"/>
              <w:left w:w="0" w:type="dxa"/>
              <w:bottom w:w="0" w:type="dxa"/>
              <w:right w:w="0" w:type="dxa"/>
            </w:tcMar>
            <w:vAlign w:val="center"/>
          </w:tcPr>
          <w:p w14:paraId="55902C39" w14:textId="77777777" w:rsidR="00AC5AB6" w:rsidRPr="00AC5AB6" w:rsidRDefault="00AC5AB6" w:rsidP="009146AE">
            <w:pPr>
              <w:pStyle w:val="Tableheaderrow"/>
              <w:spacing w:after="60"/>
            </w:pPr>
            <w:r w:rsidRPr="00AC5AB6">
              <w:t>New South Wales</w:t>
            </w:r>
          </w:p>
        </w:tc>
        <w:tc>
          <w:tcPr>
            <w:tcW w:w="371" w:type="pct"/>
            <w:shd w:val="clear" w:color="auto" w:fill="C00000"/>
            <w:tcMar>
              <w:top w:w="0" w:type="dxa"/>
              <w:left w:w="0" w:type="dxa"/>
              <w:bottom w:w="0" w:type="dxa"/>
              <w:right w:w="0" w:type="dxa"/>
            </w:tcMar>
            <w:vAlign w:val="center"/>
          </w:tcPr>
          <w:p w14:paraId="16FD58E8" w14:textId="77777777" w:rsidR="00AC5AB6" w:rsidRPr="00AC5AB6" w:rsidRDefault="00AC5AB6" w:rsidP="009146AE">
            <w:pPr>
              <w:pStyle w:val="Tableheaderrow"/>
              <w:spacing w:after="60"/>
            </w:pPr>
            <w:r w:rsidRPr="00AC5AB6">
              <w:t>Victoria</w:t>
            </w:r>
          </w:p>
        </w:tc>
        <w:tc>
          <w:tcPr>
            <w:tcW w:w="371" w:type="pct"/>
            <w:shd w:val="clear" w:color="auto" w:fill="C00000"/>
            <w:tcMar>
              <w:top w:w="0" w:type="dxa"/>
              <w:left w:w="0" w:type="dxa"/>
              <w:bottom w:w="0" w:type="dxa"/>
              <w:right w:w="0" w:type="dxa"/>
            </w:tcMar>
            <w:vAlign w:val="center"/>
          </w:tcPr>
          <w:p w14:paraId="104879BA" w14:textId="77777777" w:rsidR="00AC5AB6" w:rsidRPr="00AC5AB6" w:rsidRDefault="00AC5AB6" w:rsidP="009146AE">
            <w:pPr>
              <w:pStyle w:val="Tableheaderrow"/>
              <w:spacing w:after="60"/>
            </w:pPr>
            <w:r w:rsidRPr="00AC5AB6">
              <w:t>Queensland</w:t>
            </w:r>
          </w:p>
        </w:tc>
        <w:tc>
          <w:tcPr>
            <w:tcW w:w="371" w:type="pct"/>
            <w:shd w:val="clear" w:color="auto" w:fill="C00000"/>
            <w:tcMar>
              <w:top w:w="0" w:type="dxa"/>
              <w:left w:w="0" w:type="dxa"/>
              <w:bottom w:w="0" w:type="dxa"/>
              <w:right w:w="0" w:type="dxa"/>
            </w:tcMar>
            <w:vAlign w:val="center"/>
          </w:tcPr>
          <w:p w14:paraId="477285F3" w14:textId="77777777" w:rsidR="00AC5AB6" w:rsidRPr="00AC5AB6" w:rsidRDefault="00AC5AB6" w:rsidP="009146AE">
            <w:pPr>
              <w:pStyle w:val="Tableheaderrow"/>
              <w:spacing w:after="60"/>
            </w:pPr>
            <w:r w:rsidRPr="00AC5AB6">
              <w:t>Western Australia</w:t>
            </w:r>
          </w:p>
        </w:tc>
        <w:tc>
          <w:tcPr>
            <w:tcW w:w="371" w:type="pct"/>
            <w:shd w:val="clear" w:color="auto" w:fill="C00000"/>
            <w:tcMar>
              <w:top w:w="0" w:type="dxa"/>
              <w:left w:w="0" w:type="dxa"/>
              <w:bottom w:w="0" w:type="dxa"/>
              <w:right w:w="0" w:type="dxa"/>
            </w:tcMar>
            <w:vAlign w:val="center"/>
          </w:tcPr>
          <w:p w14:paraId="0F8989A8" w14:textId="77777777" w:rsidR="00AC5AB6" w:rsidRPr="00AC5AB6" w:rsidRDefault="00AC5AB6" w:rsidP="009146AE">
            <w:pPr>
              <w:pStyle w:val="Tableheaderrow"/>
              <w:spacing w:after="60"/>
            </w:pPr>
            <w:r w:rsidRPr="00AC5AB6">
              <w:t>South Australia</w:t>
            </w:r>
          </w:p>
        </w:tc>
        <w:tc>
          <w:tcPr>
            <w:tcW w:w="371" w:type="pct"/>
            <w:shd w:val="clear" w:color="auto" w:fill="C00000"/>
            <w:tcMar>
              <w:top w:w="0" w:type="dxa"/>
              <w:left w:w="0" w:type="dxa"/>
              <w:bottom w:w="0" w:type="dxa"/>
              <w:right w:w="0" w:type="dxa"/>
            </w:tcMar>
            <w:vAlign w:val="center"/>
          </w:tcPr>
          <w:p w14:paraId="2A72A55C" w14:textId="77777777" w:rsidR="00AC5AB6" w:rsidRPr="00AC5AB6" w:rsidRDefault="00AC5AB6" w:rsidP="009146AE">
            <w:pPr>
              <w:pStyle w:val="Tableheaderrow"/>
              <w:spacing w:after="60"/>
            </w:pPr>
            <w:r w:rsidRPr="00AC5AB6">
              <w:t>Tasmania</w:t>
            </w:r>
          </w:p>
        </w:tc>
        <w:tc>
          <w:tcPr>
            <w:tcW w:w="371" w:type="pct"/>
            <w:shd w:val="clear" w:color="auto" w:fill="C00000"/>
            <w:tcMar>
              <w:top w:w="0" w:type="dxa"/>
              <w:left w:w="0" w:type="dxa"/>
              <w:bottom w:w="0" w:type="dxa"/>
              <w:right w:w="0" w:type="dxa"/>
            </w:tcMar>
            <w:vAlign w:val="center"/>
          </w:tcPr>
          <w:p w14:paraId="0B3E7E29" w14:textId="77777777" w:rsidR="00AC5AB6" w:rsidRPr="00AC5AB6" w:rsidRDefault="00AC5AB6" w:rsidP="009146AE">
            <w:pPr>
              <w:pStyle w:val="Tableheaderrow"/>
              <w:spacing w:after="60"/>
            </w:pPr>
            <w:r w:rsidRPr="00AC5AB6">
              <w:t>Northern Territory</w:t>
            </w:r>
          </w:p>
        </w:tc>
        <w:tc>
          <w:tcPr>
            <w:tcW w:w="371" w:type="pct"/>
            <w:shd w:val="clear" w:color="auto" w:fill="C00000"/>
            <w:tcMar>
              <w:top w:w="0" w:type="dxa"/>
              <w:left w:w="0" w:type="dxa"/>
              <w:bottom w:w="0" w:type="dxa"/>
              <w:right w:w="0" w:type="dxa"/>
            </w:tcMar>
            <w:vAlign w:val="center"/>
          </w:tcPr>
          <w:p w14:paraId="777AA629" w14:textId="77777777" w:rsidR="00AC5AB6" w:rsidRPr="00AC5AB6" w:rsidRDefault="00AC5AB6" w:rsidP="009146AE">
            <w:pPr>
              <w:pStyle w:val="Tableheaderrow"/>
              <w:spacing w:after="60"/>
            </w:pPr>
            <w:r w:rsidRPr="00AC5AB6">
              <w:t>Australian Capital Territory</w:t>
            </w:r>
          </w:p>
        </w:tc>
        <w:tc>
          <w:tcPr>
            <w:tcW w:w="371" w:type="pct"/>
            <w:shd w:val="clear" w:color="auto" w:fill="C00000"/>
            <w:tcMar>
              <w:top w:w="0" w:type="dxa"/>
              <w:left w:w="0" w:type="dxa"/>
              <w:bottom w:w="0" w:type="dxa"/>
              <w:right w:w="0" w:type="dxa"/>
            </w:tcMar>
            <w:vAlign w:val="center"/>
          </w:tcPr>
          <w:p w14:paraId="374566BC" w14:textId="77777777" w:rsidR="00AC5AB6" w:rsidRPr="00AC5AB6" w:rsidRDefault="00AC5AB6" w:rsidP="009146AE">
            <w:pPr>
              <w:pStyle w:val="Tableheaderrow"/>
              <w:spacing w:after="60"/>
            </w:pPr>
            <w:r w:rsidRPr="00AC5AB6">
              <w:t>C’wealth Comcare</w:t>
            </w:r>
          </w:p>
        </w:tc>
        <w:tc>
          <w:tcPr>
            <w:tcW w:w="371" w:type="pct"/>
            <w:shd w:val="clear" w:color="auto" w:fill="C00000"/>
            <w:tcMar>
              <w:top w:w="0" w:type="dxa"/>
              <w:left w:w="0" w:type="dxa"/>
              <w:bottom w:w="0" w:type="dxa"/>
              <w:right w:w="0" w:type="dxa"/>
            </w:tcMar>
            <w:vAlign w:val="center"/>
          </w:tcPr>
          <w:p w14:paraId="7C830D3D" w14:textId="77777777" w:rsidR="00AC5AB6" w:rsidRPr="00AC5AB6" w:rsidRDefault="00AC5AB6" w:rsidP="009146AE">
            <w:pPr>
              <w:pStyle w:val="Tableheaderrow"/>
              <w:spacing w:after="60"/>
            </w:pPr>
            <w:r w:rsidRPr="00AC5AB6">
              <w:t>C’wealth Seacare</w:t>
            </w:r>
          </w:p>
        </w:tc>
        <w:tc>
          <w:tcPr>
            <w:tcW w:w="371" w:type="pct"/>
            <w:shd w:val="clear" w:color="auto" w:fill="C00000"/>
            <w:tcMar>
              <w:top w:w="0" w:type="dxa"/>
              <w:left w:w="0" w:type="dxa"/>
              <w:bottom w:w="0" w:type="dxa"/>
              <w:right w:w="0" w:type="dxa"/>
            </w:tcMar>
            <w:vAlign w:val="center"/>
          </w:tcPr>
          <w:p w14:paraId="4A9FE049" w14:textId="77777777" w:rsidR="00AC5AB6" w:rsidRPr="00AC5AB6" w:rsidRDefault="00AC5AB6" w:rsidP="009146AE">
            <w:pPr>
              <w:pStyle w:val="Tableheaderrow"/>
              <w:spacing w:after="60"/>
            </w:pPr>
            <w:r w:rsidRPr="00AC5AB6">
              <w:t>C’wealth DVA</w:t>
            </w:r>
          </w:p>
        </w:tc>
        <w:tc>
          <w:tcPr>
            <w:tcW w:w="369" w:type="pct"/>
            <w:shd w:val="clear" w:color="auto" w:fill="C00000"/>
            <w:tcMar>
              <w:top w:w="0" w:type="dxa"/>
              <w:left w:w="0" w:type="dxa"/>
              <w:bottom w:w="0" w:type="dxa"/>
              <w:right w:w="0" w:type="dxa"/>
            </w:tcMar>
            <w:vAlign w:val="center"/>
          </w:tcPr>
          <w:p w14:paraId="726C258F" w14:textId="77777777" w:rsidR="00AC5AB6" w:rsidRPr="00AC5AB6" w:rsidRDefault="00AC5AB6" w:rsidP="009146AE">
            <w:pPr>
              <w:pStyle w:val="Tableheaderrow"/>
              <w:spacing w:after="60"/>
            </w:pPr>
            <w:r w:rsidRPr="00AC5AB6">
              <w:t>New Zealand</w:t>
            </w:r>
          </w:p>
        </w:tc>
      </w:tr>
      <w:tr w:rsidR="00AC5AB6" w:rsidRPr="00AC5AB6" w14:paraId="01B49599" w14:textId="77777777" w:rsidTr="008737E6">
        <w:tc>
          <w:tcPr>
            <w:tcW w:w="413" w:type="pct"/>
            <w:shd w:val="clear" w:color="auto" w:fill="FFC9C9"/>
            <w:tcMar>
              <w:top w:w="80" w:type="dxa"/>
              <w:left w:w="80" w:type="dxa"/>
              <w:bottom w:w="80" w:type="dxa"/>
              <w:right w:w="80" w:type="dxa"/>
            </w:tcMar>
          </w:tcPr>
          <w:p w14:paraId="5D114241"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Journeys to and from work</w:t>
            </w:r>
            <w:r w:rsidR="009D7327">
              <w:fldChar w:fldCharType="begin"/>
            </w:r>
            <w:r w:rsidR="009D7327">
              <w:instrText xml:space="preserve"> XE "</w:instrText>
            </w:r>
            <w:r w:rsidR="009D7327" w:rsidRPr="00E8318C">
              <w:instrText>journeys to and from work</w:instrText>
            </w:r>
            <w:r w:rsidR="009D7327">
              <w:instrText xml:space="preserve">" </w:instrText>
            </w:r>
            <w:r w:rsidR="009D7327">
              <w:fldChar w:fldCharType="end"/>
            </w:r>
          </w:p>
        </w:tc>
        <w:tc>
          <w:tcPr>
            <w:tcW w:w="509" w:type="pct"/>
            <w:shd w:val="clear" w:color="auto" w:fill="FFC9C9"/>
            <w:tcMar>
              <w:top w:w="80" w:type="dxa"/>
              <w:left w:w="80" w:type="dxa"/>
              <w:bottom w:w="80" w:type="dxa"/>
              <w:right w:w="80" w:type="dxa"/>
            </w:tcMar>
          </w:tcPr>
          <w:p w14:paraId="7A27A228" w14:textId="251E1760" w:rsidR="00A17E71" w:rsidRPr="00A17E71" w:rsidRDefault="00065027" w:rsidP="009146AE">
            <w:pPr>
              <w:spacing w:after="60"/>
              <w:rPr>
                <w:rFonts w:cs="Arial"/>
                <w:color w:val="000000"/>
                <w:sz w:val="14"/>
                <w:szCs w:val="16"/>
                <w:lang w:val="en-GB"/>
              </w:rPr>
            </w:pPr>
            <w:r>
              <w:rPr>
                <w:rFonts w:cs="Arial"/>
                <w:color w:val="000000"/>
                <w:sz w:val="14"/>
                <w:szCs w:val="16"/>
                <w:lang w:val="en-GB"/>
              </w:rPr>
              <w:t>Yes,</w:t>
            </w:r>
            <w:r w:rsidR="00A17E71" w:rsidRPr="00A17E71">
              <w:rPr>
                <w:rFonts w:cs="Arial"/>
                <w:color w:val="000000"/>
                <w:sz w:val="14"/>
                <w:szCs w:val="16"/>
                <w:lang w:val="en-GB"/>
              </w:rPr>
              <w:t xml:space="preserve"> for:</w:t>
            </w:r>
          </w:p>
          <w:p w14:paraId="5D84E3F9" w14:textId="29EAA05D" w:rsidR="00A17E71" w:rsidRPr="00A17E71" w:rsidRDefault="00A17E71" w:rsidP="009146AE">
            <w:pPr>
              <w:spacing w:after="60" w:line="276" w:lineRule="auto"/>
              <w:rPr>
                <w:rFonts w:cs="Arial"/>
                <w:color w:val="000000"/>
                <w:sz w:val="14"/>
                <w:szCs w:val="16"/>
                <w:lang w:val="en-GB"/>
              </w:rPr>
            </w:pPr>
            <w:r w:rsidRPr="00A17E71">
              <w:rPr>
                <w:rFonts w:cs="Arial"/>
                <w:color w:val="000000"/>
                <w:sz w:val="14"/>
                <w:szCs w:val="16"/>
                <w:lang w:val="en-GB"/>
              </w:rPr>
              <w:t>police officers, paramedics, firefighters</w:t>
            </w:r>
            <w:r w:rsidR="00A41653">
              <w:rPr>
                <w:rFonts w:cs="Arial"/>
                <w:color w:val="000000"/>
                <w:sz w:val="14"/>
                <w:szCs w:val="16"/>
                <w:lang w:val="en-GB"/>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cs="Arial"/>
                <w:color w:val="000000"/>
                <w:sz w:val="14"/>
                <w:szCs w:val="16"/>
                <w:lang w:val="en-GB"/>
              </w:rPr>
              <w:fldChar w:fldCharType="end"/>
            </w:r>
            <w:r w:rsidRPr="00A17E71">
              <w:rPr>
                <w:rFonts w:cs="Arial"/>
                <w:color w:val="000000"/>
                <w:sz w:val="14"/>
                <w:szCs w:val="16"/>
                <w:lang w:val="en-GB"/>
              </w:rPr>
              <w:t xml:space="preserve">, bush firefighters, volunteers, under the </w:t>
            </w:r>
            <w:r w:rsidRPr="00A17E71">
              <w:rPr>
                <w:rFonts w:cs="Arial"/>
                <w:i/>
                <w:color w:val="000000"/>
                <w:sz w:val="14"/>
                <w:szCs w:val="16"/>
                <w:lang w:val="en-GB"/>
              </w:rPr>
              <w:t>Workers Compensation (Bush Fire, Emergency and Rescue Services) Act 1987</w:t>
            </w:r>
            <w:r w:rsidRPr="00A17E71">
              <w:rPr>
                <w:rFonts w:cs="Arial"/>
                <w:color w:val="000000"/>
                <w:sz w:val="14"/>
                <w:szCs w:val="16"/>
                <w:lang w:val="en-GB"/>
              </w:rPr>
              <w:t xml:space="preserve"> workers employed in or about a coal mine, people with a dust disease claim under the </w:t>
            </w:r>
            <w:r w:rsidRPr="00A17E71">
              <w:rPr>
                <w:rFonts w:cs="Arial"/>
                <w:i/>
                <w:color w:val="000000"/>
                <w:sz w:val="14"/>
                <w:szCs w:val="16"/>
                <w:lang w:val="en-GB"/>
              </w:rPr>
              <w:t>Workers’ Compensation (Dust</w:t>
            </w:r>
            <w:r w:rsidR="00DD0D68">
              <w:rPr>
                <w:rFonts w:cs="Arial"/>
                <w:i/>
                <w:color w:val="000000"/>
                <w:sz w:val="14"/>
                <w:szCs w:val="16"/>
                <w:lang w:val="en-GB"/>
              </w:rPr>
              <w:t xml:space="preserve"> </w:t>
            </w:r>
            <w:r w:rsidRPr="00A17E71">
              <w:rPr>
                <w:rFonts w:cs="Arial"/>
                <w:i/>
                <w:color w:val="000000"/>
                <w:sz w:val="14"/>
                <w:szCs w:val="16"/>
                <w:lang w:val="en-GB"/>
              </w:rPr>
              <w:t>Diseases) Act 1942</w:t>
            </w:r>
            <w:r w:rsidRPr="00A17E71">
              <w:rPr>
                <w:rFonts w:cs="Arial"/>
                <w:color w:val="000000"/>
                <w:sz w:val="14"/>
                <w:szCs w:val="16"/>
                <w:lang w:val="en-GB"/>
              </w:rPr>
              <w:t>.</w:t>
            </w:r>
          </w:p>
          <w:p w14:paraId="4E2AA2A5" w14:textId="0202C263" w:rsidR="00AC5AB6" w:rsidRPr="00AC5AB6" w:rsidRDefault="00A17E71" w:rsidP="009146AE">
            <w:pPr>
              <w:spacing w:after="60" w:line="276" w:lineRule="auto"/>
              <w:rPr>
                <w:rFonts w:cs="Arial"/>
                <w:color w:val="000000"/>
                <w:sz w:val="14"/>
                <w:szCs w:val="16"/>
                <w:lang w:val="en-GB"/>
              </w:rPr>
            </w:pPr>
            <w:r w:rsidRPr="00A17E71">
              <w:rPr>
                <w:rFonts w:cs="Arial"/>
                <w:color w:val="000000"/>
                <w:sz w:val="14"/>
                <w:szCs w:val="16"/>
              </w:rPr>
              <w:t xml:space="preserve">For all other workers with injuries received on or after 19 June 2012 there must be a real and substantial connection between employment and the accident or incident out of which the injury arose — </w:t>
            </w:r>
            <w:hyperlink r:id="rId733" w:history="1">
              <w:r w:rsidRPr="0008404D">
                <w:rPr>
                  <w:rStyle w:val="Hyperlink"/>
                  <w:rFonts w:cs="Arial"/>
                  <w:sz w:val="14"/>
                  <w:szCs w:val="16"/>
                </w:rPr>
                <w:t>s10</w:t>
              </w:r>
            </w:hyperlink>
            <w:r w:rsidRPr="00A17E71">
              <w:rPr>
                <w:rFonts w:cs="Arial"/>
                <w:color w:val="000000"/>
                <w:sz w:val="14"/>
                <w:szCs w:val="16"/>
              </w:rPr>
              <w:t xml:space="preserve"> and </w:t>
            </w:r>
            <w:hyperlink r:id="rId734" w:history="1">
              <w:r w:rsidRPr="0008404D">
                <w:rPr>
                  <w:rStyle w:val="Hyperlink"/>
                  <w:rFonts w:cs="Arial"/>
                  <w:sz w:val="14"/>
                  <w:szCs w:val="16"/>
                </w:rPr>
                <w:t>Schedule 6</w:t>
              </w:r>
            </w:hyperlink>
            <w:r w:rsidR="00DD0D68">
              <w:rPr>
                <w:rFonts w:cs="Arial"/>
                <w:color w:val="000000"/>
                <w:sz w:val="14"/>
                <w:szCs w:val="16"/>
              </w:rPr>
              <w:t xml:space="preserve"> </w:t>
            </w:r>
            <w:r w:rsidRPr="00A17E71">
              <w:rPr>
                <w:rFonts w:cs="Arial"/>
                <w:color w:val="000000"/>
                <w:sz w:val="14"/>
                <w:szCs w:val="16"/>
              </w:rPr>
              <w:t xml:space="preserve">Part 19H, </w:t>
            </w:r>
            <w:r w:rsidR="002239E9">
              <w:rPr>
                <w:rFonts w:cs="Arial"/>
                <w:color w:val="000000"/>
                <w:sz w:val="14"/>
                <w:szCs w:val="16"/>
              </w:rPr>
              <w:t>Clause 18, 1987 Act</w:t>
            </w:r>
          </w:p>
        </w:tc>
        <w:tc>
          <w:tcPr>
            <w:tcW w:w="371" w:type="pct"/>
            <w:shd w:val="clear" w:color="auto" w:fill="FFC9C9"/>
            <w:tcMar>
              <w:top w:w="80" w:type="dxa"/>
              <w:left w:w="80" w:type="dxa"/>
              <w:bottom w:w="80" w:type="dxa"/>
              <w:right w:w="80" w:type="dxa"/>
            </w:tcMar>
          </w:tcPr>
          <w:p w14:paraId="4309BF94" w14:textId="102F98E8" w:rsidR="00AC5AB6" w:rsidRPr="00AC5AB6" w:rsidRDefault="00854AFF" w:rsidP="009146AE">
            <w:pPr>
              <w:spacing w:after="60" w:line="276" w:lineRule="auto"/>
              <w:rPr>
                <w:rFonts w:cs="Arial"/>
                <w:color w:val="000000"/>
                <w:sz w:val="14"/>
                <w:szCs w:val="16"/>
                <w:lang w:val="en-GB"/>
              </w:rPr>
            </w:pPr>
            <w:r>
              <w:rPr>
                <w:rFonts w:cs="Arial"/>
                <w:color w:val="000000"/>
                <w:sz w:val="14"/>
                <w:szCs w:val="16"/>
                <w:lang w:val="en-GB"/>
              </w:rPr>
              <w:t xml:space="preserve">No — </w:t>
            </w:r>
            <w:hyperlink r:id="rId735" w:history="1">
              <w:r w:rsidRPr="0008404D">
                <w:rPr>
                  <w:rStyle w:val="Hyperlink"/>
                  <w:rFonts w:cs="Arial"/>
                  <w:sz w:val="14"/>
                  <w:szCs w:val="16"/>
                  <w:lang w:val="en-GB"/>
                </w:rPr>
                <w:t>s46</w:t>
              </w:r>
            </w:hyperlink>
            <w:r w:rsidR="00AC50CB">
              <w:rPr>
                <w:rFonts w:cs="Arial"/>
                <w:color w:val="000000"/>
                <w:sz w:val="14"/>
                <w:szCs w:val="16"/>
                <w:lang w:val="en-GB"/>
              </w:rPr>
              <w:t xml:space="preserve">, </w:t>
            </w:r>
            <w:r w:rsidR="00AC50CB" w:rsidRPr="00016069">
              <w:rPr>
                <w:i/>
                <w:sz w:val="14"/>
              </w:rPr>
              <w:t>Workplace Injury Rehabilitation and Compensation Act 2013</w:t>
            </w:r>
          </w:p>
        </w:tc>
        <w:tc>
          <w:tcPr>
            <w:tcW w:w="371" w:type="pct"/>
            <w:shd w:val="clear" w:color="auto" w:fill="FFC9C9"/>
            <w:tcMar>
              <w:top w:w="80" w:type="dxa"/>
              <w:left w:w="80" w:type="dxa"/>
              <w:bottom w:w="80" w:type="dxa"/>
              <w:right w:w="80" w:type="dxa"/>
            </w:tcMar>
          </w:tcPr>
          <w:p w14:paraId="680765BB" w14:textId="32196781"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some restrictions — </w:t>
            </w:r>
            <w:hyperlink r:id="rId736" w:anchor="sec.35" w:history="1">
              <w:r w:rsidRPr="0008404D">
                <w:rPr>
                  <w:rStyle w:val="Hyperlink"/>
                  <w:rFonts w:cs="Arial"/>
                  <w:sz w:val="14"/>
                  <w:szCs w:val="16"/>
                  <w:lang w:val="en-GB"/>
                </w:rPr>
                <w:t>s35</w:t>
              </w:r>
            </w:hyperlink>
            <w:r w:rsidR="00AC50CB">
              <w:rPr>
                <w:rFonts w:cs="Arial"/>
                <w:color w:val="000000"/>
                <w:sz w:val="14"/>
                <w:szCs w:val="16"/>
                <w:lang w:val="en-GB"/>
              </w:rPr>
              <w:t xml:space="preserve">, </w:t>
            </w:r>
            <w:r w:rsidR="00AC50CB" w:rsidRPr="00016069">
              <w:rPr>
                <w:i/>
                <w:sz w:val="14"/>
              </w:rPr>
              <w:t>Workers’ Compensation and Rehabilitation Act 2003</w:t>
            </w:r>
          </w:p>
        </w:tc>
        <w:tc>
          <w:tcPr>
            <w:tcW w:w="371" w:type="pct"/>
            <w:shd w:val="clear" w:color="auto" w:fill="FFC9C9"/>
            <w:tcMar>
              <w:top w:w="80" w:type="dxa"/>
              <w:left w:w="80" w:type="dxa"/>
              <w:bottom w:w="80" w:type="dxa"/>
              <w:right w:w="80" w:type="dxa"/>
            </w:tcMar>
          </w:tcPr>
          <w:p w14:paraId="0E1FCCAF" w14:textId="7A9A5DB8" w:rsidR="00AC5AB6" w:rsidRPr="00AC5AB6" w:rsidRDefault="00854AFF" w:rsidP="009146AE">
            <w:pPr>
              <w:spacing w:after="60" w:line="276" w:lineRule="auto"/>
              <w:rPr>
                <w:rFonts w:cs="Arial"/>
                <w:color w:val="000000"/>
                <w:sz w:val="14"/>
                <w:szCs w:val="16"/>
                <w:lang w:val="en-GB"/>
              </w:rPr>
            </w:pPr>
            <w:r>
              <w:rPr>
                <w:rFonts w:cs="Arial"/>
                <w:color w:val="000000"/>
                <w:sz w:val="14"/>
                <w:szCs w:val="16"/>
                <w:lang w:val="en-GB"/>
              </w:rPr>
              <w:t xml:space="preserve">No — </w:t>
            </w:r>
            <w:hyperlink r:id="rId737" w:history="1">
              <w:r w:rsidRPr="0008404D">
                <w:rPr>
                  <w:rStyle w:val="Hyperlink"/>
                  <w:rFonts w:cs="Arial"/>
                  <w:sz w:val="14"/>
                  <w:szCs w:val="16"/>
                  <w:lang w:val="en-GB"/>
                </w:rPr>
                <w:t>s19(2)</w:t>
              </w:r>
            </w:hyperlink>
            <w:r w:rsidR="00AC50CB">
              <w:rPr>
                <w:rFonts w:cs="Arial"/>
                <w:color w:val="000000"/>
                <w:sz w:val="14"/>
                <w:szCs w:val="16"/>
                <w:lang w:val="en-GB"/>
              </w:rPr>
              <w:t xml:space="preserve">, </w:t>
            </w:r>
            <w:r w:rsidR="00AC50CB" w:rsidRPr="00016069">
              <w:rPr>
                <w:i/>
                <w:sz w:val="14"/>
              </w:rPr>
              <w:t>Workers’ Compensation and Injury Management Act 1981</w:t>
            </w:r>
          </w:p>
        </w:tc>
        <w:tc>
          <w:tcPr>
            <w:tcW w:w="371" w:type="pct"/>
            <w:shd w:val="clear" w:color="auto" w:fill="FFC9C9"/>
            <w:tcMar>
              <w:top w:w="80" w:type="dxa"/>
              <w:left w:w="80" w:type="dxa"/>
              <w:bottom w:w="80" w:type="dxa"/>
              <w:right w:w="80" w:type="dxa"/>
            </w:tcMar>
          </w:tcPr>
          <w:p w14:paraId="74FC0B72" w14:textId="6A6C1D20"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rPr>
              <w:t>Limited to where there is a real and substantial connection between the employment and the accident out of which the injury arises —</w:t>
            </w:r>
            <w:hyperlink r:id="rId738" w:history="1">
              <w:r w:rsidRPr="00AC5AB6">
                <w:rPr>
                  <w:rFonts w:cs="Arial"/>
                  <w:color w:val="0000FF"/>
                  <w:sz w:val="14"/>
                  <w:szCs w:val="16"/>
                  <w:u w:val="single"/>
                </w:rPr>
                <w:t xml:space="preserve"> s7</w:t>
              </w:r>
            </w:hyperlink>
            <w:r w:rsidRPr="00AC5AB6">
              <w:rPr>
                <w:rFonts w:cs="Arial"/>
                <w:color w:val="000000"/>
                <w:sz w:val="14"/>
                <w:szCs w:val="16"/>
              </w:rPr>
              <w:t>(8)(b)</w:t>
            </w:r>
            <w:r w:rsidR="00AC50CB">
              <w:rPr>
                <w:rFonts w:cs="Arial"/>
                <w:color w:val="000000"/>
                <w:sz w:val="14"/>
                <w:szCs w:val="16"/>
              </w:rPr>
              <w:t xml:space="preserve">, </w:t>
            </w:r>
            <w:r w:rsidR="00AC50CB" w:rsidRPr="00016069">
              <w:rPr>
                <w:i/>
                <w:sz w:val="14"/>
              </w:rPr>
              <w:t>Return to Work Act 2014</w:t>
            </w:r>
          </w:p>
        </w:tc>
        <w:tc>
          <w:tcPr>
            <w:tcW w:w="371" w:type="pct"/>
            <w:shd w:val="clear" w:color="auto" w:fill="FFC9C9"/>
            <w:tcMar>
              <w:top w:w="80" w:type="dxa"/>
              <w:left w:w="80" w:type="dxa"/>
              <w:bottom w:w="80" w:type="dxa"/>
              <w:right w:w="80" w:type="dxa"/>
            </w:tcMar>
          </w:tcPr>
          <w:p w14:paraId="04500543" w14:textId="7CE7969F" w:rsidR="00AC5AB6" w:rsidRPr="00AC50CB" w:rsidRDefault="00AC5AB6" w:rsidP="009146AE">
            <w:pPr>
              <w:spacing w:after="60" w:line="276" w:lineRule="auto"/>
              <w:rPr>
                <w:rFonts w:cs="Arial"/>
                <w:sz w:val="14"/>
                <w:szCs w:val="16"/>
                <w:lang w:val="en-GB"/>
              </w:rPr>
            </w:pPr>
            <w:r w:rsidRPr="00AC5AB6">
              <w:rPr>
                <w:rFonts w:cs="Arial"/>
                <w:color w:val="000000"/>
                <w:sz w:val="14"/>
                <w:szCs w:val="16"/>
                <w:lang w:val="en-GB"/>
              </w:rPr>
              <w:t xml:space="preserve">No, some exceptions — </w:t>
            </w:r>
            <w:hyperlink r:id="rId739" w:history="1">
              <w:r w:rsidRPr="00AC5AB6">
                <w:rPr>
                  <w:rFonts w:cs="Arial"/>
                  <w:color w:val="0000FF"/>
                  <w:sz w:val="14"/>
                  <w:szCs w:val="16"/>
                  <w:u w:val="single"/>
                  <w:lang w:val="en-GB"/>
                </w:rPr>
                <w:t>s25(6)</w:t>
              </w:r>
            </w:hyperlink>
            <w:r w:rsidR="00AC50CB">
              <w:rPr>
                <w:rFonts w:cs="Arial"/>
                <w:sz w:val="14"/>
                <w:szCs w:val="16"/>
                <w:lang w:val="en-GB"/>
              </w:rPr>
              <w:t xml:space="preserve">, </w:t>
            </w:r>
            <w:r w:rsidR="00AC50CB" w:rsidRPr="00016069">
              <w:rPr>
                <w:i/>
                <w:sz w:val="14"/>
              </w:rPr>
              <w:t>Workers Rehabilitation and Compensation Act 1988</w:t>
            </w:r>
          </w:p>
        </w:tc>
        <w:tc>
          <w:tcPr>
            <w:tcW w:w="371" w:type="pct"/>
            <w:shd w:val="clear" w:color="auto" w:fill="FFC9C9"/>
            <w:tcMar>
              <w:top w:w="80" w:type="dxa"/>
              <w:left w:w="80" w:type="dxa"/>
              <w:bottom w:w="80" w:type="dxa"/>
              <w:right w:w="80" w:type="dxa"/>
            </w:tcMar>
          </w:tcPr>
          <w:p w14:paraId="0CE67DBC" w14:textId="6B908B46"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No, some exceptions— </w:t>
            </w:r>
            <w:hyperlink r:id="rId740" w:history="1">
              <w:r w:rsidRPr="0008404D">
                <w:rPr>
                  <w:rStyle w:val="Hyperlink"/>
                  <w:rFonts w:cs="Arial"/>
                  <w:sz w:val="14"/>
                  <w:szCs w:val="16"/>
                  <w:lang w:val="en-GB"/>
                </w:rPr>
                <w:t>s4</w:t>
              </w:r>
            </w:hyperlink>
            <w:r w:rsidR="00AC50CB">
              <w:rPr>
                <w:rFonts w:cs="Arial"/>
                <w:color w:val="000000"/>
                <w:sz w:val="14"/>
                <w:szCs w:val="16"/>
                <w:lang w:val="en-GB"/>
              </w:rPr>
              <w:t xml:space="preserve">, </w:t>
            </w:r>
            <w:r w:rsidR="00AC50CB" w:rsidRPr="00016069">
              <w:rPr>
                <w:i/>
                <w:sz w:val="14"/>
              </w:rPr>
              <w:t>Return to Work Act</w:t>
            </w:r>
          </w:p>
        </w:tc>
        <w:tc>
          <w:tcPr>
            <w:tcW w:w="371" w:type="pct"/>
            <w:shd w:val="clear" w:color="auto" w:fill="FFC9C9"/>
            <w:tcMar>
              <w:top w:w="80" w:type="dxa"/>
              <w:left w:w="80" w:type="dxa"/>
              <w:bottom w:w="80" w:type="dxa"/>
              <w:right w:w="80" w:type="dxa"/>
            </w:tcMar>
          </w:tcPr>
          <w:p w14:paraId="01725717" w14:textId="463EACE5"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41" w:history="1">
              <w:r w:rsidRPr="00FC0C3B">
                <w:rPr>
                  <w:rStyle w:val="Hyperlink"/>
                  <w:rFonts w:cs="Arial"/>
                  <w:sz w:val="14"/>
                  <w:szCs w:val="16"/>
                  <w:lang w:val="en-GB"/>
                </w:rPr>
                <w:t>s36</w:t>
              </w:r>
            </w:hyperlink>
            <w:r w:rsidR="00AC50CB">
              <w:rPr>
                <w:rFonts w:cs="Arial"/>
                <w:color w:val="000000"/>
                <w:sz w:val="14"/>
                <w:szCs w:val="16"/>
                <w:lang w:val="en-GB"/>
              </w:rPr>
              <w:t xml:space="preserve">, </w:t>
            </w:r>
            <w:r w:rsidR="00AC50CB" w:rsidRPr="00016069">
              <w:rPr>
                <w:i/>
                <w:sz w:val="14"/>
              </w:rPr>
              <w:t>Workers Compensation Act 1951</w:t>
            </w:r>
          </w:p>
        </w:tc>
        <w:tc>
          <w:tcPr>
            <w:tcW w:w="371" w:type="pct"/>
            <w:shd w:val="clear" w:color="auto" w:fill="FFC9C9"/>
            <w:tcMar>
              <w:top w:w="80" w:type="dxa"/>
              <w:left w:w="80" w:type="dxa"/>
              <w:bottom w:w="80" w:type="dxa"/>
              <w:right w:w="80" w:type="dxa"/>
            </w:tcMar>
          </w:tcPr>
          <w:p w14:paraId="1A83ACE7" w14:textId="3CB36B46" w:rsidR="00AC5AB6" w:rsidRPr="00AC5AB6" w:rsidRDefault="00FC0C3B" w:rsidP="009146AE">
            <w:pPr>
              <w:spacing w:after="60" w:line="276" w:lineRule="auto"/>
              <w:rPr>
                <w:rFonts w:cs="Arial"/>
                <w:color w:val="000000"/>
                <w:sz w:val="14"/>
                <w:szCs w:val="16"/>
                <w:lang w:val="en-GB"/>
              </w:rPr>
            </w:pPr>
            <w:r>
              <w:rPr>
                <w:rFonts w:cs="Arial"/>
                <w:color w:val="000000"/>
                <w:sz w:val="14"/>
                <w:szCs w:val="16"/>
                <w:lang w:val="en-GB"/>
              </w:rPr>
              <w:t xml:space="preserve">No, some exceptions — </w:t>
            </w:r>
            <w:hyperlink r:id="rId742" w:history="1">
              <w:r w:rsidRPr="00FC0C3B">
                <w:rPr>
                  <w:rStyle w:val="Hyperlink"/>
                  <w:rFonts w:cs="Arial"/>
                  <w:sz w:val="14"/>
                  <w:szCs w:val="16"/>
                  <w:lang w:val="en-GB"/>
                </w:rPr>
                <w:t>s6(1c</w:t>
              </w:r>
              <w:r w:rsidR="00AC5AB6" w:rsidRPr="00FC0C3B">
                <w:rPr>
                  <w:rStyle w:val="Hyperlink"/>
                  <w:rFonts w:cs="Arial"/>
                  <w:sz w:val="14"/>
                  <w:szCs w:val="16"/>
                  <w:lang w:val="en-GB"/>
                </w:rPr>
                <w:t>)</w:t>
              </w:r>
            </w:hyperlink>
            <w:r w:rsidR="00AC50CB">
              <w:rPr>
                <w:rFonts w:cs="Arial"/>
                <w:color w:val="000000"/>
                <w:sz w:val="14"/>
                <w:szCs w:val="16"/>
                <w:lang w:val="en-GB"/>
              </w:rPr>
              <w:t xml:space="preserve">, </w:t>
            </w:r>
            <w:r w:rsidR="00AC50CB" w:rsidRPr="00016069">
              <w:rPr>
                <w:i/>
                <w:sz w:val="14"/>
              </w:rPr>
              <w:t>Safety, Rehabilitation and Compensation Act 1988</w:t>
            </w:r>
          </w:p>
        </w:tc>
        <w:tc>
          <w:tcPr>
            <w:tcW w:w="371" w:type="pct"/>
            <w:shd w:val="clear" w:color="auto" w:fill="FFC9C9"/>
            <w:tcMar>
              <w:top w:w="80" w:type="dxa"/>
              <w:left w:w="80" w:type="dxa"/>
              <w:bottom w:w="80" w:type="dxa"/>
              <w:right w:w="80" w:type="dxa"/>
            </w:tcMar>
          </w:tcPr>
          <w:p w14:paraId="488CDF74" w14:textId="50C3645A"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43" w:history="1">
              <w:r w:rsidRPr="00A33F75">
                <w:rPr>
                  <w:rStyle w:val="Hyperlink"/>
                  <w:rFonts w:cs="Arial"/>
                  <w:sz w:val="14"/>
                  <w:szCs w:val="16"/>
                  <w:lang w:val="en-GB"/>
                </w:rPr>
                <w:t>s9(2)(e)</w:t>
              </w:r>
            </w:hyperlink>
            <w:r w:rsidR="00AC50CB">
              <w:rPr>
                <w:rFonts w:cs="Arial"/>
                <w:color w:val="000000"/>
                <w:sz w:val="14"/>
                <w:szCs w:val="16"/>
                <w:lang w:val="en-GB"/>
              </w:rPr>
              <w:t xml:space="preserve">, </w:t>
            </w:r>
            <w:r w:rsidR="00AC50CB" w:rsidRPr="00016069">
              <w:rPr>
                <w:i/>
                <w:sz w:val="14"/>
              </w:rPr>
              <w:t>Seafarers Rehabilitation and Compensation Act 1992</w:t>
            </w:r>
          </w:p>
        </w:tc>
        <w:tc>
          <w:tcPr>
            <w:tcW w:w="371" w:type="pct"/>
            <w:shd w:val="clear" w:color="auto" w:fill="FFC9C9"/>
            <w:tcMar>
              <w:top w:w="80" w:type="dxa"/>
              <w:left w:w="80" w:type="dxa"/>
              <w:bottom w:w="80" w:type="dxa"/>
              <w:right w:w="80" w:type="dxa"/>
            </w:tcMar>
          </w:tcPr>
          <w:p w14:paraId="42573EBB" w14:textId="0EA7A88D" w:rsidR="0061455C" w:rsidRDefault="00AC50CB" w:rsidP="009146AE">
            <w:pPr>
              <w:spacing w:after="60"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61455C">
              <w:rPr>
                <w:rFonts w:cs="Arial"/>
                <w:color w:val="000000"/>
                <w:sz w:val="14"/>
                <w:szCs w:val="16"/>
                <w:lang w:val="en-GB"/>
              </w:rPr>
              <w:t>MRCA</w:t>
            </w:r>
            <w:r>
              <w:rPr>
                <w:rFonts w:cs="Arial"/>
                <w:color w:val="000000"/>
                <w:sz w:val="14"/>
                <w:szCs w:val="16"/>
                <w:lang w:val="en-GB"/>
              </w:rPr>
              <w:t>)</w:t>
            </w:r>
          </w:p>
          <w:p w14:paraId="4AE4B44B" w14:textId="2D94C98E" w:rsid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44" w:history="1">
              <w:r w:rsidRPr="00A33F75">
                <w:rPr>
                  <w:rStyle w:val="Hyperlink"/>
                  <w:rFonts w:cs="Arial"/>
                  <w:sz w:val="14"/>
                  <w:szCs w:val="16"/>
                  <w:lang w:val="en-GB"/>
                </w:rPr>
                <w:t>s27</w:t>
              </w:r>
            </w:hyperlink>
            <w:r w:rsidRPr="00AC5AB6">
              <w:rPr>
                <w:rFonts w:cs="Arial"/>
                <w:color w:val="000000"/>
                <w:sz w:val="14"/>
                <w:szCs w:val="16"/>
                <w:lang w:val="en-GB"/>
              </w:rPr>
              <w:t xml:space="preserve">; exceptions — </w:t>
            </w:r>
            <w:hyperlink r:id="rId745" w:history="1">
              <w:r w:rsidRPr="00A33F75">
                <w:rPr>
                  <w:rStyle w:val="Hyperlink"/>
                  <w:rFonts w:cs="Arial"/>
                  <w:sz w:val="14"/>
                  <w:szCs w:val="16"/>
                  <w:lang w:val="en-GB"/>
                </w:rPr>
                <w:t>s35</w:t>
              </w:r>
            </w:hyperlink>
          </w:p>
          <w:p w14:paraId="066E1581" w14:textId="1BE2CAEA" w:rsidR="0061455C" w:rsidRDefault="00AC50CB" w:rsidP="009146AE">
            <w:pPr>
              <w:spacing w:after="60" w:line="276" w:lineRule="auto"/>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61455C">
              <w:rPr>
                <w:rFonts w:cs="Arial"/>
                <w:color w:val="000000"/>
                <w:sz w:val="14"/>
                <w:szCs w:val="16"/>
                <w:lang w:val="en-GB"/>
              </w:rPr>
              <w:t>DRCA</w:t>
            </w:r>
            <w:r>
              <w:rPr>
                <w:rFonts w:cs="Arial"/>
                <w:color w:val="000000"/>
                <w:sz w:val="14"/>
                <w:szCs w:val="16"/>
                <w:lang w:val="en-GB"/>
              </w:rPr>
              <w:t>)</w:t>
            </w:r>
          </w:p>
          <w:p w14:paraId="5F6539B2" w14:textId="6E35E47C" w:rsidR="0061455C" w:rsidRPr="00AC5AB6" w:rsidRDefault="0061455C" w:rsidP="009146AE">
            <w:pPr>
              <w:spacing w:after="60" w:line="276" w:lineRule="auto"/>
              <w:rPr>
                <w:rFonts w:cs="Arial"/>
                <w:color w:val="000000"/>
                <w:sz w:val="14"/>
                <w:szCs w:val="16"/>
                <w:lang w:val="en-GB"/>
              </w:rPr>
            </w:pPr>
            <w:r>
              <w:rPr>
                <w:rFonts w:cs="Arial"/>
                <w:color w:val="000000"/>
                <w:sz w:val="14"/>
                <w:szCs w:val="16"/>
                <w:lang w:val="en-GB"/>
              </w:rPr>
              <w:t xml:space="preserve">Yes — Note that changes to the SRCA effective 13 April 2007 have amended </w:t>
            </w:r>
            <w:hyperlink r:id="rId746" w:history="1">
              <w:r w:rsidRPr="0080500C">
                <w:rPr>
                  <w:rStyle w:val="Hyperlink"/>
                  <w:rFonts w:cs="Arial"/>
                  <w:sz w:val="14"/>
                  <w:szCs w:val="16"/>
                  <w:lang w:val="en-GB"/>
                </w:rPr>
                <w:t>Section 6</w:t>
              </w:r>
            </w:hyperlink>
            <w:r>
              <w:rPr>
                <w:rFonts w:cs="Arial"/>
                <w:color w:val="000000"/>
                <w:sz w:val="14"/>
                <w:szCs w:val="16"/>
                <w:lang w:val="en-GB"/>
              </w:rPr>
              <w:t>, however as MRCA now covers journeys for ADF members on/after 1 July 2004 any journey claims will come under the old provisions.</w:t>
            </w:r>
          </w:p>
        </w:tc>
        <w:tc>
          <w:tcPr>
            <w:tcW w:w="369" w:type="pct"/>
            <w:shd w:val="clear" w:color="auto" w:fill="FFC9C9"/>
            <w:tcMar>
              <w:top w:w="80" w:type="dxa"/>
              <w:left w:w="80" w:type="dxa"/>
              <w:bottom w:w="80" w:type="dxa"/>
              <w:right w:w="80" w:type="dxa"/>
            </w:tcMar>
          </w:tcPr>
          <w:p w14:paraId="49634E03" w14:textId="7ECA38A2"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some restrictions — </w:t>
            </w:r>
            <w:hyperlink r:id="rId747" w:history="1">
              <w:r w:rsidRPr="00753875">
                <w:rPr>
                  <w:rStyle w:val="Hyperlink"/>
                  <w:rFonts w:cs="Arial"/>
                  <w:sz w:val="14"/>
                  <w:szCs w:val="16"/>
                  <w:lang w:val="en-GB"/>
                </w:rPr>
                <w:t>s28(1)(c)</w:t>
              </w:r>
            </w:hyperlink>
            <w:r w:rsidR="00AC50CB">
              <w:rPr>
                <w:rFonts w:cs="Arial"/>
                <w:color w:val="000000"/>
                <w:sz w:val="14"/>
                <w:szCs w:val="16"/>
                <w:lang w:val="en-GB"/>
              </w:rPr>
              <w:t xml:space="preserve">, </w:t>
            </w:r>
            <w:r w:rsidR="00AC50CB" w:rsidRPr="00016069">
              <w:rPr>
                <w:i/>
                <w:sz w:val="14"/>
              </w:rPr>
              <w:t>Accident Compensation Act 2001</w:t>
            </w:r>
          </w:p>
        </w:tc>
      </w:tr>
      <w:tr w:rsidR="00AC5AB6" w:rsidRPr="00AC5AB6" w14:paraId="73B7CEE5" w14:textId="77777777" w:rsidTr="008737E6">
        <w:tc>
          <w:tcPr>
            <w:tcW w:w="413" w:type="pct"/>
            <w:tcMar>
              <w:top w:w="80" w:type="dxa"/>
              <w:left w:w="80" w:type="dxa"/>
              <w:bottom w:w="80" w:type="dxa"/>
              <w:right w:w="80" w:type="dxa"/>
            </w:tcMar>
          </w:tcPr>
          <w:p w14:paraId="07DBAD28" w14:textId="483BB1A8"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Work-related travel</w:t>
            </w:r>
            <w:r w:rsidR="00870A7B">
              <w:rPr>
                <w:rFonts w:eastAsia="Calibri" w:cs="Arial"/>
                <w:b/>
                <w:sz w:val="16"/>
                <w:szCs w:val="16"/>
                <w:lang w:eastAsia="en-US"/>
              </w:rPr>
              <w:fldChar w:fldCharType="begin"/>
            </w:r>
            <w:r w:rsidR="00870A7B">
              <w:instrText xml:space="preserve"> XE "</w:instrText>
            </w:r>
            <w:r w:rsidR="00870A7B" w:rsidRPr="001854C8">
              <w:instrText>work-related travel</w:instrText>
            </w:r>
            <w:r w:rsidR="00870A7B">
              <w:instrText xml:space="preserve">" </w:instrText>
            </w:r>
            <w:r w:rsidR="00870A7B">
              <w:rPr>
                <w:rFonts w:eastAsia="Calibri" w:cs="Arial"/>
                <w:b/>
                <w:sz w:val="16"/>
                <w:szCs w:val="16"/>
                <w:lang w:eastAsia="en-US"/>
              </w:rPr>
              <w:fldChar w:fldCharType="end"/>
            </w:r>
          </w:p>
        </w:tc>
        <w:tc>
          <w:tcPr>
            <w:tcW w:w="509" w:type="pct"/>
            <w:tcMar>
              <w:top w:w="80" w:type="dxa"/>
              <w:left w:w="80" w:type="dxa"/>
              <w:bottom w:w="80" w:type="dxa"/>
              <w:right w:w="80" w:type="dxa"/>
            </w:tcMar>
          </w:tcPr>
          <w:p w14:paraId="118E8F35" w14:textId="098ECEAC" w:rsidR="00AC5AB6" w:rsidRPr="00AC5AB6" w:rsidRDefault="002239E9" w:rsidP="009146AE">
            <w:pPr>
              <w:spacing w:after="60" w:line="276" w:lineRule="auto"/>
              <w:rPr>
                <w:rFonts w:cs="Arial"/>
                <w:color w:val="000000"/>
                <w:sz w:val="14"/>
                <w:szCs w:val="16"/>
                <w:highlight w:val="yellow"/>
                <w:lang w:val="en-GB"/>
              </w:rPr>
            </w:pPr>
            <w:r>
              <w:rPr>
                <w:rFonts w:cs="Arial"/>
                <w:color w:val="000000"/>
                <w:sz w:val="14"/>
                <w:szCs w:val="16"/>
              </w:rPr>
              <w:t xml:space="preserve">Yes — </w:t>
            </w:r>
            <w:hyperlink r:id="rId748" w:history="1">
              <w:r w:rsidRPr="0008404D">
                <w:rPr>
                  <w:rStyle w:val="Hyperlink"/>
                  <w:rFonts w:cs="Arial"/>
                  <w:sz w:val="14"/>
                  <w:szCs w:val="16"/>
                </w:rPr>
                <w:t>s4</w:t>
              </w:r>
            </w:hyperlink>
            <w:r>
              <w:rPr>
                <w:rFonts w:cs="Arial"/>
                <w:color w:val="000000"/>
                <w:sz w:val="14"/>
                <w:szCs w:val="16"/>
              </w:rPr>
              <w:t xml:space="preserve"> </w:t>
            </w:r>
            <w:r w:rsidR="001761FA" w:rsidRPr="00016069">
              <w:rPr>
                <w:i/>
                <w:sz w:val="14"/>
              </w:rPr>
              <w:t>Workplace Injury Management and</w:t>
            </w:r>
            <w:r w:rsidR="001761FA">
              <w:rPr>
                <w:i/>
                <w:sz w:val="14"/>
              </w:rPr>
              <w:t xml:space="preserve"> Workers Compensation Act 1998</w:t>
            </w:r>
          </w:p>
        </w:tc>
        <w:tc>
          <w:tcPr>
            <w:tcW w:w="371" w:type="pct"/>
            <w:tcMar>
              <w:top w:w="80" w:type="dxa"/>
              <w:left w:w="80" w:type="dxa"/>
              <w:bottom w:w="80" w:type="dxa"/>
              <w:right w:w="80" w:type="dxa"/>
            </w:tcMar>
          </w:tcPr>
          <w:p w14:paraId="2518AD27" w14:textId="79E1B357"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some restrictions — </w:t>
            </w:r>
            <w:hyperlink r:id="rId749" w:history="1">
              <w:r w:rsidRPr="0008404D">
                <w:rPr>
                  <w:rStyle w:val="Hyperlink"/>
                  <w:rFonts w:cs="Arial"/>
                  <w:sz w:val="14"/>
                  <w:szCs w:val="16"/>
                  <w:lang w:val="en-GB"/>
                </w:rPr>
                <w:t>s46</w:t>
              </w:r>
            </w:hyperlink>
          </w:p>
        </w:tc>
        <w:tc>
          <w:tcPr>
            <w:tcW w:w="371" w:type="pct"/>
            <w:tcMar>
              <w:top w:w="80" w:type="dxa"/>
              <w:left w:w="80" w:type="dxa"/>
              <w:bottom w:w="80" w:type="dxa"/>
              <w:right w:w="80" w:type="dxa"/>
            </w:tcMar>
          </w:tcPr>
          <w:p w14:paraId="1E8F992D" w14:textId="1F4F50D6" w:rsidR="00AC5AB6" w:rsidRPr="00AC5AB6" w:rsidRDefault="00854AFF" w:rsidP="009146AE">
            <w:pPr>
              <w:spacing w:after="60" w:line="276" w:lineRule="auto"/>
              <w:rPr>
                <w:rFonts w:cs="Arial"/>
                <w:color w:val="000000"/>
                <w:sz w:val="14"/>
                <w:szCs w:val="16"/>
                <w:lang w:val="en-GB"/>
              </w:rPr>
            </w:pPr>
            <w:r>
              <w:rPr>
                <w:rFonts w:cs="Arial"/>
                <w:color w:val="000000"/>
                <w:sz w:val="14"/>
                <w:szCs w:val="16"/>
                <w:lang w:val="en-GB"/>
              </w:rPr>
              <w:t xml:space="preserve">Yes — </w:t>
            </w:r>
            <w:hyperlink r:id="rId750" w:anchor="sec.34" w:history="1">
              <w:r w:rsidRPr="0008404D">
                <w:rPr>
                  <w:rStyle w:val="Hyperlink"/>
                  <w:rFonts w:cs="Arial"/>
                  <w:sz w:val="14"/>
                  <w:szCs w:val="16"/>
                  <w:lang w:val="en-GB"/>
                </w:rPr>
                <w:t>s34</w:t>
              </w:r>
            </w:hyperlink>
          </w:p>
        </w:tc>
        <w:tc>
          <w:tcPr>
            <w:tcW w:w="371" w:type="pct"/>
            <w:tcMar>
              <w:top w:w="80" w:type="dxa"/>
              <w:left w:w="80" w:type="dxa"/>
              <w:bottom w:w="80" w:type="dxa"/>
              <w:right w:w="80" w:type="dxa"/>
            </w:tcMar>
          </w:tcPr>
          <w:p w14:paraId="02990612" w14:textId="48C0A131" w:rsidR="00AC5AB6" w:rsidRPr="00AC5AB6" w:rsidRDefault="00854AFF" w:rsidP="009146AE">
            <w:pPr>
              <w:spacing w:after="60" w:line="276" w:lineRule="auto"/>
              <w:rPr>
                <w:rFonts w:cs="Arial"/>
                <w:color w:val="000000"/>
                <w:sz w:val="14"/>
                <w:szCs w:val="16"/>
                <w:lang w:val="en-GB"/>
              </w:rPr>
            </w:pPr>
            <w:r>
              <w:rPr>
                <w:rFonts w:cs="Arial"/>
                <w:color w:val="000000"/>
                <w:sz w:val="14"/>
                <w:szCs w:val="16"/>
                <w:lang w:val="en-GB"/>
              </w:rPr>
              <w:t xml:space="preserve">Yes — </w:t>
            </w:r>
            <w:hyperlink r:id="rId751" w:history="1">
              <w:r w:rsidRPr="0008404D">
                <w:rPr>
                  <w:rStyle w:val="Hyperlink"/>
                  <w:rFonts w:cs="Arial"/>
                  <w:sz w:val="14"/>
                  <w:szCs w:val="16"/>
                  <w:lang w:val="en-GB"/>
                </w:rPr>
                <w:t>s19(1)</w:t>
              </w:r>
            </w:hyperlink>
          </w:p>
        </w:tc>
        <w:tc>
          <w:tcPr>
            <w:tcW w:w="371" w:type="pct"/>
            <w:tcMar>
              <w:top w:w="80" w:type="dxa"/>
              <w:left w:w="80" w:type="dxa"/>
              <w:bottom w:w="80" w:type="dxa"/>
              <w:right w:w="80" w:type="dxa"/>
            </w:tcMar>
          </w:tcPr>
          <w:p w14:paraId="37DB7DEE" w14:textId="244FC8E0"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52" w:history="1">
              <w:r w:rsidRPr="00AC5AB6">
                <w:rPr>
                  <w:rFonts w:cs="Arial"/>
                  <w:color w:val="0000FF"/>
                  <w:sz w:val="14"/>
                  <w:szCs w:val="16"/>
                  <w:u w:val="single"/>
                </w:rPr>
                <w:t>s7(8)(a)</w:t>
              </w:r>
            </w:hyperlink>
          </w:p>
        </w:tc>
        <w:tc>
          <w:tcPr>
            <w:tcW w:w="371" w:type="pct"/>
            <w:tcMar>
              <w:top w:w="80" w:type="dxa"/>
              <w:left w:w="80" w:type="dxa"/>
              <w:bottom w:w="80" w:type="dxa"/>
              <w:right w:w="80" w:type="dxa"/>
            </w:tcMar>
          </w:tcPr>
          <w:p w14:paraId="54E962F1" w14:textId="7CAEA88B" w:rsidR="00AC5AB6" w:rsidRPr="00AC5AB6" w:rsidRDefault="00854AFF" w:rsidP="009146AE">
            <w:pPr>
              <w:spacing w:after="60" w:line="276" w:lineRule="auto"/>
              <w:rPr>
                <w:rFonts w:cs="Arial"/>
                <w:color w:val="000000"/>
                <w:sz w:val="14"/>
                <w:szCs w:val="16"/>
                <w:lang w:val="en-GB"/>
              </w:rPr>
            </w:pPr>
            <w:r>
              <w:rPr>
                <w:rFonts w:cs="Arial"/>
                <w:color w:val="000000"/>
                <w:sz w:val="14"/>
                <w:szCs w:val="16"/>
                <w:lang w:val="en-GB"/>
              </w:rPr>
              <w:t xml:space="preserve">Yes — </w:t>
            </w:r>
            <w:hyperlink r:id="rId753" w:history="1">
              <w:r w:rsidRPr="0008404D">
                <w:rPr>
                  <w:rStyle w:val="Hyperlink"/>
                  <w:rFonts w:cs="Arial"/>
                  <w:sz w:val="14"/>
                  <w:szCs w:val="16"/>
                  <w:lang w:val="en-GB"/>
                </w:rPr>
                <w:t>s25(6)</w:t>
              </w:r>
            </w:hyperlink>
          </w:p>
        </w:tc>
        <w:tc>
          <w:tcPr>
            <w:tcW w:w="371" w:type="pct"/>
            <w:tcMar>
              <w:top w:w="80" w:type="dxa"/>
              <w:left w:w="80" w:type="dxa"/>
              <w:bottom w:w="80" w:type="dxa"/>
              <w:right w:w="80" w:type="dxa"/>
            </w:tcMar>
          </w:tcPr>
          <w:p w14:paraId="59B6DD83" w14:textId="49CD3743" w:rsidR="00AC5AB6" w:rsidRPr="00AC5AB6" w:rsidRDefault="00854AFF" w:rsidP="009146AE">
            <w:pPr>
              <w:spacing w:after="60" w:line="276" w:lineRule="auto"/>
              <w:rPr>
                <w:rFonts w:cs="Arial"/>
                <w:color w:val="000000"/>
                <w:sz w:val="14"/>
                <w:szCs w:val="16"/>
                <w:lang w:val="en-GB"/>
              </w:rPr>
            </w:pPr>
            <w:r>
              <w:rPr>
                <w:rFonts w:cs="Arial"/>
                <w:color w:val="000000"/>
                <w:sz w:val="14"/>
                <w:szCs w:val="16"/>
                <w:lang w:val="en-GB"/>
              </w:rPr>
              <w:t xml:space="preserve">Yes — </w:t>
            </w:r>
            <w:hyperlink r:id="rId754" w:history="1">
              <w:r w:rsidRPr="0008404D">
                <w:rPr>
                  <w:rStyle w:val="Hyperlink"/>
                  <w:rFonts w:cs="Arial"/>
                  <w:sz w:val="14"/>
                  <w:szCs w:val="16"/>
                  <w:lang w:val="en-GB"/>
                </w:rPr>
                <w:t>s4</w:t>
              </w:r>
            </w:hyperlink>
          </w:p>
        </w:tc>
        <w:tc>
          <w:tcPr>
            <w:tcW w:w="371" w:type="pct"/>
            <w:tcMar>
              <w:top w:w="80" w:type="dxa"/>
              <w:left w:w="80" w:type="dxa"/>
              <w:bottom w:w="80" w:type="dxa"/>
              <w:right w:w="80" w:type="dxa"/>
            </w:tcMar>
          </w:tcPr>
          <w:p w14:paraId="1FC2A0C9" w14:textId="4D497B2B" w:rsidR="00AC5AB6" w:rsidRPr="00AC5AB6" w:rsidRDefault="00854AFF" w:rsidP="009146AE">
            <w:pPr>
              <w:spacing w:after="60" w:line="276" w:lineRule="auto"/>
              <w:rPr>
                <w:rFonts w:cs="Arial"/>
                <w:color w:val="000000"/>
                <w:sz w:val="14"/>
                <w:szCs w:val="16"/>
                <w:lang w:val="en-GB"/>
              </w:rPr>
            </w:pPr>
            <w:r>
              <w:rPr>
                <w:rFonts w:cs="Arial"/>
                <w:color w:val="000000"/>
                <w:sz w:val="14"/>
                <w:szCs w:val="16"/>
                <w:lang w:val="en-GB"/>
              </w:rPr>
              <w:t xml:space="preserve">Yes — </w:t>
            </w:r>
            <w:hyperlink r:id="rId755" w:history="1">
              <w:r w:rsidRPr="00FC0C3B">
                <w:rPr>
                  <w:rStyle w:val="Hyperlink"/>
                  <w:rFonts w:cs="Arial"/>
                  <w:sz w:val="14"/>
                  <w:szCs w:val="16"/>
                  <w:lang w:val="en-GB"/>
                </w:rPr>
                <w:t>s36</w:t>
              </w:r>
            </w:hyperlink>
          </w:p>
        </w:tc>
        <w:tc>
          <w:tcPr>
            <w:tcW w:w="371" w:type="pct"/>
            <w:tcMar>
              <w:top w:w="80" w:type="dxa"/>
              <w:left w:w="80" w:type="dxa"/>
              <w:bottom w:w="80" w:type="dxa"/>
              <w:right w:w="80" w:type="dxa"/>
            </w:tcMar>
          </w:tcPr>
          <w:p w14:paraId="089F0D79" w14:textId="3FFD9374"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56" w:history="1">
              <w:r w:rsidRPr="00FC0C3B">
                <w:rPr>
                  <w:rStyle w:val="Hyperlink"/>
                  <w:rFonts w:cs="Arial"/>
                  <w:sz w:val="14"/>
                  <w:szCs w:val="16"/>
                  <w:lang w:val="en-GB"/>
                </w:rPr>
                <w:t>s6(1)(d)</w:t>
              </w:r>
            </w:hyperlink>
          </w:p>
        </w:tc>
        <w:tc>
          <w:tcPr>
            <w:tcW w:w="371" w:type="pct"/>
            <w:tcMar>
              <w:top w:w="80" w:type="dxa"/>
              <w:left w:w="80" w:type="dxa"/>
              <w:bottom w:w="80" w:type="dxa"/>
              <w:right w:w="80" w:type="dxa"/>
            </w:tcMar>
          </w:tcPr>
          <w:p w14:paraId="58D49540" w14:textId="0A631BB0"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57" w:history="1">
              <w:r w:rsidRPr="00A33F75">
                <w:rPr>
                  <w:rStyle w:val="Hyperlink"/>
                  <w:rFonts w:cs="Arial"/>
                  <w:sz w:val="14"/>
                  <w:szCs w:val="16"/>
                  <w:lang w:val="en-GB"/>
                </w:rPr>
                <w:t>s9(2)(e)</w:t>
              </w:r>
            </w:hyperlink>
          </w:p>
        </w:tc>
        <w:tc>
          <w:tcPr>
            <w:tcW w:w="371" w:type="pct"/>
            <w:tcMar>
              <w:top w:w="80" w:type="dxa"/>
              <w:left w:w="80" w:type="dxa"/>
              <w:bottom w:w="80" w:type="dxa"/>
              <w:right w:w="80" w:type="dxa"/>
            </w:tcMar>
          </w:tcPr>
          <w:p w14:paraId="6E6E9E3A" w14:textId="0C838197" w:rsidR="00AC5AB6" w:rsidRPr="00AC5AB6" w:rsidRDefault="0080500C"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58" w:history="1">
              <w:r w:rsidRPr="00A33F75">
                <w:rPr>
                  <w:rStyle w:val="Hyperlink"/>
                  <w:rFonts w:cs="Arial"/>
                  <w:sz w:val="14"/>
                  <w:szCs w:val="16"/>
                  <w:lang w:val="en-GB"/>
                </w:rPr>
                <w:t>s27</w:t>
              </w:r>
            </w:hyperlink>
            <w:r w:rsidRPr="00AC5AB6">
              <w:rPr>
                <w:rFonts w:cs="Arial"/>
                <w:color w:val="000000"/>
                <w:sz w:val="14"/>
                <w:szCs w:val="16"/>
                <w:lang w:val="en-GB"/>
              </w:rPr>
              <w:t xml:space="preserve">; exceptions — </w:t>
            </w:r>
            <w:hyperlink r:id="rId759" w:history="1">
              <w:r w:rsidRPr="00A33F75">
                <w:rPr>
                  <w:rStyle w:val="Hyperlink"/>
                  <w:rFonts w:cs="Arial"/>
                  <w:sz w:val="14"/>
                  <w:szCs w:val="16"/>
                  <w:lang w:val="en-GB"/>
                </w:rPr>
                <w:t>s35</w:t>
              </w:r>
            </w:hyperlink>
          </w:p>
        </w:tc>
        <w:tc>
          <w:tcPr>
            <w:tcW w:w="369" w:type="pct"/>
            <w:tcMar>
              <w:top w:w="80" w:type="dxa"/>
              <w:left w:w="80" w:type="dxa"/>
              <w:bottom w:w="80" w:type="dxa"/>
              <w:right w:w="80" w:type="dxa"/>
            </w:tcMar>
          </w:tcPr>
          <w:p w14:paraId="67383E38" w14:textId="5EEFDD58" w:rsidR="00AC5AB6" w:rsidRPr="00AC5AB6" w:rsidRDefault="00854AFF" w:rsidP="009146AE">
            <w:pPr>
              <w:spacing w:after="60" w:line="276" w:lineRule="auto"/>
              <w:rPr>
                <w:rFonts w:cs="Arial"/>
                <w:color w:val="000000"/>
                <w:sz w:val="14"/>
                <w:szCs w:val="16"/>
                <w:lang w:val="en-GB"/>
              </w:rPr>
            </w:pPr>
            <w:r>
              <w:rPr>
                <w:rFonts w:cs="Arial"/>
                <w:color w:val="000000"/>
                <w:sz w:val="14"/>
                <w:szCs w:val="16"/>
                <w:lang w:val="en-GB"/>
              </w:rPr>
              <w:t xml:space="preserve">Yes — </w:t>
            </w:r>
            <w:hyperlink r:id="rId760" w:history="1">
              <w:r w:rsidRPr="00753875">
                <w:rPr>
                  <w:rStyle w:val="Hyperlink"/>
                  <w:rFonts w:cs="Arial"/>
                  <w:sz w:val="14"/>
                  <w:szCs w:val="16"/>
                  <w:lang w:val="en-GB"/>
                </w:rPr>
                <w:t>s28(1)(a)</w:t>
              </w:r>
            </w:hyperlink>
          </w:p>
        </w:tc>
      </w:tr>
      <w:tr w:rsidR="00AC5AB6" w:rsidRPr="00AC5AB6" w14:paraId="42F714E9" w14:textId="77777777" w:rsidTr="008737E6">
        <w:tc>
          <w:tcPr>
            <w:tcW w:w="413" w:type="pct"/>
            <w:shd w:val="clear" w:color="auto" w:fill="FFC9C9"/>
            <w:tcMar>
              <w:top w:w="80" w:type="dxa"/>
              <w:left w:w="80" w:type="dxa"/>
              <w:bottom w:w="80" w:type="dxa"/>
              <w:right w:w="80" w:type="dxa"/>
            </w:tcMar>
          </w:tcPr>
          <w:p w14:paraId="6D891E40"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lastRenderedPageBreak/>
              <w:t>Breaks — onsite</w:t>
            </w:r>
          </w:p>
        </w:tc>
        <w:tc>
          <w:tcPr>
            <w:tcW w:w="509" w:type="pct"/>
            <w:shd w:val="clear" w:color="auto" w:fill="FFC9C9"/>
            <w:tcMar>
              <w:top w:w="80" w:type="dxa"/>
              <w:left w:w="80" w:type="dxa"/>
              <w:bottom w:w="80" w:type="dxa"/>
              <w:right w:w="80" w:type="dxa"/>
            </w:tcMar>
          </w:tcPr>
          <w:p w14:paraId="405A6F37" w14:textId="0C812516" w:rsidR="00AC5AB6" w:rsidRPr="00AC5AB6" w:rsidRDefault="002239E9" w:rsidP="009146AE">
            <w:pPr>
              <w:spacing w:after="60" w:line="276" w:lineRule="auto"/>
              <w:rPr>
                <w:rFonts w:cs="Arial"/>
                <w:color w:val="000000"/>
                <w:sz w:val="14"/>
                <w:szCs w:val="16"/>
                <w:lang w:val="en-GB"/>
              </w:rPr>
            </w:pPr>
            <w:r>
              <w:rPr>
                <w:rFonts w:cs="Arial"/>
                <w:color w:val="000000"/>
                <w:sz w:val="14"/>
                <w:szCs w:val="16"/>
              </w:rPr>
              <w:t xml:space="preserve">Yes — </w:t>
            </w:r>
            <w:hyperlink r:id="rId761" w:history="1">
              <w:r w:rsidRPr="0008404D">
                <w:rPr>
                  <w:rStyle w:val="Hyperlink"/>
                  <w:rFonts w:cs="Arial"/>
                  <w:sz w:val="14"/>
                  <w:szCs w:val="16"/>
                </w:rPr>
                <w:t>s11</w:t>
              </w:r>
            </w:hyperlink>
            <w:r>
              <w:rPr>
                <w:rFonts w:cs="Arial"/>
                <w:color w:val="000000"/>
                <w:sz w:val="14"/>
                <w:szCs w:val="16"/>
              </w:rPr>
              <w:t>, 1987 Act</w:t>
            </w:r>
          </w:p>
        </w:tc>
        <w:tc>
          <w:tcPr>
            <w:tcW w:w="371" w:type="pct"/>
            <w:shd w:val="clear" w:color="auto" w:fill="FFC9C9"/>
            <w:tcMar>
              <w:top w:w="80" w:type="dxa"/>
              <w:left w:w="80" w:type="dxa"/>
              <w:bottom w:w="80" w:type="dxa"/>
              <w:right w:w="80" w:type="dxa"/>
            </w:tcMar>
          </w:tcPr>
          <w:p w14:paraId="68697575" w14:textId="05EAA90C"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62" w:history="1">
              <w:r w:rsidRPr="0008404D">
                <w:rPr>
                  <w:rStyle w:val="Hyperlink"/>
                  <w:rFonts w:cs="Arial"/>
                  <w:sz w:val="14"/>
                  <w:szCs w:val="16"/>
                  <w:lang w:val="en-GB"/>
                </w:rPr>
                <w:t>s46</w:t>
              </w:r>
            </w:hyperlink>
          </w:p>
        </w:tc>
        <w:tc>
          <w:tcPr>
            <w:tcW w:w="371" w:type="pct"/>
            <w:shd w:val="clear" w:color="auto" w:fill="FFC9C9"/>
            <w:tcMar>
              <w:top w:w="80" w:type="dxa"/>
              <w:left w:w="80" w:type="dxa"/>
              <w:bottom w:w="80" w:type="dxa"/>
              <w:right w:w="80" w:type="dxa"/>
            </w:tcMar>
          </w:tcPr>
          <w:p w14:paraId="30CBF999" w14:textId="54ECF87D"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63" w:anchor="sec.34" w:history="1">
              <w:r w:rsidRPr="0008404D">
                <w:rPr>
                  <w:rStyle w:val="Hyperlink"/>
                  <w:rFonts w:cs="Arial"/>
                  <w:sz w:val="14"/>
                  <w:szCs w:val="16"/>
                  <w:lang w:val="en-GB"/>
                </w:rPr>
                <w:t>s34(1)(c)</w:t>
              </w:r>
            </w:hyperlink>
          </w:p>
        </w:tc>
        <w:tc>
          <w:tcPr>
            <w:tcW w:w="371" w:type="pct"/>
            <w:shd w:val="clear" w:color="auto" w:fill="FFC9C9"/>
            <w:tcMar>
              <w:top w:w="80" w:type="dxa"/>
              <w:left w:w="80" w:type="dxa"/>
              <w:bottom w:w="80" w:type="dxa"/>
              <w:right w:w="80" w:type="dxa"/>
            </w:tcMar>
          </w:tcPr>
          <w:p w14:paraId="1C33323C" w14:textId="4BA7ACBD"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Yes</w:t>
            </w:r>
          </w:p>
        </w:tc>
        <w:tc>
          <w:tcPr>
            <w:tcW w:w="371" w:type="pct"/>
            <w:shd w:val="clear" w:color="auto" w:fill="FFC9C9"/>
            <w:tcMar>
              <w:top w:w="80" w:type="dxa"/>
              <w:left w:w="80" w:type="dxa"/>
              <w:bottom w:w="80" w:type="dxa"/>
              <w:right w:w="80" w:type="dxa"/>
            </w:tcMar>
          </w:tcPr>
          <w:p w14:paraId="731ADE7E" w14:textId="26A88816"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if the break is authorised — </w:t>
            </w:r>
            <w:hyperlink r:id="rId764" w:history="1">
              <w:r w:rsidRPr="00AC5AB6">
                <w:rPr>
                  <w:rFonts w:cs="Arial"/>
                  <w:color w:val="0000FF"/>
                  <w:sz w:val="14"/>
                  <w:szCs w:val="16"/>
                  <w:u w:val="single"/>
                </w:rPr>
                <w:t>s7(5)</w:t>
              </w:r>
            </w:hyperlink>
            <w:r w:rsidRPr="00AC5AB6">
              <w:rPr>
                <w:rFonts w:cs="Arial"/>
                <w:color w:val="000000"/>
                <w:sz w:val="14"/>
                <w:szCs w:val="16"/>
              </w:rPr>
              <w:t>(b)</w:t>
            </w:r>
          </w:p>
        </w:tc>
        <w:tc>
          <w:tcPr>
            <w:tcW w:w="371" w:type="pct"/>
            <w:shd w:val="clear" w:color="auto" w:fill="FFC9C9"/>
            <w:tcMar>
              <w:top w:w="80" w:type="dxa"/>
              <w:left w:w="80" w:type="dxa"/>
              <w:bottom w:w="80" w:type="dxa"/>
              <w:right w:w="80" w:type="dxa"/>
            </w:tcMar>
          </w:tcPr>
          <w:p w14:paraId="68D6788A" w14:textId="3FE4E804"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65" w:history="1">
              <w:r w:rsidRPr="0008404D">
                <w:rPr>
                  <w:rStyle w:val="Hyperlink"/>
                  <w:rFonts w:cs="Arial"/>
                  <w:sz w:val="14"/>
                  <w:szCs w:val="16"/>
                  <w:lang w:val="en-GB"/>
                </w:rPr>
                <w:t>s25(6)</w:t>
              </w:r>
            </w:hyperlink>
          </w:p>
        </w:tc>
        <w:tc>
          <w:tcPr>
            <w:tcW w:w="371" w:type="pct"/>
            <w:shd w:val="clear" w:color="auto" w:fill="FFC9C9"/>
            <w:tcMar>
              <w:top w:w="80" w:type="dxa"/>
              <w:left w:w="80" w:type="dxa"/>
              <w:bottom w:w="80" w:type="dxa"/>
              <w:right w:w="80" w:type="dxa"/>
            </w:tcMar>
          </w:tcPr>
          <w:p w14:paraId="06DB2E36" w14:textId="2DD8E94C"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66" w:history="1">
              <w:r w:rsidR="0008404D" w:rsidRPr="0008404D">
                <w:rPr>
                  <w:rStyle w:val="Hyperlink"/>
                  <w:rFonts w:cs="Arial"/>
                  <w:sz w:val="14"/>
                  <w:szCs w:val="16"/>
                  <w:lang w:val="en-GB"/>
                </w:rPr>
                <w:t>s4</w:t>
              </w:r>
            </w:hyperlink>
          </w:p>
        </w:tc>
        <w:tc>
          <w:tcPr>
            <w:tcW w:w="371" w:type="pct"/>
            <w:shd w:val="clear" w:color="auto" w:fill="FFC9C9"/>
            <w:tcMar>
              <w:top w:w="80" w:type="dxa"/>
              <w:left w:w="80" w:type="dxa"/>
              <w:bottom w:w="80" w:type="dxa"/>
              <w:right w:w="80" w:type="dxa"/>
            </w:tcMar>
          </w:tcPr>
          <w:p w14:paraId="21888C8F" w14:textId="4EA031CB" w:rsidR="00AC5AB6" w:rsidRPr="00AC5AB6" w:rsidRDefault="002239E9" w:rsidP="009146AE">
            <w:pPr>
              <w:spacing w:after="60" w:line="276" w:lineRule="auto"/>
              <w:rPr>
                <w:rFonts w:cs="Arial"/>
                <w:color w:val="000000"/>
                <w:sz w:val="14"/>
                <w:szCs w:val="16"/>
                <w:lang w:val="en-GB"/>
              </w:rPr>
            </w:pPr>
            <w:r>
              <w:rPr>
                <w:rFonts w:cs="Arial"/>
                <w:color w:val="000000"/>
                <w:sz w:val="14"/>
                <w:szCs w:val="16"/>
                <w:lang w:val="en-GB"/>
              </w:rPr>
              <w:t>No reference</w:t>
            </w:r>
          </w:p>
        </w:tc>
        <w:tc>
          <w:tcPr>
            <w:tcW w:w="371" w:type="pct"/>
            <w:shd w:val="clear" w:color="auto" w:fill="FFC9C9"/>
            <w:tcMar>
              <w:top w:w="80" w:type="dxa"/>
              <w:left w:w="80" w:type="dxa"/>
              <w:bottom w:w="80" w:type="dxa"/>
              <w:right w:w="80" w:type="dxa"/>
            </w:tcMar>
          </w:tcPr>
          <w:p w14:paraId="0E85139B" w14:textId="065F7937"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67" w:history="1">
              <w:r w:rsidRPr="00FC0C3B">
                <w:rPr>
                  <w:rStyle w:val="Hyperlink"/>
                  <w:rFonts w:cs="Arial"/>
                  <w:sz w:val="14"/>
                  <w:szCs w:val="16"/>
                  <w:lang w:val="en-GB"/>
                </w:rPr>
                <w:t>s6(1)(b)</w:t>
              </w:r>
            </w:hyperlink>
          </w:p>
        </w:tc>
        <w:tc>
          <w:tcPr>
            <w:tcW w:w="371" w:type="pct"/>
            <w:shd w:val="clear" w:color="auto" w:fill="FFC9C9"/>
            <w:tcMar>
              <w:top w:w="80" w:type="dxa"/>
              <w:left w:w="80" w:type="dxa"/>
              <w:bottom w:w="80" w:type="dxa"/>
              <w:right w:w="80" w:type="dxa"/>
            </w:tcMar>
          </w:tcPr>
          <w:p w14:paraId="224DE9FE" w14:textId="7D466C97"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68" w:history="1">
              <w:r w:rsidRPr="00A33F75">
                <w:rPr>
                  <w:rStyle w:val="Hyperlink"/>
                  <w:rFonts w:cs="Arial"/>
                  <w:sz w:val="14"/>
                  <w:szCs w:val="16"/>
                  <w:lang w:val="en-GB"/>
                </w:rPr>
                <w:t>s9(2)(b)</w:t>
              </w:r>
            </w:hyperlink>
          </w:p>
        </w:tc>
        <w:tc>
          <w:tcPr>
            <w:tcW w:w="371" w:type="pct"/>
            <w:shd w:val="clear" w:color="auto" w:fill="FFC9C9"/>
            <w:tcMar>
              <w:top w:w="80" w:type="dxa"/>
              <w:left w:w="80" w:type="dxa"/>
              <w:bottom w:w="80" w:type="dxa"/>
              <w:right w:w="80" w:type="dxa"/>
            </w:tcMar>
          </w:tcPr>
          <w:p w14:paraId="22167018" w14:textId="42414601" w:rsidR="00AC5AB6" w:rsidRPr="00AC5AB6" w:rsidRDefault="0080500C"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69" w:history="1">
              <w:r w:rsidRPr="00A33F75">
                <w:rPr>
                  <w:rStyle w:val="Hyperlink"/>
                  <w:rFonts w:cs="Arial"/>
                  <w:sz w:val="14"/>
                  <w:szCs w:val="16"/>
                  <w:lang w:val="en-GB"/>
                </w:rPr>
                <w:t>s27</w:t>
              </w:r>
            </w:hyperlink>
          </w:p>
        </w:tc>
        <w:tc>
          <w:tcPr>
            <w:tcW w:w="369" w:type="pct"/>
            <w:shd w:val="clear" w:color="auto" w:fill="FFC9C9"/>
            <w:tcMar>
              <w:top w:w="80" w:type="dxa"/>
              <w:left w:w="80" w:type="dxa"/>
              <w:bottom w:w="80" w:type="dxa"/>
              <w:right w:w="80" w:type="dxa"/>
            </w:tcMar>
          </w:tcPr>
          <w:p w14:paraId="51D712BF" w14:textId="59D8A65B"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70" w:history="1">
              <w:r w:rsidRPr="00753875">
                <w:rPr>
                  <w:rStyle w:val="Hyperlink"/>
                  <w:rFonts w:cs="Arial"/>
                  <w:sz w:val="14"/>
                  <w:szCs w:val="16"/>
                  <w:lang w:val="en-GB"/>
                </w:rPr>
                <w:t>s28(1)(b)</w:t>
              </w:r>
            </w:hyperlink>
          </w:p>
        </w:tc>
      </w:tr>
      <w:tr w:rsidR="00AC5AB6" w:rsidRPr="00AC5AB6" w14:paraId="473CFD03" w14:textId="77777777" w:rsidTr="008737E6">
        <w:tc>
          <w:tcPr>
            <w:tcW w:w="413" w:type="pct"/>
            <w:tcMar>
              <w:top w:w="80" w:type="dxa"/>
              <w:left w:w="80" w:type="dxa"/>
              <w:bottom w:w="80" w:type="dxa"/>
              <w:right w:w="80" w:type="dxa"/>
            </w:tcMar>
          </w:tcPr>
          <w:p w14:paraId="1BE9FB39"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Breaks — offsite</w:t>
            </w:r>
          </w:p>
        </w:tc>
        <w:tc>
          <w:tcPr>
            <w:tcW w:w="509" w:type="pct"/>
            <w:tcMar>
              <w:top w:w="80" w:type="dxa"/>
              <w:left w:w="80" w:type="dxa"/>
              <w:bottom w:w="80" w:type="dxa"/>
              <w:right w:w="80" w:type="dxa"/>
            </w:tcMar>
          </w:tcPr>
          <w:p w14:paraId="7A57859B" w14:textId="431EFF75" w:rsidR="00AC5AB6" w:rsidRPr="00AC5AB6" w:rsidRDefault="002239E9" w:rsidP="009146AE">
            <w:pPr>
              <w:spacing w:after="60" w:line="276" w:lineRule="auto"/>
              <w:rPr>
                <w:rFonts w:cs="Arial"/>
                <w:color w:val="000000"/>
                <w:sz w:val="14"/>
                <w:szCs w:val="16"/>
                <w:lang w:val="en-GB"/>
              </w:rPr>
            </w:pPr>
            <w:r>
              <w:rPr>
                <w:rFonts w:cs="Arial"/>
                <w:color w:val="000000"/>
                <w:sz w:val="14"/>
                <w:szCs w:val="16"/>
              </w:rPr>
              <w:t xml:space="preserve">Yes — </w:t>
            </w:r>
            <w:hyperlink r:id="rId771" w:history="1">
              <w:r w:rsidRPr="0008404D">
                <w:rPr>
                  <w:rStyle w:val="Hyperlink"/>
                  <w:rFonts w:cs="Arial"/>
                  <w:sz w:val="14"/>
                  <w:szCs w:val="16"/>
                </w:rPr>
                <w:t>s11</w:t>
              </w:r>
            </w:hyperlink>
            <w:r>
              <w:rPr>
                <w:rFonts w:cs="Arial"/>
                <w:color w:val="000000"/>
                <w:sz w:val="14"/>
                <w:szCs w:val="16"/>
              </w:rPr>
              <w:t>, 1987 Act</w:t>
            </w:r>
          </w:p>
        </w:tc>
        <w:tc>
          <w:tcPr>
            <w:tcW w:w="371" w:type="pct"/>
            <w:tcMar>
              <w:top w:w="80" w:type="dxa"/>
              <w:left w:w="80" w:type="dxa"/>
              <w:bottom w:w="80" w:type="dxa"/>
              <w:right w:w="80" w:type="dxa"/>
            </w:tcMar>
          </w:tcPr>
          <w:p w14:paraId="0AAD8B97" w14:textId="62F63BBB"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72" w:history="1">
              <w:r w:rsidRPr="0008404D">
                <w:rPr>
                  <w:rStyle w:val="Hyperlink"/>
                  <w:rFonts w:cs="Arial"/>
                  <w:sz w:val="14"/>
                  <w:szCs w:val="16"/>
                  <w:lang w:val="en-GB"/>
                </w:rPr>
                <w:t>s46</w:t>
              </w:r>
            </w:hyperlink>
          </w:p>
        </w:tc>
        <w:tc>
          <w:tcPr>
            <w:tcW w:w="371" w:type="pct"/>
            <w:tcMar>
              <w:top w:w="80" w:type="dxa"/>
              <w:left w:w="80" w:type="dxa"/>
              <w:bottom w:w="80" w:type="dxa"/>
              <w:right w:w="80" w:type="dxa"/>
            </w:tcMar>
          </w:tcPr>
          <w:p w14:paraId="3ED0D222" w14:textId="0CFA573A"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73" w:anchor="sec.34" w:history="1">
              <w:r w:rsidRPr="0008404D">
                <w:rPr>
                  <w:rStyle w:val="Hyperlink"/>
                  <w:rFonts w:cs="Arial"/>
                  <w:sz w:val="14"/>
                  <w:szCs w:val="16"/>
                  <w:lang w:val="en-GB"/>
                </w:rPr>
                <w:t>s34(1)(c)</w:t>
              </w:r>
            </w:hyperlink>
          </w:p>
        </w:tc>
        <w:tc>
          <w:tcPr>
            <w:tcW w:w="371" w:type="pct"/>
            <w:tcMar>
              <w:top w:w="80" w:type="dxa"/>
              <w:left w:w="80" w:type="dxa"/>
              <w:bottom w:w="80" w:type="dxa"/>
              <w:right w:w="80" w:type="dxa"/>
            </w:tcMar>
          </w:tcPr>
          <w:p w14:paraId="6C1A379E" w14:textId="38046D48"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No reference in the Act. Coverage depends on factual circumstanc</w:t>
            </w:r>
            <w:r w:rsidR="002239E9">
              <w:rPr>
                <w:rFonts w:cs="Arial"/>
                <w:color w:val="000000"/>
                <w:sz w:val="14"/>
                <w:szCs w:val="16"/>
                <w:lang w:val="en-GB"/>
              </w:rPr>
              <w:t>es or common law</w:t>
            </w:r>
          </w:p>
        </w:tc>
        <w:tc>
          <w:tcPr>
            <w:tcW w:w="371" w:type="pct"/>
            <w:tcMar>
              <w:top w:w="80" w:type="dxa"/>
              <w:left w:w="80" w:type="dxa"/>
              <w:bottom w:w="80" w:type="dxa"/>
              <w:right w:w="80" w:type="dxa"/>
            </w:tcMar>
          </w:tcPr>
          <w:p w14:paraId="44D49D5D" w14:textId="23295E24"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No</w:t>
            </w:r>
          </w:p>
        </w:tc>
        <w:tc>
          <w:tcPr>
            <w:tcW w:w="371" w:type="pct"/>
            <w:tcMar>
              <w:top w:w="80" w:type="dxa"/>
              <w:left w:w="80" w:type="dxa"/>
              <w:bottom w:w="80" w:type="dxa"/>
              <w:right w:w="80" w:type="dxa"/>
            </w:tcMar>
          </w:tcPr>
          <w:p w14:paraId="2BA5C118" w14:textId="6A1AE3D1"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No, some exceptions — </w:t>
            </w:r>
            <w:hyperlink r:id="rId774" w:history="1">
              <w:r w:rsidRPr="0008404D">
                <w:rPr>
                  <w:rStyle w:val="Hyperlink"/>
                  <w:rFonts w:cs="Arial"/>
                  <w:sz w:val="14"/>
                  <w:szCs w:val="16"/>
                  <w:lang w:val="en-GB"/>
                </w:rPr>
                <w:t>s25(6)</w:t>
              </w:r>
            </w:hyperlink>
          </w:p>
        </w:tc>
        <w:tc>
          <w:tcPr>
            <w:tcW w:w="371" w:type="pct"/>
            <w:tcMar>
              <w:top w:w="80" w:type="dxa"/>
              <w:left w:w="80" w:type="dxa"/>
              <w:bottom w:w="80" w:type="dxa"/>
              <w:right w:w="80" w:type="dxa"/>
            </w:tcMar>
          </w:tcPr>
          <w:p w14:paraId="10ED7410" w14:textId="2FB6EF7C"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75" w:history="1">
              <w:r w:rsidR="0008404D" w:rsidRPr="0008404D">
                <w:rPr>
                  <w:rStyle w:val="Hyperlink"/>
                  <w:rFonts w:cs="Arial"/>
                  <w:sz w:val="14"/>
                  <w:szCs w:val="16"/>
                  <w:lang w:val="en-GB"/>
                </w:rPr>
                <w:t>s4</w:t>
              </w:r>
            </w:hyperlink>
          </w:p>
          <w:p w14:paraId="008A4216" w14:textId="2F0EFA76"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Some exceptions – injuries from MVA</w:t>
            </w:r>
          </w:p>
        </w:tc>
        <w:tc>
          <w:tcPr>
            <w:tcW w:w="371" w:type="pct"/>
            <w:tcMar>
              <w:top w:w="80" w:type="dxa"/>
              <w:left w:w="80" w:type="dxa"/>
              <w:bottom w:w="80" w:type="dxa"/>
              <w:right w:w="80" w:type="dxa"/>
            </w:tcMar>
          </w:tcPr>
          <w:p w14:paraId="53160947" w14:textId="02291EE8" w:rsidR="00AC5AB6" w:rsidRPr="00AC5AB6" w:rsidRDefault="002239E9" w:rsidP="009146AE">
            <w:pPr>
              <w:spacing w:after="60" w:line="276" w:lineRule="auto"/>
              <w:rPr>
                <w:rFonts w:cs="Arial"/>
                <w:color w:val="000000"/>
                <w:sz w:val="14"/>
                <w:szCs w:val="16"/>
                <w:lang w:val="en-GB"/>
              </w:rPr>
            </w:pPr>
            <w:r>
              <w:rPr>
                <w:rFonts w:cs="Arial"/>
                <w:color w:val="000000"/>
                <w:sz w:val="14"/>
                <w:szCs w:val="16"/>
                <w:lang w:val="en-GB"/>
              </w:rPr>
              <w:t>No reference</w:t>
            </w:r>
          </w:p>
        </w:tc>
        <w:tc>
          <w:tcPr>
            <w:tcW w:w="371" w:type="pct"/>
            <w:tcMar>
              <w:top w:w="80" w:type="dxa"/>
              <w:left w:w="80" w:type="dxa"/>
              <w:bottom w:w="80" w:type="dxa"/>
              <w:right w:w="80" w:type="dxa"/>
            </w:tcMar>
          </w:tcPr>
          <w:p w14:paraId="0F6EC6FB" w14:textId="2DA47E3D" w:rsidR="00AC5AB6" w:rsidRPr="00AC5AB6" w:rsidRDefault="002239E9" w:rsidP="009146AE">
            <w:pPr>
              <w:spacing w:after="60" w:line="276" w:lineRule="auto"/>
              <w:rPr>
                <w:rFonts w:cs="Arial"/>
                <w:color w:val="000000"/>
                <w:sz w:val="14"/>
                <w:szCs w:val="16"/>
                <w:lang w:val="en-GB"/>
              </w:rPr>
            </w:pPr>
            <w:r>
              <w:rPr>
                <w:rFonts w:cs="Arial"/>
                <w:color w:val="000000"/>
                <w:sz w:val="14"/>
                <w:szCs w:val="16"/>
                <w:lang w:val="en-GB"/>
              </w:rPr>
              <w:t>Yes — ordinary recesses</w:t>
            </w:r>
            <w:r w:rsidR="005E1DF3">
              <w:rPr>
                <w:rFonts w:cs="Arial"/>
                <w:color w:val="000000"/>
                <w:sz w:val="14"/>
                <w:szCs w:val="16"/>
                <w:lang w:val="en-GB"/>
              </w:rPr>
              <w:t xml:space="preserve"> </w:t>
            </w:r>
            <w:hyperlink r:id="rId776" w:history="1">
              <w:r w:rsidR="005E1DF3" w:rsidRPr="00FC0C3B">
                <w:rPr>
                  <w:rStyle w:val="Hyperlink"/>
                  <w:rFonts w:cs="Arial"/>
                  <w:sz w:val="14"/>
                  <w:szCs w:val="16"/>
                  <w:lang w:val="en-GB"/>
                </w:rPr>
                <w:t>s6(1)(b)</w:t>
              </w:r>
            </w:hyperlink>
          </w:p>
        </w:tc>
        <w:tc>
          <w:tcPr>
            <w:tcW w:w="371" w:type="pct"/>
            <w:tcMar>
              <w:top w:w="80" w:type="dxa"/>
              <w:left w:w="80" w:type="dxa"/>
              <w:bottom w:w="80" w:type="dxa"/>
              <w:right w:w="80" w:type="dxa"/>
            </w:tcMar>
          </w:tcPr>
          <w:p w14:paraId="27D4567D" w14:textId="11B5C466" w:rsidR="00AC5AB6" w:rsidRPr="00AC5AB6" w:rsidRDefault="00AC5AB6"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77" w:history="1">
              <w:r w:rsidRPr="00A33F75">
                <w:rPr>
                  <w:rStyle w:val="Hyperlink"/>
                  <w:rFonts w:cs="Arial"/>
                  <w:sz w:val="14"/>
                  <w:szCs w:val="16"/>
                  <w:lang w:val="en-GB"/>
                </w:rPr>
                <w:t>s9(2)(b)</w:t>
              </w:r>
            </w:hyperlink>
          </w:p>
        </w:tc>
        <w:tc>
          <w:tcPr>
            <w:tcW w:w="371" w:type="pct"/>
            <w:tcMar>
              <w:top w:w="80" w:type="dxa"/>
              <w:left w:w="80" w:type="dxa"/>
              <w:bottom w:w="80" w:type="dxa"/>
              <w:right w:w="80" w:type="dxa"/>
            </w:tcMar>
          </w:tcPr>
          <w:p w14:paraId="1806C1F2" w14:textId="1CDA7AB4" w:rsidR="00AC5AB6" w:rsidRPr="00AC5AB6" w:rsidRDefault="0080500C" w:rsidP="009146AE">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78" w:history="1">
              <w:r w:rsidRPr="00A33F75">
                <w:rPr>
                  <w:rStyle w:val="Hyperlink"/>
                  <w:rFonts w:cs="Arial"/>
                  <w:sz w:val="14"/>
                  <w:szCs w:val="16"/>
                  <w:lang w:val="en-GB"/>
                </w:rPr>
                <w:t>s27</w:t>
              </w:r>
            </w:hyperlink>
          </w:p>
        </w:tc>
        <w:tc>
          <w:tcPr>
            <w:tcW w:w="369" w:type="pct"/>
            <w:tcMar>
              <w:top w:w="80" w:type="dxa"/>
              <w:left w:w="80" w:type="dxa"/>
              <w:bottom w:w="80" w:type="dxa"/>
              <w:right w:w="80" w:type="dxa"/>
            </w:tcMar>
          </w:tcPr>
          <w:p w14:paraId="185D1D62" w14:textId="7B9ACCE9" w:rsidR="00AC5AB6" w:rsidRPr="00AC5AB6" w:rsidRDefault="002239E9" w:rsidP="009146AE">
            <w:pPr>
              <w:spacing w:after="60" w:line="276" w:lineRule="auto"/>
              <w:rPr>
                <w:rFonts w:cs="Arial"/>
                <w:color w:val="000000"/>
                <w:sz w:val="14"/>
                <w:szCs w:val="16"/>
                <w:lang w:val="en-GB"/>
              </w:rPr>
            </w:pPr>
            <w:r>
              <w:rPr>
                <w:rFonts w:cs="Arial"/>
                <w:color w:val="000000"/>
                <w:sz w:val="14"/>
                <w:szCs w:val="16"/>
                <w:lang w:val="en-GB"/>
              </w:rPr>
              <w:t>Yes, some restrictions</w:t>
            </w:r>
          </w:p>
        </w:tc>
      </w:tr>
      <w:bookmarkEnd w:id="101"/>
    </w:tbl>
    <w:p w14:paraId="200A27DE" w14:textId="428BFDDB" w:rsidR="00C66972" w:rsidRPr="00C66972" w:rsidRDefault="00C66972" w:rsidP="00C66972">
      <w:pPr>
        <w:spacing w:after="200" w:line="276" w:lineRule="auto"/>
        <w:rPr>
          <w:rFonts w:eastAsiaTheme="minorHAnsi"/>
        </w:rPr>
      </w:pPr>
    </w:p>
    <w:p w14:paraId="40A845D1" w14:textId="66568D5D" w:rsidR="00AC5AB6" w:rsidRPr="00A80282" w:rsidRDefault="00AC5AB6" w:rsidP="00A80282">
      <w:pPr>
        <w:pStyle w:val="SWATableheader"/>
      </w:pPr>
      <w:bookmarkStart w:id="102" w:name="_Toc504654665"/>
      <w:bookmarkStart w:id="103" w:name="injury"/>
      <w:r w:rsidRPr="00A80282">
        <w:lastRenderedPageBreak/>
        <w:t>Table 3.9: Definition of injury and relationship to employment — detailed</w:t>
      </w:r>
      <w:bookmarkEnd w:id="102"/>
      <w:r w:rsidRPr="00A80282">
        <w:t xml:space="preserve"> </w:t>
      </w:r>
      <w:r w:rsidR="0025506E" w:rsidRPr="00A80282">
        <w:fldChar w:fldCharType="begin"/>
      </w:r>
      <w:r w:rsidR="0025506E" w:rsidRPr="00A80282">
        <w:instrText xml:space="preserve"> XE "employment as a contributing factor to injury" \r "injury" </w:instrText>
      </w:r>
      <w:r w:rsidR="0025506E"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9: Definition of injury and relationship to employment — detailed"/>
        <w:tblDescription w:val="This table provides information on the definition of injury and the relationship to employment under the workers' compensation schemes. "/>
      </w:tblPr>
      <w:tblGrid>
        <w:gridCol w:w="1626"/>
        <w:gridCol w:w="6974"/>
        <w:gridCol w:w="6975"/>
      </w:tblGrid>
      <w:tr w:rsidR="00AC5AB6" w:rsidRPr="008A5C2E" w14:paraId="00A05FAD" w14:textId="77777777" w:rsidTr="00FB729B">
        <w:trPr>
          <w:tblHeader/>
        </w:trPr>
        <w:tc>
          <w:tcPr>
            <w:tcW w:w="1626" w:type="dxa"/>
            <w:shd w:val="clear" w:color="auto" w:fill="C00000"/>
            <w:tcMar>
              <w:top w:w="0" w:type="dxa"/>
              <w:left w:w="0" w:type="dxa"/>
              <w:bottom w:w="0" w:type="dxa"/>
              <w:right w:w="0" w:type="dxa"/>
            </w:tcMar>
            <w:vAlign w:val="center"/>
          </w:tcPr>
          <w:p w14:paraId="128B386C" w14:textId="77777777" w:rsidR="00AC5AB6" w:rsidRPr="008A5C2E" w:rsidRDefault="00AC5AB6" w:rsidP="009146AE">
            <w:pPr>
              <w:pStyle w:val="Tableheaderrow"/>
              <w:spacing w:after="60"/>
            </w:pPr>
          </w:p>
        </w:tc>
        <w:tc>
          <w:tcPr>
            <w:tcW w:w="6974" w:type="dxa"/>
            <w:shd w:val="clear" w:color="auto" w:fill="C00000"/>
            <w:tcMar>
              <w:top w:w="0" w:type="dxa"/>
              <w:left w:w="0" w:type="dxa"/>
              <w:bottom w:w="0" w:type="dxa"/>
              <w:right w:w="0" w:type="dxa"/>
            </w:tcMar>
            <w:vAlign w:val="center"/>
          </w:tcPr>
          <w:p w14:paraId="02004461" w14:textId="4382F6A6" w:rsidR="00AC5AB6" w:rsidRPr="008A5C2E" w:rsidRDefault="00AC5AB6" w:rsidP="009146AE">
            <w:pPr>
              <w:pStyle w:val="Tableheaderrow"/>
              <w:spacing w:after="60"/>
            </w:pPr>
            <w:r w:rsidRPr="008A5C2E">
              <w:t>Definition of injury and relationship to employment</w:t>
            </w:r>
            <w:r w:rsidR="00184441">
              <w:fldChar w:fldCharType="begin"/>
            </w:r>
            <w:r w:rsidR="00184441">
              <w:instrText xml:space="preserve"> XE "</w:instrText>
            </w:r>
            <w:r w:rsidR="00184441" w:rsidRPr="0020549C">
              <w:instrText>coverage of workers:definition of injury and relationship to employment</w:instrText>
            </w:r>
            <w:r w:rsidR="00184441">
              <w:instrText xml:space="preserve">" \r "injury" </w:instrText>
            </w:r>
            <w:r w:rsidR="00184441">
              <w:fldChar w:fldCharType="end"/>
            </w:r>
          </w:p>
        </w:tc>
        <w:tc>
          <w:tcPr>
            <w:tcW w:w="6975" w:type="dxa"/>
            <w:shd w:val="clear" w:color="auto" w:fill="C00000"/>
            <w:tcMar>
              <w:top w:w="0" w:type="dxa"/>
              <w:left w:w="0" w:type="dxa"/>
              <w:bottom w:w="0" w:type="dxa"/>
              <w:right w:w="0" w:type="dxa"/>
            </w:tcMar>
            <w:vAlign w:val="center"/>
          </w:tcPr>
          <w:p w14:paraId="5F4BF91B" w14:textId="77777777" w:rsidR="00AC5AB6" w:rsidRPr="008A5C2E" w:rsidRDefault="00AC5AB6" w:rsidP="009146AE">
            <w:pPr>
              <w:pStyle w:val="Tableheaderrow"/>
              <w:spacing w:after="60"/>
            </w:pPr>
            <w:r w:rsidRPr="008A5C2E">
              <w:t>Contribution of employment</w:t>
            </w:r>
          </w:p>
        </w:tc>
      </w:tr>
      <w:tr w:rsidR="00AC5AB6" w:rsidRPr="00AC5AB6" w14:paraId="08F6F41D" w14:textId="77777777" w:rsidTr="00FB729B">
        <w:tc>
          <w:tcPr>
            <w:tcW w:w="1626" w:type="dxa"/>
            <w:shd w:val="clear" w:color="auto" w:fill="FFC9C9"/>
            <w:tcMar>
              <w:top w:w="80" w:type="dxa"/>
              <w:left w:w="80" w:type="dxa"/>
              <w:bottom w:w="80" w:type="dxa"/>
              <w:right w:w="80" w:type="dxa"/>
            </w:tcMar>
          </w:tcPr>
          <w:p w14:paraId="23831251"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New South Wales</w:t>
            </w:r>
          </w:p>
        </w:tc>
        <w:tc>
          <w:tcPr>
            <w:tcW w:w="6974" w:type="dxa"/>
            <w:shd w:val="clear" w:color="auto" w:fill="FFC9C9"/>
            <w:tcMar>
              <w:top w:w="80" w:type="dxa"/>
              <w:left w:w="80" w:type="dxa"/>
              <w:bottom w:w="80" w:type="dxa"/>
              <w:right w:w="80" w:type="dxa"/>
            </w:tcMar>
          </w:tcPr>
          <w:p w14:paraId="2D2081AD" w14:textId="77777777" w:rsidR="006A50D4" w:rsidRPr="007955CC" w:rsidRDefault="00C66769" w:rsidP="009146AE">
            <w:pPr>
              <w:pStyle w:val="lgetabletxt"/>
              <w:spacing w:after="60" w:afterAutospacing="0"/>
              <w:contextualSpacing/>
              <w:rPr>
                <w:szCs w:val="14"/>
                <w:lang w:val="en-AU"/>
              </w:rPr>
            </w:pPr>
            <w:r w:rsidRPr="007955CC">
              <w:rPr>
                <w:bCs/>
                <w:iCs/>
                <w:szCs w:val="14"/>
                <w:lang w:val="en-AU"/>
              </w:rPr>
              <w:t>injury</w:t>
            </w:r>
            <w:r w:rsidRPr="007955CC">
              <w:rPr>
                <w:szCs w:val="14"/>
                <w:lang w:val="en-AU"/>
              </w:rPr>
              <w:t>:</w:t>
            </w:r>
          </w:p>
          <w:p w14:paraId="11CCE262" w14:textId="23ABD649" w:rsidR="00C66769" w:rsidRPr="00C66769" w:rsidRDefault="00C66769" w:rsidP="009146AE">
            <w:pPr>
              <w:pStyle w:val="lgetabletxt"/>
              <w:spacing w:after="60" w:afterAutospacing="0"/>
              <w:rPr>
                <w:szCs w:val="14"/>
                <w:lang w:val="en-AU"/>
              </w:rPr>
            </w:pPr>
            <w:r w:rsidRPr="00C66769">
              <w:rPr>
                <w:szCs w:val="14"/>
                <w:lang w:val="en-AU"/>
              </w:rPr>
              <w:t>(a)</w:t>
            </w:r>
            <w:r w:rsidR="00DD0D68">
              <w:rPr>
                <w:szCs w:val="14"/>
                <w:lang w:val="en-AU"/>
              </w:rPr>
              <w:t xml:space="preserve"> </w:t>
            </w:r>
            <w:r w:rsidRPr="00C66769">
              <w:rPr>
                <w:szCs w:val="14"/>
                <w:lang w:val="en-AU"/>
              </w:rPr>
              <w:t>means personal injury arising out of or in the course of employment,</w:t>
            </w:r>
          </w:p>
          <w:p w14:paraId="7C157FD9" w14:textId="026AB132" w:rsidR="0054021C" w:rsidRDefault="00C66769" w:rsidP="009146AE">
            <w:pPr>
              <w:pStyle w:val="lgetabletxt"/>
              <w:spacing w:after="60" w:afterAutospacing="0"/>
              <w:rPr>
                <w:szCs w:val="14"/>
                <w:lang w:val="en-AU"/>
              </w:rPr>
            </w:pPr>
            <w:r w:rsidRPr="00C66769">
              <w:rPr>
                <w:szCs w:val="14"/>
                <w:lang w:val="en-AU"/>
              </w:rPr>
              <w:t>(b)</w:t>
            </w:r>
            <w:r w:rsidR="00DD0D68">
              <w:rPr>
                <w:szCs w:val="14"/>
                <w:lang w:val="en-AU"/>
              </w:rPr>
              <w:t xml:space="preserve"> </w:t>
            </w:r>
            <w:r w:rsidRPr="00C66769">
              <w:rPr>
                <w:szCs w:val="14"/>
                <w:lang w:val="en-AU"/>
              </w:rPr>
              <w:t>includes a </w:t>
            </w:r>
            <w:r w:rsidRPr="007955CC">
              <w:rPr>
                <w:bCs/>
                <w:iCs/>
                <w:szCs w:val="14"/>
                <w:lang w:val="en-AU"/>
              </w:rPr>
              <w:t>disease injury</w:t>
            </w:r>
            <w:r w:rsidRPr="00C66769">
              <w:rPr>
                <w:szCs w:val="14"/>
                <w:lang w:val="en-AU"/>
              </w:rPr>
              <w:t>, which means:</w:t>
            </w:r>
          </w:p>
          <w:p w14:paraId="5FD69527" w14:textId="28759F4D" w:rsidR="0054021C" w:rsidRDefault="00C66769" w:rsidP="009146AE">
            <w:pPr>
              <w:pStyle w:val="lgetabletxt"/>
              <w:spacing w:after="60" w:afterAutospacing="0"/>
              <w:ind w:left="346"/>
              <w:rPr>
                <w:szCs w:val="14"/>
                <w:lang w:val="en-AU"/>
              </w:rPr>
            </w:pPr>
            <w:r w:rsidRPr="00C66769">
              <w:rPr>
                <w:szCs w:val="14"/>
                <w:lang w:val="en-AU"/>
              </w:rPr>
              <w:t>(i)</w:t>
            </w:r>
            <w:r w:rsidR="00DD0D68">
              <w:rPr>
                <w:szCs w:val="14"/>
                <w:lang w:val="en-AU"/>
              </w:rPr>
              <w:t xml:space="preserve"> </w:t>
            </w:r>
            <w:r w:rsidRPr="00C66769">
              <w:rPr>
                <w:szCs w:val="14"/>
                <w:lang w:val="en-AU"/>
              </w:rPr>
              <w:t>a disease that is contracted by a worker in the course of employment but only if the employment was the main contributing factor to contracting the disease, and</w:t>
            </w:r>
          </w:p>
          <w:p w14:paraId="4624D39B" w14:textId="4915BDAC" w:rsidR="00C66769" w:rsidRPr="00C66769" w:rsidRDefault="00C66769" w:rsidP="009146AE">
            <w:pPr>
              <w:pStyle w:val="lgetabletxt"/>
              <w:spacing w:after="60" w:afterAutospacing="0"/>
              <w:ind w:left="346"/>
              <w:rPr>
                <w:szCs w:val="14"/>
                <w:lang w:val="en-AU"/>
              </w:rPr>
            </w:pPr>
            <w:r w:rsidRPr="00C66769">
              <w:rPr>
                <w:szCs w:val="14"/>
                <w:lang w:val="en-AU"/>
              </w:rPr>
              <w:t>(ii)</w:t>
            </w:r>
            <w:r w:rsidR="00DD0D68">
              <w:rPr>
                <w:szCs w:val="14"/>
                <w:lang w:val="en-AU"/>
              </w:rPr>
              <w:t xml:space="preserve"> </w:t>
            </w:r>
            <w:r w:rsidRPr="00C66769">
              <w:rPr>
                <w:szCs w:val="14"/>
                <w:lang w:val="en-AU"/>
              </w:rPr>
              <w:t>the aggravation, acceleration, exacerbation or deterioration in the course of employment of any disease, but only if the employment was the main contributing factor to the aggravation, acceleration, exacerbation or deterioration of the disease, and</w:t>
            </w:r>
          </w:p>
          <w:p w14:paraId="0DD6C45E" w14:textId="24CF4E96" w:rsidR="00C66769" w:rsidRPr="00C66769" w:rsidRDefault="00C66769" w:rsidP="009146AE">
            <w:pPr>
              <w:pStyle w:val="lgetabletxt"/>
              <w:spacing w:after="60" w:afterAutospacing="0"/>
              <w:rPr>
                <w:szCs w:val="14"/>
                <w:lang w:val="en-AU"/>
              </w:rPr>
            </w:pPr>
            <w:r w:rsidRPr="00C66769">
              <w:rPr>
                <w:szCs w:val="14"/>
                <w:lang w:val="en-AU"/>
              </w:rPr>
              <w:t>(c)</w:t>
            </w:r>
            <w:r w:rsidR="00DD0D68">
              <w:rPr>
                <w:szCs w:val="14"/>
                <w:lang w:val="en-AU"/>
              </w:rPr>
              <w:t xml:space="preserve"> </w:t>
            </w:r>
            <w:r w:rsidRPr="00C66769">
              <w:rPr>
                <w:szCs w:val="14"/>
                <w:lang w:val="en-AU"/>
              </w:rPr>
              <w:t>does not include (except in the case of a worker employed in or about a mine) a dust disease, as defined by the </w:t>
            </w:r>
            <w:hyperlink r:id="rId779" w:anchor="/view/act/1942/14" w:history="1">
              <w:r w:rsidRPr="00C66769">
                <w:rPr>
                  <w:rStyle w:val="Hyperlink"/>
                  <w:i/>
                  <w:iCs/>
                  <w:szCs w:val="14"/>
                  <w:lang w:val="en-AU"/>
                </w:rPr>
                <w:t>Workers’ Compensation (Dust Diseases) Act 1942</w:t>
              </w:r>
            </w:hyperlink>
            <w:r w:rsidRPr="00C66769">
              <w:rPr>
                <w:szCs w:val="14"/>
                <w:lang w:val="en-AU"/>
              </w:rPr>
              <w:t>, or the aggravation, acceleration, exacerbation or deterioration of a dust disease, as so defined.</w:t>
            </w:r>
          </w:p>
          <w:p w14:paraId="03380293" w14:textId="17C4E7B4" w:rsidR="00AC5AB6" w:rsidRPr="00AC5AB6" w:rsidRDefault="00A7538C" w:rsidP="009146AE">
            <w:pPr>
              <w:spacing w:after="60"/>
              <w:rPr>
                <w:rFonts w:cs="Arial"/>
                <w:color w:val="000000"/>
                <w:sz w:val="14"/>
                <w:szCs w:val="16"/>
                <w:lang w:val="en-GB"/>
              </w:rPr>
            </w:pPr>
            <w:hyperlink r:id="rId780" w:history="1">
              <w:r w:rsidR="00C66769" w:rsidRPr="009C3AFF">
                <w:rPr>
                  <w:rStyle w:val="Hyperlink"/>
                  <w:sz w:val="14"/>
                  <w:szCs w:val="14"/>
                </w:rPr>
                <w:t>Section 4</w:t>
              </w:r>
            </w:hyperlink>
            <w:r w:rsidR="00C66769" w:rsidRPr="00C66769">
              <w:rPr>
                <w:sz w:val="14"/>
                <w:szCs w:val="14"/>
              </w:rPr>
              <w:t xml:space="preserve">, </w:t>
            </w:r>
            <w:r w:rsidR="00270031" w:rsidRPr="00016069">
              <w:rPr>
                <w:i/>
                <w:sz w:val="14"/>
              </w:rPr>
              <w:t>Workers Compensation Act 1987</w:t>
            </w:r>
          </w:p>
        </w:tc>
        <w:tc>
          <w:tcPr>
            <w:tcW w:w="6975" w:type="dxa"/>
            <w:shd w:val="clear" w:color="auto" w:fill="FFC9C9"/>
            <w:tcMar>
              <w:top w:w="80" w:type="dxa"/>
              <w:left w:w="80" w:type="dxa"/>
              <w:bottom w:w="80" w:type="dxa"/>
              <w:right w:w="80" w:type="dxa"/>
            </w:tcMar>
          </w:tcPr>
          <w:p w14:paraId="16C76C44" w14:textId="66F5389E" w:rsidR="00C66769" w:rsidRPr="00C66769" w:rsidRDefault="00C66769" w:rsidP="009146AE">
            <w:pPr>
              <w:spacing w:after="60"/>
              <w:rPr>
                <w:rFonts w:cs="Arial"/>
                <w:color w:val="000000"/>
                <w:sz w:val="14"/>
                <w:szCs w:val="16"/>
                <w:lang w:val="en-GB"/>
              </w:rPr>
            </w:pPr>
            <w:r w:rsidRPr="00C66769">
              <w:rPr>
                <w:rFonts w:cs="Arial"/>
                <w:color w:val="000000"/>
                <w:sz w:val="14"/>
                <w:szCs w:val="16"/>
                <w:lang w:val="en-GB"/>
              </w:rPr>
              <w:t xml:space="preserve">No compensation is payable under this Act in respect of an injury (other than a disease injury) unless the employment concerned was a substantial contributing factor to the injury — </w:t>
            </w:r>
            <w:hyperlink r:id="rId781" w:history="1">
              <w:r w:rsidRPr="009C3AFF">
                <w:rPr>
                  <w:rStyle w:val="Hyperlink"/>
                  <w:rFonts w:cs="Arial"/>
                  <w:sz w:val="14"/>
                  <w:szCs w:val="16"/>
                  <w:lang w:val="en-GB"/>
                </w:rPr>
                <w:t>s9A (1)</w:t>
              </w:r>
            </w:hyperlink>
            <w:r w:rsidRPr="00C66769">
              <w:rPr>
                <w:rFonts w:cs="Arial"/>
                <w:color w:val="000000"/>
                <w:sz w:val="14"/>
                <w:szCs w:val="16"/>
                <w:lang w:val="en-GB"/>
              </w:rPr>
              <w:t>, 1987 Act.</w:t>
            </w:r>
          </w:p>
          <w:p w14:paraId="7B911C48" w14:textId="773C9E70" w:rsidR="00AC5AB6" w:rsidRPr="00AC5AB6" w:rsidRDefault="00C66769" w:rsidP="009146AE">
            <w:pPr>
              <w:spacing w:after="60"/>
              <w:rPr>
                <w:rFonts w:cs="Arial"/>
                <w:color w:val="000000"/>
                <w:sz w:val="14"/>
                <w:szCs w:val="16"/>
                <w:lang w:val="en-GB"/>
              </w:rPr>
            </w:pPr>
            <w:r w:rsidRPr="00C66769">
              <w:rPr>
                <w:rFonts w:cs="Arial"/>
                <w:color w:val="000000"/>
                <w:sz w:val="14"/>
                <w:szCs w:val="16"/>
              </w:rPr>
              <w:t>Note. In the case of a disease injury, a disease contracted by a worker in the course of employment, where the employment was a contributing factor to the disease</w:t>
            </w:r>
            <w:r w:rsidR="0013176A">
              <w:rPr>
                <w:rFonts w:cs="Arial"/>
                <w:color w:val="000000"/>
                <w:sz w:val="14"/>
                <w:szCs w:val="16"/>
              </w:rPr>
              <w:t xml:space="preserve"> —</w:t>
            </w:r>
            <w:r w:rsidRPr="00C66769">
              <w:rPr>
                <w:rFonts w:cs="Arial"/>
                <w:color w:val="000000"/>
                <w:sz w:val="14"/>
                <w:szCs w:val="16"/>
              </w:rPr>
              <w:t xml:space="preserve"> </w:t>
            </w:r>
            <w:hyperlink r:id="rId782" w:history="1">
              <w:r w:rsidRPr="009C3AFF">
                <w:rPr>
                  <w:rStyle w:val="Hyperlink"/>
                  <w:rFonts w:cs="Arial"/>
                  <w:sz w:val="14"/>
                  <w:szCs w:val="16"/>
                </w:rPr>
                <w:t>s4</w:t>
              </w:r>
            </w:hyperlink>
            <w:r w:rsidRPr="00C66769">
              <w:rPr>
                <w:rFonts w:cs="Arial"/>
                <w:color w:val="000000"/>
                <w:sz w:val="14"/>
                <w:szCs w:val="16"/>
              </w:rPr>
              <w:t xml:space="preserve">, </w:t>
            </w:r>
            <w:r w:rsidR="00270031" w:rsidRPr="00016069">
              <w:rPr>
                <w:i/>
                <w:sz w:val="14"/>
              </w:rPr>
              <w:t>Workplace Injury Management and</w:t>
            </w:r>
            <w:r w:rsidR="00270031">
              <w:rPr>
                <w:i/>
                <w:sz w:val="14"/>
              </w:rPr>
              <w:t xml:space="preserve"> Workers Compensation Act 1998</w:t>
            </w:r>
            <w:r w:rsidRPr="00C66769">
              <w:rPr>
                <w:rFonts w:cs="Arial"/>
                <w:i/>
                <w:color w:val="000000"/>
                <w:sz w:val="14"/>
                <w:szCs w:val="16"/>
              </w:rPr>
              <w:t>.</w:t>
            </w:r>
          </w:p>
        </w:tc>
      </w:tr>
      <w:tr w:rsidR="00AC5AB6" w:rsidRPr="00AC5AB6" w14:paraId="250586F1" w14:textId="77777777" w:rsidTr="00FB729B">
        <w:tc>
          <w:tcPr>
            <w:tcW w:w="1626" w:type="dxa"/>
            <w:tcMar>
              <w:top w:w="80" w:type="dxa"/>
              <w:left w:w="80" w:type="dxa"/>
              <w:bottom w:w="80" w:type="dxa"/>
              <w:right w:w="80" w:type="dxa"/>
            </w:tcMar>
          </w:tcPr>
          <w:p w14:paraId="04FFBD0D"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Victoria</w:t>
            </w:r>
          </w:p>
        </w:tc>
        <w:tc>
          <w:tcPr>
            <w:tcW w:w="6974" w:type="dxa"/>
            <w:tcMar>
              <w:top w:w="80" w:type="dxa"/>
              <w:left w:w="80" w:type="dxa"/>
              <w:bottom w:w="80" w:type="dxa"/>
              <w:right w:w="80" w:type="dxa"/>
            </w:tcMar>
          </w:tcPr>
          <w:p w14:paraId="62045E42" w14:textId="0D048919"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 ...an injury arising out of or in the course of any employment </w:t>
            </w:r>
            <w:r w:rsidR="002B3287">
              <w:rPr>
                <w:rFonts w:cs="Arial"/>
                <w:color w:val="000000"/>
                <w:sz w:val="14"/>
                <w:szCs w:val="16"/>
                <w:lang w:val="en-GB"/>
              </w:rPr>
              <w:t>…</w:t>
            </w:r>
            <w:r w:rsidRPr="00AC5AB6">
              <w:rPr>
                <w:rFonts w:cs="Arial"/>
                <w:color w:val="000000"/>
                <w:sz w:val="14"/>
                <w:szCs w:val="16"/>
                <w:lang w:val="en-GB"/>
              </w:rPr>
              <w:t xml:space="preserve">’ — </w:t>
            </w:r>
            <w:hyperlink r:id="rId783" w:history="1">
              <w:r w:rsidRPr="00E41D31">
                <w:rPr>
                  <w:rStyle w:val="Hyperlink"/>
                  <w:rFonts w:cs="Arial"/>
                  <w:sz w:val="14"/>
                  <w:szCs w:val="16"/>
                  <w:lang w:val="en-GB"/>
                </w:rPr>
                <w:t>s39(1)</w:t>
              </w:r>
            </w:hyperlink>
            <w:r w:rsidR="00270031">
              <w:rPr>
                <w:rFonts w:cs="Arial"/>
                <w:color w:val="000000"/>
                <w:sz w:val="14"/>
                <w:szCs w:val="16"/>
                <w:lang w:val="en-GB"/>
              </w:rPr>
              <w:t xml:space="preserve">, </w:t>
            </w:r>
            <w:r w:rsidR="00270031" w:rsidRPr="00016069">
              <w:rPr>
                <w:i/>
                <w:sz w:val="14"/>
              </w:rPr>
              <w:t>Workplace Injury Rehabilitation and Compensation Act 2013</w:t>
            </w:r>
          </w:p>
        </w:tc>
        <w:tc>
          <w:tcPr>
            <w:tcW w:w="6975" w:type="dxa"/>
            <w:tcMar>
              <w:top w:w="80" w:type="dxa"/>
              <w:left w:w="80" w:type="dxa"/>
              <w:bottom w:w="80" w:type="dxa"/>
              <w:right w:w="80" w:type="dxa"/>
            </w:tcMar>
          </w:tcPr>
          <w:p w14:paraId="5CA0EF34" w14:textId="4F729B8F"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Compensation is not payable in respect of the following injuries unless the worker’s employment was a significant contributing factor to the injury: a) a heart attack or stroke injury b) a disease contracted by a worker in the course of employment (whether at, or away from, the place of employment), or c) a recurrence, aggravation, acceleration, exacerbation or deterioration of any pre-existing injury or disease — </w:t>
            </w:r>
            <w:hyperlink r:id="rId784" w:history="1">
              <w:r w:rsidRPr="00E41D31">
                <w:rPr>
                  <w:rStyle w:val="Hyperlink"/>
                  <w:rFonts w:cs="Arial"/>
                  <w:sz w:val="14"/>
                  <w:szCs w:val="16"/>
                  <w:lang w:val="en-GB"/>
                </w:rPr>
                <w:t>s40(2)</w:t>
              </w:r>
            </w:hyperlink>
            <w:r w:rsidRPr="00AC5AB6">
              <w:rPr>
                <w:rFonts w:cs="Arial"/>
                <w:color w:val="000000"/>
                <w:sz w:val="14"/>
                <w:szCs w:val="16"/>
                <w:lang w:val="en-GB"/>
              </w:rPr>
              <w:t xml:space="preserve"> and </w:t>
            </w:r>
            <w:hyperlink r:id="rId785" w:history="1">
              <w:r w:rsidRPr="00E41D31">
                <w:rPr>
                  <w:rStyle w:val="Hyperlink"/>
                  <w:rFonts w:cs="Arial"/>
                  <w:sz w:val="14"/>
                  <w:szCs w:val="16"/>
                  <w:lang w:val="en-GB"/>
                </w:rPr>
                <w:t>s40(3)</w:t>
              </w:r>
            </w:hyperlink>
            <w:r w:rsidRPr="00AC5AB6">
              <w:rPr>
                <w:rFonts w:cs="Arial"/>
                <w:color w:val="000000"/>
                <w:sz w:val="14"/>
                <w:szCs w:val="16"/>
                <w:lang w:val="en-GB"/>
              </w:rPr>
              <w:t>.</w:t>
            </w:r>
          </w:p>
        </w:tc>
      </w:tr>
      <w:tr w:rsidR="00AC5AB6" w:rsidRPr="00AC5AB6" w14:paraId="6C8A2F21" w14:textId="77777777" w:rsidTr="00FB729B">
        <w:tc>
          <w:tcPr>
            <w:tcW w:w="1626" w:type="dxa"/>
            <w:shd w:val="clear" w:color="auto" w:fill="FFC9C9"/>
            <w:tcMar>
              <w:top w:w="80" w:type="dxa"/>
              <w:left w:w="80" w:type="dxa"/>
              <w:bottom w:w="80" w:type="dxa"/>
              <w:right w:w="80" w:type="dxa"/>
            </w:tcMar>
          </w:tcPr>
          <w:p w14:paraId="6016985A"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Queensland</w:t>
            </w:r>
          </w:p>
        </w:tc>
        <w:tc>
          <w:tcPr>
            <w:tcW w:w="6974" w:type="dxa"/>
            <w:shd w:val="clear" w:color="auto" w:fill="FFC9C9"/>
            <w:tcMar>
              <w:top w:w="80" w:type="dxa"/>
              <w:left w:w="80" w:type="dxa"/>
              <w:bottom w:w="80" w:type="dxa"/>
              <w:right w:w="80" w:type="dxa"/>
            </w:tcMar>
          </w:tcPr>
          <w:p w14:paraId="5DDF9580" w14:textId="562957FE"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...a personal injury arising out of, or in the course of, employment</w:t>
            </w:r>
            <w:r w:rsidR="002B3287">
              <w:rPr>
                <w:rFonts w:cs="Arial"/>
                <w:color w:val="000000"/>
                <w:sz w:val="14"/>
                <w:szCs w:val="16"/>
                <w:lang w:val="en-GB"/>
              </w:rPr>
              <w:t>…</w:t>
            </w:r>
            <w:r w:rsidRPr="00AC5AB6">
              <w:rPr>
                <w:rFonts w:cs="Arial"/>
                <w:color w:val="000000"/>
                <w:sz w:val="14"/>
                <w:szCs w:val="16"/>
                <w:lang w:val="en-GB"/>
              </w:rPr>
              <w:t xml:space="preserve">’ — </w:t>
            </w:r>
            <w:hyperlink r:id="rId786" w:anchor="sec.32" w:history="1">
              <w:r w:rsidRPr="00E41D31">
                <w:rPr>
                  <w:rStyle w:val="Hyperlink"/>
                  <w:rFonts w:cs="Arial"/>
                  <w:sz w:val="14"/>
                  <w:szCs w:val="16"/>
                  <w:lang w:val="en-GB"/>
                </w:rPr>
                <w:t>s32(1)</w:t>
              </w:r>
            </w:hyperlink>
            <w:r w:rsidR="00270031">
              <w:rPr>
                <w:rFonts w:cs="Arial"/>
                <w:color w:val="000000"/>
                <w:sz w:val="14"/>
                <w:szCs w:val="16"/>
                <w:lang w:val="en-GB"/>
              </w:rPr>
              <w:t xml:space="preserve">, </w:t>
            </w:r>
            <w:r w:rsidR="00270031" w:rsidRPr="00016069">
              <w:rPr>
                <w:i/>
                <w:sz w:val="14"/>
              </w:rPr>
              <w:t>Workers’ Compensation and Rehabilitation Act 2003</w:t>
            </w:r>
          </w:p>
        </w:tc>
        <w:tc>
          <w:tcPr>
            <w:tcW w:w="6975" w:type="dxa"/>
            <w:shd w:val="clear" w:color="auto" w:fill="FFC9C9"/>
            <w:tcMar>
              <w:top w:w="80" w:type="dxa"/>
              <w:left w:w="80" w:type="dxa"/>
              <w:bottom w:w="80" w:type="dxa"/>
              <w:right w:w="80" w:type="dxa"/>
            </w:tcMar>
          </w:tcPr>
          <w:p w14:paraId="65774369" w14:textId="2F00EDE8"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 significant contributing factor — </w:t>
            </w:r>
            <w:hyperlink r:id="rId787" w:anchor="sec.32" w:history="1">
              <w:r w:rsidRPr="00E41D31">
                <w:rPr>
                  <w:rStyle w:val="Hyperlink"/>
                  <w:rFonts w:cs="Arial"/>
                  <w:sz w:val="14"/>
                  <w:szCs w:val="16"/>
                  <w:lang w:val="en-GB"/>
                </w:rPr>
                <w:t>s32(1)</w:t>
              </w:r>
            </w:hyperlink>
          </w:p>
          <w:p w14:paraId="2B621346" w14:textId="1B691516" w:rsidR="00AC5AB6" w:rsidRPr="00AC5AB6" w:rsidRDefault="00AC5AB6" w:rsidP="0013176A">
            <w:pPr>
              <w:spacing w:after="60"/>
              <w:rPr>
                <w:rFonts w:cs="Arial"/>
                <w:color w:val="000000"/>
                <w:sz w:val="14"/>
                <w:szCs w:val="16"/>
                <w:lang w:val="en-GB"/>
              </w:rPr>
            </w:pPr>
            <w:r w:rsidRPr="00AC5AB6">
              <w:rPr>
                <w:rFonts w:cs="Arial"/>
                <w:color w:val="000000"/>
                <w:sz w:val="14"/>
                <w:szCs w:val="16"/>
                <w:lang w:val="en-GB"/>
              </w:rPr>
              <w:t xml:space="preserve">For a psychiatric or psychological disorder, the major significant contributing factor </w:t>
            </w:r>
            <w:r w:rsidR="0013176A">
              <w:rPr>
                <w:rFonts w:cs="Arial"/>
                <w:color w:val="000000"/>
                <w:sz w:val="14"/>
                <w:szCs w:val="16"/>
                <w:lang w:val="en-GB"/>
              </w:rPr>
              <w:t>—</w:t>
            </w:r>
            <w:r w:rsidR="0013176A" w:rsidRPr="00AC5AB6">
              <w:rPr>
                <w:rFonts w:cs="Arial"/>
                <w:color w:val="000000"/>
                <w:sz w:val="14"/>
                <w:szCs w:val="16"/>
                <w:lang w:val="en-GB"/>
              </w:rPr>
              <w:t xml:space="preserve"> </w:t>
            </w:r>
            <w:hyperlink r:id="rId788" w:anchor="sec.32" w:history="1">
              <w:r w:rsidRPr="00E41D31">
                <w:rPr>
                  <w:rStyle w:val="Hyperlink"/>
                  <w:rFonts w:cs="Arial"/>
                  <w:sz w:val="14"/>
                  <w:szCs w:val="16"/>
                  <w:lang w:val="en-GB"/>
                </w:rPr>
                <w:t>s32(1)</w:t>
              </w:r>
            </w:hyperlink>
          </w:p>
        </w:tc>
      </w:tr>
      <w:tr w:rsidR="00AC5AB6" w:rsidRPr="00AC5AB6" w14:paraId="0474F77F" w14:textId="77777777" w:rsidTr="00FB729B">
        <w:tc>
          <w:tcPr>
            <w:tcW w:w="1626" w:type="dxa"/>
            <w:tcMar>
              <w:top w:w="80" w:type="dxa"/>
              <w:left w:w="80" w:type="dxa"/>
              <w:bottom w:w="80" w:type="dxa"/>
              <w:right w:w="80" w:type="dxa"/>
            </w:tcMar>
          </w:tcPr>
          <w:p w14:paraId="0C3F08DE"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Western Australia</w:t>
            </w:r>
          </w:p>
        </w:tc>
        <w:tc>
          <w:tcPr>
            <w:tcW w:w="6974" w:type="dxa"/>
            <w:tcMar>
              <w:top w:w="80" w:type="dxa"/>
              <w:left w:w="80" w:type="dxa"/>
              <w:bottom w:w="80" w:type="dxa"/>
              <w:right w:w="80" w:type="dxa"/>
            </w:tcMar>
          </w:tcPr>
          <w:p w14:paraId="6943D422" w14:textId="217FA1CD"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‘...a personal injury by accident arising out of or in the course of the employment</w:t>
            </w:r>
            <w:r w:rsidR="002B3287">
              <w:rPr>
                <w:rFonts w:cs="Arial"/>
                <w:color w:val="000000"/>
                <w:sz w:val="14"/>
                <w:szCs w:val="16"/>
                <w:lang w:val="en-GB"/>
              </w:rPr>
              <w:t>..</w:t>
            </w:r>
            <w:r w:rsidRPr="00AC5AB6">
              <w:rPr>
                <w:rFonts w:cs="Arial"/>
                <w:color w:val="000000"/>
                <w:sz w:val="14"/>
                <w:szCs w:val="16"/>
                <w:lang w:val="en-GB"/>
              </w:rPr>
              <w:t xml:space="preserve">.’ — </w:t>
            </w:r>
            <w:hyperlink r:id="rId789" w:history="1">
              <w:r w:rsidRPr="00E41D31">
                <w:rPr>
                  <w:rStyle w:val="Hyperlink"/>
                  <w:rFonts w:cs="Arial"/>
                  <w:sz w:val="14"/>
                  <w:szCs w:val="16"/>
                  <w:lang w:val="en-GB"/>
                </w:rPr>
                <w:t>s</w:t>
              </w:r>
              <w:r w:rsidR="00EE7768" w:rsidRPr="00E41D31">
                <w:rPr>
                  <w:rStyle w:val="Hyperlink"/>
                  <w:rFonts w:cs="Arial"/>
                  <w:sz w:val="14"/>
                  <w:szCs w:val="16"/>
                  <w:lang w:val="en-GB"/>
                </w:rPr>
                <w:t>5(1)</w:t>
              </w:r>
            </w:hyperlink>
            <w:r w:rsidR="00270031">
              <w:rPr>
                <w:rFonts w:cs="Arial"/>
                <w:color w:val="000000"/>
                <w:sz w:val="14"/>
                <w:szCs w:val="16"/>
                <w:lang w:val="en-GB"/>
              </w:rPr>
              <w:t xml:space="preserve">, </w:t>
            </w:r>
            <w:r w:rsidR="00270031" w:rsidRPr="00016069">
              <w:rPr>
                <w:i/>
                <w:sz w:val="14"/>
              </w:rPr>
              <w:t>Workers’ Compensation and Injury Management Act 1981</w:t>
            </w:r>
          </w:p>
        </w:tc>
        <w:tc>
          <w:tcPr>
            <w:tcW w:w="6975" w:type="dxa"/>
            <w:tcMar>
              <w:top w:w="80" w:type="dxa"/>
              <w:left w:w="80" w:type="dxa"/>
              <w:bottom w:w="80" w:type="dxa"/>
              <w:right w:w="80" w:type="dxa"/>
            </w:tcMar>
          </w:tcPr>
          <w:p w14:paraId="6A2E11FD" w14:textId="1CA62B5A"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For disease only: a disease contracted by a worker in the course of his employment at or away from his place of employment and to which the employment was a contributing factor and contributed to a significant degree — </w:t>
            </w:r>
            <w:hyperlink r:id="rId790" w:history="1">
              <w:r w:rsidRPr="00E41D31">
                <w:rPr>
                  <w:rStyle w:val="Hyperlink"/>
                  <w:rFonts w:cs="Arial"/>
                  <w:sz w:val="14"/>
                  <w:szCs w:val="16"/>
                  <w:lang w:val="en-GB"/>
                </w:rPr>
                <w:t>s5(1)</w:t>
              </w:r>
            </w:hyperlink>
            <w:r w:rsidR="000D3C6D">
              <w:rPr>
                <w:rFonts w:cs="Arial"/>
                <w:color w:val="000000"/>
                <w:sz w:val="14"/>
                <w:szCs w:val="16"/>
                <w:lang w:val="en-GB"/>
              </w:rPr>
              <w:t>.</w:t>
            </w:r>
          </w:p>
        </w:tc>
      </w:tr>
      <w:tr w:rsidR="00AC5AB6" w:rsidRPr="00AC5AB6" w14:paraId="0DB584F5" w14:textId="77777777" w:rsidTr="00FB729B">
        <w:tc>
          <w:tcPr>
            <w:tcW w:w="1626" w:type="dxa"/>
            <w:shd w:val="clear" w:color="auto" w:fill="FFC9C9"/>
            <w:tcMar>
              <w:top w:w="80" w:type="dxa"/>
              <w:left w:w="80" w:type="dxa"/>
              <w:bottom w:w="80" w:type="dxa"/>
              <w:right w:w="80" w:type="dxa"/>
            </w:tcMar>
          </w:tcPr>
          <w:p w14:paraId="16477BC9"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South Australia</w:t>
            </w:r>
          </w:p>
        </w:tc>
        <w:tc>
          <w:tcPr>
            <w:tcW w:w="6974" w:type="dxa"/>
            <w:shd w:val="clear" w:color="auto" w:fill="FFC9C9"/>
            <w:tcMar>
              <w:top w:w="80" w:type="dxa"/>
              <w:left w:w="80" w:type="dxa"/>
              <w:bottom w:w="80" w:type="dxa"/>
              <w:right w:w="80" w:type="dxa"/>
            </w:tcMar>
          </w:tcPr>
          <w:p w14:paraId="4F648DC8" w14:textId="5FD345F7" w:rsidR="00AC5AB6" w:rsidRPr="006C2409" w:rsidRDefault="00AC5AB6" w:rsidP="009146AE">
            <w:pPr>
              <w:spacing w:after="60"/>
              <w:rPr>
                <w:rFonts w:cs="Arial"/>
                <w:sz w:val="14"/>
                <w:szCs w:val="16"/>
                <w:lang w:val="en-GB"/>
              </w:rPr>
            </w:pPr>
            <w:r w:rsidRPr="00AC5AB6">
              <w:rPr>
                <w:rFonts w:cs="Arial"/>
                <w:color w:val="000000"/>
                <w:sz w:val="14"/>
                <w:szCs w:val="16"/>
                <w:lang w:val="en-GB"/>
              </w:rPr>
              <w:t xml:space="preserve">‘...injury if (and only if) it arises from employment. .’ — </w:t>
            </w:r>
            <w:hyperlink r:id="rId791" w:history="1">
              <w:r w:rsidRPr="00AC5AB6">
                <w:rPr>
                  <w:rFonts w:cs="Arial"/>
                  <w:color w:val="0000FF"/>
                  <w:sz w:val="14"/>
                  <w:szCs w:val="16"/>
                  <w:u w:val="single"/>
                </w:rPr>
                <w:t>s7</w:t>
              </w:r>
            </w:hyperlink>
            <w:r w:rsidR="006C2409">
              <w:rPr>
                <w:rFonts w:cs="Arial"/>
                <w:sz w:val="14"/>
                <w:szCs w:val="16"/>
              </w:rPr>
              <w:t xml:space="preserve">, </w:t>
            </w:r>
            <w:r w:rsidR="006C2409" w:rsidRPr="00016069">
              <w:rPr>
                <w:i/>
                <w:sz w:val="14"/>
              </w:rPr>
              <w:t>Return to Work Act 2014</w:t>
            </w:r>
          </w:p>
          <w:p w14:paraId="5FA02199" w14:textId="77777777" w:rsidR="00AC5AB6" w:rsidRPr="00AC5AB6" w:rsidRDefault="00AC5AB6" w:rsidP="00F839DB">
            <w:pPr>
              <w:numPr>
                <w:ilvl w:val="0"/>
                <w:numId w:val="547"/>
              </w:numPr>
              <w:spacing w:after="60"/>
              <w:rPr>
                <w:rFonts w:cs="Arial"/>
                <w:color w:val="000000"/>
                <w:sz w:val="14"/>
                <w:szCs w:val="16"/>
                <w:lang w:val="en-GB"/>
              </w:rPr>
            </w:pPr>
            <w:r w:rsidRPr="00AC5AB6">
              <w:rPr>
                <w:rFonts w:cs="Arial"/>
                <w:color w:val="000000"/>
                <w:sz w:val="14"/>
                <w:szCs w:val="16"/>
                <w:lang w:val="en-GB"/>
              </w:rPr>
              <w:t xml:space="preserve">in the case of an injury other than a psychiatric injury – the injury arises out of or in the course of employment and the employment was a significant contributing cause of the injury; and </w:t>
            </w:r>
          </w:p>
          <w:p w14:paraId="1D35D2A9" w14:textId="77777777" w:rsidR="00AC5AB6" w:rsidRPr="00784E48" w:rsidRDefault="00AC5AB6" w:rsidP="00F839DB">
            <w:pPr>
              <w:pStyle w:val="ListParagraph"/>
              <w:numPr>
                <w:ilvl w:val="0"/>
                <w:numId w:val="547"/>
              </w:numPr>
              <w:spacing w:after="60"/>
              <w:contextualSpacing/>
              <w:rPr>
                <w:rFonts w:cs="Arial"/>
                <w:color w:val="000000"/>
                <w:sz w:val="14"/>
                <w:szCs w:val="16"/>
                <w:lang w:val="en-GB"/>
              </w:rPr>
            </w:pPr>
            <w:r w:rsidRPr="00784E48">
              <w:rPr>
                <w:rFonts w:cs="Arial"/>
                <w:color w:val="000000"/>
                <w:sz w:val="14"/>
                <w:szCs w:val="16"/>
                <w:lang w:val="en-GB"/>
              </w:rPr>
              <w:t xml:space="preserve">in the case of psychiatric injury </w:t>
            </w:r>
          </w:p>
          <w:p w14:paraId="34DF5C56" w14:textId="77777777" w:rsidR="00AC5AB6" w:rsidRPr="00AC5AB6" w:rsidRDefault="00AC5AB6" w:rsidP="00DF35F2">
            <w:pPr>
              <w:numPr>
                <w:ilvl w:val="0"/>
                <w:numId w:val="40"/>
              </w:numPr>
              <w:spacing w:after="60"/>
              <w:ind w:hanging="357"/>
              <w:contextualSpacing/>
              <w:rPr>
                <w:rFonts w:cs="Arial"/>
                <w:color w:val="000000"/>
                <w:sz w:val="14"/>
                <w:szCs w:val="16"/>
                <w:lang w:val="en-GB"/>
              </w:rPr>
            </w:pPr>
            <w:r w:rsidRPr="00AC5AB6">
              <w:rPr>
                <w:rFonts w:cs="Arial"/>
                <w:color w:val="000000"/>
                <w:sz w:val="14"/>
                <w:szCs w:val="16"/>
                <w:lang w:val="en-GB"/>
              </w:rPr>
              <w:t>the psychiatric injury arises out of or in the course of employment and the employment was the significant contributing cause of the injury; and</w:t>
            </w:r>
          </w:p>
          <w:p w14:paraId="77E618E5" w14:textId="77777777" w:rsidR="00AC5AB6" w:rsidRPr="00AC5AB6" w:rsidRDefault="00AC5AB6" w:rsidP="00DF35F2">
            <w:pPr>
              <w:numPr>
                <w:ilvl w:val="0"/>
                <w:numId w:val="40"/>
              </w:numPr>
              <w:spacing w:after="60"/>
              <w:ind w:hanging="357"/>
              <w:contextualSpacing/>
              <w:rPr>
                <w:rFonts w:cs="Arial"/>
                <w:color w:val="000000"/>
                <w:sz w:val="14"/>
                <w:szCs w:val="16"/>
                <w:lang w:val="en-GB"/>
              </w:rPr>
            </w:pPr>
            <w:r w:rsidRPr="00AC5AB6">
              <w:rPr>
                <w:rFonts w:cs="Arial"/>
                <w:color w:val="000000"/>
                <w:sz w:val="14"/>
                <w:szCs w:val="16"/>
                <w:lang w:val="en-GB"/>
              </w:rPr>
              <w:t>the injury did not arise wholly or predominantly from any action of decision designated under subsection (4).</w:t>
            </w:r>
          </w:p>
        </w:tc>
        <w:tc>
          <w:tcPr>
            <w:tcW w:w="6975" w:type="dxa"/>
            <w:shd w:val="clear" w:color="auto" w:fill="FFC9C9"/>
            <w:tcMar>
              <w:top w:w="80" w:type="dxa"/>
              <w:left w:w="80" w:type="dxa"/>
              <w:bottom w:w="80" w:type="dxa"/>
              <w:right w:w="80" w:type="dxa"/>
            </w:tcMar>
          </w:tcPr>
          <w:p w14:paraId="5155F83C" w14:textId="2CE73075"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 significant contributing cause of the injury …’ </w:t>
            </w:r>
            <w:r w:rsidR="0013176A">
              <w:rPr>
                <w:rFonts w:cs="Arial"/>
                <w:color w:val="000000"/>
                <w:sz w:val="14"/>
                <w:szCs w:val="16"/>
                <w:lang w:val="en-GB"/>
              </w:rPr>
              <w:t>—</w:t>
            </w:r>
            <w:r w:rsidR="0013176A" w:rsidRPr="00AC5AB6">
              <w:rPr>
                <w:rFonts w:cs="Arial"/>
                <w:color w:val="000000"/>
                <w:sz w:val="14"/>
                <w:szCs w:val="16"/>
                <w:lang w:val="en-GB"/>
              </w:rPr>
              <w:t xml:space="preserve"> </w:t>
            </w:r>
            <w:hyperlink r:id="rId792" w:history="1">
              <w:r w:rsidRPr="00AC5AB6">
                <w:rPr>
                  <w:rFonts w:cs="Arial"/>
                  <w:color w:val="0000FF"/>
                  <w:sz w:val="14"/>
                  <w:szCs w:val="16"/>
                  <w:u w:val="single"/>
                  <w:lang w:val="en-GB"/>
                </w:rPr>
                <w:t>s7(2)(a)</w:t>
              </w:r>
            </w:hyperlink>
            <w:r w:rsidRPr="00AC5AB6">
              <w:rPr>
                <w:rFonts w:cs="Arial"/>
                <w:color w:val="000000"/>
                <w:sz w:val="14"/>
                <w:szCs w:val="16"/>
                <w:lang w:val="en-GB"/>
              </w:rPr>
              <w:t xml:space="preserve"> for non-psychiatric injuries</w:t>
            </w:r>
          </w:p>
          <w:p w14:paraId="6A20F720" w14:textId="3C3AB86B" w:rsidR="00AC5AB6" w:rsidRPr="00AC5AB6" w:rsidRDefault="00AC5AB6" w:rsidP="0013176A">
            <w:pPr>
              <w:spacing w:after="60"/>
              <w:rPr>
                <w:rFonts w:cs="Arial"/>
                <w:color w:val="000000"/>
                <w:sz w:val="14"/>
                <w:szCs w:val="16"/>
                <w:lang w:val="en-GB"/>
              </w:rPr>
            </w:pPr>
            <w:r w:rsidRPr="00AC5AB6">
              <w:rPr>
                <w:rFonts w:cs="Arial"/>
                <w:color w:val="000000"/>
                <w:sz w:val="14"/>
                <w:szCs w:val="16"/>
                <w:lang w:val="en-GB"/>
              </w:rPr>
              <w:t xml:space="preserve">‘…the significant contributing cause of the injury …’ </w:t>
            </w:r>
            <w:r w:rsidR="0013176A">
              <w:rPr>
                <w:rFonts w:cs="Arial"/>
                <w:color w:val="000000"/>
                <w:sz w:val="14"/>
                <w:szCs w:val="16"/>
                <w:lang w:val="en-GB"/>
              </w:rPr>
              <w:t>—</w:t>
            </w:r>
            <w:r w:rsidR="0013176A" w:rsidRPr="00AC5AB6">
              <w:rPr>
                <w:rFonts w:cs="Arial"/>
                <w:color w:val="000000"/>
                <w:sz w:val="14"/>
                <w:szCs w:val="16"/>
                <w:lang w:val="en-GB"/>
              </w:rPr>
              <w:t xml:space="preserve"> </w:t>
            </w:r>
            <w:hyperlink r:id="rId793" w:history="1">
              <w:r w:rsidRPr="00AC5AB6">
                <w:rPr>
                  <w:rFonts w:cs="Arial"/>
                  <w:color w:val="0000FF"/>
                  <w:sz w:val="14"/>
                  <w:szCs w:val="16"/>
                  <w:u w:val="single"/>
                  <w:lang w:val="en-GB"/>
                </w:rPr>
                <w:t>s7(2)(b</w:t>
              </w:r>
            </w:hyperlink>
            <w:r w:rsidR="00EE7768">
              <w:rPr>
                <w:rFonts w:cs="Arial"/>
                <w:color w:val="000000"/>
                <w:sz w:val="14"/>
                <w:szCs w:val="16"/>
                <w:lang w:val="en-GB"/>
              </w:rPr>
              <w:t>) for psychiatric injuries</w:t>
            </w:r>
          </w:p>
        </w:tc>
      </w:tr>
      <w:tr w:rsidR="00AC5AB6" w:rsidRPr="008A5C2E" w14:paraId="445CEB43" w14:textId="77777777" w:rsidTr="00FB729B">
        <w:tc>
          <w:tcPr>
            <w:tcW w:w="1626" w:type="dxa"/>
            <w:tcMar>
              <w:top w:w="80" w:type="dxa"/>
              <w:left w:w="80" w:type="dxa"/>
              <w:bottom w:w="80" w:type="dxa"/>
              <w:right w:w="80" w:type="dxa"/>
            </w:tcMar>
          </w:tcPr>
          <w:p w14:paraId="07BA67ED" w14:textId="77777777" w:rsidR="00AC5AB6" w:rsidRPr="00184441" w:rsidRDefault="00AC5AB6" w:rsidP="009146AE">
            <w:pPr>
              <w:spacing w:after="60"/>
              <w:rPr>
                <w:rFonts w:eastAsia="Calibri" w:cs="Arial"/>
                <w:b/>
                <w:sz w:val="16"/>
                <w:szCs w:val="16"/>
                <w:lang w:eastAsia="en-US"/>
              </w:rPr>
            </w:pPr>
            <w:r w:rsidRPr="00184441">
              <w:rPr>
                <w:rFonts w:eastAsia="Calibri" w:cs="Arial"/>
                <w:b/>
                <w:sz w:val="16"/>
                <w:szCs w:val="16"/>
                <w:lang w:eastAsia="en-US"/>
              </w:rPr>
              <w:t>Tasmania</w:t>
            </w:r>
          </w:p>
        </w:tc>
        <w:tc>
          <w:tcPr>
            <w:tcW w:w="6974" w:type="dxa"/>
            <w:tcMar>
              <w:top w:w="80" w:type="dxa"/>
              <w:left w:w="80" w:type="dxa"/>
              <w:bottom w:w="80" w:type="dxa"/>
              <w:right w:w="80" w:type="dxa"/>
            </w:tcMar>
          </w:tcPr>
          <w:p w14:paraId="15319610" w14:textId="77777777" w:rsidR="00AC5AB6" w:rsidRPr="008A5C2E" w:rsidRDefault="00AC5AB6" w:rsidP="009146AE">
            <w:pPr>
              <w:spacing w:after="60"/>
              <w:rPr>
                <w:rFonts w:cs="Arial"/>
                <w:color w:val="000000"/>
                <w:sz w:val="14"/>
                <w:szCs w:val="16"/>
                <w:lang w:val="en-GB"/>
              </w:rPr>
            </w:pPr>
            <w:r w:rsidRPr="008A5C2E">
              <w:rPr>
                <w:rFonts w:cs="Arial"/>
                <w:color w:val="000000"/>
                <w:sz w:val="14"/>
                <w:szCs w:val="16"/>
                <w:lang w:val="en-GB"/>
              </w:rPr>
              <w:t>Injury includes —</w:t>
            </w:r>
          </w:p>
          <w:p w14:paraId="2A56A8AC" w14:textId="77777777" w:rsidR="00AC5AB6" w:rsidRPr="008A5C2E" w:rsidRDefault="00AC5AB6" w:rsidP="009146AE">
            <w:pPr>
              <w:numPr>
                <w:ilvl w:val="0"/>
                <w:numId w:val="15"/>
              </w:numPr>
              <w:spacing w:after="60"/>
              <w:ind w:left="357"/>
              <w:contextualSpacing/>
              <w:rPr>
                <w:rFonts w:eastAsia="Calibri" w:cs="Arial"/>
                <w:sz w:val="14"/>
                <w:szCs w:val="14"/>
                <w:lang w:eastAsia="en-US"/>
              </w:rPr>
            </w:pPr>
            <w:r w:rsidRPr="008A5C2E">
              <w:rPr>
                <w:rFonts w:eastAsia="Calibri" w:cs="Arial"/>
                <w:sz w:val="14"/>
                <w:szCs w:val="14"/>
                <w:lang w:eastAsia="en-US"/>
              </w:rPr>
              <w:t>a disease, and</w:t>
            </w:r>
          </w:p>
          <w:p w14:paraId="5991A58D" w14:textId="77777777" w:rsidR="00AC5AB6" w:rsidRPr="00784E48" w:rsidRDefault="00AC5AB6" w:rsidP="009146AE">
            <w:pPr>
              <w:pStyle w:val="ListParagraph"/>
              <w:numPr>
                <w:ilvl w:val="0"/>
                <w:numId w:val="15"/>
              </w:numPr>
              <w:spacing w:after="60"/>
              <w:contextualSpacing/>
              <w:rPr>
                <w:rFonts w:eastAsia="Calibri" w:cs="Arial"/>
                <w:sz w:val="14"/>
                <w:szCs w:val="14"/>
                <w:lang w:eastAsia="en-US"/>
              </w:rPr>
            </w:pPr>
            <w:r w:rsidRPr="00784E48">
              <w:rPr>
                <w:rFonts w:eastAsia="Calibri" w:cs="Arial"/>
                <w:sz w:val="14"/>
                <w:szCs w:val="14"/>
                <w:lang w:eastAsia="en-US"/>
              </w:rPr>
              <w:t>the recurrence, aggravation, acceleration, exacerbation or deterioration of any pre -existing injury or disease where the employment was the major or most significant contributing factor to that recurrence, aggravation, acceleration, exacerbation or deterioration.</w:t>
            </w:r>
          </w:p>
          <w:p w14:paraId="4388EE9C" w14:textId="2CB06F91" w:rsidR="00AC5AB6" w:rsidRPr="008A5C2E" w:rsidRDefault="00AC5AB6" w:rsidP="009146AE">
            <w:pPr>
              <w:spacing w:after="60"/>
              <w:rPr>
                <w:rFonts w:cs="Arial"/>
                <w:color w:val="000000"/>
                <w:sz w:val="14"/>
                <w:szCs w:val="16"/>
                <w:lang w:val="en-GB"/>
              </w:rPr>
            </w:pPr>
            <w:r w:rsidRPr="008A5C2E">
              <w:rPr>
                <w:rFonts w:cs="Arial"/>
                <w:color w:val="000000"/>
                <w:sz w:val="14"/>
                <w:szCs w:val="16"/>
                <w:lang w:val="en-GB"/>
              </w:rPr>
              <w:t xml:space="preserve">Except in some circumstances ‘injury’ does not include an asbestos-related disease within the meaning of the </w:t>
            </w:r>
            <w:r w:rsidRPr="0030605A">
              <w:rPr>
                <w:rFonts w:cs="Arial"/>
                <w:i/>
                <w:color w:val="000000"/>
                <w:sz w:val="14"/>
                <w:szCs w:val="16"/>
                <w:lang w:val="en-GB"/>
              </w:rPr>
              <w:t xml:space="preserve">Asbestos-Related Diseases </w:t>
            </w:r>
            <w:r w:rsidR="00A41653" w:rsidRPr="0030605A">
              <w:rPr>
                <w:i/>
              </w:rPr>
              <w:fldChar w:fldCharType="begin"/>
            </w:r>
            <w:r w:rsidR="00A41653" w:rsidRPr="0030605A">
              <w:rPr>
                <w:i/>
              </w:rPr>
              <w:instrText xml:space="preserve"> XE "Asbestos Related Diseases" </w:instrText>
            </w:r>
            <w:r w:rsidR="00A41653" w:rsidRPr="0030605A">
              <w:rPr>
                <w:i/>
              </w:rPr>
              <w:fldChar w:fldCharType="end"/>
            </w:r>
            <w:r w:rsidR="00A41653" w:rsidRPr="0030605A">
              <w:rPr>
                <w:rFonts w:cs="Arial"/>
                <w:i/>
                <w:color w:val="000000"/>
                <w:sz w:val="14"/>
                <w:szCs w:val="16"/>
                <w:lang w:val="en-GB"/>
              </w:rPr>
              <w:t xml:space="preserve"> </w:t>
            </w:r>
            <w:r w:rsidRPr="0030605A">
              <w:rPr>
                <w:rFonts w:cs="Arial"/>
                <w:i/>
                <w:color w:val="000000"/>
                <w:sz w:val="14"/>
                <w:szCs w:val="16"/>
                <w:lang w:val="en-GB"/>
              </w:rPr>
              <w:t>(Occupational Exposure) Compensation Act 2011</w:t>
            </w:r>
            <w:r w:rsidRPr="008A5C2E">
              <w:rPr>
                <w:rFonts w:cs="Arial"/>
                <w:color w:val="000000"/>
                <w:sz w:val="14"/>
                <w:szCs w:val="16"/>
                <w:lang w:val="en-GB"/>
              </w:rPr>
              <w:t xml:space="preserve"> — </w:t>
            </w:r>
            <w:hyperlink r:id="rId794" w:history="1">
              <w:r w:rsidRPr="008A5C2E">
                <w:rPr>
                  <w:rFonts w:cs="Arial"/>
                  <w:color w:val="0000FF"/>
                  <w:sz w:val="14"/>
                  <w:szCs w:val="16"/>
                  <w:u w:val="single"/>
                  <w:lang w:val="en-GB"/>
                </w:rPr>
                <w:t>s3(1)</w:t>
              </w:r>
            </w:hyperlink>
            <w:r w:rsidR="00330699">
              <w:rPr>
                <w:rFonts w:cs="Arial"/>
                <w:sz w:val="14"/>
                <w:szCs w:val="16"/>
                <w:lang w:val="en-GB"/>
              </w:rPr>
              <w:t>,</w:t>
            </w:r>
            <w:r w:rsidR="00330699" w:rsidRPr="00016069">
              <w:rPr>
                <w:i/>
                <w:sz w:val="14"/>
              </w:rPr>
              <w:t xml:space="preserve"> Workers Rehabilitation and Compensation Act 1988</w:t>
            </w:r>
            <w:r w:rsidR="00330699">
              <w:rPr>
                <w:i/>
                <w:sz w:val="14"/>
              </w:rPr>
              <w:t>.</w:t>
            </w:r>
          </w:p>
          <w:p w14:paraId="7736AF16" w14:textId="77777777" w:rsidR="00AC5AB6" w:rsidRPr="008A5C2E" w:rsidRDefault="00AC5AB6" w:rsidP="009146AE">
            <w:pPr>
              <w:spacing w:after="60"/>
              <w:rPr>
                <w:rFonts w:cs="Arial"/>
                <w:color w:val="000000"/>
                <w:sz w:val="14"/>
                <w:szCs w:val="16"/>
                <w:lang w:val="en-GB"/>
              </w:rPr>
            </w:pPr>
            <w:r w:rsidRPr="008A5C2E">
              <w:rPr>
                <w:rFonts w:cs="Arial"/>
                <w:color w:val="000000"/>
                <w:sz w:val="14"/>
                <w:szCs w:val="16"/>
                <w:lang w:val="en-GB"/>
              </w:rPr>
              <w:lastRenderedPageBreak/>
              <w:t>The liability of employers to compensate workers for injuries , relates to:</w:t>
            </w:r>
          </w:p>
          <w:p w14:paraId="07E7C5B9" w14:textId="77777777" w:rsidR="00AC5AB6" w:rsidRPr="008A5C2E" w:rsidRDefault="00AC5AB6" w:rsidP="00F839DB">
            <w:pPr>
              <w:pStyle w:val="ListParagraph"/>
              <w:numPr>
                <w:ilvl w:val="0"/>
                <w:numId w:val="93"/>
              </w:numPr>
              <w:spacing w:after="60"/>
              <w:rPr>
                <w:rFonts w:cs="Arial"/>
                <w:color w:val="000000"/>
                <w:sz w:val="14"/>
                <w:szCs w:val="16"/>
                <w:lang w:val="en-GB"/>
              </w:rPr>
            </w:pPr>
            <w:r w:rsidRPr="008A5C2E">
              <w:rPr>
                <w:rFonts w:cs="Arial"/>
                <w:color w:val="000000"/>
                <w:sz w:val="14"/>
                <w:szCs w:val="16"/>
                <w:lang w:val="en-GB"/>
              </w:rPr>
              <w:t xml:space="preserve">‘An injury, not being a disease, arising out of, or in the course of employment’ — </w:t>
            </w:r>
            <w:hyperlink r:id="rId795" w:history="1">
              <w:r w:rsidRPr="008A5C2E">
                <w:rPr>
                  <w:rFonts w:cs="Arial"/>
                  <w:color w:val="0000FF"/>
                  <w:sz w:val="14"/>
                  <w:szCs w:val="16"/>
                  <w:u w:val="single"/>
                  <w:lang w:val="en-GB"/>
                </w:rPr>
                <w:t>s25(1)(a)</w:t>
              </w:r>
            </w:hyperlink>
          </w:p>
          <w:p w14:paraId="6198FEE1" w14:textId="41B36CFA" w:rsidR="00AC5AB6" w:rsidRPr="008A5C2E" w:rsidRDefault="00AC5AB6" w:rsidP="00F839DB">
            <w:pPr>
              <w:pStyle w:val="ListParagraph"/>
              <w:numPr>
                <w:ilvl w:val="0"/>
                <w:numId w:val="93"/>
              </w:numPr>
              <w:spacing w:after="60"/>
              <w:rPr>
                <w:rFonts w:cs="Arial"/>
                <w:color w:val="000000"/>
                <w:sz w:val="14"/>
                <w:szCs w:val="16"/>
                <w:lang w:val="en-GB"/>
              </w:rPr>
            </w:pPr>
            <w:r w:rsidRPr="008A5C2E">
              <w:rPr>
                <w:rFonts w:cs="Arial"/>
                <w:color w:val="000000"/>
                <w:sz w:val="14"/>
                <w:szCs w:val="16"/>
                <w:lang w:val="en-GB"/>
              </w:rPr>
              <w:t xml:space="preserve">‘an injury, which is a disease, to which his employment contributed to a substantial degree’ — </w:t>
            </w:r>
            <w:hyperlink r:id="rId796" w:history="1">
              <w:r w:rsidRPr="008A5C2E">
                <w:rPr>
                  <w:rFonts w:cs="Arial"/>
                  <w:color w:val="0000FF"/>
                  <w:sz w:val="14"/>
                  <w:szCs w:val="16"/>
                  <w:u w:val="single"/>
                  <w:lang w:val="en-GB"/>
                </w:rPr>
                <w:t>s25(1)(b)</w:t>
              </w:r>
            </w:hyperlink>
            <w:r w:rsidR="00330699">
              <w:rPr>
                <w:i/>
                <w:sz w:val="14"/>
              </w:rPr>
              <w:t>.</w:t>
            </w:r>
          </w:p>
        </w:tc>
        <w:tc>
          <w:tcPr>
            <w:tcW w:w="6975" w:type="dxa"/>
            <w:tcMar>
              <w:top w:w="80" w:type="dxa"/>
              <w:left w:w="80" w:type="dxa"/>
              <w:bottom w:w="80" w:type="dxa"/>
              <w:right w:w="80" w:type="dxa"/>
            </w:tcMar>
          </w:tcPr>
          <w:p w14:paraId="4576F22D" w14:textId="642731DD" w:rsidR="00AC5AB6" w:rsidRPr="008A5C2E" w:rsidRDefault="00AC5AB6" w:rsidP="009146AE">
            <w:pPr>
              <w:spacing w:after="60"/>
              <w:rPr>
                <w:rFonts w:cs="Arial"/>
                <w:color w:val="000000"/>
                <w:sz w:val="14"/>
                <w:szCs w:val="16"/>
                <w:lang w:val="en-GB"/>
              </w:rPr>
            </w:pPr>
            <w:r w:rsidRPr="008A5C2E">
              <w:rPr>
                <w:rFonts w:cs="Arial"/>
                <w:color w:val="000000"/>
                <w:sz w:val="14"/>
                <w:szCs w:val="16"/>
                <w:lang w:val="en-GB"/>
              </w:rPr>
              <w:lastRenderedPageBreak/>
              <w:t xml:space="preserve">To a substantial degree, that is, employment is the ‘major or most significant factor’ (for diseases only) — </w:t>
            </w:r>
            <w:hyperlink r:id="rId797" w:history="1">
              <w:r w:rsidRPr="00E41D31">
                <w:rPr>
                  <w:rStyle w:val="Hyperlink"/>
                  <w:rFonts w:cs="Arial"/>
                  <w:sz w:val="14"/>
                  <w:szCs w:val="16"/>
                  <w:lang w:val="en-GB"/>
                </w:rPr>
                <w:t>s3(2A)</w:t>
              </w:r>
            </w:hyperlink>
          </w:p>
          <w:p w14:paraId="7F358C86" w14:textId="4FD5855B" w:rsidR="00AC5AB6" w:rsidRPr="008A5C2E" w:rsidRDefault="00AC5AB6" w:rsidP="009146AE">
            <w:pPr>
              <w:spacing w:after="60"/>
              <w:rPr>
                <w:rFonts w:cs="Arial"/>
                <w:color w:val="000000"/>
                <w:sz w:val="14"/>
                <w:szCs w:val="16"/>
                <w:lang w:val="en-GB"/>
              </w:rPr>
            </w:pPr>
            <w:r w:rsidRPr="008A5C2E">
              <w:rPr>
                <w:rFonts w:cs="Arial"/>
                <w:color w:val="000000"/>
                <w:sz w:val="14"/>
                <w:szCs w:val="16"/>
                <w:lang w:val="en-GB"/>
              </w:rPr>
              <w:t>Employment being the major or most significant contributing factor is also a requirement in relation to injuries that are a recurrence, aggravation, acceleration, exacerbation or deterioration of any pre-existing injury or disease (</w:t>
            </w:r>
            <w:hyperlink r:id="rId798" w:history="1">
              <w:r w:rsidRPr="00E41D31">
                <w:rPr>
                  <w:rStyle w:val="Hyperlink"/>
                  <w:rFonts w:cs="Arial"/>
                  <w:sz w:val="14"/>
                  <w:szCs w:val="16"/>
                  <w:lang w:val="en-GB"/>
                </w:rPr>
                <w:t>s3(1)</w:t>
              </w:r>
            </w:hyperlink>
            <w:r w:rsidRPr="008A5C2E">
              <w:rPr>
                <w:rFonts w:cs="Arial"/>
                <w:color w:val="000000"/>
                <w:sz w:val="14"/>
                <w:szCs w:val="16"/>
                <w:lang w:val="en-GB"/>
              </w:rPr>
              <w:t xml:space="preserve"> — in definition of ‘injury’).</w:t>
            </w:r>
          </w:p>
        </w:tc>
      </w:tr>
      <w:tr w:rsidR="00AC5AB6" w:rsidRPr="00AC5AB6" w14:paraId="793D2C7D" w14:textId="77777777" w:rsidTr="00FB729B">
        <w:tc>
          <w:tcPr>
            <w:tcW w:w="1626" w:type="dxa"/>
            <w:shd w:val="clear" w:color="auto" w:fill="FFC9C9"/>
            <w:tcMar>
              <w:top w:w="80" w:type="dxa"/>
              <w:left w:w="80" w:type="dxa"/>
              <w:bottom w:w="80" w:type="dxa"/>
              <w:right w:w="80" w:type="dxa"/>
            </w:tcMar>
          </w:tcPr>
          <w:p w14:paraId="3BBA4979"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Northern Territory</w:t>
            </w:r>
          </w:p>
        </w:tc>
        <w:tc>
          <w:tcPr>
            <w:tcW w:w="6974" w:type="dxa"/>
            <w:shd w:val="clear" w:color="auto" w:fill="FFC9C9"/>
            <w:tcMar>
              <w:top w:w="80" w:type="dxa"/>
              <w:left w:w="80" w:type="dxa"/>
              <w:bottom w:w="80" w:type="dxa"/>
              <w:right w:w="80" w:type="dxa"/>
            </w:tcMar>
          </w:tcPr>
          <w:p w14:paraId="74A18284" w14:textId="3372A194"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w:t>
            </w:r>
            <w:r w:rsidR="002B3287">
              <w:rPr>
                <w:rFonts w:cs="Arial"/>
                <w:color w:val="000000"/>
                <w:sz w:val="14"/>
                <w:szCs w:val="16"/>
                <w:lang w:val="en-GB"/>
              </w:rPr>
              <w:t>…</w:t>
            </w:r>
            <w:r w:rsidRPr="00AC5AB6">
              <w:rPr>
                <w:rFonts w:cs="Arial"/>
                <w:color w:val="000000"/>
                <w:sz w:val="14"/>
                <w:szCs w:val="16"/>
                <w:lang w:val="en-GB"/>
              </w:rPr>
              <w:t>a physical or mental injury</w:t>
            </w:r>
            <w:r w:rsidR="002B3287">
              <w:rPr>
                <w:rFonts w:cs="Arial"/>
                <w:color w:val="000000"/>
                <w:sz w:val="14"/>
                <w:szCs w:val="16"/>
                <w:lang w:val="en-GB"/>
              </w:rPr>
              <w:t>…</w:t>
            </w:r>
            <w:r w:rsidRPr="00AC5AB6">
              <w:rPr>
                <w:rFonts w:cs="Arial"/>
                <w:color w:val="000000"/>
                <w:sz w:val="14"/>
                <w:szCs w:val="16"/>
                <w:lang w:val="en-GB"/>
              </w:rPr>
              <w:t>out of or in the course of employment</w:t>
            </w:r>
            <w:r w:rsidR="002B3287">
              <w:rPr>
                <w:rFonts w:cs="Arial"/>
                <w:color w:val="000000"/>
                <w:sz w:val="14"/>
                <w:szCs w:val="16"/>
                <w:lang w:val="en-GB"/>
              </w:rPr>
              <w:t>…</w:t>
            </w:r>
            <w:r w:rsidRPr="00AC5AB6">
              <w:rPr>
                <w:rFonts w:cs="Arial"/>
                <w:color w:val="000000"/>
                <w:sz w:val="14"/>
                <w:szCs w:val="16"/>
                <w:lang w:val="en-GB"/>
              </w:rPr>
              <w:t xml:space="preserve">’ — </w:t>
            </w:r>
            <w:hyperlink r:id="rId799" w:history="1">
              <w:r w:rsidRPr="00C73375">
                <w:rPr>
                  <w:rStyle w:val="Hyperlink"/>
                  <w:rFonts w:cs="Arial"/>
                  <w:sz w:val="14"/>
                  <w:szCs w:val="16"/>
                  <w:lang w:val="en-GB"/>
                </w:rPr>
                <w:t>ss3A</w:t>
              </w:r>
            </w:hyperlink>
            <w:r w:rsidRPr="00AC5AB6">
              <w:rPr>
                <w:rFonts w:cs="Arial"/>
                <w:color w:val="000000"/>
                <w:sz w:val="14"/>
                <w:szCs w:val="16"/>
                <w:lang w:val="en-GB"/>
              </w:rPr>
              <w:t xml:space="preserve"> and </w:t>
            </w:r>
            <w:hyperlink r:id="rId800" w:history="1">
              <w:r w:rsidRPr="00C73375">
                <w:rPr>
                  <w:rStyle w:val="Hyperlink"/>
                  <w:rFonts w:cs="Arial"/>
                  <w:sz w:val="14"/>
                  <w:szCs w:val="16"/>
                  <w:lang w:val="en-GB"/>
                </w:rPr>
                <w:t>4</w:t>
              </w:r>
            </w:hyperlink>
            <w:r w:rsidR="00330699">
              <w:rPr>
                <w:rFonts w:cs="Arial"/>
                <w:color w:val="000000"/>
                <w:sz w:val="14"/>
                <w:szCs w:val="16"/>
                <w:lang w:val="en-GB"/>
              </w:rPr>
              <w:t xml:space="preserve">, </w:t>
            </w:r>
            <w:r w:rsidR="00330699" w:rsidRPr="00016069">
              <w:rPr>
                <w:i/>
                <w:sz w:val="14"/>
              </w:rPr>
              <w:t>Return to Work Act</w:t>
            </w:r>
          </w:p>
        </w:tc>
        <w:tc>
          <w:tcPr>
            <w:tcW w:w="6975" w:type="dxa"/>
            <w:shd w:val="clear" w:color="auto" w:fill="FFC9C9"/>
            <w:tcMar>
              <w:top w:w="80" w:type="dxa"/>
              <w:left w:w="80" w:type="dxa"/>
              <w:bottom w:w="80" w:type="dxa"/>
              <w:right w:w="80" w:type="dxa"/>
            </w:tcMar>
          </w:tcPr>
          <w:p w14:paraId="731900CE" w14:textId="3085EE89"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Material contribution, (for diseases — </w:t>
            </w:r>
            <w:hyperlink r:id="rId801" w:history="1">
              <w:r w:rsidRPr="00AC5AB6">
                <w:rPr>
                  <w:rFonts w:cs="Arial"/>
                  <w:color w:val="0000FF"/>
                  <w:sz w:val="14"/>
                  <w:szCs w:val="16"/>
                  <w:u w:val="single"/>
                  <w:lang w:val="en-GB"/>
                </w:rPr>
                <w:t>s4(6)</w:t>
              </w:r>
            </w:hyperlink>
            <w:r w:rsidRPr="00AC5AB6">
              <w:rPr>
                <w:rFonts w:cs="Arial"/>
                <w:color w:val="000000"/>
                <w:sz w:val="14"/>
                <w:szCs w:val="16"/>
                <w:lang w:val="en-GB"/>
              </w:rPr>
              <w:t xml:space="preserve"> and gradual process — </w:t>
            </w:r>
            <w:r w:rsidR="00C73375">
              <w:rPr>
                <w:rFonts w:cs="Arial"/>
                <w:color w:val="000000"/>
                <w:sz w:val="14"/>
                <w:szCs w:val="16"/>
                <w:lang w:val="en-GB"/>
              </w:rPr>
              <w:t>[</w:t>
            </w:r>
            <w:hyperlink r:id="rId802" w:history="1">
              <w:r w:rsidR="00C73375" w:rsidRPr="00C73375">
                <w:rPr>
                  <w:rStyle w:val="Hyperlink"/>
                  <w:rFonts w:cs="Arial"/>
                  <w:sz w:val="14"/>
                  <w:szCs w:val="16"/>
                  <w:lang w:val="en-GB"/>
                </w:rPr>
                <w:t>s4(5)</w:t>
              </w:r>
            </w:hyperlink>
            <w:r w:rsidR="00C73375">
              <w:rPr>
                <w:rFonts w:cs="Arial"/>
                <w:color w:val="000000"/>
                <w:sz w:val="14"/>
                <w:szCs w:val="16"/>
                <w:lang w:val="en-GB"/>
              </w:rPr>
              <w:t xml:space="preserve">] </w:t>
            </w:r>
            <w:r w:rsidRPr="00AC5AB6">
              <w:rPr>
                <w:rFonts w:cs="Arial"/>
                <w:color w:val="000000"/>
                <w:sz w:val="14"/>
                <w:szCs w:val="16"/>
                <w:lang w:val="en-GB"/>
              </w:rPr>
              <w:t>that is employment was the real proximate or effective cause (s4(8))</w:t>
            </w:r>
          </w:p>
          <w:p w14:paraId="2140CC9C" w14:textId="7A82B63C"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 mental injury is not an injury if due to management action taken on reasonable grounds and in a reasonable manner </w:t>
            </w:r>
            <w:r w:rsidR="0013176A">
              <w:rPr>
                <w:rFonts w:cs="Arial"/>
                <w:color w:val="000000"/>
                <w:sz w:val="14"/>
                <w:szCs w:val="16"/>
                <w:lang w:val="en-GB"/>
              </w:rPr>
              <w:t>—</w:t>
            </w:r>
            <w:r w:rsidR="0013176A" w:rsidRPr="00AC5AB6">
              <w:rPr>
                <w:rFonts w:cs="Arial"/>
                <w:color w:val="000000"/>
                <w:sz w:val="14"/>
                <w:szCs w:val="16"/>
                <w:lang w:val="en-GB"/>
              </w:rPr>
              <w:t xml:space="preserve"> </w:t>
            </w:r>
            <w:hyperlink r:id="rId803" w:history="1">
              <w:r w:rsidRPr="00C73375">
                <w:rPr>
                  <w:rStyle w:val="Hyperlink"/>
                  <w:rFonts w:cs="Arial"/>
                  <w:sz w:val="14"/>
                  <w:szCs w:val="16"/>
                  <w:lang w:val="en-GB"/>
                </w:rPr>
                <w:t>s3A(2)</w:t>
              </w:r>
            </w:hyperlink>
            <w:r w:rsidRPr="00AC5AB6">
              <w:rPr>
                <w:rFonts w:cs="Arial"/>
                <w:color w:val="000000"/>
                <w:sz w:val="14"/>
                <w:szCs w:val="16"/>
                <w:lang w:val="en-GB"/>
              </w:rPr>
              <w:t xml:space="preserve">. See </w:t>
            </w:r>
            <w:hyperlink r:id="rId804" w:history="1">
              <w:r w:rsidRPr="00C73375">
                <w:rPr>
                  <w:rStyle w:val="Hyperlink"/>
                  <w:rFonts w:cs="Arial"/>
                  <w:sz w:val="14"/>
                  <w:szCs w:val="16"/>
                  <w:lang w:val="en-GB"/>
                </w:rPr>
                <w:t>s3(1)</w:t>
              </w:r>
            </w:hyperlink>
            <w:r w:rsidRPr="00AC5AB6">
              <w:rPr>
                <w:rFonts w:cs="Arial"/>
                <w:color w:val="000000"/>
                <w:sz w:val="14"/>
                <w:szCs w:val="16"/>
                <w:lang w:val="en-GB"/>
              </w:rPr>
              <w:t xml:space="preserve"> for definition of ‘management action’</w:t>
            </w:r>
          </w:p>
          <w:p w14:paraId="4DF63431" w14:textId="6C09EFFA" w:rsidR="00AC5AB6" w:rsidRPr="00AC5AB6" w:rsidRDefault="00AC5AB6" w:rsidP="0013176A">
            <w:pPr>
              <w:spacing w:after="60"/>
              <w:rPr>
                <w:rFonts w:cs="Arial"/>
                <w:color w:val="000000"/>
                <w:sz w:val="14"/>
                <w:szCs w:val="16"/>
                <w:lang w:val="en-GB"/>
              </w:rPr>
            </w:pPr>
            <w:r w:rsidRPr="00AC5AB6">
              <w:rPr>
                <w:rFonts w:cs="Arial"/>
                <w:color w:val="000000"/>
                <w:sz w:val="14"/>
                <w:szCs w:val="16"/>
                <w:lang w:val="en-GB"/>
              </w:rPr>
              <w:t>For heart attack or stroke injury</w:t>
            </w:r>
            <w:r w:rsidR="00DD0D68">
              <w:rPr>
                <w:rFonts w:cs="Arial"/>
                <w:color w:val="000000"/>
                <w:sz w:val="14"/>
                <w:szCs w:val="16"/>
                <w:lang w:val="en-GB"/>
              </w:rPr>
              <w:t xml:space="preserve"> </w:t>
            </w:r>
            <w:r w:rsidR="0013176A">
              <w:rPr>
                <w:rFonts w:cs="Arial"/>
                <w:color w:val="000000"/>
                <w:sz w:val="14"/>
                <w:szCs w:val="16"/>
                <w:lang w:val="en-GB"/>
              </w:rPr>
              <w:t>—</w:t>
            </w:r>
            <w:r w:rsidR="0013176A" w:rsidRPr="00AC5AB6">
              <w:rPr>
                <w:rFonts w:cs="Arial"/>
                <w:color w:val="000000"/>
                <w:sz w:val="14"/>
                <w:szCs w:val="16"/>
                <w:lang w:val="en-GB"/>
              </w:rPr>
              <w:t xml:space="preserve"> </w:t>
            </w:r>
            <w:r w:rsidRPr="00AC5AB6">
              <w:rPr>
                <w:rFonts w:cs="Arial"/>
                <w:color w:val="000000"/>
                <w:sz w:val="14"/>
                <w:szCs w:val="16"/>
                <w:lang w:val="en-GB"/>
              </w:rPr>
              <w:t xml:space="preserve">material contribution — s58 that is employment was the real proximate or effective cause </w:t>
            </w:r>
            <w:r w:rsidR="0013176A">
              <w:rPr>
                <w:rFonts w:cs="Arial"/>
                <w:color w:val="000000"/>
                <w:sz w:val="14"/>
                <w:szCs w:val="16"/>
                <w:lang w:val="en-GB"/>
              </w:rPr>
              <w:t>—</w:t>
            </w:r>
            <w:r w:rsidR="0013176A" w:rsidRPr="00AC5AB6">
              <w:rPr>
                <w:rFonts w:cs="Arial"/>
                <w:color w:val="000000"/>
                <w:sz w:val="14"/>
                <w:szCs w:val="16"/>
                <w:lang w:val="en-GB"/>
              </w:rPr>
              <w:t xml:space="preserve"> </w:t>
            </w:r>
            <w:hyperlink r:id="rId805" w:history="1">
              <w:r w:rsidRPr="00C73375">
                <w:rPr>
                  <w:rStyle w:val="Hyperlink"/>
                  <w:rFonts w:cs="Arial"/>
                  <w:sz w:val="14"/>
                  <w:szCs w:val="16"/>
                  <w:lang w:val="en-GB"/>
                </w:rPr>
                <w:t>s4(8)</w:t>
              </w:r>
            </w:hyperlink>
          </w:p>
        </w:tc>
      </w:tr>
      <w:tr w:rsidR="00AC5AB6" w:rsidRPr="00AC5AB6" w14:paraId="694EF705" w14:textId="77777777" w:rsidTr="00FB729B">
        <w:tc>
          <w:tcPr>
            <w:tcW w:w="1626" w:type="dxa"/>
            <w:tcMar>
              <w:top w:w="80" w:type="dxa"/>
              <w:left w:w="80" w:type="dxa"/>
              <w:bottom w:w="80" w:type="dxa"/>
              <w:right w:w="80" w:type="dxa"/>
            </w:tcMar>
          </w:tcPr>
          <w:p w14:paraId="3AE0BECE"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Australian Capital Territory</w:t>
            </w:r>
          </w:p>
        </w:tc>
        <w:tc>
          <w:tcPr>
            <w:tcW w:w="6974" w:type="dxa"/>
            <w:tcMar>
              <w:top w:w="80" w:type="dxa"/>
              <w:left w:w="80" w:type="dxa"/>
              <w:bottom w:w="80" w:type="dxa"/>
              <w:right w:w="80" w:type="dxa"/>
            </w:tcMar>
          </w:tcPr>
          <w:p w14:paraId="5B04C75E" w14:textId="5C59A306"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‘a physical or mental injury (including stress)</w:t>
            </w:r>
            <w:r w:rsidR="002B3287">
              <w:rPr>
                <w:rFonts w:cs="Arial"/>
                <w:color w:val="000000"/>
                <w:sz w:val="14"/>
                <w:szCs w:val="16"/>
                <w:lang w:val="en-GB"/>
              </w:rPr>
              <w:t>…</w:t>
            </w:r>
            <w:r w:rsidRPr="00AC5AB6">
              <w:rPr>
                <w:rFonts w:cs="Arial"/>
                <w:color w:val="000000"/>
                <w:sz w:val="14"/>
                <w:szCs w:val="16"/>
                <w:lang w:val="en-GB"/>
              </w:rPr>
              <w:t>includes aggravation, acceleration or recurrence of a pre-existing injury</w:t>
            </w:r>
            <w:r w:rsidR="002B3287">
              <w:rPr>
                <w:rFonts w:cs="Arial"/>
                <w:color w:val="000000"/>
                <w:sz w:val="14"/>
                <w:szCs w:val="16"/>
                <w:lang w:val="en-GB"/>
              </w:rPr>
              <w:t>…</w:t>
            </w:r>
            <w:r w:rsidRPr="00AC5AB6">
              <w:rPr>
                <w:rFonts w:cs="Arial"/>
                <w:color w:val="000000"/>
                <w:sz w:val="14"/>
                <w:szCs w:val="16"/>
                <w:lang w:val="en-GB"/>
              </w:rPr>
              <w:t>arising out of, or in the course of, the worker’s employment</w:t>
            </w:r>
            <w:r w:rsidR="002B3287">
              <w:rPr>
                <w:rFonts w:cs="Arial"/>
                <w:color w:val="000000"/>
                <w:sz w:val="14"/>
                <w:szCs w:val="16"/>
                <w:lang w:val="en-GB"/>
              </w:rPr>
              <w:t>…</w:t>
            </w:r>
            <w:r w:rsidRPr="00AC5AB6">
              <w:rPr>
                <w:rFonts w:cs="Arial"/>
                <w:color w:val="000000"/>
                <w:sz w:val="14"/>
                <w:szCs w:val="16"/>
                <w:lang w:val="en-GB"/>
              </w:rPr>
              <w:t xml:space="preserve">’ — </w:t>
            </w:r>
            <w:hyperlink r:id="rId806" w:history="1">
              <w:r w:rsidRPr="001C517D">
                <w:rPr>
                  <w:rStyle w:val="Hyperlink"/>
                  <w:rFonts w:cs="Arial"/>
                  <w:sz w:val="14"/>
                  <w:szCs w:val="16"/>
                  <w:lang w:val="en-GB"/>
                </w:rPr>
                <w:t>ss4</w:t>
              </w:r>
            </w:hyperlink>
            <w:r w:rsidRPr="00AC5AB6">
              <w:rPr>
                <w:rFonts w:cs="Arial"/>
                <w:color w:val="000000"/>
                <w:sz w:val="14"/>
                <w:szCs w:val="16"/>
                <w:lang w:val="en-GB"/>
              </w:rPr>
              <w:t xml:space="preserve"> and </w:t>
            </w:r>
            <w:hyperlink r:id="rId807" w:history="1">
              <w:r w:rsidRPr="001C517D">
                <w:rPr>
                  <w:rStyle w:val="Hyperlink"/>
                  <w:rFonts w:cs="Arial"/>
                  <w:sz w:val="14"/>
                  <w:szCs w:val="16"/>
                  <w:lang w:val="en-GB"/>
                </w:rPr>
                <w:t>31</w:t>
              </w:r>
            </w:hyperlink>
            <w:r w:rsidR="00330699">
              <w:rPr>
                <w:rFonts w:cs="Arial"/>
                <w:color w:val="000000"/>
                <w:sz w:val="14"/>
                <w:szCs w:val="16"/>
                <w:lang w:val="en-GB"/>
              </w:rPr>
              <w:t xml:space="preserve">, </w:t>
            </w:r>
            <w:r w:rsidR="00330699" w:rsidRPr="00016069">
              <w:rPr>
                <w:i/>
                <w:sz w:val="14"/>
              </w:rPr>
              <w:t>Workers Compensation Act 1951</w:t>
            </w:r>
          </w:p>
        </w:tc>
        <w:tc>
          <w:tcPr>
            <w:tcW w:w="6975" w:type="dxa"/>
            <w:tcMar>
              <w:top w:w="80" w:type="dxa"/>
              <w:left w:w="80" w:type="dxa"/>
              <w:bottom w:w="80" w:type="dxa"/>
              <w:right w:w="80" w:type="dxa"/>
            </w:tcMar>
          </w:tcPr>
          <w:p w14:paraId="61613584" w14:textId="065237BD"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 substantial contributing factor — </w:t>
            </w:r>
            <w:hyperlink r:id="rId808" w:history="1">
              <w:r w:rsidRPr="001C517D">
                <w:rPr>
                  <w:rStyle w:val="Hyperlink"/>
                  <w:rFonts w:cs="Arial"/>
                  <w:sz w:val="14"/>
                  <w:szCs w:val="16"/>
                  <w:lang w:val="en-GB"/>
                </w:rPr>
                <w:t>s31(2)</w:t>
              </w:r>
            </w:hyperlink>
          </w:p>
        </w:tc>
      </w:tr>
      <w:tr w:rsidR="00AC5AB6" w:rsidRPr="00AC5AB6" w14:paraId="56B43830" w14:textId="77777777" w:rsidTr="00FB729B">
        <w:tc>
          <w:tcPr>
            <w:tcW w:w="1626" w:type="dxa"/>
            <w:shd w:val="clear" w:color="auto" w:fill="FFC9C9"/>
            <w:tcMar>
              <w:top w:w="80" w:type="dxa"/>
              <w:left w:w="80" w:type="dxa"/>
              <w:bottom w:w="80" w:type="dxa"/>
              <w:right w:w="80" w:type="dxa"/>
            </w:tcMar>
          </w:tcPr>
          <w:p w14:paraId="15677481"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C’wealth Comcare</w:t>
            </w:r>
          </w:p>
        </w:tc>
        <w:tc>
          <w:tcPr>
            <w:tcW w:w="6974" w:type="dxa"/>
            <w:shd w:val="clear" w:color="auto" w:fill="FFC9C9"/>
            <w:tcMar>
              <w:top w:w="80" w:type="dxa"/>
              <w:left w:w="80" w:type="dxa"/>
              <w:bottom w:w="80" w:type="dxa"/>
              <w:right w:w="80" w:type="dxa"/>
            </w:tcMar>
          </w:tcPr>
          <w:p w14:paraId="3CED2BBD" w14:textId="77777777"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For injuries:</w:t>
            </w:r>
          </w:p>
          <w:p w14:paraId="71B3D84F" w14:textId="77777777" w:rsidR="00AC5AB6" w:rsidRPr="00784E48" w:rsidRDefault="00AC5AB6" w:rsidP="00F839DB">
            <w:pPr>
              <w:pStyle w:val="ListParagraph"/>
              <w:numPr>
                <w:ilvl w:val="0"/>
                <w:numId w:val="422"/>
              </w:numPr>
              <w:spacing w:after="60"/>
              <w:rPr>
                <w:rFonts w:cs="Arial"/>
                <w:color w:val="000000"/>
                <w:sz w:val="14"/>
                <w:szCs w:val="16"/>
                <w:lang w:val="en-GB"/>
              </w:rPr>
            </w:pPr>
            <w:r w:rsidRPr="00784E48">
              <w:rPr>
                <w:rFonts w:cs="Arial"/>
                <w:color w:val="000000"/>
                <w:sz w:val="14"/>
                <w:szCs w:val="16"/>
                <w:lang w:val="en-GB"/>
              </w:rPr>
              <w:t xml:space="preserve">‘ </w:t>
            </w:r>
            <w:r w:rsidR="002B3287">
              <w:rPr>
                <w:rFonts w:cs="Arial"/>
                <w:color w:val="000000"/>
                <w:sz w:val="14"/>
                <w:szCs w:val="16"/>
                <w:lang w:val="en-GB"/>
              </w:rPr>
              <w:t>…</w:t>
            </w:r>
            <w:r w:rsidRPr="00784E48">
              <w:rPr>
                <w:rFonts w:cs="Arial"/>
                <w:color w:val="000000"/>
                <w:sz w:val="14"/>
                <w:szCs w:val="16"/>
                <w:lang w:val="en-GB"/>
              </w:rPr>
              <w:t>a physical or mental injury arising out of, or in the course of, the employee’s employment</w:t>
            </w:r>
            <w:r w:rsidR="002B3287">
              <w:rPr>
                <w:rFonts w:cs="Arial"/>
                <w:color w:val="000000"/>
                <w:sz w:val="14"/>
                <w:szCs w:val="16"/>
                <w:lang w:val="en-GB"/>
              </w:rPr>
              <w:t>…</w:t>
            </w:r>
            <w:r w:rsidRPr="00784E48">
              <w:rPr>
                <w:rFonts w:cs="Arial"/>
                <w:color w:val="000000"/>
                <w:sz w:val="14"/>
                <w:szCs w:val="16"/>
                <w:lang w:val="en-GB"/>
              </w:rPr>
              <w:t>’, or</w:t>
            </w:r>
          </w:p>
          <w:p w14:paraId="1B7E490F" w14:textId="41E96777" w:rsidR="00AC5AB6" w:rsidRPr="00784E48" w:rsidRDefault="00AC5AB6" w:rsidP="00F839DB">
            <w:pPr>
              <w:pStyle w:val="ListParagraph"/>
              <w:numPr>
                <w:ilvl w:val="0"/>
                <w:numId w:val="422"/>
              </w:numPr>
              <w:spacing w:after="60"/>
              <w:rPr>
                <w:rFonts w:cs="Arial"/>
                <w:color w:val="000000"/>
                <w:sz w:val="14"/>
                <w:szCs w:val="16"/>
                <w:lang w:val="en-GB"/>
              </w:rPr>
            </w:pPr>
            <w:r w:rsidRPr="00784E48">
              <w:rPr>
                <w:rFonts w:cs="Arial"/>
                <w:color w:val="000000"/>
                <w:sz w:val="14"/>
                <w:szCs w:val="16"/>
                <w:lang w:val="en-GB"/>
              </w:rPr>
              <w:t>‘...an aggravation of a physical or mental injury (other than a disea</w:t>
            </w:r>
            <w:r w:rsidR="00370396">
              <w:rPr>
                <w:rFonts w:cs="Arial"/>
                <w:color w:val="000000"/>
                <w:sz w:val="14"/>
                <w:szCs w:val="16"/>
                <w:lang w:val="en-GB"/>
              </w:rPr>
              <w:t>se) suffered by an employee ...</w:t>
            </w:r>
            <w:r w:rsidRPr="00784E48">
              <w:rPr>
                <w:rFonts w:cs="Arial"/>
                <w:color w:val="000000"/>
                <w:sz w:val="14"/>
                <w:szCs w:val="16"/>
                <w:lang w:val="en-GB"/>
              </w:rPr>
              <w:t xml:space="preserve">’ — </w:t>
            </w:r>
            <w:hyperlink r:id="rId809" w:history="1">
              <w:r w:rsidRPr="001C517D">
                <w:rPr>
                  <w:rStyle w:val="Hyperlink"/>
                  <w:rFonts w:cs="Arial"/>
                  <w:sz w:val="14"/>
                  <w:szCs w:val="16"/>
                  <w:lang w:val="en-GB"/>
                </w:rPr>
                <w:t>s5A</w:t>
              </w:r>
            </w:hyperlink>
          </w:p>
          <w:p w14:paraId="56C58FC0" w14:textId="36F641E6"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For diseases: ‘an ailment or aggravation of an ailment…that was contributed to, to a significant degree by an employee’s employment’ — </w:t>
            </w:r>
            <w:hyperlink r:id="rId810" w:history="1">
              <w:r w:rsidRPr="001C517D">
                <w:rPr>
                  <w:rStyle w:val="Hyperlink"/>
                  <w:rFonts w:cs="Arial"/>
                  <w:sz w:val="14"/>
                  <w:szCs w:val="16"/>
                  <w:lang w:val="en-GB"/>
                </w:rPr>
                <w:t>s5B</w:t>
              </w:r>
            </w:hyperlink>
            <w:r w:rsidR="00330699">
              <w:rPr>
                <w:rFonts w:cs="Arial"/>
                <w:color w:val="000000"/>
                <w:sz w:val="14"/>
                <w:szCs w:val="16"/>
                <w:lang w:val="en-GB"/>
              </w:rPr>
              <w:t xml:space="preserve">, </w:t>
            </w:r>
            <w:r w:rsidR="00330699" w:rsidRPr="00016069">
              <w:rPr>
                <w:i/>
                <w:sz w:val="14"/>
              </w:rPr>
              <w:t>Safety, Rehabilitation and Compensation Act 1988</w:t>
            </w:r>
            <w:r w:rsidR="008B12F0">
              <w:rPr>
                <w:i/>
                <w:sz w:val="14"/>
              </w:rPr>
              <w:t>.</w:t>
            </w:r>
          </w:p>
        </w:tc>
        <w:tc>
          <w:tcPr>
            <w:tcW w:w="6975" w:type="dxa"/>
            <w:shd w:val="clear" w:color="auto" w:fill="FFC9C9"/>
            <w:tcMar>
              <w:top w:w="80" w:type="dxa"/>
              <w:left w:w="80" w:type="dxa"/>
              <w:bottom w:w="80" w:type="dxa"/>
              <w:right w:w="80" w:type="dxa"/>
            </w:tcMar>
          </w:tcPr>
          <w:p w14:paraId="7428A7A4" w14:textId="2CA01154"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To a significant degree (for diseases) — </w:t>
            </w:r>
            <w:hyperlink r:id="rId811" w:history="1">
              <w:r w:rsidRPr="001C517D">
                <w:rPr>
                  <w:rStyle w:val="Hyperlink"/>
                  <w:rFonts w:cs="Arial"/>
                  <w:sz w:val="14"/>
                  <w:szCs w:val="16"/>
                  <w:lang w:val="en-GB"/>
                </w:rPr>
                <w:t>s5B</w:t>
              </w:r>
            </w:hyperlink>
            <w:r w:rsidRPr="00AC5AB6">
              <w:rPr>
                <w:rFonts w:cs="Arial"/>
                <w:color w:val="000000"/>
                <w:sz w:val="14"/>
                <w:szCs w:val="16"/>
                <w:lang w:val="en-GB"/>
              </w:rPr>
              <w:t>, with matters to be taken into account being set out in a non-exclusive list and with ‘significant degree’ being defined as ‘su</w:t>
            </w:r>
            <w:r w:rsidR="00EE7768">
              <w:rPr>
                <w:rFonts w:cs="Arial"/>
                <w:color w:val="000000"/>
                <w:sz w:val="14"/>
                <w:szCs w:val="16"/>
                <w:lang w:val="en-GB"/>
              </w:rPr>
              <w:t>bstantially more than material’</w:t>
            </w:r>
          </w:p>
        </w:tc>
      </w:tr>
      <w:tr w:rsidR="00AC5AB6" w:rsidRPr="00AC5AB6" w14:paraId="0D9BDF18" w14:textId="77777777" w:rsidTr="00FB729B">
        <w:tc>
          <w:tcPr>
            <w:tcW w:w="1626" w:type="dxa"/>
            <w:tcMar>
              <w:top w:w="80" w:type="dxa"/>
              <w:left w:w="80" w:type="dxa"/>
              <w:bottom w:w="80" w:type="dxa"/>
              <w:right w:w="80" w:type="dxa"/>
            </w:tcMar>
          </w:tcPr>
          <w:p w14:paraId="5ADC5BC8"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C’wealth Seacare</w:t>
            </w:r>
          </w:p>
        </w:tc>
        <w:tc>
          <w:tcPr>
            <w:tcW w:w="6974" w:type="dxa"/>
            <w:tcMar>
              <w:top w:w="80" w:type="dxa"/>
              <w:left w:w="80" w:type="dxa"/>
              <w:bottom w:w="80" w:type="dxa"/>
              <w:right w:w="80" w:type="dxa"/>
            </w:tcMar>
          </w:tcPr>
          <w:p w14:paraId="52B9F966" w14:textId="77777777"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For injuries: ‘an injury (other than a disease) suffered by an employee, being a physical or mental injury arising out of, or in the course of, the employee’s employment’, or</w:t>
            </w:r>
          </w:p>
          <w:p w14:paraId="43A18D8E" w14:textId="6A2F4081"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‘...an aggravation of a physical or mental injury (other than a disease) suffered by an employee’ — </w:t>
            </w:r>
            <w:hyperlink r:id="rId812" w:history="1">
              <w:r w:rsidRPr="001C517D">
                <w:rPr>
                  <w:rStyle w:val="Hyperlink"/>
                  <w:rFonts w:cs="Arial"/>
                  <w:sz w:val="14"/>
                  <w:szCs w:val="16"/>
                  <w:lang w:val="en-GB"/>
                </w:rPr>
                <w:t>s3</w:t>
              </w:r>
            </w:hyperlink>
            <w:r w:rsidR="008B12F0">
              <w:rPr>
                <w:rFonts w:cs="Arial"/>
                <w:color w:val="000000"/>
                <w:sz w:val="14"/>
                <w:szCs w:val="16"/>
                <w:lang w:val="en-GB"/>
              </w:rPr>
              <w:t xml:space="preserve">, </w:t>
            </w:r>
            <w:r w:rsidR="008B12F0" w:rsidRPr="00016069">
              <w:rPr>
                <w:i/>
                <w:sz w:val="14"/>
              </w:rPr>
              <w:t>Seafarers Rehabilitation and Compensation Act 1992</w:t>
            </w:r>
          </w:p>
          <w:p w14:paraId="27C04FB6" w14:textId="311EA1EC" w:rsidR="00AC5AB6" w:rsidRPr="00AC5AB6" w:rsidRDefault="00AC5AB6" w:rsidP="0013176A">
            <w:pPr>
              <w:spacing w:after="60"/>
              <w:rPr>
                <w:rFonts w:cs="Arial"/>
                <w:color w:val="000000"/>
                <w:sz w:val="14"/>
                <w:szCs w:val="16"/>
                <w:lang w:val="en-GB"/>
              </w:rPr>
            </w:pPr>
            <w:r w:rsidRPr="00AC5AB6">
              <w:rPr>
                <w:rFonts w:cs="Arial"/>
                <w:color w:val="000000"/>
                <w:sz w:val="14"/>
                <w:szCs w:val="16"/>
                <w:lang w:val="en-GB"/>
              </w:rPr>
              <w:t xml:space="preserve">For diseases: ‘any ailment suffered by an employee, or the aggravation of any such ailment, being an ailment or an aggravation that was contributed to in a material degree by the employee’s employment’ </w:t>
            </w:r>
            <w:r w:rsidR="0013176A">
              <w:rPr>
                <w:rFonts w:cs="Arial"/>
                <w:color w:val="000000"/>
                <w:sz w:val="14"/>
                <w:szCs w:val="16"/>
                <w:lang w:val="en-GB"/>
              </w:rPr>
              <w:t>—</w:t>
            </w:r>
            <w:r w:rsidR="0013176A" w:rsidRPr="00AC5AB6">
              <w:rPr>
                <w:rFonts w:cs="Arial"/>
                <w:color w:val="000000"/>
                <w:sz w:val="14"/>
                <w:szCs w:val="16"/>
                <w:lang w:val="en-GB"/>
              </w:rPr>
              <w:t xml:space="preserve"> </w:t>
            </w:r>
            <w:hyperlink r:id="rId813" w:history="1">
              <w:r w:rsidRPr="001C517D">
                <w:rPr>
                  <w:rStyle w:val="Hyperlink"/>
                  <w:rFonts w:cs="Arial"/>
                  <w:sz w:val="14"/>
                  <w:szCs w:val="16"/>
                  <w:lang w:val="en-GB"/>
                </w:rPr>
                <w:t>s3</w:t>
              </w:r>
            </w:hyperlink>
          </w:p>
        </w:tc>
        <w:tc>
          <w:tcPr>
            <w:tcW w:w="6975" w:type="dxa"/>
            <w:tcMar>
              <w:top w:w="80" w:type="dxa"/>
              <w:left w:w="80" w:type="dxa"/>
              <w:bottom w:w="80" w:type="dxa"/>
              <w:right w:w="80" w:type="dxa"/>
            </w:tcMar>
          </w:tcPr>
          <w:p w14:paraId="17BECBC4" w14:textId="3142CCAB"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To a material degree (for diseases) — </w:t>
            </w:r>
            <w:hyperlink r:id="rId814" w:history="1">
              <w:r w:rsidRPr="001C517D">
                <w:rPr>
                  <w:rStyle w:val="Hyperlink"/>
                  <w:rFonts w:cs="Arial"/>
                  <w:sz w:val="14"/>
                  <w:szCs w:val="16"/>
                  <w:lang w:val="en-GB"/>
                </w:rPr>
                <w:t>s3</w:t>
              </w:r>
            </w:hyperlink>
          </w:p>
        </w:tc>
      </w:tr>
      <w:tr w:rsidR="00AC5AB6" w:rsidRPr="00AC5AB6" w14:paraId="49D061E6" w14:textId="77777777" w:rsidTr="00FB729B">
        <w:tc>
          <w:tcPr>
            <w:tcW w:w="1626" w:type="dxa"/>
            <w:shd w:val="clear" w:color="auto" w:fill="FFC9C9"/>
            <w:tcMar>
              <w:top w:w="80" w:type="dxa"/>
              <w:left w:w="80" w:type="dxa"/>
              <w:bottom w:w="80" w:type="dxa"/>
              <w:right w:w="80" w:type="dxa"/>
            </w:tcMar>
          </w:tcPr>
          <w:p w14:paraId="2FCA5ABC"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C’wealth DVA</w:t>
            </w:r>
          </w:p>
        </w:tc>
        <w:tc>
          <w:tcPr>
            <w:tcW w:w="6974" w:type="dxa"/>
            <w:shd w:val="clear" w:color="auto" w:fill="FFC9C9"/>
            <w:tcMar>
              <w:top w:w="80" w:type="dxa"/>
              <w:left w:w="80" w:type="dxa"/>
              <w:bottom w:w="80" w:type="dxa"/>
              <w:right w:w="80" w:type="dxa"/>
            </w:tcMar>
          </w:tcPr>
          <w:p w14:paraId="0107AEED" w14:textId="77777777"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Under ‘Definition of injury etc.’ — </w:t>
            </w:r>
          </w:p>
          <w:p w14:paraId="1ECE584C" w14:textId="240E49AF"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Refer </w:t>
            </w:r>
            <w:hyperlink r:id="rId815" w:history="1">
              <w:r w:rsidRPr="001C517D">
                <w:rPr>
                  <w:rStyle w:val="Hyperlink"/>
                  <w:rFonts w:cs="Arial"/>
                  <w:sz w:val="14"/>
                  <w:szCs w:val="16"/>
                  <w:lang w:val="en-GB"/>
                </w:rPr>
                <w:t>s27</w:t>
              </w:r>
            </w:hyperlink>
            <w:r w:rsidRPr="00AC5AB6">
              <w:rPr>
                <w:rFonts w:cs="Arial"/>
                <w:color w:val="000000"/>
                <w:sz w:val="14"/>
                <w:szCs w:val="16"/>
                <w:lang w:val="en-GB"/>
              </w:rPr>
              <w:t xml:space="preserve">, </w:t>
            </w:r>
            <w:hyperlink r:id="rId816" w:history="1">
              <w:r w:rsidRPr="001C517D">
                <w:rPr>
                  <w:rStyle w:val="Hyperlink"/>
                  <w:rFonts w:cs="Arial"/>
                  <w:sz w:val="14"/>
                  <w:szCs w:val="16"/>
                  <w:lang w:val="en-GB"/>
                </w:rPr>
                <w:t>s29(1)</w:t>
              </w:r>
            </w:hyperlink>
            <w:r w:rsidRPr="00AC5AB6">
              <w:rPr>
                <w:rFonts w:cs="Arial"/>
                <w:color w:val="000000"/>
                <w:sz w:val="14"/>
                <w:szCs w:val="16"/>
                <w:lang w:val="en-GB"/>
              </w:rPr>
              <w:t xml:space="preserve">, </w:t>
            </w:r>
            <w:hyperlink r:id="rId817" w:history="1">
              <w:r w:rsidRPr="001C517D">
                <w:rPr>
                  <w:rStyle w:val="Hyperlink"/>
                  <w:rFonts w:cs="Arial"/>
                  <w:sz w:val="14"/>
                  <w:szCs w:val="16"/>
                  <w:lang w:val="en-GB"/>
                </w:rPr>
                <w:t>s29(2)</w:t>
              </w:r>
            </w:hyperlink>
            <w:r w:rsidRPr="00AC5AB6">
              <w:rPr>
                <w:rFonts w:cs="Arial"/>
                <w:color w:val="000000"/>
                <w:sz w:val="14"/>
                <w:szCs w:val="16"/>
                <w:lang w:val="en-GB"/>
              </w:rPr>
              <w:t xml:space="preserve"> and </w:t>
            </w:r>
            <w:hyperlink r:id="rId818" w:history="1">
              <w:r w:rsidRPr="001C517D">
                <w:rPr>
                  <w:rStyle w:val="Hyperlink"/>
                  <w:rFonts w:cs="Arial"/>
                  <w:sz w:val="14"/>
                  <w:szCs w:val="16"/>
                  <w:lang w:val="en-GB"/>
                </w:rPr>
                <w:t>s30</w:t>
              </w:r>
            </w:hyperlink>
            <w:r w:rsidRPr="00AC5AB6">
              <w:rPr>
                <w:rFonts w:cs="Arial"/>
                <w:color w:val="000000"/>
                <w:sz w:val="14"/>
                <w:szCs w:val="16"/>
                <w:lang w:val="en-GB"/>
              </w:rPr>
              <w:t xml:space="preserve"> of </w:t>
            </w:r>
            <w:r w:rsidR="008B12F0" w:rsidRPr="0039798F">
              <w:rPr>
                <w:rFonts w:eastAsia="Calibri" w:cs="Arial"/>
                <w:i/>
                <w:sz w:val="14"/>
                <w:szCs w:val="14"/>
                <w:lang w:eastAsia="en-US"/>
              </w:rPr>
              <w:t>Military Rehabilitation and Compensation Act 2004</w:t>
            </w:r>
            <w:r w:rsidR="008B12F0">
              <w:rPr>
                <w:rFonts w:cs="Arial"/>
                <w:color w:val="000000"/>
                <w:sz w:val="14"/>
                <w:szCs w:val="16"/>
                <w:lang w:val="en-GB"/>
              </w:rPr>
              <w:t xml:space="preserve"> (</w:t>
            </w:r>
            <w:r w:rsidRPr="00AC5AB6">
              <w:rPr>
                <w:rFonts w:cs="Arial"/>
                <w:color w:val="000000"/>
                <w:sz w:val="14"/>
                <w:szCs w:val="16"/>
                <w:lang w:val="en-GB"/>
              </w:rPr>
              <w:t>MRCA</w:t>
            </w:r>
            <w:r w:rsidR="008B12F0">
              <w:rPr>
                <w:rFonts w:cs="Arial"/>
                <w:color w:val="000000"/>
                <w:sz w:val="14"/>
                <w:szCs w:val="16"/>
                <w:lang w:val="en-GB"/>
              </w:rPr>
              <w:t>)</w:t>
            </w:r>
            <w:r w:rsidRPr="00AC5AB6">
              <w:rPr>
                <w:rFonts w:cs="Arial"/>
                <w:color w:val="000000"/>
                <w:sz w:val="14"/>
                <w:szCs w:val="16"/>
                <w:lang w:val="en-GB"/>
              </w:rPr>
              <w:t>.</w:t>
            </w:r>
          </w:p>
          <w:p w14:paraId="6D1E16CD" w14:textId="77777777" w:rsidR="00AC5AB6" w:rsidRPr="002733A4" w:rsidRDefault="00AC5AB6" w:rsidP="00F839DB">
            <w:pPr>
              <w:pStyle w:val="Table1231"/>
              <w:numPr>
                <w:ilvl w:val="0"/>
                <w:numId w:val="437"/>
              </w:numPr>
              <w:spacing w:before="0" w:after="60"/>
              <w:rPr>
                <w:rFonts w:eastAsia="Calibri"/>
                <w:lang w:eastAsia="en-US"/>
              </w:rPr>
            </w:pPr>
            <w:r w:rsidRPr="002733A4">
              <w:rPr>
                <w:rFonts w:eastAsia="Calibri"/>
                <w:lang w:eastAsia="en-US"/>
              </w:rPr>
              <w:t>'...any physical or mental injury (including the recurrence of a physical or mental injury) or (being a disease)...</w:t>
            </w:r>
            <w:r w:rsidR="00370396">
              <w:rPr>
                <w:rFonts w:eastAsia="Calibri"/>
                <w:lang w:eastAsia="en-US"/>
              </w:rPr>
              <w:t>’</w:t>
            </w:r>
          </w:p>
          <w:p w14:paraId="365DAED9" w14:textId="77777777" w:rsidR="00AC5AB6" w:rsidRPr="00CC15A2" w:rsidRDefault="00AC5AB6" w:rsidP="00F839DB">
            <w:pPr>
              <w:pStyle w:val="Tableabc7pt"/>
              <w:numPr>
                <w:ilvl w:val="0"/>
                <w:numId w:val="94"/>
              </w:numPr>
              <w:spacing w:before="0" w:after="60"/>
              <w:ind w:left="357" w:hanging="357"/>
              <w:contextualSpacing w:val="0"/>
              <w:rPr>
                <w:rFonts w:eastAsia="Calibri"/>
                <w:lang w:eastAsia="en-US"/>
              </w:rPr>
            </w:pPr>
            <w:r w:rsidRPr="00CC15A2">
              <w:rPr>
                <w:rFonts w:eastAsia="Calibri"/>
                <w:lang w:eastAsia="en-US"/>
              </w:rPr>
              <w:t>any physical or mental ailment, disorder, defect or morbid condition (whether of sudden onset or gradual development), or</w:t>
            </w:r>
          </w:p>
          <w:p w14:paraId="43097A26" w14:textId="77777777" w:rsidR="00AC5AB6" w:rsidRPr="002C6EA9" w:rsidRDefault="00AC5AB6" w:rsidP="00F839DB">
            <w:pPr>
              <w:pStyle w:val="ListParagraph"/>
              <w:numPr>
                <w:ilvl w:val="0"/>
                <w:numId w:val="94"/>
              </w:numPr>
              <w:spacing w:after="60"/>
              <w:rPr>
                <w:rFonts w:eastAsia="Calibri" w:cs="Arial"/>
                <w:sz w:val="14"/>
                <w:szCs w:val="14"/>
                <w:lang w:eastAsia="en-US"/>
              </w:rPr>
            </w:pPr>
            <w:r w:rsidRPr="002C6EA9">
              <w:rPr>
                <w:rFonts w:eastAsia="Calibri" w:cs="Arial"/>
                <w:sz w:val="14"/>
                <w:szCs w:val="14"/>
                <w:lang w:eastAsia="en-US"/>
              </w:rPr>
              <w:t>the recurrence of such an ailment, disorder, defect or morbid condition:</w:t>
            </w:r>
          </w:p>
          <w:p w14:paraId="5D9FC9F0" w14:textId="77777777" w:rsidR="00AC5AB6" w:rsidRPr="00CC15A2" w:rsidRDefault="00AC5AB6" w:rsidP="00F839DB">
            <w:pPr>
              <w:pStyle w:val="ListParagraph"/>
              <w:numPr>
                <w:ilvl w:val="0"/>
                <w:numId w:val="95"/>
              </w:numPr>
              <w:spacing w:after="60"/>
              <w:contextualSpacing/>
              <w:rPr>
                <w:rFonts w:eastAsia="Calibri" w:cs="Arial"/>
                <w:sz w:val="14"/>
                <w:szCs w:val="14"/>
                <w:lang w:eastAsia="en-US"/>
              </w:rPr>
            </w:pPr>
            <w:r w:rsidRPr="00CC15A2">
              <w:rPr>
                <w:rFonts w:eastAsia="Calibri" w:cs="Arial"/>
                <w:sz w:val="14"/>
                <w:szCs w:val="14"/>
                <w:lang w:eastAsia="en-US"/>
              </w:rPr>
              <w:t>resulted from an occurrence that happened whilst rendering service</w:t>
            </w:r>
          </w:p>
          <w:p w14:paraId="5612D6A0" w14:textId="77777777" w:rsidR="00AC5AB6" w:rsidRPr="00CC15A2" w:rsidRDefault="00AC5AB6" w:rsidP="00F839DB">
            <w:pPr>
              <w:pStyle w:val="ListParagraph"/>
              <w:numPr>
                <w:ilvl w:val="0"/>
                <w:numId w:val="95"/>
              </w:numPr>
              <w:spacing w:after="60"/>
              <w:contextualSpacing/>
              <w:rPr>
                <w:rFonts w:eastAsia="Calibri" w:cs="Arial"/>
                <w:sz w:val="14"/>
                <w:szCs w:val="14"/>
                <w:lang w:eastAsia="en-US"/>
              </w:rPr>
            </w:pPr>
            <w:r w:rsidRPr="00CC15A2">
              <w:rPr>
                <w:rFonts w:eastAsia="Calibri" w:cs="Arial"/>
                <w:sz w:val="14"/>
                <w:szCs w:val="14"/>
                <w:lang w:eastAsia="en-US"/>
              </w:rPr>
              <w:t>arose out of, or was attributable to, any service rendered</w:t>
            </w:r>
          </w:p>
          <w:p w14:paraId="2BC09B2F" w14:textId="77777777" w:rsidR="00AC5AB6" w:rsidRPr="00CC15A2" w:rsidRDefault="00AC5AB6" w:rsidP="00F839DB">
            <w:pPr>
              <w:pStyle w:val="ListParagraph"/>
              <w:numPr>
                <w:ilvl w:val="0"/>
                <w:numId w:val="95"/>
              </w:numPr>
              <w:spacing w:after="60"/>
              <w:contextualSpacing/>
              <w:rPr>
                <w:rFonts w:eastAsia="Calibri" w:cs="Arial"/>
                <w:sz w:val="14"/>
                <w:szCs w:val="14"/>
                <w:lang w:eastAsia="en-US"/>
              </w:rPr>
            </w:pPr>
            <w:r w:rsidRPr="00CC15A2">
              <w:rPr>
                <w:rFonts w:eastAsia="Calibri" w:cs="Arial"/>
                <w:sz w:val="14"/>
                <w:szCs w:val="14"/>
                <w:lang w:eastAsia="en-US"/>
              </w:rPr>
              <w:t>due to an accident not occurring or a disease not being contracted but for rendering service while a member; or but for changes in the person's environment consequent upon rendering defence service while a member</w:t>
            </w:r>
          </w:p>
          <w:p w14:paraId="170E1280" w14:textId="77777777" w:rsidR="00AC5AB6" w:rsidRPr="002C6EA9" w:rsidRDefault="00AC5AB6" w:rsidP="00F839DB">
            <w:pPr>
              <w:pStyle w:val="ListParagraph"/>
              <w:numPr>
                <w:ilvl w:val="0"/>
                <w:numId w:val="95"/>
              </w:numPr>
              <w:spacing w:after="60"/>
              <w:contextualSpacing/>
              <w:rPr>
                <w:rFonts w:eastAsia="Calibri" w:cs="Arial"/>
                <w:sz w:val="14"/>
                <w:szCs w:val="14"/>
                <w:lang w:eastAsia="en-US"/>
              </w:rPr>
            </w:pPr>
            <w:r w:rsidRPr="002C6EA9">
              <w:rPr>
                <w:rFonts w:eastAsia="Calibri" w:cs="Arial"/>
                <w:sz w:val="14"/>
                <w:szCs w:val="14"/>
                <w:lang w:eastAsia="en-US"/>
              </w:rPr>
              <w:t>resulted from an accident that occurred whilst travelling, while a member rendering peacetime service but otherwise than in the course of duty, on a journey to a place for the purpose of performing duty; or away from a place of duty upon having ceased to perform duty, and/or</w:t>
            </w:r>
          </w:p>
          <w:p w14:paraId="11E8635D" w14:textId="77777777" w:rsidR="00AC5AB6" w:rsidRPr="002C6EA9" w:rsidRDefault="00AC5AB6" w:rsidP="00F839DB">
            <w:pPr>
              <w:pStyle w:val="ListParagraph"/>
              <w:numPr>
                <w:ilvl w:val="0"/>
                <w:numId w:val="95"/>
              </w:numPr>
              <w:spacing w:after="60"/>
              <w:rPr>
                <w:rFonts w:eastAsia="Calibri" w:cs="Arial"/>
                <w:sz w:val="14"/>
                <w:szCs w:val="14"/>
                <w:lang w:eastAsia="en-US"/>
              </w:rPr>
            </w:pPr>
            <w:r w:rsidRPr="002C6EA9">
              <w:rPr>
                <w:rFonts w:eastAsia="Calibri" w:cs="Arial"/>
                <w:sz w:val="14"/>
                <w:szCs w:val="14"/>
                <w:lang w:eastAsia="en-US"/>
              </w:rPr>
              <w:t>arising from treatment provided by the Commonwealth.’</w:t>
            </w:r>
          </w:p>
          <w:p w14:paraId="1B38965E" w14:textId="77777777" w:rsidR="00AC5AB6" w:rsidRPr="002733A4" w:rsidRDefault="00AC5AB6" w:rsidP="00F839DB">
            <w:pPr>
              <w:pStyle w:val="ListParagraph"/>
              <w:numPr>
                <w:ilvl w:val="0"/>
                <w:numId w:val="437"/>
              </w:numPr>
              <w:spacing w:after="60"/>
              <w:rPr>
                <w:rFonts w:eastAsia="Calibri" w:cs="Arial"/>
                <w:sz w:val="14"/>
                <w:szCs w:val="14"/>
                <w:lang w:eastAsia="en-US"/>
              </w:rPr>
            </w:pPr>
            <w:r w:rsidRPr="002733A4">
              <w:rPr>
                <w:rFonts w:eastAsia="Calibri" w:cs="Arial"/>
                <w:sz w:val="14"/>
                <w:szCs w:val="14"/>
                <w:lang w:eastAsia="en-US"/>
              </w:rPr>
              <w:t xml:space="preserve">(being an aggravation of an injury, or its signs and symptoms)... the aggravation of a physical or mental </w:t>
            </w:r>
            <w:r w:rsidRPr="002733A4">
              <w:rPr>
                <w:rFonts w:eastAsia="Calibri" w:cs="Arial"/>
                <w:sz w:val="14"/>
                <w:szCs w:val="14"/>
                <w:lang w:eastAsia="en-US"/>
              </w:rPr>
              <w:lastRenderedPageBreak/>
              <w:t>injury or (being an aggravation of a disease, or its signs and symptoms)...the aggravation of such an ailment, disorder, defect or morbid condition:</w:t>
            </w:r>
          </w:p>
          <w:p w14:paraId="64ED54BC" w14:textId="77777777" w:rsidR="00AC5AB6" w:rsidRPr="002733A4" w:rsidRDefault="00AC5AB6" w:rsidP="00F839DB">
            <w:pPr>
              <w:pStyle w:val="ListParagraph"/>
              <w:numPr>
                <w:ilvl w:val="0"/>
                <w:numId w:val="96"/>
              </w:numPr>
              <w:spacing w:after="60"/>
              <w:ind w:left="357" w:hanging="357"/>
              <w:contextualSpacing/>
              <w:rPr>
                <w:rFonts w:eastAsia="Calibri" w:cs="Arial"/>
                <w:sz w:val="14"/>
                <w:szCs w:val="14"/>
                <w:lang w:eastAsia="en-US"/>
              </w:rPr>
            </w:pPr>
            <w:r w:rsidRPr="002733A4">
              <w:rPr>
                <w:rFonts w:eastAsia="Calibri" w:cs="Arial"/>
                <w:sz w:val="14"/>
                <w:szCs w:val="14"/>
                <w:lang w:eastAsia="en-US"/>
              </w:rPr>
              <w:t>contributed to in a material degree by, or was aggravated by, any defence service rendered by the person while a member after he or she sustained the injury or contracted the disease, and/or</w:t>
            </w:r>
          </w:p>
          <w:p w14:paraId="246CE008" w14:textId="77777777" w:rsidR="00AC5AB6" w:rsidRDefault="00AC5AB6" w:rsidP="00F839DB">
            <w:pPr>
              <w:pStyle w:val="ListParagraph"/>
              <w:numPr>
                <w:ilvl w:val="0"/>
                <w:numId w:val="96"/>
              </w:numPr>
              <w:spacing w:after="60"/>
              <w:contextualSpacing/>
              <w:rPr>
                <w:rFonts w:eastAsia="Calibri" w:cs="Arial"/>
                <w:sz w:val="14"/>
                <w:szCs w:val="14"/>
                <w:lang w:eastAsia="en-US"/>
              </w:rPr>
            </w:pPr>
            <w:r w:rsidRPr="002733A4">
              <w:rPr>
                <w:rFonts w:eastAsia="Calibri" w:cs="Arial"/>
                <w:sz w:val="14"/>
                <w:szCs w:val="14"/>
                <w:lang w:eastAsia="en-US"/>
              </w:rPr>
              <w:t>aggravated by treatment provided by the Commonwealth.</w:t>
            </w:r>
          </w:p>
          <w:p w14:paraId="31805397" w14:textId="77777777" w:rsidR="00E05E30" w:rsidRDefault="00E05E30" w:rsidP="00E05E30">
            <w:pPr>
              <w:spacing w:after="60"/>
              <w:contextualSpacing/>
              <w:rPr>
                <w:rFonts w:eastAsia="Calibri" w:cs="Arial"/>
                <w:sz w:val="14"/>
                <w:szCs w:val="14"/>
                <w:lang w:eastAsia="en-US"/>
              </w:rPr>
            </w:pPr>
            <w:r>
              <w:rPr>
                <w:rFonts w:eastAsia="Calibri" w:cs="Arial"/>
                <w:sz w:val="14"/>
                <w:szCs w:val="14"/>
                <w:lang w:eastAsia="en-US"/>
              </w:rPr>
              <w:t xml:space="preserve">Under ‘definition of injury etc.’ </w:t>
            </w:r>
          </w:p>
          <w:p w14:paraId="23139017" w14:textId="77777777" w:rsidR="00E05E30" w:rsidRDefault="00E05E30" w:rsidP="00E05E30">
            <w:pPr>
              <w:spacing w:after="60"/>
              <w:contextualSpacing/>
              <w:rPr>
                <w:rFonts w:eastAsia="Calibri" w:cs="Arial"/>
                <w:sz w:val="14"/>
                <w:szCs w:val="14"/>
                <w:lang w:eastAsia="en-US"/>
              </w:rPr>
            </w:pPr>
          </w:p>
          <w:p w14:paraId="41C9B753" w14:textId="170A835F" w:rsidR="00E05E30" w:rsidRPr="00663DE3" w:rsidRDefault="00E05E30" w:rsidP="00E05E30">
            <w:pPr>
              <w:spacing w:after="60"/>
              <w:contextualSpacing/>
              <w:rPr>
                <w:rFonts w:eastAsia="Calibri" w:cs="Arial"/>
                <w:sz w:val="14"/>
                <w:szCs w:val="14"/>
                <w:lang w:eastAsia="en-US"/>
              </w:rPr>
            </w:pPr>
            <w:r>
              <w:rPr>
                <w:rFonts w:eastAsia="Calibri" w:cs="Arial"/>
                <w:sz w:val="14"/>
                <w:szCs w:val="14"/>
                <w:lang w:eastAsia="en-US"/>
              </w:rPr>
              <w:t xml:space="preserve">Refer </w:t>
            </w:r>
            <w:hyperlink r:id="rId819" w:history="1">
              <w:r w:rsidRPr="001C517D">
                <w:rPr>
                  <w:rStyle w:val="Hyperlink"/>
                  <w:rFonts w:eastAsia="Calibri" w:cs="Arial"/>
                  <w:sz w:val="14"/>
                  <w:szCs w:val="14"/>
                  <w:lang w:eastAsia="en-US"/>
                </w:rPr>
                <w:t>s5A</w:t>
              </w:r>
            </w:hyperlink>
            <w:r>
              <w:rPr>
                <w:rFonts w:eastAsia="Calibri" w:cs="Arial"/>
                <w:sz w:val="14"/>
                <w:szCs w:val="14"/>
                <w:lang w:eastAsia="en-US"/>
              </w:rPr>
              <w:t xml:space="preserve"> of </w:t>
            </w:r>
            <w:r w:rsidR="00B1490B" w:rsidRPr="00016069">
              <w:rPr>
                <w:i/>
                <w:sz w:val="14"/>
              </w:rPr>
              <w:t>Safety, Rehabilitation and Compensation (Defence-related Claims) Act 1988</w:t>
            </w:r>
            <w:r w:rsidR="00B1490B">
              <w:rPr>
                <w:rFonts w:eastAsia="Calibri" w:cs="Arial"/>
                <w:sz w:val="14"/>
                <w:szCs w:val="14"/>
                <w:lang w:eastAsia="en-US"/>
              </w:rPr>
              <w:t xml:space="preserve"> (</w:t>
            </w:r>
            <w:r>
              <w:rPr>
                <w:rFonts w:eastAsia="Calibri" w:cs="Arial"/>
                <w:sz w:val="14"/>
                <w:szCs w:val="14"/>
                <w:lang w:eastAsia="en-US"/>
              </w:rPr>
              <w:t>DRCA</w:t>
            </w:r>
            <w:r w:rsidR="00B1490B">
              <w:rPr>
                <w:rFonts w:eastAsia="Calibri" w:cs="Arial"/>
                <w:sz w:val="14"/>
                <w:szCs w:val="14"/>
                <w:lang w:eastAsia="en-US"/>
              </w:rPr>
              <w:t>)</w:t>
            </w:r>
          </w:p>
          <w:p w14:paraId="728AD46D" w14:textId="4ED76FC2" w:rsidR="00E05E30" w:rsidRPr="00E05E30" w:rsidRDefault="00E05E30" w:rsidP="00F839DB">
            <w:pPr>
              <w:pStyle w:val="ListParagraph"/>
              <w:numPr>
                <w:ilvl w:val="0"/>
                <w:numId w:val="545"/>
              </w:numPr>
              <w:ind w:left="346"/>
              <w:rPr>
                <w:rFonts w:eastAsia="Calibri"/>
                <w:sz w:val="14"/>
                <w:lang w:eastAsia="en-US"/>
              </w:rPr>
            </w:pPr>
            <w:r w:rsidRPr="00E05E30">
              <w:rPr>
                <w:rFonts w:eastAsia="Calibri"/>
                <w:sz w:val="14"/>
                <w:lang w:eastAsia="en-US"/>
              </w:rPr>
              <w:t>‘ …a physical or mental injury arising out of, or in the course of, the employee’s employment…’, or</w:t>
            </w:r>
          </w:p>
          <w:p w14:paraId="53043B4E" w14:textId="39E73F2B" w:rsidR="00E05E30" w:rsidRPr="00E05E30" w:rsidRDefault="00E05E30" w:rsidP="00F839DB">
            <w:pPr>
              <w:pStyle w:val="ListParagraph"/>
              <w:numPr>
                <w:ilvl w:val="0"/>
                <w:numId w:val="545"/>
              </w:numPr>
              <w:ind w:left="346"/>
              <w:rPr>
                <w:rFonts w:eastAsia="Calibri"/>
                <w:sz w:val="14"/>
                <w:lang w:eastAsia="en-US"/>
              </w:rPr>
            </w:pPr>
            <w:r w:rsidRPr="00E05E30">
              <w:rPr>
                <w:rFonts w:eastAsia="Calibri"/>
                <w:sz w:val="14"/>
                <w:lang w:eastAsia="en-US"/>
              </w:rPr>
              <w:t xml:space="preserve">‘...an aggravation of a physical or mental injury (other than a disease) suffered by an employee ...’ </w:t>
            </w:r>
          </w:p>
          <w:p w14:paraId="6463F3C7" w14:textId="77777777" w:rsidR="00E05E30" w:rsidRDefault="00E05E30" w:rsidP="00E05E30">
            <w:pPr>
              <w:spacing w:after="60"/>
              <w:contextualSpacing/>
              <w:rPr>
                <w:rFonts w:eastAsia="Calibri" w:cs="Arial"/>
                <w:sz w:val="14"/>
                <w:szCs w:val="14"/>
                <w:lang w:eastAsia="en-US"/>
              </w:rPr>
            </w:pPr>
          </w:p>
          <w:p w14:paraId="3D0EA214" w14:textId="77777777" w:rsidR="00E05E30" w:rsidRDefault="00E05E30" w:rsidP="00E05E30">
            <w:pPr>
              <w:spacing w:after="60"/>
              <w:contextualSpacing/>
              <w:rPr>
                <w:rFonts w:eastAsia="Calibri" w:cs="Arial"/>
                <w:sz w:val="14"/>
                <w:szCs w:val="14"/>
                <w:lang w:eastAsia="en-US"/>
              </w:rPr>
            </w:pPr>
            <w:r>
              <w:rPr>
                <w:rFonts w:eastAsia="Calibri" w:cs="Arial"/>
                <w:sz w:val="14"/>
                <w:szCs w:val="14"/>
                <w:lang w:eastAsia="en-US"/>
              </w:rPr>
              <w:t xml:space="preserve">Under ‘definition of disease etc.’ </w:t>
            </w:r>
          </w:p>
          <w:p w14:paraId="756CB2E0" w14:textId="77777777" w:rsidR="00E05E30" w:rsidRDefault="00E05E30" w:rsidP="00E05E30">
            <w:pPr>
              <w:spacing w:after="60"/>
              <w:contextualSpacing/>
              <w:rPr>
                <w:rFonts w:eastAsia="Calibri" w:cs="Arial"/>
                <w:sz w:val="14"/>
                <w:szCs w:val="14"/>
                <w:lang w:eastAsia="en-US"/>
              </w:rPr>
            </w:pPr>
          </w:p>
          <w:p w14:paraId="661744DE" w14:textId="6AD78CBE" w:rsidR="00E05E30" w:rsidRDefault="00E05E30" w:rsidP="00E05E30">
            <w:pPr>
              <w:spacing w:after="60"/>
              <w:contextualSpacing/>
              <w:rPr>
                <w:rFonts w:eastAsia="Calibri" w:cs="Arial"/>
                <w:sz w:val="14"/>
                <w:szCs w:val="14"/>
                <w:lang w:eastAsia="en-US"/>
              </w:rPr>
            </w:pPr>
            <w:r>
              <w:rPr>
                <w:rFonts w:eastAsia="Calibri" w:cs="Arial"/>
                <w:sz w:val="14"/>
                <w:szCs w:val="14"/>
                <w:lang w:eastAsia="en-US"/>
              </w:rPr>
              <w:t xml:space="preserve">Refer </w:t>
            </w:r>
            <w:hyperlink r:id="rId820" w:history="1">
              <w:r w:rsidRPr="001C517D">
                <w:rPr>
                  <w:rStyle w:val="Hyperlink"/>
                  <w:rFonts w:eastAsia="Calibri" w:cs="Arial"/>
                  <w:sz w:val="14"/>
                  <w:szCs w:val="14"/>
                  <w:lang w:eastAsia="en-US"/>
                </w:rPr>
                <w:t>s5B</w:t>
              </w:r>
            </w:hyperlink>
            <w:r>
              <w:rPr>
                <w:rFonts w:eastAsia="Calibri" w:cs="Arial"/>
                <w:sz w:val="14"/>
                <w:szCs w:val="14"/>
                <w:lang w:eastAsia="en-US"/>
              </w:rPr>
              <w:t xml:space="preserve"> of DRCA</w:t>
            </w:r>
          </w:p>
          <w:p w14:paraId="7FD8A029" w14:textId="73DAB941" w:rsidR="00E05E30" w:rsidRPr="002A2242" w:rsidRDefault="00E05E30" w:rsidP="00F839DB">
            <w:pPr>
              <w:pStyle w:val="ListParagraph"/>
              <w:numPr>
                <w:ilvl w:val="0"/>
                <w:numId w:val="546"/>
              </w:numPr>
              <w:spacing w:after="60"/>
              <w:ind w:left="346"/>
              <w:contextualSpacing/>
              <w:rPr>
                <w:rFonts w:eastAsia="Calibri" w:cs="Arial"/>
                <w:sz w:val="14"/>
                <w:szCs w:val="14"/>
                <w:lang w:eastAsia="en-US"/>
              </w:rPr>
            </w:pPr>
            <w:r w:rsidRPr="00E05E30">
              <w:rPr>
                <w:rFonts w:eastAsia="Calibri" w:cs="Arial"/>
                <w:sz w:val="14"/>
                <w:szCs w:val="14"/>
                <w:lang w:eastAsia="en-US"/>
              </w:rPr>
              <w:t xml:space="preserve">‘an ailment or aggravation of an ailment…that was contributed to, to a significant degree by an employee’s employment’ </w:t>
            </w:r>
          </w:p>
        </w:tc>
        <w:tc>
          <w:tcPr>
            <w:tcW w:w="6975" w:type="dxa"/>
            <w:shd w:val="clear" w:color="auto" w:fill="FFC9C9"/>
            <w:tcMar>
              <w:top w:w="80" w:type="dxa"/>
              <w:left w:w="80" w:type="dxa"/>
              <w:bottom w:w="80" w:type="dxa"/>
              <w:right w:w="80" w:type="dxa"/>
            </w:tcMar>
          </w:tcPr>
          <w:p w14:paraId="34854C5E" w14:textId="7F8CA9E7"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lastRenderedPageBreak/>
              <w:t xml:space="preserve">Minimum material contribution required (‘arose out of, or was attributable to’) — MRCA, </w:t>
            </w:r>
            <w:hyperlink r:id="rId821" w:history="1">
              <w:r w:rsidRPr="001C517D">
                <w:rPr>
                  <w:rStyle w:val="Hyperlink"/>
                  <w:rFonts w:cs="Arial"/>
                  <w:sz w:val="14"/>
                  <w:szCs w:val="16"/>
                  <w:lang w:val="en-GB"/>
                </w:rPr>
                <w:t>ss27b</w:t>
              </w:r>
            </w:hyperlink>
            <w:r w:rsidRPr="00AC5AB6">
              <w:rPr>
                <w:rFonts w:cs="Arial"/>
                <w:color w:val="000000"/>
                <w:sz w:val="14"/>
                <w:szCs w:val="16"/>
                <w:lang w:val="en-GB"/>
              </w:rPr>
              <w:t xml:space="preserve"> and </w:t>
            </w:r>
            <w:hyperlink r:id="rId822" w:history="1">
              <w:r w:rsidRPr="001C517D">
                <w:rPr>
                  <w:rStyle w:val="Hyperlink"/>
                  <w:rFonts w:cs="Arial"/>
                  <w:sz w:val="14"/>
                  <w:szCs w:val="16"/>
                  <w:lang w:val="en-GB"/>
                </w:rPr>
                <w:t>27c</w:t>
              </w:r>
            </w:hyperlink>
          </w:p>
          <w:p w14:paraId="706294BB" w14:textId="354AABE1" w:rsid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In a material degree (for aggravations only) — MRCA, </w:t>
            </w:r>
            <w:hyperlink r:id="rId823" w:history="1">
              <w:r w:rsidRPr="001C517D">
                <w:rPr>
                  <w:rStyle w:val="Hyperlink"/>
                  <w:rFonts w:cs="Arial"/>
                  <w:sz w:val="14"/>
                  <w:szCs w:val="16"/>
                  <w:lang w:val="en-GB"/>
                </w:rPr>
                <w:t>ss27d</w:t>
              </w:r>
            </w:hyperlink>
            <w:r w:rsidRPr="00AC5AB6">
              <w:rPr>
                <w:rFonts w:cs="Arial"/>
                <w:color w:val="000000"/>
                <w:sz w:val="14"/>
                <w:szCs w:val="16"/>
                <w:lang w:val="en-GB"/>
              </w:rPr>
              <w:t xml:space="preserve"> and </w:t>
            </w:r>
            <w:hyperlink r:id="rId824" w:history="1">
              <w:r w:rsidRPr="001C517D">
                <w:rPr>
                  <w:rStyle w:val="Hyperlink"/>
                  <w:rFonts w:cs="Arial"/>
                  <w:sz w:val="14"/>
                  <w:szCs w:val="16"/>
                  <w:lang w:val="en-GB"/>
                </w:rPr>
                <w:t>30</w:t>
              </w:r>
            </w:hyperlink>
          </w:p>
          <w:p w14:paraId="63B56F46" w14:textId="71055569" w:rsidR="00662C41" w:rsidRDefault="00662C41" w:rsidP="00662C41">
            <w:pPr>
              <w:spacing w:after="2600"/>
              <w:rPr>
                <w:rFonts w:cs="Arial"/>
                <w:color w:val="000000"/>
                <w:sz w:val="14"/>
                <w:szCs w:val="16"/>
                <w:lang w:val="en-GB"/>
              </w:rPr>
            </w:pPr>
          </w:p>
          <w:p w14:paraId="78CF7535" w14:textId="110C8947" w:rsidR="002A2242" w:rsidRPr="00AC5AB6" w:rsidRDefault="002A2242" w:rsidP="009146AE">
            <w:pPr>
              <w:spacing w:after="60"/>
              <w:rPr>
                <w:rFonts w:cs="Arial"/>
                <w:color w:val="000000"/>
                <w:sz w:val="14"/>
                <w:szCs w:val="16"/>
                <w:lang w:val="en-GB"/>
              </w:rPr>
            </w:pPr>
            <w:r w:rsidRPr="00AC5AB6">
              <w:rPr>
                <w:rFonts w:cs="Arial"/>
                <w:color w:val="000000"/>
                <w:sz w:val="14"/>
                <w:szCs w:val="16"/>
                <w:lang w:val="en-GB"/>
              </w:rPr>
              <w:t xml:space="preserve">To a significant degree (for diseases) — </w:t>
            </w:r>
            <w:hyperlink r:id="rId825" w:history="1">
              <w:r w:rsidRPr="001C517D">
                <w:rPr>
                  <w:rStyle w:val="Hyperlink"/>
                  <w:rFonts w:cs="Arial"/>
                  <w:sz w:val="14"/>
                  <w:szCs w:val="16"/>
                  <w:lang w:val="en-GB"/>
                </w:rPr>
                <w:t>s5B</w:t>
              </w:r>
            </w:hyperlink>
            <w:r w:rsidRPr="00AC5AB6">
              <w:rPr>
                <w:rFonts w:cs="Arial"/>
                <w:color w:val="000000"/>
                <w:sz w:val="14"/>
                <w:szCs w:val="16"/>
                <w:lang w:val="en-GB"/>
              </w:rPr>
              <w:t>, with matters to be taken into account being set out in a non-exclusive list and with ‘significant degree’ being defined as ‘su</w:t>
            </w:r>
            <w:r>
              <w:rPr>
                <w:rFonts w:cs="Arial"/>
                <w:color w:val="000000"/>
                <w:sz w:val="14"/>
                <w:szCs w:val="16"/>
                <w:lang w:val="en-GB"/>
              </w:rPr>
              <w:t>bstantially more than material’</w:t>
            </w:r>
          </w:p>
        </w:tc>
      </w:tr>
      <w:tr w:rsidR="00AC5AB6" w:rsidRPr="00AC5AB6" w14:paraId="54E3C3BC" w14:textId="77777777" w:rsidTr="00FB729B">
        <w:tc>
          <w:tcPr>
            <w:tcW w:w="1626" w:type="dxa"/>
            <w:tcMar>
              <w:top w:w="80" w:type="dxa"/>
              <w:left w:w="80" w:type="dxa"/>
              <w:bottom w:w="80" w:type="dxa"/>
              <w:right w:w="80" w:type="dxa"/>
            </w:tcMar>
          </w:tcPr>
          <w:p w14:paraId="5A4880E8"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lastRenderedPageBreak/>
              <w:t>New Zealand</w:t>
            </w:r>
          </w:p>
        </w:tc>
        <w:tc>
          <w:tcPr>
            <w:tcW w:w="6974" w:type="dxa"/>
            <w:tcMar>
              <w:top w:w="80" w:type="dxa"/>
              <w:left w:w="80" w:type="dxa"/>
              <w:bottom w:w="80" w:type="dxa"/>
              <w:right w:w="80" w:type="dxa"/>
            </w:tcMar>
          </w:tcPr>
          <w:p w14:paraId="2A8621A5" w14:textId="77777777"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A work-related personal injury is a personal injury that a person suffers:</w:t>
            </w:r>
          </w:p>
          <w:p w14:paraId="76C576DA" w14:textId="2B42C224" w:rsidR="00AC5AB6" w:rsidRPr="00CC15A2" w:rsidRDefault="00AC5AB6" w:rsidP="00F839DB">
            <w:pPr>
              <w:pStyle w:val="Tableabc7pt"/>
              <w:numPr>
                <w:ilvl w:val="0"/>
                <w:numId w:val="438"/>
              </w:numPr>
              <w:spacing w:before="0" w:after="60"/>
              <w:rPr>
                <w:rFonts w:eastAsia="Calibri"/>
                <w:lang w:eastAsia="en-US"/>
              </w:rPr>
            </w:pPr>
            <w:r w:rsidRPr="00CC15A2">
              <w:rPr>
                <w:rFonts w:eastAsia="Calibri"/>
                <w:lang w:eastAsia="en-US"/>
              </w:rPr>
              <w:t xml:space="preserve">while he or she is at any place for the purposes of his or her employment — </w:t>
            </w:r>
            <w:hyperlink r:id="rId826" w:history="1">
              <w:r w:rsidRPr="001C517D">
                <w:rPr>
                  <w:rStyle w:val="Hyperlink"/>
                  <w:rFonts w:eastAsia="Calibri"/>
                  <w:lang w:eastAsia="en-US"/>
                </w:rPr>
                <w:t>s28</w:t>
              </w:r>
            </w:hyperlink>
            <w:r w:rsidR="00B1490B">
              <w:rPr>
                <w:rFonts w:eastAsia="Calibri"/>
                <w:lang w:eastAsia="en-US"/>
              </w:rPr>
              <w:t xml:space="preserve">, </w:t>
            </w:r>
            <w:r w:rsidR="00B1490B" w:rsidRPr="00016069">
              <w:rPr>
                <w:i/>
              </w:rPr>
              <w:t>Accident Compensation Act 2001</w:t>
            </w:r>
          </w:p>
        </w:tc>
        <w:tc>
          <w:tcPr>
            <w:tcW w:w="6975" w:type="dxa"/>
            <w:tcMar>
              <w:top w:w="80" w:type="dxa"/>
              <w:left w:w="80" w:type="dxa"/>
              <w:bottom w:w="80" w:type="dxa"/>
              <w:right w:w="80" w:type="dxa"/>
            </w:tcMar>
          </w:tcPr>
          <w:p w14:paraId="106D8714" w14:textId="6E0EE16D"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Not required, except for work-related gradual process, disease, or infection suffered by the person — </w:t>
            </w:r>
            <w:hyperlink r:id="rId827" w:history="1">
              <w:r w:rsidRPr="001C517D">
                <w:rPr>
                  <w:rStyle w:val="Hyperlink"/>
                  <w:rFonts w:cs="Arial"/>
                  <w:sz w:val="14"/>
                  <w:szCs w:val="16"/>
                  <w:lang w:val="en-GB"/>
                </w:rPr>
                <w:t>s20(2)(e)</w:t>
              </w:r>
            </w:hyperlink>
          </w:p>
        </w:tc>
      </w:tr>
      <w:bookmarkEnd w:id="103"/>
    </w:tbl>
    <w:p w14:paraId="5C7CE44E"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709" w:gutter="0"/>
          <w:cols w:space="708"/>
          <w:docGrid w:linePitch="360"/>
        </w:sectPr>
      </w:pPr>
    </w:p>
    <w:p w14:paraId="654115AB" w14:textId="77777777" w:rsidR="006A50D4" w:rsidRPr="00A80282" w:rsidRDefault="00C66972" w:rsidP="00A80282">
      <w:pPr>
        <w:pStyle w:val="Title"/>
      </w:pPr>
      <w:bookmarkStart w:id="104" w:name="_Toc483227170"/>
      <w:bookmarkStart w:id="105" w:name="_Toc504654666"/>
      <w:r w:rsidRPr="00A80282">
        <w:lastRenderedPageBreak/>
        <w:t>Permanent Impairment</w:t>
      </w:r>
      <w:bookmarkEnd w:id="104"/>
      <w:bookmarkEnd w:id="105"/>
      <w:r w:rsidRPr="00A80282">
        <w:t xml:space="preserve"> </w:t>
      </w:r>
    </w:p>
    <w:p w14:paraId="089CF657" w14:textId="531B9C1E" w:rsidR="00C66972" w:rsidRPr="00A80282" w:rsidRDefault="00C66972" w:rsidP="00A80282">
      <w:pPr>
        <w:pStyle w:val="Heading4"/>
      </w:pPr>
      <w:bookmarkStart w:id="106" w:name="_Toc483227171"/>
      <w:r w:rsidRPr="00A80282">
        <w:t xml:space="preserve">Definition of </w:t>
      </w:r>
      <w:r w:rsidR="0002179E" w:rsidRPr="00A80282">
        <w:t>p</w:t>
      </w:r>
      <w:r w:rsidRPr="00A80282">
        <w:t xml:space="preserve">ermanent </w:t>
      </w:r>
      <w:r w:rsidR="0002179E" w:rsidRPr="00A80282">
        <w:t>i</w:t>
      </w:r>
      <w:r w:rsidRPr="00A80282">
        <w:t>mpairment</w:t>
      </w:r>
      <w:bookmarkEnd w:id="106"/>
      <w:r w:rsidR="00A95C3B" w:rsidRPr="00A80282">
        <w:fldChar w:fldCharType="begin"/>
      </w:r>
      <w:r w:rsidR="00A95C3B" w:rsidRPr="00A80282">
        <w:instrText xml:space="preserve"> XE "pemanent impairment:definitions" </w:instrText>
      </w:r>
      <w:r w:rsidR="00A95C3B" w:rsidRPr="00A80282">
        <w:fldChar w:fldCharType="end"/>
      </w:r>
    </w:p>
    <w:p w14:paraId="6E3E6C42" w14:textId="77777777" w:rsidR="00172AC7" w:rsidRDefault="00C66972" w:rsidP="002239E9">
      <w:pPr>
        <w:spacing w:before="120"/>
        <w:rPr>
          <w:rFonts w:eastAsiaTheme="minorHAnsi"/>
        </w:rPr>
      </w:pPr>
      <w:r w:rsidRPr="00C66972">
        <w:rPr>
          <w:rFonts w:eastAsiaTheme="minorHAnsi"/>
        </w:rPr>
        <w:t xml:space="preserve">A prerequisite to determining the level of permanent impairment is the understanding that impairment should not be determined until the claimant has reached a point of maximum medical improvement. This is the point at which the impairment has become stable, or is not likely to improve despite medical treatment. </w:t>
      </w:r>
    </w:p>
    <w:p w14:paraId="0C18EEA5" w14:textId="77777777" w:rsidR="00172AC7" w:rsidRDefault="00C66972" w:rsidP="002239E9">
      <w:pPr>
        <w:spacing w:before="240"/>
        <w:rPr>
          <w:rFonts w:eastAsiaTheme="minorHAnsi"/>
        </w:rPr>
      </w:pPr>
      <w:r w:rsidRPr="00C66972">
        <w:rPr>
          <w:rFonts w:eastAsiaTheme="minorHAnsi"/>
        </w:rPr>
        <w:t>In addition to the principles of assessment contained in the American Medical Association</w:t>
      </w:r>
      <w:r w:rsidR="00584ACD">
        <w:rPr>
          <w:rFonts w:eastAsiaTheme="minorHAnsi"/>
        </w:rPr>
        <w:fldChar w:fldCharType="begin"/>
      </w:r>
      <w:r w:rsidR="00584ACD">
        <w:instrText xml:space="preserve"> XE "</w:instrText>
      </w:r>
      <w:r w:rsidR="00584ACD" w:rsidRPr="000002A2">
        <w:rPr>
          <w:rFonts w:eastAsia="Calibri"/>
          <w:sz w:val="14"/>
        </w:rPr>
        <w:instrText>American Medical Association</w:instrText>
      </w:r>
      <w:r w:rsidR="00584ACD">
        <w:instrText xml:space="preserve">" </w:instrText>
      </w:r>
      <w:r w:rsidR="00584ACD">
        <w:rPr>
          <w:rFonts w:eastAsiaTheme="minorHAnsi"/>
        </w:rPr>
        <w:fldChar w:fldCharType="end"/>
      </w:r>
      <w:r w:rsidRPr="00C66972">
        <w:rPr>
          <w:rFonts w:eastAsiaTheme="minorHAnsi"/>
        </w:rPr>
        <w:t xml:space="preserve"> (AMA) Guides, scheme legislation also provides substantial guidance on how to determine whether or not impairment is permanent. Table 3.10 lists the legislative definitions of permanent impairment and also the criteria by which an injury is judged to be permanent.</w:t>
      </w:r>
    </w:p>
    <w:p w14:paraId="5A1269D7" w14:textId="6BCBFF95" w:rsidR="00C66972" w:rsidRPr="002239E9" w:rsidRDefault="00C66972" w:rsidP="00A80282">
      <w:pPr>
        <w:pStyle w:val="Heading4"/>
      </w:pPr>
      <w:bookmarkStart w:id="107" w:name="_Toc483227172"/>
      <w:r w:rsidRPr="002239E9">
        <w:t xml:space="preserve">Permanent </w:t>
      </w:r>
      <w:r w:rsidR="0002179E" w:rsidRPr="002239E9">
        <w:t>i</w:t>
      </w:r>
      <w:r w:rsidRPr="002239E9">
        <w:t xml:space="preserve">mpairment </w:t>
      </w:r>
      <w:r w:rsidR="0002179E" w:rsidRPr="002239E9">
        <w:t>g</w:t>
      </w:r>
      <w:r w:rsidRPr="002239E9">
        <w:t>uidelines</w:t>
      </w:r>
      <w:bookmarkEnd w:id="107"/>
      <w:r w:rsidRPr="002239E9">
        <w:t xml:space="preserve"> </w:t>
      </w:r>
      <w:r w:rsidR="00A95C3B" w:rsidRPr="002239E9">
        <w:fldChar w:fldCharType="begin"/>
      </w:r>
      <w:r w:rsidR="00A95C3B" w:rsidRPr="002239E9">
        <w:instrText xml:space="preserve"> XE "permanent impairment:guidelines" </w:instrText>
      </w:r>
      <w:r w:rsidR="00A95C3B" w:rsidRPr="002239E9">
        <w:fldChar w:fldCharType="end"/>
      </w:r>
      <w:r w:rsidR="00A95C3B" w:rsidRPr="002239E9">
        <w:fldChar w:fldCharType="begin"/>
      </w:r>
      <w:r w:rsidR="00A95C3B" w:rsidRPr="002239E9">
        <w:instrText xml:space="preserve"> XE "permanent impairment:guidelines" </w:instrText>
      </w:r>
      <w:r w:rsidR="00A95C3B" w:rsidRPr="002239E9">
        <w:fldChar w:fldCharType="end"/>
      </w:r>
    </w:p>
    <w:p w14:paraId="44F09E6A" w14:textId="2D377587" w:rsidR="00172AC7" w:rsidRDefault="00C66972" w:rsidP="002239E9">
      <w:pPr>
        <w:spacing w:before="120"/>
        <w:rPr>
          <w:rFonts w:eastAsiaTheme="minorHAnsi"/>
        </w:rPr>
      </w:pPr>
      <w:r w:rsidRPr="00C66972">
        <w:rPr>
          <w:rFonts w:eastAsiaTheme="minorHAnsi"/>
        </w:rPr>
        <w:t>Each of the schemes substitutes or removes sections of their respective editions of the AMA Guide. The necessity for these modifications is primarily due to differences in Australian and</w:t>
      </w:r>
      <w:r w:rsidR="00041991">
        <w:rPr>
          <w:rFonts w:eastAsiaTheme="minorHAnsi"/>
        </w:rPr>
        <w:t xml:space="preserve"> US clinical practice, but these </w:t>
      </w:r>
      <w:r w:rsidRPr="00C66972">
        <w:rPr>
          <w:rFonts w:eastAsiaTheme="minorHAnsi"/>
        </w:rPr>
        <w:t xml:space="preserve">are sometimes the result of differences in legislative processes. Table 3.11 illustrates the particular approach taken by the various schemes to substitute or remove assessment criteria from </w:t>
      </w:r>
      <w:r w:rsidR="00A86C32" w:rsidRPr="00C66972">
        <w:rPr>
          <w:rFonts w:eastAsiaTheme="minorHAnsi"/>
        </w:rPr>
        <w:t>the</w:t>
      </w:r>
      <w:r w:rsidR="00A86C32">
        <w:rPr>
          <w:rFonts w:eastAsiaTheme="minorHAnsi"/>
        </w:rPr>
        <w:t xml:space="preserve"> AMA </w:t>
      </w:r>
      <w:r w:rsidRPr="00C66972">
        <w:rPr>
          <w:rFonts w:eastAsiaTheme="minorHAnsi"/>
        </w:rPr>
        <w:t>Guide.</w:t>
      </w:r>
    </w:p>
    <w:p w14:paraId="16034843" w14:textId="67C67E85" w:rsidR="00C66972" w:rsidRPr="002239E9" w:rsidRDefault="00C66972" w:rsidP="00A80282">
      <w:pPr>
        <w:pStyle w:val="Heading4"/>
      </w:pPr>
      <w:bookmarkStart w:id="108" w:name="_Toc483227173"/>
      <w:r w:rsidRPr="002239E9">
        <w:t>Discounting of prior impairments</w:t>
      </w:r>
      <w:bookmarkEnd w:id="108"/>
    </w:p>
    <w:p w14:paraId="16F7E332" w14:textId="1DC31E32" w:rsidR="00C66972" w:rsidRPr="00C66972" w:rsidRDefault="00C66972" w:rsidP="00041991">
      <w:pPr>
        <w:spacing w:before="120" w:after="0"/>
        <w:rPr>
          <w:rFonts w:eastAsiaTheme="minorHAnsi"/>
        </w:rPr>
      </w:pPr>
      <w:r w:rsidRPr="00C66972">
        <w:rPr>
          <w:rFonts w:eastAsiaTheme="minorHAnsi"/>
        </w:rPr>
        <w:t xml:space="preserve">Most schemes require that where a pre-existing non-compensable impairment exists, the assessing doctor must discount this pre-existing impairment before making a </w:t>
      </w:r>
      <w:r w:rsidR="00041991">
        <w:rPr>
          <w:rFonts w:eastAsiaTheme="minorHAnsi"/>
        </w:rPr>
        <w:t xml:space="preserve">final assessment of impairment. </w:t>
      </w:r>
      <w:r w:rsidRPr="00C66972">
        <w:rPr>
          <w:rFonts w:eastAsiaTheme="minorHAnsi"/>
        </w:rPr>
        <w:t>However, if the deductible portion is difficult or costly to determine, schemes may designate a nominal amount for this purpose or in some instances, accept complete liability for the injury. Table 3.12 lists the discounting provisions under each scheme.</w:t>
      </w:r>
    </w:p>
    <w:p w14:paraId="3ED3B920" w14:textId="31345CCE" w:rsidR="00C66972" w:rsidRPr="00C66972" w:rsidRDefault="00C66972" w:rsidP="00C66972">
      <w:pPr>
        <w:spacing w:after="200" w:line="276" w:lineRule="auto"/>
        <w:rPr>
          <w:rFonts w:eastAsiaTheme="minorHAnsi"/>
        </w:rPr>
      </w:pPr>
    </w:p>
    <w:p w14:paraId="5B71D0CC"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38640996" w14:textId="77777777" w:rsidR="004E0E3F" w:rsidRPr="00A80282" w:rsidRDefault="004E0E3F" w:rsidP="00A80282">
      <w:pPr>
        <w:pStyle w:val="SWATableheader"/>
      </w:pPr>
      <w:bookmarkStart w:id="109" w:name="_Toc504654667"/>
      <w:r w:rsidRPr="00A80282">
        <w:rPr>
          <w:rStyle w:val="SWATableheaderChar"/>
          <w:b/>
        </w:rPr>
        <w:lastRenderedPageBreak/>
        <w:t>Table 3.10: Statutory definitions of permanent and impairment and criteria for determining whether impairment is permanent</w:t>
      </w:r>
      <w:bookmarkEnd w:id="109"/>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0: Statutory definitions of permanent and impairment and criteria for determining whether impairment is permanent "/>
        <w:tblDescription w:val="This table outlines the statutory definitions of permanent and impairment and criteria for determining whether impairment is permanent. "/>
      </w:tblPr>
      <w:tblGrid>
        <w:gridCol w:w="1626"/>
        <w:gridCol w:w="6904"/>
        <w:gridCol w:w="6905"/>
      </w:tblGrid>
      <w:tr w:rsidR="004E0E3F" w:rsidRPr="004E0E3F" w14:paraId="5A8FC21C" w14:textId="77777777" w:rsidTr="00FB729B">
        <w:trPr>
          <w:tblHeader/>
        </w:trPr>
        <w:tc>
          <w:tcPr>
            <w:tcW w:w="1626" w:type="dxa"/>
            <w:shd w:val="clear" w:color="auto" w:fill="C00000"/>
            <w:tcMar>
              <w:top w:w="0" w:type="dxa"/>
              <w:left w:w="0" w:type="dxa"/>
              <w:bottom w:w="0" w:type="dxa"/>
              <w:right w:w="0" w:type="dxa"/>
            </w:tcMar>
            <w:vAlign w:val="center"/>
          </w:tcPr>
          <w:p w14:paraId="70D09369" w14:textId="77777777" w:rsidR="004E0E3F" w:rsidRPr="004E0E3F" w:rsidRDefault="004E0E3F" w:rsidP="009146AE">
            <w:pPr>
              <w:pStyle w:val="Tableheaderrow"/>
              <w:spacing w:after="60"/>
            </w:pPr>
            <w:bookmarkStart w:id="110" w:name="definitions"/>
          </w:p>
        </w:tc>
        <w:tc>
          <w:tcPr>
            <w:tcW w:w="6904" w:type="dxa"/>
            <w:shd w:val="clear" w:color="auto" w:fill="C00000"/>
            <w:tcMar>
              <w:top w:w="0" w:type="dxa"/>
              <w:left w:w="0" w:type="dxa"/>
              <w:bottom w:w="0" w:type="dxa"/>
              <w:right w:w="0" w:type="dxa"/>
            </w:tcMar>
            <w:vAlign w:val="center"/>
          </w:tcPr>
          <w:p w14:paraId="0CB40DC5" w14:textId="0A141BB3" w:rsidR="004E0E3F" w:rsidRPr="004E0E3F" w:rsidRDefault="004E0E3F" w:rsidP="009146AE">
            <w:pPr>
              <w:pStyle w:val="Tableheaderrow"/>
              <w:spacing w:after="60"/>
            </w:pPr>
            <w:r w:rsidRPr="004E0E3F">
              <w:t>Definition of ‘permanent’ and ‘impairment’</w:t>
            </w:r>
            <w:r w:rsidR="00376626">
              <w:fldChar w:fldCharType="begin"/>
            </w:r>
            <w:r w:rsidR="00376626">
              <w:instrText xml:space="preserve"> XE "</w:instrText>
            </w:r>
            <w:r w:rsidR="00376626" w:rsidRPr="006875A7">
              <w:instrText>permanent impairment:definitions</w:instrText>
            </w:r>
            <w:r w:rsidR="00376626">
              <w:instrText xml:space="preserve">" \r "definitions" </w:instrText>
            </w:r>
            <w:r w:rsidR="00376626">
              <w:fldChar w:fldCharType="end"/>
            </w:r>
          </w:p>
        </w:tc>
        <w:tc>
          <w:tcPr>
            <w:tcW w:w="6905" w:type="dxa"/>
            <w:shd w:val="clear" w:color="auto" w:fill="C00000"/>
            <w:tcMar>
              <w:top w:w="0" w:type="dxa"/>
              <w:left w:w="0" w:type="dxa"/>
              <w:bottom w:w="0" w:type="dxa"/>
              <w:right w:w="0" w:type="dxa"/>
            </w:tcMar>
            <w:vAlign w:val="center"/>
          </w:tcPr>
          <w:p w14:paraId="72810452" w14:textId="77777777" w:rsidR="004E0E3F" w:rsidRPr="004E0E3F" w:rsidRDefault="004E0E3F" w:rsidP="009146AE">
            <w:pPr>
              <w:pStyle w:val="Tableheaderrow"/>
              <w:spacing w:after="60"/>
            </w:pPr>
            <w:r w:rsidRPr="004E0E3F">
              <w:t>Statutory criteria for determining whether an impairment is permanent</w:t>
            </w:r>
          </w:p>
        </w:tc>
      </w:tr>
      <w:tr w:rsidR="004E0E3F" w:rsidRPr="004E0E3F" w14:paraId="670682D7" w14:textId="77777777" w:rsidTr="00FB729B">
        <w:tc>
          <w:tcPr>
            <w:tcW w:w="1626" w:type="dxa"/>
            <w:shd w:val="clear" w:color="auto" w:fill="FFC9C9"/>
            <w:tcMar>
              <w:top w:w="80" w:type="dxa"/>
              <w:left w:w="80" w:type="dxa"/>
              <w:bottom w:w="80" w:type="dxa"/>
              <w:right w:w="80" w:type="dxa"/>
            </w:tcMar>
          </w:tcPr>
          <w:p w14:paraId="5816A3FB"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New South Wales</w:t>
            </w:r>
          </w:p>
        </w:tc>
        <w:tc>
          <w:tcPr>
            <w:tcW w:w="6904" w:type="dxa"/>
            <w:shd w:val="clear" w:color="auto" w:fill="FFC9C9"/>
            <w:tcMar>
              <w:top w:w="80" w:type="dxa"/>
              <w:left w:w="80" w:type="dxa"/>
              <w:bottom w:w="80" w:type="dxa"/>
              <w:right w:w="80" w:type="dxa"/>
            </w:tcMar>
          </w:tcPr>
          <w:p w14:paraId="779DBF07"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Assessments are only to be conducted when the medical assessor considers that the degree of permanent impairment of the worker is unlikely to improve further and has attained maximum medical improvement. This is considered to occur when the worker’s condition is well stabilised and is unlikely to change substantially in the next year with or without medical treatment.</w:t>
            </w:r>
          </w:p>
        </w:tc>
        <w:tc>
          <w:tcPr>
            <w:tcW w:w="6905" w:type="dxa"/>
            <w:shd w:val="clear" w:color="auto" w:fill="FFC9C9"/>
            <w:tcMar>
              <w:top w:w="80" w:type="dxa"/>
              <w:left w:w="80" w:type="dxa"/>
              <w:bottom w:w="80" w:type="dxa"/>
              <w:right w:w="80" w:type="dxa"/>
            </w:tcMar>
          </w:tcPr>
          <w:p w14:paraId="7739D46A" w14:textId="77777777" w:rsidR="00041991"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No statutory criteria for determining </w:t>
            </w:r>
            <w:r w:rsidR="00041991">
              <w:rPr>
                <w:rFonts w:cs="Arial"/>
                <w:color w:val="000000"/>
                <w:sz w:val="14"/>
                <w:szCs w:val="16"/>
                <w:lang w:val="en-GB"/>
              </w:rPr>
              <w:t>whether impairment is permanent</w:t>
            </w:r>
          </w:p>
          <w:p w14:paraId="79B6707E" w14:textId="004F9E01"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This is based on medical opinion in accordance with the NSW workers compensation guidelines for the evaluation of </w:t>
            </w:r>
            <w:r w:rsidR="00041991">
              <w:rPr>
                <w:rFonts w:cs="Arial"/>
                <w:color w:val="000000"/>
                <w:sz w:val="14"/>
                <w:szCs w:val="16"/>
                <w:lang w:val="en-GB"/>
              </w:rPr>
              <w:t>permanent impairment</w:t>
            </w:r>
          </w:p>
        </w:tc>
      </w:tr>
      <w:tr w:rsidR="004E0E3F" w:rsidRPr="004E0E3F" w14:paraId="5C03DC69" w14:textId="77777777" w:rsidTr="00FB729B">
        <w:tc>
          <w:tcPr>
            <w:tcW w:w="1626" w:type="dxa"/>
            <w:tcMar>
              <w:top w:w="80" w:type="dxa"/>
              <w:left w:w="80" w:type="dxa"/>
              <w:bottom w:w="80" w:type="dxa"/>
              <w:right w:w="80" w:type="dxa"/>
            </w:tcMar>
          </w:tcPr>
          <w:p w14:paraId="7FD64FB0" w14:textId="0096D4BB"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Victoria</w:t>
            </w:r>
          </w:p>
        </w:tc>
        <w:tc>
          <w:tcPr>
            <w:tcW w:w="6904" w:type="dxa"/>
            <w:tcMar>
              <w:top w:w="80" w:type="dxa"/>
              <w:left w:w="80" w:type="dxa"/>
              <w:bottom w:w="80" w:type="dxa"/>
              <w:right w:w="80" w:type="dxa"/>
            </w:tcMar>
          </w:tcPr>
          <w:p w14:paraId="5BBC0E1E" w14:textId="278C8937" w:rsidR="004E0E3F" w:rsidRPr="004E0E3F" w:rsidRDefault="00A7538C" w:rsidP="009146AE">
            <w:pPr>
              <w:spacing w:after="60" w:line="276" w:lineRule="auto"/>
              <w:rPr>
                <w:rFonts w:cs="Arial"/>
                <w:color w:val="000000"/>
                <w:sz w:val="14"/>
                <w:szCs w:val="16"/>
                <w:lang w:val="en-GB"/>
              </w:rPr>
            </w:pPr>
            <w:hyperlink r:id="rId828" w:history="1">
              <w:r w:rsidR="004E0E3F" w:rsidRPr="00F93ECD">
                <w:rPr>
                  <w:rStyle w:val="Hyperlink"/>
                  <w:rFonts w:cs="Arial"/>
                  <w:sz w:val="14"/>
                  <w:szCs w:val="16"/>
                  <w:lang w:val="en-GB"/>
                </w:rPr>
                <w:t>s55</w:t>
              </w:r>
            </w:hyperlink>
            <w:r w:rsidR="004E0E3F" w:rsidRPr="004E0E3F">
              <w:rPr>
                <w:rFonts w:cs="Arial"/>
                <w:color w:val="000000"/>
                <w:sz w:val="14"/>
                <w:szCs w:val="16"/>
                <w:lang w:val="en-GB"/>
              </w:rPr>
              <w:t xml:space="preserve"> — </w:t>
            </w:r>
            <w:r w:rsidR="004E0E3F" w:rsidRPr="00B53968">
              <w:rPr>
                <w:rFonts w:cs="Arial"/>
                <w:i/>
                <w:color w:val="000000"/>
                <w:sz w:val="14"/>
                <w:szCs w:val="16"/>
                <w:lang w:val="en-GB"/>
              </w:rPr>
              <w:t>Workplace Injury Rehabilitation and Compensation Act 2013</w:t>
            </w:r>
            <w:r w:rsidR="004E0E3F" w:rsidRPr="004E0E3F">
              <w:rPr>
                <w:rFonts w:cs="Arial"/>
                <w:color w:val="000000"/>
                <w:sz w:val="14"/>
                <w:szCs w:val="16"/>
                <w:lang w:val="en-GB"/>
              </w:rPr>
              <w:t>:</w:t>
            </w:r>
          </w:p>
          <w:p w14:paraId="5876866A" w14:textId="77777777" w:rsidR="004E0E3F" w:rsidRPr="004E0E3F" w:rsidRDefault="004E0E3F" w:rsidP="00F839DB">
            <w:pPr>
              <w:pStyle w:val="ListParagraph"/>
              <w:numPr>
                <w:ilvl w:val="0"/>
                <w:numId w:val="439"/>
              </w:numPr>
              <w:spacing w:after="60"/>
              <w:rPr>
                <w:rFonts w:cs="Arial"/>
                <w:color w:val="000000"/>
                <w:sz w:val="14"/>
                <w:szCs w:val="16"/>
                <w:lang w:val="en-GB"/>
              </w:rPr>
            </w:pPr>
            <w:r w:rsidRPr="004E0E3F">
              <w:rPr>
                <w:rFonts w:cs="Arial"/>
                <w:color w:val="000000"/>
                <w:sz w:val="14"/>
                <w:szCs w:val="16"/>
                <w:lang w:val="en-GB"/>
              </w:rPr>
              <w:t>Despite anything to the contrary in the AMA Guides, an assessment under this division of the degree of impairment resulting from an injury must be made — after the injury has stabilised, and</w:t>
            </w:r>
          </w:p>
          <w:p w14:paraId="560F7177" w14:textId="77777777" w:rsidR="004E0E3F" w:rsidRPr="004E0E3F" w:rsidRDefault="004E0E3F" w:rsidP="00F839DB">
            <w:pPr>
              <w:pStyle w:val="ListParagraph"/>
              <w:numPr>
                <w:ilvl w:val="0"/>
                <w:numId w:val="439"/>
              </w:numPr>
              <w:spacing w:after="60"/>
              <w:rPr>
                <w:rFonts w:cs="Arial"/>
                <w:color w:val="000000"/>
                <w:sz w:val="14"/>
                <w:szCs w:val="16"/>
                <w:lang w:val="en-GB"/>
              </w:rPr>
            </w:pPr>
            <w:r w:rsidRPr="004E0E3F">
              <w:rPr>
                <w:rFonts w:cs="Arial"/>
                <w:color w:val="000000"/>
                <w:sz w:val="14"/>
                <w:szCs w:val="16"/>
                <w:lang w:val="en-GB"/>
              </w:rPr>
              <w:t>subject to s53, based on the worker’s current impairment as at the date of the assessment, including any changes in the signs and symptoms following any medical or surgical treatment undergone by the worker in respect of the injury.</w:t>
            </w:r>
          </w:p>
          <w:p w14:paraId="2980BDB8" w14:textId="43E0F194" w:rsidR="004E0E3F" w:rsidRPr="004E0E3F" w:rsidRDefault="00A7538C" w:rsidP="009146AE">
            <w:pPr>
              <w:spacing w:after="60" w:line="276" w:lineRule="auto"/>
              <w:rPr>
                <w:rFonts w:cs="Arial"/>
                <w:color w:val="000000"/>
                <w:sz w:val="14"/>
                <w:szCs w:val="16"/>
                <w:lang w:val="en-GB"/>
              </w:rPr>
            </w:pPr>
            <w:hyperlink r:id="rId829" w:history="1">
              <w:r w:rsidR="00F93ECD" w:rsidRPr="00F93ECD">
                <w:rPr>
                  <w:rStyle w:val="Hyperlink"/>
                  <w:rFonts w:cs="Arial"/>
                  <w:sz w:val="14"/>
                  <w:szCs w:val="16"/>
                  <w:lang w:val="en-GB"/>
                </w:rPr>
                <w:t>s</w:t>
              </w:r>
              <w:r w:rsidR="004E0E3F" w:rsidRPr="00F93ECD">
                <w:rPr>
                  <w:rStyle w:val="Hyperlink"/>
                  <w:rFonts w:cs="Arial"/>
                  <w:sz w:val="14"/>
                  <w:szCs w:val="16"/>
                  <w:lang w:val="en-GB"/>
                </w:rPr>
                <w:t>54(2)</w:t>
              </w:r>
            </w:hyperlink>
            <w:r w:rsidR="004E0E3F" w:rsidRPr="004E0E3F">
              <w:rPr>
                <w:rFonts w:cs="Arial"/>
                <w:color w:val="000000"/>
                <w:sz w:val="14"/>
                <w:szCs w:val="16"/>
                <w:lang w:val="en-GB"/>
              </w:rPr>
              <w:t xml:space="preserve"> — </w:t>
            </w:r>
            <w:r w:rsidR="004E0E3F" w:rsidRPr="004E0E3F">
              <w:rPr>
                <w:rFonts w:cs="Arial"/>
                <w:i/>
                <w:color w:val="000000"/>
                <w:sz w:val="14"/>
                <w:szCs w:val="16"/>
                <w:lang w:val="en-GB"/>
              </w:rPr>
              <w:t>Workplace Injury Rehabilitation and Compensation Act 2013</w:t>
            </w:r>
            <w:r w:rsidR="004E0E3F" w:rsidRPr="004E0E3F">
              <w:rPr>
                <w:rFonts w:cs="Arial"/>
                <w:color w:val="000000"/>
                <w:sz w:val="14"/>
                <w:szCs w:val="16"/>
                <w:lang w:val="en-GB"/>
              </w:rPr>
              <w:t>:</w:t>
            </w:r>
          </w:p>
          <w:p w14:paraId="4AFB0D5E"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The AMA Guides apply in respect of an assessment under 3.3d of Chapter 3 of the AMA Guides as if the following were omitted — ‘with the Injury Model, surgery to treat an impairment does not modify the original impairment estimate, which remains the same in spite of any changes in signs or symptoms that may follow the surgery and irrespective of whether the patient has a favourable or unfavourable response to treatment’.</w:t>
            </w:r>
          </w:p>
        </w:tc>
        <w:tc>
          <w:tcPr>
            <w:tcW w:w="6905" w:type="dxa"/>
            <w:tcMar>
              <w:top w:w="80" w:type="dxa"/>
              <w:left w:w="80" w:type="dxa"/>
              <w:bottom w:w="80" w:type="dxa"/>
              <w:right w:w="80" w:type="dxa"/>
            </w:tcMar>
          </w:tcPr>
          <w:p w14:paraId="1C3C9A9B" w14:textId="6ADDF899"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Other than as provided by AMA 4 there is no legislative guidance as to when </w:t>
            </w:r>
            <w:r w:rsidR="00041991">
              <w:rPr>
                <w:rFonts w:cs="Arial"/>
                <w:color w:val="000000"/>
                <w:sz w:val="14"/>
                <w:szCs w:val="16"/>
                <w:lang w:val="en-GB"/>
              </w:rPr>
              <w:t>an impairment becomes permanent</w:t>
            </w:r>
          </w:p>
        </w:tc>
      </w:tr>
      <w:tr w:rsidR="004E0E3F" w:rsidRPr="004E0E3F" w14:paraId="16EDD7EE" w14:textId="77777777" w:rsidTr="00FB729B">
        <w:tc>
          <w:tcPr>
            <w:tcW w:w="1626" w:type="dxa"/>
            <w:shd w:val="clear" w:color="auto" w:fill="FFC9C9"/>
            <w:tcMar>
              <w:top w:w="80" w:type="dxa"/>
              <w:left w:w="80" w:type="dxa"/>
              <w:bottom w:w="80" w:type="dxa"/>
              <w:right w:w="80" w:type="dxa"/>
            </w:tcMar>
          </w:tcPr>
          <w:p w14:paraId="1B2B9983"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Queensland</w:t>
            </w:r>
          </w:p>
        </w:tc>
        <w:tc>
          <w:tcPr>
            <w:tcW w:w="6904" w:type="dxa"/>
            <w:shd w:val="clear" w:color="auto" w:fill="FFC9C9"/>
            <w:tcMar>
              <w:top w:w="80" w:type="dxa"/>
              <w:left w:w="80" w:type="dxa"/>
              <w:bottom w:w="80" w:type="dxa"/>
              <w:right w:w="80" w:type="dxa"/>
            </w:tcMar>
          </w:tcPr>
          <w:p w14:paraId="72AD099C" w14:textId="77777777" w:rsidR="004E0E3F" w:rsidRPr="004E0E3F" w:rsidRDefault="004E0E3F" w:rsidP="009146AE">
            <w:pPr>
              <w:spacing w:after="60" w:line="276" w:lineRule="auto"/>
              <w:rPr>
                <w:rFonts w:cs="Arial"/>
                <w:color w:val="000000"/>
                <w:sz w:val="14"/>
                <w:szCs w:val="16"/>
                <w:lang w:val="en-GB"/>
              </w:rPr>
            </w:pPr>
            <w:r w:rsidRPr="00B53968">
              <w:rPr>
                <w:rFonts w:cs="Arial"/>
                <w:i/>
                <w:color w:val="000000"/>
                <w:sz w:val="14"/>
                <w:szCs w:val="16"/>
                <w:lang w:val="en-GB"/>
              </w:rPr>
              <w:t>Workers’ Compensation and Rehabilitation Act 2003</w:t>
            </w:r>
            <w:r w:rsidRPr="004E0E3F">
              <w:rPr>
                <w:rFonts w:cs="Arial"/>
                <w:color w:val="000000"/>
                <w:sz w:val="14"/>
                <w:szCs w:val="16"/>
                <w:lang w:val="en-GB"/>
              </w:rPr>
              <w:t>:</w:t>
            </w:r>
          </w:p>
          <w:p w14:paraId="73568966" w14:textId="5F88132F" w:rsidR="004E0E3F" w:rsidRPr="004E0E3F" w:rsidRDefault="00A7538C" w:rsidP="009146AE">
            <w:pPr>
              <w:spacing w:after="60" w:line="276" w:lineRule="auto"/>
              <w:rPr>
                <w:rFonts w:cs="Arial"/>
                <w:color w:val="000000"/>
                <w:sz w:val="14"/>
                <w:szCs w:val="16"/>
                <w:lang w:val="en-GB"/>
              </w:rPr>
            </w:pPr>
            <w:hyperlink r:id="rId830" w:anchor="sec.38" w:history="1">
              <w:r w:rsidR="004E0E3F" w:rsidRPr="00F93ECD">
                <w:rPr>
                  <w:rStyle w:val="Hyperlink"/>
                  <w:rFonts w:cs="Arial"/>
                  <w:sz w:val="14"/>
                  <w:szCs w:val="16"/>
                  <w:lang w:val="en-GB"/>
                </w:rPr>
                <w:t>s38</w:t>
              </w:r>
            </w:hyperlink>
            <w:r w:rsidR="004E0E3F" w:rsidRPr="004E0E3F">
              <w:rPr>
                <w:rFonts w:cs="Arial"/>
                <w:color w:val="000000"/>
                <w:sz w:val="14"/>
                <w:szCs w:val="16"/>
                <w:lang w:val="en-GB"/>
              </w:rPr>
              <w:t xml:space="preserve"> Meaning of permanent impairment — A permanent impairment, from injury, is an impairment that is stable and stationary and not likely to improve with furthe</w:t>
            </w:r>
            <w:r w:rsidR="00041991">
              <w:rPr>
                <w:rFonts w:cs="Arial"/>
                <w:color w:val="000000"/>
                <w:sz w:val="14"/>
                <w:szCs w:val="16"/>
                <w:lang w:val="en-GB"/>
              </w:rPr>
              <w:t>r medical or surgical treatment</w:t>
            </w:r>
          </w:p>
          <w:p w14:paraId="59E20544" w14:textId="6FB3BE5B" w:rsidR="004E0E3F" w:rsidRPr="004E0E3F" w:rsidRDefault="00A7538C" w:rsidP="009146AE">
            <w:pPr>
              <w:spacing w:after="60" w:line="276" w:lineRule="auto"/>
              <w:rPr>
                <w:rFonts w:cs="Arial"/>
                <w:color w:val="000000"/>
                <w:sz w:val="14"/>
                <w:szCs w:val="16"/>
                <w:lang w:val="en-GB"/>
              </w:rPr>
            </w:pPr>
            <w:hyperlink r:id="rId831" w:anchor="sec.37" w:history="1">
              <w:r w:rsidR="004E0E3F" w:rsidRPr="00F93ECD">
                <w:rPr>
                  <w:rStyle w:val="Hyperlink"/>
                  <w:rFonts w:cs="Arial"/>
                  <w:sz w:val="14"/>
                  <w:szCs w:val="16"/>
                  <w:lang w:val="en-GB"/>
                </w:rPr>
                <w:t>s37</w:t>
              </w:r>
            </w:hyperlink>
            <w:r w:rsidR="004E0E3F" w:rsidRPr="004E0E3F">
              <w:rPr>
                <w:rFonts w:cs="Arial"/>
                <w:color w:val="000000"/>
                <w:sz w:val="14"/>
                <w:szCs w:val="16"/>
                <w:lang w:val="en-GB"/>
              </w:rPr>
              <w:t xml:space="preserve"> Meaning of impairment — An impairment from injury is a loss of, or loss of efficient use </w:t>
            </w:r>
            <w:r w:rsidR="00041991">
              <w:rPr>
                <w:rFonts w:cs="Arial"/>
                <w:color w:val="000000"/>
                <w:sz w:val="14"/>
                <w:szCs w:val="16"/>
                <w:lang w:val="en-GB"/>
              </w:rPr>
              <w:t>of, any part of a worker’s body</w:t>
            </w:r>
          </w:p>
        </w:tc>
        <w:tc>
          <w:tcPr>
            <w:tcW w:w="6905" w:type="dxa"/>
            <w:shd w:val="clear" w:color="auto" w:fill="FFC9C9"/>
            <w:tcMar>
              <w:top w:w="80" w:type="dxa"/>
              <w:left w:w="80" w:type="dxa"/>
              <w:bottom w:w="80" w:type="dxa"/>
              <w:right w:w="80" w:type="dxa"/>
            </w:tcMar>
          </w:tcPr>
          <w:p w14:paraId="4EF0DB3E" w14:textId="77777777" w:rsidR="004E0E3F" w:rsidRPr="004E0E3F" w:rsidRDefault="004E0E3F" w:rsidP="009146AE">
            <w:pPr>
              <w:spacing w:after="60" w:line="276" w:lineRule="auto"/>
              <w:rPr>
                <w:rFonts w:cs="Arial"/>
                <w:color w:val="000000"/>
                <w:sz w:val="14"/>
                <w:szCs w:val="16"/>
                <w:lang w:val="en-GB"/>
              </w:rPr>
            </w:pPr>
            <w:r w:rsidRPr="00B53968">
              <w:rPr>
                <w:rFonts w:cs="Arial"/>
                <w:i/>
                <w:color w:val="000000"/>
                <w:sz w:val="14"/>
                <w:szCs w:val="16"/>
                <w:lang w:val="en-GB"/>
              </w:rPr>
              <w:t>Workers’ Compensation and Rehabilitation Act 2003</w:t>
            </w:r>
            <w:r w:rsidRPr="004E0E3F">
              <w:rPr>
                <w:rFonts w:cs="Arial"/>
                <w:color w:val="000000"/>
                <w:sz w:val="14"/>
                <w:szCs w:val="16"/>
                <w:lang w:val="en-GB"/>
              </w:rPr>
              <w:t xml:space="preserve">: </w:t>
            </w:r>
          </w:p>
          <w:p w14:paraId="0917B5B0" w14:textId="3AD29A51" w:rsidR="004E0E3F" w:rsidRPr="004E0E3F" w:rsidRDefault="00A7538C" w:rsidP="009146AE">
            <w:pPr>
              <w:spacing w:after="60" w:line="276" w:lineRule="auto"/>
              <w:rPr>
                <w:rFonts w:cs="Arial"/>
                <w:color w:val="000000"/>
                <w:sz w:val="14"/>
                <w:szCs w:val="16"/>
                <w:lang w:val="en-GB"/>
              </w:rPr>
            </w:pPr>
            <w:hyperlink r:id="rId832" w:anchor="sec.179" w:history="1">
              <w:r w:rsidR="004E0E3F" w:rsidRPr="00F93ECD">
                <w:rPr>
                  <w:rStyle w:val="Hyperlink"/>
                  <w:rFonts w:cs="Arial"/>
                  <w:sz w:val="14"/>
                  <w:szCs w:val="16"/>
                  <w:lang w:val="en-GB"/>
                </w:rPr>
                <w:t>s179</w:t>
              </w:r>
            </w:hyperlink>
            <w:r w:rsidR="004E0E3F" w:rsidRPr="004E0E3F">
              <w:rPr>
                <w:rFonts w:cs="Arial"/>
                <w:color w:val="000000"/>
                <w:sz w:val="14"/>
                <w:szCs w:val="16"/>
                <w:lang w:val="en-GB"/>
              </w:rPr>
              <w:t xml:space="preserve"> Assessment of permanent impairment</w:t>
            </w:r>
          </w:p>
          <w:p w14:paraId="6DA1E472" w14:textId="77777777" w:rsidR="004E0E3F" w:rsidRPr="004E0E3F" w:rsidRDefault="004E0E3F" w:rsidP="00F839DB">
            <w:pPr>
              <w:pStyle w:val="ListParagraph"/>
              <w:numPr>
                <w:ilvl w:val="0"/>
                <w:numId w:val="97"/>
              </w:numPr>
              <w:spacing w:after="60"/>
              <w:contextualSpacing/>
              <w:rPr>
                <w:rFonts w:eastAsia="Calibri" w:cs="Arial"/>
                <w:sz w:val="14"/>
                <w:szCs w:val="14"/>
                <w:lang w:eastAsia="en-US"/>
              </w:rPr>
            </w:pPr>
            <w:r w:rsidRPr="004E0E3F">
              <w:rPr>
                <w:rFonts w:eastAsia="Calibri" w:cs="Arial"/>
                <w:sz w:val="14"/>
                <w:szCs w:val="14"/>
                <w:lang w:eastAsia="en-US"/>
              </w:rPr>
              <w:t>An insurer may decide, or a worker may ask the insurer, to have the worker’s injury assessed to decide if the worker’s injury has resulted in a degree of permanent impairment.</w:t>
            </w:r>
          </w:p>
          <w:p w14:paraId="76C5DC80" w14:textId="77777777" w:rsidR="004E0E3F" w:rsidRPr="004E0E3F" w:rsidRDefault="004E0E3F" w:rsidP="00F839DB">
            <w:pPr>
              <w:pStyle w:val="ListParagraph"/>
              <w:numPr>
                <w:ilvl w:val="0"/>
                <w:numId w:val="97"/>
              </w:numPr>
              <w:spacing w:after="60"/>
              <w:contextualSpacing/>
              <w:rPr>
                <w:rFonts w:eastAsia="Calibri" w:cs="Arial"/>
                <w:sz w:val="14"/>
                <w:szCs w:val="14"/>
                <w:lang w:eastAsia="en-US"/>
              </w:rPr>
            </w:pPr>
            <w:r w:rsidRPr="004E0E3F">
              <w:rPr>
                <w:rFonts w:eastAsia="Calibri" w:cs="Arial"/>
                <w:sz w:val="14"/>
                <w:szCs w:val="14"/>
                <w:lang w:eastAsia="en-US"/>
              </w:rPr>
              <w:t>The insurer must have the degree of permanent impairment assessed — (a) for industrial deafness — by an audiologist; or (b) or a psychiatric or psychological injury — by a medical assessment tribunal; or (c) or another injury — by a doctor.</w:t>
            </w:r>
          </w:p>
          <w:p w14:paraId="1FA91AB4" w14:textId="77777777" w:rsidR="004E0E3F" w:rsidRPr="004E0E3F" w:rsidRDefault="004E0E3F" w:rsidP="00F839DB">
            <w:pPr>
              <w:pStyle w:val="ListParagraph"/>
              <w:numPr>
                <w:ilvl w:val="0"/>
                <w:numId w:val="97"/>
              </w:numPr>
              <w:spacing w:after="60"/>
              <w:contextualSpacing/>
              <w:rPr>
                <w:rFonts w:eastAsia="Calibri" w:cs="Arial"/>
                <w:sz w:val="14"/>
                <w:szCs w:val="14"/>
                <w:lang w:eastAsia="en-US"/>
              </w:rPr>
            </w:pPr>
            <w:r w:rsidRPr="004E0E3F">
              <w:rPr>
                <w:rFonts w:eastAsia="Calibri" w:cs="Arial"/>
                <w:sz w:val="14"/>
                <w:szCs w:val="14"/>
                <w:lang w:eastAsia="en-US"/>
              </w:rPr>
              <w:t>The degree of permanent impairment must be assessed in the way prescribed under a regulation and a report must be given to the insurer stating — (a) the matters taken into account, and the weight given to the matters, in deciding the degree of permanent impairment; and (b) any other information prescribed under a regulation.</w:t>
            </w:r>
          </w:p>
          <w:p w14:paraId="35723D23" w14:textId="77777777" w:rsidR="004E0E3F" w:rsidRPr="004E0E3F" w:rsidRDefault="004E0E3F" w:rsidP="00F839DB">
            <w:pPr>
              <w:pStyle w:val="ListParagraph"/>
              <w:numPr>
                <w:ilvl w:val="0"/>
                <w:numId w:val="97"/>
              </w:numPr>
              <w:spacing w:after="60"/>
              <w:contextualSpacing/>
              <w:rPr>
                <w:rFonts w:eastAsia="Calibri" w:cs="Arial"/>
                <w:sz w:val="14"/>
                <w:szCs w:val="14"/>
                <w:lang w:eastAsia="en-US"/>
              </w:rPr>
            </w:pPr>
            <w:r w:rsidRPr="004E0E3F">
              <w:rPr>
                <w:rFonts w:eastAsia="Calibri" w:cs="Arial"/>
                <w:sz w:val="14"/>
                <w:szCs w:val="14"/>
                <w:lang w:eastAsia="en-US"/>
              </w:rPr>
              <w:t xml:space="preserve">The degree of permanent impairment must be assessed in accordance with the </w:t>
            </w:r>
            <w:hyperlink r:id="rId833" w:history="1">
              <w:r w:rsidRPr="002B4D71">
                <w:rPr>
                  <w:rFonts w:eastAsia="Calibri" w:cs="Arial"/>
                  <w:i/>
                  <w:color w:val="0000FF"/>
                  <w:sz w:val="14"/>
                  <w:szCs w:val="14"/>
                  <w:u w:val="single"/>
                  <w:lang w:eastAsia="en-US"/>
                </w:rPr>
                <w:t>Guidelines for Evaluation of Permanent Impairment</w:t>
              </w:r>
            </w:hyperlink>
            <w:r w:rsidRPr="004E0E3F">
              <w:rPr>
                <w:rFonts w:eastAsia="Calibri" w:cs="Arial"/>
                <w:sz w:val="14"/>
                <w:szCs w:val="14"/>
                <w:lang w:eastAsia="en-US"/>
              </w:rPr>
              <w:t xml:space="preserve"> (the Queensland Guide) to decide the degree of permanent impairment for the injury, and a report complying with the Queensland Guide must be given to the insurer.</w:t>
            </w:r>
          </w:p>
          <w:p w14:paraId="7AA04812" w14:textId="77777777" w:rsidR="004E0E3F" w:rsidRPr="004E0E3F" w:rsidRDefault="004E0E3F" w:rsidP="009146AE">
            <w:pPr>
              <w:spacing w:after="60" w:line="276" w:lineRule="auto"/>
              <w:rPr>
                <w:rFonts w:cs="Arial"/>
                <w:color w:val="000000"/>
                <w:sz w:val="14"/>
                <w:szCs w:val="16"/>
                <w:lang w:val="en-GB"/>
              </w:rPr>
            </w:pPr>
            <w:r w:rsidRPr="004E0E3F">
              <w:rPr>
                <w:rFonts w:cs="Arial"/>
                <w:i/>
                <w:color w:val="000000"/>
                <w:sz w:val="14"/>
                <w:szCs w:val="16"/>
                <w:lang w:val="en-GB"/>
              </w:rPr>
              <w:t>Workers’ Compensation and Rehabilitation Regulation 2014</w:t>
            </w:r>
            <w:r w:rsidRPr="004E0E3F">
              <w:rPr>
                <w:rFonts w:cs="Arial"/>
                <w:color w:val="000000"/>
                <w:sz w:val="14"/>
                <w:szCs w:val="16"/>
                <w:lang w:val="en-GB"/>
              </w:rPr>
              <w:t>:</w:t>
            </w:r>
          </w:p>
          <w:p w14:paraId="71F9CB01" w14:textId="510C7390" w:rsidR="004E0E3F" w:rsidRPr="004E0E3F" w:rsidRDefault="00A7538C" w:rsidP="00F839DB">
            <w:pPr>
              <w:pStyle w:val="ListParagraph"/>
              <w:numPr>
                <w:ilvl w:val="0"/>
                <w:numId w:val="98"/>
              </w:numPr>
              <w:spacing w:after="60"/>
              <w:contextualSpacing/>
              <w:rPr>
                <w:rFonts w:eastAsia="Calibri" w:cs="Arial"/>
                <w:sz w:val="14"/>
                <w:szCs w:val="14"/>
                <w:lang w:eastAsia="en-US"/>
              </w:rPr>
            </w:pPr>
            <w:hyperlink r:id="rId834" w:anchor="pt.4-div.3" w:history="1">
              <w:r w:rsidR="004E0E3F" w:rsidRPr="00A908F7">
                <w:rPr>
                  <w:rStyle w:val="Hyperlink"/>
                  <w:rFonts w:eastAsia="Calibri" w:cs="Arial"/>
                  <w:sz w:val="14"/>
                  <w:szCs w:val="14"/>
                  <w:lang w:eastAsia="en-US"/>
                </w:rPr>
                <w:t>Part 4 Division 3</w:t>
              </w:r>
            </w:hyperlink>
            <w:r w:rsidR="004E0E3F" w:rsidRPr="004E0E3F">
              <w:rPr>
                <w:rFonts w:eastAsia="Calibri" w:cs="Arial"/>
                <w:sz w:val="14"/>
                <w:szCs w:val="14"/>
                <w:lang w:eastAsia="en-US"/>
              </w:rPr>
              <w:t>, Entitlement to compensation for permanent impairment</w:t>
            </w:r>
          </w:p>
        </w:tc>
      </w:tr>
      <w:tr w:rsidR="004E0E3F" w:rsidRPr="004E0E3F" w14:paraId="6F7D441F" w14:textId="77777777" w:rsidTr="00FB729B">
        <w:tc>
          <w:tcPr>
            <w:tcW w:w="1626" w:type="dxa"/>
            <w:tcMar>
              <w:top w:w="80" w:type="dxa"/>
              <w:left w:w="80" w:type="dxa"/>
              <w:bottom w:w="80" w:type="dxa"/>
              <w:right w:w="80" w:type="dxa"/>
            </w:tcMar>
          </w:tcPr>
          <w:p w14:paraId="3D8194F6"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Western Australia</w:t>
            </w:r>
          </w:p>
        </w:tc>
        <w:tc>
          <w:tcPr>
            <w:tcW w:w="6904" w:type="dxa"/>
            <w:tcMar>
              <w:top w:w="80" w:type="dxa"/>
              <w:left w:w="80" w:type="dxa"/>
              <w:bottom w:w="80" w:type="dxa"/>
              <w:right w:w="80" w:type="dxa"/>
            </w:tcMar>
          </w:tcPr>
          <w:p w14:paraId="6EB08FB5" w14:textId="77777777" w:rsidR="00041991" w:rsidRDefault="00041991" w:rsidP="009146AE">
            <w:pPr>
              <w:spacing w:after="60" w:line="276" w:lineRule="auto"/>
              <w:rPr>
                <w:rFonts w:cs="Arial"/>
                <w:color w:val="000000"/>
                <w:sz w:val="14"/>
                <w:szCs w:val="16"/>
              </w:rPr>
            </w:pPr>
            <w:r>
              <w:rPr>
                <w:rFonts w:cs="Arial"/>
                <w:color w:val="000000"/>
                <w:sz w:val="14"/>
                <w:szCs w:val="16"/>
              </w:rPr>
              <w:t>No statutory definition</w:t>
            </w:r>
          </w:p>
          <w:p w14:paraId="2F3C707E" w14:textId="61300E4F" w:rsidR="004E0E3F" w:rsidRPr="004E0E3F" w:rsidRDefault="00A7538C" w:rsidP="00F93ECD">
            <w:pPr>
              <w:spacing w:after="60" w:line="276" w:lineRule="auto"/>
              <w:rPr>
                <w:rFonts w:cs="Arial"/>
                <w:color w:val="000000"/>
                <w:sz w:val="14"/>
                <w:szCs w:val="16"/>
                <w:lang w:val="en-GB"/>
              </w:rPr>
            </w:pPr>
            <w:hyperlink r:id="rId835" w:history="1">
              <w:r w:rsidR="004E0E3F" w:rsidRPr="00F93ECD">
                <w:rPr>
                  <w:rStyle w:val="Hyperlink"/>
                  <w:rFonts w:cs="Arial"/>
                  <w:sz w:val="14"/>
                  <w:szCs w:val="16"/>
                </w:rPr>
                <w:t>s146A(1)</w:t>
              </w:r>
            </w:hyperlink>
            <w:r w:rsidR="004E0E3F" w:rsidRPr="004E0E3F">
              <w:rPr>
                <w:rFonts w:cs="Arial"/>
                <w:color w:val="000000"/>
                <w:sz w:val="14"/>
                <w:szCs w:val="16"/>
              </w:rPr>
              <w:t xml:space="preserve"> notes that a worker’s degree of impairment is to be evaluated, as a percentage in accordance with the </w:t>
            </w:r>
            <w:hyperlink r:id="rId836" w:history="1">
              <w:r w:rsidR="004E0E3F" w:rsidRPr="00522B6B">
                <w:rPr>
                  <w:rFonts w:cs="Arial"/>
                  <w:i/>
                  <w:color w:val="0000FF"/>
                  <w:sz w:val="14"/>
                  <w:szCs w:val="16"/>
                  <w:u w:val="single"/>
                </w:rPr>
                <w:t>WorkCover WA Guidelines for the Evaluation of Permanent Impairment</w:t>
              </w:r>
            </w:hyperlink>
          </w:p>
        </w:tc>
        <w:tc>
          <w:tcPr>
            <w:tcW w:w="6905" w:type="dxa"/>
            <w:tcMar>
              <w:top w:w="80" w:type="dxa"/>
              <w:left w:w="80" w:type="dxa"/>
              <w:bottom w:w="80" w:type="dxa"/>
              <w:right w:w="80" w:type="dxa"/>
            </w:tcMar>
          </w:tcPr>
          <w:p w14:paraId="39B69A79" w14:textId="3E38A97C" w:rsidR="00041991"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No statutory criteria for determining whether impairment is permanent — this is based on medical opinion in accordance with </w:t>
            </w:r>
            <w:r w:rsidRPr="00522B6B">
              <w:rPr>
                <w:rFonts w:cs="Arial"/>
                <w:i/>
                <w:color w:val="000000"/>
                <w:sz w:val="14"/>
                <w:szCs w:val="16"/>
                <w:lang w:val="en-GB"/>
              </w:rPr>
              <w:t>WorkCover Guide</w:t>
            </w:r>
            <w:r w:rsidR="00E01069" w:rsidRPr="00522B6B">
              <w:rPr>
                <w:rFonts w:cs="Arial"/>
                <w:i/>
                <w:color w:val="000000"/>
                <w:sz w:val="14"/>
                <w:szCs w:val="16"/>
                <w:lang w:val="en-GB"/>
              </w:rPr>
              <w:t>line</w:t>
            </w:r>
            <w:r w:rsidRPr="00522B6B">
              <w:rPr>
                <w:rFonts w:cs="Arial"/>
                <w:i/>
                <w:color w:val="000000"/>
                <w:sz w:val="14"/>
                <w:szCs w:val="16"/>
                <w:lang w:val="en-GB"/>
              </w:rPr>
              <w:t>s for the Eval</w:t>
            </w:r>
            <w:r w:rsidR="00041991" w:rsidRPr="00522B6B">
              <w:rPr>
                <w:rFonts w:cs="Arial"/>
                <w:i/>
                <w:color w:val="000000"/>
                <w:sz w:val="14"/>
                <w:szCs w:val="16"/>
                <w:lang w:val="en-GB"/>
              </w:rPr>
              <w:t>uation of Permanent Impairment</w:t>
            </w:r>
          </w:p>
          <w:p w14:paraId="3CB4646B" w14:textId="076A5461"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The Guides are based on AMA 5 and the </w:t>
            </w:r>
            <w:r w:rsidRPr="00522B6B">
              <w:rPr>
                <w:rFonts w:cs="Arial"/>
                <w:i/>
                <w:color w:val="000000"/>
                <w:sz w:val="14"/>
                <w:szCs w:val="16"/>
                <w:lang w:val="en-GB"/>
              </w:rPr>
              <w:t>New South Wales Guides for the Eva</w:t>
            </w:r>
            <w:r w:rsidR="00041991" w:rsidRPr="00522B6B">
              <w:rPr>
                <w:rFonts w:cs="Arial"/>
                <w:i/>
                <w:color w:val="000000"/>
                <w:sz w:val="14"/>
                <w:szCs w:val="16"/>
                <w:lang w:val="en-GB"/>
              </w:rPr>
              <w:t>luation of Permanent Impairment</w:t>
            </w:r>
          </w:p>
        </w:tc>
      </w:tr>
      <w:tr w:rsidR="004E0E3F" w:rsidRPr="004E0E3F" w14:paraId="45432ADA" w14:textId="77777777" w:rsidTr="00FB729B">
        <w:tc>
          <w:tcPr>
            <w:tcW w:w="1626" w:type="dxa"/>
            <w:shd w:val="clear" w:color="auto" w:fill="FFC9C9"/>
            <w:tcMar>
              <w:top w:w="80" w:type="dxa"/>
              <w:left w:w="80" w:type="dxa"/>
              <w:bottom w:w="80" w:type="dxa"/>
              <w:right w:w="80" w:type="dxa"/>
            </w:tcMar>
          </w:tcPr>
          <w:p w14:paraId="33AB3EA4"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South Australia</w:t>
            </w:r>
          </w:p>
        </w:tc>
        <w:tc>
          <w:tcPr>
            <w:tcW w:w="6904" w:type="dxa"/>
            <w:shd w:val="clear" w:color="auto" w:fill="FFC9C9"/>
            <w:tcMar>
              <w:top w:w="80" w:type="dxa"/>
              <w:left w:w="80" w:type="dxa"/>
              <w:bottom w:w="80" w:type="dxa"/>
              <w:right w:w="80" w:type="dxa"/>
            </w:tcMar>
          </w:tcPr>
          <w:p w14:paraId="4B8EEA47"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The ReturnToWorkSA </w:t>
            </w:r>
            <w:hyperlink r:id="rId837" w:history="1">
              <w:r w:rsidRPr="004E0E3F">
                <w:rPr>
                  <w:rFonts w:cs="Arial"/>
                  <w:color w:val="0000FF"/>
                  <w:sz w:val="14"/>
                  <w:szCs w:val="16"/>
                  <w:u w:val="single"/>
                  <w:lang w:val="en-GB"/>
                </w:rPr>
                <w:t>Impairment Assessment Guidelines</w:t>
              </w:r>
            </w:hyperlink>
            <w:r w:rsidRPr="004E0E3F">
              <w:rPr>
                <w:rFonts w:cs="Arial"/>
                <w:color w:val="000000"/>
                <w:sz w:val="14"/>
                <w:szCs w:val="16"/>
                <w:lang w:val="en-GB"/>
              </w:rPr>
              <w:t xml:space="preserve"> provide the following definitions: </w:t>
            </w:r>
          </w:p>
          <w:p w14:paraId="44BE7152" w14:textId="77777777" w:rsidR="004E0E3F" w:rsidRPr="004E0E3F" w:rsidRDefault="004E0E3F" w:rsidP="009146AE">
            <w:pPr>
              <w:spacing w:after="60"/>
              <w:rPr>
                <w:rFonts w:cs="Arial"/>
                <w:color w:val="000000"/>
                <w:sz w:val="14"/>
                <w:szCs w:val="16"/>
                <w:lang w:val="en-GB"/>
              </w:rPr>
            </w:pPr>
            <w:r w:rsidRPr="004E0E3F">
              <w:rPr>
                <w:rFonts w:cs="Arial"/>
                <w:color w:val="000000"/>
                <w:sz w:val="14"/>
                <w:szCs w:val="16"/>
                <w:lang w:val="en-GB"/>
              </w:rPr>
              <w:t>Permanent: ‘The meaning given to the word ‘permanent’ in various decisions</w:t>
            </w:r>
            <w:r w:rsidR="00CB58F3">
              <w:rPr>
                <w:rFonts w:cs="Arial"/>
                <w:color w:val="000000"/>
                <w:sz w:val="14"/>
                <w:szCs w:val="16"/>
                <w:lang w:val="en-GB"/>
              </w:rPr>
              <w:t xml:space="preserve"> </w:t>
            </w:r>
            <w:r w:rsidRPr="004E0E3F">
              <w:rPr>
                <w:rFonts w:cs="Arial"/>
                <w:color w:val="000000"/>
                <w:sz w:val="14"/>
                <w:szCs w:val="16"/>
                <w:lang w:val="en-GB"/>
              </w:rPr>
              <w:t>of the courts includes:</w:t>
            </w:r>
          </w:p>
          <w:p w14:paraId="590E3439" w14:textId="77777777" w:rsidR="004E0E3F" w:rsidRPr="004E0E3F" w:rsidRDefault="004E0E3F" w:rsidP="00F839DB">
            <w:pPr>
              <w:pStyle w:val="Tableabc7pt"/>
              <w:numPr>
                <w:ilvl w:val="0"/>
                <w:numId w:val="440"/>
              </w:numPr>
              <w:spacing w:before="0" w:after="60" w:line="276" w:lineRule="auto"/>
              <w:rPr>
                <w:rFonts w:eastAsia="Calibri"/>
                <w:lang w:eastAsia="en-US"/>
              </w:rPr>
            </w:pPr>
            <w:r w:rsidRPr="004E0E3F">
              <w:rPr>
                <w:rFonts w:eastAsia="Calibri"/>
                <w:lang w:eastAsia="en-US"/>
              </w:rPr>
              <w:lastRenderedPageBreak/>
              <w:t>for a long and indeterminate time but not necessarily forever</w:t>
            </w:r>
          </w:p>
          <w:p w14:paraId="10F65BF5" w14:textId="77777777" w:rsidR="004E0E3F" w:rsidRPr="004E0E3F" w:rsidRDefault="004E0E3F" w:rsidP="00F839DB">
            <w:pPr>
              <w:pStyle w:val="Tableabc7pt"/>
              <w:numPr>
                <w:ilvl w:val="0"/>
                <w:numId w:val="440"/>
              </w:numPr>
              <w:spacing w:before="0" w:after="60"/>
              <w:rPr>
                <w:rFonts w:eastAsia="Calibri"/>
                <w:lang w:eastAsia="en-US"/>
              </w:rPr>
            </w:pPr>
            <w:r w:rsidRPr="004E0E3F">
              <w:rPr>
                <w:rFonts w:eastAsia="Calibri"/>
                <w:lang w:eastAsia="en-US"/>
              </w:rPr>
              <w:t>more likely than not to persist in the foreseeable future.’</w:t>
            </w:r>
          </w:p>
          <w:p w14:paraId="56327309"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Impairment: ‘A loss, loss of use or derangement of any body part, organ system or organ function (AMA5).’</w:t>
            </w:r>
          </w:p>
        </w:tc>
        <w:tc>
          <w:tcPr>
            <w:tcW w:w="6905" w:type="dxa"/>
            <w:shd w:val="clear" w:color="auto" w:fill="FFC9C9"/>
            <w:tcMar>
              <w:top w:w="80" w:type="dxa"/>
              <w:left w:w="80" w:type="dxa"/>
              <w:bottom w:w="80" w:type="dxa"/>
              <w:right w:w="80" w:type="dxa"/>
            </w:tcMar>
          </w:tcPr>
          <w:p w14:paraId="6874007A" w14:textId="616A2B0B" w:rsidR="004E0E3F" w:rsidRPr="004E0E3F" w:rsidRDefault="004E0E3F" w:rsidP="009146AE">
            <w:pPr>
              <w:spacing w:after="60"/>
              <w:contextualSpacing/>
              <w:rPr>
                <w:rFonts w:eastAsia="Calibri" w:cs="Arial"/>
                <w:sz w:val="14"/>
                <w:szCs w:val="14"/>
                <w:lang w:eastAsia="en-US"/>
              </w:rPr>
            </w:pPr>
            <w:r w:rsidRPr="004E0E3F">
              <w:rPr>
                <w:rFonts w:cs="Arial"/>
                <w:color w:val="000000"/>
                <w:sz w:val="14"/>
                <w:szCs w:val="16"/>
                <w:lang w:val="en-GB"/>
              </w:rPr>
              <w:lastRenderedPageBreak/>
              <w:t>No statutory criteria</w:t>
            </w:r>
          </w:p>
        </w:tc>
      </w:tr>
      <w:tr w:rsidR="004E0E3F" w:rsidRPr="004E0E3F" w14:paraId="2BD6C02B" w14:textId="77777777" w:rsidTr="00FB729B">
        <w:tc>
          <w:tcPr>
            <w:tcW w:w="1626" w:type="dxa"/>
            <w:tcMar>
              <w:top w:w="80" w:type="dxa"/>
              <w:left w:w="80" w:type="dxa"/>
              <w:bottom w:w="80" w:type="dxa"/>
              <w:right w:w="80" w:type="dxa"/>
            </w:tcMar>
          </w:tcPr>
          <w:p w14:paraId="3CCFC191"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Tasmania</w:t>
            </w:r>
          </w:p>
        </w:tc>
        <w:tc>
          <w:tcPr>
            <w:tcW w:w="6904" w:type="dxa"/>
            <w:tcMar>
              <w:top w:w="80" w:type="dxa"/>
              <w:left w:w="80" w:type="dxa"/>
              <w:bottom w:w="80" w:type="dxa"/>
              <w:right w:w="80" w:type="dxa"/>
            </w:tcMar>
          </w:tcPr>
          <w:p w14:paraId="09419F63"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The WorkCover </w:t>
            </w:r>
            <w:hyperlink r:id="rId838" w:history="1">
              <w:r w:rsidRPr="00522B6B">
                <w:rPr>
                  <w:rFonts w:cs="Arial"/>
                  <w:i/>
                  <w:color w:val="0000FF"/>
                  <w:sz w:val="14"/>
                  <w:szCs w:val="16"/>
                  <w:u w:val="single"/>
                  <w:lang w:val="en-GB"/>
                </w:rPr>
                <w:t>Guidelines for the Assessment of Permanent Impairment</w:t>
              </w:r>
            </w:hyperlink>
            <w:r w:rsidRPr="004E0E3F">
              <w:rPr>
                <w:rFonts w:cs="Arial"/>
                <w:color w:val="000000"/>
                <w:sz w:val="14"/>
                <w:szCs w:val="16"/>
                <w:lang w:val="en-GB"/>
              </w:rPr>
              <w:t xml:space="preserve"> state:</w:t>
            </w:r>
          </w:p>
          <w:p w14:paraId="358C45EC"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‘it must be shown that the problem has been present for a period of time, is static, well stabilised, and is unlikely to change substantially regardless of treatment.’</w:t>
            </w:r>
          </w:p>
          <w:p w14:paraId="616347F9"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However where impairment assessment is a prerequisite for access to common law, and where strict time limits apply, a medical assessor may undertake an assessment where the impairment does not meet the definition of ‘permanent’ to verify that the level of impairment will not be less than the statutory threshold. Under amendments which commenced on 1 July 2010, the threshold for access to common law is 20% WIP— page 4.</w:t>
            </w:r>
          </w:p>
        </w:tc>
        <w:tc>
          <w:tcPr>
            <w:tcW w:w="6905" w:type="dxa"/>
            <w:tcMar>
              <w:top w:w="80" w:type="dxa"/>
              <w:left w:w="80" w:type="dxa"/>
              <w:bottom w:w="80" w:type="dxa"/>
              <w:right w:w="80" w:type="dxa"/>
            </w:tcMar>
          </w:tcPr>
          <w:p w14:paraId="38CD021C" w14:textId="47611EE3" w:rsidR="004E0E3F" w:rsidRPr="004E0E3F" w:rsidRDefault="00041991" w:rsidP="009146AE">
            <w:pPr>
              <w:spacing w:after="60" w:line="276" w:lineRule="auto"/>
              <w:rPr>
                <w:rFonts w:cs="Arial"/>
                <w:color w:val="000000"/>
                <w:sz w:val="14"/>
                <w:szCs w:val="16"/>
                <w:lang w:val="en-GB"/>
              </w:rPr>
            </w:pPr>
            <w:r>
              <w:rPr>
                <w:rFonts w:cs="Arial"/>
                <w:color w:val="000000"/>
                <w:sz w:val="14"/>
                <w:szCs w:val="16"/>
                <w:lang w:val="en-GB"/>
              </w:rPr>
              <w:t>No statutory criteria</w:t>
            </w:r>
          </w:p>
        </w:tc>
      </w:tr>
      <w:tr w:rsidR="004E0E3F" w:rsidRPr="004E0E3F" w14:paraId="5762A8B9" w14:textId="77777777" w:rsidTr="00FB729B">
        <w:tc>
          <w:tcPr>
            <w:tcW w:w="1626" w:type="dxa"/>
            <w:shd w:val="clear" w:color="auto" w:fill="FFC9C9"/>
            <w:tcMar>
              <w:top w:w="80" w:type="dxa"/>
              <w:left w:w="80" w:type="dxa"/>
              <w:bottom w:w="80" w:type="dxa"/>
              <w:right w:w="80" w:type="dxa"/>
            </w:tcMar>
          </w:tcPr>
          <w:p w14:paraId="6896FCD9"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Northern Territory</w:t>
            </w:r>
          </w:p>
        </w:tc>
        <w:tc>
          <w:tcPr>
            <w:tcW w:w="6904" w:type="dxa"/>
            <w:shd w:val="clear" w:color="auto" w:fill="FFC9C9"/>
            <w:tcMar>
              <w:top w:w="80" w:type="dxa"/>
              <w:left w:w="80" w:type="dxa"/>
              <w:bottom w:w="80" w:type="dxa"/>
              <w:right w:w="80" w:type="dxa"/>
            </w:tcMar>
          </w:tcPr>
          <w:p w14:paraId="036EF8C3" w14:textId="02778DF8" w:rsidR="004E0E3F" w:rsidRPr="004E0E3F" w:rsidRDefault="00A7538C" w:rsidP="009146AE">
            <w:pPr>
              <w:spacing w:after="60" w:line="276" w:lineRule="auto"/>
              <w:rPr>
                <w:rFonts w:cs="Arial"/>
                <w:color w:val="000000"/>
                <w:sz w:val="14"/>
                <w:szCs w:val="16"/>
                <w:lang w:val="en-GB"/>
              </w:rPr>
            </w:pPr>
            <w:hyperlink r:id="rId839" w:history="1">
              <w:r w:rsidR="004E0E3F" w:rsidRPr="00F93ECD">
                <w:rPr>
                  <w:rStyle w:val="Hyperlink"/>
                  <w:rFonts w:cs="Arial"/>
                  <w:sz w:val="14"/>
                  <w:szCs w:val="16"/>
                  <w:lang w:val="en-GB"/>
                </w:rPr>
                <w:t>Section 70</w:t>
              </w:r>
            </w:hyperlink>
            <w:r w:rsidR="004E0E3F" w:rsidRPr="004E0E3F">
              <w:rPr>
                <w:rFonts w:cs="Arial"/>
                <w:color w:val="000000"/>
                <w:sz w:val="14"/>
                <w:szCs w:val="16"/>
                <w:lang w:val="en-GB"/>
              </w:rPr>
              <w:t xml:space="preserve"> of the </w:t>
            </w:r>
            <w:r w:rsidR="004E0E3F" w:rsidRPr="00A86C32">
              <w:rPr>
                <w:rFonts w:cs="Arial"/>
                <w:i/>
                <w:color w:val="000000"/>
                <w:sz w:val="14"/>
                <w:szCs w:val="16"/>
                <w:lang w:val="en-GB"/>
              </w:rPr>
              <w:t>Return to Work Act</w:t>
            </w:r>
            <w:r w:rsidR="004E0E3F" w:rsidRPr="004E0E3F">
              <w:rPr>
                <w:rFonts w:cs="Arial"/>
                <w:color w:val="000000"/>
                <w:sz w:val="14"/>
                <w:szCs w:val="16"/>
                <w:lang w:val="en-GB"/>
              </w:rPr>
              <w:t xml:space="preserve"> defines permanent impairment as:</w:t>
            </w:r>
          </w:p>
          <w:p w14:paraId="534A01D8"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‘permanent impairment means an impairment or impairments assessed in accordance with the guides approved and published by the Authority, as being an impairment or combination of impairments of not less than 5% of the whole person’.</w:t>
            </w:r>
          </w:p>
          <w:p w14:paraId="59358D5D" w14:textId="5634CE34" w:rsidR="004E0E3F" w:rsidRPr="004E0E3F" w:rsidRDefault="00A7538C" w:rsidP="009146AE">
            <w:pPr>
              <w:spacing w:after="60" w:line="276" w:lineRule="auto"/>
              <w:rPr>
                <w:rFonts w:cs="Arial"/>
                <w:color w:val="000000"/>
                <w:sz w:val="14"/>
                <w:szCs w:val="16"/>
                <w:lang w:val="en-GB"/>
              </w:rPr>
            </w:pPr>
            <w:hyperlink r:id="rId840" w:history="1">
              <w:r w:rsidR="004E0E3F" w:rsidRPr="004E0E3F">
                <w:rPr>
                  <w:rFonts w:cs="Arial"/>
                  <w:color w:val="0000FF"/>
                  <w:sz w:val="14"/>
                  <w:szCs w:val="16"/>
                  <w:u w:val="single"/>
                  <w:lang w:val="en-GB"/>
                </w:rPr>
                <w:t>Permanent Impairment</w:t>
              </w:r>
            </w:hyperlink>
          </w:p>
        </w:tc>
        <w:tc>
          <w:tcPr>
            <w:tcW w:w="6905" w:type="dxa"/>
            <w:shd w:val="clear" w:color="auto" w:fill="FFC9C9"/>
            <w:tcMar>
              <w:top w:w="80" w:type="dxa"/>
              <w:left w:w="80" w:type="dxa"/>
              <w:bottom w:w="80" w:type="dxa"/>
              <w:right w:w="80" w:type="dxa"/>
            </w:tcMar>
          </w:tcPr>
          <w:p w14:paraId="767D1714" w14:textId="788DC4AB" w:rsidR="004E0E3F" w:rsidRPr="00877B78" w:rsidRDefault="004E0E3F" w:rsidP="009146AE">
            <w:pPr>
              <w:spacing w:after="60" w:line="276" w:lineRule="auto"/>
              <w:rPr>
                <w:rFonts w:cs="Arial"/>
                <w:color w:val="000000"/>
                <w:sz w:val="14"/>
                <w:szCs w:val="16"/>
                <w:lang w:val="en-GB"/>
              </w:rPr>
            </w:pPr>
            <w:r w:rsidRPr="004E0E3F">
              <w:rPr>
                <w:rFonts w:cs="Arial"/>
                <w:color w:val="000000"/>
                <w:sz w:val="14"/>
                <w:szCs w:val="16"/>
                <w:lang w:val="en-GB"/>
              </w:rPr>
              <w:t>The guides approved by the Au</w:t>
            </w:r>
            <w:r w:rsidR="00041991">
              <w:rPr>
                <w:rFonts w:cs="Arial"/>
                <w:color w:val="000000"/>
                <w:sz w:val="14"/>
                <w:szCs w:val="16"/>
                <w:lang w:val="en-GB"/>
              </w:rPr>
              <w:t xml:space="preserve">thority are the </w:t>
            </w:r>
            <w:r w:rsidR="00877B78">
              <w:rPr>
                <w:rFonts w:cs="Arial"/>
                <w:color w:val="000000"/>
                <w:sz w:val="14"/>
                <w:szCs w:val="16"/>
                <w:lang w:val="en-GB"/>
              </w:rPr>
              <w:t xml:space="preserve">the </w:t>
            </w:r>
            <w:r w:rsidR="00877B78">
              <w:rPr>
                <w:rFonts w:cs="Arial"/>
                <w:i/>
                <w:color w:val="000000"/>
                <w:sz w:val="14"/>
                <w:szCs w:val="16"/>
                <w:lang w:val="en-GB"/>
              </w:rPr>
              <w:t>NT WorkSafe Guidelines for the Evaluation of Permanent Impairment</w:t>
            </w:r>
            <w:r w:rsidR="00877B78">
              <w:rPr>
                <w:rFonts w:cs="Arial"/>
                <w:color w:val="000000"/>
                <w:sz w:val="14"/>
                <w:szCs w:val="16"/>
                <w:lang w:val="en-GB"/>
              </w:rPr>
              <w:t xml:space="preserve"> which calls up AMA 5</w:t>
            </w:r>
            <w:r w:rsidR="00877B78" w:rsidRPr="00877B78">
              <w:rPr>
                <w:rFonts w:cs="Arial"/>
                <w:color w:val="000000"/>
                <w:sz w:val="14"/>
                <w:szCs w:val="16"/>
                <w:lang w:val="en-GB"/>
              </w:rPr>
              <w:t>th</w:t>
            </w:r>
            <w:r w:rsidR="00877B78">
              <w:rPr>
                <w:rFonts w:cs="Arial"/>
                <w:color w:val="000000"/>
                <w:sz w:val="14"/>
                <w:szCs w:val="16"/>
                <w:lang w:val="en-GB"/>
              </w:rPr>
              <w:t xml:space="preserve"> edition </w:t>
            </w:r>
          </w:p>
          <w:p w14:paraId="37EB427E" w14:textId="41967DE2" w:rsidR="004E0E3F" w:rsidRPr="004E0E3F" w:rsidRDefault="004E0E3F" w:rsidP="009146AE">
            <w:pPr>
              <w:spacing w:after="60" w:line="276" w:lineRule="auto"/>
              <w:rPr>
                <w:rFonts w:cs="Arial"/>
                <w:color w:val="000000"/>
                <w:sz w:val="14"/>
                <w:szCs w:val="16"/>
                <w:lang w:val="en-GB"/>
              </w:rPr>
            </w:pPr>
          </w:p>
        </w:tc>
      </w:tr>
      <w:tr w:rsidR="004E0E3F" w:rsidRPr="004E0E3F" w14:paraId="750EEB46" w14:textId="77777777" w:rsidTr="00FB729B">
        <w:tc>
          <w:tcPr>
            <w:tcW w:w="1626" w:type="dxa"/>
            <w:tcMar>
              <w:top w:w="80" w:type="dxa"/>
              <w:left w:w="80" w:type="dxa"/>
              <w:bottom w:w="80" w:type="dxa"/>
              <w:right w:w="80" w:type="dxa"/>
            </w:tcMar>
          </w:tcPr>
          <w:p w14:paraId="7EEFAFF3"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Australian Capital Territory</w:t>
            </w:r>
          </w:p>
        </w:tc>
        <w:tc>
          <w:tcPr>
            <w:tcW w:w="6904" w:type="dxa"/>
            <w:tcMar>
              <w:top w:w="80" w:type="dxa"/>
              <w:left w:w="80" w:type="dxa"/>
              <w:bottom w:w="80" w:type="dxa"/>
              <w:right w:w="80" w:type="dxa"/>
            </w:tcMar>
          </w:tcPr>
          <w:p w14:paraId="4C3DE8F3" w14:textId="05589039" w:rsidR="004E0E3F" w:rsidRPr="004E0E3F" w:rsidRDefault="00A7538C" w:rsidP="009146AE">
            <w:pPr>
              <w:spacing w:after="60" w:line="276" w:lineRule="auto"/>
              <w:rPr>
                <w:rFonts w:cs="Arial"/>
                <w:color w:val="000000"/>
                <w:sz w:val="14"/>
                <w:szCs w:val="16"/>
                <w:lang w:val="en-GB"/>
              </w:rPr>
            </w:pPr>
            <w:hyperlink r:id="rId841" w:history="1">
              <w:r w:rsidR="004E0E3F" w:rsidRPr="00F93ECD">
                <w:rPr>
                  <w:rStyle w:val="Hyperlink"/>
                  <w:rFonts w:cs="Arial"/>
                  <w:sz w:val="14"/>
                  <w:szCs w:val="16"/>
                  <w:lang w:val="en-GB"/>
                </w:rPr>
                <w:t>Section 51</w:t>
              </w:r>
            </w:hyperlink>
            <w:r w:rsidR="004E0E3F" w:rsidRPr="004E0E3F">
              <w:rPr>
                <w:rFonts w:cs="Arial"/>
                <w:color w:val="000000"/>
                <w:sz w:val="14"/>
                <w:szCs w:val="16"/>
                <w:lang w:val="en-GB"/>
              </w:rPr>
              <w:t xml:space="preserve"> </w:t>
            </w:r>
            <w:r w:rsidR="004E0E3F" w:rsidRPr="00B53968">
              <w:rPr>
                <w:rFonts w:cs="Arial"/>
                <w:i/>
                <w:color w:val="000000"/>
                <w:sz w:val="14"/>
                <w:szCs w:val="16"/>
                <w:lang w:val="en-GB"/>
              </w:rPr>
              <w:t>Workers Compensation Act 1951</w:t>
            </w:r>
            <w:r w:rsidR="004E0E3F" w:rsidRPr="004E0E3F">
              <w:rPr>
                <w:rFonts w:cs="Arial"/>
                <w:color w:val="000000"/>
                <w:sz w:val="14"/>
                <w:szCs w:val="16"/>
                <w:lang w:val="en-GB"/>
              </w:rPr>
              <w:t xml:space="preserve"> is based on the concept of loss arising from a compensable injury. ‘Loss’ is defined to mean loss of a thing or permanent loss of use or efficient use of the thing. The definition also includes permanent musculoskeletal impairment and loss, damage, impairment, disfigurement or disease lists in Schedule 1 of the </w:t>
            </w:r>
            <w:r w:rsidR="004E0E3F" w:rsidRPr="00A86C32">
              <w:rPr>
                <w:rFonts w:cs="Arial"/>
                <w:i/>
                <w:color w:val="000000"/>
                <w:sz w:val="14"/>
                <w:szCs w:val="16"/>
                <w:lang w:val="en-GB"/>
              </w:rPr>
              <w:t>Workers Compensation Act 1951</w:t>
            </w:r>
            <w:r w:rsidR="004E0E3F" w:rsidRPr="004E0E3F">
              <w:rPr>
                <w:rFonts w:cs="Arial"/>
                <w:color w:val="000000"/>
                <w:sz w:val="14"/>
                <w:szCs w:val="16"/>
                <w:lang w:val="en-GB"/>
              </w:rPr>
              <w:t>.</w:t>
            </w:r>
          </w:p>
        </w:tc>
        <w:tc>
          <w:tcPr>
            <w:tcW w:w="6905" w:type="dxa"/>
            <w:tcMar>
              <w:top w:w="80" w:type="dxa"/>
              <w:left w:w="80" w:type="dxa"/>
              <w:bottom w:w="80" w:type="dxa"/>
              <w:right w:w="80" w:type="dxa"/>
            </w:tcMar>
          </w:tcPr>
          <w:p w14:paraId="7E1E8CDD" w14:textId="73EAB5C4"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Part 4.4 </w:t>
            </w:r>
            <w:r w:rsidRPr="004E0E3F">
              <w:rPr>
                <w:rFonts w:cs="Arial"/>
                <w:i/>
                <w:color w:val="000000"/>
                <w:sz w:val="14"/>
                <w:szCs w:val="16"/>
                <w:lang w:val="en-GB"/>
              </w:rPr>
              <w:t>Workers Compensation Act 1951</w:t>
            </w:r>
          </w:p>
        </w:tc>
      </w:tr>
      <w:tr w:rsidR="004E0E3F" w:rsidRPr="004E0E3F" w14:paraId="27A8AA8D" w14:textId="77777777" w:rsidTr="00FB729B">
        <w:tc>
          <w:tcPr>
            <w:tcW w:w="1626" w:type="dxa"/>
            <w:shd w:val="clear" w:color="auto" w:fill="FFC9C9"/>
            <w:tcMar>
              <w:top w:w="80" w:type="dxa"/>
              <w:left w:w="80" w:type="dxa"/>
              <w:bottom w:w="80" w:type="dxa"/>
              <w:right w:w="80" w:type="dxa"/>
            </w:tcMar>
          </w:tcPr>
          <w:p w14:paraId="5864D956"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C’wealth Comcare</w:t>
            </w:r>
          </w:p>
        </w:tc>
        <w:tc>
          <w:tcPr>
            <w:tcW w:w="6904" w:type="dxa"/>
            <w:shd w:val="clear" w:color="auto" w:fill="FFC9C9"/>
            <w:tcMar>
              <w:top w:w="80" w:type="dxa"/>
              <w:left w:w="80" w:type="dxa"/>
              <w:bottom w:w="80" w:type="dxa"/>
              <w:right w:w="80" w:type="dxa"/>
            </w:tcMar>
          </w:tcPr>
          <w:p w14:paraId="2FF28A4A" w14:textId="77777777" w:rsidR="004E0E3F" w:rsidRPr="004E0E3F" w:rsidRDefault="004E0E3F" w:rsidP="009146AE">
            <w:pPr>
              <w:spacing w:after="60" w:line="276" w:lineRule="auto"/>
              <w:rPr>
                <w:rFonts w:cs="Arial"/>
                <w:i/>
                <w:color w:val="000000"/>
                <w:sz w:val="14"/>
                <w:szCs w:val="16"/>
                <w:lang w:val="en-GB"/>
              </w:rPr>
            </w:pPr>
            <w:r w:rsidRPr="004E0E3F">
              <w:rPr>
                <w:rFonts w:cs="Arial"/>
                <w:i/>
                <w:color w:val="000000"/>
                <w:sz w:val="14"/>
                <w:szCs w:val="16"/>
                <w:lang w:val="en-GB"/>
              </w:rPr>
              <w:t>Safety, Rehabilitation and Compensation Act 1988</w:t>
            </w:r>
          </w:p>
          <w:p w14:paraId="06B00EC1" w14:textId="03846B06" w:rsidR="004E0E3F" w:rsidRPr="004E0E3F" w:rsidRDefault="00A7538C" w:rsidP="009146AE">
            <w:pPr>
              <w:spacing w:after="60" w:line="276" w:lineRule="auto"/>
              <w:rPr>
                <w:rFonts w:cs="Arial"/>
                <w:color w:val="000000"/>
                <w:sz w:val="14"/>
                <w:szCs w:val="16"/>
                <w:lang w:val="en-GB"/>
              </w:rPr>
            </w:pPr>
            <w:hyperlink r:id="rId842" w:history="1">
              <w:r w:rsidR="004E0E3F" w:rsidRPr="00F93ECD">
                <w:rPr>
                  <w:rStyle w:val="Hyperlink"/>
                  <w:rFonts w:cs="Arial"/>
                  <w:sz w:val="14"/>
                  <w:szCs w:val="16"/>
                  <w:lang w:val="en-GB"/>
                </w:rPr>
                <w:t>s4</w:t>
              </w:r>
            </w:hyperlink>
            <w:r w:rsidR="004E0E3F" w:rsidRPr="004E0E3F">
              <w:rPr>
                <w:rFonts w:cs="Arial"/>
                <w:color w:val="000000"/>
                <w:sz w:val="14"/>
                <w:szCs w:val="16"/>
                <w:lang w:val="en-GB"/>
              </w:rPr>
              <w:t xml:space="preserve"> — Permanent means likely to con</w:t>
            </w:r>
            <w:r w:rsidR="00041991">
              <w:rPr>
                <w:rFonts w:cs="Arial"/>
                <w:color w:val="000000"/>
                <w:sz w:val="14"/>
                <w:szCs w:val="16"/>
                <w:lang w:val="en-GB"/>
              </w:rPr>
              <w:t>tinue indefinitely</w:t>
            </w:r>
          </w:p>
          <w:p w14:paraId="2B32BBBC" w14:textId="5C50E6B8" w:rsidR="004E0E3F" w:rsidRPr="004E0E3F" w:rsidRDefault="00A7538C" w:rsidP="009146AE">
            <w:pPr>
              <w:spacing w:after="60" w:line="276" w:lineRule="auto"/>
              <w:rPr>
                <w:rFonts w:cs="Arial"/>
                <w:color w:val="000000"/>
                <w:sz w:val="14"/>
                <w:szCs w:val="16"/>
                <w:lang w:val="en-GB"/>
              </w:rPr>
            </w:pPr>
            <w:hyperlink r:id="rId843" w:history="1">
              <w:r w:rsidR="004E0E3F" w:rsidRPr="00F93ECD">
                <w:rPr>
                  <w:rStyle w:val="Hyperlink"/>
                  <w:rFonts w:cs="Arial"/>
                  <w:sz w:val="14"/>
                  <w:szCs w:val="16"/>
                  <w:lang w:val="en-GB"/>
                </w:rPr>
                <w:t>s4</w:t>
              </w:r>
            </w:hyperlink>
            <w:r w:rsidR="004E0E3F" w:rsidRPr="004E0E3F">
              <w:rPr>
                <w:rFonts w:cs="Arial"/>
                <w:color w:val="000000"/>
                <w:sz w:val="14"/>
                <w:szCs w:val="16"/>
                <w:lang w:val="en-GB"/>
              </w:rPr>
              <w:t xml:space="preserve"> — Impairment means the loss, the loss of the use, or the damage or malfunction, of any part of the body or of any bodily system or function or </w:t>
            </w:r>
            <w:r w:rsidR="00041991">
              <w:rPr>
                <w:rFonts w:cs="Arial"/>
                <w:color w:val="000000"/>
                <w:sz w:val="14"/>
                <w:szCs w:val="16"/>
                <w:lang w:val="en-GB"/>
              </w:rPr>
              <w:t>part of such system or function</w:t>
            </w:r>
          </w:p>
        </w:tc>
        <w:tc>
          <w:tcPr>
            <w:tcW w:w="6905" w:type="dxa"/>
            <w:shd w:val="clear" w:color="auto" w:fill="FFC9C9"/>
            <w:tcMar>
              <w:top w:w="80" w:type="dxa"/>
              <w:left w:w="80" w:type="dxa"/>
              <w:bottom w:w="80" w:type="dxa"/>
              <w:right w:w="80" w:type="dxa"/>
            </w:tcMar>
          </w:tcPr>
          <w:p w14:paraId="5458E8EC" w14:textId="3B0EBF43" w:rsidR="004E0E3F" w:rsidRPr="004E0E3F" w:rsidRDefault="004E0E3F" w:rsidP="009146AE">
            <w:pPr>
              <w:spacing w:after="60" w:line="276" w:lineRule="auto"/>
              <w:rPr>
                <w:rFonts w:cs="Arial"/>
                <w:i/>
                <w:color w:val="000000"/>
                <w:sz w:val="14"/>
                <w:szCs w:val="16"/>
                <w:lang w:val="en-GB"/>
              </w:rPr>
            </w:pPr>
            <w:r w:rsidRPr="004E0E3F">
              <w:rPr>
                <w:rFonts w:cs="Arial"/>
                <w:i/>
                <w:color w:val="000000"/>
                <w:sz w:val="14"/>
                <w:szCs w:val="16"/>
                <w:lang w:val="en-GB"/>
              </w:rPr>
              <w:t>Safety, Rehabilitation and Compensation Act 1988 —</w:t>
            </w:r>
            <w:r w:rsidRPr="002B4D71">
              <w:rPr>
                <w:rFonts w:cs="Arial"/>
                <w:color w:val="000000"/>
                <w:sz w:val="14"/>
                <w:szCs w:val="16"/>
                <w:lang w:val="en-GB"/>
              </w:rPr>
              <w:t xml:space="preserve"> </w:t>
            </w:r>
            <w:hyperlink r:id="rId844" w:history="1">
              <w:r w:rsidRPr="00F93ECD">
                <w:rPr>
                  <w:rStyle w:val="Hyperlink"/>
                  <w:rFonts w:cs="Arial"/>
                  <w:sz w:val="14"/>
                  <w:szCs w:val="16"/>
                  <w:lang w:val="en-GB"/>
                </w:rPr>
                <w:t>s24(2)</w:t>
              </w:r>
            </w:hyperlink>
          </w:p>
          <w:p w14:paraId="71EC8677"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For the purpose of determining whether an impairment is permanent, Comcare shall have regard to:</w:t>
            </w:r>
          </w:p>
          <w:p w14:paraId="19EF702E" w14:textId="77777777" w:rsidR="004E0E3F" w:rsidRPr="004E0E3F" w:rsidRDefault="004E0E3F" w:rsidP="00DF35F2">
            <w:pPr>
              <w:numPr>
                <w:ilvl w:val="0"/>
                <w:numId w:val="60"/>
              </w:numPr>
              <w:spacing w:after="60" w:line="276" w:lineRule="auto"/>
              <w:rPr>
                <w:rFonts w:cs="Arial"/>
                <w:color w:val="000000"/>
                <w:sz w:val="14"/>
                <w:szCs w:val="16"/>
                <w:lang w:val="en-GB"/>
              </w:rPr>
            </w:pPr>
            <w:r w:rsidRPr="004E0E3F">
              <w:rPr>
                <w:rFonts w:cs="Arial"/>
                <w:color w:val="000000"/>
                <w:sz w:val="14"/>
                <w:szCs w:val="16"/>
                <w:lang w:val="en-GB"/>
              </w:rPr>
              <w:t>the duration of the impairment</w:t>
            </w:r>
          </w:p>
          <w:p w14:paraId="11AF4C63" w14:textId="77777777" w:rsidR="004E0E3F" w:rsidRPr="004E0E3F" w:rsidRDefault="004E0E3F" w:rsidP="00DF35F2">
            <w:pPr>
              <w:numPr>
                <w:ilvl w:val="0"/>
                <w:numId w:val="60"/>
              </w:numPr>
              <w:spacing w:after="60" w:line="276" w:lineRule="auto"/>
              <w:rPr>
                <w:rFonts w:cs="Arial"/>
                <w:color w:val="000000"/>
                <w:sz w:val="14"/>
                <w:szCs w:val="16"/>
                <w:lang w:val="en-GB"/>
              </w:rPr>
            </w:pPr>
            <w:r w:rsidRPr="004E0E3F">
              <w:rPr>
                <w:rFonts w:cs="Arial"/>
                <w:color w:val="000000"/>
                <w:sz w:val="14"/>
                <w:szCs w:val="16"/>
                <w:lang w:val="en-GB"/>
              </w:rPr>
              <w:t>the likelihood of improvement in the employee’s condition</w:t>
            </w:r>
          </w:p>
          <w:p w14:paraId="0D1223DF" w14:textId="77777777" w:rsidR="004E0E3F" w:rsidRPr="004E0E3F" w:rsidRDefault="004E0E3F" w:rsidP="00DF35F2">
            <w:pPr>
              <w:numPr>
                <w:ilvl w:val="0"/>
                <w:numId w:val="60"/>
              </w:numPr>
              <w:spacing w:after="60" w:line="276" w:lineRule="auto"/>
              <w:rPr>
                <w:rFonts w:cs="Arial"/>
                <w:color w:val="000000"/>
                <w:sz w:val="14"/>
                <w:szCs w:val="16"/>
                <w:lang w:val="en-GB"/>
              </w:rPr>
            </w:pPr>
            <w:r w:rsidRPr="004E0E3F">
              <w:rPr>
                <w:rFonts w:cs="Arial"/>
                <w:color w:val="000000"/>
                <w:sz w:val="14"/>
                <w:szCs w:val="16"/>
                <w:lang w:val="en-GB"/>
              </w:rPr>
              <w:t>whether the employee has undertaken all reasonable rehabilitative treatment for the impairment, and</w:t>
            </w:r>
          </w:p>
          <w:p w14:paraId="0BF6D471" w14:textId="77777777" w:rsidR="004E0E3F" w:rsidRPr="004E0E3F" w:rsidRDefault="004E0E3F" w:rsidP="00DF35F2">
            <w:pPr>
              <w:numPr>
                <w:ilvl w:val="0"/>
                <w:numId w:val="60"/>
              </w:numPr>
              <w:spacing w:after="60" w:line="276" w:lineRule="auto"/>
              <w:rPr>
                <w:rFonts w:cs="Arial"/>
                <w:color w:val="000000"/>
                <w:sz w:val="14"/>
                <w:szCs w:val="16"/>
                <w:lang w:val="en-GB"/>
              </w:rPr>
            </w:pPr>
            <w:r w:rsidRPr="004E0E3F">
              <w:rPr>
                <w:rFonts w:cs="Arial"/>
                <w:color w:val="000000"/>
                <w:sz w:val="14"/>
                <w:szCs w:val="16"/>
                <w:lang w:val="en-GB"/>
              </w:rPr>
              <w:t>any other relevant matters.</w:t>
            </w:r>
          </w:p>
          <w:p w14:paraId="1740AFE5" w14:textId="0B436946"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Assessments must be made in accordance with the Comcare </w:t>
            </w:r>
            <w:r w:rsidRPr="002B4D71">
              <w:rPr>
                <w:rFonts w:cs="Arial"/>
                <w:i/>
                <w:color w:val="000000"/>
                <w:sz w:val="14"/>
                <w:szCs w:val="16"/>
                <w:lang w:val="en-GB"/>
              </w:rPr>
              <w:t>Guide to the Assessment of the Degree of Permanent Impairment</w:t>
            </w:r>
          </w:p>
        </w:tc>
      </w:tr>
      <w:tr w:rsidR="004E0E3F" w:rsidRPr="004E0E3F" w14:paraId="74BF9E46" w14:textId="77777777" w:rsidTr="00FB729B">
        <w:tc>
          <w:tcPr>
            <w:tcW w:w="1626" w:type="dxa"/>
            <w:tcMar>
              <w:top w:w="80" w:type="dxa"/>
              <w:left w:w="80" w:type="dxa"/>
              <w:bottom w:w="80" w:type="dxa"/>
              <w:right w:w="80" w:type="dxa"/>
            </w:tcMar>
          </w:tcPr>
          <w:p w14:paraId="0CA3AC35"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C’wealth Seacare</w:t>
            </w:r>
          </w:p>
        </w:tc>
        <w:tc>
          <w:tcPr>
            <w:tcW w:w="6904" w:type="dxa"/>
            <w:tcMar>
              <w:top w:w="80" w:type="dxa"/>
              <w:left w:w="80" w:type="dxa"/>
              <w:bottom w:w="80" w:type="dxa"/>
              <w:right w:w="80" w:type="dxa"/>
            </w:tcMar>
          </w:tcPr>
          <w:p w14:paraId="7E121D94" w14:textId="77777777" w:rsidR="004E0E3F" w:rsidRPr="004E0E3F" w:rsidRDefault="004E0E3F" w:rsidP="009146AE">
            <w:pPr>
              <w:spacing w:after="60" w:line="276" w:lineRule="auto"/>
              <w:rPr>
                <w:rFonts w:cs="Arial"/>
                <w:i/>
                <w:color w:val="000000"/>
                <w:sz w:val="14"/>
                <w:szCs w:val="16"/>
                <w:lang w:val="en-GB"/>
              </w:rPr>
            </w:pPr>
            <w:r w:rsidRPr="004E0E3F">
              <w:rPr>
                <w:rFonts w:cs="Arial"/>
                <w:i/>
                <w:color w:val="000000"/>
                <w:sz w:val="14"/>
                <w:szCs w:val="16"/>
                <w:lang w:val="en-GB"/>
              </w:rPr>
              <w:t xml:space="preserve">Seafarers’ Rehabilitation and Compensation Act 1992 </w:t>
            </w:r>
          </w:p>
          <w:p w14:paraId="1805BD0A" w14:textId="77D1D032" w:rsidR="004E0E3F" w:rsidRPr="004E0E3F" w:rsidRDefault="00A7538C" w:rsidP="009146AE">
            <w:pPr>
              <w:spacing w:after="60" w:line="276" w:lineRule="auto"/>
              <w:rPr>
                <w:rFonts w:cs="Arial"/>
                <w:color w:val="000000"/>
                <w:sz w:val="14"/>
                <w:szCs w:val="16"/>
                <w:lang w:val="en-GB"/>
              </w:rPr>
            </w:pPr>
            <w:hyperlink r:id="rId845" w:history="1">
              <w:r w:rsidR="004E0E3F" w:rsidRPr="00F93ECD">
                <w:rPr>
                  <w:rStyle w:val="Hyperlink"/>
                  <w:rFonts w:cs="Arial"/>
                  <w:sz w:val="14"/>
                  <w:szCs w:val="16"/>
                  <w:lang w:val="en-GB"/>
                </w:rPr>
                <w:t>s3</w:t>
              </w:r>
            </w:hyperlink>
            <w:r w:rsidR="004E0E3F" w:rsidRPr="004E0E3F">
              <w:rPr>
                <w:rFonts w:cs="Arial"/>
                <w:color w:val="000000"/>
                <w:sz w:val="14"/>
                <w:szCs w:val="16"/>
                <w:lang w:val="en-GB"/>
              </w:rPr>
              <w:t xml:space="preserve"> </w:t>
            </w:r>
            <w:r w:rsidR="0013176A">
              <w:rPr>
                <w:rFonts w:cs="Arial"/>
                <w:color w:val="000000"/>
                <w:sz w:val="14"/>
                <w:szCs w:val="16"/>
                <w:lang w:val="en-GB"/>
              </w:rPr>
              <w:t>—</w:t>
            </w:r>
            <w:r w:rsidR="0013176A" w:rsidRPr="004E0E3F">
              <w:rPr>
                <w:rFonts w:cs="Arial"/>
                <w:color w:val="000000"/>
                <w:sz w:val="14"/>
                <w:szCs w:val="16"/>
                <w:lang w:val="en-GB"/>
              </w:rPr>
              <w:t xml:space="preserve"> </w:t>
            </w:r>
            <w:r w:rsidR="004E0E3F" w:rsidRPr="004E0E3F">
              <w:rPr>
                <w:rFonts w:cs="Arial"/>
                <w:color w:val="000000"/>
                <w:sz w:val="14"/>
                <w:szCs w:val="16"/>
                <w:lang w:val="en-GB"/>
              </w:rPr>
              <w:t xml:space="preserve">Permanent means </w:t>
            </w:r>
            <w:r w:rsidR="00041991">
              <w:rPr>
                <w:rFonts w:cs="Arial"/>
                <w:color w:val="000000"/>
                <w:sz w:val="14"/>
                <w:szCs w:val="16"/>
                <w:lang w:val="en-GB"/>
              </w:rPr>
              <w:t>likely to continue indefinitely</w:t>
            </w:r>
          </w:p>
          <w:p w14:paraId="2F31EF4B" w14:textId="5A276549" w:rsidR="004E0E3F" w:rsidRPr="004E0E3F" w:rsidRDefault="00A7538C" w:rsidP="0013176A">
            <w:pPr>
              <w:spacing w:after="60" w:line="276" w:lineRule="auto"/>
              <w:rPr>
                <w:rFonts w:cs="Arial"/>
                <w:color w:val="000000"/>
                <w:sz w:val="14"/>
                <w:szCs w:val="16"/>
                <w:lang w:val="en-GB"/>
              </w:rPr>
            </w:pPr>
            <w:hyperlink r:id="rId846" w:history="1">
              <w:r w:rsidR="004E0E3F" w:rsidRPr="00F93ECD">
                <w:rPr>
                  <w:rStyle w:val="Hyperlink"/>
                  <w:rFonts w:cs="Arial"/>
                  <w:sz w:val="14"/>
                  <w:szCs w:val="16"/>
                  <w:lang w:val="en-GB"/>
                </w:rPr>
                <w:t>s3</w:t>
              </w:r>
            </w:hyperlink>
            <w:r w:rsidR="004E0E3F" w:rsidRPr="004E0E3F">
              <w:rPr>
                <w:rFonts w:cs="Arial"/>
                <w:color w:val="000000"/>
                <w:sz w:val="14"/>
                <w:szCs w:val="16"/>
                <w:lang w:val="en-GB"/>
              </w:rPr>
              <w:t xml:space="preserve"> </w:t>
            </w:r>
            <w:r w:rsidR="0013176A">
              <w:rPr>
                <w:rFonts w:cs="Arial"/>
                <w:color w:val="000000"/>
                <w:sz w:val="14"/>
                <w:szCs w:val="16"/>
                <w:lang w:val="en-GB"/>
              </w:rPr>
              <w:t>—</w:t>
            </w:r>
            <w:r w:rsidR="0013176A" w:rsidRPr="004E0E3F">
              <w:rPr>
                <w:rFonts w:cs="Arial"/>
                <w:color w:val="000000"/>
                <w:sz w:val="14"/>
                <w:szCs w:val="16"/>
                <w:lang w:val="en-GB"/>
              </w:rPr>
              <w:t xml:space="preserve"> </w:t>
            </w:r>
            <w:r w:rsidR="004E0E3F" w:rsidRPr="004E0E3F">
              <w:rPr>
                <w:rFonts w:cs="Arial"/>
                <w:color w:val="000000"/>
                <w:sz w:val="14"/>
                <w:szCs w:val="16"/>
                <w:lang w:val="en-GB"/>
              </w:rPr>
              <w:t>Impairment means the loss, the loss of the use, or the damage or malfunction, of any part of the body or of the whole or part o</w:t>
            </w:r>
            <w:r w:rsidR="00041991">
              <w:rPr>
                <w:rFonts w:cs="Arial"/>
                <w:color w:val="000000"/>
                <w:sz w:val="14"/>
                <w:szCs w:val="16"/>
                <w:lang w:val="en-GB"/>
              </w:rPr>
              <w:t>f any bodily system or function</w:t>
            </w:r>
          </w:p>
        </w:tc>
        <w:tc>
          <w:tcPr>
            <w:tcW w:w="6905" w:type="dxa"/>
            <w:tcMar>
              <w:top w:w="80" w:type="dxa"/>
              <w:left w:w="80" w:type="dxa"/>
              <w:bottom w:w="80" w:type="dxa"/>
              <w:right w:w="80" w:type="dxa"/>
            </w:tcMar>
          </w:tcPr>
          <w:p w14:paraId="29B5CEBD" w14:textId="27D94AB9" w:rsidR="004E0E3F" w:rsidRPr="004E0E3F" w:rsidRDefault="004E0E3F" w:rsidP="009146AE">
            <w:pPr>
              <w:spacing w:after="60" w:line="276" w:lineRule="auto"/>
              <w:rPr>
                <w:rFonts w:cs="Arial"/>
                <w:color w:val="000000"/>
                <w:sz w:val="14"/>
                <w:szCs w:val="16"/>
                <w:lang w:val="en-GB"/>
              </w:rPr>
            </w:pPr>
            <w:r w:rsidRPr="004E0E3F">
              <w:rPr>
                <w:rFonts w:cs="Arial"/>
                <w:i/>
                <w:color w:val="000000"/>
                <w:sz w:val="14"/>
                <w:szCs w:val="16"/>
                <w:lang w:val="en-GB"/>
              </w:rPr>
              <w:t>Seafarers’ Rehabilitation and Compensation Act 1992</w:t>
            </w:r>
            <w:r w:rsidRPr="004E0E3F">
              <w:rPr>
                <w:rFonts w:cs="Arial"/>
                <w:color w:val="000000"/>
                <w:sz w:val="14"/>
                <w:szCs w:val="16"/>
                <w:lang w:val="en-GB"/>
              </w:rPr>
              <w:t xml:space="preserve"> — </w:t>
            </w:r>
            <w:hyperlink r:id="rId847" w:history="1">
              <w:r w:rsidRPr="00F93ECD">
                <w:rPr>
                  <w:rStyle w:val="Hyperlink"/>
                  <w:rFonts w:cs="Arial"/>
                  <w:sz w:val="14"/>
                  <w:szCs w:val="16"/>
                  <w:lang w:val="en-GB"/>
                </w:rPr>
                <w:t>s39(2)</w:t>
              </w:r>
            </w:hyperlink>
            <w:r w:rsidRPr="004E0E3F">
              <w:rPr>
                <w:rFonts w:cs="Arial"/>
                <w:color w:val="000000"/>
                <w:sz w:val="14"/>
                <w:szCs w:val="16"/>
                <w:lang w:val="en-GB"/>
              </w:rPr>
              <w:t xml:space="preserve"> </w:t>
            </w:r>
          </w:p>
          <w:p w14:paraId="3EC8EEDE"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For the purpose of determining whether an impairment is permanent, the employer must have regard to the following matters: </w:t>
            </w:r>
          </w:p>
          <w:p w14:paraId="3D809C0E" w14:textId="77777777" w:rsidR="004E0E3F" w:rsidRPr="00B563BC" w:rsidRDefault="004E0E3F" w:rsidP="00F839DB">
            <w:pPr>
              <w:pStyle w:val="ListParagraph"/>
              <w:numPr>
                <w:ilvl w:val="0"/>
                <w:numId w:val="99"/>
              </w:numPr>
              <w:spacing w:after="60" w:line="276" w:lineRule="auto"/>
              <w:rPr>
                <w:rFonts w:cs="Arial"/>
                <w:color w:val="000000"/>
                <w:sz w:val="14"/>
                <w:szCs w:val="16"/>
                <w:lang w:val="en-GB"/>
              </w:rPr>
            </w:pPr>
            <w:r w:rsidRPr="00B563BC">
              <w:rPr>
                <w:rFonts w:cs="Arial"/>
                <w:color w:val="000000"/>
                <w:sz w:val="14"/>
                <w:szCs w:val="16"/>
                <w:lang w:val="en-GB"/>
              </w:rPr>
              <w:t>the duration of the impairment</w:t>
            </w:r>
          </w:p>
          <w:p w14:paraId="09EFA406" w14:textId="77777777" w:rsidR="004E0E3F" w:rsidRPr="00B563BC" w:rsidRDefault="004E0E3F" w:rsidP="00F839DB">
            <w:pPr>
              <w:pStyle w:val="ListParagraph"/>
              <w:numPr>
                <w:ilvl w:val="0"/>
                <w:numId w:val="99"/>
              </w:numPr>
              <w:spacing w:after="60"/>
              <w:rPr>
                <w:rFonts w:cs="Arial"/>
                <w:color w:val="000000"/>
                <w:sz w:val="14"/>
                <w:szCs w:val="16"/>
                <w:lang w:val="en-GB"/>
              </w:rPr>
            </w:pPr>
            <w:r w:rsidRPr="00B563BC">
              <w:rPr>
                <w:rFonts w:cs="Arial"/>
                <w:color w:val="000000"/>
                <w:sz w:val="14"/>
                <w:szCs w:val="16"/>
                <w:lang w:val="en-GB"/>
              </w:rPr>
              <w:t>the likelihood of improvement in the employee’s condition</w:t>
            </w:r>
          </w:p>
          <w:p w14:paraId="497432FA" w14:textId="3EFBD698" w:rsidR="004E0E3F" w:rsidRPr="00B563BC" w:rsidRDefault="004E0E3F" w:rsidP="00F839DB">
            <w:pPr>
              <w:pStyle w:val="ListParagraph"/>
              <w:numPr>
                <w:ilvl w:val="0"/>
                <w:numId w:val="99"/>
              </w:numPr>
              <w:spacing w:after="60"/>
              <w:rPr>
                <w:rFonts w:cs="Arial"/>
                <w:color w:val="000000"/>
                <w:sz w:val="14"/>
                <w:szCs w:val="16"/>
                <w:lang w:val="en-GB"/>
              </w:rPr>
            </w:pPr>
            <w:r w:rsidRPr="00B563BC">
              <w:rPr>
                <w:rFonts w:cs="Arial"/>
                <w:color w:val="000000"/>
                <w:sz w:val="14"/>
                <w:szCs w:val="16"/>
                <w:lang w:val="en-GB"/>
              </w:rPr>
              <w:t>whether the employee has undertaken all reasonable rehabilitative treatment for the impairment, and</w:t>
            </w:r>
            <w:r w:rsidR="00DD0D68">
              <w:rPr>
                <w:rFonts w:cs="Arial"/>
                <w:color w:val="000000"/>
                <w:sz w:val="14"/>
                <w:szCs w:val="16"/>
                <w:lang w:val="en-GB"/>
              </w:rPr>
              <w:t xml:space="preserve"> </w:t>
            </w:r>
          </w:p>
          <w:p w14:paraId="09D46E86" w14:textId="77777777" w:rsidR="004E0E3F" w:rsidRPr="00B563BC" w:rsidRDefault="004E0E3F" w:rsidP="00F839DB">
            <w:pPr>
              <w:pStyle w:val="ListParagraph"/>
              <w:numPr>
                <w:ilvl w:val="0"/>
                <w:numId w:val="99"/>
              </w:numPr>
              <w:spacing w:after="60"/>
              <w:rPr>
                <w:rFonts w:cs="Arial"/>
                <w:color w:val="000000"/>
                <w:sz w:val="14"/>
                <w:szCs w:val="16"/>
                <w:lang w:val="en-GB"/>
              </w:rPr>
            </w:pPr>
            <w:r w:rsidRPr="00B563BC">
              <w:rPr>
                <w:rFonts w:cs="Arial"/>
                <w:color w:val="000000"/>
                <w:sz w:val="14"/>
                <w:szCs w:val="16"/>
                <w:lang w:val="en-GB"/>
              </w:rPr>
              <w:t>any other relevant matters.</w:t>
            </w:r>
          </w:p>
          <w:p w14:paraId="35A0CC05" w14:textId="16F1453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Assessments must be made in accordance with the </w:t>
            </w:r>
            <w:r w:rsidRPr="00B53968">
              <w:rPr>
                <w:rFonts w:cs="Arial"/>
                <w:color w:val="000000"/>
                <w:sz w:val="14"/>
                <w:szCs w:val="16"/>
                <w:lang w:val="en-GB"/>
              </w:rPr>
              <w:t xml:space="preserve">Seacare Authority </w:t>
            </w:r>
            <w:r w:rsidRPr="002B4D71">
              <w:rPr>
                <w:rFonts w:cs="Arial"/>
                <w:i/>
                <w:color w:val="000000"/>
                <w:sz w:val="14"/>
                <w:szCs w:val="16"/>
                <w:lang w:val="en-GB"/>
              </w:rPr>
              <w:t>Guide to the Assessment of the</w:t>
            </w:r>
            <w:r w:rsidR="00041991" w:rsidRPr="002B4D71">
              <w:rPr>
                <w:rFonts w:cs="Arial"/>
                <w:i/>
                <w:color w:val="000000"/>
                <w:sz w:val="14"/>
                <w:szCs w:val="16"/>
                <w:lang w:val="en-GB"/>
              </w:rPr>
              <w:t xml:space="preserve"> </w:t>
            </w:r>
            <w:r w:rsidR="00041991" w:rsidRPr="002B4D71">
              <w:rPr>
                <w:rFonts w:cs="Arial"/>
                <w:i/>
                <w:color w:val="000000"/>
                <w:sz w:val="14"/>
                <w:szCs w:val="16"/>
                <w:lang w:val="en-GB"/>
              </w:rPr>
              <w:lastRenderedPageBreak/>
              <w:t>Degree of Permanent Impairment</w:t>
            </w:r>
          </w:p>
        </w:tc>
      </w:tr>
      <w:tr w:rsidR="004E0E3F" w:rsidRPr="004E0E3F" w14:paraId="25234669" w14:textId="77777777" w:rsidTr="00FB729B">
        <w:tc>
          <w:tcPr>
            <w:tcW w:w="1626" w:type="dxa"/>
            <w:shd w:val="clear" w:color="auto" w:fill="FFC9C9"/>
            <w:tcMar>
              <w:top w:w="80" w:type="dxa"/>
              <w:left w:w="80" w:type="dxa"/>
              <w:bottom w:w="80" w:type="dxa"/>
              <w:right w:w="80" w:type="dxa"/>
            </w:tcMar>
          </w:tcPr>
          <w:p w14:paraId="7627E80D"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lastRenderedPageBreak/>
              <w:t>C’wealth DVA</w:t>
            </w:r>
          </w:p>
        </w:tc>
        <w:tc>
          <w:tcPr>
            <w:tcW w:w="6904" w:type="dxa"/>
            <w:shd w:val="clear" w:color="auto" w:fill="FFC9C9"/>
            <w:tcMar>
              <w:top w:w="80" w:type="dxa"/>
              <w:left w:w="80" w:type="dxa"/>
              <w:bottom w:w="80" w:type="dxa"/>
              <w:right w:w="80" w:type="dxa"/>
            </w:tcMar>
          </w:tcPr>
          <w:p w14:paraId="73FE280A" w14:textId="2EE559A5" w:rsidR="004E0E3F" w:rsidRPr="004E0E3F" w:rsidRDefault="00772587" w:rsidP="009146AE">
            <w:pPr>
              <w:spacing w:after="60"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1C0401">
              <w:rPr>
                <w:rFonts w:cs="Arial"/>
                <w:color w:val="000000"/>
                <w:sz w:val="14"/>
                <w:szCs w:val="16"/>
                <w:lang w:val="en-GB"/>
              </w:rPr>
              <w:t>MRCA</w:t>
            </w:r>
            <w:r>
              <w:rPr>
                <w:rFonts w:cs="Arial"/>
                <w:color w:val="000000"/>
                <w:sz w:val="14"/>
                <w:szCs w:val="16"/>
                <w:lang w:val="en-GB"/>
              </w:rPr>
              <w:t>)</w:t>
            </w:r>
            <w:r w:rsidR="001C0401">
              <w:rPr>
                <w:rFonts w:cs="Arial"/>
                <w:color w:val="000000"/>
                <w:sz w:val="14"/>
                <w:szCs w:val="16"/>
                <w:lang w:val="en-GB"/>
              </w:rPr>
              <w:t xml:space="preserve"> — </w:t>
            </w:r>
            <w:r w:rsidR="004E0E3F" w:rsidRPr="004E0E3F">
              <w:rPr>
                <w:rFonts w:cs="Arial"/>
                <w:color w:val="000000"/>
                <w:sz w:val="14"/>
                <w:szCs w:val="16"/>
                <w:lang w:val="en-GB"/>
              </w:rPr>
              <w:t xml:space="preserve">Permanent means likely to continue indefinitely — </w:t>
            </w:r>
            <w:hyperlink r:id="rId848" w:history="1">
              <w:r w:rsidR="004E0E3F" w:rsidRPr="00F93ECD">
                <w:rPr>
                  <w:rStyle w:val="Hyperlink"/>
                  <w:rFonts w:cs="Arial"/>
                  <w:sz w:val="14"/>
                  <w:szCs w:val="16"/>
                  <w:lang w:val="en-GB"/>
                </w:rPr>
                <w:t>s68(1)(b)(ii)</w:t>
              </w:r>
            </w:hyperlink>
          </w:p>
          <w:p w14:paraId="36947515" w14:textId="02588E67" w:rsidR="001C0401" w:rsidRDefault="004E0E3F" w:rsidP="009146AE">
            <w:pPr>
              <w:spacing w:after="60" w:line="276" w:lineRule="auto"/>
              <w:rPr>
                <w:color w:val="000000"/>
              </w:rPr>
            </w:pPr>
            <w:r w:rsidRPr="004E0E3F">
              <w:rPr>
                <w:rFonts w:cs="Arial"/>
                <w:color w:val="000000"/>
                <w:sz w:val="14"/>
                <w:szCs w:val="16"/>
                <w:lang w:val="en-GB"/>
              </w:rPr>
              <w:t xml:space="preserve">Impairment, in relation to a person, means the loss, the loss of the use, or the damage or malfunction, of any part of the person’s body, of any bodily system or function, or of any part of such a system or function — </w:t>
            </w:r>
            <w:hyperlink r:id="rId849" w:history="1">
              <w:r w:rsidRPr="00F93ECD">
                <w:rPr>
                  <w:rStyle w:val="Hyperlink"/>
                  <w:rFonts w:cs="Arial"/>
                  <w:sz w:val="14"/>
                  <w:szCs w:val="16"/>
                  <w:lang w:val="en-GB"/>
                </w:rPr>
                <w:t>s5</w:t>
              </w:r>
            </w:hyperlink>
          </w:p>
          <w:p w14:paraId="1A5BB97F" w14:textId="77777777" w:rsidR="00662C41" w:rsidRDefault="00662C41" w:rsidP="00662C41">
            <w:pPr>
              <w:spacing w:after="1080" w:line="276" w:lineRule="auto"/>
              <w:rPr>
                <w:rFonts w:cs="Arial"/>
                <w:color w:val="000000"/>
                <w:sz w:val="14"/>
                <w:szCs w:val="16"/>
                <w:lang w:val="en-GB"/>
              </w:rPr>
            </w:pPr>
          </w:p>
          <w:p w14:paraId="628A3683" w14:textId="0732BFBB" w:rsidR="001C0401" w:rsidRDefault="00772587" w:rsidP="009146AE">
            <w:pPr>
              <w:spacing w:after="60" w:line="276" w:lineRule="auto"/>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1C0401">
              <w:rPr>
                <w:rFonts w:cs="Arial"/>
                <w:color w:val="000000"/>
                <w:sz w:val="14"/>
                <w:szCs w:val="16"/>
                <w:lang w:val="en-GB"/>
              </w:rPr>
              <w:t>DRCA</w:t>
            </w:r>
            <w:r>
              <w:rPr>
                <w:rFonts w:cs="Arial"/>
                <w:color w:val="000000"/>
                <w:sz w:val="14"/>
                <w:szCs w:val="16"/>
                <w:lang w:val="en-GB"/>
              </w:rPr>
              <w:t>)</w:t>
            </w:r>
            <w:r w:rsidR="001C0401">
              <w:rPr>
                <w:rFonts w:cs="Arial"/>
                <w:color w:val="000000"/>
                <w:sz w:val="14"/>
                <w:szCs w:val="16"/>
                <w:lang w:val="en-GB"/>
              </w:rPr>
              <w:t xml:space="preserve"> —</w:t>
            </w:r>
          </w:p>
          <w:p w14:paraId="3A2EE714" w14:textId="1E173029" w:rsidR="001C0401" w:rsidRDefault="00A7538C" w:rsidP="009146AE">
            <w:pPr>
              <w:spacing w:after="60" w:line="276" w:lineRule="auto"/>
              <w:rPr>
                <w:rFonts w:cs="Arial"/>
                <w:color w:val="000000"/>
                <w:sz w:val="14"/>
                <w:szCs w:val="16"/>
                <w:lang w:val="en-GB"/>
              </w:rPr>
            </w:pPr>
            <w:hyperlink r:id="rId850" w:history="1">
              <w:r w:rsidR="001C0401" w:rsidRPr="00F93ECD">
                <w:rPr>
                  <w:rStyle w:val="Hyperlink"/>
                  <w:rFonts w:cs="Arial"/>
                  <w:sz w:val="14"/>
                  <w:szCs w:val="16"/>
                  <w:lang w:val="en-GB"/>
                </w:rPr>
                <w:t>s4</w:t>
              </w:r>
            </w:hyperlink>
            <w:r w:rsidR="001C0401">
              <w:rPr>
                <w:rFonts w:cs="Arial"/>
                <w:color w:val="000000"/>
                <w:sz w:val="14"/>
                <w:szCs w:val="16"/>
                <w:lang w:val="en-GB"/>
              </w:rPr>
              <w:t xml:space="preserve"> — Permanent means likely to continue indefinitely</w:t>
            </w:r>
          </w:p>
          <w:p w14:paraId="7853086E" w14:textId="12E6D4E2" w:rsidR="001C0401" w:rsidRPr="004E0E3F" w:rsidRDefault="00A7538C" w:rsidP="009146AE">
            <w:pPr>
              <w:spacing w:after="60" w:line="276" w:lineRule="auto"/>
              <w:rPr>
                <w:rFonts w:cs="Arial"/>
                <w:color w:val="000000"/>
                <w:sz w:val="14"/>
                <w:szCs w:val="16"/>
                <w:lang w:val="en-GB"/>
              </w:rPr>
            </w:pPr>
            <w:hyperlink r:id="rId851" w:history="1">
              <w:r w:rsidR="001C0401" w:rsidRPr="00F93ECD">
                <w:rPr>
                  <w:rStyle w:val="Hyperlink"/>
                  <w:rFonts w:cs="Arial"/>
                  <w:sz w:val="14"/>
                  <w:szCs w:val="16"/>
                  <w:lang w:val="en-GB"/>
                </w:rPr>
                <w:t>s4</w:t>
              </w:r>
            </w:hyperlink>
            <w:r w:rsidR="001C0401">
              <w:rPr>
                <w:rFonts w:cs="Arial"/>
                <w:color w:val="000000"/>
                <w:sz w:val="14"/>
                <w:szCs w:val="16"/>
                <w:lang w:val="en-GB"/>
              </w:rPr>
              <w:t xml:space="preserve"> — Impairment means the loss, the loss of the use, or the damage or malfunction, of any part of the body or of any bodily system or function or part of such system or function</w:t>
            </w:r>
          </w:p>
        </w:tc>
        <w:tc>
          <w:tcPr>
            <w:tcW w:w="6905" w:type="dxa"/>
            <w:shd w:val="clear" w:color="auto" w:fill="FFC9C9"/>
            <w:tcMar>
              <w:top w:w="80" w:type="dxa"/>
              <w:left w:w="80" w:type="dxa"/>
              <w:bottom w:w="80" w:type="dxa"/>
              <w:right w:w="80" w:type="dxa"/>
            </w:tcMar>
          </w:tcPr>
          <w:p w14:paraId="24776D75" w14:textId="2D0299DC" w:rsidR="004E0E3F" w:rsidRPr="004E0E3F" w:rsidRDefault="001C0401" w:rsidP="009146AE">
            <w:pPr>
              <w:spacing w:after="60" w:line="276" w:lineRule="auto"/>
              <w:rPr>
                <w:rFonts w:cs="Arial"/>
                <w:color w:val="000000"/>
                <w:sz w:val="14"/>
                <w:szCs w:val="16"/>
                <w:lang w:val="en-GB"/>
              </w:rPr>
            </w:pPr>
            <w:r>
              <w:rPr>
                <w:rFonts w:cs="Arial"/>
                <w:color w:val="000000"/>
                <w:sz w:val="14"/>
                <w:szCs w:val="16"/>
                <w:lang w:val="en-GB"/>
              </w:rPr>
              <w:t xml:space="preserve">MRCA — </w:t>
            </w:r>
            <w:r w:rsidR="004E0E3F" w:rsidRPr="004E0E3F">
              <w:rPr>
                <w:rFonts w:cs="Arial"/>
                <w:color w:val="000000"/>
                <w:sz w:val="14"/>
                <w:szCs w:val="16"/>
                <w:lang w:val="en-GB"/>
              </w:rPr>
              <w:t>Deciding whether an impairment is likely</w:t>
            </w:r>
            <w:r w:rsidR="00041991">
              <w:rPr>
                <w:rFonts w:cs="Arial"/>
                <w:color w:val="000000"/>
                <w:sz w:val="14"/>
                <w:szCs w:val="16"/>
                <w:lang w:val="en-GB"/>
              </w:rPr>
              <w:t xml:space="preserve"> to continue indefinitely — </w:t>
            </w:r>
            <w:hyperlink r:id="rId852" w:history="1">
              <w:r w:rsidR="00041991" w:rsidRPr="00F93ECD">
                <w:rPr>
                  <w:rStyle w:val="Hyperlink"/>
                  <w:rFonts w:cs="Arial"/>
                  <w:sz w:val="14"/>
                  <w:szCs w:val="16"/>
                  <w:lang w:val="en-GB"/>
                </w:rPr>
                <w:t>s73</w:t>
              </w:r>
            </w:hyperlink>
          </w:p>
          <w:p w14:paraId="14AEE0F9" w14:textId="0DDFE2E1"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For the purposes of subparagraph </w:t>
            </w:r>
            <w:hyperlink r:id="rId853" w:history="1">
              <w:r w:rsidRPr="00F93ECD">
                <w:rPr>
                  <w:rStyle w:val="Hyperlink"/>
                  <w:rFonts w:cs="Arial"/>
                  <w:sz w:val="14"/>
                  <w:szCs w:val="16"/>
                  <w:lang w:val="en-GB"/>
                </w:rPr>
                <w:t>68(1)(b)(ii)</w:t>
              </w:r>
            </w:hyperlink>
            <w:r w:rsidRPr="004E0E3F">
              <w:rPr>
                <w:rFonts w:cs="Arial"/>
                <w:color w:val="000000"/>
                <w:sz w:val="14"/>
                <w:szCs w:val="16"/>
                <w:lang w:val="en-GB"/>
              </w:rPr>
              <w:t xml:space="preserve"> and subparagraphs </w:t>
            </w:r>
            <w:hyperlink r:id="rId854" w:history="1">
              <w:r w:rsidRPr="00F93ECD">
                <w:rPr>
                  <w:rStyle w:val="Hyperlink"/>
                  <w:rFonts w:cs="Arial"/>
                  <w:sz w:val="14"/>
                  <w:szCs w:val="16"/>
                  <w:lang w:val="en-GB"/>
                </w:rPr>
                <w:t>71(1)(b)(ii)</w:t>
              </w:r>
            </w:hyperlink>
            <w:r w:rsidRPr="004E0E3F">
              <w:rPr>
                <w:rFonts w:cs="Arial"/>
                <w:color w:val="000000"/>
                <w:sz w:val="14"/>
                <w:szCs w:val="16"/>
                <w:lang w:val="en-GB"/>
              </w:rPr>
              <w:t xml:space="preserve"> and </w:t>
            </w:r>
            <w:hyperlink r:id="rId855" w:history="1">
              <w:r w:rsidR="00F93ECD" w:rsidRPr="00F93ECD">
                <w:rPr>
                  <w:rStyle w:val="Hyperlink"/>
                  <w:rFonts w:cs="Arial"/>
                  <w:sz w:val="14"/>
                  <w:szCs w:val="16"/>
                  <w:lang w:val="en-GB"/>
                </w:rPr>
                <w:t>71</w:t>
              </w:r>
              <w:r w:rsidRPr="00F93ECD">
                <w:rPr>
                  <w:rStyle w:val="Hyperlink"/>
                  <w:rFonts w:cs="Arial"/>
                  <w:sz w:val="14"/>
                  <w:szCs w:val="16"/>
                  <w:lang w:val="en-GB"/>
                </w:rPr>
                <w:t>(2)(a)(ii)</w:t>
              </w:r>
            </w:hyperlink>
            <w:r w:rsidRPr="004E0E3F">
              <w:rPr>
                <w:rFonts w:cs="Arial"/>
                <w:color w:val="000000"/>
                <w:sz w:val="14"/>
                <w:szCs w:val="16"/>
                <w:lang w:val="en-GB"/>
              </w:rPr>
              <w:t>, in deciding whether an impairment suffered by a person is likely to continue indefinitely, the Commission must have regard to:</w:t>
            </w:r>
          </w:p>
          <w:p w14:paraId="13F95E2B" w14:textId="77777777" w:rsidR="004E0E3F" w:rsidRPr="004E0E3F" w:rsidRDefault="004E0E3F" w:rsidP="009146AE">
            <w:pPr>
              <w:numPr>
                <w:ilvl w:val="0"/>
                <w:numId w:val="17"/>
              </w:numPr>
              <w:spacing w:after="60" w:line="276" w:lineRule="auto"/>
              <w:rPr>
                <w:rFonts w:cs="Arial"/>
                <w:color w:val="000000"/>
                <w:sz w:val="14"/>
                <w:szCs w:val="16"/>
                <w:lang w:val="en-GB"/>
              </w:rPr>
            </w:pPr>
            <w:r w:rsidRPr="004E0E3F">
              <w:rPr>
                <w:rFonts w:cs="Arial"/>
                <w:color w:val="000000"/>
                <w:sz w:val="14"/>
                <w:szCs w:val="16"/>
                <w:lang w:val="en-GB"/>
              </w:rPr>
              <w:t>the duration of the impairment, and</w:t>
            </w:r>
          </w:p>
          <w:p w14:paraId="609E4374" w14:textId="77777777" w:rsidR="004E0E3F" w:rsidRPr="004E0E3F" w:rsidRDefault="004E0E3F" w:rsidP="009146AE">
            <w:pPr>
              <w:pStyle w:val="Tableabc"/>
              <w:spacing w:after="60" w:afterAutospacing="0"/>
            </w:pPr>
            <w:r w:rsidRPr="004E0E3F">
              <w:t>the likelihood of improvement in the one or more service injuries or diseases concerned, and</w:t>
            </w:r>
          </w:p>
          <w:p w14:paraId="328E9CF2" w14:textId="77777777" w:rsidR="004E0E3F" w:rsidRPr="004E0E3F" w:rsidRDefault="004E0E3F" w:rsidP="009146AE">
            <w:pPr>
              <w:pStyle w:val="Tableabc"/>
              <w:spacing w:after="60" w:afterAutospacing="0"/>
            </w:pPr>
            <w:r w:rsidRPr="004E0E3F">
              <w:t>whether the person has undertaken all reasonable rehabilitative treatment for the impairment, and</w:t>
            </w:r>
          </w:p>
          <w:p w14:paraId="4797E8BB" w14:textId="77777777" w:rsidR="004E0E3F" w:rsidRDefault="004E0E3F" w:rsidP="009146AE">
            <w:pPr>
              <w:pStyle w:val="Tableabc"/>
              <w:spacing w:after="60" w:afterAutospacing="0"/>
            </w:pPr>
            <w:r w:rsidRPr="004E0E3F">
              <w:t>any other relevant matters.</w:t>
            </w:r>
          </w:p>
          <w:p w14:paraId="0442FEB4" w14:textId="77777777" w:rsidR="001C0401" w:rsidRDefault="001C0401" w:rsidP="001C0401">
            <w:pPr>
              <w:pStyle w:val="Tableabc"/>
              <w:numPr>
                <w:ilvl w:val="0"/>
                <w:numId w:val="0"/>
              </w:numPr>
              <w:spacing w:after="60" w:afterAutospacing="0"/>
              <w:ind w:left="360" w:hanging="360"/>
            </w:pPr>
          </w:p>
          <w:p w14:paraId="4F702321" w14:textId="61F87E16" w:rsidR="001C0401" w:rsidRDefault="001C0401" w:rsidP="001C0401">
            <w:pPr>
              <w:pStyle w:val="Tableabc"/>
              <w:numPr>
                <w:ilvl w:val="0"/>
                <w:numId w:val="0"/>
              </w:numPr>
              <w:spacing w:after="60" w:afterAutospacing="0"/>
              <w:ind w:left="360" w:hanging="360"/>
            </w:pPr>
            <w:r>
              <w:t xml:space="preserve">DRCA — </w:t>
            </w:r>
            <w:hyperlink r:id="rId856" w:history="1">
              <w:r w:rsidRPr="00F93ECD">
                <w:rPr>
                  <w:rStyle w:val="Hyperlink"/>
                </w:rPr>
                <w:t>s24(2)</w:t>
              </w:r>
            </w:hyperlink>
          </w:p>
          <w:p w14:paraId="5114E3B9" w14:textId="77777777" w:rsidR="001C0401" w:rsidRDefault="001C0401" w:rsidP="001C0401">
            <w:pPr>
              <w:pStyle w:val="Tableabc"/>
              <w:numPr>
                <w:ilvl w:val="0"/>
                <w:numId w:val="0"/>
              </w:numPr>
              <w:spacing w:after="60" w:afterAutospacing="0"/>
              <w:ind w:left="360" w:hanging="360"/>
            </w:pPr>
            <w:r>
              <w:t>For the purpose of determining whether an impairment is permanent, Comcare shall have regard to:</w:t>
            </w:r>
          </w:p>
          <w:p w14:paraId="4C2F29F2" w14:textId="5693F941" w:rsidR="001C0401" w:rsidRPr="001C0401" w:rsidRDefault="001C0401" w:rsidP="00F839DB">
            <w:pPr>
              <w:pStyle w:val="ListParagraph"/>
              <w:numPr>
                <w:ilvl w:val="0"/>
                <w:numId w:val="548"/>
              </w:numPr>
              <w:spacing w:after="60" w:line="276" w:lineRule="auto"/>
              <w:ind w:left="387"/>
              <w:rPr>
                <w:rFonts w:cs="Arial"/>
                <w:color w:val="000000"/>
                <w:sz w:val="14"/>
                <w:szCs w:val="16"/>
                <w:lang w:val="en-GB"/>
              </w:rPr>
            </w:pPr>
            <w:r w:rsidRPr="001C0401">
              <w:rPr>
                <w:rFonts w:cs="Arial"/>
                <w:color w:val="000000"/>
                <w:sz w:val="14"/>
                <w:szCs w:val="16"/>
                <w:lang w:val="en-GB"/>
              </w:rPr>
              <w:t>the duration of the impairment;</w:t>
            </w:r>
          </w:p>
          <w:p w14:paraId="486911BD" w14:textId="1B98FE02" w:rsidR="001C0401" w:rsidRPr="001C0401" w:rsidRDefault="001C0401" w:rsidP="00F839DB">
            <w:pPr>
              <w:pStyle w:val="ListParagraph"/>
              <w:numPr>
                <w:ilvl w:val="0"/>
                <w:numId w:val="548"/>
              </w:numPr>
              <w:spacing w:after="60" w:line="276" w:lineRule="auto"/>
              <w:ind w:left="387"/>
              <w:rPr>
                <w:rFonts w:cs="Arial"/>
                <w:color w:val="000000"/>
                <w:sz w:val="14"/>
                <w:szCs w:val="16"/>
                <w:lang w:val="en-GB"/>
              </w:rPr>
            </w:pPr>
            <w:r w:rsidRPr="001C0401">
              <w:rPr>
                <w:rFonts w:cs="Arial"/>
                <w:color w:val="000000"/>
                <w:sz w:val="14"/>
                <w:szCs w:val="16"/>
                <w:lang w:val="en-GB"/>
              </w:rPr>
              <w:t>the likelihood of improvement in the employee’s condition;</w:t>
            </w:r>
          </w:p>
          <w:p w14:paraId="01DA5DED" w14:textId="526BAF8C" w:rsidR="001C0401" w:rsidRPr="001C0401" w:rsidRDefault="001C0401" w:rsidP="00F839DB">
            <w:pPr>
              <w:pStyle w:val="ListParagraph"/>
              <w:numPr>
                <w:ilvl w:val="0"/>
                <w:numId w:val="548"/>
              </w:numPr>
              <w:spacing w:after="60" w:line="276" w:lineRule="auto"/>
              <w:ind w:left="387"/>
              <w:rPr>
                <w:rFonts w:cs="Arial"/>
                <w:color w:val="000000"/>
                <w:sz w:val="14"/>
                <w:szCs w:val="16"/>
                <w:lang w:val="en-GB"/>
              </w:rPr>
            </w:pPr>
            <w:r w:rsidRPr="001C0401">
              <w:rPr>
                <w:rFonts w:cs="Arial"/>
                <w:color w:val="000000"/>
                <w:sz w:val="14"/>
                <w:szCs w:val="16"/>
                <w:lang w:val="en-GB"/>
              </w:rPr>
              <w:t>whether the employee has undertaken all reasonable rehabilitative treatment for the impairment; and</w:t>
            </w:r>
          </w:p>
          <w:p w14:paraId="3151ED8B" w14:textId="66098AAC" w:rsidR="001C0401" w:rsidRDefault="001C0401" w:rsidP="00F839DB">
            <w:pPr>
              <w:pStyle w:val="Tableabc"/>
              <w:numPr>
                <w:ilvl w:val="0"/>
                <w:numId w:val="548"/>
              </w:numPr>
              <w:spacing w:after="60" w:afterAutospacing="0"/>
              <w:ind w:left="387"/>
              <w:rPr>
                <w:color w:val="000000"/>
              </w:rPr>
            </w:pPr>
            <w:r w:rsidRPr="00E67620">
              <w:rPr>
                <w:color w:val="000000"/>
              </w:rPr>
              <w:t>any other relevant matters.</w:t>
            </w:r>
          </w:p>
          <w:p w14:paraId="2427C7A8" w14:textId="314332E6" w:rsidR="001C0401" w:rsidRPr="004E0E3F" w:rsidRDefault="001C0401" w:rsidP="001C0401">
            <w:pPr>
              <w:pStyle w:val="Tableabc"/>
              <w:numPr>
                <w:ilvl w:val="0"/>
                <w:numId w:val="0"/>
              </w:numPr>
              <w:spacing w:after="60" w:afterAutospacing="0"/>
            </w:pPr>
            <w:r w:rsidRPr="004E0E3F">
              <w:rPr>
                <w:color w:val="000000"/>
              </w:rPr>
              <w:t xml:space="preserve">Assessments must be made in accordance with the Comcare </w:t>
            </w:r>
            <w:r w:rsidRPr="002B4D71">
              <w:rPr>
                <w:i/>
                <w:color w:val="000000"/>
              </w:rPr>
              <w:t>Guide to the Assessment of the Degree of Permanent Impairment</w:t>
            </w:r>
          </w:p>
        </w:tc>
      </w:tr>
      <w:tr w:rsidR="004E0E3F" w:rsidRPr="004E0E3F" w14:paraId="455A274D" w14:textId="77777777" w:rsidTr="00FB729B">
        <w:tc>
          <w:tcPr>
            <w:tcW w:w="1626" w:type="dxa"/>
            <w:tcMar>
              <w:top w:w="80" w:type="dxa"/>
              <w:left w:w="80" w:type="dxa"/>
              <w:bottom w:w="80" w:type="dxa"/>
              <w:right w:w="80" w:type="dxa"/>
            </w:tcMar>
          </w:tcPr>
          <w:p w14:paraId="5550DD78" w14:textId="3463CE85"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New Zealand</w:t>
            </w:r>
          </w:p>
        </w:tc>
        <w:tc>
          <w:tcPr>
            <w:tcW w:w="6904" w:type="dxa"/>
            <w:tcMar>
              <w:top w:w="80" w:type="dxa"/>
              <w:left w:w="80" w:type="dxa"/>
              <w:bottom w:w="80" w:type="dxa"/>
              <w:right w:w="80" w:type="dxa"/>
            </w:tcMar>
          </w:tcPr>
          <w:p w14:paraId="1A4D2EB2" w14:textId="1127C792" w:rsidR="004E0E3F" w:rsidRPr="004E0E3F" w:rsidRDefault="004E0E3F" w:rsidP="009146AE">
            <w:pPr>
              <w:spacing w:after="60" w:line="276" w:lineRule="auto"/>
              <w:rPr>
                <w:rFonts w:cs="Arial"/>
                <w:color w:val="000000"/>
                <w:sz w:val="14"/>
                <w:szCs w:val="16"/>
                <w:lang w:val="en-GB"/>
              </w:rPr>
            </w:pPr>
            <w:r w:rsidRPr="004E0E3F">
              <w:rPr>
                <w:rFonts w:cs="Arial"/>
                <w:i/>
                <w:color w:val="000000"/>
                <w:sz w:val="14"/>
                <w:szCs w:val="16"/>
                <w:lang w:val="en-GB"/>
              </w:rPr>
              <w:t>Accident Compensation Act 2001</w:t>
            </w:r>
            <w:r w:rsidRPr="004E0E3F">
              <w:rPr>
                <w:rFonts w:cs="Arial"/>
                <w:color w:val="000000"/>
                <w:sz w:val="14"/>
                <w:szCs w:val="16"/>
                <w:lang w:val="en-GB"/>
              </w:rPr>
              <w:t xml:space="preserve"> defines ‘impairment as ‘a loss, a loss of use, or derangement of any body part, organ system or organ function.’</w:t>
            </w:r>
          </w:p>
        </w:tc>
        <w:tc>
          <w:tcPr>
            <w:tcW w:w="6905" w:type="dxa"/>
            <w:tcMar>
              <w:top w:w="80" w:type="dxa"/>
              <w:left w:w="80" w:type="dxa"/>
              <w:bottom w:w="80" w:type="dxa"/>
              <w:right w:w="80" w:type="dxa"/>
            </w:tcMar>
          </w:tcPr>
          <w:p w14:paraId="0C8F1D63" w14:textId="77777777" w:rsidR="00041991"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Requires permanence and stability of condition being assessed by a medical practitioner after two </w:t>
            </w:r>
            <w:r w:rsidR="00041991">
              <w:rPr>
                <w:rFonts w:cs="Arial"/>
                <w:color w:val="000000"/>
                <w:sz w:val="14"/>
                <w:szCs w:val="16"/>
                <w:lang w:val="en-GB"/>
              </w:rPr>
              <w:t>years since the date of injury</w:t>
            </w:r>
          </w:p>
          <w:p w14:paraId="1E051DEF" w14:textId="1D2DC120"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It requires a medical practitioner certifying that the claimant’s condition has not stabilised, but it is likely that there is permanent impairment resulting from the </w:t>
            </w:r>
            <w:r w:rsidR="00041991">
              <w:rPr>
                <w:rFonts w:cs="Arial"/>
                <w:color w:val="000000"/>
                <w:sz w:val="14"/>
                <w:szCs w:val="16"/>
                <w:lang w:val="en-GB"/>
              </w:rPr>
              <w:t>injury</w:t>
            </w:r>
          </w:p>
        </w:tc>
      </w:tr>
      <w:bookmarkEnd w:id="110"/>
    </w:tbl>
    <w:p w14:paraId="2EA287C5" w14:textId="77777777" w:rsidR="00737431" w:rsidRDefault="00737431" w:rsidP="00C66972">
      <w:pPr>
        <w:spacing w:after="200" w:line="276" w:lineRule="auto"/>
        <w:rPr>
          <w:rFonts w:eastAsiaTheme="minorHAnsi"/>
        </w:rPr>
      </w:pPr>
    </w:p>
    <w:p w14:paraId="7E571299" w14:textId="79C534D4" w:rsidR="00B563BC" w:rsidRPr="00A80282" w:rsidRDefault="00B563BC" w:rsidP="00A80282">
      <w:pPr>
        <w:pStyle w:val="SWATableheader"/>
      </w:pPr>
      <w:bookmarkStart w:id="111" w:name="_Toc504654668"/>
      <w:r w:rsidRPr="00A80282">
        <w:rPr>
          <w:rStyle w:val="SWATableheaderChar"/>
          <w:b/>
        </w:rPr>
        <w:lastRenderedPageBreak/>
        <w:t>Table 3.11: Permanent impairment guides</w:t>
      </w:r>
      <w:bookmarkEnd w:id="111"/>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1: Permanent impairment guides  "/>
        <w:tblDescription w:val="This table provides information on permanent impairment guides. "/>
      </w:tblPr>
      <w:tblGrid>
        <w:gridCol w:w="1701"/>
        <w:gridCol w:w="1049"/>
        <w:gridCol w:w="1049"/>
        <w:gridCol w:w="7116"/>
        <w:gridCol w:w="4581"/>
      </w:tblGrid>
      <w:tr w:rsidR="00B563BC" w:rsidRPr="008A5C2E" w14:paraId="6671A332" w14:textId="77777777" w:rsidTr="00E80FC6">
        <w:trPr>
          <w:tblHeader/>
        </w:trPr>
        <w:tc>
          <w:tcPr>
            <w:tcW w:w="1701" w:type="dxa"/>
            <w:shd w:val="clear" w:color="auto" w:fill="C00000"/>
            <w:tcMar>
              <w:top w:w="0" w:type="dxa"/>
              <w:left w:w="80" w:type="dxa"/>
              <w:bottom w:w="0" w:type="dxa"/>
              <w:right w:w="0" w:type="dxa"/>
            </w:tcMar>
            <w:vAlign w:val="center"/>
          </w:tcPr>
          <w:p w14:paraId="6D7181D3" w14:textId="77777777" w:rsidR="00B563BC" w:rsidRPr="008A5C2E" w:rsidRDefault="00B563BC" w:rsidP="009146AE">
            <w:pPr>
              <w:pStyle w:val="Tableheaderrow"/>
              <w:spacing w:after="60"/>
            </w:pPr>
            <w:bookmarkStart w:id="112" w:name="guides"/>
          </w:p>
        </w:tc>
        <w:tc>
          <w:tcPr>
            <w:tcW w:w="1049" w:type="dxa"/>
            <w:shd w:val="clear" w:color="auto" w:fill="C00000"/>
            <w:tcMar>
              <w:top w:w="0" w:type="dxa"/>
              <w:left w:w="80" w:type="dxa"/>
              <w:bottom w:w="0" w:type="dxa"/>
              <w:right w:w="0" w:type="dxa"/>
            </w:tcMar>
            <w:vAlign w:val="center"/>
          </w:tcPr>
          <w:p w14:paraId="368E5A70" w14:textId="77777777" w:rsidR="00B563BC" w:rsidRPr="008A5C2E" w:rsidRDefault="00B563BC" w:rsidP="009146AE">
            <w:pPr>
              <w:pStyle w:val="Tableheaderrow"/>
              <w:spacing w:after="60"/>
            </w:pPr>
            <w:r w:rsidRPr="008A5C2E">
              <w:t>Edition of AMA</w:t>
            </w:r>
          </w:p>
        </w:tc>
        <w:tc>
          <w:tcPr>
            <w:tcW w:w="1049" w:type="dxa"/>
            <w:shd w:val="clear" w:color="auto" w:fill="C00000"/>
            <w:tcMar>
              <w:top w:w="0" w:type="dxa"/>
              <w:left w:w="80" w:type="dxa"/>
              <w:bottom w:w="0" w:type="dxa"/>
              <w:right w:w="0" w:type="dxa"/>
            </w:tcMar>
            <w:vAlign w:val="center"/>
          </w:tcPr>
          <w:p w14:paraId="0E304BFD" w14:textId="77777777" w:rsidR="00B563BC" w:rsidRPr="008A5C2E" w:rsidRDefault="00B563BC" w:rsidP="009146AE">
            <w:pPr>
              <w:pStyle w:val="Tableheaderrow"/>
              <w:spacing w:after="60"/>
            </w:pPr>
            <w:r w:rsidRPr="008A5C2E">
              <w:t>Format</w:t>
            </w:r>
          </w:p>
        </w:tc>
        <w:tc>
          <w:tcPr>
            <w:tcW w:w="7116" w:type="dxa"/>
            <w:shd w:val="clear" w:color="auto" w:fill="C00000"/>
            <w:tcMar>
              <w:top w:w="0" w:type="dxa"/>
              <w:left w:w="80" w:type="dxa"/>
              <w:bottom w:w="0" w:type="dxa"/>
              <w:right w:w="0" w:type="dxa"/>
            </w:tcMar>
            <w:vAlign w:val="center"/>
          </w:tcPr>
          <w:p w14:paraId="6DDFDF75" w14:textId="1AEE852B" w:rsidR="00B563BC" w:rsidRPr="008A5C2E" w:rsidRDefault="00B563BC" w:rsidP="009146AE">
            <w:pPr>
              <w:pStyle w:val="Tableheaderrow"/>
              <w:spacing w:after="60"/>
            </w:pPr>
            <w:r w:rsidRPr="008A5C2E">
              <w:t>Substituted/removed</w:t>
            </w:r>
            <w:r w:rsidR="00376626">
              <w:fldChar w:fldCharType="begin"/>
            </w:r>
            <w:r w:rsidR="00376626">
              <w:instrText xml:space="preserve"> XE "</w:instrText>
            </w:r>
            <w:r w:rsidR="00376626" w:rsidRPr="00280156">
              <w:instrText>permanent impairment:guidelines</w:instrText>
            </w:r>
            <w:r w:rsidR="00376626">
              <w:instrText xml:space="preserve">" \r "guides" </w:instrText>
            </w:r>
            <w:r w:rsidR="00376626">
              <w:fldChar w:fldCharType="end"/>
            </w:r>
          </w:p>
        </w:tc>
        <w:tc>
          <w:tcPr>
            <w:tcW w:w="4581" w:type="dxa"/>
            <w:shd w:val="clear" w:color="auto" w:fill="C00000"/>
            <w:tcMar>
              <w:top w:w="0" w:type="dxa"/>
              <w:left w:w="142" w:type="dxa"/>
              <w:bottom w:w="0" w:type="dxa"/>
              <w:right w:w="0" w:type="dxa"/>
            </w:tcMar>
            <w:vAlign w:val="center"/>
          </w:tcPr>
          <w:p w14:paraId="408C6E56" w14:textId="77777777" w:rsidR="00B563BC" w:rsidRPr="008A5C2E" w:rsidRDefault="00B563BC" w:rsidP="009146AE">
            <w:pPr>
              <w:pStyle w:val="Tableheaderrow"/>
              <w:spacing w:after="60"/>
            </w:pPr>
            <w:r w:rsidRPr="008A5C2E">
              <w:t>Authorisation of the guide</w:t>
            </w:r>
          </w:p>
        </w:tc>
      </w:tr>
      <w:tr w:rsidR="00B563BC" w:rsidRPr="00B563BC" w14:paraId="1E265CDE" w14:textId="77777777" w:rsidTr="00E80FC6">
        <w:tc>
          <w:tcPr>
            <w:tcW w:w="1701" w:type="dxa"/>
            <w:shd w:val="clear" w:color="auto" w:fill="FFC9C9"/>
            <w:tcMar>
              <w:top w:w="80" w:type="dxa"/>
              <w:left w:w="80" w:type="dxa"/>
              <w:bottom w:w="80" w:type="dxa"/>
              <w:right w:w="80" w:type="dxa"/>
            </w:tcMar>
          </w:tcPr>
          <w:p w14:paraId="308E99B8"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New South Wales</w:t>
            </w:r>
          </w:p>
        </w:tc>
        <w:tc>
          <w:tcPr>
            <w:tcW w:w="1049" w:type="dxa"/>
            <w:shd w:val="clear" w:color="auto" w:fill="FFC9C9"/>
            <w:tcMar>
              <w:top w:w="80" w:type="dxa"/>
              <w:left w:w="80" w:type="dxa"/>
              <w:bottom w:w="80" w:type="dxa"/>
              <w:right w:w="80" w:type="dxa"/>
            </w:tcMar>
          </w:tcPr>
          <w:p w14:paraId="69ABF88A" w14:textId="7F56B247"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5th Edition</w:t>
            </w:r>
          </w:p>
        </w:tc>
        <w:tc>
          <w:tcPr>
            <w:tcW w:w="1049" w:type="dxa"/>
            <w:shd w:val="clear" w:color="auto" w:fill="FFC9C9"/>
            <w:tcMar>
              <w:top w:w="80" w:type="dxa"/>
              <w:left w:w="80" w:type="dxa"/>
              <w:bottom w:w="80" w:type="dxa"/>
              <w:right w:w="80" w:type="dxa"/>
            </w:tcMar>
          </w:tcPr>
          <w:p w14:paraId="056AB807" w14:textId="3C023CD6"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Modifier 1</w:t>
            </w:r>
          </w:p>
        </w:tc>
        <w:tc>
          <w:tcPr>
            <w:tcW w:w="7116" w:type="dxa"/>
            <w:shd w:val="clear" w:color="auto" w:fill="FFC9C9"/>
            <w:tcMar>
              <w:top w:w="80" w:type="dxa"/>
              <w:left w:w="80" w:type="dxa"/>
              <w:bottom w:w="80" w:type="dxa"/>
              <w:right w:w="80" w:type="dxa"/>
            </w:tcMar>
          </w:tcPr>
          <w:p w14:paraId="6A229B9D" w14:textId="77777777" w:rsidR="00B563BC" w:rsidRPr="00B563BC" w:rsidRDefault="00B563BC" w:rsidP="009146AE">
            <w:pPr>
              <w:spacing w:after="60"/>
              <w:contextualSpacing/>
              <w:rPr>
                <w:rFonts w:cs="Arial"/>
                <w:color w:val="000000"/>
                <w:sz w:val="14"/>
                <w:szCs w:val="16"/>
                <w:lang w:val="en-GB"/>
              </w:rPr>
            </w:pPr>
            <w:r w:rsidRPr="00522B6B">
              <w:rPr>
                <w:rFonts w:cs="Arial"/>
                <w:i/>
                <w:color w:val="000000"/>
                <w:sz w:val="14"/>
                <w:szCs w:val="16"/>
                <w:lang w:val="en-GB"/>
              </w:rPr>
              <w:t xml:space="preserve">NSW Workers compensation guidelines for the evaluation of permanent impairment </w:t>
            </w:r>
            <w:r w:rsidRPr="00A627D5">
              <w:rPr>
                <w:rFonts w:cs="Arial"/>
                <w:color w:val="000000"/>
                <w:sz w:val="14"/>
                <w:szCs w:val="16"/>
                <w:lang w:val="en-GB"/>
              </w:rPr>
              <w:t xml:space="preserve">- fourth edition </w:t>
            </w:r>
            <w:r w:rsidRPr="00B563BC">
              <w:rPr>
                <w:rFonts w:cs="Arial"/>
                <w:color w:val="000000"/>
                <w:sz w:val="14"/>
                <w:szCs w:val="16"/>
                <w:lang w:val="en-GB"/>
              </w:rPr>
              <w:t>(Guidelines), modify several Chapters in AMA5.</w:t>
            </w:r>
          </w:p>
          <w:p w14:paraId="4CB8C348" w14:textId="77777777"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Removed: Chapter 18 Pain.</w:t>
            </w:r>
          </w:p>
          <w:p w14:paraId="6728748D" w14:textId="77777777"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Substituted:</w:t>
            </w:r>
          </w:p>
          <w:p w14:paraId="160C256F" w14:textId="0BD07798" w:rsidR="00B563BC" w:rsidRPr="00B563BC" w:rsidRDefault="00B563BC" w:rsidP="00F839DB">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 xml:space="preserve">Vision </w:t>
            </w:r>
            <w:r w:rsidR="00957045">
              <w:rPr>
                <w:rFonts w:eastAsia="Calibri" w:cs="Arial"/>
                <w:sz w:val="14"/>
                <w:szCs w:val="14"/>
                <w:lang w:eastAsia="en-US"/>
              </w:rPr>
              <w:t>—</w:t>
            </w:r>
            <w:r w:rsidR="00957045" w:rsidRPr="00B563BC">
              <w:rPr>
                <w:rFonts w:eastAsia="Calibri" w:cs="Arial"/>
                <w:sz w:val="14"/>
                <w:szCs w:val="14"/>
                <w:lang w:eastAsia="en-US"/>
              </w:rPr>
              <w:t xml:space="preserve"> </w:t>
            </w:r>
            <w:r w:rsidRPr="00B563BC">
              <w:rPr>
                <w:rFonts w:eastAsia="Calibri" w:cs="Arial"/>
                <w:sz w:val="14"/>
                <w:szCs w:val="14"/>
                <w:lang w:eastAsia="en-US"/>
              </w:rPr>
              <w:t xml:space="preserve">AMA4 </w:t>
            </w:r>
          </w:p>
          <w:p w14:paraId="6B04CF7D" w14:textId="5788B88A" w:rsidR="00B563BC" w:rsidRPr="00B563BC" w:rsidRDefault="00B563BC" w:rsidP="00F839DB">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 xml:space="preserve">Psychiatric and Psychological Disorders </w:t>
            </w:r>
            <w:r w:rsidR="0013176A">
              <w:rPr>
                <w:rFonts w:eastAsia="Calibri" w:cs="Arial"/>
                <w:sz w:val="14"/>
                <w:szCs w:val="14"/>
                <w:lang w:eastAsia="en-US"/>
              </w:rPr>
              <w:t>—</w:t>
            </w:r>
            <w:r w:rsidR="0013176A" w:rsidRPr="00B563BC">
              <w:rPr>
                <w:rFonts w:eastAsia="Calibri" w:cs="Arial"/>
                <w:sz w:val="14"/>
                <w:szCs w:val="14"/>
                <w:lang w:eastAsia="en-US"/>
              </w:rPr>
              <w:t xml:space="preserve"> </w:t>
            </w:r>
            <w:r w:rsidRPr="00B563BC">
              <w:rPr>
                <w:rFonts w:eastAsia="Calibri" w:cs="Arial"/>
                <w:sz w:val="14"/>
                <w:szCs w:val="14"/>
                <w:lang w:eastAsia="en-US"/>
              </w:rPr>
              <w:t>Chapter 11,</w:t>
            </w:r>
            <w:r w:rsidR="00DD0D68">
              <w:rPr>
                <w:rFonts w:eastAsia="Calibri" w:cs="Arial"/>
                <w:sz w:val="14"/>
                <w:szCs w:val="14"/>
                <w:lang w:eastAsia="en-US"/>
              </w:rPr>
              <w:t xml:space="preserve"> </w:t>
            </w:r>
            <w:r w:rsidRPr="00B563BC">
              <w:rPr>
                <w:rFonts w:eastAsia="Calibri" w:cs="Arial"/>
                <w:sz w:val="14"/>
                <w:szCs w:val="14"/>
                <w:lang w:eastAsia="en-US"/>
              </w:rPr>
              <w:t>Guidelines, and</w:t>
            </w:r>
          </w:p>
          <w:p w14:paraId="5B8D3231" w14:textId="77777777" w:rsidR="00B563BC" w:rsidRDefault="00B563BC" w:rsidP="00F839DB">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Hearing -</w:t>
            </w:r>
            <w:r w:rsidR="00DD0D68">
              <w:rPr>
                <w:rFonts w:eastAsia="Calibri" w:cs="Arial"/>
                <w:sz w:val="14"/>
                <w:szCs w:val="14"/>
                <w:lang w:eastAsia="en-US"/>
              </w:rPr>
              <w:t xml:space="preserve"> </w:t>
            </w:r>
            <w:r w:rsidRPr="00B563BC">
              <w:rPr>
                <w:rFonts w:eastAsia="Calibri" w:cs="Arial"/>
                <w:sz w:val="14"/>
                <w:szCs w:val="14"/>
                <w:lang w:eastAsia="en-US"/>
              </w:rPr>
              <w:t>Chapter 9, Guidelines, with some reference to AMA5 (Chapter 11, pp 245–251), but uses National Acoustic Laboratory (NAL) Tables from the NAL Report No 118, Improved Procedure for Determining Percentage Loss of Hearing, January 1988</w:t>
            </w:r>
            <w:r w:rsidR="000D3C6D">
              <w:rPr>
                <w:rFonts w:eastAsia="Calibri" w:cs="Arial"/>
                <w:sz w:val="14"/>
                <w:szCs w:val="14"/>
                <w:lang w:eastAsia="en-US"/>
              </w:rPr>
              <w:t>.</w:t>
            </w:r>
          </w:p>
          <w:p w14:paraId="3298E925" w14:textId="709A387B" w:rsidR="00AC7669" w:rsidRPr="00B563BC" w:rsidRDefault="00AC7669" w:rsidP="00F839DB">
            <w:pPr>
              <w:pStyle w:val="ListParagraph"/>
              <w:numPr>
                <w:ilvl w:val="0"/>
                <w:numId w:val="101"/>
              </w:numPr>
              <w:spacing w:after="60"/>
              <w:contextualSpacing/>
              <w:rPr>
                <w:rFonts w:eastAsia="Calibri" w:cs="Arial"/>
                <w:sz w:val="14"/>
                <w:szCs w:val="14"/>
                <w:lang w:eastAsia="en-US"/>
              </w:rPr>
            </w:pPr>
            <w:r>
              <w:rPr>
                <w:rFonts w:eastAsia="Calibri" w:cs="Arial"/>
                <w:sz w:val="14"/>
                <w:szCs w:val="14"/>
                <w:lang w:eastAsia="en-US"/>
              </w:rPr>
              <w:t>Evaluation of permanent impairment arising from chronic pain — Chapter 17, used for Complex Regional Pain Syndrome types 1 and 2.</w:t>
            </w:r>
          </w:p>
        </w:tc>
        <w:tc>
          <w:tcPr>
            <w:tcW w:w="4581" w:type="dxa"/>
            <w:shd w:val="clear" w:color="auto" w:fill="FFC9C9"/>
            <w:tcMar>
              <w:top w:w="80" w:type="dxa"/>
              <w:left w:w="142" w:type="dxa"/>
              <w:bottom w:w="80" w:type="dxa"/>
              <w:right w:w="80" w:type="dxa"/>
            </w:tcMar>
          </w:tcPr>
          <w:p w14:paraId="2F34F84D" w14:textId="6B6DB7D5" w:rsidR="00B563BC" w:rsidRPr="00B563BC" w:rsidRDefault="00A7538C" w:rsidP="009146AE">
            <w:pPr>
              <w:spacing w:after="60"/>
              <w:contextualSpacing/>
              <w:rPr>
                <w:rFonts w:cs="Arial"/>
                <w:color w:val="000000"/>
                <w:sz w:val="14"/>
                <w:szCs w:val="16"/>
                <w:lang w:val="en-GB"/>
              </w:rPr>
            </w:pPr>
            <w:hyperlink r:id="rId857" w:history="1">
              <w:r w:rsidR="00737431" w:rsidRPr="00AE20BE">
                <w:rPr>
                  <w:rStyle w:val="Hyperlink"/>
                  <w:rFonts w:cs="Arial"/>
                  <w:sz w:val="14"/>
                  <w:szCs w:val="16"/>
                </w:rPr>
                <w:t>s376</w:t>
              </w:r>
            </w:hyperlink>
            <w:r w:rsidR="00737431" w:rsidRPr="00737431">
              <w:rPr>
                <w:rFonts w:cs="Arial"/>
                <w:color w:val="000000"/>
                <w:sz w:val="14"/>
                <w:szCs w:val="16"/>
              </w:rPr>
              <w:t xml:space="preserve"> </w:t>
            </w:r>
            <w:r w:rsidR="007E22F0" w:rsidRPr="00016069">
              <w:rPr>
                <w:i/>
                <w:sz w:val="14"/>
              </w:rPr>
              <w:t>Workplace Injury Management and</w:t>
            </w:r>
            <w:r w:rsidR="007E22F0">
              <w:rPr>
                <w:i/>
                <w:sz w:val="14"/>
              </w:rPr>
              <w:t xml:space="preserve"> Workers Compensation Act 1998</w:t>
            </w:r>
          </w:p>
        </w:tc>
      </w:tr>
      <w:tr w:rsidR="00B563BC" w:rsidRPr="00B563BC" w14:paraId="37148875" w14:textId="77777777" w:rsidTr="00E80FC6">
        <w:tc>
          <w:tcPr>
            <w:tcW w:w="1701" w:type="dxa"/>
            <w:tcMar>
              <w:top w:w="80" w:type="dxa"/>
              <w:left w:w="80" w:type="dxa"/>
              <w:bottom w:w="80" w:type="dxa"/>
              <w:right w:w="80" w:type="dxa"/>
            </w:tcMar>
          </w:tcPr>
          <w:p w14:paraId="40C581A5"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Victoria</w:t>
            </w:r>
          </w:p>
        </w:tc>
        <w:tc>
          <w:tcPr>
            <w:tcW w:w="1049" w:type="dxa"/>
            <w:tcMar>
              <w:top w:w="80" w:type="dxa"/>
              <w:left w:w="80" w:type="dxa"/>
              <w:bottom w:w="80" w:type="dxa"/>
              <w:right w:w="80" w:type="dxa"/>
            </w:tcMar>
          </w:tcPr>
          <w:p w14:paraId="740B7E57" w14:textId="28DF433E"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4th Edition</w:t>
            </w:r>
          </w:p>
          <w:p w14:paraId="77FAC2EB" w14:textId="77777777" w:rsidR="00B563BC" w:rsidRPr="00B563BC" w:rsidRDefault="00B563BC" w:rsidP="009146AE">
            <w:pPr>
              <w:spacing w:after="60"/>
              <w:contextualSpacing/>
              <w:rPr>
                <w:rFonts w:cs="Arial"/>
                <w:color w:val="000000"/>
                <w:sz w:val="14"/>
                <w:szCs w:val="16"/>
                <w:lang w:val="en-GB"/>
              </w:rPr>
            </w:pPr>
          </w:p>
        </w:tc>
        <w:tc>
          <w:tcPr>
            <w:tcW w:w="1049" w:type="dxa"/>
            <w:tcMar>
              <w:top w:w="80" w:type="dxa"/>
              <w:left w:w="80" w:type="dxa"/>
              <w:bottom w:w="80" w:type="dxa"/>
              <w:right w:w="80" w:type="dxa"/>
            </w:tcMar>
          </w:tcPr>
          <w:p w14:paraId="6A14A030" w14:textId="66F9C3F0"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Designator 2</w:t>
            </w:r>
          </w:p>
        </w:tc>
        <w:tc>
          <w:tcPr>
            <w:tcW w:w="7116" w:type="dxa"/>
            <w:tcMar>
              <w:top w:w="80" w:type="dxa"/>
              <w:left w:w="80" w:type="dxa"/>
              <w:bottom w:w="80" w:type="dxa"/>
              <w:right w:w="80" w:type="dxa"/>
            </w:tcMar>
          </w:tcPr>
          <w:p w14:paraId="34524427"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Statutory removal: Chapter 15 Pain.</w:t>
            </w:r>
          </w:p>
          <w:p w14:paraId="530D6987"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 xml:space="preserve">Statutory Guideline Substitutions: </w:t>
            </w:r>
          </w:p>
          <w:p w14:paraId="44964652"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Chapter 9 s9.1a Hearing replaced with the Improved Procedures for Determination of Percentage Loss of Hearing (1988 Edition or later prescribed edition).</w:t>
            </w:r>
          </w:p>
          <w:p w14:paraId="54148F4E"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Chapter 14 Mental and Behavioural Disorders replaced with The Guide to the Evaluation of Psychiatric Impairment for Clinicians.</w:t>
            </w:r>
          </w:p>
          <w:p w14:paraId="33CA832C"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Omit from s3.3d of Chapter 3: ‘with the Injury Model, surgery to treat an impairment does not modify the original impairment estimate, which remains the same in spite of any changes in signs or symptoms that may follow the surgery and irrespective of whether the patient has a favourable or unfavourable response to treatment’.</w:t>
            </w:r>
          </w:p>
          <w:p w14:paraId="7B16EEAC"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Replaced with: the degree of impairment resulting from an injury must be made after the injury has stabilised and based on the worker’s current impairment as at the date of the assessment, including any changes in the signs and symptoms following any medical or surgical treatment undergone by the worker in respect of the injury.</w:t>
            </w:r>
          </w:p>
          <w:p w14:paraId="39CF2576"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Specified assessments of spinal impairment are to specify the whole person values derived in accordance with s3.3 of Chapter 3 of the AMA Guides.</w:t>
            </w:r>
          </w:p>
          <w:p w14:paraId="5ADCE5C6" w14:textId="77777777" w:rsidR="00B563BC" w:rsidRPr="00B563BC" w:rsidRDefault="00B563BC" w:rsidP="00F839DB">
            <w:pPr>
              <w:pStyle w:val="ListParagraph"/>
              <w:numPr>
                <w:ilvl w:val="0"/>
                <w:numId w:val="100"/>
              </w:numPr>
              <w:spacing w:after="60"/>
              <w:ind w:left="357" w:hanging="357"/>
              <w:contextualSpacing/>
              <w:rPr>
                <w:rFonts w:eastAsia="Calibri" w:cs="Arial"/>
                <w:sz w:val="14"/>
                <w:szCs w:val="14"/>
                <w:lang w:eastAsia="en-US"/>
              </w:rPr>
            </w:pPr>
            <w:r w:rsidRPr="00B563BC">
              <w:rPr>
                <w:rFonts w:eastAsia="Calibri" w:cs="Arial"/>
                <w:sz w:val="14"/>
                <w:szCs w:val="14"/>
                <w:lang w:eastAsia="en-US"/>
              </w:rPr>
              <w:t>Statutory Guideline Extensions:</w:t>
            </w:r>
          </w:p>
          <w:p w14:paraId="5ADBE48D" w14:textId="365EBB64" w:rsidR="00B53968" w:rsidRDefault="00B563BC" w:rsidP="00F839DB">
            <w:pPr>
              <w:pStyle w:val="ListParagraph"/>
              <w:numPr>
                <w:ilvl w:val="1"/>
                <w:numId w:val="533"/>
              </w:numPr>
              <w:spacing w:after="60"/>
              <w:ind w:left="1083" w:hanging="426"/>
              <w:contextualSpacing/>
              <w:rPr>
                <w:rFonts w:cs="Arial"/>
                <w:color w:val="000000"/>
                <w:sz w:val="14"/>
                <w:szCs w:val="16"/>
                <w:lang w:val="en-GB"/>
              </w:rPr>
            </w:pPr>
            <w:r w:rsidRPr="00B53968">
              <w:rPr>
                <w:rFonts w:cs="Arial"/>
                <w:color w:val="000000"/>
                <w:sz w:val="14"/>
                <w:szCs w:val="16"/>
                <w:lang w:val="en-GB"/>
              </w:rPr>
              <w:t>Impairment Assessment in Wo</w:t>
            </w:r>
            <w:r w:rsidR="00B53968">
              <w:rPr>
                <w:rFonts w:cs="Arial"/>
                <w:color w:val="000000"/>
                <w:sz w:val="14"/>
                <w:szCs w:val="16"/>
                <w:lang w:val="en-GB"/>
              </w:rPr>
              <w:t>rkers with Occupational Asthma, and</w:t>
            </w:r>
          </w:p>
          <w:p w14:paraId="13903613" w14:textId="40DBCF49" w:rsidR="00B563BC" w:rsidRPr="00B53968" w:rsidRDefault="00B563BC" w:rsidP="00F839DB">
            <w:pPr>
              <w:pStyle w:val="ListParagraph"/>
              <w:numPr>
                <w:ilvl w:val="1"/>
                <w:numId w:val="533"/>
              </w:numPr>
              <w:spacing w:after="60"/>
              <w:ind w:left="1083" w:hanging="426"/>
              <w:contextualSpacing/>
              <w:rPr>
                <w:rFonts w:cs="Arial"/>
                <w:color w:val="000000"/>
                <w:sz w:val="14"/>
                <w:szCs w:val="16"/>
                <w:lang w:val="en-GB"/>
              </w:rPr>
            </w:pPr>
            <w:r w:rsidRPr="00B53968">
              <w:rPr>
                <w:rFonts w:cs="Arial"/>
                <w:color w:val="000000"/>
                <w:sz w:val="14"/>
                <w:szCs w:val="16"/>
                <w:lang w:val="en-GB"/>
              </w:rPr>
              <w:t>Clinical Guidelines to the Rating of Impairments arising from Infectious Occupational Diseases.</w:t>
            </w:r>
          </w:p>
        </w:tc>
        <w:tc>
          <w:tcPr>
            <w:tcW w:w="4581" w:type="dxa"/>
            <w:tcMar>
              <w:top w:w="80" w:type="dxa"/>
              <w:left w:w="142" w:type="dxa"/>
              <w:bottom w:w="80" w:type="dxa"/>
              <w:right w:w="80" w:type="dxa"/>
            </w:tcMar>
          </w:tcPr>
          <w:p w14:paraId="5D343650" w14:textId="7ADD8BFD" w:rsidR="00B563BC" w:rsidRPr="00B563BC" w:rsidRDefault="00A7538C" w:rsidP="00957045">
            <w:pPr>
              <w:spacing w:after="60"/>
              <w:contextualSpacing/>
              <w:rPr>
                <w:rFonts w:cs="Arial"/>
                <w:color w:val="000000"/>
                <w:sz w:val="14"/>
                <w:szCs w:val="16"/>
                <w:lang w:val="en-GB"/>
              </w:rPr>
            </w:pPr>
            <w:hyperlink r:id="rId858" w:history="1">
              <w:r w:rsidR="00B563BC" w:rsidRPr="00AE20BE">
                <w:rPr>
                  <w:rStyle w:val="Hyperlink"/>
                  <w:rFonts w:cs="Arial"/>
                  <w:sz w:val="14"/>
                  <w:szCs w:val="16"/>
                  <w:lang w:val="en-GB"/>
                </w:rPr>
                <w:t>ss64</w:t>
              </w:r>
            </w:hyperlink>
            <w:r w:rsidR="00B563BC" w:rsidRPr="00B563BC">
              <w:rPr>
                <w:rFonts w:cs="Arial"/>
                <w:color w:val="000000"/>
                <w:sz w:val="14"/>
                <w:szCs w:val="16"/>
                <w:lang w:val="en-GB"/>
              </w:rPr>
              <w:t xml:space="preserve"> </w:t>
            </w:r>
            <w:r w:rsidR="00957045">
              <w:rPr>
                <w:rFonts w:cs="Arial"/>
                <w:color w:val="000000"/>
                <w:sz w:val="14"/>
                <w:szCs w:val="16"/>
                <w:lang w:val="en-GB"/>
              </w:rPr>
              <w:t>—</w:t>
            </w:r>
            <w:r w:rsidR="00957045" w:rsidRPr="00B563BC">
              <w:rPr>
                <w:rFonts w:cs="Arial"/>
                <w:color w:val="000000"/>
                <w:sz w:val="14"/>
                <w:szCs w:val="16"/>
                <w:lang w:val="en-GB"/>
              </w:rPr>
              <w:t xml:space="preserve"> </w:t>
            </w:r>
            <w:hyperlink r:id="rId859" w:history="1">
              <w:r w:rsidR="00B563BC" w:rsidRPr="00AE20BE">
                <w:rPr>
                  <w:rStyle w:val="Hyperlink"/>
                  <w:rFonts w:cs="Arial"/>
                  <w:sz w:val="14"/>
                  <w:szCs w:val="16"/>
                  <w:lang w:val="en-GB"/>
                </w:rPr>
                <w:t>66</w:t>
              </w:r>
            </w:hyperlink>
            <w:r w:rsidR="00B563BC" w:rsidRPr="00B563BC">
              <w:rPr>
                <w:rFonts w:cs="Arial"/>
                <w:color w:val="000000"/>
                <w:sz w:val="14"/>
                <w:szCs w:val="16"/>
                <w:lang w:val="en-GB"/>
              </w:rPr>
              <w:t xml:space="preserve"> and </w:t>
            </w:r>
            <w:hyperlink r:id="rId860" w:history="1">
              <w:r w:rsidR="00B563BC" w:rsidRPr="00AE20BE">
                <w:rPr>
                  <w:rStyle w:val="Hyperlink"/>
                  <w:rFonts w:cs="Arial"/>
                  <w:sz w:val="14"/>
                  <w:szCs w:val="16"/>
                  <w:lang w:val="en-GB"/>
                </w:rPr>
                <w:t>s68</w:t>
              </w:r>
            </w:hyperlink>
            <w:r w:rsidR="00B563BC" w:rsidRPr="00B563BC">
              <w:rPr>
                <w:rFonts w:cs="Arial"/>
                <w:color w:val="000000"/>
                <w:sz w:val="14"/>
                <w:szCs w:val="16"/>
                <w:lang w:val="en-GB"/>
              </w:rPr>
              <w:t xml:space="preserve"> </w:t>
            </w:r>
            <w:r w:rsidR="00B563BC" w:rsidRPr="00A86C32">
              <w:rPr>
                <w:rFonts w:cs="Arial"/>
                <w:i/>
                <w:color w:val="000000"/>
                <w:sz w:val="14"/>
                <w:szCs w:val="16"/>
                <w:lang w:val="en-GB"/>
              </w:rPr>
              <w:t>Workplace Injury Rehabilitation and Compensation Act 2013</w:t>
            </w:r>
          </w:p>
        </w:tc>
      </w:tr>
      <w:tr w:rsidR="00B563BC" w:rsidRPr="00B563BC" w14:paraId="4EC6AB13" w14:textId="77777777" w:rsidTr="00E80FC6">
        <w:tc>
          <w:tcPr>
            <w:tcW w:w="1701" w:type="dxa"/>
            <w:shd w:val="clear" w:color="auto" w:fill="FFC9C9"/>
            <w:tcMar>
              <w:top w:w="80" w:type="dxa"/>
              <w:left w:w="80" w:type="dxa"/>
              <w:bottom w:w="80" w:type="dxa"/>
              <w:right w:w="80" w:type="dxa"/>
            </w:tcMar>
          </w:tcPr>
          <w:p w14:paraId="29C3D1D6"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Queensland</w:t>
            </w:r>
          </w:p>
        </w:tc>
        <w:tc>
          <w:tcPr>
            <w:tcW w:w="1049" w:type="dxa"/>
            <w:shd w:val="clear" w:color="auto" w:fill="FFC9C9"/>
            <w:tcMar>
              <w:top w:w="80" w:type="dxa"/>
              <w:left w:w="80" w:type="dxa"/>
              <w:bottom w:w="80" w:type="dxa"/>
              <w:right w:w="80" w:type="dxa"/>
            </w:tcMar>
          </w:tcPr>
          <w:p w14:paraId="5855D6B5" w14:textId="789C0002"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5th Edition</w:t>
            </w:r>
          </w:p>
        </w:tc>
        <w:tc>
          <w:tcPr>
            <w:tcW w:w="1049" w:type="dxa"/>
            <w:shd w:val="clear" w:color="auto" w:fill="FFC9C9"/>
            <w:tcMar>
              <w:top w:w="80" w:type="dxa"/>
              <w:left w:w="80" w:type="dxa"/>
              <w:bottom w:w="80" w:type="dxa"/>
              <w:right w:w="80" w:type="dxa"/>
            </w:tcMar>
          </w:tcPr>
          <w:p w14:paraId="4D6C4398" w14:textId="1FCCBCCE" w:rsidR="00B563BC" w:rsidRPr="00B563BC" w:rsidRDefault="00854AFF" w:rsidP="009146AE">
            <w:pPr>
              <w:spacing w:after="60"/>
              <w:contextualSpacing/>
              <w:rPr>
                <w:rFonts w:cs="Arial"/>
                <w:color w:val="000000"/>
                <w:sz w:val="14"/>
                <w:szCs w:val="16"/>
                <w:lang w:val="en-GB"/>
              </w:rPr>
            </w:pPr>
            <w:r>
              <w:rPr>
                <w:rFonts w:cs="Arial"/>
                <w:color w:val="000000"/>
                <w:sz w:val="14"/>
                <w:szCs w:val="16"/>
                <w:lang w:val="en-GB"/>
              </w:rPr>
              <w:t>Modifier 1</w:t>
            </w:r>
          </w:p>
        </w:tc>
        <w:tc>
          <w:tcPr>
            <w:tcW w:w="7116" w:type="dxa"/>
            <w:shd w:val="clear" w:color="auto" w:fill="FFC9C9"/>
            <w:tcMar>
              <w:top w:w="80" w:type="dxa"/>
              <w:left w:w="80" w:type="dxa"/>
              <w:bottom w:w="80" w:type="dxa"/>
              <w:right w:w="80" w:type="dxa"/>
            </w:tcMar>
          </w:tcPr>
          <w:p w14:paraId="4D6A0971" w14:textId="77777777"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 xml:space="preserve">The </w:t>
            </w:r>
            <w:hyperlink r:id="rId861" w:history="1">
              <w:r w:rsidRPr="00522B6B">
                <w:rPr>
                  <w:rFonts w:cs="Arial"/>
                  <w:i/>
                  <w:color w:val="0000FF"/>
                  <w:sz w:val="14"/>
                  <w:szCs w:val="16"/>
                  <w:u w:val="single"/>
                  <w:lang w:val="en-GB"/>
                </w:rPr>
                <w:t>Guidelines for Evaluation of Permanent Impairment</w:t>
              </w:r>
            </w:hyperlink>
            <w:r w:rsidRPr="00B563BC">
              <w:rPr>
                <w:rFonts w:cs="Arial"/>
                <w:color w:val="000000"/>
                <w:sz w:val="14"/>
                <w:szCs w:val="16"/>
                <w:lang w:val="en-GB"/>
              </w:rPr>
              <w:t xml:space="preserve"> (the Queensland Guide) is Queensland’s guide for assessing permanent impairment. It is predominan</w:t>
            </w:r>
            <w:r w:rsidR="00A37B95">
              <w:rPr>
                <w:rFonts w:cs="Arial"/>
                <w:color w:val="000000"/>
                <w:sz w:val="14"/>
                <w:szCs w:val="16"/>
                <w:lang w:val="en-GB"/>
              </w:rPr>
              <w:t>tly based on AMA</w:t>
            </w:r>
            <w:r w:rsidRPr="00B563BC">
              <w:rPr>
                <w:rFonts w:cs="Arial"/>
                <w:color w:val="000000"/>
                <w:sz w:val="14"/>
                <w:szCs w:val="16"/>
                <w:lang w:val="en-GB"/>
              </w:rPr>
              <w:t>5. Note that:</w:t>
            </w:r>
          </w:p>
          <w:p w14:paraId="77F90B1D" w14:textId="77777777" w:rsidR="00B563BC" w:rsidRPr="00B563BC" w:rsidRDefault="00B563BC" w:rsidP="00F839DB">
            <w:pPr>
              <w:pStyle w:val="ListParagraph"/>
              <w:numPr>
                <w:ilvl w:val="0"/>
                <w:numId w:val="102"/>
              </w:numPr>
              <w:spacing w:after="60"/>
              <w:contextualSpacing/>
              <w:rPr>
                <w:rFonts w:cs="Arial"/>
                <w:color w:val="000000"/>
                <w:sz w:val="14"/>
                <w:szCs w:val="16"/>
                <w:lang w:val="en-GB"/>
              </w:rPr>
            </w:pPr>
            <w:r w:rsidRPr="00B563BC">
              <w:rPr>
                <w:rFonts w:cs="Arial"/>
                <w:color w:val="000000"/>
                <w:sz w:val="14"/>
                <w:szCs w:val="16"/>
                <w:lang w:val="en-GB"/>
              </w:rPr>
              <w:t>Chapter 8, AMA4 applies to the assessment of permanent impairment of the visual system, subject to the modifications in the Queensland Guide.</w:t>
            </w:r>
          </w:p>
          <w:p w14:paraId="282C5A49" w14:textId="77777777" w:rsidR="00B563BC" w:rsidRPr="00B563BC" w:rsidRDefault="00B563BC" w:rsidP="00F839DB">
            <w:pPr>
              <w:pStyle w:val="ListParagraph"/>
              <w:numPr>
                <w:ilvl w:val="0"/>
                <w:numId w:val="102"/>
              </w:numPr>
              <w:spacing w:after="60"/>
              <w:contextualSpacing/>
              <w:rPr>
                <w:rFonts w:cs="Arial"/>
                <w:color w:val="000000"/>
                <w:sz w:val="14"/>
                <w:szCs w:val="16"/>
                <w:lang w:val="en-GB"/>
              </w:rPr>
            </w:pPr>
            <w:r w:rsidRPr="00B563BC">
              <w:rPr>
                <w:rFonts w:cs="Arial"/>
                <w:color w:val="000000"/>
                <w:sz w:val="14"/>
                <w:szCs w:val="16"/>
                <w:lang w:val="en-GB"/>
              </w:rPr>
              <w:t>evaluation of permanent impairment due to hearing loss adopts the methodology in the Queensland Guide (Chapter 9) based on AMA5 (Chapter 11, pp 245–251) and National Acoustic Laboratory (NAL) Tables from the NAL Report No 118, Improved Procedure for Determining Percentage Loss of Hearing, January 1988.</w:t>
            </w:r>
          </w:p>
          <w:p w14:paraId="48907B02" w14:textId="77777777" w:rsidR="00B563BC" w:rsidRPr="00B563BC" w:rsidRDefault="00B563BC" w:rsidP="00F839DB">
            <w:pPr>
              <w:pStyle w:val="ListParagraph"/>
              <w:numPr>
                <w:ilvl w:val="0"/>
                <w:numId w:val="102"/>
              </w:numPr>
              <w:spacing w:after="60"/>
              <w:contextualSpacing/>
              <w:rPr>
                <w:rFonts w:cs="Arial"/>
                <w:color w:val="000000"/>
                <w:sz w:val="14"/>
                <w:szCs w:val="16"/>
                <w:lang w:val="en-GB"/>
              </w:rPr>
            </w:pPr>
            <w:r w:rsidRPr="00B563BC">
              <w:rPr>
                <w:rFonts w:cs="Arial"/>
                <w:color w:val="000000"/>
                <w:sz w:val="14"/>
                <w:szCs w:val="16"/>
                <w:lang w:val="en-GB"/>
              </w:rPr>
              <w:t>the AMA5 chapter on pain (Chapter 18) is excluded. Conditions associated with chronic pain are assessed on the basis of the underlying diagnosed condition. Where pain is commonly associated with a condition, an allowance is made in the degree of impairment under the Queensland Guide. Complex regional pain syndrome is assessed in accordance with Chapter 17 of the Queensland Guide.</w:t>
            </w:r>
          </w:p>
        </w:tc>
        <w:tc>
          <w:tcPr>
            <w:tcW w:w="4581" w:type="dxa"/>
            <w:shd w:val="clear" w:color="auto" w:fill="FFC9C9"/>
            <w:tcMar>
              <w:top w:w="80" w:type="dxa"/>
              <w:left w:w="142" w:type="dxa"/>
              <w:bottom w:w="80" w:type="dxa"/>
              <w:right w:w="80" w:type="dxa"/>
            </w:tcMar>
          </w:tcPr>
          <w:p w14:paraId="69CBE96B" w14:textId="0EB75E7F" w:rsidR="00B563BC" w:rsidRPr="00B563BC" w:rsidRDefault="00B563BC" w:rsidP="009146AE">
            <w:pPr>
              <w:spacing w:after="60"/>
              <w:contextualSpacing/>
              <w:rPr>
                <w:rFonts w:cs="Arial"/>
                <w:i/>
                <w:color w:val="000000"/>
                <w:sz w:val="14"/>
                <w:szCs w:val="16"/>
                <w:lang w:val="en-GB"/>
              </w:rPr>
            </w:pPr>
            <w:r w:rsidRPr="00B563BC">
              <w:rPr>
                <w:rFonts w:cs="Arial"/>
                <w:i/>
                <w:color w:val="000000"/>
                <w:sz w:val="14"/>
                <w:szCs w:val="16"/>
                <w:lang w:val="en-GB"/>
              </w:rPr>
              <w:t>Workers’ Compensation and Rehabilitation Regulation 2014</w:t>
            </w:r>
          </w:p>
        </w:tc>
      </w:tr>
      <w:tr w:rsidR="00B563BC" w:rsidRPr="00B563BC" w14:paraId="600DDE0D" w14:textId="77777777" w:rsidTr="00E80FC6">
        <w:tc>
          <w:tcPr>
            <w:tcW w:w="1701" w:type="dxa"/>
            <w:tcMar>
              <w:top w:w="80" w:type="dxa"/>
              <w:left w:w="80" w:type="dxa"/>
              <w:bottom w:w="80" w:type="dxa"/>
              <w:right w:w="80" w:type="dxa"/>
            </w:tcMar>
          </w:tcPr>
          <w:p w14:paraId="369DE5C0"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Western Australia</w:t>
            </w:r>
          </w:p>
        </w:tc>
        <w:tc>
          <w:tcPr>
            <w:tcW w:w="1049" w:type="dxa"/>
            <w:tcMar>
              <w:top w:w="80" w:type="dxa"/>
              <w:left w:w="80" w:type="dxa"/>
              <w:bottom w:w="80" w:type="dxa"/>
              <w:right w:w="80" w:type="dxa"/>
            </w:tcMar>
          </w:tcPr>
          <w:p w14:paraId="71C9F1DC" w14:textId="3A422222" w:rsidR="00B563BC" w:rsidRPr="00B563BC" w:rsidRDefault="00041991" w:rsidP="009146AE">
            <w:pPr>
              <w:spacing w:after="60"/>
              <w:rPr>
                <w:rFonts w:cs="Arial"/>
                <w:color w:val="000000"/>
                <w:sz w:val="14"/>
                <w:szCs w:val="16"/>
                <w:lang w:val="en-GB"/>
              </w:rPr>
            </w:pPr>
            <w:r>
              <w:rPr>
                <w:rFonts w:cs="Arial"/>
                <w:color w:val="000000"/>
                <w:sz w:val="14"/>
                <w:szCs w:val="16"/>
                <w:lang w:val="en-GB"/>
              </w:rPr>
              <w:t>5th Edition</w:t>
            </w:r>
          </w:p>
        </w:tc>
        <w:tc>
          <w:tcPr>
            <w:tcW w:w="1049" w:type="dxa"/>
            <w:tcMar>
              <w:top w:w="80" w:type="dxa"/>
              <w:left w:w="80" w:type="dxa"/>
              <w:bottom w:w="80" w:type="dxa"/>
              <w:right w:w="80" w:type="dxa"/>
            </w:tcMar>
          </w:tcPr>
          <w:p w14:paraId="07109C6A" w14:textId="16243F9B" w:rsidR="00B563BC" w:rsidRPr="00B563BC" w:rsidRDefault="00854AFF" w:rsidP="009146AE">
            <w:pPr>
              <w:spacing w:after="60"/>
              <w:rPr>
                <w:rFonts w:cs="Arial"/>
                <w:color w:val="000000"/>
                <w:sz w:val="14"/>
                <w:szCs w:val="16"/>
                <w:lang w:val="en-GB"/>
              </w:rPr>
            </w:pPr>
            <w:r>
              <w:rPr>
                <w:rFonts w:cs="Arial"/>
                <w:color w:val="000000"/>
                <w:sz w:val="14"/>
                <w:szCs w:val="16"/>
                <w:lang w:val="en-GB"/>
              </w:rPr>
              <w:t>Modifier 1</w:t>
            </w:r>
          </w:p>
        </w:tc>
        <w:tc>
          <w:tcPr>
            <w:tcW w:w="7116" w:type="dxa"/>
            <w:tcMar>
              <w:top w:w="80" w:type="dxa"/>
              <w:left w:w="80" w:type="dxa"/>
              <w:bottom w:w="80" w:type="dxa"/>
              <w:right w:w="80" w:type="dxa"/>
            </w:tcMar>
          </w:tcPr>
          <w:p w14:paraId="1ECADE14" w14:textId="705A5D81" w:rsidR="00E01069" w:rsidRDefault="00E01069" w:rsidP="009146AE">
            <w:pPr>
              <w:spacing w:after="60"/>
              <w:rPr>
                <w:rFonts w:cs="Arial"/>
                <w:color w:val="000000"/>
                <w:sz w:val="14"/>
                <w:szCs w:val="16"/>
                <w:lang w:val="en-GB"/>
              </w:rPr>
            </w:pPr>
            <w:r>
              <w:rPr>
                <w:rFonts w:cs="Arial"/>
                <w:color w:val="000000"/>
                <w:sz w:val="14"/>
                <w:szCs w:val="16"/>
                <w:lang w:val="en-GB"/>
              </w:rPr>
              <w:t>The WorkCover WA Guidelines are based on the Safe Work Australia template National Guidelines.</w:t>
            </w:r>
          </w:p>
          <w:p w14:paraId="234D51DF"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Removed: Chapter 18 AMA5 regarding assessment of pain is excluded.</w:t>
            </w:r>
          </w:p>
          <w:p w14:paraId="684A96CD"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lastRenderedPageBreak/>
              <w:t>Substituted:</w:t>
            </w:r>
          </w:p>
          <w:p w14:paraId="1088188F" w14:textId="77777777" w:rsidR="00B563BC" w:rsidRPr="00F66868" w:rsidRDefault="00B563BC" w:rsidP="00F839DB">
            <w:pPr>
              <w:pStyle w:val="ListParagraph"/>
              <w:numPr>
                <w:ilvl w:val="0"/>
                <w:numId w:val="103"/>
              </w:numPr>
              <w:spacing w:after="60"/>
              <w:contextualSpacing/>
              <w:rPr>
                <w:rFonts w:eastAsia="Calibri" w:cs="Arial"/>
                <w:sz w:val="14"/>
                <w:szCs w:val="14"/>
                <w:lang w:eastAsia="en-US"/>
              </w:rPr>
            </w:pPr>
            <w:r w:rsidRPr="00F66868">
              <w:rPr>
                <w:rFonts w:eastAsia="Calibri" w:cs="Arial"/>
                <w:sz w:val="14"/>
                <w:szCs w:val="14"/>
                <w:lang w:eastAsia="en-US"/>
              </w:rPr>
              <w:t>Chapter 14 AMA5 — Mental and behavioural disorder replaced with chapter in WorkCover WA Guides on Psychiatric Impairment Rating Scale (PIRS)</w:t>
            </w:r>
          </w:p>
          <w:p w14:paraId="5022D082" w14:textId="77777777" w:rsidR="00B563BC" w:rsidRPr="00F66868" w:rsidRDefault="00B563BC" w:rsidP="00F839DB">
            <w:pPr>
              <w:pStyle w:val="ListParagraph"/>
              <w:numPr>
                <w:ilvl w:val="0"/>
                <w:numId w:val="103"/>
              </w:numPr>
              <w:spacing w:after="60"/>
              <w:contextualSpacing/>
              <w:rPr>
                <w:rFonts w:eastAsia="Calibri" w:cs="Arial"/>
                <w:sz w:val="14"/>
                <w:szCs w:val="14"/>
                <w:lang w:eastAsia="en-US"/>
              </w:rPr>
            </w:pPr>
            <w:r w:rsidRPr="00F66868">
              <w:rPr>
                <w:rFonts w:eastAsia="Calibri" w:cs="Arial"/>
                <w:sz w:val="14"/>
                <w:szCs w:val="14"/>
                <w:lang w:eastAsia="en-US"/>
              </w:rPr>
              <w:t>Chapter 18 AMA5 regarding assessment of pain is excluded</w:t>
            </w:r>
          </w:p>
          <w:p w14:paraId="62A5EBA8" w14:textId="77777777" w:rsidR="00B563BC" w:rsidRPr="00F66868" w:rsidRDefault="00B563BC" w:rsidP="00F839DB">
            <w:pPr>
              <w:pStyle w:val="ListParagraph"/>
              <w:numPr>
                <w:ilvl w:val="0"/>
                <w:numId w:val="103"/>
              </w:numPr>
              <w:spacing w:after="60"/>
              <w:contextualSpacing/>
              <w:rPr>
                <w:rFonts w:eastAsia="Calibri" w:cs="Arial"/>
                <w:sz w:val="14"/>
                <w:szCs w:val="14"/>
                <w:lang w:eastAsia="en-US"/>
              </w:rPr>
            </w:pPr>
            <w:r w:rsidRPr="00F66868">
              <w:rPr>
                <w:rFonts w:eastAsia="Calibri" w:cs="Arial"/>
                <w:sz w:val="14"/>
                <w:szCs w:val="14"/>
                <w:lang w:eastAsia="en-US"/>
              </w:rPr>
              <w:t>Vision — based on AMA4, and</w:t>
            </w:r>
          </w:p>
          <w:p w14:paraId="124E8378" w14:textId="77777777" w:rsidR="00B563BC" w:rsidRPr="00F66868" w:rsidRDefault="00B563BC" w:rsidP="00F839DB">
            <w:pPr>
              <w:pStyle w:val="ListParagraph"/>
              <w:numPr>
                <w:ilvl w:val="0"/>
                <w:numId w:val="103"/>
              </w:numPr>
              <w:spacing w:after="60"/>
              <w:contextualSpacing/>
              <w:rPr>
                <w:rFonts w:eastAsia="Calibri" w:cs="Arial"/>
                <w:sz w:val="14"/>
                <w:szCs w:val="14"/>
                <w:lang w:eastAsia="en-US"/>
              </w:rPr>
            </w:pPr>
            <w:r w:rsidRPr="00F66868">
              <w:rPr>
                <w:rFonts w:eastAsia="Calibri" w:cs="Arial"/>
                <w:sz w:val="14"/>
                <w:szCs w:val="14"/>
                <w:lang w:eastAsia="en-US"/>
              </w:rPr>
              <w:t xml:space="preserve">Hearing loss — continues to be assessed based on s24A and s31E and Schedule 7 of the </w:t>
            </w:r>
            <w:r w:rsidRPr="000A2A43">
              <w:rPr>
                <w:rFonts w:eastAsia="Calibri" w:cs="Arial"/>
                <w:i/>
                <w:sz w:val="14"/>
                <w:szCs w:val="14"/>
                <w:lang w:eastAsia="en-US"/>
              </w:rPr>
              <w:t>Workers’ Compensation and Injury Management Act 1981</w:t>
            </w:r>
            <w:r w:rsidRPr="00F66868">
              <w:rPr>
                <w:rFonts w:eastAsia="Calibri" w:cs="Arial"/>
                <w:sz w:val="14"/>
                <w:szCs w:val="14"/>
                <w:lang w:eastAsia="en-US"/>
              </w:rPr>
              <w:t>.</w:t>
            </w:r>
          </w:p>
        </w:tc>
        <w:tc>
          <w:tcPr>
            <w:tcW w:w="4581" w:type="dxa"/>
            <w:tcMar>
              <w:top w:w="80" w:type="dxa"/>
              <w:left w:w="142" w:type="dxa"/>
              <w:bottom w:w="80" w:type="dxa"/>
              <w:right w:w="80" w:type="dxa"/>
            </w:tcMar>
          </w:tcPr>
          <w:p w14:paraId="69165A99" w14:textId="2BB0E3B6" w:rsidR="00B563BC" w:rsidRPr="00B563BC" w:rsidRDefault="00B563BC" w:rsidP="009146AE">
            <w:pPr>
              <w:spacing w:after="60"/>
              <w:rPr>
                <w:rFonts w:cs="Arial"/>
                <w:color w:val="000000"/>
                <w:sz w:val="14"/>
                <w:szCs w:val="16"/>
                <w:lang w:val="en-GB"/>
              </w:rPr>
            </w:pPr>
            <w:r w:rsidRPr="00B563BC">
              <w:rPr>
                <w:rFonts w:cs="Arial"/>
                <w:i/>
                <w:color w:val="000000"/>
                <w:sz w:val="14"/>
                <w:szCs w:val="16"/>
                <w:lang w:val="en-GB"/>
              </w:rPr>
              <w:lastRenderedPageBreak/>
              <w:t>Workers’ Compensation and Injury Management Act 1981</w:t>
            </w:r>
          </w:p>
          <w:p w14:paraId="199E8EC7" w14:textId="15F72A62" w:rsidR="00B563BC" w:rsidRPr="00B563BC" w:rsidRDefault="00A7538C" w:rsidP="009146AE">
            <w:pPr>
              <w:spacing w:after="60"/>
              <w:rPr>
                <w:rFonts w:cs="Arial"/>
                <w:color w:val="000000"/>
                <w:sz w:val="14"/>
                <w:szCs w:val="16"/>
                <w:lang w:val="en-GB"/>
              </w:rPr>
            </w:pPr>
            <w:hyperlink r:id="rId862" w:history="1">
              <w:r w:rsidR="00041991" w:rsidRPr="00AE20BE">
                <w:rPr>
                  <w:rStyle w:val="Hyperlink"/>
                  <w:rFonts w:cs="Arial"/>
                  <w:sz w:val="14"/>
                  <w:szCs w:val="16"/>
                  <w:lang w:val="en-GB"/>
                </w:rPr>
                <w:t>s146R</w:t>
              </w:r>
            </w:hyperlink>
            <w:r w:rsidR="00041991">
              <w:rPr>
                <w:rFonts w:cs="Arial"/>
                <w:color w:val="000000"/>
                <w:sz w:val="14"/>
                <w:szCs w:val="16"/>
                <w:lang w:val="en-GB"/>
              </w:rPr>
              <w:t xml:space="preserve"> WorkCover Guides</w:t>
            </w:r>
          </w:p>
          <w:p w14:paraId="72D8310C"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lastRenderedPageBreak/>
              <w:t>WorkCover WA may issue directions with respect to the evaluation of degree of impairment:</w:t>
            </w:r>
          </w:p>
          <w:p w14:paraId="6ADE8182" w14:textId="77777777" w:rsidR="00B563BC" w:rsidRPr="00B563BC" w:rsidRDefault="00B563BC" w:rsidP="00F839DB">
            <w:pPr>
              <w:pStyle w:val="Tableabc"/>
              <w:numPr>
                <w:ilvl w:val="0"/>
                <w:numId w:val="104"/>
              </w:numPr>
              <w:spacing w:after="60" w:afterAutospacing="0"/>
              <w:rPr>
                <w:rFonts w:eastAsia="Calibri"/>
                <w:lang w:eastAsia="en-US"/>
              </w:rPr>
            </w:pPr>
            <w:r w:rsidRPr="00B563BC">
              <w:rPr>
                <w:rFonts w:eastAsia="Calibri"/>
                <w:lang w:eastAsia="en-US"/>
              </w:rPr>
              <w:t>The directions, and any amendment of them, are to be developed in consultation with an advisory committee appointed under s100A for the purposes of this section</w:t>
            </w:r>
          </w:p>
          <w:p w14:paraId="751B44A5" w14:textId="77777777" w:rsidR="00B563BC" w:rsidRPr="00F66868" w:rsidRDefault="00B563BC" w:rsidP="00F839DB">
            <w:pPr>
              <w:pStyle w:val="ListParagraph"/>
              <w:numPr>
                <w:ilvl w:val="0"/>
                <w:numId w:val="104"/>
              </w:numPr>
              <w:spacing w:after="60"/>
              <w:contextualSpacing/>
              <w:rPr>
                <w:rFonts w:eastAsia="Calibri" w:cs="Arial"/>
                <w:sz w:val="14"/>
                <w:szCs w:val="14"/>
                <w:lang w:eastAsia="en-US"/>
              </w:rPr>
            </w:pPr>
            <w:r w:rsidRPr="00F66868">
              <w:rPr>
                <w:rFonts w:eastAsia="Calibri" w:cs="Arial"/>
                <w:sz w:val="14"/>
                <w:szCs w:val="14"/>
                <w:lang w:eastAsia="en-US"/>
              </w:rPr>
              <w:t>The directions may adopt the provisions of other publications, whether with or without modification or addition and whether in force at a particular time or from time to time, and</w:t>
            </w:r>
          </w:p>
          <w:p w14:paraId="322567DA" w14:textId="6691577A" w:rsidR="00B563BC" w:rsidRPr="00F66868" w:rsidRDefault="00B563BC" w:rsidP="00F839DB">
            <w:pPr>
              <w:pStyle w:val="ListParagraph"/>
              <w:numPr>
                <w:ilvl w:val="0"/>
                <w:numId w:val="104"/>
              </w:numPr>
              <w:spacing w:after="60"/>
              <w:contextualSpacing/>
              <w:rPr>
                <w:rFonts w:eastAsia="Calibri" w:cs="Arial"/>
                <w:sz w:val="14"/>
                <w:szCs w:val="14"/>
                <w:lang w:eastAsia="en-US"/>
              </w:rPr>
            </w:pPr>
            <w:r w:rsidRPr="00F66868">
              <w:rPr>
                <w:rFonts w:eastAsia="Calibri" w:cs="Arial"/>
                <w:sz w:val="14"/>
                <w:szCs w:val="14"/>
                <w:lang w:eastAsia="en-US"/>
              </w:rPr>
              <w:t>ss41</w:t>
            </w:r>
            <w:r w:rsidR="00957045">
              <w:rPr>
                <w:rFonts w:eastAsia="Calibri" w:cs="Arial"/>
                <w:sz w:val="14"/>
                <w:szCs w:val="14"/>
                <w:lang w:eastAsia="en-US"/>
              </w:rPr>
              <w:t>–</w:t>
            </w:r>
            <w:r w:rsidRPr="00F66868">
              <w:rPr>
                <w:rFonts w:eastAsia="Calibri" w:cs="Arial"/>
                <w:sz w:val="14"/>
                <w:szCs w:val="14"/>
                <w:lang w:eastAsia="en-US"/>
              </w:rPr>
              <w:t xml:space="preserve">44 of the </w:t>
            </w:r>
            <w:r w:rsidRPr="002B4D71">
              <w:rPr>
                <w:rFonts w:eastAsia="Calibri" w:cs="Arial"/>
                <w:i/>
                <w:sz w:val="14"/>
                <w:szCs w:val="14"/>
                <w:lang w:eastAsia="en-US"/>
              </w:rPr>
              <w:t>Interpretation Act 1984</w:t>
            </w:r>
            <w:r w:rsidRPr="00F66868">
              <w:rPr>
                <w:rFonts w:eastAsia="Calibri" w:cs="Arial"/>
                <w:sz w:val="14"/>
                <w:szCs w:val="14"/>
                <w:lang w:eastAsia="en-US"/>
              </w:rPr>
              <w:t xml:space="preserve"> apply to the directions as if they were regulations.</w:t>
            </w:r>
          </w:p>
        </w:tc>
      </w:tr>
      <w:tr w:rsidR="00B563BC" w:rsidRPr="00B563BC" w14:paraId="3167D80E" w14:textId="77777777" w:rsidTr="00E80FC6">
        <w:tc>
          <w:tcPr>
            <w:tcW w:w="1701" w:type="dxa"/>
            <w:shd w:val="clear" w:color="auto" w:fill="FFC9C9"/>
            <w:tcMar>
              <w:top w:w="80" w:type="dxa"/>
              <w:left w:w="80" w:type="dxa"/>
              <w:bottom w:w="80" w:type="dxa"/>
              <w:right w:w="80" w:type="dxa"/>
            </w:tcMar>
          </w:tcPr>
          <w:p w14:paraId="0F0C79FC"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lastRenderedPageBreak/>
              <w:t>South Australia</w:t>
            </w:r>
          </w:p>
        </w:tc>
        <w:tc>
          <w:tcPr>
            <w:tcW w:w="1049" w:type="dxa"/>
            <w:shd w:val="clear" w:color="auto" w:fill="FFC9C9"/>
            <w:tcMar>
              <w:top w:w="80" w:type="dxa"/>
              <w:left w:w="80" w:type="dxa"/>
              <w:bottom w:w="80" w:type="dxa"/>
              <w:right w:w="80" w:type="dxa"/>
            </w:tcMar>
          </w:tcPr>
          <w:p w14:paraId="45D9C31D" w14:textId="43634280" w:rsidR="00B563BC" w:rsidRPr="00B563BC" w:rsidRDefault="00854AFF" w:rsidP="009146AE">
            <w:pPr>
              <w:spacing w:after="60"/>
              <w:rPr>
                <w:rFonts w:cs="Arial"/>
                <w:color w:val="000000"/>
                <w:sz w:val="14"/>
                <w:szCs w:val="16"/>
                <w:lang w:val="en-GB"/>
              </w:rPr>
            </w:pPr>
            <w:r>
              <w:rPr>
                <w:rFonts w:cs="Arial"/>
                <w:color w:val="000000"/>
                <w:sz w:val="14"/>
                <w:szCs w:val="16"/>
                <w:lang w:val="en-GB"/>
              </w:rPr>
              <w:t>5th Edition</w:t>
            </w:r>
          </w:p>
        </w:tc>
        <w:tc>
          <w:tcPr>
            <w:tcW w:w="1049" w:type="dxa"/>
            <w:shd w:val="clear" w:color="auto" w:fill="FFC9C9"/>
            <w:tcMar>
              <w:top w:w="80" w:type="dxa"/>
              <w:left w:w="80" w:type="dxa"/>
              <w:bottom w:w="80" w:type="dxa"/>
              <w:right w:w="80" w:type="dxa"/>
            </w:tcMar>
          </w:tcPr>
          <w:p w14:paraId="15C90FCB" w14:textId="51FB13A6" w:rsidR="00B563BC" w:rsidRPr="00B563BC" w:rsidRDefault="00854AFF" w:rsidP="009146AE">
            <w:pPr>
              <w:spacing w:after="60"/>
              <w:rPr>
                <w:rFonts w:cs="Arial"/>
                <w:color w:val="000000"/>
                <w:sz w:val="14"/>
                <w:szCs w:val="16"/>
                <w:lang w:val="en-GB"/>
              </w:rPr>
            </w:pPr>
            <w:r>
              <w:rPr>
                <w:rFonts w:cs="Arial"/>
                <w:color w:val="000000"/>
                <w:sz w:val="14"/>
                <w:szCs w:val="16"/>
                <w:lang w:val="en-GB"/>
              </w:rPr>
              <w:t>Modifier 1</w:t>
            </w:r>
          </w:p>
        </w:tc>
        <w:tc>
          <w:tcPr>
            <w:tcW w:w="7116" w:type="dxa"/>
            <w:shd w:val="clear" w:color="auto" w:fill="FFC9C9"/>
            <w:tcMar>
              <w:top w:w="80" w:type="dxa"/>
              <w:left w:w="80" w:type="dxa"/>
              <w:bottom w:w="80" w:type="dxa"/>
              <w:right w:w="80" w:type="dxa"/>
            </w:tcMar>
          </w:tcPr>
          <w:p w14:paraId="5D6FA40E"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Vision assessments based on AMA4.</w:t>
            </w:r>
          </w:p>
          <w:p w14:paraId="1EF5879A" w14:textId="0FEC0536"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Evaluation of permanent impairment due to hearing loss adopts the methodology indicated in these guides (Chapter 9) with some reference to AMA5, but uses National Acoustic Laboratory (NAL) tables from the NAL report No 118,</w:t>
            </w:r>
            <w:r w:rsidR="00DD0D68">
              <w:rPr>
                <w:rFonts w:cs="Arial"/>
                <w:color w:val="000000"/>
                <w:sz w:val="14"/>
                <w:szCs w:val="16"/>
                <w:lang w:val="en-GB"/>
              </w:rPr>
              <w:t xml:space="preserve"> </w:t>
            </w:r>
            <w:r w:rsidRPr="00B563BC">
              <w:rPr>
                <w:rFonts w:cs="Arial"/>
                <w:color w:val="000000"/>
                <w:sz w:val="14"/>
                <w:szCs w:val="16"/>
                <w:lang w:val="en-GB"/>
              </w:rPr>
              <w:t>‘Improved procedure for determining percentage loss of hearing’, January 1988.</w:t>
            </w:r>
          </w:p>
          <w:p w14:paraId="4C5FE29B"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 xml:space="preserve">Pain (chapter 18, AMA5) and Mental and Behavioural Disorders (chapter 14, AMA5) are omitted as the Act excludes entitlement for psychiatric impairment (Refer to </w:t>
            </w:r>
            <w:hyperlink r:id="rId863" w:history="1">
              <w:r w:rsidRPr="00B563BC">
                <w:rPr>
                  <w:rFonts w:cs="Arial"/>
                  <w:color w:val="0000FF"/>
                  <w:sz w:val="14"/>
                  <w:szCs w:val="16"/>
                  <w:u w:val="single"/>
                  <w:lang w:val="en-GB"/>
                </w:rPr>
                <w:t>Impairment Assessment Guidelines</w:t>
              </w:r>
            </w:hyperlink>
            <w:r w:rsidRPr="00B563BC">
              <w:rPr>
                <w:rFonts w:cs="Arial"/>
                <w:color w:val="000000"/>
                <w:sz w:val="14"/>
                <w:szCs w:val="16"/>
                <w:lang w:val="en-GB"/>
              </w:rPr>
              <w:t>).</w:t>
            </w:r>
          </w:p>
        </w:tc>
        <w:tc>
          <w:tcPr>
            <w:tcW w:w="4581" w:type="dxa"/>
            <w:shd w:val="clear" w:color="auto" w:fill="FFC9C9"/>
            <w:tcMar>
              <w:top w:w="80" w:type="dxa"/>
              <w:left w:w="142" w:type="dxa"/>
              <w:bottom w:w="80" w:type="dxa"/>
              <w:right w:w="80" w:type="dxa"/>
            </w:tcMar>
          </w:tcPr>
          <w:p w14:paraId="15852EFA" w14:textId="623190FB"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 xml:space="preserve">The Impairment Assessment Guidelines are published in the South Australian Government Gazette under </w:t>
            </w:r>
            <w:hyperlink r:id="rId864" w:history="1">
              <w:r w:rsidRPr="00B563BC">
                <w:rPr>
                  <w:rFonts w:cs="Arial"/>
                  <w:color w:val="0000FF"/>
                  <w:sz w:val="14"/>
                  <w:szCs w:val="16"/>
                  <w:u w:val="single"/>
                </w:rPr>
                <w:t>s22</w:t>
              </w:r>
            </w:hyperlink>
            <w:r w:rsidRPr="00B563BC">
              <w:rPr>
                <w:rFonts w:cs="Arial"/>
                <w:color w:val="000000"/>
                <w:sz w:val="14"/>
                <w:szCs w:val="16"/>
              </w:rPr>
              <w:t xml:space="preserve">(4) of the </w:t>
            </w:r>
            <w:r w:rsidRPr="00B563BC">
              <w:rPr>
                <w:rFonts w:cs="Arial"/>
                <w:i/>
                <w:color w:val="000000"/>
                <w:sz w:val="14"/>
                <w:szCs w:val="16"/>
              </w:rPr>
              <w:t>Return to Work Act</w:t>
            </w:r>
            <w:r w:rsidRPr="00A627D5">
              <w:rPr>
                <w:rFonts w:cs="Arial"/>
                <w:i/>
                <w:color w:val="000000"/>
                <w:sz w:val="14"/>
                <w:szCs w:val="16"/>
              </w:rPr>
              <w:t xml:space="preserve"> </w:t>
            </w:r>
            <w:r w:rsidR="00041991" w:rsidRPr="00A627D5">
              <w:rPr>
                <w:rFonts w:cs="Arial"/>
                <w:i/>
                <w:color w:val="000000"/>
                <w:sz w:val="14"/>
                <w:szCs w:val="16"/>
              </w:rPr>
              <w:t>2014</w:t>
            </w:r>
          </w:p>
        </w:tc>
      </w:tr>
      <w:tr w:rsidR="00B563BC" w:rsidRPr="00B563BC" w14:paraId="3AABE5FE" w14:textId="77777777" w:rsidTr="00E80FC6">
        <w:tc>
          <w:tcPr>
            <w:tcW w:w="1701" w:type="dxa"/>
            <w:tcMar>
              <w:top w:w="80" w:type="dxa"/>
              <w:left w:w="80" w:type="dxa"/>
              <w:bottom w:w="80" w:type="dxa"/>
              <w:right w:w="80" w:type="dxa"/>
            </w:tcMar>
          </w:tcPr>
          <w:p w14:paraId="77D86381"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Tasmania</w:t>
            </w:r>
          </w:p>
        </w:tc>
        <w:tc>
          <w:tcPr>
            <w:tcW w:w="1049" w:type="dxa"/>
            <w:tcMar>
              <w:top w:w="80" w:type="dxa"/>
              <w:left w:w="80" w:type="dxa"/>
              <w:bottom w:w="80" w:type="dxa"/>
              <w:right w:w="80" w:type="dxa"/>
            </w:tcMar>
          </w:tcPr>
          <w:p w14:paraId="784986DA" w14:textId="2293D7CF" w:rsidR="00B563BC" w:rsidRPr="00B563BC" w:rsidRDefault="00854AFF" w:rsidP="009146AE">
            <w:pPr>
              <w:spacing w:after="60"/>
              <w:rPr>
                <w:rFonts w:cs="Arial"/>
                <w:color w:val="000000"/>
                <w:sz w:val="14"/>
                <w:szCs w:val="16"/>
                <w:lang w:val="en-GB"/>
              </w:rPr>
            </w:pPr>
            <w:r>
              <w:rPr>
                <w:rFonts w:cs="Arial"/>
                <w:color w:val="000000"/>
                <w:sz w:val="14"/>
                <w:szCs w:val="16"/>
                <w:lang w:val="en-GB"/>
              </w:rPr>
              <w:t>4th Edition</w:t>
            </w:r>
          </w:p>
        </w:tc>
        <w:tc>
          <w:tcPr>
            <w:tcW w:w="1049" w:type="dxa"/>
            <w:tcMar>
              <w:top w:w="80" w:type="dxa"/>
              <w:left w:w="80" w:type="dxa"/>
              <w:bottom w:w="80" w:type="dxa"/>
              <w:right w:w="80" w:type="dxa"/>
            </w:tcMar>
          </w:tcPr>
          <w:p w14:paraId="753C15B1" w14:textId="2B44FC23" w:rsidR="00B563BC" w:rsidRPr="00B563BC" w:rsidRDefault="00854AFF" w:rsidP="009146AE">
            <w:pPr>
              <w:spacing w:after="60"/>
              <w:rPr>
                <w:rFonts w:cs="Arial"/>
                <w:color w:val="000000"/>
                <w:sz w:val="14"/>
                <w:szCs w:val="16"/>
                <w:lang w:val="en-GB"/>
              </w:rPr>
            </w:pPr>
            <w:r>
              <w:rPr>
                <w:rFonts w:cs="Arial"/>
                <w:color w:val="000000"/>
                <w:sz w:val="14"/>
                <w:szCs w:val="16"/>
                <w:lang w:val="en-GB"/>
              </w:rPr>
              <w:t>Modifier 1</w:t>
            </w:r>
          </w:p>
        </w:tc>
        <w:tc>
          <w:tcPr>
            <w:tcW w:w="7116" w:type="dxa"/>
            <w:tcMar>
              <w:top w:w="80" w:type="dxa"/>
              <w:left w:w="80" w:type="dxa"/>
              <w:bottom w:w="80" w:type="dxa"/>
              <w:right w:w="80" w:type="dxa"/>
            </w:tcMar>
          </w:tcPr>
          <w:p w14:paraId="1D192EA0" w14:textId="77777777" w:rsidR="00B563BC" w:rsidRPr="00B563BC" w:rsidRDefault="00A7538C" w:rsidP="009146AE">
            <w:pPr>
              <w:spacing w:after="60"/>
              <w:rPr>
                <w:rFonts w:cs="Arial"/>
                <w:color w:val="000000"/>
                <w:sz w:val="14"/>
                <w:szCs w:val="16"/>
                <w:lang w:val="en-GB"/>
              </w:rPr>
            </w:pPr>
            <w:hyperlink r:id="rId865" w:history="1">
              <w:r w:rsidR="00B563BC" w:rsidRPr="00A627D5">
                <w:rPr>
                  <w:rFonts w:cs="Arial"/>
                  <w:i/>
                  <w:color w:val="0000FF"/>
                  <w:sz w:val="14"/>
                  <w:szCs w:val="16"/>
                  <w:u w:val="single"/>
                  <w:lang w:val="en-GB"/>
                </w:rPr>
                <w:t>WorkCover Tasmania Guidelines for the Assessment of Permanent Impairment</w:t>
              </w:r>
            </w:hyperlink>
            <w:r w:rsidR="00B563BC" w:rsidRPr="00B563BC">
              <w:rPr>
                <w:rFonts w:cs="Arial"/>
                <w:color w:val="000000"/>
                <w:sz w:val="14"/>
                <w:szCs w:val="16"/>
                <w:lang w:val="en-GB"/>
              </w:rPr>
              <w:t xml:space="preserve"> modify several chapters in AMA4.</w:t>
            </w:r>
          </w:p>
          <w:p w14:paraId="6A1E6566"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Removed: Chapter 15 Pain.</w:t>
            </w:r>
          </w:p>
          <w:p w14:paraId="2B24D984"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Substituted:</w:t>
            </w:r>
          </w:p>
          <w:p w14:paraId="3FB9602A" w14:textId="77777777" w:rsidR="00B563BC" w:rsidRPr="00F66868" w:rsidRDefault="00B563BC" w:rsidP="00F839DB">
            <w:pPr>
              <w:pStyle w:val="ListParagraph"/>
              <w:numPr>
                <w:ilvl w:val="0"/>
                <w:numId w:val="105"/>
              </w:numPr>
              <w:spacing w:after="60"/>
              <w:contextualSpacing/>
              <w:rPr>
                <w:rFonts w:eastAsia="Calibri" w:cs="Arial"/>
                <w:sz w:val="14"/>
                <w:szCs w:val="14"/>
                <w:lang w:eastAsia="en-US"/>
              </w:rPr>
            </w:pPr>
            <w:r w:rsidRPr="00F66868">
              <w:rPr>
                <w:rFonts w:eastAsia="Calibri" w:cs="Arial"/>
                <w:sz w:val="14"/>
                <w:szCs w:val="14"/>
                <w:lang w:eastAsia="en-US"/>
              </w:rPr>
              <w:t>Chapter 7 of WorkCover Tasmania Guides (Mental and Behavioural Disorders) incorporating the Psychiatric Impairment Rating Scale (PIRS) is substituted for chapter 14 AMA4</w:t>
            </w:r>
          </w:p>
          <w:p w14:paraId="45AB0279" w14:textId="77777777" w:rsidR="00B563BC" w:rsidRPr="00F66868" w:rsidRDefault="00B563BC" w:rsidP="00F839DB">
            <w:pPr>
              <w:pStyle w:val="ListParagraph"/>
              <w:numPr>
                <w:ilvl w:val="0"/>
                <w:numId w:val="105"/>
              </w:numPr>
              <w:spacing w:after="60"/>
              <w:contextualSpacing/>
              <w:rPr>
                <w:rFonts w:eastAsia="Calibri" w:cs="Arial"/>
                <w:sz w:val="14"/>
                <w:szCs w:val="14"/>
                <w:lang w:eastAsia="en-US"/>
              </w:rPr>
            </w:pPr>
            <w:r w:rsidRPr="00F66868">
              <w:rPr>
                <w:rFonts w:eastAsia="Calibri" w:cs="Arial"/>
                <w:sz w:val="14"/>
                <w:szCs w:val="14"/>
                <w:lang w:eastAsia="en-US"/>
              </w:rPr>
              <w:t>evaluation of hearing impairment</w:t>
            </w:r>
            <w:r w:rsidR="00D57A63">
              <w:rPr>
                <w:rFonts w:eastAsia="Calibri" w:cs="Arial"/>
                <w:sz w:val="14"/>
                <w:szCs w:val="14"/>
                <w:lang w:eastAsia="en-US"/>
              </w:rPr>
              <w:fldChar w:fldCharType="begin"/>
            </w:r>
            <w:r w:rsidR="00D57A63">
              <w:instrText xml:space="preserve"> XE "</w:instrText>
            </w:r>
            <w:r w:rsidR="00D57A63" w:rsidRPr="003C702B">
              <w:rPr>
                <w:rFonts w:cs="Arial"/>
                <w:color w:val="000000"/>
                <w:sz w:val="14"/>
                <w:szCs w:val="16"/>
                <w:lang w:val="en-GB"/>
              </w:rPr>
              <w:instrText>hearing impairment</w:instrText>
            </w:r>
            <w:r w:rsidR="00D57A63">
              <w:instrText xml:space="preserve">" </w:instrText>
            </w:r>
            <w:r w:rsidR="00D57A63">
              <w:rPr>
                <w:rFonts w:eastAsia="Calibri" w:cs="Arial"/>
                <w:sz w:val="14"/>
                <w:szCs w:val="14"/>
                <w:lang w:eastAsia="en-US"/>
              </w:rPr>
              <w:fldChar w:fldCharType="end"/>
            </w:r>
            <w:r w:rsidRPr="00F66868">
              <w:rPr>
                <w:rFonts w:eastAsia="Calibri" w:cs="Arial"/>
                <w:sz w:val="14"/>
                <w:szCs w:val="14"/>
                <w:lang w:eastAsia="en-US"/>
              </w:rPr>
              <w:t xml:space="preserve"> adopts the methodology indicated in chapter 6 of WorkCover Tasmania Guides including the use of the National Acoustic Laboratory (NAL) Tables, Report No 118, Improved Procedure for Determining Percentage Loss of Hearing, January 1988, and</w:t>
            </w:r>
          </w:p>
          <w:p w14:paraId="4C8AC648" w14:textId="77777777" w:rsidR="00B563BC" w:rsidRPr="00F66868" w:rsidRDefault="00B563BC" w:rsidP="00F839DB">
            <w:pPr>
              <w:pStyle w:val="ListParagraph"/>
              <w:numPr>
                <w:ilvl w:val="0"/>
                <w:numId w:val="105"/>
              </w:numPr>
              <w:spacing w:after="60"/>
              <w:contextualSpacing/>
              <w:rPr>
                <w:rFonts w:eastAsia="Calibri" w:cs="Arial"/>
                <w:sz w:val="14"/>
                <w:szCs w:val="14"/>
                <w:lang w:eastAsia="en-US"/>
              </w:rPr>
            </w:pPr>
            <w:r w:rsidRPr="00F66868">
              <w:rPr>
                <w:rFonts w:eastAsia="Calibri" w:cs="Arial"/>
                <w:sz w:val="14"/>
                <w:szCs w:val="14"/>
                <w:lang w:eastAsia="en-US"/>
              </w:rPr>
              <w:t>guidelines (and legislation) require the level of binaural hearing impairment</w:t>
            </w:r>
            <w:r w:rsidR="00D57A63">
              <w:rPr>
                <w:rFonts w:eastAsia="Calibri" w:cs="Arial"/>
                <w:sz w:val="14"/>
                <w:szCs w:val="14"/>
                <w:lang w:eastAsia="en-US"/>
              </w:rPr>
              <w:fldChar w:fldCharType="begin"/>
            </w:r>
            <w:r w:rsidR="00D57A63">
              <w:instrText xml:space="preserve"> XE "</w:instrText>
            </w:r>
            <w:r w:rsidR="00D57A63" w:rsidRPr="003C702B">
              <w:rPr>
                <w:rFonts w:cs="Arial"/>
                <w:color w:val="000000"/>
                <w:sz w:val="14"/>
                <w:szCs w:val="16"/>
                <w:lang w:val="en-GB"/>
              </w:rPr>
              <w:instrText>hearing impairment</w:instrText>
            </w:r>
            <w:r w:rsidR="00D57A63">
              <w:instrText xml:space="preserve">" </w:instrText>
            </w:r>
            <w:r w:rsidR="00D57A63">
              <w:rPr>
                <w:rFonts w:eastAsia="Calibri" w:cs="Arial"/>
                <w:sz w:val="14"/>
                <w:szCs w:val="14"/>
                <w:lang w:eastAsia="en-US"/>
              </w:rPr>
              <w:fldChar w:fldCharType="end"/>
            </w:r>
            <w:r w:rsidRPr="00F66868">
              <w:rPr>
                <w:rFonts w:eastAsia="Calibri" w:cs="Arial"/>
                <w:sz w:val="14"/>
                <w:szCs w:val="14"/>
                <w:lang w:eastAsia="en-US"/>
              </w:rPr>
              <w:t xml:space="preserve"> to be converted to WPI.</w:t>
            </w:r>
          </w:p>
        </w:tc>
        <w:tc>
          <w:tcPr>
            <w:tcW w:w="4581" w:type="dxa"/>
            <w:tcMar>
              <w:top w:w="80" w:type="dxa"/>
              <w:left w:w="142" w:type="dxa"/>
              <w:bottom w:w="80" w:type="dxa"/>
              <w:right w:w="80" w:type="dxa"/>
            </w:tcMar>
          </w:tcPr>
          <w:p w14:paraId="02E58855" w14:textId="1DBE8D44" w:rsidR="00B563BC" w:rsidRPr="00B563BC" w:rsidRDefault="00B563BC" w:rsidP="009146AE">
            <w:pPr>
              <w:spacing w:after="60"/>
              <w:rPr>
                <w:rFonts w:cs="Arial"/>
                <w:color w:val="000000"/>
                <w:sz w:val="14"/>
                <w:szCs w:val="16"/>
                <w:lang w:val="en-GB"/>
              </w:rPr>
            </w:pPr>
            <w:r w:rsidRPr="00B563BC">
              <w:rPr>
                <w:rFonts w:cs="Arial"/>
                <w:i/>
                <w:color w:val="000000"/>
                <w:sz w:val="14"/>
                <w:szCs w:val="16"/>
                <w:lang w:val="en-GB"/>
              </w:rPr>
              <w:t>Workers Rehabilitation and Compensation Act 1988</w:t>
            </w:r>
            <w:r w:rsidRPr="00B563BC">
              <w:rPr>
                <w:rFonts w:cs="Arial"/>
                <w:color w:val="000000"/>
                <w:sz w:val="14"/>
                <w:szCs w:val="16"/>
                <w:lang w:val="en-GB"/>
              </w:rPr>
              <w:t xml:space="preserve"> — </w:t>
            </w:r>
            <w:hyperlink r:id="rId866" w:history="1">
              <w:r w:rsidRPr="00B563BC">
                <w:rPr>
                  <w:rFonts w:cs="Arial"/>
                  <w:color w:val="0000FF"/>
                  <w:sz w:val="14"/>
                  <w:szCs w:val="16"/>
                  <w:u w:val="single"/>
                  <w:lang w:val="en-GB"/>
                </w:rPr>
                <w:t>s72(1)(a)</w:t>
              </w:r>
            </w:hyperlink>
          </w:p>
        </w:tc>
      </w:tr>
      <w:tr w:rsidR="00B563BC" w:rsidRPr="00B563BC" w14:paraId="6BE79BEE" w14:textId="77777777" w:rsidTr="00E80FC6">
        <w:tc>
          <w:tcPr>
            <w:tcW w:w="1701" w:type="dxa"/>
            <w:shd w:val="clear" w:color="auto" w:fill="FFC9C9"/>
            <w:tcMar>
              <w:top w:w="80" w:type="dxa"/>
              <w:left w:w="80" w:type="dxa"/>
              <w:bottom w:w="80" w:type="dxa"/>
              <w:right w:w="80" w:type="dxa"/>
            </w:tcMar>
          </w:tcPr>
          <w:p w14:paraId="6FA31531"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Northern Territory</w:t>
            </w:r>
          </w:p>
        </w:tc>
        <w:tc>
          <w:tcPr>
            <w:tcW w:w="1049" w:type="dxa"/>
            <w:shd w:val="clear" w:color="auto" w:fill="FFC9C9"/>
            <w:tcMar>
              <w:top w:w="80" w:type="dxa"/>
              <w:left w:w="80" w:type="dxa"/>
              <w:bottom w:w="80" w:type="dxa"/>
              <w:right w:w="80" w:type="dxa"/>
            </w:tcMar>
          </w:tcPr>
          <w:p w14:paraId="5E70FA6D" w14:textId="38D2C9BD" w:rsidR="00B563BC" w:rsidRPr="00B563BC" w:rsidRDefault="00C54278" w:rsidP="009146AE">
            <w:pPr>
              <w:spacing w:after="60"/>
              <w:rPr>
                <w:rFonts w:cs="Arial"/>
                <w:color w:val="000000"/>
                <w:sz w:val="14"/>
                <w:szCs w:val="16"/>
                <w:lang w:val="en-GB"/>
              </w:rPr>
            </w:pPr>
            <w:r>
              <w:rPr>
                <w:rFonts w:cs="Arial"/>
                <w:color w:val="000000"/>
                <w:sz w:val="14"/>
                <w:szCs w:val="16"/>
                <w:lang w:val="en-GB"/>
              </w:rPr>
              <w:t>5</w:t>
            </w:r>
            <w:r w:rsidR="00B563BC" w:rsidRPr="00B563BC">
              <w:rPr>
                <w:rFonts w:cs="Arial"/>
                <w:color w:val="000000"/>
                <w:sz w:val="14"/>
                <w:szCs w:val="16"/>
                <w:lang w:val="en-GB"/>
              </w:rPr>
              <w:t>th Edition</w:t>
            </w:r>
          </w:p>
        </w:tc>
        <w:tc>
          <w:tcPr>
            <w:tcW w:w="1049" w:type="dxa"/>
            <w:shd w:val="clear" w:color="auto" w:fill="FFC9C9"/>
            <w:tcMar>
              <w:top w:w="80" w:type="dxa"/>
              <w:left w:w="80" w:type="dxa"/>
              <w:bottom w:w="80" w:type="dxa"/>
              <w:right w:w="80" w:type="dxa"/>
            </w:tcMar>
          </w:tcPr>
          <w:p w14:paraId="2F440ABB" w14:textId="0992376C" w:rsidR="00B563BC" w:rsidRPr="00B563BC" w:rsidRDefault="00C54278" w:rsidP="009146AE">
            <w:pPr>
              <w:spacing w:after="60"/>
              <w:rPr>
                <w:rFonts w:cs="Arial"/>
                <w:color w:val="000000"/>
                <w:sz w:val="14"/>
                <w:szCs w:val="16"/>
                <w:lang w:val="en-GB"/>
              </w:rPr>
            </w:pPr>
            <w:r>
              <w:rPr>
                <w:rFonts w:cs="Arial"/>
                <w:color w:val="000000"/>
                <w:sz w:val="14"/>
                <w:szCs w:val="16"/>
                <w:lang w:val="en-GB"/>
              </w:rPr>
              <w:t>Modifier 1</w:t>
            </w:r>
          </w:p>
        </w:tc>
        <w:tc>
          <w:tcPr>
            <w:tcW w:w="7116" w:type="dxa"/>
            <w:shd w:val="clear" w:color="auto" w:fill="FFC9C9"/>
            <w:tcMar>
              <w:top w:w="80" w:type="dxa"/>
              <w:left w:w="80" w:type="dxa"/>
              <w:bottom w:w="80" w:type="dxa"/>
              <w:right w:w="80" w:type="dxa"/>
            </w:tcMar>
          </w:tcPr>
          <w:p w14:paraId="702E91AE" w14:textId="2C2BE460" w:rsidR="00C54278" w:rsidRPr="00B563BC" w:rsidRDefault="00A7538C" w:rsidP="00C54278">
            <w:pPr>
              <w:spacing w:after="60"/>
              <w:contextualSpacing/>
              <w:rPr>
                <w:rFonts w:cs="Arial"/>
                <w:color w:val="000000"/>
                <w:sz w:val="14"/>
                <w:szCs w:val="16"/>
                <w:lang w:val="en-GB"/>
              </w:rPr>
            </w:pPr>
            <w:hyperlink r:id="rId867" w:history="1">
              <w:r w:rsidR="00C54278" w:rsidRPr="009E62E1">
                <w:rPr>
                  <w:rStyle w:val="Hyperlink"/>
                  <w:rFonts w:cs="Arial"/>
                  <w:i/>
                  <w:sz w:val="14"/>
                  <w:szCs w:val="16"/>
                  <w:lang w:val="en-GB"/>
                </w:rPr>
                <w:t>NT Guidelines for the Evaluation of Permanent Impairment</w:t>
              </w:r>
            </w:hyperlink>
            <w:r w:rsidR="00C54278">
              <w:rPr>
                <w:rFonts w:cs="Arial"/>
                <w:color w:val="000000"/>
                <w:sz w:val="14"/>
                <w:szCs w:val="16"/>
                <w:lang w:val="en-GB"/>
              </w:rPr>
              <w:t xml:space="preserve"> </w:t>
            </w:r>
            <w:r w:rsidR="009E62E1">
              <w:rPr>
                <w:rFonts w:cs="Arial"/>
                <w:color w:val="000000"/>
                <w:sz w:val="14"/>
                <w:szCs w:val="16"/>
                <w:lang w:val="en-GB"/>
              </w:rPr>
              <w:t>—</w:t>
            </w:r>
            <w:r w:rsidR="00C54278" w:rsidRPr="00B563BC">
              <w:rPr>
                <w:rFonts w:cs="Arial"/>
                <w:color w:val="000000"/>
                <w:sz w:val="14"/>
                <w:szCs w:val="16"/>
                <w:lang w:val="en-GB"/>
              </w:rPr>
              <w:t xml:space="preserve"> modify several Chapters in AMA5.</w:t>
            </w:r>
          </w:p>
          <w:p w14:paraId="4597C429" w14:textId="77777777" w:rsidR="00C54278" w:rsidRPr="00B563BC" w:rsidRDefault="00C54278" w:rsidP="00C54278">
            <w:pPr>
              <w:spacing w:after="60"/>
              <w:contextualSpacing/>
              <w:rPr>
                <w:rFonts w:cs="Arial"/>
                <w:color w:val="000000"/>
                <w:sz w:val="14"/>
                <w:szCs w:val="16"/>
                <w:lang w:val="en-GB"/>
              </w:rPr>
            </w:pPr>
            <w:r w:rsidRPr="00B563BC">
              <w:rPr>
                <w:rFonts w:cs="Arial"/>
                <w:color w:val="000000"/>
                <w:sz w:val="14"/>
                <w:szCs w:val="16"/>
                <w:lang w:val="en-GB"/>
              </w:rPr>
              <w:t>Removed: Chapter 18 Pain.</w:t>
            </w:r>
          </w:p>
          <w:p w14:paraId="6A4D2DC9" w14:textId="77777777" w:rsidR="00C54278" w:rsidRPr="00B563BC" w:rsidRDefault="00C54278" w:rsidP="00C54278">
            <w:pPr>
              <w:spacing w:after="60"/>
              <w:contextualSpacing/>
              <w:rPr>
                <w:rFonts w:cs="Arial"/>
                <w:color w:val="000000"/>
                <w:sz w:val="14"/>
                <w:szCs w:val="16"/>
                <w:lang w:val="en-GB"/>
              </w:rPr>
            </w:pPr>
            <w:r w:rsidRPr="00B563BC">
              <w:rPr>
                <w:rFonts w:cs="Arial"/>
                <w:color w:val="000000"/>
                <w:sz w:val="14"/>
                <w:szCs w:val="16"/>
                <w:lang w:val="en-GB"/>
              </w:rPr>
              <w:t>Substituted:</w:t>
            </w:r>
          </w:p>
          <w:p w14:paraId="2DE27081" w14:textId="095FEA2E" w:rsidR="00C54278" w:rsidRPr="00B563BC" w:rsidRDefault="00C54278" w:rsidP="00F839DB">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Vis</w:t>
            </w:r>
            <w:r>
              <w:rPr>
                <w:rFonts w:eastAsia="Calibri" w:cs="Arial"/>
                <w:sz w:val="14"/>
                <w:szCs w:val="14"/>
                <w:lang w:eastAsia="en-US"/>
              </w:rPr>
              <w:t>ion —</w:t>
            </w:r>
            <w:r w:rsidRPr="00B563BC">
              <w:rPr>
                <w:rFonts w:eastAsia="Calibri" w:cs="Arial"/>
                <w:sz w:val="14"/>
                <w:szCs w:val="14"/>
                <w:lang w:eastAsia="en-US"/>
              </w:rPr>
              <w:t xml:space="preserve"> AMA4 </w:t>
            </w:r>
          </w:p>
          <w:p w14:paraId="2209254B" w14:textId="77777777" w:rsidR="00BD207B" w:rsidRDefault="00C54278" w:rsidP="00F839DB">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 xml:space="preserve">Psychiatric and Psychological Disorders </w:t>
            </w:r>
            <w:r>
              <w:rPr>
                <w:rFonts w:eastAsia="Calibri" w:cs="Arial"/>
                <w:sz w:val="14"/>
                <w:szCs w:val="14"/>
                <w:lang w:eastAsia="en-US"/>
              </w:rPr>
              <w:t>—</w:t>
            </w:r>
            <w:r w:rsidRPr="00B563BC">
              <w:rPr>
                <w:rFonts w:eastAsia="Calibri" w:cs="Arial"/>
                <w:sz w:val="14"/>
                <w:szCs w:val="14"/>
                <w:lang w:eastAsia="en-US"/>
              </w:rPr>
              <w:t xml:space="preserve"> Chapter 11,</w:t>
            </w:r>
            <w:r>
              <w:rPr>
                <w:rFonts w:eastAsia="Calibri" w:cs="Arial"/>
                <w:sz w:val="14"/>
                <w:szCs w:val="14"/>
                <w:lang w:eastAsia="en-US"/>
              </w:rPr>
              <w:t xml:space="preserve"> </w:t>
            </w:r>
            <w:r w:rsidRPr="00B563BC">
              <w:rPr>
                <w:rFonts w:eastAsia="Calibri" w:cs="Arial"/>
                <w:sz w:val="14"/>
                <w:szCs w:val="14"/>
                <w:lang w:eastAsia="en-US"/>
              </w:rPr>
              <w:t>Guidelines, and</w:t>
            </w:r>
          </w:p>
          <w:p w14:paraId="605C6752" w14:textId="53E882B0" w:rsidR="00B563BC" w:rsidRPr="00BD207B" w:rsidRDefault="00C54278" w:rsidP="00F839DB">
            <w:pPr>
              <w:pStyle w:val="ListParagraph"/>
              <w:numPr>
                <w:ilvl w:val="0"/>
                <w:numId w:val="101"/>
              </w:numPr>
              <w:spacing w:after="60"/>
              <w:contextualSpacing/>
              <w:rPr>
                <w:rFonts w:eastAsia="Calibri" w:cs="Arial"/>
                <w:sz w:val="14"/>
                <w:szCs w:val="14"/>
                <w:lang w:eastAsia="en-US"/>
              </w:rPr>
            </w:pPr>
            <w:r w:rsidRPr="00BD207B">
              <w:rPr>
                <w:rFonts w:eastAsia="Calibri" w:cs="Arial"/>
                <w:sz w:val="14"/>
                <w:szCs w:val="14"/>
                <w:lang w:eastAsia="en-US"/>
              </w:rPr>
              <w:t>Hearing — Chapter 9, Guidelines, with some reference to AMA5 (Chapter 11, pp 245–251), but uses National Acoustic Laboratory (NAL) Tables from the NAL Report No 118, Improved Procedure for Determining Percentage Loss of Hearing, January 1988.</w:t>
            </w:r>
          </w:p>
        </w:tc>
        <w:tc>
          <w:tcPr>
            <w:tcW w:w="4581" w:type="dxa"/>
            <w:shd w:val="clear" w:color="auto" w:fill="FFC9C9"/>
            <w:tcMar>
              <w:top w:w="80" w:type="dxa"/>
              <w:left w:w="142" w:type="dxa"/>
              <w:bottom w:w="80" w:type="dxa"/>
              <w:right w:w="80" w:type="dxa"/>
            </w:tcMar>
          </w:tcPr>
          <w:p w14:paraId="53F4A841" w14:textId="6356E698" w:rsidR="00B563BC" w:rsidRPr="00B563BC" w:rsidRDefault="00B563BC" w:rsidP="009146AE">
            <w:pPr>
              <w:spacing w:after="60"/>
              <w:rPr>
                <w:rFonts w:cs="Arial"/>
                <w:color w:val="000000"/>
                <w:sz w:val="14"/>
                <w:szCs w:val="16"/>
                <w:lang w:val="en-GB"/>
              </w:rPr>
            </w:pPr>
            <w:r w:rsidRPr="00B563BC">
              <w:rPr>
                <w:rFonts w:cs="Arial"/>
                <w:i/>
                <w:color w:val="000000"/>
                <w:sz w:val="14"/>
                <w:szCs w:val="16"/>
                <w:lang w:val="en-GB"/>
              </w:rPr>
              <w:t>Return to Work Act</w:t>
            </w:r>
            <w:r w:rsidRPr="00B563BC">
              <w:rPr>
                <w:rFonts w:cs="Arial"/>
                <w:color w:val="000000"/>
                <w:sz w:val="14"/>
                <w:szCs w:val="16"/>
                <w:lang w:val="en-GB"/>
              </w:rPr>
              <w:t xml:space="preserve"> — </w:t>
            </w:r>
            <w:hyperlink r:id="rId868" w:history="1">
              <w:r w:rsidRPr="00AE20BE">
                <w:rPr>
                  <w:rStyle w:val="Hyperlink"/>
                  <w:rFonts w:cs="Arial"/>
                  <w:sz w:val="14"/>
                  <w:szCs w:val="16"/>
                  <w:lang w:val="en-GB"/>
                </w:rPr>
                <w:t>s70</w:t>
              </w:r>
            </w:hyperlink>
          </w:p>
        </w:tc>
      </w:tr>
      <w:tr w:rsidR="00B563BC" w:rsidRPr="00B563BC" w14:paraId="0B2E9661" w14:textId="77777777" w:rsidTr="00E80FC6">
        <w:tc>
          <w:tcPr>
            <w:tcW w:w="1701" w:type="dxa"/>
            <w:tcMar>
              <w:top w:w="80" w:type="dxa"/>
              <w:left w:w="80" w:type="dxa"/>
              <w:bottom w:w="80" w:type="dxa"/>
              <w:right w:w="80" w:type="dxa"/>
            </w:tcMar>
          </w:tcPr>
          <w:p w14:paraId="2F55DCE4"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Australian Capital Territory</w:t>
            </w:r>
          </w:p>
        </w:tc>
        <w:tc>
          <w:tcPr>
            <w:tcW w:w="1049" w:type="dxa"/>
            <w:tcMar>
              <w:top w:w="80" w:type="dxa"/>
              <w:left w:w="80" w:type="dxa"/>
              <w:bottom w:w="80" w:type="dxa"/>
              <w:right w:w="80" w:type="dxa"/>
            </w:tcMar>
          </w:tcPr>
          <w:p w14:paraId="27E21F35" w14:textId="1BF25384" w:rsidR="00B563BC" w:rsidRPr="00B563BC" w:rsidRDefault="00854AFF" w:rsidP="009146AE">
            <w:pPr>
              <w:spacing w:after="60"/>
              <w:rPr>
                <w:rFonts w:cs="Arial"/>
                <w:color w:val="000000"/>
                <w:sz w:val="14"/>
                <w:szCs w:val="16"/>
                <w:lang w:val="en-GB"/>
              </w:rPr>
            </w:pPr>
            <w:r>
              <w:rPr>
                <w:rFonts w:cs="Arial"/>
                <w:color w:val="000000"/>
                <w:sz w:val="14"/>
                <w:szCs w:val="16"/>
                <w:lang w:val="en-GB"/>
              </w:rPr>
              <w:t>5th Edition</w:t>
            </w:r>
          </w:p>
        </w:tc>
        <w:tc>
          <w:tcPr>
            <w:tcW w:w="1049" w:type="dxa"/>
            <w:tcMar>
              <w:top w:w="80" w:type="dxa"/>
              <w:left w:w="80" w:type="dxa"/>
              <w:bottom w:w="80" w:type="dxa"/>
              <w:right w:w="80" w:type="dxa"/>
            </w:tcMar>
          </w:tcPr>
          <w:p w14:paraId="6941CAFE" w14:textId="3C0BA230"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Stand-</w:t>
            </w:r>
            <w:r w:rsidR="00041991">
              <w:rPr>
                <w:rFonts w:cs="Arial"/>
                <w:color w:val="000000"/>
                <w:sz w:val="14"/>
                <w:szCs w:val="16"/>
                <w:lang w:val="en-GB"/>
              </w:rPr>
              <w:t>alone (authorised by the Regs)</w:t>
            </w:r>
          </w:p>
        </w:tc>
        <w:tc>
          <w:tcPr>
            <w:tcW w:w="7116" w:type="dxa"/>
            <w:tcMar>
              <w:top w:w="80" w:type="dxa"/>
              <w:left w:w="80" w:type="dxa"/>
              <w:bottom w:w="80" w:type="dxa"/>
              <w:right w:w="80" w:type="dxa"/>
            </w:tcMar>
          </w:tcPr>
          <w:p w14:paraId="1C156AB0" w14:textId="77777777" w:rsidR="00B563BC" w:rsidRPr="00B563BC" w:rsidRDefault="00B563BC" w:rsidP="009146AE">
            <w:pPr>
              <w:spacing w:after="60"/>
              <w:rPr>
                <w:rFonts w:cs="Arial"/>
                <w:color w:val="000000"/>
                <w:sz w:val="14"/>
                <w:szCs w:val="16"/>
                <w:lang w:val="en-GB"/>
              </w:rPr>
            </w:pPr>
            <w:r w:rsidRPr="00A627D5">
              <w:rPr>
                <w:rFonts w:cs="Arial"/>
                <w:i/>
                <w:color w:val="000000"/>
                <w:sz w:val="14"/>
                <w:szCs w:val="16"/>
                <w:lang w:val="en-GB"/>
              </w:rPr>
              <w:t>WorkCover Guides for the Evaluation of Permanent Impairment</w:t>
            </w:r>
            <w:r w:rsidRPr="00B563BC">
              <w:rPr>
                <w:rFonts w:cs="Arial"/>
                <w:color w:val="000000"/>
                <w:sz w:val="14"/>
                <w:szCs w:val="16"/>
                <w:lang w:val="en-GB"/>
              </w:rPr>
              <w:t xml:space="preserve"> (3rd Ed) modify several Chapters in AMA5 removed: Chapter 18 Pain. Vision. Chapter 14 Mental and Behavioural Disorders.</w:t>
            </w:r>
          </w:p>
          <w:p w14:paraId="7CAA9170"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Substituted:</w:t>
            </w:r>
          </w:p>
          <w:p w14:paraId="369A7C09" w14:textId="77777777" w:rsidR="00B563BC" w:rsidRPr="00F66868" w:rsidRDefault="00B563BC" w:rsidP="00F839DB">
            <w:pPr>
              <w:pStyle w:val="ListParagraph"/>
              <w:numPr>
                <w:ilvl w:val="0"/>
                <w:numId w:val="106"/>
              </w:numPr>
              <w:spacing w:after="60"/>
              <w:contextualSpacing/>
              <w:rPr>
                <w:rFonts w:eastAsia="Calibri" w:cs="Arial"/>
                <w:sz w:val="14"/>
                <w:szCs w:val="14"/>
                <w:lang w:eastAsia="en-US"/>
              </w:rPr>
            </w:pPr>
            <w:r w:rsidRPr="00F66868">
              <w:rPr>
                <w:rFonts w:eastAsia="Calibri" w:cs="Arial"/>
                <w:sz w:val="14"/>
                <w:szCs w:val="14"/>
                <w:lang w:eastAsia="en-US"/>
              </w:rPr>
              <w:t>AMA4 — Vision, and</w:t>
            </w:r>
          </w:p>
          <w:p w14:paraId="5F9532F8" w14:textId="77777777" w:rsidR="00B563BC" w:rsidRPr="00F66868" w:rsidRDefault="00B563BC" w:rsidP="00F839DB">
            <w:pPr>
              <w:pStyle w:val="ListParagraph"/>
              <w:numPr>
                <w:ilvl w:val="0"/>
                <w:numId w:val="106"/>
              </w:numPr>
              <w:spacing w:after="60"/>
              <w:contextualSpacing/>
              <w:rPr>
                <w:rFonts w:eastAsia="Calibri" w:cs="Arial"/>
                <w:sz w:val="14"/>
                <w:szCs w:val="14"/>
                <w:lang w:eastAsia="en-US"/>
              </w:rPr>
            </w:pPr>
            <w:r w:rsidRPr="00F66868">
              <w:rPr>
                <w:rFonts w:eastAsia="Calibri" w:cs="Arial"/>
                <w:sz w:val="14"/>
                <w:szCs w:val="14"/>
                <w:lang w:eastAsia="en-US"/>
              </w:rPr>
              <w:t>Chapter 11 — Psychiatric and Psychological Disorders.</w:t>
            </w:r>
          </w:p>
          <w:p w14:paraId="79D13BCB" w14:textId="77777777" w:rsidR="00B563BC" w:rsidRPr="00F66868" w:rsidRDefault="00B563BC" w:rsidP="00F839DB">
            <w:pPr>
              <w:pStyle w:val="ListParagraph"/>
              <w:numPr>
                <w:ilvl w:val="0"/>
                <w:numId w:val="106"/>
              </w:numPr>
              <w:spacing w:after="60"/>
              <w:contextualSpacing/>
              <w:rPr>
                <w:rFonts w:eastAsia="Calibri" w:cs="Arial"/>
                <w:sz w:val="14"/>
                <w:szCs w:val="14"/>
                <w:lang w:eastAsia="en-US"/>
              </w:rPr>
            </w:pPr>
            <w:r w:rsidRPr="00F66868">
              <w:rPr>
                <w:rFonts w:eastAsia="Calibri" w:cs="Arial"/>
                <w:sz w:val="14"/>
                <w:szCs w:val="14"/>
                <w:lang w:eastAsia="en-US"/>
              </w:rPr>
              <w:t xml:space="preserve">Evaluation of Permanent Impairment due to Hearing Loss adopts the methodology indicated in the WorkCover guides (Chapter 9) with some reference to AMA5 (Chapter 11, pp 245–251), but uses (NAL) </w:t>
            </w:r>
            <w:r w:rsidRPr="00F66868">
              <w:rPr>
                <w:rFonts w:eastAsia="Calibri" w:cs="Arial"/>
                <w:sz w:val="14"/>
                <w:szCs w:val="14"/>
                <w:lang w:eastAsia="en-US"/>
              </w:rPr>
              <w:lastRenderedPageBreak/>
              <w:t>Tables from the NAL Report No 118, Improved Procedure for Determining Percentage Loss of Hearing, January 1988.</w:t>
            </w:r>
          </w:p>
        </w:tc>
        <w:tc>
          <w:tcPr>
            <w:tcW w:w="4581" w:type="dxa"/>
            <w:tcMar>
              <w:top w:w="80" w:type="dxa"/>
              <w:left w:w="142" w:type="dxa"/>
              <w:bottom w:w="80" w:type="dxa"/>
              <w:right w:w="80" w:type="dxa"/>
            </w:tcMar>
          </w:tcPr>
          <w:p w14:paraId="6AEFC392" w14:textId="1EFD157A" w:rsidR="00B563BC" w:rsidRPr="00B563BC" w:rsidRDefault="00A7538C" w:rsidP="009146AE">
            <w:pPr>
              <w:spacing w:after="60"/>
              <w:rPr>
                <w:rFonts w:cs="Arial"/>
                <w:color w:val="000000"/>
                <w:sz w:val="14"/>
                <w:szCs w:val="16"/>
                <w:lang w:val="en-GB"/>
              </w:rPr>
            </w:pPr>
            <w:hyperlink r:id="rId869" w:history="1">
              <w:r w:rsidR="00B563BC" w:rsidRPr="00AE20BE">
                <w:rPr>
                  <w:rStyle w:val="Hyperlink"/>
                  <w:rFonts w:cs="Arial"/>
                  <w:sz w:val="14"/>
                  <w:szCs w:val="16"/>
                  <w:lang w:val="en-GB"/>
                </w:rPr>
                <w:t>Reg 5(1)(b)</w:t>
              </w:r>
            </w:hyperlink>
            <w:r w:rsidR="00B563BC" w:rsidRPr="00B563BC">
              <w:rPr>
                <w:rFonts w:cs="Arial"/>
                <w:color w:val="000000"/>
                <w:sz w:val="14"/>
                <w:szCs w:val="16"/>
                <w:lang w:val="en-GB"/>
              </w:rPr>
              <w:t xml:space="preserve"> of the Workers’ Compensation Regulation 2002 allows the Ministe</w:t>
            </w:r>
            <w:r w:rsidR="00041991">
              <w:rPr>
                <w:rFonts w:cs="Arial"/>
                <w:color w:val="000000"/>
                <w:sz w:val="14"/>
                <w:szCs w:val="16"/>
                <w:lang w:val="en-GB"/>
              </w:rPr>
              <w:t>r to approve medical guidelines</w:t>
            </w:r>
          </w:p>
        </w:tc>
      </w:tr>
      <w:tr w:rsidR="00B563BC" w:rsidRPr="00B563BC" w14:paraId="0C185E2B" w14:textId="77777777" w:rsidTr="00E80FC6">
        <w:tc>
          <w:tcPr>
            <w:tcW w:w="1701" w:type="dxa"/>
            <w:shd w:val="clear" w:color="auto" w:fill="FFC9C9"/>
            <w:tcMar>
              <w:top w:w="80" w:type="dxa"/>
              <w:left w:w="80" w:type="dxa"/>
              <w:bottom w:w="80" w:type="dxa"/>
              <w:right w:w="80" w:type="dxa"/>
            </w:tcMar>
          </w:tcPr>
          <w:p w14:paraId="154BAEBA"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C’wealth Comcare</w:t>
            </w:r>
          </w:p>
        </w:tc>
        <w:tc>
          <w:tcPr>
            <w:tcW w:w="1049" w:type="dxa"/>
            <w:shd w:val="clear" w:color="auto" w:fill="FFC9C9"/>
            <w:tcMar>
              <w:top w:w="80" w:type="dxa"/>
              <w:left w:w="80" w:type="dxa"/>
              <w:bottom w:w="80" w:type="dxa"/>
              <w:right w:w="80" w:type="dxa"/>
            </w:tcMar>
          </w:tcPr>
          <w:p w14:paraId="137AE4D9" w14:textId="66A5AA26"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5th Edition</w:t>
            </w:r>
          </w:p>
        </w:tc>
        <w:tc>
          <w:tcPr>
            <w:tcW w:w="1049" w:type="dxa"/>
            <w:shd w:val="clear" w:color="auto" w:fill="FFC9C9"/>
            <w:tcMar>
              <w:top w:w="80" w:type="dxa"/>
              <w:left w:w="80" w:type="dxa"/>
              <w:bottom w:w="80" w:type="dxa"/>
              <w:right w:w="80" w:type="dxa"/>
            </w:tcMar>
          </w:tcPr>
          <w:p w14:paraId="6CAA130D" w14:textId="1622370D"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Stand-alone 3</w:t>
            </w:r>
          </w:p>
        </w:tc>
        <w:tc>
          <w:tcPr>
            <w:tcW w:w="7116" w:type="dxa"/>
            <w:shd w:val="clear" w:color="auto" w:fill="FFC9C9"/>
            <w:tcMar>
              <w:top w:w="80" w:type="dxa"/>
              <w:left w:w="80" w:type="dxa"/>
              <w:bottom w:w="80" w:type="dxa"/>
              <w:right w:w="80" w:type="dxa"/>
            </w:tcMar>
          </w:tcPr>
          <w:p w14:paraId="02A8F579" w14:textId="77777777" w:rsidR="006A50D4" w:rsidRDefault="00B563BC" w:rsidP="009146AE">
            <w:pPr>
              <w:spacing w:after="60"/>
              <w:contextualSpacing/>
              <w:rPr>
                <w:rFonts w:eastAsia="Calibri" w:cs="Arial"/>
                <w:sz w:val="14"/>
                <w:szCs w:val="14"/>
                <w:lang w:eastAsia="en-US"/>
              </w:rPr>
            </w:pPr>
            <w:r w:rsidRPr="00B563BC">
              <w:rPr>
                <w:rFonts w:eastAsia="Calibri" w:cs="Arial"/>
                <w:sz w:val="14"/>
                <w:szCs w:val="14"/>
                <w:lang w:eastAsia="en-US"/>
              </w:rPr>
              <w:t xml:space="preserve">The </w:t>
            </w:r>
            <w:r w:rsidRPr="009E62E1">
              <w:rPr>
                <w:rFonts w:eastAsia="Calibri" w:cs="Arial"/>
                <w:i/>
                <w:sz w:val="14"/>
                <w:szCs w:val="14"/>
                <w:lang w:eastAsia="en-US"/>
              </w:rPr>
              <w:t>Guide to the Assessment of the Degree of Permanent Impairment</w:t>
            </w:r>
            <w:r w:rsidRPr="00B563BC">
              <w:rPr>
                <w:rFonts w:eastAsia="Calibri" w:cs="Arial"/>
                <w:sz w:val="14"/>
                <w:szCs w:val="14"/>
                <w:lang w:eastAsia="en-US"/>
              </w:rPr>
              <w:t xml:space="preserve"> is a stand-alone document that was prepared for the Comcare scheme predominantly based on AMA5 but with modifications and some substitution.</w:t>
            </w:r>
          </w:p>
          <w:p w14:paraId="25A686F3" w14:textId="77777777" w:rsidR="006A50D4" w:rsidRDefault="00B563BC" w:rsidP="009146AE">
            <w:pPr>
              <w:spacing w:after="60"/>
              <w:contextualSpacing/>
              <w:rPr>
                <w:rFonts w:eastAsia="Calibri" w:cs="Arial"/>
                <w:sz w:val="14"/>
                <w:szCs w:val="14"/>
                <w:lang w:eastAsia="en-US"/>
              </w:rPr>
            </w:pPr>
            <w:r w:rsidRPr="00641566">
              <w:rPr>
                <w:rFonts w:eastAsia="Calibri" w:cs="Arial"/>
                <w:sz w:val="14"/>
                <w:szCs w:val="14"/>
                <w:lang w:eastAsia="en-US"/>
              </w:rPr>
              <w:t>Substituted:</w:t>
            </w:r>
          </w:p>
          <w:p w14:paraId="3878E3B9" w14:textId="26DDCA4C" w:rsidR="00B563BC" w:rsidRPr="00F66868" w:rsidRDefault="00B563BC" w:rsidP="00F839DB">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Visual impairment is based on AMA4</w:t>
            </w:r>
          </w:p>
          <w:p w14:paraId="10C4F9DD" w14:textId="77777777" w:rsidR="00B563BC" w:rsidRPr="00F66868" w:rsidRDefault="00B563BC" w:rsidP="00F839DB">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Psychiatric conditions assessed with reference to specific methodology</w:t>
            </w:r>
          </w:p>
          <w:p w14:paraId="46ADDB38" w14:textId="77777777" w:rsidR="006A50D4" w:rsidRDefault="00B563BC" w:rsidP="00F839DB">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Hearing impairment is assessed with reference to the National Acoustic Laboratory (NAL) Tables from the NAL Report No 118, Improved Procedure for Determining Percentage Loss of Hearing, January 1988</w:t>
            </w:r>
          </w:p>
          <w:p w14:paraId="5474E0A3" w14:textId="77777777" w:rsidR="006A50D4" w:rsidRDefault="00B563BC" w:rsidP="009146AE">
            <w:pPr>
              <w:spacing w:after="60"/>
              <w:contextualSpacing/>
              <w:rPr>
                <w:rFonts w:eastAsia="Calibri" w:cs="Arial"/>
                <w:sz w:val="14"/>
                <w:szCs w:val="14"/>
                <w:lang w:eastAsia="en-US"/>
              </w:rPr>
            </w:pPr>
            <w:r w:rsidRPr="00641566">
              <w:rPr>
                <w:rFonts w:eastAsia="Calibri" w:cs="Arial"/>
                <w:sz w:val="14"/>
                <w:szCs w:val="14"/>
                <w:lang w:eastAsia="en-US"/>
              </w:rPr>
              <w:t>The Guide does provide for an assessment to be made with direct reference to AMA5 in the event that an employee’s impairment cannot be assessed in accordance with the provision of Part 1 of the Guide, with exceptions. An assessment is not to be made using the American Medical Association</w:t>
            </w:r>
            <w:r w:rsidR="00584ACD">
              <w:rPr>
                <w:rFonts w:eastAsia="Calibri" w:cs="Arial"/>
                <w:sz w:val="14"/>
                <w:szCs w:val="14"/>
                <w:lang w:eastAsia="en-US"/>
              </w:rPr>
              <w:fldChar w:fldCharType="begin"/>
            </w:r>
            <w:r w:rsidR="00584ACD">
              <w:instrText xml:space="preserve"> XE "</w:instrText>
            </w:r>
            <w:r w:rsidR="00584ACD" w:rsidRPr="000002A2">
              <w:rPr>
                <w:rFonts w:eastAsia="Calibri"/>
                <w:sz w:val="14"/>
              </w:rPr>
              <w:instrText>American Medical Association</w:instrText>
            </w:r>
            <w:r w:rsidR="00584ACD">
              <w:instrText xml:space="preserve">" </w:instrText>
            </w:r>
            <w:r w:rsidR="00584ACD">
              <w:rPr>
                <w:rFonts w:eastAsia="Calibri" w:cs="Arial"/>
                <w:sz w:val="14"/>
                <w:szCs w:val="14"/>
                <w:lang w:eastAsia="en-US"/>
              </w:rPr>
              <w:fldChar w:fldCharType="end"/>
            </w:r>
            <w:r w:rsidRPr="00641566">
              <w:rPr>
                <w:rFonts w:eastAsia="Calibri" w:cs="Arial"/>
                <w:sz w:val="14"/>
                <w:szCs w:val="14"/>
                <w:lang w:eastAsia="en-US"/>
              </w:rPr>
              <w:t xml:space="preserve">’s </w:t>
            </w:r>
            <w:r w:rsidRPr="009E62E1">
              <w:rPr>
                <w:rFonts w:eastAsia="Calibri" w:cs="Arial"/>
                <w:i/>
                <w:sz w:val="14"/>
                <w:szCs w:val="14"/>
                <w:lang w:eastAsia="en-US"/>
              </w:rPr>
              <w:t>Guides to the Evaluation of Permanent Impairment</w:t>
            </w:r>
            <w:r w:rsidR="00281E99">
              <w:rPr>
                <w:rFonts w:eastAsia="Calibri" w:cs="Arial"/>
                <w:sz w:val="14"/>
                <w:szCs w:val="14"/>
                <w:lang w:eastAsia="en-US"/>
              </w:rPr>
              <w:fldChar w:fldCharType="begin"/>
            </w:r>
            <w:r w:rsidR="00281E99">
              <w:instrText xml:space="preserve"> XE "</w:instrText>
            </w:r>
            <w:r w:rsidR="00281E99" w:rsidRPr="004045C5">
              <w:rPr>
                <w:rFonts w:eastAsia="Calibri" w:cs="Arial"/>
                <w:sz w:val="14"/>
                <w:szCs w:val="14"/>
                <w:lang w:eastAsia="en-US"/>
              </w:rPr>
              <w:instrText>Guides to the Evaluation of Permanent Impairment (American Medical Association)</w:instrText>
            </w:r>
            <w:r w:rsidR="00281E99">
              <w:instrText xml:space="preserve">" </w:instrText>
            </w:r>
            <w:r w:rsidR="00281E99">
              <w:rPr>
                <w:rFonts w:eastAsia="Calibri" w:cs="Arial"/>
                <w:sz w:val="14"/>
                <w:szCs w:val="14"/>
                <w:lang w:eastAsia="en-US"/>
              </w:rPr>
              <w:fldChar w:fldCharType="end"/>
            </w:r>
            <w:r w:rsidRPr="00641566">
              <w:rPr>
                <w:rFonts w:eastAsia="Calibri" w:cs="Arial"/>
                <w:sz w:val="14"/>
                <w:szCs w:val="14"/>
                <w:lang w:eastAsia="en-US"/>
              </w:rPr>
              <w:t xml:space="preserve"> for:</w:t>
            </w:r>
          </w:p>
          <w:p w14:paraId="4F4D0836" w14:textId="16BFBAFB" w:rsidR="00B563BC" w:rsidRPr="00F66868" w:rsidRDefault="00B563BC" w:rsidP="00F839DB">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mental and behavioural impairments</w:t>
            </w:r>
          </w:p>
          <w:p w14:paraId="5940F242" w14:textId="77777777" w:rsidR="00B563BC" w:rsidRPr="00F66868" w:rsidRDefault="00B563BC" w:rsidP="00F839DB">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impairments of the visual system</w:t>
            </w:r>
          </w:p>
          <w:p w14:paraId="2B9AA45F" w14:textId="14D612FE" w:rsidR="00B563BC" w:rsidRPr="00F66868" w:rsidRDefault="00B563BC" w:rsidP="00F839DB">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hearing impairment</w:t>
            </w:r>
            <w:r w:rsidR="00D57A63">
              <w:rPr>
                <w:rFonts w:eastAsia="Calibri" w:cs="Arial"/>
                <w:sz w:val="14"/>
                <w:szCs w:val="14"/>
                <w:lang w:eastAsia="en-US"/>
              </w:rPr>
              <w:fldChar w:fldCharType="begin"/>
            </w:r>
            <w:r w:rsidR="00D57A63">
              <w:instrText xml:space="preserve"> XE "</w:instrText>
            </w:r>
            <w:r w:rsidR="00D57A63" w:rsidRPr="003C702B">
              <w:rPr>
                <w:rFonts w:cs="Arial"/>
                <w:color w:val="000000"/>
                <w:sz w:val="14"/>
                <w:szCs w:val="16"/>
                <w:lang w:val="en-GB"/>
              </w:rPr>
              <w:instrText>hearing impairment</w:instrText>
            </w:r>
            <w:r w:rsidR="00D57A63">
              <w:instrText xml:space="preserve">" </w:instrText>
            </w:r>
            <w:r w:rsidR="00D57A63">
              <w:rPr>
                <w:rFonts w:eastAsia="Calibri" w:cs="Arial"/>
                <w:sz w:val="14"/>
                <w:szCs w:val="14"/>
                <w:lang w:eastAsia="en-US"/>
              </w:rPr>
              <w:fldChar w:fldCharType="end"/>
            </w:r>
            <w:r w:rsidRPr="00F66868">
              <w:rPr>
                <w:rFonts w:eastAsia="Calibri" w:cs="Arial"/>
                <w:sz w:val="14"/>
                <w:szCs w:val="14"/>
                <w:lang w:eastAsia="en-US"/>
              </w:rPr>
              <w:t xml:space="preserve">, or </w:t>
            </w:r>
          </w:p>
          <w:p w14:paraId="66A0948B" w14:textId="77777777" w:rsidR="00B563BC" w:rsidRPr="00F66868" w:rsidRDefault="00B563BC" w:rsidP="00F839DB">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chronic pain conditions except in the case of migraine or tension headaches.</w:t>
            </w:r>
          </w:p>
        </w:tc>
        <w:tc>
          <w:tcPr>
            <w:tcW w:w="4581" w:type="dxa"/>
            <w:shd w:val="clear" w:color="auto" w:fill="FFC9C9"/>
            <w:tcMar>
              <w:top w:w="80" w:type="dxa"/>
              <w:left w:w="142" w:type="dxa"/>
              <w:bottom w:w="80" w:type="dxa"/>
              <w:right w:w="80" w:type="dxa"/>
            </w:tcMar>
          </w:tcPr>
          <w:p w14:paraId="396F9600" w14:textId="77777777" w:rsidR="00B563BC" w:rsidRPr="00B563BC" w:rsidRDefault="00B563BC" w:rsidP="009146AE">
            <w:pPr>
              <w:spacing w:after="60"/>
              <w:rPr>
                <w:rFonts w:cs="Arial"/>
                <w:i/>
                <w:color w:val="000000"/>
                <w:sz w:val="14"/>
                <w:szCs w:val="16"/>
                <w:lang w:val="en-GB"/>
              </w:rPr>
            </w:pPr>
            <w:r w:rsidRPr="00B563BC">
              <w:rPr>
                <w:rFonts w:cs="Arial"/>
                <w:i/>
                <w:color w:val="000000"/>
                <w:sz w:val="14"/>
                <w:szCs w:val="16"/>
                <w:lang w:val="en-GB"/>
              </w:rPr>
              <w:t>Safety Rehabilitation and Compensation Act 1988</w:t>
            </w:r>
          </w:p>
          <w:p w14:paraId="08DA615C" w14:textId="788E181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 xml:space="preserve">An ‘approved guide’ is defined by </w:t>
            </w:r>
            <w:hyperlink r:id="rId870" w:history="1">
              <w:r w:rsidRPr="00AE20BE">
                <w:rPr>
                  <w:rStyle w:val="Hyperlink"/>
                  <w:rFonts w:cs="Arial"/>
                  <w:sz w:val="14"/>
                  <w:szCs w:val="16"/>
                  <w:lang w:val="en-GB"/>
                </w:rPr>
                <w:t>section 4</w:t>
              </w:r>
            </w:hyperlink>
            <w:r w:rsidRPr="00B563BC">
              <w:rPr>
                <w:rFonts w:cs="Arial"/>
                <w:color w:val="000000"/>
                <w:sz w:val="14"/>
                <w:szCs w:val="16"/>
                <w:lang w:val="en-GB"/>
              </w:rPr>
              <w:t xml:space="preserve"> of the SRC Act as meaning:</w:t>
            </w:r>
          </w:p>
          <w:p w14:paraId="3CD5B45A" w14:textId="37913370" w:rsidR="00B563BC" w:rsidRPr="00B563BC" w:rsidRDefault="00B563BC" w:rsidP="00DF35F2">
            <w:pPr>
              <w:numPr>
                <w:ilvl w:val="0"/>
                <w:numId w:val="61"/>
              </w:numPr>
              <w:spacing w:after="60"/>
              <w:ind w:left="357" w:hanging="357"/>
              <w:contextualSpacing/>
              <w:rPr>
                <w:rFonts w:cs="Arial"/>
                <w:color w:val="000000"/>
                <w:sz w:val="14"/>
                <w:szCs w:val="16"/>
                <w:lang w:val="en-GB"/>
              </w:rPr>
            </w:pPr>
            <w:r w:rsidRPr="00B563BC">
              <w:rPr>
                <w:rFonts w:cs="Arial"/>
                <w:color w:val="000000"/>
                <w:sz w:val="14"/>
                <w:szCs w:val="16"/>
                <w:lang w:val="en-GB"/>
              </w:rPr>
              <w:t>the document, prepared by Comcare in accordance with section 28 under the title</w:t>
            </w:r>
            <w:r w:rsidR="00DD0D68">
              <w:rPr>
                <w:rFonts w:cs="Arial"/>
                <w:color w:val="000000"/>
                <w:sz w:val="14"/>
                <w:szCs w:val="16"/>
                <w:lang w:val="en-GB"/>
              </w:rPr>
              <w:t xml:space="preserve"> </w:t>
            </w:r>
            <w:r w:rsidRPr="00B563BC">
              <w:rPr>
                <w:rFonts w:cs="Arial"/>
                <w:color w:val="000000"/>
                <w:sz w:val="14"/>
                <w:szCs w:val="16"/>
                <w:lang w:val="en-GB"/>
              </w:rPr>
              <w:t>‘</w:t>
            </w:r>
            <w:r w:rsidRPr="00B563BC">
              <w:rPr>
                <w:rFonts w:cs="Arial"/>
                <w:i/>
                <w:color w:val="000000"/>
                <w:sz w:val="14"/>
                <w:szCs w:val="16"/>
                <w:lang w:val="en-GB"/>
              </w:rPr>
              <w:t>Guide to the Assessment of the Degree of Permanent Impairment</w:t>
            </w:r>
            <w:r w:rsidR="009E62E1">
              <w:rPr>
                <w:rFonts w:cs="Arial"/>
                <w:color w:val="000000"/>
                <w:sz w:val="14"/>
                <w:szCs w:val="16"/>
                <w:lang w:val="en-GB"/>
              </w:rPr>
              <w:t xml:space="preserve">’, </w:t>
            </w:r>
            <w:r w:rsidRPr="00B563BC">
              <w:rPr>
                <w:rFonts w:cs="Arial"/>
                <w:color w:val="000000"/>
                <w:sz w:val="14"/>
                <w:szCs w:val="16"/>
                <w:lang w:val="en-GB"/>
              </w:rPr>
              <w:t>that has been approved</w:t>
            </w:r>
            <w:r w:rsidR="00DD0D68">
              <w:rPr>
                <w:rFonts w:cs="Arial"/>
                <w:color w:val="000000"/>
                <w:sz w:val="14"/>
                <w:szCs w:val="16"/>
                <w:lang w:val="en-GB"/>
              </w:rPr>
              <w:t xml:space="preserve"> </w:t>
            </w:r>
            <w:r w:rsidRPr="00B563BC">
              <w:rPr>
                <w:rFonts w:cs="Arial"/>
                <w:color w:val="000000"/>
                <w:sz w:val="14"/>
                <w:szCs w:val="16"/>
                <w:lang w:val="en-GB"/>
              </w:rPr>
              <w:t>by the Minister and is for the time being in force; and</w:t>
            </w:r>
          </w:p>
          <w:p w14:paraId="6D74C7CB" w14:textId="6FBFF04B" w:rsidR="00B563BC" w:rsidRPr="00B563BC" w:rsidRDefault="00B563BC" w:rsidP="00DF35F2">
            <w:pPr>
              <w:numPr>
                <w:ilvl w:val="0"/>
                <w:numId w:val="61"/>
              </w:numPr>
              <w:spacing w:after="60"/>
              <w:ind w:left="357" w:hanging="357"/>
              <w:rPr>
                <w:rFonts w:cs="Arial"/>
                <w:color w:val="000000"/>
                <w:sz w:val="14"/>
                <w:szCs w:val="16"/>
                <w:lang w:val="en-GB"/>
              </w:rPr>
            </w:pPr>
            <w:r w:rsidRPr="00B563BC">
              <w:rPr>
                <w:rFonts w:cs="Arial"/>
                <w:color w:val="000000"/>
                <w:sz w:val="14"/>
                <w:szCs w:val="16"/>
                <w:lang w:val="en-GB"/>
              </w:rPr>
              <w:t xml:space="preserve">if an instrument varying the document has been approved by the Minister </w:t>
            </w:r>
            <w:r w:rsidR="00156139">
              <w:rPr>
                <w:rFonts w:cs="Arial"/>
                <w:color w:val="000000"/>
                <w:sz w:val="14"/>
                <w:szCs w:val="16"/>
                <w:lang w:val="en-GB"/>
              </w:rPr>
              <w:t>—</w:t>
            </w:r>
            <w:r w:rsidR="00156139" w:rsidRPr="00B563BC">
              <w:rPr>
                <w:rFonts w:cs="Arial"/>
                <w:color w:val="000000"/>
                <w:sz w:val="14"/>
                <w:szCs w:val="16"/>
                <w:lang w:val="en-GB"/>
              </w:rPr>
              <w:t xml:space="preserve"> </w:t>
            </w:r>
            <w:r w:rsidRPr="00B563BC">
              <w:rPr>
                <w:rFonts w:cs="Arial"/>
                <w:color w:val="000000"/>
                <w:sz w:val="14"/>
                <w:szCs w:val="16"/>
                <w:lang w:val="en-GB"/>
              </w:rPr>
              <w:t>that document as so varied.</w:t>
            </w:r>
          </w:p>
          <w:p w14:paraId="3421B48D" w14:textId="609B8EC8" w:rsidR="00B563BC" w:rsidRPr="00B563BC" w:rsidRDefault="00B563BC" w:rsidP="009146AE">
            <w:pPr>
              <w:spacing w:after="60"/>
              <w:contextualSpacing/>
              <w:rPr>
                <w:rFonts w:eastAsia="Calibri" w:cs="Arial"/>
                <w:sz w:val="14"/>
                <w:szCs w:val="14"/>
                <w:lang w:eastAsia="en-US"/>
              </w:rPr>
            </w:pPr>
            <w:r w:rsidRPr="00B563BC">
              <w:rPr>
                <w:rFonts w:eastAsia="Calibri" w:cs="Arial"/>
                <w:sz w:val="14"/>
                <w:szCs w:val="14"/>
                <w:lang w:eastAsia="en-US"/>
              </w:rPr>
              <w:t xml:space="preserve">Authority for the Guide rests in subsections </w:t>
            </w:r>
            <w:hyperlink r:id="rId871" w:history="1">
              <w:r w:rsidRPr="00AE20BE">
                <w:rPr>
                  <w:rStyle w:val="Hyperlink"/>
                  <w:rFonts w:eastAsia="Calibri" w:cs="Arial"/>
                  <w:sz w:val="14"/>
                  <w:szCs w:val="14"/>
                  <w:lang w:eastAsia="en-US"/>
                </w:rPr>
                <w:t>28(1)</w:t>
              </w:r>
            </w:hyperlink>
            <w:r w:rsidRPr="00B563BC">
              <w:rPr>
                <w:rFonts w:eastAsia="Calibri" w:cs="Arial"/>
                <w:sz w:val="14"/>
                <w:szCs w:val="14"/>
                <w:lang w:eastAsia="en-US"/>
              </w:rPr>
              <w:t xml:space="preserve">, </w:t>
            </w:r>
            <w:hyperlink r:id="rId872" w:history="1">
              <w:r w:rsidRPr="00AE20BE">
                <w:rPr>
                  <w:rStyle w:val="Hyperlink"/>
                  <w:rFonts w:eastAsia="Calibri" w:cs="Arial"/>
                  <w:sz w:val="14"/>
                  <w:szCs w:val="14"/>
                  <w:lang w:eastAsia="en-US"/>
                </w:rPr>
                <w:t>28(2)</w:t>
              </w:r>
            </w:hyperlink>
            <w:r w:rsidRPr="00B563BC">
              <w:rPr>
                <w:rFonts w:eastAsia="Calibri" w:cs="Arial"/>
                <w:sz w:val="14"/>
                <w:szCs w:val="14"/>
                <w:lang w:eastAsia="en-US"/>
              </w:rPr>
              <w:t xml:space="preserve"> and </w:t>
            </w:r>
            <w:hyperlink r:id="rId873" w:history="1">
              <w:r w:rsidRPr="00AE20BE">
                <w:rPr>
                  <w:rStyle w:val="Hyperlink"/>
                  <w:rFonts w:eastAsia="Calibri" w:cs="Arial"/>
                  <w:sz w:val="14"/>
                  <w:szCs w:val="14"/>
                  <w:lang w:eastAsia="en-US"/>
                </w:rPr>
                <w:t>28(3)</w:t>
              </w:r>
            </w:hyperlink>
            <w:r w:rsidRPr="00B563BC">
              <w:rPr>
                <w:rFonts w:eastAsia="Calibri" w:cs="Arial"/>
                <w:sz w:val="14"/>
                <w:szCs w:val="14"/>
                <w:lang w:eastAsia="en-US"/>
              </w:rPr>
              <w:t xml:space="preserve"> of the SRC Act.</w:t>
            </w:r>
          </w:p>
        </w:tc>
      </w:tr>
      <w:tr w:rsidR="00B563BC" w:rsidRPr="00B563BC" w14:paraId="6E380B5F" w14:textId="77777777" w:rsidTr="00E80FC6">
        <w:tc>
          <w:tcPr>
            <w:tcW w:w="1701" w:type="dxa"/>
            <w:tcMar>
              <w:top w:w="80" w:type="dxa"/>
              <w:left w:w="80" w:type="dxa"/>
              <w:bottom w:w="80" w:type="dxa"/>
              <w:right w:w="80" w:type="dxa"/>
            </w:tcMar>
          </w:tcPr>
          <w:p w14:paraId="1DE13C0A"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C’wealth Seacare</w:t>
            </w:r>
          </w:p>
        </w:tc>
        <w:tc>
          <w:tcPr>
            <w:tcW w:w="1049" w:type="dxa"/>
            <w:tcMar>
              <w:top w:w="80" w:type="dxa"/>
              <w:left w:w="80" w:type="dxa"/>
              <w:bottom w:w="80" w:type="dxa"/>
              <w:right w:w="80" w:type="dxa"/>
            </w:tcMar>
          </w:tcPr>
          <w:p w14:paraId="64C909BF" w14:textId="197679B8"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5th Edition</w:t>
            </w:r>
          </w:p>
        </w:tc>
        <w:tc>
          <w:tcPr>
            <w:tcW w:w="1049" w:type="dxa"/>
            <w:tcMar>
              <w:top w:w="80" w:type="dxa"/>
              <w:left w:w="80" w:type="dxa"/>
              <w:bottom w:w="80" w:type="dxa"/>
              <w:right w:w="80" w:type="dxa"/>
            </w:tcMar>
          </w:tcPr>
          <w:p w14:paraId="0F87D47C" w14:textId="1EFD8088"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Stand-alone</w:t>
            </w:r>
          </w:p>
        </w:tc>
        <w:tc>
          <w:tcPr>
            <w:tcW w:w="7116" w:type="dxa"/>
            <w:tcMar>
              <w:top w:w="80" w:type="dxa"/>
              <w:left w:w="80" w:type="dxa"/>
              <w:bottom w:w="80" w:type="dxa"/>
              <w:right w:w="80" w:type="dxa"/>
            </w:tcMar>
          </w:tcPr>
          <w:p w14:paraId="389B1D85" w14:textId="77777777" w:rsidR="006A50D4" w:rsidRDefault="00B563BC" w:rsidP="009146AE">
            <w:pPr>
              <w:spacing w:after="60"/>
              <w:contextualSpacing/>
              <w:rPr>
                <w:rFonts w:eastAsia="Calibri" w:cs="Arial"/>
                <w:sz w:val="14"/>
                <w:szCs w:val="14"/>
                <w:lang w:eastAsia="en-US"/>
              </w:rPr>
            </w:pPr>
            <w:r w:rsidRPr="00B563BC">
              <w:rPr>
                <w:rFonts w:eastAsia="Calibri" w:cs="Arial"/>
                <w:sz w:val="14"/>
                <w:szCs w:val="14"/>
                <w:lang w:eastAsia="en-US"/>
              </w:rPr>
              <w:t xml:space="preserve">The </w:t>
            </w:r>
            <w:r w:rsidRPr="009E62E1">
              <w:rPr>
                <w:rFonts w:eastAsia="Calibri" w:cs="Arial"/>
                <w:i/>
                <w:sz w:val="14"/>
                <w:szCs w:val="14"/>
                <w:lang w:eastAsia="en-US"/>
              </w:rPr>
              <w:t>Guide to the Assessment of the Degree of Permanent Impairment</w:t>
            </w:r>
            <w:r w:rsidRPr="00B563BC">
              <w:rPr>
                <w:rFonts w:eastAsia="Calibri" w:cs="Arial"/>
                <w:sz w:val="14"/>
                <w:szCs w:val="14"/>
                <w:lang w:eastAsia="en-US"/>
              </w:rPr>
              <w:t xml:space="preserve"> is a stand-alone document that was prepared for the Comcare scheme predominantly based on AMA5 but with modifications and some substitution.</w:t>
            </w:r>
          </w:p>
          <w:p w14:paraId="699CA2B5" w14:textId="77777777" w:rsidR="006A50D4" w:rsidRDefault="00B563BC" w:rsidP="009146AE">
            <w:pPr>
              <w:spacing w:after="60"/>
              <w:contextualSpacing/>
              <w:rPr>
                <w:rFonts w:eastAsia="Calibri" w:cs="Arial"/>
                <w:sz w:val="14"/>
                <w:szCs w:val="14"/>
                <w:lang w:eastAsia="en-US"/>
              </w:rPr>
            </w:pPr>
            <w:r w:rsidRPr="00B563BC">
              <w:rPr>
                <w:rFonts w:eastAsia="Calibri" w:cs="Arial"/>
                <w:sz w:val="14"/>
                <w:szCs w:val="14"/>
                <w:lang w:eastAsia="en-US"/>
              </w:rPr>
              <w:t>Substituted:</w:t>
            </w:r>
          </w:p>
          <w:p w14:paraId="71C947E9" w14:textId="31C83B6D" w:rsidR="00B563BC" w:rsidRPr="00614657" w:rsidRDefault="00B563BC" w:rsidP="00F839DB">
            <w:pPr>
              <w:pStyle w:val="ListParagraph"/>
              <w:numPr>
                <w:ilvl w:val="0"/>
                <w:numId w:val="108"/>
              </w:numPr>
              <w:spacing w:after="60"/>
              <w:contextualSpacing/>
              <w:rPr>
                <w:rFonts w:eastAsia="Calibri" w:cs="Arial"/>
                <w:sz w:val="14"/>
                <w:szCs w:val="14"/>
                <w:lang w:eastAsia="en-US"/>
              </w:rPr>
            </w:pPr>
            <w:r w:rsidRPr="00614657">
              <w:rPr>
                <w:rFonts w:eastAsia="Calibri" w:cs="Arial"/>
                <w:sz w:val="14"/>
                <w:szCs w:val="14"/>
                <w:lang w:eastAsia="en-US"/>
              </w:rPr>
              <w:t>Visual impairment is based on AMA4</w:t>
            </w:r>
          </w:p>
          <w:p w14:paraId="51D8A9DC" w14:textId="77777777" w:rsidR="00B563BC" w:rsidRPr="00614657" w:rsidRDefault="00B563BC" w:rsidP="00F839DB">
            <w:pPr>
              <w:pStyle w:val="ListParagraph"/>
              <w:numPr>
                <w:ilvl w:val="0"/>
                <w:numId w:val="108"/>
              </w:numPr>
              <w:spacing w:after="60"/>
              <w:contextualSpacing/>
              <w:rPr>
                <w:rFonts w:eastAsia="Calibri" w:cs="Arial"/>
                <w:sz w:val="14"/>
                <w:szCs w:val="14"/>
                <w:lang w:eastAsia="en-US"/>
              </w:rPr>
            </w:pPr>
            <w:r w:rsidRPr="00614657">
              <w:rPr>
                <w:rFonts w:eastAsia="Calibri" w:cs="Arial"/>
                <w:sz w:val="14"/>
                <w:szCs w:val="14"/>
                <w:lang w:eastAsia="en-US"/>
              </w:rPr>
              <w:t>Psychiatric conditions assessed with reference to specific methodology</w:t>
            </w:r>
          </w:p>
          <w:p w14:paraId="56033694" w14:textId="77777777" w:rsidR="006A50D4" w:rsidRDefault="00B563BC" w:rsidP="00F839DB">
            <w:pPr>
              <w:pStyle w:val="ListParagraph"/>
              <w:numPr>
                <w:ilvl w:val="0"/>
                <w:numId w:val="108"/>
              </w:numPr>
              <w:spacing w:after="60"/>
              <w:contextualSpacing/>
              <w:rPr>
                <w:rFonts w:eastAsia="Calibri" w:cs="Arial"/>
                <w:sz w:val="14"/>
                <w:szCs w:val="14"/>
                <w:lang w:eastAsia="en-US"/>
              </w:rPr>
            </w:pPr>
            <w:r w:rsidRPr="00614657">
              <w:rPr>
                <w:rFonts w:eastAsia="Calibri" w:cs="Arial"/>
                <w:sz w:val="14"/>
                <w:szCs w:val="14"/>
                <w:lang w:eastAsia="en-US"/>
              </w:rPr>
              <w:t>Hearing impairment is assessed with reference to the National Acoustic Laboratory (NAL) Tables from the NAL Report No 118, Improved Procedure for Determining Percentage Loss of Hearing, January 1988</w:t>
            </w:r>
          </w:p>
          <w:p w14:paraId="29E99A70" w14:textId="391AD8FD" w:rsidR="00B563BC" w:rsidRPr="00B563BC" w:rsidRDefault="00B563BC" w:rsidP="009146AE">
            <w:pPr>
              <w:spacing w:after="60"/>
              <w:contextualSpacing/>
              <w:rPr>
                <w:rFonts w:eastAsia="Calibri" w:cs="Arial"/>
                <w:sz w:val="14"/>
                <w:szCs w:val="14"/>
                <w:lang w:eastAsia="en-US"/>
              </w:rPr>
            </w:pPr>
            <w:r w:rsidRPr="00B563BC">
              <w:rPr>
                <w:rFonts w:eastAsia="Calibri" w:cs="Arial"/>
                <w:sz w:val="14"/>
                <w:szCs w:val="14"/>
                <w:lang w:eastAsia="en-US"/>
              </w:rPr>
              <w:t xml:space="preserve">The Guide does provide for an assessment to be made with direct reference to AMA5 in the event that an employee’s impairment cannot be assessed in accordance with the provision of Part 1 of the Guide, with exceptions. An assessment is not to be made using the AMA </w:t>
            </w:r>
            <w:r w:rsidRPr="009E62E1">
              <w:rPr>
                <w:rFonts w:eastAsia="Calibri" w:cs="Arial"/>
                <w:i/>
                <w:sz w:val="14"/>
                <w:szCs w:val="14"/>
                <w:lang w:eastAsia="en-US"/>
              </w:rPr>
              <w:t>Guides to the Evaluation of Permanent Impairment</w:t>
            </w:r>
            <w:r w:rsidR="00281E99" w:rsidRPr="009E62E1">
              <w:rPr>
                <w:rFonts w:eastAsia="Calibri" w:cs="Arial"/>
                <w:i/>
                <w:sz w:val="14"/>
                <w:szCs w:val="14"/>
                <w:lang w:eastAsia="en-US"/>
              </w:rPr>
              <w:fldChar w:fldCharType="begin"/>
            </w:r>
            <w:r w:rsidR="00281E99" w:rsidRPr="009E62E1">
              <w:rPr>
                <w:i/>
              </w:rPr>
              <w:instrText xml:space="preserve"> XE "</w:instrText>
            </w:r>
            <w:r w:rsidR="00281E99" w:rsidRPr="009E62E1">
              <w:rPr>
                <w:rFonts w:eastAsia="Calibri" w:cs="Arial"/>
                <w:i/>
                <w:sz w:val="14"/>
                <w:szCs w:val="14"/>
                <w:lang w:eastAsia="en-US"/>
              </w:rPr>
              <w:instrText>Guides to the Evaluation of Permanent Impairment (American Medical Association)</w:instrText>
            </w:r>
            <w:r w:rsidR="00281E99" w:rsidRPr="009E62E1">
              <w:rPr>
                <w:i/>
              </w:rPr>
              <w:instrText xml:space="preserve">" </w:instrText>
            </w:r>
            <w:r w:rsidR="00281E99" w:rsidRPr="009E62E1">
              <w:rPr>
                <w:rFonts w:eastAsia="Calibri" w:cs="Arial"/>
                <w:i/>
                <w:sz w:val="14"/>
                <w:szCs w:val="14"/>
                <w:lang w:eastAsia="en-US"/>
              </w:rPr>
              <w:fldChar w:fldCharType="end"/>
            </w:r>
            <w:r w:rsidRPr="009E62E1">
              <w:rPr>
                <w:rFonts w:eastAsia="Calibri" w:cs="Arial"/>
                <w:i/>
                <w:sz w:val="14"/>
                <w:szCs w:val="14"/>
                <w:lang w:eastAsia="en-US"/>
              </w:rPr>
              <w:t xml:space="preserve"> </w:t>
            </w:r>
            <w:r w:rsidRPr="00B563BC">
              <w:rPr>
                <w:rFonts w:eastAsia="Calibri" w:cs="Arial"/>
                <w:sz w:val="14"/>
                <w:szCs w:val="14"/>
                <w:lang w:eastAsia="en-US"/>
              </w:rPr>
              <w:t>for:</w:t>
            </w:r>
          </w:p>
          <w:p w14:paraId="01D688C4" w14:textId="77777777" w:rsidR="00B563BC" w:rsidRPr="00614657" w:rsidRDefault="00B563BC" w:rsidP="00F839DB">
            <w:pPr>
              <w:pStyle w:val="ListParagraph"/>
              <w:numPr>
                <w:ilvl w:val="0"/>
                <w:numId w:val="109"/>
              </w:numPr>
              <w:spacing w:after="60"/>
              <w:contextualSpacing/>
              <w:rPr>
                <w:rFonts w:eastAsia="Calibri" w:cs="Arial"/>
                <w:sz w:val="14"/>
                <w:szCs w:val="14"/>
                <w:lang w:eastAsia="en-US"/>
              </w:rPr>
            </w:pPr>
            <w:r w:rsidRPr="00614657">
              <w:rPr>
                <w:rFonts w:eastAsia="Calibri" w:cs="Arial"/>
                <w:sz w:val="14"/>
                <w:szCs w:val="14"/>
                <w:lang w:eastAsia="en-US"/>
              </w:rPr>
              <w:t>mental and behavioural impairments</w:t>
            </w:r>
          </w:p>
          <w:p w14:paraId="1E498505" w14:textId="77777777" w:rsidR="00B563BC" w:rsidRPr="00614657" w:rsidRDefault="00B563BC" w:rsidP="00F839DB">
            <w:pPr>
              <w:pStyle w:val="ListParagraph"/>
              <w:numPr>
                <w:ilvl w:val="0"/>
                <w:numId w:val="109"/>
              </w:numPr>
              <w:spacing w:after="60"/>
              <w:contextualSpacing/>
              <w:rPr>
                <w:rFonts w:eastAsia="Calibri" w:cs="Arial"/>
                <w:sz w:val="14"/>
                <w:szCs w:val="14"/>
                <w:lang w:eastAsia="en-US"/>
              </w:rPr>
            </w:pPr>
            <w:r w:rsidRPr="00614657">
              <w:rPr>
                <w:rFonts w:eastAsia="Calibri" w:cs="Arial"/>
                <w:sz w:val="14"/>
                <w:szCs w:val="14"/>
                <w:lang w:eastAsia="en-US"/>
              </w:rPr>
              <w:t>impairments of the visual system</w:t>
            </w:r>
          </w:p>
          <w:p w14:paraId="0580E50B" w14:textId="73A357C9" w:rsidR="00B563BC" w:rsidRPr="00614657" w:rsidRDefault="00B563BC" w:rsidP="00F839DB">
            <w:pPr>
              <w:pStyle w:val="ListParagraph"/>
              <w:numPr>
                <w:ilvl w:val="0"/>
                <w:numId w:val="109"/>
              </w:numPr>
              <w:spacing w:after="60"/>
              <w:contextualSpacing/>
              <w:rPr>
                <w:rFonts w:eastAsia="Calibri" w:cs="Arial"/>
                <w:sz w:val="14"/>
                <w:szCs w:val="14"/>
                <w:lang w:eastAsia="en-US"/>
              </w:rPr>
            </w:pPr>
            <w:r w:rsidRPr="00614657">
              <w:rPr>
                <w:rFonts w:eastAsia="Calibri" w:cs="Arial"/>
                <w:sz w:val="14"/>
                <w:szCs w:val="14"/>
                <w:lang w:eastAsia="en-US"/>
              </w:rPr>
              <w:t>hearing impairment</w:t>
            </w:r>
            <w:r w:rsidR="00D57A63">
              <w:rPr>
                <w:rFonts w:eastAsia="Calibri" w:cs="Arial"/>
                <w:sz w:val="14"/>
                <w:szCs w:val="14"/>
                <w:lang w:eastAsia="en-US"/>
              </w:rPr>
              <w:fldChar w:fldCharType="begin"/>
            </w:r>
            <w:r w:rsidR="00D57A63">
              <w:instrText xml:space="preserve"> XE "</w:instrText>
            </w:r>
            <w:r w:rsidR="00D57A63" w:rsidRPr="003C702B">
              <w:rPr>
                <w:rFonts w:cs="Arial"/>
                <w:color w:val="000000"/>
                <w:sz w:val="14"/>
                <w:szCs w:val="16"/>
                <w:lang w:val="en-GB"/>
              </w:rPr>
              <w:instrText>hearing impairment</w:instrText>
            </w:r>
            <w:r w:rsidR="00D57A63">
              <w:instrText xml:space="preserve">" </w:instrText>
            </w:r>
            <w:r w:rsidR="00D57A63">
              <w:rPr>
                <w:rFonts w:eastAsia="Calibri" w:cs="Arial"/>
                <w:sz w:val="14"/>
                <w:szCs w:val="14"/>
                <w:lang w:eastAsia="en-US"/>
              </w:rPr>
              <w:fldChar w:fldCharType="end"/>
            </w:r>
            <w:r w:rsidRPr="00614657">
              <w:rPr>
                <w:rFonts w:eastAsia="Calibri" w:cs="Arial"/>
                <w:sz w:val="14"/>
                <w:szCs w:val="14"/>
                <w:lang w:eastAsia="en-US"/>
              </w:rPr>
              <w:t xml:space="preserve">, or </w:t>
            </w:r>
          </w:p>
          <w:p w14:paraId="3CDF8168" w14:textId="77777777" w:rsidR="00B563BC" w:rsidRPr="00614657" w:rsidRDefault="00B563BC" w:rsidP="00F839DB">
            <w:pPr>
              <w:pStyle w:val="ListParagraph"/>
              <w:numPr>
                <w:ilvl w:val="0"/>
                <w:numId w:val="109"/>
              </w:numPr>
              <w:spacing w:after="60"/>
              <w:contextualSpacing/>
              <w:rPr>
                <w:rFonts w:eastAsia="Calibri" w:cs="Arial"/>
                <w:sz w:val="14"/>
                <w:szCs w:val="14"/>
                <w:lang w:eastAsia="en-US"/>
              </w:rPr>
            </w:pPr>
            <w:r w:rsidRPr="00614657">
              <w:rPr>
                <w:rFonts w:eastAsia="Calibri" w:cs="Arial"/>
                <w:sz w:val="14"/>
                <w:szCs w:val="14"/>
                <w:lang w:eastAsia="en-US"/>
              </w:rPr>
              <w:t>chronic pain conditions except in the case of migraine or tension.</w:t>
            </w:r>
          </w:p>
        </w:tc>
        <w:tc>
          <w:tcPr>
            <w:tcW w:w="4581" w:type="dxa"/>
            <w:tcMar>
              <w:top w:w="80" w:type="dxa"/>
              <w:left w:w="142" w:type="dxa"/>
              <w:bottom w:w="80" w:type="dxa"/>
              <w:right w:w="80" w:type="dxa"/>
            </w:tcMar>
          </w:tcPr>
          <w:p w14:paraId="65744546" w14:textId="77777777" w:rsidR="00B563BC" w:rsidRPr="00B563BC" w:rsidRDefault="00B563BC" w:rsidP="009146AE">
            <w:pPr>
              <w:spacing w:after="60"/>
              <w:rPr>
                <w:rFonts w:cs="Arial"/>
                <w:i/>
                <w:color w:val="000000"/>
                <w:sz w:val="14"/>
                <w:szCs w:val="16"/>
                <w:lang w:val="en-GB"/>
              </w:rPr>
            </w:pPr>
            <w:r w:rsidRPr="00B563BC">
              <w:rPr>
                <w:rFonts w:cs="Arial"/>
                <w:i/>
                <w:color w:val="000000"/>
                <w:sz w:val="14"/>
                <w:szCs w:val="16"/>
                <w:lang w:val="en-GB"/>
              </w:rPr>
              <w:t>Seafarers’ Rehabilitation and Compensation Act (1992)</w:t>
            </w:r>
          </w:p>
          <w:p w14:paraId="38928E1C" w14:textId="4EDEEB75"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 xml:space="preserve">An ‘approved guide’ is defined by </w:t>
            </w:r>
            <w:hyperlink r:id="rId874" w:history="1">
              <w:r w:rsidRPr="00AE20BE">
                <w:rPr>
                  <w:rStyle w:val="Hyperlink"/>
                  <w:rFonts w:cs="Arial"/>
                  <w:sz w:val="14"/>
                  <w:szCs w:val="16"/>
                  <w:lang w:val="en-GB"/>
                </w:rPr>
                <w:t>section 3</w:t>
              </w:r>
            </w:hyperlink>
            <w:r w:rsidRPr="00B563BC">
              <w:rPr>
                <w:rFonts w:cs="Arial"/>
                <w:color w:val="000000"/>
                <w:sz w:val="14"/>
                <w:szCs w:val="16"/>
                <w:lang w:val="en-GB"/>
              </w:rPr>
              <w:t xml:space="preserve"> of the Seafarers Act as meaning:</w:t>
            </w:r>
          </w:p>
          <w:p w14:paraId="69628F6D" w14:textId="3B892D40" w:rsidR="00B563BC" w:rsidRPr="00B563BC" w:rsidRDefault="00B563BC" w:rsidP="00DF35F2">
            <w:pPr>
              <w:numPr>
                <w:ilvl w:val="0"/>
                <w:numId w:val="62"/>
              </w:numPr>
              <w:spacing w:after="60"/>
              <w:rPr>
                <w:rFonts w:cs="Arial"/>
                <w:color w:val="000000"/>
                <w:sz w:val="14"/>
                <w:szCs w:val="16"/>
                <w:lang w:val="en-GB"/>
              </w:rPr>
            </w:pPr>
            <w:r w:rsidRPr="00B563BC">
              <w:rPr>
                <w:rFonts w:cs="Arial"/>
                <w:color w:val="000000"/>
                <w:sz w:val="14"/>
                <w:szCs w:val="16"/>
                <w:lang w:val="en-GB"/>
              </w:rPr>
              <w:t>the document, prepared by the Authority in accordance with section 42 under the title</w:t>
            </w:r>
            <w:r w:rsidR="00DD0D68">
              <w:rPr>
                <w:rFonts w:cs="Arial"/>
                <w:color w:val="000000"/>
                <w:sz w:val="14"/>
                <w:szCs w:val="16"/>
                <w:lang w:val="en-GB"/>
              </w:rPr>
              <w:t xml:space="preserve"> </w:t>
            </w:r>
            <w:r w:rsidRPr="00B563BC">
              <w:rPr>
                <w:rFonts w:cs="Arial"/>
                <w:color w:val="000000"/>
                <w:sz w:val="14"/>
                <w:szCs w:val="16"/>
                <w:lang w:val="en-GB"/>
              </w:rPr>
              <w:t>‘</w:t>
            </w:r>
            <w:r w:rsidRPr="009E62E1">
              <w:rPr>
                <w:rFonts w:cs="Arial"/>
                <w:i/>
                <w:color w:val="000000"/>
                <w:sz w:val="14"/>
                <w:szCs w:val="16"/>
                <w:lang w:val="en-GB"/>
              </w:rPr>
              <w:t>Guide to the Assessment of the</w:t>
            </w:r>
            <w:r w:rsidR="009E62E1" w:rsidRPr="009E62E1">
              <w:rPr>
                <w:rFonts w:cs="Arial"/>
                <w:i/>
                <w:color w:val="000000"/>
                <w:sz w:val="14"/>
                <w:szCs w:val="16"/>
                <w:lang w:val="en-GB"/>
              </w:rPr>
              <w:t xml:space="preserve"> Degree of Permanent Impairment</w:t>
            </w:r>
            <w:r w:rsidR="009E62E1">
              <w:rPr>
                <w:rFonts w:cs="Arial"/>
                <w:color w:val="000000"/>
                <w:sz w:val="14"/>
                <w:szCs w:val="16"/>
                <w:lang w:val="en-GB"/>
              </w:rPr>
              <w:t>’</w:t>
            </w:r>
            <w:r w:rsidRPr="00B563BC">
              <w:rPr>
                <w:rFonts w:cs="Arial"/>
                <w:color w:val="000000"/>
                <w:sz w:val="14"/>
                <w:szCs w:val="16"/>
                <w:lang w:val="en-GB"/>
              </w:rPr>
              <w:t>, that has been approved</w:t>
            </w:r>
            <w:r w:rsidR="00DD0D68">
              <w:rPr>
                <w:rFonts w:cs="Arial"/>
                <w:color w:val="000000"/>
                <w:sz w:val="14"/>
                <w:szCs w:val="16"/>
                <w:lang w:val="en-GB"/>
              </w:rPr>
              <w:t xml:space="preserve"> </w:t>
            </w:r>
            <w:r w:rsidRPr="00B563BC">
              <w:rPr>
                <w:rFonts w:cs="Arial"/>
                <w:color w:val="000000"/>
                <w:sz w:val="14"/>
                <w:szCs w:val="16"/>
                <w:lang w:val="en-GB"/>
              </w:rPr>
              <w:t>by the Minister and is for the time being in force; and</w:t>
            </w:r>
          </w:p>
          <w:p w14:paraId="05253ED7" w14:textId="317266DB" w:rsidR="00B563BC" w:rsidRPr="00B563BC" w:rsidRDefault="00B563BC" w:rsidP="00DF35F2">
            <w:pPr>
              <w:numPr>
                <w:ilvl w:val="0"/>
                <w:numId w:val="62"/>
              </w:numPr>
              <w:spacing w:after="60"/>
              <w:rPr>
                <w:rFonts w:cs="Arial"/>
                <w:color w:val="000000"/>
                <w:sz w:val="14"/>
                <w:szCs w:val="16"/>
                <w:lang w:val="en-GB"/>
              </w:rPr>
            </w:pPr>
            <w:r w:rsidRPr="00B563BC">
              <w:rPr>
                <w:rFonts w:cs="Arial"/>
                <w:color w:val="000000"/>
                <w:sz w:val="14"/>
                <w:szCs w:val="16"/>
                <w:lang w:val="en-GB"/>
              </w:rPr>
              <w:t xml:space="preserve">if an instrument varying the document has been approved by the Minister </w:t>
            </w:r>
            <w:r w:rsidR="00156139">
              <w:rPr>
                <w:rFonts w:cs="Arial"/>
                <w:color w:val="000000"/>
                <w:sz w:val="14"/>
                <w:szCs w:val="16"/>
                <w:lang w:val="en-GB"/>
              </w:rPr>
              <w:t>—</w:t>
            </w:r>
            <w:r w:rsidR="00156139" w:rsidRPr="00B563BC">
              <w:rPr>
                <w:rFonts w:cs="Arial"/>
                <w:color w:val="000000"/>
                <w:sz w:val="14"/>
                <w:szCs w:val="16"/>
                <w:lang w:val="en-GB"/>
              </w:rPr>
              <w:t xml:space="preserve"> </w:t>
            </w:r>
            <w:r w:rsidRPr="00B563BC">
              <w:rPr>
                <w:rFonts w:cs="Arial"/>
                <w:color w:val="000000"/>
                <w:sz w:val="14"/>
                <w:szCs w:val="16"/>
                <w:lang w:val="en-GB"/>
              </w:rPr>
              <w:t>that document as so varied.</w:t>
            </w:r>
          </w:p>
          <w:p w14:paraId="00E86359" w14:textId="36A05055"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 xml:space="preserve">Authority for the Guide rests in subsections </w:t>
            </w:r>
            <w:hyperlink r:id="rId875" w:history="1">
              <w:r w:rsidRPr="00AE20BE">
                <w:rPr>
                  <w:rStyle w:val="Hyperlink"/>
                  <w:rFonts w:cs="Arial"/>
                  <w:sz w:val="14"/>
                  <w:szCs w:val="16"/>
                  <w:lang w:val="en-GB"/>
                </w:rPr>
                <w:t>42(1)</w:t>
              </w:r>
            </w:hyperlink>
            <w:r w:rsidRPr="00B563BC">
              <w:rPr>
                <w:rFonts w:cs="Arial"/>
                <w:color w:val="000000"/>
                <w:sz w:val="14"/>
                <w:szCs w:val="16"/>
                <w:lang w:val="en-GB"/>
              </w:rPr>
              <w:t xml:space="preserve">, </w:t>
            </w:r>
            <w:hyperlink r:id="rId876" w:history="1">
              <w:r w:rsidRPr="00AE20BE">
                <w:rPr>
                  <w:rStyle w:val="Hyperlink"/>
                  <w:rFonts w:cs="Arial"/>
                  <w:sz w:val="14"/>
                  <w:szCs w:val="16"/>
                  <w:lang w:val="en-GB"/>
                </w:rPr>
                <w:t>42(2)</w:t>
              </w:r>
            </w:hyperlink>
            <w:r w:rsidRPr="00B563BC">
              <w:rPr>
                <w:rFonts w:cs="Arial"/>
                <w:color w:val="000000"/>
                <w:sz w:val="14"/>
                <w:szCs w:val="16"/>
                <w:lang w:val="en-GB"/>
              </w:rPr>
              <w:t xml:space="preserve"> and </w:t>
            </w:r>
            <w:hyperlink r:id="rId877" w:history="1">
              <w:r w:rsidRPr="00AE20BE">
                <w:rPr>
                  <w:rStyle w:val="Hyperlink"/>
                  <w:rFonts w:cs="Arial"/>
                  <w:sz w:val="14"/>
                  <w:szCs w:val="16"/>
                  <w:lang w:val="en-GB"/>
                </w:rPr>
                <w:t>42(3)</w:t>
              </w:r>
            </w:hyperlink>
            <w:r w:rsidRPr="00B563BC">
              <w:rPr>
                <w:rFonts w:cs="Arial"/>
                <w:color w:val="000000"/>
                <w:sz w:val="14"/>
                <w:szCs w:val="16"/>
                <w:lang w:val="en-GB"/>
              </w:rPr>
              <w:t xml:space="preserve"> of the </w:t>
            </w:r>
            <w:r w:rsidRPr="00C50806">
              <w:rPr>
                <w:rFonts w:cs="Arial"/>
                <w:color w:val="000000"/>
                <w:sz w:val="14"/>
                <w:szCs w:val="16"/>
                <w:lang w:val="en-GB"/>
              </w:rPr>
              <w:t>Seafarers Act</w:t>
            </w:r>
          </w:p>
        </w:tc>
      </w:tr>
      <w:tr w:rsidR="00B563BC" w:rsidRPr="00B563BC" w14:paraId="62AC4732" w14:textId="77777777" w:rsidTr="00E80FC6">
        <w:tc>
          <w:tcPr>
            <w:tcW w:w="1701" w:type="dxa"/>
            <w:shd w:val="clear" w:color="auto" w:fill="FFC9C9"/>
            <w:tcMar>
              <w:top w:w="80" w:type="dxa"/>
              <w:left w:w="80" w:type="dxa"/>
              <w:bottom w:w="80" w:type="dxa"/>
              <w:right w:w="80" w:type="dxa"/>
            </w:tcMar>
          </w:tcPr>
          <w:p w14:paraId="771924A2"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C’wealth DVA</w:t>
            </w:r>
          </w:p>
        </w:tc>
        <w:tc>
          <w:tcPr>
            <w:tcW w:w="1049" w:type="dxa"/>
            <w:shd w:val="clear" w:color="auto" w:fill="FFC9C9"/>
            <w:tcMar>
              <w:top w:w="80" w:type="dxa"/>
              <w:left w:w="80" w:type="dxa"/>
              <w:bottom w:w="80" w:type="dxa"/>
              <w:right w:w="80" w:type="dxa"/>
            </w:tcMar>
          </w:tcPr>
          <w:p w14:paraId="521D5035" w14:textId="77777777" w:rsidR="00B563BC" w:rsidRDefault="00B563BC" w:rsidP="009146AE">
            <w:pPr>
              <w:spacing w:after="60"/>
              <w:rPr>
                <w:rFonts w:cs="Arial"/>
                <w:color w:val="000000"/>
                <w:sz w:val="14"/>
                <w:szCs w:val="16"/>
                <w:lang w:val="en-GB"/>
              </w:rPr>
            </w:pPr>
            <w:r w:rsidRPr="00B563BC">
              <w:rPr>
                <w:rFonts w:cs="Arial"/>
                <w:color w:val="000000"/>
                <w:sz w:val="14"/>
                <w:szCs w:val="16"/>
                <w:lang w:val="en-GB"/>
              </w:rPr>
              <w:t>4th Edition</w:t>
            </w:r>
          </w:p>
          <w:p w14:paraId="6CEB6B15" w14:textId="77777777" w:rsidR="00F7346A" w:rsidRDefault="00F7346A" w:rsidP="00F7346A">
            <w:pPr>
              <w:spacing w:after="1200"/>
              <w:rPr>
                <w:rFonts w:cs="Arial"/>
                <w:color w:val="000000"/>
                <w:sz w:val="14"/>
                <w:szCs w:val="16"/>
                <w:lang w:val="en-GB"/>
              </w:rPr>
            </w:pPr>
          </w:p>
          <w:p w14:paraId="05BA2B79" w14:textId="77777777" w:rsidR="00F7346A" w:rsidRDefault="00F7346A" w:rsidP="00F7346A">
            <w:pPr>
              <w:spacing w:after="1200"/>
              <w:rPr>
                <w:i/>
                <w:sz w:val="14"/>
              </w:rPr>
            </w:pPr>
          </w:p>
          <w:p w14:paraId="1A9F609A" w14:textId="1F150DAB" w:rsidR="00502245" w:rsidRPr="00B563BC" w:rsidRDefault="007E22F0" w:rsidP="009146AE">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502245">
              <w:rPr>
                <w:rFonts w:cs="Arial"/>
                <w:color w:val="000000"/>
                <w:sz w:val="14"/>
                <w:szCs w:val="16"/>
                <w:lang w:val="en-GB"/>
              </w:rPr>
              <w:t>DRCA</w:t>
            </w:r>
            <w:r>
              <w:rPr>
                <w:rFonts w:cs="Arial"/>
                <w:color w:val="000000"/>
                <w:sz w:val="14"/>
                <w:szCs w:val="16"/>
                <w:lang w:val="en-GB"/>
              </w:rPr>
              <w:t>)</w:t>
            </w:r>
            <w:r w:rsidR="00502245">
              <w:rPr>
                <w:rFonts w:cs="Arial"/>
                <w:color w:val="000000"/>
                <w:sz w:val="14"/>
                <w:szCs w:val="16"/>
                <w:lang w:val="en-GB"/>
              </w:rPr>
              <w:t xml:space="preserve"> — 5th Edition</w:t>
            </w:r>
          </w:p>
        </w:tc>
        <w:tc>
          <w:tcPr>
            <w:tcW w:w="1049" w:type="dxa"/>
            <w:shd w:val="clear" w:color="auto" w:fill="FFC9C9"/>
            <w:tcMar>
              <w:top w:w="80" w:type="dxa"/>
              <w:left w:w="80" w:type="dxa"/>
              <w:bottom w:w="80" w:type="dxa"/>
              <w:right w:w="80" w:type="dxa"/>
            </w:tcMar>
          </w:tcPr>
          <w:p w14:paraId="5D15292F" w14:textId="77777777" w:rsidR="00B563BC" w:rsidRDefault="00B563BC" w:rsidP="000D3C6D">
            <w:pPr>
              <w:spacing w:after="60"/>
              <w:rPr>
                <w:rFonts w:cs="Arial"/>
                <w:color w:val="000000"/>
                <w:sz w:val="14"/>
                <w:szCs w:val="16"/>
                <w:lang w:val="en-GB"/>
              </w:rPr>
            </w:pPr>
            <w:r w:rsidRPr="00B563BC">
              <w:rPr>
                <w:rFonts w:cs="Arial"/>
                <w:color w:val="000000"/>
                <w:sz w:val="14"/>
                <w:szCs w:val="16"/>
                <w:lang w:val="en-GB"/>
              </w:rPr>
              <w:lastRenderedPageBreak/>
              <w:t>Stand-alone 4</w:t>
            </w:r>
          </w:p>
          <w:p w14:paraId="6DA4DE88" w14:textId="77777777" w:rsidR="00F7346A" w:rsidRDefault="00F7346A" w:rsidP="00F7346A">
            <w:pPr>
              <w:spacing w:after="1200"/>
              <w:rPr>
                <w:rFonts w:cs="Arial"/>
                <w:color w:val="000000"/>
                <w:sz w:val="14"/>
                <w:szCs w:val="16"/>
                <w:lang w:val="en-GB"/>
              </w:rPr>
            </w:pPr>
          </w:p>
          <w:p w14:paraId="58F2B8D6" w14:textId="77777777" w:rsidR="00F7346A" w:rsidRDefault="00F7346A" w:rsidP="00F7346A">
            <w:pPr>
              <w:spacing w:after="1200"/>
              <w:rPr>
                <w:rFonts w:cs="Arial"/>
                <w:color w:val="000000"/>
                <w:sz w:val="14"/>
                <w:szCs w:val="16"/>
                <w:lang w:val="en-GB"/>
              </w:rPr>
            </w:pPr>
          </w:p>
          <w:p w14:paraId="6F49B043" w14:textId="44324E4D" w:rsidR="00502245" w:rsidRPr="00B563BC" w:rsidRDefault="00502245" w:rsidP="000D3C6D">
            <w:pPr>
              <w:spacing w:after="60"/>
              <w:rPr>
                <w:rFonts w:cs="Arial"/>
                <w:color w:val="000000"/>
                <w:sz w:val="14"/>
                <w:szCs w:val="16"/>
                <w:lang w:val="en-GB"/>
              </w:rPr>
            </w:pPr>
            <w:r>
              <w:rPr>
                <w:rFonts w:cs="Arial"/>
                <w:color w:val="000000"/>
                <w:sz w:val="14"/>
                <w:szCs w:val="16"/>
                <w:lang w:val="en-GB"/>
              </w:rPr>
              <w:t>DRCA — Stand-alone 3</w:t>
            </w:r>
          </w:p>
        </w:tc>
        <w:tc>
          <w:tcPr>
            <w:tcW w:w="7116" w:type="dxa"/>
            <w:shd w:val="clear" w:color="auto" w:fill="FFC9C9"/>
            <w:tcMar>
              <w:top w:w="80" w:type="dxa"/>
              <w:left w:w="80" w:type="dxa"/>
              <w:bottom w:w="80" w:type="dxa"/>
              <w:right w:w="80" w:type="dxa"/>
            </w:tcMar>
          </w:tcPr>
          <w:p w14:paraId="0A5DFB5E" w14:textId="77777777" w:rsidR="00B563BC" w:rsidRDefault="00041991" w:rsidP="009146AE">
            <w:pPr>
              <w:spacing w:after="60"/>
              <w:rPr>
                <w:rFonts w:cs="Arial"/>
                <w:color w:val="000000"/>
                <w:sz w:val="14"/>
                <w:szCs w:val="16"/>
                <w:lang w:val="en-GB"/>
              </w:rPr>
            </w:pPr>
            <w:r>
              <w:rPr>
                <w:rFonts w:cs="Arial"/>
                <w:color w:val="000000"/>
                <w:sz w:val="14"/>
                <w:szCs w:val="16"/>
                <w:lang w:val="en-GB"/>
              </w:rPr>
              <w:lastRenderedPageBreak/>
              <w:t>Substituted in whole</w:t>
            </w:r>
          </w:p>
          <w:p w14:paraId="2033B9C5" w14:textId="77777777" w:rsidR="00502245" w:rsidRDefault="00502245" w:rsidP="00F7346A">
            <w:pPr>
              <w:spacing w:after="1200"/>
              <w:rPr>
                <w:rFonts w:cs="Arial"/>
                <w:color w:val="000000"/>
                <w:sz w:val="14"/>
                <w:szCs w:val="16"/>
                <w:lang w:val="en-GB"/>
              </w:rPr>
            </w:pPr>
          </w:p>
          <w:p w14:paraId="29C6DC65" w14:textId="77777777" w:rsidR="00F7346A" w:rsidRDefault="00F7346A" w:rsidP="00F7346A">
            <w:pPr>
              <w:spacing w:after="1200"/>
              <w:rPr>
                <w:rFonts w:cs="Arial"/>
                <w:color w:val="000000"/>
                <w:sz w:val="14"/>
                <w:szCs w:val="16"/>
                <w:lang w:val="en-GB"/>
              </w:rPr>
            </w:pPr>
          </w:p>
          <w:p w14:paraId="07DFF068" w14:textId="798CCDFA" w:rsidR="00502245" w:rsidRDefault="00502245" w:rsidP="009146AE">
            <w:pPr>
              <w:spacing w:after="60"/>
              <w:rPr>
                <w:rFonts w:cs="Arial"/>
                <w:color w:val="000000"/>
                <w:sz w:val="14"/>
                <w:szCs w:val="16"/>
                <w:lang w:val="en-GB"/>
              </w:rPr>
            </w:pPr>
            <w:r>
              <w:rPr>
                <w:rFonts w:cs="Arial"/>
                <w:color w:val="000000"/>
                <w:sz w:val="14"/>
                <w:szCs w:val="16"/>
                <w:lang w:val="en-GB"/>
              </w:rPr>
              <w:t xml:space="preserve">DRCA — The </w:t>
            </w:r>
            <w:r w:rsidRPr="009E62E1">
              <w:rPr>
                <w:rFonts w:cs="Arial"/>
                <w:i/>
                <w:color w:val="000000"/>
                <w:sz w:val="14"/>
                <w:szCs w:val="16"/>
                <w:lang w:val="en-GB"/>
              </w:rPr>
              <w:t>Guide to the Assessment of the Degree of Permanent Impairment</w:t>
            </w:r>
            <w:r>
              <w:rPr>
                <w:rFonts w:cs="Arial"/>
                <w:color w:val="000000"/>
                <w:sz w:val="14"/>
                <w:szCs w:val="16"/>
                <w:lang w:val="en-GB"/>
              </w:rPr>
              <w:t xml:space="preserve"> is a stand-alone document that was prepared for the Comcare scheme predominantly based on AMA5 but with modifications and some substitution.</w:t>
            </w:r>
          </w:p>
          <w:p w14:paraId="757273B1" w14:textId="77777777" w:rsidR="00502245" w:rsidRDefault="00502245" w:rsidP="009146AE">
            <w:pPr>
              <w:spacing w:after="60"/>
              <w:rPr>
                <w:rFonts w:cs="Arial"/>
                <w:color w:val="000000"/>
                <w:sz w:val="14"/>
                <w:szCs w:val="16"/>
                <w:lang w:val="en-GB"/>
              </w:rPr>
            </w:pPr>
            <w:r>
              <w:rPr>
                <w:rFonts w:cs="Arial"/>
                <w:color w:val="000000"/>
                <w:sz w:val="14"/>
                <w:szCs w:val="16"/>
                <w:lang w:val="en-GB"/>
              </w:rPr>
              <w:t xml:space="preserve">The AMA </w:t>
            </w:r>
            <w:r w:rsidR="00ED4EEE">
              <w:rPr>
                <w:rFonts w:cs="Arial"/>
                <w:color w:val="000000"/>
                <w:sz w:val="14"/>
                <w:szCs w:val="16"/>
                <w:lang w:val="en-GB"/>
              </w:rPr>
              <w:t>Guides are to be used on a very restricted basis for assessments of permanent impairment for Defence personnel, and then only in consultation with, or under the direction of, an approved medical provider. A common case of use of the AMA Guides is for fingers or toes in place of Table 9.4.</w:t>
            </w:r>
          </w:p>
          <w:p w14:paraId="78FBDCA5" w14:textId="2B64CFF6" w:rsidR="00ED4EEE" w:rsidRPr="00B563BC" w:rsidRDefault="00ED4EEE" w:rsidP="009146AE">
            <w:pPr>
              <w:spacing w:after="60"/>
              <w:rPr>
                <w:rFonts w:cs="Arial"/>
                <w:color w:val="000000"/>
                <w:sz w:val="14"/>
                <w:szCs w:val="16"/>
                <w:lang w:val="en-GB"/>
              </w:rPr>
            </w:pPr>
            <w:r>
              <w:rPr>
                <w:rFonts w:cs="Arial"/>
                <w:color w:val="000000"/>
                <w:sz w:val="14"/>
                <w:szCs w:val="16"/>
                <w:lang w:val="en-GB"/>
              </w:rPr>
              <w:t>The Approved PI Guide Part 2 is used for Defence-related claims, and is based on the 5th edition of AMA, with the exception of the assessment psychiatric disorders whereby the relevant authority will assess under one table, based on AMA 2nd edition (which is not in keeping with the modern medical understanding of psychiatric injuries).</w:t>
            </w:r>
          </w:p>
        </w:tc>
        <w:tc>
          <w:tcPr>
            <w:tcW w:w="4581" w:type="dxa"/>
            <w:shd w:val="clear" w:color="auto" w:fill="FFC9C9"/>
            <w:tcMar>
              <w:top w:w="80" w:type="dxa"/>
              <w:left w:w="142" w:type="dxa"/>
              <w:bottom w:w="80" w:type="dxa"/>
              <w:right w:w="80" w:type="dxa"/>
            </w:tcMar>
          </w:tcPr>
          <w:p w14:paraId="714C8BC4" w14:textId="5BADCC64" w:rsidR="00B563BC" w:rsidRPr="00B563BC" w:rsidRDefault="007E22F0" w:rsidP="009146AE">
            <w:pPr>
              <w:spacing w:after="60"/>
              <w:rPr>
                <w:rFonts w:cs="Arial"/>
                <w:color w:val="000000"/>
                <w:sz w:val="14"/>
                <w:szCs w:val="16"/>
                <w:lang w:val="en-GB"/>
              </w:rPr>
            </w:pPr>
            <w:r w:rsidRPr="0039798F">
              <w:rPr>
                <w:rFonts w:eastAsia="Calibri" w:cs="Arial"/>
                <w:i/>
                <w:sz w:val="14"/>
                <w:szCs w:val="14"/>
                <w:lang w:eastAsia="en-US"/>
              </w:rPr>
              <w:lastRenderedPageBreak/>
              <w:t>Military Rehabilitation and Compensation Act 2004</w:t>
            </w:r>
            <w:r>
              <w:rPr>
                <w:rFonts w:cs="Arial"/>
                <w:color w:val="000000"/>
                <w:sz w:val="14"/>
                <w:szCs w:val="16"/>
                <w:lang w:val="en-GB"/>
              </w:rPr>
              <w:t xml:space="preserve"> (</w:t>
            </w:r>
            <w:r w:rsidR="00502245">
              <w:rPr>
                <w:rFonts w:cs="Arial"/>
                <w:color w:val="000000"/>
                <w:sz w:val="14"/>
                <w:szCs w:val="16"/>
                <w:lang w:val="en-GB"/>
              </w:rPr>
              <w:t>MRCA</w:t>
            </w:r>
            <w:r>
              <w:rPr>
                <w:rFonts w:cs="Arial"/>
                <w:color w:val="000000"/>
                <w:sz w:val="14"/>
                <w:szCs w:val="16"/>
                <w:lang w:val="en-GB"/>
              </w:rPr>
              <w:t>)</w:t>
            </w:r>
            <w:r w:rsidR="00502245">
              <w:rPr>
                <w:rFonts w:cs="Arial"/>
                <w:color w:val="000000"/>
                <w:sz w:val="14"/>
                <w:szCs w:val="16"/>
                <w:lang w:val="en-GB"/>
              </w:rPr>
              <w:t xml:space="preserve"> — </w:t>
            </w:r>
            <w:r w:rsidR="00B563BC" w:rsidRPr="00B563BC">
              <w:rPr>
                <w:rFonts w:cs="Arial"/>
                <w:color w:val="000000"/>
                <w:sz w:val="14"/>
                <w:szCs w:val="16"/>
                <w:lang w:val="en-GB"/>
              </w:rPr>
              <w:t>Impairment points of a person means the points worked out for the person using the guide determined under s67 — (</w:t>
            </w:r>
            <w:hyperlink r:id="rId878" w:history="1">
              <w:r w:rsidR="00B563BC" w:rsidRPr="00EA5FFB">
                <w:rPr>
                  <w:rStyle w:val="Hyperlink"/>
                  <w:rFonts w:cs="Arial"/>
                  <w:sz w:val="14"/>
                  <w:szCs w:val="16"/>
                  <w:lang w:val="en-GB"/>
                </w:rPr>
                <w:t>s5</w:t>
              </w:r>
            </w:hyperlink>
            <w:r w:rsidR="00B563BC" w:rsidRPr="00B563BC">
              <w:rPr>
                <w:rFonts w:cs="Arial"/>
                <w:color w:val="000000"/>
                <w:sz w:val="14"/>
                <w:szCs w:val="16"/>
                <w:lang w:val="en-GB"/>
              </w:rPr>
              <w:t>)</w:t>
            </w:r>
          </w:p>
          <w:p w14:paraId="209AD8B7"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The Commission may determine, in writing, a guide setting out:</w:t>
            </w:r>
          </w:p>
          <w:p w14:paraId="6F78975B" w14:textId="77777777" w:rsidR="00B563BC" w:rsidRPr="00466205" w:rsidRDefault="00B563BC" w:rsidP="00F839DB">
            <w:pPr>
              <w:pStyle w:val="ListParagraph"/>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criteria to be used in deciding the degree of impairment of a person resulting from a service injury or disease, and</w:t>
            </w:r>
          </w:p>
          <w:p w14:paraId="005364B7" w14:textId="77777777" w:rsidR="00B563BC" w:rsidRPr="00466205" w:rsidRDefault="00B563BC" w:rsidP="00F839DB">
            <w:pPr>
              <w:pStyle w:val="ListParagraph"/>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methods by which the degree of that impairment can be expressed in impairment points on a scale from 0 to 100, and</w:t>
            </w:r>
          </w:p>
          <w:p w14:paraId="1A4B6E44" w14:textId="77777777" w:rsidR="00B563BC" w:rsidRPr="00466205" w:rsidRDefault="00B563BC" w:rsidP="00F839DB">
            <w:pPr>
              <w:pStyle w:val="ListParagraph"/>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criteria to be used in assessing the effect of a service injury or disease on a person’s lifestyle, and</w:t>
            </w:r>
          </w:p>
          <w:p w14:paraId="5AD1D981" w14:textId="77777777" w:rsidR="00B563BC" w:rsidRPr="00466205" w:rsidRDefault="00B563BC" w:rsidP="00F839DB">
            <w:pPr>
              <w:pStyle w:val="ListParagraph"/>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lastRenderedPageBreak/>
              <w:t>methods by which the effect of a service injury or disease on a person’s lifestyle can be expressed as a numerical rating, and</w:t>
            </w:r>
          </w:p>
          <w:p w14:paraId="2307EEBF" w14:textId="43B7ABB3" w:rsidR="00B563BC" w:rsidRDefault="00B563BC" w:rsidP="00F839DB">
            <w:pPr>
              <w:pStyle w:val="ListParagraph"/>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 xml:space="preserve">methods by which the impairment points of a person, and the effect on a person’s lifestyle, from a service injury or disease can be used to determine the compensation payable to the person under this Part by reference to the maximum compensation that can be payable to a person under this Part. — </w:t>
            </w:r>
            <w:hyperlink r:id="rId879" w:history="1">
              <w:r w:rsidRPr="00EA5FFB">
                <w:rPr>
                  <w:rStyle w:val="Hyperlink"/>
                  <w:rFonts w:eastAsia="Calibri" w:cs="Arial"/>
                  <w:sz w:val="14"/>
                  <w:szCs w:val="14"/>
                  <w:lang w:eastAsia="en-US"/>
                </w:rPr>
                <w:t>s67(1)</w:t>
              </w:r>
            </w:hyperlink>
            <w:r w:rsidR="000D3C6D">
              <w:rPr>
                <w:rFonts w:eastAsia="Calibri" w:cs="Arial"/>
                <w:sz w:val="14"/>
                <w:szCs w:val="14"/>
                <w:lang w:eastAsia="en-US"/>
              </w:rPr>
              <w:t>.</w:t>
            </w:r>
          </w:p>
          <w:p w14:paraId="5811D5C9" w14:textId="0861132A" w:rsidR="00502245" w:rsidRDefault="00502245" w:rsidP="00502245">
            <w:pPr>
              <w:spacing w:after="60"/>
              <w:contextualSpacing/>
              <w:rPr>
                <w:rFonts w:eastAsia="Calibri" w:cs="Arial"/>
                <w:sz w:val="14"/>
                <w:szCs w:val="14"/>
                <w:lang w:eastAsia="en-US"/>
              </w:rPr>
            </w:pPr>
            <w:r>
              <w:rPr>
                <w:rFonts w:eastAsia="Calibri" w:cs="Arial"/>
                <w:sz w:val="14"/>
                <w:szCs w:val="14"/>
                <w:lang w:eastAsia="en-US"/>
              </w:rPr>
              <w:t xml:space="preserve">DRCA — An ‘approved guide’ is defined by </w:t>
            </w:r>
            <w:hyperlink r:id="rId880" w:history="1">
              <w:r w:rsidRPr="007B7EE2">
                <w:rPr>
                  <w:rStyle w:val="Hyperlink"/>
                  <w:rFonts w:eastAsia="Calibri" w:cs="Arial"/>
                  <w:sz w:val="14"/>
                  <w:szCs w:val="14"/>
                  <w:lang w:eastAsia="en-US"/>
                </w:rPr>
                <w:t>section 4</w:t>
              </w:r>
            </w:hyperlink>
            <w:r>
              <w:rPr>
                <w:rFonts w:eastAsia="Calibri" w:cs="Arial"/>
                <w:sz w:val="14"/>
                <w:szCs w:val="14"/>
                <w:lang w:eastAsia="en-US"/>
              </w:rPr>
              <w:t xml:space="preserve"> of the DRC Act as meaning:</w:t>
            </w:r>
          </w:p>
          <w:p w14:paraId="582A6E67" w14:textId="77777777" w:rsidR="00502245" w:rsidRDefault="00502245" w:rsidP="00F839DB">
            <w:pPr>
              <w:pStyle w:val="ListParagraph"/>
              <w:numPr>
                <w:ilvl w:val="0"/>
                <w:numId w:val="549"/>
              </w:numPr>
              <w:spacing w:after="60"/>
              <w:ind w:left="360"/>
              <w:contextualSpacing/>
              <w:rPr>
                <w:rFonts w:eastAsia="Calibri" w:cs="Arial"/>
                <w:sz w:val="14"/>
                <w:szCs w:val="14"/>
                <w:lang w:eastAsia="en-US"/>
              </w:rPr>
            </w:pPr>
            <w:r>
              <w:rPr>
                <w:rFonts w:eastAsia="Calibri" w:cs="Arial"/>
                <w:sz w:val="14"/>
                <w:szCs w:val="14"/>
                <w:lang w:eastAsia="en-US"/>
              </w:rPr>
              <w:t>the document prepared by Comcare in accordance with section 28 under the title ‘</w:t>
            </w:r>
            <w:r>
              <w:rPr>
                <w:rFonts w:eastAsia="Calibri" w:cs="Arial"/>
                <w:i/>
                <w:sz w:val="14"/>
                <w:szCs w:val="14"/>
                <w:lang w:eastAsia="en-US"/>
              </w:rPr>
              <w:t>Guide to the Assessment of the Degree of Permanent Impairment</w:t>
            </w:r>
            <w:r>
              <w:rPr>
                <w:rFonts w:eastAsia="Calibri" w:cs="Arial"/>
                <w:sz w:val="14"/>
                <w:szCs w:val="14"/>
                <w:lang w:eastAsia="en-US"/>
              </w:rPr>
              <w:t>’, that has been approved by the Minister and is for the time being in force; and</w:t>
            </w:r>
          </w:p>
          <w:p w14:paraId="1D1CAE40" w14:textId="77777777" w:rsidR="00502245" w:rsidRDefault="00502245" w:rsidP="00F839DB">
            <w:pPr>
              <w:pStyle w:val="ListParagraph"/>
              <w:numPr>
                <w:ilvl w:val="0"/>
                <w:numId w:val="549"/>
              </w:numPr>
              <w:spacing w:after="60"/>
              <w:ind w:left="360"/>
              <w:contextualSpacing/>
              <w:rPr>
                <w:rFonts w:eastAsia="Calibri" w:cs="Arial"/>
                <w:sz w:val="14"/>
                <w:szCs w:val="14"/>
                <w:lang w:eastAsia="en-US"/>
              </w:rPr>
            </w:pPr>
            <w:r>
              <w:rPr>
                <w:rFonts w:eastAsia="Calibri" w:cs="Arial"/>
                <w:sz w:val="14"/>
                <w:szCs w:val="14"/>
                <w:lang w:eastAsia="en-US"/>
              </w:rPr>
              <w:t>if an instrument varying the document has been approved by the Minister — that document as so varied.</w:t>
            </w:r>
          </w:p>
          <w:p w14:paraId="3F9217EA" w14:textId="3B246054" w:rsidR="00502245" w:rsidRPr="00502245" w:rsidRDefault="00502245" w:rsidP="007B7EE2">
            <w:pPr>
              <w:spacing w:after="60"/>
              <w:contextualSpacing/>
              <w:jc w:val="both"/>
              <w:rPr>
                <w:rFonts w:eastAsia="Calibri" w:cs="Arial"/>
                <w:sz w:val="14"/>
                <w:szCs w:val="14"/>
                <w:lang w:eastAsia="en-US"/>
              </w:rPr>
            </w:pPr>
            <w:r>
              <w:rPr>
                <w:rFonts w:eastAsia="Calibri" w:cs="Arial"/>
                <w:sz w:val="14"/>
                <w:szCs w:val="14"/>
                <w:lang w:eastAsia="en-US"/>
              </w:rPr>
              <w:t xml:space="preserve">Authority for the Guide rests in subsections </w:t>
            </w:r>
            <w:hyperlink r:id="rId881" w:history="1">
              <w:r w:rsidRPr="007B7EE2">
                <w:rPr>
                  <w:rStyle w:val="Hyperlink"/>
                  <w:rFonts w:eastAsia="Calibri" w:cs="Arial"/>
                  <w:sz w:val="14"/>
                  <w:szCs w:val="14"/>
                  <w:lang w:eastAsia="en-US"/>
                </w:rPr>
                <w:t>28(1)</w:t>
              </w:r>
            </w:hyperlink>
            <w:r>
              <w:rPr>
                <w:rFonts w:eastAsia="Calibri" w:cs="Arial"/>
                <w:sz w:val="14"/>
                <w:szCs w:val="14"/>
                <w:lang w:eastAsia="en-US"/>
              </w:rPr>
              <w:t xml:space="preserve">, </w:t>
            </w:r>
            <w:hyperlink r:id="rId882" w:history="1">
              <w:r w:rsidRPr="007B7EE2">
                <w:rPr>
                  <w:rStyle w:val="Hyperlink"/>
                  <w:rFonts w:eastAsia="Calibri" w:cs="Arial"/>
                  <w:sz w:val="14"/>
                  <w:szCs w:val="14"/>
                  <w:lang w:eastAsia="en-US"/>
                </w:rPr>
                <w:t>28(2)</w:t>
              </w:r>
            </w:hyperlink>
            <w:r>
              <w:rPr>
                <w:rFonts w:eastAsia="Calibri" w:cs="Arial"/>
                <w:sz w:val="14"/>
                <w:szCs w:val="14"/>
                <w:lang w:eastAsia="en-US"/>
              </w:rPr>
              <w:t xml:space="preserve"> and </w:t>
            </w:r>
            <w:hyperlink r:id="rId883" w:history="1">
              <w:r w:rsidRPr="007B7EE2">
                <w:rPr>
                  <w:rStyle w:val="Hyperlink"/>
                  <w:rFonts w:eastAsia="Calibri" w:cs="Arial"/>
                  <w:sz w:val="14"/>
                  <w:szCs w:val="14"/>
                  <w:lang w:eastAsia="en-US"/>
                </w:rPr>
                <w:t>28(3)</w:t>
              </w:r>
            </w:hyperlink>
            <w:r>
              <w:rPr>
                <w:rFonts w:eastAsia="Calibri" w:cs="Arial"/>
                <w:sz w:val="14"/>
                <w:szCs w:val="14"/>
                <w:lang w:eastAsia="en-US"/>
              </w:rPr>
              <w:t xml:space="preserve"> of the DRC Act.</w:t>
            </w:r>
          </w:p>
        </w:tc>
      </w:tr>
      <w:tr w:rsidR="00B563BC" w:rsidRPr="00B563BC" w14:paraId="64229C2B" w14:textId="77777777" w:rsidTr="00E80FC6">
        <w:tc>
          <w:tcPr>
            <w:tcW w:w="1701" w:type="dxa"/>
            <w:tcMar>
              <w:top w:w="80" w:type="dxa"/>
              <w:left w:w="80" w:type="dxa"/>
              <w:bottom w:w="80" w:type="dxa"/>
              <w:right w:w="80" w:type="dxa"/>
            </w:tcMar>
          </w:tcPr>
          <w:p w14:paraId="0634252E" w14:textId="42CD4C01"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lastRenderedPageBreak/>
              <w:t>New Zealand</w:t>
            </w:r>
          </w:p>
        </w:tc>
        <w:tc>
          <w:tcPr>
            <w:tcW w:w="1049" w:type="dxa"/>
            <w:tcMar>
              <w:top w:w="80" w:type="dxa"/>
              <w:left w:w="80" w:type="dxa"/>
              <w:bottom w:w="80" w:type="dxa"/>
              <w:right w:w="80" w:type="dxa"/>
            </w:tcMar>
          </w:tcPr>
          <w:p w14:paraId="19830B4A" w14:textId="14E73C90"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4th Edition</w:t>
            </w:r>
          </w:p>
        </w:tc>
        <w:tc>
          <w:tcPr>
            <w:tcW w:w="1049" w:type="dxa"/>
            <w:tcMar>
              <w:top w:w="80" w:type="dxa"/>
              <w:left w:w="80" w:type="dxa"/>
              <w:bottom w:w="80" w:type="dxa"/>
              <w:right w:w="80" w:type="dxa"/>
            </w:tcMar>
          </w:tcPr>
          <w:p w14:paraId="5354C47D"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Designator 2</w:t>
            </w:r>
          </w:p>
          <w:p w14:paraId="7602C87F" w14:textId="2C96BDE1"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Modifier 1</w:t>
            </w:r>
          </w:p>
        </w:tc>
        <w:tc>
          <w:tcPr>
            <w:tcW w:w="7116" w:type="dxa"/>
            <w:tcMar>
              <w:top w:w="80" w:type="dxa"/>
              <w:left w:w="80" w:type="dxa"/>
              <w:bottom w:w="80" w:type="dxa"/>
              <w:right w:w="80" w:type="dxa"/>
            </w:tcMar>
          </w:tcPr>
          <w:p w14:paraId="63D2AF37" w14:textId="3BD1F6CA" w:rsidR="00B563BC" w:rsidRPr="00B563BC" w:rsidRDefault="00041991" w:rsidP="009146AE">
            <w:pPr>
              <w:spacing w:after="60"/>
              <w:rPr>
                <w:rFonts w:cs="Arial"/>
                <w:color w:val="000000"/>
                <w:sz w:val="14"/>
                <w:szCs w:val="16"/>
                <w:lang w:val="en-GB"/>
              </w:rPr>
            </w:pPr>
            <w:r>
              <w:rPr>
                <w:rFonts w:cs="Arial"/>
                <w:color w:val="000000"/>
                <w:sz w:val="14"/>
                <w:szCs w:val="16"/>
                <w:lang w:val="en-GB"/>
              </w:rPr>
              <w:t>AMA4</w:t>
            </w:r>
          </w:p>
          <w:p w14:paraId="2498AD38" w14:textId="70D5BFC7" w:rsidR="00B563BC" w:rsidRPr="00B563BC" w:rsidRDefault="00041991" w:rsidP="00957045">
            <w:pPr>
              <w:spacing w:after="60"/>
              <w:rPr>
                <w:rFonts w:cs="Arial"/>
                <w:color w:val="000000"/>
                <w:sz w:val="14"/>
                <w:szCs w:val="16"/>
                <w:lang w:val="en-GB"/>
              </w:rPr>
            </w:pPr>
            <w:r>
              <w:rPr>
                <w:rFonts w:cs="Arial"/>
                <w:color w:val="000000"/>
                <w:sz w:val="14"/>
                <w:szCs w:val="16"/>
                <w:lang w:val="en-GB"/>
              </w:rPr>
              <w:t xml:space="preserve">ACC User Handbook </w:t>
            </w:r>
            <w:r w:rsidR="00957045">
              <w:rPr>
                <w:rFonts w:cs="Arial"/>
                <w:color w:val="000000"/>
                <w:sz w:val="14"/>
                <w:szCs w:val="16"/>
                <w:lang w:val="en-GB"/>
              </w:rPr>
              <w:t xml:space="preserve">— </w:t>
            </w:r>
            <w:r>
              <w:rPr>
                <w:rFonts w:cs="Arial"/>
                <w:color w:val="000000"/>
                <w:sz w:val="14"/>
                <w:szCs w:val="16"/>
                <w:lang w:val="en-GB"/>
              </w:rPr>
              <w:t>t</w:t>
            </w:r>
            <w:r w:rsidR="00B563BC" w:rsidRPr="00B563BC">
              <w:rPr>
                <w:rFonts w:cs="Arial"/>
                <w:color w:val="000000"/>
                <w:sz w:val="14"/>
                <w:szCs w:val="16"/>
                <w:lang w:val="en-GB"/>
              </w:rPr>
              <w:t>his</w:t>
            </w:r>
            <w:r>
              <w:rPr>
                <w:rFonts w:cs="Arial"/>
                <w:color w:val="000000"/>
                <w:sz w:val="14"/>
                <w:szCs w:val="16"/>
                <w:lang w:val="en-GB"/>
              </w:rPr>
              <w:t xml:space="preserve"> takes precedence over the AMA4</w:t>
            </w:r>
          </w:p>
        </w:tc>
        <w:tc>
          <w:tcPr>
            <w:tcW w:w="4581" w:type="dxa"/>
            <w:tcMar>
              <w:top w:w="80" w:type="dxa"/>
              <w:left w:w="142" w:type="dxa"/>
              <w:bottom w:w="80" w:type="dxa"/>
              <w:right w:w="80" w:type="dxa"/>
            </w:tcMar>
          </w:tcPr>
          <w:p w14:paraId="103A07D3" w14:textId="140ADE03"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Injury Prevention, Rehabilitation, and Compensation (Lump Sum and Independen</w:t>
            </w:r>
            <w:r w:rsidR="00041991">
              <w:rPr>
                <w:rFonts w:cs="Arial"/>
                <w:color w:val="000000"/>
                <w:sz w:val="14"/>
                <w:szCs w:val="16"/>
                <w:lang w:val="en-GB"/>
              </w:rPr>
              <w:t>ce Allowance) Regulations 2002</w:t>
            </w:r>
          </w:p>
          <w:p w14:paraId="1D4AF243" w14:textId="4823BB0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Assessment tool for assessing eligibility for lump sum payments</w:t>
            </w:r>
            <w:r w:rsidR="00A95C3B">
              <w:rPr>
                <w:rFonts w:cs="Arial"/>
                <w:color w:val="000000"/>
                <w:sz w:val="14"/>
                <w:szCs w:val="16"/>
                <w:lang w:val="en-GB"/>
              </w:rPr>
              <w:fldChar w:fldCharType="begin"/>
            </w:r>
            <w:r w:rsidR="00A95C3B">
              <w:instrText xml:space="preserve"> XE "</w:instrText>
            </w:r>
            <w:r w:rsidR="00A95C3B" w:rsidRPr="00570B18">
              <w:instrText>payments:lump sum payments</w:instrText>
            </w:r>
            <w:r w:rsidR="00A95C3B">
              <w:instrText xml:space="preserve">" </w:instrText>
            </w:r>
            <w:r w:rsidR="00A95C3B">
              <w:rPr>
                <w:rFonts w:cs="Arial"/>
                <w:color w:val="000000"/>
                <w:sz w:val="14"/>
                <w:szCs w:val="16"/>
                <w:lang w:val="en-GB"/>
              </w:rPr>
              <w:fldChar w:fldCharType="end"/>
            </w:r>
            <w:r w:rsidR="00041991">
              <w:rPr>
                <w:rFonts w:cs="Arial"/>
                <w:color w:val="000000"/>
                <w:sz w:val="14"/>
                <w:szCs w:val="16"/>
                <w:lang w:val="en-GB"/>
              </w:rPr>
              <w:t xml:space="preserve"> and independence allowance</w:t>
            </w:r>
          </w:p>
          <w:p w14:paraId="5F3CA830"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 xml:space="preserve">Assessment of a person’s whole-person impairment, for the purposes of determining the person’s eligibility to receive lump sum compensation or an independence allowance, must be carried out by an assessor using the assessment tool prescribed by subclause (2). </w:t>
            </w:r>
          </w:p>
          <w:p w14:paraId="350D2DF4" w14:textId="77777777" w:rsidR="00B563BC" w:rsidRPr="00B563BC" w:rsidRDefault="00B563BC" w:rsidP="00F839DB">
            <w:pPr>
              <w:numPr>
                <w:ilvl w:val="0"/>
                <w:numId w:val="442"/>
              </w:numPr>
              <w:spacing w:after="60"/>
              <w:rPr>
                <w:rFonts w:cs="Arial"/>
                <w:color w:val="000000"/>
                <w:sz w:val="14"/>
                <w:szCs w:val="16"/>
                <w:lang w:val="en-GB"/>
              </w:rPr>
            </w:pPr>
            <w:r w:rsidRPr="00B563BC">
              <w:rPr>
                <w:rFonts w:cs="Arial"/>
                <w:color w:val="000000"/>
                <w:sz w:val="14"/>
                <w:szCs w:val="16"/>
                <w:lang w:val="en-GB"/>
              </w:rPr>
              <w:t>The assessment tool comprises:</w:t>
            </w:r>
          </w:p>
          <w:p w14:paraId="55A8AE6C" w14:textId="77777777" w:rsidR="00B563BC" w:rsidRPr="00466205" w:rsidRDefault="00B563BC" w:rsidP="00F839DB">
            <w:pPr>
              <w:pStyle w:val="Tableabc7pt"/>
              <w:numPr>
                <w:ilvl w:val="0"/>
                <w:numId w:val="441"/>
              </w:numPr>
              <w:spacing w:before="0" w:after="60"/>
              <w:rPr>
                <w:rFonts w:eastAsia="Calibri"/>
                <w:lang w:eastAsia="en-US"/>
              </w:rPr>
            </w:pPr>
            <w:r w:rsidRPr="00466205">
              <w:rPr>
                <w:rFonts w:eastAsia="Calibri"/>
                <w:lang w:eastAsia="en-US"/>
              </w:rPr>
              <w:t xml:space="preserve">the AMA </w:t>
            </w:r>
            <w:r w:rsidRPr="009E62E1">
              <w:rPr>
                <w:rFonts w:eastAsia="Calibri"/>
                <w:i/>
                <w:lang w:eastAsia="en-US"/>
              </w:rPr>
              <w:t>Guides to the Evaluation of Permanent Impairment</w:t>
            </w:r>
            <w:r w:rsidR="00281E99" w:rsidRPr="009E62E1">
              <w:rPr>
                <w:rFonts w:eastAsia="Calibri"/>
                <w:i/>
                <w:lang w:eastAsia="en-US"/>
              </w:rPr>
              <w:fldChar w:fldCharType="begin"/>
            </w:r>
            <w:r w:rsidR="00281E99" w:rsidRPr="009E62E1">
              <w:rPr>
                <w:i/>
              </w:rPr>
              <w:instrText xml:space="preserve"> XE "</w:instrText>
            </w:r>
            <w:r w:rsidR="00281E99" w:rsidRPr="009E62E1">
              <w:rPr>
                <w:rFonts w:eastAsia="Calibri"/>
                <w:i/>
                <w:lang w:eastAsia="en-US"/>
              </w:rPr>
              <w:instrText>Guides to the Evaluation of Permanent Impairment (American Medical Association)</w:instrText>
            </w:r>
            <w:r w:rsidR="00281E99" w:rsidRPr="009E62E1">
              <w:rPr>
                <w:i/>
              </w:rPr>
              <w:instrText xml:space="preserve">" </w:instrText>
            </w:r>
            <w:r w:rsidR="00281E99" w:rsidRPr="009E62E1">
              <w:rPr>
                <w:rFonts w:eastAsia="Calibri"/>
                <w:i/>
                <w:lang w:eastAsia="en-US"/>
              </w:rPr>
              <w:fldChar w:fldCharType="end"/>
            </w:r>
            <w:r w:rsidRPr="009E62E1">
              <w:rPr>
                <w:rFonts w:eastAsia="Calibri"/>
                <w:i/>
                <w:lang w:eastAsia="en-US"/>
              </w:rPr>
              <w:t xml:space="preserve"> </w:t>
            </w:r>
            <w:r w:rsidRPr="00466205">
              <w:rPr>
                <w:rFonts w:eastAsia="Calibri"/>
                <w:lang w:eastAsia="en-US"/>
              </w:rPr>
              <w:t xml:space="preserve">(Fourth Edition), and b) the ACC User Handbook to AMA4. </w:t>
            </w:r>
          </w:p>
          <w:p w14:paraId="43385BB2" w14:textId="2A33488E" w:rsidR="00B563BC" w:rsidRPr="00B563BC" w:rsidRDefault="00B563BC" w:rsidP="00F839DB">
            <w:pPr>
              <w:numPr>
                <w:ilvl w:val="0"/>
                <w:numId w:val="442"/>
              </w:numPr>
              <w:spacing w:after="60"/>
              <w:rPr>
                <w:rFonts w:cs="Arial"/>
                <w:color w:val="000000"/>
                <w:sz w:val="14"/>
                <w:szCs w:val="16"/>
                <w:lang w:val="en-GB"/>
              </w:rPr>
            </w:pPr>
            <w:r w:rsidRPr="00B563BC">
              <w:rPr>
                <w:rFonts w:cs="Arial"/>
                <w:color w:val="000000"/>
                <w:sz w:val="14"/>
                <w:szCs w:val="16"/>
                <w:lang w:val="en-GB"/>
              </w:rPr>
              <w:t xml:space="preserve">The ACC User Handbook to AMA4 prevails if there is a conflict between it and the AMA4 </w:t>
            </w:r>
            <w:r w:rsidRPr="009E62E1">
              <w:rPr>
                <w:rFonts w:cs="Arial"/>
                <w:i/>
                <w:color w:val="000000"/>
                <w:sz w:val="14"/>
                <w:szCs w:val="16"/>
                <w:lang w:val="en-GB"/>
              </w:rPr>
              <w:t>Guides to the Evaluation of Permanent Impairment</w:t>
            </w:r>
            <w:r w:rsidR="00281E99">
              <w:rPr>
                <w:rFonts w:cs="Arial"/>
                <w:color w:val="000000"/>
                <w:sz w:val="14"/>
                <w:szCs w:val="16"/>
                <w:lang w:val="en-GB"/>
              </w:rPr>
              <w:fldChar w:fldCharType="begin"/>
            </w:r>
            <w:r w:rsidR="00281E99">
              <w:instrText xml:space="preserve"> XE "</w:instrText>
            </w:r>
            <w:r w:rsidR="00281E99" w:rsidRPr="004045C5">
              <w:rPr>
                <w:rFonts w:eastAsia="Calibri" w:cs="Arial"/>
                <w:sz w:val="14"/>
                <w:szCs w:val="14"/>
                <w:lang w:eastAsia="en-US"/>
              </w:rPr>
              <w:instrText>Guides to the Evaluation of Permanent Impairment (American Medical Association)</w:instrText>
            </w:r>
            <w:r w:rsidR="00281E99">
              <w:instrText xml:space="preserve">" </w:instrText>
            </w:r>
            <w:r w:rsidR="00281E99">
              <w:rPr>
                <w:rFonts w:cs="Arial"/>
                <w:color w:val="000000"/>
                <w:sz w:val="14"/>
                <w:szCs w:val="16"/>
                <w:lang w:val="en-GB"/>
              </w:rPr>
              <w:fldChar w:fldCharType="end"/>
            </w:r>
            <w:r w:rsidRPr="00B563BC">
              <w:rPr>
                <w:rFonts w:cs="Arial"/>
                <w:color w:val="000000"/>
                <w:sz w:val="14"/>
                <w:szCs w:val="16"/>
                <w:lang w:val="en-GB"/>
              </w:rPr>
              <w:t xml:space="preserve">. </w:t>
            </w:r>
          </w:p>
        </w:tc>
      </w:tr>
    </w:tbl>
    <w:bookmarkEnd w:id="112"/>
    <w:p w14:paraId="1ECE1C07" w14:textId="1F888921" w:rsidR="00B563BC" w:rsidRPr="00F3703A" w:rsidRDefault="00B563BC" w:rsidP="00F839DB">
      <w:pPr>
        <w:pStyle w:val="ListParagraph"/>
        <w:numPr>
          <w:ilvl w:val="0"/>
          <w:numId w:val="529"/>
        </w:numPr>
        <w:spacing w:before="120" w:line="276" w:lineRule="auto"/>
        <w:contextualSpacing/>
        <w:rPr>
          <w:rFonts w:eastAsia="Calibri" w:cs="Arial"/>
          <w:sz w:val="16"/>
          <w:szCs w:val="16"/>
          <w:lang w:eastAsia="en-US"/>
        </w:rPr>
      </w:pPr>
      <w:r w:rsidRPr="00F3703A">
        <w:rPr>
          <w:rFonts w:eastAsia="Calibri" w:cs="Arial"/>
          <w:sz w:val="16"/>
          <w:szCs w:val="16"/>
          <w:lang w:eastAsia="en-US"/>
        </w:rPr>
        <w:t>Modifier refers to an edition of the AMA Guide that is attached with additional instructions for assessors and which acts to modify the AMA Guides or chapters. Schemes applying this modified approach publish separate guidelines to clarify the key points of divergence for doctors. The authority for these documents is contained in the legislation or its associated regulations.</w:t>
      </w:r>
    </w:p>
    <w:p w14:paraId="6415FC6D" w14:textId="77777777" w:rsidR="00B563BC" w:rsidRPr="00F3703A" w:rsidRDefault="00B563BC" w:rsidP="00F839DB">
      <w:pPr>
        <w:pStyle w:val="ListParagraph"/>
        <w:numPr>
          <w:ilvl w:val="0"/>
          <w:numId w:val="529"/>
        </w:numPr>
        <w:spacing w:before="120"/>
        <w:contextualSpacing/>
        <w:rPr>
          <w:rFonts w:eastAsia="Calibri" w:cs="Arial"/>
          <w:sz w:val="16"/>
          <w:szCs w:val="16"/>
          <w:lang w:eastAsia="en-US"/>
        </w:rPr>
      </w:pPr>
      <w:r w:rsidRPr="00F3703A">
        <w:rPr>
          <w:rFonts w:eastAsia="Calibri" w:cs="Arial"/>
          <w:sz w:val="16"/>
          <w:szCs w:val="16"/>
          <w:lang w:eastAsia="en-US"/>
        </w:rPr>
        <w:t xml:space="preserve">Designator refers to an edition of the AMA Guide which is designated by legislation as the Guide to be followed. Depending on the particular scheme, the designated Guide may also be a modifier (see above). </w:t>
      </w:r>
    </w:p>
    <w:p w14:paraId="3A81D12B" w14:textId="7D36614C" w:rsidR="00B563BC" w:rsidRPr="00F3703A" w:rsidRDefault="00B563BC" w:rsidP="00F839DB">
      <w:pPr>
        <w:pStyle w:val="ListParagraph"/>
        <w:numPr>
          <w:ilvl w:val="0"/>
          <w:numId w:val="529"/>
        </w:numPr>
        <w:spacing w:before="120"/>
        <w:contextualSpacing/>
        <w:rPr>
          <w:rFonts w:eastAsia="Calibri" w:cs="Arial"/>
          <w:sz w:val="16"/>
          <w:szCs w:val="16"/>
          <w:lang w:eastAsia="en-US"/>
        </w:rPr>
      </w:pPr>
      <w:r w:rsidRPr="00F3703A">
        <w:rPr>
          <w:rFonts w:eastAsia="Calibri" w:cs="Arial"/>
          <w:sz w:val="16"/>
          <w:szCs w:val="16"/>
          <w:lang w:eastAsia="en-US"/>
        </w:rPr>
        <w:t xml:space="preserve">Unlike other schemes, Comcare amalgamates modifications to AMA5 (as noted in this table) in a stand-alone document known as the </w:t>
      </w:r>
      <w:r w:rsidRPr="009E62E1">
        <w:rPr>
          <w:rFonts w:eastAsia="Calibri" w:cs="Arial"/>
          <w:i/>
          <w:sz w:val="16"/>
          <w:szCs w:val="16"/>
          <w:lang w:eastAsia="en-US"/>
        </w:rPr>
        <w:t>Guide to the Assessment of the Degree of Permanent Impairment</w:t>
      </w:r>
      <w:r w:rsidRPr="00C50806">
        <w:rPr>
          <w:rFonts w:eastAsia="Calibri" w:cs="Arial"/>
          <w:sz w:val="16"/>
          <w:szCs w:val="16"/>
          <w:lang w:eastAsia="en-US"/>
        </w:rPr>
        <w:t>.</w:t>
      </w:r>
      <w:r w:rsidRPr="00F3703A">
        <w:rPr>
          <w:rFonts w:eastAsia="Calibri" w:cs="Arial"/>
          <w:sz w:val="16"/>
          <w:szCs w:val="16"/>
          <w:lang w:eastAsia="en-US"/>
        </w:rPr>
        <w:t xml:space="preserve"> </w:t>
      </w:r>
      <w:hyperlink r:id="rId884" w:history="1">
        <w:r w:rsidR="00024906">
          <w:rPr>
            <w:rStyle w:val="Hyperlink"/>
            <w:rFonts w:eastAsia="Calibri" w:cs="Arial"/>
            <w:sz w:val="16"/>
            <w:szCs w:val="16"/>
            <w:lang w:eastAsia="en-US"/>
          </w:rPr>
          <w:t>Section 28</w:t>
        </w:r>
      </w:hyperlink>
      <w:r w:rsidRPr="00F3703A">
        <w:rPr>
          <w:rFonts w:eastAsia="Calibri" w:cs="Arial"/>
          <w:sz w:val="16"/>
          <w:szCs w:val="16"/>
          <w:lang w:eastAsia="en-US"/>
        </w:rPr>
        <w:t xml:space="preserve"> of the SRC Act is also unique in that it does not designate the use of AMA produced guidelines for assessment purposes. </w:t>
      </w:r>
    </w:p>
    <w:p w14:paraId="214223DB" w14:textId="77777777" w:rsidR="00B563BC" w:rsidRPr="00F3703A" w:rsidRDefault="00A7538C" w:rsidP="00F839DB">
      <w:pPr>
        <w:pStyle w:val="ListParagraph"/>
        <w:numPr>
          <w:ilvl w:val="0"/>
          <w:numId w:val="529"/>
        </w:numPr>
        <w:spacing w:before="120"/>
        <w:contextualSpacing/>
        <w:rPr>
          <w:rFonts w:eastAsia="Calibri" w:cs="Arial"/>
          <w:sz w:val="16"/>
          <w:szCs w:val="16"/>
          <w:lang w:eastAsia="en-US"/>
        </w:rPr>
      </w:pPr>
      <w:hyperlink r:id="rId885" w:history="1">
        <w:r w:rsidR="00B563BC" w:rsidRPr="00F3703A">
          <w:rPr>
            <w:rFonts w:eastAsia="Calibri" w:cs="Arial"/>
            <w:color w:val="0000FF"/>
            <w:sz w:val="16"/>
            <w:szCs w:val="16"/>
            <w:u w:val="single"/>
            <w:lang w:eastAsia="en-US"/>
          </w:rPr>
          <w:t>Guide to Determining Impairment and Compensation</w:t>
        </w:r>
      </w:hyperlink>
      <w:r w:rsidR="00B563BC" w:rsidRPr="00F3703A">
        <w:rPr>
          <w:rFonts w:eastAsia="Calibri" w:cs="Arial"/>
          <w:sz w:val="16"/>
          <w:szCs w:val="16"/>
          <w:lang w:eastAsia="en-US"/>
        </w:rPr>
        <w:t xml:space="preserve"> (GDIC) does not allow recourse to the AMA Guides in the event that impairment cannot be measured under GDIC</w:t>
      </w:r>
    </w:p>
    <w:p w14:paraId="4EE83F97" w14:textId="2DEE4A32" w:rsidR="000E28C6" w:rsidRPr="00A80282" w:rsidRDefault="000E28C6" w:rsidP="00A80282">
      <w:pPr>
        <w:pStyle w:val="SWATableheader"/>
      </w:pPr>
      <w:bookmarkStart w:id="113" w:name="_Toc504654669"/>
      <w:r w:rsidRPr="00A80282">
        <w:lastRenderedPageBreak/>
        <w:t>Table 3.12: Discounting of prior conditions</w:t>
      </w:r>
      <w:bookmarkEnd w:id="113"/>
      <w:r w:rsidRPr="00A80282">
        <w:t xml:space="preserve"> </w:t>
      </w:r>
      <w:r w:rsidR="003D18DA" w:rsidRPr="00A80282">
        <w:fldChar w:fldCharType="begin"/>
      </w:r>
      <w:r w:rsidR="003D18DA" w:rsidRPr="00A80282">
        <w:instrText xml:space="preserve"> XE "prior conditions, discounting of" \r "discounting" </w:instrText>
      </w:r>
      <w:r w:rsidR="003D18DA"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2: Discounting of prior conditions  "/>
        <w:tblDescription w:val="This table provides information on discounting of prior conditions under each of the workers' compensation schemes. "/>
      </w:tblPr>
      <w:tblGrid>
        <w:gridCol w:w="1626"/>
        <w:gridCol w:w="5953"/>
        <w:gridCol w:w="5954"/>
        <w:gridCol w:w="1888"/>
      </w:tblGrid>
      <w:tr w:rsidR="000E28C6" w:rsidRPr="000E28C6" w14:paraId="7B906641" w14:textId="77777777" w:rsidTr="00FB729B">
        <w:trPr>
          <w:tblHeader/>
        </w:trPr>
        <w:tc>
          <w:tcPr>
            <w:tcW w:w="1626" w:type="dxa"/>
            <w:shd w:val="clear" w:color="auto" w:fill="C00000"/>
            <w:tcMar>
              <w:top w:w="0" w:type="dxa"/>
              <w:left w:w="0" w:type="dxa"/>
              <w:bottom w:w="0" w:type="dxa"/>
              <w:right w:w="0" w:type="dxa"/>
            </w:tcMar>
            <w:vAlign w:val="center"/>
          </w:tcPr>
          <w:p w14:paraId="3EDC5E25" w14:textId="77777777" w:rsidR="000E28C6" w:rsidRPr="000E28C6" w:rsidRDefault="000E28C6" w:rsidP="009146AE">
            <w:pPr>
              <w:pStyle w:val="Tableheaderrow"/>
              <w:spacing w:after="60"/>
            </w:pPr>
            <w:bookmarkStart w:id="114" w:name="discounting"/>
          </w:p>
        </w:tc>
        <w:tc>
          <w:tcPr>
            <w:tcW w:w="5953" w:type="dxa"/>
            <w:shd w:val="clear" w:color="auto" w:fill="C00000"/>
            <w:tcMar>
              <w:top w:w="0" w:type="dxa"/>
              <w:left w:w="0" w:type="dxa"/>
              <w:bottom w:w="0" w:type="dxa"/>
              <w:right w:w="0" w:type="dxa"/>
            </w:tcMar>
            <w:vAlign w:val="center"/>
          </w:tcPr>
          <w:p w14:paraId="27149207" w14:textId="77777777" w:rsidR="000E28C6" w:rsidRPr="000E28C6" w:rsidRDefault="000E28C6" w:rsidP="009146AE">
            <w:pPr>
              <w:pStyle w:val="Tableheaderrow"/>
              <w:spacing w:after="60"/>
            </w:pPr>
            <w:r w:rsidRPr="000E28C6">
              <w:t>Threshold test</w:t>
            </w:r>
          </w:p>
        </w:tc>
        <w:tc>
          <w:tcPr>
            <w:tcW w:w="5954" w:type="dxa"/>
            <w:shd w:val="clear" w:color="auto" w:fill="C00000"/>
            <w:tcMar>
              <w:top w:w="0" w:type="dxa"/>
              <w:left w:w="0" w:type="dxa"/>
              <w:bottom w:w="0" w:type="dxa"/>
              <w:right w:w="0" w:type="dxa"/>
            </w:tcMar>
            <w:vAlign w:val="center"/>
          </w:tcPr>
          <w:p w14:paraId="5B32CF30" w14:textId="77777777" w:rsidR="000E28C6" w:rsidRPr="000E28C6" w:rsidRDefault="000E28C6" w:rsidP="009146AE">
            <w:pPr>
              <w:pStyle w:val="Tableheaderrow"/>
              <w:spacing w:after="60"/>
            </w:pPr>
            <w:r w:rsidRPr="000E28C6">
              <w:t>Waiting period</w:t>
            </w:r>
          </w:p>
        </w:tc>
        <w:tc>
          <w:tcPr>
            <w:tcW w:w="1888" w:type="dxa"/>
            <w:shd w:val="clear" w:color="auto" w:fill="C00000"/>
            <w:tcMar>
              <w:top w:w="0" w:type="dxa"/>
              <w:left w:w="0" w:type="dxa"/>
              <w:bottom w:w="0" w:type="dxa"/>
              <w:right w:w="0" w:type="dxa"/>
            </w:tcMar>
            <w:vAlign w:val="center"/>
          </w:tcPr>
          <w:p w14:paraId="47434A91" w14:textId="77777777" w:rsidR="000E28C6" w:rsidRPr="000E28C6" w:rsidRDefault="000E28C6" w:rsidP="009146AE">
            <w:pPr>
              <w:pStyle w:val="Tableheaderrow"/>
              <w:spacing w:after="60"/>
            </w:pPr>
            <w:r w:rsidRPr="000E28C6">
              <w:t>Permits discounting?</w:t>
            </w:r>
          </w:p>
        </w:tc>
      </w:tr>
      <w:tr w:rsidR="000E28C6" w:rsidRPr="000E28C6" w14:paraId="7ECBCCB5" w14:textId="77777777" w:rsidTr="00FB729B">
        <w:tc>
          <w:tcPr>
            <w:tcW w:w="1626" w:type="dxa"/>
            <w:shd w:val="clear" w:color="auto" w:fill="FFC9C9"/>
            <w:tcMar>
              <w:top w:w="80" w:type="dxa"/>
              <w:left w:w="80" w:type="dxa"/>
              <w:bottom w:w="80" w:type="dxa"/>
              <w:right w:w="80" w:type="dxa"/>
            </w:tcMar>
          </w:tcPr>
          <w:p w14:paraId="6DAFB3B0"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New South Wales</w:t>
            </w:r>
          </w:p>
        </w:tc>
        <w:tc>
          <w:tcPr>
            <w:tcW w:w="5953" w:type="dxa"/>
            <w:shd w:val="clear" w:color="auto" w:fill="FFC9C9"/>
            <w:tcMar>
              <w:top w:w="80" w:type="dxa"/>
              <w:left w:w="80" w:type="dxa"/>
              <w:bottom w:w="80" w:type="dxa"/>
              <w:right w:w="80" w:type="dxa"/>
            </w:tcMar>
          </w:tcPr>
          <w:p w14:paraId="088D4C52" w14:textId="77777777"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 xml:space="preserve">For exempt workers: Police officers, fire fighters, paramedics, volunteers under the </w:t>
            </w:r>
            <w:r w:rsidRPr="00C50806">
              <w:rPr>
                <w:rFonts w:cs="Arial"/>
                <w:i/>
                <w:color w:val="000000"/>
                <w:sz w:val="14"/>
                <w:szCs w:val="16"/>
                <w:lang w:val="en-GB"/>
              </w:rPr>
              <w:t>Workers Compensation (Bush Fire, Emergency and Rescue Services) Act 1987</w:t>
            </w:r>
            <w:r w:rsidRPr="000E28C6">
              <w:rPr>
                <w:rFonts w:cs="Arial"/>
                <w:color w:val="000000"/>
                <w:sz w:val="14"/>
                <w:szCs w:val="16"/>
                <w:lang w:val="en-GB"/>
              </w:rPr>
              <w:t xml:space="preserve">, and workers injured while working in or around a coal mine: </w:t>
            </w:r>
          </w:p>
          <w:p w14:paraId="2FB59020"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&gt;0% WPI, except for:</w:t>
            </w:r>
            <w:r w:rsidR="00EF456A">
              <w:rPr>
                <w:rFonts w:cs="Arial"/>
                <w:color w:val="000000"/>
                <w:sz w:val="14"/>
                <w:szCs w:val="16"/>
                <w:lang w:val="en-GB"/>
              </w:rPr>
              <w:t xml:space="preserve"> </w:t>
            </w:r>
            <w:r w:rsidRPr="000E28C6">
              <w:rPr>
                <w:rFonts w:cs="Arial"/>
                <w:color w:val="000000"/>
                <w:sz w:val="14"/>
                <w:szCs w:val="16"/>
                <w:lang w:val="en-GB"/>
              </w:rPr>
              <w:t>15% WPI for psychiatric and psychological impairment, and</w:t>
            </w:r>
          </w:p>
          <w:p w14:paraId="6366E727"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6% binaural hearing loss for hearing loss claims.</w:t>
            </w:r>
          </w:p>
          <w:p w14:paraId="7DBEA09A"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 xml:space="preserve">Entitlement to pain and suffering payment: </w:t>
            </w:r>
          </w:p>
          <w:p w14:paraId="15242132"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10% WPI for physical injuries, and</w:t>
            </w:r>
          </w:p>
          <w:p w14:paraId="261A2859"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15% WPI for psychiatric and psychological injuries.</w:t>
            </w:r>
          </w:p>
          <w:p w14:paraId="548AA61D"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Entitlement to claim under Common Law: 15% WPI.</w:t>
            </w:r>
          </w:p>
          <w:p w14:paraId="661380D2"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All other workers for permanent impairment claim</w:t>
            </w:r>
            <w:r w:rsidR="005303F4">
              <w:rPr>
                <w:rFonts w:cs="Arial"/>
                <w:color w:val="000000"/>
                <w:sz w:val="14"/>
                <w:szCs w:val="16"/>
                <w:lang w:val="en-GB"/>
              </w:rPr>
              <w:t>s made on and from 19 June 2012.</w:t>
            </w:r>
          </w:p>
          <w:p w14:paraId="1541F3C6"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&gt;10% WPI, except for:</w:t>
            </w:r>
          </w:p>
          <w:p w14:paraId="1E31B398"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15% WPI for psychiatric and psychological impairment.</w:t>
            </w:r>
          </w:p>
          <w:p w14:paraId="73C39EB0"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Entitlement to claim under Common Law: 15% WPI.</w:t>
            </w:r>
          </w:p>
          <w:p w14:paraId="32ABC94A" w14:textId="77777777" w:rsidR="000E28C6" w:rsidRPr="000E28C6" w:rsidRDefault="000E28C6" w:rsidP="009146AE">
            <w:pPr>
              <w:spacing w:after="60" w:line="360" w:lineRule="auto"/>
              <w:contextualSpacing/>
              <w:rPr>
                <w:rFonts w:cs="Arial"/>
                <w:color w:val="000000"/>
                <w:sz w:val="14"/>
                <w:szCs w:val="16"/>
                <w:lang w:val="en-GB"/>
              </w:rPr>
            </w:pPr>
            <w:r w:rsidRPr="000E28C6">
              <w:rPr>
                <w:rFonts w:cs="Arial"/>
                <w:color w:val="000000"/>
                <w:sz w:val="14"/>
                <w:szCs w:val="16"/>
                <w:lang w:val="en-GB"/>
              </w:rPr>
              <w:t>Discounting of prior conditions is one tenth of the assessed impairment unless this is at odds with available evidence.</w:t>
            </w:r>
          </w:p>
        </w:tc>
        <w:tc>
          <w:tcPr>
            <w:tcW w:w="5954" w:type="dxa"/>
            <w:shd w:val="clear" w:color="auto" w:fill="FFC9C9"/>
            <w:tcMar>
              <w:top w:w="80" w:type="dxa"/>
              <w:left w:w="80" w:type="dxa"/>
              <w:bottom w:w="80" w:type="dxa"/>
              <w:right w:w="80" w:type="dxa"/>
            </w:tcMar>
          </w:tcPr>
          <w:p w14:paraId="0355DF66" w14:textId="2219415E"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No w</w:t>
            </w:r>
            <w:r w:rsidR="00041991">
              <w:rPr>
                <w:rFonts w:cs="Arial"/>
                <w:color w:val="000000"/>
                <w:sz w:val="14"/>
                <w:szCs w:val="16"/>
                <w:lang w:val="en-GB"/>
              </w:rPr>
              <w:t>aiting period</w:t>
            </w:r>
          </w:p>
        </w:tc>
        <w:tc>
          <w:tcPr>
            <w:tcW w:w="1888" w:type="dxa"/>
            <w:shd w:val="clear" w:color="auto" w:fill="FFC9C9"/>
            <w:tcMar>
              <w:top w:w="80" w:type="dxa"/>
              <w:left w:w="80" w:type="dxa"/>
              <w:bottom w:w="80" w:type="dxa"/>
              <w:right w:w="80" w:type="dxa"/>
            </w:tcMar>
          </w:tcPr>
          <w:p w14:paraId="1067F26C" w14:textId="3DED8ABD"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Yes</w:t>
            </w:r>
          </w:p>
        </w:tc>
      </w:tr>
      <w:tr w:rsidR="000E28C6" w:rsidRPr="000E28C6" w14:paraId="18384E66" w14:textId="77777777" w:rsidTr="00FB729B">
        <w:tc>
          <w:tcPr>
            <w:tcW w:w="1626" w:type="dxa"/>
            <w:tcMar>
              <w:top w:w="80" w:type="dxa"/>
              <w:left w:w="80" w:type="dxa"/>
              <w:bottom w:w="80" w:type="dxa"/>
              <w:right w:w="80" w:type="dxa"/>
            </w:tcMar>
          </w:tcPr>
          <w:p w14:paraId="6B7933C9"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Victoria</w:t>
            </w:r>
          </w:p>
        </w:tc>
        <w:tc>
          <w:tcPr>
            <w:tcW w:w="5953" w:type="dxa"/>
            <w:tcMar>
              <w:top w:w="80" w:type="dxa"/>
              <w:left w:w="80" w:type="dxa"/>
              <w:bottom w:w="80" w:type="dxa"/>
              <w:right w:w="80" w:type="dxa"/>
            </w:tcMar>
          </w:tcPr>
          <w:p w14:paraId="23C4A5ED" w14:textId="79CF390D"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10% WPI for physical injuries (5% for Chapter</w:t>
            </w:r>
            <w:r w:rsidR="00041991">
              <w:rPr>
                <w:rFonts w:cs="Arial"/>
                <w:color w:val="000000"/>
                <w:sz w:val="14"/>
                <w:szCs w:val="16"/>
                <w:lang w:val="en-GB"/>
              </w:rPr>
              <w:t xml:space="preserve"> 3 musculoskeletal impairments)</w:t>
            </w:r>
          </w:p>
          <w:p w14:paraId="4A1E2AF9" w14:textId="7A2516AC"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10% for hearing loss (no threshold for further hearing loss claims if 10%</w:t>
            </w:r>
            <w:r w:rsidR="00041991">
              <w:rPr>
                <w:rFonts w:cs="Arial"/>
                <w:color w:val="000000"/>
                <w:sz w:val="14"/>
                <w:szCs w:val="16"/>
                <w:lang w:val="en-GB"/>
              </w:rPr>
              <w:t xml:space="preserve"> threshold previously breached)</w:t>
            </w:r>
          </w:p>
          <w:p w14:paraId="02635CF1" w14:textId="01DC2207"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30% WPI for psychiatric impairment — not arisi</w:t>
            </w:r>
            <w:r w:rsidR="00041991">
              <w:rPr>
                <w:rFonts w:cs="Arial"/>
                <w:color w:val="000000"/>
                <w:sz w:val="14"/>
                <w:szCs w:val="16"/>
                <w:lang w:val="en-GB"/>
              </w:rPr>
              <w:t>ng secondary to physical injury</w:t>
            </w:r>
          </w:p>
        </w:tc>
        <w:tc>
          <w:tcPr>
            <w:tcW w:w="5954" w:type="dxa"/>
            <w:tcMar>
              <w:top w:w="80" w:type="dxa"/>
              <w:left w:w="80" w:type="dxa"/>
              <w:bottom w:w="80" w:type="dxa"/>
              <w:right w:w="80" w:type="dxa"/>
            </w:tcMar>
          </w:tcPr>
          <w:p w14:paraId="1729E4F7" w14:textId="5244F72E"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Minimum of 12 months or when condition has stabilised</w:t>
            </w:r>
          </w:p>
        </w:tc>
        <w:tc>
          <w:tcPr>
            <w:tcW w:w="1888" w:type="dxa"/>
            <w:tcMar>
              <w:top w:w="80" w:type="dxa"/>
              <w:left w:w="80" w:type="dxa"/>
              <w:bottom w:w="80" w:type="dxa"/>
              <w:right w:w="80" w:type="dxa"/>
            </w:tcMar>
          </w:tcPr>
          <w:p w14:paraId="3D419685" w14:textId="74988D77"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Apportionment</w:t>
            </w:r>
          </w:p>
        </w:tc>
      </w:tr>
      <w:tr w:rsidR="000E28C6" w:rsidRPr="000E28C6" w14:paraId="101B07BF" w14:textId="77777777" w:rsidTr="00FB729B">
        <w:tc>
          <w:tcPr>
            <w:tcW w:w="1626" w:type="dxa"/>
            <w:shd w:val="clear" w:color="auto" w:fill="FFC9C9"/>
            <w:tcMar>
              <w:top w:w="80" w:type="dxa"/>
              <w:left w:w="80" w:type="dxa"/>
              <w:bottom w:w="80" w:type="dxa"/>
              <w:right w:w="80" w:type="dxa"/>
            </w:tcMar>
          </w:tcPr>
          <w:p w14:paraId="43246FFA"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Queensland</w:t>
            </w:r>
          </w:p>
        </w:tc>
        <w:tc>
          <w:tcPr>
            <w:tcW w:w="5953" w:type="dxa"/>
            <w:shd w:val="clear" w:color="auto" w:fill="FFC9C9"/>
            <w:tcMar>
              <w:top w:w="80" w:type="dxa"/>
              <w:left w:w="80" w:type="dxa"/>
              <w:bottom w:w="80" w:type="dxa"/>
              <w:right w:w="80" w:type="dxa"/>
            </w:tcMar>
          </w:tcPr>
          <w:p w14:paraId="67E8AA40" w14:textId="0A841175" w:rsidR="000E28C6" w:rsidRPr="000E28C6" w:rsidRDefault="00041991" w:rsidP="009146AE">
            <w:pPr>
              <w:spacing w:after="60" w:line="276" w:lineRule="auto"/>
              <w:rPr>
                <w:rFonts w:cs="Arial"/>
                <w:color w:val="000000"/>
                <w:sz w:val="14"/>
                <w:szCs w:val="16"/>
                <w:lang w:val="en-GB"/>
              </w:rPr>
            </w:pPr>
            <w:r>
              <w:rPr>
                <w:rFonts w:cs="Arial"/>
                <w:color w:val="000000"/>
                <w:sz w:val="14"/>
                <w:szCs w:val="16"/>
                <w:lang w:val="en-GB"/>
              </w:rPr>
              <w:t>5% DPI for hearing loss (</w:t>
            </w:r>
            <w:hyperlink r:id="rId886" w:anchor="sec.125" w:history="1">
              <w:r w:rsidRPr="009408F8">
                <w:rPr>
                  <w:rStyle w:val="Hyperlink"/>
                  <w:rFonts w:cs="Arial"/>
                  <w:sz w:val="14"/>
                  <w:szCs w:val="16"/>
                  <w:lang w:val="en-GB"/>
                </w:rPr>
                <w:t>s125</w:t>
              </w:r>
            </w:hyperlink>
            <w:r>
              <w:rPr>
                <w:rFonts w:cs="Arial"/>
                <w:color w:val="000000"/>
                <w:sz w:val="14"/>
                <w:szCs w:val="16"/>
                <w:lang w:val="en-GB"/>
              </w:rPr>
              <w:t>)</w:t>
            </w:r>
          </w:p>
        </w:tc>
        <w:tc>
          <w:tcPr>
            <w:tcW w:w="5954" w:type="dxa"/>
            <w:shd w:val="clear" w:color="auto" w:fill="FFC9C9"/>
            <w:tcMar>
              <w:top w:w="80" w:type="dxa"/>
              <w:left w:w="80" w:type="dxa"/>
              <w:bottom w:w="80" w:type="dxa"/>
              <w:right w:w="80" w:type="dxa"/>
            </w:tcMar>
          </w:tcPr>
          <w:p w14:paraId="63D850AF" w14:textId="64AF6E06" w:rsidR="000E28C6" w:rsidRPr="000E28C6" w:rsidRDefault="00041991" w:rsidP="009146AE">
            <w:pPr>
              <w:spacing w:after="60" w:line="276" w:lineRule="auto"/>
              <w:rPr>
                <w:rFonts w:cs="Arial"/>
                <w:color w:val="000000"/>
                <w:sz w:val="14"/>
                <w:szCs w:val="16"/>
                <w:lang w:val="en-GB"/>
              </w:rPr>
            </w:pPr>
            <w:r>
              <w:rPr>
                <w:rFonts w:cs="Arial"/>
                <w:color w:val="000000"/>
                <w:sz w:val="14"/>
                <w:szCs w:val="16"/>
                <w:lang w:val="en-GB"/>
              </w:rPr>
              <w:t>No waiting period</w:t>
            </w:r>
          </w:p>
        </w:tc>
        <w:tc>
          <w:tcPr>
            <w:tcW w:w="1888" w:type="dxa"/>
            <w:shd w:val="clear" w:color="auto" w:fill="FFC9C9"/>
            <w:tcMar>
              <w:top w:w="80" w:type="dxa"/>
              <w:left w:w="80" w:type="dxa"/>
              <w:bottom w:w="80" w:type="dxa"/>
              <w:right w:w="80" w:type="dxa"/>
            </w:tcMar>
          </w:tcPr>
          <w:p w14:paraId="7C9C37F1" w14:textId="13CA70A2"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Yes</w:t>
            </w:r>
          </w:p>
        </w:tc>
      </w:tr>
      <w:tr w:rsidR="000E28C6" w:rsidRPr="000E28C6" w14:paraId="3C52EA54" w14:textId="77777777" w:rsidTr="00FB729B">
        <w:tc>
          <w:tcPr>
            <w:tcW w:w="1626" w:type="dxa"/>
            <w:tcMar>
              <w:top w:w="80" w:type="dxa"/>
              <w:left w:w="80" w:type="dxa"/>
              <w:bottom w:w="80" w:type="dxa"/>
              <w:right w:w="80" w:type="dxa"/>
            </w:tcMar>
          </w:tcPr>
          <w:p w14:paraId="7804F324"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Western Australia</w:t>
            </w:r>
          </w:p>
        </w:tc>
        <w:tc>
          <w:tcPr>
            <w:tcW w:w="5953" w:type="dxa"/>
            <w:tcMar>
              <w:top w:w="80" w:type="dxa"/>
              <w:left w:w="80" w:type="dxa"/>
              <w:bottom w:w="80" w:type="dxa"/>
              <w:right w:w="80" w:type="dxa"/>
            </w:tcMar>
          </w:tcPr>
          <w:p w14:paraId="70F0943A" w14:textId="7BE15BAC"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&gt;0% WPI,</w:t>
            </w:r>
            <w:r w:rsidR="00854206">
              <w:rPr>
                <w:rFonts w:cs="Arial"/>
                <w:color w:val="000000"/>
                <w:sz w:val="14"/>
                <w:szCs w:val="16"/>
                <w:lang w:val="en-GB"/>
              </w:rPr>
              <w:t xml:space="preserve"> </w:t>
            </w:r>
            <w:r w:rsidRPr="000E28C6">
              <w:rPr>
                <w:rFonts w:cs="Arial"/>
                <w:color w:val="000000"/>
                <w:sz w:val="14"/>
                <w:szCs w:val="16"/>
                <w:lang w:val="en-GB"/>
              </w:rPr>
              <w:t>except for:10% WPI for initial noise induced hearing loss (N</w:t>
            </w:r>
            <w:r w:rsidR="00041991">
              <w:rPr>
                <w:rFonts w:cs="Arial"/>
                <w:color w:val="000000"/>
                <w:sz w:val="14"/>
                <w:szCs w:val="16"/>
                <w:lang w:val="en-GB"/>
              </w:rPr>
              <w:t>IHL) and 5% for subsequent NIHL</w:t>
            </w:r>
          </w:p>
        </w:tc>
        <w:tc>
          <w:tcPr>
            <w:tcW w:w="5954" w:type="dxa"/>
            <w:tcMar>
              <w:top w:w="80" w:type="dxa"/>
              <w:left w:w="80" w:type="dxa"/>
              <w:bottom w:w="80" w:type="dxa"/>
              <w:right w:w="80" w:type="dxa"/>
            </w:tcMar>
          </w:tcPr>
          <w:p w14:paraId="5D6FF251" w14:textId="4D56BE2C" w:rsidR="000E28C6" w:rsidRPr="000E28C6" w:rsidRDefault="00041991" w:rsidP="009146AE">
            <w:pPr>
              <w:spacing w:after="60" w:line="276" w:lineRule="auto"/>
              <w:rPr>
                <w:rFonts w:cs="Arial"/>
                <w:color w:val="000000"/>
                <w:sz w:val="14"/>
                <w:szCs w:val="16"/>
                <w:lang w:val="en-GB"/>
              </w:rPr>
            </w:pPr>
            <w:r>
              <w:rPr>
                <w:rFonts w:cs="Arial"/>
                <w:color w:val="000000"/>
                <w:sz w:val="14"/>
                <w:szCs w:val="16"/>
                <w:lang w:val="en-GB"/>
              </w:rPr>
              <w:t>No waiting period</w:t>
            </w:r>
          </w:p>
        </w:tc>
        <w:tc>
          <w:tcPr>
            <w:tcW w:w="1888" w:type="dxa"/>
            <w:tcMar>
              <w:top w:w="80" w:type="dxa"/>
              <w:left w:w="80" w:type="dxa"/>
              <w:bottom w:w="80" w:type="dxa"/>
              <w:right w:w="80" w:type="dxa"/>
            </w:tcMar>
          </w:tcPr>
          <w:p w14:paraId="2AAFFB92" w14:textId="77777777"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w:t>
            </w:r>
          </w:p>
        </w:tc>
      </w:tr>
      <w:tr w:rsidR="000E28C6" w:rsidRPr="000E28C6" w14:paraId="4309EA64" w14:textId="77777777" w:rsidTr="00FB729B">
        <w:tc>
          <w:tcPr>
            <w:tcW w:w="1626" w:type="dxa"/>
            <w:shd w:val="clear" w:color="auto" w:fill="FFC9C9"/>
            <w:tcMar>
              <w:top w:w="80" w:type="dxa"/>
              <w:left w:w="80" w:type="dxa"/>
              <w:bottom w:w="80" w:type="dxa"/>
              <w:right w:w="80" w:type="dxa"/>
            </w:tcMar>
          </w:tcPr>
          <w:p w14:paraId="53F46DA2"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South Australia</w:t>
            </w:r>
          </w:p>
        </w:tc>
        <w:tc>
          <w:tcPr>
            <w:tcW w:w="5953" w:type="dxa"/>
            <w:shd w:val="clear" w:color="auto" w:fill="FFC9C9"/>
            <w:tcMar>
              <w:top w:w="80" w:type="dxa"/>
              <w:left w:w="80" w:type="dxa"/>
              <w:bottom w:w="80" w:type="dxa"/>
              <w:right w:w="80" w:type="dxa"/>
            </w:tcMar>
          </w:tcPr>
          <w:p w14:paraId="631EC6E0" w14:textId="0D14172C"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In relation to lump sum payments</w:t>
            </w:r>
            <w:r w:rsidR="00A95C3B">
              <w:rPr>
                <w:rFonts w:cs="Arial"/>
                <w:color w:val="000000"/>
                <w:sz w:val="14"/>
                <w:szCs w:val="16"/>
                <w:lang w:val="en-GB"/>
              </w:rPr>
              <w:fldChar w:fldCharType="begin"/>
            </w:r>
            <w:r w:rsidR="00A95C3B">
              <w:instrText xml:space="preserve"> XE "</w:instrText>
            </w:r>
            <w:r w:rsidR="00A95C3B" w:rsidRPr="00570B18">
              <w:instrText>payments:lump sum payments</w:instrText>
            </w:r>
            <w:r w:rsidR="00A95C3B">
              <w:instrText xml:space="preserve">" </w:instrText>
            </w:r>
            <w:r w:rsidR="00A95C3B">
              <w:rPr>
                <w:rFonts w:cs="Arial"/>
                <w:color w:val="000000"/>
                <w:sz w:val="14"/>
                <w:szCs w:val="16"/>
                <w:lang w:val="en-GB"/>
              </w:rPr>
              <w:fldChar w:fldCharType="end"/>
            </w:r>
            <w:r w:rsidRPr="000E28C6">
              <w:rPr>
                <w:rFonts w:cs="Arial"/>
                <w:color w:val="000000"/>
                <w:sz w:val="14"/>
                <w:szCs w:val="16"/>
                <w:lang w:val="en-GB"/>
              </w:rPr>
              <w:t xml:space="preserve"> for non-economic loss, section 58(2) provides an entitlement does not arise under this section if the worker’s degree of whole person impairment from physical injury is less than 5%.</w:t>
            </w:r>
          </w:p>
          <w:p w14:paraId="2EC07636" w14:textId="48C7F4E9"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The economic loss lump sum is only available to workers whose whole person impairment is assessed between 5% and 29%.</w:t>
            </w:r>
            <w:r w:rsidR="00DD0D68">
              <w:rPr>
                <w:rFonts w:cs="Arial"/>
                <w:color w:val="000000"/>
                <w:sz w:val="14"/>
                <w:szCs w:val="16"/>
                <w:lang w:val="en-GB"/>
              </w:rPr>
              <w:t xml:space="preserve"> </w:t>
            </w:r>
            <w:r w:rsidRPr="000E28C6">
              <w:rPr>
                <w:rFonts w:cs="Arial"/>
                <w:color w:val="000000"/>
                <w:sz w:val="14"/>
                <w:szCs w:val="16"/>
                <w:lang w:val="en-GB"/>
              </w:rPr>
              <w:t xml:space="preserve">Seriously injured workers with a whole person impairment of 30% or more cannot receive an economic loss lump sum but receive income support until retirement age or until otherwise lawfully discontinued under the </w:t>
            </w:r>
            <w:r w:rsidRPr="000E28C6">
              <w:rPr>
                <w:rFonts w:cs="Arial"/>
                <w:i/>
                <w:color w:val="000000"/>
                <w:sz w:val="14"/>
                <w:szCs w:val="16"/>
                <w:lang w:val="en-GB"/>
              </w:rPr>
              <w:t>Return to Work Act</w:t>
            </w:r>
            <w:r w:rsidRPr="000E28C6">
              <w:rPr>
                <w:rFonts w:cs="Arial"/>
                <w:color w:val="000000"/>
                <w:sz w:val="14"/>
                <w:szCs w:val="16"/>
                <w:lang w:val="en-GB"/>
              </w:rPr>
              <w:t xml:space="preserve"> </w:t>
            </w:r>
            <w:r w:rsidRPr="008447E1">
              <w:rPr>
                <w:rFonts w:cs="Arial"/>
                <w:i/>
                <w:color w:val="000000"/>
                <w:sz w:val="14"/>
                <w:szCs w:val="16"/>
                <w:lang w:val="en-GB"/>
              </w:rPr>
              <w:t>2014</w:t>
            </w:r>
            <w:r w:rsidRPr="000E28C6">
              <w:rPr>
                <w:rFonts w:cs="Arial"/>
                <w:color w:val="000000"/>
                <w:sz w:val="14"/>
                <w:szCs w:val="16"/>
                <w:lang w:val="en-GB"/>
              </w:rPr>
              <w:t>.</w:t>
            </w:r>
            <w:r w:rsidR="00DD0D68">
              <w:rPr>
                <w:rFonts w:cs="Arial"/>
                <w:color w:val="000000"/>
                <w:sz w:val="14"/>
                <w:szCs w:val="16"/>
                <w:lang w:val="en-GB"/>
              </w:rPr>
              <w:t xml:space="preserve"> </w:t>
            </w:r>
          </w:p>
          <w:p w14:paraId="2883D29B" w14:textId="77777777"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Psychiatric disorders to be assessed separately from physical injuries.</w:t>
            </w:r>
          </w:p>
          <w:p w14:paraId="643347BE" w14:textId="0F86D996"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 xml:space="preserve">For assessment of psychiatric impairment AMA5 chapter 14 is excluded and replaced by Chapter 16 </w:t>
            </w:r>
            <w:hyperlink r:id="rId887" w:history="1">
              <w:r w:rsidRPr="000E28C6">
                <w:rPr>
                  <w:rFonts w:cs="Arial"/>
                  <w:color w:val="0000FF"/>
                  <w:sz w:val="14"/>
                  <w:szCs w:val="16"/>
                  <w:u w:val="single"/>
                  <w:lang w:val="en-GB"/>
                </w:rPr>
                <w:t>Impairment Assessment Guidelines</w:t>
              </w:r>
            </w:hyperlink>
          </w:p>
        </w:tc>
        <w:tc>
          <w:tcPr>
            <w:tcW w:w="5954" w:type="dxa"/>
            <w:shd w:val="clear" w:color="auto" w:fill="FFC9C9"/>
            <w:tcMar>
              <w:top w:w="80" w:type="dxa"/>
              <w:left w:w="80" w:type="dxa"/>
              <w:bottom w:w="80" w:type="dxa"/>
              <w:right w:w="80" w:type="dxa"/>
            </w:tcMar>
          </w:tcPr>
          <w:p w14:paraId="1E543026" w14:textId="1992C003"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 xml:space="preserve">A worker cannot be assessed until the injury </w:t>
            </w:r>
            <w:r w:rsidR="00041991">
              <w:rPr>
                <w:rFonts w:cs="Arial"/>
                <w:color w:val="000000"/>
                <w:sz w:val="14"/>
                <w:szCs w:val="16"/>
                <w:lang w:val="en-GB"/>
              </w:rPr>
              <w:t>has stabilised [</w:t>
            </w:r>
            <w:hyperlink r:id="rId888" w:history="1">
              <w:r w:rsidR="00041991" w:rsidRPr="009408F8">
                <w:rPr>
                  <w:rStyle w:val="Hyperlink"/>
                  <w:rFonts w:cs="Arial"/>
                  <w:sz w:val="14"/>
                  <w:szCs w:val="16"/>
                  <w:lang w:val="en-GB"/>
                </w:rPr>
                <w:t>s122(6)(a)</w:t>
              </w:r>
            </w:hyperlink>
            <w:r w:rsidR="00041991">
              <w:rPr>
                <w:rFonts w:cs="Arial"/>
                <w:color w:val="000000"/>
                <w:sz w:val="14"/>
                <w:szCs w:val="16"/>
                <w:lang w:val="en-GB"/>
              </w:rPr>
              <w:t>]</w:t>
            </w:r>
          </w:p>
        </w:tc>
        <w:tc>
          <w:tcPr>
            <w:tcW w:w="1888" w:type="dxa"/>
            <w:shd w:val="clear" w:color="auto" w:fill="FFC9C9"/>
            <w:tcMar>
              <w:top w:w="80" w:type="dxa"/>
              <w:left w:w="80" w:type="dxa"/>
              <w:bottom w:w="80" w:type="dxa"/>
              <w:right w:w="80" w:type="dxa"/>
            </w:tcMar>
          </w:tcPr>
          <w:p w14:paraId="73EC15B6" w14:textId="51095741" w:rsidR="000E28C6" w:rsidRPr="000E28C6" w:rsidRDefault="00854AFF" w:rsidP="009146AE">
            <w:pPr>
              <w:spacing w:after="60"/>
              <w:rPr>
                <w:rFonts w:cs="Arial"/>
                <w:color w:val="000000"/>
                <w:sz w:val="14"/>
                <w:szCs w:val="16"/>
                <w:lang w:val="en-GB"/>
              </w:rPr>
            </w:pPr>
            <w:r>
              <w:rPr>
                <w:rFonts w:cs="Arial"/>
                <w:color w:val="000000"/>
                <w:sz w:val="14"/>
                <w:szCs w:val="16"/>
                <w:lang w:val="en-GB"/>
              </w:rPr>
              <w:t>Yes</w:t>
            </w:r>
          </w:p>
        </w:tc>
      </w:tr>
      <w:tr w:rsidR="000E28C6" w:rsidRPr="000E28C6" w14:paraId="2FB03784" w14:textId="77777777" w:rsidTr="00FB729B">
        <w:tc>
          <w:tcPr>
            <w:tcW w:w="1626" w:type="dxa"/>
            <w:tcMar>
              <w:top w:w="80" w:type="dxa"/>
              <w:left w:w="80" w:type="dxa"/>
              <w:bottom w:w="80" w:type="dxa"/>
              <w:right w:w="80" w:type="dxa"/>
            </w:tcMar>
          </w:tcPr>
          <w:p w14:paraId="6E71E128"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Tasmania</w:t>
            </w:r>
          </w:p>
        </w:tc>
        <w:tc>
          <w:tcPr>
            <w:tcW w:w="5953" w:type="dxa"/>
            <w:tcMar>
              <w:top w:w="80" w:type="dxa"/>
              <w:left w:w="80" w:type="dxa"/>
              <w:bottom w:w="80" w:type="dxa"/>
              <w:right w:w="80" w:type="dxa"/>
            </w:tcMar>
          </w:tcPr>
          <w:p w14:paraId="21D7ABC7" w14:textId="77777777" w:rsidR="000E28C6" w:rsidRPr="00DD11DA" w:rsidRDefault="000E28C6" w:rsidP="00F839DB">
            <w:pPr>
              <w:pStyle w:val="ListParagraph"/>
              <w:numPr>
                <w:ilvl w:val="0"/>
                <w:numId w:val="443"/>
              </w:numPr>
              <w:spacing w:after="60"/>
              <w:contextualSpacing/>
              <w:rPr>
                <w:rFonts w:eastAsia="Calibri" w:cs="Arial"/>
                <w:sz w:val="14"/>
                <w:szCs w:val="14"/>
                <w:lang w:eastAsia="en-US"/>
              </w:rPr>
            </w:pPr>
            <w:r w:rsidRPr="00DD11DA">
              <w:rPr>
                <w:rFonts w:eastAsia="Calibri" w:cs="Arial"/>
                <w:sz w:val="14"/>
                <w:szCs w:val="14"/>
                <w:lang w:eastAsia="en-US"/>
              </w:rPr>
              <w:t xml:space="preserve">% WPI for physical injuries with the exception of loss of part or all of a finger or toe — </w:t>
            </w:r>
            <w:hyperlink r:id="rId889" w:history="1">
              <w:r w:rsidRPr="00DD11DA">
                <w:rPr>
                  <w:rFonts w:eastAsia="Calibri" w:cs="Arial"/>
                  <w:color w:val="0000FF"/>
                  <w:sz w:val="14"/>
                  <w:szCs w:val="14"/>
                  <w:u w:val="single"/>
                  <w:lang w:eastAsia="en-US"/>
                </w:rPr>
                <w:t>s71</w:t>
              </w:r>
            </w:hyperlink>
          </w:p>
          <w:p w14:paraId="69E5A8AA" w14:textId="77777777" w:rsidR="000E28C6" w:rsidRPr="00DD11DA" w:rsidRDefault="000E28C6" w:rsidP="00F839DB">
            <w:pPr>
              <w:pStyle w:val="ListParagraph"/>
              <w:numPr>
                <w:ilvl w:val="0"/>
                <w:numId w:val="443"/>
              </w:numPr>
              <w:spacing w:after="60"/>
              <w:contextualSpacing/>
              <w:rPr>
                <w:rFonts w:eastAsia="Calibri" w:cs="Arial"/>
                <w:sz w:val="14"/>
                <w:szCs w:val="14"/>
                <w:lang w:eastAsia="en-US"/>
              </w:rPr>
            </w:pPr>
            <w:r w:rsidRPr="00DD11DA">
              <w:rPr>
                <w:rFonts w:eastAsia="Calibri" w:cs="Arial"/>
                <w:sz w:val="14"/>
                <w:szCs w:val="14"/>
                <w:lang w:eastAsia="en-US"/>
              </w:rPr>
              <w:t xml:space="preserve">&gt;0% WPI for loss of all or part of a finger or toe — </w:t>
            </w:r>
            <w:hyperlink r:id="rId890" w:history="1">
              <w:r w:rsidRPr="00DD11DA">
                <w:rPr>
                  <w:rFonts w:eastAsia="Calibri" w:cs="Arial"/>
                  <w:color w:val="0000FF"/>
                  <w:sz w:val="14"/>
                  <w:szCs w:val="14"/>
                  <w:u w:val="single"/>
                  <w:lang w:eastAsia="en-US"/>
                </w:rPr>
                <w:t>s71(1)(d)</w:t>
              </w:r>
            </w:hyperlink>
          </w:p>
          <w:p w14:paraId="2A846484" w14:textId="77777777" w:rsidR="000E28C6" w:rsidRPr="00DD11DA" w:rsidRDefault="000E28C6" w:rsidP="00F839DB">
            <w:pPr>
              <w:pStyle w:val="ListParagraph"/>
              <w:numPr>
                <w:ilvl w:val="0"/>
                <w:numId w:val="443"/>
              </w:numPr>
              <w:spacing w:after="60"/>
              <w:contextualSpacing/>
              <w:rPr>
                <w:rFonts w:eastAsia="Calibri" w:cs="Arial"/>
                <w:sz w:val="14"/>
                <w:szCs w:val="14"/>
                <w:lang w:eastAsia="en-US"/>
              </w:rPr>
            </w:pPr>
            <w:r w:rsidRPr="00DD11DA">
              <w:rPr>
                <w:rFonts w:eastAsia="Calibri" w:cs="Arial"/>
                <w:sz w:val="14"/>
                <w:szCs w:val="14"/>
                <w:lang w:eastAsia="en-US"/>
              </w:rPr>
              <w:lastRenderedPageBreak/>
              <w:t xml:space="preserve">10% WPI for psychiatric impairment — </w:t>
            </w:r>
            <w:hyperlink r:id="rId891" w:history="1">
              <w:r w:rsidRPr="00DD11DA">
                <w:rPr>
                  <w:rFonts w:eastAsia="Calibri" w:cs="Arial"/>
                  <w:color w:val="0000FF"/>
                  <w:sz w:val="14"/>
                  <w:szCs w:val="14"/>
                  <w:u w:val="single"/>
                  <w:lang w:eastAsia="en-US"/>
                </w:rPr>
                <w:t>s71(2)(a)</w:t>
              </w:r>
            </w:hyperlink>
          </w:p>
          <w:p w14:paraId="3410DEDD" w14:textId="74979C78" w:rsidR="000E28C6" w:rsidRPr="00DD11DA" w:rsidRDefault="000E28C6" w:rsidP="00F839DB">
            <w:pPr>
              <w:pStyle w:val="ListParagraph"/>
              <w:numPr>
                <w:ilvl w:val="0"/>
                <w:numId w:val="443"/>
              </w:numPr>
              <w:spacing w:after="60"/>
              <w:contextualSpacing/>
              <w:rPr>
                <w:rFonts w:eastAsia="Calibri" w:cs="Arial"/>
                <w:sz w:val="14"/>
                <w:szCs w:val="14"/>
                <w:lang w:eastAsia="en-US"/>
              </w:rPr>
            </w:pPr>
            <w:r w:rsidRPr="00DD11DA">
              <w:rPr>
                <w:rFonts w:eastAsia="Calibri" w:cs="Arial"/>
                <w:sz w:val="14"/>
                <w:szCs w:val="14"/>
                <w:lang w:eastAsia="en-US"/>
              </w:rPr>
              <w:t>5% for binaural hearing impairment</w:t>
            </w:r>
            <w:r w:rsidR="00D57A63">
              <w:rPr>
                <w:rFonts w:eastAsia="Calibri" w:cs="Arial"/>
                <w:sz w:val="14"/>
                <w:szCs w:val="14"/>
                <w:lang w:eastAsia="en-US"/>
              </w:rPr>
              <w:fldChar w:fldCharType="begin"/>
            </w:r>
            <w:r w:rsidR="00D57A63">
              <w:instrText xml:space="preserve"> XE "</w:instrText>
            </w:r>
            <w:r w:rsidR="00D57A63" w:rsidRPr="003C702B">
              <w:rPr>
                <w:rFonts w:cs="Arial"/>
                <w:color w:val="000000"/>
                <w:sz w:val="14"/>
                <w:szCs w:val="16"/>
                <w:lang w:val="en-GB"/>
              </w:rPr>
              <w:instrText>hearing impairment</w:instrText>
            </w:r>
            <w:r w:rsidR="00D57A63">
              <w:instrText xml:space="preserve">" </w:instrText>
            </w:r>
            <w:r w:rsidR="00D57A63">
              <w:rPr>
                <w:rFonts w:eastAsia="Calibri" w:cs="Arial"/>
                <w:sz w:val="14"/>
                <w:szCs w:val="14"/>
                <w:lang w:eastAsia="en-US"/>
              </w:rPr>
              <w:fldChar w:fldCharType="end"/>
            </w:r>
            <w:r w:rsidRPr="00DD11DA">
              <w:rPr>
                <w:rFonts w:eastAsia="Calibri" w:cs="Arial"/>
                <w:sz w:val="14"/>
                <w:szCs w:val="14"/>
                <w:lang w:eastAsia="en-US"/>
              </w:rPr>
              <w:t xml:space="preserve"> caused by industrial deafness — </w:t>
            </w:r>
            <w:hyperlink r:id="rId892" w:history="1">
              <w:r w:rsidRPr="00DD11DA">
                <w:rPr>
                  <w:rFonts w:eastAsia="Calibri" w:cs="Arial"/>
                  <w:color w:val="0000FF"/>
                  <w:sz w:val="14"/>
                  <w:szCs w:val="14"/>
                  <w:u w:val="single"/>
                  <w:lang w:eastAsia="en-US"/>
                </w:rPr>
                <w:t>s72A</w:t>
              </w:r>
            </w:hyperlink>
          </w:p>
        </w:tc>
        <w:tc>
          <w:tcPr>
            <w:tcW w:w="5954" w:type="dxa"/>
            <w:tcMar>
              <w:top w:w="80" w:type="dxa"/>
              <w:left w:w="80" w:type="dxa"/>
              <w:bottom w:w="80" w:type="dxa"/>
              <w:right w:w="80" w:type="dxa"/>
            </w:tcMar>
          </w:tcPr>
          <w:p w14:paraId="45E6D5B8" w14:textId="2DEC7FEF" w:rsidR="000E28C6" w:rsidRPr="000E28C6" w:rsidRDefault="00854AFF" w:rsidP="009146AE">
            <w:pPr>
              <w:spacing w:after="60"/>
              <w:rPr>
                <w:rFonts w:cs="Arial"/>
                <w:color w:val="000000"/>
                <w:sz w:val="14"/>
                <w:szCs w:val="16"/>
                <w:lang w:val="en-GB"/>
              </w:rPr>
            </w:pPr>
            <w:r>
              <w:rPr>
                <w:rFonts w:cs="Arial"/>
                <w:color w:val="000000"/>
                <w:sz w:val="14"/>
                <w:szCs w:val="16"/>
                <w:lang w:val="en-GB"/>
              </w:rPr>
              <w:lastRenderedPageBreak/>
              <w:t>—</w:t>
            </w:r>
          </w:p>
        </w:tc>
        <w:tc>
          <w:tcPr>
            <w:tcW w:w="1888" w:type="dxa"/>
            <w:tcMar>
              <w:top w:w="80" w:type="dxa"/>
              <w:left w:w="80" w:type="dxa"/>
              <w:bottom w:w="80" w:type="dxa"/>
              <w:right w:w="80" w:type="dxa"/>
            </w:tcMar>
          </w:tcPr>
          <w:p w14:paraId="43A1C285" w14:textId="77777777"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w:t>
            </w:r>
          </w:p>
        </w:tc>
      </w:tr>
      <w:tr w:rsidR="000E28C6" w:rsidRPr="000E28C6" w14:paraId="18430DB3" w14:textId="77777777" w:rsidTr="00FB729B">
        <w:tc>
          <w:tcPr>
            <w:tcW w:w="1626" w:type="dxa"/>
            <w:shd w:val="clear" w:color="auto" w:fill="FFC9C9"/>
            <w:tcMar>
              <w:top w:w="80" w:type="dxa"/>
              <w:left w:w="80" w:type="dxa"/>
              <w:bottom w:w="80" w:type="dxa"/>
              <w:right w:w="80" w:type="dxa"/>
            </w:tcMar>
          </w:tcPr>
          <w:p w14:paraId="164E9C92"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Northern Territory</w:t>
            </w:r>
          </w:p>
        </w:tc>
        <w:tc>
          <w:tcPr>
            <w:tcW w:w="5953" w:type="dxa"/>
            <w:shd w:val="clear" w:color="auto" w:fill="FFC9C9"/>
            <w:tcMar>
              <w:top w:w="80" w:type="dxa"/>
              <w:left w:w="80" w:type="dxa"/>
              <w:bottom w:w="80" w:type="dxa"/>
              <w:right w:w="80" w:type="dxa"/>
            </w:tcMar>
          </w:tcPr>
          <w:p w14:paraId="60D949CE" w14:textId="77777777"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5% WPI.</w:t>
            </w:r>
          </w:p>
          <w:p w14:paraId="0AF14998" w14:textId="77777777" w:rsidR="000E28C6" w:rsidRPr="00DD11DA" w:rsidRDefault="000E28C6" w:rsidP="00F839DB">
            <w:pPr>
              <w:pStyle w:val="ListParagraph"/>
              <w:numPr>
                <w:ilvl w:val="0"/>
                <w:numId w:val="444"/>
              </w:numPr>
              <w:spacing w:after="60"/>
              <w:contextualSpacing/>
              <w:rPr>
                <w:rFonts w:eastAsia="Calibri" w:cs="Arial"/>
                <w:sz w:val="14"/>
                <w:szCs w:val="14"/>
                <w:lang w:eastAsia="en-US"/>
              </w:rPr>
            </w:pPr>
            <w:r w:rsidRPr="00DD11DA">
              <w:rPr>
                <w:rFonts w:eastAsia="Calibri" w:cs="Arial"/>
                <w:sz w:val="14"/>
                <w:szCs w:val="14"/>
                <w:lang w:eastAsia="en-US"/>
              </w:rPr>
              <w:t xml:space="preserve">If the impairment is 5–14% WPI, the compensation payable is calculated on a sliding scale. </w:t>
            </w:r>
          </w:p>
          <w:p w14:paraId="65A0F2F4" w14:textId="77777777" w:rsidR="000E28C6" w:rsidRPr="00DD11DA" w:rsidRDefault="000E28C6" w:rsidP="00F839DB">
            <w:pPr>
              <w:pStyle w:val="ListParagraph"/>
              <w:numPr>
                <w:ilvl w:val="0"/>
                <w:numId w:val="444"/>
              </w:numPr>
              <w:spacing w:after="60"/>
              <w:contextualSpacing/>
              <w:rPr>
                <w:rFonts w:eastAsia="Calibri" w:cs="Arial"/>
                <w:sz w:val="14"/>
                <w:szCs w:val="14"/>
                <w:lang w:eastAsia="en-US"/>
              </w:rPr>
            </w:pPr>
            <w:r w:rsidRPr="00DD11DA">
              <w:rPr>
                <w:rFonts w:eastAsia="Calibri" w:cs="Arial"/>
                <w:sz w:val="14"/>
                <w:szCs w:val="14"/>
                <w:lang w:eastAsia="en-US"/>
              </w:rPr>
              <w:t>Impairments of 15– 84% WPI attract a benefit equal to the actual percentage given</w:t>
            </w:r>
          </w:p>
          <w:p w14:paraId="6A957752" w14:textId="12AE14DF" w:rsidR="000E28C6" w:rsidRPr="00DD11DA" w:rsidRDefault="000E28C6" w:rsidP="00F839DB">
            <w:pPr>
              <w:pStyle w:val="ListParagraph"/>
              <w:numPr>
                <w:ilvl w:val="0"/>
                <w:numId w:val="444"/>
              </w:numPr>
              <w:spacing w:after="60"/>
              <w:contextualSpacing/>
              <w:rPr>
                <w:rFonts w:eastAsia="Calibri" w:cs="Arial"/>
                <w:sz w:val="14"/>
                <w:szCs w:val="14"/>
                <w:lang w:eastAsia="en-US"/>
              </w:rPr>
            </w:pPr>
            <w:r w:rsidRPr="00DD11DA">
              <w:rPr>
                <w:rFonts w:eastAsia="Calibri" w:cs="Arial"/>
                <w:sz w:val="14"/>
                <w:szCs w:val="14"/>
                <w:lang w:eastAsia="en-US"/>
              </w:rPr>
              <w:t>&gt;85% W</w:t>
            </w:r>
            <w:r w:rsidR="00041991">
              <w:rPr>
                <w:rFonts w:eastAsia="Calibri" w:cs="Arial"/>
                <w:sz w:val="14"/>
                <w:szCs w:val="14"/>
                <w:lang w:eastAsia="en-US"/>
              </w:rPr>
              <w:t>PI receives maximum entitlement</w:t>
            </w:r>
          </w:p>
        </w:tc>
        <w:tc>
          <w:tcPr>
            <w:tcW w:w="5954" w:type="dxa"/>
            <w:shd w:val="clear" w:color="auto" w:fill="FFC9C9"/>
            <w:tcMar>
              <w:top w:w="80" w:type="dxa"/>
              <w:left w:w="80" w:type="dxa"/>
              <w:bottom w:w="80" w:type="dxa"/>
              <w:right w:w="80" w:type="dxa"/>
            </w:tcMar>
          </w:tcPr>
          <w:p w14:paraId="030F6839" w14:textId="46FA5460" w:rsidR="000E28C6" w:rsidRPr="000E28C6" w:rsidRDefault="00041991" w:rsidP="009146AE">
            <w:pPr>
              <w:spacing w:after="60"/>
              <w:rPr>
                <w:rFonts w:cs="Arial"/>
                <w:color w:val="000000"/>
                <w:sz w:val="14"/>
                <w:szCs w:val="16"/>
                <w:lang w:val="en-GB"/>
              </w:rPr>
            </w:pPr>
            <w:r>
              <w:rPr>
                <w:rFonts w:cs="Arial"/>
                <w:color w:val="000000"/>
                <w:sz w:val="14"/>
                <w:szCs w:val="16"/>
                <w:lang w:val="en-GB"/>
              </w:rPr>
              <w:t>No waiting period</w:t>
            </w:r>
          </w:p>
        </w:tc>
        <w:tc>
          <w:tcPr>
            <w:tcW w:w="1888" w:type="dxa"/>
            <w:shd w:val="clear" w:color="auto" w:fill="FFC9C9"/>
            <w:tcMar>
              <w:top w:w="80" w:type="dxa"/>
              <w:left w:w="80" w:type="dxa"/>
              <w:bottom w:w="80" w:type="dxa"/>
              <w:right w:w="80" w:type="dxa"/>
            </w:tcMar>
          </w:tcPr>
          <w:p w14:paraId="7816A84A" w14:textId="0C83C823" w:rsidR="000E28C6" w:rsidRPr="000E28C6" w:rsidRDefault="000D3C6D" w:rsidP="009146AE">
            <w:pPr>
              <w:spacing w:after="60"/>
              <w:rPr>
                <w:rFonts w:cs="Arial"/>
                <w:color w:val="000000"/>
                <w:sz w:val="14"/>
                <w:szCs w:val="16"/>
                <w:lang w:val="en-GB"/>
              </w:rPr>
            </w:pPr>
            <w:r>
              <w:rPr>
                <w:rFonts w:cs="Arial"/>
                <w:color w:val="000000"/>
                <w:sz w:val="14"/>
                <w:szCs w:val="16"/>
                <w:lang w:val="en-GB"/>
              </w:rPr>
              <w:t>A</w:t>
            </w:r>
            <w:r w:rsidR="00854AFF">
              <w:rPr>
                <w:rFonts w:cs="Arial"/>
                <w:color w:val="000000"/>
                <w:sz w:val="14"/>
                <w:szCs w:val="16"/>
                <w:lang w:val="en-GB"/>
              </w:rPr>
              <w:t>pportionment</w:t>
            </w:r>
          </w:p>
        </w:tc>
      </w:tr>
      <w:tr w:rsidR="000E28C6" w:rsidRPr="000E28C6" w14:paraId="4CE05852" w14:textId="77777777" w:rsidTr="00FB729B">
        <w:tc>
          <w:tcPr>
            <w:tcW w:w="1626" w:type="dxa"/>
            <w:tcMar>
              <w:top w:w="80" w:type="dxa"/>
              <w:left w:w="80" w:type="dxa"/>
              <w:bottom w:w="80" w:type="dxa"/>
              <w:right w:w="80" w:type="dxa"/>
            </w:tcMar>
          </w:tcPr>
          <w:p w14:paraId="5F714532"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Australian Capital Territory</w:t>
            </w:r>
          </w:p>
        </w:tc>
        <w:tc>
          <w:tcPr>
            <w:tcW w:w="5953" w:type="dxa"/>
            <w:tcMar>
              <w:top w:w="80" w:type="dxa"/>
              <w:left w:w="80" w:type="dxa"/>
              <w:bottom w:w="80" w:type="dxa"/>
              <w:right w:w="80" w:type="dxa"/>
            </w:tcMar>
          </w:tcPr>
          <w:p w14:paraId="17787FB6" w14:textId="77777777" w:rsidR="000E28C6" w:rsidRPr="00DD11DA" w:rsidRDefault="000E28C6" w:rsidP="00F839DB">
            <w:pPr>
              <w:pStyle w:val="ListParagraph"/>
              <w:numPr>
                <w:ilvl w:val="0"/>
                <w:numId w:val="445"/>
              </w:numPr>
              <w:spacing w:after="60"/>
              <w:contextualSpacing/>
              <w:rPr>
                <w:rFonts w:eastAsia="Calibri" w:cs="Arial"/>
                <w:sz w:val="14"/>
                <w:szCs w:val="14"/>
                <w:lang w:eastAsia="en-US"/>
              </w:rPr>
            </w:pPr>
            <w:r w:rsidRPr="00DD11DA">
              <w:rPr>
                <w:rFonts w:eastAsia="Calibri" w:cs="Arial"/>
                <w:sz w:val="14"/>
                <w:szCs w:val="14"/>
                <w:lang w:eastAsia="en-US"/>
              </w:rPr>
              <w:t>0% (no threshold).</w:t>
            </w:r>
          </w:p>
          <w:p w14:paraId="04C815DA" w14:textId="7D0FF3F5" w:rsidR="000E28C6" w:rsidRPr="00DD11DA" w:rsidRDefault="000E28C6" w:rsidP="00F839DB">
            <w:pPr>
              <w:pStyle w:val="ListParagraph"/>
              <w:numPr>
                <w:ilvl w:val="0"/>
                <w:numId w:val="445"/>
              </w:numPr>
              <w:spacing w:after="60"/>
              <w:contextualSpacing/>
              <w:rPr>
                <w:rFonts w:eastAsia="Calibri" w:cs="Arial"/>
                <w:sz w:val="14"/>
                <w:szCs w:val="14"/>
                <w:lang w:eastAsia="en-US"/>
              </w:rPr>
            </w:pPr>
            <w:r w:rsidRPr="00DD11DA">
              <w:rPr>
                <w:rFonts w:eastAsia="Calibri" w:cs="Arial"/>
                <w:sz w:val="14"/>
                <w:szCs w:val="14"/>
                <w:lang w:eastAsia="en-US"/>
              </w:rPr>
              <w:t>6% threshold for hearing</w:t>
            </w:r>
            <w:r w:rsidR="00041991">
              <w:rPr>
                <w:rFonts w:eastAsia="Calibri" w:cs="Arial"/>
                <w:sz w:val="14"/>
                <w:szCs w:val="14"/>
                <w:lang w:eastAsia="en-US"/>
              </w:rPr>
              <w:t xml:space="preserve"> loss (boilermaker’s deafness)</w:t>
            </w:r>
          </w:p>
        </w:tc>
        <w:tc>
          <w:tcPr>
            <w:tcW w:w="5954" w:type="dxa"/>
            <w:tcMar>
              <w:top w:w="80" w:type="dxa"/>
              <w:left w:w="80" w:type="dxa"/>
              <w:bottom w:w="80" w:type="dxa"/>
              <w:right w:w="80" w:type="dxa"/>
            </w:tcMar>
          </w:tcPr>
          <w:p w14:paraId="0AFB1089" w14:textId="77777777"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Two years from date of Injury or earlier if worker has leave from the Magistrates Court or the Injury has stabilised. Injury is taken to have stabilised if the worker has returned to pre-injury weekly hours for a period of at least three months.</w:t>
            </w:r>
          </w:p>
        </w:tc>
        <w:tc>
          <w:tcPr>
            <w:tcW w:w="1888" w:type="dxa"/>
            <w:tcMar>
              <w:top w:w="80" w:type="dxa"/>
              <w:left w:w="80" w:type="dxa"/>
              <w:bottom w:w="80" w:type="dxa"/>
              <w:right w:w="80" w:type="dxa"/>
            </w:tcMar>
          </w:tcPr>
          <w:p w14:paraId="5CB5FE0E" w14:textId="36A1915A"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Yes</w:t>
            </w:r>
          </w:p>
        </w:tc>
      </w:tr>
      <w:tr w:rsidR="000E28C6" w:rsidRPr="000E28C6" w14:paraId="5B20472B" w14:textId="77777777" w:rsidTr="00FB729B">
        <w:tc>
          <w:tcPr>
            <w:tcW w:w="1626" w:type="dxa"/>
            <w:shd w:val="clear" w:color="auto" w:fill="FFC9C9"/>
            <w:tcMar>
              <w:top w:w="80" w:type="dxa"/>
              <w:left w:w="80" w:type="dxa"/>
              <w:bottom w:w="80" w:type="dxa"/>
              <w:right w:w="80" w:type="dxa"/>
            </w:tcMar>
          </w:tcPr>
          <w:p w14:paraId="55A91795"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C’wealth Comcare</w:t>
            </w:r>
          </w:p>
        </w:tc>
        <w:tc>
          <w:tcPr>
            <w:tcW w:w="5953" w:type="dxa"/>
            <w:shd w:val="clear" w:color="auto" w:fill="FFC9C9"/>
            <w:tcMar>
              <w:top w:w="80" w:type="dxa"/>
              <w:left w:w="80" w:type="dxa"/>
              <w:bottom w:w="80" w:type="dxa"/>
              <w:right w:w="80" w:type="dxa"/>
            </w:tcMar>
          </w:tcPr>
          <w:p w14:paraId="52FA8825" w14:textId="1FD3E4AE" w:rsidR="000E28C6" w:rsidRPr="00DD11DA" w:rsidRDefault="00041991" w:rsidP="00F839DB">
            <w:pPr>
              <w:pStyle w:val="ListParagraph"/>
              <w:numPr>
                <w:ilvl w:val="0"/>
                <w:numId w:val="446"/>
              </w:numPr>
              <w:spacing w:after="60"/>
              <w:contextualSpacing/>
              <w:rPr>
                <w:rFonts w:eastAsia="Calibri" w:cs="Arial"/>
                <w:sz w:val="14"/>
                <w:szCs w:val="14"/>
                <w:lang w:eastAsia="en-US"/>
              </w:rPr>
            </w:pPr>
            <w:r>
              <w:rPr>
                <w:rFonts w:eastAsia="Calibri" w:cs="Arial"/>
                <w:sz w:val="14"/>
                <w:szCs w:val="14"/>
                <w:lang w:eastAsia="en-US"/>
              </w:rPr>
              <w:t>10% WPI</w:t>
            </w:r>
          </w:p>
          <w:p w14:paraId="7045C530" w14:textId="366B8D5A" w:rsidR="000E28C6" w:rsidRPr="00DD11DA" w:rsidRDefault="00041991" w:rsidP="00F839DB">
            <w:pPr>
              <w:pStyle w:val="ListParagraph"/>
              <w:numPr>
                <w:ilvl w:val="0"/>
                <w:numId w:val="446"/>
              </w:numPr>
              <w:spacing w:after="60"/>
              <w:contextualSpacing/>
              <w:rPr>
                <w:rFonts w:eastAsia="Calibri" w:cs="Arial"/>
                <w:sz w:val="14"/>
                <w:szCs w:val="14"/>
                <w:lang w:eastAsia="en-US"/>
              </w:rPr>
            </w:pPr>
            <w:r>
              <w:rPr>
                <w:rFonts w:eastAsia="Calibri" w:cs="Arial"/>
                <w:sz w:val="14"/>
                <w:szCs w:val="14"/>
                <w:lang w:eastAsia="en-US"/>
              </w:rPr>
              <w:t>5% binaural hearing</w:t>
            </w:r>
          </w:p>
          <w:p w14:paraId="3FAAA2CC" w14:textId="016A6A50" w:rsidR="000E28C6" w:rsidRPr="00DD11DA" w:rsidRDefault="00041991" w:rsidP="00F839DB">
            <w:pPr>
              <w:pStyle w:val="ListParagraph"/>
              <w:numPr>
                <w:ilvl w:val="0"/>
                <w:numId w:val="446"/>
              </w:numPr>
              <w:spacing w:after="60"/>
              <w:contextualSpacing/>
              <w:rPr>
                <w:rFonts w:eastAsia="Calibri" w:cs="Arial"/>
                <w:sz w:val="14"/>
                <w:szCs w:val="14"/>
                <w:lang w:eastAsia="en-US"/>
              </w:rPr>
            </w:pPr>
            <w:r>
              <w:rPr>
                <w:rFonts w:eastAsia="Calibri" w:cs="Arial"/>
                <w:sz w:val="14"/>
                <w:szCs w:val="14"/>
                <w:lang w:eastAsia="en-US"/>
              </w:rPr>
              <w:t>&gt;0% Finger/toe, taste/smell</w:t>
            </w:r>
          </w:p>
          <w:p w14:paraId="1034365E" w14:textId="49329BC5" w:rsidR="000E28C6" w:rsidRPr="00DD11DA" w:rsidRDefault="000E28C6" w:rsidP="00F839DB">
            <w:pPr>
              <w:pStyle w:val="ListParagraph"/>
              <w:numPr>
                <w:ilvl w:val="0"/>
                <w:numId w:val="446"/>
              </w:numPr>
              <w:spacing w:after="60"/>
              <w:contextualSpacing/>
              <w:rPr>
                <w:rFonts w:eastAsia="Calibri" w:cs="Arial"/>
                <w:sz w:val="14"/>
                <w:szCs w:val="14"/>
                <w:lang w:eastAsia="en-US"/>
              </w:rPr>
            </w:pPr>
            <w:r w:rsidRPr="00DD11DA">
              <w:rPr>
                <w:rFonts w:eastAsia="Calibri" w:cs="Arial"/>
                <w:sz w:val="14"/>
                <w:szCs w:val="14"/>
                <w:lang w:eastAsia="en-US"/>
              </w:rPr>
              <w:t>Must qualify for PI to qualif</w:t>
            </w:r>
            <w:r w:rsidR="00041991">
              <w:rPr>
                <w:rFonts w:eastAsia="Calibri" w:cs="Arial"/>
                <w:sz w:val="14"/>
                <w:szCs w:val="14"/>
                <w:lang w:eastAsia="en-US"/>
              </w:rPr>
              <w:t>y for non-economic loss payment</w:t>
            </w:r>
          </w:p>
        </w:tc>
        <w:tc>
          <w:tcPr>
            <w:tcW w:w="5954" w:type="dxa"/>
            <w:shd w:val="clear" w:color="auto" w:fill="FFC9C9"/>
            <w:tcMar>
              <w:top w:w="80" w:type="dxa"/>
              <w:left w:w="80" w:type="dxa"/>
              <w:bottom w:w="80" w:type="dxa"/>
              <w:right w:w="80" w:type="dxa"/>
            </w:tcMar>
          </w:tcPr>
          <w:p w14:paraId="3E1667D9" w14:textId="17737CCC" w:rsidR="000E28C6" w:rsidRPr="000E28C6" w:rsidRDefault="00041991" w:rsidP="009146AE">
            <w:pPr>
              <w:spacing w:after="60"/>
              <w:rPr>
                <w:rFonts w:cs="Arial"/>
                <w:color w:val="000000"/>
                <w:sz w:val="14"/>
                <w:szCs w:val="16"/>
                <w:lang w:val="en-GB"/>
              </w:rPr>
            </w:pPr>
            <w:r>
              <w:rPr>
                <w:rFonts w:cs="Arial"/>
                <w:color w:val="000000"/>
                <w:sz w:val="14"/>
                <w:szCs w:val="16"/>
                <w:lang w:val="en-GB"/>
              </w:rPr>
              <w:t>No waiting period</w:t>
            </w:r>
          </w:p>
        </w:tc>
        <w:tc>
          <w:tcPr>
            <w:tcW w:w="1888" w:type="dxa"/>
            <w:shd w:val="clear" w:color="auto" w:fill="FFC9C9"/>
            <w:tcMar>
              <w:top w:w="80" w:type="dxa"/>
              <w:left w:w="80" w:type="dxa"/>
              <w:bottom w:w="80" w:type="dxa"/>
              <w:right w:w="80" w:type="dxa"/>
            </w:tcMar>
          </w:tcPr>
          <w:p w14:paraId="7C9AD668" w14:textId="44875183"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No direct apportioning or discounting</w:t>
            </w:r>
          </w:p>
        </w:tc>
      </w:tr>
      <w:tr w:rsidR="000E28C6" w:rsidRPr="000E28C6" w14:paraId="6D6C3D53" w14:textId="77777777" w:rsidTr="00FB729B">
        <w:tc>
          <w:tcPr>
            <w:tcW w:w="1626" w:type="dxa"/>
            <w:tcMar>
              <w:top w:w="80" w:type="dxa"/>
              <w:left w:w="80" w:type="dxa"/>
              <w:bottom w:w="80" w:type="dxa"/>
              <w:right w:w="80" w:type="dxa"/>
            </w:tcMar>
          </w:tcPr>
          <w:p w14:paraId="00573256"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C’wealth Seacare</w:t>
            </w:r>
          </w:p>
        </w:tc>
        <w:tc>
          <w:tcPr>
            <w:tcW w:w="5953" w:type="dxa"/>
            <w:tcMar>
              <w:top w:w="80" w:type="dxa"/>
              <w:left w:w="80" w:type="dxa"/>
              <w:bottom w:w="80" w:type="dxa"/>
              <w:right w:w="80" w:type="dxa"/>
            </w:tcMar>
          </w:tcPr>
          <w:p w14:paraId="2C32CE6E" w14:textId="0BC06CCB" w:rsidR="000E28C6" w:rsidRPr="00DD11DA" w:rsidRDefault="00041991" w:rsidP="00F839DB">
            <w:pPr>
              <w:pStyle w:val="ListParagraph"/>
              <w:numPr>
                <w:ilvl w:val="0"/>
                <w:numId w:val="447"/>
              </w:numPr>
              <w:spacing w:after="60"/>
              <w:contextualSpacing/>
              <w:rPr>
                <w:rFonts w:eastAsia="Calibri" w:cs="Arial"/>
                <w:sz w:val="14"/>
                <w:szCs w:val="14"/>
                <w:lang w:eastAsia="en-US"/>
              </w:rPr>
            </w:pPr>
            <w:r>
              <w:rPr>
                <w:rFonts w:eastAsia="Calibri" w:cs="Arial"/>
                <w:sz w:val="14"/>
                <w:szCs w:val="14"/>
                <w:lang w:eastAsia="en-US"/>
              </w:rPr>
              <w:t>10% WPI</w:t>
            </w:r>
          </w:p>
          <w:p w14:paraId="34262CDA" w14:textId="70B86E71" w:rsidR="000E28C6" w:rsidRPr="00DD11DA" w:rsidRDefault="00041991" w:rsidP="00F839DB">
            <w:pPr>
              <w:pStyle w:val="ListParagraph"/>
              <w:numPr>
                <w:ilvl w:val="0"/>
                <w:numId w:val="447"/>
              </w:numPr>
              <w:spacing w:after="60"/>
              <w:contextualSpacing/>
              <w:rPr>
                <w:rFonts w:eastAsia="Calibri" w:cs="Arial"/>
                <w:sz w:val="14"/>
                <w:szCs w:val="14"/>
                <w:lang w:eastAsia="en-US"/>
              </w:rPr>
            </w:pPr>
            <w:r>
              <w:rPr>
                <w:rFonts w:eastAsia="Calibri" w:cs="Arial"/>
                <w:sz w:val="14"/>
                <w:szCs w:val="14"/>
                <w:lang w:eastAsia="en-US"/>
              </w:rPr>
              <w:t>10% hearing</w:t>
            </w:r>
          </w:p>
          <w:p w14:paraId="379375B9" w14:textId="5A12E4F2" w:rsidR="000E28C6" w:rsidRPr="00DD11DA" w:rsidRDefault="00041991" w:rsidP="00F839DB">
            <w:pPr>
              <w:pStyle w:val="ListParagraph"/>
              <w:numPr>
                <w:ilvl w:val="0"/>
                <w:numId w:val="447"/>
              </w:numPr>
              <w:spacing w:after="60"/>
              <w:contextualSpacing/>
              <w:rPr>
                <w:rFonts w:eastAsia="Calibri" w:cs="Arial"/>
                <w:sz w:val="14"/>
                <w:szCs w:val="14"/>
                <w:lang w:eastAsia="en-US"/>
              </w:rPr>
            </w:pPr>
            <w:r>
              <w:rPr>
                <w:rFonts w:eastAsia="Calibri" w:cs="Arial"/>
                <w:sz w:val="14"/>
                <w:szCs w:val="14"/>
                <w:lang w:eastAsia="en-US"/>
              </w:rPr>
              <w:t>&gt;0% Finger/toe, taste/smell</w:t>
            </w:r>
          </w:p>
          <w:p w14:paraId="2F17FB79" w14:textId="103B6AF9" w:rsidR="000E28C6" w:rsidRPr="00DD11DA" w:rsidRDefault="000E28C6" w:rsidP="00F839DB">
            <w:pPr>
              <w:pStyle w:val="ListParagraph"/>
              <w:numPr>
                <w:ilvl w:val="0"/>
                <w:numId w:val="447"/>
              </w:numPr>
              <w:spacing w:after="60"/>
              <w:contextualSpacing/>
              <w:rPr>
                <w:rFonts w:eastAsia="Calibri" w:cs="Arial"/>
                <w:sz w:val="14"/>
                <w:szCs w:val="14"/>
                <w:lang w:eastAsia="en-US"/>
              </w:rPr>
            </w:pPr>
            <w:r w:rsidRPr="00DD11DA">
              <w:rPr>
                <w:rFonts w:eastAsia="Calibri" w:cs="Arial"/>
                <w:sz w:val="14"/>
                <w:szCs w:val="14"/>
                <w:lang w:eastAsia="en-US"/>
              </w:rPr>
              <w:t>Must qualify for PI to qualif</w:t>
            </w:r>
            <w:r w:rsidR="00041991">
              <w:rPr>
                <w:rFonts w:eastAsia="Calibri" w:cs="Arial"/>
                <w:sz w:val="14"/>
                <w:szCs w:val="14"/>
                <w:lang w:eastAsia="en-US"/>
              </w:rPr>
              <w:t>y for non-economic loss payment</w:t>
            </w:r>
          </w:p>
        </w:tc>
        <w:tc>
          <w:tcPr>
            <w:tcW w:w="5954" w:type="dxa"/>
            <w:tcMar>
              <w:top w:w="80" w:type="dxa"/>
              <w:left w:w="80" w:type="dxa"/>
              <w:bottom w:w="80" w:type="dxa"/>
              <w:right w:w="80" w:type="dxa"/>
            </w:tcMar>
          </w:tcPr>
          <w:p w14:paraId="46170C73" w14:textId="4EFD340B" w:rsidR="000E28C6" w:rsidRPr="000E28C6" w:rsidRDefault="00041991" w:rsidP="009146AE">
            <w:pPr>
              <w:spacing w:after="60"/>
              <w:rPr>
                <w:rFonts w:cs="Arial"/>
                <w:color w:val="000000"/>
                <w:sz w:val="14"/>
                <w:szCs w:val="16"/>
                <w:lang w:val="en-GB"/>
              </w:rPr>
            </w:pPr>
            <w:r>
              <w:rPr>
                <w:rFonts w:cs="Arial"/>
                <w:color w:val="000000"/>
                <w:sz w:val="14"/>
                <w:szCs w:val="16"/>
                <w:lang w:val="en-GB"/>
              </w:rPr>
              <w:t>No waiting period</w:t>
            </w:r>
          </w:p>
        </w:tc>
        <w:tc>
          <w:tcPr>
            <w:tcW w:w="1888" w:type="dxa"/>
            <w:tcMar>
              <w:top w:w="80" w:type="dxa"/>
              <w:left w:w="80" w:type="dxa"/>
              <w:bottom w:w="80" w:type="dxa"/>
              <w:right w:w="80" w:type="dxa"/>
            </w:tcMar>
          </w:tcPr>
          <w:p w14:paraId="7D457A28" w14:textId="62C25A51"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No direct apportioning or discounting</w:t>
            </w:r>
          </w:p>
        </w:tc>
      </w:tr>
      <w:tr w:rsidR="000E28C6" w:rsidRPr="000E28C6" w14:paraId="18E7F806" w14:textId="77777777" w:rsidTr="00FB729B">
        <w:tc>
          <w:tcPr>
            <w:tcW w:w="1626" w:type="dxa"/>
            <w:shd w:val="clear" w:color="auto" w:fill="FFC9C9"/>
            <w:tcMar>
              <w:top w:w="80" w:type="dxa"/>
              <w:left w:w="80" w:type="dxa"/>
              <w:bottom w:w="80" w:type="dxa"/>
              <w:right w:w="80" w:type="dxa"/>
            </w:tcMar>
          </w:tcPr>
          <w:p w14:paraId="6C798F76"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C’wealth DVA</w:t>
            </w:r>
          </w:p>
        </w:tc>
        <w:tc>
          <w:tcPr>
            <w:tcW w:w="5953" w:type="dxa"/>
            <w:shd w:val="clear" w:color="auto" w:fill="FFC9C9"/>
            <w:tcMar>
              <w:top w:w="80" w:type="dxa"/>
              <w:left w:w="80" w:type="dxa"/>
              <w:bottom w:w="80" w:type="dxa"/>
              <w:right w:w="80" w:type="dxa"/>
            </w:tcMar>
          </w:tcPr>
          <w:p w14:paraId="7EDEE1CB" w14:textId="1B7EE84C" w:rsidR="00D840CF" w:rsidRPr="00D840CF" w:rsidRDefault="00187D1D" w:rsidP="00D840CF">
            <w:pPr>
              <w:spacing w:after="60"/>
              <w:contextualSpacing/>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D840CF">
              <w:rPr>
                <w:rFonts w:eastAsia="Calibri" w:cs="Arial"/>
                <w:sz w:val="14"/>
                <w:szCs w:val="14"/>
                <w:lang w:eastAsia="en-US"/>
              </w:rPr>
              <w:t>MRCA</w:t>
            </w:r>
            <w:r>
              <w:rPr>
                <w:rFonts w:eastAsia="Calibri" w:cs="Arial"/>
                <w:sz w:val="14"/>
                <w:szCs w:val="14"/>
                <w:lang w:eastAsia="en-US"/>
              </w:rPr>
              <w:t>)</w:t>
            </w:r>
          </w:p>
          <w:p w14:paraId="0E819AE1" w14:textId="1DF1CE41" w:rsidR="000E28C6" w:rsidRPr="00DD11DA" w:rsidRDefault="000E28C6" w:rsidP="00F839DB">
            <w:pPr>
              <w:pStyle w:val="ListParagraph"/>
              <w:numPr>
                <w:ilvl w:val="0"/>
                <w:numId w:val="448"/>
              </w:numPr>
              <w:spacing w:after="60"/>
              <w:contextualSpacing/>
              <w:rPr>
                <w:rFonts w:eastAsia="Calibri" w:cs="Arial"/>
                <w:sz w:val="14"/>
                <w:szCs w:val="14"/>
                <w:lang w:eastAsia="en-US"/>
              </w:rPr>
            </w:pPr>
            <w:r w:rsidRPr="00DD11DA">
              <w:rPr>
                <w:rFonts w:eastAsia="Calibri" w:cs="Arial"/>
                <w:sz w:val="14"/>
                <w:szCs w:val="14"/>
                <w:lang w:eastAsia="en-US"/>
              </w:rPr>
              <w:t xml:space="preserve">Initial compensation — 10 </w:t>
            </w:r>
            <w:r w:rsidR="00041991">
              <w:rPr>
                <w:rFonts w:eastAsia="Calibri" w:cs="Arial"/>
                <w:sz w:val="14"/>
                <w:szCs w:val="14"/>
                <w:lang w:eastAsia="en-US"/>
              </w:rPr>
              <w:t>impairment points (IP)</w:t>
            </w:r>
          </w:p>
          <w:p w14:paraId="1D1F6AB4" w14:textId="4095C3E4" w:rsidR="000E28C6" w:rsidRPr="00DD11DA" w:rsidRDefault="000E28C6" w:rsidP="00F839DB">
            <w:pPr>
              <w:pStyle w:val="ListParagraph"/>
              <w:numPr>
                <w:ilvl w:val="0"/>
                <w:numId w:val="448"/>
              </w:numPr>
              <w:spacing w:after="60"/>
              <w:contextualSpacing/>
              <w:rPr>
                <w:rFonts w:eastAsia="Calibri" w:cs="Arial"/>
                <w:sz w:val="14"/>
                <w:szCs w:val="14"/>
                <w:lang w:eastAsia="en-US"/>
              </w:rPr>
            </w:pPr>
            <w:r w:rsidRPr="00DD11DA">
              <w:rPr>
                <w:rFonts w:eastAsia="Calibri" w:cs="Arial"/>
                <w:sz w:val="14"/>
                <w:szCs w:val="14"/>
                <w:lang w:eastAsia="en-US"/>
              </w:rPr>
              <w:t xml:space="preserve">5 IPs hearing, </w:t>
            </w:r>
            <w:r w:rsidR="00041991">
              <w:rPr>
                <w:rFonts w:eastAsia="Calibri" w:cs="Arial"/>
                <w:sz w:val="14"/>
                <w:szCs w:val="14"/>
                <w:lang w:eastAsia="en-US"/>
              </w:rPr>
              <w:t>fingers, toes, taste, and smell</w:t>
            </w:r>
          </w:p>
          <w:p w14:paraId="530FBAA6" w14:textId="77777777" w:rsidR="000E28C6" w:rsidRDefault="00041991" w:rsidP="00F839DB">
            <w:pPr>
              <w:pStyle w:val="ListParagraph"/>
              <w:numPr>
                <w:ilvl w:val="0"/>
                <w:numId w:val="448"/>
              </w:numPr>
              <w:spacing w:after="60"/>
              <w:contextualSpacing/>
              <w:rPr>
                <w:rFonts w:eastAsia="Calibri" w:cs="Arial"/>
                <w:sz w:val="14"/>
                <w:szCs w:val="14"/>
                <w:lang w:eastAsia="en-US"/>
              </w:rPr>
            </w:pPr>
            <w:r>
              <w:rPr>
                <w:rFonts w:eastAsia="Calibri" w:cs="Arial"/>
                <w:sz w:val="14"/>
                <w:szCs w:val="14"/>
                <w:lang w:eastAsia="en-US"/>
              </w:rPr>
              <w:t>Additional compensation — 5 IPs</w:t>
            </w:r>
          </w:p>
          <w:p w14:paraId="3D11D599" w14:textId="77777777" w:rsidR="00D840CF" w:rsidRDefault="00D840CF" w:rsidP="00D840CF">
            <w:pPr>
              <w:spacing w:after="60"/>
              <w:contextualSpacing/>
              <w:rPr>
                <w:rFonts w:eastAsia="Calibri" w:cs="Arial"/>
                <w:sz w:val="14"/>
                <w:szCs w:val="14"/>
                <w:lang w:eastAsia="en-US"/>
              </w:rPr>
            </w:pPr>
          </w:p>
          <w:p w14:paraId="426DEFA1" w14:textId="3E5BCEF5" w:rsidR="00D840CF" w:rsidRDefault="00187D1D" w:rsidP="00D840CF">
            <w:pPr>
              <w:spacing w:after="60"/>
              <w:contextualSpacing/>
              <w:rPr>
                <w:rFonts w:eastAsia="Calibri" w:cs="Arial"/>
                <w:sz w:val="14"/>
                <w:szCs w:val="14"/>
                <w:lang w:eastAsia="en-US"/>
              </w:rPr>
            </w:pPr>
            <w:r w:rsidRPr="00016069">
              <w:rPr>
                <w:i/>
                <w:sz w:val="14"/>
              </w:rPr>
              <w:t>Safety, Rehabilitation and Compensation (Defence-related Claims) Act 1988</w:t>
            </w:r>
            <w:r>
              <w:rPr>
                <w:rFonts w:eastAsia="Calibri" w:cs="Arial"/>
                <w:sz w:val="14"/>
                <w:szCs w:val="14"/>
                <w:lang w:eastAsia="en-US"/>
              </w:rPr>
              <w:t xml:space="preserve"> (</w:t>
            </w:r>
            <w:r w:rsidR="00D840CF">
              <w:rPr>
                <w:rFonts w:eastAsia="Calibri" w:cs="Arial"/>
                <w:sz w:val="14"/>
                <w:szCs w:val="14"/>
                <w:lang w:eastAsia="en-US"/>
              </w:rPr>
              <w:t>DRCA</w:t>
            </w:r>
            <w:r>
              <w:rPr>
                <w:rFonts w:eastAsia="Calibri" w:cs="Arial"/>
                <w:sz w:val="14"/>
                <w:szCs w:val="14"/>
                <w:lang w:eastAsia="en-US"/>
              </w:rPr>
              <w:t>)</w:t>
            </w:r>
          </w:p>
          <w:p w14:paraId="573C7031" w14:textId="77777777" w:rsidR="00D840CF" w:rsidRDefault="00D840CF" w:rsidP="00F839DB">
            <w:pPr>
              <w:pStyle w:val="ListParagraph"/>
              <w:numPr>
                <w:ilvl w:val="0"/>
                <w:numId w:val="550"/>
              </w:numPr>
              <w:spacing w:after="60"/>
              <w:ind w:left="346"/>
              <w:contextualSpacing/>
              <w:rPr>
                <w:rFonts w:eastAsia="Calibri" w:cs="Arial"/>
                <w:sz w:val="14"/>
                <w:szCs w:val="14"/>
                <w:lang w:eastAsia="en-US"/>
              </w:rPr>
            </w:pPr>
            <w:r>
              <w:rPr>
                <w:rFonts w:eastAsia="Calibri" w:cs="Arial"/>
                <w:sz w:val="14"/>
                <w:szCs w:val="14"/>
                <w:lang w:eastAsia="en-US"/>
              </w:rPr>
              <w:t>10% WPI</w:t>
            </w:r>
          </w:p>
          <w:p w14:paraId="49BCA277" w14:textId="77777777" w:rsidR="00D840CF" w:rsidRDefault="00D840CF" w:rsidP="00F839DB">
            <w:pPr>
              <w:pStyle w:val="ListParagraph"/>
              <w:numPr>
                <w:ilvl w:val="0"/>
                <w:numId w:val="550"/>
              </w:numPr>
              <w:spacing w:after="60"/>
              <w:ind w:left="346"/>
              <w:contextualSpacing/>
              <w:rPr>
                <w:rFonts w:eastAsia="Calibri" w:cs="Arial"/>
                <w:sz w:val="14"/>
                <w:szCs w:val="14"/>
                <w:lang w:eastAsia="en-US"/>
              </w:rPr>
            </w:pPr>
            <w:r>
              <w:rPr>
                <w:rFonts w:eastAsia="Calibri" w:cs="Arial"/>
                <w:sz w:val="14"/>
                <w:szCs w:val="14"/>
                <w:lang w:eastAsia="en-US"/>
              </w:rPr>
              <w:t>5% binaural hearing</w:t>
            </w:r>
          </w:p>
          <w:p w14:paraId="13B457BB" w14:textId="77777777" w:rsidR="00D840CF" w:rsidRDefault="00D840CF" w:rsidP="00F839DB">
            <w:pPr>
              <w:pStyle w:val="ListParagraph"/>
              <w:numPr>
                <w:ilvl w:val="0"/>
                <w:numId w:val="550"/>
              </w:numPr>
              <w:spacing w:after="60"/>
              <w:ind w:left="346"/>
              <w:contextualSpacing/>
              <w:rPr>
                <w:rFonts w:eastAsia="Calibri" w:cs="Arial"/>
                <w:sz w:val="14"/>
                <w:szCs w:val="14"/>
                <w:lang w:eastAsia="en-US"/>
              </w:rPr>
            </w:pPr>
            <w:r>
              <w:rPr>
                <w:rFonts w:eastAsia="Calibri" w:cs="Arial"/>
                <w:sz w:val="14"/>
                <w:szCs w:val="14"/>
                <w:lang w:eastAsia="en-US"/>
              </w:rPr>
              <w:t>&gt;0% Finger/toe, taste/smell</w:t>
            </w:r>
          </w:p>
          <w:p w14:paraId="594D415F" w14:textId="1DB37E0D" w:rsidR="00D840CF" w:rsidRPr="00D840CF" w:rsidRDefault="00D840CF" w:rsidP="00D840CF">
            <w:pPr>
              <w:spacing w:after="60"/>
              <w:ind w:left="-14"/>
              <w:contextualSpacing/>
              <w:rPr>
                <w:rFonts w:eastAsia="Calibri" w:cs="Arial"/>
                <w:sz w:val="14"/>
                <w:szCs w:val="14"/>
                <w:lang w:eastAsia="en-US"/>
              </w:rPr>
            </w:pPr>
            <w:r>
              <w:rPr>
                <w:rFonts w:eastAsia="Calibri" w:cs="Arial"/>
                <w:sz w:val="14"/>
                <w:szCs w:val="14"/>
                <w:lang w:eastAsia="en-US"/>
              </w:rPr>
              <w:t>Must qualify for PI to qualify for non-economic loss payment</w:t>
            </w:r>
          </w:p>
        </w:tc>
        <w:tc>
          <w:tcPr>
            <w:tcW w:w="5954" w:type="dxa"/>
            <w:shd w:val="clear" w:color="auto" w:fill="FFC9C9"/>
            <w:tcMar>
              <w:top w:w="80" w:type="dxa"/>
              <w:left w:w="80" w:type="dxa"/>
              <w:bottom w:w="80" w:type="dxa"/>
              <w:right w:w="80" w:type="dxa"/>
            </w:tcMar>
          </w:tcPr>
          <w:p w14:paraId="03D1CC61" w14:textId="14F59458" w:rsidR="000E28C6" w:rsidRPr="000E28C6" w:rsidRDefault="00041991" w:rsidP="009146AE">
            <w:pPr>
              <w:spacing w:after="60"/>
              <w:rPr>
                <w:rFonts w:cs="Arial"/>
                <w:color w:val="000000"/>
                <w:sz w:val="14"/>
                <w:szCs w:val="16"/>
                <w:lang w:val="en-GB"/>
              </w:rPr>
            </w:pPr>
            <w:r>
              <w:rPr>
                <w:rFonts w:cs="Arial"/>
                <w:color w:val="000000"/>
                <w:sz w:val="14"/>
                <w:szCs w:val="16"/>
                <w:lang w:val="en-GB"/>
              </w:rPr>
              <w:t>No waiting period</w:t>
            </w:r>
          </w:p>
        </w:tc>
        <w:tc>
          <w:tcPr>
            <w:tcW w:w="1888" w:type="dxa"/>
            <w:shd w:val="clear" w:color="auto" w:fill="FFC9C9"/>
            <w:tcMar>
              <w:top w:w="80" w:type="dxa"/>
              <w:left w:w="80" w:type="dxa"/>
              <w:bottom w:w="80" w:type="dxa"/>
              <w:right w:w="80" w:type="dxa"/>
            </w:tcMar>
          </w:tcPr>
          <w:p w14:paraId="10F40D28" w14:textId="77777777" w:rsidR="00D840CF" w:rsidRDefault="00D840CF" w:rsidP="009146AE">
            <w:pPr>
              <w:spacing w:after="60"/>
              <w:rPr>
                <w:rFonts w:cs="Arial"/>
                <w:color w:val="000000"/>
                <w:sz w:val="14"/>
                <w:szCs w:val="16"/>
                <w:lang w:val="en-GB"/>
              </w:rPr>
            </w:pPr>
            <w:r>
              <w:rPr>
                <w:rFonts w:cs="Arial"/>
                <w:color w:val="000000"/>
                <w:sz w:val="14"/>
                <w:szCs w:val="16"/>
                <w:lang w:val="en-GB"/>
              </w:rPr>
              <w:t>MRCA</w:t>
            </w:r>
          </w:p>
          <w:p w14:paraId="66220CEA" w14:textId="77777777" w:rsidR="000E28C6" w:rsidRDefault="00041991" w:rsidP="009146AE">
            <w:pPr>
              <w:spacing w:after="60"/>
              <w:rPr>
                <w:rFonts w:cs="Arial"/>
                <w:color w:val="000000"/>
                <w:sz w:val="14"/>
                <w:szCs w:val="16"/>
                <w:lang w:val="en-GB"/>
              </w:rPr>
            </w:pPr>
            <w:r>
              <w:rPr>
                <w:rFonts w:cs="Arial"/>
                <w:color w:val="000000"/>
                <w:sz w:val="14"/>
                <w:szCs w:val="16"/>
                <w:lang w:val="en-GB"/>
              </w:rPr>
              <w:t>Yes — apportionment</w:t>
            </w:r>
          </w:p>
          <w:p w14:paraId="32841CD8" w14:textId="77777777" w:rsidR="00D840CF" w:rsidRDefault="00D840CF" w:rsidP="00662C41">
            <w:pPr>
              <w:spacing w:after="480"/>
              <w:rPr>
                <w:rFonts w:cs="Arial"/>
                <w:color w:val="000000"/>
                <w:sz w:val="14"/>
                <w:szCs w:val="16"/>
                <w:lang w:val="en-GB"/>
              </w:rPr>
            </w:pPr>
          </w:p>
          <w:p w14:paraId="578D850D" w14:textId="77777777" w:rsidR="00D840CF" w:rsidRDefault="00D840CF" w:rsidP="009146AE">
            <w:pPr>
              <w:spacing w:after="60"/>
              <w:rPr>
                <w:rFonts w:cs="Arial"/>
                <w:color w:val="000000"/>
                <w:sz w:val="14"/>
                <w:szCs w:val="16"/>
                <w:lang w:val="en-GB"/>
              </w:rPr>
            </w:pPr>
            <w:r>
              <w:rPr>
                <w:rFonts w:cs="Arial"/>
                <w:color w:val="000000"/>
                <w:sz w:val="14"/>
                <w:szCs w:val="16"/>
                <w:lang w:val="en-GB"/>
              </w:rPr>
              <w:t>DRCA</w:t>
            </w:r>
          </w:p>
          <w:p w14:paraId="229A6A2D" w14:textId="0D35557F" w:rsidR="00D840CF" w:rsidRPr="000E28C6" w:rsidRDefault="00D840CF" w:rsidP="009146AE">
            <w:pPr>
              <w:spacing w:after="60"/>
              <w:rPr>
                <w:rFonts w:cs="Arial"/>
                <w:color w:val="000000"/>
                <w:sz w:val="14"/>
                <w:szCs w:val="16"/>
                <w:lang w:val="en-GB"/>
              </w:rPr>
            </w:pPr>
            <w:r>
              <w:rPr>
                <w:rFonts w:cs="Arial"/>
                <w:color w:val="000000"/>
                <w:sz w:val="14"/>
                <w:szCs w:val="16"/>
                <w:lang w:val="en-GB"/>
              </w:rPr>
              <w:t>No direct apportioning or discounting</w:t>
            </w:r>
          </w:p>
        </w:tc>
      </w:tr>
      <w:tr w:rsidR="000E28C6" w:rsidRPr="000E28C6" w14:paraId="19231E69" w14:textId="77777777" w:rsidTr="00FB729B">
        <w:tc>
          <w:tcPr>
            <w:tcW w:w="1626" w:type="dxa"/>
            <w:tcMar>
              <w:top w:w="80" w:type="dxa"/>
              <w:left w:w="80" w:type="dxa"/>
              <w:bottom w:w="80" w:type="dxa"/>
              <w:right w:w="80" w:type="dxa"/>
            </w:tcMar>
          </w:tcPr>
          <w:p w14:paraId="1622B016" w14:textId="6B362115"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New Zealand</w:t>
            </w:r>
          </w:p>
        </w:tc>
        <w:tc>
          <w:tcPr>
            <w:tcW w:w="5953" w:type="dxa"/>
            <w:tcMar>
              <w:top w:w="80" w:type="dxa"/>
              <w:left w:w="80" w:type="dxa"/>
              <w:bottom w:w="80" w:type="dxa"/>
              <w:right w:w="80" w:type="dxa"/>
            </w:tcMar>
          </w:tcPr>
          <w:p w14:paraId="1CCC6214" w14:textId="725D9DDD" w:rsidR="000E28C6" w:rsidRPr="000E28C6" w:rsidRDefault="00854AFF" w:rsidP="009146AE">
            <w:pPr>
              <w:spacing w:after="60"/>
              <w:rPr>
                <w:rFonts w:cs="Arial"/>
                <w:color w:val="000000"/>
                <w:sz w:val="14"/>
                <w:szCs w:val="16"/>
                <w:lang w:val="en-GB"/>
              </w:rPr>
            </w:pPr>
            <w:r>
              <w:rPr>
                <w:rFonts w:cs="Arial"/>
                <w:color w:val="000000"/>
                <w:sz w:val="14"/>
                <w:szCs w:val="16"/>
                <w:lang w:val="en-GB"/>
              </w:rPr>
              <w:t>10%</w:t>
            </w:r>
          </w:p>
        </w:tc>
        <w:tc>
          <w:tcPr>
            <w:tcW w:w="5954" w:type="dxa"/>
            <w:tcMar>
              <w:top w:w="80" w:type="dxa"/>
              <w:left w:w="80" w:type="dxa"/>
              <w:bottom w:w="80" w:type="dxa"/>
              <w:right w:w="80" w:type="dxa"/>
            </w:tcMar>
          </w:tcPr>
          <w:p w14:paraId="67DB5F9F" w14:textId="2250CB26" w:rsidR="000E28C6" w:rsidRPr="00DD11DA" w:rsidRDefault="000E28C6" w:rsidP="00F839DB">
            <w:pPr>
              <w:pStyle w:val="ListParagraph"/>
              <w:numPr>
                <w:ilvl w:val="0"/>
                <w:numId w:val="449"/>
              </w:numPr>
              <w:spacing w:after="60"/>
              <w:contextualSpacing/>
              <w:rPr>
                <w:rFonts w:eastAsia="Calibri" w:cs="Arial"/>
                <w:sz w:val="14"/>
                <w:szCs w:val="14"/>
                <w:lang w:eastAsia="en-US"/>
              </w:rPr>
            </w:pPr>
            <w:r w:rsidRPr="00DD11DA">
              <w:rPr>
                <w:rFonts w:eastAsia="Calibri" w:cs="Arial"/>
                <w:sz w:val="14"/>
                <w:szCs w:val="14"/>
                <w:lang w:eastAsia="en-US"/>
              </w:rPr>
              <w:t xml:space="preserve">Independence allowance: </w:t>
            </w:r>
            <w:r w:rsidR="00E368CE">
              <w:rPr>
                <w:rFonts w:eastAsia="Calibri" w:cs="Arial"/>
                <w:sz w:val="14"/>
                <w:szCs w:val="14"/>
                <w:lang w:eastAsia="en-US"/>
              </w:rPr>
              <w:t>In most cases, c</w:t>
            </w:r>
            <w:r w:rsidRPr="00DD11DA">
              <w:rPr>
                <w:rFonts w:eastAsia="Calibri" w:cs="Arial"/>
                <w:sz w:val="14"/>
                <w:szCs w:val="14"/>
                <w:lang w:eastAsia="en-US"/>
              </w:rPr>
              <w:t>laimant suffered personal injury on or after 1 April 1974</w:t>
            </w:r>
            <w:r w:rsidR="00E368CE">
              <w:rPr>
                <w:rFonts w:eastAsia="Calibri" w:cs="Arial"/>
                <w:sz w:val="14"/>
                <w:szCs w:val="14"/>
                <w:lang w:eastAsia="en-US"/>
              </w:rPr>
              <w:t xml:space="preserve"> and before 1 April 2002.</w:t>
            </w:r>
            <w:r w:rsidRPr="00DD11DA">
              <w:rPr>
                <w:rFonts w:eastAsia="Calibri" w:cs="Arial"/>
                <w:sz w:val="14"/>
                <w:szCs w:val="14"/>
                <w:lang w:eastAsia="en-US"/>
              </w:rPr>
              <w:t xml:space="preserve"> At least one year after the date of the inj</w:t>
            </w:r>
            <w:r w:rsidR="00041991">
              <w:rPr>
                <w:rFonts w:eastAsia="Calibri" w:cs="Arial"/>
                <w:sz w:val="14"/>
                <w:szCs w:val="14"/>
                <w:lang w:eastAsia="en-US"/>
              </w:rPr>
              <w:t>ury or condition has stabilised</w:t>
            </w:r>
          </w:p>
          <w:p w14:paraId="65F0461A" w14:textId="108E2BA0" w:rsidR="000E28C6" w:rsidRPr="00DD11DA" w:rsidRDefault="000E28C6" w:rsidP="00F839DB">
            <w:pPr>
              <w:pStyle w:val="ListParagraph"/>
              <w:numPr>
                <w:ilvl w:val="0"/>
                <w:numId w:val="449"/>
              </w:numPr>
              <w:spacing w:after="60"/>
              <w:contextualSpacing/>
              <w:rPr>
                <w:rFonts w:eastAsia="Calibri" w:cs="Arial"/>
                <w:sz w:val="14"/>
                <w:szCs w:val="14"/>
                <w:lang w:eastAsia="en-US"/>
              </w:rPr>
            </w:pPr>
            <w:r w:rsidRPr="00DD11DA">
              <w:rPr>
                <w:rFonts w:eastAsia="Calibri" w:cs="Arial"/>
                <w:sz w:val="14"/>
                <w:szCs w:val="14"/>
                <w:lang w:eastAsia="en-US"/>
              </w:rPr>
              <w:t xml:space="preserve">Lump sums: </w:t>
            </w:r>
            <w:r w:rsidR="00E368CE">
              <w:rPr>
                <w:rFonts w:eastAsia="Calibri" w:cs="Arial"/>
                <w:sz w:val="14"/>
                <w:szCs w:val="14"/>
                <w:lang w:eastAsia="en-US"/>
              </w:rPr>
              <w:t>In most cases, c</w:t>
            </w:r>
            <w:r w:rsidRPr="00DD11DA">
              <w:rPr>
                <w:rFonts w:eastAsia="Calibri" w:cs="Arial"/>
                <w:sz w:val="14"/>
                <w:szCs w:val="14"/>
                <w:lang w:eastAsia="en-US"/>
              </w:rPr>
              <w:t>laimant suffered personal injury on or after 1 April 2002. At least 2 years after day of the</w:t>
            </w:r>
            <w:r w:rsidR="00041991">
              <w:rPr>
                <w:rFonts w:eastAsia="Calibri" w:cs="Arial"/>
                <w:sz w:val="14"/>
                <w:szCs w:val="14"/>
                <w:lang w:eastAsia="en-US"/>
              </w:rPr>
              <w:t xml:space="preserve"> injury or condition stabilised</w:t>
            </w:r>
          </w:p>
        </w:tc>
        <w:tc>
          <w:tcPr>
            <w:tcW w:w="1888" w:type="dxa"/>
            <w:tcMar>
              <w:top w:w="80" w:type="dxa"/>
              <w:left w:w="80" w:type="dxa"/>
              <w:bottom w:w="80" w:type="dxa"/>
              <w:right w:w="80" w:type="dxa"/>
            </w:tcMar>
          </w:tcPr>
          <w:p w14:paraId="4DBE5080" w14:textId="6D95D8EE"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 xml:space="preserve">Yes — </w:t>
            </w:r>
            <w:r w:rsidR="00213686">
              <w:rPr>
                <w:rFonts w:cs="Arial"/>
                <w:color w:val="000000"/>
                <w:sz w:val="14"/>
                <w:szCs w:val="16"/>
                <w:lang w:val="en-GB"/>
              </w:rPr>
              <w:t>a</w:t>
            </w:r>
            <w:r w:rsidR="00041991">
              <w:rPr>
                <w:rFonts w:cs="Arial"/>
                <w:color w:val="000000"/>
                <w:sz w:val="14"/>
                <w:szCs w:val="16"/>
                <w:lang w:val="en-GB"/>
              </w:rPr>
              <w:t>pportionment</w:t>
            </w:r>
          </w:p>
        </w:tc>
      </w:tr>
      <w:bookmarkEnd w:id="114"/>
    </w:tbl>
    <w:p w14:paraId="735268CD" w14:textId="77777777" w:rsidR="00C66972" w:rsidRPr="00C66972" w:rsidRDefault="00C66972" w:rsidP="00C66972">
      <w:pPr>
        <w:spacing w:after="200" w:line="276" w:lineRule="auto"/>
        <w:rPr>
          <w:rFonts w:eastAsiaTheme="minorHAnsi"/>
        </w:rPr>
      </w:pPr>
    </w:p>
    <w:p w14:paraId="3B8B6554"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709" w:gutter="0"/>
          <w:cols w:space="708"/>
          <w:docGrid w:linePitch="360"/>
        </w:sectPr>
      </w:pPr>
    </w:p>
    <w:p w14:paraId="6DBB0DDF" w14:textId="059DC61E" w:rsidR="00C66972" w:rsidRPr="00A80282" w:rsidRDefault="00C66972" w:rsidP="00A80282">
      <w:pPr>
        <w:pStyle w:val="Title"/>
      </w:pPr>
      <w:bookmarkStart w:id="115" w:name="_Toc483227174"/>
      <w:bookmarkStart w:id="116" w:name="_Toc504654670"/>
      <w:r w:rsidRPr="00A80282">
        <w:lastRenderedPageBreak/>
        <w:t xml:space="preserve">Exclusionary </w:t>
      </w:r>
      <w:r w:rsidR="0002179E" w:rsidRPr="00A80282">
        <w:t>p</w:t>
      </w:r>
      <w:r w:rsidRPr="00A80282">
        <w:t>rovisions</w:t>
      </w:r>
      <w:bookmarkEnd w:id="115"/>
      <w:bookmarkEnd w:id="116"/>
      <w:r w:rsidR="0025506E" w:rsidRPr="00A80282">
        <w:fldChar w:fldCharType="begin"/>
      </w:r>
      <w:r w:rsidR="0025506E" w:rsidRPr="00A80282">
        <w:instrText xml:space="preserve"> XE "exclusionary provisions:general" </w:instrText>
      </w:r>
      <w:r w:rsidR="0025506E" w:rsidRPr="00A80282">
        <w:fldChar w:fldCharType="end"/>
      </w:r>
    </w:p>
    <w:p w14:paraId="3C10135B" w14:textId="77777777" w:rsidR="00C66972" w:rsidRPr="00AF04A7" w:rsidRDefault="00C66972" w:rsidP="00A80282">
      <w:pPr>
        <w:pStyle w:val="Heading4"/>
      </w:pPr>
      <w:bookmarkStart w:id="117" w:name="_Toc483227175"/>
      <w:r w:rsidRPr="00AF04A7">
        <w:t>Exclusionary provisions — general</w:t>
      </w:r>
      <w:bookmarkEnd w:id="117"/>
    </w:p>
    <w:p w14:paraId="5CC0AC2B" w14:textId="4F85CA5E" w:rsidR="006A50D4" w:rsidRDefault="00AF04A7" w:rsidP="00587AD1">
      <w:pPr>
        <w:rPr>
          <w:rFonts w:eastAsiaTheme="minorHAnsi"/>
        </w:rPr>
      </w:pPr>
      <w:r>
        <w:rPr>
          <w:rFonts w:eastAsiaTheme="minorHAnsi"/>
        </w:rPr>
        <w:t xml:space="preserve">Most jurisdictional </w:t>
      </w:r>
      <w:r w:rsidR="00C66972" w:rsidRPr="00C66972">
        <w:rPr>
          <w:rFonts w:eastAsiaTheme="minorHAnsi"/>
        </w:rPr>
        <w:t>workers’ c</w:t>
      </w:r>
      <w:r w:rsidR="00EE7768">
        <w:rPr>
          <w:rFonts w:eastAsiaTheme="minorHAnsi"/>
        </w:rPr>
        <w:t>ompensation legislation contains</w:t>
      </w:r>
      <w:r w:rsidR="00C66972" w:rsidRPr="00C66972">
        <w:rPr>
          <w:rFonts w:eastAsiaTheme="minorHAnsi"/>
        </w:rPr>
        <w:t xml:space="preserve"> exclusionary provisions. These provisions set out certain circumstances in which workers’ compensation will be denied. Exclusionary provisions apply to ensure that people who exhibit reckless or wilful behaviour in the workplace are excluded from receiving workers’ compensation benefits. If an injury is caused by the serious and wilful misconduct of a worker, but results in death or serious and permanent impairment, workers’ compensation will usually be payable. Table 3.13 shows the general exclusionary provisions in each jurisdiction.</w:t>
      </w:r>
    </w:p>
    <w:p w14:paraId="02983ED6" w14:textId="5451AF58" w:rsidR="00C66972" w:rsidRPr="00AF04A7" w:rsidRDefault="00C66972" w:rsidP="00A80282">
      <w:pPr>
        <w:pStyle w:val="Heading4"/>
      </w:pPr>
      <w:bookmarkStart w:id="118" w:name="_Toc483227176"/>
      <w:r w:rsidRPr="00AF04A7">
        <w:t>Exclusionary provisions for psychological injuries</w:t>
      </w:r>
      <w:bookmarkEnd w:id="118"/>
      <w:r w:rsidR="0025506E" w:rsidRPr="00AF04A7">
        <w:fldChar w:fldCharType="begin"/>
      </w:r>
      <w:r w:rsidR="0025506E" w:rsidRPr="00AF04A7">
        <w:instrText xml:space="preserve"> XE "exclusionary provisions:psychological injuries" </w:instrText>
      </w:r>
      <w:r w:rsidR="0025506E" w:rsidRPr="00AF04A7">
        <w:fldChar w:fldCharType="end"/>
      </w:r>
      <w:r w:rsidR="003D18DA" w:rsidRPr="00AF04A7">
        <w:fldChar w:fldCharType="begin"/>
      </w:r>
      <w:r w:rsidR="003D18DA" w:rsidRPr="00AF04A7">
        <w:instrText xml:space="preserve"> XE "psychological injuries:exclusionary provisions" </w:instrText>
      </w:r>
      <w:r w:rsidR="003D18DA" w:rsidRPr="00AF04A7">
        <w:fldChar w:fldCharType="end"/>
      </w:r>
    </w:p>
    <w:p w14:paraId="060A0A13" w14:textId="77777777" w:rsidR="00172AC7" w:rsidRDefault="00C66972" w:rsidP="00587AD1">
      <w:pPr>
        <w:rPr>
          <w:rFonts w:eastAsiaTheme="minorHAnsi"/>
        </w:rPr>
      </w:pPr>
      <w:r w:rsidRPr="00C66972">
        <w:rPr>
          <w:rFonts w:eastAsiaTheme="minorHAnsi"/>
        </w:rPr>
        <w:t xml:space="preserve">Statutory threshold requirements for psychological injuries vary significantly from physical injuries. </w:t>
      </w:r>
      <w:r w:rsidR="00C2268A">
        <w:rPr>
          <w:rFonts w:eastAsiaTheme="minorHAnsi"/>
        </w:rPr>
        <w:br/>
      </w:r>
      <w:r w:rsidRPr="00C66972">
        <w:rPr>
          <w:rFonts w:eastAsiaTheme="minorHAnsi"/>
        </w:rPr>
        <w:t xml:space="preserve">To be eligible for compensation, the claimant of a psychological injury must be able to demonstrate that the injury was not related to any reasonable action taken by their employer in relation to a dismissal, retrenchment, transfer, performance appraisal, demotion, disciplinary action or deployment. </w:t>
      </w:r>
    </w:p>
    <w:p w14:paraId="52A8C0B7" w14:textId="7B9E615C" w:rsidR="00C66972" w:rsidRPr="00C66972" w:rsidRDefault="00C66972" w:rsidP="00AF04A7">
      <w:pPr>
        <w:spacing w:before="240"/>
        <w:rPr>
          <w:rFonts w:eastAsiaTheme="minorHAnsi"/>
        </w:rPr>
      </w:pPr>
      <w:r w:rsidRPr="00C66972">
        <w:rPr>
          <w:rFonts w:eastAsiaTheme="minorHAnsi"/>
        </w:rPr>
        <w:t>In addition to these criteria, the claimant must also meet the designated impairment threshold for psychological injury. There are also significant differences in the way in which each jurisdiction assesses psychological impairment. Table 3.14 lists the exclusionary provisions for psychological injuries.</w:t>
      </w:r>
    </w:p>
    <w:p w14:paraId="2EF5FBAE"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2DC51BD4" w14:textId="7475B024" w:rsidR="00460122" w:rsidRPr="00A80282" w:rsidRDefault="00460122" w:rsidP="00A80282">
      <w:pPr>
        <w:pStyle w:val="SWATableheader"/>
      </w:pPr>
      <w:bookmarkStart w:id="119" w:name="_Toc504654671"/>
      <w:r w:rsidRPr="00A80282">
        <w:rPr>
          <w:rStyle w:val="SWATableheaderChar"/>
          <w:b/>
        </w:rPr>
        <w:lastRenderedPageBreak/>
        <w:t>Table 3.13: Exclusionary provisions (general)</w:t>
      </w:r>
      <w:bookmarkEnd w:id="119"/>
      <w:r w:rsidRPr="00A80282">
        <w:rPr>
          <w:rStyle w:val="SWATableheaderChar"/>
          <w:b/>
        </w:rPr>
        <w:t xml:space="preserve"> </w:t>
      </w:r>
      <w:r w:rsidR="0025506E" w:rsidRPr="00A80282">
        <w:rPr>
          <w:rStyle w:val="SWATableheaderChar"/>
          <w:b/>
        </w:rPr>
        <w:fldChar w:fldCharType="begin"/>
      </w:r>
      <w:r w:rsidR="0025506E" w:rsidRPr="00A80282">
        <w:instrText xml:space="preserve"> XE "exclusionary provisions:general" \r "provisions" </w:instrText>
      </w:r>
      <w:r w:rsidR="0025506E" w:rsidRPr="00A80282">
        <w:rPr>
          <w:rStyle w:val="SWATableheaderChar"/>
          <w:b/>
        </w:rPr>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3: Exclusionary provisions (general) "/>
        <w:tblDescription w:val=" This table outlines general exclusionary provisions. "/>
      </w:tblPr>
      <w:tblGrid>
        <w:gridCol w:w="1626"/>
        <w:gridCol w:w="13795"/>
      </w:tblGrid>
      <w:tr w:rsidR="00460122" w:rsidRPr="00460122" w14:paraId="69C2FF65" w14:textId="77777777" w:rsidTr="00FB729B">
        <w:trPr>
          <w:tblHeader/>
        </w:trPr>
        <w:tc>
          <w:tcPr>
            <w:tcW w:w="1626" w:type="dxa"/>
            <w:shd w:val="clear" w:color="auto" w:fill="C00000"/>
            <w:tcMar>
              <w:top w:w="0" w:type="dxa"/>
              <w:left w:w="0" w:type="dxa"/>
              <w:bottom w:w="0" w:type="dxa"/>
              <w:right w:w="0" w:type="dxa"/>
            </w:tcMar>
            <w:vAlign w:val="center"/>
          </w:tcPr>
          <w:p w14:paraId="7DC950C7" w14:textId="77777777" w:rsidR="00460122" w:rsidRPr="00460122" w:rsidRDefault="00460122" w:rsidP="009146AE">
            <w:pPr>
              <w:pStyle w:val="Tableheaderrow"/>
              <w:spacing w:after="60"/>
            </w:pPr>
            <w:bookmarkStart w:id="120" w:name="provisions"/>
          </w:p>
        </w:tc>
        <w:tc>
          <w:tcPr>
            <w:tcW w:w="13795" w:type="dxa"/>
            <w:shd w:val="clear" w:color="auto" w:fill="C00000"/>
            <w:tcMar>
              <w:top w:w="0" w:type="dxa"/>
              <w:left w:w="0" w:type="dxa"/>
              <w:bottom w:w="0" w:type="dxa"/>
              <w:right w:w="0" w:type="dxa"/>
            </w:tcMar>
            <w:vAlign w:val="center"/>
          </w:tcPr>
          <w:p w14:paraId="2F2CEE69" w14:textId="77777777" w:rsidR="00460122" w:rsidRPr="00460122" w:rsidRDefault="00460122" w:rsidP="009146AE">
            <w:pPr>
              <w:pStyle w:val="Tableheaderrow"/>
              <w:spacing w:after="60"/>
            </w:pPr>
            <w:r w:rsidRPr="00460122">
              <w:t>Exclusionary provisions</w:t>
            </w:r>
          </w:p>
        </w:tc>
      </w:tr>
      <w:tr w:rsidR="00460122" w:rsidRPr="00460122" w14:paraId="102D9EEA" w14:textId="77777777" w:rsidTr="00FB729B">
        <w:tc>
          <w:tcPr>
            <w:tcW w:w="1626" w:type="dxa"/>
            <w:shd w:val="clear" w:color="auto" w:fill="FFC9C9"/>
            <w:tcMar>
              <w:top w:w="80" w:type="dxa"/>
              <w:left w:w="80" w:type="dxa"/>
              <w:bottom w:w="80" w:type="dxa"/>
              <w:right w:w="80" w:type="dxa"/>
            </w:tcMar>
          </w:tcPr>
          <w:p w14:paraId="78CCA9F1"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New South Wales</w:t>
            </w:r>
          </w:p>
        </w:tc>
        <w:tc>
          <w:tcPr>
            <w:tcW w:w="13795" w:type="dxa"/>
            <w:shd w:val="clear" w:color="auto" w:fill="FFC9C9"/>
            <w:tcMar>
              <w:top w:w="80" w:type="dxa"/>
              <w:left w:w="80" w:type="dxa"/>
              <w:bottom w:w="80" w:type="dxa"/>
              <w:right w:w="80" w:type="dxa"/>
            </w:tcMar>
          </w:tcPr>
          <w:p w14:paraId="6775BCC5" w14:textId="775C946D" w:rsidR="00AC7669" w:rsidRDefault="00AC7669" w:rsidP="00F839DB">
            <w:pPr>
              <w:pStyle w:val="ListParagraph"/>
              <w:numPr>
                <w:ilvl w:val="0"/>
                <w:numId w:val="111"/>
              </w:numPr>
              <w:spacing w:after="60"/>
              <w:rPr>
                <w:rFonts w:eastAsia="Calibri" w:cs="Arial"/>
                <w:sz w:val="14"/>
                <w:szCs w:val="14"/>
                <w:lang w:eastAsia="en-US"/>
              </w:rPr>
            </w:pPr>
            <w:r>
              <w:rPr>
                <w:rFonts w:eastAsia="Calibri" w:cs="Arial"/>
                <w:sz w:val="14"/>
                <w:szCs w:val="14"/>
                <w:lang w:eastAsia="en-US"/>
              </w:rPr>
              <w:t xml:space="preserve">No compensation for heart attack or stroke unless nature of employment results in significantly greater risk — Section </w:t>
            </w:r>
            <w:hyperlink r:id="rId893" w:history="1">
              <w:r w:rsidRPr="009408F8">
                <w:rPr>
                  <w:rStyle w:val="Hyperlink"/>
                  <w:rFonts w:eastAsia="Calibri" w:cs="Arial"/>
                  <w:sz w:val="14"/>
                  <w:szCs w:val="14"/>
                  <w:lang w:eastAsia="en-US"/>
                </w:rPr>
                <w:t>9B</w:t>
              </w:r>
            </w:hyperlink>
            <w:r>
              <w:rPr>
                <w:rFonts w:eastAsia="Calibri" w:cs="Arial"/>
                <w:sz w:val="14"/>
                <w:szCs w:val="14"/>
                <w:lang w:eastAsia="en-US"/>
              </w:rPr>
              <w:t xml:space="preserve">, </w:t>
            </w:r>
            <w:r w:rsidR="00A37E29" w:rsidRPr="00016069">
              <w:rPr>
                <w:i/>
                <w:sz w:val="14"/>
              </w:rPr>
              <w:t>Workers Compensation Act 1987</w:t>
            </w:r>
          </w:p>
          <w:p w14:paraId="5EA0841A" w14:textId="72B02F9B" w:rsidR="00920CBC" w:rsidRPr="00920CBC" w:rsidRDefault="00920CBC" w:rsidP="00F839DB">
            <w:pPr>
              <w:pStyle w:val="ListParagraph"/>
              <w:numPr>
                <w:ilvl w:val="0"/>
                <w:numId w:val="111"/>
              </w:numPr>
              <w:spacing w:after="60"/>
              <w:rPr>
                <w:rFonts w:eastAsia="Calibri" w:cs="Arial"/>
                <w:sz w:val="14"/>
                <w:szCs w:val="14"/>
                <w:lang w:eastAsia="en-US"/>
              </w:rPr>
            </w:pPr>
            <w:r w:rsidRPr="00920CBC">
              <w:rPr>
                <w:rFonts w:eastAsia="Calibri" w:cs="Arial"/>
                <w:sz w:val="14"/>
                <w:szCs w:val="14"/>
                <w:lang w:eastAsia="en-US"/>
              </w:rPr>
              <w:t>If it is proved that an injury to a worker is solely attributable to the serious and wilful misconduct of the worker, compensation is not payable in respect of that injury, unless the injury results in death or serious and permanent</w:t>
            </w:r>
            <w:r w:rsidR="00AF04A7">
              <w:rPr>
                <w:rFonts w:eastAsia="Calibri" w:cs="Arial"/>
                <w:sz w:val="14"/>
                <w:szCs w:val="14"/>
                <w:lang w:eastAsia="en-US"/>
              </w:rPr>
              <w:t xml:space="preserve"> disablement — </w:t>
            </w:r>
            <w:hyperlink r:id="rId894" w:history="1">
              <w:r w:rsidR="00AF04A7" w:rsidRPr="009408F8">
                <w:rPr>
                  <w:rStyle w:val="Hyperlink"/>
                  <w:rFonts w:eastAsia="Calibri" w:cs="Arial"/>
                  <w:sz w:val="14"/>
                  <w:szCs w:val="14"/>
                  <w:lang w:eastAsia="en-US"/>
                </w:rPr>
                <w:t>s14(2)</w:t>
              </w:r>
            </w:hyperlink>
            <w:r w:rsidR="00AF04A7">
              <w:rPr>
                <w:rFonts w:eastAsia="Calibri" w:cs="Arial"/>
                <w:sz w:val="14"/>
                <w:szCs w:val="14"/>
                <w:lang w:eastAsia="en-US"/>
              </w:rPr>
              <w:t>, 1987 Act</w:t>
            </w:r>
          </w:p>
          <w:p w14:paraId="36590550" w14:textId="3D62A0BD" w:rsidR="00460122" w:rsidRPr="00854AFF" w:rsidRDefault="00920CBC" w:rsidP="00F839DB">
            <w:pPr>
              <w:pStyle w:val="ListParagraph"/>
              <w:numPr>
                <w:ilvl w:val="0"/>
                <w:numId w:val="111"/>
              </w:numPr>
              <w:spacing w:after="60"/>
              <w:rPr>
                <w:rFonts w:eastAsia="Calibri" w:cs="Arial"/>
                <w:sz w:val="14"/>
                <w:szCs w:val="14"/>
                <w:lang w:eastAsia="en-US"/>
              </w:rPr>
            </w:pPr>
            <w:r w:rsidRPr="00920CBC">
              <w:rPr>
                <w:rFonts w:eastAsia="Calibri" w:cs="Arial"/>
                <w:sz w:val="14"/>
                <w:szCs w:val="14"/>
                <w:lang w:eastAsia="en-US"/>
              </w:rPr>
              <w:t>No compensation is payable in respect of any injury to or death of a worker caused by an intentional self-infl</w:t>
            </w:r>
            <w:r w:rsidR="00AF04A7">
              <w:rPr>
                <w:rFonts w:eastAsia="Calibri" w:cs="Arial"/>
                <w:sz w:val="14"/>
                <w:szCs w:val="14"/>
                <w:lang w:eastAsia="en-US"/>
              </w:rPr>
              <w:t xml:space="preserve">icted injury — </w:t>
            </w:r>
            <w:hyperlink r:id="rId895" w:history="1">
              <w:r w:rsidR="00AF04A7" w:rsidRPr="009408F8">
                <w:rPr>
                  <w:rStyle w:val="Hyperlink"/>
                  <w:rFonts w:eastAsia="Calibri" w:cs="Arial"/>
                  <w:sz w:val="14"/>
                  <w:szCs w:val="14"/>
                  <w:lang w:eastAsia="en-US"/>
                </w:rPr>
                <w:t>s14(3)</w:t>
              </w:r>
            </w:hyperlink>
            <w:r w:rsidR="00AF04A7">
              <w:rPr>
                <w:rFonts w:eastAsia="Calibri" w:cs="Arial"/>
                <w:sz w:val="14"/>
                <w:szCs w:val="14"/>
                <w:lang w:eastAsia="en-US"/>
              </w:rPr>
              <w:t>, 1987 Act</w:t>
            </w:r>
          </w:p>
        </w:tc>
      </w:tr>
      <w:tr w:rsidR="00460122" w:rsidRPr="00460122" w14:paraId="75FFEB23" w14:textId="77777777" w:rsidTr="00FB729B">
        <w:tc>
          <w:tcPr>
            <w:tcW w:w="1626" w:type="dxa"/>
            <w:tcMar>
              <w:top w:w="80" w:type="dxa"/>
              <w:left w:w="80" w:type="dxa"/>
              <w:bottom w:w="80" w:type="dxa"/>
              <w:right w:w="80" w:type="dxa"/>
            </w:tcMar>
          </w:tcPr>
          <w:p w14:paraId="41362A1C"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Victoria</w:t>
            </w:r>
          </w:p>
        </w:tc>
        <w:tc>
          <w:tcPr>
            <w:tcW w:w="13795" w:type="dxa"/>
            <w:tcMar>
              <w:top w:w="80" w:type="dxa"/>
              <w:left w:w="80" w:type="dxa"/>
              <w:bottom w:w="80" w:type="dxa"/>
              <w:right w:w="80" w:type="dxa"/>
            </w:tcMar>
          </w:tcPr>
          <w:p w14:paraId="55FA495D" w14:textId="1F5D83DC" w:rsidR="00460122" w:rsidRPr="00920CBC" w:rsidRDefault="00460122" w:rsidP="00F839DB">
            <w:pPr>
              <w:pStyle w:val="ListParagraph"/>
              <w:numPr>
                <w:ilvl w:val="0"/>
                <w:numId w:val="424"/>
              </w:numPr>
              <w:spacing w:after="60"/>
              <w:contextualSpacing/>
              <w:rPr>
                <w:rFonts w:eastAsia="Calibri" w:cs="Arial"/>
                <w:sz w:val="14"/>
                <w:szCs w:val="14"/>
                <w:lang w:eastAsia="en-US"/>
              </w:rPr>
            </w:pPr>
            <w:r w:rsidRPr="00920CBC">
              <w:rPr>
                <w:rFonts w:eastAsia="Calibri" w:cs="Arial"/>
                <w:sz w:val="14"/>
                <w:szCs w:val="14"/>
                <w:lang w:eastAsia="en-US"/>
              </w:rPr>
              <w:t xml:space="preserve">If it is proved that an injury to a worker (whether or not intended to be inflicted) was deliberately or wilfully self-inflicted there is no entitlement to compensation in respect of that injury — </w:t>
            </w:r>
            <w:hyperlink r:id="rId896" w:history="1">
              <w:r w:rsidRPr="009408F8">
                <w:rPr>
                  <w:rStyle w:val="Hyperlink"/>
                  <w:rFonts w:eastAsia="Calibri" w:cs="Arial"/>
                  <w:sz w:val="14"/>
                  <w:szCs w:val="14"/>
                  <w:lang w:eastAsia="en-US"/>
                </w:rPr>
                <w:t>s40(4)</w:t>
              </w:r>
            </w:hyperlink>
            <w:r w:rsidR="00A37E29">
              <w:rPr>
                <w:rFonts w:eastAsia="Calibri" w:cs="Arial"/>
                <w:sz w:val="14"/>
                <w:szCs w:val="14"/>
                <w:lang w:eastAsia="en-US"/>
              </w:rPr>
              <w:t xml:space="preserve">, </w:t>
            </w:r>
            <w:r w:rsidR="00A37E29" w:rsidRPr="00016069">
              <w:rPr>
                <w:i/>
                <w:sz w:val="14"/>
              </w:rPr>
              <w:t>Workplace Injury Rehabilitation and Compensation Act 2013</w:t>
            </w:r>
          </w:p>
          <w:p w14:paraId="7DDD62C7" w14:textId="42456A18" w:rsidR="00460122" w:rsidRPr="00920CBC" w:rsidRDefault="00460122" w:rsidP="00F839DB">
            <w:pPr>
              <w:pStyle w:val="ListParagraph"/>
              <w:numPr>
                <w:ilvl w:val="0"/>
                <w:numId w:val="424"/>
              </w:numPr>
              <w:spacing w:after="60"/>
              <w:contextualSpacing/>
              <w:rPr>
                <w:rFonts w:eastAsia="Calibri" w:cs="Arial"/>
                <w:sz w:val="14"/>
                <w:szCs w:val="14"/>
                <w:lang w:eastAsia="en-US"/>
              </w:rPr>
            </w:pPr>
            <w:r w:rsidRPr="00920CBC">
              <w:rPr>
                <w:rFonts w:eastAsia="Calibri" w:cs="Arial"/>
                <w:sz w:val="14"/>
                <w:szCs w:val="14"/>
                <w:lang w:eastAsia="en-US"/>
              </w:rPr>
              <w:t xml:space="preserve">Subject to </w:t>
            </w:r>
            <w:hyperlink r:id="rId897" w:history="1">
              <w:r w:rsidRPr="00494930">
                <w:rPr>
                  <w:rStyle w:val="Hyperlink"/>
                  <w:rFonts w:eastAsia="Calibri" w:cs="Arial"/>
                  <w:sz w:val="14"/>
                  <w:szCs w:val="14"/>
                  <w:lang w:eastAsia="en-US"/>
                </w:rPr>
                <w:t>s42</w:t>
              </w:r>
            </w:hyperlink>
            <w:r w:rsidRPr="00920CBC">
              <w:rPr>
                <w:rFonts w:eastAsia="Calibri" w:cs="Arial"/>
                <w:sz w:val="14"/>
                <w:szCs w:val="14"/>
                <w:lang w:eastAsia="en-US"/>
              </w:rPr>
              <w:t xml:space="preserve">, </w:t>
            </w:r>
            <w:hyperlink r:id="rId898" w:history="1">
              <w:r w:rsidRPr="00494930">
                <w:rPr>
                  <w:rStyle w:val="Hyperlink"/>
                  <w:rFonts w:eastAsia="Calibri" w:cs="Arial"/>
                  <w:sz w:val="14"/>
                  <w:szCs w:val="14"/>
                  <w:lang w:eastAsia="en-US"/>
                </w:rPr>
                <w:t>s43</w:t>
              </w:r>
            </w:hyperlink>
            <w:r w:rsidRPr="00920CBC">
              <w:rPr>
                <w:rFonts w:eastAsia="Calibri" w:cs="Arial"/>
                <w:sz w:val="14"/>
                <w:szCs w:val="14"/>
                <w:lang w:eastAsia="en-US"/>
              </w:rPr>
              <w:t xml:space="preserve"> and </w:t>
            </w:r>
            <w:hyperlink r:id="rId899" w:history="1">
              <w:r w:rsidRPr="00494930">
                <w:rPr>
                  <w:rStyle w:val="Hyperlink"/>
                  <w:rFonts w:eastAsia="Calibri" w:cs="Arial"/>
                  <w:sz w:val="14"/>
                  <w:szCs w:val="14"/>
                  <w:lang w:eastAsia="en-US"/>
                </w:rPr>
                <w:t>s44</w:t>
              </w:r>
            </w:hyperlink>
            <w:r w:rsidRPr="00920CBC">
              <w:rPr>
                <w:rFonts w:eastAsia="Calibri" w:cs="Arial"/>
                <w:sz w:val="14"/>
                <w:szCs w:val="14"/>
                <w:lang w:eastAsia="en-US"/>
              </w:rPr>
              <w:t xml:space="preserve">, if it is proved that an injury to a worker is attributable to the worker’s serious and wilful misconduct (including, but not limited to, being under the influence of intoxicating liquor, or a drug) there is no entitlement to compensation in respect of that injury, unless the injury results in death or severe injury (as defined) — </w:t>
            </w:r>
            <w:hyperlink r:id="rId900" w:history="1">
              <w:r w:rsidRPr="00494930">
                <w:rPr>
                  <w:rStyle w:val="Hyperlink"/>
                  <w:rFonts w:eastAsia="Calibri" w:cs="Arial"/>
                  <w:sz w:val="14"/>
                  <w:szCs w:val="14"/>
                  <w:lang w:eastAsia="en-US"/>
                </w:rPr>
                <w:t>s40(5)</w:t>
              </w:r>
            </w:hyperlink>
            <w:r w:rsidRPr="00920CBC">
              <w:rPr>
                <w:rFonts w:eastAsia="Calibri" w:cs="Arial"/>
                <w:sz w:val="14"/>
                <w:szCs w:val="14"/>
                <w:lang w:eastAsia="en-US"/>
              </w:rPr>
              <w:t xml:space="preserve"> and </w:t>
            </w:r>
            <w:hyperlink r:id="rId901" w:history="1">
              <w:r w:rsidRPr="00494930">
                <w:rPr>
                  <w:rStyle w:val="Hyperlink"/>
                  <w:rFonts w:eastAsia="Calibri" w:cs="Arial"/>
                  <w:sz w:val="14"/>
                  <w:szCs w:val="14"/>
                  <w:lang w:eastAsia="en-US"/>
                </w:rPr>
                <w:t>s40(6)</w:t>
              </w:r>
            </w:hyperlink>
          </w:p>
          <w:p w14:paraId="31235F02" w14:textId="38830D7A" w:rsidR="00460122" w:rsidRPr="00920CBC" w:rsidRDefault="00A7538C" w:rsidP="00F839DB">
            <w:pPr>
              <w:pStyle w:val="ListParagraph"/>
              <w:numPr>
                <w:ilvl w:val="0"/>
                <w:numId w:val="424"/>
              </w:numPr>
              <w:spacing w:after="60"/>
              <w:contextualSpacing/>
              <w:rPr>
                <w:rFonts w:eastAsia="Calibri" w:cs="Arial"/>
                <w:sz w:val="14"/>
                <w:szCs w:val="14"/>
                <w:lang w:eastAsia="en-US"/>
              </w:rPr>
            </w:pPr>
            <w:hyperlink r:id="rId902" w:history="1">
              <w:r w:rsidR="00494930" w:rsidRPr="00494930">
                <w:rPr>
                  <w:rStyle w:val="Hyperlink"/>
                  <w:rFonts w:eastAsia="Calibri" w:cs="Arial"/>
                  <w:sz w:val="14"/>
                  <w:szCs w:val="14"/>
                  <w:lang w:eastAsia="en-US"/>
                </w:rPr>
                <w:t>ss42 –</w:t>
              </w:r>
              <w:r w:rsidR="00460122" w:rsidRPr="00494930">
                <w:rPr>
                  <w:rStyle w:val="Hyperlink"/>
                  <w:rFonts w:eastAsia="Calibri" w:cs="Arial"/>
                  <w:sz w:val="14"/>
                  <w:szCs w:val="14"/>
                  <w:lang w:eastAsia="en-US"/>
                </w:rPr>
                <w:t xml:space="preserve"> 44</w:t>
              </w:r>
            </w:hyperlink>
            <w:r w:rsidR="00460122" w:rsidRPr="00920CBC">
              <w:rPr>
                <w:rFonts w:eastAsia="Calibri" w:cs="Arial"/>
                <w:sz w:val="14"/>
                <w:szCs w:val="14"/>
                <w:lang w:eastAsia="en-US"/>
              </w:rPr>
              <w:t xml:space="preserve"> apply where a worker’s incapacity for work results from or is materially contributed to by an injury caused by a transport accident involving a motor vehicle driven by the worker if the worker is convicted of drink or drug driving offences to reduce a worker’s weekly payments for 130 weeks or to disentitle the worker to compensation under the Act if the offence is also a serious offence except where the injury re</w:t>
            </w:r>
            <w:r w:rsidR="00AF04A7">
              <w:rPr>
                <w:rFonts w:eastAsia="Calibri" w:cs="Arial"/>
                <w:sz w:val="14"/>
                <w:szCs w:val="14"/>
                <w:lang w:eastAsia="en-US"/>
              </w:rPr>
              <w:t>sults in death or severe injury</w:t>
            </w:r>
          </w:p>
          <w:p w14:paraId="3500AD2A" w14:textId="45DCD48F" w:rsidR="00460122" w:rsidRPr="00920CBC" w:rsidRDefault="00460122" w:rsidP="00F839DB">
            <w:pPr>
              <w:pStyle w:val="ListParagraph"/>
              <w:numPr>
                <w:ilvl w:val="0"/>
                <w:numId w:val="424"/>
              </w:numPr>
              <w:spacing w:after="60"/>
              <w:contextualSpacing/>
              <w:rPr>
                <w:rFonts w:eastAsia="Calibri" w:cs="Arial"/>
                <w:sz w:val="14"/>
                <w:szCs w:val="14"/>
                <w:lang w:eastAsia="en-US"/>
              </w:rPr>
            </w:pPr>
            <w:r w:rsidRPr="00920CBC">
              <w:rPr>
                <w:rFonts w:eastAsia="Calibri" w:cs="Arial"/>
                <w:sz w:val="14"/>
                <w:szCs w:val="14"/>
                <w:lang w:eastAsia="en-US"/>
              </w:rPr>
              <w:t xml:space="preserve">If it is proved that before commencing employment an employer in writing requested that the worker disclose all pre-existing injuries and diseases, and the worker did not disclose the information, compensation is not payable for any recurrence, aggravation, acceleration, exacerbation or deterioration — </w:t>
            </w:r>
            <w:hyperlink r:id="rId903" w:history="1">
              <w:r w:rsidRPr="00494930">
                <w:rPr>
                  <w:rStyle w:val="Hyperlink"/>
                  <w:rFonts w:eastAsia="Calibri" w:cs="Arial"/>
                  <w:sz w:val="14"/>
                  <w:szCs w:val="14"/>
                  <w:lang w:eastAsia="en-US"/>
                </w:rPr>
                <w:t>s41</w:t>
              </w:r>
            </w:hyperlink>
          </w:p>
        </w:tc>
      </w:tr>
      <w:tr w:rsidR="00460122" w:rsidRPr="00460122" w14:paraId="3565D10F" w14:textId="77777777" w:rsidTr="00FB729B">
        <w:tc>
          <w:tcPr>
            <w:tcW w:w="1626" w:type="dxa"/>
            <w:shd w:val="clear" w:color="auto" w:fill="FFC9C9"/>
            <w:tcMar>
              <w:top w:w="80" w:type="dxa"/>
              <w:left w:w="80" w:type="dxa"/>
              <w:bottom w:w="80" w:type="dxa"/>
              <w:right w:w="80" w:type="dxa"/>
            </w:tcMar>
          </w:tcPr>
          <w:p w14:paraId="75EC9778"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Queensland</w:t>
            </w:r>
          </w:p>
        </w:tc>
        <w:tc>
          <w:tcPr>
            <w:tcW w:w="13795" w:type="dxa"/>
            <w:shd w:val="clear" w:color="auto" w:fill="FFC9C9"/>
            <w:tcMar>
              <w:top w:w="80" w:type="dxa"/>
              <w:left w:w="80" w:type="dxa"/>
              <w:bottom w:w="80" w:type="dxa"/>
              <w:right w:w="80" w:type="dxa"/>
            </w:tcMar>
          </w:tcPr>
          <w:p w14:paraId="107BDD3E"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w:t>
            </w:r>
          </w:p>
          <w:p w14:paraId="7AE356BB" w14:textId="3016473D" w:rsidR="00460122" w:rsidRPr="00460122" w:rsidRDefault="00460122" w:rsidP="00F839DB">
            <w:pPr>
              <w:pStyle w:val="ListParagraph"/>
              <w:numPr>
                <w:ilvl w:val="0"/>
                <w:numId w:val="112"/>
              </w:numPr>
              <w:spacing w:after="60"/>
              <w:contextualSpacing/>
              <w:rPr>
                <w:rFonts w:eastAsia="Calibri" w:cs="Arial"/>
                <w:sz w:val="14"/>
                <w:szCs w:val="14"/>
                <w:lang w:eastAsia="en-US"/>
              </w:rPr>
            </w:pPr>
            <w:r w:rsidRPr="00460122">
              <w:rPr>
                <w:rFonts w:eastAsia="Calibri" w:cs="Arial"/>
                <w:sz w:val="14"/>
                <w:szCs w:val="14"/>
                <w:lang w:eastAsia="en-US"/>
              </w:rPr>
              <w:t xml:space="preserve">for an injury sustained by a worker if the injury is intentionally self-inflicted — </w:t>
            </w:r>
            <w:hyperlink r:id="rId904" w:anchor="sec.129" w:history="1">
              <w:r w:rsidRPr="000A3C5E">
                <w:rPr>
                  <w:rStyle w:val="Hyperlink"/>
                  <w:rFonts w:eastAsia="Calibri" w:cs="Arial"/>
                  <w:sz w:val="14"/>
                  <w:szCs w:val="14"/>
                  <w:lang w:eastAsia="en-US"/>
                </w:rPr>
                <w:t>s129</w:t>
              </w:r>
            </w:hyperlink>
            <w:r w:rsidR="00A37E29">
              <w:rPr>
                <w:rFonts w:eastAsia="Calibri" w:cs="Arial"/>
                <w:sz w:val="14"/>
                <w:szCs w:val="14"/>
                <w:lang w:eastAsia="en-US"/>
              </w:rPr>
              <w:t xml:space="preserve">, </w:t>
            </w:r>
            <w:r w:rsidR="00A37E29" w:rsidRPr="00016069">
              <w:rPr>
                <w:i/>
                <w:sz w:val="14"/>
              </w:rPr>
              <w:t>Workers’ Compensation and Rehabilitation Act 2003</w:t>
            </w:r>
          </w:p>
          <w:p w14:paraId="7E834183" w14:textId="640742AC" w:rsidR="00460122" w:rsidRPr="00460122" w:rsidRDefault="00460122" w:rsidP="00F839DB">
            <w:pPr>
              <w:pStyle w:val="ListParagraph"/>
              <w:numPr>
                <w:ilvl w:val="0"/>
                <w:numId w:val="112"/>
              </w:numPr>
              <w:spacing w:after="60"/>
              <w:contextualSpacing/>
              <w:rPr>
                <w:rFonts w:eastAsia="Calibri" w:cs="Arial"/>
                <w:sz w:val="14"/>
                <w:szCs w:val="14"/>
                <w:lang w:eastAsia="en-US"/>
              </w:rPr>
            </w:pPr>
            <w:r w:rsidRPr="00460122">
              <w:rPr>
                <w:rFonts w:eastAsia="Calibri" w:cs="Arial"/>
                <w:sz w:val="14"/>
                <w:szCs w:val="14"/>
                <w:lang w:eastAsia="en-US"/>
              </w:rPr>
              <w:t xml:space="preserve">for an injury caused by the serious and wilful misconduct of the worker, unless it results in death or injury and/or could result in a degree of permanent impairment (DPI) of 50% or more — </w:t>
            </w:r>
            <w:hyperlink r:id="rId905" w:anchor="sec.130" w:history="1">
              <w:r w:rsidRPr="000A3C5E">
                <w:rPr>
                  <w:rStyle w:val="Hyperlink"/>
                  <w:rFonts w:eastAsia="Calibri" w:cs="Arial"/>
                  <w:sz w:val="14"/>
                  <w:szCs w:val="14"/>
                  <w:lang w:eastAsia="en-US"/>
                </w:rPr>
                <w:t>s130(1)</w:t>
              </w:r>
            </w:hyperlink>
          </w:p>
          <w:p w14:paraId="0C7528EB" w14:textId="77EA62D0" w:rsidR="00460122" w:rsidRPr="00460122" w:rsidRDefault="00460122" w:rsidP="00F839DB">
            <w:pPr>
              <w:pStyle w:val="ListParagraph"/>
              <w:numPr>
                <w:ilvl w:val="0"/>
                <w:numId w:val="112"/>
              </w:numPr>
              <w:spacing w:after="60"/>
              <w:contextualSpacing/>
              <w:rPr>
                <w:rFonts w:eastAsia="Calibri" w:cs="Arial"/>
                <w:sz w:val="14"/>
                <w:szCs w:val="14"/>
                <w:lang w:eastAsia="en-US"/>
              </w:rPr>
            </w:pPr>
            <w:r w:rsidRPr="00460122">
              <w:rPr>
                <w:rFonts w:eastAsia="Calibri" w:cs="Arial"/>
                <w:sz w:val="14"/>
                <w:szCs w:val="14"/>
                <w:lang w:eastAsia="en-US"/>
              </w:rPr>
              <w:t xml:space="preserve">if the injury, caused by misconduct, could result in DPI of 50% or more arising from a psychiatric or psychological injury or combining a psychiatric or psychological injury and another injury — </w:t>
            </w:r>
            <w:hyperlink r:id="rId906" w:anchor="sec.130" w:history="1">
              <w:r w:rsidRPr="000A3C5E">
                <w:rPr>
                  <w:rStyle w:val="Hyperlink"/>
                  <w:rFonts w:eastAsia="Calibri" w:cs="Arial"/>
                  <w:sz w:val="14"/>
                  <w:szCs w:val="14"/>
                  <w:lang w:eastAsia="en-US"/>
                </w:rPr>
                <w:t>s130(2)</w:t>
              </w:r>
            </w:hyperlink>
          </w:p>
          <w:p w14:paraId="05AF6943" w14:textId="12424A8A" w:rsidR="00460122" w:rsidRPr="00460122" w:rsidRDefault="00460122" w:rsidP="00156139">
            <w:pPr>
              <w:spacing w:after="60"/>
              <w:rPr>
                <w:rFonts w:cs="Arial"/>
                <w:color w:val="000000"/>
                <w:sz w:val="14"/>
                <w:szCs w:val="16"/>
                <w:lang w:val="en-GB"/>
              </w:rPr>
            </w:pPr>
            <w:r w:rsidRPr="00460122">
              <w:rPr>
                <w:rFonts w:cs="Arial"/>
                <w:color w:val="000000"/>
                <w:sz w:val="14"/>
                <w:szCs w:val="16"/>
                <w:lang w:val="en-GB"/>
              </w:rPr>
              <w:t>If the worker knowingly supplies false or misleading information about a pre-existing condition to a prospective employer, the entitlement to compensation and damages for any event that aggrava</w:t>
            </w:r>
            <w:r w:rsidR="00AF04A7">
              <w:rPr>
                <w:rFonts w:cs="Arial"/>
                <w:color w:val="000000"/>
                <w:sz w:val="14"/>
                <w:szCs w:val="16"/>
                <w:lang w:val="en-GB"/>
              </w:rPr>
              <w:t xml:space="preserve">tes the condition ends </w:t>
            </w:r>
            <w:r w:rsidR="00156139">
              <w:rPr>
                <w:rFonts w:cs="Arial"/>
                <w:color w:val="000000"/>
                <w:sz w:val="14"/>
                <w:szCs w:val="16"/>
                <w:lang w:val="en-GB"/>
              </w:rPr>
              <w:t xml:space="preserve">— </w:t>
            </w:r>
            <w:hyperlink r:id="rId907" w:anchor="sec.571C" w:history="1">
              <w:r w:rsidR="00AF04A7" w:rsidRPr="000A3C5E">
                <w:rPr>
                  <w:rStyle w:val="Hyperlink"/>
                  <w:rFonts w:cs="Arial"/>
                  <w:sz w:val="14"/>
                  <w:szCs w:val="16"/>
                  <w:lang w:val="en-GB"/>
                </w:rPr>
                <w:t>s571C</w:t>
              </w:r>
            </w:hyperlink>
          </w:p>
        </w:tc>
      </w:tr>
      <w:tr w:rsidR="00460122" w:rsidRPr="00460122" w14:paraId="104A10A6" w14:textId="77777777" w:rsidTr="00FB729B">
        <w:tc>
          <w:tcPr>
            <w:tcW w:w="1626" w:type="dxa"/>
            <w:tcMar>
              <w:top w:w="80" w:type="dxa"/>
              <w:left w:w="80" w:type="dxa"/>
              <w:bottom w:w="80" w:type="dxa"/>
              <w:right w:w="80" w:type="dxa"/>
            </w:tcMar>
          </w:tcPr>
          <w:p w14:paraId="1E11FC40"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Western Australia</w:t>
            </w:r>
          </w:p>
        </w:tc>
        <w:tc>
          <w:tcPr>
            <w:tcW w:w="13795" w:type="dxa"/>
            <w:tcMar>
              <w:top w:w="80" w:type="dxa"/>
              <w:left w:w="80" w:type="dxa"/>
              <w:bottom w:w="80" w:type="dxa"/>
              <w:right w:w="80" w:type="dxa"/>
            </w:tcMar>
          </w:tcPr>
          <w:p w14:paraId="3306E7E3"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If it is proved that the injury of a worker is attributable to their:</w:t>
            </w:r>
          </w:p>
          <w:p w14:paraId="2AFAB1A1" w14:textId="77777777" w:rsidR="00460122" w:rsidRPr="00460122" w:rsidRDefault="00460122" w:rsidP="00F839DB">
            <w:pPr>
              <w:pStyle w:val="ListParagraph"/>
              <w:numPr>
                <w:ilvl w:val="0"/>
                <w:numId w:val="113"/>
              </w:numPr>
              <w:spacing w:after="60"/>
              <w:contextualSpacing/>
              <w:rPr>
                <w:rFonts w:eastAsia="Calibri" w:cs="Arial"/>
                <w:sz w:val="14"/>
                <w:szCs w:val="14"/>
                <w:lang w:eastAsia="en-US"/>
              </w:rPr>
            </w:pPr>
            <w:r w:rsidRPr="00460122">
              <w:rPr>
                <w:rFonts w:eastAsia="Calibri" w:cs="Arial"/>
                <w:sz w:val="14"/>
                <w:szCs w:val="14"/>
                <w:lang w:eastAsia="en-US"/>
              </w:rPr>
              <w:t xml:space="preserve">voluntary consumption of alcoholic liquor or of a drug of addiction, or both, which impairs the proper functioning of their faculties </w:t>
            </w:r>
          </w:p>
          <w:p w14:paraId="6E7D2FDF" w14:textId="77777777" w:rsidR="00460122" w:rsidRPr="00460122" w:rsidRDefault="00460122" w:rsidP="00F839DB">
            <w:pPr>
              <w:pStyle w:val="ListParagraph"/>
              <w:numPr>
                <w:ilvl w:val="0"/>
                <w:numId w:val="113"/>
              </w:numPr>
              <w:spacing w:after="60"/>
              <w:contextualSpacing/>
              <w:rPr>
                <w:rFonts w:eastAsia="Calibri" w:cs="Arial"/>
                <w:sz w:val="14"/>
                <w:szCs w:val="14"/>
                <w:lang w:eastAsia="en-US"/>
              </w:rPr>
            </w:pPr>
            <w:r w:rsidRPr="00460122">
              <w:rPr>
                <w:rFonts w:eastAsia="Calibri" w:cs="Arial"/>
                <w:sz w:val="14"/>
                <w:szCs w:val="14"/>
                <w:lang w:eastAsia="en-US"/>
              </w:rPr>
              <w:t>failure, without reasonable excuse, proof of which is on them, to use protective equipment, clothing or accessories provided by their employer for the worker’s use, or</w:t>
            </w:r>
          </w:p>
          <w:p w14:paraId="53A27BAA" w14:textId="14D48715" w:rsidR="00460122" w:rsidRPr="00460122" w:rsidRDefault="00460122" w:rsidP="00F839DB">
            <w:pPr>
              <w:pStyle w:val="ListParagraph"/>
              <w:numPr>
                <w:ilvl w:val="0"/>
                <w:numId w:val="113"/>
              </w:numPr>
              <w:spacing w:after="60"/>
              <w:contextualSpacing/>
              <w:rPr>
                <w:rFonts w:eastAsia="Calibri" w:cs="Arial"/>
                <w:sz w:val="14"/>
                <w:szCs w:val="14"/>
                <w:lang w:eastAsia="en-US"/>
              </w:rPr>
            </w:pPr>
            <w:r w:rsidRPr="00460122">
              <w:rPr>
                <w:rFonts w:eastAsia="Calibri" w:cs="Arial"/>
                <w:sz w:val="14"/>
                <w:szCs w:val="14"/>
                <w:lang w:eastAsia="en-US"/>
              </w:rPr>
              <w:t>other serious and wilful misconduct any compensation claimed in respect of that injury shall be disallowed unless the injury has serious and permanent ef</w:t>
            </w:r>
            <w:r w:rsidR="00AF04A7">
              <w:rPr>
                <w:rFonts w:eastAsia="Calibri" w:cs="Arial"/>
                <w:sz w:val="14"/>
                <w:szCs w:val="14"/>
                <w:lang w:eastAsia="en-US"/>
              </w:rPr>
              <w:t xml:space="preserve">fects or results in death — </w:t>
            </w:r>
            <w:hyperlink r:id="rId908" w:history="1">
              <w:r w:rsidR="00AF04A7" w:rsidRPr="000A3C5E">
                <w:rPr>
                  <w:rStyle w:val="Hyperlink"/>
                  <w:rFonts w:eastAsia="Calibri" w:cs="Arial"/>
                  <w:sz w:val="14"/>
                  <w:szCs w:val="14"/>
                  <w:lang w:eastAsia="en-US"/>
                </w:rPr>
                <w:t>s22</w:t>
              </w:r>
            </w:hyperlink>
          </w:p>
          <w:p w14:paraId="1B6F1A20" w14:textId="5FB751FA"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 to a person while participating as a contestant, engaged in training or preparation for participating, or engaged in promotional activities or engaged in regular journeys</w:t>
            </w:r>
            <w:r w:rsidR="00AF04A7">
              <w:rPr>
                <w:rFonts w:cs="Arial"/>
                <w:color w:val="000000"/>
                <w:sz w:val="14"/>
                <w:szCs w:val="16"/>
                <w:lang w:val="en-GB"/>
              </w:rPr>
              <w:t xml:space="preserve"> in any sporting activity — </w:t>
            </w:r>
            <w:hyperlink r:id="rId909" w:history="1">
              <w:r w:rsidR="00AF04A7" w:rsidRPr="000A3C5E">
                <w:rPr>
                  <w:rStyle w:val="Hyperlink"/>
                  <w:rFonts w:cs="Arial"/>
                  <w:sz w:val="14"/>
                  <w:szCs w:val="16"/>
                  <w:lang w:val="en-GB"/>
                </w:rPr>
                <w:t>s11</w:t>
              </w:r>
            </w:hyperlink>
            <w:r w:rsidR="00A37E29">
              <w:rPr>
                <w:rFonts w:cs="Arial"/>
                <w:color w:val="000000"/>
                <w:sz w:val="14"/>
                <w:szCs w:val="16"/>
                <w:lang w:val="en-GB"/>
              </w:rPr>
              <w:t xml:space="preserve">, </w:t>
            </w:r>
            <w:r w:rsidR="00A37E29" w:rsidRPr="00016069">
              <w:rPr>
                <w:i/>
                <w:sz w:val="14"/>
              </w:rPr>
              <w:t>Workers’ Compensation and Injury Management Act 1981</w:t>
            </w:r>
          </w:p>
        </w:tc>
      </w:tr>
      <w:tr w:rsidR="00460122" w:rsidRPr="00460122" w14:paraId="48BA298F" w14:textId="77777777" w:rsidTr="00FB729B">
        <w:tc>
          <w:tcPr>
            <w:tcW w:w="1626" w:type="dxa"/>
            <w:shd w:val="clear" w:color="auto" w:fill="FFC9C9"/>
            <w:tcMar>
              <w:top w:w="80" w:type="dxa"/>
              <w:left w:w="80" w:type="dxa"/>
              <w:bottom w:w="80" w:type="dxa"/>
              <w:right w:w="80" w:type="dxa"/>
            </w:tcMar>
          </w:tcPr>
          <w:p w14:paraId="046D6DAD"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South Australia</w:t>
            </w:r>
          </w:p>
        </w:tc>
        <w:tc>
          <w:tcPr>
            <w:tcW w:w="13795" w:type="dxa"/>
            <w:shd w:val="clear" w:color="auto" w:fill="FFC9C9"/>
            <w:tcMar>
              <w:top w:w="80" w:type="dxa"/>
              <w:left w:w="80" w:type="dxa"/>
              <w:bottom w:w="80" w:type="dxa"/>
              <w:right w:w="80" w:type="dxa"/>
            </w:tcMar>
          </w:tcPr>
          <w:p w14:paraId="75153041" w14:textId="68DFB171"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 xml:space="preserve">Under section </w:t>
            </w:r>
            <w:hyperlink r:id="rId910" w:history="1">
              <w:r w:rsidRPr="000A3C5E">
                <w:rPr>
                  <w:rStyle w:val="Hyperlink"/>
                  <w:rFonts w:cs="Arial"/>
                  <w:sz w:val="14"/>
                  <w:szCs w:val="16"/>
                  <w:lang w:val="en-GB"/>
                </w:rPr>
                <w:t>8(2)</w:t>
              </w:r>
            </w:hyperlink>
            <w:r w:rsidR="00A37E29">
              <w:rPr>
                <w:rFonts w:cs="Arial"/>
                <w:color w:val="000000"/>
                <w:sz w:val="14"/>
                <w:szCs w:val="16"/>
                <w:lang w:val="en-GB"/>
              </w:rPr>
              <w:t xml:space="preserve">, </w:t>
            </w:r>
            <w:r w:rsidR="00A37E29" w:rsidRPr="00016069">
              <w:rPr>
                <w:i/>
                <w:sz w:val="14"/>
              </w:rPr>
              <w:t>Return to Work Act 2014</w:t>
            </w:r>
            <w:r w:rsidR="00A37E29">
              <w:rPr>
                <w:i/>
                <w:sz w:val="14"/>
              </w:rPr>
              <w:t>,</w:t>
            </w:r>
            <w:r w:rsidRPr="00460122">
              <w:rPr>
                <w:rFonts w:cs="Arial"/>
                <w:color w:val="000000"/>
                <w:sz w:val="14"/>
                <w:szCs w:val="16"/>
                <w:lang w:val="en-GB"/>
              </w:rPr>
              <w:t xml:space="preserve"> compensation is not payable if the injured worker is:</w:t>
            </w:r>
          </w:p>
          <w:p w14:paraId="48E92679" w14:textId="77777777" w:rsidR="00460122" w:rsidRPr="00460122" w:rsidRDefault="00460122" w:rsidP="00F839DB">
            <w:pPr>
              <w:pStyle w:val="ListParagraph"/>
              <w:numPr>
                <w:ilvl w:val="0"/>
                <w:numId w:val="114"/>
              </w:numPr>
              <w:spacing w:after="60"/>
              <w:rPr>
                <w:rFonts w:cs="Arial"/>
                <w:color w:val="000000"/>
                <w:sz w:val="14"/>
                <w:szCs w:val="16"/>
                <w:lang w:val="en-GB"/>
              </w:rPr>
            </w:pPr>
            <w:r w:rsidRPr="00460122">
              <w:rPr>
                <w:rFonts w:cs="Arial"/>
                <w:color w:val="000000"/>
                <w:sz w:val="14"/>
                <w:szCs w:val="16"/>
                <w:lang w:val="en-GB"/>
              </w:rPr>
              <w:t>guilty of serious and wilful misconduct or in contravention of their employer’s instruction (except in the case of death or permanent total incapacity), or</w:t>
            </w:r>
          </w:p>
          <w:p w14:paraId="3375C959" w14:textId="6D2A4B7B" w:rsidR="00460122" w:rsidRPr="00460122" w:rsidRDefault="00460122" w:rsidP="00F839DB">
            <w:pPr>
              <w:pStyle w:val="ListParagraph"/>
              <w:numPr>
                <w:ilvl w:val="0"/>
                <w:numId w:val="114"/>
              </w:numPr>
              <w:spacing w:after="60"/>
              <w:contextualSpacing/>
              <w:rPr>
                <w:rFonts w:eastAsia="Calibri" w:cs="Arial"/>
                <w:sz w:val="14"/>
                <w:szCs w:val="14"/>
                <w:lang w:eastAsia="en-US"/>
              </w:rPr>
            </w:pPr>
            <w:r w:rsidRPr="00460122">
              <w:rPr>
                <w:rFonts w:eastAsia="Calibri" w:cs="Arial"/>
                <w:sz w:val="14"/>
                <w:szCs w:val="14"/>
                <w:lang w:eastAsia="en-US"/>
              </w:rPr>
              <w:t>it is established on the balance of probabilities that the injury is predominantly attributable to serious and wilful misconduct or the influence of alcohol or an illegal drug (except in the case of death o</w:t>
            </w:r>
            <w:r w:rsidR="00AF04A7">
              <w:rPr>
                <w:rFonts w:eastAsia="Calibri" w:cs="Arial"/>
                <w:sz w:val="14"/>
                <w:szCs w:val="14"/>
                <w:lang w:eastAsia="en-US"/>
              </w:rPr>
              <w:t>r serious and permanent injury)</w:t>
            </w:r>
          </w:p>
        </w:tc>
      </w:tr>
      <w:tr w:rsidR="00460122" w:rsidRPr="00460122" w14:paraId="3B81A19A" w14:textId="77777777" w:rsidTr="00FB729B">
        <w:tc>
          <w:tcPr>
            <w:tcW w:w="1626" w:type="dxa"/>
            <w:tcMar>
              <w:top w:w="80" w:type="dxa"/>
              <w:left w:w="80" w:type="dxa"/>
              <w:bottom w:w="80" w:type="dxa"/>
              <w:right w:w="80" w:type="dxa"/>
            </w:tcMar>
          </w:tcPr>
          <w:p w14:paraId="28D91EB4"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Tasmania</w:t>
            </w:r>
          </w:p>
        </w:tc>
        <w:tc>
          <w:tcPr>
            <w:tcW w:w="13795" w:type="dxa"/>
            <w:tcMar>
              <w:top w:w="80" w:type="dxa"/>
              <w:left w:w="80" w:type="dxa"/>
              <w:bottom w:w="80" w:type="dxa"/>
              <w:right w:w="80" w:type="dxa"/>
            </w:tcMar>
          </w:tcPr>
          <w:p w14:paraId="2C7BAB5F"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w:t>
            </w:r>
          </w:p>
          <w:p w14:paraId="1F6A1608" w14:textId="77777777" w:rsidR="00460122" w:rsidRPr="00460122" w:rsidRDefault="00460122" w:rsidP="00F839DB">
            <w:pPr>
              <w:pStyle w:val="ListParagraph"/>
              <w:numPr>
                <w:ilvl w:val="0"/>
                <w:numId w:val="115"/>
              </w:numPr>
              <w:spacing w:after="60"/>
              <w:contextualSpacing/>
              <w:rPr>
                <w:rFonts w:eastAsia="Calibri" w:cs="Arial"/>
                <w:sz w:val="14"/>
                <w:szCs w:val="14"/>
                <w:lang w:eastAsia="en-US"/>
              </w:rPr>
            </w:pPr>
            <w:r w:rsidRPr="00460122">
              <w:rPr>
                <w:rFonts w:eastAsia="Calibri" w:cs="Arial"/>
                <w:sz w:val="14"/>
                <w:szCs w:val="14"/>
                <w:lang w:eastAsia="en-US"/>
              </w:rPr>
              <w:t>if the injury is attributable to the serious and wilful misconduct of the worker, unless it results in death or serious and permanent incapacity, or</w:t>
            </w:r>
          </w:p>
          <w:p w14:paraId="43DC056D" w14:textId="77777777" w:rsidR="00460122" w:rsidRPr="00460122" w:rsidRDefault="00460122" w:rsidP="00F839DB">
            <w:pPr>
              <w:pStyle w:val="ListParagraph"/>
              <w:numPr>
                <w:ilvl w:val="0"/>
                <w:numId w:val="115"/>
              </w:numPr>
              <w:spacing w:after="60"/>
              <w:contextualSpacing/>
              <w:rPr>
                <w:rFonts w:eastAsia="Calibri" w:cs="Arial"/>
                <w:sz w:val="14"/>
                <w:szCs w:val="14"/>
                <w:lang w:eastAsia="en-US"/>
              </w:rPr>
            </w:pPr>
            <w:r w:rsidRPr="00460122">
              <w:rPr>
                <w:rFonts w:eastAsia="Calibri" w:cs="Arial"/>
                <w:sz w:val="14"/>
                <w:szCs w:val="14"/>
                <w:lang w:eastAsia="en-US"/>
              </w:rPr>
              <w:t>if the injury is an intentional self-inflicted injury, or</w:t>
            </w:r>
          </w:p>
          <w:p w14:paraId="6AC8FC3D" w14:textId="2C382AB0" w:rsidR="00460122" w:rsidRPr="00460122" w:rsidRDefault="00460122" w:rsidP="00F839DB">
            <w:pPr>
              <w:pStyle w:val="ListParagraph"/>
              <w:numPr>
                <w:ilvl w:val="0"/>
                <w:numId w:val="115"/>
              </w:numPr>
              <w:spacing w:after="60"/>
              <w:contextualSpacing/>
              <w:rPr>
                <w:rFonts w:eastAsia="Calibri" w:cs="Arial"/>
                <w:sz w:val="14"/>
                <w:szCs w:val="14"/>
                <w:lang w:eastAsia="en-US"/>
              </w:rPr>
            </w:pPr>
            <w:r w:rsidRPr="00460122">
              <w:rPr>
                <w:rFonts w:eastAsia="Calibri" w:cs="Arial"/>
                <w:sz w:val="14"/>
                <w:szCs w:val="14"/>
                <w:lang w:eastAsia="en-US"/>
              </w:rPr>
              <w:t xml:space="preserve">for any disease where the worker has wilfully and falsely represented themselves in writing as not having suffered from the disease — </w:t>
            </w:r>
            <w:hyperlink r:id="rId911" w:history="1">
              <w:r w:rsidRPr="000A3C5E">
                <w:rPr>
                  <w:rStyle w:val="Hyperlink"/>
                  <w:rFonts w:eastAsia="Calibri" w:cs="Arial"/>
                  <w:sz w:val="14"/>
                  <w:szCs w:val="14"/>
                  <w:lang w:eastAsia="en-US"/>
                </w:rPr>
                <w:t>s25</w:t>
              </w:r>
            </w:hyperlink>
            <w:r w:rsidR="00A37E29">
              <w:rPr>
                <w:rFonts w:eastAsia="Calibri" w:cs="Arial"/>
                <w:sz w:val="14"/>
                <w:szCs w:val="14"/>
                <w:lang w:eastAsia="en-US"/>
              </w:rPr>
              <w:t xml:space="preserve">, </w:t>
            </w:r>
            <w:r w:rsidR="00A37E29" w:rsidRPr="00016069">
              <w:rPr>
                <w:i/>
                <w:sz w:val="14"/>
              </w:rPr>
              <w:t>Workers Rehabilitation and Compensation Act 1988</w:t>
            </w:r>
          </w:p>
        </w:tc>
      </w:tr>
      <w:tr w:rsidR="00460122" w:rsidRPr="00460122" w14:paraId="61438D0D" w14:textId="77777777" w:rsidTr="00FB729B">
        <w:tc>
          <w:tcPr>
            <w:tcW w:w="1626" w:type="dxa"/>
            <w:shd w:val="clear" w:color="auto" w:fill="FFC9C9"/>
            <w:tcMar>
              <w:top w:w="80" w:type="dxa"/>
              <w:left w:w="80" w:type="dxa"/>
              <w:bottom w:w="80" w:type="dxa"/>
              <w:right w:w="80" w:type="dxa"/>
            </w:tcMar>
          </w:tcPr>
          <w:p w14:paraId="77216B15"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Northern Territory</w:t>
            </w:r>
          </w:p>
        </w:tc>
        <w:tc>
          <w:tcPr>
            <w:tcW w:w="13795" w:type="dxa"/>
            <w:shd w:val="clear" w:color="auto" w:fill="FFC9C9"/>
            <w:tcMar>
              <w:top w:w="80" w:type="dxa"/>
              <w:left w:w="80" w:type="dxa"/>
              <w:bottom w:w="80" w:type="dxa"/>
              <w:right w:w="80" w:type="dxa"/>
            </w:tcMar>
          </w:tcPr>
          <w:p w14:paraId="5815F22C" w14:textId="1BBD0E5B" w:rsidR="00460122" w:rsidRPr="00460122" w:rsidRDefault="00460122" w:rsidP="00F839DB">
            <w:pPr>
              <w:pStyle w:val="ListParagraph"/>
              <w:numPr>
                <w:ilvl w:val="0"/>
                <w:numId w:val="116"/>
              </w:numPr>
              <w:spacing w:after="60"/>
              <w:contextualSpacing/>
              <w:rPr>
                <w:rFonts w:eastAsia="Calibri" w:cs="Arial"/>
                <w:sz w:val="14"/>
                <w:szCs w:val="14"/>
                <w:lang w:eastAsia="en-US"/>
              </w:rPr>
            </w:pPr>
            <w:r w:rsidRPr="00460122">
              <w:rPr>
                <w:rFonts w:eastAsia="Calibri" w:cs="Arial"/>
                <w:sz w:val="14"/>
                <w:szCs w:val="14"/>
                <w:lang w:eastAsia="en-US"/>
              </w:rPr>
              <w:t xml:space="preserve">Compensation not payable in respect of an injury to a worker that was deliberately self-inflicted; or (not being an injury resulting in the worker’s death or permanent or long term capacity) attributable to the worker’s serious or wilful misconduct — </w:t>
            </w:r>
            <w:hyperlink r:id="rId912" w:history="1">
              <w:r w:rsidRPr="000A3C5E">
                <w:rPr>
                  <w:rStyle w:val="Hyperlink"/>
                  <w:rFonts w:eastAsia="Calibri" w:cs="Arial"/>
                  <w:sz w:val="14"/>
                  <w:szCs w:val="14"/>
                  <w:lang w:eastAsia="en-US"/>
                </w:rPr>
                <w:t>s57</w:t>
              </w:r>
            </w:hyperlink>
            <w:r w:rsidR="005E75D2">
              <w:rPr>
                <w:rFonts w:eastAsia="Calibri" w:cs="Arial"/>
                <w:sz w:val="14"/>
                <w:szCs w:val="14"/>
                <w:lang w:eastAsia="en-US"/>
              </w:rPr>
              <w:t xml:space="preserve">, </w:t>
            </w:r>
            <w:r w:rsidR="005E75D2" w:rsidRPr="00016069">
              <w:rPr>
                <w:i/>
                <w:sz w:val="14"/>
              </w:rPr>
              <w:t>Return to Work Act</w:t>
            </w:r>
          </w:p>
          <w:p w14:paraId="5CF87167" w14:textId="63C322D4" w:rsidR="00460122" w:rsidRPr="00460122" w:rsidRDefault="00460122" w:rsidP="00F839DB">
            <w:pPr>
              <w:pStyle w:val="ListParagraph"/>
              <w:numPr>
                <w:ilvl w:val="0"/>
                <w:numId w:val="116"/>
              </w:numPr>
              <w:spacing w:after="60"/>
              <w:contextualSpacing/>
              <w:rPr>
                <w:rFonts w:eastAsia="Calibri" w:cs="Arial"/>
                <w:sz w:val="14"/>
                <w:szCs w:val="14"/>
                <w:lang w:eastAsia="en-US"/>
              </w:rPr>
            </w:pPr>
            <w:r w:rsidRPr="00460122">
              <w:rPr>
                <w:rFonts w:eastAsia="Calibri" w:cs="Arial"/>
                <w:sz w:val="14"/>
                <w:szCs w:val="14"/>
                <w:lang w:eastAsia="en-US"/>
              </w:rPr>
              <w:t xml:space="preserve">A worker is not entitled to compensation in respect of an injury sustained whilst driving a motor vehicle, after consuming alcoholic liquor which materially contributed to the accident and injury, or while under the influence of a drug. Where concentration of alcohol at the time of the accident was equal to 80 milligrams or more of alcohol per 100 milligrams of blood, the consumption of the alcoholic liquor shall be presumed to have materially contributed to the accident and injury, unless proven otherwise. This does not affect the entitlement to compensation if the injury results in death, or medical, surgical or rehabilitation treatment — </w:t>
            </w:r>
            <w:hyperlink r:id="rId913" w:history="1">
              <w:r w:rsidRPr="000A3C5E">
                <w:rPr>
                  <w:rStyle w:val="Hyperlink"/>
                  <w:rFonts w:eastAsia="Calibri" w:cs="Arial"/>
                  <w:sz w:val="14"/>
                  <w:szCs w:val="14"/>
                  <w:lang w:eastAsia="en-US"/>
                </w:rPr>
                <w:t>s60</w:t>
              </w:r>
            </w:hyperlink>
          </w:p>
          <w:p w14:paraId="42235A14" w14:textId="4329BDDB" w:rsidR="00460122" w:rsidRPr="00460122" w:rsidRDefault="00460122" w:rsidP="00F839DB">
            <w:pPr>
              <w:pStyle w:val="ListParagraph"/>
              <w:numPr>
                <w:ilvl w:val="0"/>
                <w:numId w:val="116"/>
              </w:numPr>
              <w:spacing w:after="60"/>
              <w:contextualSpacing/>
              <w:rPr>
                <w:rFonts w:eastAsia="Calibri" w:cs="Arial"/>
                <w:sz w:val="14"/>
                <w:szCs w:val="14"/>
                <w:lang w:eastAsia="en-US"/>
              </w:rPr>
            </w:pPr>
            <w:r w:rsidRPr="00460122">
              <w:rPr>
                <w:rFonts w:eastAsia="Calibri" w:cs="Arial"/>
                <w:sz w:val="14"/>
                <w:szCs w:val="14"/>
                <w:lang w:eastAsia="en-US"/>
              </w:rPr>
              <w:t xml:space="preserve">Weekly compensation is not payable in respect of any period during which the worker is imprisoned (some exceptions) </w:t>
            </w:r>
            <w:r w:rsidR="00156139">
              <w:rPr>
                <w:rFonts w:eastAsia="Calibri" w:cs="Arial"/>
                <w:sz w:val="14"/>
                <w:szCs w:val="14"/>
                <w:lang w:eastAsia="en-US"/>
              </w:rPr>
              <w:t>—</w:t>
            </w:r>
            <w:r w:rsidR="00156139" w:rsidRPr="00460122">
              <w:rPr>
                <w:rFonts w:eastAsia="Calibri" w:cs="Arial"/>
                <w:sz w:val="14"/>
                <w:szCs w:val="14"/>
                <w:lang w:eastAsia="en-US"/>
              </w:rPr>
              <w:t xml:space="preserve"> </w:t>
            </w:r>
            <w:hyperlink r:id="rId914" w:history="1">
              <w:r w:rsidRPr="000A3C5E">
                <w:rPr>
                  <w:rStyle w:val="Hyperlink"/>
                  <w:rFonts w:eastAsia="Calibri" w:cs="Arial"/>
                  <w:sz w:val="14"/>
                  <w:szCs w:val="14"/>
                  <w:lang w:eastAsia="en-US"/>
                </w:rPr>
                <w:t>s65A</w:t>
              </w:r>
            </w:hyperlink>
          </w:p>
        </w:tc>
      </w:tr>
      <w:tr w:rsidR="00460122" w:rsidRPr="00460122" w14:paraId="332052FE" w14:textId="77777777" w:rsidTr="00FB729B">
        <w:tc>
          <w:tcPr>
            <w:tcW w:w="1626" w:type="dxa"/>
            <w:tcMar>
              <w:top w:w="80" w:type="dxa"/>
              <w:left w:w="80" w:type="dxa"/>
              <w:bottom w:w="80" w:type="dxa"/>
              <w:right w:w="80" w:type="dxa"/>
            </w:tcMar>
          </w:tcPr>
          <w:p w14:paraId="7787191D"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lastRenderedPageBreak/>
              <w:t>Australian Capital Territory</w:t>
            </w:r>
          </w:p>
        </w:tc>
        <w:tc>
          <w:tcPr>
            <w:tcW w:w="13795" w:type="dxa"/>
            <w:tcMar>
              <w:top w:w="80" w:type="dxa"/>
              <w:left w:w="80" w:type="dxa"/>
              <w:bottom w:w="80" w:type="dxa"/>
              <w:right w:w="80" w:type="dxa"/>
            </w:tcMar>
          </w:tcPr>
          <w:p w14:paraId="14DB753C"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 if the injury to, or death of, the worker is caused by:</w:t>
            </w:r>
          </w:p>
          <w:p w14:paraId="422D3079" w14:textId="207112AB" w:rsidR="00460122" w:rsidRPr="00460122" w:rsidRDefault="00460122" w:rsidP="00F839DB">
            <w:pPr>
              <w:pStyle w:val="ListParagraph"/>
              <w:numPr>
                <w:ilvl w:val="0"/>
                <w:numId w:val="117"/>
              </w:numPr>
              <w:spacing w:after="60"/>
              <w:contextualSpacing/>
              <w:rPr>
                <w:rFonts w:eastAsia="Calibri" w:cs="Arial"/>
                <w:sz w:val="14"/>
                <w:szCs w:val="14"/>
                <w:lang w:eastAsia="en-US"/>
              </w:rPr>
            </w:pPr>
            <w:r w:rsidRPr="00460122">
              <w:rPr>
                <w:rFonts w:eastAsia="Calibri" w:cs="Arial"/>
                <w:sz w:val="14"/>
                <w:szCs w:val="14"/>
                <w:lang w:eastAsia="en-US"/>
              </w:rPr>
              <w:t xml:space="preserve">an intentionally self-inflicted injury — </w:t>
            </w:r>
            <w:hyperlink r:id="rId915" w:history="1">
              <w:r w:rsidRPr="007413C2">
                <w:rPr>
                  <w:rStyle w:val="Hyperlink"/>
                  <w:rFonts w:eastAsia="Calibri" w:cs="Arial"/>
                  <w:sz w:val="14"/>
                  <w:szCs w:val="14"/>
                  <w:lang w:eastAsia="en-US"/>
                </w:rPr>
                <w:t>s82(2)</w:t>
              </w:r>
            </w:hyperlink>
            <w:r w:rsidR="005E75D2">
              <w:rPr>
                <w:rFonts w:eastAsia="Calibri" w:cs="Arial"/>
                <w:sz w:val="14"/>
                <w:szCs w:val="14"/>
                <w:lang w:eastAsia="en-US"/>
              </w:rPr>
              <w:t xml:space="preserve">, </w:t>
            </w:r>
            <w:r w:rsidR="005E75D2" w:rsidRPr="00016069">
              <w:rPr>
                <w:i/>
                <w:sz w:val="14"/>
              </w:rPr>
              <w:t>Workers Compensation Act 1951</w:t>
            </w:r>
          </w:p>
          <w:p w14:paraId="5AA97C34" w14:textId="28289404" w:rsidR="00460122" w:rsidRPr="00460122" w:rsidRDefault="00460122" w:rsidP="00F839DB">
            <w:pPr>
              <w:pStyle w:val="ListParagraph"/>
              <w:numPr>
                <w:ilvl w:val="0"/>
                <w:numId w:val="117"/>
              </w:numPr>
              <w:spacing w:after="60"/>
              <w:contextualSpacing/>
              <w:rPr>
                <w:rFonts w:eastAsia="Calibri" w:cs="Arial"/>
                <w:sz w:val="14"/>
                <w:szCs w:val="14"/>
                <w:lang w:eastAsia="en-US"/>
              </w:rPr>
            </w:pPr>
            <w:r w:rsidRPr="00460122">
              <w:rPr>
                <w:rFonts w:eastAsia="Calibri" w:cs="Arial"/>
                <w:sz w:val="14"/>
                <w:szCs w:val="14"/>
                <w:lang w:eastAsia="en-US"/>
              </w:rPr>
              <w:t xml:space="preserve">the worker’s serious and wilful misconduct, unless the injury results in the death or serious and permanent disablement — </w:t>
            </w:r>
            <w:hyperlink r:id="rId916" w:history="1">
              <w:r w:rsidRPr="007413C2">
                <w:rPr>
                  <w:rStyle w:val="Hyperlink"/>
                  <w:rFonts w:eastAsia="Calibri" w:cs="Arial"/>
                  <w:sz w:val="14"/>
                  <w:szCs w:val="14"/>
                  <w:lang w:eastAsia="en-US"/>
                </w:rPr>
                <w:t>s82(3)</w:t>
              </w:r>
            </w:hyperlink>
            <w:r w:rsidRPr="00460122">
              <w:rPr>
                <w:rFonts w:eastAsia="Calibri" w:cs="Arial"/>
                <w:sz w:val="14"/>
                <w:szCs w:val="14"/>
                <w:lang w:eastAsia="en-US"/>
              </w:rPr>
              <w:t xml:space="preserve">. (a) A personal injury received by a worker is attributable to the serious and wilful misconduct of the worker if at the time of the injury the worker was under the influence of alcohol or prescription drugs, unless the alcohol or drug did not contribute to the injury or was not consumed or taken voluntarily — </w:t>
            </w:r>
            <w:hyperlink r:id="rId917" w:history="1">
              <w:r w:rsidRPr="00845D68">
                <w:rPr>
                  <w:rStyle w:val="Hyperlink"/>
                  <w:rFonts w:eastAsia="Calibri" w:cs="Arial"/>
                  <w:sz w:val="14"/>
                  <w:szCs w:val="14"/>
                  <w:lang w:eastAsia="en-US"/>
                </w:rPr>
                <w:t>s82(4)(a)</w:t>
              </w:r>
            </w:hyperlink>
            <w:r w:rsidRPr="00460122">
              <w:rPr>
                <w:rFonts w:eastAsia="Calibri" w:cs="Arial"/>
                <w:sz w:val="14"/>
                <w:szCs w:val="14"/>
                <w:lang w:eastAsia="en-US"/>
              </w:rPr>
              <w:t xml:space="preserve">; (b) A personal injury received by a worker is attributable to the serious and wilful misconduct of the worker if the injury was otherwise attributable to the serious and wilful misconduct of the worker — </w:t>
            </w:r>
            <w:hyperlink r:id="rId918" w:history="1">
              <w:r w:rsidRPr="00845D68">
                <w:rPr>
                  <w:rStyle w:val="Hyperlink"/>
                  <w:rFonts w:eastAsia="Calibri" w:cs="Arial"/>
                  <w:sz w:val="14"/>
                  <w:szCs w:val="14"/>
                  <w:lang w:eastAsia="en-US"/>
                </w:rPr>
                <w:t>s82(4)(b)</w:t>
              </w:r>
            </w:hyperlink>
          </w:p>
          <w:p w14:paraId="330EC676" w14:textId="38841565" w:rsidR="00460122" w:rsidRPr="00460122" w:rsidRDefault="00460122" w:rsidP="00F839DB">
            <w:pPr>
              <w:pStyle w:val="ListParagraph"/>
              <w:numPr>
                <w:ilvl w:val="0"/>
                <w:numId w:val="117"/>
              </w:numPr>
              <w:spacing w:after="60"/>
              <w:contextualSpacing/>
              <w:rPr>
                <w:rFonts w:eastAsia="Calibri" w:cs="Arial"/>
                <w:sz w:val="14"/>
                <w:szCs w:val="14"/>
                <w:lang w:eastAsia="en-US"/>
              </w:rPr>
            </w:pPr>
            <w:r w:rsidRPr="00460122">
              <w:rPr>
                <w:rFonts w:eastAsia="Calibri" w:cs="Arial"/>
                <w:sz w:val="14"/>
                <w:szCs w:val="14"/>
                <w:lang w:eastAsia="en-US"/>
              </w:rPr>
              <w:t xml:space="preserve">the worker being imprisoned — </w:t>
            </w:r>
            <w:hyperlink r:id="rId919" w:history="1">
              <w:r w:rsidRPr="00845D68">
                <w:rPr>
                  <w:rStyle w:val="Hyperlink"/>
                  <w:rFonts w:eastAsia="Calibri" w:cs="Arial"/>
                  <w:sz w:val="14"/>
                  <w:szCs w:val="14"/>
                  <w:lang w:eastAsia="en-US"/>
                </w:rPr>
                <w:t>s83</w:t>
              </w:r>
            </w:hyperlink>
            <w:r w:rsidRPr="00460122">
              <w:rPr>
                <w:rFonts w:eastAsia="Calibri" w:cs="Arial"/>
                <w:sz w:val="14"/>
                <w:szCs w:val="14"/>
                <w:lang w:eastAsia="en-US"/>
              </w:rPr>
              <w:t>, or</w:t>
            </w:r>
          </w:p>
          <w:p w14:paraId="58E0621A" w14:textId="11BE58B6" w:rsidR="00460122" w:rsidRPr="00460122" w:rsidRDefault="00460122" w:rsidP="00F839DB">
            <w:pPr>
              <w:pStyle w:val="ListParagraph"/>
              <w:numPr>
                <w:ilvl w:val="0"/>
                <w:numId w:val="117"/>
              </w:numPr>
              <w:spacing w:after="60"/>
              <w:contextualSpacing/>
              <w:rPr>
                <w:rFonts w:eastAsia="Calibri" w:cs="Arial"/>
                <w:sz w:val="14"/>
                <w:szCs w:val="14"/>
                <w:lang w:eastAsia="en-US"/>
              </w:rPr>
            </w:pPr>
            <w:r w:rsidRPr="00460122">
              <w:rPr>
                <w:rFonts w:eastAsia="Calibri" w:cs="Arial"/>
                <w:sz w:val="14"/>
                <w:szCs w:val="14"/>
                <w:lang w:eastAsia="en-US"/>
              </w:rPr>
              <w:t xml:space="preserve">his or her engagement in professional sporting activity — </w:t>
            </w:r>
            <w:hyperlink r:id="rId920" w:history="1">
              <w:r w:rsidRPr="00845D68">
                <w:rPr>
                  <w:rStyle w:val="Hyperlink"/>
                  <w:rFonts w:eastAsia="Calibri" w:cs="Arial"/>
                  <w:sz w:val="14"/>
                  <w:szCs w:val="14"/>
                  <w:lang w:eastAsia="en-US"/>
                </w:rPr>
                <w:t>s84</w:t>
              </w:r>
            </w:hyperlink>
          </w:p>
        </w:tc>
      </w:tr>
      <w:tr w:rsidR="00460122" w:rsidRPr="00460122" w14:paraId="1EC5ED8B" w14:textId="77777777" w:rsidTr="00FB729B">
        <w:tc>
          <w:tcPr>
            <w:tcW w:w="1626" w:type="dxa"/>
            <w:shd w:val="clear" w:color="auto" w:fill="FFC9C9"/>
            <w:tcMar>
              <w:top w:w="80" w:type="dxa"/>
              <w:left w:w="80" w:type="dxa"/>
              <w:bottom w:w="80" w:type="dxa"/>
              <w:right w:w="80" w:type="dxa"/>
            </w:tcMar>
          </w:tcPr>
          <w:p w14:paraId="7A1CA20D"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C’wealth Comcare</w:t>
            </w:r>
          </w:p>
        </w:tc>
        <w:tc>
          <w:tcPr>
            <w:tcW w:w="13795" w:type="dxa"/>
            <w:shd w:val="clear" w:color="auto" w:fill="FFC9C9"/>
            <w:tcMar>
              <w:top w:w="80" w:type="dxa"/>
              <w:left w:w="80" w:type="dxa"/>
              <w:bottom w:w="80" w:type="dxa"/>
              <w:right w:w="80" w:type="dxa"/>
            </w:tcMar>
          </w:tcPr>
          <w:p w14:paraId="3781CD60"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 in respect of:</w:t>
            </w:r>
          </w:p>
          <w:p w14:paraId="09B0B112" w14:textId="56670579" w:rsidR="00460122" w:rsidRPr="00460122" w:rsidRDefault="00460122" w:rsidP="00F839DB">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any period during which the worker is imprisoned — </w:t>
            </w:r>
            <w:hyperlink r:id="rId921" w:history="1">
              <w:r w:rsidRPr="006D1DE9">
                <w:rPr>
                  <w:rStyle w:val="Hyperlink"/>
                  <w:rFonts w:eastAsia="Calibri" w:cs="Arial"/>
                  <w:sz w:val="14"/>
                  <w:szCs w:val="14"/>
                  <w:lang w:eastAsia="en-US"/>
                </w:rPr>
                <w:t>s23(2)</w:t>
              </w:r>
            </w:hyperlink>
            <w:r w:rsidR="005E75D2">
              <w:rPr>
                <w:rFonts w:eastAsia="Calibri" w:cs="Arial"/>
                <w:sz w:val="14"/>
                <w:szCs w:val="14"/>
                <w:lang w:eastAsia="en-US"/>
              </w:rPr>
              <w:t xml:space="preserve">, </w:t>
            </w:r>
            <w:r w:rsidR="005E75D2" w:rsidRPr="00016069">
              <w:rPr>
                <w:i/>
                <w:sz w:val="14"/>
              </w:rPr>
              <w:t>Safety, Rehabilitation and Compensation Act 1988</w:t>
            </w:r>
          </w:p>
          <w:p w14:paraId="5A85C72B" w14:textId="2A12D7D5" w:rsidR="00460122" w:rsidRPr="00460122" w:rsidRDefault="00460122" w:rsidP="00F839DB">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any injury, disease or aggravation suffered as a result of reasonable administrative action taken in a reasonable manner in respect of the employee’s employment — </w:t>
            </w:r>
            <w:hyperlink r:id="rId922" w:history="1">
              <w:r w:rsidRPr="006D1DE9">
                <w:rPr>
                  <w:rStyle w:val="Hyperlink"/>
                  <w:rFonts w:eastAsia="Calibri" w:cs="Arial"/>
                  <w:sz w:val="14"/>
                  <w:szCs w:val="14"/>
                  <w:lang w:eastAsia="en-US"/>
                </w:rPr>
                <w:t>s5A(1)</w:t>
              </w:r>
            </w:hyperlink>
            <w:r w:rsidRPr="00460122">
              <w:rPr>
                <w:rFonts w:eastAsia="Calibri" w:cs="Arial"/>
                <w:sz w:val="14"/>
                <w:szCs w:val="14"/>
                <w:lang w:eastAsia="en-US"/>
              </w:rPr>
              <w:t xml:space="preserve">, reasonable administrative action defined in </w:t>
            </w:r>
            <w:hyperlink r:id="rId923" w:history="1">
              <w:r w:rsidRPr="006D1DE9">
                <w:rPr>
                  <w:rStyle w:val="Hyperlink"/>
                  <w:rFonts w:eastAsia="Calibri" w:cs="Arial"/>
                  <w:sz w:val="14"/>
                  <w:szCs w:val="14"/>
                  <w:lang w:eastAsia="en-US"/>
                </w:rPr>
                <w:t>s5A(2)</w:t>
              </w:r>
            </w:hyperlink>
          </w:p>
          <w:p w14:paraId="5936AF56" w14:textId="08EAF32B" w:rsidR="00460122" w:rsidRPr="00460122" w:rsidRDefault="00460122" w:rsidP="00F839DB">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 disease, if the employee, for the purposes connected with his/her employment or proposed employment has made a wilful and false representation that he/she did not suffer, or had not previously suffered, from that disease — </w:t>
            </w:r>
            <w:hyperlink r:id="rId924" w:history="1">
              <w:r w:rsidRPr="006D1DE9">
                <w:rPr>
                  <w:rStyle w:val="Hyperlink"/>
                  <w:rFonts w:eastAsia="Calibri" w:cs="Arial"/>
                  <w:sz w:val="14"/>
                  <w:szCs w:val="14"/>
                  <w:lang w:eastAsia="en-US"/>
                </w:rPr>
                <w:t>s7(7)</w:t>
              </w:r>
            </w:hyperlink>
          </w:p>
          <w:p w14:paraId="21F1539B" w14:textId="56189F2C" w:rsidR="00460122" w:rsidRPr="00460122" w:rsidRDefault="00460122" w:rsidP="00F839DB">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an injury that is intentionally self-inflicted — </w:t>
            </w:r>
            <w:hyperlink r:id="rId925" w:history="1">
              <w:r w:rsidRPr="006D1DE9">
                <w:rPr>
                  <w:rStyle w:val="Hyperlink"/>
                  <w:rFonts w:eastAsia="Calibri" w:cs="Arial"/>
                  <w:sz w:val="14"/>
                  <w:szCs w:val="14"/>
                  <w:lang w:eastAsia="en-US"/>
                </w:rPr>
                <w:t>s14(2)</w:t>
              </w:r>
            </w:hyperlink>
          </w:p>
          <w:p w14:paraId="42212139" w14:textId="779EC46E" w:rsidR="00460122" w:rsidRPr="00460122" w:rsidRDefault="00460122" w:rsidP="00F839DB">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an injury that is caused by the serious and wilful misconduct of the worker, but is not intentionally self inflicted, unless the injury results in death, or serious and permanent impairment: — </w:t>
            </w:r>
            <w:hyperlink r:id="rId926" w:history="1">
              <w:r w:rsidRPr="006D1DE9">
                <w:rPr>
                  <w:rStyle w:val="Hyperlink"/>
                  <w:rFonts w:eastAsia="Calibri" w:cs="Arial"/>
                  <w:sz w:val="14"/>
                  <w:szCs w:val="14"/>
                  <w:lang w:eastAsia="en-US"/>
                </w:rPr>
                <w:t>s14(2)</w:t>
              </w:r>
            </w:hyperlink>
            <w:r w:rsidRPr="00460122">
              <w:rPr>
                <w:rFonts w:eastAsia="Calibri" w:cs="Arial"/>
                <w:sz w:val="14"/>
                <w:szCs w:val="14"/>
                <w:lang w:eastAsia="en-US"/>
              </w:rPr>
              <w:t xml:space="preserve"> and </w:t>
            </w:r>
            <w:hyperlink r:id="rId927" w:history="1">
              <w:r w:rsidRPr="006D1DE9">
                <w:rPr>
                  <w:rStyle w:val="Hyperlink"/>
                  <w:rFonts w:eastAsia="Calibri" w:cs="Arial"/>
                  <w:sz w:val="14"/>
                  <w:szCs w:val="14"/>
                  <w:lang w:eastAsia="en-US"/>
                </w:rPr>
                <w:t>s14(3)</w:t>
              </w:r>
            </w:hyperlink>
            <w:r w:rsidRPr="00460122">
              <w:rPr>
                <w:rFonts w:eastAsia="Calibri" w:cs="Arial"/>
                <w:sz w:val="14"/>
                <w:szCs w:val="14"/>
                <w:lang w:eastAsia="en-US"/>
              </w:rPr>
              <w:t>, or</w:t>
            </w:r>
          </w:p>
          <w:p w14:paraId="0C045F3A" w14:textId="351C5DAB" w:rsidR="00460122" w:rsidRPr="00460122" w:rsidRDefault="00460122" w:rsidP="00F839DB">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where the employee sustains an injury because he or she voluntarily and unreasonably submitted to an </w:t>
            </w:r>
            <w:r w:rsidR="00AF04A7">
              <w:rPr>
                <w:rFonts w:eastAsia="Calibri" w:cs="Arial"/>
                <w:sz w:val="14"/>
                <w:szCs w:val="14"/>
                <w:lang w:eastAsia="en-US"/>
              </w:rPr>
              <w:t xml:space="preserve">abnormal risk of injury — </w:t>
            </w:r>
            <w:hyperlink r:id="rId928" w:history="1">
              <w:r w:rsidR="00AF04A7" w:rsidRPr="006D1DE9">
                <w:rPr>
                  <w:rStyle w:val="Hyperlink"/>
                  <w:rFonts w:eastAsia="Calibri" w:cs="Arial"/>
                  <w:sz w:val="14"/>
                  <w:szCs w:val="14"/>
                  <w:lang w:eastAsia="en-US"/>
                </w:rPr>
                <w:t>s6(3)</w:t>
              </w:r>
            </w:hyperlink>
          </w:p>
        </w:tc>
      </w:tr>
      <w:tr w:rsidR="00460122" w:rsidRPr="00460122" w14:paraId="39904170" w14:textId="77777777" w:rsidTr="00FB729B">
        <w:tc>
          <w:tcPr>
            <w:tcW w:w="1626" w:type="dxa"/>
            <w:tcMar>
              <w:top w:w="80" w:type="dxa"/>
              <w:left w:w="80" w:type="dxa"/>
              <w:bottom w:w="80" w:type="dxa"/>
              <w:right w:w="80" w:type="dxa"/>
            </w:tcMar>
          </w:tcPr>
          <w:p w14:paraId="2A36AD30"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C’wealth Seacare</w:t>
            </w:r>
          </w:p>
        </w:tc>
        <w:tc>
          <w:tcPr>
            <w:tcW w:w="13795" w:type="dxa"/>
            <w:tcMar>
              <w:top w:w="80" w:type="dxa"/>
              <w:left w:w="80" w:type="dxa"/>
              <w:bottom w:w="80" w:type="dxa"/>
              <w:right w:w="80" w:type="dxa"/>
            </w:tcMar>
          </w:tcPr>
          <w:p w14:paraId="0E9ECD0D"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 in respect of:</w:t>
            </w:r>
          </w:p>
          <w:p w14:paraId="7D2D318D" w14:textId="0C3585A8" w:rsidR="00460122" w:rsidRPr="00460122" w:rsidRDefault="00460122" w:rsidP="00F839DB">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any period during which the employee is imprisoned — </w:t>
            </w:r>
            <w:hyperlink r:id="rId929" w:history="1">
              <w:r w:rsidRPr="00806295">
                <w:rPr>
                  <w:rStyle w:val="Hyperlink"/>
                  <w:rFonts w:eastAsia="Calibri" w:cs="Arial"/>
                  <w:sz w:val="14"/>
                  <w:szCs w:val="14"/>
                  <w:lang w:eastAsia="en-US"/>
                </w:rPr>
                <w:t>s38(3)</w:t>
              </w:r>
            </w:hyperlink>
            <w:r w:rsidR="005E75D2">
              <w:rPr>
                <w:rFonts w:eastAsia="Calibri" w:cs="Arial"/>
                <w:sz w:val="14"/>
                <w:szCs w:val="14"/>
                <w:lang w:eastAsia="en-US"/>
              </w:rPr>
              <w:t xml:space="preserve">, </w:t>
            </w:r>
            <w:r w:rsidR="005E75D2" w:rsidRPr="00016069">
              <w:rPr>
                <w:i/>
                <w:sz w:val="14"/>
              </w:rPr>
              <w:t>Seafarers Rehabilitation and Compensation Act 1992</w:t>
            </w:r>
          </w:p>
          <w:p w14:paraId="49D2F984" w14:textId="685C3531" w:rsidR="00460122" w:rsidRPr="00460122" w:rsidRDefault="00460122" w:rsidP="00F839DB">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an injury that is intentionally self-inflicted — </w:t>
            </w:r>
            <w:hyperlink r:id="rId930" w:history="1">
              <w:r w:rsidRPr="00806295">
                <w:rPr>
                  <w:rStyle w:val="Hyperlink"/>
                  <w:rFonts w:eastAsia="Calibri" w:cs="Arial"/>
                  <w:sz w:val="14"/>
                  <w:szCs w:val="14"/>
                  <w:lang w:eastAsia="en-US"/>
                </w:rPr>
                <w:t>s26(2)</w:t>
              </w:r>
            </w:hyperlink>
          </w:p>
          <w:p w14:paraId="3DBB0A34" w14:textId="5F2A8C03" w:rsidR="00460122" w:rsidRPr="00460122" w:rsidRDefault="00460122" w:rsidP="00F839DB">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any injury, disease or aggravation suffered as a result of reasonable disciplinary action taken against the employee, or failure to by the employee to obtain a promotion, transfer</w:t>
            </w:r>
            <w:r w:rsidR="006F0E78">
              <w:rPr>
                <w:rFonts w:eastAsia="Calibri" w:cs="Arial"/>
                <w:sz w:val="14"/>
                <w:szCs w:val="14"/>
                <w:lang w:eastAsia="en-US"/>
              </w:rPr>
              <w:t xml:space="preserve"> </w:t>
            </w:r>
            <w:r w:rsidRPr="00460122">
              <w:rPr>
                <w:rFonts w:eastAsia="Calibri" w:cs="Arial"/>
                <w:sz w:val="14"/>
                <w:szCs w:val="14"/>
                <w:lang w:eastAsia="en-US"/>
              </w:rPr>
              <w:t xml:space="preserve">or benefit in connection with his or her employment — </w:t>
            </w:r>
            <w:hyperlink r:id="rId931" w:history="1">
              <w:r w:rsidRPr="00806295">
                <w:rPr>
                  <w:rStyle w:val="Hyperlink"/>
                  <w:rFonts w:eastAsia="Calibri" w:cs="Arial"/>
                  <w:sz w:val="14"/>
                  <w:szCs w:val="14"/>
                  <w:lang w:eastAsia="en-US"/>
                </w:rPr>
                <w:t>s3</w:t>
              </w:r>
            </w:hyperlink>
            <w:r w:rsidRPr="00460122">
              <w:rPr>
                <w:rFonts w:eastAsia="Calibri" w:cs="Arial"/>
                <w:sz w:val="14"/>
                <w:szCs w:val="14"/>
                <w:lang w:eastAsia="en-US"/>
              </w:rPr>
              <w:t xml:space="preserve"> definition of </w:t>
            </w:r>
            <w:r w:rsidR="00806295">
              <w:rPr>
                <w:rFonts w:eastAsia="Calibri" w:cs="Arial"/>
                <w:sz w:val="14"/>
                <w:szCs w:val="14"/>
                <w:lang w:eastAsia="en-US"/>
              </w:rPr>
              <w:t>i</w:t>
            </w:r>
            <w:r w:rsidRPr="00460122">
              <w:rPr>
                <w:rFonts w:eastAsia="Calibri" w:cs="Arial"/>
                <w:sz w:val="14"/>
                <w:szCs w:val="14"/>
                <w:lang w:eastAsia="en-US"/>
              </w:rPr>
              <w:t>njury</w:t>
            </w:r>
          </w:p>
          <w:p w14:paraId="4B835125" w14:textId="6FBBAF3E" w:rsidR="00460122" w:rsidRPr="00460122" w:rsidRDefault="00460122" w:rsidP="00F839DB">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an injury caused by the serious and wilful misconduct of the worker, unless the injury results in death, or serious and permanent impairment — </w:t>
            </w:r>
            <w:hyperlink r:id="rId932" w:history="1">
              <w:r w:rsidRPr="00806295">
                <w:rPr>
                  <w:rStyle w:val="Hyperlink"/>
                  <w:rFonts w:eastAsia="Calibri" w:cs="Arial"/>
                  <w:sz w:val="14"/>
                  <w:szCs w:val="14"/>
                  <w:lang w:eastAsia="en-US"/>
                </w:rPr>
                <w:t>s12</w:t>
              </w:r>
            </w:hyperlink>
            <w:r w:rsidRPr="00460122">
              <w:rPr>
                <w:rFonts w:eastAsia="Calibri" w:cs="Arial"/>
                <w:sz w:val="14"/>
                <w:szCs w:val="14"/>
                <w:lang w:eastAsia="en-US"/>
              </w:rPr>
              <w:t xml:space="preserve"> and </w:t>
            </w:r>
            <w:hyperlink r:id="rId933" w:history="1">
              <w:r w:rsidRPr="00806295">
                <w:rPr>
                  <w:rStyle w:val="Hyperlink"/>
                  <w:rFonts w:eastAsia="Calibri" w:cs="Arial"/>
                  <w:sz w:val="14"/>
                  <w:szCs w:val="14"/>
                  <w:lang w:eastAsia="en-US"/>
                </w:rPr>
                <w:t>s26(3)</w:t>
              </w:r>
            </w:hyperlink>
          </w:p>
          <w:p w14:paraId="07CCD3A2" w14:textId="16407664" w:rsidR="00460122" w:rsidRPr="00460122" w:rsidRDefault="00460122" w:rsidP="00F839DB">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where an employee made a wilful and false representation that he/she suffered from a disease or an aggravation of a disease — </w:t>
            </w:r>
            <w:hyperlink r:id="rId934" w:history="1">
              <w:r w:rsidRPr="00806295">
                <w:rPr>
                  <w:rStyle w:val="Hyperlink"/>
                  <w:rFonts w:eastAsia="Calibri" w:cs="Arial"/>
                  <w:sz w:val="14"/>
                  <w:szCs w:val="14"/>
                  <w:lang w:eastAsia="en-US"/>
                </w:rPr>
                <w:t>s10(7)</w:t>
              </w:r>
            </w:hyperlink>
            <w:r w:rsidRPr="00460122">
              <w:rPr>
                <w:rFonts w:eastAsia="Calibri" w:cs="Arial"/>
                <w:sz w:val="14"/>
                <w:szCs w:val="14"/>
                <w:lang w:eastAsia="en-US"/>
              </w:rPr>
              <w:t>, or</w:t>
            </w:r>
          </w:p>
          <w:p w14:paraId="57DFA380" w14:textId="123E49B2" w:rsidR="00460122" w:rsidRPr="00460122" w:rsidRDefault="00460122" w:rsidP="00F839DB">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where the employee sustains an injury because he or she voluntarily and unreasonably submitted to an abnormal risk of injury — </w:t>
            </w:r>
            <w:hyperlink r:id="rId935" w:history="1">
              <w:r w:rsidRPr="00806295">
                <w:rPr>
                  <w:rStyle w:val="Hyperlink"/>
                  <w:rFonts w:eastAsia="Calibri" w:cs="Arial"/>
                  <w:sz w:val="14"/>
                  <w:szCs w:val="14"/>
                  <w:lang w:eastAsia="en-US"/>
                </w:rPr>
                <w:t>s9(4)</w:t>
              </w:r>
            </w:hyperlink>
          </w:p>
        </w:tc>
      </w:tr>
      <w:tr w:rsidR="00460122" w:rsidRPr="00460122" w14:paraId="58026762" w14:textId="77777777" w:rsidTr="00FB729B">
        <w:tc>
          <w:tcPr>
            <w:tcW w:w="1626" w:type="dxa"/>
            <w:shd w:val="clear" w:color="auto" w:fill="FFC9C9"/>
            <w:tcMar>
              <w:top w:w="80" w:type="dxa"/>
              <w:left w:w="80" w:type="dxa"/>
              <w:bottom w:w="80" w:type="dxa"/>
              <w:right w:w="80" w:type="dxa"/>
            </w:tcMar>
          </w:tcPr>
          <w:p w14:paraId="6E2B3AA7"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C’wealth DVA</w:t>
            </w:r>
          </w:p>
        </w:tc>
        <w:tc>
          <w:tcPr>
            <w:tcW w:w="13795" w:type="dxa"/>
            <w:shd w:val="clear" w:color="auto" w:fill="FFC9C9"/>
            <w:tcMar>
              <w:top w:w="80" w:type="dxa"/>
              <w:left w:w="80" w:type="dxa"/>
              <w:bottom w:w="80" w:type="dxa"/>
              <w:right w:w="80" w:type="dxa"/>
            </w:tcMar>
          </w:tcPr>
          <w:p w14:paraId="0B761820" w14:textId="08FDDFC9" w:rsidR="00460122" w:rsidRPr="00460122" w:rsidRDefault="005E75D2" w:rsidP="009146AE">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D840CF">
              <w:rPr>
                <w:rFonts w:cs="Arial"/>
                <w:color w:val="000000"/>
                <w:sz w:val="14"/>
                <w:szCs w:val="16"/>
                <w:lang w:val="en-GB"/>
              </w:rPr>
              <w:t>MRCA</w:t>
            </w:r>
            <w:r>
              <w:rPr>
                <w:rFonts w:cs="Arial"/>
                <w:color w:val="000000"/>
                <w:sz w:val="14"/>
                <w:szCs w:val="16"/>
                <w:lang w:val="en-GB"/>
              </w:rPr>
              <w:t>)</w:t>
            </w:r>
            <w:r w:rsidR="00D840CF">
              <w:rPr>
                <w:rFonts w:cs="Arial"/>
                <w:color w:val="000000"/>
                <w:sz w:val="14"/>
                <w:szCs w:val="16"/>
                <w:lang w:val="en-GB"/>
              </w:rPr>
              <w:t xml:space="preserve"> — </w:t>
            </w:r>
            <w:r w:rsidR="00460122" w:rsidRPr="00460122">
              <w:rPr>
                <w:rFonts w:cs="Arial"/>
                <w:color w:val="000000"/>
                <w:sz w:val="14"/>
                <w:szCs w:val="16"/>
                <w:lang w:val="en-GB"/>
              </w:rPr>
              <w:t>Compensation is not payable in respect of:</w:t>
            </w:r>
          </w:p>
          <w:p w14:paraId="4C88360D" w14:textId="463F276E" w:rsidR="00460122" w:rsidRPr="00460122" w:rsidRDefault="00460122" w:rsidP="00F839DB">
            <w:pPr>
              <w:pStyle w:val="ListParagraph"/>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an injury or disease that results from the person’s serious default or wilful act except if the injury or disease results in a serious and permanent impairment — MRCA </w:t>
            </w:r>
            <w:hyperlink r:id="rId936" w:history="1">
              <w:r w:rsidRPr="004448E3">
                <w:rPr>
                  <w:rStyle w:val="Hyperlink"/>
                  <w:rFonts w:eastAsia="Calibri" w:cs="Arial"/>
                  <w:sz w:val="14"/>
                  <w:szCs w:val="14"/>
                  <w:lang w:eastAsia="en-US"/>
                </w:rPr>
                <w:t>s32</w:t>
              </w:r>
            </w:hyperlink>
          </w:p>
          <w:p w14:paraId="208E73EE" w14:textId="44B33D79" w:rsidR="00460122" w:rsidRPr="00460122" w:rsidRDefault="00460122" w:rsidP="00F839DB">
            <w:pPr>
              <w:pStyle w:val="ListParagraph"/>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an injury or disease that results from reasonable and appropriate counselling or failure to obtain a promotion, transfer or benefit in relation to a person’s service as a member — MRCA </w:t>
            </w:r>
            <w:hyperlink r:id="rId937" w:history="1">
              <w:r w:rsidRPr="004448E3">
                <w:rPr>
                  <w:rStyle w:val="Hyperlink"/>
                  <w:rFonts w:eastAsia="Calibri" w:cs="Arial"/>
                  <w:sz w:val="14"/>
                  <w:szCs w:val="14"/>
                  <w:lang w:eastAsia="en-US"/>
                </w:rPr>
                <w:t>s33</w:t>
              </w:r>
            </w:hyperlink>
          </w:p>
          <w:p w14:paraId="140237D2" w14:textId="5DB0D3EC" w:rsidR="00460122" w:rsidRPr="00460122" w:rsidRDefault="00460122" w:rsidP="00F839DB">
            <w:pPr>
              <w:pStyle w:val="ListParagraph"/>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a wilful and false representation in connection with service or proposed service that not suffering the injury or disease — MRCA </w:t>
            </w:r>
            <w:hyperlink r:id="rId938" w:history="1">
              <w:r w:rsidRPr="004448E3">
                <w:rPr>
                  <w:rStyle w:val="Hyperlink"/>
                  <w:rFonts w:eastAsia="Calibri" w:cs="Arial"/>
                  <w:sz w:val="14"/>
                  <w:szCs w:val="14"/>
                  <w:lang w:eastAsia="en-US"/>
                </w:rPr>
                <w:t>s34</w:t>
              </w:r>
            </w:hyperlink>
          </w:p>
          <w:p w14:paraId="34243C45" w14:textId="1B69BF64" w:rsidR="00460122" w:rsidRPr="00460122" w:rsidRDefault="00460122" w:rsidP="00F839DB">
            <w:pPr>
              <w:pStyle w:val="ListParagraph"/>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an injury, disease, or death that results from a substantial delay commencing journey, routes that are not reasonably direct, and substantial interruptions to journeys — MRCA </w:t>
            </w:r>
            <w:hyperlink r:id="rId939" w:history="1">
              <w:r w:rsidRPr="004448E3">
                <w:rPr>
                  <w:rStyle w:val="Hyperlink"/>
                  <w:rFonts w:eastAsia="Calibri" w:cs="Arial"/>
                  <w:sz w:val="14"/>
                  <w:szCs w:val="14"/>
                  <w:lang w:eastAsia="en-US"/>
                </w:rPr>
                <w:t>s35</w:t>
              </w:r>
            </w:hyperlink>
            <w:r w:rsidRPr="00460122">
              <w:rPr>
                <w:rFonts w:eastAsia="Calibri" w:cs="Arial"/>
                <w:sz w:val="14"/>
                <w:szCs w:val="14"/>
                <w:lang w:eastAsia="en-US"/>
              </w:rPr>
              <w:t>, or</w:t>
            </w:r>
          </w:p>
          <w:p w14:paraId="176148E5" w14:textId="5B0B4FED" w:rsidR="00460122" w:rsidRDefault="00460122" w:rsidP="00F839DB">
            <w:pPr>
              <w:pStyle w:val="ListParagraph"/>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injury, disease, or death that results from the use of tobacco products — MRCA </w:t>
            </w:r>
            <w:hyperlink r:id="rId940" w:history="1">
              <w:r w:rsidRPr="004448E3">
                <w:rPr>
                  <w:rStyle w:val="Hyperlink"/>
                  <w:rFonts w:eastAsia="Calibri" w:cs="Arial"/>
                  <w:sz w:val="14"/>
                  <w:szCs w:val="14"/>
                  <w:lang w:eastAsia="en-US"/>
                </w:rPr>
                <w:t>s36</w:t>
              </w:r>
            </w:hyperlink>
          </w:p>
          <w:p w14:paraId="4BFEFCAC" w14:textId="77777777" w:rsidR="00D840CF" w:rsidRDefault="00D840CF" w:rsidP="00D840CF">
            <w:pPr>
              <w:spacing w:after="60"/>
              <w:contextualSpacing/>
              <w:rPr>
                <w:rFonts w:eastAsia="Calibri" w:cs="Arial"/>
                <w:sz w:val="14"/>
                <w:szCs w:val="14"/>
                <w:lang w:eastAsia="en-US"/>
              </w:rPr>
            </w:pPr>
          </w:p>
          <w:p w14:paraId="4A7B8748" w14:textId="3C754255" w:rsidR="00D840CF" w:rsidRDefault="005E75D2" w:rsidP="00D840CF">
            <w:pPr>
              <w:spacing w:after="60"/>
              <w:contextualSpacing/>
              <w:rPr>
                <w:rFonts w:eastAsia="Calibri" w:cs="Arial"/>
                <w:sz w:val="14"/>
                <w:szCs w:val="14"/>
                <w:lang w:eastAsia="en-US"/>
              </w:rPr>
            </w:pPr>
            <w:r w:rsidRPr="00016069">
              <w:rPr>
                <w:i/>
                <w:sz w:val="14"/>
              </w:rPr>
              <w:t>Safety, Rehabilitation and Compensation (Defence-related Claims) Act 1988</w:t>
            </w:r>
            <w:r>
              <w:rPr>
                <w:rFonts w:eastAsia="Calibri" w:cs="Arial"/>
                <w:sz w:val="14"/>
                <w:szCs w:val="14"/>
                <w:lang w:eastAsia="en-US"/>
              </w:rPr>
              <w:t xml:space="preserve"> (</w:t>
            </w:r>
            <w:r w:rsidR="00D840CF">
              <w:rPr>
                <w:rFonts w:eastAsia="Calibri" w:cs="Arial"/>
                <w:sz w:val="14"/>
                <w:szCs w:val="14"/>
                <w:lang w:eastAsia="en-US"/>
              </w:rPr>
              <w:t>DRCA</w:t>
            </w:r>
            <w:r>
              <w:rPr>
                <w:rFonts w:eastAsia="Calibri" w:cs="Arial"/>
                <w:sz w:val="14"/>
                <w:szCs w:val="14"/>
                <w:lang w:eastAsia="en-US"/>
              </w:rPr>
              <w:t>)</w:t>
            </w:r>
            <w:r w:rsidR="00D840CF">
              <w:rPr>
                <w:rFonts w:eastAsia="Calibri" w:cs="Arial"/>
                <w:sz w:val="14"/>
                <w:szCs w:val="14"/>
                <w:lang w:eastAsia="en-US"/>
              </w:rPr>
              <w:t xml:space="preserve"> — Compensation is not payable in respect of:</w:t>
            </w:r>
          </w:p>
          <w:p w14:paraId="23874D21" w14:textId="0034F4BC" w:rsidR="00D840CF" w:rsidRPr="00D840CF" w:rsidRDefault="00D840CF" w:rsidP="00F839DB">
            <w:pPr>
              <w:pStyle w:val="ListParagraph"/>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any period during which the worker is imprisoned — </w:t>
            </w:r>
            <w:hyperlink r:id="rId941" w:history="1">
              <w:r w:rsidRPr="004448E3">
                <w:rPr>
                  <w:rStyle w:val="Hyperlink"/>
                  <w:rFonts w:eastAsia="Calibri" w:cs="Arial"/>
                  <w:sz w:val="14"/>
                  <w:szCs w:val="14"/>
                  <w:lang w:eastAsia="en-US"/>
                </w:rPr>
                <w:t>s23(2)</w:t>
              </w:r>
            </w:hyperlink>
          </w:p>
          <w:p w14:paraId="574B6153" w14:textId="76B1A4BC" w:rsidR="00D840CF" w:rsidRPr="00D840CF" w:rsidRDefault="00D840CF" w:rsidP="00F839DB">
            <w:pPr>
              <w:pStyle w:val="ListParagraph"/>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any injury, disease or aggravation suffered as a result of reasonable administrative action taken in a reasonable manner in respect of the employee’s employment — </w:t>
            </w:r>
            <w:hyperlink r:id="rId942" w:history="1">
              <w:r w:rsidRPr="004448E3">
                <w:rPr>
                  <w:rStyle w:val="Hyperlink"/>
                  <w:rFonts w:eastAsia="Calibri" w:cs="Arial"/>
                  <w:sz w:val="14"/>
                  <w:szCs w:val="14"/>
                  <w:lang w:eastAsia="en-US"/>
                </w:rPr>
                <w:t>s5A(1)</w:t>
              </w:r>
            </w:hyperlink>
            <w:r w:rsidRPr="00D840CF">
              <w:rPr>
                <w:rFonts w:eastAsia="Calibri" w:cs="Arial"/>
                <w:sz w:val="14"/>
                <w:szCs w:val="14"/>
                <w:lang w:eastAsia="en-US"/>
              </w:rPr>
              <w:t xml:space="preserve">, reasonable administrative action defined in </w:t>
            </w:r>
            <w:hyperlink r:id="rId943" w:history="1">
              <w:r w:rsidRPr="004448E3">
                <w:rPr>
                  <w:rStyle w:val="Hyperlink"/>
                  <w:rFonts w:eastAsia="Calibri" w:cs="Arial"/>
                  <w:sz w:val="14"/>
                  <w:szCs w:val="14"/>
                  <w:lang w:eastAsia="en-US"/>
                </w:rPr>
                <w:t>s5A(2)</w:t>
              </w:r>
            </w:hyperlink>
          </w:p>
          <w:p w14:paraId="0298A025" w14:textId="0CDA288E" w:rsidR="00D840CF" w:rsidRPr="00D840CF" w:rsidRDefault="00D840CF" w:rsidP="00F839DB">
            <w:pPr>
              <w:pStyle w:val="ListParagraph"/>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 disease, if the employee, for the purposes connected with his/her employment or proposed employment has made a wilful and false representation that he/she did not suffer, or had not previously suffered, from that disease — </w:t>
            </w:r>
            <w:hyperlink r:id="rId944" w:history="1">
              <w:r w:rsidRPr="004448E3">
                <w:rPr>
                  <w:rStyle w:val="Hyperlink"/>
                  <w:rFonts w:eastAsia="Calibri" w:cs="Arial"/>
                  <w:sz w:val="14"/>
                  <w:szCs w:val="14"/>
                  <w:lang w:eastAsia="en-US"/>
                </w:rPr>
                <w:t>s7(7)</w:t>
              </w:r>
            </w:hyperlink>
          </w:p>
          <w:p w14:paraId="344465D0" w14:textId="40EBE108" w:rsidR="00D840CF" w:rsidRPr="00D840CF" w:rsidRDefault="00D840CF" w:rsidP="00F839DB">
            <w:pPr>
              <w:pStyle w:val="ListParagraph"/>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an injury that is intentionally self-inflicted — </w:t>
            </w:r>
            <w:hyperlink r:id="rId945" w:history="1">
              <w:r w:rsidRPr="004448E3">
                <w:rPr>
                  <w:rStyle w:val="Hyperlink"/>
                  <w:rFonts w:eastAsia="Calibri" w:cs="Arial"/>
                  <w:sz w:val="14"/>
                  <w:szCs w:val="14"/>
                  <w:lang w:eastAsia="en-US"/>
                </w:rPr>
                <w:t>s14(2)</w:t>
              </w:r>
            </w:hyperlink>
          </w:p>
          <w:p w14:paraId="3F02A326" w14:textId="69175DF7" w:rsidR="00D840CF" w:rsidRPr="00D840CF" w:rsidRDefault="00D840CF" w:rsidP="00F839DB">
            <w:pPr>
              <w:pStyle w:val="ListParagraph"/>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an injury that is caused by the serious and wilful misconduct of the worker, but is not intentionally self inflicted, unless the injury results in death, or serious and permanent impairment: — </w:t>
            </w:r>
            <w:hyperlink r:id="rId946" w:history="1">
              <w:r w:rsidRPr="004448E3">
                <w:rPr>
                  <w:rStyle w:val="Hyperlink"/>
                  <w:rFonts w:eastAsia="Calibri" w:cs="Arial"/>
                  <w:sz w:val="14"/>
                  <w:szCs w:val="14"/>
                  <w:lang w:eastAsia="en-US"/>
                </w:rPr>
                <w:t>s14(2)</w:t>
              </w:r>
            </w:hyperlink>
            <w:r w:rsidRPr="00D840CF">
              <w:rPr>
                <w:rFonts w:eastAsia="Calibri" w:cs="Arial"/>
                <w:sz w:val="14"/>
                <w:szCs w:val="14"/>
                <w:lang w:eastAsia="en-US"/>
              </w:rPr>
              <w:t xml:space="preserve"> and </w:t>
            </w:r>
            <w:hyperlink r:id="rId947" w:history="1">
              <w:r w:rsidRPr="004448E3">
                <w:rPr>
                  <w:rStyle w:val="Hyperlink"/>
                  <w:rFonts w:eastAsia="Calibri" w:cs="Arial"/>
                  <w:sz w:val="14"/>
                  <w:szCs w:val="14"/>
                  <w:lang w:eastAsia="en-US"/>
                </w:rPr>
                <w:t>s14(3)</w:t>
              </w:r>
            </w:hyperlink>
            <w:r w:rsidRPr="00D840CF">
              <w:rPr>
                <w:rFonts w:eastAsia="Calibri" w:cs="Arial"/>
                <w:sz w:val="14"/>
                <w:szCs w:val="14"/>
                <w:lang w:eastAsia="en-US"/>
              </w:rPr>
              <w:t xml:space="preserve"> (note that an amendment is before Parliament to provide that no injury caused by serious and wilful misconduct of the worker will be compensable), or</w:t>
            </w:r>
          </w:p>
          <w:p w14:paraId="6D28F9C2" w14:textId="411E349A" w:rsidR="00D840CF" w:rsidRPr="00D840CF" w:rsidRDefault="00D840CF" w:rsidP="00F839DB">
            <w:pPr>
              <w:pStyle w:val="ListParagraph"/>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where the employee sustains an injury because he or she voluntarily and unreasonably submitted to an abnormal risk of injury — </w:t>
            </w:r>
            <w:hyperlink r:id="rId948" w:history="1">
              <w:r w:rsidRPr="004448E3">
                <w:rPr>
                  <w:rStyle w:val="Hyperlink"/>
                  <w:rFonts w:eastAsia="Calibri" w:cs="Arial"/>
                  <w:sz w:val="14"/>
                  <w:szCs w:val="14"/>
                  <w:lang w:eastAsia="en-US"/>
                </w:rPr>
                <w:t>s6(3)</w:t>
              </w:r>
            </w:hyperlink>
          </w:p>
        </w:tc>
      </w:tr>
      <w:tr w:rsidR="00460122" w:rsidRPr="00460122" w14:paraId="00AD6092" w14:textId="77777777" w:rsidTr="00FB729B">
        <w:tc>
          <w:tcPr>
            <w:tcW w:w="1626" w:type="dxa"/>
            <w:tcMar>
              <w:top w:w="80" w:type="dxa"/>
              <w:left w:w="80" w:type="dxa"/>
              <w:bottom w:w="80" w:type="dxa"/>
              <w:right w:w="80" w:type="dxa"/>
            </w:tcMar>
          </w:tcPr>
          <w:p w14:paraId="6F45079F" w14:textId="01E1832D"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New Zealand</w:t>
            </w:r>
          </w:p>
        </w:tc>
        <w:tc>
          <w:tcPr>
            <w:tcW w:w="13795" w:type="dxa"/>
            <w:tcMar>
              <w:top w:w="80" w:type="dxa"/>
              <w:left w:w="80" w:type="dxa"/>
              <w:bottom w:w="80" w:type="dxa"/>
              <w:right w:w="80" w:type="dxa"/>
            </w:tcMar>
          </w:tcPr>
          <w:p w14:paraId="4642439D" w14:textId="505A0F2E"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Personal injury does not</w:t>
            </w:r>
            <w:r w:rsidR="00DD0D68">
              <w:rPr>
                <w:rFonts w:cs="Arial"/>
                <w:color w:val="000000"/>
                <w:sz w:val="14"/>
                <w:szCs w:val="16"/>
                <w:lang w:val="en-GB"/>
              </w:rPr>
              <w:t xml:space="preserve"> </w:t>
            </w:r>
            <w:r w:rsidRPr="00460122">
              <w:rPr>
                <w:rFonts w:cs="Arial"/>
                <w:color w:val="000000"/>
                <w:sz w:val="14"/>
                <w:szCs w:val="16"/>
                <w:lang w:val="en-GB"/>
              </w:rPr>
              <w:t>include:</w:t>
            </w:r>
          </w:p>
          <w:p w14:paraId="7728CAC1" w14:textId="6D8A327F" w:rsidR="00460122" w:rsidRPr="00460122" w:rsidRDefault="00460122" w:rsidP="00F839DB">
            <w:pPr>
              <w:pStyle w:val="ListParagraph"/>
              <w:numPr>
                <w:ilvl w:val="0"/>
                <w:numId w:val="121"/>
              </w:numPr>
              <w:spacing w:after="60"/>
              <w:contextualSpacing/>
              <w:rPr>
                <w:rFonts w:eastAsia="Calibri" w:cs="Arial"/>
                <w:sz w:val="14"/>
                <w:szCs w:val="14"/>
                <w:lang w:eastAsia="en-US"/>
              </w:rPr>
            </w:pPr>
            <w:r w:rsidRPr="00460122">
              <w:rPr>
                <w:rFonts w:eastAsia="Calibri" w:cs="Arial"/>
                <w:sz w:val="14"/>
                <w:szCs w:val="14"/>
                <w:lang w:eastAsia="en-US"/>
              </w:rPr>
              <w:t>a cardio-vascular or cerebro-vascular episode</w:t>
            </w:r>
            <w:r w:rsidR="00DD0D68">
              <w:rPr>
                <w:rFonts w:eastAsia="Calibri" w:cs="Arial"/>
                <w:sz w:val="14"/>
                <w:szCs w:val="14"/>
                <w:lang w:eastAsia="en-US"/>
              </w:rPr>
              <w:t xml:space="preserve"> </w:t>
            </w:r>
            <w:r w:rsidRPr="00460122">
              <w:rPr>
                <w:rFonts w:eastAsia="Calibri" w:cs="Arial"/>
                <w:sz w:val="14"/>
                <w:szCs w:val="14"/>
                <w:lang w:eastAsia="en-US"/>
              </w:rPr>
              <w:t xml:space="preserve">unless </w:t>
            </w:r>
            <w:hyperlink r:id="rId949" w:history="1">
              <w:r w:rsidRPr="004A5205">
                <w:rPr>
                  <w:rStyle w:val="Hyperlink"/>
                  <w:rFonts w:eastAsia="Calibri" w:cs="Arial"/>
                  <w:sz w:val="14"/>
                  <w:szCs w:val="14"/>
                  <w:lang w:eastAsia="en-US"/>
                </w:rPr>
                <w:t>20(2)</w:t>
              </w:r>
            </w:hyperlink>
            <w:r w:rsidRPr="00460122">
              <w:rPr>
                <w:rFonts w:eastAsia="Calibri" w:cs="Arial"/>
                <w:sz w:val="14"/>
                <w:szCs w:val="14"/>
                <w:lang w:eastAsia="en-US"/>
              </w:rPr>
              <w:t>(i) or (j) applies</w:t>
            </w:r>
          </w:p>
          <w:p w14:paraId="72F73D74" w14:textId="7CF95CC5" w:rsidR="00460122" w:rsidRPr="00460122" w:rsidRDefault="00460122" w:rsidP="00F839DB">
            <w:pPr>
              <w:pStyle w:val="ListParagraph"/>
              <w:numPr>
                <w:ilvl w:val="0"/>
                <w:numId w:val="121"/>
              </w:numPr>
              <w:spacing w:after="60"/>
              <w:contextualSpacing/>
              <w:rPr>
                <w:rFonts w:eastAsia="Calibri" w:cs="Arial"/>
                <w:sz w:val="14"/>
                <w:szCs w:val="14"/>
                <w:lang w:eastAsia="en-US"/>
              </w:rPr>
            </w:pPr>
            <w:r w:rsidRPr="00460122">
              <w:rPr>
                <w:rFonts w:eastAsia="Calibri" w:cs="Arial"/>
                <w:sz w:val="14"/>
                <w:szCs w:val="14"/>
                <w:lang w:eastAsia="en-US"/>
              </w:rPr>
              <w:t>personal injury caused wholly or sub</w:t>
            </w:r>
            <w:r w:rsidR="00AF04A7">
              <w:rPr>
                <w:rFonts w:eastAsia="Calibri" w:cs="Arial"/>
                <w:sz w:val="14"/>
                <w:szCs w:val="14"/>
                <w:lang w:eastAsia="en-US"/>
              </w:rPr>
              <w:t>stantially by the aging process,</w:t>
            </w:r>
            <w:r w:rsidRPr="00460122">
              <w:rPr>
                <w:rFonts w:eastAsia="Calibri" w:cs="Arial"/>
                <w:sz w:val="14"/>
                <w:szCs w:val="14"/>
                <w:lang w:eastAsia="en-US"/>
              </w:rPr>
              <w:t xml:space="preserve"> or</w:t>
            </w:r>
          </w:p>
          <w:p w14:paraId="11FD8859" w14:textId="1E2831E3" w:rsidR="00460122" w:rsidRPr="00460122" w:rsidRDefault="00460122" w:rsidP="00F839DB">
            <w:pPr>
              <w:pStyle w:val="ListParagraph"/>
              <w:numPr>
                <w:ilvl w:val="0"/>
                <w:numId w:val="121"/>
              </w:numPr>
              <w:spacing w:after="60"/>
              <w:contextualSpacing/>
              <w:rPr>
                <w:rFonts w:eastAsia="Calibri" w:cs="Arial"/>
                <w:sz w:val="14"/>
                <w:szCs w:val="14"/>
                <w:lang w:eastAsia="en-US"/>
              </w:rPr>
            </w:pPr>
            <w:r w:rsidRPr="00460122">
              <w:rPr>
                <w:rFonts w:eastAsia="Calibri" w:cs="Arial"/>
                <w:sz w:val="14"/>
                <w:szCs w:val="14"/>
                <w:lang w:eastAsia="en-US"/>
              </w:rPr>
              <w:lastRenderedPageBreak/>
              <w:t xml:space="preserve">personal injury to teeth or dentures caused by the natural use of those teeth or dentures </w:t>
            </w:r>
            <w:hyperlink r:id="rId950" w:history="1">
              <w:r w:rsidRPr="004A5205">
                <w:rPr>
                  <w:rStyle w:val="Hyperlink"/>
                  <w:rFonts w:eastAsia="Calibri" w:cs="Arial"/>
                  <w:sz w:val="14"/>
                  <w:szCs w:val="14"/>
                  <w:lang w:eastAsia="en-US"/>
                </w:rPr>
                <w:t>s26(4)</w:t>
              </w:r>
            </w:hyperlink>
          </w:p>
          <w:p w14:paraId="466485E3"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w:t>
            </w:r>
          </w:p>
          <w:p w14:paraId="19714137" w14:textId="37C245BE" w:rsidR="00460122" w:rsidRPr="00460122" w:rsidRDefault="00460122" w:rsidP="00F839DB">
            <w:pPr>
              <w:pStyle w:val="ListParagraph"/>
              <w:numPr>
                <w:ilvl w:val="0"/>
                <w:numId w:val="122"/>
              </w:numPr>
              <w:spacing w:after="60"/>
              <w:contextualSpacing/>
              <w:rPr>
                <w:rFonts w:eastAsia="Calibri" w:cs="Arial"/>
                <w:sz w:val="14"/>
                <w:szCs w:val="14"/>
                <w:lang w:eastAsia="en-US"/>
              </w:rPr>
            </w:pPr>
            <w:r w:rsidRPr="00460122">
              <w:rPr>
                <w:rFonts w:eastAsia="Calibri" w:cs="Arial"/>
                <w:sz w:val="14"/>
                <w:szCs w:val="14"/>
                <w:lang w:eastAsia="en-US"/>
              </w:rPr>
              <w:t xml:space="preserve">where the injury or death is due to suicide or wilfully self-inflicted injury — </w:t>
            </w:r>
            <w:hyperlink r:id="rId951" w:history="1">
              <w:r w:rsidRPr="004A5205">
                <w:rPr>
                  <w:rStyle w:val="Hyperlink"/>
                  <w:rFonts w:eastAsia="Calibri" w:cs="Arial"/>
                  <w:sz w:val="14"/>
                  <w:szCs w:val="14"/>
                  <w:lang w:eastAsia="en-US"/>
                </w:rPr>
                <w:t>s119</w:t>
              </w:r>
            </w:hyperlink>
          </w:p>
          <w:p w14:paraId="28DF961A" w14:textId="1F94F5C5" w:rsidR="00460122" w:rsidRPr="00460122" w:rsidRDefault="00460122" w:rsidP="00F839DB">
            <w:pPr>
              <w:pStyle w:val="ListParagraph"/>
              <w:numPr>
                <w:ilvl w:val="0"/>
                <w:numId w:val="122"/>
              </w:numPr>
              <w:spacing w:after="60"/>
              <w:contextualSpacing/>
              <w:rPr>
                <w:rFonts w:eastAsia="Calibri" w:cs="Arial"/>
                <w:sz w:val="14"/>
                <w:szCs w:val="14"/>
                <w:lang w:eastAsia="en-US"/>
              </w:rPr>
            </w:pPr>
            <w:r w:rsidRPr="00460122">
              <w:rPr>
                <w:rFonts w:eastAsia="Calibri" w:cs="Arial"/>
                <w:sz w:val="14"/>
                <w:szCs w:val="14"/>
                <w:lang w:eastAsia="en-US"/>
              </w:rPr>
              <w:t xml:space="preserve">where the claimant became entitled to it because of the death of another person and they have been convicted in New Zealand or another country of the murder of the person — </w:t>
            </w:r>
            <w:hyperlink r:id="rId952" w:history="1">
              <w:r w:rsidRPr="004A5205">
                <w:rPr>
                  <w:rStyle w:val="Hyperlink"/>
                  <w:rFonts w:eastAsia="Calibri" w:cs="Arial"/>
                  <w:sz w:val="14"/>
                  <w:szCs w:val="14"/>
                  <w:lang w:eastAsia="en-US"/>
                </w:rPr>
                <w:t>s120</w:t>
              </w:r>
            </w:hyperlink>
          </w:p>
          <w:p w14:paraId="248E22FD" w14:textId="74930B76" w:rsidR="00460122" w:rsidRPr="00460122" w:rsidRDefault="00460122" w:rsidP="00F839DB">
            <w:pPr>
              <w:pStyle w:val="ListParagraph"/>
              <w:numPr>
                <w:ilvl w:val="0"/>
                <w:numId w:val="122"/>
              </w:numPr>
              <w:spacing w:after="60"/>
              <w:contextualSpacing/>
              <w:rPr>
                <w:rFonts w:eastAsia="Calibri" w:cs="Arial"/>
                <w:sz w:val="14"/>
                <w:szCs w:val="14"/>
                <w:lang w:eastAsia="en-US"/>
              </w:rPr>
            </w:pPr>
            <w:r w:rsidRPr="00460122">
              <w:rPr>
                <w:rFonts w:eastAsia="Calibri" w:cs="Arial"/>
                <w:sz w:val="14"/>
                <w:szCs w:val="14"/>
                <w:lang w:eastAsia="en-US"/>
              </w:rPr>
              <w:t xml:space="preserve">where the claimant is in prison — </w:t>
            </w:r>
            <w:hyperlink r:id="rId953" w:history="1">
              <w:r w:rsidRPr="004A5205">
                <w:rPr>
                  <w:rStyle w:val="Hyperlink"/>
                  <w:rFonts w:eastAsia="Calibri" w:cs="Arial"/>
                  <w:sz w:val="14"/>
                  <w:szCs w:val="14"/>
                  <w:lang w:eastAsia="en-US"/>
                </w:rPr>
                <w:t>s121</w:t>
              </w:r>
            </w:hyperlink>
            <w:r w:rsidRPr="00460122">
              <w:rPr>
                <w:rFonts w:eastAsia="Calibri" w:cs="Arial"/>
                <w:sz w:val="14"/>
                <w:szCs w:val="14"/>
                <w:lang w:eastAsia="en-US"/>
              </w:rPr>
              <w:t>, or</w:t>
            </w:r>
          </w:p>
          <w:p w14:paraId="7BE0F895" w14:textId="7ACED7A9" w:rsidR="00460122" w:rsidRPr="00460122" w:rsidRDefault="00460122" w:rsidP="00F839DB">
            <w:pPr>
              <w:pStyle w:val="ListParagraph"/>
              <w:numPr>
                <w:ilvl w:val="0"/>
                <w:numId w:val="122"/>
              </w:numPr>
              <w:spacing w:after="60"/>
              <w:contextualSpacing/>
              <w:rPr>
                <w:rFonts w:eastAsia="Calibri" w:cs="Arial"/>
                <w:sz w:val="14"/>
                <w:szCs w:val="14"/>
                <w:lang w:eastAsia="en-US"/>
              </w:rPr>
            </w:pPr>
            <w:r w:rsidRPr="00460122">
              <w:rPr>
                <w:rFonts w:eastAsia="Calibri" w:cs="Arial"/>
                <w:sz w:val="14"/>
                <w:szCs w:val="14"/>
                <w:lang w:eastAsia="en-US"/>
              </w:rPr>
              <w:t>where the claimant was injured committing an offence for which they are imprisoned and that offence is punishable by a maximum term of impriso</w:t>
            </w:r>
            <w:r w:rsidR="00AF04A7">
              <w:rPr>
                <w:rFonts w:eastAsia="Calibri" w:cs="Arial"/>
                <w:sz w:val="14"/>
                <w:szCs w:val="14"/>
                <w:lang w:eastAsia="en-US"/>
              </w:rPr>
              <w:t xml:space="preserve">nment of 2 years or more — </w:t>
            </w:r>
            <w:hyperlink r:id="rId954" w:history="1">
              <w:r w:rsidR="00AF04A7" w:rsidRPr="004A5205">
                <w:rPr>
                  <w:rStyle w:val="Hyperlink"/>
                  <w:rFonts w:eastAsia="Calibri" w:cs="Arial"/>
                  <w:sz w:val="14"/>
                  <w:szCs w:val="14"/>
                  <w:lang w:eastAsia="en-US"/>
                </w:rPr>
                <w:t>s122</w:t>
              </w:r>
            </w:hyperlink>
            <w:r w:rsidR="005E75D2">
              <w:rPr>
                <w:rFonts w:eastAsia="Calibri" w:cs="Arial"/>
                <w:sz w:val="14"/>
                <w:szCs w:val="14"/>
                <w:lang w:eastAsia="en-US"/>
              </w:rPr>
              <w:t xml:space="preserve">, </w:t>
            </w:r>
            <w:r w:rsidR="005E75D2" w:rsidRPr="00016069">
              <w:rPr>
                <w:i/>
                <w:sz w:val="14"/>
              </w:rPr>
              <w:t>Accident Compensation Act 2001</w:t>
            </w:r>
          </w:p>
        </w:tc>
      </w:tr>
    </w:tbl>
    <w:p w14:paraId="730170B5" w14:textId="7A66A1B1" w:rsidR="00B55023" w:rsidRPr="00A80282" w:rsidRDefault="00B55023" w:rsidP="00A80282">
      <w:pPr>
        <w:pStyle w:val="SWATableheader"/>
      </w:pPr>
      <w:bookmarkStart w:id="121" w:name="_Toc504654672"/>
      <w:bookmarkEnd w:id="120"/>
      <w:r w:rsidRPr="00A80282">
        <w:lastRenderedPageBreak/>
        <w:t>Table 3.14: Exclusionary provisions for psychological injuries</w:t>
      </w:r>
      <w:bookmarkEnd w:id="121"/>
      <w:r w:rsidRPr="00A80282">
        <w:t xml:space="preserve"> </w:t>
      </w:r>
      <w:r w:rsidR="0025506E" w:rsidRPr="00A80282">
        <w:fldChar w:fldCharType="begin"/>
      </w:r>
      <w:r w:rsidR="0025506E" w:rsidRPr="00A80282">
        <w:instrText xml:space="preserve"> XE "exclusionary provisions:psychological injuries" \r "exclusionary" </w:instrText>
      </w:r>
      <w:r w:rsidR="0025506E" w:rsidRPr="00A80282">
        <w:fldChar w:fldCharType="end"/>
      </w:r>
      <w:r w:rsidR="003D18DA" w:rsidRPr="00A80282">
        <w:t xml:space="preserve"> </w:t>
      </w:r>
      <w:r w:rsidR="003D18DA" w:rsidRPr="00A80282">
        <w:fldChar w:fldCharType="begin"/>
      </w:r>
      <w:r w:rsidR="003D18DA" w:rsidRPr="00A80282">
        <w:instrText xml:space="preserve"> XE "psychological injuries:exclusionary provisions" \r "exclusionary" </w:instrText>
      </w:r>
      <w:r w:rsidR="003D18DA"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4: Exclusionary provisions for psychological injuries  "/>
        <w:tblDescription w:val="This table outlines exclusionary provisions for psychological injuries."/>
      </w:tblPr>
      <w:tblGrid>
        <w:gridCol w:w="1768"/>
        <w:gridCol w:w="8222"/>
        <w:gridCol w:w="1559"/>
        <w:gridCol w:w="3872"/>
      </w:tblGrid>
      <w:tr w:rsidR="00B55023" w:rsidRPr="00B55023" w14:paraId="34D8934B" w14:textId="77777777" w:rsidTr="00854AFF">
        <w:trPr>
          <w:tblHeader/>
        </w:trPr>
        <w:tc>
          <w:tcPr>
            <w:tcW w:w="1768" w:type="dxa"/>
            <w:shd w:val="clear" w:color="auto" w:fill="C00000"/>
            <w:tcMar>
              <w:top w:w="0" w:type="dxa"/>
              <w:left w:w="0" w:type="dxa"/>
              <w:bottom w:w="0" w:type="dxa"/>
              <w:right w:w="0" w:type="dxa"/>
            </w:tcMar>
            <w:vAlign w:val="center"/>
          </w:tcPr>
          <w:p w14:paraId="194DBAC1" w14:textId="77777777" w:rsidR="00B55023" w:rsidRPr="00B55023" w:rsidRDefault="00B55023" w:rsidP="009146AE">
            <w:pPr>
              <w:pStyle w:val="Tableheaderrow"/>
              <w:spacing w:after="60"/>
            </w:pPr>
            <w:bookmarkStart w:id="122" w:name="exclusionary"/>
          </w:p>
        </w:tc>
        <w:tc>
          <w:tcPr>
            <w:tcW w:w="8222" w:type="dxa"/>
            <w:shd w:val="clear" w:color="auto" w:fill="C00000"/>
            <w:tcMar>
              <w:top w:w="0" w:type="dxa"/>
              <w:left w:w="0" w:type="dxa"/>
              <w:bottom w:w="0" w:type="dxa"/>
              <w:right w:w="0" w:type="dxa"/>
            </w:tcMar>
            <w:vAlign w:val="center"/>
          </w:tcPr>
          <w:p w14:paraId="56024046" w14:textId="77777777" w:rsidR="00B55023" w:rsidRPr="00B55023" w:rsidRDefault="00B55023" w:rsidP="009146AE">
            <w:pPr>
              <w:pStyle w:val="Tableheaderrow"/>
              <w:spacing w:after="60"/>
            </w:pPr>
            <w:r w:rsidRPr="00B55023">
              <w:t>Exclusionary provisions for psychological injuries</w:t>
            </w:r>
          </w:p>
        </w:tc>
        <w:tc>
          <w:tcPr>
            <w:tcW w:w="1559" w:type="dxa"/>
            <w:shd w:val="clear" w:color="auto" w:fill="C00000"/>
            <w:tcMar>
              <w:top w:w="0" w:type="dxa"/>
              <w:left w:w="0" w:type="dxa"/>
              <w:bottom w:w="0" w:type="dxa"/>
              <w:right w:w="0" w:type="dxa"/>
            </w:tcMar>
            <w:vAlign w:val="center"/>
          </w:tcPr>
          <w:p w14:paraId="2F68A62E" w14:textId="77777777" w:rsidR="00B55023" w:rsidRPr="00B55023" w:rsidRDefault="00B55023" w:rsidP="009146AE">
            <w:pPr>
              <w:pStyle w:val="Tableheaderrow"/>
              <w:spacing w:after="60"/>
            </w:pPr>
            <w:r w:rsidRPr="00B55023">
              <w:t>Impairment threshold</w:t>
            </w:r>
          </w:p>
        </w:tc>
        <w:tc>
          <w:tcPr>
            <w:tcW w:w="3872" w:type="dxa"/>
            <w:shd w:val="clear" w:color="auto" w:fill="C00000"/>
            <w:tcMar>
              <w:top w:w="0" w:type="dxa"/>
              <w:left w:w="0" w:type="dxa"/>
              <w:bottom w:w="0" w:type="dxa"/>
              <w:right w:w="0" w:type="dxa"/>
            </w:tcMar>
            <w:vAlign w:val="center"/>
          </w:tcPr>
          <w:p w14:paraId="5CBC0A00" w14:textId="77777777" w:rsidR="00B55023" w:rsidRPr="00B55023" w:rsidRDefault="00B55023" w:rsidP="009146AE">
            <w:pPr>
              <w:pStyle w:val="Tableheaderrow"/>
              <w:spacing w:after="60"/>
            </w:pPr>
            <w:r w:rsidRPr="00B55023">
              <w:t>Diagnostic methodology of assessment</w:t>
            </w:r>
          </w:p>
        </w:tc>
      </w:tr>
      <w:tr w:rsidR="00B55023" w:rsidRPr="00B55023" w14:paraId="6C0666EA" w14:textId="77777777" w:rsidTr="00854AFF">
        <w:tc>
          <w:tcPr>
            <w:tcW w:w="1768" w:type="dxa"/>
            <w:shd w:val="clear" w:color="auto" w:fill="FFC9C9"/>
            <w:tcMar>
              <w:top w:w="80" w:type="dxa"/>
              <w:left w:w="80" w:type="dxa"/>
              <w:bottom w:w="80" w:type="dxa"/>
              <w:right w:w="80" w:type="dxa"/>
            </w:tcMar>
          </w:tcPr>
          <w:p w14:paraId="7397704C"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New South Wales</w:t>
            </w:r>
          </w:p>
        </w:tc>
        <w:tc>
          <w:tcPr>
            <w:tcW w:w="8222" w:type="dxa"/>
            <w:shd w:val="clear" w:color="auto" w:fill="FFC9C9"/>
            <w:tcMar>
              <w:top w:w="80" w:type="dxa"/>
              <w:left w:w="80" w:type="dxa"/>
              <w:bottom w:w="80" w:type="dxa"/>
              <w:right w:w="80" w:type="dxa"/>
            </w:tcMar>
          </w:tcPr>
          <w:p w14:paraId="13BBFB77" w14:textId="2A0B7F8D" w:rsidR="00F247E9" w:rsidRPr="00F247E9" w:rsidRDefault="00F247E9" w:rsidP="009146AE">
            <w:pPr>
              <w:spacing w:after="60"/>
              <w:rPr>
                <w:rFonts w:cs="Arial"/>
                <w:color w:val="000000"/>
                <w:sz w:val="14"/>
                <w:szCs w:val="16"/>
                <w:lang w:val="en-GB"/>
              </w:rPr>
            </w:pPr>
            <w:r w:rsidRPr="00F247E9">
              <w:rPr>
                <w:rFonts w:cs="Arial"/>
                <w:color w:val="000000"/>
                <w:sz w:val="14"/>
                <w:szCs w:val="16"/>
                <w:lang w:val="en-GB"/>
              </w:rPr>
              <w:t xml:space="preserve">‘No compensation is payable under this Act in respect of an injury that is a psychological injury if the injury was wholly or predominantly caused by reasonable action taken or proposed to be taken by or on behalf of the employer with respect to transfer, demotion, promotion, performance appraisal, discipline, retrenchment or dismissal of workers or provision of employment benefits to workers.’ — </w:t>
            </w:r>
            <w:hyperlink r:id="rId955" w:history="1">
              <w:r w:rsidRPr="0006079A">
                <w:rPr>
                  <w:rStyle w:val="Hyperlink"/>
                  <w:rFonts w:cs="Arial"/>
                  <w:sz w:val="14"/>
                  <w:szCs w:val="16"/>
                  <w:lang w:val="en-GB"/>
                </w:rPr>
                <w:t>s11A(1)</w:t>
              </w:r>
            </w:hyperlink>
            <w:r w:rsidRPr="00F247E9">
              <w:rPr>
                <w:rFonts w:cs="Arial"/>
                <w:color w:val="000000"/>
                <w:sz w:val="14"/>
                <w:szCs w:val="16"/>
                <w:lang w:val="en-GB"/>
              </w:rPr>
              <w:t xml:space="preserve">, </w:t>
            </w:r>
            <w:r w:rsidR="00F530D5" w:rsidRPr="00016069">
              <w:rPr>
                <w:i/>
                <w:sz w:val="14"/>
              </w:rPr>
              <w:t>Workers Compensation Act 1987</w:t>
            </w:r>
            <w:r w:rsidRPr="00F247E9">
              <w:rPr>
                <w:rFonts w:cs="Arial"/>
                <w:color w:val="000000"/>
                <w:sz w:val="14"/>
                <w:szCs w:val="16"/>
                <w:lang w:val="en-GB"/>
              </w:rPr>
              <w:t>.</w:t>
            </w:r>
          </w:p>
          <w:p w14:paraId="2DAAAE6B" w14:textId="77777777" w:rsidR="00F247E9" w:rsidRPr="00F247E9" w:rsidRDefault="00F247E9" w:rsidP="00F839DB">
            <w:pPr>
              <w:pStyle w:val="ListParagraph"/>
              <w:numPr>
                <w:ilvl w:val="0"/>
                <w:numId w:val="425"/>
              </w:numPr>
              <w:spacing w:after="60"/>
              <w:rPr>
                <w:rFonts w:cs="Arial"/>
                <w:color w:val="000000"/>
                <w:sz w:val="14"/>
                <w:szCs w:val="16"/>
                <w:lang w:val="en-GB"/>
              </w:rPr>
            </w:pPr>
            <w:r w:rsidRPr="00F247E9">
              <w:rPr>
                <w:rFonts w:cs="Arial"/>
                <w:color w:val="000000"/>
                <w:sz w:val="14"/>
                <w:szCs w:val="16"/>
                <w:lang w:val="en-GB"/>
              </w:rPr>
              <w:t xml:space="preserve">No compensation is payable under this Division in respect of permanent impairment that results from a secondary psychological injury. </w:t>
            </w:r>
          </w:p>
          <w:p w14:paraId="07F1FC77" w14:textId="77777777" w:rsidR="00F247E9" w:rsidRPr="00F247E9" w:rsidRDefault="00F247E9" w:rsidP="00F839DB">
            <w:pPr>
              <w:pStyle w:val="ListParagraph"/>
              <w:numPr>
                <w:ilvl w:val="0"/>
                <w:numId w:val="425"/>
              </w:numPr>
              <w:spacing w:after="60"/>
              <w:rPr>
                <w:rFonts w:cs="Arial"/>
                <w:color w:val="000000"/>
                <w:sz w:val="14"/>
                <w:szCs w:val="16"/>
                <w:lang w:val="en-GB"/>
              </w:rPr>
            </w:pPr>
            <w:r w:rsidRPr="00F247E9">
              <w:rPr>
                <w:rFonts w:cs="Arial"/>
                <w:color w:val="000000"/>
                <w:sz w:val="14"/>
                <w:szCs w:val="16"/>
                <w:lang w:val="en-GB"/>
              </w:rPr>
              <w:t>In assessing the degree of permanent impairment that results from a physical injury or primary psychological injury, no regard is to be had to any impairment or symptoms resulting from a secondary psychological injury.</w:t>
            </w:r>
          </w:p>
          <w:p w14:paraId="696F208B" w14:textId="77777777" w:rsidR="00F247E9" w:rsidRPr="00F247E9" w:rsidRDefault="00F247E9" w:rsidP="00F839DB">
            <w:pPr>
              <w:pStyle w:val="ListParagraph"/>
              <w:numPr>
                <w:ilvl w:val="0"/>
                <w:numId w:val="425"/>
              </w:numPr>
              <w:spacing w:after="60"/>
              <w:rPr>
                <w:rFonts w:cs="Arial"/>
                <w:color w:val="000000"/>
                <w:sz w:val="14"/>
                <w:szCs w:val="16"/>
                <w:lang w:val="en-GB"/>
              </w:rPr>
            </w:pPr>
            <w:r w:rsidRPr="00F247E9">
              <w:rPr>
                <w:rFonts w:cs="Arial"/>
                <w:color w:val="000000"/>
                <w:sz w:val="14"/>
                <w:szCs w:val="16"/>
                <w:lang w:val="en-GB"/>
              </w:rPr>
              <w:t>No compensation is payable under this Division in respect of permanent impairment that results from a primary psychological injury unless the degree of permanent impairment resulting from the primary psychological injury is at least 15%.</w:t>
            </w:r>
          </w:p>
          <w:p w14:paraId="674060FD" w14:textId="780DBDC9" w:rsidR="00F247E9" w:rsidRPr="00F247E9" w:rsidRDefault="00F247E9" w:rsidP="009146AE">
            <w:pPr>
              <w:spacing w:after="60"/>
              <w:rPr>
                <w:rFonts w:cs="Arial"/>
                <w:color w:val="000000"/>
                <w:sz w:val="14"/>
                <w:szCs w:val="16"/>
                <w:lang w:val="en-GB"/>
              </w:rPr>
            </w:pPr>
            <w:r w:rsidRPr="00F247E9">
              <w:rPr>
                <w:rFonts w:cs="Arial"/>
                <w:color w:val="000000"/>
                <w:sz w:val="14"/>
                <w:szCs w:val="16"/>
                <w:lang w:val="en-GB"/>
              </w:rPr>
              <w:t xml:space="preserve">Note: If more than one psychological injury arises out of the same incident, </w:t>
            </w:r>
            <w:hyperlink r:id="rId956" w:history="1">
              <w:r w:rsidRPr="0006079A">
                <w:rPr>
                  <w:rStyle w:val="Hyperlink"/>
                  <w:rFonts w:cs="Arial"/>
                  <w:sz w:val="14"/>
                  <w:szCs w:val="16"/>
                  <w:lang w:val="en-GB"/>
                </w:rPr>
                <w:t>s322</w:t>
              </w:r>
            </w:hyperlink>
            <w:r w:rsidRPr="00F247E9">
              <w:rPr>
                <w:rFonts w:cs="Arial"/>
                <w:color w:val="000000"/>
                <w:sz w:val="14"/>
                <w:szCs w:val="16"/>
                <w:lang w:val="en-GB"/>
              </w:rPr>
              <w:t xml:space="preserve"> of the </w:t>
            </w:r>
            <w:r w:rsidR="0006079A">
              <w:rPr>
                <w:rFonts w:cs="Arial"/>
                <w:i/>
                <w:color w:val="000000"/>
                <w:sz w:val="14"/>
                <w:szCs w:val="16"/>
                <w:lang w:val="en-GB"/>
              </w:rPr>
              <w:t>Workplace Injury Management and Workers Compensation Act 1998</w:t>
            </w:r>
            <w:r w:rsidRPr="00F247E9">
              <w:rPr>
                <w:rFonts w:cs="Arial"/>
                <w:color w:val="000000"/>
                <w:sz w:val="14"/>
                <w:szCs w:val="16"/>
                <w:lang w:val="en-GB"/>
              </w:rPr>
              <w:t xml:space="preserve"> requires the injuries to be assessed together as one injury to determine the degree of permanent impairment.</w:t>
            </w:r>
          </w:p>
          <w:p w14:paraId="2BD5CAB7" w14:textId="77777777" w:rsidR="00F247E9" w:rsidRPr="00F247E9" w:rsidRDefault="00F247E9" w:rsidP="00F839DB">
            <w:pPr>
              <w:pStyle w:val="ListParagraph"/>
              <w:numPr>
                <w:ilvl w:val="0"/>
                <w:numId w:val="425"/>
              </w:numPr>
              <w:spacing w:after="60"/>
              <w:rPr>
                <w:rFonts w:cs="Arial"/>
                <w:color w:val="000000"/>
                <w:sz w:val="14"/>
                <w:szCs w:val="16"/>
                <w:lang w:val="en-GB"/>
              </w:rPr>
            </w:pPr>
            <w:r w:rsidRPr="00F247E9">
              <w:rPr>
                <w:rFonts w:cs="Arial"/>
                <w:color w:val="000000"/>
                <w:sz w:val="14"/>
                <w:szCs w:val="16"/>
                <w:lang w:val="en-GB"/>
              </w:rPr>
              <w:t>If a worker receives a primary psychological injury and a physical injury, arising out of the same incident, the worker is only entitled to receive compensation under this Division in respect of impairment resulting from one of those injuries, and for that purpose the following provisions apply:</w:t>
            </w:r>
          </w:p>
          <w:p w14:paraId="43CE8B2C" w14:textId="77777777" w:rsidR="00F247E9" w:rsidRPr="00F247E9" w:rsidRDefault="00F247E9" w:rsidP="00F839DB">
            <w:pPr>
              <w:numPr>
                <w:ilvl w:val="0"/>
                <w:numId w:val="426"/>
              </w:numPr>
              <w:spacing w:after="60"/>
              <w:rPr>
                <w:rFonts w:cs="Arial"/>
                <w:color w:val="000000"/>
                <w:sz w:val="14"/>
                <w:szCs w:val="16"/>
              </w:rPr>
            </w:pPr>
            <w:r w:rsidRPr="00F247E9">
              <w:rPr>
                <w:rFonts w:cs="Arial"/>
                <w:color w:val="000000"/>
                <w:sz w:val="14"/>
                <w:szCs w:val="16"/>
              </w:rPr>
              <w:t>the degree of permanent impairment that results from the primary psychological injury is to be assessed separately from the degree of permanent impairment that results from the physical injury (despite s65(2))</w:t>
            </w:r>
          </w:p>
          <w:p w14:paraId="65BDF5C4" w14:textId="77777777" w:rsidR="00F247E9" w:rsidRPr="00F247E9" w:rsidRDefault="00F247E9" w:rsidP="00F839DB">
            <w:pPr>
              <w:pStyle w:val="ListParagraph"/>
              <w:numPr>
                <w:ilvl w:val="0"/>
                <w:numId w:val="426"/>
              </w:numPr>
              <w:spacing w:after="60"/>
              <w:rPr>
                <w:rFonts w:cs="Arial"/>
                <w:color w:val="000000"/>
                <w:sz w:val="14"/>
                <w:szCs w:val="16"/>
              </w:rPr>
            </w:pPr>
            <w:r w:rsidRPr="00F247E9">
              <w:rPr>
                <w:rFonts w:cs="Arial"/>
                <w:color w:val="000000"/>
                <w:sz w:val="14"/>
                <w:szCs w:val="16"/>
              </w:rPr>
              <w:t>the worker is entitled to receive compensation under this division for impairment resulting from whichever injury results in the greater amount of compensation being payable to the worker under this Division (and is not entitled to receive compensation under this Division for impairment resulting from the other injury), and</w:t>
            </w:r>
          </w:p>
          <w:p w14:paraId="438A57CA" w14:textId="77777777" w:rsidR="00F247E9" w:rsidRPr="00F247E9" w:rsidRDefault="00F247E9" w:rsidP="00F839DB">
            <w:pPr>
              <w:pStyle w:val="ListParagraph"/>
              <w:numPr>
                <w:ilvl w:val="0"/>
                <w:numId w:val="426"/>
              </w:numPr>
              <w:spacing w:after="60"/>
              <w:rPr>
                <w:rFonts w:cs="Arial"/>
                <w:color w:val="000000"/>
                <w:sz w:val="14"/>
                <w:szCs w:val="16"/>
              </w:rPr>
            </w:pPr>
            <w:r w:rsidRPr="00F247E9">
              <w:rPr>
                <w:rFonts w:cs="Arial"/>
                <w:color w:val="000000"/>
                <w:sz w:val="14"/>
                <w:szCs w:val="16"/>
              </w:rPr>
              <w:t>the question of which injury results in the greater amount of compensation is, in default of agreement, to be determined by the Commission.</w:t>
            </w:r>
          </w:p>
          <w:p w14:paraId="2D56B654" w14:textId="197AB9BB" w:rsidR="00B55023" w:rsidRPr="00B55023" w:rsidRDefault="00F247E9" w:rsidP="009146AE">
            <w:pPr>
              <w:spacing w:after="60"/>
              <w:rPr>
                <w:rFonts w:cs="Arial"/>
                <w:color w:val="000000"/>
                <w:sz w:val="14"/>
                <w:szCs w:val="16"/>
                <w:lang w:val="en-GB"/>
              </w:rPr>
            </w:pPr>
            <w:r w:rsidRPr="00F247E9">
              <w:rPr>
                <w:rFonts w:cs="Arial"/>
                <w:color w:val="000000"/>
                <w:sz w:val="14"/>
                <w:szCs w:val="16"/>
              </w:rPr>
              <w:t xml:space="preserve">Note: If there is more than one physical injury those injuries will still be assessed together as one injury under </w:t>
            </w:r>
            <w:hyperlink r:id="rId957" w:history="1">
              <w:r w:rsidRPr="0006079A">
                <w:rPr>
                  <w:rStyle w:val="Hyperlink"/>
                  <w:rFonts w:cs="Arial"/>
                  <w:sz w:val="14"/>
                  <w:szCs w:val="16"/>
                </w:rPr>
                <w:t>s322</w:t>
              </w:r>
            </w:hyperlink>
            <w:r w:rsidRPr="00F247E9">
              <w:rPr>
                <w:rFonts w:cs="Arial"/>
                <w:color w:val="000000"/>
                <w:sz w:val="14"/>
                <w:szCs w:val="16"/>
              </w:rPr>
              <w:t xml:space="preserve"> of the </w:t>
            </w:r>
            <w:r w:rsidRPr="00C50806">
              <w:rPr>
                <w:rFonts w:cs="Arial"/>
                <w:color w:val="000000"/>
                <w:sz w:val="14"/>
                <w:szCs w:val="16"/>
              </w:rPr>
              <w:t>1998 Act</w:t>
            </w:r>
            <w:r w:rsidRPr="00F247E9">
              <w:rPr>
                <w:rFonts w:cs="Arial"/>
                <w:color w:val="000000"/>
                <w:sz w:val="14"/>
                <w:szCs w:val="16"/>
              </w:rPr>
              <w:t xml:space="preserve"> but separately from any psychological injury. Similarly, if there is more than one psychological injury, those psychological injuries will be assessed together as one injury, but separately from any physical injury — </w:t>
            </w:r>
            <w:hyperlink r:id="rId958" w:history="1">
              <w:r w:rsidRPr="0006079A">
                <w:rPr>
                  <w:rStyle w:val="Hyperlink"/>
                  <w:rFonts w:cs="Arial"/>
                  <w:sz w:val="14"/>
                  <w:szCs w:val="16"/>
                </w:rPr>
                <w:t>s65A</w:t>
              </w:r>
            </w:hyperlink>
            <w:r w:rsidRPr="00F247E9">
              <w:rPr>
                <w:rFonts w:cs="Arial"/>
                <w:color w:val="000000"/>
                <w:sz w:val="14"/>
                <w:szCs w:val="16"/>
              </w:rPr>
              <w:t xml:space="preserve">, </w:t>
            </w:r>
            <w:r w:rsidRPr="00C50806">
              <w:rPr>
                <w:rFonts w:cs="Arial"/>
                <w:color w:val="000000"/>
                <w:sz w:val="14"/>
                <w:szCs w:val="16"/>
              </w:rPr>
              <w:t>1987 Act.</w:t>
            </w:r>
          </w:p>
        </w:tc>
        <w:tc>
          <w:tcPr>
            <w:tcW w:w="1559" w:type="dxa"/>
            <w:shd w:val="clear" w:color="auto" w:fill="FFC9C9"/>
            <w:tcMar>
              <w:top w:w="80" w:type="dxa"/>
              <w:left w:w="80" w:type="dxa"/>
              <w:bottom w:w="80" w:type="dxa"/>
              <w:right w:w="80" w:type="dxa"/>
            </w:tcMar>
          </w:tcPr>
          <w:p w14:paraId="1DA25651" w14:textId="1C7B6FEB"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15% WPI for </w:t>
            </w:r>
            <w:r w:rsidR="00AF04A7">
              <w:rPr>
                <w:rFonts w:cs="Arial"/>
                <w:color w:val="000000"/>
                <w:sz w:val="14"/>
                <w:szCs w:val="16"/>
                <w:lang w:val="en-GB"/>
              </w:rPr>
              <w:t>a primary psychological injury</w:t>
            </w:r>
          </w:p>
        </w:tc>
        <w:tc>
          <w:tcPr>
            <w:tcW w:w="3872" w:type="dxa"/>
            <w:shd w:val="clear" w:color="auto" w:fill="FFC9C9"/>
            <w:tcMar>
              <w:top w:w="80" w:type="dxa"/>
              <w:left w:w="80" w:type="dxa"/>
              <w:bottom w:w="80" w:type="dxa"/>
              <w:right w:w="80" w:type="dxa"/>
            </w:tcMar>
          </w:tcPr>
          <w:p w14:paraId="77D61C3E" w14:textId="48E67408" w:rsidR="00B55023" w:rsidRPr="00B55023" w:rsidRDefault="00B55023" w:rsidP="00053139">
            <w:pPr>
              <w:spacing w:after="60"/>
              <w:rPr>
                <w:rFonts w:cs="Arial"/>
                <w:color w:val="000000"/>
                <w:sz w:val="14"/>
                <w:szCs w:val="16"/>
                <w:lang w:val="en-GB"/>
              </w:rPr>
            </w:pPr>
            <w:r w:rsidRPr="00B55023">
              <w:rPr>
                <w:rFonts w:cs="Arial"/>
                <w:color w:val="000000"/>
                <w:sz w:val="14"/>
                <w:szCs w:val="16"/>
                <w:lang w:val="en-GB"/>
              </w:rPr>
              <w:t xml:space="preserve">Chapter 11 NSW Workers compensation guidelines for the evaluation of permanent impairment </w:t>
            </w:r>
            <w:r w:rsidR="00053139">
              <w:rPr>
                <w:rFonts w:cs="Arial"/>
                <w:color w:val="000000"/>
                <w:sz w:val="14"/>
                <w:szCs w:val="16"/>
                <w:lang w:val="en-GB"/>
              </w:rPr>
              <w:t>—</w:t>
            </w:r>
            <w:r w:rsidR="00053139" w:rsidRPr="00B55023">
              <w:rPr>
                <w:rFonts w:cs="Arial"/>
                <w:color w:val="000000"/>
                <w:sz w:val="14"/>
                <w:szCs w:val="16"/>
                <w:lang w:val="en-GB"/>
              </w:rPr>
              <w:t xml:space="preserve"> </w:t>
            </w:r>
            <w:r w:rsidRPr="00B55023">
              <w:rPr>
                <w:rFonts w:cs="Arial"/>
                <w:color w:val="000000"/>
                <w:sz w:val="14"/>
                <w:szCs w:val="16"/>
                <w:lang w:val="en-GB"/>
              </w:rPr>
              <w:t>fourth edition using the Psychiatric</w:t>
            </w:r>
            <w:r w:rsidR="00AF04A7">
              <w:rPr>
                <w:rFonts w:cs="Arial"/>
                <w:color w:val="000000"/>
                <w:sz w:val="14"/>
                <w:szCs w:val="16"/>
                <w:lang w:val="en-GB"/>
              </w:rPr>
              <w:t xml:space="preserve"> Impairment Rating Scale (PIRS)</w:t>
            </w:r>
          </w:p>
        </w:tc>
      </w:tr>
      <w:tr w:rsidR="00B55023" w:rsidRPr="00B55023" w14:paraId="46EA4E9B" w14:textId="77777777" w:rsidTr="00854AFF">
        <w:tc>
          <w:tcPr>
            <w:tcW w:w="1768" w:type="dxa"/>
            <w:shd w:val="clear" w:color="auto" w:fill="FFFFFF" w:themeFill="background1"/>
            <w:tcMar>
              <w:top w:w="80" w:type="dxa"/>
              <w:left w:w="80" w:type="dxa"/>
              <w:bottom w:w="80" w:type="dxa"/>
              <w:right w:w="80" w:type="dxa"/>
            </w:tcMar>
          </w:tcPr>
          <w:p w14:paraId="4CA70A88"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Victoria</w:t>
            </w:r>
          </w:p>
        </w:tc>
        <w:tc>
          <w:tcPr>
            <w:tcW w:w="8222" w:type="dxa"/>
            <w:shd w:val="clear" w:color="auto" w:fill="FFFFFF" w:themeFill="background1"/>
            <w:tcMar>
              <w:top w:w="80" w:type="dxa"/>
              <w:left w:w="80" w:type="dxa"/>
              <w:bottom w:w="80" w:type="dxa"/>
              <w:right w:w="80" w:type="dxa"/>
            </w:tcMar>
          </w:tcPr>
          <w:p w14:paraId="3F4BD00F"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There is no entitlement to compensation in respect of an injury to a worker if the injury is a mental injury caused wholly or predominately by any one or more of the following: </w:t>
            </w:r>
          </w:p>
          <w:p w14:paraId="5A79A252" w14:textId="77777777" w:rsidR="00B55023" w:rsidRPr="00FD6114" w:rsidRDefault="00B55023" w:rsidP="00F839DB">
            <w:pPr>
              <w:pStyle w:val="ListParagraph"/>
              <w:numPr>
                <w:ilvl w:val="0"/>
                <w:numId w:val="123"/>
              </w:numPr>
              <w:spacing w:after="60"/>
              <w:contextualSpacing/>
              <w:rPr>
                <w:rFonts w:eastAsia="Calibri" w:cs="Arial"/>
                <w:sz w:val="14"/>
                <w:szCs w:val="14"/>
                <w:lang w:eastAsia="en-US"/>
              </w:rPr>
            </w:pPr>
            <w:r w:rsidRPr="00FD6114">
              <w:rPr>
                <w:rFonts w:eastAsia="Calibri" w:cs="Arial"/>
                <w:sz w:val="14"/>
                <w:szCs w:val="14"/>
                <w:lang w:eastAsia="en-US"/>
              </w:rPr>
              <w:t>management action taken on reasonable grounds and in a reasonable manner by or on behalf of the worker’s employer, or</w:t>
            </w:r>
          </w:p>
          <w:p w14:paraId="0754F996" w14:textId="77777777" w:rsidR="00B55023" w:rsidRPr="00FD6114" w:rsidRDefault="00B55023" w:rsidP="00F839DB">
            <w:pPr>
              <w:pStyle w:val="ListParagraph"/>
              <w:numPr>
                <w:ilvl w:val="0"/>
                <w:numId w:val="123"/>
              </w:numPr>
              <w:spacing w:after="60"/>
              <w:contextualSpacing/>
              <w:rPr>
                <w:rFonts w:eastAsia="Calibri" w:cs="Arial"/>
                <w:sz w:val="14"/>
                <w:szCs w:val="14"/>
                <w:lang w:eastAsia="en-US"/>
              </w:rPr>
            </w:pPr>
            <w:r w:rsidRPr="00FD6114">
              <w:rPr>
                <w:rFonts w:eastAsia="Calibri" w:cs="Arial"/>
                <w:sz w:val="14"/>
                <w:szCs w:val="14"/>
                <w:lang w:eastAsia="en-US"/>
              </w:rPr>
              <w:t xml:space="preserve">a decision of the worker’s employer, on reasonable grounds, to take, or not to take any management action, or </w:t>
            </w:r>
          </w:p>
          <w:p w14:paraId="61F7A224" w14:textId="77777777" w:rsidR="00B55023" w:rsidRPr="00FD6114" w:rsidRDefault="00B55023" w:rsidP="00F839DB">
            <w:pPr>
              <w:pStyle w:val="ListParagraph"/>
              <w:numPr>
                <w:ilvl w:val="0"/>
                <w:numId w:val="123"/>
              </w:numPr>
              <w:spacing w:after="60"/>
              <w:contextualSpacing/>
              <w:rPr>
                <w:rFonts w:eastAsia="Calibri" w:cs="Arial"/>
                <w:sz w:val="14"/>
                <w:szCs w:val="14"/>
                <w:lang w:eastAsia="en-US"/>
              </w:rPr>
            </w:pPr>
            <w:r w:rsidRPr="00FD6114">
              <w:rPr>
                <w:rFonts w:eastAsia="Calibri" w:cs="Arial"/>
                <w:sz w:val="14"/>
                <w:szCs w:val="14"/>
                <w:lang w:eastAsia="en-US"/>
              </w:rPr>
              <w:t>any expectation by the worker that any management action would, or would not, be taken or a decision made to take, or not to take, any management action, or</w:t>
            </w:r>
          </w:p>
          <w:p w14:paraId="7414372F" w14:textId="6B1FC12F" w:rsidR="00B55023" w:rsidRPr="00FD6114" w:rsidRDefault="00B55023" w:rsidP="00F839DB">
            <w:pPr>
              <w:pStyle w:val="ListParagraph"/>
              <w:numPr>
                <w:ilvl w:val="0"/>
                <w:numId w:val="123"/>
              </w:numPr>
              <w:spacing w:after="60"/>
              <w:contextualSpacing/>
              <w:rPr>
                <w:rFonts w:eastAsia="Calibri" w:cs="Arial"/>
                <w:sz w:val="14"/>
                <w:szCs w:val="14"/>
                <w:lang w:eastAsia="en-US"/>
              </w:rPr>
            </w:pPr>
            <w:r w:rsidRPr="00FD6114">
              <w:rPr>
                <w:rFonts w:eastAsia="Calibri" w:cs="Arial"/>
                <w:sz w:val="14"/>
                <w:szCs w:val="14"/>
                <w:lang w:eastAsia="en-US"/>
              </w:rPr>
              <w:t xml:space="preserve">an application under s81B of the </w:t>
            </w:r>
            <w:r w:rsidRPr="00C50806">
              <w:rPr>
                <w:rFonts w:eastAsia="Calibri" w:cs="Arial"/>
                <w:i/>
                <w:sz w:val="14"/>
                <w:szCs w:val="14"/>
                <w:lang w:eastAsia="en-US"/>
              </w:rPr>
              <w:t>Local Government Act 1989</w:t>
            </w:r>
            <w:r w:rsidRPr="00FD6114">
              <w:rPr>
                <w:rFonts w:eastAsia="Calibri" w:cs="Arial"/>
                <w:sz w:val="14"/>
                <w:szCs w:val="14"/>
                <w:lang w:eastAsia="en-US"/>
              </w:rPr>
              <w:t xml:space="preserve">, or proceedings as a result of that application, in relation to the conduct of a worker who is a Councillor within the meaning of Clause 15 Schedule 1 — </w:t>
            </w:r>
            <w:hyperlink r:id="rId959" w:history="1">
              <w:r w:rsidRPr="0006079A">
                <w:rPr>
                  <w:rStyle w:val="Hyperlink"/>
                  <w:rFonts w:eastAsia="Calibri" w:cs="Arial"/>
                  <w:sz w:val="14"/>
                  <w:szCs w:val="14"/>
                  <w:lang w:eastAsia="en-US"/>
                </w:rPr>
                <w:t>s40(1)</w:t>
              </w:r>
            </w:hyperlink>
            <w:r w:rsidR="00F530D5">
              <w:rPr>
                <w:rFonts w:eastAsia="Calibri" w:cs="Arial"/>
                <w:sz w:val="14"/>
                <w:szCs w:val="14"/>
                <w:lang w:eastAsia="en-US"/>
              </w:rPr>
              <w:t xml:space="preserve">, </w:t>
            </w:r>
            <w:r w:rsidR="00F530D5" w:rsidRPr="00016069">
              <w:rPr>
                <w:i/>
                <w:sz w:val="14"/>
              </w:rPr>
              <w:t>Workplace Injury Rehabilitation and Compensation Act 2013</w:t>
            </w:r>
          </w:p>
          <w:p w14:paraId="46960CCC" w14:textId="41F5156A"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In </w:t>
            </w:r>
            <w:hyperlink r:id="rId960" w:history="1">
              <w:r w:rsidRPr="0006079A">
                <w:rPr>
                  <w:rStyle w:val="Hyperlink"/>
                  <w:rFonts w:cs="Arial"/>
                  <w:sz w:val="14"/>
                  <w:szCs w:val="16"/>
                  <w:lang w:val="en-GB"/>
                </w:rPr>
                <w:t>s40(7)</w:t>
              </w:r>
            </w:hyperlink>
            <w:r w:rsidRPr="00B55023">
              <w:rPr>
                <w:rFonts w:cs="Arial"/>
                <w:color w:val="000000"/>
                <w:sz w:val="14"/>
                <w:szCs w:val="16"/>
                <w:lang w:val="en-GB"/>
              </w:rPr>
              <w:t xml:space="preserve">, management action, in relation to a worker, includes, but is not limited to, any one or more of the following: </w:t>
            </w:r>
          </w:p>
          <w:p w14:paraId="0575B85E"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appraisal of the worker’s performance </w:t>
            </w:r>
          </w:p>
          <w:p w14:paraId="102EA1DA"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counselling of the worker</w:t>
            </w:r>
          </w:p>
          <w:p w14:paraId="6803E868"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suspension or stand-down of the worker’s employment</w:t>
            </w:r>
          </w:p>
          <w:p w14:paraId="78F7D12B"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disciplinary action taken in respect of the worker’s employment </w:t>
            </w:r>
          </w:p>
          <w:p w14:paraId="56205455"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transfer of the worker’s employment</w:t>
            </w:r>
          </w:p>
          <w:p w14:paraId="31502882"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lastRenderedPageBreak/>
              <w:t>demotion, redeployment or retrenchment of the worker</w:t>
            </w:r>
          </w:p>
          <w:p w14:paraId="6B2EBEB8"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dismissal of the worker</w:t>
            </w:r>
          </w:p>
          <w:p w14:paraId="7B577B39"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promotion of the worker </w:t>
            </w:r>
          </w:p>
          <w:p w14:paraId="661F2693"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reclassification of the worker’s employment position </w:t>
            </w:r>
          </w:p>
          <w:p w14:paraId="5417D2C2"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provision of leave of absence to the worker </w:t>
            </w:r>
          </w:p>
          <w:p w14:paraId="30FD31E5"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provision to the worker of a benefit connected with the worker’s employment </w:t>
            </w:r>
          </w:p>
          <w:p w14:paraId="7C6FFAB9"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training a worker in respect of the worker’s employment </w:t>
            </w:r>
          </w:p>
          <w:p w14:paraId="6EF297EB" w14:textId="77777777" w:rsidR="00B55023" w:rsidRPr="00FD6114" w:rsidRDefault="00B55023" w:rsidP="00F839DB">
            <w:pPr>
              <w:pStyle w:val="ListParagraph"/>
              <w:numPr>
                <w:ilvl w:val="0"/>
                <w:numId w:val="124"/>
              </w:numPr>
              <w:spacing w:after="60"/>
              <w:ind w:left="357" w:hanging="357"/>
              <w:rPr>
                <w:rFonts w:eastAsia="Calibri" w:cs="Arial"/>
                <w:sz w:val="14"/>
                <w:szCs w:val="14"/>
                <w:lang w:eastAsia="en-US"/>
              </w:rPr>
            </w:pPr>
            <w:r w:rsidRPr="00FD6114">
              <w:rPr>
                <w:rFonts w:eastAsia="Calibri" w:cs="Arial"/>
                <w:sz w:val="14"/>
                <w:szCs w:val="14"/>
                <w:lang w:eastAsia="en-US"/>
              </w:rPr>
              <w:t xml:space="preserve">investigation by the worker’s employer of any alleged misconduct: </w:t>
            </w:r>
          </w:p>
          <w:p w14:paraId="6BBB175E" w14:textId="77777777" w:rsidR="00B55023" w:rsidRPr="00FD6114" w:rsidRDefault="00B55023" w:rsidP="00F839DB">
            <w:pPr>
              <w:pStyle w:val="ListParagraph"/>
              <w:numPr>
                <w:ilvl w:val="0"/>
                <w:numId w:val="125"/>
              </w:numPr>
              <w:spacing w:after="60"/>
              <w:ind w:left="357" w:hanging="357"/>
              <w:contextualSpacing/>
              <w:rPr>
                <w:rFonts w:cs="Arial"/>
                <w:color w:val="000000"/>
                <w:sz w:val="14"/>
                <w:szCs w:val="16"/>
                <w:lang w:val="en-GB"/>
              </w:rPr>
            </w:pPr>
            <w:r w:rsidRPr="00FD6114">
              <w:rPr>
                <w:rFonts w:cs="Arial"/>
                <w:color w:val="000000"/>
                <w:sz w:val="14"/>
                <w:szCs w:val="16"/>
                <w:lang w:val="en-GB"/>
              </w:rPr>
              <w:t xml:space="preserve">of the worker; or </w:t>
            </w:r>
          </w:p>
          <w:p w14:paraId="037C5AE0" w14:textId="77777777" w:rsidR="00B55023" w:rsidRPr="00FD6114" w:rsidRDefault="00B55023" w:rsidP="00F839DB">
            <w:pPr>
              <w:pStyle w:val="ListParagraph"/>
              <w:numPr>
                <w:ilvl w:val="0"/>
                <w:numId w:val="125"/>
              </w:numPr>
              <w:spacing w:after="60"/>
              <w:rPr>
                <w:rFonts w:cs="Arial"/>
                <w:color w:val="000000"/>
                <w:sz w:val="14"/>
                <w:szCs w:val="16"/>
                <w:lang w:val="en-GB"/>
              </w:rPr>
            </w:pPr>
            <w:r w:rsidRPr="00FD6114">
              <w:rPr>
                <w:rFonts w:cs="Arial"/>
                <w:color w:val="000000"/>
                <w:sz w:val="14"/>
                <w:szCs w:val="16"/>
                <w:lang w:val="en-GB"/>
              </w:rPr>
              <w:t xml:space="preserve">of any other person relating to the employer’s workforce in which the worker was involved or to which the worker was a witness; or </w:t>
            </w:r>
          </w:p>
          <w:p w14:paraId="54B7023D" w14:textId="0E73D939"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communication in connection with an action mentioned in any of the above paragraphs — </w:t>
            </w:r>
            <w:hyperlink r:id="rId961" w:history="1">
              <w:r w:rsidRPr="0006079A">
                <w:rPr>
                  <w:rStyle w:val="Hyperlink"/>
                  <w:rFonts w:eastAsia="Calibri" w:cs="Arial"/>
                  <w:sz w:val="14"/>
                  <w:szCs w:val="14"/>
                  <w:lang w:eastAsia="en-US"/>
                </w:rPr>
                <w:t>s40(7)</w:t>
              </w:r>
            </w:hyperlink>
            <w:r w:rsidRPr="00FD6114">
              <w:rPr>
                <w:rFonts w:eastAsia="Calibri" w:cs="Arial"/>
                <w:sz w:val="14"/>
                <w:szCs w:val="14"/>
                <w:lang w:eastAsia="en-US"/>
              </w:rPr>
              <w:t>.</w:t>
            </w:r>
          </w:p>
        </w:tc>
        <w:tc>
          <w:tcPr>
            <w:tcW w:w="1559" w:type="dxa"/>
            <w:shd w:val="clear" w:color="auto" w:fill="FFFFFF" w:themeFill="background1"/>
            <w:tcMar>
              <w:top w:w="80" w:type="dxa"/>
              <w:left w:w="80" w:type="dxa"/>
              <w:bottom w:w="80" w:type="dxa"/>
              <w:right w:w="80" w:type="dxa"/>
            </w:tcMar>
          </w:tcPr>
          <w:p w14:paraId="0BDDC737" w14:textId="2B870AAC"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lastRenderedPageBreak/>
              <w:t>30% WPI — not arisi</w:t>
            </w:r>
            <w:r w:rsidR="00AF04A7">
              <w:rPr>
                <w:rFonts w:cs="Arial"/>
                <w:color w:val="000000"/>
                <w:sz w:val="14"/>
                <w:szCs w:val="16"/>
                <w:lang w:val="en-GB"/>
              </w:rPr>
              <w:t>ng secondary to physical injury</w:t>
            </w:r>
          </w:p>
          <w:p w14:paraId="56302F6B" w14:textId="77777777" w:rsidR="00B55023" w:rsidRPr="00B55023" w:rsidRDefault="00B55023" w:rsidP="009146AE">
            <w:pPr>
              <w:spacing w:after="60"/>
              <w:rPr>
                <w:rFonts w:cs="Arial"/>
                <w:color w:val="000000"/>
                <w:sz w:val="14"/>
                <w:szCs w:val="16"/>
                <w:lang w:val="en-GB"/>
              </w:rPr>
            </w:pPr>
          </w:p>
        </w:tc>
        <w:tc>
          <w:tcPr>
            <w:tcW w:w="3872" w:type="dxa"/>
            <w:shd w:val="clear" w:color="auto" w:fill="FFFFFF" w:themeFill="background1"/>
            <w:tcMar>
              <w:top w:w="80" w:type="dxa"/>
              <w:left w:w="80" w:type="dxa"/>
              <w:bottom w:w="80" w:type="dxa"/>
              <w:right w:w="80" w:type="dxa"/>
            </w:tcMar>
          </w:tcPr>
          <w:p w14:paraId="1197FCAE" w14:textId="236745CD" w:rsidR="00B55023" w:rsidRPr="000E6606" w:rsidRDefault="00B55023" w:rsidP="000E6606">
            <w:pPr>
              <w:rPr>
                <w:color w:val="000000"/>
                <w:sz w:val="14"/>
                <w:lang w:val="en-GB"/>
              </w:rPr>
            </w:pPr>
            <w:r w:rsidRPr="000E6606">
              <w:rPr>
                <w:sz w:val="14"/>
                <w:lang w:val="en-GB"/>
              </w:rPr>
              <w:t>The Guide to the Evaluation of Psychiatric Impairment for Clinicians (GEPIC).</w:t>
            </w:r>
          </w:p>
          <w:p w14:paraId="0EC56CC4" w14:textId="77777777" w:rsidR="00B55023" w:rsidRPr="000E6606" w:rsidRDefault="00B55023" w:rsidP="009146AE">
            <w:pPr>
              <w:spacing w:after="60"/>
              <w:rPr>
                <w:rFonts w:cs="Arial"/>
                <w:color w:val="000000"/>
                <w:sz w:val="14"/>
                <w:szCs w:val="16"/>
                <w:lang w:val="en-GB"/>
              </w:rPr>
            </w:pPr>
          </w:p>
        </w:tc>
      </w:tr>
      <w:tr w:rsidR="00B55023" w:rsidRPr="00B55023" w14:paraId="2A62AB2F" w14:textId="77777777" w:rsidTr="00854AFF">
        <w:tc>
          <w:tcPr>
            <w:tcW w:w="1768" w:type="dxa"/>
            <w:shd w:val="clear" w:color="auto" w:fill="FFC9C9"/>
            <w:tcMar>
              <w:top w:w="80" w:type="dxa"/>
              <w:left w:w="80" w:type="dxa"/>
              <w:bottom w:w="80" w:type="dxa"/>
              <w:right w:w="80" w:type="dxa"/>
            </w:tcMar>
          </w:tcPr>
          <w:p w14:paraId="25D65B04"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Queensland</w:t>
            </w:r>
          </w:p>
        </w:tc>
        <w:tc>
          <w:tcPr>
            <w:tcW w:w="8222" w:type="dxa"/>
            <w:shd w:val="clear" w:color="auto" w:fill="FFC9C9"/>
            <w:tcMar>
              <w:top w:w="80" w:type="dxa"/>
              <w:left w:w="80" w:type="dxa"/>
              <w:bottom w:w="80" w:type="dxa"/>
              <w:right w:w="80" w:type="dxa"/>
            </w:tcMar>
          </w:tcPr>
          <w:p w14:paraId="2B6E5F9A" w14:textId="5E4789C2"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For a psychiatric or psychological disorder, employment must be the major significant contributing factor </w:t>
            </w:r>
            <w:r w:rsidR="00053139">
              <w:rPr>
                <w:rFonts w:cs="Arial"/>
                <w:color w:val="000000"/>
                <w:sz w:val="14"/>
                <w:szCs w:val="16"/>
                <w:lang w:val="en-GB"/>
              </w:rPr>
              <w:t>—</w:t>
            </w:r>
            <w:r w:rsidR="00053139" w:rsidRPr="00B55023">
              <w:rPr>
                <w:rFonts w:cs="Arial"/>
                <w:color w:val="000000"/>
                <w:sz w:val="14"/>
                <w:szCs w:val="16"/>
                <w:lang w:val="en-GB"/>
              </w:rPr>
              <w:t xml:space="preserve"> </w:t>
            </w:r>
            <w:hyperlink r:id="rId962" w:anchor="sec.32" w:history="1">
              <w:r w:rsidRPr="0006079A">
                <w:rPr>
                  <w:rStyle w:val="Hyperlink"/>
                  <w:rFonts w:cs="Arial"/>
                  <w:sz w:val="14"/>
                  <w:szCs w:val="16"/>
                  <w:lang w:val="en-GB"/>
                </w:rPr>
                <w:t>s32(1)</w:t>
              </w:r>
            </w:hyperlink>
            <w:r w:rsidR="00F530D5">
              <w:rPr>
                <w:rFonts w:cs="Arial"/>
                <w:color w:val="000000"/>
                <w:sz w:val="14"/>
                <w:szCs w:val="16"/>
                <w:lang w:val="en-GB"/>
              </w:rPr>
              <w:t xml:space="preserve">, </w:t>
            </w:r>
            <w:r w:rsidR="00F530D5" w:rsidRPr="00016069">
              <w:rPr>
                <w:i/>
                <w:sz w:val="14"/>
              </w:rPr>
              <w:t>Workers’ Compensation and Rehabilitation Act 2003</w:t>
            </w:r>
          </w:p>
          <w:p w14:paraId="445664CC"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An injury does not include a psychiatric or psychological disorder arising out of, or in the course of, any of the following circumstances:</w:t>
            </w:r>
          </w:p>
          <w:p w14:paraId="4165B562" w14:textId="77777777" w:rsidR="00B55023" w:rsidRPr="00FD6114" w:rsidRDefault="00B55023" w:rsidP="00F839DB">
            <w:pPr>
              <w:pStyle w:val="ListParagraph"/>
              <w:numPr>
                <w:ilvl w:val="0"/>
                <w:numId w:val="126"/>
              </w:numPr>
              <w:spacing w:after="60"/>
              <w:contextualSpacing/>
              <w:rPr>
                <w:rFonts w:eastAsia="Calibri" w:cs="Arial"/>
                <w:sz w:val="14"/>
                <w:szCs w:val="14"/>
                <w:lang w:eastAsia="en-US"/>
              </w:rPr>
            </w:pPr>
            <w:r w:rsidRPr="00FD6114">
              <w:rPr>
                <w:rFonts w:eastAsia="Calibri" w:cs="Arial"/>
                <w:sz w:val="14"/>
                <w:szCs w:val="14"/>
                <w:lang w:eastAsia="en-US"/>
              </w:rPr>
              <w:t>reasonable management action taken in a reasonable way by the employer in connection with the worker’s employment</w:t>
            </w:r>
          </w:p>
          <w:p w14:paraId="75EC512E" w14:textId="77777777" w:rsidR="00B55023" w:rsidRPr="00FD6114" w:rsidRDefault="00B55023" w:rsidP="00F839DB">
            <w:pPr>
              <w:pStyle w:val="ListParagraph"/>
              <w:numPr>
                <w:ilvl w:val="0"/>
                <w:numId w:val="126"/>
              </w:numPr>
              <w:spacing w:after="60"/>
              <w:contextualSpacing/>
              <w:rPr>
                <w:rFonts w:eastAsia="Calibri" w:cs="Arial"/>
                <w:sz w:val="14"/>
                <w:szCs w:val="14"/>
                <w:lang w:eastAsia="en-US"/>
              </w:rPr>
            </w:pPr>
            <w:r w:rsidRPr="00FD6114">
              <w:rPr>
                <w:rFonts w:eastAsia="Calibri" w:cs="Arial"/>
                <w:sz w:val="14"/>
                <w:szCs w:val="14"/>
                <w:lang w:eastAsia="en-US"/>
              </w:rPr>
              <w:t>the worker’s expectation or perception of reasonable management action being taken against the worker, and</w:t>
            </w:r>
          </w:p>
          <w:p w14:paraId="05F35716" w14:textId="77777777" w:rsidR="00B55023" w:rsidRPr="00FD6114" w:rsidRDefault="00B55023" w:rsidP="00F839DB">
            <w:pPr>
              <w:pStyle w:val="ListParagraph"/>
              <w:numPr>
                <w:ilvl w:val="0"/>
                <w:numId w:val="126"/>
              </w:numPr>
              <w:spacing w:after="60"/>
              <w:contextualSpacing/>
              <w:rPr>
                <w:rFonts w:eastAsia="Calibri" w:cs="Arial"/>
                <w:sz w:val="14"/>
                <w:szCs w:val="14"/>
                <w:lang w:eastAsia="en-US"/>
              </w:rPr>
            </w:pPr>
            <w:r w:rsidRPr="00FD6114">
              <w:rPr>
                <w:rFonts w:eastAsia="Calibri" w:cs="Arial"/>
                <w:sz w:val="14"/>
                <w:szCs w:val="14"/>
                <w:lang w:eastAsia="en-US"/>
              </w:rPr>
              <w:t xml:space="preserve">action by the </w:t>
            </w:r>
            <w:r w:rsidR="008614F2">
              <w:rPr>
                <w:rFonts w:eastAsia="Calibri" w:cs="Arial"/>
                <w:sz w:val="14"/>
                <w:szCs w:val="14"/>
                <w:lang w:eastAsia="en-US"/>
              </w:rPr>
              <w:t>Regulator</w:t>
            </w:r>
            <w:r w:rsidRPr="00FD6114">
              <w:rPr>
                <w:rFonts w:eastAsia="Calibri" w:cs="Arial"/>
                <w:sz w:val="14"/>
                <w:szCs w:val="14"/>
                <w:lang w:eastAsia="en-US"/>
              </w:rPr>
              <w:t xml:space="preserve"> or an insurer in connection with the worker’s application for compensation.</w:t>
            </w:r>
          </w:p>
          <w:p w14:paraId="6360A6C1" w14:textId="7BBB166D"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Reasonable management actions include action taken to transfer, demote, discipline, redeploy, retrench or dismiss the worker, a decision not to award or provide promotion, reclassification or transfer of, or leave of absence or benefit in connection with, the worker’s employment — </w:t>
            </w:r>
            <w:hyperlink r:id="rId963" w:anchor="sec.32" w:history="1">
              <w:r w:rsidRPr="0006079A">
                <w:rPr>
                  <w:rStyle w:val="Hyperlink"/>
                  <w:rFonts w:cs="Arial"/>
                  <w:sz w:val="14"/>
                  <w:szCs w:val="16"/>
                  <w:lang w:val="en-GB"/>
                </w:rPr>
                <w:t>s32(5)</w:t>
              </w:r>
            </w:hyperlink>
            <w:r w:rsidR="00E13D9F">
              <w:rPr>
                <w:rFonts w:cs="Arial"/>
                <w:color w:val="000000"/>
                <w:sz w:val="14"/>
                <w:szCs w:val="16"/>
                <w:lang w:val="en-GB"/>
              </w:rPr>
              <w:t>.</w:t>
            </w:r>
          </w:p>
        </w:tc>
        <w:tc>
          <w:tcPr>
            <w:tcW w:w="1559" w:type="dxa"/>
            <w:shd w:val="clear" w:color="auto" w:fill="FFC9C9"/>
            <w:tcMar>
              <w:top w:w="80" w:type="dxa"/>
              <w:left w:w="80" w:type="dxa"/>
              <w:bottom w:w="80" w:type="dxa"/>
              <w:right w:w="80" w:type="dxa"/>
            </w:tcMar>
          </w:tcPr>
          <w:p w14:paraId="0DEA2A0F" w14:textId="76B13848"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None</w:t>
            </w:r>
          </w:p>
          <w:p w14:paraId="6B5C4329" w14:textId="77777777" w:rsidR="00B55023" w:rsidRPr="00B55023" w:rsidRDefault="00B55023" w:rsidP="009146AE">
            <w:pPr>
              <w:spacing w:after="60"/>
              <w:rPr>
                <w:rFonts w:cs="Arial"/>
                <w:color w:val="000000"/>
                <w:sz w:val="14"/>
                <w:szCs w:val="16"/>
                <w:lang w:val="en-GB"/>
              </w:rPr>
            </w:pPr>
          </w:p>
        </w:tc>
        <w:tc>
          <w:tcPr>
            <w:tcW w:w="3872" w:type="dxa"/>
            <w:shd w:val="clear" w:color="auto" w:fill="FFC9C9"/>
            <w:tcMar>
              <w:top w:w="80" w:type="dxa"/>
              <w:left w:w="80" w:type="dxa"/>
              <w:bottom w:w="80" w:type="dxa"/>
              <w:right w:w="80" w:type="dxa"/>
            </w:tcMar>
          </w:tcPr>
          <w:p w14:paraId="4D896132" w14:textId="754B3D86"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The </w:t>
            </w:r>
            <w:hyperlink r:id="rId964" w:history="1">
              <w:r w:rsidRPr="00B55023">
                <w:rPr>
                  <w:rFonts w:cs="Arial"/>
                  <w:color w:val="0000FF"/>
                  <w:sz w:val="14"/>
                  <w:szCs w:val="16"/>
                  <w:u w:val="single"/>
                  <w:lang w:val="en-GB"/>
                </w:rPr>
                <w:t>Guidelines for Evaluation of Permanent Impairment</w:t>
              </w:r>
            </w:hyperlink>
            <w:r w:rsidRPr="00B55023">
              <w:rPr>
                <w:rFonts w:cs="Arial"/>
                <w:color w:val="000000"/>
                <w:sz w:val="14"/>
                <w:szCs w:val="16"/>
                <w:lang w:val="en-GB"/>
              </w:rPr>
              <w:t xml:space="preserve"> are used to assess the</w:t>
            </w:r>
            <w:r w:rsidR="00AF04A7">
              <w:rPr>
                <w:rFonts w:cs="Arial"/>
                <w:color w:val="000000"/>
                <w:sz w:val="14"/>
                <w:szCs w:val="16"/>
                <w:lang w:val="en-GB"/>
              </w:rPr>
              <w:t xml:space="preserve"> degree of permanent impairment</w:t>
            </w:r>
          </w:p>
        </w:tc>
      </w:tr>
      <w:tr w:rsidR="00B55023" w:rsidRPr="00B55023" w14:paraId="3FA91AE3" w14:textId="77777777" w:rsidTr="00854AFF">
        <w:tc>
          <w:tcPr>
            <w:tcW w:w="1768" w:type="dxa"/>
            <w:shd w:val="clear" w:color="auto" w:fill="auto"/>
            <w:tcMar>
              <w:top w:w="80" w:type="dxa"/>
              <w:left w:w="80" w:type="dxa"/>
              <w:bottom w:w="80" w:type="dxa"/>
              <w:right w:w="80" w:type="dxa"/>
            </w:tcMar>
          </w:tcPr>
          <w:p w14:paraId="264DF2C2"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Western Australia</w:t>
            </w:r>
          </w:p>
        </w:tc>
        <w:tc>
          <w:tcPr>
            <w:tcW w:w="8222" w:type="dxa"/>
            <w:shd w:val="clear" w:color="auto" w:fill="auto"/>
            <w:tcMar>
              <w:top w:w="80" w:type="dxa"/>
              <w:left w:w="80" w:type="dxa"/>
              <w:bottom w:w="80" w:type="dxa"/>
              <w:right w:w="80" w:type="dxa"/>
            </w:tcMar>
          </w:tcPr>
          <w:p w14:paraId="1766B74C" w14:textId="77777777" w:rsidR="008F0C7D" w:rsidRPr="001D41D4" w:rsidRDefault="008F0C7D" w:rsidP="009146AE">
            <w:pPr>
              <w:pStyle w:val="lgetabletxt"/>
              <w:spacing w:after="60" w:afterAutospacing="0"/>
            </w:pPr>
            <w:r w:rsidRPr="001D41D4">
              <w:t>Treatment of stress for compensation purposes.</w:t>
            </w:r>
          </w:p>
          <w:p w14:paraId="5A92A8A3" w14:textId="657A9A3D" w:rsidR="008F0C7D" w:rsidRPr="001D41D4" w:rsidRDefault="008F0C7D" w:rsidP="009146AE">
            <w:pPr>
              <w:pStyle w:val="Tabledotpointlist7pt"/>
              <w:spacing w:after="60"/>
            </w:pPr>
            <w:r w:rsidRPr="001D41D4">
              <w:t xml:space="preserve">Compensation is not payable for diseases caused by stress if the stress wholly or predominately arises from the worker’s dismissal, retrenchment, demotion, discipline, transfer or redeployment, or the worker’s not being promoted, reclassified, transferred or granted leave of absence or any other benefit in relation to employment or a worker’s expectation of a matter or decision unless it is considered to be unreasonable or harsh on the part of the employer — </w:t>
            </w:r>
            <w:hyperlink r:id="rId965" w:history="1">
              <w:r w:rsidRPr="0006079A">
                <w:rPr>
                  <w:rStyle w:val="Hyperlink"/>
                </w:rPr>
                <w:t>s5(4)</w:t>
              </w:r>
            </w:hyperlink>
            <w:r w:rsidR="00F530D5">
              <w:t xml:space="preserve">, </w:t>
            </w:r>
            <w:r w:rsidR="00F530D5" w:rsidRPr="00016069">
              <w:rPr>
                <w:i/>
              </w:rPr>
              <w:t>Workers’ Compensation and Injury Management Act 1981</w:t>
            </w:r>
          </w:p>
          <w:p w14:paraId="475C60BD" w14:textId="77777777" w:rsidR="008F0C7D" w:rsidRPr="001D41D4" w:rsidRDefault="008F0C7D" w:rsidP="009146AE">
            <w:pPr>
              <w:pStyle w:val="lgetabletxt"/>
              <w:spacing w:after="60" w:afterAutospacing="0"/>
            </w:pPr>
            <w:r w:rsidRPr="001D41D4">
              <w:t>Treatment of secondary conditions in assessment of impairment.</w:t>
            </w:r>
          </w:p>
          <w:p w14:paraId="3DF7FF3D" w14:textId="77777777" w:rsidR="008F0C7D" w:rsidRPr="001D41D4" w:rsidRDefault="008F0C7D" w:rsidP="009146AE">
            <w:pPr>
              <w:pStyle w:val="Tabledotpointlist7pt"/>
              <w:spacing w:after="60"/>
              <w:ind w:left="357" w:hanging="357"/>
              <w:contextualSpacing w:val="0"/>
            </w:pPr>
            <w:r w:rsidRPr="001D41D4">
              <w:t>Secondary conditions are not included for the purposes of assessing impairment for common law, specialised retraining programs of payments of additional medical expenses.</w:t>
            </w:r>
          </w:p>
          <w:p w14:paraId="6E07930F" w14:textId="77777777" w:rsidR="00B55023" w:rsidRPr="00B55023" w:rsidRDefault="008F0C7D" w:rsidP="009146AE">
            <w:pPr>
              <w:pStyle w:val="Tabledotpointlist7pt"/>
              <w:numPr>
                <w:ilvl w:val="0"/>
                <w:numId w:val="0"/>
              </w:numPr>
              <w:spacing w:after="60"/>
              <w:rPr>
                <w:color w:val="000000"/>
                <w:szCs w:val="16"/>
                <w:lang w:val="en-GB"/>
              </w:rPr>
            </w:pPr>
            <w:r w:rsidRPr="001D41D4">
              <w:t>‘Secondary condition’ means a condition, whether psychological, psychiatric, or sexual, that, although it may result from the injury or injuries concerned, arises as a secondary, or less direct, consequence of that injury or those injuries.</w:t>
            </w:r>
          </w:p>
        </w:tc>
        <w:tc>
          <w:tcPr>
            <w:tcW w:w="1559" w:type="dxa"/>
            <w:shd w:val="clear" w:color="auto" w:fill="auto"/>
            <w:tcMar>
              <w:top w:w="80" w:type="dxa"/>
              <w:left w:w="80" w:type="dxa"/>
              <w:bottom w:w="80" w:type="dxa"/>
              <w:right w:w="80" w:type="dxa"/>
            </w:tcMar>
          </w:tcPr>
          <w:p w14:paraId="33A1A6BA" w14:textId="77777777" w:rsidR="00B55023" w:rsidRPr="00B55023" w:rsidRDefault="00B55023" w:rsidP="009146AE">
            <w:pPr>
              <w:spacing w:after="60"/>
              <w:rPr>
                <w:rFonts w:cs="Arial"/>
                <w:color w:val="000000"/>
                <w:sz w:val="14"/>
                <w:szCs w:val="16"/>
                <w:lang w:val="en-GB"/>
              </w:rPr>
            </w:pPr>
          </w:p>
        </w:tc>
        <w:tc>
          <w:tcPr>
            <w:tcW w:w="3872" w:type="dxa"/>
            <w:shd w:val="clear" w:color="auto" w:fill="auto"/>
            <w:tcMar>
              <w:top w:w="80" w:type="dxa"/>
              <w:left w:w="80" w:type="dxa"/>
              <w:bottom w:w="80" w:type="dxa"/>
              <w:right w:w="80" w:type="dxa"/>
            </w:tcMar>
          </w:tcPr>
          <w:p w14:paraId="5B860636" w14:textId="020289FF"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For impairment assessment only: WorkCover WA Guidelines 4th ed. Psychiatric</w:t>
            </w:r>
            <w:r w:rsidR="00AF04A7">
              <w:rPr>
                <w:rFonts w:cs="Arial"/>
                <w:color w:val="000000"/>
                <w:sz w:val="14"/>
                <w:szCs w:val="16"/>
                <w:lang w:val="en-GB"/>
              </w:rPr>
              <w:t xml:space="preserve"> Impairment Rating Scale (PIRS)</w:t>
            </w:r>
          </w:p>
        </w:tc>
      </w:tr>
      <w:tr w:rsidR="00B55023" w:rsidRPr="00B55023" w14:paraId="7B190B86" w14:textId="77777777" w:rsidTr="00854AFF">
        <w:tc>
          <w:tcPr>
            <w:tcW w:w="1768" w:type="dxa"/>
            <w:shd w:val="clear" w:color="auto" w:fill="FFC9C9"/>
            <w:tcMar>
              <w:top w:w="80" w:type="dxa"/>
              <w:left w:w="80" w:type="dxa"/>
              <w:bottom w:w="80" w:type="dxa"/>
              <w:right w:w="80" w:type="dxa"/>
            </w:tcMar>
          </w:tcPr>
          <w:p w14:paraId="55794510"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South Australia</w:t>
            </w:r>
          </w:p>
        </w:tc>
        <w:tc>
          <w:tcPr>
            <w:tcW w:w="8222" w:type="dxa"/>
            <w:shd w:val="clear" w:color="auto" w:fill="FFC9C9"/>
            <w:tcMar>
              <w:top w:w="80" w:type="dxa"/>
              <w:left w:w="80" w:type="dxa"/>
              <w:bottom w:w="80" w:type="dxa"/>
              <w:right w:w="80" w:type="dxa"/>
            </w:tcMar>
          </w:tcPr>
          <w:p w14:paraId="285B6569"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In the case of psychiatric injury, it must arise out of or in the course of employment and the employment must be the significant contributing cause of the injury. </w:t>
            </w:r>
          </w:p>
          <w:p w14:paraId="554E2484" w14:textId="01515AF6"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The injury must not arise wholly or predominantly from any action of decision designated under section </w:t>
            </w:r>
            <w:hyperlink r:id="rId966" w:history="1">
              <w:r w:rsidRPr="0006079A">
                <w:rPr>
                  <w:rStyle w:val="Hyperlink"/>
                  <w:rFonts w:cs="Arial"/>
                  <w:sz w:val="14"/>
                  <w:szCs w:val="16"/>
                  <w:lang w:val="en-GB"/>
                </w:rPr>
                <w:t>7(4)</w:t>
              </w:r>
            </w:hyperlink>
            <w:r w:rsidRPr="00B55023">
              <w:rPr>
                <w:rFonts w:cs="Arial"/>
                <w:color w:val="000000"/>
                <w:sz w:val="14"/>
                <w:szCs w:val="16"/>
                <w:lang w:val="en-GB"/>
              </w:rPr>
              <w:t>, which includes:</w:t>
            </w:r>
          </w:p>
          <w:p w14:paraId="31DBBEB6" w14:textId="77777777" w:rsidR="00B55023" w:rsidRPr="00B55023" w:rsidRDefault="00B55023" w:rsidP="00DF35F2">
            <w:pPr>
              <w:numPr>
                <w:ilvl w:val="0"/>
                <w:numId w:val="41"/>
              </w:numPr>
              <w:spacing w:after="60"/>
              <w:rPr>
                <w:rFonts w:cs="Arial"/>
                <w:color w:val="000000"/>
                <w:sz w:val="14"/>
                <w:szCs w:val="16"/>
                <w:lang w:val="en-GB"/>
              </w:rPr>
            </w:pPr>
            <w:r w:rsidRPr="00B55023">
              <w:rPr>
                <w:rFonts w:cs="Arial"/>
                <w:color w:val="000000"/>
                <w:sz w:val="14"/>
                <w:szCs w:val="16"/>
                <w:lang w:val="en-GB"/>
              </w:rPr>
              <w:t xml:space="preserve">reasonable action taken in a reasonable manner by an employer to transfer, demote, discipline or counsel a worker or to bring about the cessation of a worker’s employment; </w:t>
            </w:r>
          </w:p>
          <w:p w14:paraId="56300F07" w14:textId="77777777" w:rsidR="00B55023" w:rsidRPr="00B55023" w:rsidRDefault="00B55023" w:rsidP="00DF35F2">
            <w:pPr>
              <w:numPr>
                <w:ilvl w:val="0"/>
                <w:numId w:val="41"/>
              </w:numPr>
              <w:spacing w:after="60"/>
              <w:rPr>
                <w:rFonts w:cs="Arial"/>
                <w:color w:val="000000"/>
                <w:sz w:val="14"/>
                <w:szCs w:val="16"/>
                <w:lang w:val="en-GB"/>
              </w:rPr>
            </w:pPr>
            <w:r w:rsidRPr="00B55023">
              <w:rPr>
                <w:rFonts w:cs="Arial"/>
                <w:color w:val="000000"/>
                <w:sz w:val="14"/>
                <w:szCs w:val="16"/>
                <w:lang w:val="en-GB"/>
              </w:rPr>
              <w:t xml:space="preserve">on reasonable grounds, not to award or provide a promotion, transfer or benefit in connection with a worker’s employment; </w:t>
            </w:r>
          </w:p>
          <w:p w14:paraId="0CBD6141" w14:textId="77777777" w:rsidR="00B55023" w:rsidRPr="00B55023" w:rsidRDefault="00B55023" w:rsidP="00DF35F2">
            <w:pPr>
              <w:numPr>
                <w:ilvl w:val="0"/>
                <w:numId w:val="41"/>
              </w:numPr>
              <w:spacing w:after="60"/>
              <w:rPr>
                <w:rFonts w:cs="Arial"/>
                <w:color w:val="000000"/>
                <w:sz w:val="14"/>
                <w:szCs w:val="16"/>
                <w:lang w:val="en-GB"/>
              </w:rPr>
            </w:pPr>
            <w:r w:rsidRPr="00B55023">
              <w:rPr>
                <w:rFonts w:cs="Arial"/>
                <w:color w:val="000000"/>
                <w:sz w:val="14"/>
                <w:szCs w:val="16"/>
                <w:lang w:val="en-GB"/>
              </w:rPr>
              <w:t>reasonable administrative action taken in a reasonable manner by an employer in connection with a worker’s employment;</w:t>
            </w:r>
          </w:p>
          <w:p w14:paraId="5848A8B1" w14:textId="530A7C6F" w:rsidR="00B55023" w:rsidRPr="00B55023" w:rsidRDefault="00B55023" w:rsidP="00627C2C">
            <w:pPr>
              <w:numPr>
                <w:ilvl w:val="0"/>
                <w:numId w:val="41"/>
              </w:numPr>
              <w:spacing w:after="60"/>
              <w:rPr>
                <w:rFonts w:cs="Arial"/>
                <w:color w:val="000000"/>
                <w:sz w:val="14"/>
                <w:szCs w:val="16"/>
                <w:lang w:val="en-GB"/>
              </w:rPr>
            </w:pPr>
            <w:r w:rsidRPr="00B55023">
              <w:rPr>
                <w:rFonts w:cs="Arial"/>
                <w:color w:val="000000"/>
                <w:sz w:val="14"/>
                <w:szCs w:val="16"/>
                <w:lang w:val="en-GB"/>
              </w:rPr>
              <w:t>reasonable action taken in a reasonable manner under the Act affecting the worker</w:t>
            </w:r>
            <w:r w:rsidR="00053139">
              <w:rPr>
                <w:rFonts w:cs="Arial"/>
                <w:color w:val="000000"/>
                <w:sz w:val="14"/>
                <w:szCs w:val="16"/>
                <w:lang w:val="en-GB"/>
              </w:rPr>
              <w:t xml:space="preserve"> —</w:t>
            </w:r>
            <w:r w:rsidRPr="00B55023">
              <w:rPr>
                <w:rFonts w:cs="Arial"/>
                <w:color w:val="000000"/>
                <w:sz w:val="14"/>
                <w:szCs w:val="16"/>
                <w:lang w:val="en-GB"/>
              </w:rPr>
              <w:t xml:space="preserve"> </w:t>
            </w:r>
            <w:hyperlink r:id="rId967" w:history="1">
              <w:r w:rsidRPr="00B55023">
                <w:rPr>
                  <w:rFonts w:cs="Arial"/>
                  <w:color w:val="0000FF"/>
                  <w:sz w:val="14"/>
                  <w:szCs w:val="16"/>
                  <w:u w:val="single"/>
                  <w:lang w:val="en-GB"/>
                </w:rPr>
                <w:t>s7</w:t>
              </w:r>
            </w:hyperlink>
            <w:r w:rsidR="00627C2C">
              <w:rPr>
                <w:rFonts w:cs="Arial"/>
                <w:sz w:val="14"/>
                <w:szCs w:val="16"/>
                <w:lang w:val="en-GB"/>
              </w:rPr>
              <w:t xml:space="preserve">, </w:t>
            </w:r>
            <w:r w:rsidR="00627C2C" w:rsidRPr="00016069">
              <w:rPr>
                <w:i/>
                <w:sz w:val="14"/>
              </w:rPr>
              <w:t>Return to Work Act 2014</w:t>
            </w:r>
          </w:p>
        </w:tc>
        <w:tc>
          <w:tcPr>
            <w:tcW w:w="1559" w:type="dxa"/>
            <w:shd w:val="clear" w:color="auto" w:fill="FFC9C9"/>
            <w:tcMar>
              <w:top w:w="80" w:type="dxa"/>
              <w:left w:w="80" w:type="dxa"/>
              <w:bottom w:w="80" w:type="dxa"/>
              <w:right w:w="80" w:type="dxa"/>
            </w:tcMar>
          </w:tcPr>
          <w:p w14:paraId="767C8356" w14:textId="3674AEBD"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30% WPI to be regarded as seriously injured for the purposes of the </w:t>
            </w:r>
            <w:r w:rsidRPr="00B55023">
              <w:rPr>
                <w:rFonts w:cs="Arial"/>
                <w:i/>
                <w:color w:val="000000"/>
                <w:sz w:val="14"/>
                <w:szCs w:val="16"/>
                <w:lang w:val="en-GB"/>
              </w:rPr>
              <w:t>Return to Work Act</w:t>
            </w:r>
            <w:r w:rsidRPr="00B55023">
              <w:rPr>
                <w:rFonts w:cs="Arial"/>
                <w:color w:val="000000"/>
                <w:sz w:val="14"/>
                <w:szCs w:val="16"/>
                <w:lang w:val="en-GB"/>
              </w:rPr>
              <w:t xml:space="preserve"> </w:t>
            </w:r>
            <w:r w:rsidRPr="00CE49D9">
              <w:rPr>
                <w:rFonts w:cs="Arial"/>
                <w:i/>
                <w:color w:val="000000"/>
                <w:sz w:val="14"/>
                <w:szCs w:val="16"/>
                <w:lang w:val="en-GB"/>
              </w:rPr>
              <w:t>2014</w:t>
            </w:r>
          </w:p>
        </w:tc>
        <w:tc>
          <w:tcPr>
            <w:tcW w:w="3872" w:type="dxa"/>
            <w:shd w:val="clear" w:color="auto" w:fill="FFC9C9"/>
            <w:tcMar>
              <w:top w:w="80" w:type="dxa"/>
              <w:left w:w="80" w:type="dxa"/>
              <w:bottom w:w="80" w:type="dxa"/>
              <w:right w:w="80" w:type="dxa"/>
            </w:tcMar>
          </w:tcPr>
          <w:p w14:paraId="21C76FCF" w14:textId="4F78B7F6"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Chapter 14 of the Return to Work Scheme Impairment Assessment Guidelines</w:t>
            </w:r>
          </w:p>
        </w:tc>
      </w:tr>
      <w:tr w:rsidR="00B55023" w:rsidRPr="00B55023" w14:paraId="6D08D5E4" w14:textId="77777777" w:rsidTr="00854AFF">
        <w:tc>
          <w:tcPr>
            <w:tcW w:w="1768" w:type="dxa"/>
            <w:shd w:val="clear" w:color="auto" w:fill="auto"/>
            <w:tcMar>
              <w:top w:w="80" w:type="dxa"/>
              <w:left w:w="80" w:type="dxa"/>
              <w:bottom w:w="80" w:type="dxa"/>
              <w:right w:w="80" w:type="dxa"/>
            </w:tcMar>
          </w:tcPr>
          <w:p w14:paraId="0ADBFDC8"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Tasmania</w:t>
            </w:r>
          </w:p>
        </w:tc>
        <w:tc>
          <w:tcPr>
            <w:tcW w:w="8222" w:type="dxa"/>
            <w:shd w:val="clear" w:color="auto" w:fill="auto"/>
            <w:tcMar>
              <w:top w:w="80" w:type="dxa"/>
              <w:left w:w="80" w:type="dxa"/>
              <w:bottom w:w="80" w:type="dxa"/>
              <w:right w:w="80" w:type="dxa"/>
            </w:tcMar>
          </w:tcPr>
          <w:p w14:paraId="34A39CED"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Compensation is not payable in respect of a disease which is an illness of the mind or a disorder of the mind and which arises substantially from: </w:t>
            </w:r>
          </w:p>
          <w:p w14:paraId="03C7FD94" w14:textId="77777777" w:rsidR="00B55023" w:rsidRPr="00826CC8" w:rsidRDefault="00B55023" w:rsidP="00F839DB">
            <w:pPr>
              <w:pStyle w:val="ListParagraph"/>
              <w:numPr>
                <w:ilvl w:val="0"/>
                <w:numId w:val="127"/>
              </w:numPr>
              <w:spacing w:after="60"/>
              <w:rPr>
                <w:rFonts w:cs="Arial"/>
                <w:color w:val="000000"/>
                <w:sz w:val="14"/>
                <w:szCs w:val="16"/>
                <w:lang w:val="en-GB"/>
              </w:rPr>
            </w:pPr>
            <w:r w:rsidRPr="00826CC8">
              <w:rPr>
                <w:rFonts w:cs="Arial"/>
                <w:color w:val="000000"/>
                <w:sz w:val="14"/>
                <w:szCs w:val="16"/>
                <w:lang w:val="en-GB"/>
              </w:rPr>
              <w:lastRenderedPageBreak/>
              <w:t xml:space="preserve">reasonable action taken in a reasonable manner by an employer to transfer, demote, discipline or counsel a worker or to bring about the cessation of a worker’s employment </w:t>
            </w:r>
          </w:p>
          <w:p w14:paraId="2A57C333" w14:textId="77777777" w:rsidR="00B55023" w:rsidRPr="00826CC8" w:rsidRDefault="00B55023" w:rsidP="00F839DB">
            <w:pPr>
              <w:pStyle w:val="ListParagraph"/>
              <w:numPr>
                <w:ilvl w:val="0"/>
                <w:numId w:val="127"/>
              </w:numPr>
              <w:spacing w:after="60"/>
              <w:rPr>
                <w:rFonts w:cs="Arial"/>
                <w:color w:val="000000"/>
                <w:sz w:val="14"/>
                <w:szCs w:val="16"/>
                <w:lang w:val="en-GB"/>
              </w:rPr>
            </w:pPr>
            <w:r w:rsidRPr="00826CC8">
              <w:rPr>
                <w:rFonts w:cs="Arial"/>
                <w:color w:val="000000"/>
                <w:sz w:val="14"/>
                <w:szCs w:val="16"/>
                <w:lang w:val="en-GB"/>
              </w:rPr>
              <w:t xml:space="preserve">a decision of an employer, based on reasonable grounds, not to award or provide a promotion, transfer or benefit in connection with a worker’s employment </w:t>
            </w:r>
          </w:p>
          <w:p w14:paraId="03E84A5B" w14:textId="77777777" w:rsidR="00B55023" w:rsidRPr="00826CC8" w:rsidRDefault="00B55023" w:rsidP="00F839DB">
            <w:pPr>
              <w:pStyle w:val="ListParagraph"/>
              <w:numPr>
                <w:ilvl w:val="0"/>
                <w:numId w:val="127"/>
              </w:numPr>
              <w:spacing w:after="60"/>
              <w:rPr>
                <w:rFonts w:cs="Arial"/>
                <w:color w:val="000000"/>
                <w:sz w:val="14"/>
                <w:szCs w:val="16"/>
                <w:lang w:val="en-GB"/>
              </w:rPr>
            </w:pPr>
            <w:r w:rsidRPr="00826CC8">
              <w:rPr>
                <w:rFonts w:cs="Arial"/>
                <w:color w:val="000000"/>
                <w:sz w:val="14"/>
                <w:szCs w:val="16"/>
                <w:lang w:val="en-GB"/>
              </w:rPr>
              <w:t xml:space="preserve">reasonable administrative action taken in a reasonable manner by an employer in connection with a worker’s employment </w:t>
            </w:r>
          </w:p>
          <w:p w14:paraId="01793BD6" w14:textId="77777777" w:rsidR="00B55023" w:rsidRPr="00826CC8" w:rsidRDefault="00B55023" w:rsidP="00F839DB">
            <w:pPr>
              <w:pStyle w:val="ListParagraph"/>
              <w:numPr>
                <w:ilvl w:val="0"/>
                <w:numId w:val="127"/>
              </w:numPr>
              <w:spacing w:after="60"/>
              <w:rPr>
                <w:rFonts w:cs="Arial"/>
                <w:color w:val="000000"/>
                <w:sz w:val="14"/>
                <w:szCs w:val="16"/>
                <w:lang w:val="en-GB"/>
              </w:rPr>
            </w:pPr>
            <w:r w:rsidRPr="00826CC8">
              <w:rPr>
                <w:rFonts w:cs="Arial"/>
                <w:color w:val="000000"/>
                <w:sz w:val="14"/>
                <w:szCs w:val="16"/>
                <w:lang w:val="en-GB"/>
              </w:rPr>
              <w:t>the failure of an employer to take action of a type referred to above in relation to a worker in connection with the worker’s employment if there are reasonable grounds for not taking that action, or</w:t>
            </w:r>
          </w:p>
          <w:p w14:paraId="22F92BC1" w14:textId="296A4130" w:rsidR="00B55023" w:rsidRPr="00826CC8" w:rsidRDefault="00B55023" w:rsidP="00F839DB">
            <w:pPr>
              <w:pStyle w:val="ListParagraph"/>
              <w:numPr>
                <w:ilvl w:val="0"/>
                <w:numId w:val="127"/>
              </w:numPr>
              <w:spacing w:after="60"/>
              <w:rPr>
                <w:rFonts w:cs="Arial"/>
                <w:color w:val="000000"/>
                <w:sz w:val="14"/>
                <w:szCs w:val="16"/>
                <w:lang w:val="en-GB"/>
              </w:rPr>
            </w:pPr>
            <w:r w:rsidRPr="00826CC8">
              <w:rPr>
                <w:rFonts w:cs="Arial"/>
                <w:color w:val="000000"/>
                <w:sz w:val="14"/>
                <w:szCs w:val="16"/>
                <w:lang w:val="en-GB"/>
              </w:rPr>
              <w:t xml:space="preserve">reasonable action taken by an employer under this Act in a reasonable manner affecting a worker — </w:t>
            </w:r>
            <w:hyperlink r:id="rId968" w:history="1">
              <w:r w:rsidRPr="00826CC8">
                <w:rPr>
                  <w:rFonts w:cs="Arial"/>
                  <w:color w:val="0000FF"/>
                  <w:sz w:val="14"/>
                  <w:szCs w:val="16"/>
                  <w:u w:val="single"/>
                  <w:lang w:val="en-GB"/>
                </w:rPr>
                <w:t>s25(1A</w:t>
              </w:r>
            </w:hyperlink>
            <w:r w:rsidRPr="00826CC8">
              <w:rPr>
                <w:rFonts w:cs="Arial"/>
                <w:color w:val="000000"/>
                <w:sz w:val="14"/>
                <w:szCs w:val="16"/>
                <w:lang w:val="en-GB"/>
              </w:rPr>
              <w:t>)</w:t>
            </w:r>
            <w:r w:rsidR="00627C2C">
              <w:rPr>
                <w:rFonts w:cs="Arial"/>
                <w:color w:val="000000"/>
                <w:sz w:val="14"/>
                <w:szCs w:val="16"/>
                <w:lang w:val="en-GB"/>
              </w:rPr>
              <w:t xml:space="preserve">, </w:t>
            </w:r>
            <w:r w:rsidR="00627C2C" w:rsidRPr="00016069">
              <w:rPr>
                <w:i/>
                <w:sz w:val="14"/>
              </w:rPr>
              <w:t>Workers Rehabilitation and Compensation Act 1988</w:t>
            </w:r>
          </w:p>
        </w:tc>
        <w:tc>
          <w:tcPr>
            <w:tcW w:w="1559" w:type="dxa"/>
            <w:shd w:val="clear" w:color="auto" w:fill="auto"/>
            <w:tcMar>
              <w:top w:w="80" w:type="dxa"/>
              <w:left w:w="80" w:type="dxa"/>
              <w:bottom w:w="80" w:type="dxa"/>
              <w:right w:w="80" w:type="dxa"/>
            </w:tcMar>
          </w:tcPr>
          <w:p w14:paraId="4C1048A1" w14:textId="77777777" w:rsidR="00B55023" w:rsidRPr="00B55023" w:rsidRDefault="00B55023" w:rsidP="009146AE">
            <w:pPr>
              <w:spacing w:after="60"/>
              <w:rPr>
                <w:rFonts w:cs="Arial"/>
                <w:color w:val="000000"/>
                <w:sz w:val="14"/>
                <w:szCs w:val="16"/>
                <w:lang w:val="en-GB"/>
              </w:rPr>
            </w:pPr>
          </w:p>
        </w:tc>
        <w:tc>
          <w:tcPr>
            <w:tcW w:w="3872" w:type="dxa"/>
            <w:shd w:val="clear" w:color="auto" w:fill="auto"/>
            <w:tcMar>
              <w:top w:w="80" w:type="dxa"/>
              <w:left w:w="80" w:type="dxa"/>
              <w:bottom w:w="80" w:type="dxa"/>
              <w:right w:w="80" w:type="dxa"/>
            </w:tcMar>
          </w:tcPr>
          <w:p w14:paraId="27BF32B3" w14:textId="77777777" w:rsidR="00B55023" w:rsidRPr="00B55023" w:rsidRDefault="00B55023" w:rsidP="009146AE">
            <w:pPr>
              <w:spacing w:after="60"/>
              <w:rPr>
                <w:rFonts w:cs="Arial"/>
                <w:color w:val="000000"/>
                <w:sz w:val="14"/>
                <w:szCs w:val="16"/>
                <w:lang w:val="en-GB"/>
              </w:rPr>
            </w:pPr>
          </w:p>
        </w:tc>
      </w:tr>
      <w:tr w:rsidR="00B55023" w:rsidRPr="00B55023" w14:paraId="0B54D2F3" w14:textId="77777777" w:rsidTr="00854AFF">
        <w:tc>
          <w:tcPr>
            <w:tcW w:w="1768" w:type="dxa"/>
            <w:shd w:val="clear" w:color="auto" w:fill="FFC9C9"/>
            <w:tcMar>
              <w:top w:w="80" w:type="dxa"/>
              <w:left w:w="80" w:type="dxa"/>
              <w:bottom w:w="80" w:type="dxa"/>
              <w:right w:w="80" w:type="dxa"/>
            </w:tcMar>
          </w:tcPr>
          <w:p w14:paraId="07027601"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Northern Territory</w:t>
            </w:r>
          </w:p>
        </w:tc>
        <w:tc>
          <w:tcPr>
            <w:tcW w:w="8222" w:type="dxa"/>
            <w:shd w:val="clear" w:color="auto" w:fill="FFC9C9"/>
            <w:tcMar>
              <w:top w:w="80" w:type="dxa"/>
              <w:left w:w="80" w:type="dxa"/>
              <w:bottom w:w="80" w:type="dxa"/>
              <w:right w:w="80" w:type="dxa"/>
            </w:tcMar>
          </w:tcPr>
          <w:p w14:paraId="0475C6AE" w14:textId="3606819B"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A mental injury is not an injury if due to management action taken on reasonable grou</w:t>
            </w:r>
            <w:r w:rsidR="0006079A">
              <w:rPr>
                <w:rFonts w:cs="Arial"/>
                <w:color w:val="000000"/>
                <w:sz w:val="14"/>
                <w:szCs w:val="16"/>
                <w:lang w:val="en-GB"/>
              </w:rPr>
              <w:t>nds and in a reasonable manner —</w:t>
            </w:r>
            <w:r w:rsidRPr="00B55023">
              <w:rPr>
                <w:rFonts w:cs="Arial"/>
                <w:color w:val="000000"/>
                <w:sz w:val="14"/>
                <w:szCs w:val="16"/>
                <w:lang w:val="en-GB"/>
              </w:rPr>
              <w:t xml:space="preserve"> </w:t>
            </w:r>
            <w:hyperlink r:id="rId969" w:history="1">
              <w:r w:rsidRPr="0006079A">
                <w:rPr>
                  <w:rStyle w:val="Hyperlink"/>
                  <w:rFonts w:cs="Arial"/>
                  <w:sz w:val="14"/>
                  <w:szCs w:val="16"/>
                  <w:lang w:val="en-GB"/>
                </w:rPr>
                <w:t>s3A(2)</w:t>
              </w:r>
            </w:hyperlink>
            <w:r w:rsidR="00627C2C">
              <w:rPr>
                <w:rFonts w:cs="Arial"/>
                <w:color w:val="000000"/>
                <w:sz w:val="14"/>
                <w:szCs w:val="16"/>
                <w:lang w:val="en-GB"/>
              </w:rPr>
              <w:t xml:space="preserve">, </w:t>
            </w:r>
            <w:r w:rsidR="00627C2C" w:rsidRPr="00016069">
              <w:rPr>
                <w:i/>
                <w:sz w:val="14"/>
              </w:rPr>
              <w:t>Return to Work Act</w:t>
            </w:r>
            <w:r w:rsidRPr="00B55023">
              <w:rPr>
                <w:rFonts w:cs="Arial"/>
                <w:color w:val="000000"/>
                <w:sz w:val="14"/>
                <w:szCs w:val="16"/>
                <w:lang w:val="en-GB"/>
              </w:rPr>
              <w:t xml:space="preserve">. See </w:t>
            </w:r>
            <w:hyperlink r:id="rId970" w:history="1">
              <w:r w:rsidRPr="0006079A">
                <w:rPr>
                  <w:rStyle w:val="Hyperlink"/>
                  <w:rFonts w:cs="Arial"/>
                  <w:sz w:val="14"/>
                  <w:szCs w:val="16"/>
                  <w:lang w:val="en-GB"/>
                </w:rPr>
                <w:t>s3(1)</w:t>
              </w:r>
            </w:hyperlink>
            <w:r w:rsidRPr="00B55023">
              <w:rPr>
                <w:rFonts w:cs="Arial"/>
                <w:color w:val="000000"/>
                <w:sz w:val="14"/>
                <w:szCs w:val="16"/>
                <w:lang w:val="en-GB"/>
              </w:rPr>
              <w:t xml:space="preserve"> for definition of ‘management action’</w:t>
            </w:r>
            <w:r w:rsidR="00E13D9F">
              <w:rPr>
                <w:rFonts w:cs="Arial"/>
                <w:color w:val="000000"/>
                <w:sz w:val="14"/>
                <w:szCs w:val="16"/>
                <w:lang w:val="en-GB"/>
              </w:rPr>
              <w:t>.</w:t>
            </w:r>
          </w:p>
        </w:tc>
        <w:tc>
          <w:tcPr>
            <w:tcW w:w="1559" w:type="dxa"/>
            <w:shd w:val="clear" w:color="auto" w:fill="FFC9C9"/>
            <w:tcMar>
              <w:top w:w="80" w:type="dxa"/>
              <w:left w:w="80" w:type="dxa"/>
              <w:bottom w:w="80" w:type="dxa"/>
              <w:right w:w="80" w:type="dxa"/>
            </w:tcMar>
          </w:tcPr>
          <w:p w14:paraId="3553AB2C" w14:textId="62605972"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None</w:t>
            </w:r>
          </w:p>
        </w:tc>
        <w:tc>
          <w:tcPr>
            <w:tcW w:w="3872" w:type="dxa"/>
            <w:shd w:val="clear" w:color="auto" w:fill="FFC9C9"/>
            <w:tcMar>
              <w:top w:w="80" w:type="dxa"/>
              <w:left w:w="80" w:type="dxa"/>
              <w:bottom w:w="80" w:type="dxa"/>
              <w:right w:w="80" w:type="dxa"/>
            </w:tcMar>
          </w:tcPr>
          <w:p w14:paraId="65DA8608" w14:textId="2554503E"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N/A</w:t>
            </w:r>
          </w:p>
        </w:tc>
      </w:tr>
      <w:tr w:rsidR="00B55023" w:rsidRPr="00B55023" w14:paraId="59CC667B" w14:textId="77777777" w:rsidTr="00854AFF">
        <w:tc>
          <w:tcPr>
            <w:tcW w:w="1768" w:type="dxa"/>
            <w:shd w:val="clear" w:color="auto" w:fill="auto"/>
            <w:tcMar>
              <w:top w:w="80" w:type="dxa"/>
              <w:left w:w="80" w:type="dxa"/>
              <w:bottom w:w="80" w:type="dxa"/>
              <w:right w:w="80" w:type="dxa"/>
            </w:tcMar>
          </w:tcPr>
          <w:p w14:paraId="502D7949"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Australian Capital Territory</w:t>
            </w:r>
          </w:p>
        </w:tc>
        <w:tc>
          <w:tcPr>
            <w:tcW w:w="8222" w:type="dxa"/>
            <w:shd w:val="clear" w:color="auto" w:fill="auto"/>
            <w:tcMar>
              <w:top w:w="80" w:type="dxa"/>
              <w:left w:w="80" w:type="dxa"/>
              <w:bottom w:w="80" w:type="dxa"/>
              <w:right w:w="80" w:type="dxa"/>
            </w:tcMar>
          </w:tcPr>
          <w:p w14:paraId="7B92CA85" w14:textId="0C7A3750"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A Mental Injury (including stress) does not include a mental injury (including stress) that is completely or mostly caused by reasonable action taken, or proposed to be taken, by or on behalf of an employer in relation to the transfer, demotion, promotion, performance appraisal, discipline, retrenchment or dismissal of a worker or the provision of an employment benefit to a worker — </w:t>
            </w:r>
            <w:hyperlink r:id="rId971" w:history="1">
              <w:r w:rsidRPr="0006079A">
                <w:rPr>
                  <w:rStyle w:val="Hyperlink"/>
                  <w:rFonts w:cs="Arial"/>
                  <w:sz w:val="14"/>
                  <w:szCs w:val="16"/>
                  <w:lang w:val="en-GB"/>
                </w:rPr>
                <w:t>s4(2)</w:t>
              </w:r>
            </w:hyperlink>
            <w:r w:rsidR="00627C2C">
              <w:rPr>
                <w:rFonts w:cs="Arial"/>
                <w:color w:val="000000"/>
                <w:sz w:val="14"/>
                <w:szCs w:val="16"/>
                <w:lang w:val="en-GB"/>
              </w:rPr>
              <w:t xml:space="preserve">, </w:t>
            </w:r>
            <w:r w:rsidR="00627C2C" w:rsidRPr="00016069">
              <w:rPr>
                <w:i/>
                <w:sz w:val="14"/>
              </w:rPr>
              <w:t>Workers Compensation Act 1951</w:t>
            </w:r>
            <w:r w:rsidRPr="00B55023">
              <w:rPr>
                <w:rFonts w:cs="Arial"/>
                <w:color w:val="000000"/>
                <w:sz w:val="14"/>
                <w:szCs w:val="16"/>
                <w:lang w:val="en-GB"/>
              </w:rPr>
              <w:t>.</w:t>
            </w:r>
          </w:p>
        </w:tc>
        <w:tc>
          <w:tcPr>
            <w:tcW w:w="1559" w:type="dxa"/>
            <w:shd w:val="clear" w:color="auto" w:fill="auto"/>
            <w:tcMar>
              <w:top w:w="80" w:type="dxa"/>
              <w:left w:w="80" w:type="dxa"/>
              <w:bottom w:w="80" w:type="dxa"/>
              <w:right w:w="80" w:type="dxa"/>
            </w:tcMar>
          </w:tcPr>
          <w:p w14:paraId="49704AD3" w14:textId="5E35E982" w:rsidR="00B55023" w:rsidRPr="00B55023" w:rsidRDefault="00AF04A7" w:rsidP="009146AE">
            <w:pPr>
              <w:spacing w:after="60"/>
              <w:rPr>
                <w:rFonts w:cs="Arial"/>
                <w:color w:val="000000"/>
                <w:sz w:val="14"/>
                <w:szCs w:val="16"/>
                <w:lang w:val="en-GB"/>
              </w:rPr>
            </w:pPr>
            <w:r>
              <w:rPr>
                <w:rFonts w:cs="Arial"/>
                <w:color w:val="000000"/>
                <w:sz w:val="14"/>
                <w:szCs w:val="16"/>
                <w:lang w:val="en-GB"/>
              </w:rPr>
              <w:t>0% WPI</w:t>
            </w:r>
          </w:p>
        </w:tc>
        <w:tc>
          <w:tcPr>
            <w:tcW w:w="3872" w:type="dxa"/>
            <w:shd w:val="clear" w:color="auto" w:fill="auto"/>
            <w:tcMar>
              <w:top w:w="80" w:type="dxa"/>
              <w:left w:w="80" w:type="dxa"/>
              <w:bottom w:w="80" w:type="dxa"/>
              <w:right w:w="80" w:type="dxa"/>
            </w:tcMar>
          </w:tcPr>
          <w:p w14:paraId="73F359E4"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w:t>
            </w:r>
          </w:p>
        </w:tc>
      </w:tr>
      <w:tr w:rsidR="00B55023" w:rsidRPr="00B55023" w14:paraId="10D74A3F" w14:textId="77777777" w:rsidTr="00854AFF">
        <w:tc>
          <w:tcPr>
            <w:tcW w:w="1768" w:type="dxa"/>
            <w:shd w:val="clear" w:color="auto" w:fill="FFC9C9"/>
            <w:tcMar>
              <w:top w:w="80" w:type="dxa"/>
              <w:left w:w="80" w:type="dxa"/>
              <w:bottom w:w="80" w:type="dxa"/>
              <w:right w:w="80" w:type="dxa"/>
            </w:tcMar>
          </w:tcPr>
          <w:p w14:paraId="118450D5"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C’wealth Comcare</w:t>
            </w:r>
          </w:p>
        </w:tc>
        <w:tc>
          <w:tcPr>
            <w:tcW w:w="8222" w:type="dxa"/>
            <w:shd w:val="clear" w:color="auto" w:fill="FFC9C9"/>
            <w:tcMar>
              <w:top w:w="80" w:type="dxa"/>
              <w:left w:w="80" w:type="dxa"/>
              <w:bottom w:w="80" w:type="dxa"/>
              <w:right w:w="80" w:type="dxa"/>
            </w:tcMar>
          </w:tcPr>
          <w:p w14:paraId="1C1DAE2F"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Compensation is not payable in respect of an injury (being a disease) if the injury is</w:t>
            </w:r>
            <w:r w:rsidR="00C2268A">
              <w:rPr>
                <w:rFonts w:cs="Arial"/>
                <w:color w:val="000000"/>
                <w:sz w:val="14"/>
                <w:szCs w:val="16"/>
                <w:lang w:val="en-GB"/>
              </w:rPr>
              <w:t>:</w:t>
            </w:r>
          </w:p>
          <w:p w14:paraId="39AFFA65" w14:textId="441914D5" w:rsidR="00B55023" w:rsidRPr="00826CC8" w:rsidRDefault="00B55023" w:rsidP="00F839DB">
            <w:pPr>
              <w:pStyle w:val="ListParagraph"/>
              <w:numPr>
                <w:ilvl w:val="0"/>
                <w:numId w:val="450"/>
              </w:numPr>
              <w:spacing w:after="60"/>
              <w:contextualSpacing/>
              <w:rPr>
                <w:rFonts w:eastAsia="Calibri" w:cs="Arial"/>
                <w:sz w:val="14"/>
                <w:szCs w:val="14"/>
                <w:lang w:eastAsia="en-US"/>
              </w:rPr>
            </w:pPr>
            <w:r w:rsidRPr="00826CC8">
              <w:rPr>
                <w:rFonts w:eastAsia="Calibri" w:cs="Arial"/>
                <w:sz w:val="14"/>
                <w:szCs w:val="14"/>
                <w:lang w:eastAsia="en-US"/>
              </w:rPr>
              <w:t xml:space="preserve">due to reasonable administrative action taken in a reasonable manner in respect of the employee’s employment </w:t>
            </w:r>
            <w:hyperlink r:id="rId972" w:history="1">
              <w:r w:rsidRPr="0006079A">
                <w:rPr>
                  <w:rStyle w:val="Hyperlink"/>
                  <w:rFonts w:eastAsia="Calibri" w:cs="Arial"/>
                  <w:sz w:val="14"/>
                  <w:szCs w:val="14"/>
                  <w:lang w:eastAsia="en-US"/>
                </w:rPr>
                <w:t>s5A(1)</w:t>
              </w:r>
            </w:hyperlink>
            <w:r w:rsidRPr="00826CC8">
              <w:rPr>
                <w:rFonts w:eastAsia="Calibri" w:cs="Arial"/>
                <w:sz w:val="14"/>
                <w:szCs w:val="14"/>
                <w:lang w:eastAsia="en-US"/>
              </w:rPr>
              <w:t xml:space="preserve"> — a non-exclusive list of what might be taken to be ‘reasonable administrative action’ is included at </w:t>
            </w:r>
            <w:hyperlink r:id="rId973" w:history="1">
              <w:r w:rsidRPr="0006079A">
                <w:rPr>
                  <w:rStyle w:val="Hyperlink"/>
                  <w:rFonts w:eastAsia="Calibri" w:cs="Arial"/>
                  <w:sz w:val="14"/>
                  <w:szCs w:val="14"/>
                  <w:lang w:eastAsia="en-US"/>
                </w:rPr>
                <w:t>s5A(2)</w:t>
              </w:r>
            </w:hyperlink>
          </w:p>
          <w:p w14:paraId="2F25CCCF" w14:textId="33BD397C" w:rsidR="00B55023" w:rsidRPr="004C3717" w:rsidRDefault="00B55023" w:rsidP="00F839DB">
            <w:pPr>
              <w:pStyle w:val="ListParagraph"/>
              <w:numPr>
                <w:ilvl w:val="0"/>
                <w:numId w:val="450"/>
              </w:numPr>
              <w:spacing w:after="60"/>
              <w:contextualSpacing/>
              <w:rPr>
                <w:rFonts w:eastAsia="Calibri" w:cs="Arial"/>
                <w:sz w:val="14"/>
                <w:szCs w:val="14"/>
                <w:lang w:eastAsia="en-US"/>
              </w:rPr>
            </w:pPr>
            <w:r w:rsidRPr="004C3717">
              <w:rPr>
                <w:rFonts w:eastAsia="Calibri" w:cs="Arial"/>
                <w:sz w:val="14"/>
                <w:szCs w:val="14"/>
                <w:lang w:eastAsia="en-US"/>
              </w:rPr>
              <w:t xml:space="preserve">intentionally self-inflicted — </w:t>
            </w:r>
            <w:hyperlink r:id="rId974" w:history="1">
              <w:r w:rsidRPr="0006079A">
                <w:rPr>
                  <w:rStyle w:val="Hyperlink"/>
                  <w:rFonts w:eastAsia="Calibri" w:cs="Arial"/>
                  <w:sz w:val="14"/>
                  <w:szCs w:val="14"/>
                  <w:lang w:eastAsia="en-US"/>
                </w:rPr>
                <w:t>s14(2)</w:t>
              </w:r>
            </w:hyperlink>
          </w:p>
          <w:p w14:paraId="582EEC0D" w14:textId="462C9C9E" w:rsidR="00B55023" w:rsidRPr="004C3717" w:rsidRDefault="00B55023" w:rsidP="00F839DB">
            <w:pPr>
              <w:pStyle w:val="ListParagraph"/>
              <w:numPr>
                <w:ilvl w:val="0"/>
                <w:numId w:val="450"/>
              </w:numPr>
              <w:spacing w:after="60"/>
              <w:contextualSpacing/>
              <w:rPr>
                <w:rFonts w:eastAsia="Calibri" w:cs="Arial"/>
                <w:sz w:val="14"/>
                <w:szCs w:val="14"/>
                <w:lang w:eastAsia="en-US"/>
              </w:rPr>
            </w:pPr>
            <w:r w:rsidRPr="004C3717">
              <w:rPr>
                <w:rFonts w:eastAsia="Calibri" w:cs="Arial"/>
                <w:sz w:val="14"/>
                <w:szCs w:val="14"/>
                <w:lang w:eastAsia="en-US"/>
              </w:rPr>
              <w:t xml:space="preserve">a disease, or an aggravation of a disease, which the employee had made a wilful and false representation that he or she did not suffer, or had not previously suffered, for purposes connected with his or her employment or proposed employment by the Commonwealth or a licensed corporation — </w:t>
            </w:r>
            <w:hyperlink r:id="rId975" w:history="1">
              <w:r w:rsidRPr="0006079A">
                <w:rPr>
                  <w:rStyle w:val="Hyperlink"/>
                  <w:rFonts w:eastAsia="Calibri" w:cs="Arial"/>
                  <w:sz w:val="14"/>
                  <w:szCs w:val="14"/>
                  <w:lang w:eastAsia="en-US"/>
                </w:rPr>
                <w:t>s7(7)</w:t>
              </w:r>
            </w:hyperlink>
            <w:r w:rsidR="00627C2C">
              <w:rPr>
                <w:rFonts w:eastAsia="Calibri" w:cs="Arial"/>
                <w:sz w:val="14"/>
                <w:szCs w:val="14"/>
                <w:lang w:eastAsia="en-US"/>
              </w:rPr>
              <w:t xml:space="preserve">, </w:t>
            </w:r>
            <w:r w:rsidR="00627C2C" w:rsidRPr="00016069">
              <w:rPr>
                <w:i/>
                <w:sz w:val="14"/>
              </w:rPr>
              <w:t>Safety, Rehabilitation and Compensation Act 1988</w:t>
            </w:r>
            <w:r w:rsidR="00C2268A">
              <w:rPr>
                <w:rFonts w:eastAsia="Calibri" w:cs="Arial"/>
                <w:sz w:val="14"/>
                <w:szCs w:val="14"/>
                <w:lang w:eastAsia="en-US"/>
              </w:rPr>
              <w:t>.</w:t>
            </w:r>
          </w:p>
        </w:tc>
        <w:tc>
          <w:tcPr>
            <w:tcW w:w="1559" w:type="dxa"/>
            <w:shd w:val="clear" w:color="auto" w:fill="FFC9C9"/>
            <w:tcMar>
              <w:top w:w="80" w:type="dxa"/>
              <w:left w:w="80" w:type="dxa"/>
              <w:bottom w:w="80" w:type="dxa"/>
              <w:right w:w="80" w:type="dxa"/>
            </w:tcMar>
          </w:tcPr>
          <w:p w14:paraId="1B229A2C" w14:textId="60FE563D" w:rsidR="00B55023" w:rsidRPr="00B55023" w:rsidRDefault="00AF04A7" w:rsidP="009146AE">
            <w:pPr>
              <w:spacing w:after="60"/>
              <w:rPr>
                <w:rFonts w:cs="Arial"/>
                <w:color w:val="000000"/>
                <w:sz w:val="14"/>
                <w:szCs w:val="16"/>
                <w:lang w:val="en-GB"/>
              </w:rPr>
            </w:pPr>
            <w:r>
              <w:rPr>
                <w:rFonts w:cs="Arial"/>
                <w:color w:val="000000"/>
                <w:sz w:val="14"/>
                <w:szCs w:val="16"/>
                <w:lang w:val="en-GB"/>
              </w:rPr>
              <w:t>10% WPI</w:t>
            </w:r>
          </w:p>
        </w:tc>
        <w:tc>
          <w:tcPr>
            <w:tcW w:w="3872" w:type="dxa"/>
            <w:shd w:val="clear" w:color="auto" w:fill="FFC9C9"/>
            <w:tcMar>
              <w:top w:w="80" w:type="dxa"/>
              <w:left w:w="80" w:type="dxa"/>
              <w:bottom w:w="80" w:type="dxa"/>
              <w:right w:w="80" w:type="dxa"/>
            </w:tcMar>
          </w:tcPr>
          <w:p w14:paraId="19814F98" w14:textId="644DE27D"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Comca</w:t>
            </w:r>
            <w:r w:rsidR="00AF04A7">
              <w:rPr>
                <w:rFonts w:cs="Arial"/>
                <w:color w:val="000000"/>
                <w:sz w:val="14"/>
                <w:szCs w:val="16"/>
                <w:lang w:val="en-GB"/>
              </w:rPr>
              <w:t>re Guide Edition 2.1, Chapter 5</w:t>
            </w:r>
          </w:p>
        </w:tc>
      </w:tr>
      <w:tr w:rsidR="00B55023" w:rsidRPr="00B55023" w14:paraId="47167215" w14:textId="77777777" w:rsidTr="00854AFF">
        <w:tc>
          <w:tcPr>
            <w:tcW w:w="1768" w:type="dxa"/>
            <w:shd w:val="clear" w:color="auto" w:fill="auto"/>
            <w:tcMar>
              <w:top w:w="80" w:type="dxa"/>
              <w:left w:w="80" w:type="dxa"/>
              <w:bottom w:w="80" w:type="dxa"/>
              <w:right w:w="80" w:type="dxa"/>
            </w:tcMar>
          </w:tcPr>
          <w:p w14:paraId="2E480610"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C’wealth Seacare</w:t>
            </w:r>
          </w:p>
        </w:tc>
        <w:tc>
          <w:tcPr>
            <w:tcW w:w="8222" w:type="dxa"/>
            <w:shd w:val="clear" w:color="auto" w:fill="auto"/>
            <w:tcMar>
              <w:top w:w="80" w:type="dxa"/>
              <w:left w:w="80" w:type="dxa"/>
              <w:bottom w:w="80" w:type="dxa"/>
              <w:right w:w="80" w:type="dxa"/>
            </w:tcMar>
          </w:tcPr>
          <w:p w14:paraId="1C1D6FFA"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Compensation is not payable in respect of an injury (being a disease) if the injury is:</w:t>
            </w:r>
          </w:p>
          <w:p w14:paraId="305D8D55" w14:textId="32E42DCC" w:rsidR="00B55023" w:rsidRPr="00826CC8" w:rsidRDefault="00B55023" w:rsidP="00F839DB">
            <w:pPr>
              <w:pStyle w:val="ListParagraph"/>
              <w:numPr>
                <w:ilvl w:val="0"/>
                <w:numId w:val="128"/>
              </w:numPr>
              <w:spacing w:after="60"/>
              <w:contextualSpacing/>
              <w:rPr>
                <w:rFonts w:eastAsia="Calibri" w:cs="Arial"/>
                <w:sz w:val="14"/>
                <w:szCs w:val="14"/>
                <w:lang w:eastAsia="en-US"/>
              </w:rPr>
            </w:pPr>
            <w:r w:rsidRPr="00826CC8">
              <w:rPr>
                <w:rFonts w:eastAsia="Calibri" w:cs="Arial"/>
                <w:sz w:val="14"/>
                <w:szCs w:val="14"/>
                <w:lang w:eastAsia="en-US"/>
              </w:rPr>
              <w:t xml:space="preserve">due to reasonable disciplinary action or failure by the employee to obtain a promotion, transfer or benefit in connection with his or her employment </w:t>
            </w:r>
            <w:r w:rsidR="0006079A">
              <w:rPr>
                <w:rFonts w:eastAsia="Calibri" w:cs="Arial"/>
                <w:sz w:val="14"/>
                <w:szCs w:val="14"/>
                <w:lang w:eastAsia="en-US"/>
              </w:rPr>
              <w:t xml:space="preserve">— </w:t>
            </w:r>
            <w:hyperlink r:id="rId976" w:history="1">
              <w:r w:rsidRPr="0006079A">
                <w:rPr>
                  <w:rStyle w:val="Hyperlink"/>
                  <w:rFonts w:eastAsia="Calibri" w:cs="Arial"/>
                  <w:sz w:val="14"/>
                  <w:szCs w:val="14"/>
                  <w:lang w:eastAsia="en-US"/>
                </w:rPr>
                <w:t>s3</w:t>
              </w:r>
            </w:hyperlink>
          </w:p>
          <w:p w14:paraId="1003C29C" w14:textId="21E160E3" w:rsidR="00B55023" w:rsidRPr="00826CC8" w:rsidRDefault="00B55023" w:rsidP="00F839DB">
            <w:pPr>
              <w:pStyle w:val="ListParagraph"/>
              <w:numPr>
                <w:ilvl w:val="0"/>
                <w:numId w:val="128"/>
              </w:numPr>
              <w:spacing w:after="60"/>
              <w:contextualSpacing/>
              <w:rPr>
                <w:rFonts w:eastAsia="Calibri" w:cs="Arial"/>
                <w:sz w:val="14"/>
                <w:szCs w:val="14"/>
                <w:lang w:eastAsia="en-US"/>
              </w:rPr>
            </w:pPr>
            <w:r w:rsidRPr="00826CC8">
              <w:rPr>
                <w:rFonts w:eastAsia="Calibri" w:cs="Arial"/>
                <w:sz w:val="14"/>
                <w:szCs w:val="14"/>
                <w:lang w:eastAsia="en-US"/>
              </w:rPr>
              <w:t xml:space="preserve">intentionally self-inflicted — </w:t>
            </w:r>
            <w:hyperlink r:id="rId977" w:history="1">
              <w:r w:rsidRPr="0006079A">
                <w:rPr>
                  <w:rStyle w:val="Hyperlink"/>
                  <w:rFonts w:eastAsia="Calibri" w:cs="Arial"/>
                  <w:sz w:val="14"/>
                  <w:szCs w:val="14"/>
                  <w:lang w:eastAsia="en-US"/>
                </w:rPr>
                <w:t>s26(2)</w:t>
              </w:r>
            </w:hyperlink>
          </w:p>
          <w:p w14:paraId="7B4D8E25" w14:textId="751EE187" w:rsidR="00B55023" w:rsidRPr="00826CC8" w:rsidRDefault="00B55023" w:rsidP="00F839DB">
            <w:pPr>
              <w:pStyle w:val="ListParagraph"/>
              <w:numPr>
                <w:ilvl w:val="0"/>
                <w:numId w:val="128"/>
              </w:numPr>
              <w:spacing w:after="60"/>
              <w:contextualSpacing/>
              <w:rPr>
                <w:rFonts w:eastAsia="Calibri" w:cs="Arial"/>
                <w:sz w:val="14"/>
                <w:szCs w:val="14"/>
                <w:lang w:eastAsia="en-US"/>
              </w:rPr>
            </w:pPr>
            <w:r w:rsidRPr="00826CC8">
              <w:rPr>
                <w:rFonts w:eastAsia="Calibri" w:cs="Arial"/>
                <w:sz w:val="14"/>
                <w:szCs w:val="14"/>
                <w:lang w:eastAsia="en-US"/>
              </w:rPr>
              <w:t xml:space="preserve">a disease, or an aggravation of a disease, which the employee made a wilful and false representation that he or she did not suffer, or had not previously suffered from that disease, for the purposes connected with his or her employment — </w:t>
            </w:r>
            <w:hyperlink r:id="rId978" w:history="1">
              <w:r w:rsidRPr="0006079A">
                <w:rPr>
                  <w:rStyle w:val="Hyperlink"/>
                  <w:rFonts w:eastAsia="Calibri" w:cs="Arial"/>
                  <w:sz w:val="14"/>
                  <w:szCs w:val="14"/>
                  <w:lang w:eastAsia="en-US"/>
                </w:rPr>
                <w:t>s10(7)</w:t>
              </w:r>
            </w:hyperlink>
            <w:r w:rsidR="00627C2C">
              <w:rPr>
                <w:rFonts w:eastAsia="Calibri" w:cs="Arial"/>
                <w:sz w:val="14"/>
                <w:szCs w:val="14"/>
                <w:lang w:eastAsia="en-US"/>
              </w:rPr>
              <w:t xml:space="preserve">, </w:t>
            </w:r>
            <w:r w:rsidR="00627C2C" w:rsidRPr="00016069">
              <w:rPr>
                <w:i/>
                <w:sz w:val="14"/>
              </w:rPr>
              <w:t>Seafarers Rehabilitation and Compensation Act 1992</w:t>
            </w:r>
            <w:r w:rsidR="00C2268A">
              <w:rPr>
                <w:rFonts w:eastAsia="Calibri" w:cs="Arial"/>
                <w:sz w:val="14"/>
                <w:szCs w:val="14"/>
                <w:lang w:eastAsia="en-US"/>
              </w:rPr>
              <w:t>.</w:t>
            </w:r>
          </w:p>
        </w:tc>
        <w:tc>
          <w:tcPr>
            <w:tcW w:w="1559" w:type="dxa"/>
            <w:shd w:val="clear" w:color="auto" w:fill="auto"/>
            <w:tcMar>
              <w:top w:w="80" w:type="dxa"/>
              <w:left w:w="80" w:type="dxa"/>
              <w:bottom w:w="80" w:type="dxa"/>
              <w:right w:w="80" w:type="dxa"/>
            </w:tcMar>
          </w:tcPr>
          <w:p w14:paraId="69531979" w14:textId="4E56D919" w:rsidR="00B55023" w:rsidRPr="00B55023" w:rsidRDefault="00AF04A7" w:rsidP="009146AE">
            <w:pPr>
              <w:spacing w:after="60"/>
              <w:rPr>
                <w:rFonts w:cs="Arial"/>
                <w:color w:val="000000"/>
                <w:sz w:val="14"/>
                <w:szCs w:val="16"/>
                <w:lang w:val="en-GB"/>
              </w:rPr>
            </w:pPr>
            <w:r>
              <w:rPr>
                <w:rFonts w:cs="Arial"/>
                <w:color w:val="000000"/>
                <w:sz w:val="14"/>
                <w:szCs w:val="16"/>
                <w:lang w:val="en-GB"/>
              </w:rPr>
              <w:t>10% WPI</w:t>
            </w:r>
          </w:p>
        </w:tc>
        <w:tc>
          <w:tcPr>
            <w:tcW w:w="3872" w:type="dxa"/>
            <w:shd w:val="clear" w:color="auto" w:fill="auto"/>
            <w:tcMar>
              <w:top w:w="80" w:type="dxa"/>
              <w:left w:w="80" w:type="dxa"/>
              <w:bottom w:w="80" w:type="dxa"/>
              <w:right w:w="80" w:type="dxa"/>
            </w:tcMar>
          </w:tcPr>
          <w:p w14:paraId="340536DC" w14:textId="1AF6AE94"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Seacare Authority Guide 2.1, Chapter 5</w:t>
            </w:r>
          </w:p>
        </w:tc>
      </w:tr>
      <w:tr w:rsidR="00B55023" w:rsidRPr="00B55023" w14:paraId="7C7E69CA" w14:textId="77777777" w:rsidTr="00854AFF">
        <w:tc>
          <w:tcPr>
            <w:tcW w:w="1768" w:type="dxa"/>
            <w:shd w:val="clear" w:color="auto" w:fill="FFC9C9"/>
            <w:tcMar>
              <w:top w:w="80" w:type="dxa"/>
              <w:left w:w="80" w:type="dxa"/>
              <w:bottom w:w="80" w:type="dxa"/>
              <w:right w:w="80" w:type="dxa"/>
            </w:tcMar>
          </w:tcPr>
          <w:p w14:paraId="43237981"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C’wealth DVA</w:t>
            </w:r>
          </w:p>
        </w:tc>
        <w:tc>
          <w:tcPr>
            <w:tcW w:w="8222" w:type="dxa"/>
            <w:shd w:val="clear" w:color="auto" w:fill="FFC9C9"/>
            <w:tcMar>
              <w:top w:w="80" w:type="dxa"/>
              <w:left w:w="80" w:type="dxa"/>
              <w:bottom w:w="80" w:type="dxa"/>
              <w:right w:w="80" w:type="dxa"/>
            </w:tcMar>
          </w:tcPr>
          <w:p w14:paraId="586C6F44" w14:textId="42A6C372" w:rsidR="00B55023" w:rsidRDefault="00627C2C" w:rsidP="009146AE">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23561D">
              <w:rPr>
                <w:rFonts w:cs="Arial"/>
                <w:color w:val="000000"/>
                <w:sz w:val="14"/>
                <w:szCs w:val="16"/>
                <w:lang w:val="en-GB"/>
              </w:rPr>
              <w:t>MRCA</w:t>
            </w:r>
            <w:r>
              <w:rPr>
                <w:rFonts w:cs="Arial"/>
                <w:color w:val="000000"/>
                <w:sz w:val="14"/>
                <w:szCs w:val="16"/>
                <w:lang w:val="en-GB"/>
              </w:rPr>
              <w:t>)</w:t>
            </w:r>
            <w:r w:rsidR="0023561D">
              <w:rPr>
                <w:rFonts w:cs="Arial"/>
                <w:color w:val="000000"/>
                <w:sz w:val="14"/>
                <w:szCs w:val="16"/>
                <w:lang w:val="en-GB"/>
              </w:rPr>
              <w:t xml:space="preserve"> — </w:t>
            </w:r>
            <w:r w:rsidR="00B55023" w:rsidRPr="00B55023">
              <w:rPr>
                <w:rFonts w:cs="Arial"/>
                <w:color w:val="000000"/>
                <w:sz w:val="14"/>
                <w:szCs w:val="16"/>
                <w:lang w:val="en-GB"/>
              </w:rPr>
              <w:t xml:space="preserve">Psychological injuries are not treated any differently </w:t>
            </w:r>
            <w:r w:rsidR="00AF04A7">
              <w:rPr>
                <w:rFonts w:cs="Arial"/>
                <w:color w:val="000000"/>
                <w:sz w:val="14"/>
                <w:szCs w:val="16"/>
                <w:lang w:val="en-GB"/>
              </w:rPr>
              <w:t>than other injuries or diseases</w:t>
            </w:r>
          </w:p>
          <w:p w14:paraId="52F576CB" w14:textId="77777777" w:rsidR="0023561D" w:rsidRDefault="0023561D" w:rsidP="00662C41">
            <w:pPr>
              <w:spacing w:after="840"/>
              <w:rPr>
                <w:rFonts w:cs="Arial"/>
                <w:color w:val="000000"/>
                <w:sz w:val="14"/>
                <w:szCs w:val="16"/>
                <w:lang w:val="en-GB"/>
              </w:rPr>
            </w:pPr>
          </w:p>
          <w:p w14:paraId="3408B5C3" w14:textId="6D958496" w:rsidR="0023561D" w:rsidRDefault="00627C2C" w:rsidP="009146AE">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23561D">
              <w:rPr>
                <w:rFonts w:cs="Arial"/>
                <w:color w:val="000000"/>
                <w:sz w:val="14"/>
                <w:szCs w:val="16"/>
                <w:lang w:val="en-GB"/>
              </w:rPr>
              <w:t>DRCA</w:t>
            </w:r>
            <w:r>
              <w:rPr>
                <w:rFonts w:cs="Arial"/>
                <w:color w:val="000000"/>
                <w:sz w:val="14"/>
                <w:szCs w:val="16"/>
                <w:lang w:val="en-GB"/>
              </w:rPr>
              <w:t>)</w:t>
            </w:r>
            <w:r w:rsidR="0023561D">
              <w:rPr>
                <w:rFonts w:cs="Arial"/>
                <w:color w:val="000000"/>
                <w:sz w:val="14"/>
                <w:szCs w:val="16"/>
                <w:lang w:val="en-GB"/>
              </w:rPr>
              <w:t xml:space="preserve"> — Compensation is not payable in respect of an injury (being a disease) if the injury is:</w:t>
            </w:r>
          </w:p>
          <w:p w14:paraId="498A71A8" w14:textId="5358AD18" w:rsidR="0023561D" w:rsidRPr="0023561D" w:rsidRDefault="0023561D" w:rsidP="00F839DB">
            <w:pPr>
              <w:pStyle w:val="ListParagraph"/>
              <w:numPr>
                <w:ilvl w:val="0"/>
                <w:numId w:val="552"/>
              </w:numPr>
              <w:spacing w:after="60"/>
              <w:ind w:left="345"/>
              <w:jc w:val="both"/>
              <w:rPr>
                <w:rFonts w:cs="Arial"/>
                <w:color w:val="000000"/>
                <w:sz w:val="14"/>
                <w:szCs w:val="16"/>
                <w:lang w:val="en-GB"/>
              </w:rPr>
            </w:pPr>
            <w:r w:rsidRPr="0023561D">
              <w:rPr>
                <w:rFonts w:cs="Arial"/>
                <w:color w:val="000000"/>
                <w:sz w:val="14"/>
                <w:szCs w:val="16"/>
                <w:lang w:val="en-GB"/>
              </w:rPr>
              <w:t xml:space="preserve">due to reasonable administrative action taken in a reasonable manner in respect of the employee’s employment </w:t>
            </w:r>
            <w:hyperlink r:id="rId979" w:history="1">
              <w:r w:rsidRPr="00667353">
                <w:rPr>
                  <w:rStyle w:val="Hyperlink"/>
                  <w:rFonts w:cs="Arial"/>
                  <w:sz w:val="14"/>
                  <w:szCs w:val="16"/>
                  <w:lang w:val="en-GB"/>
                </w:rPr>
                <w:t>s5A(1)</w:t>
              </w:r>
            </w:hyperlink>
            <w:r w:rsidRPr="0023561D">
              <w:rPr>
                <w:rFonts w:cs="Arial"/>
                <w:color w:val="000000"/>
                <w:sz w:val="14"/>
                <w:szCs w:val="16"/>
                <w:lang w:val="en-GB"/>
              </w:rPr>
              <w:t xml:space="preserve"> — a non-exclusive list of what might be taken to be ‘reasonable administrative action’ is included at </w:t>
            </w:r>
            <w:hyperlink r:id="rId980" w:history="1">
              <w:r w:rsidRPr="00667353">
                <w:rPr>
                  <w:rStyle w:val="Hyperlink"/>
                  <w:rFonts w:cs="Arial"/>
                  <w:sz w:val="14"/>
                  <w:szCs w:val="16"/>
                  <w:lang w:val="en-GB"/>
                </w:rPr>
                <w:t>s5A(2)</w:t>
              </w:r>
            </w:hyperlink>
          </w:p>
          <w:p w14:paraId="74A37335" w14:textId="7B9616BF" w:rsidR="0023561D" w:rsidRDefault="0023561D" w:rsidP="00F839DB">
            <w:pPr>
              <w:pStyle w:val="ListParagraph"/>
              <w:numPr>
                <w:ilvl w:val="0"/>
                <w:numId w:val="552"/>
              </w:numPr>
              <w:spacing w:after="60"/>
              <w:ind w:left="345"/>
              <w:rPr>
                <w:rFonts w:cs="Arial"/>
                <w:color w:val="000000"/>
                <w:sz w:val="14"/>
                <w:szCs w:val="16"/>
                <w:lang w:val="en-GB"/>
              </w:rPr>
            </w:pPr>
            <w:r w:rsidRPr="0023561D">
              <w:rPr>
                <w:rFonts w:cs="Arial"/>
                <w:color w:val="000000"/>
                <w:sz w:val="14"/>
                <w:szCs w:val="16"/>
                <w:lang w:val="en-GB"/>
              </w:rPr>
              <w:t xml:space="preserve">intentionally self-inflicted — </w:t>
            </w:r>
            <w:hyperlink r:id="rId981" w:history="1">
              <w:r w:rsidRPr="00667353">
                <w:rPr>
                  <w:rStyle w:val="Hyperlink"/>
                  <w:rFonts w:cs="Arial"/>
                  <w:sz w:val="14"/>
                  <w:szCs w:val="16"/>
                  <w:lang w:val="en-GB"/>
                </w:rPr>
                <w:t>s14(2)</w:t>
              </w:r>
            </w:hyperlink>
          </w:p>
          <w:p w14:paraId="42F91697" w14:textId="379B6E20" w:rsidR="0023561D" w:rsidRPr="0023561D" w:rsidRDefault="0023561D" w:rsidP="00F839DB">
            <w:pPr>
              <w:pStyle w:val="ListParagraph"/>
              <w:numPr>
                <w:ilvl w:val="0"/>
                <w:numId w:val="552"/>
              </w:numPr>
              <w:spacing w:after="60"/>
              <w:ind w:left="345"/>
              <w:rPr>
                <w:rFonts w:cs="Arial"/>
                <w:color w:val="000000"/>
                <w:sz w:val="14"/>
                <w:szCs w:val="16"/>
                <w:lang w:val="en-GB"/>
              </w:rPr>
            </w:pPr>
            <w:r w:rsidRPr="0023561D">
              <w:rPr>
                <w:rFonts w:cs="Arial"/>
                <w:color w:val="000000"/>
                <w:sz w:val="14"/>
                <w:szCs w:val="16"/>
                <w:lang w:val="en-GB"/>
              </w:rPr>
              <w:t xml:space="preserve">a disease, or an aggravation of a disease, which the employee had made a wilful and false representation that he or she did </w:t>
            </w:r>
            <w:r w:rsidRPr="0023561D">
              <w:rPr>
                <w:rFonts w:cs="Arial"/>
                <w:color w:val="000000"/>
                <w:sz w:val="14"/>
                <w:szCs w:val="16"/>
                <w:lang w:val="en-GB"/>
              </w:rPr>
              <w:lastRenderedPageBreak/>
              <w:t xml:space="preserve">not suffer, or had not previously suffered, for purposes connected with his or her employment or proposed employment by the Commonwealth or a licensed corporation — </w:t>
            </w:r>
            <w:hyperlink r:id="rId982" w:history="1">
              <w:r w:rsidRPr="00667353">
                <w:rPr>
                  <w:rStyle w:val="Hyperlink"/>
                  <w:rFonts w:cs="Arial"/>
                  <w:sz w:val="14"/>
                  <w:szCs w:val="16"/>
                  <w:lang w:val="en-GB"/>
                </w:rPr>
                <w:t>s7(7)</w:t>
              </w:r>
            </w:hyperlink>
            <w:r w:rsidRPr="0023561D">
              <w:rPr>
                <w:rFonts w:cs="Arial"/>
                <w:color w:val="000000"/>
                <w:sz w:val="14"/>
                <w:szCs w:val="16"/>
                <w:lang w:val="en-GB"/>
              </w:rPr>
              <w:t>.</w:t>
            </w:r>
          </w:p>
        </w:tc>
        <w:tc>
          <w:tcPr>
            <w:tcW w:w="1559" w:type="dxa"/>
            <w:shd w:val="clear" w:color="auto" w:fill="FFC9C9"/>
            <w:tcMar>
              <w:top w:w="80" w:type="dxa"/>
              <w:left w:w="80" w:type="dxa"/>
              <w:bottom w:w="80" w:type="dxa"/>
              <w:right w:w="80" w:type="dxa"/>
            </w:tcMar>
          </w:tcPr>
          <w:p w14:paraId="39F23A9B" w14:textId="77777777" w:rsidR="0023561D" w:rsidRDefault="0023561D" w:rsidP="009146AE">
            <w:pPr>
              <w:spacing w:after="60"/>
              <w:rPr>
                <w:rFonts w:cs="Arial"/>
                <w:color w:val="000000"/>
                <w:sz w:val="14"/>
                <w:szCs w:val="16"/>
                <w:lang w:val="en-GB"/>
              </w:rPr>
            </w:pPr>
            <w:r>
              <w:rPr>
                <w:rFonts w:cs="Arial"/>
                <w:color w:val="000000"/>
                <w:sz w:val="14"/>
                <w:szCs w:val="16"/>
                <w:lang w:val="en-GB"/>
              </w:rPr>
              <w:lastRenderedPageBreak/>
              <w:t>MRCA</w:t>
            </w:r>
          </w:p>
          <w:p w14:paraId="5724F189" w14:textId="77777777" w:rsidR="00B55023" w:rsidRDefault="00B55023" w:rsidP="009146AE">
            <w:pPr>
              <w:spacing w:after="60"/>
              <w:rPr>
                <w:rFonts w:cs="Arial"/>
                <w:color w:val="000000"/>
                <w:sz w:val="14"/>
                <w:szCs w:val="16"/>
                <w:lang w:val="en-GB"/>
              </w:rPr>
            </w:pPr>
            <w:r w:rsidRPr="00B55023">
              <w:rPr>
                <w:rFonts w:cs="Arial"/>
                <w:color w:val="000000"/>
                <w:sz w:val="14"/>
                <w:szCs w:val="16"/>
                <w:lang w:val="en-GB"/>
              </w:rPr>
              <w:t>Initial compensati</w:t>
            </w:r>
            <w:r w:rsidR="00854AFF">
              <w:rPr>
                <w:rFonts w:cs="Arial"/>
                <w:color w:val="000000"/>
                <w:sz w:val="14"/>
                <w:szCs w:val="16"/>
                <w:lang w:val="en-GB"/>
              </w:rPr>
              <w:t>on — 10 impairment poin</w:t>
            </w:r>
            <w:r w:rsidR="00AF04A7">
              <w:rPr>
                <w:rFonts w:cs="Arial"/>
                <w:color w:val="000000"/>
                <w:sz w:val="14"/>
                <w:szCs w:val="16"/>
                <w:lang w:val="en-GB"/>
              </w:rPr>
              <w:t>ts (IP)</w:t>
            </w:r>
          </w:p>
          <w:p w14:paraId="757B7AD9" w14:textId="77777777" w:rsidR="0023561D" w:rsidRDefault="0023561D" w:rsidP="009146AE">
            <w:pPr>
              <w:spacing w:after="60"/>
              <w:rPr>
                <w:rFonts w:cs="Arial"/>
                <w:color w:val="000000"/>
                <w:sz w:val="14"/>
                <w:szCs w:val="16"/>
                <w:lang w:val="en-GB"/>
              </w:rPr>
            </w:pPr>
          </w:p>
          <w:p w14:paraId="4A3EADCD" w14:textId="77777777" w:rsidR="0023561D" w:rsidRDefault="0023561D" w:rsidP="008D22A0">
            <w:pPr>
              <w:spacing w:after="200"/>
              <w:rPr>
                <w:rFonts w:cs="Arial"/>
                <w:color w:val="000000"/>
                <w:sz w:val="14"/>
                <w:szCs w:val="16"/>
                <w:lang w:val="en-GB"/>
              </w:rPr>
            </w:pPr>
          </w:p>
          <w:p w14:paraId="5E53499D" w14:textId="77777777" w:rsidR="0023561D" w:rsidRDefault="0023561D" w:rsidP="009146AE">
            <w:pPr>
              <w:spacing w:after="60"/>
              <w:rPr>
                <w:rFonts w:cs="Arial"/>
                <w:color w:val="000000"/>
                <w:sz w:val="14"/>
                <w:szCs w:val="16"/>
                <w:lang w:val="en-GB"/>
              </w:rPr>
            </w:pPr>
            <w:r>
              <w:rPr>
                <w:rFonts w:cs="Arial"/>
                <w:color w:val="000000"/>
                <w:sz w:val="14"/>
                <w:szCs w:val="16"/>
                <w:lang w:val="en-GB"/>
              </w:rPr>
              <w:t>DRCA</w:t>
            </w:r>
          </w:p>
          <w:p w14:paraId="1FF71657" w14:textId="6292412A" w:rsidR="0023561D" w:rsidRPr="00B55023" w:rsidRDefault="0023561D" w:rsidP="009146AE">
            <w:pPr>
              <w:spacing w:after="60"/>
              <w:rPr>
                <w:rFonts w:cs="Arial"/>
                <w:color w:val="000000"/>
                <w:sz w:val="14"/>
                <w:szCs w:val="16"/>
                <w:lang w:val="en-GB"/>
              </w:rPr>
            </w:pPr>
            <w:r>
              <w:rPr>
                <w:rFonts w:cs="Arial"/>
                <w:color w:val="000000"/>
                <w:sz w:val="14"/>
                <w:szCs w:val="16"/>
                <w:lang w:val="en-GB"/>
              </w:rPr>
              <w:t>10% WPI</w:t>
            </w:r>
          </w:p>
        </w:tc>
        <w:tc>
          <w:tcPr>
            <w:tcW w:w="3872" w:type="dxa"/>
            <w:shd w:val="clear" w:color="auto" w:fill="FFC9C9"/>
            <w:tcMar>
              <w:top w:w="80" w:type="dxa"/>
              <w:left w:w="80" w:type="dxa"/>
              <w:bottom w:w="80" w:type="dxa"/>
              <w:right w:w="80" w:type="dxa"/>
            </w:tcMar>
          </w:tcPr>
          <w:p w14:paraId="57FA1080" w14:textId="77777777" w:rsidR="0023561D" w:rsidRDefault="0023561D" w:rsidP="009146AE">
            <w:pPr>
              <w:spacing w:after="60"/>
              <w:rPr>
                <w:rFonts w:cs="Arial"/>
                <w:color w:val="000000"/>
                <w:sz w:val="14"/>
                <w:szCs w:val="16"/>
                <w:lang w:val="en-GB"/>
              </w:rPr>
            </w:pPr>
            <w:r>
              <w:rPr>
                <w:rFonts w:cs="Arial"/>
                <w:color w:val="000000"/>
                <w:sz w:val="14"/>
                <w:szCs w:val="16"/>
                <w:lang w:val="en-GB"/>
              </w:rPr>
              <w:t>MRCA</w:t>
            </w:r>
          </w:p>
          <w:p w14:paraId="6520BAA1"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Additional compensation — </w:t>
            </w:r>
          </w:p>
          <w:p w14:paraId="33A4A714" w14:textId="17B357B5" w:rsidR="00B55023" w:rsidRPr="00B55023" w:rsidRDefault="00AF04A7" w:rsidP="009146AE">
            <w:pPr>
              <w:spacing w:after="60"/>
              <w:rPr>
                <w:rFonts w:cs="Arial"/>
                <w:color w:val="000000"/>
                <w:sz w:val="14"/>
                <w:szCs w:val="16"/>
                <w:lang w:val="en-GB"/>
              </w:rPr>
            </w:pPr>
            <w:r>
              <w:rPr>
                <w:rFonts w:cs="Arial"/>
                <w:color w:val="000000"/>
                <w:sz w:val="14"/>
                <w:szCs w:val="16"/>
                <w:lang w:val="en-GB"/>
              </w:rPr>
              <w:t>5 IPs</w:t>
            </w:r>
          </w:p>
          <w:p w14:paraId="1FDACDCA" w14:textId="77777777" w:rsidR="00B55023" w:rsidRDefault="00A7538C" w:rsidP="00E13D9F">
            <w:pPr>
              <w:spacing w:after="60"/>
              <w:rPr>
                <w:rFonts w:cs="Arial"/>
                <w:color w:val="0000FF"/>
                <w:sz w:val="14"/>
                <w:szCs w:val="16"/>
                <w:u w:val="single"/>
                <w:lang w:val="en-GB"/>
              </w:rPr>
            </w:pPr>
            <w:hyperlink r:id="rId983" w:history="1">
              <w:r w:rsidR="00B55023" w:rsidRPr="00B55023">
                <w:rPr>
                  <w:rFonts w:cs="Arial"/>
                  <w:color w:val="0000FF"/>
                  <w:sz w:val="14"/>
                  <w:szCs w:val="16"/>
                  <w:u w:val="single"/>
                  <w:lang w:val="en-GB"/>
                </w:rPr>
                <w:t>As per Chapter 4 ‘Emotional and Behavioural’, GARP V (M)</w:t>
              </w:r>
            </w:hyperlink>
          </w:p>
          <w:p w14:paraId="06326DB9" w14:textId="77777777" w:rsidR="0023561D" w:rsidRDefault="0023561D" w:rsidP="00E13D9F">
            <w:pPr>
              <w:spacing w:after="60"/>
              <w:rPr>
                <w:rFonts w:cs="Arial"/>
                <w:color w:val="0000FF"/>
                <w:sz w:val="14"/>
                <w:szCs w:val="16"/>
                <w:u w:val="single"/>
                <w:lang w:val="en-GB"/>
              </w:rPr>
            </w:pPr>
          </w:p>
          <w:p w14:paraId="2CC5B989" w14:textId="77777777" w:rsidR="0023561D" w:rsidRDefault="0023561D" w:rsidP="00E13D9F">
            <w:pPr>
              <w:spacing w:after="60"/>
              <w:rPr>
                <w:rFonts w:cs="Arial"/>
                <w:color w:val="0000FF"/>
                <w:sz w:val="14"/>
                <w:szCs w:val="16"/>
                <w:u w:val="single"/>
                <w:lang w:val="en-GB"/>
              </w:rPr>
            </w:pPr>
          </w:p>
          <w:p w14:paraId="65BAC78D" w14:textId="77777777" w:rsidR="0023561D" w:rsidRPr="004641FD" w:rsidRDefault="0023561D" w:rsidP="004641FD">
            <w:pPr>
              <w:rPr>
                <w:sz w:val="14"/>
                <w:lang w:val="en-GB"/>
              </w:rPr>
            </w:pPr>
            <w:r w:rsidRPr="004641FD">
              <w:rPr>
                <w:sz w:val="14"/>
                <w:lang w:val="en-GB"/>
              </w:rPr>
              <w:t>DRCA</w:t>
            </w:r>
          </w:p>
          <w:p w14:paraId="4EAA7604" w14:textId="70FEF698" w:rsidR="0023561D" w:rsidRPr="00B55023" w:rsidRDefault="00A7538C" w:rsidP="004641FD">
            <w:pPr>
              <w:rPr>
                <w:color w:val="000000"/>
                <w:lang w:val="en-GB"/>
              </w:rPr>
            </w:pPr>
            <w:hyperlink r:id="rId984" w:history="1">
              <w:r w:rsidR="0023561D" w:rsidRPr="006D2FDA">
                <w:rPr>
                  <w:rStyle w:val="Hyperlink"/>
                  <w:sz w:val="14"/>
                  <w:lang w:val="en-GB"/>
                </w:rPr>
                <w:t>Comcare Guide Edition 2.1, Part 2, Chapter 5</w:t>
              </w:r>
            </w:hyperlink>
          </w:p>
        </w:tc>
      </w:tr>
      <w:tr w:rsidR="00B55023" w:rsidRPr="00B55023" w14:paraId="2BE6120C" w14:textId="77777777" w:rsidTr="00854AFF">
        <w:tc>
          <w:tcPr>
            <w:tcW w:w="1768" w:type="dxa"/>
            <w:shd w:val="clear" w:color="auto" w:fill="auto"/>
            <w:tcMar>
              <w:top w:w="80" w:type="dxa"/>
              <w:left w:w="80" w:type="dxa"/>
              <w:bottom w:w="80" w:type="dxa"/>
              <w:right w:w="80" w:type="dxa"/>
            </w:tcMar>
          </w:tcPr>
          <w:p w14:paraId="18AD71A2" w14:textId="498664C8"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New Zealand</w:t>
            </w:r>
          </w:p>
        </w:tc>
        <w:tc>
          <w:tcPr>
            <w:tcW w:w="8222" w:type="dxa"/>
            <w:shd w:val="clear" w:color="auto" w:fill="auto"/>
            <w:tcMar>
              <w:top w:w="80" w:type="dxa"/>
              <w:left w:w="80" w:type="dxa"/>
              <w:bottom w:w="80" w:type="dxa"/>
              <w:right w:w="80" w:type="dxa"/>
            </w:tcMar>
          </w:tcPr>
          <w:p w14:paraId="50ED0215" w14:textId="35DF2BCB"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Cover does not exist for mental injuries if the mental injury is not caused by physical injuries — </w:t>
            </w:r>
            <w:hyperlink r:id="rId985" w:history="1">
              <w:r w:rsidRPr="00667353">
                <w:rPr>
                  <w:rStyle w:val="Hyperlink"/>
                  <w:rFonts w:cs="Arial"/>
                  <w:sz w:val="14"/>
                  <w:szCs w:val="16"/>
                  <w:lang w:val="en-GB"/>
                </w:rPr>
                <w:t>s26(1)(c)</w:t>
              </w:r>
            </w:hyperlink>
            <w:r w:rsidRPr="00B55023">
              <w:rPr>
                <w:rFonts w:cs="Arial"/>
                <w:color w:val="000000"/>
                <w:sz w:val="14"/>
                <w:szCs w:val="16"/>
                <w:lang w:val="en-GB"/>
              </w:rPr>
              <w:t xml:space="preserve">, the result of a sudden traumatic event — </w:t>
            </w:r>
            <w:hyperlink r:id="rId986" w:history="1">
              <w:r w:rsidRPr="00667353">
                <w:rPr>
                  <w:rStyle w:val="Hyperlink"/>
                  <w:rFonts w:cs="Arial"/>
                  <w:sz w:val="14"/>
                  <w:szCs w:val="16"/>
                  <w:lang w:val="en-GB"/>
                </w:rPr>
                <w:t>s21B</w:t>
              </w:r>
            </w:hyperlink>
            <w:r w:rsidRPr="00B55023">
              <w:rPr>
                <w:rFonts w:cs="Arial"/>
                <w:color w:val="000000"/>
                <w:sz w:val="14"/>
                <w:szCs w:val="16"/>
                <w:lang w:val="en-GB"/>
              </w:rPr>
              <w:t xml:space="preserve">, or as a consequence of certain criminal acts — </w:t>
            </w:r>
            <w:hyperlink r:id="rId987" w:history="1">
              <w:r w:rsidRPr="00667353">
                <w:rPr>
                  <w:rStyle w:val="Hyperlink"/>
                  <w:rFonts w:cs="Arial"/>
                  <w:sz w:val="14"/>
                  <w:szCs w:val="16"/>
                  <w:lang w:val="en-GB"/>
                </w:rPr>
                <w:t>s21</w:t>
              </w:r>
            </w:hyperlink>
            <w:r w:rsidR="00627C2C">
              <w:rPr>
                <w:rFonts w:cs="Arial"/>
                <w:color w:val="000000"/>
                <w:sz w:val="14"/>
                <w:szCs w:val="16"/>
                <w:lang w:val="en-GB"/>
              </w:rPr>
              <w:t xml:space="preserve">, </w:t>
            </w:r>
            <w:r w:rsidR="00627C2C" w:rsidRPr="00016069">
              <w:rPr>
                <w:i/>
                <w:sz w:val="14"/>
              </w:rPr>
              <w:t>Accident Compensation Act 2001</w:t>
            </w:r>
          </w:p>
        </w:tc>
        <w:tc>
          <w:tcPr>
            <w:tcW w:w="1559" w:type="dxa"/>
            <w:shd w:val="clear" w:color="auto" w:fill="auto"/>
            <w:tcMar>
              <w:top w:w="80" w:type="dxa"/>
              <w:left w:w="80" w:type="dxa"/>
              <w:bottom w:w="80" w:type="dxa"/>
              <w:right w:w="80" w:type="dxa"/>
            </w:tcMar>
          </w:tcPr>
          <w:p w14:paraId="2F75BC3E" w14:textId="77777777" w:rsidR="00B55023" w:rsidRPr="00B55023" w:rsidRDefault="00B55023" w:rsidP="009146AE">
            <w:pPr>
              <w:spacing w:after="60"/>
              <w:rPr>
                <w:rFonts w:cs="Arial"/>
                <w:color w:val="000000"/>
                <w:sz w:val="14"/>
                <w:szCs w:val="16"/>
                <w:lang w:val="en-GB"/>
              </w:rPr>
            </w:pPr>
          </w:p>
        </w:tc>
        <w:tc>
          <w:tcPr>
            <w:tcW w:w="3872" w:type="dxa"/>
            <w:shd w:val="clear" w:color="auto" w:fill="auto"/>
            <w:tcMar>
              <w:top w:w="80" w:type="dxa"/>
              <w:left w:w="80" w:type="dxa"/>
              <w:bottom w:w="80" w:type="dxa"/>
              <w:right w:w="80" w:type="dxa"/>
            </w:tcMar>
          </w:tcPr>
          <w:p w14:paraId="52C35D7B" w14:textId="77777777" w:rsidR="00B55023" w:rsidRPr="00B55023" w:rsidRDefault="00B55023" w:rsidP="009146AE">
            <w:pPr>
              <w:spacing w:after="60"/>
              <w:rPr>
                <w:rFonts w:cs="Arial"/>
                <w:color w:val="000000"/>
                <w:sz w:val="14"/>
                <w:szCs w:val="16"/>
                <w:lang w:val="en-GB"/>
              </w:rPr>
            </w:pPr>
          </w:p>
        </w:tc>
      </w:tr>
      <w:bookmarkEnd w:id="122"/>
    </w:tbl>
    <w:p w14:paraId="05B22C20" w14:textId="77777777" w:rsidR="00854AFF" w:rsidRDefault="00854AFF" w:rsidP="00C66972">
      <w:pPr>
        <w:spacing w:after="200" w:line="276" w:lineRule="auto"/>
        <w:rPr>
          <w:rFonts w:eastAsiaTheme="minorHAnsi"/>
        </w:rPr>
        <w:sectPr w:rsidR="00854AFF" w:rsidSect="00BC09D4">
          <w:pgSz w:w="16838" w:h="11906" w:orient="landscape"/>
          <w:pgMar w:top="249" w:right="567" w:bottom="249" w:left="624" w:header="709" w:footer="709" w:gutter="0"/>
          <w:cols w:space="708"/>
          <w:docGrid w:linePitch="360"/>
        </w:sectPr>
      </w:pPr>
    </w:p>
    <w:p w14:paraId="10D81357" w14:textId="77777777" w:rsidR="006A50D4" w:rsidRPr="00AF04A7" w:rsidRDefault="00C66972" w:rsidP="00A80282">
      <w:pPr>
        <w:pStyle w:val="Title"/>
      </w:pPr>
      <w:bookmarkStart w:id="123" w:name="_Toc483227177"/>
      <w:bookmarkStart w:id="124" w:name="_Toc504654673"/>
      <w:r w:rsidRPr="00AF04A7">
        <w:lastRenderedPageBreak/>
        <w:t xml:space="preserve">Cross-border </w:t>
      </w:r>
      <w:r w:rsidR="0002179E" w:rsidRPr="00AF04A7">
        <w:t>p</w:t>
      </w:r>
      <w:r w:rsidRPr="00AF04A7">
        <w:t>rovisions</w:t>
      </w:r>
      <w:bookmarkEnd w:id="123"/>
      <w:bookmarkEnd w:id="124"/>
    </w:p>
    <w:p w14:paraId="5CA1C757" w14:textId="34E64BF9" w:rsidR="00172AC7" w:rsidRDefault="00C66972" w:rsidP="00877426">
      <w:pPr>
        <w:rPr>
          <w:rFonts w:eastAsiaTheme="minorHAnsi"/>
        </w:rPr>
      </w:pPr>
      <w:r w:rsidRPr="00C66972">
        <w:rPr>
          <w:rFonts w:eastAsiaTheme="minorHAnsi"/>
        </w:rPr>
        <w:t>Workers’ compensation schemes vary significantly between jurisdictions, which can lead to confusion for employers and workers. All jurisdictions have acknowledged this and</w:t>
      </w:r>
      <w:r w:rsidR="00877426">
        <w:rPr>
          <w:rFonts w:eastAsiaTheme="minorHAnsi"/>
        </w:rPr>
        <w:t>,</w:t>
      </w:r>
      <w:r w:rsidRPr="00C66972">
        <w:rPr>
          <w:rFonts w:eastAsiaTheme="minorHAnsi"/>
        </w:rPr>
        <w:t xml:space="preserve"> where applicable, have implemented cross-border provisions that are based on the National Cross-Border Model</w:t>
      </w:r>
      <w:r w:rsidR="003B3E5B">
        <w:rPr>
          <w:rFonts w:eastAsiaTheme="minorHAnsi"/>
        </w:rPr>
        <w:fldChar w:fldCharType="begin"/>
      </w:r>
      <w:r w:rsidR="003B3E5B">
        <w:instrText xml:space="preserve"> XE "</w:instrText>
      </w:r>
      <w:r w:rsidR="003B3E5B" w:rsidRPr="001854C8">
        <w:instrText>National Cross-Border Model</w:instrText>
      </w:r>
      <w:r w:rsidR="003B3E5B">
        <w:instrText xml:space="preserve">" </w:instrText>
      </w:r>
      <w:r w:rsidR="003B3E5B">
        <w:rPr>
          <w:rFonts w:eastAsiaTheme="minorHAnsi"/>
        </w:rPr>
        <w:fldChar w:fldCharType="end"/>
      </w:r>
      <w:r w:rsidRPr="00C66972">
        <w:rPr>
          <w:rFonts w:eastAsiaTheme="minorHAnsi"/>
        </w:rPr>
        <w:t xml:space="preserve"> developed by Heads of Workers' Compensation Authorities. Cross-border provisions provide coverage for workers who travel to or work temporarily in different jurisdictions, as long as workers meet a ‘state of connection’ test.</w:t>
      </w:r>
    </w:p>
    <w:p w14:paraId="60186A67" w14:textId="4A3133EC" w:rsidR="00C66972" w:rsidRPr="00C66972" w:rsidRDefault="00C66972" w:rsidP="00AF04A7">
      <w:pPr>
        <w:spacing w:before="240"/>
        <w:rPr>
          <w:rFonts w:eastAsiaTheme="minorHAnsi"/>
        </w:rPr>
      </w:pPr>
      <w:r w:rsidRPr="00C66972">
        <w:rPr>
          <w:rFonts w:eastAsiaTheme="minorHAnsi"/>
        </w:rPr>
        <w:t>An injured worker’s state or territory of connection is determined by the following tests:</w:t>
      </w:r>
    </w:p>
    <w:p w14:paraId="174FDBB7" w14:textId="77777777" w:rsidR="008278E3" w:rsidRDefault="00C66972" w:rsidP="00F839DB">
      <w:pPr>
        <w:pStyle w:val="ListParagraph"/>
        <w:numPr>
          <w:ilvl w:val="0"/>
          <w:numId w:val="481"/>
        </w:numPr>
        <w:rPr>
          <w:rFonts w:eastAsiaTheme="minorHAnsi"/>
        </w:rPr>
      </w:pPr>
      <w:r w:rsidRPr="008278E3">
        <w:rPr>
          <w:rFonts w:eastAsiaTheme="minorHAnsi"/>
        </w:rPr>
        <w:t xml:space="preserve">Test A — </w:t>
      </w:r>
      <w:r w:rsidR="008B575F" w:rsidRPr="008278E3">
        <w:rPr>
          <w:rFonts w:eastAsiaTheme="minorHAnsi"/>
        </w:rPr>
        <w:t>t</w:t>
      </w:r>
      <w:r w:rsidRPr="008278E3">
        <w:rPr>
          <w:rFonts w:eastAsiaTheme="minorHAnsi"/>
        </w:rPr>
        <w:t>he territory or state in which the worker usually works in that employment, or</w:t>
      </w:r>
    </w:p>
    <w:p w14:paraId="3AA49EE1" w14:textId="77777777" w:rsidR="008278E3" w:rsidRDefault="00C66972" w:rsidP="00F839DB">
      <w:pPr>
        <w:pStyle w:val="ListParagraph"/>
        <w:numPr>
          <w:ilvl w:val="0"/>
          <w:numId w:val="481"/>
        </w:numPr>
        <w:rPr>
          <w:rFonts w:eastAsiaTheme="minorHAnsi"/>
        </w:rPr>
      </w:pPr>
      <w:r w:rsidRPr="008278E3">
        <w:rPr>
          <w:rFonts w:eastAsiaTheme="minorHAnsi"/>
        </w:rPr>
        <w:t xml:space="preserve">Test B — </w:t>
      </w:r>
      <w:r w:rsidR="008B575F" w:rsidRPr="008278E3">
        <w:rPr>
          <w:rFonts w:eastAsiaTheme="minorHAnsi"/>
        </w:rPr>
        <w:t>i</w:t>
      </w:r>
      <w:r w:rsidRPr="008278E3">
        <w:rPr>
          <w:rFonts w:eastAsiaTheme="minorHAnsi"/>
        </w:rPr>
        <w:t>f not identified through (A) — the territory or state in which the worker is usually based for the purposes of that employment, or</w:t>
      </w:r>
    </w:p>
    <w:p w14:paraId="6F611A7F" w14:textId="77777777" w:rsidR="00172AC7" w:rsidRDefault="00C66972" w:rsidP="00F839DB">
      <w:pPr>
        <w:pStyle w:val="ListParagraph"/>
        <w:numPr>
          <w:ilvl w:val="0"/>
          <w:numId w:val="481"/>
        </w:numPr>
        <w:rPr>
          <w:rFonts w:eastAsiaTheme="minorHAnsi"/>
        </w:rPr>
      </w:pPr>
      <w:r w:rsidRPr="008278E3">
        <w:rPr>
          <w:rFonts w:eastAsiaTheme="minorHAnsi"/>
        </w:rPr>
        <w:t>Test C — if not identified through (A) or (B) — the territory or state in which the employer’s principal place of business in Australia is located.</w:t>
      </w:r>
    </w:p>
    <w:p w14:paraId="3F7077F5" w14:textId="77777777" w:rsidR="00172AC7" w:rsidRDefault="00C66972" w:rsidP="00AF04A7">
      <w:pPr>
        <w:spacing w:before="240"/>
        <w:rPr>
          <w:rFonts w:eastAsiaTheme="minorHAnsi"/>
        </w:rPr>
      </w:pPr>
      <w:r w:rsidRPr="00C66972">
        <w:rPr>
          <w:rFonts w:eastAsiaTheme="minorHAnsi"/>
        </w:rPr>
        <w:t>If no state of connection can be determined for a worker and a worker is not entitled to compensation for the same matter under the laws of a place outside Australia, a worker’s employment is connected with the state where the injury occurred.</w:t>
      </w:r>
    </w:p>
    <w:p w14:paraId="779A306E" w14:textId="77777777" w:rsidR="00172AC7" w:rsidRDefault="00C66972" w:rsidP="00AF04A7">
      <w:pPr>
        <w:spacing w:before="240"/>
        <w:rPr>
          <w:rFonts w:eastAsiaTheme="minorHAnsi"/>
        </w:rPr>
      </w:pPr>
      <w:r w:rsidRPr="00C66972">
        <w:rPr>
          <w:rFonts w:eastAsiaTheme="minorHAnsi"/>
        </w:rPr>
        <w:t>These tests are hierarchical, so if the first test does not provide an answer, the next test is applied until the worker’s status is determined. Special arrangements apply for workers on ships and a safety net also applies. Table 3.15 shows the status of implementation of the national cross-border model in each jurisdiction.</w:t>
      </w:r>
    </w:p>
    <w:p w14:paraId="272AE6F1" w14:textId="58B6CB18" w:rsidR="00826CC8" w:rsidRPr="00A80282" w:rsidRDefault="00826CC8" w:rsidP="00A80282">
      <w:pPr>
        <w:pStyle w:val="SWATableheader"/>
      </w:pPr>
      <w:bookmarkStart w:id="125" w:name="_Toc504654674"/>
      <w:r w:rsidRPr="00A80282">
        <w:lastRenderedPageBreak/>
        <w:t>Table 3.15: Cross border provisions</w:t>
      </w:r>
      <w:bookmarkEnd w:id="125"/>
      <w:r w:rsidR="00C461E1" w:rsidRPr="00A80282">
        <w:fldChar w:fldCharType="begin"/>
      </w:r>
      <w:r w:rsidR="00C461E1" w:rsidRPr="00A80282">
        <w:instrText xml:space="preserve"> XE "jurisdictions:cross-border provisions" </w:instrText>
      </w:r>
      <w:r w:rsidR="009F5AD7" w:rsidRPr="00A80282">
        <w:fldChar w:fldCharType="begin"/>
      </w:r>
      <w:r w:rsidR="009F5AD7" w:rsidRPr="00A80282">
        <w:instrText xml:space="preserve"> XE "cross-border provisions" </w:instrText>
      </w:r>
      <w:r w:rsidR="009F5AD7" w:rsidRPr="00A80282">
        <w:fldChar w:fldCharType="end"/>
      </w:r>
      <w:r w:rsidR="00C461E1" w:rsidRPr="00A80282">
        <w:fldChar w:fldCharType="end"/>
      </w:r>
    </w:p>
    <w:tbl>
      <w:tblPr>
        <w:tblW w:w="9759"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5: Cross border provisions  "/>
        <w:tblDescription w:val="This table provides information on cross border provisions. "/>
      </w:tblPr>
      <w:tblGrid>
        <w:gridCol w:w="1750"/>
        <w:gridCol w:w="8009"/>
      </w:tblGrid>
      <w:tr w:rsidR="00826CC8" w:rsidRPr="00826CC8" w14:paraId="610FC08C" w14:textId="77777777" w:rsidTr="00B2173F">
        <w:trPr>
          <w:tblHeader/>
        </w:trPr>
        <w:tc>
          <w:tcPr>
            <w:tcW w:w="1750" w:type="dxa"/>
            <w:shd w:val="clear" w:color="auto" w:fill="C00000"/>
            <w:tcMar>
              <w:top w:w="80" w:type="dxa"/>
              <w:left w:w="80" w:type="dxa"/>
              <w:bottom w:w="80" w:type="dxa"/>
              <w:right w:w="80" w:type="dxa"/>
            </w:tcMar>
          </w:tcPr>
          <w:p w14:paraId="33EA6B3E" w14:textId="77777777" w:rsidR="00826CC8" w:rsidRPr="00826CC8" w:rsidRDefault="00826CC8" w:rsidP="00826CC8">
            <w:pPr>
              <w:pStyle w:val="Tableheaderrow"/>
            </w:pPr>
          </w:p>
        </w:tc>
        <w:tc>
          <w:tcPr>
            <w:tcW w:w="8009" w:type="dxa"/>
            <w:shd w:val="clear" w:color="auto" w:fill="C00000"/>
            <w:tcMar>
              <w:top w:w="80" w:type="dxa"/>
              <w:left w:w="80" w:type="dxa"/>
              <w:bottom w:w="80" w:type="dxa"/>
              <w:right w:w="80" w:type="dxa"/>
            </w:tcMar>
          </w:tcPr>
          <w:p w14:paraId="4320EC23" w14:textId="77777777" w:rsidR="00826CC8" w:rsidRPr="00826CC8" w:rsidRDefault="00826CC8" w:rsidP="00826CC8">
            <w:pPr>
              <w:pStyle w:val="Tableheaderrow"/>
            </w:pPr>
            <w:r w:rsidRPr="00826CC8">
              <w:t>Cross border provisions</w:t>
            </w:r>
          </w:p>
        </w:tc>
      </w:tr>
      <w:tr w:rsidR="00826CC8" w:rsidRPr="00826CC8" w14:paraId="01FDAC3D" w14:textId="77777777" w:rsidTr="00B2173F">
        <w:tc>
          <w:tcPr>
            <w:tcW w:w="1750" w:type="dxa"/>
            <w:shd w:val="clear" w:color="auto" w:fill="FFC9C9"/>
            <w:tcMar>
              <w:top w:w="80" w:type="dxa"/>
              <w:left w:w="80" w:type="dxa"/>
              <w:bottom w:w="80" w:type="dxa"/>
              <w:right w:w="80" w:type="dxa"/>
            </w:tcMar>
          </w:tcPr>
          <w:p w14:paraId="345A9FCA"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New South Wales</w:t>
            </w:r>
          </w:p>
        </w:tc>
        <w:tc>
          <w:tcPr>
            <w:tcW w:w="8009" w:type="dxa"/>
            <w:shd w:val="clear" w:color="auto" w:fill="FFC9C9"/>
            <w:tcMar>
              <w:top w:w="80" w:type="dxa"/>
              <w:left w:w="80" w:type="dxa"/>
              <w:bottom w:w="80" w:type="dxa"/>
              <w:right w:w="80" w:type="dxa"/>
            </w:tcMar>
          </w:tcPr>
          <w:p w14:paraId="785D1950" w14:textId="77777777" w:rsidR="002C086D" w:rsidRDefault="00826CC8" w:rsidP="00A02E8F">
            <w:pPr>
              <w:rPr>
                <w:rFonts w:cs="Arial"/>
                <w:color w:val="000000"/>
                <w:sz w:val="14"/>
                <w:szCs w:val="16"/>
                <w:lang w:val="en-GB"/>
              </w:rPr>
            </w:pPr>
            <w:r w:rsidRPr="00826CC8">
              <w:rPr>
                <w:rFonts w:cs="Arial"/>
                <w:color w:val="000000"/>
                <w:sz w:val="14"/>
                <w:szCs w:val="16"/>
                <w:lang w:val="en-GB"/>
              </w:rPr>
              <w:t>National cross-border model</w:t>
            </w:r>
            <w:r w:rsidR="002C086D">
              <w:rPr>
                <w:rFonts w:cs="Arial"/>
                <w:color w:val="000000"/>
                <w:sz w:val="14"/>
                <w:szCs w:val="16"/>
                <w:lang w:val="en-GB"/>
              </w:rPr>
              <w:t xml:space="preserve"> implemented on 1 January 2006</w:t>
            </w:r>
          </w:p>
          <w:p w14:paraId="13B0D590" w14:textId="62C27837" w:rsidR="00826CC8" w:rsidRPr="00826CC8" w:rsidRDefault="00826CC8" w:rsidP="00A02E8F">
            <w:pPr>
              <w:rPr>
                <w:rFonts w:cs="Arial"/>
                <w:color w:val="000000"/>
                <w:sz w:val="14"/>
                <w:szCs w:val="16"/>
                <w:lang w:val="en-GB"/>
              </w:rPr>
            </w:pPr>
            <w:r w:rsidRPr="00826CC8">
              <w:rPr>
                <w:rFonts w:cs="Arial"/>
                <w:color w:val="000000"/>
                <w:sz w:val="14"/>
                <w:szCs w:val="16"/>
                <w:lang w:val="en-GB"/>
              </w:rPr>
              <w:t>In Marc</w:t>
            </w:r>
            <w:r w:rsidR="00692DB2">
              <w:rPr>
                <w:rFonts w:cs="Arial"/>
                <w:color w:val="000000"/>
                <w:sz w:val="14"/>
                <w:szCs w:val="16"/>
                <w:lang w:val="en-GB"/>
              </w:rPr>
              <w:t>h 2012 NSW harmonised its cross-</w:t>
            </w:r>
            <w:r w:rsidRPr="00826CC8">
              <w:rPr>
                <w:rFonts w:cs="Arial"/>
                <w:color w:val="000000"/>
                <w:sz w:val="14"/>
                <w:szCs w:val="16"/>
                <w:lang w:val="en-GB"/>
              </w:rPr>
              <w:t>border guidance m</w:t>
            </w:r>
            <w:r w:rsidR="00692DB2">
              <w:rPr>
                <w:rFonts w:cs="Arial"/>
                <w:color w:val="000000"/>
                <w:sz w:val="14"/>
                <w:szCs w:val="16"/>
                <w:lang w:val="en-GB"/>
              </w:rPr>
              <w:t>aterial with the national cross-</w:t>
            </w:r>
            <w:r w:rsidRPr="00826CC8">
              <w:rPr>
                <w:rFonts w:cs="Arial"/>
                <w:color w:val="000000"/>
                <w:sz w:val="14"/>
                <w:szCs w:val="16"/>
                <w:lang w:val="en-GB"/>
              </w:rPr>
              <w:t>border</w:t>
            </w:r>
            <w:r w:rsidR="002C086D">
              <w:rPr>
                <w:rFonts w:cs="Arial"/>
                <w:color w:val="000000"/>
                <w:sz w:val="14"/>
                <w:szCs w:val="16"/>
                <w:lang w:val="en-GB"/>
              </w:rPr>
              <w:t xml:space="preserve"> guidance material</w:t>
            </w:r>
          </w:p>
        </w:tc>
      </w:tr>
      <w:tr w:rsidR="00826CC8" w:rsidRPr="00826CC8" w14:paraId="3A33D7E0" w14:textId="77777777" w:rsidTr="00B2173F">
        <w:tc>
          <w:tcPr>
            <w:tcW w:w="1750" w:type="dxa"/>
            <w:tcMar>
              <w:top w:w="80" w:type="dxa"/>
              <w:left w:w="80" w:type="dxa"/>
              <w:bottom w:w="80" w:type="dxa"/>
              <w:right w:w="80" w:type="dxa"/>
            </w:tcMar>
          </w:tcPr>
          <w:p w14:paraId="7BC5591A"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Victoria</w:t>
            </w:r>
          </w:p>
        </w:tc>
        <w:tc>
          <w:tcPr>
            <w:tcW w:w="8009" w:type="dxa"/>
            <w:tcMar>
              <w:top w:w="80" w:type="dxa"/>
              <w:left w:w="80" w:type="dxa"/>
              <w:bottom w:w="80" w:type="dxa"/>
              <w:right w:w="80" w:type="dxa"/>
            </w:tcMar>
          </w:tcPr>
          <w:p w14:paraId="598ABDE8" w14:textId="19B414D5" w:rsidR="002C086D" w:rsidRDefault="00826CC8" w:rsidP="00A02E8F">
            <w:pPr>
              <w:rPr>
                <w:rFonts w:cs="Arial"/>
                <w:color w:val="000000"/>
                <w:sz w:val="14"/>
                <w:szCs w:val="16"/>
                <w:lang w:val="en-GB"/>
              </w:rPr>
            </w:pPr>
            <w:r w:rsidRPr="00826CC8">
              <w:rPr>
                <w:rFonts w:cs="Arial"/>
                <w:color w:val="000000"/>
                <w:sz w:val="14"/>
                <w:szCs w:val="16"/>
                <w:lang w:val="en-GB"/>
              </w:rPr>
              <w:t>National cross-border model imp</w:t>
            </w:r>
            <w:r w:rsidR="002C086D">
              <w:rPr>
                <w:rFonts w:cs="Arial"/>
                <w:color w:val="000000"/>
                <w:sz w:val="14"/>
                <w:szCs w:val="16"/>
                <w:lang w:val="en-GB"/>
              </w:rPr>
              <w:t>lemented from 1 September 2004</w:t>
            </w:r>
          </w:p>
          <w:p w14:paraId="5CF83C72" w14:textId="0D9C95A3" w:rsidR="00826CC8" w:rsidRPr="00826CC8" w:rsidRDefault="00826CC8" w:rsidP="00A02E8F">
            <w:pPr>
              <w:rPr>
                <w:rFonts w:cs="Arial"/>
                <w:color w:val="000000"/>
                <w:sz w:val="14"/>
                <w:szCs w:val="16"/>
                <w:lang w:val="en-GB"/>
              </w:rPr>
            </w:pPr>
            <w:r w:rsidRPr="00826CC8">
              <w:rPr>
                <w:rFonts w:cs="Arial"/>
                <w:color w:val="000000"/>
                <w:sz w:val="14"/>
                <w:szCs w:val="16"/>
                <w:lang w:val="en-GB"/>
              </w:rPr>
              <w:t>Effective from 1 July 2005, Victorian legislation imposed a Victorian premium liability on employers only in respect of workers who are connected with Victoria as defined.</w:t>
            </w:r>
            <w:r w:rsidR="00DD0D68">
              <w:rPr>
                <w:rFonts w:cs="Arial"/>
                <w:color w:val="000000"/>
                <w:sz w:val="14"/>
                <w:szCs w:val="16"/>
                <w:lang w:val="en-GB"/>
              </w:rPr>
              <w:t xml:space="preserve"> </w:t>
            </w:r>
            <w:r w:rsidRPr="00826CC8">
              <w:rPr>
                <w:rFonts w:cs="Arial"/>
                <w:color w:val="000000"/>
                <w:sz w:val="14"/>
                <w:szCs w:val="16"/>
                <w:lang w:val="en-GB"/>
              </w:rPr>
              <w:t>Victoria published the guideline “</w:t>
            </w:r>
            <w:hyperlink r:id="rId988" w:history="1">
              <w:r w:rsidR="0050264F">
                <w:rPr>
                  <w:rFonts w:cs="Arial"/>
                  <w:color w:val="0000FF"/>
                  <w:sz w:val="14"/>
                  <w:szCs w:val="16"/>
                  <w:u w:val="single"/>
                  <w:lang w:val="en-GB"/>
                </w:rPr>
                <w:t>Premium Guideline: Interstate Workers</w:t>
              </w:r>
            </w:hyperlink>
            <w:r w:rsidR="002C086D">
              <w:rPr>
                <w:rFonts w:cs="Arial"/>
                <w:color w:val="000000"/>
                <w:sz w:val="14"/>
                <w:szCs w:val="16"/>
                <w:lang w:val="en-GB"/>
              </w:rPr>
              <w:t>” in August 2016</w:t>
            </w:r>
          </w:p>
        </w:tc>
      </w:tr>
      <w:tr w:rsidR="00826CC8" w:rsidRPr="00826CC8" w14:paraId="31ED5967" w14:textId="77777777" w:rsidTr="00B2173F">
        <w:tc>
          <w:tcPr>
            <w:tcW w:w="1750" w:type="dxa"/>
            <w:shd w:val="clear" w:color="auto" w:fill="FFC9C9"/>
            <w:tcMar>
              <w:top w:w="80" w:type="dxa"/>
              <w:left w:w="80" w:type="dxa"/>
              <w:bottom w:w="80" w:type="dxa"/>
              <w:right w:w="80" w:type="dxa"/>
            </w:tcMar>
          </w:tcPr>
          <w:p w14:paraId="71ED8CE1"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Queensland</w:t>
            </w:r>
          </w:p>
        </w:tc>
        <w:tc>
          <w:tcPr>
            <w:tcW w:w="8009" w:type="dxa"/>
            <w:shd w:val="clear" w:color="auto" w:fill="FFC9C9"/>
            <w:tcMar>
              <w:top w:w="80" w:type="dxa"/>
              <w:left w:w="80" w:type="dxa"/>
              <w:bottom w:w="80" w:type="dxa"/>
              <w:right w:w="80" w:type="dxa"/>
            </w:tcMar>
          </w:tcPr>
          <w:p w14:paraId="41429224" w14:textId="401CF029" w:rsidR="00826CC8" w:rsidRPr="00826CC8" w:rsidRDefault="00826CC8" w:rsidP="00A02E8F">
            <w:pPr>
              <w:rPr>
                <w:rFonts w:cs="Arial"/>
                <w:color w:val="000000"/>
                <w:sz w:val="14"/>
                <w:szCs w:val="16"/>
                <w:lang w:val="en-GB"/>
              </w:rPr>
            </w:pPr>
            <w:r w:rsidRPr="00826CC8">
              <w:rPr>
                <w:rFonts w:cs="Arial"/>
                <w:color w:val="000000"/>
                <w:sz w:val="14"/>
                <w:szCs w:val="16"/>
                <w:lang w:val="en-GB"/>
              </w:rPr>
              <w:t>National cross-border mode</w:t>
            </w:r>
            <w:r w:rsidR="002C086D">
              <w:rPr>
                <w:rFonts w:cs="Arial"/>
                <w:color w:val="000000"/>
                <w:sz w:val="14"/>
                <w:szCs w:val="16"/>
                <w:lang w:val="en-GB"/>
              </w:rPr>
              <w:t>l implemented as at 1 July 2003</w:t>
            </w:r>
          </w:p>
        </w:tc>
      </w:tr>
      <w:tr w:rsidR="00826CC8" w:rsidRPr="00826CC8" w14:paraId="240D2CE0" w14:textId="77777777" w:rsidTr="00B2173F">
        <w:tc>
          <w:tcPr>
            <w:tcW w:w="1750" w:type="dxa"/>
            <w:tcMar>
              <w:top w:w="80" w:type="dxa"/>
              <w:left w:w="80" w:type="dxa"/>
              <w:bottom w:w="80" w:type="dxa"/>
              <w:right w:w="80" w:type="dxa"/>
            </w:tcMar>
          </w:tcPr>
          <w:p w14:paraId="798B9497"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Western Australia</w:t>
            </w:r>
          </w:p>
        </w:tc>
        <w:tc>
          <w:tcPr>
            <w:tcW w:w="8009" w:type="dxa"/>
            <w:tcMar>
              <w:top w:w="80" w:type="dxa"/>
              <w:left w:w="80" w:type="dxa"/>
              <w:bottom w:w="80" w:type="dxa"/>
              <w:right w:w="80" w:type="dxa"/>
            </w:tcMar>
          </w:tcPr>
          <w:p w14:paraId="7AD04C54" w14:textId="08C25BEB" w:rsidR="00826CC8" w:rsidRPr="00826CC8" w:rsidRDefault="00826CC8" w:rsidP="00A02E8F">
            <w:pPr>
              <w:rPr>
                <w:rFonts w:cs="Arial"/>
                <w:color w:val="000000"/>
                <w:sz w:val="14"/>
                <w:szCs w:val="16"/>
                <w:lang w:val="en-GB"/>
              </w:rPr>
            </w:pPr>
            <w:r w:rsidRPr="00826CC8">
              <w:rPr>
                <w:rFonts w:cs="Arial"/>
                <w:color w:val="000000"/>
                <w:sz w:val="14"/>
                <w:szCs w:val="16"/>
                <w:lang w:val="en-GB"/>
              </w:rPr>
              <w:t>National cross-border mod</w:t>
            </w:r>
            <w:r w:rsidR="002C086D">
              <w:rPr>
                <w:rFonts w:cs="Arial"/>
                <w:color w:val="000000"/>
                <w:sz w:val="14"/>
                <w:szCs w:val="16"/>
                <w:lang w:val="en-GB"/>
              </w:rPr>
              <w:t>el implemented 22 December 2004</w:t>
            </w:r>
          </w:p>
        </w:tc>
      </w:tr>
      <w:tr w:rsidR="00826CC8" w:rsidRPr="00826CC8" w14:paraId="34BCF345" w14:textId="77777777" w:rsidTr="00B2173F">
        <w:tc>
          <w:tcPr>
            <w:tcW w:w="1750" w:type="dxa"/>
            <w:shd w:val="clear" w:color="auto" w:fill="FFC9C9"/>
            <w:tcMar>
              <w:top w:w="80" w:type="dxa"/>
              <w:left w:w="80" w:type="dxa"/>
              <w:bottom w:w="80" w:type="dxa"/>
              <w:right w:w="80" w:type="dxa"/>
            </w:tcMar>
          </w:tcPr>
          <w:p w14:paraId="287F58AE"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South Australia</w:t>
            </w:r>
          </w:p>
        </w:tc>
        <w:tc>
          <w:tcPr>
            <w:tcW w:w="8009" w:type="dxa"/>
            <w:shd w:val="clear" w:color="auto" w:fill="FFC9C9"/>
            <w:tcMar>
              <w:top w:w="80" w:type="dxa"/>
              <w:left w:w="80" w:type="dxa"/>
              <w:bottom w:w="80" w:type="dxa"/>
              <w:right w:w="80" w:type="dxa"/>
            </w:tcMar>
          </w:tcPr>
          <w:p w14:paraId="3879D3BE" w14:textId="1E2E6FF0" w:rsidR="00826CC8" w:rsidRPr="00826CC8" w:rsidRDefault="00826CC8" w:rsidP="00A02E8F">
            <w:pPr>
              <w:rPr>
                <w:rFonts w:cs="Arial"/>
                <w:color w:val="000000"/>
                <w:sz w:val="14"/>
                <w:szCs w:val="16"/>
                <w:lang w:val="en-GB"/>
              </w:rPr>
            </w:pPr>
            <w:r w:rsidRPr="00826CC8">
              <w:rPr>
                <w:rFonts w:cs="Arial"/>
                <w:color w:val="000000"/>
                <w:sz w:val="14"/>
                <w:szCs w:val="16"/>
                <w:lang w:val="en-GB"/>
              </w:rPr>
              <w:t xml:space="preserve">National cross-border model implemented as at 1 January 2010 (see </w:t>
            </w:r>
            <w:hyperlink r:id="rId989" w:history="1">
              <w:r w:rsidRPr="00826CC8">
                <w:rPr>
                  <w:rFonts w:cs="Arial"/>
                  <w:color w:val="0000FF"/>
                  <w:sz w:val="14"/>
                  <w:szCs w:val="16"/>
                  <w:u w:val="single"/>
                  <w:lang w:val="en-GB"/>
                </w:rPr>
                <w:t>s10</w:t>
              </w:r>
            </w:hyperlink>
            <w:r w:rsidR="002C086D">
              <w:rPr>
                <w:rFonts w:cs="Arial"/>
                <w:color w:val="000000"/>
                <w:sz w:val="14"/>
                <w:szCs w:val="16"/>
                <w:lang w:val="en-GB"/>
              </w:rPr>
              <w:t xml:space="preserve"> of the </w:t>
            </w:r>
            <w:r w:rsidR="00DD34D4" w:rsidRPr="00016069">
              <w:rPr>
                <w:i/>
                <w:sz w:val="14"/>
              </w:rPr>
              <w:t>Return to Work Act 2014</w:t>
            </w:r>
            <w:r w:rsidR="002C086D">
              <w:rPr>
                <w:rFonts w:cs="Arial"/>
                <w:color w:val="000000"/>
                <w:sz w:val="14"/>
                <w:szCs w:val="16"/>
                <w:lang w:val="en-GB"/>
              </w:rPr>
              <w:t>)</w:t>
            </w:r>
          </w:p>
        </w:tc>
      </w:tr>
      <w:tr w:rsidR="00826CC8" w:rsidRPr="00826CC8" w14:paraId="2BFE3313" w14:textId="77777777" w:rsidTr="00B2173F">
        <w:tc>
          <w:tcPr>
            <w:tcW w:w="1750" w:type="dxa"/>
            <w:tcMar>
              <w:top w:w="80" w:type="dxa"/>
              <w:left w:w="80" w:type="dxa"/>
              <w:bottom w:w="80" w:type="dxa"/>
              <w:right w:w="80" w:type="dxa"/>
            </w:tcMar>
          </w:tcPr>
          <w:p w14:paraId="4FCD7056"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Tasmania</w:t>
            </w:r>
          </w:p>
        </w:tc>
        <w:tc>
          <w:tcPr>
            <w:tcW w:w="8009" w:type="dxa"/>
            <w:tcMar>
              <w:top w:w="80" w:type="dxa"/>
              <w:left w:w="80" w:type="dxa"/>
              <w:bottom w:w="80" w:type="dxa"/>
              <w:right w:w="80" w:type="dxa"/>
            </w:tcMar>
          </w:tcPr>
          <w:p w14:paraId="175B7E05" w14:textId="40BA94D1" w:rsidR="00826CC8" w:rsidRPr="00826CC8" w:rsidRDefault="00826CC8" w:rsidP="00A02E8F">
            <w:pPr>
              <w:rPr>
                <w:rFonts w:cs="Arial"/>
                <w:color w:val="000000"/>
                <w:sz w:val="14"/>
                <w:szCs w:val="16"/>
                <w:lang w:val="en-GB"/>
              </w:rPr>
            </w:pPr>
            <w:r w:rsidRPr="00826CC8">
              <w:rPr>
                <w:rFonts w:cs="Arial"/>
                <w:color w:val="000000"/>
                <w:sz w:val="14"/>
                <w:szCs w:val="16"/>
                <w:lang w:val="en-GB"/>
              </w:rPr>
              <w:t>National cross-border model implemented from December 2004</w:t>
            </w:r>
          </w:p>
        </w:tc>
      </w:tr>
      <w:tr w:rsidR="00826CC8" w:rsidRPr="00826CC8" w14:paraId="79F9F13B" w14:textId="77777777" w:rsidTr="00B2173F">
        <w:tc>
          <w:tcPr>
            <w:tcW w:w="1750" w:type="dxa"/>
            <w:shd w:val="clear" w:color="auto" w:fill="FFC9C9"/>
            <w:tcMar>
              <w:top w:w="80" w:type="dxa"/>
              <w:left w:w="80" w:type="dxa"/>
              <w:bottom w:w="80" w:type="dxa"/>
              <w:right w:w="80" w:type="dxa"/>
            </w:tcMar>
          </w:tcPr>
          <w:p w14:paraId="51FA2EA7"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Northern Territory</w:t>
            </w:r>
          </w:p>
        </w:tc>
        <w:tc>
          <w:tcPr>
            <w:tcW w:w="8009" w:type="dxa"/>
            <w:shd w:val="clear" w:color="auto" w:fill="FFC9C9"/>
            <w:tcMar>
              <w:top w:w="80" w:type="dxa"/>
              <w:left w:w="80" w:type="dxa"/>
              <w:bottom w:w="80" w:type="dxa"/>
              <w:right w:w="80" w:type="dxa"/>
            </w:tcMar>
          </w:tcPr>
          <w:p w14:paraId="05DC92D7" w14:textId="085F4CAB" w:rsidR="00826CC8" w:rsidRPr="00826CC8" w:rsidRDefault="00826CC8" w:rsidP="003B129C">
            <w:pPr>
              <w:rPr>
                <w:rFonts w:cs="Arial"/>
                <w:color w:val="000000"/>
                <w:sz w:val="14"/>
                <w:szCs w:val="16"/>
                <w:lang w:val="en-GB"/>
              </w:rPr>
            </w:pPr>
            <w:r w:rsidRPr="00826CC8">
              <w:rPr>
                <w:rFonts w:cs="Arial"/>
                <w:color w:val="000000"/>
                <w:sz w:val="14"/>
                <w:szCs w:val="16"/>
                <w:lang w:val="en-GB"/>
              </w:rPr>
              <w:t>National cross-border model</w:t>
            </w:r>
            <w:r w:rsidR="002C086D">
              <w:rPr>
                <w:rFonts w:cs="Arial"/>
                <w:color w:val="000000"/>
                <w:sz w:val="14"/>
                <w:szCs w:val="16"/>
                <w:lang w:val="en-GB"/>
              </w:rPr>
              <w:t xml:space="preserve"> implemented from 26 April 2007 </w:t>
            </w:r>
          </w:p>
        </w:tc>
      </w:tr>
      <w:tr w:rsidR="00826CC8" w:rsidRPr="00826CC8" w14:paraId="267043C0" w14:textId="77777777" w:rsidTr="00B2173F">
        <w:tc>
          <w:tcPr>
            <w:tcW w:w="1750" w:type="dxa"/>
            <w:tcMar>
              <w:top w:w="80" w:type="dxa"/>
              <w:left w:w="80" w:type="dxa"/>
              <w:bottom w:w="80" w:type="dxa"/>
              <w:right w:w="80" w:type="dxa"/>
            </w:tcMar>
          </w:tcPr>
          <w:p w14:paraId="04A86E4E"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Australian Capital Territory</w:t>
            </w:r>
          </w:p>
        </w:tc>
        <w:tc>
          <w:tcPr>
            <w:tcW w:w="8009" w:type="dxa"/>
            <w:tcMar>
              <w:top w:w="80" w:type="dxa"/>
              <w:left w:w="80" w:type="dxa"/>
              <w:bottom w:w="80" w:type="dxa"/>
              <w:right w:w="80" w:type="dxa"/>
            </w:tcMar>
          </w:tcPr>
          <w:p w14:paraId="7D0423DD" w14:textId="77777777" w:rsidR="002C086D" w:rsidRDefault="00826CC8" w:rsidP="00A02E8F">
            <w:pPr>
              <w:rPr>
                <w:rFonts w:cs="Arial"/>
                <w:color w:val="000000"/>
                <w:sz w:val="14"/>
                <w:szCs w:val="16"/>
                <w:lang w:val="en-GB"/>
              </w:rPr>
            </w:pPr>
            <w:r w:rsidRPr="00826CC8">
              <w:rPr>
                <w:rFonts w:cs="Arial"/>
                <w:color w:val="000000"/>
                <w:sz w:val="14"/>
                <w:szCs w:val="16"/>
                <w:lang w:val="en-GB"/>
              </w:rPr>
              <w:t>National cross-border mo</w:t>
            </w:r>
            <w:r w:rsidR="002C086D">
              <w:rPr>
                <w:rFonts w:cs="Arial"/>
                <w:color w:val="000000"/>
                <w:sz w:val="14"/>
                <w:szCs w:val="16"/>
                <w:lang w:val="en-GB"/>
              </w:rPr>
              <w:t>del implemented on 3 June 2004</w:t>
            </w:r>
          </w:p>
          <w:p w14:paraId="4C9C6234" w14:textId="22E0BFFC" w:rsidR="00826CC8" w:rsidRPr="00826CC8" w:rsidRDefault="00826CC8" w:rsidP="00A02E8F">
            <w:pPr>
              <w:rPr>
                <w:rFonts w:cs="Arial"/>
                <w:color w:val="000000"/>
                <w:sz w:val="14"/>
                <w:szCs w:val="16"/>
                <w:lang w:val="en-GB"/>
              </w:rPr>
            </w:pPr>
            <w:r w:rsidRPr="00826CC8">
              <w:rPr>
                <w:rFonts w:cs="Arial"/>
                <w:color w:val="000000"/>
                <w:sz w:val="14"/>
                <w:szCs w:val="16"/>
                <w:lang w:val="en-GB"/>
              </w:rPr>
              <w:t>Le</w:t>
            </w:r>
            <w:r w:rsidR="002C086D">
              <w:rPr>
                <w:rFonts w:cs="Arial"/>
                <w:color w:val="000000"/>
                <w:sz w:val="14"/>
                <w:szCs w:val="16"/>
                <w:lang w:val="en-GB"/>
              </w:rPr>
              <w:t>gislation updated November 2014</w:t>
            </w:r>
            <w:r w:rsidR="00DD0D68">
              <w:rPr>
                <w:rFonts w:cs="Arial"/>
                <w:color w:val="000000"/>
                <w:sz w:val="14"/>
                <w:szCs w:val="16"/>
                <w:lang w:val="en-GB"/>
              </w:rPr>
              <w:t xml:space="preserve"> </w:t>
            </w:r>
          </w:p>
        </w:tc>
      </w:tr>
      <w:tr w:rsidR="00826CC8" w:rsidRPr="00826CC8" w14:paraId="1C7A8AD7" w14:textId="77777777" w:rsidTr="00B2173F">
        <w:tc>
          <w:tcPr>
            <w:tcW w:w="1750" w:type="dxa"/>
            <w:shd w:val="clear" w:color="auto" w:fill="FFC9C9"/>
            <w:tcMar>
              <w:top w:w="80" w:type="dxa"/>
              <w:left w:w="80" w:type="dxa"/>
              <w:bottom w:w="80" w:type="dxa"/>
              <w:right w:w="80" w:type="dxa"/>
            </w:tcMar>
          </w:tcPr>
          <w:p w14:paraId="3BE3F4F1"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C’wealth Comcare</w:t>
            </w:r>
          </w:p>
        </w:tc>
        <w:tc>
          <w:tcPr>
            <w:tcW w:w="8009" w:type="dxa"/>
            <w:shd w:val="clear" w:color="auto" w:fill="FFC9C9"/>
            <w:tcMar>
              <w:top w:w="80" w:type="dxa"/>
              <w:left w:w="80" w:type="dxa"/>
              <w:bottom w:w="80" w:type="dxa"/>
              <w:right w:w="80" w:type="dxa"/>
            </w:tcMar>
          </w:tcPr>
          <w:p w14:paraId="33389360" w14:textId="719A6393" w:rsidR="00826CC8" w:rsidRPr="00826CC8" w:rsidRDefault="00826CC8" w:rsidP="00A02E8F">
            <w:pPr>
              <w:rPr>
                <w:rFonts w:cs="Arial"/>
                <w:color w:val="000000"/>
                <w:sz w:val="14"/>
                <w:szCs w:val="16"/>
                <w:lang w:val="en-GB"/>
              </w:rPr>
            </w:pPr>
            <w:r w:rsidRPr="00826CC8">
              <w:rPr>
                <w:rFonts w:cs="Arial"/>
                <w:color w:val="000000"/>
                <w:sz w:val="14"/>
                <w:szCs w:val="16"/>
                <w:lang w:val="en-GB"/>
              </w:rPr>
              <w:t xml:space="preserve">There are no formal cooperative arrangements with other jurisdictional compensation authorities as the Commonwealth scheme does not </w:t>
            </w:r>
            <w:r w:rsidR="002C086D">
              <w:rPr>
                <w:rFonts w:cs="Arial"/>
                <w:color w:val="000000"/>
                <w:sz w:val="14"/>
                <w:szCs w:val="16"/>
                <w:lang w:val="en-GB"/>
              </w:rPr>
              <w:t>operate on a geographical basis</w:t>
            </w:r>
          </w:p>
        </w:tc>
      </w:tr>
      <w:tr w:rsidR="00826CC8" w:rsidRPr="00826CC8" w14:paraId="715662DA" w14:textId="77777777" w:rsidTr="00B2173F">
        <w:tc>
          <w:tcPr>
            <w:tcW w:w="1750" w:type="dxa"/>
            <w:tcMar>
              <w:top w:w="80" w:type="dxa"/>
              <w:left w:w="80" w:type="dxa"/>
              <w:bottom w:w="80" w:type="dxa"/>
              <w:right w:w="80" w:type="dxa"/>
            </w:tcMar>
          </w:tcPr>
          <w:p w14:paraId="242D2017"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C’wealth Seacare</w:t>
            </w:r>
          </w:p>
        </w:tc>
        <w:tc>
          <w:tcPr>
            <w:tcW w:w="8009" w:type="dxa"/>
            <w:tcMar>
              <w:top w:w="80" w:type="dxa"/>
              <w:left w:w="80" w:type="dxa"/>
              <w:bottom w:w="80" w:type="dxa"/>
              <w:right w:w="80" w:type="dxa"/>
            </w:tcMar>
          </w:tcPr>
          <w:p w14:paraId="7234DEDB" w14:textId="3D0083A6" w:rsidR="00826CC8" w:rsidRPr="00826CC8" w:rsidRDefault="00826CC8" w:rsidP="00A02E8F">
            <w:pPr>
              <w:rPr>
                <w:rFonts w:cs="Arial"/>
                <w:color w:val="000000"/>
                <w:sz w:val="14"/>
                <w:szCs w:val="16"/>
                <w:lang w:val="en-GB"/>
              </w:rPr>
            </w:pPr>
            <w:r w:rsidRPr="00826CC8">
              <w:rPr>
                <w:rFonts w:cs="Arial"/>
                <w:color w:val="000000"/>
                <w:sz w:val="14"/>
                <w:szCs w:val="16"/>
                <w:lang w:val="en-GB"/>
              </w:rPr>
              <w:t>State/Territory compensation schemes have no appli</w:t>
            </w:r>
            <w:r w:rsidR="002C086D">
              <w:rPr>
                <w:rFonts w:cs="Arial"/>
                <w:color w:val="000000"/>
                <w:sz w:val="14"/>
                <w:szCs w:val="16"/>
                <w:lang w:val="en-GB"/>
              </w:rPr>
              <w:t xml:space="preserve">cation if </w:t>
            </w:r>
            <w:r w:rsidR="00DD34D4" w:rsidRPr="00016069">
              <w:rPr>
                <w:i/>
                <w:sz w:val="14"/>
              </w:rPr>
              <w:t>Seafarers Rehabilitation and Compensation Act 1992</w:t>
            </w:r>
            <w:r w:rsidR="002C086D">
              <w:rPr>
                <w:rFonts w:cs="Arial"/>
                <w:color w:val="000000"/>
                <w:sz w:val="14"/>
                <w:szCs w:val="16"/>
                <w:lang w:val="en-GB"/>
              </w:rPr>
              <w:t xml:space="preserve"> applies</w:t>
            </w:r>
          </w:p>
        </w:tc>
      </w:tr>
      <w:tr w:rsidR="00826CC8" w:rsidRPr="00826CC8" w14:paraId="5BFE61B5" w14:textId="77777777" w:rsidTr="00B2173F">
        <w:tc>
          <w:tcPr>
            <w:tcW w:w="1750" w:type="dxa"/>
            <w:shd w:val="clear" w:color="auto" w:fill="FFC9C9"/>
            <w:tcMar>
              <w:top w:w="80" w:type="dxa"/>
              <w:left w:w="80" w:type="dxa"/>
              <w:bottom w:w="80" w:type="dxa"/>
              <w:right w:w="80" w:type="dxa"/>
            </w:tcMar>
          </w:tcPr>
          <w:p w14:paraId="1A1B4999"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C’wealth DVA</w:t>
            </w:r>
          </w:p>
        </w:tc>
        <w:tc>
          <w:tcPr>
            <w:tcW w:w="8009" w:type="dxa"/>
            <w:shd w:val="clear" w:color="auto" w:fill="FFC9C9"/>
            <w:tcMar>
              <w:top w:w="80" w:type="dxa"/>
              <w:left w:w="80" w:type="dxa"/>
              <w:bottom w:w="80" w:type="dxa"/>
              <w:right w:w="80" w:type="dxa"/>
            </w:tcMar>
          </w:tcPr>
          <w:p w14:paraId="23E32490" w14:textId="1CE79FCE" w:rsidR="00826CC8" w:rsidRPr="00826CC8" w:rsidRDefault="00826CC8" w:rsidP="00E13D9F">
            <w:pPr>
              <w:tabs>
                <w:tab w:val="left" w:pos="2912"/>
              </w:tabs>
              <w:rPr>
                <w:rFonts w:cs="Arial"/>
                <w:color w:val="000000"/>
                <w:sz w:val="14"/>
                <w:szCs w:val="16"/>
                <w:lang w:val="en-GB"/>
              </w:rPr>
            </w:pPr>
            <w:r w:rsidRPr="00826CC8">
              <w:rPr>
                <w:rFonts w:cs="Arial"/>
                <w:color w:val="000000"/>
                <w:sz w:val="14"/>
                <w:szCs w:val="16"/>
                <w:lang w:val="en-GB"/>
              </w:rPr>
              <w:t>N/A</w:t>
            </w:r>
          </w:p>
        </w:tc>
      </w:tr>
      <w:tr w:rsidR="00826CC8" w:rsidRPr="00826CC8" w14:paraId="7DE5968F" w14:textId="77777777" w:rsidTr="00B2173F">
        <w:tc>
          <w:tcPr>
            <w:tcW w:w="1750" w:type="dxa"/>
            <w:tcMar>
              <w:top w:w="80" w:type="dxa"/>
              <w:left w:w="80" w:type="dxa"/>
              <w:bottom w:w="80" w:type="dxa"/>
              <w:right w:w="80" w:type="dxa"/>
            </w:tcMar>
          </w:tcPr>
          <w:p w14:paraId="48F73BD6"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New Zealand</w:t>
            </w:r>
          </w:p>
        </w:tc>
        <w:tc>
          <w:tcPr>
            <w:tcW w:w="8009" w:type="dxa"/>
            <w:tcMar>
              <w:top w:w="80" w:type="dxa"/>
              <w:left w:w="80" w:type="dxa"/>
              <w:bottom w:w="80" w:type="dxa"/>
              <w:right w:w="80" w:type="dxa"/>
            </w:tcMar>
          </w:tcPr>
          <w:p w14:paraId="4FBF6DD6" w14:textId="1B04A8A3" w:rsidR="00826CC8" w:rsidRPr="00826CC8" w:rsidRDefault="00826CC8" w:rsidP="00A02E8F">
            <w:pPr>
              <w:rPr>
                <w:rFonts w:cs="Arial"/>
                <w:color w:val="000000"/>
                <w:sz w:val="14"/>
                <w:szCs w:val="16"/>
                <w:lang w:val="en-GB"/>
              </w:rPr>
            </w:pPr>
            <w:r w:rsidRPr="00826CC8">
              <w:rPr>
                <w:rFonts w:cs="Arial"/>
                <w:color w:val="000000"/>
                <w:sz w:val="14"/>
                <w:szCs w:val="16"/>
                <w:lang w:val="en-GB"/>
              </w:rPr>
              <w:t>The ACC Scheme covers New Zealand residents injured outside of New Zealand if they have been or remain absent for less than six months or intend to be a</w:t>
            </w:r>
            <w:r w:rsidR="002C086D">
              <w:rPr>
                <w:rFonts w:cs="Arial"/>
                <w:color w:val="000000"/>
                <w:sz w:val="14"/>
                <w:szCs w:val="16"/>
                <w:lang w:val="en-GB"/>
              </w:rPr>
              <w:t>bsent for less than six months</w:t>
            </w:r>
          </w:p>
        </w:tc>
      </w:tr>
    </w:tbl>
    <w:p w14:paraId="6BCDFAC3" w14:textId="77777777" w:rsidR="00C66972" w:rsidRPr="00C66972" w:rsidRDefault="00C66972" w:rsidP="00C66972">
      <w:pPr>
        <w:spacing w:after="200" w:line="276" w:lineRule="auto"/>
        <w:rPr>
          <w:rFonts w:eastAsiaTheme="minorHAnsi"/>
        </w:rPr>
      </w:pPr>
    </w:p>
    <w:p w14:paraId="5819ECC5"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759D2AFD" w14:textId="795A8413" w:rsidR="00F813AE" w:rsidRPr="002E029B" w:rsidRDefault="00C65744" w:rsidP="002E029B">
      <w:pPr>
        <w:pStyle w:val="SWASectiontitle"/>
      </w:pPr>
      <w:bookmarkStart w:id="126" w:name="_Toc504654675"/>
      <w:r>
        <w:rPr>
          <w:noProof/>
        </w:rPr>
        <w:lastRenderedPageBreak/>
        <w:drawing>
          <wp:anchor distT="0" distB="0" distL="114300" distR="114300" simplePos="0" relativeHeight="251665920" behindDoc="1" locked="0" layoutInCell="1" allowOverlap="1" wp14:anchorId="5FAEF7B5" wp14:editId="51B561C4">
            <wp:simplePos x="0" y="0"/>
            <wp:positionH relativeFrom="column">
              <wp:posOffset>-913130</wp:posOffset>
            </wp:positionH>
            <wp:positionV relativeFrom="paragraph">
              <wp:posOffset>-960075</wp:posOffset>
            </wp:positionV>
            <wp:extent cx="7600950" cy="10732135"/>
            <wp:effectExtent l="0" t="0" r="0" b="0"/>
            <wp:wrapNone/>
            <wp:docPr id="21" name="Picture 21"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29B" w:rsidRPr="008278E3">
        <w:t>Chapter</w:t>
      </w:r>
      <w:r w:rsidR="002E029B" w:rsidRPr="00C709C9">
        <w:t xml:space="preserve"> 4:</w:t>
      </w:r>
      <w:r w:rsidR="00C709C9">
        <w:br/>
      </w:r>
      <w:r w:rsidR="002E029B" w:rsidRPr="00C709C9">
        <w:t xml:space="preserve"> Benefits</w:t>
      </w:r>
      <w:bookmarkEnd w:id="126"/>
      <w:r w:rsidR="00F813AE">
        <w:rPr>
          <w:b w:val="0"/>
        </w:rPr>
        <w:br w:type="page"/>
      </w:r>
    </w:p>
    <w:p w14:paraId="29205DC7" w14:textId="59BA6492" w:rsidR="002C086D" w:rsidRPr="002C086D" w:rsidRDefault="002C086D" w:rsidP="00A80282">
      <w:pPr>
        <w:pStyle w:val="Title"/>
      </w:pPr>
      <w:bookmarkStart w:id="127" w:name="_Toc504654676"/>
      <w:bookmarkStart w:id="128" w:name="benefits"/>
      <w:r w:rsidRPr="002C086D">
        <w:lastRenderedPageBreak/>
        <w:t>Benefits</w:t>
      </w:r>
      <w:bookmarkEnd w:id="127"/>
      <w:r w:rsidRPr="002C086D">
        <w:t xml:space="preserve"> </w:t>
      </w:r>
    </w:p>
    <w:p w14:paraId="1314B0E9" w14:textId="35370CD4" w:rsidR="002C086D" w:rsidRDefault="0008303E" w:rsidP="008278E3">
      <w:pPr>
        <w:rPr>
          <w:rFonts w:eastAsiaTheme="minorHAnsi"/>
        </w:rPr>
      </w:pPr>
      <w:r>
        <w:rPr>
          <w:rFonts w:eastAsiaTheme="minorHAnsi"/>
        </w:rPr>
        <w:fldChar w:fldCharType="begin"/>
      </w:r>
      <w:r>
        <w:instrText xml:space="preserve"> XE "</w:instrText>
      </w:r>
      <w:r w:rsidRPr="003C702B">
        <w:instrText>benefits</w:instrText>
      </w:r>
      <w:r>
        <w:instrText xml:space="preserve">" \r "benefits" </w:instrText>
      </w:r>
      <w:r>
        <w:rPr>
          <w:rFonts w:eastAsiaTheme="minorHAnsi"/>
        </w:rPr>
        <w:fldChar w:fldCharType="end"/>
      </w:r>
      <w:r w:rsidR="00C66972" w:rsidRPr="00C66972">
        <w:rPr>
          <w:rFonts w:eastAsiaTheme="minorHAnsi"/>
        </w:rPr>
        <w:t>Once it is established that an injured worker is entitled to workers’ compensation</w:t>
      </w:r>
      <w:r w:rsidR="00D67265">
        <w:rPr>
          <w:rFonts w:eastAsiaTheme="minorHAnsi"/>
        </w:rPr>
        <w:t>,</w:t>
      </w:r>
      <w:r w:rsidR="00C66972" w:rsidRPr="00C66972">
        <w:rPr>
          <w:rFonts w:eastAsiaTheme="minorHAnsi"/>
        </w:rPr>
        <w:t xml:space="preserve"> the next step is to determine the type and amount of benefits the worker is entitled to receive. The benefits an injured worker receives should assist them financially while they are recovering from their injury, as well as helping them </w:t>
      </w:r>
      <w:r w:rsidR="002C086D">
        <w:rPr>
          <w:rFonts w:eastAsiaTheme="minorHAnsi"/>
        </w:rPr>
        <w:t xml:space="preserve">to </w:t>
      </w:r>
      <w:r w:rsidR="00C66972" w:rsidRPr="00C66972">
        <w:rPr>
          <w:rFonts w:eastAsiaTheme="minorHAnsi"/>
        </w:rPr>
        <w:t xml:space="preserve">return to </w:t>
      </w:r>
      <w:r w:rsidR="0023561D">
        <w:rPr>
          <w:rFonts w:eastAsiaTheme="minorHAnsi"/>
        </w:rPr>
        <w:t xml:space="preserve">either </w:t>
      </w:r>
      <w:r w:rsidR="00C66972" w:rsidRPr="00C66972">
        <w:rPr>
          <w:rFonts w:eastAsiaTheme="minorHAnsi"/>
        </w:rPr>
        <w:t xml:space="preserve">their pre-injury employment </w:t>
      </w:r>
      <w:r w:rsidR="0023561D">
        <w:rPr>
          <w:rFonts w:eastAsiaTheme="minorHAnsi"/>
        </w:rPr>
        <w:t xml:space="preserve">or alternative employment, </w:t>
      </w:r>
      <w:r w:rsidR="00C66972" w:rsidRPr="00C66972">
        <w:rPr>
          <w:rFonts w:eastAsiaTheme="minorHAnsi"/>
        </w:rPr>
        <w:t xml:space="preserve">in a timely, safe and durable manner through rehabilitation and other necessary support. </w:t>
      </w:r>
    </w:p>
    <w:p w14:paraId="29871B8E" w14:textId="1BD39B29" w:rsidR="00C66972" w:rsidRPr="00C66972" w:rsidRDefault="00C66972" w:rsidP="002C086D">
      <w:pPr>
        <w:spacing w:before="240"/>
        <w:rPr>
          <w:rFonts w:eastAsiaTheme="minorHAnsi"/>
        </w:rPr>
      </w:pPr>
      <w:r w:rsidRPr="00C66972">
        <w:rPr>
          <w:rFonts w:eastAsiaTheme="minorHAnsi"/>
        </w:rPr>
        <w:t>The types of benefits that an injured worker may receive include:</w:t>
      </w:r>
    </w:p>
    <w:p w14:paraId="160FADD0" w14:textId="77777777" w:rsidR="008278E3" w:rsidRDefault="00C66972" w:rsidP="00F839DB">
      <w:pPr>
        <w:pStyle w:val="ListParagraph"/>
        <w:numPr>
          <w:ilvl w:val="0"/>
          <w:numId w:val="482"/>
        </w:numPr>
        <w:rPr>
          <w:rFonts w:eastAsiaTheme="minorHAnsi"/>
        </w:rPr>
      </w:pPr>
      <w:r w:rsidRPr="008278E3">
        <w:rPr>
          <w:rFonts w:eastAsiaTheme="minorHAnsi"/>
        </w:rPr>
        <w:t>income replacement payments</w:t>
      </w:r>
    </w:p>
    <w:p w14:paraId="11FCF96B" w14:textId="77777777" w:rsidR="008278E3" w:rsidRDefault="00C66972" w:rsidP="00F839DB">
      <w:pPr>
        <w:pStyle w:val="ListParagraph"/>
        <w:numPr>
          <w:ilvl w:val="0"/>
          <w:numId w:val="482"/>
        </w:numPr>
        <w:rPr>
          <w:rFonts w:eastAsiaTheme="minorHAnsi"/>
        </w:rPr>
      </w:pPr>
      <w:r w:rsidRPr="008278E3">
        <w:rPr>
          <w:rFonts w:eastAsiaTheme="minorHAnsi"/>
        </w:rPr>
        <w:t>costs of medical and hospital treatment</w:t>
      </w:r>
    </w:p>
    <w:p w14:paraId="07F3D56A" w14:textId="77777777" w:rsidR="008278E3" w:rsidRDefault="00C66972" w:rsidP="00F839DB">
      <w:pPr>
        <w:pStyle w:val="ListParagraph"/>
        <w:numPr>
          <w:ilvl w:val="0"/>
          <w:numId w:val="482"/>
        </w:numPr>
        <w:rPr>
          <w:rFonts w:eastAsiaTheme="minorHAnsi"/>
        </w:rPr>
      </w:pPr>
      <w:r w:rsidRPr="008278E3">
        <w:rPr>
          <w:rFonts w:eastAsiaTheme="minorHAnsi"/>
        </w:rPr>
        <w:t>permanent impairment entitlements</w:t>
      </w:r>
    </w:p>
    <w:p w14:paraId="3405BE8B" w14:textId="77777777" w:rsidR="008278E3" w:rsidRDefault="00C66972" w:rsidP="00F839DB">
      <w:pPr>
        <w:pStyle w:val="ListParagraph"/>
        <w:numPr>
          <w:ilvl w:val="0"/>
          <w:numId w:val="482"/>
        </w:numPr>
        <w:rPr>
          <w:rFonts w:eastAsiaTheme="minorHAnsi"/>
        </w:rPr>
      </w:pPr>
      <w:r w:rsidRPr="008278E3">
        <w:rPr>
          <w:rFonts w:eastAsiaTheme="minorHAnsi"/>
        </w:rPr>
        <w:t>death entitlements, and</w:t>
      </w:r>
    </w:p>
    <w:p w14:paraId="32CD2C3E" w14:textId="77777777" w:rsidR="006A50D4" w:rsidRDefault="00C66972" w:rsidP="00F839DB">
      <w:pPr>
        <w:pStyle w:val="ListParagraph"/>
        <w:numPr>
          <w:ilvl w:val="0"/>
          <w:numId w:val="482"/>
        </w:numPr>
        <w:rPr>
          <w:rFonts w:eastAsiaTheme="minorHAnsi"/>
        </w:rPr>
      </w:pPr>
      <w:r w:rsidRPr="008278E3">
        <w:rPr>
          <w:rFonts w:eastAsiaTheme="minorHAnsi"/>
        </w:rPr>
        <w:t>other benefits.</w:t>
      </w:r>
    </w:p>
    <w:p w14:paraId="64D18AC2" w14:textId="10C62519" w:rsidR="00C66972" w:rsidRPr="002C086D" w:rsidRDefault="00C66972" w:rsidP="00A80282">
      <w:pPr>
        <w:pStyle w:val="Heading4"/>
      </w:pPr>
      <w:bookmarkStart w:id="129" w:name="_Toc483227178"/>
      <w:r w:rsidRPr="002C086D">
        <w:t>Income replacement</w:t>
      </w:r>
      <w:bookmarkEnd w:id="129"/>
      <w:r w:rsidR="005A67A3" w:rsidRPr="002C086D">
        <w:fldChar w:fldCharType="begin"/>
      </w:r>
      <w:r w:rsidR="005A67A3" w:rsidRPr="002C086D">
        <w:instrText xml:space="preserve"> XE "benefits:income replacement" </w:instrText>
      </w:r>
      <w:r w:rsidR="005A67A3" w:rsidRPr="002C086D">
        <w:fldChar w:fldCharType="end"/>
      </w:r>
      <w:r w:rsidR="009915C5" w:rsidRPr="002C086D">
        <w:fldChar w:fldCharType="begin"/>
      </w:r>
      <w:r w:rsidR="009915C5" w:rsidRPr="002C086D">
        <w:instrText xml:space="preserve"> XE "income replacement" </w:instrText>
      </w:r>
      <w:r w:rsidR="009915C5" w:rsidRPr="002C086D">
        <w:fldChar w:fldCharType="end"/>
      </w:r>
    </w:p>
    <w:p w14:paraId="3502FEDC" w14:textId="052E44D7" w:rsidR="00172AC7" w:rsidRDefault="00C66972" w:rsidP="002C086D">
      <w:pPr>
        <w:spacing w:before="120"/>
        <w:rPr>
          <w:rFonts w:eastAsiaTheme="minorHAnsi"/>
        </w:rPr>
      </w:pPr>
      <w:r w:rsidRPr="00C66972">
        <w:rPr>
          <w:rFonts w:eastAsiaTheme="minorHAnsi"/>
        </w:rPr>
        <w:t>Income replacement payments (generally known as weekly payments) are periodic payments that are usually calculated on the basis of the worker’s pre-injury earnings.</w:t>
      </w:r>
      <w:r w:rsidR="002C086D">
        <w:rPr>
          <w:rFonts w:eastAsiaTheme="minorHAnsi"/>
        </w:rPr>
        <w:t xml:space="preserve"> </w:t>
      </w:r>
      <w:r w:rsidRPr="00C66972">
        <w:rPr>
          <w:rFonts w:eastAsiaTheme="minorHAnsi"/>
        </w:rPr>
        <w:t>While income replacement payments aim to substitute fairly the lost earnings of an injured worker, there are limits to entitlements depending on the degree of incapacity. Income replacement payments are ‘stepped down’ by a percentage or to a set amount for workers who cannot earn an income because of a work related injury.</w:t>
      </w:r>
    </w:p>
    <w:p w14:paraId="1DBD30A3" w14:textId="71102493" w:rsidR="00172AC7" w:rsidRDefault="0023561D" w:rsidP="002C086D">
      <w:pPr>
        <w:spacing w:before="240"/>
        <w:rPr>
          <w:rFonts w:eastAsiaTheme="minorHAnsi"/>
        </w:rPr>
      </w:pPr>
      <w:r>
        <w:rPr>
          <w:rFonts w:eastAsiaTheme="minorHAnsi"/>
        </w:rPr>
        <w:t>Most</w:t>
      </w:r>
      <w:r w:rsidRPr="00C66972">
        <w:rPr>
          <w:rFonts w:eastAsiaTheme="minorHAnsi"/>
        </w:rPr>
        <w:t xml:space="preserve"> </w:t>
      </w:r>
      <w:r w:rsidR="00C66972" w:rsidRPr="00C66972">
        <w:rPr>
          <w:rFonts w:eastAsiaTheme="minorHAnsi"/>
        </w:rPr>
        <w:t>jurisdictions index income replacement amounts notionally to keep pace with increases in average incomes, although the amounts and timing of indexation vary.</w:t>
      </w:r>
    </w:p>
    <w:p w14:paraId="5B139A2F" w14:textId="77777777" w:rsidR="002C086D" w:rsidRDefault="00C66972" w:rsidP="002C086D">
      <w:pPr>
        <w:spacing w:before="240"/>
        <w:rPr>
          <w:rFonts w:eastAsiaTheme="minorHAnsi"/>
        </w:rPr>
      </w:pPr>
      <w:r w:rsidRPr="00C66972">
        <w:rPr>
          <w:rFonts w:eastAsiaTheme="minorHAnsi"/>
        </w:rPr>
        <w:t>An injured worker may elect to receive a one</w:t>
      </w:r>
      <w:r w:rsidR="00D67265">
        <w:rPr>
          <w:rFonts w:eastAsiaTheme="minorHAnsi"/>
        </w:rPr>
        <w:t xml:space="preserve"> </w:t>
      </w:r>
      <w:r w:rsidRPr="00C66972">
        <w:rPr>
          <w:rFonts w:eastAsiaTheme="minorHAnsi"/>
        </w:rPr>
        <w:t xml:space="preserve">off lump sum payment, which replaces the worker’s ongoing weekly income replacement payments. This type of payment needs to be agreed by the injured worker and the insurer and can be referred to as settlement, redemption or commutation payment. There may be criteria that need to be met in order for an injured worker to receive a lump sum settlement payout. If an injured worker elects to receive a lump sum payment, the insurer’s liability and weekly income replacement benefits cease, but in some jurisdictions this payment does not affect </w:t>
      </w:r>
      <w:r w:rsidR="00A2030D">
        <w:rPr>
          <w:rFonts w:eastAsiaTheme="minorHAnsi"/>
        </w:rPr>
        <w:t xml:space="preserve">medical and like expenses. </w:t>
      </w:r>
    </w:p>
    <w:p w14:paraId="1D8711DD" w14:textId="1A0EF21D" w:rsidR="006A50D4" w:rsidRDefault="00C66972" w:rsidP="002C086D">
      <w:pPr>
        <w:spacing w:before="240"/>
        <w:rPr>
          <w:rFonts w:eastAsiaTheme="minorHAnsi"/>
        </w:rPr>
      </w:pPr>
      <w:r w:rsidRPr="00C66972">
        <w:rPr>
          <w:rFonts w:eastAsiaTheme="minorHAnsi"/>
        </w:rPr>
        <w:t>Income replacement arrangements differ across all of the worke</w:t>
      </w:r>
      <w:r w:rsidR="00A2030D">
        <w:rPr>
          <w:rFonts w:eastAsiaTheme="minorHAnsi"/>
        </w:rPr>
        <w:t xml:space="preserve">rs’ compensation jurisdictions. </w:t>
      </w:r>
      <w:r w:rsidRPr="00C66972">
        <w:rPr>
          <w:rFonts w:eastAsiaTheme="minorHAnsi"/>
        </w:rPr>
        <w:t>Table</w:t>
      </w:r>
      <w:r w:rsidR="00827D10">
        <w:rPr>
          <w:rFonts w:eastAsiaTheme="minorHAnsi"/>
        </w:rPr>
        <w:t> </w:t>
      </w:r>
      <w:r w:rsidRPr="00C66972">
        <w:rPr>
          <w:rFonts w:eastAsiaTheme="minorHAnsi"/>
        </w:rPr>
        <w:t>4.1 shows the income replacement arrangements in each jurisdiction.</w:t>
      </w:r>
    </w:p>
    <w:p w14:paraId="368F2C2E" w14:textId="1C89EC67" w:rsidR="00C66972" w:rsidRPr="002C086D" w:rsidRDefault="00C66972" w:rsidP="00A80282">
      <w:pPr>
        <w:pStyle w:val="Heading4"/>
      </w:pPr>
      <w:bookmarkStart w:id="130" w:name="_Toc483227179"/>
      <w:r w:rsidRPr="002C086D">
        <w:t>Medical, hospital and other costs</w:t>
      </w:r>
      <w:bookmarkEnd w:id="130"/>
      <w:r w:rsidR="00854F23" w:rsidRPr="002C086D">
        <w:fldChar w:fldCharType="begin"/>
      </w:r>
      <w:r w:rsidR="00854F23" w:rsidRPr="002C086D">
        <w:instrText xml:space="preserve"> XE "benefits:medical, hospital and other costs" </w:instrText>
      </w:r>
      <w:r w:rsidR="00854F23" w:rsidRPr="002C086D">
        <w:fldChar w:fldCharType="end"/>
      </w:r>
      <w:r w:rsidR="00306D40" w:rsidRPr="002C086D">
        <w:t xml:space="preserve"> </w:t>
      </w:r>
      <w:r w:rsidR="00306D40" w:rsidRPr="002C086D">
        <w:fldChar w:fldCharType="begin"/>
      </w:r>
      <w:r w:rsidR="00306D40" w:rsidRPr="002C086D">
        <w:instrText xml:space="preserve"> XE "medical, hospital and other costs:benefits" </w:instrText>
      </w:r>
      <w:r w:rsidR="00306D40" w:rsidRPr="002C086D">
        <w:fldChar w:fldCharType="end"/>
      </w:r>
    </w:p>
    <w:p w14:paraId="61D23DF2" w14:textId="4A6B11BC" w:rsidR="006A50D4" w:rsidRDefault="00C66972" w:rsidP="00A2030D">
      <w:pPr>
        <w:rPr>
          <w:rFonts w:eastAsiaTheme="minorHAnsi"/>
        </w:rPr>
      </w:pPr>
      <w:r w:rsidRPr="00C66972">
        <w:rPr>
          <w:rFonts w:eastAsiaTheme="minorHAnsi"/>
        </w:rPr>
        <w:t>Payment of medical and hospital costs assist</w:t>
      </w:r>
      <w:r w:rsidR="002C086D">
        <w:rPr>
          <w:rFonts w:eastAsiaTheme="minorHAnsi"/>
        </w:rPr>
        <w:t>s</w:t>
      </w:r>
      <w:r w:rsidRPr="00C66972">
        <w:rPr>
          <w:rFonts w:eastAsiaTheme="minorHAnsi"/>
        </w:rPr>
        <w:t xml:space="preserve"> workers in their recovery from injury by providing necessary rehabilitation and medical services. Most workplace injuries will require some form of medical assistance and there are instances where the worker requires hospital admission due to the severity of the injury. Workers’ compensation schemes cover medical, hospital and allied health expenses. In some cases payments are also made for other services such as home help, attendant care and vehicle or home modifications. Table 4.2 outlines medical, hospital and other costs by jurisdiction.</w:t>
      </w:r>
    </w:p>
    <w:p w14:paraId="3DE5FF34" w14:textId="723EE75C" w:rsidR="00C66972" w:rsidRPr="00A2030D" w:rsidRDefault="00C66972" w:rsidP="00A80282">
      <w:pPr>
        <w:pStyle w:val="Heading4"/>
      </w:pPr>
      <w:bookmarkStart w:id="131" w:name="_Toc483227180"/>
      <w:r w:rsidRPr="002C086D">
        <w:t>Permanent impairment payments</w:t>
      </w:r>
      <w:bookmarkEnd w:id="131"/>
      <w:r w:rsidR="00854F23" w:rsidRPr="002C086D">
        <w:t xml:space="preserve"> </w:t>
      </w:r>
      <w:r w:rsidR="00854F23" w:rsidRPr="002C086D">
        <w:fldChar w:fldCharType="begin"/>
      </w:r>
      <w:r w:rsidR="00854F23" w:rsidRPr="002C086D">
        <w:instrText xml:space="preserve"> XE "benefits:permanent impairment payments" </w:instrText>
      </w:r>
      <w:r w:rsidR="00854F23" w:rsidRPr="002C086D">
        <w:fldChar w:fldCharType="end"/>
      </w:r>
      <w:r w:rsidR="00A95C3B" w:rsidRPr="002C086D">
        <w:fldChar w:fldCharType="begin"/>
      </w:r>
      <w:r w:rsidR="00A95C3B" w:rsidRPr="002C086D">
        <w:instrText xml:space="preserve"> XE "payments:permanent impairment payments" </w:instrText>
      </w:r>
      <w:r w:rsidR="00A95C3B" w:rsidRPr="002C086D">
        <w:fldChar w:fldCharType="end"/>
      </w:r>
      <w:r w:rsidR="00376626" w:rsidRPr="002C086D">
        <w:fldChar w:fldCharType="begin"/>
      </w:r>
      <w:r w:rsidR="00376626" w:rsidRPr="002C086D">
        <w:instrText xml:space="preserve"> XE "permanent impairment:payments" </w:instrText>
      </w:r>
      <w:r w:rsidR="00376626" w:rsidRPr="002C086D">
        <w:fldChar w:fldCharType="end"/>
      </w:r>
    </w:p>
    <w:p w14:paraId="3B7C51C5" w14:textId="3871F7C7" w:rsidR="00C66972" w:rsidRPr="00C66972" w:rsidRDefault="00C66972" w:rsidP="00A2030D">
      <w:pPr>
        <w:rPr>
          <w:rFonts w:eastAsiaTheme="minorHAnsi"/>
        </w:rPr>
      </w:pPr>
      <w:r w:rsidRPr="00C66972">
        <w:rPr>
          <w:rFonts w:eastAsiaTheme="minorHAnsi"/>
        </w:rPr>
        <w:t>In most cases injured workers make a full recovery from their injury, but there are instances where an injury sustained by a worker is permanent. In these situations, an injured worker may be entitled to permanent impairment benefits, which are awarded in addition to income replacement payments. Permanent impairment payments are a lump sum payment for each impairment sustained to cover non-economic loss. Table 4.3 shows permanent impairment payments in each jurisdiction.</w:t>
      </w:r>
    </w:p>
    <w:p w14:paraId="2FBE5B0C" w14:textId="723E9A3F" w:rsidR="00C66972" w:rsidRPr="002C086D" w:rsidRDefault="00C66972" w:rsidP="00A80282">
      <w:pPr>
        <w:pStyle w:val="Heading4"/>
      </w:pPr>
      <w:bookmarkStart w:id="132" w:name="_Toc483227181"/>
      <w:r w:rsidRPr="002C086D">
        <w:t>Death entitlements</w:t>
      </w:r>
      <w:bookmarkEnd w:id="132"/>
      <w:r w:rsidR="0008303E" w:rsidRPr="002C086D">
        <w:fldChar w:fldCharType="begin"/>
      </w:r>
      <w:r w:rsidR="0008303E" w:rsidRPr="002C086D">
        <w:instrText xml:space="preserve"> XE "benefits:death entitlements" </w:instrText>
      </w:r>
      <w:r w:rsidR="0008303E" w:rsidRPr="002C086D">
        <w:fldChar w:fldCharType="end"/>
      </w:r>
      <w:r w:rsidR="008E6A35" w:rsidRPr="002C086D">
        <w:fldChar w:fldCharType="begin"/>
      </w:r>
      <w:r w:rsidR="008E6A35" w:rsidRPr="002C086D">
        <w:instrText xml:space="preserve"> XE "death entitlements" </w:instrText>
      </w:r>
      <w:r w:rsidR="008E6A35" w:rsidRPr="002C086D">
        <w:fldChar w:fldCharType="end"/>
      </w:r>
    </w:p>
    <w:p w14:paraId="4E560CB1" w14:textId="07C20DE2" w:rsidR="006A50D4" w:rsidRDefault="00C66972" w:rsidP="00A2030D">
      <w:pPr>
        <w:rPr>
          <w:rFonts w:eastAsiaTheme="minorHAnsi"/>
        </w:rPr>
      </w:pPr>
      <w:r w:rsidRPr="00C66972">
        <w:rPr>
          <w:rFonts w:eastAsiaTheme="minorHAnsi"/>
        </w:rPr>
        <w:lastRenderedPageBreak/>
        <w:t>In the event that a workplace injury results in death, all jurisdictions provide access to death entitlements. A spo</w:t>
      </w:r>
      <w:r w:rsidR="002C086D">
        <w:rPr>
          <w:rFonts w:eastAsiaTheme="minorHAnsi"/>
        </w:rPr>
        <w:t>use or dependant of a worker that</w:t>
      </w:r>
      <w:r w:rsidRPr="00C66972">
        <w:rPr>
          <w:rFonts w:eastAsiaTheme="minorHAnsi"/>
        </w:rPr>
        <w:t xml:space="preserve"> died in a work related incident may be entitled to certain payments, which can assist the family with funeral costs and ongoing living expenses. </w:t>
      </w:r>
      <w:r w:rsidR="00D67265">
        <w:rPr>
          <w:rFonts w:eastAsiaTheme="minorHAnsi"/>
        </w:rPr>
        <w:br/>
        <w:t>T</w:t>
      </w:r>
      <w:r w:rsidR="00D67265" w:rsidRPr="00C66972">
        <w:rPr>
          <w:rFonts w:eastAsiaTheme="minorHAnsi"/>
        </w:rPr>
        <w:t xml:space="preserve">he </w:t>
      </w:r>
      <w:r w:rsidRPr="00C66972">
        <w:rPr>
          <w:rFonts w:eastAsiaTheme="minorHAnsi"/>
        </w:rPr>
        <w:t>amount and type of damages accessible vary between jurisdictions. Table 4.4 outlines death entitlemen</w:t>
      </w:r>
      <w:r w:rsidR="00A2030D">
        <w:rPr>
          <w:rFonts w:eastAsiaTheme="minorHAnsi"/>
        </w:rPr>
        <w:t xml:space="preserve">ts in each jurisdiction and </w:t>
      </w:r>
      <w:r w:rsidR="00A2030D" w:rsidRPr="00C66972">
        <w:rPr>
          <w:rFonts w:eastAsiaTheme="minorHAnsi"/>
        </w:rPr>
        <w:t>table</w:t>
      </w:r>
      <w:r w:rsidRPr="00C66972">
        <w:rPr>
          <w:rFonts w:eastAsiaTheme="minorHAnsi"/>
        </w:rPr>
        <w:t xml:space="preserve"> 4.5 outlines the treatment of spouse and dependants for death entitlements.</w:t>
      </w:r>
    </w:p>
    <w:p w14:paraId="06B7D6D1" w14:textId="66B05D64" w:rsidR="00C66972" w:rsidRPr="002C086D" w:rsidRDefault="00C66972" w:rsidP="00A80282">
      <w:pPr>
        <w:pStyle w:val="Heading4"/>
      </w:pPr>
      <w:bookmarkStart w:id="133" w:name="_Toc483227182"/>
      <w:r w:rsidRPr="002C086D">
        <w:t xml:space="preserve">Common </w:t>
      </w:r>
      <w:r w:rsidR="0002179E" w:rsidRPr="002C086D">
        <w:t>l</w:t>
      </w:r>
      <w:r w:rsidRPr="002C086D">
        <w:t xml:space="preserve">aw </w:t>
      </w:r>
      <w:r w:rsidR="0002179E" w:rsidRPr="002C086D">
        <w:t>a</w:t>
      </w:r>
      <w:r w:rsidRPr="002C086D">
        <w:t>ccess</w:t>
      </w:r>
      <w:bookmarkEnd w:id="133"/>
      <w:r w:rsidR="0008303E" w:rsidRPr="002C086D">
        <w:fldChar w:fldCharType="begin"/>
      </w:r>
      <w:r w:rsidR="0008303E" w:rsidRPr="002C086D">
        <w:instrText xml:space="preserve"> XE "benefits:common law access" </w:instrText>
      </w:r>
      <w:r w:rsidR="0008303E" w:rsidRPr="002C086D">
        <w:fldChar w:fldCharType="end"/>
      </w:r>
      <w:r w:rsidR="00C44D5D" w:rsidRPr="002C086D">
        <w:t xml:space="preserve"> </w:t>
      </w:r>
      <w:r w:rsidR="00C44D5D" w:rsidRPr="002C086D">
        <w:fldChar w:fldCharType="begin"/>
      </w:r>
      <w:r w:rsidR="00C44D5D" w:rsidRPr="002C086D">
        <w:instrText xml:space="preserve"> XE "common law access" </w:instrText>
      </w:r>
      <w:r w:rsidR="00C44D5D" w:rsidRPr="002C086D">
        <w:fldChar w:fldCharType="end"/>
      </w:r>
    </w:p>
    <w:p w14:paraId="55B8B696" w14:textId="77777777" w:rsidR="00C66972" w:rsidRPr="00C66972" w:rsidRDefault="00C66972" w:rsidP="00A2030D">
      <w:pPr>
        <w:rPr>
          <w:rFonts w:eastAsiaTheme="minorHAnsi"/>
        </w:rPr>
      </w:pPr>
      <w:r w:rsidRPr="00C66972">
        <w:rPr>
          <w:rFonts w:eastAsiaTheme="minorHAnsi"/>
        </w:rPr>
        <w:t>Before the introduction of statutory workers’ compensation schemes, injured workers had to sue their employers under common law to receive any benefits. If an injured worker had a cause of action, they were entitled to bring such an action and were entitled to a wide variety of damages, and there were no caps placed on the amount of damages they could receive. Each case was decided on its individual merits and there was no guarantee of success, unlike statutory entitlements that are fixed in law. However, with the introduction of statutory ‘no-fault’ workers’ compensation schemes, and with the benefit of reducing costs for all parties involved, access to common law has been significantly restricted. Some jurisdictions have:</w:t>
      </w:r>
    </w:p>
    <w:p w14:paraId="7C1D01FC" w14:textId="77777777" w:rsidR="00A2030D" w:rsidRDefault="00C66972" w:rsidP="00F839DB">
      <w:pPr>
        <w:pStyle w:val="ListParagraph"/>
        <w:numPr>
          <w:ilvl w:val="0"/>
          <w:numId w:val="483"/>
        </w:numPr>
        <w:rPr>
          <w:rFonts w:eastAsiaTheme="minorHAnsi"/>
        </w:rPr>
      </w:pPr>
      <w:r w:rsidRPr="00A2030D">
        <w:rPr>
          <w:rFonts w:eastAsiaTheme="minorHAnsi"/>
        </w:rPr>
        <w:t>abolished the right to access common law, or</w:t>
      </w:r>
    </w:p>
    <w:p w14:paraId="799AEA0F" w14:textId="77777777" w:rsidR="00A2030D" w:rsidRDefault="00C66972" w:rsidP="00F839DB">
      <w:pPr>
        <w:pStyle w:val="ListParagraph"/>
        <w:numPr>
          <w:ilvl w:val="0"/>
          <w:numId w:val="483"/>
        </w:numPr>
        <w:rPr>
          <w:rFonts w:eastAsiaTheme="minorHAnsi"/>
        </w:rPr>
      </w:pPr>
      <w:r w:rsidRPr="00A2030D">
        <w:rPr>
          <w:rFonts w:eastAsiaTheme="minorHAnsi"/>
        </w:rPr>
        <w:t>introduced threshold tests, and/or</w:t>
      </w:r>
    </w:p>
    <w:p w14:paraId="42BEB5A8" w14:textId="77777777" w:rsidR="00A2030D" w:rsidRDefault="00C66972" w:rsidP="00F839DB">
      <w:pPr>
        <w:pStyle w:val="ListParagraph"/>
        <w:numPr>
          <w:ilvl w:val="0"/>
          <w:numId w:val="483"/>
        </w:numPr>
        <w:rPr>
          <w:rFonts w:eastAsiaTheme="minorHAnsi"/>
        </w:rPr>
      </w:pPr>
      <w:r w:rsidRPr="00A2030D">
        <w:rPr>
          <w:rFonts w:eastAsiaTheme="minorHAnsi"/>
        </w:rPr>
        <w:t>placed restrictions on types of damages that an injured worker can receive, and/or</w:t>
      </w:r>
    </w:p>
    <w:p w14:paraId="51AC18F8" w14:textId="77777777" w:rsidR="00172AC7" w:rsidRDefault="00C66972" w:rsidP="00F839DB">
      <w:pPr>
        <w:pStyle w:val="ListParagraph"/>
        <w:numPr>
          <w:ilvl w:val="0"/>
          <w:numId w:val="483"/>
        </w:numPr>
        <w:rPr>
          <w:rFonts w:eastAsiaTheme="minorHAnsi"/>
        </w:rPr>
      </w:pPr>
      <w:r w:rsidRPr="00A2030D">
        <w:rPr>
          <w:rFonts w:eastAsiaTheme="minorHAnsi"/>
        </w:rPr>
        <w:t>placed caps on the amount of damages that can be awarded.</w:t>
      </w:r>
    </w:p>
    <w:p w14:paraId="6B285D55" w14:textId="7DFF9961" w:rsidR="006A50D4" w:rsidRDefault="00C66972" w:rsidP="002C086D">
      <w:pPr>
        <w:spacing w:before="240"/>
        <w:rPr>
          <w:rFonts w:eastAsiaTheme="minorHAnsi"/>
        </w:rPr>
      </w:pPr>
      <w:r w:rsidRPr="00C66972">
        <w:rPr>
          <w:rFonts w:eastAsiaTheme="minorHAnsi"/>
        </w:rPr>
        <w:t>Despite these restrictions, some injured workers still want to pursue common law. If an injured worker elects to pursue common law, they may have to reimburse their employer or the compensation authority for any statutory benefits paid out. Table 4.6 outlines the access to common law in each jurisdiction.</w:t>
      </w:r>
    </w:p>
    <w:p w14:paraId="0B4872E5" w14:textId="53BEC51D" w:rsidR="00C66972" w:rsidRPr="002C086D" w:rsidRDefault="00C66972" w:rsidP="00A80282">
      <w:pPr>
        <w:pStyle w:val="Heading4"/>
      </w:pPr>
      <w:bookmarkStart w:id="134" w:name="_Toc483227183"/>
      <w:r w:rsidRPr="002C086D">
        <w:t xml:space="preserve">Suspension and </w:t>
      </w:r>
      <w:r w:rsidR="0002179E" w:rsidRPr="002C086D">
        <w:t>c</w:t>
      </w:r>
      <w:r w:rsidRPr="002C086D">
        <w:t>essation of benefits</w:t>
      </w:r>
      <w:bookmarkEnd w:id="134"/>
      <w:r w:rsidR="00854F23" w:rsidRPr="002C086D">
        <w:fldChar w:fldCharType="begin"/>
      </w:r>
      <w:r w:rsidR="00854F23" w:rsidRPr="002C086D">
        <w:instrText xml:space="preserve"> XE "benefits:suspension and cessation of benefits" </w:instrText>
      </w:r>
      <w:r w:rsidR="00854F23" w:rsidRPr="002C086D">
        <w:fldChar w:fldCharType="end"/>
      </w:r>
      <w:r w:rsidR="00CA3CD4" w:rsidRPr="002C086D">
        <w:fldChar w:fldCharType="begin"/>
      </w:r>
      <w:r w:rsidR="00CA3CD4" w:rsidRPr="002C086D">
        <w:instrText xml:space="preserve"> XE "suspension and cessation of benefits" </w:instrText>
      </w:r>
      <w:r w:rsidR="00CA3CD4" w:rsidRPr="002C086D">
        <w:fldChar w:fldCharType="end"/>
      </w:r>
    </w:p>
    <w:p w14:paraId="16E8E6B5" w14:textId="77777777" w:rsidR="006A50D4" w:rsidRDefault="00C66972" w:rsidP="00A2030D">
      <w:pPr>
        <w:rPr>
          <w:rFonts w:eastAsiaTheme="minorHAnsi"/>
        </w:rPr>
      </w:pPr>
      <w:r w:rsidRPr="00C66972">
        <w:rPr>
          <w:rFonts w:eastAsiaTheme="minorHAnsi"/>
        </w:rPr>
        <w:t>Compensation and rehabilitation of injured workers impose mutual obligations on insurers, employers and employees. Payments may be suspended or ceased if certain obligations are not met by the injured worker. Table 4.7 lists the provisions in legislation that may result in compensation being ceased or suspended until certain conditions are met.</w:t>
      </w:r>
    </w:p>
    <w:p w14:paraId="5DDE10C5" w14:textId="589CBD87" w:rsidR="00C66972" w:rsidRPr="002C086D" w:rsidRDefault="00C66972" w:rsidP="00A80282">
      <w:pPr>
        <w:pStyle w:val="Heading4"/>
      </w:pPr>
      <w:bookmarkStart w:id="135" w:name="_Toc483227184"/>
      <w:r w:rsidRPr="002C086D">
        <w:t>Settlement of future incapacity benefits</w:t>
      </w:r>
      <w:bookmarkEnd w:id="135"/>
      <w:r w:rsidR="00854F23" w:rsidRPr="002C086D">
        <w:t xml:space="preserve"> </w:t>
      </w:r>
      <w:r w:rsidR="00854F23" w:rsidRPr="002C086D">
        <w:fldChar w:fldCharType="begin"/>
      </w:r>
      <w:r w:rsidR="00854F23" w:rsidRPr="002C086D">
        <w:instrText xml:space="preserve"> XE "benefits:settlement of future incapacity benefits" </w:instrText>
      </w:r>
      <w:r w:rsidR="00854F23" w:rsidRPr="002C086D">
        <w:fldChar w:fldCharType="end"/>
      </w:r>
    </w:p>
    <w:p w14:paraId="6C197420" w14:textId="141E8DE4" w:rsidR="006A50D4" w:rsidRDefault="00C66972" w:rsidP="00A2030D">
      <w:pPr>
        <w:rPr>
          <w:rFonts w:eastAsiaTheme="minorHAnsi"/>
        </w:rPr>
      </w:pPr>
      <w:r w:rsidRPr="00C66972">
        <w:rPr>
          <w:rFonts w:eastAsiaTheme="minorHAnsi"/>
        </w:rPr>
        <w:t>Some jurisdictions provide for settlement of future</w:t>
      </w:r>
      <w:r w:rsidR="000B568E">
        <w:rPr>
          <w:rFonts w:eastAsiaTheme="minorHAnsi"/>
        </w:rPr>
        <w:fldChar w:fldCharType="begin"/>
      </w:r>
      <w:r w:rsidR="000B568E">
        <w:instrText xml:space="preserve"> XE "</w:instrText>
      </w:r>
      <w:r w:rsidR="000B568E" w:rsidRPr="001854C8">
        <w:instrText>settlement of future incapacity benefits</w:instrText>
      </w:r>
      <w:r w:rsidR="000B568E">
        <w:instrText xml:space="preserve">" </w:instrText>
      </w:r>
      <w:r w:rsidR="000B568E">
        <w:rPr>
          <w:rFonts w:eastAsiaTheme="minorHAnsi"/>
        </w:rPr>
        <w:fldChar w:fldCharType="end"/>
      </w:r>
      <w:r w:rsidRPr="00C66972">
        <w:rPr>
          <w:rFonts w:eastAsiaTheme="minorHAnsi"/>
        </w:rPr>
        <w:t xml:space="preserve"> in</w:t>
      </w:r>
      <w:r w:rsidR="002C086D">
        <w:rPr>
          <w:rFonts w:eastAsiaTheme="minorHAnsi"/>
        </w:rPr>
        <w:t>capacity payment</w:t>
      </w:r>
      <w:r w:rsidRPr="00C66972">
        <w:rPr>
          <w:rFonts w:eastAsiaTheme="minorHAnsi"/>
        </w:rPr>
        <w:t xml:space="preserve"> entitlements to injured workers</w:t>
      </w:r>
      <w:r w:rsidR="002C086D">
        <w:rPr>
          <w:rFonts w:eastAsiaTheme="minorHAnsi"/>
        </w:rPr>
        <w:t>,</w:t>
      </w:r>
      <w:r w:rsidRPr="00C66972">
        <w:rPr>
          <w:rFonts w:eastAsiaTheme="minorHAnsi"/>
        </w:rPr>
        <w:t xml:space="preserve"> on the basis that certain criteria are met. These payments (often referred to as redemptions or commutations) are paid out as a settlement payment by the relevant Authority, which may include provisions that the injured worker can no longer claim benefits for their injury. Table 4.8 provides information on the settlement provisions in each jurisdiction.</w:t>
      </w:r>
      <w:bookmarkEnd w:id="128"/>
    </w:p>
    <w:p w14:paraId="6D1734FB" w14:textId="7FE76BA4" w:rsidR="00C66972" w:rsidRPr="00C66972" w:rsidRDefault="00C66972" w:rsidP="00C66972">
      <w:pPr>
        <w:spacing w:after="200" w:line="276" w:lineRule="auto"/>
        <w:rPr>
          <w:rFonts w:eastAsiaTheme="minorHAnsi"/>
        </w:rPr>
        <w:sectPr w:rsidR="00C66972" w:rsidRPr="00C66972" w:rsidSect="00BE34AA">
          <w:pgSz w:w="11906" w:h="16838"/>
          <w:pgMar w:top="1440" w:right="1440" w:bottom="1440" w:left="1440" w:header="709" w:footer="709" w:gutter="0"/>
          <w:cols w:space="708"/>
          <w:docGrid w:linePitch="360"/>
        </w:sectPr>
      </w:pPr>
    </w:p>
    <w:p w14:paraId="2E5882A9" w14:textId="6310B139" w:rsidR="00C1725F" w:rsidRPr="00A80282" w:rsidRDefault="00C1725F" w:rsidP="00A80282">
      <w:pPr>
        <w:pStyle w:val="SWATableheader"/>
      </w:pPr>
      <w:bookmarkStart w:id="136" w:name="_Toc504654677"/>
      <w:bookmarkStart w:id="137" w:name="income"/>
      <w:r w:rsidRPr="00A80282">
        <w:rPr>
          <w:rStyle w:val="SWATableheaderChar"/>
          <w:b/>
        </w:rPr>
        <w:lastRenderedPageBreak/>
        <w:t>Table 4.1: Income replacement</w:t>
      </w:r>
      <w:bookmarkEnd w:id="136"/>
      <w:r w:rsidRPr="00A80282">
        <w:t xml:space="preserve"> </w:t>
      </w:r>
      <w:r w:rsidR="005A67A3" w:rsidRPr="00A80282">
        <w:fldChar w:fldCharType="begin"/>
      </w:r>
      <w:r w:rsidR="005A67A3" w:rsidRPr="00A80282">
        <w:instrText xml:space="preserve"> XE "benefits:income replacement" \r "income" </w:instrText>
      </w:r>
      <w:r w:rsidR="005A67A3" w:rsidRPr="00A80282">
        <w:fldChar w:fldCharType="end"/>
      </w:r>
      <w:r w:rsidR="009915C5" w:rsidRPr="00A80282">
        <w:fldChar w:fldCharType="begin"/>
      </w:r>
      <w:r w:rsidR="009915C5" w:rsidRPr="00A80282">
        <w:instrText xml:space="preserve"> XE "income replacement" \r "income" </w:instrText>
      </w:r>
      <w:r w:rsidR="009915C5"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1: Income replacement  "/>
        <w:tblDescription w:val="This table outlines income replacement under each of the workers' compensation schemes. "/>
      </w:tblPr>
      <w:tblGrid>
        <w:gridCol w:w="1626"/>
        <w:gridCol w:w="6897"/>
        <w:gridCol w:w="6898"/>
      </w:tblGrid>
      <w:tr w:rsidR="00C1725F" w:rsidRPr="002C6162" w14:paraId="293312CC" w14:textId="77777777" w:rsidTr="00B2173F">
        <w:trPr>
          <w:tblHeader/>
        </w:trPr>
        <w:tc>
          <w:tcPr>
            <w:tcW w:w="1626" w:type="dxa"/>
            <w:shd w:val="clear" w:color="auto" w:fill="C00000"/>
            <w:tcMar>
              <w:top w:w="0" w:type="dxa"/>
              <w:left w:w="0" w:type="dxa"/>
              <w:bottom w:w="0" w:type="dxa"/>
              <w:right w:w="0" w:type="dxa"/>
            </w:tcMar>
            <w:vAlign w:val="center"/>
          </w:tcPr>
          <w:p w14:paraId="14996271" w14:textId="77777777" w:rsidR="00C1725F" w:rsidRPr="002C6162" w:rsidRDefault="00C1725F" w:rsidP="007F0B00">
            <w:pPr>
              <w:pStyle w:val="Tableheaderrow"/>
              <w:spacing w:after="60"/>
            </w:pPr>
          </w:p>
        </w:tc>
        <w:tc>
          <w:tcPr>
            <w:tcW w:w="6897" w:type="dxa"/>
            <w:shd w:val="clear" w:color="auto" w:fill="C00000"/>
            <w:tcMar>
              <w:top w:w="0" w:type="dxa"/>
              <w:left w:w="0" w:type="dxa"/>
              <w:bottom w:w="0" w:type="dxa"/>
              <w:right w:w="0" w:type="dxa"/>
            </w:tcMar>
            <w:vAlign w:val="center"/>
          </w:tcPr>
          <w:p w14:paraId="5B6242BF" w14:textId="77777777" w:rsidR="00C1725F" w:rsidRPr="002C6162" w:rsidRDefault="00C1725F" w:rsidP="007F0B00">
            <w:pPr>
              <w:pStyle w:val="Tableheaderrow"/>
              <w:spacing w:after="60"/>
            </w:pPr>
            <w:r w:rsidRPr="002C6162">
              <w:t>Calculation</w:t>
            </w:r>
          </w:p>
        </w:tc>
        <w:tc>
          <w:tcPr>
            <w:tcW w:w="6898" w:type="dxa"/>
            <w:shd w:val="clear" w:color="auto" w:fill="C00000"/>
            <w:tcMar>
              <w:top w:w="0" w:type="dxa"/>
              <w:left w:w="0" w:type="dxa"/>
              <w:bottom w:w="0" w:type="dxa"/>
              <w:right w:w="0" w:type="dxa"/>
            </w:tcMar>
            <w:vAlign w:val="center"/>
          </w:tcPr>
          <w:p w14:paraId="63A76DFB" w14:textId="77777777" w:rsidR="00C1725F" w:rsidRPr="002C6162" w:rsidRDefault="00C1725F" w:rsidP="007F0B00">
            <w:pPr>
              <w:pStyle w:val="Tableheaderrow"/>
              <w:spacing w:after="60"/>
            </w:pPr>
            <w:r w:rsidRPr="002C6162">
              <w:t>Settlement, redemption, commutation</w:t>
            </w:r>
          </w:p>
        </w:tc>
      </w:tr>
      <w:tr w:rsidR="00C1725F" w:rsidRPr="00C048C1" w14:paraId="4E9357C7" w14:textId="77777777" w:rsidTr="00B2173F">
        <w:tc>
          <w:tcPr>
            <w:tcW w:w="1626" w:type="dxa"/>
            <w:shd w:val="clear" w:color="auto" w:fill="FFC9C9"/>
            <w:tcMar>
              <w:top w:w="80" w:type="dxa"/>
              <w:left w:w="80" w:type="dxa"/>
              <w:bottom w:w="80" w:type="dxa"/>
              <w:right w:w="80" w:type="dxa"/>
            </w:tcMar>
          </w:tcPr>
          <w:p w14:paraId="2764E311" w14:textId="77777777" w:rsidR="00C1725F" w:rsidRPr="00C048C1" w:rsidRDefault="00C1725F" w:rsidP="007F0B00">
            <w:pPr>
              <w:pStyle w:val="TableColumn1bold"/>
              <w:spacing w:after="60"/>
            </w:pPr>
            <w:r w:rsidRPr="00C048C1">
              <w:t>New South Wales</w:t>
            </w:r>
          </w:p>
        </w:tc>
        <w:tc>
          <w:tcPr>
            <w:tcW w:w="6897" w:type="dxa"/>
            <w:shd w:val="clear" w:color="auto" w:fill="FFC9C9"/>
            <w:tcMar>
              <w:top w:w="80" w:type="dxa"/>
              <w:left w:w="80" w:type="dxa"/>
              <w:bottom w:w="80" w:type="dxa"/>
              <w:right w:w="80" w:type="dxa"/>
            </w:tcMar>
          </w:tcPr>
          <w:p w14:paraId="6467DD8A" w14:textId="15F09363" w:rsidR="00C1725F" w:rsidRPr="00C048C1" w:rsidRDefault="00C1725F" w:rsidP="007F0B00">
            <w:pPr>
              <w:pStyle w:val="lgetabletxt"/>
              <w:spacing w:after="60" w:afterAutospacing="0"/>
            </w:pPr>
            <w:r w:rsidRPr="00C048C1">
              <w:t>Part 3, Div 2 (</w:t>
            </w:r>
            <w:r w:rsidR="00134AC7" w:rsidRPr="00016069">
              <w:rPr>
                <w:i/>
              </w:rPr>
              <w:t>Workers Compensation Act 1987</w:t>
            </w:r>
            <w:r w:rsidRPr="00C048C1">
              <w:t xml:space="preserve">). </w:t>
            </w:r>
          </w:p>
          <w:p w14:paraId="7FAAD337" w14:textId="77777777" w:rsidR="00C1725F" w:rsidRPr="00C048C1" w:rsidRDefault="00C1725F" w:rsidP="007F0B00">
            <w:pPr>
              <w:pStyle w:val="lgetabletxt"/>
              <w:spacing w:after="60" w:afterAutospacing="0"/>
            </w:pPr>
            <w:r w:rsidRPr="00C048C1">
              <w:t>No current work capacity *</w:t>
            </w:r>
          </w:p>
          <w:p w14:paraId="5775EE3F" w14:textId="66D761F2" w:rsidR="00C1725F" w:rsidRPr="00C048C1" w:rsidRDefault="00C1725F" w:rsidP="007F0B00">
            <w:pPr>
              <w:pStyle w:val="lgetabletxt"/>
              <w:spacing w:after="60" w:afterAutospacing="0"/>
            </w:pPr>
            <w:r w:rsidRPr="00C048C1">
              <w:t xml:space="preserve">First 13 weeks </w:t>
            </w:r>
            <w:r w:rsidR="0093305E">
              <w:t>—</w:t>
            </w:r>
            <w:r w:rsidR="0093305E" w:rsidRPr="00C048C1">
              <w:t xml:space="preserve"> </w:t>
            </w:r>
            <w:r w:rsidRPr="00C048C1">
              <w:t>lesser of:</w:t>
            </w:r>
          </w:p>
          <w:p w14:paraId="6241DE19" w14:textId="49DF30B7" w:rsidR="00C1725F" w:rsidRPr="00C048C1" w:rsidRDefault="00C1725F" w:rsidP="007F0B00">
            <w:pPr>
              <w:pStyle w:val="Tabledotpointlist7pt"/>
              <w:spacing w:after="60"/>
              <w:ind w:left="357" w:hanging="357"/>
            </w:pPr>
            <w:r w:rsidRPr="00C048C1">
              <w:t>95 % pre-injury average weekly earnings (PIAWE) minus the value of any deductible amount, or</w:t>
            </w:r>
          </w:p>
          <w:p w14:paraId="13F23E8D" w14:textId="5BA69631" w:rsidR="00C1725F" w:rsidRPr="00C048C1" w:rsidRDefault="00C1725F" w:rsidP="007F0B00">
            <w:pPr>
              <w:pStyle w:val="Tabledotpointlist7pt"/>
              <w:spacing w:after="60"/>
              <w:ind w:left="357" w:hanging="357"/>
            </w:pPr>
            <w:r w:rsidRPr="00C048C1">
              <w:t>the maximum weekly compensation amount (</w:t>
            </w:r>
            <w:r w:rsidR="00CE476E">
              <w:t>$2,084.90</w:t>
            </w:r>
            <w:r w:rsidRPr="00C048C1">
              <w:t>) minus any deductible amount.</w:t>
            </w:r>
          </w:p>
          <w:p w14:paraId="4F56560D" w14:textId="567F0C91" w:rsidR="00C1725F" w:rsidRPr="00C048C1" w:rsidRDefault="00C1725F" w:rsidP="007F0B00">
            <w:pPr>
              <w:pStyle w:val="lgetabletxt"/>
              <w:spacing w:after="60" w:afterAutospacing="0"/>
            </w:pPr>
            <w:r w:rsidRPr="00C048C1">
              <w:t>14</w:t>
            </w:r>
            <w:r w:rsidR="0093305E">
              <w:t>–</w:t>
            </w:r>
            <w:r w:rsidRPr="00C048C1">
              <w:t xml:space="preserve">130 weeks </w:t>
            </w:r>
            <w:r w:rsidR="0093305E">
              <w:t>—</w:t>
            </w:r>
            <w:r w:rsidR="0093305E" w:rsidRPr="00C048C1">
              <w:t xml:space="preserve"> </w:t>
            </w:r>
            <w:r w:rsidRPr="00C048C1">
              <w:t>lesser of:</w:t>
            </w:r>
          </w:p>
          <w:p w14:paraId="3E301EB8" w14:textId="77777777" w:rsidR="00C1725F" w:rsidRPr="00C048C1" w:rsidRDefault="00C1725F" w:rsidP="007F0B00">
            <w:pPr>
              <w:pStyle w:val="Tabledotpointlist7pt"/>
              <w:spacing w:after="60"/>
              <w:ind w:left="357" w:hanging="357"/>
            </w:pPr>
            <w:r w:rsidRPr="00C048C1">
              <w:t>80% PIAWE minus the value of any deductible amount, or</w:t>
            </w:r>
          </w:p>
          <w:p w14:paraId="57174532" w14:textId="5F6841CB" w:rsidR="00C1725F" w:rsidRPr="00C048C1" w:rsidRDefault="00C1725F" w:rsidP="007F0B00">
            <w:pPr>
              <w:pStyle w:val="Tabledotpointlist7pt"/>
              <w:spacing w:after="60"/>
              <w:ind w:left="357" w:hanging="357"/>
            </w:pPr>
            <w:r w:rsidRPr="00C048C1">
              <w:t>the maximum weekly compensation ($</w:t>
            </w:r>
            <w:r w:rsidR="00CE476E">
              <w:t>2,084.90</w:t>
            </w:r>
            <w:r w:rsidRPr="00C048C1">
              <w:t>) minus any deductible amount.</w:t>
            </w:r>
          </w:p>
          <w:p w14:paraId="32C66C87" w14:textId="77777777" w:rsidR="00C1725F" w:rsidRPr="00C048C1" w:rsidRDefault="00C1725F" w:rsidP="007F0B00">
            <w:pPr>
              <w:pStyle w:val="lgetabletxt"/>
              <w:spacing w:after="60" w:afterAutospacing="0"/>
            </w:pPr>
            <w:r w:rsidRPr="00C048C1">
              <w:t>Notes:</w:t>
            </w:r>
          </w:p>
          <w:p w14:paraId="013E36F6" w14:textId="77777777" w:rsidR="00C1725F" w:rsidRPr="00C048C1" w:rsidRDefault="00C1725F" w:rsidP="007F0B00">
            <w:pPr>
              <w:pStyle w:val="Tabledotpointlist7pt"/>
              <w:spacing w:after="60"/>
              <w:ind w:left="357" w:hanging="357"/>
            </w:pPr>
            <w:r w:rsidRPr="00C048C1">
              <w:t>Workers will be subject to work capacity assessments at any point throughout the duration of the claim to gather information about the workers ability to return to work in pre-injury employment or suitable employment.</w:t>
            </w:r>
          </w:p>
          <w:p w14:paraId="4ACF2C85" w14:textId="77777777" w:rsidR="00C1725F" w:rsidRPr="00C048C1" w:rsidRDefault="00C1725F" w:rsidP="007F0B00">
            <w:pPr>
              <w:pStyle w:val="Tabledotpointlist7pt"/>
              <w:spacing w:after="60"/>
              <w:ind w:left="357" w:hanging="357"/>
            </w:pPr>
            <w:r w:rsidRPr="00C048C1">
              <w:t>After one year, overtime and shift allowance are excluded from PIAWE.</w:t>
            </w:r>
          </w:p>
          <w:p w14:paraId="08EBCA28" w14:textId="1F178140" w:rsidR="00C1725F" w:rsidRPr="00C048C1" w:rsidRDefault="00C1725F" w:rsidP="007F0B00">
            <w:pPr>
              <w:pStyle w:val="lgetabletxt"/>
              <w:spacing w:after="60" w:afterAutospacing="0"/>
            </w:pPr>
            <w:r w:rsidRPr="00C048C1">
              <w:t>131–260 weeks:</w:t>
            </w:r>
          </w:p>
          <w:p w14:paraId="58B70552" w14:textId="77777777" w:rsidR="00C1725F" w:rsidRPr="00C048C1" w:rsidRDefault="00C1725F" w:rsidP="007F0B00">
            <w:pPr>
              <w:pStyle w:val="lgetabletxt"/>
              <w:spacing w:after="60" w:afterAutospacing="0"/>
            </w:pPr>
            <w:r w:rsidRPr="00C048C1">
              <w:t>A worker has no entitlement to weekly payments after receiving weekly payments for 130 weeks unless:</w:t>
            </w:r>
          </w:p>
          <w:p w14:paraId="0053FBC0" w14:textId="77777777" w:rsidR="00C1725F" w:rsidRPr="00C048C1" w:rsidRDefault="00C1725F" w:rsidP="007F0B00">
            <w:pPr>
              <w:pStyle w:val="Tabledotpointlist7pt"/>
              <w:spacing w:after="60"/>
              <w:ind w:left="357" w:hanging="357"/>
            </w:pPr>
            <w:r w:rsidRPr="00C048C1">
              <w:t xml:space="preserve">the insurer has made an assessment that they have no </w:t>
            </w:r>
            <w:r>
              <w:t xml:space="preserve">current work </w:t>
            </w:r>
            <w:r w:rsidRPr="00C048C1">
              <w:t xml:space="preserve">capacity and this is likely to continue indefinitely </w:t>
            </w:r>
          </w:p>
          <w:p w14:paraId="30EDA9E0" w14:textId="77777777" w:rsidR="00C1725F" w:rsidRPr="00C048C1" w:rsidRDefault="00C1725F" w:rsidP="007F0B00">
            <w:pPr>
              <w:pStyle w:val="lgetabletxt"/>
              <w:spacing w:after="60" w:afterAutospacing="0"/>
            </w:pPr>
            <w:r w:rsidRPr="00C048C1">
              <w:t>Weekly payments are the lesser of:</w:t>
            </w:r>
          </w:p>
          <w:p w14:paraId="289AC7E6" w14:textId="77777777" w:rsidR="00C1725F" w:rsidRPr="00C048C1" w:rsidRDefault="00C1725F" w:rsidP="007F0B00">
            <w:pPr>
              <w:pStyle w:val="Tabledotpointlist7pt"/>
              <w:spacing w:after="60"/>
              <w:ind w:left="357" w:hanging="357"/>
            </w:pPr>
            <w:r w:rsidRPr="00C048C1">
              <w:t xml:space="preserve">80% PIAWE minus the value of any deductible amount, or </w:t>
            </w:r>
          </w:p>
          <w:p w14:paraId="54F39C65" w14:textId="5915B5AB" w:rsidR="00C1725F" w:rsidRPr="00C048C1" w:rsidRDefault="00C1725F" w:rsidP="007F0B00">
            <w:pPr>
              <w:pStyle w:val="Tabledotpointlist7pt"/>
              <w:spacing w:after="60"/>
              <w:ind w:left="357" w:hanging="357"/>
            </w:pPr>
            <w:r w:rsidRPr="00C048C1">
              <w:t>the maximum weekly compensation amount ($2</w:t>
            </w:r>
            <w:r w:rsidR="00CE476E">
              <w:t>,084.90</w:t>
            </w:r>
            <w:r w:rsidRPr="00C048C1">
              <w:t xml:space="preserve">) minus any deductible amount. </w:t>
            </w:r>
          </w:p>
          <w:p w14:paraId="20C3A05E" w14:textId="77777777" w:rsidR="00C1725F" w:rsidRPr="00C048C1" w:rsidRDefault="00C1725F" w:rsidP="007F0B00">
            <w:pPr>
              <w:pStyle w:val="lgetabletxt"/>
              <w:spacing w:after="60" w:afterAutospacing="0"/>
            </w:pPr>
            <w:r w:rsidRPr="00C048C1">
              <w:t>Workers will be subject to a work capacity assessment at least every two years.</w:t>
            </w:r>
          </w:p>
          <w:p w14:paraId="0BEBE92E" w14:textId="1332CD56" w:rsidR="00C1725F" w:rsidRPr="00C048C1" w:rsidRDefault="00C1725F" w:rsidP="007F0B00">
            <w:pPr>
              <w:pStyle w:val="lgetabletxt"/>
              <w:spacing w:after="60" w:afterAutospacing="0"/>
            </w:pPr>
            <w:r w:rsidRPr="00C048C1">
              <w:t>After 260 weeks (five years) </w:t>
            </w:r>
            <w:r w:rsidR="00CE476E">
              <w:t>***</w:t>
            </w:r>
          </w:p>
          <w:p w14:paraId="745D3192" w14:textId="77777777" w:rsidR="00C1725F" w:rsidRPr="00C048C1" w:rsidRDefault="00C1725F" w:rsidP="007F0B00">
            <w:pPr>
              <w:pStyle w:val="lgetabletxt"/>
              <w:spacing w:after="60" w:afterAutospacing="0"/>
            </w:pPr>
            <w:r w:rsidRPr="00C048C1">
              <w:t>Weekly payments will cease except for:</w:t>
            </w:r>
          </w:p>
          <w:p w14:paraId="3643A028" w14:textId="5FBFD954" w:rsidR="00C1725F" w:rsidRPr="00C048C1" w:rsidRDefault="00C1725F" w:rsidP="007F0B00">
            <w:pPr>
              <w:pStyle w:val="Tabledotpointlist7pt"/>
              <w:spacing w:after="60"/>
              <w:ind w:left="357" w:hanging="357"/>
            </w:pPr>
            <w:r w:rsidRPr="00C048C1">
              <w:t>workers who are determine</w:t>
            </w:r>
            <w:r>
              <w:t>d</w:t>
            </w:r>
            <w:r w:rsidRPr="00C048C1">
              <w:t xml:space="preserve"> to be workers with high needs (greater than 20% permanent impairment) and meet the requirements of </w:t>
            </w:r>
            <w:hyperlink r:id="rId990" w:history="1">
              <w:r w:rsidRPr="00AD4DC5">
                <w:rPr>
                  <w:rStyle w:val="Hyperlink"/>
                </w:rPr>
                <w:t>s38</w:t>
              </w:r>
            </w:hyperlink>
            <w:r w:rsidRPr="00C048C1">
              <w:t xml:space="preserve"> of the </w:t>
            </w:r>
            <w:r w:rsidR="00626FBD">
              <w:t>1987 Act</w:t>
            </w:r>
            <w:r w:rsidRPr="00C048C1">
              <w:t xml:space="preserve">. </w:t>
            </w:r>
          </w:p>
          <w:p w14:paraId="5B63EA95" w14:textId="77777777" w:rsidR="00C1725F" w:rsidRPr="00C048C1" w:rsidRDefault="00C1725F" w:rsidP="007F0B00">
            <w:pPr>
              <w:pStyle w:val="lgetabletxt"/>
              <w:spacing w:after="60" w:afterAutospacing="0"/>
            </w:pPr>
            <w:r w:rsidRPr="00C048C1">
              <w:t>Weekly payments are the lesser of:</w:t>
            </w:r>
          </w:p>
          <w:p w14:paraId="232B3DFB" w14:textId="77777777" w:rsidR="00C1725F" w:rsidRPr="00C048C1" w:rsidRDefault="00C1725F" w:rsidP="007F0B00">
            <w:pPr>
              <w:pStyle w:val="Tabledotpointlist7pt"/>
              <w:spacing w:after="60"/>
              <w:ind w:left="357" w:hanging="357"/>
            </w:pPr>
            <w:r w:rsidRPr="00C048C1">
              <w:t xml:space="preserve">80% PIAWE minus the value of any deductible amount, or </w:t>
            </w:r>
          </w:p>
          <w:p w14:paraId="4CF59695" w14:textId="32C30E71" w:rsidR="00C1725F" w:rsidRPr="00C048C1" w:rsidRDefault="00C1725F" w:rsidP="007F0B00">
            <w:pPr>
              <w:pStyle w:val="Tabledotpointlist7pt"/>
              <w:spacing w:after="60"/>
              <w:ind w:left="357" w:hanging="357"/>
            </w:pPr>
            <w:r w:rsidRPr="00C048C1">
              <w:t>the maximum weekly compensation amount ($</w:t>
            </w:r>
            <w:r w:rsidR="00CE476E">
              <w:t>2,084.90</w:t>
            </w:r>
            <w:r w:rsidRPr="00C048C1">
              <w:t xml:space="preserve">) minus any deductible amount. </w:t>
            </w:r>
          </w:p>
          <w:p w14:paraId="049EA827" w14:textId="77777777" w:rsidR="00C1725F" w:rsidRDefault="00C1725F" w:rsidP="007F0B00">
            <w:pPr>
              <w:pStyle w:val="lgetabletxt"/>
              <w:spacing w:after="60" w:afterAutospacing="0"/>
            </w:pPr>
            <w:r w:rsidRPr="00C048C1">
              <w:t>Workers will be subject to a work capacity assessment at least every two years.</w:t>
            </w:r>
            <w:r w:rsidR="00CE476E">
              <w:t xml:space="preserve"> However, workers with highest needs (greater than 30% permanent impairment) continue to be entitles to weekly payments without the requirement for a work capacity assessment.</w:t>
            </w:r>
          </w:p>
          <w:p w14:paraId="4021D8A0" w14:textId="6E98ACC5" w:rsidR="00CE476E" w:rsidRPr="00C048C1" w:rsidRDefault="00CE476E" w:rsidP="007F0B00">
            <w:pPr>
              <w:pStyle w:val="lgetabletxt"/>
              <w:spacing w:after="60" w:afterAutospacing="0"/>
            </w:pPr>
            <w:r>
              <w:t>*** Workers with highest needs are entitles to receive a minimum weekly payment of $808.00.</w:t>
            </w:r>
          </w:p>
          <w:p w14:paraId="55A5815C" w14:textId="5B74F134" w:rsidR="00C1725F" w:rsidRPr="00C048C1" w:rsidRDefault="00C1725F" w:rsidP="007F0B00">
            <w:pPr>
              <w:pStyle w:val="lgetabletxt"/>
              <w:spacing w:after="60" w:afterAutospacing="0"/>
            </w:pPr>
            <w:r w:rsidRPr="00C048C1">
              <w:t>Current work capacity*</w:t>
            </w:r>
            <w:r w:rsidR="00DD0D68">
              <w:t xml:space="preserve"> </w:t>
            </w:r>
          </w:p>
          <w:p w14:paraId="4960922B" w14:textId="63C6391B" w:rsidR="00C1725F" w:rsidRPr="00C048C1" w:rsidRDefault="00C1725F" w:rsidP="007F0B00">
            <w:pPr>
              <w:pStyle w:val="lgetabletxt"/>
              <w:spacing w:after="60" w:afterAutospacing="0"/>
            </w:pPr>
            <w:r w:rsidRPr="00C048C1">
              <w:t xml:space="preserve">First 13 weeks </w:t>
            </w:r>
            <w:r w:rsidR="0093305E">
              <w:t>—</w:t>
            </w:r>
            <w:r w:rsidR="0093305E" w:rsidRPr="00C048C1">
              <w:t xml:space="preserve"> </w:t>
            </w:r>
            <w:r w:rsidRPr="00C048C1">
              <w:t>lesser of:</w:t>
            </w:r>
          </w:p>
          <w:p w14:paraId="18D45D1B" w14:textId="77777777" w:rsidR="00C1725F" w:rsidRPr="00C048C1" w:rsidRDefault="00C1725F" w:rsidP="007F0B00">
            <w:pPr>
              <w:pStyle w:val="Tabledotpointlist7pt"/>
              <w:spacing w:after="60"/>
              <w:ind w:left="357" w:hanging="357"/>
            </w:pPr>
            <w:r w:rsidRPr="00C048C1">
              <w:t xml:space="preserve">95% PIAWE minus earnings** and the value of any deductible amount, or </w:t>
            </w:r>
          </w:p>
          <w:p w14:paraId="2604945A" w14:textId="67884034" w:rsidR="00C1725F" w:rsidRPr="00C048C1" w:rsidRDefault="00C1725F" w:rsidP="007F0B00">
            <w:pPr>
              <w:pStyle w:val="Tabledotpointlist7pt"/>
              <w:spacing w:after="60"/>
              <w:ind w:left="357" w:hanging="357"/>
            </w:pPr>
            <w:r w:rsidRPr="00C048C1">
              <w:t>the maximum weekly compensation amount ($2</w:t>
            </w:r>
            <w:r w:rsidR="00CE476E">
              <w:t>,084.90</w:t>
            </w:r>
            <w:r w:rsidRPr="00C048C1">
              <w:t xml:space="preserve">) minus earnings and the value of any deductible amount. </w:t>
            </w:r>
          </w:p>
          <w:p w14:paraId="18BBF55F" w14:textId="4689BE3D" w:rsidR="00C1725F" w:rsidRPr="00C048C1" w:rsidRDefault="00C1725F" w:rsidP="007F0B00">
            <w:pPr>
              <w:pStyle w:val="lgetabletxt"/>
              <w:spacing w:after="60" w:afterAutospacing="0"/>
            </w:pPr>
            <w:r w:rsidRPr="00C048C1">
              <w:t>14</w:t>
            </w:r>
            <w:r w:rsidR="0093305E">
              <w:t>–</w:t>
            </w:r>
            <w:r w:rsidRPr="00C048C1">
              <w:t xml:space="preserve">130 weeks </w:t>
            </w:r>
          </w:p>
          <w:p w14:paraId="7DC10B95" w14:textId="77777777" w:rsidR="00C1725F" w:rsidRPr="00C048C1" w:rsidRDefault="00C1725F" w:rsidP="007F0B00">
            <w:pPr>
              <w:pStyle w:val="lgetabletxt"/>
              <w:spacing w:after="60" w:afterAutospacing="0"/>
            </w:pPr>
            <w:r w:rsidRPr="00C048C1">
              <w:t xml:space="preserve">Working 15 hours or more per week, the lesser of: </w:t>
            </w:r>
          </w:p>
          <w:p w14:paraId="71E65DAB" w14:textId="77777777" w:rsidR="00C1725F" w:rsidRPr="00C048C1" w:rsidRDefault="00C1725F" w:rsidP="007F0B00">
            <w:pPr>
              <w:pStyle w:val="Tabledotpointlist7pt"/>
              <w:spacing w:after="60"/>
              <w:ind w:left="357" w:hanging="357"/>
            </w:pPr>
            <w:r w:rsidRPr="00C048C1">
              <w:t xml:space="preserve">95% PIAWE minus earnings and the value of any deductible amount, or </w:t>
            </w:r>
          </w:p>
          <w:p w14:paraId="2DA463C8" w14:textId="4AB27F70" w:rsidR="00C1725F" w:rsidRPr="00C048C1" w:rsidRDefault="00C1725F" w:rsidP="007F0B00">
            <w:pPr>
              <w:pStyle w:val="Tabledotpointlist7pt"/>
              <w:spacing w:after="60"/>
              <w:ind w:left="357" w:hanging="357"/>
            </w:pPr>
            <w:r w:rsidRPr="00C048C1">
              <w:t>the maximum weekly compensation amount ($2</w:t>
            </w:r>
            <w:r w:rsidR="0093305E">
              <w:t>,</w:t>
            </w:r>
            <w:r w:rsidR="00764A6F">
              <w:t>084.90</w:t>
            </w:r>
            <w:r w:rsidRPr="00C048C1">
              <w:t>) minus earnings and the value of any deductible amount.</w:t>
            </w:r>
          </w:p>
          <w:p w14:paraId="1694B079" w14:textId="77777777" w:rsidR="00C1725F" w:rsidRPr="00C048C1" w:rsidRDefault="00C1725F" w:rsidP="007F0B00">
            <w:pPr>
              <w:pStyle w:val="lgetabletxt"/>
              <w:spacing w:after="60" w:afterAutospacing="0"/>
            </w:pPr>
            <w:r w:rsidRPr="00C048C1">
              <w:t xml:space="preserve">Working less than 15 hours per week, the lesser of: </w:t>
            </w:r>
          </w:p>
          <w:p w14:paraId="6142CA00" w14:textId="77777777" w:rsidR="00C1725F" w:rsidRPr="00C048C1" w:rsidRDefault="00C1725F" w:rsidP="007F0B00">
            <w:pPr>
              <w:pStyle w:val="Tabledotpointlist7pt"/>
              <w:spacing w:after="60"/>
              <w:ind w:left="357" w:hanging="357"/>
            </w:pPr>
            <w:r w:rsidRPr="00C048C1">
              <w:lastRenderedPageBreak/>
              <w:t xml:space="preserve">80% PIAWE minus earnings and the value of any deductible amount, or </w:t>
            </w:r>
          </w:p>
          <w:p w14:paraId="5A4C5D1B" w14:textId="6CA27B59" w:rsidR="00C1725F" w:rsidRPr="00C048C1" w:rsidRDefault="00C1725F" w:rsidP="007F0B00">
            <w:pPr>
              <w:pStyle w:val="Tabledotpointlist7pt"/>
              <w:spacing w:after="60"/>
              <w:ind w:left="357" w:hanging="357"/>
            </w:pPr>
            <w:r w:rsidRPr="00C048C1">
              <w:t>the maximum weekly compensation amount ($</w:t>
            </w:r>
            <w:r w:rsidR="00764A6F">
              <w:t>2,084.90</w:t>
            </w:r>
            <w:r w:rsidRPr="00C048C1">
              <w:t xml:space="preserve">) minus earnings and the value of any deductible amount. </w:t>
            </w:r>
          </w:p>
          <w:p w14:paraId="3E9CBF5B" w14:textId="77777777" w:rsidR="00C1725F" w:rsidRPr="00C048C1" w:rsidRDefault="00C1725F" w:rsidP="007F0B00">
            <w:pPr>
              <w:pStyle w:val="lgetabletxt"/>
              <w:spacing w:after="60" w:afterAutospacing="0"/>
            </w:pPr>
            <w:r w:rsidRPr="00C048C1">
              <w:t>Workers will be subject to work capacity assessments at any point throughout the duration of the claim to gather information about their ability to return to work in pre-injury employment or suitable employment.</w:t>
            </w:r>
          </w:p>
          <w:p w14:paraId="1E65EB24" w14:textId="0B8C0147" w:rsidR="00C1725F" w:rsidRPr="00C048C1" w:rsidRDefault="00C1725F" w:rsidP="007F0B00">
            <w:pPr>
              <w:pStyle w:val="lgetabletxt"/>
              <w:spacing w:after="60" w:afterAutospacing="0"/>
            </w:pPr>
            <w:r w:rsidRPr="00C048C1">
              <w:t>131</w:t>
            </w:r>
            <w:r w:rsidR="0093305E">
              <w:t>–</w:t>
            </w:r>
            <w:r w:rsidRPr="00C048C1">
              <w:t>260 weeks </w:t>
            </w:r>
          </w:p>
          <w:p w14:paraId="46FA78D4" w14:textId="77777777" w:rsidR="00C1725F" w:rsidRPr="00C048C1" w:rsidRDefault="00C1725F" w:rsidP="007F0B00">
            <w:pPr>
              <w:pStyle w:val="lgetabletxt"/>
              <w:spacing w:after="60" w:afterAutospacing="0"/>
            </w:pPr>
            <w:r w:rsidRPr="00C048C1">
              <w:t>A worker has no entitlement to weekly payments after receiving weekly payments for 130 weeks unless:</w:t>
            </w:r>
          </w:p>
          <w:p w14:paraId="11FA3210" w14:textId="6542863D" w:rsidR="00C1725F" w:rsidRPr="00C048C1" w:rsidRDefault="00C1725F" w:rsidP="007F0B00">
            <w:pPr>
              <w:pStyle w:val="Tabledotpointlist7pt"/>
              <w:spacing w:after="60"/>
              <w:ind w:left="357" w:hanging="357"/>
            </w:pPr>
            <w:r w:rsidRPr="00C048C1">
              <w:t>the worker has completed an ‘</w:t>
            </w:r>
            <w:hyperlink r:id="rId991" w:history="1">
              <w:r w:rsidRPr="00C048C1">
                <w:rPr>
                  <w:rStyle w:val="Hyperlink"/>
                </w:rPr>
                <w:t>Application for continued weekly payments after 130 weeks: Form</w:t>
              </w:r>
            </w:hyperlink>
            <w:r w:rsidRPr="00C048C1">
              <w:t>’ and</w:t>
            </w:r>
            <w:r w:rsidR="00764A6F">
              <w:t xml:space="preserve"> submitted it to the insurer, and</w:t>
            </w:r>
          </w:p>
          <w:p w14:paraId="465F4982" w14:textId="1CE055A6" w:rsidR="00C1725F" w:rsidRPr="00C048C1" w:rsidRDefault="00C1725F" w:rsidP="007F0B00">
            <w:pPr>
              <w:pStyle w:val="Tabledotpointlist7pt"/>
              <w:spacing w:after="60"/>
              <w:ind w:left="357" w:hanging="357"/>
            </w:pPr>
            <w:r w:rsidRPr="00C048C1">
              <w:t>the worker is working 15 hours or more per week and earning at least $</w:t>
            </w:r>
            <w:r w:rsidR="00764A6F">
              <w:t>185</w:t>
            </w:r>
            <w:r w:rsidRPr="00C048C1">
              <w:t xml:space="preserve"> per week and has been assessed by the insurer as indefinitely incapable of undertaking further employment to increase their earnings, and</w:t>
            </w:r>
          </w:p>
          <w:p w14:paraId="5093D4D2" w14:textId="77777777" w:rsidR="00C1725F" w:rsidRPr="00C048C1" w:rsidRDefault="00C1725F" w:rsidP="007F0B00">
            <w:pPr>
              <w:pStyle w:val="Tabledotpointlist7pt"/>
              <w:spacing w:after="60"/>
              <w:ind w:left="357" w:hanging="357"/>
            </w:pPr>
            <w:r w:rsidRPr="00C048C1">
              <w:t>it is determined that the worker is a worker with high needs (more than 20% permanent impairment.)</w:t>
            </w:r>
          </w:p>
          <w:p w14:paraId="525858E6" w14:textId="77777777" w:rsidR="00C1725F" w:rsidRPr="00C048C1" w:rsidRDefault="00C1725F" w:rsidP="007F0B00">
            <w:pPr>
              <w:pStyle w:val="lgetabletxt"/>
              <w:spacing w:after="60" w:afterAutospacing="0"/>
            </w:pPr>
            <w:r w:rsidRPr="00C048C1">
              <w:t>Weekly payments are the lesser of:</w:t>
            </w:r>
          </w:p>
          <w:p w14:paraId="22575CE1" w14:textId="77777777" w:rsidR="00C1725F" w:rsidRPr="00C048C1" w:rsidRDefault="00C1725F" w:rsidP="007F0B00">
            <w:pPr>
              <w:pStyle w:val="Tabledotpointlist7pt"/>
              <w:spacing w:after="60"/>
              <w:ind w:left="357" w:hanging="357"/>
            </w:pPr>
            <w:r w:rsidRPr="00C048C1">
              <w:t xml:space="preserve">80% PIAWE minus earnings and the value of any deductible amount, or </w:t>
            </w:r>
          </w:p>
          <w:p w14:paraId="0C92D7BE" w14:textId="117A71A9" w:rsidR="00C1725F" w:rsidRPr="00C048C1" w:rsidRDefault="00C1725F" w:rsidP="007F0B00">
            <w:pPr>
              <w:pStyle w:val="Tabledotpointlist7pt"/>
              <w:spacing w:after="60"/>
              <w:ind w:left="357" w:hanging="357"/>
            </w:pPr>
            <w:r w:rsidRPr="00C048C1">
              <w:t>the maximum weekly compensation amount ($</w:t>
            </w:r>
            <w:r w:rsidR="00764A6F">
              <w:t>2,084.90</w:t>
            </w:r>
            <w:r w:rsidRPr="00C048C1">
              <w:t xml:space="preserve">) minus any earnings and the value of any deductible amount. </w:t>
            </w:r>
          </w:p>
          <w:p w14:paraId="786B49BE" w14:textId="77777777" w:rsidR="00C1725F" w:rsidRPr="00C048C1" w:rsidRDefault="00C1725F" w:rsidP="007F0B00">
            <w:pPr>
              <w:pStyle w:val="lgetabletxt"/>
              <w:spacing w:after="60" w:afterAutospacing="0"/>
            </w:pPr>
            <w:r w:rsidRPr="00C048C1">
              <w:t>Except for workers with highest needs, workers will be subject to a work capacity assessment at least every two years.</w:t>
            </w:r>
          </w:p>
          <w:p w14:paraId="46F9074B" w14:textId="76A7D75C" w:rsidR="00C1725F" w:rsidRPr="005B2FDD" w:rsidRDefault="00C1725F" w:rsidP="007F0B00">
            <w:pPr>
              <w:pStyle w:val="lgetabletxt"/>
              <w:spacing w:after="60" w:afterAutospacing="0"/>
              <w:rPr>
                <w:u w:val="single"/>
              </w:rPr>
            </w:pPr>
            <w:r w:rsidRPr="005B2FDD">
              <w:rPr>
                <w:u w:val="single"/>
              </w:rPr>
              <w:t xml:space="preserve">After 260 weeks (five years) </w:t>
            </w:r>
            <w:r w:rsidR="008B655B">
              <w:rPr>
                <w:u w:val="single"/>
              </w:rPr>
              <w:t>***</w:t>
            </w:r>
          </w:p>
          <w:p w14:paraId="5A999918" w14:textId="77777777" w:rsidR="00C1725F" w:rsidRPr="00C048C1" w:rsidRDefault="00C1725F" w:rsidP="007F0B00">
            <w:pPr>
              <w:pStyle w:val="lgetabletxt"/>
              <w:spacing w:after="60" w:afterAutospacing="0"/>
            </w:pPr>
            <w:r w:rsidRPr="00C048C1">
              <w:t>Weekly payments will cease, except for:</w:t>
            </w:r>
          </w:p>
          <w:p w14:paraId="5193072F" w14:textId="788F4BE0" w:rsidR="00C1725F" w:rsidRPr="00C048C1" w:rsidRDefault="00C1725F" w:rsidP="007F0B00">
            <w:pPr>
              <w:pStyle w:val="Tabledotpointlist7pt"/>
              <w:spacing w:after="60"/>
              <w:ind w:left="357" w:hanging="357"/>
            </w:pPr>
            <w:r w:rsidRPr="00C048C1">
              <w:t xml:space="preserve">workers with greater than 20% permanent impairment who meet the requirements of </w:t>
            </w:r>
            <w:hyperlink r:id="rId992" w:history="1">
              <w:r w:rsidRPr="00AD4DC5">
                <w:rPr>
                  <w:rStyle w:val="Hyperlink"/>
                </w:rPr>
                <w:t>s38</w:t>
              </w:r>
            </w:hyperlink>
            <w:r w:rsidRPr="00C048C1">
              <w:t xml:space="preserve">, </w:t>
            </w:r>
            <w:r w:rsidR="00352143">
              <w:t>1987 Act.</w:t>
            </w:r>
          </w:p>
          <w:p w14:paraId="10876B45" w14:textId="77777777" w:rsidR="00C1725F" w:rsidRPr="00C048C1" w:rsidRDefault="00C1725F" w:rsidP="007F0B00">
            <w:pPr>
              <w:pStyle w:val="lgetabletxt"/>
              <w:spacing w:after="60" w:afterAutospacing="0"/>
            </w:pPr>
            <w:r w:rsidRPr="00C048C1">
              <w:t>Weekly payments are the lesser of:</w:t>
            </w:r>
          </w:p>
          <w:p w14:paraId="362AFDB3" w14:textId="77777777" w:rsidR="00C1725F" w:rsidRPr="00C048C1" w:rsidRDefault="00C1725F" w:rsidP="007F0B00">
            <w:pPr>
              <w:pStyle w:val="Tabledotpointlist7pt"/>
              <w:spacing w:after="60"/>
              <w:ind w:left="357" w:hanging="357"/>
            </w:pPr>
            <w:r w:rsidRPr="00C048C1">
              <w:t xml:space="preserve">80% PIAWE minus earnings or the amount and the value of any deductible amount, or </w:t>
            </w:r>
          </w:p>
          <w:p w14:paraId="2A538862" w14:textId="3C885105" w:rsidR="00C1725F" w:rsidRDefault="00C1725F" w:rsidP="007F0B00">
            <w:pPr>
              <w:pStyle w:val="Tabledotpointlist7pt"/>
              <w:spacing w:after="60"/>
              <w:ind w:left="357" w:hanging="357"/>
            </w:pPr>
            <w:r w:rsidRPr="00C048C1">
              <w:t>the maximum weekly compensation amount ($</w:t>
            </w:r>
            <w:r w:rsidR="008B655B">
              <w:t>2,084.90</w:t>
            </w:r>
            <w:r w:rsidRPr="00C048C1">
              <w:t xml:space="preserve">) minus any earnings and the value of any deductible amount. </w:t>
            </w:r>
          </w:p>
          <w:p w14:paraId="549905C1" w14:textId="061051AC" w:rsidR="008B655B" w:rsidRPr="00C048C1" w:rsidRDefault="008B655B" w:rsidP="008B655B">
            <w:pPr>
              <w:pStyle w:val="Tabledotpointlist7pt"/>
              <w:numPr>
                <w:ilvl w:val="0"/>
                <w:numId w:val="0"/>
              </w:numPr>
              <w:spacing w:after="60"/>
              <w:ind w:left="360" w:hanging="360"/>
            </w:pPr>
            <w:r>
              <w:t>*** Workers with highest needs are entitled to receive a minimum weekly payment of $808.00</w:t>
            </w:r>
          </w:p>
          <w:p w14:paraId="61A3CE99" w14:textId="75572942" w:rsidR="00C1725F" w:rsidRPr="00C048C1" w:rsidRDefault="00C1725F" w:rsidP="007F0B00">
            <w:pPr>
              <w:pStyle w:val="lgetabletxt"/>
              <w:spacing w:after="60" w:afterAutospacing="0"/>
            </w:pPr>
            <w:r w:rsidRPr="00C048C1">
              <w:t>*</w:t>
            </w:r>
            <w:r>
              <w:t>Claims by the following exempt workers continue to be managed and administered as though the June 2012 changes never occurred and the above weekly payment regime does not</w:t>
            </w:r>
            <w:r w:rsidR="00DD0D68">
              <w:t xml:space="preserve"> </w:t>
            </w:r>
            <w:r>
              <w:t>apply</w:t>
            </w:r>
            <w:r w:rsidRPr="00C048C1">
              <w:t xml:space="preserve">: </w:t>
            </w:r>
          </w:p>
          <w:p w14:paraId="6439A9DB" w14:textId="77777777" w:rsidR="00C1725F" w:rsidRPr="00C048C1" w:rsidRDefault="00C1725F" w:rsidP="007F0B00">
            <w:pPr>
              <w:pStyle w:val="Tabledotpointlist7pt"/>
              <w:spacing w:after="60"/>
              <w:ind w:left="357" w:hanging="357"/>
            </w:pPr>
            <w:r w:rsidRPr="00C048C1">
              <w:t>police officers, paramedics and firefighters</w:t>
            </w:r>
            <w:r w:rsidR="00A41653">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fldChar w:fldCharType="end"/>
            </w:r>
            <w:r w:rsidRPr="00C048C1">
              <w:t xml:space="preserve"> </w:t>
            </w:r>
          </w:p>
          <w:p w14:paraId="13363471" w14:textId="77777777" w:rsidR="00C1725F" w:rsidRPr="00C048C1" w:rsidRDefault="00C1725F" w:rsidP="007F0B00">
            <w:pPr>
              <w:pStyle w:val="Tabledotpointlist7pt"/>
              <w:spacing w:after="60"/>
              <w:ind w:left="357" w:hanging="357"/>
            </w:pPr>
            <w:r w:rsidRPr="00C048C1">
              <w:t xml:space="preserve">workers injured while working in or around a coal mine </w:t>
            </w:r>
          </w:p>
          <w:p w14:paraId="21868C86" w14:textId="77777777" w:rsidR="00C1725F" w:rsidRPr="00C048C1" w:rsidRDefault="00C1725F" w:rsidP="007F0B00">
            <w:pPr>
              <w:pStyle w:val="Tabledotpointlist7pt"/>
              <w:spacing w:after="60"/>
              <w:ind w:left="357" w:hanging="357"/>
            </w:pPr>
            <w:r w:rsidRPr="00C048C1">
              <w:t xml:space="preserve">bush fire and emergency service volunteers, and </w:t>
            </w:r>
          </w:p>
          <w:p w14:paraId="41C9B05E" w14:textId="77777777" w:rsidR="00C1725F" w:rsidRPr="00C048C1" w:rsidRDefault="00C1725F" w:rsidP="007F0B00">
            <w:pPr>
              <w:pStyle w:val="Tabledotpointlist7pt"/>
              <w:spacing w:after="60"/>
              <w:ind w:left="357" w:hanging="357"/>
            </w:pPr>
            <w:r w:rsidRPr="00C048C1">
              <w:t xml:space="preserve">people with a dust disease claim under the </w:t>
            </w:r>
            <w:r w:rsidRPr="00CE49D9">
              <w:rPr>
                <w:i/>
              </w:rPr>
              <w:t>Workers’ Compensation (Dust Diseases) Act 1942</w:t>
            </w:r>
            <w:r w:rsidRPr="00C048C1">
              <w:t xml:space="preserve">. </w:t>
            </w:r>
          </w:p>
          <w:p w14:paraId="717FEF1F" w14:textId="77777777" w:rsidR="00C1725F" w:rsidRPr="00C048C1" w:rsidRDefault="00C1725F" w:rsidP="007F0B00">
            <w:pPr>
              <w:pStyle w:val="lgetabletxt"/>
              <w:spacing w:after="60" w:afterAutospacing="0"/>
            </w:pPr>
            <w:r w:rsidRPr="00C048C1">
              <w:t>**Earnings means the amount to be taken into account as the worker’s earnings after the injury, calculated as whichever of the following is the greater amount:</w:t>
            </w:r>
          </w:p>
          <w:p w14:paraId="54056475" w14:textId="77777777" w:rsidR="00C1725F" w:rsidRPr="00C048C1" w:rsidRDefault="00C1725F" w:rsidP="007F0B00">
            <w:pPr>
              <w:pStyle w:val="Tabledotpointlist7pt"/>
              <w:spacing w:after="60"/>
              <w:ind w:left="357" w:hanging="357"/>
            </w:pPr>
            <w:r w:rsidRPr="00C048C1">
              <w:t>the amount the worker is able to earn in suitable employment, or</w:t>
            </w:r>
          </w:p>
          <w:p w14:paraId="3B19F1D3" w14:textId="77777777" w:rsidR="00C1725F" w:rsidRDefault="00C1725F" w:rsidP="007F0B00">
            <w:pPr>
              <w:pStyle w:val="Tabledotpointlist7pt"/>
              <w:spacing w:after="60"/>
            </w:pPr>
            <w:r w:rsidRPr="00C048C1">
              <w:t>the workers current weekly earnings.</w:t>
            </w:r>
          </w:p>
          <w:p w14:paraId="282D1513" w14:textId="77777777" w:rsidR="00DC01BF" w:rsidRDefault="00DC01BF" w:rsidP="008B655B">
            <w:pPr>
              <w:pStyle w:val="Tabledotpointlist7pt"/>
              <w:numPr>
                <w:ilvl w:val="0"/>
                <w:numId w:val="0"/>
              </w:numPr>
              <w:spacing w:after="60"/>
            </w:pPr>
          </w:p>
          <w:p w14:paraId="2847214A" w14:textId="77777777" w:rsidR="008B655B" w:rsidRDefault="008B655B" w:rsidP="008B655B">
            <w:pPr>
              <w:pStyle w:val="Tabledotpointlist7pt"/>
              <w:numPr>
                <w:ilvl w:val="0"/>
                <w:numId w:val="0"/>
              </w:numPr>
              <w:spacing w:after="60"/>
            </w:pPr>
            <w:r>
              <w:t>*** Workers who were in receipt of weekly payments immediately before 1 October 2012 (existing recipients) may continue to be entitled to weekly payments after 260 weeks if:</w:t>
            </w:r>
          </w:p>
          <w:p w14:paraId="432C4F04" w14:textId="77777777" w:rsidR="008B655B" w:rsidRDefault="008B655B" w:rsidP="00F839DB">
            <w:pPr>
              <w:pStyle w:val="Tabledotpointlist7pt"/>
              <w:numPr>
                <w:ilvl w:val="0"/>
                <w:numId w:val="572"/>
              </w:numPr>
              <w:spacing w:after="60"/>
              <w:ind w:left="346"/>
            </w:pPr>
            <w:r>
              <w:t xml:space="preserve">an assessment of the degree of permanent impairment </w:t>
            </w:r>
            <w:r w:rsidR="00117F4F">
              <w:t>is pending and has not been made because an approved medical specialist has declined to make the assessment on the basis that maximum medical improvement has not been reached and the degree of permanent impairment is not fully ascertainable, or</w:t>
            </w:r>
          </w:p>
          <w:p w14:paraId="6DEBC16E" w14:textId="5191AF48" w:rsidR="00117F4F" w:rsidRPr="00C048C1" w:rsidRDefault="00117F4F" w:rsidP="00F839DB">
            <w:pPr>
              <w:pStyle w:val="Tabledotpointlist7pt"/>
              <w:numPr>
                <w:ilvl w:val="0"/>
                <w:numId w:val="572"/>
              </w:numPr>
              <w:spacing w:after="60"/>
              <w:ind w:left="346"/>
            </w:pPr>
            <w:r>
              <w:t>the insurer is satisfied that the degree of permanent impairment is likely to be more than 20% (whether or not the degree of permanent impairment has previously been assessed).</w:t>
            </w:r>
          </w:p>
        </w:tc>
        <w:tc>
          <w:tcPr>
            <w:tcW w:w="6898" w:type="dxa"/>
            <w:shd w:val="clear" w:color="auto" w:fill="FFC9C9"/>
            <w:tcMar>
              <w:top w:w="80" w:type="dxa"/>
              <w:left w:w="80" w:type="dxa"/>
              <w:bottom w:w="80" w:type="dxa"/>
              <w:right w:w="80" w:type="dxa"/>
            </w:tcMar>
          </w:tcPr>
          <w:p w14:paraId="08688C81" w14:textId="5E54BA67" w:rsidR="00C1725F" w:rsidRPr="00C048C1" w:rsidRDefault="00C1725F" w:rsidP="00692DB2">
            <w:pPr>
              <w:pStyle w:val="Tabledotpointlist7pt"/>
              <w:numPr>
                <w:ilvl w:val="0"/>
                <w:numId w:val="0"/>
              </w:numPr>
              <w:spacing w:after="60"/>
            </w:pPr>
            <w:r w:rsidRPr="00C048C1">
              <w:lastRenderedPageBreak/>
              <w:t>A liability in respect of an injury may be commuted to a lump sum with the agreement of the work</w:t>
            </w:r>
            <w:r w:rsidR="00FD4CD1">
              <w:t>er. A commutation is a lump sum</w:t>
            </w:r>
            <w:r w:rsidRPr="00C048C1">
              <w:t xml:space="preserve"> paid by the insurer on behalf of the employer, the receipt of which brings to an immediate end all future entitlements to weekly </w:t>
            </w:r>
            <w:r w:rsidR="0063233F">
              <w:t>payments</w:t>
            </w:r>
            <w:r w:rsidRPr="00C048C1">
              <w:t>, hospital, medical and related treatment and rehabilitation expenses in respect of that injury. A commutation is only available if the following pre-conditions are met:</w:t>
            </w:r>
          </w:p>
          <w:p w14:paraId="2DE2E7F0" w14:textId="124FA051" w:rsidR="00C1725F" w:rsidRPr="00C048C1" w:rsidRDefault="00C1725F" w:rsidP="00692DB2">
            <w:pPr>
              <w:pStyle w:val="Tabledotpointlist7pt"/>
              <w:spacing w:after="60"/>
              <w:ind w:left="357" w:hanging="357"/>
            </w:pPr>
            <w:r w:rsidRPr="00C048C1">
              <w:t xml:space="preserve">the injured worker has a permanent impairment of at least 15% </w:t>
            </w:r>
          </w:p>
          <w:p w14:paraId="74E8A911" w14:textId="77777777" w:rsidR="00C1725F" w:rsidRPr="00C048C1" w:rsidRDefault="00C1725F" w:rsidP="00692DB2">
            <w:pPr>
              <w:pStyle w:val="Tabledotpointlist7pt"/>
              <w:spacing w:after="60"/>
              <w:ind w:left="357" w:hanging="357"/>
            </w:pPr>
            <w:r w:rsidRPr="00C048C1">
              <w:t xml:space="preserve">compensation for that permanent impairment has been paid </w:t>
            </w:r>
          </w:p>
          <w:p w14:paraId="1CAAEAF0" w14:textId="4BB529D9" w:rsidR="00C1725F" w:rsidRDefault="00C1725F" w:rsidP="00692DB2">
            <w:pPr>
              <w:pStyle w:val="Tabledotpointlist7pt"/>
              <w:spacing w:after="60"/>
              <w:ind w:left="357" w:hanging="357"/>
            </w:pPr>
            <w:r w:rsidRPr="00C048C1">
              <w:t xml:space="preserve">the worker is currently eligible for ongoing weekly </w:t>
            </w:r>
            <w:r w:rsidR="0063233F">
              <w:t>payments</w:t>
            </w:r>
            <w:r w:rsidR="0063233F" w:rsidRPr="00C048C1">
              <w:t xml:space="preserve"> </w:t>
            </w:r>
            <w:r w:rsidRPr="00C048C1">
              <w:t xml:space="preserve">and must have received weekly </w:t>
            </w:r>
            <w:r w:rsidR="0063233F">
              <w:t>payments</w:t>
            </w:r>
            <w:r w:rsidR="0063233F" w:rsidRPr="00C048C1">
              <w:t xml:space="preserve"> </w:t>
            </w:r>
            <w:r w:rsidRPr="00C048C1">
              <w:t xml:space="preserve">regularly and periodically during the previous six months </w:t>
            </w:r>
          </w:p>
          <w:p w14:paraId="001352BC" w14:textId="121DB8D9" w:rsidR="0063233F" w:rsidRPr="00C048C1" w:rsidRDefault="0063233F" w:rsidP="00692DB2">
            <w:pPr>
              <w:pStyle w:val="Tabledotpointlist7pt"/>
              <w:spacing w:after="60"/>
              <w:ind w:left="357" w:hanging="357"/>
            </w:pPr>
            <w:r>
              <w:t>the workers have an existing and continuing entitlement to weekly payments of compensation</w:t>
            </w:r>
          </w:p>
          <w:p w14:paraId="6403B31B" w14:textId="77777777" w:rsidR="00C1725F" w:rsidRPr="00C048C1" w:rsidRDefault="00C1725F" w:rsidP="00692DB2">
            <w:pPr>
              <w:pStyle w:val="Tabledotpointlist7pt"/>
              <w:spacing w:after="60"/>
              <w:ind w:left="357" w:hanging="357"/>
            </w:pPr>
            <w:r w:rsidRPr="00C048C1">
              <w:t xml:space="preserve">it is more than two years since worker first claimed compensation </w:t>
            </w:r>
          </w:p>
          <w:p w14:paraId="7CFAFC4E" w14:textId="72321BCB" w:rsidR="00C1725F" w:rsidRPr="00C048C1" w:rsidRDefault="00C1725F" w:rsidP="00692DB2">
            <w:pPr>
              <w:pStyle w:val="Tabledotpointlist7pt"/>
              <w:spacing w:after="60"/>
              <w:ind w:left="357" w:hanging="357"/>
            </w:pPr>
            <w:r w:rsidRPr="00C048C1">
              <w:t xml:space="preserve">injury management and return to work opportunities have been </w:t>
            </w:r>
            <w:r w:rsidR="0063233F">
              <w:t xml:space="preserve">fully </w:t>
            </w:r>
            <w:r w:rsidRPr="00C048C1">
              <w:t>exhausted, and</w:t>
            </w:r>
          </w:p>
          <w:p w14:paraId="1AC8E1D5" w14:textId="77777777" w:rsidR="0063233F" w:rsidRDefault="00C1725F" w:rsidP="00692DB2">
            <w:pPr>
              <w:pStyle w:val="Tabledotpointlist7pt"/>
              <w:spacing w:after="60"/>
              <w:ind w:left="357" w:hanging="357"/>
            </w:pPr>
            <w:r w:rsidRPr="00C048C1">
              <w:t xml:space="preserve">weekly </w:t>
            </w:r>
            <w:r w:rsidR="0063233F">
              <w:t xml:space="preserve">payments </w:t>
            </w:r>
            <w:r w:rsidRPr="00C048C1">
              <w:t xml:space="preserve">have not been stopped or reduced as a result of the worker not complying with their return to work obligations </w:t>
            </w:r>
          </w:p>
          <w:p w14:paraId="43AE32F3" w14:textId="12CE416D" w:rsidR="00C1725F" w:rsidRDefault="0063233F" w:rsidP="0063233F">
            <w:pPr>
              <w:pStyle w:val="Tabledotpointlist7pt"/>
              <w:numPr>
                <w:ilvl w:val="0"/>
                <w:numId w:val="0"/>
              </w:numPr>
              <w:spacing w:after="60"/>
            </w:pPr>
            <w:r>
              <w:t>[</w:t>
            </w:r>
            <w:r w:rsidR="00C1725F" w:rsidRPr="00C048C1">
              <w:t>s</w:t>
            </w:r>
            <w:r>
              <w:t xml:space="preserve">ection </w:t>
            </w:r>
            <w:hyperlink r:id="rId993" w:history="1">
              <w:r w:rsidR="00C1725F" w:rsidRPr="00AD4DC5">
                <w:rPr>
                  <w:rStyle w:val="Hyperlink"/>
                </w:rPr>
                <w:t>87EA</w:t>
              </w:r>
            </w:hyperlink>
            <w:r w:rsidR="00C1725F" w:rsidRPr="00C048C1">
              <w:t xml:space="preserve">, </w:t>
            </w:r>
            <w:r w:rsidR="00626FBD">
              <w:t>1987 Act</w:t>
            </w:r>
            <w:r>
              <w:t>]</w:t>
            </w:r>
          </w:p>
          <w:p w14:paraId="233AE7C1" w14:textId="77777777" w:rsidR="0063233F" w:rsidRPr="00C048C1" w:rsidRDefault="0063233F" w:rsidP="0063233F">
            <w:pPr>
              <w:pStyle w:val="Tabledotpointlist7pt"/>
              <w:numPr>
                <w:ilvl w:val="0"/>
                <w:numId w:val="0"/>
              </w:numPr>
              <w:spacing w:after="60"/>
            </w:pPr>
          </w:p>
          <w:p w14:paraId="0CE55C70" w14:textId="77777777" w:rsidR="00C1725F" w:rsidRPr="00C048C1" w:rsidRDefault="00C1725F" w:rsidP="00692DB2">
            <w:pPr>
              <w:pStyle w:val="Tabledotpointlist7pt"/>
              <w:numPr>
                <w:ilvl w:val="0"/>
                <w:numId w:val="0"/>
              </w:numPr>
              <w:spacing w:after="60"/>
            </w:pPr>
            <w:r w:rsidRPr="00C048C1">
              <w:t>Prior to receiving a commutation:</w:t>
            </w:r>
          </w:p>
          <w:p w14:paraId="5617E517" w14:textId="77777777" w:rsidR="00C1725F" w:rsidRPr="00C048C1" w:rsidRDefault="00C1725F" w:rsidP="00692DB2">
            <w:pPr>
              <w:pStyle w:val="Tabledotpointlist7pt"/>
              <w:spacing w:after="60"/>
              <w:ind w:left="357" w:hanging="357"/>
            </w:pPr>
            <w:r w:rsidRPr="00C048C1">
              <w:t>the worker must receive and understand independent legal advice and be advised of the desirability of obtaining independent financial advice</w:t>
            </w:r>
          </w:p>
          <w:p w14:paraId="6DBC8A3B" w14:textId="77777777" w:rsidR="00C1725F" w:rsidRPr="00C048C1" w:rsidRDefault="00C1725F" w:rsidP="00692DB2">
            <w:pPr>
              <w:pStyle w:val="Tabledotpointlist7pt"/>
              <w:spacing w:after="60"/>
              <w:ind w:left="357" w:hanging="357"/>
            </w:pPr>
            <w:r w:rsidRPr="00C048C1">
              <w:t xml:space="preserve">the insurer, and worker must agree with the commutation </w:t>
            </w:r>
          </w:p>
          <w:p w14:paraId="750FE255" w14:textId="77777777" w:rsidR="00C1725F" w:rsidRPr="00C048C1" w:rsidRDefault="00C1725F" w:rsidP="00692DB2">
            <w:pPr>
              <w:pStyle w:val="Tabledotpointlist7pt"/>
              <w:spacing w:after="60"/>
              <w:ind w:left="357" w:hanging="357"/>
            </w:pPr>
            <w:r>
              <w:t xml:space="preserve">SIRA </w:t>
            </w:r>
            <w:r w:rsidRPr="00C048C1">
              <w:t>must certify the commutation meets the preconditions, and</w:t>
            </w:r>
          </w:p>
          <w:p w14:paraId="7D6ABC1B" w14:textId="77777777" w:rsidR="00C1725F" w:rsidRPr="00C048C1" w:rsidRDefault="00C1725F" w:rsidP="00692DB2">
            <w:pPr>
              <w:pStyle w:val="Tabledotpointlist7pt"/>
              <w:spacing w:after="60"/>
              <w:ind w:left="357" w:hanging="357"/>
            </w:pPr>
            <w:r w:rsidRPr="00C048C1">
              <w:t xml:space="preserve">all agreements must be registered with the Workers’ Compensation Commission </w:t>
            </w:r>
          </w:p>
          <w:p w14:paraId="02BF40F0" w14:textId="57F06D7D" w:rsidR="00C1725F" w:rsidRPr="00C048C1" w:rsidRDefault="00C1725F" w:rsidP="00692DB2">
            <w:pPr>
              <w:pStyle w:val="Tabledotpointlist7pt"/>
              <w:numPr>
                <w:ilvl w:val="0"/>
                <w:numId w:val="0"/>
              </w:numPr>
              <w:spacing w:after="60"/>
            </w:pPr>
            <w:r w:rsidRPr="00C048C1">
              <w:t xml:space="preserve">[section </w:t>
            </w:r>
            <w:hyperlink r:id="rId994" w:history="1">
              <w:r w:rsidRPr="00AD4DC5">
                <w:rPr>
                  <w:rStyle w:val="Hyperlink"/>
                </w:rPr>
                <w:t>87F</w:t>
              </w:r>
            </w:hyperlink>
            <w:r w:rsidR="00AD4DC5">
              <w:t>,</w:t>
            </w:r>
            <w:r w:rsidRPr="00C048C1">
              <w:t xml:space="preserve"> </w:t>
            </w:r>
            <w:r w:rsidR="00626FBD">
              <w:t>1987 Act</w:t>
            </w:r>
            <w:r w:rsidRPr="00C048C1">
              <w:t>]</w:t>
            </w:r>
          </w:p>
          <w:p w14:paraId="7E2AE4AA" w14:textId="4C87C8F2" w:rsidR="00C1725F" w:rsidRPr="00C048C1" w:rsidRDefault="00C1725F" w:rsidP="00692DB2">
            <w:pPr>
              <w:pStyle w:val="Tabledotpointlist7pt"/>
              <w:numPr>
                <w:ilvl w:val="0"/>
                <w:numId w:val="0"/>
              </w:numPr>
              <w:spacing w:after="60"/>
            </w:pPr>
            <w:r w:rsidRPr="00C048C1">
              <w:t xml:space="preserve">There is no entitlement to commute weekly </w:t>
            </w:r>
            <w:r w:rsidR="0063233F">
              <w:t>payments</w:t>
            </w:r>
            <w:r w:rsidRPr="00C048C1">
              <w:t xml:space="preserve"> for workers under the </w:t>
            </w:r>
            <w:r w:rsidRPr="00CE49D9">
              <w:rPr>
                <w:i/>
              </w:rPr>
              <w:t>Workers’ Compensation (Dust Diseases) Act 1942</w:t>
            </w:r>
            <w:r w:rsidRPr="00C048C1">
              <w:t xml:space="preserve"> however dependant entitlements may be redeemed.</w:t>
            </w:r>
          </w:p>
        </w:tc>
      </w:tr>
      <w:tr w:rsidR="00C1725F" w:rsidRPr="00C048C1" w14:paraId="6BF94282" w14:textId="77777777" w:rsidTr="00B2173F">
        <w:tc>
          <w:tcPr>
            <w:tcW w:w="1626" w:type="dxa"/>
            <w:tcMar>
              <w:top w:w="80" w:type="dxa"/>
              <w:left w:w="80" w:type="dxa"/>
              <w:bottom w:w="80" w:type="dxa"/>
              <w:right w:w="80" w:type="dxa"/>
            </w:tcMar>
          </w:tcPr>
          <w:p w14:paraId="059B4E2E" w14:textId="15E01BA8" w:rsidR="00C1725F" w:rsidRPr="00C048C1" w:rsidRDefault="00C1725F" w:rsidP="007F0B00">
            <w:pPr>
              <w:pStyle w:val="TableColumn1bold"/>
              <w:spacing w:after="60"/>
            </w:pPr>
            <w:r w:rsidRPr="00C048C1">
              <w:t>Victoria</w:t>
            </w:r>
          </w:p>
        </w:tc>
        <w:tc>
          <w:tcPr>
            <w:tcW w:w="6897" w:type="dxa"/>
            <w:tcMar>
              <w:top w:w="80" w:type="dxa"/>
              <w:left w:w="80" w:type="dxa"/>
              <w:bottom w:w="80" w:type="dxa"/>
              <w:right w:w="80" w:type="dxa"/>
            </w:tcMar>
          </w:tcPr>
          <w:p w14:paraId="3212E8DE" w14:textId="77777777" w:rsidR="00C1725F" w:rsidRDefault="00C1725F" w:rsidP="007F0B00">
            <w:pPr>
              <w:pStyle w:val="lgetabletxt"/>
              <w:spacing w:after="60" w:afterAutospacing="0"/>
            </w:pPr>
            <w:r>
              <w:t>Due to statutory changes to scheme on 12/11/97, benefit rates depend on date of entitlement.</w:t>
            </w:r>
          </w:p>
          <w:p w14:paraId="1A7C624B" w14:textId="77777777" w:rsidR="00C1725F" w:rsidRDefault="00C1725F" w:rsidP="007F0B00">
            <w:pPr>
              <w:pStyle w:val="lgetabletxt"/>
              <w:spacing w:after="60" w:afterAutospacing="0"/>
            </w:pPr>
            <w:r>
              <w:t>Pre 12/11/97 claims: Worker is entitled to receive weekly payments — old rates apply.</w:t>
            </w:r>
          </w:p>
          <w:p w14:paraId="30D3A253" w14:textId="77777777" w:rsidR="00C1725F" w:rsidRDefault="00C1725F" w:rsidP="007F0B00">
            <w:pPr>
              <w:pStyle w:val="lgetabletxt"/>
              <w:spacing w:after="60" w:afterAutospacing="0"/>
            </w:pPr>
            <w:r>
              <w:lastRenderedPageBreak/>
              <w:t>Post 05/04/10 claims:</w:t>
            </w:r>
          </w:p>
          <w:p w14:paraId="42072424" w14:textId="77777777" w:rsidR="00C1725F" w:rsidRDefault="00C1725F" w:rsidP="007F0B00">
            <w:pPr>
              <w:pStyle w:val="lgetabletxt"/>
              <w:spacing w:after="60" w:afterAutospacing="0"/>
            </w:pPr>
            <w:r>
              <w:t>First 13 weeks:</w:t>
            </w:r>
          </w:p>
          <w:p w14:paraId="270258B0" w14:textId="7E9500B4" w:rsidR="00C1725F" w:rsidRDefault="00C1725F" w:rsidP="007F0B00">
            <w:pPr>
              <w:pStyle w:val="lgetabletxt"/>
              <w:spacing w:after="60" w:afterAutospacing="0"/>
            </w:pPr>
            <w:r>
              <w:t xml:space="preserve">If no current work capacity: 95% of pre-injury average weekly earnings (PIAWE)* less deductible amount** or maximum (twice State average weekly earnings — </w:t>
            </w:r>
            <w:r w:rsidR="00F201CE">
              <w:t>$2,220</w:t>
            </w:r>
            <w:r>
              <w:t>), whichever is the lesser.</w:t>
            </w:r>
          </w:p>
          <w:p w14:paraId="20112916" w14:textId="074983BF" w:rsidR="00C1725F" w:rsidRDefault="00C1725F" w:rsidP="007F0B00">
            <w:pPr>
              <w:pStyle w:val="lgetabletxt"/>
              <w:spacing w:after="60" w:afterAutospacing="0"/>
            </w:pPr>
            <w:r>
              <w:t>If current work capacity: the difference between 95% PIAWE less deductible amount and the worker's current weekly earnings</w:t>
            </w:r>
            <w:r w:rsidR="00692DB2">
              <w:t xml:space="preserve"> </w:t>
            </w:r>
            <w:r>
              <w:t>or the difference between the maximum (twice State average weekly earnings — $</w:t>
            </w:r>
            <w:r w:rsidR="00F201CE">
              <w:t>2,220</w:t>
            </w:r>
            <w:r>
              <w:t xml:space="preserve">) less the worker's current weekly earnings, whichever is the lesser — </w:t>
            </w:r>
            <w:hyperlink r:id="rId995" w:history="1">
              <w:r w:rsidRPr="001574DE">
                <w:rPr>
                  <w:rStyle w:val="Hyperlink"/>
                </w:rPr>
                <w:t>s161</w:t>
              </w:r>
            </w:hyperlink>
            <w:r w:rsidR="008373BF">
              <w:t xml:space="preserve">, </w:t>
            </w:r>
            <w:r w:rsidR="008373BF" w:rsidRPr="00016069">
              <w:rPr>
                <w:i/>
              </w:rPr>
              <w:t>Workplace Injury Rehabilitation and Compensation Act 2013</w:t>
            </w:r>
          </w:p>
          <w:p w14:paraId="4D61FFF7" w14:textId="77777777" w:rsidR="00C1725F" w:rsidRDefault="00C1725F" w:rsidP="00DF35F2">
            <w:pPr>
              <w:pStyle w:val="lgetabletxt"/>
              <w:numPr>
                <w:ilvl w:val="0"/>
                <w:numId w:val="52"/>
              </w:numPr>
              <w:spacing w:after="60" w:afterAutospacing="0"/>
            </w:pPr>
            <w:r>
              <w:t>&gt;13 weeks:</w:t>
            </w:r>
          </w:p>
          <w:p w14:paraId="43A591CE" w14:textId="36434F1E" w:rsidR="00C1725F" w:rsidRDefault="00C1725F" w:rsidP="00DF35F2">
            <w:pPr>
              <w:pStyle w:val="lgetabletxt"/>
              <w:numPr>
                <w:ilvl w:val="0"/>
                <w:numId w:val="53"/>
              </w:numPr>
              <w:spacing w:after="60" w:afterAutospacing="0"/>
            </w:pPr>
            <w:r>
              <w:t>If no current work capacity: 80% of PIAWE less deductible amount or maximum (twice State average weekly earnings — $</w:t>
            </w:r>
            <w:r w:rsidR="00F201CE">
              <w:t>2,220</w:t>
            </w:r>
            <w:r>
              <w:t>), whichever is the lesser.</w:t>
            </w:r>
          </w:p>
          <w:p w14:paraId="41D754F7" w14:textId="3A7C257E" w:rsidR="00C1725F" w:rsidRDefault="00C1725F" w:rsidP="00DF35F2">
            <w:pPr>
              <w:pStyle w:val="lgetabletxt"/>
              <w:numPr>
                <w:ilvl w:val="0"/>
                <w:numId w:val="53"/>
              </w:numPr>
              <w:spacing w:after="60" w:afterAutospacing="0"/>
            </w:pPr>
            <w:r>
              <w:t>If current work capacity: the difference between 80% of PIAWE less deductible amount and 80% of the worker's current weekly earnings or the difference between the maximum (twice State average weekly earnings — $</w:t>
            </w:r>
            <w:r w:rsidR="00F201CE">
              <w:t>2,220</w:t>
            </w:r>
            <w:r>
              <w:t xml:space="preserve">) less 80% current weekly earnings, whichever is the lesser — </w:t>
            </w:r>
            <w:hyperlink r:id="rId996" w:history="1">
              <w:r w:rsidRPr="001574DE">
                <w:rPr>
                  <w:rStyle w:val="Hyperlink"/>
                </w:rPr>
                <w:t>s162</w:t>
              </w:r>
            </w:hyperlink>
          </w:p>
          <w:p w14:paraId="7CE36C5B" w14:textId="77777777" w:rsidR="00C1725F" w:rsidRDefault="00C1725F" w:rsidP="00DF35F2">
            <w:pPr>
              <w:pStyle w:val="lgetabletxt"/>
              <w:numPr>
                <w:ilvl w:val="0"/>
                <w:numId w:val="52"/>
              </w:numPr>
              <w:spacing w:after="60" w:afterAutospacing="0"/>
            </w:pPr>
            <w:r>
              <w:t>&gt;52 weeks:</w:t>
            </w:r>
          </w:p>
          <w:p w14:paraId="3BC0DD17" w14:textId="446E5407" w:rsidR="00C1725F" w:rsidRDefault="00C1725F" w:rsidP="00DF35F2">
            <w:pPr>
              <w:pStyle w:val="lgetabletxt"/>
              <w:numPr>
                <w:ilvl w:val="0"/>
                <w:numId w:val="54"/>
              </w:numPr>
              <w:spacing w:after="60" w:afterAutospacing="0"/>
            </w:pPr>
            <w:r>
              <w:t xml:space="preserve">Weekly payments continue as above, except PIAWE is reduced as no further entitlement to shift allowance or overtime (earnings enhancements) — </w:t>
            </w:r>
            <w:hyperlink r:id="rId997" w:history="1">
              <w:r w:rsidR="00F201CE" w:rsidRPr="001574DE">
                <w:rPr>
                  <w:rStyle w:val="Hyperlink"/>
                </w:rPr>
                <w:t>s152</w:t>
              </w:r>
            </w:hyperlink>
            <w:r w:rsidR="00F201CE">
              <w:t xml:space="preserve">, </w:t>
            </w:r>
            <w:hyperlink r:id="rId998" w:history="1">
              <w:r w:rsidRPr="001574DE">
                <w:rPr>
                  <w:rStyle w:val="Hyperlink"/>
                </w:rPr>
                <w:t>s153</w:t>
              </w:r>
            </w:hyperlink>
            <w:r>
              <w:t xml:space="preserve"> and </w:t>
            </w:r>
            <w:hyperlink r:id="rId999" w:history="1">
              <w:r w:rsidRPr="001574DE">
                <w:rPr>
                  <w:rStyle w:val="Hyperlink"/>
                </w:rPr>
                <w:t>s157</w:t>
              </w:r>
            </w:hyperlink>
            <w:r>
              <w:t>.</w:t>
            </w:r>
          </w:p>
          <w:p w14:paraId="70EE82E9" w14:textId="01C2DD1F" w:rsidR="00C1725F" w:rsidRDefault="00C1725F" w:rsidP="00DF35F2">
            <w:pPr>
              <w:pStyle w:val="lgetabletxt"/>
              <w:numPr>
                <w:ilvl w:val="0"/>
                <w:numId w:val="52"/>
              </w:numPr>
              <w:spacing w:after="60" w:afterAutospacing="0"/>
            </w:pPr>
            <w:r>
              <w:t xml:space="preserve">&gt;130 weeks </w:t>
            </w:r>
            <w:r w:rsidR="00CE49D9">
              <w:t xml:space="preserve">(Note for pre 1 Jan 2005 claim </w:t>
            </w:r>
            <w:r w:rsidR="00CE49D9">
              <w:rPr>
                <w:rFonts w:ascii="Courier New" w:hAnsi="Courier New" w:cs="Courier New"/>
              </w:rPr>
              <w:t>≥</w:t>
            </w:r>
            <w:r>
              <w:t xml:space="preserve"> 104 weeks):</w:t>
            </w:r>
          </w:p>
          <w:p w14:paraId="09211065" w14:textId="77777777" w:rsidR="00C1725F" w:rsidRDefault="00C1725F" w:rsidP="00DF35F2">
            <w:pPr>
              <w:pStyle w:val="lgetabletxt"/>
              <w:numPr>
                <w:ilvl w:val="0"/>
                <w:numId w:val="54"/>
              </w:numPr>
              <w:spacing w:after="60" w:afterAutospacing="0"/>
            </w:pPr>
            <w:r>
              <w:t>Weekly payments can continue to be paid until retirement age (except where worker injured within or after 130 weeks of retirement age where maximum of 130 weeks applies) as long as:</w:t>
            </w:r>
          </w:p>
          <w:p w14:paraId="547EADF5" w14:textId="1E3819E9" w:rsidR="00C1725F" w:rsidRDefault="00C1725F" w:rsidP="00DF35F2">
            <w:pPr>
              <w:pStyle w:val="lgetabletxt"/>
              <w:numPr>
                <w:ilvl w:val="0"/>
                <w:numId w:val="55"/>
              </w:numPr>
              <w:spacing w:after="60" w:afterAutospacing="0"/>
            </w:pPr>
            <w:r>
              <w:t xml:space="preserve">The worker is likely to have no current work capacity indefinitely. The weekly payment is then 80% of PIAWE less deductible amount or maximum (twice State average weekly </w:t>
            </w:r>
            <w:r w:rsidR="00CE49D9">
              <w:t>earnings —</w:t>
            </w:r>
            <w:r>
              <w:t xml:space="preserve"> $</w:t>
            </w:r>
            <w:r w:rsidR="00F201CE">
              <w:t>2,220</w:t>
            </w:r>
            <w:r>
              <w:t xml:space="preserve">), whichever is the lesser — </w:t>
            </w:r>
            <w:hyperlink r:id="rId1000" w:history="1">
              <w:r w:rsidRPr="001574DE">
                <w:rPr>
                  <w:rStyle w:val="Hyperlink"/>
                </w:rPr>
                <w:t>s163</w:t>
              </w:r>
            </w:hyperlink>
            <w:r>
              <w:t>, or</w:t>
            </w:r>
          </w:p>
          <w:p w14:paraId="1AE483D8" w14:textId="281B0481" w:rsidR="00C1725F" w:rsidRDefault="00C1725F" w:rsidP="00DF35F2">
            <w:pPr>
              <w:pStyle w:val="lgetabletxt"/>
              <w:numPr>
                <w:ilvl w:val="0"/>
                <w:numId w:val="55"/>
              </w:numPr>
              <w:spacing w:after="60" w:afterAutospacing="0"/>
            </w:pPr>
            <w:r>
              <w:t>The worker has a current work capacity and has returned to work at his/her maximum capacity and is working at least 15 hours per week and earning at least $</w:t>
            </w:r>
            <w:r w:rsidR="00F201CE">
              <w:t xml:space="preserve">192 </w:t>
            </w:r>
            <w:r>
              <w:t>per week. The weekly payment is then the difference between 80% of PIAWE less deductible amount and 80% of the worker's current weekly earningsor the difference between the maximum which is twice State average weekly earnings — $</w:t>
            </w:r>
            <w:r w:rsidR="00F201CE">
              <w:t>2,220</w:t>
            </w:r>
            <w:r>
              <w:t xml:space="preserve">) and 80% current weekly earnings, whichever is the lesser — </w:t>
            </w:r>
            <w:hyperlink r:id="rId1001" w:history="1">
              <w:r w:rsidRPr="001574DE">
                <w:rPr>
                  <w:rStyle w:val="Hyperlink"/>
                </w:rPr>
                <w:t>s165</w:t>
              </w:r>
            </w:hyperlink>
            <w:r>
              <w:t xml:space="preserve">, or </w:t>
            </w:r>
          </w:p>
          <w:p w14:paraId="4BA2C844" w14:textId="081EB634" w:rsidR="00C1725F" w:rsidRDefault="00C1725F" w:rsidP="00DF35F2">
            <w:pPr>
              <w:pStyle w:val="lgetabletxt"/>
              <w:numPr>
                <w:ilvl w:val="0"/>
                <w:numId w:val="55"/>
              </w:numPr>
              <w:spacing w:after="60" w:afterAutospacing="0"/>
            </w:pPr>
            <w:r>
              <w:t>The worker is working 15 hours per week and earning at least $</w:t>
            </w:r>
            <w:r w:rsidR="00F201CE">
              <w:t xml:space="preserve">192 </w:t>
            </w:r>
            <w:r>
              <w:t xml:space="preserve">per week and requires surgery and is incapacitated for work — worker entitled to maximum of 13 weeks of weekly payments on same basis as s162 above if worker applies more than 13 weeks after weekly payment entitlement has ceased after 130 weeks — </w:t>
            </w:r>
            <w:hyperlink r:id="rId1002" w:history="1">
              <w:r w:rsidRPr="001574DE">
                <w:rPr>
                  <w:rStyle w:val="Hyperlink"/>
                </w:rPr>
                <w:t>s164</w:t>
              </w:r>
            </w:hyperlink>
            <w:r>
              <w:t xml:space="preserve">. </w:t>
            </w:r>
          </w:p>
          <w:p w14:paraId="3EE9A787" w14:textId="095A41D5" w:rsidR="00C1725F" w:rsidRDefault="00C1725F" w:rsidP="007F0B00">
            <w:pPr>
              <w:pStyle w:val="lgetabletxt"/>
              <w:spacing w:after="60" w:afterAutospacing="0"/>
            </w:pPr>
            <w:r>
              <w:t xml:space="preserve">*Pre-injury average weekly earnings is defined in </w:t>
            </w:r>
            <w:hyperlink r:id="rId1003" w:history="1">
              <w:r w:rsidRPr="000158C8">
                <w:rPr>
                  <w:rStyle w:val="Hyperlink"/>
                </w:rPr>
                <w:t>s152 to s158</w:t>
              </w:r>
            </w:hyperlink>
            <w:r>
              <w:t xml:space="preserve"> but generally means a worker’s average ordinary earnings during the 12 months prior to injury excluding any week that the worker was not actually working and not on paid leave expressed as a lump sum and any earnings enhancements (shift allowance, overtime) in that 12 months. Earnings enhancements are included in PIAWE for the first 52 weeks of weekly payments only.</w:t>
            </w:r>
          </w:p>
          <w:p w14:paraId="24CCC32E" w14:textId="5E195936" w:rsidR="00C1725F" w:rsidRPr="00C048C1" w:rsidRDefault="00C1725F" w:rsidP="007F0B00">
            <w:pPr>
              <w:pStyle w:val="lgetabletxt"/>
              <w:spacing w:after="60" w:afterAutospacing="0"/>
            </w:pPr>
            <w:r>
              <w:t xml:space="preserve">**Deductible amount is defined in </w:t>
            </w:r>
            <w:hyperlink r:id="rId1004" w:history="1">
              <w:r w:rsidRPr="001574DE">
                <w:rPr>
                  <w:rStyle w:val="Hyperlink"/>
                </w:rPr>
                <w:t>s152</w:t>
              </w:r>
            </w:hyperlink>
            <w:r>
              <w:t xml:space="preserve"> but generally means the total value of any ongoing employment benefits including non-pecuniary benefits such as the value of residential accommodation</w:t>
            </w:r>
            <w:r w:rsidR="000A06AE">
              <w:fldChar w:fldCharType="begin"/>
            </w:r>
            <w:r w:rsidR="000A06AE">
              <w:instrText xml:space="preserve"> XE "</w:instrText>
            </w:r>
            <w:r w:rsidR="000A06AE" w:rsidRPr="0091695A">
              <w:rPr>
                <w:rFonts w:eastAsia="Calibri"/>
                <w:szCs w:val="14"/>
                <w:lang w:eastAsia="en-US"/>
              </w:rPr>
              <w:instrText>accommodation</w:instrText>
            </w:r>
            <w:r w:rsidR="000A06AE">
              <w:instrText xml:space="preserve">" </w:instrText>
            </w:r>
            <w:r w:rsidR="000A06AE">
              <w:fldChar w:fldCharType="end"/>
            </w:r>
            <w:r>
              <w:t>, motor vehicle use, health insurance and education fees.</w:t>
            </w:r>
          </w:p>
        </w:tc>
        <w:tc>
          <w:tcPr>
            <w:tcW w:w="6898" w:type="dxa"/>
            <w:tcMar>
              <w:top w:w="80" w:type="dxa"/>
              <w:left w:w="80" w:type="dxa"/>
              <w:bottom w:w="80" w:type="dxa"/>
              <w:right w:w="80" w:type="dxa"/>
            </w:tcMar>
          </w:tcPr>
          <w:p w14:paraId="5E688D15" w14:textId="77777777" w:rsidR="00C1725F" w:rsidRPr="00C048C1" w:rsidRDefault="00C1725F" w:rsidP="007F0B00">
            <w:pPr>
              <w:pStyle w:val="lgetabletxt"/>
              <w:spacing w:after="60" w:afterAutospacing="0"/>
            </w:pPr>
            <w:r w:rsidRPr="00C048C1">
              <w:lastRenderedPageBreak/>
              <w:t>A settlement of weekly payments in a lump sum is allowable in some circumstances — Part 5, Division 9. The settlement is only for weekly payments and does not include reasonable medical and like expenses which continue to be paid.</w:t>
            </w:r>
          </w:p>
        </w:tc>
      </w:tr>
      <w:tr w:rsidR="00C1725F" w:rsidRPr="00C048C1" w14:paraId="6FAA751E" w14:textId="77777777" w:rsidTr="00B2173F">
        <w:tc>
          <w:tcPr>
            <w:tcW w:w="1626" w:type="dxa"/>
            <w:shd w:val="clear" w:color="auto" w:fill="FFC9C9"/>
            <w:tcMar>
              <w:top w:w="80" w:type="dxa"/>
              <w:left w:w="80" w:type="dxa"/>
              <w:bottom w:w="80" w:type="dxa"/>
              <w:right w:w="80" w:type="dxa"/>
            </w:tcMar>
          </w:tcPr>
          <w:p w14:paraId="547953EF" w14:textId="77777777" w:rsidR="00C1725F" w:rsidRPr="00C048C1" w:rsidRDefault="00C1725F" w:rsidP="007F0B00">
            <w:pPr>
              <w:pStyle w:val="TableColumn1bold"/>
              <w:spacing w:after="60"/>
            </w:pPr>
            <w:r w:rsidRPr="00C048C1">
              <w:t>Queensland</w:t>
            </w:r>
          </w:p>
        </w:tc>
        <w:tc>
          <w:tcPr>
            <w:tcW w:w="6897" w:type="dxa"/>
            <w:shd w:val="clear" w:color="auto" w:fill="FFC9C9"/>
            <w:tcMar>
              <w:top w:w="80" w:type="dxa"/>
              <w:left w:w="80" w:type="dxa"/>
              <w:bottom w:w="80" w:type="dxa"/>
              <w:right w:w="80" w:type="dxa"/>
            </w:tcMar>
          </w:tcPr>
          <w:p w14:paraId="4D95E871" w14:textId="00CADC56" w:rsidR="00C1725F" w:rsidRPr="00C048C1" w:rsidRDefault="00C1725F" w:rsidP="007F0B00">
            <w:pPr>
              <w:pStyle w:val="lgetabletxt"/>
              <w:spacing w:after="60" w:afterAutospacing="0"/>
            </w:pPr>
            <w:r w:rsidRPr="00C048C1">
              <w:t xml:space="preserve">For the first 26 weeks: Workers under an industrial instrument </w:t>
            </w:r>
            <w:hyperlink r:id="rId1005" w:anchor="sec.150" w:history="1">
              <w:r w:rsidRPr="001F34C6">
                <w:rPr>
                  <w:rStyle w:val="Hyperlink"/>
                </w:rPr>
                <w:t>s150(1)(a)</w:t>
              </w:r>
            </w:hyperlink>
            <w:r w:rsidR="008373BF">
              <w:t xml:space="preserve">, </w:t>
            </w:r>
            <w:r w:rsidR="008373BF" w:rsidRPr="00016069">
              <w:rPr>
                <w:i/>
              </w:rPr>
              <w:t>Workers’ Compensation and Rehabilitation Act 2003</w:t>
            </w:r>
            <w:r w:rsidRPr="00C048C1">
              <w:t xml:space="preserve"> — the greater of:</w:t>
            </w:r>
          </w:p>
          <w:p w14:paraId="0B03111E" w14:textId="77777777" w:rsidR="00C1725F" w:rsidRPr="00C048C1" w:rsidRDefault="00C1725F" w:rsidP="00F839DB">
            <w:pPr>
              <w:pStyle w:val="Tableabc7pt"/>
              <w:numPr>
                <w:ilvl w:val="0"/>
                <w:numId w:val="129"/>
              </w:numPr>
              <w:spacing w:before="0" w:after="60"/>
            </w:pPr>
            <w:r w:rsidRPr="00C048C1">
              <w:t>85% of the worker’s NWE, or</w:t>
            </w:r>
          </w:p>
          <w:p w14:paraId="0FB46C1E" w14:textId="77777777" w:rsidR="00C1725F" w:rsidRPr="00C048C1" w:rsidRDefault="00C1725F" w:rsidP="00F839DB">
            <w:pPr>
              <w:pStyle w:val="Tableabc7pt"/>
              <w:numPr>
                <w:ilvl w:val="0"/>
                <w:numId w:val="129"/>
              </w:numPr>
              <w:spacing w:before="0" w:after="60"/>
            </w:pPr>
            <w:r w:rsidRPr="00C048C1">
              <w:t xml:space="preserve">amount payable under the worker’s industrial instrument. </w:t>
            </w:r>
          </w:p>
          <w:p w14:paraId="17A46190" w14:textId="4A8EB6E6" w:rsidR="00C1725F" w:rsidRPr="00C048C1" w:rsidRDefault="00C1725F" w:rsidP="007F0B00">
            <w:pPr>
              <w:pStyle w:val="lgetabletxt"/>
              <w:spacing w:after="60" w:afterAutospacing="0"/>
            </w:pPr>
            <w:r w:rsidRPr="00C048C1">
              <w:t xml:space="preserve">Workers not under an award or agreement </w:t>
            </w:r>
            <w:hyperlink r:id="rId1006" w:anchor="sec.151" w:history="1">
              <w:r w:rsidRPr="001F34C6">
                <w:rPr>
                  <w:rStyle w:val="Hyperlink"/>
                </w:rPr>
                <w:t>s151(1)(a)</w:t>
              </w:r>
            </w:hyperlink>
            <w:r w:rsidRPr="00C048C1">
              <w:t xml:space="preserve"> — the greater of:</w:t>
            </w:r>
          </w:p>
          <w:p w14:paraId="183FA0AA" w14:textId="4C4F6D19" w:rsidR="00C1725F" w:rsidRPr="00C048C1" w:rsidRDefault="00692DB2" w:rsidP="00F839DB">
            <w:pPr>
              <w:pStyle w:val="Tableabc7pt"/>
              <w:numPr>
                <w:ilvl w:val="0"/>
                <w:numId w:val="130"/>
              </w:numPr>
              <w:spacing w:before="0" w:after="60"/>
            </w:pPr>
            <w:r>
              <w:t>85% of NWE</w:t>
            </w:r>
            <w:r w:rsidR="00C1725F" w:rsidRPr="00C048C1">
              <w:t>*, or</w:t>
            </w:r>
          </w:p>
          <w:p w14:paraId="5C035AF2" w14:textId="77777777" w:rsidR="00C1725F" w:rsidRPr="00C048C1" w:rsidRDefault="00C1725F" w:rsidP="00F839DB">
            <w:pPr>
              <w:pStyle w:val="Tableabc7pt"/>
              <w:numPr>
                <w:ilvl w:val="0"/>
                <w:numId w:val="130"/>
              </w:numPr>
              <w:spacing w:before="0" w:after="60"/>
            </w:pPr>
            <w:r w:rsidRPr="00C048C1">
              <w:t>80% of QOTE**.</w:t>
            </w:r>
          </w:p>
          <w:p w14:paraId="07C4D0CE" w14:textId="0D611D0C" w:rsidR="00C1725F" w:rsidRPr="00C048C1" w:rsidRDefault="00C1725F" w:rsidP="007F0B00">
            <w:pPr>
              <w:pStyle w:val="lgetabletxt"/>
              <w:spacing w:after="60" w:afterAutospacing="0"/>
            </w:pPr>
            <w:r w:rsidRPr="00C048C1">
              <w:t xml:space="preserve">Queensland Ordinary Time Earnings (QOTE) is </w:t>
            </w:r>
            <w:r w:rsidR="00B03F13">
              <w:t>$1,482.10 as at 30 September 2017</w:t>
            </w:r>
            <w:r w:rsidRPr="00C048C1">
              <w:t>.</w:t>
            </w:r>
          </w:p>
          <w:p w14:paraId="248B2EFA" w14:textId="451636FE" w:rsidR="00C1725F" w:rsidRPr="00C048C1" w:rsidRDefault="00C1725F" w:rsidP="007F0B00">
            <w:pPr>
              <w:pStyle w:val="lgetabletxt"/>
              <w:spacing w:after="60" w:afterAutospacing="0"/>
            </w:pPr>
            <w:r w:rsidRPr="00C048C1">
              <w:lastRenderedPageBreak/>
              <w:t xml:space="preserve">Workers on contract </w:t>
            </w:r>
            <w:hyperlink r:id="rId1007" w:anchor="sec.152" w:history="1">
              <w:r w:rsidRPr="001F34C6">
                <w:rPr>
                  <w:rStyle w:val="Hyperlink"/>
                </w:rPr>
                <w:t>s152(1)(a)</w:t>
              </w:r>
            </w:hyperlink>
            <w:r w:rsidRPr="00C048C1">
              <w:t xml:space="preserve"> — the greater of:</w:t>
            </w:r>
          </w:p>
          <w:p w14:paraId="0A95F2E2" w14:textId="77777777" w:rsidR="00C1725F" w:rsidRPr="00C048C1" w:rsidRDefault="00C1725F" w:rsidP="00F839DB">
            <w:pPr>
              <w:pStyle w:val="Tableabc7pt"/>
              <w:numPr>
                <w:ilvl w:val="0"/>
                <w:numId w:val="131"/>
              </w:numPr>
              <w:spacing w:before="0" w:after="60"/>
            </w:pPr>
            <w:r w:rsidRPr="00C048C1">
              <w:t>85% NWE*, or</w:t>
            </w:r>
          </w:p>
          <w:p w14:paraId="35937536" w14:textId="77777777" w:rsidR="00C1725F" w:rsidRPr="00C048C1" w:rsidRDefault="00C1725F" w:rsidP="00F839DB">
            <w:pPr>
              <w:pStyle w:val="Tableabc7pt"/>
              <w:numPr>
                <w:ilvl w:val="0"/>
                <w:numId w:val="131"/>
              </w:numPr>
              <w:spacing w:before="0" w:after="60"/>
            </w:pPr>
            <w:r w:rsidRPr="00C048C1">
              <w:t>the amount payable under the worker’s contract of service.</w:t>
            </w:r>
          </w:p>
          <w:p w14:paraId="7504596D" w14:textId="49679AD4" w:rsidR="00C1725F" w:rsidRPr="00C048C1" w:rsidRDefault="00C1725F" w:rsidP="007F0B00">
            <w:pPr>
              <w:pStyle w:val="lgetabletxt"/>
              <w:spacing w:after="60" w:afterAutospacing="0"/>
            </w:pPr>
            <w:r w:rsidRPr="00C048C1">
              <w:t xml:space="preserve">From the end of the first two years to the end of the first five years: where a worker demonstrates that the injury could result in a degree of permanent impairment (DPI) of more than 15% — s150(1)(c)(i), </w:t>
            </w:r>
            <w:hyperlink r:id="rId1008" w:anchor="sec.151" w:history="1">
              <w:r w:rsidRPr="001F34C6">
                <w:rPr>
                  <w:rStyle w:val="Hyperlink"/>
                </w:rPr>
                <w:t>s151(1)(c)(i)</w:t>
              </w:r>
            </w:hyperlink>
            <w:r w:rsidRPr="00C048C1">
              <w:t xml:space="preserve"> and </w:t>
            </w:r>
            <w:hyperlink r:id="rId1009" w:anchor="sec.152" w:history="1">
              <w:r w:rsidRPr="001F34C6">
                <w:rPr>
                  <w:rStyle w:val="Hyperlink"/>
                </w:rPr>
                <w:t>s152(1)</w:t>
              </w:r>
              <w:r w:rsidR="00692DB2" w:rsidRPr="001F34C6">
                <w:rPr>
                  <w:rStyle w:val="Hyperlink"/>
                </w:rPr>
                <w:t>(</w:t>
              </w:r>
              <w:r w:rsidRPr="001F34C6">
                <w:rPr>
                  <w:rStyle w:val="Hyperlink"/>
                </w:rPr>
                <w:t>c)(i)</w:t>
              </w:r>
            </w:hyperlink>
            <w:r w:rsidRPr="00C048C1">
              <w:t xml:space="preserve"> — the greater of:</w:t>
            </w:r>
          </w:p>
          <w:p w14:paraId="42E7AF5F" w14:textId="77777777" w:rsidR="00C1725F" w:rsidRPr="00C048C1" w:rsidRDefault="00C1725F" w:rsidP="00F839DB">
            <w:pPr>
              <w:pStyle w:val="Tableabc7pt"/>
              <w:numPr>
                <w:ilvl w:val="0"/>
                <w:numId w:val="132"/>
              </w:numPr>
              <w:spacing w:before="0" w:after="60"/>
            </w:pPr>
            <w:r w:rsidRPr="00C048C1">
              <w:t>75% of the worker’s NWE*, or</w:t>
            </w:r>
          </w:p>
          <w:p w14:paraId="4D3FA441" w14:textId="77777777" w:rsidR="00C1725F" w:rsidRPr="00C048C1" w:rsidRDefault="00C1725F" w:rsidP="00F839DB">
            <w:pPr>
              <w:pStyle w:val="Tableabc7pt"/>
              <w:numPr>
                <w:ilvl w:val="0"/>
                <w:numId w:val="132"/>
              </w:numPr>
              <w:spacing w:before="0" w:after="60"/>
            </w:pPr>
            <w:r w:rsidRPr="00C048C1">
              <w:t>70% of QOTE**.</w:t>
            </w:r>
          </w:p>
          <w:p w14:paraId="1D8D3C2A" w14:textId="77777777" w:rsidR="00C1725F" w:rsidRPr="00C048C1" w:rsidRDefault="00C1725F" w:rsidP="007F0B00">
            <w:pPr>
              <w:pStyle w:val="lgetabletxt"/>
              <w:spacing w:after="60" w:afterAutospacing="0"/>
            </w:pPr>
            <w:r w:rsidRPr="00C048C1">
              <w:t>Workers with DPI less than or equal to 15%, receive an amount equal to the single pension rate.</w:t>
            </w:r>
          </w:p>
          <w:p w14:paraId="4E49D5F9" w14:textId="6D6362AD" w:rsidR="00C1725F" w:rsidRPr="00C048C1" w:rsidRDefault="00C1725F" w:rsidP="007F0B00">
            <w:pPr>
              <w:pStyle w:val="lgetabletxt"/>
              <w:spacing w:after="60" w:afterAutospacing="0"/>
            </w:pPr>
            <w:r w:rsidRPr="00C048C1">
              <w:t>Total amount payable for weekly benefi</w:t>
            </w:r>
            <w:r>
              <w:t>ts is $</w:t>
            </w:r>
            <w:r w:rsidR="00B03F13">
              <w:t>320,370</w:t>
            </w:r>
            <w:r>
              <w:t xml:space="preserve"> </w:t>
            </w:r>
            <w:r w:rsidR="00B03F13">
              <w:t>as at 30 September 2017</w:t>
            </w:r>
            <w:r w:rsidRPr="00C048C1">
              <w:t>.</w:t>
            </w:r>
          </w:p>
          <w:p w14:paraId="01A28C93" w14:textId="2CD6EC1B" w:rsidR="00C1725F" w:rsidRPr="00C048C1" w:rsidRDefault="00C1725F" w:rsidP="007F0B00">
            <w:pPr>
              <w:pStyle w:val="lgetabletxt"/>
              <w:spacing w:after="60" w:afterAutospacing="0"/>
            </w:pPr>
            <w:r w:rsidRPr="00C048C1">
              <w:t>*NWE can include amounts paid to the worker regularly for overtime, higher duties, penalties and allowances. It cannot include some allowances (such as those paid for travelling, meals, education, and living away from home), superannuation contributions or lump sum payments</w:t>
            </w:r>
            <w:r w:rsidR="00A95C3B">
              <w:fldChar w:fldCharType="begin"/>
            </w:r>
            <w:r w:rsidR="00A95C3B">
              <w:instrText xml:space="preserve"> XE "</w:instrText>
            </w:r>
            <w:r w:rsidR="00A95C3B" w:rsidRPr="00570B18">
              <w:instrText>payments:lump sum payments</w:instrText>
            </w:r>
            <w:r w:rsidR="00A95C3B">
              <w:instrText xml:space="preserve">" </w:instrText>
            </w:r>
            <w:r w:rsidR="00A95C3B">
              <w:fldChar w:fldCharType="end"/>
            </w:r>
            <w:r w:rsidRPr="00C048C1">
              <w:t xml:space="preserve"> made on termination of a workers’ employment for superannuation or accrued leave — </w:t>
            </w:r>
            <w:hyperlink r:id="rId1010" w:anchor="sec.98" w:history="1">
              <w:r w:rsidRPr="001F34C6">
                <w:rPr>
                  <w:rStyle w:val="Hyperlink"/>
                </w:rPr>
                <w:t>s98</w:t>
              </w:r>
            </w:hyperlink>
            <w:r w:rsidRPr="00C048C1">
              <w:t xml:space="preserve"> Workers’ Compensation and Rehabilitation Regulation 2014. </w:t>
            </w:r>
          </w:p>
          <w:p w14:paraId="53F79215" w14:textId="1BDBA0AE" w:rsidR="00C1725F" w:rsidRPr="00C048C1" w:rsidRDefault="00C1725F" w:rsidP="008373BF">
            <w:pPr>
              <w:pStyle w:val="lgetabletxt"/>
              <w:spacing w:after="60" w:afterAutospacing="0"/>
            </w:pPr>
            <w:r w:rsidRPr="00C048C1">
              <w:t>**QOTE for a financial year, means the amount of Queensland full-time adult persons ordinary time earnings declared by the Australian Statistician in the original series of the statistician’s average weekly earnings publication most recently published before the start of the financial year</w:t>
            </w:r>
            <w:r w:rsidRPr="00C048C1" w:rsidDel="00065592">
              <w:t xml:space="preserve"> </w:t>
            </w:r>
            <w:r w:rsidRPr="00C048C1">
              <w:t>(</w:t>
            </w:r>
            <w:hyperlink r:id="rId1011" w:anchor="sec.107" w:history="1">
              <w:r w:rsidRPr="001F34C6">
                <w:rPr>
                  <w:rStyle w:val="Hyperlink"/>
                </w:rPr>
                <w:t>s107</w:t>
              </w:r>
            </w:hyperlink>
            <w:r w:rsidRPr="00C048C1">
              <w:t>).</w:t>
            </w:r>
          </w:p>
        </w:tc>
        <w:tc>
          <w:tcPr>
            <w:tcW w:w="6898" w:type="dxa"/>
            <w:shd w:val="clear" w:color="auto" w:fill="FFC9C9"/>
            <w:tcMar>
              <w:top w:w="80" w:type="dxa"/>
              <w:left w:w="80" w:type="dxa"/>
              <w:bottom w:w="80" w:type="dxa"/>
              <w:right w:w="80" w:type="dxa"/>
            </w:tcMar>
          </w:tcPr>
          <w:p w14:paraId="5BAC0FB0" w14:textId="77777777" w:rsidR="00C1725F" w:rsidRPr="00C048C1" w:rsidRDefault="00C1725F" w:rsidP="007F0B00">
            <w:pPr>
              <w:pStyle w:val="lgetabletxt"/>
              <w:spacing w:after="60" w:afterAutospacing="0"/>
            </w:pPr>
            <w:r w:rsidRPr="00C048C1">
              <w:lastRenderedPageBreak/>
              <w:t>Liability for weekly compensation payments can be discharged by a redemption payment agreed between the insurer and worker if worker has been receiving weekly payments for at least two years and the worker’s injury is not stable and stationary for the purpose of assessing permanent impairment — Chapter 3, Part 9, Division 7.</w:t>
            </w:r>
          </w:p>
          <w:p w14:paraId="7DF9B53A" w14:textId="4FF9F878" w:rsidR="00C1725F" w:rsidRPr="00C048C1" w:rsidRDefault="00C1725F" w:rsidP="007F0B00">
            <w:pPr>
              <w:pStyle w:val="lgetabletxt"/>
              <w:spacing w:after="60" w:afterAutospacing="0"/>
            </w:pPr>
            <w:r w:rsidRPr="00C048C1">
              <w:t>After a redemption payment has been made the worker has no further entitlement to compensation for the injury, including weekly benefits, and medica</w:t>
            </w:r>
            <w:r w:rsidR="00692DB2">
              <w:t xml:space="preserve">l and rehabilitation expenses. </w:t>
            </w:r>
          </w:p>
        </w:tc>
      </w:tr>
      <w:tr w:rsidR="00C1725F" w:rsidRPr="00C048C1" w14:paraId="2F9CB787" w14:textId="77777777" w:rsidTr="00B2173F">
        <w:tc>
          <w:tcPr>
            <w:tcW w:w="1626" w:type="dxa"/>
            <w:tcMar>
              <w:top w:w="80" w:type="dxa"/>
              <w:left w:w="80" w:type="dxa"/>
              <w:bottom w:w="80" w:type="dxa"/>
              <w:right w:w="80" w:type="dxa"/>
            </w:tcMar>
          </w:tcPr>
          <w:p w14:paraId="795BF442" w14:textId="77777777" w:rsidR="00C1725F" w:rsidRPr="00C048C1" w:rsidRDefault="00C1725F" w:rsidP="007F0B00">
            <w:pPr>
              <w:pStyle w:val="TableColumn1bold"/>
              <w:spacing w:after="60"/>
            </w:pPr>
            <w:r w:rsidRPr="00C048C1">
              <w:t>Western Australia</w:t>
            </w:r>
          </w:p>
        </w:tc>
        <w:tc>
          <w:tcPr>
            <w:tcW w:w="6897" w:type="dxa"/>
            <w:tcMar>
              <w:top w:w="80" w:type="dxa"/>
              <w:left w:w="80" w:type="dxa"/>
              <w:bottom w:w="80" w:type="dxa"/>
              <w:right w:w="80" w:type="dxa"/>
            </w:tcMar>
          </w:tcPr>
          <w:p w14:paraId="57B68BA0" w14:textId="63074D03" w:rsidR="00C1725F" w:rsidRDefault="00C1725F" w:rsidP="007F0B00">
            <w:pPr>
              <w:pStyle w:val="lgetabletxt"/>
              <w:spacing w:after="60" w:afterAutospacing="0"/>
            </w:pPr>
            <w:r>
              <w:t>A ca</w:t>
            </w:r>
            <w:r w:rsidR="00486CD2">
              <w:t>p on weekly payments of $2,647.30</w:t>
            </w:r>
            <w:r>
              <w:t xml:space="preserve"> applies for the duration of claims. This amount is indexed annually (every 1 July).</w:t>
            </w:r>
          </w:p>
          <w:p w14:paraId="11175883" w14:textId="77777777" w:rsidR="00C1725F" w:rsidRDefault="00C1725F" w:rsidP="007F0B00">
            <w:pPr>
              <w:pStyle w:val="lgetabletxt"/>
              <w:spacing w:after="60" w:afterAutospacing="0"/>
            </w:pPr>
            <w:r>
              <w:t>Workers whose earnings are prescribed by an industrial award:</w:t>
            </w:r>
          </w:p>
          <w:p w14:paraId="47AB55D5" w14:textId="6CF15552" w:rsidR="00C1725F" w:rsidRDefault="00C1725F" w:rsidP="007F0B00">
            <w:pPr>
              <w:pStyle w:val="lgetabletxt"/>
              <w:spacing w:after="60" w:afterAutospacing="0"/>
            </w:pPr>
            <w:r>
              <w:t>First 13 weeks of claim — Weekly payments will consist of the rate of the worker’s average weekly earnings payable under the relevant industrial award, plus any over award or service payment paid on a regular basis, including overtime, bonuses or allowances up to a maximum of $</w:t>
            </w:r>
            <w:r w:rsidR="00486CD2">
              <w:t>2,647.30</w:t>
            </w:r>
            <w:r>
              <w:t xml:space="preserve">. Overtime, bonuses or allowances are averaged over the 13 weeks before the disability occurred — Schedule 1, clause </w:t>
            </w:r>
            <w:hyperlink r:id="rId1012" w:history="1">
              <w:r w:rsidRPr="005E0B03">
                <w:rPr>
                  <w:rStyle w:val="Hyperlink"/>
                </w:rPr>
                <w:t>11(3)(a)</w:t>
              </w:r>
            </w:hyperlink>
            <w:r w:rsidR="00692DB2">
              <w:t>.</w:t>
            </w:r>
          </w:p>
          <w:p w14:paraId="4E17016E" w14:textId="62CD7EE1" w:rsidR="00C1725F" w:rsidRDefault="00C1725F" w:rsidP="007F0B00">
            <w:pPr>
              <w:pStyle w:val="lgetabletxt"/>
              <w:spacing w:after="60" w:afterAutospacing="0"/>
            </w:pPr>
            <w:r>
              <w:t>14th week onward — Weekly payments consist of the rate of weekly earnings payable under the relevant industrial award, plus any over award or service payment paid on a regular basis, any allowance paid on a regular basis as part of the worker’s earnings and related to the number and pattern of hours worked but excluding overtime, bonuses or allowances. Maximum payment is $</w:t>
            </w:r>
            <w:r w:rsidR="00486CD2">
              <w:t>2,647.30</w:t>
            </w:r>
            <w:r>
              <w:t>. Subject to the cap of $</w:t>
            </w:r>
            <w:r w:rsidR="00486CD2">
              <w:t>2,647.30</w:t>
            </w:r>
            <w:r>
              <w:t xml:space="preserve">, the minimum rate of weekly earnings payable, at the time of the incapacity, for the appropriate classification under the relevant award — Schedule 1, clause </w:t>
            </w:r>
            <w:hyperlink r:id="rId1013" w:history="1">
              <w:r w:rsidRPr="005E0B03">
                <w:rPr>
                  <w:rStyle w:val="Hyperlink"/>
                </w:rPr>
                <w:t>11(3)(b)</w:t>
              </w:r>
            </w:hyperlink>
            <w:r w:rsidR="00692DB2">
              <w:t>.</w:t>
            </w:r>
          </w:p>
          <w:p w14:paraId="639EACA7" w14:textId="77777777" w:rsidR="00C1725F" w:rsidRDefault="00C1725F" w:rsidP="007F0B00">
            <w:pPr>
              <w:pStyle w:val="lgetabletxt"/>
              <w:spacing w:after="60" w:afterAutospacing="0"/>
            </w:pPr>
            <w:r>
              <w:t>Workers whose earnings are not prescribed by an industrial award:</w:t>
            </w:r>
          </w:p>
          <w:p w14:paraId="59527EBF" w14:textId="67DA3847" w:rsidR="00C1725F" w:rsidRDefault="00C1725F" w:rsidP="007F0B00">
            <w:pPr>
              <w:pStyle w:val="lgetabletxt"/>
              <w:spacing w:after="60" w:afterAutospacing="0"/>
            </w:pPr>
            <w:r>
              <w:t>First 13 weeks of claim — Weekly payments will consist of the worker’s average weekly earnings (including overtime, bonuses and allowances) averaged over the year before the disability occurred, up to a maximum of $</w:t>
            </w:r>
            <w:r w:rsidR="00486CD2">
              <w:t>2,647.30</w:t>
            </w:r>
            <w:r w:rsidR="00613E70">
              <w:t xml:space="preserve"> </w:t>
            </w:r>
            <w:r>
              <w:t xml:space="preserve">— Schedule 1, clause </w:t>
            </w:r>
            <w:hyperlink r:id="rId1014" w:history="1">
              <w:r w:rsidRPr="005E0B03">
                <w:rPr>
                  <w:rStyle w:val="Hyperlink"/>
                </w:rPr>
                <w:t>11(4)(a)</w:t>
              </w:r>
            </w:hyperlink>
            <w:r>
              <w:t>.</w:t>
            </w:r>
          </w:p>
          <w:p w14:paraId="4CD55DCC" w14:textId="41134B69" w:rsidR="00C1725F" w:rsidRPr="00C048C1" w:rsidRDefault="00C1725F" w:rsidP="00486CD2">
            <w:pPr>
              <w:pStyle w:val="lgetabletxt"/>
              <w:spacing w:after="60" w:afterAutospacing="0"/>
            </w:pPr>
            <w:r>
              <w:t>14th week onward — Weekly payments ‘step down’ to 85% of the worker’s average weekly earnings, maximum payment is $</w:t>
            </w:r>
            <w:r w:rsidR="00486CD2">
              <w:t>2,647.30</w:t>
            </w:r>
            <w:r>
              <w:t xml:space="preserve">. Minimum rate: The minimum rate of weekly earnings payable under the </w:t>
            </w:r>
            <w:r w:rsidRPr="00CE49D9">
              <w:rPr>
                <w:i/>
              </w:rPr>
              <w:t>Minimum Conditions of Employment Act 1993</w:t>
            </w:r>
            <w:r>
              <w:t xml:space="preserve"> — Schedule 1, clause </w:t>
            </w:r>
            <w:hyperlink r:id="rId1015" w:history="1">
              <w:r w:rsidRPr="005E0B03">
                <w:rPr>
                  <w:rStyle w:val="Hyperlink"/>
                </w:rPr>
                <w:t>11(4)(b)</w:t>
              </w:r>
            </w:hyperlink>
            <w:r>
              <w:t>.</w:t>
            </w:r>
          </w:p>
        </w:tc>
        <w:tc>
          <w:tcPr>
            <w:tcW w:w="6898" w:type="dxa"/>
            <w:tcMar>
              <w:top w:w="80" w:type="dxa"/>
              <w:left w:w="80" w:type="dxa"/>
              <w:bottom w:w="80" w:type="dxa"/>
              <w:right w:w="80" w:type="dxa"/>
            </w:tcMar>
          </w:tcPr>
          <w:p w14:paraId="307C30FA" w14:textId="77777777" w:rsidR="00C1725F" w:rsidRPr="00C048C1" w:rsidRDefault="00C1725F" w:rsidP="007F0B00">
            <w:pPr>
              <w:pStyle w:val="lgetabletxt"/>
              <w:spacing w:after="60" w:afterAutospacing="0"/>
            </w:pPr>
            <w:r w:rsidRPr="00C048C1">
              <w:t>Lump sum redemption payment for loss of future wages, medical and like expenses, as a result of a permanent total or partial incapacity.</w:t>
            </w:r>
          </w:p>
          <w:p w14:paraId="276FC6CE" w14:textId="65B0B552" w:rsidR="00C1725F" w:rsidRPr="00C048C1" w:rsidRDefault="00C1725F" w:rsidP="007F0B00">
            <w:pPr>
              <w:pStyle w:val="lgetabletxt"/>
              <w:spacing w:after="60" w:afterAutospacing="0"/>
            </w:pPr>
            <w:r w:rsidRPr="00C048C1">
              <w:t xml:space="preserve">Criteria: worker received weekly payments for not less than six months, worker and employer agree to redemption and the lump sum amount, the worker will automatically waive their common law rights and the Director of Conciliation Services is satisfied the worker is aware of the consequences of redeeming their claim — </w:t>
            </w:r>
            <w:hyperlink r:id="rId1016" w:history="1">
              <w:r w:rsidRPr="005E0B03">
                <w:rPr>
                  <w:rStyle w:val="Hyperlink"/>
                </w:rPr>
                <w:t>s67</w:t>
              </w:r>
            </w:hyperlink>
            <w:r w:rsidR="00F30633">
              <w:t xml:space="preserve">, </w:t>
            </w:r>
            <w:r w:rsidR="00F30633" w:rsidRPr="00016069">
              <w:rPr>
                <w:i/>
              </w:rPr>
              <w:t>Workers’ Compensation and Injury Management Act 1981</w:t>
            </w:r>
            <w:r w:rsidR="00692DB2">
              <w:t>.</w:t>
            </w:r>
          </w:p>
          <w:p w14:paraId="2B74819A" w14:textId="5BFFA0BE" w:rsidR="00C1725F" w:rsidRPr="00C048C1" w:rsidRDefault="00C1725F" w:rsidP="007F0B00">
            <w:pPr>
              <w:pStyle w:val="lgetabletxt"/>
              <w:spacing w:after="60" w:afterAutospacing="0"/>
            </w:pPr>
            <w:r w:rsidRPr="00C048C1">
              <w:t>Compensation for permanent impairment is also available under Schedule 2 of the Act which lists specific compensable injuries against which a percentage of t</w:t>
            </w:r>
            <w:r w:rsidR="00E13D9F">
              <w:t>he prescribed amount is listed.</w:t>
            </w:r>
          </w:p>
        </w:tc>
      </w:tr>
      <w:tr w:rsidR="00C1725F" w:rsidRPr="00C048C1" w14:paraId="0037C319" w14:textId="77777777" w:rsidTr="00B2173F">
        <w:tc>
          <w:tcPr>
            <w:tcW w:w="1626" w:type="dxa"/>
            <w:shd w:val="clear" w:color="auto" w:fill="FFC9C9"/>
            <w:tcMar>
              <w:top w:w="80" w:type="dxa"/>
              <w:left w:w="80" w:type="dxa"/>
              <w:bottom w:w="80" w:type="dxa"/>
              <w:right w:w="80" w:type="dxa"/>
            </w:tcMar>
          </w:tcPr>
          <w:p w14:paraId="2A3993EE" w14:textId="77777777" w:rsidR="00C1725F" w:rsidRPr="00C048C1" w:rsidRDefault="00C1725F" w:rsidP="007F0B00">
            <w:pPr>
              <w:pStyle w:val="TableColumn1bold"/>
              <w:spacing w:after="60"/>
            </w:pPr>
            <w:r w:rsidRPr="00C048C1">
              <w:t>South Australia</w:t>
            </w:r>
          </w:p>
        </w:tc>
        <w:tc>
          <w:tcPr>
            <w:tcW w:w="6897" w:type="dxa"/>
            <w:shd w:val="clear" w:color="auto" w:fill="FFC9C9"/>
            <w:tcMar>
              <w:top w:w="80" w:type="dxa"/>
              <w:left w:w="80" w:type="dxa"/>
              <w:bottom w:w="80" w:type="dxa"/>
              <w:right w:w="80" w:type="dxa"/>
            </w:tcMar>
          </w:tcPr>
          <w:p w14:paraId="7DECDBC9" w14:textId="0B019B52" w:rsidR="00C1725F" w:rsidRDefault="00C1725F" w:rsidP="007F0B00">
            <w:pPr>
              <w:pStyle w:val="lgetabletxt"/>
              <w:spacing w:after="60" w:afterAutospacing="0"/>
            </w:pPr>
            <w:r>
              <w:t xml:space="preserve">A worker’s average weekly earnings rate will be calculated by reference to the worker’s average earnings over the 12 months before the injury </w:t>
            </w:r>
            <w:hyperlink r:id="rId1017" w:history="1">
              <w:r w:rsidRPr="00A479B2">
                <w:rPr>
                  <w:rStyle w:val="Hyperlink"/>
                </w:rPr>
                <w:t>s5</w:t>
              </w:r>
            </w:hyperlink>
            <w:r w:rsidR="00A479B2">
              <w:t xml:space="preserve">, </w:t>
            </w:r>
            <w:r w:rsidR="00A479B2">
              <w:rPr>
                <w:i/>
              </w:rPr>
              <w:t>Return to Work Act 2014</w:t>
            </w:r>
            <w:r>
              <w:t xml:space="preserve">. </w:t>
            </w:r>
          </w:p>
          <w:p w14:paraId="02B8B56B" w14:textId="5D78066E" w:rsidR="00C1725F" w:rsidRDefault="00C1725F" w:rsidP="007F0B00">
            <w:pPr>
              <w:pStyle w:val="lgetabletxt"/>
              <w:spacing w:after="60" w:afterAutospacing="0"/>
            </w:pPr>
            <w:r>
              <w:t>A cap of twice the State Average Weekly Earnings applies f</w:t>
            </w:r>
            <w:r w:rsidR="00D41D16">
              <w:t>or the duration of the claim</w:t>
            </w:r>
            <w:r w:rsidR="00A479B2">
              <w:t xml:space="preserve"> </w:t>
            </w:r>
            <w:r w:rsidR="00D41D16">
              <w:t>($2</w:t>
            </w:r>
            <w:r w:rsidR="0093305E">
              <w:t>,</w:t>
            </w:r>
            <w:r>
              <w:t xml:space="preserve">946.00 per week as at 18/8/2016) — </w:t>
            </w:r>
            <w:hyperlink r:id="rId1018" w:history="1">
              <w:r>
                <w:rPr>
                  <w:rStyle w:val="Hyperlink"/>
                </w:rPr>
                <w:t>s</w:t>
              </w:r>
              <w:r w:rsidRPr="006777C3">
                <w:rPr>
                  <w:rStyle w:val="Hyperlink"/>
                </w:rPr>
                <w:t>5(15)(c)</w:t>
              </w:r>
            </w:hyperlink>
          </w:p>
          <w:p w14:paraId="0314860B" w14:textId="54BA482C" w:rsidR="00C1725F" w:rsidRDefault="00C1725F" w:rsidP="007F0B00">
            <w:pPr>
              <w:pStyle w:val="lgetabletxt"/>
              <w:spacing w:after="60" w:afterAutospacing="0"/>
            </w:pPr>
            <w:r>
              <w:t xml:space="preserve">An injured worker who is not seriously injured, is entitled to income maintenance for 2 years from the date of first entitlement to weekly payments </w:t>
            </w:r>
            <w:r w:rsidR="0093305E">
              <w:t xml:space="preserve">— </w:t>
            </w:r>
            <w:hyperlink r:id="rId1019" w:history="1">
              <w:r w:rsidRPr="005E0B03">
                <w:rPr>
                  <w:rStyle w:val="Hyperlink"/>
                </w:rPr>
                <w:t>s4(11)</w:t>
              </w:r>
            </w:hyperlink>
            <w:r>
              <w:t xml:space="preserve">. </w:t>
            </w:r>
          </w:p>
          <w:p w14:paraId="45670201" w14:textId="2AA6A067" w:rsidR="00C1725F" w:rsidRDefault="00C1725F" w:rsidP="007F0B00">
            <w:pPr>
              <w:pStyle w:val="lgetabletxt"/>
              <w:spacing w:after="60" w:afterAutospacing="0"/>
            </w:pPr>
            <w:r>
              <w:t>For the first 52 weeks the worker is entitled to 100% of their average weekly earnings. This entitlement reduces to 80% for the following 52 weeks.</w:t>
            </w:r>
          </w:p>
          <w:p w14:paraId="1BC4BF12" w14:textId="6003561E" w:rsidR="00C1725F" w:rsidRDefault="00C1725F" w:rsidP="007F0B00">
            <w:pPr>
              <w:pStyle w:val="lgetabletxt"/>
              <w:spacing w:after="60" w:afterAutospacing="0"/>
            </w:pPr>
            <w:r>
              <w:t>A worker may be entitled to an additional 13 weeks of income support for any pre-approved surgery (</w:t>
            </w:r>
            <w:hyperlink r:id="rId1020" w:history="1">
              <w:r w:rsidR="005E0B03" w:rsidRPr="005E0B03">
                <w:rPr>
                  <w:rStyle w:val="Hyperlink"/>
                </w:rPr>
                <w:t>s</w:t>
              </w:r>
              <w:r w:rsidRPr="005E0B03">
                <w:rPr>
                  <w:rStyle w:val="Hyperlink"/>
                </w:rPr>
                <w:t>40</w:t>
              </w:r>
            </w:hyperlink>
            <w:r>
              <w:t>,</w:t>
            </w:r>
            <w:r w:rsidR="005E0B03">
              <w:t xml:space="preserve"> </w:t>
            </w:r>
            <w:hyperlink r:id="rId1021" w:history="1">
              <w:r w:rsidR="005E0B03" w:rsidRPr="005E0B03">
                <w:rPr>
                  <w:rStyle w:val="Hyperlink"/>
                </w:rPr>
                <w:t>s</w:t>
              </w:r>
              <w:r w:rsidRPr="005E0B03">
                <w:rPr>
                  <w:rStyle w:val="Hyperlink"/>
                </w:rPr>
                <w:t>41</w:t>
              </w:r>
            </w:hyperlink>
            <w:r>
              <w:t xml:space="preserve">). </w:t>
            </w:r>
          </w:p>
          <w:p w14:paraId="65E2D826" w14:textId="77777777" w:rsidR="00C1725F" w:rsidRDefault="00C1725F" w:rsidP="007F0B00">
            <w:pPr>
              <w:pStyle w:val="lgetabletxt"/>
              <w:spacing w:after="60" w:afterAutospacing="0"/>
            </w:pPr>
            <w:r>
              <w:lastRenderedPageBreak/>
              <w:t>If the combined amount that a worker would receive would result in the worker receiving less than the Federal minimum wage, the amount of compensation paid will be increased so that the combined amount equals the Federal minimum wage.</w:t>
            </w:r>
          </w:p>
          <w:p w14:paraId="4A8B1600" w14:textId="2DF19AA3" w:rsidR="00C1725F" w:rsidRPr="00C048C1" w:rsidRDefault="00C1725F" w:rsidP="007F0B00">
            <w:pPr>
              <w:pStyle w:val="lgetabletxt"/>
              <w:spacing w:after="60" w:afterAutospacing="0"/>
            </w:pPr>
            <w:r>
              <w:t>Seriously injured workers are those whose work injury results in a degree of whole person impairment to be 30% or more. Seriously injured workers will be eligible to receive income support until retirement age (100% average weekly earnings for the first 52 weeks, 80% until retirement age). An adjustment to the amount may be made annually to account for movement in wages (</w:t>
            </w:r>
            <w:hyperlink r:id="rId1022" w:history="1">
              <w:r w:rsidRPr="007559D6">
                <w:rPr>
                  <w:rStyle w:val="Hyperlink"/>
                </w:rPr>
                <w:t>s41</w:t>
              </w:r>
            </w:hyperlink>
            <w:r>
              <w:t>).</w:t>
            </w:r>
          </w:p>
        </w:tc>
        <w:tc>
          <w:tcPr>
            <w:tcW w:w="6898" w:type="dxa"/>
            <w:shd w:val="clear" w:color="auto" w:fill="FFC9C9"/>
            <w:tcMar>
              <w:top w:w="80" w:type="dxa"/>
              <w:left w:w="80" w:type="dxa"/>
              <w:bottom w:w="80" w:type="dxa"/>
              <w:right w:w="80" w:type="dxa"/>
            </w:tcMar>
          </w:tcPr>
          <w:p w14:paraId="54D7E2ED" w14:textId="77777777" w:rsidR="00C1725F" w:rsidRDefault="00C1725F" w:rsidP="007F0B00">
            <w:pPr>
              <w:pStyle w:val="lgetabletxt"/>
              <w:spacing w:after="60" w:afterAutospacing="0"/>
            </w:pPr>
            <w:r>
              <w:lastRenderedPageBreak/>
              <w:t xml:space="preserve">A liability to make </w:t>
            </w:r>
            <w:r w:rsidRPr="00144358">
              <w:rPr>
                <w:b/>
              </w:rPr>
              <w:t>weekly payments</w:t>
            </w:r>
            <w:r>
              <w:t xml:space="preserve"> may, by agreement, be redeemed by a capital payment to the worker. An agreement for the redemption of a liability of weekly payments cannot be made unless;</w:t>
            </w:r>
          </w:p>
          <w:p w14:paraId="792991A2" w14:textId="77777777" w:rsidR="00C1725F" w:rsidRDefault="00C1725F" w:rsidP="00DF35F2">
            <w:pPr>
              <w:pStyle w:val="lgetabletxt"/>
              <w:numPr>
                <w:ilvl w:val="0"/>
                <w:numId w:val="42"/>
              </w:numPr>
              <w:spacing w:after="60" w:afterAutospacing="0"/>
            </w:pPr>
            <w:r>
              <w:t>the worker has received competent professional advice about the consequences of redemption and the about the investment or use of money to be received on redemption.</w:t>
            </w:r>
          </w:p>
          <w:p w14:paraId="4AC4F780" w14:textId="77777777" w:rsidR="00C1725F" w:rsidRDefault="00C1725F" w:rsidP="00DF35F2">
            <w:pPr>
              <w:pStyle w:val="lgetabletxt"/>
              <w:numPr>
                <w:ilvl w:val="0"/>
                <w:numId w:val="42"/>
              </w:numPr>
              <w:spacing w:after="60" w:afterAutospacing="0"/>
            </w:pPr>
            <w:r>
              <w:t>the Corporation has consulted with the employer out of whose employment the injury arose and has considered any representations made by the employer; and</w:t>
            </w:r>
          </w:p>
          <w:p w14:paraId="0157C8E3" w14:textId="14DB9C79" w:rsidR="00C1725F" w:rsidRDefault="00C1725F" w:rsidP="00DF35F2">
            <w:pPr>
              <w:pStyle w:val="lgetabletxt"/>
              <w:numPr>
                <w:ilvl w:val="0"/>
                <w:numId w:val="42"/>
              </w:numPr>
              <w:spacing w:after="60" w:afterAutospacing="0"/>
            </w:pPr>
            <w:r>
              <w:t xml:space="preserve">a recognised health practitioner has certified that the extent of the worker’s incapacity resulting from the work injury can be determined with a degree of confidence </w:t>
            </w:r>
            <w:r w:rsidR="0093305E">
              <w:t xml:space="preserve">— </w:t>
            </w:r>
            <w:hyperlink r:id="rId1023" w:history="1">
              <w:r w:rsidRPr="005E0B03">
                <w:rPr>
                  <w:rStyle w:val="Hyperlink"/>
                </w:rPr>
                <w:t>s53</w:t>
              </w:r>
            </w:hyperlink>
            <w:r w:rsidR="00E13D9F">
              <w:t>.</w:t>
            </w:r>
          </w:p>
          <w:p w14:paraId="1FC268B6" w14:textId="77777777" w:rsidR="00C1725F" w:rsidRPr="00C048C1" w:rsidRDefault="00C1725F" w:rsidP="007F0B00">
            <w:pPr>
              <w:pStyle w:val="lgetabletxt"/>
              <w:spacing w:after="60" w:afterAutospacing="0"/>
            </w:pPr>
          </w:p>
        </w:tc>
      </w:tr>
      <w:tr w:rsidR="00C1725F" w:rsidRPr="00C048C1" w14:paraId="0202B676" w14:textId="77777777" w:rsidTr="00B2173F">
        <w:tc>
          <w:tcPr>
            <w:tcW w:w="1626" w:type="dxa"/>
            <w:tcMar>
              <w:top w:w="80" w:type="dxa"/>
              <w:left w:w="80" w:type="dxa"/>
              <w:bottom w:w="80" w:type="dxa"/>
              <w:right w:w="80" w:type="dxa"/>
            </w:tcMar>
          </w:tcPr>
          <w:p w14:paraId="76443ECD" w14:textId="77777777" w:rsidR="00C1725F" w:rsidRPr="00C048C1" w:rsidRDefault="00C1725F" w:rsidP="007F0B00">
            <w:pPr>
              <w:pStyle w:val="TableColumn1bold"/>
              <w:spacing w:after="60"/>
            </w:pPr>
            <w:r w:rsidRPr="00C048C1">
              <w:t>Tasmania</w:t>
            </w:r>
          </w:p>
        </w:tc>
        <w:tc>
          <w:tcPr>
            <w:tcW w:w="6897" w:type="dxa"/>
            <w:tcMar>
              <w:top w:w="80" w:type="dxa"/>
              <w:left w:w="80" w:type="dxa"/>
              <w:bottom w:w="80" w:type="dxa"/>
              <w:right w:w="80" w:type="dxa"/>
            </w:tcMar>
          </w:tcPr>
          <w:p w14:paraId="332A472F" w14:textId="0C919C0C" w:rsidR="00C1725F" w:rsidRPr="00492CC7" w:rsidRDefault="00A7538C" w:rsidP="007F0B00">
            <w:pPr>
              <w:pStyle w:val="lgetabletxt"/>
              <w:spacing w:after="60" w:afterAutospacing="0"/>
              <w:rPr>
                <w:color w:val="auto"/>
              </w:rPr>
            </w:pPr>
            <w:hyperlink r:id="rId1024" w:history="1">
              <w:r w:rsidR="00C1725F" w:rsidRPr="00C048C1">
                <w:rPr>
                  <w:rStyle w:val="Hyperlink"/>
                </w:rPr>
                <w:t>s69B</w:t>
              </w:r>
            </w:hyperlink>
            <w:r w:rsidR="00492CC7">
              <w:rPr>
                <w:rStyle w:val="Hyperlink"/>
                <w:color w:val="auto"/>
                <w:u w:val="none"/>
              </w:rPr>
              <w:t xml:space="preserve">, </w:t>
            </w:r>
            <w:r w:rsidR="00492CC7" w:rsidRPr="00016069">
              <w:rPr>
                <w:i/>
              </w:rPr>
              <w:t>Workers Rehabilitation and Compensation Act 1988</w:t>
            </w:r>
          </w:p>
          <w:p w14:paraId="77F99456" w14:textId="77777777" w:rsidR="00C1725F" w:rsidRPr="00C048C1" w:rsidRDefault="00C1725F" w:rsidP="007F0B00">
            <w:pPr>
              <w:pStyle w:val="lgetabletxt"/>
              <w:spacing w:after="60" w:afterAutospacing="0"/>
            </w:pPr>
            <w:r w:rsidRPr="0093305E">
              <w:t>≤</w:t>
            </w:r>
            <w:r w:rsidRPr="00C048C1">
              <w:t xml:space="preserve"> 26 weeks:</w:t>
            </w:r>
          </w:p>
          <w:p w14:paraId="3CBCA546" w14:textId="05B716B7" w:rsidR="00C1725F" w:rsidRPr="00C048C1" w:rsidRDefault="00C1725F" w:rsidP="007F0B00">
            <w:pPr>
              <w:pStyle w:val="lgetabletxt"/>
              <w:spacing w:after="60" w:afterAutospacing="0"/>
            </w:pPr>
            <w:r w:rsidRPr="00C048C1">
              <w:t>100% of weekly payment i.e. the greater of normal weekly earnings (NWE), or ordinary</w:t>
            </w:r>
            <w:r w:rsidRPr="00C048C1">
              <w:noBreakHyphen/>
              <w:t>time rate-of-pay for work engaged in immediately prior to incapacity.</w:t>
            </w:r>
          </w:p>
          <w:p w14:paraId="2C1D35FD" w14:textId="18913C83" w:rsidR="00C1725F" w:rsidRPr="00C048C1" w:rsidRDefault="00C1725F" w:rsidP="007F0B00">
            <w:pPr>
              <w:pStyle w:val="lgetabletxt"/>
              <w:spacing w:after="60" w:afterAutospacing="0"/>
            </w:pPr>
            <w:r w:rsidRPr="00C048C1">
              <w:t xml:space="preserve">NWE is the workers average weekly earningswith that employer over the previous 12 months or the period of employment if less than 12 months. Overtime is included if it was regular and would have continued to be paid if the worker was not incapacitated. </w:t>
            </w:r>
          </w:p>
          <w:p w14:paraId="77ACF04A" w14:textId="7E39A75F" w:rsidR="00C1725F" w:rsidRPr="00C048C1" w:rsidRDefault="00C1725F" w:rsidP="007F0B00">
            <w:pPr>
              <w:pStyle w:val="lgetabletxt"/>
              <w:spacing w:after="60" w:afterAutospacing="0"/>
            </w:pPr>
            <w:r w:rsidRPr="00C048C1">
              <w:t xml:space="preserve">&gt; 26 weeks to </w:t>
            </w:r>
            <w:r w:rsidRPr="0093305E">
              <w:t>≤</w:t>
            </w:r>
            <w:r w:rsidRPr="00C048C1">
              <w:t xml:space="preserve"> 78 </w:t>
            </w:r>
            <w:r w:rsidR="00692DB2">
              <w:t>w</w:t>
            </w:r>
            <w:r w:rsidRPr="00C048C1">
              <w:t>eeks:</w:t>
            </w:r>
          </w:p>
          <w:p w14:paraId="408B4EBA" w14:textId="77777777" w:rsidR="00C1725F" w:rsidRPr="00C048C1" w:rsidRDefault="00C1725F" w:rsidP="007F0B00">
            <w:pPr>
              <w:pStyle w:val="lgetabletxt"/>
              <w:spacing w:after="60" w:afterAutospacing="0"/>
            </w:pPr>
            <w:r w:rsidRPr="00C048C1">
              <w:t>90% of weekly payment. The Act provides that the worker is to receive 95% of the weekly payment if the employer fails to provide suitable alternative duties.</w:t>
            </w:r>
          </w:p>
          <w:p w14:paraId="3B581B8C" w14:textId="77777777" w:rsidR="00C1725F" w:rsidRPr="00C048C1" w:rsidRDefault="00C1725F" w:rsidP="007F0B00">
            <w:pPr>
              <w:pStyle w:val="lgetabletxt"/>
              <w:spacing w:after="60" w:afterAutospacing="0"/>
            </w:pPr>
            <w:r w:rsidRPr="00C048C1">
              <w:t>&gt; 78 weeks:</w:t>
            </w:r>
          </w:p>
          <w:p w14:paraId="3E25ABDE" w14:textId="77777777" w:rsidR="00C1725F" w:rsidRPr="00C048C1" w:rsidRDefault="00C1725F" w:rsidP="007F0B00">
            <w:pPr>
              <w:pStyle w:val="lgetabletxt"/>
              <w:spacing w:after="60" w:afterAutospacing="0"/>
            </w:pPr>
            <w:r w:rsidRPr="00C048C1">
              <w:t>80% of weekly payment. The Act provides that the worker is to receive 85% of the weekly payment if the employer fails to provide suitable alternative duties.</w:t>
            </w:r>
          </w:p>
          <w:p w14:paraId="463F2D9A" w14:textId="77777777" w:rsidR="00C1725F" w:rsidRPr="00C048C1" w:rsidRDefault="00C1725F" w:rsidP="007F0B00">
            <w:pPr>
              <w:pStyle w:val="lgetabletxt"/>
              <w:spacing w:after="60" w:afterAutospacing="0"/>
            </w:pPr>
            <w:r w:rsidRPr="00C048C1">
              <w:t>Cessation of entitlement to weekly payments depends on the worker’s degree of whole person impairment (WP</w:t>
            </w:r>
            <w:r w:rsidR="00613E70">
              <w:t>I</w:t>
            </w:r>
            <w:r w:rsidRPr="00C048C1">
              <w:t>):</w:t>
            </w:r>
          </w:p>
          <w:p w14:paraId="00C55181" w14:textId="77777777" w:rsidR="00C1725F" w:rsidRPr="00C048C1" w:rsidRDefault="00C1725F" w:rsidP="007F0B00">
            <w:pPr>
              <w:pStyle w:val="Tabledotpointlist7pt"/>
              <w:spacing w:after="60"/>
            </w:pPr>
            <w:r w:rsidRPr="00C048C1">
              <w:t>9 years if &lt; 15% WPI</w:t>
            </w:r>
          </w:p>
          <w:p w14:paraId="2CD46C33" w14:textId="77777777" w:rsidR="00C1725F" w:rsidRPr="00C048C1" w:rsidRDefault="00C1725F" w:rsidP="007F0B00">
            <w:pPr>
              <w:pStyle w:val="Tabledotpointlist7pt"/>
              <w:spacing w:after="60"/>
            </w:pPr>
            <w:r w:rsidRPr="00C048C1">
              <w:t xml:space="preserve">12 years if </w:t>
            </w:r>
            <w:r w:rsidRPr="00C048C1">
              <w:rPr>
                <w:rFonts w:hint="eastAsia"/>
              </w:rPr>
              <w:t>≥15</w:t>
            </w:r>
            <w:r w:rsidRPr="00C048C1">
              <w:t>% WPI but &lt; 20% WPI</w:t>
            </w:r>
          </w:p>
          <w:p w14:paraId="6C47AC0E" w14:textId="77777777" w:rsidR="00C1725F" w:rsidRPr="00C048C1" w:rsidRDefault="00C1725F" w:rsidP="007F0B00">
            <w:pPr>
              <w:pStyle w:val="Tabledotpointlist7pt"/>
              <w:spacing w:after="60"/>
            </w:pPr>
            <w:r w:rsidRPr="00C048C1">
              <w:t xml:space="preserve">20 years if </w:t>
            </w:r>
            <w:r w:rsidRPr="00C048C1">
              <w:rPr>
                <w:rFonts w:hint="eastAsia"/>
              </w:rPr>
              <w:t>≥20</w:t>
            </w:r>
            <w:r w:rsidRPr="00C048C1">
              <w:t>% WPI but &lt; 30% WPI, or</w:t>
            </w:r>
          </w:p>
          <w:p w14:paraId="14A07E07" w14:textId="77777777" w:rsidR="00C1725F" w:rsidRPr="00C048C1" w:rsidRDefault="00C1725F" w:rsidP="007F0B00">
            <w:pPr>
              <w:pStyle w:val="Tabledotpointlist7pt"/>
              <w:spacing w:after="60"/>
            </w:pPr>
            <w:r w:rsidRPr="00C048C1">
              <w:t xml:space="preserve">To date of cessation of employment under s87 (normally 65 years) if </w:t>
            </w:r>
            <w:r w:rsidRPr="00C048C1">
              <w:rPr>
                <w:rFonts w:hint="eastAsia"/>
              </w:rPr>
              <w:t>≥</w:t>
            </w:r>
            <w:r w:rsidRPr="00C048C1">
              <w:t xml:space="preserve"> 30% WPI.</w:t>
            </w:r>
          </w:p>
          <w:p w14:paraId="6C0F81D2" w14:textId="355A303E" w:rsidR="00C1725F" w:rsidRPr="00C048C1" w:rsidRDefault="00C1725F" w:rsidP="007F0B00">
            <w:pPr>
              <w:pStyle w:val="lgetabletxt"/>
              <w:spacing w:after="60" w:afterAutospacing="0"/>
            </w:pPr>
            <w:r w:rsidRPr="00C048C1">
              <w:t xml:space="preserve">Minimum amount payable is 70% of the basic salary (which is $578.57 per week, as at 1 January 2016) or 100% of the weekly payment determined under </w:t>
            </w:r>
            <w:hyperlink r:id="rId1025" w:history="1">
              <w:r w:rsidRPr="00C048C1">
                <w:rPr>
                  <w:rStyle w:val="Hyperlink"/>
                </w:rPr>
                <w:t>s69</w:t>
              </w:r>
            </w:hyperlink>
            <w:r w:rsidRPr="00C048C1">
              <w:t xml:space="preserve"> — whichever is the lesser amount (or pro rata equivalent) — </w:t>
            </w:r>
            <w:hyperlink r:id="rId1026" w:history="1">
              <w:r w:rsidRPr="00C048C1">
                <w:rPr>
                  <w:rStyle w:val="Hyperlink"/>
                </w:rPr>
                <w:t>s69B(3)</w:t>
              </w:r>
            </w:hyperlink>
            <w:r w:rsidR="00E13D9F">
              <w:rPr>
                <w:rStyle w:val="Hyperlink"/>
              </w:rPr>
              <w:t>.</w:t>
            </w:r>
          </w:p>
        </w:tc>
        <w:tc>
          <w:tcPr>
            <w:tcW w:w="6898" w:type="dxa"/>
            <w:tcMar>
              <w:top w:w="80" w:type="dxa"/>
              <w:left w:w="80" w:type="dxa"/>
              <w:bottom w:w="80" w:type="dxa"/>
              <w:right w:w="80" w:type="dxa"/>
            </w:tcMar>
          </w:tcPr>
          <w:p w14:paraId="29F446BB" w14:textId="555155C1" w:rsidR="00C1725F" w:rsidRPr="00C048C1" w:rsidRDefault="00A7538C" w:rsidP="007F0B00">
            <w:pPr>
              <w:pStyle w:val="lgetabletxt"/>
              <w:spacing w:after="60" w:afterAutospacing="0"/>
            </w:pPr>
            <w:hyperlink r:id="rId1027" w:history="1">
              <w:r w:rsidR="002C086D" w:rsidRPr="007559D6">
                <w:rPr>
                  <w:rStyle w:val="Hyperlink"/>
                </w:rPr>
                <w:t>s132A</w:t>
              </w:r>
            </w:hyperlink>
          </w:p>
          <w:p w14:paraId="1B4A4E13" w14:textId="77777777" w:rsidR="00C1725F" w:rsidRPr="00C048C1" w:rsidRDefault="00C1725F" w:rsidP="007F0B00">
            <w:pPr>
              <w:pStyle w:val="lgetabletxt"/>
              <w:spacing w:after="60" w:afterAutospacing="0"/>
            </w:pPr>
            <w:r w:rsidRPr="00C048C1">
              <w:t>Settlements made within two years of the date of claim:</w:t>
            </w:r>
          </w:p>
          <w:p w14:paraId="0CA1F616" w14:textId="77777777" w:rsidR="00C1725F" w:rsidRPr="00C048C1" w:rsidRDefault="00C1725F" w:rsidP="007F0B00">
            <w:pPr>
              <w:pStyle w:val="lgetabletxt"/>
              <w:spacing w:after="60" w:afterAutospacing="0"/>
            </w:pPr>
            <w:r w:rsidRPr="00C048C1">
              <w:t>Settlement by agreement of outstanding entitlements to compensation made within two years of the date of the claim must be approved by the Workers Rehabilitation and Compensation Tribunal.</w:t>
            </w:r>
          </w:p>
          <w:p w14:paraId="3C6A72E6" w14:textId="77777777" w:rsidR="00C1725F" w:rsidRPr="00C048C1" w:rsidRDefault="00C1725F" w:rsidP="007F0B00">
            <w:pPr>
              <w:pStyle w:val="lgetabletxt"/>
              <w:spacing w:after="60" w:afterAutospacing="0"/>
            </w:pPr>
            <w:r w:rsidRPr="00C048C1">
              <w:t>The Tribunal must be satisfied that:</w:t>
            </w:r>
          </w:p>
          <w:p w14:paraId="5AC6B147" w14:textId="77777777" w:rsidR="00C1725F" w:rsidRPr="00C048C1" w:rsidRDefault="00C1725F" w:rsidP="007F0B00">
            <w:pPr>
              <w:pStyle w:val="Tabledotpointlist7pt"/>
              <w:spacing w:after="60"/>
            </w:pPr>
            <w:r w:rsidRPr="00C048C1">
              <w:t>all reasonable steps have been taken to enable the worker to be rehabilitated, retrained or to return to work, or</w:t>
            </w:r>
          </w:p>
          <w:p w14:paraId="138BD4D3" w14:textId="77777777" w:rsidR="00C1725F" w:rsidRPr="00C048C1" w:rsidRDefault="00C1725F" w:rsidP="007F0B00">
            <w:pPr>
              <w:pStyle w:val="Tabledotpointlist7pt"/>
              <w:spacing w:after="60"/>
            </w:pPr>
            <w:r w:rsidRPr="00C048C1">
              <w:t>the worker has returned to work, or</w:t>
            </w:r>
          </w:p>
          <w:p w14:paraId="767068EF" w14:textId="77777777" w:rsidR="00C1725F" w:rsidRPr="00C048C1" w:rsidRDefault="00C1725F" w:rsidP="007F0B00">
            <w:pPr>
              <w:pStyle w:val="Tabledotpointlist7pt"/>
              <w:spacing w:after="60"/>
            </w:pPr>
            <w:r w:rsidRPr="00C048C1">
              <w:t>there has been a reasonably arguable case determination, that the proposed agreement is in the best interests of the worker, or</w:t>
            </w:r>
          </w:p>
          <w:p w14:paraId="51768133" w14:textId="77777777" w:rsidR="00C1725F" w:rsidRPr="00C048C1" w:rsidRDefault="00C1725F" w:rsidP="007F0B00">
            <w:pPr>
              <w:pStyle w:val="Tabledotpointlist7pt"/>
              <w:spacing w:after="60"/>
            </w:pPr>
            <w:r w:rsidRPr="00C048C1">
              <w:t>there are special circumstances that make rehabilitation, retraining or return to work impracticable and the proposed agreement is in the best interests of the worker.</w:t>
            </w:r>
          </w:p>
          <w:p w14:paraId="4A475C6A" w14:textId="77777777" w:rsidR="00C1725F" w:rsidRPr="00C048C1" w:rsidRDefault="00C1725F" w:rsidP="007F0B00">
            <w:pPr>
              <w:pStyle w:val="lgetabletxt"/>
              <w:spacing w:after="60" w:afterAutospacing="0"/>
            </w:pPr>
            <w:r w:rsidRPr="00C048C1">
              <w:t>The Tribunal must also be satisfied that the worker has received appropriate professional advice about the proposed agreement to settle and that the worker’s entitlement to lump sum compensation for permanent impairment has been considered.</w:t>
            </w:r>
          </w:p>
          <w:p w14:paraId="2EB13503" w14:textId="77777777" w:rsidR="00C1725F" w:rsidRPr="00C048C1" w:rsidRDefault="00C1725F" w:rsidP="007F0B00">
            <w:pPr>
              <w:pStyle w:val="lgetabletxt"/>
              <w:spacing w:after="60" w:afterAutospacing="0"/>
            </w:pPr>
            <w:r w:rsidRPr="00C048C1">
              <w:t>Settlements made after two years of the date of claim:</w:t>
            </w:r>
          </w:p>
          <w:p w14:paraId="5F4B7A25" w14:textId="77777777" w:rsidR="00C1725F" w:rsidRPr="00C048C1" w:rsidRDefault="00C1725F" w:rsidP="007F0B00">
            <w:pPr>
              <w:pStyle w:val="lgetabletxt"/>
              <w:spacing w:after="60" w:afterAutospacing="0"/>
            </w:pPr>
            <w:r w:rsidRPr="00C048C1">
              <w:t>Agreements to settle made more than two years after the date of the claim do not have to be approved by the Tribunal. A party can subsequently refer the agreement to the Tribunal to be reviewed and possibly set aside. Referral must be made within three months of the date of the agreement.</w:t>
            </w:r>
            <w:r w:rsidRPr="00C048C1">
              <w:br/>
              <w:t>The Tribunal can set aside an agreement if it is of the opinion that:</w:t>
            </w:r>
          </w:p>
          <w:p w14:paraId="6D99D746" w14:textId="77777777" w:rsidR="00C1725F" w:rsidRPr="00C048C1" w:rsidRDefault="00C1725F" w:rsidP="007F0B00">
            <w:pPr>
              <w:pStyle w:val="Tabledotpointlist7pt"/>
              <w:spacing w:after="60"/>
            </w:pPr>
            <w:r w:rsidRPr="00C048C1">
              <w:t>a party entered the agreement under duress, or</w:t>
            </w:r>
          </w:p>
          <w:p w14:paraId="41E47F9B" w14:textId="77777777" w:rsidR="00C1725F" w:rsidRPr="00C048C1" w:rsidRDefault="00C1725F" w:rsidP="007F0B00">
            <w:pPr>
              <w:pStyle w:val="Tabledotpointlist7pt"/>
              <w:spacing w:after="60"/>
            </w:pPr>
            <w:r w:rsidRPr="00C048C1">
              <w:t>the worker has not received appropriate advice, or</w:t>
            </w:r>
          </w:p>
          <w:p w14:paraId="76003BCA" w14:textId="77777777" w:rsidR="00C1725F" w:rsidRPr="00C048C1" w:rsidRDefault="00C1725F" w:rsidP="007F0B00">
            <w:pPr>
              <w:pStyle w:val="Tabledotpointlist7pt"/>
              <w:spacing w:after="60"/>
            </w:pPr>
            <w:r w:rsidRPr="00C048C1">
              <w:t>a party was induced to enter the agreement by a misrepresentation by another party (or their agent).</w:t>
            </w:r>
          </w:p>
        </w:tc>
      </w:tr>
      <w:tr w:rsidR="00C1725F" w:rsidRPr="00C048C1" w14:paraId="57511598" w14:textId="77777777" w:rsidTr="00B2173F">
        <w:tc>
          <w:tcPr>
            <w:tcW w:w="1626" w:type="dxa"/>
            <w:shd w:val="clear" w:color="auto" w:fill="FFC9C9"/>
            <w:tcMar>
              <w:top w:w="80" w:type="dxa"/>
              <w:left w:w="80" w:type="dxa"/>
              <w:bottom w:w="80" w:type="dxa"/>
              <w:right w:w="80" w:type="dxa"/>
            </w:tcMar>
          </w:tcPr>
          <w:p w14:paraId="3D1E8CEE" w14:textId="77777777" w:rsidR="00C1725F" w:rsidRPr="00C048C1" w:rsidRDefault="00C1725F" w:rsidP="007F0B00">
            <w:pPr>
              <w:pStyle w:val="TableColumn1bold"/>
              <w:spacing w:after="60"/>
            </w:pPr>
            <w:r w:rsidRPr="00C048C1">
              <w:t>Northern Territory</w:t>
            </w:r>
          </w:p>
        </w:tc>
        <w:tc>
          <w:tcPr>
            <w:tcW w:w="6897" w:type="dxa"/>
            <w:shd w:val="clear" w:color="auto" w:fill="FFC9C9"/>
            <w:tcMar>
              <w:top w:w="80" w:type="dxa"/>
              <w:left w:w="80" w:type="dxa"/>
              <w:bottom w:w="80" w:type="dxa"/>
              <w:right w:w="80" w:type="dxa"/>
            </w:tcMar>
          </w:tcPr>
          <w:p w14:paraId="58116BEA" w14:textId="060215A3" w:rsidR="00C1725F" w:rsidRPr="00492CC7" w:rsidRDefault="00C1725F" w:rsidP="007F0B00">
            <w:pPr>
              <w:pStyle w:val="lgetabletxt"/>
              <w:spacing w:after="60" w:afterAutospacing="0"/>
              <w:rPr>
                <w:i/>
              </w:rPr>
            </w:pPr>
            <w:r w:rsidRPr="00C048C1">
              <w:t>&lt; 26 weeks — NWE i.e. worker’s pre-injury gross weekly remuneration from all employment, including overtime and shift penalties (where worked in a regular and establ</w:t>
            </w:r>
            <w:r w:rsidR="008B0BF1">
              <w:t xml:space="preserve">ished pattern) — </w:t>
            </w:r>
            <w:hyperlink r:id="rId1028" w:history="1">
              <w:r w:rsidR="008B0BF1" w:rsidRPr="00357F60">
                <w:rPr>
                  <w:rStyle w:val="Hyperlink"/>
                </w:rPr>
                <w:t>s49A</w:t>
              </w:r>
            </w:hyperlink>
            <w:r w:rsidR="008B0BF1">
              <w:t xml:space="preserve"> (for NWE)</w:t>
            </w:r>
            <w:r w:rsidRPr="00C048C1">
              <w:t xml:space="preserve"> &amp; </w:t>
            </w:r>
            <w:hyperlink r:id="rId1029" w:history="1">
              <w:r w:rsidRPr="00357F60">
                <w:rPr>
                  <w:rStyle w:val="Hyperlink"/>
                </w:rPr>
                <w:t>s64</w:t>
              </w:r>
            </w:hyperlink>
            <w:r w:rsidR="00492CC7">
              <w:t xml:space="preserve">, </w:t>
            </w:r>
            <w:r w:rsidR="00492CC7">
              <w:rPr>
                <w:i/>
              </w:rPr>
              <w:t>Return to Work Act</w:t>
            </w:r>
          </w:p>
          <w:p w14:paraId="2F65DE9A" w14:textId="77777777" w:rsidR="00C1725F" w:rsidRPr="00C048C1" w:rsidRDefault="00C1725F" w:rsidP="007F0B00">
            <w:pPr>
              <w:pStyle w:val="lgetabletxt"/>
              <w:spacing w:after="60" w:afterAutospacing="0"/>
            </w:pPr>
            <w:r w:rsidRPr="00C048C1">
              <w:t>&gt; 26 weeks — Whichever is the greater of:</w:t>
            </w:r>
          </w:p>
          <w:p w14:paraId="721997AE" w14:textId="775FBDB0" w:rsidR="00C1725F" w:rsidRPr="00C048C1" w:rsidRDefault="00C1725F" w:rsidP="00F839DB">
            <w:pPr>
              <w:pStyle w:val="Tableabc7pt"/>
              <w:numPr>
                <w:ilvl w:val="0"/>
                <w:numId w:val="451"/>
              </w:numPr>
              <w:spacing w:before="0" w:after="60"/>
            </w:pPr>
            <w:r w:rsidRPr="00C048C1">
              <w:t>75% of NWE to a maximum of $</w:t>
            </w:r>
            <w:r w:rsidR="009E5223">
              <w:t>2,354.55</w:t>
            </w:r>
            <w:r w:rsidRPr="00C048C1">
              <w:t xml:space="preserve"> </w:t>
            </w:r>
            <w:r w:rsidR="006D2544">
              <w:t>—</w:t>
            </w:r>
            <w:r w:rsidR="006D2544" w:rsidRPr="00C048C1">
              <w:t xml:space="preserve"> </w:t>
            </w:r>
            <w:hyperlink r:id="rId1030" w:history="1">
              <w:r w:rsidRPr="00357F60">
                <w:rPr>
                  <w:rStyle w:val="Hyperlink"/>
                </w:rPr>
                <w:t>s65(1B)</w:t>
              </w:r>
            </w:hyperlink>
            <w:r w:rsidRPr="00C048C1">
              <w:t xml:space="preserve"> or</w:t>
            </w:r>
          </w:p>
          <w:p w14:paraId="5ADCD0F7" w14:textId="08BA8A51" w:rsidR="00C1725F" w:rsidRPr="00C048C1" w:rsidRDefault="00C1725F" w:rsidP="00F839DB">
            <w:pPr>
              <w:pStyle w:val="Tableabc7pt"/>
              <w:numPr>
                <w:ilvl w:val="0"/>
                <w:numId w:val="451"/>
              </w:numPr>
              <w:spacing w:before="0" w:after="60"/>
            </w:pPr>
            <w:r w:rsidRPr="00C048C1">
              <w:t>$</w:t>
            </w:r>
            <w:r w:rsidR="009E5223">
              <w:t>784.85</w:t>
            </w:r>
            <w:r w:rsidRPr="00C048C1">
              <w:t xml:space="preserve"> plus $</w:t>
            </w:r>
            <w:r w:rsidR="009E5223">
              <w:t>196.21</w:t>
            </w:r>
            <w:r w:rsidRPr="00C048C1">
              <w:t xml:space="preserve"> for a dependant spouse and $</w:t>
            </w:r>
            <w:r w:rsidR="009E5223">
              <w:t>98.11</w:t>
            </w:r>
            <w:r w:rsidRPr="00C048C1">
              <w:t xml:space="preserve"> for each dependent child; or 90% of NWE (whichever is the lesser) — </w:t>
            </w:r>
            <w:hyperlink r:id="rId1031" w:history="1">
              <w:r w:rsidRPr="00357F60">
                <w:rPr>
                  <w:rStyle w:val="Hyperlink"/>
                </w:rPr>
                <w:t>s65(7)</w:t>
              </w:r>
            </w:hyperlink>
          </w:p>
          <w:p w14:paraId="64497D27" w14:textId="1F160421" w:rsidR="00C1725F" w:rsidRPr="00C048C1" w:rsidRDefault="00C1725F" w:rsidP="007F0B00">
            <w:pPr>
              <w:pStyle w:val="lgetabletxt"/>
              <w:spacing w:after="60" w:afterAutospacing="0"/>
            </w:pPr>
            <w:r w:rsidRPr="00C048C1">
              <w:t xml:space="preserve">&lt; 104 weeks — Weekly benefits may reduce or cease, if the worker has been deemed to have an earning capacity, provided that suitable employment is reasonably available — </w:t>
            </w:r>
            <w:hyperlink r:id="rId1032" w:history="1">
              <w:r w:rsidRPr="00357F60">
                <w:rPr>
                  <w:rStyle w:val="Hyperlink"/>
                </w:rPr>
                <w:t>s65(2)(b)(i)</w:t>
              </w:r>
            </w:hyperlink>
          </w:p>
          <w:p w14:paraId="725330CF" w14:textId="210C57AF" w:rsidR="00C1725F" w:rsidRPr="00C048C1" w:rsidRDefault="00C1725F" w:rsidP="007F0B00">
            <w:pPr>
              <w:pStyle w:val="lgetabletxt"/>
              <w:spacing w:after="60" w:afterAutospacing="0"/>
            </w:pPr>
            <w:r w:rsidRPr="00C048C1">
              <w:t xml:space="preserve">&gt; 104 weeks — Weekly benefits may reduce or cease, if the worker has been deemed to have an earning capacity, without having regard to the availability of suitable employment — </w:t>
            </w:r>
            <w:hyperlink r:id="rId1033" w:history="1">
              <w:r w:rsidRPr="00357F60">
                <w:rPr>
                  <w:rStyle w:val="Hyperlink"/>
                </w:rPr>
                <w:t>s65(2)(b)(ii)</w:t>
              </w:r>
            </w:hyperlink>
          </w:p>
          <w:p w14:paraId="7C8467C3" w14:textId="7E0DDF5D" w:rsidR="00C1725F" w:rsidRPr="00C048C1" w:rsidRDefault="00C1725F" w:rsidP="007F0B00">
            <w:pPr>
              <w:pStyle w:val="lgetabletxt"/>
              <w:spacing w:after="60" w:afterAutospacing="0"/>
            </w:pPr>
            <w:r w:rsidRPr="00C048C1">
              <w:t xml:space="preserve">&gt; 260 weeks </w:t>
            </w:r>
            <w:r w:rsidR="006D2544">
              <w:t>—</w:t>
            </w:r>
            <w:r w:rsidR="006D2544" w:rsidRPr="00C048C1">
              <w:t xml:space="preserve"> </w:t>
            </w:r>
            <w:r w:rsidRPr="00C048C1">
              <w:t xml:space="preserve">entitlement ceases unless WPI 15% or greater </w:t>
            </w:r>
            <w:hyperlink r:id="rId1034" w:history="1">
              <w:r w:rsidRPr="00357F60">
                <w:rPr>
                  <w:rStyle w:val="Hyperlink"/>
                </w:rPr>
                <w:t>s65</w:t>
              </w:r>
            </w:hyperlink>
            <w:r w:rsidRPr="00C048C1">
              <w:t>(1BA)</w:t>
            </w:r>
          </w:p>
          <w:p w14:paraId="7E8D99B3" w14:textId="5A098C21" w:rsidR="00C1725F" w:rsidRPr="00C048C1" w:rsidRDefault="00C1725F" w:rsidP="006D2544">
            <w:pPr>
              <w:pStyle w:val="lgetabletxt"/>
              <w:spacing w:after="60" w:afterAutospacing="0"/>
            </w:pPr>
            <w:r w:rsidRPr="00C048C1">
              <w:t>Post 26 weeks weekly benefits are indexed annually on 1 January i</w:t>
            </w:r>
            <w:r w:rsidR="008B0BF1">
              <w:t>n accordance with movements in a</w:t>
            </w:r>
            <w:r w:rsidRPr="00C048C1">
              <w:t xml:space="preserve">verage weekly earnings as published by ABS for Northern </w:t>
            </w:r>
            <w:r w:rsidR="008B0BF1">
              <w:t>T</w:t>
            </w:r>
            <w:r w:rsidRPr="00C048C1">
              <w:t>erritory Full Time Adult Per</w:t>
            </w:r>
            <w:r>
              <w:t>s</w:t>
            </w:r>
            <w:r w:rsidRPr="00C048C1">
              <w:t xml:space="preserve">ons Ordinary Time Earnings. </w:t>
            </w:r>
            <w:r w:rsidR="006D2544">
              <w:t>—</w:t>
            </w:r>
            <w:r w:rsidR="006D2544" w:rsidRPr="00C048C1">
              <w:t xml:space="preserve"> </w:t>
            </w:r>
            <w:hyperlink r:id="rId1035" w:history="1">
              <w:r w:rsidRPr="00357F60">
                <w:rPr>
                  <w:rStyle w:val="Hyperlink"/>
                </w:rPr>
                <w:t>s3(1)</w:t>
              </w:r>
            </w:hyperlink>
            <w:r w:rsidRPr="00C048C1">
              <w:t xml:space="preserve"> &amp; </w:t>
            </w:r>
            <w:hyperlink r:id="rId1036" w:history="1">
              <w:r w:rsidRPr="00357F60">
                <w:rPr>
                  <w:rStyle w:val="Hyperlink"/>
                </w:rPr>
                <w:t>s65(3)</w:t>
              </w:r>
            </w:hyperlink>
            <w:r w:rsidRPr="00C048C1">
              <w:t xml:space="preserve"> &amp; </w:t>
            </w:r>
            <w:hyperlink r:id="rId1037" w:history="1">
              <w:r w:rsidR="00357F60" w:rsidRPr="00357F60">
                <w:rPr>
                  <w:rStyle w:val="Hyperlink"/>
                </w:rPr>
                <w:t>s65</w:t>
              </w:r>
              <w:r w:rsidRPr="00357F60">
                <w:rPr>
                  <w:rStyle w:val="Hyperlink"/>
                </w:rPr>
                <w:t>(3A)</w:t>
              </w:r>
            </w:hyperlink>
            <w:r w:rsidR="00E13D9F">
              <w:t>.</w:t>
            </w:r>
          </w:p>
        </w:tc>
        <w:tc>
          <w:tcPr>
            <w:tcW w:w="6898" w:type="dxa"/>
            <w:shd w:val="clear" w:color="auto" w:fill="FFC9C9"/>
            <w:tcMar>
              <w:top w:w="80" w:type="dxa"/>
              <w:left w:w="80" w:type="dxa"/>
              <w:bottom w:w="80" w:type="dxa"/>
              <w:right w:w="80" w:type="dxa"/>
            </w:tcMar>
          </w:tcPr>
          <w:p w14:paraId="194E5D98" w14:textId="56A2E48D" w:rsidR="00C1725F" w:rsidRPr="00C048C1" w:rsidRDefault="00C1725F" w:rsidP="007F0B00">
            <w:pPr>
              <w:pStyle w:val="Tabledotpointlist7pt"/>
              <w:spacing w:after="60"/>
            </w:pPr>
            <w:r w:rsidRPr="00C048C1">
              <w:t>Negotiated settlement between worker a</w:t>
            </w:r>
            <w:r w:rsidR="003D2F4A">
              <w:t xml:space="preserve">nd employer/insurer </w:t>
            </w:r>
            <w:r w:rsidR="006D2544">
              <w:t xml:space="preserve">— </w:t>
            </w:r>
            <w:r w:rsidR="003D2F4A">
              <w:t>s78A. If s</w:t>
            </w:r>
            <w:r w:rsidRPr="00C048C1">
              <w:t>ettlement is before 104 weeks, there is a 6</w:t>
            </w:r>
            <w:r>
              <w:t xml:space="preserve"> </w:t>
            </w:r>
            <w:r w:rsidRPr="00C048C1">
              <w:t xml:space="preserve">month cooling off period </w:t>
            </w:r>
            <w:r w:rsidR="006D2544">
              <w:t>—</w:t>
            </w:r>
            <w:r w:rsidR="006D2544" w:rsidRPr="00C048C1">
              <w:t xml:space="preserve"> </w:t>
            </w:r>
            <w:hyperlink r:id="rId1038" w:history="1">
              <w:r w:rsidRPr="00357F60">
                <w:rPr>
                  <w:rStyle w:val="Hyperlink"/>
                </w:rPr>
                <w:t>s78A(5)</w:t>
              </w:r>
            </w:hyperlink>
            <w:r w:rsidRPr="00C048C1">
              <w:t>.</w:t>
            </w:r>
          </w:p>
          <w:p w14:paraId="6E69438B" w14:textId="77777777" w:rsidR="00C1725F" w:rsidRPr="00C048C1" w:rsidRDefault="00C1725F" w:rsidP="007F0B00">
            <w:pPr>
              <w:pStyle w:val="Tabledotpointlist7pt"/>
              <w:spacing w:after="60"/>
            </w:pPr>
            <w:r w:rsidRPr="00C048C1">
              <w:t>Prior to a settlement the worker must receive legal advice, paid for by the employer and if requested, financial advice paid for by the employer.</w:t>
            </w:r>
          </w:p>
        </w:tc>
      </w:tr>
      <w:tr w:rsidR="00C1725F" w:rsidRPr="00C048C1" w14:paraId="77FC2EA7" w14:textId="77777777" w:rsidTr="00B2173F">
        <w:tc>
          <w:tcPr>
            <w:tcW w:w="1626" w:type="dxa"/>
            <w:tcMar>
              <w:top w:w="80" w:type="dxa"/>
              <w:left w:w="80" w:type="dxa"/>
              <w:bottom w:w="80" w:type="dxa"/>
              <w:right w:w="80" w:type="dxa"/>
            </w:tcMar>
          </w:tcPr>
          <w:p w14:paraId="5CB649D9" w14:textId="77777777" w:rsidR="00C1725F" w:rsidRPr="00C048C1" w:rsidRDefault="00C1725F" w:rsidP="007F0B00">
            <w:pPr>
              <w:pStyle w:val="TableColumn1bold"/>
              <w:spacing w:after="60"/>
            </w:pPr>
            <w:r w:rsidRPr="00C048C1">
              <w:t>Australian Capital Territory</w:t>
            </w:r>
          </w:p>
        </w:tc>
        <w:tc>
          <w:tcPr>
            <w:tcW w:w="6897" w:type="dxa"/>
            <w:tcMar>
              <w:top w:w="80" w:type="dxa"/>
              <w:left w:w="80" w:type="dxa"/>
              <w:bottom w:w="80" w:type="dxa"/>
              <w:right w:w="80" w:type="dxa"/>
            </w:tcMar>
          </w:tcPr>
          <w:p w14:paraId="583BFDAC" w14:textId="5EBF6077" w:rsidR="00C1725F" w:rsidRPr="00C048C1" w:rsidRDefault="00C1725F" w:rsidP="007F0B00">
            <w:pPr>
              <w:pStyle w:val="lgetabletxt"/>
              <w:spacing w:after="60" w:afterAutospacing="0"/>
            </w:pPr>
            <w:r w:rsidRPr="00C048C1">
              <w:t xml:space="preserve">First 26 weeks of incapacity — Where the worker is totally incapacitated, weekly compensation is payable at the worker’s average pre-incapacity earnings — </w:t>
            </w:r>
            <w:hyperlink r:id="rId1039" w:history="1">
              <w:r w:rsidRPr="00A87402">
                <w:rPr>
                  <w:rStyle w:val="Hyperlink"/>
                </w:rPr>
                <w:t>s39(4)(a)</w:t>
              </w:r>
            </w:hyperlink>
            <w:r w:rsidR="00C5207F">
              <w:t xml:space="preserve">, </w:t>
            </w:r>
            <w:r w:rsidR="00C5207F" w:rsidRPr="00016069">
              <w:rPr>
                <w:i/>
              </w:rPr>
              <w:t>Workers Compensation Act 1951</w:t>
            </w:r>
          </w:p>
          <w:p w14:paraId="107F8249" w14:textId="77777777" w:rsidR="00C1725F" w:rsidRPr="00C048C1" w:rsidRDefault="00C1725F" w:rsidP="007F0B00">
            <w:pPr>
              <w:pStyle w:val="lgetabletxt"/>
              <w:spacing w:after="60" w:afterAutospacing="0"/>
            </w:pPr>
            <w:r w:rsidRPr="00C048C1">
              <w:lastRenderedPageBreak/>
              <w:t>Where the worker is partially incapacitated during the first 26 weeks, weekly compensation is payable calculated as the difference between:</w:t>
            </w:r>
          </w:p>
          <w:p w14:paraId="06B5D2FC" w14:textId="6C17D5A7" w:rsidR="00C1725F" w:rsidRPr="00C048C1" w:rsidRDefault="00C1725F" w:rsidP="007F0B00">
            <w:pPr>
              <w:pStyle w:val="Tabledotpointlist7pt"/>
              <w:spacing w:after="60"/>
            </w:pPr>
            <w:r w:rsidRPr="00C048C1">
              <w:t>the worker’s average pre-incapacity weekly earnings, and</w:t>
            </w:r>
          </w:p>
          <w:p w14:paraId="086BC453" w14:textId="58C46E58" w:rsidR="00C1725F" w:rsidRPr="00C048C1" w:rsidRDefault="00C1725F" w:rsidP="007F0B00">
            <w:pPr>
              <w:pStyle w:val="Tabledotpointlist7pt"/>
              <w:spacing w:after="60"/>
            </w:pPr>
            <w:r w:rsidRPr="00C048C1">
              <w:t xml:space="preserve">the average weekly amount that the worker is being paid for working or could earn in reasonably suitable employment: </w:t>
            </w:r>
            <w:hyperlink r:id="rId1040" w:history="1">
              <w:r w:rsidRPr="00A87402">
                <w:rPr>
                  <w:rStyle w:val="Hyperlink"/>
                </w:rPr>
                <w:t>s39(4)(b)</w:t>
              </w:r>
            </w:hyperlink>
          </w:p>
          <w:p w14:paraId="29574F2A" w14:textId="77777777" w:rsidR="00C1725F" w:rsidRPr="00C048C1" w:rsidRDefault="00C1725F" w:rsidP="007F0B00">
            <w:pPr>
              <w:pStyle w:val="lgetabletxt"/>
              <w:spacing w:after="60" w:afterAutospacing="0"/>
            </w:pPr>
            <w:r w:rsidRPr="00C048C1">
              <w:t xml:space="preserve">After first 26 weeks of incapacity — If the worker is totally incapacitated for any period after the 26-week period, s/he is entitled to weekly compensation equal to: </w:t>
            </w:r>
          </w:p>
          <w:p w14:paraId="1584BBC7" w14:textId="696C5B05" w:rsidR="00C1725F" w:rsidRPr="00C048C1" w:rsidRDefault="00C1725F" w:rsidP="00F839DB">
            <w:pPr>
              <w:pStyle w:val="Tableabc7pt"/>
              <w:numPr>
                <w:ilvl w:val="0"/>
                <w:numId w:val="452"/>
              </w:numPr>
              <w:spacing w:before="0" w:after="60"/>
            </w:pPr>
            <w:r w:rsidRPr="00C048C1">
              <w:t xml:space="preserve">100% of the worker’s average pre-incapacity weekly earnings — if 100% of the worker’s average pre-incapacity weekly earnings is less than the pre-incapacity floor for the worker, or </w:t>
            </w:r>
          </w:p>
          <w:p w14:paraId="202479A4" w14:textId="7CECADE6" w:rsidR="00C1725F" w:rsidRPr="00C048C1" w:rsidRDefault="00C1725F" w:rsidP="00F839DB">
            <w:pPr>
              <w:pStyle w:val="Tableabc7pt"/>
              <w:numPr>
                <w:ilvl w:val="0"/>
                <w:numId w:val="452"/>
              </w:numPr>
              <w:spacing w:before="0" w:after="60"/>
            </w:pPr>
            <w:r w:rsidRPr="00C048C1">
              <w:t xml:space="preserve">the statutory floor — if 100% of the worker’s average pre-incapacity weekly earnings is more, but 65% of those earnings is less, than the pre-incapacity floor for the worker, or </w:t>
            </w:r>
          </w:p>
          <w:p w14:paraId="325B52D5" w14:textId="6FA91D1A" w:rsidR="00C1725F" w:rsidRPr="00C048C1" w:rsidRDefault="00C1725F" w:rsidP="00F839DB">
            <w:pPr>
              <w:pStyle w:val="Tableabc7pt"/>
              <w:numPr>
                <w:ilvl w:val="0"/>
                <w:numId w:val="452"/>
              </w:numPr>
              <w:spacing w:before="0" w:after="60"/>
            </w:pPr>
            <w:r w:rsidRPr="00C048C1">
              <w:t xml:space="preserve">whichever is more — if 65% of the worker’s average pre-incapacity weekly earnings is more than the pre-incapacity floor for the worker — </w:t>
            </w:r>
            <w:hyperlink r:id="rId1041" w:history="1">
              <w:r w:rsidRPr="00A87402">
                <w:rPr>
                  <w:rStyle w:val="Hyperlink"/>
                </w:rPr>
                <w:t>s41(1)</w:t>
              </w:r>
            </w:hyperlink>
          </w:p>
          <w:p w14:paraId="74858F71" w14:textId="77777777" w:rsidR="00C1725F" w:rsidRPr="00C048C1" w:rsidRDefault="00C1725F" w:rsidP="007F0B00">
            <w:pPr>
              <w:pStyle w:val="lgetabletxt"/>
              <w:spacing w:after="60" w:afterAutospacing="0"/>
            </w:pPr>
            <w:r w:rsidRPr="00C048C1">
              <w:t>If the worker is partially incapacitated for period after the 26-week period, s/he is entitled to weekly compensation equal to:</w:t>
            </w:r>
          </w:p>
          <w:p w14:paraId="42DCC8A1" w14:textId="4E607BAF" w:rsidR="00C1725F" w:rsidRPr="00C048C1" w:rsidRDefault="00C1725F" w:rsidP="00F839DB">
            <w:pPr>
              <w:pStyle w:val="Tableabc7pt"/>
              <w:numPr>
                <w:ilvl w:val="0"/>
                <w:numId w:val="452"/>
              </w:numPr>
              <w:spacing w:before="0" w:after="60"/>
            </w:pPr>
            <w:r w:rsidRPr="00C048C1">
              <w:t xml:space="preserve">100% of the worker’s average pre-incapacity weekly earningsif that amount is less than the statutory floor, or </w:t>
            </w:r>
          </w:p>
          <w:p w14:paraId="2B099597" w14:textId="6675C40F" w:rsidR="00C1725F" w:rsidRPr="00C048C1" w:rsidRDefault="00C1725F" w:rsidP="00F839DB">
            <w:pPr>
              <w:pStyle w:val="Tableabc7pt"/>
              <w:numPr>
                <w:ilvl w:val="0"/>
                <w:numId w:val="452"/>
              </w:numPr>
              <w:spacing w:before="0" w:after="60"/>
            </w:pPr>
            <w:r w:rsidRPr="00C048C1">
              <w:t>the statutory floor if the relevant percentage of the worker’s average pre-incapacity weekly earnings is less than the statutory floor, or</w:t>
            </w:r>
          </w:p>
          <w:p w14:paraId="29BC982D" w14:textId="4EEF6B55" w:rsidR="00C1725F" w:rsidRPr="00C048C1" w:rsidRDefault="00C1725F" w:rsidP="00F839DB">
            <w:pPr>
              <w:pStyle w:val="Tableabc7pt"/>
              <w:numPr>
                <w:ilvl w:val="0"/>
                <w:numId w:val="452"/>
              </w:numPr>
              <w:spacing w:before="0" w:after="60"/>
            </w:pPr>
            <w:r w:rsidRPr="00C048C1">
              <w:t>the statutory ceiling if the relevant percentage of the worker’s average pre-incapacity weekly earnings is more than the statutory ceiling</w:t>
            </w:r>
            <w:r>
              <w:t xml:space="preserve"> </w:t>
            </w:r>
            <w:r w:rsidRPr="00C048C1">
              <w:t xml:space="preserve">3, or </w:t>
            </w:r>
          </w:p>
          <w:p w14:paraId="4326B36A" w14:textId="15F7D85D" w:rsidR="00C1725F" w:rsidRPr="00C048C1" w:rsidRDefault="00C1725F" w:rsidP="00F839DB">
            <w:pPr>
              <w:pStyle w:val="Tableabc7pt"/>
              <w:numPr>
                <w:ilvl w:val="0"/>
                <w:numId w:val="452"/>
              </w:numPr>
              <w:spacing w:before="0" w:after="60"/>
            </w:pPr>
            <w:r w:rsidRPr="00C048C1">
              <w:t xml:space="preserve">in any other case — the relevant percentage of the worker’s average pre-incapacity weekly earnings — </w:t>
            </w:r>
            <w:hyperlink r:id="rId1042" w:history="1">
              <w:r w:rsidRPr="00A87402">
                <w:rPr>
                  <w:rStyle w:val="Hyperlink"/>
                </w:rPr>
                <w:t>s42(1)</w:t>
              </w:r>
            </w:hyperlink>
          </w:p>
          <w:p w14:paraId="3EBDC4C5" w14:textId="77777777" w:rsidR="00C1725F" w:rsidRPr="00C048C1" w:rsidRDefault="00C1725F" w:rsidP="007F0B00">
            <w:pPr>
              <w:pStyle w:val="lgetabletxt"/>
              <w:spacing w:after="60" w:afterAutospacing="0"/>
            </w:pPr>
            <w:r w:rsidRPr="00C048C1">
              <w:t xml:space="preserve">For these purposes the ‘relevant percentage’ is: </w:t>
            </w:r>
          </w:p>
          <w:p w14:paraId="11329C8D" w14:textId="77777777" w:rsidR="00C1725F" w:rsidRPr="00C048C1" w:rsidRDefault="00C1725F" w:rsidP="00F839DB">
            <w:pPr>
              <w:pStyle w:val="Tableabc7pt"/>
              <w:numPr>
                <w:ilvl w:val="0"/>
                <w:numId w:val="453"/>
              </w:numPr>
              <w:spacing w:before="0" w:after="60"/>
            </w:pPr>
            <w:r w:rsidRPr="00C048C1">
              <w:t xml:space="preserve">65% if the worker is not working or works 25% of the worker’s average pre-incapacity weekly hours or less, or </w:t>
            </w:r>
          </w:p>
          <w:p w14:paraId="5DAC7EAD" w14:textId="77777777" w:rsidR="00C1725F" w:rsidRPr="00C048C1" w:rsidRDefault="00C1725F" w:rsidP="00F839DB">
            <w:pPr>
              <w:pStyle w:val="Tableabc7pt"/>
              <w:numPr>
                <w:ilvl w:val="0"/>
                <w:numId w:val="453"/>
              </w:numPr>
              <w:spacing w:before="0" w:after="60"/>
            </w:pPr>
            <w:r w:rsidRPr="00C048C1">
              <w:t xml:space="preserve">75% if the worker is working more than 25% of the worker’s average pre-incapacity weekly hours but not more than 50%, or </w:t>
            </w:r>
          </w:p>
          <w:p w14:paraId="3D848831" w14:textId="77777777" w:rsidR="00C1725F" w:rsidRPr="00C048C1" w:rsidRDefault="00C1725F" w:rsidP="00F839DB">
            <w:pPr>
              <w:pStyle w:val="Tableabc7pt"/>
              <w:numPr>
                <w:ilvl w:val="0"/>
                <w:numId w:val="453"/>
              </w:numPr>
              <w:spacing w:before="0" w:after="60"/>
            </w:pPr>
            <w:r w:rsidRPr="00C048C1">
              <w:t xml:space="preserve">85% if the worker is working more than 50% of the worker’s average pre-incapacity weekly hours but not more than 75%, or </w:t>
            </w:r>
          </w:p>
          <w:p w14:paraId="2069955F" w14:textId="77777777" w:rsidR="00C1725F" w:rsidRPr="00C048C1" w:rsidRDefault="00C1725F" w:rsidP="00F839DB">
            <w:pPr>
              <w:pStyle w:val="Tableabc7pt"/>
              <w:numPr>
                <w:ilvl w:val="0"/>
                <w:numId w:val="453"/>
              </w:numPr>
              <w:spacing w:before="0" w:after="60"/>
            </w:pPr>
            <w:r w:rsidRPr="00C048C1">
              <w:t xml:space="preserve">95% if the worker is working more than 75% of the worker’s average pre-incapacity weekly hours but not more than 85%, or </w:t>
            </w:r>
          </w:p>
          <w:p w14:paraId="0D9421A0" w14:textId="1D9751A8" w:rsidR="00C1725F" w:rsidRPr="00C048C1" w:rsidRDefault="00C1725F" w:rsidP="00F839DB">
            <w:pPr>
              <w:pStyle w:val="Tableabc7pt"/>
              <w:numPr>
                <w:ilvl w:val="0"/>
                <w:numId w:val="453"/>
              </w:numPr>
              <w:spacing w:before="0" w:after="60"/>
            </w:pPr>
            <w:r w:rsidRPr="00C048C1">
              <w:t xml:space="preserve">100% if the worker is working more than 85% of the worker’s average pre-incapacity weekly hours — </w:t>
            </w:r>
            <w:hyperlink r:id="rId1043" w:history="1">
              <w:r w:rsidRPr="00A87402">
                <w:rPr>
                  <w:rStyle w:val="Hyperlink"/>
                </w:rPr>
                <w:t>s42(2)</w:t>
              </w:r>
            </w:hyperlink>
          </w:p>
          <w:p w14:paraId="06DAAEE0" w14:textId="77777777" w:rsidR="00C1725F" w:rsidRPr="00C048C1" w:rsidRDefault="00C1725F" w:rsidP="007F0B00">
            <w:pPr>
              <w:pStyle w:val="lgetabletxt"/>
              <w:spacing w:after="60" w:afterAutospacing="0"/>
            </w:pPr>
            <w:r w:rsidRPr="00C048C1">
              <w:t>Definitions:</w:t>
            </w:r>
          </w:p>
          <w:p w14:paraId="0E738040" w14:textId="0ABD49A9" w:rsidR="00C1725F" w:rsidRPr="00C048C1" w:rsidRDefault="00C1725F" w:rsidP="007F0B00">
            <w:pPr>
              <w:pStyle w:val="Tabledotpointlist7pt"/>
              <w:spacing w:after="60"/>
            </w:pPr>
            <w:r w:rsidRPr="00C048C1">
              <w:t xml:space="preserve">Pre-incapacity floor, for a worker, means the statutory floor that applied immediately before the initial incapacity date for the worker in relation to the injury — </w:t>
            </w:r>
            <w:hyperlink r:id="rId1044" w:history="1">
              <w:r w:rsidRPr="00A87402">
                <w:rPr>
                  <w:rStyle w:val="Hyperlink"/>
                </w:rPr>
                <w:t>s41(2)</w:t>
              </w:r>
            </w:hyperlink>
          </w:p>
          <w:p w14:paraId="000BC58F" w14:textId="617A1CF9" w:rsidR="00C1725F" w:rsidRPr="00C048C1" w:rsidRDefault="00C1725F" w:rsidP="007F0B00">
            <w:pPr>
              <w:pStyle w:val="Tabledotpointlist7pt"/>
              <w:spacing w:after="60"/>
            </w:pPr>
            <w:r w:rsidRPr="00C048C1">
              <w:t>Statutory floor, means the national minimum wage set by a national minimum wage order in an annual wage revi</w:t>
            </w:r>
            <w:r w:rsidR="00A87402">
              <w:t xml:space="preserve">ew by Fair Work Australia — </w:t>
            </w:r>
            <w:hyperlink r:id="rId1045" w:history="1">
              <w:r w:rsidR="00A87402" w:rsidRPr="00A87402">
                <w:rPr>
                  <w:rStyle w:val="Hyperlink"/>
                </w:rPr>
                <w:t>s36G</w:t>
              </w:r>
              <w:r w:rsidRPr="00A87402">
                <w:rPr>
                  <w:rStyle w:val="Hyperlink"/>
                </w:rPr>
                <w:t>(1)</w:t>
              </w:r>
            </w:hyperlink>
          </w:p>
          <w:p w14:paraId="5EA6BC2A" w14:textId="31C8292B" w:rsidR="00C1725F" w:rsidRPr="00C048C1" w:rsidRDefault="00C1725F" w:rsidP="007F0B00">
            <w:pPr>
              <w:pStyle w:val="Tabledotpointlist7pt"/>
              <w:spacing w:after="60"/>
            </w:pPr>
            <w:r w:rsidRPr="00C048C1">
              <w:t xml:space="preserve">Statutory ceiling, in relation to an amount, means 150% of AWE at the time the amount is to be paid — </w:t>
            </w:r>
            <w:hyperlink r:id="rId1046" w:history="1">
              <w:r w:rsidRPr="00A87402">
                <w:rPr>
                  <w:rStyle w:val="Hyperlink"/>
                </w:rPr>
                <w:t>s42(4)</w:t>
              </w:r>
            </w:hyperlink>
            <w:r w:rsidR="00E13D9F">
              <w:t>.</w:t>
            </w:r>
          </w:p>
        </w:tc>
        <w:tc>
          <w:tcPr>
            <w:tcW w:w="6898" w:type="dxa"/>
            <w:tcMar>
              <w:top w:w="80" w:type="dxa"/>
              <w:left w:w="80" w:type="dxa"/>
              <w:bottom w:w="80" w:type="dxa"/>
              <w:right w:w="80" w:type="dxa"/>
            </w:tcMar>
          </w:tcPr>
          <w:p w14:paraId="3D8D8076" w14:textId="77777777" w:rsidR="00C1725F" w:rsidRPr="00C048C1" w:rsidRDefault="00C1725F" w:rsidP="007F0B00">
            <w:pPr>
              <w:pStyle w:val="Tabledotpointlist7pt"/>
              <w:spacing w:after="60"/>
            </w:pPr>
            <w:r w:rsidRPr="00C048C1">
              <w:lastRenderedPageBreak/>
              <w:t>Negotiated between injured worker and employer/insurer. Schedule 1 of the Act provides a list of injuries, including for the loss of toes, taste and smell, and sets out a</w:t>
            </w:r>
            <w:r w:rsidR="00024DD7">
              <w:t xml:space="preserve"> </w:t>
            </w:r>
            <w:r w:rsidRPr="00C048C1">
              <w:t xml:space="preserve">% rate (from 2% to 100%) of the </w:t>
            </w:r>
            <w:r w:rsidRPr="00C048C1">
              <w:lastRenderedPageBreak/>
              <w:t xml:space="preserve">single loss amount payable. </w:t>
            </w:r>
          </w:p>
          <w:p w14:paraId="7885F0E0" w14:textId="77777777" w:rsidR="00C1725F" w:rsidRPr="00C048C1" w:rsidRDefault="00C1725F" w:rsidP="007F0B00">
            <w:pPr>
              <w:pStyle w:val="Tabledotpointlist7pt"/>
              <w:spacing w:after="60"/>
            </w:pPr>
            <w:r w:rsidRPr="00C048C1">
              <w:t>Unlimited Common Law.</w:t>
            </w:r>
          </w:p>
          <w:p w14:paraId="78127AC1" w14:textId="006B7FEB" w:rsidR="00C1725F" w:rsidRPr="00C048C1" w:rsidRDefault="00C1725F" w:rsidP="007F0B00">
            <w:pPr>
              <w:pStyle w:val="Tabledotpointlist7pt"/>
              <w:spacing w:after="60"/>
            </w:pPr>
            <w:r w:rsidRPr="00C048C1">
              <w:t>Benefits may be commuted.</w:t>
            </w:r>
          </w:p>
        </w:tc>
      </w:tr>
      <w:tr w:rsidR="00C1725F" w:rsidRPr="00C048C1" w14:paraId="04677246" w14:textId="77777777" w:rsidTr="00B2173F">
        <w:tc>
          <w:tcPr>
            <w:tcW w:w="1626" w:type="dxa"/>
            <w:shd w:val="clear" w:color="auto" w:fill="FFC9C9"/>
            <w:tcMar>
              <w:top w:w="80" w:type="dxa"/>
              <w:left w:w="80" w:type="dxa"/>
              <w:bottom w:w="80" w:type="dxa"/>
              <w:right w:w="80" w:type="dxa"/>
            </w:tcMar>
          </w:tcPr>
          <w:p w14:paraId="2096B647" w14:textId="77777777" w:rsidR="00C1725F" w:rsidRPr="00C048C1" w:rsidRDefault="00C1725F" w:rsidP="007F0B00">
            <w:pPr>
              <w:pStyle w:val="TableColumn1bold"/>
              <w:spacing w:after="60"/>
            </w:pPr>
            <w:r w:rsidRPr="00C048C1">
              <w:lastRenderedPageBreak/>
              <w:t>C’wealth Comcare</w:t>
            </w:r>
          </w:p>
        </w:tc>
        <w:tc>
          <w:tcPr>
            <w:tcW w:w="6897" w:type="dxa"/>
            <w:shd w:val="clear" w:color="auto" w:fill="FFC9C9"/>
            <w:tcMar>
              <w:top w:w="80" w:type="dxa"/>
              <w:left w:w="80" w:type="dxa"/>
              <w:bottom w:w="80" w:type="dxa"/>
              <w:right w:w="80" w:type="dxa"/>
            </w:tcMar>
          </w:tcPr>
          <w:p w14:paraId="50DB9423" w14:textId="77777777" w:rsidR="00C1725F" w:rsidRDefault="00C1725F" w:rsidP="007F0B00">
            <w:pPr>
              <w:pStyle w:val="lgetabletxt"/>
              <w:spacing w:after="60" w:afterAutospacing="0"/>
            </w:pPr>
            <w:r>
              <w:t>Current Employees</w:t>
            </w:r>
          </w:p>
          <w:p w14:paraId="12CEF476" w14:textId="7D1E032B" w:rsidR="00C1725F" w:rsidRDefault="00C1725F" w:rsidP="00F839DB">
            <w:pPr>
              <w:pStyle w:val="lgetabletxt"/>
              <w:numPr>
                <w:ilvl w:val="0"/>
                <w:numId w:val="454"/>
              </w:numPr>
              <w:spacing w:after="60" w:afterAutospacing="0"/>
            </w:pPr>
            <w:r>
              <w:t xml:space="preserve">&lt; 45 weeks — see </w:t>
            </w:r>
            <w:hyperlink r:id="rId1047" w:history="1">
              <w:r w:rsidRPr="001A5C81">
                <w:rPr>
                  <w:rStyle w:val="Hyperlink"/>
                </w:rPr>
                <w:t>s19(2)</w:t>
              </w:r>
            </w:hyperlink>
            <w:r w:rsidR="00C5207F">
              <w:t xml:space="preserve">, </w:t>
            </w:r>
            <w:r w:rsidR="00C5207F" w:rsidRPr="00016069">
              <w:rPr>
                <w:i/>
              </w:rPr>
              <w:t>Safety, Rehabilitation and Compensation Act 1988</w:t>
            </w:r>
            <w:r>
              <w:t>:</w:t>
            </w:r>
          </w:p>
          <w:p w14:paraId="2884FC01" w14:textId="77777777" w:rsidR="00C1725F" w:rsidRDefault="00C1725F" w:rsidP="00DF35F2">
            <w:pPr>
              <w:pStyle w:val="lgetabletxt"/>
              <w:numPr>
                <w:ilvl w:val="0"/>
                <w:numId w:val="54"/>
              </w:numPr>
              <w:spacing w:after="60" w:afterAutospacing="0"/>
              <w:ind w:left="357" w:hanging="357"/>
            </w:pPr>
            <w:r>
              <w:t xml:space="preserve">100% NWE which includes overtime if regular and required and penalties, with no maximum cap applied </w:t>
            </w:r>
          </w:p>
          <w:p w14:paraId="10C4817E" w14:textId="49F338BB" w:rsidR="00C1725F" w:rsidRDefault="00C1725F" w:rsidP="00DF35F2">
            <w:pPr>
              <w:pStyle w:val="lgetabletxt"/>
              <w:numPr>
                <w:ilvl w:val="0"/>
                <w:numId w:val="63"/>
              </w:numPr>
              <w:spacing w:after="60" w:afterAutospacing="0"/>
              <w:ind w:left="357" w:hanging="357"/>
            </w:pPr>
            <w:r>
              <w:t xml:space="preserve">45 weeks — see </w:t>
            </w:r>
            <w:hyperlink r:id="rId1048" w:history="1">
              <w:r w:rsidRPr="001A5C81">
                <w:rPr>
                  <w:rStyle w:val="Hyperlink"/>
                </w:rPr>
                <w:t>s19(3)</w:t>
              </w:r>
            </w:hyperlink>
            <w:r>
              <w:t>:</w:t>
            </w:r>
          </w:p>
          <w:p w14:paraId="5DA86B0E" w14:textId="77777777" w:rsidR="00C1725F" w:rsidRDefault="00C1725F" w:rsidP="00DF35F2">
            <w:pPr>
              <w:pStyle w:val="lgetabletxt"/>
              <w:numPr>
                <w:ilvl w:val="0"/>
                <w:numId w:val="64"/>
              </w:numPr>
              <w:spacing w:after="60" w:afterAutospacing="0"/>
            </w:pPr>
            <w:r>
              <w:t>If not working — 75% of NWE.</w:t>
            </w:r>
          </w:p>
          <w:p w14:paraId="211FDF57" w14:textId="77777777" w:rsidR="00C1725F" w:rsidRDefault="00C1725F" w:rsidP="00DF35F2">
            <w:pPr>
              <w:pStyle w:val="lgetabletxt"/>
              <w:numPr>
                <w:ilvl w:val="0"/>
                <w:numId w:val="64"/>
              </w:numPr>
              <w:spacing w:after="60" w:afterAutospacing="0"/>
            </w:pPr>
            <w:r>
              <w:t>If working &gt;0% to &lt;=25% of pre injury hours — 80% of NWE less Able to Earn</w:t>
            </w:r>
          </w:p>
          <w:p w14:paraId="5EC7CB9E" w14:textId="77777777" w:rsidR="00C1725F" w:rsidRDefault="00C1725F" w:rsidP="00DF35F2">
            <w:pPr>
              <w:pStyle w:val="lgetabletxt"/>
              <w:numPr>
                <w:ilvl w:val="0"/>
                <w:numId w:val="64"/>
              </w:numPr>
              <w:spacing w:after="60" w:afterAutospacing="0"/>
            </w:pPr>
            <w:r>
              <w:t>If working &gt;25% to &lt;=50% of pre injury hours — 85% of NWE less Able to Earn</w:t>
            </w:r>
          </w:p>
          <w:p w14:paraId="31DB6363" w14:textId="77777777" w:rsidR="00C1725F" w:rsidRDefault="00C1725F" w:rsidP="00DF35F2">
            <w:pPr>
              <w:pStyle w:val="lgetabletxt"/>
              <w:numPr>
                <w:ilvl w:val="0"/>
                <w:numId w:val="64"/>
              </w:numPr>
              <w:spacing w:after="60" w:afterAutospacing="0"/>
            </w:pPr>
            <w:r>
              <w:t>If working &gt;50% to &lt;=75% of pre injury hours — 90% of NWE less Able to Earn</w:t>
            </w:r>
          </w:p>
          <w:p w14:paraId="48809186" w14:textId="77777777" w:rsidR="00C1725F" w:rsidRDefault="00C1725F" w:rsidP="00DF35F2">
            <w:pPr>
              <w:pStyle w:val="lgetabletxt"/>
              <w:numPr>
                <w:ilvl w:val="0"/>
                <w:numId w:val="64"/>
              </w:numPr>
              <w:spacing w:after="60" w:afterAutospacing="0"/>
            </w:pPr>
            <w:r>
              <w:lastRenderedPageBreak/>
              <w:t>If working &gt;75% to &lt;100% of pre injury hours — 95% of NWE less Able to Earn</w:t>
            </w:r>
          </w:p>
          <w:p w14:paraId="075BA33D" w14:textId="77777777" w:rsidR="00C1725F" w:rsidRDefault="00C1725F" w:rsidP="00DF35F2">
            <w:pPr>
              <w:pStyle w:val="lgetabletxt"/>
              <w:numPr>
                <w:ilvl w:val="0"/>
                <w:numId w:val="64"/>
              </w:numPr>
              <w:spacing w:after="60" w:afterAutospacing="0"/>
            </w:pPr>
            <w:r>
              <w:t>If working 100% of pre injury hours — 100% of NWE less Able to Earn.</w:t>
            </w:r>
          </w:p>
          <w:p w14:paraId="619221AA" w14:textId="053DAB5E" w:rsidR="00A475FF" w:rsidRDefault="00A475FF" w:rsidP="00DF35F2">
            <w:pPr>
              <w:pStyle w:val="lgetabletxt"/>
              <w:numPr>
                <w:ilvl w:val="0"/>
                <w:numId w:val="65"/>
              </w:numPr>
              <w:spacing w:after="60" w:afterAutospacing="0"/>
            </w:pPr>
            <w:r>
              <w:t xml:space="preserve">Minimum earnings — see </w:t>
            </w:r>
            <w:hyperlink r:id="rId1049" w:history="1">
              <w:r w:rsidRPr="001A5C81">
                <w:rPr>
                  <w:rStyle w:val="Hyperlink"/>
                </w:rPr>
                <w:t>s19(7)</w:t>
              </w:r>
            </w:hyperlink>
            <w:r>
              <w:t>: $</w:t>
            </w:r>
            <w:r w:rsidR="005E1DF3">
              <w:t>469.10</w:t>
            </w:r>
            <w:r>
              <w:t xml:space="preserve"> p/w</w:t>
            </w:r>
          </w:p>
          <w:p w14:paraId="3E22740A" w14:textId="31A0E180" w:rsidR="00A475FF" w:rsidRDefault="00A475FF" w:rsidP="00DF35F2">
            <w:pPr>
              <w:pStyle w:val="lgetabletxt"/>
              <w:numPr>
                <w:ilvl w:val="0"/>
                <w:numId w:val="65"/>
              </w:numPr>
              <w:spacing w:after="60" w:afterAutospacing="0"/>
            </w:pPr>
            <w:r>
              <w:t xml:space="preserve">Additional for prescribed person — see </w:t>
            </w:r>
            <w:hyperlink r:id="rId1050" w:history="1">
              <w:r w:rsidRPr="001A5C81">
                <w:rPr>
                  <w:rStyle w:val="Hyperlink"/>
                </w:rPr>
                <w:t>s19(8)</w:t>
              </w:r>
            </w:hyperlink>
            <w:r>
              <w:t>: $</w:t>
            </w:r>
            <w:r w:rsidR="005E1DF3">
              <w:t>116.16</w:t>
            </w:r>
            <w:r>
              <w:t xml:space="preserve"> p/w,</w:t>
            </w:r>
          </w:p>
          <w:p w14:paraId="4ACA7215" w14:textId="3E2ECD89" w:rsidR="00A475FF" w:rsidRDefault="00A475FF" w:rsidP="00DF35F2">
            <w:pPr>
              <w:pStyle w:val="lgetabletxt"/>
              <w:numPr>
                <w:ilvl w:val="0"/>
                <w:numId w:val="65"/>
              </w:numPr>
              <w:spacing w:after="60" w:afterAutospacing="0"/>
            </w:pPr>
            <w:r>
              <w:t xml:space="preserve">Additional for each dependent child — see </w:t>
            </w:r>
            <w:hyperlink r:id="rId1051" w:history="1">
              <w:r w:rsidRPr="001A5C81">
                <w:rPr>
                  <w:rStyle w:val="Hyperlink"/>
                </w:rPr>
                <w:t>s19(9)</w:t>
              </w:r>
            </w:hyperlink>
            <w:r>
              <w:t>: $</w:t>
            </w:r>
            <w:r w:rsidR="005E1DF3">
              <w:t>58.04</w:t>
            </w:r>
            <w:r>
              <w:t xml:space="preserve"> p/w</w:t>
            </w:r>
          </w:p>
          <w:p w14:paraId="53877049" w14:textId="10D18E82" w:rsidR="00A475FF" w:rsidRDefault="00A475FF" w:rsidP="00DF35F2">
            <w:pPr>
              <w:pStyle w:val="lgetabletxt"/>
              <w:numPr>
                <w:ilvl w:val="0"/>
                <w:numId w:val="65"/>
              </w:numPr>
              <w:spacing w:after="60" w:afterAutospacing="0"/>
            </w:pPr>
            <w:r>
              <w:t xml:space="preserve">Maximum amount of compensation after 45 weeks' incapacity </w:t>
            </w:r>
            <w:r w:rsidR="00E27C40">
              <w:t xml:space="preserve">— </w:t>
            </w:r>
            <w:r>
              <w:t xml:space="preserve">see </w:t>
            </w:r>
            <w:hyperlink r:id="rId1052" w:history="1">
              <w:r w:rsidRPr="001A5C81">
                <w:rPr>
                  <w:rStyle w:val="Hyperlink"/>
                </w:rPr>
                <w:t>s19(5)</w:t>
              </w:r>
            </w:hyperlink>
            <w:r>
              <w:t>:</w:t>
            </w:r>
          </w:p>
          <w:p w14:paraId="0DEB8680" w14:textId="3C4F72D8" w:rsidR="00A475FF" w:rsidRDefault="00A475FF" w:rsidP="00DF35F2">
            <w:pPr>
              <w:pStyle w:val="lgetabletxt"/>
              <w:numPr>
                <w:ilvl w:val="0"/>
                <w:numId w:val="56"/>
              </w:numPr>
              <w:spacing w:after="60" w:afterAutospacing="0"/>
            </w:pPr>
            <w:r>
              <w:t>$</w:t>
            </w:r>
            <w:r w:rsidR="005E1DF3">
              <w:t>2,315.70</w:t>
            </w:r>
            <w:r>
              <w:t xml:space="preserve"> p/w from </w:t>
            </w:r>
            <w:r w:rsidR="005E1DF3">
              <w:t xml:space="preserve">17 </w:t>
            </w:r>
            <w:r>
              <w:t xml:space="preserve">August </w:t>
            </w:r>
            <w:r w:rsidR="005E1DF3">
              <w:t xml:space="preserve">2017 </w:t>
            </w:r>
            <w:r>
              <w:t>(150% of Average Week Ordinary Time Earnings for Full-time Adults as published by Australian Bureau of Statistics).</w:t>
            </w:r>
          </w:p>
          <w:p w14:paraId="1F939825" w14:textId="77777777" w:rsidR="00A475FF" w:rsidRDefault="00A475FF" w:rsidP="00F839DB">
            <w:pPr>
              <w:pStyle w:val="lgetabletxt"/>
              <w:numPr>
                <w:ilvl w:val="0"/>
                <w:numId w:val="455"/>
              </w:numPr>
              <w:spacing w:after="60" w:afterAutospacing="0"/>
            </w:pPr>
            <w:r>
              <w:t>Compensation payments for ex-employees are increased by reference to the ABS Wage Cost Index for year ending 31 December applicable from 1 July each year.</w:t>
            </w:r>
          </w:p>
          <w:p w14:paraId="7C408D64" w14:textId="77777777" w:rsidR="00A475FF" w:rsidRPr="003E1A23" w:rsidRDefault="00A475FF" w:rsidP="007F0B00">
            <w:pPr>
              <w:pStyle w:val="lgetabletxt"/>
              <w:spacing w:after="60" w:afterAutospacing="0"/>
              <w:rPr>
                <w:b/>
              </w:rPr>
            </w:pPr>
            <w:r w:rsidRPr="003E1A23">
              <w:rPr>
                <w:b/>
              </w:rPr>
              <w:t>Retired Employees (those not currently working and earning any income)</w:t>
            </w:r>
          </w:p>
          <w:p w14:paraId="537D403F" w14:textId="2BC32F5B" w:rsidR="00A475FF" w:rsidRDefault="00A475FF" w:rsidP="007F0B00">
            <w:pPr>
              <w:pStyle w:val="lgetabletxt"/>
              <w:spacing w:after="60" w:afterAutospacing="0"/>
            </w:pPr>
            <w:r>
              <w:t>The combined workers’ compensation and employer funded superannuation benefit payable to retired employees is the equivalent of 70% of their former normal weekly earnings. This is calculated by subtracting from the amount of compensation otherwise payable</w:t>
            </w:r>
          </w:p>
          <w:p w14:paraId="071681BD" w14:textId="77777777" w:rsidR="00A475FF" w:rsidRDefault="00A475FF" w:rsidP="00F839DB">
            <w:pPr>
              <w:pStyle w:val="lgetabletxt"/>
              <w:numPr>
                <w:ilvl w:val="0"/>
                <w:numId w:val="456"/>
              </w:numPr>
              <w:spacing w:after="60" w:afterAutospacing="0"/>
            </w:pPr>
            <w:r>
              <w:t>the employer-funded part of their weekly superannuation pension (or its deemed weekly interest from the employer funded lump sum), and</w:t>
            </w:r>
          </w:p>
          <w:p w14:paraId="057BE2C4" w14:textId="79FC8913" w:rsidR="00A475FF" w:rsidRDefault="00A475FF" w:rsidP="00F839DB">
            <w:pPr>
              <w:pStyle w:val="lgetabletxt"/>
              <w:numPr>
                <w:ilvl w:val="0"/>
                <w:numId w:val="456"/>
              </w:numPr>
              <w:spacing w:after="60" w:afterAutospacing="0"/>
            </w:pPr>
            <w:r>
              <w:t>5% of the employee’s former normal weekly earnings to equate with the typical superannuation contribution most employees would have been paying had the employee not retired.</w:t>
            </w:r>
          </w:p>
          <w:p w14:paraId="539AAA7A" w14:textId="77777777" w:rsidR="00C1725F" w:rsidRDefault="00A475FF" w:rsidP="00E27C40">
            <w:pPr>
              <w:pStyle w:val="lgetabletxt"/>
              <w:spacing w:after="60" w:afterAutospacing="0"/>
            </w:pPr>
            <w:r>
              <w:t xml:space="preserve">The above mentioned ‘amount of compensation otherwise payable’ takes into account any actual or able to earn amount </w:t>
            </w:r>
            <w:r w:rsidR="00E27C40">
              <w:t xml:space="preserve">— </w:t>
            </w:r>
            <w:r>
              <w:t xml:space="preserve">see </w:t>
            </w:r>
            <w:hyperlink r:id="rId1053" w:history="1">
              <w:r w:rsidRPr="001A5C81">
                <w:rPr>
                  <w:rStyle w:val="Hyperlink"/>
                </w:rPr>
                <w:t>ss20(3)</w:t>
              </w:r>
            </w:hyperlink>
            <w:r>
              <w:t xml:space="preserve">, </w:t>
            </w:r>
            <w:hyperlink r:id="rId1054" w:history="1">
              <w:r w:rsidRPr="001A5C81">
                <w:rPr>
                  <w:rStyle w:val="Hyperlink"/>
                </w:rPr>
                <w:t>21(3)</w:t>
              </w:r>
            </w:hyperlink>
            <w:r>
              <w:t xml:space="preserve"> and </w:t>
            </w:r>
            <w:hyperlink r:id="rId1055" w:history="1">
              <w:r w:rsidRPr="001A5C81">
                <w:rPr>
                  <w:rStyle w:val="Hyperlink"/>
                </w:rPr>
                <w:t>21A(3)</w:t>
              </w:r>
            </w:hyperlink>
            <w:r>
              <w:t>.</w:t>
            </w:r>
          </w:p>
          <w:p w14:paraId="7CB72808" w14:textId="739FEA93" w:rsidR="00C16C5D" w:rsidRPr="00C048C1" w:rsidRDefault="00C16C5D" w:rsidP="00C16C5D">
            <w:pPr>
              <w:pStyle w:val="lgetabletxt"/>
              <w:spacing w:after="60" w:afterAutospacing="0"/>
            </w:pPr>
            <w:r>
              <w:t xml:space="preserve">As per </w:t>
            </w:r>
            <w:hyperlink r:id="rId1056" w:history="1">
              <w:r w:rsidRPr="00C16C5D">
                <w:rPr>
                  <w:rStyle w:val="Hyperlink"/>
                </w:rPr>
                <w:t>s23(1)</w:t>
              </w:r>
            </w:hyperlink>
            <w:r>
              <w:t xml:space="preserve"> </w:t>
            </w:r>
            <w:r w:rsidRPr="00C16C5D">
              <w:t>compensation ceases to be payable to an employee who has reached pension age, unless their date of injury has reached the age that is 2 years before pension age in which case they will receive a maximum of 104 weeks of compensation as</w:t>
            </w:r>
            <w:r>
              <w:t xml:space="preserve"> </w:t>
            </w:r>
            <w:r w:rsidRPr="00C16C5D">
              <w:t xml:space="preserve">per </w:t>
            </w:r>
            <w:hyperlink r:id="rId1057" w:history="1">
              <w:r w:rsidRPr="00C16C5D">
                <w:rPr>
                  <w:rStyle w:val="Hyperlink"/>
                </w:rPr>
                <w:t>s23(1A)</w:t>
              </w:r>
            </w:hyperlink>
            <w:r w:rsidRPr="00C16C5D">
              <w:t>.</w:t>
            </w:r>
          </w:p>
        </w:tc>
        <w:tc>
          <w:tcPr>
            <w:tcW w:w="6898" w:type="dxa"/>
            <w:shd w:val="clear" w:color="auto" w:fill="FFC9C9"/>
            <w:tcMar>
              <w:top w:w="80" w:type="dxa"/>
              <w:left w:w="80" w:type="dxa"/>
              <w:bottom w:w="80" w:type="dxa"/>
              <w:right w:w="80" w:type="dxa"/>
            </w:tcMar>
          </w:tcPr>
          <w:p w14:paraId="1987A8E7" w14:textId="01345110" w:rsidR="00C1725F" w:rsidRPr="00C048C1" w:rsidRDefault="00C1725F" w:rsidP="003463FF">
            <w:pPr>
              <w:pStyle w:val="lgetabletxt"/>
              <w:spacing w:after="60" w:afterAutospacing="0"/>
            </w:pPr>
            <w:r w:rsidRPr="003E1A23">
              <w:lastRenderedPageBreak/>
              <w:t xml:space="preserve">Redemptions of weekly benefits are only available in some circumstances and are calculated per </w:t>
            </w:r>
            <w:hyperlink r:id="rId1058" w:history="1">
              <w:r w:rsidRPr="001A5C81">
                <w:rPr>
                  <w:rStyle w:val="Hyperlink"/>
                </w:rPr>
                <w:t>s30(1)</w:t>
              </w:r>
            </w:hyperlink>
            <w:r w:rsidRPr="003E1A23">
              <w:t xml:space="preserve"> (or </w:t>
            </w:r>
            <w:hyperlink r:id="rId1059" w:history="1">
              <w:r w:rsidRPr="001A5C81">
                <w:rPr>
                  <w:rStyle w:val="Hyperlink"/>
                </w:rPr>
                <w:t>s137(1)</w:t>
              </w:r>
            </w:hyperlink>
            <w:r w:rsidRPr="003E1A23">
              <w:t xml:space="preserve"> for ‘former workers’) under the </w:t>
            </w:r>
            <w:r w:rsidRPr="00CE49D9">
              <w:rPr>
                <w:i/>
              </w:rPr>
              <w:t>SRC Act</w:t>
            </w:r>
            <w:r w:rsidRPr="003E1A23">
              <w:t>. Medical, rehabilitation or permanent impairment payments are not affected. A redemption lump sum can only be paid out in lieu of ongoing weekly incapacity payments when a worker’s weekly incapacity payments are equal to or less than an indexed amount (currently $</w:t>
            </w:r>
            <w:r w:rsidR="003463FF">
              <w:t xml:space="preserve">116.16 </w:t>
            </w:r>
            <w:r w:rsidRPr="003E1A23">
              <w:t>per week, since 1 July 201</w:t>
            </w:r>
            <w:r w:rsidR="003463FF">
              <w:t>7</w:t>
            </w:r>
            <w:r w:rsidRPr="003E1A23">
              <w:t>) and Comcare is satisfied that the degree of incapacity is unlikely to change. The lump sum payment is calculated by a specified formula.</w:t>
            </w:r>
          </w:p>
        </w:tc>
      </w:tr>
      <w:tr w:rsidR="00C1725F" w:rsidRPr="00C048C1" w14:paraId="1575A2BD" w14:textId="77777777" w:rsidTr="00B2173F">
        <w:tc>
          <w:tcPr>
            <w:tcW w:w="1626" w:type="dxa"/>
            <w:tcMar>
              <w:top w:w="80" w:type="dxa"/>
              <w:left w:w="80" w:type="dxa"/>
              <w:bottom w:w="80" w:type="dxa"/>
              <w:right w:w="80" w:type="dxa"/>
            </w:tcMar>
          </w:tcPr>
          <w:p w14:paraId="0F979E6E" w14:textId="77777777" w:rsidR="00C1725F" w:rsidRPr="00C048C1" w:rsidRDefault="00C1725F" w:rsidP="007F0B00">
            <w:pPr>
              <w:pStyle w:val="TableColumn1bold"/>
              <w:spacing w:after="60"/>
            </w:pPr>
            <w:r w:rsidRPr="00C048C1">
              <w:t>C’wealth Seacare</w:t>
            </w:r>
          </w:p>
        </w:tc>
        <w:tc>
          <w:tcPr>
            <w:tcW w:w="6897" w:type="dxa"/>
            <w:tcMar>
              <w:top w:w="80" w:type="dxa"/>
              <w:left w:w="80" w:type="dxa"/>
              <w:bottom w:w="80" w:type="dxa"/>
              <w:right w:w="80" w:type="dxa"/>
            </w:tcMar>
          </w:tcPr>
          <w:p w14:paraId="46A5A1E0" w14:textId="496F6736" w:rsidR="00C1725F" w:rsidRDefault="00C1725F" w:rsidP="007F0B00">
            <w:pPr>
              <w:pStyle w:val="Tabledotpointlist7pt"/>
              <w:spacing w:after="60"/>
            </w:pPr>
            <w:r>
              <w:t xml:space="preserve">&lt; 45 weeks — 100% NWE — </w:t>
            </w:r>
            <w:hyperlink r:id="rId1060" w:history="1">
              <w:r w:rsidRPr="00672B00">
                <w:rPr>
                  <w:rStyle w:val="Hyperlink"/>
                </w:rPr>
                <w:t>s31(2)</w:t>
              </w:r>
            </w:hyperlink>
            <w:r w:rsidR="00C5207F">
              <w:t xml:space="preserve">, </w:t>
            </w:r>
            <w:r w:rsidR="00C5207F" w:rsidRPr="00016069">
              <w:rPr>
                <w:i/>
              </w:rPr>
              <w:t>Seafarers Rehabilitation and Compensation Act 1992</w:t>
            </w:r>
            <w:r>
              <w:t>.</w:t>
            </w:r>
          </w:p>
          <w:p w14:paraId="5B3FE5E4" w14:textId="409EC7A7" w:rsidR="00C1725F" w:rsidRDefault="00C1725F" w:rsidP="007F0B00">
            <w:pPr>
              <w:pStyle w:val="Tabledotpointlist7pt"/>
              <w:spacing w:after="60"/>
              <w:ind w:left="357" w:hanging="357"/>
              <w:contextualSpacing w:val="0"/>
            </w:pPr>
            <w:r>
              <w:t xml:space="preserve">&gt; 45 weeks — </w:t>
            </w:r>
            <w:hyperlink r:id="rId1061" w:history="1">
              <w:r w:rsidRPr="00672B00">
                <w:rPr>
                  <w:rStyle w:val="Hyperlink"/>
                </w:rPr>
                <w:t>s31(5)</w:t>
              </w:r>
            </w:hyperlink>
            <w:r>
              <w:t>:</w:t>
            </w:r>
          </w:p>
          <w:p w14:paraId="3D633BA9" w14:textId="77777777" w:rsidR="00C1725F" w:rsidRDefault="00C1725F" w:rsidP="00DF35F2">
            <w:pPr>
              <w:pStyle w:val="Tabledotpointlist7pt"/>
              <w:numPr>
                <w:ilvl w:val="0"/>
                <w:numId w:val="66"/>
              </w:numPr>
              <w:spacing w:after="60"/>
              <w:ind w:left="357" w:hanging="357"/>
            </w:pPr>
            <w:r>
              <w:t>if not working — 75% of NWE.</w:t>
            </w:r>
          </w:p>
          <w:p w14:paraId="22F4A873" w14:textId="77777777" w:rsidR="00C1725F" w:rsidRDefault="00C1725F" w:rsidP="00DF35F2">
            <w:pPr>
              <w:pStyle w:val="Tabledotpointlist7pt"/>
              <w:numPr>
                <w:ilvl w:val="0"/>
                <w:numId w:val="66"/>
              </w:numPr>
              <w:spacing w:after="60"/>
            </w:pPr>
            <w:r>
              <w:t>if working &gt;0% to &lt;=25% of pre injury hours — 80% of NWE less Able to Earn, or</w:t>
            </w:r>
          </w:p>
          <w:p w14:paraId="1EEF0664" w14:textId="77777777" w:rsidR="00C1725F" w:rsidRDefault="00C1725F" w:rsidP="00DF35F2">
            <w:pPr>
              <w:pStyle w:val="Tabledotpointlist7pt"/>
              <w:numPr>
                <w:ilvl w:val="0"/>
                <w:numId w:val="66"/>
              </w:numPr>
              <w:spacing w:after="60"/>
            </w:pPr>
            <w:r>
              <w:t>if working &gt;25% to &lt;=50% of pre injury hours — 85% of NWE less Able to Earn</w:t>
            </w:r>
          </w:p>
          <w:p w14:paraId="52D4F029" w14:textId="77777777" w:rsidR="00C1725F" w:rsidRDefault="00C1725F" w:rsidP="00DF35F2">
            <w:pPr>
              <w:pStyle w:val="Tabledotpointlist7pt"/>
              <w:numPr>
                <w:ilvl w:val="0"/>
                <w:numId w:val="66"/>
              </w:numPr>
              <w:spacing w:after="60"/>
            </w:pPr>
            <w:r>
              <w:t>if working &gt;50% to &lt;=75% of pre injury hours — 90% of NWE less Able to Earn</w:t>
            </w:r>
          </w:p>
          <w:p w14:paraId="4E0E39D3" w14:textId="77777777" w:rsidR="00C1725F" w:rsidRDefault="00C1725F" w:rsidP="00DF35F2">
            <w:pPr>
              <w:pStyle w:val="Tabledotpointlist7pt"/>
              <w:numPr>
                <w:ilvl w:val="0"/>
                <w:numId w:val="66"/>
              </w:numPr>
              <w:spacing w:after="60"/>
            </w:pPr>
            <w:r>
              <w:t>if working &gt;75% to &lt;100% of pre injury hours — 95% of NWE less Able to Earn</w:t>
            </w:r>
          </w:p>
          <w:p w14:paraId="12CD20D5" w14:textId="77777777" w:rsidR="00C1725F" w:rsidRDefault="00C1725F" w:rsidP="00DF35F2">
            <w:pPr>
              <w:pStyle w:val="Tabledotpointlist7pt"/>
              <w:numPr>
                <w:ilvl w:val="0"/>
                <w:numId w:val="66"/>
              </w:numPr>
              <w:spacing w:after="60"/>
              <w:ind w:left="357" w:hanging="357"/>
              <w:contextualSpacing w:val="0"/>
            </w:pPr>
            <w:r>
              <w:t>if working 100% of pre injury hours — 100% of NWE less Able to Earn.</w:t>
            </w:r>
          </w:p>
          <w:p w14:paraId="6271424D" w14:textId="532E6A7E" w:rsidR="00C1725F" w:rsidRDefault="00C1725F" w:rsidP="007F0B00">
            <w:pPr>
              <w:pStyle w:val="Tabledotpointlist7pt"/>
              <w:spacing w:after="60"/>
              <w:ind w:left="357" w:hanging="357"/>
            </w:pPr>
            <w:r>
              <w:t xml:space="preserve">Minimum earnings </w:t>
            </w:r>
            <w:r w:rsidR="00E27C40">
              <w:t xml:space="preserve">— </w:t>
            </w:r>
            <w:r>
              <w:t xml:space="preserve">see </w:t>
            </w:r>
            <w:hyperlink r:id="rId1062" w:history="1">
              <w:r w:rsidRPr="00672B00">
                <w:rPr>
                  <w:rStyle w:val="Hyperlink"/>
                </w:rPr>
                <w:t>s31(9)</w:t>
              </w:r>
            </w:hyperlink>
            <w:r>
              <w:t xml:space="preserve"> $</w:t>
            </w:r>
            <w:r w:rsidR="00F2057D">
              <w:t>469.10</w:t>
            </w:r>
            <w:r>
              <w:t xml:space="preserve"> per week</w:t>
            </w:r>
          </w:p>
          <w:p w14:paraId="2E096348" w14:textId="7809A365" w:rsidR="00C1725F" w:rsidRDefault="00C1725F" w:rsidP="007F0B00">
            <w:pPr>
              <w:pStyle w:val="Tabledotpointlist7pt"/>
              <w:spacing w:after="60"/>
            </w:pPr>
            <w:r>
              <w:t xml:space="preserve">Additional for prescribed person </w:t>
            </w:r>
            <w:r w:rsidR="00E27C40">
              <w:t xml:space="preserve">— </w:t>
            </w:r>
            <w:r>
              <w:t xml:space="preserve">see </w:t>
            </w:r>
            <w:hyperlink r:id="rId1063" w:history="1">
              <w:r w:rsidRPr="00672B00">
                <w:rPr>
                  <w:rStyle w:val="Hyperlink"/>
                </w:rPr>
                <w:t>s31(10)</w:t>
              </w:r>
            </w:hyperlink>
            <w:r>
              <w:t xml:space="preserve"> $</w:t>
            </w:r>
            <w:r w:rsidR="00F2057D">
              <w:t>116.16</w:t>
            </w:r>
            <w:r>
              <w:t xml:space="preserve"> per week</w:t>
            </w:r>
          </w:p>
          <w:p w14:paraId="39329CCB" w14:textId="7A369D4B" w:rsidR="00C1725F" w:rsidRDefault="00C1725F" w:rsidP="007F0B00">
            <w:pPr>
              <w:pStyle w:val="Tabledotpointlist7pt"/>
              <w:spacing w:after="60"/>
            </w:pPr>
            <w:r>
              <w:t xml:space="preserve">Additional for each dependent child </w:t>
            </w:r>
            <w:r w:rsidR="00E27C40">
              <w:t xml:space="preserve">— </w:t>
            </w:r>
            <w:r>
              <w:t xml:space="preserve">see </w:t>
            </w:r>
            <w:hyperlink r:id="rId1064" w:history="1">
              <w:r w:rsidRPr="00672B00">
                <w:rPr>
                  <w:rStyle w:val="Hyperlink"/>
                </w:rPr>
                <w:t>s31(11)</w:t>
              </w:r>
            </w:hyperlink>
            <w:r>
              <w:t xml:space="preserve"> $</w:t>
            </w:r>
            <w:r w:rsidR="00F2057D">
              <w:t>58.04</w:t>
            </w:r>
            <w:r>
              <w:t xml:space="preserve"> per week</w:t>
            </w:r>
          </w:p>
          <w:p w14:paraId="65B5F734" w14:textId="059B51A0" w:rsidR="00C1725F" w:rsidRDefault="00C1725F" w:rsidP="007F0B00">
            <w:pPr>
              <w:pStyle w:val="Tabledotpointlist7pt"/>
              <w:spacing w:after="60"/>
            </w:pPr>
            <w:r>
              <w:t xml:space="preserve">Maximum amount of compensation after 45 weeks’ incapacity </w:t>
            </w:r>
            <w:r w:rsidR="00E27C40">
              <w:t xml:space="preserve">— </w:t>
            </w:r>
            <w:r>
              <w:t xml:space="preserve">see </w:t>
            </w:r>
            <w:hyperlink r:id="rId1065" w:history="1">
              <w:r w:rsidRPr="00672B00">
                <w:rPr>
                  <w:rStyle w:val="Hyperlink"/>
                </w:rPr>
                <w:t>s31(7)</w:t>
              </w:r>
            </w:hyperlink>
          </w:p>
          <w:p w14:paraId="4DD224E7" w14:textId="77777777" w:rsidR="00C1725F" w:rsidRDefault="00C1725F" w:rsidP="00F2057D">
            <w:pPr>
              <w:pStyle w:val="Tabledotpointlist7pt"/>
              <w:spacing w:after="60"/>
            </w:pPr>
            <w:r>
              <w:t>Maximum: $</w:t>
            </w:r>
            <w:r w:rsidR="00F2057D">
              <w:t>2,315.70</w:t>
            </w:r>
            <w:r>
              <w:t xml:space="preserve"> per week from </w:t>
            </w:r>
            <w:r w:rsidR="00F2057D">
              <w:t xml:space="preserve">17 </w:t>
            </w:r>
            <w:r>
              <w:t xml:space="preserve">August </w:t>
            </w:r>
            <w:r w:rsidR="00F2057D">
              <w:t xml:space="preserve">2017 </w:t>
            </w:r>
            <w:r>
              <w:t>(150% of Average Week Ordinary Time Earnings for Full-time Adults as published by Australian Bureau of Statistics).</w:t>
            </w:r>
          </w:p>
          <w:p w14:paraId="783ECF73" w14:textId="77777777" w:rsidR="00D457C8" w:rsidRDefault="00D457C8" w:rsidP="00D457C8">
            <w:pPr>
              <w:pStyle w:val="Tabledotpointlist7pt"/>
              <w:numPr>
                <w:ilvl w:val="0"/>
                <w:numId w:val="0"/>
              </w:numPr>
              <w:spacing w:after="60"/>
            </w:pPr>
          </w:p>
          <w:p w14:paraId="10D96F78" w14:textId="65033ED9" w:rsidR="00D457C8" w:rsidRPr="00C048C1" w:rsidRDefault="00A7538C" w:rsidP="00D457C8">
            <w:pPr>
              <w:pStyle w:val="Tabledotpointlist7pt"/>
              <w:numPr>
                <w:ilvl w:val="0"/>
                <w:numId w:val="0"/>
              </w:numPr>
              <w:spacing w:after="60"/>
            </w:pPr>
            <w:hyperlink r:id="rId1066" w:history="1">
              <w:r w:rsidR="00D457C8" w:rsidRPr="00D457C8">
                <w:rPr>
                  <w:rStyle w:val="Hyperlink"/>
                </w:rPr>
                <w:t>s38(1)</w:t>
              </w:r>
            </w:hyperlink>
            <w:r w:rsidR="00D457C8">
              <w:t xml:space="preserve"> compensation ceases to be payable to an employee who has reached pension age, unless their date of injury has reached the age that is 1 year before pension age in which case they will receive a maximum of 104 weeks of compensation as per </w:t>
            </w:r>
            <w:hyperlink r:id="rId1067" w:history="1">
              <w:r w:rsidR="00D457C8" w:rsidRPr="00D457C8">
                <w:rPr>
                  <w:rStyle w:val="Hyperlink"/>
                </w:rPr>
                <w:t>s38(2)</w:t>
              </w:r>
            </w:hyperlink>
            <w:r w:rsidR="00D457C8">
              <w:t>.</w:t>
            </w:r>
          </w:p>
        </w:tc>
        <w:tc>
          <w:tcPr>
            <w:tcW w:w="6898" w:type="dxa"/>
            <w:tcMar>
              <w:top w:w="80" w:type="dxa"/>
              <w:left w:w="80" w:type="dxa"/>
              <w:bottom w:w="80" w:type="dxa"/>
              <w:right w:w="80" w:type="dxa"/>
            </w:tcMar>
          </w:tcPr>
          <w:p w14:paraId="0095FF74" w14:textId="24512EEE" w:rsidR="00C1725F" w:rsidRPr="00C048C1" w:rsidRDefault="00C1725F" w:rsidP="00F2057D">
            <w:pPr>
              <w:pStyle w:val="lgetabletxt"/>
              <w:spacing w:after="60" w:afterAutospacing="0"/>
            </w:pPr>
            <w:r w:rsidRPr="00BA1491">
              <w:t>Redemptions of weekly benefits are only available in some circumstances. Medical, rehabilitation or permanent impairment payments are not affected. A redemption lump sum can only be paid out in lieu of ongoing weekly incapacity payments when a worker’s weekly incapacity payments are equal to or less than the statutory rate ($</w:t>
            </w:r>
            <w:r w:rsidR="00F2057D">
              <w:t>116.16</w:t>
            </w:r>
            <w:r w:rsidRPr="00BA1491">
              <w:t xml:space="preserve"> per week at 1 July </w:t>
            </w:r>
            <w:r w:rsidR="00F2057D">
              <w:t>2017</w:t>
            </w:r>
            <w:r w:rsidRPr="00BA1491">
              <w:t>) and the employer is satisfied that the degree of incapacity is unlikely to change. The lump sum payment is calculated by a specified formula (</w:t>
            </w:r>
            <w:hyperlink r:id="rId1068" w:history="1">
              <w:r w:rsidRPr="00672B00">
                <w:rPr>
                  <w:rStyle w:val="Hyperlink"/>
                </w:rPr>
                <w:t>s44</w:t>
              </w:r>
            </w:hyperlink>
            <w:r w:rsidRPr="00BA1491">
              <w:t>)</w:t>
            </w:r>
            <w:r w:rsidR="00E13D9F">
              <w:t>.</w:t>
            </w:r>
          </w:p>
        </w:tc>
      </w:tr>
      <w:tr w:rsidR="00C1725F" w:rsidRPr="00C048C1" w14:paraId="3057C6B7" w14:textId="77777777" w:rsidTr="00B2173F">
        <w:tc>
          <w:tcPr>
            <w:tcW w:w="1626" w:type="dxa"/>
            <w:shd w:val="clear" w:color="auto" w:fill="FFC9C9"/>
            <w:tcMar>
              <w:top w:w="80" w:type="dxa"/>
              <w:left w:w="80" w:type="dxa"/>
              <w:bottom w:w="80" w:type="dxa"/>
              <w:right w:w="80" w:type="dxa"/>
            </w:tcMar>
          </w:tcPr>
          <w:p w14:paraId="5CF0FCD5" w14:textId="77777777" w:rsidR="00C1725F" w:rsidRPr="00C048C1" w:rsidRDefault="00C1725F" w:rsidP="007F0B00">
            <w:pPr>
              <w:pStyle w:val="TableColumn1bold"/>
              <w:spacing w:after="60"/>
            </w:pPr>
            <w:r w:rsidRPr="00C048C1">
              <w:t>C’wealth DVA</w:t>
            </w:r>
          </w:p>
        </w:tc>
        <w:tc>
          <w:tcPr>
            <w:tcW w:w="6897" w:type="dxa"/>
            <w:shd w:val="clear" w:color="auto" w:fill="FFC9C9"/>
            <w:tcMar>
              <w:top w:w="80" w:type="dxa"/>
              <w:left w:w="80" w:type="dxa"/>
              <w:bottom w:w="80" w:type="dxa"/>
              <w:right w:w="80" w:type="dxa"/>
            </w:tcMar>
          </w:tcPr>
          <w:p w14:paraId="775783BE" w14:textId="620ADD1A" w:rsidR="00BE5948" w:rsidRDefault="00C5207F" w:rsidP="00BE5948">
            <w:pPr>
              <w:pStyle w:val="Tabledotpointlist7pt"/>
              <w:numPr>
                <w:ilvl w:val="0"/>
                <w:numId w:val="0"/>
              </w:numPr>
              <w:spacing w:after="60"/>
              <w:ind w:left="360" w:hanging="360"/>
            </w:pPr>
            <w:r w:rsidRPr="0039798F">
              <w:rPr>
                <w:rFonts w:eastAsia="Calibri"/>
                <w:i/>
                <w:lang w:eastAsia="en-US"/>
              </w:rPr>
              <w:t>Military Rehabilitation and Compensation Act 2004</w:t>
            </w:r>
            <w:r>
              <w:t xml:space="preserve"> (</w:t>
            </w:r>
            <w:r w:rsidR="00BE5948">
              <w:t>MRCA</w:t>
            </w:r>
            <w:r>
              <w:t>)</w:t>
            </w:r>
          </w:p>
          <w:p w14:paraId="24206A5C" w14:textId="77777777" w:rsidR="00C1725F" w:rsidRPr="00C048C1" w:rsidRDefault="00C1725F" w:rsidP="007F0B00">
            <w:pPr>
              <w:pStyle w:val="Tabledotpointlist7pt"/>
              <w:spacing w:after="60"/>
            </w:pPr>
            <w:r w:rsidRPr="00C048C1">
              <w:t>100% normal earnings (NE) for current members — Chapter 4 Part III.</w:t>
            </w:r>
          </w:p>
          <w:p w14:paraId="0A9D07AB" w14:textId="60C5195F" w:rsidR="00C1725F" w:rsidRPr="00C048C1" w:rsidRDefault="00C1725F" w:rsidP="007F0B00">
            <w:pPr>
              <w:pStyle w:val="Tabledotpointlist7pt"/>
              <w:spacing w:after="60"/>
            </w:pPr>
            <w:r w:rsidRPr="00C048C1">
              <w:t>&lt;45 weeks — 100% NE for former members (</w:t>
            </w:r>
            <w:hyperlink r:id="rId1069" w:history="1">
              <w:r w:rsidRPr="00DC688E">
                <w:rPr>
                  <w:rStyle w:val="Hyperlink"/>
                </w:rPr>
                <w:t>s131</w:t>
              </w:r>
            </w:hyperlink>
            <w:r w:rsidRPr="00C048C1">
              <w:t>), plus Australian Defence Force (ADF) allowance.</w:t>
            </w:r>
          </w:p>
          <w:p w14:paraId="453BE018" w14:textId="78409AA0" w:rsidR="00C1725F" w:rsidRPr="00C048C1" w:rsidRDefault="00C1725F" w:rsidP="007F0B00">
            <w:pPr>
              <w:pStyle w:val="Tabledotpointlist7pt"/>
              <w:spacing w:after="60"/>
            </w:pPr>
            <w:r w:rsidRPr="00C048C1">
              <w:t xml:space="preserve">&gt;45 weeks — (a) if not working: 75% of NE — </w:t>
            </w:r>
            <w:hyperlink r:id="rId1070" w:history="1">
              <w:r w:rsidRPr="00DC688E">
                <w:rPr>
                  <w:rStyle w:val="Hyperlink"/>
                </w:rPr>
                <w:t>s131</w:t>
              </w:r>
            </w:hyperlink>
            <w:r w:rsidRPr="00C048C1">
              <w:t>.</w:t>
            </w:r>
          </w:p>
          <w:p w14:paraId="2510E2AB" w14:textId="30F87425" w:rsidR="00C1725F" w:rsidRPr="00C048C1" w:rsidRDefault="00C1725F" w:rsidP="007F0B00">
            <w:pPr>
              <w:pStyle w:val="Tabledotpointlist7pt"/>
              <w:spacing w:after="60"/>
            </w:pPr>
            <w:r w:rsidRPr="00C048C1">
              <w:t xml:space="preserve">Minimum: Federal Minimum Wage — </w:t>
            </w:r>
            <w:hyperlink r:id="rId1071" w:history="1">
              <w:r w:rsidRPr="00DC688E">
                <w:rPr>
                  <w:rStyle w:val="Hyperlink"/>
                </w:rPr>
                <w:t>s179</w:t>
              </w:r>
            </w:hyperlink>
            <w:r w:rsidRPr="00C048C1">
              <w:t>.</w:t>
            </w:r>
          </w:p>
          <w:p w14:paraId="13D48DD2" w14:textId="77777777" w:rsidR="00C1725F" w:rsidRDefault="00C1725F" w:rsidP="007F0B00">
            <w:pPr>
              <w:pStyle w:val="Tabledotpointlist7pt"/>
              <w:spacing w:after="60"/>
            </w:pPr>
            <w:r w:rsidRPr="00297A0A">
              <w:t>Compensation payments for ex-workers are increased by reference to the ADF pay scales:</w:t>
            </w:r>
          </w:p>
          <w:p w14:paraId="5C5160A4" w14:textId="77777777" w:rsidR="00C1725F" w:rsidRDefault="00C1725F" w:rsidP="00F839DB">
            <w:pPr>
              <w:pStyle w:val="Tableabc7pt"/>
              <w:numPr>
                <w:ilvl w:val="0"/>
                <w:numId w:val="457"/>
              </w:numPr>
              <w:spacing w:before="0" w:after="60"/>
            </w:pPr>
            <w:r w:rsidRPr="00297A0A">
              <w:t>if working &gt;0% to &lt;=25% of pre injury hours — 80% of NE less actual earnings (AE)</w:t>
            </w:r>
          </w:p>
          <w:p w14:paraId="38F56BFD" w14:textId="77777777" w:rsidR="00C1725F" w:rsidRDefault="00C1725F" w:rsidP="00F839DB">
            <w:pPr>
              <w:pStyle w:val="Tableabc7pt"/>
              <w:numPr>
                <w:ilvl w:val="0"/>
                <w:numId w:val="457"/>
              </w:numPr>
              <w:spacing w:before="0" w:after="60"/>
            </w:pPr>
            <w:r w:rsidRPr="00297A0A">
              <w:lastRenderedPageBreak/>
              <w:t>if working &gt;25% to &lt;=50% of pre injury hours — 85% of NE less AE</w:t>
            </w:r>
          </w:p>
          <w:p w14:paraId="3A3C9EC7" w14:textId="77777777" w:rsidR="00C1725F" w:rsidRDefault="00C1725F" w:rsidP="00F839DB">
            <w:pPr>
              <w:pStyle w:val="Tableabc7pt"/>
              <w:numPr>
                <w:ilvl w:val="0"/>
                <w:numId w:val="457"/>
              </w:numPr>
              <w:spacing w:before="0" w:after="60"/>
            </w:pPr>
            <w:r w:rsidRPr="00297A0A">
              <w:t>if working &gt;50% to &lt;=75% of pre injury hours — 90% of NE less AE</w:t>
            </w:r>
          </w:p>
          <w:p w14:paraId="42A41847" w14:textId="77777777" w:rsidR="00C1725F" w:rsidRDefault="00C1725F" w:rsidP="00F839DB">
            <w:pPr>
              <w:pStyle w:val="Tableabc7pt"/>
              <w:numPr>
                <w:ilvl w:val="0"/>
                <w:numId w:val="457"/>
              </w:numPr>
              <w:spacing w:before="0" w:after="60"/>
            </w:pPr>
            <w:r w:rsidRPr="00297A0A">
              <w:t>if working &gt;75% to &lt;100% of pre injury hours — 95% of NE less AE, or</w:t>
            </w:r>
          </w:p>
          <w:p w14:paraId="2C44296C" w14:textId="77777777" w:rsidR="00C1725F" w:rsidRPr="00297A0A" w:rsidRDefault="00C1725F" w:rsidP="00F839DB">
            <w:pPr>
              <w:pStyle w:val="Tableabc7pt"/>
              <w:numPr>
                <w:ilvl w:val="0"/>
                <w:numId w:val="457"/>
              </w:numPr>
              <w:spacing w:before="0" w:after="60"/>
            </w:pPr>
            <w:r w:rsidRPr="00297A0A">
              <w:t>if working 100% of pre injury hours — 100% of NE less AE.</w:t>
            </w:r>
          </w:p>
          <w:p w14:paraId="79F342DE" w14:textId="77777777" w:rsidR="00C1725F" w:rsidRDefault="00C1725F" w:rsidP="007F0B00">
            <w:pPr>
              <w:pStyle w:val="Tabledotpointlist7pt"/>
              <w:spacing w:after="60"/>
            </w:pPr>
            <w:r w:rsidRPr="00297A0A">
              <w:t>Maximum: no maximum.</w:t>
            </w:r>
          </w:p>
          <w:p w14:paraId="7FBD72BD" w14:textId="77777777" w:rsidR="00C5207F" w:rsidRDefault="00C5207F" w:rsidP="00BE5948">
            <w:pPr>
              <w:pStyle w:val="Tabledotpointlist7pt"/>
              <w:numPr>
                <w:ilvl w:val="0"/>
                <w:numId w:val="0"/>
              </w:numPr>
              <w:spacing w:after="60"/>
              <w:ind w:left="360" w:hanging="360"/>
              <w:rPr>
                <w:i/>
              </w:rPr>
            </w:pPr>
          </w:p>
          <w:p w14:paraId="65CE53DF" w14:textId="12130BEE" w:rsidR="00BE5948" w:rsidRDefault="00C5207F" w:rsidP="00BE5948">
            <w:pPr>
              <w:pStyle w:val="Tabledotpointlist7pt"/>
              <w:numPr>
                <w:ilvl w:val="0"/>
                <w:numId w:val="0"/>
              </w:numPr>
              <w:spacing w:after="60"/>
              <w:ind w:left="360" w:hanging="360"/>
            </w:pPr>
            <w:r w:rsidRPr="00016069">
              <w:rPr>
                <w:i/>
              </w:rPr>
              <w:t>Safety, Rehabilitation and Compensation (Defence-related Claims) Act 1988</w:t>
            </w:r>
            <w:r>
              <w:t xml:space="preserve"> (</w:t>
            </w:r>
            <w:r w:rsidR="00BE5948">
              <w:t>DRCA</w:t>
            </w:r>
            <w:r>
              <w:t>)</w:t>
            </w:r>
          </w:p>
          <w:p w14:paraId="6C80E19D" w14:textId="28310F63" w:rsidR="00BE5948" w:rsidRPr="00C048C1" w:rsidRDefault="00BE5948" w:rsidP="00BE5948">
            <w:pPr>
              <w:pStyle w:val="Tabledotpointlist7pt"/>
              <w:spacing w:after="60"/>
            </w:pPr>
            <w:r w:rsidRPr="00C048C1">
              <w:t>&lt;45 weeks —</w:t>
            </w:r>
            <w:r>
              <w:t xml:space="preserve"> see </w:t>
            </w:r>
            <w:hyperlink r:id="rId1072" w:history="1">
              <w:r w:rsidRPr="00DC688E">
                <w:rPr>
                  <w:rStyle w:val="Hyperlink"/>
                </w:rPr>
                <w:t>s19(2)</w:t>
              </w:r>
            </w:hyperlink>
            <w:r>
              <w:t>: 100% NEW which includes overtime and allowances</w:t>
            </w:r>
          </w:p>
          <w:p w14:paraId="7C5E2A41" w14:textId="757F7766" w:rsidR="00BE5948" w:rsidRDefault="00BE5948" w:rsidP="00BE5948">
            <w:pPr>
              <w:pStyle w:val="Tabledotpointlist7pt"/>
              <w:spacing w:after="60"/>
            </w:pPr>
            <w:r w:rsidRPr="00C048C1">
              <w:t xml:space="preserve">&gt;45 weeks — </w:t>
            </w:r>
            <w:r>
              <w:t xml:space="preserve">see </w:t>
            </w:r>
            <w:hyperlink r:id="rId1073" w:history="1">
              <w:r w:rsidRPr="00DC688E">
                <w:rPr>
                  <w:rStyle w:val="Hyperlink"/>
                </w:rPr>
                <w:t>s19(3)</w:t>
              </w:r>
            </w:hyperlink>
            <w:r>
              <w:t xml:space="preserve">: </w:t>
            </w:r>
          </w:p>
          <w:p w14:paraId="7BFD56FD" w14:textId="6EF74A27" w:rsidR="00BE5948" w:rsidRDefault="00BE5948" w:rsidP="00F839DB">
            <w:pPr>
              <w:pStyle w:val="Tableabc7pt"/>
              <w:numPr>
                <w:ilvl w:val="0"/>
                <w:numId w:val="553"/>
              </w:numPr>
              <w:spacing w:before="0" w:after="60"/>
            </w:pPr>
            <w:r>
              <w:t>If not working — 75% of NWE</w:t>
            </w:r>
          </w:p>
          <w:p w14:paraId="438803DD" w14:textId="35AC408B" w:rsidR="00BE5948" w:rsidRDefault="00BE5948" w:rsidP="00F839DB">
            <w:pPr>
              <w:pStyle w:val="Tableabc7pt"/>
              <w:numPr>
                <w:ilvl w:val="0"/>
                <w:numId w:val="553"/>
              </w:numPr>
              <w:spacing w:before="0" w:after="60"/>
            </w:pPr>
            <w:r w:rsidRPr="00297A0A">
              <w:t>if working &gt;0% to &lt;=25% of pre injury hours — 80% of N</w:t>
            </w:r>
            <w:r>
              <w:t>W</w:t>
            </w:r>
            <w:r w:rsidRPr="00297A0A">
              <w:t xml:space="preserve">E less </w:t>
            </w:r>
            <w:r>
              <w:t>Able to Earn</w:t>
            </w:r>
          </w:p>
          <w:p w14:paraId="5408FFB0" w14:textId="2C4E1747" w:rsidR="00BE5948" w:rsidRDefault="00BE5948" w:rsidP="00F839DB">
            <w:pPr>
              <w:pStyle w:val="Tableabc7pt"/>
              <w:numPr>
                <w:ilvl w:val="0"/>
                <w:numId w:val="553"/>
              </w:numPr>
              <w:spacing w:before="0" w:after="60"/>
            </w:pPr>
            <w:r w:rsidRPr="00297A0A">
              <w:t>if working &gt;25% to &lt;=50% of pre injury hours — 85% of N</w:t>
            </w:r>
            <w:r>
              <w:t>W</w:t>
            </w:r>
            <w:r w:rsidRPr="00297A0A">
              <w:t>E less A</w:t>
            </w:r>
            <w:r>
              <w:t xml:space="preserve">ble to </w:t>
            </w:r>
            <w:r w:rsidRPr="00297A0A">
              <w:t>E</w:t>
            </w:r>
            <w:r>
              <w:t>arn</w:t>
            </w:r>
          </w:p>
          <w:p w14:paraId="7845EAEF" w14:textId="34A9BB65" w:rsidR="00BE5948" w:rsidRDefault="00BE5948" w:rsidP="00F839DB">
            <w:pPr>
              <w:pStyle w:val="Tableabc7pt"/>
              <w:numPr>
                <w:ilvl w:val="0"/>
                <w:numId w:val="553"/>
              </w:numPr>
              <w:spacing w:before="0" w:after="60"/>
            </w:pPr>
            <w:r w:rsidRPr="00297A0A">
              <w:t>if working &gt;50% to &lt;=75% of pre injury hours — 90% of N</w:t>
            </w:r>
            <w:r>
              <w:t>W</w:t>
            </w:r>
            <w:r w:rsidRPr="00297A0A">
              <w:t>E less A</w:t>
            </w:r>
            <w:r>
              <w:t xml:space="preserve">ble to </w:t>
            </w:r>
            <w:r w:rsidRPr="00297A0A">
              <w:t>E</w:t>
            </w:r>
            <w:r>
              <w:t>arn</w:t>
            </w:r>
          </w:p>
          <w:p w14:paraId="2D52D786" w14:textId="2C34DF47" w:rsidR="00BE5948" w:rsidRDefault="00BE5948" w:rsidP="00F839DB">
            <w:pPr>
              <w:pStyle w:val="Tableabc7pt"/>
              <w:numPr>
                <w:ilvl w:val="0"/>
                <w:numId w:val="553"/>
              </w:numPr>
              <w:spacing w:before="0" w:after="60"/>
            </w:pPr>
            <w:r w:rsidRPr="00297A0A">
              <w:t>if working &gt;75% to &lt;100% of pre injury hours — 95% of N</w:t>
            </w:r>
            <w:r>
              <w:t>W</w:t>
            </w:r>
            <w:r w:rsidRPr="00297A0A">
              <w:t>E less A</w:t>
            </w:r>
            <w:r>
              <w:t xml:space="preserve">ble to </w:t>
            </w:r>
            <w:r w:rsidRPr="00297A0A">
              <w:t>E</w:t>
            </w:r>
            <w:r>
              <w:t>arn</w:t>
            </w:r>
          </w:p>
          <w:p w14:paraId="5E22FD87" w14:textId="048228C9" w:rsidR="00BE5948" w:rsidRPr="00297A0A" w:rsidRDefault="00BE5948" w:rsidP="00F839DB">
            <w:pPr>
              <w:pStyle w:val="Tableabc7pt"/>
              <w:numPr>
                <w:ilvl w:val="0"/>
                <w:numId w:val="553"/>
              </w:numPr>
              <w:spacing w:before="0" w:after="60"/>
            </w:pPr>
            <w:r w:rsidRPr="00297A0A">
              <w:t>if working 100% of pre injury hours — 100% of N</w:t>
            </w:r>
            <w:r>
              <w:t>W</w:t>
            </w:r>
            <w:r w:rsidRPr="00297A0A">
              <w:t>E less A</w:t>
            </w:r>
            <w:r>
              <w:t xml:space="preserve">ble to </w:t>
            </w:r>
            <w:r w:rsidRPr="00297A0A">
              <w:t>E</w:t>
            </w:r>
            <w:r>
              <w:t>arn</w:t>
            </w:r>
            <w:r w:rsidRPr="00297A0A">
              <w:t>.</w:t>
            </w:r>
          </w:p>
          <w:p w14:paraId="4F517580" w14:textId="310D24F9" w:rsidR="00891695" w:rsidRDefault="00891695" w:rsidP="00BE5948">
            <w:pPr>
              <w:pStyle w:val="Tabledotpointlist7pt"/>
              <w:spacing w:after="60"/>
            </w:pPr>
            <w:r>
              <w:t xml:space="preserve">Minimum earnings — see </w:t>
            </w:r>
            <w:hyperlink r:id="rId1074" w:history="1">
              <w:r w:rsidRPr="00DC688E">
                <w:rPr>
                  <w:rStyle w:val="Hyperlink"/>
                </w:rPr>
                <w:t>s19(7)</w:t>
              </w:r>
            </w:hyperlink>
            <w:r>
              <w:t>: $469.10 pw</w:t>
            </w:r>
          </w:p>
          <w:p w14:paraId="76BD039D" w14:textId="5562A9C7" w:rsidR="00891695" w:rsidRDefault="00891695" w:rsidP="00BE5948">
            <w:pPr>
              <w:pStyle w:val="Tabledotpointlist7pt"/>
              <w:spacing w:after="60"/>
            </w:pPr>
            <w:r>
              <w:t xml:space="preserve">Additional for prescribed person — see </w:t>
            </w:r>
            <w:hyperlink r:id="rId1075" w:history="1">
              <w:r w:rsidRPr="00DC688E">
                <w:rPr>
                  <w:rStyle w:val="Hyperlink"/>
                </w:rPr>
                <w:t>s19(8)</w:t>
              </w:r>
            </w:hyperlink>
            <w:r>
              <w:t>: $116.16 pw</w:t>
            </w:r>
          </w:p>
          <w:p w14:paraId="4EE87F4D" w14:textId="393D2068" w:rsidR="00072D09" w:rsidRDefault="00891695" w:rsidP="00072D09">
            <w:pPr>
              <w:pStyle w:val="Tabledotpointlist7pt"/>
              <w:spacing w:after="60"/>
            </w:pPr>
            <w:r>
              <w:t xml:space="preserve">Additional </w:t>
            </w:r>
            <w:r w:rsidR="00072D09">
              <w:t xml:space="preserve">for each dependent child — see </w:t>
            </w:r>
            <w:hyperlink r:id="rId1076" w:history="1">
              <w:r w:rsidR="00072D09" w:rsidRPr="00DC688E">
                <w:rPr>
                  <w:rStyle w:val="Hyperlink"/>
                </w:rPr>
                <w:t>s19(9)</w:t>
              </w:r>
            </w:hyperlink>
            <w:r w:rsidR="00072D09">
              <w:t>: $58.04 pw</w:t>
            </w:r>
          </w:p>
          <w:p w14:paraId="7E0A8AF4" w14:textId="168201FA" w:rsidR="00072D09" w:rsidRDefault="00BE5948" w:rsidP="00072D09">
            <w:pPr>
              <w:pStyle w:val="Tabledotpointlist7pt"/>
              <w:spacing w:after="60"/>
            </w:pPr>
            <w:r w:rsidRPr="00297A0A">
              <w:t>Maximum</w:t>
            </w:r>
            <w:r w:rsidR="00072D09">
              <w:t xml:space="preserve"> amount of compensation after 45 weeks’ incapacity — see </w:t>
            </w:r>
            <w:hyperlink r:id="rId1077" w:history="1">
              <w:r w:rsidR="00072D09" w:rsidRPr="00DC688E">
                <w:rPr>
                  <w:rStyle w:val="Hyperlink"/>
                </w:rPr>
                <w:t>s19(5)</w:t>
              </w:r>
            </w:hyperlink>
            <w:r w:rsidR="00072D09">
              <w:t>:</w:t>
            </w:r>
          </w:p>
          <w:p w14:paraId="0912F799" w14:textId="7581A79A" w:rsidR="00072D09" w:rsidRDefault="00072D09" w:rsidP="00F839DB">
            <w:pPr>
              <w:pStyle w:val="Tabledotpointlist7pt"/>
              <w:numPr>
                <w:ilvl w:val="1"/>
                <w:numId w:val="554"/>
              </w:numPr>
              <w:spacing w:after="60"/>
              <w:ind w:left="346"/>
            </w:pPr>
            <w:r>
              <w:t>$2,351.85 (150% of Average Week Ordinary Time Earnings for Full-time Adults as published by Australian Bureau of Statistics).</w:t>
            </w:r>
          </w:p>
          <w:p w14:paraId="1E66CFC8" w14:textId="0DD86A5A" w:rsidR="00C45950" w:rsidRDefault="00C45950" w:rsidP="00F839DB">
            <w:pPr>
              <w:pStyle w:val="Tabledotpointlist7pt"/>
              <w:numPr>
                <w:ilvl w:val="0"/>
                <w:numId w:val="554"/>
              </w:numPr>
              <w:spacing w:after="60"/>
            </w:pPr>
            <w:r>
              <w:t>Compensation payments are increased by reference to the ABS Wage Cost Index</w:t>
            </w:r>
          </w:p>
          <w:p w14:paraId="6CBCE81C" w14:textId="77777777" w:rsidR="00C45950" w:rsidRPr="00C45950" w:rsidRDefault="00C45950" w:rsidP="00C45950">
            <w:pPr>
              <w:pStyle w:val="Tabledotpointlist7pt"/>
              <w:numPr>
                <w:ilvl w:val="0"/>
                <w:numId w:val="0"/>
              </w:numPr>
              <w:spacing w:after="60"/>
              <w:ind w:left="360"/>
              <w:rPr>
                <w:b/>
              </w:rPr>
            </w:pPr>
            <w:r w:rsidRPr="00C45950">
              <w:rPr>
                <w:b/>
              </w:rPr>
              <w:t>Compensation where the person is in receipt of superannuation</w:t>
            </w:r>
          </w:p>
          <w:p w14:paraId="6213A9DB" w14:textId="5DD98FF0" w:rsidR="00C45950" w:rsidRDefault="00C45950" w:rsidP="00C45950">
            <w:pPr>
              <w:pStyle w:val="Tabledotpointlist7pt"/>
              <w:numPr>
                <w:ilvl w:val="0"/>
                <w:numId w:val="0"/>
              </w:numPr>
              <w:spacing w:after="60"/>
              <w:ind w:left="360"/>
            </w:pPr>
            <w:r>
              <w:t xml:space="preserve">The combined workers’ compensation and employer funded </w:t>
            </w:r>
            <w:r w:rsidR="00584132">
              <w:t xml:space="preserve">superannuation benefit payable to retired employees is the equivalent of 70% of their former normal </w:t>
            </w:r>
            <w:r w:rsidR="00963F4E">
              <w:t>weekly earnings. This is calculated by subtracting from the amount of compensation otherwise payable</w:t>
            </w:r>
          </w:p>
          <w:p w14:paraId="7E73E225" w14:textId="1971E52F" w:rsidR="00963F4E" w:rsidRDefault="00963F4E" w:rsidP="00F839DB">
            <w:pPr>
              <w:pStyle w:val="Tabledotpointlist7pt"/>
              <w:numPr>
                <w:ilvl w:val="0"/>
                <w:numId w:val="555"/>
              </w:numPr>
              <w:spacing w:after="60"/>
              <w:ind w:left="629" w:hanging="283"/>
            </w:pPr>
            <w:r>
              <w:t>the employer-funded part of their weekly superannuation pension (or its deemed weekly interest from the employer-funded lump sum), and</w:t>
            </w:r>
          </w:p>
          <w:p w14:paraId="4171F073" w14:textId="383129AD" w:rsidR="00963F4E" w:rsidRDefault="00963F4E" w:rsidP="00F839DB">
            <w:pPr>
              <w:pStyle w:val="Tabledotpointlist7pt"/>
              <w:numPr>
                <w:ilvl w:val="0"/>
                <w:numId w:val="555"/>
              </w:numPr>
              <w:spacing w:after="60"/>
              <w:ind w:left="629" w:hanging="283"/>
            </w:pPr>
            <w:r>
              <w:t>5% of the employee’s former normal weekly earning to equate with the typical superannuation contribution most employees would have been paying had the employee not retired.</w:t>
            </w:r>
          </w:p>
          <w:p w14:paraId="4DF5CE9A" w14:textId="3B2F7C96" w:rsidR="00072D09" w:rsidRPr="00072D09" w:rsidRDefault="00C45950" w:rsidP="00F839DB">
            <w:pPr>
              <w:pStyle w:val="Tabledotpointlist7pt"/>
              <w:numPr>
                <w:ilvl w:val="0"/>
                <w:numId w:val="554"/>
              </w:numPr>
              <w:spacing w:after="60"/>
            </w:pPr>
            <w:r>
              <w:t xml:space="preserve">The above mentioned ‘amount of compensation otherwise payable’ takes into account any actual or able to earn amount — see </w:t>
            </w:r>
            <w:hyperlink r:id="rId1078" w:history="1">
              <w:r w:rsidRPr="00DC688E">
                <w:rPr>
                  <w:rStyle w:val="Hyperlink"/>
                </w:rPr>
                <w:t>ss20(3)</w:t>
              </w:r>
            </w:hyperlink>
            <w:r>
              <w:t xml:space="preserve">, </w:t>
            </w:r>
            <w:hyperlink r:id="rId1079" w:history="1">
              <w:r w:rsidRPr="00DC688E">
                <w:rPr>
                  <w:rStyle w:val="Hyperlink"/>
                </w:rPr>
                <w:t>21(3)</w:t>
              </w:r>
            </w:hyperlink>
            <w:r>
              <w:t xml:space="preserve"> and </w:t>
            </w:r>
            <w:hyperlink r:id="rId1080" w:history="1">
              <w:r w:rsidRPr="00DC688E">
                <w:rPr>
                  <w:rStyle w:val="Hyperlink"/>
                </w:rPr>
                <w:t>21A(3)</w:t>
              </w:r>
            </w:hyperlink>
            <w:r>
              <w:t>.</w:t>
            </w:r>
          </w:p>
        </w:tc>
        <w:tc>
          <w:tcPr>
            <w:tcW w:w="6898" w:type="dxa"/>
            <w:shd w:val="clear" w:color="auto" w:fill="FFC9C9"/>
            <w:tcMar>
              <w:top w:w="80" w:type="dxa"/>
              <w:left w:w="80" w:type="dxa"/>
              <w:bottom w:w="80" w:type="dxa"/>
              <w:right w:w="80" w:type="dxa"/>
            </w:tcMar>
          </w:tcPr>
          <w:p w14:paraId="15766FDD" w14:textId="77777777" w:rsidR="00891695" w:rsidRDefault="00891695" w:rsidP="007F0B00">
            <w:pPr>
              <w:pStyle w:val="lgetabletxt"/>
              <w:spacing w:after="60" w:afterAutospacing="0"/>
            </w:pPr>
            <w:r>
              <w:lastRenderedPageBreak/>
              <w:t>MRCA</w:t>
            </w:r>
          </w:p>
          <w:p w14:paraId="61804D20" w14:textId="08E7D759" w:rsidR="00C1725F" w:rsidRDefault="00C1725F" w:rsidP="007F0B00">
            <w:pPr>
              <w:pStyle w:val="lgetabletxt"/>
              <w:spacing w:after="60" w:afterAutospacing="0"/>
            </w:pPr>
            <w:r w:rsidRPr="00C048C1">
              <w:t>Redemptions of weekly benefits are only available in some circumstances and are calculated per (</w:t>
            </w:r>
            <w:hyperlink r:id="rId1081" w:history="1">
              <w:r w:rsidRPr="00DC688E">
                <w:rPr>
                  <w:rStyle w:val="Hyperlink"/>
                </w:rPr>
                <w:t>s138</w:t>
              </w:r>
            </w:hyperlink>
            <w:r w:rsidRPr="00C048C1">
              <w:t>)</w:t>
            </w:r>
            <w:r w:rsidR="00E13D9F">
              <w:t>.</w:t>
            </w:r>
          </w:p>
          <w:p w14:paraId="6D722017" w14:textId="77777777" w:rsidR="00891695" w:rsidRDefault="00891695" w:rsidP="007F0B00">
            <w:pPr>
              <w:pStyle w:val="lgetabletxt"/>
              <w:spacing w:after="60" w:afterAutospacing="0"/>
            </w:pPr>
            <w:r>
              <w:t>DRCA</w:t>
            </w:r>
          </w:p>
          <w:p w14:paraId="6A03D6E4" w14:textId="4B18C1AB" w:rsidR="00891695" w:rsidRPr="00C048C1" w:rsidRDefault="00891695" w:rsidP="007F0B00">
            <w:pPr>
              <w:pStyle w:val="lgetabletxt"/>
              <w:spacing w:after="60" w:afterAutospacing="0"/>
            </w:pPr>
            <w:r>
              <w:t xml:space="preserve">Redemptions of weekly benefits are only available in some circumstances and are calculated per </w:t>
            </w:r>
            <w:hyperlink r:id="rId1082" w:history="1">
              <w:r w:rsidRPr="00DC688E">
                <w:rPr>
                  <w:rStyle w:val="Hyperlink"/>
                </w:rPr>
                <w:t>s30(1)</w:t>
              </w:r>
            </w:hyperlink>
            <w:r>
              <w:t xml:space="preserve"> [or </w:t>
            </w:r>
            <w:hyperlink r:id="rId1083" w:history="1">
              <w:r w:rsidRPr="00DC688E">
                <w:rPr>
                  <w:rStyle w:val="Hyperlink"/>
                </w:rPr>
                <w:t>s137(1)</w:t>
              </w:r>
            </w:hyperlink>
            <w:r>
              <w:t xml:space="preserve"> for ‘former employee’].</w:t>
            </w:r>
          </w:p>
        </w:tc>
      </w:tr>
      <w:tr w:rsidR="00C1725F" w:rsidRPr="00C048C1" w14:paraId="17701C88" w14:textId="77777777" w:rsidTr="00B2173F">
        <w:tc>
          <w:tcPr>
            <w:tcW w:w="1626" w:type="dxa"/>
            <w:tcMar>
              <w:top w:w="80" w:type="dxa"/>
              <w:left w:w="80" w:type="dxa"/>
              <w:bottom w:w="80" w:type="dxa"/>
              <w:right w:w="80" w:type="dxa"/>
            </w:tcMar>
          </w:tcPr>
          <w:p w14:paraId="326F24CF" w14:textId="4B224458" w:rsidR="00C1725F" w:rsidRPr="00C048C1" w:rsidRDefault="00C1725F" w:rsidP="007F0B00">
            <w:pPr>
              <w:pStyle w:val="TableColumn1bold"/>
              <w:spacing w:after="60"/>
            </w:pPr>
            <w:r w:rsidRPr="00C048C1">
              <w:t>New Zealand</w:t>
            </w:r>
          </w:p>
        </w:tc>
        <w:tc>
          <w:tcPr>
            <w:tcW w:w="6897" w:type="dxa"/>
            <w:tcMar>
              <w:top w:w="80" w:type="dxa"/>
              <w:left w:w="80" w:type="dxa"/>
              <w:bottom w:w="80" w:type="dxa"/>
              <w:right w:w="80" w:type="dxa"/>
            </w:tcMar>
          </w:tcPr>
          <w:p w14:paraId="6CE3FA3B" w14:textId="1E825CFB" w:rsidR="00C1725F" w:rsidRPr="00C5207F" w:rsidRDefault="00C1725F" w:rsidP="007F0B00">
            <w:pPr>
              <w:pStyle w:val="lgetabletxt"/>
              <w:spacing w:after="60" w:afterAutospacing="0"/>
            </w:pPr>
            <w:r w:rsidRPr="00C048C1">
              <w:t>Employees</w:t>
            </w:r>
            <w:r w:rsidR="00C5207F">
              <w:t xml:space="preserve"> (</w:t>
            </w:r>
            <w:r w:rsidR="00C5207F" w:rsidRPr="00016069">
              <w:rPr>
                <w:i/>
              </w:rPr>
              <w:t>Accident Compensation Act 2001</w:t>
            </w:r>
            <w:r w:rsidR="00C5207F">
              <w:t>)</w:t>
            </w:r>
          </w:p>
          <w:p w14:paraId="01038BE5" w14:textId="77777777" w:rsidR="00C1725F" w:rsidRPr="00C048C1" w:rsidRDefault="00C1725F" w:rsidP="007F0B00">
            <w:pPr>
              <w:pStyle w:val="Tabledotpointlist7pt"/>
              <w:spacing w:after="60"/>
            </w:pPr>
            <w:r w:rsidRPr="00C048C1">
              <w:t>For weeks two to five, 80% of short term rate, which is defined as:</w:t>
            </w:r>
          </w:p>
          <w:p w14:paraId="001A7762" w14:textId="705B99C2" w:rsidR="00C1725F" w:rsidRPr="00C048C1" w:rsidRDefault="00C1725F" w:rsidP="007F0B00">
            <w:pPr>
              <w:pStyle w:val="Table-dashpoints"/>
              <w:spacing w:after="60" w:afterAutospacing="0"/>
            </w:pPr>
            <w:r w:rsidRPr="00C048C1">
              <w:t xml:space="preserve">Permanent employees — earnings in the four weeks prior divided by number of weeks in which they were derived — Schedule 1, Part 1, </w:t>
            </w:r>
            <w:hyperlink r:id="rId1084" w:history="1">
              <w:r w:rsidRPr="00CB6FD8">
                <w:rPr>
                  <w:rStyle w:val="Hyperlink"/>
                </w:rPr>
                <w:t>clause 34</w:t>
              </w:r>
            </w:hyperlink>
          </w:p>
          <w:p w14:paraId="12629E02" w14:textId="07FEDCE9" w:rsidR="00C1725F" w:rsidRPr="00C048C1" w:rsidRDefault="00C1725F" w:rsidP="007F0B00">
            <w:pPr>
              <w:pStyle w:val="Table-dashpoints"/>
              <w:spacing w:after="60" w:afterAutospacing="0"/>
            </w:pPr>
            <w:r w:rsidRPr="00C048C1">
              <w:t xml:space="preserve">Non-permanent employees — all earnings in the four weeks prior divided by number of weeks in which they were derived — Schedule 1, Part 1, </w:t>
            </w:r>
            <w:hyperlink r:id="rId1085" w:history="1">
              <w:r w:rsidRPr="00CB6FD8">
                <w:rPr>
                  <w:rStyle w:val="Hyperlink"/>
                </w:rPr>
                <w:t>clause 36</w:t>
              </w:r>
            </w:hyperlink>
          </w:p>
          <w:p w14:paraId="6C546290" w14:textId="77777777" w:rsidR="00C1725F" w:rsidRPr="00C048C1" w:rsidRDefault="00C1725F" w:rsidP="007F0B00">
            <w:pPr>
              <w:pStyle w:val="Tabledotpointlist7pt"/>
              <w:spacing w:after="60"/>
            </w:pPr>
            <w:r w:rsidRPr="00C048C1">
              <w:t>Week 5, 80% of the long term rate, which is defined as:</w:t>
            </w:r>
          </w:p>
          <w:p w14:paraId="7C562CB7" w14:textId="4D3FC948" w:rsidR="00C1725F" w:rsidRPr="00C048C1" w:rsidRDefault="00C1725F" w:rsidP="007F0B00">
            <w:pPr>
              <w:pStyle w:val="Table-dashpoints"/>
              <w:spacing w:after="60" w:afterAutospacing="0"/>
            </w:pPr>
            <w:r w:rsidRPr="00C048C1">
              <w:t xml:space="preserve">Permanent employees — earnings from employment with that employer in the 52 weeks prior divided by weeks in which they were derived — Schedule 1, Part 1, </w:t>
            </w:r>
            <w:hyperlink r:id="rId1086" w:history="1">
              <w:r w:rsidRPr="00CB6FD8">
                <w:rPr>
                  <w:rStyle w:val="Hyperlink"/>
                </w:rPr>
                <w:t>clause 34</w:t>
              </w:r>
            </w:hyperlink>
          </w:p>
          <w:p w14:paraId="10FE52CF" w14:textId="0E160E1A" w:rsidR="00C1725F" w:rsidRPr="00C048C1" w:rsidRDefault="00C1725F" w:rsidP="007F0B00">
            <w:pPr>
              <w:pStyle w:val="Table-dashpoints"/>
              <w:spacing w:after="60" w:afterAutospacing="0"/>
            </w:pPr>
            <w:r w:rsidRPr="00C048C1">
              <w:t xml:space="preserve">Non-permanent employees — all earnings in the 52 weeks prior divided by 52 weeks — Schedule 1, Part 1, </w:t>
            </w:r>
            <w:hyperlink r:id="rId1087" w:history="1">
              <w:r w:rsidRPr="00CB6FD8">
                <w:rPr>
                  <w:rStyle w:val="Hyperlink"/>
                </w:rPr>
                <w:t>clause 36</w:t>
              </w:r>
            </w:hyperlink>
          </w:p>
          <w:p w14:paraId="07BB7917" w14:textId="77777777" w:rsidR="00C1725F" w:rsidRPr="00C048C1" w:rsidRDefault="00C1725F" w:rsidP="007F0B00">
            <w:pPr>
              <w:pStyle w:val="lgetabletxt"/>
              <w:spacing w:after="60" w:afterAutospacing="0"/>
            </w:pPr>
            <w:r w:rsidRPr="00C048C1">
              <w:t>Shareholder-employees</w:t>
            </w:r>
          </w:p>
          <w:p w14:paraId="3E210913" w14:textId="77777777" w:rsidR="00C1725F" w:rsidRPr="00C048C1" w:rsidRDefault="00C1725F" w:rsidP="007F0B00">
            <w:pPr>
              <w:pStyle w:val="lgetabletxt"/>
              <w:spacing w:after="60" w:afterAutospacing="0"/>
            </w:pPr>
            <w:r w:rsidRPr="00C048C1">
              <w:t>Either:</w:t>
            </w:r>
          </w:p>
          <w:p w14:paraId="1465EDB4" w14:textId="77777777" w:rsidR="00C1725F" w:rsidRPr="00C048C1" w:rsidRDefault="00C1725F" w:rsidP="00F839DB">
            <w:pPr>
              <w:pStyle w:val="Tableabc7pt"/>
              <w:numPr>
                <w:ilvl w:val="0"/>
                <w:numId w:val="458"/>
              </w:numPr>
              <w:spacing w:before="0" w:after="60"/>
            </w:pPr>
            <w:r w:rsidRPr="00C048C1">
              <w:t>earnings as an employee in the 52 weeks prior to incapacity divided by the number of weeks worked</w:t>
            </w:r>
          </w:p>
          <w:p w14:paraId="255CD707" w14:textId="77777777" w:rsidR="00C1725F" w:rsidRPr="00C048C1" w:rsidRDefault="00C1725F" w:rsidP="00F839DB">
            <w:pPr>
              <w:pStyle w:val="Tableabc7pt"/>
              <w:numPr>
                <w:ilvl w:val="0"/>
                <w:numId w:val="458"/>
              </w:numPr>
              <w:spacing w:before="0" w:after="60"/>
            </w:pPr>
            <w:r w:rsidRPr="00C048C1">
              <w:t>earnings as an employee in the 52 weeks prior to incapacity and as a shareholder employee in the relevant year divided by weeks as an employee plus weeks worked as a shareholder-employee, or</w:t>
            </w:r>
          </w:p>
          <w:p w14:paraId="75B1E9B4" w14:textId="4EEF7015" w:rsidR="00C1725F" w:rsidRPr="00C048C1" w:rsidRDefault="00C1725F" w:rsidP="00F839DB">
            <w:pPr>
              <w:pStyle w:val="Tableabc7pt"/>
              <w:numPr>
                <w:ilvl w:val="0"/>
                <w:numId w:val="458"/>
              </w:numPr>
              <w:spacing w:before="0" w:after="60"/>
            </w:pPr>
            <w:r w:rsidRPr="00C048C1">
              <w:t xml:space="preserve">weeks as an employee divided by 52 plus shareholder-employee earnings divided by 52 — Schedule 1, Part 1, </w:t>
            </w:r>
            <w:hyperlink r:id="rId1088" w:history="1">
              <w:r w:rsidRPr="00CB6FD8">
                <w:rPr>
                  <w:rStyle w:val="Hyperlink"/>
                </w:rPr>
                <w:t>clause 39</w:t>
              </w:r>
            </w:hyperlink>
          </w:p>
          <w:p w14:paraId="455F8724" w14:textId="683A746F" w:rsidR="00C1725F" w:rsidRPr="00C048C1" w:rsidRDefault="00C1725F" w:rsidP="007F0B00">
            <w:pPr>
              <w:pStyle w:val="Tabledotpointlist7pt"/>
              <w:spacing w:after="60"/>
            </w:pPr>
            <w:r w:rsidRPr="00C048C1">
              <w:t xml:space="preserve">Maximum weekly compensation amount is </w:t>
            </w:r>
            <w:r w:rsidR="008E5756" w:rsidRPr="008E5756">
              <w:t>NZ$1</w:t>
            </w:r>
            <w:r w:rsidR="00E27C40">
              <w:t>,</w:t>
            </w:r>
            <w:r w:rsidR="008E5756" w:rsidRPr="008E5756">
              <w:t>908.50</w:t>
            </w:r>
            <w:r w:rsidRPr="00C048C1">
              <w:t xml:space="preserve">. Will be reduced by a proportion of any </w:t>
            </w:r>
            <w:r w:rsidRPr="00C048C1">
              <w:lastRenderedPageBreak/>
              <w:t>earnings derived in the period of incapacity.</w:t>
            </w:r>
          </w:p>
          <w:p w14:paraId="7CD04784" w14:textId="77777777" w:rsidR="00C1725F" w:rsidRPr="00C048C1" w:rsidRDefault="00C1725F" w:rsidP="007F0B00">
            <w:pPr>
              <w:pStyle w:val="Tabledotpointlist7pt"/>
              <w:spacing w:after="60"/>
            </w:pPr>
            <w:r w:rsidRPr="00C048C1">
              <w:t xml:space="preserve">Minimum for full-time earners — 80% of </w:t>
            </w:r>
            <w:r w:rsidR="008E5756" w:rsidRPr="008E5756">
              <w:t>NZ$610.00</w:t>
            </w:r>
            <w:r w:rsidRPr="00C048C1">
              <w:t xml:space="preserve">. (The </w:t>
            </w:r>
            <w:r w:rsidRPr="00CE49D9">
              <w:rPr>
                <w:i/>
              </w:rPr>
              <w:t>IPRC Amendment Act 2008</w:t>
            </w:r>
            <w:r w:rsidRPr="00C048C1">
              <w:t xml:space="preserve"> removed the need for a different minimum earner rate for full-time earners under 18).</w:t>
            </w:r>
          </w:p>
        </w:tc>
        <w:tc>
          <w:tcPr>
            <w:tcW w:w="6898" w:type="dxa"/>
            <w:tcMar>
              <w:top w:w="80" w:type="dxa"/>
              <w:left w:w="80" w:type="dxa"/>
              <w:bottom w:w="80" w:type="dxa"/>
              <w:right w:w="80" w:type="dxa"/>
            </w:tcMar>
          </w:tcPr>
          <w:p w14:paraId="5D54922E" w14:textId="77777777" w:rsidR="00C1725F" w:rsidRPr="00C048C1" w:rsidRDefault="00C1725F" w:rsidP="007F0B00">
            <w:pPr>
              <w:pStyle w:val="lgetabletxt"/>
              <w:spacing w:after="60" w:afterAutospacing="0"/>
            </w:pPr>
            <w:r w:rsidRPr="00C048C1">
              <w:lastRenderedPageBreak/>
              <w:t>Injury prior to 1 April 2002, an independence allowance may be payable if impairment &gt; 10%.</w:t>
            </w:r>
          </w:p>
          <w:p w14:paraId="1078D90A" w14:textId="77777777" w:rsidR="00C1725F" w:rsidRPr="00C048C1" w:rsidRDefault="00C1725F" w:rsidP="007F0B00">
            <w:pPr>
              <w:pStyle w:val="lgetabletxt"/>
              <w:spacing w:after="60" w:afterAutospacing="0"/>
            </w:pPr>
            <w:r w:rsidRPr="00C048C1">
              <w:t>From 1 April 2002, spouse of person killed can apply to have weekly compensation commuted.</w:t>
            </w:r>
          </w:p>
          <w:p w14:paraId="072AFE72" w14:textId="77777777" w:rsidR="00C1725F" w:rsidRPr="00C048C1" w:rsidRDefault="00C1725F" w:rsidP="007F0B00">
            <w:pPr>
              <w:pStyle w:val="lgetabletxt"/>
              <w:spacing w:after="60" w:afterAutospacing="0"/>
            </w:pPr>
            <w:r w:rsidRPr="00C048C1">
              <w:t>The independence allowance can be capitalised for periods of 5 years, weekly compensation and medical costs cannot be commuted.</w:t>
            </w:r>
          </w:p>
        </w:tc>
      </w:tr>
      <w:bookmarkEnd w:id="137"/>
    </w:tbl>
    <w:p w14:paraId="6DF9D9FD" w14:textId="701549A5" w:rsidR="00C66972" w:rsidRPr="00C66972" w:rsidRDefault="00C66972" w:rsidP="00C66972">
      <w:pPr>
        <w:spacing w:after="200" w:line="276" w:lineRule="auto"/>
        <w:rPr>
          <w:rFonts w:eastAsiaTheme="minorHAnsi"/>
        </w:rPr>
      </w:pPr>
    </w:p>
    <w:p w14:paraId="252CAAF5" w14:textId="094E387B" w:rsidR="00581785" w:rsidRPr="00A80282" w:rsidRDefault="00581785" w:rsidP="00A80282">
      <w:pPr>
        <w:pStyle w:val="SWATableheader"/>
      </w:pPr>
      <w:bookmarkStart w:id="138" w:name="_Toc504654678"/>
      <w:bookmarkStart w:id="139" w:name="medical"/>
      <w:r w:rsidRPr="00A80282">
        <w:rPr>
          <w:rStyle w:val="SWATableheaderChar"/>
          <w:b/>
        </w:rPr>
        <w:lastRenderedPageBreak/>
        <w:t>Table 4.2: Medical, hospital and other costs</w:t>
      </w:r>
      <w:bookmarkEnd w:id="138"/>
      <w:r w:rsidR="00854F23" w:rsidRPr="00A80282">
        <w:rPr>
          <w:rStyle w:val="SWATableheaderChar"/>
          <w:b/>
        </w:rPr>
        <w:fldChar w:fldCharType="begin"/>
      </w:r>
      <w:r w:rsidR="00854F23" w:rsidRPr="00A80282">
        <w:instrText xml:space="preserve"> XE "benefits:medical, hospital and other costs" \r "medical" </w:instrText>
      </w:r>
      <w:r w:rsidR="00854F23" w:rsidRPr="00A80282">
        <w:rPr>
          <w:rStyle w:val="SWATableheaderChar"/>
          <w:b/>
        </w:rPr>
        <w:fldChar w:fldCharType="end"/>
      </w:r>
      <w:r w:rsidRPr="00A80282">
        <w:t xml:space="preserve"> </w:t>
      </w:r>
      <w:r w:rsidR="00306D40" w:rsidRPr="00A80282">
        <w:fldChar w:fldCharType="begin"/>
      </w:r>
      <w:r w:rsidR="00306D40" w:rsidRPr="00A80282">
        <w:instrText xml:space="preserve"> XE "medical, hospital and other costs:benefits" \r "medical" </w:instrText>
      </w:r>
      <w:r w:rsidR="00306D40"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2: Medical, hospital and other costs  "/>
        <w:tblDescription w:val="This table outlines medical, hospital and other costs under the workers' compensation schemes. "/>
      </w:tblPr>
      <w:tblGrid>
        <w:gridCol w:w="1626"/>
        <w:gridCol w:w="2759"/>
        <w:gridCol w:w="2759"/>
        <w:gridCol w:w="2759"/>
        <w:gridCol w:w="2759"/>
        <w:gridCol w:w="2759"/>
      </w:tblGrid>
      <w:tr w:rsidR="00581785" w:rsidRPr="00581785" w14:paraId="7FC699C6" w14:textId="77777777" w:rsidTr="00B2173F">
        <w:trPr>
          <w:tblHeader/>
        </w:trPr>
        <w:tc>
          <w:tcPr>
            <w:tcW w:w="1626" w:type="dxa"/>
            <w:shd w:val="clear" w:color="auto" w:fill="C00000"/>
            <w:tcMar>
              <w:top w:w="0" w:type="dxa"/>
              <w:left w:w="0" w:type="dxa"/>
              <w:bottom w:w="0" w:type="dxa"/>
              <w:right w:w="0" w:type="dxa"/>
            </w:tcMar>
            <w:vAlign w:val="center"/>
          </w:tcPr>
          <w:p w14:paraId="3DA75025" w14:textId="77777777" w:rsidR="00581785" w:rsidRPr="00581785" w:rsidRDefault="00581785" w:rsidP="007F0B00">
            <w:pPr>
              <w:pStyle w:val="Tableheaderrow"/>
              <w:spacing w:after="60"/>
            </w:pPr>
          </w:p>
        </w:tc>
        <w:tc>
          <w:tcPr>
            <w:tcW w:w="2759" w:type="dxa"/>
            <w:shd w:val="clear" w:color="auto" w:fill="C00000"/>
            <w:tcMar>
              <w:top w:w="0" w:type="dxa"/>
              <w:left w:w="0" w:type="dxa"/>
              <w:bottom w:w="0" w:type="dxa"/>
              <w:right w:w="0" w:type="dxa"/>
            </w:tcMar>
            <w:vAlign w:val="center"/>
          </w:tcPr>
          <w:p w14:paraId="56BA7ECC" w14:textId="77777777" w:rsidR="00581785" w:rsidRPr="00581785" w:rsidRDefault="00581785" w:rsidP="007F0B00">
            <w:pPr>
              <w:pStyle w:val="Tableheaderrow"/>
              <w:spacing w:after="60"/>
            </w:pPr>
            <w:r w:rsidRPr="00581785">
              <w:t>Medical and hospital benefits</w:t>
            </w:r>
          </w:p>
        </w:tc>
        <w:tc>
          <w:tcPr>
            <w:tcW w:w="2759" w:type="dxa"/>
            <w:shd w:val="clear" w:color="auto" w:fill="C00000"/>
            <w:tcMar>
              <w:top w:w="0" w:type="dxa"/>
              <w:left w:w="0" w:type="dxa"/>
              <w:bottom w:w="0" w:type="dxa"/>
              <w:right w:w="0" w:type="dxa"/>
            </w:tcMar>
            <w:vAlign w:val="center"/>
          </w:tcPr>
          <w:p w14:paraId="4B9F2C67" w14:textId="3AF0B27C" w:rsidR="00581785" w:rsidRPr="00581785" w:rsidRDefault="00581785" w:rsidP="007F0B00">
            <w:pPr>
              <w:pStyle w:val="Tableheaderrow"/>
              <w:spacing w:after="60"/>
            </w:pPr>
            <w:r w:rsidRPr="00581785">
              <w:t>Attendant care (at home or in supported accommodation</w:t>
            </w:r>
            <w:r w:rsidR="000A06AE">
              <w:fldChar w:fldCharType="begin"/>
            </w:r>
            <w:r w:rsidR="000A06AE">
              <w:instrText xml:space="preserve"> XE "</w:instrText>
            </w:r>
            <w:r w:rsidR="000A06AE" w:rsidRPr="0091695A">
              <w:rPr>
                <w:rFonts w:eastAsia="Calibri"/>
                <w:sz w:val="14"/>
                <w:szCs w:val="14"/>
              </w:rPr>
              <w:instrText>accommodation</w:instrText>
            </w:r>
            <w:r w:rsidR="000A06AE">
              <w:instrText xml:space="preserve">" </w:instrText>
            </w:r>
            <w:r w:rsidR="000A06AE">
              <w:fldChar w:fldCharType="end"/>
            </w:r>
            <w:r w:rsidRPr="00581785">
              <w:t>)</w:t>
            </w:r>
          </w:p>
        </w:tc>
        <w:tc>
          <w:tcPr>
            <w:tcW w:w="2759" w:type="dxa"/>
            <w:shd w:val="clear" w:color="auto" w:fill="C00000"/>
            <w:tcMar>
              <w:top w:w="0" w:type="dxa"/>
              <w:left w:w="0" w:type="dxa"/>
              <w:bottom w:w="0" w:type="dxa"/>
              <w:right w:w="0" w:type="dxa"/>
            </w:tcMar>
            <w:vAlign w:val="center"/>
          </w:tcPr>
          <w:p w14:paraId="34775285" w14:textId="77777777" w:rsidR="00581785" w:rsidRPr="00581785" w:rsidRDefault="00581785" w:rsidP="007F0B00">
            <w:pPr>
              <w:pStyle w:val="Tableheaderrow"/>
              <w:spacing w:after="60"/>
            </w:pPr>
            <w:r w:rsidRPr="00581785">
              <w:t>Home help</w:t>
            </w:r>
          </w:p>
        </w:tc>
        <w:tc>
          <w:tcPr>
            <w:tcW w:w="2759" w:type="dxa"/>
            <w:shd w:val="clear" w:color="auto" w:fill="C00000"/>
            <w:tcMar>
              <w:top w:w="0" w:type="dxa"/>
              <w:left w:w="0" w:type="dxa"/>
              <w:bottom w:w="0" w:type="dxa"/>
              <w:right w:w="0" w:type="dxa"/>
            </w:tcMar>
            <w:vAlign w:val="center"/>
          </w:tcPr>
          <w:p w14:paraId="60A58FC2" w14:textId="77777777" w:rsidR="00581785" w:rsidRPr="00581785" w:rsidRDefault="00581785" w:rsidP="007F0B00">
            <w:pPr>
              <w:pStyle w:val="Tableheaderrow"/>
              <w:spacing w:after="60"/>
            </w:pPr>
            <w:r w:rsidRPr="00581785">
              <w:t>Other costs (i.e. home modification)</w:t>
            </w:r>
          </w:p>
        </w:tc>
        <w:tc>
          <w:tcPr>
            <w:tcW w:w="2759" w:type="dxa"/>
            <w:shd w:val="clear" w:color="auto" w:fill="C00000"/>
            <w:tcMar>
              <w:top w:w="0" w:type="dxa"/>
              <w:left w:w="0" w:type="dxa"/>
              <w:bottom w:w="0" w:type="dxa"/>
              <w:right w:w="0" w:type="dxa"/>
            </w:tcMar>
            <w:vAlign w:val="center"/>
          </w:tcPr>
          <w:p w14:paraId="4A88DE57" w14:textId="77777777" w:rsidR="00581785" w:rsidRPr="00581785" w:rsidRDefault="00581785" w:rsidP="007F0B00">
            <w:pPr>
              <w:pStyle w:val="Tableheaderrow"/>
              <w:spacing w:after="60"/>
            </w:pPr>
            <w:r w:rsidRPr="00581785">
              <w:t>Limits to benefits listed above</w:t>
            </w:r>
          </w:p>
        </w:tc>
      </w:tr>
      <w:tr w:rsidR="00581785" w:rsidRPr="00581785" w14:paraId="6F113979" w14:textId="77777777" w:rsidTr="00B2173F">
        <w:tc>
          <w:tcPr>
            <w:tcW w:w="1626" w:type="dxa"/>
            <w:shd w:val="clear" w:color="auto" w:fill="FFC9C9"/>
            <w:tcMar>
              <w:top w:w="80" w:type="dxa"/>
              <w:left w:w="80" w:type="dxa"/>
              <w:bottom w:w="80" w:type="dxa"/>
              <w:right w:w="80" w:type="dxa"/>
            </w:tcMar>
          </w:tcPr>
          <w:p w14:paraId="01064FE6"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New South Wales</w:t>
            </w:r>
          </w:p>
        </w:tc>
        <w:tc>
          <w:tcPr>
            <w:tcW w:w="2759" w:type="dxa"/>
            <w:shd w:val="clear" w:color="auto" w:fill="FFC9C9"/>
            <w:tcMar>
              <w:top w:w="80" w:type="dxa"/>
              <w:left w:w="80" w:type="dxa"/>
              <w:bottom w:w="80" w:type="dxa"/>
              <w:right w:w="80" w:type="dxa"/>
            </w:tcMar>
          </w:tcPr>
          <w:p w14:paraId="6A33CD8B"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 xml:space="preserve">Covers all medical and </w:t>
            </w:r>
            <w:r w:rsidR="00F25DE5">
              <w:rPr>
                <w:rFonts w:eastAsia="Calibri" w:cs="Arial"/>
                <w:sz w:val="14"/>
                <w:szCs w:val="14"/>
                <w:lang w:eastAsia="en-US"/>
              </w:rPr>
              <w:t>related treatment and hospital/a</w:t>
            </w:r>
            <w:r w:rsidRPr="006C38F7">
              <w:rPr>
                <w:rFonts w:eastAsia="Calibri" w:cs="Arial"/>
                <w:sz w:val="14"/>
                <w:szCs w:val="14"/>
                <w:lang w:eastAsia="en-US"/>
              </w:rPr>
              <w:t xml:space="preserve">mbulance costs reasonably necessary as a result of the injury. </w:t>
            </w:r>
          </w:p>
          <w:p w14:paraId="60614707"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Most medical and related expenses require prior approval.</w:t>
            </w:r>
          </w:p>
          <w:p w14:paraId="0EEED4AD"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Fees for many services are covered by fee schedules.</w:t>
            </w:r>
          </w:p>
          <w:p w14:paraId="7B61B15C" w14:textId="6A4DDDE0" w:rsidR="00581785" w:rsidRPr="006C38F7" w:rsidRDefault="00A7538C" w:rsidP="00F839DB">
            <w:pPr>
              <w:pStyle w:val="ListParagraph"/>
              <w:numPr>
                <w:ilvl w:val="0"/>
                <w:numId w:val="406"/>
              </w:numPr>
              <w:spacing w:after="60"/>
              <w:contextualSpacing/>
              <w:rPr>
                <w:rFonts w:eastAsia="Calibri" w:cs="Arial"/>
                <w:sz w:val="14"/>
                <w:szCs w:val="14"/>
                <w:lang w:eastAsia="en-US"/>
              </w:rPr>
            </w:pPr>
            <w:hyperlink r:id="rId1089" w:history="1">
              <w:r w:rsidR="00581785" w:rsidRPr="009641C0">
                <w:rPr>
                  <w:rStyle w:val="Hyperlink"/>
                  <w:rFonts w:eastAsia="Calibri" w:cs="Arial"/>
                  <w:sz w:val="14"/>
                  <w:szCs w:val="14"/>
                  <w:lang w:eastAsia="en-US"/>
                </w:rPr>
                <w:t>s59</w:t>
              </w:r>
            </w:hyperlink>
            <w:r w:rsidR="00581785" w:rsidRPr="006C38F7">
              <w:rPr>
                <w:rFonts w:eastAsia="Calibri" w:cs="Arial"/>
                <w:sz w:val="14"/>
                <w:szCs w:val="14"/>
                <w:lang w:eastAsia="en-US"/>
              </w:rPr>
              <w:t xml:space="preserve">, </w:t>
            </w:r>
            <w:hyperlink r:id="rId1090" w:history="1">
              <w:r w:rsidR="00581785" w:rsidRPr="009641C0">
                <w:rPr>
                  <w:rStyle w:val="Hyperlink"/>
                  <w:rFonts w:eastAsia="Calibri" w:cs="Arial"/>
                  <w:sz w:val="14"/>
                  <w:szCs w:val="14"/>
                  <w:lang w:eastAsia="en-US"/>
                </w:rPr>
                <w:t>60</w:t>
              </w:r>
            </w:hyperlink>
            <w:r w:rsidR="00581785" w:rsidRPr="006C38F7">
              <w:rPr>
                <w:rFonts w:eastAsia="Calibri" w:cs="Arial"/>
                <w:sz w:val="14"/>
                <w:szCs w:val="14"/>
                <w:lang w:eastAsia="en-US"/>
              </w:rPr>
              <w:t xml:space="preserve">, </w:t>
            </w:r>
            <w:hyperlink r:id="rId1091" w:history="1">
              <w:r w:rsidR="00581785" w:rsidRPr="009641C0">
                <w:rPr>
                  <w:rStyle w:val="Hyperlink"/>
                  <w:rFonts w:eastAsia="Calibri" w:cs="Arial"/>
                  <w:sz w:val="14"/>
                  <w:szCs w:val="14"/>
                  <w:lang w:eastAsia="en-US"/>
                </w:rPr>
                <w:t>60A</w:t>
              </w:r>
            </w:hyperlink>
            <w:r w:rsidR="002E3F0A">
              <w:rPr>
                <w:rFonts w:eastAsia="Calibri" w:cs="Arial"/>
                <w:sz w:val="14"/>
                <w:szCs w:val="14"/>
                <w:lang w:eastAsia="en-US"/>
              </w:rPr>
              <w:t>,</w:t>
            </w:r>
            <w:r w:rsidR="00581785" w:rsidRPr="006C38F7">
              <w:rPr>
                <w:rFonts w:eastAsia="Calibri" w:cs="Arial"/>
                <w:sz w:val="14"/>
                <w:szCs w:val="14"/>
                <w:lang w:eastAsia="en-US"/>
              </w:rPr>
              <w:t xml:space="preserve"> </w:t>
            </w:r>
            <w:hyperlink r:id="rId1092" w:history="1">
              <w:r w:rsidR="00581785" w:rsidRPr="009641C0">
                <w:rPr>
                  <w:rStyle w:val="Hyperlink"/>
                  <w:rFonts w:eastAsia="Calibri" w:cs="Arial"/>
                  <w:sz w:val="14"/>
                  <w:szCs w:val="14"/>
                  <w:lang w:eastAsia="en-US"/>
                </w:rPr>
                <w:t>61</w:t>
              </w:r>
            </w:hyperlink>
            <w:r w:rsidR="002E3F0A">
              <w:rPr>
                <w:rFonts w:eastAsia="Calibri" w:cs="Arial"/>
                <w:sz w:val="14"/>
                <w:szCs w:val="14"/>
                <w:lang w:eastAsia="en-US"/>
              </w:rPr>
              <w:t>,</w:t>
            </w:r>
            <w:r w:rsidR="00581785" w:rsidRPr="006C38F7">
              <w:rPr>
                <w:rFonts w:eastAsia="Calibri" w:cs="Arial"/>
                <w:sz w:val="14"/>
                <w:szCs w:val="14"/>
                <w:lang w:eastAsia="en-US"/>
              </w:rPr>
              <w:t xml:space="preserve"> </w:t>
            </w:r>
            <w:hyperlink r:id="rId1093" w:history="1">
              <w:r w:rsidR="00581785" w:rsidRPr="009641C0">
                <w:rPr>
                  <w:rStyle w:val="Hyperlink"/>
                  <w:rFonts w:eastAsia="Calibri" w:cs="Arial"/>
                  <w:sz w:val="14"/>
                  <w:szCs w:val="14"/>
                  <w:lang w:eastAsia="en-US"/>
                </w:rPr>
                <w:t>62</w:t>
              </w:r>
            </w:hyperlink>
            <w:r w:rsidR="00581785" w:rsidRPr="006C38F7">
              <w:rPr>
                <w:rFonts w:eastAsia="Calibri" w:cs="Arial"/>
                <w:sz w:val="14"/>
                <w:szCs w:val="14"/>
                <w:lang w:eastAsia="en-US"/>
              </w:rPr>
              <w:t xml:space="preserve"> and </w:t>
            </w:r>
            <w:hyperlink r:id="rId1094" w:history="1">
              <w:r w:rsidR="00581785" w:rsidRPr="009641C0">
                <w:rPr>
                  <w:rStyle w:val="Hyperlink"/>
                  <w:rFonts w:eastAsia="Calibri" w:cs="Arial"/>
                  <w:sz w:val="14"/>
                  <w:szCs w:val="14"/>
                  <w:lang w:eastAsia="en-US"/>
                </w:rPr>
                <w:t>63</w:t>
              </w:r>
            </w:hyperlink>
            <w:r w:rsidR="00581785" w:rsidRPr="006C38F7">
              <w:rPr>
                <w:rFonts w:eastAsia="Calibri" w:cs="Arial"/>
                <w:sz w:val="14"/>
                <w:szCs w:val="14"/>
                <w:lang w:eastAsia="en-US"/>
              </w:rPr>
              <w:t xml:space="preserve"> of </w:t>
            </w:r>
            <w:r w:rsidR="009A647B" w:rsidRPr="00016069">
              <w:rPr>
                <w:i/>
                <w:sz w:val="14"/>
              </w:rPr>
              <w:t>Workers Compensation Act 1987</w:t>
            </w:r>
            <w:r w:rsidR="00581785" w:rsidRPr="006C38F7">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7898D204" w14:textId="606DD558" w:rsidR="00581785" w:rsidRPr="00854AFF"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Covered under medical and related treatment.</w:t>
            </w:r>
          </w:p>
        </w:tc>
        <w:tc>
          <w:tcPr>
            <w:tcW w:w="2759" w:type="dxa"/>
            <w:shd w:val="clear" w:color="auto" w:fill="FFC9C9"/>
            <w:tcMar>
              <w:top w:w="80" w:type="dxa"/>
              <w:left w:w="80" w:type="dxa"/>
              <w:bottom w:w="80" w:type="dxa"/>
              <w:right w:w="80" w:type="dxa"/>
            </w:tcMar>
          </w:tcPr>
          <w:p w14:paraId="19BDCC95"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Reasonably necessary domestic assistance covered if a medical practitioner certifies it is required and the worker performed the task before the injury.</w:t>
            </w:r>
          </w:p>
          <w:p w14:paraId="215E1D9D"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It is available for six hours/week for cumulative 12 week period or longer if the injury has resulted in at least 15% permanent impairment.</w:t>
            </w:r>
          </w:p>
          <w:p w14:paraId="32A2CD54" w14:textId="12AEC318" w:rsidR="00581785" w:rsidRPr="006C38F7" w:rsidRDefault="00A7538C" w:rsidP="00F839DB">
            <w:pPr>
              <w:pStyle w:val="ListParagraph"/>
              <w:numPr>
                <w:ilvl w:val="0"/>
                <w:numId w:val="406"/>
              </w:numPr>
              <w:spacing w:after="60"/>
              <w:contextualSpacing/>
              <w:rPr>
                <w:rFonts w:eastAsia="Calibri" w:cs="Arial"/>
                <w:sz w:val="14"/>
                <w:szCs w:val="14"/>
                <w:lang w:eastAsia="en-US"/>
              </w:rPr>
            </w:pPr>
            <w:hyperlink r:id="rId1095" w:history="1">
              <w:r w:rsidR="00581785" w:rsidRPr="009641C0">
                <w:rPr>
                  <w:rStyle w:val="Hyperlink"/>
                  <w:rFonts w:eastAsia="Calibri" w:cs="Arial"/>
                  <w:sz w:val="14"/>
                  <w:szCs w:val="14"/>
                  <w:lang w:eastAsia="en-US"/>
                </w:rPr>
                <w:t>s60AA</w:t>
              </w:r>
            </w:hyperlink>
            <w:r w:rsidR="00581785" w:rsidRPr="006C38F7">
              <w:rPr>
                <w:rFonts w:eastAsia="Calibri" w:cs="Arial"/>
                <w:sz w:val="14"/>
                <w:szCs w:val="14"/>
                <w:lang w:eastAsia="en-US"/>
              </w:rPr>
              <w:t xml:space="preserve"> of </w:t>
            </w:r>
            <w:r w:rsidR="00626FBD">
              <w:rPr>
                <w:rFonts w:eastAsia="Calibri" w:cs="Arial"/>
                <w:sz w:val="14"/>
                <w:szCs w:val="14"/>
                <w:lang w:eastAsia="en-US"/>
              </w:rPr>
              <w:t>1987 Act</w:t>
            </w:r>
            <w:r w:rsidR="00581785" w:rsidRPr="006C38F7">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2AABD952" w14:textId="22BB9869"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 xml:space="preserve">Other costs covered under medical and related treatment, (e.g. domestic assistance, home and vehicle modifications etc), hospital treatment and workplace rehabilitation service as defined in </w:t>
            </w:r>
            <w:hyperlink r:id="rId1096" w:history="1">
              <w:r w:rsidRPr="009641C0">
                <w:rPr>
                  <w:rStyle w:val="Hyperlink"/>
                  <w:rFonts w:eastAsia="Calibri" w:cs="Arial"/>
                  <w:sz w:val="14"/>
                  <w:szCs w:val="14"/>
                  <w:lang w:eastAsia="en-US"/>
                </w:rPr>
                <w:t>s59</w:t>
              </w:r>
            </w:hyperlink>
            <w:r w:rsidRPr="006C38F7">
              <w:rPr>
                <w:rFonts w:eastAsia="Calibri" w:cs="Arial"/>
                <w:sz w:val="14"/>
                <w:szCs w:val="14"/>
                <w:lang w:eastAsia="en-US"/>
              </w:rPr>
              <w:t xml:space="preserve"> of the </w:t>
            </w:r>
            <w:r w:rsidR="00626FBD">
              <w:rPr>
                <w:rFonts w:eastAsia="Calibri" w:cs="Arial"/>
                <w:sz w:val="14"/>
                <w:szCs w:val="14"/>
                <w:lang w:eastAsia="en-US"/>
              </w:rPr>
              <w:t>1987 Act.</w:t>
            </w:r>
          </w:p>
        </w:tc>
        <w:tc>
          <w:tcPr>
            <w:tcW w:w="2759" w:type="dxa"/>
            <w:shd w:val="clear" w:color="auto" w:fill="FFC9C9"/>
            <w:tcMar>
              <w:top w:w="80" w:type="dxa"/>
              <w:left w:w="80" w:type="dxa"/>
              <w:bottom w:w="80" w:type="dxa"/>
              <w:right w:w="80" w:type="dxa"/>
            </w:tcMar>
          </w:tcPr>
          <w:p w14:paraId="1DBCF569" w14:textId="77777777" w:rsidR="00626FBD" w:rsidRPr="002E3F0A" w:rsidRDefault="00626FBD" w:rsidP="007F0B00">
            <w:pPr>
              <w:spacing w:after="60"/>
              <w:contextualSpacing/>
              <w:rPr>
                <w:rFonts w:eastAsia="Calibri" w:cs="Arial"/>
                <w:sz w:val="14"/>
                <w:szCs w:val="14"/>
                <w:lang w:eastAsia="en-US"/>
              </w:rPr>
            </w:pPr>
            <w:r w:rsidRPr="002E3F0A">
              <w:rPr>
                <w:rFonts w:eastAsia="Calibri" w:cs="Arial"/>
                <w:sz w:val="14"/>
                <w:szCs w:val="14"/>
                <w:lang w:eastAsia="en-US"/>
              </w:rPr>
              <w:t xml:space="preserve">Medical benefit entitlement period: </w:t>
            </w:r>
          </w:p>
          <w:p w14:paraId="751F6FB8" w14:textId="77777777" w:rsidR="00626FBD" w:rsidRPr="00626FBD" w:rsidRDefault="00626FBD" w:rsidP="00F839DB">
            <w:pPr>
              <w:pStyle w:val="ListParagraph"/>
              <w:numPr>
                <w:ilvl w:val="0"/>
                <w:numId w:val="406"/>
              </w:numPr>
              <w:spacing w:after="60"/>
              <w:contextualSpacing/>
              <w:rPr>
                <w:rFonts w:eastAsia="Calibri" w:cs="Arial"/>
                <w:sz w:val="14"/>
                <w:szCs w:val="14"/>
                <w:lang w:eastAsia="en-US"/>
              </w:rPr>
            </w:pPr>
            <w:r w:rsidRPr="00626FBD">
              <w:rPr>
                <w:rFonts w:eastAsia="Calibri" w:cs="Arial"/>
                <w:sz w:val="14"/>
                <w:szCs w:val="14"/>
                <w:lang w:eastAsia="en-US"/>
              </w:rPr>
              <w:t>All workers are entitled to at least two years of medical benefits from when weekly payments cease being payable or from the date of claim if no weekly payments are made.</w:t>
            </w:r>
          </w:p>
          <w:p w14:paraId="520DD6FC" w14:textId="21E2A80F" w:rsidR="00626FBD" w:rsidRPr="00626FBD" w:rsidRDefault="00626FBD" w:rsidP="00F839DB">
            <w:pPr>
              <w:pStyle w:val="ListParagraph"/>
              <w:numPr>
                <w:ilvl w:val="0"/>
                <w:numId w:val="406"/>
              </w:numPr>
              <w:spacing w:after="60"/>
              <w:contextualSpacing/>
              <w:rPr>
                <w:rFonts w:eastAsia="Calibri" w:cs="Arial"/>
                <w:sz w:val="14"/>
                <w:szCs w:val="14"/>
                <w:lang w:eastAsia="en-US"/>
              </w:rPr>
            </w:pPr>
            <w:r w:rsidRPr="00626FBD">
              <w:rPr>
                <w:rFonts w:eastAsia="Calibri" w:cs="Arial"/>
                <w:sz w:val="14"/>
                <w:szCs w:val="14"/>
                <w:lang w:eastAsia="en-US"/>
              </w:rPr>
              <w:t>Further time frames are: five years from when weekly payments cease to be payable f</w:t>
            </w:r>
            <w:r w:rsidR="0035009B">
              <w:rPr>
                <w:rFonts w:eastAsia="Calibri" w:cs="Arial"/>
                <w:sz w:val="14"/>
                <w:szCs w:val="14"/>
                <w:lang w:eastAsia="en-US"/>
              </w:rPr>
              <w:t>or those with 11-20%</w:t>
            </w:r>
            <w:r w:rsidRPr="00626FBD">
              <w:rPr>
                <w:rFonts w:eastAsia="Calibri" w:cs="Arial"/>
                <w:sz w:val="14"/>
                <w:szCs w:val="14"/>
                <w:lang w:eastAsia="en-US"/>
              </w:rPr>
              <w:t xml:space="preserve"> permanent impairment or for life</w:t>
            </w:r>
            <w:r w:rsidR="0035009B">
              <w:rPr>
                <w:rFonts w:eastAsia="Calibri" w:cs="Arial"/>
                <w:sz w:val="14"/>
                <w:szCs w:val="14"/>
                <w:lang w:eastAsia="en-US"/>
              </w:rPr>
              <w:t xml:space="preserve"> for those with greater than 20% </w:t>
            </w:r>
            <w:r w:rsidRPr="00626FBD">
              <w:rPr>
                <w:rFonts w:eastAsia="Calibri" w:cs="Arial"/>
                <w:sz w:val="14"/>
                <w:szCs w:val="14"/>
                <w:lang w:eastAsia="en-US"/>
              </w:rPr>
              <w:t>permanent impairment.</w:t>
            </w:r>
          </w:p>
          <w:p w14:paraId="77FD662C" w14:textId="1D74BB7C" w:rsidR="00626FBD" w:rsidRPr="00626FBD" w:rsidRDefault="00626FBD" w:rsidP="00F839DB">
            <w:pPr>
              <w:pStyle w:val="ListParagraph"/>
              <w:numPr>
                <w:ilvl w:val="0"/>
                <w:numId w:val="406"/>
              </w:numPr>
              <w:spacing w:after="60"/>
              <w:contextualSpacing/>
              <w:rPr>
                <w:rFonts w:eastAsia="Calibri" w:cs="Arial"/>
                <w:sz w:val="14"/>
                <w:szCs w:val="14"/>
                <w:lang w:eastAsia="en-US"/>
              </w:rPr>
            </w:pPr>
            <w:r w:rsidRPr="00626FBD">
              <w:rPr>
                <w:rFonts w:eastAsia="Calibri" w:cs="Arial"/>
                <w:sz w:val="14"/>
                <w:szCs w:val="14"/>
                <w:lang w:eastAsia="en-US"/>
              </w:rPr>
              <w:t xml:space="preserve">Some medical treatment and services are exempt from this compensation period limit. See </w:t>
            </w:r>
            <w:hyperlink r:id="rId1097" w:history="1">
              <w:r w:rsidRPr="009641C0">
                <w:rPr>
                  <w:rStyle w:val="Hyperlink"/>
                  <w:rFonts w:eastAsia="Calibri" w:cs="Arial"/>
                  <w:sz w:val="14"/>
                  <w:szCs w:val="14"/>
                  <w:lang w:eastAsia="en-US"/>
                </w:rPr>
                <w:t>s59A</w:t>
              </w:r>
            </w:hyperlink>
            <w:r w:rsidRPr="00626FBD">
              <w:rPr>
                <w:rFonts w:eastAsia="Calibri" w:cs="Arial"/>
                <w:sz w:val="14"/>
                <w:szCs w:val="14"/>
                <w:lang w:eastAsia="en-US"/>
              </w:rPr>
              <w:t xml:space="preserve">, 1987 Act. </w:t>
            </w:r>
          </w:p>
          <w:p w14:paraId="4F45A403" w14:textId="77777777" w:rsidR="00626FBD" w:rsidRPr="00626FBD" w:rsidRDefault="00626FBD" w:rsidP="00F839DB">
            <w:pPr>
              <w:pStyle w:val="ListParagraph"/>
              <w:numPr>
                <w:ilvl w:val="0"/>
                <w:numId w:val="406"/>
              </w:numPr>
              <w:spacing w:after="60"/>
              <w:contextualSpacing/>
              <w:rPr>
                <w:rFonts w:eastAsia="Calibri" w:cs="Arial"/>
                <w:sz w:val="14"/>
                <w:szCs w:val="14"/>
                <w:lang w:eastAsia="en-US"/>
              </w:rPr>
            </w:pPr>
            <w:r w:rsidRPr="00626FBD">
              <w:rPr>
                <w:rFonts w:eastAsia="Calibri" w:cs="Arial"/>
                <w:sz w:val="14"/>
                <w:szCs w:val="14"/>
                <w:lang w:eastAsia="en-US"/>
              </w:rPr>
              <w:t>Maximum fee rates for allied health providers, medical practitioners; public, private hospitals and ambulance apply.</w:t>
            </w:r>
          </w:p>
          <w:p w14:paraId="3DB1F503" w14:textId="473FE471" w:rsidR="00581785" w:rsidRPr="006C38F7" w:rsidRDefault="00A7538C" w:rsidP="00F839DB">
            <w:pPr>
              <w:pStyle w:val="ListParagraph"/>
              <w:numPr>
                <w:ilvl w:val="0"/>
                <w:numId w:val="406"/>
              </w:numPr>
              <w:spacing w:after="60"/>
              <w:contextualSpacing/>
              <w:rPr>
                <w:rFonts w:eastAsia="Calibri" w:cs="Arial"/>
                <w:sz w:val="14"/>
                <w:szCs w:val="14"/>
                <w:lang w:eastAsia="en-US"/>
              </w:rPr>
            </w:pPr>
            <w:hyperlink r:id="rId1098" w:history="1">
              <w:r w:rsidR="00626FBD" w:rsidRPr="009641C0">
                <w:rPr>
                  <w:rStyle w:val="Hyperlink"/>
                  <w:rFonts w:eastAsia="Calibri" w:cs="Arial"/>
                  <w:sz w:val="14"/>
                  <w:szCs w:val="14"/>
                  <w:lang w:eastAsia="en-US"/>
                </w:rPr>
                <w:t>s61(2)</w:t>
              </w:r>
            </w:hyperlink>
            <w:r w:rsidR="00626FBD" w:rsidRPr="00626FBD">
              <w:rPr>
                <w:rFonts w:eastAsia="Calibri" w:cs="Arial"/>
                <w:sz w:val="14"/>
                <w:szCs w:val="14"/>
                <w:lang w:eastAsia="en-US"/>
              </w:rPr>
              <w:t xml:space="preserve"> of the 1987 Act</w:t>
            </w:r>
            <w:r w:rsidR="00E13D9F">
              <w:rPr>
                <w:rFonts w:eastAsia="Calibri" w:cs="Arial"/>
                <w:sz w:val="14"/>
                <w:szCs w:val="14"/>
                <w:lang w:eastAsia="en-US"/>
              </w:rPr>
              <w:t>.</w:t>
            </w:r>
          </w:p>
        </w:tc>
      </w:tr>
      <w:tr w:rsidR="00581785" w:rsidRPr="00581785" w14:paraId="76ADEB73" w14:textId="77777777" w:rsidTr="00B2173F">
        <w:tc>
          <w:tcPr>
            <w:tcW w:w="1626" w:type="dxa"/>
            <w:tcMar>
              <w:top w:w="80" w:type="dxa"/>
              <w:left w:w="80" w:type="dxa"/>
              <w:bottom w:w="80" w:type="dxa"/>
              <w:right w:w="80" w:type="dxa"/>
            </w:tcMar>
          </w:tcPr>
          <w:p w14:paraId="02D6B871"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Victoria</w:t>
            </w:r>
          </w:p>
        </w:tc>
        <w:tc>
          <w:tcPr>
            <w:tcW w:w="2759" w:type="dxa"/>
            <w:tcMar>
              <w:top w:w="80" w:type="dxa"/>
              <w:left w:w="80" w:type="dxa"/>
              <w:bottom w:w="80" w:type="dxa"/>
              <w:right w:w="80" w:type="dxa"/>
            </w:tcMar>
          </w:tcPr>
          <w:p w14:paraId="026E86AB" w14:textId="1B9E2711" w:rsidR="00581785" w:rsidRPr="006C38F7" w:rsidRDefault="00581785" w:rsidP="00F839DB">
            <w:pPr>
              <w:pStyle w:val="ListParagraph"/>
              <w:numPr>
                <w:ilvl w:val="0"/>
                <w:numId w:val="407"/>
              </w:numPr>
              <w:spacing w:after="60"/>
              <w:contextualSpacing/>
              <w:rPr>
                <w:rFonts w:eastAsia="Calibri" w:cs="Arial"/>
                <w:sz w:val="14"/>
                <w:szCs w:val="14"/>
                <w:lang w:eastAsia="en-US"/>
              </w:rPr>
            </w:pPr>
            <w:r w:rsidRPr="006C38F7">
              <w:rPr>
                <w:rFonts w:eastAsia="Calibri" w:cs="Arial"/>
                <w:sz w:val="14"/>
                <w:szCs w:val="14"/>
                <w:lang w:eastAsia="en-US"/>
              </w:rPr>
              <w:t xml:space="preserve">All reasonable costs for road accident rescue services, medical, hospital, nursing, personal and household, occupational rehabilitation and ambulance services received because of the injury — </w:t>
            </w:r>
            <w:hyperlink r:id="rId1099" w:history="1">
              <w:r w:rsidRPr="009A647B">
                <w:rPr>
                  <w:rStyle w:val="Hyperlink"/>
                  <w:rFonts w:eastAsia="Calibri" w:cs="Arial"/>
                  <w:sz w:val="14"/>
                  <w:szCs w:val="14"/>
                  <w:lang w:eastAsia="en-US"/>
                </w:rPr>
                <w:t>s224(1)</w:t>
              </w:r>
            </w:hyperlink>
            <w:r w:rsidR="009A647B">
              <w:rPr>
                <w:rFonts w:eastAsia="Calibri" w:cs="Arial"/>
                <w:sz w:val="14"/>
                <w:szCs w:val="14"/>
                <w:lang w:eastAsia="en-US"/>
              </w:rPr>
              <w:t xml:space="preserve">, </w:t>
            </w:r>
            <w:r w:rsidR="009A647B" w:rsidRPr="00016069">
              <w:rPr>
                <w:i/>
                <w:sz w:val="14"/>
              </w:rPr>
              <w:t>Workplace Injury Rehabilitation and Compensation Act 2013</w:t>
            </w:r>
          </w:p>
          <w:p w14:paraId="653109C4" w14:textId="2AAD6C5E" w:rsidR="00581785" w:rsidRPr="006C38F7" w:rsidRDefault="00581785" w:rsidP="00F839DB">
            <w:pPr>
              <w:pStyle w:val="ListParagraph"/>
              <w:numPr>
                <w:ilvl w:val="0"/>
                <w:numId w:val="407"/>
              </w:numPr>
              <w:spacing w:after="60"/>
              <w:contextualSpacing/>
              <w:rPr>
                <w:rFonts w:eastAsia="Calibri" w:cs="Arial"/>
                <w:sz w:val="14"/>
                <w:szCs w:val="14"/>
                <w:lang w:eastAsia="en-US"/>
              </w:rPr>
            </w:pPr>
            <w:r w:rsidRPr="006C38F7">
              <w:rPr>
                <w:rFonts w:eastAsia="Calibri" w:cs="Arial"/>
                <w:sz w:val="14"/>
                <w:szCs w:val="14"/>
                <w:lang w:eastAsia="en-US"/>
              </w:rPr>
              <w:t xml:space="preserve">Reasonable costs is defined in </w:t>
            </w:r>
            <w:hyperlink r:id="rId1100" w:history="1">
              <w:r w:rsidRPr="009A647B">
                <w:rPr>
                  <w:rStyle w:val="Hyperlink"/>
                  <w:rFonts w:eastAsia="Calibri" w:cs="Arial"/>
                  <w:sz w:val="14"/>
                  <w:szCs w:val="14"/>
                  <w:lang w:eastAsia="en-US"/>
                </w:rPr>
                <w:t>s223(2)</w:t>
              </w:r>
            </w:hyperlink>
          </w:p>
          <w:p w14:paraId="25508528" w14:textId="23FA4FDA" w:rsidR="00581785" w:rsidRPr="006C38F7" w:rsidRDefault="00581785" w:rsidP="00F839DB">
            <w:pPr>
              <w:pStyle w:val="ListParagraph"/>
              <w:numPr>
                <w:ilvl w:val="0"/>
                <w:numId w:val="407"/>
              </w:numPr>
              <w:spacing w:after="60"/>
              <w:contextualSpacing/>
              <w:rPr>
                <w:rFonts w:eastAsia="Calibri" w:cs="Arial"/>
                <w:sz w:val="14"/>
                <w:szCs w:val="14"/>
                <w:lang w:eastAsia="en-US"/>
              </w:rPr>
            </w:pPr>
            <w:r w:rsidRPr="006C38F7">
              <w:rPr>
                <w:rFonts w:eastAsia="Calibri" w:cs="Arial"/>
                <w:sz w:val="14"/>
                <w:szCs w:val="14"/>
                <w:lang w:eastAsia="en-US"/>
              </w:rPr>
              <w:t xml:space="preserve">For more information go to the </w:t>
            </w:r>
            <w:hyperlink r:id="rId1101" w:history="1">
              <w:r w:rsidRPr="006C38F7">
                <w:rPr>
                  <w:rFonts w:eastAsia="Calibri" w:cs="Arial"/>
                  <w:color w:val="0000FF"/>
                  <w:sz w:val="14"/>
                  <w:szCs w:val="14"/>
                  <w:u w:val="single"/>
                  <w:lang w:eastAsia="en-US"/>
                </w:rPr>
                <w:t>On-line Claims Manual</w:t>
              </w:r>
            </w:hyperlink>
            <w:r w:rsidRPr="006C38F7">
              <w:rPr>
                <w:rFonts w:eastAsia="Calibri" w:cs="Arial"/>
                <w:sz w:val="14"/>
                <w:szCs w:val="14"/>
                <w:lang w:eastAsia="en-US"/>
              </w:rPr>
              <w:t xml:space="preserve">. </w:t>
            </w:r>
          </w:p>
        </w:tc>
        <w:tc>
          <w:tcPr>
            <w:tcW w:w="2759" w:type="dxa"/>
            <w:tcMar>
              <w:top w:w="80" w:type="dxa"/>
              <w:left w:w="80" w:type="dxa"/>
              <w:bottom w:w="80" w:type="dxa"/>
              <w:right w:w="80" w:type="dxa"/>
            </w:tcMar>
          </w:tcPr>
          <w:p w14:paraId="1D112361" w14:textId="60659D5F"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Attendant care is covered under the definition of ‘personal and household services’ in </w:t>
            </w:r>
            <w:hyperlink r:id="rId1102" w:history="1">
              <w:r w:rsidRPr="009A647B">
                <w:rPr>
                  <w:rStyle w:val="Hyperlink"/>
                  <w:rFonts w:cs="Arial"/>
                  <w:sz w:val="14"/>
                  <w:szCs w:val="16"/>
                  <w:lang w:val="en-GB"/>
                </w:rPr>
                <w:t>s3</w:t>
              </w:r>
            </w:hyperlink>
            <w:r w:rsidRPr="00581785">
              <w:rPr>
                <w:rFonts w:cs="Arial"/>
                <w:color w:val="000000"/>
                <w:sz w:val="14"/>
                <w:szCs w:val="16"/>
                <w:lang w:val="en-GB"/>
              </w:rPr>
              <w:t>.</w:t>
            </w:r>
            <w:r w:rsidRPr="00581785">
              <w:rPr>
                <w:rFonts w:cs="Arial"/>
                <w:color w:val="000000"/>
                <w:sz w:val="14"/>
                <w:szCs w:val="16"/>
                <w:lang w:val="en-GB"/>
              </w:rPr>
              <w:br/>
              <w:t>When making an assessment of an attendant care program consideration needs to be given to the worker’s:</w:t>
            </w:r>
          </w:p>
          <w:p w14:paraId="3586FD88"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abilities</w:t>
            </w:r>
          </w:p>
          <w:p w14:paraId="16B91437"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degree of self reliance</w:t>
            </w:r>
          </w:p>
          <w:p w14:paraId="5549323C"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accommodation</w:t>
            </w:r>
            <w:r w:rsidR="000A06AE">
              <w:rPr>
                <w:rFonts w:eastAsia="Calibri" w:cs="Arial"/>
                <w:sz w:val="14"/>
                <w:szCs w:val="14"/>
                <w:lang w:eastAsia="en-US"/>
              </w:rPr>
              <w:fldChar w:fldCharType="begin"/>
            </w:r>
            <w:r w:rsidR="000A06AE">
              <w:instrText xml:space="preserve"> XE "</w:instrText>
            </w:r>
            <w:r w:rsidR="000A06AE" w:rsidRPr="0091695A">
              <w:rPr>
                <w:rFonts w:eastAsia="Calibri" w:cs="Arial"/>
                <w:sz w:val="14"/>
                <w:szCs w:val="14"/>
                <w:lang w:eastAsia="en-US"/>
              </w:rPr>
              <w:instrText>accommodation</w:instrText>
            </w:r>
            <w:r w:rsidR="000A06AE">
              <w:instrText xml:space="preserve">" </w:instrText>
            </w:r>
            <w:r w:rsidR="000A06AE">
              <w:rPr>
                <w:rFonts w:eastAsia="Calibri" w:cs="Arial"/>
                <w:sz w:val="14"/>
                <w:szCs w:val="14"/>
                <w:lang w:eastAsia="en-US"/>
              </w:rPr>
              <w:fldChar w:fldCharType="end"/>
            </w:r>
            <w:r w:rsidRPr="00581785">
              <w:rPr>
                <w:rFonts w:eastAsia="Calibri" w:cs="Arial"/>
                <w:sz w:val="14"/>
                <w:szCs w:val="14"/>
                <w:lang w:eastAsia="en-US"/>
              </w:rPr>
              <w:t xml:space="preserve"> needs</w:t>
            </w:r>
          </w:p>
          <w:p w14:paraId="741900BC"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extent of family support, and</w:t>
            </w:r>
          </w:p>
          <w:p w14:paraId="7E3E1D6F"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family’s need for respite.</w:t>
            </w:r>
          </w:p>
        </w:tc>
        <w:tc>
          <w:tcPr>
            <w:tcW w:w="2759" w:type="dxa"/>
            <w:tcMar>
              <w:top w:w="80" w:type="dxa"/>
              <w:left w:w="80" w:type="dxa"/>
              <w:bottom w:w="80" w:type="dxa"/>
              <w:right w:w="80" w:type="dxa"/>
            </w:tcMar>
          </w:tcPr>
          <w:p w14:paraId="2FFC3651" w14:textId="2A3B3C35"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Personal and household services are defined in </w:t>
            </w:r>
            <w:hyperlink r:id="rId1103" w:history="1">
              <w:r w:rsidRPr="009A647B">
                <w:rPr>
                  <w:rStyle w:val="Hyperlink"/>
                  <w:rFonts w:eastAsia="Calibri" w:cs="Arial"/>
                  <w:sz w:val="14"/>
                  <w:szCs w:val="14"/>
                  <w:lang w:eastAsia="en-US"/>
                </w:rPr>
                <w:t>s3</w:t>
              </w:r>
            </w:hyperlink>
            <w:r w:rsidRPr="00581785">
              <w:rPr>
                <w:rFonts w:eastAsia="Calibri" w:cs="Arial"/>
                <w:sz w:val="14"/>
                <w:szCs w:val="14"/>
                <w:lang w:eastAsia="en-US"/>
              </w:rPr>
              <w:t xml:space="preserve"> and payable under </w:t>
            </w:r>
            <w:hyperlink r:id="rId1104" w:history="1">
              <w:r w:rsidRPr="009A647B">
                <w:rPr>
                  <w:rStyle w:val="Hyperlink"/>
                  <w:rFonts w:eastAsia="Calibri" w:cs="Arial"/>
                  <w:sz w:val="14"/>
                  <w:szCs w:val="14"/>
                  <w:lang w:eastAsia="en-US"/>
                </w:rPr>
                <w:t>s224(1)</w:t>
              </w:r>
            </w:hyperlink>
          </w:p>
          <w:p w14:paraId="79BC992A" w14:textId="77777777" w:rsidR="00581785" w:rsidRPr="00581785" w:rsidRDefault="00581785" w:rsidP="00F839DB">
            <w:pPr>
              <w:pStyle w:val="ListParagraph"/>
              <w:numPr>
                <w:ilvl w:val="0"/>
                <w:numId w:val="133"/>
              </w:numPr>
              <w:spacing w:after="60"/>
              <w:ind w:left="357" w:hanging="357"/>
              <w:rPr>
                <w:rFonts w:eastAsia="Calibri" w:cs="Arial"/>
                <w:sz w:val="14"/>
                <w:szCs w:val="14"/>
                <w:lang w:eastAsia="en-US"/>
              </w:rPr>
            </w:pPr>
            <w:r w:rsidRPr="00581785">
              <w:rPr>
                <w:rFonts w:eastAsia="Calibri" w:cs="Arial"/>
                <w:sz w:val="14"/>
                <w:szCs w:val="14"/>
                <w:lang w:eastAsia="en-US"/>
              </w:rPr>
              <w:t>In determining entitlement for personal and household services the individual circumstances of the worker need to be assessed having regard to:</w:t>
            </w:r>
          </w:p>
          <w:p w14:paraId="534CD4FF" w14:textId="77777777" w:rsidR="00581785" w:rsidRPr="003B7E1F" w:rsidRDefault="00581785" w:rsidP="00DF35F2">
            <w:pPr>
              <w:pStyle w:val="ListParagraph"/>
              <w:numPr>
                <w:ilvl w:val="0"/>
                <w:numId w:val="56"/>
              </w:numPr>
              <w:spacing w:after="60"/>
              <w:ind w:left="647" w:hanging="357"/>
              <w:contextualSpacing/>
              <w:rPr>
                <w:rFonts w:cs="Arial"/>
                <w:color w:val="000000"/>
                <w:sz w:val="14"/>
                <w:szCs w:val="16"/>
                <w:lang w:val="en-GB"/>
              </w:rPr>
            </w:pPr>
            <w:r w:rsidRPr="003B7E1F">
              <w:rPr>
                <w:rFonts w:cs="Arial"/>
                <w:color w:val="000000"/>
                <w:sz w:val="14"/>
                <w:szCs w:val="16"/>
                <w:lang w:val="en-GB"/>
              </w:rPr>
              <w:t>the reasonableness of the cost of the service, and</w:t>
            </w:r>
          </w:p>
          <w:p w14:paraId="4594147A" w14:textId="77777777" w:rsidR="00581785" w:rsidRPr="003B7E1F" w:rsidRDefault="00581785" w:rsidP="00DF35F2">
            <w:pPr>
              <w:pStyle w:val="ListParagraph"/>
              <w:numPr>
                <w:ilvl w:val="0"/>
                <w:numId w:val="56"/>
              </w:numPr>
              <w:spacing w:after="60"/>
              <w:ind w:left="647"/>
              <w:rPr>
                <w:rFonts w:cs="Arial"/>
                <w:color w:val="000000"/>
                <w:sz w:val="14"/>
                <w:szCs w:val="16"/>
                <w:lang w:val="en-GB"/>
              </w:rPr>
            </w:pPr>
            <w:r w:rsidRPr="003B7E1F">
              <w:rPr>
                <w:rFonts w:cs="Arial"/>
                <w:color w:val="000000"/>
                <w:sz w:val="14"/>
                <w:szCs w:val="16"/>
                <w:lang w:val="en-GB"/>
              </w:rPr>
              <w:t>whether the service is necessary in the circumstances.</w:t>
            </w:r>
          </w:p>
        </w:tc>
        <w:tc>
          <w:tcPr>
            <w:tcW w:w="2759" w:type="dxa"/>
            <w:tcMar>
              <w:top w:w="80" w:type="dxa"/>
              <w:left w:w="80" w:type="dxa"/>
              <w:bottom w:w="80" w:type="dxa"/>
              <w:right w:w="80" w:type="dxa"/>
            </w:tcMar>
          </w:tcPr>
          <w:p w14:paraId="5CE25DFE" w14:textId="2192352C"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WorkSafe Victoria can pay the reasonable costs of home or car modifications reasonably required as a result of a work related injury where approval is given before the costs are incurred — </w:t>
            </w:r>
            <w:hyperlink r:id="rId1105" w:history="1">
              <w:r w:rsidRPr="009641C0">
                <w:rPr>
                  <w:rStyle w:val="Hyperlink"/>
                  <w:rFonts w:eastAsia="Calibri" w:cs="Arial"/>
                  <w:sz w:val="14"/>
                  <w:szCs w:val="14"/>
                  <w:lang w:eastAsia="en-US"/>
                </w:rPr>
                <w:t>s231</w:t>
              </w:r>
            </w:hyperlink>
          </w:p>
          <w:p w14:paraId="733CB2A9"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WorkSafe Victoria is liable to pay the reasonable costs of modifying the car, or if the car is not capable of being modified, to contribute a reasonable amount to the purchase cost of a suitably modified car.</w:t>
            </w:r>
          </w:p>
          <w:p w14:paraId="7A9EF1FB"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WorkSafe Victoria is liable to pay the reasonable costs of modifying the home, or if the home cannot be reasonably modified, to contribute a reasonable amount towards the purchase costs of a semi-detachable portable unit or the costs of relocating the worker to another home that is suitable. </w:t>
            </w:r>
          </w:p>
        </w:tc>
        <w:tc>
          <w:tcPr>
            <w:tcW w:w="2759" w:type="dxa"/>
            <w:tcMar>
              <w:top w:w="80" w:type="dxa"/>
              <w:left w:w="80" w:type="dxa"/>
              <w:bottom w:w="80" w:type="dxa"/>
              <w:right w:w="80" w:type="dxa"/>
            </w:tcMar>
          </w:tcPr>
          <w:p w14:paraId="3EB61C4D" w14:textId="16ED2E6A"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WorkSafe Victoria may issue guidelines identifying services or classes of services for which approval should be sought from WorkSafe Victoria before the services are provided — </w:t>
            </w:r>
            <w:hyperlink r:id="rId1106" w:history="1">
              <w:r w:rsidRPr="009641C0">
                <w:rPr>
                  <w:rStyle w:val="Hyperlink"/>
                  <w:rFonts w:eastAsia="Calibri" w:cs="Arial"/>
                  <w:sz w:val="14"/>
                  <w:szCs w:val="14"/>
                  <w:lang w:eastAsia="en-US"/>
                </w:rPr>
                <w:t>s224(2)</w:t>
              </w:r>
            </w:hyperlink>
          </w:p>
          <w:p w14:paraId="6B688206" w14:textId="181EBB2A"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Entitlement to medical and like services ceases 52 weeks after the entitlement to weekly payments cease, or if compensation is only payable for medical and like services, 52 weeks after entitlement commenced unless certain circumstances apply — </w:t>
            </w:r>
            <w:hyperlink r:id="rId1107" w:history="1">
              <w:r w:rsidRPr="009641C0">
                <w:rPr>
                  <w:rStyle w:val="Hyperlink"/>
                  <w:rFonts w:eastAsia="Calibri" w:cs="Arial"/>
                  <w:sz w:val="14"/>
                  <w:szCs w:val="14"/>
                  <w:lang w:eastAsia="en-US"/>
                </w:rPr>
                <w:t>s232</w:t>
              </w:r>
            </w:hyperlink>
          </w:p>
          <w:p w14:paraId="23510808" w14:textId="00D20C6C"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If a worker’s injury is severe (s223) or results in death, family members are eligible for counselling services — </w:t>
            </w:r>
            <w:hyperlink r:id="rId1108" w:history="1">
              <w:r w:rsidRPr="009641C0">
                <w:rPr>
                  <w:rStyle w:val="Hyperlink"/>
                  <w:rFonts w:eastAsia="Calibri" w:cs="Arial"/>
                  <w:sz w:val="14"/>
                  <w:szCs w:val="14"/>
                  <w:lang w:eastAsia="en-US"/>
                </w:rPr>
                <w:t>s224(1)(b)</w:t>
              </w:r>
            </w:hyperlink>
            <w:r w:rsidR="00E13D9F">
              <w:rPr>
                <w:rFonts w:eastAsia="Calibri" w:cs="Arial"/>
                <w:sz w:val="14"/>
                <w:szCs w:val="14"/>
                <w:lang w:eastAsia="en-US"/>
              </w:rPr>
              <w:t>.</w:t>
            </w:r>
            <w:r w:rsidR="00F01EE8">
              <w:rPr>
                <w:rFonts w:eastAsia="Calibri" w:cs="Arial"/>
                <w:sz w:val="14"/>
                <w:szCs w:val="14"/>
                <w:lang w:eastAsia="en-US"/>
              </w:rPr>
              <w:t xml:space="preserve"> Maximum family counselling expenses are $6,330 from 1 July 2017.</w:t>
            </w:r>
          </w:p>
        </w:tc>
      </w:tr>
      <w:tr w:rsidR="00581785" w:rsidRPr="00581785" w14:paraId="368A81E9" w14:textId="77777777" w:rsidTr="00B2173F">
        <w:tc>
          <w:tcPr>
            <w:tcW w:w="1626" w:type="dxa"/>
            <w:shd w:val="clear" w:color="auto" w:fill="FFC9C9"/>
            <w:tcMar>
              <w:top w:w="80" w:type="dxa"/>
              <w:left w:w="80" w:type="dxa"/>
              <w:bottom w:w="80" w:type="dxa"/>
              <w:right w:w="80" w:type="dxa"/>
            </w:tcMar>
          </w:tcPr>
          <w:p w14:paraId="092EA519" w14:textId="77777777" w:rsidR="00581785" w:rsidRPr="00581785" w:rsidRDefault="00581785" w:rsidP="007F0B00">
            <w:pPr>
              <w:spacing w:after="60"/>
              <w:contextualSpacing/>
              <w:rPr>
                <w:rFonts w:eastAsia="Calibri" w:cs="Arial"/>
                <w:b/>
                <w:sz w:val="16"/>
                <w:szCs w:val="16"/>
                <w:lang w:eastAsia="en-US"/>
              </w:rPr>
            </w:pPr>
            <w:r w:rsidRPr="00581785">
              <w:rPr>
                <w:rFonts w:eastAsia="Calibri" w:cs="Arial"/>
                <w:b/>
                <w:sz w:val="16"/>
                <w:szCs w:val="16"/>
                <w:lang w:eastAsia="en-US"/>
              </w:rPr>
              <w:t>Queensland</w:t>
            </w:r>
          </w:p>
        </w:tc>
        <w:tc>
          <w:tcPr>
            <w:tcW w:w="2759" w:type="dxa"/>
            <w:shd w:val="clear" w:color="auto" w:fill="FFC9C9"/>
            <w:tcMar>
              <w:top w:w="80" w:type="dxa"/>
              <w:left w:w="80" w:type="dxa"/>
              <w:bottom w:w="80" w:type="dxa"/>
              <w:right w:w="80" w:type="dxa"/>
            </w:tcMar>
          </w:tcPr>
          <w:p w14:paraId="5D806F8B" w14:textId="79730011"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The insurer must pay the cost of the medical treatment or hospitalisation that the insurer considers reasonable having regard to the worker’s injury. Under the table of costs, WorkCover may impose conditions on the provision of the medical </w:t>
            </w:r>
            <w:r w:rsidRPr="00581785">
              <w:rPr>
                <w:rFonts w:cs="Arial"/>
                <w:color w:val="000000"/>
                <w:sz w:val="14"/>
                <w:szCs w:val="16"/>
                <w:lang w:val="en-GB"/>
              </w:rPr>
              <w:lastRenderedPageBreak/>
              <w:t xml:space="preserve">treatment </w:t>
            </w:r>
            <w:r w:rsidR="00795559">
              <w:rPr>
                <w:rFonts w:cs="Arial"/>
                <w:color w:val="000000"/>
                <w:sz w:val="14"/>
                <w:szCs w:val="16"/>
                <w:lang w:val="en-GB"/>
              </w:rPr>
              <w:t>—</w:t>
            </w:r>
            <w:r w:rsidR="00795559" w:rsidRPr="00581785">
              <w:rPr>
                <w:rFonts w:cs="Arial"/>
                <w:color w:val="000000"/>
                <w:sz w:val="14"/>
                <w:szCs w:val="16"/>
                <w:lang w:val="en-GB"/>
              </w:rPr>
              <w:t xml:space="preserve"> </w:t>
            </w:r>
            <w:hyperlink r:id="rId1109" w:anchor="sec.210" w:history="1">
              <w:r w:rsidRPr="0021070A">
                <w:rPr>
                  <w:rStyle w:val="Hyperlink"/>
                  <w:rFonts w:cs="Arial"/>
                  <w:sz w:val="14"/>
                  <w:szCs w:val="16"/>
                  <w:lang w:val="en-GB"/>
                </w:rPr>
                <w:t>s210</w:t>
              </w:r>
            </w:hyperlink>
            <w:r w:rsidR="0021070A">
              <w:rPr>
                <w:rFonts w:cs="Arial"/>
                <w:color w:val="000000"/>
                <w:sz w:val="14"/>
                <w:szCs w:val="16"/>
                <w:lang w:val="en-GB"/>
              </w:rPr>
              <w:t xml:space="preserve">, </w:t>
            </w:r>
            <w:r w:rsidR="0021070A">
              <w:rPr>
                <w:rFonts w:cs="Arial"/>
                <w:i/>
                <w:color w:val="000000"/>
                <w:sz w:val="14"/>
                <w:szCs w:val="16"/>
                <w:lang w:val="en-GB"/>
              </w:rPr>
              <w:t>Workers’ Compensation and Rehabilitation Act 2003</w:t>
            </w:r>
            <w:r w:rsidRPr="00581785">
              <w:rPr>
                <w:rFonts w:cs="Arial"/>
                <w:color w:val="000000"/>
                <w:sz w:val="14"/>
                <w:szCs w:val="16"/>
                <w:lang w:val="en-GB"/>
              </w:rPr>
              <w:t>.</w:t>
            </w:r>
          </w:p>
          <w:p w14:paraId="234421EE" w14:textId="349179D9"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The insurer must pay the costs that it accepts as reasonable, having regard to the relevant table of costs, for medical treatment by a registered person (</w:t>
            </w:r>
            <w:hyperlink r:id="rId1110" w:anchor="sec.211" w:history="1">
              <w:r w:rsidRPr="0021070A">
                <w:rPr>
                  <w:rStyle w:val="Hyperlink"/>
                  <w:rFonts w:cs="Arial"/>
                  <w:sz w:val="14"/>
                  <w:szCs w:val="16"/>
                  <w:lang w:val="en-GB"/>
                </w:rPr>
                <w:t>s211</w:t>
              </w:r>
            </w:hyperlink>
            <w:r w:rsidRPr="00581785">
              <w:rPr>
                <w:rFonts w:cs="Arial"/>
                <w:color w:val="000000"/>
                <w:sz w:val="14"/>
                <w:szCs w:val="16"/>
                <w:lang w:val="en-GB"/>
              </w:rPr>
              <w:t xml:space="preserve">). </w:t>
            </w:r>
            <w:hyperlink r:id="rId1111" w:history="1">
              <w:r w:rsidRPr="00581785">
                <w:rPr>
                  <w:rFonts w:cs="Arial"/>
                  <w:color w:val="0000FF"/>
                  <w:sz w:val="14"/>
                  <w:szCs w:val="16"/>
                  <w:u w:val="single"/>
                  <w:lang w:val="en-GB"/>
                </w:rPr>
                <w:t>The Table of costs</w:t>
              </w:r>
            </w:hyperlink>
            <w:r w:rsidRPr="00581785">
              <w:rPr>
                <w:rFonts w:cs="Arial"/>
                <w:color w:val="000000"/>
                <w:sz w:val="14"/>
                <w:szCs w:val="16"/>
                <w:lang w:val="en-GB"/>
              </w:rPr>
              <w:t xml:space="preserve"> is published by WorkCover Queensland. The Insurer must pay the fees or costs of rehabilitation that the insurer accepts to be reasonable, having regard to the worker’s injury </w:t>
            </w:r>
            <w:r w:rsidR="00795559">
              <w:rPr>
                <w:rFonts w:cs="Arial"/>
                <w:color w:val="000000"/>
                <w:sz w:val="14"/>
                <w:szCs w:val="16"/>
                <w:lang w:val="en-GB"/>
              </w:rPr>
              <w:t>—</w:t>
            </w:r>
            <w:r w:rsidR="00795559" w:rsidRPr="00581785">
              <w:rPr>
                <w:rFonts w:cs="Arial"/>
                <w:color w:val="000000"/>
                <w:sz w:val="14"/>
                <w:szCs w:val="16"/>
                <w:lang w:val="en-GB"/>
              </w:rPr>
              <w:t xml:space="preserve"> </w:t>
            </w:r>
            <w:hyperlink r:id="rId1112" w:anchor="sec.222" w:history="1">
              <w:r w:rsidR="0021070A" w:rsidRPr="0021070A">
                <w:rPr>
                  <w:rStyle w:val="Hyperlink"/>
                  <w:rFonts w:cs="Arial"/>
                  <w:sz w:val="14"/>
                  <w:szCs w:val="16"/>
                  <w:lang w:val="en-GB"/>
                </w:rPr>
                <w:t>ss222</w:t>
              </w:r>
            </w:hyperlink>
            <w:r w:rsidR="0021070A">
              <w:rPr>
                <w:rFonts w:cs="Arial"/>
                <w:color w:val="000000"/>
                <w:sz w:val="14"/>
                <w:szCs w:val="16"/>
                <w:lang w:val="en-GB"/>
              </w:rPr>
              <w:t xml:space="preserve"> &amp; </w:t>
            </w:r>
            <w:hyperlink r:id="rId1113" w:anchor="sec.223" w:history="1">
              <w:r w:rsidRPr="0021070A">
                <w:rPr>
                  <w:rStyle w:val="Hyperlink"/>
                  <w:rFonts w:cs="Arial"/>
                  <w:sz w:val="14"/>
                  <w:szCs w:val="16"/>
                  <w:lang w:val="en-GB"/>
                </w:rPr>
                <w:t>223</w:t>
              </w:r>
            </w:hyperlink>
            <w:r w:rsidR="0021070A">
              <w:rPr>
                <w:rFonts w:cs="Arial"/>
                <w:color w:val="000000"/>
                <w:sz w:val="14"/>
                <w:szCs w:val="16"/>
                <w:lang w:val="en-GB"/>
              </w:rPr>
              <w:t>.</w:t>
            </w:r>
          </w:p>
          <w:p w14:paraId="07D679A9"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4A0605D6" w14:textId="3CA97D8B" w:rsidR="00581785" w:rsidRPr="00581785" w:rsidRDefault="00581785" w:rsidP="007F0B00">
            <w:pPr>
              <w:spacing w:after="60"/>
              <w:contextualSpacing/>
              <w:rPr>
                <w:rFonts w:cs="Arial"/>
                <w:color w:val="000000"/>
                <w:sz w:val="14"/>
                <w:szCs w:val="16"/>
                <w:lang w:val="en-GB"/>
              </w:rPr>
            </w:pPr>
            <w:r w:rsidRPr="00581785">
              <w:rPr>
                <w:rFonts w:cs="Arial"/>
                <w:color w:val="000000"/>
                <w:sz w:val="14"/>
                <w:szCs w:val="16"/>
                <w:lang w:val="en-GB"/>
              </w:rPr>
              <w:t xml:space="preserve">The insurer must pay treatment, care and support payments to an eligible worker (who has sustained a serious personal injury that meets the eligibility criteria in </w:t>
            </w:r>
            <w:hyperlink r:id="rId1114" w:anchor="pt.5A" w:history="1">
              <w:r w:rsidRPr="009C2BCB">
                <w:rPr>
                  <w:rStyle w:val="Hyperlink"/>
                  <w:rFonts w:cs="Arial"/>
                  <w:sz w:val="14"/>
                  <w:szCs w:val="16"/>
                  <w:lang w:val="en-GB"/>
                </w:rPr>
                <w:t>Part 5A</w:t>
              </w:r>
            </w:hyperlink>
            <w:r w:rsidRPr="00581785">
              <w:rPr>
                <w:rFonts w:cs="Arial"/>
                <w:color w:val="000000"/>
                <w:sz w:val="14"/>
                <w:szCs w:val="16"/>
                <w:lang w:val="en-GB"/>
              </w:rPr>
              <w:t xml:space="preserve"> of the </w:t>
            </w:r>
            <w:r w:rsidRPr="00CE49D9">
              <w:rPr>
                <w:rFonts w:cs="Arial"/>
                <w:color w:val="000000"/>
                <w:sz w:val="14"/>
                <w:szCs w:val="16"/>
                <w:lang w:val="en-GB"/>
              </w:rPr>
              <w:t xml:space="preserve">Workers’ Compensation and Rehabilitation Regulation </w:t>
            </w:r>
            <w:r w:rsidRPr="00581785">
              <w:rPr>
                <w:rFonts w:cs="Arial"/>
                <w:color w:val="000000"/>
                <w:sz w:val="14"/>
                <w:szCs w:val="16"/>
                <w:lang w:val="en-GB"/>
              </w:rPr>
              <w:t xml:space="preserve">2014) during their eligibility period under Chapter 4A (which can be for the workers’ lifetime). </w:t>
            </w:r>
          </w:p>
          <w:p w14:paraId="641ABA7B" w14:textId="3DDC828D" w:rsidR="00581785" w:rsidRPr="00581785" w:rsidRDefault="00581785" w:rsidP="007F0B00">
            <w:pPr>
              <w:spacing w:after="60"/>
              <w:contextualSpacing/>
              <w:rPr>
                <w:rFonts w:cs="Arial"/>
                <w:color w:val="000000"/>
                <w:sz w:val="14"/>
                <w:szCs w:val="16"/>
                <w:lang w:val="en-GB"/>
              </w:rPr>
            </w:pPr>
            <w:r w:rsidRPr="00581785">
              <w:rPr>
                <w:rFonts w:cs="Arial"/>
                <w:color w:val="000000"/>
                <w:sz w:val="14"/>
                <w:szCs w:val="16"/>
                <w:lang w:val="en-GB"/>
              </w:rPr>
              <w:t>Treatment, care and support payments are for the worker’s necessary and reasonable treatment, care and support ne</w:t>
            </w:r>
            <w:r w:rsidR="00394AA3">
              <w:rPr>
                <w:rFonts w:cs="Arial"/>
                <w:color w:val="000000"/>
                <w:sz w:val="14"/>
                <w:szCs w:val="16"/>
                <w:lang w:val="en-GB"/>
              </w:rPr>
              <w:t xml:space="preserve">eds resulting from the injury. </w:t>
            </w:r>
            <w:r w:rsidR="0021070A">
              <w:rPr>
                <w:rFonts w:cs="Arial"/>
                <w:color w:val="000000"/>
                <w:sz w:val="14"/>
                <w:szCs w:val="16"/>
                <w:lang w:val="en-GB"/>
              </w:rPr>
              <w:t>These needs are for (</w:t>
            </w:r>
            <w:hyperlink r:id="rId1115" w:anchor="sec.232J" w:history="1">
              <w:r w:rsidR="00D5544D" w:rsidRPr="0021070A">
                <w:rPr>
                  <w:rStyle w:val="Hyperlink"/>
                  <w:rFonts w:cs="Arial"/>
                  <w:sz w:val="14"/>
                  <w:szCs w:val="16"/>
                  <w:lang w:val="en-GB"/>
                </w:rPr>
                <w:t>s232J</w:t>
              </w:r>
            </w:hyperlink>
            <w:r w:rsidRPr="00581785">
              <w:rPr>
                <w:rFonts w:cs="Arial"/>
                <w:color w:val="000000"/>
                <w:sz w:val="14"/>
                <w:szCs w:val="16"/>
                <w:lang w:val="en-GB"/>
              </w:rPr>
              <w:t xml:space="preserve">) </w:t>
            </w:r>
          </w:p>
          <w:p w14:paraId="7070F56B"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medical treatment</w:t>
            </w:r>
          </w:p>
          <w:p w14:paraId="388409ED"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hospitalisation</w:t>
            </w:r>
          </w:p>
          <w:p w14:paraId="3C7D8CE9"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dental treatment</w:t>
            </w:r>
          </w:p>
          <w:p w14:paraId="379388E2"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rehabilitation</w:t>
            </w:r>
          </w:p>
          <w:p w14:paraId="31F70F75"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ambulance transportation</w:t>
            </w:r>
          </w:p>
          <w:p w14:paraId="6E18CEAC"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respite care</w:t>
            </w:r>
          </w:p>
          <w:p w14:paraId="48BD8E27"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attendant care and support services</w:t>
            </w:r>
          </w:p>
          <w:p w14:paraId="2B0336C6"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aids and appliances other than ordinary personal or household items</w:t>
            </w:r>
          </w:p>
          <w:p w14:paraId="35592425"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prosthesis</w:t>
            </w:r>
          </w:p>
          <w:p w14:paraId="37CC6D98"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education or vocational training</w:t>
            </w:r>
          </w:p>
          <w:p w14:paraId="4BBBA5E2" w14:textId="77777777" w:rsidR="006A50D4"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home, transport or workplace modifications</w:t>
            </w:r>
          </w:p>
          <w:p w14:paraId="7FC2FA5F" w14:textId="5BA5A6BD" w:rsidR="00581785" w:rsidRPr="00581785" w:rsidRDefault="00581785" w:rsidP="007F0B00">
            <w:pPr>
              <w:spacing w:after="60"/>
              <w:contextualSpacing/>
              <w:rPr>
                <w:rFonts w:cs="Arial"/>
                <w:color w:val="000000"/>
                <w:sz w:val="14"/>
                <w:szCs w:val="16"/>
                <w:lang w:val="en-GB"/>
              </w:rPr>
            </w:pPr>
            <w:r w:rsidRPr="00581785">
              <w:rPr>
                <w:rFonts w:cs="Arial"/>
                <w:color w:val="000000"/>
                <w:sz w:val="14"/>
                <w:szCs w:val="16"/>
                <w:lang w:val="en-GB"/>
              </w:rPr>
              <w:t xml:space="preserve">Under section </w:t>
            </w:r>
            <w:hyperlink r:id="rId1116" w:anchor="sec.232O" w:history="1">
              <w:r w:rsidRPr="0021070A">
                <w:rPr>
                  <w:rStyle w:val="Hyperlink"/>
                  <w:rFonts w:cs="Arial"/>
                  <w:sz w:val="14"/>
                  <w:szCs w:val="16"/>
                  <w:lang w:val="en-GB"/>
                </w:rPr>
                <w:t>232O</w:t>
              </w:r>
            </w:hyperlink>
            <w:r w:rsidRPr="00581785">
              <w:rPr>
                <w:rFonts w:cs="Arial"/>
                <w:color w:val="000000"/>
                <w:sz w:val="14"/>
                <w:szCs w:val="16"/>
                <w:lang w:val="en-GB"/>
              </w:rPr>
              <w:t>, an insurer must also provide the worker with a support plan on their treatment, care and support needs.</w:t>
            </w:r>
          </w:p>
          <w:p w14:paraId="760C0CEA" w14:textId="2C4E9400"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The worker may receive treatment, care and support payments for an eligible injury via an insurer’s funding agreement or response to a payment request (</w:t>
            </w:r>
            <w:hyperlink r:id="rId1117" w:anchor="sec.232Q" w:history="1">
              <w:r w:rsidRPr="0021070A">
                <w:rPr>
                  <w:rStyle w:val="Hyperlink"/>
                  <w:rFonts w:cs="Arial"/>
                  <w:sz w:val="14"/>
                  <w:szCs w:val="16"/>
                  <w:lang w:val="en-GB"/>
                </w:rPr>
                <w:t>s232Q</w:t>
              </w:r>
            </w:hyperlink>
            <w:r w:rsidRPr="00581785">
              <w:rPr>
                <w:rFonts w:cs="Arial"/>
                <w:color w:val="000000"/>
                <w:sz w:val="14"/>
                <w:szCs w:val="16"/>
                <w:lang w:val="en-GB"/>
              </w:rPr>
              <w:t>).</w:t>
            </w:r>
          </w:p>
          <w:p w14:paraId="47585755" w14:textId="705F0F82"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 funding agreement is between the eligible worker and their insurer for the </w:t>
            </w:r>
            <w:r w:rsidRPr="00581785">
              <w:rPr>
                <w:rFonts w:cs="Arial"/>
                <w:color w:val="000000"/>
                <w:sz w:val="14"/>
                <w:szCs w:val="16"/>
                <w:lang w:val="en-GB"/>
              </w:rPr>
              <w:lastRenderedPageBreak/>
              <w:t>payment of particular expenses to be incurred for the treatment, care and support for the worker in a stated period (</w:t>
            </w:r>
            <w:hyperlink r:id="rId1118" w:anchor="sec.232Q" w:history="1">
              <w:r w:rsidR="00903340" w:rsidRPr="0021070A">
                <w:rPr>
                  <w:rStyle w:val="Hyperlink"/>
                  <w:rFonts w:cs="Arial"/>
                  <w:sz w:val="14"/>
                  <w:szCs w:val="16"/>
                  <w:lang w:val="en-GB"/>
                </w:rPr>
                <w:t>s232Q</w:t>
              </w:r>
            </w:hyperlink>
            <w:r w:rsidR="0021070A">
              <w:rPr>
                <w:rFonts w:cs="Arial"/>
                <w:color w:val="000000"/>
                <w:sz w:val="14"/>
                <w:szCs w:val="16"/>
                <w:lang w:val="en-GB"/>
              </w:rPr>
              <w:t>).</w:t>
            </w:r>
          </w:p>
          <w:p w14:paraId="231B2821" w14:textId="24E3DC26" w:rsidR="00581785" w:rsidRPr="00581785" w:rsidRDefault="00581785" w:rsidP="007F0B00">
            <w:pPr>
              <w:spacing w:after="60"/>
              <w:contextualSpacing/>
              <w:rPr>
                <w:rFonts w:cs="Arial"/>
                <w:color w:val="000000"/>
                <w:sz w:val="14"/>
                <w:szCs w:val="16"/>
                <w:lang w:val="en-GB"/>
              </w:rPr>
            </w:pPr>
            <w:r w:rsidRPr="00581785">
              <w:rPr>
                <w:rFonts w:cs="Arial"/>
                <w:color w:val="000000"/>
                <w:sz w:val="14"/>
                <w:szCs w:val="16"/>
                <w:lang w:val="en-GB"/>
              </w:rPr>
              <w:t>A payment request is a written request by an eligible worker for an expense relating to their treatment, care or support to be paid or partly paid by an insurer (</w:t>
            </w:r>
            <w:hyperlink r:id="rId1119" w:anchor="sec.232Q" w:history="1">
              <w:r w:rsidR="00903340" w:rsidRPr="0021070A">
                <w:rPr>
                  <w:rStyle w:val="Hyperlink"/>
                  <w:rFonts w:cs="Arial"/>
                  <w:sz w:val="14"/>
                  <w:szCs w:val="16"/>
                  <w:lang w:val="en-GB"/>
                </w:rPr>
                <w:t>s232Q</w:t>
              </w:r>
            </w:hyperlink>
            <w:r w:rsidRPr="00581785">
              <w:rPr>
                <w:rFonts w:cs="Arial"/>
                <w:color w:val="000000"/>
                <w:sz w:val="14"/>
                <w:szCs w:val="16"/>
                <w:lang w:val="en-GB"/>
              </w:rPr>
              <w:t>). An insurer is not liable to pay a payment request that exceeds an amount prescribed by regulation for the treatment, care or support (</w:t>
            </w:r>
            <w:hyperlink r:id="rId1120" w:anchor="sec.232R" w:history="1">
              <w:r w:rsidRPr="0021070A">
                <w:rPr>
                  <w:rStyle w:val="Hyperlink"/>
                  <w:rFonts w:cs="Arial"/>
                  <w:sz w:val="14"/>
                  <w:szCs w:val="16"/>
                  <w:lang w:val="en-GB"/>
                </w:rPr>
                <w:t>232R(4)</w:t>
              </w:r>
            </w:hyperlink>
            <w:r w:rsidRPr="00581785">
              <w:rPr>
                <w:rFonts w:cs="Arial"/>
                <w:color w:val="000000"/>
                <w:sz w:val="14"/>
                <w:szCs w:val="16"/>
                <w:lang w:val="en-GB"/>
              </w:rPr>
              <w:t>).</w:t>
            </w:r>
          </w:p>
          <w:p w14:paraId="63DF4211" w14:textId="3885E7AF" w:rsidR="00581785" w:rsidRPr="00581785" w:rsidRDefault="00A7538C" w:rsidP="007F0B00">
            <w:pPr>
              <w:spacing w:after="60"/>
              <w:contextualSpacing/>
              <w:rPr>
                <w:rFonts w:cs="Arial"/>
                <w:color w:val="000000"/>
                <w:sz w:val="14"/>
                <w:szCs w:val="16"/>
                <w:lang w:val="en-GB"/>
              </w:rPr>
            </w:pPr>
            <w:hyperlink r:id="rId1121" w:anchor="pt.5A-div.2" w:history="1">
              <w:r w:rsidR="00581785" w:rsidRPr="009C2BCB">
                <w:rPr>
                  <w:rStyle w:val="Hyperlink"/>
                  <w:rFonts w:cs="Arial"/>
                  <w:sz w:val="14"/>
                  <w:szCs w:val="16"/>
                  <w:lang w:val="en-GB"/>
                </w:rPr>
                <w:t>Part 5A Division 2</w:t>
              </w:r>
            </w:hyperlink>
            <w:r w:rsidR="00581785" w:rsidRPr="00581785">
              <w:rPr>
                <w:rFonts w:cs="Arial"/>
                <w:color w:val="000000"/>
                <w:sz w:val="14"/>
                <w:szCs w:val="16"/>
                <w:lang w:val="en-GB"/>
              </w:rPr>
              <w:t xml:space="preserve"> of the </w:t>
            </w:r>
            <w:r w:rsidR="00581785" w:rsidRPr="00CE49D9">
              <w:rPr>
                <w:rFonts w:cs="Arial"/>
                <w:color w:val="000000"/>
                <w:sz w:val="14"/>
                <w:szCs w:val="16"/>
                <w:lang w:val="en-GB"/>
              </w:rPr>
              <w:t xml:space="preserve">Workers’ Compensation and Rehabilitation Regulation </w:t>
            </w:r>
            <w:r w:rsidR="00581785" w:rsidRPr="00581785">
              <w:rPr>
                <w:rFonts w:cs="Arial"/>
                <w:color w:val="000000"/>
                <w:sz w:val="14"/>
                <w:szCs w:val="16"/>
                <w:lang w:val="en-GB"/>
              </w:rPr>
              <w:t>2014 specifies the assessment process for assessing a worker’s needs.</w:t>
            </w:r>
            <w:r w:rsidR="00DD0D68">
              <w:rPr>
                <w:rFonts w:cs="Arial"/>
                <w:color w:val="000000"/>
                <w:sz w:val="14"/>
                <w:szCs w:val="16"/>
                <w:lang w:val="en-GB"/>
              </w:rPr>
              <w:t xml:space="preserve"> </w:t>
            </w:r>
          </w:p>
        </w:tc>
        <w:tc>
          <w:tcPr>
            <w:tcW w:w="2759" w:type="dxa"/>
            <w:shd w:val="clear" w:color="auto" w:fill="FFC9C9"/>
            <w:tcMar>
              <w:top w:w="80" w:type="dxa"/>
              <w:left w:w="80" w:type="dxa"/>
              <w:bottom w:w="80" w:type="dxa"/>
              <w:right w:w="80" w:type="dxa"/>
            </w:tcMar>
          </w:tcPr>
          <w:p w14:paraId="06F67C57"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As above for Act references. Insurer decision on a case by case basis with respect to funding these services. Home Nursing services are listed under the </w:t>
            </w:r>
            <w:hyperlink r:id="rId1122" w:history="1">
              <w:r w:rsidRPr="00581785">
                <w:rPr>
                  <w:rFonts w:cs="Arial"/>
                  <w:color w:val="0000FF"/>
                  <w:sz w:val="14"/>
                  <w:szCs w:val="16"/>
                  <w:u w:val="single"/>
                  <w:lang w:val="en-GB"/>
                </w:rPr>
                <w:t>Nursing services table of costs</w:t>
              </w:r>
            </w:hyperlink>
          </w:p>
          <w:p w14:paraId="390CDA3E"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lastRenderedPageBreak/>
              <w:t>NIIS</w:t>
            </w:r>
          </w:p>
          <w:p w14:paraId="3D1D3EB0" w14:textId="3884BFAA" w:rsidR="00581785" w:rsidRPr="00581785" w:rsidRDefault="00581785" w:rsidP="0021070A">
            <w:pPr>
              <w:spacing w:after="60"/>
              <w:rPr>
                <w:rFonts w:cs="Arial"/>
                <w:color w:val="000000"/>
                <w:sz w:val="14"/>
                <w:szCs w:val="16"/>
                <w:lang w:val="en-GB"/>
              </w:rPr>
            </w:pPr>
            <w:r w:rsidRPr="00581785">
              <w:rPr>
                <w:rFonts w:cs="Arial"/>
                <w:color w:val="000000"/>
                <w:sz w:val="14"/>
                <w:szCs w:val="16"/>
                <w:lang w:val="en-GB"/>
              </w:rPr>
              <w:t>Attendant care is included in the definition of treat</w:t>
            </w:r>
            <w:r w:rsidR="0021070A">
              <w:rPr>
                <w:rFonts w:cs="Arial"/>
                <w:color w:val="000000"/>
                <w:sz w:val="14"/>
                <w:szCs w:val="16"/>
                <w:lang w:val="en-GB"/>
              </w:rPr>
              <w:t>ment, care and support needs (</w:t>
            </w:r>
            <w:hyperlink r:id="rId1123" w:anchor="sec.232J" w:history="1">
              <w:r w:rsidR="00D5544D" w:rsidRPr="0021070A">
                <w:rPr>
                  <w:rStyle w:val="Hyperlink"/>
                  <w:rFonts w:cs="Arial"/>
                  <w:sz w:val="14"/>
                  <w:szCs w:val="16"/>
                  <w:lang w:val="en-GB"/>
                </w:rPr>
                <w:t>s232J</w:t>
              </w:r>
            </w:hyperlink>
            <w:r w:rsidRPr="00581785">
              <w:rPr>
                <w:rFonts w:cs="Arial"/>
                <w:color w:val="000000"/>
                <w:sz w:val="14"/>
                <w:szCs w:val="16"/>
                <w:lang w:val="en-GB"/>
              </w:rPr>
              <w:t>) and may be the subject of treatment, care and support payments from an insurer.</w:t>
            </w:r>
          </w:p>
          <w:p w14:paraId="25FAA853" w14:textId="7CB0F8A3"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Under section </w:t>
            </w:r>
            <w:hyperlink r:id="rId1124" w:anchor="sec.117R" w:history="1">
              <w:r w:rsidRPr="0089526A">
                <w:rPr>
                  <w:rStyle w:val="Hyperlink"/>
                  <w:rFonts w:cs="Arial"/>
                  <w:sz w:val="14"/>
                  <w:szCs w:val="16"/>
                  <w:lang w:val="en-GB"/>
                </w:rPr>
                <w:t>117R</w:t>
              </w:r>
            </w:hyperlink>
            <w:r w:rsidRPr="00581785">
              <w:rPr>
                <w:rFonts w:cs="Arial"/>
                <w:color w:val="000000"/>
                <w:sz w:val="14"/>
                <w:szCs w:val="16"/>
                <w:lang w:val="en-GB"/>
              </w:rPr>
              <w:t xml:space="preserve"> of the </w:t>
            </w:r>
            <w:r w:rsidRPr="00CE49D9">
              <w:rPr>
                <w:rFonts w:cs="Arial"/>
                <w:color w:val="000000"/>
                <w:sz w:val="14"/>
                <w:szCs w:val="16"/>
                <w:lang w:val="en-GB"/>
              </w:rPr>
              <w:t>Workers’ Compensation and Rehabilitation Regulation</w:t>
            </w:r>
            <w:r w:rsidRPr="00581785">
              <w:rPr>
                <w:rFonts w:cs="Arial"/>
                <w:i/>
                <w:color w:val="000000"/>
                <w:sz w:val="14"/>
                <w:szCs w:val="16"/>
                <w:lang w:val="en-GB"/>
              </w:rPr>
              <w:t xml:space="preserve"> </w:t>
            </w:r>
            <w:r w:rsidRPr="00581785">
              <w:rPr>
                <w:rFonts w:cs="Arial"/>
                <w:color w:val="000000"/>
                <w:sz w:val="14"/>
                <w:szCs w:val="16"/>
                <w:lang w:val="en-GB"/>
              </w:rPr>
              <w:t xml:space="preserve">2014, the insurer must obtain and consider information regarding home, transport or workplace modifications from a person who is appropriately qualified to provide advice on the needs. The insurer must also refer to the appropriately qualified </w:t>
            </w:r>
            <w:r w:rsidR="00692DB2">
              <w:rPr>
                <w:rFonts w:cs="Arial"/>
                <w:color w:val="000000"/>
                <w:sz w:val="14"/>
                <w:szCs w:val="16"/>
                <w:lang w:val="en-GB"/>
              </w:rPr>
              <w:t xml:space="preserve">person </w:t>
            </w:r>
            <w:r w:rsidRPr="00581785">
              <w:rPr>
                <w:rFonts w:cs="Arial"/>
                <w:color w:val="000000"/>
                <w:sz w:val="14"/>
                <w:szCs w:val="16"/>
                <w:lang w:val="en-GB"/>
              </w:rPr>
              <w:t xml:space="preserve">when considering attendant care and support services to assist a person to participate in the community. </w:t>
            </w:r>
          </w:p>
          <w:p w14:paraId="1C184F72" w14:textId="1952033C" w:rsidR="00581785" w:rsidRPr="00581785" w:rsidRDefault="0021070A" w:rsidP="0021070A">
            <w:pPr>
              <w:spacing w:after="60"/>
              <w:rPr>
                <w:rFonts w:cs="Arial"/>
                <w:color w:val="000000"/>
                <w:sz w:val="14"/>
                <w:szCs w:val="16"/>
                <w:lang w:val="en-GB"/>
              </w:rPr>
            </w:pPr>
            <w:r>
              <w:rPr>
                <w:rFonts w:cs="Arial"/>
                <w:color w:val="000000"/>
                <w:sz w:val="14"/>
                <w:szCs w:val="16"/>
                <w:lang w:val="en-GB"/>
              </w:rPr>
              <w:t xml:space="preserve">Section </w:t>
            </w:r>
            <w:hyperlink r:id="rId1125" w:history="1">
              <w:r w:rsidRPr="0021070A">
                <w:rPr>
                  <w:rStyle w:val="Hyperlink"/>
                  <w:rFonts w:cs="Arial"/>
                  <w:sz w:val="14"/>
                  <w:szCs w:val="16"/>
                  <w:lang w:val="en-GB"/>
                </w:rPr>
                <w:t>232K</w:t>
              </w:r>
              <w:r w:rsidR="00581785" w:rsidRPr="0021070A">
                <w:rPr>
                  <w:rStyle w:val="Hyperlink"/>
                  <w:rFonts w:cs="Arial"/>
                  <w:sz w:val="14"/>
                  <w:szCs w:val="16"/>
                  <w:lang w:val="en-GB"/>
                </w:rPr>
                <w:t>(2)(b)</w:t>
              </w:r>
            </w:hyperlink>
            <w:r w:rsidR="00581785" w:rsidRPr="00581785">
              <w:rPr>
                <w:rFonts w:cs="Arial"/>
                <w:color w:val="000000"/>
                <w:sz w:val="14"/>
                <w:szCs w:val="16"/>
                <w:lang w:val="en-GB"/>
              </w:rPr>
              <w:t xml:space="preserve"> of the Act prescribes a registered provider must provide home modification, workplace modification or a service for the coordination of treatment, care or support. </w:t>
            </w:r>
          </w:p>
        </w:tc>
        <w:tc>
          <w:tcPr>
            <w:tcW w:w="2759" w:type="dxa"/>
            <w:shd w:val="clear" w:color="auto" w:fill="FFC9C9"/>
            <w:tcMar>
              <w:top w:w="80" w:type="dxa"/>
              <w:left w:w="80" w:type="dxa"/>
              <w:bottom w:w="80" w:type="dxa"/>
              <w:right w:w="80" w:type="dxa"/>
            </w:tcMar>
          </w:tcPr>
          <w:p w14:paraId="6BAC9357"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Insurer decision on a case by case basis with respect to funding these services. Domestic assistance covered under the </w:t>
            </w:r>
            <w:hyperlink r:id="rId1126" w:history="1">
              <w:r w:rsidRPr="00581785">
                <w:rPr>
                  <w:rFonts w:cs="Arial"/>
                  <w:color w:val="0000FF"/>
                  <w:sz w:val="14"/>
                  <w:szCs w:val="16"/>
                  <w:u w:val="single"/>
                  <w:lang w:val="en-GB"/>
                </w:rPr>
                <w:t>Support Services table of costs</w:t>
              </w:r>
            </w:hyperlink>
            <w:r w:rsidRPr="00581785">
              <w:rPr>
                <w:rFonts w:cs="Arial"/>
                <w:color w:val="000000"/>
                <w:sz w:val="14"/>
                <w:szCs w:val="16"/>
                <w:lang w:val="en-GB"/>
              </w:rPr>
              <w:t>.</w:t>
            </w:r>
          </w:p>
          <w:p w14:paraId="569D6305" w14:textId="0086253B"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Act </w:t>
            </w:r>
            <w:hyperlink r:id="rId1127" w:anchor="sec.224" w:history="1">
              <w:r w:rsidRPr="0021070A">
                <w:rPr>
                  <w:rStyle w:val="Hyperlink"/>
                  <w:rFonts w:cs="Arial"/>
                  <w:sz w:val="14"/>
                  <w:szCs w:val="16"/>
                  <w:lang w:val="en-GB"/>
                </w:rPr>
                <w:t>s224</w:t>
              </w:r>
            </w:hyperlink>
            <w:r w:rsidR="00394AA3">
              <w:rPr>
                <w:rFonts w:cs="Arial"/>
                <w:color w:val="000000"/>
                <w:sz w:val="14"/>
                <w:szCs w:val="16"/>
                <w:lang w:val="en-GB"/>
              </w:rPr>
              <w:t>.</w:t>
            </w:r>
            <w:r w:rsidRPr="00581785">
              <w:rPr>
                <w:rFonts w:cs="Arial"/>
                <w:color w:val="000000"/>
                <w:sz w:val="14"/>
                <w:szCs w:val="16"/>
                <w:lang w:val="en-GB"/>
              </w:rPr>
              <w:t xml:space="preserve"> A caring allowance may be </w:t>
            </w:r>
            <w:r w:rsidRPr="00581785">
              <w:rPr>
                <w:rFonts w:cs="Arial"/>
                <w:color w:val="000000"/>
                <w:sz w:val="14"/>
                <w:szCs w:val="16"/>
                <w:lang w:val="en-GB"/>
              </w:rPr>
              <w:lastRenderedPageBreak/>
              <w:t>paid if the insurer is satisfied — the worker depends on day to day care for the fundamental activities of daily living; and the care is to be provided to the worker at the worker’s home on a voluntary basis by another person in relation to whom compensation is not payable.</w:t>
            </w:r>
          </w:p>
          <w:p w14:paraId="6EEC9EBD"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0692B665" w14:textId="4718BE0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Attendant care is included in the definition of treat</w:t>
            </w:r>
            <w:r w:rsidR="0021070A">
              <w:rPr>
                <w:rFonts w:cs="Arial"/>
                <w:color w:val="000000"/>
                <w:sz w:val="14"/>
                <w:szCs w:val="16"/>
                <w:lang w:val="en-GB"/>
              </w:rPr>
              <w:t>ment, care and support needs (</w:t>
            </w:r>
            <w:hyperlink r:id="rId1128" w:anchor="sec.232J" w:history="1">
              <w:r w:rsidR="00095DE9" w:rsidRPr="0021070A">
                <w:rPr>
                  <w:rStyle w:val="Hyperlink"/>
                  <w:rFonts w:cs="Arial"/>
                  <w:sz w:val="14"/>
                  <w:szCs w:val="16"/>
                  <w:lang w:val="en-GB"/>
                </w:rPr>
                <w:t>s232J</w:t>
              </w:r>
            </w:hyperlink>
            <w:r w:rsidRPr="00581785">
              <w:rPr>
                <w:rFonts w:cs="Arial"/>
                <w:color w:val="000000"/>
                <w:sz w:val="14"/>
                <w:szCs w:val="16"/>
                <w:lang w:val="en-GB"/>
              </w:rPr>
              <w:t>) and may be the subject of treatment, care and support payments from an insurer.</w:t>
            </w:r>
          </w:p>
          <w:p w14:paraId="456BEC60" w14:textId="67A92CEC" w:rsidR="00581785" w:rsidRPr="00581785" w:rsidRDefault="00581785" w:rsidP="0021070A">
            <w:pPr>
              <w:spacing w:after="60"/>
              <w:rPr>
                <w:rFonts w:cs="Arial"/>
                <w:color w:val="000000"/>
                <w:sz w:val="14"/>
                <w:szCs w:val="16"/>
                <w:lang w:val="en-GB"/>
              </w:rPr>
            </w:pPr>
            <w:r w:rsidRPr="00581785">
              <w:rPr>
                <w:rFonts w:cs="Arial"/>
                <w:color w:val="000000"/>
                <w:sz w:val="14"/>
                <w:szCs w:val="16"/>
                <w:lang w:val="en-GB"/>
              </w:rPr>
              <w:t xml:space="preserve">As above for section </w:t>
            </w:r>
            <w:hyperlink r:id="rId1129" w:anchor="sec.232K" w:history="1">
              <w:r w:rsidRPr="0021070A">
                <w:rPr>
                  <w:rStyle w:val="Hyperlink"/>
                  <w:rFonts w:cs="Arial"/>
                  <w:sz w:val="14"/>
                  <w:szCs w:val="16"/>
                  <w:lang w:val="en-GB"/>
                </w:rPr>
                <w:t>232K(2)(b)</w:t>
              </w:r>
            </w:hyperlink>
            <w:r w:rsidRPr="00581785">
              <w:rPr>
                <w:rFonts w:cs="Arial"/>
                <w:color w:val="000000"/>
                <w:sz w:val="14"/>
                <w:szCs w:val="16"/>
                <w:lang w:val="en-GB"/>
              </w:rPr>
              <w:t xml:space="preserve"> of the Act.</w:t>
            </w:r>
          </w:p>
        </w:tc>
        <w:tc>
          <w:tcPr>
            <w:tcW w:w="2759" w:type="dxa"/>
            <w:shd w:val="clear" w:color="auto" w:fill="FFC9C9"/>
            <w:tcMar>
              <w:top w:w="80" w:type="dxa"/>
              <w:left w:w="80" w:type="dxa"/>
              <w:bottom w:w="80" w:type="dxa"/>
              <w:right w:w="80" w:type="dxa"/>
            </w:tcMar>
          </w:tcPr>
          <w:p w14:paraId="5857F4BE" w14:textId="1395D4DA"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The insurer must pay the cost of the medical treatment or hospitalisation that the insurer considers reasonable having regard to the workers injury. Under the table of costs, WorkCover may impose conditions on the provision of the medical </w:t>
            </w:r>
            <w:r w:rsidRPr="00581785">
              <w:rPr>
                <w:rFonts w:cs="Arial"/>
                <w:color w:val="000000"/>
                <w:sz w:val="14"/>
                <w:szCs w:val="16"/>
                <w:lang w:val="en-GB"/>
              </w:rPr>
              <w:lastRenderedPageBreak/>
              <w:t>treatment (</w:t>
            </w:r>
            <w:hyperlink r:id="rId1130" w:anchor="sec.210" w:history="1">
              <w:r w:rsidRPr="0021070A">
                <w:rPr>
                  <w:rStyle w:val="Hyperlink"/>
                  <w:rFonts w:cs="Arial"/>
                  <w:sz w:val="14"/>
                  <w:szCs w:val="16"/>
                  <w:lang w:val="en-GB"/>
                </w:rPr>
                <w:t>s210</w:t>
              </w:r>
            </w:hyperlink>
            <w:r w:rsidRPr="00581785">
              <w:rPr>
                <w:rFonts w:cs="Arial"/>
                <w:color w:val="000000"/>
                <w:sz w:val="14"/>
                <w:szCs w:val="16"/>
                <w:lang w:val="en-GB"/>
              </w:rPr>
              <w:t xml:space="preserve"> of the Act).</w:t>
            </w:r>
          </w:p>
          <w:p w14:paraId="4154FD02" w14:textId="524104DC"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The insurer must pay the costs that it accepts as reasonable, having regard to the relevant table of costs, for medical treatment by a registered person (</w:t>
            </w:r>
            <w:hyperlink r:id="rId1131" w:anchor="sec.211" w:history="1">
              <w:r w:rsidRPr="0021070A">
                <w:rPr>
                  <w:rStyle w:val="Hyperlink"/>
                  <w:rFonts w:cs="Arial"/>
                  <w:sz w:val="14"/>
                  <w:szCs w:val="16"/>
                  <w:lang w:val="en-GB"/>
                </w:rPr>
                <w:t>s211</w:t>
              </w:r>
            </w:hyperlink>
            <w:r w:rsidRPr="00581785">
              <w:rPr>
                <w:rFonts w:cs="Arial"/>
                <w:color w:val="000000"/>
                <w:sz w:val="14"/>
                <w:szCs w:val="16"/>
                <w:lang w:val="en-GB"/>
              </w:rPr>
              <w:t xml:space="preserve">). The Table of costs are published by WorkCover. The Insurer must pay the fees or costs of rehabilitation that the insurer accepts to be reasonable, having regard to the worker’s injury </w:t>
            </w:r>
            <w:r w:rsidR="00795559">
              <w:rPr>
                <w:rFonts w:cs="Arial"/>
                <w:color w:val="000000"/>
                <w:sz w:val="14"/>
                <w:szCs w:val="16"/>
                <w:lang w:val="en-GB"/>
              </w:rPr>
              <w:t>—</w:t>
            </w:r>
            <w:r w:rsidR="00795559" w:rsidRPr="00581785">
              <w:rPr>
                <w:rFonts w:cs="Arial"/>
                <w:color w:val="000000"/>
                <w:sz w:val="14"/>
                <w:szCs w:val="16"/>
                <w:lang w:val="en-GB"/>
              </w:rPr>
              <w:t xml:space="preserve"> </w:t>
            </w:r>
            <w:hyperlink r:id="rId1132" w:anchor="sec.222" w:history="1">
              <w:r w:rsidR="0021070A" w:rsidRPr="0021070A">
                <w:rPr>
                  <w:rStyle w:val="Hyperlink"/>
                  <w:rFonts w:cs="Arial"/>
                  <w:sz w:val="14"/>
                  <w:szCs w:val="16"/>
                  <w:lang w:val="en-GB"/>
                </w:rPr>
                <w:t>ss222</w:t>
              </w:r>
            </w:hyperlink>
            <w:r w:rsidR="0021070A">
              <w:rPr>
                <w:rFonts w:cs="Arial"/>
                <w:color w:val="000000"/>
                <w:sz w:val="14"/>
                <w:szCs w:val="16"/>
                <w:lang w:val="en-GB"/>
              </w:rPr>
              <w:t xml:space="preserve"> &amp; </w:t>
            </w:r>
            <w:hyperlink r:id="rId1133" w:anchor="sec.223" w:history="1">
              <w:r w:rsidR="00BE265D" w:rsidRPr="0021070A">
                <w:rPr>
                  <w:rStyle w:val="Hyperlink"/>
                  <w:rFonts w:cs="Arial"/>
                  <w:sz w:val="14"/>
                  <w:szCs w:val="16"/>
                  <w:lang w:val="en-GB"/>
                </w:rPr>
                <w:t>223</w:t>
              </w:r>
            </w:hyperlink>
            <w:r w:rsidRPr="00581785">
              <w:rPr>
                <w:rFonts w:cs="Arial"/>
                <w:color w:val="000000"/>
                <w:sz w:val="14"/>
                <w:szCs w:val="16"/>
                <w:lang w:val="en-GB"/>
              </w:rPr>
              <w:t>.</w:t>
            </w:r>
          </w:p>
          <w:p w14:paraId="747B0359"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2E3C746E" w14:textId="2CDACFE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Home and workplace modifications are included in the definition of treatment, care and support needs </w:t>
            </w:r>
            <w:r w:rsidR="0021070A">
              <w:rPr>
                <w:rFonts w:cs="Arial"/>
                <w:color w:val="000000"/>
                <w:sz w:val="14"/>
                <w:szCs w:val="16"/>
                <w:lang w:val="en-GB"/>
              </w:rPr>
              <w:t>(</w:t>
            </w:r>
            <w:hyperlink r:id="rId1134" w:anchor="sec.232J" w:history="1">
              <w:r w:rsidR="00BE265D" w:rsidRPr="0021070A">
                <w:rPr>
                  <w:rStyle w:val="Hyperlink"/>
                  <w:rFonts w:cs="Arial"/>
                  <w:sz w:val="14"/>
                  <w:szCs w:val="16"/>
                  <w:lang w:val="en-GB"/>
                </w:rPr>
                <w:t>s232J</w:t>
              </w:r>
            </w:hyperlink>
            <w:r w:rsidR="0021070A" w:rsidRPr="00581785">
              <w:rPr>
                <w:rFonts w:cs="Arial"/>
                <w:color w:val="000000"/>
                <w:sz w:val="14"/>
                <w:szCs w:val="16"/>
                <w:lang w:val="en-GB"/>
              </w:rPr>
              <w:t>)</w:t>
            </w:r>
            <w:r w:rsidRPr="00581785">
              <w:rPr>
                <w:rFonts w:cs="Arial"/>
                <w:color w:val="000000"/>
                <w:sz w:val="14"/>
                <w:szCs w:val="16"/>
                <w:lang w:val="en-GB"/>
              </w:rPr>
              <w:t xml:space="preserve"> and may be the subject of treatment, care and support payments from an insurer.</w:t>
            </w:r>
          </w:p>
          <w:p w14:paraId="604B669E" w14:textId="6EA3D9BE"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As above for section </w:t>
            </w:r>
            <w:hyperlink r:id="rId1135" w:history="1">
              <w:r w:rsidR="00BE265D" w:rsidRPr="0021070A">
                <w:rPr>
                  <w:rStyle w:val="Hyperlink"/>
                  <w:rFonts w:cs="Arial"/>
                  <w:sz w:val="14"/>
                  <w:szCs w:val="16"/>
                  <w:lang w:val="en-GB"/>
                </w:rPr>
                <w:t>232K(2)(b)</w:t>
              </w:r>
            </w:hyperlink>
            <w:r w:rsidRPr="00581785">
              <w:rPr>
                <w:rFonts w:cs="Arial"/>
                <w:color w:val="000000"/>
                <w:sz w:val="14"/>
                <w:szCs w:val="16"/>
                <w:lang w:val="en-GB"/>
              </w:rPr>
              <w:t xml:space="preserve"> of the Act.</w:t>
            </w:r>
          </w:p>
        </w:tc>
        <w:tc>
          <w:tcPr>
            <w:tcW w:w="2759" w:type="dxa"/>
            <w:shd w:val="clear" w:color="auto" w:fill="FFC9C9"/>
            <w:tcMar>
              <w:top w:w="80" w:type="dxa"/>
              <w:left w:w="80" w:type="dxa"/>
              <w:bottom w:w="80" w:type="dxa"/>
              <w:right w:w="80" w:type="dxa"/>
            </w:tcMar>
          </w:tcPr>
          <w:p w14:paraId="47ACA040"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As above for Act references. Insurer decision on a case by case basis with respect to funding these services. Home Nursing services are listed under the Nursing services table of cost published </w:t>
            </w:r>
            <w:r w:rsidRPr="00581785">
              <w:rPr>
                <w:rFonts w:cs="Arial"/>
                <w:color w:val="000000"/>
                <w:sz w:val="14"/>
                <w:szCs w:val="16"/>
                <w:lang w:val="en-GB"/>
              </w:rPr>
              <w:lastRenderedPageBreak/>
              <w:t>by WorkCover.</w:t>
            </w:r>
          </w:p>
          <w:p w14:paraId="448CA3D2"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627590B2" w14:textId="35EB4C06"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An eligible worker’s eligibility period for treatment, care and support payments, ends when the worker dies or the worker stops being entitled to payments under Chapter 4A. Under </w:t>
            </w:r>
            <w:hyperlink r:id="rId1136" w:anchor="sec.232S" w:history="1">
              <w:r w:rsidRPr="007F7B80">
                <w:rPr>
                  <w:rStyle w:val="Hyperlink"/>
                  <w:rFonts w:cs="Arial"/>
                  <w:sz w:val="14"/>
                  <w:szCs w:val="16"/>
                  <w:lang w:val="en-GB"/>
                </w:rPr>
                <w:t>s232S</w:t>
              </w:r>
            </w:hyperlink>
            <w:r w:rsidRPr="00581785">
              <w:rPr>
                <w:rFonts w:cs="Arial"/>
                <w:color w:val="000000"/>
                <w:sz w:val="14"/>
                <w:szCs w:val="16"/>
                <w:lang w:val="en-GB"/>
              </w:rPr>
              <w:t>, the worker’s entitlement to treatment, care and support payments ends if the insurer determines that their serious personal injury is not likely to continue to meet the eligibility criteria after the interim period ends.</w:t>
            </w:r>
          </w:p>
          <w:p w14:paraId="533CDB99" w14:textId="73FB9A9E"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Under </w:t>
            </w:r>
            <w:hyperlink r:id="rId1137" w:anchor="sec.232ZC" w:history="1">
              <w:r w:rsidRPr="007F7B80">
                <w:rPr>
                  <w:rStyle w:val="Hyperlink"/>
                  <w:rFonts w:cs="Arial"/>
                  <w:sz w:val="14"/>
                  <w:szCs w:val="16"/>
                  <w:lang w:val="en-GB"/>
                </w:rPr>
                <w:t>s232ZC</w:t>
              </w:r>
            </w:hyperlink>
            <w:r w:rsidRPr="00581785">
              <w:rPr>
                <w:rFonts w:cs="Arial"/>
                <w:color w:val="000000"/>
                <w:sz w:val="14"/>
                <w:szCs w:val="16"/>
                <w:lang w:val="en-GB"/>
              </w:rPr>
              <w:t>, the worker’s entitlement to treatment, care and support payments for their injury ends if they accept an award of treatment, care and support damages.</w:t>
            </w:r>
          </w:p>
          <w:p w14:paraId="60C15BBD" w14:textId="05CA8180"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Under </w:t>
            </w:r>
            <w:hyperlink r:id="rId1138" w:anchor="sec.232ZG" w:history="1">
              <w:r w:rsidRPr="007F7B80">
                <w:rPr>
                  <w:rStyle w:val="Hyperlink"/>
                  <w:rFonts w:cs="Arial"/>
                  <w:sz w:val="14"/>
                  <w:szCs w:val="16"/>
                  <w:lang w:val="en-GB"/>
                </w:rPr>
                <w:t>s232ZG</w:t>
              </w:r>
            </w:hyperlink>
            <w:r w:rsidRPr="00581785">
              <w:rPr>
                <w:rFonts w:cs="Arial"/>
                <w:color w:val="000000"/>
                <w:sz w:val="14"/>
                <w:szCs w:val="16"/>
                <w:lang w:val="en-GB"/>
              </w:rPr>
              <w:t xml:space="preserve"> an insurer may review and amend an approved support plan or service request to amend a worker’s approved services if the worker is leaving Australia.</w:t>
            </w:r>
          </w:p>
          <w:p w14:paraId="74E955B9" w14:textId="25AD7C6D"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Under </w:t>
            </w:r>
            <w:hyperlink r:id="rId1139" w:anchor="sec.232ZH" w:history="1">
              <w:r w:rsidRPr="007F7B80">
                <w:rPr>
                  <w:rStyle w:val="Hyperlink"/>
                  <w:rFonts w:cs="Arial"/>
                  <w:sz w:val="14"/>
                  <w:szCs w:val="16"/>
                  <w:lang w:val="en-GB"/>
                </w:rPr>
                <w:t>s232ZH</w:t>
              </w:r>
            </w:hyperlink>
            <w:r w:rsidRPr="00581785">
              <w:rPr>
                <w:rFonts w:cs="Arial"/>
                <w:color w:val="000000"/>
                <w:sz w:val="14"/>
                <w:szCs w:val="16"/>
                <w:lang w:val="en-GB"/>
              </w:rPr>
              <w:t xml:space="preserve">, the insurer may suspend the worker’s entitlement to treatment, care and support payments if the insurer considers them affected by the worker’s absence from Australia. </w:t>
            </w:r>
          </w:p>
        </w:tc>
      </w:tr>
      <w:tr w:rsidR="00581785" w:rsidRPr="00581785" w14:paraId="162462CC" w14:textId="77777777" w:rsidTr="00B2173F">
        <w:tc>
          <w:tcPr>
            <w:tcW w:w="1626" w:type="dxa"/>
            <w:tcMar>
              <w:top w:w="80" w:type="dxa"/>
              <w:left w:w="80" w:type="dxa"/>
              <w:bottom w:w="80" w:type="dxa"/>
              <w:right w:w="80" w:type="dxa"/>
            </w:tcMar>
          </w:tcPr>
          <w:p w14:paraId="7AA68A1A"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lastRenderedPageBreak/>
              <w:t>Western Australia</w:t>
            </w:r>
          </w:p>
        </w:tc>
        <w:tc>
          <w:tcPr>
            <w:tcW w:w="2759" w:type="dxa"/>
            <w:tcMar>
              <w:top w:w="80" w:type="dxa"/>
              <w:left w:w="80" w:type="dxa"/>
              <w:bottom w:w="80" w:type="dxa"/>
              <w:right w:w="80" w:type="dxa"/>
            </w:tcMar>
          </w:tcPr>
          <w:p w14:paraId="620D0C11" w14:textId="22AD34F9"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Reasonable expenses incurred — </w:t>
            </w:r>
            <w:r w:rsidR="00834BBE">
              <w:rPr>
                <w:rFonts w:cs="Arial"/>
                <w:color w:val="000000"/>
                <w:sz w:val="14"/>
                <w:szCs w:val="16"/>
                <w:lang w:val="en-GB"/>
              </w:rPr>
              <w:t xml:space="preserve">Schedule </w:t>
            </w:r>
            <w:r w:rsidRPr="00581785">
              <w:rPr>
                <w:rFonts w:cs="Arial"/>
                <w:color w:val="000000"/>
                <w:sz w:val="14"/>
                <w:szCs w:val="16"/>
                <w:lang w:val="en-GB"/>
              </w:rPr>
              <w:t xml:space="preserve">1, </w:t>
            </w:r>
            <w:hyperlink r:id="rId1140" w:history="1">
              <w:r w:rsidRPr="00834BBE">
                <w:rPr>
                  <w:rStyle w:val="Hyperlink"/>
                  <w:rFonts w:cs="Arial"/>
                  <w:sz w:val="14"/>
                  <w:szCs w:val="16"/>
                  <w:lang w:val="en-GB"/>
                </w:rPr>
                <w:t>clause 17</w:t>
              </w:r>
            </w:hyperlink>
            <w:r w:rsidRPr="00581785">
              <w:rPr>
                <w:rFonts w:cs="Arial"/>
                <w:color w:val="000000"/>
                <w:sz w:val="14"/>
                <w:szCs w:val="16"/>
                <w:lang w:val="en-GB"/>
              </w:rPr>
              <w:t>. Limited to 30% of prescribed amount ($</w:t>
            </w:r>
            <w:r w:rsidR="00486CD2">
              <w:rPr>
                <w:rFonts w:cs="Arial"/>
                <w:color w:val="000000"/>
                <w:sz w:val="14"/>
                <w:szCs w:val="16"/>
                <w:lang w:val="en-GB"/>
              </w:rPr>
              <w:t>67,476.00</w:t>
            </w:r>
            <w:r w:rsidRPr="00581785">
              <w:rPr>
                <w:rFonts w:cs="Arial"/>
                <w:color w:val="000000"/>
                <w:sz w:val="14"/>
                <w:szCs w:val="16"/>
                <w:lang w:val="en-GB"/>
              </w:rPr>
              <w:t>). An additional $50</w:t>
            </w:r>
            <w:r w:rsidR="00795559">
              <w:rPr>
                <w:rFonts w:cs="Arial"/>
                <w:color w:val="000000"/>
                <w:sz w:val="14"/>
                <w:szCs w:val="16"/>
                <w:lang w:val="en-GB"/>
              </w:rPr>
              <w:t>,</w:t>
            </w:r>
            <w:r w:rsidRPr="00581785">
              <w:rPr>
                <w:rFonts w:cs="Arial"/>
                <w:color w:val="000000"/>
                <w:sz w:val="14"/>
                <w:szCs w:val="16"/>
                <w:lang w:val="en-GB"/>
              </w:rPr>
              <w:t xml:space="preserve">000 can be granted by an arbitrator where the worker’s social and financial circumstances justify it — s1, </w:t>
            </w:r>
            <w:hyperlink r:id="rId1141" w:history="1">
              <w:r w:rsidRPr="00834BBE">
                <w:rPr>
                  <w:rStyle w:val="Hyperlink"/>
                  <w:rFonts w:cs="Arial"/>
                  <w:sz w:val="14"/>
                  <w:szCs w:val="16"/>
                  <w:lang w:val="en-GB"/>
                </w:rPr>
                <w:t>clause 18A(1)</w:t>
              </w:r>
            </w:hyperlink>
          </w:p>
          <w:p w14:paraId="2994D57F" w14:textId="575CF413"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If a worker meets an exceptional medical circumstances test and has a WPI of not less than 15%, they may apply for additional medical and related expenses capped at $250</w:t>
            </w:r>
            <w:r w:rsidR="007E4D67">
              <w:rPr>
                <w:rFonts w:cs="Arial"/>
                <w:color w:val="000000"/>
                <w:sz w:val="14"/>
                <w:szCs w:val="16"/>
                <w:lang w:val="en-GB"/>
              </w:rPr>
              <w:t>,</w:t>
            </w:r>
            <w:r w:rsidRPr="00581785">
              <w:rPr>
                <w:rFonts w:cs="Arial"/>
                <w:color w:val="000000"/>
                <w:sz w:val="14"/>
                <w:szCs w:val="16"/>
                <w:lang w:val="en-GB"/>
              </w:rPr>
              <w:t xml:space="preserve">000. Workers granted such an extension are excluded from seeking common law damages — s1, </w:t>
            </w:r>
            <w:hyperlink r:id="rId1142" w:history="1">
              <w:r w:rsidRPr="00834BBE">
                <w:rPr>
                  <w:rStyle w:val="Hyperlink"/>
                  <w:rFonts w:cs="Arial"/>
                  <w:sz w:val="14"/>
                  <w:szCs w:val="16"/>
                  <w:lang w:val="en-GB"/>
                </w:rPr>
                <w:t>clause 18A</w:t>
              </w:r>
            </w:hyperlink>
            <w:r w:rsidR="002062CE">
              <w:rPr>
                <w:rFonts w:cs="Arial"/>
                <w:color w:val="000000"/>
                <w:sz w:val="14"/>
                <w:szCs w:val="16"/>
                <w:lang w:val="en-GB"/>
              </w:rPr>
              <w:t xml:space="preserve">, </w:t>
            </w:r>
            <w:r w:rsidR="002062CE" w:rsidRPr="00016069">
              <w:rPr>
                <w:i/>
                <w:sz w:val="14"/>
              </w:rPr>
              <w:t>Workers’ Compensation and Injury Management Act 1981</w:t>
            </w:r>
            <w:r w:rsidR="002062CE">
              <w:rPr>
                <w:i/>
                <w:sz w:val="14"/>
              </w:rPr>
              <w:t>.</w:t>
            </w:r>
          </w:p>
        </w:tc>
        <w:tc>
          <w:tcPr>
            <w:tcW w:w="2759" w:type="dxa"/>
            <w:tcMar>
              <w:top w:w="80" w:type="dxa"/>
              <w:left w:w="80" w:type="dxa"/>
              <w:bottom w:w="80" w:type="dxa"/>
              <w:right w:w="80" w:type="dxa"/>
            </w:tcMar>
          </w:tcPr>
          <w:p w14:paraId="4DCF4380" w14:textId="0310ADA5"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Reasonable expenses associated with a nursing home may be paid where a medical practitioner certifies that the worker is totally and permanently incapacitated and requires continuing medical treatment and maintenance, which cannot be administered in the worker’s domestic environment — Schedule 1, </w:t>
            </w:r>
            <w:hyperlink r:id="rId1143" w:history="1">
              <w:r w:rsidRPr="00834BBE">
                <w:rPr>
                  <w:rStyle w:val="Hyperlink"/>
                  <w:rFonts w:cs="Arial"/>
                  <w:sz w:val="14"/>
                  <w:szCs w:val="16"/>
                  <w:lang w:val="en-GB"/>
                </w:rPr>
                <w:t>clause 17(1)</w:t>
              </w:r>
            </w:hyperlink>
            <w:r w:rsidR="00E13D9F">
              <w:rPr>
                <w:rFonts w:cs="Arial"/>
                <w:color w:val="000000"/>
                <w:sz w:val="14"/>
                <w:szCs w:val="16"/>
                <w:lang w:val="en-GB"/>
              </w:rPr>
              <w:t>.</w:t>
            </w:r>
          </w:p>
        </w:tc>
        <w:tc>
          <w:tcPr>
            <w:tcW w:w="2759" w:type="dxa"/>
            <w:tcMar>
              <w:top w:w="80" w:type="dxa"/>
              <w:left w:w="80" w:type="dxa"/>
              <w:bottom w:w="80" w:type="dxa"/>
              <w:right w:w="80" w:type="dxa"/>
            </w:tcMar>
          </w:tcPr>
          <w:p w14:paraId="235D6197" w14:textId="429B5769"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N/A</w:t>
            </w:r>
          </w:p>
        </w:tc>
        <w:tc>
          <w:tcPr>
            <w:tcW w:w="2759" w:type="dxa"/>
            <w:tcMar>
              <w:top w:w="80" w:type="dxa"/>
              <w:left w:w="80" w:type="dxa"/>
              <w:bottom w:w="80" w:type="dxa"/>
              <w:right w:w="80" w:type="dxa"/>
            </w:tcMar>
          </w:tcPr>
          <w:p w14:paraId="50759A66"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Not prescribed in legislation. In special circumstances insurers may approve limited home and vehicle modifications.</w:t>
            </w:r>
          </w:p>
          <w:p w14:paraId="4AB10BE7" w14:textId="7CC516C3" w:rsidR="00581785" w:rsidRPr="00581785" w:rsidRDefault="00581785" w:rsidP="00486CD2">
            <w:pPr>
              <w:spacing w:after="60"/>
              <w:rPr>
                <w:rFonts w:cs="Arial"/>
                <w:color w:val="000000"/>
                <w:sz w:val="14"/>
                <w:szCs w:val="16"/>
                <w:lang w:val="en-GB"/>
              </w:rPr>
            </w:pPr>
            <w:r w:rsidRPr="00581785">
              <w:rPr>
                <w:rFonts w:cs="Arial"/>
                <w:color w:val="000000"/>
                <w:sz w:val="14"/>
                <w:szCs w:val="16"/>
                <w:lang w:val="en-GB"/>
              </w:rPr>
              <w:t>Injured workers that require assistance from an approved vocational rehabilitation provider to assist them to return to work can access the entitlement for vocational rehabilitation expenses, which represents 7% of the prescribed amount (up to $</w:t>
            </w:r>
            <w:r w:rsidR="00486CD2">
              <w:rPr>
                <w:rFonts w:cs="Arial"/>
                <w:color w:val="000000"/>
                <w:sz w:val="14"/>
                <w:szCs w:val="16"/>
                <w:lang w:val="en-GB"/>
              </w:rPr>
              <w:t>15,744.00</w:t>
            </w:r>
            <w:r w:rsidRPr="00581785">
              <w:rPr>
                <w:rFonts w:cs="Arial"/>
                <w:color w:val="000000"/>
                <w:sz w:val="14"/>
                <w:szCs w:val="16"/>
                <w:lang w:val="en-GB"/>
              </w:rPr>
              <w:t>).</w:t>
            </w:r>
          </w:p>
        </w:tc>
        <w:tc>
          <w:tcPr>
            <w:tcW w:w="2759" w:type="dxa"/>
            <w:tcMar>
              <w:top w:w="80" w:type="dxa"/>
              <w:left w:w="80" w:type="dxa"/>
              <w:bottom w:w="80" w:type="dxa"/>
              <w:right w:w="80" w:type="dxa"/>
            </w:tcMar>
          </w:tcPr>
          <w:p w14:paraId="05227663" w14:textId="4142A4CA" w:rsidR="00581785" w:rsidRPr="00581785" w:rsidRDefault="00581785" w:rsidP="00692DB2">
            <w:pPr>
              <w:spacing w:after="60"/>
              <w:rPr>
                <w:rFonts w:cs="Arial"/>
                <w:color w:val="000000"/>
                <w:sz w:val="14"/>
                <w:szCs w:val="16"/>
                <w:lang w:val="en-GB"/>
              </w:rPr>
            </w:pPr>
            <w:r w:rsidRPr="00581785">
              <w:rPr>
                <w:rFonts w:cs="Arial"/>
                <w:color w:val="000000"/>
                <w:sz w:val="14"/>
                <w:szCs w:val="16"/>
                <w:lang w:val="en-GB"/>
              </w:rPr>
              <w:t xml:space="preserve">Limits as </w:t>
            </w:r>
            <w:r w:rsidR="00692DB2">
              <w:rPr>
                <w:rFonts w:cs="Arial"/>
                <w:color w:val="000000"/>
                <w:sz w:val="14"/>
                <w:szCs w:val="16"/>
                <w:lang w:val="en-GB"/>
              </w:rPr>
              <w:t>in first column</w:t>
            </w:r>
          </w:p>
        </w:tc>
      </w:tr>
      <w:tr w:rsidR="00581785" w:rsidRPr="00581785" w14:paraId="259C9106" w14:textId="77777777" w:rsidTr="00B2173F">
        <w:tc>
          <w:tcPr>
            <w:tcW w:w="1626" w:type="dxa"/>
            <w:shd w:val="clear" w:color="auto" w:fill="FFC9C9"/>
            <w:tcMar>
              <w:top w:w="80" w:type="dxa"/>
              <w:left w:w="80" w:type="dxa"/>
              <w:bottom w:w="80" w:type="dxa"/>
              <w:right w:w="80" w:type="dxa"/>
            </w:tcMar>
          </w:tcPr>
          <w:p w14:paraId="0CEEF3BF"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South Australia</w:t>
            </w:r>
          </w:p>
        </w:tc>
        <w:tc>
          <w:tcPr>
            <w:tcW w:w="2759" w:type="dxa"/>
            <w:shd w:val="clear" w:color="auto" w:fill="FFC9C9"/>
            <w:tcMar>
              <w:top w:w="80" w:type="dxa"/>
              <w:left w:w="80" w:type="dxa"/>
              <w:bottom w:w="80" w:type="dxa"/>
              <w:right w:w="80" w:type="dxa"/>
            </w:tcMar>
          </w:tcPr>
          <w:p w14:paraId="46098C60" w14:textId="308ED986"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 worker is entitled to be compensated for costs of services that are </w:t>
            </w:r>
            <w:r w:rsidRPr="00581785">
              <w:rPr>
                <w:rFonts w:cs="Arial"/>
                <w:b/>
                <w:color w:val="000000"/>
                <w:sz w:val="14"/>
                <w:szCs w:val="16"/>
                <w:lang w:val="en-GB"/>
              </w:rPr>
              <w:t>reasonably incurred</w:t>
            </w:r>
            <w:r w:rsidRPr="00581785">
              <w:rPr>
                <w:rFonts w:cs="Arial"/>
                <w:color w:val="000000"/>
                <w:sz w:val="14"/>
                <w:szCs w:val="16"/>
                <w:lang w:val="en-GB"/>
              </w:rPr>
              <w:t xml:space="preserve"> by the worker in consequence of having suffered a work injury — </w:t>
            </w:r>
            <w:hyperlink r:id="rId1144" w:history="1">
              <w:r w:rsidRPr="00581785">
                <w:rPr>
                  <w:rFonts w:cs="Arial"/>
                  <w:color w:val="0000FF"/>
                  <w:sz w:val="14"/>
                  <w:szCs w:val="16"/>
                  <w:u w:val="single"/>
                  <w:lang w:val="en-GB"/>
                </w:rPr>
                <w:t>s33</w:t>
              </w:r>
            </w:hyperlink>
            <w:r w:rsidR="002062CE" w:rsidRPr="002062CE">
              <w:rPr>
                <w:sz w:val="14"/>
              </w:rPr>
              <w:t>,</w:t>
            </w:r>
            <w:r w:rsidR="002062CE">
              <w:rPr>
                <w:i/>
                <w:sz w:val="14"/>
              </w:rPr>
              <w:t xml:space="preserve"> </w:t>
            </w:r>
            <w:r w:rsidR="002062CE" w:rsidRPr="00016069">
              <w:rPr>
                <w:i/>
                <w:sz w:val="14"/>
              </w:rPr>
              <w:t>Return to Work Act 2014</w:t>
            </w:r>
            <w:r w:rsidR="002062CE">
              <w:rPr>
                <w:i/>
                <w:sz w:val="14"/>
              </w:rPr>
              <w:t>.</w:t>
            </w:r>
          </w:p>
        </w:tc>
        <w:tc>
          <w:tcPr>
            <w:tcW w:w="2759" w:type="dxa"/>
            <w:shd w:val="clear" w:color="auto" w:fill="FFC9C9"/>
            <w:tcMar>
              <w:top w:w="80" w:type="dxa"/>
              <w:left w:w="80" w:type="dxa"/>
              <w:bottom w:w="80" w:type="dxa"/>
              <w:right w:w="80" w:type="dxa"/>
            </w:tcMar>
          </w:tcPr>
          <w:p w14:paraId="775B1C3C" w14:textId="7E959FE5" w:rsidR="00581785" w:rsidRPr="00581785" w:rsidRDefault="00581785" w:rsidP="007F0B00">
            <w:pPr>
              <w:spacing w:after="60"/>
              <w:contextualSpacing/>
              <w:rPr>
                <w:rFonts w:eastAsia="Calibri" w:cs="Arial"/>
                <w:sz w:val="14"/>
                <w:szCs w:val="14"/>
                <w:lang w:eastAsia="en-US"/>
              </w:rPr>
            </w:pPr>
            <w:r w:rsidRPr="00581785">
              <w:rPr>
                <w:rFonts w:cs="Arial"/>
                <w:color w:val="000000"/>
                <w:sz w:val="14"/>
                <w:szCs w:val="16"/>
                <w:lang w:val="en-GB"/>
              </w:rPr>
              <w:t>A worker is entitled to the costs of attendance by a</w:t>
            </w:r>
            <w:r w:rsidR="00E9222E">
              <w:rPr>
                <w:rFonts w:cs="Arial"/>
                <w:color w:val="000000"/>
                <w:sz w:val="14"/>
                <w:szCs w:val="16"/>
                <w:lang w:val="en-GB"/>
              </w:rPr>
              <w:t xml:space="preserve"> registered or enrolled nurse (</w:t>
            </w:r>
            <w:r w:rsidRPr="00581785">
              <w:rPr>
                <w:rFonts w:cs="Arial"/>
                <w:color w:val="000000"/>
                <w:sz w:val="14"/>
                <w:szCs w:val="16"/>
                <w:lang w:val="en-GB"/>
              </w:rPr>
              <w:t>or by some other person approved by RTWSA) where the injury is such that the worker requires nursing or personal attendance</w:t>
            </w:r>
            <w:r w:rsidR="007E4D67">
              <w:rPr>
                <w:rFonts w:cs="Arial"/>
                <w:color w:val="000000"/>
                <w:sz w:val="14"/>
                <w:szCs w:val="16"/>
                <w:lang w:val="en-GB"/>
              </w:rPr>
              <w:t xml:space="preserve"> </w:t>
            </w:r>
            <w:r w:rsidRPr="00581785">
              <w:rPr>
                <w:rFonts w:cs="Arial"/>
                <w:color w:val="000000"/>
                <w:sz w:val="14"/>
                <w:szCs w:val="16"/>
                <w:lang w:val="en-GB"/>
              </w:rPr>
              <w:t xml:space="preserve">— </w:t>
            </w:r>
            <w:hyperlink r:id="rId1145" w:history="1">
              <w:r w:rsidRPr="00581785">
                <w:rPr>
                  <w:rFonts w:cs="Arial"/>
                  <w:color w:val="0000FF"/>
                  <w:sz w:val="14"/>
                  <w:szCs w:val="16"/>
                  <w:u w:val="single"/>
                  <w:lang w:val="en-GB"/>
                </w:rPr>
                <w:t>s33(2)(f)</w:t>
              </w:r>
            </w:hyperlink>
            <w:r w:rsidR="00E13D9F">
              <w:rPr>
                <w:rFonts w:cs="Arial"/>
                <w:color w:val="0000FF"/>
                <w:sz w:val="14"/>
                <w:szCs w:val="16"/>
                <w:u w:val="single"/>
                <w:lang w:val="en-GB"/>
              </w:rPr>
              <w:t>.</w:t>
            </w:r>
          </w:p>
        </w:tc>
        <w:tc>
          <w:tcPr>
            <w:tcW w:w="2759" w:type="dxa"/>
            <w:shd w:val="clear" w:color="auto" w:fill="FFC9C9"/>
            <w:tcMar>
              <w:top w:w="80" w:type="dxa"/>
              <w:left w:w="80" w:type="dxa"/>
              <w:bottom w:w="80" w:type="dxa"/>
              <w:right w:w="80" w:type="dxa"/>
            </w:tcMar>
          </w:tcPr>
          <w:p w14:paraId="7D571012" w14:textId="6BA93232"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 worker is entitled to be compensated for costs of services that are reasonably incurred, which can include home services depending upon the circumstances of the injury </w:t>
            </w:r>
            <w:r w:rsidR="007E4D67">
              <w:rPr>
                <w:rFonts w:cs="Arial"/>
                <w:color w:val="000000"/>
                <w:sz w:val="14"/>
                <w:szCs w:val="16"/>
                <w:lang w:val="en-GB"/>
              </w:rPr>
              <w:t xml:space="preserve">— </w:t>
            </w:r>
            <w:hyperlink r:id="rId1146" w:history="1">
              <w:r w:rsidRPr="009858E0">
                <w:rPr>
                  <w:rStyle w:val="Hyperlink"/>
                  <w:rFonts w:cs="Arial"/>
                  <w:sz w:val="14"/>
                  <w:szCs w:val="16"/>
                  <w:lang w:val="en-GB"/>
                </w:rPr>
                <w:t>s33(2)(i)</w:t>
              </w:r>
            </w:hyperlink>
            <w:r w:rsidRPr="00581785">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1010807F" w14:textId="4E824EA2"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ReturnToWorkSA may as part of a recovery/return to work services provide equipment, facilities and services (including home, vehicle modification, aids and appliances) to assist workers to cope with their injuries at home or in the workplace —</w:t>
            </w:r>
            <w:r w:rsidR="007E4D67">
              <w:rPr>
                <w:rFonts w:cs="Arial"/>
                <w:color w:val="000000"/>
                <w:sz w:val="14"/>
                <w:szCs w:val="16"/>
                <w:lang w:val="en-GB"/>
              </w:rPr>
              <w:t xml:space="preserve"> </w:t>
            </w:r>
            <w:hyperlink r:id="rId1147" w:history="1">
              <w:r w:rsidRPr="00581785">
                <w:rPr>
                  <w:rFonts w:cs="Arial"/>
                  <w:color w:val="0000FF"/>
                  <w:sz w:val="14"/>
                  <w:szCs w:val="16"/>
                  <w:u w:val="single"/>
                  <w:lang w:val="en-GB"/>
                </w:rPr>
                <w:t>s24(1)(f) and s33(2)(i)</w:t>
              </w:r>
            </w:hyperlink>
            <w:r w:rsidRPr="00581785">
              <w:rPr>
                <w:rFonts w:cs="Arial"/>
                <w:color w:val="000000"/>
                <w:sz w:val="14"/>
                <w:szCs w:val="16"/>
                <w:lang w:val="en-GB"/>
              </w:rPr>
              <w:t xml:space="preserve">. </w:t>
            </w:r>
          </w:p>
        </w:tc>
        <w:tc>
          <w:tcPr>
            <w:tcW w:w="2759" w:type="dxa"/>
            <w:shd w:val="clear" w:color="auto" w:fill="FFC9C9"/>
            <w:tcMar>
              <w:top w:w="80" w:type="dxa"/>
              <w:left w:w="80" w:type="dxa"/>
              <w:bottom w:w="80" w:type="dxa"/>
              <w:right w:w="80" w:type="dxa"/>
            </w:tcMar>
          </w:tcPr>
          <w:p w14:paraId="641E48A6" w14:textId="71EFF4B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There is no monetary limit defined in the legislation. However, there are limits on duration of support for medical and other expenses. If the worker is entitled to weekly payments for incapacity in respect of the injury, entitlement to compensation for medical and other expenses ceases 52 weeks after their entitlement to weekly payment ceases. If the worker is not entitled to weekly payments for incapacity, entitlement to compensation for medical and other expenses ceases 52 weeks after the claim </w:t>
            </w:r>
            <w:r w:rsidR="007E4D67">
              <w:rPr>
                <w:rFonts w:cs="Arial"/>
                <w:color w:val="000000"/>
                <w:sz w:val="14"/>
                <w:szCs w:val="16"/>
                <w:lang w:val="en-GB"/>
              </w:rPr>
              <w:t>—</w:t>
            </w:r>
            <w:r w:rsidR="007E4D67" w:rsidRPr="00581785">
              <w:rPr>
                <w:rFonts w:cs="Arial"/>
                <w:color w:val="000000"/>
                <w:sz w:val="14"/>
                <w:szCs w:val="16"/>
                <w:lang w:val="en-GB"/>
              </w:rPr>
              <w:t xml:space="preserve"> </w:t>
            </w:r>
            <w:hyperlink r:id="rId1148" w:history="1">
              <w:r w:rsidRPr="009858E0">
                <w:rPr>
                  <w:rStyle w:val="Hyperlink"/>
                  <w:rFonts w:cs="Arial"/>
                  <w:sz w:val="14"/>
                  <w:szCs w:val="16"/>
                  <w:lang w:val="en-GB"/>
                </w:rPr>
                <w:t>s33(20)</w:t>
              </w:r>
            </w:hyperlink>
            <w:r w:rsidRPr="00581785">
              <w:rPr>
                <w:rFonts w:cs="Arial"/>
                <w:color w:val="000000"/>
                <w:sz w:val="14"/>
                <w:szCs w:val="16"/>
                <w:lang w:val="en-GB"/>
              </w:rPr>
              <w:t xml:space="preserve">. </w:t>
            </w:r>
          </w:p>
          <w:p w14:paraId="78D5F133"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Fees are regulated by gazette for hospital, medical and allied health services — </w:t>
            </w:r>
            <w:hyperlink r:id="rId1149" w:history="1">
              <w:r w:rsidRPr="00581785">
                <w:rPr>
                  <w:rFonts w:cs="Arial"/>
                  <w:color w:val="0000FF"/>
                  <w:sz w:val="14"/>
                  <w:szCs w:val="16"/>
                  <w:u w:val="single"/>
                  <w:lang w:val="en-GB"/>
                </w:rPr>
                <w:t>s33(11)</w:t>
              </w:r>
            </w:hyperlink>
          </w:p>
          <w:p w14:paraId="42933D1E" w14:textId="48967F6D"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Other costs may be reimbursed if reasonably incurred — </w:t>
            </w:r>
            <w:hyperlink r:id="rId1150" w:history="1">
              <w:r w:rsidRPr="00581785">
                <w:rPr>
                  <w:rFonts w:cs="Arial"/>
                  <w:color w:val="0000FF"/>
                  <w:sz w:val="14"/>
                  <w:szCs w:val="16"/>
                  <w:u w:val="single"/>
                  <w:lang w:val="en-GB"/>
                </w:rPr>
                <w:t>s33(1)</w:t>
              </w:r>
            </w:hyperlink>
            <w:r w:rsidR="00E13D9F">
              <w:rPr>
                <w:rFonts w:cs="Arial"/>
                <w:color w:val="0000FF"/>
                <w:sz w:val="14"/>
                <w:szCs w:val="16"/>
                <w:u w:val="single"/>
                <w:lang w:val="en-GB"/>
              </w:rPr>
              <w:t>.</w:t>
            </w:r>
          </w:p>
        </w:tc>
      </w:tr>
      <w:tr w:rsidR="00581785" w:rsidRPr="00581785" w14:paraId="7EEA3BA8" w14:textId="77777777" w:rsidTr="00B2173F">
        <w:tc>
          <w:tcPr>
            <w:tcW w:w="1626" w:type="dxa"/>
            <w:tcMar>
              <w:top w:w="80" w:type="dxa"/>
              <w:left w:w="80" w:type="dxa"/>
              <w:bottom w:w="80" w:type="dxa"/>
              <w:right w:w="80" w:type="dxa"/>
            </w:tcMar>
          </w:tcPr>
          <w:p w14:paraId="027466F4"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lastRenderedPageBreak/>
              <w:t>Tasmania</w:t>
            </w:r>
          </w:p>
        </w:tc>
        <w:tc>
          <w:tcPr>
            <w:tcW w:w="2759" w:type="dxa"/>
            <w:tcMar>
              <w:top w:w="80" w:type="dxa"/>
              <w:left w:w="80" w:type="dxa"/>
              <w:bottom w:w="80" w:type="dxa"/>
              <w:right w:w="80" w:type="dxa"/>
            </w:tcMar>
          </w:tcPr>
          <w:p w14:paraId="469E54F7" w14:textId="28EC929B"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A worker is entitled to compensation for reasonable expenses necessarily incurred as a result of the injury</w:t>
            </w:r>
            <w:r w:rsidR="00EC66A3">
              <w:rPr>
                <w:rFonts w:cs="Arial"/>
                <w:color w:val="000000"/>
                <w:sz w:val="14"/>
                <w:szCs w:val="16"/>
                <w:lang w:val="en-GB"/>
              </w:rPr>
              <w:t xml:space="preserve"> </w:t>
            </w:r>
            <w:r w:rsidRPr="00581785">
              <w:rPr>
                <w:rFonts w:cs="Arial"/>
                <w:color w:val="000000"/>
                <w:sz w:val="14"/>
                <w:szCs w:val="16"/>
                <w:lang w:val="en-GB"/>
              </w:rPr>
              <w:t xml:space="preserve">— </w:t>
            </w:r>
            <w:hyperlink r:id="rId1151" w:history="1">
              <w:r w:rsidRPr="00581785">
                <w:rPr>
                  <w:rFonts w:cs="Arial"/>
                  <w:color w:val="0000FF"/>
                  <w:sz w:val="14"/>
                  <w:szCs w:val="16"/>
                  <w:u w:val="single"/>
                  <w:lang w:val="en-GB"/>
                </w:rPr>
                <w:t>s75(1)(a)</w:t>
              </w:r>
            </w:hyperlink>
            <w:r w:rsidR="002062CE">
              <w:rPr>
                <w:rFonts w:cs="Arial"/>
                <w:sz w:val="14"/>
                <w:szCs w:val="16"/>
                <w:lang w:val="en-GB"/>
              </w:rPr>
              <w:t xml:space="preserve">, </w:t>
            </w:r>
            <w:r w:rsidR="002062CE" w:rsidRPr="00016069">
              <w:rPr>
                <w:i/>
                <w:sz w:val="14"/>
              </w:rPr>
              <w:t>Workers Rehabilitation and Compensation Act 1988</w:t>
            </w:r>
            <w:r w:rsidR="002062CE">
              <w:rPr>
                <w:i/>
                <w:sz w:val="14"/>
              </w:rPr>
              <w:t>.</w:t>
            </w:r>
          </w:p>
        </w:tc>
        <w:tc>
          <w:tcPr>
            <w:tcW w:w="2759" w:type="dxa"/>
            <w:tcMar>
              <w:top w:w="80" w:type="dxa"/>
              <w:left w:w="80" w:type="dxa"/>
              <w:bottom w:w="80" w:type="dxa"/>
              <w:right w:w="80" w:type="dxa"/>
            </w:tcMar>
          </w:tcPr>
          <w:p w14:paraId="432E55A9" w14:textId="77777777"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A worker is entitled to compensation for reasonable expenses for constant attendance services necessarily incurred as a result of the injury — </w:t>
            </w:r>
            <w:hyperlink r:id="rId1152" w:history="1">
              <w:r w:rsidRPr="002A549E">
                <w:rPr>
                  <w:rFonts w:eastAsia="Calibri" w:cs="Arial"/>
                  <w:color w:val="0000FF"/>
                  <w:sz w:val="14"/>
                  <w:szCs w:val="14"/>
                  <w:u w:val="single"/>
                  <w:lang w:eastAsia="en-US"/>
                </w:rPr>
                <w:t>s75(1)(a)</w:t>
              </w:r>
            </w:hyperlink>
            <w:r w:rsidRPr="002A549E">
              <w:rPr>
                <w:rFonts w:eastAsia="Calibri" w:cs="Arial"/>
                <w:sz w:val="14"/>
                <w:szCs w:val="14"/>
                <w:lang w:eastAsia="en-US"/>
              </w:rPr>
              <w:t xml:space="preserve">. </w:t>
            </w:r>
          </w:p>
          <w:p w14:paraId="6398FB46" w14:textId="77777777"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Constant attendance services are services provided by a person other than a member of the worker’s family where the worker requires the regular or constant personal attendance of another person — (</w:t>
            </w:r>
            <w:hyperlink r:id="rId1153" w:history="1">
              <w:r w:rsidRPr="002A549E">
                <w:rPr>
                  <w:rFonts w:eastAsia="Calibri" w:cs="Arial"/>
                  <w:color w:val="0000FF"/>
                  <w:sz w:val="14"/>
                  <w:szCs w:val="14"/>
                  <w:u w:val="single"/>
                  <w:lang w:eastAsia="en-US"/>
                </w:rPr>
                <w:t>s74</w:t>
              </w:r>
            </w:hyperlink>
            <w:r w:rsidRPr="002A549E">
              <w:rPr>
                <w:rFonts w:eastAsia="Calibri" w:cs="Arial"/>
                <w:sz w:val="14"/>
                <w:szCs w:val="14"/>
                <w:lang w:eastAsia="en-US"/>
              </w:rPr>
              <w:t xml:space="preserve">). </w:t>
            </w:r>
          </w:p>
          <w:p w14:paraId="7EECA62F" w14:textId="1DAF7825"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Where there is any dispute in relation to constant attendance services, the Tribunal can make a determination as to: the necessity for the services, the period for which they are to be provided, and the level of payments that are reasonable and appropriate for those services</w:t>
            </w:r>
            <w:r w:rsidRPr="002A549E">
              <w:rPr>
                <w:rFonts w:eastAsia="Calibri" w:cs="Arial"/>
                <w:sz w:val="14"/>
                <w:szCs w:val="14"/>
                <w:lang w:eastAsia="en-US"/>
              </w:rPr>
              <w:br/>
              <w:t xml:space="preserve"> — </w:t>
            </w:r>
            <w:hyperlink r:id="rId1154" w:history="1">
              <w:r w:rsidRPr="002A549E">
                <w:rPr>
                  <w:rFonts w:eastAsia="Calibri" w:cs="Arial"/>
                  <w:color w:val="0000FF"/>
                  <w:sz w:val="14"/>
                  <w:szCs w:val="14"/>
                  <w:u w:val="single"/>
                  <w:lang w:eastAsia="en-US"/>
                </w:rPr>
                <w:t>s75(3</w:t>
              </w:r>
            </w:hyperlink>
            <w:r w:rsidRPr="002A549E">
              <w:rPr>
                <w:rFonts w:eastAsia="Calibri" w:cs="Arial"/>
                <w:sz w:val="14"/>
                <w:szCs w:val="14"/>
                <w:lang w:eastAsia="en-US"/>
              </w:rPr>
              <w:t>)</w:t>
            </w:r>
            <w:r w:rsidR="00E13D9F">
              <w:rPr>
                <w:rFonts w:eastAsia="Calibri" w:cs="Arial"/>
                <w:sz w:val="14"/>
                <w:szCs w:val="14"/>
                <w:lang w:eastAsia="en-US"/>
              </w:rPr>
              <w:t>.</w:t>
            </w:r>
          </w:p>
        </w:tc>
        <w:tc>
          <w:tcPr>
            <w:tcW w:w="2759" w:type="dxa"/>
            <w:tcMar>
              <w:top w:w="80" w:type="dxa"/>
              <w:left w:w="80" w:type="dxa"/>
              <w:bottom w:w="80" w:type="dxa"/>
              <w:right w:w="80" w:type="dxa"/>
            </w:tcMar>
          </w:tcPr>
          <w:p w14:paraId="57B05FA5" w14:textId="77777777"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A worker is entitled to compensation for reasonable expenses for household services necessarily incurred as a result of the injury — </w:t>
            </w:r>
            <w:hyperlink r:id="rId1155" w:history="1">
              <w:r w:rsidRPr="002A549E">
                <w:rPr>
                  <w:rFonts w:eastAsia="Calibri" w:cs="Arial"/>
                  <w:color w:val="0000FF"/>
                  <w:sz w:val="14"/>
                  <w:szCs w:val="14"/>
                  <w:u w:val="single"/>
                  <w:lang w:eastAsia="en-US"/>
                </w:rPr>
                <w:t>s75(1)(a)</w:t>
              </w:r>
            </w:hyperlink>
          </w:p>
          <w:p w14:paraId="24521F79" w14:textId="77777777"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Household services are services provided to the worker (other than by a family member) of a domestic nature and services required for the proper running and maintenance of the worker’s residential premises — </w:t>
            </w:r>
            <w:hyperlink r:id="rId1156" w:history="1">
              <w:r w:rsidRPr="002A549E">
                <w:rPr>
                  <w:rFonts w:eastAsia="Calibri" w:cs="Arial"/>
                  <w:color w:val="0000FF"/>
                  <w:sz w:val="14"/>
                  <w:szCs w:val="14"/>
                  <w:u w:val="single"/>
                  <w:lang w:eastAsia="en-US"/>
                </w:rPr>
                <w:t>s74</w:t>
              </w:r>
            </w:hyperlink>
            <w:r w:rsidRPr="002A549E">
              <w:rPr>
                <w:rFonts w:eastAsia="Calibri" w:cs="Arial"/>
                <w:sz w:val="14"/>
                <w:szCs w:val="14"/>
                <w:lang w:eastAsia="en-US"/>
              </w:rPr>
              <w:t xml:space="preserve"> </w:t>
            </w:r>
          </w:p>
          <w:p w14:paraId="7D8E3953" w14:textId="69079ADC"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Where there is any dispute in relation to household services, the Tribunal can make a determination as to: the necessity for the services, the period for which they are to be provided, and the level of payments that are reasonable and appropriate for those services — </w:t>
            </w:r>
            <w:hyperlink r:id="rId1157" w:history="1">
              <w:r w:rsidRPr="002A549E">
                <w:rPr>
                  <w:rFonts w:eastAsia="Calibri" w:cs="Arial"/>
                  <w:color w:val="0000FF"/>
                  <w:sz w:val="14"/>
                  <w:szCs w:val="14"/>
                  <w:u w:val="single"/>
                  <w:lang w:eastAsia="en-US"/>
                </w:rPr>
                <w:t>s75(3)</w:t>
              </w:r>
            </w:hyperlink>
            <w:r w:rsidR="00E13D9F">
              <w:rPr>
                <w:rFonts w:eastAsia="Calibri" w:cs="Arial"/>
                <w:color w:val="0000FF"/>
                <w:sz w:val="14"/>
                <w:szCs w:val="14"/>
                <w:u w:val="single"/>
                <w:lang w:eastAsia="en-US"/>
              </w:rPr>
              <w:t>.</w:t>
            </w:r>
          </w:p>
        </w:tc>
        <w:tc>
          <w:tcPr>
            <w:tcW w:w="2759" w:type="dxa"/>
            <w:tcMar>
              <w:top w:w="80" w:type="dxa"/>
              <w:left w:w="80" w:type="dxa"/>
              <w:bottom w:w="80" w:type="dxa"/>
              <w:right w:w="80" w:type="dxa"/>
            </w:tcMar>
          </w:tcPr>
          <w:p w14:paraId="543A1339" w14:textId="77777777"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A worker is entitled to compensation for reasonable expenses for rehabilitation services necessarily incurred as a result of the injury — </w:t>
            </w:r>
            <w:hyperlink r:id="rId1158" w:history="1">
              <w:r w:rsidRPr="002A549E">
                <w:rPr>
                  <w:rFonts w:eastAsia="Calibri" w:cs="Arial"/>
                  <w:color w:val="0000FF"/>
                  <w:sz w:val="14"/>
                  <w:szCs w:val="14"/>
                  <w:u w:val="single"/>
                  <w:lang w:eastAsia="en-US"/>
                </w:rPr>
                <w:t>s75(1)(a)</w:t>
              </w:r>
            </w:hyperlink>
          </w:p>
          <w:p w14:paraId="5300451A" w14:textId="45868BCD"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Rehabilitation services include any treatment, training or other assistance to facilitate or assist a worker’s rehabilitation, and necessary and reasonable modifications required to be made to the worker’s workplace, place of residence or motor vehicle.</w:t>
            </w:r>
            <w:r w:rsidR="00DD0D68">
              <w:rPr>
                <w:rFonts w:eastAsia="Calibri" w:cs="Arial"/>
                <w:sz w:val="14"/>
                <w:szCs w:val="14"/>
                <w:lang w:eastAsia="en-US"/>
              </w:rPr>
              <w:t xml:space="preserve"> </w:t>
            </w:r>
            <w:r w:rsidRPr="002A549E">
              <w:rPr>
                <w:rFonts w:eastAsia="Calibri" w:cs="Arial"/>
                <w:sz w:val="14"/>
                <w:szCs w:val="14"/>
                <w:lang w:eastAsia="en-US"/>
              </w:rPr>
              <w:t xml:space="preserve">It also includes workplace rehabilitation services — </w:t>
            </w:r>
            <w:hyperlink r:id="rId1159" w:history="1">
              <w:r w:rsidRPr="002A549E">
                <w:rPr>
                  <w:rFonts w:eastAsia="Calibri" w:cs="Arial"/>
                  <w:color w:val="0000FF"/>
                  <w:sz w:val="14"/>
                  <w:szCs w:val="14"/>
                  <w:u w:val="single"/>
                  <w:lang w:eastAsia="en-US"/>
                </w:rPr>
                <w:t>s74</w:t>
              </w:r>
            </w:hyperlink>
          </w:p>
          <w:p w14:paraId="4C67D6A7" w14:textId="77777777"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Where there is a dispute in relation to rehabilitation services, the Tribunal can make a determination as to: the necessity for the services, the period for which they are to be provided, and the level of payments that are reasonable and appropriate for those services — </w:t>
            </w:r>
            <w:hyperlink r:id="rId1160" w:history="1">
              <w:r w:rsidRPr="002A549E">
                <w:rPr>
                  <w:rFonts w:eastAsia="Calibri" w:cs="Arial"/>
                  <w:color w:val="0000FF"/>
                  <w:sz w:val="14"/>
                  <w:szCs w:val="14"/>
                  <w:u w:val="single"/>
                  <w:lang w:eastAsia="en-US"/>
                </w:rPr>
                <w:t>s75(3)</w:t>
              </w:r>
            </w:hyperlink>
            <w:r w:rsidRPr="002A549E">
              <w:rPr>
                <w:rFonts w:eastAsia="Calibri" w:cs="Arial"/>
                <w:sz w:val="14"/>
                <w:szCs w:val="14"/>
                <w:lang w:eastAsia="en-US"/>
              </w:rPr>
              <w:t>.</w:t>
            </w:r>
          </w:p>
        </w:tc>
        <w:tc>
          <w:tcPr>
            <w:tcW w:w="2759" w:type="dxa"/>
            <w:tcMar>
              <w:top w:w="80" w:type="dxa"/>
              <w:left w:w="80" w:type="dxa"/>
              <w:bottom w:w="80" w:type="dxa"/>
              <w:right w:w="80" w:type="dxa"/>
            </w:tcMar>
          </w:tcPr>
          <w:p w14:paraId="46A2A733" w14:textId="77777777"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There is no monetary limit. However, there are limits on duration. If the worker is entitled to weekly payments for incapacity in respect of the injury, entitlement to compensation for medical and other expenses ceases 52 weeks after the lawful termination of weekly payments — </w:t>
            </w:r>
            <w:hyperlink r:id="rId1161" w:history="1">
              <w:r w:rsidRPr="002A549E">
                <w:rPr>
                  <w:rFonts w:eastAsia="Calibri" w:cs="Arial"/>
                  <w:color w:val="0000FF"/>
                  <w:sz w:val="14"/>
                  <w:szCs w:val="14"/>
                  <w:u w:val="single"/>
                  <w:lang w:eastAsia="en-US"/>
                </w:rPr>
                <w:t>s75(2)</w:t>
              </w:r>
            </w:hyperlink>
          </w:p>
          <w:p w14:paraId="68F523E5" w14:textId="77777777"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If the worker is not entitled to weekly payments for incapacity, entitlement to compensation for medical and other expenses ceases 52 weeks after the date the claim was made — </w:t>
            </w:r>
            <w:hyperlink r:id="rId1162" w:history="1">
              <w:r w:rsidRPr="002A549E">
                <w:rPr>
                  <w:rFonts w:eastAsia="Calibri" w:cs="Arial"/>
                  <w:color w:val="0000FF"/>
                  <w:sz w:val="14"/>
                  <w:szCs w:val="14"/>
                  <w:u w:val="single"/>
                  <w:lang w:eastAsia="en-US"/>
                </w:rPr>
                <w:t>s75(2AA)</w:t>
              </w:r>
            </w:hyperlink>
            <w:r w:rsidRPr="002A549E">
              <w:rPr>
                <w:rFonts w:eastAsia="Calibri" w:cs="Arial"/>
                <w:sz w:val="14"/>
                <w:szCs w:val="14"/>
                <w:lang w:eastAsia="en-US"/>
              </w:rPr>
              <w:t>.</w:t>
            </w:r>
          </w:p>
          <w:p w14:paraId="1F6EF643" w14:textId="5A6BB621" w:rsidR="00581785" w:rsidRPr="002A549E" w:rsidRDefault="00581785" w:rsidP="00F839DB">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Compensation for medical and other expenses can be extended by Tribunal order — </w:t>
            </w:r>
            <w:hyperlink r:id="rId1163" w:history="1">
              <w:r w:rsidRPr="002A549E">
                <w:rPr>
                  <w:rFonts w:eastAsia="Calibri" w:cs="Arial"/>
                  <w:color w:val="0000FF"/>
                  <w:sz w:val="14"/>
                  <w:szCs w:val="14"/>
                  <w:u w:val="single"/>
                  <w:lang w:eastAsia="en-US"/>
                </w:rPr>
                <w:t>s75(2AB)</w:t>
              </w:r>
            </w:hyperlink>
            <w:r w:rsidR="00E13D9F">
              <w:rPr>
                <w:rFonts w:eastAsia="Calibri" w:cs="Arial"/>
                <w:color w:val="0000FF"/>
                <w:sz w:val="14"/>
                <w:szCs w:val="14"/>
                <w:u w:val="single"/>
                <w:lang w:eastAsia="en-US"/>
              </w:rPr>
              <w:t>.</w:t>
            </w:r>
          </w:p>
        </w:tc>
      </w:tr>
      <w:tr w:rsidR="00581785" w:rsidRPr="00581785" w14:paraId="4F472325" w14:textId="77777777" w:rsidTr="00B2173F">
        <w:tc>
          <w:tcPr>
            <w:tcW w:w="1626" w:type="dxa"/>
            <w:shd w:val="clear" w:color="auto" w:fill="FFC9C9"/>
            <w:tcMar>
              <w:top w:w="80" w:type="dxa"/>
              <w:left w:w="80" w:type="dxa"/>
              <w:bottom w:w="80" w:type="dxa"/>
              <w:right w:w="80" w:type="dxa"/>
            </w:tcMar>
          </w:tcPr>
          <w:p w14:paraId="7AFF9BA2"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Northern Territory</w:t>
            </w:r>
          </w:p>
        </w:tc>
        <w:tc>
          <w:tcPr>
            <w:tcW w:w="2759" w:type="dxa"/>
            <w:shd w:val="clear" w:color="auto" w:fill="FFC9C9"/>
            <w:tcMar>
              <w:top w:w="80" w:type="dxa"/>
              <w:left w:w="80" w:type="dxa"/>
              <w:bottom w:w="80" w:type="dxa"/>
              <w:right w:w="80" w:type="dxa"/>
            </w:tcMar>
          </w:tcPr>
          <w:p w14:paraId="3B027C94" w14:textId="21BAD58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Costs reasonably incurred — </w:t>
            </w:r>
            <w:hyperlink r:id="rId1164" w:history="1">
              <w:r w:rsidRPr="00BB2FB2">
                <w:rPr>
                  <w:rStyle w:val="Hyperlink"/>
                  <w:rFonts w:cs="Arial"/>
                  <w:sz w:val="14"/>
                  <w:szCs w:val="16"/>
                  <w:lang w:val="en-GB"/>
                </w:rPr>
                <w:t>s73</w:t>
              </w:r>
            </w:hyperlink>
            <w:r w:rsidR="002062CE">
              <w:rPr>
                <w:rFonts w:cs="Arial"/>
                <w:color w:val="000000"/>
                <w:sz w:val="14"/>
                <w:szCs w:val="16"/>
                <w:lang w:val="en-GB"/>
              </w:rPr>
              <w:t xml:space="preserve">, </w:t>
            </w:r>
            <w:r w:rsidR="002062CE" w:rsidRPr="00016069">
              <w:rPr>
                <w:i/>
                <w:sz w:val="14"/>
              </w:rPr>
              <w:t>Return to Work Act</w:t>
            </w:r>
            <w:r w:rsidR="002062CE">
              <w:rPr>
                <w:i/>
                <w:sz w:val="14"/>
              </w:rPr>
              <w:t>.</w:t>
            </w:r>
          </w:p>
        </w:tc>
        <w:tc>
          <w:tcPr>
            <w:tcW w:w="2759" w:type="dxa"/>
            <w:shd w:val="clear" w:color="auto" w:fill="FFC9C9"/>
            <w:tcMar>
              <w:top w:w="80" w:type="dxa"/>
              <w:left w:w="80" w:type="dxa"/>
              <w:bottom w:w="80" w:type="dxa"/>
              <w:right w:w="80" w:type="dxa"/>
            </w:tcMar>
          </w:tcPr>
          <w:p w14:paraId="697214CD" w14:textId="2397AC0C"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Costs that are reasonable and necessary — </w:t>
            </w:r>
            <w:hyperlink r:id="rId1165" w:history="1">
              <w:r w:rsidRPr="00BB2FB2">
                <w:rPr>
                  <w:rStyle w:val="Hyperlink"/>
                  <w:rFonts w:cs="Arial"/>
                  <w:sz w:val="14"/>
                  <w:szCs w:val="16"/>
                  <w:lang w:val="en-GB"/>
                </w:rPr>
                <w:t>s78</w:t>
              </w:r>
            </w:hyperlink>
          </w:p>
        </w:tc>
        <w:tc>
          <w:tcPr>
            <w:tcW w:w="2759" w:type="dxa"/>
            <w:shd w:val="clear" w:color="auto" w:fill="FFC9C9"/>
            <w:tcMar>
              <w:top w:w="80" w:type="dxa"/>
              <w:left w:w="80" w:type="dxa"/>
              <w:bottom w:w="80" w:type="dxa"/>
              <w:right w:w="80" w:type="dxa"/>
            </w:tcMar>
          </w:tcPr>
          <w:p w14:paraId="5894F0E9" w14:textId="57C4346C"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Costs that are reasonable and necessary — </w:t>
            </w:r>
            <w:hyperlink r:id="rId1166" w:history="1">
              <w:r w:rsidRPr="00BB2FB2">
                <w:rPr>
                  <w:rStyle w:val="Hyperlink"/>
                  <w:rFonts w:cs="Arial"/>
                  <w:sz w:val="14"/>
                  <w:szCs w:val="16"/>
                  <w:lang w:val="en-GB"/>
                </w:rPr>
                <w:t>s78</w:t>
              </w:r>
            </w:hyperlink>
          </w:p>
        </w:tc>
        <w:tc>
          <w:tcPr>
            <w:tcW w:w="2759" w:type="dxa"/>
            <w:shd w:val="clear" w:color="auto" w:fill="FFC9C9"/>
            <w:tcMar>
              <w:top w:w="80" w:type="dxa"/>
              <w:left w:w="80" w:type="dxa"/>
              <w:bottom w:w="80" w:type="dxa"/>
              <w:right w:w="80" w:type="dxa"/>
            </w:tcMar>
          </w:tcPr>
          <w:p w14:paraId="64EAFED2" w14:textId="1910EBA3"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Costs that are reasonable and necessary — </w:t>
            </w:r>
            <w:hyperlink r:id="rId1167" w:history="1">
              <w:r w:rsidRPr="00BB2FB2">
                <w:rPr>
                  <w:rStyle w:val="Hyperlink"/>
                  <w:rFonts w:cs="Arial"/>
                  <w:sz w:val="14"/>
                  <w:szCs w:val="16"/>
                  <w:lang w:val="en-GB"/>
                </w:rPr>
                <w:t>s78</w:t>
              </w:r>
            </w:hyperlink>
          </w:p>
        </w:tc>
        <w:tc>
          <w:tcPr>
            <w:tcW w:w="2759" w:type="dxa"/>
            <w:shd w:val="clear" w:color="auto" w:fill="FFC9C9"/>
            <w:tcMar>
              <w:top w:w="80" w:type="dxa"/>
              <w:left w:w="80" w:type="dxa"/>
              <w:bottom w:w="80" w:type="dxa"/>
              <w:right w:w="80" w:type="dxa"/>
            </w:tcMar>
          </w:tcPr>
          <w:p w14:paraId="263EB8E0" w14:textId="094BABB6" w:rsidR="00581785" w:rsidRPr="00581785" w:rsidRDefault="00EC66A3" w:rsidP="007F0B00">
            <w:pPr>
              <w:spacing w:after="60"/>
              <w:rPr>
                <w:rFonts w:cs="Arial"/>
                <w:color w:val="000000"/>
                <w:sz w:val="14"/>
                <w:szCs w:val="16"/>
                <w:lang w:val="en-GB"/>
              </w:rPr>
            </w:pPr>
            <w:r>
              <w:rPr>
                <w:rFonts w:cs="Arial"/>
                <w:color w:val="000000"/>
                <w:sz w:val="14"/>
                <w:szCs w:val="16"/>
                <w:lang w:val="en-GB"/>
              </w:rPr>
              <w:t>No limit</w:t>
            </w:r>
          </w:p>
        </w:tc>
      </w:tr>
      <w:tr w:rsidR="00581785" w:rsidRPr="00581785" w14:paraId="4B726633" w14:textId="77777777" w:rsidTr="00B2173F">
        <w:tc>
          <w:tcPr>
            <w:tcW w:w="1626" w:type="dxa"/>
            <w:tcMar>
              <w:top w:w="80" w:type="dxa"/>
              <w:left w:w="80" w:type="dxa"/>
              <w:bottom w:w="80" w:type="dxa"/>
              <w:right w:w="80" w:type="dxa"/>
            </w:tcMar>
          </w:tcPr>
          <w:p w14:paraId="771C1E00"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Australian Capital Territory</w:t>
            </w:r>
          </w:p>
        </w:tc>
        <w:tc>
          <w:tcPr>
            <w:tcW w:w="2759" w:type="dxa"/>
            <w:tcMar>
              <w:top w:w="80" w:type="dxa"/>
              <w:left w:w="80" w:type="dxa"/>
              <w:bottom w:w="80" w:type="dxa"/>
              <w:right w:w="80" w:type="dxa"/>
            </w:tcMar>
          </w:tcPr>
          <w:p w14:paraId="0CB7E4DB" w14:textId="56BFBE96"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Medical treatment reasonably received (</w:t>
            </w:r>
            <w:hyperlink r:id="rId1168" w:history="1">
              <w:r w:rsidRPr="00BB2FB2">
                <w:rPr>
                  <w:rStyle w:val="Hyperlink"/>
                  <w:rFonts w:cs="Arial"/>
                  <w:sz w:val="14"/>
                  <w:szCs w:val="16"/>
                  <w:lang w:val="en-GB"/>
                </w:rPr>
                <w:t>s70</w:t>
              </w:r>
            </w:hyperlink>
            <w:r w:rsidRPr="00581785">
              <w:rPr>
                <w:rFonts w:cs="Arial"/>
                <w:color w:val="000000"/>
                <w:sz w:val="14"/>
                <w:szCs w:val="16"/>
                <w:lang w:val="en-GB"/>
              </w:rPr>
              <w:t xml:space="preserve"> </w:t>
            </w:r>
            <w:r w:rsidR="002C086D" w:rsidRPr="00AA3166">
              <w:rPr>
                <w:rFonts w:cs="Arial"/>
                <w:i/>
                <w:color w:val="000000"/>
                <w:sz w:val="14"/>
                <w:szCs w:val="16"/>
                <w:lang w:val="en-GB"/>
              </w:rPr>
              <w:t>Workers’ Compensation Act 1951</w:t>
            </w:r>
            <w:r w:rsidR="002C086D">
              <w:rPr>
                <w:rFonts w:cs="Arial"/>
                <w:color w:val="000000"/>
                <w:sz w:val="14"/>
                <w:szCs w:val="16"/>
                <w:lang w:val="en-GB"/>
              </w:rPr>
              <w:t>)</w:t>
            </w:r>
          </w:p>
        </w:tc>
        <w:tc>
          <w:tcPr>
            <w:tcW w:w="2759" w:type="dxa"/>
            <w:tcMar>
              <w:top w:w="80" w:type="dxa"/>
              <w:left w:w="80" w:type="dxa"/>
              <w:bottom w:w="80" w:type="dxa"/>
              <w:right w:w="80" w:type="dxa"/>
            </w:tcMar>
          </w:tcPr>
          <w:p w14:paraId="05D36CF8" w14:textId="55F1BE11"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Other costs reasonably required (</w:t>
            </w:r>
            <w:hyperlink r:id="rId1169" w:history="1">
              <w:r w:rsidRPr="00BB2FB2">
                <w:rPr>
                  <w:rStyle w:val="Hyperlink"/>
                  <w:rFonts w:cs="Arial"/>
                  <w:sz w:val="14"/>
                  <w:szCs w:val="16"/>
                  <w:lang w:val="en-GB"/>
                </w:rPr>
                <w:t>s70(1)(c)</w:t>
              </w:r>
            </w:hyperlink>
            <w:r w:rsidRPr="00581785">
              <w:rPr>
                <w:rFonts w:cs="Arial"/>
                <w:color w:val="000000"/>
                <w:sz w:val="14"/>
                <w:szCs w:val="16"/>
                <w:lang w:val="en-GB"/>
              </w:rPr>
              <w:t xml:space="preserve"> </w:t>
            </w:r>
            <w:r w:rsidR="002C086D" w:rsidRPr="00AA3166">
              <w:rPr>
                <w:rFonts w:cs="Arial"/>
                <w:i/>
                <w:color w:val="000000"/>
                <w:sz w:val="14"/>
                <w:szCs w:val="16"/>
                <w:lang w:val="en-GB"/>
              </w:rPr>
              <w:t>Workers’ Compensation Act 1951</w:t>
            </w:r>
            <w:r w:rsidR="002C086D">
              <w:rPr>
                <w:rFonts w:cs="Arial"/>
                <w:color w:val="000000"/>
                <w:sz w:val="14"/>
                <w:szCs w:val="16"/>
                <w:lang w:val="en-GB"/>
              </w:rPr>
              <w:t>)</w:t>
            </w:r>
          </w:p>
        </w:tc>
        <w:tc>
          <w:tcPr>
            <w:tcW w:w="2759" w:type="dxa"/>
            <w:tcMar>
              <w:top w:w="80" w:type="dxa"/>
              <w:left w:w="80" w:type="dxa"/>
              <w:bottom w:w="80" w:type="dxa"/>
              <w:right w:w="80" w:type="dxa"/>
            </w:tcMar>
          </w:tcPr>
          <w:p w14:paraId="1B081D8B" w14:textId="536A576F"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Other costs reasonably required (</w:t>
            </w:r>
            <w:hyperlink r:id="rId1170" w:history="1">
              <w:r w:rsidRPr="00BB2FB2">
                <w:rPr>
                  <w:rStyle w:val="Hyperlink"/>
                  <w:rFonts w:cs="Arial"/>
                  <w:sz w:val="14"/>
                  <w:szCs w:val="16"/>
                  <w:lang w:val="en-GB"/>
                </w:rPr>
                <w:t>s70(1)(c)</w:t>
              </w:r>
            </w:hyperlink>
            <w:r w:rsidRPr="00581785">
              <w:rPr>
                <w:rFonts w:cs="Arial"/>
                <w:color w:val="000000"/>
                <w:sz w:val="14"/>
                <w:szCs w:val="16"/>
                <w:lang w:val="en-GB"/>
              </w:rPr>
              <w:t xml:space="preserve"> </w:t>
            </w:r>
            <w:r w:rsidR="002C086D" w:rsidRPr="00AA3166">
              <w:rPr>
                <w:rFonts w:cs="Arial"/>
                <w:i/>
                <w:color w:val="000000"/>
                <w:sz w:val="14"/>
                <w:szCs w:val="16"/>
                <w:lang w:val="en-GB"/>
              </w:rPr>
              <w:t>Workers’ Compensation Act 1951</w:t>
            </w:r>
            <w:r w:rsidR="00AA3166">
              <w:rPr>
                <w:rFonts w:cs="Arial"/>
                <w:color w:val="000000"/>
                <w:sz w:val="14"/>
                <w:szCs w:val="16"/>
                <w:lang w:val="en-GB"/>
              </w:rPr>
              <w:t>)</w:t>
            </w:r>
          </w:p>
        </w:tc>
        <w:tc>
          <w:tcPr>
            <w:tcW w:w="2759" w:type="dxa"/>
            <w:tcMar>
              <w:top w:w="80" w:type="dxa"/>
              <w:left w:w="80" w:type="dxa"/>
              <w:bottom w:w="80" w:type="dxa"/>
              <w:right w:w="80" w:type="dxa"/>
            </w:tcMar>
          </w:tcPr>
          <w:p w14:paraId="216220DC" w14:textId="5FF75E0B"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Cost of alterations (</w:t>
            </w:r>
            <w:hyperlink r:id="rId1171" w:history="1">
              <w:r w:rsidRPr="00BB2FB2">
                <w:rPr>
                  <w:rStyle w:val="Hyperlink"/>
                  <w:rFonts w:cs="Arial"/>
                  <w:sz w:val="14"/>
                  <w:szCs w:val="16"/>
                  <w:lang w:val="en-GB"/>
                </w:rPr>
                <w:t>s70(1)(b)</w:t>
              </w:r>
            </w:hyperlink>
            <w:r w:rsidRPr="00581785">
              <w:rPr>
                <w:rFonts w:cs="Arial"/>
                <w:color w:val="000000"/>
                <w:sz w:val="14"/>
                <w:szCs w:val="16"/>
                <w:lang w:val="en-GB"/>
              </w:rPr>
              <w:t xml:space="preserve"> </w:t>
            </w:r>
            <w:r w:rsidR="002C086D" w:rsidRPr="00AA3166">
              <w:rPr>
                <w:rFonts w:cs="Arial"/>
                <w:i/>
                <w:color w:val="000000"/>
                <w:sz w:val="14"/>
                <w:szCs w:val="16"/>
                <w:lang w:val="en-GB"/>
              </w:rPr>
              <w:t>Workers’ Compensation Act 1951</w:t>
            </w:r>
            <w:r w:rsidR="002C086D">
              <w:rPr>
                <w:rFonts w:cs="Arial"/>
                <w:color w:val="000000"/>
                <w:sz w:val="14"/>
                <w:szCs w:val="16"/>
                <w:lang w:val="en-GB"/>
              </w:rPr>
              <w:t>)</w:t>
            </w:r>
          </w:p>
        </w:tc>
        <w:tc>
          <w:tcPr>
            <w:tcW w:w="2759" w:type="dxa"/>
            <w:tcMar>
              <w:top w:w="80" w:type="dxa"/>
              <w:left w:w="80" w:type="dxa"/>
              <w:bottom w:w="80" w:type="dxa"/>
              <w:right w:w="80" w:type="dxa"/>
            </w:tcMar>
          </w:tcPr>
          <w:p w14:paraId="4C9356B6" w14:textId="7C25CCE6" w:rsidR="00581785" w:rsidRPr="00581785" w:rsidRDefault="00581785" w:rsidP="00062787">
            <w:pPr>
              <w:spacing w:after="60"/>
              <w:rPr>
                <w:rFonts w:cs="Arial"/>
                <w:color w:val="000000"/>
                <w:sz w:val="14"/>
                <w:szCs w:val="16"/>
                <w:lang w:val="en-GB"/>
              </w:rPr>
            </w:pPr>
            <w:r w:rsidRPr="00581785">
              <w:rPr>
                <w:rFonts w:cs="Arial"/>
                <w:color w:val="000000"/>
                <w:sz w:val="14"/>
                <w:szCs w:val="16"/>
                <w:lang w:val="en-GB"/>
              </w:rPr>
              <w:t>No limit except on repair or replacement of contact lenses, crutches, prosthesis, spectacles or other artificial aid or damage to clothing: Costs are as agreed with</w:t>
            </w:r>
            <w:r w:rsidR="002C086D">
              <w:rPr>
                <w:rFonts w:cs="Arial"/>
                <w:color w:val="000000"/>
                <w:sz w:val="14"/>
                <w:szCs w:val="16"/>
                <w:lang w:val="en-GB"/>
              </w:rPr>
              <w:t xml:space="preserve"> the insurer or $7</w:t>
            </w:r>
            <w:r w:rsidR="00062787">
              <w:rPr>
                <w:rFonts w:cs="Arial"/>
                <w:color w:val="000000"/>
                <w:sz w:val="14"/>
                <w:szCs w:val="16"/>
                <w:lang w:val="en-GB"/>
              </w:rPr>
              <w:t>21.12</w:t>
            </w:r>
            <w:r w:rsidR="002C086D">
              <w:rPr>
                <w:rFonts w:cs="Arial"/>
                <w:color w:val="000000"/>
                <w:sz w:val="14"/>
                <w:szCs w:val="16"/>
                <w:lang w:val="en-GB"/>
              </w:rPr>
              <w:t xml:space="preserve"> indexed</w:t>
            </w:r>
          </w:p>
        </w:tc>
      </w:tr>
      <w:tr w:rsidR="00581785" w:rsidRPr="00581785" w14:paraId="50CA6390" w14:textId="77777777" w:rsidTr="00B2173F">
        <w:tc>
          <w:tcPr>
            <w:tcW w:w="1626" w:type="dxa"/>
            <w:shd w:val="clear" w:color="auto" w:fill="FFC9C9"/>
            <w:tcMar>
              <w:top w:w="80" w:type="dxa"/>
              <w:left w:w="80" w:type="dxa"/>
              <w:bottom w:w="80" w:type="dxa"/>
              <w:right w:w="80" w:type="dxa"/>
            </w:tcMar>
          </w:tcPr>
          <w:p w14:paraId="7EC78372"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C’wealth Comcare</w:t>
            </w:r>
          </w:p>
        </w:tc>
        <w:tc>
          <w:tcPr>
            <w:tcW w:w="2759" w:type="dxa"/>
            <w:shd w:val="clear" w:color="auto" w:fill="FFC9C9"/>
            <w:tcMar>
              <w:top w:w="80" w:type="dxa"/>
              <w:left w:w="80" w:type="dxa"/>
              <w:bottom w:w="80" w:type="dxa"/>
              <w:right w:w="80" w:type="dxa"/>
            </w:tcMar>
          </w:tcPr>
          <w:p w14:paraId="470AB336" w14:textId="3086F1E2"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Medical treatment at a cost appropriate to that treatment — </w:t>
            </w:r>
            <w:hyperlink r:id="rId1172" w:history="1">
              <w:r w:rsidRPr="00182CF4">
                <w:rPr>
                  <w:rStyle w:val="Hyperlink"/>
                  <w:rFonts w:cs="Arial"/>
                  <w:sz w:val="14"/>
                  <w:szCs w:val="16"/>
                  <w:lang w:val="en-GB"/>
                </w:rPr>
                <w:t>s16</w:t>
              </w:r>
            </w:hyperlink>
            <w:r w:rsidR="002062CE">
              <w:rPr>
                <w:rFonts w:cs="Arial"/>
                <w:color w:val="000000"/>
                <w:sz w:val="14"/>
                <w:szCs w:val="16"/>
                <w:lang w:val="en-GB"/>
              </w:rPr>
              <w:t xml:space="preserve">, </w:t>
            </w:r>
            <w:r w:rsidR="002062CE" w:rsidRPr="00016069">
              <w:rPr>
                <w:i/>
                <w:sz w:val="14"/>
              </w:rPr>
              <w:t>Safety, Rehabilitation and Compensation Act 1988</w:t>
            </w:r>
            <w:r w:rsidR="002062CE">
              <w:rPr>
                <w:i/>
                <w:sz w:val="14"/>
              </w:rPr>
              <w:t>.</w:t>
            </w:r>
          </w:p>
        </w:tc>
        <w:tc>
          <w:tcPr>
            <w:tcW w:w="2759" w:type="dxa"/>
            <w:shd w:val="clear" w:color="auto" w:fill="FFC9C9"/>
            <w:tcMar>
              <w:top w:w="80" w:type="dxa"/>
              <w:left w:w="80" w:type="dxa"/>
              <w:bottom w:w="80" w:type="dxa"/>
              <w:right w:w="80" w:type="dxa"/>
            </w:tcMar>
          </w:tcPr>
          <w:p w14:paraId="0089EFC5" w14:textId="50D29B87" w:rsidR="006C38F7" w:rsidRDefault="00581785" w:rsidP="00F839DB">
            <w:pPr>
              <w:pStyle w:val="ListParagraph"/>
              <w:numPr>
                <w:ilvl w:val="0"/>
                <w:numId w:val="408"/>
              </w:numPr>
              <w:spacing w:after="60"/>
              <w:contextualSpacing/>
              <w:rPr>
                <w:rFonts w:eastAsia="Calibri" w:cs="Arial"/>
                <w:sz w:val="14"/>
                <w:szCs w:val="14"/>
                <w:lang w:eastAsia="en-US"/>
              </w:rPr>
            </w:pPr>
            <w:r w:rsidRPr="006C38F7">
              <w:rPr>
                <w:rFonts w:eastAsia="Calibri" w:cs="Arial"/>
                <w:sz w:val="14"/>
                <w:szCs w:val="14"/>
                <w:lang w:eastAsia="en-US"/>
              </w:rPr>
              <w:t xml:space="preserve">Compensation is payable for attendant care services reasonably required — </w:t>
            </w:r>
            <w:hyperlink r:id="rId1173" w:history="1">
              <w:r w:rsidRPr="00182CF4">
                <w:rPr>
                  <w:rStyle w:val="Hyperlink"/>
                  <w:rFonts w:eastAsia="Calibri" w:cs="Arial"/>
                  <w:sz w:val="14"/>
                  <w:szCs w:val="14"/>
                  <w:lang w:eastAsia="en-US"/>
                </w:rPr>
                <w:t>s29(1)</w:t>
              </w:r>
            </w:hyperlink>
            <w:r w:rsidRPr="006C38F7">
              <w:rPr>
                <w:rFonts w:eastAsia="Calibri" w:cs="Arial"/>
                <w:sz w:val="14"/>
                <w:szCs w:val="14"/>
                <w:lang w:eastAsia="en-US"/>
              </w:rPr>
              <w:t xml:space="preserve">. This is generally from 28 days after the date of injury. </w:t>
            </w:r>
            <w:hyperlink r:id="rId1174" w:history="1">
              <w:r w:rsidRPr="00182CF4">
                <w:rPr>
                  <w:rStyle w:val="Hyperlink"/>
                  <w:rFonts w:eastAsia="Calibri" w:cs="Arial"/>
                  <w:sz w:val="14"/>
                  <w:szCs w:val="14"/>
                  <w:lang w:eastAsia="en-US"/>
                </w:rPr>
                <w:t>s29(4)</w:t>
              </w:r>
            </w:hyperlink>
            <w:r w:rsidRPr="006C38F7">
              <w:rPr>
                <w:rFonts w:eastAsia="Calibri" w:cs="Arial"/>
                <w:sz w:val="14"/>
                <w:szCs w:val="14"/>
                <w:lang w:eastAsia="en-US"/>
              </w:rPr>
              <w:t xml:space="preserve"> requires consideration of: </w:t>
            </w:r>
          </w:p>
          <w:p w14:paraId="46C0012D" w14:textId="77777777" w:rsidR="00581785" w:rsidRPr="006C38F7" w:rsidRDefault="00581785" w:rsidP="00F839DB">
            <w:pPr>
              <w:pStyle w:val="ListParagraph"/>
              <w:numPr>
                <w:ilvl w:val="0"/>
                <w:numId w:val="409"/>
              </w:numPr>
              <w:spacing w:after="60"/>
              <w:contextualSpacing/>
              <w:rPr>
                <w:rFonts w:eastAsia="Calibri" w:cs="Arial"/>
                <w:sz w:val="14"/>
                <w:szCs w:val="14"/>
                <w:lang w:eastAsia="en-US"/>
              </w:rPr>
            </w:pPr>
            <w:r w:rsidRPr="006C38F7">
              <w:rPr>
                <w:rFonts w:eastAsia="Calibri" w:cs="Arial"/>
                <w:sz w:val="14"/>
                <w:szCs w:val="14"/>
                <w:lang w:eastAsia="en-US"/>
              </w:rPr>
              <w:t xml:space="preserve">nature of injury and degree that injury impairs ability to provide for personal care </w:t>
            </w:r>
          </w:p>
          <w:p w14:paraId="4EFA066C" w14:textId="77777777" w:rsidR="00581785" w:rsidRPr="006C38F7" w:rsidRDefault="00581785" w:rsidP="00F839DB">
            <w:pPr>
              <w:pStyle w:val="ListParagraph"/>
              <w:numPr>
                <w:ilvl w:val="0"/>
                <w:numId w:val="409"/>
              </w:numPr>
              <w:spacing w:after="60"/>
              <w:contextualSpacing/>
              <w:rPr>
                <w:rFonts w:eastAsia="Calibri" w:cs="Arial"/>
                <w:sz w:val="14"/>
                <w:szCs w:val="14"/>
                <w:lang w:eastAsia="en-US"/>
              </w:rPr>
            </w:pPr>
            <w:r w:rsidRPr="006C38F7">
              <w:rPr>
                <w:rFonts w:eastAsia="Calibri" w:cs="Arial"/>
                <w:sz w:val="14"/>
                <w:szCs w:val="14"/>
                <w:lang w:eastAsia="en-US"/>
              </w:rPr>
              <w:t xml:space="preserve">extent to which any medical service or nursing care received provides for essential and regular personal care </w:t>
            </w:r>
          </w:p>
          <w:p w14:paraId="68D531D4" w14:textId="77777777" w:rsidR="00581785" w:rsidRPr="00581785" w:rsidRDefault="00581785" w:rsidP="00F839DB">
            <w:pPr>
              <w:numPr>
                <w:ilvl w:val="0"/>
                <w:numId w:val="409"/>
              </w:numPr>
              <w:spacing w:after="60"/>
              <w:contextualSpacing/>
              <w:rPr>
                <w:rFonts w:eastAsia="Calibri" w:cs="Arial"/>
                <w:sz w:val="14"/>
                <w:szCs w:val="14"/>
                <w:lang w:eastAsia="en-US"/>
              </w:rPr>
            </w:pPr>
            <w:r w:rsidRPr="00581785">
              <w:rPr>
                <w:rFonts w:eastAsia="Calibri" w:cs="Arial"/>
                <w:sz w:val="14"/>
                <w:szCs w:val="14"/>
                <w:lang w:eastAsia="en-US"/>
              </w:rPr>
              <w:t xml:space="preserve">extent to which reasonable to meet any wish by the employee to live outside an institution </w:t>
            </w:r>
          </w:p>
          <w:p w14:paraId="55E56EA0" w14:textId="14170200" w:rsidR="00581785" w:rsidRPr="00581785" w:rsidRDefault="00581785" w:rsidP="00F839DB">
            <w:pPr>
              <w:numPr>
                <w:ilvl w:val="0"/>
                <w:numId w:val="409"/>
              </w:numPr>
              <w:spacing w:after="60"/>
              <w:contextualSpacing/>
              <w:rPr>
                <w:rFonts w:eastAsia="Calibri" w:cs="Arial"/>
                <w:sz w:val="14"/>
                <w:szCs w:val="14"/>
                <w:lang w:eastAsia="en-US"/>
              </w:rPr>
            </w:pPr>
            <w:r w:rsidRPr="00581785">
              <w:rPr>
                <w:rFonts w:eastAsia="Calibri" w:cs="Arial"/>
                <w:sz w:val="14"/>
                <w:szCs w:val="14"/>
                <w:lang w:eastAsia="en-US"/>
              </w:rPr>
              <w:t>extent to which attendant care services are necessary to enable the employee to undertake or continue employment</w:t>
            </w:r>
            <w:r w:rsidR="00DD0D68">
              <w:rPr>
                <w:rFonts w:eastAsia="Calibri" w:cs="Arial"/>
                <w:sz w:val="14"/>
                <w:szCs w:val="14"/>
                <w:lang w:eastAsia="en-US"/>
              </w:rPr>
              <w:t xml:space="preserve"> </w:t>
            </w:r>
          </w:p>
          <w:p w14:paraId="5DD1DD72" w14:textId="77777777" w:rsidR="00581785" w:rsidRPr="00581785" w:rsidRDefault="00581785" w:rsidP="00F839DB">
            <w:pPr>
              <w:numPr>
                <w:ilvl w:val="0"/>
                <w:numId w:val="409"/>
              </w:numPr>
              <w:spacing w:after="60"/>
              <w:contextualSpacing/>
              <w:rPr>
                <w:rFonts w:eastAsia="Calibri" w:cs="Arial"/>
                <w:sz w:val="14"/>
                <w:szCs w:val="14"/>
                <w:lang w:eastAsia="en-US"/>
              </w:rPr>
            </w:pPr>
            <w:r w:rsidRPr="00581785">
              <w:rPr>
                <w:rFonts w:eastAsia="Calibri" w:cs="Arial"/>
                <w:sz w:val="14"/>
                <w:szCs w:val="14"/>
                <w:lang w:eastAsia="en-US"/>
              </w:rPr>
              <w:lastRenderedPageBreak/>
              <w:t>any assessment made in relation to rehabilitation of the employee, or</w:t>
            </w:r>
          </w:p>
          <w:p w14:paraId="572938C7" w14:textId="77777777" w:rsidR="00581785" w:rsidRPr="00581785" w:rsidRDefault="00581785" w:rsidP="00F839DB">
            <w:pPr>
              <w:numPr>
                <w:ilvl w:val="0"/>
                <w:numId w:val="409"/>
              </w:numPr>
              <w:spacing w:after="60"/>
              <w:rPr>
                <w:rFonts w:eastAsia="Calibri" w:cs="Arial"/>
                <w:sz w:val="14"/>
                <w:szCs w:val="14"/>
                <w:lang w:eastAsia="en-US"/>
              </w:rPr>
            </w:pPr>
            <w:r w:rsidRPr="00581785">
              <w:rPr>
                <w:rFonts w:eastAsia="Calibri" w:cs="Arial"/>
                <w:sz w:val="14"/>
                <w:szCs w:val="14"/>
                <w:lang w:eastAsia="en-US"/>
              </w:rPr>
              <w:t>the extent to which a relative might reasonably be expected to provide attendant care services.</w:t>
            </w:r>
          </w:p>
          <w:p w14:paraId="63740661" w14:textId="785BC0A5" w:rsidR="00581785" w:rsidRPr="002A549E" w:rsidRDefault="00581785" w:rsidP="00F839DB">
            <w:pPr>
              <w:pStyle w:val="ListParagraph"/>
              <w:numPr>
                <w:ilvl w:val="0"/>
                <w:numId w:val="135"/>
              </w:numPr>
              <w:spacing w:after="60"/>
              <w:rPr>
                <w:rFonts w:eastAsia="Calibri" w:cs="Arial"/>
                <w:sz w:val="14"/>
                <w:szCs w:val="14"/>
                <w:lang w:eastAsia="en-US"/>
              </w:rPr>
            </w:pPr>
            <w:r w:rsidRPr="002A549E">
              <w:rPr>
                <w:rFonts w:eastAsia="Calibri" w:cs="Arial"/>
                <w:sz w:val="14"/>
                <w:szCs w:val="14"/>
                <w:lang w:eastAsia="en-US"/>
              </w:rPr>
              <w:t xml:space="preserve">Compensation is not payable where an employee is residing in a nursing home or other similar place — </w:t>
            </w:r>
            <w:hyperlink r:id="rId1175" w:history="1">
              <w:r w:rsidRPr="00182CF4">
                <w:rPr>
                  <w:rStyle w:val="Hyperlink"/>
                  <w:rFonts w:eastAsia="Calibri" w:cs="Arial"/>
                  <w:sz w:val="14"/>
                  <w:szCs w:val="14"/>
                  <w:lang w:eastAsia="en-US"/>
                </w:rPr>
                <w:t>s29(3)</w:t>
              </w:r>
            </w:hyperlink>
            <w:r w:rsidRPr="002A549E">
              <w:rPr>
                <w:rFonts w:eastAsia="Calibri" w:cs="Arial"/>
                <w:sz w:val="14"/>
                <w:szCs w:val="14"/>
                <w:lang w:eastAsia="en-US"/>
              </w:rPr>
              <w:t>. Comcare is liable to pay the lesser of $4</w:t>
            </w:r>
            <w:r w:rsidR="00302375">
              <w:rPr>
                <w:rFonts w:eastAsia="Calibri" w:cs="Arial"/>
                <w:sz w:val="14"/>
                <w:szCs w:val="14"/>
                <w:lang w:eastAsia="en-US"/>
              </w:rPr>
              <w:t>64.43</w:t>
            </w:r>
            <w:r w:rsidRPr="002A549E">
              <w:rPr>
                <w:rFonts w:eastAsia="Calibri" w:cs="Arial"/>
                <w:sz w:val="14"/>
                <w:szCs w:val="14"/>
                <w:lang w:eastAsia="en-US"/>
              </w:rPr>
              <w:t xml:space="preserve"> (statutory rate updated 1 July) or an amount per week paid or payable by the employee for those services.</w:t>
            </w:r>
          </w:p>
        </w:tc>
        <w:tc>
          <w:tcPr>
            <w:tcW w:w="2759" w:type="dxa"/>
            <w:shd w:val="clear" w:color="auto" w:fill="FFC9C9"/>
            <w:tcMar>
              <w:top w:w="80" w:type="dxa"/>
              <w:left w:w="80" w:type="dxa"/>
              <w:bottom w:w="80" w:type="dxa"/>
              <w:right w:w="80" w:type="dxa"/>
            </w:tcMar>
          </w:tcPr>
          <w:p w14:paraId="75259A24" w14:textId="046ADD60" w:rsidR="00581785" w:rsidRPr="002A549E" w:rsidRDefault="00581785" w:rsidP="00F839DB">
            <w:pPr>
              <w:pStyle w:val="ListParagraph"/>
              <w:numPr>
                <w:ilvl w:val="0"/>
                <w:numId w:val="135"/>
              </w:numPr>
              <w:spacing w:after="60"/>
              <w:contextualSpacing/>
              <w:rPr>
                <w:rFonts w:eastAsia="Calibri" w:cs="Arial"/>
                <w:sz w:val="14"/>
                <w:szCs w:val="14"/>
                <w:lang w:eastAsia="en-US"/>
              </w:rPr>
            </w:pPr>
            <w:r w:rsidRPr="002A549E">
              <w:rPr>
                <w:rFonts w:eastAsia="Calibri" w:cs="Arial"/>
                <w:sz w:val="14"/>
                <w:szCs w:val="14"/>
                <w:lang w:eastAsia="en-US"/>
              </w:rPr>
              <w:lastRenderedPageBreak/>
              <w:t xml:space="preserve">Compensation is payable for household services reasonably required — </w:t>
            </w:r>
            <w:hyperlink r:id="rId1176" w:history="1">
              <w:r w:rsidRPr="00182CF4">
                <w:rPr>
                  <w:rStyle w:val="Hyperlink"/>
                  <w:rFonts w:eastAsia="Calibri" w:cs="Arial"/>
                  <w:sz w:val="14"/>
                  <w:szCs w:val="14"/>
                  <w:lang w:eastAsia="en-US"/>
                </w:rPr>
                <w:t>s29(1)</w:t>
              </w:r>
            </w:hyperlink>
            <w:r w:rsidRPr="002A549E">
              <w:rPr>
                <w:rFonts w:eastAsia="Calibri" w:cs="Arial"/>
                <w:sz w:val="14"/>
                <w:szCs w:val="14"/>
                <w:lang w:eastAsia="en-US"/>
              </w:rPr>
              <w:t>. This is generally from 28 days after the date of injury</w:t>
            </w:r>
          </w:p>
          <w:p w14:paraId="3E974E4A" w14:textId="426810EA" w:rsidR="00581785" w:rsidRPr="002A549E" w:rsidRDefault="00A7538C" w:rsidP="00F839DB">
            <w:pPr>
              <w:pStyle w:val="ListParagraph"/>
              <w:numPr>
                <w:ilvl w:val="0"/>
                <w:numId w:val="135"/>
              </w:numPr>
              <w:spacing w:after="60"/>
              <w:contextualSpacing/>
              <w:rPr>
                <w:rFonts w:eastAsia="Calibri" w:cs="Arial"/>
                <w:sz w:val="14"/>
                <w:szCs w:val="14"/>
                <w:lang w:eastAsia="en-US"/>
              </w:rPr>
            </w:pPr>
            <w:hyperlink r:id="rId1177" w:history="1">
              <w:r w:rsidR="00581785" w:rsidRPr="00182CF4">
                <w:rPr>
                  <w:rStyle w:val="Hyperlink"/>
                  <w:rFonts w:eastAsia="Calibri" w:cs="Arial"/>
                  <w:sz w:val="14"/>
                  <w:szCs w:val="14"/>
                  <w:lang w:eastAsia="en-US"/>
                </w:rPr>
                <w:t>s29(2)</w:t>
              </w:r>
            </w:hyperlink>
            <w:r w:rsidR="00581785" w:rsidRPr="002A549E">
              <w:rPr>
                <w:rFonts w:eastAsia="Calibri" w:cs="Arial"/>
                <w:sz w:val="14"/>
                <w:szCs w:val="14"/>
                <w:lang w:eastAsia="en-US"/>
              </w:rPr>
              <w:t xml:space="preserve"> requires consideration of:</w:t>
            </w:r>
          </w:p>
          <w:p w14:paraId="4DA3466C" w14:textId="77777777" w:rsidR="00581785" w:rsidRPr="002A549E" w:rsidRDefault="00581785" w:rsidP="00F839DB">
            <w:pPr>
              <w:pStyle w:val="Tableabc7pt"/>
              <w:numPr>
                <w:ilvl w:val="0"/>
                <w:numId w:val="410"/>
              </w:numPr>
              <w:spacing w:before="0" w:after="60"/>
              <w:rPr>
                <w:rFonts w:eastAsia="Calibri"/>
                <w:lang w:eastAsia="en-US"/>
              </w:rPr>
            </w:pPr>
            <w:r w:rsidRPr="002A549E">
              <w:rPr>
                <w:rFonts w:eastAsia="Calibri"/>
                <w:lang w:eastAsia="en-US"/>
              </w:rPr>
              <w:t>extent to which household services were provided by the employee before the injury and extent to which employee is able to provide those services after that date</w:t>
            </w:r>
          </w:p>
          <w:p w14:paraId="0BD17966" w14:textId="77777777" w:rsidR="00581785" w:rsidRPr="002A549E" w:rsidRDefault="00581785" w:rsidP="00F839DB">
            <w:pPr>
              <w:pStyle w:val="ListParagraph"/>
              <w:numPr>
                <w:ilvl w:val="0"/>
                <w:numId w:val="410"/>
              </w:numPr>
              <w:spacing w:after="60"/>
              <w:contextualSpacing/>
              <w:rPr>
                <w:rFonts w:eastAsia="Calibri" w:cs="Arial"/>
                <w:sz w:val="14"/>
                <w:szCs w:val="14"/>
                <w:lang w:eastAsia="en-US"/>
              </w:rPr>
            </w:pPr>
            <w:r w:rsidRPr="002A549E">
              <w:rPr>
                <w:rFonts w:eastAsia="Calibri" w:cs="Arial"/>
                <w:sz w:val="14"/>
                <w:szCs w:val="14"/>
                <w:lang w:eastAsia="en-US"/>
              </w:rPr>
              <w:t xml:space="preserve">number of persons living with the employee as members of household, their ages and their need for household services </w:t>
            </w:r>
          </w:p>
          <w:p w14:paraId="7E2B0190" w14:textId="77777777" w:rsidR="00581785" w:rsidRPr="002A549E" w:rsidRDefault="00581785" w:rsidP="00F839DB">
            <w:pPr>
              <w:pStyle w:val="ListParagraph"/>
              <w:numPr>
                <w:ilvl w:val="0"/>
                <w:numId w:val="410"/>
              </w:numPr>
              <w:spacing w:after="60"/>
              <w:contextualSpacing/>
              <w:rPr>
                <w:rFonts w:eastAsia="Calibri" w:cs="Arial"/>
                <w:sz w:val="14"/>
                <w:szCs w:val="14"/>
                <w:lang w:eastAsia="en-US"/>
              </w:rPr>
            </w:pPr>
            <w:r w:rsidRPr="002A549E">
              <w:rPr>
                <w:rFonts w:eastAsia="Calibri" w:cs="Arial"/>
                <w:sz w:val="14"/>
                <w:szCs w:val="14"/>
                <w:lang w:eastAsia="en-US"/>
              </w:rPr>
              <w:t>extent to which household services were provided by the persons referred to in paragraph (b) before the injury</w:t>
            </w:r>
          </w:p>
          <w:p w14:paraId="52E7E467" w14:textId="77777777" w:rsidR="00581785" w:rsidRPr="002A549E" w:rsidRDefault="00581785" w:rsidP="00F839DB">
            <w:pPr>
              <w:pStyle w:val="ListParagraph"/>
              <w:numPr>
                <w:ilvl w:val="0"/>
                <w:numId w:val="410"/>
              </w:numPr>
              <w:spacing w:after="60"/>
              <w:contextualSpacing/>
              <w:rPr>
                <w:rFonts w:eastAsia="Calibri" w:cs="Arial"/>
                <w:sz w:val="14"/>
                <w:szCs w:val="14"/>
                <w:lang w:eastAsia="en-US"/>
              </w:rPr>
            </w:pPr>
            <w:r w:rsidRPr="002A549E">
              <w:rPr>
                <w:rFonts w:eastAsia="Calibri" w:cs="Arial"/>
                <w:sz w:val="14"/>
                <w:szCs w:val="14"/>
                <w:lang w:eastAsia="en-US"/>
              </w:rPr>
              <w:t xml:space="preserve">extent to which the persons referred to in paragraph (b), or any other </w:t>
            </w:r>
            <w:r w:rsidRPr="002A549E">
              <w:rPr>
                <w:rFonts w:eastAsia="Calibri" w:cs="Arial"/>
                <w:sz w:val="14"/>
                <w:szCs w:val="14"/>
                <w:lang w:eastAsia="en-US"/>
              </w:rPr>
              <w:lastRenderedPageBreak/>
              <w:t>members of employee’s family, might reasonably be expected to provide household services for themselves and for the employee after the injury, or</w:t>
            </w:r>
          </w:p>
          <w:p w14:paraId="25321D42" w14:textId="77777777" w:rsidR="00581785" w:rsidRPr="002A549E" w:rsidRDefault="00581785" w:rsidP="00F839DB">
            <w:pPr>
              <w:pStyle w:val="ListParagraph"/>
              <w:numPr>
                <w:ilvl w:val="0"/>
                <w:numId w:val="410"/>
              </w:numPr>
              <w:spacing w:after="60"/>
              <w:ind w:left="357" w:hanging="357"/>
              <w:rPr>
                <w:rFonts w:eastAsia="Calibri" w:cs="Arial"/>
                <w:sz w:val="14"/>
                <w:szCs w:val="14"/>
                <w:lang w:eastAsia="en-US"/>
              </w:rPr>
            </w:pPr>
            <w:r w:rsidRPr="002A549E">
              <w:rPr>
                <w:rFonts w:eastAsia="Calibri" w:cs="Arial"/>
                <w:sz w:val="14"/>
                <w:szCs w:val="14"/>
                <w:lang w:eastAsia="en-US"/>
              </w:rPr>
              <w:t>the need to avoid substantial disruption to the employment or other activities of the persons referred to in paragraph (b).</w:t>
            </w:r>
          </w:p>
          <w:p w14:paraId="28053FB2" w14:textId="7F44D024" w:rsidR="00B72599" w:rsidRPr="00854AFF" w:rsidRDefault="00581785" w:rsidP="00F839DB">
            <w:pPr>
              <w:pStyle w:val="ListParagraph"/>
              <w:numPr>
                <w:ilvl w:val="0"/>
                <w:numId w:val="411"/>
              </w:numPr>
              <w:spacing w:after="60"/>
              <w:contextualSpacing/>
              <w:rPr>
                <w:rFonts w:eastAsia="Calibri" w:cs="Arial"/>
                <w:sz w:val="14"/>
                <w:szCs w:val="14"/>
                <w:lang w:eastAsia="en-US"/>
              </w:rPr>
            </w:pPr>
            <w:r w:rsidRPr="00590D27">
              <w:rPr>
                <w:rFonts w:eastAsia="Calibri" w:cs="Arial"/>
                <w:sz w:val="14"/>
                <w:szCs w:val="14"/>
                <w:lang w:eastAsia="en-US"/>
              </w:rPr>
              <w:t>Comcare is liable to pay not less than 50% of the amount paid or payable by t</w:t>
            </w:r>
            <w:r w:rsidR="00735BF5">
              <w:rPr>
                <w:rFonts w:eastAsia="Calibri" w:cs="Arial"/>
                <w:sz w:val="14"/>
                <w:szCs w:val="14"/>
                <w:lang w:eastAsia="en-US"/>
              </w:rPr>
              <w:t>he employee no more than $464.43</w:t>
            </w:r>
            <w:r w:rsidRPr="00590D27">
              <w:rPr>
                <w:rFonts w:eastAsia="Calibri" w:cs="Arial"/>
                <w:sz w:val="14"/>
                <w:szCs w:val="14"/>
                <w:lang w:eastAsia="en-US"/>
              </w:rPr>
              <w:t xml:space="preserve"> (statutory rate updated 1 July).</w:t>
            </w:r>
          </w:p>
        </w:tc>
        <w:tc>
          <w:tcPr>
            <w:tcW w:w="2759" w:type="dxa"/>
            <w:shd w:val="clear" w:color="auto" w:fill="FFC9C9"/>
            <w:tcMar>
              <w:top w:w="80" w:type="dxa"/>
              <w:left w:w="80" w:type="dxa"/>
              <w:bottom w:w="80" w:type="dxa"/>
              <w:right w:w="80" w:type="dxa"/>
            </w:tcMar>
          </w:tcPr>
          <w:p w14:paraId="6C695DE3" w14:textId="169929B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Comcare is liable to pay compensation of such amount as is reasonable in respect of costs payable by the employee due to any alteration of the employee’s place of residence or work, any modifications of a vehicle or article used or any aids/appliances for the use of the employee, or the repair or replacement of same — </w:t>
            </w:r>
            <w:hyperlink r:id="rId1178" w:history="1">
              <w:r w:rsidRPr="00182CF4">
                <w:rPr>
                  <w:rStyle w:val="Hyperlink"/>
                  <w:rFonts w:cs="Arial"/>
                  <w:sz w:val="14"/>
                  <w:szCs w:val="16"/>
                  <w:lang w:val="en-GB"/>
                </w:rPr>
                <w:t>s39</w:t>
              </w:r>
            </w:hyperlink>
            <w:r w:rsidRPr="00581785">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2143BF95" w14:textId="7BEF72A8" w:rsidR="00581785" w:rsidRPr="002A549E" w:rsidRDefault="00581785" w:rsidP="00F839DB">
            <w:pPr>
              <w:pStyle w:val="ListParagraph"/>
              <w:numPr>
                <w:ilvl w:val="0"/>
                <w:numId w:val="136"/>
              </w:numPr>
              <w:spacing w:after="60"/>
              <w:contextualSpacing/>
              <w:rPr>
                <w:rFonts w:eastAsia="Calibri" w:cs="Arial"/>
                <w:sz w:val="14"/>
                <w:szCs w:val="14"/>
                <w:lang w:eastAsia="en-US"/>
              </w:rPr>
            </w:pPr>
            <w:r w:rsidRPr="002A549E">
              <w:rPr>
                <w:rFonts w:eastAsia="Calibri" w:cs="Arial"/>
                <w:sz w:val="14"/>
                <w:szCs w:val="14"/>
                <w:lang w:eastAsia="en-US"/>
              </w:rPr>
              <w:t xml:space="preserve">No limits on medical and hospital costs, all appropriate costs payable — </w:t>
            </w:r>
            <w:hyperlink r:id="rId1179" w:history="1">
              <w:r w:rsidRPr="00182CF4">
                <w:rPr>
                  <w:rStyle w:val="Hyperlink"/>
                  <w:rFonts w:eastAsia="Calibri" w:cs="Arial"/>
                  <w:sz w:val="14"/>
                  <w:szCs w:val="14"/>
                  <w:lang w:eastAsia="en-US"/>
                </w:rPr>
                <w:t>s16</w:t>
              </w:r>
            </w:hyperlink>
            <w:r w:rsidRPr="002A549E">
              <w:rPr>
                <w:rFonts w:eastAsia="Calibri" w:cs="Arial"/>
                <w:sz w:val="14"/>
                <w:szCs w:val="14"/>
                <w:lang w:eastAsia="en-US"/>
              </w:rPr>
              <w:t>.</w:t>
            </w:r>
          </w:p>
          <w:p w14:paraId="3F19832E" w14:textId="77777777" w:rsidR="00581785" w:rsidRPr="002A549E" w:rsidRDefault="00581785" w:rsidP="00F839DB">
            <w:pPr>
              <w:pStyle w:val="ListParagraph"/>
              <w:numPr>
                <w:ilvl w:val="0"/>
                <w:numId w:val="136"/>
              </w:numPr>
              <w:spacing w:after="60"/>
              <w:contextualSpacing/>
              <w:rPr>
                <w:rFonts w:eastAsia="Calibri" w:cs="Arial"/>
                <w:sz w:val="14"/>
                <w:szCs w:val="14"/>
                <w:lang w:eastAsia="en-US"/>
              </w:rPr>
            </w:pPr>
            <w:r w:rsidRPr="002A549E">
              <w:rPr>
                <w:rFonts w:eastAsia="Calibri" w:cs="Arial"/>
                <w:sz w:val="14"/>
                <w:szCs w:val="14"/>
                <w:lang w:eastAsia="en-US"/>
              </w:rPr>
              <w:t>Other costs — no limits.</w:t>
            </w:r>
          </w:p>
        </w:tc>
      </w:tr>
      <w:tr w:rsidR="00581785" w:rsidRPr="00581785" w14:paraId="230FAA31" w14:textId="77777777" w:rsidTr="00B2173F">
        <w:tc>
          <w:tcPr>
            <w:tcW w:w="1626" w:type="dxa"/>
            <w:tcMar>
              <w:top w:w="80" w:type="dxa"/>
              <w:left w:w="80" w:type="dxa"/>
              <w:bottom w:w="80" w:type="dxa"/>
              <w:right w:w="80" w:type="dxa"/>
            </w:tcMar>
          </w:tcPr>
          <w:p w14:paraId="7F5A5BB5"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C’wealth Seacare</w:t>
            </w:r>
          </w:p>
        </w:tc>
        <w:tc>
          <w:tcPr>
            <w:tcW w:w="2759" w:type="dxa"/>
            <w:tcMar>
              <w:top w:w="80" w:type="dxa"/>
              <w:left w:w="80" w:type="dxa"/>
              <w:bottom w:w="80" w:type="dxa"/>
              <w:right w:w="80" w:type="dxa"/>
            </w:tcMar>
          </w:tcPr>
          <w:p w14:paraId="487D2B22" w14:textId="569367EC"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Medical treatment at a cost appropriate to that treatment — </w:t>
            </w:r>
            <w:hyperlink r:id="rId1180" w:history="1">
              <w:r w:rsidRPr="005F153B">
                <w:rPr>
                  <w:rStyle w:val="Hyperlink"/>
                  <w:rFonts w:cs="Arial"/>
                  <w:sz w:val="14"/>
                  <w:szCs w:val="16"/>
                  <w:lang w:val="en-GB"/>
                </w:rPr>
                <w:t>s28</w:t>
              </w:r>
            </w:hyperlink>
            <w:r w:rsidR="002062CE">
              <w:rPr>
                <w:rFonts w:cs="Arial"/>
                <w:color w:val="000000"/>
                <w:sz w:val="14"/>
                <w:szCs w:val="16"/>
                <w:lang w:val="en-GB"/>
              </w:rPr>
              <w:t xml:space="preserve">, </w:t>
            </w:r>
            <w:r w:rsidR="002062CE" w:rsidRPr="00016069">
              <w:rPr>
                <w:i/>
                <w:sz w:val="14"/>
              </w:rPr>
              <w:t>Seafarers Rehabilitation and Compensation Act 1992</w:t>
            </w:r>
            <w:r w:rsidR="002062CE">
              <w:rPr>
                <w:i/>
                <w:sz w:val="14"/>
              </w:rPr>
              <w:t>.</w:t>
            </w:r>
          </w:p>
        </w:tc>
        <w:tc>
          <w:tcPr>
            <w:tcW w:w="2759" w:type="dxa"/>
            <w:tcMar>
              <w:top w:w="80" w:type="dxa"/>
              <w:left w:w="80" w:type="dxa"/>
              <w:bottom w:w="80" w:type="dxa"/>
              <w:right w:w="80" w:type="dxa"/>
            </w:tcMar>
          </w:tcPr>
          <w:p w14:paraId="04ECA546" w14:textId="0C63F90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Compensation is payable for attendant care services reasonably required — </w:t>
            </w:r>
            <w:hyperlink r:id="rId1181" w:history="1">
              <w:r w:rsidRPr="005F153B">
                <w:rPr>
                  <w:rStyle w:val="Hyperlink"/>
                  <w:rFonts w:cs="Arial"/>
                  <w:sz w:val="14"/>
                  <w:szCs w:val="16"/>
                  <w:lang w:val="en-GB"/>
                </w:rPr>
                <w:t>s43(4)</w:t>
              </w:r>
            </w:hyperlink>
            <w:r w:rsidRPr="00581785">
              <w:rPr>
                <w:rFonts w:cs="Arial"/>
                <w:color w:val="000000"/>
                <w:sz w:val="14"/>
                <w:szCs w:val="16"/>
                <w:lang w:val="en-GB"/>
              </w:rPr>
              <w:t xml:space="preserve">. This service is generally not payable from 28 </w:t>
            </w:r>
            <w:r w:rsidR="00B673CF">
              <w:rPr>
                <w:rFonts w:cs="Arial"/>
                <w:color w:val="000000"/>
                <w:sz w:val="14"/>
                <w:szCs w:val="16"/>
                <w:lang w:val="en-GB"/>
              </w:rPr>
              <w:t xml:space="preserve">days after the date of injury. </w:t>
            </w:r>
            <w:hyperlink r:id="rId1182" w:history="1">
              <w:r w:rsidRPr="005F153B">
                <w:rPr>
                  <w:rStyle w:val="Hyperlink"/>
                  <w:rFonts w:cs="Arial"/>
                  <w:sz w:val="14"/>
                  <w:szCs w:val="16"/>
                  <w:lang w:val="en-GB"/>
                </w:rPr>
                <w:t>s43(5)</w:t>
              </w:r>
            </w:hyperlink>
            <w:r w:rsidRPr="00581785">
              <w:rPr>
                <w:rFonts w:cs="Arial"/>
                <w:color w:val="000000"/>
                <w:sz w:val="14"/>
                <w:szCs w:val="16"/>
                <w:lang w:val="en-GB"/>
              </w:rPr>
              <w:t xml:space="preserve"> requires consideration of:</w:t>
            </w:r>
          </w:p>
          <w:p w14:paraId="058D33D1"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nature of the injury and the degree to which that injury impairs the worker’s ability to provide for their personal care</w:t>
            </w:r>
          </w:p>
          <w:p w14:paraId="1509940C"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extent to which any medical service or nursing service received by the employee provides for his or her essential and regular personal care</w:t>
            </w:r>
          </w:p>
          <w:p w14:paraId="2B814FE6"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extent to which it is reasonable to meet any wish by the employee to live outside an institution</w:t>
            </w:r>
          </w:p>
          <w:p w14:paraId="1AE30598"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extent to which attendant care services are necessary to enable the employee to undertake or continue employment</w:t>
            </w:r>
          </w:p>
          <w:p w14:paraId="125A664C"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any assessment made in relation to the rehabilitation of the employee, and</w:t>
            </w:r>
          </w:p>
          <w:p w14:paraId="31132F6D"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extent to which a relative of the employee might reasonably be expected to provide attendant care services.</w:t>
            </w:r>
          </w:p>
        </w:tc>
        <w:tc>
          <w:tcPr>
            <w:tcW w:w="2759" w:type="dxa"/>
            <w:tcMar>
              <w:top w:w="80" w:type="dxa"/>
              <w:left w:w="80" w:type="dxa"/>
              <w:bottom w:w="80" w:type="dxa"/>
              <w:right w:w="80" w:type="dxa"/>
            </w:tcMar>
          </w:tcPr>
          <w:p w14:paraId="480F3CD1" w14:textId="243A3774"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Compensation is payable for household services reasonably required — </w:t>
            </w:r>
            <w:hyperlink r:id="rId1183" w:history="1">
              <w:r w:rsidRPr="005F153B">
                <w:rPr>
                  <w:rStyle w:val="Hyperlink"/>
                  <w:rFonts w:cs="Arial"/>
                  <w:sz w:val="14"/>
                  <w:szCs w:val="16"/>
                  <w:lang w:val="en-GB"/>
                </w:rPr>
                <w:t>s43(1)</w:t>
              </w:r>
            </w:hyperlink>
            <w:r w:rsidRPr="00581785">
              <w:rPr>
                <w:rFonts w:cs="Arial"/>
                <w:color w:val="000000"/>
                <w:sz w:val="14"/>
                <w:szCs w:val="16"/>
                <w:lang w:val="en-GB"/>
              </w:rPr>
              <w:t xml:space="preserve">. This is generally from 28 days after the date of injury. </w:t>
            </w:r>
            <w:hyperlink r:id="rId1184" w:history="1">
              <w:r w:rsidRPr="005F153B">
                <w:rPr>
                  <w:rStyle w:val="Hyperlink"/>
                  <w:rFonts w:cs="Arial"/>
                  <w:sz w:val="14"/>
                  <w:szCs w:val="16"/>
                  <w:lang w:val="en-GB"/>
                </w:rPr>
                <w:t>s43(3)</w:t>
              </w:r>
            </w:hyperlink>
            <w:r w:rsidRPr="00581785">
              <w:rPr>
                <w:rFonts w:cs="Arial"/>
                <w:color w:val="000000"/>
                <w:sz w:val="14"/>
                <w:szCs w:val="16"/>
                <w:lang w:val="en-GB"/>
              </w:rPr>
              <w:t xml:space="preserve"> requires consideration of:</w:t>
            </w:r>
          </w:p>
          <w:p w14:paraId="0B9CFE10"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extent to which household services were provided by the employee before the date of the injury and the extent to which he or she is able to provide those services after that date</w:t>
            </w:r>
          </w:p>
          <w:p w14:paraId="20CB6104"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number of persons living with the employee as members of their household, their ages and need for household services</w:t>
            </w:r>
          </w:p>
          <w:p w14:paraId="35558895"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extent to which household services were provided to the employee before the injury</w:t>
            </w:r>
          </w:p>
          <w:p w14:paraId="2D658376"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extent to which members of the household might reasonably be expected to provide household services for themselves and injured employee, and</w:t>
            </w:r>
          </w:p>
          <w:p w14:paraId="2A711CB6"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the need to avoid substantial disruption to the employment or other activities of persons in the household.</w:t>
            </w:r>
          </w:p>
        </w:tc>
        <w:tc>
          <w:tcPr>
            <w:tcW w:w="2759" w:type="dxa"/>
            <w:tcMar>
              <w:top w:w="80" w:type="dxa"/>
              <w:left w:w="80" w:type="dxa"/>
              <w:bottom w:w="80" w:type="dxa"/>
              <w:right w:w="80" w:type="dxa"/>
            </w:tcMar>
          </w:tcPr>
          <w:p w14:paraId="50673999" w14:textId="75F26956" w:rsidR="00581785" w:rsidRPr="00581785" w:rsidRDefault="00A7538C" w:rsidP="007F0B00">
            <w:pPr>
              <w:spacing w:after="60"/>
              <w:contextualSpacing/>
              <w:rPr>
                <w:rFonts w:eastAsia="Calibri" w:cs="Arial"/>
                <w:sz w:val="14"/>
                <w:szCs w:val="14"/>
                <w:lang w:eastAsia="en-US"/>
              </w:rPr>
            </w:pPr>
            <w:hyperlink r:id="rId1185" w:history="1">
              <w:r w:rsidR="00581785" w:rsidRPr="005F153B">
                <w:rPr>
                  <w:rStyle w:val="Hyperlink"/>
                  <w:rFonts w:eastAsia="Calibri" w:cs="Arial"/>
                  <w:sz w:val="14"/>
                  <w:szCs w:val="14"/>
                  <w:lang w:eastAsia="en-US"/>
                </w:rPr>
                <w:t>s51</w:t>
              </w:r>
            </w:hyperlink>
          </w:p>
          <w:p w14:paraId="2319875D" w14:textId="77777777" w:rsidR="00581785" w:rsidRPr="00581785" w:rsidRDefault="00581785" w:rsidP="007F0B00">
            <w:pPr>
              <w:spacing w:after="60"/>
              <w:contextualSpacing/>
              <w:rPr>
                <w:rFonts w:eastAsia="Calibri" w:cs="Arial"/>
                <w:sz w:val="14"/>
                <w:szCs w:val="14"/>
                <w:lang w:eastAsia="en-US"/>
              </w:rPr>
            </w:pPr>
            <w:r w:rsidRPr="00581785">
              <w:rPr>
                <w:rFonts w:eastAsia="Calibri" w:cs="Arial"/>
                <w:sz w:val="14"/>
                <w:szCs w:val="14"/>
                <w:lang w:eastAsia="en-US"/>
              </w:rPr>
              <w:t>Where an employee is undertaking, has undertaken or completed a rehabilitation program or is assessed as not capable of undertaking a program, the following are payable if reasonable:</w:t>
            </w:r>
          </w:p>
          <w:p w14:paraId="256ABA07"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costs of alteration of employee’s residence or place of work</w:t>
            </w:r>
          </w:p>
          <w:p w14:paraId="0A6F5DB6"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modifications to a vehicle used by employee, and</w:t>
            </w:r>
          </w:p>
          <w:p w14:paraId="6D6AC750"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aids and appliances including repair or replacement.</w:t>
            </w:r>
          </w:p>
        </w:tc>
        <w:tc>
          <w:tcPr>
            <w:tcW w:w="2759" w:type="dxa"/>
            <w:tcMar>
              <w:top w:w="80" w:type="dxa"/>
              <w:left w:w="80" w:type="dxa"/>
              <w:bottom w:w="80" w:type="dxa"/>
              <w:right w:w="80" w:type="dxa"/>
            </w:tcMar>
          </w:tcPr>
          <w:p w14:paraId="346D2ABE" w14:textId="24DC19C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Attendant care — $</w:t>
            </w:r>
            <w:r w:rsidR="00735BF5">
              <w:rPr>
                <w:rFonts w:eastAsia="Calibri" w:cs="Arial"/>
                <w:sz w:val="14"/>
                <w:szCs w:val="14"/>
                <w:lang w:eastAsia="en-US"/>
              </w:rPr>
              <w:t>464.43</w:t>
            </w:r>
            <w:r w:rsidRPr="00B72599">
              <w:rPr>
                <w:rFonts w:eastAsia="Calibri" w:cs="Arial"/>
                <w:sz w:val="14"/>
                <w:szCs w:val="14"/>
                <w:lang w:eastAsia="en-US"/>
              </w:rPr>
              <w:t xml:space="preserve"> per week</w:t>
            </w:r>
          </w:p>
          <w:p w14:paraId="5B0D9D67" w14:textId="1A605905"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Household help — $</w:t>
            </w:r>
            <w:r w:rsidR="00735BF5">
              <w:rPr>
                <w:rFonts w:eastAsia="Calibri" w:cs="Arial"/>
                <w:sz w:val="14"/>
                <w:szCs w:val="14"/>
                <w:lang w:eastAsia="en-US"/>
              </w:rPr>
              <w:t>464.43</w:t>
            </w:r>
            <w:r w:rsidRPr="00B72599">
              <w:rPr>
                <w:rFonts w:eastAsia="Calibri" w:cs="Arial"/>
                <w:sz w:val="14"/>
                <w:szCs w:val="14"/>
                <w:lang w:eastAsia="en-US"/>
              </w:rPr>
              <w:t xml:space="preserve"> per week, not less than 50% paid by employee</w:t>
            </w:r>
            <w:r w:rsidR="00735BF5">
              <w:rPr>
                <w:rFonts w:eastAsia="Calibri" w:cs="Arial"/>
                <w:sz w:val="14"/>
                <w:szCs w:val="14"/>
                <w:lang w:eastAsia="en-US"/>
              </w:rPr>
              <w:t>, no more than $464.43</w:t>
            </w:r>
            <w:r w:rsidRPr="00B72599">
              <w:rPr>
                <w:rFonts w:eastAsia="Calibri" w:cs="Arial"/>
                <w:sz w:val="14"/>
                <w:szCs w:val="14"/>
                <w:lang w:eastAsia="en-US"/>
              </w:rPr>
              <w:t xml:space="preserve"> per week (1 July </w:t>
            </w:r>
            <w:r w:rsidR="00735BF5">
              <w:rPr>
                <w:rFonts w:eastAsia="Calibri" w:cs="Arial"/>
                <w:sz w:val="14"/>
                <w:szCs w:val="14"/>
                <w:lang w:eastAsia="en-US"/>
              </w:rPr>
              <w:t>2017</w:t>
            </w:r>
            <w:r w:rsidRPr="00B72599">
              <w:rPr>
                <w:rFonts w:eastAsia="Calibri" w:cs="Arial"/>
                <w:sz w:val="14"/>
                <w:szCs w:val="14"/>
                <w:lang w:eastAsia="en-US"/>
              </w:rPr>
              <w:t>).</w:t>
            </w:r>
          </w:p>
          <w:p w14:paraId="345C6537"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Medical and hospital costs — no</w:t>
            </w:r>
          </w:p>
          <w:p w14:paraId="57A3BEEE" w14:textId="502F1CD7" w:rsidR="00581785" w:rsidRPr="00B72599" w:rsidRDefault="00581785" w:rsidP="005F153B">
            <w:pPr>
              <w:pStyle w:val="ListParagraph"/>
              <w:spacing w:after="60"/>
              <w:ind w:left="360"/>
              <w:contextualSpacing/>
              <w:rPr>
                <w:rFonts w:eastAsia="Calibri" w:cs="Arial"/>
                <w:sz w:val="14"/>
                <w:szCs w:val="14"/>
                <w:lang w:eastAsia="en-US"/>
              </w:rPr>
            </w:pPr>
            <w:r w:rsidRPr="00B72599">
              <w:rPr>
                <w:rFonts w:eastAsia="Calibri" w:cs="Arial"/>
                <w:sz w:val="14"/>
                <w:szCs w:val="14"/>
                <w:lang w:eastAsia="en-US"/>
              </w:rPr>
              <w:t xml:space="preserve">limits — appropriate costs — </w:t>
            </w:r>
            <w:hyperlink r:id="rId1186" w:history="1">
              <w:r w:rsidRPr="005F153B">
                <w:rPr>
                  <w:rStyle w:val="Hyperlink"/>
                  <w:rFonts w:eastAsia="Calibri" w:cs="Arial"/>
                  <w:sz w:val="14"/>
                  <w:szCs w:val="14"/>
                  <w:lang w:eastAsia="en-US"/>
                </w:rPr>
                <w:t>s28</w:t>
              </w:r>
            </w:hyperlink>
          </w:p>
          <w:p w14:paraId="3FE08308"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Other costs — no limits.</w:t>
            </w:r>
          </w:p>
        </w:tc>
      </w:tr>
      <w:tr w:rsidR="00581785" w:rsidRPr="00581785" w14:paraId="650575EB" w14:textId="77777777" w:rsidTr="00B2173F">
        <w:tc>
          <w:tcPr>
            <w:tcW w:w="1626" w:type="dxa"/>
            <w:shd w:val="clear" w:color="auto" w:fill="FFC9C9"/>
            <w:tcMar>
              <w:top w:w="80" w:type="dxa"/>
              <w:left w:w="80" w:type="dxa"/>
              <w:bottom w:w="80" w:type="dxa"/>
              <w:right w:w="80" w:type="dxa"/>
            </w:tcMar>
          </w:tcPr>
          <w:p w14:paraId="2B00DCF0"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C’wealth DVA</w:t>
            </w:r>
          </w:p>
        </w:tc>
        <w:tc>
          <w:tcPr>
            <w:tcW w:w="2759" w:type="dxa"/>
            <w:shd w:val="clear" w:color="auto" w:fill="FFC9C9"/>
            <w:tcMar>
              <w:top w:w="80" w:type="dxa"/>
              <w:left w:w="80" w:type="dxa"/>
              <w:bottom w:w="80" w:type="dxa"/>
              <w:right w:w="80" w:type="dxa"/>
            </w:tcMar>
          </w:tcPr>
          <w:p w14:paraId="37E18EBE" w14:textId="3BCC0B5D" w:rsidR="00963F4E" w:rsidRPr="00963F4E" w:rsidRDefault="002062CE" w:rsidP="00963F4E">
            <w:pPr>
              <w:spacing w:after="60"/>
              <w:contextualSpacing/>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963F4E">
              <w:rPr>
                <w:rFonts w:eastAsia="Calibri" w:cs="Arial"/>
                <w:sz w:val="14"/>
                <w:szCs w:val="14"/>
                <w:lang w:eastAsia="en-US"/>
              </w:rPr>
              <w:t>MRCA</w:t>
            </w:r>
            <w:r>
              <w:rPr>
                <w:rFonts w:eastAsia="Calibri" w:cs="Arial"/>
                <w:sz w:val="14"/>
                <w:szCs w:val="14"/>
                <w:lang w:eastAsia="en-US"/>
              </w:rPr>
              <w:t>)</w:t>
            </w:r>
          </w:p>
          <w:p w14:paraId="5B28B36F" w14:textId="5C8CDB00" w:rsidR="00581785" w:rsidRPr="00B72599" w:rsidRDefault="00581785" w:rsidP="00F839DB">
            <w:pPr>
              <w:pStyle w:val="ListParagraph"/>
              <w:numPr>
                <w:ilvl w:val="0"/>
                <w:numId w:val="140"/>
              </w:numPr>
              <w:spacing w:after="60"/>
              <w:contextualSpacing/>
              <w:rPr>
                <w:rFonts w:eastAsia="Calibri" w:cs="Arial"/>
                <w:sz w:val="14"/>
                <w:szCs w:val="14"/>
                <w:lang w:eastAsia="en-US"/>
              </w:rPr>
            </w:pPr>
            <w:r w:rsidRPr="00B72599">
              <w:rPr>
                <w:rFonts w:eastAsia="Calibri" w:cs="Arial"/>
                <w:sz w:val="14"/>
                <w:szCs w:val="14"/>
                <w:lang w:eastAsia="en-US"/>
              </w:rPr>
              <w:t xml:space="preserve">All reasonable costs — </w:t>
            </w:r>
            <w:hyperlink r:id="rId1187" w:history="1">
              <w:r w:rsidRPr="00265952">
                <w:rPr>
                  <w:rStyle w:val="Hyperlink"/>
                  <w:rFonts w:eastAsia="Calibri" w:cs="Arial"/>
                  <w:sz w:val="14"/>
                  <w:szCs w:val="14"/>
                  <w:lang w:eastAsia="en-US"/>
                </w:rPr>
                <w:t>s270</w:t>
              </w:r>
            </w:hyperlink>
            <w:r w:rsidRPr="00B72599">
              <w:rPr>
                <w:rFonts w:eastAsia="Calibri" w:cs="Arial"/>
                <w:sz w:val="14"/>
                <w:szCs w:val="14"/>
                <w:lang w:eastAsia="en-US"/>
              </w:rPr>
              <w:t>, or</w:t>
            </w:r>
          </w:p>
          <w:p w14:paraId="7DFB05C0" w14:textId="23417FCE" w:rsidR="00581785" w:rsidRDefault="00581785" w:rsidP="00F839DB">
            <w:pPr>
              <w:pStyle w:val="ListParagraph"/>
              <w:numPr>
                <w:ilvl w:val="0"/>
                <w:numId w:val="140"/>
              </w:numPr>
              <w:spacing w:after="60"/>
              <w:contextualSpacing/>
              <w:rPr>
                <w:rFonts w:eastAsia="Calibri" w:cs="Arial"/>
                <w:sz w:val="14"/>
                <w:szCs w:val="14"/>
                <w:lang w:eastAsia="en-US"/>
              </w:rPr>
            </w:pPr>
            <w:r w:rsidRPr="00B72599">
              <w:rPr>
                <w:rFonts w:eastAsia="Calibri" w:cs="Arial"/>
                <w:sz w:val="14"/>
                <w:szCs w:val="14"/>
                <w:lang w:eastAsia="en-US"/>
              </w:rPr>
              <w:t xml:space="preserve">scheduled items if condition is chronic and member has discharged from the ADF — </w:t>
            </w:r>
            <w:hyperlink r:id="rId1188" w:history="1">
              <w:r w:rsidRPr="00265952">
                <w:rPr>
                  <w:rStyle w:val="Hyperlink"/>
                  <w:rFonts w:eastAsia="Calibri" w:cs="Arial"/>
                  <w:sz w:val="14"/>
                  <w:szCs w:val="14"/>
                  <w:lang w:eastAsia="en-US"/>
                </w:rPr>
                <w:t>s278</w:t>
              </w:r>
            </w:hyperlink>
            <w:r w:rsidR="00E13D9F">
              <w:rPr>
                <w:rFonts w:eastAsia="Calibri" w:cs="Arial"/>
                <w:sz w:val="14"/>
                <w:szCs w:val="14"/>
                <w:lang w:eastAsia="en-US"/>
              </w:rPr>
              <w:t>.</w:t>
            </w:r>
          </w:p>
          <w:p w14:paraId="3DD91517" w14:textId="77777777" w:rsidR="009500F6" w:rsidRDefault="009500F6" w:rsidP="009500F6">
            <w:pPr>
              <w:spacing w:after="5440"/>
              <w:rPr>
                <w:rFonts w:eastAsia="Calibri" w:cs="Arial"/>
                <w:sz w:val="14"/>
                <w:szCs w:val="14"/>
                <w:lang w:eastAsia="en-US"/>
              </w:rPr>
            </w:pPr>
          </w:p>
          <w:p w14:paraId="74808C4C" w14:textId="4F7E5D96" w:rsidR="00D63EC1" w:rsidRDefault="002062CE" w:rsidP="00D63EC1">
            <w:pPr>
              <w:spacing w:after="60"/>
              <w:contextualSpacing/>
              <w:rPr>
                <w:rFonts w:eastAsia="Calibri" w:cs="Arial"/>
                <w:sz w:val="14"/>
                <w:szCs w:val="14"/>
                <w:lang w:eastAsia="en-US"/>
              </w:rPr>
            </w:pPr>
            <w:r w:rsidRPr="00016069">
              <w:rPr>
                <w:i/>
                <w:sz w:val="14"/>
              </w:rPr>
              <w:t>Safety, Rehabilitation and Compensation (Defence-related Claims) Act 1988</w:t>
            </w:r>
            <w:r>
              <w:rPr>
                <w:i/>
                <w:sz w:val="14"/>
              </w:rPr>
              <w:t xml:space="preserve"> </w:t>
            </w:r>
            <w:r>
              <w:rPr>
                <w:rFonts w:eastAsia="Calibri" w:cs="Arial"/>
                <w:sz w:val="14"/>
                <w:szCs w:val="14"/>
                <w:lang w:eastAsia="en-US"/>
              </w:rPr>
              <w:t>(</w:t>
            </w:r>
            <w:r w:rsidR="00D63EC1">
              <w:rPr>
                <w:rFonts w:eastAsia="Calibri" w:cs="Arial"/>
                <w:sz w:val="14"/>
                <w:szCs w:val="14"/>
                <w:lang w:eastAsia="en-US"/>
              </w:rPr>
              <w:t>DRCA</w:t>
            </w:r>
            <w:r>
              <w:rPr>
                <w:rFonts w:eastAsia="Calibri" w:cs="Arial"/>
                <w:sz w:val="14"/>
                <w:szCs w:val="14"/>
                <w:lang w:eastAsia="en-US"/>
              </w:rPr>
              <w:t>)</w:t>
            </w:r>
          </w:p>
          <w:p w14:paraId="437897C5" w14:textId="20B7992B" w:rsidR="00D63EC1" w:rsidRPr="00D63EC1" w:rsidRDefault="00D63EC1" w:rsidP="00D63EC1">
            <w:pPr>
              <w:spacing w:after="60"/>
              <w:contextualSpacing/>
              <w:rPr>
                <w:rFonts w:eastAsia="Calibri" w:cs="Arial"/>
                <w:sz w:val="14"/>
                <w:szCs w:val="14"/>
                <w:lang w:eastAsia="en-US"/>
              </w:rPr>
            </w:pPr>
            <w:r>
              <w:rPr>
                <w:rFonts w:eastAsia="Calibri" w:cs="Arial"/>
                <w:sz w:val="14"/>
                <w:szCs w:val="14"/>
                <w:lang w:eastAsia="en-US"/>
              </w:rPr>
              <w:t xml:space="preserve">Medical treatment at a cost appropriate to that treatment — </w:t>
            </w:r>
            <w:hyperlink r:id="rId1189" w:history="1">
              <w:r w:rsidRPr="00265952">
                <w:rPr>
                  <w:rStyle w:val="Hyperlink"/>
                  <w:rFonts w:eastAsia="Calibri" w:cs="Arial"/>
                  <w:sz w:val="14"/>
                  <w:szCs w:val="14"/>
                  <w:lang w:eastAsia="en-US"/>
                </w:rPr>
                <w:t>s16</w:t>
              </w:r>
            </w:hyperlink>
            <w:r>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0463305E"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Liable to pay compensation for attendant care services reasonably required.</w:t>
            </w:r>
          </w:p>
          <w:p w14:paraId="6C434AC8"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In the amount of:</w:t>
            </w:r>
          </w:p>
          <w:p w14:paraId="6C98C32E" w14:textId="036664EA" w:rsidR="00581785" w:rsidRPr="00B72599" w:rsidRDefault="00581785" w:rsidP="00F839DB">
            <w:pPr>
              <w:pStyle w:val="ListParagraph"/>
              <w:numPr>
                <w:ilvl w:val="0"/>
                <w:numId w:val="141"/>
              </w:numPr>
              <w:spacing w:after="60"/>
              <w:contextualSpacing/>
              <w:rPr>
                <w:rFonts w:eastAsia="Calibri" w:cs="Arial"/>
                <w:sz w:val="14"/>
                <w:szCs w:val="14"/>
                <w:lang w:eastAsia="en-US"/>
              </w:rPr>
            </w:pPr>
            <w:r w:rsidRPr="00B72599">
              <w:rPr>
                <w:rFonts w:eastAsia="Calibri" w:cs="Arial"/>
                <w:sz w:val="14"/>
                <w:szCs w:val="14"/>
                <w:lang w:eastAsia="en-US"/>
              </w:rPr>
              <w:t>$</w:t>
            </w:r>
            <w:r w:rsidR="00963F4E">
              <w:rPr>
                <w:rFonts w:eastAsia="Calibri" w:cs="Arial"/>
                <w:sz w:val="14"/>
                <w:szCs w:val="14"/>
                <w:lang w:eastAsia="en-US"/>
              </w:rPr>
              <w:t xml:space="preserve">482.50 </w:t>
            </w:r>
            <w:r w:rsidRPr="00B72599">
              <w:rPr>
                <w:rFonts w:eastAsia="Calibri" w:cs="Arial"/>
                <w:sz w:val="14"/>
                <w:szCs w:val="14"/>
                <w:lang w:eastAsia="en-US"/>
              </w:rPr>
              <w:t xml:space="preserve">per week, or </w:t>
            </w:r>
          </w:p>
          <w:p w14:paraId="3B84A489" w14:textId="6BDE7D26" w:rsidR="00581785" w:rsidRPr="00785AA9" w:rsidRDefault="00581785" w:rsidP="00F839DB">
            <w:pPr>
              <w:pStyle w:val="ListParagraph"/>
              <w:numPr>
                <w:ilvl w:val="0"/>
                <w:numId w:val="141"/>
              </w:numPr>
              <w:spacing w:after="60"/>
              <w:contextualSpacing/>
              <w:rPr>
                <w:rStyle w:val="Hyperlink"/>
                <w:rFonts w:eastAsia="Calibri" w:cs="Arial"/>
                <w:color w:val="auto"/>
                <w:sz w:val="14"/>
                <w:szCs w:val="14"/>
                <w:u w:val="none"/>
                <w:lang w:eastAsia="en-US"/>
              </w:rPr>
            </w:pPr>
            <w:r w:rsidRPr="00B72599">
              <w:rPr>
                <w:rFonts w:eastAsia="Calibri" w:cs="Arial"/>
                <w:sz w:val="14"/>
                <w:szCs w:val="14"/>
                <w:lang w:eastAsia="en-US"/>
              </w:rPr>
              <w:t xml:space="preserve">an amount per week equal to the amount per week paid or payable by the person for those services, whichever is less — </w:t>
            </w:r>
            <w:hyperlink r:id="rId1190" w:history="1">
              <w:r w:rsidRPr="00265952">
                <w:rPr>
                  <w:rStyle w:val="Hyperlink"/>
                  <w:rFonts w:eastAsia="Calibri" w:cs="Arial"/>
                  <w:sz w:val="14"/>
                  <w:szCs w:val="14"/>
                  <w:lang w:eastAsia="en-US"/>
                </w:rPr>
                <w:t>s219</w:t>
              </w:r>
            </w:hyperlink>
          </w:p>
          <w:p w14:paraId="5173FF5C" w14:textId="3C3C19F4" w:rsidR="00785AA9" w:rsidRDefault="00785AA9" w:rsidP="00785AA9">
            <w:pPr>
              <w:spacing w:after="60"/>
              <w:contextualSpacing/>
              <w:rPr>
                <w:rFonts w:eastAsia="Calibri" w:cs="Arial"/>
                <w:sz w:val="14"/>
                <w:szCs w:val="14"/>
                <w:lang w:eastAsia="en-US"/>
              </w:rPr>
            </w:pPr>
          </w:p>
          <w:p w14:paraId="5BA984E6" w14:textId="77777777" w:rsidR="00785AA9" w:rsidRDefault="00785AA9" w:rsidP="00785AA9">
            <w:pPr>
              <w:spacing w:after="60"/>
              <w:contextualSpacing/>
              <w:rPr>
                <w:rFonts w:eastAsia="Calibri" w:cs="Arial"/>
                <w:sz w:val="14"/>
                <w:szCs w:val="14"/>
                <w:lang w:eastAsia="en-US"/>
              </w:rPr>
            </w:pPr>
            <w:r>
              <w:rPr>
                <w:rFonts w:eastAsia="Calibri" w:cs="Arial"/>
                <w:sz w:val="14"/>
                <w:szCs w:val="14"/>
                <w:lang w:eastAsia="en-US"/>
              </w:rPr>
              <w:lastRenderedPageBreak/>
              <w:t>Or, if deemed to have a Catastrophic Injury:</w:t>
            </w:r>
          </w:p>
          <w:p w14:paraId="115C6218" w14:textId="77777777" w:rsidR="00785AA9" w:rsidRPr="005F024E" w:rsidRDefault="00785AA9" w:rsidP="00F839DB">
            <w:pPr>
              <w:pStyle w:val="ListParagraph"/>
              <w:numPr>
                <w:ilvl w:val="0"/>
                <w:numId w:val="143"/>
              </w:numPr>
              <w:spacing w:after="60"/>
              <w:contextualSpacing/>
              <w:rPr>
                <w:rFonts w:eastAsia="Calibri" w:cs="Arial"/>
                <w:sz w:val="14"/>
                <w:szCs w:val="14"/>
                <w:lang w:eastAsia="en-US"/>
              </w:rPr>
            </w:pPr>
            <w:r>
              <w:rPr>
                <w:rFonts w:eastAsia="Calibri" w:cs="Arial"/>
                <w:sz w:val="14"/>
                <w:szCs w:val="14"/>
                <w:lang w:eastAsia="en-US"/>
              </w:rPr>
              <w:t>Under the DRCA or MRCA, allows</w:t>
            </w:r>
            <w:r w:rsidRPr="005F024E">
              <w:rPr>
                <w:rFonts w:eastAsia="Calibri" w:cs="Arial"/>
                <w:sz w:val="14"/>
                <w:szCs w:val="14"/>
                <w:lang w:eastAsia="en-US"/>
              </w:rPr>
              <w:t xml:space="preserve"> payments above the statutory rate for attendant care services for people with a “catastr</w:t>
            </w:r>
            <w:r>
              <w:rPr>
                <w:rFonts w:eastAsia="Calibri" w:cs="Arial"/>
                <w:sz w:val="14"/>
                <w:szCs w:val="14"/>
                <w:lang w:eastAsia="en-US"/>
              </w:rPr>
              <w:t xml:space="preserve">ophic injury” defined by </w:t>
            </w:r>
            <w:r w:rsidRPr="005F024E">
              <w:rPr>
                <w:rFonts w:eastAsia="Calibri" w:cs="Arial"/>
                <w:sz w:val="14"/>
                <w:szCs w:val="14"/>
                <w:lang w:eastAsia="en-US"/>
              </w:rPr>
              <w:t>legislative Instruments.</w:t>
            </w:r>
          </w:p>
          <w:p w14:paraId="202BF3D5" w14:textId="77777777" w:rsidR="00785AA9" w:rsidRPr="005F024E" w:rsidRDefault="00785AA9" w:rsidP="00F839DB">
            <w:pPr>
              <w:pStyle w:val="ListParagraph"/>
              <w:numPr>
                <w:ilvl w:val="0"/>
                <w:numId w:val="143"/>
              </w:numPr>
              <w:spacing w:after="60"/>
              <w:contextualSpacing/>
              <w:rPr>
                <w:rFonts w:eastAsia="Calibri" w:cs="Arial"/>
                <w:sz w:val="14"/>
                <w:szCs w:val="14"/>
                <w:lang w:eastAsia="en-US"/>
              </w:rPr>
            </w:pPr>
            <w:r w:rsidRPr="005F024E">
              <w:rPr>
                <w:rFonts w:eastAsia="Calibri" w:cs="Arial"/>
                <w:sz w:val="14"/>
                <w:szCs w:val="14"/>
                <w:lang w:eastAsia="en-US"/>
              </w:rPr>
              <w:t xml:space="preserve">The provisions allow the </w:t>
            </w:r>
            <w:r>
              <w:rPr>
                <w:rFonts w:eastAsia="Calibri" w:cs="Arial"/>
                <w:sz w:val="14"/>
                <w:szCs w:val="14"/>
                <w:lang w:eastAsia="en-US"/>
              </w:rPr>
              <w:t xml:space="preserve">Military Rehabilitation and Compensation </w:t>
            </w:r>
            <w:r w:rsidRPr="005F024E">
              <w:rPr>
                <w:rFonts w:eastAsia="Calibri" w:cs="Arial"/>
                <w:sz w:val="14"/>
                <w:szCs w:val="14"/>
                <w:lang w:eastAsia="en-US"/>
              </w:rPr>
              <w:t>Commission to approve weekly amounts of compensation for attendant care services that it considers reasonable given the individual’s circumstances and needs.</w:t>
            </w:r>
          </w:p>
          <w:p w14:paraId="5136064C" w14:textId="77777777" w:rsidR="00785AA9" w:rsidRPr="005F024E" w:rsidRDefault="00785AA9" w:rsidP="00F839DB">
            <w:pPr>
              <w:pStyle w:val="ListParagraph"/>
              <w:numPr>
                <w:ilvl w:val="0"/>
                <w:numId w:val="143"/>
              </w:numPr>
              <w:spacing w:after="60"/>
              <w:contextualSpacing/>
              <w:rPr>
                <w:rFonts w:eastAsia="Calibri" w:cs="Arial"/>
                <w:sz w:val="14"/>
                <w:szCs w:val="14"/>
                <w:lang w:eastAsia="en-US"/>
              </w:rPr>
            </w:pPr>
            <w:r w:rsidRPr="005F024E">
              <w:rPr>
                <w:rFonts w:eastAsia="Calibri" w:cs="Arial"/>
                <w:sz w:val="14"/>
                <w:szCs w:val="14"/>
                <w:lang w:eastAsia="en-US"/>
              </w:rPr>
              <w:t xml:space="preserve">Satisfying the definition of catastrophic injury does not guarantee that a person will receive higher levels of attendant care services.  Such requirements will still be assessed on an individual needs basis.  </w:t>
            </w:r>
          </w:p>
          <w:p w14:paraId="209C7C3C" w14:textId="77777777" w:rsidR="00785AA9" w:rsidRPr="005F024E" w:rsidRDefault="00785AA9" w:rsidP="00F839DB">
            <w:pPr>
              <w:pStyle w:val="ListParagraph"/>
              <w:numPr>
                <w:ilvl w:val="0"/>
                <w:numId w:val="143"/>
              </w:numPr>
              <w:spacing w:after="60"/>
              <w:contextualSpacing/>
              <w:rPr>
                <w:rFonts w:eastAsia="Calibri" w:cs="Arial"/>
                <w:sz w:val="14"/>
                <w:szCs w:val="14"/>
                <w:lang w:eastAsia="en-US"/>
              </w:rPr>
            </w:pPr>
            <w:r w:rsidRPr="005F024E">
              <w:rPr>
                <w:rFonts w:eastAsia="Calibri" w:cs="Arial"/>
                <w:sz w:val="14"/>
                <w:szCs w:val="14"/>
                <w:lang w:eastAsia="en-US"/>
              </w:rPr>
              <w:t>Meeting the definition of catastrophic injury does not create a pathway to additional benefits under the MRCA or the DRCA.  Eligibility for other benefits under DVA legislation (such as incapacity and permanent impairment payments) remain subject to separate assessment criteria and processes.</w:t>
            </w:r>
          </w:p>
          <w:p w14:paraId="68BC7E94" w14:textId="77777777" w:rsidR="00785AA9" w:rsidRDefault="00785AA9" w:rsidP="00785AA9">
            <w:pPr>
              <w:spacing w:after="60"/>
              <w:contextualSpacing/>
              <w:rPr>
                <w:rFonts w:eastAsia="Calibri" w:cs="Arial"/>
                <w:sz w:val="14"/>
                <w:szCs w:val="14"/>
                <w:lang w:eastAsia="en-US"/>
              </w:rPr>
            </w:pPr>
          </w:p>
          <w:p w14:paraId="7531D581" w14:textId="77777777" w:rsidR="00785AA9" w:rsidRPr="00785AA9" w:rsidRDefault="00785AA9" w:rsidP="00785AA9">
            <w:pPr>
              <w:spacing w:after="60"/>
              <w:contextualSpacing/>
              <w:rPr>
                <w:rFonts w:eastAsia="Calibri" w:cs="Arial"/>
                <w:sz w:val="14"/>
                <w:szCs w:val="14"/>
                <w:lang w:eastAsia="en-US"/>
              </w:rPr>
            </w:pPr>
          </w:p>
          <w:p w14:paraId="6AA8FA1A" w14:textId="3F99D02C"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The following matters need to be considered (</w:t>
            </w:r>
            <w:hyperlink r:id="rId1191" w:history="1">
              <w:r w:rsidRPr="00265952">
                <w:rPr>
                  <w:rStyle w:val="Hyperlink"/>
                  <w:rFonts w:cs="Arial"/>
                  <w:sz w:val="14"/>
                  <w:szCs w:val="16"/>
                  <w:lang w:val="en-GB"/>
                </w:rPr>
                <w:t>s218</w:t>
              </w:r>
            </w:hyperlink>
            <w:r w:rsidRPr="00581785">
              <w:rPr>
                <w:rFonts w:cs="Arial"/>
                <w:color w:val="000000"/>
                <w:sz w:val="14"/>
                <w:szCs w:val="16"/>
                <w:lang w:val="en-GB"/>
              </w:rPr>
              <w:t xml:space="preserve">): </w:t>
            </w:r>
          </w:p>
          <w:p w14:paraId="6F8FAB95"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nature of the person’s injury or disease</w:t>
            </w:r>
          </w:p>
          <w:p w14:paraId="75B661CC"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degree to which that injury or disease impairs the person’s ability to provide for his or her personal care</w:t>
            </w:r>
          </w:p>
          <w:p w14:paraId="0D147949" w14:textId="77777777" w:rsidR="00945540"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 xml:space="preserve">the extent to which any medical service or nursing care received by the person provides for his or her essential and regular personal care, </w:t>
            </w:r>
          </w:p>
          <w:p w14:paraId="70D2B3E3" w14:textId="2FDD1F96"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extent to which the attendant care services are necessary to meet any reasonable wish by the person to live outside an institution</w:t>
            </w:r>
          </w:p>
          <w:p w14:paraId="5E4BF124"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extent to which attendant care services are necessary to enable the person to undertake or continue defence service or any other work</w:t>
            </w:r>
          </w:p>
          <w:p w14:paraId="226EDEA7"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lastRenderedPageBreak/>
              <w:t xml:space="preserve">any assessment made in relation to the rehabilitation of the person </w:t>
            </w:r>
          </w:p>
          <w:p w14:paraId="126067B7"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extent to which a relative of the person might reasonably be expected to provide attendant care services, or</w:t>
            </w:r>
          </w:p>
          <w:p w14:paraId="6F7CC2EC" w14:textId="77777777" w:rsidR="00581785"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any other matter that the MRCC considers relevant.</w:t>
            </w:r>
          </w:p>
          <w:p w14:paraId="1C7CBF4E" w14:textId="77777777" w:rsidR="00D63EC1" w:rsidRDefault="00D63EC1" w:rsidP="008D22A0">
            <w:pPr>
              <w:spacing w:after="1080"/>
              <w:rPr>
                <w:rFonts w:eastAsia="Calibri" w:cs="Arial"/>
                <w:sz w:val="14"/>
                <w:szCs w:val="14"/>
                <w:lang w:eastAsia="en-US"/>
              </w:rPr>
            </w:pPr>
          </w:p>
          <w:p w14:paraId="45BE38AA" w14:textId="5595770A" w:rsidR="00D63EC1" w:rsidRDefault="00D63EC1" w:rsidP="00D63EC1">
            <w:pPr>
              <w:pStyle w:val="Tabledotpointlist7pt"/>
              <w:rPr>
                <w:rFonts w:eastAsia="Calibri"/>
                <w:lang w:eastAsia="en-US"/>
              </w:rPr>
            </w:pPr>
            <w:r>
              <w:rPr>
                <w:rFonts w:eastAsia="Calibri"/>
                <w:lang w:eastAsia="en-US"/>
              </w:rPr>
              <w:t xml:space="preserve">Compensation is not payable where an employee is residing in a nursing home or other similar place — </w:t>
            </w:r>
            <w:hyperlink r:id="rId1192" w:history="1">
              <w:r w:rsidRPr="00265952">
                <w:rPr>
                  <w:rStyle w:val="Hyperlink"/>
                  <w:rFonts w:eastAsia="Calibri"/>
                  <w:lang w:eastAsia="en-US"/>
                </w:rPr>
                <w:t>s29(3)</w:t>
              </w:r>
            </w:hyperlink>
            <w:r>
              <w:rPr>
                <w:rFonts w:eastAsia="Calibri"/>
                <w:lang w:eastAsia="en-US"/>
              </w:rPr>
              <w:t>. Comcare is liable to pay the lesser of $464.43 (statutory rate updated 1 July) or an amount per week paid or payable by the employee for those services.</w:t>
            </w:r>
          </w:p>
          <w:p w14:paraId="571A2834" w14:textId="4A27FE65" w:rsidR="00D63EC1" w:rsidRDefault="00D63EC1" w:rsidP="00D63EC1">
            <w:pPr>
              <w:pStyle w:val="Tabledotpointlist7pt"/>
              <w:rPr>
                <w:rFonts w:eastAsia="Calibri"/>
                <w:lang w:eastAsia="en-US"/>
              </w:rPr>
            </w:pPr>
            <w:r>
              <w:rPr>
                <w:rFonts w:eastAsia="Calibri"/>
                <w:lang w:eastAsia="en-US"/>
              </w:rPr>
              <w:t xml:space="preserve">Compensation is payable for attendant care services reasonably required — </w:t>
            </w:r>
            <w:hyperlink r:id="rId1193" w:history="1">
              <w:r w:rsidRPr="00265952">
                <w:rPr>
                  <w:rStyle w:val="Hyperlink"/>
                  <w:rFonts w:eastAsia="Calibri"/>
                  <w:lang w:eastAsia="en-US"/>
                </w:rPr>
                <w:t>s29(1)</w:t>
              </w:r>
            </w:hyperlink>
            <w:r>
              <w:rPr>
                <w:rFonts w:eastAsia="Calibri"/>
                <w:lang w:eastAsia="en-US"/>
              </w:rPr>
              <w:t xml:space="preserve">. This is generally from 28 days after the date of injury. </w:t>
            </w:r>
            <w:hyperlink r:id="rId1194" w:history="1">
              <w:r w:rsidRPr="00265952">
                <w:rPr>
                  <w:rStyle w:val="Hyperlink"/>
                  <w:rFonts w:eastAsia="Calibri"/>
                  <w:lang w:eastAsia="en-US"/>
                </w:rPr>
                <w:t>s29(4)</w:t>
              </w:r>
            </w:hyperlink>
            <w:r>
              <w:rPr>
                <w:rFonts w:eastAsia="Calibri"/>
                <w:lang w:eastAsia="en-US"/>
              </w:rPr>
              <w:t xml:space="preserve"> requires consideration of:</w:t>
            </w:r>
          </w:p>
          <w:p w14:paraId="31E2294A" w14:textId="6FBBFA20" w:rsidR="00D63EC1" w:rsidRDefault="00D63EC1" w:rsidP="00F839DB">
            <w:pPr>
              <w:pStyle w:val="Tabledotpointlist7pt"/>
              <w:numPr>
                <w:ilvl w:val="0"/>
                <w:numId w:val="556"/>
              </w:numPr>
              <w:ind w:left="357" w:hanging="357"/>
              <w:rPr>
                <w:rFonts w:eastAsia="Calibri"/>
                <w:lang w:eastAsia="en-US"/>
              </w:rPr>
            </w:pPr>
            <w:r>
              <w:rPr>
                <w:rFonts w:eastAsia="Calibri"/>
                <w:lang w:eastAsia="en-US"/>
              </w:rPr>
              <w:t>nature of injury and degree that injury impairs ability to provide for personal care</w:t>
            </w:r>
          </w:p>
          <w:p w14:paraId="531EFA43" w14:textId="77777777" w:rsidR="00D63EC1" w:rsidRDefault="00D63EC1" w:rsidP="00F839DB">
            <w:pPr>
              <w:pStyle w:val="Tabledotpointlist7pt"/>
              <w:numPr>
                <w:ilvl w:val="0"/>
                <w:numId w:val="556"/>
              </w:numPr>
              <w:ind w:left="357" w:hanging="357"/>
              <w:rPr>
                <w:rFonts w:eastAsia="Calibri"/>
                <w:lang w:eastAsia="en-US"/>
              </w:rPr>
            </w:pPr>
            <w:r>
              <w:rPr>
                <w:rFonts w:eastAsia="Calibri"/>
              </w:rPr>
              <w:t>e</w:t>
            </w:r>
            <w:r w:rsidRPr="00D63EC1">
              <w:rPr>
                <w:rFonts w:eastAsia="Calibri"/>
              </w:rPr>
              <w:t xml:space="preserve">xtent </w:t>
            </w:r>
            <w:r>
              <w:rPr>
                <w:rFonts w:eastAsia="Calibri"/>
              </w:rPr>
              <w:t>to</w:t>
            </w:r>
            <w:r w:rsidR="008141B2">
              <w:rPr>
                <w:rFonts w:eastAsia="Calibri"/>
              </w:rPr>
              <w:t xml:space="preserve"> which any medical service or nursing care received provides for essential and regular personal care</w:t>
            </w:r>
          </w:p>
          <w:p w14:paraId="2D9A55DC" w14:textId="77777777" w:rsidR="00915A7A" w:rsidRDefault="00915A7A" w:rsidP="00F839DB">
            <w:pPr>
              <w:pStyle w:val="Tabledotpointlist7pt"/>
              <w:numPr>
                <w:ilvl w:val="0"/>
                <w:numId w:val="556"/>
              </w:numPr>
              <w:ind w:left="357" w:hanging="357"/>
              <w:rPr>
                <w:rFonts w:eastAsia="Calibri"/>
                <w:lang w:eastAsia="en-US"/>
              </w:rPr>
            </w:pPr>
            <w:r>
              <w:rPr>
                <w:rFonts w:eastAsia="Calibri"/>
              </w:rPr>
              <w:t>extent to which reasonable to meet any wish by the employee to live outside an institution</w:t>
            </w:r>
          </w:p>
          <w:p w14:paraId="71C0C163" w14:textId="77777777" w:rsidR="00915A7A" w:rsidRDefault="00915A7A" w:rsidP="00F839DB">
            <w:pPr>
              <w:pStyle w:val="Tabledotpointlist7pt"/>
              <w:numPr>
                <w:ilvl w:val="0"/>
                <w:numId w:val="556"/>
              </w:numPr>
              <w:ind w:left="357" w:hanging="357"/>
              <w:rPr>
                <w:rFonts w:eastAsia="Calibri"/>
                <w:lang w:eastAsia="en-US"/>
              </w:rPr>
            </w:pPr>
            <w:r>
              <w:rPr>
                <w:rFonts w:eastAsia="Calibri"/>
              </w:rPr>
              <w:t>extent to which attendant care services are necessary to enable the employee to undertake or continue employment</w:t>
            </w:r>
          </w:p>
          <w:p w14:paraId="711F392D" w14:textId="77777777" w:rsidR="00915A7A" w:rsidRDefault="00915A7A" w:rsidP="00F839DB">
            <w:pPr>
              <w:pStyle w:val="Tabledotpointlist7pt"/>
              <w:numPr>
                <w:ilvl w:val="0"/>
                <w:numId w:val="556"/>
              </w:numPr>
              <w:ind w:left="357" w:hanging="357"/>
              <w:rPr>
                <w:rFonts w:eastAsia="Calibri"/>
                <w:lang w:eastAsia="en-US"/>
              </w:rPr>
            </w:pPr>
            <w:r>
              <w:rPr>
                <w:rFonts w:eastAsia="Calibri"/>
              </w:rPr>
              <w:t xml:space="preserve">any assessment made in relation to rehabilitation of the employee, or </w:t>
            </w:r>
          </w:p>
          <w:p w14:paraId="1777900E" w14:textId="335025DC" w:rsidR="00915A7A" w:rsidRPr="00D63EC1" w:rsidRDefault="00915A7A" w:rsidP="00F839DB">
            <w:pPr>
              <w:pStyle w:val="Tabledotpointlist7pt"/>
              <w:numPr>
                <w:ilvl w:val="0"/>
                <w:numId w:val="556"/>
              </w:numPr>
              <w:ind w:left="357" w:hanging="357"/>
              <w:rPr>
                <w:rFonts w:eastAsia="Calibri"/>
                <w:lang w:eastAsia="en-US"/>
              </w:rPr>
            </w:pPr>
            <w:r>
              <w:rPr>
                <w:rFonts w:eastAsia="Calibri"/>
              </w:rPr>
              <w:t>the extent to which a relative might reasonably be expected to provide attendant care services</w:t>
            </w:r>
          </w:p>
        </w:tc>
        <w:tc>
          <w:tcPr>
            <w:tcW w:w="2759" w:type="dxa"/>
            <w:shd w:val="clear" w:color="auto" w:fill="FFC9C9"/>
            <w:tcMar>
              <w:top w:w="80" w:type="dxa"/>
              <w:left w:w="80" w:type="dxa"/>
              <w:bottom w:w="80" w:type="dxa"/>
              <w:right w:w="80" w:type="dxa"/>
            </w:tcMar>
          </w:tcPr>
          <w:p w14:paraId="60DE21E1"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Liable to pay compensation for household services reasonably required.</w:t>
            </w:r>
          </w:p>
          <w:p w14:paraId="44C6A8CD"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in the amount of:</w:t>
            </w:r>
          </w:p>
          <w:p w14:paraId="6B6BE257" w14:textId="6F601A85" w:rsidR="00945540" w:rsidRDefault="00581785" w:rsidP="00F839DB">
            <w:pPr>
              <w:pStyle w:val="ListParagraph"/>
              <w:numPr>
                <w:ilvl w:val="0"/>
                <w:numId w:val="577"/>
              </w:numPr>
              <w:spacing w:after="60"/>
              <w:contextualSpacing/>
              <w:rPr>
                <w:rFonts w:eastAsia="Calibri" w:cs="Arial"/>
                <w:sz w:val="14"/>
                <w:szCs w:val="14"/>
                <w:lang w:eastAsia="en-US"/>
              </w:rPr>
            </w:pPr>
            <w:r w:rsidRPr="00B72599">
              <w:rPr>
                <w:rFonts w:eastAsia="Calibri" w:cs="Arial"/>
                <w:sz w:val="14"/>
                <w:szCs w:val="14"/>
                <w:lang w:eastAsia="en-US"/>
              </w:rPr>
              <w:t>$</w:t>
            </w:r>
            <w:r w:rsidR="00D63EC1">
              <w:rPr>
                <w:rFonts w:eastAsia="Calibri" w:cs="Arial"/>
                <w:sz w:val="14"/>
                <w:szCs w:val="14"/>
                <w:lang w:eastAsia="en-US"/>
              </w:rPr>
              <w:t>482.50</w:t>
            </w:r>
            <w:r w:rsidRPr="00B72599">
              <w:rPr>
                <w:rFonts w:eastAsia="Calibri" w:cs="Arial"/>
                <w:sz w:val="14"/>
                <w:szCs w:val="14"/>
                <w:lang w:eastAsia="en-US"/>
              </w:rPr>
              <w:t xml:space="preserve"> per week, or </w:t>
            </w:r>
          </w:p>
          <w:p w14:paraId="1446A82D" w14:textId="7B9EDF88" w:rsidR="00581785" w:rsidRPr="00B72599" w:rsidRDefault="00581785" w:rsidP="00F839DB">
            <w:pPr>
              <w:pStyle w:val="ListParagraph"/>
              <w:numPr>
                <w:ilvl w:val="0"/>
                <w:numId w:val="577"/>
              </w:numPr>
              <w:spacing w:after="60"/>
              <w:contextualSpacing/>
              <w:rPr>
                <w:rFonts w:eastAsia="Calibri" w:cs="Arial"/>
                <w:sz w:val="14"/>
                <w:szCs w:val="14"/>
                <w:lang w:eastAsia="en-US"/>
              </w:rPr>
            </w:pPr>
            <w:r w:rsidRPr="00B72599">
              <w:rPr>
                <w:rFonts w:eastAsia="Calibri" w:cs="Arial"/>
                <w:sz w:val="14"/>
                <w:szCs w:val="14"/>
                <w:lang w:eastAsia="en-US"/>
              </w:rPr>
              <w:t xml:space="preserve">an amount per week equal to the amount per week paid or payable by the person for those services, whichever is less — </w:t>
            </w:r>
            <w:hyperlink r:id="rId1195" w:history="1">
              <w:r w:rsidRPr="00265952">
                <w:rPr>
                  <w:rStyle w:val="Hyperlink"/>
                  <w:rFonts w:eastAsia="Calibri" w:cs="Arial"/>
                  <w:sz w:val="14"/>
                  <w:szCs w:val="14"/>
                  <w:lang w:eastAsia="en-US"/>
                </w:rPr>
                <w:t>s216</w:t>
              </w:r>
            </w:hyperlink>
          </w:p>
          <w:p w14:paraId="304E0C0A" w14:textId="77777777" w:rsidR="00F839DB" w:rsidRDefault="00F839DB" w:rsidP="007F0B00">
            <w:pPr>
              <w:spacing w:after="60"/>
              <w:rPr>
                <w:rFonts w:cs="Arial"/>
                <w:color w:val="000000"/>
                <w:sz w:val="14"/>
                <w:szCs w:val="16"/>
                <w:lang w:val="en-GB"/>
              </w:rPr>
            </w:pPr>
          </w:p>
          <w:p w14:paraId="24B6F042" w14:textId="72893184" w:rsidR="00F839DB" w:rsidRDefault="00F839DB" w:rsidP="00F839DB">
            <w:pPr>
              <w:spacing w:after="60"/>
              <w:contextualSpacing/>
              <w:rPr>
                <w:rFonts w:eastAsia="Calibri" w:cs="Arial"/>
                <w:sz w:val="14"/>
                <w:szCs w:val="14"/>
                <w:lang w:eastAsia="en-US"/>
              </w:rPr>
            </w:pPr>
            <w:r>
              <w:rPr>
                <w:rFonts w:eastAsia="Calibri" w:cs="Arial"/>
                <w:sz w:val="14"/>
                <w:szCs w:val="14"/>
                <w:lang w:eastAsia="en-US"/>
              </w:rPr>
              <w:lastRenderedPageBreak/>
              <w:t>Or, if deemed to have a Catastrophic Injury:</w:t>
            </w:r>
          </w:p>
          <w:p w14:paraId="192BD491" w14:textId="77777777" w:rsidR="00F839DB" w:rsidRPr="005F024E" w:rsidRDefault="00F839DB" w:rsidP="00F839DB">
            <w:pPr>
              <w:pStyle w:val="ListParagraph"/>
              <w:numPr>
                <w:ilvl w:val="0"/>
                <w:numId w:val="576"/>
              </w:numPr>
              <w:spacing w:after="60"/>
              <w:contextualSpacing/>
              <w:rPr>
                <w:rFonts w:eastAsia="Calibri" w:cs="Arial"/>
                <w:sz w:val="14"/>
                <w:szCs w:val="14"/>
                <w:lang w:eastAsia="en-US"/>
              </w:rPr>
            </w:pPr>
            <w:r>
              <w:rPr>
                <w:rFonts w:eastAsia="Calibri" w:cs="Arial"/>
                <w:sz w:val="14"/>
                <w:szCs w:val="14"/>
                <w:lang w:eastAsia="en-US"/>
              </w:rPr>
              <w:t>Under the DRCA or MRCA, allows</w:t>
            </w:r>
            <w:r w:rsidRPr="005F024E">
              <w:rPr>
                <w:rFonts w:eastAsia="Calibri" w:cs="Arial"/>
                <w:sz w:val="14"/>
                <w:szCs w:val="14"/>
                <w:lang w:eastAsia="en-US"/>
              </w:rPr>
              <w:t xml:space="preserve"> payments above the statutory rate for household and attendant care services for people with a “catastr</w:t>
            </w:r>
            <w:r>
              <w:rPr>
                <w:rFonts w:eastAsia="Calibri" w:cs="Arial"/>
                <w:sz w:val="14"/>
                <w:szCs w:val="14"/>
                <w:lang w:eastAsia="en-US"/>
              </w:rPr>
              <w:t xml:space="preserve">ophic injury” defined by </w:t>
            </w:r>
            <w:r w:rsidRPr="005F024E">
              <w:rPr>
                <w:rFonts w:eastAsia="Calibri" w:cs="Arial"/>
                <w:sz w:val="14"/>
                <w:szCs w:val="14"/>
                <w:lang w:eastAsia="en-US"/>
              </w:rPr>
              <w:t>legislative Instruments.</w:t>
            </w:r>
          </w:p>
          <w:p w14:paraId="4186882E" w14:textId="77777777" w:rsidR="00F839DB" w:rsidRPr="005F024E" w:rsidRDefault="00F839DB" w:rsidP="00F839DB">
            <w:pPr>
              <w:pStyle w:val="ListParagraph"/>
              <w:numPr>
                <w:ilvl w:val="0"/>
                <w:numId w:val="576"/>
              </w:numPr>
              <w:spacing w:after="60"/>
              <w:contextualSpacing/>
              <w:rPr>
                <w:rFonts w:eastAsia="Calibri" w:cs="Arial"/>
                <w:sz w:val="14"/>
                <w:szCs w:val="14"/>
                <w:lang w:eastAsia="en-US"/>
              </w:rPr>
            </w:pPr>
            <w:r w:rsidRPr="005F024E">
              <w:rPr>
                <w:rFonts w:eastAsia="Calibri" w:cs="Arial"/>
                <w:sz w:val="14"/>
                <w:szCs w:val="14"/>
                <w:lang w:eastAsia="en-US"/>
              </w:rPr>
              <w:t xml:space="preserve">The provisions allow the </w:t>
            </w:r>
            <w:r>
              <w:rPr>
                <w:rFonts w:eastAsia="Calibri" w:cs="Arial"/>
                <w:sz w:val="14"/>
                <w:szCs w:val="14"/>
                <w:lang w:eastAsia="en-US"/>
              </w:rPr>
              <w:t xml:space="preserve">Military Rehabilitation and Compensation </w:t>
            </w:r>
            <w:r w:rsidRPr="005F024E">
              <w:rPr>
                <w:rFonts w:eastAsia="Calibri" w:cs="Arial"/>
                <w:sz w:val="14"/>
                <w:szCs w:val="14"/>
                <w:lang w:eastAsia="en-US"/>
              </w:rPr>
              <w:t>Commission to approve weekly amounts of compensation for household services that it considers reasonable given the individual’s circumstances and needs.</w:t>
            </w:r>
          </w:p>
          <w:p w14:paraId="61232DD1" w14:textId="77777777" w:rsidR="00F839DB" w:rsidRPr="005F024E" w:rsidRDefault="00F839DB" w:rsidP="00F839DB">
            <w:pPr>
              <w:pStyle w:val="ListParagraph"/>
              <w:numPr>
                <w:ilvl w:val="0"/>
                <w:numId w:val="576"/>
              </w:numPr>
              <w:spacing w:after="60"/>
              <w:contextualSpacing/>
              <w:rPr>
                <w:rFonts w:eastAsia="Calibri" w:cs="Arial"/>
                <w:sz w:val="14"/>
                <w:szCs w:val="14"/>
                <w:lang w:eastAsia="en-US"/>
              </w:rPr>
            </w:pPr>
            <w:r w:rsidRPr="005F024E">
              <w:rPr>
                <w:rFonts w:eastAsia="Calibri" w:cs="Arial"/>
                <w:sz w:val="14"/>
                <w:szCs w:val="14"/>
                <w:lang w:eastAsia="en-US"/>
              </w:rPr>
              <w:t xml:space="preserve">Satisfying the definition of catastrophic injury does not guarantee that a person will receive higher levels of household services.  Such requirements will still be assessed on an individual needs basis.  </w:t>
            </w:r>
          </w:p>
          <w:p w14:paraId="1DA1945A" w14:textId="77777777" w:rsidR="00F839DB" w:rsidRPr="005F024E" w:rsidRDefault="00F839DB" w:rsidP="00F839DB">
            <w:pPr>
              <w:pStyle w:val="ListParagraph"/>
              <w:numPr>
                <w:ilvl w:val="0"/>
                <w:numId w:val="576"/>
              </w:numPr>
              <w:spacing w:after="60"/>
              <w:contextualSpacing/>
              <w:rPr>
                <w:rFonts w:eastAsia="Calibri" w:cs="Arial"/>
                <w:sz w:val="14"/>
                <w:szCs w:val="14"/>
                <w:lang w:eastAsia="en-US"/>
              </w:rPr>
            </w:pPr>
            <w:r w:rsidRPr="005F024E">
              <w:rPr>
                <w:rFonts w:eastAsia="Calibri" w:cs="Arial"/>
                <w:sz w:val="14"/>
                <w:szCs w:val="14"/>
                <w:lang w:eastAsia="en-US"/>
              </w:rPr>
              <w:t>Meeting the definition of catastrophic injury does not create a pathway to additional benefits under the MRCA or the DRCA.  Eligibility for other benefits under DVA legislation (such as incapacity and permanent impairment payments) remain subject to separate assessment criteria and processes.</w:t>
            </w:r>
          </w:p>
          <w:p w14:paraId="4B1B4B7C" w14:textId="2F1E7C04" w:rsidR="00F839DB" w:rsidRDefault="00F839DB" w:rsidP="007F0B00">
            <w:pPr>
              <w:spacing w:after="60"/>
              <w:rPr>
                <w:rFonts w:cs="Arial"/>
                <w:color w:val="000000"/>
                <w:sz w:val="14"/>
                <w:szCs w:val="16"/>
                <w:lang w:val="en-GB"/>
              </w:rPr>
            </w:pPr>
          </w:p>
          <w:p w14:paraId="3F886345" w14:textId="77777777" w:rsidR="00F839DB" w:rsidRDefault="00F839DB" w:rsidP="007F0B00">
            <w:pPr>
              <w:spacing w:after="60"/>
              <w:rPr>
                <w:rFonts w:cs="Arial"/>
                <w:color w:val="000000"/>
                <w:sz w:val="14"/>
                <w:szCs w:val="16"/>
                <w:lang w:val="en-GB"/>
              </w:rPr>
            </w:pPr>
          </w:p>
          <w:p w14:paraId="75AE88CE" w14:textId="29D77E76"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The following matters need to be considered (</w:t>
            </w:r>
            <w:hyperlink r:id="rId1196" w:history="1">
              <w:r w:rsidRPr="00265952">
                <w:rPr>
                  <w:rStyle w:val="Hyperlink"/>
                  <w:rFonts w:cs="Arial"/>
                  <w:sz w:val="14"/>
                  <w:szCs w:val="16"/>
                  <w:lang w:val="en-GB"/>
                </w:rPr>
                <w:t>s215</w:t>
              </w:r>
            </w:hyperlink>
            <w:r w:rsidRPr="00581785">
              <w:rPr>
                <w:rFonts w:cs="Arial"/>
                <w:color w:val="000000"/>
                <w:sz w:val="14"/>
                <w:szCs w:val="16"/>
                <w:lang w:val="en-GB"/>
              </w:rPr>
              <w:t xml:space="preserve">): </w:t>
            </w:r>
          </w:p>
          <w:p w14:paraId="43C34B76"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extent to which household services were provided by the person before the service injury or disease</w:t>
            </w:r>
          </w:p>
          <w:p w14:paraId="3632B4D3"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extent to which he or she is able to provide those services after the service injury or disease</w:t>
            </w:r>
          </w:p>
          <w:p w14:paraId="524FDD04"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number of other persons (household members) living with that person as members of his or her household</w:t>
            </w:r>
          </w:p>
          <w:p w14:paraId="5CDEBE8A"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age of the household members and their need for household services</w:t>
            </w:r>
          </w:p>
          <w:p w14:paraId="68409709"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 xml:space="preserve">the extent to which household services were provided by household members before the </w:t>
            </w:r>
            <w:r w:rsidRPr="00B72599">
              <w:rPr>
                <w:rFonts w:eastAsia="Calibri" w:cs="Arial"/>
                <w:sz w:val="14"/>
                <w:szCs w:val="14"/>
                <w:lang w:eastAsia="en-US"/>
              </w:rPr>
              <w:lastRenderedPageBreak/>
              <w:t>service injury or disease</w:t>
            </w:r>
          </w:p>
          <w:p w14:paraId="10EF2B7C"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extent to which household members, or any other relatives of the person, might reasonably be expected to provide household services for themselves and for the person after the service injury or disease</w:t>
            </w:r>
          </w:p>
          <w:p w14:paraId="4263E726"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need to avoid substantial disruption to the work or other activities of the household members, or</w:t>
            </w:r>
          </w:p>
          <w:p w14:paraId="7C3B6D5F" w14:textId="77777777" w:rsidR="00581785"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any other matter that the MRCC considers relevant.</w:t>
            </w:r>
          </w:p>
          <w:p w14:paraId="513AA852" w14:textId="77777777" w:rsidR="00D63EC1" w:rsidRDefault="00D63EC1" w:rsidP="00D63EC1">
            <w:pPr>
              <w:spacing w:after="60"/>
              <w:contextualSpacing/>
              <w:rPr>
                <w:rFonts w:eastAsia="Calibri" w:cs="Arial"/>
                <w:sz w:val="14"/>
                <w:szCs w:val="14"/>
                <w:lang w:eastAsia="en-US"/>
              </w:rPr>
            </w:pPr>
          </w:p>
          <w:p w14:paraId="19943F00" w14:textId="77777777" w:rsidR="00D63EC1" w:rsidRDefault="00D63EC1" w:rsidP="00D63EC1">
            <w:pPr>
              <w:spacing w:after="60"/>
              <w:contextualSpacing/>
              <w:rPr>
                <w:rFonts w:eastAsia="Calibri" w:cs="Arial"/>
                <w:sz w:val="14"/>
                <w:szCs w:val="14"/>
                <w:lang w:eastAsia="en-US"/>
              </w:rPr>
            </w:pPr>
          </w:p>
          <w:p w14:paraId="149C91F8" w14:textId="77777777" w:rsidR="00D63EC1" w:rsidRDefault="00D63EC1" w:rsidP="00D63EC1">
            <w:pPr>
              <w:spacing w:after="60"/>
              <w:contextualSpacing/>
              <w:rPr>
                <w:rFonts w:eastAsia="Calibri" w:cs="Arial"/>
                <w:sz w:val="14"/>
                <w:szCs w:val="14"/>
                <w:lang w:eastAsia="en-US"/>
              </w:rPr>
            </w:pPr>
            <w:r>
              <w:rPr>
                <w:rFonts w:eastAsia="Calibri" w:cs="Arial"/>
                <w:sz w:val="14"/>
                <w:szCs w:val="14"/>
                <w:lang w:eastAsia="en-US"/>
              </w:rPr>
              <w:t>Comcare</w:t>
            </w:r>
            <w:r w:rsidR="00915A7A">
              <w:rPr>
                <w:rFonts w:eastAsia="Calibri" w:cs="Arial"/>
                <w:sz w:val="14"/>
                <w:szCs w:val="14"/>
                <w:lang w:eastAsia="en-US"/>
              </w:rPr>
              <w:t xml:space="preserve"> is liable to pay not less than 50% of the amount paid or payable by the employee no more than $464.43 (statutory rate updated 1 July) or an amount per week paid or payable by the employee for those services.</w:t>
            </w:r>
          </w:p>
          <w:p w14:paraId="3913DBCD" w14:textId="4C04DBE9" w:rsidR="00915A7A" w:rsidRDefault="00915A7A" w:rsidP="00915A7A">
            <w:pPr>
              <w:pStyle w:val="Tabledotpointlist7pt"/>
              <w:rPr>
                <w:rFonts w:eastAsia="Calibri"/>
                <w:lang w:eastAsia="en-US"/>
              </w:rPr>
            </w:pPr>
            <w:r>
              <w:rPr>
                <w:rFonts w:eastAsia="Calibri"/>
                <w:lang w:eastAsia="en-US"/>
              </w:rPr>
              <w:t xml:space="preserve">Compensation is payable for household services reasonably required — </w:t>
            </w:r>
            <w:hyperlink r:id="rId1197" w:history="1">
              <w:r w:rsidRPr="00265952">
                <w:rPr>
                  <w:rStyle w:val="Hyperlink"/>
                  <w:rFonts w:eastAsia="Calibri"/>
                  <w:lang w:eastAsia="en-US"/>
                </w:rPr>
                <w:t>s29(1)</w:t>
              </w:r>
            </w:hyperlink>
            <w:r>
              <w:rPr>
                <w:rFonts w:eastAsia="Calibri"/>
                <w:lang w:eastAsia="en-US"/>
              </w:rPr>
              <w:t>. This is generally from 28 days after the date of injury</w:t>
            </w:r>
          </w:p>
          <w:p w14:paraId="1DC0492F" w14:textId="5C160FC2" w:rsidR="00915A7A" w:rsidRDefault="00A7538C" w:rsidP="00915A7A">
            <w:pPr>
              <w:pStyle w:val="Tabledotpointlist7pt"/>
              <w:rPr>
                <w:rFonts w:eastAsia="Calibri"/>
                <w:lang w:eastAsia="en-US"/>
              </w:rPr>
            </w:pPr>
            <w:hyperlink r:id="rId1198" w:history="1">
              <w:r w:rsidR="00915A7A" w:rsidRPr="00265952">
                <w:rPr>
                  <w:rStyle w:val="Hyperlink"/>
                  <w:rFonts w:eastAsia="Calibri"/>
                  <w:lang w:eastAsia="en-US"/>
                </w:rPr>
                <w:t>s29(2)</w:t>
              </w:r>
            </w:hyperlink>
            <w:r w:rsidR="00915A7A">
              <w:rPr>
                <w:rFonts w:eastAsia="Calibri"/>
                <w:lang w:eastAsia="en-US"/>
              </w:rPr>
              <w:t xml:space="preserve"> requires consideration of:</w:t>
            </w:r>
          </w:p>
          <w:p w14:paraId="02F5F45D" w14:textId="77777777" w:rsidR="00915A7A" w:rsidRDefault="00FB022C" w:rsidP="00F839DB">
            <w:pPr>
              <w:pStyle w:val="Tabledotpointlist7pt"/>
              <w:numPr>
                <w:ilvl w:val="0"/>
                <w:numId w:val="557"/>
              </w:numPr>
              <w:ind w:left="357" w:hanging="357"/>
              <w:rPr>
                <w:rFonts w:eastAsia="Calibri"/>
                <w:lang w:eastAsia="en-US"/>
              </w:rPr>
            </w:pPr>
            <w:r>
              <w:rPr>
                <w:rFonts w:eastAsia="Calibri"/>
                <w:lang w:eastAsia="en-US"/>
              </w:rPr>
              <w:t>extent to which household services were provided by the employee before the injury and extent to which employee us able to provide those services after that date</w:t>
            </w:r>
          </w:p>
          <w:p w14:paraId="72183ABF" w14:textId="77777777" w:rsidR="00FB022C" w:rsidRDefault="00FB022C" w:rsidP="00F839DB">
            <w:pPr>
              <w:pStyle w:val="Tabledotpointlist7pt"/>
              <w:numPr>
                <w:ilvl w:val="0"/>
                <w:numId w:val="557"/>
              </w:numPr>
              <w:ind w:left="357" w:hanging="357"/>
              <w:rPr>
                <w:rFonts w:eastAsia="Calibri"/>
                <w:lang w:eastAsia="en-US"/>
              </w:rPr>
            </w:pPr>
            <w:r>
              <w:rPr>
                <w:rFonts w:eastAsia="Calibri"/>
                <w:lang w:eastAsia="en-US"/>
              </w:rPr>
              <w:t xml:space="preserve">number </w:t>
            </w:r>
            <w:r w:rsidRPr="00FB022C">
              <w:rPr>
                <w:rFonts w:eastAsia="Calibri"/>
                <w:lang w:eastAsia="en-US"/>
              </w:rPr>
              <w:t>of persons living with the employee as members of household, their ages and their need for household services</w:t>
            </w:r>
          </w:p>
          <w:p w14:paraId="5C0A6479" w14:textId="77777777" w:rsidR="003F5CAC" w:rsidRDefault="003F5CAC" w:rsidP="00F839DB">
            <w:pPr>
              <w:pStyle w:val="Tabledotpointlist7pt"/>
              <w:numPr>
                <w:ilvl w:val="0"/>
                <w:numId w:val="557"/>
              </w:numPr>
              <w:ind w:left="357" w:hanging="357"/>
              <w:rPr>
                <w:rFonts w:eastAsia="Calibri"/>
                <w:lang w:eastAsia="en-US"/>
              </w:rPr>
            </w:pPr>
            <w:r>
              <w:rPr>
                <w:rFonts w:eastAsia="Calibri"/>
                <w:lang w:eastAsia="en-US"/>
              </w:rPr>
              <w:t>extent to which household services were provided by the persons referred to in paragraph (b) before the injury</w:t>
            </w:r>
          </w:p>
          <w:p w14:paraId="360DE213" w14:textId="77777777" w:rsidR="003F5CAC" w:rsidRDefault="003F5CAC" w:rsidP="00F839DB">
            <w:pPr>
              <w:pStyle w:val="Tabledotpointlist7pt"/>
              <w:numPr>
                <w:ilvl w:val="0"/>
                <w:numId w:val="557"/>
              </w:numPr>
              <w:ind w:left="357" w:hanging="357"/>
              <w:rPr>
                <w:rFonts w:eastAsia="Calibri"/>
                <w:lang w:eastAsia="en-US"/>
              </w:rPr>
            </w:pPr>
            <w:r>
              <w:rPr>
                <w:rFonts w:eastAsia="Calibri"/>
                <w:lang w:eastAsia="en-US"/>
              </w:rPr>
              <w:t>extent to which the persons referred to in paragraph (b), or any other members of employee’s family, might reasonably be expected to provide household services for themselves and for the employee after the injury, or</w:t>
            </w:r>
          </w:p>
          <w:p w14:paraId="0DA77200" w14:textId="0F99CE46" w:rsidR="003F5CAC" w:rsidRPr="00D63EC1" w:rsidRDefault="003F5CAC" w:rsidP="00F839DB">
            <w:pPr>
              <w:pStyle w:val="Tabledotpointlist7pt"/>
              <w:numPr>
                <w:ilvl w:val="0"/>
                <w:numId w:val="557"/>
              </w:numPr>
              <w:ind w:left="357" w:hanging="357"/>
              <w:rPr>
                <w:rFonts w:eastAsia="Calibri"/>
                <w:lang w:eastAsia="en-US"/>
              </w:rPr>
            </w:pPr>
            <w:r>
              <w:rPr>
                <w:rFonts w:eastAsia="Calibri"/>
                <w:lang w:eastAsia="en-US"/>
              </w:rPr>
              <w:t>the need to avoid substantial disruption to the employment or other activities of the persons referred to in paragraph (b).</w:t>
            </w:r>
          </w:p>
        </w:tc>
        <w:tc>
          <w:tcPr>
            <w:tcW w:w="2759" w:type="dxa"/>
            <w:shd w:val="clear" w:color="auto" w:fill="FFC9C9"/>
            <w:tcMar>
              <w:top w:w="80" w:type="dxa"/>
              <w:left w:w="80" w:type="dxa"/>
              <w:bottom w:w="80" w:type="dxa"/>
              <w:right w:w="80" w:type="dxa"/>
            </w:tcMar>
          </w:tcPr>
          <w:p w14:paraId="6BCD31A1" w14:textId="78BA73E4" w:rsidR="00581785" w:rsidRPr="00B34DB8" w:rsidRDefault="00581785" w:rsidP="00F839DB">
            <w:pPr>
              <w:pStyle w:val="Table1231"/>
              <w:numPr>
                <w:ilvl w:val="0"/>
                <w:numId w:val="145"/>
              </w:numPr>
              <w:spacing w:before="0" w:after="60"/>
              <w:ind w:left="357"/>
              <w:rPr>
                <w:rFonts w:eastAsia="Calibri"/>
                <w:lang w:eastAsia="en-US"/>
              </w:rPr>
            </w:pPr>
            <w:r w:rsidRPr="00B34DB8">
              <w:rPr>
                <w:rFonts w:eastAsia="Calibri"/>
                <w:lang w:eastAsia="en-US"/>
              </w:rPr>
              <w:lastRenderedPageBreak/>
              <w:t xml:space="preserve">a) Loss of, or damage to, medical aids — </w:t>
            </w:r>
            <w:hyperlink r:id="rId1199" w:history="1">
              <w:r w:rsidRPr="00265952">
                <w:rPr>
                  <w:rStyle w:val="Hyperlink"/>
                  <w:rFonts w:eastAsia="Calibri"/>
                  <w:lang w:eastAsia="en-US"/>
                </w:rPr>
                <w:t>s226</w:t>
              </w:r>
            </w:hyperlink>
            <w:r w:rsidRPr="00B34DB8">
              <w:rPr>
                <w:rFonts w:eastAsia="Calibri"/>
                <w:lang w:eastAsia="en-US"/>
              </w:rPr>
              <w:t xml:space="preserve"> </w:t>
            </w:r>
          </w:p>
          <w:p w14:paraId="39F5E034" w14:textId="009E5BE1" w:rsidR="00581785" w:rsidRPr="00581785" w:rsidRDefault="00581785" w:rsidP="007F0B00">
            <w:pPr>
              <w:spacing w:after="60"/>
              <w:ind w:left="357"/>
              <w:rPr>
                <w:rFonts w:eastAsia="Calibri" w:cs="Arial"/>
                <w:sz w:val="14"/>
                <w:szCs w:val="14"/>
                <w:lang w:eastAsia="en-US"/>
              </w:rPr>
            </w:pPr>
            <w:r w:rsidRPr="00581785">
              <w:rPr>
                <w:rFonts w:eastAsia="Calibri" w:cs="Arial"/>
                <w:sz w:val="14"/>
                <w:szCs w:val="14"/>
                <w:lang w:eastAsia="en-US"/>
              </w:rPr>
              <w:t xml:space="preserve">b) alterations to a person’s place of residence, education, work or service — </w:t>
            </w:r>
            <w:hyperlink r:id="rId1200" w:history="1">
              <w:r w:rsidRPr="00265952">
                <w:rPr>
                  <w:rStyle w:val="Hyperlink"/>
                  <w:rFonts w:eastAsia="Calibri" w:cs="Arial"/>
                  <w:sz w:val="14"/>
                  <w:szCs w:val="14"/>
                  <w:lang w:eastAsia="en-US"/>
                </w:rPr>
                <w:t>s56</w:t>
              </w:r>
            </w:hyperlink>
            <w:r w:rsidRPr="00581785">
              <w:rPr>
                <w:rFonts w:eastAsia="Calibri" w:cs="Arial"/>
                <w:sz w:val="14"/>
                <w:szCs w:val="14"/>
                <w:lang w:eastAsia="en-US"/>
              </w:rPr>
              <w:t>.</w:t>
            </w:r>
          </w:p>
          <w:p w14:paraId="28A70854" w14:textId="77777777" w:rsidR="00581785" w:rsidRPr="00B34DB8" w:rsidRDefault="00581785" w:rsidP="00F839DB">
            <w:pPr>
              <w:pStyle w:val="ListParagraph"/>
              <w:numPr>
                <w:ilvl w:val="0"/>
                <w:numId w:val="146"/>
              </w:numPr>
              <w:spacing w:after="60"/>
              <w:rPr>
                <w:rFonts w:eastAsia="Calibri" w:cs="Arial"/>
                <w:sz w:val="14"/>
                <w:szCs w:val="14"/>
                <w:lang w:eastAsia="en-US"/>
              </w:rPr>
            </w:pPr>
            <w:r w:rsidRPr="00B34DB8">
              <w:rPr>
                <w:rFonts w:eastAsia="Calibri" w:cs="Arial"/>
                <w:sz w:val="14"/>
                <w:szCs w:val="14"/>
                <w:lang w:eastAsia="en-US"/>
              </w:rPr>
              <w:t>reimbursement of amounts reasonably incurred in replacement or repair.</w:t>
            </w:r>
          </w:p>
          <w:p w14:paraId="2AF74566" w14:textId="6B1355EE" w:rsidR="00581785" w:rsidRPr="00B34DB8" w:rsidRDefault="00581785" w:rsidP="00F839DB">
            <w:pPr>
              <w:pStyle w:val="ListParagraph"/>
              <w:numPr>
                <w:ilvl w:val="0"/>
                <w:numId w:val="145"/>
              </w:numPr>
              <w:spacing w:after="60"/>
              <w:ind w:left="357" w:hanging="357"/>
              <w:rPr>
                <w:rFonts w:eastAsia="Calibri" w:cs="Arial"/>
                <w:sz w:val="14"/>
                <w:szCs w:val="14"/>
                <w:lang w:eastAsia="en-US"/>
              </w:rPr>
            </w:pPr>
            <w:r w:rsidRPr="00B34DB8">
              <w:rPr>
                <w:rFonts w:eastAsia="Calibri" w:cs="Arial"/>
                <w:sz w:val="14"/>
                <w:szCs w:val="14"/>
                <w:lang w:eastAsia="en-US"/>
              </w:rPr>
              <w:t xml:space="preserve">Motor Vehicle Compensation </w:t>
            </w:r>
            <w:r w:rsidRPr="00B34DB8">
              <w:rPr>
                <w:rFonts w:eastAsia="Calibri" w:cs="Arial"/>
                <w:sz w:val="14"/>
                <w:szCs w:val="14"/>
                <w:lang w:eastAsia="en-US"/>
              </w:rPr>
              <w:lastRenderedPageBreak/>
              <w:t xml:space="preserve">Scheme — </w:t>
            </w:r>
            <w:hyperlink r:id="rId1201" w:history="1">
              <w:r w:rsidRPr="00265952">
                <w:rPr>
                  <w:rStyle w:val="Hyperlink"/>
                  <w:rFonts w:eastAsia="Calibri" w:cs="Arial"/>
                  <w:sz w:val="14"/>
                  <w:szCs w:val="14"/>
                  <w:lang w:eastAsia="en-US"/>
                </w:rPr>
                <w:t>s212</w:t>
              </w:r>
            </w:hyperlink>
          </w:p>
          <w:p w14:paraId="6B2E2D73" w14:textId="77777777" w:rsidR="00581785" w:rsidRPr="00B34DB8" w:rsidRDefault="00581785" w:rsidP="00F839DB">
            <w:pPr>
              <w:pStyle w:val="ListParagraph"/>
              <w:numPr>
                <w:ilvl w:val="0"/>
                <w:numId w:val="146"/>
              </w:numPr>
              <w:spacing w:after="60"/>
              <w:contextualSpacing/>
              <w:rPr>
                <w:rFonts w:eastAsia="Calibri" w:cs="Arial"/>
                <w:sz w:val="14"/>
                <w:szCs w:val="14"/>
                <w:lang w:eastAsia="en-US"/>
              </w:rPr>
            </w:pPr>
            <w:r w:rsidRPr="00B34DB8">
              <w:rPr>
                <w:rFonts w:eastAsia="Calibri" w:cs="Arial"/>
                <w:sz w:val="14"/>
                <w:szCs w:val="14"/>
                <w:lang w:eastAsia="en-US"/>
              </w:rPr>
              <w:t>To provide for the reasonable costs of a vehicle’s modification (and vehicle purchase in some circumstances).</w:t>
            </w:r>
          </w:p>
          <w:p w14:paraId="1A8B0183" w14:textId="77777777" w:rsidR="00581785" w:rsidRDefault="00581785" w:rsidP="00F839DB">
            <w:pPr>
              <w:pStyle w:val="ListParagraph"/>
              <w:numPr>
                <w:ilvl w:val="0"/>
                <w:numId w:val="146"/>
              </w:numPr>
              <w:spacing w:after="60"/>
              <w:contextualSpacing/>
              <w:rPr>
                <w:rFonts w:eastAsia="Calibri" w:cs="Arial"/>
                <w:sz w:val="14"/>
                <w:szCs w:val="14"/>
                <w:lang w:eastAsia="en-US"/>
              </w:rPr>
            </w:pPr>
            <w:r w:rsidRPr="00B34DB8">
              <w:rPr>
                <w:rFonts w:eastAsia="Calibri" w:cs="Arial"/>
                <w:sz w:val="14"/>
                <w:szCs w:val="14"/>
                <w:lang w:eastAsia="en-US"/>
              </w:rPr>
              <w:t>the amount is what the MRCC considers reasonable.</w:t>
            </w:r>
          </w:p>
          <w:p w14:paraId="12D02983" w14:textId="77777777" w:rsidR="009500F6" w:rsidRDefault="009500F6" w:rsidP="009500F6">
            <w:pPr>
              <w:spacing w:after="4200"/>
              <w:rPr>
                <w:rFonts w:eastAsia="Calibri" w:cs="Arial"/>
                <w:sz w:val="14"/>
                <w:szCs w:val="14"/>
                <w:lang w:eastAsia="en-US"/>
              </w:rPr>
            </w:pPr>
          </w:p>
          <w:p w14:paraId="5ADF35B9" w14:textId="2D182856" w:rsidR="003F5CAC" w:rsidRDefault="003F5CAC" w:rsidP="003F5CAC">
            <w:pPr>
              <w:spacing w:after="60"/>
              <w:contextualSpacing/>
              <w:rPr>
                <w:rFonts w:eastAsia="Calibri" w:cs="Arial"/>
                <w:sz w:val="14"/>
                <w:szCs w:val="14"/>
                <w:lang w:eastAsia="en-US"/>
              </w:rPr>
            </w:pPr>
            <w:r w:rsidRPr="00595227">
              <w:rPr>
                <w:rFonts w:eastAsia="Calibri" w:cs="Arial"/>
                <w:sz w:val="14"/>
                <w:szCs w:val="14"/>
                <w:lang w:eastAsia="en-US"/>
              </w:rPr>
              <w:t xml:space="preserve">Comcare is liable to pay compensation of such amount as is reasonable in respect of costs payable by the employee due to any alteration of the employee’s place of residence or work, any modifications of a vehicle or article used or any </w:t>
            </w:r>
            <w:r>
              <w:rPr>
                <w:rFonts w:eastAsia="Calibri" w:cs="Arial"/>
                <w:sz w:val="14"/>
                <w:szCs w:val="14"/>
                <w:lang w:eastAsia="en-US"/>
              </w:rPr>
              <w:t>a</w:t>
            </w:r>
            <w:r w:rsidRPr="00595227">
              <w:rPr>
                <w:rFonts w:eastAsia="Calibri" w:cs="Arial"/>
                <w:sz w:val="14"/>
                <w:szCs w:val="14"/>
                <w:lang w:eastAsia="en-US"/>
              </w:rPr>
              <w:t xml:space="preserve">ids/appliances for the use of the employee, or the repair or replacement of same — </w:t>
            </w:r>
            <w:hyperlink r:id="rId1202" w:history="1">
              <w:r w:rsidRPr="00265952">
                <w:rPr>
                  <w:rStyle w:val="Hyperlink"/>
                  <w:rFonts w:eastAsia="Calibri" w:cs="Arial"/>
                  <w:sz w:val="14"/>
                  <w:szCs w:val="14"/>
                  <w:lang w:eastAsia="en-US"/>
                </w:rPr>
                <w:t>s39</w:t>
              </w:r>
            </w:hyperlink>
            <w:r w:rsidRPr="00595227">
              <w:rPr>
                <w:rFonts w:eastAsia="Calibri" w:cs="Arial"/>
                <w:sz w:val="14"/>
                <w:szCs w:val="14"/>
                <w:lang w:eastAsia="en-US"/>
              </w:rPr>
              <w:t>.</w:t>
            </w:r>
          </w:p>
          <w:p w14:paraId="659274FC" w14:textId="77777777" w:rsidR="003F5CAC" w:rsidRPr="003F5CAC" w:rsidRDefault="003F5CAC" w:rsidP="003F5CAC">
            <w:pPr>
              <w:spacing w:after="60"/>
              <w:contextualSpacing/>
              <w:rPr>
                <w:rFonts w:eastAsia="Calibri" w:cs="Arial"/>
                <w:sz w:val="14"/>
                <w:szCs w:val="14"/>
                <w:lang w:eastAsia="en-US"/>
              </w:rPr>
            </w:pPr>
          </w:p>
        </w:tc>
        <w:tc>
          <w:tcPr>
            <w:tcW w:w="2759" w:type="dxa"/>
            <w:shd w:val="clear" w:color="auto" w:fill="FFC9C9"/>
            <w:tcMar>
              <w:top w:w="80" w:type="dxa"/>
              <w:left w:w="80" w:type="dxa"/>
              <w:bottom w:w="80" w:type="dxa"/>
              <w:right w:w="80" w:type="dxa"/>
            </w:tcMar>
          </w:tcPr>
          <w:p w14:paraId="3E9ECA14" w14:textId="54E663BD" w:rsidR="00581785" w:rsidRPr="00B34DB8" w:rsidRDefault="00581785" w:rsidP="00F839DB">
            <w:pPr>
              <w:pStyle w:val="ListParagraph"/>
              <w:numPr>
                <w:ilvl w:val="0"/>
                <w:numId w:val="146"/>
              </w:numPr>
              <w:spacing w:after="60"/>
              <w:contextualSpacing/>
              <w:rPr>
                <w:rFonts w:eastAsia="Calibri" w:cs="Arial"/>
                <w:sz w:val="14"/>
                <w:szCs w:val="14"/>
                <w:lang w:eastAsia="en-US"/>
              </w:rPr>
            </w:pPr>
            <w:r w:rsidRPr="00B34DB8">
              <w:rPr>
                <w:rFonts w:eastAsia="Calibri" w:cs="Arial"/>
                <w:sz w:val="14"/>
                <w:szCs w:val="14"/>
                <w:lang w:eastAsia="en-US"/>
              </w:rPr>
              <w:lastRenderedPageBreak/>
              <w:t>Attendant care — $</w:t>
            </w:r>
            <w:r w:rsidR="00D63EC1">
              <w:rPr>
                <w:rFonts w:eastAsia="Calibri" w:cs="Arial"/>
                <w:sz w:val="14"/>
                <w:szCs w:val="14"/>
                <w:lang w:eastAsia="en-US"/>
              </w:rPr>
              <w:t>482.50</w:t>
            </w:r>
            <w:r w:rsidRPr="00B34DB8">
              <w:rPr>
                <w:rFonts w:eastAsia="Calibri" w:cs="Arial"/>
                <w:sz w:val="14"/>
                <w:szCs w:val="14"/>
                <w:lang w:eastAsia="en-US"/>
              </w:rPr>
              <w:t xml:space="preserve"> per week.</w:t>
            </w:r>
          </w:p>
          <w:p w14:paraId="73883424" w14:textId="1FA1EE83" w:rsidR="00581785" w:rsidRDefault="00581785" w:rsidP="00F839DB">
            <w:pPr>
              <w:pStyle w:val="ListParagraph"/>
              <w:numPr>
                <w:ilvl w:val="0"/>
                <w:numId w:val="146"/>
              </w:numPr>
              <w:spacing w:after="60"/>
              <w:contextualSpacing/>
              <w:rPr>
                <w:rFonts w:eastAsia="Calibri" w:cs="Arial"/>
                <w:sz w:val="14"/>
                <w:szCs w:val="14"/>
                <w:lang w:eastAsia="en-US"/>
              </w:rPr>
            </w:pPr>
            <w:r w:rsidRPr="00B34DB8">
              <w:rPr>
                <w:rFonts w:eastAsia="Calibri" w:cs="Arial"/>
                <w:sz w:val="14"/>
                <w:szCs w:val="14"/>
                <w:lang w:eastAsia="en-US"/>
              </w:rPr>
              <w:t>Household services — $</w:t>
            </w:r>
            <w:r w:rsidR="00D63EC1">
              <w:rPr>
                <w:rFonts w:eastAsia="Calibri" w:cs="Arial"/>
                <w:sz w:val="14"/>
                <w:szCs w:val="14"/>
                <w:lang w:eastAsia="en-US"/>
              </w:rPr>
              <w:t>482.50</w:t>
            </w:r>
            <w:r w:rsidRPr="00B34DB8">
              <w:rPr>
                <w:rFonts w:eastAsia="Calibri" w:cs="Arial"/>
                <w:sz w:val="14"/>
                <w:szCs w:val="14"/>
                <w:lang w:eastAsia="en-US"/>
              </w:rPr>
              <w:t xml:space="preserve"> per week.</w:t>
            </w:r>
          </w:p>
          <w:p w14:paraId="2247D1D0" w14:textId="77777777" w:rsidR="009500F6" w:rsidRPr="009500F6" w:rsidRDefault="009500F6" w:rsidP="009500F6">
            <w:pPr>
              <w:spacing w:after="5400"/>
              <w:rPr>
                <w:rFonts w:eastAsia="Calibri" w:cs="Arial"/>
                <w:sz w:val="14"/>
                <w:szCs w:val="14"/>
                <w:lang w:eastAsia="en-US"/>
              </w:rPr>
            </w:pPr>
          </w:p>
          <w:p w14:paraId="6C67B603" w14:textId="4C52A326" w:rsidR="003F5CAC" w:rsidRDefault="003F5CAC" w:rsidP="003F5CAC">
            <w:pPr>
              <w:pStyle w:val="Tabledotpointlist7pt"/>
              <w:rPr>
                <w:rFonts w:eastAsia="Calibri"/>
                <w:lang w:eastAsia="en-US"/>
              </w:rPr>
            </w:pPr>
            <w:r>
              <w:rPr>
                <w:rFonts w:eastAsia="Calibri"/>
                <w:lang w:eastAsia="en-US"/>
              </w:rPr>
              <w:t xml:space="preserve">No limits on medical and hospital costs, all appropriate costs payable — </w:t>
            </w:r>
            <w:hyperlink r:id="rId1203" w:history="1">
              <w:r w:rsidRPr="00265952">
                <w:rPr>
                  <w:rStyle w:val="Hyperlink"/>
                  <w:rFonts w:eastAsia="Calibri"/>
                  <w:lang w:eastAsia="en-US"/>
                </w:rPr>
                <w:t>s16</w:t>
              </w:r>
            </w:hyperlink>
            <w:r>
              <w:rPr>
                <w:rFonts w:eastAsia="Calibri"/>
                <w:lang w:eastAsia="en-US"/>
              </w:rPr>
              <w:t>.</w:t>
            </w:r>
          </w:p>
          <w:p w14:paraId="68BBABC1" w14:textId="77777777" w:rsidR="003F5CAC" w:rsidRDefault="003F5CAC" w:rsidP="003F5CAC">
            <w:pPr>
              <w:pStyle w:val="Tabledotpointlist7pt"/>
              <w:rPr>
                <w:rFonts w:eastAsia="Calibri"/>
                <w:lang w:eastAsia="en-US"/>
              </w:rPr>
            </w:pPr>
            <w:r>
              <w:rPr>
                <w:rFonts w:eastAsia="Calibri"/>
                <w:lang w:eastAsia="en-US"/>
              </w:rPr>
              <w:t>Attendant care — $464.43 per week.</w:t>
            </w:r>
          </w:p>
          <w:p w14:paraId="6CBB35A2" w14:textId="17E676FD" w:rsidR="003F5CAC" w:rsidRPr="003F5CAC" w:rsidRDefault="003F5CAC" w:rsidP="003F5CAC">
            <w:pPr>
              <w:pStyle w:val="Tabledotpointlist7pt"/>
              <w:rPr>
                <w:rFonts w:eastAsia="Calibri"/>
                <w:lang w:eastAsia="en-US"/>
              </w:rPr>
            </w:pPr>
            <w:r>
              <w:rPr>
                <w:rFonts w:eastAsia="Calibri"/>
                <w:lang w:eastAsia="en-US"/>
              </w:rPr>
              <w:t>Household services — $464.43 per week.</w:t>
            </w:r>
          </w:p>
        </w:tc>
      </w:tr>
      <w:tr w:rsidR="00581785" w:rsidRPr="00581785" w14:paraId="3B5FAA67" w14:textId="77777777" w:rsidTr="00B2173F">
        <w:tc>
          <w:tcPr>
            <w:tcW w:w="1626" w:type="dxa"/>
            <w:tcMar>
              <w:top w:w="80" w:type="dxa"/>
              <w:left w:w="80" w:type="dxa"/>
              <w:bottom w:w="80" w:type="dxa"/>
              <w:right w:w="80" w:type="dxa"/>
            </w:tcMar>
          </w:tcPr>
          <w:p w14:paraId="1D89B222" w14:textId="02B8F764"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lastRenderedPageBreak/>
              <w:t>New Zealand</w:t>
            </w:r>
          </w:p>
        </w:tc>
        <w:tc>
          <w:tcPr>
            <w:tcW w:w="2759" w:type="dxa"/>
            <w:tcMar>
              <w:top w:w="80" w:type="dxa"/>
              <w:left w:w="80" w:type="dxa"/>
              <w:bottom w:w="80" w:type="dxa"/>
              <w:right w:w="80" w:type="dxa"/>
            </w:tcMar>
          </w:tcPr>
          <w:p w14:paraId="3D406CB2" w14:textId="44EA6961" w:rsidR="00581785" w:rsidRPr="002062CE" w:rsidRDefault="00581785" w:rsidP="007F0B00">
            <w:pPr>
              <w:spacing w:after="60"/>
              <w:rPr>
                <w:rFonts w:cs="Arial"/>
                <w:i/>
                <w:color w:val="000000"/>
                <w:sz w:val="14"/>
                <w:szCs w:val="16"/>
                <w:lang w:val="en-GB"/>
              </w:rPr>
            </w:pPr>
            <w:r w:rsidRPr="00581785">
              <w:rPr>
                <w:rFonts w:cs="Arial"/>
                <w:color w:val="000000"/>
                <w:sz w:val="14"/>
                <w:szCs w:val="16"/>
                <w:lang w:val="en-GB"/>
              </w:rPr>
              <w:t xml:space="preserve">Regulated or contract rates for treatment </w:t>
            </w:r>
            <w:r w:rsidRPr="00581785">
              <w:rPr>
                <w:rFonts w:cs="Arial"/>
                <w:color w:val="000000"/>
                <w:sz w:val="14"/>
                <w:szCs w:val="16"/>
                <w:lang w:val="en-GB"/>
              </w:rPr>
              <w:lastRenderedPageBreak/>
              <w:t>and reasonable costs associated with social and vocational rehabilitation. Prior approval is required and all costs approved by contract or regula</w:t>
            </w:r>
            <w:r w:rsidR="00854AFF">
              <w:rPr>
                <w:rFonts w:cs="Arial"/>
                <w:color w:val="000000"/>
                <w:sz w:val="14"/>
                <w:szCs w:val="16"/>
                <w:lang w:val="en-GB"/>
              </w:rPr>
              <w:t xml:space="preserve">tions: — Schedule 1, Part 1, </w:t>
            </w:r>
            <w:hyperlink r:id="rId1204" w:history="1">
              <w:r w:rsidR="00854AFF" w:rsidRPr="00B77777">
                <w:rPr>
                  <w:rStyle w:val="Hyperlink"/>
                  <w:rFonts w:cs="Arial"/>
                  <w:sz w:val="14"/>
                  <w:szCs w:val="16"/>
                  <w:lang w:val="en-GB"/>
                </w:rPr>
                <w:t>s1</w:t>
              </w:r>
            </w:hyperlink>
            <w:r w:rsidR="002062CE">
              <w:rPr>
                <w:rFonts w:cs="Arial"/>
                <w:color w:val="000000"/>
                <w:sz w:val="14"/>
                <w:szCs w:val="16"/>
                <w:lang w:val="en-GB"/>
              </w:rPr>
              <w:t xml:space="preserve">, </w:t>
            </w:r>
            <w:r w:rsidR="002062CE">
              <w:rPr>
                <w:rFonts w:cs="Arial"/>
                <w:i/>
                <w:color w:val="000000"/>
                <w:sz w:val="14"/>
                <w:szCs w:val="16"/>
                <w:lang w:val="en-GB"/>
              </w:rPr>
              <w:t>Accident Compensation Act 2001.</w:t>
            </w:r>
          </w:p>
        </w:tc>
        <w:tc>
          <w:tcPr>
            <w:tcW w:w="2759" w:type="dxa"/>
            <w:tcMar>
              <w:top w:w="80" w:type="dxa"/>
              <w:left w:w="80" w:type="dxa"/>
              <w:bottom w:w="80" w:type="dxa"/>
              <w:right w:w="80" w:type="dxa"/>
            </w:tcMar>
          </w:tcPr>
          <w:p w14:paraId="6B96BD08"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In deciding whether to provide or </w:t>
            </w:r>
            <w:r w:rsidRPr="00581785">
              <w:rPr>
                <w:rFonts w:cs="Arial"/>
                <w:color w:val="000000"/>
                <w:sz w:val="14"/>
                <w:szCs w:val="16"/>
                <w:lang w:val="en-GB"/>
              </w:rPr>
              <w:lastRenderedPageBreak/>
              <w:t>contribute to the cost of attendant care, the Corporation must have regard to:</w:t>
            </w:r>
          </w:p>
          <w:p w14:paraId="10DEC9FB" w14:textId="77777777" w:rsidR="00581785" w:rsidRPr="00B34DB8"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any rehabilitation outcome that would be achieved by providing it</w:t>
            </w:r>
          </w:p>
          <w:p w14:paraId="4DF74F37" w14:textId="77777777" w:rsidR="00581785" w:rsidRPr="00B34DB8"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nature and extent of the claimant’s personal injury and the degree to which that injury impairs his or her ability to provide for his or her personal care</w:t>
            </w:r>
          </w:p>
          <w:p w14:paraId="23A6D131" w14:textId="77777777" w:rsidR="00581785" w:rsidRPr="00B34DB8"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extent to which attendant care is necessary to enable the claimant to undertake or continue employment (including agreed vocational training) or to attend a place of education, having regard to any entitlement the claimant has to education support</w:t>
            </w:r>
          </w:p>
          <w:p w14:paraId="51B400F8" w14:textId="77777777" w:rsidR="00581785" w:rsidRPr="00B34DB8"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extent to which household family members or other family members might reasonably be expected to provide attendant care for the claimant after the claimant’s personal injury</w:t>
            </w:r>
          </w:p>
          <w:p w14:paraId="0195FE78" w14:textId="77777777" w:rsidR="00581785" w:rsidRPr="00B34DB8"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extent to which attendant care is required to give household family members a break, from time to time, from providing attendant care for the claimant, and</w:t>
            </w:r>
          </w:p>
          <w:p w14:paraId="7DC1E481" w14:textId="2226A8B3" w:rsidR="00581785" w:rsidRPr="00E13D9F"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need to avoid substantial disruption to the employment or other activities of household fami</w:t>
            </w:r>
            <w:r w:rsidR="00B77777">
              <w:rPr>
                <w:rFonts w:eastAsia="Calibri" w:cs="Arial"/>
                <w:sz w:val="14"/>
                <w:szCs w:val="14"/>
                <w:lang w:eastAsia="en-US"/>
              </w:rPr>
              <w:t xml:space="preserve">ly members — Schedule 1, </w:t>
            </w:r>
            <w:hyperlink r:id="rId1205" w:history="1">
              <w:r w:rsidR="00B77777" w:rsidRPr="00B77777">
                <w:rPr>
                  <w:rStyle w:val="Hyperlink"/>
                  <w:rFonts w:eastAsia="Calibri" w:cs="Arial"/>
                  <w:sz w:val="14"/>
                  <w:szCs w:val="14"/>
                  <w:lang w:eastAsia="en-US"/>
                </w:rPr>
                <w:t>cl(1</w:t>
              </w:r>
              <w:r w:rsidR="00873882" w:rsidRPr="00B77777">
                <w:rPr>
                  <w:rStyle w:val="Hyperlink"/>
                  <w:rFonts w:eastAsia="Calibri" w:cs="Arial"/>
                  <w:sz w:val="14"/>
                  <w:szCs w:val="14"/>
                  <w:lang w:eastAsia="en-US"/>
                </w:rPr>
                <w:t>4)</w:t>
              </w:r>
            </w:hyperlink>
            <w:r w:rsidRPr="00B34DB8">
              <w:rPr>
                <w:rFonts w:eastAsia="Calibri" w:cs="Arial"/>
                <w:sz w:val="14"/>
                <w:szCs w:val="14"/>
                <w:lang w:eastAsia="en-US"/>
              </w:rPr>
              <w:t>.</w:t>
            </w:r>
          </w:p>
        </w:tc>
        <w:tc>
          <w:tcPr>
            <w:tcW w:w="2759" w:type="dxa"/>
            <w:tcMar>
              <w:top w:w="80" w:type="dxa"/>
              <w:left w:w="80" w:type="dxa"/>
              <w:bottom w:w="80" w:type="dxa"/>
              <w:right w:w="80" w:type="dxa"/>
            </w:tcMar>
          </w:tcPr>
          <w:p w14:paraId="12683402" w14:textId="2F13099F"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Reimbursement’:</w:t>
            </w:r>
            <w:r w:rsidRPr="00581785">
              <w:rPr>
                <w:rFonts w:cs="Arial"/>
                <w:color w:val="000000"/>
                <w:sz w:val="14"/>
                <w:szCs w:val="16"/>
                <w:lang w:val="en-GB"/>
              </w:rPr>
              <w:br/>
            </w:r>
            <w:r w:rsidRPr="00581785">
              <w:rPr>
                <w:rFonts w:cs="Arial"/>
                <w:color w:val="000000"/>
                <w:sz w:val="14"/>
                <w:szCs w:val="16"/>
                <w:lang w:val="en-GB"/>
              </w:rPr>
              <w:lastRenderedPageBreak/>
              <w:t>Schedule 1, Part 1</w:t>
            </w:r>
            <w:r w:rsidR="00B77777">
              <w:rPr>
                <w:rFonts w:cs="Arial"/>
                <w:color w:val="000000"/>
                <w:sz w:val="14"/>
                <w:szCs w:val="16"/>
                <w:lang w:val="en-GB"/>
              </w:rPr>
              <w:t>,</w:t>
            </w:r>
            <w:r w:rsidRPr="00581785">
              <w:rPr>
                <w:rFonts w:cs="Arial"/>
                <w:color w:val="000000"/>
                <w:sz w:val="14"/>
                <w:szCs w:val="16"/>
                <w:lang w:val="en-GB"/>
              </w:rPr>
              <w:t xml:space="preserve"> </w:t>
            </w:r>
            <w:hyperlink r:id="rId1206" w:history="1">
              <w:r w:rsidRPr="00B77777">
                <w:rPr>
                  <w:rStyle w:val="Hyperlink"/>
                  <w:rFonts w:cs="Arial"/>
                  <w:sz w:val="14"/>
                  <w:szCs w:val="16"/>
                  <w:lang w:val="en-GB"/>
                </w:rPr>
                <w:t>17 Home help</w:t>
              </w:r>
            </w:hyperlink>
            <w:r w:rsidRPr="00581785">
              <w:rPr>
                <w:rFonts w:cs="Arial"/>
                <w:color w:val="000000"/>
                <w:sz w:val="14"/>
                <w:szCs w:val="16"/>
                <w:lang w:val="en-GB"/>
              </w:rPr>
              <w:t xml:space="preserve"> </w:t>
            </w:r>
            <w:r w:rsidRPr="00581785">
              <w:rPr>
                <w:rFonts w:cs="Arial"/>
                <w:color w:val="000000"/>
                <w:sz w:val="14"/>
                <w:szCs w:val="16"/>
                <w:lang w:val="en-GB"/>
              </w:rPr>
              <w:br/>
              <w:t>(1) In deciding whether to provide or contribute to the cost of home help, the Corporation must have regard to:</w:t>
            </w:r>
          </w:p>
          <w:p w14:paraId="429FF00B"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any rehabilitation outcome that would be achieved by providing it, and</w:t>
            </w:r>
          </w:p>
          <w:p w14:paraId="0CC89C22"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 xml:space="preserve">the extent to which a claimant undertook domestic activities before the claimant’s personal injury and the extent to which he or she is able to undertake domestic activities after his or her injury, and </w:t>
            </w:r>
          </w:p>
          <w:p w14:paraId="071A786E"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the number of household family members and their need for home help, and</w:t>
            </w:r>
          </w:p>
          <w:p w14:paraId="1D8AD0A8"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the extent to which domestic activities were done by other household family members before the claimant’s personal injury, and</w:t>
            </w:r>
          </w:p>
          <w:p w14:paraId="71737573"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 xml:space="preserve">the extent to which other household family members or other family members might reasonably be expected to do domestic activities for themselves and for the claimant after the claimant’s personal injury, and </w:t>
            </w:r>
          </w:p>
          <w:p w14:paraId="756DB45C"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the need to avoid substantial disruption to the employment or other activities of the household family members, and</w:t>
            </w:r>
          </w:p>
          <w:p w14:paraId="0CAD29BB" w14:textId="77777777" w:rsidR="00581785" w:rsidRPr="00B34DB8" w:rsidRDefault="00581785" w:rsidP="00F839DB">
            <w:pPr>
              <w:pStyle w:val="ListParagraph"/>
              <w:numPr>
                <w:ilvl w:val="0"/>
                <w:numId w:val="147"/>
              </w:numPr>
              <w:spacing w:after="60"/>
              <w:ind w:left="357" w:hanging="357"/>
              <w:rPr>
                <w:rFonts w:eastAsia="Calibri" w:cs="Arial"/>
                <w:sz w:val="14"/>
                <w:szCs w:val="14"/>
                <w:lang w:eastAsia="en-US"/>
              </w:rPr>
            </w:pPr>
            <w:r w:rsidRPr="00B34DB8">
              <w:rPr>
                <w:rFonts w:eastAsia="Calibri" w:cs="Arial"/>
                <w:sz w:val="14"/>
                <w:szCs w:val="14"/>
                <w:lang w:eastAsia="en-US"/>
              </w:rPr>
              <w:t xml:space="preserve">the impact of the claimant’s personal injury on the contribution of other family members to domestic activities. </w:t>
            </w:r>
          </w:p>
          <w:p w14:paraId="6A26AB98" w14:textId="77777777" w:rsidR="00581785" w:rsidRPr="00590D27" w:rsidRDefault="00581785" w:rsidP="00F839DB">
            <w:pPr>
              <w:pStyle w:val="ListParagraph"/>
              <w:numPr>
                <w:ilvl w:val="0"/>
                <w:numId w:val="413"/>
              </w:numPr>
              <w:spacing w:after="60"/>
              <w:contextualSpacing/>
              <w:rPr>
                <w:rFonts w:eastAsia="Calibri" w:cs="Arial"/>
                <w:sz w:val="14"/>
                <w:szCs w:val="14"/>
                <w:lang w:eastAsia="en-US"/>
              </w:rPr>
            </w:pPr>
            <w:r w:rsidRPr="00590D27">
              <w:rPr>
                <w:rFonts w:eastAsia="Calibri" w:cs="Arial"/>
                <w:sz w:val="14"/>
                <w:szCs w:val="14"/>
                <w:lang w:eastAsia="en-US"/>
              </w:rPr>
              <w:t>Calculation: All assistance must be provided to meet an assessed, injury-based need. ACC is only responsible for providing the level of assistance required to achieve the planned rehabilitation outcome.</w:t>
            </w:r>
          </w:p>
          <w:p w14:paraId="6891DD0E" w14:textId="77777777" w:rsidR="00581785" w:rsidRPr="00590D27" w:rsidRDefault="00581785" w:rsidP="00F839DB">
            <w:pPr>
              <w:pStyle w:val="ListParagraph"/>
              <w:numPr>
                <w:ilvl w:val="0"/>
                <w:numId w:val="413"/>
              </w:numPr>
              <w:spacing w:after="60"/>
              <w:rPr>
                <w:rFonts w:eastAsia="Calibri" w:cs="Arial"/>
                <w:sz w:val="14"/>
                <w:szCs w:val="14"/>
                <w:lang w:eastAsia="en-US"/>
              </w:rPr>
            </w:pPr>
            <w:r w:rsidRPr="00590D27">
              <w:rPr>
                <w:rFonts w:eastAsia="Calibri" w:cs="Arial"/>
                <w:sz w:val="14"/>
                <w:szCs w:val="14"/>
                <w:lang w:eastAsia="en-US"/>
              </w:rPr>
              <w:t>Limits:</w:t>
            </w:r>
          </w:p>
          <w:p w14:paraId="3EDA3F13" w14:textId="77777777" w:rsidR="00581785" w:rsidRPr="00B34DB8" w:rsidRDefault="00581785" w:rsidP="00DF35F2">
            <w:pPr>
              <w:pStyle w:val="ListParagraph"/>
              <w:numPr>
                <w:ilvl w:val="0"/>
                <w:numId w:val="54"/>
              </w:numPr>
              <w:spacing w:after="60"/>
              <w:ind w:left="357" w:hanging="357"/>
              <w:rPr>
                <w:rFonts w:cs="Arial"/>
                <w:color w:val="000000"/>
                <w:sz w:val="14"/>
                <w:szCs w:val="16"/>
                <w:lang w:val="en-GB"/>
              </w:rPr>
            </w:pPr>
            <w:r w:rsidRPr="00B34DB8">
              <w:rPr>
                <w:rFonts w:cs="Arial"/>
                <w:color w:val="000000"/>
                <w:sz w:val="14"/>
                <w:szCs w:val="16"/>
                <w:lang w:val="en-GB"/>
              </w:rPr>
              <w:t>The Corporation [is not required] to pay for home help to the extent that home help continues to be provided after a claimant’s personal injury by a person:</w:t>
            </w:r>
          </w:p>
          <w:p w14:paraId="55B27F56" w14:textId="77777777" w:rsidR="00581785" w:rsidRPr="0027143B" w:rsidRDefault="00581785" w:rsidP="00F839DB">
            <w:pPr>
              <w:pStyle w:val="ListParagraph"/>
              <w:numPr>
                <w:ilvl w:val="0"/>
                <w:numId w:val="148"/>
              </w:numPr>
              <w:spacing w:after="60"/>
              <w:contextualSpacing/>
              <w:rPr>
                <w:rFonts w:eastAsia="Calibri" w:cs="Arial"/>
                <w:sz w:val="14"/>
                <w:szCs w:val="14"/>
                <w:lang w:eastAsia="en-US"/>
              </w:rPr>
            </w:pPr>
            <w:r w:rsidRPr="0027143B">
              <w:rPr>
                <w:rFonts w:eastAsia="Calibri" w:cs="Arial"/>
                <w:sz w:val="14"/>
                <w:szCs w:val="14"/>
                <w:lang w:eastAsia="en-US"/>
              </w:rPr>
              <w:t xml:space="preserve">who lives in the claimant’s home or lived in the claimant’s home immediately before the claimant suffered his or her personal injury, and </w:t>
            </w:r>
          </w:p>
          <w:p w14:paraId="3BCBF25D" w14:textId="77777777" w:rsidR="00581785" w:rsidRPr="0027143B" w:rsidRDefault="00581785" w:rsidP="00F839DB">
            <w:pPr>
              <w:pStyle w:val="ListParagraph"/>
              <w:numPr>
                <w:ilvl w:val="0"/>
                <w:numId w:val="148"/>
              </w:numPr>
              <w:spacing w:after="60"/>
              <w:contextualSpacing/>
              <w:rPr>
                <w:rFonts w:eastAsia="Calibri" w:cs="Arial"/>
                <w:sz w:val="14"/>
                <w:szCs w:val="14"/>
                <w:lang w:eastAsia="en-US"/>
              </w:rPr>
            </w:pPr>
            <w:r w:rsidRPr="0027143B">
              <w:rPr>
                <w:rFonts w:eastAsia="Calibri" w:cs="Arial"/>
                <w:sz w:val="14"/>
                <w:szCs w:val="14"/>
                <w:lang w:eastAsia="en-US"/>
              </w:rPr>
              <w:t xml:space="preserve">who provided home help before the </w:t>
            </w:r>
            <w:r w:rsidRPr="0027143B">
              <w:rPr>
                <w:rFonts w:eastAsia="Calibri" w:cs="Arial"/>
                <w:sz w:val="14"/>
                <w:szCs w:val="14"/>
                <w:lang w:eastAsia="en-US"/>
              </w:rPr>
              <w:lastRenderedPageBreak/>
              <w:t>claimant suffered his or her personal i</w:t>
            </w:r>
            <w:r w:rsidR="00873882">
              <w:rPr>
                <w:rFonts w:eastAsia="Calibri" w:cs="Arial"/>
                <w:sz w:val="14"/>
                <w:szCs w:val="14"/>
                <w:lang w:eastAsia="en-US"/>
              </w:rPr>
              <w:t xml:space="preserve">njury. </w:t>
            </w:r>
          </w:p>
        </w:tc>
        <w:tc>
          <w:tcPr>
            <w:tcW w:w="2759" w:type="dxa"/>
            <w:tcMar>
              <w:top w:w="80" w:type="dxa"/>
              <w:left w:w="80" w:type="dxa"/>
              <w:bottom w:w="80" w:type="dxa"/>
              <w:right w:w="80" w:type="dxa"/>
            </w:tcMar>
          </w:tcPr>
          <w:p w14:paraId="1A1DB7BF"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Social rehabilitation’ includes:</w:t>
            </w:r>
            <w:r w:rsidRPr="00581785" w:rsidDel="008257B2">
              <w:rPr>
                <w:rFonts w:cs="Arial"/>
                <w:color w:val="000000"/>
                <w:sz w:val="14"/>
                <w:szCs w:val="16"/>
                <w:lang w:val="en-GB"/>
              </w:rPr>
              <w:t xml:space="preserve"> </w:t>
            </w:r>
          </w:p>
          <w:p w14:paraId="011EEBB0" w14:textId="77777777" w:rsidR="00581785" w:rsidRPr="0027143B" w:rsidRDefault="00581785" w:rsidP="00F839DB">
            <w:pPr>
              <w:pStyle w:val="ListParagraph"/>
              <w:numPr>
                <w:ilvl w:val="0"/>
                <w:numId w:val="414"/>
              </w:numPr>
              <w:spacing w:after="60"/>
              <w:contextualSpacing/>
              <w:rPr>
                <w:rFonts w:eastAsia="Calibri" w:cs="Arial"/>
                <w:sz w:val="14"/>
                <w:szCs w:val="14"/>
                <w:lang w:eastAsia="en-US"/>
              </w:rPr>
            </w:pPr>
            <w:r w:rsidRPr="0027143B">
              <w:rPr>
                <w:rFonts w:eastAsia="Calibri" w:cs="Arial"/>
                <w:sz w:val="14"/>
                <w:szCs w:val="14"/>
                <w:lang w:eastAsia="en-US"/>
              </w:rPr>
              <w:lastRenderedPageBreak/>
              <w:t>aids and appliances</w:t>
            </w:r>
          </w:p>
          <w:p w14:paraId="1A44757D"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child care</w:t>
            </w:r>
          </w:p>
          <w:p w14:paraId="4F5BF8E1"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educational support</w:t>
            </w:r>
          </w:p>
          <w:p w14:paraId="1667A51F"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home modifications</w:t>
            </w:r>
          </w:p>
          <w:p w14:paraId="21365C19"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training for independence, and</w:t>
            </w:r>
          </w:p>
          <w:p w14:paraId="3D77E9A6"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transport for independence (including vehicle purchasing and modifications).</w:t>
            </w:r>
          </w:p>
          <w:p w14:paraId="3C4B527B"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All assistance must be provided to meet an assessed, injury-based need. ACC is only responsible for providing the level of assistance required to achieve the </w:t>
            </w:r>
            <w:r w:rsidR="00873882">
              <w:rPr>
                <w:rFonts w:cs="Arial"/>
                <w:color w:val="000000"/>
                <w:sz w:val="14"/>
                <w:szCs w:val="16"/>
                <w:lang w:val="en-GB"/>
              </w:rPr>
              <w:t>planned rehabilitation outcome.</w:t>
            </w:r>
          </w:p>
        </w:tc>
        <w:tc>
          <w:tcPr>
            <w:tcW w:w="2759" w:type="dxa"/>
            <w:tcMar>
              <w:top w:w="80" w:type="dxa"/>
              <w:left w:w="80" w:type="dxa"/>
              <w:bottom w:w="80" w:type="dxa"/>
              <w:right w:w="80" w:type="dxa"/>
            </w:tcMar>
          </w:tcPr>
          <w:p w14:paraId="30A815F8" w14:textId="4F918053" w:rsidR="00581785" w:rsidRPr="00581785" w:rsidRDefault="00581785" w:rsidP="00945540">
            <w:pPr>
              <w:spacing w:after="60"/>
              <w:rPr>
                <w:rFonts w:cs="Arial"/>
                <w:color w:val="000000"/>
                <w:sz w:val="14"/>
                <w:szCs w:val="16"/>
                <w:lang w:val="en-GB"/>
              </w:rPr>
            </w:pPr>
            <w:r w:rsidRPr="00581785">
              <w:rPr>
                <w:rFonts w:cs="Arial"/>
                <w:color w:val="000000"/>
                <w:sz w:val="14"/>
                <w:szCs w:val="16"/>
                <w:lang w:val="en-GB"/>
              </w:rPr>
              <w:lastRenderedPageBreak/>
              <w:t xml:space="preserve">Noted </w:t>
            </w:r>
            <w:r w:rsidR="00945540">
              <w:rPr>
                <w:rFonts w:cs="Arial"/>
                <w:color w:val="000000"/>
                <w:sz w:val="14"/>
                <w:szCs w:val="16"/>
                <w:lang w:val="en-GB"/>
              </w:rPr>
              <w:t>in first column</w:t>
            </w:r>
          </w:p>
        </w:tc>
      </w:tr>
      <w:bookmarkEnd w:id="139"/>
    </w:tbl>
    <w:p w14:paraId="60190D0E" w14:textId="77777777" w:rsidR="00C66972" w:rsidRPr="00C66972" w:rsidRDefault="00C66972" w:rsidP="00C66972">
      <w:pPr>
        <w:spacing w:after="200" w:line="276" w:lineRule="auto"/>
        <w:rPr>
          <w:rFonts w:eastAsiaTheme="minorHAnsi"/>
        </w:rPr>
      </w:pPr>
    </w:p>
    <w:p w14:paraId="4DA60B12" w14:textId="6FF1CCF4" w:rsidR="0027143B" w:rsidRPr="00A80282" w:rsidRDefault="0027143B" w:rsidP="00A80282">
      <w:pPr>
        <w:pStyle w:val="SWATableheader"/>
      </w:pPr>
      <w:bookmarkStart w:id="140" w:name="_Toc504654679"/>
      <w:bookmarkStart w:id="141" w:name="permanent"/>
      <w:r w:rsidRPr="00A80282">
        <w:rPr>
          <w:rStyle w:val="SWATableheaderChar"/>
          <w:b/>
        </w:rPr>
        <w:lastRenderedPageBreak/>
        <w:t>Table 4.3: Permanent impairment payments</w:t>
      </w:r>
      <w:bookmarkEnd w:id="140"/>
      <w:r w:rsidRPr="00A80282">
        <w:t xml:space="preserve"> </w:t>
      </w:r>
      <w:r w:rsidR="00854F23" w:rsidRPr="00A80282">
        <w:fldChar w:fldCharType="begin"/>
      </w:r>
      <w:r w:rsidR="00854F23" w:rsidRPr="00A80282">
        <w:instrText xml:space="preserve"> XE "benefits:permenent impairment payments" \r "permanent" </w:instrText>
      </w:r>
      <w:r w:rsidR="00854F23" w:rsidRPr="00A80282">
        <w:fldChar w:fldCharType="end"/>
      </w:r>
      <w:r w:rsidR="00A95C3B" w:rsidRPr="00A80282">
        <w:fldChar w:fldCharType="begin"/>
      </w:r>
      <w:r w:rsidR="00A95C3B" w:rsidRPr="00A80282">
        <w:instrText xml:space="preserve"> XE "payments:permanent impairment payments" \r "permanent"</w:instrText>
      </w:r>
      <w:r w:rsidR="00376626" w:rsidRPr="00A80282">
        <w:fldChar w:fldCharType="begin"/>
      </w:r>
      <w:r w:rsidR="00376626" w:rsidRPr="00A80282">
        <w:instrText xml:space="preserve"> XE "permanent impairment:payments" \r "permanent" </w:instrText>
      </w:r>
      <w:r w:rsidR="00376626" w:rsidRPr="00A80282">
        <w:fldChar w:fldCharType="end"/>
      </w:r>
      <w:r w:rsidR="00A95C3B" w:rsidRPr="00A80282">
        <w:instrText xml:space="preserve"> </w:instrText>
      </w:r>
      <w:r w:rsidR="00A95C3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3: Permanent impairment payments  "/>
        <w:tblDescription w:val="This table provides information about permanent impairment payments under each of the workers' compensation schemes. "/>
      </w:tblPr>
      <w:tblGrid>
        <w:gridCol w:w="1626"/>
        <w:gridCol w:w="2759"/>
        <w:gridCol w:w="2759"/>
        <w:gridCol w:w="2759"/>
        <w:gridCol w:w="2759"/>
        <w:gridCol w:w="2759"/>
      </w:tblGrid>
      <w:tr w:rsidR="0027143B" w:rsidRPr="00BC2D34" w14:paraId="51F5B9D8" w14:textId="77777777" w:rsidTr="00B2173F">
        <w:trPr>
          <w:tblHeader/>
        </w:trPr>
        <w:tc>
          <w:tcPr>
            <w:tcW w:w="1626" w:type="dxa"/>
            <w:shd w:val="clear" w:color="auto" w:fill="C00000"/>
            <w:tcMar>
              <w:top w:w="0" w:type="dxa"/>
              <w:left w:w="0" w:type="dxa"/>
              <w:bottom w:w="0" w:type="dxa"/>
              <w:right w:w="0" w:type="dxa"/>
            </w:tcMar>
            <w:vAlign w:val="center"/>
          </w:tcPr>
          <w:p w14:paraId="760388C1" w14:textId="77777777" w:rsidR="0027143B" w:rsidRPr="00BC2D34" w:rsidRDefault="0027143B" w:rsidP="00292A53">
            <w:pPr>
              <w:pStyle w:val="Tableheaderrow"/>
              <w:spacing w:after="60"/>
            </w:pPr>
          </w:p>
        </w:tc>
        <w:tc>
          <w:tcPr>
            <w:tcW w:w="2759" w:type="dxa"/>
            <w:shd w:val="clear" w:color="auto" w:fill="C00000"/>
            <w:tcMar>
              <w:top w:w="0" w:type="dxa"/>
              <w:left w:w="0" w:type="dxa"/>
              <w:bottom w:w="0" w:type="dxa"/>
              <w:right w:w="0" w:type="dxa"/>
            </w:tcMar>
            <w:vAlign w:val="center"/>
          </w:tcPr>
          <w:p w14:paraId="00A23E71" w14:textId="77777777" w:rsidR="0027143B" w:rsidRPr="00BC2D34" w:rsidRDefault="0027143B" w:rsidP="00292A53">
            <w:pPr>
              <w:pStyle w:val="Tableheaderrow"/>
              <w:spacing w:after="60"/>
            </w:pPr>
            <w:r w:rsidRPr="00BC2D34">
              <w:t>Benefit type</w:t>
            </w:r>
          </w:p>
        </w:tc>
        <w:tc>
          <w:tcPr>
            <w:tcW w:w="2759" w:type="dxa"/>
            <w:shd w:val="clear" w:color="auto" w:fill="C00000"/>
            <w:tcMar>
              <w:top w:w="0" w:type="dxa"/>
              <w:left w:w="0" w:type="dxa"/>
              <w:bottom w:w="0" w:type="dxa"/>
              <w:right w:w="0" w:type="dxa"/>
            </w:tcMar>
            <w:vAlign w:val="center"/>
          </w:tcPr>
          <w:p w14:paraId="6B421EEF" w14:textId="77777777" w:rsidR="0027143B" w:rsidRPr="00BC2D34" w:rsidRDefault="0027143B" w:rsidP="00292A53">
            <w:pPr>
              <w:pStyle w:val="Tableheaderrow"/>
              <w:spacing w:after="60"/>
            </w:pPr>
            <w:r w:rsidRPr="00BC2D34">
              <w:t>Maximum amount (current)</w:t>
            </w:r>
          </w:p>
        </w:tc>
        <w:tc>
          <w:tcPr>
            <w:tcW w:w="2759" w:type="dxa"/>
            <w:shd w:val="clear" w:color="auto" w:fill="C00000"/>
            <w:tcMar>
              <w:top w:w="0" w:type="dxa"/>
              <w:left w:w="0" w:type="dxa"/>
              <w:bottom w:w="0" w:type="dxa"/>
              <w:right w:w="0" w:type="dxa"/>
            </w:tcMar>
            <w:vAlign w:val="center"/>
          </w:tcPr>
          <w:p w14:paraId="62A9A545" w14:textId="77777777" w:rsidR="0027143B" w:rsidRPr="00BC2D34" w:rsidRDefault="0027143B" w:rsidP="00292A53">
            <w:pPr>
              <w:pStyle w:val="Tableheaderrow"/>
              <w:spacing w:after="60"/>
            </w:pPr>
            <w:r w:rsidRPr="00BC2D34">
              <w:t>Indexation mechanism</w:t>
            </w:r>
          </w:p>
        </w:tc>
        <w:tc>
          <w:tcPr>
            <w:tcW w:w="2759" w:type="dxa"/>
            <w:shd w:val="clear" w:color="auto" w:fill="C00000"/>
            <w:tcMar>
              <w:top w:w="0" w:type="dxa"/>
              <w:left w:w="0" w:type="dxa"/>
              <w:bottom w:w="0" w:type="dxa"/>
              <w:right w:w="0" w:type="dxa"/>
            </w:tcMar>
            <w:vAlign w:val="center"/>
          </w:tcPr>
          <w:p w14:paraId="21362368" w14:textId="7250649F" w:rsidR="0027143B" w:rsidRPr="00BC2D34" w:rsidRDefault="0027143B" w:rsidP="00292A53">
            <w:pPr>
              <w:pStyle w:val="Tableheaderrow"/>
              <w:spacing w:after="60"/>
            </w:pPr>
            <w:r w:rsidRPr="00BC2D34">
              <w:t>Additional benefits conditional to meeting a prescribed degree of impairment (e.g. access to common law</w:t>
            </w:r>
            <w:r w:rsidR="0008303E">
              <w:fldChar w:fldCharType="begin"/>
            </w:r>
            <w:r w:rsidR="0008303E">
              <w:instrText xml:space="preserve"> XE "</w:instrText>
            </w:r>
            <w:r w:rsidR="0008303E" w:rsidRPr="00C60124">
              <w:instrText>benefits:common law access</w:instrText>
            </w:r>
            <w:r w:rsidR="0008303E">
              <w:instrText xml:space="preserve">" </w:instrText>
            </w:r>
            <w:r w:rsidR="0008303E">
              <w:fldChar w:fldCharType="end"/>
            </w:r>
            <w:r w:rsidRPr="00BC2D34">
              <w:t>)</w:t>
            </w:r>
          </w:p>
        </w:tc>
        <w:tc>
          <w:tcPr>
            <w:tcW w:w="2759" w:type="dxa"/>
            <w:shd w:val="clear" w:color="auto" w:fill="C00000"/>
            <w:tcMar>
              <w:top w:w="0" w:type="dxa"/>
              <w:left w:w="0" w:type="dxa"/>
              <w:bottom w:w="0" w:type="dxa"/>
              <w:right w:w="0" w:type="dxa"/>
            </w:tcMar>
            <w:vAlign w:val="center"/>
          </w:tcPr>
          <w:p w14:paraId="34F9105E" w14:textId="77777777" w:rsidR="0027143B" w:rsidRPr="00BC2D34" w:rsidRDefault="0027143B" w:rsidP="00292A53">
            <w:pPr>
              <w:pStyle w:val="Tableheaderrow"/>
              <w:spacing w:after="60"/>
            </w:pPr>
            <w:r w:rsidRPr="00BC2D34">
              <w:t>Weekly benefits still payable?</w:t>
            </w:r>
          </w:p>
        </w:tc>
      </w:tr>
      <w:tr w:rsidR="0027143B" w:rsidRPr="0027143B" w14:paraId="0F1116F1" w14:textId="77777777" w:rsidTr="00B2173F">
        <w:tc>
          <w:tcPr>
            <w:tcW w:w="1626" w:type="dxa"/>
            <w:shd w:val="clear" w:color="auto" w:fill="FFC9C9"/>
            <w:tcMar>
              <w:top w:w="80" w:type="dxa"/>
              <w:left w:w="80" w:type="dxa"/>
              <w:bottom w:w="80" w:type="dxa"/>
              <w:right w:w="80" w:type="dxa"/>
            </w:tcMar>
          </w:tcPr>
          <w:p w14:paraId="5AE7692F"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New South Wales</w:t>
            </w:r>
          </w:p>
        </w:tc>
        <w:tc>
          <w:tcPr>
            <w:tcW w:w="2759" w:type="dxa"/>
            <w:shd w:val="clear" w:color="auto" w:fill="FFC9C9"/>
            <w:tcMar>
              <w:top w:w="80" w:type="dxa"/>
              <w:left w:w="80" w:type="dxa"/>
              <w:bottom w:w="80" w:type="dxa"/>
              <w:right w:w="80" w:type="dxa"/>
            </w:tcMar>
          </w:tcPr>
          <w:p w14:paraId="3C78E474" w14:textId="77777777" w:rsidR="00945540"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For claims made (except claims made by exempt workers), on and after 19 June 2012:</w:t>
            </w:r>
          </w:p>
          <w:p w14:paraId="790CF2E9" w14:textId="19394D11" w:rsidR="0027143B" w:rsidRPr="00945540" w:rsidRDefault="0027143B" w:rsidP="00F839DB">
            <w:pPr>
              <w:pStyle w:val="ListParagraph"/>
              <w:numPr>
                <w:ilvl w:val="0"/>
                <w:numId w:val="535"/>
              </w:numPr>
              <w:spacing w:after="60"/>
              <w:ind w:left="344" w:hanging="344"/>
              <w:contextualSpacing/>
              <w:rPr>
                <w:rFonts w:eastAsia="Calibri" w:cs="Arial"/>
                <w:sz w:val="14"/>
                <w:szCs w:val="14"/>
                <w:lang w:eastAsia="en-US"/>
              </w:rPr>
            </w:pPr>
            <w:r w:rsidRPr="00945540">
              <w:rPr>
                <w:rFonts w:eastAsia="Calibri" w:cs="Arial"/>
                <w:sz w:val="14"/>
                <w:szCs w:val="14"/>
                <w:lang w:eastAsia="en-US"/>
              </w:rPr>
              <w:t>Permanent impairment compensation (</w:t>
            </w:r>
            <w:hyperlink r:id="rId1207" w:history="1">
              <w:r w:rsidRPr="00353435">
                <w:rPr>
                  <w:rStyle w:val="Hyperlink"/>
                  <w:rFonts w:eastAsia="Calibri" w:cs="Arial"/>
                  <w:sz w:val="14"/>
                  <w:szCs w:val="14"/>
                  <w:lang w:eastAsia="en-US"/>
                </w:rPr>
                <w:t>s66</w:t>
              </w:r>
            </w:hyperlink>
            <w:r w:rsidRPr="00945540">
              <w:rPr>
                <w:rFonts w:eastAsia="Calibri" w:cs="Arial"/>
                <w:sz w:val="14"/>
                <w:szCs w:val="14"/>
                <w:lang w:eastAsia="en-US"/>
              </w:rPr>
              <w:t xml:space="preserve">, </w:t>
            </w:r>
            <w:r w:rsidR="00353435" w:rsidRPr="00016069">
              <w:rPr>
                <w:i/>
                <w:sz w:val="14"/>
              </w:rPr>
              <w:t>Workers Compensation Act 1987</w:t>
            </w:r>
            <w:r w:rsidRPr="00945540">
              <w:rPr>
                <w:rFonts w:eastAsia="Calibri" w:cs="Arial"/>
                <w:sz w:val="14"/>
                <w:szCs w:val="14"/>
                <w:lang w:eastAsia="en-US"/>
              </w:rPr>
              <w:t xml:space="preserve">) </w:t>
            </w:r>
          </w:p>
          <w:p w14:paraId="00CFDB25" w14:textId="77777777"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 xml:space="preserve">Exempt workers, including police officers, paramedics and fire fighters, workers injured while working in or about a coal mine and bush fire fighter and emergency service volunteers: </w:t>
            </w:r>
          </w:p>
          <w:p w14:paraId="232B7EF1" w14:textId="2C6F600B" w:rsidR="0027143B" w:rsidRPr="00353435" w:rsidRDefault="0027143B" w:rsidP="00F839DB">
            <w:pPr>
              <w:pStyle w:val="ListParagraph"/>
              <w:numPr>
                <w:ilvl w:val="0"/>
                <w:numId w:val="535"/>
              </w:numPr>
              <w:spacing w:after="60"/>
              <w:ind w:left="344" w:hanging="344"/>
              <w:contextualSpacing/>
              <w:rPr>
                <w:rFonts w:eastAsia="Calibri" w:cs="Arial"/>
                <w:sz w:val="14"/>
                <w:szCs w:val="14"/>
                <w:lang w:eastAsia="en-US"/>
              </w:rPr>
            </w:pPr>
            <w:r w:rsidRPr="0027143B">
              <w:rPr>
                <w:rFonts w:eastAsia="Calibri" w:cs="Arial"/>
                <w:sz w:val="14"/>
                <w:szCs w:val="14"/>
                <w:lang w:eastAsia="en-US"/>
              </w:rPr>
              <w:t>Permanent impairment compensation (</w:t>
            </w:r>
            <w:hyperlink r:id="rId1208" w:history="1">
              <w:r w:rsidRPr="00353435">
                <w:rPr>
                  <w:rStyle w:val="Hyperlink"/>
                  <w:rFonts w:eastAsia="Calibri" w:cs="Arial"/>
                  <w:sz w:val="14"/>
                  <w:szCs w:val="14"/>
                  <w:lang w:eastAsia="en-US"/>
                </w:rPr>
                <w:t>s66</w:t>
              </w:r>
            </w:hyperlink>
            <w:r w:rsidR="00353435">
              <w:rPr>
                <w:rFonts w:eastAsia="Calibri" w:cs="Arial"/>
                <w:sz w:val="14"/>
                <w:szCs w:val="14"/>
                <w:lang w:eastAsia="en-US"/>
              </w:rPr>
              <w:t>, 1987 Act).</w:t>
            </w:r>
          </w:p>
        </w:tc>
        <w:tc>
          <w:tcPr>
            <w:tcW w:w="2759" w:type="dxa"/>
            <w:shd w:val="clear" w:color="auto" w:fill="FFC9C9"/>
            <w:tcMar>
              <w:top w:w="80" w:type="dxa"/>
              <w:left w:w="80" w:type="dxa"/>
              <w:bottom w:w="80" w:type="dxa"/>
              <w:right w:w="80" w:type="dxa"/>
            </w:tcMar>
          </w:tcPr>
          <w:p w14:paraId="56B1B239" w14:textId="0C446F68" w:rsidR="0027143B" w:rsidRPr="00BC2D34" w:rsidRDefault="0027143B" w:rsidP="00F839DB">
            <w:pPr>
              <w:pStyle w:val="ListParagraph"/>
              <w:numPr>
                <w:ilvl w:val="0"/>
                <w:numId w:val="150"/>
              </w:numPr>
              <w:spacing w:after="60"/>
              <w:contextualSpacing/>
              <w:rPr>
                <w:rFonts w:eastAsia="Calibri" w:cs="Arial"/>
                <w:sz w:val="14"/>
                <w:szCs w:val="14"/>
                <w:lang w:eastAsia="en-US"/>
              </w:rPr>
            </w:pPr>
            <w:r w:rsidRPr="00BC2D34">
              <w:rPr>
                <w:rFonts w:eastAsia="Calibri" w:cs="Arial"/>
                <w:sz w:val="14"/>
                <w:szCs w:val="14"/>
                <w:lang w:eastAsia="en-US"/>
              </w:rPr>
              <w:t xml:space="preserve">Date of injury on or from 5th August 2015 - maximum amount payable </w:t>
            </w:r>
            <w:r w:rsidR="0055589C">
              <w:rPr>
                <w:rFonts w:eastAsia="Calibri" w:cs="Arial"/>
                <w:sz w:val="14"/>
                <w:szCs w:val="14"/>
                <w:lang w:eastAsia="en-US"/>
              </w:rPr>
              <w:t>for permanent impairment is $598,560</w:t>
            </w:r>
            <w:r w:rsidRPr="00BC2D34">
              <w:rPr>
                <w:rFonts w:eastAsia="Calibri" w:cs="Arial"/>
                <w:sz w:val="14"/>
                <w:szCs w:val="14"/>
                <w:lang w:eastAsia="en-US"/>
              </w:rPr>
              <w:t xml:space="preserve"> (plus additional 5% for back impairment).</w:t>
            </w:r>
          </w:p>
          <w:p w14:paraId="7A0F2A44" w14:textId="5813BDC6"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Date of injury prior to 5th August 2015 and exempt workers - maximum amount payable for permanent impairment is $220</w:t>
            </w:r>
            <w:r w:rsidR="00F14B37">
              <w:rPr>
                <w:rFonts w:eastAsia="Calibri" w:cs="Arial"/>
                <w:sz w:val="14"/>
                <w:szCs w:val="14"/>
                <w:lang w:eastAsia="en-US"/>
              </w:rPr>
              <w:t>,</w:t>
            </w:r>
            <w:r w:rsidRPr="0027143B">
              <w:rPr>
                <w:rFonts w:eastAsia="Calibri" w:cs="Arial"/>
                <w:sz w:val="14"/>
                <w:szCs w:val="14"/>
                <w:lang w:eastAsia="en-US"/>
              </w:rPr>
              <w:t>000 (plus additional 5% for back impairment).</w:t>
            </w:r>
          </w:p>
          <w:p w14:paraId="32D572AF" w14:textId="026BBAF1"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Pain and s</w:t>
            </w:r>
            <w:r w:rsidR="00B75CA0">
              <w:rPr>
                <w:rFonts w:eastAsia="Calibri" w:cs="Arial"/>
                <w:sz w:val="14"/>
                <w:szCs w:val="14"/>
                <w:lang w:eastAsia="en-US"/>
              </w:rPr>
              <w:t>uffering compensation (max of</w:t>
            </w:r>
            <w:r w:rsidRPr="0027143B">
              <w:rPr>
                <w:rFonts w:eastAsia="Calibri" w:cs="Arial"/>
                <w:sz w:val="14"/>
                <w:szCs w:val="14"/>
                <w:lang w:eastAsia="en-US"/>
              </w:rPr>
              <w:t xml:space="preserve"> $50</w:t>
            </w:r>
            <w:r w:rsidR="00F14B37">
              <w:rPr>
                <w:rFonts w:eastAsia="Calibri" w:cs="Arial"/>
                <w:sz w:val="14"/>
                <w:szCs w:val="14"/>
                <w:lang w:eastAsia="en-US"/>
              </w:rPr>
              <w:t>,</w:t>
            </w:r>
            <w:r w:rsidRPr="0027143B">
              <w:rPr>
                <w:rFonts w:eastAsia="Calibri" w:cs="Arial"/>
                <w:sz w:val="14"/>
                <w:szCs w:val="14"/>
                <w:lang w:eastAsia="en-US"/>
              </w:rPr>
              <w:t>000) payable to exempt workers</w:t>
            </w:r>
            <w:r w:rsidR="0055589C">
              <w:rPr>
                <w:rFonts w:eastAsia="Calibri" w:cs="Arial"/>
                <w:sz w:val="14"/>
                <w:szCs w:val="14"/>
                <w:lang w:eastAsia="en-US"/>
              </w:rPr>
              <w:t xml:space="preserve"> only</w:t>
            </w:r>
            <w:r w:rsidRPr="0027143B">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419D6057" w14:textId="77777777"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 xml:space="preserve">CPI all groups (Sydney). Adjusted 1 July. Only applies to permanent impairment claims for date of injury on or from 5th August 2015. Also excludes exempt workers. </w:t>
            </w:r>
          </w:p>
          <w:p w14:paraId="4D85CF5C" w14:textId="77777777"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 xml:space="preserve">No indexing applies to all other permanent impairment claims. </w:t>
            </w:r>
          </w:p>
        </w:tc>
        <w:tc>
          <w:tcPr>
            <w:tcW w:w="2759" w:type="dxa"/>
            <w:shd w:val="clear" w:color="auto" w:fill="FFC9C9"/>
            <w:tcMar>
              <w:top w:w="80" w:type="dxa"/>
              <w:left w:w="80" w:type="dxa"/>
              <w:bottom w:w="80" w:type="dxa"/>
              <w:right w:w="80" w:type="dxa"/>
            </w:tcMar>
          </w:tcPr>
          <w:p w14:paraId="2170C986" w14:textId="77777777" w:rsidR="0027143B" w:rsidRPr="00945540" w:rsidRDefault="0027143B" w:rsidP="00945540">
            <w:pPr>
              <w:spacing w:after="60"/>
              <w:contextualSpacing/>
              <w:rPr>
                <w:rFonts w:eastAsia="Calibri" w:cs="Arial"/>
                <w:sz w:val="14"/>
                <w:szCs w:val="14"/>
                <w:lang w:eastAsia="en-US"/>
              </w:rPr>
            </w:pPr>
            <w:r w:rsidRPr="00945540">
              <w:rPr>
                <w:rFonts w:eastAsia="Calibri" w:cs="Arial"/>
                <w:sz w:val="14"/>
                <w:szCs w:val="14"/>
                <w:lang w:eastAsia="en-US"/>
              </w:rPr>
              <w:t>Thresholds for claims for:</w:t>
            </w:r>
          </w:p>
          <w:p w14:paraId="7EEFEFFE" w14:textId="77777777"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&gt;10% permanent impairment for lump sum compensation for physical injury except for exempt workers where the threshold is &gt;0%</w:t>
            </w:r>
          </w:p>
          <w:p w14:paraId="55D6ED11" w14:textId="294CE78A"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15% or greater for primary</w:t>
            </w:r>
            <w:r w:rsidR="00DD0D68">
              <w:rPr>
                <w:rFonts w:eastAsia="Calibri" w:cs="Arial"/>
                <w:sz w:val="14"/>
                <w:szCs w:val="14"/>
                <w:lang w:eastAsia="en-US"/>
              </w:rPr>
              <w:t xml:space="preserve"> </w:t>
            </w:r>
            <w:r w:rsidRPr="0027143B">
              <w:rPr>
                <w:rFonts w:eastAsia="Calibri" w:cs="Arial"/>
                <w:sz w:val="14"/>
                <w:szCs w:val="14"/>
                <w:lang w:eastAsia="en-US"/>
              </w:rPr>
              <w:t>psychological injury (for all claims)</w:t>
            </w:r>
          </w:p>
          <w:p w14:paraId="31518084" w14:textId="438FE339"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 xml:space="preserve">Work Injury Damages 15% </w:t>
            </w:r>
            <w:r w:rsidR="0055589C">
              <w:rPr>
                <w:rFonts w:eastAsia="Calibri" w:cs="Arial"/>
                <w:sz w:val="14"/>
                <w:szCs w:val="14"/>
                <w:lang w:eastAsia="en-US"/>
              </w:rPr>
              <w:t>permanent</w:t>
            </w:r>
            <w:r w:rsidRPr="0027143B">
              <w:rPr>
                <w:rFonts w:eastAsia="Calibri" w:cs="Arial"/>
                <w:sz w:val="14"/>
                <w:szCs w:val="14"/>
                <w:lang w:eastAsia="en-US"/>
              </w:rPr>
              <w:t xml:space="preserve"> impairment  </w:t>
            </w:r>
          </w:p>
          <w:p w14:paraId="1EBC0B8A" w14:textId="39E8CB51"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Commutation 15%</w:t>
            </w:r>
            <w:r w:rsidR="0055589C">
              <w:rPr>
                <w:rFonts w:eastAsia="Calibri" w:cs="Arial"/>
                <w:sz w:val="14"/>
                <w:szCs w:val="14"/>
                <w:lang w:eastAsia="en-US"/>
              </w:rPr>
              <w:t xml:space="preserve"> permanent impairment</w:t>
            </w:r>
          </w:p>
          <w:p w14:paraId="2F1380D4" w14:textId="77777777"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&gt;10% and &gt;20% compensation periods for medical benefits, and</w:t>
            </w:r>
          </w:p>
          <w:p w14:paraId="1A421ABC" w14:textId="77777777"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 xml:space="preserve">&gt;20% access to weekly payments past 130 weeks. </w:t>
            </w:r>
          </w:p>
          <w:p w14:paraId="75087057" w14:textId="77777777" w:rsidR="0027143B" w:rsidRPr="0027143B" w:rsidRDefault="0027143B" w:rsidP="00F839DB">
            <w:pPr>
              <w:pStyle w:val="ListParagraph"/>
              <w:numPr>
                <w:ilvl w:val="0"/>
                <w:numId w:val="150"/>
              </w:numPr>
              <w:spacing w:after="60"/>
              <w:contextualSpacing/>
              <w:rPr>
                <w:rFonts w:eastAsia="Calibri" w:cs="Arial"/>
                <w:sz w:val="14"/>
                <w:szCs w:val="14"/>
                <w:lang w:eastAsia="en-US"/>
              </w:rPr>
            </w:pPr>
            <w:r w:rsidRPr="0027143B">
              <w:rPr>
                <w:rFonts w:eastAsia="Calibri" w:cs="Arial"/>
                <w:sz w:val="14"/>
                <w:szCs w:val="14"/>
                <w:lang w:eastAsia="en-US"/>
              </w:rPr>
              <w:t xml:space="preserve">&gt; 30% minimum weekly payment amount. </w:t>
            </w:r>
          </w:p>
        </w:tc>
        <w:tc>
          <w:tcPr>
            <w:tcW w:w="2759" w:type="dxa"/>
            <w:shd w:val="clear" w:color="auto" w:fill="FFC9C9"/>
            <w:tcMar>
              <w:top w:w="80" w:type="dxa"/>
              <w:left w:w="80" w:type="dxa"/>
              <w:bottom w:w="80" w:type="dxa"/>
              <w:right w:w="80" w:type="dxa"/>
            </w:tcMar>
          </w:tcPr>
          <w:p w14:paraId="7EAEB2DF" w14:textId="2FC18A20" w:rsidR="0027143B" w:rsidRPr="00854AFF" w:rsidRDefault="0027143B" w:rsidP="0055589C">
            <w:pPr>
              <w:spacing w:after="60"/>
              <w:rPr>
                <w:rFonts w:cs="Arial"/>
                <w:color w:val="000000"/>
                <w:sz w:val="14"/>
                <w:szCs w:val="16"/>
                <w:lang w:val="en-GB"/>
              </w:rPr>
            </w:pPr>
            <w:r w:rsidRPr="0027143B">
              <w:rPr>
                <w:rFonts w:cs="Arial"/>
                <w:color w:val="000000"/>
                <w:sz w:val="14"/>
                <w:szCs w:val="16"/>
                <w:lang w:val="en-GB"/>
              </w:rPr>
              <w:t xml:space="preserve">Weekly </w:t>
            </w:r>
            <w:r w:rsidR="0055589C">
              <w:rPr>
                <w:rFonts w:cs="Arial"/>
                <w:color w:val="000000"/>
                <w:sz w:val="14"/>
                <w:szCs w:val="16"/>
                <w:lang w:val="en-GB"/>
              </w:rPr>
              <w:t xml:space="preserve">payments, </w:t>
            </w:r>
            <w:r w:rsidRPr="0027143B">
              <w:rPr>
                <w:rFonts w:cs="Arial"/>
                <w:color w:val="000000"/>
                <w:sz w:val="14"/>
                <w:szCs w:val="16"/>
                <w:lang w:val="en-GB"/>
              </w:rPr>
              <w:t>m</w:t>
            </w:r>
            <w:r w:rsidR="00854AFF">
              <w:rPr>
                <w:rFonts w:cs="Arial"/>
                <w:color w:val="000000"/>
                <w:sz w:val="14"/>
                <w:szCs w:val="16"/>
                <w:lang w:val="en-GB"/>
              </w:rPr>
              <w:t xml:space="preserve">edical </w:t>
            </w:r>
            <w:r w:rsidR="0055589C">
              <w:rPr>
                <w:rFonts w:cs="Arial"/>
                <w:color w:val="000000"/>
                <w:sz w:val="14"/>
                <w:szCs w:val="16"/>
                <w:lang w:val="en-GB"/>
              </w:rPr>
              <w:t xml:space="preserve">and related expenses </w:t>
            </w:r>
            <w:r w:rsidR="002C086D">
              <w:rPr>
                <w:rFonts w:cs="Arial"/>
                <w:color w:val="000000"/>
                <w:sz w:val="14"/>
                <w:szCs w:val="16"/>
                <w:lang w:val="en-GB"/>
              </w:rPr>
              <w:t>are still payable</w:t>
            </w:r>
          </w:p>
        </w:tc>
      </w:tr>
      <w:tr w:rsidR="0027143B" w:rsidRPr="0027143B" w14:paraId="7AF4ED74" w14:textId="77777777" w:rsidTr="00B2173F">
        <w:tc>
          <w:tcPr>
            <w:tcW w:w="1626" w:type="dxa"/>
            <w:tcMar>
              <w:top w:w="80" w:type="dxa"/>
              <w:left w:w="80" w:type="dxa"/>
              <w:bottom w:w="80" w:type="dxa"/>
              <w:right w:w="80" w:type="dxa"/>
            </w:tcMar>
          </w:tcPr>
          <w:p w14:paraId="1DA9CDD5"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Victoria</w:t>
            </w:r>
          </w:p>
        </w:tc>
        <w:tc>
          <w:tcPr>
            <w:tcW w:w="2759" w:type="dxa"/>
            <w:tcMar>
              <w:top w:w="80" w:type="dxa"/>
              <w:left w:w="80" w:type="dxa"/>
              <w:bottom w:w="80" w:type="dxa"/>
              <w:right w:w="80" w:type="dxa"/>
            </w:tcMar>
          </w:tcPr>
          <w:p w14:paraId="164A1349" w14:textId="0A45A07F" w:rsidR="0027143B" w:rsidRPr="00531225" w:rsidRDefault="0027143B" w:rsidP="000B7577">
            <w:pPr>
              <w:spacing w:after="60"/>
              <w:rPr>
                <w:rFonts w:cs="Arial"/>
                <w:color w:val="000000"/>
                <w:sz w:val="14"/>
                <w:szCs w:val="16"/>
                <w:lang w:val="en-GB"/>
              </w:rPr>
            </w:pPr>
            <w:r w:rsidRPr="0027143B">
              <w:rPr>
                <w:rFonts w:cs="Arial"/>
                <w:color w:val="000000"/>
                <w:sz w:val="14"/>
                <w:szCs w:val="16"/>
                <w:lang w:val="en-GB"/>
              </w:rPr>
              <w:t>Combined</w:t>
            </w:r>
            <w:r w:rsidRPr="000B7577">
              <w:rPr>
                <w:rFonts w:cs="Arial"/>
                <w:color w:val="000000"/>
                <w:sz w:val="14"/>
                <w:szCs w:val="16"/>
                <w:vertAlign w:val="superscript"/>
                <w:lang w:val="en-GB"/>
              </w:rPr>
              <w:t>1</w:t>
            </w:r>
          </w:p>
        </w:tc>
        <w:tc>
          <w:tcPr>
            <w:tcW w:w="2759" w:type="dxa"/>
            <w:tcMar>
              <w:top w:w="80" w:type="dxa"/>
              <w:left w:w="80" w:type="dxa"/>
              <w:bottom w:w="80" w:type="dxa"/>
              <w:right w:w="80" w:type="dxa"/>
            </w:tcMar>
          </w:tcPr>
          <w:p w14:paraId="32D2A61F" w14:textId="32F03084" w:rsidR="0027143B" w:rsidRPr="0027143B" w:rsidRDefault="0027143B" w:rsidP="004F378D">
            <w:pPr>
              <w:spacing w:after="60"/>
              <w:rPr>
                <w:rFonts w:cs="Arial"/>
                <w:color w:val="000000"/>
                <w:sz w:val="14"/>
                <w:szCs w:val="16"/>
                <w:lang w:val="en-GB"/>
              </w:rPr>
            </w:pPr>
            <w:r w:rsidRPr="0027143B">
              <w:rPr>
                <w:rFonts w:cs="Arial"/>
                <w:color w:val="000000"/>
                <w:sz w:val="14"/>
                <w:szCs w:val="16"/>
                <w:lang w:val="en-GB"/>
              </w:rPr>
              <w:t>$</w:t>
            </w:r>
            <w:r w:rsidR="004F378D">
              <w:rPr>
                <w:rFonts w:cs="Arial"/>
                <w:color w:val="000000"/>
                <w:sz w:val="14"/>
                <w:szCs w:val="16"/>
                <w:lang w:val="en-GB"/>
              </w:rPr>
              <w:t>598,360</w:t>
            </w:r>
            <w:r w:rsidR="00F14B37">
              <w:rPr>
                <w:rFonts w:cs="Arial"/>
                <w:color w:val="000000"/>
                <w:sz w:val="14"/>
                <w:szCs w:val="16"/>
                <w:lang w:val="en-GB"/>
              </w:rPr>
              <w:t xml:space="preserve"> </w:t>
            </w:r>
            <w:r w:rsidRPr="0027143B">
              <w:rPr>
                <w:rFonts w:cs="Arial"/>
                <w:color w:val="000000"/>
                <w:sz w:val="14"/>
                <w:szCs w:val="16"/>
                <w:lang w:val="en-GB"/>
              </w:rPr>
              <w:t xml:space="preserve">— </w:t>
            </w:r>
            <w:hyperlink r:id="rId1209" w:history="1">
              <w:r w:rsidRPr="00353435">
                <w:rPr>
                  <w:rStyle w:val="Hyperlink"/>
                  <w:rFonts w:cs="Arial"/>
                  <w:sz w:val="14"/>
                  <w:szCs w:val="16"/>
                  <w:lang w:val="en-GB"/>
                </w:rPr>
                <w:t>s217</w:t>
              </w:r>
            </w:hyperlink>
            <w:r w:rsidR="00531225">
              <w:rPr>
                <w:rFonts w:cs="Arial"/>
                <w:color w:val="000000"/>
                <w:sz w:val="14"/>
                <w:szCs w:val="16"/>
                <w:lang w:val="en-GB"/>
              </w:rPr>
              <w:t xml:space="preserve">, </w:t>
            </w:r>
            <w:r w:rsidR="00531225" w:rsidRPr="00016069">
              <w:rPr>
                <w:i/>
                <w:sz w:val="14"/>
              </w:rPr>
              <w:t>Workplace Injury Rehabilitation and Compensation Act 2013</w:t>
            </w:r>
            <w:r w:rsidR="00531225">
              <w:rPr>
                <w:i/>
                <w:sz w:val="14"/>
              </w:rPr>
              <w:t>.</w:t>
            </w:r>
          </w:p>
        </w:tc>
        <w:tc>
          <w:tcPr>
            <w:tcW w:w="2759" w:type="dxa"/>
            <w:tcMar>
              <w:top w:w="80" w:type="dxa"/>
              <w:left w:w="80" w:type="dxa"/>
              <w:bottom w:w="80" w:type="dxa"/>
              <w:right w:w="80" w:type="dxa"/>
            </w:tcMar>
          </w:tcPr>
          <w:p w14:paraId="563BBB7E" w14:textId="10F6E9A8"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C</w:t>
            </w:r>
            <w:r w:rsidR="002C086D">
              <w:rPr>
                <w:rFonts w:cs="Arial"/>
                <w:color w:val="000000"/>
                <w:sz w:val="14"/>
                <w:szCs w:val="16"/>
                <w:lang w:val="en-GB"/>
              </w:rPr>
              <w:t>PI (Melbourne). Adjusted 1 July</w:t>
            </w:r>
          </w:p>
        </w:tc>
        <w:tc>
          <w:tcPr>
            <w:tcW w:w="2759" w:type="dxa"/>
            <w:tcMar>
              <w:top w:w="80" w:type="dxa"/>
              <w:left w:w="80" w:type="dxa"/>
              <w:bottom w:w="80" w:type="dxa"/>
              <w:right w:w="80" w:type="dxa"/>
            </w:tcMar>
          </w:tcPr>
          <w:p w14:paraId="4C94AE82" w14:textId="13157882"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See sec</w:t>
            </w:r>
            <w:r w:rsidR="002C086D">
              <w:rPr>
                <w:rFonts w:cs="Arial"/>
                <w:color w:val="000000"/>
                <w:sz w:val="14"/>
                <w:szCs w:val="16"/>
                <w:lang w:val="en-GB"/>
              </w:rPr>
              <w:t>tion on common law at Table 4.6</w:t>
            </w:r>
          </w:p>
        </w:tc>
        <w:tc>
          <w:tcPr>
            <w:tcW w:w="2759" w:type="dxa"/>
            <w:tcMar>
              <w:top w:w="80" w:type="dxa"/>
              <w:left w:w="80" w:type="dxa"/>
              <w:bottom w:w="80" w:type="dxa"/>
              <w:right w:w="80" w:type="dxa"/>
            </w:tcMar>
          </w:tcPr>
          <w:p w14:paraId="7EF793FB" w14:textId="0E6DC3F5"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 xml:space="preserve">Weekly payments and medical and like expenses are still payable: </w:t>
            </w:r>
            <w:hyperlink r:id="rId1210" w:history="1">
              <w:r w:rsidRPr="00353435">
                <w:rPr>
                  <w:rStyle w:val="Hyperlink"/>
                  <w:rFonts w:cs="Arial"/>
                  <w:sz w:val="14"/>
                  <w:szCs w:val="16"/>
                  <w:lang w:val="en-GB"/>
                </w:rPr>
                <w:t>s160</w:t>
              </w:r>
            </w:hyperlink>
            <w:r w:rsidRPr="0027143B">
              <w:rPr>
                <w:rFonts w:cs="Arial"/>
                <w:color w:val="000000"/>
                <w:sz w:val="14"/>
                <w:szCs w:val="16"/>
                <w:lang w:val="en-GB"/>
              </w:rPr>
              <w:t xml:space="preserve"> and </w:t>
            </w:r>
            <w:hyperlink r:id="rId1211" w:history="1">
              <w:r w:rsidRPr="00353435">
                <w:rPr>
                  <w:rStyle w:val="Hyperlink"/>
                  <w:rFonts w:cs="Arial"/>
                  <w:sz w:val="14"/>
                  <w:szCs w:val="16"/>
                  <w:lang w:val="en-GB"/>
                </w:rPr>
                <w:t>s224</w:t>
              </w:r>
            </w:hyperlink>
          </w:p>
        </w:tc>
      </w:tr>
      <w:tr w:rsidR="0027143B" w:rsidRPr="0027143B" w14:paraId="640D3893" w14:textId="77777777" w:rsidTr="00B2173F">
        <w:tc>
          <w:tcPr>
            <w:tcW w:w="1626" w:type="dxa"/>
            <w:shd w:val="clear" w:color="auto" w:fill="FFC9C9"/>
            <w:tcMar>
              <w:top w:w="80" w:type="dxa"/>
              <w:left w:w="80" w:type="dxa"/>
              <w:bottom w:w="80" w:type="dxa"/>
              <w:right w:w="80" w:type="dxa"/>
            </w:tcMar>
          </w:tcPr>
          <w:p w14:paraId="2146834A"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Queensland</w:t>
            </w:r>
          </w:p>
        </w:tc>
        <w:tc>
          <w:tcPr>
            <w:tcW w:w="2759" w:type="dxa"/>
            <w:shd w:val="clear" w:color="auto" w:fill="FFC9C9"/>
            <w:tcMar>
              <w:top w:w="80" w:type="dxa"/>
              <w:left w:w="80" w:type="dxa"/>
              <w:bottom w:w="80" w:type="dxa"/>
              <w:right w:w="80" w:type="dxa"/>
            </w:tcMar>
          </w:tcPr>
          <w:p w14:paraId="29276302" w14:textId="77777777" w:rsidR="0027143B" w:rsidRPr="0027143B" w:rsidRDefault="00B75CA0" w:rsidP="00F839DB">
            <w:pPr>
              <w:pStyle w:val="ListParagraph"/>
              <w:numPr>
                <w:ilvl w:val="0"/>
                <w:numId w:val="151"/>
              </w:numPr>
              <w:spacing w:after="60"/>
              <w:contextualSpacing/>
              <w:rPr>
                <w:rFonts w:eastAsia="Calibri" w:cs="Arial"/>
                <w:sz w:val="14"/>
                <w:szCs w:val="14"/>
                <w:lang w:eastAsia="en-US"/>
              </w:rPr>
            </w:pPr>
            <w:r>
              <w:rPr>
                <w:rFonts w:eastAsia="Calibri" w:cs="Arial"/>
                <w:sz w:val="14"/>
                <w:szCs w:val="14"/>
                <w:lang w:eastAsia="en-US"/>
              </w:rPr>
              <w:t>Standard</w:t>
            </w:r>
          </w:p>
          <w:p w14:paraId="670E153F" w14:textId="37691EF4" w:rsidR="0027143B" w:rsidRPr="0027143B" w:rsidRDefault="0027143B" w:rsidP="00F839DB">
            <w:pPr>
              <w:pStyle w:val="ListParagraph"/>
              <w:numPr>
                <w:ilvl w:val="0"/>
                <w:numId w:val="151"/>
              </w:numPr>
              <w:spacing w:after="60"/>
              <w:contextualSpacing/>
              <w:rPr>
                <w:rFonts w:eastAsia="Calibri" w:cs="Arial"/>
                <w:sz w:val="14"/>
                <w:szCs w:val="14"/>
                <w:lang w:eastAsia="en-US"/>
              </w:rPr>
            </w:pPr>
            <w:r w:rsidRPr="0027143B">
              <w:rPr>
                <w:rFonts w:eastAsia="Calibri" w:cs="Arial"/>
                <w:sz w:val="14"/>
                <w:szCs w:val="14"/>
                <w:lang w:eastAsia="en-US"/>
              </w:rPr>
              <w:t>Additional 30% or greater DPI (</w:t>
            </w:r>
            <w:hyperlink r:id="rId1212" w:anchor="sec.192" w:history="1">
              <w:r w:rsidRPr="00353435">
                <w:rPr>
                  <w:rStyle w:val="Hyperlink"/>
                  <w:rFonts w:eastAsia="Calibri" w:cs="Arial"/>
                  <w:sz w:val="14"/>
                  <w:szCs w:val="14"/>
                  <w:lang w:eastAsia="en-US"/>
                </w:rPr>
                <w:t>s192(2)</w:t>
              </w:r>
            </w:hyperlink>
            <w:r w:rsidRPr="0027143B">
              <w:rPr>
                <w:rFonts w:eastAsia="Calibri" w:cs="Arial"/>
                <w:sz w:val="14"/>
                <w:szCs w:val="14"/>
                <w:lang w:eastAsia="en-US"/>
              </w:rPr>
              <w:t>)</w:t>
            </w:r>
          </w:p>
          <w:p w14:paraId="225203B4" w14:textId="67FF4894" w:rsidR="0027143B" w:rsidRPr="0027143B" w:rsidRDefault="0027143B" w:rsidP="00F839DB">
            <w:pPr>
              <w:pStyle w:val="ListParagraph"/>
              <w:numPr>
                <w:ilvl w:val="0"/>
                <w:numId w:val="151"/>
              </w:numPr>
              <w:spacing w:after="60"/>
              <w:contextualSpacing/>
              <w:rPr>
                <w:rFonts w:eastAsia="Calibri" w:cs="Arial"/>
                <w:sz w:val="14"/>
                <w:szCs w:val="14"/>
                <w:lang w:eastAsia="en-US"/>
              </w:rPr>
            </w:pPr>
            <w:r w:rsidRPr="0027143B">
              <w:rPr>
                <w:rFonts w:eastAsia="Calibri" w:cs="Arial"/>
                <w:sz w:val="14"/>
                <w:szCs w:val="14"/>
                <w:lang w:eastAsia="en-US"/>
              </w:rPr>
              <w:t>Gratuitous care (</w:t>
            </w:r>
            <w:hyperlink r:id="rId1213" w:anchor="sec.193" w:history="1">
              <w:r w:rsidRPr="00353435">
                <w:rPr>
                  <w:rStyle w:val="Hyperlink"/>
                  <w:rFonts w:eastAsia="Calibri" w:cs="Arial"/>
                  <w:sz w:val="14"/>
                  <w:szCs w:val="14"/>
                  <w:lang w:eastAsia="en-US"/>
                </w:rPr>
                <w:t>s193(6)</w:t>
              </w:r>
            </w:hyperlink>
            <w:r w:rsidRPr="0027143B">
              <w:rPr>
                <w:rFonts w:eastAsia="Calibri" w:cs="Arial"/>
                <w:sz w:val="14"/>
                <w:szCs w:val="14"/>
                <w:lang w:eastAsia="en-US"/>
              </w:rPr>
              <w:t>)</w:t>
            </w:r>
          </w:p>
          <w:p w14:paraId="3F64E6DC" w14:textId="2ECC5659" w:rsidR="0027143B" w:rsidRPr="0027143B" w:rsidRDefault="0027143B" w:rsidP="00F839DB">
            <w:pPr>
              <w:pStyle w:val="ListParagraph"/>
              <w:numPr>
                <w:ilvl w:val="0"/>
                <w:numId w:val="151"/>
              </w:numPr>
              <w:spacing w:after="60"/>
              <w:contextualSpacing/>
              <w:rPr>
                <w:rFonts w:eastAsia="Calibri" w:cs="Arial"/>
                <w:sz w:val="14"/>
                <w:szCs w:val="14"/>
                <w:lang w:eastAsia="en-US"/>
              </w:rPr>
            </w:pPr>
            <w:r w:rsidRPr="0027143B">
              <w:rPr>
                <w:rFonts w:eastAsia="Calibri" w:cs="Arial"/>
                <w:sz w:val="14"/>
                <w:szCs w:val="14"/>
                <w:lang w:eastAsia="en-US"/>
              </w:rPr>
              <w:t>Additional particular workers (</w:t>
            </w:r>
            <w:hyperlink r:id="rId1214" w:anchor="sec.193A" w:history="1">
              <w:r w:rsidRPr="00353435">
                <w:rPr>
                  <w:rStyle w:val="Hyperlink"/>
                  <w:rFonts w:eastAsia="Calibri" w:cs="Arial"/>
                  <w:sz w:val="14"/>
                  <w:szCs w:val="14"/>
                  <w:lang w:eastAsia="en-US"/>
                </w:rPr>
                <w:t>s193A(2)</w:t>
              </w:r>
            </w:hyperlink>
            <w:r w:rsidRPr="0027143B">
              <w:rPr>
                <w:rFonts w:eastAsia="Calibri" w:cs="Arial"/>
                <w:sz w:val="14"/>
                <w:szCs w:val="14"/>
                <w:lang w:eastAsia="en-US"/>
              </w:rPr>
              <w:t>)</w:t>
            </w:r>
          </w:p>
          <w:p w14:paraId="23A2671F" w14:textId="61C25070" w:rsidR="0027143B" w:rsidRPr="00854AFF" w:rsidRDefault="0027143B"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Latent onset (</w:t>
            </w:r>
            <w:hyperlink r:id="rId1215" w:anchor="sec.128B" w:history="1">
              <w:r w:rsidRPr="00353435">
                <w:rPr>
                  <w:rStyle w:val="Hyperlink"/>
                  <w:rFonts w:eastAsia="Calibri" w:cs="Arial"/>
                  <w:sz w:val="14"/>
                  <w:szCs w:val="14"/>
                  <w:lang w:eastAsia="en-US"/>
                </w:rPr>
                <w:t>s128B</w:t>
              </w:r>
            </w:hyperlink>
            <w:r w:rsidRPr="002A3CF9">
              <w:rPr>
                <w:rFonts w:eastAsia="Calibri" w:cs="Arial"/>
                <w:sz w:val="14"/>
                <w:szCs w:val="14"/>
                <w:lang w:eastAsia="en-US"/>
              </w:rPr>
              <w:t>)</w:t>
            </w:r>
            <w:r w:rsidR="00531225">
              <w:rPr>
                <w:rFonts w:eastAsia="Calibri" w:cs="Arial"/>
                <w:sz w:val="14"/>
                <w:szCs w:val="14"/>
                <w:lang w:eastAsia="en-US"/>
              </w:rPr>
              <w:t xml:space="preserve">, </w:t>
            </w:r>
            <w:r w:rsidR="00531225" w:rsidRPr="00016069">
              <w:rPr>
                <w:i/>
                <w:sz w:val="14"/>
              </w:rPr>
              <w:t>Workers’ Compensation and Rehabilitation Act 2003</w:t>
            </w:r>
            <w:r w:rsidR="00531225">
              <w:rPr>
                <w:i/>
                <w:sz w:val="14"/>
              </w:rPr>
              <w:t>.</w:t>
            </w:r>
          </w:p>
        </w:tc>
        <w:tc>
          <w:tcPr>
            <w:tcW w:w="2759" w:type="dxa"/>
            <w:shd w:val="clear" w:color="auto" w:fill="FFC9C9"/>
            <w:tcMar>
              <w:top w:w="80" w:type="dxa"/>
              <w:left w:w="80" w:type="dxa"/>
              <w:bottom w:w="80" w:type="dxa"/>
              <w:right w:w="80" w:type="dxa"/>
            </w:tcMar>
          </w:tcPr>
          <w:p w14:paraId="285ACDA1" w14:textId="3C2CCA86" w:rsidR="0027143B" w:rsidRPr="002A3CF9" w:rsidRDefault="0027143B"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w:t>
            </w:r>
            <w:r w:rsidR="00BE773B">
              <w:rPr>
                <w:rFonts w:eastAsia="Calibri" w:cs="Arial"/>
                <w:sz w:val="14"/>
                <w:szCs w:val="14"/>
                <w:lang w:eastAsia="en-US"/>
              </w:rPr>
              <w:t>320,370</w:t>
            </w:r>
            <w:r w:rsidRPr="002A3CF9">
              <w:rPr>
                <w:rFonts w:eastAsia="Calibri" w:cs="Arial"/>
                <w:sz w:val="14"/>
                <w:szCs w:val="14"/>
                <w:lang w:eastAsia="en-US"/>
              </w:rPr>
              <w:t xml:space="preserve"> (standard)</w:t>
            </w:r>
          </w:p>
          <w:p w14:paraId="3E8F6A43" w14:textId="502E7703" w:rsidR="0027143B" w:rsidRPr="002A3CF9" w:rsidRDefault="0027143B"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w:t>
            </w:r>
            <w:r w:rsidR="00BE773B">
              <w:rPr>
                <w:rFonts w:eastAsia="Calibri" w:cs="Arial"/>
                <w:sz w:val="14"/>
                <w:szCs w:val="14"/>
                <w:lang w:eastAsia="en-US"/>
              </w:rPr>
              <w:t>320,370</w:t>
            </w:r>
            <w:r w:rsidRPr="002A3CF9">
              <w:rPr>
                <w:rFonts w:eastAsia="Calibri" w:cs="Arial"/>
                <w:sz w:val="14"/>
                <w:szCs w:val="14"/>
                <w:lang w:eastAsia="en-US"/>
              </w:rPr>
              <w:t xml:space="preserve"> (additional — </w:t>
            </w:r>
            <w:hyperlink r:id="rId1216" w:anchor="sec.192" w:history="1">
              <w:r w:rsidRPr="00353435">
                <w:rPr>
                  <w:rStyle w:val="Hyperlink"/>
                  <w:rFonts w:eastAsia="Calibri" w:cs="Arial"/>
                  <w:sz w:val="14"/>
                  <w:szCs w:val="14"/>
                  <w:lang w:eastAsia="en-US"/>
                </w:rPr>
                <w:t>s192(2)</w:t>
              </w:r>
            </w:hyperlink>
            <w:r w:rsidRPr="002A3CF9">
              <w:rPr>
                <w:rFonts w:eastAsia="Calibri" w:cs="Arial"/>
                <w:sz w:val="14"/>
                <w:szCs w:val="14"/>
                <w:lang w:eastAsia="en-US"/>
              </w:rPr>
              <w:t>)</w:t>
            </w:r>
          </w:p>
          <w:p w14:paraId="1EEC5ED7" w14:textId="36CA6AB1" w:rsidR="0027143B" w:rsidRPr="002A3CF9" w:rsidRDefault="0027143B"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w:t>
            </w:r>
            <w:r w:rsidR="00BE773B">
              <w:rPr>
                <w:rFonts w:eastAsia="Calibri" w:cs="Arial"/>
                <w:sz w:val="14"/>
                <w:szCs w:val="14"/>
                <w:lang w:eastAsia="en-US"/>
              </w:rPr>
              <w:t>362,920</w:t>
            </w:r>
            <w:r w:rsidRPr="002A3CF9">
              <w:rPr>
                <w:rFonts w:eastAsia="Calibri" w:cs="Arial"/>
                <w:sz w:val="14"/>
                <w:szCs w:val="14"/>
                <w:lang w:eastAsia="en-US"/>
              </w:rPr>
              <w:t xml:space="preserve"> (Gratuitous care)</w:t>
            </w:r>
          </w:p>
          <w:p w14:paraId="6CFF110E" w14:textId="11089213" w:rsidR="0027143B" w:rsidRPr="002A3CF9" w:rsidRDefault="0027143B"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$36</w:t>
            </w:r>
            <w:r w:rsidR="00F14B37">
              <w:rPr>
                <w:rFonts w:eastAsia="Calibri" w:cs="Arial"/>
                <w:sz w:val="14"/>
                <w:szCs w:val="14"/>
                <w:lang w:eastAsia="en-US"/>
              </w:rPr>
              <w:t>,</w:t>
            </w:r>
            <w:r w:rsidRPr="002A3CF9">
              <w:rPr>
                <w:rFonts w:eastAsia="Calibri" w:cs="Arial"/>
                <w:sz w:val="14"/>
                <w:szCs w:val="14"/>
                <w:lang w:eastAsia="en-US"/>
              </w:rPr>
              <w:t xml:space="preserve">190 (additional </w:t>
            </w:r>
            <w:r w:rsidR="00F14B37">
              <w:rPr>
                <w:rFonts w:eastAsia="Calibri" w:cs="Arial"/>
                <w:sz w:val="14"/>
                <w:szCs w:val="14"/>
                <w:lang w:eastAsia="en-US"/>
              </w:rPr>
              <w:t>—</w:t>
            </w:r>
            <w:r w:rsidR="00F14B37" w:rsidRPr="002A3CF9">
              <w:rPr>
                <w:rFonts w:eastAsia="Calibri" w:cs="Arial"/>
                <w:sz w:val="14"/>
                <w:szCs w:val="14"/>
                <w:lang w:eastAsia="en-US"/>
              </w:rPr>
              <w:t xml:space="preserve"> </w:t>
            </w:r>
            <w:hyperlink r:id="rId1217" w:anchor="sec.193A" w:history="1">
              <w:r w:rsidRPr="00353435">
                <w:rPr>
                  <w:rStyle w:val="Hyperlink"/>
                  <w:rFonts w:eastAsia="Calibri" w:cs="Arial"/>
                  <w:sz w:val="14"/>
                  <w:szCs w:val="14"/>
                  <w:lang w:eastAsia="en-US"/>
                </w:rPr>
                <w:t>s193A(2)</w:t>
              </w:r>
            </w:hyperlink>
            <w:r w:rsidRPr="002A3CF9">
              <w:rPr>
                <w:rFonts w:eastAsia="Calibri" w:cs="Arial"/>
                <w:sz w:val="14"/>
                <w:szCs w:val="14"/>
                <w:lang w:eastAsia="en-US"/>
              </w:rPr>
              <w:t>)</w:t>
            </w:r>
          </w:p>
          <w:p w14:paraId="103E33B6" w14:textId="5B8773FB" w:rsidR="0027143B" w:rsidRPr="002A3CF9" w:rsidRDefault="0027143B"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w:t>
            </w:r>
            <w:r w:rsidR="00BE773B">
              <w:rPr>
                <w:rFonts w:eastAsia="Calibri" w:cs="Arial"/>
                <w:sz w:val="14"/>
                <w:szCs w:val="14"/>
                <w:lang w:eastAsia="en-US"/>
              </w:rPr>
              <w:t>672,780</w:t>
            </w:r>
            <w:r w:rsidRPr="002A3CF9">
              <w:rPr>
                <w:rFonts w:eastAsia="Calibri" w:cs="Arial"/>
                <w:sz w:val="14"/>
                <w:szCs w:val="14"/>
                <w:lang w:eastAsia="en-US"/>
              </w:rPr>
              <w:t xml:space="preserve"> (Latent onset)</w:t>
            </w:r>
          </w:p>
          <w:p w14:paraId="3D5276B4" w14:textId="767957DF" w:rsidR="0027143B" w:rsidRPr="002A3CF9" w:rsidRDefault="0027143B"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 xml:space="preserve">(as at </w:t>
            </w:r>
            <w:r w:rsidR="00BE773B">
              <w:rPr>
                <w:rFonts w:eastAsia="Calibri" w:cs="Arial"/>
                <w:sz w:val="14"/>
                <w:szCs w:val="14"/>
                <w:lang w:eastAsia="en-US"/>
              </w:rPr>
              <w:t>30 September 2017</w:t>
            </w:r>
            <w:r w:rsidRPr="002A3CF9">
              <w:rPr>
                <w:rFonts w:eastAsia="Calibri" w:cs="Arial"/>
                <w:sz w:val="14"/>
                <w:szCs w:val="14"/>
                <w:lang w:eastAsia="en-US"/>
              </w:rPr>
              <w:t>)</w:t>
            </w:r>
            <w:r w:rsidR="00E13D9F">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1FA0A9F7" w14:textId="77777777"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Queensland Ordinary Time Earnings. Adjusted 1 July.</w:t>
            </w:r>
          </w:p>
        </w:tc>
        <w:tc>
          <w:tcPr>
            <w:tcW w:w="2759" w:type="dxa"/>
            <w:shd w:val="clear" w:color="auto" w:fill="FFC9C9"/>
            <w:tcMar>
              <w:top w:w="80" w:type="dxa"/>
              <w:left w:w="80" w:type="dxa"/>
              <w:bottom w:w="80" w:type="dxa"/>
              <w:right w:w="80" w:type="dxa"/>
            </w:tcMar>
          </w:tcPr>
          <w:p w14:paraId="71A522A6" w14:textId="7B16C2C0"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If 30% or more DPI: up to $</w:t>
            </w:r>
            <w:r w:rsidR="00BE773B">
              <w:rPr>
                <w:rFonts w:cs="Arial"/>
                <w:color w:val="000000"/>
                <w:sz w:val="14"/>
                <w:szCs w:val="16"/>
                <w:lang w:val="en-GB"/>
              </w:rPr>
              <w:t>320,370</w:t>
            </w:r>
            <w:r w:rsidRPr="0027143B">
              <w:rPr>
                <w:rFonts w:cs="Arial"/>
                <w:color w:val="000000"/>
                <w:sz w:val="14"/>
                <w:szCs w:val="16"/>
                <w:lang w:val="en-GB"/>
              </w:rPr>
              <w:t xml:space="preserve"> additional lump sum compensation, payable according to a graduated scale prescribed by regulation (</w:t>
            </w:r>
            <w:hyperlink r:id="rId1218" w:anchor="sec.192" w:history="1">
              <w:r w:rsidRPr="00353435">
                <w:rPr>
                  <w:rStyle w:val="Hyperlink"/>
                  <w:rFonts w:cs="Arial"/>
                  <w:sz w:val="14"/>
                  <w:szCs w:val="16"/>
                  <w:lang w:val="en-GB"/>
                </w:rPr>
                <w:t>s192</w:t>
              </w:r>
            </w:hyperlink>
            <w:r w:rsidRPr="0027143B">
              <w:rPr>
                <w:rFonts w:cs="Arial"/>
                <w:color w:val="000000"/>
                <w:sz w:val="14"/>
                <w:szCs w:val="16"/>
                <w:lang w:val="en-GB"/>
              </w:rPr>
              <w:t>).</w:t>
            </w:r>
          </w:p>
          <w:p w14:paraId="672F23CD" w14:textId="520D03CA"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If a worker sustains an injury that results in a DPI of 15% or more and a moderate to total level of dependency on day to day care for the fundamental activities of daily living, the worker is entitled to additional lump sum compensation of up to</w:t>
            </w:r>
            <w:r w:rsidR="00DD0D68">
              <w:rPr>
                <w:rFonts w:cs="Arial"/>
                <w:color w:val="000000"/>
                <w:sz w:val="14"/>
                <w:szCs w:val="16"/>
                <w:lang w:val="en-GB"/>
              </w:rPr>
              <w:t xml:space="preserve"> </w:t>
            </w:r>
            <w:r w:rsidRPr="0027143B">
              <w:rPr>
                <w:rFonts w:cs="Arial"/>
                <w:color w:val="000000"/>
                <w:sz w:val="14"/>
                <w:szCs w:val="16"/>
                <w:lang w:val="en-GB"/>
              </w:rPr>
              <w:t>$</w:t>
            </w:r>
            <w:r w:rsidR="00BE773B">
              <w:rPr>
                <w:rFonts w:cs="Arial"/>
                <w:color w:val="000000"/>
                <w:sz w:val="14"/>
                <w:szCs w:val="16"/>
                <w:lang w:val="en-GB"/>
              </w:rPr>
              <w:t>362,920</w:t>
            </w:r>
            <w:r w:rsidRPr="0027143B">
              <w:rPr>
                <w:rFonts w:cs="Arial"/>
                <w:color w:val="000000"/>
                <w:sz w:val="14"/>
                <w:szCs w:val="16"/>
                <w:lang w:val="en-GB"/>
              </w:rPr>
              <w:t>, payable according to a graduated scale prescribed by regulation, but only if:</w:t>
            </w:r>
          </w:p>
          <w:p w14:paraId="167D6616" w14:textId="77777777" w:rsidR="0027143B" w:rsidRPr="002A3CF9" w:rsidRDefault="0027143B" w:rsidP="00F839DB">
            <w:pPr>
              <w:pStyle w:val="ListParagraph"/>
              <w:numPr>
                <w:ilvl w:val="0"/>
                <w:numId w:val="152"/>
              </w:numPr>
              <w:spacing w:after="60"/>
              <w:contextualSpacing/>
              <w:rPr>
                <w:rFonts w:eastAsia="Calibri" w:cs="Arial"/>
                <w:sz w:val="14"/>
                <w:szCs w:val="14"/>
                <w:lang w:eastAsia="en-US"/>
              </w:rPr>
            </w:pPr>
            <w:r w:rsidRPr="002A3CF9">
              <w:rPr>
                <w:rFonts w:eastAsia="Calibri" w:cs="Arial"/>
                <w:sz w:val="14"/>
                <w:szCs w:val="14"/>
                <w:lang w:eastAsia="en-US"/>
              </w:rPr>
              <w:t>day to day care for the fundamental activities of daily living is to be provided at the worker’s home on a voluntary basis by another person</w:t>
            </w:r>
          </w:p>
          <w:p w14:paraId="63C22212" w14:textId="77777777" w:rsidR="0027143B" w:rsidRPr="002A3CF9" w:rsidRDefault="0027143B" w:rsidP="00F839DB">
            <w:pPr>
              <w:pStyle w:val="ListParagraph"/>
              <w:numPr>
                <w:ilvl w:val="0"/>
                <w:numId w:val="152"/>
              </w:numPr>
              <w:spacing w:after="60"/>
              <w:contextualSpacing/>
              <w:rPr>
                <w:rFonts w:eastAsia="Calibri" w:cs="Arial"/>
                <w:sz w:val="14"/>
                <w:szCs w:val="14"/>
                <w:lang w:eastAsia="en-US"/>
              </w:rPr>
            </w:pPr>
            <w:r w:rsidRPr="002A3CF9">
              <w:rPr>
                <w:rFonts w:eastAsia="Calibri" w:cs="Arial"/>
                <w:sz w:val="14"/>
                <w:szCs w:val="14"/>
                <w:lang w:eastAsia="en-US"/>
              </w:rPr>
              <w:t xml:space="preserve">the worker resides at home on a permanent basis </w:t>
            </w:r>
          </w:p>
          <w:p w14:paraId="29A202B4" w14:textId="77777777" w:rsidR="0027143B" w:rsidRPr="002A3CF9" w:rsidRDefault="0027143B" w:rsidP="00F839DB">
            <w:pPr>
              <w:pStyle w:val="ListParagraph"/>
              <w:numPr>
                <w:ilvl w:val="0"/>
                <w:numId w:val="152"/>
              </w:numPr>
              <w:spacing w:after="60"/>
              <w:contextualSpacing/>
              <w:rPr>
                <w:rFonts w:eastAsia="Calibri" w:cs="Arial"/>
                <w:sz w:val="14"/>
                <w:szCs w:val="14"/>
                <w:lang w:eastAsia="en-US"/>
              </w:rPr>
            </w:pPr>
            <w:r w:rsidRPr="002A3CF9">
              <w:rPr>
                <w:rFonts w:eastAsia="Calibri" w:cs="Arial"/>
                <w:sz w:val="14"/>
                <w:szCs w:val="14"/>
                <w:lang w:eastAsia="en-US"/>
              </w:rPr>
              <w:t xml:space="preserve">the level of care required was not provided to the worker before the worker sustained the impairment, </w:t>
            </w:r>
            <w:r w:rsidRPr="002A3CF9">
              <w:rPr>
                <w:rFonts w:eastAsia="Calibri" w:cs="Arial"/>
                <w:sz w:val="14"/>
                <w:szCs w:val="14"/>
                <w:lang w:eastAsia="en-US"/>
              </w:rPr>
              <w:lastRenderedPageBreak/>
              <w:t>and</w:t>
            </w:r>
          </w:p>
          <w:p w14:paraId="474E7806" w14:textId="0002F4A4" w:rsidR="0027143B" w:rsidRPr="002A3CF9" w:rsidRDefault="0027143B" w:rsidP="00F839DB">
            <w:pPr>
              <w:pStyle w:val="ListParagraph"/>
              <w:numPr>
                <w:ilvl w:val="0"/>
                <w:numId w:val="152"/>
              </w:numPr>
              <w:spacing w:after="60"/>
              <w:contextualSpacing/>
              <w:rPr>
                <w:rFonts w:eastAsia="Calibri" w:cs="Arial"/>
                <w:sz w:val="14"/>
                <w:szCs w:val="14"/>
                <w:lang w:eastAsia="en-US"/>
              </w:rPr>
            </w:pPr>
            <w:r w:rsidRPr="002A3CF9">
              <w:rPr>
                <w:rFonts w:eastAsia="Calibri" w:cs="Arial"/>
                <w:sz w:val="14"/>
                <w:szCs w:val="14"/>
                <w:lang w:eastAsia="en-US"/>
              </w:rPr>
              <w:t>the worker physically demonstrates the level of dependency (</w:t>
            </w:r>
            <w:hyperlink r:id="rId1219" w:anchor="sec.193" w:history="1">
              <w:r w:rsidRPr="00353435">
                <w:rPr>
                  <w:rStyle w:val="Hyperlink"/>
                  <w:rFonts w:eastAsia="Calibri" w:cs="Arial"/>
                  <w:sz w:val="14"/>
                  <w:szCs w:val="14"/>
                  <w:lang w:eastAsia="en-US"/>
                </w:rPr>
                <w:t>s193</w:t>
              </w:r>
            </w:hyperlink>
            <w:r w:rsidRPr="002A3CF9">
              <w:rPr>
                <w:rFonts w:eastAsia="Calibri" w:cs="Arial"/>
                <w:sz w:val="14"/>
                <w:szCs w:val="14"/>
                <w:lang w:eastAsia="en-US"/>
              </w:rPr>
              <w:t>)</w:t>
            </w:r>
          </w:p>
          <w:p w14:paraId="285F66B5" w14:textId="77777777"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If a worker sustained an injury on or after 15 October 2013 and before 31 January 2015, and if</w:t>
            </w:r>
            <w:r w:rsidR="009E2601">
              <w:rPr>
                <w:rFonts w:cs="Arial"/>
                <w:color w:val="000000"/>
                <w:sz w:val="14"/>
                <w:szCs w:val="16"/>
                <w:lang w:val="en-GB"/>
              </w:rPr>
              <w:t>:</w:t>
            </w:r>
          </w:p>
          <w:p w14:paraId="6EF3F023" w14:textId="77777777" w:rsidR="0027143B" w:rsidRPr="002A3CF9" w:rsidRDefault="0027143B" w:rsidP="00F839DB">
            <w:pPr>
              <w:pStyle w:val="Tableabc7pt"/>
              <w:numPr>
                <w:ilvl w:val="0"/>
                <w:numId w:val="460"/>
              </w:numPr>
              <w:spacing w:before="0" w:after="60"/>
              <w:rPr>
                <w:rFonts w:eastAsia="Calibri"/>
                <w:lang w:eastAsia="en-US"/>
              </w:rPr>
            </w:pPr>
            <w:r w:rsidRPr="002A3CF9">
              <w:rPr>
                <w:rFonts w:eastAsia="Calibri"/>
                <w:lang w:eastAsia="en-US"/>
              </w:rPr>
              <w:t>the worker’s injury</w:t>
            </w:r>
            <w:r w:rsidR="009E2601">
              <w:rPr>
                <w:rFonts w:eastAsia="Calibri"/>
                <w:lang w:eastAsia="en-US"/>
              </w:rPr>
              <w:t>:</w:t>
            </w:r>
          </w:p>
          <w:p w14:paraId="1F506C5F" w14:textId="77777777" w:rsidR="0027143B" w:rsidRPr="002A3CF9" w:rsidRDefault="0027143B" w:rsidP="00F839DB">
            <w:pPr>
              <w:pStyle w:val="ListParagraph"/>
              <w:numPr>
                <w:ilvl w:val="0"/>
                <w:numId w:val="153"/>
              </w:numPr>
              <w:spacing w:after="60"/>
              <w:rPr>
                <w:rFonts w:cs="Arial"/>
                <w:color w:val="000000"/>
                <w:sz w:val="14"/>
                <w:szCs w:val="16"/>
                <w:lang w:val="en-GB"/>
              </w:rPr>
            </w:pPr>
            <w:r w:rsidRPr="002A3CF9">
              <w:rPr>
                <w:rFonts w:cs="Arial"/>
                <w:color w:val="000000"/>
                <w:sz w:val="14"/>
                <w:szCs w:val="16"/>
                <w:lang w:val="en-GB"/>
              </w:rPr>
              <w:t>results in a DPI of 5% or less; and</w:t>
            </w:r>
          </w:p>
          <w:p w14:paraId="6B5A4383" w14:textId="77777777" w:rsidR="0027143B" w:rsidRPr="002A3CF9" w:rsidRDefault="0027143B" w:rsidP="00F839DB">
            <w:pPr>
              <w:pStyle w:val="ListParagraph"/>
              <w:numPr>
                <w:ilvl w:val="0"/>
                <w:numId w:val="153"/>
              </w:numPr>
              <w:spacing w:after="60"/>
              <w:rPr>
                <w:rFonts w:cs="Arial"/>
                <w:color w:val="000000"/>
                <w:sz w:val="14"/>
                <w:szCs w:val="16"/>
                <w:lang w:val="en-GB"/>
              </w:rPr>
            </w:pPr>
            <w:r w:rsidRPr="002A3CF9">
              <w:rPr>
                <w:rFonts w:cs="Arial"/>
                <w:color w:val="000000"/>
                <w:sz w:val="14"/>
                <w:szCs w:val="16"/>
                <w:lang w:val="en-GB"/>
              </w:rPr>
              <w:t>is not a terminal condition; and</w:t>
            </w:r>
          </w:p>
          <w:p w14:paraId="00DCF1FA" w14:textId="77777777" w:rsidR="0027143B" w:rsidRPr="002A3CF9" w:rsidRDefault="0027143B" w:rsidP="00F839DB">
            <w:pPr>
              <w:pStyle w:val="ListParagraph"/>
              <w:numPr>
                <w:ilvl w:val="0"/>
                <w:numId w:val="154"/>
              </w:numPr>
              <w:spacing w:after="60"/>
              <w:contextualSpacing/>
              <w:rPr>
                <w:rFonts w:eastAsia="Calibri" w:cs="Arial"/>
                <w:sz w:val="14"/>
                <w:szCs w:val="14"/>
                <w:lang w:eastAsia="en-US"/>
              </w:rPr>
            </w:pPr>
            <w:r w:rsidRPr="002A3CF9">
              <w:rPr>
                <w:rFonts w:eastAsia="Calibri" w:cs="Arial"/>
                <w:sz w:val="14"/>
                <w:szCs w:val="14"/>
                <w:lang w:eastAsia="en-US"/>
              </w:rPr>
              <w:t>the worker has not accepted or rejected an offer of lump sum compensation from an insurer under section 189; and</w:t>
            </w:r>
          </w:p>
          <w:p w14:paraId="373BC130" w14:textId="5664B691"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subject to the conditions prescribed by regulation (</w:t>
            </w:r>
            <w:hyperlink r:id="rId1220" w:anchor="sec.193A" w:history="1">
              <w:r w:rsidRPr="00353435">
                <w:rPr>
                  <w:rStyle w:val="Hyperlink"/>
                  <w:rFonts w:cs="Arial"/>
                  <w:sz w:val="14"/>
                  <w:szCs w:val="16"/>
                  <w:lang w:val="en-GB"/>
                </w:rPr>
                <w:t>s193A</w:t>
              </w:r>
            </w:hyperlink>
            <w:r w:rsidRPr="0027143B">
              <w:rPr>
                <w:rFonts w:cs="Arial"/>
                <w:color w:val="000000"/>
                <w:sz w:val="14"/>
                <w:szCs w:val="16"/>
                <w:lang w:val="en-GB"/>
              </w:rPr>
              <w:t>), the worker is entitled to additional lump sum compensation up to $36</w:t>
            </w:r>
            <w:r w:rsidR="008A391E">
              <w:rPr>
                <w:rFonts w:cs="Arial"/>
                <w:color w:val="000000"/>
                <w:sz w:val="14"/>
                <w:szCs w:val="16"/>
                <w:lang w:val="en-GB"/>
              </w:rPr>
              <w:t>,</w:t>
            </w:r>
            <w:r w:rsidRPr="0027143B">
              <w:rPr>
                <w:rFonts w:cs="Arial"/>
                <w:color w:val="000000"/>
                <w:sz w:val="14"/>
                <w:szCs w:val="16"/>
                <w:lang w:val="en-GB"/>
              </w:rPr>
              <w:t>190.</w:t>
            </w:r>
          </w:p>
        </w:tc>
        <w:tc>
          <w:tcPr>
            <w:tcW w:w="2759" w:type="dxa"/>
            <w:shd w:val="clear" w:color="auto" w:fill="FFC9C9"/>
            <w:tcMar>
              <w:top w:w="80" w:type="dxa"/>
              <w:left w:w="80" w:type="dxa"/>
              <w:bottom w:w="80" w:type="dxa"/>
              <w:right w:w="80" w:type="dxa"/>
            </w:tcMar>
          </w:tcPr>
          <w:p w14:paraId="0A6F1F37" w14:textId="1BD35FA3" w:rsidR="0027143B" w:rsidRPr="0027143B" w:rsidRDefault="002C086D" w:rsidP="00292A53">
            <w:pPr>
              <w:spacing w:after="60"/>
              <w:rPr>
                <w:rFonts w:cs="Arial"/>
                <w:color w:val="000000"/>
                <w:sz w:val="14"/>
                <w:szCs w:val="16"/>
                <w:lang w:val="en-GB"/>
              </w:rPr>
            </w:pPr>
            <w:r>
              <w:rPr>
                <w:rFonts w:cs="Arial"/>
                <w:color w:val="000000"/>
                <w:sz w:val="14"/>
                <w:szCs w:val="16"/>
                <w:lang w:val="en-GB"/>
              </w:rPr>
              <w:lastRenderedPageBreak/>
              <w:t>All other payments cease</w:t>
            </w:r>
          </w:p>
        </w:tc>
      </w:tr>
      <w:tr w:rsidR="0027143B" w:rsidRPr="0027143B" w14:paraId="07123936" w14:textId="77777777" w:rsidTr="00B2173F">
        <w:tc>
          <w:tcPr>
            <w:tcW w:w="1626" w:type="dxa"/>
            <w:tcMar>
              <w:top w:w="80" w:type="dxa"/>
              <w:left w:w="80" w:type="dxa"/>
              <w:bottom w:w="80" w:type="dxa"/>
              <w:right w:w="80" w:type="dxa"/>
            </w:tcMar>
          </w:tcPr>
          <w:p w14:paraId="6A405710"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Western Australia</w:t>
            </w:r>
          </w:p>
        </w:tc>
        <w:tc>
          <w:tcPr>
            <w:tcW w:w="2759" w:type="dxa"/>
            <w:tcMar>
              <w:top w:w="80" w:type="dxa"/>
              <w:left w:w="80" w:type="dxa"/>
              <w:bottom w:w="80" w:type="dxa"/>
              <w:right w:w="80" w:type="dxa"/>
            </w:tcMar>
          </w:tcPr>
          <w:p w14:paraId="4158DDB9" w14:textId="5C29F079"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Lump sum for</w:t>
            </w:r>
            <w:r w:rsidR="002C086D">
              <w:rPr>
                <w:rFonts w:cs="Arial"/>
                <w:color w:val="000000"/>
                <w:sz w:val="14"/>
                <w:szCs w:val="16"/>
                <w:lang w:val="en-GB"/>
              </w:rPr>
              <w:t xml:space="preserve"> single or multiple impairments</w:t>
            </w:r>
            <w:r w:rsidR="008638B4">
              <w:rPr>
                <w:rFonts w:cs="Arial"/>
                <w:color w:val="000000"/>
                <w:sz w:val="14"/>
                <w:szCs w:val="16"/>
                <w:lang w:val="en-GB"/>
              </w:rPr>
              <w:t xml:space="preserve">, </w:t>
            </w:r>
            <w:r w:rsidR="008638B4" w:rsidRPr="00016069">
              <w:rPr>
                <w:i/>
                <w:sz w:val="14"/>
              </w:rPr>
              <w:t>Workers’ Compensation and Injury Management Act 1981</w:t>
            </w:r>
            <w:r w:rsidR="008638B4">
              <w:rPr>
                <w:i/>
                <w:sz w:val="14"/>
              </w:rPr>
              <w:t>.</w:t>
            </w:r>
          </w:p>
        </w:tc>
        <w:tc>
          <w:tcPr>
            <w:tcW w:w="2759" w:type="dxa"/>
            <w:tcMar>
              <w:top w:w="80" w:type="dxa"/>
              <w:left w:w="80" w:type="dxa"/>
              <w:bottom w:w="80" w:type="dxa"/>
              <w:right w:w="80" w:type="dxa"/>
            </w:tcMar>
          </w:tcPr>
          <w:p w14:paraId="093EE50B" w14:textId="07A54D17" w:rsidR="0027143B" w:rsidRPr="0027143B" w:rsidRDefault="00F2568E" w:rsidP="00BB4F09">
            <w:pPr>
              <w:spacing w:after="60"/>
              <w:rPr>
                <w:rFonts w:cs="Arial"/>
                <w:color w:val="000000"/>
                <w:sz w:val="14"/>
                <w:szCs w:val="16"/>
                <w:lang w:val="en-GB"/>
              </w:rPr>
            </w:pPr>
            <w:r>
              <w:rPr>
                <w:rFonts w:cs="Arial"/>
                <w:color w:val="000000"/>
                <w:sz w:val="14"/>
                <w:szCs w:val="16"/>
                <w:lang w:val="en-GB"/>
              </w:rPr>
              <w:t>$</w:t>
            </w:r>
            <w:r w:rsidR="00BB4F09">
              <w:rPr>
                <w:rFonts w:cs="Arial"/>
                <w:color w:val="000000"/>
                <w:sz w:val="14"/>
                <w:szCs w:val="16"/>
                <w:lang w:val="en-GB"/>
              </w:rPr>
              <w:t>224,921</w:t>
            </w:r>
            <w:r>
              <w:rPr>
                <w:rFonts w:cs="Arial"/>
                <w:color w:val="000000"/>
                <w:sz w:val="14"/>
                <w:szCs w:val="16"/>
                <w:lang w:val="en-GB"/>
              </w:rPr>
              <w:t xml:space="preserve"> for Schedule 2 i</w:t>
            </w:r>
            <w:r w:rsidR="002C086D">
              <w:rPr>
                <w:rFonts w:cs="Arial"/>
                <w:color w:val="000000"/>
                <w:sz w:val="14"/>
                <w:szCs w:val="16"/>
                <w:lang w:val="en-GB"/>
              </w:rPr>
              <w:t>mpairments</w:t>
            </w:r>
          </w:p>
        </w:tc>
        <w:tc>
          <w:tcPr>
            <w:tcW w:w="2759" w:type="dxa"/>
            <w:tcMar>
              <w:top w:w="80" w:type="dxa"/>
              <w:left w:w="80" w:type="dxa"/>
              <w:bottom w:w="80" w:type="dxa"/>
              <w:right w:w="80" w:type="dxa"/>
            </w:tcMar>
          </w:tcPr>
          <w:p w14:paraId="4CE57A83" w14:textId="2D8F984F" w:rsidR="0027143B" w:rsidRPr="007C3D41" w:rsidRDefault="0027143B" w:rsidP="00F839DB">
            <w:pPr>
              <w:pStyle w:val="ListParagraph"/>
              <w:numPr>
                <w:ilvl w:val="0"/>
                <w:numId w:val="155"/>
              </w:numPr>
              <w:spacing w:after="60"/>
              <w:contextualSpacing/>
              <w:rPr>
                <w:rFonts w:eastAsia="Calibri" w:cs="Arial"/>
                <w:sz w:val="14"/>
                <w:szCs w:val="14"/>
                <w:lang w:eastAsia="en-US"/>
              </w:rPr>
            </w:pPr>
            <w:r w:rsidRPr="007C3D41">
              <w:rPr>
                <w:rFonts w:eastAsia="Calibri" w:cs="Arial"/>
                <w:sz w:val="14"/>
                <w:szCs w:val="14"/>
                <w:lang w:eastAsia="en-US"/>
              </w:rPr>
              <w:t>Indexation occurs annually using</w:t>
            </w:r>
            <w:r w:rsidR="00DD0D68">
              <w:rPr>
                <w:rFonts w:eastAsia="Calibri" w:cs="Arial"/>
                <w:sz w:val="14"/>
                <w:szCs w:val="14"/>
                <w:lang w:eastAsia="en-US"/>
              </w:rPr>
              <w:t xml:space="preserve"> </w:t>
            </w:r>
            <w:r w:rsidRPr="007C3D41">
              <w:rPr>
                <w:rFonts w:eastAsia="Calibri" w:cs="Arial"/>
                <w:sz w:val="14"/>
                <w:szCs w:val="14"/>
                <w:lang w:eastAsia="en-US"/>
              </w:rPr>
              <w:t>the Australian Bureau of Statistics (ABS) Wage Price Index ordinary time hourly rates of pay (excluding bonuses) for Western Australia, varied between the second last December quarter before the financial year commenced, and the last December quarter before the financial year commenced.</w:t>
            </w:r>
          </w:p>
          <w:p w14:paraId="1A99D12E" w14:textId="77777777" w:rsidR="0027143B" w:rsidRPr="007C3D41" w:rsidRDefault="0027143B" w:rsidP="00F839DB">
            <w:pPr>
              <w:pStyle w:val="ListParagraph"/>
              <w:numPr>
                <w:ilvl w:val="0"/>
                <w:numId w:val="155"/>
              </w:numPr>
              <w:spacing w:after="60"/>
              <w:contextualSpacing/>
              <w:rPr>
                <w:rFonts w:eastAsia="Calibri" w:cs="Arial"/>
                <w:sz w:val="14"/>
                <w:szCs w:val="14"/>
                <w:lang w:eastAsia="en-US"/>
              </w:rPr>
            </w:pPr>
            <w:r w:rsidRPr="007C3D41">
              <w:rPr>
                <w:rFonts w:eastAsia="Calibri" w:cs="Arial"/>
                <w:sz w:val="14"/>
                <w:szCs w:val="14"/>
                <w:lang w:eastAsia="en-US"/>
              </w:rPr>
              <w:t>Changes in indexed rates are effective from 1 July each year.</w:t>
            </w:r>
          </w:p>
        </w:tc>
        <w:tc>
          <w:tcPr>
            <w:tcW w:w="2759" w:type="dxa"/>
            <w:tcMar>
              <w:top w:w="80" w:type="dxa"/>
              <w:left w:w="80" w:type="dxa"/>
              <w:bottom w:w="80" w:type="dxa"/>
              <w:right w:w="80" w:type="dxa"/>
            </w:tcMar>
          </w:tcPr>
          <w:p w14:paraId="19FA802B" w14:textId="77777777" w:rsidR="0027143B" w:rsidRPr="00BC2D34" w:rsidRDefault="0027143B" w:rsidP="00F839DB">
            <w:pPr>
              <w:pStyle w:val="ListParagraph"/>
              <w:numPr>
                <w:ilvl w:val="0"/>
                <w:numId w:val="156"/>
              </w:numPr>
              <w:spacing w:after="60"/>
              <w:contextualSpacing/>
              <w:rPr>
                <w:rFonts w:eastAsia="Calibri" w:cs="Arial"/>
                <w:sz w:val="14"/>
                <w:szCs w:val="14"/>
                <w:lang w:eastAsia="en-US"/>
              </w:rPr>
            </w:pPr>
            <w:r w:rsidRPr="00BC2D34">
              <w:rPr>
                <w:rFonts w:eastAsia="Calibri" w:cs="Arial"/>
                <w:sz w:val="14"/>
                <w:szCs w:val="14"/>
                <w:lang w:eastAsia="en-US"/>
              </w:rPr>
              <w:t>Common law: not less than 15% WPI (limited damages) and not less than 25% WPI (unlimited damages)</w:t>
            </w:r>
          </w:p>
          <w:p w14:paraId="3A13BCC6" w14:textId="77777777" w:rsidR="0027143B" w:rsidRPr="00BC2D34" w:rsidRDefault="0027143B" w:rsidP="00F839DB">
            <w:pPr>
              <w:pStyle w:val="ListParagraph"/>
              <w:numPr>
                <w:ilvl w:val="0"/>
                <w:numId w:val="156"/>
              </w:numPr>
              <w:spacing w:after="60"/>
              <w:contextualSpacing/>
              <w:rPr>
                <w:rFonts w:eastAsia="Calibri" w:cs="Arial"/>
                <w:sz w:val="14"/>
                <w:szCs w:val="14"/>
                <w:lang w:eastAsia="en-US"/>
              </w:rPr>
            </w:pPr>
            <w:r w:rsidRPr="00BC2D34">
              <w:rPr>
                <w:rFonts w:eastAsia="Calibri" w:cs="Arial"/>
                <w:sz w:val="14"/>
                <w:szCs w:val="14"/>
                <w:lang w:eastAsia="en-US"/>
              </w:rPr>
              <w:t>Specialised retraining programs: Not less than 10% WPI but less than 15% WPI (also need to satisfy criteria determined by WorkCover)</w:t>
            </w:r>
          </w:p>
          <w:p w14:paraId="223DD8E4" w14:textId="513F17EE" w:rsidR="0027143B" w:rsidRPr="00BC2D34" w:rsidRDefault="0027143B" w:rsidP="00F839DB">
            <w:pPr>
              <w:pStyle w:val="ListParagraph"/>
              <w:numPr>
                <w:ilvl w:val="0"/>
                <w:numId w:val="156"/>
              </w:numPr>
              <w:spacing w:after="60"/>
              <w:contextualSpacing/>
              <w:rPr>
                <w:rFonts w:eastAsia="Calibri" w:cs="Arial"/>
                <w:sz w:val="14"/>
                <w:szCs w:val="14"/>
                <w:lang w:eastAsia="en-US"/>
              </w:rPr>
            </w:pPr>
            <w:r w:rsidRPr="00BC2D34">
              <w:rPr>
                <w:rFonts w:eastAsia="Calibri" w:cs="Arial"/>
                <w:sz w:val="14"/>
                <w:szCs w:val="14"/>
                <w:lang w:eastAsia="en-US"/>
              </w:rPr>
              <w:t>Payment of additional expenses: (Schedule 1, Clause 18A of up to $250</w:t>
            </w:r>
            <w:r w:rsidR="008A391E">
              <w:rPr>
                <w:rFonts w:eastAsia="Calibri" w:cs="Arial"/>
                <w:sz w:val="14"/>
                <w:szCs w:val="14"/>
                <w:lang w:eastAsia="en-US"/>
              </w:rPr>
              <w:t>,</w:t>
            </w:r>
            <w:r w:rsidRPr="00BC2D34">
              <w:rPr>
                <w:rFonts w:eastAsia="Calibri" w:cs="Arial"/>
                <w:sz w:val="14"/>
                <w:szCs w:val="14"/>
                <w:lang w:eastAsia="en-US"/>
              </w:rPr>
              <w:t>000). Not less than 15% WPI (Arbitrator is also to have regard to the social and financial circumstances and the reasonable financial needs of the injured worker)</w:t>
            </w:r>
            <w:r w:rsidR="00E13D9F">
              <w:rPr>
                <w:rFonts w:eastAsia="Calibri" w:cs="Arial"/>
                <w:sz w:val="14"/>
                <w:szCs w:val="14"/>
                <w:lang w:eastAsia="en-US"/>
              </w:rPr>
              <w:t>.</w:t>
            </w:r>
          </w:p>
        </w:tc>
        <w:tc>
          <w:tcPr>
            <w:tcW w:w="2759" w:type="dxa"/>
            <w:tcMar>
              <w:top w:w="80" w:type="dxa"/>
              <w:left w:w="80" w:type="dxa"/>
              <w:bottom w:w="80" w:type="dxa"/>
              <w:right w:w="80" w:type="dxa"/>
            </w:tcMar>
          </w:tcPr>
          <w:p w14:paraId="39B657F4" w14:textId="0FBBAB2B"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 xml:space="preserve">Weekly payments cease once a memorandum of agreement is registered pursuant to </w:t>
            </w:r>
            <w:hyperlink r:id="rId1221" w:history="1">
              <w:r w:rsidRPr="00531225">
                <w:rPr>
                  <w:rStyle w:val="Hyperlink"/>
                  <w:rFonts w:cs="Arial"/>
                  <w:sz w:val="14"/>
                  <w:szCs w:val="16"/>
                  <w:lang w:val="en-GB"/>
                </w:rPr>
                <w:t>s76</w:t>
              </w:r>
            </w:hyperlink>
            <w:r w:rsidRPr="0027143B">
              <w:rPr>
                <w:rFonts w:cs="Arial"/>
                <w:color w:val="000000"/>
                <w:sz w:val="14"/>
                <w:szCs w:val="16"/>
                <w:lang w:val="en-GB"/>
              </w:rPr>
              <w:t xml:space="preserve"> of the Act.</w:t>
            </w:r>
          </w:p>
          <w:p w14:paraId="2358FD2A" w14:textId="77777777"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Publications / Guidance :</w:t>
            </w:r>
          </w:p>
          <w:p w14:paraId="27F4FFB6" w14:textId="0D9774BB" w:rsidR="0027143B" w:rsidRPr="0027143B" w:rsidRDefault="00A7538C" w:rsidP="00292A53">
            <w:pPr>
              <w:spacing w:after="60"/>
              <w:rPr>
                <w:rFonts w:cs="Arial"/>
                <w:color w:val="000000"/>
                <w:sz w:val="14"/>
                <w:szCs w:val="16"/>
                <w:lang w:val="en-GB"/>
              </w:rPr>
            </w:pPr>
            <w:hyperlink r:id="rId1222" w:history="1">
              <w:r w:rsidR="0027143B" w:rsidRPr="0027143B">
                <w:rPr>
                  <w:rFonts w:cs="Arial"/>
                  <w:color w:val="0000FF"/>
                  <w:sz w:val="14"/>
                  <w:szCs w:val="16"/>
                  <w:u w:val="single"/>
                  <w:lang w:val="en-GB"/>
                </w:rPr>
                <w:t>Workers’ Compensation and Injury Management: A Guide for Workers</w:t>
              </w:r>
            </w:hyperlink>
            <w:r w:rsidR="0027143B" w:rsidRPr="0027143B">
              <w:rPr>
                <w:rFonts w:cs="Arial"/>
                <w:color w:val="000000"/>
                <w:sz w:val="14"/>
                <w:szCs w:val="16"/>
                <w:lang w:val="en-GB"/>
              </w:rPr>
              <w:t>.</w:t>
            </w:r>
          </w:p>
          <w:p w14:paraId="7D02BF95" w14:textId="77777777" w:rsidR="0027143B" w:rsidRPr="0027143B" w:rsidRDefault="00A7538C" w:rsidP="00292A53">
            <w:pPr>
              <w:spacing w:after="60"/>
              <w:rPr>
                <w:rFonts w:cs="Arial"/>
                <w:color w:val="000000"/>
                <w:sz w:val="14"/>
                <w:szCs w:val="16"/>
                <w:lang w:val="en-GB"/>
              </w:rPr>
            </w:pPr>
            <w:hyperlink r:id="rId1223" w:history="1">
              <w:r w:rsidR="0027143B" w:rsidRPr="0027143B">
                <w:rPr>
                  <w:rFonts w:cs="Arial"/>
                  <w:color w:val="0000FF"/>
                  <w:sz w:val="14"/>
                  <w:szCs w:val="16"/>
                  <w:u w:val="single"/>
                  <w:lang w:val="en-GB"/>
                </w:rPr>
                <w:t>Medical Expenses / Exceptional Circumstances Medical Payments</w:t>
              </w:r>
            </w:hyperlink>
            <w:r w:rsidR="0027143B" w:rsidRPr="0027143B">
              <w:rPr>
                <w:rFonts w:cs="Arial"/>
                <w:color w:val="000000"/>
                <w:sz w:val="14"/>
                <w:szCs w:val="16"/>
                <w:lang w:val="en-GB"/>
              </w:rPr>
              <w:t>.</w:t>
            </w:r>
          </w:p>
          <w:p w14:paraId="12B10111" w14:textId="788DE573" w:rsidR="007A1995" w:rsidRDefault="00A7538C" w:rsidP="00292A53">
            <w:pPr>
              <w:spacing w:after="60"/>
              <w:rPr>
                <w:rFonts w:cs="Arial"/>
                <w:color w:val="0000FF"/>
                <w:sz w:val="14"/>
                <w:szCs w:val="16"/>
                <w:u w:val="single"/>
                <w:lang w:val="en-GB"/>
              </w:rPr>
            </w:pPr>
            <w:hyperlink r:id="rId1224" w:history="1">
              <w:r w:rsidR="007A1995" w:rsidRPr="008C0AF5">
                <w:rPr>
                  <w:rStyle w:val="Hyperlink"/>
                  <w:rFonts w:cs="Arial"/>
                  <w:sz w:val="14"/>
                  <w:szCs w:val="16"/>
                  <w:lang w:val="en-GB"/>
                </w:rPr>
                <w:t>Indexation of Workers' Compensation Payments</w:t>
              </w:r>
            </w:hyperlink>
          </w:p>
          <w:p w14:paraId="6258E33B" w14:textId="77124369" w:rsidR="0027143B" w:rsidRPr="0027143B" w:rsidRDefault="00A7538C" w:rsidP="00292A53">
            <w:pPr>
              <w:spacing w:after="60"/>
              <w:rPr>
                <w:rFonts w:cs="Arial"/>
                <w:color w:val="000000"/>
                <w:sz w:val="14"/>
                <w:szCs w:val="16"/>
                <w:lang w:val="en-GB"/>
              </w:rPr>
            </w:pPr>
            <w:hyperlink r:id="rId1225" w:history="1">
              <w:r w:rsidR="0027143B" w:rsidRPr="0027143B">
                <w:rPr>
                  <w:rFonts w:cs="Arial"/>
                  <w:color w:val="0000FF"/>
                  <w:sz w:val="14"/>
                  <w:szCs w:val="16"/>
                  <w:u w:val="single"/>
                  <w:lang w:val="en-GB"/>
                </w:rPr>
                <w:t>Settlements</w:t>
              </w:r>
            </w:hyperlink>
            <w:r w:rsidR="0027143B" w:rsidRPr="0027143B">
              <w:rPr>
                <w:rFonts w:cs="Arial"/>
                <w:color w:val="000000"/>
                <w:sz w:val="14"/>
                <w:szCs w:val="16"/>
                <w:lang w:val="en-GB"/>
              </w:rPr>
              <w:t xml:space="preserve">. </w:t>
            </w:r>
          </w:p>
        </w:tc>
      </w:tr>
      <w:tr w:rsidR="0027143B" w:rsidRPr="0027143B" w14:paraId="1916303A" w14:textId="77777777" w:rsidTr="00B2173F">
        <w:tc>
          <w:tcPr>
            <w:tcW w:w="1626" w:type="dxa"/>
            <w:shd w:val="clear" w:color="auto" w:fill="FFC9C9"/>
            <w:tcMar>
              <w:top w:w="80" w:type="dxa"/>
              <w:left w:w="80" w:type="dxa"/>
              <w:bottom w:w="80" w:type="dxa"/>
              <w:right w:w="80" w:type="dxa"/>
            </w:tcMar>
          </w:tcPr>
          <w:p w14:paraId="612979DF"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South Australia</w:t>
            </w:r>
          </w:p>
        </w:tc>
        <w:tc>
          <w:tcPr>
            <w:tcW w:w="2759" w:type="dxa"/>
            <w:shd w:val="clear" w:color="auto" w:fill="FFC9C9"/>
            <w:tcMar>
              <w:top w:w="80" w:type="dxa"/>
              <w:left w:w="80" w:type="dxa"/>
              <w:bottom w:w="80" w:type="dxa"/>
              <w:right w:w="80" w:type="dxa"/>
            </w:tcMar>
          </w:tcPr>
          <w:p w14:paraId="0F355521" w14:textId="320C6AD8"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There are two lump sum payments</w:t>
            </w:r>
            <w:r w:rsidR="00A95C3B">
              <w:rPr>
                <w:rFonts w:cs="Arial"/>
                <w:color w:val="000000"/>
                <w:sz w:val="14"/>
                <w:szCs w:val="16"/>
                <w:lang w:val="en-GB"/>
              </w:rPr>
              <w:fldChar w:fldCharType="begin"/>
            </w:r>
            <w:r w:rsidR="00A95C3B">
              <w:instrText xml:space="preserve"> XE "</w:instrText>
            </w:r>
            <w:r w:rsidR="00A95C3B" w:rsidRPr="00570B18">
              <w:instrText>payments:lump sum payments</w:instrText>
            </w:r>
            <w:r w:rsidR="00A95C3B">
              <w:instrText xml:space="preserve">" </w:instrText>
            </w:r>
            <w:r w:rsidR="00A95C3B">
              <w:rPr>
                <w:rFonts w:cs="Arial"/>
                <w:color w:val="000000"/>
                <w:sz w:val="14"/>
                <w:szCs w:val="16"/>
                <w:lang w:val="en-GB"/>
              </w:rPr>
              <w:fldChar w:fldCharType="end"/>
            </w:r>
            <w:r w:rsidRPr="0027143B">
              <w:rPr>
                <w:rFonts w:cs="Arial"/>
                <w:color w:val="000000"/>
                <w:sz w:val="14"/>
                <w:szCs w:val="16"/>
                <w:lang w:val="en-GB"/>
              </w:rPr>
              <w:t xml:space="preserve"> available:</w:t>
            </w:r>
          </w:p>
          <w:p w14:paraId="0C0F82CC" w14:textId="77777777" w:rsidR="0027143B" w:rsidRPr="00BC2D34" w:rsidRDefault="0027143B" w:rsidP="00F839DB">
            <w:pPr>
              <w:pStyle w:val="ListParagraph"/>
              <w:numPr>
                <w:ilvl w:val="0"/>
                <w:numId w:val="157"/>
              </w:numPr>
              <w:spacing w:after="60"/>
              <w:rPr>
                <w:rFonts w:cs="Arial"/>
                <w:color w:val="000000"/>
                <w:sz w:val="14"/>
                <w:szCs w:val="16"/>
                <w:lang w:val="en-GB"/>
              </w:rPr>
            </w:pPr>
            <w:r w:rsidRPr="00BC2D34">
              <w:rPr>
                <w:rFonts w:cs="Arial"/>
                <w:color w:val="000000"/>
                <w:sz w:val="14"/>
                <w:szCs w:val="16"/>
                <w:lang w:val="en-GB"/>
              </w:rPr>
              <w:t>Non-economic loss (threshold is minimum 5% WPI)</w:t>
            </w:r>
          </w:p>
          <w:p w14:paraId="4A197B3D" w14:textId="77777777" w:rsidR="0027143B" w:rsidRPr="00BC2D34" w:rsidRDefault="0027143B" w:rsidP="00F839DB">
            <w:pPr>
              <w:pStyle w:val="ListParagraph"/>
              <w:numPr>
                <w:ilvl w:val="0"/>
                <w:numId w:val="157"/>
              </w:numPr>
              <w:spacing w:after="60"/>
              <w:rPr>
                <w:rFonts w:cs="Arial"/>
                <w:color w:val="000000"/>
                <w:sz w:val="14"/>
                <w:szCs w:val="16"/>
                <w:lang w:val="en-GB"/>
              </w:rPr>
            </w:pPr>
            <w:r w:rsidRPr="00BC2D34">
              <w:rPr>
                <w:rFonts w:cs="Arial"/>
                <w:color w:val="000000"/>
                <w:sz w:val="14"/>
                <w:szCs w:val="16"/>
                <w:lang w:val="en-GB"/>
              </w:rPr>
              <w:t xml:space="preserve">Economic loss (only applies where minimum of 5% and maximum of 29% WPI, as workers with WPI &gt;30% are entitled to income support until retirement age). </w:t>
            </w:r>
          </w:p>
          <w:p w14:paraId="4E99B6AA" w14:textId="701F7B69" w:rsidR="0027143B" w:rsidRPr="0027143B" w:rsidRDefault="0027143B" w:rsidP="008A391E">
            <w:pPr>
              <w:spacing w:after="60"/>
              <w:rPr>
                <w:rFonts w:cs="Arial"/>
                <w:color w:val="000000"/>
                <w:sz w:val="14"/>
                <w:szCs w:val="16"/>
                <w:lang w:val="en-GB"/>
              </w:rPr>
            </w:pPr>
            <w:r w:rsidRPr="0027143B">
              <w:rPr>
                <w:rFonts w:cs="Arial"/>
                <w:color w:val="000000"/>
                <w:sz w:val="14"/>
                <w:szCs w:val="16"/>
                <w:lang w:val="en-GB"/>
              </w:rPr>
              <w:t xml:space="preserve">See </w:t>
            </w:r>
            <w:hyperlink r:id="rId1226" w:history="1">
              <w:r w:rsidRPr="00735FF9">
                <w:rPr>
                  <w:rStyle w:val="Hyperlink"/>
                  <w:rFonts w:cs="Arial"/>
                  <w:sz w:val="14"/>
                  <w:szCs w:val="16"/>
                  <w:lang w:val="en-GB"/>
                </w:rPr>
                <w:t>ss55</w:t>
              </w:r>
              <w:r w:rsidR="008A391E" w:rsidRPr="00735FF9">
                <w:rPr>
                  <w:rStyle w:val="Hyperlink"/>
                  <w:rFonts w:cs="Arial"/>
                  <w:sz w:val="14"/>
                  <w:szCs w:val="16"/>
                  <w:lang w:val="en-GB"/>
                </w:rPr>
                <w:t>–</w:t>
              </w:r>
              <w:r w:rsidRPr="00735FF9">
                <w:rPr>
                  <w:rStyle w:val="Hyperlink"/>
                  <w:rFonts w:cs="Arial"/>
                  <w:sz w:val="14"/>
                  <w:szCs w:val="16"/>
                  <w:lang w:val="en-GB"/>
                </w:rPr>
                <w:t>58</w:t>
              </w:r>
            </w:hyperlink>
            <w:r w:rsidR="00735FF9">
              <w:rPr>
                <w:rFonts w:cs="Arial"/>
                <w:color w:val="000000"/>
                <w:sz w:val="14"/>
                <w:szCs w:val="16"/>
                <w:lang w:val="en-GB"/>
              </w:rPr>
              <w:t xml:space="preserve">, </w:t>
            </w:r>
            <w:r w:rsidR="00735FF9" w:rsidRPr="00016069">
              <w:rPr>
                <w:i/>
                <w:sz w:val="14"/>
              </w:rPr>
              <w:t>Return to Work Act 2014</w:t>
            </w:r>
            <w:r w:rsidR="00735FF9">
              <w:rPr>
                <w:i/>
                <w:sz w:val="14"/>
              </w:rPr>
              <w:t>.</w:t>
            </w:r>
          </w:p>
        </w:tc>
        <w:tc>
          <w:tcPr>
            <w:tcW w:w="2759" w:type="dxa"/>
            <w:shd w:val="clear" w:color="auto" w:fill="FFC9C9"/>
            <w:tcMar>
              <w:top w:w="80" w:type="dxa"/>
              <w:left w:w="80" w:type="dxa"/>
              <w:bottom w:w="80" w:type="dxa"/>
              <w:right w:w="80" w:type="dxa"/>
            </w:tcMar>
          </w:tcPr>
          <w:p w14:paraId="7A0179FC" w14:textId="1BF34E46" w:rsidR="0027143B" w:rsidRPr="0027143B" w:rsidRDefault="00D41D16" w:rsidP="00292A53">
            <w:pPr>
              <w:spacing w:after="60"/>
              <w:rPr>
                <w:rFonts w:cs="Arial"/>
                <w:color w:val="000000"/>
                <w:sz w:val="14"/>
                <w:szCs w:val="16"/>
                <w:lang w:val="en-GB"/>
              </w:rPr>
            </w:pPr>
            <w:r>
              <w:rPr>
                <w:rFonts w:cs="Arial"/>
                <w:color w:val="000000"/>
                <w:sz w:val="14"/>
                <w:szCs w:val="16"/>
                <w:lang w:val="en-GB"/>
              </w:rPr>
              <w:t>$487</w:t>
            </w:r>
            <w:r w:rsidR="008A391E">
              <w:rPr>
                <w:rFonts w:cs="Arial"/>
                <w:color w:val="000000"/>
                <w:sz w:val="14"/>
                <w:szCs w:val="16"/>
                <w:lang w:val="en-GB"/>
              </w:rPr>
              <w:t>,</w:t>
            </w:r>
            <w:r w:rsidR="0027143B" w:rsidRPr="0027143B">
              <w:rPr>
                <w:rFonts w:cs="Arial"/>
                <w:color w:val="000000"/>
                <w:sz w:val="14"/>
                <w:szCs w:val="16"/>
                <w:lang w:val="en-GB"/>
              </w:rPr>
              <w:t>476 (non-economic loss)</w:t>
            </w:r>
          </w:p>
          <w:p w14:paraId="25B1BDC5" w14:textId="600E85C8" w:rsidR="0027143B" w:rsidRPr="0027143B" w:rsidRDefault="00D41D16" w:rsidP="00292A53">
            <w:pPr>
              <w:spacing w:after="60"/>
              <w:rPr>
                <w:rFonts w:cs="Arial"/>
                <w:color w:val="000000"/>
                <w:sz w:val="14"/>
                <w:szCs w:val="16"/>
                <w:lang w:val="en-GB"/>
              </w:rPr>
            </w:pPr>
            <w:r>
              <w:rPr>
                <w:rFonts w:cs="Arial"/>
                <w:color w:val="000000"/>
                <w:sz w:val="14"/>
                <w:szCs w:val="16"/>
                <w:lang w:val="en-GB"/>
              </w:rPr>
              <w:t>$361</w:t>
            </w:r>
            <w:r w:rsidR="008A391E">
              <w:rPr>
                <w:rFonts w:cs="Arial"/>
                <w:color w:val="000000"/>
                <w:sz w:val="14"/>
                <w:szCs w:val="16"/>
                <w:lang w:val="en-GB"/>
              </w:rPr>
              <w:t>,</w:t>
            </w:r>
            <w:r w:rsidR="0027143B" w:rsidRPr="0027143B">
              <w:rPr>
                <w:rFonts w:cs="Arial"/>
                <w:color w:val="000000"/>
                <w:sz w:val="14"/>
                <w:szCs w:val="16"/>
                <w:lang w:val="en-GB"/>
              </w:rPr>
              <w:t>476 (economic loss)</w:t>
            </w:r>
          </w:p>
          <w:p w14:paraId="2ECA06E9" w14:textId="5F2963BA"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 xml:space="preserve">See </w:t>
            </w:r>
            <w:hyperlink r:id="rId1227" w:history="1">
              <w:r w:rsidRPr="0027143B">
                <w:rPr>
                  <w:rFonts w:cs="Arial"/>
                  <w:color w:val="0000FF"/>
                  <w:sz w:val="14"/>
                  <w:szCs w:val="16"/>
                  <w:u w:val="single"/>
                  <w:lang w:val="en-GB"/>
                </w:rPr>
                <w:t>Schedule of Sums</w:t>
              </w:r>
            </w:hyperlink>
          </w:p>
        </w:tc>
        <w:tc>
          <w:tcPr>
            <w:tcW w:w="2759" w:type="dxa"/>
            <w:shd w:val="clear" w:color="auto" w:fill="FFC9C9"/>
            <w:tcMar>
              <w:top w:w="80" w:type="dxa"/>
              <w:left w:w="80" w:type="dxa"/>
              <w:bottom w:w="80" w:type="dxa"/>
              <w:right w:w="80" w:type="dxa"/>
            </w:tcMar>
          </w:tcPr>
          <w:p w14:paraId="1777D20B" w14:textId="23D5B2C7" w:rsidR="0027143B" w:rsidRPr="0027143B" w:rsidRDefault="0027143B" w:rsidP="008A391E">
            <w:pPr>
              <w:spacing w:after="60"/>
              <w:rPr>
                <w:rFonts w:cs="Arial"/>
                <w:color w:val="000000"/>
                <w:sz w:val="14"/>
                <w:szCs w:val="16"/>
                <w:lang w:val="en-GB"/>
              </w:rPr>
            </w:pPr>
            <w:r w:rsidRPr="0027143B">
              <w:rPr>
                <w:rFonts w:cs="Arial"/>
                <w:color w:val="000000"/>
                <w:sz w:val="14"/>
                <w:szCs w:val="16"/>
                <w:lang w:val="en-GB"/>
              </w:rPr>
              <w:t xml:space="preserve">Adjusted on 1 January each year by multiplying the amount by a proportion obtained by dividing the Consumer Price Index for the September quarter of the immediately preceding year by the Consumer Price Index for the September quarter, (with the amount so adjusted being rounded </w:t>
            </w:r>
            <w:r w:rsidR="002C086D">
              <w:rPr>
                <w:rFonts w:cs="Arial"/>
                <w:color w:val="000000"/>
                <w:sz w:val="14"/>
                <w:szCs w:val="16"/>
                <w:lang w:val="en-GB"/>
              </w:rPr>
              <w:t xml:space="preserve">up to the nearest dollar) </w:t>
            </w:r>
            <w:r w:rsidR="008A391E">
              <w:rPr>
                <w:rFonts w:cs="Arial"/>
                <w:color w:val="000000"/>
                <w:sz w:val="14"/>
                <w:szCs w:val="16"/>
                <w:lang w:val="en-GB"/>
              </w:rPr>
              <w:t xml:space="preserve">— </w:t>
            </w:r>
            <w:hyperlink r:id="rId1228" w:history="1">
              <w:r w:rsidR="002C086D" w:rsidRPr="00735FF9">
                <w:rPr>
                  <w:rStyle w:val="Hyperlink"/>
                  <w:rFonts w:cs="Arial"/>
                  <w:sz w:val="14"/>
                  <w:szCs w:val="16"/>
                  <w:lang w:val="en-GB"/>
                </w:rPr>
                <w:t>s28</w:t>
              </w:r>
            </w:hyperlink>
            <w:r w:rsidR="00735FF9">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6AC1A8B7" w14:textId="23D12200"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30% WPI required for acc</w:t>
            </w:r>
            <w:r w:rsidR="002C086D">
              <w:rPr>
                <w:rFonts w:cs="Arial"/>
                <w:color w:val="000000"/>
                <w:sz w:val="14"/>
                <w:szCs w:val="16"/>
                <w:lang w:val="en-GB"/>
              </w:rPr>
              <w:t>ess to common law damages (</w:t>
            </w:r>
            <w:hyperlink r:id="rId1229" w:history="1">
              <w:r w:rsidR="002C086D" w:rsidRPr="00735FF9">
                <w:rPr>
                  <w:rStyle w:val="Hyperlink"/>
                  <w:rFonts w:cs="Arial"/>
                  <w:sz w:val="14"/>
                  <w:szCs w:val="16"/>
                  <w:lang w:val="en-GB"/>
                </w:rPr>
                <w:t>s72</w:t>
              </w:r>
            </w:hyperlink>
            <w:r w:rsidR="002C086D">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22726194" w14:textId="3CA817F0"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Payment of non-economic loss lump sum does not i</w:t>
            </w:r>
            <w:r w:rsidR="002C086D">
              <w:rPr>
                <w:rFonts w:cs="Arial"/>
                <w:color w:val="000000"/>
                <w:sz w:val="14"/>
                <w:szCs w:val="16"/>
                <w:lang w:val="en-GB"/>
              </w:rPr>
              <w:t>mpact on any other entitlements</w:t>
            </w:r>
          </w:p>
        </w:tc>
      </w:tr>
      <w:tr w:rsidR="0027143B" w:rsidRPr="0027143B" w14:paraId="60535AAC" w14:textId="77777777" w:rsidTr="00B2173F">
        <w:tc>
          <w:tcPr>
            <w:tcW w:w="1626" w:type="dxa"/>
            <w:tcMar>
              <w:top w:w="80" w:type="dxa"/>
              <w:left w:w="80" w:type="dxa"/>
              <w:bottom w:w="80" w:type="dxa"/>
              <w:right w:w="80" w:type="dxa"/>
            </w:tcMar>
          </w:tcPr>
          <w:p w14:paraId="04CB5751" w14:textId="3D655ED7" w:rsidR="0027143B" w:rsidRPr="0027143B" w:rsidRDefault="00854AFF" w:rsidP="00292A53">
            <w:pPr>
              <w:spacing w:after="60"/>
              <w:rPr>
                <w:rFonts w:eastAsia="Calibri" w:cs="Arial"/>
                <w:b/>
                <w:sz w:val="16"/>
                <w:szCs w:val="16"/>
                <w:lang w:eastAsia="en-US"/>
              </w:rPr>
            </w:pPr>
            <w:r>
              <w:rPr>
                <w:rFonts w:eastAsia="Calibri" w:cs="Arial"/>
                <w:b/>
                <w:sz w:val="16"/>
                <w:szCs w:val="16"/>
                <w:lang w:eastAsia="en-US"/>
              </w:rPr>
              <w:lastRenderedPageBreak/>
              <w:t xml:space="preserve">Tasmania </w:t>
            </w:r>
          </w:p>
        </w:tc>
        <w:tc>
          <w:tcPr>
            <w:tcW w:w="2759" w:type="dxa"/>
            <w:tcMar>
              <w:top w:w="80" w:type="dxa"/>
              <w:left w:w="80" w:type="dxa"/>
              <w:bottom w:w="80" w:type="dxa"/>
              <w:right w:w="80" w:type="dxa"/>
            </w:tcMar>
          </w:tcPr>
          <w:p w14:paraId="6F17F0DD" w14:textId="33CD8CAC" w:rsidR="0027143B" w:rsidRPr="000B7577" w:rsidRDefault="00854AFF" w:rsidP="000B7577">
            <w:pPr>
              <w:spacing w:after="60"/>
              <w:rPr>
                <w:rFonts w:cs="Arial"/>
                <w:color w:val="000000"/>
                <w:sz w:val="14"/>
                <w:szCs w:val="16"/>
                <w:vertAlign w:val="superscript"/>
                <w:lang w:val="en-GB"/>
              </w:rPr>
            </w:pPr>
            <w:r>
              <w:rPr>
                <w:rFonts w:cs="Arial"/>
                <w:color w:val="000000"/>
                <w:sz w:val="14"/>
                <w:szCs w:val="16"/>
                <w:lang w:val="en-GB"/>
              </w:rPr>
              <w:t>Combined</w:t>
            </w:r>
            <w:r w:rsidR="000B7577">
              <w:rPr>
                <w:rFonts w:cs="Arial"/>
                <w:color w:val="000000"/>
                <w:sz w:val="14"/>
                <w:szCs w:val="16"/>
                <w:vertAlign w:val="superscript"/>
                <w:lang w:val="en-GB"/>
              </w:rPr>
              <w:t>1</w:t>
            </w:r>
          </w:p>
        </w:tc>
        <w:tc>
          <w:tcPr>
            <w:tcW w:w="2759" w:type="dxa"/>
            <w:tcMar>
              <w:top w:w="80" w:type="dxa"/>
              <w:left w:w="80" w:type="dxa"/>
              <w:bottom w:w="80" w:type="dxa"/>
              <w:right w:w="80" w:type="dxa"/>
            </w:tcMar>
          </w:tcPr>
          <w:p w14:paraId="04805244" w14:textId="4993F1AC" w:rsidR="0027143B" w:rsidRPr="0027143B" w:rsidRDefault="00AF2784" w:rsidP="00292A53">
            <w:pPr>
              <w:spacing w:after="60"/>
              <w:rPr>
                <w:rFonts w:cs="Arial"/>
                <w:color w:val="000000"/>
                <w:sz w:val="14"/>
                <w:szCs w:val="16"/>
                <w:lang w:val="en-GB"/>
              </w:rPr>
            </w:pPr>
            <w:r>
              <w:rPr>
                <w:rFonts w:cs="Arial"/>
                <w:color w:val="000000"/>
                <w:sz w:val="14"/>
                <w:szCs w:val="16"/>
                <w:lang w:val="en-GB"/>
              </w:rPr>
              <w:t>$355,169.45</w:t>
            </w:r>
            <w:r w:rsidR="0027143B" w:rsidRPr="0027143B">
              <w:rPr>
                <w:rFonts w:cs="Arial"/>
                <w:color w:val="000000"/>
                <w:sz w:val="14"/>
                <w:szCs w:val="16"/>
                <w:lang w:val="en-GB"/>
              </w:rPr>
              <w:t xml:space="preserve"> </w:t>
            </w:r>
          </w:p>
        </w:tc>
        <w:tc>
          <w:tcPr>
            <w:tcW w:w="2759" w:type="dxa"/>
            <w:tcMar>
              <w:top w:w="80" w:type="dxa"/>
              <w:left w:w="80" w:type="dxa"/>
              <w:bottom w:w="80" w:type="dxa"/>
              <w:right w:w="80" w:type="dxa"/>
            </w:tcMar>
          </w:tcPr>
          <w:p w14:paraId="49E0B094" w14:textId="77777777" w:rsidR="0027143B" w:rsidRPr="00BC2D34" w:rsidRDefault="0027143B" w:rsidP="00F839DB">
            <w:pPr>
              <w:pStyle w:val="ListParagraph"/>
              <w:numPr>
                <w:ilvl w:val="0"/>
                <w:numId w:val="158"/>
              </w:numPr>
              <w:spacing w:after="60"/>
              <w:contextualSpacing/>
              <w:rPr>
                <w:rFonts w:eastAsia="Calibri" w:cs="Arial"/>
                <w:sz w:val="14"/>
                <w:szCs w:val="14"/>
                <w:lang w:eastAsia="en-US"/>
              </w:rPr>
            </w:pPr>
            <w:r w:rsidRPr="00BC2D34">
              <w:rPr>
                <w:rFonts w:eastAsia="Calibri" w:cs="Arial"/>
                <w:sz w:val="14"/>
                <w:szCs w:val="14"/>
                <w:lang w:eastAsia="en-US"/>
              </w:rPr>
              <w:t xml:space="preserve">415 x basic salary. </w:t>
            </w:r>
          </w:p>
          <w:p w14:paraId="4BE2E83E" w14:textId="75616CE9" w:rsidR="0027143B" w:rsidRPr="00BC2D34" w:rsidRDefault="0027143B" w:rsidP="00F839DB">
            <w:pPr>
              <w:pStyle w:val="ListParagraph"/>
              <w:numPr>
                <w:ilvl w:val="0"/>
                <w:numId w:val="158"/>
              </w:numPr>
              <w:spacing w:after="60"/>
              <w:contextualSpacing/>
              <w:rPr>
                <w:rFonts w:eastAsia="Calibri" w:cs="Arial"/>
                <w:sz w:val="14"/>
                <w:szCs w:val="14"/>
                <w:lang w:eastAsia="en-US"/>
              </w:rPr>
            </w:pPr>
            <w:r w:rsidRPr="00BC2D34">
              <w:rPr>
                <w:rFonts w:eastAsia="Calibri" w:cs="Arial"/>
                <w:sz w:val="14"/>
                <w:szCs w:val="14"/>
                <w:lang w:eastAsia="en-US"/>
              </w:rPr>
              <w:t>The basic salary is adjusted on 1 January each year taking into account the variation in the average weekly ordinary full</w:t>
            </w:r>
            <w:r w:rsidRPr="00BC2D34">
              <w:rPr>
                <w:rFonts w:eastAsia="Calibri" w:cs="Arial"/>
                <w:sz w:val="14"/>
                <w:szCs w:val="14"/>
                <w:lang w:eastAsia="en-US"/>
              </w:rPr>
              <w:noBreakHyphen/>
              <w:t xml:space="preserve">time earnings of adults in Tasmania from May of the preceding year and May in the year before that — </w:t>
            </w:r>
            <w:hyperlink r:id="rId1230" w:history="1">
              <w:r w:rsidRPr="00735FF9">
                <w:rPr>
                  <w:rStyle w:val="Hyperlink"/>
                  <w:rFonts w:eastAsia="Calibri" w:cs="Arial"/>
                  <w:sz w:val="14"/>
                  <w:szCs w:val="14"/>
                  <w:lang w:eastAsia="en-US"/>
                </w:rPr>
                <w:t>s3(1)</w:t>
              </w:r>
            </w:hyperlink>
            <w:r w:rsidR="009A1E32">
              <w:rPr>
                <w:rFonts w:eastAsia="Calibri" w:cs="Arial"/>
                <w:sz w:val="14"/>
                <w:szCs w:val="14"/>
                <w:lang w:eastAsia="en-US"/>
              </w:rPr>
              <w:t xml:space="preserve"> </w:t>
            </w:r>
          </w:p>
        </w:tc>
        <w:tc>
          <w:tcPr>
            <w:tcW w:w="2759" w:type="dxa"/>
            <w:tcMar>
              <w:top w:w="80" w:type="dxa"/>
              <w:left w:w="80" w:type="dxa"/>
              <w:bottom w:w="80" w:type="dxa"/>
              <w:right w:w="80" w:type="dxa"/>
            </w:tcMar>
          </w:tcPr>
          <w:p w14:paraId="5AF4817E" w14:textId="0280AC38"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Threshold requirement of not less than 20% WPI for access to common law damages (</w:t>
            </w:r>
            <w:hyperlink r:id="rId1231" w:history="1">
              <w:r w:rsidRPr="00735FF9">
                <w:rPr>
                  <w:rStyle w:val="Hyperlink"/>
                  <w:rFonts w:cs="Arial"/>
                  <w:sz w:val="14"/>
                  <w:szCs w:val="16"/>
                  <w:lang w:val="en-GB"/>
                </w:rPr>
                <w:t>s138AB</w:t>
              </w:r>
            </w:hyperlink>
            <w:r w:rsidRPr="0027143B">
              <w:rPr>
                <w:rFonts w:cs="Arial"/>
                <w:color w:val="000000"/>
                <w:sz w:val="14"/>
                <w:szCs w:val="16"/>
                <w:lang w:val="en-GB"/>
              </w:rPr>
              <w:t>)</w:t>
            </w:r>
            <w:r w:rsidR="009A1E32">
              <w:rPr>
                <w:rFonts w:cs="Arial"/>
                <w:color w:val="000000"/>
                <w:sz w:val="14"/>
                <w:szCs w:val="16"/>
                <w:lang w:val="en-GB"/>
              </w:rPr>
              <w:t xml:space="preserve">, </w:t>
            </w:r>
            <w:r w:rsidR="009A1E32" w:rsidRPr="00016069">
              <w:rPr>
                <w:i/>
                <w:sz w:val="14"/>
              </w:rPr>
              <w:t>Workers Rehabilitation and Compensation Act 1988</w:t>
            </w:r>
            <w:r w:rsidR="009A1E32">
              <w:rPr>
                <w:i/>
                <w:sz w:val="14"/>
              </w:rPr>
              <w:t>.</w:t>
            </w:r>
          </w:p>
        </w:tc>
        <w:tc>
          <w:tcPr>
            <w:tcW w:w="2759" w:type="dxa"/>
            <w:tcMar>
              <w:top w:w="80" w:type="dxa"/>
              <w:left w:w="80" w:type="dxa"/>
              <w:bottom w:w="80" w:type="dxa"/>
              <w:right w:w="80" w:type="dxa"/>
            </w:tcMar>
          </w:tcPr>
          <w:p w14:paraId="711898FC" w14:textId="1A158D27"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Entitlement to weekly benefits and medical costs is not affected except where payment of impairment benefit is a component of a claim settlement (</w:t>
            </w:r>
            <w:hyperlink r:id="rId1232" w:history="1">
              <w:r w:rsidRPr="00735FF9">
                <w:rPr>
                  <w:rStyle w:val="Hyperlink"/>
                  <w:rFonts w:cs="Arial"/>
                  <w:sz w:val="14"/>
                  <w:szCs w:val="16"/>
                  <w:lang w:val="en-GB"/>
                </w:rPr>
                <w:t>s71</w:t>
              </w:r>
            </w:hyperlink>
            <w:r w:rsidRPr="0027143B">
              <w:rPr>
                <w:rFonts w:cs="Arial"/>
                <w:color w:val="000000"/>
                <w:sz w:val="14"/>
                <w:szCs w:val="16"/>
                <w:lang w:val="en-GB"/>
              </w:rPr>
              <w:t>)</w:t>
            </w:r>
          </w:p>
          <w:p w14:paraId="57B1F00F" w14:textId="77777777" w:rsidR="0027143B" w:rsidRPr="0027143B" w:rsidRDefault="0027143B" w:rsidP="00292A53">
            <w:pPr>
              <w:spacing w:after="60"/>
              <w:rPr>
                <w:rFonts w:cs="Arial"/>
                <w:color w:val="000000"/>
                <w:sz w:val="14"/>
                <w:szCs w:val="16"/>
                <w:lang w:val="en-GB"/>
              </w:rPr>
            </w:pPr>
          </w:p>
        </w:tc>
      </w:tr>
      <w:tr w:rsidR="0027143B" w:rsidRPr="0027143B" w14:paraId="3C411C43" w14:textId="77777777" w:rsidTr="00B2173F">
        <w:tc>
          <w:tcPr>
            <w:tcW w:w="1626" w:type="dxa"/>
            <w:shd w:val="clear" w:color="auto" w:fill="FFC9C9"/>
            <w:tcMar>
              <w:top w:w="80" w:type="dxa"/>
              <w:left w:w="80" w:type="dxa"/>
              <w:bottom w:w="80" w:type="dxa"/>
              <w:right w:w="80" w:type="dxa"/>
            </w:tcMar>
          </w:tcPr>
          <w:p w14:paraId="78CA4F8C"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Northern Territory</w:t>
            </w:r>
          </w:p>
        </w:tc>
        <w:tc>
          <w:tcPr>
            <w:tcW w:w="2759" w:type="dxa"/>
            <w:shd w:val="clear" w:color="auto" w:fill="FFC9C9"/>
            <w:tcMar>
              <w:top w:w="80" w:type="dxa"/>
              <w:left w:w="80" w:type="dxa"/>
              <w:bottom w:w="80" w:type="dxa"/>
              <w:right w:w="80" w:type="dxa"/>
            </w:tcMar>
          </w:tcPr>
          <w:p w14:paraId="045AB09D" w14:textId="120B2B92" w:rsidR="0027143B" w:rsidRPr="0027143B" w:rsidRDefault="0027143B" w:rsidP="000B7577">
            <w:pPr>
              <w:spacing w:after="60"/>
              <w:rPr>
                <w:rFonts w:cs="Arial"/>
                <w:color w:val="000000"/>
                <w:sz w:val="14"/>
                <w:szCs w:val="16"/>
                <w:lang w:val="en-GB"/>
              </w:rPr>
            </w:pPr>
            <w:r w:rsidRPr="0027143B">
              <w:rPr>
                <w:rFonts w:cs="Arial"/>
                <w:color w:val="000000"/>
                <w:sz w:val="14"/>
                <w:szCs w:val="16"/>
                <w:lang w:val="en-GB"/>
              </w:rPr>
              <w:t>Combined</w:t>
            </w:r>
            <w:r w:rsidR="000B7577" w:rsidRPr="000B7577">
              <w:rPr>
                <w:rFonts w:cs="Arial"/>
                <w:color w:val="000000"/>
                <w:sz w:val="14"/>
                <w:szCs w:val="16"/>
                <w:vertAlign w:val="superscript"/>
                <w:lang w:val="en-GB"/>
              </w:rPr>
              <w:t>1</w:t>
            </w:r>
          </w:p>
        </w:tc>
        <w:tc>
          <w:tcPr>
            <w:tcW w:w="2759" w:type="dxa"/>
            <w:shd w:val="clear" w:color="auto" w:fill="FFC9C9"/>
            <w:tcMar>
              <w:top w:w="80" w:type="dxa"/>
              <w:left w:w="80" w:type="dxa"/>
              <w:bottom w:w="80" w:type="dxa"/>
              <w:right w:w="80" w:type="dxa"/>
            </w:tcMar>
          </w:tcPr>
          <w:p w14:paraId="06D5F798" w14:textId="5C9DA0C0" w:rsidR="0027143B" w:rsidRPr="0027143B" w:rsidRDefault="00854AFF" w:rsidP="009E5223">
            <w:pPr>
              <w:spacing w:after="60"/>
              <w:rPr>
                <w:rFonts w:cs="Arial"/>
                <w:color w:val="000000"/>
                <w:sz w:val="14"/>
                <w:szCs w:val="16"/>
                <w:lang w:val="en-GB"/>
              </w:rPr>
            </w:pPr>
            <w:r>
              <w:rPr>
                <w:rFonts w:cs="Arial"/>
                <w:color w:val="000000"/>
                <w:sz w:val="14"/>
                <w:szCs w:val="16"/>
                <w:lang w:val="en-GB"/>
              </w:rPr>
              <w:t>$</w:t>
            </w:r>
            <w:r w:rsidR="009E5223">
              <w:rPr>
                <w:rFonts w:cs="Arial"/>
                <w:color w:val="000000"/>
                <w:sz w:val="14"/>
                <w:szCs w:val="16"/>
                <w:lang w:val="en-GB"/>
              </w:rPr>
              <w:t>326,497.60</w:t>
            </w:r>
          </w:p>
        </w:tc>
        <w:tc>
          <w:tcPr>
            <w:tcW w:w="2759" w:type="dxa"/>
            <w:shd w:val="clear" w:color="auto" w:fill="FFC9C9"/>
            <w:tcMar>
              <w:top w:w="80" w:type="dxa"/>
              <w:left w:w="80" w:type="dxa"/>
              <w:bottom w:w="80" w:type="dxa"/>
              <w:right w:w="80" w:type="dxa"/>
            </w:tcMar>
          </w:tcPr>
          <w:p w14:paraId="598832B2" w14:textId="1B2B7296" w:rsidR="0027143B" w:rsidRPr="0027143B" w:rsidRDefault="000A50DD" w:rsidP="000B7577">
            <w:pPr>
              <w:spacing w:after="60"/>
              <w:rPr>
                <w:rFonts w:cs="Arial"/>
                <w:color w:val="000000"/>
                <w:sz w:val="14"/>
                <w:szCs w:val="16"/>
                <w:lang w:val="en-GB"/>
              </w:rPr>
            </w:pPr>
            <w:r w:rsidRPr="000A50DD">
              <w:rPr>
                <w:rFonts w:cs="Arial"/>
                <w:color w:val="000000"/>
                <w:sz w:val="14"/>
                <w:szCs w:val="16"/>
              </w:rPr>
              <w:t xml:space="preserve">208 </w:t>
            </w:r>
            <w:r w:rsidR="000B7577">
              <w:rPr>
                <w:rFonts w:cs="Arial"/>
                <w:color w:val="000000"/>
                <w:sz w:val="14"/>
                <w:szCs w:val="16"/>
              </w:rPr>
              <w:sym w:font="Symbol" w:char="F020"/>
            </w:r>
            <w:r w:rsidR="000B7577">
              <w:rPr>
                <w:rFonts w:cs="Arial"/>
                <w:color w:val="000000"/>
                <w:sz w:val="14"/>
                <w:szCs w:val="16"/>
              </w:rPr>
              <w:sym w:font="Symbol" w:char="F0B4"/>
            </w:r>
            <w:r w:rsidRPr="000A50DD">
              <w:rPr>
                <w:rFonts w:cs="Arial"/>
                <w:color w:val="000000"/>
                <w:sz w:val="14"/>
                <w:szCs w:val="16"/>
              </w:rPr>
              <w:t xml:space="preserve"> full-time adult person’s weekly ordinary time earnings for Northern Territory last </w:t>
            </w:r>
            <w:r w:rsidR="00945540">
              <w:rPr>
                <w:rFonts w:cs="Arial"/>
                <w:color w:val="000000"/>
                <w:sz w:val="14"/>
                <w:szCs w:val="16"/>
              </w:rPr>
              <w:t>published by the Australian Stati</w:t>
            </w:r>
            <w:r w:rsidRPr="000A50DD">
              <w:rPr>
                <w:rFonts w:cs="Arial"/>
                <w:color w:val="000000"/>
                <w:sz w:val="14"/>
                <w:szCs w:val="16"/>
              </w:rPr>
              <w:t>stician before 1 January of e</w:t>
            </w:r>
            <w:r w:rsidR="002C086D">
              <w:rPr>
                <w:rFonts w:cs="Arial"/>
                <w:color w:val="000000"/>
                <w:sz w:val="14"/>
                <w:szCs w:val="16"/>
              </w:rPr>
              <w:t>ach year. Adjusted on 1 January</w:t>
            </w:r>
          </w:p>
        </w:tc>
        <w:tc>
          <w:tcPr>
            <w:tcW w:w="2759" w:type="dxa"/>
            <w:shd w:val="clear" w:color="auto" w:fill="FFC9C9"/>
            <w:tcMar>
              <w:top w:w="80" w:type="dxa"/>
              <w:left w:w="80" w:type="dxa"/>
              <w:bottom w:w="80" w:type="dxa"/>
              <w:right w:w="80" w:type="dxa"/>
            </w:tcMar>
          </w:tcPr>
          <w:p w14:paraId="00389402" w14:textId="7397CB10" w:rsidR="0027143B" w:rsidRPr="0027143B" w:rsidRDefault="00854AFF" w:rsidP="00292A53">
            <w:pPr>
              <w:spacing w:after="60"/>
              <w:rPr>
                <w:rFonts w:cs="Arial"/>
                <w:color w:val="000000"/>
                <w:sz w:val="14"/>
                <w:szCs w:val="16"/>
                <w:lang w:val="en-GB"/>
              </w:rPr>
            </w:pPr>
            <w:r>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1592CFF8" w14:textId="7C8CD923"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Payment of Permanent Impairment (PI) does not i</w:t>
            </w:r>
            <w:r w:rsidR="002C086D">
              <w:rPr>
                <w:rFonts w:cs="Arial"/>
                <w:color w:val="000000"/>
                <w:sz w:val="14"/>
                <w:szCs w:val="16"/>
                <w:lang w:val="en-GB"/>
              </w:rPr>
              <w:t>mpact on any other entitlements</w:t>
            </w:r>
          </w:p>
        </w:tc>
      </w:tr>
      <w:tr w:rsidR="0027143B" w:rsidRPr="0027143B" w14:paraId="7A125EBF" w14:textId="77777777" w:rsidTr="00B2173F">
        <w:tc>
          <w:tcPr>
            <w:tcW w:w="1626" w:type="dxa"/>
            <w:tcMar>
              <w:top w:w="80" w:type="dxa"/>
              <w:left w:w="80" w:type="dxa"/>
              <w:bottom w:w="80" w:type="dxa"/>
              <w:right w:w="80" w:type="dxa"/>
            </w:tcMar>
          </w:tcPr>
          <w:p w14:paraId="28E5FCE8"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Australian Capital Territory</w:t>
            </w:r>
          </w:p>
        </w:tc>
        <w:tc>
          <w:tcPr>
            <w:tcW w:w="2759" w:type="dxa"/>
            <w:tcMar>
              <w:top w:w="80" w:type="dxa"/>
              <w:left w:w="80" w:type="dxa"/>
              <w:bottom w:w="80" w:type="dxa"/>
              <w:right w:w="80" w:type="dxa"/>
            </w:tcMar>
          </w:tcPr>
          <w:p w14:paraId="1A240FAC" w14:textId="54D5846C"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Single or multiple impairment</w:t>
            </w:r>
            <w:r w:rsidR="002C086D">
              <w:rPr>
                <w:rFonts w:cs="Arial"/>
                <w:color w:val="000000"/>
                <w:sz w:val="14"/>
                <w:szCs w:val="16"/>
                <w:lang w:val="en-GB"/>
              </w:rPr>
              <w:t>s</w:t>
            </w:r>
          </w:p>
        </w:tc>
        <w:tc>
          <w:tcPr>
            <w:tcW w:w="2759" w:type="dxa"/>
            <w:tcMar>
              <w:top w:w="80" w:type="dxa"/>
              <w:left w:w="80" w:type="dxa"/>
              <w:bottom w:w="80" w:type="dxa"/>
              <w:right w:w="80" w:type="dxa"/>
            </w:tcMar>
          </w:tcPr>
          <w:p w14:paraId="747A0695" w14:textId="5531801A" w:rsidR="0027143B" w:rsidRPr="0027143B" w:rsidRDefault="0027143B" w:rsidP="00062787">
            <w:pPr>
              <w:spacing w:after="60"/>
              <w:rPr>
                <w:rFonts w:cs="Arial"/>
                <w:color w:val="000000"/>
                <w:sz w:val="14"/>
                <w:szCs w:val="16"/>
                <w:lang w:val="en-GB"/>
              </w:rPr>
            </w:pPr>
            <w:r w:rsidRPr="0027143B">
              <w:rPr>
                <w:rFonts w:cs="Arial"/>
                <w:color w:val="000000"/>
                <w:sz w:val="14"/>
                <w:szCs w:val="16"/>
                <w:lang w:val="en-GB"/>
              </w:rPr>
              <w:t>$</w:t>
            </w:r>
            <w:r w:rsidR="00062787">
              <w:rPr>
                <w:rFonts w:cs="Arial"/>
                <w:color w:val="000000"/>
                <w:sz w:val="14"/>
                <w:szCs w:val="16"/>
                <w:lang w:val="en-GB"/>
              </w:rPr>
              <w:t>144,223</w:t>
            </w:r>
            <w:r w:rsidRPr="0027143B">
              <w:rPr>
                <w:rFonts w:cs="Arial"/>
                <w:color w:val="000000"/>
                <w:sz w:val="14"/>
                <w:szCs w:val="16"/>
                <w:lang w:val="en-GB"/>
              </w:rPr>
              <w:t xml:space="preserve"> (Sep </w:t>
            </w:r>
            <w:r w:rsidR="00062787">
              <w:rPr>
                <w:rFonts w:cs="Arial"/>
                <w:color w:val="000000"/>
                <w:sz w:val="14"/>
                <w:szCs w:val="16"/>
                <w:lang w:val="en-GB"/>
              </w:rPr>
              <w:t>17</w:t>
            </w:r>
            <w:r w:rsidR="002C086D">
              <w:rPr>
                <w:rFonts w:cs="Arial"/>
                <w:color w:val="000000"/>
                <w:sz w:val="14"/>
                <w:szCs w:val="16"/>
                <w:lang w:val="en-GB"/>
              </w:rPr>
              <w:t>) $</w:t>
            </w:r>
            <w:r w:rsidR="00062787">
              <w:rPr>
                <w:rFonts w:cs="Arial"/>
                <w:color w:val="000000"/>
                <w:sz w:val="14"/>
                <w:szCs w:val="16"/>
                <w:lang w:val="en-GB"/>
              </w:rPr>
              <w:t>216,335</w:t>
            </w:r>
            <w:r w:rsidR="002C086D">
              <w:rPr>
                <w:rFonts w:cs="Arial"/>
                <w:color w:val="000000"/>
                <w:sz w:val="14"/>
                <w:szCs w:val="16"/>
                <w:lang w:val="en-GB"/>
              </w:rPr>
              <w:t xml:space="preserve"> (Sep </w:t>
            </w:r>
            <w:r w:rsidR="00062787">
              <w:rPr>
                <w:rFonts w:cs="Arial"/>
                <w:color w:val="000000"/>
                <w:sz w:val="14"/>
                <w:szCs w:val="16"/>
                <w:lang w:val="en-GB"/>
              </w:rPr>
              <w:t>17</w:t>
            </w:r>
            <w:r w:rsidR="002C086D">
              <w:rPr>
                <w:rFonts w:cs="Arial"/>
                <w:color w:val="000000"/>
                <w:sz w:val="14"/>
                <w:szCs w:val="16"/>
                <w:lang w:val="en-GB"/>
              </w:rPr>
              <w:t>) (multiple)</w:t>
            </w:r>
          </w:p>
        </w:tc>
        <w:tc>
          <w:tcPr>
            <w:tcW w:w="2759" w:type="dxa"/>
            <w:tcMar>
              <w:top w:w="80" w:type="dxa"/>
              <w:left w:w="80" w:type="dxa"/>
              <w:bottom w:w="80" w:type="dxa"/>
              <w:right w:w="80" w:type="dxa"/>
            </w:tcMar>
          </w:tcPr>
          <w:p w14:paraId="085B7ED0" w14:textId="0BFD56FE"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CPI (Canberra). Adjusted quarterly in l</w:t>
            </w:r>
            <w:r w:rsidR="002C086D">
              <w:rPr>
                <w:rFonts w:cs="Arial"/>
                <w:color w:val="000000"/>
                <w:sz w:val="14"/>
                <w:szCs w:val="16"/>
                <w:lang w:val="en-GB"/>
              </w:rPr>
              <w:t>ine with CPI indexed variations</w:t>
            </w:r>
          </w:p>
        </w:tc>
        <w:tc>
          <w:tcPr>
            <w:tcW w:w="2759" w:type="dxa"/>
            <w:tcMar>
              <w:top w:w="80" w:type="dxa"/>
              <w:left w:w="80" w:type="dxa"/>
              <w:bottom w:w="80" w:type="dxa"/>
              <w:right w:w="80" w:type="dxa"/>
            </w:tcMar>
          </w:tcPr>
          <w:p w14:paraId="1C6431C1" w14:textId="4619F12F" w:rsidR="0027143B" w:rsidRPr="0027143B" w:rsidRDefault="00854AFF" w:rsidP="00292A53">
            <w:pPr>
              <w:spacing w:after="60"/>
              <w:rPr>
                <w:rFonts w:cs="Arial"/>
                <w:color w:val="000000"/>
                <w:sz w:val="14"/>
                <w:szCs w:val="16"/>
                <w:lang w:val="en-GB"/>
              </w:rPr>
            </w:pPr>
            <w:r>
              <w:rPr>
                <w:rFonts w:cs="Arial"/>
                <w:color w:val="000000"/>
                <w:sz w:val="14"/>
                <w:szCs w:val="16"/>
                <w:lang w:val="en-GB"/>
              </w:rPr>
              <w:t>—</w:t>
            </w:r>
          </w:p>
        </w:tc>
        <w:tc>
          <w:tcPr>
            <w:tcW w:w="2759" w:type="dxa"/>
            <w:tcMar>
              <w:top w:w="80" w:type="dxa"/>
              <w:left w:w="80" w:type="dxa"/>
              <w:bottom w:w="80" w:type="dxa"/>
              <w:right w:w="80" w:type="dxa"/>
            </w:tcMar>
          </w:tcPr>
          <w:p w14:paraId="4AD575BB" w14:textId="22EFE90B"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Payment of PI does not i</w:t>
            </w:r>
            <w:r w:rsidR="002C086D">
              <w:rPr>
                <w:rFonts w:cs="Arial"/>
                <w:color w:val="000000"/>
                <w:sz w:val="14"/>
                <w:szCs w:val="16"/>
                <w:lang w:val="en-GB"/>
              </w:rPr>
              <w:t>mpact on any other entitlements</w:t>
            </w:r>
          </w:p>
        </w:tc>
      </w:tr>
      <w:tr w:rsidR="0027143B" w:rsidRPr="0027143B" w14:paraId="08704173" w14:textId="77777777" w:rsidTr="00B2173F">
        <w:tc>
          <w:tcPr>
            <w:tcW w:w="1626" w:type="dxa"/>
            <w:shd w:val="clear" w:color="auto" w:fill="FFC9C9"/>
            <w:tcMar>
              <w:top w:w="80" w:type="dxa"/>
              <w:left w:w="80" w:type="dxa"/>
              <w:bottom w:w="80" w:type="dxa"/>
              <w:right w:w="80" w:type="dxa"/>
            </w:tcMar>
          </w:tcPr>
          <w:p w14:paraId="2DC9C118"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C’wealth Comcare</w:t>
            </w:r>
          </w:p>
        </w:tc>
        <w:tc>
          <w:tcPr>
            <w:tcW w:w="2759" w:type="dxa"/>
            <w:shd w:val="clear" w:color="auto" w:fill="FFC9C9"/>
            <w:tcMar>
              <w:top w:w="80" w:type="dxa"/>
              <w:left w:w="80" w:type="dxa"/>
              <w:bottom w:w="80" w:type="dxa"/>
              <w:right w:w="80" w:type="dxa"/>
            </w:tcMar>
          </w:tcPr>
          <w:p w14:paraId="30018B5D" w14:textId="5B58EDAC" w:rsidR="0027143B" w:rsidRPr="0027143B" w:rsidRDefault="00854AFF" w:rsidP="00292A53">
            <w:pPr>
              <w:spacing w:after="60"/>
              <w:rPr>
                <w:rFonts w:cs="Arial"/>
                <w:color w:val="000000"/>
                <w:sz w:val="14"/>
                <w:szCs w:val="16"/>
                <w:lang w:val="en-GB"/>
              </w:rPr>
            </w:pPr>
            <w:r>
              <w:rPr>
                <w:rFonts w:cs="Arial"/>
                <w:color w:val="000000"/>
                <w:sz w:val="14"/>
                <w:szCs w:val="16"/>
                <w:lang w:val="en-GB"/>
              </w:rPr>
              <w:t>Economic</w:t>
            </w:r>
          </w:p>
          <w:p w14:paraId="464C39DD" w14:textId="1E46132E" w:rsidR="0027143B" w:rsidRPr="0027143B" w:rsidRDefault="000D393C" w:rsidP="00292A53">
            <w:pPr>
              <w:spacing w:after="60"/>
              <w:rPr>
                <w:rFonts w:cs="Arial"/>
                <w:color w:val="000000"/>
                <w:sz w:val="14"/>
                <w:szCs w:val="16"/>
                <w:lang w:val="en-GB"/>
              </w:rPr>
            </w:pPr>
            <w:r>
              <w:rPr>
                <w:rFonts w:cs="Arial"/>
                <w:color w:val="000000"/>
                <w:sz w:val="14"/>
                <w:szCs w:val="16"/>
                <w:lang w:val="en-GB"/>
              </w:rPr>
              <w:t>Non-Economic</w:t>
            </w:r>
          </w:p>
        </w:tc>
        <w:tc>
          <w:tcPr>
            <w:tcW w:w="2759" w:type="dxa"/>
            <w:shd w:val="clear" w:color="auto" w:fill="FFC9C9"/>
            <w:tcMar>
              <w:top w:w="80" w:type="dxa"/>
              <w:left w:w="80" w:type="dxa"/>
              <w:bottom w:w="80" w:type="dxa"/>
              <w:right w:w="80" w:type="dxa"/>
            </w:tcMar>
          </w:tcPr>
          <w:p w14:paraId="7554AD45" w14:textId="4E0B9F7A" w:rsidR="0027143B" w:rsidRPr="0027143B" w:rsidRDefault="005C3BDF" w:rsidP="00292A53">
            <w:pPr>
              <w:spacing w:after="60"/>
              <w:rPr>
                <w:rFonts w:cs="Arial"/>
                <w:color w:val="000000"/>
                <w:sz w:val="14"/>
                <w:szCs w:val="16"/>
                <w:lang w:val="en-GB"/>
              </w:rPr>
            </w:pPr>
            <w:r>
              <w:rPr>
                <w:rFonts w:cs="Arial"/>
                <w:color w:val="000000"/>
                <w:sz w:val="14"/>
                <w:szCs w:val="16"/>
                <w:lang w:val="en-GB"/>
              </w:rPr>
              <w:t>$185,780.36</w:t>
            </w:r>
            <w:r w:rsidR="0027143B" w:rsidRPr="0027143B">
              <w:rPr>
                <w:rFonts w:cs="Arial"/>
                <w:color w:val="000000"/>
                <w:sz w:val="14"/>
                <w:szCs w:val="16"/>
                <w:lang w:val="en-GB"/>
              </w:rPr>
              <w:t xml:space="preserve"> (Economic)</w:t>
            </w:r>
            <w:r w:rsidR="008B54E4">
              <w:rPr>
                <w:rFonts w:cs="Arial"/>
                <w:color w:val="000000"/>
                <w:sz w:val="14"/>
                <w:szCs w:val="16"/>
                <w:lang w:val="en-GB"/>
              </w:rPr>
              <w:t xml:space="preserve"> — </w:t>
            </w:r>
            <w:hyperlink r:id="rId1233" w:history="1">
              <w:r w:rsidR="008B54E4" w:rsidRPr="008B54E4">
                <w:rPr>
                  <w:rStyle w:val="Hyperlink"/>
                  <w:rFonts w:cs="Arial"/>
                  <w:sz w:val="14"/>
                  <w:szCs w:val="16"/>
                  <w:lang w:val="en-GB"/>
                </w:rPr>
                <w:t>s24(9)</w:t>
              </w:r>
            </w:hyperlink>
          </w:p>
          <w:p w14:paraId="4C88360A" w14:textId="7AEDA39B" w:rsidR="0027143B" w:rsidRPr="0027143B" w:rsidRDefault="0027143B" w:rsidP="005C3BDF">
            <w:pPr>
              <w:spacing w:after="60"/>
              <w:rPr>
                <w:rFonts w:cs="Arial"/>
                <w:color w:val="000000"/>
                <w:sz w:val="14"/>
                <w:szCs w:val="16"/>
                <w:lang w:val="en-GB"/>
              </w:rPr>
            </w:pPr>
            <w:r w:rsidRPr="0027143B">
              <w:rPr>
                <w:rFonts w:cs="Arial"/>
                <w:color w:val="000000"/>
                <w:sz w:val="14"/>
                <w:szCs w:val="16"/>
                <w:lang w:val="en-GB"/>
              </w:rPr>
              <w:t>$</w:t>
            </w:r>
            <w:r w:rsidR="005C3BDF">
              <w:rPr>
                <w:rFonts w:cs="Arial"/>
                <w:color w:val="000000"/>
                <w:sz w:val="14"/>
                <w:szCs w:val="16"/>
                <w:lang w:val="en-GB"/>
              </w:rPr>
              <w:t>69,667.68</w:t>
            </w:r>
            <w:r w:rsidR="00940A9B">
              <w:rPr>
                <w:rFonts w:cs="Arial"/>
                <w:color w:val="000000"/>
                <w:sz w:val="14"/>
                <w:szCs w:val="16"/>
                <w:lang w:val="en-GB"/>
              </w:rPr>
              <w:t xml:space="preserve"> (Non-</w:t>
            </w:r>
            <w:r w:rsidRPr="0027143B">
              <w:rPr>
                <w:rFonts w:cs="Arial"/>
                <w:color w:val="000000"/>
                <w:sz w:val="14"/>
                <w:szCs w:val="16"/>
                <w:lang w:val="en-GB"/>
              </w:rPr>
              <w:t>economic)</w:t>
            </w:r>
            <w:r w:rsidR="008B54E4">
              <w:rPr>
                <w:rFonts w:cs="Arial"/>
                <w:color w:val="000000"/>
                <w:sz w:val="14"/>
                <w:szCs w:val="16"/>
                <w:lang w:val="en-GB"/>
              </w:rPr>
              <w:t xml:space="preserve"> — </w:t>
            </w:r>
            <w:hyperlink r:id="rId1234" w:history="1">
              <w:r w:rsidR="008B54E4" w:rsidRPr="008B54E4">
                <w:rPr>
                  <w:rStyle w:val="Hyperlink"/>
                  <w:rFonts w:cs="Arial"/>
                  <w:sz w:val="14"/>
                  <w:szCs w:val="16"/>
                  <w:lang w:val="en-GB"/>
                </w:rPr>
                <w:t>s27(2)</w:t>
              </w:r>
            </w:hyperlink>
          </w:p>
        </w:tc>
        <w:tc>
          <w:tcPr>
            <w:tcW w:w="2759" w:type="dxa"/>
            <w:shd w:val="clear" w:color="auto" w:fill="FFC9C9"/>
            <w:tcMar>
              <w:top w:w="80" w:type="dxa"/>
              <w:left w:w="80" w:type="dxa"/>
              <w:bottom w:w="80" w:type="dxa"/>
              <w:right w:w="80" w:type="dxa"/>
            </w:tcMar>
          </w:tcPr>
          <w:p w14:paraId="208DEEC8" w14:textId="182753E2" w:rsidR="0027143B" w:rsidRPr="0027143B" w:rsidRDefault="002C086D" w:rsidP="00292A53">
            <w:pPr>
              <w:spacing w:after="60"/>
              <w:rPr>
                <w:rFonts w:cs="Arial"/>
                <w:color w:val="000000"/>
                <w:sz w:val="14"/>
                <w:szCs w:val="16"/>
                <w:lang w:val="en-GB"/>
              </w:rPr>
            </w:pPr>
            <w:r>
              <w:rPr>
                <w:rFonts w:cs="Arial"/>
                <w:color w:val="000000"/>
                <w:sz w:val="14"/>
                <w:szCs w:val="16"/>
                <w:lang w:val="en-GB"/>
              </w:rPr>
              <w:t>CPI. Adjusted 1 July 201</w:t>
            </w:r>
            <w:r w:rsidR="005C3BDF">
              <w:rPr>
                <w:rFonts w:cs="Arial"/>
                <w:color w:val="000000"/>
                <w:sz w:val="14"/>
                <w:szCs w:val="16"/>
                <w:lang w:val="en-GB"/>
              </w:rPr>
              <w:t>7</w:t>
            </w:r>
          </w:p>
        </w:tc>
        <w:tc>
          <w:tcPr>
            <w:tcW w:w="2759" w:type="dxa"/>
            <w:shd w:val="clear" w:color="auto" w:fill="FFC9C9"/>
            <w:tcMar>
              <w:top w:w="80" w:type="dxa"/>
              <w:left w:w="80" w:type="dxa"/>
              <w:bottom w:w="80" w:type="dxa"/>
              <w:right w:w="80" w:type="dxa"/>
            </w:tcMar>
          </w:tcPr>
          <w:p w14:paraId="000E3DA3" w14:textId="68CC1300"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3D5F3490" w14:textId="02F8F733"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Payment of PI does not impact on any other</w:t>
            </w:r>
            <w:r w:rsidR="002C086D">
              <w:rPr>
                <w:rFonts w:cs="Arial"/>
                <w:color w:val="000000"/>
                <w:sz w:val="14"/>
                <w:szCs w:val="16"/>
                <w:lang w:val="en-GB"/>
              </w:rPr>
              <w:t xml:space="preserve"> entitlements under the </w:t>
            </w:r>
            <w:r w:rsidR="009A1E32" w:rsidRPr="00016069">
              <w:rPr>
                <w:i/>
                <w:sz w:val="14"/>
              </w:rPr>
              <w:t>Safety, Rehabilitation and Compensation Act 1988</w:t>
            </w:r>
            <w:r w:rsidR="009A1E32">
              <w:rPr>
                <w:i/>
                <w:sz w:val="14"/>
              </w:rPr>
              <w:t>.</w:t>
            </w:r>
          </w:p>
        </w:tc>
      </w:tr>
      <w:tr w:rsidR="0027143B" w:rsidRPr="0027143B" w14:paraId="673EDAE8" w14:textId="77777777" w:rsidTr="00B2173F">
        <w:tc>
          <w:tcPr>
            <w:tcW w:w="1626" w:type="dxa"/>
            <w:tcMar>
              <w:top w:w="80" w:type="dxa"/>
              <w:left w:w="80" w:type="dxa"/>
              <w:bottom w:w="80" w:type="dxa"/>
              <w:right w:w="80" w:type="dxa"/>
            </w:tcMar>
          </w:tcPr>
          <w:p w14:paraId="558B7E51"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C’wealth Seacare</w:t>
            </w:r>
          </w:p>
        </w:tc>
        <w:tc>
          <w:tcPr>
            <w:tcW w:w="2759" w:type="dxa"/>
            <w:tcMar>
              <w:top w:w="80" w:type="dxa"/>
              <w:left w:w="80" w:type="dxa"/>
              <w:bottom w:w="80" w:type="dxa"/>
              <w:right w:w="80" w:type="dxa"/>
            </w:tcMar>
          </w:tcPr>
          <w:p w14:paraId="6379C357" w14:textId="77777777" w:rsidR="0027143B" w:rsidRPr="0027143B" w:rsidRDefault="000D393C" w:rsidP="00292A53">
            <w:pPr>
              <w:spacing w:after="60"/>
              <w:rPr>
                <w:rFonts w:cs="Arial"/>
                <w:color w:val="000000"/>
                <w:sz w:val="14"/>
                <w:szCs w:val="16"/>
                <w:lang w:val="en-GB"/>
              </w:rPr>
            </w:pPr>
            <w:r>
              <w:rPr>
                <w:rFonts w:cs="Arial"/>
                <w:color w:val="000000"/>
                <w:sz w:val="14"/>
                <w:szCs w:val="16"/>
                <w:lang w:val="en-GB"/>
              </w:rPr>
              <w:t>Economic</w:t>
            </w:r>
          </w:p>
          <w:p w14:paraId="5147B93F" w14:textId="015A8D6D"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Non-Economic</w:t>
            </w:r>
          </w:p>
        </w:tc>
        <w:tc>
          <w:tcPr>
            <w:tcW w:w="2759" w:type="dxa"/>
            <w:tcMar>
              <w:top w:w="80" w:type="dxa"/>
              <w:left w:w="80" w:type="dxa"/>
              <w:bottom w:w="80" w:type="dxa"/>
              <w:right w:w="80" w:type="dxa"/>
            </w:tcMar>
          </w:tcPr>
          <w:p w14:paraId="479A7B28" w14:textId="2670AAAD"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w:t>
            </w:r>
            <w:r w:rsidR="005C3BDF">
              <w:rPr>
                <w:rFonts w:cs="Arial"/>
                <w:color w:val="000000"/>
                <w:sz w:val="14"/>
                <w:szCs w:val="16"/>
                <w:lang w:val="en-GB"/>
              </w:rPr>
              <w:t>185,780.36</w:t>
            </w:r>
            <w:r w:rsidRPr="0027143B">
              <w:rPr>
                <w:rFonts w:cs="Arial"/>
                <w:color w:val="000000"/>
                <w:sz w:val="14"/>
                <w:szCs w:val="16"/>
                <w:lang w:val="en-GB"/>
              </w:rPr>
              <w:t xml:space="preserve"> (Economic) — </w:t>
            </w:r>
            <w:hyperlink r:id="rId1235" w:history="1">
              <w:r w:rsidRPr="00096A73">
                <w:rPr>
                  <w:rStyle w:val="Hyperlink"/>
                  <w:rFonts w:cs="Arial"/>
                  <w:sz w:val="14"/>
                  <w:szCs w:val="16"/>
                  <w:lang w:val="en-GB"/>
                </w:rPr>
                <w:t>s39(9)</w:t>
              </w:r>
            </w:hyperlink>
          </w:p>
          <w:p w14:paraId="0C737C22" w14:textId="3B018CA0" w:rsidR="0027143B" w:rsidRPr="0027143B" w:rsidRDefault="0027143B" w:rsidP="005C3BDF">
            <w:pPr>
              <w:spacing w:after="60"/>
              <w:rPr>
                <w:rFonts w:cs="Arial"/>
                <w:color w:val="000000"/>
                <w:sz w:val="14"/>
                <w:szCs w:val="16"/>
                <w:lang w:val="en-GB"/>
              </w:rPr>
            </w:pPr>
            <w:r w:rsidRPr="0027143B">
              <w:rPr>
                <w:rFonts w:cs="Arial"/>
                <w:color w:val="000000"/>
                <w:sz w:val="14"/>
                <w:szCs w:val="16"/>
                <w:lang w:val="en-GB"/>
              </w:rPr>
              <w:t>$</w:t>
            </w:r>
            <w:r w:rsidR="005C3BDF">
              <w:rPr>
                <w:rFonts w:cs="Arial"/>
                <w:color w:val="000000"/>
                <w:sz w:val="14"/>
                <w:szCs w:val="16"/>
                <w:lang w:val="en-GB"/>
              </w:rPr>
              <w:t>69,667.68</w:t>
            </w:r>
            <w:r w:rsidRPr="0027143B">
              <w:rPr>
                <w:rFonts w:cs="Arial"/>
                <w:color w:val="000000"/>
                <w:sz w:val="14"/>
                <w:szCs w:val="16"/>
                <w:lang w:val="en-GB"/>
              </w:rPr>
              <w:t xml:space="preserve"> (Non</w:t>
            </w:r>
            <w:r w:rsidR="005C3BDF">
              <w:rPr>
                <w:rFonts w:cs="Arial"/>
                <w:color w:val="000000"/>
                <w:sz w:val="14"/>
                <w:szCs w:val="16"/>
                <w:lang w:val="en-GB"/>
              </w:rPr>
              <w:t xml:space="preserve">-economic) — </w:t>
            </w:r>
            <w:hyperlink r:id="rId1236" w:history="1">
              <w:r w:rsidR="005C3BDF" w:rsidRPr="00096A73">
                <w:rPr>
                  <w:rStyle w:val="Hyperlink"/>
                  <w:rFonts w:cs="Arial"/>
                  <w:sz w:val="14"/>
                  <w:szCs w:val="16"/>
                  <w:lang w:val="en-GB"/>
                </w:rPr>
                <w:t>s41(2)</w:t>
              </w:r>
            </w:hyperlink>
          </w:p>
        </w:tc>
        <w:tc>
          <w:tcPr>
            <w:tcW w:w="2759" w:type="dxa"/>
            <w:tcMar>
              <w:top w:w="80" w:type="dxa"/>
              <w:left w:w="80" w:type="dxa"/>
              <w:bottom w:w="80" w:type="dxa"/>
              <w:right w:w="80" w:type="dxa"/>
            </w:tcMar>
          </w:tcPr>
          <w:p w14:paraId="456DEC95" w14:textId="61A24B5B"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CPI. Adju</w:t>
            </w:r>
            <w:r w:rsidR="005C3BDF">
              <w:rPr>
                <w:rFonts w:cs="Arial"/>
                <w:color w:val="000000"/>
                <w:sz w:val="14"/>
                <w:szCs w:val="16"/>
                <w:lang w:val="en-GB"/>
              </w:rPr>
              <w:t>sted 1 July 2017</w:t>
            </w:r>
          </w:p>
        </w:tc>
        <w:tc>
          <w:tcPr>
            <w:tcW w:w="2759" w:type="dxa"/>
            <w:tcMar>
              <w:top w:w="80" w:type="dxa"/>
              <w:left w:w="80" w:type="dxa"/>
              <w:bottom w:w="80" w:type="dxa"/>
              <w:right w:w="80" w:type="dxa"/>
            </w:tcMar>
          </w:tcPr>
          <w:p w14:paraId="2519EDDE" w14:textId="3E0B2189"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N/A</w:t>
            </w:r>
          </w:p>
        </w:tc>
        <w:tc>
          <w:tcPr>
            <w:tcW w:w="2759" w:type="dxa"/>
            <w:tcMar>
              <w:top w:w="80" w:type="dxa"/>
              <w:left w:w="80" w:type="dxa"/>
              <w:bottom w:w="80" w:type="dxa"/>
              <w:right w:w="80" w:type="dxa"/>
            </w:tcMar>
          </w:tcPr>
          <w:p w14:paraId="6EC71A0A" w14:textId="627B87EE"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Payment of PI does not impact on any other entit</w:t>
            </w:r>
            <w:r w:rsidR="002C086D">
              <w:rPr>
                <w:rFonts w:cs="Arial"/>
                <w:color w:val="000000"/>
                <w:sz w:val="14"/>
                <w:szCs w:val="16"/>
                <w:lang w:val="en-GB"/>
              </w:rPr>
              <w:t xml:space="preserve">lements under the </w:t>
            </w:r>
            <w:r w:rsidR="009A1E32" w:rsidRPr="00016069">
              <w:rPr>
                <w:i/>
                <w:sz w:val="14"/>
              </w:rPr>
              <w:t>Seafarers Rehabilitation and Compensation Act 1992</w:t>
            </w:r>
            <w:r w:rsidR="009A1E32">
              <w:rPr>
                <w:i/>
                <w:sz w:val="14"/>
              </w:rPr>
              <w:t>.</w:t>
            </w:r>
          </w:p>
        </w:tc>
      </w:tr>
      <w:tr w:rsidR="0027143B" w:rsidRPr="0027143B" w14:paraId="4E8E0635" w14:textId="77777777" w:rsidTr="00B2173F">
        <w:tc>
          <w:tcPr>
            <w:tcW w:w="1626" w:type="dxa"/>
            <w:shd w:val="clear" w:color="auto" w:fill="FFC9C9"/>
            <w:tcMar>
              <w:top w:w="80" w:type="dxa"/>
              <w:left w:w="80" w:type="dxa"/>
              <w:bottom w:w="80" w:type="dxa"/>
              <w:right w:w="80" w:type="dxa"/>
            </w:tcMar>
          </w:tcPr>
          <w:p w14:paraId="7160D80F"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C’wealth DVA</w:t>
            </w:r>
          </w:p>
        </w:tc>
        <w:tc>
          <w:tcPr>
            <w:tcW w:w="2759" w:type="dxa"/>
            <w:shd w:val="clear" w:color="auto" w:fill="FFC9C9"/>
            <w:tcMar>
              <w:top w:w="80" w:type="dxa"/>
              <w:left w:w="80" w:type="dxa"/>
              <w:bottom w:w="80" w:type="dxa"/>
              <w:right w:w="80" w:type="dxa"/>
            </w:tcMar>
          </w:tcPr>
          <w:p w14:paraId="26276250" w14:textId="22B5FCB6" w:rsidR="0027143B" w:rsidRDefault="00F47F31" w:rsidP="00292A53">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A82D9A">
              <w:rPr>
                <w:rFonts w:cs="Arial"/>
                <w:color w:val="000000"/>
                <w:sz w:val="14"/>
                <w:szCs w:val="16"/>
                <w:lang w:val="en-GB"/>
              </w:rPr>
              <w:t>MRCA</w:t>
            </w:r>
            <w:r>
              <w:rPr>
                <w:rFonts w:cs="Arial"/>
                <w:color w:val="000000"/>
                <w:sz w:val="14"/>
                <w:szCs w:val="16"/>
                <w:lang w:val="en-GB"/>
              </w:rPr>
              <w:t>)</w:t>
            </w:r>
            <w:r w:rsidR="00A82D9A">
              <w:rPr>
                <w:rFonts w:cs="Arial"/>
                <w:color w:val="000000"/>
                <w:sz w:val="14"/>
                <w:szCs w:val="16"/>
                <w:lang w:val="en-GB"/>
              </w:rPr>
              <w:t xml:space="preserve"> — </w:t>
            </w:r>
            <w:r w:rsidR="000D393C">
              <w:rPr>
                <w:rFonts w:cs="Arial"/>
                <w:color w:val="000000"/>
                <w:sz w:val="14"/>
                <w:szCs w:val="16"/>
                <w:lang w:val="en-GB"/>
              </w:rPr>
              <w:t>Combined</w:t>
            </w:r>
          </w:p>
          <w:p w14:paraId="4FF34D16" w14:textId="6496BA60" w:rsidR="005C483E" w:rsidRDefault="005C483E" w:rsidP="0009030A">
            <w:pPr>
              <w:spacing w:after="1800"/>
              <w:rPr>
                <w:rFonts w:cs="Arial"/>
                <w:color w:val="000000"/>
                <w:sz w:val="14"/>
                <w:szCs w:val="16"/>
                <w:lang w:val="en-GB"/>
              </w:rPr>
            </w:pPr>
          </w:p>
          <w:p w14:paraId="0578EE56" w14:textId="77777777" w:rsidR="0009030A" w:rsidRDefault="0009030A" w:rsidP="0009030A">
            <w:pPr>
              <w:spacing w:after="960"/>
              <w:rPr>
                <w:rFonts w:cs="Arial"/>
                <w:color w:val="000000"/>
                <w:sz w:val="14"/>
                <w:szCs w:val="16"/>
                <w:lang w:val="en-GB"/>
              </w:rPr>
            </w:pPr>
          </w:p>
          <w:p w14:paraId="03F706C0" w14:textId="64786E8B" w:rsidR="005C483E" w:rsidRDefault="00F47F31" w:rsidP="00292A53">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5C483E">
              <w:rPr>
                <w:rFonts w:cs="Arial"/>
                <w:color w:val="000000"/>
                <w:sz w:val="14"/>
                <w:szCs w:val="16"/>
                <w:lang w:val="en-GB"/>
              </w:rPr>
              <w:t>DRCA</w:t>
            </w:r>
            <w:r>
              <w:rPr>
                <w:rFonts w:cs="Arial"/>
                <w:color w:val="000000"/>
                <w:sz w:val="14"/>
                <w:szCs w:val="16"/>
                <w:lang w:val="en-GB"/>
              </w:rPr>
              <w:t>)</w:t>
            </w:r>
            <w:r w:rsidR="005C483E">
              <w:rPr>
                <w:rFonts w:cs="Arial"/>
                <w:color w:val="000000"/>
                <w:sz w:val="14"/>
                <w:szCs w:val="16"/>
                <w:lang w:val="en-GB"/>
              </w:rPr>
              <w:t xml:space="preserve"> —</w:t>
            </w:r>
          </w:p>
          <w:p w14:paraId="1824E63E" w14:textId="77777777" w:rsidR="005C483E" w:rsidRDefault="005C483E" w:rsidP="00292A53">
            <w:pPr>
              <w:spacing w:after="60"/>
              <w:rPr>
                <w:rFonts w:cs="Arial"/>
                <w:color w:val="000000"/>
                <w:sz w:val="14"/>
                <w:szCs w:val="16"/>
                <w:lang w:val="en-GB"/>
              </w:rPr>
            </w:pPr>
            <w:r>
              <w:rPr>
                <w:rFonts w:cs="Arial"/>
                <w:color w:val="000000"/>
                <w:sz w:val="14"/>
                <w:szCs w:val="16"/>
                <w:lang w:val="en-GB"/>
              </w:rPr>
              <w:t>Economic</w:t>
            </w:r>
          </w:p>
          <w:p w14:paraId="2B4DB93A" w14:textId="06DFFB7F" w:rsidR="005C483E" w:rsidRPr="0027143B" w:rsidRDefault="005C483E" w:rsidP="00292A53">
            <w:pPr>
              <w:spacing w:after="60"/>
              <w:rPr>
                <w:rFonts w:cs="Arial"/>
                <w:color w:val="000000"/>
                <w:sz w:val="14"/>
                <w:szCs w:val="16"/>
                <w:lang w:val="en-GB"/>
              </w:rPr>
            </w:pPr>
            <w:r>
              <w:rPr>
                <w:rFonts w:cs="Arial"/>
                <w:color w:val="000000"/>
                <w:sz w:val="14"/>
                <w:szCs w:val="16"/>
                <w:lang w:val="en-GB"/>
              </w:rPr>
              <w:t>Non-Economic</w:t>
            </w:r>
          </w:p>
        </w:tc>
        <w:tc>
          <w:tcPr>
            <w:tcW w:w="2759" w:type="dxa"/>
            <w:shd w:val="clear" w:color="auto" w:fill="FFC9C9"/>
            <w:tcMar>
              <w:top w:w="80" w:type="dxa"/>
              <w:left w:w="80" w:type="dxa"/>
              <w:bottom w:w="80" w:type="dxa"/>
              <w:right w:w="80" w:type="dxa"/>
            </w:tcMar>
          </w:tcPr>
          <w:p w14:paraId="59BFF673" w14:textId="0898A4CD" w:rsidR="0027143B" w:rsidRDefault="0027143B" w:rsidP="00A82D9A">
            <w:pPr>
              <w:spacing w:after="60"/>
              <w:rPr>
                <w:rFonts w:cs="Arial"/>
                <w:color w:val="000000"/>
                <w:sz w:val="14"/>
                <w:szCs w:val="16"/>
                <w:lang w:val="en-GB"/>
              </w:rPr>
            </w:pPr>
            <w:r w:rsidRPr="0027143B">
              <w:rPr>
                <w:rFonts w:cs="Arial"/>
                <w:color w:val="000000"/>
                <w:sz w:val="14"/>
                <w:szCs w:val="16"/>
                <w:lang w:val="en-GB"/>
              </w:rPr>
              <w:lastRenderedPageBreak/>
              <w:t>$</w:t>
            </w:r>
            <w:r w:rsidR="00A82D9A">
              <w:rPr>
                <w:rFonts w:cs="Arial"/>
                <w:color w:val="000000"/>
                <w:sz w:val="14"/>
                <w:szCs w:val="16"/>
                <w:lang w:val="en-GB"/>
              </w:rPr>
              <w:t>340.77</w:t>
            </w:r>
            <w:r w:rsidRPr="0027143B">
              <w:rPr>
                <w:rFonts w:cs="Arial"/>
                <w:color w:val="000000"/>
                <w:sz w:val="14"/>
                <w:szCs w:val="16"/>
                <w:lang w:val="en-GB"/>
              </w:rPr>
              <w:t xml:space="preserve"> per week or equivalent age based lump sum up to maximum $</w:t>
            </w:r>
            <w:r w:rsidR="00A82D9A">
              <w:rPr>
                <w:rFonts w:cs="Arial"/>
                <w:color w:val="000000"/>
                <w:sz w:val="14"/>
                <w:szCs w:val="16"/>
                <w:lang w:val="en-GB"/>
              </w:rPr>
              <w:t xml:space="preserve">455,711.72 </w:t>
            </w:r>
            <w:r w:rsidR="00A82D9A" w:rsidRPr="0027143B">
              <w:rPr>
                <w:rFonts w:cs="Arial"/>
                <w:color w:val="000000"/>
                <w:sz w:val="14"/>
                <w:szCs w:val="16"/>
                <w:lang w:val="en-GB"/>
              </w:rPr>
              <w:t>—</w:t>
            </w:r>
            <w:r w:rsidRPr="0027143B">
              <w:rPr>
                <w:rFonts w:cs="Arial"/>
                <w:color w:val="000000"/>
                <w:sz w:val="14"/>
                <w:szCs w:val="16"/>
                <w:lang w:val="en-GB"/>
              </w:rPr>
              <w:t xml:space="preserve"> MRCA </w:t>
            </w:r>
            <w:hyperlink r:id="rId1237" w:history="1">
              <w:r w:rsidRPr="00096A73">
                <w:rPr>
                  <w:rStyle w:val="Hyperlink"/>
                  <w:rFonts w:cs="Arial"/>
                  <w:sz w:val="14"/>
                  <w:szCs w:val="16"/>
                  <w:lang w:val="en-GB"/>
                </w:rPr>
                <w:t>ss74</w:t>
              </w:r>
            </w:hyperlink>
            <w:r w:rsidRPr="0027143B">
              <w:rPr>
                <w:rFonts w:cs="Arial"/>
                <w:color w:val="000000"/>
                <w:sz w:val="14"/>
                <w:szCs w:val="16"/>
                <w:lang w:val="en-GB"/>
              </w:rPr>
              <w:t xml:space="preserve"> &amp; </w:t>
            </w:r>
            <w:hyperlink r:id="rId1238" w:history="1">
              <w:r w:rsidRPr="00096A73">
                <w:rPr>
                  <w:rStyle w:val="Hyperlink"/>
                  <w:rFonts w:cs="Arial"/>
                  <w:sz w:val="14"/>
                  <w:szCs w:val="16"/>
                  <w:lang w:val="en-GB"/>
                </w:rPr>
                <w:t>78</w:t>
              </w:r>
            </w:hyperlink>
            <w:r w:rsidR="00E13D9F">
              <w:rPr>
                <w:rFonts w:cs="Arial"/>
                <w:color w:val="000000"/>
                <w:sz w:val="14"/>
                <w:szCs w:val="16"/>
                <w:lang w:val="en-GB"/>
              </w:rPr>
              <w:t>.</w:t>
            </w:r>
          </w:p>
          <w:p w14:paraId="7703DC0A" w14:textId="02F5AF2D" w:rsidR="00F47F31" w:rsidRDefault="00F47F31" w:rsidP="005E1376">
            <w:pPr>
              <w:spacing w:after="2640"/>
              <w:rPr>
                <w:rFonts w:cs="Arial"/>
                <w:color w:val="000000"/>
                <w:sz w:val="14"/>
                <w:szCs w:val="16"/>
                <w:lang w:val="en-GB"/>
              </w:rPr>
            </w:pPr>
          </w:p>
          <w:p w14:paraId="264E105D" w14:textId="77777777" w:rsidR="005E1376" w:rsidRDefault="005E1376" w:rsidP="005E1376">
            <w:pPr>
              <w:spacing w:after="1080"/>
              <w:rPr>
                <w:rFonts w:cs="Arial"/>
                <w:color w:val="000000"/>
                <w:sz w:val="14"/>
                <w:szCs w:val="16"/>
                <w:lang w:val="en-GB"/>
              </w:rPr>
            </w:pPr>
          </w:p>
          <w:p w14:paraId="7F86C904" w14:textId="257E3D56" w:rsidR="005C483E" w:rsidRDefault="005C483E" w:rsidP="00A82D9A">
            <w:pPr>
              <w:spacing w:after="60"/>
              <w:rPr>
                <w:rFonts w:cs="Arial"/>
                <w:color w:val="000000"/>
                <w:sz w:val="14"/>
                <w:szCs w:val="16"/>
                <w:lang w:val="en-GB"/>
              </w:rPr>
            </w:pPr>
            <w:r>
              <w:rPr>
                <w:rFonts w:cs="Arial"/>
                <w:color w:val="000000"/>
                <w:sz w:val="14"/>
                <w:szCs w:val="16"/>
                <w:lang w:val="en-GB"/>
              </w:rPr>
              <w:t>$185,780.36 (Economic)</w:t>
            </w:r>
          </w:p>
          <w:p w14:paraId="5FC7B09F" w14:textId="33AC7566" w:rsidR="005C483E" w:rsidRPr="0027143B" w:rsidRDefault="005C483E" w:rsidP="00A82D9A">
            <w:pPr>
              <w:spacing w:after="60"/>
              <w:rPr>
                <w:rFonts w:cs="Arial"/>
                <w:color w:val="000000"/>
                <w:sz w:val="14"/>
                <w:szCs w:val="16"/>
                <w:lang w:val="en-GB"/>
              </w:rPr>
            </w:pPr>
            <w:r>
              <w:rPr>
                <w:rFonts w:cs="Arial"/>
                <w:color w:val="000000"/>
                <w:sz w:val="14"/>
                <w:szCs w:val="16"/>
                <w:lang w:val="en-GB"/>
              </w:rPr>
              <w:t>$69,667.68 (Non-Economic)</w:t>
            </w:r>
          </w:p>
        </w:tc>
        <w:tc>
          <w:tcPr>
            <w:tcW w:w="2759" w:type="dxa"/>
            <w:shd w:val="clear" w:color="auto" w:fill="FFC9C9"/>
            <w:tcMar>
              <w:top w:w="80" w:type="dxa"/>
              <w:left w:w="80" w:type="dxa"/>
              <w:bottom w:w="80" w:type="dxa"/>
              <w:right w:w="80" w:type="dxa"/>
            </w:tcMar>
          </w:tcPr>
          <w:p w14:paraId="7A20A550" w14:textId="2FEAF44F" w:rsidR="0027143B" w:rsidRDefault="0027143B" w:rsidP="00292A53">
            <w:pPr>
              <w:spacing w:after="60"/>
              <w:rPr>
                <w:rFonts w:cs="Arial"/>
                <w:color w:val="000000"/>
                <w:sz w:val="14"/>
                <w:szCs w:val="16"/>
                <w:lang w:val="en-GB"/>
              </w:rPr>
            </w:pPr>
            <w:r w:rsidRPr="0027143B">
              <w:rPr>
                <w:rFonts w:cs="Arial"/>
                <w:color w:val="000000"/>
                <w:sz w:val="14"/>
                <w:szCs w:val="16"/>
                <w:lang w:val="en-GB"/>
              </w:rPr>
              <w:lastRenderedPageBreak/>
              <w:t xml:space="preserve">CPI. Adjusted 1 July — MRCA </w:t>
            </w:r>
            <w:hyperlink r:id="rId1239" w:history="1">
              <w:r w:rsidRPr="00096A73">
                <w:rPr>
                  <w:rStyle w:val="Hyperlink"/>
                  <w:rFonts w:cs="Arial"/>
                  <w:sz w:val="14"/>
                  <w:szCs w:val="16"/>
                  <w:lang w:val="en-GB"/>
                </w:rPr>
                <w:t>s404</w:t>
              </w:r>
            </w:hyperlink>
            <w:r w:rsidRPr="0027143B">
              <w:rPr>
                <w:rFonts w:cs="Arial"/>
                <w:color w:val="000000"/>
                <w:sz w:val="14"/>
                <w:szCs w:val="16"/>
                <w:lang w:val="en-GB"/>
              </w:rPr>
              <w:t>.</w:t>
            </w:r>
          </w:p>
          <w:p w14:paraId="4E7AEE55" w14:textId="5DC1F0B7" w:rsidR="00F47F31" w:rsidRDefault="00F47F31" w:rsidP="00A941F8">
            <w:pPr>
              <w:spacing w:after="2880"/>
              <w:rPr>
                <w:rFonts w:cs="Arial"/>
                <w:color w:val="000000"/>
                <w:sz w:val="14"/>
                <w:szCs w:val="16"/>
                <w:lang w:val="en-GB"/>
              </w:rPr>
            </w:pPr>
          </w:p>
          <w:p w14:paraId="743C920A" w14:textId="77777777" w:rsidR="00A941F8" w:rsidRDefault="00A941F8" w:rsidP="00A941F8">
            <w:pPr>
              <w:spacing w:after="960"/>
              <w:rPr>
                <w:rFonts w:cs="Arial"/>
                <w:color w:val="000000"/>
                <w:sz w:val="14"/>
                <w:szCs w:val="16"/>
                <w:lang w:val="en-GB"/>
              </w:rPr>
            </w:pPr>
          </w:p>
          <w:p w14:paraId="0ACFB9B4" w14:textId="3D826574" w:rsidR="005C483E" w:rsidRPr="0027143B" w:rsidRDefault="005C483E" w:rsidP="00292A53">
            <w:pPr>
              <w:spacing w:after="60"/>
              <w:rPr>
                <w:rFonts w:cs="Arial"/>
                <w:color w:val="000000"/>
                <w:sz w:val="14"/>
                <w:szCs w:val="16"/>
                <w:lang w:val="en-GB"/>
              </w:rPr>
            </w:pPr>
            <w:r>
              <w:rPr>
                <w:rFonts w:cs="Arial"/>
                <w:color w:val="000000"/>
                <w:sz w:val="14"/>
                <w:szCs w:val="16"/>
                <w:lang w:val="en-GB"/>
              </w:rPr>
              <w:t>CPI. Adjusted 1 July</w:t>
            </w:r>
          </w:p>
        </w:tc>
        <w:tc>
          <w:tcPr>
            <w:tcW w:w="2759" w:type="dxa"/>
            <w:shd w:val="clear" w:color="auto" w:fill="FFC9C9"/>
            <w:tcMar>
              <w:top w:w="80" w:type="dxa"/>
              <w:left w:w="80" w:type="dxa"/>
              <w:bottom w:w="80" w:type="dxa"/>
              <w:right w:w="80" w:type="dxa"/>
            </w:tcMar>
          </w:tcPr>
          <w:p w14:paraId="5E13DE1E" w14:textId="0B5766F5" w:rsidR="0027143B" w:rsidRPr="00BC2D34" w:rsidRDefault="0027143B" w:rsidP="00F839DB">
            <w:pPr>
              <w:pStyle w:val="ListParagraph"/>
              <w:numPr>
                <w:ilvl w:val="0"/>
                <w:numId w:val="159"/>
              </w:numPr>
              <w:spacing w:after="60"/>
              <w:contextualSpacing/>
              <w:rPr>
                <w:rFonts w:eastAsia="Calibri" w:cs="Arial"/>
                <w:sz w:val="14"/>
                <w:szCs w:val="14"/>
                <w:lang w:eastAsia="en-US"/>
              </w:rPr>
            </w:pPr>
            <w:r w:rsidRPr="00BC2D34">
              <w:rPr>
                <w:rFonts w:eastAsia="Calibri" w:cs="Arial"/>
                <w:sz w:val="14"/>
                <w:szCs w:val="14"/>
                <w:lang w:eastAsia="en-US"/>
              </w:rPr>
              <w:lastRenderedPageBreak/>
              <w:t>$</w:t>
            </w:r>
            <w:r w:rsidR="00A82D9A">
              <w:rPr>
                <w:rFonts w:eastAsia="Calibri" w:cs="Arial"/>
                <w:sz w:val="14"/>
                <w:szCs w:val="14"/>
                <w:lang w:eastAsia="en-US"/>
              </w:rPr>
              <w:t>87,726.20</w:t>
            </w:r>
            <w:r w:rsidRPr="00BC2D34">
              <w:rPr>
                <w:rFonts w:eastAsia="Calibri" w:cs="Arial"/>
                <w:sz w:val="14"/>
                <w:szCs w:val="14"/>
                <w:lang w:eastAsia="en-US"/>
              </w:rPr>
              <w:t xml:space="preserve"> plus education scheme benefits equivalent to Youth Allowance paid for each dependent eligible young person, if the person suffers impairment of 80 or more </w:t>
            </w:r>
            <w:r w:rsidR="00A82D9A">
              <w:rPr>
                <w:rFonts w:eastAsia="Calibri" w:cs="Arial"/>
                <w:sz w:val="14"/>
                <w:szCs w:val="14"/>
                <w:lang w:eastAsia="en-US"/>
              </w:rPr>
              <w:t xml:space="preserve">impairment </w:t>
            </w:r>
            <w:r w:rsidRPr="00BC2D34">
              <w:rPr>
                <w:rFonts w:eastAsia="Calibri" w:cs="Arial"/>
                <w:sz w:val="14"/>
                <w:szCs w:val="14"/>
                <w:lang w:eastAsia="en-US"/>
              </w:rPr>
              <w:t xml:space="preserve">points </w:t>
            </w:r>
            <w:r w:rsidR="000B7577">
              <w:rPr>
                <w:rFonts w:eastAsia="Calibri" w:cs="Arial"/>
                <w:sz w:val="14"/>
                <w:szCs w:val="14"/>
                <w:lang w:eastAsia="en-US"/>
              </w:rPr>
              <w:t>—</w:t>
            </w:r>
            <w:r w:rsidR="000B7577" w:rsidRPr="00BC2D34">
              <w:rPr>
                <w:rFonts w:eastAsia="Calibri" w:cs="Arial"/>
                <w:sz w:val="14"/>
                <w:szCs w:val="14"/>
                <w:lang w:eastAsia="en-US"/>
              </w:rPr>
              <w:t xml:space="preserve"> </w:t>
            </w:r>
            <w:r w:rsidRPr="00BC2D34">
              <w:rPr>
                <w:rFonts w:eastAsia="Calibri" w:cs="Arial"/>
                <w:sz w:val="14"/>
                <w:szCs w:val="14"/>
                <w:lang w:eastAsia="en-US"/>
              </w:rPr>
              <w:t xml:space="preserve">MRCA </w:t>
            </w:r>
            <w:hyperlink r:id="rId1240" w:history="1">
              <w:r w:rsidRPr="00096A73">
                <w:rPr>
                  <w:rStyle w:val="Hyperlink"/>
                  <w:rFonts w:eastAsia="Calibri" w:cs="Arial"/>
                  <w:sz w:val="14"/>
                  <w:szCs w:val="14"/>
                  <w:lang w:eastAsia="en-US"/>
                </w:rPr>
                <w:t>ss80</w:t>
              </w:r>
            </w:hyperlink>
            <w:r w:rsidRPr="00BC2D34">
              <w:rPr>
                <w:rFonts w:eastAsia="Calibri" w:cs="Arial"/>
                <w:sz w:val="14"/>
                <w:szCs w:val="14"/>
                <w:lang w:eastAsia="en-US"/>
              </w:rPr>
              <w:t xml:space="preserve"> &amp; </w:t>
            </w:r>
            <w:hyperlink r:id="rId1241" w:history="1">
              <w:r w:rsidRPr="00096A73">
                <w:rPr>
                  <w:rStyle w:val="Hyperlink"/>
                  <w:rFonts w:eastAsia="Calibri" w:cs="Arial"/>
                  <w:sz w:val="14"/>
                  <w:szCs w:val="14"/>
                  <w:lang w:eastAsia="en-US"/>
                </w:rPr>
                <w:t>258</w:t>
              </w:r>
            </w:hyperlink>
          </w:p>
          <w:p w14:paraId="3B3D19CA" w14:textId="5821EDAB" w:rsidR="0027143B" w:rsidRPr="00BC2D34" w:rsidRDefault="0027143B" w:rsidP="00F839DB">
            <w:pPr>
              <w:pStyle w:val="ListParagraph"/>
              <w:numPr>
                <w:ilvl w:val="0"/>
                <w:numId w:val="159"/>
              </w:numPr>
              <w:spacing w:after="60"/>
              <w:contextualSpacing/>
              <w:rPr>
                <w:rFonts w:eastAsia="Calibri" w:cs="Arial"/>
                <w:sz w:val="14"/>
                <w:szCs w:val="14"/>
                <w:lang w:eastAsia="en-US"/>
              </w:rPr>
            </w:pPr>
            <w:r w:rsidRPr="00BC2D34">
              <w:rPr>
                <w:rFonts w:eastAsia="Calibri" w:cs="Arial"/>
                <w:sz w:val="14"/>
                <w:szCs w:val="14"/>
                <w:lang w:eastAsia="en-US"/>
              </w:rPr>
              <w:t>MRCA Supplement of maximum $</w:t>
            </w:r>
            <w:r w:rsidR="005C483E">
              <w:rPr>
                <w:rFonts w:eastAsia="Calibri" w:cs="Arial"/>
                <w:sz w:val="14"/>
                <w:szCs w:val="14"/>
                <w:lang w:eastAsia="en-US"/>
              </w:rPr>
              <w:t>12.40</w:t>
            </w:r>
            <w:r w:rsidRPr="00BC2D34">
              <w:rPr>
                <w:rFonts w:eastAsia="Calibri" w:cs="Arial"/>
                <w:sz w:val="14"/>
                <w:szCs w:val="14"/>
                <w:lang w:eastAsia="en-US"/>
              </w:rPr>
              <w:t xml:space="preserve"> per </w:t>
            </w:r>
            <w:r w:rsidR="005C483E">
              <w:rPr>
                <w:rFonts w:eastAsia="Calibri" w:cs="Arial"/>
                <w:sz w:val="14"/>
                <w:szCs w:val="14"/>
                <w:lang w:eastAsia="en-US"/>
              </w:rPr>
              <w:t xml:space="preserve">fortnight </w:t>
            </w:r>
            <w:r w:rsidRPr="00BC2D34">
              <w:rPr>
                <w:rFonts w:eastAsia="Calibri" w:cs="Arial"/>
                <w:sz w:val="14"/>
                <w:szCs w:val="14"/>
                <w:lang w:eastAsia="en-US"/>
              </w:rPr>
              <w:t xml:space="preserve">paid if the person suffers impairment of 80 or more points </w:t>
            </w:r>
            <w:r w:rsidR="000B7577">
              <w:rPr>
                <w:rFonts w:eastAsia="Calibri" w:cs="Arial"/>
                <w:sz w:val="14"/>
                <w:szCs w:val="14"/>
                <w:lang w:eastAsia="en-US"/>
              </w:rPr>
              <w:t>—</w:t>
            </w:r>
            <w:r w:rsidR="000B7577" w:rsidRPr="00BC2D34">
              <w:rPr>
                <w:rFonts w:eastAsia="Calibri" w:cs="Arial"/>
                <w:sz w:val="14"/>
                <w:szCs w:val="14"/>
                <w:lang w:eastAsia="en-US"/>
              </w:rPr>
              <w:t xml:space="preserve"> </w:t>
            </w:r>
            <w:r w:rsidRPr="00BC2D34">
              <w:rPr>
                <w:rFonts w:eastAsia="Calibri" w:cs="Arial"/>
                <w:sz w:val="14"/>
                <w:szCs w:val="14"/>
                <w:lang w:eastAsia="en-US"/>
              </w:rPr>
              <w:t xml:space="preserve">MRCA </w:t>
            </w:r>
            <w:hyperlink r:id="rId1242" w:history="1">
              <w:r w:rsidRPr="00096A73">
                <w:rPr>
                  <w:rStyle w:val="Hyperlink"/>
                  <w:rFonts w:eastAsia="Calibri" w:cs="Arial"/>
                  <w:sz w:val="14"/>
                  <w:szCs w:val="14"/>
                  <w:lang w:eastAsia="en-US"/>
                </w:rPr>
                <w:t>s223</w:t>
              </w:r>
            </w:hyperlink>
            <w:r w:rsidRPr="00BC2D34">
              <w:rPr>
                <w:rFonts w:eastAsia="Calibri" w:cs="Arial"/>
                <w:sz w:val="14"/>
                <w:szCs w:val="14"/>
                <w:lang w:eastAsia="en-US"/>
              </w:rPr>
              <w:t>. Energy Supplement may also be payable.</w:t>
            </w:r>
          </w:p>
          <w:p w14:paraId="32131BA6" w14:textId="48AB347C" w:rsidR="0027143B" w:rsidRPr="00BC2D34" w:rsidRDefault="0027143B" w:rsidP="00F839DB">
            <w:pPr>
              <w:pStyle w:val="ListParagraph"/>
              <w:numPr>
                <w:ilvl w:val="0"/>
                <w:numId w:val="159"/>
              </w:numPr>
              <w:spacing w:after="60"/>
              <w:contextualSpacing/>
              <w:rPr>
                <w:rFonts w:eastAsia="Calibri" w:cs="Arial"/>
                <w:sz w:val="14"/>
                <w:szCs w:val="14"/>
                <w:lang w:eastAsia="en-US"/>
              </w:rPr>
            </w:pPr>
            <w:r w:rsidRPr="00BC2D34">
              <w:rPr>
                <w:rFonts w:eastAsia="Calibri" w:cs="Arial"/>
                <w:sz w:val="14"/>
                <w:szCs w:val="14"/>
                <w:lang w:eastAsia="en-US"/>
              </w:rPr>
              <w:t xml:space="preserve">Free medical treatment for all conditions (compensable or otherwise) if the person suffers impairment of 60 or more points from compensable conditions — MRCA </w:t>
            </w:r>
            <w:hyperlink r:id="rId1243" w:history="1">
              <w:r w:rsidRPr="00096A73">
                <w:rPr>
                  <w:rStyle w:val="Hyperlink"/>
                  <w:rFonts w:eastAsia="Calibri" w:cs="Arial"/>
                  <w:sz w:val="14"/>
                  <w:szCs w:val="14"/>
                  <w:lang w:eastAsia="en-US"/>
                </w:rPr>
                <w:t>s281</w:t>
              </w:r>
            </w:hyperlink>
          </w:p>
          <w:p w14:paraId="0BD8D921" w14:textId="1C697510" w:rsidR="0027143B" w:rsidRDefault="005C483E" w:rsidP="00F839DB">
            <w:pPr>
              <w:pStyle w:val="ListParagraph"/>
              <w:numPr>
                <w:ilvl w:val="0"/>
                <w:numId w:val="159"/>
              </w:numPr>
              <w:spacing w:after="60"/>
              <w:contextualSpacing/>
              <w:rPr>
                <w:rFonts w:eastAsia="Calibri" w:cs="Arial"/>
                <w:sz w:val="14"/>
                <w:szCs w:val="14"/>
                <w:lang w:eastAsia="en-US"/>
              </w:rPr>
            </w:pPr>
            <w:r>
              <w:rPr>
                <w:rFonts w:eastAsia="Calibri" w:cs="Arial"/>
                <w:sz w:val="14"/>
                <w:szCs w:val="14"/>
                <w:lang w:eastAsia="en-US"/>
              </w:rPr>
              <w:t>Maximum $2,587.55</w:t>
            </w:r>
            <w:r w:rsidR="0027143B" w:rsidRPr="00BC2D34">
              <w:rPr>
                <w:rFonts w:eastAsia="Calibri" w:cs="Arial"/>
                <w:sz w:val="14"/>
                <w:szCs w:val="14"/>
                <w:lang w:eastAsia="en-US"/>
              </w:rPr>
              <w:t xml:space="preserve"> for financial and legal advice compensation if </w:t>
            </w:r>
            <w:r w:rsidR="0027143B" w:rsidRPr="00BC2D34">
              <w:rPr>
                <w:rFonts w:eastAsia="Calibri" w:cs="Arial"/>
                <w:sz w:val="14"/>
                <w:szCs w:val="14"/>
                <w:lang w:eastAsia="en-US"/>
              </w:rPr>
              <w:lastRenderedPageBreak/>
              <w:t xml:space="preserve">the person suffers impairment of 50 or more points — MRCA </w:t>
            </w:r>
            <w:hyperlink r:id="rId1244" w:history="1">
              <w:r w:rsidR="0027143B" w:rsidRPr="00096A73">
                <w:rPr>
                  <w:rStyle w:val="Hyperlink"/>
                  <w:rFonts w:eastAsia="Calibri" w:cs="Arial"/>
                  <w:sz w:val="14"/>
                  <w:szCs w:val="14"/>
                  <w:lang w:eastAsia="en-US"/>
                </w:rPr>
                <w:t>s82</w:t>
              </w:r>
            </w:hyperlink>
          </w:p>
          <w:p w14:paraId="4ADDAB65" w14:textId="77777777" w:rsidR="005C483E" w:rsidRDefault="005C483E" w:rsidP="005C483E">
            <w:pPr>
              <w:spacing w:after="60"/>
              <w:contextualSpacing/>
              <w:rPr>
                <w:rFonts w:eastAsia="Calibri" w:cs="Arial"/>
                <w:sz w:val="14"/>
                <w:szCs w:val="14"/>
                <w:lang w:eastAsia="en-US"/>
              </w:rPr>
            </w:pPr>
          </w:p>
          <w:p w14:paraId="22186ACD" w14:textId="0619C857" w:rsidR="005C483E" w:rsidRPr="005C483E" w:rsidRDefault="005C483E" w:rsidP="005C483E">
            <w:pPr>
              <w:spacing w:after="60"/>
              <w:contextualSpacing/>
              <w:rPr>
                <w:rFonts w:eastAsia="Calibri" w:cs="Arial"/>
                <w:sz w:val="14"/>
                <w:szCs w:val="14"/>
                <w:lang w:eastAsia="en-US"/>
              </w:rPr>
            </w:pPr>
          </w:p>
        </w:tc>
        <w:tc>
          <w:tcPr>
            <w:tcW w:w="2759" w:type="dxa"/>
            <w:shd w:val="clear" w:color="auto" w:fill="FFC9C9"/>
            <w:tcMar>
              <w:top w:w="80" w:type="dxa"/>
              <w:left w:w="80" w:type="dxa"/>
              <w:bottom w:w="80" w:type="dxa"/>
              <w:right w:w="80" w:type="dxa"/>
            </w:tcMar>
          </w:tcPr>
          <w:p w14:paraId="1DC5F67E" w14:textId="0D90549C"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lastRenderedPageBreak/>
              <w:t xml:space="preserve">Payment of PI can impact on the payment of Special Rate Disability Pension — MRCA </w:t>
            </w:r>
            <w:hyperlink r:id="rId1245" w:history="1">
              <w:r w:rsidRPr="00096A73">
                <w:rPr>
                  <w:rStyle w:val="Hyperlink"/>
                  <w:rFonts w:cs="Arial"/>
                  <w:sz w:val="14"/>
                  <w:szCs w:val="16"/>
                  <w:lang w:val="en-GB"/>
                </w:rPr>
                <w:t>s204</w:t>
              </w:r>
            </w:hyperlink>
          </w:p>
        </w:tc>
      </w:tr>
      <w:tr w:rsidR="0027143B" w:rsidRPr="0027143B" w14:paraId="5767E94C" w14:textId="77777777" w:rsidTr="00B2173F">
        <w:tc>
          <w:tcPr>
            <w:tcW w:w="1626" w:type="dxa"/>
            <w:tcMar>
              <w:top w:w="80" w:type="dxa"/>
              <w:left w:w="80" w:type="dxa"/>
              <w:bottom w:w="80" w:type="dxa"/>
              <w:right w:w="80" w:type="dxa"/>
            </w:tcMar>
          </w:tcPr>
          <w:p w14:paraId="3990EF34" w14:textId="177A0F6D"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New Zealand</w:t>
            </w:r>
          </w:p>
        </w:tc>
        <w:tc>
          <w:tcPr>
            <w:tcW w:w="2759" w:type="dxa"/>
            <w:tcMar>
              <w:top w:w="80" w:type="dxa"/>
              <w:left w:w="80" w:type="dxa"/>
              <w:bottom w:w="80" w:type="dxa"/>
              <w:right w:w="80" w:type="dxa"/>
            </w:tcMar>
          </w:tcPr>
          <w:p w14:paraId="08357077" w14:textId="34C03625" w:rsidR="0027143B" w:rsidRPr="0027143B" w:rsidRDefault="000D393C" w:rsidP="00292A53">
            <w:pPr>
              <w:spacing w:after="60"/>
              <w:rPr>
                <w:rFonts w:cs="Arial"/>
                <w:color w:val="000000"/>
                <w:sz w:val="14"/>
                <w:szCs w:val="16"/>
                <w:lang w:val="en-GB"/>
              </w:rPr>
            </w:pPr>
            <w:r>
              <w:rPr>
                <w:rFonts w:cs="Arial"/>
                <w:color w:val="000000"/>
                <w:sz w:val="14"/>
                <w:szCs w:val="16"/>
                <w:lang w:val="en-GB"/>
              </w:rPr>
              <w:t>Non-Economic</w:t>
            </w:r>
          </w:p>
        </w:tc>
        <w:tc>
          <w:tcPr>
            <w:tcW w:w="2759" w:type="dxa"/>
            <w:tcMar>
              <w:top w:w="80" w:type="dxa"/>
              <w:left w:w="80" w:type="dxa"/>
              <w:bottom w:w="80" w:type="dxa"/>
              <w:right w:w="80" w:type="dxa"/>
            </w:tcMar>
          </w:tcPr>
          <w:p w14:paraId="05283F27" w14:textId="79A5AB9B" w:rsidR="0027143B" w:rsidRPr="0027143B" w:rsidRDefault="0027143B" w:rsidP="00E7010B">
            <w:pPr>
              <w:spacing w:after="60"/>
              <w:rPr>
                <w:rFonts w:cs="Arial"/>
                <w:color w:val="000000"/>
                <w:sz w:val="14"/>
                <w:szCs w:val="16"/>
                <w:lang w:val="en-GB"/>
              </w:rPr>
            </w:pPr>
            <w:r w:rsidRPr="0027143B">
              <w:rPr>
                <w:rFonts w:cs="Arial"/>
                <w:color w:val="000000"/>
                <w:sz w:val="14"/>
                <w:szCs w:val="16"/>
                <w:lang w:val="en-GB"/>
              </w:rPr>
              <w:t>Maximum $</w:t>
            </w:r>
            <w:r w:rsidR="00E7010B">
              <w:rPr>
                <w:rFonts w:cs="Arial"/>
                <w:color w:val="000000"/>
                <w:sz w:val="14"/>
                <w:szCs w:val="16"/>
                <w:lang w:val="en-GB"/>
              </w:rPr>
              <w:t>136,705.79</w:t>
            </w:r>
            <w:r w:rsidRPr="0027143B">
              <w:rPr>
                <w:rFonts w:cs="Arial"/>
                <w:color w:val="000000"/>
                <w:sz w:val="14"/>
                <w:szCs w:val="16"/>
                <w:lang w:val="en-GB"/>
              </w:rPr>
              <w:t xml:space="preserve"> L</w:t>
            </w:r>
            <w:r w:rsidR="002C086D">
              <w:rPr>
                <w:rFonts w:cs="Arial"/>
                <w:color w:val="000000"/>
                <w:sz w:val="14"/>
                <w:szCs w:val="16"/>
                <w:lang w:val="en-GB"/>
              </w:rPr>
              <w:t>ump Sum payment</w:t>
            </w:r>
          </w:p>
        </w:tc>
        <w:tc>
          <w:tcPr>
            <w:tcW w:w="2759" w:type="dxa"/>
            <w:tcMar>
              <w:top w:w="80" w:type="dxa"/>
              <w:left w:w="80" w:type="dxa"/>
              <w:bottom w:w="80" w:type="dxa"/>
              <w:right w:w="80" w:type="dxa"/>
            </w:tcMar>
          </w:tcPr>
          <w:p w14:paraId="740B7E4D" w14:textId="327EFFA2" w:rsidR="0027143B" w:rsidRPr="0027143B" w:rsidRDefault="002C086D" w:rsidP="00292A53">
            <w:pPr>
              <w:spacing w:after="60"/>
              <w:rPr>
                <w:rFonts w:cs="Arial"/>
                <w:color w:val="000000"/>
                <w:sz w:val="14"/>
                <w:szCs w:val="16"/>
                <w:lang w:val="en-GB"/>
              </w:rPr>
            </w:pPr>
            <w:r>
              <w:rPr>
                <w:rFonts w:cs="Arial"/>
                <w:color w:val="000000"/>
                <w:sz w:val="14"/>
                <w:szCs w:val="16"/>
                <w:lang w:val="en-GB"/>
              </w:rPr>
              <w:t>Adjusted 1 July</w:t>
            </w:r>
          </w:p>
        </w:tc>
        <w:tc>
          <w:tcPr>
            <w:tcW w:w="2759" w:type="dxa"/>
            <w:tcMar>
              <w:top w:w="80" w:type="dxa"/>
              <w:left w:w="80" w:type="dxa"/>
              <w:bottom w:w="80" w:type="dxa"/>
              <w:right w:w="80" w:type="dxa"/>
            </w:tcMar>
          </w:tcPr>
          <w:p w14:paraId="77F94695" w14:textId="4D21C3B1"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N/A</w:t>
            </w:r>
          </w:p>
        </w:tc>
        <w:tc>
          <w:tcPr>
            <w:tcW w:w="2759" w:type="dxa"/>
            <w:tcMar>
              <w:top w:w="80" w:type="dxa"/>
              <w:left w:w="80" w:type="dxa"/>
              <w:bottom w:w="80" w:type="dxa"/>
              <w:right w:w="80" w:type="dxa"/>
            </w:tcMar>
          </w:tcPr>
          <w:p w14:paraId="3115B0A6" w14:textId="77777777" w:rsidR="0027143B" w:rsidRPr="00BC2D34" w:rsidRDefault="0027143B" w:rsidP="00F839DB">
            <w:pPr>
              <w:pStyle w:val="ListParagraph"/>
              <w:numPr>
                <w:ilvl w:val="0"/>
                <w:numId w:val="160"/>
              </w:numPr>
              <w:spacing w:after="60"/>
              <w:contextualSpacing/>
              <w:rPr>
                <w:rFonts w:eastAsia="Calibri" w:cs="Arial"/>
                <w:sz w:val="14"/>
                <w:szCs w:val="14"/>
                <w:lang w:eastAsia="en-US"/>
              </w:rPr>
            </w:pPr>
            <w:r w:rsidRPr="00BC2D34">
              <w:rPr>
                <w:rFonts w:eastAsia="Calibri" w:cs="Arial"/>
                <w:sz w:val="14"/>
                <w:szCs w:val="14"/>
                <w:lang w:eastAsia="en-US"/>
              </w:rPr>
              <w:t>Injury prior to 1 April 2002, an independence allowance may be payable if impairment &gt; 10% WPI</w:t>
            </w:r>
          </w:p>
          <w:p w14:paraId="2826A726" w14:textId="77777777" w:rsidR="0027143B" w:rsidRPr="00BC2D34" w:rsidRDefault="0027143B" w:rsidP="00F839DB">
            <w:pPr>
              <w:pStyle w:val="ListParagraph"/>
              <w:numPr>
                <w:ilvl w:val="0"/>
                <w:numId w:val="160"/>
              </w:numPr>
              <w:spacing w:after="60"/>
              <w:contextualSpacing/>
              <w:rPr>
                <w:rFonts w:eastAsia="Calibri" w:cs="Arial"/>
                <w:sz w:val="14"/>
                <w:szCs w:val="14"/>
                <w:lang w:eastAsia="en-US"/>
              </w:rPr>
            </w:pPr>
            <w:r w:rsidRPr="00BC2D34">
              <w:rPr>
                <w:rFonts w:eastAsia="Calibri" w:cs="Arial"/>
                <w:sz w:val="14"/>
                <w:szCs w:val="14"/>
                <w:lang w:eastAsia="en-US"/>
              </w:rPr>
              <w:t>From 1 April 2002, spouse of person killed can apply to have weekly compensation commuted</w:t>
            </w:r>
          </w:p>
          <w:p w14:paraId="6DE72449" w14:textId="04A21BDF" w:rsidR="0027143B" w:rsidRPr="00BC2D34" w:rsidRDefault="0027143B" w:rsidP="00F839DB">
            <w:pPr>
              <w:pStyle w:val="ListParagraph"/>
              <w:numPr>
                <w:ilvl w:val="0"/>
                <w:numId w:val="160"/>
              </w:numPr>
              <w:spacing w:after="60"/>
              <w:contextualSpacing/>
              <w:rPr>
                <w:rFonts w:eastAsia="Calibri" w:cs="Arial"/>
                <w:sz w:val="14"/>
                <w:szCs w:val="14"/>
                <w:lang w:eastAsia="en-US"/>
              </w:rPr>
            </w:pPr>
            <w:r w:rsidRPr="00BC2D34">
              <w:rPr>
                <w:rFonts w:eastAsia="Calibri" w:cs="Arial"/>
                <w:sz w:val="14"/>
                <w:szCs w:val="14"/>
                <w:lang w:eastAsia="en-US"/>
              </w:rPr>
              <w:t>The independence allowance can be capitalised for periods of 5 years</w:t>
            </w:r>
          </w:p>
        </w:tc>
      </w:tr>
      <w:bookmarkEnd w:id="141"/>
    </w:tbl>
    <w:p w14:paraId="578DDAE5" w14:textId="77777777" w:rsidR="002915A1" w:rsidRDefault="002915A1" w:rsidP="00C66972">
      <w:pPr>
        <w:spacing w:after="200" w:line="276" w:lineRule="auto"/>
        <w:rPr>
          <w:rFonts w:cs="Arial"/>
          <w:sz w:val="16"/>
          <w:szCs w:val="16"/>
        </w:rPr>
      </w:pPr>
    </w:p>
    <w:p w14:paraId="486DEE49" w14:textId="0DD8F724" w:rsidR="00C66972" w:rsidRPr="00C66972" w:rsidRDefault="002915A1" w:rsidP="00C66972">
      <w:pPr>
        <w:spacing w:after="200" w:line="276" w:lineRule="auto"/>
        <w:rPr>
          <w:rFonts w:eastAsiaTheme="minorHAnsi"/>
        </w:rPr>
      </w:pPr>
      <w:r>
        <w:rPr>
          <w:rStyle w:val="FootnoteReference"/>
          <w:rFonts w:cs="Arial"/>
          <w:sz w:val="16"/>
          <w:szCs w:val="16"/>
        </w:rPr>
        <w:footnoteRef/>
      </w:r>
      <w:r w:rsidRPr="00541C51">
        <w:rPr>
          <w:rFonts w:cs="Arial"/>
          <w:sz w:val="16"/>
          <w:szCs w:val="16"/>
        </w:rPr>
        <w:t xml:space="preserve"> </w:t>
      </w:r>
      <w:r>
        <w:rPr>
          <w:rFonts w:cs="Arial"/>
          <w:sz w:val="16"/>
          <w:szCs w:val="16"/>
        </w:rPr>
        <w:t>As of 15 October 2013, a greater than 5% degree of permanent impairment threshold applies for access to common law</w:t>
      </w:r>
    </w:p>
    <w:p w14:paraId="3C5B5304" w14:textId="2D57AA13" w:rsidR="00BC2D34" w:rsidRPr="00A80282" w:rsidRDefault="00BC2D34" w:rsidP="00A80282">
      <w:pPr>
        <w:pStyle w:val="SWATableheader"/>
      </w:pPr>
      <w:bookmarkStart w:id="142" w:name="_Toc504654680"/>
      <w:bookmarkStart w:id="143" w:name="death"/>
      <w:r w:rsidRPr="00A80282">
        <w:rPr>
          <w:rStyle w:val="SWATableheaderChar"/>
          <w:b/>
        </w:rPr>
        <w:lastRenderedPageBreak/>
        <w:t>Table 4.4: Death entitlements</w:t>
      </w:r>
      <w:bookmarkEnd w:id="142"/>
      <w:r w:rsidRPr="00A80282">
        <w:t xml:space="preserve"> </w:t>
      </w:r>
      <w:r w:rsidR="0008303E" w:rsidRPr="00A80282">
        <w:fldChar w:fldCharType="begin"/>
      </w:r>
      <w:r w:rsidR="0008303E" w:rsidRPr="00A80282">
        <w:instrText xml:space="preserve"> XE "benefits:death entitlements" \r "death" </w:instrText>
      </w:r>
      <w:r w:rsidR="0008303E" w:rsidRPr="00A80282">
        <w:fldChar w:fldCharType="end"/>
      </w:r>
      <w:r w:rsidR="008E6A35" w:rsidRPr="00A80282">
        <w:fldChar w:fldCharType="begin"/>
      </w:r>
      <w:r w:rsidR="008E6A35" w:rsidRPr="00A80282">
        <w:instrText xml:space="preserve"> XE "death entitlements" \r "death" </w:instrText>
      </w:r>
      <w:r w:rsidR="008E6A35"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4: Death entitlements  "/>
        <w:tblDescription w:val="This table provides information about death entitlements. "/>
      </w:tblPr>
      <w:tblGrid>
        <w:gridCol w:w="1626"/>
        <w:gridCol w:w="4598"/>
        <w:gridCol w:w="4598"/>
        <w:gridCol w:w="4599"/>
      </w:tblGrid>
      <w:tr w:rsidR="00BC2D34" w:rsidRPr="00BC2D34" w14:paraId="47192DE1" w14:textId="77777777" w:rsidTr="00B2173F">
        <w:trPr>
          <w:tblHeader/>
        </w:trPr>
        <w:tc>
          <w:tcPr>
            <w:tcW w:w="1626" w:type="dxa"/>
            <w:shd w:val="clear" w:color="auto" w:fill="C00000"/>
            <w:tcMar>
              <w:top w:w="0" w:type="dxa"/>
              <w:left w:w="0" w:type="dxa"/>
              <w:bottom w:w="0" w:type="dxa"/>
              <w:right w:w="0" w:type="dxa"/>
            </w:tcMar>
            <w:vAlign w:val="center"/>
          </w:tcPr>
          <w:p w14:paraId="168C9AE5" w14:textId="77777777" w:rsidR="00BC2D34" w:rsidRPr="00BC2D34" w:rsidRDefault="00BC2D34" w:rsidP="00292A53">
            <w:pPr>
              <w:pStyle w:val="Tableheaderrow"/>
              <w:spacing w:after="60"/>
            </w:pPr>
          </w:p>
        </w:tc>
        <w:tc>
          <w:tcPr>
            <w:tcW w:w="4598" w:type="dxa"/>
            <w:shd w:val="clear" w:color="auto" w:fill="C00000"/>
            <w:tcMar>
              <w:top w:w="0" w:type="dxa"/>
              <w:left w:w="0" w:type="dxa"/>
              <w:bottom w:w="0" w:type="dxa"/>
              <w:right w:w="0" w:type="dxa"/>
            </w:tcMar>
            <w:vAlign w:val="center"/>
          </w:tcPr>
          <w:p w14:paraId="2B1EFFE3" w14:textId="77777777" w:rsidR="00BC2D34" w:rsidRPr="00BC2D34" w:rsidRDefault="00BC2D34" w:rsidP="00292A53">
            <w:pPr>
              <w:pStyle w:val="Tableheaderrow"/>
              <w:spacing w:after="60"/>
            </w:pPr>
            <w:r w:rsidRPr="00BC2D34">
              <w:t>Lump sum</w:t>
            </w:r>
          </w:p>
        </w:tc>
        <w:tc>
          <w:tcPr>
            <w:tcW w:w="4598" w:type="dxa"/>
            <w:shd w:val="clear" w:color="auto" w:fill="C00000"/>
            <w:tcMar>
              <w:top w:w="0" w:type="dxa"/>
              <w:left w:w="0" w:type="dxa"/>
              <w:bottom w:w="0" w:type="dxa"/>
              <w:right w:w="0" w:type="dxa"/>
            </w:tcMar>
            <w:vAlign w:val="center"/>
          </w:tcPr>
          <w:p w14:paraId="5F4B5FE2" w14:textId="77777777" w:rsidR="00BC2D34" w:rsidRPr="00BC2D34" w:rsidRDefault="00BC2D34" w:rsidP="00292A53">
            <w:pPr>
              <w:pStyle w:val="Tableheaderrow"/>
              <w:spacing w:after="60"/>
            </w:pPr>
            <w:r w:rsidRPr="00BC2D34">
              <w:t>Periodic payments</w:t>
            </w:r>
          </w:p>
        </w:tc>
        <w:tc>
          <w:tcPr>
            <w:tcW w:w="4599" w:type="dxa"/>
            <w:shd w:val="clear" w:color="auto" w:fill="C00000"/>
            <w:tcMar>
              <w:top w:w="0" w:type="dxa"/>
              <w:left w:w="0" w:type="dxa"/>
              <w:bottom w:w="0" w:type="dxa"/>
              <w:right w:w="0" w:type="dxa"/>
            </w:tcMar>
            <w:vAlign w:val="center"/>
          </w:tcPr>
          <w:p w14:paraId="69AA58AF" w14:textId="77777777" w:rsidR="00BC2D34" w:rsidRPr="00BC2D34" w:rsidRDefault="00BC2D34" w:rsidP="00292A53">
            <w:pPr>
              <w:pStyle w:val="Tableheaderrow"/>
              <w:spacing w:after="60"/>
            </w:pPr>
            <w:r w:rsidRPr="00BC2D34">
              <w:t>Other payments</w:t>
            </w:r>
          </w:p>
        </w:tc>
      </w:tr>
      <w:tr w:rsidR="00BC2D34" w:rsidRPr="00BC2D34" w14:paraId="78AE8BBA" w14:textId="77777777" w:rsidTr="00B2173F">
        <w:tc>
          <w:tcPr>
            <w:tcW w:w="1626" w:type="dxa"/>
            <w:shd w:val="clear" w:color="auto" w:fill="FFC9C9"/>
            <w:tcMar>
              <w:top w:w="80" w:type="dxa"/>
              <w:left w:w="80" w:type="dxa"/>
              <w:bottom w:w="80" w:type="dxa"/>
              <w:right w:w="80" w:type="dxa"/>
            </w:tcMar>
          </w:tcPr>
          <w:p w14:paraId="2C01F7B1"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New South Wales</w:t>
            </w:r>
          </w:p>
        </w:tc>
        <w:tc>
          <w:tcPr>
            <w:tcW w:w="4598" w:type="dxa"/>
            <w:shd w:val="clear" w:color="auto" w:fill="FFC9C9"/>
            <w:tcMar>
              <w:top w:w="80" w:type="dxa"/>
              <w:left w:w="80" w:type="dxa"/>
              <w:bottom w:w="80" w:type="dxa"/>
              <w:right w:w="80" w:type="dxa"/>
            </w:tcMar>
          </w:tcPr>
          <w:p w14:paraId="42FBC9C8" w14:textId="3BB18E01" w:rsidR="00BC2D34" w:rsidRDefault="00F75475" w:rsidP="00292A53">
            <w:pPr>
              <w:spacing w:after="60"/>
              <w:rPr>
                <w:rFonts w:cs="Arial"/>
                <w:color w:val="000000"/>
                <w:sz w:val="14"/>
                <w:szCs w:val="16"/>
                <w:lang w:val="en-GB"/>
              </w:rPr>
            </w:pPr>
            <w:r>
              <w:rPr>
                <w:rFonts w:cs="Arial"/>
                <w:color w:val="000000"/>
                <w:sz w:val="14"/>
                <w:szCs w:val="16"/>
                <w:lang w:val="en-GB"/>
              </w:rPr>
              <w:t>$775,600</w:t>
            </w:r>
            <w:r w:rsidR="00BC2D34" w:rsidRPr="00BC2D34">
              <w:rPr>
                <w:rFonts w:cs="Arial"/>
                <w:color w:val="000000"/>
                <w:sz w:val="14"/>
                <w:szCs w:val="16"/>
                <w:lang w:val="en-GB"/>
              </w:rPr>
              <w:t xml:space="preserve"> — </w:t>
            </w:r>
            <w:hyperlink r:id="rId1246" w:history="1">
              <w:r w:rsidR="00BC2D34" w:rsidRPr="00486B6D">
                <w:rPr>
                  <w:rStyle w:val="Hyperlink"/>
                  <w:rFonts w:cs="Arial"/>
                  <w:sz w:val="14"/>
                  <w:szCs w:val="16"/>
                  <w:lang w:val="en-GB"/>
                </w:rPr>
                <w:t>s25</w:t>
              </w:r>
            </w:hyperlink>
            <w:r w:rsidR="00BC2D34" w:rsidRPr="00BC2D34">
              <w:rPr>
                <w:rFonts w:cs="Arial"/>
                <w:color w:val="000000"/>
                <w:sz w:val="14"/>
                <w:szCs w:val="16"/>
                <w:lang w:val="en-GB"/>
              </w:rPr>
              <w:t xml:space="preserve">, </w:t>
            </w:r>
            <w:r w:rsidR="00486B6D" w:rsidRPr="00016069">
              <w:rPr>
                <w:i/>
                <w:sz w:val="14"/>
              </w:rPr>
              <w:t>Workers Compensation Act 1987</w:t>
            </w:r>
          </w:p>
          <w:p w14:paraId="62880ACE" w14:textId="05ADF031" w:rsidR="00F75475" w:rsidRPr="00BC2D34" w:rsidRDefault="00F75475" w:rsidP="00292A53">
            <w:pPr>
              <w:spacing w:after="60"/>
              <w:rPr>
                <w:rFonts w:cs="Arial"/>
                <w:color w:val="000000"/>
                <w:sz w:val="14"/>
                <w:szCs w:val="16"/>
                <w:lang w:val="en-GB"/>
              </w:rPr>
            </w:pPr>
            <w:r>
              <w:rPr>
                <w:rFonts w:cs="Arial"/>
                <w:color w:val="000000"/>
                <w:sz w:val="14"/>
                <w:szCs w:val="16"/>
                <w:lang w:val="en-GB"/>
              </w:rPr>
              <w:t>(indexed on 1 April and 1 October each year)</w:t>
            </w:r>
          </w:p>
        </w:tc>
        <w:tc>
          <w:tcPr>
            <w:tcW w:w="4598" w:type="dxa"/>
            <w:shd w:val="clear" w:color="auto" w:fill="FFC9C9"/>
            <w:tcMar>
              <w:top w:w="80" w:type="dxa"/>
              <w:left w:w="80" w:type="dxa"/>
              <w:bottom w:w="80" w:type="dxa"/>
              <w:right w:w="80" w:type="dxa"/>
            </w:tcMar>
          </w:tcPr>
          <w:p w14:paraId="6D429B31" w14:textId="7327080E" w:rsidR="00BC2D34" w:rsidRDefault="00BC2D34" w:rsidP="00F75475">
            <w:pPr>
              <w:spacing w:after="60"/>
              <w:rPr>
                <w:rFonts w:cs="Arial"/>
                <w:color w:val="000000"/>
                <w:sz w:val="14"/>
                <w:szCs w:val="16"/>
                <w:lang w:val="en-GB"/>
              </w:rPr>
            </w:pPr>
            <w:r w:rsidRPr="00BC2D34">
              <w:rPr>
                <w:rFonts w:cs="Arial"/>
                <w:color w:val="000000"/>
                <w:sz w:val="14"/>
                <w:szCs w:val="16"/>
                <w:lang w:val="en-GB"/>
              </w:rPr>
              <w:t>$</w:t>
            </w:r>
            <w:r w:rsidR="00F75475">
              <w:rPr>
                <w:rFonts w:cs="Arial"/>
                <w:color w:val="000000"/>
                <w:sz w:val="14"/>
                <w:szCs w:val="16"/>
                <w:lang w:val="en-GB"/>
              </w:rPr>
              <w:t>138.90</w:t>
            </w:r>
            <w:r w:rsidRPr="00BC2D34">
              <w:rPr>
                <w:rFonts w:cs="Arial"/>
                <w:color w:val="000000"/>
                <w:sz w:val="14"/>
                <w:szCs w:val="16"/>
                <w:lang w:val="en-GB"/>
              </w:rPr>
              <w:t xml:space="preserve"> a week to each dependent child —</w:t>
            </w:r>
            <w:r w:rsidR="00A41E18">
              <w:rPr>
                <w:rFonts w:cs="Arial"/>
                <w:color w:val="000000"/>
                <w:sz w:val="14"/>
                <w:szCs w:val="16"/>
                <w:lang w:val="en-GB"/>
              </w:rPr>
              <w:t xml:space="preserve"> </w:t>
            </w:r>
            <w:hyperlink r:id="rId1247" w:history="1">
              <w:r w:rsidRPr="00486B6D">
                <w:rPr>
                  <w:rStyle w:val="Hyperlink"/>
                  <w:rFonts w:cs="Arial"/>
                  <w:sz w:val="14"/>
                  <w:szCs w:val="16"/>
                  <w:lang w:val="en-GB"/>
                </w:rPr>
                <w:t>s25(1)(b)</w:t>
              </w:r>
            </w:hyperlink>
            <w:r w:rsidRPr="00BC2D34">
              <w:rPr>
                <w:rFonts w:cs="Arial"/>
                <w:color w:val="000000"/>
                <w:sz w:val="14"/>
                <w:szCs w:val="16"/>
                <w:lang w:val="en-GB"/>
              </w:rPr>
              <w:t xml:space="preserve">, </w:t>
            </w:r>
            <w:r w:rsidR="002C086D">
              <w:rPr>
                <w:rFonts w:cs="Arial"/>
                <w:color w:val="000000"/>
                <w:sz w:val="14"/>
                <w:szCs w:val="16"/>
                <w:lang w:val="en-GB"/>
              </w:rPr>
              <w:t>1987 Act</w:t>
            </w:r>
          </w:p>
          <w:p w14:paraId="181361F2" w14:textId="15A6594F" w:rsidR="00F75475" w:rsidRPr="00BC2D34" w:rsidRDefault="00F75475" w:rsidP="00F75475">
            <w:pPr>
              <w:spacing w:after="60"/>
              <w:rPr>
                <w:rFonts w:cs="Arial"/>
                <w:color w:val="000000"/>
                <w:sz w:val="14"/>
                <w:szCs w:val="16"/>
                <w:lang w:val="en-GB"/>
              </w:rPr>
            </w:pPr>
            <w:r>
              <w:rPr>
                <w:rFonts w:cs="Arial"/>
                <w:color w:val="000000"/>
                <w:sz w:val="14"/>
                <w:szCs w:val="16"/>
                <w:lang w:val="en-GB"/>
              </w:rPr>
              <w:t>(indexed on 1 April and 1 October each year)</w:t>
            </w:r>
          </w:p>
        </w:tc>
        <w:tc>
          <w:tcPr>
            <w:tcW w:w="4599" w:type="dxa"/>
            <w:shd w:val="clear" w:color="auto" w:fill="FFC9C9"/>
            <w:tcMar>
              <w:top w:w="80" w:type="dxa"/>
              <w:left w:w="80" w:type="dxa"/>
              <w:bottom w:w="80" w:type="dxa"/>
              <w:right w:w="80" w:type="dxa"/>
            </w:tcMar>
          </w:tcPr>
          <w:p w14:paraId="3AA143FA" w14:textId="41B8B30F" w:rsidR="00761136" w:rsidRPr="00761136" w:rsidRDefault="00761136" w:rsidP="00292A53">
            <w:pPr>
              <w:spacing w:after="60"/>
              <w:rPr>
                <w:rFonts w:cs="Arial"/>
                <w:color w:val="000000"/>
                <w:sz w:val="14"/>
                <w:szCs w:val="16"/>
                <w:lang w:val="en-GB"/>
              </w:rPr>
            </w:pPr>
            <w:r w:rsidRPr="00761136">
              <w:rPr>
                <w:rFonts w:cs="Arial"/>
                <w:color w:val="000000"/>
                <w:sz w:val="14"/>
                <w:szCs w:val="16"/>
                <w:lang w:val="en-GB"/>
              </w:rPr>
              <w:t>Funeral expenses $15</w:t>
            </w:r>
            <w:r w:rsidR="000B7577">
              <w:rPr>
                <w:rFonts w:cs="Arial"/>
                <w:color w:val="000000"/>
                <w:sz w:val="14"/>
                <w:szCs w:val="16"/>
                <w:lang w:val="en-GB"/>
              </w:rPr>
              <w:t>,</w:t>
            </w:r>
            <w:r w:rsidRPr="00761136">
              <w:rPr>
                <w:rFonts w:cs="Arial"/>
                <w:color w:val="000000"/>
                <w:sz w:val="14"/>
                <w:szCs w:val="16"/>
                <w:lang w:val="en-GB"/>
              </w:rPr>
              <w:t xml:space="preserve">000 maximum — </w:t>
            </w:r>
            <w:hyperlink r:id="rId1248" w:history="1">
              <w:r w:rsidRPr="00486B6D">
                <w:rPr>
                  <w:rStyle w:val="Hyperlink"/>
                  <w:rFonts w:cs="Arial"/>
                  <w:sz w:val="14"/>
                  <w:szCs w:val="16"/>
                  <w:lang w:val="en-GB"/>
                </w:rPr>
                <w:t>s26</w:t>
              </w:r>
            </w:hyperlink>
            <w:r w:rsidRPr="00761136">
              <w:rPr>
                <w:rFonts w:cs="Arial"/>
                <w:color w:val="000000"/>
                <w:sz w:val="14"/>
                <w:szCs w:val="16"/>
                <w:lang w:val="en-GB"/>
              </w:rPr>
              <w:t>, 1987 Act.</w:t>
            </w:r>
          </w:p>
          <w:p w14:paraId="57B99719" w14:textId="24D8E82E" w:rsidR="00761136" w:rsidRPr="00761136" w:rsidRDefault="00761136" w:rsidP="00292A53">
            <w:pPr>
              <w:spacing w:after="60"/>
              <w:rPr>
                <w:rFonts w:cs="Arial"/>
                <w:color w:val="000000"/>
                <w:sz w:val="14"/>
                <w:szCs w:val="16"/>
                <w:lang w:val="en-GB"/>
              </w:rPr>
            </w:pPr>
            <w:r w:rsidRPr="00761136">
              <w:rPr>
                <w:rFonts w:cs="Arial"/>
                <w:color w:val="000000"/>
                <w:sz w:val="14"/>
                <w:szCs w:val="16"/>
                <w:lang w:val="en-GB"/>
              </w:rPr>
              <w:t xml:space="preserve">Cost of transporting the body </w:t>
            </w:r>
            <w:r w:rsidR="00A41E18">
              <w:rPr>
                <w:rFonts w:cs="Arial"/>
                <w:color w:val="000000"/>
                <w:sz w:val="14"/>
                <w:szCs w:val="16"/>
                <w:lang w:val="en-GB"/>
              </w:rPr>
              <w:t>—</w:t>
            </w:r>
            <w:r w:rsidR="002C086D">
              <w:rPr>
                <w:rFonts w:cs="Arial"/>
                <w:color w:val="000000"/>
                <w:sz w:val="14"/>
                <w:szCs w:val="16"/>
                <w:lang w:val="en-GB"/>
              </w:rPr>
              <w:t xml:space="preserve"> </w:t>
            </w:r>
            <w:hyperlink r:id="rId1249" w:history="1">
              <w:r w:rsidR="002C086D" w:rsidRPr="00486B6D">
                <w:rPr>
                  <w:rStyle w:val="Hyperlink"/>
                  <w:rFonts w:cs="Arial"/>
                  <w:sz w:val="14"/>
                  <w:szCs w:val="16"/>
                  <w:lang w:val="en-GB"/>
                </w:rPr>
                <w:t>s28</w:t>
              </w:r>
            </w:hyperlink>
            <w:r w:rsidR="00486B6D">
              <w:rPr>
                <w:rFonts w:cs="Arial"/>
                <w:color w:val="000000"/>
                <w:sz w:val="14"/>
                <w:szCs w:val="16"/>
                <w:lang w:val="en-GB"/>
              </w:rPr>
              <w:t>,</w:t>
            </w:r>
            <w:r w:rsidR="002C086D">
              <w:rPr>
                <w:rFonts w:cs="Arial"/>
                <w:color w:val="000000"/>
                <w:sz w:val="14"/>
                <w:szCs w:val="16"/>
                <w:lang w:val="en-GB"/>
              </w:rPr>
              <w:t xml:space="preserve"> 1987 Act</w:t>
            </w:r>
          </w:p>
          <w:p w14:paraId="05E68CA7" w14:textId="12C9DFEA" w:rsidR="00BC2D34" w:rsidRPr="00BC2D34" w:rsidRDefault="00761136" w:rsidP="00292A53">
            <w:pPr>
              <w:spacing w:after="60"/>
              <w:rPr>
                <w:rFonts w:cs="Arial"/>
                <w:color w:val="000000"/>
                <w:sz w:val="14"/>
                <w:szCs w:val="16"/>
                <w:lang w:val="en-GB"/>
              </w:rPr>
            </w:pPr>
            <w:r w:rsidRPr="00761136">
              <w:rPr>
                <w:rFonts w:cs="Arial"/>
                <w:color w:val="000000"/>
                <w:sz w:val="14"/>
                <w:szCs w:val="16"/>
              </w:rPr>
              <w:t>[Does not apply to</w:t>
            </w:r>
            <w:r w:rsidR="00F75475">
              <w:rPr>
                <w:rFonts w:cs="Arial"/>
                <w:color w:val="000000"/>
                <w:sz w:val="14"/>
                <w:szCs w:val="16"/>
              </w:rPr>
              <w:t xml:space="preserve"> </w:t>
            </w:r>
            <w:r w:rsidR="00F75475" w:rsidRPr="00086AB9">
              <w:rPr>
                <w:rFonts w:cs="Arial"/>
                <w:i/>
                <w:color w:val="000000"/>
                <w:sz w:val="14"/>
                <w:szCs w:val="16"/>
              </w:rPr>
              <w:t>Workers Compensation (Dust Diseases) Act 1942</w:t>
            </w:r>
            <w:r w:rsidR="00F75475">
              <w:rPr>
                <w:rFonts w:cs="Arial"/>
                <w:color w:val="000000"/>
                <w:sz w:val="14"/>
                <w:szCs w:val="16"/>
              </w:rPr>
              <w:t xml:space="preserve"> and</w:t>
            </w:r>
            <w:r w:rsidRPr="00761136">
              <w:rPr>
                <w:rFonts w:cs="Arial"/>
                <w:color w:val="000000"/>
                <w:sz w:val="14"/>
                <w:szCs w:val="16"/>
              </w:rPr>
              <w:t xml:space="preserve"> volunteers under the </w:t>
            </w:r>
            <w:r w:rsidRPr="00086AB9">
              <w:rPr>
                <w:rFonts w:cs="Arial"/>
                <w:i/>
                <w:color w:val="000000"/>
                <w:sz w:val="14"/>
                <w:szCs w:val="16"/>
              </w:rPr>
              <w:t>Workers Compensation (Bush Fire, Emergency and Rescue Services) Act 1987</w:t>
            </w:r>
            <w:r w:rsidRPr="00761136">
              <w:rPr>
                <w:rFonts w:cs="Arial"/>
                <w:color w:val="000000"/>
                <w:sz w:val="14"/>
                <w:szCs w:val="16"/>
              </w:rPr>
              <w:t>]</w:t>
            </w:r>
          </w:p>
        </w:tc>
      </w:tr>
      <w:tr w:rsidR="00BC2D34" w:rsidRPr="00BC2D34" w14:paraId="76D2AD6E" w14:textId="77777777" w:rsidTr="00B2173F">
        <w:tc>
          <w:tcPr>
            <w:tcW w:w="1626" w:type="dxa"/>
            <w:tcMar>
              <w:top w:w="80" w:type="dxa"/>
              <w:left w:w="80" w:type="dxa"/>
              <w:bottom w:w="80" w:type="dxa"/>
              <w:right w:w="80" w:type="dxa"/>
            </w:tcMar>
          </w:tcPr>
          <w:p w14:paraId="5B334D17"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Victoria</w:t>
            </w:r>
          </w:p>
        </w:tc>
        <w:tc>
          <w:tcPr>
            <w:tcW w:w="4598" w:type="dxa"/>
            <w:tcMar>
              <w:top w:w="80" w:type="dxa"/>
              <w:left w:w="80" w:type="dxa"/>
              <w:bottom w:w="80" w:type="dxa"/>
              <w:right w:w="80" w:type="dxa"/>
            </w:tcMar>
          </w:tcPr>
          <w:p w14:paraId="5A214232" w14:textId="2810DD68" w:rsidR="00BC2D34" w:rsidRPr="00BC2D34" w:rsidRDefault="00BC2D34" w:rsidP="00F30FD6">
            <w:pPr>
              <w:spacing w:after="60"/>
              <w:rPr>
                <w:rFonts w:cs="Arial"/>
                <w:color w:val="000000"/>
                <w:sz w:val="14"/>
                <w:szCs w:val="16"/>
                <w:lang w:val="en-GB"/>
              </w:rPr>
            </w:pPr>
            <w:r w:rsidRPr="00BC2D34">
              <w:rPr>
                <w:rFonts w:cs="Arial"/>
                <w:color w:val="000000"/>
                <w:sz w:val="14"/>
                <w:szCs w:val="16"/>
                <w:lang w:val="en-GB"/>
              </w:rPr>
              <w:t>$</w:t>
            </w:r>
            <w:r w:rsidR="00F30FD6">
              <w:rPr>
                <w:rFonts w:cs="Arial"/>
                <w:color w:val="000000"/>
                <w:sz w:val="14"/>
                <w:szCs w:val="16"/>
                <w:lang w:val="en-GB"/>
              </w:rPr>
              <w:t>598,360</w:t>
            </w:r>
            <w:r w:rsidR="002E6D82">
              <w:rPr>
                <w:rFonts w:cs="Arial"/>
                <w:color w:val="000000"/>
                <w:sz w:val="14"/>
                <w:szCs w:val="16"/>
                <w:lang w:val="en-GB"/>
              </w:rPr>
              <w:t xml:space="preserve"> </w:t>
            </w:r>
            <w:r w:rsidRPr="00BC2D34">
              <w:rPr>
                <w:rFonts w:cs="Arial"/>
                <w:color w:val="000000"/>
                <w:sz w:val="14"/>
                <w:szCs w:val="16"/>
                <w:lang w:val="en-GB"/>
              </w:rPr>
              <w:t xml:space="preserve">— </w:t>
            </w:r>
            <w:hyperlink r:id="rId1250" w:history="1">
              <w:r w:rsidRPr="00486B6D">
                <w:rPr>
                  <w:rStyle w:val="Hyperlink"/>
                  <w:rFonts w:cs="Arial"/>
                  <w:sz w:val="14"/>
                  <w:szCs w:val="16"/>
                  <w:lang w:val="en-GB"/>
                </w:rPr>
                <w:t>ss236</w:t>
              </w:r>
            </w:hyperlink>
            <w:r w:rsidR="00486B6D">
              <w:rPr>
                <w:rFonts w:cs="Arial"/>
                <w:color w:val="000000"/>
                <w:sz w:val="14"/>
                <w:szCs w:val="16"/>
                <w:lang w:val="en-GB"/>
              </w:rPr>
              <w:t xml:space="preserve"> &amp; </w:t>
            </w:r>
            <w:hyperlink r:id="rId1251" w:history="1">
              <w:r w:rsidRPr="00486B6D">
                <w:rPr>
                  <w:rStyle w:val="Hyperlink"/>
                  <w:rFonts w:cs="Arial"/>
                  <w:sz w:val="14"/>
                  <w:szCs w:val="16"/>
                  <w:lang w:val="en-GB"/>
                </w:rPr>
                <w:t>237</w:t>
              </w:r>
            </w:hyperlink>
            <w:r w:rsidR="00486B6D">
              <w:rPr>
                <w:rFonts w:cs="Arial"/>
                <w:color w:val="000000"/>
                <w:sz w:val="14"/>
                <w:szCs w:val="16"/>
                <w:lang w:val="en-GB"/>
              </w:rPr>
              <w:t xml:space="preserve">, </w:t>
            </w:r>
            <w:r w:rsidR="00486B6D" w:rsidRPr="00016069">
              <w:rPr>
                <w:i/>
                <w:sz w:val="14"/>
              </w:rPr>
              <w:t>Workplace Injury Rehabilitation and Compensation Act 2013</w:t>
            </w:r>
          </w:p>
        </w:tc>
        <w:tc>
          <w:tcPr>
            <w:tcW w:w="4598" w:type="dxa"/>
            <w:tcMar>
              <w:top w:w="80" w:type="dxa"/>
              <w:left w:w="80" w:type="dxa"/>
              <w:bottom w:w="80" w:type="dxa"/>
              <w:right w:w="80" w:type="dxa"/>
            </w:tcMar>
          </w:tcPr>
          <w:p w14:paraId="48F56602" w14:textId="568CC358"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 xml:space="preserve">Dependant partner — determined by average pre-injury earnings (PIAWE) subject to statutory maximum — </w:t>
            </w:r>
            <w:hyperlink r:id="rId1252" w:history="1">
              <w:r w:rsidRPr="00486B6D">
                <w:rPr>
                  <w:rStyle w:val="Hyperlink"/>
                  <w:rFonts w:cs="Arial"/>
                  <w:sz w:val="14"/>
                  <w:szCs w:val="16"/>
                  <w:lang w:val="en-GB"/>
                </w:rPr>
                <w:t>s241</w:t>
              </w:r>
            </w:hyperlink>
            <w:r w:rsidRPr="00BC2D34">
              <w:rPr>
                <w:rFonts w:cs="Arial"/>
                <w:color w:val="000000"/>
                <w:sz w:val="14"/>
                <w:szCs w:val="16"/>
                <w:lang w:val="en-GB"/>
              </w:rPr>
              <w:t>:</w:t>
            </w:r>
          </w:p>
          <w:p w14:paraId="09573F82" w14:textId="77777777" w:rsidR="00BC2D34" w:rsidRPr="00BC2D34" w:rsidRDefault="00BC2D34" w:rsidP="00DF35F2">
            <w:pPr>
              <w:numPr>
                <w:ilvl w:val="0"/>
                <w:numId w:val="57"/>
              </w:numPr>
              <w:spacing w:after="60"/>
              <w:ind w:left="357" w:hanging="357"/>
              <w:contextualSpacing/>
              <w:rPr>
                <w:rFonts w:cs="Arial"/>
                <w:color w:val="000000"/>
                <w:sz w:val="14"/>
                <w:szCs w:val="16"/>
                <w:lang w:val="en-GB"/>
              </w:rPr>
            </w:pPr>
            <w:r w:rsidRPr="00BC2D34">
              <w:rPr>
                <w:rFonts w:cs="Arial"/>
                <w:color w:val="000000"/>
                <w:sz w:val="14"/>
                <w:szCs w:val="16"/>
                <w:lang w:val="en-GB"/>
              </w:rPr>
              <w:t>First 13 weeks:</w:t>
            </w:r>
          </w:p>
          <w:p w14:paraId="732C1D77" w14:textId="77777777" w:rsidR="00BC2D34" w:rsidRP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95% of earnings</w:t>
            </w:r>
          </w:p>
          <w:p w14:paraId="7E7343C1" w14:textId="4B010BE0" w:rsidR="00BC2D34" w:rsidRP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w:t>
            </w:r>
            <w:r w:rsidR="00F30FD6">
              <w:rPr>
                <w:rFonts w:eastAsia="Calibri" w:cs="Arial"/>
                <w:sz w:val="14"/>
                <w:szCs w:val="14"/>
                <w:lang w:eastAsia="en-US"/>
              </w:rPr>
              <w:t>2,220</w:t>
            </w:r>
            <w:r w:rsidRPr="00945540">
              <w:rPr>
                <w:rFonts w:eastAsia="Calibri" w:cs="Arial"/>
                <w:sz w:val="14"/>
                <w:szCs w:val="14"/>
                <w:lang w:eastAsia="en-US"/>
              </w:rPr>
              <w:t xml:space="preserve"> max</w:t>
            </w:r>
          </w:p>
          <w:p w14:paraId="26FB481D" w14:textId="77777777" w:rsidR="00BC2D34" w:rsidRPr="00945540" w:rsidRDefault="00BC2D34" w:rsidP="00DF35F2">
            <w:pPr>
              <w:numPr>
                <w:ilvl w:val="0"/>
                <w:numId w:val="57"/>
              </w:numPr>
              <w:spacing w:after="60"/>
              <w:ind w:left="357" w:hanging="357"/>
              <w:contextualSpacing/>
              <w:rPr>
                <w:rFonts w:cs="Arial"/>
                <w:color w:val="000000"/>
                <w:sz w:val="14"/>
                <w:szCs w:val="16"/>
                <w:lang w:val="en-GB"/>
              </w:rPr>
            </w:pPr>
            <w:r w:rsidRPr="00945540">
              <w:rPr>
                <w:rFonts w:cs="Arial"/>
                <w:color w:val="000000"/>
                <w:sz w:val="14"/>
                <w:szCs w:val="16"/>
                <w:lang w:val="en-GB"/>
              </w:rPr>
              <w:t>14 weeks — 3 years:</w:t>
            </w:r>
          </w:p>
          <w:p w14:paraId="110A43E6" w14:textId="77777777" w:rsidR="00BC2D34" w:rsidRP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50% of earnings</w:t>
            </w:r>
          </w:p>
          <w:p w14:paraId="51DB8D58" w14:textId="3B51C256" w:rsidR="00BC2D34" w:rsidRP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w:t>
            </w:r>
            <w:r w:rsidR="00F30FD6">
              <w:rPr>
                <w:rFonts w:eastAsia="Calibri" w:cs="Arial"/>
                <w:sz w:val="14"/>
                <w:szCs w:val="14"/>
                <w:lang w:eastAsia="en-US"/>
              </w:rPr>
              <w:t>2,220</w:t>
            </w:r>
            <w:r w:rsidRPr="00945540">
              <w:rPr>
                <w:rFonts w:eastAsia="Calibri" w:cs="Arial"/>
                <w:sz w:val="14"/>
                <w:szCs w:val="14"/>
                <w:lang w:eastAsia="en-US"/>
              </w:rPr>
              <w:t xml:space="preserve"> max</w:t>
            </w:r>
          </w:p>
          <w:p w14:paraId="5F033F49" w14:textId="1626C64E" w:rsid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w:t>
            </w:r>
            <w:r w:rsidR="00F30FD6">
              <w:rPr>
                <w:rFonts w:eastAsia="Calibri" w:cs="Arial"/>
                <w:sz w:val="14"/>
                <w:szCs w:val="14"/>
                <w:lang w:eastAsia="en-US"/>
              </w:rPr>
              <w:t>1,480</w:t>
            </w:r>
            <w:r w:rsidR="00940A9B">
              <w:rPr>
                <w:rFonts w:eastAsia="Calibri" w:cs="Arial"/>
                <w:sz w:val="14"/>
                <w:szCs w:val="14"/>
                <w:lang w:eastAsia="en-US"/>
              </w:rPr>
              <w:t xml:space="preserve"> max</w:t>
            </w:r>
            <w:r w:rsidRPr="00945540">
              <w:rPr>
                <w:rFonts w:eastAsia="Calibri" w:cs="Arial"/>
                <w:sz w:val="14"/>
                <w:szCs w:val="14"/>
                <w:lang w:eastAsia="en-US"/>
              </w:rPr>
              <w:t xml:space="preserve"> for</w:t>
            </w:r>
            <w:r w:rsidR="00F30FD6">
              <w:rPr>
                <w:rFonts w:eastAsia="Calibri" w:cs="Arial"/>
                <w:sz w:val="14"/>
                <w:szCs w:val="14"/>
                <w:lang w:eastAsia="en-US"/>
              </w:rPr>
              <w:t xml:space="preserve"> dependent</w:t>
            </w:r>
            <w:r w:rsidRPr="00945540">
              <w:rPr>
                <w:rFonts w:eastAsia="Calibri" w:cs="Arial"/>
                <w:sz w:val="14"/>
                <w:szCs w:val="14"/>
                <w:lang w:eastAsia="en-US"/>
              </w:rPr>
              <w:t xml:space="preserve"> partner with more than 5 </w:t>
            </w:r>
            <w:r w:rsidR="00F30FD6">
              <w:rPr>
                <w:rFonts w:eastAsia="Calibri" w:cs="Arial"/>
                <w:sz w:val="14"/>
                <w:szCs w:val="14"/>
                <w:lang w:eastAsia="en-US"/>
              </w:rPr>
              <w:t xml:space="preserve">dependent </w:t>
            </w:r>
            <w:r w:rsidRPr="00945540">
              <w:rPr>
                <w:rFonts w:eastAsia="Calibri" w:cs="Arial"/>
                <w:sz w:val="14"/>
                <w:szCs w:val="14"/>
                <w:lang w:eastAsia="en-US"/>
              </w:rPr>
              <w:t>children.</w:t>
            </w:r>
          </w:p>
          <w:p w14:paraId="61AE02A5" w14:textId="5B8CD5D1" w:rsidR="00BC2D34" w:rsidRPr="00BC2D34" w:rsidRDefault="00BC2D34" w:rsidP="00F839DB">
            <w:pPr>
              <w:pStyle w:val="ListParagraph"/>
              <w:numPr>
                <w:ilvl w:val="0"/>
                <w:numId w:val="536"/>
              </w:numPr>
              <w:spacing w:after="60"/>
              <w:ind w:left="421" w:hanging="421"/>
              <w:contextualSpacing/>
              <w:rPr>
                <w:rFonts w:eastAsia="Calibri" w:cs="Arial"/>
                <w:sz w:val="14"/>
                <w:szCs w:val="14"/>
                <w:lang w:eastAsia="en-US"/>
              </w:rPr>
            </w:pPr>
            <w:r w:rsidRPr="00BC2D34">
              <w:rPr>
                <w:rFonts w:eastAsia="Calibri" w:cs="Arial"/>
                <w:sz w:val="14"/>
                <w:szCs w:val="14"/>
                <w:lang w:eastAsia="en-US"/>
              </w:rPr>
              <w:t>A range of payments for dependent children depending on the partic</w:t>
            </w:r>
            <w:r w:rsidR="002C086D">
              <w:rPr>
                <w:rFonts w:eastAsia="Calibri" w:cs="Arial"/>
                <w:sz w:val="14"/>
                <w:szCs w:val="14"/>
                <w:lang w:eastAsia="en-US"/>
              </w:rPr>
              <w:t>ular circumstances of the child</w:t>
            </w:r>
          </w:p>
        </w:tc>
        <w:tc>
          <w:tcPr>
            <w:tcW w:w="4599" w:type="dxa"/>
            <w:tcMar>
              <w:top w:w="80" w:type="dxa"/>
              <w:left w:w="80" w:type="dxa"/>
              <w:bottom w:w="80" w:type="dxa"/>
              <w:right w:w="80" w:type="dxa"/>
            </w:tcMar>
          </w:tcPr>
          <w:p w14:paraId="6BA8545F" w14:textId="5E7FF220" w:rsidR="00BC2D34" w:rsidRPr="00F73B77" w:rsidRDefault="00BC2D34" w:rsidP="00DF35F2">
            <w:pPr>
              <w:pStyle w:val="ListParagraph"/>
              <w:numPr>
                <w:ilvl w:val="0"/>
                <w:numId w:val="57"/>
              </w:numPr>
              <w:spacing w:after="60"/>
              <w:contextualSpacing/>
              <w:rPr>
                <w:rFonts w:eastAsia="Calibri" w:cs="Arial"/>
                <w:sz w:val="14"/>
                <w:szCs w:val="14"/>
                <w:lang w:eastAsia="en-US"/>
              </w:rPr>
            </w:pPr>
            <w:r w:rsidRPr="00F73B77">
              <w:rPr>
                <w:rFonts w:eastAsia="Calibri" w:cs="Arial"/>
                <w:sz w:val="14"/>
                <w:szCs w:val="14"/>
                <w:lang w:eastAsia="en-US"/>
              </w:rPr>
              <w:t>Reasonable funeral expenses</w:t>
            </w:r>
            <w:r w:rsidR="00A41653">
              <w:rPr>
                <w:rFonts w:eastAsia="Calibri" w:cs="Arial"/>
                <w:sz w:val="14"/>
                <w:szCs w:val="14"/>
                <w:lang w:eastAsia="en-US"/>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eastAsia="Calibri" w:cs="Arial"/>
                <w:sz w:val="14"/>
                <w:szCs w:val="14"/>
                <w:lang w:eastAsia="en-US"/>
              </w:rPr>
              <w:fldChar w:fldCharType="end"/>
            </w:r>
            <w:r w:rsidRPr="00F73B77">
              <w:rPr>
                <w:rFonts w:eastAsia="Calibri" w:cs="Arial"/>
                <w:sz w:val="14"/>
                <w:szCs w:val="14"/>
                <w:lang w:eastAsia="en-US"/>
              </w:rPr>
              <w:t>, not exceeding $15</w:t>
            </w:r>
            <w:r w:rsidR="000B7577">
              <w:rPr>
                <w:rFonts w:eastAsia="Calibri" w:cs="Arial"/>
                <w:sz w:val="14"/>
                <w:szCs w:val="14"/>
                <w:lang w:eastAsia="en-US"/>
              </w:rPr>
              <w:t>,</w:t>
            </w:r>
            <w:r w:rsidRPr="00F73B77">
              <w:rPr>
                <w:rFonts w:eastAsia="Calibri" w:cs="Arial"/>
                <w:sz w:val="14"/>
                <w:szCs w:val="14"/>
                <w:lang w:eastAsia="en-US"/>
              </w:rPr>
              <w:t>010</w:t>
            </w:r>
            <w:r w:rsidR="00A41E18">
              <w:rPr>
                <w:rFonts w:eastAsia="Calibri" w:cs="Arial"/>
                <w:sz w:val="14"/>
                <w:szCs w:val="14"/>
                <w:lang w:eastAsia="en-US"/>
              </w:rPr>
              <w:t xml:space="preserve"> </w:t>
            </w:r>
            <w:r w:rsidRPr="00F73B77">
              <w:rPr>
                <w:rFonts w:eastAsia="Calibri" w:cs="Arial"/>
                <w:sz w:val="14"/>
                <w:szCs w:val="14"/>
                <w:lang w:eastAsia="en-US"/>
              </w:rPr>
              <w:t xml:space="preserve">— </w:t>
            </w:r>
            <w:hyperlink r:id="rId1253" w:history="1">
              <w:r w:rsidRPr="00486B6D">
                <w:rPr>
                  <w:rStyle w:val="Hyperlink"/>
                  <w:rFonts w:eastAsia="Calibri" w:cs="Arial"/>
                  <w:sz w:val="14"/>
                  <w:szCs w:val="14"/>
                  <w:lang w:eastAsia="en-US"/>
                </w:rPr>
                <w:t>s224</w:t>
              </w:r>
            </w:hyperlink>
          </w:p>
          <w:p w14:paraId="33B9B7F3" w14:textId="32676F77" w:rsidR="00BC2D34" w:rsidRPr="00F73B77" w:rsidRDefault="00BC2D34" w:rsidP="00DF35F2">
            <w:pPr>
              <w:pStyle w:val="ListParagraph"/>
              <w:numPr>
                <w:ilvl w:val="0"/>
                <w:numId w:val="57"/>
              </w:numPr>
              <w:spacing w:after="60"/>
              <w:contextualSpacing/>
              <w:rPr>
                <w:rFonts w:eastAsia="Calibri" w:cs="Arial"/>
                <w:sz w:val="14"/>
                <w:szCs w:val="14"/>
                <w:lang w:eastAsia="en-US"/>
              </w:rPr>
            </w:pPr>
            <w:r w:rsidRPr="00F73B77">
              <w:rPr>
                <w:rFonts w:eastAsia="Calibri" w:cs="Arial"/>
                <w:sz w:val="14"/>
                <w:szCs w:val="14"/>
                <w:lang w:eastAsia="en-US"/>
              </w:rPr>
              <w:t>Counselling for family members, max. total $</w:t>
            </w:r>
            <w:r w:rsidR="00F30FD6">
              <w:rPr>
                <w:rFonts w:eastAsia="Calibri" w:cs="Arial"/>
                <w:sz w:val="14"/>
                <w:szCs w:val="14"/>
                <w:lang w:eastAsia="en-US"/>
              </w:rPr>
              <w:t>6,330</w:t>
            </w:r>
            <w:r w:rsidRPr="00F73B77">
              <w:rPr>
                <w:rFonts w:eastAsia="Calibri" w:cs="Arial"/>
                <w:sz w:val="14"/>
                <w:szCs w:val="14"/>
                <w:lang w:eastAsia="en-US"/>
              </w:rPr>
              <w:t xml:space="preserve"> — </w:t>
            </w:r>
            <w:hyperlink r:id="rId1254" w:history="1">
              <w:r w:rsidRPr="00486B6D">
                <w:rPr>
                  <w:rStyle w:val="Hyperlink"/>
                  <w:rFonts w:eastAsia="Calibri" w:cs="Arial"/>
                  <w:sz w:val="14"/>
                  <w:szCs w:val="14"/>
                  <w:lang w:eastAsia="en-US"/>
                </w:rPr>
                <w:t>s224</w:t>
              </w:r>
            </w:hyperlink>
          </w:p>
        </w:tc>
      </w:tr>
      <w:tr w:rsidR="00BC2D34" w:rsidRPr="00BC2D34" w14:paraId="5D8D38E7" w14:textId="77777777" w:rsidTr="00B2173F">
        <w:tc>
          <w:tcPr>
            <w:tcW w:w="1626" w:type="dxa"/>
            <w:shd w:val="clear" w:color="auto" w:fill="FFC9C9"/>
            <w:tcMar>
              <w:top w:w="80" w:type="dxa"/>
              <w:left w:w="80" w:type="dxa"/>
              <w:bottom w:w="80" w:type="dxa"/>
              <w:right w:w="80" w:type="dxa"/>
            </w:tcMar>
          </w:tcPr>
          <w:p w14:paraId="0B545218"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Queensland</w:t>
            </w:r>
          </w:p>
        </w:tc>
        <w:tc>
          <w:tcPr>
            <w:tcW w:w="4598" w:type="dxa"/>
            <w:shd w:val="clear" w:color="auto" w:fill="FFC9C9"/>
            <w:tcMar>
              <w:top w:w="80" w:type="dxa"/>
              <w:left w:w="80" w:type="dxa"/>
              <w:bottom w:w="80" w:type="dxa"/>
              <w:right w:w="80" w:type="dxa"/>
            </w:tcMar>
          </w:tcPr>
          <w:p w14:paraId="3CDE2362" w14:textId="1DFC6F4D" w:rsidR="00BC2D34" w:rsidRPr="00F73B77" w:rsidRDefault="00BC2D34" w:rsidP="00F839DB">
            <w:pPr>
              <w:pStyle w:val="ListParagraph"/>
              <w:numPr>
                <w:ilvl w:val="0"/>
                <w:numId w:val="161"/>
              </w:numPr>
              <w:spacing w:after="60"/>
              <w:contextualSpacing/>
              <w:rPr>
                <w:rFonts w:eastAsia="Calibri" w:cs="Arial"/>
                <w:sz w:val="14"/>
                <w:szCs w:val="14"/>
                <w:lang w:eastAsia="en-US"/>
              </w:rPr>
            </w:pPr>
            <w:r w:rsidRPr="00F73B77">
              <w:rPr>
                <w:rFonts w:eastAsia="Calibri" w:cs="Arial"/>
                <w:sz w:val="14"/>
                <w:szCs w:val="14"/>
                <w:lang w:eastAsia="en-US"/>
              </w:rPr>
              <w:t>$</w:t>
            </w:r>
            <w:r w:rsidR="00BE773B">
              <w:rPr>
                <w:rFonts w:eastAsia="Calibri" w:cs="Arial"/>
                <w:sz w:val="14"/>
                <w:szCs w:val="14"/>
                <w:lang w:eastAsia="en-US"/>
              </w:rPr>
              <w:t>600,080</w:t>
            </w:r>
          </w:p>
          <w:p w14:paraId="31003713" w14:textId="2DBD80D4" w:rsidR="00BC2D34" w:rsidRPr="00F73B77" w:rsidRDefault="00BC2D34" w:rsidP="00F839DB">
            <w:pPr>
              <w:pStyle w:val="ListParagraph"/>
              <w:numPr>
                <w:ilvl w:val="0"/>
                <w:numId w:val="161"/>
              </w:numPr>
              <w:spacing w:after="60"/>
              <w:contextualSpacing/>
              <w:rPr>
                <w:rFonts w:eastAsia="Calibri" w:cs="Arial"/>
                <w:sz w:val="14"/>
                <w:szCs w:val="14"/>
                <w:lang w:eastAsia="en-US"/>
              </w:rPr>
            </w:pPr>
            <w:r w:rsidRPr="00F73B77">
              <w:rPr>
                <w:rFonts w:eastAsia="Calibri" w:cs="Arial"/>
                <w:sz w:val="14"/>
                <w:szCs w:val="14"/>
                <w:lang w:eastAsia="en-US"/>
              </w:rPr>
              <w:t>$</w:t>
            </w:r>
            <w:r w:rsidR="00BE773B">
              <w:rPr>
                <w:rFonts w:eastAsia="Calibri" w:cs="Arial"/>
                <w:sz w:val="14"/>
                <w:szCs w:val="14"/>
                <w:lang w:eastAsia="en-US"/>
              </w:rPr>
              <w:t>16,045</w:t>
            </w:r>
            <w:r w:rsidRPr="00F73B77">
              <w:rPr>
                <w:rFonts w:eastAsia="Calibri" w:cs="Arial"/>
                <w:sz w:val="14"/>
                <w:szCs w:val="14"/>
                <w:lang w:eastAsia="en-US"/>
              </w:rPr>
              <w:t xml:space="preserve"> for a totally dependent spouse — </w:t>
            </w:r>
            <w:hyperlink r:id="rId1255" w:anchor="sec.200" w:history="1">
              <w:r w:rsidRPr="00BD7205">
                <w:rPr>
                  <w:rStyle w:val="Hyperlink"/>
                  <w:rFonts w:eastAsia="Calibri" w:cs="Arial"/>
                  <w:sz w:val="14"/>
                  <w:szCs w:val="14"/>
                  <w:lang w:eastAsia="en-US"/>
                </w:rPr>
                <w:t>s200(2)(aa)</w:t>
              </w:r>
            </w:hyperlink>
            <w:r w:rsidRPr="00F73B77">
              <w:rPr>
                <w:rFonts w:eastAsia="Calibri" w:cs="Arial"/>
                <w:sz w:val="14"/>
                <w:szCs w:val="14"/>
                <w:lang w:eastAsia="en-US"/>
              </w:rPr>
              <w:t>, and</w:t>
            </w:r>
          </w:p>
          <w:p w14:paraId="704DB0E3" w14:textId="36BC1D23" w:rsidR="00BC2D34" w:rsidRPr="00F73B77" w:rsidRDefault="00BC2D34" w:rsidP="00F839DB">
            <w:pPr>
              <w:pStyle w:val="ListParagraph"/>
              <w:numPr>
                <w:ilvl w:val="0"/>
                <w:numId w:val="161"/>
              </w:numPr>
              <w:spacing w:after="60"/>
              <w:contextualSpacing/>
              <w:rPr>
                <w:rFonts w:eastAsia="Calibri" w:cs="Arial"/>
                <w:sz w:val="14"/>
                <w:szCs w:val="14"/>
                <w:lang w:eastAsia="en-US"/>
              </w:rPr>
            </w:pPr>
            <w:r w:rsidRPr="00F73B77">
              <w:rPr>
                <w:rFonts w:eastAsia="Calibri" w:cs="Arial"/>
                <w:sz w:val="14"/>
                <w:szCs w:val="14"/>
                <w:lang w:eastAsia="en-US"/>
              </w:rPr>
              <w:t>$</w:t>
            </w:r>
            <w:r w:rsidR="00BE773B">
              <w:rPr>
                <w:rFonts w:eastAsia="Calibri" w:cs="Arial"/>
                <w:sz w:val="14"/>
                <w:szCs w:val="14"/>
                <w:lang w:eastAsia="en-US"/>
              </w:rPr>
              <w:t>32,070</w:t>
            </w:r>
            <w:r w:rsidRPr="00F73B77">
              <w:rPr>
                <w:rFonts w:eastAsia="Calibri" w:cs="Arial"/>
                <w:sz w:val="14"/>
                <w:szCs w:val="14"/>
                <w:lang w:eastAsia="en-US"/>
              </w:rPr>
              <w:t xml:space="preserve"> for each dependant family member other than the spouse, under 16 or a student — </w:t>
            </w:r>
            <w:hyperlink r:id="rId1256" w:anchor="sec.200" w:history="1">
              <w:r w:rsidRPr="00BD7205">
                <w:rPr>
                  <w:rStyle w:val="Hyperlink"/>
                  <w:rFonts w:eastAsia="Calibri" w:cs="Arial"/>
                  <w:sz w:val="14"/>
                  <w:szCs w:val="14"/>
                  <w:lang w:eastAsia="en-US"/>
                </w:rPr>
                <w:t>s200(2)(b)</w:t>
              </w:r>
            </w:hyperlink>
            <w:r w:rsidR="00BD7205">
              <w:rPr>
                <w:rFonts w:eastAsia="Calibri" w:cs="Arial"/>
                <w:sz w:val="14"/>
                <w:szCs w:val="14"/>
                <w:lang w:eastAsia="en-US"/>
              </w:rPr>
              <w:t xml:space="preserve">, </w:t>
            </w:r>
            <w:r w:rsidR="00BD7205" w:rsidRPr="00016069">
              <w:rPr>
                <w:i/>
                <w:sz w:val="14"/>
              </w:rPr>
              <w:t>Workers’ Compensation and Rehabilitation Act 2003</w:t>
            </w:r>
          </w:p>
        </w:tc>
        <w:tc>
          <w:tcPr>
            <w:tcW w:w="4598" w:type="dxa"/>
            <w:shd w:val="clear" w:color="auto" w:fill="FFC9C9"/>
            <w:tcMar>
              <w:top w:w="80" w:type="dxa"/>
              <w:left w:w="80" w:type="dxa"/>
              <w:bottom w:w="80" w:type="dxa"/>
              <w:right w:w="80" w:type="dxa"/>
            </w:tcMar>
          </w:tcPr>
          <w:p w14:paraId="6F87DE43" w14:textId="1BA330DF" w:rsidR="00BC2D34" w:rsidRPr="00BC2D34" w:rsidRDefault="00BC2D34" w:rsidP="00BE773B">
            <w:pPr>
              <w:spacing w:after="60"/>
              <w:rPr>
                <w:rFonts w:cs="Arial"/>
                <w:color w:val="000000"/>
                <w:sz w:val="14"/>
                <w:szCs w:val="16"/>
                <w:lang w:val="en-GB"/>
              </w:rPr>
            </w:pPr>
            <w:r w:rsidRPr="00BC2D34">
              <w:rPr>
                <w:rFonts w:cs="Arial"/>
                <w:color w:val="000000"/>
                <w:sz w:val="14"/>
                <w:szCs w:val="16"/>
                <w:lang w:val="en-GB"/>
              </w:rPr>
              <w:t>Weekly payment of 8% of QOTE ($11</w:t>
            </w:r>
            <w:r w:rsidR="00BE773B">
              <w:rPr>
                <w:rFonts w:cs="Arial"/>
                <w:color w:val="000000"/>
                <w:sz w:val="14"/>
                <w:szCs w:val="16"/>
                <w:lang w:val="en-GB"/>
              </w:rPr>
              <w:t>8</w:t>
            </w:r>
            <w:r w:rsidRPr="00BC2D34">
              <w:rPr>
                <w:rFonts w:cs="Arial"/>
                <w:color w:val="000000"/>
                <w:sz w:val="14"/>
                <w:szCs w:val="16"/>
                <w:lang w:val="en-GB"/>
              </w:rPr>
              <w:t xml:space="preserve">.60) for the spouse if there is a dependant family member under 6 — </w:t>
            </w:r>
            <w:hyperlink r:id="rId1257" w:anchor="sec.200" w:history="1">
              <w:r w:rsidRPr="00BD7205">
                <w:rPr>
                  <w:rStyle w:val="Hyperlink"/>
                  <w:rFonts w:cs="Arial"/>
                  <w:sz w:val="14"/>
                  <w:szCs w:val="16"/>
                  <w:lang w:val="en-GB"/>
                </w:rPr>
                <w:t>s200(2)(ab)</w:t>
              </w:r>
            </w:hyperlink>
            <w:r w:rsidRPr="00BC2D34">
              <w:rPr>
                <w:rFonts w:cs="Arial"/>
                <w:color w:val="000000"/>
                <w:sz w:val="14"/>
                <w:szCs w:val="16"/>
                <w:lang w:val="en-GB"/>
              </w:rPr>
              <w:t>, and weekly payment of 10% of QOTE ($</w:t>
            </w:r>
            <w:r w:rsidR="00BE773B">
              <w:rPr>
                <w:rFonts w:cs="Arial"/>
                <w:color w:val="000000"/>
                <w:sz w:val="14"/>
                <w:szCs w:val="16"/>
                <w:lang w:val="en-GB"/>
              </w:rPr>
              <w:t>148.25</w:t>
            </w:r>
            <w:r w:rsidRPr="00BC2D34">
              <w:rPr>
                <w:rFonts w:cs="Arial"/>
                <w:color w:val="000000"/>
                <w:sz w:val="14"/>
                <w:szCs w:val="16"/>
                <w:lang w:val="en-GB"/>
              </w:rPr>
              <w:t xml:space="preserve">) for each dependant under 16 or a student </w:t>
            </w:r>
            <w:hyperlink r:id="rId1258" w:anchor="sec.200" w:history="1">
              <w:r w:rsidRPr="00BD7205">
                <w:rPr>
                  <w:rStyle w:val="Hyperlink"/>
                  <w:rFonts w:cs="Arial"/>
                  <w:sz w:val="14"/>
                  <w:szCs w:val="16"/>
                  <w:lang w:val="en-GB"/>
                </w:rPr>
                <w:t>s200(2)(c)</w:t>
              </w:r>
            </w:hyperlink>
          </w:p>
        </w:tc>
        <w:tc>
          <w:tcPr>
            <w:tcW w:w="4599" w:type="dxa"/>
            <w:shd w:val="clear" w:color="auto" w:fill="FFC9C9"/>
            <w:tcMar>
              <w:top w:w="80" w:type="dxa"/>
              <w:left w:w="80" w:type="dxa"/>
              <w:bottom w:w="80" w:type="dxa"/>
              <w:right w:w="80" w:type="dxa"/>
            </w:tcMar>
          </w:tcPr>
          <w:p w14:paraId="4A669C76" w14:textId="390D23E5"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Reasonable funeral expenses</w:t>
            </w:r>
            <w:r w:rsidR="00A41653">
              <w:rPr>
                <w:rFonts w:cs="Arial"/>
                <w:color w:val="000000"/>
                <w:sz w:val="14"/>
                <w:szCs w:val="16"/>
                <w:lang w:val="en-GB"/>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cs="Arial"/>
                <w:color w:val="000000"/>
                <w:sz w:val="14"/>
                <w:szCs w:val="16"/>
                <w:lang w:val="en-GB"/>
              </w:rPr>
              <w:fldChar w:fldCharType="end"/>
            </w:r>
            <w:r w:rsidRPr="00BC2D34">
              <w:rPr>
                <w:rFonts w:cs="Arial"/>
                <w:color w:val="000000"/>
                <w:sz w:val="14"/>
                <w:szCs w:val="16"/>
                <w:lang w:val="en-GB"/>
              </w:rPr>
              <w:t xml:space="preserve"> — </w:t>
            </w:r>
            <w:hyperlink r:id="rId1259" w:anchor="sec.199" w:history="1">
              <w:r w:rsidRPr="00BD7205">
                <w:rPr>
                  <w:rStyle w:val="Hyperlink"/>
                  <w:rFonts w:cs="Arial"/>
                  <w:sz w:val="14"/>
                  <w:szCs w:val="16"/>
                  <w:lang w:val="en-GB"/>
                </w:rPr>
                <w:t>s199</w:t>
              </w:r>
            </w:hyperlink>
            <w:r w:rsidRPr="00BC2D34">
              <w:rPr>
                <w:rFonts w:cs="Arial"/>
                <w:color w:val="000000"/>
                <w:sz w:val="14"/>
                <w:szCs w:val="16"/>
                <w:lang w:val="en-GB"/>
              </w:rPr>
              <w:t>, Chapter 3 Part 11</w:t>
            </w:r>
          </w:p>
        </w:tc>
      </w:tr>
      <w:tr w:rsidR="00BC2D34" w:rsidRPr="00BC2D34" w14:paraId="4A2F4F55" w14:textId="77777777" w:rsidTr="00B2173F">
        <w:tc>
          <w:tcPr>
            <w:tcW w:w="1626" w:type="dxa"/>
            <w:tcMar>
              <w:top w:w="80" w:type="dxa"/>
              <w:left w:w="80" w:type="dxa"/>
              <w:bottom w:w="80" w:type="dxa"/>
              <w:right w:w="80" w:type="dxa"/>
            </w:tcMar>
          </w:tcPr>
          <w:p w14:paraId="0DCCCE30"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Western Australia</w:t>
            </w:r>
          </w:p>
        </w:tc>
        <w:tc>
          <w:tcPr>
            <w:tcW w:w="4598" w:type="dxa"/>
            <w:tcMar>
              <w:top w:w="80" w:type="dxa"/>
              <w:left w:w="80" w:type="dxa"/>
              <w:bottom w:w="80" w:type="dxa"/>
              <w:right w:w="80" w:type="dxa"/>
            </w:tcMar>
          </w:tcPr>
          <w:p w14:paraId="050EB9DE" w14:textId="5BB3CDDB"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w:t>
            </w:r>
            <w:r w:rsidR="00BB4F09">
              <w:rPr>
                <w:rFonts w:cs="Arial"/>
                <w:color w:val="000000"/>
                <w:sz w:val="14"/>
                <w:szCs w:val="16"/>
                <w:lang w:val="en-GB"/>
              </w:rPr>
              <w:t>308,339</w:t>
            </w:r>
            <w:r w:rsidRPr="00BC2D34">
              <w:rPr>
                <w:rFonts w:cs="Arial"/>
                <w:color w:val="000000"/>
                <w:sz w:val="14"/>
                <w:szCs w:val="16"/>
                <w:lang w:val="en-GB"/>
              </w:rPr>
              <w:t xml:space="preserve"> (subject to Labour Price Index (LPI)) notional residual entitlement of the deceased worker — Schedule </w:t>
            </w:r>
            <w:hyperlink r:id="rId1260" w:history="1">
              <w:r w:rsidRPr="00DB1C39">
                <w:rPr>
                  <w:rStyle w:val="Hyperlink"/>
                  <w:rFonts w:cs="Arial"/>
                  <w:sz w:val="14"/>
                  <w:szCs w:val="16"/>
                  <w:lang w:val="en-GB"/>
                </w:rPr>
                <w:t>1(1)</w:t>
              </w:r>
            </w:hyperlink>
            <w:r w:rsidR="00DB1C39">
              <w:rPr>
                <w:rFonts w:cs="Arial"/>
                <w:color w:val="000000"/>
                <w:sz w:val="14"/>
                <w:szCs w:val="16"/>
                <w:lang w:val="en-GB"/>
              </w:rPr>
              <w:t xml:space="preserve">, </w:t>
            </w:r>
            <w:r w:rsidR="00DB1C39" w:rsidRPr="00016069">
              <w:rPr>
                <w:i/>
                <w:sz w:val="14"/>
              </w:rPr>
              <w:t>Workers’ Compensation and Injury Management Act 1981</w:t>
            </w:r>
          </w:p>
        </w:tc>
        <w:tc>
          <w:tcPr>
            <w:tcW w:w="4598" w:type="dxa"/>
            <w:tcMar>
              <w:top w:w="80" w:type="dxa"/>
              <w:left w:w="80" w:type="dxa"/>
              <w:bottom w:w="80" w:type="dxa"/>
              <w:right w:w="80" w:type="dxa"/>
            </w:tcMar>
          </w:tcPr>
          <w:p w14:paraId="20FD367E" w14:textId="092F4D72" w:rsidR="00BC2D34" w:rsidRPr="00BC2D34" w:rsidRDefault="00BC2D34" w:rsidP="00BB4F09">
            <w:pPr>
              <w:spacing w:after="60"/>
              <w:rPr>
                <w:rFonts w:cs="Arial"/>
                <w:color w:val="000000"/>
                <w:sz w:val="14"/>
                <w:szCs w:val="16"/>
                <w:lang w:val="en-GB"/>
              </w:rPr>
            </w:pPr>
            <w:r w:rsidRPr="00BC2D34">
              <w:rPr>
                <w:rFonts w:cs="Arial"/>
                <w:color w:val="000000"/>
                <w:sz w:val="14"/>
                <w:szCs w:val="16"/>
                <w:lang w:val="en-GB"/>
              </w:rPr>
              <w:t>A child’s allowance of $58.</w:t>
            </w:r>
            <w:r w:rsidR="00BB4F09">
              <w:rPr>
                <w:rFonts w:cs="Arial"/>
                <w:color w:val="000000"/>
                <w:sz w:val="14"/>
                <w:szCs w:val="16"/>
                <w:lang w:val="en-GB"/>
              </w:rPr>
              <w:t>90</w:t>
            </w:r>
            <w:r w:rsidRPr="00BC2D34">
              <w:rPr>
                <w:rFonts w:cs="Arial"/>
                <w:color w:val="000000"/>
                <w:sz w:val="14"/>
                <w:szCs w:val="16"/>
                <w:lang w:val="en-GB"/>
              </w:rPr>
              <w:t xml:space="preserve"> per week (subject to LPI) for each dependant child up to age 16 or 21 if a student, whichever an arbitrator determines as likely to be in the best interests of that dependant.</w:t>
            </w:r>
          </w:p>
        </w:tc>
        <w:tc>
          <w:tcPr>
            <w:tcW w:w="4599" w:type="dxa"/>
            <w:tcMar>
              <w:top w:w="80" w:type="dxa"/>
              <w:left w:w="80" w:type="dxa"/>
              <w:bottom w:w="80" w:type="dxa"/>
              <w:right w:w="80" w:type="dxa"/>
            </w:tcMar>
          </w:tcPr>
          <w:p w14:paraId="2D204622" w14:textId="26B63CD8" w:rsidR="00BC2D34" w:rsidRPr="00BC2D34" w:rsidRDefault="00BC2D34" w:rsidP="00DB1C39">
            <w:pPr>
              <w:spacing w:after="60"/>
              <w:rPr>
                <w:rFonts w:cs="Arial"/>
                <w:color w:val="000000"/>
                <w:sz w:val="14"/>
                <w:szCs w:val="16"/>
                <w:lang w:val="en-GB"/>
              </w:rPr>
            </w:pPr>
            <w:r w:rsidRPr="00BC2D34">
              <w:rPr>
                <w:rFonts w:cs="Arial"/>
                <w:color w:val="000000"/>
                <w:sz w:val="14"/>
                <w:szCs w:val="16"/>
                <w:lang w:val="en-GB"/>
              </w:rPr>
              <w:t>Reasonable funeral expenses</w:t>
            </w:r>
            <w:r w:rsidR="00A41653">
              <w:rPr>
                <w:rFonts w:cs="Arial"/>
                <w:color w:val="000000"/>
                <w:sz w:val="14"/>
                <w:szCs w:val="16"/>
                <w:lang w:val="en-GB"/>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cs="Arial"/>
                <w:color w:val="000000"/>
                <w:sz w:val="14"/>
                <w:szCs w:val="16"/>
                <w:lang w:val="en-GB"/>
              </w:rPr>
              <w:fldChar w:fldCharType="end"/>
            </w:r>
            <w:r w:rsidRPr="00BC2D34">
              <w:rPr>
                <w:rFonts w:cs="Arial"/>
                <w:color w:val="000000"/>
                <w:sz w:val="14"/>
                <w:szCs w:val="16"/>
                <w:lang w:val="en-GB"/>
              </w:rPr>
              <w:t>: not exceeding $</w:t>
            </w:r>
            <w:r w:rsidR="00BB4F09">
              <w:rPr>
                <w:rFonts w:cs="Arial"/>
                <w:color w:val="000000"/>
                <w:sz w:val="14"/>
                <w:szCs w:val="16"/>
                <w:lang w:val="en-GB"/>
              </w:rPr>
              <w:t>9,813</w:t>
            </w:r>
            <w:r w:rsidRPr="00BC2D34">
              <w:rPr>
                <w:rFonts w:cs="Arial"/>
                <w:color w:val="000000"/>
                <w:sz w:val="14"/>
                <w:szCs w:val="16"/>
                <w:lang w:val="en-GB"/>
              </w:rPr>
              <w:t xml:space="preserve"> s</w:t>
            </w:r>
            <w:r w:rsidR="002C086D">
              <w:rPr>
                <w:rFonts w:cs="Arial"/>
                <w:color w:val="000000"/>
                <w:sz w:val="14"/>
                <w:szCs w:val="16"/>
                <w:lang w:val="en-GB"/>
              </w:rPr>
              <w:t xml:space="preserve">ubject to CPI — Schedule </w:t>
            </w:r>
            <w:hyperlink r:id="rId1261" w:history="1">
              <w:r w:rsidR="002C086D" w:rsidRPr="00DB1C39">
                <w:rPr>
                  <w:rStyle w:val="Hyperlink"/>
                  <w:rFonts w:cs="Arial"/>
                  <w:sz w:val="14"/>
                  <w:szCs w:val="16"/>
                  <w:lang w:val="en-GB"/>
                </w:rPr>
                <w:t>1(17)</w:t>
              </w:r>
            </w:hyperlink>
          </w:p>
        </w:tc>
      </w:tr>
      <w:tr w:rsidR="00BC2D34" w:rsidRPr="00BC2D34" w14:paraId="0BFB4323" w14:textId="77777777" w:rsidTr="00B2173F">
        <w:tc>
          <w:tcPr>
            <w:tcW w:w="1626" w:type="dxa"/>
            <w:shd w:val="clear" w:color="auto" w:fill="FFC9C9"/>
            <w:tcMar>
              <w:top w:w="80" w:type="dxa"/>
              <w:left w:w="80" w:type="dxa"/>
              <w:bottom w:w="80" w:type="dxa"/>
              <w:right w:w="80" w:type="dxa"/>
            </w:tcMar>
          </w:tcPr>
          <w:p w14:paraId="14034693"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South Australia</w:t>
            </w:r>
          </w:p>
        </w:tc>
        <w:tc>
          <w:tcPr>
            <w:tcW w:w="4598" w:type="dxa"/>
            <w:shd w:val="clear" w:color="auto" w:fill="FFC9C9"/>
            <w:tcMar>
              <w:top w:w="80" w:type="dxa"/>
              <w:left w:w="80" w:type="dxa"/>
              <w:bottom w:w="80" w:type="dxa"/>
              <w:right w:w="80" w:type="dxa"/>
            </w:tcMar>
          </w:tcPr>
          <w:p w14:paraId="5CB72EF2" w14:textId="5AA70439" w:rsidR="00BC2D34" w:rsidRPr="00BC2D34" w:rsidRDefault="00D41D16" w:rsidP="00292A53">
            <w:pPr>
              <w:spacing w:after="60"/>
              <w:rPr>
                <w:rFonts w:cs="Arial"/>
                <w:color w:val="000000"/>
                <w:sz w:val="14"/>
                <w:szCs w:val="16"/>
                <w:lang w:val="en-GB"/>
              </w:rPr>
            </w:pPr>
            <w:r>
              <w:rPr>
                <w:rFonts w:cs="Arial"/>
                <w:color w:val="000000"/>
                <w:sz w:val="14"/>
                <w:szCs w:val="16"/>
                <w:lang w:val="en-GB"/>
              </w:rPr>
              <w:t>$487</w:t>
            </w:r>
            <w:r w:rsidR="000B7577">
              <w:rPr>
                <w:rFonts w:cs="Arial"/>
                <w:color w:val="000000"/>
                <w:sz w:val="14"/>
                <w:szCs w:val="16"/>
                <w:lang w:val="en-GB"/>
              </w:rPr>
              <w:t>,</w:t>
            </w:r>
            <w:r w:rsidR="00BC2D34" w:rsidRPr="00BC2D34">
              <w:rPr>
                <w:rFonts w:cs="Arial"/>
                <w:color w:val="000000"/>
                <w:sz w:val="14"/>
                <w:szCs w:val="16"/>
                <w:lang w:val="en-GB"/>
              </w:rPr>
              <w:t>476</w:t>
            </w:r>
          </w:p>
        </w:tc>
        <w:tc>
          <w:tcPr>
            <w:tcW w:w="4598" w:type="dxa"/>
            <w:shd w:val="clear" w:color="auto" w:fill="FFC9C9"/>
            <w:tcMar>
              <w:top w:w="80" w:type="dxa"/>
              <w:left w:w="80" w:type="dxa"/>
              <w:bottom w:w="80" w:type="dxa"/>
              <w:right w:w="80" w:type="dxa"/>
            </w:tcMar>
          </w:tcPr>
          <w:p w14:paraId="7A90E6EE" w14:textId="77777777" w:rsidR="00BC2D34" w:rsidRPr="00F73B77" w:rsidRDefault="00BC2D34" w:rsidP="00F839DB">
            <w:pPr>
              <w:pStyle w:val="ListParagraph"/>
              <w:numPr>
                <w:ilvl w:val="0"/>
                <w:numId w:val="162"/>
              </w:numPr>
              <w:spacing w:after="60"/>
              <w:contextualSpacing/>
              <w:rPr>
                <w:rFonts w:eastAsia="Calibri" w:cs="Arial"/>
                <w:sz w:val="14"/>
                <w:szCs w:val="14"/>
                <w:lang w:eastAsia="en-US"/>
              </w:rPr>
            </w:pPr>
            <w:r w:rsidRPr="00F73B77">
              <w:rPr>
                <w:rFonts w:eastAsia="Calibri" w:cs="Arial"/>
                <w:sz w:val="14"/>
                <w:szCs w:val="14"/>
                <w:lang w:eastAsia="en-US"/>
              </w:rPr>
              <w:t xml:space="preserve">Dependant domestic partner: weekly payments equal to 50% (less if partially dependant spouse) of the amount of the NWE of the deceased worker — </w:t>
            </w:r>
            <w:hyperlink r:id="rId1262" w:history="1">
              <w:r w:rsidRPr="00F73B77">
                <w:rPr>
                  <w:rFonts w:eastAsia="Calibri" w:cs="Arial"/>
                  <w:color w:val="0000FF"/>
                  <w:sz w:val="14"/>
                  <w:szCs w:val="14"/>
                  <w:u w:val="single"/>
                  <w:lang w:eastAsia="en-US"/>
                </w:rPr>
                <w:t>s59(1)(a)</w:t>
              </w:r>
            </w:hyperlink>
          </w:p>
          <w:p w14:paraId="23F843AE" w14:textId="77777777" w:rsidR="00BC2D34" w:rsidRPr="00F73B77" w:rsidRDefault="00BC2D34" w:rsidP="00F839DB">
            <w:pPr>
              <w:pStyle w:val="ListParagraph"/>
              <w:numPr>
                <w:ilvl w:val="0"/>
                <w:numId w:val="162"/>
              </w:numPr>
              <w:spacing w:after="60"/>
              <w:contextualSpacing/>
              <w:rPr>
                <w:rFonts w:eastAsia="Calibri" w:cs="Arial"/>
                <w:sz w:val="14"/>
                <w:szCs w:val="14"/>
                <w:lang w:eastAsia="en-US"/>
              </w:rPr>
            </w:pPr>
            <w:r w:rsidRPr="00F73B77">
              <w:rPr>
                <w:rFonts w:eastAsia="Calibri" w:cs="Arial"/>
                <w:sz w:val="14"/>
                <w:szCs w:val="14"/>
                <w:lang w:eastAsia="en-US"/>
              </w:rPr>
              <w:t xml:space="preserve">Dependant orphaned child: weekly payments equal to 25% (less if partially dependant child) of the amount of the NWE of the deceased worker — </w:t>
            </w:r>
            <w:hyperlink r:id="rId1263" w:history="1">
              <w:r w:rsidRPr="00F73B77">
                <w:rPr>
                  <w:rFonts w:eastAsia="Calibri" w:cs="Arial"/>
                  <w:color w:val="0000FF"/>
                  <w:sz w:val="14"/>
                  <w:szCs w:val="14"/>
                  <w:u w:val="single"/>
                  <w:lang w:eastAsia="en-US"/>
                </w:rPr>
                <w:t>s59(1)(b)</w:t>
              </w:r>
            </w:hyperlink>
          </w:p>
          <w:p w14:paraId="06493093" w14:textId="77777777" w:rsidR="00BC2D34" w:rsidRPr="00F73B77" w:rsidRDefault="00BC2D34" w:rsidP="00F839DB">
            <w:pPr>
              <w:pStyle w:val="ListParagraph"/>
              <w:numPr>
                <w:ilvl w:val="0"/>
                <w:numId w:val="162"/>
              </w:numPr>
              <w:spacing w:after="60"/>
              <w:contextualSpacing/>
              <w:rPr>
                <w:rFonts w:eastAsia="Calibri" w:cs="Arial"/>
                <w:sz w:val="14"/>
                <w:szCs w:val="14"/>
                <w:lang w:eastAsia="en-US"/>
              </w:rPr>
            </w:pPr>
            <w:r w:rsidRPr="00F73B77">
              <w:rPr>
                <w:rFonts w:eastAsia="Calibri" w:cs="Arial"/>
                <w:sz w:val="14"/>
                <w:szCs w:val="14"/>
                <w:lang w:eastAsia="en-US"/>
              </w:rPr>
              <w:t xml:space="preserve">Dependant non-orphaned child: weekly payments equal to 12.5% (less if partially dependant child) of the amount of the NWE of the deceased worker — </w:t>
            </w:r>
            <w:hyperlink r:id="rId1264" w:history="1">
              <w:r w:rsidRPr="00F73B77">
                <w:rPr>
                  <w:rFonts w:eastAsia="Calibri" w:cs="Arial"/>
                  <w:color w:val="0000FF"/>
                  <w:sz w:val="14"/>
                  <w:szCs w:val="14"/>
                  <w:u w:val="single"/>
                  <w:lang w:eastAsia="en-US"/>
                </w:rPr>
                <w:t>s59(1)(c)</w:t>
              </w:r>
              <w:r w:rsidRPr="00F73B77" w:rsidDel="006D0B9E">
                <w:rPr>
                  <w:rFonts w:eastAsia="Calibri" w:cs="Arial"/>
                  <w:color w:val="0000FF"/>
                  <w:sz w:val="14"/>
                  <w:szCs w:val="14"/>
                  <w:u w:val="single"/>
                  <w:lang w:eastAsia="en-US"/>
                </w:rPr>
                <w:t xml:space="preserve"> </w:t>
              </w:r>
            </w:hyperlink>
          </w:p>
          <w:p w14:paraId="40D91A05" w14:textId="4F736E1A" w:rsidR="00BC2D34" w:rsidRPr="00C17AFB" w:rsidRDefault="00BC2D34" w:rsidP="00F839DB">
            <w:pPr>
              <w:pStyle w:val="ListParagraph"/>
              <w:numPr>
                <w:ilvl w:val="0"/>
                <w:numId w:val="162"/>
              </w:numPr>
              <w:spacing w:after="60"/>
              <w:contextualSpacing/>
              <w:rPr>
                <w:rFonts w:eastAsia="Calibri" w:cs="Arial"/>
                <w:sz w:val="14"/>
                <w:szCs w:val="14"/>
                <w:lang w:eastAsia="en-US"/>
              </w:rPr>
            </w:pPr>
            <w:r w:rsidRPr="00F73B77">
              <w:rPr>
                <w:rFonts w:eastAsia="Calibri" w:cs="Arial"/>
                <w:sz w:val="14"/>
                <w:szCs w:val="14"/>
                <w:lang w:eastAsia="en-US"/>
              </w:rPr>
              <w:t xml:space="preserve">Dependant relative: may be eligible for weekly payments if ReturnToWorkSA determines they are eligible in their particular circumstances — </w:t>
            </w:r>
            <w:hyperlink r:id="rId1265" w:history="1">
              <w:r w:rsidRPr="00F73B77">
                <w:rPr>
                  <w:rFonts w:eastAsia="Calibri" w:cs="Arial"/>
                  <w:color w:val="0000FF"/>
                  <w:sz w:val="14"/>
                  <w:szCs w:val="14"/>
                  <w:u w:val="single"/>
                  <w:lang w:eastAsia="en-US"/>
                </w:rPr>
                <w:t>s59(1)(d)</w:t>
              </w:r>
            </w:hyperlink>
            <w:r w:rsidR="00E13D9F">
              <w:rPr>
                <w:rFonts w:eastAsia="Calibri" w:cs="Arial"/>
                <w:color w:val="0000FF"/>
                <w:sz w:val="14"/>
                <w:szCs w:val="14"/>
                <w:u w:val="single"/>
                <w:lang w:eastAsia="en-US"/>
              </w:rPr>
              <w:t>.</w:t>
            </w:r>
          </w:p>
        </w:tc>
        <w:tc>
          <w:tcPr>
            <w:tcW w:w="4599" w:type="dxa"/>
            <w:shd w:val="clear" w:color="auto" w:fill="FFC9C9"/>
            <w:tcMar>
              <w:top w:w="80" w:type="dxa"/>
              <w:left w:w="80" w:type="dxa"/>
              <w:bottom w:w="80" w:type="dxa"/>
              <w:right w:w="80" w:type="dxa"/>
            </w:tcMar>
          </w:tcPr>
          <w:p w14:paraId="63C80882" w14:textId="65DA97CB" w:rsidR="00BC2D34" w:rsidRPr="00BC2D34" w:rsidRDefault="00BC2D34" w:rsidP="00116A75">
            <w:pPr>
              <w:spacing w:after="60"/>
              <w:rPr>
                <w:rFonts w:cs="Arial"/>
                <w:color w:val="000000"/>
                <w:sz w:val="14"/>
                <w:szCs w:val="16"/>
                <w:lang w:val="en-GB"/>
              </w:rPr>
            </w:pPr>
            <w:r w:rsidRPr="00BC2D34">
              <w:rPr>
                <w:rFonts w:cs="Arial"/>
                <w:color w:val="000000"/>
                <w:sz w:val="14"/>
                <w:szCs w:val="16"/>
                <w:lang w:val="en-GB"/>
              </w:rPr>
              <w:t>Funeral expenses cappe</w:t>
            </w:r>
            <w:r w:rsidR="00D41D16">
              <w:rPr>
                <w:rFonts w:cs="Arial"/>
                <w:color w:val="000000"/>
                <w:sz w:val="14"/>
                <w:szCs w:val="16"/>
                <w:lang w:val="en-GB"/>
              </w:rPr>
              <w:t>d at a prescribed amount: : $10</w:t>
            </w:r>
            <w:r w:rsidR="000B7577">
              <w:rPr>
                <w:rFonts w:cs="Arial"/>
                <w:color w:val="000000"/>
                <w:sz w:val="14"/>
                <w:szCs w:val="16"/>
                <w:lang w:val="en-GB"/>
              </w:rPr>
              <w:t>,</w:t>
            </w:r>
            <w:r w:rsidR="002C086D">
              <w:rPr>
                <w:rFonts w:cs="Arial"/>
                <w:color w:val="000000"/>
                <w:sz w:val="14"/>
                <w:szCs w:val="16"/>
                <w:lang w:val="en-GB"/>
              </w:rPr>
              <w:t xml:space="preserve">413 </w:t>
            </w:r>
            <w:r w:rsidR="00116A75">
              <w:rPr>
                <w:rFonts w:cs="Arial"/>
                <w:color w:val="000000"/>
                <w:sz w:val="14"/>
                <w:szCs w:val="16"/>
                <w:lang w:val="en-GB"/>
              </w:rPr>
              <w:t>—</w:t>
            </w:r>
            <w:r w:rsidR="002C086D">
              <w:rPr>
                <w:rFonts w:cs="Arial"/>
                <w:color w:val="000000"/>
                <w:sz w:val="14"/>
                <w:szCs w:val="16"/>
                <w:lang w:val="en-GB"/>
              </w:rPr>
              <w:t xml:space="preserve"> </w:t>
            </w:r>
            <w:hyperlink r:id="rId1266" w:history="1">
              <w:r w:rsidR="002C086D" w:rsidRPr="00116A75">
                <w:rPr>
                  <w:rStyle w:val="Hyperlink"/>
                  <w:rFonts w:cs="Arial"/>
                  <w:sz w:val="14"/>
                  <w:szCs w:val="16"/>
                  <w:lang w:val="en-GB"/>
                </w:rPr>
                <w:t>s62</w:t>
              </w:r>
            </w:hyperlink>
          </w:p>
        </w:tc>
      </w:tr>
      <w:tr w:rsidR="00BC2D34" w:rsidRPr="00BC2D34" w14:paraId="1916C69C" w14:textId="77777777" w:rsidTr="00B2173F">
        <w:tc>
          <w:tcPr>
            <w:tcW w:w="1626" w:type="dxa"/>
            <w:tcMar>
              <w:top w:w="80" w:type="dxa"/>
              <w:left w:w="80" w:type="dxa"/>
              <w:bottom w:w="80" w:type="dxa"/>
              <w:right w:w="80" w:type="dxa"/>
            </w:tcMar>
          </w:tcPr>
          <w:p w14:paraId="414B5C5F"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Tasmania</w:t>
            </w:r>
          </w:p>
        </w:tc>
        <w:tc>
          <w:tcPr>
            <w:tcW w:w="4598" w:type="dxa"/>
            <w:tcMar>
              <w:top w:w="80" w:type="dxa"/>
              <w:left w:w="80" w:type="dxa"/>
              <w:bottom w:w="80" w:type="dxa"/>
              <w:right w:w="80" w:type="dxa"/>
            </w:tcMar>
          </w:tcPr>
          <w:p w14:paraId="03238D5F" w14:textId="48DA5CFC" w:rsidR="00BC2D34" w:rsidRPr="00BC2D34" w:rsidRDefault="00BC2D34" w:rsidP="00AF2784">
            <w:pPr>
              <w:spacing w:after="60"/>
              <w:rPr>
                <w:rFonts w:cs="Arial"/>
                <w:color w:val="000000"/>
                <w:sz w:val="14"/>
                <w:szCs w:val="16"/>
                <w:lang w:val="en-GB"/>
              </w:rPr>
            </w:pPr>
            <w:r w:rsidRPr="00BC2D34">
              <w:rPr>
                <w:rFonts w:cs="Arial"/>
                <w:color w:val="000000"/>
                <w:sz w:val="14"/>
                <w:szCs w:val="16"/>
                <w:lang w:val="en-GB"/>
              </w:rPr>
              <w:t>Maximum payment: $</w:t>
            </w:r>
            <w:r w:rsidR="00AF2784">
              <w:rPr>
                <w:rFonts w:cs="Arial"/>
                <w:color w:val="000000"/>
                <w:sz w:val="14"/>
                <w:szCs w:val="16"/>
                <w:lang w:val="en-GB"/>
              </w:rPr>
              <w:t>355,169.45</w:t>
            </w:r>
            <w:r w:rsidRPr="00BC2D34">
              <w:rPr>
                <w:rFonts w:cs="Arial"/>
                <w:color w:val="000000"/>
                <w:sz w:val="14"/>
                <w:szCs w:val="16"/>
                <w:lang w:val="en-GB"/>
              </w:rPr>
              <w:t xml:space="preserve"> — </w:t>
            </w:r>
            <w:hyperlink r:id="rId1267" w:history="1">
              <w:r w:rsidRPr="00BC2D34">
                <w:rPr>
                  <w:rFonts w:cs="Arial"/>
                  <w:color w:val="0000FF"/>
                  <w:sz w:val="14"/>
                  <w:szCs w:val="16"/>
                  <w:u w:val="single"/>
                  <w:lang w:val="en-GB"/>
                </w:rPr>
                <w:t>s67</w:t>
              </w:r>
            </w:hyperlink>
          </w:p>
        </w:tc>
        <w:tc>
          <w:tcPr>
            <w:tcW w:w="4598" w:type="dxa"/>
            <w:tcMar>
              <w:top w:w="80" w:type="dxa"/>
              <w:left w:w="80" w:type="dxa"/>
              <w:bottom w:w="80" w:type="dxa"/>
              <w:right w:w="80" w:type="dxa"/>
            </w:tcMar>
          </w:tcPr>
          <w:p w14:paraId="05F3155C" w14:textId="77777777"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A dependant spouse or caring partner is entitled to weekly payments for a period of two years from the date of death calculated at the same rate as the deceased would have received if he/she became totally incapacitated:</w:t>
            </w:r>
          </w:p>
          <w:p w14:paraId="59872577" w14:textId="77777777" w:rsidR="00BC2D34" w:rsidRPr="00F73B77" w:rsidRDefault="00BC2D34" w:rsidP="00F839DB">
            <w:pPr>
              <w:pStyle w:val="ListParagraph"/>
              <w:numPr>
                <w:ilvl w:val="0"/>
                <w:numId w:val="164"/>
              </w:numPr>
              <w:spacing w:after="60"/>
              <w:contextualSpacing/>
              <w:rPr>
                <w:rFonts w:eastAsia="Calibri" w:cs="Arial"/>
                <w:sz w:val="14"/>
                <w:szCs w:val="14"/>
                <w:lang w:eastAsia="en-US"/>
              </w:rPr>
            </w:pPr>
            <w:r w:rsidRPr="00F73B77">
              <w:rPr>
                <w:rFonts w:eastAsia="Calibri" w:cs="Arial"/>
                <w:sz w:val="14"/>
                <w:szCs w:val="14"/>
                <w:lang w:eastAsia="en-US"/>
              </w:rPr>
              <w:t>first 26 weeks following the date of death: 100% of weekly payments</w:t>
            </w:r>
          </w:p>
          <w:p w14:paraId="30B53C29" w14:textId="77777777" w:rsidR="00BC2D34" w:rsidRPr="00F73B77" w:rsidRDefault="00BC2D34" w:rsidP="00F839DB">
            <w:pPr>
              <w:pStyle w:val="ListParagraph"/>
              <w:numPr>
                <w:ilvl w:val="0"/>
                <w:numId w:val="164"/>
              </w:numPr>
              <w:spacing w:after="60"/>
              <w:contextualSpacing/>
              <w:rPr>
                <w:rFonts w:eastAsia="Calibri" w:cs="Arial"/>
                <w:sz w:val="14"/>
                <w:szCs w:val="14"/>
                <w:lang w:eastAsia="en-US"/>
              </w:rPr>
            </w:pPr>
            <w:r w:rsidRPr="00F73B77">
              <w:rPr>
                <w:rFonts w:eastAsia="Calibri" w:cs="Arial"/>
                <w:sz w:val="14"/>
                <w:szCs w:val="14"/>
                <w:lang w:eastAsia="en-US"/>
              </w:rPr>
              <w:t>&gt;26 weeks, up to 78 weeks: 90% of weekly payments, and</w:t>
            </w:r>
          </w:p>
          <w:p w14:paraId="33D1B7B4" w14:textId="77777777" w:rsidR="00BC2D34" w:rsidRPr="00F73B77" w:rsidRDefault="00BC2D34" w:rsidP="00F839DB">
            <w:pPr>
              <w:pStyle w:val="ListParagraph"/>
              <w:numPr>
                <w:ilvl w:val="0"/>
                <w:numId w:val="164"/>
              </w:numPr>
              <w:spacing w:after="60"/>
              <w:contextualSpacing/>
              <w:rPr>
                <w:rFonts w:eastAsia="Calibri" w:cs="Arial"/>
                <w:sz w:val="14"/>
                <w:szCs w:val="14"/>
                <w:lang w:eastAsia="en-US"/>
              </w:rPr>
            </w:pPr>
            <w:r w:rsidRPr="00F73B77">
              <w:rPr>
                <w:rFonts w:eastAsia="Calibri" w:cs="Arial"/>
                <w:sz w:val="14"/>
                <w:szCs w:val="14"/>
                <w:lang w:eastAsia="en-US"/>
              </w:rPr>
              <w:lastRenderedPageBreak/>
              <w:t>&gt;78 weeks, up to 2 years from the date of death: 80% of weekly payments.</w:t>
            </w:r>
          </w:p>
          <w:p w14:paraId="0F8140D2" w14:textId="28EA339C" w:rsidR="00BC2D34" w:rsidRPr="00945540" w:rsidRDefault="00BC2D34" w:rsidP="00AF2784">
            <w:pPr>
              <w:spacing w:after="60"/>
              <w:contextualSpacing/>
              <w:rPr>
                <w:rFonts w:eastAsia="Calibri" w:cs="Arial"/>
                <w:sz w:val="14"/>
                <w:szCs w:val="14"/>
                <w:lang w:eastAsia="en-US"/>
              </w:rPr>
            </w:pPr>
            <w:r w:rsidRPr="00945540">
              <w:rPr>
                <w:rFonts w:eastAsia="Calibri" w:cs="Arial"/>
                <w:sz w:val="14"/>
                <w:szCs w:val="14"/>
                <w:lang w:eastAsia="en-US"/>
              </w:rPr>
              <w:t>A dependant child is entitled to weekly payments paid at 15% of the basic salary ($</w:t>
            </w:r>
            <w:r w:rsidR="00AF2784">
              <w:rPr>
                <w:rFonts w:eastAsia="Calibri" w:cs="Arial"/>
                <w:sz w:val="14"/>
                <w:szCs w:val="14"/>
                <w:lang w:eastAsia="en-US"/>
              </w:rPr>
              <w:t>128.37</w:t>
            </w:r>
            <w:r w:rsidRPr="00945540">
              <w:rPr>
                <w:rFonts w:eastAsia="Calibri" w:cs="Arial"/>
                <w:sz w:val="14"/>
                <w:szCs w:val="14"/>
                <w:lang w:eastAsia="en-US"/>
              </w:rPr>
              <w:t xml:space="preserve">), commencing on the expiration of 13 weeks after the date of death — </w:t>
            </w:r>
            <w:hyperlink r:id="rId1268" w:history="1">
              <w:r w:rsidRPr="00945540">
                <w:rPr>
                  <w:rFonts w:eastAsia="Calibri" w:cs="Arial"/>
                  <w:color w:val="0000FF"/>
                  <w:sz w:val="14"/>
                  <w:szCs w:val="14"/>
                  <w:u w:val="single"/>
                  <w:lang w:eastAsia="en-US"/>
                </w:rPr>
                <w:t>s67A</w:t>
              </w:r>
            </w:hyperlink>
          </w:p>
        </w:tc>
        <w:tc>
          <w:tcPr>
            <w:tcW w:w="4599" w:type="dxa"/>
            <w:tcMar>
              <w:top w:w="80" w:type="dxa"/>
              <w:left w:w="80" w:type="dxa"/>
              <w:bottom w:w="80" w:type="dxa"/>
              <w:right w:w="80" w:type="dxa"/>
            </w:tcMar>
          </w:tcPr>
          <w:p w14:paraId="6CA07641" w14:textId="4CEEF939" w:rsidR="00BC2D34" w:rsidRPr="00F73B77" w:rsidRDefault="00BC2D34" w:rsidP="00F839DB">
            <w:pPr>
              <w:pStyle w:val="ListParagraph"/>
              <w:numPr>
                <w:ilvl w:val="0"/>
                <w:numId w:val="163"/>
              </w:numPr>
              <w:spacing w:after="60"/>
              <w:contextualSpacing/>
              <w:rPr>
                <w:rFonts w:eastAsia="Calibri" w:cs="Arial"/>
                <w:sz w:val="14"/>
                <w:szCs w:val="14"/>
                <w:lang w:eastAsia="en-US"/>
              </w:rPr>
            </w:pPr>
            <w:r w:rsidRPr="00F73B77">
              <w:rPr>
                <w:rFonts w:eastAsia="Calibri" w:cs="Arial"/>
                <w:sz w:val="14"/>
                <w:szCs w:val="14"/>
                <w:lang w:eastAsia="en-US"/>
              </w:rPr>
              <w:lastRenderedPageBreak/>
              <w:t>Reasonable expenses of the worker's burial or cremation not exceeding $9</w:t>
            </w:r>
            <w:r w:rsidR="000B7577">
              <w:rPr>
                <w:rFonts w:eastAsia="Calibri" w:cs="Arial"/>
                <w:sz w:val="14"/>
                <w:szCs w:val="14"/>
                <w:lang w:eastAsia="en-US"/>
              </w:rPr>
              <w:t>,</w:t>
            </w:r>
            <w:r w:rsidRPr="00F73B77">
              <w:rPr>
                <w:rFonts w:eastAsia="Calibri" w:cs="Arial"/>
                <w:sz w:val="14"/>
                <w:szCs w:val="14"/>
                <w:lang w:eastAsia="en-US"/>
              </w:rPr>
              <w:t xml:space="preserve">500 — </w:t>
            </w:r>
            <w:hyperlink r:id="rId1269" w:history="1">
              <w:r w:rsidRPr="00F73B77">
                <w:rPr>
                  <w:rFonts w:eastAsia="Calibri" w:cs="Arial"/>
                  <w:color w:val="0000FF"/>
                  <w:sz w:val="14"/>
                  <w:szCs w:val="14"/>
                  <w:u w:val="single"/>
                  <w:lang w:eastAsia="en-US"/>
                </w:rPr>
                <w:t>s75(1)(b)(i)</w:t>
              </w:r>
            </w:hyperlink>
            <w:r w:rsidRPr="00F73B77">
              <w:rPr>
                <w:rFonts w:eastAsia="Calibri" w:cs="Arial"/>
                <w:sz w:val="14"/>
                <w:szCs w:val="14"/>
                <w:lang w:eastAsia="en-US"/>
              </w:rPr>
              <w:t xml:space="preserve"> and </w:t>
            </w:r>
            <w:hyperlink r:id="rId1270" w:history="1">
              <w:r w:rsidRPr="00F73B77">
                <w:rPr>
                  <w:rFonts w:eastAsia="Calibri" w:cs="Arial"/>
                  <w:color w:val="0000FF"/>
                  <w:sz w:val="14"/>
                  <w:szCs w:val="14"/>
                  <w:u w:val="single"/>
                  <w:lang w:eastAsia="en-US"/>
                </w:rPr>
                <w:t>Regulation 21</w:t>
              </w:r>
            </w:hyperlink>
          </w:p>
          <w:p w14:paraId="62E57DC4" w14:textId="06DBEAA2" w:rsidR="00BC2D34" w:rsidRPr="00F73B77" w:rsidRDefault="00BC2D34" w:rsidP="00F839DB">
            <w:pPr>
              <w:pStyle w:val="ListParagraph"/>
              <w:numPr>
                <w:ilvl w:val="0"/>
                <w:numId w:val="163"/>
              </w:numPr>
              <w:spacing w:after="60"/>
              <w:contextualSpacing/>
              <w:rPr>
                <w:rFonts w:eastAsia="Calibri" w:cs="Arial"/>
                <w:sz w:val="14"/>
                <w:szCs w:val="14"/>
                <w:lang w:eastAsia="en-US"/>
              </w:rPr>
            </w:pPr>
            <w:r w:rsidRPr="00F73B77">
              <w:rPr>
                <w:rFonts w:eastAsia="Calibri" w:cs="Arial"/>
                <w:sz w:val="14"/>
                <w:szCs w:val="14"/>
                <w:lang w:eastAsia="en-US"/>
              </w:rPr>
              <w:t>Reasonable costs of counselling services provided to members of the family by counselling professionals, up to $4</w:t>
            </w:r>
            <w:r w:rsidR="000B7577">
              <w:rPr>
                <w:rFonts w:eastAsia="Calibri" w:cs="Arial"/>
                <w:sz w:val="14"/>
                <w:szCs w:val="14"/>
                <w:lang w:eastAsia="en-US"/>
              </w:rPr>
              <w:t>,</w:t>
            </w:r>
            <w:r w:rsidRPr="00F73B77">
              <w:rPr>
                <w:rFonts w:eastAsia="Calibri" w:cs="Arial"/>
                <w:sz w:val="14"/>
                <w:szCs w:val="14"/>
                <w:lang w:eastAsia="en-US"/>
              </w:rPr>
              <w:t>000</w:t>
            </w:r>
            <w:r w:rsidR="00A865B6">
              <w:rPr>
                <w:rFonts w:eastAsia="Calibri" w:cs="Arial"/>
                <w:sz w:val="14"/>
                <w:szCs w:val="14"/>
                <w:lang w:eastAsia="en-US"/>
              </w:rPr>
              <w:t xml:space="preserve"> </w:t>
            </w:r>
            <w:r w:rsidRPr="00F73B77">
              <w:rPr>
                <w:rFonts w:eastAsia="Calibri" w:cs="Arial"/>
                <w:sz w:val="14"/>
                <w:szCs w:val="14"/>
                <w:lang w:eastAsia="en-US"/>
              </w:rPr>
              <w:t xml:space="preserve">— </w:t>
            </w:r>
            <w:hyperlink r:id="rId1271" w:history="1">
              <w:r w:rsidRPr="00F73B77">
                <w:rPr>
                  <w:rFonts w:eastAsia="Calibri" w:cs="Arial"/>
                  <w:color w:val="0000FF"/>
                  <w:sz w:val="14"/>
                  <w:szCs w:val="14"/>
                  <w:u w:val="single"/>
                  <w:lang w:eastAsia="en-US"/>
                </w:rPr>
                <w:t>s75(1)(b)(ii)</w:t>
              </w:r>
            </w:hyperlink>
            <w:r w:rsidRPr="00F73B77">
              <w:rPr>
                <w:rFonts w:eastAsia="Calibri" w:cs="Arial"/>
                <w:sz w:val="14"/>
                <w:szCs w:val="14"/>
                <w:lang w:eastAsia="en-US"/>
              </w:rPr>
              <w:t xml:space="preserve"> and </w:t>
            </w:r>
            <w:hyperlink r:id="rId1272" w:history="1">
              <w:r w:rsidRPr="00F73B77">
                <w:rPr>
                  <w:rFonts w:eastAsia="Calibri" w:cs="Arial"/>
                  <w:color w:val="0000FF"/>
                  <w:sz w:val="14"/>
                  <w:szCs w:val="14"/>
                  <w:u w:val="single"/>
                  <w:lang w:eastAsia="en-US"/>
                </w:rPr>
                <w:t>Regulation 21</w:t>
              </w:r>
            </w:hyperlink>
          </w:p>
        </w:tc>
      </w:tr>
      <w:tr w:rsidR="00BC2D34" w:rsidRPr="00BC2D34" w14:paraId="432E7FC8" w14:textId="77777777" w:rsidTr="00B2173F">
        <w:tc>
          <w:tcPr>
            <w:tcW w:w="1626" w:type="dxa"/>
            <w:shd w:val="clear" w:color="auto" w:fill="FFC9C9"/>
            <w:tcMar>
              <w:top w:w="80" w:type="dxa"/>
              <w:left w:w="80" w:type="dxa"/>
              <w:bottom w:w="80" w:type="dxa"/>
              <w:right w:w="80" w:type="dxa"/>
            </w:tcMar>
          </w:tcPr>
          <w:p w14:paraId="19CE128F"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Northern Territory</w:t>
            </w:r>
          </w:p>
        </w:tc>
        <w:tc>
          <w:tcPr>
            <w:tcW w:w="4598" w:type="dxa"/>
            <w:shd w:val="clear" w:color="auto" w:fill="FFC9C9"/>
            <w:tcMar>
              <w:top w:w="80" w:type="dxa"/>
              <w:left w:w="80" w:type="dxa"/>
              <w:bottom w:w="80" w:type="dxa"/>
              <w:right w:w="80" w:type="dxa"/>
            </w:tcMar>
          </w:tcPr>
          <w:p w14:paraId="11AAC128" w14:textId="3828F426" w:rsidR="00BC2D34" w:rsidRPr="00611FE4" w:rsidRDefault="00BC2D34" w:rsidP="004C4EB2">
            <w:pPr>
              <w:spacing w:after="60"/>
              <w:rPr>
                <w:rFonts w:cs="Arial"/>
                <w:i/>
                <w:color w:val="000000"/>
                <w:sz w:val="14"/>
                <w:szCs w:val="16"/>
                <w:lang w:val="en-GB"/>
              </w:rPr>
            </w:pPr>
            <w:r w:rsidRPr="00BC2D34">
              <w:rPr>
                <w:rFonts w:cs="Arial"/>
                <w:color w:val="000000"/>
                <w:sz w:val="14"/>
                <w:szCs w:val="16"/>
                <w:lang w:val="en-GB"/>
              </w:rPr>
              <w:t xml:space="preserve">Entitled to 364 times the average weekly earnings </w:t>
            </w:r>
            <w:r w:rsidRPr="00BC2D34">
              <w:rPr>
                <w:rFonts w:cs="Arial"/>
                <w:color w:val="000000"/>
                <w:sz w:val="14"/>
                <w:szCs w:val="16"/>
                <w:lang w:val="en-GB"/>
              </w:rPr>
              <w:br/>
              <w:t>$</w:t>
            </w:r>
            <w:r w:rsidR="004C4EB2">
              <w:rPr>
                <w:rFonts w:cs="Arial"/>
                <w:color w:val="000000"/>
                <w:sz w:val="14"/>
                <w:szCs w:val="16"/>
                <w:lang w:val="en-GB"/>
              </w:rPr>
              <w:t>571,370.80</w:t>
            </w:r>
            <w:r w:rsidRPr="00BC2D34">
              <w:rPr>
                <w:rFonts w:cs="Arial"/>
                <w:color w:val="000000"/>
                <w:sz w:val="14"/>
                <w:szCs w:val="16"/>
                <w:lang w:val="en-GB"/>
              </w:rPr>
              <w:t xml:space="preserve"> in prescribed proportions (share with children), or such proportions as the Court determines — </w:t>
            </w:r>
            <w:hyperlink r:id="rId1273" w:history="1">
              <w:r w:rsidRPr="00611FE4">
                <w:rPr>
                  <w:rStyle w:val="Hyperlink"/>
                  <w:rFonts w:cs="Arial"/>
                  <w:sz w:val="14"/>
                  <w:szCs w:val="16"/>
                  <w:lang w:val="en-GB"/>
                </w:rPr>
                <w:t>s62(1)</w:t>
              </w:r>
            </w:hyperlink>
            <w:r w:rsidR="00611FE4">
              <w:rPr>
                <w:rFonts w:cs="Arial"/>
                <w:color w:val="000000"/>
                <w:sz w:val="14"/>
                <w:szCs w:val="16"/>
                <w:lang w:val="en-GB"/>
              </w:rPr>
              <w:t xml:space="preserve">, </w:t>
            </w:r>
            <w:r w:rsidR="00611FE4">
              <w:rPr>
                <w:rFonts w:cs="Arial"/>
                <w:i/>
                <w:color w:val="000000"/>
                <w:sz w:val="14"/>
                <w:szCs w:val="16"/>
                <w:lang w:val="en-GB"/>
              </w:rPr>
              <w:t>Return to Work Act</w:t>
            </w:r>
          </w:p>
        </w:tc>
        <w:tc>
          <w:tcPr>
            <w:tcW w:w="4598" w:type="dxa"/>
            <w:shd w:val="clear" w:color="auto" w:fill="FFC9C9"/>
            <w:tcMar>
              <w:top w:w="80" w:type="dxa"/>
              <w:left w:w="80" w:type="dxa"/>
              <w:bottom w:w="80" w:type="dxa"/>
              <w:right w:w="80" w:type="dxa"/>
            </w:tcMar>
          </w:tcPr>
          <w:p w14:paraId="5EC0E0C3" w14:textId="7342894A" w:rsidR="00BC2D34" w:rsidRPr="00F73B77" w:rsidRDefault="00BC2D34" w:rsidP="00F839DB">
            <w:pPr>
              <w:pStyle w:val="ListParagraph"/>
              <w:numPr>
                <w:ilvl w:val="0"/>
                <w:numId w:val="165"/>
              </w:numPr>
              <w:spacing w:after="60"/>
              <w:contextualSpacing/>
              <w:rPr>
                <w:rFonts w:eastAsia="Calibri" w:cs="Arial"/>
                <w:sz w:val="14"/>
                <w:szCs w:val="14"/>
                <w:lang w:eastAsia="en-US"/>
              </w:rPr>
            </w:pPr>
            <w:r w:rsidRPr="00F73B77">
              <w:rPr>
                <w:rFonts w:eastAsia="Calibri" w:cs="Arial"/>
                <w:sz w:val="14"/>
                <w:szCs w:val="14"/>
                <w:lang w:eastAsia="en-US"/>
              </w:rPr>
              <w:t>10% of average weekly earnings ($15</w:t>
            </w:r>
            <w:r w:rsidR="004C4EB2">
              <w:rPr>
                <w:rFonts w:eastAsia="Calibri" w:cs="Arial"/>
                <w:sz w:val="14"/>
                <w:szCs w:val="14"/>
                <w:lang w:eastAsia="en-US"/>
              </w:rPr>
              <w:t>6.97</w:t>
            </w:r>
            <w:r w:rsidRPr="00F73B77">
              <w:rPr>
                <w:rFonts w:eastAsia="Calibri" w:cs="Arial"/>
                <w:sz w:val="14"/>
                <w:szCs w:val="14"/>
                <w:lang w:eastAsia="en-US"/>
              </w:rPr>
              <w:t xml:space="preserve"> for each child under 16 (or 21 if student), for up to 10 children — </w:t>
            </w:r>
            <w:hyperlink r:id="rId1274" w:history="1">
              <w:r w:rsidRPr="00611FE4">
                <w:rPr>
                  <w:rStyle w:val="Hyperlink"/>
                  <w:rFonts w:eastAsia="Calibri" w:cs="Arial"/>
                  <w:sz w:val="14"/>
                  <w:szCs w:val="14"/>
                  <w:lang w:eastAsia="en-US"/>
                </w:rPr>
                <w:t>s63</w:t>
              </w:r>
            </w:hyperlink>
          </w:p>
          <w:p w14:paraId="287B92C0" w14:textId="73179818" w:rsidR="00BC2D34" w:rsidRPr="00F73B77" w:rsidRDefault="00BC2D34" w:rsidP="00F839DB">
            <w:pPr>
              <w:pStyle w:val="ListParagraph"/>
              <w:numPr>
                <w:ilvl w:val="0"/>
                <w:numId w:val="165"/>
              </w:numPr>
              <w:spacing w:after="60"/>
              <w:contextualSpacing/>
              <w:rPr>
                <w:rFonts w:eastAsia="Calibri" w:cs="Arial"/>
                <w:sz w:val="14"/>
                <w:szCs w:val="14"/>
                <w:lang w:eastAsia="en-US"/>
              </w:rPr>
            </w:pPr>
            <w:r w:rsidRPr="00F73B77">
              <w:rPr>
                <w:rFonts w:eastAsia="Calibri" w:cs="Arial"/>
                <w:sz w:val="14"/>
                <w:szCs w:val="14"/>
                <w:lang w:eastAsia="en-US"/>
              </w:rPr>
              <w:t>Limited to 100% of average weekly earnings ($</w:t>
            </w:r>
            <w:r w:rsidR="004C4EB2">
              <w:rPr>
                <w:rFonts w:eastAsia="Calibri" w:cs="Arial"/>
                <w:sz w:val="14"/>
                <w:szCs w:val="14"/>
                <w:lang w:eastAsia="en-US"/>
              </w:rPr>
              <w:t>1,569.70</w:t>
            </w:r>
            <w:r w:rsidRPr="00F73B77">
              <w:rPr>
                <w:rFonts w:eastAsia="Calibri" w:cs="Arial"/>
                <w:sz w:val="14"/>
                <w:szCs w:val="14"/>
                <w:lang w:eastAsia="en-US"/>
              </w:rPr>
              <w:t>)</w:t>
            </w:r>
          </w:p>
        </w:tc>
        <w:tc>
          <w:tcPr>
            <w:tcW w:w="4599" w:type="dxa"/>
            <w:shd w:val="clear" w:color="auto" w:fill="FFC9C9"/>
            <w:tcMar>
              <w:top w:w="80" w:type="dxa"/>
              <w:left w:w="80" w:type="dxa"/>
              <w:bottom w:w="80" w:type="dxa"/>
              <w:right w:w="80" w:type="dxa"/>
            </w:tcMar>
          </w:tcPr>
          <w:p w14:paraId="27B99788" w14:textId="5205187E" w:rsidR="00BC2D34" w:rsidRPr="00F73B77" w:rsidRDefault="00BC2D34" w:rsidP="00F839DB">
            <w:pPr>
              <w:pStyle w:val="ListParagraph"/>
              <w:numPr>
                <w:ilvl w:val="0"/>
                <w:numId w:val="165"/>
              </w:numPr>
              <w:spacing w:after="60"/>
              <w:contextualSpacing/>
              <w:rPr>
                <w:rFonts w:eastAsia="Calibri" w:cs="Arial"/>
                <w:sz w:val="14"/>
                <w:szCs w:val="14"/>
                <w:lang w:eastAsia="en-US"/>
              </w:rPr>
            </w:pPr>
            <w:r w:rsidRPr="00F73B77">
              <w:rPr>
                <w:rFonts w:eastAsia="Calibri" w:cs="Arial"/>
                <w:sz w:val="14"/>
                <w:szCs w:val="14"/>
                <w:lang w:eastAsia="en-US"/>
              </w:rPr>
              <w:t>Max: 20% of the annual equivalent of average weekly earning ($</w:t>
            </w:r>
            <w:r w:rsidR="004C4EB2">
              <w:rPr>
                <w:rFonts w:eastAsia="Calibri" w:cs="Arial"/>
                <w:sz w:val="14"/>
                <w:szCs w:val="14"/>
                <w:lang w:eastAsia="en-US"/>
              </w:rPr>
              <w:t>16,324.88</w:t>
            </w:r>
            <w:r w:rsidRPr="00F73B77">
              <w:rPr>
                <w:rFonts w:eastAsia="Calibri" w:cs="Arial"/>
                <w:sz w:val="14"/>
                <w:szCs w:val="14"/>
                <w:lang w:eastAsia="en-US"/>
              </w:rPr>
              <w:t xml:space="preserve">) for funeral costs — </w:t>
            </w:r>
            <w:hyperlink r:id="rId1275" w:history="1">
              <w:r w:rsidRPr="00611FE4">
                <w:rPr>
                  <w:rStyle w:val="Hyperlink"/>
                  <w:rFonts w:eastAsia="Calibri" w:cs="Arial"/>
                  <w:sz w:val="14"/>
                  <w:szCs w:val="14"/>
                  <w:lang w:eastAsia="en-US"/>
                </w:rPr>
                <w:t>s62(1)(a)</w:t>
              </w:r>
            </w:hyperlink>
          </w:p>
          <w:p w14:paraId="15F716B3" w14:textId="6033761A" w:rsidR="00BC2D34" w:rsidRPr="00F73B77" w:rsidRDefault="00BC2D34" w:rsidP="00F839DB">
            <w:pPr>
              <w:pStyle w:val="ListParagraph"/>
              <w:numPr>
                <w:ilvl w:val="0"/>
                <w:numId w:val="165"/>
              </w:numPr>
              <w:spacing w:after="60"/>
              <w:contextualSpacing/>
              <w:rPr>
                <w:rFonts w:eastAsia="Calibri" w:cs="Arial"/>
                <w:sz w:val="14"/>
                <w:szCs w:val="14"/>
                <w:lang w:eastAsia="en-US"/>
              </w:rPr>
            </w:pPr>
            <w:r w:rsidRPr="00F73B77">
              <w:rPr>
                <w:rFonts w:eastAsia="Calibri" w:cs="Arial"/>
                <w:sz w:val="14"/>
                <w:szCs w:val="14"/>
                <w:lang w:eastAsia="en-US"/>
              </w:rPr>
              <w:t>Reasonable cost of counselling services</w:t>
            </w:r>
            <w:r w:rsidR="00DD0D68">
              <w:rPr>
                <w:rFonts w:eastAsia="Calibri" w:cs="Arial"/>
                <w:sz w:val="14"/>
                <w:szCs w:val="14"/>
                <w:lang w:eastAsia="en-US"/>
              </w:rPr>
              <w:t xml:space="preserve"> </w:t>
            </w:r>
            <w:r w:rsidRPr="00F73B77">
              <w:rPr>
                <w:rFonts w:eastAsia="Calibri" w:cs="Arial"/>
                <w:sz w:val="14"/>
                <w:szCs w:val="14"/>
                <w:lang w:eastAsia="en-US"/>
              </w:rPr>
              <w:t xml:space="preserve">&amp; financial advice for dependants </w:t>
            </w:r>
            <w:r w:rsidR="000B7577">
              <w:rPr>
                <w:rFonts w:eastAsia="Calibri" w:cs="Arial"/>
                <w:sz w:val="14"/>
                <w:szCs w:val="14"/>
                <w:lang w:eastAsia="en-US"/>
              </w:rPr>
              <w:t>—</w:t>
            </w:r>
            <w:r w:rsidR="000B7577" w:rsidRPr="00F73B77">
              <w:rPr>
                <w:rFonts w:eastAsia="Calibri" w:cs="Arial"/>
                <w:sz w:val="14"/>
                <w:szCs w:val="14"/>
                <w:lang w:eastAsia="en-US"/>
              </w:rPr>
              <w:t xml:space="preserve"> </w:t>
            </w:r>
            <w:hyperlink r:id="rId1276" w:history="1">
              <w:r w:rsidRPr="00611FE4">
                <w:rPr>
                  <w:rStyle w:val="Hyperlink"/>
                  <w:rFonts w:eastAsia="Calibri" w:cs="Arial"/>
                  <w:sz w:val="14"/>
                  <w:szCs w:val="14"/>
                  <w:lang w:eastAsia="en-US"/>
                </w:rPr>
                <w:t>s62(1)(c)</w:t>
              </w:r>
            </w:hyperlink>
            <w:r w:rsidR="00E13D9F">
              <w:rPr>
                <w:rFonts w:eastAsia="Calibri" w:cs="Arial"/>
                <w:sz w:val="14"/>
                <w:szCs w:val="14"/>
                <w:lang w:eastAsia="en-US"/>
              </w:rPr>
              <w:t>.</w:t>
            </w:r>
          </w:p>
        </w:tc>
      </w:tr>
      <w:tr w:rsidR="00BC2D34" w:rsidRPr="00BC2D34" w14:paraId="383EE553" w14:textId="77777777" w:rsidTr="00B2173F">
        <w:tc>
          <w:tcPr>
            <w:tcW w:w="1626" w:type="dxa"/>
            <w:tcMar>
              <w:top w:w="80" w:type="dxa"/>
              <w:left w:w="80" w:type="dxa"/>
              <w:bottom w:w="80" w:type="dxa"/>
              <w:right w:w="80" w:type="dxa"/>
            </w:tcMar>
          </w:tcPr>
          <w:p w14:paraId="69E902AE"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Australian Capital Territory</w:t>
            </w:r>
          </w:p>
        </w:tc>
        <w:tc>
          <w:tcPr>
            <w:tcW w:w="4598" w:type="dxa"/>
            <w:tcMar>
              <w:top w:w="80" w:type="dxa"/>
              <w:left w:w="80" w:type="dxa"/>
              <w:bottom w:w="80" w:type="dxa"/>
              <w:right w:w="80" w:type="dxa"/>
            </w:tcMar>
          </w:tcPr>
          <w:p w14:paraId="2B18C40C" w14:textId="4CE0E28C" w:rsidR="00BC2D34" w:rsidRPr="00BC2D34" w:rsidRDefault="00BC2D34" w:rsidP="00062787">
            <w:pPr>
              <w:spacing w:after="60"/>
              <w:rPr>
                <w:rFonts w:cs="Arial"/>
                <w:color w:val="000000"/>
                <w:sz w:val="14"/>
                <w:szCs w:val="16"/>
                <w:lang w:val="en-GB"/>
              </w:rPr>
            </w:pPr>
            <w:r w:rsidRPr="00BC2D34">
              <w:rPr>
                <w:rFonts w:cs="Arial"/>
                <w:color w:val="000000"/>
                <w:sz w:val="14"/>
                <w:szCs w:val="16"/>
                <w:lang w:val="en-GB"/>
              </w:rPr>
              <w:t>$</w:t>
            </w:r>
            <w:r w:rsidR="00062787">
              <w:rPr>
                <w:rFonts w:cs="Arial"/>
                <w:color w:val="000000"/>
                <w:sz w:val="14"/>
                <w:szCs w:val="16"/>
                <w:lang w:val="en-GB"/>
              </w:rPr>
              <w:t>216,335</w:t>
            </w:r>
            <w:r w:rsidRPr="00BC2D34">
              <w:rPr>
                <w:rFonts w:cs="Arial"/>
                <w:color w:val="000000"/>
                <w:sz w:val="14"/>
                <w:szCs w:val="16"/>
                <w:lang w:val="en-GB"/>
              </w:rPr>
              <w:t xml:space="preserve"> (September 201</w:t>
            </w:r>
            <w:r w:rsidR="00062787">
              <w:rPr>
                <w:rFonts w:cs="Arial"/>
                <w:color w:val="000000"/>
                <w:sz w:val="14"/>
                <w:szCs w:val="16"/>
                <w:lang w:val="en-GB"/>
              </w:rPr>
              <w:t>7</w:t>
            </w:r>
            <w:r w:rsidRPr="00BC2D34">
              <w:rPr>
                <w:rFonts w:cs="Arial"/>
                <w:color w:val="000000"/>
                <w:sz w:val="14"/>
                <w:szCs w:val="16"/>
                <w:lang w:val="en-GB"/>
              </w:rPr>
              <w:t xml:space="preserve">) CPI indexed (to be divided between the dependants — </w:t>
            </w:r>
            <w:hyperlink r:id="rId1277" w:history="1">
              <w:r w:rsidRPr="00BB65AB">
                <w:rPr>
                  <w:rStyle w:val="Hyperlink"/>
                  <w:rFonts w:cs="Arial"/>
                  <w:sz w:val="14"/>
                  <w:szCs w:val="16"/>
                  <w:lang w:val="en-GB"/>
                </w:rPr>
                <w:t>s77(2)</w:t>
              </w:r>
            </w:hyperlink>
            <w:r w:rsidR="00BB65AB">
              <w:rPr>
                <w:rFonts w:cs="Arial"/>
                <w:color w:val="000000"/>
                <w:sz w:val="14"/>
                <w:szCs w:val="16"/>
                <w:lang w:val="en-GB"/>
              </w:rPr>
              <w:t xml:space="preserve">, </w:t>
            </w:r>
            <w:r w:rsidR="00BB65AB" w:rsidRPr="00016069">
              <w:rPr>
                <w:i/>
                <w:sz w:val="14"/>
              </w:rPr>
              <w:t>Workers Compensation Act 1951</w:t>
            </w:r>
          </w:p>
        </w:tc>
        <w:tc>
          <w:tcPr>
            <w:tcW w:w="4598" w:type="dxa"/>
            <w:tcMar>
              <w:top w:w="80" w:type="dxa"/>
              <w:left w:w="80" w:type="dxa"/>
              <w:bottom w:w="80" w:type="dxa"/>
              <w:right w:w="80" w:type="dxa"/>
            </w:tcMar>
          </w:tcPr>
          <w:p w14:paraId="7025DD58" w14:textId="775FF7DE" w:rsidR="00BC2D34" w:rsidRPr="00BC2D34" w:rsidRDefault="00BC2D34" w:rsidP="00062787">
            <w:pPr>
              <w:spacing w:after="60"/>
              <w:rPr>
                <w:rFonts w:cs="Arial"/>
                <w:color w:val="000000"/>
                <w:sz w:val="14"/>
                <w:szCs w:val="16"/>
                <w:lang w:val="en-GB"/>
              </w:rPr>
            </w:pPr>
            <w:r w:rsidRPr="00BC2D34">
              <w:rPr>
                <w:rFonts w:cs="Arial"/>
                <w:color w:val="000000"/>
                <w:sz w:val="14"/>
                <w:szCs w:val="16"/>
                <w:lang w:val="en-GB"/>
              </w:rPr>
              <w:t>$7</w:t>
            </w:r>
            <w:r w:rsidR="00062787">
              <w:rPr>
                <w:rFonts w:cs="Arial"/>
                <w:color w:val="000000"/>
                <w:sz w:val="14"/>
                <w:szCs w:val="16"/>
                <w:lang w:val="en-GB"/>
              </w:rPr>
              <w:t>2.11</w:t>
            </w:r>
            <w:r w:rsidRPr="00BC2D34">
              <w:rPr>
                <w:rFonts w:cs="Arial"/>
                <w:color w:val="000000"/>
                <w:sz w:val="14"/>
                <w:szCs w:val="16"/>
                <w:lang w:val="en-GB"/>
              </w:rPr>
              <w:t xml:space="preserve"> per child, CPI indexed — </w:t>
            </w:r>
            <w:hyperlink r:id="rId1278" w:history="1">
              <w:r w:rsidRPr="00BB65AB">
                <w:rPr>
                  <w:rStyle w:val="Hyperlink"/>
                  <w:rFonts w:cs="Arial"/>
                  <w:sz w:val="14"/>
                  <w:szCs w:val="16"/>
                  <w:lang w:val="en-GB"/>
                </w:rPr>
                <w:t>s77(2)</w:t>
              </w:r>
            </w:hyperlink>
          </w:p>
        </w:tc>
        <w:tc>
          <w:tcPr>
            <w:tcW w:w="4599" w:type="dxa"/>
            <w:tcMar>
              <w:top w:w="80" w:type="dxa"/>
              <w:left w:w="80" w:type="dxa"/>
              <w:bottom w:w="80" w:type="dxa"/>
              <w:right w:w="80" w:type="dxa"/>
            </w:tcMar>
          </w:tcPr>
          <w:p w14:paraId="77A962C4" w14:textId="39BC985F" w:rsidR="00BC2D34" w:rsidRPr="00BC2D34" w:rsidRDefault="00BC2D34" w:rsidP="00062787">
            <w:pPr>
              <w:spacing w:after="60"/>
              <w:rPr>
                <w:rFonts w:cs="Arial"/>
                <w:color w:val="000000"/>
                <w:sz w:val="14"/>
                <w:szCs w:val="16"/>
                <w:lang w:val="en-GB"/>
              </w:rPr>
            </w:pPr>
            <w:r w:rsidRPr="00BC2D34">
              <w:rPr>
                <w:rFonts w:cs="Arial"/>
                <w:color w:val="000000"/>
                <w:sz w:val="14"/>
                <w:szCs w:val="16"/>
                <w:lang w:val="en-GB"/>
              </w:rPr>
              <w:t>$</w:t>
            </w:r>
            <w:r w:rsidR="00062787">
              <w:rPr>
                <w:rFonts w:cs="Arial"/>
                <w:color w:val="000000"/>
                <w:sz w:val="14"/>
                <w:szCs w:val="16"/>
                <w:lang w:val="en-GB"/>
              </w:rPr>
              <w:t>5,768.92</w:t>
            </w:r>
            <w:r w:rsidRPr="00BC2D34">
              <w:rPr>
                <w:rFonts w:cs="Arial"/>
                <w:color w:val="000000"/>
                <w:sz w:val="14"/>
                <w:szCs w:val="16"/>
                <w:lang w:val="en-GB"/>
              </w:rPr>
              <w:t xml:space="preserve"> CPI indexed for funeral expenses</w:t>
            </w:r>
            <w:r w:rsidR="00A41653">
              <w:rPr>
                <w:rFonts w:cs="Arial"/>
                <w:color w:val="000000"/>
                <w:sz w:val="14"/>
                <w:szCs w:val="16"/>
                <w:lang w:val="en-GB"/>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cs="Arial"/>
                <w:color w:val="000000"/>
                <w:sz w:val="14"/>
                <w:szCs w:val="16"/>
                <w:lang w:val="en-GB"/>
              </w:rPr>
              <w:fldChar w:fldCharType="end"/>
            </w:r>
            <w:r w:rsidRPr="00BC2D34">
              <w:rPr>
                <w:rFonts w:cs="Arial"/>
                <w:color w:val="000000"/>
                <w:sz w:val="14"/>
                <w:szCs w:val="16"/>
                <w:lang w:val="en-GB"/>
              </w:rPr>
              <w:t xml:space="preserve"> — </w:t>
            </w:r>
            <w:hyperlink r:id="rId1279" w:history="1">
              <w:r w:rsidRPr="00BB65AB">
                <w:rPr>
                  <w:rStyle w:val="Hyperlink"/>
                  <w:rFonts w:cs="Arial"/>
                  <w:sz w:val="14"/>
                  <w:szCs w:val="16"/>
                  <w:lang w:val="en-GB"/>
                </w:rPr>
                <w:t>s77(2)</w:t>
              </w:r>
            </w:hyperlink>
          </w:p>
        </w:tc>
      </w:tr>
      <w:tr w:rsidR="00BC2D34" w:rsidRPr="00BC2D34" w14:paraId="571406BA" w14:textId="77777777" w:rsidTr="00B2173F">
        <w:tc>
          <w:tcPr>
            <w:tcW w:w="1626" w:type="dxa"/>
            <w:shd w:val="clear" w:color="auto" w:fill="FFC9C9"/>
            <w:tcMar>
              <w:top w:w="80" w:type="dxa"/>
              <w:left w:w="80" w:type="dxa"/>
              <w:bottom w:w="80" w:type="dxa"/>
              <w:right w:w="80" w:type="dxa"/>
            </w:tcMar>
          </w:tcPr>
          <w:p w14:paraId="5FF07F30"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C’wealth Comcare</w:t>
            </w:r>
          </w:p>
        </w:tc>
        <w:tc>
          <w:tcPr>
            <w:tcW w:w="4598" w:type="dxa"/>
            <w:shd w:val="clear" w:color="auto" w:fill="FFC9C9"/>
            <w:tcMar>
              <w:top w:w="80" w:type="dxa"/>
              <w:left w:w="80" w:type="dxa"/>
              <w:bottom w:w="80" w:type="dxa"/>
              <w:right w:w="80" w:type="dxa"/>
            </w:tcMar>
          </w:tcPr>
          <w:p w14:paraId="284C2CB4" w14:textId="0B253C1C" w:rsidR="00BC2D34" w:rsidRPr="00BC2D34" w:rsidRDefault="00BC2D34" w:rsidP="005C3BDF">
            <w:pPr>
              <w:spacing w:after="60"/>
              <w:rPr>
                <w:rFonts w:cs="Arial"/>
                <w:color w:val="000000"/>
                <w:sz w:val="14"/>
                <w:szCs w:val="16"/>
                <w:lang w:val="en-GB"/>
              </w:rPr>
            </w:pPr>
            <w:r w:rsidRPr="00BC2D34">
              <w:rPr>
                <w:rFonts w:cs="Arial"/>
                <w:color w:val="000000"/>
                <w:sz w:val="14"/>
                <w:szCs w:val="16"/>
                <w:lang w:val="en-GB"/>
              </w:rPr>
              <w:t>$</w:t>
            </w:r>
            <w:r w:rsidR="005C3BDF">
              <w:rPr>
                <w:rFonts w:cs="Arial"/>
                <w:color w:val="000000"/>
                <w:sz w:val="14"/>
                <w:szCs w:val="16"/>
                <w:lang w:val="en-GB"/>
              </w:rPr>
              <w:t>539,002.37</w:t>
            </w:r>
            <w:r w:rsidRPr="00BC2D34">
              <w:rPr>
                <w:rFonts w:cs="Arial"/>
                <w:color w:val="000000"/>
                <w:sz w:val="14"/>
                <w:szCs w:val="16"/>
                <w:lang w:val="en-GB"/>
              </w:rPr>
              <w:t xml:space="preserve"> — </w:t>
            </w:r>
            <w:hyperlink r:id="rId1280" w:history="1">
              <w:r w:rsidRPr="00BB65AB">
                <w:rPr>
                  <w:rStyle w:val="Hyperlink"/>
                  <w:rFonts w:cs="Arial"/>
                  <w:sz w:val="14"/>
                  <w:szCs w:val="16"/>
                  <w:lang w:val="en-GB"/>
                </w:rPr>
                <w:t>s17(3)</w:t>
              </w:r>
            </w:hyperlink>
            <w:r w:rsidRPr="00BC2D34">
              <w:rPr>
                <w:rFonts w:cs="Arial"/>
                <w:color w:val="000000"/>
                <w:sz w:val="14"/>
                <w:szCs w:val="16"/>
                <w:lang w:val="en-GB"/>
              </w:rPr>
              <w:t xml:space="preserve"> and </w:t>
            </w:r>
            <w:hyperlink r:id="rId1281" w:history="1">
              <w:r w:rsidRPr="00BB65AB">
                <w:rPr>
                  <w:rStyle w:val="Hyperlink"/>
                  <w:rFonts w:cs="Arial"/>
                  <w:sz w:val="14"/>
                  <w:szCs w:val="16"/>
                  <w:lang w:val="en-GB"/>
                </w:rPr>
                <w:t>s17(4)</w:t>
              </w:r>
            </w:hyperlink>
            <w:r w:rsidR="00BB65AB">
              <w:rPr>
                <w:rFonts w:cs="Arial"/>
                <w:color w:val="000000"/>
                <w:sz w:val="14"/>
                <w:szCs w:val="16"/>
                <w:lang w:val="en-GB"/>
              </w:rPr>
              <w:t xml:space="preserve">, </w:t>
            </w:r>
            <w:r w:rsidR="00BB65AB" w:rsidRPr="00016069">
              <w:rPr>
                <w:i/>
                <w:sz w:val="14"/>
              </w:rPr>
              <w:t>Safety, Rehabilitation and Compensation Act 1988</w:t>
            </w:r>
          </w:p>
        </w:tc>
        <w:tc>
          <w:tcPr>
            <w:tcW w:w="4598" w:type="dxa"/>
            <w:shd w:val="clear" w:color="auto" w:fill="FFC9C9"/>
            <w:tcMar>
              <w:top w:w="80" w:type="dxa"/>
              <w:left w:w="80" w:type="dxa"/>
              <w:bottom w:w="80" w:type="dxa"/>
              <w:right w:w="80" w:type="dxa"/>
            </w:tcMar>
          </w:tcPr>
          <w:p w14:paraId="0D5BCE2F" w14:textId="78A2B81B" w:rsidR="00BC2D34" w:rsidRPr="00BC2D34" w:rsidRDefault="00BC2D34" w:rsidP="005C3BDF">
            <w:pPr>
              <w:spacing w:after="60"/>
              <w:rPr>
                <w:rFonts w:cs="Arial"/>
                <w:color w:val="000000"/>
                <w:sz w:val="14"/>
                <w:szCs w:val="16"/>
                <w:lang w:val="en-GB"/>
              </w:rPr>
            </w:pPr>
            <w:r w:rsidRPr="00BC2D34">
              <w:rPr>
                <w:rFonts w:cs="Arial"/>
                <w:color w:val="000000"/>
                <w:sz w:val="14"/>
                <w:szCs w:val="16"/>
                <w:lang w:val="en-GB"/>
              </w:rPr>
              <w:t>$</w:t>
            </w:r>
            <w:r w:rsidR="005C3BDF">
              <w:rPr>
                <w:rFonts w:cs="Arial"/>
                <w:color w:val="000000"/>
                <w:sz w:val="14"/>
                <w:szCs w:val="16"/>
                <w:lang w:val="en-GB"/>
              </w:rPr>
              <w:t>148.23</w:t>
            </w:r>
            <w:r w:rsidRPr="00BC2D34">
              <w:rPr>
                <w:rFonts w:cs="Arial"/>
                <w:color w:val="000000"/>
                <w:sz w:val="14"/>
                <w:szCs w:val="16"/>
                <w:lang w:val="en-GB"/>
              </w:rPr>
              <w:t xml:space="preserve"> p/w to each child under 16 (or 25 if full-time student) — </w:t>
            </w:r>
            <w:hyperlink r:id="rId1282" w:history="1">
              <w:r w:rsidRPr="00BB65AB">
                <w:rPr>
                  <w:rStyle w:val="Hyperlink"/>
                  <w:rFonts w:cs="Arial"/>
                  <w:sz w:val="14"/>
                  <w:szCs w:val="16"/>
                  <w:lang w:val="en-GB"/>
                </w:rPr>
                <w:t>s17(5)</w:t>
              </w:r>
            </w:hyperlink>
          </w:p>
        </w:tc>
        <w:tc>
          <w:tcPr>
            <w:tcW w:w="4599" w:type="dxa"/>
            <w:shd w:val="clear" w:color="auto" w:fill="FFC9C9"/>
            <w:tcMar>
              <w:top w:w="80" w:type="dxa"/>
              <w:left w:w="80" w:type="dxa"/>
              <w:bottom w:w="80" w:type="dxa"/>
              <w:right w:w="80" w:type="dxa"/>
            </w:tcMar>
          </w:tcPr>
          <w:p w14:paraId="16019DEB" w14:textId="565E1A03"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Reasonable funeral expenses</w:t>
            </w:r>
            <w:r w:rsidR="00A41653">
              <w:rPr>
                <w:rFonts w:cs="Arial"/>
                <w:color w:val="000000"/>
                <w:sz w:val="14"/>
                <w:szCs w:val="16"/>
                <w:lang w:val="en-GB"/>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cs="Arial"/>
                <w:color w:val="000000"/>
                <w:sz w:val="14"/>
                <w:szCs w:val="16"/>
                <w:lang w:val="en-GB"/>
              </w:rPr>
              <w:fldChar w:fldCharType="end"/>
            </w:r>
            <w:r w:rsidRPr="00BC2D34">
              <w:rPr>
                <w:rFonts w:cs="Arial"/>
                <w:color w:val="000000"/>
                <w:sz w:val="14"/>
                <w:szCs w:val="16"/>
                <w:lang w:val="en-GB"/>
              </w:rPr>
              <w:t>, not exceeding $</w:t>
            </w:r>
            <w:r w:rsidR="005C3BDF">
              <w:rPr>
                <w:rFonts w:cs="Arial"/>
                <w:color w:val="000000"/>
                <w:sz w:val="14"/>
                <w:szCs w:val="16"/>
                <w:lang w:val="en-GB"/>
              </w:rPr>
              <w:t>11,828.87</w:t>
            </w:r>
            <w:r w:rsidRPr="00BC2D34">
              <w:rPr>
                <w:rFonts w:cs="Arial"/>
                <w:color w:val="000000"/>
                <w:sz w:val="14"/>
                <w:szCs w:val="16"/>
                <w:lang w:val="en-GB"/>
              </w:rPr>
              <w:t xml:space="preserve"> — </w:t>
            </w:r>
            <w:hyperlink r:id="rId1283" w:history="1">
              <w:r w:rsidRPr="00BB65AB">
                <w:rPr>
                  <w:rStyle w:val="Hyperlink"/>
                  <w:rFonts w:cs="Arial"/>
                  <w:sz w:val="14"/>
                  <w:szCs w:val="16"/>
                  <w:lang w:val="en-GB"/>
                </w:rPr>
                <w:t>s18(4)</w:t>
              </w:r>
            </w:hyperlink>
          </w:p>
        </w:tc>
      </w:tr>
      <w:tr w:rsidR="00BC2D34" w:rsidRPr="00BC2D34" w14:paraId="3D0FED53" w14:textId="77777777" w:rsidTr="00B2173F">
        <w:tc>
          <w:tcPr>
            <w:tcW w:w="1626" w:type="dxa"/>
            <w:tcMar>
              <w:top w:w="80" w:type="dxa"/>
              <w:left w:w="80" w:type="dxa"/>
              <w:bottom w:w="80" w:type="dxa"/>
              <w:right w:w="80" w:type="dxa"/>
            </w:tcMar>
          </w:tcPr>
          <w:p w14:paraId="3652FCEA"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C’wealth Seacare</w:t>
            </w:r>
          </w:p>
        </w:tc>
        <w:tc>
          <w:tcPr>
            <w:tcW w:w="4598" w:type="dxa"/>
            <w:tcMar>
              <w:top w:w="80" w:type="dxa"/>
              <w:left w:w="80" w:type="dxa"/>
              <w:bottom w:w="80" w:type="dxa"/>
              <w:right w:w="80" w:type="dxa"/>
            </w:tcMar>
          </w:tcPr>
          <w:p w14:paraId="28BD73B4" w14:textId="5133F353" w:rsidR="00BC2D34" w:rsidRPr="00BC2D34" w:rsidRDefault="00BC2D34" w:rsidP="005C3BDF">
            <w:pPr>
              <w:spacing w:after="60"/>
              <w:rPr>
                <w:rFonts w:cs="Arial"/>
                <w:color w:val="000000"/>
                <w:sz w:val="14"/>
                <w:szCs w:val="16"/>
                <w:lang w:val="en-GB"/>
              </w:rPr>
            </w:pPr>
            <w:r w:rsidRPr="00BC2D34">
              <w:rPr>
                <w:rFonts w:cs="Arial"/>
                <w:color w:val="000000"/>
                <w:sz w:val="14"/>
                <w:szCs w:val="16"/>
                <w:lang w:val="en-GB"/>
              </w:rPr>
              <w:t>$</w:t>
            </w:r>
            <w:r w:rsidR="005C3BDF">
              <w:rPr>
                <w:rFonts w:cs="Arial"/>
                <w:color w:val="000000"/>
                <w:sz w:val="14"/>
                <w:szCs w:val="16"/>
                <w:lang w:val="en-GB"/>
              </w:rPr>
              <w:t>539,002.37</w:t>
            </w:r>
            <w:r w:rsidRPr="00BC2D34">
              <w:rPr>
                <w:rFonts w:cs="Arial"/>
                <w:color w:val="000000"/>
                <w:sz w:val="14"/>
                <w:szCs w:val="16"/>
                <w:lang w:val="en-GB"/>
              </w:rPr>
              <w:t xml:space="preserve"> — </w:t>
            </w:r>
            <w:hyperlink r:id="rId1284" w:history="1">
              <w:r w:rsidRPr="00BB65AB">
                <w:rPr>
                  <w:rStyle w:val="Hyperlink"/>
                  <w:rFonts w:cs="Arial"/>
                  <w:sz w:val="14"/>
                  <w:szCs w:val="16"/>
                  <w:lang w:val="en-GB"/>
                </w:rPr>
                <w:t>s29(3)</w:t>
              </w:r>
            </w:hyperlink>
            <w:r w:rsidRPr="00BC2D34">
              <w:rPr>
                <w:rFonts w:cs="Arial"/>
                <w:color w:val="000000"/>
                <w:sz w:val="14"/>
                <w:szCs w:val="16"/>
                <w:lang w:val="en-GB"/>
              </w:rPr>
              <w:t xml:space="preserve"> and </w:t>
            </w:r>
            <w:hyperlink r:id="rId1285" w:history="1">
              <w:r w:rsidRPr="00BB65AB">
                <w:rPr>
                  <w:rStyle w:val="Hyperlink"/>
                  <w:rFonts w:cs="Arial"/>
                  <w:sz w:val="14"/>
                  <w:szCs w:val="16"/>
                  <w:lang w:val="en-GB"/>
                </w:rPr>
                <w:t>s29</w:t>
              </w:r>
              <w:r w:rsidR="002C086D" w:rsidRPr="00BB65AB">
                <w:rPr>
                  <w:rStyle w:val="Hyperlink"/>
                  <w:rFonts w:cs="Arial"/>
                  <w:sz w:val="14"/>
                  <w:szCs w:val="16"/>
                  <w:lang w:val="en-GB"/>
                </w:rPr>
                <w:t>(4)</w:t>
              </w:r>
            </w:hyperlink>
            <w:r w:rsidR="00BB65AB">
              <w:rPr>
                <w:rFonts w:cs="Arial"/>
                <w:color w:val="000000"/>
                <w:sz w:val="14"/>
                <w:szCs w:val="16"/>
                <w:lang w:val="en-GB"/>
              </w:rPr>
              <w:t xml:space="preserve">, </w:t>
            </w:r>
            <w:r w:rsidR="00BB65AB" w:rsidRPr="00016069">
              <w:rPr>
                <w:i/>
                <w:sz w:val="14"/>
              </w:rPr>
              <w:t>Seafarers Rehabilitation and Compensation Act 1992</w:t>
            </w:r>
          </w:p>
        </w:tc>
        <w:tc>
          <w:tcPr>
            <w:tcW w:w="4598" w:type="dxa"/>
            <w:tcMar>
              <w:top w:w="80" w:type="dxa"/>
              <w:left w:w="80" w:type="dxa"/>
              <w:bottom w:w="80" w:type="dxa"/>
              <w:right w:w="80" w:type="dxa"/>
            </w:tcMar>
          </w:tcPr>
          <w:p w14:paraId="070C79F0" w14:textId="755F919D"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w:t>
            </w:r>
            <w:r w:rsidR="005C3BDF">
              <w:rPr>
                <w:rFonts w:cs="Arial"/>
                <w:color w:val="000000"/>
                <w:sz w:val="14"/>
                <w:szCs w:val="16"/>
                <w:lang w:val="en-GB"/>
              </w:rPr>
              <w:t>148.23</w:t>
            </w:r>
            <w:r w:rsidRPr="00BC2D34">
              <w:rPr>
                <w:rFonts w:cs="Arial"/>
                <w:color w:val="000000"/>
                <w:sz w:val="14"/>
                <w:szCs w:val="16"/>
                <w:lang w:val="en-GB"/>
              </w:rPr>
              <w:t xml:space="preserve"> per week to each child under 16 (or 25</w:t>
            </w:r>
            <w:r w:rsidR="002C086D">
              <w:rPr>
                <w:rFonts w:cs="Arial"/>
                <w:color w:val="000000"/>
                <w:sz w:val="14"/>
                <w:szCs w:val="16"/>
                <w:lang w:val="en-GB"/>
              </w:rPr>
              <w:t xml:space="preserve"> if full-time student) — </w:t>
            </w:r>
            <w:hyperlink r:id="rId1286" w:history="1">
              <w:r w:rsidR="002C086D" w:rsidRPr="00BB65AB">
                <w:rPr>
                  <w:rStyle w:val="Hyperlink"/>
                  <w:rFonts w:cs="Arial"/>
                  <w:sz w:val="14"/>
                  <w:szCs w:val="16"/>
                  <w:lang w:val="en-GB"/>
                </w:rPr>
                <w:t>s29(5)</w:t>
              </w:r>
            </w:hyperlink>
          </w:p>
        </w:tc>
        <w:tc>
          <w:tcPr>
            <w:tcW w:w="4599" w:type="dxa"/>
            <w:tcMar>
              <w:top w:w="80" w:type="dxa"/>
              <w:left w:w="80" w:type="dxa"/>
              <w:bottom w:w="80" w:type="dxa"/>
              <w:right w:w="80" w:type="dxa"/>
            </w:tcMar>
          </w:tcPr>
          <w:p w14:paraId="04AEB2D9" w14:textId="2CFEC592"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Reasonable funeral expenses</w:t>
            </w:r>
            <w:r w:rsidR="00A41653">
              <w:rPr>
                <w:rFonts w:cs="Arial"/>
                <w:color w:val="000000"/>
                <w:sz w:val="14"/>
                <w:szCs w:val="16"/>
                <w:lang w:val="en-GB"/>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cs="Arial"/>
                <w:color w:val="000000"/>
                <w:sz w:val="14"/>
                <w:szCs w:val="16"/>
                <w:lang w:val="en-GB"/>
              </w:rPr>
              <w:fldChar w:fldCharType="end"/>
            </w:r>
            <w:r w:rsidRPr="00BC2D34">
              <w:rPr>
                <w:rFonts w:cs="Arial"/>
                <w:color w:val="000000"/>
                <w:sz w:val="14"/>
                <w:szCs w:val="16"/>
                <w:lang w:val="en-GB"/>
              </w:rPr>
              <w:t>, not exceeding $</w:t>
            </w:r>
            <w:r w:rsidR="005C3BDF">
              <w:rPr>
                <w:rFonts w:cs="Arial"/>
                <w:color w:val="000000"/>
                <w:sz w:val="14"/>
                <w:szCs w:val="16"/>
                <w:lang w:val="en-GB"/>
              </w:rPr>
              <w:t>6,432.81</w:t>
            </w:r>
            <w:r w:rsidRPr="00BC2D34">
              <w:rPr>
                <w:rFonts w:cs="Arial"/>
                <w:color w:val="000000"/>
                <w:sz w:val="14"/>
                <w:szCs w:val="16"/>
                <w:lang w:val="en-GB"/>
              </w:rPr>
              <w:t xml:space="preserve"> — </w:t>
            </w:r>
            <w:hyperlink r:id="rId1287" w:history="1">
              <w:r w:rsidRPr="00BB65AB">
                <w:rPr>
                  <w:rStyle w:val="Hyperlink"/>
                  <w:rFonts w:cs="Arial"/>
                  <w:sz w:val="14"/>
                  <w:szCs w:val="16"/>
                  <w:lang w:val="en-GB"/>
                </w:rPr>
                <w:t>s30(2)</w:t>
              </w:r>
            </w:hyperlink>
          </w:p>
        </w:tc>
      </w:tr>
      <w:tr w:rsidR="00BC2D34" w:rsidRPr="00BC2D34" w14:paraId="7511A55A" w14:textId="77777777" w:rsidTr="00B2173F">
        <w:tc>
          <w:tcPr>
            <w:tcW w:w="1626" w:type="dxa"/>
            <w:shd w:val="clear" w:color="auto" w:fill="FFC9C9"/>
            <w:tcMar>
              <w:top w:w="80" w:type="dxa"/>
              <w:left w:w="80" w:type="dxa"/>
              <w:bottom w:w="80" w:type="dxa"/>
              <w:right w:w="80" w:type="dxa"/>
            </w:tcMar>
          </w:tcPr>
          <w:p w14:paraId="27104F5D"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C’wealth DVA</w:t>
            </w:r>
          </w:p>
        </w:tc>
        <w:tc>
          <w:tcPr>
            <w:tcW w:w="4598" w:type="dxa"/>
            <w:shd w:val="clear" w:color="auto" w:fill="FFC9C9"/>
            <w:tcMar>
              <w:top w:w="80" w:type="dxa"/>
              <w:left w:w="80" w:type="dxa"/>
              <w:bottom w:w="80" w:type="dxa"/>
              <w:right w:w="80" w:type="dxa"/>
            </w:tcMar>
          </w:tcPr>
          <w:p w14:paraId="37C15DD4" w14:textId="4E74A127"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$445.65 per week for partner, or equivalent age based lump sum up to a maximum of $753</w:t>
            </w:r>
            <w:r w:rsidR="005F61F1">
              <w:rPr>
                <w:rFonts w:eastAsia="Calibri" w:cs="Arial"/>
                <w:sz w:val="14"/>
                <w:szCs w:val="14"/>
                <w:lang w:eastAsia="en-US"/>
              </w:rPr>
              <w:t>,</w:t>
            </w:r>
            <w:r w:rsidRPr="00F73B77">
              <w:rPr>
                <w:rFonts w:eastAsia="Calibri" w:cs="Arial"/>
                <w:sz w:val="14"/>
                <w:szCs w:val="14"/>
                <w:lang w:eastAsia="en-US"/>
              </w:rPr>
              <w:t xml:space="preserve">193.07 </w:t>
            </w:r>
            <w:r w:rsidR="00A865B6">
              <w:rPr>
                <w:rFonts w:eastAsia="Calibri" w:cs="Arial"/>
                <w:sz w:val="14"/>
                <w:szCs w:val="14"/>
                <w:lang w:eastAsia="en-US"/>
              </w:rPr>
              <w:t>—</w:t>
            </w:r>
            <w:r w:rsidRPr="00F73B77">
              <w:rPr>
                <w:rFonts w:eastAsia="Calibri" w:cs="Arial"/>
                <w:sz w:val="14"/>
                <w:szCs w:val="14"/>
                <w:lang w:eastAsia="en-US"/>
              </w:rPr>
              <w:t xml:space="preserve"> </w:t>
            </w:r>
            <w:r w:rsidR="00BB65AB" w:rsidRPr="0039798F">
              <w:rPr>
                <w:rFonts w:eastAsia="Calibri" w:cs="Arial"/>
                <w:i/>
                <w:sz w:val="14"/>
                <w:szCs w:val="14"/>
                <w:lang w:eastAsia="en-US"/>
              </w:rPr>
              <w:t>Military Rehabilitation and Compensation Act 2004</w:t>
            </w:r>
            <w:r w:rsidR="00BB65AB">
              <w:rPr>
                <w:rFonts w:eastAsia="Calibri" w:cs="Arial"/>
                <w:sz w:val="14"/>
                <w:szCs w:val="14"/>
                <w:lang w:eastAsia="en-US"/>
              </w:rPr>
              <w:t xml:space="preserve"> (</w:t>
            </w:r>
            <w:r w:rsidRPr="00F73B77">
              <w:rPr>
                <w:rFonts w:eastAsia="Calibri" w:cs="Arial"/>
                <w:sz w:val="14"/>
                <w:szCs w:val="14"/>
                <w:lang w:eastAsia="en-US"/>
              </w:rPr>
              <w:t>MRCA</w:t>
            </w:r>
            <w:r w:rsidR="00BB65AB">
              <w:rPr>
                <w:rFonts w:eastAsia="Calibri" w:cs="Arial"/>
                <w:sz w:val="14"/>
                <w:szCs w:val="14"/>
                <w:lang w:eastAsia="en-US"/>
              </w:rPr>
              <w:t>)</w:t>
            </w:r>
            <w:r w:rsidRPr="00F73B77">
              <w:rPr>
                <w:rFonts w:eastAsia="Calibri" w:cs="Arial"/>
                <w:sz w:val="14"/>
                <w:szCs w:val="14"/>
                <w:lang w:eastAsia="en-US"/>
              </w:rPr>
              <w:t xml:space="preserve"> ss2, 3, 4(4) &amp; (5)</w:t>
            </w:r>
          </w:p>
          <w:p w14:paraId="10396CF4" w14:textId="1A84204D"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$144</w:t>
            </w:r>
            <w:r w:rsidR="005F61F1">
              <w:rPr>
                <w:rFonts w:eastAsia="Calibri" w:cs="Arial"/>
                <w:sz w:val="14"/>
                <w:szCs w:val="14"/>
                <w:lang w:eastAsia="en-US"/>
              </w:rPr>
              <w:t>,</w:t>
            </w:r>
            <w:r w:rsidRPr="00F73B77">
              <w:rPr>
                <w:rFonts w:eastAsia="Calibri" w:cs="Arial"/>
                <w:sz w:val="14"/>
                <w:szCs w:val="14"/>
                <w:lang w:eastAsia="en-US"/>
              </w:rPr>
              <w:t>049.60 (age-based maximum additional amount for partner where a service death as defined).</w:t>
            </w:r>
          </w:p>
          <w:p w14:paraId="06158571" w14:textId="245A25C1"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$86</w:t>
            </w:r>
            <w:r w:rsidR="005F61F1">
              <w:rPr>
                <w:rFonts w:eastAsia="Calibri" w:cs="Arial"/>
                <w:sz w:val="14"/>
                <w:szCs w:val="14"/>
                <w:lang w:eastAsia="en-US"/>
              </w:rPr>
              <w:t>,</w:t>
            </w:r>
            <w:r w:rsidRPr="00F73B77">
              <w:rPr>
                <w:rFonts w:eastAsia="Calibri" w:cs="Arial"/>
                <w:sz w:val="14"/>
                <w:szCs w:val="14"/>
                <w:lang w:eastAsia="en-US"/>
              </w:rPr>
              <w:t>429.75 (maximum amount for each ‘other dependant’) to a maximum of $273</w:t>
            </w:r>
            <w:r w:rsidR="005F61F1">
              <w:rPr>
                <w:rFonts w:eastAsia="Calibri" w:cs="Arial"/>
                <w:sz w:val="14"/>
                <w:szCs w:val="14"/>
                <w:lang w:eastAsia="en-US"/>
              </w:rPr>
              <w:t>,</w:t>
            </w:r>
            <w:r w:rsidRPr="00F73B77">
              <w:rPr>
                <w:rFonts w:eastAsia="Calibri" w:cs="Arial"/>
                <w:sz w:val="14"/>
                <w:szCs w:val="14"/>
                <w:lang w:eastAsia="en-US"/>
              </w:rPr>
              <w:t xml:space="preserve">694.24 for all ‘other dependants’ — MRCA </w:t>
            </w:r>
            <w:hyperlink r:id="rId1288" w:history="1">
              <w:r w:rsidRPr="00101DA8">
                <w:rPr>
                  <w:rStyle w:val="Hyperlink"/>
                  <w:rFonts w:eastAsia="Calibri" w:cs="Arial"/>
                  <w:sz w:val="14"/>
                  <w:szCs w:val="14"/>
                  <w:lang w:eastAsia="en-US"/>
                </w:rPr>
                <w:t>s263</w:t>
              </w:r>
            </w:hyperlink>
          </w:p>
          <w:p w14:paraId="02ACE764" w14:textId="06F67240"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$86</w:t>
            </w:r>
            <w:r w:rsidR="005F61F1">
              <w:rPr>
                <w:rFonts w:eastAsia="Calibri" w:cs="Arial"/>
                <w:sz w:val="14"/>
                <w:szCs w:val="14"/>
                <w:lang w:eastAsia="en-US"/>
              </w:rPr>
              <w:t>,</w:t>
            </w:r>
            <w:r w:rsidRPr="00F73B77">
              <w:rPr>
                <w:rFonts w:eastAsia="Calibri" w:cs="Arial"/>
                <w:sz w:val="14"/>
                <w:szCs w:val="14"/>
                <w:lang w:eastAsia="en-US"/>
              </w:rPr>
              <w:t>429.75 for each depend</w:t>
            </w:r>
            <w:r w:rsidR="00A865B6">
              <w:rPr>
                <w:rFonts w:eastAsia="Calibri" w:cs="Arial"/>
                <w:sz w:val="14"/>
                <w:szCs w:val="14"/>
                <w:lang w:eastAsia="en-US"/>
              </w:rPr>
              <w:t>e</w:t>
            </w:r>
            <w:r w:rsidRPr="00F73B77">
              <w:rPr>
                <w:rFonts w:eastAsia="Calibri" w:cs="Arial"/>
                <w:sz w:val="14"/>
                <w:szCs w:val="14"/>
                <w:lang w:eastAsia="en-US"/>
              </w:rPr>
              <w:t xml:space="preserve">nt child — MRCA </w:t>
            </w:r>
            <w:hyperlink r:id="rId1289" w:history="1">
              <w:r w:rsidRPr="00101DA8">
                <w:rPr>
                  <w:rStyle w:val="Hyperlink"/>
                  <w:rFonts w:eastAsia="Calibri" w:cs="Arial"/>
                  <w:sz w:val="14"/>
                  <w:szCs w:val="14"/>
                  <w:lang w:eastAsia="en-US"/>
                </w:rPr>
                <w:t>s252</w:t>
              </w:r>
            </w:hyperlink>
          </w:p>
        </w:tc>
        <w:tc>
          <w:tcPr>
            <w:tcW w:w="4598" w:type="dxa"/>
            <w:shd w:val="clear" w:color="auto" w:fill="FFC9C9"/>
            <w:tcMar>
              <w:top w:w="80" w:type="dxa"/>
              <w:left w:w="80" w:type="dxa"/>
              <w:bottom w:w="80" w:type="dxa"/>
              <w:right w:w="80" w:type="dxa"/>
            </w:tcMar>
          </w:tcPr>
          <w:p w14:paraId="3E35A8AB" w14:textId="6FBEDCD3"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$143.75 a week to each depend</w:t>
            </w:r>
            <w:r w:rsidR="00A865B6">
              <w:rPr>
                <w:rFonts w:eastAsia="Calibri" w:cs="Arial"/>
                <w:sz w:val="14"/>
                <w:szCs w:val="14"/>
                <w:lang w:eastAsia="en-US"/>
              </w:rPr>
              <w:t>e</w:t>
            </w:r>
            <w:r w:rsidRPr="00F73B77">
              <w:rPr>
                <w:rFonts w:eastAsia="Calibri" w:cs="Arial"/>
                <w:sz w:val="14"/>
                <w:szCs w:val="14"/>
                <w:lang w:eastAsia="en-US"/>
              </w:rPr>
              <w:t xml:space="preserve">nt child under 16 (or to age 25 if full-time student) — MRCA </w:t>
            </w:r>
            <w:hyperlink r:id="rId1290" w:history="1">
              <w:r w:rsidRPr="00101DA8">
                <w:rPr>
                  <w:rStyle w:val="Hyperlink"/>
                  <w:rFonts w:eastAsia="Calibri" w:cs="Arial"/>
                  <w:sz w:val="14"/>
                  <w:szCs w:val="14"/>
                  <w:lang w:eastAsia="en-US"/>
                </w:rPr>
                <w:t>s254</w:t>
              </w:r>
            </w:hyperlink>
          </w:p>
          <w:p w14:paraId="2B946A96" w14:textId="69D1C451"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 xml:space="preserve">$3.10 MRCA Supplement per week to the partner and each child </w:t>
            </w:r>
            <w:r w:rsidR="005F61F1">
              <w:rPr>
                <w:rFonts w:eastAsia="Calibri" w:cs="Arial"/>
                <w:sz w:val="14"/>
                <w:szCs w:val="14"/>
                <w:lang w:eastAsia="en-US"/>
              </w:rPr>
              <w:t>—</w:t>
            </w:r>
            <w:r w:rsidR="005F61F1" w:rsidRPr="00F73B77">
              <w:rPr>
                <w:rFonts w:eastAsia="Calibri" w:cs="Arial"/>
                <w:sz w:val="14"/>
                <w:szCs w:val="14"/>
                <w:lang w:eastAsia="en-US"/>
              </w:rPr>
              <w:t xml:space="preserve"> </w:t>
            </w:r>
            <w:r w:rsidRPr="00F73B77">
              <w:rPr>
                <w:rFonts w:eastAsia="Calibri" w:cs="Arial"/>
                <w:sz w:val="14"/>
                <w:szCs w:val="14"/>
                <w:lang w:eastAsia="en-US"/>
              </w:rPr>
              <w:t xml:space="preserve">MRCA </w:t>
            </w:r>
            <w:hyperlink r:id="rId1291" w:history="1">
              <w:r w:rsidRPr="00101DA8">
                <w:rPr>
                  <w:rStyle w:val="Hyperlink"/>
                  <w:rFonts w:eastAsia="Calibri" w:cs="Arial"/>
                  <w:sz w:val="14"/>
                  <w:szCs w:val="14"/>
                  <w:lang w:eastAsia="en-US"/>
                </w:rPr>
                <w:t>s247</w:t>
              </w:r>
            </w:hyperlink>
            <w:r w:rsidRPr="00F73B77">
              <w:rPr>
                <w:rFonts w:eastAsia="Calibri" w:cs="Arial"/>
                <w:sz w:val="14"/>
                <w:szCs w:val="14"/>
                <w:lang w:eastAsia="en-US"/>
              </w:rPr>
              <w:t>. Energy Supplement may also be payable</w:t>
            </w:r>
          </w:p>
        </w:tc>
        <w:tc>
          <w:tcPr>
            <w:tcW w:w="4599" w:type="dxa"/>
            <w:shd w:val="clear" w:color="auto" w:fill="FFC9C9"/>
            <w:tcMar>
              <w:top w:w="80" w:type="dxa"/>
              <w:left w:w="80" w:type="dxa"/>
              <w:bottom w:w="80" w:type="dxa"/>
              <w:right w:w="80" w:type="dxa"/>
            </w:tcMar>
          </w:tcPr>
          <w:p w14:paraId="77C9CB63" w14:textId="1D8687A7"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Reasonable funeral expenses</w:t>
            </w:r>
            <w:r w:rsidR="00A41653">
              <w:rPr>
                <w:rFonts w:eastAsia="Calibri" w:cs="Arial"/>
                <w:sz w:val="14"/>
                <w:szCs w:val="14"/>
                <w:lang w:eastAsia="en-US"/>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eastAsia="Calibri" w:cs="Arial"/>
                <w:sz w:val="14"/>
                <w:szCs w:val="14"/>
                <w:lang w:eastAsia="en-US"/>
              </w:rPr>
              <w:fldChar w:fldCharType="end"/>
            </w:r>
            <w:r w:rsidRPr="00F73B77">
              <w:rPr>
                <w:rFonts w:eastAsia="Calibri" w:cs="Arial"/>
                <w:sz w:val="14"/>
                <w:szCs w:val="14"/>
                <w:lang w:eastAsia="en-US"/>
              </w:rPr>
              <w:t>, not exceeding $11</w:t>
            </w:r>
            <w:r w:rsidR="005F61F1">
              <w:rPr>
                <w:rFonts w:eastAsia="Calibri" w:cs="Arial"/>
                <w:sz w:val="14"/>
                <w:szCs w:val="14"/>
                <w:lang w:eastAsia="en-US"/>
              </w:rPr>
              <w:t>,</w:t>
            </w:r>
            <w:r w:rsidRPr="00F73B77">
              <w:rPr>
                <w:rFonts w:eastAsia="Calibri" w:cs="Arial"/>
                <w:sz w:val="14"/>
                <w:szCs w:val="14"/>
                <w:lang w:eastAsia="en-US"/>
              </w:rPr>
              <w:t xml:space="preserve">654.06 </w:t>
            </w:r>
            <w:r w:rsidR="005F61F1">
              <w:rPr>
                <w:rFonts w:eastAsia="Calibri" w:cs="Arial"/>
                <w:sz w:val="14"/>
                <w:szCs w:val="14"/>
                <w:lang w:eastAsia="en-US"/>
              </w:rPr>
              <w:t>—</w:t>
            </w:r>
            <w:r w:rsidR="005F61F1" w:rsidRPr="00F73B77">
              <w:rPr>
                <w:rFonts w:eastAsia="Calibri" w:cs="Arial"/>
                <w:sz w:val="14"/>
                <w:szCs w:val="14"/>
                <w:lang w:eastAsia="en-US"/>
              </w:rPr>
              <w:t xml:space="preserve"> </w:t>
            </w:r>
            <w:r w:rsidRPr="00F73B77">
              <w:rPr>
                <w:rFonts w:eastAsia="Calibri" w:cs="Arial"/>
                <w:sz w:val="14"/>
                <w:szCs w:val="14"/>
                <w:lang w:eastAsia="en-US"/>
              </w:rPr>
              <w:t xml:space="preserve">MRCA </w:t>
            </w:r>
            <w:hyperlink r:id="rId1292" w:history="1">
              <w:r w:rsidRPr="00101DA8">
                <w:rPr>
                  <w:rStyle w:val="Hyperlink"/>
                  <w:rFonts w:eastAsia="Calibri" w:cs="Arial"/>
                  <w:sz w:val="14"/>
                  <w:szCs w:val="14"/>
                  <w:lang w:eastAsia="en-US"/>
                </w:rPr>
                <w:t>s267</w:t>
              </w:r>
            </w:hyperlink>
          </w:p>
          <w:p w14:paraId="138C9F6F" w14:textId="4B266248"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 xml:space="preserve">Medical treatment for partner and each dependent child </w:t>
            </w:r>
            <w:r w:rsidR="005F61F1">
              <w:rPr>
                <w:rFonts w:eastAsia="Calibri" w:cs="Arial"/>
                <w:sz w:val="14"/>
                <w:szCs w:val="14"/>
                <w:lang w:eastAsia="en-US"/>
              </w:rPr>
              <w:t>—</w:t>
            </w:r>
            <w:r w:rsidR="005F61F1" w:rsidRPr="00F73B77">
              <w:rPr>
                <w:rFonts w:eastAsia="Calibri" w:cs="Arial"/>
                <w:sz w:val="14"/>
                <w:szCs w:val="14"/>
                <w:lang w:eastAsia="en-US"/>
              </w:rPr>
              <w:t xml:space="preserve"> </w:t>
            </w:r>
            <w:r w:rsidRPr="00F73B77">
              <w:rPr>
                <w:rFonts w:eastAsia="Calibri" w:cs="Arial"/>
                <w:sz w:val="14"/>
                <w:szCs w:val="14"/>
                <w:lang w:eastAsia="en-US"/>
              </w:rPr>
              <w:t xml:space="preserve">MRCA </w:t>
            </w:r>
            <w:hyperlink r:id="rId1293" w:history="1">
              <w:r w:rsidRPr="00101DA8">
                <w:rPr>
                  <w:rStyle w:val="Hyperlink"/>
                  <w:rFonts w:eastAsia="Calibri" w:cs="Arial"/>
                  <w:sz w:val="14"/>
                  <w:szCs w:val="14"/>
                  <w:lang w:eastAsia="en-US"/>
                </w:rPr>
                <w:t>ss284</w:t>
              </w:r>
            </w:hyperlink>
            <w:r w:rsidRPr="00F73B77">
              <w:rPr>
                <w:rFonts w:eastAsia="Calibri" w:cs="Arial"/>
                <w:sz w:val="14"/>
                <w:szCs w:val="14"/>
                <w:lang w:eastAsia="en-US"/>
              </w:rPr>
              <w:t xml:space="preserve"> &amp; </w:t>
            </w:r>
            <w:hyperlink r:id="rId1294" w:history="1">
              <w:r w:rsidRPr="00101DA8">
                <w:rPr>
                  <w:rStyle w:val="Hyperlink"/>
                  <w:rFonts w:eastAsia="Calibri" w:cs="Arial"/>
                  <w:sz w:val="14"/>
                  <w:szCs w:val="14"/>
                  <w:lang w:eastAsia="en-US"/>
                </w:rPr>
                <w:t>302</w:t>
              </w:r>
            </w:hyperlink>
            <w:r w:rsidRPr="00F73B77">
              <w:rPr>
                <w:rFonts w:eastAsia="Calibri" w:cs="Arial"/>
                <w:sz w:val="14"/>
                <w:szCs w:val="14"/>
                <w:lang w:eastAsia="en-US"/>
              </w:rPr>
              <w:t>.</w:t>
            </w:r>
          </w:p>
          <w:p w14:paraId="14CD3294" w14:textId="2FECA6E0"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$2</w:t>
            </w:r>
            <w:r w:rsidR="005F61F1">
              <w:rPr>
                <w:rFonts w:eastAsia="Calibri" w:cs="Arial"/>
                <w:sz w:val="14"/>
                <w:szCs w:val="14"/>
                <w:lang w:eastAsia="en-US"/>
              </w:rPr>
              <w:t>,</w:t>
            </w:r>
            <w:r w:rsidRPr="00F73B77">
              <w:rPr>
                <w:rFonts w:eastAsia="Calibri" w:cs="Arial"/>
                <w:sz w:val="14"/>
                <w:szCs w:val="14"/>
                <w:lang w:eastAsia="en-US"/>
              </w:rPr>
              <w:t xml:space="preserve">549.31 financial and legal advice for partner </w:t>
            </w:r>
            <w:r w:rsidR="005F61F1">
              <w:rPr>
                <w:rFonts w:eastAsia="Calibri" w:cs="Arial"/>
                <w:sz w:val="14"/>
                <w:szCs w:val="14"/>
                <w:lang w:eastAsia="en-US"/>
              </w:rPr>
              <w:t>—</w:t>
            </w:r>
            <w:r w:rsidR="005F61F1" w:rsidRPr="00F73B77">
              <w:rPr>
                <w:rFonts w:eastAsia="Calibri" w:cs="Arial"/>
                <w:sz w:val="14"/>
                <w:szCs w:val="14"/>
                <w:lang w:eastAsia="en-US"/>
              </w:rPr>
              <w:t xml:space="preserve"> </w:t>
            </w:r>
            <w:r w:rsidRPr="00F73B77">
              <w:rPr>
                <w:rFonts w:eastAsia="Calibri" w:cs="Arial"/>
                <w:sz w:val="14"/>
                <w:szCs w:val="14"/>
                <w:lang w:eastAsia="en-US"/>
              </w:rPr>
              <w:t xml:space="preserve">MRCA </w:t>
            </w:r>
            <w:hyperlink r:id="rId1295" w:history="1">
              <w:r w:rsidRPr="00101DA8">
                <w:rPr>
                  <w:rStyle w:val="Hyperlink"/>
                  <w:rFonts w:eastAsia="Calibri" w:cs="Arial"/>
                  <w:sz w:val="14"/>
                  <w:szCs w:val="14"/>
                  <w:lang w:eastAsia="en-US"/>
                </w:rPr>
                <w:t>s240</w:t>
              </w:r>
            </w:hyperlink>
          </w:p>
          <w:p w14:paraId="1F1A15A9" w14:textId="0ED6ABA9"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 xml:space="preserve">Children’s education expenses equivalent to Youth Allowance payable in some circumstances </w:t>
            </w:r>
            <w:r w:rsidR="005F61F1">
              <w:rPr>
                <w:rFonts w:eastAsia="Calibri" w:cs="Arial"/>
                <w:sz w:val="14"/>
                <w:szCs w:val="14"/>
                <w:lang w:eastAsia="en-US"/>
              </w:rPr>
              <w:t>—</w:t>
            </w:r>
            <w:r w:rsidR="005F61F1" w:rsidRPr="00F73B77">
              <w:rPr>
                <w:rFonts w:eastAsia="Calibri" w:cs="Arial"/>
                <w:sz w:val="14"/>
                <w:szCs w:val="14"/>
                <w:lang w:eastAsia="en-US"/>
              </w:rPr>
              <w:t xml:space="preserve"> </w:t>
            </w:r>
            <w:r w:rsidRPr="00F73B77">
              <w:rPr>
                <w:rFonts w:eastAsia="Calibri" w:cs="Arial"/>
                <w:sz w:val="14"/>
                <w:szCs w:val="14"/>
                <w:lang w:eastAsia="en-US"/>
              </w:rPr>
              <w:t xml:space="preserve">MRCA </w:t>
            </w:r>
            <w:hyperlink r:id="rId1296" w:history="1">
              <w:r w:rsidRPr="00101DA8">
                <w:rPr>
                  <w:rStyle w:val="Hyperlink"/>
                  <w:rFonts w:eastAsia="Calibri" w:cs="Arial"/>
                  <w:sz w:val="14"/>
                  <w:szCs w:val="14"/>
                  <w:lang w:eastAsia="en-US"/>
                </w:rPr>
                <w:t>s258</w:t>
              </w:r>
            </w:hyperlink>
            <w:r w:rsidRPr="00F73B77">
              <w:rPr>
                <w:rFonts w:eastAsia="Calibri" w:cs="Arial"/>
                <w:sz w:val="14"/>
                <w:szCs w:val="14"/>
                <w:lang w:eastAsia="en-US"/>
              </w:rPr>
              <w:t>.</w:t>
            </w:r>
          </w:p>
          <w:p w14:paraId="46BDA938" w14:textId="533F2693" w:rsidR="00BC2D34" w:rsidRPr="00F73B77" w:rsidRDefault="00BC2D34" w:rsidP="00F839DB">
            <w:pPr>
              <w:pStyle w:val="ListParagraph"/>
              <w:numPr>
                <w:ilvl w:val="0"/>
                <w:numId w:val="166"/>
              </w:numPr>
              <w:spacing w:after="60"/>
              <w:contextualSpacing/>
              <w:rPr>
                <w:rFonts w:eastAsia="Calibri" w:cs="Arial"/>
                <w:sz w:val="14"/>
                <w:szCs w:val="14"/>
                <w:lang w:eastAsia="en-US"/>
              </w:rPr>
            </w:pPr>
            <w:r w:rsidRPr="00F73B77">
              <w:rPr>
                <w:rFonts w:eastAsia="Calibri" w:cs="Arial"/>
                <w:sz w:val="14"/>
                <w:szCs w:val="14"/>
                <w:lang w:eastAsia="en-US"/>
              </w:rPr>
              <w:t>Bereavement payments for a limited time where deceased was in receipt of periodical compensat</w:t>
            </w:r>
            <w:r w:rsidR="002C086D">
              <w:rPr>
                <w:rFonts w:eastAsia="Calibri" w:cs="Arial"/>
                <w:sz w:val="14"/>
                <w:szCs w:val="14"/>
                <w:lang w:eastAsia="en-US"/>
              </w:rPr>
              <w:t xml:space="preserve">ion payments </w:t>
            </w:r>
            <w:r w:rsidR="005F61F1">
              <w:rPr>
                <w:rFonts w:eastAsia="Calibri" w:cs="Arial"/>
                <w:sz w:val="14"/>
                <w:szCs w:val="14"/>
                <w:lang w:eastAsia="en-US"/>
              </w:rPr>
              <w:t xml:space="preserve">— </w:t>
            </w:r>
            <w:r w:rsidR="002C086D">
              <w:rPr>
                <w:rFonts w:eastAsia="Calibri" w:cs="Arial"/>
                <w:sz w:val="14"/>
                <w:szCs w:val="14"/>
                <w:lang w:eastAsia="en-US"/>
              </w:rPr>
              <w:t xml:space="preserve">MRCA </w:t>
            </w:r>
            <w:hyperlink r:id="rId1297" w:history="1">
              <w:r w:rsidR="002C086D" w:rsidRPr="00101DA8">
                <w:rPr>
                  <w:rStyle w:val="Hyperlink"/>
                  <w:rFonts w:eastAsia="Calibri" w:cs="Arial"/>
                  <w:sz w:val="14"/>
                  <w:szCs w:val="14"/>
                  <w:lang w:eastAsia="en-US"/>
                </w:rPr>
                <w:t>ss243</w:t>
              </w:r>
            </w:hyperlink>
            <w:r w:rsidR="002C086D">
              <w:rPr>
                <w:rFonts w:eastAsia="Calibri" w:cs="Arial"/>
                <w:sz w:val="14"/>
                <w:szCs w:val="14"/>
                <w:lang w:eastAsia="en-US"/>
              </w:rPr>
              <w:t xml:space="preserve"> &amp; </w:t>
            </w:r>
            <w:hyperlink r:id="rId1298" w:history="1">
              <w:r w:rsidR="002C086D" w:rsidRPr="00101DA8">
                <w:rPr>
                  <w:rStyle w:val="Hyperlink"/>
                  <w:rFonts w:eastAsia="Calibri" w:cs="Arial"/>
                  <w:sz w:val="14"/>
                  <w:szCs w:val="14"/>
                  <w:lang w:eastAsia="en-US"/>
                </w:rPr>
                <w:t>256</w:t>
              </w:r>
            </w:hyperlink>
          </w:p>
        </w:tc>
      </w:tr>
      <w:tr w:rsidR="00BC2D34" w:rsidRPr="00BC2D34" w14:paraId="2049FE64" w14:textId="77777777" w:rsidTr="00B2173F">
        <w:tc>
          <w:tcPr>
            <w:tcW w:w="1626" w:type="dxa"/>
            <w:tcMar>
              <w:top w:w="80" w:type="dxa"/>
              <w:left w:w="80" w:type="dxa"/>
              <w:bottom w:w="80" w:type="dxa"/>
              <w:right w:w="80" w:type="dxa"/>
            </w:tcMar>
          </w:tcPr>
          <w:p w14:paraId="41016FFF"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New Zealand</w:t>
            </w:r>
          </w:p>
        </w:tc>
        <w:tc>
          <w:tcPr>
            <w:tcW w:w="4598" w:type="dxa"/>
            <w:tcMar>
              <w:top w:w="80" w:type="dxa"/>
              <w:left w:w="80" w:type="dxa"/>
              <w:bottom w:w="80" w:type="dxa"/>
              <w:right w:w="80" w:type="dxa"/>
            </w:tcMar>
          </w:tcPr>
          <w:p w14:paraId="6F325EAE" w14:textId="6B311BAD"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Spouse: NZ$6</w:t>
            </w:r>
            <w:r w:rsidR="005F61F1">
              <w:rPr>
                <w:rFonts w:cs="Arial"/>
                <w:color w:val="000000"/>
                <w:sz w:val="14"/>
                <w:szCs w:val="16"/>
                <w:lang w:val="en-GB"/>
              </w:rPr>
              <w:t>,</w:t>
            </w:r>
            <w:r w:rsidRPr="00BC2D34">
              <w:rPr>
                <w:rFonts w:cs="Arial"/>
                <w:color w:val="000000"/>
                <w:sz w:val="14"/>
                <w:szCs w:val="16"/>
                <w:lang w:val="en-GB"/>
              </w:rPr>
              <w:t>455.40</w:t>
            </w:r>
          </w:p>
          <w:p w14:paraId="7A671944" w14:textId="5186935D"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Other dependant</w:t>
            </w:r>
            <w:r w:rsidR="00B27717">
              <w:rPr>
                <w:rFonts w:cs="Arial"/>
                <w:color w:val="000000"/>
                <w:sz w:val="14"/>
                <w:szCs w:val="16"/>
                <w:lang w:val="en-GB"/>
              </w:rPr>
              <w:t xml:space="preserve"> </w:t>
            </w:r>
            <w:r w:rsidRPr="00BC2D34">
              <w:rPr>
                <w:rFonts w:cs="Arial"/>
                <w:color w:val="000000"/>
                <w:sz w:val="14"/>
                <w:szCs w:val="16"/>
                <w:lang w:val="en-GB"/>
              </w:rPr>
              <w:t>(certain criteria): NZ$3</w:t>
            </w:r>
            <w:r w:rsidR="005F61F1">
              <w:rPr>
                <w:rFonts w:cs="Arial"/>
                <w:color w:val="000000"/>
                <w:sz w:val="14"/>
                <w:szCs w:val="16"/>
                <w:lang w:val="en-GB"/>
              </w:rPr>
              <w:t>,</w:t>
            </w:r>
            <w:r w:rsidRPr="00BC2D34">
              <w:rPr>
                <w:rFonts w:cs="Arial"/>
                <w:color w:val="000000"/>
                <w:sz w:val="14"/>
                <w:szCs w:val="16"/>
                <w:lang w:val="en-GB"/>
              </w:rPr>
              <w:t>227.72</w:t>
            </w:r>
          </w:p>
        </w:tc>
        <w:tc>
          <w:tcPr>
            <w:tcW w:w="4598" w:type="dxa"/>
            <w:tcMar>
              <w:top w:w="80" w:type="dxa"/>
              <w:left w:w="80" w:type="dxa"/>
              <w:bottom w:w="80" w:type="dxa"/>
              <w:right w:w="80" w:type="dxa"/>
            </w:tcMar>
          </w:tcPr>
          <w:p w14:paraId="604140CF" w14:textId="2D9A9B0A"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Spouse: 60% of the long-term rate of weekly compensation that</w:t>
            </w:r>
            <w:r w:rsidR="002C086D">
              <w:rPr>
                <w:rFonts w:cs="Arial"/>
                <w:color w:val="000000"/>
                <w:sz w:val="14"/>
                <w:szCs w:val="16"/>
                <w:lang w:val="en-GB"/>
              </w:rPr>
              <w:t xml:space="preserve"> the earner would have received</w:t>
            </w:r>
          </w:p>
          <w:p w14:paraId="42602FD3" w14:textId="25923BD5"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Each child and other dependant:</w:t>
            </w:r>
            <w:r w:rsidR="002C086D">
              <w:rPr>
                <w:rFonts w:cs="Arial"/>
                <w:color w:val="000000"/>
                <w:sz w:val="14"/>
                <w:szCs w:val="16"/>
                <w:lang w:val="en-GB"/>
              </w:rPr>
              <w:t xml:space="preserve"> 20% of the weekly compensation</w:t>
            </w:r>
          </w:p>
          <w:p w14:paraId="7F177755" w14:textId="224A74AF"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If total entitlement exceeds 100%, individual entitlements are red</w:t>
            </w:r>
            <w:r w:rsidR="002C086D">
              <w:rPr>
                <w:rFonts w:cs="Arial"/>
                <w:color w:val="000000"/>
                <w:sz w:val="14"/>
                <w:szCs w:val="16"/>
                <w:lang w:val="en-GB"/>
              </w:rPr>
              <w:t>uced on a pro rata basis</w:t>
            </w:r>
          </w:p>
        </w:tc>
        <w:tc>
          <w:tcPr>
            <w:tcW w:w="4599" w:type="dxa"/>
            <w:tcMar>
              <w:top w:w="80" w:type="dxa"/>
              <w:left w:w="80" w:type="dxa"/>
              <w:bottom w:w="80" w:type="dxa"/>
              <w:right w:w="80" w:type="dxa"/>
            </w:tcMar>
          </w:tcPr>
          <w:p w14:paraId="4249F53C" w14:textId="55FFB0E2" w:rsidR="00BC2D34" w:rsidRPr="00BC2D34" w:rsidRDefault="002C086D" w:rsidP="00292A53">
            <w:pPr>
              <w:spacing w:after="60"/>
              <w:rPr>
                <w:rFonts w:cs="Arial"/>
                <w:color w:val="000000"/>
                <w:sz w:val="14"/>
                <w:szCs w:val="16"/>
                <w:lang w:val="en-GB"/>
              </w:rPr>
            </w:pPr>
            <w:r>
              <w:rPr>
                <w:rFonts w:cs="Arial"/>
                <w:color w:val="000000"/>
                <w:sz w:val="14"/>
                <w:szCs w:val="16"/>
                <w:lang w:val="en-GB"/>
              </w:rPr>
              <w:t>Funeral grant: NZ$6</w:t>
            </w:r>
            <w:r w:rsidR="005F61F1">
              <w:rPr>
                <w:rFonts w:cs="Arial"/>
                <w:color w:val="000000"/>
                <w:sz w:val="14"/>
                <w:szCs w:val="16"/>
                <w:lang w:val="en-GB"/>
              </w:rPr>
              <w:t>,</w:t>
            </w:r>
            <w:r>
              <w:rPr>
                <w:rFonts w:cs="Arial"/>
                <w:color w:val="000000"/>
                <w:sz w:val="14"/>
                <w:szCs w:val="16"/>
                <w:lang w:val="en-GB"/>
              </w:rPr>
              <w:t>021.11</w:t>
            </w:r>
          </w:p>
          <w:p w14:paraId="2A51D44B" w14:textId="2CD0819D"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Child care payments: NZ$137.27 per week for a single child, NZ$82.35 each if there are two children, and a total of N</w:t>
            </w:r>
            <w:r w:rsidR="002C086D">
              <w:rPr>
                <w:rFonts w:cs="Arial"/>
                <w:color w:val="000000"/>
                <w:sz w:val="14"/>
                <w:szCs w:val="16"/>
                <w:lang w:val="en-GB"/>
              </w:rPr>
              <w:t>Z$192.18 for 3 or more children</w:t>
            </w:r>
          </w:p>
        </w:tc>
      </w:tr>
    </w:tbl>
    <w:p w14:paraId="48BEF55F" w14:textId="103A986A" w:rsidR="0087245A" w:rsidRPr="00A80282" w:rsidRDefault="0087245A" w:rsidP="00A80282">
      <w:pPr>
        <w:pStyle w:val="SWATableheader"/>
      </w:pPr>
      <w:bookmarkStart w:id="144" w:name="_Toc504654681"/>
      <w:bookmarkStart w:id="145" w:name="spouse"/>
      <w:bookmarkEnd w:id="143"/>
      <w:r w:rsidRPr="00A80282">
        <w:lastRenderedPageBreak/>
        <w:t xml:space="preserve">Table </w:t>
      </w:r>
      <w:r w:rsidR="007B3F66" w:rsidRPr="00A80282">
        <w:t>4.5: Definitions of dependants/</w:t>
      </w:r>
      <w:r w:rsidRPr="00A80282">
        <w:t>spouse for death benefits</w:t>
      </w:r>
      <w:bookmarkEnd w:id="144"/>
      <w:r w:rsidRPr="00A80282">
        <w:t xml:space="preserve"> </w:t>
      </w:r>
      <w:r w:rsidR="0008303E" w:rsidRPr="00A80282">
        <w:fldChar w:fldCharType="begin"/>
      </w:r>
      <w:r w:rsidR="0008303E" w:rsidRPr="00A80282">
        <w:instrText xml:space="preserve"> XE "benefits:dependants/spouse definitions for death benefits" \r "spouse" </w:instrText>
      </w:r>
      <w:r w:rsidR="0008303E" w:rsidRPr="00A80282">
        <w:fldChar w:fldCharType="end"/>
      </w:r>
      <w:r w:rsidR="00C7036A" w:rsidRPr="00A80282">
        <w:t xml:space="preserve"> </w:t>
      </w:r>
      <w:r w:rsidR="00C7036A" w:rsidRPr="00A80282">
        <w:fldChar w:fldCharType="begin"/>
      </w:r>
      <w:r w:rsidR="00C7036A" w:rsidRPr="00A80282">
        <w:instrText xml:space="preserve"> XE "dependants definitions for death benefits" \r "spouse" </w:instrText>
      </w:r>
      <w:r w:rsidR="00C7036A" w:rsidRPr="00A80282">
        <w:fldChar w:fldCharType="end"/>
      </w:r>
      <w:r w:rsidR="00CA3CD4" w:rsidRPr="00A80282">
        <w:fldChar w:fldCharType="begin"/>
      </w:r>
      <w:r w:rsidR="00CA3CD4" w:rsidRPr="00A80282">
        <w:instrText xml:space="preserve"> XE "spouse definitions for death benefits" \r "spouse"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5: Definitions of dependants/ spouse for death benefits  "/>
        <w:tblDescription w:val="This table outlines the definitions of dependants/spouse for death benefits under each of the workers' compensation schemes. "/>
      </w:tblPr>
      <w:tblGrid>
        <w:gridCol w:w="1626"/>
        <w:gridCol w:w="3448"/>
        <w:gridCol w:w="3449"/>
        <w:gridCol w:w="3449"/>
        <w:gridCol w:w="3449"/>
      </w:tblGrid>
      <w:tr w:rsidR="0087245A" w:rsidRPr="0087245A" w14:paraId="2D009435" w14:textId="77777777" w:rsidTr="00B2173F">
        <w:trPr>
          <w:tblHeader/>
        </w:trPr>
        <w:tc>
          <w:tcPr>
            <w:tcW w:w="1626" w:type="dxa"/>
            <w:shd w:val="clear" w:color="auto" w:fill="C00000"/>
            <w:tcMar>
              <w:top w:w="0" w:type="dxa"/>
              <w:left w:w="0" w:type="dxa"/>
              <w:bottom w:w="0" w:type="dxa"/>
              <w:right w:w="0" w:type="dxa"/>
            </w:tcMar>
            <w:vAlign w:val="center"/>
          </w:tcPr>
          <w:p w14:paraId="60D80F55" w14:textId="77777777" w:rsidR="0087245A" w:rsidRPr="0087245A" w:rsidRDefault="0087245A" w:rsidP="00292A53">
            <w:pPr>
              <w:pStyle w:val="Tableheaderrow"/>
              <w:spacing w:after="60"/>
            </w:pPr>
          </w:p>
        </w:tc>
        <w:tc>
          <w:tcPr>
            <w:tcW w:w="3448" w:type="dxa"/>
            <w:shd w:val="clear" w:color="auto" w:fill="C00000"/>
            <w:tcMar>
              <w:top w:w="0" w:type="dxa"/>
              <w:left w:w="0" w:type="dxa"/>
              <w:bottom w:w="0" w:type="dxa"/>
              <w:right w:w="0" w:type="dxa"/>
            </w:tcMar>
            <w:vAlign w:val="center"/>
          </w:tcPr>
          <w:p w14:paraId="5BD11734" w14:textId="77777777" w:rsidR="0087245A" w:rsidRPr="0087245A" w:rsidRDefault="0087245A" w:rsidP="00292A53">
            <w:pPr>
              <w:pStyle w:val="Tableheaderrow"/>
              <w:spacing w:after="60"/>
            </w:pPr>
            <w:r w:rsidRPr="0087245A">
              <w:t>Who is entitled to death benefits</w:t>
            </w:r>
          </w:p>
        </w:tc>
        <w:tc>
          <w:tcPr>
            <w:tcW w:w="3449" w:type="dxa"/>
            <w:shd w:val="clear" w:color="auto" w:fill="C00000"/>
            <w:tcMar>
              <w:top w:w="0" w:type="dxa"/>
              <w:left w:w="0" w:type="dxa"/>
              <w:bottom w:w="0" w:type="dxa"/>
              <w:right w:w="0" w:type="dxa"/>
            </w:tcMar>
            <w:vAlign w:val="center"/>
          </w:tcPr>
          <w:p w14:paraId="7F74123C" w14:textId="77777777" w:rsidR="0087245A" w:rsidRPr="0087245A" w:rsidRDefault="0087245A" w:rsidP="00292A53">
            <w:pPr>
              <w:pStyle w:val="Tableheaderrow"/>
              <w:spacing w:after="60"/>
            </w:pPr>
            <w:r w:rsidRPr="0087245A">
              <w:t xml:space="preserve"> Definitions</w:t>
            </w:r>
          </w:p>
        </w:tc>
        <w:tc>
          <w:tcPr>
            <w:tcW w:w="3449" w:type="dxa"/>
            <w:shd w:val="clear" w:color="auto" w:fill="C00000"/>
            <w:tcMar>
              <w:top w:w="0" w:type="dxa"/>
              <w:left w:w="0" w:type="dxa"/>
              <w:bottom w:w="0" w:type="dxa"/>
              <w:right w:w="0" w:type="dxa"/>
            </w:tcMar>
            <w:vAlign w:val="center"/>
          </w:tcPr>
          <w:p w14:paraId="22EC7AAA" w14:textId="77777777" w:rsidR="0087245A" w:rsidRPr="0087245A" w:rsidRDefault="0087245A" w:rsidP="00292A53">
            <w:pPr>
              <w:pStyle w:val="Tableheaderrow"/>
              <w:spacing w:after="60"/>
            </w:pPr>
            <w:r w:rsidRPr="0087245A">
              <w:t>Reference to same sex relationships</w:t>
            </w:r>
          </w:p>
        </w:tc>
        <w:tc>
          <w:tcPr>
            <w:tcW w:w="3449" w:type="dxa"/>
            <w:shd w:val="clear" w:color="auto" w:fill="C00000"/>
            <w:tcMar>
              <w:top w:w="0" w:type="dxa"/>
              <w:left w:w="0" w:type="dxa"/>
              <w:bottom w:w="0" w:type="dxa"/>
              <w:right w:w="0" w:type="dxa"/>
            </w:tcMar>
            <w:vAlign w:val="center"/>
          </w:tcPr>
          <w:p w14:paraId="652A90C4" w14:textId="77777777" w:rsidR="0087245A" w:rsidRPr="0087245A" w:rsidRDefault="0087245A" w:rsidP="00292A53">
            <w:pPr>
              <w:pStyle w:val="Tableheaderrow"/>
              <w:spacing w:after="60"/>
            </w:pPr>
            <w:r w:rsidRPr="0087245A">
              <w:t>Other relevant information</w:t>
            </w:r>
          </w:p>
        </w:tc>
      </w:tr>
      <w:tr w:rsidR="0087245A" w:rsidRPr="0087245A" w14:paraId="4A636D2F" w14:textId="77777777" w:rsidTr="00B2173F">
        <w:tc>
          <w:tcPr>
            <w:tcW w:w="1626" w:type="dxa"/>
            <w:shd w:val="clear" w:color="auto" w:fill="FFC9C9"/>
            <w:tcMar>
              <w:top w:w="80" w:type="dxa"/>
              <w:left w:w="80" w:type="dxa"/>
              <w:bottom w:w="80" w:type="dxa"/>
              <w:right w:w="80" w:type="dxa"/>
            </w:tcMar>
          </w:tcPr>
          <w:p w14:paraId="0A428967"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New South Wales</w:t>
            </w:r>
          </w:p>
        </w:tc>
        <w:tc>
          <w:tcPr>
            <w:tcW w:w="3448" w:type="dxa"/>
            <w:shd w:val="clear" w:color="auto" w:fill="FFC9C9"/>
            <w:tcMar>
              <w:top w:w="80" w:type="dxa"/>
              <w:left w:w="80" w:type="dxa"/>
              <w:bottom w:w="80" w:type="dxa"/>
              <w:right w:w="80" w:type="dxa"/>
            </w:tcMar>
          </w:tcPr>
          <w:p w14:paraId="359DE738" w14:textId="6394CF38" w:rsidR="0087245A" w:rsidRPr="0087245A" w:rsidRDefault="00A7538C" w:rsidP="00292A53">
            <w:pPr>
              <w:spacing w:after="60"/>
              <w:rPr>
                <w:rFonts w:cs="Arial"/>
                <w:color w:val="000000"/>
                <w:sz w:val="14"/>
                <w:szCs w:val="16"/>
                <w:lang w:val="en-GB"/>
              </w:rPr>
            </w:pPr>
            <w:hyperlink r:id="rId1299" w:history="1">
              <w:r w:rsidR="0087245A" w:rsidRPr="00096A73">
                <w:rPr>
                  <w:rStyle w:val="Hyperlink"/>
                  <w:rFonts w:cs="Arial"/>
                  <w:sz w:val="14"/>
                  <w:szCs w:val="16"/>
                  <w:lang w:val="en-GB"/>
                </w:rPr>
                <w:t>s25</w:t>
              </w:r>
            </w:hyperlink>
            <w:r w:rsidR="0087245A" w:rsidRPr="0087245A">
              <w:rPr>
                <w:rFonts w:cs="Arial"/>
                <w:color w:val="000000"/>
                <w:sz w:val="14"/>
                <w:szCs w:val="16"/>
                <w:lang w:val="en-GB"/>
              </w:rPr>
              <w:t xml:space="preserve"> </w:t>
            </w:r>
            <w:r w:rsidR="00096A73" w:rsidRPr="00016069">
              <w:rPr>
                <w:i/>
                <w:sz w:val="14"/>
              </w:rPr>
              <w:t>Workers Compensation Act 1987</w:t>
            </w:r>
            <w:r w:rsidR="0087245A" w:rsidRPr="0087245A">
              <w:rPr>
                <w:rFonts w:cs="Arial"/>
                <w:color w:val="000000"/>
                <w:sz w:val="14"/>
                <w:szCs w:val="16"/>
                <w:lang w:val="en-GB"/>
              </w:rPr>
              <w:t xml:space="preserve"> — dependants: </w:t>
            </w:r>
          </w:p>
          <w:p w14:paraId="05BC2F08"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If there are no dependants the lump sum death benefit is paid to the worker’s legal personal representative.</w:t>
            </w:r>
          </w:p>
        </w:tc>
        <w:tc>
          <w:tcPr>
            <w:tcW w:w="3449" w:type="dxa"/>
            <w:shd w:val="clear" w:color="auto" w:fill="FFC9C9"/>
            <w:tcMar>
              <w:top w:w="80" w:type="dxa"/>
              <w:left w:w="80" w:type="dxa"/>
              <w:bottom w:w="80" w:type="dxa"/>
              <w:right w:w="80" w:type="dxa"/>
            </w:tcMar>
          </w:tcPr>
          <w:p w14:paraId="1F64F7A9" w14:textId="36CEFCD4" w:rsidR="00761136" w:rsidRPr="00761136" w:rsidRDefault="00761136" w:rsidP="00292A53">
            <w:pPr>
              <w:spacing w:after="60"/>
              <w:rPr>
                <w:rFonts w:cs="Arial"/>
                <w:color w:val="000000"/>
                <w:sz w:val="14"/>
                <w:szCs w:val="16"/>
                <w:lang w:val="en-GB"/>
              </w:rPr>
            </w:pPr>
            <w:r w:rsidRPr="00761136">
              <w:rPr>
                <w:rFonts w:cs="Arial"/>
                <w:color w:val="000000"/>
                <w:sz w:val="14"/>
                <w:szCs w:val="16"/>
                <w:lang w:val="en-GB"/>
              </w:rPr>
              <w:t xml:space="preserve">1998 Act, </w:t>
            </w:r>
            <w:hyperlink r:id="rId1300" w:history="1">
              <w:r w:rsidRPr="00096A73">
                <w:rPr>
                  <w:rStyle w:val="Hyperlink"/>
                  <w:rFonts w:cs="Arial"/>
                  <w:sz w:val="14"/>
                  <w:szCs w:val="16"/>
                  <w:lang w:val="en-GB"/>
                </w:rPr>
                <w:t>s4</w:t>
              </w:r>
            </w:hyperlink>
            <w:r w:rsidRPr="00761136">
              <w:rPr>
                <w:rFonts w:cs="Arial"/>
                <w:color w:val="000000"/>
                <w:sz w:val="14"/>
                <w:szCs w:val="16"/>
                <w:lang w:val="en-GB"/>
              </w:rPr>
              <w:t>: ‘dependants’ of a worker means such of the members of the worker’s family as were wholly or in part dependant for support on the worker at the time of the worker’s death, or would but for the incapacity due to the injury have been so dependant, and includes:</w:t>
            </w:r>
          </w:p>
          <w:p w14:paraId="7F7DD93F" w14:textId="77777777" w:rsidR="00761136" w:rsidRPr="00D52E47" w:rsidRDefault="00761136" w:rsidP="00F839DB">
            <w:pPr>
              <w:pStyle w:val="ListParagraph"/>
              <w:numPr>
                <w:ilvl w:val="0"/>
                <w:numId w:val="429"/>
              </w:numPr>
              <w:spacing w:after="60"/>
              <w:contextualSpacing/>
              <w:rPr>
                <w:rFonts w:eastAsia="Calibri" w:cs="Arial"/>
                <w:sz w:val="14"/>
                <w:szCs w:val="14"/>
                <w:lang w:eastAsia="en-US"/>
              </w:rPr>
            </w:pPr>
            <w:r w:rsidRPr="00D52E47">
              <w:rPr>
                <w:rFonts w:eastAsia="Calibri" w:cs="Arial"/>
                <w:sz w:val="14"/>
                <w:szCs w:val="14"/>
                <w:lang w:eastAsia="en-US"/>
              </w:rPr>
              <w:t>a person so dependant to whom the worker stands in the place of a parent or a person so dependant who stands in the place of a parent to the worker, and</w:t>
            </w:r>
          </w:p>
          <w:p w14:paraId="1A043156" w14:textId="77777777" w:rsidR="00761136" w:rsidRPr="00D52E47" w:rsidRDefault="00761136" w:rsidP="00F839DB">
            <w:pPr>
              <w:pStyle w:val="ListParagraph"/>
              <w:numPr>
                <w:ilvl w:val="0"/>
                <w:numId w:val="429"/>
              </w:numPr>
              <w:spacing w:after="60"/>
              <w:contextualSpacing/>
              <w:rPr>
                <w:rFonts w:eastAsia="Calibri" w:cs="Arial"/>
                <w:sz w:val="14"/>
                <w:szCs w:val="14"/>
                <w:lang w:eastAsia="en-US"/>
              </w:rPr>
            </w:pPr>
            <w:r w:rsidRPr="00D52E47">
              <w:rPr>
                <w:rFonts w:eastAsia="Calibri" w:cs="Arial"/>
                <w:sz w:val="14"/>
                <w:szCs w:val="14"/>
                <w:lang w:eastAsia="en-US"/>
              </w:rPr>
              <w:t>a divorced spouse of the worker so dependant, and</w:t>
            </w:r>
          </w:p>
          <w:p w14:paraId="2DE57600" w14:textId="77777777" w:rsidR="00761136" w:rsidRPr="00D52E47" w:rsidRDefault="00761136" w:rsidP="00F839DB">
            <w:pPr>
              <w:pStyle w:val="ListParagraph"/>
              <w:numPr>
                <w:ilvl w:val="0"/>
                <w:numId w:val="429"/>
              </w:numPr>
              <w:spacing w:after="60"/>
              <w:ind w:left="357" w:hanging="357"/>
              <w:rPr>
                <w:rFonts w:eastAsia="Calibri" w:cs="Arial"/>
                <w:sz w:val="14"/>
                <w:szCs w:val="14"/>
                <w:lang w:eastAsia="en-US"/>
              </w:rPr>
            </w:pPr>
            <w:r w:rsidRPr="00D52E47">
              <w:rPr>
                <w:rFonts w:eastAsia="Calibri" w:cs="Arial"/>
                <w:sz w:val="14"/>
                <w:szCs w:val="14"/>
                <w:lang w:eastAsia="en-US"/>
              </w:rPr>
              <w:t>a person so dependant who:</w:t>
            </w:r>
          </w:p>
          <w:p w14:paraId="56ECBBF6" w14:textId="77777777" w:rsidR="00761136" w:rsidRPr="00761136" w:rsidRDefault="00761136" w:rsidP="00F839DB">
            <w:pPr>
              <w:pStyle w:val="ListParagraph"/>
              <w:numPr>
                <w:ilvl w:val="0"/>
                <w:numId w:val="427"/>
              </w:numPr>
              <w:spacing w:after="60"/>
              <w:rPr>
                <w:rFonts w:cs="Arial"/>
                <w:color w:val="000000"/>
                <w:sz w:val="14"/>
                <w:szCs w:val="16"/>
                <w:lang w:val="en-GB"/>
              </w:rPr>
            </w:pPr>
            <w:r w:rsidRPr="00761136">
              <w:rPr>
                <w:rFonts w:cs="Arial"/>
                <w:color w:val="000000"/>
                <w:sz w:val="14"/>
                <w:szCs w:val="16"/>
                <w:lang w:val="en-GB"/>
              </w:rPr>
              <w:t xml:space="preserve">in relation to an injury received before the commencement of Schedule 7 to the </w:t>
            </w:r>
            <w:r w:rsidRPr="00761136">
              <w:rPr>
                <w:rFonts w:cs="Arial"/>
                <w:i/>
                <w:color w:val="000000"/>
                <w:sz w:val="14"/>
                <w:szCs w:val="16"/>
                <w:lang w:val="en-GB"/>
              </w:rPr>
              <w:t>Workers’ Compensation Legislation Amendment (Dust Diseases and Other Matters) Act 1998</w:t>
            </w:r>
            <w:r w:rsidRPr="00761136">
              <w:rPr>
                <w:rFonts w:cs="Arial"/>
                <w:color w:val="000000"/>
                <w:sz w:val="14"/>
                <w:szCs w:val="16"/>
                <w:lang w:val="en-GB"/>
              </w:rPr>
              <w:t xml:space="preserve"> — although not legally married to the worker, lived with the worker as the worker’s husband or wife on a permanent and genuine domestic basis, or</w:t>
            </w:r>
          </w:p>
          <w:p w14:paraId="52F39DAA" w14:textId="77777777" w:rsidR="00761136" w:rsidRPr="00761136" w:rsidRDefault="00761136" w:rsidP="00F839DB">
            <w:pPr>
              <w:pStyle w:val="ListParagraph"/>
              <w:numPr>
                <w:ilvl w:val="0"/>
                <w:numId w:val="427"/>
              </w:numPr>
              <w:spacing w:after="60"/>
              <w:rPr>
                <w:rFonts w:cs="Arial"/>
                <w:color w:val="000000"/>
                <w:sz w:val="14"/>
                <w:szCs w:val="16"/>
                <w:lang w:val="en-GB"/>
              </w:rPr>
            </w:pPr>
            <w:r w:rsidRPr="00761136">
              <w:rPr>
                <w:rFonts w:cs="Arial"/>
                <w:color w:val="000000"/>
                <w:sz w:val="14"/>
                <w:szCs w:val="16"/>
                <w:lang w:val="en-GB"/>
              </w:rPr>
              <w:t xml:space="preserve">in relation to an injury received after that commencement — is the de facto partner of the worker. Note: ‘De facto partner’ is defined in s21C of the </w:t>
            </w:r>
            <w:r w:rsidRPr="00761136">
              <w:rPr>
                <w:rFonts w:cs="Arial"/>
                <w:i/>
                <w:color w:val="000000"/>
                <w:sz w:val="14"/>
                <w:szCs w:val="16"/>
                <w:lang w:val="en-GB"/>
              </w:rPr>
              <w:t>Interpretation Act 1987</w:t>
            </w:r>
            <w:r w:rsidRPr="00761136">
              <w:rPr>
                <w:rFonts w:cs="Arial"/>
                <w:color w:val="000000"/>
                <w:sz w:val="14"/>
                <w:szCs w:val="16"/>
                <w:lang w:val="en-GB"/>
              </w:rPr>
              <w:t xml:space="preserve"> (NSW).</w:t>
            </w:r>
          </w:p>
          <w:p w14:paraId="66F45FAB" w14:textId="67580792" w:rsidR="00761136" w:rsidRPr="00761136" w:rsidRDefault="00761136" w:rsidP="00292A53">
            <w:pPr>
              <w:spacing w:after="60"/>
              <w:rPr>
                <w:rFonts w:cs="Arial"/>
                <w:color w:val="000000"/>
                <w:sz w:val="14"/>
                <w:szCs w:val="16"/>
                <w:lang w:val="en-GB"/>
              </w:rPr>
            </w:pPr>
            <w:r w:rsidRPr="00761136">
              <w:rPr>
                <w:rFonts w:cs="Arial"/>
                <w:color w:val="000000"/>
                <w:sz w:val="14"/>
                <w:szCs w:val="16"/>
                <w:lang w:val="en-GB"/>
              </w:rPr>
              <w:t xml:space="preserve">1987 Act, </w:t>
            </w:r>
            <w:hyperlink r:id="rId1301" w:history="1">
              <w:r w:rsidRPr="00096A73">
                <w:rPr>
                  <w:rStyle w:val="Hyperlink"/>
                  <w:rFonts w:cs="Arial"/>
                  <w:sz w:val="14"/>
                  <w:szCs w:val="16"/>
                  <w:lang w:val="en-GB"/>
                </w:rPr>
                <w:t>s25(5)</w:t>
              </w:r>
            </w:hyperlink>
            <w:r w:rsidRPr="00761136">
              <w:rPr>
                <w:rFonts w:cs="Arial"/>
                <w:color w:val="000000"/>
                <w:sz w:val="14"/>
                <w:szCs w:val="16"/>
                <w:lang w:val="en-GB"/>
              </w:rPr>
              <w:t>: ‘ in this section:</w:t>
            </w:r>
          </w:p>
          <w:p w14:paraId="480705F4"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‘child of the worker’ means a child or stepchild of the worker and includes a person to whom the worker stood in the place of a parent.</w:t>
            </w:r>
          </w:p>
          <w:p w14:paraId="507C2B85"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‘dependant child of the worker’ means a child of the worker who was wholly or partly dependant for support on the worker.</w:t>
            </w:r>
          </w:p>
          <w:p w14:paraId="469E6AE7"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‘student’ means a person receiving full-time education at a school, college or university.</w:t>
            </w:r>
          </w:p>
          <w:p w14:paraId="4677F4BD"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93523D">
              <w:rPr>
                <w:rFonts w:eastAsia="Calibri" w:cs="Arial"/>
                <w:i/>
                <w:sz w:val="14"/>
                <w:szCs w:val="14"/>
                <w:lang w:eastAsia="en-US"/>
              </w:rPr>
              <w:t>Workers’ Compensation (Dust Diseases) Act 1942</w:t>
            </w:r>
            <w:r w:rsidRPr="00761136">
              <w:rPr>
                <w:rFonts w:eastAsia="Calibri" w:cs="Arial"/>
                <w:sz w:val="14"/>
                <w:szCs w:val="14"/>
                <w:lang w:eastAsia="en-US"/>
              </w:rPr>
              <w:t>, s8(2B)(a) — persons dependant for support upon a worker ‘…immediately before the worker’s death, being the following and no other person or persons:</w:t>
            </w:r>
          </w:p>
          <w:p w14:paraId="02F4C1D1"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a prescribed relative of the worker, or</w:t>
            </w:r>
          </w:p>
          <w:p w14:paraId="02BC2986" w14:textId="77777777" w:rsidR="0087245A"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a surviving spouse and a child or children of the worker’.</w:t>
            </w:r>
          </w:p>
        </w:tc>
        <w:tc>
          <w:tcPr>
            <w:tcW w:w="3449" w:type="dxa"/>
            <w:shd w:val="clear" w:color="auto" w:fill="FFC9C9"/>
            <w:tcMar>
              <w:top w:w="80" w:type="dxa"/>
              <w:left w:w="80" w:type="dxa"/>
              <w:bottom w:w="80" w:type="dxa"/>
              <w:right w:w="80" w:type="dxa"/>
            </w:tcMar>
          </w:tcPr>
          <w:p w14:paraId="0791AECF"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Broad definition of ‘dependant’ — encompasses same sex relationships.</w:t>
            </w:r>
          </w:p>
        </w:tc>
        <w:tc>
          <w:tcPr>
            <w:tcW w:w="3449" w:type="dxa"/>
            <w:shd w:val="clear" w:color="auto" w:fill="FFC9C9"/>
            <w:tcMar>
              <w:top w:w="80" w:type="dxa"/>
              <w:left w:w="80" w:type="dxa"/>
              <w:bottom w:w="80" w:type="dxa"/>
              <w:right w:w="80" w:type="dxa"/>
            </w:tcMar>
          </w:tcPr>
          <w:p w14:paraId="7AEBFD5A" w14:textId="1744301F" w:rsidR="0087245A" w:rsidRPr="0087245A" w:rsidRDefault="003571AC" w:rsidP="00292A53">
            <w:pPr>
              <w:spacing w:after="60"/>
              <w:rPr>
                <w:rFonts w:cs="Arial"/>
                <w:color w:val="000000"/>
                <w:sz w:val="14"/>
                <w:szCs w:val="16"/>
                <w:lang w:val="en-GB"/>
              </w:rPr>
            </w:pPr>
            <w:r>
              <w:rPr>
                <w:rFonts w:cs="Arial"/>
                <w:color w:val="000000"/>
                <w:sz w:val="14"/>
                <w:szCs w:val="16"/>
                <w:lang w:val="en-GB"/>
              </w:rPr>
              <w:t xml:space="preserve">The compensation payable to each dependant of a deceased worker may be apportioned by the Workers’ Compensation Commission or by the NSW Trustee </w:t>
            </w:r>
            <w:r w:rsidR="00096A73">
              <w:rPr>
                <w:rFonts w:cs="Arial"/>
                <w:color w:val="000000"/>
                <w:sz w:val="14"/>
                <w:szCs w:val="16"/>
                <w:lang w:val="en-GB"/>
              </w:rPr>
              <w:t xml:space="preserve">– </w:t>
            </w:r>
            <w:hyperlink r:id="rId1302" w:history="1">
              <w:r w:rsidRPr="00096A73">
                <w:rPr>
                  <w:rStyle w:val="Hyperlink"/>
                  <w:rFonts w:cs="Arial"/>
                  <w:sz w:val="14"/>
                  <w:szCs w:val="16"/>
                  <w:lang w:val="en-GB"/>
                </w:rPr>
                <w:t>s29</w:t>
              </w:r>
            </w:hyperlink>
            <w:r>
              <w:rPr>
                <w:rFonts w:cs="Arial"/>
                <w:color w:val="000000"/>
                <w:sz w:val="14"/>
                <w:szCs w:val="16"/>
                <w:lang w:val="en-GB"/>
              </w:rPr>
              <w:t xml:space="preserve"> 1987 Act</w:t>
            </w:r>
          </w:p>
        </w:tc>
      </w:tr>
      <w:tr w:rsidR="0087245A" w:rsidRPr="0087245A" w14:paraId="47F0F2B5" w14:textId="77777777" w:rsidTr="00B2173F">
        <w:tc>
          <w:tcPr>
            <w:tcW w:w="1626" w:type="dxa"/>
            <w:tcMar>
              <w:top w:w="80" w:type="dxa"/>
              <w:left w:w="80" w:type="dxa"/>
              <w:bottom w:w="80" w:type="dxa"/>
              <w:right w:w="80" w:type="dxa"/>
            </w:tcMar>
          </w:tcPr>
          <w:p w14:paraId="636085B4"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Victoria</w:t>
            </w:r>
          </w:p>
        </w:tc>
        <w:tc>
          <w:tcPr>
            <w:tcW w:w="3448" w:type="dxa"/>
            <w:tcMar>
              <w:top w:w="80" w:type="dxa"/>
              <w:left w:w="80" w:type="dxa"/>
              <w:bottom w:w="80" w:type="dxa"/>
              <w:right w:w="80" w:type="dxa"/>
            </w:tcMar>
          </w:tcPr>
          <w:p w14:paraId="08F63E3C" w14:textId="77777777" w:rsidR="0087245A" w:rsidRPr="0087245A" w:rsidRDefault="0087245A" w:rsidP="00292A53">
            <w:pPr>
              <w:spacing w:after="60"/>
              <w:rPr>
                <w:rFonts w:cs="Arial"/>
                <w:color w:val="000000"/>
                <w:sz w:val="14"/>
                <w:szCs w:val="16"/>
                <w:lang w:val="en-GB"/>
              </w:rPr>
            </w:pPr>
          </w:p>
        </w:tc>
        <w:tc>
          <w:tcPr>
            <w:tcW w:w="3449" w:type="dxa"/>
            <w:tcMar>
              <w:top w:w="80" w:type="dxa"/>
              <w:left w:w="80" w:type="dxa"/>
              <w:bottom w:w="80" w:type="dxa"/>
              <w:right w:w="80" w:type="dxa"/>
            </w:tcMar>
          </w:tcPr>
          <w:p w14:paraId="69BE303A" w14:textId="04B9E309" w:rsidR="0087245A" w:rsidRPr="0087245A" w:rsidRDefault="00A7538C" w:rsidP="00292A53">
            <w:pPr>
              <w:spacing w:after="60"/>
              <w:rPr>
                <w:rFonts w:cs="Arial"/>
                <w:color w:val="000000"/>
                <w:sz w:val="14"/>
                <w:szCs w:val="16"/>
                <w:lang w:val="en-GB"/>
              </w:rPr>
            </w:pPr>
            <w:hyperlink r:id="rId1303" w:history="1">
              <w:r w:rsidR="0087245A" w:rsidRPr="007A0BC2">
                <w:rPr>
                  <w:rStyle w:val="Hyperlink"/>
                  <w:rFonts w:cs="Arial"/>
                  <w:sz w:val="14"/>
                  <w:szCs w:val="16"/>
                  <w:lang w:val="en-GB"/>
                </w:rPr>
                <w:t>s3</w:t>
              </w:r>
            </w:hyperlink>
            <w:r w:rsidR="007A0BC2">
              <w:rPr>
                <w:rFonts w:cs="Arial"/>
                <w:color w:val="000000"/>
                <w:sz w:val="14"/>
                <w:szCs w:val="16"/>
                <w:lang w:val="en-GB"/>
              </w:rPr>
              <w:t>,</w:t>
            </w:r>
            <w:r w:rsidR="0087245A" w:rsidRPr="0087245A">
              <w:rPr>
                <w:rFonts w:cs="Arial"/>
                <w:color w:val="000000"/>
                <w:sz w:val="14"/>
                <w:szCs w:val="16"/>
                <w:lang w:val="en-GB"/>
              </w:rPr>
              <w:t xml:space="preserve"> </w:t>
            </w:r>
            <w:r w:rsidR="007A0BC2" w:rsidRPr="00016069">
              <w:rPr>
                <w:i/>
                <w:sz w:val="14"/>
              </w:rPr>
              <w:t>Workplace Injury Rehabilitation and Compensation Act 2013</w:t>
            </w:r>
            <w:r w:rsidR="007A0BC2">
              <w:rPr>
                <w:i/>
                <w:sz w:val="14"/>
              </w:rPr>
              <w:t xml:space="preserve"> </w:t>
            </w:r>
            <w:r w:rsidR="0087245A" w:rsidRPr="0087245A">
              <w:rPr>
                <w:rFonts w:cs="Arial"/>
                <w:color w:val="000000"/>
                <w:sz w:val="14"/>
                <w:szCs w:val="16"/>
                <w:lang w:val="en-GB"/>
              </w:rPr>
              <w:t>— ‘dependant’ means a person who:</w:t>
            </w:r>
          </w:p>
          <w:p w14:paraId="404D1642" w14:textId="25C57538" w:rsidR="0087245A" w:rsidRPr="006E06B7" w:rsidRDefault="0087245A" w:rsidP="00F839DB">
            <w:pPr>
              <w:pStyle w:val="Tableabc7pt"/>
              <w:numPr>
                <w:ilvl w:val="0"/>
                <w:numId w:val="167"/>
              </w:numPr>
              <w:spacing w:before="0" w:after="60"/>
              <w:rPr>
                <w:rFonts w:eastAsia="Calibri"/>
                <w:lang w:eastAsia="en-US"/>
              </w:rPr>
            </w:pPr>
            <w:r w:rsidRPr="006E06B7">
              <w:rPr>
                <w:rFonts w:eastAsia="Calibri"/>
                <w:lang w:eastAsia="en-US"/>
              </w:rPr>
              <w:t xml:space="preserve">at the time of the death of a worker was wholly, mainly or partly dependant on the earnings of </w:t>
            </w:r>
            <w:r w:rsidRPr="006E06B7">
              <w:rPr>
                <w:rFonts w:eastAsia="Calibri"/>
                <w:lang w:eastAsia="en-US"/>
              </w:rPr>
              <w:lastRenderedPageBreak/>
              <w:t>the worker, or</w:t>
            </w:r>
          </w:p>
          <w:p w14:paraId="685BBF1C" w14:textId="68E53F8D" w:rsidR="0087245A" w:rsidRPr="006E06B7" w:rsidRDefault="0087245A" w:rsidP="00F839DB">
            <w:pPr>
              <w:pStyle w:val="ListParagraph"/>
              <w:numPr>
                <w:ilvl w:val="0"/>
                <w:numId w:val="167"/>
              </w:numPr>
              <w:spacing w:after="60"/>
              <w:contextualSpacing/>
              <w:rPr>
                <w:rFonts w:eastAsia="Calibri" w:cs="Arial"/>
                <w:sz w:val="14"/>
                <w:szCs w:val="14"/>
                <w:lang w:eastAsia="en-US"/>
              </w:rPr>
            </w:pPr>
            <w:r w:rsidRPr="006E06B7">
              <w:rPr>
                <w:rFonts w:eastAsia="Calibri" w:cs="Arial"/>
                <w:sz w:val="14"/>
                <w:szCs w:val="14"/>
                <w:lang w:eastAsia="en-US"/>
              </w:rPr>
              <w:t>would but for the incapacity of a worker due to the injury have been wholly, mainly or partly dependan</w:t>
            </w:r>
            <w:r w:rsidR="002C086D">
              <w:rPr>
                <w:rFonts w:eastAsia="Calibri" w:cs="Arial"/>
                <w:sz w:val="14"/>
                <w:szCs w:val="14"/>
                <w:lang w:eastAsia="en-US"/>
              </w:rPr>
              <w:t>t on the earnings of the worker</w:t>
            </w:r>
          </w:p>
          <w:p w14:paraId="22BF8CE9" w14:textId="77777777" w:rsidR="0087245A" w:rsidRPr="006E06B7" w:rsidRDefault="0087245A" w:rsidP="00F839DB">
            <w:pPr>
              <w:pStyle w:val="ListParagraph"/>
              <w:numPr>
                <w:ilvl w:val="0"/>
                <w:numId w:val="168"/>
              </w:numPr>
              <w:spacing w:after="60"/>
              <w:contextualSpacing/>
              <w:rPr>
                <w:rFonts w:eastAsia="Calibri" w:cs="Arial"/>
                <w:sz w:val="14"/>
                <w:szCs w:val="14"/>
                <w:lang w:eastAsia="en-US"/>
              </w:rPr>
            </w:pPr>
            <w:r w:rsidRPr="006E06B7">
              <w:rPr>
                <w:rFonts w:eastAsia="Calibri" w:cs="Arial"/>
                <w:sz w:val="14"/>
                <w:szCs w:val="14"/>
                <w:lang w:eastAsia="en-US"/>
              </w:rPr>
              <w:t>s3 — ‘spouse’ of a person means a person to whom that person is married.</w:t>
            </w:r>
          </w:p>
          <w:p w14:paraId="298D842A" w14:textId="77777777" w:rsidR="0087245A" w:rsidRPr="006E06B7" w:rsidRDefault="0087245A" w:rsidP="00F839DB">
            <w:pPr>
              <w:pStyle w:val="ListParagraph"/>
              <w:numPr>
                <w:ilvl w:val="0"/>
                <w:numId w:val="168"/>
              </w:numPr>
              <w:spacing w:after="60"/>
              <w:contextualSpacing/>
              <w:rPr>
                <w:rFonts w:eastAsia="Calibri" w:cs="Arial"/>
                <w:sz w:val="14"/>
                <w:szCs w:val="14"/>
                <w:lang w:eastAsia="en-US"/>
              </w:rPr>
            </w:pPr>
            <w:r w:rsidRPr="006E06B7">
              <w:rPr>
                <w:rFonts w:eastAsia="Calibri" w:cs="Arial"/>
                <w:sz w:val="14"/>
                <w:szCs w:val="14"/>
                <w:lang w:eastAsia="en-US"/>
              </w:rPr>
              <w:t>s3: ‘partner’ of a worker means:</w:t>
            </w:r>
          </w:p>
          <w:p w14:paraId="3513F79B" w14:textId="77777777" w:rsidR="0087245A" w:rsidRPr="006E06B7" w:rsidRDefault="0087245A" w:rsidP="00F839DB">
            <w:pPr>
              <w:pStyle w:val="Tableabc7pt"/>
              <w:numPr>
                <w:ilvl w:val="0"/>
                <w:numId w:val="170"/>
              </w:numPr>
              <w:spacing w:before="0" w:after="60"/>
              <w:rPr>
                <w:rFonts w:eastAsia="Calibri"/>
                <w:lang w:eastAsia="en-US"/>
              </w:rPr>
            </w:pPr>
            <w:r w:rsidRPr="006E06B7">
              <w:rPr>
                <w:rFonts w:eastAsia="Calibri"/>
                <w:lang w:eastAsia="en-US"/>
              </w:rPr>
              <w:t xml:space="preserve">in relation to a worker who died before the commencement of s4 </w:t>
            </w:r>
            <w:r w:rsidRPr="0093523D">
              <w:rPr>
                <w:rFonts w:eastAsia="Calibri"/>
                <w:i/>
                <w:lang w:eastAsia="en-US"/>
              </w:rPr>
              <w:t>Statute Law Amendment (Relationships) Act 2001</w:t>
            </w:r>
            <w:r w:rsidRPr="006E06B7">
              <w:rPr>
                <w:rFonts w:eastAsia="Calibri"/>
                <w:lang w:eastAsia="en-US"/>
              </w:rPr>
              <w:t xml:space="preserve"> — </w:t>
            </w:r>
          </w:p>
          <w:p w14:paraId="5A0EBF90" w14:textId="77777777" w:rsidR="0087245A" w:rsidRPr="0087245A" w:rsidRDefault="0087245A" w:rsidP="00F839DB">
            <w:pPr>
              <w:pStyle w:val="Tableabc7pt"/>
              <w:numPr>
                <w:ilvl w:val="0"/>
                <w:numId w:val="169"/>
              </w:numPr>
              <w:spacing w:before="0" w:after="60"/>
              <w:rPr>
                <w:lang w:val="en-GB"/>
              </w:rPr>
            </w:pPr>
            <w:r w:rsidRPr="0087245A">
              <w:rPr>
                <w:lang w:val="en-GB"/>
              </w:rPr>
              <w:t>the worker’s spouse at the time of the worker’s death; or</w:t>
            </w:r>
          </w:p>
          <w:p w14:paraId="02D7D161" w14:textId="77777777" w:rsidR="0087245A" w:rsidRPr="006E06B7" w:rsidRDefault="0087245A" w:rsidP="00F839DB">
            <w:pPr>
              <w:pStyle w:val="ListParagraph"/>
              <w:numPr>
                <w:ilvl w:val="0"/>
                <w:numId w:val="169"/>
              </w:numPr>
              <w:spacing w:after="60"/>
              <w:rPr>
                <w:rFonts w:cs="Arial"/>
                <w:color w:val="000000"/>
                <w:sz w:val="14"/>
                <w:szCs w:val="16"/>
                <w:lang w:val="en-GB"/>
              </w:rPr>
            </w:pPr>
            <w:r w:rsidRPr="006E06B7">
              <w:rPr>
                <w:rFonts w:cs="Arial"/>
                <w:color w:val="000000"/>
                <w:sz w:val="14"/>
                <w:szCs w:val="16"/>
                <w:lang w:val="en-GB"/>
              </w:rPr>
              <w:t xml:space="preserve">a person of the opposite sex who, though not married to the worker, lived with the worker at the time of the worker’s death on a permanent and bona fide domestic basis; </w:t>
            </w:r>
          </w:p>
          <w:p w14:paraId="2C883674" w14:textId="77777777" w:rsidR="0087245A" w:rsidRPr="006E06B7" w:rsidRDefault="0087245A" w:rsidP="00F839DB">
            <w:pPr>
              <w:pStyle w:val="ListParagraph"/>
              <w:numPr>
                <w:ilvl w:val="0"/>
                <w:numId w:val="171"/>
              </w:numPr>
              <w:spacing w:after="60"/>
              <w:contextualSpacing/>
              <w:rPr>
                <w:rFonts w:eastAsia="Calibri" w:cs="Arial"/>
                <w:sz w:val="14"/>
                <w:szCs w:val="14"/>
                <w:lang w:eastAsia="en-US"/>
              </w:rPr>
            </w:pPr>
            <w:r w:rsidRPr="006E06B7">
              <w:rPr>
                <w:rFonts w:eastAsia="Calibri" w:cs="Arial"/>
                <w:sz w:val="14"/>
                <w:szCs w:val="14"/>
                <w:lang w:eastAsia="en-US"/>
              </w:rPr>
              <w:t>in relation to a worker who dies on or after that commencement — the workers’ spouse or domestic partner at the time of the worker’s death.</w:t>
            </w:r>
          </w:p>
          <w:p w14:paraId="009DCD2C" w14:textId="77777777" w:rsidR="0087245A" w:rsidRPr="006E06B7" w:rsidRDefault="0087245A" w:rsidP="00F839DB">
            <w:pPr>
              <w:pStyle w:val="ListParagraph"/>
              <w:numPr>
                <w:ilvl w:val="0"/>
                <w:numId w:val="172"/>
              </w:numPr>
              <w:spacing w:after="60"/>
              <w:contextualSpacing/>
              <w:rPr>
                <w:rFonts w:eastAsia="Calibri" w:cs="Arial"/>
                <w:sz w:val="14"/>
                <w:szCs w:val="14"/>
                <w:lang w:eastAsia="en-US"/>
              </w:rPr>
            </w:pPr>
            <w:r w:rsidRPr="006E06B7">
              <w:rPr>
                <w:rFonts w:eastAsia="Calibri" w:cs="Arial"/>
                <w:sz w:val="14"/>
                <w:szCs w:val="14"/>
                <w:lang w:eastAsia="en-US"/>
              </w:rPr>
              <w:t xml:space="preserve">s3 — ‘domestic partner’ of a person means: </w:t>
            </w:r>
          </w:p>
          <w:p w14:paraId="40D4D0F9" w14:textId="77777777" w:rsidR="0087245A" w:rsidRPr="006E06B7" w:rsidRDefault="0087245A" w:rsidP="00F839DB">
            <w:pPr>
              <w:pStyle w:val="ListParagraph"/>
              <w:numPr>
                <w:ilvl w:val="0"/>
                <w:numId w:val="173"/>
              </w:numPr>
              <w:spacing w:after="60"/>
              <w:contextualSpacing/>
              <w:rPr>
                <w:rFonts w:eastAsia="Calibri" w:cs="Arial"/>
                <w:sz w:val="14"/>
                <w:szCs w:val="14"/>
                <w:lang w:eastAsia="en-US"/>
              </w:rPr>
            </w:pPr>
            <w:r w:rsidRPr="006E06B7">
              <w:rPr>
                <w:rFonts w:eastAsia="Calibri" w:cs="Arial"/>
                <w:sz w:val="14"/>
                <w:szCs w:val="14"/>
                <w:lang w:eastAsia="en-US"/>
              </w:rPr>
              <w:t>a person who is in a registered domestic relationship, or</w:t>
            </w:r>
          </w:p>
          <w:p w14:paraId="3F61BEF1" w14:textId="77777777" w:rsidR="0087245A" w:rsidRPr="006E06B7" w:rsidRDefault="0087245A" w:rsidP="00F839DB">
            <w:pPr>
              <w:pStyle w:val="ListParagraph"/>
              <w:numPr>
                <w:ilvl w:val="0"/>
                <w:numId w:val="173"/>
              </w:numPr>
              <w:spacing w:after="60"/>
              <w:contextualSpacing/>
              <w:rPr>
                <w:rFonts w:eastAsia="Calibri" w:cs="Arial"/>
                <w:sz w:val="14"/>
                <w:szCs w:val="14"/>
                <w:lang w:eastAsia="en-US"/>
              </w:rPr>
            </w:pPr>
            <w:r w:rsidRPr="006E06B7">
              <w:rPr>
                <w:rFonts w:eastAsia="Calibri" w:cs="Arial"/>
                <w:sz w:val="14"/>
                <w:szCs w:val="14"/>
                <w:lang w:eastAsia="en-US"/>
              </w:rPr>
              <w:t>a person to whom the person is not married but with whom the person is living as a couple on a genuine domestic basis (irrespective of gender).</w:t>
            </w:r>
          </w:p>
        </w:tc>
        <w:tc>
          <w:tcPr>
            <w:tcW w:w="3449" w:type="dxa"/>
            <w:tcMar>
              <w:top w:w="80" w:type="dxa"/>
              <w:left w:w="80" w:type="dxa"/>
              <w:bottom w:w="80" w:type="dxa"/>
              <w:right w:w="80" w:type="dxa"/>
            </w:tcMar>
          </w:tcPr>
          <w:p w14:paraId="23E70ABB" w14:textId="72295438" w:rsidR="0087245A" w:rsidRPr="006E06B7" w:rsidRDefault="002C086D" w:rsidP="00F839DB">
            <w:pPr>
              <w:pStyle w:val="ListParagraph"/>
              <w:numPr>
                <w:ilvl w:val="0"/>
                <w:numId w:val="172"/>
              </w:numPr>
              <w:spacing w:after="60"/>
              <w:contextualSpacing/>
              <w:rPr>
                <w:rFonts w:eastAsia="Calibri" w:cs="Arial"/>
                <w:sz w:val="14"/>
                <w:szCs w:val="14"/>
                <w:lang w:eastAsia="en-US"/>
              </w:rPr>
            </w:pPr>
            <w:r>
              <w:rPr>
                <w:rFonts w:eastAsia="Calibri" w:cs="Arial"/>
                <w:sz w:val="14"/>
                <w:szCs w:val="14"/>
                <w:lang w:eastAsia="en-US"/>
              </w:rPr>
              <w:lastRenderedPageBreak/>
              <w:t>Yes</w:t>
            </w:r>
          </w:p>
          <w:p w14:paraId="71935FFA" w14:textId="362D74CD" w:rsidR="0087245A" w:rsidRPr="006E06B7" w:rsidRDefault="00A7538C" w:rsidP="00F839DB">
            <w:pPr>
              <w:pStyle w:val="ListParagraph"/>
              <w:numPr>
                <w:ilvl w:val="0"/>
                <w:numId w:val="172"/>
              </w:numPr>
              <w:spacing w:after="60"/>
              <w:contextualSpacing/>
              <w:rPr>
                <w:rFonts w:eastAsia="Calibri" w:cs="Arial"/>
                <w:sz w:val="14"/>
                <w:szCs w:val="14"/>
                <w:lang w:eastAsia="en-US"/>
              </w:rPr>
            </w:pPr>
            <w:hyperlink r:id="rId1304" w:history="1">
              <w:r w:rsidR="0087245A" w:rsidRPr="007A0BC2">
                <w:rPr>
                  <w:rStyle w:val="Hyperlink"/>
                  <w:rFonts w:eastAsia="Calibri" w:cs="Arial"/>
                  <w:sz w:val="14"/>
                  <w:szCs w:val="14"/>
                  <w:lang w:eastAsia="en-US"/>
                </w:rPr>
                <w:t>s234</w:t>
              </w:r>
            </w:hyperlink>
            <w:r w:rsidR="0087245A" w:rsidRPr="006E06B7">
              <w:rPr>
                <w:rFonts w:eastAsia="Calibri" w:cs="Arial"/>
                <w:sz w:val="14"/>
                <w:szCs w:val="14"/>
                <w:lang w:eastAsia="en-US"/>
              </w:rPr>
              <w:t>: Revised c</w:t>
            </w:r>
            <w:r w:rsidR="002C086D">
              <w:rPr>
                <w:rFonts w:eastAsia="Calibri" w:cs="Arial"/>
                <w:sz w:val="14"/>
                <w:szCs w:val="14"/>
                <w:lang w:eastAsia="en-US"/>
              </w:rPr>
              <w:t>ompensation for death of worker</w:t>
            </w:r>
          </w:p>
          <w:p w14:paraId="3A3508E4" w14:textId="3A196686" w:rsidR="0087245A" w:rsidRPr="002C086D" w:rsidRDefault="0087245A" w:rsidP="00F839DB">
            <w:pPr>
              <w:pStyle w:val="ListParagraph"/>
              <w:numPr>
                <w:ilvl w:val="0"/>
                <w:numId w:val="172"/>
              </w:numPr>
              <w:spacing w:after="60"/>
              <w:contextualSpacing/>
              <w:rPr>
                <w:rFonts w:eastAsia="Calibri" w:cs="Arial"/>
                <w:sz w:val="14"/>
                <w:szCs w:val="14"/>
                <w:lang w:eastAsia="en-US"/>
              </w:rPr>
            </w:pPr>
            <w:r w:rsidRPr="006E06B7">
              <w:rPr>
                <w:rFonts w:eastAsia="Calibri" w:cs="Arial"/>
                <w:sz w:val="14"/>
                <w:szCs w:val="14"/>
                <w:lang w:eastAsia="en-US"/>
              </w:rPr>
              <w:t>Includes definitions:</w:t>
            </w:r>
            <w:r w:rsidR="002C086D">
              <w:rPr>
                <w:rFonts w:eastAsia="Calibri" w:cs="Arial"/>
                <w:sz w:val="14"/>
                <w:szCs w:val="14"/>
                <w:lang w:eastAsia="en-US"/>
              </w:rPr>
              <w:t xml:space="preserve"> </w:t>
            </w:r>
            <w:r w:rsidRPr="002C086D">
              <w:rPr>
                <w:rFonts w:eastAsia="Calibri" w:cs="Arial"/>
                <w:sz w:val="14"/>
                <w:szCs w:val="14"/>
                <w:lang w:eastAsia="en-US"/>
              </w:rPr>
              <w:t>‘partially dependant partner’ means a partner who is to any extent dep</w:t>
            </w:r>
            <w:r w:rsidR="002C086D">
              <w:rPr>
                <w:rFonts w:eastAsia="Calibri" w:cs="Arial"/>
                <w:sz w:val="14"/>
                <w:szCs w:val="14"/>
                <w:lang w:eastAsia="en-US"/>
              </w:rPr>
              <w:t xml:space="preserve">endant on the worker’s earnings, </w:t>
            </w:r>
            <w:r w:rsidRPr="002C086D">
              <w:rPr>
                <w:rFonts w:eastAsia="Calibri" w:cs="Arial"/>
                <w:sz w:val="14"/>
                <w:szCs w:val="14"/>
                <w:lang w:eastAsia="en-US"/>
              </w:rPr>
              <w:lastRenderedPageBreak/>
              <w:t>‘dependant partner’ means a partner wholly or mainly dependant on the worker’s earnings.</w:t>
            </w:r>
          </w:p>
        </w:tc>
        <w:tc>
          <w:tcPr>
            <w:tcW w:w="3449" w:type="dxa"/>
            <w:tcMar>
              <w:top w:w="80" w:type="dxa"/>
              <w:left w:w="80" w:type="dxa"/>
              <w:bottom w:w="80" w:type="dxa"/>
              <w:right w:w="80" w:type="dxa"/>
            </w:tcMar>
          </w:tcPr>
          <w:p w14:paraId="1FA2E9D2" w14:textId="3E7EF52A" w:rsidR="0087245A" w:rsidRPr="0087245A" w:rsidRDefault="00A7538C" w:rsidP="00292A53">
            <w:pPr>
              <w:spacing w:after="60"/>
              <w:rPr>
                <w:rFonts w:cs="Arial"/>
                <w:color w:val="000000"/>
                <w:sz w:val="14"/>
                <w:szCs w:val="16"/>
                <w:lang w:val="en-GB"/>
              </w:rPr>
            </w:pPr>
            <w:hyperlink r:id="rId1305" w:history="1">
              <w:r w:rsidR="0087245A" w:rsidRPr="007A0BC2">
                <w:rPr>
                  <w:rStyle w:val="Hyperlink"/>
                  <w:rFonts w:cs="Arial"/>
                  <w:sz w:val="14"/>
                  <w:szCs w:val="16"/>
                  <w:lang w:val="en-GB"/>
                </w:rPr>
                <w:t>s3</w:t>
              </w:r>
            </w:hyperlink>
            <w:r w:rsidR="0087245A" w:rsidRPr="0087245A">
              <w:rPr>
                <w:rFonts w:cs="Arial"/>
                <w:color w:val="000000"/>
                <w:sz w:val="14"/>
                <w:szCs w:val="16"/>
                <w:lang w:val="en-GB"/>
              </w:rPr>
              <w:t xml:space="preserve"> — ‘member of a family’ means the partner, father, mother, grandfather, grandmother, stepfather, step-mother, son, daughter, grandson, grand-daughter, step-son, step-daughter, brother, sister, half-brother, half-sister and any person who stands in the place of a parent in relation to anot</w:t>
            </w:r>
            <w:r w:rsidR="002C086D">
              <w:rPr>
                <w:rFonts w:cs="Arial"/>
                <w:color w:val="000000"/>
                <w:sz w:val="14"/>
                <w:szCs w:val="16"/>
                <w:lang w:val="en-GB"/>
              </w:rPr>
              <w:t xml:space="preserve">her person or that other </w:t>
            </w:r>
            <w:r w:rsidR="002C086D">
              <w:rPr>
                <w:rFonts w:cs="Arial"/>
                <w:color w:val="000000"/>
                <w:sz w:val="14"/>
                <w:szCs w:val="16"/>
                <w:lang w:val="en-GB"/>
              </w:rPr>
              <w:lastRenderedPageBreak/>
              <w:t>person</w:t>
            </w:r>
          </w:p>
        </w:tc>
      </w:tr>
      <w:tr w:rsidR="0087245A" w:rsidRPr="0087245A" w14:paraId="697342CA" w14:textId="77777777" w:rsidTr="00B2173F">
        <w:tc>
          <w:tcPr>
            <w:tcW w:w="1626" w:type="dxa"/>
            <w:shd w:val="clear" w:color="auto" w:fill="FFC9C9"/>
            <w:tcMar>
              <w:top w:w="80" w:type="dxa"/>
              <w:left w:w="80" w:type="dxa"/>
              <w:bottom w:w="80" w:type="dxa"/>
              <w:right w:w="80" w:type="dxa"/>
            </w:tcMar>
          </w:tcPr>
          <w:p w14:paraId="019BE64B"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lastRenderedPageBreak/>
              <w:t>Queensland</w:t>
            </w:r>
          </w:p>
        </w:tc>
        <w:tc>
          <w:tcPr>
            <w:tcW w:w="3448" w:type="dxa"/>
            <w:shd w:val="clear" w:color="auto" w:fill="FFC9C9"/>
            <w:tcMar>
              <w:top w:w="80" w:type="dxa"/>
              <w:left w:w="80" w:type="dxa"/>
              <w:bottom w:w="80" w:type="dxa"/>
              <w:right w:w="80" w:type="dxa"/>
            </w:tcMar>
          </w:tcPr>
          <w:p w14:paraId="54DE8B3C" w14:textId="7E74977E" w:rsidR="0087245A" w:rsidRPr="0087245A" w:rsidRDefault="00A7538C" w:rsidP="00292A53">
            <w:pPr>
              <w:spacing w:after="60"/>
              <w:rPr>
                <w:rFonts w:cs="Arial"/>
                <w:color w:val="000000"/>
                <w:sz w:val="14"/>
                <w:szCs w:val="16"/>
                <w:lang w:val="en-GB"/>
              </w:rPr>
            </w:pPr>
            <w:hyperlink r:id="rId1306" w:anchor="ch.3-pt.11" w:history="1">
              <w:r w:rsidR="0087245A" w:rsidRPr="00783FC3">
                <w:rPr>
                  <w:rStyle w:val="Hyperlink"/>
                  <w:rFonts w:cs="Arial"/>
                  <w:sz w:val="14"/>
                  <w:szCs w:val="16"/>
                  <w:lang w:val="en-GB"/>
                </w:rPr>
                <w:t>Chapter 3 part 11</w:t>
              </w:r>
            </w:hyperlink>
            <w:r w:rsidR="0087245A" w:rsidRPr="0087245A">
              <w:rPr>
                <w:rFonts w:cs="Arial"/>
                <w:color w:val="000000"/>
                <w:sz w:val="14"/>
                <w:szCs w:val="16"/>
                <w:lang w:val="en-GB"/>
              </w:rPr>
              <w:t>: dependant</w:t>
            </w:r>
            <w:r w:rsidR="00406F00">
              <w:rPr>
                <w:rFonts w:cs="Arial"/>
                <w:color w:val="000000"/>
                <w:sz w:val="14"/>
                <w:szCs w:val="16"/>
                <w:lang w:val="en-GB"/>
              </w:rPr>
              <w:t xml:space="preserve"> – </w:t>
            </w:r>
            <w:r w:rsidR="00406F00" w:rsidRPr="00016069">
              <w:rPr>
                <w:i/>
                <w:sz w:val="14"/>
              </w:rPr>
              <w:t>Workers’ Compensation and Rehabilitation Act 2003</w:t>
            </w:r>
            <w:r w:rsidR="00E13D9F">
              <w:rPr>
                <w:rFonts w:cs="Arial"/>
                <w:color w:val="000000"/>
                <w:sz w:val="14"/>
                <w:szCs w:val="16"/>
                <w:lang w:val="en-GB"/>
              </w:rPr>
              <w:t>.</w:t>
            </w:r>
          </w:p>
        </w:tc>
        <w:tc>
          <w:tcPr>
            <w:tcW w:w="3449" w:type="dxa"/>
            <w:shd w:val="clear" w:color="auto" w:fill="FFC9C9"/>
            <w:tcMar>
              <w:top w:w="80" w:type="dxa"/>
              <w:left w:w="80" w:type="dxa"/>
              <w:bottom w:w="80" w:type="dxa"/>
              <w:right w:w="80" w:type="dxa"/>
            </w:tcMar>
          </w:tcPr>
          <w:p w14:paraId="78905B48" w14:textId="6038BF97" w:rsidR="0087245A" w:rsidRPr="006E06B7" w:rsidRDefault="00A7538C" w:rsidP="00F839DB">
            <w:pPr>
              <w:pStyle w:val="ListParagraph"/>
              <w:numPr>
                <w:ilvl w:val="0"/>
                <w:numId w:val="174"/>
              </w:numPr>
              <w:spacing w:after="60"/>
              <w:contextualSpacing/>
              <w:rPr>
                <w:rFonts w:eastAsia="Calibri" w:cs="Arial"/>
                <w:sz w:val="14"/>
                <w:szCs w:val="14"/>
                <w:lang w:eastAsia="en-US"/>
              </w:rPr>
            </w:pPr>
            <w:hyperlink r:id="rId1307" w:anchor="sec.27" w:history="1">
              <w:r w:rsidR="0087245A" w:rsidRPr="00406F00">
                <w:rPr>
                  <w:rStyle w:val="Hyperlink"/>
                  <w:rFonts w:eastAsia="Calibri" w:cs="Arial"/>
                  <w:sz w:val="14"/>
                  <w:szCs w:val="14"/>
                  <w:lang w:eastAsia="en-US"/>
                </w:rPr>
                <w:t>s27</w:t>
              </w:r>
            </w:hyperlink>
            <w:r w:rsidR="0087245A" w:rsidRPr="006E06B7">
              <w:rPr>
                <w:rFonts w:eastAsia="Calibri" w:cs="Arial"/>
                <w:sz w:val="14"/>
                <w:szCs w:val="14"/>
                <w:lang w:eastAsia="en-US"/>
              </w:rPr>
              <w:t xml:space="preserve"> — Meaning of dependant — A dependant, of a deceased worker, is a member of the deceased worker’s family who was completely or partly dependant on the worker’s earnings at the time of the worker’s death or, but for the worker’s death, would have been so dependant.</w:t>
            </w:r>
          </w:p>
          <w:p w14:paraId="550AC055" w14:textId="1DB070C0" w:rsidR="0087245A" w:rsidRPr="006E06B7" w:rsidRDefault="00A7538C" w:rsidP="00F839DB">
            <w:pPr>
              <w:pStyle w:val="ListParagraph"/>
              <w:numPr>
                <w:ilvl w:val="0"/>
                <w:numId w:val="174"/>
              </w:numPr>
              <w:spacing w:after="60"/>
              <w:contextualSpacing/>
              <w:rPr>
                <w:rFonts w:eastAsia="Calibri" w:cs="Arial"/>
                <w:sz w:val="14"/>
                <w:szCs w:val="14"/>
                <w:lang w:eastAsia="en-US"/>
              </w:rPr>
            </w:pPr>
            <w:hyperlink r:id="rId1308" w:anchor="sec.29" w:history="1">
              <w:r w:rsidR="0087245A" w:rsidRPr="00406F00">
                <w:rPr>
                  <w:rStyle w:val="Hyperlink"/>
                  <w:rFonts w:eastAsia="Calibri" w:cs="Arial"/>
                  <w:sz w:val="14"/>
                  <w:szCs w:val="14"/>
                  <w:lang w:eastAsia="en-US"/>
                </w:rPr>
                <w:t>s29</w:t>
              </w:r>
            </w:hyperlink>
            <w:r w:rsidR="0087245A" w:rsidRPr="006E06B7">
              <w:rPr>
                <w:rFonts w:eastAsia="Calibri" w:cs="Arial"/>
                <w:sz w:val="14"/>
                <w:szCs w:val="14"/>
                <w:lang w:eastAsia="en-US"/>
              </w:rPr>
              <w:t xml:space="preserve"> — Who is the spouse of a deceased worker:</w:t>
            </w:r>
          </w:p>
          <w:p w14:paraId="18815B5E" w14:textId="736A9D41" w:rsidR="0087245A" w:rsidRPr="006E06B7" w:rsidRDefault="0087245A" w:rsidP="00F839DB">
            <w:pPr>
              <w:pStyle w:val="Table1231"/>
              <w:numPr>
                <w:ilvl w:val="0"/>
                <w:numId w:val="175"/>
              </w:numPr>
              <w:spacing w:before="0" w:after="60"/>
              <w:rPr>
                <w:rFonts w:eastAsia="Calibri"/>
                <w:lang w:eastAsia="en-US"/>
              </w:rPr>
            </w:pPr>
            <w:r w:rsidRPr="006E06B7">
              <w:rPr>
                <w:rFonts w:eastAsia="Calibri"/>
                <w:lang w:eastAsia="en-US"/>
              </w:rPr>
              <w:t xml:space="preserve">The spouse, of a deceased worker, includes the worker’s de facto partner only if the worker and the de facto partner lived together as a couple on a genuine domestic basis within the meaning of </w:t>
            </w:r>
            <w:hyperlink r:id="rId1309" w:anchor="sec.32DA" w:history="1">
              <w:r w:rsidRPr="00AB7377">
                <w:rPr>
                  <w:rStyle w:val="Hyperlink"/>
                  <w:rFonts w:eastAsia="Calibri"/>
                  <w:lang w:eastAsia="en-US"/>
                </w:rPr>
                <w:t>s32DA</w:t>
              </w:r>
            </w:hyperlink>
            <w:r w:rsidRPr="006E06B7">
              <w:rPr>
                <w:rFonts w:eastAsia="Calibri"/>
                <w:lang w:eastAsia="en-US"/>
              </w:rPr>
              <w:t xml:space="preserve"> </w:t>
            </w:r>
            <w:r w:rsidRPr="0093523D">
              <w:rPr>
                <w:rFonts w:eastAsia="Calibri"/>
                <w:i/>
                <w:lang w:eastAsia="en-US"/>
              </w:rPr>
              <w:t>Acts Interpretation Act 1954</w:t>
            </w:r>
            <w:r w:rsidRPr="006E06B7">
              <w:rPr>
                <w:rFonts w:eastAsia="Calibri"/>
                <w:lang w:eastAsia="en-US"/>
              </w:rPr>
              <w:t xml:space="preserve">: </w:t>
            </w:r>
          </w:p>
          <w:p w14:paraId="359ADA80" w14:textId="77777777" w:rsidR="0087245A" w:rsidRPr="006E06B7" w:rsidRDefault="0087245A" w:rsidP="00F839DB">
            <w:pPr>
              <w:pStyle w:val="Tableabc7pt"/>
              <w:numPr>
                <w:ilvl w:val="0"/>
                <w:numId w:val="176"/>
              </w:numPr>
              <w:spacing w:before="0" w:after="60"/>
              <w:rPr>
                <w:rFonts w:eastAsia="Calibri"/>
                <w:lang w:eastAsia="en-US"/>
              </w:rPr>
            </w:pPr>
            <w:r w:rsidRPr="006E06B7">
              <w:rPr>
                <w:rFonts w:eastAsia="Calibri"/>
                <w:lang w:eastAsia="en-US"/>
              </w:rPr>
              <w:t xml:space="preserve">generally — </w:t>
            </w:r>
          </w:p>
          <w:p w14:paraId="10BD2091" w14:textId="77777777" w:rsidR="0087245A" w:rsidRPr="0087245A" w:rsidRDefault="0087245A" w:rsidP="00F839DB">
            <w:pPr>
              <w:pStyle w:val="Tableabc7pt"/>
              <w:numPr>
                <w:ilvl w:val="0"/>
                <w:numId w:val="177"/>
              </w:numPr>
              <w:spacing w:before="0" w:after="60"/>
              <w:ind w:left="357" w:hanging="357"/>
              <w:rPr>
                <w:lang w:val="en-GB"/>
              </w:rPr>
            </w:pPr>
            <w:r w:rsidRPr="0087245A">
              <w:rPr>
                <w:lang w:val="en-GB"/>
              </w:rPr>
              <w:t>for a continuous period of at least 2 years ending on the worker’s death; or</w:t>
            </w:r>
          </w:p>
          <w:p w14:paraId="429719C4" w14:textId="77777777" w:rsidR="0087245A" w:rsidRPr="006E06B7" w:rsidRDefault="0087245A" w:rsidP="00F839DB">
            <w:pPr>
              <w:pStyle w:val="ListParagraph"/>
              <w:numPr>
                <w:ilvl w:val="0"/>
                <w:numId w:val="177"/>
              </w:numPr>
              <w:spacing w:after="60"/>
              <w:ind w:left="357" w:hanging="357"/>
              <w:rPr>
                <w:rFonts w:cs="Arial"/>
                <w:color w:val="000000"/>
                <w:sz w:val="14"/>
                <w:szCs w:val="16"/>
                <w:lang w:val="en-GB"/>
              </w:rPr>
            </w:pPr>
            <w:r w:rsidRPr="006E06B7">
              <w:rPr>
                <w:rFonts w:cs="Arial"/>
                <w:color w:val="000000"/>
                <w:sz w:val="14"/>
                <w:szCs w:val="16"/>
                <w:lang w:val="en-GB"/>
              </w:rPr>
              <w:t>for a shorter period ending on the deceased’s death, if the circumstances of the de facto relationship of the deceased and the de facto partner evidenced a clear intention that the relationship be a long term, committed relationship, or</w:t>
            </w:r>
          </w:p>
          <w:p w14:paraId="39C44BCC" w14:textId="77777777" w:rsidR="0087245A" w:rsidRPr="006E06B7" w:rsidRDefault="0087245A" w:rsidP="00F839DB">
            <w:pPr>
              <w:pStyle w:val="ListParagraph"/>
              <w:numPr>
                <w:ilvl w:val="0"/>
                <w:numId w:val="178"/>
              </w:numPr>
              <w:spacing w:after="60"/>
              <w:rPr>
                <w:rFonts w:eastAsia="Calibri" w:cs="Arial"/>
                <w:sz w:val="14"/>
                <w:szCs w:val="14"/>
                <w:lang w:eastAsia="en-US"/>
              </w:rPr>
            </w:pPr>
            <w:r w:rsidRPr="006E06B7">
              <w:rPr>
                <w:rFonts w:eastAsia="Calibri" w:cs="Arial"/>
                <w:sz w:val="14"/>
                <w:szCs w:val="14"/>
                <w:lang w:eastAsia="en-US"/>
              </w:rPr>
              <w:t xml:space="preserve">if the deceased left a dependant who is a child of the relationship — immediately before the </w:t>
            </w:r>
            <w:r w:rsidRPr="006E06B7">
              <w:rPr>
                <w:rFonts w:eastAsia="Calibri" w:cs="Arial"/>
                <w:sz w:val="14"/>
                <w:szCs w:val="14"/>
                <w:lang w:eastAsia="en-US"/>
              </w:rPr>
              <w:lastRenderedPageBreak/>
              <w:t>worker’s death.</w:t>
            </w:r>
          </w:p>
        </w:tc>
        <w:tc>
          <w:tcPr>
            <w:tcW w:w="3449" w:type="dxa"/>
            <w:shd w:val="clear" w:color="auto" w:fill="FFC9C9"/>
            <w:tcMar>
              <w:top w:w="80" w:type="dxa"/>
              <w:left w:w="80" w:type="dxa"/>
              <w:bottom w:w="80" w:type="dxa"/>
              <w:right w:w="80" w:type="dxa"/>
            </w:tcMar>
          </w:tcPr>
          <w:p w14:paraId="3A9C918C"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lastRenderedPageBreak/>
              <w:t xml:space="preserve">Under the </w:t>
            </w:r>
            <w:r w:rsidRPr="0093523D">
              <w:rPr>
                <w:rFonts w:cs="Arial"/>
                <w:i/>
                <w:color w:val="000000"/>
                <w:sz w:val="14"/>
                <w:szCs w:val="16"/>
                <w:lang w:val="en-GB"/>
              </w:rPr>
              <w:t>Acts Interpretation Act 1954</w:t>
            </w:r>
            <w:r w:rsidRPr="0087245A">
              <w:rPr>
                <w:rFonts w:cs="Arial"/>
                <w:color w:val="000000"/>
                <w:sz w:val="14"/>
                <w:szCs w:val="16"/>
                <w:lang w:val="en-GB"/>
              </w:rPr>
              <w:t>, ‘spouse’ includes a de facto partner or civil partner. For either de facto partner or civil partner, the gender of the person is not relevant.</w:t>
            </w:r>
          </w:p>
        </w:tc>
        <w:tc>
          <w:tcPr>
            <w:tcW w:w="3449" w:type="dxa"/>
            <w:shd w:val="clear" w:color="auto" w:fill="FFC9C9"/>
            <w:tcMar>
              <w:top w:w="80" w:type="dxa"/>
              <w:left w:w="80" w:type="dxa"/>
              <w:bottom w:w="80" w:type="dxa"/>
              <w:right w:w="80" w:type="dxa"/>
            </w:tcMar>
          </w:tcPr>
          <w:p w14:paraId="238889CB" w14:textId="5659AB6F" w:rsidR="0087245A" w:rsidRPr="0087245A" w:rsidRDefault="00A7538C" w:rsidP="00292A53">
            <w:pPr>
              <w:spacing w:after="60"/>
              <w:rPr>
                <w:rFonts w:cs="Arial"/>
                <w:color w:val="000000"/>
                <w:sz w:val="14"/>
                <w:szCs w:val="16"/>
                <w:lang w:val="en-GB"/>
              </w:rPr>
            </w:pPr>
            <w:hyperlink r:id="rId1310" w:anchor="sec.28" w:history="1">
              <w:r w:rsidR="0087245A" w:rsidRPr="00406F00">
                <w:rPr>
                  <w:rStyle w:val="Hyperlink"/>
                  <w:rFonts w:cs="Arial"/>
                  <w:sz w:val="14"/>
                  <w:szCs w:val="16"/>
                  <w:lang w:val="en-GB"/>
                </w:rPr>
                <w:t>s28</w:t>
              </w:r>
            </w:hyperlink>
            <w:r w:rsidR="0087245A" w:rsidRPr="0087245A">
              <w:rPr>
                <w:rFonts w:cs="Arial"/>
                <w:color w:val="000000"/>
                <w:sz w:val="14"/>
                <w:szCs w:val="16"/>
                <w:lang w:val="en-GB"/>
              </w:rPr>
              <w:t xml:space="preserve"> — Meaning of member of the family — A person is a member of the family of a deceased worker, if the person is — </w:t>
            </w:r>
          </w:p>
          <w:p w14:paraId="481AF3BB" w14:textId="77777777" w:rsidR="0087245A" w:rsidRPr="00945540" w:rsidRDefault="0087245A" w:rsidP="00F839DB">
            <w:pPr>
              <w:pStyle w:val="ListParagraph"/>
              <w:numPr>
                <w:ilvl w:val="0"/>
                <w:numId w:val="537"/>
              </w:numPr>
              <w:spacing w:after="60"/>
              <w:contextualSpacing/>
              <w:rPr>
                <w:rFonts w:eastAsia="Calibri" w:cs="Arial"/>
                <w:sz w:val="14"/>
                <w:szCs w:val="14"/>
                <w:lang w:eastAsia="en-US"/>
              </w:rPr>
            </w:pPr>
            <w:r w:rsidRPr="00945540">
              <w:rPr>
                <w:rFonts w:eastAsia="Calibri" w:cs="Arial"/>
                <w:sz w:val="14"/>
                <w:szCs w:val="14"/>
                <w:lang w:eastAsia="en-US"/>
              </w:rPr>
              <w:t>the worker’s</w:t>
            </w:r>
            <w:r w:rsidR="00B27717" w:rsidRPr="00945540">
              <w:rPr>
                <w:rFonts w:eastAsia="Calibri" w:cs="Arial"/>
                <w:sz w:val="14"/>
                <w:szCs w:val="14"/>
                <w:lang w:eastAsia="en-US"/>
              </w:rPr>
              <w:t>:</w:t>
            </w:r>
            <w:r w:rsidRPr="00945540">
              <w:rPr>
                <w:rFonts w:eastAsia="Calibri" w:cs="Arial"/>
                <w:sz w:val="14"/>
                <w:szCs w:val="14"/>
                <w:lang w:eastAsia="en-US"/>
              </w:rPr>
              <w:t xml:space="preserve"> </w:t>
            </w:r>
          </w:p>
          <w:p w14:paraId="4D05359C" w14:textId="77777777" w:rsidR="0087245A" w:rsidRPr="006E06B7" w:rsidRDefault="0087245A" w:rsidP="00F839DB">
            <w:pPr>
              <w:pStyle w:val="ListParagraph"/>
              <w:numPr>
                <w:ilvl w:val="0"/>
                <w:numId w:val="179"/>
              </w:numPr>
              <w:spacing w:after="60"/>
              <w:rPr>
                <w:rFonts w:cs="Arial"/>
                <w:color w:val="000000"/>
                <w:sz w:val="14"/>
                <w:szCs w:val="16"/>
                <w:lang w:val="en-GB"/>
              </w:rPr>
            </w:pPr>
            <w:r w:rsidRPr="006E06B7">
              <w:rPr>
                <w:rFonts w:cs="Arial"/>
                <w:color w:val="000000"/>
                <w:sz w:val="14"/>
                <w:szCs w:val="16"/>
                <w:lang w:val="en-GB"/>
              </w:rPr>
              <w:t>spouse, or</w:t>
            </w:r>
          </w:p>
          <w:p w14:paraId="5BE671FE" w14:textId="77777777" w:rsidR="0087245A" w:rsidRPr="006E06B7" w:rsidRDefault="0087245A" w:rsidP="00F839DB">
            <w:pPr>
              <w:pStyle w:val="ListParagraph"/>
              <w:numPr>
                <w:ilvl w:val="0"/>
                <w:numId w:val="179"/>
              </w:numPr>
              <w:spacing w:after="60"/>
              <w:rPr>
                <w:rFonts w:cs="Arial"/>
                <w:color w:val="000000"/>
                <w:sz w:val="14"/>
                <w:szCs w:val="16"/>
                <w:lang w:val="en-GB"/>
              </w:rPr>
            </w:pPr>
            <w:r w:rsidRPr="006E06B7">
              <w:rPr>
                <w:rFonts w:cs="Arial"/>
                <w:color w:val="000000"/>
                <w:sz w:val="14"/>
                <w:szCs w:val="16"/>
                <w:lang w:val="en-GB"/>
              </w:rPr>
              <w:t>parent, grandparent and stepparent, or</w:t>
            </w:r>
          </w:p>
          <w:p w14:paraId="32B012B0" w14:textId="77777777" w:rsidR="0087245A" w:rsidRPr="006E06B7" w:rsidRDefault="0087245A" w:rsidP="00F839DB">
            <w:pPr>
              <w:pStyle w:val="ListParagraph"/>
              <w:numPr>
                <w:ilvl w:val="0"/>
                <w:numId w:val="179"/>
              </w:numPr>
              <w:spacing w:after="60"/>
              <w:rPr>
                <w:rFonts w:cs="Arial"/>
                <w:color w:val="000000"/>
                <w:sz w:val="14"/>
                <w:szCs w:val="16"/>
                <w:lang w:val="en-GB"/>
              </w:rPr>
            </w:pPr>
            <w:r w:rsidRPr="006E06B7">
              <w:rPr>
                <w:rFonts w:cs="Arial"/>
                <w:color w:val="000000"/>
                <w:sz w:val="14"/>
                <w:szCs w:val="16"/>
                <w:lang w:val="en-GB"/>
              </w:rPr>
              <w:t>child, grandchild and stepchild, or</w:t>
            </w:r>
          </w:p>
          <w:p w14:paraId="27C9B59E" w14:textId="77777777" w:rsidR="0087245A" w:rsidRPr="006E06B7" w:rsidRDefault="0087245A" w:rsidP="00F839DB">
            <w:pPr>
              <w:pStyle w:val="ListParagraph"/>
              <w:numPr>
                <w:ilvl w:val="0"/>
                <w:numId w:val="179"/>
              </w:numPr>
              <w:spacing w:after="60"/>
              <w:rPr>
                <w:rFonts w:cs="Arial"/>
                <w:color w:val="000000"/>
                <w:sz w:val="14"/>
                <w:szCs w:val="16"/>
                <w:lang w:val="en-GB"/>
              </w:rPr>
            </w:pPr>
            <w:r w:rsidRPr="006E06B7">
              <w:rPr>
                <w:rFonts w:cs="Arial"/>
                <w:color w:val="000000"/>
                <w:sz w:val="14"/>
                <w:szCs w:val="16"/>
                <w:lang w:val="en-GB"/>
              </w:rPr>
              <w:t>brother, sister, half-brother and half-sister, or</w:t>
            </w:r>
          </w:p>
          <w:p w14:paraId="00493369" w14:textId="77777777" w:rsidR="0087245A" w:rsidRPr="006E06B7" w:rsidRDefault="0087245A" w:rsidP="00F839DB">
            <w:pPr>
              <w:pStyle w:val="ListParagraph"/>
              <w:numPr>
                <w:ilvl w:val="0"/>
                <w:numId w:val="537"/>
              </w:numPr>
              <w:spacing w:after="60"/>
              <w:contextualSpacing/>
              <w:rPr>
                <w:rFonts w:eastAsia="Calibri" w:cs="Arial"/>
                <w:sz w:val="14"/>
                <w:szCs w:val="14"/>
                <w:lang w:eastAsia="en-US"/>
              </w:rPr>
            </w:pPr>
            <w:r w:rsidRPr="006E06B7">
              <w:rPr>
                <w:rFonts w:eastAsia="Calibri" w:cs="Arial"/>
                <w:sz w:val="14"/>
                <w:szCs w:val="14"/>
                <w:lang w:eastAsia="en-US"/>
              </w:rPr>
              <w:t>if the worker stands in the place of a parent to another person — the other person, or</w:t>
            </w:r>
          </w:p>
          <w:p w14:paraId="7FBF5029" w14:textId="0BC1F340" w:rsidR="0087245A" w:rsidRPr="00945540" w:rsidRDefault="0087245A" w:rsidP="00F839DB">
            <w:pPr>
              <w:pStyle w:val="ListParagraph"/>
              <w:numPr>
                <w:ilvl w:val="0"/>
                <w:numId w:val="537"/>
              </w:numPr>
              <w:spacing w:after="60"/>
              <w:contextualSpacing/>
              <w:rPr>
                <w:rFonts w:eastAsia="Calibri" w:cs="Arial"/>
                <w:sz w:val="14"/>
                <w:szCs w:val="14"/>
                <w:lang w:eastAsia="en-US"/>
              </w:rPr>
            </w:pPr>
            <w:r w:rsidRPr="006E06B7">
              <w:rPr>
                <w:rFonts w:eastAsia="Calibri" w:cs="Arial"/>
                <w:sz w:val="14"/>
                <w:szCs w:val="14"/>
                <w:lang w:eastAsia="en-US"/>
              </w:rPr>
              <w:t>if another person stands in the place of a parent to the deceased worker — the other person.</w:t>
            </w:r>
          </w:p>
        </w:tc>
      </w:tr>
      <w:tr w:rsidR="0087245A" w:rsidRPr="0087245A" w14:paraId="797F92D5" w14:textId="77777777" w:rsidTr="00B2173F">
        <w:tc>
          <w:tcPr>
            <w:tcW w:w="1626" w:type="dxa"/>
            <w:tcMar>
              <w:top w:w="80" w:type="dxa"/>
              <w:left w:w="80" w:type="dxa"/>
              <w:bottom w:w="80" w:type="dxa"/>
              <w:right w:w="80" w:type="dxa"/>
            </w:tcMar>
          </w:tcPr>
          <w:p w14:paraId="05D62238"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Western Australia</w:t>
            </w:r>
          </w:p>
        </w:tc>
        <w:tc>
          <w:tcPr>
            <w:tcW w:w="3448" w:type="dxa"/>
            <w:tcMar>
              <w:top w:w="80" w:type="dxa"/>
              <w:left w:w="80" w:type="dxa"/>
              <w:bottom w:w="80" w:type="dxa"/>
              <w:right w:w="80" w:type="dxa"/>
            </w:tcMar>
          </w:tcPr>
          <w:p w14:paraId="02EB61DD" w14:textId="731D5A50" w:rsidR="0087245A" w:rsidRPr="0087245A" w:rsidRDefault="00A7538C" w:rsidP="00292A53">
            <w:pPr>
              <w:spacing w:after="60"/>
              <w:rPr>
                <w:rFonts w:cs="Arial"/>
                <w:color w:val="000000"/>
                <w:sz w:val="14"/>
                <w:szCs w:val="16"/>
                <w:lang w:val="en-GB"/>
              </w:rPr>
            </w:pPr>
            <w:hyperlink r:id="rId1311" w:history="1">
              <w:r w:rsidR="00406F00" w:rsidRPr="00406F00">
                <w:rPr>
                  <w:rStyle w:val="Hyperlink"/>
                  <w:rFonts w:cs="Arial"/>
                  <w:sz w:val="14"/>
                  <w:szCs w:val="16"/>
                  <w:lang w:val="en-GB"/>
                </w:rPr>
                <w:t>s</w:t>
              </w:r>
              <w:r w:rsidR="0087245A" w:rsidRPr="00406F00">
                <w:rPr>
                  <w:rStyle w:val="Hyperlink"/>
                  <w:rFonts w:cs="Arial"/>
                  <w:sz w:val="14"/>
                  <w:szCs w:val="16"/>
                  <w:lang w:val="en-GB"/>
                </w:rPr>
                <w:t>5</w:t>
              </w:r>
            </w:hyperlink>
            <w:r w:rsidR="00406F00">
              <w:rPr>
                <w:rFonts w:cs="Arial"/>
                <w:color w:val="000000"/>
                <w:sz w:val="14"/>
                <w:szCs w:val="16"/>
                <w:lang w:val="en-GB"/>
              </w:rPr>
              <w:t xml:space="preserve">, </w:t>
            </w:r>
            <w:r w:rsidR="00406F00" w:rsidRPr="00016069">
              <w:rPr>
                <w:i/>
                <w:sz w:val="14"/>
              </w:rPr>
              <w:t>Workers’ Compensation and Injury Management Act 1981</w:t>
            </w:r>
            <w:r w:rsidR="0087245A" w:rsidRPr="0087245A">
              <w:rPr>
                <w:rFonts w:cs="Arial"/>
                <w:color w:val="000000"/>
                <w:sz w:val="14"/>
                <w:szCs w:val="16"/>
                <w:lang w:val="en-GB"/>
              </w:rPr>
              <w:t xml:space="preserve"> — ‘dependants’ means such members of the worker’s family as were wholly or in part dependent upon the earnings of the worker at the time of his death, or would, but for the injury, have been so dependant.</w:t>
            </w:r>
          </w:p>
        </w:tc>
        <w:tc>
          <w:tcPr>
            <w:tcW w:w="3449" w:type="dxa"/>
            <w:tcMar>
              <w:top w:w="80" w:type="dxa"/>
              <w:left w:w="80" w:type="dxa"/>
              <w:bottom w:w="80" w:type="dxa"/>
              <w:right w:w="80" w:type="dxa"/>
            </w:tcMar>
          </w:tcPr>
          <w:p w14:paraId="1B161283" w14:textId="2B090278" w:rsidR="0087245A" w:rsidRPr="006E06B7" w:rsidRDefault="00A7538C" w:rsidP="00F839DB">
            <w:pPr>
              <w:pStyle w:val="ListParagraph"/>
              <w:numPr>
                <w:ilvl w:val="0"/>
                <w:numId w:val="180"/>
              </w:numPr>
              <w:spacing w:after="60"/>
              <w:contextualSpacing/>
              <w:rPr>
                <w:rFonts w:eastAsia="Calibri" w:cs="Arial"/>
                <w:sz w:val="14"/>
                <w:szCs w:val="14"/>
                <w:lang w:eastAsia="en-US"/>
              </w:rPr>
            </w:pPr>
            <w:hyperlink r:id="rId1312" w:history="1">
              <w:r w:rsidR="0087245A" w:rsidRPr="00406F00">
                <w:rPr>
                  <w:rStyle w:val="Hyperlink"/>
                  <w:rFonts w:eastAsia="Calibri" w:cs="Arial"/>
                  <w:sz w:val="14"/>
                  <w:szCs w:val="14"/>
                  <w:lang w:eastAsia="en-US"/>
                </w:rPr>
                <w:t>s5</w:t>
              </w:r>
            </w:hyperlink>
            <w:r w:rsidR="0087245A" w:rsidRPr="006E06B7">
              <w:rPr>
                <w:rFonts w:eastAsia="Calibri" w:cs="Arial"/>
                <w:sz w:val="14"/>
                <w:szCs w:val="14"/>
                <w:lang w:eastAsia="en-US"/>
              </w:rPr>
              <w:t xml:space="preserve"> — ‘member of a family’ means spouse, de facto partner, parent, grandparent, step-parent; any person who stands in the place of a parent to another person and also that other person, son, daughter, ex-nuptial son, ex-nuptial daughter, grandson, grand-daughter, step-son, step-daughter (whether the step-son or step-daughter is legally adopted by the worker or not), brother, sister, half-brother, half-sister; and with respect to an ex-nuptial worker includes the workers’ parents, and his brothers and sisters, whether legitimate or ex-nuptial, who have at least one parent in common with the worker.</w:t>
            </w:r>
          </w:p>
          <w:p w14:paraId="38D0DA0C" w14:textId="0DA836CE" w:rsidR="0087245A" w:rsidRPr="006E06B7" w:rsidRDefault="00A7538C" w:rsidP="00F839DB">
            <w:pPr>
              <w:pStyle w:val="ListParagraph"/>
              <w:numPr>
                <w:ilvl w:val="0"/>
                <w:numId w:val="180"/>
              </w:numPr>
              <w:spacing w:after="60"/>
              <w:contextualSpacing/>
              <w:rPr>
                <w:rFonts w:eastAsia="Calibri" w:cs="Arial"/>
                <w:sz w:val="14"/>
                <w:szCs w:val="14"/>
                <w:lang w:eastAsia="en-US"/>
              </w:rPr>
            </w:pPr>
            <w:hyperlink r:id="rId1313" w:history="1">
              <w:r w:rsidR="0087245A" w:rsidRPr="00406F00">
                <w:rPr>
                  <w:rStyle w:val="Hyperlink"/>
                  <w:rFonts w:eastAsia="Calibri" w:cs="Arial"/>
                  <w:sz w:val="14"/>
                  <w:szCs w:val="14"/>
                  <w:lang w:eastAsia="en-US"/>
                </w:rPr>
                <w:t>s5</w:t>
              </w:r>
            </w:hyperlink>
            <w:r w:rsidR="0087245A" w:rsidRPr="006E06B7">
              <w:rPr>
                <w:rFonts w:eastAsia="Calibri" w:cs="Arial"/>
                <w:sz w:val="14"/>
                <w:szCs w:val="14"/>
                <w:lang w:eastAsia="en-US"/>
              </w:rPr>
              <w:t xml:space="preserve"> — ‘de facto partner’ </w:t>
            </w:r>
          </w:p>
          <w:p w14:paraId="3F49E084" w14:textId="77777777" w:rsidR="0087245A" w:rsidRPr="006E06B7" w:rsidRDefault="0087245A" w:rsidP="00F839DB">
            <w:pPr>
              <w:pStyle w:val="Tableabc7pt"/>
              <w:numPr>
                <w:ilvl w:val="0"/>
                <w:numId w:val="181"/>
              </w:numPr>
              <w:spacing w:before="0" w:after="60"/>
              <w:ind w:left="357" w:hanging="357"/>
              <w:rPr>
                <w:rFonts w:eastAsia="Calibri"/>
                <w:lang w:eastAsia="en-US"/>
              </w:rPr>
            </w:pPr>
            <w:r w:rsidRPr="006E06B7">
              <w:rPr>
                <w:rFonts w:eastAsia="Calibri"/>
                <w:lang w:eastAsia="en-US"/>
              </w:rPr>
              <w:t>a person who, immediately before the death of the worker, was living in a de facto relationship with the worker and had been living on that basis with that worker for at least the previous 2 years; and</w:t>
            </w:r>
          </w:p>
          <w:p w14:paraId="1036FFD9" w14:textId="77777777" w:rsidR="0087245A" w:rsidRPr="006E06B7" w:rsidRDefault="0087245A" w:rsidP="00F839DB">
            <w:pPr>
              <w:pStyle w:val="ListParagraph"/>
              <w:numPr>
                <w:ilvl w:val="0"/>
                <w:numId w:val="182"/>
              </w:numPr>
              <w:spacing w:after="60"/>
              <w:ind w:left="357" w:hanging="357"/>
              <w:rPr>
                <w:rFonts w:eastAsia="Calibri" w:cs="Arial"/>
                <w:sz w:val="14"/>
                <w:szCs w:val="14"/>
                <w:lang w:eastAsia="en-US"/>
              </w:rPr>
            </w:pPr>
            <w:r w:rsidRPr="006E06B7">
              <w:rPr>
                <w:rFonts w:eastAsia="Calibri" w:cs="Arial"/>
                <w:sz w:val="14"/>
                <w:szCs w:val="14"/>
                <w:lang w:eastAsia="en-US"/>
              </w:rPr>
              <w:t>any former de facto partner of the worker if the worker was legally obliged immediately before the death of the worker to make provision for that former de facto partner with respect to financial matters.</w:t>
            </w:r>
          </w:p>
          <w:p w14:paraId="2901DDC8" w14:textId="031E150C" w:rsidR="0087245A" w:rsidRPr="006E06B7" w:rsidRDefault="00A7538C" w:rsidP="00F839DB">
            <w:pPr>
              <w:pStyle w:val="ListParagraph"/>
              <w:numPr>
                <w:ilvl w:val="0"/>
                <w:numId w:val="183"/>
              </w:numPr>
              <w:spacing w:after="60"/>
              <w:ind w:left="357" w:hanging="357"/>
              <w:rPr>
                <w:rFonts w:eastAsia="Calibri" w:cs="Arial"/>
                <w:sz w:val="14"/>
                <w:szCs w:val="14"/>
                <w:lang w:eastAsia="en-US"/>
              </w:rPr>
            </w:pPr>
            <w:hyperlink r:id="rId1314" w:history="1">
              <w:r w:rsidR="0087245A" w:rsidRPr="00406F00">
                <w:rPr>
                  <w:rStyle w:val="Hyperlink"/>
                  <w:rFonts w:eastAsia="Calibri" w:cs="Arial"/>
                  <w:sz w:val="14"/>
                  <w:szCs w:val="14"/>
                  <w:lang w:eastAsia="en-US"/>
                </w:rPr>
                <w:t>s5</w:t>
              </w:r>
            </w:hyperlink>
            <w:r w:rsidR="0087245A" w:rsidRPr="006E06B7">
              <w:rPr>
                <w:rFonts w:eastAsia="Calibri" w:cs="Arial"/>
                <w:sz w:val="14"/>
                <w:szCs w:val="14"/>
                <w:lang w:eastAsia="en-US"/>
              </w:rPr>
              <w:t xml:space="preserve"> — ‘spouse’ includes any former spouse of the worker if the worker was legally obliged immediately before the death of the worker to make provision for that former spouse with respect to financial matters.</w:t>
            </w:r>
          </w:p>
        </w:tc>
        <w:tc>
          <w:tcPr>
            <w:tcW w:w="3449" w:type="dxa"/>
            <w:tcMar>
              <w:top w:w="80" w:type="dxa"/>
              <w:left w:w="80" w:type="dxa"/>
              <w:bottom w:w="80" w:type="dxa"/>
              <w:right w:w="80" w:type="dxa"/>
            </w:tcMar>
          </w:tcPr>
          <w:p w14:paraId="47A6131A"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No specific reference is provided with regard to same sex relationships. However, same sex de facto relationships have been recognised in WA law since 2002. The </w:t>
            </w:r>
            <w:r w:rsidRPr="0093523D">
              <w:rPr>
                <w:rFonts w:cs="Arial"/>
                <w:i/>
                <w:color w:val="000000"/>
                <w:sz w:val="14"/>
                <w:szCs w:val="16"/>
                <w:lang w:val="en-GB"/>
              </w:rPr>
              <w:t>Interpretation Act 1984</w:t>
            </w:r>
            <w:r w:rsidRPr="0087245A">
              <w:rPr>
                <w:rFonts w:cs="Arial"/>
                <w:color w:val="000000"/>
                <w:sz w:val="14"/>
                <w:szCs w:val="16"/>
                <w:lang w:val="en-GB"/>
              </w:rPr>
              <w:t xml:space="preserve"> s13A(3)(a) — states, with regard to references to de facto relationships and de facto partners, that ‘It does not matter whether the persons are different sexes or the same sex.’</w:t>
            </w:r>
          </w:p>
        </w:tc>
        <w:tc>
          <w:tcPr>
            <w:tcW w:w="3449" w:type="dxa"/>
            <w:tcMar>
              <w:top w:w="80" w:type="dxa"/>
              <w:left w:w="80" w:type="dxa"/>
              <w:bottom w:w="80" w:type="dxa"/>
              <w:right w:w="80" w:type="dxa"/>
            </w:tcMar>
          </w:tcPr>
          <w:p w14:paraId="4937B74B"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w:t>
            </w:r>
          </w:p>
        </w:tc>
      </w:tr>
      <w:tr w:rsidR="0087245A" w:rsidRPr="0087245A" w14:paraId="19DFD3A6" w14:textId="77777777" w:rsidTr="00B2173F">
        <w:tc>
          <w:tcPr>
            <w:tcW w:w="1626" w:type="dxa"/>
            <w:shd w:val="clear" w:color="auto" w:fill="FFC9C9"/>
            <w:tcMar>
              <w:top w:w="80" w:type="dxa"/>
              <w:left w:w="80" w:type="dxa"/>
              <w:bottom w:w="80" w:type="dxa"/>
              <w:right w:w="80" w:type="dxa"/>
            </w:tcMar>
          </w:tcPr>
          <w:p w14:paraId="2E30E65F"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South Australia</w:t>
            </w:r>
          </w:p>
        </w:tc>
        <w:tc>
          <w:tcPr>
            <w:tcW w:w="3448" w:type="dxa"/>
            <w:shd w:val="clear" w:color="auto" w:fill="FFC9C9"/>
            <w:tcMar>
              <w:top w:w="80" w:type="dxa"/>
              <w:left w:w="80" w:type="dxa"/>
              <w:bottom w:w="80" w:type="dxa"/>
              <w:right w:w="80" w:type="dxa"/>
            </w:tcMar>
          </w:tcPr>
          <w:p w14:paraId="70E9680E" w14:textId="4FB2102E" w:rsidR="0087245A" w:rsidRPr="0087245A" w:rsidRDefault="0087245A" w:rsidP="00292A53">
            <w:pPr>
              <w:spacing w:after="60"/>
              <w:contextualSpacing/>
              <w:rPr>
                <w:rFonts w:cs="Arial"/>
                <w:color w:val="000000"/>
                <w:sz w:val="14"/>
                <w:szCs w:val="16"/>
                <w:lang w:val="en-GB"/>
              </w:rPr>
            </w:pPr>
            <w:r w:rsidRPr="0087245A">
              <w:rPr>
                <w:rFonts w:cs="Arial"/>
                <w:color w:val="0000FF"/>
                <w:sz w:val="14"/>
                <w:szCs w:val="16"/>
                <w:u w:val="single"/>
                <w:lang w:val="en-GB"/>
              </w:rPr>
              <w:t>s59</w:t>
            </w:r>
            <w:r w:rsidR="00DD0D68">
              <w:rPr>
                <w:rFonts w:cs="Arial"/>
                <w:b/>
                <w:color w:val="0000FF"/>
                <w:sz w:val="14"/>
                <w:szCs w:val="16"/>
                <w:u w:val="single"/>
                <w:lang w:val="en-GB"/>
              </w:rPr>
              <w:t xml:space="preserve"> </w:t>
            </w:r>
            <w:r w:rsidRPr="0067740B">
              <w:rPr>
                <w:rFonts w:cs="Arial"/>
                <w:color w:val="000000"/>
                <w:sz w:val="14"/>
                <w:szCs w:val="16"/>
                <w:lang w:val="en-GB"/>
              </w:rPr>
              <w:t>—</w:t>
            </w:r>
            <w:r w:rsidRPr="0087245A">
              <w:rPr>
                <w:rFonts w:cs="Arial"/>
                <w:b/>
                <w:color w:val="000000"/>
                <w:sz w:val="14"/>
                <w:szCs w:val="16"/>
                <w:lang w:val="en-GB"/>
              </w:rPr>
              <w:t xml:space="preserve"> </w:t>
            </w:r>
            <w:r w:rsidRPr="0087245A">
              <w:rPr>
                <w:rFonts w:cs="Arial"/>
                <w:color w:val="000000"/>
                <w:sz w:val="14"/>
                <w:szCs w:val="16"/>
                <w:lang w:val="en-GB"/>
              </w:rPr>
              <w:t>Dependent spouse, domestic partner, dependent</w:t>
            </w:r>
            <w:r w:rsidR="00922480">
              <w:rPr>
                <w:rFonts w:cs="Arial"/>
                <w:color w:val="000000"/>
                <w:sz w:val="14"/>
                <w:szCs w:val="16"/>
                <w:lang w:val="en-GB"/>
              </w:rPr>
              <w:t xml:space="preserve"> child, dependent relative</w:t>
            </w:r>
            <w:r w:rsidR="00E13D9F">
              <w:rPr>
                <w:rFonts w:cs="Arial"/>
                <w:color w:val="000000"/>
                <w:sz w:val="14"/>
                <w:szCs w:val="16"/>
                <w:lang w:val="en-GB"/>
              </w:rPr>
              <w:t>.</w:t>
            </w:r>
          </w:p>
        </w:tc>
        <w:tc>
          <w:tcPr>
            <w:tcW w:w="3449" w:type="dxa"/>
            <w:shd w:val="clear" w:color="auto" w:fill="FFC9C9"/>
            <w:tcMar>
              <w:top w:w="80" w:type="dxa"/>
              <w:left w:w="80" w:type="dxa"/>
              <w:bottom w:w="80" w:type="dxa"/>
              <w:right w:w="80" w:type="dxa"/>
            </w:tcMar>
          </w:tcPr>
          <w:p w14:paraId="042B5AB8" w14:textId="77777777" w:rsidR="006A50D4"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 xml:space="preserve">Section 4 includes definitions of spouse and child for the purposes of applicability of death benefits. </w:t>
            </w:r>
          </w:p>
          <w:p w14:paraId="6C3A8DCF" w14:textId="78D7A6EA" w:rsidR="0087245A" w:rsidRPr="0087245A"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 xml:space="preserve">A spouse includes legally married couples and </w:t>
            </w:r>
          </w:p>
          <w:p w14:paraId="1D5F1E56" w14:textId="77777777" w:rsidR="0087245A" w:rsidRPr="0087245A"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 xml:space="preserve">domestic partner of a worker if he or she lives with the worker in a close personal relationship and the person: </w:t>
            </w:r>
          </w:p>
          <w:p w14:paraId="651B7E84" w14:textId="77777777"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 xml:space="preserve">has been so living with the worker continuously for the preceding period of 3 years, or </w:t>
            </w:r>
          </w:p>
          <w:p w14:paraId="6AD16D69" w14:textId="77777777"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has during the preceding period of 4 years so lived with the worker for periods aggregating not less than 3 years, or</w:t>
            </w:r>
          </w:p>
          <w:p w14:paraId="5FF93AB4" w14:textId="77777777" w:rsidR="006A50D4"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 xml:space="preserve">has been living with the worker for a substantial part of a period referred to in subparagraph (i) or (ii) and the Corporation considers that it is fair and reasonable that the person be regarded as the domestic partner of the worker for the purposes of this Act, or </w:t>
            </w:r>
          </w:p>
          <w:p w14:paraId="026599DA" w14:textId="77777777" w:rsidR="006A50D4"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 xml:space="preserve">‘Child’, in relation to a deceased worker, includes a person in relation to whom the worker stood, at the date of death, in loco parentis </w:t>
            </w:r>
          </w:p>
          <w:p w14:paraId="47F47404" w14:textId="2415F555" w:rsidR="0087245A" w:rsidRPr="0087245A"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And under s61(1)a</w:t>
            </w:r>
            <w:r w:rsidR="00DD0D68">
              <w:rPr>
                <w:rFonts w:eastAsia="Calibri" w:cs="Arial"/>
                <w:sz w:val="14"/>
                <w:szCs w:val="14"/>
                <w:lang w:eastAsia="en-US"/>
              </w:rPr>
              <w:t xml:space="preserve"> </w:t>
            </w:r>
            <w:r w:rsidRPr="0087245A">
              <w:rPr>
                <w:rFonts w:eastAsia="Calibri" w:cs="Arial"/>
                <w:sz w:val="14"/>
                <w:szCs w:val="14"/>
                <w:lang w:eastAsia="en-US"/>
              </w:rPr>
              <w:t>in relation to lump sums, child means a person who:</w:t>
            </w:r>
          </w:p>
          <w:p w14:paraId="08138E3B" w14:textId="77777777"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lastRenderedPageBreak/>
              <w:t xml:space="preserve">is under the age of 18; or </w:t>
            </w:r>
          </w:p>
          <w:p w14:paraId="71441990" w14:textId="77777777"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 xml:space="preserve">is a full-time student at an educational institution approved by the Corporation for the purposes of this paragraph and is under the age of 26 years; or </w:t>
            </w:r>
          </w:p>
          <w:p w14:paraId="5C95A8FD" w14:textId="29C51181"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is, by reason of physical or mental injury</w:t>
            </w:r>
            <w:r w:rsidR="00ED1468">
              <w:rPr>
                <w:rFonts w:eastAsia="Calibri" w:cs="Arial"/>
                <w:sz w:val="14"/>
                <w:szCs w:val="14"/>
                <w:lang w:eastAsia="en-US"/>
              </w:rPr>
              <w:t>, incapable of earning a living</w:t>
            </w:r>
          </w:p>
        </w:tc>
        <w:tc>
          <w:tcPr>
            <w:tcW w:w="3449" w:type="dxa"/>
            <w:shd w:val="clear" w:color="auto" w:fill="FFC9C9"/>
            <w:tcMar>
              <w:top w:w="80" w:type="dxa"/>
              <w:left w:w="80" w:type="dxa"/>
              <w:bottom w:w="80" w:type="dxa"/>
              <w:right w:w="80" w:type="dxa"/>
            </w:tcMar>
          </w:tcPr>
          <w:p w14:paraId="7480DF87" w14:textId="32C0D956" w:rsidR="0087245A" w:rsidRPr="0087245A" w:rsidRDefault="0087245A" w:rsidP="00943989">
            <w:pPr>
              <w:spacing w:after="60"/>
              <w:contextualSpacing/>
              <w:rPr>
                <w:rFonts w:cs="Arial"/>
                <w:color w:val="000000"/>
                <w:sz w:val="14"/>
                <w:szCs w:val="16"/>
                <w:lang w:val="en-GB"/>
              </w:rPr>
            </w:pPr>
            <w:r w:rsidRPr="0087245A">
              <w:rPr>
                <w:rFonts w:cs="Arial"/>
                <w:color w:val="000000"/>
                <w:sz w:val="14"/>
                <w:szCs w:val="16"/>
              </w:rPr>
              <w:lastRenderedPageBreak/>
              <w:t xml:space="preserve">Not explicitly referenced, however is included within the broader definition of a domestic partner </w:t>
            </w:r>
            <w:r w:rsidR="00943989">
              <w:rPr>
                <w:rFonts w:cs="Arial"/>
                <w:color w:val="000000"/>
                <w:sz w:val="14"/>
                <w:szCs w:val="16"/>
              </w:rPr>
              <w:t>—</w:t>
            </w:r>
            <w:r w:rsidR="00943989" w:rsidRPr="0087245A">
              <w:rPr>
                <w:rFonts w:cs="Arial"/>
                <w:color w:val="000000"/>
                <w:sz w:val="14"/>
                <w:szCs w:val="16"/>
              </w:rPr>
              <w:t xml:space="preserve"> </w:t>
            </w:r>
            <w:hyperlink r:id="rId1315" w:history="1">
              <w:r w:rsidRPr="0087245A">
                <w:rPr>
                  <w:rFonts w:cs="Arial"/>
                  <w:color w:val="0000FF"/>
                  <w:sz w:val="14"/>
                  <w:szCs w:val="16"/>
                  <w:u w:val="single"/>
                </w:rPr>
                <w:t>s4</w:t>
              </w:r>
            </w:hyperlink>
          </w:p>
        </w:tc>
        <w:tc>
          <w:tcPr>
            <w:tcW w:w="3449" w:type="dxa"/>
            <w:shd w:val="clear" w:color="auto" w:fill="FFC9C9"/>
            <w:tcMar>
              <w:top w:w="80" w:type="dxa"/>
              <w:left w:w="80" w:type="dxa"/>
              <w:bottom w:w="80" w:type="dxa"/>
              <w:right w:w="80" w:type="dxa"/>
            </w:tcMar>
          </w:tcPr>
          <w:p w14:paraId="0F0C3448" w14:textId="77777777" w:rsidR="0087245A" w:rsidRPr="0087245A" w:rsidRDefault="00A7538C" w:rsidP="00292A53">
            <w:pPr>
              <w:spacing w:after="60"/>
              <w:contextualSpacing/>
              <w:rPr>
                <w:rFonts w:cs="Arial"/>
                <w:color w:val="000000"/>
                <w:sz w:val="14"/>
                <w:szCs w:val="16"/>
                <w:lang w:val="en-GB"/>
              </w:rPr>
            </w:pPr>
            <w:hyperlink r:id="rId1316" w:history="1">
              <w:r w:rsidR="0087245A" w:rsidRPr="0087245A">
                <w:rPr>
                  <w:rFonts w:cs="Arial"/>
                  <w:color w:val="0000FF"/>
                  <w:sz w:val="14"/>
                  <w:szCs w:val="16"/>
                  <w:u w:val="single"/>
                  <w:lang w:val="en-GB"/>
                </w:rPr>
                <w:t>s4</w:t>
              </w:r>
            </w:hyperlink>
            <w:r w:rsidR="0087245A" w:rsidRPr="0087245A">
              <w:rPr>
                <w:rFonts w:cs="Arial"/>
                <w:color w:val="000000"/>
                <w:sz w:val="14"/>
                <w:szCs w:val="16"/>
                <w:lang w:val="en-GB"/>
              </w:rPr>
              <w:t xml:space="preserve"> — Dependant, in relation to a deceased worker, means a relative of the worker who, at the time of the worker’s death:</w:t>
            </w:r>
          </w:p>
          <w:p w14:paraId="623E79E8" w14:textId="77777777" w:rsidR="0087245A" w:rsidRPr="006E06B7" w:rsidRDefault="0087245A" w:rsidP="00F839DB">
            <w:pPr>
              <w:pStyle w:val="ListParagraph"/>
              <w:numPr>
                <w:ilvl w:val="0"/>
                <w:numId w:val="184"/>
              </w:numPr>
              <w:spacing w:after="60"/>
              <w:contextualSpacing/>
              <w:rPr>
                <w:rFonts w:eastAsia="Calibri" w:cs="Arial"/>
                <w:sz w:val="14"/>
                <w:szCs w:val="14"/>
                <w:lang w:eastAsia="en-US"/>
              </w:rPr>
            </w:pPr>
            <w:r w:rsidRPr="006E06B7">
              <w:rPr>
                <w:rFonts w:eastAsia="Calibri" w:cs="Arial"/>
                <w:sz w:val="14"/>
                <w:szCs w:val="14"/>
                <w:lang w:eastAsia="en-US"/>
              </w:rPr>
              <w:t>was wholly or partially dependant for the ordinary necessities of life on earnings of the worker, or</w:t>
            </w:r>
          </w:p>
          <w:p w14:paraId="11D7ABA0" w14:textId="3030F4D6" w:rsidR="0087245A" w:rsidRPr="006E06B7" w:rsidRDefault="0087245A" w:rsidP="00F839DB">
            <w:pPr>
              <w:pStyle w:val="ListParagraph"/>
              <w:numPr>
                <w:ilvl w:val="0"/>
                <w:numId w:val="184"/>
              </w:numPr>
              <w:spacing w:after="60"/>
              <w:contextualSpacing/>
              <w:rPr>
                <w:rFonts w:eastAsia="Calibri" w:cs="Arial"/>
                <w:sz w:val="14"/>
                <w:szCs w:val="14"/>
                <w:lang w:eastAsia="en-US"/>
              </w:rPr>
            </w:pPr>
            <w:r w:rsidRPr="006E06B7">
              <w:rPr>
                <w:rFonts w:eastAsia="Calibri" w:cs="Arial"/>
                <w:sz w:val="14"/>
                <w:szCs w:val="14"/>
                <w:lang w:eastAsia="en-US"/>
              </w:rPr>
              <w:t>would, but for the worker’s injury, have been so dependent, and includes a posthumous child of the worker, and depend</w:t>
            </w:r>
            <w:r w:rsidR="00ED1468">
              <w:rPr>
                <w:rFonts w:eastAsia="Calibri" w:cs="Arial"/>
                <w:sz w:val="14"/>
                <w:szCs w:val="14"/>
                <w:lang w:eastAsia="en-US"/>
              </w:rPr>
              <w:t>ent has a corresponding meaning</w:t>
            </w:r>
          </w:p>
        </w:tc>
      </w:tr>
      <w:tr w:rsidR="0087245A" w:rsidRPr="0087245A" w14:paraId="286E0FE6" w14:textId="77777777" w:rsidTr="00B2173F">
        <w:tc>
          <w:tcPr>
            <w:tcW w:w="1626" w:type="dxa"/>
            <w:tcMar>
              <w:top w:w="80" w:type="dxa"/>
              <w:left w:w="80" w:type="dxa"/>
              <w:bottom w:w="80" w:type="dxa"/>
              <w:right w:w="80" w:type="dxa"/>
            </w:tcMar>
          </w:tcPr>
          <w:p w14:paraId="3AC73576"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Tasmania</w:t>
            </w:r>
          </w:p>
        </w:tc>
        <w:tc>
          <w:tcPr>
            <w:tcW w:w="3448" w:type="dxa"/>
            <w:tcMar>
              <w:top w:w="80" w:type="dxa"/>
              <w:left w:w="80" w:type="dxa"/>
              <w:bottom w:w="80" w:type="dxa"/>
              <w:right w:w="80" w:type="dxa"/>
            </w:tcMar>
          </w:tcPr>
          <w:p w14:paraId="075AC584" w14:textId="75C759A0" w:rsidR="0087245A" w:rsidRPr="006E06B7" w:rsidRDefault="0087245A" w:rsidP="00F839DB">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Wholly or partially d</w:t>
            </w:r>
            <w:r w:rsidR="00ED1468">
              <w:rPr>
                <w:rFonts w:eastAsia="Calibri" w:cs="Arial"/>
                <w:sz w:val="14"/>
                <w:szCs w:val="14"/>
                <w:lang w:eastAsia="en-US"/>
              </w:rPr>
              <w:t>ependant spouse/caring partner</w:t>
            </w:r>
          </w:p>
          <w:p w14:paraId="4057FDAB" w14:textId="4F6C7588" w:rsidR="0087245A" w:rsidRPr="006E06B7" w:rsidRDefault="0087245A" w:rsidP="00F839DB">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Where there is no dependant spouse or caring partner, a wholly or partially dependant child/children. —</w:t>
            </w:r>
            <w:r w:rsidR="00943989">
              <w:rPr>
                <w:rFonts w:eastAsia="Calibri" w:cs="Arial"/>
                <w:sz w:val="14"/>
                <w:szCs w:val="14"/>
                <w:lang w:eastAsia="en-US"/>
              </w:rPr>
              <w:t xml:space="preserve"> </w:t>
            </w:r>
            <w:hyperlink r:id="rId1317" w:history="1">
              <w:r w:rsidRPr="006B4704">
                <w:rPr>
                  <w:rStyle w:val="Hyperlink"/>
                  <w:rFonts w:eastAsia="Calibri" w:cs="Arial"/>
                  <w:sz w:val="14"/>
                  <w:szCs w:val="14"/>
                  <w:lang w:eastAsia="en-US"/>
                </w:rPr>
                <w:t>s67</w:t>
              </w:r>
            </w:hyperlink>
            <w:r w:rsidR="006B4704">
              <w:rPr>
                <w:rFonts w:eastAsia="Calibri" w:cs="Arial"/>
                <w:sz w:val="14"/>
                <w:szCs w:val="14"/>
                <w:lang w:eastAsia="en-US"/>
              </w:rPr>
              <w:t xml:space="preserve">, </w:t>
            </w:r>
            <w:r w:rsidR="006B4704" w:rsidRPr="00016069">
              <w:rPr>
                <w:i/>
                <w:sz w:val="14"/>
              </w:rPr>
              <w:t>Workers Rehabilitation and Compensation Act 1988</w:t>
            </w:r>
          </w:p>
        </w:tc>
        <w:tc>
          <w:tcPr>
            <w:tcW w:w="3449" w:type="dxa"/>
            <w:tcMar>
              <w:top w:w="80" w:type="dxa"/>
              <w:left w:w="80" w:type="dxa"/>
              <w:bottom w:w="80" w:type="dxa"/>
              <w:right w:w="80" w:type="dxa"/>
            </w:tcMar>
          </w:tcPr>
          <w:p w14:paraId="0AAB631D" w14:textId="77777777" w:rsidR="0087245A" w:rsidRPr="006E06B7" w:rsidRDefault="0087245A" w:rsidP="00F839DB">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‘caring partner’, in relation to a person, means: a) the person who is in a caring relationship with that person which is the subject of a deed of relationship registered under Part 2 of the </w:t>
            </w:r>
            <w:r w:rsidRPr="0093523D">
              <w:rPr>
                <w:rFonts w:eastAsia="Calibri" w:cs="Arial"/>
                <w:i/>
                <w:sz w:val="14"/>
                <w:szCs w:val="14"/>
                <w:lang w:eastAsia="en-US"/>
              </w:rPr>
              <w:t>Relationships Act 2003</w:t>
            </w:r>
            <w:r w:rsidRPr="006E06B7">
              <w:rPr>
                <w:rFonts w:eastAsia="Calibri" w:cs="Arial"/>
                <w:sz w:val="14"/>
                <w:szCs w:val="14"/>
                <w:lang w:eastAsia="en-US"/>
              </w:rPr>
              <w:t xml:space="preserve">, or b) the person who was, at the time of the death of the first-mentioned person, in a caring relationship with that person which was the subject of a deed of relationship registered under Part 2 of the </w:t>
            </w:r>
            <w:r w:rsidRPr="0093523D">
              <w:rPr>
                <w:rFonts w:eastAsia="Calibri" w:cs="Arial"/>
                <w:i/>
                <w:sz w:val="14"/>
                <w:szCs w:val="14"/>
                <w:lang w:eastAsia="en-US"/>
              </w:rPr>
              <w:t>Relationships Act 2003</w:t>
            </w:r>
            <w:r w:rsidRPr="006E06B7">
              <w:rPr>
                <w:rFonts w:eastAsia="Calibri" w:cs="Arial"/>
                <w:sz w:val="14"/>
                <w:szCs w:val="14"/>
                <w:lang w:eastAsia="en-US"/>
              </w:rPr>
              <w:t xml:space="preserve">. </w:t>
            </w:r>
          </w:p>
          <w:p w14:paraId="6C0608C7" w14:textId="77777777" w:rsidR="0087245A" w:rsidRPr="006E06B7" w:rsidRDefault="0087245A" w:rsidP="00F839DB">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‘spouse’ includes the person with whom a person is, or was at the time of his or her death, in a significant relationship, within the meaning of the </w:t>
            </w:r>
            <w:r w:rsidRPr="0093523D">
              <w:rPr>
                <w:rFonts w:eastAsia="Calibri" w:cs="Arial"/>
                <w:i/>
                <w:sz w:val="14"/>
                <w:szCs w:val="14"/>
                <w:lang w:eastAsia="en-US"/>
              </w:rPr>
              <w:t>Relationships Act 2003</w:t>
            </w:r>
            <w:r w:rsidRPr="006E06B7">
              <w:rPr>
                <w:rFonts w:eastAsia="Calibri" w:cs="Arial"/>
                <w:sz w:val="14"/>
                <w:szCs w:val="14"/>
                <w:lang w:eastAsia="en-US"/>
              </w:rPr>
              <w:t xml:space="preserve">. — </w:t>
            </w:r>
            <w:hyperlink r:id="rId1318" w:history="1">
              <w:r w:rsidRPr="006E06B7">
                <w:rPr>
                  <w:rFonts w:eastAsia="Calibri" w:cs="Arial"/>
                  <w:color w:val="0000FF"/>
                  <w:sz w:val="14"/>
                  <w:szCs w:val="14"/>
                  <w:u w:val="single"/>
                  <w:lang w:eastAsia="en-US"/>
                </w:rPr>
                <w:t>s3</w:t>
              </w:r>
            </w:hyperlink>
          </w:p>
          <w:p w14:paraId="3E8BB1CE" w14:textId="77777777" w:rsidR="0087245A" w:rsidRPr="006E06B7" w:rsidRDefault="0087245A" w:rsidP="00F839DB">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‘dependant caring partner’ means a caring partner who is a dependant. </w:t>
            </w:r>
          </w:p>
          <w:p w14:paraId="1030FAE3" w14:textId="77777777" w:rsidR="0087245A" w:rsidRPr="006E06B7" w:rsidRDefault="0087245A" w:rsidP="00F839DB">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‘dependant spouse’ means a spouse who is a dependant.</w:t>
            </w:r>
          </w:p>
          <w:p w14:paraId="4215A225" w14:textId="77777777" w:rsidR="0087245A" w:rsidRPr="006E06B7" w:rsidRDefault="0087245A" w:rsidP="00F839DB">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‘child’ means a person who: (a) is under the age of 16 years, or (b) is 16 years or more, but less than 21 years and is a full time student.</w:t>
            </w:r>
          </w:p>
          <w:p w14:paraId="52FA2A73" w14:textId="6C333A32" w:rsidR="0087245A" w:rsidRPr="006E06B7" w:rsidRDefault="0087245A" w:rsidP="00F839DB">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‘dependant child’ means a child who is a dependant. — </w:t>
            </w:r>
            <w:hyperlink r:id="rId1319" w:history="1">
              <w:r w:rsidRPr="006E06B7">
                <w:rPr>
                  <w:rFonts w:eastAsia="Calibri" w:cs="Arial"/>
                  <w:color w:val="0000FF"/>
                  <w:sz w:val="14"/>
                  <w:szCs w:val="14"/>
                  <w:u w:val="single"/>
                  <w:lang w:eastAsia="en-US"/>
                </w:rPr>
                <w:t>s65</w:t>
              </w:r>
            </w:hyperlink>
            <w:r w:rsidR="00E13D9F">
              <w:rPr>
                <w:rFonts w:eastAsia="Calibri" w:cs="Arial"/>
                <w:color w:val="0000FF"/>
                <w:sz w:val="14"/>
                <w:szCs w:val="14"/>
                <w:u w:val="single"/>
                <w:lang w:eastAsia="en-US"/>
              </w:rPr>
              <w:t>.</w:t>
            </w:r>
          </w:p>
        </w:tc>
        <w:tc>
          <w:tcPr>
            <w:tcW w:w="3449" w:type="dxa"/>
            <w:tcMar>
              <w:top w:w="80" w:type="dxa"/>
              <w:left w:w="80" w:type="dxa"/>
              <w:bottom w:w="80" w:type="dxa"/>
              <w:right w:w="80" w:type="dxa"/>
            </w:tcMar>
          </w:tcPr>
          <w:p w14:paraId="623B62C7" w14:textId="63EA5FA7"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 xml:space="preserve">Yes, included in </w:t>
            </w:r>
            <w:hyperlink r:id="rId1320" w:history="1">
              <w:r w:rsidRPr="0087245A">
                <w:rPr>
                  <w:rFonts w:cs="Arial"/>
                  <w:color w:val="0000FF"/>
                  <w:sz w:val="14"/>
                  <w:szCs w:val="16"/>
                  <w:u w:val="single"/>
                  <w:lang w:val="en-GB"/>
                </w:rPr>
                <w:t>s67</w:t>
              </w:r>
            </w:hyperlink>
            <w:r w:rsidRPr="0087245A">
              <w:rPr>
                <w:rFonts w:cs="Arial"/>
                <w:color w:val="000000"/>
                <w:sz w:val="14"/>
                <w:szCs w:val="16"/>
                <w:lang w:val="en-GB"/>
              </w:rPr>
              <w:t xml:space="preserve"> as a result of the definitions of spouse and caring partner</w:t>
            </w:r>
          </w:p>
        </w:tc>
        <w:tc>
          <w:tcPr>
            <w:tcW w:w="3449" w:type="dxa"/>
            <w:tcMar>
              <w:top w:w="80" w:type="dxa"/>
              <w:left w:w="80" w:type="dxa"/>
              <w:bottom w:w="80" w:type="dxa"/>
              <w:right w:w="80" w:type="dxa"/>
            </w:tcMar>
          </w:tcPr>
          <w:p w14:paraId="1B4966CE" w14:textId="77777777" w:rsidR="0087245A" w:rsidRPr="004862CF" w:rsidRDefault="0087245A" w:rsidP="00F839DB">
            <w:pPr>
              <w:pStyle w:val="ListParagraph"/>
              <w:numPr>
                <w:ilvl w:val="0"/>
                <w:numId w:val="190"/>
              </w:numPr>
              <w:spacing w:after="60"/>
              <w:ind w:left="357" w:hanging="357"/>
              <w:contextualSpacing/>
              <w:rPr>
                <w:rFonts w:eastAsia="Calibri" w:cs="Arial"/>
                <w:sz w:val="14"/>
                <w:szCs w:val="14"/>
                <w:lang w:eastAsia="en-US"/>
              </w:rPr>
            </w:pPr>
            <w:r w:rsidRPr="004862CF">
              <w:rPr>
                <w:rFonts w:eastAsia="Calibri" w:cs="Arial"/>
                <w:sz w:val="14"/>
                <w:szCs w:val="14"/>
                <w:lang w:eastAsia="en-US"/>
              </w:rPr>
              <w:t>‘dependants’ means such members of the family of the worker in relation to whom the term is used as: a) were depend</w:t>
            </w:r>
            <w:r w:rsidR="0067740B">
              <w:rPr>
                <w:rFonts w:eastAsia="Calibri" w:cs="Arial"/>
                <w:sz w:val="14"/>
                <w:szCs w:val="14"/>
                <w:lang w:eastAsia="en-US"/>
              </w:rPr>
              <w:t>e</w:t>
            </w:r>
            <w:r w:rsidRPr="004862CF">
              <w:rPr>
                <w:rFonts w:eastAsia="Calibri" w:cs="Arial"/>
                <w:sz w:val="14"/>
                <w:szCs w:val="14"/>
                <w:lang w:eastAsia="en-US"/>
              </w:rPr>
              <w:t>nt, wholly or in part, upon the earnings of that worker at the time of his death, or b) would have been so depend</w:t>
            </w:r>
            <w:r w:rsidR="0067740B">
              <w:rPr>
                <w:rFonts w:eastAsia="Calibri" w:cs="Arial"/>
                <w:sz w:val="14"/>
                <w:szCs w:val="14"/>
                <w:lang w:eastAsia="en-US"/>
              </w:rPr>
              <w:t>e</w:t>
            </w:r>
            <w:r w:rsidRPr="004862CF">
              <w:rPr>
                <w:rFonts w:eastAsia="Calibri" w:cs="Arial"/>
                <w:sz w:val="14"/>
                <w:szCs w:val="14"/>
                <w:lang w:eastAsia="en-US"/>
              </w:rPr>
              <w:t>nt but for the incapacity due to the injury.</w:t>
            </w:r>
          </w:p>
          <w:p w14:paraId="69F99FA3" w14:textId="08B1B2AF" w:rsidR="0087245A" w:rsidRPr="004862CF" w:rsidRDefault="0087245A" w:rsidP="00F839DB">
            <w:pPr>
              <w:pStyle w:val="ListParagraph"/>
              <w:numPr>
                <w:ilvl w:val="0"/>
                <w:numId w:val="189"/>
              </w:numPr>
              <w:spacing w:after="60"/>
              <w:ind w:left="357" w:hanging="357"/>
              <w:contextualSpacing/>
              <w:rPr>
                <w:rFonts w:eastAsia="Calibri" w:cs="Arial"/>
                <w:sz w:val="14"/>
                <w:szCs w:val="14"/>
                <w:lang w:eastAsia="en-US"/>
              </w:rPr>
            </w:pPr>
            <w:r w:rsidRPr="004862CF">
              <w:rPr>
                <w:rFonts w:eastAsia="Calibri" w:cs="Arial"/>
                <w:sz w:val="14"/>
                <w:szCs w:val="14"/>
                <w:lang w:eastAsia="en-US"/>
              </w:rPr>
              <w:t xml:space="preserve">‘member of the family’, in relation to a worker, means: a) the spouse, caring partner, father, step-father, grandfather, mother, step-mother, grandmother, son, grandson, daughter, grand-daughter, step-son, step-daughter, brother, sister, half-brother, and half-sister of that worker, or b) a person to whom the worker stood in loco parentis.— </w:t>
            </w:r>
            <w:hyperlink r:id="rId1321" w:history="1">
              <w:r w:rsidRPr="004862CF">
                <w:rPr>
                  <w:rFonts w:eastAsia="Calibri" w:cs="Arial"/>
                  <w:color w:val="0000FF"/>
                  <w:sz w:val="14"/>
                  <w:szCs w:val="14"/>
                  <w:u w:val="single"/>
                  <w:lang w:eastAsia="en-US"/>
                </w:rPr>
                <w:t>s3</w:t>
              </w:r>
            </w:hyperlink>
          </w:p>
        </w:tc>
      </w:tr>
      <w:tr w:rsidR="0087245A" w:rsidRPr="0087245A" w14:paraId="63A386E3" w14:textId="77777777" w:rsidTr="00B2173F">
        <w:tc>
          <w:tcPr>
            <w:tcW w:w="1626" w:type="dxa"/>
            <w:shd w:val="clear" w:color="auto" w:fill="FFC9C9"/>
            <w:tcMar>
              <w:top w:w="80" w:type="dxa"/>
              <w:left w:w="80" w:type="dxa"/>
              <w:bottom w:w="80" w:type="dxa"/>
              <w:right w:w="80" w:type="dxa"/>
            </w:tcMar>
          </w:tcPr>
          <w:p w14:paraId="2164C2AC"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Northern Territory</w:t>
            </w:r>
          </w:p>
        </w:tc>
        <w:tc>
          <w:tcPr>
            <w:tcW w:w="3448" w:type="dxa"/>
            <w:shd w:val="clear" w:color="auto" w:fill="FFC9C9"/>
            <w:tcMar>
              <w:top w:w="80" w:type="dxa"/>
              <w:left w:w="80" w:type="dxa"/>
              <w:bottom w:w="80" w:type="dxa"/>
              <w:right w:w="80" w:type="dxa"/>
            </w:tcMar>
          </w:tcPr>
          <w:p w14:paraId="0AF8CDB1" w14:textId="598B3861" w:rsidR="0087245A" w:rsidRPr="0087245A" w:rsidRDefault="00A7538C" w:rsidP="00292A53">
            <w:pPr>
              <w:spacing w:after="60"/>
              <w:contextualSpacing/>
              <w:rPr>
                <w:rFonts w:cs="Arial"/>
                <w:color w:val="000000"/>
                <w:sz w:val="14"/>
                <w:szCs w:val="16"/>
                <w:lang w:val="en-GB"/>
              </w:rPr>
            </w:pPr>
            <w:hyperlink r:id="rId1322" w:history="1">
              <w:r w:rsidR="006B4704" w:rsidRPr="006B4704">
                <w:rPr>
                  <w:rStyle w:val="Hyperlink"/>
                  <w:rFonts w:cs="Arial"/>
                  <w:sz w:val="14"/>
                  <w:szCs w:val="16"/>
                  <w:lang w:val="en-GB"/>
                </w:rPr>
                <w:t>s49</w:t>
              </w:r>
            </w:hyperlink>
            <w:r w:rsidR="006B4704">
              <w:rPr>
                <w:rFonts w:cs="Arial"/>
                <w:color w:val="000000"/>
                <w:sz w:val="14"/>
                <w:szCs w:val="16"/>
                <w:lang w:val="en-GB"/>
              </w:rPr>
              <w:t xml:space="preserve"> </w:t>
            </w:r>
            <w:r w:rsidR="00922480">
              <w:rPr>
                <w:rFonts w:cs="Arial"/>
                <w:color w:val="000000"/>
                <w:sz w:val="14"/>
                <w:szCs w:val="16"/>
                <w:lang w:val="en-GB"/>
              </w:rPr>
              <w:t>Dependant</w:t>
            </w:r>
            <w:r w:rsidR="006B4704">
              <w:rPr>
                <w:rFonts w:cs="Arial"/>
                <w:color w:val="000000"/>
                <w:sz w:val="14"/>
                <w:szCs w:val="16"/>
                <w:lang w:val="en-GB"/>
              </w:rPr>
              <w:t xml:space="preserve">, </w:t>
            </w:r>
            <w:r w:rsidR="006B4704" w:rsidRPr="00016069">
              <w:rPr>
                <w:i/>
                <w:sz w:val="14"/>
              </w:rPr>
              <w:t>Return to Work Act</w:t>
            </w:r>
          </w:p>
        </w:tc>
        <w:tc>
          <w:tcPr>
            <w:tcW w:w="3449" w:type="dxa"/>
            <w:shd w:val="clear" w:color="auto" w:fill="FFC9C9"/>
            <w:tcMar>
              <w:top w:w="80" w:type="dxa"/>
              <w:left w:w="80" w:type="dxa"/>
              <w:bottom w:w="80" w:type="dxa"/>
              <w:right w:w="80" w:type="dxa"/>
            </w:tcMar>
          </w:tcPr>
          <w:p w14:paraId="05F7C4EA" w14:textId="77777777"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Dependant, in relation to a worker, means:</w:t>
            </w:r>
          </w:p>
          <w:p w14:paraId="0D49EEAC" w14:textId="77777777" w:rsidR="0087245A" w:rsidRPr="007B2AB9" w:rsidRDefault="0087245A" w:rsidP="00F839DB">
            <w:pPr>
              <w:pStyle w:val="Tableabc7pt"/>
              <w:numPr>
                <w:ilvl w:val="0"/>
                <w:numId w:val="461"/>
              </w:numPr>
              <w:spacing w:before="0" w:after="60"/>
              <w:rPr>
                <w:rFonts w:eastAsia="Calibri"/>
                <w:lang w:eastAsia="en-US"/>
              </w:rPr>
            </w:pPr>
            <w:r w:rsidRPr="007B2AB9">
              <w:rPr>
                <w:rFonts w:eastAsia="Calibri"/>
                <w:lang w:eastAsia="en-US"/>
              </w:rPr>
              <w:t>a spouse or other member of the worker’s family</w:t>
            </w:r>
          </w:p>
          <w:p w14:paraId="6855EFA9" w14:textId="77777777" w:rsidR="0087245A" w:rsidRPr="0087245A" w:rsidRDefault="0087245A" w:rsidP="00F839DB">
            <w:pPr>
              <w:pStyle w:val="Tableabc7pt"/>
              <w:numPr>
                <w:ilvl w:val="0"/>
                <w:numId w:val="461"/>
              </w:numPr>
              <w:spacing w:before="0" w:after="60"/>
              <w:rPr>
                <w:rFonts w:eastAsia="Calibri"/>
                <w:lang w:eastAsia="en-US"/>
              </w:rPr>
            </w:pPr>
            <w:r w:rsidRPr="0087245A">
              <w:rPr>
                <w:rFonts w:eastAsia="Calibri"/>
                <w:lang w:eastAsia="en-US"/>
              </w:rPr>
              <w:t>a person to whom the worker stood in loco parentis or who stood in loco parentis to the worker</w:t>
            </w:r>
          </w:p>
          <w:p w14:paraId="43D8028E" w14:textId="77777777" w:rsidR="0087245A" w:rsidRPr="0087245A" w:rsidRDefault="0087245A" w:rsidP="00F839DB">
            <w:pPr>
              <w:pStyle w:val="Tableabc7pt"/>
              <w:numPr>
                <w:ilvl w:val="0"/>
                <w:numId w:val="461"/>
              </w:numPr>
              <w:spacing w:before="0" w:after="60"/>
              <w:rPr>
                <w:rFonts w:eastAsia="Calibri"/>
                <w:lang w:eastAsia="en-US"/>
              </w:rPr>
            </w:pPr>
            <w:r w:rsidRPr="0087245A">
              <w:rPr>
                <w:rFonts w:eastAsia="Calibri"/>
                <w:lang w:eastAsia="en-US"/>
              </w:rPr>
              <w:t>a grandchild of the worker.</w:t>
            </w:r>
          </w:p>
          <w:p w14:paraId="50E6EB75" w14:textId="6BAF125B"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who was wholly or in part dependant on his or her earnings at the date of his or her death or who would but for the worker’s incapacity due to the injury resulting in his or her death, have been so depen</w:t>
            </w:r>
            <w:r w:rsidR="00ED1468">
              <w:rPr>
                <w:rFonts w:cs="Arial"/>
                <w:color w:val="000000"/>
                <w:sz w:val="14"/>
                <w:szCs w:val="16"/>
                <w:lang w:val="en-GB"/>
              </w:rPr>
              <w:t>dant</w:t>
            </w:r>
          </w:p>
        </w:tc>
        <w:tc>
          <w:tcPr>
            <w:tcW w:w="3449" w:type="dxa"/>
            <w:shd w:val="clear" w:color="auto" w:fill="FFC9C9"/>
            <w:tcMar>
              <w:top w:w="80" w:type="dxa"/>
              <w:left w:w="80" w:type="dxa"/>
              <w:bottom w:w="80" w:type="dxa"/>
              <w:right w:w="80" w:type="dxa"/>
            </w:tcMar>
          </w:tcPr>
          <w:p w14:paraId="45E3DA98" w14:textId="57B5D355"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No</w:t>
            </w:r>
          </w:p>
        </w:tc>
        <w:tc>
          <w:tcPr>
            <w:tcW w:w="3449" w:type="dxa"/>
            <w:shd w:val="clear" w:color="auto" w:fill="FFC9C9"/>
            <w:tcMar>
              <w:top w:w="80" w:type="dxa"/>
              <w:left w:w="80" w:type="dxa"/>
              <w:bottom w:w="80" w:type="dxa"/>
              <w:right w:w="80" w:type="dxa"/>
            </w:tcMar>
          </w:tcPr>
          <w:p w14:paraId="5145D30F" w14:textId="77777777"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‘Prescribed child’ means a child of the deceased worker, or child in relation to whom the deceased worker stood in loco parentis, and who:</w:t>
            </w:r>
          </w:p>
          <w:p w14:paraId="7EBEB81E" w14:textId="77777777" w:rsidR="0087245A" w:rsidRPr="007B2AB9" w:rsidRDefault="0087245A" w:rsidP="00F839DB">
            <w:pPr>
              <w:pStyle w:val="Tableabc7pt"/>
              <w:numPr>
                <w:ilvl w:val="0"/>
                <w:numId w:val="462"/>
              </w:numPr>
              <w:spacing w:before="0" w:after="60"/>
              <w:rPr>
                <w:rFonts w:eastAsia="Calibri"/>
                <w:lang w:eastAsia="en-US"/>
              </w:rPr>
            </w:pPr>
            <w:r w:rsidRPr="007B2AB9">
              <w:rPr>
                <w:rFonts w:eastAsia="Calibri"/>
                <w:lang w:eastAsia="en-US"/>
              </w:rPr>
              <w:t>has not attained the age of 16 years; or</w:t>
            </w:r>
          </w:p>
          <w:p w14:paraId="75AA56A6" w14:textId="77777777" w:rsidR="0087245A" w:rsidRPr="0087245A" w:rsidRDefault="0087245A" w:rsidP="00F839DB">
            <w:pPr>
              <w:pStyle w:val="Tableabc7pt"/>
              <w:numPr>
                <w:ilvl w:val="0"/>
                <w:numId w:val="462"/>
              </w:numPr>
              <w:spacing w:before="0" w:after="60"/>
              <w:rPr>
                <w:rFonts w:eastAsia="Calibri"/>
                <w:lang w:eastAsia="en-US"/>
              </w:rPr>
            </w:pPr>
            <w:r w:rsidRPr="0087245A">
              <w:rPr>
                <w:rFonts w:eastAsia="Calibri"/>
                <w:lang w:eastAsia="en-US"/>
              </w:rPr>
              <w:t>having attained that age but not having attained the age of 21 years, is a full-time student or is physically or mentally handicapped, other than such a child who is the spouse of another person.</w:t>
            </w:r>
          </w:p>
          <w:p w14:paraId="22CB12F8" w14:textId="65707A01" w:rsidR="0087245A" w:rsidRPr="0087245A" w:rsidRDefault="0087245A" w:rsidP="00F839DB">
            <w:pPr>
              <w:pStyle w:val="Tableabc7pt"/>
              <w:numPr>
                <w:ilvl w:val="0"/>
                <w:numId w:val="462"/>
              </w:numPr>
              <w:spacing w:before="0" w:after="60"/>
              <w:rPr>
                <w:rFonts w:eastAsia="Calibri"/>
                <w:lang w:eastAsia="en-US"/>
              </w:rPr>
            </w:pPr>
            <w:r w:rsidRPr="0087245A">
              <w:rPr>
                <w:rFonts w:eastAsia="Calibri"/>
                <w:lang w:eastAsia="en-US"/>
              </w:rPr>
              <w:t>‘Family’, in relation to an Aboriginal or Torres Strait Islander, includes all persons who are members of the person’s family according to the customs and traditions of the particular community of Aboriginals or Torres Strait Islanders w</w:t>
            </w:r>
            <w:r w:rsidR="00ED1468">
              <w:rPr>
                <w:rFonts w:eastAsia="Calibri"/>
                <w:lang w:eastAsia="en-US"/>
              </w:rPr>
              <w:t>ith which the person identifies</w:t>
            </w:r>
          </w:p>
        </w:tc>
      </w:tr>
      <w:tr w:rsidR="0087245A" w:rsidRPr="0087245A" w14:paraId="252C1481" w14:textId="77777777" w:rsidTr="00B2173F">
        <w:tc>
          <w:tcPr>
            <w:tcW w:w="1626" w:type="dxa"/>
            <w:tcMar>
              <w:top w:w="80" w:type="dxa"/>
              <w:left w:w="80" w:type="dxa"/>
              <w:bottom w:w="80" w:type="dxa"/>
              <w:right w:w="80" w:type="dxa"/>
            </w:tcMar>
          </w:tcPr>
          <w:p w14:paraId="137AA7A8"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Australian Capital Territory</w:t>
            </w:r>
          </w:p>
        </w:tc>
        <w:tc>
          <w:tcPr>
            <w:tcW w:w="3448" w:type="dxa"/>
            <w:tcMar>
              <w:top w:w="80" w:type="dxa"/>
              <w:left w:w="80" w:type="dxa"/>
              <w:bottom w:w="80" w:type="dxa"/>
              <w:right w:w="80" w:type="dxa"/>
            </w:tcMar>
          </w:tcPr>
          <w:p w14:paraId="09394636" w14:textId="1BE0C9A1" w:rsidR="0087245A" w:rsidRPr="0087245A" w:rsidRDefault="00A7538C" w:rsidP="00292A53">
            <w:pPr>
              <w:spacing w:after="60"/>
              <w:contextualSpacing/>
              <w:rPr>
                <w:rFonts w:cs="Arial"/>
                <w:color w:val="000000"/>
                <w:sz w:val="14"/>
                <w:szCs w:val="16"/>
                <w:lang w:val="en-GB"/>
              </w:rPr>
            </w:pPr>
            <w:hyperlink r:id="rId1323" w:history="1">
              <w:r w:rsidR="00ED1468" w:rsidRPr="006B4704">
                <w:rPr>
                  <w:rStyle w:val="Hyperlink"/>
                  <w:rFonts w:cs="Arial"/>
                  <w:sz w:val="14"/>
                  <w:szCs w:val="16"/>
                  <w:lang w:val="en-GB"/>
                </w:rPr>
                <w:t>s77(2)</w:t>
              </w:r>
            </w:hyperlink>
            <w:r w:rsidR="00ED1468">
              <w:rPr>
                <w:rFonts w:cs="Arial"/>
                <w:color w:val="000000"/>
                <w:sz w:val="14"/>
                <w:szCs w:val="16"/>
                <w:lang w:val="en-GB"/>
              </w:rPr>
              <w:t xml:space="preserve"> </w:t>
            </w:r>
            <w:r w:rsidR="006B4704" w:rsidRPr="00016069">
              <w:rPr>
                <w:i/>
                <w:sz w:val="14"/>
              </w:rPr>
              <w:t>Workers Compensation Act 1951</w:t>
            </w:r>
            <w:r w:rsidR="006B4704">
              <w:rPr>
                <w:i/>
                <w:sz w:val="14"/>
              </w:rPr>
              <w:t xml:space="preserve"> </w:t>
            </w:r>
            <w:r w:rsidR="00ED1468">
              <w:rPr>
                <w:rFonts w:cs="Arial"/>
                <w:color w:val="000000"/>
                <w:sz w:val="14"/>
                <w:szCs w:val="16"/>
                <w:lang w:val="en-GB"/>
              </w:rPr>
              <w:t>— Dependants</w:t>
            </w:r>
          </w:p>
        </w:tc>
        <w:tc>
          <w:tcPr>
            <w:tcW w:w="3449" w:type="dxa"/>
            <w:tcMar>
              <w:top w:w="80" w:type="dxa"/>
              <w:left w:w="80" w:type="dxa"/>
              <w:bottom w:w="80" w:type="dxa"/>
              <w:right w:w="80" w:type="dxa"/>
            </w:tcMar>
          </w:tcPr>
          <w:p w14:paraId="75474321" w14:textId="77777777"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Dictionary: dependant of a dead worker, means an individual:</w:t>
            </w:r>
          </w:p>
          <w:p w14:paraId="49E74E10" w14:textId="77777777" w:rsidR="0087245A" w:rsidRPr="007B2AB9" w:rsidRDefault="0087245A" w:rsidP="00F839DB">
            <w:pPr>
              <w:pStyle w:val="Tableabc7pt"/>
              <w:numPr>
                <w:ilvl w:val="0"/>
                <w:numId w:val="463"/>
              </w:numPr>
              <w:spacing w:before="0" w:after="60"/>
              <w:rPr>
                <w:rFonts w:eastAsia="Calibri"/>
                <w:lang w:eastAsia="en-US"/>
              </w:rPr>
            </w:pPr>
            <w:r w:rsidRPr="007B2AB9">
              <w:rPr>
                <w:rFonts w:eastAsia="Calibri"/>
                <w:lang w:eastAsia="en-US"/>
              </w:rPr>
              <w:t>who was totally or partly dependant on the worker’s earnings on the day of the worker’s death or who would, apart from the worker’s incapacity because of the injury, have been so dependant, and</w:t>
            </w:r>
          </w:p>
          <w:p w14:paraId="49AA8611" w14:textId="77777777" w:rsidR="0087245A" w:rsidRPr="0087245A" w:rsidRDefault="0087245A" w:rsidP="00F839DB">
            <w:pPr>
              <w:pStyle w:val="Tableabc7pt"/>
              <w:numPr>
                <w:ilvl w:val="0"/>
                <w:numId w:val="463"/>
              </w:numPr>
              <w:spacing w:before="0" w:after="60"/>
              <w:contextualSpacing w:val="0"/>
              <w:rPr>
                <w:rFonts w:eastAsia="Calibri"/>
                <w:lang w:eastAsia="en-US"/>
              </w:rPr>
            </w:pPr>
            <w:r w:rsidRPr="0087245A">
              <w:rPr>
                <w:rFonts w:eastAsia="Calibri"/>
                <w:lang w:eastAsia="en-US"/>
              </w:rPr>
              <w:lastRenderedPageBreak/>
              <w:t>who was:</w:t>
            </w:r>
          </w:p>
          <w:p w14:paraId="2DE6143E" w14:textId="77777777" w:rsidR="0087245A" w:rsidRPr="0087245A" w:rsidRDefault="0087245A" w:rsidP="00F839DB">
            <w:pPr>
              <w:pStyle w:val="Tableabc7pt"/>
              <w:numPr>
                <w:ilvl w:val="0"/>
                <w:numId w:val="186"/>
              </w:numPr>
              <w:spacing w:before="0" w:after="60"/>
              <w:ind w:left="357" w:hanging="357"/>
              <w:rPr>
                <w:lang w:val="en-GB"/>
              </w:rPr>
            </w:pPr>
            <w:r w:rsidRPr="0087245A">
              <w:rPr>
                <w:lang w:val="en-GB"/>
              </w:rPr>
              <w:t>a member of the worker’s family, or</w:t>
            </w:r>
          </w:p>
          <w:p w14:paraId="6EA34EBC" w14:textId="77777777" w:rsidR="0087245A" w:rsidRPr="007B2AB9" w:rsidRDefault="0087245A" w:rsidP="00F839DB">
            <w:pPr>
              <w:pStyle w:val="ListParagraph"/>
              <w:numPr>
                <w:ilvl w:val="0"/>
                <w:numId w:val="186"/>
              </w:numPr>
              <w:spacing w:after="60"/>
              <w:ind w:left="357" w:hanging="357"/>
              <w:contextualSpacing/>
              <w:rPr>
                <w:rFonts w:cs="Arial"/>
                <w:color w:val="000000"/>
                <w:sz w:val="14"/>
                <w:szCs w:val="16"/>
                <w:lang w:val="en-GB"/>
              </w:rPr>
            </w:pPr>
            <w:r w:rsidRPr="007B2AB9">
              <w:rPr>
                <w:rFonts w:cs="Arial"/>
                <w:color w:val="000000"/>
                <w:sz w:val="14"/>
                <w:szCs w:val="16"/>
                <w:lang w:val="en-GB"/>
              </w:rPr>
              <w:t>a person to whom the worker acted in place of a parent or who acted in place of a parent for the worker.</w:t>
            </w:r>
          </w:p>
        </w:tc>
        <w:tc>
          <w:tcPr>
            <w:tcW w:w="3449" w:type="dxa"/>
            <w:tcMar>
              <w:top w:w="80" w:type="dxa"/>
              <w:left w:w="80" w:type="dxa"/>
              <w:bottom w:w="80" w:type="dxa"/>
              <w:right w:w="80" w:type="dxa"/>
            </w:tcMar>
          </w:tcPr>
          <w:p w14:paraId="347FB04A" w14:textId="5289E7CC"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lastRenderedPageBreak/>
              <w:t xml:space="preserve">Yes, the definition does not limit the meaning of dependant </w:t>
            </w:r>
            <w:r w:rsidR="00ED1468">
              <w:rPr>
                <w:rFonts w:cs="Arial"/>
                <w:color w:val="000000"/>
                <w:sz w:val="14"/>
                <w:szCs w:val="16"/>
                <w:lang w:val="en-GB"/>
              </w:rPr>
              <w:t>to a heterosexual relationship</w:t>
            </w:r>
          </w:p>
        </w:tc>
        <w:tc>
          <w:tcPr>
            <w:tcW w:w="3449" w:type="dxa"/>
            <w:tcMar>
              <w:top w:w="80" w:type="dxa"/>
              <w:left w:w="80" w:type="dxa"/>
              <w:bottom w:w="80" w:type="dxa"/>
              <w:right w:w="80" w:type="dxa"/>
            </w:tcMar>
          </w:tcPr>
          <w:p w14:paraId="219AC813"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Dictionary: member of the family, in relation to a worker or an employer, means the grandchild, child, stepchild, adopted child, sister, brother, half-sister, half-brother, domestic partner, parent, step-parent, mother-in-law, father-in-law or grandparent of the worker or employer.</w:t>
            </w:r>
          </w:p>
          <w:p w14:paraId="49FA356D" w14:textId="3F4F174D"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Note: For the meaning of domestic partner, see </w:t>
            </w:r>
            <w:hyperlink r:id="rId1324" w:history="1">
              <w:r w:rsidRPr="006B4704">
                <w:rPr>
                  <w:rStyle w:val="Hyperlink"/>
                  <w:rFonts w:cs="Arial"/>
                  <w:sz w:val="14"/>
                  <w:szCs w:val="16"/>
                  <w:lang w:val="en-GB"/>
                </w:rPr>
                <w:t>s169</w:t>
              </w:r>
            </w:hyperlink>
            <w:r w:rsidRPr="0087245A">
              <w:rPr>
                <w:rFonts w:cs="Arial"/>
                <w:color w:val="000000"/>
                <w:sz w:val="14"/>
                <w:szCs w:val="16"/>
                <w:lang w:val="en-GB"/>
              </w:rPr>
              <w:t xml:space="preserve"> </w:t>
            </w:r>
            <w:r w:rsidRPr="0087245A">
              <w:rPr>
                <w:rFonts w:cs="Arial"/>
                <w:color w:val="000000"/>
                <w:sz w:val="14"/>
                <w:szCs w:val="16"/>
                <w:lang w:val="en-GB"/>
              </w:rPr>
              <w:lastRenderedPageBreak/>
              <w:t xml:space="preserve">of the </w:t>
            </w:r>
            <w:r w:rsidRPr="007D65C8">
              <w:rPr>
                <w:rFonts w:cs="Arial"/>
                <w:i/>
                <w:color w:val="000000"/>
                <w:sz w:val="14"/>
                <w:szCs w:val="16"/>
                <w:lang w:val="en-GB"/>
              </w:rPr>
              <w:t>Legislation Act 2001</w:t>
            </w:r>
            <w:r w:rsidRPr="0087245A">
              <w:rPr>
                <w:rFonts w:cs="Arial"/>
                <w:color w:val="000000"/>
                <w:sz w:val="14"/>
                <w:szCs w:val="16"/>
                <w:lang w:val="en-GB"/>
              </w:rPr>
              <w:t>. If a worker has died, the definition of domestic partner elsewhere in the dictionary provides that the term refers to the person who was the worker’s domestic partner when the worker died.</w:t>
            </w:r>
          </w:p>
          <w:p w14:paraId="1EE07D1A" w14:textId="57D81ACB"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Dictionary: domestic partner, of a worker who has died, means the person who was the worker’s domestic partner when the worker died. Note: This definition qualifies the meaning of domestic partner given by </w:t>
            </w:r>
            <w:hyperlink r:id="rId1325" w:history="1">
              <w:r w:rsidRPr="006B4704">
                <w:rPr>
                  <w:rStyle w:val="Hyperlink"/>
                  <w:rFonts w:cs="Arial"/>
                  <w:sz w:val="14"/>
                  <w:szCs w:val="16"/>
                  <w:lang w:val="en-GB"/>
                </w:rPr>
                <w:t>s169</w:t>
              </w:r>
            </w:hyperlink>
            <w:r w:rsidRPr="0087245A">
              <w:rPr>
                <w:rFonts w:cs="Arial"/>
                <w:color w:val="000000"/>
                <w:sz w:val="14"/>
                <w:szCs w:val="16"/>
                <w:lang w:val="en-GB"/>
              </w:rPr>
              <w:t xml:space="preserve"> of the </w:t>
            </w:r>
            <w:r w:rsidRPr="007D65C8">
              <w:rPr>
                <w:rFonts w:cs="Arial"/>
                <w:i/>
                <w:color w:val="000000"/>
                <w:sz w:val="14"/>
                <w:szCs w:val="16"/>
                <w:lang w:val="en-GB"/>
              </w:rPr>
              <w:t>Legislation Act 2001</w:t>
            </w:r>
            <w:r w:rsidRPr="0087245A">
              <w:rPr>
                <w:rFonts w:cs="Arial"/>
                <w:color w:val="000000"/>
                <w:sz w:val="14"/>
                <w:szCs w:val="16"/>
                <w:lang w:val="en-GB"/>
              </w:rPr>
              <w:t>.</w:t>
            </w:r>
          </w:p>
        </w:tc>
      </w:tr>
      <w:tr w:rsidR="0087245A" w:rsidRPr="0087245A" w14:paraId="2B93D61B" w14:textId="77777777" w:rsidTr="00B2173F">
        <w:tc>
          <w:tcPr>
            <w:tcW w:w="1626" w:type="dxa"/>
            <w:shd w:val="clear" w:color="auto" w:fill="FFC9C9"/>
            <w:tcMar>
              <w:top w:w="80" w:type="dxa"/>
              <w:left w:w="80" w:type="dxa"/>
              <w:bottom w:w="80" w:type="dxa"/>
              <w:right w:w="80" w:type="dxa"/>
            </w:tcMar>
          </w:tcPr>
          <w:p w14:paraId="271B6C56"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lastRenderedPageBreak/>
              <w:t>C’wealth Comcare</w:t>
            </w:r>
          </w:p>
        </w:tc>
        <w:tc>
          <w:tcPr>
            <w:tcW w:w="3448" w:type="dxa"/>
            <w:shd w:val="clear" w:color="auto" w:fill="FFC9C9"/>
            <w:tcMar>
              <w:top w:w="80" w:type="dxa"/>
              <w:left w:w="80" w:type="dxa"/>
              <w:bottom w:w="80" w:type="dxa"/>
              <w:right w:w="80" w:type="dxa"/>
            </w:tcMar>
          </w:tcPr>
          <w:p w14:paraId="6217E00E" w14:textId="4431F54E" w:rsidR="0087245A" w:rsidRPr="0087245A" w:rsidRDefault="00A7538C" w:rsidP="00292A53">
            <w:pPr>
              <w:spacing w:after="60"/>
              <w:contextualSpacing/>
              <w:rPr>
                <w:rFonts w:cs="Arial"/>
                <w:color w:val="000000"/>
                <w:sz w:val="14"/>
                <w:szCs w:val="16"/>
                <w:lang w:val="en-GB"/>
              </w:rPr>
            </w:pPr>
            <w:hyperlink r:id="rId1326" w:history="1">
              <w:r w:rsidR="00ED1468" w:rsidRPr="00661739">
                <w:rPr>
                  <w:rStyle w:val="Hyperlink"/>
                  <w:rFonts w:cs="Arial"/>
                  <w:sz w:val="14"/>
                  <w:szCs w:val="16"/>
                  <w:lang w:val="en-GB"/>
                </w:rPr>
                <w:t>s17</w:t>
              </w:r>
            </w:hyperlink>
            <w:r w:rsidR="00ED1468">
              <w:rPr>
                <w:rFonts w:cs="Arial"/>
                <w:color w:val="000000"/>
                <w:sz w:val="14"/>
                <w:szCs w:val="16"/>
                <w:lang w:val="en-GB"/>
              </w:rPr>
              <w:t xml:space="preserve"> </w:t>
            </w:r>
            <w:r w:rsidR="00661739" w:rsidRPr="00016069">
              <w:rPr>
                <w:i/>
                <w:sz w:val="14"/>
              </w:rPr>
              <w:t>Safety, Rehabilitation and Compensation Act 1988</w:t>
            </w:r>
            <w:r w:rsidR="00661739">
              <w:rPr>
                <w:i/>
                <w:sz w:val="14"/>
              </w:rPr>
              <w:t xml:space="preserve"> </w:t>
            </w:r>
            <w:r w:rsidR="00ED1468">
              <w:rPr>
                <w:rFonts w:cs="Arial"/>
                <w:color w:val="000000"/>
                <w:sz w:val="14"/>
                <w:szCs w:val="16"/>
                <w:lang w:val="en-GB"/>
              </w:rPr>
              <w:t>— Dependants</w:t>
            </w:r>
          </w:p>
        </w:tc>
        <w:tc>
          <w:tcPr>
            <w:tcW w:w="3449" w:type="dxa"/>
            <w:shd w:val="clear" w:color="auto" w:fill="FFC9C9"/>
            <w:tcMar>
              <w:top w:w="80" w:type="dxa"/>
              <w:left w:w="80" w:type="dxa"/>
              <w:bottom w:w="80" w:type="dxa"/>
              <w:right w:w="80" w:type="dxa"/>
            </w:tcMar>
          </w:tcPr>
          <w:p w14:paraId="48FB577F" w14:textId="30EFFFB9" w:rsidR="0087245A" w:rsidRPr="007B2AB9" w:rsidRDefault="00A7538C" w:rsidP="00F839DB">
            <w:pPr>
              <w:pStyle w:val="ListParagraph"/>
              <w:numPr>
                <w:ilvl w:val="0"/>
                <w:numId w:val="187"/>
              </w:numPr>
              <w:spacing w:after="60"/>
              <w:ind w:left="357" w:hanging="357"/>
              <w:rPr>
                <w:rFonts w:eastAsia="Calibri" w:cs="Arial"/>
                <w:sz w:val="14"/>
                <w:szCs w:val="14"/>
                <w:lang w:eastAsia="en-US"/>
              </w:rPr>
            </w:pPr>
            <w:hyperlink r:id="rId1327" w:history="1">
              <w:r w:rsidR="0087245A" w:rsidRPr="00661739">
                <w:rPr>
                  <w:rStyle w:val="Hyperlink"/>
                  <w:rFonts w:eastAsia="Calibri" w:cs="Arial"/>
                  <w:sz w:val="14"/>
                  <w:szCs w:val="14"/>
                  <w:lang w:eastAsia="en-US"/>
                </w:rPr>
                <w:t>s4</w:t>
              </w:r>
            </w:hyperlink>
            <w:r w:rsidR="0087245A" w:rsidRPr="007B2AB9">
              <w:rPr>
                <w:rFonts w:eastAsia="Calibri" w:cs="Arial"/>
                <w:sz w:val="14"/>
                <w:szCs w:val="14"/>
                <w:lang w:eastAsia="en-US"/>
              </w:rPr>
              <w:t xml:space="preserve"> — dependant, in relation to a deceased employee, means:</w:t>
            </w:r>
          </w:p>
          <w:p w14:paraId="6D5877E1" w14:textId="77777777" w:rsidR="0087245A" w:rsidRPr="007B2AB9" w:rsidRDefault="0087245A" w:rsidP="00F839DB">
            <w:pPr>
              <w:pStyle w:val="ListParagraph"/>
              <w:numPr>
                <w:ilvl w:val="0"/>
                <w:numId w:val="188"/>
              </w:numPr>
              <w:spacing w:after="60"/>
              <w:ind w:left="357" w:hanging="357"/>
              <w:rPr>
                <w:rFonts w:cs="Arial"/>
                <w:color w:val="000000"/>
                <w:sz w:val="14"/>
                <w:szCs w:val="16"/>
                <w:lang w:val="en-GB"/>
              </w:rPr>
            </w:pPr>
            <w:r w:rsidRPr="007B2AB9">
              <w:rPr>
                <w:rFonts w:cs="Arial"/>
                <w:color w:val="000000"/>
                <w:sz w:val="14"/>
                <w:szCs w:val="16"/>
                <w:lang w:val="en-GB"/>
              </w:rPr>
              <w:t>the spouse, parent, step parent, father in law, mother in law, grandparent, child, stepchild, grandchild, sibling or half sibling of the employee, or a person in relation to whom the employee stood in the position of a parent or who stood in the position of a parent to the employee, being a person who was wholly or partly dependant on the employee at the date of the employee’s death.</w:t>
            </w:r>
          </w:p>
          <w:p w14:paraId="75FBDD49" w14:textId="1E9AA577" w:rsidR="0087245A" w:rsidRPr="007B2AB9" w:rsidRDefault="00A7538C" w:rsidP="00F839DB">
            <w:pPr>
              <w:pStyle w:val="ListParagraph"/>
              <w:numPr>
                <w:ilvl w:val="0"/>
                <w:numId w:val="187"/>
              </w:numPr>
              <w:spacing w:after="60"/>
              <w:ind w:left="357" w:hanging="357"/>
              <w:rPr>
                <w:rFonts w:eastAsia="Calibri" w:cs="Arial"/>
                <w:sz w:val="14"/>
                <w:szCs w:val="14"/>
                <w:lang w:eastAsia="en-US"/>
              </w:rPr>
            </w:pPr>
            <w:hyperlink r:id="rId1328" w:history="1">
              <w:r w:rsidR="00661739" w:rsidRPr="00661739">
                <w:rPr>
                  <w:rStyle w:val="Hyperlink"/>
                  <w:rFonts w:eastAsia="Calibri" w:cs="Arial"/>
                  <w:sz w:val="14"/>
                  <w:szCs w:val="14"/>
                  <w:lang w:eastAsia="en-US"/>
                </w:rPr>
                <w:t>s4</w:t>
              </w:r>
            </w:hyperlink>
            <w:r w:rsidR="0087245A" w:rsidRPr="007B2AB9">
              <w:rPr>
                <w:rFonts w:eastAsia="Calibri" w:cs="Arial"/>
                <w:sz w:val="14"/>
                <w:szCs w:val="14"/>
                <w:lang w:eastAsia="en-US"/>
              </w:rPr>
              <w:t xml:space="preserve"> — Spouse includes:</w:t>
            </w:r>
          </w:p>
          <w:p w14:paraId="5A651EBF" w14:textId="77777777" w:rsidR="0087245A" w:rsidRPr="007B2AB9" w:rsidRDefault="0087245A" w:rsidP="00F839DB">
            <w:pPr>
              <w:pStyle w:val="Tableabc7pt"/>
              <w:numPr>
                <w:ilvl w:val="0"/>
                <w:numId w:val="464"/>
              </w:numPr>
              <w:spacing w:before="0" w:after="60"/>
              <w:rPr>
                <w:rFonts w:eastAsia="Calibri"/>
                <w:lang w:eastAsia="en-US"/>
              </w:rPr>
            </w:pPr>
            <w:r w:rsidRPr="007B2AB9">
              <w:rPr>
                <w:rFonts w:eastAsia="Calibri"/>
                <w:lang w:eastAsia="en-US"/>
              </w:rPr>
              <w:t>in relation to an employee or a deceased employee — a person who is, or immediately before the employee’s death was, a de facto partner of the employee, and</w:t>
            </w:r>
          </w:p>
          <w:p w14:paraId="74596E82" w14:textId="77777777" w:rsidR="0087245A" w:rsidRPr="007B2AB9" w:rsidRDefault="0087245A" w:rsidP="00F839DB">
            <w:pPr>
              <w:pStyle w:val="Tableabc7pt"/>
              <w:numPr>
                <w:ilvl w:val="0"/>
                <w:numId w:val="464"/>
              </w:numPr>
              <w:spacing w:before="0" w:after="60"/>
              <w:contextualSpacing w:val="0"/>
              <w:rPr>
                <w:rFonts w:eastAsia="Calibri"/>
                <w:lang w:eastAsia="en-US"/>
              </w:rPr>
            </w:pPr>
            <w:r w:rsidRPr="007B2AB9">
              <w:rPr>
                <w:rFonts w:eastAsia="Calibri"/>
                <w:lang w:eastAsia="en-US"/>
              </w:rPr>
              <w:t>in relation to an employee or a deceased employee who is or was a member of the Aboriginal race of Australia or a descendant of indigenous inhabitants of the Torres Strait Islands — a person who is or was recognised as the employee’s husband or wife by the custom prevailing in the tribe or group to which the employee belongs or belonged.</w:t>
            </w:r>
          </w:p>
        </w:tc>
        <w:tc>
          <w:tcPr>
            <w:tcW w:w="3449" w:type="dxa"/>
            <w:shd w:val="clear" w:color="auto" w:fill="FFC9C9"/>
            <w:tcMar>
              <w:top w:w="80" w:type="dxa"/>
              <w:left w:w="80" w:type="dxa"/>
              <w:bottom w:w="80" w:type="dxa"/>
              <w:right w:w="80" w:type="dxa"/>
            </w:tcMar>
          </w:tcPr>
          <w:p w14:paraId="25F16B5D" w14:textId="02607E1A" w:rsidR="0087245A" w:rsidRPr="0087245A" w:rsidRDefault="00ED1468" w:rsidP="00292A53">
            <w:pPr>
              <w:spacing w:after="60"/>
              <w:rPr>
                <w:rFonts w:cs="Arial"/>
                <w:color w:val="000000"/>
                <w:sz w:val="14"/>
                <w:szCs w:val="16"/>
                <w:lang w:val="en-GB"/>
              </w:rPr>
            </w:pPr>
            <w:r>
              <w:rPr>
                <w:rFonts w:cs="Arial"/>
                <w:color w:val="000000"/>
                <w:sz w:val="14"/>
                <w:szCs w:val="16"/>
                <w:lang w:val="en-GB"/>
              </w:rPr>
              <w:t>Yes</w:t>
            </w:r>
          </w:p>
          <w:p w14:paraId="39B08542" w14:textId="0A9A64E4" w:rsidR="0087245A" w:rsidRPr="0087245A" w:rsidRDefault="00A7538C" w:rsidP="00292A53">
            <w:pPr>
              <w:spacing w:after="60"/>
              <w:rPr>
                <w:rFonts w:cs="Arial"/>
                <w:color w:val="000000"/>
                <w:sz w:val="14"/>
                <w:szCs w:val="16"/>
                <w:lang w:val="en-GB"/>
              </w:rPr>
            </w:pPr>
            <w:hyperlink r:id="rId1329" w:history="1">
              <w:r w:rsidR="0087245A" w:rsidRPr="0087245A">
                <w:rPr>
                  <w:rFonts w:cs="Arial"/>
                  <w:color w:val="0000FF"/>
                  <w:sz w:val="14"/>
                  <w:szCs w:val="16"/>
                  <w:u w:val="single"/>
                  <w:lang w:val="en-GB"/>
                </w:rPr>
                <w:t xml:space="preserve">The </w:t>
              </w:r>
              <w:r w:rsidR="0087245A" w:rsidRPr="0087245A">
                <w:rPr>
                  <w:rFonts w:cs="Arial"/>
                  <w:i/>
                  <w:color w:val="0000FF"/>
                  <w:sz w:val="14"/>
                  <w:szCs w:val="16"/>
                  <w:u w:val="single"/>
                  <w:lang w:val="en-GB"/>
                </w:rPr>
                <w:t>Same Sex Relationships (Equal Treatment in Commonwealth Laws-General Law Reform) Act 2008</w:t>
              </w:r>
            </w:hyperlink>
            <w:r w:rsidR="0087245A" w:rsidRPr="0087245A">
              <w:rPr>
                <w:rFonts w:cs="Arial"/>
                <w:color w:val="000000"/>
                <w:sz w:val="14"/>
                <w:szCs w:val="16"/>
                <w:lang w:val="en-GB"/>
              </w:rPr>
              <w:t xml:space="preserve"> commenced on and from 10 December 2008. It removed discrimination against same-sex couples, their dependants and their dependant children from a wide range of Commonwealth laws including the </w:t>
            </w:r>
            <w:r w:rsidR="0087245A" w:rsidRPr="0087245A">
              <w:rPr>
                <w:rFonts w:cs="Arial"/>
                <w:i/>
                <w:color w:val="000000"/>
                <w:sz w:val="14"/>
                <w:szCs w:val="16"/>
                <w:lang w:val="en-GB"/>
              </w:rPr>
              <w:t>Safety, Rehabilitation and Compensation Act 1988</w:t>
            </w:r>
          </w:p>
        </w:tc>
        <w:tc>
          <w:tcPr>
            <w:tcW w:w="3449" w:type="dxa"/>
            <w:shd w:val="clear" w:color="auto" w:fill="FFC9C9"/>
            <w:tcMar>
              <w:top w:w="80" w:type="dxa"/>
              <w:left w:w="80" w:type="dxa"/>
              <w:bottom w:w="80" w:type="dxa"/>
              <w:right w:w="80" w:type="dxa"/>
            </w:tcMar>
          </w:tcPr>
          <w:p w14:paraId="43F510D7" w14:textId="77777777" w:rsidR="0087245A" w:rsidRPr="0087245A" w:rsidRDefault="0087245A" w:rsidP="00292A53">
            <w:pPr>
              <w:spacing w:after="60"/>
              <w:contextualSpacing/>
              <w:rPr>
                <w:rFonts w:cs="Arial"/>
                <w:color w:val="000000"/>
                <w:sz w:val="14"/>
                <w:szCs w:val="16"/>
                <w:lang w:val="en-GB"/>
              </w:rPr>
            </w:pPr>
          </w:p>
        </w:tc>
      </w:tr>
      <w:tr w:rsidR="0087245A" w:rsidRPr="0087245A" w14:paraId="3FD51DCF" w14:textId="77777777" w:rsidTr="00B2173F">
        <w:tc>
          <w:tcPr>
            <w:tcW w:w="1626" w:type="dxa"/>
            <w:tcMar>
              <w:top w:w="80" w:type="dxa"/>
              <w:left w:w="80" w:type="dxa"/>
              <w:bottom w:w="80" w:type="dxa"/>
              <w:right w:w="80" w:type="dxa"/>
            </w:tcMar>
          </w:tcPr>
          <w:p w14:paraId="6189A705"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C’wealth Seacare</w:t>
            </w:r>
          </w:p>
        </w:tc>
        <w:tc>
          <w:tcPr>
            <w:tcW w:w="3448" w:type="dxa"/>
            <w:tcMar>
              <w:top w:w="80" w:type="dxa"/>
              <w:left w:w="80" w:type="dxa"/>
              <w:bottom w:w="80" w:type="dxa"/>
              <w:right w:w="80" w:type="dxa"/>
            </w:tcMar>
          </w:tcPr>
          <w:p w14:paraId="78D94327" w14:textId="0934BFBA" w:rsidR="0087245A" w:rsidRPr="0087245A" w:rsidRDefault="00A7538C" w:rsidP="00292A53">
            <w:pPr>
              <w:spacing w:after="60"/>
              <w:rPr>
                <w:rFonts w:cs="Arial"/>
                <w:color w:val="000000"/>
                <w:sz w:val="14"/>
                <w:szCs w:val="16"/>
                <w:lang w:val="en-GB"/>
              </w:rPr>
            </w:pPr>
            <w:hyperlink r:id="rId1330" w:history="1">
              <w:r w:rsidR="00ED1468" w:rsidRPr="00661739">
                <w:rPr>
                  <w:rStyle w:val="Hyperlink"/>
                  <w:rFonts w:cs="Arial"/>
                  <w:sz w:val="14"/>
                  <w:szCs w:val="16"/>
                  <w:lang w:val="en-GB"/>
                </w:rPr>
                <w:t>s29</w:t>
              </w:r>
            </w:hyperlink>
            <w:r w:rsidR="00ED1468">
              <w:rPr>
                <w:rFonts w:cs="Arial"/>
                <w:color w:val="000000"/>
                <w:sz w:val="14"/>
                <w:szCs w:val="16"/>
                <w:lang w:val="en-GB"/>
              </w:rPr>
              <w:t xml:space="preserve"> </w:t>
            </w:r>
            <w:r w:rsidR="00661739" w:rsidRPr="00016069">
              <w:rPr>
                <w:i/>
                <w:sz w:val="14"/>
              </w:rPr>
              <w:t>Seafarers Rehabilitation and Compensation Act 1992</w:t>
            </w:r>
            <w:r w:rsidR="00661739">
              <w:rPr>
                <w:i/>
                <w:sz w:val="14"/>
              </w:rPr>
              <w:t xml:space="preserve"> </w:t>
            </w:r>
            <w:r w:rsidR="00ED1468">
              <w:rPr>
                <w:rFonts w:cs="Arial"/>
                <w:color w:val="000000"/>
                <w:sz w:val="14"/>
                <w:szCs w:val="16"/>
                <w:lang w:val="en-GB"/>
              </w:rPr>
              <w:t>— Dependants</w:t>
            </w:r>
          </w:p>
        </w:tc>
        <w:tc>
          <w:tcPr>
            <w:tcW w:w="3449" w:type="dxa"/>
            <w:tcMar>
              <w:top w:w="80" w:type="dxa"/>
              <w:left w:w="80" w:type="dxa"/>
              <w:bottom w:w="80" w:type="dxa"/>
              <w:right w:w="80" w:type="dxa"/>
            </w:tcMar>
          </w:tcPr>
          <w:p w14:paraId="41F2354A" w14:textId="1D9E56F9" w:rsidR="0087245A" w:rsidRPr="00CE2E16" w:rsidRDefault="00A7538C" w:rsidP="00F839DB">
            <w:pPr>
              <w:pStyle w:val="ListParagraph"/>
              <w:numPr>
                <w:ilvl w:val="0"/>
                <w:numId w:val="187"/>
              </w:numPr>
              <w:spacing w:after="60"/>
              <w:contextualSpacing/>
              <w:rPr>
                <w:rFonts w:eastAsia="Calibri" w:cs="Arial"/>
                <w:sz w:val="14"/>
                <w:szCs w:val="14"/>
                <w:lang w:eastAsia="en-US"/>
              </w:rPr>
            </w:pPr>
            <w:hyperlink r:id="rId1331" w:history="1">
              <w:r w:rsidR="0087245A" w:rsidRPr="00661739">
                <w:rPr>
                  <w:rStyle w:val="Hyperlink"/>
                  <w:rFonts w:eastAsia="Calibri" w:cs="Arial"/>
                  <w:sz w:val="14"/>
                  <w:szCs w:val="14"/>
                  <w:lang w:eastAsia="en-US"/>
                </w:rPr>
                <w:t>s15(2)</w:t>
              </w:r>
            </w:hyperlink>
            <w:r w:rsidR="0087245A" w:rsidRPr="00CE2E16">
              <w:rPr>
                <w:rFonts w:eastAsia="Calibri" w:cs="Arial"/>
                <w:sz w:val="14"/>
                <w:szCs w:val="14"/>
                <w:lang w:eastAsia="en-US"/>
              </w:rPr>
              <w:t xml:space="preserve"> — For the purposes of this Act, a person who, immediately before the date of an employee’s death, lived with the employee and was:</w:t>
            </w:r>
          </w:p>
          <w:p w14:paraId="03F3371F" w14:textId="77777777" w:rsidR="0087245A" w:rsidRPr="00CE2E16" w:rsidRDefault="0087245A" w:rsidP="00F839DB">
            <w:pPr>
              <w:pStyle w:val="Tableabc7pt"/>
              <w:numPr>
                <w:ilvl w:val="0"/>
                <w:numId w:val="433"/>
              </w:numPr>
              <w:spacing w:before="0" w:after="60"/>
              <w:ind w:left="589" w:hanging="283"/>
              <w:rPr>
                <w:rFonts w:eastAsia="Calibri"/>
                <w:lang w:eastAsia="en-US"/>
              </w:rPr>
            </w:pPr>
            <w:r w:rsidRPr="00CE2E16">
              <w:rPr>
                <w:rFonts w:eastAsia="Calibri"/>
                <w:lang w:eastAsia="en-US"/>
              </w:rPr>
              <w:t>the employee’s spouse, or</w:t>
            </w:r>
          </w:p>
          <w:p w14:paraId="24964E92" w14:textId="77777777" w:rsidR="0087245A" w:rsidRPr="0087245A" w:rsidRDefault="0087245A" w:rsidP="00F839DB">
            <w:pPr>
              <w:pStyle w:val="Tableabc7pt"/>
              <w:numPr>
                <w:ilvl w:val="0"/>
                <w:numId w:val="433"/>
              </w:numPr>
              <w:spacing w:before="0" w:after="60"/>
              <w:ind w:left="589" w:hanging="283"/>
              <w:rPr>
                <w:rFonts w:eastAsia="Calibri"/>
                <w:lang w:eastAsia="en-US"/>
              </w:rPr>
            </w:pPr>
            <w:r w:rsidRPr="0087245A">
              <w:rPr>
                <w:rFonts w:eastAsia="Calibri"/>
                <w:lang w:eastAsia="en-US"/>
              </w:rPr>
              <w:t>a prescribed child of the employee,</w:t>
            </w:r>
          </w:p>
          <w:p w14:paraId="3550F442"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is taken to be a person who was wholly dependent on the employee at that date.</w:t>
            </w:r>
          </w:p>
          <w:p w14:paraId="7DB74ACF" w14:textId="7D05F8D1" w:rsidR="0087245A" w:rsidRPr="00CE2E16" w:rsidRDefault="00A7538C" w:rsidP="00F839DB">
            <w:pPr>
              <w:pStyle w:val="ListParagraph"/>
              <w:numPr>
                <w:ilvl w:val="0"/>
                <w:numId w:val="187"/>
              </w:numPr>
              <w:spacing w:after="60"/>
              <w:contextualSpacing/>
              <w:rPr>
                <w:rFonts w:eastAsia="Calibri" w:cs="Arial"/>
                <w:sz w:val="14"/>
                <w:szCs w:val="14"/>
                <w:lang w:eastAsia="en-US"/>
              </w:rPr>
            </w:pPr>
            <w:hyperlink r:id="rId1332" w:history="1">
              <w:r w:rsidR="0087245A" w:rsidRPr="00661739">
                <w:rPr>
                  <w:rStyle w:val="Hyperlink"/>
                  <w:rFonts w:eastAsia="Calibri" w:cs="Arial"/>
                  <w:sz w:val="14"/>
                  <w:szCs w:val="14"/>
                  <w:lang w:eastAsia="en-US"/>
                </w:rPr>
                <w:t>s3</w:t>
              </w:r>
            </w:hyperlink>
            <w:r w:rsidR="0087245A" w:rsidRPr="00CE2E16">
              <w:rPr>
                <w:rFonts w:eastAsia="Calibri" w:cs="Arial"/>
                <w:sz w:val="14"/>
                <w:szCs w:val="14"/>
                <w:lang w:eastAsia="en-US"/>
              </w:rPr>
              <w:t xml:space="preserve"> — Spouse includes:</w:t>
            </w:r>
          </w:p>
          <w:p w14:paraId="7BBDE84C" w14:textId="77777777" w:rsidR="0087245A" w:rsidRPr="00CE2E16" w:rsidRDefault="0087245A" w:rsidP="00F839DB">
            <w:pPr>
              <w:pStyle w:val="Tableabc7pt"/>
              <w:numPr>
                <w:ilvl w:val="0"/>
                <w:numId w:val="434"/>
              </w:numPr>
              <w:spacing w:before="0" w:after="60"/>
              <w:ind w:left="589" w:hanging="283"/>
              <w:rPr>
                <w:rFonts w:eastAsia="Calibri"/>
                <w:lang w:eastAsia="en-US"/>
              </w:rPr>
            </w:pPr>
            <w:r w:rsidRPr="00CE2E16">
              <w:rPr>
                <w:rFonts w:eastAsia="Calibri"/>
                <w:lang w:eastAsia="en-US"/>
              </w:rPr>
              <w:t>in relation to an employee or a deceased employee — a person who is, or immediately before the employee’s death was, a de facto partner of the employee, and</w:t>
            </w:r>
          </w:p>
          <w:p w14:paraId="3F85AA9D" w14:textId="77777777" w:rsidR="0087245A" w:rsidRPr="0087245A" w:rsidRDefault="0087245A" w:rsidP="00F839DB">
            <w:pPr>
              <w:pStyle w:val="Tableabc7pt"/>
              <w:numPr>
                <w:ilvl w:val="0"/>
                <w:numId w:val="434"/>
              </w:numPr>
              <w:spacing w:before="0" w:after="60"/>
              <w:ind w:left="589" w:hanging="283"/>
              <w:rPr>
                <w:rFonts w:eastAsia="Calibri"/>
                <w:lang w:eastAsia="en-US"/>
              </w:rPr>
            </w:pPr>
            <w:r w:rsidRPr="0087245A">
              <w:rPr>
                <w:rFonts w:eastAsia="Calibri"/>
                <w:lang w:eastAsia="en-US"/>
              </w:rPr>
              <w:t xml:space="preserve">in relation to an employee or a deceased employee who is or was a member of the Aboriginal race of Australia or a descendant of indigenous inhabitants of </w:t>
            </w:r>
            <w:r w:rsidRPr="0087245A">
              <w:rPr>
                <w:rFonts w:eastAsia="Calibri"/>
                <w:lang w:eastAsia="en-US"/>
              </w:rPr>
              <w:lastRenderedPageBreak/>
              <w:t>the Torres Strait Islands — a person who is or was recognised as the employee’s husband or wife by the custom prevailing in the tribe or group to which the employee belongs or belonged.</w:t>
            </w:r>
          </w:p>
        </w:tc>
        <w:tc>
          <w:tcPr>
            <w:tcW w:w="3449" w:type="dxa"/>
            <w:tcMar>
              <w:top w:w="80" w:type="dxa"/>
              <w:left w:w="80" w:type="dxa"/>
              <w:bottom w:w="80" w:type="dxa"/>
              <w:right w:w="80" w:type="dxa"/>
            </w:tcMar>
          </w:tcPr>
          <w:p w14:paraId="05EF1E62" w14:textId="5F7E01C6" w:rsidR="0087245A" w:rsidRPr="0087245A" w:rsidRDefault="00ED1468" w:rsidP="00292A53">
            <w:pPr>
              <w:spacing w:after="60"/>
              <w:rPr>
                <w:rFonts w:cs="Arial"/>
                <w:color w:val="000000"/>
                <w:sz w:val="14"/>
                <w:szCs w:val="16"/>
                <w:lang w:val="en-GB"/>
              </w:rPr>
            </w:pPr>
            <w:r>
              <w:rPr>
                <w:rFonts w:cs="Arial"/>
                <w:color w:val="000000"/>
                <w:sz w:val="14"/>
                <w:szCs w:val="16"/>
                <w:lang w:val="en-GB"/>
              </w:rPr>
              <w:lastRenderedPageBreak/>
              <w:t>Yes</w:t>
            </w:r>
          </w:p>
          <w:p w14:paraId="416D44CE"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The </w:t>
            </w:r>
            <w:hyperlink r:id="rId1333" w:history="1">
              <w:r w:rsidRPr="00641566">
                <w:rPr>
                  <w:rFonts w:cs="Arial"/>
                  <w:i/>
                  <w:color w:val="0000FF"/>
                  <w:sz w:val="14"/>
                  <w:szCs w:val="16"/>
                  <w:u w:val="single"/>
                  <w:lang w:val="en-GB"/>
                </w:rPr>
                <w:t>Same Sex Relationships (Equal Treatment in Commonwealth Laws-General Law reform) Act 2008</w:t>
              </w:r>
            </w:hyperlink>
            <w:r w:rsidRPr="00641566">
              <w:rPr>
                <w:rFonts w:cs="Arial"/>
                <w:i/>
                <w:color w:val="000000"/>
                <w:sz w:val="14"/>
                <w:szCs w:val="16"/>
                <w:lang w:val="en-GB"/>
              </w:rPr>
              <w:t xml:space="preserve"> </w:t>
            </w:r>
            <w:r w:rsidRPr="0087245A">
              <w:rPr>
                <w:rFonts w:cs="Arial"/>
                <w:color w:val="000000"/>
                <w:sz w:val="14"/>
                <w:szCs w:val="16"/>
                <w:lang w:val="en-GB"/>
              </w:rPr>
              <w:t xml:space="preserve">commenced on and from 10 December 2008. It removed discrimination against same-sex couples, their dependants and their dependant children from a wide range of Commonwealth laws including the </w:t>
            </w:r>
            <w:r w:rsidRPr="0087245A">
              <w:rPr>
                <w:rFonts w:cs="Arial"/>
                <w:i/>
                <w:color w:val="000000"/>
                <w:sz w:val="14"/>
                <w:szCs w:val="16"/>
                <w:lang w:val="en-GB"/>
              </w:rPr>
              <w:t>Seafarers Rehabilitation and Compensation Act 1992.</w:t>
            </w:r>
          </w:p>
        </w:tc>
        <w:tc>
          <w:tcPr>
            <w:tcW w:w="3449" w:type="dxa"/>
            <w:tcMar>
              <w:top w:w="80" w:type="dxa"/>
              <w:left w:w="80" w:type="dxa"/>
              <w:bottom w:w="80" w:type="dxa"/>
              <w:right w:w="80" w:type="dxa"/>
            </w:tcMar>
          </w:tcPr>
          <w:p w14:paraId="17F57D50" w14:textId="77777777" w:rsidR="0087245A" w:rsidRPr="0087245A" w:rsidRDefault="0087245A" w:rsidP="00292A53">
            <w:pPr>
              <w:spacing w:after="60"/>
              <w:rPr>
                <w:rFonts w:cs="Arial"/>
                <w:color w:val="000000"/>
                <w:sz w:val="14"/>
                <w:szCs w:val="16"/>
                <w:lang w:val="en-GB"/>
              </w:rPr>
            </w:pPr>
          </w:p>
        </w:tc>
      </w:tr>
      <w:tr w:rsidR="0087245A" w:rsidRPr="0087245A" w14:paraId="144F52BC" w14:textId="77777777" w:rsidTr="00B2173F">
        <w:tc>
          <w:tcPr>
            <w:tcW w:w="1626" w:type="dxa"/>
            <w:shd w:val="clear" w:color="auto" w:fill="FFC9C9"/>
            <w:tcMar>
              <w:top w:w="80" w:type="dxa"/>
              <w:left w:w="80" w:type="dxa"/>
              <w:bottom w:w="80" w:type="dxa"/>
              <w:right w:w="80" w:type="dxa"/>
            </w:tcMar>
          </w:tcPr>
          <w:p w14:paraId="6DE56D6E"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C’wealth DVA</w:t>
            </w:r>
          </w:p>
        </w:tc>
        <w:tc>
          <w:tcPr>
            <w:tcW w:w="3448" w:type="dxa"/>
            <w:shd w:val="clear" w:color="auto" w:fill="FFC9C9"/>
            <w:tcMar>
              <w:top w:w="80" w:type="dxa"/>
              <w:left w:w="80" w:type="dxa"/>
              <w:bottom w:w="80" w:type="dxa"/>
              <w:right w:w="80" w:type="dxa"/>
            </w:tcMar>
          </w:tcPr>
          <w:p w14:paraId="34CF298B" w14:textId="6B9197E8" w:rsidR="0087245A" w:rsidRDefault="00A7538C" w:rsidP="00292A53">
            <w:pPr>
              <w:spacing w:after="60"/>
              <w:rPr>
                <w:rFonts w:cs="Arial"/>
                <w:color w:val="000000"/>
                <w:sz w:val="14"/>
                <w:szCs w:val="16"/>
                <w:lang w:val="en-GB"/>
              </w:rPr>
            </w:pPr>
            <w:hyperlink r:id="rId1334" w:history="1">
              <w:r w:rsidR="0087245A" w:rsidRPr="00661739">
                <w:rPr>
                  <w:rStyle w:val="Hyperlink"/>
                  <w:rFonts w:cs="Arial"/>
                  <w:sz w:val="14"/>
                  <w:szCs w:val="16"/>
                  <w:lang w:val="en-GB"/>
                </w:rPr>
                <w:t>ss233</w:t>
              </w:r>
            </w:hyperlink>
            <w:r w:rsidR="0087245A" w:rsidRPr="0087245A">
              <w:rPr>
                <w:rFonts w:cs="Arial"/>
                <w:color w:val="000000"/>
                <w:sz w:val="14"/>
                <w:szCs w:val="16"/>
                <w:lang w:val="en-GB"/>
              </w:rPr>
              <w:t xml:space="preserve">, </w:t>
            </w:r>
            <w:hyperlink r:id="rId1335" w:history="1">
              <w:r w:rsidR="0087245A" w:rsidRPr="00661739">
                <w:rPr>
                  <w:rStyle w:val="Hyperlink"/>
                  <w:rFonts w:cs="Arial"/>
                  <w:sz w:val="14"/>
                  <w:szCs w:val="16"/>
                  <w:lang w:val="en-GB"/>
                </w:rPr>
                <w:t>251</w:t>
              </w:r>
            </w:hyperlink>
            <w:r w:rsidR="0087245A" w:rsidRPr="0087245A">
              <w:rPr>
                <w:rFonts w:cs="Arial"/>
                <w:color w:val="000000"/>
                <w:sz w:val="14"/>
                <w:szCs w:val="16"/>
                <w:lang w:val="en-GB"/>
              </w:rPr>
              <w:t xml:space="preserve"> and </w:t>
            </w:r>
            <w:hyperlink r:id="rId1336" w:history="1">
              <w:r w:rsidR="0087245A" w:rsidRPr="00661739">
                <w:rPr>
                  <w:rStyle w:val="Hyperlink"/>
                  <w:rFonts w:cs="Arial"/>
                  <w:sz w:val="14"/>
                  <w:szCs w:val="16"/>
                  <w:lang w:val="en-GB"/>
                </w:rPr>
                <w:t>262</w:t>
              </w:r>
            </w:hyperlink>
            <w:r w:rsidR="00661739">
              <w:rPr>
                <w:rFonts w:cs="Arial"/>
                <w:color w:val="000000"/>
                <w:sz w:val="14"/>
                <w:szCs w:val="16"/>
                <w:lang w:val="en-GB"/>
              </w:rPr>
              <w:t xml:space="preserve">, </w:t>
            </w:r>
            <w:r w:rsidR="00661739" w:rsidRPr="0039798F">
              <w:rPr>
                <w:rFonts w:eastAsia="Calibri" w:cs="Arial"/>
                <w:i/>
                <w:sz w:val="14"/>
                <w:szCs w:val="14"/>
                <w:lang w:eastAsia="en-US"/>
              </w:rPr>
              <w:t>Military Rehabilitation and Compensation Act 2004</w:t>
            </w:r>
            <w:r w:rsidR="00661739">
              <w:rPr>
                <w:rFonts w:eastAsia="Calibri" w:cs="Arial"/>
                <w:i/>
                <w:sz w:val="14"/>
                <w:szCs w:val="14"/>
                <w:lang w:eastAsia="en-US"/>
              </w:rPr>
              <w:t xml:space="preserve"> </w:t>
            </w:r>
            <w:r w:rsidR="00661739" w:rsidRPr="00661739">
              <w:rPr>
                <w:rFonts w:eastAsia="Calibri" w:cs="Arial"/>
                <w:sz w:val="14"/>
                <w:szCs w:val="14"/>
                <w:lang w:eastAsia="en-US"/>
              </w:rPr>
              <w:t>(MRCA)</w:t>
            </w:r>
            <w:r w:rsidR="0087245A" w:rsidRPr="0087245A">
              <w:rPr>
                <w:rFonts w:cs="Arial"/>
                <w:color w:val="000000"/>
                <w:sz w:val="14"/>
                <w:szCs w:val="16"/>
                <w:lang w:val="en-GB"/>
              </w:rPr>
              <w:t xml:space="preserve"> — wholly dependent partner, dependant eligible young person, other dependant</w:t>
            </w:r>
          </w:p>
          <w:p w14:paraId="46681DC2" w14:textId="77777777" w:rsidR="001C4BAC" w:rsidRDefault="001C4BAC" w:rsidP="009500F6">
            <w:pPr>
              <w:spacing w:after="7320"/>
              <w:rPr>
                <w:rFonts w:cs="Arial"/>
                <w:color w:val="000000"/>
                <w:sz w:val="14"/>
                <w:szCs w:val="16"/>
                <w:lang w:val="en-GB"/>
              </w:rPr>
            </w:pPr>
          </w:p>
          <w:p w14:paraId="7EA746A9" w14:textId="222FC7BB" w:rsidR="001C4BAC" w:rsidRDefault="00661739" w:rsidP="00292A53">
            <w:pPr>
              <w:spacing w:after="60"/>
              <w:rPr>
                <w:rFonts w:cs="Arial"/>
                <w:color w:val="000000"/>
                <w:sz w:val="14"/>
                <w:szCs w:val="16"/>
                <w:lang w:val="en-GB"/>
              </w:rPr>
            </w:pPr>
            <w:r w:rsidRPr="00016069">
              <w:rPr>
                <w:i/>
                <w:sz w:val="14"/>
              </w:rPr>
              <w:lastRenderedPageBreak/>
              <w:t>Safety, Rehabilitation and Compensation (Defence-related Claims) Act 1988</w:t>
            </w:r>
            <w:r>
              <w:rPr>
                <w:i/>
                <w:sz w:val="14"/>
              </w:rPr>
              <w:t xml:space="preserve"> </w:t>
            </w:r>
            <w:r w:rsidRPr="00661739">
              <w:rPr>
                <w:sz w:val="14"/>
              </w:rPr>
              <w:t>(</w:t>
            </w:r>
            <w:r w:rsidR="001C4BAC" w:rsidRPr="00661739">
              <w:rPr>
                <w:rFonts w:cs="Arial"/>
                <w:color w:val="000000"/>
                <w:sz w:val="14"/>
                <w:szCs w:val="16"/>
                <w:lang w:val="en-GB"/>
              </w:rPr>
              <w:t>DRCA</w:t>
            </w:r>
            <w:r w:rsidRPr="00661739">
              <w:rPr>
                <w:rFonts w:cs="Arial"/>
                <w:color w:val="000000"/>
                <w:sz w:val="14"/>
                <w:szCs w:val="16"/>
                <w:lang w:val="en-GB"/>
              </w:rPr>
              <w:t>)</w:t>
            </w:r>
          </w:p>
          <w:p w14:paraId="15A40FFF" w14:textId="1457FAFC" w:rsidR="001C4BAC" w:rsidRPr="0087245A" w:rsidRDefault="00A7538C" w:rsidP="00292A53">
            <w:pPr>
              <w:spacing w:after="60"/>
              <w:rPr>
                <w:rFonts w:cs="Arial"/>
                <w:color w:val="000000"/>
                <w:sz w:val="14"/>
                <w:szCs w:val="16"/>
                <w:lang w:val="en-GB"/>
              </w:rPr>
            </w:pPr>
            <w:hyperlink r:id="rId1337" w:history="1">
              <w:r w:rsidR="001C4BAC" w:rsidRPr="00FD5A2E">
                <w:rPr>
                  <w:rStyle w:val="Hyperlink"/>
                  <w:rFonts w:cs="Arial"/>
                  <w:sz w:val="14"/>
                  <w:szCs w:val="16"/>
                  <w:lang w:val="en-GB"/>
                </w:rPr>
                <w:t>s17</w:t>
              </w:r>
            </w:hyperlink>
            <w:r w:rsidR="001C4BAC">
              <w:rPr>
                <w:rFonts w:cs="Arial"/>
                <w:color w:val="000000"/>
                <w:sz w:val="14"/>
                <w:szCs w:val="16"/>
                <w:lang w:val="en-GB"/>
              </w:rPr>
              <w:t xml:space="preserve"> — Dependants</w:t>
            </w:r>
          </w:p>
        </w:tc>
        <w:tc>
          <w:tcPr>
            <w:tcW w:w="3449" w:type="dxa"/>
            <w:shd w:val="clear" w:color="auto" w:fill="FFC9C9"/>
            <w:tcMar>
              <w:top w:w="80" w:type="dxa"/>
              <w:left w:w="80" w:type="dxa"/>
              <w:bottom w:w="80" w:type="dxa"/>
              <w:right w:w="80" w:type="dxa"/>
            </w:tcMar>
          </w:tcPr>
          <w:p w14:paraId="52066701" w14:textId="6AAC9B98" w:rsidR="0087245A" w:rsidRPr="00CE2E16" w:rsidRDefault="00A7538C" w:rsidP="00F839DB">
            <w:pPr>
              <w:pStyle w:val="ListParagraph"/>
              <w:numPr>
                <w:ilvl w:val="0"/>
                <w:numId w:val="187"/>
              </w:numPr>
              <w:spacing w:after="60"/>
              <w:ind w:left="357" w:hanging="357"/>
              <w:rPr>
                <w:rFonts w:eastAsia="Calibri" w:cs="Arial"/>
                <w:sz w:val="14"/>
                <w:szCs w:val="14"/>
                <w:lang w:eastAsia="en-US"/>
              </w:rPr>
            </w:pPr>
            <w:hyperlink r:id="rId1338" w:history="1">
              <w:r w:rsidR="0087245A" w:rsidRPr="00661739">
                <w:rPr>
                  <w:rStyle w:val="Hyperlink"/>
                  <w:rFonts w:eastAsia="Calibri" w:cs="Arial"/>
                  <w:sz w:val="14"/>
                  <w:szCs w:val="14"/>
                  <w:lang w:eastAsia="en-US"/>
                </w:rPr>
                <w:t>s15</w:t>
              </w:r>
            </w:hyperlink>
            <w:r w:rsidR="0087245A" w:rsidRPr="00CE2E16">
              <w:rPr>
                <w:rFonts w:eastAsia="Calibri" w:cs="Arial"/>
                <w:sz w:val="14"/>
                <w:szCs w:val="14"/>
                <w:lang w:eastAsia="en-US"/>
              </w:rPr>
              <w:t xml:space="preserve"> — </w:t>
            </w:r>
            <w:r w:rsidR="009515B3">
              <w:rPr>
                <w:rFonts w:eastAsia="Calibri" w:cs="Arial"/>
                <w:sz w:val="14"/>
                <w:szCs w:val="14"/>
                <w:lang w:eastAsia="en-US"/>
              </w:rPr>
              <w:t>d</w:t>
            </w:r>
            <w:r w:rsidR="0087245A" w:rsidRPr="00CE2E16">
              <w:rPr>
                <w:rFonts w:eastAsia="Calibri" w:cs="Arial"/>
                <w:sz w:val="14"/>
                <w:szCs w:val="14"/>
                <w:lang w:eastAsia="en-US"/>
              </w:rPr>
              <w:t>ependant means — persons in the following list who are partly or wholly economically dependant on the member (deemed for partners and eligible young persons if living with member — s17):</w:t>
            </w:r>
          </w:p>
          <w:p w14:paraId="5AAA6222" w14:textId="77777777" w:rsidR="0087245A" w:rsidRPr="00CE2E16" w:rsidRDefault="0087245A" w:rsidP="00F839DB">
            <w:pPr>
              <w:pStyle w:val="ListParagraph"/>
              <w:numPr>
                <w:ilvl w:val="0"/>
                <w:numId w:val="188"/>
              </w:numPr>
              <w:spacing w:after="60"/>
              <w:ind w:left="357" w:hanging="357"/>
              <w:contextualSpacing/>
              <w:rPr>
                <w:rFonts w:cs="Arial"/>
                <w:color w:val="000000"/>
                <w:sz w:val="14"/>
                <w:szCs w:val="16"/>
                <w:lang w:val="en-GB"/>
              </w:rPr>
            </w:pPr>
            <w:r w:rsidRPr="00CE2E16">
              <w:rPr>
                <w:rFonts w:cs="Arial"/>
                <w:color w:val="000000"/>
                <w:sz w:val="14"/>
                <w:szCs w:val="16"/>
                <w:lang w:val="en-GB"/>
              </w:rPr>
              <w:t>member’s partner</w:t>
            </w:r>
          </w:p>
          <w:p w14:paraId="5583AB36" w14:textId="77777777" w:rsidR="0087245A" w:rsidRPr="00CE2E16" w:rsidRDefault="0087245A" w:rsidP="00F839DB">
            <w:pPr>
              <w:pStyle w:val="ListParagraph"/>
              <w:numPr>
                <w:ilvl w:val="0"/>
                <w:numId w:val="188"/>
              </w:numPr>
              <w:spacing w:after="60"/>
              <w:ind w:left="357" w:hanging="357"/>
              <w:contextualSpacing/>
              <w:rPr>
                <w:rFonts w:cs="Arial"/>
                <w:color w:val="000000"/>
                <w:sz w:val="14"/>
                <w:szCs w:val="16"/>
                <w:lang w:val="en-GB"/>
              </w:rPr>
            </w:pPr>
            <w:r w:rsidRPr="00CE2E16">
              <w:rPr>
                <w:rFonts w:cs="Arial"/>
                <w:color w:val="000000"/>
                <w:sz w:val="14"/>
                <w:szCs w:val="16"/>
                <w:lang w:val="en-GB"/>
              </w:rPr>
              <w:t>member’s father, mother, step-father or step-mother</w:t>
            </w:r>
          </w:p>
          <w:p w14:paraId="374C0FEF" w14:textId="77777777" w:rsidR="0087245A" w:rsidRPr="00CE2E16" w:rsidRDefault="0087245A" w:rsidP="00F839DB">
            <w:pPr>
              <w:pStyle w:val="ListParagraph"/>
              <w:numPr>
                <w:ilvl w:val="0"/>
                <w:numId w:val="188"/>
              </w:numPr>
              <w:spacing w:after="60"/>
              <w:ind w:left="357" w:hanging="357"/>
              <w:contextualSpacing/>
              <w:rPr>
                <w:rFonts w:cs="Arial"/>
                <w:color w:val="000000"/>
                <w:sz w:val="14"/>
                <w:szCs w:val="16"/>
                <w:lang w:val="en-GB"/>
              </w:rPr>
            </w:pPr>
            <w:r w:rsidRPr="00CE2E16">
              <w:rPr>
                <w:rFonts w:cs="Arial"/>
                <w:color w:val="000000"/>
                <w:sz w:val="14"/>
                <w:szCs w:val="16"/>
                <w:lang w:val="en-GB"/>
              </w:rPr>
              <w:t>the father, mother, step-father or step-mother of the member’s partner</w:t>
            </w:r>
          </w:p>
          <w:p w14:paraId="7C0C0B14" w14:textId="77777777" w:rsidR="0087245A" w:rsidRPr="00CE2E16" w:rsidRDefault="0087245A" w:rsidP="00F839DB">
            <w:pPr>
              <w:pStyle w:val="ListParagraph"/>
              <w:numPr>
                <w:ilvl w:val="0"/>
                <w:numId w:val="188"/>
              </w:numPr>
              <w:spacing w:after="60"/>
              <w:ind w:left="357" w:hanging="357"/>
              <w:contextualSpacing/>
              <w:rPr>
                <w:rFonts w:cs="Arial"/>
                <w:color w:val="000000"/>
                <w:sz w:val="14"/>
                <w:szCs w:val="16"/>
                <w:lang w:val="en-GB"/>
              </w:rPr>
            </w:pPr>
            <w:r w:rsidRPr="00CE2E16">
              <w:rPr>
                <w:rFonts w:cs="Arial"/>
                <w:color w:val="000000"/>
                <w:sz w:val="14"/>
                <w:szCs w:val="16"/>
                <w:lang w:val="en-GB"/>
              </w:rPr>
              <w:t>the member’s grandfather or grandmother</w:t>
            </w:r>
          </w:p>
          <w:p w14:paraId="7511F480" w14:textId="77777777" w:rsidR="0087245A" w:rsidRPr="00CE2E16" w:rsidRDefault="0087245A" w:rsidP="00F839DB">
            <w:pPr>
              <w:pStyle w:val="ListParagraph"/>
              <w:numPr>
                <w:ilvl w:val="0"/>
                <w:numId w:val="188"/>
              </w:numPr>
              <w:spacing w:after="60"/>
              <w:ind w:left="357" w:hanging="357"/>
              <w:contextualSpacing/>
              <w:rPr>
                <w:rFonts w:cs="Arial"/>
                <w:color w:val="000000"/>
                <w:sz w:val="14"/>
                <w:szCs w:val="16"/>
                <w:lang w:val="en-GB"/>
              </w:rPr>
            </w:pPr>
            <w:r w:rsidRPr="00CE2E16">
              <w:rPr>
                <w:rFonts w:cs="Arial"/>
                <w:color w:val="000000"/>
                <w:sz w:val="14"/>
                <w:szCs w:val="16"/>
                <w:lang w:val="en-GB"/>
              </w:rPr>
              <w:t>the member’s son, daughter, step-son or step-daughter</w:t>
            </w:r>
          </w:p>
          <w:p w14:paraId="4CDDC49E" w14:textId="77777777" w:rsidR="0087245A" w:rsidRPr="00CE2E16" w:rsidRDefault="0087245A" w:rsidP="00F839DB">
            <w:pPr>
              <w:pStyle w:val="ListParagraph"/>
              <w:numPr>
                <w:ilvl w:val="0"/>
                <w:numId w:val="188"/>
              </w:numPr>
              <w:spacing w:after="60"/>
              <w:ind w:left="357" w:hanging="357"/>
              <w:contextualSpacing/>
              <w:rPr>
                <w:rFonts w:cs="Arial"/>
                <w:color w:val="000000"/>
                <w:sz w:val="14"/>
                <w:szCs w:val="16"/>
                <w:lang w:val="en-GB"/>
              </w:rPr>
            </w:pPr>
            <w:r w:rsidRPr="00CE2E16">
              <w:rPr>
                <w:rFonts w:cs="Arial"/>
                <w:color w:val="000000"/>
                <w:sz w:val="14"/>
                <w:szCs w:val="16"/>
                <w:lang w:val="en-GB"/>
              </w:rPr>
              <w:t>the son, daughter, step-son, step-daughter of the member’s partner</w:t>
            </w:r>
          </w:p>
          <w:p w14:paraId="72CCAD73" w14:textId="77777777" w:rsidR="0087245A" w:rsidRPr="00CE2E16" w:rsidRDefault="0087245A" w:rsidP="00F839DB">
            <w:pPr>
              <w:pStyle w:val="ListParagraph"/>
              <w:numPr>
                <w:ilvl w:val="0"/>
                <w:numId w:val="188"/>
              </w:numPr>
              <w:spacing w:after="60"/>
              <w:ind w:left="357" w:hanging="357"/>
              <w:contextualSpacing/>
              <w:rPr>
                <w:rFonts w:cs="Arial"/>
                <w:color w:val="000000"/>
                <w:sz w:val="14"/>
                <w:szCs w:val="16"/>
                <w:lang w:val="en-GB"/>
              </w:rPr>
            </w:pPr>
            <w:r w:rsidRPr="00CE2E16">
              <w:rPr>
                <w:rFonts w:cs="Arial"/>
                <w:color w:val="000000"/>
                <w:sz w:val="14"/>
                <w:szCs w:val="16"/>
                <w:lang w:val="en-GB"/>
              </w:rPr>
              <w:t>the member’s grandson or grand-daughter</w:t>
            </w:r>
          </w:p>
          <w:p w14:paraId="3126FCA1" w14:textId="77777777" w:rsidR="0087245A" w:rsidRPr="00CE2E16" w:rsidRDefault="0087245A" w:rsidP="00F839DB">
            <w:pPr>
              <w:pStyle w:val="ListParagraph"/>
              <w:numPr>
                <w:ilvl w:val="0"/>
                <w:numId w:val="188"/>
              </w:numPr>
              <w:spacing w:after="60"/>
              <w:ind w:left="357" w:hanging="357"/>
              <w:contextualSpacing/>
              <w:rPr>
                <w:rFonts w:cs="Arial"/>
                <w:color w:val="000000"/>
                <w:sz w:val="14"/>
                <w:szCs w:val="16"/>
                <w:lang w:val="en-GB"/>
              </w:rPr>
            </w:pPr>
            <w:r w:rsidRPr="00CE2E16">
              <w:rPr>
                <w:rFonts w:cs="Arial"/>
                <w:color w:val="000000"/>
                <w:sz w:val="14"/>
                <w:szCs w:val="16"/>
                <w:lang w:val="en-GB"/>
              </w:rPr>
              <w:t>the member’s brother, sister, half-brother, or half-sister</w:t>
            </w:r>
          </w:p>
          <w:p w14:paraId="3FB67D09" w14:textId="77777777" w:rsidR="0087245A" w:rsidRPr="00CE2E16" w:rsidRDefault="0087245A" w:rsidP="00F839DB">
            <w:pPr>
              <w:pStyle w:val="ListParagraph"/>
              <w:numPr>
                <w:ilvl w:val="0"/>
                <w:numId w:val="188"/>
              </w:numPr>
              <w:spacing w:after="60"/>
              <w:contextualSpacing/>
              <w:rPr>
                <w:rFonts w:cs="Arial"/>
                <w:color w:val="000000"/>
                <w:sz w:val="14"/>
                <w:szCs w:val="16"/>
                <w:lang w:val="en-GB"/>
              </w:rPr>
            </w:pPr>
            <w:r w:rsidRPr="00CE2E16">
              <w:rPr>
                <w:rFonts w:cs="Arial"/>
                <w:color w:val="000000"/>
                <w:sz w:val="14"/>
                <w:szCs w:val="16"/>
                <w:lang w:val="en-GB"/>
              </w:rPr>
              <w:t>a person in respect of whom the member stands in the position of a parent, or</w:t>
            </w:r>
          </w:p>
          <w:p w14:paraId="56E7A639" w14:textId="77777777" w:rsidR="0087245A" w:rsidRPr="00CE2E16" w:rsidRDefault="0087245A" w:rsidP="00F839DB">
            <w:pPr>
              <w:pStyle w:val="ListParagraph"/>
              <w:numPr>
                <w:ilvl w:val="0"/>
                <w:numId w:val="188"/>
              </w:numPr>
              <w:spacing w:after="60"/>
              <w:ind w:left="357" w:hanging="357"/>
              <w:rPr>
                <w:rFonts w:cs="Arial"/>
                <w:color w:val="000000"/>
                <w:sz w:val="14"/>
                <w:szCs w:val="16"/>
                <w:lang w:val="en-GB"/>
              </w:rPr>
            </w:pPr>
            <w:r w:rsidRPr="00CE2E16">
              <w:rPr>
                <w:rFonts w:cs="Arial"/>
                <w:color w:val="000000"/>
                <w:sz w:val="14"/>
                <w:szCs w:val="16"/>
                <w:lang w:val="en-GB"/>
              </w:rPr>
              <w:t>a person who stands in the position of a parent to the member.</w:t>
            </w:r>
          </w:p>
          <w:p w14:paraId="0FE0BE63" w14:textId="2CF45A1B" w:rsidR="0087245A" w:rsidRPr="00CE2E16" w:rsidRDefault="00A7538C" w:rsidP="00F839DB">
            <w:pPr>
              <w:pStyle w:val="ListParagraph"/>
              <w:numPr>
                <w:ilvl w:val="0"/>
                <w:numId w:val="187"/>
              </w:numPr>
              <w:spacing w:after="60"/>
              <w:contextualSpacing/>
              <w:rPr>
                <w:rFonts w:eastAsia="Calibri" w:cs="Arial"/>
                <w:sz w:val="14"/>
                <w:szCs w:val="14"/>
                <w:lang w:eastAsia="en-US"/>
              </w:rPr>
            </w:pPr>
            <w:hyperlink r:id="rId1339" w:history="1">
              <w:r w:rsidR="0087245A" w:rsidRPr="00661739">
                <w:rPr>
                  <w:rStyle w:val="Hyperlink"/>
                  <w:rFonts w:eastAsia="Calibri" w:cs="Arial"/>
                  <w:sz w:val="14"/>
                  <w:szCs w:val="14"/>
                  <w:lang w:eastAsia="en-US"/>
                </w:rPr>
                <w:t>s5</w:t>
              </w:r>
            </w:hyperlink>
            <w:r w:rsidR="0087245A" w:rsidRPr="00CE2E16">
              <w:rPr>
                <w:rFonts w:eastAsia="Calibri" w:cs="Arial"/>
                <w:sz w:val="14"/>
                <w:szCs w:val="14"/>
                <w:lang w:eastAsia="en-US"/>
              </w:rPr>
              <w:t xml:space="preserve"> — </w:t>
            </w:r>
            <w:r w:rsidR="009515B3">
              <w:rPr>
                <w:rFonts w:eastAsia="Calibri" w:cs="Arial"/>
                <w:sz w:val="14"/>
                <w:szCs w:val="14"/>
                <w:lang w:eastAsia="en-US"/>
              </w:rPr>
              <w:t>p</w:t>
            </w:r>
            <w:r w:rsidR="0087245A" w:rsidRPr="00CE2E16">
              <w:rPr>
                <w:rFonts w:eastAsia="Calibri" w:cs="Arial"/>
                <w:sz w:val="14"/>
                <w:szCs w:val="14"/>
                <w:lang w:eastAsia="en-US"/>
              </w:rPr>
              <w:t>artner of a member means a person in respect of whom at least one of the following applies:</w:t>
            </w:r>
          </w:p>
          <w:p w14:paraId="3BF4A219" w14:textId="77777777" w:rsidR="0087245A" w:rsidRPr="00CE2E16" w:rsidRDefault="0087245A" w:rsidP="00F839DB">
            <w:pPr>
              <w:pStyle w:val="ListParagraph"/>
              <w:numPr>
                <w:ilvl w:val="0"/>
                <w:numId w:val="191"/>
              </w:numPr>
              <w:spacing w:after="60"/>
              <w:contextualSpacing/>
              <w:rPr>
                <w:rFonts w:eastAsia="Calibri" w:cs="Arial"/>
                <w:sz w:val="14"/>
                <w:szCs w:val="14"/>
                <w:lang w:eastAsia="en-US"/>
              </w:rPr>
            </w:pPr>
            <w:r w:rsidRPr="00CE2E16">
              <w:rPr>
                <w:rFonts w:eastAsia="Calibri" w:cs="Arial"/>
                <w:sz w:val="14"/>
                <w:szCs w:val="14"/>
                <w:lang w:eastAsia="en-US"/>
              </w:rPr>
              <w:t>if the member is a member of the Aboriginal race of Australia or a descendant of Indigenous inhabitants of the Torres Strait Islands the person is recognised as the member’s husband or wife by the custom prevailing in the tribe or group to which the member belongs.</w:t>
            </w:r>
          </w:p>
          <w:p w14:paraId="32FB7386" w14:textId="77777777" w:rsidR="0087245A" w:rsidRPr="00CE2E16" w:rsidRDefault="0087245A" w:rsidP="00F839DB">
            <w:pPr>
              <w:pStyle w:val="ListParagraph"/>
              <w:numPr>
                <w:ilvl w:val="0"/>
                <w:numId w:val="191"/>
              </w:numPr>
              <w:spacing w:after="60"/>
              <w:contextualSpacing/>
              <w:rPr>
                <w:rFonts w:eastAsia="Calibri" w:cs="Arial"/>
                <w:sz w:val="14"/>
                <w:szCs w:val="14"/>
                <w:lang w:eastAsia="en-US"/>
              </w:rPr>
            </w:pPr>
            <w:r w:rsidRPr="00CE2E16">
              <w:rPr>
                <w:rFonts w:eastAsia="Calibri" w:cs="Arial"/>
                <w:sz w:val="14"/>
                <w:szCs w:val="14"/>
                <w:lang w:eastAsia="en-US"/>
              </w:rPr>
              <w:t xml:space="preserve">the person is legally married to the member. A relationship between the person and the member (whether the person and the member are the same sex or different sexes) is registered under a law of a state or territory prescribed for the purposes of s22B of the </w:t>
            </w:r>
            <w:r w:rsidRPr="007D65C8">
              <w:rPr>
                <w:rFonts w:eastAsia="Calibri" w:cs="Arial"/>
                <w:i/>
                <w:sz w:val="14"/>
                <w:szCs w:val="14"/>
                <w:lang w:eastAsia="en-US"/>
              </w:rPr>
              <w:t>Acts Interpretation Act 1901</w:t>
            </w:r>
            <w:r w:rsidRPr="00CE2E16">
              <w:rPr>
                <w:rFonts w:eastAsia="Calibri" w:cs="Arial"/>
                <w:sz w:val="14"/>
                <w:szCs w:val="14"/>
                <w:lang w:eastAsia="en-US"/>
              </w:rPr>
              <w:t xml:space="preserve"> as a kind of relationship prescribed for the purposes of that section.</w:t>
            </w:r>
          </w:p>
          <w:p w14:paraId="738B985E" w14:textId="77777777" w:rsidR="0087245A" w:rsidRPr="00CE2E16" w:rsidRDefault="0087245A" w:rsidP="00F839DB">
            <w:pPr>
              <w:pStyle w:val="ListParagraph"/>
              <w:numPr>
                <w:ilvl w:val="0"/>
                <w:numId w:val="191"/>
              </w:numPr>
              <w:spacing w:after="60"/>
              <w:ind w:left="357" w:hanging="357"/>
              <w:rPr>
                <w:rFonts w:eastAsia="Calibri" w:cs="Arial"/>
                <w:sz w:val="14"/>
                <w:szCs w:val="14"/>
                <w:lang w:eastAsia="en-US"/>
              </w:rPr>
            </w:pPr>
            <w:r w:rsidRPr="00CE2E16">
              <w:rPr>
                <w:rFonts w:eastAsia="Calibri" w:cs="Arial"/>
                <w:sz w:val="14"/>
                <w:szCs w:val="14"/>
                <w:lang w:eastAsia="en-US"/>
              </w:rPr>
              <w:t>the person (whether of the same sex or a different sex to the member):</w:t>
            </w:r>
          </w:p>
          <w:p w14:paraId="4D61534C" w14:textId="77777777" w:rsidR="0087245A" w:rsidRPr="00CE2E16" w:rsidRDefault="0087245A" w:rsidP="00F839DB">
            <w:pPr>
              <w:pStyle w:val="ListParagraph"/>
              <w:numPr>
                <w:ilvl w:val="0"/>
                <w:numId w:val="192"/>
              </w:numPr>
              <w:spacing w:after="60"/>
              <w:ind w:left="357" w:hanging="357"/>
              <w:contextualSpacing/>
              <w:rPr>
                <w:rFonts w:cs="Arial"/>
                <w:color w:val="000000"/>
                <w:sz w:val="14"/>
                <w:szCs w:val="16"/>
                <w:lang w:val="en-GB"/>
              </w:rPr>
            </w:pPr>
            <w:r w:rsidRPr="00CE2E16">
              <w:rPr>
                <w:rFonts w:cs="Arial"/>
                <w:color w:val="000000"/>
                <w:sz w:val="14"/>
                <w:szCs w:val="16"/>
                <w:lang w:val="en-GB"/>
              </w:rPr>
              <w:t>is, in the Commission’s opinion (see ss5(2)), in a de facto relationship with the member, and</w:t>
            </w:r>
          </w:p>
          <w:p w14:paraId="467B0BD5" w14:textId="77777777" w:rsidR="0087245A" w:rsidRDefault="0087245A" w:rsidP="00F839DB">
            <w:pPr>
              <w:pStyle w:val="ListParagraph"/>
              <w:numPr>
                <w:ilvl w:val="0"/>
                <w:numId w:val="192"/>
              </w:numPr>
              <w:spacing w:after="60"/>
              <w:rPr>
                <w:rFonts w:cs="Arial"/>
                <w:color w:val="000000"/>
                <w:sz w:val="14"/>
                <w:szCs w:val="16"/>
                <w:lang w:val="en-GB"/>
              </w:rPr>
            </w:pPr>
            <w:r w:rsidRPr="00CE2E16">
              <w:rPr>
                <w:rFonts w:cs="Arial"/>
                <w:color w:val="000000"/>
                <w:sz w:val="14"/>
                <w:szCs w:val="16"/>
                <w:lang w:val="en-GB"/>
              </w:rPr>
              <w:t>is not an ancestor, descendant, brother, sister, half-brother or half-sister of the member (see ss5(3))</w:t>
            </w:r>
            <w:r w:rsidR="00E13D9F">
              <w:rPr>
                <w:rFonts w:cs="Arial"/>
                <w:color w:val="000000"/>
                <w:sz w:val="14"/>
                <w:szCs w:val="16"/>
                <w:lang w:val="en-GB"/>
              </w:rPr>
              <w:t>.</w:t>
            </w:r>
          </w:p>
          <w:p w14:paraId="3E716CDA" w14:textId="77777777" w:rsidR="001C4BAC" w:rsidRDefault="001C4BAC" w:rsidP="001C4BAC">
            <w:pPr>
              <w:spacing w:after="60"/>
              <w:rPr>
                <w:rFonts w:cs="Arial"/>
                <w:color w:val="000000"/>
                <w:sz w:val="14"/>
                <w:szCs w:val="16"/>
                <w:lang w:val="en-GB"/>
              </w:rPr>
            </w:pPr>
          </w:p>
          <w:p w14:paraId="7997E87B" w14:textId="68C99F71" w:rsidR="001C4BAC" w:rsidRDefault="00A7538C" w:rsidP="001C4BAC">
            <w:pPr>
              <w:pStyle w:val="Tabledotpointlist7pt"/>
              <w:rPr>
                <w:lang w:val="en-GB"/>
              </w:rPr>
            </w:pPr>
            <w:hyperlink r:id="rId1340" w:history="1">
              <w:r w:rsidR="001C4BAC" w:rsidRPr="00FD5A2E">
                <w:rPr>
                  <w:rStyle w:val="Hyperlink"/>
                  <w:lang w:val="en-GB"/>
                </w:rPr>
                <w:t>s4</w:t>
              </w:r>
            </w:hyperlink>
            <w:r w:rsidR="001C4BAC">
              <w:rPr>
                <w:lang w:val="en-GB"/>
              </w:rPr>
              <w:t xml:space="preserve"> — dependant, in relation to a deceased </w:t>
            </w:r>
            <w:r w:rsidR="001C4BAC">
              <w:rPr>
                <w:lang w:val="en-GB"/>
              </w:rPr>
              <w:lastRenderedPageBreak/>
              <w:t>employee, means:</w:t>
            </w:r>
          </w:p>
          <w:p w14:paraId="68ED4B8F" w14:textId="77777777" w:rsidR="001C4BAC" w:rsidRDefault="001C4BAC" w:rsidP="001C4BAC">
            <w:pPr>
              <w:pStyle w:val="Tabledotpointlist7pt"/>
              <w:numPr>
                <w:ilvl w:val="1"/>
                <w:numId w:val="4"/>
              </w:numPr>
              <w:ind w:left="357" w:hanging="357"/>
              <w:rPr>
                <w:lang w:val="en-GB"/>
              </w:rPr>
            </w:pPr>
            <w:r>
              <w:rPr>
                <w:lang w:val="en-GB"/>
              </w:rPr>
              <w:t>the spouse, parent, step parent, father-in-law, mother-in-law, grandparent, child, stepchild, grandchild, sibling or half sibling of the employee, or a person in relation to whom the employee stood in the position of a parent or who stood in the position of a parent to the employee, being a person who was wholly or partly dependant on the employee at the date of the employee’s death</w:t>
            </w:r>
          </w:p>
          <w:p w14:paraId="71BFCC7A" w14:textId="55181DCA" w:rsidR="001C4BAC" w:rsidRDefault="00A7538C" w:rsidP="001C4BAC">
            <w:pPr>
              <w:pStyle w:val="Tabledotpointlist7pt"/>
              <w:rPr>
                <w:lang w:val="en-GB"/>
              </w:rPr>
            </w:pPr>
            <w:hyperlink r:id="rId1341" w:history="1">
              <w:r w:rsidR="005D78C7" w:rsidRPr="00FD5A2E">
                <w:rPr>
                  <w:rStyle w:val="Hyperlink"/>
                  <w:lang w:val="en-GB"/>
                </w:rPr>
                <w:t>s4</w:t>
              </w:r>
            </w:hyperlink>
            <w:r w:rsidR="005D78C7">
              <w:rPr>
                <w:lang w:val="en-GB"/>
              </w:rPr>
              <w:t xml:space="preserve"> — Spouse includes:</w:t>
            </w:r>
          </w:p>
          <w:p w14:paraId="00E761C5" w14:textId="77777777" w:rsidR="005D78C7" w:rsidRDefault="005D78C7" w:rsidP="00F839DB">
            <w:pPr>
              <w:pStyle w:val="Tabledotpointlist7pt"/>
              <w:numPr>
                <w:ilvl w:val="0"/>
                <w:numId w:val="558"/>
              </w:numPr>
              <w:ind w:left="357" w:hanging="357"/>
              <w:rPr>
                <w:lang w:val="en-GB"/>
              </w:rPr>
            </w:pPr>
            <w:r>
              <w:rPr>
                <w:lang w:val="en-GB"/>
              </w:rPr>
              <w:t>in relation to an employee or a deceased employee — a person who is, or immediately before the employee’s death was, a de facto partner of the employee, and</w:t>
            </w:r>
          </w:p>
          <w:p w14:paraId="29C55BE9" w14:textId="1EB45025" w:rsidR="005D78C7" w:rsidRPr="001C4BAC" w:rsidRDefault="005D78C7" w:rsidP="00F839DB">
            <w:pPr>
              <w:pStyle w:val="Tabledotpointlist7pt"/>
              <w:numPr>
                <w:ilvl w:val="0"/>
                <w:numId w:val="558"/>
              </w:numPr>
              <w:ind w:left="357" w:hanging="357"/>
              <w:rPr>
                <w:lang w:val="en-GB"/>
              </w:rPr>
            </w:pPr>
            <w:r>
              <w:rPr>
                <w:lang w:val="en-GB"/>
              </w:rPr>
              <w:t>in relation to an employee or a deceased employee who is or was a member of the Aboriginal race of Australia or a descendant of indigenous inhabitants of the Torres Strait Islands — a person who is or was recognised as the employee’s husband or wife by the custom prevailing in the tribe or group to which the employee belongs or belonged.</w:t>
            </w:r>
          </w:p>
        </w:tc>
        <w:tc>
          <w:tcPr>
            <w:tcW w:w="3449" w:type="dxa"/>
            <w:shd w:val="clear" w:color="auto" w:fill="FFC9C9"/>
            <w:tcMar>
              <w:top w:w="80" w:type="dxa"/>
              <w:left w:w="80" w:type="dxa"/>
              <w:bottom w:w="80" w:type="dxa"/>
              <w:right w:w="80" w:type="dxa"/>
            </w:tcMar>
          </w:tcPr>
          <w:p w14:paraId="630A730F" w14:textId="1CFE781E" w:rsidR="005D78C7" w:rsidRDefault="0087245A" w:rsidP="00292A53">
            <w:pPr>
              <w:spacing w:after="60"/>
              <w:rPr>
                <w:rFonts w:cs="Arial"/>
                <w:color w:val="000000"/>
                <w:sz w:val="14"/>
                <w:szCs w:val="16"/>
                <w:lang w:val="en-GB"/>
              </w:rPr>
            </w:pPr>
            <w:r w:rsidRPr="0087245A">
              <w:rPr>
                <w:rFonts w:cs="Arial"/>
                <w:color w:val="000000"/>
                <w:sz w:val="14"/>
                <w:szCs w:val="16"/>
                <w:lang w:val="en-GB"/>
              </w:rPr>
              <w:lastRenderedPageBreak/>
              <w:t xml:space="preserve">Yes, see </w:t>
            </w:r>
            <w:r w:rsidR="00ED1468">
              <w:rPr>
                <w:rFonts w:cs="Arial"/>
                <w:color w:val="000000"/>
                <w:sz w:val="14"/>
                <w:szCs w:val="16"/>
                <w:lang w:val="en-GB"/>
              </w:rPr>
              <w:t xml:space="preserve">definition of partner — MRCA </w:t>
            </w:r>
            <w:hyperlink r:id="rId1342" w:history="1">
              <w:r w:rsidR="00ED1468" w:rsidRPr="00661739">
                <w:rPr>
                  <w:rStyle w:val="Hyperlink"/>
                  <w:rFonts w:cs="Arial"/>
                  <w:sz w:val="14"/>
                  <w:szCs w:val="16"/>
                  <w:lang w:val="en-GB"/>
                </w:rPr>
                <w:t>s5</w:t>
              </w:r>
            </w:hyperlink>
            <w:r w:rsidR="009500F6">
              <w:rPr>
                <w:rFonts w:cs="Arial"/>
                <w:color w:val="000000"/>
                <w:sz w:val="14"/>
                <w:szCs w:val="16"/>
                <w:lang w:val="en-GB"/>
              </w:rPr>
              <w:t>]</w:t>
            </w:r>
          </w:p>
          <w:p w14:paraId="6952DBE8" w14:textId="77777777" w:rsidR="009500F6" w:rsidRDefault="009500F6" w:rsidP="009500F6">
            <w:pPr>
              <w:spacing w:after="7680"/>
              <w:rPr>
                <w:rFonts w:cs="Arial"/>
                <w:color w:val="000000"/>
                <w:sz w:val="14"/>
                <w:szCs w:val="16"/>
                <w:lang w:val="en-GB"/>
              </w:rPr>
            </w:pPr>
          </w:p>
          <w:p w14:paraId="1363B032" w14:textId="227B5E81" w:rsidR="005D78C7" w:rsidRPr="0087245A" w:rsidRDefault="005D78C7" w:rsidP="00292A53">
            <w:pPr>
              <w:spacing w:after="60"/>
              <w:rPr>
                <w:rFonts w:cs="Arial"/>
                <w:color w:val="000000"/>
                <w:sz w:val="14"/>
                <w:szCs w:val="16"/>
                <w:lang w:val="en-GB"/>
              </w:rPr>
            </w:pPr>
            <w:r>
              <w:rPr>
                <w:rFonts w:cs="Arial"/>
                <w:color w:val="000000"/>
                <w:sz w:val="14"/>
                <w:szCs w:val="16"/>
                <w:lang w:val="en-GB"/>
              </w:rPr>
              <w:t>Yes</w:t>
            </w:r>
          </w:p>
        </w:tc>
        <w:tc>
          <w:tcPr>
            <w:tcW w:w="3449" w:type="dxa"/>
            <w:shd w:val="clear" w:color="auto" w:fill="FFC9C9"/>
            <w:tcMar>
              <w:top w:w="80" w:type="dxa"/>
              <w:left w:w="80" w:type="dxa"/>
              <w:bottom w:w="80" w:type="dxa"/>
              <w:right w:w="80" w:type="dxa"/>
            </w:tcMar>
          </w:tcPr>
          <w:p w14:paraId="726B2AA1" w14:textId="77777777" w:rsidR="0087245A" w:rsidRPr="0087245A" w:rsidRDefault="0087245A" w:rsidP="00292A53">
            <w:pPr>
              <w:spacing w:after="60"/>
              <w:rPr>
                <w:rFonts w:cs="Arial"/>
                <w:color w:val="000000"/>
                <w:sz w:val="14"/>
                <w:szCs w:val="16"/>
                <w:lang w:val="en-GB"/>
              </w:rPr>
            </w:pPr>
          </w:p>
        </w:tc>
      </w:tr>
      <w:tr w:rsidR="0087245A" w:rsidRPr="0087245A" w14:paraId="430676AA" w14:textId="77777777" w:rsidTr="00B2173F">
        <w:tc>
          <w:tcPr>
            <w:tcW w:w="1626" w:type="dxa"/>
            <w:tcMar>
              <w:top w:w="80" w:type="dxa"/>
              <w:left w:w="80" w:type="dxa"/>
              <w:bottom w:w="80" w:type="dxa"/>
              <w:right w:w="80" w:type="dxa"/>
            </w:tcMar>
          </w:tcPr>
          <w:p w14:paraId="4225ADAB" w14:textId="479E62EF"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New Zealand</w:t>
            </w:r>
          </w:p>
        </w:tc>
        <w:tc>
          <w:tcPr>
            <w:tcW w:w="3448" w:type="dxa"/>
            <w:tcMar>
              <w:top w:w="80" w:type="dxa"/>
              <w:left w:w="80" w:type="dxa"/>
              <w:bottom w:w="80" w:type="dxa"/>
              <w:right w:w="80" w:type="dxa"/>
            </w:tcMar>
          </w:tcPr>
          <w:p w14:paraId="3A845BE1" w14:textId="4FC7CAD3" w:rsidR="0087245A" w:rsidRPr="0087245A" w:rsidRDefault="00A7538C" w:rsidP="00292A53">
            <w:pPr>
              <w:spacing w:after="60"/>
              <w:rPr>
                <w:rFonts w:cs="Arial"/>
                <w:color w:val="000000"/>
                <w:sz w:val="14"/>
                <w:szCs w:val="16"/>
                <w:lang w:val="en-GB"/>
              </w:rPr>
            </w:pPr>
            <w:hyperlink r:id="rId1343" w:history="1">
              <w:r w:rsidR="0087245A" w:rsidRPr="00FD5A2E">
                <w:rPr>
                  <w:rStyle w:val="Hyperlink"/>
                  <w:rFonts w:cs="Arial"/>
                  <w:sz w:val="14"/>
                  <w:szCs w:val="16"/>
                  <w:lang w:val="en-GB"/>
                </w:rPr>
                <w:t>s69(e)</w:t>
              </w:r>
            </w:hyperlink>
            <w:r w:rsidR="0087245A" w:rsidRPr="0087245A">
              <w:rPr>
                <w:rFonts w:cs="Arial"/>
                <w:color w:val="000000"/>
                <w:sz w:val="14"/>
                <w:szCs w:val="16"/>
                <w:lang w:val="en-GB"/>
              </w:rPr>
              <w:t xml:space="preserve"> </w:t>
            </w:r>
            <w:r w:rsidR="00FD5A2E" w:rsidRPr="00016069">
              <w:rPr>
                <w:i/>
                <w:sz w:val="14"/>
              </w:rPr>
              <w:t>Accident Compensation Act 2001</w:t>
            </w:r>
            <w:r w:rsidR="00FD5A2E">
              <w:rPr>
                <w:i/>
                <w:sz w:val="14"/>
              </w:rPr>
              <w:t xml:space="preserve"> </w:t>
            </w:r>
            <w:r w:rsidR="0087245A" w:rsidRPr="0087245A">
              <w:rPr>
                <w:rFonts w:cs="Arial"/>
                <w:color w:val="000000"/>
                <w:sz w:val="14"/>
                <w:szCs w:val="16"/>
                <w:lang w:val="en-GB"/>
              </w:rPr>
              <w:t>— Spouse or partner</w:t>
            </w:r>
            <w:r w:rsidR="00ED1468">
              <w:rPr>
                <w:rFonts w:cs="Arial"/>
                <w:color w:val="000000"/>
                <w:sz w:val="14"/>
                <w:szCs w:val="16"/>
                <w:lang w:val="en-GB"/>
              </w:rPr>
              <w:t>, children and other dependants</w:t>
            </w:r>
          </w:p>
        </w:tc>
        <w:tc>
          <w:tcPr>
            <w:tcW w:w="3449" w:type="dxa"/>
            <w:tcMar>
              <w:top w:w="80" w:type="dxa"/>
              <w:left w:w="80" w:type="dxa"/>
              <w:bottom w:w="80" w:type="dxa"/>
              <w:right w:w="80" w:type="dxa"/>
            </w:tcMar>
          </w:tcPr>
          <w:p w14:paraId="02C589A7" w14:textId="143D105A" w:rsidR="0087245A" w:rsidRPr="00CE2E16" w:rsidRDefault="00A7538C" w:rsidP="00F839DB">
            <w:pPr>
              <w:pStyle w:val="ListParagraph"/>
              <w:numPr>
                <w:ilvl w:val="0"/>
                <w:numId w:val="187"/>
              </w:numPr>
              <w:spacing w:after="60"/>
              <w:ind w:left="357" w:hanging="357"/>
              <w:rPr>
                <w:rFonts w:eastAsia="Calibri" w:cs="Arial"/>
                <w:sz w:val="14"/>
                <w:szCs w:val="14"/>
                <w:lang w:eastAsia="en-US"/>
              </w:rPr>
            </w:pPr>
            <w:hyperlink r:id="rId1344" w:history="1">
              <w:r w:rsidR="0087245A" w:rsidRPr="00FD5A2E">
                <w:rPr>
                  <w:rStyle w:val="Hyperlink"/>
                  <w:rFonts w:eastAsia="Calibri" w:cs="Arial"/>
                  <w:sz w:val="14"/>
                  <w:szCs w:val="14"/>
                  <w:lang w:eastAsia="en-US"/>
                </w:rPr>
                <w:t>s18</w:t>
              </w:r>
            </w:hyperlink>
            <w:r w:rsidR="0087245A" w:rsidRPr="00CE2E16">
              <w:rPr>
                <w:rFonts w:eastAsia="Calibri" w:cs="Arial"/>
                <w:sz w:val="14"/>
                <w:szCs w:val="14"/>
                <w:lang w:eastAsia="en-US"/>
              </w:rPr>
              <w:t xml:space="preserve"> — Spouse (in relation to deceased claimant) means a person (person A) to whom the claimant is legally married. However, person A is not the spouse of a claimant if: </w:t>
            </w:r>
          </w:p>
          <w:p w14:paraId="6F3E8702" w14:textId="77777777" w:rsidR="009515B3" w:rsidRDefault="0087245A" w:rsidP="00F839DB">
            <w:pPr>
              <w:pStyle w:val="ListParagraph"/>
              <w:numPr>
                <w:ilvl w:val="0"/>
                <w:numId w:val="465"/>
              </w:numPr>
              <w:spacing w:after="60"/>
              <w:ind w:left="589" w:hanging="283"/>
              <w:contextualSpacing/>
              <w:rPr>
                <w:rFonts w:eastAsia="Calibri" w:cs="Arial"/>
                <w:sz w:val="14"/>
                <w:szCs w:val="14"/>
                <w:lang w:eastAsia="en-US"/>
              </w:rPr>
            </w:pPr>
            <w:r w:rsidRPr="009515B3">
              <w:rPr>
                <w:rFonts w:eastAsia="Calibri" w:cs="Arial"/>
                <w:sz w:val="14"/>
                <w:szCs w:val="14"/>
                <w:lang w:eastAsia="en-US"/>
              </w:rPr>
              <w:t>person A and the claimant are living apart, and</w:t>
            </w:r>
          </w:p>
          <w:p w14:paraId="4CCE5289" w14:textId="77777777" w:rsidR="0087245A" w:rsidRPr="009515B3" w:rsidRDefault="0087245A" w:rsidP="00F839DB">
            <w:pPr>
              <w:pStyle w:val="ListParagraph"/>
              <w:numPr>
                <w:ilvl w:val="0"/>
                <w:numId w:val="465"/>
              </w:numPr>
              <w:spacing w:after="60"/>
              <w:ind w:left="589" w:hanging="283"/>
              <w:rPr>
                <w:rFonts w:eastAsia="Calibri" w:cs="Arial"/>
                <w:sz w:val="14"/>
                <w:szCs w:val="14"/>
                <w:lang w:eastAsia="en-US"/>
              </w:rPr>
            </w:pPr>
            <w:r w:rsidRPr="009515B3">
              <w:rPr>
                <w:rFonts w:eastAsia="Calibri" w:cs="Arial"/>
                <w:sz w:val="14"/>
                <w:szCs w:val="14"/>
                <w:lang w:eastAsia="en-US"/>
              </w:rPr>
              <w:t xml:space="preserve"> b) the claimant is not contributing financially to person A’s welfare.</w:t>
            </w:r>
          </w:p>
          <w:p w14:paraId="22413773" w14:textId="28E07418" w:rsidR="0087245A" w:rsidRPr="00CE2E16" w:rsidRDefault="00A7538C" w:rsidP="00F839DB">
            <w:pPr>
              <w:pStyle w:val="ListParagraph"/>
              <w:numPr>
                <w:ilvl w:val="0"/>
                <w:numId w:val="187"/>
              </w:numPr>
              <w:spacing w:after="60"/>
              <w:ind w:left="357" w:hanging="357"/>
              <w:rPr>
                <w:rFonts w:eastAsia="Calibri" w:cs="Arial"/>
                <w:sz w:val="14"/>
                <w:szCs w:val="14"/>
                <w:lang w:eastAsia="en-US"/>
              </w:rPr>
            </w:pPr>
            <w:hyperlink r:id="rId1345" w:history="1">
              <w:r w:rsidR="00FD5A2E" w:rsidRPr="00FD5A2E">
                <w:rPr>
                  <w:rStyle w:val="Hyperlink"/>
                  <w:rFonts w:eastAsia="Calibri" w:cs="Arial"/>
                  <w:sz w:val="14"/>
                  <w:szCs w:val="14"/>
                  <w:lang w:eastAsia="en-US"/>
                </w:rPr>
                <w:t>s18A</w:t>
              </w:r>
            </w:hyperlink>
            <w:r w:rsidR="0087245A" w:rsidRPr="00CE2E16">
              <w:rPr>
                <w:rFonts w:eastAsia="Calibri" w:cs="Arial"/>
                <w:sz w:val="14"/>
                <w:szCs w:val="14"/>
                <w:lang w:eastAsia="en-US"/>
              </w:rPr>
              <w:t xml:space="preserve"> — Partner means a person (person A) with whom the claimant is in a civil union or a de facto relationship. However, person A is not the partner of a claimant if: </w:t>
            </w:r>
          </w:p>
          <w:p w14:paraId="3AF8FCE9" w14:textId="77777777" w:rsidR="0087245A" w:rsidRPr="00CE2E16" w:rsidRDefault="0087245A" w:rsidP="00F839DB">
            <w:pPr>
              <w:pStyle w:val="ListParagraph"/>
              <w:numPr>
                <w:ilvl w:val="0"/>
                <w:numId w:val="193"/>
              </w:numPr>
              <w:spacing w:after="60"/>
              <w:ind w:left="589" w:hanging="283"/>
              <w:contextualSpacing/>
              <w:rPr>
                <w:rFonts w:eastAsia="Calibri" w:cs="Arial"/>
                <w:sz w:val="14"/>
                <w:szCs w:val="14"/>
                <w:lang w:eastAsia="en-US"/>
              </w:rPr>
            </w:pPr>
            <w:r w:rsidRPr="00CE2E16">
              <w:rPr>
                <w:rFonts w:eastAsia="Calibri" w:cs="Arial"/>
                <w:sz w:val="14"/>
                <w:szCs w:val="14"/>
                <w:lang w:eastAsia="en-US"/>
              </w:rPr>
              <w:t>person A and the claimant are living apart, and</w:t>
            </w:r>
          </w:p>
          <w:p w14:paraId="7D0B5114" w14:textId="77777777" w:rsidR="0087245A" w:rsidRPr="00CE2E16" w:rsidRDefault="0087245A" w:rsidP="00F839DB">
            <w:pPr>
              <w:pStyle w:val="ListParagraph"/>
              <w:numPr>
                <w:ilvl w:val="0"/>
                <w:numId w:val="193"/>
              </w:numPr>
              <w:spacing w:after="60"/>
              <w:ind w:left="589" w:hanging="283"/>
              <w:contextualSpacing/>
              <w:rPr>
                <w:rFonts w:eastAsia="Calibri" w:cs="Arial"/>
                <w:sz w:val="14"/>
                <w:szCs w:val="14"/>
                <w:lang w:eastAsia="en-US"/>
              </w:rPr>
            </w:pPr>
            <w:r w:rsidRPr="00CE2E16">
              <w:rPr>
                <w:rFonts w:eastAsia="Calibri" w:cs="Arial"/>
                <w:sz w:val="14"/>
                <w:szCs w:val="14"/>
                <w:lang w:eastAsia="en-US"/>
              </w:rPr>
              <w:t>the claimant is not contributing financially to person A’s welfare.</w:t>
            </w:r>
          </w:p>
        </w:tc>
        <w:tc>
          <w:tcPr>
            <w:tcW w:w="3449" w:type="dxa"/>
            <w:tcMar>
              <w:top w:w="80" w:type="dxa"/>
              <w:left w:w="80" w:type="dxa"/>
              <w:bottom w:w="80" w:type="dxa"/>
              <w:right w:w="80" w:type="dxa"/>
            </w:tcMar>
          </w:tcPr>
          <w:p w14:paraId="363275AF" w14:textId="77777777" w:rsidR="0087245A" w:rsidRPr="00CE2E16" w:rsidRDefault="0087245A" w:rsidP="00F839DB">
            <w:pPr>
              <w:pStyle w:val="ListParagraph"/>
              <w:numPr>
                <w:ilvl w:val="0"/>
                <w:numId w:val="187"/>
              </w:numPr>
              <w:spacing w:after="60"/>
              <w:contextualSpacing/>
              <w:rPr>
                <w:rFonts w:eastAsia="Calibri" w:cs="Arial"/>
                <w:sz w:val="14"/>
                <w:szCs w:val="14"/>
                <w:lang w:eastAsia="en-US"/>
              </w:rPr>
            </w:pPr>
            <w:r w:rsidRPr="00CE2E16">
              <w:rPr>
                <w:rFonts w:eastAsia="Calibri" w:cs="Arial"/>
                <w:sz w:val="14"/>
                <w:szCs w:val="14"/>
                <w:lang w:eastAsia="en-US"/>
              </w:rPr>
              <w:t>No specific reference, however de facto partner is not defined, and civil unions in New Zealand are recognised in New Zealand for same sex couples.</w:t>
            </w:r>
          </w:p>
          <w:p w14:paraId="48D99982" w14:textId="77777777" w:rsidR="0087245A" w:rsidRPr="00CE2E16" w:rsidRDefault="0087245A" w:rsidP="00F839DB">
            <w:pPr>
              <w:pStyle w:val="ListParagraph"/>
              <w:numPr>
                <w:ilvl w:val="0"/>
                <w:numId w:val="187"/>
              </w:numPr>
              <w:spacing w:after="60"/>
              <w:contextualSpacing/>
              <w:rPr>
                <w:rFonts w:eastAsia="Calibri" w:cs="Arial"/>
                <w:sz w:val="14"/>
                <w:szCs w:val="14"/>
                <w:lang w:eastAsia="en-US"/>
              </w:rPr>
            </w:pPr>
            <w:r w:rsidRPr="00CE2E16">
              <w:rPr>
                <w:rFonts w:eastAsia="Calibri" w:cs="Arial"/>
                <w:sz w:val="14"/>
                <w:szCs w:val="14"/>
                <w:lang w:eastAsia="en-US"/>
              </w:rPr>
              <w:t>Same sex marriages are now recognised in New Zealand.</w:t>
            </w:r>
          </w:p>
        </w:tc>
        <w:tc>
          <w:tcPr>
            <w:tcW w:w="3449" w:type="dxa"/>
            <w:tcMar>
              <w:top w:w="80" w:type="dxa"/>
              <w:left w:w="80" w:type="dxa"/>
              <w:bottom w:w="80" w:type="dxa"/>
              <w:right w:w="80" w:type="dxa"/>
            </w:tcMar>
          </w:tcPr>
          <w:p w14:paraId="5EE2EF62"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w:t>
            </w:r>
          </w:p>
        </w:tc>
      </w:tr>
    </w:tbl>
    <w:p w14:paraId="1CFDF8C7" w14:textId="77777777" w:rsidR="00CE2E16" w:rsidRPr="00A80282" w:rsidRDefault="00CE2E16" w:rsidP="00A80282">
      <w:pPr>
        <w:pStyle w:val="SWATableheader"/>
      </w:pPr>
      <w:bookmarkStart w:id="146" w:name="_Toc504654682"/>
      <w:bookmarkEnd w:id="145"/>
      <w:r w:rsidRPr="00A80282">
        <w:lastRenderedPageBreak/>
        <w:t>Table 4.6: Common law provisions</w:t>
      </w:r>
      <w:bookmarkEnd w:id="146"/>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6: Common law provisions  "/>
        <w:tblDescription w:val="This table provides information on common law provisions. "/>
      </w:tblPr>
      <w:tblGrid>
        <w:gridCol w:w="1626"/>
        <w:gridCol w:w="2759"/>
        <w:gridCol w:w="2759"/>
        <w:gridCol w:w="2759"/>
        <w:gridCol w:w="2759"/>
        <w:gridCol w:w="2759"/>
      </w:tblGrid>
      <w:tr w:rsidR="00CE2E16" w:rsidRPr="00CE2E16" w14:paraId="264A2856" w14:textId="77777777" w:rsidTr="00B2173F">
        <w:trPr>
          <w:tblHeader/>
        </w:trPr>
        <w:tc>
          <w:tcPr>
            <w:tcW w:w="1626" w:type="dxa"/>
            <w:shd w:val="clear" w:color="auto" w:fill="C00000"/>
            <w:tcMar>
              <w:top w:w="0" w:type="dxa"/>
              <w:left w:w="0" w:type="dxa"/>
              <w:bottom w:w="0" w:type="dxa"/>
              <w:right w:w="0" w:type="dxa"/>
            </w:tcMar>
            <w:vAlign w:val="center"/>
          </w:tcPr>
          <w:p w14:paraId="563DB119" w14:textId="77777777" w:rsidR="00CE2E16" w:rsidRPr="00CE2E16" w:rsidRDefault="00CE2E16" w:rsidP="00292A53">
            <w:pPr>
              <w:pStyle w:val="Tableheaderrow"/>
              <w:spacing w:after="60"/>
            </w:pPr>
          </w:p>
        </w:tc>
        <w:tc>
          <w:tcPr>
            <w:tcW w:w="2759" w:type="dxa"/>
            <w:shd w:val="clear" w:color="auto" w:fill="C00000"/>
            <w:tcMar>
              <w:top w:w="0" w:type="dxa"/>
              <w:left w:w="0" w:type="dxa"/>
              <w:bottom w:w="0" w:type="dxa"/>
              <w:right w:w="0" w:type="dxa"/>
            </w:tcMar>
            <w:vAlign w:val="center"/>
          </w:tcPr>
          <w:p w14:paraId="17BFFEE0" w14:textId="77777777" w:rsidR="00CE2E16" w:rsidRPr="00CE2E16" w:rsidRDefault="00CE2E16" w:rsidP="00292A53">
            <w:pPr>
              <w:pStyle w:val="Tableheaderrow"/>
              <w:spacing w:after="60"/>
            </w:pPr>
            <w:r w:rsidRPr="00CE2E16">
              <w:t>Access to common law against employer?</w:t>
            </w:r>
          </w:p>
        </w:tc>
        <w:tc>
          <w:tcPr>
            <w:tcW w:w="2759" w:type="dxa"/>
            <w:shd w:val="clear" w:color="auto" w:fill="C00000"/>
            <w:tcMar>
              <w:top w:w="0" w:type="dxa"/>
              <w:left w:w="0" w:type="dxa"/>
              <w:bottom w:w="0" w:type="dxa"/>
              <w:right w:w="0" w:type="dxa"/>
            </w:tcMar>
            <w:vAlign w:val="center"/>
          </w:tcPr>
          <w:p w14:paraId="3BA19557" w14:textId="77777777" w:rsidR="00CE2E16" w:rsidRPr="00CE2E16" w:rsidRDefault="00CE2E16" w:rsidP="00292A53">
            <w:pPr>
              <w:pStyle w:val="Tableheaderrow"/>
              <w:spacing w:after="60"/>
            </w:pPr>
            <w:r w:rsidRPr="00CE2E16">
              <w:t>Types of damages</w:t>
            </w:r>
          </w:p>
        </w:tc>
        <w:tc>
          <w:tcPr>
            <w:tcW w:w="2759" w:type="dxa"/>
            <w:shd w:val="clear" w:color="auto" w:fill="C00000"/>
            <w:tcMar>
              <w:top w:w="0" w:type="dxa"/>
              <w:left w:w="0" w:type="dxa"/>
              <w:bottom w:w="0" w:type="dxa"/>
              <w:right w:w="0" w:type="dxa"/>
            </w:tcMar>
            <w:vAlign w:val="center"/>
          </w:tcPr>
          <w:p w14:paraId="40EB0CC3" w14:textId="77777777" w:rsidR="00CE2E16" w:rsidRPr="00CE2E16" w:rsidRDefault="00CE2E16" w:rsidP="00292A53">
            <w:pPr>
              <w:pStyle w:val="Tableheaderrow"/>
              <w:spacing w:after="60"/>
            </w:pPr>
            <w:r w:rsidRPr="00CE2E16">
              <w:t>Statutory threshold(s)</w:t>
            </w:r>
          </w:p>
        </w:tc>
        <w:tc>
          <w:tcPr>
            <w:tcW w:w="2759" w:type="dxa"/>
            <w:shd w:val="clear" w:color="auto" w:fill="C00000"/>
            <w:tcMar>
              <w:top w:w="0" w:type="dxa"/>
              <w:left w:w="0" w:type="dxa"/>
              <w:bottom w:w="0" w:type="dxa"/>
              <w:right w:w="0" w:type="dxa"/>
            </w:tcMar>
            <w:vAlign w:val="center"/>
          </w:tcPr>
          <w:p w14:paraId="14556CBC" w14:textId="77777777" w:rsidR="00CE2E16" w:rsidRPr="00CE2E16" w:rsidRDefault="00CE2E16" w:rsidP="00292A53">
            <w:pPr>
              <w:pStyle w:val="Tableheaderrow"/>
              <w:spacing w:after="60"/>
            </w:pPr>
            <w:r w:rsidRPr="00CE2E16">
              <w:t>Is election of common law irrevocable?</w:t>
            </w:r>
          </w:p>
        </w:tc>
        <w:tc>
          <w:tcPr>
            <w:tcW w:w="2759" w:type="dxa"/>
            <w:shd w:val="clear" w:color="auto" w:fill="C00000"/>
            <w:tcMar>
              <w:top w:w="0" w:type="dxa"/>
              <w:left w:w="0" w:type="dxa"/>
              <w:bottom w:w="0" w:type="dxa"/>
              <w:right w:w="0" w:type="dxa"/>
            </w:tcMar>
            <w:vAlign w:val="center"/>
          </w:tcPr>
          <w:p w14:paraId="2C391E3F" w14:textId="77777777" w:rsidR="00CE2E16" w:rsidRPr="00CE2E16" w:rsidRDefault="00CE2E16" w:rsidP="00292A53">
            <w:pPr>
              <w:pStyle w:val="Tableheaderrow"/>
              <w:spacing w:after="60"/>
            </w:pPr>
            <w:r w:rsidRPr="00CE2E16">
              <w:t>Cap on damages?</w:t>
            </w:r>
          </w:p>
        </w:tc>
      </w:tr>
      <w:tr w:rsidR="00CE2E16" w:rsidRPr="00CE2E16" w14:paraId="0E4947BD" w14:textId="77777777" w:rsidTr="00B2173F">
        <w:tc>
          <w:tcPr>
            <w:tcW w:w="1626" w:type="dxa"/>
            <w:shd w:val="clear" w:color="auto" w:fill="FFC9C9"/>
            <w:tcMar>
              <w:top w:w="80" w:type="dxa"/>
              <w:left w:w="80" w:type="dxa"/>
              <w:bottom w:w="80" w:type="dxa"/>
              <w:right w:w="80" w:type="dxa"/>
            </w:tcMar>
          </w:tcPr>
          <w:p w14:paraId="05FA2FBB"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New South Wales</w:t>
            </w:r>
          </w:p>
        </w:tc>
        <w:tc>
          <w:tcPr>
            <w:tcW w:w="2759" w:type="dxa"/>
            <w:shd w:val="clear" w:color="auto" w:fill="FFC9C9"/>
            <w:tcMar>
              <w:top w:w="80" w:type="dxa"/>
              <w:left w:w="80" w:type="dxa"/>
              <w:bottom w:w="80" w:type="dxa"/>
              <w:right w:w="80" w:type="dxa"/>
            </w:tcMar>
          </w:tcPr>
          <w:p w14:paraId="6A05CD28" w14:textId="52A25B17" w:rsidR="00CE2E16" w:rsidRPr="00CE2E16" w:rsidRDefault="00ED1468" w:rsidP="00F839DB">
            <w:pPr>
              <w:pStyle w:val="ListParagraph"/>
              <w:numPr>
                <w:ilvl w:val="0"/>
                <w:numId w:val="194"/>
              </w:numPr>
              <w:spacing w:after="60"/>
              <w:contextualSpacing/>
              <w:rPr>
                <w:rFonts w:eastAsia="Calibri" w:cs="Arial"/>
                <w:sz w:val="14"/>
                <w:szCs w:val="14"/>
                <w:lang w:eastAsia="en-US"/>
              </w:rPr>
            </w:pPr>
            <w:r>
              <w:rPr>
                <w:rFonts w:eastAsia="Calibri" w:cs="Arial"/>
                <w:sz w:val="14"/>
                <w:szCs w:val="14"/>
                <w:lang w:eastAsia="en-US"/>
              </w:rPr>
              <w:t>Yes (modified)</w:t>
            </w:r>
          </w:p>
          <w:p w14:paraId="7B9C6885" w14:textId="7D74EFE7" w:rsidR="00CE2E16" w:rsidRPr="00CE2E16" w:rsidRDefault="00CE2E16" w:rsidP="00F839DB">
            <w:pPr>
              <w:pStyle w:val="ListParagraph"/>
              <w:numPr>
                <w:ilvl w:val="0"/>
                <w:numId w:val="194"/>
              </w:numPr>
              <w:spacing w:after="60"/>
              <w:contextualSpacing/>
              <w:rPr>
                <w:rFonts w:eastAsia="Calibri" w:cs="Arial"/>
                <w:sz w:val="14"/>
                <w:szCs w:val="14"/>
                <w:lang w:eastAsia="en-US"/>
              </w:rPr>
            </w:pPr>
            <w:r w:rsidRPr="00CE2E16">
              <w:rPr>
                <w:rFonts w:eastAsia="Calibri" w:cs="Arial"/>
                <w:sz w:val="14"/>
                <w:szCs w:val="14"/>
                <w:lang w:eastAsia="en-US"/>
              </w:rPr>
              <w:t>Kno</w:t>
            </w:r>
            <w:r w:rsidR="00ED1468">
              <w:rPr>
                <w:rFonts w:eastAsia="Calibri" w:cs="Arial"/>
                <w:sz w:val="14"/>
                <w:szCs w:val="14"/>
                <w:lang w:eastAsia="en-US"/>
              </w:rPr>
              <w:t>wn as Work Injury Damages (WID)</w:t>
            </w:r>
          </w:p>
          <w:p w14:paraId="3A62B339" w14:textId="340BB8E3" w:rsidR="00CE2E16" w:rsidRPr="00886185" w:rsidRDefault="00CE2E16" w:rsidP="00F839DB">
            <w:pPr>
              <w:pStyle w:val="ListParagraph"/>
              <w:numPr>
                <w:ilvl w:val="0"/>
                <w:numId w:val="194"/>
              </w:numPr>
              <w:spacing w:after="60"/>
              <w:contextualSpacing/>
              <w:rPr>
                <w:rFonts w:eastAsia="Calibri" w:cs="Arial"/>
                <w:i/>
                <w:sz w:val="14"/>
                <w:szCs w:val="14"/>
                <w:lang w:eastAsia="en-US"/>
              </w:rPr>
            </w:pPr>
            <w:r w:rsidRPr="00CE2E16">
              <w:rPr>
                <w:rFonts w:eastAsia="Calibri" w:cs="Arial"/>
                <w:sz w:val="14"/>
                <w:szCs w:val="14"/>
                <w:lang w:eastAsia="en-US"/>
              </w:rPr>
              <w:t xml:space="preserve">Dust disease sufferers can pursue common law damages against an employer, occupier and/or supplier in accordance with the </w:t>
            </w:r>
            <w:r w:rsidRPr="00D41D16">
              <w:rPr>
                <w:rFonts w:eastAsia="Calibri" w:cs="Arial"/>
                <w:i/>
                <w:sz w:val="14"/>
                <w:szCs w:val="14"/>
                <w:lang w:eastAsia="en-US"/>
              </w:rPr>
              <w:t>Dust Diseases Tribunal Act</w:t>
            </w:r>
            <w:r w:rsidRPr="00886185">
              <w:rPr>
                <w:rFonts w:eastAsia="Calibri" w:cs="Arial"/>
                <w:i/>
                <w:sz w:val="14"/>
                <w:szCs w:val="14"/>
                <w:lang w:eastAsia="en-US"/>
              </w:rPr>
              <w:t xml:space="preserve"> 1987</w:t>
            </w:r>
            <w:r w:rsidRPr="00CE2E16">
              <w:rPr>
                <w:rFonts w:eastAsia="Calibri" w:cs="Arial"/>
                <w:sz w:val="14"/>
                <w:szCs w:val="14"/>
                <w:lang w:eastAsia="en-US"/>
              </w:rPr>
              <w:t xml:space="preserve"> and also continue to receive their statutory benefits under the </w:t>
            </w:r>
            <w:r w:rsidRPr="00886185">
              <w:rPr>
                <w:rFonts w:eastAsia="Calibri" w:cs="Arial"/>
                <w:i/>
                <w:sz w:val="14"/>
                <w:szCs w:val="14"/>
                <w:lang w:eastAsia="en-US"/>
              </w:rPr>
              <w:t>Workers’ Compensation (Dust Diseases) Act 1</w:t>
            </w:r>
            <w:r w:rsidR="00ED1468" w:rsidRPr="00886185">
              <w:rPr>
                <w:rFonts w:eastAsia="Calibri" w:cs="Arial"/>
                <w:i/>
                <w:sz w:val="14"/>
                <w:szCs w:val="14"/>
                <w:lang w:eastAsia="en-US"/>
              </w:rPr>
              <w:t>942</w:t>
            </w:r>
          </w:p>
          <w:p w14:paraId="778263C0" w14:textId="12D9E8B4" w:rsidR="00CE2E16" w:rsidRPr="00CE2E16" w:rsidRDefault="00CE2E16" w:rsidP="00F839DB">
            <w:pPr>
              <w:pStyle w:val="ListParagraph"/>
              <w:numPr>
                <w:ilvl w:val="0"/>
                <w:numId w:val="194"/>
              </w:numPr>
              <w:spacing w:after="60"/>
              <w:contextualSpacing/>
              <w:rPr>
                <w:rFonts w:eastAsia="Calibri" w:cs="Arial"/>
                <w:sz w:val="14"/>
                <w:szCs w:val="14"/>
                <w:lang w:eastAsia="en-US"/>
              </w:rPr>
            </w:pPr>
            <w:r w:rsidRPr="00CE2E16">
              <w:rPr>
                <w:rFonts w:eastAsia="Calibri" w:cs="Arial"/>
                <w:sz w:val="14"/>
                <w:szCs w:val="14"/>
                <w:lang w:eastAsia="en-US"/>
              </w:rPr>
              <w:t>No damages for pure mental harm are available to relatives of an injured or deceased worker unless the relative</w:t>
            </w:r>
            <w:r w:rsidR="00ED1468">
              <w:rPr>
                <w:rFonts w:eastAsia="Calibri" w:cs="Arial"/>
                <w:sz w:val="14"/>
                <w:szCs w:val="14"/>
                <w:lang w:eastAsia="en-US"/>
              </w:rPr>
              <w:t xml:space="preserve"> is also a worker under the Act</w:t>
            </w:r>
            <w:r w:rsidR="006F35DB">
              <w:rPr>
                <w:rFonts w:eastAsia="Calibri" w:cs="Arial"/>
                <w:sz w:val="14"/>
                <w:szCs w:val="14"/>
                <w:lang w:eastAsia="en-US"/>
              </w:rPr>
              <w:t xml:space="preserve"> (</w:t>
            </w:r>
            <w:hyperlink r:id="rId1346" w:history="1">
              <w:r w:rsidR="006F35DB" w:rsidRPr="00197274">
                <w:rPr>
                  <w:rStyle w:val="Hyperlink"/>
                  <w:rFonts w:eastAsia="Calibri" w:cs="Arial"/>
                  <w:sz w:val="14"/>
                  <w:szCs w:val="14"/>
                  <w:lang w:eastAsia="en-US"/>
                </w:rPr>
                <w:t>s151AD</w:t>
              </w:r>
            </w:hyperlink>
            <w:r w:rsidR="006F35DB">
              <w:rPr>
                <w:rFonts w:eastAsia="Calibri" w:cs="Arial"/>
                <w:sz w:val="14"/>
                <w:szCs w:val="14"/>
                <w:lang w:eastAsia="en-US"/>
              </w:rPr>
              <w:t xml:space="preserve"> </w:t>
            </w:r>
            <w:r w:rsidR="00197274" w:rsidRPr="00016069">
              <w:rPr>
                <w:i/>
                <w:sz w:val="14"/>
              </w:rPr>
              <w:t>Workers Compensation Act 1987</w:t>
            </w:r>
            <w:r w:rsidR="006F35DB">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6039B8FB" w14:textId="77777777" w:rsidR="00D52E47" w:rsidRPr="00D52E47" w:rsidRDefault="00D52E47" w:rsidP="00F839DB">
            <w:pPr>
              <w:pStyle w:val="ListParagraph"/>
              <w:numPr>
                <w:ilvl w:val="0"/>
                <w:numId w:val="194"/>
              </w:numPr>
              <w:spacing w:after="60"/>
              <w:contextualSpacing/>
              <w:rPr>
                <w:rFonts w:eastAsia="Calibri" w:cs="Arial"/>
                <w:sz w:val="14"/>
                <w:szCs w:val="14"/>
                <w:lang w:eastAsia="en-US"/>
              </w:rPr>
            </w:pPr>
            <w:r w:rsidRPr="00D52E47">
              <w:rPr>
                <w:rFonts w:eastAsia="Calibri" w:cs="Arial"/>
                <w:sz w:val="14"/>
                <w:szCs w:val="14"/>
                <w:lang w:eastAsia="en-US"/>
              </w:rPr>
              <w:t>Damages are paid as one lump sum to cover past and future economic loss of earnings only.</w:t>
            </w:r>
          </w:p>
          <w:p w14:paraId="217A5552" w14:textId="74ABEB2B" w:rsidR="00D52E47" w:rsidRPr="00D52E47" w:rsidRDefault="00D52E47" w:rsidP="00F839DB">
            <w:pPr>
              <w:pStyle w:val="ListParagraph"/>
              <w:numPr>
                <w:ilvl w:val="0"/>
                <w:numId w:val="194"/>
              </w:numPr>
              <w:spacing w:after="60"/>
              <w:contextualSpacing/>
              <w:rPr>
                <w:rFonts w:eastAsia="Calibri" w:cs="Arial"/>
                <w:sz w:val="14"/>
                <w:szCs w:val="14"/>
                <w:lang w:eastAsia="en-US"/>
              </w:rPr>
            </w:pPr>
            <w:r w:rsidRPr="00D52E47">
              <w:rPr>
                <w:rFonts w:eastAsia="Calibri" w:cs="Arial"/>
                <w:sz w:val="14"/>
                <w:szCs w:val="14"/>
                <w:lang w:eastAsia="en-US"/>
              </w:rPr>
              <w:t xml:space="preserve">The amount of weekly </w:t>
            </w:r>
            <w:r w:rsidR="006F35DB">
              <w:rPr>
                <w:rFonts w:eastAsia="Calibri" w:cs="Arial"/>
                <w:sz w:val="14"/>
                <w:szCs w:val="14"/>
                <w:lang w:eastAsia="en-US"/>
              </w:rPr>
              <w:t xml:space="preserve">payments </w:t>
            </w:r>
            <w:r w:rsidRPr="00D52E47">
              <w:rPr>
                <w:rFonts w:eastAsia="Calibri" w:cs="Arial"/>
                <w:sz w:val="14"/>
                <w:szCs w:val="14"/>
                <w:lang w:eastAsia="en-US"/>
              </w:rPr>
              <w:t xml:space="preserve">already paid must be </w:t>
            </w:r>
            <w:r w:rsidR="00ED1468">
              <w:rPr>
                <w:rFonts w:eastAsia="Calibri" w:cs="Arial"/>
                <w:sz w:val="14"/>
                <w:szCs w:val="14"/>
                <w:lang w:eastAsia="en-US"/>
              </w:rPr>
              <w:t>repaid out of the money awarded</w:t>
            </w:r>
          </w:p>
          <w:p w14:paraId="6D27DFFC" w14:textId="042F631B" w:rsidR="00CE2E16" w:rsidRPr="00CE2E16" w:rsidRDefault="00D52E47" w:rsidP="00F839DB">
            <w:pPr>
              <w:pStyle w:val="ListParagraph"/>
              <w:numPr>
                <w:ilvl w:val="0"/>
                <w:numId w:val="194"/>
              </w:numPr>
              <w:spacing w:after="60"/>
              <w:contextualSpacing/>
              <w:rPr>
                <w:rFonts w:eastAsia="Calibri" w:cs="Arial"/>
                <w:sz w:val="14"/>
                <w:szCs w:val="14"/>
                <w:lang w:eastAsia="en-US"/>
              </w:rPr>
            </w:pPr>
            <w:r w:rsidRPr="00D52E47">
              <w:rPr>
                <w:rFonts w:eastAsia="Calibri" w:cs="Arial"/>
                <w:sz w:val="14"/>
                <w:szCs w:val="14"/>
                <w:lang w:eastAsia="en-US"/>
              </w:rPr>
              <w:t xml:space="preserve">Damages can be reduced if the worker’s own negligence contributed to the injury — </w:t>
            </w:r>
            <w:hyperlink r:id="rId1347" w:history="1">
              <w:r w:rsidRPr="00197274">
                <w:rPr>
                  <w:rStyle w:val="Hyperlink"/>
                  <w:rFonts w:eastAsia="Calibri" w:cs="Arial"/>
                  <w:sz w:val="14"/>
                  <w:szCs w:val="14"/>
                  <w:lang w:eastAsia="en-US"/>
                </w:rPr>
                <w:t>Part 5</w:t>
              </w:r>
            </w:hyperlink>
            <w:r w:rsidRPr="00D52E47">
              <w:rPr>
                <w:rFonts w:eastAsia="Calibri" w:cs="Arial"/>
                <w:sz w:val="14"/>
                <w:szCs w:val="14"/>
                <w:lang w:eastAsia="en-US"/>
              </w:rPr>
              <w:t>, Division 3,</w:t>
            </w:r>
            <w:r w:rsidR="00D41D16">
              <w:rPr>
                <w:rFonts w:eastAsia="Calibri" w:cs="Arial"/>
                <w:sz w:val="14"/>
                <w:szCs w:val="14"/>
                <w:lang w:eastAsia="en-US"/>
              </w:rPr>
              <w:t xml:space="preserve"> </w:t>
            </w:r>
            <w:r w:rsidRPr="00D52E47">
              <w:rPr>
                <w:rFonts w:eastAsia="Calibri" w:cs="Arial"/>
                <w:sz w:val="14"/>
                <w:szCs w:val="14"/>
                <w:lang w:eastAsia="en-US"/>
              </w:rPr>
              <w:t>1987 Act</w:t>
            </w:r>
          </w:p>
        </w:tc>
        <w:tc>
          <w:tcPr>
            <w:tcW w:w="2759" w:type="dxa"/>
            <w:shd w:val="clear" w:color="auto" w:fill="FFC9C9"/>
            <w:tcMar>
              <w:top w:w="80" w:type="dxa"/>
              <w:left w:w="80" w:type="dxa"/>
              <w:bottom w:w="80" w:type="dxa"/>
              <w:right w:w="80" w:type="dxa"/>
            </w:tcMar>
          </w:tcPr>
          <w:p w14:paraId="2DC8C567" w14:textId="77777777" w:rsidR="00D52E47" w:rsidRPr="00D52E47" w:rsidRDefault="00D52E47" w:rsidP="00292A53">
            <w:pPr>
              <w:spacing w:after="60"/>
              <w:rPr>
                <w:rFonts w:cs="Arial"/>
                <w:color w:val="000000"/>
                <w:sz w:val="14"/>
                <w:szCs w:val="16"/>
                <w:lang w:val="en-GB"/>
              </w:rPr>
            </w:pPr>
            <w:r w:rsidRPr="00D52E47">
              <w:rPr>
                <w:rFonts w:cs="Arial"/>
                <w:color w:val="000000"/>
                <w:sz w:val="14"/>
                <w:szCs w:val="16"/>
                <w:lang w:val="en-GB"/>
              </w:rPr>
              <w:t>To be eligible to make a claim for WID, three criteria must be met:</w:t>
            </w:r>
          </w:p>
          <w:p w14:paraId="0A49C7D4" w14:textId="77777777" w:rsidR="00D52E47" w:rsidRPr="00D52E47" w:rsidRDefault="00D52E47" w:rsidP="00F839DB">
            <w:pPr>
              <w:pStyle w:val="ListParagraph"/>
              <w:numPr>
                <w:ilvl w:val="0"/>
                <w:numId w:val="430"/>
              </w:numPr>
              <w:spacing w:after="60"/>
              <w:ind w:left="357" w:hanging="357"/>
              <w:contextualSpacing/>
              <w:rPr>
                <w:rFonts w:cs="Arial"/>
                <w:color w:val="000000"/>
                <w:sz w:val="14"/>
                <w:szCs w:val="16"/>
                <w:lang w:val="en-GB"/>
              </w:rPr>
            </w:pPr>
            <w:r w:rsidRPr="00D52E47">
              <w:rPr>
                <w:rFonts w:cs="Arial"/>
                <w:color w:val="000000"/>
                <w:sz w:val="14"/>
                <w:szCs w:val="16"/>
                <w:lang w:val="en-GB"/>
              </w:rPr>
              <w:t xml:space="preserve">the work injury is a result of the negligence of the employer </w:t>
            </w:r>
          </w:p>
          <w:p w14:paraId="4B83C776" w14:textId="7BB6B40C" w:rsidR="00D52E47" w:rsidRPr="00D52E47" w:rsidRDefault="00D52E47" w:rsidP="00F839DB">
            <w:pPr>
              <w:pStyle w:val="ListParagraph"/>
              <w:numPr>
                <w:ilvl w:val="0"/>
                <w:numId w:val="430"/>
              </w:numPr>
              <w:spacing w:after="60"/>
              <w:ind w:left="357" w:hanging="357"/>
              <w:contextualSpacing/>
              <w:rPr>
                <w:rFonts w:cs="Arial"/>
                <w:color w:val="000000"/>
                <w:sz w:val="14"/>
                <w:szCs w:val="16"/>
                <w:lang w:val="en-GB"/>
              </w:rPr>
            </w:pPr>
            <w:r w:rsidRPr="00D52E47">
              <w:rPr>
                <w:rFonts w:cs="Arial"/>
                <w:color w:val="000000"/>
                <w:sz w:val="14"/>
                <w:szCs w:val="16"/>
                <w:lang w:val="en-GB"/>
              </w:rPr>
              <w:t>the worker must have at least a 15%</w:t>
            </w:r>
            <w:r w:rsidR="006F35DB">
              <w:rPr>
                <w:rFonts w:cs="Arial"/>
                <w:color w:val="000000"/>
                <w:sz w:val="14"/>
                <w:szCs w:val="16"/>
                <w:lang w:val="en-GB"/>
              </w:rPr>
              <w:t xml:space="preserve"> permanent impairment</w:t>
            </w:r>
            <w:r w:rsidRPr="00D52E47">
              <w:rPr>
                <w:rFonts w:cs="Arial"/>
                <w:color w:val="000000"/>
                <w:sz w:val="14"/>
                <w:szCs w:val="16"/>
                <w:lang w:val="en-GB"/>
              </w:rPr>
              <w:t>, and</w:t>
            </w:r>
          </w:p>
          <w:p w14:paraId="1987E398" w14:textId="1D73F076" w:rsidR="00D52E47" w:rsidRPr="00D52E47" w:rsidRDefault="00D52E47" w:rsidP="00F839DB">
            <w:pPr>
              <w:pStyle w:val="ListParagraph"/>
              <w:numPr>
                <w:ilvl w:val="0"/>
                <w:numId w:val="430"/>
              </w:numPr>
              <w:spacing w:after="60"/>
              <w:rPr>
                <w:rFonts w:cs="Arial"/>
                <w:color w:val="000000"/>
                <w:sz w:val="14"/>
                <w:szCs w:val="16"/>
                <w:lang w:val="en-GB"/>
              </w:rPr>
            </w:pPr>
            <w:r w:rsidRPr="00D52E47">
              <w:rPr>
                <w:rFonts w:cs="Arial"/>
                <w:color w:val="000000"/>
                <w:sz w:val="14"/>
                <w:szCs w:val="16"/>
                <w:lang w:val="en-GB"/>
              </w:rPr>
              <w:t>claims for permanent impairment lump sum compensation must be made prior to or at the same time as the WID claim, and must be settled prior to a WID claim be</w:t>
            </w:r>
            <w:r w:rsidR="00ED1468">
              <w:rPr>
                <w:rFonts w:cs="Arial"/>
                <w:color w:val="000000"/>
                <w:sz w:val="14"/>
                <w:szCs w:val="16"/>
                <w:lang w:val="en-GB"/>
              </w:rPr>
              <w:t>ing finalised</w:t>
            </w:r>
          </w:p>
          <w:p w14:paraId="0D32FD03" w14:textId="6A5A1945" w:rsidR="00CE2E16" w:rsidRPr="00CE2E16" w:rsidRDefault="00D52E47" w:rsidP="00292A53">
            <w:pPr>
              <w:spacing w:after="60"/>
              <w:rPr>
                <w:rFonts w:cs="Arial"/>
                <w:color w:val="000000"/>
                <w:sz w:val="14"/>
                <w:szCs w:val="16"/>
                <w:lang w:val="en-GB"/>
              </w:rPr>
            </w:pPr>
            <w:r w:rsidRPr="00D52E47">
              <w:rPr>
                <w:rFonts w:cs="Arial"/>
                <w:color w:val="000000"/>
                <w:sz w:val="14"/>
                <w:szCs w:val="16"/>
                <w:lang w:val="en-GB"/>
              </w:rPr>
              <w:t xml:space="preserve">A WID claim cannot be started for at least six months after the worker gave notice of the injury to the employer, or not more than three years after the date of injury — </w:t>
            </w:r>
            <w:hyperlink r:id="rId1348" w:history="1">
              <w:r w:rsidRPr="00197274">
                <w:rPr>
                  <w:rStyle w:val="Hyperlink"/>
                  <w:rFonts w:cs="Arial"/>
                  <w:sz w:val="14"/>
                  <w:szCs w:val="16"/>
                  <w:lang w:val="en-GB"/>
                </w:rPr>
                <w:t>Part 5</w:t>
              </w:r>
            </w:hyperlink>
            <w:r w:rsidRPr="00D52E47">
              <w:rPr>
                <w:rFonts w:cs="Arial"/>
                <w:color w:val="000000"/>
                <w:sz w:val="14"/>
                <w:szCs w:val="16"/>
                <w:lang w:val="en-GB"/>
              </w:rPr>
              <w:t>, Division 3, 1987 Act</w:t>
            </w:r>
          </w:p>
        </w:tc>
        <w:tc>
          <w:tcPr>
            <w:tcW w:w="2759" w:type="dxa"/>
            <w:shd w:val="clear" w:color="auto" w:fill="FFC9C9"/>
            <w:tcMar>
              <w:top w:w="80" w:type="dxa"/>
              <w:left w:w="80" w:type="dxa"/>
              <w:bottom w:w="80" w:type="dxa"/>
              <w:right w:w="80" w:type="dxa"/>
            </w:tcMar>
          </w:tcPr>
          <w:p w14:paraId="289B3120" w14:textId="3F42B41F"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 If a common law claim is not successful, the worker will continue to receive workers’ compensation under the statutory sc</w:t>
            </w:r>
            <w:r w:rsidR="00ED1468">
              <w:rPr>
                <w:rFonts w:cs="Arial"/>
                <w:color w:val="000000"/>
                <w:sz w:val="14"/>
                <w:szCs w:val="16"/>
                <w:lang w:val="en-GB"/>
              </w:rPr>
              <w:t>heme</w:t>
            </w:r>
          </w:p>
        </w:tc>
        <w:tc>
          <w:tcPr>
            <w:tcW w:w="2759" w:type="dxa"/>
            <w:shd w:val="clear" w:color="auto" w:fill="FFC9C9"/>
            <w:tcMar>
              <w:top w:w="80" w:type="dxa"/>
              <w:left w:w="80" w:type="dxa"/>
              <w:bottom w:w="80" w:type="dxa"/>
              <w:right w:w="80" w:type="dxa"/>
            </w:tcMar>
          </w:tcPr>
          <w:p w14:paraId="64B852B1" w14:textId="1AE8E19F"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w:t>
            </w:r>
          </w:p>
        </w:tc>
      </w:tr>
      <w:tr w:rsidR="00CE2E16" w:rsidRPr="00CE2E16" w14:paraId="0FAE47A5" w14:textId="77777777" w:rsidTr="00B2173F">
        <w:tc>
          <w:tcPr>
            <w:tcW w:w="1626" w:type="dxa"/>
            <w:tcMar>
              <w:top w:w="80" w:type="dxa"/>
              <w:left w:w="80" w:type="dxa"/>
              <w:bottom w:w="80" w:type="dxa"/>
              <w:right w:w="80" w:type="dxa"/>
            </w:tcMar>
          </w:tcPr>
          <w:p w14:paraId="2C51E5AB"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Victoria</w:t>
            </w:r>
          </w:p>
        </w:tc>
        <w:tc>
          <w:tcPr>
            <w:tcW w:w="2759" w:type="dxa"/>
            <w:tcMar>
              <w:top w:w="80" w:type="dxa"/>
              <w:left w:w="80" w:type="dxa"/>
              <w:bottom w:w="80" w:type="dxa"/>
              <w:right w:w="80" w:type="dxa"/>
            </w:tcMar>
          </w:tcPr>
          <w:p w14:paraId="5CE499F3" w14:textId="25EB2CD8" w:rsidR="00CE2E16" w:rsidRPr="006733F4" w:rsidRDefault="00ED1468" w:rsidP="00F839DB">
            <w:pPr>
              <w:pStyle w:val="ListParagraph"/>
              <w:numPr>
                <w:ilvl w:val="0"/>
                <w:numId w:val="196"/>
              </w:numPr>
              <w:spacing w:after="60"/>
              <w:contextualSpacing/>
              <w:rPr>
                <w:rFonts w:eastAsia="Calibri" w:cs="Arial"/>
                <w:sz w:val="14"/>
                <w:szCs w:val="14"/>
                <w:lang w:eastAsia="en-US"/>
              </w:rPr>
            </w:pPr>
            <w:r>
              <w:rPr>
                <w:rFonts w:eastAsia="Calibri" w:cs="Arial"/>
                <w:sz w:val="14"/>
                <w:szCs w:val="14"/>
                <w:lang w:eastAsia="en-US"/>
              </w:rPr>
              <w:t>Yes (limited)</w:t>
            </w:r>
          </w:p>
          <w:p w14:paraId="2AB080D8" w14:textId="41693885" w:rsidR="00CE2E16" w:rsidRPr="00922480" w:rsidRDefault="00CE2E16" w:rsidP="00F839DB">
            <w:pPr>
              <w:pStyle w:val="ListParagraph"/>
              <w:numPr>
                <w:ilvl w:val="0"/>
                <w:numId w:val="196"/>
              </w:numPr>
              <w:spacing w:after="60"/>
              <w:contextualSpacing/>
              <w:rPr>
                <w:rFonts w:eastAsia="Calibri" w:cs="Arial"/>
                <w:sz w:val="14"/>
                <w:szCs w:val="14"/>
                <w:lang w:eastAsia="en-US"/>
              </w:rPr>
            </w:pPr>
            <w:r w:rsidRPr="006733F4">
              <w:rPr>
                <w:rFonts w:eastAsia="Calibri" w:cs="Arial"/>
                <w:sz w:val="14"/>
                <w:szCs w:val="14"/>
                <w:lang w:eastAsia="en-US"/>
              </w:rPr>
              <w:t>Access to common law is for workers inju</w:t>
            </w:r>
            <w:r w:rsidR="00ED1468">
              <w:rPr>
                <w:rFonts w:eastAsia="Calibri" w:cs="Arial"/>
                <w:sz w:val="14"/>
                <w:szCs w:val="14"/>
                <w:lang w:eastAsia="en-US"/>
              </w:rPr>
              <w:t>red on or after 20 October 1999</w:t>
            </w:r>
          </w:p>
        </w:tc>
        <w:tc>
          <w:tcPr>
            <w:tcW w:w="2759" w:type="dxa"/>
            <w:tcMar>
              <w:top w:w="80" w:type="dxa"/>
              <w:left w:w="80" w:type="dxa"/>
              <w:bottom w:w="80" w:type="dxa"/>
              <w:right w:w="80" w:type="dxa"/>
            </w:tcMar>
          </w:tcPr>
          <w:p w14:paraId="504BA460" w14:textId="77777777" w:rsidR="00CE2E16" w:rsidRPr="006733F4" w:rsidRDefault="00CE2E16" w:rsidP="00F839DB">
            <w:pPr>
              <w:pStyle w:val="ListParagraph"/>
              <w:numPr>
                <w:ilvl w:val="0"/>
                <w:numId w:val="195"/>
              </w:numPr>
              <w:spacing w:after="60"/>
              <w:contextualSpacing/>
              <w:rPr>
                <w:rFonts w:eastAsia="Calibri" w:cs="Arial"/>
                <w:sz w:val="14"/>
                <w:szCs w:val="14"/>
                <w:lang w:eastAsia="en-US"/>
              </w:rPr>
            </w:pPr>
            <w:r w:rsidRPr="006733F4">
              <w:rPr>
                <w:rFonts w:eastAsia="Calibri" w:cs="Arial"/>
                <w:sz w:val="14"/>
                <w:szCs w:val="14"/>
                <w:lang w:eastAsia="en-US"/>
              </w:rPr>
              <w:t>Damages for pain and suffering and/or economic loss may be pursued. There are additional requirements to prove a permanent loss of 40% earning capacity to be able to pursue economic loss damages — Part 7 Division 5</w:t>
            </w:r>
          </w:p>
          <w:p w14:paraId="00EDE2C7" w14:textId="6530C8B5" w:rsidR="00CE2E16" w:rsidRPr="006733F4" w:rsidRDefault="00CE2E16" w:rsidP="00F839DB">
            <w:pPr>
              <w:pStyle w:val="ListParagraph"/>
              <w:numPr>
                <w:ilvl w:val="0"/>
                <w:numId w:val="195"/>
              </w:numPr>
              <w:spacing w:after="60"/>
              <w:contextualSpacing/>
              <w:rPr>
                <w:rFonts w:eastAsia="Calibri" w:cs="Arial"/>
                <w:sz w:val="14"/>
                <w:szCs w:val="14"/>
                <w:lang w:eastAsia="en-US"/>
              </w:rPr>
            </w:pPr>
            <w:r w:rsidRPr="006733F4">
              <w:rPr>
                <w:rFonts w:eastAsia="Calibri" w:cs="Arial"/>
                <w:sz w:val="14"/>
                <w:szCs w:val="14"/>
                <w:lang w:eastAsia="en-US"/>
              </w:rPr>
              <w:t xml:space="preserve">If pain and suffering damages are awarded the amount must be reduced by any lump sum impairment benefit paid — </w:t>
            </w:r>
            <w:hyperlink r:id="rId1349" w:history="1">
              <w:r w:rsidRPr="00197274">
                <w:rPr>
                  <w:rStyle w:val="Hyperlink"/>
                  <w:rFonts w:eastAsia="Calibri" w:cs="Arial"/>
                  <w:sz w:val="14"/>
                  <w:szCs w:val="14"/>
                  <w:lang w:eastAsia="en-US"/>
                </w:rPr>
                <w:t>s347</w:t>
              </w:r>
            </w:hyperlink>
            <w:r w:rsidR="00197274">
              <w:rPr>
                <w:rFonts w:eastAsia="Calibri" w:cs="Arial"/>
                <w:sz w:val="14"/>
                <w:szCs w:val="14"/>
                <w:lang w:eastAsia="en-US"/>
              </w:rPr>
              <w:t xml:space="preserve"> </w:t>
            </w:r>
            <w:r w:rsidR="00197274" w:rsidRPr="00016069">
              <w:rPr>
                <w:i/>
                <w:sz w:val="14"/>
              </w:rPr>
              <w:t>Workplace Injury Rehabilitation and Compensation Act 2013</w:t>
            </w:r>
          </w:p>
        </w:tc>
        <w:tc>
          <w:tcPr>
            <w:tcW w:w="2759" w:type="dxa"/>
            <w:tcMar>
              <w:top w:w="80" w:type="dxa"/>
              <w:left w:w="80" w:type="dxa"/>
              <w:bottom w:w="80" w:type="dxa"/>
              <w:right w:w="80" w:type="dxa"/>
            </w:tcMar>
          </w:tcPr>
          <w:p w14:paraId="41218EFC"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To obtain common law damages, a worker must first be granted a ‘serious injury’ certificate, either:</w:t>
            </w:r>
          </w:p>
          <w:p w14:paraId="3F773735" w14:textId="77777777" w:rsidR="00CE2E16" w:rsidRPr="006733F4" w:rsidRDefault="00CE2E16" w:rsidP="00F839DB">
            <w:pPr>
              <w:pStyle w:val="ListParagraph"/>
              <w:numPr>
                <w:ilvl w:val="0"/>
                <w:numId w:val="197"/>
              </w:numPr>
              <w:spacing w:after="60"/>
              <w:contextualSpacing/>
              <w:rPr>
                <w:rFonts w:eastAsia="Calibri" w:cs="Arial"/>
                <w:sz w:val="14"/>
                <w:szCs w:val="14"/>
                <w:lang w:eastAsia="en-US"/>
              </w:rPr>
            </w:pPr>
            <w:r w:rsidRPr="006733F4">
              <w:rPr>
                <w:rFonts w:eastAsia="Calibri" w:cs="Arial"/>
                <w:sz w:val="14"/>
                <w:szCs w:val="14"/>
                <w:lang w:eastAsia="en-US"/>
              </w:rPr>
              <w:t>During the impairment assessment process, be assessed as having a WPI of 30% or more (can combine physical and mental impairments), or</w:t>
            </w:r>
          </w:p>
          <w:p w14:paraId="5B8DD381" w14:textId="77777777" w:rsidR="00CE2E16" w:rsidRPr="006733F4" w:rsidRDefault="00CE2E16" w:rsidP="00F839DB">
            <w:pPr>
              <w:pStyle w:val="ListParagraph"/>
              <w:numPr>
                <w:ilvl w:val="0"/>
                <w:numId w:val="197"/>
              </w:numPr>
              <w:spacing w:after="60"/>
              <w:contextualSpacing/>
              <w:rPr>
                <w:rFonts w:eastAsia="Calibri" w:cs="Arial"/>
                <w:sz w:val="14"/>
                <w:szCs w:val="14"/>
                <w:lang w:eastAsia="en-US"/>
              </w:rPr>
            </w:pPr>
            <w:r w:rsidRPr="006733F4">
              <w:rPr>
                <w:rFonts w:eastAsia="Calibri" w:cs="Arial"/>
                <w:sz w:val="14"/>
                <w:szCs w:val="14"/>
                <w:lang w:eastAsia="en-US"/>
              </w:rPr>
              <w:t>WorkSafe Victoria or the County Court determines that the worker has a ‘serious injury’ pursuant to the narrative test — Part 7 Division 5.</w:t>
            </w:r>
          </w:p>
          <w:p w14:paraId="6AF7E13D" w14:textId="77777777" w:rsidR="00CE2E16" w:rsidRPr="006733F4" w:rsidRDefault="00CE2E16" w:rsidP="00F839DB">
            <w:pPr>
              <w:pStyle w:val="ListParagraph"/>
              <w:numPr>
                <w:ilvl w:val="0"/>
                <w:numId w:val="198"/>
              </w:numPr>
              <w:spacing w:after="60"/>
              <w:contextualSpacing/>
              <w:rPr>
                <w:rFonts w:eastAsia="Calibri" w:cs="Arial"/>
                <w:sz w:val="14"/>
                <w:szCs w:val="14"/>
                <w:lang w:eastAsia="en-US"/>
              </w:rPr>
            </w:pPr>
            <w:r w:rsidRPr="006733F4">
              <w:rPr>
                <w:rFonts w:eastAsia="Calibri" w:cs="Arial"/>
                <w:sz w:val="14"/>
                <w:szCs w:val="14"/>
                <w:lang w:eastAsia="en-US"/>
              </w:rPr>
              <w:t>A worker has the option of having their WPI assessed first or by-passing the impairment assessment process and relying on the narrative test. Either way, the worker must make a serious injury application and have that application accepted or rejected by WorkSafe Victoria before they can proceed to the next step.</w:t>
            </w:r>
          </w:p>
          <w:p w14:paraId="4288D825" w14:textId="26ED9B84" w:rsidR="00CE2E16" w:rsidRPr="006733F4" w:rsidRDefault="00CE2E16" w:rsidP="00F839DB">
            <w:pPr>
              <w:pStyle w:val="ListParagraph"/>
              <w:numPr>
                <w:ilvl w:val="0"/>
                <w:numId w:val="198"/>
              </w:numPr>
              <w:spacing w:after="60"/>
              <w:contextualSpacing/>
              <w:rPr>
                <w:rFonts w:eastAsia="Calibri" w:cs="Arial"/>
                <w:sz w:val="14"/>
                <w:szCs w:val="14"/>
                <w:lang w:eastAsia="en-US"/>
              </w:rPr>
            </w:pPr>
            <w:r w:rsidRPr="006733F4">
              <w:rPr>
                <w:rFonts w:eastAsia="Calibri" w:cs="Arial"/>
                <w:sz w:val="14"/>
                <w:szCs w:val="14"/>
                <w:lang w:eastAsia="en-US"/>
              </w:rPr>
              <w:t>If the worker’s impairment assessment is under 30% and/or their serious injury application relying on the narrative test has been rejected, the worker has 30 days to issue County Court proceedings for a Judge to determine whether they have a ‘serious injury’ on the narrative test</w:t>
            </w:r>
            <w:r w:rsidR="00DD0D68">
              <w:rPr>
                <w:rFonts w:eastAsia="Calibri" w:cs="Arial"/>
                <w:sz w:val="14"/>
                <w:szCs w:val="14"/>
                <w:lang w:eastAsia="en-US"/>
              </w:rPr>
              <w:t xml:space="preserve"> </w:t>
            </w:r>
            <w:r w:rsidRPr="006733F4">
              <w:rPr>
                <w:rFonts w:eastAsia="Calibri" w:cs="Arial"/>
                <w:sz w:val="14"/>
                <w:szCs w:val="14"/>
                <w:lang w:eastAsia="en-US"/>
              </w:rPr>
              <w:lastRenderedPageBreak/>
              <w:t>— Part 7 Division 5.</w:t>
            </w:r>
          </w:p>
          <w:p w14:paraId="16D8EE5E" w14:textId="4458E02E" w:rsidR="00CE2E16" w:rsidRPr="006733F4" w:rsidRDefault="00CE2E16" w:rsidP="00F839DB">
            <w:pPr>
              <w:pStyle w:val="ListParagraph"/>
              <w:numPr>
                <w:ilvl w:val="0"/>
                <w:numId w:val="198"/>
              </w:numPr>
              <w:spacing w:after="60"/>
              <w:contextualSpacing/>
              <w:rPr>
                <w:rFonts w:eastAsia="Calibri" w:cs="Arial"/>
                <w:sz w:val="14"/>
                <w:szCs w:val="14"/>
                <w:lang w:eastAsia="en-US"/>
              </w:rPr>
            </w:pPr>
            <w:r w:rsidRPr="006733F4">
              <w:rPr>
                <w:rFonts w:eastAsia="Calibri" w:cs="Arial"/>
                <w:sz w:val="14"/>
                <w:szCs w:val="14"/>
                <w:lang w:eastAsia="en-US"/>
              </w:rPr>
              <w:t>A worker can have a ‘serious injury’ that entitles them to pursue pain and suffering damages only and/or economic loss damages. To qualify for serious injury status for economic loss (if serious injury is determined under the narrative test) the worker must prove they have suffered and will continue to suffer a loss of earning capacity of 40% or more —</w:t>
            </w:r>
            <w:r w:rsidR="001B31D5">
              <w:rPr>
                <w:rFonts w:eastAsia="Calibri" w:cs="Arial"/>
                <w:sz w:val="14"/>
                <w:szCs w:val="14"/>
                <w:lang w:eastAsia="en-US"/>
              </w:rPr>
              <w:t xml:space="preserve"> </w:t>
            </w:r>
            <w:hyperlink r:id="rId1350" w:history="1">
              <w:r w:rsidRPr="00197274">
                <w:rPr>
                  <w:rStyle w:val="Hyperlink"/>
                  <w:rFonts w:eastAsia="Calibri" w:cs="Arial"/>
                  <w:sz w:val="14"/>
                  <w:szCs w:val="14"/>
                  <w:lang w:eastAsia="en-US"/>
                </w:rPr>
                <w:t>s325</w:t>
              </w:r>
            </w:hyperlink>
            <w:r w:rsidR="00E13D9F">
              <w:rPr>
                <w:rFonts w:eastAsia="Calibri" w:cs="Arial"/>
                <w:sz w:val="14"/>
                <w:szCs w:val="14"/>
                <w:lang w:eastAsia="en-US"/>
              </w:rPr>
              <w:t>.</w:t>
            </w:r>
          </w:p>
        </w:tc>
        <w:tc>
          <w:tcPr>
            <w:tcW w:w="2759" w:type="dxa"/>
            <w:tcMar>
              <w:top w:w="80" w:type="dxa"/>
              <w:left w:w="80" w:type="dxa"/>
              <w:bottom w:w="80" w:type="dxa"/>
              <w:right w:w="80" w:type="dxa"/>
            </w:tcMar>
          </w:tcPr>
          <w:p w14:paraId="1B3D4758"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lastRenderedPageBreak/>
              <w:t>—</w:t>
            </w:r>
          </w:p>
        </w:tc>
        <w:tc>
          <w:tcPr>
            <w:tcW w:w="2759" w:type="dxa"/>
            <w:tcMar>
              <w:top w:w="80" w:type="dxa"/>
              <w:left w:w="80" w:type="dxa"/>
              <w:bottom w:w="80" w:type="dxa"/>
              <w:right w:w="80" w:type="dxa"/>
            </w:tcMar>
          </w:tcPr>
          <w:p w14:paraId="18E6C17B" w14:textId="32E8A406" w:rsidR="00CE2E16" w:rsidRPr="006733F4" w:rsidRDefault="00CE2E16" w:rsidP="00F839DB">
            <w:pPr>
              <w:pStyle w:val="ListParagraph"/>
              <w:numPr>
                <w:ilvl w:val="0"/>
                <w:numId w:val="199"/>
              </w:numPr>
              <w:spacing w:after="60"/>
              <w:contextualSpacing/>
              <w:rPr>
                <w:rFonts w:eastAsia="Calibri" w:cs="Arial"/>
                <w:sz w:val="14"/>
                <w:szCs w:val="14"/>
                <w:lang w:eastAsia="en-US"/>
              </w:rPr>
            </w:pPr>
            <w:r w:rsidRPr="006733F4">
              <w:rPr>
                <w:rFonts w:eastAsia="Calibri" w:cs="Arial"/>
                <w:sz w:val="14"/>
                <w:szCs w:val="14"/>
                <w:lang w:eastAsia="en-US"/>
              </w:rPr>
              <w:t>Damages for pain and suffering must not be awarded if the amount is less than $58</w:t>
            </w:r>
            <w:r w:rsidR="00943989">
              <w:rPr>
                <w:rFonts w:eastAsia="Calibri" w:cs="Arial"/>
                <w:sz w:val="14"/>
                <w:szCs w:val="14"/>
                <w:lang w:eastAsia="en-US"/>
              </w:rPr>
              <w:t>,</w:t>
            </w:r>
            <w:r w:rsidR="000A7038">
              <w:rPr>
                <w:rFonts w:eastAsia="Calibri" w:cs="Arial"/>
                <w:sz w:val="14"/>
                <w:szCs w:val="14"/>
                <w:lang w:eastAsia="en-US"/>
              </w:rPr>
              <w:t>960</w:t>
            </w:r>
            <w:r w:rsidRPr="006733F4">
              <w:rPr>
                <w:rFonts w:eastAsia="Calibri" w:cs="Arial"/>
                <w:sz w:val="14"/>
                <w:szCs w:val="14"/>
                <w:lang w:eastAsia="en-US"/>
              </w:rPr>
              <w:t xml:space="preserve"> — </w:t>
            </w:r>
            <w:hyperlink r:id="rId1351" w:history="1">
              <w:r w:rsidR="00197274" w:rsidRPr="00197274">
                <w:rPr>
                  <w:rStyle w:val="Hyperlink"/>
                  <w:rFonts w:eastAsia="Calibri" w:cs="Arial"/>
                  <w:sz w:val="14"/>
                  <w:szCs w:val="14"/>
                  <w:lang w:eastAsia="en-US"/>
                </w:rPr>
                <w:t>s340</w:t>
              </w:r>
            </w:hyperlink>
          </w:p>
          <w:p w14:paraId="67993C3C" w14:textId="22152B30" w:rsidR="00CE2E16" w:rsidRPr="001B31D5" w:rsidRDefault="00CE2E16" w:rsidP="00F839DB">
            <w:pPr>
              <w:pStyle w:val="ListParagraph"/>
              <w:numPr>
                <w:ilvl w:val="0"/>
                <w:numId w:val="199"/>
              </w:numPr>
              <w:spacing w:after="60"/>
              <w:contextualSpacing/>
              <w:rPr>
                <w:rFonts w:eastAsia="Calibri" w:cs="Arial"/>
                <w:sz w:val="14"/>
                <w:szCs w:val="14"/>
                <w:lang w:eastAsia="en-US"/>
              </w:rPr>
            </w:pPr>
            <w:r w:rsidRPr="001B31D5">
              <w:rPr>
                <w:rFonts w:eastAsia="Calibri" w:cs="Arial"/>
                <w:sz w:val="14"/>
                <w:szCs w:val="14"/>
                <w:lang w:eastAsia="en-US"/>
              </w:rPr>
              <w:t>Maximum amount for pa</w:t>
            </w:r>
            <w:r w:rsidR="00F01EE8">
              <w:rPr>
                <w:rFonts w:eastAsia="Calibri" w:cs="Arial"/>
                <w:sz w:val="14"/>
                <w:szCs w:val="14"/>
                <w:lang w:eastAsia="en-US"/>
              </w:rPr>
              <w:t>in and suffering damages is $598</w:t>
            </w:r>
            <w:r w:rsidR="00943989">
              <w:rPr>
                <w:rFonts w:eastAsia="Calibri" w:cs="Arial"/>
                <w:sz w:val="14"/>
                <w:szCs w:val="14"/>
                <w:lang w:eastAsia="en-US"/>
              </w:rPr>
              <w:t>,</w:t>
            </w:r>
            <w:r w:rsidR="000A7038">
              <w:rPr>
                <w:rFonts w:eastAsia="Calibri" w:cs="Arial"/>
                <w:sz w:val="14"/>
                <w:szCs w:val="14"/>
                <w:lang w:eastAsia="en-US"/>
              </w:rPr>
              <w:t>36</w:t>
            </w:r>
            <w:r w:rsidRPr="001B31D5">
              <w:rPr>
                <w:rFonts w:eastAsia="Calibri" w:cs="Arial"/>
                <w:sz w:val="14"/>
                <w:szCs w:val="14"/>
                <w:lang w:eastAsia="en-US"/>
              </w:rPr>
              <w:t>0</w:t>
            </w:r>
            <w:r w:rsidR="001B31D5">
              <w:rPr>
                <w:rFonts w:eastAsia="Calibri" w:cs="Arial"/>
                <w:sz w:val="14"/>
                <w:szCs w:val="14"/>
                <w:lang w:eastAsia="en-US"/>
              </w:rPr>
              <w:t xml:space="preserve"> </w:t>
            </w:r>
            <w:r w:rsidRPr="001B31D5">
              <w:rPr>
                <w:rFonts w:eastAsia="Calibri" w:cs="Arial"/>
                <w:sz w:val="14"/>
                <w:szCs w:val="14"/>
                <w:lang w:eastAsia="en-US"/>
              </w:rPr>
              <w:t xml:space="preserve">— </w:t>
            </w:r>
            <w:hyperlink r:id="rId1352" w:history="1">
              <w:r w:rsidRPr="00197274">
                <w:rPr>
                  <w:rStyle w:val="Hyperlink"/>
                  <w:rFonts w:eastAsia="Calibri" w:cs="Arial"/>
                  <w:sz w:val="14"/>
                  <w:szCs w:val="14"/>
                  <w:lang w:eastAsia="en-US"/>
                </w:rPr>
                <w:t>s340</w:t>
              </w:r>
            </w:hyperlink>
          </w:p>
          <w:p w14:paraId="7CA8BE9B" w14:textId="1FD89F17" w:rsidR="00CE2E16" w:rsidRPr="001B31D5" w:rsidRDefault="00CE2E16" w:rsidP="00F839DB">
            <w:pPr>
              <w:pStyle w:val="ListParagraph"/>
              <w:numPr>
                <w:ilvl w:val="0"/>
                <w:numId w:val="199"/>
              </w:numPr>
              <w:spacing w:after="60"/>
              <w:contextualSpacing/>
              <w:rPr>
                <w:rFonts w:eastAsia="Calibri" w:cs="Arial"/>
                <w:sz w:val="14"/>
                <w:szCs w:val="14"/>
                <w:lang w:eastAsia="en-US"/>
              </w:rPr>
            </w:pPr>
            <w:r w:rsidRPr="001B31D5">
              <w:rPr>
                <w:rFonts w:eastAsia="Calibri" w:cs="Arial"/>
                <w:sz w:val="14"/>
                <w:szCs w:val="14"/>
                <w:lang w:eastAsia="en-US"/>
              </w:rPr>
              <w:t>Damages for economic loss must not be awarded if the amount is less than $</w:t>
            </w:r>
            <w:r w:rsidR="000A7038">
              <w:rPr>
                <w:rFonts w:eastAsia="Calibri" w:cs="Arial"/>
                <w:sz w:val="14"/>
                <w:szCs w:val="14"/>
                <w:lang w:eastAsia="en-US"/>
              </w:rPr>
              <w:t>61,040</w:t>
            </w:r>
            <w:r w:rsidRPr="001B31D5">
              <w:rPr>
                <w:rFonts w:eastAsia="Calibri" w:cs="Arial"/>
                <w:sz w:val="14"/>
                <w:szCs w:val="14"/>
                <w:lang w:eastAsia="en-US"/>
              </w:rPr>
              <w:t xml:space="preserve"> — </w:t>
            </w:r>
            <w:hyperlink r:id="rId1353" w:history="1">
              <w:r w:rsidR="00197274" w:rsidRPr="00197274">
                <w:rPr>
                  <w:rStyle w:val="Hyperlink"/>
                  <w:rFonts w:eastAsia="Calibri" w:cs="Arial"/>
                  <w:sz w:val="14"/>
                  <w:szCs w:val="14"/>
                  <w:lang w:eastAsia="en-US"/>
                </w:rPr>
                <w:t>s340</w:t>
              </w:r>
            </w:hyperlink>
          </w:p>
          <w:p w14:paraId="70A54754" w14:textId="4BA02C98" w:rsidR="00CE2E16" w:rsidRPr="006733F4" w:rsidRDefault="00CE2E16" w:rsidP="00F839DB">
            <w:pPr>
              <w:pStyle w:val="ListParagraph"/>
              <w:numPr>
                <w:ilvl w:val="0"/>
                <w:numId w:val="199"/>
              </w:numPr>
              <w:spacing w:after="60"/>
              <w:contextualSpacing/>
              <w:rPr>
                <w:rFonts w:eastAsia="Calibri" w:cs="Arial"/>
                <w:sz w:val="14"/>
                <w:szCs w:val="14"/>
                <w:lang w:eastAsia="en-US"/>
              </w:rPr>
            </w:pPr>
            <w:r w:rsidRPr="006733F4">
              <w:rPr>
                <w:rFonts w:eastAsia="Calibri" w:cs="Arial"/>
                <w:sz w:val="14"/>
                <w:szCs w:val="14"/>
                <w:lang w:eastAsia="en-US"/>
              </w:rPr>
              <w:t>Maximum amount for economic loss damages is $1</w:t>
            </w:r>
            <w:r w:rsidR="00943989">
              <w:rPr>
                <w:rFonts w:eastAsia="Calibri" w:cs="Arial"/>
                <w:sz w:val="14"/>
                <w:szCs w:val="14"/>
                <w:lang w:eastAsia="en-US"/>
              </w:rPr>
              <w:t>,</w:t>
            </w:r>
            <w:r w:rsidRPr="006733F4">
              <w:rPr>
                <w:rFonts w:eastAsia="Calibri" w:cs="Arial"/>
                <w:sz w:val="14"/>
                <w:szCs w:val="14"/>
                <w:lang w:eastAsia="en-US"/>
              </w:rPr>
              <w:t>3</w:t>
            </w:r>
            <w:r w:rsidR="000A7038">
              <w:rPr>
                <w:rFonts w:eastAsia="Calibri" w:cs="Arial"/>
                <w:sz w:val="14"/>
                <w:szCs w:val="14"/>
                <w:lang w:eastAsia="en-US"/>
              </w:rPr>
              <w:t>7</w:t>
            </w:r>
            <w:r w:rsidRPr="006733F4">
              <w:rPr>
                <w:rFonts w:eastAsia="Calibri" w:cs="Arial"/>
                <w:sz w:val="14"/>
                <w:szCs w:val="14"/>
                <w:lang w:eastAsia="en-US"/>
              </w:rPr>
              <w:t>4</w:t>
            </w:r>
            <w:r w:rsidR="00943989">
              <w:rPr>
                <w:rFonts w:eastAsia="Calibri" w:cs="Arial"/>
                <w:sz w:val="14"/>
                <w:szCs w:val="14"/>
                <w:lang w:eastAsia="en-US"/>
              </w:rPr>
              <w:t>,</w:t>
            </w:r>
            <w:r w:rsidRPr="006733F4">
              <w:rPr>
                <w:rFonts w:eastAsia="Calibri" w:cs="Arial"/>
                <w:sz w:val="14"/>
                <w:szCs w:val="14"/>
                <w:lang w:eastAsia="en-US"/>
              </w:rPr>
              <w:t>3</w:t>
            </w:r>
            <w:r w:rsidR="000A7038">
              <w:rPr>
                <w:rFonts w:eastAsia="Calibri" w:cs="Arial"/>
                <w:sz w:val="14"/>
                <w:szCs w:val="14"/>
                <w:lang w:eastAsia="en-US"/>
              </w:rPr>
              <w:t>7</w:t>
            </w:r>
            <w:r w:rsidRPr="006733F4">
              <w:rPr>
                <w:rFonts w:eastAsia="Calibri" w:cs="Arial"/>
                <w:sz w:val="14"/>
                <w:szCs w:val="14"/>
                <w:lang w:eastAsia="en-US"/>
              </w:rPr>
              <w:t xml:space="preserve">0 — </w:t>
            </w:r>
            <w:hyperlink r:id="rId1354" w:history="1">
              <w:r w:rsidR="00197274" w:rsidRPr="00197274">
                <w:rPr>
                  <w:rStyle w:val="Hyperlink"/>
                  <w:rFonts w:eastAsia="Calibri" w:cs="Arial"/>
                  <w:sz w:val="14"/>
                  <w:szCs w:val="14"/>
                  <w:lang w:eastAsia="en-US"/>
                </w:rPr>
                <w:t>s340</w:t>
              </w:r>
            </w:hyperlink>
            <w:r w:rsidR="00E13D9F">
              <w:rPr>
                <w:rFonts w:eastAsia="Calibri" w:cs="Arial"/>
                <w:sz w:val="14"/>
                <w:szCs w:val="14"/>
                <w:lang w:eastAsia="en-US"/>
              </w:rPr>
              <w:t>.</w:t>
            </w:r>
          </w:p>
        </w:tc>
      </w:tr>
      <w:tr w:rsidR="00CE2E16" w:rsidRPr="00CE2E16" w14:paraId="40EA569E" w14:textId="77777777" w:rsidTr="00B2173F">
        <w:tc>
          <w:tcPr>
            <w:tcW w:w="1626" w:type="dxa"/>
            <w:shd w:val="clear" w:color="auto" w:fill="FFC9C9"/>
            <w:tcMar>
              <w:top w:w="80" w:type="dxa"/>
              <w:left w:w="80" w:type="dxa"/>
              <w:bottom w:w="80" w:type="dxa"/>
              <w:right w:w="80" w:type="dxa"/>
            </w:tcMar>
          </w:tcPr>
          <w:p w14:paraId="2BFF4E99"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Queensland</w:t>
            </w:r>
          </w:p>
        </w:tc>
        <w:tc>
          <w:tcPr>
            <w:tcW w:w="2759" w:type="dxa"/>
            <w:shd w:val="clear" w:color="auto" w:fill="FFC9C9"/>
            <w:tcMar>
              <w:top w:w="80" w:type="dxa"/>
              <w:left w:w="80" w:type="dxa"/>
              <w:bottom w:w="80" w:type="dxa"/>
              <w:right w:w="80" w:type="dxa"/>
            </w:tcMar>
          </w:tcPr>
          <w:p w14:paraId="7E1E4785" w14:textId="2F68B8B0" w:rsidR="00CE2E16" w:rsidRPr="00CE2E16" w:rsidRDefault="00922480" w:rsidP="00292A53">
            <w:pPr>
              <w:spacing w:after="60"/>
              <w:rPr>
                <w:rFonts w:cs="Arial"/>
                <w:color w:val="000000"/>
                <w:sz w:val="14"/>
                <w:szCs w:val="16"/>
                <w:lang w:val="en-GB"/>
              </w:rPr>
            </w:pPr>
            <w:r>
              <w:rPr>
                <w:rFonts w:cs="Arial"/>
                <w:color w:val="000000"/>
                <w:sz w:val="14"/>
                <w:szCs w:val="16"/>
                <w:lang w:val="en-GB"/>
              </w:rPr>
              <w:t>Yes</w:t>
            </w:r>
          </w:p>
        </w:tc>
        <w:tc>
          <w:tcPr>
            <w:tcW w:w="2759" w:type="dxa"/>
            <w:shd w:val="clear" w:color="auto" w:fill="FFC9C9"/>
            <w:tcMar>
              <w:top w:w="80" w:type="dxa"/>
              <w:left w:w="80" w:type="dxa"/>
              <w:bottom w:w="80" w:type="dxa"/>
              <w:right w:w="80" w:type="dxa"/>
            </w:tcMar>
          </w:tcPr>
          <w:p w14:paraId="6AAAA9C8" w14:textId="5A9B6890"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General damages based on ISV scale — </w:t>
            </w:r>
            <w:hyperlink r:id="rId1355" w:anchor="sec.306O" w:history="1">
              <w:r w:rsidRPr="00197274">
                <w:rPr>
                  <w:rStyle w:val="Hyperlink"/>
                  <w:rFonts w:cs="Arial"/>
                  <w:sz w:val="14"/>
                  <w:szCs w:val="16"/>
                  <w:lang w:val="en-GB"/>
                </w:rPr>
                <w:t>s306O</w:t>
              </w:r>
            </w:hyperlink>
            <w:r w:rsidR="00197274">
              <w:rPr>
                <w:rFonts w:cs="Arial"/>
                <w:color w:val="000000"/>
                <w:sz w:val="14"/>
                <w:szCs w:val="16"/>
                <w:lang w:val="en-GB"/>
              </w:rPr>
              <w:t xml:space="preserve"> </w:t>
            </w:r>
            <w:r w:rsidR="00197274" w:rsidRPr="00016069">
              <w:rPr>
                <w:i/>
                <w:sz w:val="14"/>
              </w:rPr>
              <w:t>Workers’ Compensation and Rehabilitation Act 2003</w:t>
            </w:r>
          </w:p>
          <w:p w14:paraId="30405039" w14:textId="50517CE3" w:rsidR="00CE2E16" w:rsidRPr="00CE2E16" w:rsidRDefault="00995647" w:rsidP="00292A53">
            <w:pPr>
              <w:spacing w:after="60"/>
              <w:rPr>
                <w:rFonts w:cs="Arial"/>
                <w:color w:val="000000"/>
                <w:sz w:val="14"/>
                <w:szCs w:val="16"/>
                <w:lang w:val="en-GB"/>
              </w:rPr>
            </w:pPr>
            <w:r>
              <w:rPr>
                <w:rFonts w:cs="Arial"/>
                <w:color w:val="000000"/>
                <w:sz w:val="14"/>
                <w:szCs w:val="16"/>
                <w:lang w:val="en-GB"/>
              </w:rPr>
              <w:t>E</w:t>
            </w:r>
            <w:r w:rsidR="00CE2E16" w:rsidRPr="00CE2E16">
              <w:rPr>
                <w:rFonts w:cs="Arial"/>
                <w:color w:val="000000"/>
                <w:sz w:val="14"/>
                <w:szCs w:val="16"/>
                <w:lang w:val="en-GB"/>
              </w:rPr>
              <w:t xml:space="preserve">conomic loss </w:t>
            </w:r>
            <w:r>
              <w:rPr>
                <w:rFonts w:cs="Arial"/>
                <w:color w:val="000000"/>
                <w:sz w:val="14"/>
                <w:szCs w:val="16"/>
                <w:lang w:val="en-GB"/>
              </w:rPr>
              <w:t xml:space="preserve">(capped </w:t>
            </w:r>
            <w:r w:rsidR="00CE2E16" w:rsidRPr="00CE2E16">
              <w:rPr>
                <w:rFonts w:cs="Arial"/>
                <w:color w:val="000000"/>
                <w:sz w:val="14"/>
                <w:szCs w:val="16"/>
                <w:lang w:val="en-GB"/>
              </w:rPr>
              <w:t xml:space="preserve">at 3 times QOTE — </w:t>
            </w:r>
            <w:hyperlink r:id="rId1356" w:anchor="sec.306I" w:history="1">
              <w:r w:rsidR="00CE2E16" w:rsidRPr="00197274">
                <w:rPr>
                  <w:rStyle w:val="Hyperlink"/>
                  <w:rFonts w:cs="Arial"/>
                  <w:sz w:val="14"/>
                  <w:szCs w:val="16"/>
                  <w:lang w:val="en-GB"/>
                </w:rPr>
                <w:t>s306I</w:t>
              </w:r>
            </w:hyperlink>
            <w:r>
              <w:rPr>
                <w:rFonts w:cs="Arial"/>
                <w:color w:val="000000"/>
                <w:sz w:val="14"/>
                <w:szCs w:val="16"/>
                <w:lang w:val="en-GB"/>
              </w:rPr>
              <w:t>)</w:t>
            </w:r>
          </w:p>
          <w:p w14:paraId="2E526A22"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 damages available for gratuitous services.</w:t>
            </w:r>
          </w:p>
        </w:tc>
        <w:tc>
          <w:tcPr>
            <w:tcW w:w="2759" w:type="dxa"/>
            <w:shd w:val="clear" w:color="auto" w:fill="FFC9C9"/>
            <w:tcMar>
              <w:top w:w="80" w:type="dxa"/>
              <w:left w:w="80" w:type="dxa"/>
              <w:bottom w:w="80" w:type="dxa"/>
              <w:right w:w="80" w:type="dxa"/>
            </w:tcMar>
          </w:tcPr>
          <w:p w14:paraId="2ABE6282" w14:textId="002ABE71"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If the worker has a degree of permanent impairment (DPI) of less than 20% the worker must decide to either accept the lump sum payment or seek damages — </w:t>
            </w:r>
            <w:hyperlink r:id="rId1357" w:anchor="sec.189" w:history="1">
              <w:r w:rsidRPr="00197274">
                <w:rPr>
                  <w:rStyle w:val="Hyperlink"/>
                  <w:rFonts w:cs="Arial"/>
                  <w:sz w:val="14"/>
                  <w:szCs w:val="16"/>
                  <w:lang w:val="en-GB"/>
                </w:rPr>
                <w:t>s189</w:t>
              </w:r>
            </w:hyperlink>
            <w:r w:rsidR="00E13D9F">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64D5EBFE"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Yes</w:t>
            </w:r>
          </w:p>
        </w:tc>
        <w:tc>
          <w:tcPr>
            <w:tcW w:w="2759" w:type="dxa"/>
            <w:shd w:val="clear" w:color="auto" w:fill="FFC9C9"/>
            <w:tcMar>
              <w:top w:w="80" w:type="dxa"/>
              <w:left w:w="80" w:type="dxa"/>
              <w:bottom w:w="80" w:type="dxa"/>
              <w:right w:w="80" w:type="dxa"/>
            </w:tcMar>
          </w:tcPr>
          <w:p w14:paraId="7DCB5626" w14:textId="64AD7A51" w:rsidR="00CE2E16" w:rsidRPr="006733F4" w:rsidRDefault="00CE2E16" w:rsidP="00F839DB">
            <w:pPr>
              <w:pStyle w:val="ListParagraph"/>
              <w:numPr>
                <w:ilvl w:val="0"/>
                <w:numId w:val="200"/>
              </w:numPr>
              <w:spacing w:after="60"/>
              <w:contextualSpacing/>
              <w:rPr>
                <w:rFonts w:eastAsia="Calibri" w:cs="Arial"/>
                <w:sz w:val="14"/>
                <w:szCs w:val="14"/>
                <w:lang w:eastAsia="en-US"/>
              </w:rPr>
            </w:pPr>
            <w:r w:rsidRPr="006733F4">
              <w:rPr>
                <w:rFonts w:eastAsia="Calibri" w:cs="Arial"/>
                <w:sz w:val="14"/>
                <w:szCs w:val="14"/>
                <w:lang w:eastAsia="en-US"/>
              </w:rPr>
              <w:t>General damages (pain and suffering) capped at $</w:t>
            </w:r>
            <w:r w:rsidR="00995647">
              <w:rPr>
                <w:rFonts w:eastAsia="Calibri" w:cs="Arial"/>
                <w:sz w:val="14"/>
                <w:szCs w:val="14"/>
                <w:lang w:eastAsia="en-US"/>
              </w:rPr>
              <w:t>355,400</w:t>
            </w:r>
            <w:r w:rsidRPr="006733F4">
              <w:rPr>
                <w:rFonts w:eastAsia="Calibri" w:cs="Arial"/>
                <w:sz w:val="14"/>
                <w:szCs w:val="14"/>
                <w:lang w:eastAsia="en-US"/>
              </w:rPr>
              <w:t>.</w:t>
            </w:r>
          </w:p>
          <w:p w14:paraId="7CB4D8B3" w14:textId="4EA0AE22" w:rsidR="00CE2E16" w:rsidRPr="006733F4" w:rsidRDefault="00CE2E16" w:rsidP="00F839DB">
            <w:pPr>
              <w:pStyle w:val="ListParagraph"/>
              <w:numPr>
                <w:ilvl w:val="0"/>
                <w:numId w:val="200"/>
              </w:numPr>
              <w:spacing w:after="60"/>
              <w:contextualSpacing/>
              <w:rPr>
                <w:rFonts w:eastAsia="Calibri" w:cs="Arial"/>
                <w:sz w:val="14"/>
                <w:szCs w:val="14"/>
                <w:lang w:eastAsia="en-US"/>
              </w:rPr>
            </w:pPr>
            <w:r w:rsidRPr="006733F4">
              <w:rPr>
                <w:rFonts w:eastAsia="Calibri" w:cs="Arial"/>
                <w:sz w:val="14"/>
                <w:szCs w:val="14"/>
                <w:lang w:eastAsia="en-US"/>
              </w:rPr>
              <w:t>Loss of earnings capped at 3 times QOTE ($</w:t>
            </w:r>
            <w:r w:rsidR="00995647">
              <w:rPr>
                <w:rFonts w:eastAsia="Calibri" w:cs="Arial"/>
                <w:sz w:val="14"/>
                <w:szCs w:val="14"/>
                <w:lang w:eastAsia="en-US"/>
              </w:rPr>
              <w:t>4,446.30</w:t>
            </w:r>
            <w:r w:rsidRPr="006733F4">
              <w:rPr>
                <w:rFonts w:eastAsia="Calibri" w:cs="Arial"/>
                <w:sz w:val="14"/>
                <w:szCs w:val="14"/>
                <w:lang w:eastAsia="en-US"/>
              </w:rPr>
              <w:t>) per week for each week of the period of loss of earnings.</w:t>
            </w:r>
          </w:p>
        </w:tc>
      </w:tr>
      <w:tr w:rsidR="00CE2E16" w:rsidRPr="00CE2E16" w14:paraId="24735F27" w14:textId="77777777" w:rsidTr="00B2173F">
        <w:tc>
          <w:tcPr>
            <w:tcW w:w="1626" w:type="dxa"/>
            <w:tcMar>
              <w:top w:w="80" w:type="dxa"/>
              <w:left w:w="80" w:type="dxa"/>
              <w:bottom w:w="80" w:type="dxa"/>
              <w:right w:w="80" w:type="dxa"/>
            </w:tcMar>
          </w:tcPr>
          <w:p w14:paraId="7909D485"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Western Australia</w:t>
            </w:r>
          </w:p>
        </w:tc>
        <w:tc>
          <w:tcPr>
            <w:tcW w:w="2759" w:type="dxa"/>
            <w:tcMar>
              <w:top w:w="80" w:type="dxa"/>
              <w:left w:w="80" w:type="dxa"/>
              <w:bottom w:w="80" w:type="dxa"/>
              <w:right w:w="80" w:type="dxa"/>
            </w:tcMar>
          </w:tcPr>
          <w:p w14:paraId="4EBDD49D" w14:textId="5F821453" w:rsidR="00CE2E16" w:rsidRPr="00CE2E16" w:rsidRDefault="000C4391" w:rsidP="00292A53">
            <w:pPr>
              <w:spacing w:after="60"/>
              <w:rPr>
                <w:rFonts w:cs="Arial"/>
                <w:color w:val="000000"/>
                <w:sz w:val="14"/>
                <w:szCs w:val="16"/>
                <w:lang w:val="en-GB"/>
              </w:rPr>
            </w:pPr>
            <w:r>
              <w:rPr>
                <w:rFonts w:cs="Arial"/>
                <w:color w:val="000000"/>
                <w:sz w:val="14"/>
                <w:szCs w:val="16"/>
                <w:lang w:val="en-GB"/>
              </w:rPr>
              <w:t>Yes (limited)</w:t>
            </w:r>
          </w:p>
        </w:tc>
        <w:tc>
          <w:tcPr>
            <w:tcW w:w="2759" w:type="dxa"/>
            <w:tcMar>
              <w:top w:w="80" w:type="dxa"/>
              <w:left w:w="80" w:type="dxa"/>
              <w:bottom w:w="80" w:type="dxa"/>
              <w:right w:w="80" w:type="dxa"/>
            </w:tcMar>
          </w:tcPr>
          <w:p w14:paraId="639266E5" w14:textId="3CC2B362"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Damages available for both</w:t>
            </w:r>
            <w:r w:rsidR="00ED1468">
              <w:rPr>
                <w:rFonts w:cs="Arial"/>
                <w:color w:val="000000"/>
                <w:sz w:val="14"/>
                <w:szCs w:val="16"/>
                <w:lang w:val="en-GB"/>
              </w:rPr>
              <w:t xml:space="preserve"> economic and non-economic loss</w:t>
            </w:r>
          </w:p>
        </w:tc>
        <w:tc>
          <w:tcPr>
            <w:tcW w:w="2759" w:type="dxa"/>
            <w:tcMar>
              <w:top w:w="80" w:type="dxa"/>
              <w:left w:w="80" w:type="dxa"/>
              <w:bottom w:w="80" w:type="dxa"/>
              <w:right w:w="80" w:type="dxa"/>
            </w:tcMar>
          </w:tcPr>
          <w:p w14:paraId="0282538F" w14:textId="77777777" w:rsidR="00CE2E16" w:rsidRPr="00C17AFB" w:rsidRDefault="00CE2E16" w:rsidP="00F839DB">
            <w:pPr>
              <w:pStyle w:val="ListParagraph"/>
              <w:numPr>
                <w:ilvl w:val="0"/>
                <w:numId w:val="201"/>
              </w:numPr>
              <w:spacing w:after="60"/>
              <w:contextualSpacing/>
              <w:rPr>
                <w:rFonts w:eastAsia="Calibri" w:cs="Arial"/>
                <w:sz w:val="14"/>
                <w:szCs w:val="14"/>
                <w:lang w:eastAsia="en-US"/>
              </w:rPr>
            </w:pPr>
            <w:r w:rsidRPr="006733F4">
              <w:rPr>
                <w:rFonts w:eastAsia="Calibri" w:cs="Arial"/>
                <w:sz w:val="14"/>
                <w:szCs w:val="14"/>
                <w:lang w:eastAsia="en-US"/>
              </w:rPr>
              <w:t>Access to common law is based on the worker’s degree of WPI. The threshold for accessing common law is not less than 15% WPI. Secondary psychological, psychiatric and sexual conditions are excluded — Part IV, Subdivision 3.</w:t>
            </w:r>
          </w:p>
        </w:tc>
        <w:tc>
          <w:tcPr>
            <w:tcW w:w="2759" w:type="dxa"/>
            <w:tcMar>
              <w:top w:w="80" w:type="dxa"/>
              <w:left w:w="80" w:type="dxa"/>
              <w:bottom w:w="80" w:type="dxa"/>
              <w:right w:w="80" w:type="dxa"/>
            </w:tcMar>
          </w:tcPr>
          <w:p w14:paraId="5CCC4BCC"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w:t>
            </w:r>
          </w:p>
        </w:tc>
        <w:tc>
          <w:tcPr>
            <w:tcW w:w="2759" w:type="dxa"/>
            <w:tcMar>
              <w:top w:w="80" w:type="dxa"/>
              <w:left w:w="80" w:type="dxa"/>
              <w:bottom w:w="80" w:type="dxa"/>
              <w:right w:w="80" w:type="dxa"/>
            </w:tcMar>
          </w:tcPr>
          <w:p w14:paraId="2484A974" w14:textId="30207E97" w:rsidR="00CE2E16" w:rsidRPr="006733F4" w:rsidRDefault="00CE2E16" w:rsidP="00F839DB">
            <w:pPr>
              <w:pStyle w:val="ListParagraph"/>
              <w:numPr>
                <w:ilvl w:val="0"/>
                <w:numId w:val="201"/>
              </w:numPr>
              <w:spacing w:after="60"/>
              <w:contextualSpacing/>
              <w:rPr>
                <w:rFonts w:eastAsia="Calibri" w:cs="Arial"/>
                <w:sz w:val="14"/>
                <w:szCs w:val="14"/>
                <w:lang w:eastAsia="en-US"/>
              </w:rPr>
            </w:pPr>
            <w:r w:rsidRPr="006733F4">
              <w:rPr>
                <w:rFonts w:eastAsia="Calibri" w:cs="Arial"/>
                <w:sz w:val="14"/>
                <w:szCs w:val="14"/>
                <w:lang w:eastAsia="en-US"/>
              </w:rPr>
              <w:t>Where a worker has a WPI of less than 25% the maximum amount of damages that may be awarded is $</w:t>
            </w:r>
            <w:r w:rsidR="00772275">
              <w:rPr>
                <w:rFonts w:eastAsia="Calibri" w:cs="Arial"/>
                <w:sz w:val="14"/>
                <w:szCs w:val="14"/>
                <w:lang w:eastAsia="en-US"/>
              </w:rPr>
              <w:t>472,337</w:t>
            </w:r>
            <w:r w:rsidRPr="006733F4">
              <w:rPr>
                <w:rFonts w:eastAsia="Calibri" w:cs="Arial"/>
                <w:sz w:val="14"/>
                <w:szCs w:val="14"/>
                <w:lang w:eastAsia="en-US"/>
              </w:rPr>
              <w:t xml:space="preserve"> (indexed annually) — </w:t>
            </w:r>
            <w:hyperlink r:id="rId1358" w:history="1">
              <w:r w:rsidRPr="00197274">
                <w:rPr>
                  <w:rStyle w:val="Hyperlink"/>
                  <w:rFonts w:eastAsia="Calibri" w:cs="Arial"/>
                  <w:sz w:val="14"/>
                  <w:szCs w:val="14"/>
                  <w:lang w:eastAsia="en-US"/>
                </w:rPr>
                <w:t>s93K</w:t>
              </w:r>
            </w:hyperlink>
            <w:r w:rsidR="00197274">
              <w:rPr>
                <w:rFonts w:eastAsia="Calibri" w:cs="Arial"/>
                <w:sz w:val="14"/>
                <w:szCs w:val="14"/>
                <w:lang w:eastAsia="en-US"/>
              </w:rPr>
              <w:t xml:space="preserve"> </w:t>
            </w:r>
            <w:r w:rsidR="00197274" w:rsidRPr="00016069">
              <w:rPr>
                <w:i/>
                <w:sz w:val="14"/>
              </w:rPr>
              <w:t>Workers’ Compensation and Injury Management Act 1981</w:t>
            </w:r>
          </w:p>
          <w:p w14:paraId="1065978B" w14:textId="2EC24482" w:rsidR="00CE2E16" w:rsidRPr="006733F4" w:rsidRDefault="00CE2E16" w:rsidP="00F839DB">
            <w:pPr>
              <w:pStyle w:val="ListParagraph"/>
              <w:numPr>
                <w:ilvl w:val="0"/>
                <w:numId w:val="201"/>
              </w:numPr>
              <w:spacing w:after="60"/>
              <w:contextualSpacing/>
              <w:rPr>
                <w:rFonts w:eastAsia="Calibri" w:cs="Arial"/>
                <w:sz w:val="14"/>
                <w:szCs w:val="14"/>
                <w:lang w:eastAsia="en-US"/>
              </w:rPr>
            </w:pPr>
            <w:r w:rsidRPr="006733F4">
              <w:rPr>
                <w:rFonts w:eastAsia="Calibri" w:cs="Arial"/>
                <w:sz w:val="14"/>
                <w:szCs w:val="14"/>
                <w:lang w:eastAsia="en-US"/>
              </w:rPr>
              <w:t>Unlimited common law is available to a worker with a WPI of greater than 25%</w:t>
            </w:r>
            <w:r w:rsidR="00E13D9F">
              <w:rPr>
                <w:rFonts w:eastAsia="Calibri" w:cs="Arial"/>
                <w:sz w:val="14"/>
                <w:szCs w:val="14"/>
                <w:lang w:eastAsia="en-US"/>
              </w:rPr>
              <w:t>.</w:t>
            </w:r>
          </w:p>
        </w:tc>
      </w:tr>
      <w:tr w:rsidR="00CE2E16" w:rsidRPr="00CE2E16" w14:paraId="3B0C4452" w14:textId="77777777" w:rsidTr="00B2173F">
        <w:tc>
          <w:tcPr>
            <w:tcW w:w="1626" w:type="dxa"/>
            <w:shd w:val="clear" w:color="auto" w:fill="FFC9C9"/>
            <w:tcMar>
              <w:top w:w="80" w:type="dxa"/>
              <w:left w:w="80" w:type="dxa"/>
              <w:bottom w:w="80" w:type="dxa"/>
              <w:right w:w="80" w:type="dxa"/>
            </w:tcMar>
          </w:tcPr>
          <w:p w14:paraId="791622B9"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South Australia</w:t>
            </w:r>
          </w:p>
        </w:tc>
        <w:tc>
          <w:tcPr>
            <w:tcW w:w="2759" w:type="dxa"/>
            <w:shd w:val="clear" w:color="auto" w:fill="FFC9C9"/>
            <w:tcMar>
              <w:top w:w="80" w:type="dxa"/>
              <w:left w:w="80" w:type="dxa"/>
              <w:bottom w:w="80" w:type="dxa"/>
              <w:right w:w="80" w:type="dxa"/>
            </w:tcMar>
          </w:tcPr>
          <w:p w14:paraId="613EFEF4" w14:textId="1C528C92"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Yes (limited)</w:t>
            </w:r>
          </w:p>
        </w:tc>
        <w:tc>
          <w:tcPr>
            <w:tcW w:w="2759" w:type="dxa"/>
            <w:shd w:val="clear" w:color="auto" w:fill="FFC9C9"/>
            <w:tcMar>
              <w:top w:w="80" w:type="dxa"/>
              <w:left w:w="80" w:type="dxa"/>
              <w:bottom w:w="80" w:type="dxa"/>
              <w:right w:w="80" w:type="dxa"/>
            </w:tcMar>
          </w:tcPr>
          <w:p w14:paraId="30F522E8" w14:textId="07AB710F" w:rsidR="00CE2E16" w:rsidRPr="00922480" w:rsidRDefault="00ED1468" w:rsidP="00292A53">
            <w:pPr>
              <w:spacing w:after="60"/>
              <w:rPr>
                <w:rFonts w:cs="Arial"/>
                <w:color w:val="000000"/>
                <w:sz w:val="14"/>
                <w:szCs w:val="16"/>
                <w:lang w:val="en-GB"/>
              </w:rPr>
            </w:pPr>
            <w:r>
              <w:rPr>
                <w:rFonts w:cs="Arial"/>
                <w:color w:val="000000"/>
                <w:sz w:val="14"/>
                <w:szCs w:val="16"/>
                <w:lang w:val="en-GB"/>
              </w:rPr>
              <w:t>Economic loss only</w:t>
            </w:r>
          </w:p>
        </w:tc>
        <w:tc>
          <w:tcPr>
            <w:tcW w:w="2759" w:type="dxa"/>
            <w:shd w:val="clear" w:color="auto" w:fill="FFC9C9"/>
            <w:tcMar>
              <w:top w:w="80" w:type="dxa"/>
              <w:left w:w="80" w:type="dxa"/>
              <w:bottom w:w="80" w:type="dxa"/>
              <w:right w:w="80" w:type="dxa"/>
            </w:tcMar>
          </w:tcPr>
          <w:p w14:paraId="4748F114" w14:textId="12B69FBA" w:rsidR="00CE2E16" w:rsidRPr="006733F4" w:rsidRDefault="00CE2E16" w:rsidP="00F839DB">
            <w:pPr>
              <w:pStyle w:val="ListParagraph"/>
              <w:numPr>
                <w:ilvl w:val="0"/>
                <w:numId w:val="202"/>
              </w:numPr>
              <w:spacing w:after="60"/>
              <w:contextualSpacing/>
              <w:rPr>
                <w:rFonts w:eastAsia="Calibri" w:cs="Arial"/>
                <w:sz w:val="14"/>
                <w:szCs w:val="14"/>
                <w:lang w:eastAsia="en-US"/>
              </w:rPr>
            </w:pPr>
            <w:r w:rsidRPr="006733F4">
              <w:rPr>
                <w:rFonts w:eastAsia="Calibri" w:cs="Arial"/>
                <w:sz w:val="14"/>
                <w:szCs w:val="14"/>
                <w:lang w:eastAsia="en-US"/>
              </w:rPr>
              <w:t xml:space="preserve">The </w:t>
            </w:r>
            <w:r w:rsidRPr="006733F4">
              <w:rPr>
                <w:rFonts w:eastAsia="Calibri" w:cs="Arial"/>
                <w:i/>
                <w:sz w:val="14"/>
                <w:szCs w:val="14"/>
                <w:lang w:eastAsia="en-US"/>
              </w:rPr>
              <w:t>Return to Work Act</w:t>
            </w:r>
            <w:r w:rsidRPr="00886185">
              <w:rPr>
                <w:rFonts w:eastAsia="Calibri" w:cs="Arial"/>
                <w:i/>
                <w:sz w:val="14"/>
                <w:szCs w:val="14"/>
                <w:lang w:eastAsia="en-US"/>
              </w:rPr>
              <w:t xml:space="preserve"> 2014</w:t>
            </w:r>
            <w:r w:rsidRPr="006733F4">
              <w:rPr>
                <w:rFonts w:eastAsia="Calibri" w:cs="Arial"/>
                <w:sz w:val="14"/>
                <w:szCs w:val="14"/>
                <w:lang w:eastAsia="en-US"/>
              </w:rPr>
              <w:t xml:space="preserve"> reintroduced limited common law rights for workers to claim damages from their employer. Damages cannot be awarded against an employer unless the worker’s injury results in whole person impairment </w:t>
            </w:r>
            <w:r w:rsidR="00FB2F19">
              <w:rPr>
                <w:rFonts w:eastAsia="Calibri" w:cs="Arial"/>
                <w:sz w:val="14"/>
                <w:szCs w:val="14"/>
                <w:lang w:eastAsia="en-US"/>
              </w:rPr>
              <w:t>of</w:t>
            </w:r>
            <w:r w:rsidRPr="006733F4">
              <w:rPr>
                <w:rFonts w:eastAsia="Calibri" w:cs="Arial"/>
                <w:sz w:val="14"/>
                <w:szCs w:val="14"/>
                <w:lang w:eastAsia="en-US"/>
              </w:rPr>
              <w:t xml:space="preserve"> 30% or more or the worker’s death. If damages are recovered no further compensation is generally payable and compensati</w:t>
            </w:r>
            <w:r w:rsidR="00197274">
              <w:rPr>
                <w:rFonts w:eastAsia="Calibri" w:cs="Arial"/>
                <w:sz w:val="14"/>
                <w:szCs w:val="14"/>
                <w:lang w:eastAsia="en-US"/>
              </w:rPr>
              <w:t>on already paid is repayable (</w:t>
            </w:r>
            <w:hyperlink r:id="rId1359" w:history="1">
              <w:r w:rsidR="00197274" w:rsidRPr="00197274">
                <w:rPr>
                  <w:rStyle w:val="Hyperlink"/>
                  <w:rFonts w:eastAsia="Calibri" w:cs="Arial"/>
                  <w:sz w:val="14"/>
                  <w:szCs w:val="14"/>
                  <w:lang w:eastAsia="en-US"/>
                </w:rPr>
                <w:t>s</w:t>
              </w:r>
              <w:r w:rsidRPr="00197274">
                <w:rPr>
                  <w:rStyle w:val="Hyperlink"/>
                  <w:rFonts w:eastAsia="Calibri" w:cs="Arial"/>
                  <w:sz w:val="14"/>
                  <w:szCs w:val="14"/>
                  <w:lang w:eastAsia="en-US"/>
                </w:rPr>
                <w:t>75</w:t>
              </w:r>
            </w:hyperlink>
            <w:r w:rsidRPr="006733F4">
              <w:rPr>
                <w:rFonts w:eastAsia="Calibri" w:cs="Arial"/>
                <w:sz w:val="14"/>
                <w:szCs w:val="14"/>
                <w:lang w:eastAsia="en-US"/>
              </w:rPr>
              <w:t>)</w:t>
            </w:r>
          </w:p>
          <w:p w14:paraId="54555B17" w14:textId="07038F3A" w:rsidR="00CE2E16" w:rsidRPr="00C17AFB" w:rsidRDefault="00CE2E16" w:rsidP="00F839DB">
            <w:pPr>
              <w:pStyle w:val="ListParagraph"/>
              <w:numPr>
                <w:ilvl w:val="0"/>
                <w:numId w:val="202"/>
              </w:numPr>
              <w:spacing w:after="60"/>
              <w:contextualSpacing/>
              <w:rPr>
                <w:rFonts w:eastAsia="Calibri" w:cs="Arial"/>
                <w:sz w:val="14"/>
                <w:szCs w:val="14"/>
                <w:lang w:eastAsia="en-US"/>
              </w:rPr>
            </w:pPr>
            <w:r w:rsidRPr="006733F4">
              <w:rPr>
                <w:rFonts w:eastAsia="Calibri" w:cs="Arial"/>
                <w:sz w:val="14"/>
                <w:szCs w:val="14"/>
                <w:lang w:eastAsia="en-US"/>
              </w:rPr>
              <w:t xml:space="preserve">In addition, in respect of a psychiatric injury, the injury must primarily be caused by the negligence or other tort of the worker’s employer and an employer is not liable for any consequential mental harm </w:t>
            </w:r>
            <w:r w:rsidR="00943989">
              <w:rPr>
                <w:rFonts w:eastAsia="Calibri" w:cs="Arial"/>
                <w:sz w:val="14"/>
                <w:szCs w:val="14"/>
                <w:lang w:eastAsia="en-US"/>
              </w:rPr>
              <w:t>—</w:t>
            </w:r>
            <w:r w:rsidR="00943989" w:rsidRPr="006733F4">
              <w:rPr>
                <w:rFonts w:eastAsia="Calibri" w:cs="Arial"/>
                <w:sz w:val="14"/>
                <w:szCs w:val="14"/>
                <w:lang w:eastAsia="en-US"/>
              </w:rPr>
              <w:t xml:space="preserve"> </w:t>
            </w:r>
            <w:hyperlink r:id="rId1360" w:history="1">
              <w:r w:rsidRPr="00197274">
                <w:rPr>
                  <w:rStyle w:val="Hyperlink"/>
                  <w:rFonts w:eastAsia="Calibri" w:cs="Arial"/>
                  <w:sz w:val="14"/>
                  <w:szCs w:val="14"/>
                  <w:lang w:eastAsia="en-US"/>
                </w:rPr>
                <w:t>s71(2)</w:t>
              </w:r>
            </w:hyperlink>
            <w:r w:rsidRPr="006733F4">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69945E7D" w14:textId="571CF9EE"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Yes</w:t>
            </w:r>
          </w:p>
        </w:tc>
        <w:tc>
          <w:tcPr>
            <w:tcW w:w="2759" w:type="dxa"/>
            <w:shd w:val="clear" w:color="auto" w:fill="FFC9C9"/>
            <w:tcMar>
              <w:top w:w="80" w:type="dxa"/>
              <w:left w:w="80" w:type="dxa"/>
              <w:bottom w:w="80" w:type="dxa"/>
              <w:right w:w="80" w:type="dxa"/>
            </w:tcMar>
          </w:tcPr>
          <w:p w14:paraId="7BF9D924" w14:textId="0DAD031E"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w:t>
            </w:r>
          </w:p>
        </w:tc>
      </w:tr>
      <w:tr w:rsidR="00CE2E16" w:rsidRPr="00CE2E16" w14:paraId="262B8147" w14:textId="77777777" w:rsidTr="00B2173F">
        <w:tc>
          <w:tcPr>
            <w:tcW w:w="1626" w:type="dxa"/>
            <w:tcMar>
              <w:top w:w="80" w:type="dxa"/>
              <w:left w:w="80" w:type="dxa"/>
              <w:bottom w:w="80" w:type="dxa"/>
              <w:right w:w="80" w:type="dxa"/>
            </w:tcMar>
          </w:tcPr>
          <w:p w14:paraId="60A5DC92"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Tasmania</w:t>
            </w:r>
          </w:p>
        </w:tc>
        <w:tc>
          <w:tcPr>
            <w:tcW w:w="2759" w:type="dxa"/>
            <w:tcMar>
              <w:top w:w="80" w:type="dxa"/>
              <w:left w:w="80" w:type="dxa"/>
              <w:bottom w:w="80" w:type="dxa"/>
              <w:right w:w="80" w:type="dxa"/>
            </w:tcMar>
          </w:tcPr>
          <w:p w14:paraId="1C830412" w14:textId="362D5302" w:rsidR="00CE2E16" w:rsidRPr="00CE2E16" w:rsidRDefault="00CF0AF3" w:rsidP="00292A53">
            <w:pPr>
              <w:spacing w:after="60"/>
              <w:rPr>
                <w:rFonts w:cs="Arial"/>
                <w:color w:val="000000"/>
                <w:sz w:val="14"/>
                <w:szCs w:val="16"/>
                <w:lang w:val="en-GB"/>
              </w:rPr>
            </w:pPr>
            <w:r>
              <w:rPr>
                <w:rFonts w:cs="Arial"/>
                <w:color w:val="000000"/>
                <w:sz w:val="14"/>
                <w:szCs w:val="16"/>
                <w:lang w:val="en-GB"/>
              </w:rPr>
              <w:t>Yes (limited)</w:t>
            </w:r>
            <w:r w:rsidR="00CE2E16" w:rsidRPr="00CE2E16">
              <w:rPr>
                <w:rFonts w:cs="Arial"/>
                <w:color w:val="000000"/>
                <w:sz w:val="14"/>
                <w:szCs w:val="16"/>
                <w:lang w:val="en-GB"/>
              </w:rPr>
              <w:t xml:space="preserve"> — </w:t>
            </w:r>
            <w:hyperlink r:id="rId1361" w:history="1">
              <w:r w:rsidR="00CE2E16" w:rsidRPr="00CE2E16">
                <w:rPr>
                  <w:rFonts w:cs="Arial"/>
                  <w:color w:val="0000FF"/>
                  <w:sz w:val="14"/>
                  <w:szCs w:val="16"/>
                  <w:u w:val="single"/>
                  <w:lang w:val="en-GB"/>
                </w:rPr>
                <w:t>Part X</w:t>
              </w:r>
            </w:hyperlink>
          </w:p>
        </w:tc>
        <w:tc>
          <w:tcPr>
            <w:tcW w:w="2759" w:type="dxa"/>
            <w:tcMar>
              <w:top w:w="80" w:type="dxa"/>
              <w:left w:w="80" w:type="dxa"/>
              <w:bottom w:w="80" w:type="dxa"/>
              <w:right w:w="80" w:type="dxa"/>
            </w:tcMar>
          </w:tcPr>
          <w:p w14:paraId="5392A67E" w14:textId="3AD46E36" w:rsidR="00CE2E16" w:rsidRPr="00CE2E16" w:rsidRDefault="00CE2E16" w:rsidP="00943989">
            <w:pPr>
              <w:spacing w:after="60"/>
              <w:rPr>
                <w:rFonts w:cs="Arial"/>
                <w:color w:val="000000"/>
                <w:sz w:val="14"/>
                <w:szCs w:val="16"/>
                <w:lang w:val="en-GB"/>
              </w:rPr>
            </w:pPr>
            <w:r w:rsidRPr="00CE2E16">
              <w:rPr>
                <w:rFonts w:cs="Arial"/>
                <w:color w:val="000000"/>
                <w:sz w:val="14"/>
                <w:szCs w:val="16"/>
                <w:lang w:val="en-GB"/>
              </w:rPr>
              <w:t>Damages available for both economic and non-econo</w:t>
            </w:r>
            <w:r w:rsidR="00922480">
              <w:rPr>
                <w:rFonts w:cs="Arial"/>
                <w:color w:val="000000"/>
                <w:sz w:val="14"/>
                <w:szCs w:val="16"/>
                <w:lang w:val="en-GB"/>
              </w:rPr>
              <w:t xml:space="preserve">mic loss </w:t>
            </w:r>
            <w:r w:rsidR="00943989">
              <w:rPr>
                <w:rFonts w:cs="Arial"/>
                <w:color w:val="000000"/>
                <w:sz w:val="14"/>
                <w:szCs w:val="16"/>
                <w:lang w:val="en-GB"/>
              </w:rPr>
              <w:t xml:space="preserve">— </w:t>
            </w:r>
            <w:hyperlink r:id="rId1362" w:history="1">
              <w:r w:rsidR="00922480" w:rsidRPr="00197274">
                <w:rPr>
                  <w:rStyle w:val="Hyperlink"/>
                  <w:rFonts w:cs="Arial"/>
                  <w:sz w:val="14"/>
                  <w:szCs w:val="16"/>
                  <w:lang w:val="en-GB"/>
                </w:rPr>
                <w:t xml:space="preserve">sections 132 </w:t>
              </w:r>
              <w:r w:rsidR="00197274" w:rsidRPr="00197274">
                <w:rPr>
                  <w:rStyle w:val="Hyperlink"/>
                  <w:rFonts w:cs="Arial"/>
                  <w:sz w:val="14"/>
                  <w:szCs w:val="16"/>
                  <w:lang w:val="en-GB"/>
                </w:rPr>
                <w:t>to</w:t>
              </w:r>
              <w:r w:rsidR="00943989" w:rsidRPr="00197274">
                <w:rPr>
                  <w:rStyle w:val="Hyperlink"/>
                  <w:rFonts w:cs="Arial"/>
                  <w:sz w:val="14"/>
                  <w:szCs w:val="16"/>
                  <w:lang w:val="en-GB"/>
                </w:rPr>
                <w:t xml:space="preserve"> </w:t>
              </w:r>
              <w:r w:rsidR="00922480" w:rsidRPr="00197274">
                <w:rPr>
                  <w:rStyle w:val="Hyperlink"/>
                  <w:rFonts w:cs="Arial"/>
                  <w:sz w:val="14"/>
                  <w:szCs w:val="16"/>
                  <w:lang w:val="en-GB"/>
                </w:rPr>
                <w:t>138AI</w:t>
              </w:r>
            </w:hyperlink>
            <w:r w:rsidR="00197274">
              <w:rPr>
                <w:rFonts w:cs="Arial"/>
                <w:color w:val="000000"/>
                <w:sz w:val="14"/>
                <w:szCs w:val="16"/>
                <w:lang w:val="en-GB"/>
              </w:rPr>
              <w:t xml:space="preserve">, </w:t>
            </w:r>
            <w:r w:rsidR="00197274" w:rsidRPr="00016069">
              <w:rPr>
                <w:i/>
                <w:sz w:val="14"/>
              </w:rPr>
              <w:t xml:space="preserve">Workers Rehabilitation and </w:t>
            </w:r>
            <w:r w:rsidR="00197274" w:rsidRPr="00016069">
              <w:rPr>
                <w:i/>
                <w:sz w:val="14"/>
              </w:rPr>
              <w:lastRenderedPageBreak/>
              <w:t>Compensation Act 1988</w:t>
            </w:r>
          </w:p>
        </w:tc>
        <w:tc>
          <w:tcPr>
            <w:tcW w:w="2759" w:type="dxa"/>
            <w:tcMar>
              <w:top w:w="80" w:type="dxa"/>
              <w:left w:w="80" w:type="dxa"/>
              <w:bottom w:w="80" w:type="dxa"/>
              <w:right w:w="80" w:type="dxa"/>
            </w:tcMar>
          </w:tcPr>
          <w:p w14:paraId="3C0A10E2" w14:textId="6CCD05BB"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lastRenderedPageBreak/>
              <w:t xml:space="preserve">A worker must suffer at least 20% WPI before he or she can commence proceedings for an award of damages or </w:t>
            </w:r>
            <w:r w:rsidRPr="00CE2E16">
              <w:rPr>
                <w:rFonts w:cs="Arial"/>
                <w:color w:val="000000"/>
                <w:sz w:val="14"/>
                <w:szCs w:val="16"/>
                <w:lang w:val="en-GB"/>
              </w:rPr>
              <w:lastRenderedPageBreak/>
              <w:t>make an agreement to settle a claim for damages —</w:t>
            </w:r>
            <w:r w:rsidR="00DD0D68">
              <w:rPr>
                <w:rFonts w:cs="Arial"/>
                <w:color w:val="000000"/>
                <w:sz w:val="14"/>
                <w:szCs w:val="16"/>
                <w:lang w:val="en-GB"/>
              </w:rPr>
              <w:t xml:space="preserve"> </w:t>
            </w:r>
            <w:hyperlink r:id="rId1363" w:history="1">
              <w:r w:rsidRPr="00CE2E16">
                <w:rPr>
                  <w:rFonts w:cs="Arial"/>
                  <w:color w:val="0000FF"/>
                  <w:sz w:val="14"/>
                  <w:szCs w:val="16"/>
                  <w:u w:val="single"/>
                  <w:lang w:val="en-GB"/>
                </w:rPr>
                <w:t>s138AB</w:t>
              </w:r>
            </w:hyperlink>
          </w:p>
          <w:p w14:paraId="69367129" w14:textId="2662F7F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Note: loss of foetus is deemed to be 20% WPI — </w:t>
            </w:r>
            <w:hyperlink r:id="rId1364" w:history="1">
              <w:r w:rsidRPr="00CE2E16">
                <w:rPr>
                  <w:rFonts w:cs="Arial"/>
                  <w:color w:val="0000FF"/>
                  <w:sz w:val="14"/>
                  <w:szCs w:val="16"/>
                  <w:u w:val="single"/>
                  <w:lang w:val="en-GB"/>
                </w:rPr>
                <w:t>s71(3)</w:t>
              </w:r>
            </w:hyperlink>
            <w:r w:rsidR="00E13D9F">
              <w:rPr>
                <w:rFonts w:cs="Arial"/>
                <w:color w:val="0000FF"/>
                <w:sz w:val="14"/>
                <w:szCs w:val="16"/>
                <w:u w:val="single"/>
                <w:lang w:val="en-GB"/>
              </w:rPr>
              <w:t>.</w:t>
            </w:r>
          </w:p>
        </w:tc>
        <w:tc>
          <w:tcPr>
            <w:tcW w:w="2759" w:type="dxa"/>
            <w:tcMar>
              <w:top w:w="80" w:type="dxa"/>
              <w:left w:w="80" w:type="dxa"/>
              <w:bottom w:w="80" w:type="dxa"/>
              <w:right w:w="80" w:type="dxa"/>
            </w:tcMar>
          </w:tcPr>
          <w:p w14:paraId="68A02189" w14:textId="415D5FB4"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lastRenderedPageBreak/>
              <w:t>N/A</w:t>
            </w:r>
          </w:p>
        </w:tc>
        <w:tc>
          <w:tcPr>
            <w:tcW w:w="2759" w:type="dxa"/>
            <w:tcMar>
              <w:top w:w="80" w:type="dxa"/>
              <w:left w:w="80" w:type="dxa"/>
              <w:bottom w:w="80" w:type="dxa"/>
              <w:right w:w="80" w:type="dxa"/>
            </w:tcMar>
          </w:tcPr>
          <w:p w14:paraId="6B75EDAA" w14:textId="193D8A09"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Unlimited (provided 2</w:t>
            </w:r>
            <w:r w:rsidR="00ED1468">
              <w:rPr>
                <w:rFonts w:cs="Arial"/>
                <w:color w:val="000000"/>
                <w:sz w:val="14"/>
                <w:szCs w:val="16"/>
                <w:lang w:val="en-GB"/>
              </w:rPr>
              <w:t>0% WPI threshold met)</w:t>
            </w:r>
          </w:p>
        </w:tc>
      </w:tr>
      <w:tr w:rsidR="00CE2E16" w:rsidRPr="00CE2E16" w14:paraId="24C02AA1" w14:textId="77777777" w:rsidTr="00B2173F">
        <w:tc>
          <w:tcPr>
            <w:tcW w:w="1626" w:type="dxa"/>
            <w:shd w:val="clear" w:color="auto" w:fill="FFC9C9"/>
            <w:tcMar>
              <w:top w:w="80" w:type="dxa"/>
              <w:left w:w="80" w:type="dxa"/>
              <w:bottom w:w="80" w:type="dxa"/>
              <w:right w:w="80" w:type="dxa"/>
            </w:tcMar>
          </w:tcPr>
          <w:p w14:paraId="6E0B57A2"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Northern Territory</w:t>
            </w:r>
          </w:p>
        </w:tc>
        <w:tc>
          <w:tcPr>
            <w:tcW w:w="2759" w:type="dxa"/>
            <w:shd w:val="clear" w:color="auto" w:fill="FFC9C9"/>
            <w:tcMar>
              <w:top w:w="80" w:type="dxa"/>
              <w:left w:w="80" w:type="dxa"/>
              <w:bottom w:w="80" w:type="dxa"/>
              <w:right w:w="80" w:type="dxa"/>
            </w:tcMar>
          </w:tcPr>
          <w:p w14:paraId="442DCFB2" w14:textId="68E544FF"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w:t>
            </w:r>
          </w:p>
        </w:tc>
        <w:tc>
          <w:tcPr>
            <w:tcW w:w="2759" w:type="dxa"/>
            <w:shd w:val="clear" w:color="auto" w:fill="FFC9C9"/>
            <w:tcMar>
              <w:top w:w="80" w:type="dxa"/>
              <w:left w:w="80" w:type="dxa"/>
              <w:bottom w:w="80" w:type="dxa"/>
              <w:right w:w="80" w:type="dxa"/>
            </w:tcMar>
          </w:tcPr>
          <w:p w14:paraId="2C85C498" w14:textId="707B1D5D"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22D3C866" w14:textId="49382E4C"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31BBA7FA" w14:textId="56C420A9"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07280122" w14:textId="3D25E270"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r>
      <w:tr w:rsidR="00CE2E16" w:rsidRPr="00CE2E16" w14:paraId="22C7F72E" w14:textId="77777777" w:rsidTr="00B2173F">
        <w:tc>
          <w:tcPr>
            <w:tcW w:w="1626" w:type="dxa"/>
            <w:tcMar>
              <w:top w:w="80" w:type="dxa"/>
              <w:left w:w="80" w:type="dxa"/>
              <w:bottom w:w="80" w:type="dxa"/>
              <w:right w:w="80" w:type="dxa"/>
            </w:tcMar>
          </w:tcPr>
          <w:p w14:paraId="7B301B95"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Australian Capital Territory</w:t>
            </w:r>
          </w:p>
        </w:tc>
        <w:tc>
          <w:tcPr>
            <w:tcW w:w="2759" w:type="dxa"/>
            <w:tcMar>
              <w:top w:w="80" w:type="dxa"/>
              <w:left w:w="80" w:type="dxa"/>
              <w:bottom w:w="80" w:type="dxa"/>
              <w:right w:w="80" w:type="dxa"/>
            </w:tcMar>
          </w:tcPr>
          <w:p w14:paraId="7F9F0CB3" w14:textId="3E94E0A6"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Yes</w:t>
            </w:r>
          </w:p>
        </w:tc>
        <w:tc>
          <w:tcPr>
            <w:tcW w:w="2759" w:type="dxa"/>
            <w:tcMar>
              <w:top w:w="80" w:type="dxa"/>
              <w:left w:w="80" w:type="dxa"/>
              <w:bottom w:w="80" w:type="dxa"/>
              <w:right w:w="80" w:type="dxa"/>
            </w:tcMar>
          </w:tcPr>
          <w:p w14:paraId="13B72CAF" w14:textId="3E22698D"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Unlimited</w:t>
            </w:r>
          </w:p>
        </w:tc>
        <w:tc>
          <w:tcPr>
            <w:tcW w:w="2759" w:type="dxa"/>
            <w:tcMar>
              <w:top w:w="80" w:type="dxa"/>
              <w:left w:w="80" w:type="dxa"/>
              <w:bottom w:w="80" w:type="dxa"/>
              <w:right w:w="80" w:type="dxa"/>
            </w:tcMar>
          </w:tcPr>
          <w:p w14:paraId="753A0093" w14:textId="0B54FEEA"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Nil</w:t>
            </w:r>
          </w:p>
        </w:tc>
        <w:tc>
          <w:tcPr>
            <w:tcW w:w="2759" w:type="dxa"/>
            <w:tcMar>
              <w:top w:w="80" w:type="dxa"/>
              <w:left w:w="80" w:type="dxa"/>
              <w:bottom w:w="80" w:type="dxa"/>
              <w:right w:w="80" w:type="dxa"/>
            </w:tcMar>
          </w:tcPr>
          <w:p w14:paraId="4D3500C9" w14:textId="77777777" w:rsidR="00CE2E16" w:rsidRPr="00CE2E16" w:rsidRDefault="008B0DC2" w:rsidP="00292A53">
            <w:pPr>
              <w:spacing w:after="60"/>
              <w:rPr>
                <w:rFonts w:cs="Arial"/>
                <w:color w:val="000000"/>
                <w:sz w:val="14"/>
                <w:szCs w:val="16"/>
                <w:lang w:val="en-GB"/>
              </w:rPr>
            </w:pPr>
            <w:r>
              <w:rPr>
                <w:rFonts w:cs="Arial"/>
                <w:color w:val="000000"/>
                <w:sz w:val="14"/>
                <w:szCs w:val="16"/>
                <w:lang w:val="en-GB"/>
              </w:rPr>
              <w:t>No</w:t>
            </w:r>
            <w:r w:rsidR="00CE2E16" w:rsidRPr="00CE2E16">
              <w:rPr>
                <w:rFonts w:cs="Arial"/>
                <w:color w:val="000000"/>
                <w:sz w:val="14"/>
                <w:szCs w:val="16"/>
                <w:lang w:val="en-GB"/>
              </w:rPr>
              <w:t xml:space="preserve"> </w:t>
            </w:r>
          </w:p>
          <w:p w14:paraId="056C02C1"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Benefits cease on settlement or outcome in favour of the worker. Benefits received prior to settlement are deducted from the damages settlement to avoid the worker receiving double compensation for the same loss.</w:t>
            </w:r>
          </w:p>
        </w:tc>
        <w:tc>
          <w:tcPr>
            <w:tcW w:w="2759" w:type="dxa"/>
            <w:tcMar>
              <w:top w:w="80" w:type="dxa"/>
              <w:left w:w="80" w:type="dxa"/>
              <w:bottom w:w="80" w:type="dxa"/>
              <w:right w:w="80" w:type="dxa"/>
            </w:tcMar>
          </w:tcPr>
          <w:p w14:paraId="1BB25086" w14:textId="716CC3DE"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Unlimited</w:t>
            </w:r>
          </w:p>
        </w:tc>
      </w:tr>
      <w:tr w:rsidR="00CE2E16" w:rsidRPr="00CE2E16" w14:paraId="57165538" w14:textId="77777777" w:rsidTr="00B2173F">
        <w:tc>
          <w:tcPr>
            <w:tcW w:w="1626" w:type="dxa"/>
            <w:shd w:val="clear" w:color="auto" w:fill="FFC9C9"/>
            <w:tcMar>
              <w:top w:w="80" w:type="dxa"/>
              <w:left w:w="80" w:type="dxa"/>
              <w:bottom w:w="80" w:type="dxa"/>
              <w:right w:w="80" w:type="dxa"/>
            </w:tcMar>
          </w:tcPr>
          <w:p w14:paraId="6C6252A9"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C’wealth Comcare</w:t>
            </w:r>
          </w:p>
        </w:tc>
        <w:tc>
          <w:tcPr>
            <w:tcW w:w="2759" w:type="dxa"/>
            <w:shd w:val="clear" w:color="auto" w:fill="FFC9C9"/>
            <w:tcMar>
              <w:top w:w="80" w:type="dxa"/>
              <w:left w:w="80" w:type="dxa"/>
              <w:bottom w:w="80" w:type="dxa"/>
              <w:right w:w="80" w:type="dxa"/>
            </w:tcMar>
          </w:tcPr>
          <w:p w14:paraId="130A0B05" w14:textId="7FE9DBF1" w:rsidR="00CE2E16" w:rsidRPr="00CE2E16" w:rsidRDefault="00ED1468" w:rsidP="00292A53">
            <w:pPr>
              <w:spacing w:after="60"/>
              <w:rPr>
                <w:rFonts w:cs="Arial"/>
                <w:color w:val="000000"/>
                <w:sz w:val="14"/>
                <w:szCs w:val="16"/>
                <w:lang w:val="en-GB"/>
              </w:rPr>
            </w:pPr>
            <w:r>
              <w:rPr>
                <w:rFonts w:cs="Arial"/>
                <w:color w:val="000000"/>
                <w:sz w:val="14"/>
                <w:szCs w:val="16"/>
                <w:lang w:val="en-GB"/>
              </w:rPr>
              <w:t>Yes (limited)</w:t>
            </w:r>
          </w:p>
        </w:tc>
        <w:tc>
          <w:tcPr>
            <w:tcW w:w="2759" w:type="dxa"/>
            <w:shd w:val="clear" w:color="auto" w:fill="FFC9C9"/>
            <w:tcMar>
              <w:top w:w="80" w:type="dxa"/>
              <w:left w:w="80" w:type="dxa"/>
              <w:bottom w:w="80" w:type="dxa"/>
              <w:right w:w="80" w:type="dxa"/>
            </w:tcMar>
          </w:tcPr>
          <w:p w14:paraId="03556868" w14:textId="2E11C728" w:rsidR="00CE2E16" w:rsidRPr="00CE2E16" w:rsidRDefault="00ED1468" w:rsidP="00292A53">
            <w:pPr>
              <w:spacing w:after="60"/>
              <w:rPr>
                <w:rFonts w:cs="Arial"/>
                <w:color w:val="000000"/>
                <w:sz w:val="14"/>
                <w:szCs w:val="16"/>
                <w:lang w:val="en-GB"/>
              </w:rPr>
            </w:pPr>
            <w:r>
              <w:rPr>
                <w:rFonts w:cs="Arial"/>
                <w:color w:val="000000"/>
                <w:sz w:val="14"/>
                <w:szCs w:val="16"/>
                <w:lang w:val="en-GB"/>
              </w:rPr>
              <w:t>Damages for non-economic loss</w:t>
            </w:r>
          </w:p>
        </w:tc>
        <w:tc>
          <w:tcPr>
            <w:tcW w:w="2759" w:type="dxa"/>
            <w:shd w:val="clear" w:color="auto" w:fill="FFC9C9"/>
            <w:tcMar>
              <w:top w:w="80" w:type="dxa"/>
              <w:left w:w="80" w:type="dxa"/>
              <w:bottom w:w="80" w:type="dxa"/>
              <w:right w:w="80" w:type="dxa"/>
            </w:tcMar>
          </w:tcPr>
          <w:p w14:paraId="7E9309FC" w14:textId="07FFA7C5"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To have access to common law the employee must first have a successful permanent impairment claim (see </w:t>
            </w:r>
            <w:hyperlink r:id="rId1365" w:history="1">
              <w:r w:rsidRPr="00197274">
                <w:rPr>
                  <w:rStyle w:val="Hyperlink"/>
                  <w:rFonts w:cs="Arial"/>
                  <w:sz w:val="14"/>
                  <w:szCs w:val="16"/>
                  <w:lang w:val="en-GB"/>
                </w:rPr>
                <w:t>s24</w:t>
              </w:r>
            </w:hyperlink>
            <w:r w:rsidRPr="00CE2E16">
              <w:rPr>
                <w:rFonts w:cs="Arial"/>
                <w:color w:val="000000"/>
                <w:sz w:val="14"/>
                <w:szCs w:val="16"/>
                <w:lang w:val="en-GB"/>
              </w:rPr>
              <w:t xml:space="preserve">). Statutory thresholds for accessing common law are outlined in </w:t>
            </w:r>
            <w:hyperlink r:id="rId1366" w:history="1">
              <w:r w:rsidRPr="00197274">
                <w:rPr>
                  <w:rStyle w:val="Hyperlink"/>
                  <w:rFonts w:cs="Arial"/>
                  <w:sz w:val="14"/>
                  <w:szCs w:val="16"/>
                  <w:lang w:val="en-GB"/>
                </w:rPr>
                <w:t>s45</w:t>
              </w:r>
            </w:hyperlink>
            <w:r w:rsidRPr="00CE2E16">
              <w:rPr>
                <w:rFonts w:cs="Arial"/>
                <w:color w:val="000000"/>
                <w:sz w:val="14"/>
                <w:szCs w:val="16"/>
                <w:lang w:val="en-GB"/>
              </w:rPr>
              <w:t xml:space="preserve"> of the </w:t>
            </w:r>
            <w:r w:rsidRPr="00CE2E16">
              <w:rPr>
                <w:rFonts w:cs="Arial"/>
                <w:i/>
                <w:color w:val="000000"/>
                <w:sz w:val="14"/>
                <w:szCs w:val="16"/>
                <w:lang w:val="en-GB"/>
              </w:rPr>
              <w:t>Safety, Rehabilitation and Compensation Act 1988</w:t>
            </w:r>
            <w:r w:rsidRPr="00CE2E16">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69F30F31" w14:textId="774382B7" w:rsidR="00CE2E16" w:rsidRPr="00CE2E16" w:rsidRDefault="00ED1468" w:rsidP="00292A53">
            <w:pPr>
              <w:spacing w:after="60"/>
              <w:rPr>
                <w:rFonts w:cs="Arial"/>
                <w:color w:val="000000"/>
                <w:sz w:val="14"/>
                <w:szCs w:val="16"/>
                <w:lang w:val="en-GB"/>
              </w:rPr>
            </w:pPr>
            <w:r>
              <w:rPr>
                <w:rFonts w:cs="Arial"/>
                <w:color w:val="000000"/>
                <w:sz w:val="14"/>
                <w:szCs w:val="16"/>
                <w:lang w:val="en-GB"/>
              </w:rPr>
              <w:t>Yes</w:t>
            </w:r>
          </w:p>
          <w:p w14:paraId="2C9ACB4E" w14:textId="473D7F81"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Employees are able to make an irrevocable election to institute an action or proceedings for damages for non-economic loss under </w:t>
            </w:r>
            <w:hyperlink r:id="rId1367" w:history="1">
              <w:r w:rsidRPr="008C3844">
                <w:rPr>
                  <w:rStyle w:val="Hyperlink"/>
                  <w:rFonts w:cs="Arial"/>
                  <w:sz w:val="14"/>
                  <w:szCs w:val="16"/>
                  <w:lang w:val="en-GB"/>
                </w:rPr>
                <w:t>s45</w:t>
              </w:r>
            </w:hyperlink>
            <w:r w:rsidRPr="00CE2E16">
              <w:rPr>
                <w:rFonts w:cs="Arial"/>
                <w:color w:val="000000"/>
                <w:sz w:val="14"/>
                <w:szCs w:val="16"/>
                <w:lang w:val="en-GB"/>
              </w:rPr>
              <w:t xml:space="preserve"> of the Act. No statutory permanent impairment (</w:t>
            </w:r>
            <w:hyperlink r:id="rId1368" w:history="1">
              <w:r w:rsidR="00197274" w:rsidRPr="00197274">
                <w:rPr>
                  <w:rStyle w:val="Hyperlink"/>
                  <w:rFonts w:cs="Arial"/>
                  <w:sz w:val="14"/>
                  <w:szCs w:val="16"/>
                  <w:lang w:val="en-GB"/>
                </w:rPr>
                <w:t>s24</w:t>
              </w:r>
            </w:hyperlink>
            <w:r w:rsidRPr="00CE2E16">
              <w:rPr>
                <w:rFonts w:cs="Arial"/>
                <w:color w:val="000000"/>
                <w:sz w:val="14"/>
                <w:szCs w:val="16"/>
                <w:lang w:val="en-GB"/>
              </w:rPr>
              <w:t>) or non-economic loss (</w:t>
            </w:r>
            <w:hyperlink r:id="rId1369" w:history="1">
              <w:r w:rsidRPr="00197274">
                <w:rPr>
                  <w:rStyle w:val="Hyperlink"/>
                  <w:rFonts w:cs="Arial"/>
                  <w:sz w:val="14"/>
                  <w:szCs w:val="16"/>
                  <w:lang w:val="en-GB"/>
                </w:rPr>
                <w:t>s27</w:t>
              </w:r>
            </w:hyperlink>
            <w:r w:rsidRPr="00CE2E16">
              <w:rPr>
                <w:rFonts w:cs="Arial"/>
                <w:color w:val="000000"/>
                <w:sz w:val="14"/>
                <w:szCs w:val="16"/>
                <w:lang w:val="en-GB"/>
              </w:rPr>
              <w:t>) benefits are payable after the date of such an election. However, a damages award does not affect other entitlements, such as weekly benefits, medical costs etc.</w:t>
            </w:r>
          </w:p>
        </w:tc>
        <w:tc>
          <w:tcPr>
            <w:tcW w:w="2759" w:type="dxa"/>
            <w:shd w:val="clear" w:color="auto" w:fill="FFC9C9"/>
            <w:tcMar>
              <w:top w:w="80" w:type="dxa"/>
              <w:left w:w="80" w:type="dxa"/>
              <w:bottom w:w="80" w:type="dxa"/>
              <w:right w:w="80" w:type="dxa"/>
            </w:tcMar>
          </w:tcPr>
          <w:p w14:paraId="6A9DA2C3" w14:textId="1020EA2A" w:rsidR="00ED1468" w:rsidRDefault="00CE2E16" w:rsidP="00292A53">
            <w:pPr>
              <w:spacing w:after="60"/>
              <w:rPr>
                <w:rFonts w:cs="Arial"/>
                <w:color w:val="000000"/>
                <w:sz w:val="14"/>
                <w:szCs w:val="16"/>
                <w:lang w:val="en-GB"/>
              </w:rPr>
            </w:pPr>
            <w:r w:rsidRPr="00CE2E16">
              <w:rPr>
                <w:rFonts w:cs="Arial"/>
                <w:color w:val="000000"/>
                <w:sz w:val="14"/>
                <w:szCs w:val="16"/>
                <w:lang w:val="en-GB"/>
              </w:rPr>
              <w:t>Damages shall not exceed $110</w:t>
            </w:r>
            <w:r w:rsidR="00943989">
              <w:rPr>
                <w:rFonts w:cs="Arial"/>
                <w:color w:val="000000"/>
                <w:sz w:val="14"/>
                <w:szCs w:val="16"/>
                <w:lang w:val="en-GB"/>
              </w:rPr>
              <w:t>,</w:t>
            </w:r>
            <w:r w:rsidR="00ED1468">
              <w:rPr>
                <w:rFonts w:cs="Arial"/>
                <w:color w:val="000000"/>
                <w:sz w:val="14"/>
                <w:szCs w:val="16"/>
                <w:lang w:val="en-GB"/>
              </w:rPr>
              <w:t>000</w:t>
            </w:r>
          </w:p>
          <w:p w14:paraId="49763684" w14:textId="3C7A0D0C" w:rsidR="00CE2E16" w:rsidRPr="00CE2E16" w:rsidRDefault="00ED1468" w:rsidP="00292A53">
            <w:pPr>
              <w:spacing w:after="60"/>
              <w:rPr>
                <w:rFonts w:cs="Arial"/>
                <w:color w:val="000000"/>
                <w:sz w:val="14"/>
                <w:szCs w:val="16"/>
                <w:lang w:val="en-GB"/>
              </w:rPr>
            </w:pPr>
            <w:r>
              <w:rPr>
                <w:rFonts w:cs="Arial"/>
                <w:color w:val="000000"/>
                <w:sz w:val="14"/>
                <w:szCs w:val="16"/>
                <w:lang w:val="en-GB"/>
              </w:rPr>
              <w:t>This amount is not indexed</w:t>
            </w:r>
          </w:p>
        </w:tc>
      </w:tr>
      <w:tr w:rsidR="00CE2E16" w:rsidRPr="00CE2E16" w14:paraId="7337E545" w14:textId="77777777" w:rsidTr="00B2173F">
        <w:tc>
          <w:tcPr>
            <w:tcW w:w="1626" w:type="dxa"/>
            <w:tcMar>
              <w:top w:w="80" w:type="dxa"/>
              <w:left w:w="80" w:type="dxa"/>
              <w:bottom w:w="80" w:type="dxa"/>
              <w:right w:w="80" w:type="dxa"/>
            </w:tcMar>
          </w:tcPr>
          <w:p w14:paraId="0ED03B6F"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C’wealth Seacare</w:t>
            </w:r>
          </w:p>
        </w:tc>
        <w:tc>
          <w:tcPr>
            <w:tcW w:w="2759" w:type="dxa"/>
            <w:tcMar>
              <w:top w:w="80" w:type="dxa"/>
              <w:left w:w="80" w:type="dxa"/>
              <w:bottom w:w="80" w:type="dxa"/>
              <w:right w:w="80" w:type="dxa"/>
            </w:tcMar>
          </w:tcPr>
          <w:p w14:paraId="6584CEFD" w14:textId="67F08841" w:rsidR="00CE2E16" w:rsidRPr="00CE2E16" w:rsidRDefault="00ED1468" w:rsidP="00292A53">
            <w:pPr>
              <w:spacing w:after="60"/>
              <w:rPr>
                <w:rFonts w:cs="Arial"/>
                <w:color w:val="000000"/>
                <w:sz w:val="14"/>
                <w:szCs w:val="16"/>
                <w:lang w:val="en-GB"/>
              </w:rPr>
            </w:pPr>
            <w:r>
              <w:rPr>
                <w:rFonts w:cs="Arial"/>
                <w:color w:val="000000"/>
                <w:sz w:val="14"/>
                <w:szCs w:val="16"/>
                <w:lang w:val="en-GB"/>
              </w:rPr>
              <w:t>Yes (limited)</w:t>
            </w:r>
          </w:p>
        </w:tc>
        <w:tc>
          <w:tcPr>
            <w:tcW w:w="2759" w:type="dxa"/>
            <w:tcMar>
              <w:top w:w="80" w:type="dxa"/>
              <w:left w:w="80" w:type="dxa"/>
              <w:bottom w:w="80" w:type="dxa"/>
              <w:right w:w="80" w:type="dxa"/>
            </w:tcMar>
          </w:tcPr>
          <w:p w14:paraId="3305AC8F" w14:textId="7A43FA28" w:rsidR="00CE2E16" w:rsidRPr="00CE2E16" w:rsidRDefault="00ED1468" w:rsidP="00292A53">
            <w:pPr>
              <w:spacing w:after="60"/>
              <w:rPr>
                <w:rFonts w:cs="Arial"/>
                <w:color w:val="000000"/>
                <w:sz w:val="14"/>
                <w:szCs w:val="16"/>
                <w:lang w:val="en-GB"/>
              </w:rPr>
            </w:pPr>
            <w:r>
              <w:rPr>
                <w:rFonts w:cs="Arial"/>
                <w:color w:val="000000"/>
                <w:sz w:val="14"/>
                <w:szCs w:val="16"/>
                <w:lang w:val="en-GB"/>
              </w:rPr>
              <w:t>Damages for non-economic loss</w:t>
            </w:r>
          </w:p>
        </w:tc>
        <w:tc>
          <w:tcPr>
            <w:tcW w:w="2759" w:type="dxa"/>
            <w:tcMar>
              <w:top w:w="80" w:type="dxa"/>
              <w:left w:w="80" w:type="dxa"/>
              <w:bottom w:w="80" w:type="dxa"/>
              <w:right w:w="80" w:type="dxa"/>
            </w:tcMar>
          </w:tcPr>
          <w:p w14:paraId="7BB9ABF5" w14:textId="5910184C"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To have access to common law the employee must first be eligible for a permanent impairment claim. Statutory thresholds for accessing common law are outlined in </w:t>
            </w:r>
            <w:hyperlink r:id="rId1370" w:history="1">
              <w:r w:rsidRPr="00427CC9">
                <w:rPr>
                  <w:rStyle w:val="Hyperlink"/>
                  <w:rFonts w:cs="Arial"/>
                  <w:sz w:val="14"/>
                  <w:szCs w:val="16"/>
                  <w:lang w:val="en-GB"/>
                </w:rPr>
                <w:t>s55</w:t>
              </w:r>
            </w:hyperlink>
            <w:r w:rsidRPr="00CE2E16">
              <w:rPr>
                <w:rFonts w:cs="Arial"/>
                <w:color w:val="000000"/>
                <w:sz w:val="14"/>
                <w:szCs w:val="16"/>
                <w:lang w:val="en-GB"/>
              </w:rPr>
              <w:t xml:space="preserve"> of the </w:t>
            </w:r>
            <w:r w:rsidR="00427CC9" w:rsidRPr="00016069">
              <w:rPr>
                <w:i/>
                <w:sz w:val="14"/>
              </w:rPr>
              <w:t>Seafarers Rehabilitation and Compensation Act 1992</w:t>
            </w:r>
            <w:r w:rsidRPr="00CE2E16">
              <w:rPr>
                <w:rFonts w:cs="Arial"/>
                <w:color w:val="000000"/>
                <w:sz w:val="14"/>
                <w:szCs w:val="16"/>
                <w:lang w:val="en-GB"/>
              </w:rPr>
              <w:t>.</w:t>
            </w:r>
          </w:p>
        </w:tc>
        <w:tc>
          <w:tcPr>
            <w:tcW w:w="2759" w:type="dxa"/>
            <w:tcMar>
              <w:top w:w="80" w:type="dxa"/>
              <w:left w:w="80" w:type="dxa"/>
              <w:bottom w:w="80" w:type="dxa"/>
              <w:right w:w="80" w:type="dxa"/>
            </w:tcMar>
          </w:tcPr>
          <w:p w14:paraId="1D06D72F" w14:textId="7572C81C" w:rsidR="00CE2E16" w:rsidRPr="00CE2E16" w:rsidRDefault="00ED1468" w:rsidP="00292A53">
            <w:pPr>
              <w:spacing w:after="60"/>
              <w:rPr>
                <w:rFonts w:cs="Arial"/>
                <w:color w:val="000000"/>
                <w:sz w:val="14"/>
                <w:szCs w:val="16"/>
                <w:lang w:val="en-GB"/>
              </w:rPr>
            </w:pPr>
            <w:r>
              <w:rPr>
                <w:rFonts w:cs="Arial"/>
                <w:color w:val="000000"/>
                <w:sz w:val="14"/>
                <w:szCs w:val="16"/>
                <w:lang w:val="en-GB"/>
              </w:rPr>
              <w:t>Yes</w:t>
            </w:r>
          </w:p>
          <w:p w14:paraId="2A79DF3F" w14:textId="6FA18A75"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Employees are able to make an irrevocable election to institute an action or proceedings for damages for non-economic loss under </w:t>
            </w:r>
            <w:hyperlink r:id="rId1371" w:history="1">
              <w:r w:rsidRPr="00427CC9">
                <w:rPr>
                  <w:rStyle w:val="Hyperlink"/>
                  <w:rFonts w:cs="Arial"/>
                  <w:sz w:val="14"/>
                  <w:szCs w:val="16"/>
                  <w:lang w:val="en-GB"/>
                </w:rPr>
                <w:t>s55</w:t>
              </w:r>
            </w:hyperlink>
            <w:r w:rsidRPr="00CE2E16">
              <w:rPr>
                <w:rFonts w:cs="Arial"/>
                <w:color w:val="000000"/>
                <w:sz w:val="14"/>
                <w:szCs w:val="16"/>
                <w:lang w:val="en-GB"/>
              </w:rPr>
              <w:t xml:space="preserve"> of the Act. No statutory permanent impairment (</w:t>
            </w:r>
            <w:hyperlink r:id="rId1372" w:history="1">
              <w:r w:rsidRPr="00427CC9">
                <w:rPr>
                  <w:rStyle w:val="Hyperlink"/>
                  <w:rFonts w:cs="Arial"/>
                  <w:sz w:val="14"/>
                  <w:szCs w:val="16"/>
                  <w:lang w:val="en-GB"/>
                </w:rPr>
                <w:t>s39</w:t>
              </w:r>
            </w:hyperlink>
            <w:r w:rsidRPr="00CE2E16">
              <w:rPr>
                <w:rFonts w:cs="Arial"/>
                <w:color w:val="000000"/>
                <w:sz w:val="14"/>
                <w:szCs w:val="16"/>
                <w:lang w:val="en-GB"/>
              </w:rPr>
              <w:t>) or non-economic loss (</w:t>
            </w:r>
            <w:hyperlink r:id="rId1373" w:history="1">
              <w:r w:rsidRPr="00427CC9">
                <w:rPr>
                  <w:rStyle w:val="Hyperlink"/>
                  <w:rFonts w:cs="Arial"/>
                  <w:sz w:val="14"/>
                  <w:szCs w:val="16"/>
                  <w:lang w:val="en-GB"/>
                </w:rPr>
                <w:t>s41</w:t>
              </w:r>
            </w:hyperlink>
            <w:r w:rsidRPr="00CE2E16">
              <w:rPr>
                <w:rFonts w:cs="Arial"/>
                <w:color w:val="000000"/>
                <w:sz w:val="14"/>
                <w:szCs w:val="16"/>
                <w:lang w:val="en-GB"/>
              </w:rPr>
              <w:t>) benefits are payable after the date of such an election. However, a damages award does not affect other entitlements, such as weekly benefits, medical costs etc.</w:t>
            </w:r>
          </w:p>
        </w:tc>
        <w:tc>
          <w:tcPr>
            <w:tcW w:w="2759" w:type="dxa"/>
            <w:tcMar>
              <w:top w:w="80" w:type="dxa"/>
              <w:left w:w="80" w:type="dxa"/>
              <w:bottom w:w="80" w:type="dxa"/>
              <w:right w:w="80" w:type="dxa"/>
            </w:tcMar>
          </w:tcPr>
          <w:p w14:paraId="22E41CF5" w14:textId="59C3F784" w:rsidR="00ED1468" w:rsidRDefault="00CE2E16" w:rsidP="00292A53">
            <w:pPr>
              <w:spacing w:after="60"/>
              <w:rPr>
                <w:rFonts w:cs="Arial"/>
                <w:color w:val="000000"/>
                <w:sz w:val="14"/>
                <w:szCs w:val="16"/>
                <w:lang w:val="en-GB"/>
              </w:rPr>
            </w:pPr>
            <w:r w:rsidRPr="00CE2E16">
              <w:rPr>
                <w:rFonts w:cs="Arial"/>
                <w:color w:val="000000"/>
                <w:sz w:val="14"/>
                <w:szCs w:val="16"/>
                <w:lang w:val="en-GB"/>
              </w:rPr>
              <w:t xml:space="preserve">Damages shall not exceed </w:t>
            </w:r>
            <w:r w:rsidR="00922480">
              <w:rPr>
                <w:rFonts w:cs="Arial"/>
                <w:color w:val="000000"/>
                <w:sz w:val="14"/>
                <w:szCs w:val="16"/>
                <w:lang w:val="en-GB"/>
              </w:rPr>
              <w:t>$138</w:t>
            </w:r>
            <w:r w:rsidR="00943989">
              <w:rPr>
                <w:rFonts w:cs="Arial"/>
                <w:color w:val="000000"/>
                <w:sz w:val="14"/>
                <w:szCs w:val="16"/>
                <w:lang w:val="en-GB"/>
              </w:rPr>
              <w:t>,5</w:t>
            </w:r>
            <w:r w:rsidRPr="00CE2E16">
              <w:rPr>
                <w:rFonts w:cs="Arial"/>
                <w:color w:val="000000"/>
                <w:sz w:val="14"/>
                <w:szCs w:val="16"/>
                <w:lang w:val="en-GB"/>
              </w:rPr>
              <w:t>70</w:t>
            </w:r>
            <w:r w:rsidR="00ED1468">
              <w:rPr>
                <w:rFonts w:cs="Arial"/>
                <w:color w:val="000000"/>
                <w:sz w:val="14"/>
                <w:szCs w:val="16"/>
                <w:lang w:val="en-GB"/>
              </w:rPr>
              <w:t>.52</w:t>
            </w:r>
          </w:p>
          <w:p w14:paraId="20763E11" w14:textId="2437A0D2" w:rsidR="00CE2E16" w:rsidRPr="00CE2E16" w:rsidRDefault="00ED1468" w:rsidP="00292A53">
            <w:pPr>
              <w:spacing w:after="60"/>
              <w:rPr>
                <w:rFonts w:cs="Arial"/>
                <w:color w:val="000000"/>
                <w:sz w:val="14"/>
                <w:szCs w:val="16"/>
                <w:lang w:val="en-GB"/>
              </w:rPr>
            </w:pPr>
            <w:r>
              <w:rPr>
                <w:rFonts w:cs="Arial"/>
                <w:color w:val="000000"/>
                <w:sz w:val="14"/>
                <w:szCs w:val="16"/>
                <w:lang w:val="en-GB"/>
              </w:rPr>
              <w:t>This amount is not indexed</w:t>
            </w:r>
          </w:p>
        </w:tc>
      </w:tr>
      <w:tr w:rsidR="00CE2E16" w:rsidRPr="00CE2E16" w14:paraId="195677E0" w14:textId="77777777" w:rsidTr="00B2173F">
        <w:tc>
          <w:tcPr>
            <w:tcW w:w="1626" w:type="dxa"/>
            <w:shd w:val="clear" w:color="auto" w:fill="FFC9C9"/>
            <w:tcMar>
              <w:top w:w="80" w:type="dxa"/>
              <w:left w:w="80" w:type="dxa"/>
              <w:bottom w:w="80" w:type="dxa"/>
              <w:right w:w="80" w:type="dxa"/>
            </w:tcMar>
          </w:tcPr>
          <w:p w14:paraId="426372C4"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C’wealth DVA</w:t>
            </w:r>
          </w:p>
        </w:tc>
        <w:tc>
          <w:tcPr>
            <w:tcW w:w="2759" w:type="dxa"/>
            <w:shd w:val="clear" w:color="auto" w:fill="FFC9C9"/>
            <w:tcMar>
              <w:top w:w="80" w:type="dxa"/>
              <w:left w:w="80" w:type="dxa"/>
              <w:bottom w:w="80" w:type="dxa"/>
              <w:right w:w="80" w:type="dxa"/>
            </w:tcMar>
          </w:tcPr>
          <w:p w14:paraId="7C3695DA" w14:textId="6E4C975B" w:rsidR="00CE2E16" w:rsidRPr="00CE2E16" w:rsidRDefault="00ED1468" w:rsidP="00292A53">
            <w:pPr>
              <w:spacing w:after="60"/>
              <w:rPr>
                <w:rFonts w:cs="Arial"/>
                <w:color w:val="000000"/>
                <w:sz w:val="14"/>
                <w:szCs w:val="16"/>
                <w:lang w:val="en-GB"/>
              </w:rPr>
            </w:pPr>
            <w:r>
              <w:rPr>
                <w:rFonts w:cs="Arial"/>
                <w:color w:val="000000"/>
                <w:sz w:val="14"/>
                <w:szCs w:val="16"/>
                <w:lang w:val="en-GB"/>
              </w:rPr>
              <w:t>Yes (limited)</w:t>
            </w:r>
          </w:p>
        </w:tc>
        <w:tc>
          <w:tcPr>
            <w:tcW w:w="2759" w:type="dxa"/>
            <w:shd w:val="clear" w:color="auto" w:fill="FFC9C9"/>
            <w:tcMar>
              <w:top w:w="80" w:type="dxa"/>
              <w:left w:w="80" w:type="dxa"/>
              <w:bottom w:w="80" w:type="dxa"/>
              <w:right w:w="80" w:type="dxa"/>
            </w:tcMar>
          </w:tcPr>
          <w:p w14:paraId="551FC56E" w14:textId="36D5BF30" w:rsidR="00CE2E16" w:rsidRPr="00CE2E16" w:rsidRDefault="00ED1468" w:rsidP="00292A53">
            <w:pPr>
              <w:spacing w:after="60"/>
              <w:rPr>
                <w:rFonts w:cs="Arial"/>
                <w:color w:val="000000"/>
                <w:sz w:val="14"/>
                <w:szCs w:val="16"/>
                <w:lang w:val="en-GB"/>
              </w:rPr>
            </w:pPr>
            <w:r>
              <w:rPr>
                <w:rFonts w:cs="Arial"/>
                <w:color w:val="000000"/>
                <w:sz w:val="14"/>
                <w:szCs w:val="16"/>
                <w:lang w:val="en-GB"/>
              </w:rPr>
              <w:t>Damages for non-economic loss</w:t>
            </w:r>
          </w:p>
        </w:tc>
        <w:tc>
          <w:tcPr>
            <w:tcW w:w="2759" w:type="dxa"/>
            <w:shd w:val="clear" w:color="auto" w:fill="FFC9C9"/>
            <w:tcMar>
              <w:top w:w="80" w:type="dxa"/>
              <w:left w:w="80" w:type="dxa"/>
              <w:bottom w:w="80" w:type="dxa"/>
              <w:right w:w="80" w:type="dxa"/>
            </w:tcMar>
          </w:tcPr>
          <w:p w14:paraId="3EE5E2E7" w14:textId="1533992A" w:rsidR="00CE2E16" w:rsidRPr="00CE2E16" w:rsidRDefault="00CE2E16" w:rsidP="006525BC">
            <w:pPr>
              <w:spacing w:after="60"/>
              <w:rPr>
                <w:rFonts w:cs="Arial"/>
                <w:color w:val="000000"/>
                <w:sz w:val="14"/>
                <w:szCs w:val="16"/>
                <w:lang w:val="en-GB"/>
              </w:rPr>
            </w:pPr>
            <w:r w:rsidRPr="00CE2E16">
              <w:rPr>
                <w:rFonts w:cs="Arial"/>
                <w:color w:val="000000"/>
                <w:sz w:val="14"/>
                <w:szCs w:val="16"/>
                <w:lang w:val="en-GB"/>
              </w:rPr>
              <w:t xml:space="preserve">To have access to common law the employee must have a successful permanent impairment claim i.e. a benefit payable under the relevant </w:t>
            </w:r>
            <w:r w:rsidR="00ED1468">
              <w:rPr>
                <w:rFonts w:cs="Arial"/>
                <w:color w:val="000000"/>
                <w:sz w:val="14"/>
                <w:szCs w:val="16"/>
                <w:lang w:val="en-GB"/>
              </w:rPr>
              <w:t xml:space="preserve">Commonwealth Act — </w:t>
            </w:r>
            <w:hyperlink r:id="rId1374" w:history="1">
              <w:r w:rsidR="00ED1468" w:rsidRPr="00702BEF">
                <w:rPr>
                  <w:rStyle w:val="Hyperlink"/>
                  <w:rFonts w:cs="Arial"/>
                  <w:sz w:val="14"/>
                  <w:szCs w:val="16"/>
                  <w:lang w:val="en-GB"/>
                </w:rPr>
                <w:t>s389</w:t>
              </w:r>
            </w:hyperlink>
            <w:r w:rsidR="00ED1468">
              <w:rPr>
                <w:rFonts w:cs="Arial"/>
                <w:color w:val="000000"/>
                <w:sz w:val="14"/>
                <w:szCs w:val="16"/>
                <w:lang w:val="en-GB"/>
              </w:rPr>
              <w:t xml:space="preserve"> </w:t>
            </w:r>
            <w:r w:rsidR="00232F3B" w:rsidRPr="0039798F">
              <w:rPr>
                <w:rFonts w:eastAsia="Calibri" w:cs="Arial"/>
                <w:i/>
                <w:sz w:val="14"/>
                <w:szCs w:val="14"/>
                <w:lang w:eastAsia="en-US"/>
              </w:rPr>
              <w:t>Military Rehabilitation and Compensation Act 2004</w:t>
            </w:r>
            <w:r w:rsidR="00232F3B">
              <w:rPr>
                <w:rFonts w:cs="Arial"/>
                <w:color w:val="000000"/>
                <w:sz w:val="14"/>
                <w:szCs w:val="16"/>
                <w:lang w:val="en-GB"/>
              </w:rPr>
              <w:t xml:space="preserve"> (</w:t>
            </w:r>
            <w:r w:rsidR="00ED1468">
              <w:rPr>
                <w:rFonts w:cs="Arial"/>
                <w:color w:val="000000"/>
                <w:sz w:val="14"/>
                <w:szCs w:val="16"/>
                <w:lang w:val="en-GB"/>
              </w:rPr>
              <w:t>MRC</w:t>
            </w:r>
            <w:r w:rsidR="006525BC">
              <w:rPr>
                <w:rFonts w:cs="Arial"/>
                <w:color w:val="000000"/>
                <w:sz w:val="14"/>
                <w:szCs w:val="16"/>
                <w:lang w:val="en-GB"/>
              </w:rPr>
              <w:t>A</w:t>
            </w:r>
            <w:r w:rsidR="00232F3B">
              <w:rPr>
                <w:rFonts w:cs="Arial"/>
                <w:color w:val="000000"/>
                <w:sz w:val="14"/>
                <w:szCs w:val="16"/>
                <w:lang w:val="en-GB"/>
              </w:rPr>
              <w:t>)</w:t>
            </w:r>
            <w:r w:rsidR="006525BC">
              <w:rPr>
                <w:rFonts w:cs="Arial"/>
                <w:color w:val="000000"/>
                <w:sz w:val="14"/>
                <w:szCs w:val="16"/>
                <w:lang w:val="en-GB"/>
              </w:rPr>
              <w:t xml:space="preserve"> &amp; </w:t>
            </w:r>
            <w:hyperlink r:id="rId1375" w:history="1">
              <w:r w:rsidR="006525BC" w:rsidRPr="00702BEF">
                <w:rPr>
                  <w:rStyle w:val="Hyperlink"/>
                  <w:rFonts w:cs="Arial"/>
                  <w:sz w:val="14"/>
                  <w:szCs w:val="16"/>
                  <w:lang w:val="en-GB"/>
                </w:rPr>
                <w:t>s45</w:t>
              </w:r>
            </w:hyperlink>
            <w:r w:rsidR="006525BC">
              <w:rPr>
                <w:rFonts w:cs="Arial"/>
                <w:color w:val="000000"/>
                <w:sz w:val="14"/>
                <w:szCs w:val="16"/>
                <w:lang w:val="en-GB"/>
              </w:rPr>
              <w:t xml:space="preserve"> </w:t>
            </w:r>
            <w:r w:rsidR="00232F3B" w:rsidRPr="00016069">
              <w:rPr>
                <w:i/>
                <w:sz w:val="14"/>
              </w:rPr>
              <w:t>Safety, Rehabilitation and Compensation (Defence-related Claims) Act 1988</w:t>
            </w:r>
            <w:r w:rsidR="00232F3B">
              <w:rPr>
                <w:rFonts w:cs="Arial"/>
                <w:color w:val="000000"/>
                <w:sz w:val="14"/>
                <w:szCs w:val="16"/>
                <w:lang w:val="en-GB"/>
              </w:rPr>
              <w:t xml:space="preserve"> (</w:t>
            </w:r>
            <w:r w:rsidR="006525BC">
              <w:rPr>
                <w:rFonts w:cs="Arial"/>
                <w:color w:val="000000"/>
                <w:sz w:val="14"/>
                <w:szCs w:val="16"/>
                <w:lang w:val="en-GB"/>
              </w:rPr>
              <w:t>DRCA</w:t>
            </w:r>
            <w:r w:rsidR="00232F3B">
              <w:rPr>
                <w:rFonts w:cs="Arial"/>
                <w:color w:val="000000"/>
                <w:sz w:val="14"/>
                <w:szCs w:val="16"/>
                <w:lang w:val="en-GB"/>
              </w:rPr>
              <w:t>)</w:t>
            </w:r>
            <w:r w:rsidR="00ED1468">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143E9EDF" w14:textId="6F30500F" w:rsidR="00CE2E16" w:rsidRPr="00CE2E16" w:rsidRDefault="00ED1468" w:rsidP="00292A53">
            <w:pPr>
              <w:spacing w:after="60"/>
              <w:rPr>
                <w:rFonts w:cs="Arial"/>
                <w:color w:val="000000"/>
                <w:sz w:val="14"/>
                <w:szCs w:val="16"/>
                <w:lang w:val="en-GB"/>
              </w:rPr>
            </w:pPr>
            <w:r>
              <w:rPr>
                <w:rFonts w:cs="Arial"/>
                <w:color w:val="000000"/>
                <w:sz w:val="14"/>
                <w:szCs w:val="16"/>
                <w:lang w:val="en-GB"/>
              </w:rPr>
              <w:t>Yes</w:t>
            </w:r>
            <w:r w:rsidR="006525BC">
              <w:rPr>
                <w:rFonts w:cs="Arial"/>
                <w:color w:val="000000"/>
                <w:sz w:val="14"/>
                <w:szCs w:val="16"/>
                <w:lang w:val="en-GB"/>
              </w:rPr>
              <w:t xml:space="preserve"> — MRCA</w:t>
            </w:r>
          </w:p>
          <w:p w14:paraId="56A77DDA" w14:textId="2925CFE7" w:rsid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Able to make an irrevocable election to institute an action or proceedings for damages for non-economic loss under </w:t>
            </w:r>
            <w:hyperlink r:id="rId1376" w:history="1">
              <w:r w:rsidRPr="00702BEF">
                <w:rPr>
                  <w:rStyle w:val="Hyperlink"/>
                  <w:rFonts w:cs="Arial"/>
                  <w:sz w:val="14"/>
                  <w:szCs w:val="16"/>
                  <w:lang w:val="en-GB"/>
                </w:rPr>
                <w:t>s389</w:t>
              </w:r>
            </w:hyperlink>
            <w:r w:rsidRPr="00CE2E16">
              <w:rPr>
                <w:rFonts w:cs="Arial"/>
                <w:color w:val="000000"/>
                <w:sz w:val="14"/>
                <w:szCs w:val="16"/>
                <w:lang w:val="en-GB"/>
              </w:rPr>
              <w:t xml:space="preserve"> of the MRCA. No statutory permanent impairment benefits are payable after the date of such an election</w:t>
            </w:r>
            <w:r w:rsidR="006525BC">
              <w:rPr>
                <w:rFonts w:cs="Arial"/>
                <w:color w:val="000000"/>
                <w:sz w:val="14"/>
                <w:szCs w:val="16"/>
                <w:lang w:val="en-GB"/>
              </w:rPr>
              <w:t xml:space="preserve"> with respect to a service injury or disease</w:t>
            </w:r>
            <w:r w:rsidRPr="00CE2E16">
              <w:rPr>
                <w:rFonts w:cs="Arial"/>
                <w:color w:val="000000"/>
                <w:sz w:val="14"/>
                <w:szCs w:val="16"/>
                <w:lang w:val="en-GB"/>
              </w:rPr>
              <w:t>.</w:t>
            </w:r>
            <w:r w:rsidR="006525BC">
              <w:rPr>
                <w:rFonts w:cs="Arial"/>
                <w:color w:val="000000"/>
                <w:sz w:val="14"/>
                <w:szCs w:val="16"/>
                <w:lang w:val="en-GB"/>
              </w:rPr>
              <w:t xml:space="preserve"> Common law action is taken against a single condition as distinct from other accepted conditions.</w:t>
            </w:r>
          </w:p>
          <w:p w14:paraId="307E7CAD" w14:textId="77777777" w:rsidR="006525BC" w:rsidRDefault="006525BC" w:rsidP="00292A53">
            <w:pPr>
              <w:spacing w:after="60"/>
              <w:rPr>
                <w:rFonts w:cs="Arial"/>
                <w:color w:val="000000"/>
                <w:sz w:val="14"/>
                <w:szCs w:val="16"/>
                <w:lang w:val="en-GB"/>
              </w:rPr>
            </w:pPr>
          </w:p>
          <w:p w14:paraId="1681701E" w14:textId="77777777" w:rsidR="006525BC" w:rsidRDefault="006525BC" w:rsidP="00292A53">
            <w:pPr>
              <w:spacing w:after="60"/>
              <w:rPr>
                <w:rFonts w:cs="Arial"/>
                <w:color w:val="000000"/>
                <w:sz w:val="14"/>
                <w:szCs w:val="16"/>
                <w:lang w:val="en-GB"/>
              </w:rPr>
            </w:pPr>
            <w:r>
              <w:rPr>
                <w:rFonts w:cs="Arial"/>
                <w:color w:val="000000"/>
                <w:sz w:val="14"/>
                <w:szCs w:val="16"/>
                <w:lang w:val="en-GB"/>
              </w:rPr>
              <w:lastRenderedPageBreak/>
              <w:t>Yes — DRCA</w:t>
            </w:r>
          </w:p>
          <w:p w14:paraId="41619A84" w14:textId="09AC94FA" w:rsidR="006525BC" w:rsidRPr="00CE2E16" w:rsidRDefault="006525BC" w:rsidP="00292A53">
            <w:pPr>
              <w:spacing w:after="60"/>
              <w:rPr>
                <w:rFonts w:cs="Arial"/>
                <w:color w:val="000000"/>
                <w:sz w:val="14"/>
                <w:szCs w:val="16"/>
                <w:lang w:val="en-GB"/>
              </w:rPr>
            </w:pPr>
            <w:r w:rsidRPr="00CE2E16">
              <w:rPr>
                <w:rFonts w:cs="Arial"/>
                <w:color w:val="000000"/>
                <w:sz w:val="14"/>
                <w:szCs w:val="16"/>
                <w:lang w:val="en-GB"/>
              </w:rPr>
              <w:t xml:space="preserve">Employees are able to make an irrevocable election to institute an action or proceedings for damages for non-economic loss under </w:t>
            </w:r>
            <w:hyperlink r:id="rId1377" w:history="1">
              <w:r w:rsidR="00702BEF" w:rsidRPr="00702BEF">
                <w:rPr>
                  <w:rStyle w:val="Hyperlink"/>
                  <w:rFonts w:cs="Arial"/>
                  <w:sz w:val="14"/>
                  <w:szCs w:val="16"/>
                  <w:lang w:val="en-GB"/>
                </w:rPr>
                <w:t>s45</w:t>
              </w:r>
            </w:hyperlink>
            <w:r w:rsidR="00702BEF">
              <w:rPr>
                <w:rFonts w:cs="Arial"/>
                <w:color w:val="000000"/>
                <w:sz w:val="14"/>
                <w:szCs w:val="16"/>
                <w:lang w:val="en-GB"/>
              </w:rPr>
              <w:t xml:space="preserve"> </w:t>
            </w:r>
            <w:r w:rsidRPr="00CE2E16">
              <w:rPr>
                <w:rFonts w:cs="Arial"/>
                <w:color w:val="000000"/>
                <w:sz w:val="14"/>
                <w:szCs w:val="16"/>
                <w:lang w:val="en-GB"/>
              </w:rPr>
              <w:t>of the Act. No statutory permanent impairment (</w:t>
            </w:r>
            <w:hyperlink r:id="rId1378" w:history="1">
              <w:r w:rsidRPr="00702BEF">
                <w:rPr>
                  <w:rStyle w:val="Hyperlink"/>
                  <w:rFonts w:cs="Arial"/>
                  <w:sz w:val="14"/>
                  <w:szCs w:val="16"/>
                  <w:lang w:val="en-GB"/>
                </w:rPr>
                <w:t>s24</w:t>
              </w:r>
            </w:hyperlink>
            <w:r w:rsidRPr="00CE2E16">
              <w:rPr>
                <w:rFonts w:cs="Arial"/>
                <w:color w:val="000000"/>
                <w:sz w:val="14"/>
                <w:szCs w:val="16"/>
                <w:lang w:val="en-GB"/>
              </w:rPr>
              <w:t>) or non-economic loss (</w:t>
            </w:r>
            <w:hyperlink r:id="rId1379" w:history="1">
              <w:r w:rsidRPr="00702BEF">
                <w:rPr>
                  <w:rStyle w:val="Hyperlink"/>
                  <w:rFonts w:cs="Arial"/>
                  <w:sz w:val="14"/>
                  <w:szCs w:val="16"/>
                  <w:lang w:val="en-GB"/>
                </w:rPr>
                <w:t>s27</w:t>
              </w:r>
            </w:hyperlink>
            <w:r w:rsidRPr="00CE2E16">
              <w:rPr>
                <w:rFonts w:cs="Arial"/>
                <w:color w:val="000000"/>
                <w:sz w:val="14"/>
                <w:szCs w:val="16"/>
                <w:lang w:val="en-GB"/>
              </w:rPr>
              <w:t>) benefits are payable after the date of such an election. However, a damages award does not affect other entitlements, such as weekly benefits, medical costs etc.</w:t>
            </w:r>
          </w:p>
        </w:tc>
        <w:tc>
          <w:tcPr>
            <w:tcW w:w="2759" w:type="dxa"/>
            <w:shd w:val="clear" w:color="auto" w:fill="FFC9C9"/>
            <w:tcMar>
              <w:top w:w="80" w:type="dxa"/>
              <w:left w:w="80" w:type="dxa"/>
              <w:bottom w:w="80" w:type="dxa"/>
              <w:right w:w="80" w:type="dxa"/>
            </w:tcMar>
          </w:tcPr>
          <w:p w14:paraId="107D5993" w14:textId="77777777" w:rsidR="006525BC" w:rsidRDefault="006525BC" w:rsidP="00292A53">
            <w:pPr>
              <w:spacing w:after="60"/>
              <w:rPr>
                <w:rFonts w:cs="Arial"/>
                <w:color w:val="000000"/>
                <w:sz w:val="14"/>
                <w:szCs w:val="16"/>
                <w:lang w:val="en-GB"/>
              </w:rPr>
            </w:pPr>
            <w:r>
              <w:rPr>
                <w:rFonts w:cs="Arial"/>
                <w:color w:val="000000"/>
                <w:sz w:val="14"/>
                <w:szCs w:val="16"/>
                <w:lang w:val="en-GB"/>
              </w:rPr>
              <w:lastRenderedPageBreak/>
              <w:t>MRCA and DRCA —</w:t>
            </w:r>
          </w:p>
          <w:p w14:paraId="202679E1" w14:textId="451D4F70" w:rsidR="00ED1468" w:rsidRDefault="00CE2E16" w:rsidP="00292A53">
            <w:pPr>
              <w:spacing w:after="60"/>
              <w:rPr>
                <w:rFonts w:cs="Arial"/>
                <w:color w:val="000000"/>
                <w:sz w:val="14"/>
                <w:szCs w:val="16"/>
                <w:lang w:val="en-GB"/>
              </w:rPr>
            </w:pPr>
            <w:r w:rsidRPr="00CE2E16">
              <w:rPr>
                <w:rFonts w:cs="Arial"/>
                <w:color w:val="000000"/>
                <w:sz w:val="14"/>
                <w:szCs w:val="16"/>
                <w:lang w:val="en-GB"/>
              </w:rPr>
              <w:t xml:space="preserve">Damages shall not exceed </w:t>
            </w:r>
            <w:r w:rsidR="00922480">
              <w:rPr>
                <w:rFonts w:cs="Arial"/>
                <w:color w:val="000000"/>
                <w:sz w:val="14"/>
                <w:szCs w:val="16"/>
                <w:lang w:val="en-GB"/>
              </w:rPr>
              <w:t>$110</w:t>
            </w:r>
            <w:r w:rsidR="00943989">
              <w:rPr>
                <w:rFonts w:cs="Arial"/>
                <w:color w:val="000000"/>
                <w:sz w:val="14"/>
                <w:szCs w:val="16"/>
                <w:lang w:val="en-GB"/>
              </w:rPr>
              <w:t>,</w:t>
            </w:r>
            <w:r w:rsidR="00ED1468">
              <w:rPr>
                <w:rFonts w:cs="Arial"/>
                <w:color w:val="000000"/>
                <w:sz w:val="14"/>
                <w:szCs w:val="16"/>
                <w:lang w:val="en-GB"/>
              </w:rPr>
              <w:t xml:space="preserve">000. </w:t>
            </w:r>
          </w:p>
          <w:p w14:paraId="58719B0F" w14:textId="7F1E6275" w:rsidR="00CE2E16" w:rsidRPr="00CE2E16" w:rsidRDefault="00ED1468" w:rsidP="00292A53">
            <w:pPr>
              <w:spacing w:after="60"/>
              <w:rPr>
                <w:rFonts w:cs="Arial"/>
                <w:color w:val="000000"/>
                <w:sz w:val="14"/>
                <w:szCs w:val="16"/>
                <w:lang w:val="en-GB"/>
              </w:rPr>
            </w:pPr>
            <w:r>
              <w:rPr>
                <w:rFonts w:cs="Arial"/>
                <w:color w:val="000000"/>
                <w:sz w:val="14"/>
                <w:szCs w:val="16"/>
                <w:lang w:val="en-GB"/>
              </w:rPr>
              <w:t>This amount is not indexed</w:t>
            </w:r>
          </w:p>
        </w:tc>
      </w:tr>
      <w:tr w:rsidR="00CE2E16" w:rsidRPr="00CE2E16" w14:paraId="02387B60" w14:textId="77777777" w:rsidTr="00B2173F">
        <w:tc>
          <w:tcPr>
            <w:tcW w:w="1626" w:type="dxa"/>
            <w:tcMar>
              <w:top w:w="80" w:type="dxa"/>
              <w:left w:w="80" w:type="dxa"/>
              <w:bottom w:w="80" w:type="dxa"/>
              <w:right w:w="80" w:type="dxa"/>
            </w:tcMar>
          </w:tcPr>
          <w:p w14:paraId="254195A8" w14:textId="33E226BB"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New Zealand</w:t>
            </w:r>
          </w:p>
        </w:tc>
        <w:tc>
          <w:tcPr>
            <w:tcW w:w="2759" w:type="dxa"/>
            <w:tcMar>
              <w:top w:w="80" w:type="dxa"/>
              <w:left w:w="80" w:type="dxa"/>
              <w:bottom w:w="80" w:type="dxa"/>
              <w:right w:w="80" w:type="dxa"/>
            </w:tcMar>
          </w:tcPr>
          <w:p w14:paraId="60171A3B"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People do not have the right to sue for personal injury, except for exemplary damages.</w:t>
            </w:r>
          </w:p>
        </w:tc>
        <w:tc>
          <w:tcPr>
            <w:tcW w:w="2759" w:type="dxa"/>
            <w:tcMar>
              <w:top w:w="80" w:type="dxa"/>
              <w:left w:w="80" w:type="dxa"/>
              <w:bottom w:w="80" w:type="dxa"/>
              <w:right w:w="80" w:type="dxa"/>
            </w:tcMar>
          </w:tcPr>
          <w:p w14:paraId="71563F38"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These damages are punitive, and aimed at punishing the conduct of the offender. They are not intended to compensate for the injury.</w:t>
            </w:r>
          </w:p>
        </w:tc>
        <w:tc>
          <w:tcPr>
            <w:tcW w:w="2759" w:type="dxa"/>
            <w:tcMar>
              <w:top w:w="80" w:type="dxa"/>
              <w:left w:w="80" w:type="dxa"/>
              <w:bottom w:w="80" w:type="dxa"/>
              <w:right w:w="80" w:type="dxa"/>
            </w:tcMar>
          </w:tcPr>
          <w:p w14:paraId="14C435DE" w14:textId="321039AC" w:rsidR="00CE2E16" w:rsidRPr="00CE2E16" w:rsidRDefault="00ED1468" w:rsidP="00292A53">
            <w:pPr>
              <w:spacing w:after="60"/>
              <w:rPr>
                <w:rFonts w:cs="Arial"/>
                <w:color w:val="000000"/>
                <w:sz w:val="14"/>
                <w:szCs w:val="16"/>
                <w:lang w:val="en-GB"/>
              </w:rPr>
            </w:pPr>
            <w:r>
              <w:rPr>
                <w:rFonts w:cs="Arial"/>
                <w:color w:val="000000"/>
                <w:sz w:val="14"/>
                <w:szCs w:val="16"/>
                <w:lang w:val="en-GB"/>
              </w:rPr>
              <w:t>No threshold</w:t>
            </w:r>
          </w:p>
        </w:tc>
        <w:tc>
          <w:tcPr>
            <w:tcW w:w="2759" w:type="dxa"/>
            <w:tcMar>
              <w:top w:w="80" w:type="dxa"/>
              <w:left w:w="80" w:type="dxa"/>
              <w:bottom w:w="80" w:type="dxa"/>
              <w:right w:w="80" w:type="dxa"/>
            </w:tcMar>
          </w:tcPr>
          <w:p w14:paraId="46533621" w14:textId="3381431E"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c>
          <w:tcPr>
            <w:tcW w:w="2759" w:type="dxa"/>
            <w:tcMar>
              <w:top w:w="80" w:type="dxa"/>
              <w:left w:w="80" w:type="dxa"/>
              <w:bottom w:w="80" w:type="dxa"/>
              <w:right w:w="80" w:type="dxa"/>
            </w:tcMar>
          </w:tcPr>
          <w:p w14:paraId="01505779" w14:textId="00F8A241"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r>
    </w:tbl>
    <w:p w14:paraId="31203690" w14:textId="636CC9C9" w:rsidR="006733F4" w:rsidRPr="00A80282" w:rsidRDefault="006733F4" w:rsidP="00A80282">
      <w:pPr>
        <w:pStyle w:val="SWATableheader"/>
      </w:pPr>
      <w:bookmarkStart w:id="147" w:name="_Toc504654683"/>
      <w:bookmarkStart w:id="148" w:name="cessation"/>
      <w:r w:rsidRPr="00A80282">
        <w:lastRenderedPageBreak/>
        <w:t>Table 4.7: Suspension and cessation of benefits</w:t>
      </w:r>
      <w:bookmarkEnd w:id="147"/>
      <w:r w:rsidR="00854F23" w:rsidRPr="00A80282">
        <w:t xml:space="preserve"> </w:t>
      </w:r>
      <w:r w:rsidR="00854F23" w:rsidRPr="00A80282">
        <w:fldChar w:fldCharType="begin"/>
      </w:r>
      <w:r w:rsidR="00854F23" w:rsidRPr="00A80282">
        <w:instrText xml:space="preserve"> XE "benefits:suspension and cessation of benefits" \r "cessation" </w:instrText>
      </w:r>
      <w:r w:rsidR="00854F23" w:rsidRPr="00A80282">
        <w:fldChar w:fldCharType="end"/>
      </w:r>
      <w:r w:rsidR="00CA3CD4" w:rsidRPr="00A80282">
        <w:t xml:space="preserve"> </w:t>
      </w:r>
      <w:r w:rsidR="00CA3CD4" w:rsidRPr="00A80282">
        <w:fldChar w:fldCharType="begin"/>
      </w:r>
      <w:r w:rsidR="00CA3CD4" w:rsidRPr="00A80282">
        <w:instrText xml:space="preserve"> XE "suspension and cessation of benefits" \r "cessation" </w:instrText>
      </w:r>
      <w:r w:rsidR="00CA3CD4" w:rsidRPr="00A80282">
        <w:fldChar w:fldCharType="end"/>
      </w:r>
    </w:p>
    <w:tbl>
      <w:tblPr>
        <w:tblW w:w="15354" w:type="dxa"/>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7: Suspension and cessation of benefits  "/>
        <w:tblDescription w:val="This table outlines the suspension and cessation of benefits under the workers' compensation schemes. "/>
      </w:tblPr>
      <w:tblGrid>
        <w:gridCol w:w="1559"/>
        <w:gridCol w:w="13795"/>
      </w:tblGrid>
      <w:tr w:rsidR="006733F4" w:rsidRPr="006733F4" w14:paraId="75E607BD" w14:textId="77777777" w:rsidTr="00922480">
        <w:trPr>
          <w:tblHeader/>
        </w:trPr>
        <w:tc>
          <w:tcPr>
            <w:tcW w:w="1559" w:type="dxa"/>
            <w:shd w:val="clear" w:color="auto" w:fill="C00000"/>
            <w:tcMar>
              <w:top w:w="0" w:type="dxa"/>
              <w:left w:w="0" w:type="dxa"/>
              <w:bottom w:w="0" w:type="dxa"/>
              <w:right w:w="0" w:type="dxa"/>
            </w:tcMar>
            <w:vAlign w:val="center"/>
          </w:tcPr>
          <w:p w14:paraId="3BDA088E" w14:textId="4E18EF42" w:rsidR="006733F4" w:rsidRPr="006733F4" w:rsidRDefault="006733F4" w:rsidP="00292A53">
            <w:pPr>
              <w:pStyle w:val="Tableheaderrow"/>
              <w:spacing w:after="60"/>
            </w:pPr>
          </w:p>
        </w:tc>
        <w:tc>
          <w:tcPr>
            <w:tcW w:w="13795" w:type="dxa"/>
            <w:shd w:val="clear" w:color="auto" w:fill="C00000"/>
            <w:tcMar>
              <w:top w:w="0" w:type="dxa"/>
              <w:left w:w="0" w:type="dxa"/>
              <w:bottom w:w="0" w:type="dxa"/>
              <w:right w:w="0" w:type="dxa"/>
            </w:tcMar>
            <w:vAlign w:val="center"/>
          </w:tcPr>
          <w:p w14:paraId="36870C0C" w14:textId="77777777" w:rsidR="006733F4" w:rsidRPr="006733F4" w:rsidRDefault="006733F4" w:rsidP="00292A53">
            <w:pPr>
              <w:pStyle w:val="Tableheaderrow"/>
              <w:spacing w:after="60"/>
            </w:pPr>
            <w:r w:rsidRPr="006733F4">
              <w:t>Criteria for suspension of compensation payments</w:t>
            </w:r>
          </w:p>
        </w:tc>
      </w:tr>
      <w:tr w:rsidR="006733F4" w:rsidRPr="006733F4" w14:paraId="479C62E4" w14:textId="77777777" w:rsidTr="00922480">
        <w:tc>
          <w:tcPr>
            <w:tcW w:w="1559" w:type="dxa"/>
            <w:shd w:val="clear" w:color="auto" w:fill="FFC9C9"/>
            <w:tcMar>
              <w:top w:w="80" w:type="dxa"/>
              <w:left w:w="80" w:type="dxa"/>
              <w:bottom w:w="80" w:type="dxa"/>
              <w:right w:w="80" w:type="dxa"/>
            </w:tcMar>
          </w:tcPr>
          <w:p w14:paraId="14C3E6A2"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New South Wales</w:t>
            </w:r>
          </w:p>
        </w:tc>
        <w:tc>
          <w:tcPr>
            <w:tcW w:w="13795" w:type="dxa"/>
            <w:shd w:val="clear" w:color="auto" w:fill="FFC9C9"/>
            <w:tcMar>
              <w:top w:w="80" w:type="dxa"/>
              <w:left w:w="80" w:type="dxa"/>
              <w:bottom w:w="80" w:type="dxa"/>
              <w:right w:w="80" w:type="dxa"/>
            </w:tcMar>
          </w:tcPr>
          <w:p w14:paraId="3A7389D4" w14:textId="77777777" w:rsidR="00943FC7" w:rsidRDefault="00943FC7" w:rsidP="00292A53">
            <w:pPr>
              <w:pStyle w:val="Tabledotpointlist7pt"/>
              <w:spacing w:after="60"/>
              <w:contextualSpacing w:val="0"/>
            </w:pPr>
            <w:r>
              <w:t>If a person recovers damages in respect of an injury from the employer liable to pay compensation under this Act then (except to the extent that ss(2), ss(3)</w:t>
            </w:r>
            <w:r w:rsidR="00F73250">
              <w:t>,</w:t>
            </w:r>
            <w:r>
              <w:t xml:space="preserve"> or ss(4) covers the case):</w:t>
            </w:r>
          </w:p>
          <w:p w14:paraId="7D7B4D99" w14:textId="77777777" w:rsidR="00943FC7" w:rsidRDefault="00943FC7" w:rsidP="00DF35F2">
            <w:pPr>
              <w:pStyle w:val="Tabledotpointlist7pt"/>
              <w:numPr>
                <w:ilvl w:val="0"/>
                <w:numId w:val="71"/>
              </w:numPr>
              <w:spacing w:after="60"/>
              <w:ind w:left="351" w:firstLine="0"/>
            </w:pPr>
            <w:r>
              <w:t>the person ceases to be entitled to any further compensation under this Act in respect of the injury concerned (including compensation claimed but not yet paid), and</w:t>
            </w:r>
          </w:p>
          <w:p w14:paraId="7E5CE0A3" w14:textId="77777777" w:rsidR="00943FC7" w:rsidRDefault="00943FC7" w:rsidP="00DF35F2">
            <w:pPr>
              <w:pStyle w:val="Tabledotpointlist7pt"/>
              <w:numPr>
                <w:ilvl w:val="0"/>
                <w:numId w:val="71"/>
              </w:numPr>
              <w:spacing w:after="60"/>
              <w:ind w:left="351" w:firstLine="0"/>
            </w:pPr>
            <w:r>
              <w:t>the amount of any weekly payments of compensation already paid in respect of the injury concerned is to be deducted from the damages (awarded or otherwise paid as a lump sum) and is to be paid to the person who paid the compensation, and</w:t>
            </w:r>
          </w:p>
          <w:p w14:paraId="4C22C95F" w14:textId="77777777" w:rsidR="00943FC7" w:rsidRDefault="00943FC7" w:rsidP="00DF35F2">
            <w:pPr>
              <w:pStyle w:val="Tabledotpointlist7pt"/>
              <w:numPr>
                <w:ilvl w:val="0"/>
                <w:numId w:val="71"/>
              </w:numPr>
              <w:spacing w:after="60"/>
              <w:ind w:left="351" w:firstLine="0"/>
              <w:contextualSpacing w:val="0"/>
            </w:pPr>
            <w:r>
              <w:t>the person ceases to be entitled to participate in any injury</w:t>
            </w:r>
            <w:r w:rsidR="00293392">
              <w:t xml:space="preserve"> </w:t>
            </w:r>
            <w:r>
              <w:t>management program provided for under this Act or the 1998 Act</w:t>
            </w:r>
          </w:p>
          <w:p w14:paraId="6D941A99" w14:textId="322646D1" w:rsidR="00943FC7" w:rsidRDefault="00943FC7" w:rsidP="00292A53">
            <w:pPr>
              <w:pStyle w:val="Tabledotpointlist7pt"/>
              <w:numPr>
                <w:ilvl w:val="0"/>
                <w:numId w:val="0"/>
              </w:numPr>
              <w:spacing w:after="60"/>
              <w:contextualSpacing w:val="0"/>
            </w:pPr>
            <w:r>
              <w:t xml:space="preserve">— </w:t>
            </w:r>
            <w:hyperlink r:id="rId1380" w:history="1">
              <w:r w:rsidRPr="008D5B61">
                <w:rPr>
                  <w:rStyle w:val="Hyperlink"/>
                </w:rPr>
                <w:t>s151A</w:t>
              </w:r>
            </w:hyperlink>
            <w:r>
              <w:t xml:space="preserve">, </w:t>
            </w:r>
            <w:r w:rsidR="008D5B61" w:rsidRPr="00016069">
              <w:rPr>
                <w:i/>
              </w:rPr>
              <w:t>Workers Compensation Act 1987</w:t>
            </w:r>
            <w:r>
              <w:t>.</w:t>
            </w:r>
          </w:p>
          <w:p w14:paraId="65CD5EA9" w14:textId="08466ED1" w:rsidR="00943FC7" w:rsidRDefault="00A630B7" w:rsidP="00292A53">
            <w:pPr>
              <w:pStyle w:val="Tabledotpointlist7pt"/>
              <w:spacing w:after="60"/>
              <w:ind w:left="357" w:hanging="357"/>
            </w:pPr>
            <w:r>
              <w:t xml:space="preserve">If the worker fails to provide a certificate of capacity / medical certificate — </w:t>
            </w:r>
            <w:r w:rsidR="00943FC7">
              <w:t>The insurer may discontinue weekly payments of compensation if the worker fails to comply with a requirement under</w:t>
            </w:r>
            <w:r>
              <w:t xml:space="preserve"> </w:t>
            </w:r>
            <w:hyperlink r:id="rId1381" w:history="1">
              <w:r w:rsidRPr="00C116FD">
                <w:rPr>
                  <w:rStyle w:val="Hyperlink"/>
                </w:rPr>
                <w:t>s270</w:t>
              </w:r>
            </w:hyperlink>
            <w:r>
              <w:t xml:space="preserve"> 1998 Act or </w:t>
            </w:r>
            <w:hyperlink r:id="rId1382" w:history="1">
              <w:r w:rsidRPr="00C116FD">
                <w:rPr>
                  <w:rStyle w:val="Hyperlink"/>
                </w:rPr>
                <w:t>s44b</w:t>
              </w:r>
            </w:hyperlink>
            <w:r>
              <w:t xml:space="preserve"> 1987 Act</w:t>
            </w:r>
            <w:r w:rsidR="00943FC7">
              <w:t xml:space="preserve"> within 7 days after it is communicated to the w</w:t>
            </w:r>
            <w:r w:rsidR="008D5B61">
              <w:t xml:space="preserve">orker by the insurer’ — </w:t>
            </w:r>
            <w:hyperlink r:id="rId1383" w:history="1">
              <w:r w:rsidR="008D5B61" w:rsidRPr="008D5B61">
                <w:rPr>
                  <w:rStyle w:val="Hyperlink"/>
                </w:rPr>
                <w:t>s270(2)</w:t>
              </w:r>
            </w:hyperlink>
            <w:r w:rsidR="00943FC7">
              <w:t xml:space="preserve"> </w:t>
            </w:r>
            <w:r w:rsidR="008D5B61" w:rsidRPr="00016069">
              <w:rPr>
                <w:i/>
              </w:rPr>
              <w:t>Workplace Injury Management and</w:t>
            </w:r>
            <w:r w:rsidR="008D5B61">
              <w:rPr>
                <w:i/>
              </w:rPr>
              <w:t xml:space="preserve"> Workers Compensation Act 1998</w:t>
            </w:r>
            <w:r w:rsidR="008D5B61">
              <w:t xml:space="preserve"> / </w:t>
            </w:r>
            <w:hyperlink r:id="rId1384" w:history="1">
              <w:r w:rsidR="008D5B61" w:rsidRPr="008D5B61">
                <w:rPr>
                  <w:rStyle w:val="Hyperlink"/>
                </w:rPr>
                <w:t>s44B</w:t>
              </w:r>
              <w:r w:rsidRPr="008D5B61">
                <w:rPr>
                  <w:rStyle w:val="Hyperlink"/>
                </w:rPr>
                <w:t>(6)</w:t>
              </w:r>
            </w:hyperlink>
            <w:r>
              <w:t xml:space="preserve"> 1987 Act</w:t>
            </w:r>
            <w:r w:rsidR="00943FC7">
              <w:t xml:space="preserve">. </w:t>
            </w:r>
          </w:p>
          <w:p w14:paraId="12B555A2" w14:textId="77777777" w:rsidR="00943FC7" w:rsidRDefault="00943FC7" w:rsidP="00292A53">
            <w:pPr>
              <w:pStyle w:val="Tabledotpointlist7pt"/>
              <w:spacing w:after="60"/>
              <w:ind w:left="357" w:hanging="357"/>
              <w:contextualSpacing w:val="0"/>
            </w:pPr>
            <w:r>
              <w:t>A liability in respect of any of the following kinds of compensation under this Act or the former Act may be commuted to a lump sum as provided by this Division (and not otherwise):</w:t>
            </w:r>
          </w:p>
          <w:p w14:paraId="51A2F254" w14:textId="77777777" w:rsidR="00943FC7" w:rsidRDefault="00943FC7" w:rsidP="00292A53">
            <w:pPr>
              <w:pStyle w:val="Tabledotpointlist7pt"/>
              <w:numPr>
                <w:ilvl w:val="0"/>
                <w:numId w:val="0"/>
              </w:numPr>
              <w:spacing w:after="60"/>
            </w:pPr>
            <w:r>
              <w:t>(a) weekly payments of compensation,</w:t>
            </w:r>
          </w:p>
          <w:p w14:paraId="73376F7B" w14:textId="77777777" w:rsidR="00943FC7" w:rsidRDefault="00943FC7" w:rsidP="00292A53">
            <w:pPr>
              <w:pStyle w:val="Tabledotpointlist7pt"/>
              <w:numPr>
                <w:ilvl w:val="0"/>
                <w:numId w:val="0"/>
              </w:numPr>
              <w:spacing w:after="60"/>
              <w:contextualSpacing w:val="0"/>
            </w:pPr>
            <w:r>
              <w:t>(b) compensation under Division 3 (Compensation for medical, hospital and rehabilitation expenses etc) of Part 3 of this Act or section 10 of the former Act.</w:t>
            </w:r>
          </w:p>
          <w:p w14:paraId="30BCC243" w14:textId="77777777" w:rsidR="00943FC7" w:rsidRDefault="00943FC7" w:rsidP="00292A53">
            <w:pPr>
              <w:pStyle w:val="Tabledotpointlist7pt"/>
              <w:spacing w:after="60"/>
              <w:ind w:left="357" w:hanging="357"/>
            </w:pPr>
            <w:r>
              <w:t>As part of a commutation agreement, a worker may agree that payment of a lump sum removes any liability to make a payment under Division 4 of Part 3 in respect of the injury concerned. This Division applies to the agreement for payment of that lump sum as if it were an agreement to commute the liability to pay that compensation to a lump sum. Payment of the lump sum removes any liability to which the agreement of the worker relates’ — s87F(8), 1998 Act</w:t>
            </w:r>
          </w:p>
          <w:p w14:paraId="5475527D" w14:textId="2CC174B9" w:rsidR="00943FC7" w:rsidRDefault="00943FC7" w:rsidP="00292A53">
            <w:pPr>
              <w:pStyle w:val="Tabledotpointlist7pt"/>
              <w:spacing w:after="60"/>
              <w:ind w:left="357" w:hanging="357"/>
            </w:pPr>
            <w:r>
              <w:t xml:space="preserve">If a worker has received 5 years of weekly payments and does not meet the threshold of at least 21% permanent impairment they cease to be entitled to weekly payments of compensation — </w:t>
            </w:r>
            <w:hyperlink r:id="rId1385" w:history="1">
              <w:r w:rsidRPr="00C116FD">
                <w:rPr>
                  <w:rStyle w:val="Hyperlink"/>
                </w:rPr>
                <w:t>s39</w:t>
              </w:r>
            </w:hyperlink>
            <w:r>
              <w:t xml:space="preserve">, 1987 Act. [Does not apply to exempt workers – police officer, fire fighters, paramedics, volunteers under the </w:t>
            </w:r>
            <w:r w:rsidRPr="00886185">
              <w:rPr>
                <w:i/>
              </w:rPr>
              <w:t>Workers Compensation Bush Fire</w:t>
            </w:r>
            <w:r w:rsidR="0036213E" w:rsidRPr="00886185">
              <w:rPr>
                <w:i/>
              </w:rPr>
              <w:t>, Emergency and Rescue Services</w:t>
            </w:r>
            <w:r w:rsidRPr="00886185">
              <w:rPr>
                <w:i/>
              </w:rPr>
              <w:t xml:space="preserve"> Act 1987</w:t>
            </w:r>
            <w:r>
              <w:t xml:space="preserve"> or workers employed in or about a coal mine.] </w:t>
            </w:r>
            <w:r w:rsidR="00A630B7">
              <w:t>Note: Workers who were in receipt of weekly payments immediately before 1 October 2012 (existing recipients) may continue to be entitled to weekly payments after 260 weeks if:</w:t>
            </w:r>
          </w:p>
          <w:p w14:paraId="7F1FF5BF" w14:textId="232F4108" w:rsidR="00A630B7" w:rsidRDefault="00A630B7" w:rsidP="00A630B7">
            <w:pPr>
              <w:pStyle w:val="Tabledotpointlist7pt"/>
              <w:numPr>
                <w:ilvl w:val="0"/>
                <w:numId w:val="0"/>
              </w:numPr>
              <w:spacing w:after="60"/>
              <w:ind w:left="357"/>
            </w:pPr>
            <w:r w:rsidRPr="00A630B7">
              <w:t>an assessment of the degree of permanent impairment is pending and has not been made because an approved medical specialist has declined to make the assessment on the basis that maximum medical improvement has not been reached and the degree of permanent impairment is not fully ascertainable, or the insurer is satisfied that the degree of permanent impairment is likely to be more than 20% (whether or not the degree of permanent impairment has previously been assessed).</w:t>
            </w:r>
          </w:p>
          <w:p w14:paraId="33EA708F" w14:textId="77777777" w:rsidR="00943FC7" w:rsidRDefault="00943FC7" w:rsidP="00292A53">
            <w:pPr>
              <w:pStyle w:val="Tabledotpointlist7pt"/>
              <w:spacing w:after="60"/>
              <w:contextualSpacing w:val="0"/>
            </w:pPr>
            <w:r>
              <w:t>If a worker refuses to submit himself or herself for any examination under this section or in any way obstructs the examination:</w:t>
            </w:r>
          </w:p>
          <w:p w14:paraId="43ECEE0C" w14:textId="77777777" w:rsidR="00943FC7" w:rsidRDefault="00943FC7" w:rsidP="00F839DB">
            <w:pPr>
              <w:pStyle w:val="Tabledotpointlist7pt"/>
              <w:numPr>
                <w:ilvl w:val="0"/>
                <w:numId w:val="528"/>
              </w:numPr>
              <w:spacing w:after="60"/>
              <w:ind w:hanging="9"/>
            </w:pPr>
            <w:r>
              <w:t>the worker’s right to recover compensation under this Act with respect to the injury, or</w:t>
            </w:r>
          </w:p>
          <w:p w14:paraId="737522DD" w14:textId="77777777" w:rsidR="00943FC7" w:rsidRDefault="00943FC7" w:rsidP="00F839DB">
            <w:pPr>
              <w:pStyle w:val="Tabledotpointlist7pt"/>
              <w:numPr>
                <w:ilvl w:val="0"/>
                <w:numId w:val="528"/>
              </w:numPr>
              <w:spacing w:after="60"/>
              <w:ind w:hanging="9"/>
            </w:pPr>
            <w:r>
              <w:t xml:space="preserve">the worker’s right to the weekly payments, is suspended until the examination has taken place </w:t>
            </w:r>
          </w:p>
          <w:p w14:paraId="6FC776B0" w14:textId="76658197" w:rsidR="00943FC7" w:rsidRDefault="00943FC7" w:rsidP="00292A53">
            <w:pPr>
              <w:pStyle w:val="Tabledotpointlist7pt"/>
              <w:numPr>
                <w:ilvl w:val="0"/>
                <w:numId w:val="0"/>
              </w:numPr>
              <w:spacing w:after="60"/>
              <w:contextualSpacing w:val="0"/>
            </w:pPr>
            <w:r>
              <w:t xml:space="preserve">— </w:t>
            </w:r>
            <w:hyperlink r:id="rId1386" w:history="1">
              <w:r w:rsidRPr="008D5B61">
                <w:rPr>
                  <w:rStyle w:val="Hyperlink"/>
                </w:rPr>
                <w:t>s119(3)</w:t>
              </w:r>
            </w:hyperlink>
            <w:r w:rsidR="00A630B7">
              <w:t xml:space="preserve"> and </w:t>
            </w:r>
            <w:hyperlink r:id="rId1387" w:history="1">
              <w:r w:rsidR="00A630B7" w:rsidRPr="008D5B61">
                <w:rPr>
                  <w:rStyle w:val="Hyperlink"/>
                </w:rPr>
                <w:t>s120(2)</w:t>
              </w:r>
            </w:hyperlink>
            <w:r>
              <w:t>, 1998 Act</w:t>
            </w:r>
          </w:p>
          <w:p w14:paraId="6C95F8AA" w14:textId="2A3E6C6E" w:rsidR="00A630B7" w:rsidRDefault="00197AFB" w:rsidP="00F839DB">
            <w:pPr>
              <w:pStyle w:val="Tabledotpointlist7pt"/>
              <w:numPr>
                <w:ilvl w:val="0"/>
                <w:numId w:val="573"/>
              </w:numPr>
              <w:spacing w:after="60"/>
              <w:ind w:left="357" w:hanging="357"/>
              <w:contextualSpacing w:val="0"/>
            </w:pPr>
            <w:r>
              <w:t xml:space="preserve">If a worker refuses to attend an assessment (under </w:t>
            </w:r>
            <w:hyperlink r:id="rId1388" w:history="1">
              <w:r w:rsidRPr="00C116FD">
                <w:rPr>
                  <w:rStyle w:val="Hyperlink"/>
                </w:rPr>
                <w:t>s44A</w:t>
              </w:r>
            </w:hyperlink>
            <w:r>
              <w:t xml:space="preserve"> 1987 Act) or the assessment does not take place because of the worker’s failure to properly participate in it, the worker’s right to weekly payments is suspended until the assessment has taken place</w:t>
            </w:r>
          </w:p>
          <w:p w14:paraId="3A76F371" w14:textId="6968C394" w:rsidR="00197AFB" w:rsidRDefault="00197AFB" w:rsidP="00197AFB">
            <w:pPr>
              <w:pStyle w:val="Tabledotpointlist7pt"/>
              <w:numPr>
                <w:ilvl w:val="0"/>
                <w:numId w:val="0"/>
              </w:numPr>
              <w:spacing w:after="60"/>
              <w:ind w:left="357"/>
              <w:contextualSpacing w:val="0"/>
            </w:pPr>
            <w:r>
              <w:t xml:space="preserve">[Does not apply to exempt workers — police officer, fire fighters, paramedics, volunteers under the </w:t>
            </w:r>
            <w:r w:rsidRPr="00886185">
              <w:rPr>
                <w:i/>
              </w:rPr>
              <w:t>Workers Compensation Bush Fire, Emergency and Rescue Services) Act 1987</w:t>
            </w:r>
            <w:r>
              <w:t xml:space="preserve"> or workers employed in or about a coal mine</w:t>
            </w:r>
            <w:r w:rsidR="002F03D4">
              <w:t>.]</w:t>
            </w:r>
          </w:p>
          <w:p w14:paraId="52212843" w14:textId="0EC2EA42" w:rsidR="00943FC7" w:rsidRDefault="002F03D4" w:rsidP="00292A53">
            <w:pPr>
              <w:pStyle w:val="Tabledotpointlist7pt"/>
              <w:spacing w:after="60"/>
              <w:contextualSpacing w:val="0"/>
            </w:pPr>
            <w:r>
              <w:t xml:space="preserve">If a worker does not comply with an obligation imposed under </w:t>
            </w:r>
            <w:hyperlink r:id="rId1389" w:history="1">
              <w:r w:rsidRPr="00C116FD">
                <w:rPr>
                  <w:rStyle w:val="Hyperlink"/>
                </w:rPr>
                <w:t>section 48</w:t>
              </w:r>
            </w:hyperlink>
            <w:r>
              <w:t xml:space="preserve"> of 1998 Act [return to work obligations], the insurer may in accordance with this section:</w:t>
            </w:r>
          </w:p>
          <w:p w14:paraId="255D02F0" w14:textId="6BC4F990" w:rsidR="002F03D4" w:rsidRDefault="002F03D4" w:rsidP="002F03D4">
            <w:pPr>
              <w:pStyle w:val="Tabledotpointlist7pt"/>
              <w:numPr>
                <w:ilvl w:val="0"/>
                <w:numId w:val="72"/>
              </w:numPr>
              <w:spacing w:after="60"/>
              <w:ind w:left="357" w:hanging="6"/>
            </w:pPr>
            <w:r w:rsidRPr="002F03D4">
              <w:t>suspend the payment of compensation in the form of weekly payments to the worker, or</w:t>
            </w:r>
            <w:r w:rsidRPr="002F03D4" w:rsidDel="002F03D4">
              <w:t xml:space="preserve"> </w:t>
            </w:r>
          </w:p>
          <w:p w14:paraId="5F9DA0D0" w14:textId="77777777" w:rsidR="00754514" w:rsidRDefault="002F03D4" w:rsidP="0033158B">
            <w:pPr>
              <w:pStyle w:val="Tabledotpointlist7pt"/>
              <w:numPr>
                <w:ilvl w:val="0"/>
                <w:numId w:val="72"/>
              </w:numPr>
              <w:spacing w:after="60"/>
              <w:ind w:left="357" w:hanging="6"/>
              <w:contextualSpacing w:val="0"/>
            </w:pPr>
            <w:r>
              <w:t xml:space="preserve">terminate the payment of compensation </w:t>
            </w:r>
            <w:r w:rsidR="00D9612A">
              <w:t>in the form of weekly payments to the worker, or</w:t>
            </w:r>
          </w:p>
          <w:p w14:paraId="7642BFA7" w14:textId="26888D33" w:rsidR="00D9612A" w:rsidRDefault="00D9612A" w:rsidP="0033158B">
            <w:pPr>
              <w:pStyle w:val="Tabledotpointlist7pt"/>
              <w:numPr>
                <w:ilvl w:val="0"/>
                <w:numId w:val="72"/>
              </w:numPr>
              <w:spacing w:after="60"/>
              <w:ind w:left="357" w:hanging="6"/>
              <w:contextualSpacing w:val="0"/>
            </w:pPr>
            <w:r>
              <w:t>cease and determine the entitlement of the worker compensation in the form of weekly payments in respect of the injury under this Act.</w:t>
            </w:r>
          </w:p>
          <w:p w14:paraId="0DA2D7F8" w14:textId="2C078A9E" w:rsidR="00D9612A" w:rsidRDefault="00D9612A" w:rsidP="00D9612A">
            <w:pPr>
              <w:pStyle w:val="Tabledotpointlist7pt"/>
              <w:numPr>
                <w:ilvl w:val="0"/>
                <w:numId w:val="0"/>
              </w:numPr>
              <w:spacing w:after="60"/>
              <w:ind w:left="357"/>
              <w:contextualSpacing w:val="0"/>
            </w:pPr>
            <w:r>
              <w:t xml:space="preserve">[Does not apply to exempt workers — police officer, fire fighters, paramedics, volunteers under the </w:t>
            </w:r>
            <w:r w:rsidRPr="00886185">
              <w:rPr>
                <w:i/>
              </w:rPr>
              <w:t>Workers Compensation Bush Fire, Emergency and Rescue Services Act 1987</w:t>
            </w:r>
            <w:r>
              <w:t xml:space="preserve"> or workers employed in or about a coal mine.</w:t>
            </w:r>
          </w:p>
          <w:p w14:paraId="0984D2EC" w14:textId="0780F08B" w:rsidR="006733F4" w:rsidRPr="00D9612A" w:rsidRDefault="00943FC7" w:rsidP="00D9612A">
            <w:pPr>
              <w:pStyle w:val="Tabledotpointlist7pt"/>
              <w:numPr>
                <w:ilvl w:val="0"/>
                <w:numId w:val="0"/>
              </w:numPr>
              <w:spacing w:after="60"/>
              <w:contextualSpacing w:val="0"/>
            </w:pPr>
            <w:r>
              <w:t>— s52A, 1987 Act (as at 18 June 2012) [</w:t>
            </w:r>
            <w:r w:rsidRPr="00D9612A">
              <w:rPr>
                <w:b/>
              </w:rPr>
              <w:t>Only applies to exempt workers</w:t>
            </w:r>
            <w:r>
              <w:t xml:space="preserve"> </w:t>
            </w:r>
            <w:r w:rsidR="00D9612A">
              <w:t>—</w:t>
            </w:r>
            <w:r>
              <w:t xml:space="preserve"> police officer, fire fighters, and paramedics.] If a worker receiving, or entitled to receive, a weekly payment of compensation under an award ceases to reside in Australia, the worker shall thereupon cease to be entitled to receive any weekly payment, unless an approved medical specialist certifies, or the Workers Compensation Commission determines, that the incapacity for work resulting from the injury is likely to be of a permane</w:t>
            </w:r>
            <w:r w:rsidR="00D9612A">
              <w:t xml:space="preserve">nt nature’ — </w:t>
            </w:r>
            <w:hyperlink r:id="rId1390" w:history="1">
              <w:r w:rsidR="00D9612A" w:rsidRPr="008D5B61">
                <w:rPr>
                  <w:rStyle w:val="Hyperlink"/>
                </w:rPr>
                <w:t>s53(1)</w:t>
              </w:r>
            </w:hyperlink>
            <w:r w:rsidR="00D9612A">
              <w:t xml:space="preserve">, 1987 Act. </w:t>
            </w:r>
          </w:p>
        </w:tc>
      </w:tr>
      <w:tr w:rsidR="006733F4" w:rsidRPr="006733F4" w14:paraId="6A612C1C" w14:textId="77777777" w:rsidTr="00922480">
        <w:tc>
          <w:tcPr>
            <w:tcW w:w="1559" w:type="dxa"/>
            <w:tcMar>
              <w:top w:w="80" w:type="dxa"/>
              <w:left w:w="80" w:type="dxa"/>
              <w:bottom w:w="80" w:type="dxa"/>
              <w:right w:w="80" w:type="dxa"/>
            </w:tcMar>
          </w:tcPr>
          <w:p w14:paraId="558A9B08" w14:textId="79BF6406"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Victoria</w:t>
            </w:r>
          </w:p>
        </w:tc>
        <w:tc>
          <w:tcPr>
            <w:tcW w:w="13795" w:type="dxa"/>
            <w:tcMar>
              <w:top w:w="80" w:type="dxa"/>
              <w:left w:w="80" w:type="dxa"/>
              <w:bottom w:w="80" w:type="dxa"/>
              <w:right w:w="80" w:type="dxa"/>
            </w:tcMar>
          </w:tcPr>
          <w:p w14:paraId="416A6E1A" w14:textId="4683DF39"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A worker’s entitlement to compensation and access to court proceedings may be suspended if the worker unreasonably refuses to have a medical examination or unreasonably obstructs a medical examination until the examination takes place and weekly payments are forfeited for the suspension period — </w:t>
            </w:r>
            <w:hyperlink r:id="rId1391" w:history="1">
              <w:r w:rsidRPr="00C116FD">
                <w:rPr>
                  <w:rStyle w:val="Hyperlink"/>
                  <w:rFonts w:cs="Arial"/>
                  <w:sz w:val="14"/>
                  <w:szCs w:val="16"/>
                  <w:lang w:val="en-GB"/>
                </w:rPr>
                <w:t>s27</w:t>
              </w:r>
            </w:hyperlink>
            <w:r w:rsidR="00C116FD">
              <w:rPr>
                <w:rFonts w:cs="Arial"/>
                <w:color w:val="000000"/>
                <w:sz w:val="14"/>
                <w:szCs w:val="16"/>
                <w:lang w:val="en-GB"/>
              </w:rPr>
              <w:t xml:space="preserve"> </w:t>
            </w:r>
            <w:r w:rsidR="00C116FD" w:rsidRPr="00016069">
              <w:rPr>
                <w:i/>
                <w:sz w:val="14"/>
              </w:rPr>
              <w:t>Workplace Injury Rehabilitation and Compensation Act 2013</w:t>
            </w:r>
          </w:p>
          <w:p w14:paraId="2B0EC060" w14:textId="715FAD3F"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Weekly payments may be suspended, terminated or ceased and determined if the worker fails to comply with a return to work obligation </w:t>
            </w:r>
            <w:r w:rsidR="00C379F4">
              <w:rPr>
                <w:rFonts w:cs="Arial"/>
                <w:color w:val="000000"/>
                <w:sz w:val="14"/>
                <w:szCs w:val="16"/>
                <w:lang w:val="en-GB"/>
              </w:rPr>
              <w:t>—</w:t>
            </w:r>
            <w:r w:rsidR="00C379F4" w:rsidRPr="006733F4">
              <w:rPr>
                <w:rFonts w:cs="Arial"/>
                <w:color w:val="000000"/>
                <w:sz w:val="14"/>
                <w:szCs w:val="16"/>
                <w:lang w:val="en-GB"/>
              </w:rPr>
              <w:t xml:space="preserve"> </w:t>
            </w:r>
            <w:hyperlink r:id="rId1392" w:history="1">
              <w:r w:rsidRPr="00C116FD">
                <w:rPr>
                  <w:rStyle w:val="Hyperlink"/>
                  <w:rFonts w:cs="Arial"/>
                  <w:sz w:val="14"/>
                  <w:szCs w:val="16"/>
                  <w:lang w:val="en-GB"/>
                </w:rPr>
                <w:t>s116</w:t>
              </w:r>
            </w:hyperlink>
          </w:p>
          <w:p w14:paraId="6FF6F00C" w14:textId="519EC9CC"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Entitlement to weekly payments ceases if the worker is absent from Australia </w:t>
            </w:r>
            <w:r w:rsidR="00C379F4">
              <w:rPr>
                <w:rFonts w:cs="Arial"/>
                <w:color w:val="000000"/>
                <w:sz w:val="14"/>
                <w:szCs w:val="16"/>
                <w:lang w:val="en-GB"/>
              </w:rPr>
              <w:t>—</w:t>
            </w:r>
            <w:r w:rsidR="00C379F4" w:rsidRPr="006733F4">
              <w:rPr>
                <w:rFonts w:cs="Arial"/>
                <w:color w:val="000000"/>
                <w:sz w:val="14"/>
                <w:szCs w:val="16"/>
                <w:lang w:val="en-GB"/>
              </w:rPr>
              <w:t xml:space="preserve"> </w:t>
            </w:r>
            <w:hyperlink r:id="rId1393" w:history="1">
              <w:r w:rsidRPr="00C116FD">
                <w:rPr>
                  <w:rStyle w:val="Hyperlink"/>
                  <w:rFonts w:cs="Arial"/>
                  <w:sz w:val="14"/>
                  <w:szCs w:val="16"/>
                  <w:lang w:val="en-GB"/>
                </w:rPr>
                <w:t>s175</w:t>
              </w:r>
            </w:hyperlink>
          </w:p>
          <w:p w14:paraId="6F640001" w14:textId="5DE3F6A1" w:rsidR="006733F4" w:rsidRPr="006733F4" w:rsidRDefault="006733F4" w:rsidP="00C379F4">
            <w:pPr>
              <w:spacing w:after="60"/>
              <w:rPr>
                <w:rFonts w:cs="Arial"/>
                <w:color w:val="000000"/>
                <w:sz w:val="14"/>
                <w:szCs w:val="16"/>
                <w:lang w:val="en-GB"/>
              </w:rPr>
            </w:pPr>
            <w:r w:rsidRPr="006733F4">
              <w:rPr>
                <w:rFonts w:cs="Arial"/>
                <w:color w:val="000000"/>
                <w:sz w:val="14"/>
                <w:szCs w:val="16"/>
                <w:lang w:val="en-GB"/>
              </w:rPr>
              <w:t xml:space="preserve">No entitlement to weekly payments while worker serves a sentence of imprisonment </w:t>
            </w:r>
            <w:r w:rsidR="00C379F4">
              <w:rPr>
                <w:rFonts w:cs="Arial"/>
                <w:color w:val="000000"/>
                <w:sz w:val="14"/>
                <w:szCs w:val="16"/>
                <w:lang w:val="en-GB"/>
              </w:rPr>
              <w:t>—</w:t>
            </w:r>
            <w:r w:rsidR="00C379F4" w:rsidRPr="006733F4">
              <w:rPr>
                <w:rFonts w:cs="Arial"/>
                <w:color w:val="000000"/>
                <w:sz w:val="14"/>
                <w:szCs w:val="16"/>
                <w:lang w:val="en-GB"/>
              </w:rPr>
              <w:t xml:space="preserve"> </w:t>
            </w:r>
            <w:hyperlink r:id="rId1394" w:history="1">
              <w:r w:rsidRPr="00C116FD">
                <w:rPr>
                  <w:rStyle w:val="Hyperlink"/>
                  <w:rFonts w:cs="Arial"/>
                  <w:sz w:val="14"/>
                  <w:szCs w:val="16"/>
                  <w:lang w:val="en-GB"/>
                </w:rPr>
                <w:t>s177</w:t>
              </w:r>
            </w:hyperlink>
            <w:r w:rsidR="00E13D9F">
              <w:rPr>
                <w:rFonts w:cs="Arial"/>
                <w:color w:val="000000"/>
                <w:sz w:val="14"/>
                <w:szCs w:val="16"/>
                <w:lang w:val="en-GB"/>
              </w:rPr>
              <w:t>.</w:t>
            </w:r>
          </w:p>
        </w:tc>
      </w:tr>
      <w:tr w:rsidR="006733F4" w:rsidRPr="006733F4" w14:paraId="1B0177A8" w14:textId="77777777" w:rsidTr="00922480">
        <w:tc>
          <w:tcPr>
            <w:tcW w:w="1559" w:type="dxa"/>
            <w:shd w:val="clear" w:color="auto" w:fill="FFC9C9"/>
            <w:tcMar>
              <w:top w:w="80" w:type="dxa"/>
              <w:left w:w="80" w:type="dxa"/>
              <w:bottom w:w="80" w:type="dxa"/>
              <w:right w:w="80" w:type="dxa"/>
            </w:tcMar>
          </w:tcPr>
          <w:p w14:paraId="2CE610DB"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lastRenderedPageBreak/>
              <w:t>Queensland</w:t>
            </w:r>
          </w:p>
        </w:tc>
        <w:tc>
          <w:tcPr>
            <w:tcW w:w="13795" w:type="dxa"/>
            <w:shd w:val="clear" w:color="auto" w:fill="FFC9C9"/>
            <w:tcMar>
              <w:top w:w="80" w:type="dxa"/>
              <w:left w:w="80" w:type="dxa"/>
              <w:bottom w:w="80" w:type="dxa"/>
              <w:right w:w="80" w:type="dxa"/>
            </w:tcMar>
          </w:tcPr>
          <w:p w14:paraId="11215D81" w14:textId="77777777"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Insurer may suspend compensation if worker:</w:t>
            </w:r>
          </w:p>
          <w:p w14:paraId="480CDD54" w14:textId="5B307CF1" w:rsidR="006733F4" w:rsidRPr="005B2F5C" w:rsidRDefault="006733F4" w:rsidP="00F839DB">
            <w:pPr>
              <w:pStyle w:val="ListParagraph"/>
              <w:numPr>
                <w:ilvl w:val="0"/>
                <w:numId w:val="203"/>
              </w:numPr>
              <w:spacing w:after="60"/>
              <w:contextualSpacing/>
              <w:rPr>
                <w:rFonts w:eastAsia="Calibri" w:cs="Arial"/>
                <w:sz w:val="14"/>
                <w:szCs w:val="14"/>
                <w:lang w:eastAsia="en-US"/>
              </w:rPr>
            </w:pPr>
            <w:r w:rsidRPr="005B2F5C">
              <w:rPr>
                <w:rFonts w:eastAsia="Calibri" w:cs="Arial"/>
                <w:sz w:val="14"/>
                <w:szCs w:val="14"/>
                <w:lang w:eastAsia="en-US"/>
              </w:rPr>
              <w:t xml:space="preserve">is serving a term of imprisonment — </w:t>
            </w:r>
            <w:hyperlink r:id="rId1395" w:anchor="sec.137" w:history="1">
              <w:r w:rsidRPr="00C116FD">
                <w:rPr>
                  <w:rStyle w:val="Hyperlink"/>
                  <w:rFonts w:eastAsia="Calibri" w:cs="Arial"/>
                  <w:sz w:val="14"/>
                  <w:szCs w:val="14"/>
                  <w:lang w:eastAsia="en-US"/>
                </w:rPr>
                <w:t>s137</w:t>
              </w:r>
            </w:hyperlink>
            <w:r w:rsidR="00C116FD">
              <w:rPr>
                <w:rFonts w:eastAsia="Calibri" w:cs="Arial"/>
                <w:sz w:val="14"/>
                <w:szCs w:val="14"/>
                <w:lang w:eastAsia="en-US"/>
              </w:rPr>
              <w:t xml:space="preserve"> </w:t>
            </w:r>
            <w:r w:rsidR="00C116FD" w:rsidRPr="00016069">
              <w:rPr>
                <w:i/>
                <w:sz w:val="14"/>
              </w:rPr>
              <w:t>Workers’ Compensation and Rehabilitation Act 2003</w:t>
            </w:r>
          </w:p>
          <w:p w14:paraId="3093B396" w14:textId="574309D5" w:rsidR="006733F4" w:rsidRPr="005B2F5C" w:rsidRDefault="006733F4" w:rsidP="00F839DB">
            <w:pPr>
              <w:pStyle w:val="ListParagraph"/>
              <w:numPr>
                <w:ilvl w:val="0"/>
                <w:numId w:val="203"/>
              </w:numPr>
              <w:spacing w:after="60"/>
              <w:contextualSpacing/>
              <w:rPr>
                <w:rFonts w:eastAsia="Calibri" w:cs="Arial"/>
                <w:sz w:val="14"/>
                <w:szCs w:val="14"/>
                <w:lang w:eastAsia="en-US"/>
              </w:rPr>
            </w:pPr>
            <w:r w:rsidRPr="005B2F5C">
              <w:rPr>
                <w:rFonts w:eastAsia="Calibri" w:cs="Arial"/>
                <w:sz w:val="14"/>
                <w:szCs w:val="14"/>
                <w:lang w:eastAsia="en-US"/>
              </w:rPr>
              <w:t xml:space="preserve">fails to participate in an independent medical examination — </w:t>
            </w:r>
            <w:hyperlink r:id="rId1396" w:anchor="sec.135" w:history="1">
              <w:r w:rsidRPr="00C116FD">
                <w:rPr>
                  <w:rStyle w:val="Hyperlink"/>
                  <w:rFonts w:eastAsia="Calibri" w:cs="Arial"/>
                  <w:sz w:val="14"/>
                  <w:szCs w:val="14"/>
                  <w:lang w:eastAsia="en-US"/>
                </w:rPr>
                <w:t>s135</w:t>
              </w:r>
            </w:hyperlink>
          </w:p>
          <w:p w14:paraId="2D5D53B1" w14:textId="330A95C7" w:rsidR="006733F4" w:rsidRPr="005B2F5C" w:rsidRDefault="006733F4" w:rsidP="00F839DB">
            <w:pPr>
              <w:pStyle w:val="ListParagraph"/>
              <w:numPr>
                <w:ilvl w:val="0"/>
                <w:numId w:val="203"/>
              </w:numPr>
              <w:spacing w:after="60"/>
              <w:contextualSpacing/>
              <w:rPr>
                <w:rFonts w:eastAsia="Calibri" w:cs="Arial"/>
                <w:sz w:val="14"/>
                <w:szCs w:val="14"/>
                <w:lang w:eastAsia="en-US"/>
              </w:rPr>
            </w:pPr>
            <w:r w:rsidRPr="005B2F5C">
              <w:rPr>
                <w:rFonts w:eastAsia="Calibri" w:cs="Arial"/>
                <w:sz w:val="14"/>
                <w:szCs w:val="14"/>
                <w:lang w:eastAsia="en-US"/>
              </w:rPr>
              <w:t xml:space="preserve">fails to participate in rehabilitation — </w:t>
            </w:r>
            <w:hyperlink r:id="rId1397" w:anchor="sec.232" w:history="1">
              <w:r w:rsidRPr="00C116FD">
                <w:rPr>
                  <w:rStyle w:val="Hyperlink"/>
                  <w:rFonts w:eastAsia="Calibri" w:cs="Arial"/>
                  <w:sz w:val="14"/>
                  <w:szCs w:val="14"/>
                  <w:lang w:eastAsia="en-US"/>
                </w:rPr>
                <w:t>s232</w:t>
              </w:r>
            </w:hyperlink>
            <w:r w:rsidRPr="005B2F5C">
              <w:rPr>
                <w:rFonts w:eastAsia="Calibri" w:cs="Arial"/>
                <w:sz w:val="14"/>
                <w:szCs w:val="14"/>
                <w:lang w:eastAsia="en-US"/>
              </w:rPr>
              <w:t>, or</w:t>
            </w:r>
          </w:p>
          <w:p w14:paraId="70606ABD" w14:textId="6D0664ED" w:rsidR="006733F4" w:rsidRPr="005B2F5C" w:rsidRDefault="006733F4" w:rsidP="00F839DB">
            <w:pPr>
              <w:pStyle w:val="ListParagraph"/>
              <w:numPr>
                <w:ilvl w:val="0"/>
                <w:numId w:val="203"/>
              </w:numPr>
              <w:spacing w:after="60"/>
              <w:contextualSpacing/>
              <w:rPr>
                <w:rFonts w:eastAsia="Calibri" w:cs="Arial"/>
                <w:sz w:val="14"/>
                <w:szCs w:val="14"/>
                <w:lang w:eastAsia="en-US"/>
              </w:rPr>
            </w:pPr>
            <w:r w:rsidRPr="005B2F5C">
              <w:rPr>
                <w:rFonts w:eastAsia="Calibri" w:cs="Arial"/>
                <w:sz w:val="14"/>
                <w:szCs w:val="14"/>
                <w:lang w:eastAsia="en-US"/>
              </w:rPr>
              <w:t xml:space="preserve">fails to participate in an examination by the medical assessment tribunal — </w:t>
            </w:r>
            <w:hyperlink r:id="rId1398" w:anchor="sec.510" w:history="1">
              <w:r w:rsidRPr="00C116FD">
                <w:rPr>
                  <w:rStyle w:val="Hyperlink"/>
                  <w:rFonts w:eastAsia="Calibri" w:cs="Arial"/>
                  <w:sz w:val="14"/>
                  <w:szCs w:val="14"/>
                  <w:lang w:eastAsia="en-US"/>
                </w:rPr>
                <w:t>s510</w:t>
              </w:r>
            </w:hyperlink>
            <w:r w:rsidR="00C116FD">
              <w:rPr>
                <w:rFonts w:eastAsia="Calibri" w:cs="Arial"/>
                <w:sz w:val="14"/>
                <w:szCs w:val="14"/>
                <w:lang w:eastAsia="en-US"/>
              </w:rPr>
              <w:t>.</w:t>
            </w:r>
          </w:p>
          <w:p w14:paraId="3DEBD2C4" w14:textId="0B64F308"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If compensation payments are suspended, no compensation is payable for the period of suspension — </w:t>
            </w:r>
            <w:hyperlink r:id="rId1399" w:anchor="sec.138" w:history="1">
              <w:r w:rsidRPr="00C116FD">
                <w:rPr>
                  <w:rStyle w:val="Hyperlink"/>
                  <w:rFonts w:cs="Arial"/>
                  <w:sz w:val="14"/>
                  <w:szCs w:val="16"/>
                  <w:lang w:val="en-GB"/>
                </w:rPr>
                <w:t>s138</w:t>
              </w:r>
            </w:hyperlink>
            <w:r w:rsidRPr="006733F4">
              <w:rPr>
                <w:rFonts w:cs="Arial"/>
                <w:color w:val="000000"/>
                <w:sz w:val="14"/>
                <w:szCs w:val="16"/>
                <w:lang w:val="en-GB"/>
              </w:rPr>
              <w:t>.</w:t>
            </w:r>
          </w:p>
        </w:tc>
      </w:tr>
      <w:tr w:rsidR="006733F4" w:rsidRPr="006733F4" w14:paraId="1D3A0513" w14:textId="77777777" w:rsidTr="00922480">
        <w:tc>
          <w:tcPr>
            <w:tcW w:w="1559" w:type="dxa"/>
            <w:tcMar>
              <w:top w:w="80" w:type="dxa"/>
              <w:left w:w="80" w:type="dxa"/>
              <w:bottom w:w="80" w:type="dxa"/>
              <w:right w:w="80" w:type="dxa"/>
            </w:tcMar>
          </w:tcPr>
          <w:p w14:paraId="22582254"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Western Australia</w:t>
            </w:r>
          </w:p>
        </w:tc>
        <w:tc>
          <w:tcPr>
            <w:tcW w:w="13795" w:type="dxa"/>
            <w:tcMar>
              <w:top w:w="80" w:type="dxa"/>
              <w:left w:w="80" w:type="dxa"/>
              <w:bottom w:w="80" w:type="dxa"/>
              <w:right w:w="80" w:type="dxa"/>
            </w:tcMar>
          </w:tcPr>
          <w:p w14:paraId="2A29B022" w14:textId="70288D9F" w:rsidR="006733F4" w:rsidRPr="005B2F5C" w:rsidRDefault="006733F4" w:rsidP="00F839DB">
            <w:pPr>
              <w:pStyle w:val="ListParagraph"/>
              <w:numPr>
                <w:ilvl w:val="0"/>
                <w:numId w:val="204"/>
              </w:numPr>
              <w:spacing w:after="60"/>
              <w:contextualSpacing/>
              <w:rPr>
                <w:rFonts w:eastAsia="Calibri" w:cs="Arial"/>
                <w:sz w:val="14"/>
                <w:szCs w:val="14"/>
                <w:lang w:eastAsia="en-US"/>
              </w:rPr>
            </w:pPr>
            <w:r w:rsidRPr="005B2F5C">
              <w:rPr>
                <w:rFonts w:eastAsia="Calibri" w:cs="Arial"/>
                <w:sz w:val="14"/>
                <w:szCs w:val="14"/>
                <w:lang w:eastAsia="en-US"/>
              </w:rPr>
              <w:t xml:space="preserve">Suspension of payments during custody — </w:t>
            </w:r>
            <w:hyperlink r:id="rId1400" w:history="1">
              <w:r w:rsidRPr="0071499A">
                <w:rPr>
                  <w:rStyle w:val="Hyperlink"/>
                  <w:rFonts w:eastAsia="Calibri" w:cs="Arial"/>
                  <w:sz w:val="14"/>
                  <w:szCs w:val="14"/>
                  <w:lang w:eastAsia="en-US"/>
                </w:rPr>
                <w:t>s72</w:t>
              </w:r>
            </w:hyperlink>
            <w:r w:rsidR="0071499A">
              <w:rPr>
                <w:rFonts w:eastAsia="Calibri" w:cs="Arial"/>
                <w:sz w:val="14"/>
                <w:szCs w:val="14"/>
                <w:lang w:eastAsia="en-US"/>
              </w:rPr>
              <w:t xml:space="preserve"> </w:t>
            </w:r>
            <w:r w:rsidR="0071499A" w:rsidRPr="00016069">
              <w:rPr>
                <w:i/>
                <w:sz w:val="14"/>
              </w:rPr>
              <w:t>Workers’ Compensation and Injury Management Act 1981</w:t>
            </w:r>
          </w:p>
          <w:p w14:paraId="1C56C3FF" w14:textId="2DC90D08" w:rsidR="006733F4" w:rsidRPr="005B2F5C" w:rsidRDefault="006733F4" w:rsidP="00F839DB">
            <w:pPr>
              <w:pStyle w:val="ListParagraph"/>
              <w:numPr>
                <w:ilvl w:val="0"/>
                <w:numId w:val="204"/>
              </w:numPr>
              <w:spacing w:after="60"/>
              <w:contextualSpacing/>
              <w:rPr>
                <w:rFonts w:eastAsia="Calibri" w:cs="Arial"/>
                <w:sz w:val="14"/>
                <w:szCs w:val="14"/>
                <w:lang w:eastAsia="en-US"/>
              </w:rPr>
            </w:pPr>
            <w:r w:rsidRPr="005B2F5C">
              <w:rPr>
                <w:rFonts w:eastAsia="Calibri" w:cs="Arial"/>
                <w:sz w:val="14"/>
                <w:szCs w:val="14"/>
                <w:lang w:eastAsia="en-US"/>
              </w:rPr>
              <w:t xml:space="preserve">Suspension or cessation of payments for failure to undergo medical examination — </w:t>
            </w:r>
            <w:hyperlink r:id="rId1401" w:history="1">
              <w:r w:rsidRPr="0071499A">
                <w:rPr>
                  <w:rStyle w:val="Hyperlink"/>
                  <w:rFonts w:eastAsia="Calibri" w:cs="Arial"/>
                  <w:sz w:val="14"/>
                  <w:szCs w:val="14"/>
                  <w:lang w:eastAsia="en-US"/>
                </w:rPr>
                <w:t>s72A</w:t>
              </w:r>
            </w:hyperlink>
          </w:p>
          <w:p w14:paraId="47A9D797" w14:textId="304F3731" w:rsidR="006733F4" w:rsidRPr="005B2F5C" w:rsidRDefault="006733F4" w:rsidP="00F839DB">
            <w:pPr>
              <w:pStyle w:val="ListParagraph"/>
              <w:numPr>
                <w:ilvl w:val="0"/>
                <w:numId w:val="204"/>
              </w:numPr>
              <w:spacing w:after="60"/>
              <w:contextualSpacing/>
              <w:rPr>
                <w:rFonts w:eastAsia="Calibri" w:cs="Arial"/>
                <w:sz w:val="14"/>
                <w:szCs w:val="14"/>
                <w:lang w:eastAsia="en-US"/>
              </w:rPr>
            </w:pPr>
            <w:r w:rsidRPr="005B2F5C">
              <w:rPr>
                <w:rFonts w:eastAsia="Calibri" w:cs="Arial"/>
                <w:sz w:val="14"/>
                <w:szCs w:val="14"/>
                <w:lang w:eastAsia="en-US"/>
              </w:rPr>
              <w:t xml:space="preserve">Suspension or cessation of payments for failure to participate in return to work program — </w:t>
            </w:r>
            <w:hyperlink r:id="rId1402" w:history="1">
              <w:r w:rsidRPr="0071499A">
                <w:rPr>
                  <w:rStyle w:val="Hyperlink"/>
                  <w:rFonts w:eastAsia="Calibri" w:cs="Arial"/>
                  <w:sz w:val="14"/>
                  <w:szCs w:val="14"/>
                  <w:lang w:eastAsia="en-US"/>
                </w:rPr>
                <w:t>s72B</w:t>
              </w:r>
            </w:hyperlink>
          </w:p>
          <w:p w14:paraId="59C0A068" w14:textId="7DB5E18F" w:rsidR="006733F4" w:rsidRPr="005B2F5C" w:rsidRDefault="006733F4" w:rsidP="00F839DB">
            <w:pPr>
              <w:pStyle w:val="ListParagraph"/>
              <w:numPr>
                <w:ilvl w:val="0"/>
                <w:numId w:val="204"/>
              </w:numPr>
              <w:spacing w:after="60"/>
              <w:contextualSpacing/>
              <w:rPr>
                <w:rFonts w:eastAsia="Calibri" w:cs="Arial"/>
                <w:sz w:val="14"/>
                <w:szCs w:val="14"/>
                <w:lang w:eastAsia="en-US"/>
              </w:rPr>
            </w:pPr>
            <w:r w:rsidRPr="005B2F5C">
              <w:rPr>
                <w:rFonts w:eastAsia="Calibri" w:cs="Arial"/>
                <w:sz w:val="14"/>
                <w:szCs w:val="14"/>
                <w:lang w:eastAsia="en-US"/>
              </w:rPr>
              <w:t xml:space="preserve">If the employer satisfies an arbitrator that there is a genuine dispute as to liability to pay compensation or as to the proper amount of such weekly payments, and in either case of the grounds of the dispute, the arbitrator may order that the payments be suspended for such time as the arbitrator directs or be discontinued or be reduced to such amount as the arbitrator thinks proper or the arbitrator may dismiss the application — </w:t>
            </w:r>
            <w:hyperlink r:id="rId1403" w:history="1">
              <w:r w:rsidRPr="0071499A">
                <w:rPr>
                  <w:rStyle w:val="Hyperlink"/>
                  <w:rFonts w:eastAsia="Calibri" w:cs="Arial"/>
                  <w:sz w:val="14"/>
                  <w:szCs w:val="14"/>
                  <w:lang w:eastAsia="en-US"/>
                </w:rPr>
                <w:t>s60(2)</w:t>
              </w:r>
            </w:hyperlink>
            <w:r w:rsidRPr="005B2F5C">
              <w:rPr>
                <w:rFonts w:eastAsia="Calibri" w:cs="Arial"/>
                <w:sz w:val="14"/>
                <w:szCs w:val="14"/>
                <w:lang w:eastAsia="en-US"/>
              </w:rPr>
              <w:t xml:space="preserve">. An Arbitrator also has powers to suspend weekly payments under — </w:t>
            </w:r>
            <w:hyperlink r:id="rId1404" w:history="1">
              <w:r w:rsidRPr="0071499A">
                <w:rPr>
                  <w:rStyle w:val="Hyperlink"/>
                  <w:rFonts w:eastAsia="Calibri" w:cs="Arial"/>
                  <w:sz w:val="14"/>
                  <w:szCs w:val="14"/>
                  <w:lang w:eastAsia="en-US"/>
                </w:rPr>
                <w:t>s62(2)</w:t>
              </w:r>
            </w:hyperlink>
          </w:p>
          <w:p w14:paraId="4DD6ACD7" w14:textId="566D8D6A" w:rsidR="006733F4" w:rsidRPr="005B2F5C" w:rsidRDefault="006733F4" w:rsidP="00F839DB">
            <w:pPr>
              <w:pStyle w:val="ListParagraph"/>
              <w:numPr>
                <w:ilvl w:val="0"/>
                <w:numId w:val="204"/>
              </w:numPr>
              <w:spacing w:after="60"/>
              <w:contextualSpacing/>
              <w:rPr>
                <w:rFonts w:eastAsia="Calibri" w:cs="Arial"/>
                <w:sz w:val="14"/>
                <w:szCs w:val="14"/>
                <w:lang w:eastAsia="en-US"/>
              </w:rPr>
            </w:pPr>
            <w:r w:rsidRPr="005B2F5C">
              <w:rPr>
                <w:rFonts w:eastAsia="Calibri" w:cs="Arial"/>
                <w:sz w:val="14"/>
                <w:szCs w:val="14"/>
                <w:lang w:eastAsia="en-US"/>
              </w:rPr>
              <w:t xml:space="preserve">In the event that compensation is suspended, no compensation is payable during the suspension period — </w:t>
            </w:r>
            <w:hyperlink r:id="rId1405" w:history="1">
              <w:r w:rsidRPr="0071499A">
                <w:rPr>
                  <w:rStyle w:val="Hyperlink"/>
                  <w:rFonts w:eastAsia="Calibri" w:cs="Arial"/>
                  <w:sz w:val="14"/>
                  <w:szCs w:val="14"/>
                  <w:lang w:eastAsia="en-US"/>
                </w:rPr>
                <w:t>s63</w:t>
              </w:r>
            </w:hyperlink>
          </w:p>
          <w:p w14:paraId="3FB1A5FF" w14:textId="3B4362B8" w:rsidR="006733F4" w:rsidRPr="005B2F5C" w:rsidRDefault="006733F4" w:rsidP="00F839DB">
            <w:pPr>
              <w:pStyle w:val="ListParagraph"/>
              <w:numPr>
                <w:ilvl w:val="0"/>
                <w:numId w:val="204"/>
              </w:numPr>
              <w:spacing w:after="60"/>
              <w:contextualSpacing/>
              <w:rPr>
                <w:rFonts w:eastAsia="Calibri" w:cs="Arial"/>
                <w:sz w:val="14"/>
                <w:szCs w:val="14"/>
                <w:lang w:eastAsia="en-US"/>
              </w:rPr>
            </w:pPr>
            <w:r w:rsidRPr="005B2F5C">
              <w:rPr>
                <w:rFonts w:eastAsia="Calibri" w:cs="Arial"/>
                <w:sz w:val="14"/>
                <w:szCs w:val="14"/>
                <w:lang w:eastAsia="en-US"/>
              </w:rPr>
              <w:t xml:space="preserve">A conciliation officer may direct that weekly payments of compensation are to be suspended or reduced if the conciliation officer considers that it would be reasonable to expect that the resolution or determination of the dispute under this Part would result in the payments being suspended or reduced — </w:t>
            </w:r>
            <w:hyperlink r:id="rId1406" w:history="1">
              <w:r w:rsidRPr="0071499A">
                <w:rPr>
                  <w:rStyle w:val="Hyperlink"/>
                  <w:rFonts w:eastAsia="Calibri" w:cs="Arial"/>
                  <w:sz w:val="14"/>
                  <w:szCs w:val="14"/>
                  <w:lang w:eastAsia="en-US"/>
                </w:rPr>
                <w:t>s182L</w:t>
              </w:r>
            </w:hyperlink>
            <w:r w:rsidR="00E13D9F">
              <w:rPr>
                <w:rFonts w:eastAsia="Calibri" w:cs="Arial"/>
                <w:sz w:val="14"/>
                <w:szCs w:val="14"/>
                <w:lang w:eastAsia="en-US"/>
              </w:rPr>
              <w:t>.</w:t>
            </w:r>
          </w:p>
        </w:tc>
      </w:tr>
      <w:tr w:rsidR="006733F4" w:rsidRPr="006733F4" w14:paraId="6A7C2929" w14:textId="77777777" w:rsidTr="00922480">
        <w:tc>
          <w:tcPr>
            <w:tcW w:w="1559" w:type="dxa"/>
            <w:shd w:val="clear" w:color="auto" w:fill="FFC9C9"/>
            <w:tcMar>
              <w:top w:w="80" w:type="dxa"/>
              <w:left w:w="80" w:type="dxa"/>
              <w:bottom w:w="80" w:type="dxa"/>
              <w:right w:w="80" w:type="dxa"/>
            </w:tcMar>
          </w:tcPr>
          <w:p w14:paraId="55E170C9"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South Australia</w:t>
            </w:r>
          </w:p>
        </w:tc>
        <w:tc>
          <w:tcPr>
            <w:tcW w:w="13795" w:type="dxa"/>
            <w:shd w:val="clear" w:color="auto" w:fill="FFC9C9"/>
            <w:tcMar>
              <w:top w:w="80" w:type="dxa"/>
              <w:left w:w="80" w:type="dxa"/>
              <w:bottom w:w="80" w:type="dxa"/>
              <w:right w:w="80" w:type="dxa"/>
            </w:tcMar>
          </w:tcPr>
          <w:p w14:paraId="44B0A26A" w14:textId="76E1017C"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Reduction or discontinuance of weekly payments is covered by </w:t>
            </w:r>
            <w:hyperlink r:id="rId1407" w:history="1">
              <w:r w:rsidRPr="0071499A">
                <w:rPr>
                  <w:rStyle w:val="Hyperlink"/>
                  <w:rFonts w:cs="Arial"/>
                  <w:sz w:val="14"/>
                  <w:szCs w:val="16"/>
                  <w:lang w:val="en-GB"/>
                </w:rPr>
                <w:t>section 48</w:t>
              </w:r>
            </w:hyperlink>
            <w:r w:rsidRPr="006733F4">
              <w:rPr>
                <w:rFonts w:cs="Arial"/>
                <w:color w:val="000000"/>
                <w:sz w:val="14"/>
                <w:szCs w:val="16"/>
                <w:lang w:val="en-GB"/>
              </w:rPr>
              <w:t xml:space="preserve"> </w:t>
            </w:r>
            <w:r w:rsidR="0071499A">
              <w:rPr>
                <w:rFonts w:cs="Arial"/>
                <w:color w:val="000000"/>
                <w:sz w:val="14"/>
                <w:szCs w:val="16"/>
                <w:lang w:val="en-GB"/>
              </w:rPr>
              <w:t>(</w:t>
            </w:r>
            <w:r w:rsidR="0071499A" w:rsidRPr="00016069">
              <w:rPr>
                <w:i/>
                <w:sz w:val="14"/>
              </w:rPr>
              <w:t>Return to Work Act 2014</w:t>
            </w:r>
            <w:r w:rsidR="0071499A">
              <w:rPr>
                <w:rFonts w:cs="Arial"/>
                <w:color w:val="000000"/>
                <w:sz w:val="14"/>
                <w:szCs w:val="16"/>
                <w:lang w:val="en-GB"/>
              </w:rPr>
              <w:t xml:space="preserve">) </w:t>
            </w:r>
            <w:r w:rsidRPr="006733F4">
              <w:rPr>
                <w:rFonts w:cs="Arial"/>
                <w:color w:val="000000"/>
                <w:sz w:val="14"/>
                <w:szCs w:val="16"/>
                <w:lang w:val="en-GB"/>
              </w:rPr>
              <w:t>and covers the following circumstances:</w:t>
            </w:r>
          </w:p>
          <w:p w14:paraId="47539CB7" w14:textId="65A56DED"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Discontinued if dismissed from employment for serious and wilful misconduct — </w:t>
            </w:r>
            <w:hyperlink r:id="rId1408" w:history="1">
              <w:r w:rsidRPr="0071499A">
                <w:rPr>
                  <w:rStyle w:val="Hyperlink"/>
                  <w:rFonts w:cs="Arial"/>
                  <w:sz w:val="14"/>
                  <w:szCs w:val="16"/>
                  <w:lang w:val="en-GB"/>
                </w:rPr>
                <w:t>s48(2)(e)</w:t>
              </w:r>
            </w:hyperlink>
          </w:p>
          <w:p w14:paraId="6DAFFB02" w14:textId="76737B1B"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Discontinued for breach of mutuality — </w:t>
            </w:r>
            <w:hyperlink r:id="rId1409" w:history="1">
              <w:r w:rsidRPr="0071499A">
                <w:rPr>
                  <w:rStyle w:val="Hyperlink"/>
                  <w:rFonts w:cs="Arial"/>
                  <w:sz w:val="14"/>
                  <w:szCs w:val="16"/>
                  <w:lang w:val="en-GB"/>
                </w:rPr>
                <w:t>s48(2)(f)</w:t>
              </w:r>
            </w:hyperlink>
            <w:r w:rsidRPr="006733F4">
              <w:rPr>
                <w:rFonts w:cs="Arial"/>
                <w:color w:val="000000"/>
                <w:sz w:val="14"/>
                <w:szCs w:val="16"/>
                <w:lang w:val="en-GB"/>
              </w:rPr>
              <w:t>, including:</w:t>
            </w:r>
          </w:p>
          <w:p w14:paraId="133D7676" w14:textId="79B97C14" w:rsidR="006733F4" w:rsidRPr="002A5723" w:rsidRDefault="006733F4" w:rsidP="00F839DB">
            <w:pPr>
              <w:pStyle w:val="ListParagraph"/>
              <w:numPr>
                <w:ilvl w:val="0"/>
                <w:numId w:val="474"/>
              </w:numPr>
              <w:spacing w:after="60"/>
              <w:contextualSpacing/>
              <w:rPr>
                <w:rFonts w:cs="Arial"/>
                <w:color w:val="000000"/>
                <w:sz w:val="14"/>
                <w:szCs w:val="16"/>
                <w:lang w:val="en-GB"/>
              </w:rPr>
            </w:pPr>
            <w:r w:rsidRPr="002A5723">
              <w:rPr>
                <w:rFonts w:cs="Arial"/>
                <w:color w:val="000000"/>
                <w:sz w:val="14"/>
                <w:szCs w:val="16"/>
                <w:lang w:val="en-GB"/>
              </w:rPr>
              <w:t xml:space="preserve">failure to submit to a medical examination where required by notice — </w:t>
            </w:r>
            <w:hyperlink r:id="rId1410" w:history="1">
              <w:r w:rsidRPr="0071499A">
                <w:rPr>
                  <w:rStyle w:val="Hyperlink"/>
                  <w:rFonts w:cs="Arial"/>
                  <w:sz w:val="14"/>
                  <w:szCs w:val="16"/>
                  <w:lang w:val="en-GB"/>
                </w:rPr>
                <w:t>s48(3)(a)</w:t>
              </w:r>
            </w:hyperlink>
          </w:p>
          <w:p w14:paraId="37F654B9" w14:textId="3D42F53A" w:rsidR="006733F4" w:rsidRPr="002A5723" w:rsidRDefault="006733F4" w:rsidP="00F839DB">
            <w:pPr>
              <w:pStyle w:val="ListParagraph"/>
              <w:numPr>
                <w:ilvl w:val="0"/>
                <w:numId w:val="474"/>
              </w:numPr>
              <w:spacing w:after="60"/>
              <w:contextualSpacing/>
              <w:rPr>
                <w:rFonts w:cs="Arial"/>
                <w:color w:val="000000"/>
                <w:sz w:val="14"/>
                <w:szCs w:val="16"/>
                <w:lang w:val="en-GB"/>
              </w:rPr>
            </w:pPr>
            <w:r w:rsidRPr="002A5723">
              <w:rPr>
                <w:rFonts w:cs="Arial"/>
                <w:color w:val="000000"/>
                <w:sz w:val="14"/>
                <w:szCs w:val="16"/>
                <w:lang w:val="en-GB"/>
              </w:rPr>
              <w:t xml:space="preserve">failure to supply a medical certificate where required by notice — </w:t>
            </w:r>
            <w:hyperlink r:id="rId1411" w:history="1">
              <w:r w:rsidRPr="0071499A">
                <w:rPr>
                  <w:rStyle w:val="Hyperlink"/>
                  <w:rFonts w:cs="Arial"/>
                  <w:sz w:val="14"/>
                  <w:szCs w:val="16"/>
                  <w:lang w:val="en-GB"/>
                </w:rPr>
                <w:t>s48(3)(b)</w:t>
              </w:r>
            </w:hyperlink>
          </w:p>
          <w:p w14:paraId="001D1E78" w14:textId="76424214" w:rsidR="006733F4" w:rsidRPr="002A5723" w:rsidRDefault="006733F4" w:rsidP="00F839DB">
            <w:pPr>
              <w:pStyle w:val="ListParagraph"/>
              <w:numPr>
                <w:ilvl w:val="0"/>
                <w:numId w:val="474"/>
              </w:numPr>
              <w:spacing w:after="60"/>
              <w:contextualSpacing/>
              <w:rPr>
                <w:rFonts w:cs="Arial"/>
                <w:color w:val="000000"/>
                <w:sz w:val="14"/>
                <w:szCs w:val="16"/>
                <w:lang w:val="en-GB"/>
              </w:rPr>
            </w:pPr>
            <w:r w:rsidRPr="002A5723">
              <w:rPr>
                <w:rFonts w:cs="Arial"/>
                <w:color w:val="000000"/>
                <w:sz w:val="14"/>
                <w:szCs w:val="16"/>
                <w:lang w:val="en-GB"/>
              </w:rPr>
              <w:t xml:space="preserve">refusal or failure to submit to proper medical treatment — </w:t>
            </w:r>
            <w:hyperlink r:id="rId1412" w:history="1">
              <w:r w:rsidRPr="0071499A">
                <w:rPr>
                  <w:rStyle w:val="Hyperlink"/>
                  <w:rFonts w:cs="Arial"/>
                  <w:sz w:val="14"/>
                  <w:szCs w:val="16"/>
                  <w:lang w:val="en-GB"/>
                </w:rPr>
                <w:t>s48(3)(c)</w:t>
              </w:r>
            </w:hyperlink>
          </w:p>
          <w:p w14:paraId="78268C3A" w14:textId="36A0E8E0" w:rsidR="006733F4" w:rsidRPr="002A5723" w:rsidRDefault="006733F4" w:rsidP="00F839DB">
            <w:pPr>
              <w:pStyle w:val="ListParagraph"/>
              <w:numPr>
                <w:ilvl w:val="0"/>
                <w:numId w:val="474"/>
              </w:numPr>
              <w:spacing w:after="60"/>
              <w:contextualSpacing/>
              <w:rPr>
                <w:rFonts w:cs="Arial"/>
                <w:color w:val="000000"/>
                <w:sz w:val="14"/>
                <w:szCs w:val="16"/>
                <w:lang w:val="en-GB"/>
              </w:rPr>
            </w:pPr>
            <w:r w:rsidRPr="002A5723">
              <w:rPr>
                <w:rFonts w:cs="Arial"/>
                <w:color w:val="000000"/>
                <w:sz w:val="14"/>
                <w:szCs w:val="16"/>
                <w:lang w:val="en-GB"/>
              </w:rPr>
              <w:t xml:space="preserve">refusal or failure to participate in a recovery/return to work program or — </w:t>
            </w:r>
            <w:hyperlink r:id="rId1413" w:history="1">
              <w:r w:rsidRPr="0071499A">
                <w:rPr>
                  <w:rStyle w:val="Hyperlink"/>
                  <w:rFonts w:cs="Arial"/>
                  <w:sz w:val="14"/>
                  <w:szCs w:val="16"/>
                  <w:lang w:val="en-GB"/>
                </w:rPr>
                <w:t>s48(3)(d)(i)</w:t>
              </w:r>
            </w:hyperlink>
          </w:p>
          <w:p w14:paraId="79DE7478" w14:textId="550FB0C8" w:rsidR="006733F4" w:rsidRPr="002A5723" w:rsidRDefault="006733F4" w:rsidP="00F839DB">
            <w:pPr>
              <w:pStyle w:val="ListParagraph"/>
              <w:numPr>
                <w:ilvl w:val="0"/>
                <w:numId w:val="474"/>
              </w:numPr>
              <w:spacing w:after="60"/>
              <w:contextualSpacing/>
              <w:rPr>
                <w:rFonts w:cs="Arial"/>
                <w:color w:val="000000"/>
                <w:sz w:val="14"/>
                <w:szCs w:val="16"/>
                <w:lang w:val="en-GB"/>
              </w:rPr>
            </w:pPr>
            <w:r w:rsidRPr="002A5723">
              <w:rPr>
                <w:rFonts w:cs="Arial"/>
                <w:color w:val="000000"/>
                <w:sz w:val="14"/>
                <w:szCs w:val="16"/>
                <w:lang w:val="en-GB"/>
              </w:rPr>
              <w:t xml:space="preserve">failure to comply with obligations under a recover/return to work program — </w:t>
            </w:r>
            <w:hyperlink r:id="rId1414" w:history="1">
              <w:r w:rsidRPr="0071499A">
                <w:rPr>
                  <w:rStyle w:val="Hyperlink"/>
                  <w:rFonts w:cs="Arial"/>
                  <w:sz w:val="14"/>
                  <w:szCs w:val="16"/>
                  <w:lang w:val="en-GB"/>
                </w:rPr>
                <w:t>s48(3)(d)(ii)</w:t>
              </w:r>
            </w:hyperlink>
          </w:p>
          <w:p w14:paraId="6627214B" w14:textId="1FEEAEA9" w:rsidR="006733F4" w:rsidRPr="002A5723" w:rsidRDefault="006733F4" w:rsidP="00F839DB">
            <w:pPr>
              <w:pStyle w:val="ListParagraph"/>
              <w:numPr>
                <w:ilvl w:val="0"/>
                <w:numId w:val="474"/>
              </w:numPr>
              <w:spacing w:after="60"/>
              <w:contextualSpacing/>
              <w:rPr>
                <w:rFonts w:cs="Arial"/>
                <w:color w:val="000000"/>
                <w:sz w:val="14"/>
                <w:szCs w:val="16"/>
                <w:lang w:val="en-GB"/>
              </w:rPr>
            </w:pPr>
            <w:r w:rsidRPr="002A5723">
              <w:rPr>
                <w:rFonts w:cs="Arial"/>
                <w:color w:val="000000"/>
                <w:sz w:val="14"/>
                <w:szCs w:val="16"/>
                <w:lang w:val="en-GB"/>
              </w:rPr>
              <w:t xml:space="preserve">refusal or failure to undertake work offered and capable of performing, taking reasonable steps to obtain suitable employment or having obtained suitable employment, unreasonably discontinues the employment </w:t>
            </w:r>
            <w:r w:rsidR="003F5D7A">
              <w:rPr>
                <w:rFonts w:cs="Arial"/>
                <w:color w:val="000000"/>
                <w:sz w:val="14"/>
                <w:szCs w:val="16"/>
                <w:lang w:val="en-GB"/>
              </w:rPr>
              <w:t>—</w:t>
            </w:r>
            <w:r w:rsidR="003F5D7A" w:rsidRPr="002A5723">
              <w:rPr>
                <w:rFonts w:cs="Arial"/>
                <w:color w:val="000000"/>
                <w:sz w:val="14"/>
                <w:szCs w:val="16"/>
                <w:lang w:val="en-GB"/>
              </w:rPr>
              <w:t xml:space="preserve"> </w:t>
            </w:r>
            <w:hyperlink r:id="rId1415" w:history="1">
              <w:r w:rsidRPr="0071499A">
                <w:rPr>
                  <w:rStyle w:val="Hyperlink"/>
                  <w:rFonts w:cs="Arial"/>
                  <w:sz w:val="14"/>
                  <w:szCs w:val="16"/>
                  <w:lang w:val="en-GB"/>
                </w:rPr>
                <w:t>48(3)(e)</w:t>
              </w:r>
            </w:hyperlink>
          </w:p>
          <w:p w14:paraId="06352446" w14:textId="77CE2DDA" w:rsidR="006733F4" w:rsidRPr="002A5723" w:rsidRDefault="006733F4" w:rsidP="00F839DB">
            <w:pPr>
              <w:pStyle w:val="ListParagraph"/>
              <w:numPr>
                <w:ilvl w:val="0"/>
                <w:numId w:val="474"/>
              </w:numPr>
              <w:spacing w:after="60"/>
              <w:contextualSpacing/>
              <w:rPr>
                <w:rFonts w:cs="Arial"/>
                <w:color w:val="000000"/>
                <w:sz w:val="14"/>
                <w:szCs w:val="16"/>
                <w:lang w:val="en-GB"/>
              </w:rPr>
            </w:pPr>
            <w:r w:rsidRPr="002A5723">
              <w:rPr>
                <w:rFonts w:cs="Arial"/>
                <w:color w:val="000000"/>
                <w:sz w:val="14"/>
                <w:szCs w:val="16"/>
                <w:lang w:val="en-GB"/>
              </w:rPr>
              <w:t>refusal or failure to participate in assessments of worker’s capacity, return to work progress or future employment prospects (including failure to attend)</w:t>
            </w:r>
            <w:r w:rsidR="00DD0D68">
              <w:rPr>
                <w:rFonts w:cs="Arial"/>
                <w:color w:val="000000"/>
                <w:sz w:val="14"/>
                <w:szCs w:val="16"/>
                <w:lang w:val="en-GB"/>
              </w:rPr>
              <w:t xml:space="preserve"> </w:t>
            </w:r>
            <w:r w:rsidRPr="002A5723">
              <w:rPr>
                <w:rFonts w:cs="Arial"/>
                <w:color w:val="000000"/>
                <w:sz w:val="14"/>
                <w:szCs w:val="16"/>
                <w:lang w:val="en-GB"/>
              </w:rPr>
              <w:t xml:space="preserve">— </w:t>
            </w:r>
            <w:hyperlink r:id="rId1416" w:history="1">
              <w:r w:rsidRPr="0071499A">
                <w:rPr>
                  <w:rStyle w:val="Hyperlink"/>
                  <w:rFonts w:cs="Arial"/>
                  <w:sz w:val="14"/>
                  <w:szCs w:val="16"/>
                  <w:lang w:val="en-GB"/>
                </w:rPr>
                <w:t>s48(3)(f)</w:t>
              </w:r>
            </w:hyperlink>
            <w:r w:rsidRPr="002A5723">
              <w:rPr>
                <w:rFonts w:cs="Arial"/>
                <w:color w:val="000000"/>
                <w:sz w:val="14"/>
                <w:szCs w:val="16"/>
                <w:lang w:val="en-GB"/>
              </w:rPr>
              <w:t>,and</w:t>
            </w:r>
          </w:p>
          <w:p w14:paraId="3FBD45BB" w14:textId="15308B82" w:rsidR="006733F4" w:rsidRPr="002A5723" w:rsidRDefault="006733F4" w:rsidP="00F839DB">
            <w:pPr>
              <w:pStyle w:val="ListParagraph"/>
              <w:numPr>
                <w:ilvl w:val="0"/>
                <w:numId w:val="474"/>
              </w:numPr>
              <w:spacing w:after="60"/>
              <w:contextualSpacing/>
              <w:rPr>
                <w:rFonts w:cs="Arial"/>
                <w:color w:val="000000"/>
                <w:sz w:val="14"/>
                <w:szCs w:val="16"/>
                <w:lang w:val="en-GB"/>
              </w:rPr>
            </w:pPr>
            <w:r w:rsidRPr="002A5723">
              <w:rPr>
                <w:rFonts w:cs="Arial"/>
                <w:color w:val="000000"/>
                <w:sz w:val="14"/>
                <w:szCs w:val="16"/>
                <w:lang w:val="en-GB"/>
              </w:rPr>
              <w:t xml:space="preserve">anything else recognised as a breach of the obligation of mutuality — </w:t>
            </w:r>
            <w:hyperlink r:id="rId1417" w:history="1">
              <w:r w:rsidRPr="0071499A">
                <w:rPr>
                  <w:rStyle w:val="Hyperlink"/>
                  <w:rFonts w:cs="Arial"/>
                  <w:sz w:val="14"/>
                  <w:szCs w:val="16"/>
                  <w:lang w:val="en-GB"/>
                </w:rPr>
                <w:t>s48(3)(g)</w:t>
              </w:r>
            </w:hyperlink>
          </w:p>
          <w:p w14:paraId="5B28E887" w14:textId="34E7E0A3"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Payments are suspended whilst a worker is in prison — </w:t>
            </w:r>
            <w:hyperlink r:id="rId1418" w:history="1">
              <w:r w:rsidRPr="0071499A">
                <w:rPr>
                  <w:rStyle w:val="Hyperlink"/>
                  <w:rFonts w:cs="Arial"/>
                  <w:sz w:val="14"/>
                  <w:szCs w:val="16"/>
                  <w:lang w:val="en-GB"/>
                </w:rPr>
                <w:t>s193</w:t>
              </w:r>
            </w:hyperlink>
          </w:p>
          <w:p w14:paraId="4B6D7BD4" w14:textId="7FD4DC9F"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Payments are suspended under </w:t>
            </w:r>
            <w:hyperlink r:id="rId1419" w:history="1">
              <w:r w:rsidRPr="0071499A">
                <w:rPr>
                  <w:rStyle w:val="Hyperlink"/>
                  <w:rFonts w:cs="Arial"/>
                  <w:sz w:val="14"/>
                  <w:szCs w:val="16"/>
                  <w:lang w:val="en-GB"/>
                </w:rPr>
                <w:t>s46(7)</w:t>
              </w:r>
            </w:hyperlink>
            <w:r w:rsidRPr="006733F4">
              <w:rPr>
                <w:rFonts w:cs="Arial"/>
                <w:color w:val="000000"/>
                <w:sz w:val="14"/>
                <w:szCs w:val="16"/>
                <w:lang w:val="en-GB"/>
              </w:rPr>
              <w:t xml:space="preserve"> if a worker fails to comply with a requirement under </w:t>
            </w:r>
            <w:hyperlink r:id="rId1420" w:history="1">
              <w:r w:rsidRPr="0071499A">
                <w:rPr>
                  <w:rStyle w:val="Hyperlink"/>
                  <w:rFonts w:cs="Arial"/>
                  <w:sz w:val="14"/>
                  <w:szCs w:val="16"/>
                  <w:lang w:val="en-GB"/>
                </w:rPr>
                <w:t>s46(6)</w:t>
              </w:r>
            </w:hyperlink>
            <w:r w:rsidRPr="006733F4">
              <w:rPr>
                <w:rFonts w:cs="Arial"/>
                <w:color w:val="000000"/>
                <w:sz w:val="14"/>
                <w:szCs w:val="16"/>
                <w:lang w:val="en-GB"/>
              </w:rPr>
              <w:t xml:space="preserve"> (submit to medical examination or furnish evidence of earnings).</w:t>
            </w:r>
          </w:p>
          <w:p w14:paraId="4234465D" w14:textId="52808C4D"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Payments can be suspended during absence of a worker from Australia under certain circumstances — </w:t>
            </w:r>
            <w:hyperlink r:id="rId1421" w:history="1">
              <w:r w:rsidRPr="0071499A">
                <w:rPr>
                  <w:rStyle w:val="Hyperlink"/>
                  <w:rFonts w:cs="Arial"/>
                  <w:sz w:val="14"/>
                  <w:szCs w:val="16"/>
                  <w:lang w:val="en-GB"/>
                </w:rPr>
                <w:t>s51</w:t>
              </w:r>
            </w:hyperlink>
            <w:r w:rsidRPr="006733F4">
              <w:rPr>
                <w:rFonts w:cs="Arial"/>
                <w:color w:val="000000"/>
                <w:sz w:val="14"/>
                <w:szCs w:val="16"/>
                <w:lang w:val="en-GB"/>
              </w:rPr>
              <w:t>.</w:t>
            </w:r>
          </w:p>
        </w:tc>
      </w:tr>
      <w:tr w:rsidR="006733F4" w:rsidRPr="006733F4" w14:paraId="4BACE147" w14:textId="77777777" w:rsidTr="00922480">
        <w:tc>
          <w:tcPr>
            <w:tcW w:w="1559" w:type="dxa"/>
            <w:tcMar>
              <w:top w:w="80" w:type="dxa"/>
              <w:left w:w="80" w:type="dxa"/>
              <w:bottom w:w="80" w:type="dxa"/>
              <w:right w:w="80" w:type="dxa"/>
            </w:tcMar>
          </w:tcPr>
          <w:p w14:paraId="3843FFC2"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Tasmania</w:t>
            </w:r>
          </w:p>
        </w:tc>
        <w:tc>
          <w:tcPr>
            <w:tcW w:w="13795" w:type="dxa"/>
            <w:tcMar>
              <w:top w:w="80" w:type="dxa"/>
              <w:left w:w="80" w:type="dxa"/>
              <w:bottom w:w="80" w:type="dxa"/>
              <w:right w:w="80" w:type="dxa"/>
            </w:tcMar>
          </w:tcPr>
          <w:p w14:paraId="23B7849A" w14:textId="7FF205D7" w:rsidR="006733F4" w:rsidRPr="005B2F5C" w:rsidRDefault="006733F4" w:rsidP="00F839DB">
            <w:pPr>
              <w:pStyle w:val="ListParagraph"/>
              <w:numPr>
                <w:ilvl w:val="0"/>
                <w:numId w:val="205"/>
              </w:numPr>
              <w:spacing w:after="60"/>
              <w:contextualSpacing/>
              <w:rPr>
                <w:rFonts w:eastAsia="Calibri" w:cs="Arial"/>
                <w:sz w:val="14"/>
                <w:szCs w:val="14"/>
                <w:lang w:eastAsia="en-US"/>
              </w:rPr>
            </w:pPr>
            <w:r w:rsidRPr="005B2F5C">
              <w:rPr>
                <w:rFonts w:eastAsia="Calibri" w:cs="Arial"/>
                <w:sz w:val="14"/>
                <w:szCs w:val="14"/>
                <w:lang w:eastAsia="en-US"/>
              </w:rPr>
              <w:t>A worker’s entitlement to compensation may be suspended if the worker unreasonably refuses to submit to a medical examination or undertake any treatment (with the exception of surgical treatment)</w:t>
            </w:r>
            <w:r w:rsidR="003F5D7A">
              <w:rPr>
                <w:rFonts w:eastAsia="Calibri" w:cs="Arial"/>
                <w:sz w:val="14"/>
                <w:szCs w:val="14"/>
                <w:lang w:eastAsia="en-US"/>
              </w:rPr>
              <w:t xml:space="preserve"> —</w:t>
            </w:r>
            <w:r w:rsidRPr="005B2F5C">
              <w:rPr>
                <w:rFonts w:eastAsia="Calibri" w:cs="Arial"/>
                <w:sz w:val="14"/>
                <w:szCs w:val="14"/>
                <w:lang w:eastAsia="en-US"/>
              </w:rPr>
              <w:t xml:space="preserve"> </w:t>
            </w:r>
            <w:hyperlink r:id="rId1422" w:history="1">
              <w:r w:rsidRPr="005B2F5C">
                <w:rPr>
                  <w:rFonts w:eastAsia="Calibri" w:cs="Arial"/>
                  <w:color w:val="0000FF"/>
                  <w:sz w:val="14"/>
                  <w:szCs w:val="14"/>
                  <w:u w:val="single"/>
                  <w:lang w:eastAsia="en-US"/>
                </w:rPr>
                <w:t>s90C</w:t>
              </w:r>
            </w:hyperlink>
            <w:r w:rsidR="00787405">
              <w:rPr>
                <w:rFonts w:eastAsia="Calibri" w:cs="Arial"/>
                <w:color w:val="0000FF"/>
                <w:sz w:val="14"/>
                <w:szCs w:val="14"/>
                <w:u w:val="single"/>
                <w:lang w:eastAsia="en-US"/>
              </w:rPr>
              <w:t xml:space="preserve"> </w:t>
            </w:r>
            <w:r w:rsidR="00787405" w:rsidRPr="00016069">
              <w:rPr>
                <w:i/>
                <w:sz w:val="14"/>
              </w:rPr>
              <w:t>Workers Rehabilitation and Compensation Act 1988</w:t>
            </w:r>
          </w:p>
          <w:p w14:paraId="5266DA97" w14:textId="77777777" w:rsidR="006733F4" w:rsidRPr="005B2F5C" w:rsidRDefault="006733F4" w:rsidP="00F839DB">
            <w:pPr>
              <w:pStyle w:val="ListParagraph"/>
              <w:numPr>
                <w:ilvl w:val="0"/>
                <w:numId w:val="205"/>
              </w:numPr>
              <w:spacing w:after="60"/>
              <w:contextualSpacing/>
              <w:rPr>
                <w:rFonts w:eastAsia="Calibri" w:cs="Arial"/>
                <w:sz w:val="14"/>
                <w:szCs w:val="14"/>
                <w:lang w:eastAsia="en-US"/>
              </w:rPr>
            </w:pPr>
            <w:r w:rsidRPr="005B2F5C">
              <w:rPr>
                <w:rFonts w:eastAsia="Calibri" w:cs="Arial"/>
                <w:sz w:val="14"/>
                <w:szCs w:val="14"/>
                <w:lang w:eastAsia="en-US"/>
              </w:rPr>
              <w:t>An employer may, subject to certain conditions such as providing written notice, terminate or reduce weekly payments where:</w:t>
            </w:r>
          </w:p>
          <w:p w14:paraId="4EDCBA1B" w14:textId="77777777" w:rsidR="006733F4" w:rsidRPr="005B2F5C" w:rsidRDefault="006733F4" w:rsidP="00F839DB">
            <w:pPr>
              <w:pStyle w:val="ListParagraph"/>
              <w:numPr>
                <w:ilvl w:val="0"/>
                <w:numId w:val="538"/>
              </w:numPr>
              <w:spacing w:after="60"/>
              <w:contextualSpacing/>
              <w:rPr>
                <w:rFonts w:eastAsia="Calibri" w:cs="Arial"/>
                <w:sz w:val="14"/>
                <w:szCs w:val="14"/>
                <w:lang w:eastAsia="en-US"/>
              </w:rPr>
            </w:pPr>
            <w:r w:rsidRPr="005B2F5C">
              <w:rPr>
                <w:rFonts w:eastAsia="Calibri" w:cs="Arial"/>
                <w:sz w:val="14"/>
                <w:szCs w:val="14"/>
                <w:lang w:eastAsia="en-US"/>
              </w:rPr>
              <w:t>the payment is in respect of total incapacity and the worker has returned to work</w:t>
            </w:r>
          </w:p>
          <w:p w14:paraId="04DC8331" w14:textId="140B6741" w:rsidR="006733F4" w:rsidRPr="005B2F5C" w:rsidRDefault="006733F4" w:rsidP="00F839DB">
            <w:pPr>
              <w:pStyle w:val="ListParagraph"/>
              <w:numPr>
                <w:ilvl w:val="0"/>
                <w:numId w:val="538"/>
              </w:numPr>
              <w:spacing w:after="60"/>
              <w:contextualSpacing/>
              <w:rPr>
                <w:rFonts w:eastAsia="Calibri" w:cs="Arial"/>
                <w:sz w:val="14"/>
                <w:szCs w:val="14"/>
                <w:lang w:eastAsia="en-US"/>
              </w:rPr>
            </w:pPr>
            <w:r w:rsidRPr="005B2F5C">
              <w:rPr>
                <w:rFonts w:eastAsia="Calibri" w:cs="Arial"/>
                <w:sz w:val="14"/>
                <w:szCs w:val="14"/>
                <w:lang w:eastAsia="en-US"/>
              </w:rPr>
              <w:t>the worker is in receipt of the weekly payment in respect of partial incapacity and is receiving weekly earningsin excess of the amount upon which the amount of such weekly payment was determined</w:t>
            </w:r>
          </w:p>
          <w:p w14:paraId="1AA19910" w14:textId="77777777" w:rsidR="006733F4" w:rsidRPr="005B2F5C" w:rsidRDefault="006733F4" w:rsidP="00F839DB">
            <w:pPr>
              <w:pStyle w:val="ListParagraph"/>
              <w:numPr>
                <w:ilvl w:val="0"/>
                <w:numId w:val="538"/>
              </w:numPr>
              <w:spacing w:after="60"/>
              <w:contextualSpacing/>
              <w:rPr>
                <w:rFonts w:eastAsia="Calibri" w:cs="Arial"/>
                <w:sz w:val="14"/>
                <w:szCs w:val="14"/>
                <w:lang w:eastAsia="en-US"/>
              </w:rPr>
            </w:pPr>
            <w:r w:rsidRPr="005B2F5C">
              <w:rPr>
                <w:rFonts w:eastAsia="Calibri" w:cs="Arial"/>
                <w:sz w:val="14"/>
                <w:szCs w:val="14"/>
                <w:lang w:eastAsia="en-US"/>
              </w:rPr>
              <w:t>an accredited medical practitioner who has examined the worker has certified that in his/her opinion the worker has wholly or substantially recovered from the effects of the injury or that the worker’s incapacity is no longer wholly or substantially due to that injury, or</w:t>
            </w:r>
          </w:p>
          <w:p w14:paraId="4479BF5F" w14:textId="3DAB3B17" w:rsidR="006733F4" w:rsidRPr="005B2F5C" w:rsidRDefault="006733F4" w:rsidP="00F839DB">
            <w:pPr>
              <w:pStyle w:val="ListParagraph"/>
              <w:numPr>
                <w:ilvl w:val="0"/>
                <w:numId w:val="538"/>
              </w:numPr>
              <w:spacing w:after="60"/>
              <w:contextualSpacing/>
              <w:rPr>
                <w:rFonts w:eastAsia="Calibri" w:cs="Arial"/>
                <w:sz w:val="14"/>
                <w:szCs w:val="14"/>
                <w:lang w:eastAsia="en-US"/>
              </w:rPr>
            </w:pPr>
            <w:r w:rsidRPr="005B2F5C">
              <w:rPr>
                <w:rFonts w:eastAsia="Calibri" w:cs="Arial"/>
                <w:sz w:val="14"/>
                <w:szCs w:val="14"/>
                <w:lang w:eastAsia="en-US"/>
              </w:rPr>
              <w:t xml:space="preserve">a worker’s entitlement to weekly payments has expired as provided by s69B(2E) — </w:t>
            </w:r>
            <w:hyperlink r:id="rId1423" w:history="1">
              <w:r w:rsidRPr="00787405">
                <w:rPr>
                  <w:rStyle w:val="Hyperlink"/>
                  <w:rFonts w:eastAsia="Calibri" w:cs="Arial"/>
                  <w:sz w:val="14"/>
                  <w:szCs w:val="14"/>
                  <w:lang w:eastAsia="en-US"/>
                </w:rPr>
                <w:t>s86(1)</w:t>
              </w:r>
            </w:hyperlink>
          </w:p>
          <w:p w14:paraId="0DAF8112" w14:textId="77777777" w:rsidR="006733F4" w:rsidRPr="005B2F5C" w:rsidRDefault="006733F4" w:rsidP="00F839DB">
            <w:pPr>
              <w:pStyle w:val="ListParagraph"/>
              <w:numPr>
                <w:ilvl w:val="0"/>
                <w:numId w:val="205"/>
              </w:numPr>
              <w:spacing w:after="60"/>
              <w:contextualSpacing/>
              <w:rPr>
                <w:rFonts w:eastAsia="Calibri" w:cs="Arial"/>
                <w:sz w:val="14"/>
                <w:szCs w:val="14"/>
                <w:lang w:eastAsia="en-US"/>
              </w:rPr>
            </w:pPr>
            <w:r w:rsidRPr="005B2F5C">
              <w:rPr>
                <w:rFonts w:eastAsia="Calibri" w:cs="Arial"/>
                <w:sz w:val="14"/>
                <w:szCs w:val="14"/>
                <w:lang w:eastAsia="en-US"/>
              </w:rPr>
              <w:t xml:space="preserve">If a worker does not comply with the requirements of a return to work plan or injury management plan, the matter can be referred to the Tribunal which has the power to suspend compensation — </w:t>
            </w:r>
            <w:hyperlink r:id="rId1424" w:history="1">
              <w:r w:rsidRPr="005B2F5C">
                <w:rPr>
                  <w:rFonts w:eastAsia="Calibri" w:cs="Arial"/>
                  <w:color w:val="0000FF"/>
                  <w:sz w:val="14"/>
                  <w:szCs w:val="14"/>
                  <w:u w:val="single"/>
                  <w:lang w:eastAsia="en-US"/>
                </w:rPr>
                <w:t>s143E(7)</w:t>
              </w:r>
            </w:hyperlink>
            <w:r w:rsidRPr="005B2F5C">
              <w:rPr>
                <w:rFonts w:eastAsia="Calibri" w:cs="Arial"/>
                <w:sz w:val="14"/>
                <w:szCs w:val="14"/>
                <w:lang w:eastAsia="en-US"/>
              </w:rPr>
              <w:t xml:space="preserve"> and </w:t>
            </w:r>
            <w:hyperlink r:id="rId1425" w:history="1">
              <w:r w:rsidRPr="005B2F5C">
                <w:rPr>
                  <w:rFonts w:eastAsia="Calibri" w:cs="Arial"/>
                  <w:color w:val="0000FF"/>
                  <w:sz w:val="14"/>
                  <w:szCs w:val="14"/>
                  <w:u w:val="single"/>
                  <w:lang w:eastAsia="en-US"/>
                </w:rPr>
                <w:t>s143Q(7)</w:t>
              </w:r>
            </w:hyperlink>
          </w:p>
          <w:p w14:paraId="20F7560C" w14:textId="6FDD5712" w:rsidR="006733F4" w:rsidRPr="005B2F5C" w:rsidRDefault="006733F4" w:rsidP="00F839DB">
            <w:pPr>
              <w:pStyle w:val="ListParagraph"/>
              <w:numPr>
                <w:ilvl w:val="0"/>
                <w:numId w:val="205"/>
              </w:numPr>
              <w:spacing w:after="60"/>
              <w:contextualSpacing/>
              <w:rPr>
                <w:rFonts w:eastAsia="Calibri" w:cs="Arial"/>
                <w:sz w:val="14"/>
                <w:szCs w:val="14"/>
                <w:lang w:eastAsia="en-US"/>
              </w:rPr>
            </w:pPr>
            <w:r w:rsidRPr="005B2F5C">
              <w:rPr>
                <w:rFonts w:eastAsia="Calibri" w:cs="Arial"/>
                <w:sz w:val="14"/>
                <w:szCs w:val="14"/>
                <w:lang w:eastAsia="en-US"/>
              </w:rPr>
              <w:t xml:space="preserve">A worker is not entitled to weekly compensation whilst serving a term of imprisonment — </w:t>
            </w:r>
            <w:hyperlink r:id="rId1426" w:history="1">
              <w:r w:rsidRPr="005B2F5C">
                <w:rPr>
                  <w:rFonts w:eastAsia="Calibri" w:cs="Arial"/>
                  <w:color w:val="0000FF"/>
                  <w:sz w:val="14"/>
                  <w:szCs w:val="14"/>
                  <w:u w:val="single"/>
                  <w:lang w:eastAsia="en-US"/>
                </w:rPr>
                <w:t>s82</w:t>
              </w:r>
            </w:hyperlink>
            <w:r w:rsidR="00E13D9F">
              <w:rPr>
                <w:rFonts w:eastAsia="Calibri" w:cs="Arial"/>
                <w:color w:val="0000FF"/>
                <w:sz w:val="14"/>
                <w:szCs w:val="14"/>
                <w:u w:val="single"/>
                <w:lang w:eastAsia="en-US"/>
              </w:rPr>
              <w:t>.</w:t>
            </w:r>
          </w:p>
        </w:tc>
      </w:tr>
      <w:tr w:rsidR="006733F4" w:rsidRPr="006733F4" w14:paraId="3EA74A97" w14:textId="77777777" w:rsidTr="00922480">
        <w:tc>
          <w:tcPr>
            <w:tcW w:w="1559" w:type="dxa"/>
            <w:shd w:val="clear" w:color="auto" w:fill="FFC9C9"/>
            <w:tcMar>
              <w:top w:w="80" w:type="dxa"/>
              <w:left w:w="80" w:type="dxa"/>
              <w:bottom w:w="80" w:type="dxa"/>
              <w:right w:w="80" w:type="dxa"/>
            </w:tcMar>
          </w:tcPr>
          <w:p w14:paraId="424B2F3E"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Northern Territory</w:t>
            </w:r>
          </w:p>
        </w:tc>
        <w:tc>
          <w:tcPr>
            <w:tcW w:w="13795" w:type="dxa"/>
            <w:shd w:val="clear" w:color="auto" w:fill="FFC9C9"/>
            <w:tcMar>
              <w:top w:w="80" w:type="dxa"/>
              <w:left w:w="80" w:type="dxa"/>
              <w:bottom w:w="80" w:type="dxa"/>
              <w:right w:w="80" w:type="dxa"/>
            </w:tcMar>
          </w:tcPr>
          <w:p w14:paraId="59603E2E" w14:textId="39D658B5" w:rsidR="006733F4" w:rsidRPr="005B2F5C" w:rsidRDefault="006733F4" w:rsidP="00F839DB">
            <w:pPr>
              <w:pStyle w:val="ListParagraph"/>
              <w:numPr>
                <w:ilvl w:val="0"/>
                <w:numId w:val="206"/>
              </w:numPr>
              <w:spacing w:after="60"/>
              <w:contextualSpacing/>
              <w:rPr>
                <w:rFonts w:eastAsia="Calibri" w:cs="Arial"/>
                <w:sz w:val="14"/>
                <w:szCs w:val="14"/>
                <w:lang w:eastAsia="en-US"/>
              </w:rPr>
            </w:pPr>
            <w:r w:rsidRPr="005B2F5C">
              <w:rPr>
                <w:rFonts w:eastAsia="Calibri" w:cs="Arial"/>
                <w:sz w:val="14"/>
                <w:szCs w:val="14"/>
                <w:lang w:eastAsia="en-US"/>
              </w:rPr>
              <w:t xml:space="preserve">Section </w:t>
            </w:r>
            <w:hyperlink r:id="rId1427" w:history="1">
              <w:r w:rsidRPr="00FA28B7">
                <w:rPr>
                  <w:rStyle w:val="Hyperlink"/>
                  <w:rFonts w:eastAsia="Calibri" w:cs="Arial"/>
                  <w:sz w:val="14"/>
                  <w:szCs w:val="14"/>
                  <w:lang w:eastAsia="en-US"/>
                </w:rPr>
                <w:t>75B</w:t>
              </w:r>
            </w:hyperlink>
            <w:r w:rsidR="00FA28B7">
              <w:rPr>
                <w:rFonts w:eastAsia="Calibri" w:cs="Arial"/>
                <w:sz w:val="14"/>
                <w:szCs w:val="14"/>
                <w:lang w:eastAsia="en-US"/>
              </w:rPr>
              <w:t xml:space="preserve"> (</w:t>
            </w:r>
            <w:r w:rsidR="00FA28B7" w:rsidRPr="00016069">
              <w:rPr>
                <w:i/>
                <w:sz w:val="14"/>
              </w:rPr>
              <w:t>Return to Work Act</w:t>
            </w:r>
            <w:r w:rsidR="00FA28B7">
              <w:rPr>
                <w:rFonts w:eastAsia="Calibri" w:cs="Arial"/>
                <w:sz w:val="14"/>
                <w:szCs w:val="14"/>
                <w:lang w:eastAsia="en-US"/>
              </w:rPr>
              <w:t>)</w:t>
            </w:r>
            <w:r w:rsidRPr="005B2F5C">
              <w:rPr>
                <w:rFonts w:eastAsia="Calibri" w:cs="Arial"/>
                <w:sz w:val="14"/>
                <w:szCs w:val="14"/>
                <w:lang w:eastAsia="en-US"/>
              </w:rPr>
              <w:t xml:space="preserve">: provides that where a worker unreasonably fails to undertake medical, surgical and rehabilitation treatment or to participate in rehabilitation training or a workplace based return to work program which could enable him or her to undertake more profitable employment, he or she shall be deemed to be able to undertake such employment and his or her compensation for incapacity benefits may, subject to s69, be reduced or cancelled accordingly. </w:t>
            </w:r>
          </w:p>
          <w:p w14:paraId="5C3E50B0" w14:textId="6365735A" w:rsidR="006733F4" w:rsidRPr="005B2F5C" w:rsidRDefault="006733F4" w:rsidP="00F839DB">
            <w:pPr>
              <w:pStyle w:val="ListParagraph"/>
              <w:numPr>
                <w:ilvl w:val="0"/>
                <w:numId w:val="206"/>
              </w:numPr>
              <w:spacing w:after="60"/>
              <w:contextualSpacing/>
              <w:rPr>
                <w:rFonts w:eastAsia="Calibri" w:cs="Arial"/>
                <w:sz w:val="14"/>
                <w:szCs w:val="14"/>
                <w:lang w:eastAsia="en-US"/>
              </w:rPr>
            </w:pPr>
            <w:r w:rsidRPr="005B2F5C">
              <w:rPr>
                <w:rFonts w:eastAsia="Calibri" w:cs="Arial"/>
                <w:sz w:val="14"/>
                <w:szCs w:val="14"/>
                <w:lang w:eastAsia="en-US"/>
              </w:rPr>
              <w:t xml:space="preserve">Where under section </w:t>
            </w:r>
            <w:hyperlink r:id="rId1428" w:history="1">
              <w:r w:rsidRPr="00FA28B7">
                <w:rPr>
                  <w:rStyle w:val="Hyperlink"/>
                  <w:rFonts w:eastAsia="Calibri" w:cs="Arial"/>
                  <w:sz w:val="14"/>
                  <w:szCs w:val="14"/>
                  <w:lang w:eastAsia="en-US"/>
                </w:rPr>
                <w:t>75B</w:t>
              </w:r>
            </w:hyperlink>
            <w:r w:rsidRPr="005B2F5C">
              <w:rPr>
                <w:rFonts w:eastAsia="Calibri" w:cs="Arial"/>
                <w:sz w:val="14"/>
                <w:szCs w:val="14"/>
                <w:lang w:eastAsia="en-US"/>
              </w:rPr>
              <w:t xml:space="preserve"> a worker so required under ss(1) unreasonably refuses to present himself or herself for assessment of his or her employment prospects, he or she shall be deemed to be able to undertake the most profitable employment that would be reasonably possible for a willing worker with his or her experience and skill and who has sustained a similar injury and is in similar circumstances, having regard to the matters referred to in </w:t>
            </w:r>
            <w:hyperlink r:id="rId1429" w:history="1">
              <w:r w:rsidRPr="00FA28B7">
                <w:rPr>
                  <w:rStyle w:val="Hyperlink"/>
                  <w:rFonts w:eastAsia="Calibri" w:cs="Arial"/>
                  <w:sz w:val="14"/>
                  <w:szCs w:val="14"/>
                  <w:lang w:eastAsia="en-US"/>
                </w:rPr>
                <w:t>s68</w:t>
              </w:r>
            </w:hyperlink>
            <w:r w:rsidRPr="005B2F5C">
              <w:rPr>
                <w:rFonts w:eastAsia="Calibri" w:cs="Arial"/>
                <w:sz w:val="14"/>
                <w:szCs w:val="14"/>
                <w:lang w:eastAsia="en-US"/>
              </w:rPr>
              <w:t xml:space="preserve">, and his or her incapacity benefits may, subject to </w:t>
            </w:r>
            <w:hyperlink r:id="rId1430" w:history="1">
              <w:r w:rsidRPr="00FA28B7">
                <w:rPr>
                  <w:rStyle w:val="Hyperlink"/>
                  <w:rFonts w:eastAsia="Calibri" w:cs="Arial"/>
                  <w:sz w:val="14"/>
                  <w:szCs w:val="14"/>
                  <w:lang w:eastAsia="en-US"/>
                </w:rPr>
                <w:t>s69</w:t>
              </w:r>
            </w:hyperlink>
            <w:r w:rsidRPr="005B2F5C">
              <w:rPr>
                <w:rFonts w:eastAsia="Calibri" w:cs="Arial"/>
                <w:sz w:val="14"/>
                <w:szCs w:val="14"/>
                <w:lang w:eastAsia="en-US"/>
              </w:rPr>
              <w:t xml:space="preserve">, be reduced or cancelled accordingly. </w:t>
            </w:r>
          </w:p>
          <w:p w14:paraId="5DAA51F1" w14:textId="4F2D0757" w:rsidR="006733F4" w:rsidRPr="005B2F5C" w:rsidRDefault="006733F4" w:rsidP="00F839DB">
            <w:pPr>
              <w:pStyle w:val="ListParagraph"/>
              <w:numPr>
                <w:ilvl w:val="0"/>
                <w:numId w:val="206"/>
              </w:numPr>
              <w:spacing w:after="60"/>
              <w:contextualSpacing/>
              <w:rPr>
                <w:rFonts w:eastAsia="Calibri" w:cs="Arial"/>
                <w:sz w:val="14"/>
                <w:szCs w:val="14"/>
                <w:lang w:eastAsia="en-US"/>
              </w:rPr>
            </w:pPr>
            <w:r w:rsidRPr="005B2F5C">
              <w:rPr>
                <w:rFonts w:eastAsia="Calibri" w:cs="Arial"/>
                <w:sz w:val="14"/>
                <w:szCs w:val="14"/>
                <w:lang w:eastAsia="en-US"/>
              </w:rPr>
              <w:lastRenderedPageBreak/>
              <w:t xml:space="preserve">Section </w:t>
            </w:r>
            <w:hyperlink r:id="rId1431" w:history="1">
              <w:r w:rsidRPr="00FA28B7">
                <w:rPr>
                  <w:rStyle w:val="Hyperlink"/>
                  <w:rFonts w:eastAsia="Calibri" w:cs="Arial"/>
                  <w:sz w:val="14"/>
                  <w:szCs w:val="14"/>
                  <w:lang w:eastAsia="en-US"/>
                </w:rPr>
                <w:t>91</w:t>
              </w:r>
            </w:hyperlink>
            <w:r w:rsidRPr="005B2F5C">
              <w:rPr>
                <w:rFonts w:eastAsia="Calibri" w:cs="Arial"/>
                <w:sz w:val="14"/>
                <w:szCs w:val="14"/>
                <w:lang w:eastAsia="en-US"/>
              </w:rPr>
              <w:t xml:space="preserve"> provides that subject to </w:t>
            </w:r>
            <w:hyperlink r:id="rId1432" w:history="1">
              <w:r w:rsidRPr="00FA28B7">
                <w:rPr>
                  <w:rStyle w:val="Hyperlink"/>
                  <w:rFonts w:eastAsia="Calibri" w:cs="Arial"/>
                  <w:sz w:val="14"/>
                  <w:szCs w:val="14"/>
                  <w:lang w:eastAsia="en-US"/>
                </w:rPr>
                <w:t>s69</w:t>
              </w:r>
            </w:hyperlink>
            <w:r w:rsidRPr="005B2F5C">
              <w:rPr>
                <w:rFonts w:eastAsia="Calibri" w:cs="Arial"/>
                <w:sz w:val="14"/>
                <w:szCs w:val="14"/>
                <w:lang w:eastAsia="en-US"/>
              </w:rPr>
              <w:t>, where a worker unreasonably refuses to have, or unreasonably obstructs, an examin</w:t>
            </w:r>
            <w:r w:rsidR="00CC0D1E">
              <w:rPr>
                <w:rFonts w:eastAsia="Calibri" w:cs="Arial"/>
                <w:sz w:val="14"/>
                <w:szCs w:val="14"/>
                <w:lang w:eastAsia="en-US"/>
              </w:rPr>
              <w:t>ation by a medical practitioner</w:t>
            </w:r>
            <w:r w:rsidRPr="005B2F5C">
              <w:rPr>
                <w:rFonts w:eastAsia="Calibri" w:cs="Arial"/>
                <w:sz w:val="14"/>
                <w:szCs w:val="14"/>
                <w:lang w:eastAsia="en-US"/>
              </w:rPr>
              <w:t>, provided and paid for by the employer the employer may cancel or reduce the incapacity compensation payable to the worker until the examination takes place.</w:t>
            </w:r>
          </w:p>
          <w:p w14:paraId="6A167ADE" w14:textId="39485CCC" w:rsidR="006733F4" w:rsidRPr="005B2F5C" w:rsidRDefault="006733F4" w:rsidP="00F839DB">
            <w:pPr>
              <w:pStyle w:val="ListParagraph"/>
              <w:numPr>
                <w:ilvl w:val="0"/>
                <w:numId w:val="206"/>
              </w:numPr>
              <w:spacing w:after="60"/>
              <w:contextualSpacing/>
              <w:rPr>
                <w:rFonts w:eastAsia="Calibri" w:cs="Arial"/>
                <w:sz w:val="14"/>
                <w:szCs w:val="14"/>
                <w:lang w:eastAsia="en-US"/>
              </w:rPr>
            </w:pPr>
            <w:r w:rsidRPr="005B2F5C">
              <w:rPr>
                <w:rFonts w:eastAsia="Calibri" w:cs="Arial"/>
                <w:sz w:val="14"/>
                <w:szCs w:val="14"/>
                <w:lang w:eastAsia="en-US"/>
              </w:rPr>
              <w:t xml:space="preserve">Imprisonment </w:t>
            </w:r>
            <w:hyperlink r:id="rId1433" w:history="1">
              <w:r w:rsidRPr="00FA28B7">
                <w:rPr>
                  <w:rStyle w:val="Hyperlink"/>
                  <w:rFonts w:eastAsia="Calibri" w:cs="Arial"/>
                  <w:sz w:val="14"/>
                  <w:szCs w:val="14"/>
                  <w:lang w:eastAsia="en-US"/>
                </w:rPr>
                <w:t>s65A</w:t>
              </w:r>
            </w:hyperlink>
            <w:r w:rsidRPr="005B2F5C">
              <w:rPr>
                <w:rFonts w:eastAsia="Calibri" w:cs="Arial"/>
                <w:sz w:val="14"/>
                <w:szCs w:val="14"/>
                <w:lang w:eastAsia="en-US"/>
              </w:rPr>
              <w:t xml:space="preserve"> — a person is not entitled to receive incapacity benefits for periods of incarceration.</w:t>
            </w:r>
          </w:p>
          <w:p w14:paraId="7B747B33" w14:textId="299B3F13" w:rsidR="006733F4" w:rsidRPr="005B2F5C" w:rsidRDefault="006733F4" w:rsidP="00F839DB">
            <w:pPr>
              <w:pStyle w:val="ListParagraph"/>
              <w:numPr>
                <w:ilvl w:val="0"/>
                <w:numId w:val="206"/>
              </w:numPr>
              <w:spacing w:after="60"/>
              <w:contextualSpacing/>
              <w:rPr>
                <w:rFonts w:eastAsia="Calibri" w:cs="Arial"/>
                <w:sz w:val="14"/>
                <w:szCs w:val="14"/>
                <w:lang w:eastAsia="en-US"/>
              </w:rPr>
            </w:pPr>
            <w:r w:rsidRPr="005B2F5C">
              <w:rPr>
                <w:rFonts w:eastAsia="Calibri" w:cs="Arial"/>
                <w:sz w:val="14"/>
                <w:szCs w:val="14"/>
                <w:lang w:eastAsia="en-US"/>
              </w:rPr>
              <w:t xml:space="preserve">Residing outside Australia unless the claimant provides proof of identity and incapacity. A maximum of 104 weeks is payable if a claimant resides outside Australia </w:t>
            </w:r>
            <w:r w:rsidR="003F5D7A">
              <w:rPr>
                <w:rFonts w:eastAsia="Calibri" w:cs="Arial"/>
                <w:sz w:val="14"/>
                <w:szCs w:val="14"/>
                <w:lang w:eastAsia="en-US"/>
              </w:rPr>
              <w:t>—</w:t>
            </w:r>
            <w:r w:rsidR="003F5D7A" w:rsidRPr="005B2F5C">
              <w:rPr>
                <w:rFonts w:eastAsia="Calibri" w:cs="Arial"/>
                <w:sz w:val="14"/>
                <w:szCs w:val="14"/>
                <w:lang w:eastAsia="en-US"/>
              </w:rPr>
              <w:t xml:space="preserve"> </w:t>
            </w:r>
            <w:hyperlink r:id="rId1434" w:history="1">
              <w:r w:rsidRPr="00FA28B7">
                <w:rPr>
                  <w:rStyle w:val="Hyperlink"/>
                  <w:rFonts w:eastAsia="Calibri" w:cs="Arial"/>
                  <w:sz w:val="14"/>
                  <w:szCs w:val="14"/>
                  <w:lang w:eastAsia="en-US"/>
                </w:rPr>
                <w:t>s65B</w:t>
              </w:r>
            </w:hyperlink>
            <w:r w:rsidRPr="005B2F5C">
              <w:rPr>
                <w:rFonts w:eastAsia="Calibri" w:cs="Arial"/>
                <w:sz w:val="14"/>
                <w:szCs w:val="14"/>
                <w:lang w:eastAsia="en-US"/>
              </w:rPr>
              <w:t>. Failing to provide medical certificate when requested. Worker is no longer incapacitated.</w:t>
            </w:r>
          </w:p>
        </w:tc>
      </w:tr>
      <w:tr w:rsidR="006733F4" w:rsidRPr="006733F4" w14:paraId="6BE52767" w14:textId="77777777" w:rsidTr="00922480">
        <w:tc>
          <w:tcPr>
            <w:tcW w:w="1559" w:type="dxa"/>
            <w:tcMar>
              <w:top w:w="80" w:type="dxa"/>
              <w:left w:w="80" w:type="dxa"/>
              <w:bottom w:w="80" w:type="dxa"/>
              <w:right w:w="80" w:type="dxa"/>
            </w:tcMar>
          </w:tcPr>
          <w:p w14:paraId="32E54E76"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lastRenderedPageBreak/>
              <w:t>Australian Capital Territory</w:t>
            </w:r>
          </w:p>
        </w:tc>
        <w:tc>
          <w:tcPr>
            <w:tcW w:w="13795" w:type="dxa"/>
            <w:tcMar>
              <w:top w:w="80" w:type="dxa"/>
              <w:left w:w="80" w:type="dxa"/>
              <w:bottom w:w="80" w:type="dxa"/>
              <w:right w:w="80" w:type="dxa"/>
            </w:tcMar>
          </w:tcPr>
          <w:p w14:paraId="21FFC2E9" w14:textId="45D33D8F"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A worker’s entitlement to compensation may be suspended under </w:t>
            </w:r>
            <w:hyperlink r:id="rId1435" w:history="1">
              <w:r w:rsidRPr="005608B2">
                <w:rPr>
                  <w:rStyle w:val="Hyperlink"/>
                  <w:rFonts w:cs="Arial"/>
                  <w:sz w:val="14"/>
                  <w:szCs w:val="16"/>
                  <w:lang w:val="en-GB"/>
                </w:rPr>
                <w:t>s113</w:t>
              </w:r>
            </w:hyperlink>
            <w:r w:rsidRPr="006733F4">
              <w:rPr>
                <w:rFonts w:cs="Arial"/>
                <w:color w:val="000000"/>
                <w:sz w:val="14"/>
                <w:szCs w:val="16"/>
                <w:lang w:val="en-GB"/>
              </w:rPr>
              <w:t xml:space="preserve"> (compliance by workers), </w:t>
            </w:r>
            <w:hyperlink r:id="rId1436" w:history="1">
              <w:r w:rsidRPr="005608B2">
                <w:rPr>
                  <w:rStyle w:val="Hyperlink"/>
                  <w:rFonts w:cs="Arial"/>
                  <w:sz w:val="14"/>
                  <w:szCs w:val="16"/>
                  <w:lang w:val="en-GB"/>
                </w:rPr>
                <w:t>s44</w:t>
              </w:r>
            </w:hyperlink>
            <w:r w:rsidRPr="006733F4">
              <w:rPr>
                <w:rFonts w:cs="Arial"/>
                <w:color w:val="000000"/>
                <w:sz w:val="14"/>
                <w:szCs w:val="16"/>
                <w:lang w:val="en-GB"/>
              </w:rPr>
              <w:t xml:space="preserve"> (living outside Australia) or </w:t>
            </w:r>
            <w:hyperlink r:id="rId1437" w:history="1">
              <w:r w:rsidRPr="005608B2">
                <w:rPr>
                  <w:rStyle w:val="Hyperlink"/>
                  <w:rFonts w:cs="Arial"/>
                  <w:sz w:val="14"/>
                  <w:szCs w:val="16"/>
                  <w:lang w:val="en-GB"/>
                </w:rPr>
                <w:t>s83</w:t>
              </w:r>
            </w:hyperlink>
            <w:r w:rsidRPr="006733F4">
              <w:rPr>
                <w:rFonts w:cs="Arial"/>
                <w:color w:val="000000"/>
                <w:sz w:val="14"/>
                <w:szCs w:val="16"/>
                <w:lang w:val="en-GB"/>
              </w:rPr>
              <w:t xml:space="preserve"> (no compensation while imprisoned) of the </w:t>
            </w:r>
            <w:r w:rsidRPr="00D41D16">
              <w:rPr>
                <w:rFonts w:cs="Arial"/>
                <w:i/>
                <w:color w:val="000000"/>
                <w:sz w:val="14"/>
                <w:szCs w:val="16"/>
                <w:lang w:val="en-GB"/>
              </w:rPr>
              <w:t>Workers Compensation Act</w:t>
            </w:r>
            <w:r w:rsidRPr="006733F4">
              <w:rPr>
                <w:rFonts w:cs="Arial"/>
                <w:color w:val="000000"/>
                <w:sz w:val="14"/>
                <w:szCs w:val="16"/>
                <w:lang w:val="en-GB"/>
              </w:rPr>
              <w:t xml:space="preserve"> </w:t>
            </w:r>
            <w:r w:rsidRPr="00886185">
              <w:rPr>
                <w:rFonts w:cs="Arial"/>
                <w:i/>
                <w:color w:val="000000"/>
                <w:sz w:val="14"/>
                <w:szCs w:val="16"/>
                <w:lang w:val="en-GB"/>
              </w:rPr>
              <w:t>1951</w:t>
            </w:r>
            <w:r w:rsidRPr="006733F4">
              <w:rPr>
                <w:rFonts w:cs="Arial"/>
                <w:color w:val="000000"/>
                <w:sz w:val="14"/>
                <w:szCs w:val="16"/>
                <w:lang w:val="en-GB"/>
              </w:rPr>
              <w:t>.</w:t>
            </w:r>
          </w:p>
        </w:tc>
      </w:tr>
      <w:tr w:rsidR="006733F4" w:rsidRPr="006733F4" w14:paraId="5299CB13" w14:textId="77777777" w:rsidTr="00922480">
        <w:tc>
          <w:tcPr>
            <w:tcW w:w="1559" w:type="dxa"/>
            <w:shd w:val="clear" w:color="auto" w:fill="FFC9C9"/>
            <w:tcMar>
              <w:top w:w="80" w:type="dxa"/>
              <w:left w:w="80" w:type="dxa"/>
              <w:bottom w:w="80" w:type="dxa"/>
              <w:right w:w="80" w:type="dxa"/>
            </w:tcMar>
          </w:tcPr>
          <w:p w14:paraId="5125948D"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C’wealth Comcare</w:t>
            </w:r>
          </w:p>
        </w:tc>
        <w:tc>
          <w:tcPr>
            <w:tcW w:w="13795" w:type="dxa"/>
            <w:shd w:val="clear" w:color="auto" w:fill="FFC9C9"/>
            <w:tcMar>
              <w:top w:w="80" w:type="dxa"/>
              <w:left w:w="80" w:type="dxa"/>
              <w:bottom w:w="80" w:type="dxa"/>
              <w:right w:w="80" w:type="dxa"/>
            </w:tcMar>
          </w:tcPr>
          <w:p w14:paraId="29C0C20F" w14:textId="77777777" w:rsidR="006733F4" w:rsidRPr="005B2F5C" w:rsidRDefault="006733F4" w:rsidP="00F839DB">
            <w:pPr>
              <w:pStyle w:val="ListParagraph"/>
              <w:numPr>
                <w:ilvl w:val="0"/>
                <w:numId w:val="207"/>
              </w:numPr>
              <w:spacing w:after="60"/>
              <w:contextualSpacing/>
              <w:rPr>
                <w:rFonts w:eastAsia="Calibri" w:cs="Arial"/>
                <w:sz w:val="14"/>
                <w:szCs w:val="14"/>
                <w:lang w:eastAsia="en-US"/>
              </w:rPr>
            </w:pPr>
            <w:r w:rsidRPr="005B2F5C">
              <w:rPr>
                <w:rFonts w:eastAsia="Calibri" w:cs="Arial"/>
                <w:sz w:val="14"/>
                <w:szCs w:val="14"/>
                <w:lang w:eastAsia="en-US"/>
              </w:rPr>
              <w:t>An employee’s right to compensation is suspended for unreasonable refusal to:</w:t>
            </w:r>
          </w:p>
          <w:p w14:paraId="62E1954F" w14:textId="19CD2C30" w:rsidR="006733F4" w:rsidRPr="005B2F5C" w:rsidRDefault="006733F4" w:rsidP="00F839DB">
            <w:pPr>
              <w:pStyle w:val="ListParagraph"/>
              <w:numPr>
                <w:ilvl w:val="0"/>
                <w:numId w:val="208"/>
              </w:numPr>
              <w:spacing w:after="60"/>
              <w:ind w:left="776" w:hanging="425"/>
              <w:rPr>
                <w:rFonts w:cs="Arial"/>
                <w:color w:val="000000"/>
                <w:sz w:val="14"/>
                <w:szCs w:val="16"/>
                <w:lang w:val="en-GB"/>
              </w:rPr>
            </w:pPr>
            <w:r w:rsidRPr="005B2F5C">
              <w:rPr>
                <w:rFonts w:cs="Arial"/>
                <w:color w:val="000000"/>
                <w:sz w:val="14"/>
                <w:szCs w:val="16"/>
                <w:lang w:val="en-GB"/>
              </w:rPr>
              <w:t xml:space="preserve">undergo (or for obstructing) a rehabilitation assessment examination — </w:t>
            </w:r>
            <w:hyperlink r:id="rId1438" w:history="1">
              <w:r w:rsidRPr="005608B2">
                <w:rPr>
                  <w:rStyle w:val="Hyperlink"/>
                  <w:rFonts w:cs="Arial"/>
                  <w:sz w:val="14"/>
                  <w:szCs w:val="16"/>
                  <w:lang w:val="en-GB"/>
                </w:rPr>
                <w:t>s36</w:t>
              </w:r>
            </w:hyperlink>
            <w:r w:rsidR="005608B2">
              <w:rPr>
                <w:rFonts w:cs="Arial"/>
                <w:color w:val="000000"/>
                <w:sz w:val="14"/>
                <w:szCs w:val="16"/>
                <w:lang w:val="en-GB"/>
              </w:rPr>
              <w:t xml:space="preserve"> </w:t>
            </w:r>
            <w:r w:rsidR="005608B2" w:rsidRPr="00016069">
              <w:rPr>
                <w:i/>
                <w:sz w:val="14"/>
              </w:rPr>
              <w:t>Safety, Rehabilitation and Compensation Act 1988</w:t>
            </w:r>
          </w:p>
          <w:p w14:paraId="0329EC11" w14:textId="3CB07616" w:rsidR="006733F4" w:rsidRPr="005B2F5C" w:rsidRDefault="006733F4" w:rsidP="00F839DB">
            <w:pPr>
              <w:pStyle w:val="ListParagraph"/>
              <w:numPr>
                <w:ilvl w:val="0"/>
                <w:numId w:val="208"/>
              </w:numPr>
              <w:spacing w:after="60"/>
              <w:ind w:left="776" w:hanging="425"/>
              <w:rPr>
                <w:rFonts w:cs="Arial"/>
                <w:color w:val="000000"/>
                <w:sz w:val="14"/>
                <w:szCs w:val="16"/>
                <w:lang w:val="en-GB"/>
              </w:rPr>
            </w:pPr>
            <w:r w:rsidRPr="005B2F5C">
              <w:rPr>
                <w:rFonts w:cs="Arial"/>
                <w:color w:val="000000"/>
                <w:sz w:val="14"/>
                <w:szCs w:val="16"/>
                <w:lang w:val="en-GB"/>
              </w:rPr>
              <w:t xml:space="preserve">undertake a rehabilitation program — </w:t>
            </w:r>
            <w:hyperlink r:id="rId1439" w:history="1">
              <w:r w:rsidRPr="005608B2">
                <w:rPr>
                  <w:rStyle w:val="Hyperlink"/>
                  <w:rFonts w:cs="Arial"/>
                  <w:sz w:val="14"/>
                  <w:szCs w:val="16"/>
                  <w:lang w:val="en-GB"/>
                </w:rPr>
                <w:t>s37</w:t>
              </w:r>
            </w:hyperlink>
            <w:r w:rsidRPr="005B2F5C">
              <w:rPr>
                <w:rFonts w:cs="Arial"/>
                <w:color w:val="000000"/>
                <w:sz w:val="14"/>
                <w:szCs w:val="16"/>
                <w:lang w:val="en-GB"/>
              </w:rPr>
              <w:t>, or</w:t>
            </w:r>
          </w:p>
          <w:p w14:paraId="7A51FF05" w14:textId="1690DD80" w:rsidR="006733F4" w:rsidRPr="005B2F5C" w:rsidRDefault="006733F4" w:rsidP="00F839DB">
            <w:pPr>
              <w:pStyle w:val="ListParagraph"/>
              <w:numPr>
                <w:ilvl w:val="0"/>
                <w:numId w:val="208"/>
              </w:numPr>
              <w:spacing w:after="60"/>
              <w:ind w:left="776" w:hanging="425"/>
              <w:rPr>
                <w:rFonts w:cs="Arial"/>
                <w:color w:val="000000"/>
                <w:sz w:val="14"/>
                <w:szCs w:val="16"/>
                <w:lang w:val="en-GB"/>
              </w:rPr>
            </w:pPr>
            <w:r w:rsidRPr="005B2F5C">
              <w:rPr>
                <w:rFonts w:cs="Arial"/>
                <w:color w:val="000000"/>
                <w:sz w:val="14"/>
                <w:szCs w:val="16"/>
                <w:lang w:val="en-GB"/>
              </w:rPr>
              <w:t xml:space="preserve">undergo (or for obstructing) a medical examination — </w:t>
            </w:r>
            <w:hyperlink r:id="rId1440" w:history="1">
              <w:r w:rsidRPr="005608B2">
                <w:rPr>
                  <w:rStyle w:val="Hyperlink"/>
                  <w:rFonts w:cs="Arial"/>
                  <w:sz w:val="14"/>
                  <w:szCs w:val="16"/>
                  <w:lang w:val="en-GB"/>
                </w:rPr>
                <w:t>s57</w:t>
              </w:r>
            </w:hyperlink>
          </w:p>
          <w:p w14:paraId="36B16186" w14:textId="56A31E9D"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Note: for suspensions under </w:t>
            </w:r>
            <w:hyperlink r:id="rId1441" w:history="1">
              <w:r w:rsidR="005608B2" w:rsidRPr="005608B2">
                <w:rPr>
                  <w:rStyle w:val="Hyperlink"/>
                  <w:rFonts w:cs="Arial"/>
                  <w:sz w:val="14"/>
                  <w:szCs w:val="16"/>
                  <w:lang w:val="en-GB"/>
                </w:rPr>
                <w:t>s36</w:t>
              </w:r>
            </w:hyperlink>
            <w:r w:rsidRPr="006733F4">
              <w:rPr>
                <w:rFonts w:cs="Arial"/>
                <w:color w:val="000000"/>
                <w:sz w:val="14"/>
                <w:szCs w:val="16"/>
                <w:lang w:val="en-GB"/>
              </w:rPr>
              <w:t xml:space="preserve"> or </w:t>
            </w:r>
            <w:hyperlink r:id="rId1442" w:history="1">
              <w:r w:rsidR="005608B2" w:rsidRPr="005608B2">
                <w:rPr>
                  <w:rStyle w:val="Hyperlink"/>
                  <w:rFonts w:cs="Arial"/>
                  <w:sz w:val="14"/>
                  <w:szCs w:val="16"/>
                  <w:lang w:val="en-GB"/>
                </w:rPr>
                <w:t>s37</w:t>
              </w:r>
            </w:hyperlink>
            <w:r w:rsidRPr="006733F4">
              <w:rPr>
                <w:rFonts w:cs="Arial"/>
                <w:color w:val="000000"/>
                <w:sz w:val="14"/>
                <w:szCs w:val="16"/>
                <w:lang w:val="en-GB"/>
              </w:rPr>
              <w:t xml:space="preserve">, rights to compensation for medical expenses under </w:t>
            </w:r>
            <w:hyperlink r:id="rId1443" w:history="1">
              <w:r w:rsidRPr="005608B2">
                <w:rPr>
                  <w:rStyle w:val="Hyperlink"/>
                  <w:rFonts w:cs="Arial"/>
                  <w:sz w:val="14"/>
                  <w:szCs w:val="16"/>
                  <w:lang w:val="en-GB"/>
                </w:rPr>
                <w:t>s16</w:t>
              </w:r>
            </w:hyperlink>
            <w:r w:rsidRPr="006733F4">
              <w:rPr>
                <w:rFonts w:cs="Arial"/>
                <w:color w:val="000000"/>
                <w:sz w:val="14"/>
                <w:szCs w:val="16"/>
                <w:lang w:val="en-GB"/>
              </w:rPr>
              <w:t xml:space="preserve"> continue where the suspension commenced on or after 7 December 2011.</w:t>
            </w:r>
          </w:p>
          <w:p w14:paraId="4DF72214" w14:textId="26C97881" w:rsidR="006733F4" w:rsidRPr="005B2F5C" w:rsidRDefault="006733F4" w:rsidP="00F839DB">
            <w:pPr>
              <w:pStyle w:val="ListParagraph"/>
              <w:numPr>
                <w:ilvl w:val="0"/>
                <w:numId w:val="207"/>
              </w:numPr>
              <w:spacing w:after="60"/>
              <w:contextualSpacing/>
              <w:rPr>
                <w:rFonts w:eastAsia="Calibri" w:cs="Arial"/>
                <w:sz w:val="14"/>
                <w:szCs w:val="14"/>
                <w:lang w:eastAsia="en-US"/>
              </w:rPr>
            </w:pPr>
            <w:r w:rsidRPr="005B2F5C">
              <w:rPr>
                <w:rFonts w:eastAsia="Calibri" w:cs="Arial"/>
                <w:sz w:val="14"/>
                <w:szCs w:val="14"/>
                <w:lang w:eastAsia="en-US"/>
              </w:rPr>
              <w:t xml:space="preserve">An employee’s right to compensation is suspended for failure to comply with any reasonable requirement of Comcare or the licensee where Comcare or the licensee takes over or initiates a 3rd </w:t>
            </w:r>
            <w:r w:rsidR="00365F53">
              <w:rPr>
                <w:rFonts w:eastAsia="Calibri" w:cs="Arial"/>
                <w:sz w:val="14"/>
                <w:szCs w:val="14"/>
                <w:lang w:eastAsia="en-US"/>
              </w:rPr>
              <w:t>p</w:t>
            </w:r>
            <w:r w:rsidRPr="005B2F5C">
              <w:rPr>
                <w:rFonts w:eastAsia="Calibri" w:cs="Arial"/>
                <w:sz w:val="14"/>
                <w:szCs w:val="14"/>
                <w:lang w:eastAsia="en-US"/>
              </w:rPr>
              <w:t xml:space="preserve">arty recovery action — </w:t>
            </w:r>
            <w:hyperlink r:id="rId1444" w:history="1">
              <w:r w:rsidRPr="00F429E6">
                <w:rPr>
                  <w:rStyle w:val="Hyperlink"/>
                  <w:rFonts w:eastAsia="Calibri" w:cs="Arial"/>
                  <w:sz w:val="14"/>
                  <w:szCs w:val="14"/>
                  <w:lang w:eastAsia="en-US"/>
                </w:rPr>
                <w:t>s50</w:t>
              </w:r>
            </w:hyperlink>
          </w:p>
          <w:p w14:paraId="7E42926F" w14:textId="77777777" w:rsidR="006733F4" w:rsidRDefault="006733F4" w:rsidP="00F839DB">
            <w:pPr>
              <w:pStyle w:val="ListParagraph"/>
              <w:numPr>
                <w:ilvl w:val="0"/>
                <w:numId w:val="207"/>
              </w:numPr>
              <w:spacing w:after="60"/>
              <w:contextualSpacing/>
              <w:rPr>
                <w:rFonts w:eastAsia="Calibri" w:cs="Arial"/>
                <w:sz w:val="14"/>
                <w:szCs w:val="14"/>
                <w:lang w:eastAsia="en-US"/>
              </w:rPr>
            </w:pPr>
            <w:r w:rsidRPr="005B2F5C">
              <w:rPr>
                <w:rFonts w:eastAsia="Calibri" w:cs="Arial"/>
                <w:sz w:val="14"/>
                <w:szCs w:val="14"/>
                <w:lang w:eastAsia="en-US"/>
              </w:rPr>
              <w:t xml:space="preserve">Should an employee fail to comply with a notice to give information or a copy of a document, Comcare or the licensee may refuse to deal with the claim </w:t>
            </w:r>
            <w:r w:rsidR="003F5D7A">
              <w:rPr>
                <w:rFonts w:eastAsia="Calibri" w:cs="Arial"/>
                <w:sz w:val="14"/>
                <w:szCs w:val="14"/>
                <w:lang w:eastAsia="en-US"/>
              </w:rPr>
              <w:t>—</w:t>
            </w:r>
            <w:r w:rsidR="003F5D7A" w:rsidRPr="005B2F5C">
              <w:rPr>
                <w:rFonts w:eastAsia="Calibri" w:cs="Arial"/>
                <w:sz w:val="14"/>
                <w:szCs w:val="14"/>
                <w:lang w:eastAsia="en-US"/>
              </w:rPr>
              <w:t xml:space="preserve"> </w:t>
            </w:r>
            <w:hyperlink r:id="rId1445" w:history="1">
              <w:r w:rsidRPr="00F429E6">
                <w:rPr>
                  <w:rStyle w:val="Hyperlink"/>
                  <w:rFonts w:eastAsia="Calibri" w:cs="Arial"/>
                  <w:sz w:val="14"/>
                  <w:szCs w:val="14"/>
                  <w:lang w:eastAsia="en-US"/>
                </w:rPr>
                <w:t>s58</w:t>
              </w:r>
            </w:hyperlink>
            <w:r w:rsidR="00E13D9F">
              <w:rPr>
                <w:rFonts w:eastAsia="Calibri" w:cs="Arial"/>
                <w:sz w:val="14"/>
                <w:szCs w:val="14"/>
                <w:lang w:eastAsia="en-US"/>
              </w:rPr>
              <w:t>.</w:t>
            </w:r>
          </w:p>
          <w:p w14:paraId="1CE32F49" w14:textId="188BEB9E" w:rsidR="00EA62EF" w:rsidRPr="005B2F5C" w:rsidRDefault="00EA62EF" w:rsidP="00F839DB">
            <w:pPr>
              <w:pStyle w:val="ListParagraph"/>
              <w:numPr>
                <w:ilvl w:val="0"/>
                <w:numId w:val="207"/>
              </w:numPr>
              <w:spacing w:after="60"/>
              <w:contextualSpacing/>
              <w:rPr>
                <w:rFonts w:eastAsia="Calibri" w:cs="Arial"/>
                <w:sz w:val="14"/>
                <w:szCs w:val="14"/>
                <w:lang w:eastAsia="en-US"/>
              </w:rPr>
            </w:pPr>
            <w:r>
              <w:rPr>
                <w:rFonts w:eastAsia="Calibri" w:cs="Arial"/>
                <w:sz w:val="14"/>
                <w:szCs w:val="14"/>
                <w:lang w:eastAsia="en-US"/>
              </w:rPr>
              <w:t xml:space="preserve">Suspension of incapacity payments for periods of imprisonment for conviction of an offence — </w:t>
            </w:r>
            <w:hyperlink r:id="rId1446" w:history="1">
              <w:r w:rsidRPr="00EA62EF">
                <w:rPr>
                  <w:rStyle w:val="Hyperlink"/>
                  <w:rFonts w:eastAsia="Calibri" w:cs="Arial"/>
                  <w:sz w:val="14"/>
                  <w:szCs w:val="14"/>
                  <w:lang w:eastAsia="en-US"/>
                </w:rPr>
                <w:t>s23(2)</w:t>
              </w:r>
            </w:hyperlink>
            <w:r>
              <w:rPr>
                <w:rFonts w:eastAsia="Calibri" w:cs="Arial"/>
                <w:sz w:val="14"/>
                <w:szCs w:val="14"/>
                <w:lang w:eastAsia="en-US"/>
              </w:rPr>
              <w:t>.</w:t>
            </w:r>
          </w:p>
        </w:tc>
      </w:tr>
      <w:tr w:rsidR="006733F4" w:rsidRPr="006733F4" w14:paraId="018EC017" w14:textId="77777777" w:rsidTr="00922480">
        <w:tc>
          <w:tcPr>
            <w:tcW w:w="1559" w:type="dxa"/>
            <w:tcMar>
              <w:top w:w="80" w:type="dxa"/>
              <w:left w:w="80" w:type="dxa"/>
              <w:bottom w:w="80" w:type="dxa"/>
              <w:right w:w="80" w:type="dxa"/>
            </w:tcMar>
          </w:tcPr>
          <w:p w14:paraId="711083A6"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C’wealth Seacare</w:t>
            </w:r>
          </w:p>
        </w:tc>
        <w:tc>
          <w:tcPr>
            <w:tcW w:w="13795" w:type="dxa"/>
            <w:tcMar>
              <w:top w:w="80" w:type="dxa"/>
              <w:left w:w="80" w:type="dxa"/>
              <w:bottom w:w="80" w:type="dxa"/>
              <w:right w:w="80" w:type="dxa"/>
            </w:tcMar>
          </w:tcPr>
          <w:p w14:paraId="219758CA" w14:textId="77777777" w:rsidR="006733F4" w:rsidRPr="005B2F5C" w:rsidRDefault="006733F4" w:rsidP="00F839DB">
            <w:pPr>
              <w:pStyle w:val="ListParagraph"/>
              <w:numPr>
                <w:ilvl w:val="0"/>
                <w:numId w:val="210"/>
              </w:numPr>
              <w:spacing w:after="60"/>
              <w:contextualSpacing/>
              <w:rPr>
                <w:rFonts w:eastAsia="Calibri" w:cs="Arial"/>
                <w:sz w:val="14"/>
                <w:szCs w:val="14"/>
                <w:lang w:eastAsia="en-US"/>
              </w:rPr>
            </w:pPr>
            <w:r w:rsidRPr="005B2F5C">
              <w:rPr>
                <w:rFonts w:eastAsia="Calibri" w:cs="Arial"/>
                <w:sz w:val="14"/>
                <w:szCs w:val="14"/>
                <w:lang w:eastAsia="en-US"/>
              </w:rPr>
              <w:t xml:space="preserve">An employee’s right to compensation is suspended for unreasonable refusal to: </w:t>
            </w:r>
          </w:p>
          <w:p w14:paraId="4635FCFF" w14:textId="7B38A493" w:rsidR="006733F4" w:rsidRPr="005B2F5C" w:rsidRDefault="006733F4" w:rsidP="00F839DB">
            <w:pPr>
              <w:pStyle w:val="ListParagraph"/>
              <w:numPr>
                <w:ilvl w:val="0"/>
                <w:numId w:val="209"/>
              </w:numPr>
              <w:spacing w:after="60"/>
              <w:ind w:left="776" w:hanging="425"/>
              <w:rPr>
                <w:rFonts w:cs="Arial"/>
                <w:color w:val="000000"/>
                <w:sz w:val="14"/>
                <w:szCs w:val="16"/>
                <w:lang w:val="en-GB"/>
              </w:rPr>
            </w:pPr>
            <w:r w:rsidRPr="005B2F5C">
              <w:rPr>
                <w:rFonts w:cs="Arial"/>
                <w:color w:val="000000"/>
                <w:sz w:val="14"/>
                <w:szCs w:val="16"/>
                <w:lang w:val="en-GB"/>
              </w:rPr>
              <w:t xml:space="preserve">undergo (or for obstructing) a rehabilitation assessment examination </w:t>
            </w:r>
            <w:r w:rsidR="003F5D7A">
              <w:rPr>
                <w:rFonts w:cs="Arial"/>
                <w:color w:val="000000"/>
                <w:sz w:val="14"/>
                <w:szCs w:val="16"/>
                <w:lang w:val="en-GB"/>
              </w:rPr>
              <w:t>—</w:t>
            </w:r>
            <w:r w:rsidR="003F5D7A" w:rsidRPr="005B2F5C">
              <w:rPr>
                <w:rFonts w:cs="Arial"/>
                <w:color w:val="000000"/>
                <w:sz w:val="14"/>
                <w:szCs w:val="16"/>
                <w:lang w:val="en-GB"/>
              </w:rPr>
              <w:t xml:space="preserve"> </w:t>
            </w:r>
            <w:hyperlink r:id="rId1447" w:history="1">
              <w:r w:rsidRPr="004B2039">
                <w:rPr>
                  <w:rStyle w:val="Hyperlink"/>
                  <w:rFonts w:cs="Arial"/>
                  <w:sz w:val="14"/>
                  <w:szCs w:val="16"/>
                  <w:lang w:val="en-GB"/>
                </w:rPr>
                <w:t>s49</w:t>
              </w:r>
            </w:hyperlink>
            <w:r w:rsidR="005608B2">
              <w:rPr>
                <w:rFonts w:cs="Arial"/>
                <w:color w:val="000000"/>
                <w:sz w:val="14"/>
                <w:szCs w:val="16"/>
                <w:lang w:val="en-GB"/>
              </w:rPr>
              <w:t xml:space="preserve"> </w:t>
            </w:r>
            <w:r w:rsidR="005608B2" w:rsidRPr="00016069">
              <w:rPr>
                <w:i/>
                <w:sz w:val="14"/>
              </w:rPr>
              <w:t>Seafarers Rehabilitation and Compensation Act 1992</w:t>
            </w:r>
          </w:p>
          <w:p w14:paraId="2037A4A5" w14:textId="0CB633A4" w:rsidR="006733F4" w:rsidRPr="005B2F5C" w:rsidRDefault="006733F4" w:rsidP="00F839DB">
            <w:pPr>
              <w:pStyle w:val="ListParagraph"/>
              <w:numPr>
                <w:ilvl w:val="0"/>
                <w:numId w:val="209"/>
              </w:numPr>
              <w:spacing w:after="60"/>
              <w:ind w:left="776" w:hanging="425"/>
              <w:rPr>
                <w:rFonts w:cs="Arial"/>
                <w:color w:val="000000"/>
                <w:sz w:val="14"/>
                <w:szCs w:val="16"/>
                <w:lang w:val="en-GB"/>
              </w:rPr>
            </w:pPr>
            <w:r w:rsidRPr="005B2F5C">
              <w:rPr>
                <w:rFonts w:cs="Arial"/>
                <w:color w:val="000000"/>
                <w:sz w:val="14"/>
                <w:szCs w:val="16"/>
                <w:lang w:val="en-GB"/>
              </w:rPr>
              <w:t xml:space="preserve">undertake a rehabilitation program </w:t>
            </w:r>
            <w:r w:rsidR="003F5D7A">
              <w:rPr>
                <w:rFonts w:cs="Arial"/>
                <w:color w:val="000000"/>
                <w:sz w:val="14"/>
                <w:szCs w:val="16"/>
                <w:lang w:val="en-GB"/>
              </w:rPr>
              <w:t>—</w:t>
            </w:r>
            <w:r w:rsidR="003F5D7A" w:rsidRPr="005B2F5C">
              <w:rPr>
                <w:rFonts w:cs="Arial"/>
                <w:color w:val="000000"/>
                <w:sz w:val="14"/>
                <w:szCs w:val="16"/>
                <w:lang w:val="en-GB"/>
              </w:rPr>
              <w:t xml:space="preserve"> </w:t>
            </w:r>
            <w:hyperlink r:id="rId1448" w:history="1">
              <w:r w:rsidRPr="004B2039">
                <w:rPr>
                  <w:rStyle w:val="Hyperlink"/>
                  <w:rFonts w:cs="Arial"/>
                  <w:sz w:val="14"/>
                  <w:szCs w:val="16"/>
                  <w:lang w:val="en-GB"/>
                </w:rPr>
                <w:t>s50</w:t>
              </w:r>
            </w:hyperlink>
            <w:r w:rsidRPr="005B2F5C">
              <w:rPr>
                <w:rFonts w:cs="Arial"/>
                <w:color w:val="000000"/>
                <w:sz w:val="14"/>
                <w:szCs w:val="16"/>
                <w:lang w:val="en-GB"/>
              </w:rPr>
              <w:t xml:space="preserve">, or </w:t>
            </w:r>
          </w:p>
          <w:p w14:paraId="11B417E6" w14:textId="6B26E863" w:rsidR="006733F4" w:rsidRPr="005B2F5C" w:rsidRDefault="006733F4" w:rsidP="00F839DB">
            <w:pPr>
              <w:pStyle w:val="ListParagraph"/>
              <w:numPr>
                <w:ilvl w:val="0"/>
                <w:numId w:val="209"/>
              </w:numPr>
              <w:spacing w:after="60"/>
              <w:ind w:left="776" w:hanging="425"/>
              <w:rPr>
                <w:rFonts w:cs="Arial"/>
                <w:color w:val="000000"/>
                <w:sz w:val="14"/>
                <w:szCs w:val="16"/>
                <w:lang w:val="en-GB"/>
              </w:rPr>
            </w:pPr>
            <w:r w:rsidRPr="005B2F5C">
              <w:rPr>
                <w:rFonts w:cs="Arial"/>
                <w:color w:val="000000"/>
                <w:sz w:val="14"/>
                <w:szCs w:val="16"/>
                <w:lang w:val="en-GB"/>
              </w:rPr>
              <w:t xml:space="preserve">undergo (or for obstructing) a medical examination </w:t>
            </w:r>
            <w:r w:rsidR="003F5D7A">
              <w:rPr>
                <w:rFonts w:cs="Arial"/>
                <w:color w:val="000000"/>
                <w:sz w:val="14"/>
                <w:szCs w:val="16"/>
                <w:lang w:val="en-GB"/>
              </w:rPr>
              <w:t>—</w:t>
            </w:r>
            <w:r w:rsidR="003F5D7A" w:rsidRPr="005B2F5C">
              <w:rPr>
                <w:rFonts w:cs="Arial"/>
                <w:color w:val="000000"/>
                <w:sz w:val="14"/>
                <w:szCs w:val="16"/>
                <w:lang w:val="en-GB"/>
              </w:rPr>
              <w:t xml:space="preserve"> </w:t>
            </w:r>
            <w:hyperlink r:id="rId1449" w:history="1">
              <w:r w:rsidRPr="004B2039">
                <w:rPr>
                  <w:rStyle w:val="Hyperlink"/>
                  <w:rFonts w:cs="Arial"/>
                  <w:sz w:val="14"/>
                  <w:szCs w:val="16"/>
                  <w:lang w:val="en-GB"/>
                </w:rPr>
                <w:t>s66</w:t>
              </w:r>
            </w:hyperlink>
          </w:p>
          <w:p w14:paraId="450590BF" w14:textId="20CB558D" w:rsidR="006733F4" w:rsidRPr="005B2F5C" w:rsidRDefault="006733F4" w:rsidP="00F839DB">
            <w:pPr>
              <w:pStyle w:val="ListParagraph"/>
              <w:numPr>
                <w:ilvl w:val="0"/>
                <w:numId w:val="210"/>
              </w:numPr>
              <w:spacing w:after="60"/>
              <w:contextualSpacing/>
              <w:rPr>
                <w:rFonts w:eastAsia="Calibri" w:cs="Arial"/>
                <w:sz w:val="14"/>
                <w:szCs w:val="14"/>
                <w:lang w:eastAsia="en-US"/>
              </w:rPr>
            </w:pPr>
            <w:r w:rsidRPr="005B2F5C">
              <w:rPr>
                <w:rFonts w:eastAsia="Calibri" w:cs="Arial"/>
                <w:sz w:val="14"/>
                <w:szCs w:val="14"/>
                <w:lang w:eastAsia="en-US"/>
              </w:rPr>
              <w:t xml:space="preserve">An employee’s right to compensation is suspended for failure to comply with any reasonable requirement of the employer where the employer takes over or initiates a third party recovery action </w:t>
            </w:r>
            <w:r w:rsidR="003F5D7A">
              <w:rPr>
                <w:rFonts w:eastAsia="Calibri" w:cs="Arial"/>
                <w:sz w:val="14"/>
                <w:szCs w:val="14"/>
                <w:lang w:eastAsia="en-US"/>
              </w:rPr>
              <w:t>—</w:t>
            </w:r>
            <w:r w:rsidR="003F5D7A" w:rsidRPr="005B2F5C">
              <w:rPr>
                <w:rFonts w:eastAsia="Calibri" w:cs="Arial"/>
                <w:sz w:val="14"/>
                <w:szCs w:val="14"/>
                <w:lang w:eastAsia="en-US"/>
              </w:rPr>
              <w:t xml:space="preserve"> </w:t>
            </w:r>
            <w:hyperlink r:id="rId1450" w:history="1">
              <w:r w:rsidRPr="0012003E">
                <w:rPr>
                  <w:rStyle w:val="Hyperlink"/>
                  <w:rFonts w:eastAsia="Calibri" w:cs="Arial"/>
                  <w:sz w:val="14"/>
                  <w:szCs w:val="14"/>
                  <w:lang w:eastAsia="en-US"/>
                </w:rPr>
                <w:t>s59</w:t>
              </w:r>
            </w:hyperlink>
            <w:r w:rsidRPr="005B2F5C">
              <w:rPr>
                <w:rFonts w:eastAsia="Calibri" w:cs="Arial"/>
                <w:sz w:val="14"/>
                <w:szCs w:val="14"/>
                <w:lang w:eastAsia="en-US"/>
              </w:rPr>
              <w:t xml:space="preserve">. The employer may refuse to deal with the claim if an employee fails to comply with a notice to give information or a copy of a document </w:t>
            </w:r>
            <w:r w:rsidR="003F5D7A">
              <w:rPr>
                <w:rFonts w:eastAsia="Calibri" w:cs="Arial"/>
                <w:sz w:val="14"/>
                <w:szCs w:val="14"/>
                <w:lang w:eastAsia="en-US"/>
              </w:rPr>
              <w:t>—</w:t>
            </w:r>
            <w:r w:rsidR="003F5D7A" w:rsidRPr="005B2F5C">
              <w:rPr>
                <w:rFonts w:eastAsia="Calibri" w:cs="Arial"/>
                <w:sz w:val="14"/>
                <w:szCs w:val="14"/>
                <w:lang w:eastAsia="en-US"/>
              </w:rPr>
              <w:t xml:space="preserve"> </w:t>
            </w:r>
            <w:hyperlink r:id="rId1451" w:history="1">
              <w:r w:rsidRPr="004B2039">
                <w:rPr>
                  <w:rStyle w:val="Hyperlink"/>
                  <w:rFonts w:eastAsia="Calibri" w:cs="Arial"/>
                  <w:sz w:val="14"/>
                  <w:szCs w:val="14"/>
                  <w:lang w:eastAsia="en-US"/>
                </w:rPr>
                <w:t>s67</w:t>
              </w:r>
            </w:hyperlink>
            <w:r w:rsidR="00E13D9F">
              <w:rPr>
                <w:rFonts w:eastAsia="Calibri" w:cs="Arial"/>
                <w:sz w:val="14"/>
                <w:szCs w:val="14"/>
                <w:lang w:eastAsia="en-US"/>
              </w:rPr>
              <w:t>.</w:t>
            </w:r>
          </w:p>
        </w:tc>
      </w:tr>
      <w:tr w:rsidR="006733F4" w:rsidRPr="006733F4" w14:paraId="11183E8A" w14:textId="77777777" w:rsidTr="00922480">
        <w:tc>
          <w:tcPr>
            <w:tcW w:w="1559" w:type="dxa"/>
            <w:shd w:val="clear" w:color="auto" w:fill="FFC9C9"/>
            <w:tcMar>
              <w:top w:w="80" w:type="dxa"/>
              <w:left w:w="80" w:type="dxa"/>
              <w:bottom w:w="80" w:type="dxa"/>
              <w:right w:w="80" w:type="dxa"/>
            </w:tcMar>
          </w:tcPr>
          <w:p w14:paraId="5C6BD785"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C’wealth DVA</w:t>
            </w:r>
          </w:p>
        </w:tc>
        <w:tc>
          <w:tcPr>
            <w:tcW w:w="13795" w:type="dxa"/>
            <w:shd w:val="clear" w:color="auto" w:fill="FFC9C9"/>
            <w:tcMar>
              <w:top w:w="80" w:type="dxa"/>
              <w:left w:w="80" w:type="dxa"/>
              <w:bottom w:w="80" w:type="dxa"/>
              <w:right w:w="80" w:type="dxa"/>
            </w:tcMar>
          </w:tcPr>
          <w:p w14:paraId="17119AC6" w14:textId="6DF4E599" w:rsidR="005D5A86" w:rsidRPr="005D5A86" w:rsidRDefault="00036CB4" w:rsidP="005D5A86">
            <w:pPr>
              <w:spacing w:after="60"/>
              <w:contextualSpacing/>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5D5A86">
              <w:rPr>
                <w:rFonts w:eastAsia="Calibri" w:cs="Arial"/>
                <w:sz w:val="14"/>
                <w:szCs w:val="14"/>
                <w:lang w:eastAsia="en-US"/>
              </w:rPr>
              <w:t>MRCA</w:t>
            </w:r>
            <w:r>
              <w:rPr>
                <w:rFonts w:eastAsia="Calibri" w:cs="Arial"/>
                <w:sz w:val="14"/>
                <w:szCs w:val="14"/>
                <w:lang w:eastAsia="en-US"/>
              </w:rPr>
              <w:t>)</w:t>
            </w:r>
          </w:p>
          <w:p w14:paraId="3037E6C1" w14:textId="0E959A9D" w:rsidR="006733F4" w:rsidRPr="005B2F5C" w:rsidRDefault="006733F4" w:rsidP="00F839DB">
            <w:pPr>
              <w:pStyle w:val="ListParagraph"/>
              <w:numPr>
                <w:ilvl w:val="0"/>
                <w:numId w:val="210"/>
              </w:numPr>
              <w:spacing w:after="60"/>
              <w:contextualSpacing/>
              <w:rPr>
                <w:rFonts w:eastAsia="Calibri" w:cs="Arial"/>
                <w:sz w:val="14"/>
                <w:szCs w:val="14"/>
                <w:lang w:eastAsia="en-US"/>
              </w:rPr>
            </w:pPr>
            <w:r w:rsidRPr="005B2F5C">
              <w:rPr>
                <w:rFonts w:eastAsia="Calibri" w:cs="Arial"/>
                <w:sz w:val="14"/>
                <w:szCs w:val="14"/>
                <w:lang w:eastAsia="en-US"/>
              </w:rPr>
              <w:t xml:space="preserve">Failure to undertake a rehabilitation assessment or program or a medical examination where required, or to comply in relation to third party proceedings, compensation (other than treatment) may be suspended — MRCA </w:t>
            </w:r>
            <w:hyperlink r:id="rId1452" w:history="1">
              <w:r w:rsidRPr="008B0970">
                <w:rPr>
                  <w:rStyle w:val="Hyperlink"/>
                  <w:rFonts w:eastAsia="Calibri" w:cs="Arial"/>
                  <w:sz w:val="14"/>
                  <w:szCs w:val="14"/>
                  <w:lang w:eastAsia="en-US"/>
                </w:rPr>
                <w:t>ss50</w:t>
              </w:r>
            </w:hyperlink>
            <w:r w:rsidRPr="005B2F5C">
              <w:rPr>
                <w:rFonts w:eastAsia="Calibri" w:cs="Arial"/>
                <w:sz w:val="14"/>
                <w:szCs w:val="14"/>
                <w:lang w:eastAsia="en-US"/>
              </w:rPr>
              <w:t xml:space="preserve">, </w:t>
            </w:r>
            <w:hyperlink r:id="rId1453" w:history="1">
              <w:r w:rsidRPr="008B0970">
                <w:rPr>
                  <w:rStyle w:val="Hyperlink"/>
                  <w:rFonts w:eastAsia="Calibri" w:cs="Arial"/>
                  <w:sz w:val="14"/>
                  <w:szCs w:val="14"/>
                  <w:lang w:eastAsia="en-US"/>
                </w:rPr>
                <w:t>52</w:t>
              </w:r>
            </w:hyperlink>
            <w:r w:rsidRPr="005B2F5C">
              <w:rPr>
                <w:rFonts w:eastAsia="Calibri" w:cs="Arial"/>
                <w:sz w:val="14"/>
                <w:szCs w:val="14"/>
                <w:lang w:eastAsia="en-US"/>
              </w:rPr>
              <w:t xml:space="preserve">, </w:t>
            </w:r>
            <w:hyperlink r:id="rId1454" w:history="1">
              <w:r w:rsidRPr="008B0970">
                <w:rPr>
                  <w:rStyle w:val="Hyperlink"/>
                  <w:rFonts w:eastAsia="Calibri" w:cs="Arial"/>
                  <w:sz w:val="14"/>
                  <w:szCs w:val="14"/>
                  <w:lang w:eastAsia="en-US"/>
                </w:rPr>
                <w:t>329</w:t>
              </w:r>
            </w:hyperlink>
            <w:r w:rsidRPr="005B2F5C">
              <w:rPr>
                <w:rFonts w:eastAsia="Calibri" w:cs="Arial"/>
                <w:sz w:val="14"/>
                <w:szCs w:val="14"/>
                <w:lang w:eastAsia="en-US"/>
              </w:rPr>
              <w:t xml:space="preserve"> and </w:t>
            </w:r>
            <w:hyperlink r:id="rId1455" w:history="1">
              <w:r w:rsidRPr="008B0970">
                <w:rPr>
                  <w:rStyle w:val="Hyperlink"/>
                  <w:rFonts w:eastAsia="Calibri" w:cs="Arial"/>
                  <w:sz w:val="14"/>
                  <w:szCs w:val="14"/>
                  <w:lang w:eastAsia="en-US"/>
                </w:rPr>
                <w:t>397</w:t>
              </w:r>
            </w:hyperlink>
          </w:p>
          <w:p w14:paraId="6B9C4C75" w14:textId="1E697129" w:rsidR="006733F4" w:rsidRPr="005B2F5C" w:rsidRDefault="006733F4" w:rsidP="00F839DB">
            <w:pPr>
              <w:pStyle w:val="ListParagraph"/>
              <w:numPr>
                <w:ilvl w:val="0"/>
                <w:numId w:val="210"/>
              </w:numPr>
              <w:spacing w:after="60"/>
              <w:contextualSpacing/>
              <w:rPr>
                <w:rFonts w:eastAsia="Calibri" w:cs="Arial"/>
                <w:sz w:val="14"/>
                <w:szCs w:val="14"/>
                <w:lang w:eastAsia="en-US"/>
              </w:rPr>
            </w:pPr>
            <w:r w:rsidRPr="005B2F5C">
              <w:rPr>
                <w:rFonts w:eastAsia="Calibri" w:cs="Arial"/>
                <w:sz w:val="14"/>
                <w:szCs w:val="14"/>
                <w:lang w:eastAsia="en-US"/>
              </w:rPr>
              <w:t xml:space="preserve">Suspension of incapacity payments for periods of imprisonment for conviction of an offence — MRCA </w:t>
            </w:r>
            <w:hyperlink r:id="rId1456" w:history="1">
              <w:r w:rsidRPr="009C4FA3">
                <w:rPr>
                  <w:rStyle w:val="Hyperlink"/>
                  <w:rFonts w:eastAsia="Calibri" w:cs="Arial"/>
                  <w:sz w:val="14"/>
                  <w:szCs w:val="14"/>
                  <w:lang w:eastAsia="en-US"/>
                </w:rPr>
                <w:t>s122</w:t>
              </w:r>
            </w:hyperlink>
          </w:p>
          <w:p w14:paraId="4E7FF5BB" w14:textId="6F98BFB2" w:rsidR="006733F4" w:rsidRDefault="006733F4" w:rsidP="00F839DB">
            <w:pPr>
              <w:pStyle w:val="ListParagraph"/>
              <w:numPr>
                <w:ilvl w:val="0"/>
                <w:numId w:val="210"/>
              </w:numPr>
              <w:spacing w:after="60"/>
              <w:contextualSpacing/>
              <w:rPr>
                <w:rFonts w:eastAsia="Calibri" w:cs="Arial"/>
                <w:sz w:val="14"/>
                <w:szCs w:val="14"/>
                <w:lang w:eastAsia="en-US"/>
              </w:rPr>
            </w:pPr>
            <w:r w:rsidRPr="005B2F5C">
              <w:rPr>
                <w:rFonts w:eastAsia="Calibri" w:cs="Arial"/>
                <w:sz w:val="14"/>
                <w:szCs w:val="14"/>
                <w:lang w:eastAsia="en-US"/>
              </w:rPr>
              <w:t xml:space="preserve">Failure to provide certain information may result in refusal to deal with claim — MRCA </w:t>
            </w:r>
            <w:hyperlink r:id="rId1457" w:history="1">
              <w:r w:rsidRPr="009C4FA3">
                <w:rPr>
                  <w:rStyle w:val="Hyperlink"/>
                  <w:rFonts w:eastAsia="Calibri" w:cs="Arial"/>
                  <w:sz w:val="14"/>
                  <w:szCs w:val="14"/>
                  <w:lang w:eastAsia="en-US"/>
                </w:rPr>
                <w:t>s330</w:t>
              </w:r>
            </w:hyperlink>
            <w:r w:rsidR="00E13D9F">
              <w:rPr>
                <w:rFonts w:eastAsia="Calibri" w:cs="Arial"/>
                <w:sz w:val="14"/>
                <w:szCs w:val="14"/>
                <w:lang w:eastAsia="en-US"/>
              </w:rPr>
              <w:t>.</w:t>
            </w:r>
          </w:p>
          <w:p w14:paraId="3528FCC4" w14:textId="77777777" w:rsidR="005D5A86" w:rsidRDefault="005D5A86" w:rsidP="005D5A86">
            <w:pPr>
              <w:spacing w:after="60"/>
              <w:contextualSpacing/>
              <w:rPr>
                <w:rFonts w:eastAsia="Calibri" w:cs="Arial"/>
                <w:sz w:val="14"/>
                <w:szCs w:val="14"/>
                <w:lang w:eastAsia="en-US"/>
              </w:rPr>
            </w:pPr>
          </w:p>
          <w:p w14:paraId="00A54D0D" w14:textId="1C89F61C" w:rsidR="005D5A86" w:rsidRDefault="00036CB4" w:rsidP="005D5A86">
            <w:pPr>
              <w:spacing w:after="60"/>
              <w:contextualSpacing/>
              <w:rPr>
                <w:rFonts w:eastAsia="Calibri" w:cs="Arial"/>
                <w:sz w:val="14"/>
                <w:szCs w:val="14"/>
                <w:lang w:eastAsia="en-US"/>
              </w:rPr>
            </w:pPr>
            <w:r w:rsidRPr="00016069">
              <w:rPr>
                <w:i/>
                <w:sz w:val="14"/>
              </w:rPr>
              <w:t>Safety, Rehabilitation and Compensation (Defence-related Claims) Act 1988</w:t>
            </w:r>
            <w:r>
              <w:rPr>
                <w:rFonts w:eastAsia="Calibri" w:cs="Arial"/>
                <w:sz w:val="14"/>
                <w:szCs w:val="14"/>
                <w:lang w:eastAsia="en-US"/>
              </w:rPr>
              <w:t xml:space="preserve"> (</w:t>
            </w:r>
            <w:r w:rsidR="005D5A86">
              <w:rPr>
                <w:rFonts w:eastAsia="Calibri" w:cs="Arial"/>
                <w:sz w:val="14"/>
                <w:szCs w:val="14"/>
                <w:lang w:eastAsia="en-US"/>
              </w:rPr>
              <w:t>DRCA</w:t>
            </w:r>
            <w:r>
              <w:rPr>
                <w:rFonts w:eastAsia="Calibri" w:cs="Arial"/>
                <w:sz w:val="14"/>
                <w:szCs w:val="14"/>
                <w:lang w:eastAsia="en-US"/>
              </w:rPr>
              <w:t>)</w:t>
            </w:r>
          </w:p>
          <w:p w14:paraId="518CEBE0" w14:textId="77777777" w:rsidR="005D5A86" w:rsidRDefault="005D5A86" w:rsidP="005D5A86">
            <w:pPr>
              <w:pStyle w:val="Tabledotpointlist7pt"/>
              <w:rPr>
                <w:rFonts w:eastAsia="Calibri"/>
                <w:lang w:eastAsia="en-US"/>
              </w:rPr>
            </w:pPr>
            <w:r>
              <w:rPr>
                <w:rFonts w:eastAsia="Calibri"/>
                <w:lang w:eastAsia="en-US"/>
              </w:rPr>
              <w:t xml:space="preserve">An employee’s right to compensation is suspended for unreasonable </w:t>
            </w:r>
            <w:r w:rsidR="00B95BCE">
              <w:rPr>
                <w:rFonts w:eastAsia="Calibri"/>
                <w:lang w:eastAsia="en-US"/>
              </w:rPr>
              <w:t>refusal to:</w:t>
            </w:r>
          </w:p>
          <w:p w14:paraId="589D6B2A" w14:textId="20E7563E" w:rsidR="00B95BCE" w:rsidRDefault="00B95BCE" w:rsidP="00B95BCE">
            <w:pPr>
              <w:pStyle w:val="Tabledotpointlist7pt"/>
              <w:numPr>
                <w:ilvl w:val="1"/>
                <w:numId w:val="4"/>
              </w:numPr>
              <w:ind w:left="357" w:hanging="357"/>
              <w:rPr>
                <w:rFonts w:eastAsia="Calibri"/>
                <w:lang w:eastAsia="en-US"/>
              </w:rPr>
            </w:pPr>
            <w:r>
              <w:rPr>
                <w:rFonts w:eastAsia="Calibri"/>
                <w:lang w:eastAsia="en-US"/>
              </w:rPr>
              <w:t>undergo (or for obstructing) a rehabilitation assessment examination —</w:t>
            </w:r>
            <w:r w:rsidR="009C4FA3">
              <w:rPr>
                <w:rFonts w:eastAsia="Calibri"/>
                <w:lang w:eastAsia="en-US"/>
              </w:rPr>
              <w:t xml:space="preserve"> </w:t>
            </w:r>
            <w:hyperlink r:id="rId1458" w:history="1">
              <w:r w:rsidRPr="009C4FA3">
                <w:rPr>
                  <w:rStyle w:val="Hyperlink"/>
                  <w:rFonts w:eastAsia="Calibri"/>
                  <w:lang w:eastAsia="en-US"/>
                </w:rPr>
                <w:t>s36</w:t>
              </w:r>
            </w:hyperlink>
          </w:p>
          <w:p w14:paraId="4CB69B2C" w14:textId="6C0F8CBA" w:rsidR="00B95BCE" w:rsidRDefault="00B95BCE" w:rsidP="00B95BCE">
            <w:pPr>
              <w:pStyle w:val="Tabledotpointlist7pt"/>
              <w:numPr>
                <w:ilvl w:val="1"/>
                <w:numId w:val="4"/>
              </w:numPr>
              <w:ind w:left="357" w:hanging="357"/>
              <w:rPr>
                <w:rFonts w:eastAsia="Calibri"/>
                <w:lang w:eastAsia="en-US"/>
              </w:rPr>
            </w:pPr>
            <w:r>
              <w:rPr>
                <w:rFonts w:eastAsia="Calibri"/>
                <w:lang w:eastAsia="en-US"/>
              </w:rPr>
              <w:t xml:space="preserve">undertake a rehabilitation program — </w:t>
            </w:r>
            <w:hyperlink r:id="rId1459" w:history="1">
              <w:r w:rsidRPr="009C4FA3">
                <w:rPr>
                  <w:rStyle w:val="Hyperlink"/>
                  <w:rFonts w:eastAsia="Calibri"/>
                  <w:lang w:eastAsia="en-US"/>
                </w:rPr>
                <w:t>s37</w:t>
              </w:r>
            </w:hyperlink>
            <w:r>
              <w:rPr>
                <w:rFonts w:eastAsia="Calibri"/>
                <w:lang w:eastAsia="en-US"/>
              </w:rPr>
              <w:t>, or</w:t>
            </w:r>
          </w:p>
          <w:p w14:paraId="1BF9A05F" w14:textId="40EE3301" w:rsidR="00115D2C" w:rsidRDefault="00B95BCE" w:rsidP="00B95BCE">
            <w:pPr>
              <w:pStyle w:val="Tabledotpointlist7pt"/>
              <w:numPr>
                <w:ilvl w:val="1"/>
                <w:numId w:val="4"/>
              </w:numPr>
              <w:ind w:left="357" w:hanging="357"/>
              <w:rPr>
                <w:rFonts w:eastAsia="Calibri"/>
                <w:lang w:eastAsia="en-US"/>
              </w:rPr>
            </w:pPr>
            <w:r>
              <w:rPr>
                <w:rFonts w:eastAsia="Calibri"/>
                <w:lang w:eastAsia="en-US"/>
              </w:rPr>
              <w:t xml:space="preserve">undergo (or for obstructing) a medical examination — </w:t>
            </w:r>
            <w:hyperlink r:id="rId1460" w:history="1">
              <w:r w:rsidRPr="009C4FA3">
                <w:rPr>
                  <w:rStyle w:val="Hyperlink"/>
                  <w:rFonts w:eastAsia="Calibri"/>
                  <w:lang w:eastAsia="en-US"/>
                </w:rPr>
                <w:t>s57</w:t>
              </w:r>
            </w:hyperlink>
          </w:p>
          <w:p w14:paraId="78061937" w14:textId="14A21702" w:rsidR="00115D2C" w:rsidRDefault="00115D2C" w:rsidP="00115D2C">
            <w:pPr>
              <w:pStyle w:val="Tabledotpointlist7pt"/>
              <w:numPr>
                <w:ilvl w:val="0"/>
                <w:numId w:val="0"/>
              </w:numPr>
              <w:ind w:left="360" w:hanging="360"/>
              <w:rPr>
                <w:rFonts w:eastAsia="Calibri"/>
                <w:lang w:eastAsia="en-US"/>
              </w:rPr>
            </w:pPr>
            <w:r>
              <w:rPr>
                <w:rFonts w:eastAsia="Calibri"/>
                <w:lang w:eastAsia="en-US"/>
              </w:rPr>
              <w:t xml:space="preserve">Note: for suspensions under </w:t>
            </w:r>
            <w:hyperlink r:id="rId1461" w:history="1">
              <w:r w:rsidR="009C4FA3" w:rsidRPr="009C4FA3">
                <w:rPr>
                  <w:rStyle w:val="Hyperlink"/>
                  <w:rFonts w:eastAsia="Calibri"/>
                  <w:lang w:eastAsia="en-US"/>
                </w:rPr>
                <w:t>s36</w:t>
              </w:r>
            </w:hyperlink>
            <w:r>
              <w:rPr>
                <w:rFonts w:eastAsia="Calibri"/>
                <w:lang w:eastAsia="en-US"/>
              </w:rPr>
              <w:t xml:space="preserve"> or </w:t>
            </w:r>
            <w:hyperlink r:id="rId1462" w:history="1">
              <w:r w:rsidR="009C4FA3" w:rsidRPr="009C4FA3">
                <w:rPr>
                  <w:rStyle w:val="Hyperlink"/>
                  <w:rFonts w:eastAsia="Calibri"/>
                  <w:lang w:eastAsia="en-US"/>
                </w:rPr>
                <w:t>s37</w:t>
              </w:r>
            </w:hyperlink>
            <w:r>
              <w:rPr>
                <w:rFonts w:eastAsia="Calibri"/>
                <w:lang w:eastAsia="en-US"/>
              </w:rPr>
              <w:t xml:space="preserve">, rights to compensation for medical expenses under </w:t>
            </w:r>
            <w:hyperlink r:id="rId1463" w:history="1">
              <w:r w:rsidRPr="009C4FA3">
                <w:rPr>
                  <w:rStyle w:val="Hyperlink"/>
                  <w:rFonts w:eastAsia="Calibri"/>
                  <w:lang w:eastAsia="en-US"/>
                </w:rPr>
                <w:t>s16</w:t>
              </w:r>
            </w:hyperlink>
            <w:r>
              <w:rPr>
                <w:rFonts w:eastAsia="Calibri"/>
                <w:lang w:eastAsia="en-US"/>
              </w:rPr>
              <w:t xml:space="preserve"> continue where the suspension commenced on or after 7 December 2011.</w:t>
            </w:r>
          </w:p>
          <w:p w14:paraId="0F02AFA9" w14:textId="3EB42A47" w:rsidR="00B95BCE" w:rsidRDefault="00115D2C" w:rsidP="00F839DB">
            <w:pPr>
              <w:pStyle w:val="Tabledotpointlist7pt"/>
              <w:numPr>
                <w:ilvl w:val="0"/>
                <w:numId w:val="559"/>
              </w:numPr>
              <w:rPr>
                <w:rFonts w:eastAsia="Calibri"/>
                <w:lang w:eastAsia="en-US"/>
              </w:rPr>
            </w:pPr>
            <w:r>
              <w:rPr>
                <w:rFonts w:eastAsia="Calibri"/>
                <w:lang w:eastAsia="en-US"/>
              </w:rPr>
              <w:t xml:space="preserve">An employee’s right to compensation is suspended for failure to comply with any reasonable requirement of Comcare or the licensee where Comcare or the licensee takes over or initiates a 3rd party recovery action — </w:t>
            </w:r>
            <w:hyperlink r:id="rId1464" w:history="1">
              <w:r w:rsidRPr="009C4FA3">
                <w:rPr>
                  <w:rStyle w:val="Hyperlink"/>
                  <w:rFonts w:eastAsia="Calibri"/>
                  <w:lang w:eastAsia="en-US"/>
                </w:rPr>
                <w:t>s50</w:t>
              </w:r>
            </w:hyperlink>
          </w:p>
          <w:p w14:paraId="21662594" w14:textId="2B05EF9E" w:rsidR="00115D2C" w:rsidRDefault="00115D2C" w:rsidP="00F839DB">
            <w:pPr>
              <w:pStyle w:val="Tabledotpointlist7pt"/>
              <w:numPr>
                <w:ilvl w:val="0"/>
                <w:numId w:val="559"/>
              </w:numPr>
              <w:rPr>
                <w:rFonts w:eastAsia="Calibri"/>
                <w:lang w:eastAsia="en-US"/>
              </w:rPr>
            </w:pPr>
            <w:r>
              <w:rPr>
                <w:rFonts w:eastAsia="Calibri"/>
                <w:lang w:eastAsia="en-US"/>
              </w:rPr>
              <w:t xml:space="preserve">Should an employee fail to comply with </w:t>
            </w:r>
            <w:r w:rsidR="00370259">
              <w:rPr>
                <w:rFonts w:eastAsia="Calibri"/>
                <w:lang w:eastAsia="en-US"/>
              </w:rPr>
              <w:t xml:space="preserve">a notice to give information or a copy of a document, Comcare or the licensee may refuse to deal with the claim — </w:t>
            </w:r>
            <w:hyperlink r:id="rId1465" w:history="1">
              <w:r w:rsidR="00370259" w:rsidRPr="009C4FA3">
                <w:rPr>
                  <w:rStyle w:val="Hyperlink"/>
                  <w:rFonts w:eastAsia="Calibri"/>
                  <w:lang w:eastAsia="en-US"/>
                </w:rPr>
                <w:t>s58</w:t>
              </w:r>
            </w:hyperlink>
          </w:p>
          <w:p w14:paraId="662E163E" w14:textId="4BE50E19" w:rsidR="00370259" w:rsidRPr="00115D2C" w:rsidRDefault="00370259" w:rsidP="00F839DB">
            <w:pPr>
              <w:pStyle w:val="Tabledotpointlist7pt"/>
              <w:numPr>
                <w:ilvl w:val="0"/>
                <w:numId w:val="559"/>
              </w:numPr>
              <w:rPr>
                <w:rFonts w:eastAsia="Calibri"/>
                <w:lang w:eastAsia="en-US"/>
              </w:rPr>
            </w:pPr>
            <w:r>
              <w:rPr>
                <w:rFonts w:eastAsia="Calibri"/>
                <w:lang w:eastAsia="en-US"/>
              </w:rPr>
              <w:t xml:space="preserve">Suspension of incapacity payments for periods of imprisonment for convictin of an offence — </w:t>
            </w:r>
            <w:hyperlink r:id="rId1466" w:history="1">
              <w:r w:rsidRPr="009C4FA3">
                <w:rPr>
                  <w:rStyle w:val="Hyperlink"/>
                  <w:rFonts w:eastAsia="Calibri"/>
                  <w:lang w:eastAsia="en-US"/>
                </w:rPr>
                <w:t>s23(2)</w:t>
              </w:r>
            </w:hyperlink>
          </w:p>
        </w:tc>
      </w:tr>
      <w:tr w:rsidR="006733F4" w:rsidRPr="006733F4" w14:paraId="055CF750" w14:textId="77777777" w:rsidTr="00922480">
        <w:tc>
          <w:tcPr>
            <w:tcW w:w="1559" w:type="dxa"/>
            <w:tcMar>
              <w:top w:w="80" w:type="dxa"/>
              <w:left w:w="80" w:type="dxa"/>
              <w:bottom w:w="80" w:type="dxa"/>
              <w:right w:w="80" w:type="dxa"/>
            </w:tcMar>
          </w:tcPr>
          <w:p w14:paraId="6A23EAD4" w14:textId="66BC75FB"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New Zealand</w:t>
            </w:r>
          </w:p>
        </w:tc>
        <w:tc>
          <w:tcPr>
            <w:tcW w:w="13795" w:type="dxa"/>
            <w:tcMar>
              <w:top w:w="80" w:type="dxa"/>
              <w:left w:w="80" w:type="dxa"/>
              <w:bottom w:w="80" w:type="dxa"/>
              <w:right w:w="80" w:type="dxa"/>
            </w:tcMar>
          </w:tcPr>
          <w:p w14:paraId="7EF4B7C7" w14:textId="77777777"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The Corporation may decline to provide any entitlement for as long as the claimant unreasonably r</w:t>
            </w:r>
            <w:r w:rsidR="00365F53">
              <w:rPr>
                <w:rFonts w:cs="Arial"/>
                <w:color w:val="000000"/>
                <w:sz w:val="14"/>
                <w:szCs w:val="16"/>
                <w:lang w:val="en-GB"/>
              </w:rPr>
              <w:t>efuses or unreasonably fails to:</w:t>
            </w:r>
          </w:p>
          <w:p w14:paraId="0D3B5BA9" w14:textId="77777777" w:rsidR="006733F4" w:rsidRPr="005B2F5C" w:rsidRDefault="006733F4" w:rsidP="00F839DB">
            <w:pPr>
              <w:pStyle w:val="ListParagraph"/>
              <w:numPr>
                <w:ilvl w:val="0"/>
                <w:numId w:val="211"/>
              </w:numPr>
              <w:spacing w:after="60"/>
              <w:ind w:left="351" w:hanging="351"/>
              <w:contextualSpacing/>
              <w:rPr>
                <w:rFonts w:eastAsia="Calibri" w:cs="Arial"/>
                <w:sz w:val="14"/>
                <w:szCs w:val="14"/>
                <w:lang w:eastAsia="en-US"/>
              </w:rPr>
            </w:pPr>
            <w:r w:rsidRPr="005B2F5C">
              <w:rPr>
                <w:rFonts w:eastAsia="Calibri" w:cs="Arial"/>
                <w:sz w:val="14"/>
                <w:szCs w:val="14"/>
                <w:lang w:eastAsia="en-US"/>
              </w:rPr>
              <w:t>comply with any requirement of the Act relating to the claimant’s claim; or</w:t>
            </w:r>
          </w:p>
          <w:p w14:paraId="39381A5E" w14:textId="77777777" w:rsidR="006733F4" w:rsidRPr="005B2F5C" w:rsidRDefault="006733F4" w:rsidP="00F839DB">
            <w:pPr>
              <w:pStyle w:val="ListParagraph"/>
              <w:numPr>
                <w:ilvl w:val="0"/>
                <w:numId w:val="211"/>
              </w:numPr>
              <w:spacing w:after="60"/>
              <w:ind w:left="351" w:hanging="351"/>
              <w:contextualSpacing/>
              <w:rPr>
                <w:rFonts w:eastAsia="Calibri" w:cs="Arial"/>
                <w:sz w:val="14"/>
                <w:szCs w:val="14"/>
                <w:lang w:eastAsia="en-US"/>
              </w:rPr>
            </w:pPr>
            <w:r w:rsidRPr="005B2F5C">
              <w:rPr>
                <w:rFonts w:eastAsia="Calibri" w:cs="Arial"/>
                <w:sz w:val="14"/>
                <w:szCs w:val="14"/>
                <w:lang w:eastAsia="en-US"/>
              </w:rPr>
              <w:t>undergo medical or surgical treatment for his or her personal injury, being treatment that the claimant is entitled to receive; or</w:t>
            </w:r>
          </w:p>
          <w:p w14:paraId="385855ED" w14:textId="49F470AA" w:rsidR="006733F4" w:rsidRPr="005B2F5C" w:rsidRDefault="006733F4" w:rsidP="00F839DB">
            <w:pPr>
              <w:pStyle w:val="ListParagraph"/>
              <w:numPr>
                <w:ilvl w:val="0"/>
                <w:numId w:val="211"/>
              </w:numPr>
              <w:spacing w:after="60"/>
              <w:ind w:left="351" w:hanging="351"/>
              <w:contextualSpacing/>
              <w:rPr>
                <w:rFonts w:eastAsia="Calibri" w:cs="Arial"/>
                <w:sz w:val="14"/>
                <w:szCs w:val="14"/>
                <w:lang w:eastAsia="en-US"/>
              </w:rPr>
            </w:pPr>
            <w:r w:rsidRPr="005B2F5C">
              <w:rPr>
                <w:rFonts w:eastAsia="Calibri" w:cs="Arial"/>
                <w:sz w:val="14"/>
                <w:szCs w:val="14"/>
                <w:lang w:eastAsia="en-US"/>
              </w:rPr>
              <w:t xml:space="preserve">agree to, or comply with, an individual rehabilitation plan. </w:t>
            </w:r>
            <w:r w:rsidR="003F5D7A">
              <w:rPr>
                <w:rFonts w:eastAsia="Calibri" w:cs="Arial"/>
                <w:sz w:val="14"/>
                <w:szCs w:val="14"/>
                <w:lang w:eastAsia="en-US"/>
              </w:rPr>
              <w:t>—</w:t>
            </w:r>
            <w:r w:rsidR="003F5D7A" w:rsidRPr="005B2F5C">
              <w:rPr>
                <w:rFonts w:eastAsia="Calibri" w:cs="Arial"/>
                <w:sz w:val="14"/>
                <w:szCs w:val="14"/>
                <w:lang w:eastAsia="en-US"/>
              </w:rPr>
              <w:t xml:space="preserve"> </w:t>
            </w:r>
            <w:r w:rsidR="002409A0">
              <w:rPr>
                <w:rFonts w:eastAsia="Calibri" w:cs="Arial"/>
                <w:sz w:val="14"/>
                <w:szCs w:val="14"/>
                <w:lang w:eastAsia="en-US"/>
              </w:rPr>
              <w:t xml:space="preserve">Section </w:t>
            </w:r>
            <w:hyperlink r:id="rId1467" w:history="1">
              <w:r w:rsidR="002409A0" w:rsidRPr="002409A0">
                <w:rPr>
                  <w:rStyle w:val="Hyperlink"/>
                  <w:rFonts w:eastAsia="Calibri" w:cs="Arial"/>
                  <w:sz w:val="14"/>
                  <w:szCs w:val="14"/>
                  <w:lang w:eastAsia="en-US"/>
                </w:rPr>
                <w:t>117</w:t>
              </w:r>
              <w:r w:rsidRPr="002409A0">
                <w:rPr>
                  <w:rStyle w:val="Hyperlink"/>
                  <w:rFonts w:eastAsia="Calibri" w:cs="Arial"/>
                  <w:sz w:val="14"/>
                  <w:szCs w:val="14"/>
                  <w:lang w:eastAsia="en-US"/>
                </w:rPr>
                <w:t>(3)</w:t>
              </w:r>
            </w:hyperlink>
            <w:r w:rsidR="002409A0">
              <w:rPr>
                <w:rFonts w:eastAsia="Calibri" w:cs="Arial"/>
                <w:sz w:val="14"/>
                <w:szCs w:val="14"/>
                <w:lang w:eastAsia="en-US"/>
              </w:rPr>
              <w:t xml:space="preserve">, </w:t>
            </w:r>
            <w:r w:rsidR="002409A0" w:rsidRPr="00016069">
              <w:rPr>
                <w:i/>
                <w:sz w:val="14"/>
              </w:rPr>
              <w:t>Accident Compensation Act 2001</w:t>
            </w:r>
          </w:p>
          <w:p w14:paraId="2FE52D68" w14:textId="77777777"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Corporation may suspend, cancel, or decline entitlements:</w:t>
            </w:r>
          </w:p>
          <w:p w14:paraId="060BAD20" w14:textId="77777777" w:rsidR="006733F4" w:rsidRPr="005B2F5C" w:rsidRDefault="006733F4" w:rsidP="00F839DB">
            <w:pPr>
              <w:pStyle w:val="ListParagraph"/>
              <w:numPr>
                <w:ilvl w:val="0"/>
                <w:numId w:val="212"/>
              </w:numPr>
              <w:spacing w:after="60"/>
              <w:rPr>
                <w:rFonts w:cs="Arial"/>
                <w:color w:val="000000"/>
                <w:sz w:val="14"/>
                <w:szCs w:val="16"/>
                <w:lang w:val="en-GB"/>
              </w:rPr>
            </w:pPr>
            <w:r w:rsidRPr="005B2F5C">
              <w:rPr>
                <w:rFonts w:cs="Arial"/>
                <w:color w:val="000000"/>
                <w:sz w:val="14"/>
                <w:szCs w:val="16"/>
                <w:lang w:val="en-GB"/>
              </w:rPr>
              <w:t>The Corporation may suspend or cancel an entitlement if it is not satisfied, on the basis of the information in its possession, that a claimant is entitled to continue to receive the entitlement.</w:t>
            </w:r>
          </w:p>
          <w:p w14:paraId="08FD5CE6" w14:textId="77777777" w:rsidR="006733F4" w:rsidRPr="005B2F5C" w:rsidRDefault="006733F4" w:rsidP="00F839DB">
            <w:pPr>
              <w:pStyle w:val="ListParagraph"/>
              <w:numPr>
                <w:ilvl w:val="0"/>
                <w:numId w:val="212"/>
              </w:numPr>
              <w:spacing w:after="60"/>
              <w:rPr>
                <w:rFonts w:cs="Arial"/>
                <w:color w:val="000000"/>
                <w:sz w:val="14"/>
                <w:szCs w:val="16"/>
                <w:lang w:val="en-GB"/>
              </w:rPr>
            </w:pPr>
            <w:r w:rsidRPr="005B2F5C">
              <w:rPr>
                <w:rFonts w:cs="Arial"/>
                <w:color w:val="000000"/>
                <w:sz w:val="14"/>
                <w:szCs w:val="16"/>
                <w:lang w:val="en-GB"/>
              </w:rPr>
              <w:lastRenderedPageBreak/>
              <w:t>The Corporation must give the claimant written notice of the proposed suspension or cancellation within a reasonable period before the proposed starting date.</w:t>
            </w:r>
          </w:p>
          <w:p w14:paraId="7AE1A6D6" w14:textId="77777777" w:rsidR="006733F4" w:rsidRPr="005B2F5C" w:rsidRDefault="006733F4" w:rsidP="00F839DB">
            <w:pPr>
              <w:pStyle w:val="ListParagraph"/>
              <w:numPr>
                <w:ilvl w:val="0"/>
                <w:numId w:val="212"/>
              </w:numPr>
              <w:spacing w:after="60"/>
              <w:rPr>
                <w:rFonts w:cs="Arial"/>
                <w:color w:val="000000"/>
                <w:sz w:val="14"/>
                <w:szCs w:val="16"/>
                <w:lang w:val="en-GB"/>
              </w:rPr>
            </w:pPr>
            <w:r w:rsidRPr="005B2F5C">
              <w:rPr>
                <w:rFonts w:cs="Arial"/>
                <w:color w:val="000000"/>
                <w:sz w:val="14"/>
                <w:szCs w:val="16"/>
                <w:lang w:val="en-GB"/>
              </w:rPr>
              <w:t>The Corporation may decline to provide any entitlement for as long as the claimant unreasonably refuses or unreasonably fails to:</w:t>
            </w:r>
          </w:p>
          <w:p w14:paraId="3DCA644A" w14:textId="77777777" w:rsidR="006733F4" w:rsidRPr="005B2F5C" w:rsidRDefault="006733F4" w:rsidP="00F839DB">
            <w:pPr>
              <w:pStyle w:val="ListParagraph"/>
              <w:numPr>
                <w:ilvl w:val="0"/>
                <w:numId w:val="213"/>
              </w:numPr>
              <w:spacing w:after="60"/>
              <w:ind w:left="776" w:hanging="425"/>
              <w:rPr>
                <w:rFonts w:cs="Arial"/>
                <w:color w:val="000000"/>
                <w:sz w:val="14"/>
                <w:szCs w:val="16"/>
                <w:lang w:val="en-GB"/>
              </w:rPr>
            </w:pPr>
            <w:r w:rsidRPr="005B2F5C">
              <w:rPr>
                <w:rFonts w:cs="Arial"/>
                <w:color w:val="000000"/>
                <w:sz w:val="14"/>
                <w:szCs w:val="16"/>
                <w:lang w:val="en-GB"/>
              </w:rPr>
              <w:t>comply with any requirement of this Act relating to the claimant's claim; or</w:t>
            </w:r>
          </w:p>
          <w:p w14:paraId="1876512A" w14:textId="77777777" w:rsidR="006733F4" w:rsidRPr="005B2F5C" w:rsidRDefault="006733F4" w:rsidP="00F839DB">
            <w:pPr>
              <w:pStyle w:val="ListParagraph"/>
              <w:numPr>
                <w:ilvl w:val="0"/>
                <w:numId w:val="213"/>
              </w:numPr>
              <w:spacing w:after="60"/>
              <w:ind w:left="776" w:hanging="425"/>
              <w:rPr>
                <w:rFonts w:cs="Arial"/>
                <w:color w:val="000000"/>
                <w:sz w:val="14"/>
                <w:szCs w:val="16"/>
                <w:lang w:val="en-GB"/>
              </w:rPr>
            </w:pPr>
            <w:r w:rsidRPr="005B2F5C">
              <w:rPr>
                <w:rFonts w:cs="Arial"/>
                <w:color w:val="000000"/>
                <w:sz w:val="14"/>
                <w:szCs w:val="16"/>
                <w:lang w:val="en-GB"/>
              </w:rPr>
              <w:t>undergo medical or surgical treatment for his or her personal injury, being treatment that the claimant is entitled to receive; or</w:t>
            </w:r>
          </w:p>
          <w:p w14:paraId="0E14696A" w14:textId="77777777" w:rsidR="006733F4" w:rsidRPr="005B2F5C" w:rsidRDefault="006733F4" w:rsidP="00F839DB">
            <w:pPr>
              <w:pStyle w:val="ListParagraph"/>
              <w:numPr>
                <w:ilvl w:val="0"/>
                <w:numId w:val="213"/>
              </w:numPr>
              <w:spacing w:after="60"/>
              <w:ind w:left="776" w:hanging="425"/>
              <w:rPr>
                <w:rFonts w:cs="Arial"/>
                <w:color w:val="000000"/>
                <w:sz w:val="14"/>
                <w:szCs w:val="16"/>
                <w:lang w:val="en-GB"/>
              </w:rPr>
            </w:pPr>
            <w:r w:rsidRPr="005B2F5C">
              <w:rPr>
                <w:rFonts w:cs="Arial"/>
                <w:color w:val="000000"/>
                <w:sz w:val="14"/>
                <w:szCs w:val="16"/>
                <w:lang w:val="en-GB"/>
              </w:rPr>
              <w:t>agree to, or comply with, an individual rehabilitation plan.</w:t>
            </w:r>
          </w:p>
          <w:p w14:paraId="401CC0FA" w14:textId="77777777"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(3A) If the Corporation declines, under subsection </w:t>
            </w:r>
            <w:hyperlink r:id="rId1468" w:anchor="anchor_I17e7bcb4e03011e08eefa443f89988a0#anchor_I17e7bcb4e03011e08eefa443f89988a0" w:history="1">
              <w:r w:rsidRPr="006733F4">
                <w:rPr>
                  <w:rFonts w:cs="Arial"/>
                  <w:color w:val="0000FF"/>
                  <w:sz w:val="14"/>
                  <w:szCs w:val="16"/>
                  <w:u w:val="single"/>
                  <w:lang w:val="en-GB"/>
                </w:rPr>
                <w:t>(3)</w:t>
              </w:r>
            </w:hyperlink>
            <w:r w:rsidRPr="006733F4">
              <w:rPr>
                <w:rFonts w:cs="Arial"/>
                <w:color w:val="000000"/>
                <w:sz w:val="14"/>
                <w:szCs w:val="16"/>
                <w:lang w:val="en-GB"/>
              </w:rPr>
              <w:t>, to provide an entitlement for any period, the Corporation must start providing the entitlement again if satisfied that</w:t>
            </w:r>
            <w:r w:rsidR="00CA1B61">
              <w:rPr>
                <w:rFonts w:cs="Arial"/>
                <w:color w:val="000000"/>
                <w:sz w:val="14"/>
                <w:szCs w:val="16"/>
                <w:lang w:val="en-GB"/>
              </w:rPr>
              <w:t>:</w:t>
            </w:r>
            <w:r w:rsidRPr="006733F4">
              <w:rPr>
                <w:rFonts w:cs="Arial"/>
                <w:color w:val="000000"/>
                <w:sz w:val="14"/>
                <w:szCs w:val="16"/>
                <w:lang w:val="en-GB"/>
              </w:rPr>
              <w:t xml:space="preserve"> </w:t>
            </w:r>
          </w:p>
          <w:p w14:paraId="2A241CE0" w14:textId="77777777" w:rsidR="006733F4" w:rsidRPr="005B2F5C" w:rsidRDefault="006733F4" w:rsidP="00F839DB">
            <w:pPr>
              <w:pStyle w:val="ListParagraph"/>
              <w:numPr>
                <w:ilvl w:val="0"/>
                <w:numId w:val="214"/>
              </w:numPr>
              <w:spacing w:after="60"/>
              <w:contextualSpacing/>
              <w:rPr>
                <w:rFonts w:eastAsia="Calibri" w:cs="Arial"/>
                <w:sz w:val="14"/>
                <w:szCs w:val="14"/>
                <w:lang w:eastAsia="en-US"/>
              </w:rPr>
            </w:pPr>
            <w:r w:rsidRPr="005B2F5C">
              <w:rPr>
                <w:rFonts w:eastAsia="Calibri" w:cs="Arial"/>
                <w:sz w:val="14"/>
                <w:szCs w:val="14"/>
                <w:lang w:eastAsia="en-US"/>
              </w:rPr>
              <w:t xml:space="preserve">subsection </w:t>
            </w:r>
            <w:hyperlink r:id="rId1469" w:anchor="anchor_I17e7bcb4e03011e08eefa443f89988a0#anchor_I17e7bcb4e03011e08eefa443f89988a0" w:history="1">
              <w:r w:rsidRPr="005B2F5C">
                <w:rPr>
                  <w:rFonts w:eastAsia="Calibri" w:cs="Arial"/>
                  <w:color w:val="0000FF"/>
                  <w:sz w:val="14"/>
                  <w:szCs w:val="14"/>
                  <w:u w:val="single"/>
                  <w:lang w:eastAsia="en-US"/>
                </w:rPr>
                <w:t>(3)</w:t>
              </w:r>
            </w:hyperlink>
            <w:r w:rsidRPr="005B2F5C">
              <w:rPr>
                <w:rFonts w:eastAsia="Calibri" w:cs="Arial"/>
                <w:sz w:val="14"/>
                <w:szCs w:val="14"/>
                <w:lang w:eastAsia="en-US"/>
              </w:rPr>
              <w:t xml:space="preserve"> no longer applies to the claimant; and</w:t>
            </w:r>
          </w:p>
          <w:p w14:paraId="46747FFC" w14:textId="77777777" w:rsidR="006733F4" w:rsidRPr="005B2F5C" w:rsidRDefault="006733F4" w:rsidP="00F839DB">
            <w:pPr>
              <w:pStyle w:val="ListParagraph"/>
              <w:numPr>
                <w:ilvl w:val="0"/>
                <w:numId w:val="214"/>
              </w:numPr>
              <w:spacing w:after="60"/>
              <w:contextualSpacing/>
              <w:rPr>
                <w:rFonts w:eastAsia="Calibri" w:cs="Arial"/>
                <w:sz w:val="14"/>
                <w:szCs w:val="14"/>
                <w:lang w:eastAsia="en-US"/>
              </w:rPr>
            </w:pPr>
            <w:r w:rsidRPr="005B2F5C">
              <w:rPr>
                <w:rFonts w:eastAsia="Calibri" w:cs="Arial"/>
                <w:sz w:val="14"/>
                <w:szCs w:val="14"/>
                <w:lang w:eastAsia="en-US"/>
              </w:rPr>
              <w:t>the claimant is eligible to the entitlement.</w:t>
            </w:r>
          </w:p>
          <w:p w14:paraId="7E5ED2BD" w14:textId="242B4CDF"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(3B) The Corporation is not required to make any payment of the entitlement for the period during which it was declined under subsection </w:t>
            </w:r>
            <w:hyperlink r:id="rId1470" w:anchor="anchor_I17e7bcb4e03011e08eefa443f89988a0#anchor_I17e7bcb4e03011e08eefa443f89988a0" w:history="1">
              <w:r w:rsidRPr="006733F4">
                <w:rPr>
                  <w:rFonts w:cs="Arial"/>
                  <w:color w:val="0000FF"/>
                  <w:sz w:val="14"/>
                  <w:szCs w:val="16"/>
                  <w:u w:val="single"/>
                  <w:lang w:val="en-GB"/>
                </w:rPr>
                <w:t>(3)</w:t>
              </w:r>
            </w:hyperlink>
            <w:r w:rsidRPr="006733F4">
              <w:rPr>
                <w:rFonts w:cs="Arial"/>
                <w:color w:val="000000"/>
                <w:sz w:val="14"/>
                <w:szCs w:val="16"/>
                <w:lang w:val="en-GB"/>
              </w:rPr>
              <w:t xml:space="preserve">, even though it may have started providing the entitlement again under subsection </w:t>
            </w:r>
            <w:hyperlink r:id="rId1471" w:anchor="anchor_I17e7e413e03011e08eefa443f89988a0#anchor_I17e7e413e03011e08eefa443f89988a0" w:history="1">
              <w:r w:rsidRPr="006733F4">
                <w:rPr>
                  <w:rFonts w:cs="Arial"/>
                  <w:color w:val="0000FF"/>
                  <w:sz w:val="14"/>
                  <w:szCs w:val="16"/>
                  <w:u w:val="single"/>
                  <w:lang w:val="en-GB"/>
                </w:rPr>
                <w:t>(3A)</w:t>
              </w:r>
            </w:hyperlink>
            <w:r w:rsidRPr="006733F4">
              <w:rPr>
                <w:rFonts w:cs="Arial"/>
                <w:color w:val="000000"/>
                <w:sz w:val="14"/>
                <w:szCs w:val="16"/>
                <w:lang w:val="en-GB"/>
              </w:rPr>
              <w:t>. However, the Corporation may make such payment if the Corporation believes that</w:t>
            </w:r>
            <w:r w:rsidR="003F5D7A">
              <w:rPr>
                <w:rFonts w:cs="Arial"/>
                <w:color w:val="000000"/>
                <w:sz w:val="14"/>
                <w:szCs w:val="16"/>
                <w:lang w:val="en-GB"/>
              </w:rPr>
              <w:t xml:space="preserve"> </w:t>
            </w:r>
            <w:r w:rsidRPr="006733F4">
              <w:rPr>
                <w:rFonts w:cs="Arial"/>
                <w:color w:val="000000"/>
                <w:sz w:val="14"/>
                <w:szCs w:val="16"/>
                <w:lang w:val="en-GB"/>
              </w:rPr>
              <w:t xml:space="preserve">— </w:t>
            </w:r>
          </w:p>
          <w:p w14:paraId="16C7A7F4" w14:textId="77777777" w:rsidR="006733F4" w:rsidRPr="005B2F5C" w:rsidRDefault="006733F4" w:rsidP="00F839DB">
            <w:pPr>
              <w:pStyle w:val="ListParagraph"/>
              <w:numPr>
                <w:ilvl w:val="0"/>
                <w:numId w:val="215"/>
              </w:numPr>
              <w:spacing w:after="60"/>
              <w:contextualSpacing/>
              <w:rPr>
                <w:rFonts w:eastAsia="Calibri" w:cs="Arial"/>
                <w:sz w:val="14"/>
                <w:szCs w:val="14"/>
                <w:lang w:eastAsia="en-US"/>
              </w:rPr>
            </w:pPr>
            <w:r w:rsidRPr="005B2F5C">
              <w:rPr>
                <w:rFonts w:eastAsia="Calibri" w:cs="Arial"/>
                <w:sz w:val="14"/>
                <w:szCs w:val="14"/>
                <w:lang w:eastAsia="en-US"/>
              </w:rPr>
              <w:t>exceptional circumstances exist; and</w:t>
            </w:r>
          </w:p>
          <w:p w14:paraId="048308E5" w14:textId="77777777" w:rsidR="006733F4" w:rsidRPr="005B2F5C" w:rsidRDefault="006733F4" w:rsidP="00F839DB">
            <w:pPr>
              <w:pStyle w:val="ListParagraph"/>
              <w:numPr>
                <w:ilvl w:val="0"/>
                <w:numId w:val="215"/>
              </w:numPr>
              <w:spacing w:after="60"/>
              <w:contextualSpacing/>
              <w:rPr>
                <w:rFonts w:eastAsia="Calibri" w:cs="Arial"/>
                <w:sz w:val="14"/>
                <w:szCs w:val="14"/>
                <w:lang w:eastAsia="en-US"/>
              </w:rPr>
            </w:pPr>
            <w:r w:rsidRPr="005B2F5C">
              <w:rPr>
                <w:rFonts w:eastAsia="Calibri" w:cs="Arial"/>
                <w:sz w:val="14"/>
                <w:szCs w:val="14"/>
                <w:lang w:eastAsia="en-US"/>
              </w:rPr>
              <w:t>it would be inequitable to refuse to do so.</w:t>
            </w:r>
          </w:p>
          <w:p w14:paraId="31F8F715" w14:textId="77777777" w:rsidR="006733F4" w:rsidRPr="006733F4" w:rsidRDefault="006733F4" w:rsidP="00292A53">
            <w:pPr>
              <w:spacing w:after="60"/>
              <w:rPr>
                <w:rFonts w:cs="Arial"/>
                <w:color w:val="000000"/>
                <w:sz w:val="14"/>
                <w:szCs w:val="16"/>
                <w:lang w:val="en-GB"/>
              </w:rPr>
            </w:pPr>
            <w:r w:rsidRPr="006733F4">
              <w:rPr>
                <w:rFonts w:cs="Arial"/>
                <w:color w:val="000000"/>
                <w:sz w:val="14"/>
                <w:szCs w:val="16"/>
                <w:lang w:val="en-GB"/>
              </w:rPr>
              <w:t xml:space="preserve">(3C) An entitlement that has been declined for any period under subsection </w:t>
            </w:r>
            <w:hyperlink r:id="rId1472" w:anchor="anchor_I17e7bcb4e03011e08eefa443f89988a0#anchor_I17e7bcb4e03011e08eefa443f89988a0" w:history="1">
              <w:r w:rsidRPr="006733F4">
                <w:rPr>
                  <w:rFonts w:cs="Arial"/>
                  <w:color w:val="0000FF"/>
                  <w:sz w:val="14"/>
                  <w:szCs w:val="16"/>
                  <w:u w:val="single"/>
                  <w:lang w:val="en-GB"/>
                </w:rPr>
                <w:t>(3)</w:t>
              </w:r>
            </w:hyperlink>
            <w:r w:rsidRPr="006733F4">
              <w:rPr>
                <w:rFonts w:cs="Arial"/>
                <w:color w:val="000000"/>
                <w:sz w:val="14"/>
                <w:szCs w:val="16"/>
                <w:lang w:val="en-GB"/>
              </w:rPr>
              <w:t xml:space="preserve"> must be provided by the Corporation, with effect from the beginning of that period, if:</w:t>
            </w:r>
          </w:p>
          <w:p w14:paraId="372BBBD1" w14:textId="77777777" w:rsidR="006733F4" w:rsidRPr="005B2F5C" w:rsidRDefault="006733F4" w:rsidP="00F839DB">
            <w:pPr>
              <w:pStyle w:val="ListParagraph"/>
              <w:numPr>
                <w:ilvl w:val="0"/>
                <w:numId w:val="217"/>
              </w:numPr>
              <w:spacing w:after="60"/>
              <w:contextualSpacing/>
              <w:rPr>
                <w:rFonts w:eastAsia="Calibri" w:cs="Arial"/>
                <w:sz w:val="14"/>
                <w:szCs w:val="14"/>
                <w:lang w:eastAsia="en-US"/>
              </w:rPr>
            </w:pPr>
            <w:r w:rsidRPr="005B2F5C">
              <w:rPr>
                <w:rFonts w:eastAsia="Calibri" w:cs="Arial"/>
                <w:sz w:val="14"/>
                <w:szCs w:val="14"/>
                <w:lang w:eastAsia="en-US"/>
              </w:rPr>
              <w:t>the Corporation's decision to decline to provide the entitlement for that period is:</w:t>
            </w:r>
          </w:p>
          <w:p w14:paraId="23D11CF1" w14:textId="77777777" w:rsidR="006733F4" w:rsidRPr="005B2F5C" w:rsidRDefault="006733F4" w:rsidP="00F839DB">
            <w:pPr>
              <w:pStyle w:val="ListParagraph"/>
              <w:numPr>
                <w:ilvl w:val="0"/>
                <w:numId w:val="216"/>
              </w:numPr>
              <w:spacing w:after="60"/>
              <w:ind w:left="776" w:hanging="425"/>
              <w:rPr>
                <w:rFonts w:cs="Arial"/>
                <w:color w:val="000000"/>
                <w:sz w:val="14"/>
                <w:szCs w:val="16"/>
                <w:lang w:val="en-GB"/>
              </w:rPr>
            </w:pPr>
            <w:r w:rsidRPr="005B2F5C">
              <w:rPr>
                <w:rFonts w:cs="Arial"/>
                <w:color w:val="000000"/>
                <w:sz w:val="14"/>
                <w:szCs w:val="16"/>
                <w:lang w:val="en-GB"/>
              </w:rPr>
              <w:t xml:space="preserve">revised under section </w:t>
            </w:r>
            <w:bookmarkStart w:id="149" w:name="docPosition"/>
            <w:r w:rsidRPr="005B2F5C">
              <w:rPr>
                <w:rFonts w:cs="Arial"/>
                <w:color w:val="000000"/>
                <w:sz w:val="14"/>
                <w:szCs w:val="16"/>
                <w:lang w:val="en-GB"/>
              </w:rPr>
              <w:fldChar w:fldCharType="begin"/>
            </w:r>
            <w:r w:rsidRPr="005B2F5C">
              <w:rPr>
                <w:rFonts w:cs="Arial"/>
                <w:color w:val="000000"/>
                <w:sz w:val="14"/>
                <w:szCs w:val="16"/>
                <w:lang w:val="en-GB"/>
              </w:rPr>
              <w:instrText>HYPERLINK "http://www.westlaw.co.nz/maf/wlnz/app/document?&amp;src=rl&amp;docguid=I679095bae03211e08eefa443f89988a0&amp;hitguid=I16d16b2ee03011e08eefa443f89988a0&amp;snippets=true&amp;startChunk=1&amp;endChunk=1&amp;isTocNav=true&amp;tocDs=AUNZ_NZ_LEGCOMM_TOC&amp;extLink=false" \l "anchor_I16d16b2ee03011e08eefa443f89988a0"</w:instrText>
            </w:r>
            <w:r w:rsidRPr="005B2F5C">
              <w:rPr>
                <w:rFonts w:cs="Arial"/>
                <w:color w:val="000000"/>
                <w:sz w:val="14"/>
                <w:szCs w:val="16"/>
                <w:lang w:val="en-GB"/>
              </w:rPr>
              <w:fldChar w:fldCharType="separate"/>
            </w:r>
            <w:r w:rsidRPr="005B2F5C">
              <w:rPr>
                <w:rFonts w:cs="Arial"/>
                <w:color w:val="0000FF"/>
                <w:sz w:val="14"/>
                <w:szCs w:val="16"/>
                <w:u w:val="single"/>
                <w:lang w:val="en-GB"/>
              </w:rPr>
              <w:t>65</w:t>
            </w:r>
            <w:r w:rsidRPr="005B2F5C">
              <w:rPr>
                <w:rFonts w:cs="Arial"/>
                <w:color w:val="000000"/>
                <w:sz w:val="14"/>
                <w:szCs w:val="16"/>
                <w:lang w:val="en-GB"/>
              </w:rPr>
              <w:fldChar w:fldCharType="end"/>
            </w:r>
            <w:bookmarkEnd w:id="149"/>
            <w:r w:rsidRPr="005B2F5C">
              <w:rPr>
                <w:rFonts w:cs="Arial"/>
                <w:color w:val="000000"/>
                <w:sz w:val="14"/>
                <w:szCs w:val="16"/>
                <w:lang w:val="en-GB"/>
              </w:rPr>
              <w:t>; or</w:t>
            </w:r>
          </w:p>
          <w:p w14:paraId="284FFF20" w14:textId="77777777" w:rsidR="006733F4" w:rsidRPr="005B2F5C" w:rsidRDefault="006733F4" w:rsidP="00F839DB">
            <w:pPr>
              <w:pStyle w:val="ListParagraph"/>
              <w:numPr>
                <w:ilvl w:val="0"/>
                <w:numId w:val="216"/>
              </w:numPr>
              <w:spacing w:after="60"/>
              <w:ind w:left="776" w:hanging="425"/>
              <w:rPr>
                <w:rFonts w:cs="Arial"/>
                <w:color w:val="000000"/>
                <w:sz w:val="14"/>
                <w:szCs w:val="16"/>
                <w:lang w:val="en-GB"/>
              </w:rPr>
            </w:pPr>
            <w:r w:rsidRPr="005B2F5C">
              <w:rPr>
                <w:rFonts w:cs="Arial"/>
                <w:color w:val="000000"/>
                <w:sz w:val="14"/>
                <w:szCs w:val="16"/>
                <w:lang w:val="en-GB"/>
              </w:rPr>
              <w:t>quashed on review or appeal; and</w:t>
            </w:r>
          </w:p>
          <w:p w14:paraId="1FFB4399" w14:textId="77777777" w:rsidR="006733F4" w:rsidRPr="005B2F5C" w:rsidRDefault="006733F4" w:rsidP="00F839DB">
            <w:pPr>
              <w:pStyle w:val="ListParagraph"/>
              <w:numPr>
                <w:ilvl w:val="0"/>
                <w:numId w:val="217"/>
              </w:numPr>
              <w:spacing w:after="60"/>
              <w:contextualSpacing/>
              <w:rPr>
                <w:rFonts w:eastAsia="Calibri" w:cs="Arial"/>
                <w:sz w:val="14"/>
                <w:szCs w:val="14"/>
                <w:lang w:eastAsia="en-US"/>
              </w:rPr>
            </w:pPr>
            <w:r w:rsidRPr="00E53701">
              <w:rPr>
                <w:rFonts w:eastAsia="Calibri" w:cs="Arial"/>
                <w:sz w:val="14"/>
                <w:szCs w:val="14"/>
                <w:lang w:eastAsia="en-US"/>
              </w:rPr>
              <w:t>the claimant was otherwise entitled to receive the entitlement for that period.</w:t>
            </w:r>
          </w:p>
        </w:tc>
      </w:tr>
      <w:bookmarkEnd w:id="148"/>
    </w:tbl>
    <w:p w14:paraId="5A886A6A" w14:textId="77777777" w:rsidR="00C66972" w:rsidRPr="00C66972" w:rsidRDefault="00C66972" w:rsidP="00C66972">
      <w:pPr>
        <w:spacing w:after="200" w:line="276" w:lineRule="auto"/>
        <w:rPr>
          <w:rFonts w:eastAsiaTheme="minorHAnsi"/>
        </w:rPr>
      </w:pPr>
    </w:p>
    <w:p w14:paraId="1A2BA9DE" w14:textId="3C387A18" w:rsidR="00A00052" w:rsidRPr="00A80282" w:rsidRDefault="00A00052" w:rsidP="00A80282">
      <w:pPr>
        <w:pStyle w:val="SWATableheader"/>
      </w:pPr>
      <w:bookmarkStart w:id="150" w:name="_Toc504654684"/>
      <w:r w:rsidRPr="00A80282">
        <w:lastRenderedPageBreak/>
        <w:t>Table 4.8</w:t>
      </w:r>
      <w:r w:rsidR="00C709C9" w:rsidRPr="00A80282">
        <w:t>:</w:t>
      </w:r>
      <w:r w:rsidRPr="00A80282">
        <w:t xml:space="preserve"> Incapacity benefits settlements</w:t>
      </w:r>
      <w:bookmarkEnd w:id="150"/>
      <w:r w:rsidRPr="00A80282">
        <w:t xml:space="preserve"> </w:t>
      </w:r>
      <w:r w:rsidR="009915C5" w:rsidRPr="00A80282">
        <w:fldChar w:fldCharType="begin"/>
      </w:r>
      <w:r w:rsidR="009915C5" w:rsidRPr="00A80282">
        <w:instrText xml:space="preserve"> XE "incapacity:benefits settlements" </w:instrText>
      </w:r>
      <w:r w:rsidR="009915C5"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8 Incapacity benefits settlements  "/>
        <w:tblDescription w:val="This table provides information on incapacity benefit settlements under the workers' compensation schemes. "/>
      </w:tblPr>
      <w:tblGrid>
        <w:gridCol w:w="1626"/>
        <w:gridCol w:w="13795"/>
      </w:tblGrid>
      <w:tr w:rsidR="00A00052" w:rsidRPr="00A00052" w14:paraId="406EF02B" w14:textId="77777777" w:rsidTr="00922480">
        <w:trPr>
          <w:tblHeader/>
        </w:trPr>
        <w:tc>
          <w:tcPr>
            <w:tcW w:w="1626" w:type="dxa"/>
            <w:shd w:val="clear" w:color="auto" w:fill="C00000"/>
            <w:tcMar>
              <w:top w:w="0" w:type="dxa"/>
              <w:left w:w="0" w:type="dxa"/>
              <w:bottom w:w="0" w:type="dxa"/>
              <w:right w:w="0" w:type="dxa"/>
            </w:tcMar>
            <w:vAlign w:val="center"/>
          </w:tcPr>
          <w:p w14:paraId="18207242" w14:textId="77777777" w:rsidR="00A00052" w:rsidRPr="00A00052" w:rsidRDefault="00A00052" w:rsidP="00292A53">
            <w:pPr>
              <w:pStyle w:val="Tableheaderrow"/>
              <w:spacing w:after="60"/>
            </w:pPr>
          </w:p>
        </w:tc>
        <w:tc>
          <w:tcPr>
            <w:tcW w:w="13795" w:type="dxa"/>
            <w:shd w:val="clear" w:color="auto" w:fill="C00000"/>
            <w:tcMar>
              <w:top w:w="0" w:type="dxa"/>
              <w:left w:w="0" w:type="dxa"/>
              <w:bottom w:w="0" w:type="dxa"/>
              <w:right w:w="0" w:type="dxa"/>
            </w:tcMar>
            <w:vAlign w:val="center"/>
          </w:tcPr>
          <w:p w14:paraId="2FCC01D4" w14:textId="77777777" w:rsidR="00A00052" w:rsidRPr="00A00052" w:rsidRDefault="00A00052" w:rsidP="00292A53">
            <w:pPr>
              <w:pStyle w:val="Tableheaderrow"/>
              <w:spacing w:after="60"/>
            </w:pPr>
            <w:r w:rsidRPr="00A00052">
              <w:t>Coverage</w:t>
            </w:r>
          </w:p>
        </w:tc>
      </w:tr>
      <w:tr w:rsidR="00A00052" w:rsidRPr="00A00052" w14:paraId="241B5F53" w14:textId="77777777" w:rsidTr="00922480">
        <w:tc>
          <w:tcPr>
            <w:tcW w:w="1626" w:type="dxa"/>
            <w:shd w:val="clear" w:color="auto" w:fill="FFC9C9"/>
            <w:tcMar>
              <w:top w:w="80" w:type="dxa"/>
              <w:left w:w="80" w:type="dxa"/>
              <w:bottom w:w="80" w:type="dxa"/>
              <w:right w:w="80" w:type="dxa"/>
            </w:tcMar>
          </w:tcPr>
          <w:p w14:paraId="7B006667"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New South Wales</w:t>
            </w:r>
          </w:p>
        </w:tc>
        <w:tc>
          <w:tcPr>
            <w:tcW w:w="13795" w:type="dxa"/>
            <w:shd w:val="clear" w:color="auto" w:fill="FFC9C9"/>
            <w:tcMar>
              <w:top w:w="80" w:type="dxa"/>
              <w:left w:w="80" w:type="dxa"/>
              <w:bottom w:w="80" w:type="dxa"/>
              <w:right w:w="80" w:type="dxa"/>
            </w:tcMar>
          </w:tcPr>
          <w:p w14:paraId="596573E1" w14:textId="70E08C31" w:rsidR="00A00052" w:rsidRPr="00A00052" w:rsidRDefault="00943FC7" w:rsidP="00292A53">
            <w:pPr>
              <w:spacing w:after="60"/>
              <w:rPr>
                <w:rFonts w:cs="Arial"/>
                <w:color w:val="000000"/>
                <w:sz w:val="14"/>
                <w:szCs w:val="16"/>
                <w:lang w:val="en-GB"/>
              </w:rPr>
            </w:pPr>
            <w:r w:rsidRPr="00943FC7">
              <w:rPr>
                <w:rFonts w:cs="Arial"/>
                <w:color w:val="000000"/>
                <w:sz w:val="14"/>
                <w:szCs w:val="16"/>
                <w:lang w:val="en-GB"/>
              </w:rPr>
              <w:t xml:space="preserve">Yes, some restrictions. Refer Part 3 </w:t>
            </w:r>
            <w:hyperlink r:id="rId1473" w:history="1">
              <w:r w:rsidRPr="00EE1D4E">
                <w:rPr>
                  <w:rStyle w:val="Hyperlink"/>
                  <w:rFonts w:cs="Arial"/>
                  <w:sz w:val="14"/>
                  <w:szCs w:val="16"/>
                  <w:lang w:val="en-GB"/>
                </w:rPr>
                <w:t>Division 9</w:t>
              </w:r>
            </w:hyperlink>
            <w:r w:rsidRPr="00943FC7">
              <w:rPr>
                <w:rFonts w:cs="Arial"/>
                <w:color w:val="000000"/>
                <w:sz w:val="14"/>
                <w:szCs w:val="16"/>
                <w:lang w:val="en-GB"/>
              </w:rPr>
              <w:t xml:space="preserve"> </w:t>
            </w:r>
            <w:r w:rsidR="00131D5A" w:rsidRPr="00016069">
              <w:rPr>
                <w:i/>
                <w:sz w:val="14"/>
              </w:rPr>
              <w:t>Workers Compensation Act 1987</w:t>
            </w:r>
          </w:p>
        </w:tc>
      </w:tr>
      <w:tr w:rsidR="00A00052" w:rsidRPr="00A00052" w14:paraId="02B9C8BE" w14:textId="77777777" w:rsidTr="00922480">
        <w:tc>
          <w:tcPr>
            <w:tcW w:w="1626" w:type="dxa"/>
            <w:tcMar>
              <w:top w:w="80" w:type="dxa"/>
              <w:left w:w="80" w:type="dxa"/>
              <w:bottom w:w="80" w:type="dxa"/>
              <w:right w:w="80" w:type="dxa"/>
            </w:tcMar>
          </w:tcPr>
          <w:p w14:paraId="4924ABCC"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Victoria</w:t>
            </w:r>
          </w:p>
        </w:tc>
        <w:tc>
          <w:tcPr>
            <w:tcW w:w="13795" w:type="dxa"/>
            <w:tcMar>
              <w:top w:w="80" w:type="dxa"/>
              <w:left w:w="80" w:type="dxa"/>
              <w:bottom w:w="80" w:type="dxa"/>
              <w:right w:w="80" w:type="dxa"/>
            </w:tcMar>
          </w:tcPr>
          <w:p w14:paraId="1EDF973D" w14:textId="16099BD7"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Yes, some restrictions — </w:t>
            </w:r>
            <w:hyperlink r:id="rId1474" w:history="1">
              <w:r w:rsidRPr="00EE1D4E">
                <w:rPr>
                  <w:rStyle w:val="Hyperlink"/>
                  <w:rFonts w:cs="Arial"/>
                  <w:sz w:val="14"/>
                  <w:szCs w:val="16"/>
                  <w:lang w:val="en-GB"/>
                </w:rPr>
                <w:t>Division 9</w:t>
              </w:r>
            </w:hyperlink>
            <w:r w:rsidRPr="00A00052">
              <w:rPr>
                <w:rFonts w:cs="Arial"/>
                <w:color w:val="000000"/>
                <w:sz w:val="14"/>
                <w:szCs w:val="16"/>
                <w:lang w:val="en-GB"/>
              </w:rPr>
              <w:t xml:space="preserve"> of Part 5</w:t>
            </w:r>
            <w:r w:rsidR="00131D5A">
              <w:rPr>
                <w:rFonts w:cs="Arial"/>
                <w:color w:val="000000"/>
                <w:sz w:val="14"/>
                <w:szCs w:val="16"/>
                <w:lang w:val="en-GB"/>
              </w:rPr>
              <w:t xml:space="preserve"> </w:t>
            </w:r>
            <w:r w:rsidR="00131D5A" w:rsidRPr="00016069">
              <w:rPr>
                <w:i/>
                <w:sz w:val="14"/>
              </w:rPr>
              <w:t>Workplace Injury Rehabilitation and Compensation Act 2013</w:t>
            </w:r>
          </w:p>
        </w:tc>
      </w:tr>
      <w:tr w:rsidR="00A00052" w:rsidRPr="00A00052" w14:paraId="24A6939B" w14:textId="77777777" w:rsidTr="00922480">
        <w:tc>
          <w:tcPr>
            <w:tcW w:w="1626" w:type="dxa"/>
            <w:shd w:val="clear" w:color="auto" w:fill="FFC9C9"/>
            <w:tcMar>
              <w:top w:w="80" w:type="dxa"/>
              <w:left w:w="80" w:type="dxa"/>
              <w:bottom w:w="80" w:type="dxa"/>
              <w:right w:w="80" w:type="dxa"/>
            </w:tcMar>
          </w:tcPr>
          <w:p w14:paraId="2C56E2BD"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Queensland</w:t>
            </w:r>
          </w:p>
        </w:tc>
        <w:tc>
          <w:tcPr>
            <w:tcW w:w="13795" w:type="dxa"/>
            <w:shd w:val="clear" w:color="auto" w:fill="FFC9C9"/>
            <w:tcMar>
              <w:top w:w="80" w:type="dxa"/>
              <w:left w:w="80" w:type="dxa"/>
              <w:bottom w:w="80" w:type="dxa"/>
              <w:right w:w="80" w:type="dxa"/>
            </w:tcMar>
          </w:tcPr>
          <w:p w14:paraId="1C452B9B" w14:textId="3EB6FDD0"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Yes, as c</w:t>
            </w:r>
            <w:r w:rsidR="00131D5A">
              <w:rPr>
                <w:rFonts w:cs="Arial"/>
                <w:color w:val="000000"/>
                <w:sz w:val="14"/>
                <w:szCs w:val="16"/>
                <w:lang w:val="en-GB"/>
              </w:rPr>
              <w:t xml:space="preserve">alculated under </w:t>
            </w:r>
            <w:hyperlink r:id="rId1475" w:anchor="sec.174" w:history="1">
              <w:r w:rsidR="00131D5A" w:rsidRPr="00EE1D4E">
                <w:rPr>
                  <w:rStyle w:val="Hyperlink"/>
                  <w:rFonts w:cs="Arial"/>
                  <w:sz w:val="14"/>
                  <w:szCs w:val="16"/>
                  <w:lang w:val="en-GB"/>
                </w:rPr>
                <w:t>s174</w:t>
              </w:r>
            </w:hyperlink>
            <w:r w:rsidR="00131D5A">
              <w:rPr>
                <w:rFonts w:cs="Arial"/>
                <w:color w:val="000000"/>
                <w:sz w:val="14"/>
                <w:szCs w:val="16"/>
                <w:lang w:val="en-GB"/>
              </w:rPr>
              <w:t xml:space="preserve"> of </w:t>
            </w:r>
            <w:r w:rsidR="00131D5A" w:rsidRPr="00016069">
              <w:rPr>
                <w:i/>
                <w:sz w:val="14"/>
              </w:rPr>
              <w:t>Workers’ Compensation and Rehabilitation Act 2003</w:t>
            </w:r>
          </w:p>
        </w:tc>
      </w:tr>
      <w:tr w:rsidR="00A00052" w:rsidRPr="00A00052" w14:paraId="4D3685FA" w14:textId="77777777" w:rsidTr="00922480">
        <w:tc>
          <w:tcPr>
            <w:tcW w:w="1626" w:type="dxa"/>
            <w:tcMar>
              <w:top w:w="80" w:type="dxa"/>
              <w:left w:w="80" w:type="dxa"/>
              <w:bottom w:w="80" w:type="dxa"/>
              <w:right w:w="80" w:type="dxa"/>
            </w:tcMar>
          </w:tcPr>
          <w:p w14:paraId="257960ED"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Western Australia</w:t>
            </w:r>
          </w:p>
        </w:tc>
        <w:tc>
          <w:tcPr>
            <w:tcW w:w="13795" w:type="dxa"/>
            <w:tcMar>
              <w:top w:w="80" w:type="dxa"/>
              <w:left w:w="80" w:type="dxa"/>
              <w:bottom w:w="80" w:type="dxa"/>
              <w:right w:w="80" w:type="dxa"/>
            </w:tcMar>
          </w:tcPr>
          <w:p w14:paraId="3C881FBE" w14:textId="01C0A570" w:rsidR="00A00052" w:rsidRPr="00A00052" w:rsidRDefault="00ED1468" w:rsidP="003F5D7A">
            <w:pPr>
              <w:spacing w:after="60"/>
              <w:rPr>
                <w:rFonts w:cs="Arial"/>
                <w:color w:val="000000"/>
                <w:sz w:val="14"/>
                <w:szCs w:val="16"/>
                <w:highlight w:val="yellow"/>
                <w:lang w:val="en-GB"/>
              </w:rPr>
            </w:pPr>
            <w:r>
              <w:rPr>
                <w:rFonts w:cs="Arial"/>
                <w:color w:val="000000"/>
                <w:sz w:val="14"/>
                <w:szCs w:val="16"/>
                <w:lang w:val="en-GB"/>
              </w:rPr>
              <w:t xml:space="preserve">Yes, some restrictions </w:t>
            </w:r>
            <w:r w:rsidR="003F5D7A">
              <w:rPr>
                <w:rFonts w:cs="Arial"/>
                <w:color w:val="000000"/>
                <w:sz w:val="14"/>
                <w:szCs w:val="16"/>
                <w:lang w:val="en-GB"/>
              </w:rPr>
              <w:t xml:space="preserve">— </w:t>
            </w:r>
            <w:hyperlink r:id="rId1476" w:history="1">
              <w:r w:rsidRPr="00EE1D4E">
                <w:rPr>
                  <w:rStyle w:val="Hyperlink"/>
                  <w:rFonts w:cs="Arial"/>
                  <w:sz w:val="14"/>
                  <w:szCs w:val="16"/>
                  <w:lang w:val="en-GB"/>
                </w:rPr>
                <w:t>s67</w:t>
              </w:r>
            </w:hyperlink>
            <w:r w:rsidR="00131D5A">
              <w:rPr>
                <w:rFonts w:cs="Arial"/>
                <w:color w:val="000000"/>
                <w:sz w:val="14"/>
                <w:szCs w:val="16"/>
                <w:lang w:val="en-GB"/>
              </w:rPr>
              <w:t xml:space="preserve"> </w:t>
            </w:r>
            <w:r w:rsidR="00131D5A" w:rsidRPr="00016069">
              <w:rPr>
                <w:i/>
                <w:sz w:val="14"/>
              </w:rPr>
              <w:t>Workers’ Compensation and Injury Management Act 1981</w:t>
            </w:r>
          </w:p>
        </w:tc>
      </w:tr>
      <w:tr w:rsidR="00A00052" w:rsidRPr="00A00052" w14:paraId="234765EF" w14:textId="77777777" w:rsidTr="00922480">
        <w:tc>
          <w:tcPr>
            <w:tcW w:w="1626" w:type="dxa"/>
            <w:shd w:val="clear" w:color="auto" w:fill="FFC9C9"/>
            <w:tcMar>
              <w:top w:w="80" w:type="dxa"/>
              <w:left w:w="80" w:type="dxa"/>
              <w:bottom w:w="80" w:type="dxa"/>
              <w:right w:w="80" w:type="dxa"/>
            </w:tcMar>
          </w:tcPr>
          <w:p w14:paraId="3FBEAC60"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South Australia</w:t>
            </w:r>
          </w:p>
        </w:tc>
        <w:tc>
          <w:tcPr>
            <w:tcW w:w="13795" w:type="dxa"/>
            <w:shd w:val="clear" w:color="auto" w:fill="FFC9C9"/>
            <w:tcMar>
              <w:top w:w="80" w:type="dxa"/>
              <w:left w:w="80" w:type="dxa"/>
              <w:bottom w:w="80" w:type="dxa"/>
              <w:right w:w="80" w:type="dxa"/>
            </w:tcMar>
          </w:tcPr>
          <w:p w14:paraId="10E7AF93" w14:textId="6E598897" w:rsidR="00A00052" w:rsidRPr="00A00052" w:rsidRDefault="00A00052" w:rsidP="003F5D7A">
            <w:pPr>
              <w:spacing w:after="60"/>
              <w:rPr>
                <w:rFonts w:cs="Arial"/>
                <w:color w:val="000000"/>
                <w:sz w:val="14"/>
                <w:szCs w:val="16"/>
                <w:lang w:val="en-GB"/>
              </w:rPr>
            </w:pPr>
            <w:r w:rsidRPr="00A00052">
              <w:rPr>
                <w:rFonts w:cs="Arial"/>
                <w:color w:val="000000"/>
                <w:sz w:val="14"/>
                <w:szCs w:val="16"/>
              </w:rPr>
              <w:t xml:space="preserve">Yes, some restrictions </w:t>
            </w:r>
            <w:r w:rsidR="003F5D7A">
              <w:rPr>
                <w:rFonts w:cs="Arial"/>
                <w:color w:val="000000"/>
                <w:sz w:val="14"/>
                <w:szCs w:val="16"/>
              </w:rPr>
              <w:t>—</w:t>
            </w:r>
            <w:r w:rsidR="003F5D7A" w:rsidRPr="00A00052">
              <w:rPr>
                <w:rFonts w:cs="Arial"/>
                <w:color w:val="000000"/>
                <w:sz w:val="14"/>
                <w:szCs w:val="16"/>
              </w:rPr>
              <w:t xml:space="preserve"> </w:t>
            </w:r>
            <w:hyperlink r:id="rId1477" w:history="1">
              <w:r w:rsidRPr="00A00052">
                <w:rPr>
                  <w:rFonts w:cs="Arial"/>
                  <w:color w:val="0000FF"/>
                  <w:sz w:val="14"/>
                  <w:szCs w:val="16"/>
                  <w:u w:val="single"/>
                </w:rPr>
                <w:t>s53</w:t>
              </w:r>
            </w:hyperlink>
            <w:r w:rsidR="00131D5A">
              <w:rPr>
                <w:rFonts w:cs="Arial"/>
                <w:color w:val="0000FF"/>
                <w:sz w:val="14"/>
                <w:szCs w:val="16"/>
                <w:u w:val="single"/>
              </w:rPr>
              <w:t xml:space="preserve"> </w:t>
            </w:r>
            <w:r w:rsidR="00131D5A" w:rsidRPr="00016069">
              <w:rPr>
                <w:i/>
                <w:sz w:val="14"/>
              </w:rPr>
              <w:t>Return to Work Act 2014</w:t>
            </w:r>
          </w:p>
        </w:tc>
      </w:tr>
      <w:tr w:rsidR="00A00052" w:rsidRPr="00A00052" w14:paraId="1A8D1A16" w14:textId="77777777" w:rsidTr="00922480">
        <w:tc>
          <w:tcPr>
            <w:tcW w:w="1626" w:type="dxa"/>
            <w:tcMar>
              <w:top w:w="80" w:type="dxa"/>
              <w:left w:w="80" w:type="dxa"/>
              <w:bottom w:w="80" w:type="dxa"/>
              <w:right w:w="80" w:type="dxa"/>
            </w:tcMar>
          </w:tcPr>
          <w:p w14:paraId="051E38E7"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Tasmania</w:t>
            </w:r>
          </w:p>
        </w:tc>
        <w:tc>
          <w:tcPr>
            <w:tcW w:w="13795" w:type="dxa"/>
            <w:tcMar>
              <w:top w:w="80" w:type="dxa"/>
              <w:left w:w="80" w:type="dxa"/>
              <w:bottom w:w="80" w:type="dxa"/>
              <w:right w:w="80" w:type="dxa"/>
            </w:tcMar>
          </w:tcPr>
          <w:p w14:paraId="7379966F" w14:textId="76744028"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Yes, some restrictions</w:t>
            </w:r>
            <w:r w:rsidR="003F5D7A">
              <w:rPr>
                <w:rFonts w:cs="Arial"/>
                <w:color w:val="000000"/>
                <w:sz w:val="14"/>
                <w:szCs w:val="16"/>
                <w:lang w:val="en-GB"/>
              </w:rPr>
              <w:t xml:space="preserve"> </w:t>
            </w:r>
            <w:r w:rsidRPr="00A00052">
              <w:rPr>
                <w:rFonts w:cs="Arial"/>
                <w:color w:val="000000"/>
                <w:sz w:val="14"/>
                <w:szCs w:val="16"/>
                <w:lang w:val="en-GB"/>
              </w:rPr>
              <w:t xml:space="preserve">— </w:t>
            </w:r>
            <w:hyperlink r:id="rId1478" w:history="1">
              <w:r w:rsidRPr="00A00052">
                <w:rPr>
                  <w:rFonts w:cs="Arial"/>
                  <w:color w:val="0000FF"/>
                  <w:sz w:val="14"/>
                  <w:szCs w:val="16"/>
                  <w:u w:val="single"/>
                  <w:lang w:val="en-GB"/>
                </w:rPr>
                <w:t>s132A</w:t>
              </w:r>
            </w:hyperlink>
            <w:r w:rsidR="00131D5A">
              <w:rPr>
                <w:rFonts w:cs="Arial"/>
                <w:color w:val="0000FF"/>
                <w:sz w:val="14"/>
                <w:szCs w:val="16"/>
                <w:u w:val="single"/>
                <w:lang w:val="en-GB"/>
              </w:rPr>
              <w:t xml:space="preserve"> </w:t>
            </w:r>
            <w:r w:rsidR="00131D5A" w:rsidRPr="00016069">
              <w:rPr>
                <w:i/>
                <w:sz w:val="14"/>
              </w:rPr>
              <w:t>Workers Rehabilitation and Compensation Act 1988</w:t>
            </w:r>
          </w:p>
        </w:tc>
      </w:tr>
      <w:tr w:rsidR="00A00052" w:rsidRPr="00A00052" w14:paraId="1240CEB1" w14:textId="77777777" w:rsidTr="00922480">
        <w:tc>
          <w:tcPr>
            <w:tcW w:w="1626" w:type="dxa"/>
            <w:shd w:val="clear" w:color="auto" w:fill="FFC9C9"/>
            <w:tcMar>
              <w:top w:w="80" w:type="dxa"/>
              <w:left w:w="80" w:type="dxa"/>
              <w:bottom w:w="80" w:type="dxa"/>
              <w:right w:w="80" w:type="dxa"/>
            </w:tcMar>
          </w:tcPr>
          <w:p w14:paraId="322E77EA"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Northern Territory</w:t>
            </w:r>
          </w:p>
        </w:tc>
        <w:tc>
          <w:tcPr>
            <w:tcW w:w="13795" w:type="dxa"/>
            <w:shd w:val="clear" w:color="auto" w:fill="FFC9C9"/>
            <w:tcMar>
              <w:top w:w="80" w:type="dxa"/>
              <w:left w:w="80" w:type="dxa"/>
              <w:bottom w:w="80" w:type="dxa"/>
              <w:right w:w="80" w:type="dxa"/>
            </w:tcMar>
          </w:tcPr>
          <w:p w14:paraId="3BBB0F25" w14:textId="4060793C" w:rsidR="00A00052" w:rsidRPr="00A00052" w:rsidRDefault="00ED1468" w:rsidP="003F5D7A">
            <w:pPr>
              <w:spacing w:after="60"/>
              <w:rPr>
                <w:rFonts w:cs="Arial"/>
                <w:color w:val="000000"/>
                <w:sz w:val="14"/>
                <w:szCs w:val="16"/>
                <w:lang w:val="en-GB"/>
              </w:rPr>
            </w:pPr>
            <w:r>
              <w:rPr>
                <w:rFonts w:cs="Arial"/>
                <w:color w:val="000000"/>
                <w:sz w:val="14"/>
                <w:szCs w:val="16"/>
                <w:lang w:val="en-GB"/>
              </w:rPr>
              <w:t xml:space="preserve">Yes, some restrictions </w:t>
            </w:r>
            <w:r w:rsidR="003F5D7A">
              <w:rPr>
                <w:rFonts w:cs="Arial"/>
                <w:color w:val="000000"/>
                <w:sz w:val="14"/>
                <w:szCs w:val="16"/>
                <w:lang w:val="en-GB"/>
              </w:rPr>
              <w:t xml:space="preserve">— </w:t>
            </w:r>
            <w:hyperlink r:id="rId1479" w:history="1">
              <w:r w:rsidRPr="00EE1D4E">
                <w:rPr>
                  <w:rStyle w:val="Hyperlink"/>
                  <w:rFonts w:cs="Arial"/>
                  <w:sz w:val="14"/>
                  <w:szCs w:val="16"/>
                  <w:lang w:val="en-GB"/>
                </w:rPr>
                <w:t>s78A</w:t>
              </w:r>
            </w:hyperlink>
            <w:r w:rsidR="00131D5A">
              <w:rPr>
                <w:rFonts w:cs="Arial"/>
                <w:color w:val="000000"/>
                <w:sz w:val="14"/>
                <w:szCs w:val="16"/>
                <w:lang w:val="en-GB"/>
              </w:rPr>
              <w:t xml:space="preserve"> </w:t>
            </w:r>
            <w:r w:rsidR="00131D5A" w:rsidRPr="00016069">
              <w:rPr>
                <w:i/>
                <w:sz w:val="14"/>
              </w:rPr>
              <w:t>Return to Work Act</w:t>
            </w:r>
          </w:p>
        </w:tc>
      </w:tr>
      <w:tr w:rsidR="00A00052" w:rsidRPr="00A00052" w14:paraId="59E78374" w14:textId="77777777" w:rsidTr="00922480">
        <w:tc>
          <w:tcPr>
            <w:tcW w:w="1626" w:type="dxa"/>
            <w:tcMar>
              <w:top w:w="80" w:type="dxa"/>
              <w:left w:w="80" w:type="dxa"/>
              <w:bottom w:w="80" w:type="dxa"/>
              <w:right w:w="80" w:type="dxa"/>
            </w:tcMar>
          </w:tcPr>
          <w:p w14:paraId="5B462461"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Australian Capital Territory</w:t>
            </w:r>
          </w:p>
        </w:tc>
        <w:tc>
          <w:tcPr>
            <w:tcW w:w="13795" w:type="dxa"/>
            <w:tcMar>
              <w:top w:w="80" w:type="dxa"/>
              <w:left w:w="80" w:type="dxa"/>
              <w:bottom w:w="80" w:type="dxa"/>
              <w:right w:w="80" w:type="dxa"/>
            </w:tcMar>
          </w:tcPr>
          <w:p w14:paraId="2CEE9367" w14:textId="2CFC1AFA"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Yes under </w:t>
            </w:r>
            <w:hyperlink r:id="rId1480" w:history="1">
              <w:r w:rsidRPr="00EE1D4E">
                <w:rPr>
                  <w:rStyle w:val="Hyperlink"/>
                  <w:rFonts w:cs="Arial"/>
                  <w:sz w:val="14"/>
                  <w:szCs w:val="16"/>
                  <w:lang w:val="en-GB"/>
                </w:rPr>
                <w:t>s137</w:t>
              </w:r>
            </w:hyperlink>
            <w:r w:rsidR="00131D5A">
              <w:rPr>
                <w:rFonts w:cs="Arial"/>
                <w:color w:val="000000"/>
                <w:sz w:val="14"/>
                <w:szCs w:val="16"/>
                <w:lang w:val="en-GB"/>
              </w:rPr>
              <w:t xml:space="preserve"> of </w:t>
            </w:r>
            <w:r w:rsidR="00131D5A" w:rsidRPr="00016069">
              <w:rPr>
                <w:i/>
                <w:sz w:val="14"/>
              </w:rPr>
              <w:t>Workers Compensation Act 1951</w:t>
            </w:r>
            <w:r w:rsidRPr="00A00052">
              <w:rPr>
                <w:rFonts w:cs="Arial"/>
                <w:color w:val="000000"/>
                <w:sz w:val="14"/>
                <w:szCs w:val="16"/>
                <w:lang w:val="en-GB"/>
              </w:rPr>
              <w:t>. Settlement may include pay out of one or more of the following:</w:t>
            </w:r>
          </w:p>
          <w:p w14:paraId="57999B0D" w14:textId="77777777" w:rsidR="00A00052" w:rsidRPr="00A00052" w:rsidRDefault="00A00052" w:rsidP="00F839DB">
            <w:pPr>
              <w:pStyle w:val="ListParagraph"/>
              <w:numPr>
                <w:ilvl w:val="0"/>
                <w:numId w:val="218"/>
              </w:numPr>
              <w:spacing w:after="60"/>
              <w:ind w:left="357" w:hanging="357"/>
              <w:contextualSpacing/>
              <w:rPr>
                <w:rFonts w:cs="Arial"/>
                <w:color w:val="000000"/>
                <w:sz w:val="14"/>
                <w:szCs w:val="16"/>
                <w:lang w:val="en-GB"/>
              </w:rPr>
            </w:pPr>
            <w:r w:rsidRPr="00A00052">
              <w:rPr>
                <w:rFonts w:cs="Arial"/>
                <w:color w:val="000000"/>
                <w:sz w:val="14"/>
                <w:szCs w:val="16"/>
                <w:lang w:val="en-GB"/>
              </w:rPr>
              <w:t>weekly incapacity benefits</w:t>
            </w:r>
          </w:p>
          <w:p w14:paraId="3ADE2A40" w14:textId="77777777" w:rsidR="00A00052" w:rsidRPr="00A00052" w:rsidRDefault="00A00052" w:rsidP="00F839DB">
            <w:pPr>
              <w:pStyle w:val="ListParagraph"/>
              <w:numPr>
                <w:ilvl w:val="0"/>
                <w:numId w:val="218"/>
              </w:numPr>
              <w:spacing w:after="60"/>
              <w:ind w:left="357" w:hanging="357"/>
              <w:contextualSpacing/>
              <w:rPr>
                <w:rFonts w:cs="Arial"/>
                <w:color w:val="000000"/>
                <w:sz w:val="14"/>
                <w:szCs w:val="16"/>
                <w:lang w:val="en-GB"/>
              </w:rPr>
            </w:pPr>
            <w:r w:rsidRPr="00A00052">
              <w:rPr>
                <w:rFonts w:cs="Arial"/>
                <w:color w:val="000000"/>
                <w:sz w:val="14"/>
                <w:szCs w:val="16"/>
                <w:lang w:val="en-GB"/>
              </w:rPr>
              <w:t>lump sum compensation for permanent injuries</w:t>
            </w:r>
          </w:p>
          <w:p w14:paraId="78079BA2" w14:textId="77777777" w:rsidR="00A00052" w:rsidRPr="00A00052" w:rsidRDefault="00A00052" w:rsidP="00F839DB">
            <w:pPr>
              <w:pStyle w:val="ListParagraph"/>
              <w:numPr>
                <w:ilvl w:val="0"/>
                <w:numId w:val="218"/>
              </w:numPr>
              <w:spacing w:after="60"/>
              <w:ind w:left="357" w:hanging="357"/>
              <w:contextualSpacing/>
              <w:rPr>
                <w:rFonts w:cs="Arial"/>
                <w:color w:val="000000"/>
                <w:sz w:val="14"/>
                <w:szCs w:val="16"/>
                <w:lang w:val="en-GB"/>
              </w:rPr>
            </w:pPr>
            <w:r w:rsidRPr="00A00052">
              <w:rPr>
                <w:rFonts w:cs="Arial"/>
                <w:color w:val="000000"/>
                <w:sz w:val="14"/>
                <w:szCs w:val="16"/>
                <w:lang w:val="en-GB"/>
              </w:rPr>
              <w:t>medical treatment, damage and other costs under pt 4.5 of the Act, or</w:t>
            </w:r>
          </w:p>
          <w:p w14:paraId="56EA9381" w14:textId="77777777" w:rsidR="00A00052" w:rsidRPr="00A00052" w:rsidRDefault="00A00052" w:rsidP="00F839DB">
            <w:pPr>
              <w:pStyle w:val="ListParagraph"/>
              <w:numPr>
                <w:ilvl w:val="0"/>
                <w:numId w:val="218"/>
              </w:numPr>
              <w:spacing w:after="60"/>
              <w:rPr>
                <w:rFonts w:cs="Arial"/>
                <w:color w:val="000000"/>
                <w:sz w:val="14"/>
                <w:szCs w:val="16"/>
                <w:lang w:val="en-GB"/>
              </w:rPr>
            </w:pPr>
            <w:r w:rsidRPr="00A00052">
              <w:rPr>
                <w:rFonts w:cs="Arial"/>
                <w:color w:val="000000"/>
                <w:sz w:val="14"/>
                <w:szCs w:val="16"/>
                <w:lang w:val="en-GB"/>
              </w:rPr>
              <w:t>any other amount — s137(2)</w:t>
            </w:r>
          </w:p>
          <w:p w14:paraId="0029AD3C" w14:textId="762FD5AF"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A payout of weekly compensation may not be assigned, charged or attached, pass to anyone else by operation of the law or have a claim offset</w:t>
            </w:r>
            <w:r w:rsidR="00ED1468">
              <w:rPr>
                <w:rFonts w:cs="Arial"/>
                <w:color w:val="000000"/>
                <w:sz w:val="14"/>
                <w:szCs w:val="16"/>
                <w:lang w:val="en-GB"/>
              </w:rPr>
              <w:t xml:space="preserve"> against it — </w:t>
            </w:r>
            <w:hyperlink r:id="rId1481" w:history="1">
              <w:r w:rsidR="00ED1468" w:rsidRPr="00EE1D4E">
                <w:rPr>
                  <w:rStyle w:val="Hyperlink"/>
                  <w:rFonts w:cs="Arial"/>
                  <w:sz w:val="14"/>
                  <w:szCs w:val="16"/>
                  <w:lang w:val="en-GB"/>
                </w:rPr>
                <w:t>s138</w:t>
              </w:r>
            </w:hyperlink>
          </w:p>
        </w:tc>
      </w:tr>
      <w:tr w:rsidR="00A00052" w:rsidRPr="00A00052" w14:paraId="117303B0" w14:textId="77777777" w:rsidTr="00922480">
        <w:tc>
          <w:tcPr>
            <w:tcW w:w="1626" w:type="dxa"/>
            <w:shd w:val="clear" w:color="auto" w:fill="FFC9C9"/>
            <w:tcMar>
              <w:top w:w="80" w:type="dxa"/>
              <w:left w:w="80" w:type="dxa"/>
              <w:bottom w:w="80" w:type="dxa"/>
              <w:right w:w="80" w:type="dxa"/>
            </w:tcMar>
          </w:tcPr>
          <w:p w14:paraId="21AADCE0"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C’wealth Comcare</w:t>
            </w:r>
          </w:p>
        </w:tc>
        <w:tc>
          <w:tcPr>
            <w:tcW w:w="13795" w:type="dxa"/>
            <w:shd w:val="clear" w:color="auto" w:fill="FFC9C9"/>
            <w:tcMar>
              <w:top w:w="80" w:type="dxa"/>
              <w:left w:w="80" w:type="dxa"/>
              <w:bottom w:w="80" w:type="dxa"/>
              <w:right w:w="80" w:type="dxa"/>
            </w:tcMar>
          </w:tcPr>
          <w:p w14:paraId="32E8362C" w14:textId="0BD43591"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Yes, some restrictions — </w:t>
            </w:r>
            <w:hyperlink r:id="rId1482" w:history="1">
              <w:r w:rsidRPr="00EE1D4E">
                <w:rPr>
                  <w:rStyle w:val="Hyperlink"/>
                  <w:rFonts w:cs="Arial"/>
                  <w:sz w:val="14"/>
                  <w:szCs w:val="16"/>
                  <w:lang w:val="en-GB"/>
                </w:rPr>
                <w:t>s30</w:t>
              </w:r>
            </w:hyperlink>
            <w:r w:rsidR="00131D5A">
              <w:rPr>
                <w:rFonts w:cs="Arial"/>
                <w:color w:val="000000"/>
                <w:sz w:val="14"/>
                <w:szCs w:val="16"/>
                <w:lang w:val="en-GB"/>
              </w:rPr>
              <w:t xml:space="preserve"> </w:t>
            </w:r>
            <w:r w:rsidR="00131D5A" w:rsidRPr="00016069">
              <w:rPr>
                <w:i/>
                <w:sz w:val="14"/>
              </w:rPr>
              <w:t>Safety, Rehabilitation and Compensation Act 1988</w:t>
            </w:r>
          </w:p>
        </w:tc>
      </w:tr>
      <w:tr w:rsidR="00A00052" w:rsidRPr="00A00052" w14:paraId="6A67A1DF" w14:textId="77777777" w:rsidTr="00922480">
        <w:tc>
          <w:tcPr>
            <w:tcW w:w="1626" w:type="dxa"/>
            <w:tcMar>
              <w:top w:w="80" w:type="dxa"/>
              <w:left w:w="80" w:type="dxa"/>
              <w:bottom w:w="80" w:type="dxa"/>
              <w:right w:w="80" w:type="dxa"/>
            </w:tcMar>
          </w:tcPr>
          <w:p w14:paraId="04613847"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C’wealth Seacare</w:t>
            </w:r>
          </w:p>
        </w:tc>
        <w:tc>
          <w:tcPr>
            <w:tcW w:w="13795" w:type="dxa"/>
            <w:tcMar>
              <w:top w:w="80" w:type="dxa"/>
              <w:left w:w="80" w:type="dxa"/>
              <w:bottom w:w="80" w:type="dxa"/>
              <w:right w:w="80" w:type="dxa"/>
            </w:tcMar>
          </w:tcPr>
          <w:p w14:paraId="20B8BE42" w14:textId="53F9A412"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Yes, some restrictions — </w:t>
            </w:r>
            <w:hyperlink r:id="rId1483" w:history="1">
              <w:r w:rsidRPr="00EE1D4E">
                <w:rPr>
                  <w:rStyle w:val="Hyperlink"/>
                  <w:rFonts w:cs="Arial"/>
                  <w:sz w:val="14"/>
                  <w:szCs w:val="16"/>
                  <w:lang w:val="en-GB"/>
                </w:rPr>
                <w:t>s44</w:t>
              </w:r>
            </w:hyperlink>
            <w:r w:rsidR="00131D5A">
              <w:rPr>
                <w:rFonts w:cs="Arial"/>
                <w:color w:val="000000"/>
                <w:sz w:val="14"/>
                <w:szCs w:val="16"/>
                <w:lang w:val="en-GB"/>
              </w:rPr>
              <w:t xml:space="preserve"> </w:t>
            </w:r>
            <w:r w:rsidR="00131D5A" w:rsidRPr="00016069">
              <w:rPr>
                <w:i/>
                <w:sz w:val="14"/>
              </w:rPr>
              <w:t>Seafarers Rehabilitation and Compensation Act 1992</w:t>
            </w:r>
          </w:p>
        </w:tc>
      </w:tr>
      <w:tr w:rsidR="00A00052" w:rsidRPr="00A00052" w14:paraId="56686AD4" w14:textId="77777777" w:rsidTr="00922480">
        <w:tc>
          <w:tcPr>
            <w:tcW w:w="1626" w:type="dxa"/>
            <w:shd w:val="clear" w:color="auto" w:fill="FFC9C9"/>
            <w:tcMar>
              <w:top w:w="80" w:type="dxa"/>
              <w:left w:w="80" w:type="dxa"/>
              <w:bottom w:w="80" w:type="dxa"/>
              <w:right w:w="80" w:type="dxa"/>
            </w:tcMar>
          </w:tcPr>
          <w:p w14:paraId="24B9D52F"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C’wealth DVA</w:t>
            </w:r>
          </w:p>
        </w:tc>
        <w:tc>
          <w:tcPr>
            <w:tcW w:w="13795" w:type="dxa"/>
            <w:shd w:val="clear" w:color="auto" w:fill="FFC9C9"/>
            <w:tcMar>
              <w:top w:w="80" w:type="dxa"/>
              <w:left w:w="80" w:type="dxa"/>
              <w:bottom w:w="80" w:type="dxa"/>
              <w:right w:w="80" w:type="dxa"/>
            </w:tcMar>
          </w:tcPr>
          <w:p w14:paraId="429C93DF" w14:textId="3B89C153" w:rsidR="00A00052" w:rsidRDefault="00131D5A" w:rsidP="00292A53">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116544">
              <w:rPr>
                <w:rFonts w:cs="Arial"/>
                <w:color w:val="000000"/>
                <w:sz w:val="14"/>
                <w:szCs w:val="16"/>
                <w:lang w:val="en-GB"/>
              </w:rPr>
              <w:t>MRCA</w:t>
            </w:r>
            <w:r>
              <w:rPr>
                <w:rFonts w:cs="Arial"/>
                <w:color w:val="000000"/>
                <w:sz w:val="14"/>
                <w:szCs w:val="16"/>
                <w:lang w:val="en-GB"/>
              </w:rPr>
              <w:t>)</w:t>
            </w:r>
            <w:r w:rsidR="00116544">
              <w:rPr>
                <w:rFonts w:cs="Arial"/>
                <w:color w:val="000000"/>
                <w:sz w:val="14"/>
                <w:szCs w:val="16"/>
                <w:lang w:val="en-GB"/>
              </w:rPr>
              <w:t xml:space="preserve"> — </w:t>
            </w:r>
            <w:r w:rsidR="00A00052" w:rsidRPr="00A00052">
              <w:rPr>
                <w:rFonts w:cs="Arial"/>
                <w:color w:val="000000"/>
                <w:sz w:val="14"/>
                <w:szCs w:val="16"/>
                <w:lang w:val="en-GB"/>
              </w:rPr>
              <w:t xml:space="preserve">Yes, some restrictions — </w:t>
            </w:r>
            <w:hyperlink r:id="rId1484" w:history="1">
              <w:r w:rsidR="00A00052" w:rsidRPr="00EE1D4E">
                <w:rPr>
                  <w:rStyle w:val="Hyperlink"/>
                  <w:rFonts w:cs="Arial"/>
                  <w:sz w:val="14"/>
                  <w:szCs w:val="16"/>
                  <w:lang w:val="en-GB"/>
                </w:rPr>
                <w:t>s138</w:t>
              </w:r>
            </w:hyperlink>
          </w:p>
          <w:p w14:paraId="08343881" w14:textId="28D3E9B7" w:rsidR="00116544" w:rsidRPr="00A00052" w:rsidRDefault="00131D5A" w:rsidP="00292A53">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116544">
              <w:rPr>
                <w:rFonts w:cs="Arial"/>
                <w:color w:val="000000"/>
                <w:sz w:val="14"/>
                <w:szCs w:val="16"/>
                <w:lang w:val="en-GB"/>
              </w:rPr>
              <w:t>DRCA</w:t>
            </w:r>
            <w:r>
              <w:rPr>
                <w:rFonts w:cs="Arial"/>
                <w:color w:val="000000"/>
                <w:sz w:val="14"/>
                <w:szCs w:val="16"/>
                <w:lang w:val="en-GB"/>
              </w:rPr>
              <w:t>)</w:t>
            </w:r>
            <w:r w:rsidR="00116544">
              <w:rPr>
                <w:rFonts w:cs="Arial"/>
                <w:color w:val="000000"/>
                <w:sz w:val="14"/>
                <w:szCs w:val="16"/>
                <w:lang w:val="en-GB"/>
              </w:rPr>
              <w:t xml:space="preserve"> </w:t>
            </w:r>
            <w:r w:rsidR="00815E42">
              <w:rPr>
                <w:rFonts w:cs="Arial"/>
                <w:color w:val="000000"/>
                <w:sz w:val="14"/>
                <w:szCs w:val="16"/>
                <w:lang w:val="en-GB"/>
              </w:rPr>
              <w:t xml:space="preserve">— Yes, some restrictions — </w:t>
            </w:r>
            <w:hyperlink r:id="rId1485" w:history="1">
              <w:r w:rsidR="00815E42" w:rsidRPr="00EE1D4E">
                <w:rPr>
                  <w:rStyle w:val="Hyperlink"/>
                  <w:rFonts w:cs="Arial"/>
                  <w:sz w:val="14"/>
                  <w:szCs w:val="16"/>
                  <w:lang w:val="en-GB"/>
                </w:rPr>
                <w:t>s30</w:t>
              </w:r>
            </w:hyperlink>
          </w:p>
        </w:tc>
      </w:tr>
      <w:tr w:rsidR="00A00052" w:rsidRPr="00A00052" w14:paraId="5AEBF1C3" w14:textId="77777777" w:rsidTr="00922480">
        <w:tc>
          <w:tcPr>
            <w:tcW w:w="1626" w:type="dxa"/>
            <w:tcMar>
              <w:top w:w="80" w:type="dxa"/>
              <w:left w:w="80" w:type="dxa"/>
              <w:bottom w:w="80" w:type="dxa"/>
              <w:right w:w="80" w:type="dxa"/>
            </w:tcMar>
          </w:tcPr>
          <w:p w14:paraId="7ED7292B" w14:textId="63E49945"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New Zealand</w:t>
            </w:r>
          </w:p>
        </w:tc>
        <w:tc>
          <w:tcPr>
            <w:tcW w:w="13795" w:type="dxa"/>
            <w:tcMar>
              <w:top w:w="80" w:type="dxa"/>
              <w:left w:w="80" w:type="dxa"/>
              <w:bottom w:w="80" w:type="dxa"/>
              <w:right w:w="80" w:type="dxa"/>
            </w:tcMar>
          </w:tcPr>
          <w:p w14:paraId="1F5354E1" w14:textId="51E3DC1B"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Yes</w:t>
            </w:r>
            <w:r w:rsidR="00EE1D4E">
              <w:rPr>
                <w:rFonts w:cs="Arial"/>
                <w:color w:val="000000"/>
                <w:sz w:val="14"/>
                <w:szCs w:val="16"/>
                <w:lang w:val="en-GB"/>
              </w:rPr>
              <w:t xml:space="preserve">, </w:t>
            </w:r>
            <w:r w:rsidR="00EE1D4E" w:rsidRPr="00016069">
              <w:rPr>
                <w:i/>
                <w:sz w:val="14"/>
              </w:rPr>
              <w:t>Accident Compensation Act 2001</w:t>
            </w:r>
          </w:p>
        </w:tc>
      </w:tr>
    </w:tbl>
    <w:p w14:paraId="28A69E42" w14:textId="77777777" w:rsidR="00C66972" w:rsidRPr="00C66972" w:rsidRDefault="00C66972" w:rsidP="00C66972">
      <w:pPr>
        <w:spacing w:after="200" w:line="276" w:lineRule="auto"/>
        <w:rPr>
          <w:rFonts w:eastAsiaTheme="minorHAnsi"/>
        </w:rPr>
      </w:pPr>
    </w:p>
    <w:p w14:paraId="1B120A58"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340" w:gutter="0"/>
          <w:cols w:space="708"/>
          <w:docGrid w:linePitch="360"/>
        </w:sectPr>
      </w:pPr>
    </w:p>
    <w:p w14:paraId="60C08315" w14:textId="5FA90B20" w:rsidR="00C709C9" w:rsidRDefault="00C709C9" w:rsidP="00C709C9">
      <w:pPr>
        <w:pStyle w:val="SWASectiontitle"/>
      </w:pPr>
      <w:bookmarkStart w:id="151" w:name="_Toc487701369"/>
      <w:bookmarkStart w:id="152" w:name="_Toc483227185"/>
      <w:bookmarkStart w:id="153" w:name="_Toc487812939"/>
      <w:bookmarkStart w:id="154" w:name="_Toc504654685"/>
      <w:r>
        <w:rPr>
          <w:noProof/>
        </w:rPr>
        <w:lastRenderedPageBreak/>
        <w:drawing>
          <wp:anchor distT="0" distB="0" distL="114300" distR="114300" simplePos="0" relativeHeight="251661824" behindDoc="1" locked="0" layoutInCell="1" allowOverlap="1" wp14:anchorId="7684DBBF" wp14:editId="08BD36BA">
            <wp:simplePos x="0" y="0"/>
            <wp:positionH relativeFrom="column">
              <wp:posOffset>-917934</wp:posOffset>
            </wp:positionH>
            <wp:positionV relativeFrom="paragraph">
              <wp:posOffset>-973869</wp:posOffset>
            </wp:positionV>
            <wp:extent cx="7600950" cy="10732135"/>
            <wp:effectExtent l="0" t="0" r="0" b="0"/>
            <wp:wrapNone/>
            <wp:docPr id="19" name="Picture 19"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8C">
        <w:t>Chapter 5:</w:t>
      </w:r>
      <w:r w:rsidR="00246D8C">
        <w:br/>
      </w:r>
      <w:r w:rsidRPr="00153D3F">
        <w:t>Return to work</w:t>
      </w:r>
      <w:bookmarkEnd w:id="151"/>
      <w:bookmarkEnd w:id="152"/>
      <w:bookmarkEnd w:id="153"/>
      <w:bookmarkEnd w:id="154"/>
      <w:r w:rsidRPr="00153D3F">
        <w:t xml:space="preserve"> </w:t>
      </w:r>
    </w:p>
    <w:p w14:paraId="1E238692" w14:textId="05101976" w:rsidR="00A00052" w:rsidRDefault="00C66972" w:rsidP="0054021C">
      <w:pPr>
        <w:spacing w:after="200" w:line="276" w:lineRule="auto"/>
      </w:pPr>
      <w:r w:rsidRPr="00C66972">
        <w:rPr>
          <w:rFonts w:eastAsiaTheme="minorHAnsi"/>
        </w:rPr>
        <w:br w:type="page"/>
      </w:r>
    </w:p>
    <w:p w14:paraId="0AB72B7E" w14:textId="300C36F3" w:rsidR="00BB3C4A" w:rsidRPr="00BB3C4A" w:rsidRDefault="00BB3C4A" w:rsidP="00A80282">
      <w:pPr>
        <w:pStyle w:val="Title"/>
      </w:pPr>
      <w:bookmarkStart w:id="155" w:name="_Toc504654686"/>
      <w:bookmarkStart w:id="156" w:name="return"/>
      <w:r w:rsidRPr="00BB3C4A">
        <w:lastRenderedPageBreak/>
        <w:t>Return to work</w:t>
      </w:r>
      <w:bookmarkEnd w:id="155"/>
      <w:r w:rsidRPr="00BB3C4A">
        <w:t xml:space="preserve"> </w:t>
      </w:r>
    </w:p>
    <w:p w14:paraId="53EE5625" w14:textId="77777777" w:rsidR="00B072A5" w:rsidRPr="00B072A5" w:rsidRDefault="00B072A5" w:rsidP="00AD1A0C">
      <w:pPr>
        <w:rPr>
          <w:rFonts w:eastAsiaTheme="minorHAnsi"/>
        </w:rPr>
      </w:pPr>
      <w:r w:rsidRPr="00B072A5">
        <w:rPr>
          <w:rFonts w:eastAsiaTheme="minorHAnsi"/>
        </w:rPr>
        <w:t>Return to work refers to assisting injured workers in staying at or getting back to work. The aim of the return to work/rehabilitation provisions in legislation is to provide for the safe and durable return to work of the injured worker as early as possible with regard to the worker’s injury.</w:t>
      </w:r>
    </w:p>
    <w:p w14:paraId="782E2B59" w14:textId="5D22A130" w:rsidR="00BB3C4A" w:rsidRDefault="00B072A5" w:rsidP="00BB3C4A">
      <w:pPr>
        <w:spacing w:before="240"/>
        <w:rPr>
          <w:rFonts w:eastAsiaTheme="minorHAnsi"/>
        </w:rPr>
      </w:pPr>
      <w:r w:rsidRPr="00B072A5">
        <w:rPr>
          <w:rFonts w:eastAsiaTheme="minorHAnsi"/>
        </w:rPr>
        <w:t>The return to work of an injured worker involves the employer and the injured worker</w:t>
      </w:r>
      <w:r w:rsidR="002F1F9A">
        <w:rPr>
          <w:rFonts w:eastAsiaTheme="minorHAnsi"/>
        </w:rPr>
        <w:t>. D</w:t>
      </w:r>
      <w:r w:rsidRPr="00B072A5">
        <w:rPr>
          <w:rFonts w:eastAsiaTheme="minorHAnsi"/>
        </w:rPr>
        <w:t>epending on the legislation in each jurisdiction</w:t>
      </w:r>
      <w:r w:rsidR="00CC7EF4">
        <w:rPr>
          <w:rFonts w:eastAsiaTheme="minorHAnsi"/>
        </w:rPr>
        <w:t xml:space="preserve">, </w:t>
      </w:r>
      <w:r w:rsidR="00CC7EF4" w:rsidRPr="00B072A5">
        <w:rPr>
          <w:rFonts w:eastAsiaTheme="minorHAnsi"/>
        </w:rPr>
        <w:t>and</w:t>
      </w:r>
      <w:r w:rsidRPr="00B072A5">
        <w:rPr>
          <w:rFonts w:eastAsiaTheme="minorHAnsi"/>
        </w:rPr>
        <w:t xml:space="preserve"> the severity of the injury</w:t>
      </w:r>
      <w:r w:rsidR="002F1F9A">
        <w:rPr>
          <w:rFonts w:eastAsiaTheme="minorHAnsi"/>
        </w:rPr>
        <w:t xml:space="preserve">, it </w:t>
      </w:r>
      <w:r w:rsidRPr="00B072A5">
        <w:rPr>
          <w:rFonts w:eastAsiaTheme="minorHAnsi"/>
        </w:rPr>
        <w:t>may also involve workplace rehabilitation coordinators</w:t>
      </w:r>
      <w:r w:rsidR="00870A7B">
        <w:rPr>
          <w:rFonts w:eastAsiaTheme="minorHAnsi"/>
        </w:rPr>
        <w:t xml:space="preserve">, </w:t>
      </w:r>
      <w:r w:rsidRPr="00B072A5">
        <w:rPr>
          <w:rFonts w:eastAsiaTheme="minorHAnsi"/>
        </w:rPr>
        <w:t>workplace rehabilitation providers, medical and other health professionals</w:t>
      </w:r>
      <w:r w:rsidR="002F1F9A">
        <w:rPr>
          <w:rFonts w:eastAsiaTheme="minorHAnsi"/>
        </w:rPr>
        <w:t>,</w:t>
      </w:r>
      <w:r w:rsidRPr="00B072A5">
        <w:rPr>
          <w:rFonts w:eastAsiaTheme="minorHAnsi"/>
        </w:rPr>
        <w:t xml:space="preserve"> and the insurer.</w:t>
      </w:r>
      <w:r w:rsidR="00D678FD">
        <w:rPr>
          <w:rFonts w:eastAsiaTheme="minorHAnsi"/>
        </w:rPr>
        <w:t xml:space="preserve"> </w:t>
      </w:r>
    </w:p>
    <w:p w14:paraId="62297EBC" w14:textId="1E41EE58" w:rsidR="006A50D4" w:rsidRDefault="00B072A5" w:rsidP="00BB3C4A">
      <w:pPr>
        <w:spacing w:before="240"/>
        <w:rPr>
          <w:rFonts w:eastAsiaTheme="minorHAnsi"/>
        </w:rPr>
      </w:pPr>
      <w:r w:rsidRPr="00B072A5">
        <w:rPr>
          <w:rFonts w:eastAsiaTheme="minorHAnsi"/>
        </w:rPr>
        <w:t xml:space="preserve">Some workers’ compensation authorities operate injured worker placement incentive schemes to encourage employers to employ workers who have had an injury and are not able to return to work with their pre-injury employer. </w:t>
      </w:r>
    </w:p>
    <w:p w14:paraId="4834B857" w14:textId="77777777" w:rsidR="006A50D4" w:rsidRDefault="00B072A5" w:rsidP="00BB3C4A">
      <w:pPr>
        <w:spacing w:before="240"/>
        <w:rPr>
          <w:rFonts w:eastAsiaTheme="minorHAnsi"/>
        </w:rPr>
      </w:pPr>
      <w:r w:rsidRPr="00B072A5">
        <w:rPr>
          <w:rFonts w:eastAsiaTheme="minorHAnsi"/>
        </w:rPr>
        <w:t>A successful return to work is usually the result of four main factors: early intervention, an effective workplace-based rehabilitation program, effective claims management and cooperation, collaboration and consultation between stakeholders.</w:t>
      </w:r>
    </w:p>
    <w:p w14:paraId="3267FF96" w14:textId="77777777" w:rsidR="006A50D4" w:rsidRDefault="00B072A5" w:rsidP="00BB3C4A">
      <w:pPr>
        <w:spacing w:before="240"/>
        <w:rPr>
          <w:rFonts w:eastAsiaTheme="minorHAnsi"/>
        </w:rPr>
      </w:pPr>
      <w:r w:rsidRPr="00B072A5">
        <w:rPr>
          <w:rFonts w:eastAsiaTheme="minorHAnsi"/>
        </w:rPr>
        <w:t>Tables contained in this sect</w:t>
      </w:r>
      <w:r w:rsidR="00D678FD">
        <w:rPr>
          <w:rFonts w:eastAsiaTheme="minorHAnsi"/>
        </w:rPr>
        <w:t>ion cover the following topics:</w:t>
      </w:r>
    </w:p>
    <w:p w14:paraId="4D46781C" w14:textId="2518AB1E" w:rsidR="006A50D4" w:rsidRPr="00A80282" w:rsidRDefault="00B072A5" w:rsidP="00A80282">
      <w:pPr>
        <w:pStyle w:val="Heading4"/>
        <w:rPr>
          <w:b w:val="0"/>
        </w:rPr>
      </w:pPr>
      <w:r w:rsidRPr="00A80282">
        <w:rPr>
          <w:b w:val="0"/>
        </w:rPr>
        <w:t>5.1</w:t>
      </w:r>
      <w:r w:rsidRPr="00A80282">
        <w:rPr>
          <w:b w:val="0"/>
        </w:rPr>
        <w:tab/>
        <w:t>Guidance material and sections of the Acts or regulations referring to r</w:t>
      </w:r>
      <w:r w:rsidR="00ED1468" w:rsidRPr="00A80282">
        <w:rPr>
          <w:b w:val="0"/>
        </w:rPr>
        <w:t>eturn to work or rehabilitation</w:t>
      </w:r>
    </w:p>
    <w:p w14:paraId="2D3FCB46" w14:textId="4F6ACE1C" w:rsidR="00B072A5" w:rsidRPr="00A80282" w:rsidRDefault="00B072A5" w:rsidP="00A80282">
      <w:pPr>
        <w:pStyle w:val="Heading4"/>
        <w:rPr>
          <w:b w:val="0"/>
        </w:rPr>
      </w:pPr>
      <w:r w:rsidRPr="00A80282">
        <w:rPr>
          <w:b w:val="0"/>
        </w:rPr>
        <w:t xml:space="preserve">5.2 </w:t>
      </w:r>
      <w:r w:rsidRPr="00A80282">
        <w:rPr>
          <w:b w:val="0"/>
        </w:rPr>
        <w:tab/>
        <w:t xml:space="preserve">Responsibilities of employers in relation to return to work: </w:t>
      </w:r>
    </w:p>
    <w:p w14:paraId="0365FBAC" w14:textId="387390DD" w:rsidR="00B072A5" w:rsidRPr="00A80282" w:rsidRDefault="00B072A5" w:rsidP="00F839DB">
      <w:pPr>
        <w:pStyle w:val="ListParagraph"/>
        <w:numPr>
          <w:ilvl w:val="1"/>
          <w:numId w:val="484"/>
        </w:numPr>
        <w:spacing w:before="120"/>
        <w:ind w:left="1434" w:hanging="357"/>
        <w:rPr>
          <w:rFonts w:eastAsiaTheme="minorHAnsi"/>
          <w:szCs w:val="24"/>
        </w:rPr>
      </w:pPr>
      <w:r w:rsidRPr="00A80282">
        <w:rPr>
          <w:rFonts w:eastAsiaTheme="minorHAnsi"/>
          <w:szCs w:val="24"/>
        </w:rPr>
        <w:t>workplace rehabilitation/return to work programs or policies</w:t>
      </w:r>
    </w:p>
    <w:p w14:paraId="7A74B4A5" w14:textId="2820F721" w:rsidR="00B072A5" w:rsidRPr="00A80282" w:rsidRDefault="00B072A5" w:rsidP="00F839DB">
      <w:pPr>
        <w:pStyle w:val="ListParagraph"/>
        <w:numPr>
          <w:ilvl w:val="1"/>
          <w:numId w:val="484"/>
        </w:numPr>
        <w:spacing w:before="120"/>
        <w:ind w:left="1434" w:hanging="357"/>
        <w:rPr>
          <w:rFonts w:eastAsiaTheme="minorHAnsi"/>
          <w:szCs w:val="24"/>
        </w:rPr>
      </w:pPr>
      <w:r w:rsidRPr="00A80282">
        <w:rPr>
          <w:rFonts w:eastAsiaTheme="minorHAnsi"/>
          <w:szCs w:val="24"/>
        </w:rPr>
        <w:t>injured worker return to work plans</w:t>
      </w:r>
    </w:p>
    <w:p w14:paraId="6A4322DD" w14:textId="3831BD82" w:rsidR="00B072A5" w:rsidRPr="00A80282" w:rsidRDefault="00B072A5" w:rsidP="00F839DB">
      <w:pPr>
        <w:pStyle w:val="ListParagraph"/>
        <w:numPr>
          <w:ilvl w:val="1"/>
          <w:numId w:val="484"/>
        </w:numPr>
        <w:spacing w:before="120"/>
        <w:ind w:left="1434" w:hanging="357"/>
        <w:rPr>
          <w:rFonts w:eastAsiaTheme="minorHAnsi"/>
          <w:szCs w:val="24"/>
        </w:rPr>
      </w:pPr>
      <w:r w:rsidRPr="00A80282">
        <w:rPr>
          <w:rFonts w:eastAsiaTheme="minorHAnsi"/>
          <w:szCs w:val="24"/>
        </w:rPr>
        <w:t>the provision of suitable duties/employment, and</w:t>
      </w:r>
    </w:p>
    <w:p w14:paraId="30FEAF44" w14:textId="77777777" w:rsidR="006A50D4" w:rsidRPr="00A80282" w:rsidRDefault="00B072A5" w:rsidP="00F839DB">
      <w:pPr>
        <w:pStyle w:val="ListParagraph"/>
        <w:numPr>
          <w:ilvl w:val="1"/>
          <w:numId w:val="484"/>
        </w:numPr>
        <w:spacing w:before="120"/>
        <w:ind w:left="1434" w:hanging="357"/>
        <w:rPr>
          <w:rFonts w:eastAsiaTheme="minorHAnsi"/>
          <w:szCs w:val="24"/>
        </w:rPr>
      </w:pPr>
      <w:r w:rsidRPr="00A80282">
        <w:rPr>
          <w:rFonts w:eastAsiaTheme="minorHAnsi"/>
          <w:szCs w:val="24"/>
        </w:rPr>
        <w:t>other requirements of employers.</w:t>
      </w:r>
    </w:p>
    <w:p w14:paraId="6C4F4460" w14:textId="6E6887BC" w:rsidR="006A50D4" w:rsidRPr="00A80282" w:rsidRDefault="00B072A5" w:rsidP="00A80282">
      <w:pPr>
        <w:pStyle w:val="Heading4"/>
        <w:rPr>
          <w:b w:val="0"/>
        </w:rPr>
      </w:pPr>
      <w:r w:rsidRPr="00A80282">
        <w:rPr>
          <w:b w:val="0"/>
        </w:rPr>
        <w:t>5.3</w:t>
      </w:r>
      <w:r w:rsidRPr="00A80282">
        <w:rPr>
          <w:b w:val="0"/>
        </w:rPr>
        <w:tab/>
        <w:t>Responsibilities of worker</w:t>
      </w:r>
      <w:r w:rsidR="00ED1468" w:rsidRPr="00A80282">
        <w:rPr>
          <w:b w:val="0"/>
        </w:rPr>
        <w:t>s in relation to return to work</w:t>
      </w:r>
    </w:p>
    <w:p w14:paraId="4DE08623" w14:textId="2A2EDD1D" w:rsidR="006A50D4" w:rsidRPr="00A80282" w:rsidRDefault="00B072A5" w:rsidP="00A80282">
      <w:pPr>
        <w:pStyle w:val="Heading4"/>
        <w:rPr>
          <w:b w:val="0"/>
        </w:rPr>
      </w:pPr>
      <w:r w:rsidRPr="00A80282">
        <w:rPr>
          <w:b w:val="0"/>
        </w:rPr>
        <w:t>5.4</w:t>
      </w:r>
      <w:r w:rsidRPr="00A80282">
        <w:rPr>
          <w:b w:val="0"/>
        </w:rPr>
        <w:tab/>
        <w:t>Injured worker placements incentive schemes operated by jurisdictional wo</w:t>
      </w:r>
      <w:r w:rsidR="00ED1468" w:rsidRPr="00A80282">
        <w:rPr>
          <w:b w:val="0"/>
        </w:rPr>
        <w:t>rkers’ compensation authorities</w:t>
      </w:r>
    </w:p>
    <w:p w14:paraId="01BB6FED" w14:textId="166D9E10" w:rsidR="006A50D4" w:rsidRPr="00A80282" w:rsidRDefault="00B072A5" w:rsidP="00A80282">
      <w:pPr>
        <w:pStyle w:val="Heading4"/>
        <w:rPr>
          <w:b w:val="0"/>
        </w:rPr>
      </w:pPr>
      <w:r w:rsidRPr="00A80282">
        <w:rPr>
          <w:b w:val="0"/>
        </w:rPr>
        <w:t>5.5</w:t>
      </w:r>
      <w:r w:rsidRPr="00A80282">
        <w:rPr>
          <w:b w:val="0"/>
        </w:rPr>
        <w:tab/>
        <w:t>Responsibilities of the workers’ compe</w:t>
      </w:r>
      <w:r w:rsidR="00ED1468" w:rsidRPr="00A80282">
        <w:rPr>
          <w:b w:val="0"/>
        </w:rPr>
        <w:t>nsation authorities or insurers</w:t>
      </w:r>
    </w:p>
    <w:p w14:paraId="32FF0ECB" w14:textId="190F6AE9" w:rsidR="006A50D4" w:rsidRPr="00A80282" w:rsidRDefault="00B072A5" w:rsidP="00A80282">
      <w:pPr>
        <w:pStyle w:val="Heading4"/>
        <w:rPr>
          <w:b w:val="0"/>
        </w:rPr>
      </w:pPr>
      <w:r w:rsidRPr="00A80282">
        <w:rPr>
          <w:b w:val="0"/>
        </w:rPr>
        <w:t>5.6</w:t>
      </w:r>
      <w:r w:rsidRPr="00A80282">
        <w:rPr>
          <w:b w:val="0"/>
        </w:rPr>
        <w:tab/>
        <w:t>Functions and training of workpl</w:t>
      </w:r>
      <w:r w:rsidR="00ED1468" w:rsidRPr="00A80282">
        <w:rPr>
          <w:b w:val="0"/>
        </w:rPr>
        <w:t>ace rehabilitation coordinators</w:t>
      </w:r>
    </w:p>
    <w:p w14:paraId="14FFD968" w14:textId="6892E207" w:rsidR="00B072A5" w:rsidRPr="00A80282" w:rsidRDefault="00B072A5" w:rsidP="00A80282">
      <w:pPr>
        <w:pStyle w:val="Heading4"/>
        <w:rPr>
          <w:b w:val="0"/>
        </w:rPr>
      </w:pPr>
      <w:r w:rsidRPr="00A80282">
        <w:rPr>
          <w:b w:val="0"/>
        </w:rPr>
        <w:t>5.7</w:t>
      </w:r>
      <w:r w:rsidRPr="00A80282">
        <w:rPr>
          <w:b w:val="0"/>
        </w:rPr>
        <w:tab/>
        <w:t>Workplace rehabilitation providers:</w:t>
      </w:r>
    </w:p>
    <w:p w14:paraId="36441FE8" w14:textId="6E4FF205" w:rsidR="00B072A5" w:rsidRPr="00A80282" w:rsidRDefault="00922480" w:rsidP="00F839DB">
      <w:pPr>
        <w:pStyle w:val="ListParagraph"/>
        <w:numPr>
          <w:ilvl w:val="1"/>
          <w:numId w:val="484"/>
        </w:numPr>
        <w:spacing w:before="120"/>
        <w:ind w:left="1434" w:hanging="357"/>
        <w:rPr>
          <w:rFonts w:eastAsiaTheme="minorHAnsi"/>
          <w:szCs w:val="24"/>
        </w:rPr>
      </w:pPr>
      <w:r w:rsidRPr="00A80282">
        <w:rPr>
          <w:rFonts w:eastAsiaTheme="minorHAnsi"/>
          <w:szCs w:val="24"/>
        </w:rPr>
        <w:t>responsibilities, and</w:t>
      </w:r>
    </w:p>
    <w:p w14:paraId="6E88D8CD" w14:textId="0D130079" w:rsidR="00B072A5" w:rsidRPr="00A80282" w:rsidRDefault="00B072A5" w:rsidP="00F839DB">
      <w:pPr>
        <w:pStyle w:val="ListParagraph"/>
        <w:numPr>
          <w:ilvl w:val="1"/>
          <w:numId w:val="484"/>
        </w:numPr>
        <w:spacing w:before="120"/>
        <w:ind w:left="1434" w:hanging="357"/>
        <w:rPr>
          <w:rFonts w:eastAsiaTheme="minorHAnsi"/>
          <w:szCs w:val="24"/>
        </w:rPr>
      </w:pPr>
      <w:r w:rsidRPr="00A80282">
        <w:rPr>
          <w:rFonts w:eastAsiaTheme="minorHAnsi"/>
          <w:szCs w:val="24"/>
        </w:rPr>
        <w:t>qualifications and fee structure</w:t>
      </w:r>
      <w:r w:rsidR="002F1F9A" w:rsidRPr="00A80282">
        <w:rPr>
          <w:rFonts w:eastAsiaTheme="minorHAnsi"/>
          <w:szCs w:val="24"/>
        </w:rPr>
        <w:t>.</w:t>
      </w:r>
    </w:p>
    <w:p w14:paraId="12F2224B" w14:textId="45C14D30" w:rsidR="00C66972" w:rsidRPr="00BB3C4A" w:rsidRDefault="00C66972" w:rsidP="00BB3C4A">
      <w:pPr>
        <w:pStyle w:val="ListParagraph"/>
        <w:spacing w:before="120"/>
        <w:ind w:left="1434"/>
        <w:rPr>
          <w:rFonts w:eastAsiaTheme="minorHAnsi"/>
          <w:szCs w:val="24"/>
        </w:rPr>
        <w:sectPr w:rsidR="00C66972" w:rsidRPr="00BB3C4A" w:rsidSect="00BE34AA">
          <w:pgSz w:w="11906" w:h="16838"/>
          <w:pgMar w:top="1440" w:right="1440" w:bottom="1440" w:left="1440" w:header="709" w:footer="709" w:gutter="0"/>
          <w:cols w:space="708"/>
          <w:docGrid w:linePitch="360"/>
        </w:sectPr>
      </w:pPr>
    </w:p>
    <w:p w14:paraId="6E1A476C" w14:textId="6372171B" w:rsidR="00C65744" w:rsidRPr="00A80282" w:rsidRDefault="00C65744" w:rsidP="00A80282">
      <w:pPr>
        <w:pStyle w:val="SWATableheader"/>
      </w:pPr>
      <w:bookmarkStart w:id="157" w:name="_Toc504654687"/>
      <w:bookmarkStart w:id="158" w:name="guidance"/>
      <w:r w:rsidRPr="00A80282">
        <w:rPr>
          <w:rStyle w:val="SWATableheaderChar"/>
          <w:b/>
        </w:rPr>
        <w:lastRenderedPageBreak/>
        <w:t>Table 5.1: Sections of workers’ compensation Acts and guidance material relating to return to work</w:t>
      </w:r>
      <w:bookmarkEnd w:id="157"/>
      <w:r w:rsidRPr="00A80282">
        <w:t xml:space="preserve"> </w:t>
      </w:r>
      <w:r w:rsidR="00D069A1" w:rsidRPr="00A80282">
        <w:fldChar w:fldCharType="begin"/>
      </w:r>
      <w:r w:rsidR="00D069A1" w:rsidRPr="00A80282">
        <w:instrText xml:space="preserve"> XE "guidance material for return to work" \r "guidance" </w:instrText>
      </w:r>
      <w:r w:rsidR="00D069A1" w:rsidRPr="00A80282">
        <w:fldChar w:fldCharType="end"/>
      </w:r>
      <w:r w:rsidR="00306D40" w:rsidRPr="00A80282">
        <w:fldChar w:fldCharType="begin"/>
      </w:r>
      <w:r w:rsidR="00306D40" w:rsidRPr="00A80282">
        <w:instrText xml:space="preserve"> XE "legislation:sections of Acts and guidance material" \r "guidance" </w:instrText>
      </w:r>
      <w:r w:rsidR="00306D40"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1: Sections of workers’ compensation Acts and guidance material relating to return to work  "/>
        <w:tblDescription w:val="This table outlines the sections of the Acts or regulation referring to return to work and provides the names and links to guidance material on return to work. "/>
      </w:tblPr>
      <w:tblGrid>
        <w:gridCol w:w="1343"/>
        <w:gridCol w:w="6836"/>
        <w:gridCol w:w="6836"/>
      </w:tblGrid>
      <w:tr w:rsidR="00C65744" w:rsidRPr="00C65744" w14:paraId="5C6399C7" w14:textId="77777777" w:rsidTr="00922480">
        <w:trPr>
          <w:tblHeader/>
        </w:trPr>
        <w:tc>
          <w:tcPr>
            <w:tcW w:w="1343" w:type="dxa"/>
            <w:shd w:val="clear" w:color="auto" w:fill="C00000"/>
            <w:tcMar>
              <w:top w:w="0" w:type="dxa"/>
              <w:left w:w="0" w:type="dxa"/>
              <w:bottom w:w="0" w:type="dxa"/>
              <w:right w:w="0" w:type="dxa"/>
            </w:tcMar>
            <w:vAlign w:val="center"/>
          </w:tcPr>
          <w:p w14:paraId="0132F293" w14:textId="77777777" w:rsidR="00C65744" w:rsidRPr="00C65744" w:rsidRDefault="00C65744" w:rsidP="00292A53">
            <w:pPr>
              <w:pStyle w:val="Tableheaderrow"/>
              <w:spacing w:after="60"/>
            </w:pPr>
          </w:p>
        </w:tc>
        <w:tc>
          <w:tcPr>
            <w:tcW w:w="6836" w:type="dxa"/>
            <w:shd w:val="clear" w:color="auto" w:fill="C00000"/>
            <w:tcMar>
              <w:top w:w="0" w:type="dxa"/>
              <w:left w:w="0" w:type="dxa"/>
              <w:bottom w:w="0" w:type="dxa"/>
              <w:right w:w="0" w:type="dxa"/>
            </w:tcMar>
            <w:vAlign w:val="center"/>
          </w:tcPr>
          <w:p w14:paraId="1A909A17" w14:textId="77777777" w:rsidR="00C65744" w:rsidRPr="00C65744" w:rsidRDefault="00C65744" w:rsidP="00292A53">
            <w:pPr>
              <w:pStyle w:val="Tableheaderrow"/>
              <w:spacing w:after="60"/>
            </w:pPr>
            <w:r w:rsidRPr="00C65744">
              <w:t>Sections of the Act or regulations referring to return to work</w:t>
            </w:r>
          </w:p>
        </w:tc>
        <w:tc>
          <w:tcPr>
            <w:tcW w:w="6836" w:type="dxa"/>
            <w:shd w:val="clear" w:color="auto" w:fill="C00000"/>
            <w:tcMar>
              <w:top w:w="0" w:type="dxa"/>
              <w:left w:w="0" w:type="dxa"/>
              <w:bottom w:w="0" w:type="dxa"/>
              <w:right w:w="0" w:type="dxa"/>
            </w:tcMar>
            <w:vAlign w:val="center"/>
          </w:tcPr>
          <w:p w14:paraId="38743009" w14:textId="6D9A0400" w:rsidR="00C65744" w:rsidRPr="00C65744" w:rsidRDefault="00C65744" w:rsidP="00292A53">
            <w:pPr>
              <w:pStyle w:val="Tableheaderrow"/>
              <w:spacing w:after="60"/>
            </w:pPr>
            <w:r w:rsidRPr="00C65744">
              <w:t>Names and links to guidance material</w:t>
            </w:r>
            <w:r w:rsidR="00232E14">
              <w:fldChar w:fldCharType="begin"/>
            </w:r>
            <w:r w:rsidR="00232E14">
              <w:instrText xml:space="preserve"> XE "</w:instrText>
            </w:r>
            <w:r w:rsidR="00232E14" w:rsidRPr="00854898">
              <w:instrText>return to work:guidance material</w:instrText>
            </w:r>
            <w:r w:rsidR="00232E14">
              <w:instrText xml:space="preserve">" \r "guidance" </w:instrText>
            </w:r>
            <w:r w:rsidR="00232E14">
              <w:fldChar w:fldCharType="end"/>
            </w:r>
            <w:r w:rsidRPr="00C65744">
              <w:t xml:space="preserve"> on return to work</w:t>
            </w:r>
          </w:p>
        </w:tc>
      </w:tr>
      <w:tr w:rsidR="00C65744" w:rsidRPr="00C65744" w14:paraId="07D050A7" w14:textId="77777777" w:rsidTr="00922480">
        <w:tc>
          <w:tcPr>
            <w:tcW w:w="1343" w:type="dxa"/>
            <w:shd w:val="clear" w:color="auto" w:fill="FFC9C9"/>
            <w:tcMar>
              <w:top w:w="80" w:type="dxa"/>
              <w:left w:w="80" w:type="dxa"/>
              <w:bottom w:w="80" w:type="dxa"/>
              <w:right w:w="80" w:type="dxa"/>
            </w:tcMar>
          </w:tcPr>
          <w:p w14:paraId="740F5AFB"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0C223A69" w14:textId="5B7B67C9" w:rsidR="00943FC7" w:rsidRPr="00943FC7" w:rsidRDefault="00A7538C" w:rsidP="00292A53">
            <w:pPr>
              <w:spacing w:after="60"/>
              <w:rPr>
                <w:rFonts w:cs="Arial"/>
                <w:color w:val="000000"/>
                <w:sz w:val="14"/>
                <w:szCs w:val="16"/>
                <w:lang w:val="en-GB"/>
              </w:rPr>
            </w:pPr>
            <w:hyperlink r:id="rId1486" w:history="1">
              <w:r w:rsidR="00943FC7" w:rsidRPr="00ED7D45">
                <w:rPr>
                  <w:rStyle w:val="Hyperlink"/>
                  <w:rFonts w:cs="Arial"/>
                  <w:sz w:val="14"/>
                  <w:szCs w:val="16"/>
                  <w:lang w:val="en-GB"/>
                </w:rPr>
                <w:t>Chapter 3</w:t>
              </w:r>
            </w:hyperlink>
            <w:r w:rsidR="00943FC7" w:rsidRPr="00943FC7">
              <w:rPr>
                <w:rFonts w:cs="Arial"/>
                <w:color w:val="000000"/>
                <w:sz w:val="14"/>
                <w:szCs w:val="16"/>
                <w:lang w:val="en-GB"/>
              </w:rPr>
              <w:t xml:space="preserve">, </w:t>
            </w:r>
            <w:r w:rsidR="00AA4585" w:rsidRPr="00016069">
              <w:rPr>
                <w:i/>
                <w:sz w:val="14"/>
              </w:rPr>
              <w:t>Workplace Injury Management and</w:t>
            </w:r>
            <w:r w:rsidR="00AA4585">
              <w:rPr>
                <w:i/>
                <w:sz w:val="14"/>
              </w:rPr>
              <w:t xml:space="preserve"> Workers Compensation Act 1998</w:t>
            </w:r>
          </w:p>
          <w:p w14:paraId="18277EED" w14:textId="503815F5" w:rsidR="00C65744" w:rsidRPr="00C65744" w:rsidRDefault="00943FC7" w:rsidP="00FD151D">
            <w:pPr>
              <w:spacing w:after="60"/>
              <w:rPr>
                <w:rFonts w:cs="Arial"/>
                <w:color w:val="000000"/>
                <w:sz w:val="14"/>
                <w:szCs w:val="16"/>
                <w:lang w:val="en-GB"/>
              </w:rPr>
            </w:pPr>
            <w:r w:rsidRPr="00943FC7">
              <w:rPr>
                <w:rFonts w:cs="Arial"/>
                <w:color w:val="000000"/>
                <w:sz w:val="14"/>
                <w:szCs w:val="16"/>
              </w:rPr>
              <w:t>Part 6, Worker</w:t>
            </w:r>
            <w:r w:rsidR="00BB3C4A">
              <w:rPr>
                <w:rFonts w:cs="Arial"/>
                <w:color w:val="000000"/>
                <w:sz w:val="14"/>
                <w:szCs w:val="16"/>
              </w:rPr>
              <w:t>s’ Compensation Regulation 201</w:t>
            </w:r>
            <w:r w:rsidR="00FD151D">
              <w:rPr>
                <w:rFonts w:cs="Arial"/>
                <w:color w:val="000000"/>
                <w:sz w:val="14"/>
                <w:szCs w:val="16"/>
              </w:rPr>
              <w:t>6</w:t>
            </w:r>
          </w:p>
        </w:tc>
        <w:tc>
          <w:tcPr>
            <w:tcW w:w="6836" w:type="dxa"/>
            <w:shd w:val="clear" w:color="auto" w:fill="FFC9C9"/>
            <w:tcMar>
              <w:top w:w="80" w:type="dxa"/>
              <w:left w:w="80" w:type="dxa"/>
              <w:bottom w:w="80" w:type="dxa"/>
              <w:right w:w="80" w:type="dxa"/>
            </w:tcMar>
          </w:tcPr>
          <w:p w14:paraId="4645D1A6" w14:textId="46566D49"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 xml:space="preserve">SIRA provides information on return to work including return to work coordinators, workplace rehabilitation providers and vocational rehabilitation programs </w:t>
            </w:r>
            <w:r w:rsidR="00A569B5">
              <w:rPr>
                <w:rFonts w:cs="Arial"/>
                <w:color w:val="000000"/>
                <w:sz w:val="14"/>
                <w:szCs w:val="16"/>
                <w:lang w:val="en-GB"/>
              </w:rPr>
              <w:t xml:space="preserve">including related documents at </w:t>
            </w:r>
            <w:hyperlink r:id="rId1487" w:history="1">
              <w:r w:rsidR="00A569B5" w:rsidRPr="00A569B5">
                <w:rPr>
                  <w:rStyle w:val="Hyperlink"/>
                  <w:rFonts w:cs="Arial"/>
                  <w:sz w:val="14"/>
                  <w:szCs w:val="16"/>
                  <w:lang w:val="en-GB"/>
                </w:rPr>
                <w:t>Help with getting back to work</w:t>
              </w:r>
            </w:hyperlink>
          </w:p>
          <w:p w14:paraId="0C6ED2C7" w14:textId="77777777" w:rsidR="00FD151D" w:rsidRPr="00496918" w:rsidRDefault="00FD151D" w:rsidP="00FD151D">
            <w:pPr>
              <w:spacing w:after="60"/>
              <w:rPr>
                <w:rFonts w:cs="Arial"/>
                <w:color w:val="000000"/>
                <w:sz w:val="14"/>
                <w:szCs w:val="16"/>
                <w:lang w:val="en-GB"/>
              </w:rPr>
            </w:pPr>
            <w:r w:rsidRPr="00496918">
              <w:rPr>
                <w:rFonts w:cs="Arial"/>
                <w:color w:val="000000"/>
                <w:sz w:val="14"/>
                <w:szCs w:val="16"/>
                <w:lang w:val="en-GB"/>
              </w:rPr>
              <w:t xml:space="preserve">The </w:t>
            </w:r>
            <w:hyperlink r:id="rId1488" w:history="1">
              <w:r w:rsidRPr="00496918">
                <w:rPr>
                  <w:rFonts w:cs="Arial"/>
                  <w:color w:val="000000"/>
                  <w:sz w:val="14"/>
                  <w:szCs w:val="16"/>
                  <w:lang w:val="en-GB"/>
                </w:rPr>
                <w:t>Guidelines for workplace return to work programs</w:t>
              </w:r>
            </w:hyperlink>
            <w:r w:rsidRPr="00496918">
              <w:rPr>
                <w:rFonts w:cs="Arial"/>
                <w:color w:val="000000"/>
                <w:sz w:val="14"/>
                <w:szCs w:val="16"/>
                <w:lang w:val="en-GB"/>
              </w:rPr>
              <w:t xml:space="preserve"> (guidelines) outline employer obligations. They have been updated and take effect from 31 May 2017. </w:t>
            </w:r>
          </w:p>
          <w:p w14:paraId="3A7DD139" w14:textId="0DAF0FFD" w:rsidR="00C65744" w:rsidRPr="00C65744" w:rsidRDefault="00FD151D" w:rsidP="00292A53">
            <w:pPr>
              <w:spacing w:after="60"/>
              <w:rPr>
                <w:rFonts w:cs="Arial"/>
                <w:color w:val="000000"/>
                <w:sz w:val="14"/>
                <w:szCs w:val="16"/>
                <w:lang w:val="en-GB"/>
              </w:rPr>
            </w:pPr>
            <w:r>
              <w:rPr>
                <w:rFonts w:cs="Arial"/>
                <w:color w:val="000000"/>
                <w:sz w:val="14"/>
                <w:szCs w:val="16"/>
                <w:lang w:val="en-GB"/>
              </w:rPr>
              <w:t>All employer RTW programs must comply with either the September 2010 or May 2017 guidelines. The new guidelines apply two years from the date of the effect (31 May 2017).</w:t>
            </w:r>
          </w:p>
        </w:tc>
      </w:tr>
      <w:tr w:rsidR="00C65744" w:rsidRPr="00C65744" w14:paraId="250FA314" w14:textId="77777777" w:rsidTr="00922480">
        <w:tc>
          <w:tcPr>
            <w:tcW w:w="1343" w:type="dxa"/>
            <w:tcMar>
              <w:top w:w="80" w:type="dxa"/>
              <w:left w:w="80" w:type="dxa"/>
              <w:bottom w:w="80" w:type="dxa"/>
              <w:right w:w="80" w:type="dxa"/>
            </w:tcMar>
          </w:tcPr>
          <w:p w14:paraId="5DB2BB15" w14:textId="77777777" w:rsidR="00C65744" w:rsidRPr="00C65744" w:rsidRDefault="00C65744" w:rsidP="00292A53">
            <w:pPr>
              <w:spacing w:after="60"/>
              <w:rPr>
                <w:rFonts w:eastAsia="Calibri" w:cs="Arial"/>
                <w:b/>
                <w:sz w:val="16"/>
                <w:szCs w:val="16"/>
                <w:highlight w:val="yellow"/>
                <w:lang w:eastAsia="en-US"/>
              </w:rPr>
            </w:pPr>
            <w:r w:rsidRPr="00C65744">
              <w:rPr>
                <w:rFonts w:eastAsia="Calibri" w:cs="Arial"/>
                <w:b/>
                <w:sz w:val="16"/>
                <w:szCs w:val="16"/>
                <w:lang w:eastAsia="en-US"/>
              </w:rPr>
              <w:t>Victoria</w:t>
            </w:r>
          </w:p>
        </w:tc>
        <w:tc>
          <w:tcPr>
            <w:tcW w:w="6836" w:type="dxa"/>
            <w:shd w:val="clear" w:color="auto" w:fill="auto"/>
            <w:tcMar>
              <w:top w:w="80" w:type="dxa"/>
              <w:left w:w="80" w:type="dxa"/>
              <w:bottom w:w="80" w:type="dxa"/>
              <w:right w:w="80" w:type="dxa"/>
            </w:tcMar>
          </w:tcPr>
          <w:p w14:paraId="2CBFF91C" w14:textId="77777777" w:rsidR="00C65744" w:rsidRPr="00C65744" w:rsidRDefault="00C65744" w:rsidP="00292A53">
            <w:pPr>
              <w:spacing w:after="60"/>
              <w:rPr>
                <w:rFonts w:eastAsia="Calibri" w:cs="Arial"/>
                <w:sz w:val="14"/>
                <w:szCs w:val="14"/>
                <w:lang w:eastAsia="en-US"/>
              </w:rPr>
            </w:pPr>
            <w:r w:rsidRPr="00D41D16">
              <w:rPr>
                <w:rFonts w:eastAsia="Calibri" w:cs="Arial"/>
                <w:i/>
                <w:sz w:val="14"/>
                <w:szCs w:val="14"/>
                <w:lang w:eastAsia="en-US"/>
              </w:rPr>
              <w:t>Workplace Injury Rehabilitation and Compensation Act</w:t>
            </w:r>
            <w:r w:rsidRPr="00886185">
              <w:rPr>
                <w:rFonts w:eastAsia="Calibri" w:cs="Arial"/>
                <w:i/>
                <w:sz w:val="14"/>
                <w:szCs w:val="14"/>
                <w:lang w:eastAsia="en-US"/>
              </w:rPr>
              <w:t xml:space="preserve"> 2013</w:t>
            </w:r>
            <w:r w:rsidRPr="00C65744">
              <w:rPr>
                <w:rFonts w:eastAsia="Calibri" w:cs="Arial"/>
                <w:sz w:val="14"/>
                <w:szCs w:val="14"/>
                <w:lang w:eastAsia="en-US"/>
              </w:rPr>
              <w:t xml:space="preserve"> </w:t>
            </w:r>
          </w:p>
          <w:p w14:paraId="5BC470E6" w14:textId="2FAEC3F0" w:rsidR="00C65744" w:rsidRPr="00C65744" w:rsidRDefault="00A7538C" w:rsidP="00292A53">
            <w:pPr>
              <w:spacing w:after="60"/>
              <w:rPr>
                <w:rFonts w:eastAsia="Calibri" w:cs="Arial"/>
                <w:sz w:val="14"/>
                <w:szCs w:val="14"/>
                <w:lang w:eastAsia="en-US"/>
              </w:rPr>
            </w:pPr>
            <w:hyperlink r:id="rId1489" w:history="1">
              <w:r w:rsidR="00C65744" w:rsidRPr="00C24671">
                <w:rPr>
                  <w:rStyle w:val="Hyperlink"/>
                  <w:rFonts w:eastAsia="Calibri" w:cs="Arial"/>
                  <w:sz w:val="14"/>
                  <w:szCs w:val="14"/>
                  <w:lang w:eastAsia="en-US"/>
                </w:rPr>
                <w:t>s17</w:t>
              </w:r>
            </w:hyperlink>
            <w:r w:rsidR="00C65744" w:rsidRPr="00C65744">
              <w:rPr>
                <w:rFonts w:eastAsia="Calibri" w:cs="Arial"/>
                <w:sz w:val="14"/>
                <w:szCs w:val="14"/>
                <w:lang w:eastAsia="en-US"/>
              </w:rPr>
              <w:t xml:space="preserve"> — Employer to keep register of injuries.</w:t>
            </w:r>
          </w:p>
          <w:p w14:paraId="771C689F" w14:textId="77777777" w:rsidR="00922480" w:rsidRDefault="00C65744" w:rsidP="00292A53">
            <w:pPr>
              <w:spacing w:after="60"/>
              <w:rPr>
                <w:rFonts w:eastAsia="Calibri" w:cs="Arial"/>
                <w:sz w:val="14"/>
                <w:szCs w:val="14"/>
                <w:lang w:eastAsia="en-US"/>
              </w:rPr>
            </w:pPr>
            <w:r w:rsidRPr="00C65744">
              <w:rPr>
                <w:rFonts w:eastAsia="Calibri" w:cs="Arial"/>
                <w:sz w:val="14"/>
                <w:szCs w:val="14"/>
                <w:lang w:eastAsia="en-US"/>
              </w:rPr>
              <w:t>Part 4 — Return to Work</w:t>
            </w:r>
          </w:p>
          <w:p w14:paraId="1A2C1D92" w14:textId="22C0C3E4" w:rsidR="00C65744" w:rsidRPr="00C65744" w:rsidRDefault="00BB3C4A" w:rsidP="00292A53">
            <w:pPr>
              <w:spacing w:after="60"/>
              <w:rPr>
                <w:rFonts w:eastAsia="Calibri" w:cs="Arial"/>
                <w:sz w:val="14"/>
                <w:szCs w:val="14"/>
                <w:lang w:eastAsia="en-US"/>
              </w:rPr>
            </w:pPr>
            <w:r>
              <w:rPr>
                <w:rFonts w:eastAsia="Calibri" w:cs="Arial"/>
                <w:sz w:val="14"/>
                <w:szCs w:val="14"/>
                <w:lang w:eastAsia="en-US"/>
              </w:rPr>
              <w:t>Division 1</w:t>
            </w:r>
            <w:r w:rsidR="003F5D7A">
              <w:rPr>
                <w:rFonts w:eastAsia="Calibri" w:cs="Arial"/>
                <w:sz w:val="14"/>
                <w:szCs w:val="14"/>
                <w:lang w:eastAsia="en-US"/>
              </w:rPr>
              <w:t xml:space="preserve"> </w:t>
            </w:r>
            <w:r>
              <w:rPr>
                <w:rFonts w:eastAsia="Calibri" w:cs="Arial"/>
                <w:sz w:val="14"/>
                <w:szCs w:val="14"/>
                <w:lang w:eastAsia="en-US"/>
              </w:rPr>
              <w:t>—</w:t>
            </w:r>
            <w:r w:rsidR="003F5D7A">
              <w:rPr>
                <w:rFonts w:eastAsia="Calibri" w:cs="Arial"/>
                <w:sz w:val="14"/>
                <w:szCs w:val="14"/>
                <w:lang w:eastAsia="en-US"/>
              </w:rPr>
              <w:t xml:space="preserve"> </w:t>
            </w:r>
            <w:r>
              <w:rPr>
                <w:rFonts w:eastAsia="Calibri" w:cs="Arial"/>
                <w:sz w:val="14"/>
                <w:szCs w:val="14"/>
                <w:lang w:eastAsia="en-US"/>
              </w:rPr>
              <w:t>Preliminary</w:t>
            </w:r>
          </w:p>
          <w:p w14:paraId="297720BD" w14:textId="1A88968F" w:rsidR="00C65744" w:rsidRPr="00C65744" w:rsidRDefault="00A7538C" w:rsidP="00292A53">
            <w:pPr>
              <w:spacing w:after="60"/>
              <w:rPr>
                <w:rFonts w:eastAsia="Calibri" w:cs="Arial"/>
                <w:sz w:val="14"/>
                <w:szCs w:val="14"/>
                <w:lang w:eastAsia="en-US"/>
              </w:rPr>
            </w:pPr>
            <w:hyperlink r:id="rId1490" w:history="1">
              <w:r w:rsidR="00BB3C4A" w:rsidRPr="00C24671">
                <w:rPr>
                  <w:rStyle w:val="Hyperlink"/>
                  <w:rFonts w:eastAsia="Calibri" w:cs="Arial"/>
                  <w:sz w:val="14"/>
                  <w:szCs w:val="14"/>
                  <w:lang w:eastAsia="en-US"/>
                </w:rPr>
                <w:t>s96</w:t>
              </w:r>
            </w:hyperlink>
            <w:r w:rsidR="00BB3C4A">
              <w:rPr>
                <w:rFonts w:eastAsia="Calibri" w:cs="Arial"/>
                <w:sz w:val="14"/>
                <w:szCs w:val="14"/>
                <w:lang w:eastAsia="en-US"/>
              </w:rPr>
              <w:t xml:space="preserve"> — Definitions</w:t>
            </w:r>
          </w:p>
          <w:p w14:paraId="5A2FBD10" w14:textId="6AB686DC" w:rsidR="00C65744" w:rsidRPr="00C65744" w:rsidRDefault="00A7538C" w:rsidP="00292A53">
            <w:pPr>
              <w:spacing w:after="60"/>
              <w:rPr>
                <w:rFonts w:eastAsia="Calibri" w:cs="Arial"/>
                <w:sz w:val="14"/>
                <w:szCs w:val="14"/>
                <w:lang w:eastAsia="en-US"/>
              </w:rPr>
            </w:pPr>
            <w:hyperlink r:id="rId1491" w:history="1">
              <w:r w:rsidR="00BB3C4A" w:rsidRPr="00C24671">
                <w:rPr>
                  <w:rStyle w:val="Hyperlink"/>
                  <w:rFonts w:eastAsia="Calibri" w:cs="Arial"/>
                  <w:sz w:val="14"/>
                  <w:szCs w:val="14"/>
                  <w:lang w:eastAsia="en-US"/>
                </w:rPr>
                <w:t>s97</w:t>
              </w:r>
            </w:hyperlink>
            <w:r w:rsidR="00BB3C4A">
              <w:rPr>
                <w:rFonts w:eastAsia="Calibri" w:cs="Arial"/>
                <w:sz w:val="14"/>
                <w:szCs w:val="14"/>
                <w:lang w:eastAsia="en-US"/>
              </w:rPr>
              <w:t xml:space="preserve"> — Purpose</w:t>
            </w:r>
          </w:p>
          <w:p w14:paraId="7474F6CF" w14:textId="67D1A3B1" w:rsidR="00C65744" w:rsidRPr="00C65744" w:rsidRDefault="00A7538C" w:rsidP="00292A53">
            <w:pPr>
              <w:spacing w:after="60"/>
              <w:rPr>
                <w:rFonts w:eastAsia="Calibri" w:cs="Arial"/>
                <w:sz w:val="14"/>
                <w:szCs w:val="14"/>
                <w:lang w:eastAsia="en-US"/>
              </w:rPr>
            </w:pPr>
            <w:hyperlink r:id="rId1492" w:history="1">
              <w:r w:rsidR="00BB3C4A" w:rsidRPr="00C24671">
                <w:rPr>
                  <w:rStyle w:val="Hyperlink"/>
                  <w:rFonts w:eastAsia="Calibri" w:cs="Arial"/>
                  <w:sz w:val="14"/>
                  <w:szCs w:val="14"/>
                  <w:lang w:eastAsia="en-US"/>
                </w:rPr>
                <w:t>s98</w:t>
              </w:r>
            </w:hyperlink>
            <w:r w:rsidR="00BB3C4A">
              <w:rPr>
                <w:rFonts w:eastAsia="Calibri" w:cs="Arial"/>
                <w:sz w:val="14"/>
                <w:szCs w:val="14"/>
                <w:lang w:eastAsia="en-US"/>
              </w:rPr>
              <w:t xml:space="preserve"> — Application of Part</w:t>
            </w:r>
          </w:p>
          <w:p w14:paraId="462D67E6" w14:textId="7644325F" w:rsidR="00C65744" w:rsidRPr="00C65744" w:rsidRDefault="00A7538C" w:rsidP="00292A53">
            <w:pPr>
              <w:spacing w:after="60"/>
              <w:rPr>
                <w:rFonts w:eastAsia="Calibri" w:cs="Arial"/>
                <w:sz w:val="14"/>
                <w:szCs w:val="14"/>
                <w:lang w:eastAsia="en-US"/>
              </w:rPr>
            </w:pPr>
            <w:hyperlink r:id="rId1493" w:history="1">
              <w:r w:rsidR="00C65744" w:rsidRPr="00C24671">
                <w:rPr>
                  <w:rStyle w:val="Hyperlink"/>
                  <w:rFonts w:eastAsia="Calibri" w:cs="Arial"/>
                  <w:sz w:val="14"/>
                  <w:szCs w:val="14"/>
                  <w:lang w:eastAsia="en-US"/>
                </w:rPr>
                <w:t>s99</w:t>
              </w:r>
            </w:hyperlink>
            <w:r w:rsidR="00C65744" w:rsidRPr="00C65744">
              <w:rPr>
                <w:rFonts w:eastAsia="Calibri" w:cs="Arial"/>
                <w:sz w:val="14"/>
                <w:szCs w:val="14"/>
                <w:lang w:eastAsia="en-US"/>
              </w:rPr>
              <w:t xml:space="preserve"> — Oblig</w:t>
            </w:r>
            <w:r w:rsidR="00BB3C4A">
              <w:rPr>
                <w:rFonts w:eastAsia="Calibri" w:cs="Arial"/>
                <w:sz w:val="14"/>
                <w:szCs w:val="14"/>
                <w:lang w:eastAsia="en-US"/>
              </w:rPr>
              <w:t>ations of employers and workers</w:t>
            </w:r>
          </w:p>
          <w:p w14:paraId="56F7B067" w14:textId="34FDFE2B" w:rsidR="00C65744" w:rsidRPr="00C65744" w:rsidRDefault="00A7538C" w:rsidP="00292A53">
            <w:pPr>
              <w:spacing w:after="60"/>
              <w:rPr>
                <w:rFonts w:eastAsia="Calibri" w:cs="Arial"/>
                <w:sz w:val="14"/>
                <w:szCs w:val="14"/>
                <w:lang w:eastAsia="en-US"/>
              </w:rPr>
            </w:pPr>
            <w:hyperlink r:id="rId1494" w:history="1">
              <w:r w:rsidR="00C65744" w:rsidRPr="00C24671">
                <w:rPr>
                  <w:rStyle w:val="Hyperlink"/>
                  <w:rFonts w:eastAsia="Calibri" w:cs="Arial"/>
                  <w:sz w:val="14"/>
                  <w:szCs w:val="14"/>
                  <w:lang w:eastAsia="en-US"/>
                </w:rPr>
                <w:t>s100</w:t>
              </w:r>
            </w:hyperlink>
            <w:r w:rsidR="00C65744" w:rsidRPr="00C65744">
              <w:rPr>
                <w:rFonts w:eastAsia="Calibri" w:cs="Arial"/>
                <w:sz w:val="14"/>
                <w:szCs w:val="14"/>
                <w:lang w:eastAsia="en-US"/>
              </w:rPr>
              <w:t xml:space="preserve"> — Part does not deroga</w:t>
            </w:r>
            <w:r w:rsidR="00BB3C4A">
              <w:rPr>
                <w:rFonts w:eastAsia="Calibri" w:cs="Arial"/>
                <w:sz w:val="14"/>
                <w:szCs w:val="14"/>
                <w:lang w:eastAsia="en-US"/>
              </w:rPr>
              <w:t>te from other provisions in Act</w:t>
            </w:r>
          </w:p>
          <w:p w14:paraId="7737550D" w14:textId="761EC579" w:rsidR="00C65744" w:rsidRPr="00C65744" w:rsidRDefault="00A7538C" w:rsidP="00292A53">
            <w:pPr>
              <w:spacing w:after="60"/>
              <w:rPr>
                <w:rFonts w:eastAsia="Calibri" w:cs="Arial"/>
                <w:sz w:val="14"/>
                <w:szCs w:val="14"/>
                <w:lang w:eastAsia="en-US"/>
              </w:rPr>
            </w:pPr>
            <w:hyperlink r:id="rId1495" w:history="1">
              <w:r w:rsidR="00C65744" w:rsidRPr="00C24671">
                <w:rPr>
                  <w:rStyle w:val="Hyperlink"/>
                  <w:rFonts w:eastAsia="Calibri" w:cs="Arial"/>
                  <w:sz w:val="14"/>
                  <w:szCs w:val="14"/>
                  <w:lang w:eastAsia="en-US"/>
                </w:rPr>
                <w:t>s101</w:t>
              </w:r>
            </w:hyperlink>
            <w:r w:rsidR="00C65744" w:rsidRPr="00C65744">
              <w:rPr>
                <w:rFonts w:eastAsia="Calibri" w:cs="Arial"/>
                <w:sz w:val="14"/>
                <w:szCs w:val="14"/>
                <w:lang w:eastAsia="en-US"/>
              </w:rPr>
              <w:t xml:space="preserve"> — Application</w:t>
            </w:r>
            <w:r w:rsidR="00BB3C4A">
              <w:rPr>
                <w:rFonts w:eastAsia="Calibri" w:cs="Arial"/>
                <w:sz w:val="14"/>
                <w:szCs w:val="14"/>
                <w:lang w:eastAsia="en-US"/>
              </w:rPr>
              <w:t xml:space="preserve"> of part</w:t>
            </w:r>
          </w:p>
          <w:p w14:paraId="20C6DAAC" w14:textId="5612DEE5" w:rsidR="00C65744" w:rsidRPr="00C65744" w:rsidRDefault="00C65744" w:rsidP="00292A53">
            <w:pPr>
              <w:spacing w:after="60"/>
              <w:rPr>
                <w:rFonts w:eastAsia="Calibri" w:cs="Arial"/>
                <w:sz w:val="14"/>
                <w:szCs w:val="14"/>
                <w:lang w:eastAsia="en-US"/>
              </w:rPr>
            </w:pPr>
            <w:r w:rsidRPr="00C65744">
              <w:rPr>
                <w:rFonts w:eastAsia="Calibri" w:cs="Arial"/>
                <w:sz w:val="14"/>
                <w:szCs w:val="14"/>
                <w:lang w:eastAsia="en-US"/>
              </w:rPr>
              <w:t>Divisi</w:t>
            </w:r>
            <w:r w:rsidR="00BB3C4A">
              <w:rPr>
                <w:rFonts w:eastAsia="Calibri" w:cs="Arial"/>
                <w:sz w:val="14"/>
                <w:szCs w:val="14"/>
                <w:lang w:eastAsia="en-US"/>
              </w:rPr>
              <w:t>on 2 — Obligations of employers</w:t>
            </w:r>
          </w:p>
          <w:p w14:paraId="07BFB135" w14:textId="40C9F994" w:rsidR="00C65744" w:rsidRPr="00C65744" w:rsidRDefault="00A7538C" w:rsidP="00292A53">
            <w:pPr>
              <w:spacing w:after="60"/>
              <w:rPr>
                <w:rFonts w:eastAsia="Calibri" w:cs="Arial"/>
                <w:sz w:val="14"/>
                <w:szCs w:val="14"/>
                <w:lang w:eastAsia="en-US"/>
              </w:rPr>
            </w:pPr>
            <w:hyperlink r:id="rId1496" w:history="1">
              <w:r w:rsidR="00C65744" w:rsidRPr="00323913">
                <w:rPr>
                  <w:rStyle w:val="Hyperlink"/>
                  <w:rFonts w:eastAsia="Calibri" w:cs="Arial"/>
                  <w:sz w:val="14"/>
                  <w:szCs w:val="14"/>
                  <w:lang w:eastAsia="en-US"/>
                </w:rPr>
                <w:t>s102</w:t>
              </w:r>
            </w:hyperlink>
            <w:r w:rsidR="00C65744" w:rsidRPr="00C65744">
              <w:rPr>
                <w:rFonts w:eastAsia="Calibri" w:cs="Arial"/>
                <w:sz w:val="14"/>
                <w:szCs w:val="14"/>
                <w:lang w:eastAsia="en-US"/>
              </w:rPr>
              <w:t xml:space="preserve"> — Flow chart 4</w:t>
            </w:r>
            <w:r w:rsidR="003F5D7A">
              <w:rPr>
                <w:rFonts w:eastAsia="Calibri" w:cs="Arial"/>
                <w:sz w:val="14"/>
                <w:szCs w:val="14"/>
                <w:lang w:eastAsia="en-US"/>
              </w:rPr>
              <w:t xml:space="preserve"> </w:t>
            </w:r>
            <w:r w:rsidR="00C65744" w:rsidRPr="00C65744">
              <w:rPr>
                <w:rFonts w:eastAsia="Calibri" w:cs="Arial"/>
                <w:sz w:val="14"/>
                <w:szCs w:val="14"/>
                <w:lang w:eastAsia="en-US"/>
              </w:rPr>
              <w:t>—</w:t>
            </w:r>
            <w:r w:rsidR="003F5D7A">
              <w:rPr>
                <w:rFonts w:eastAsia="Calibri" w:cs="Arial"/>
                <w:sz w:val="14"/>
                <w:szCs w:val="14"/>
                <w:lang w:eastAsia="en-US"/>
              </w:rPr>
              <w:t xml:space="preserve"> </w:t>
            </w:r>
            <w:r w:rsidR="00C65744" w:rsidRPr="00C65744">
              <w:rPr>
                <w:rFonts w:eastAsia="Calibri" w:cs="Arial"/>
                <w:sz w:val="14"/>
                <w:szCs w:val="14"/>
                <w:lang w:eastAsia="en-US"/>
              </w:rPr>
              <w:t>return t</w:t>
            </w:r>
            <w:r w:rsidR="00BB3C4A">
              <w:rPr>
                <w:rFonts w:eastAsia="Calibri" w:cs="Arial"/>
                <w:sz w:val="14"/>
                <w:szCs w:val="14"/>
                <w:lang w:eastAsia="en-US"/>
              </w:rPr>
              <w:t>o work obligations of employers</w:t>
            </w:r>
          </w:p>
          <w:p w14:paraId="2AD217A6" w14:textId="0E16BFBC" w:rsidR="00922480" w:rsidRDefault="00A7538C" w:rsidP="00292A53">
            <w:pPr>
              <w:spacing w:after="60"/>
              <w:rPr>
                <w:rFonts w:cs="Arial"/>
                <w:color w:val="000000"/>
                <w:sz w:val="14"/>
                <w:szCs w:val="16"/>
                <w:lang w:val="en-GB"/>
              </w:rPr>
            </w:pPr>
            <w:hyperlink r:id="rId1497" w:history="1">
              <w:r w:rsidR="00BB3C4A" w:rsidRPr="00323913">
                <w:rPr>
                  <w:rStyle w:val="Hyperlink"/>
                  <w:rFonts w:cs="Arial"/>
                  <w:sz w:val="14"/>
                  <w:szCs w:val="16"/>
                  <w:lang w:val="en-GB"/>
                </w:rPr>
                <w:t>s103</w:t>
              </w:r>
            </w:hyperlink>
            <w:r w:rsidR="00BB3C4A">
              <w:rPr>
                <w:rFonts w:cs="Arial"/>
                <w:color w:val="000000"/>
                <w:sz w:val="14"/>
                <w:szCs w:val="16"/>
                <w:lang w:val="en-GB"/>
              </w:rPr>
              <w:t xml:space="preserve"> — Provide employment</w:t>
            </w:r>
          </w:p>
          <w:p w14:paraId="0AC31068" w14:textId="6C718856" w:rsidR="00922480" w:rsidRDefault="00A7538C" w:rsidP="00292A53">
            <w:pPr>
              <w:spacing w:after="60"/>
              <w:rPr>
                <w:rFonts w:cs="Arial"/>
                <w:color w:val="000000"/>
                <w:sz w:val="14"/>
                <w:szCs w:val="16"/>
                <w:lang w:val="en-GB"/>
              </w:rPr>
            </w:pPr>
            <w:hyperlink r:id="rId1498" w:history="1">
              <w:r w:rsidR="00BB3C4A" w:rsidRPr="00274285">
                <w:rPr>
                  <w:rStyle w:val="Hyperlink"/>
                  <w:rFonts w:cs="Arial"/>
                  <w:sz w:val="14"/>
                  <w:szCs w:val="16"/>
                  <w:lang w:val="en-GB"/>
                </w:rPr>
                <w:t>s104</w:t>
              </w:r>
            </w:hyperlink>
            <w:r w:rsidR="00BB3C4A">
              <w:rPr>
                <w:rFonts w:cs="Arial"/>
                <w:color w:val="000000"/>
                <w:sz w:val="14"/>
                <w:szCs w:val="16"/>
                <w:lang w:val="en-GB"/>
              </w:rPr>
              <w:t xml:space="preserve"> — Plan Return to Work</w:t>
            </w:r>
          </w:p>
          <w:p w14:paraId="6557D07F" w14:textId="4551E506" w:rsidR="00922480" w:rsidRDefault="00A7538C" w:rsidP="00292A53">
            <w:pPr>
              <w:spacing w:after="60"/>
              <w:rPr>
                <w:rFonts w:cs="Arial"/>
                <w:color w:val="000000"/>
                <w:sz w:val="14"/>
                <w:szCs w:val="16"/>
                <w:lang w:val="en-GB"/>
              </w:rPr>
            </w:pPr>
            <w:hyperlink r:id="rId1499" w:history="1">
              <w:r w:rsidR="00C65744" w:rsidRPr="00274285">
                <w:rPr>
                  <w:rStyle w:val="Hyperlink"/>
                  <w:rFonts w:cs="Arial"/>
                  <w:sz w:val="14"/>
                  <w:szCs w:val="16"/>
                  <w:lang w:val="en-GB"/>
                </w:rPr>
                <w:t>s105</w:t>
              </w:r>
            </w:hyperlink>
            <w:r w:rsidR="00BB3C4A">
              <w:rPr>
                <w:rFonts w:cs="Arial"/>
                <w:color w:val="000000"/>
                <w:sz w:val="14"/>
                <w:szCs w:val="16"/>
                <w:lang w:val="en-GB"/>
              </w:rPr>
              <w:t xml:space="preserve"> — Consult about Return to Work</w:t>
            </w:r>
          </w:p>
          <w:p w14:paraId="36CF66A5" w14:textId="030606F8" w:rsidR="00922480" w:rsidRDefault="00A7538C" w:rsidP="00292A53">
            <w:pPr>
              <w:spacing w:after="60"/>
              <w:rPr>
                <w:rFonts w:cs="Arial"/>
                <w:color w:val="000000"/>
                <w:sz w:val="14"/>
                <w:szCs w:val="16"/>
                <w:lang w:val="en-GB"/>
              </w:rPr>
            </w:pPr>
            <w:hyperlink r:id="rId1500" w:history="1">
              <w:r w:rsidR="00C65744" w:rsidRPr="00274285">
                <w:rPr>
                  <w:rStyle w:val="Hyperlink"/>
                  <w:rFonts w:cs="Arial"/>
                  <w:sz w:val="14"/>
                  <w:szCs w:val="16"/>
                  <w:lang w:val="en-GB"/>
                </w:rPr>
                <w:t>s106</w:t>
              </w:r>
            </w:hyperlink>
            <w:r w:rsidR="00C65744" w:rsidRPr="00C65744">
              <w:rPr>
                <w:rFonts w:cs="Arial"/>
                <w:color w:val="000000"/>
                <w:sz w:val="14"/>
                <w:szCs w:val="16"/>
                <w:lang w:val="en-GB"/>
              </w:rPr>
              <w:t xml:space="preserve"> — Return to W</w:t>
            </w:r>
            <w:r w:rsidR="00BB3C4A">
              <w:rPr>
                <w:rFonts w:cs="Arial"/>
                <w:color w:val="000000"/>
                <w:sz w:val="14"/>
                <w:szCs w:val="16"/>
                <w:lang w:val="en-GB"/>
              </w:rPr>
              <w:t>ork Coordinator to be nominated</w:t>
            </w:r>
          </w:p>
          <w:p w14:paraId="045289F7" w14:textId="627B26A2" w:rsidR="00922480" w:rsidRDefault="00A7538C" w:rsidP="00292A53">
            <w:pPr>
              <w:spacing w:after="60"/>
              <w:rPr>
                <w:rFonts w:cs="Arial"/>
                <w:color w:val="000000"/>
                <w:sz w:val="14"/>
                <w:szCs w:val="16"/>
                <w:lang w:val="en-GB"/>
              </w:rPr>
            </w:pPr>
            <w:hyperlink r:id="rId1501" w:history="1">
              <w:r w:rsidR="00C65744" w:rsidRPr="007F3983">
                <w:rPr>
                  <w:rStyle w:val="Hyperlink"/>
                  <w:rFonts w:cs="Arial"/>
                  <w:sz w:val="14"/>
                  <w:szCs w:val="16"/>
                  <w:lang w:val="en-GB"/>
                </w:rPr>
                <w:t>s107</w:t>
              </w:r>
            </w:hyperlink>
            <w:r w:rsidR="00CA1B61">
              <w:rPr>
                <w:rFonts w:cs="Arial"/>
                <w:color w:val="000000"/>
                <w:sz w:val="14"/>
                <w:szCs w:val="16"/>
                <w:lang w:val="en-GB"/>
              </w:rPr>
              <w:t xml:space="preserve"> </w:t>
            </w:r>
            <w:r w:rsidR="00C65744" w:rsidRPr="00C65744">
              <w:rPr>
                <w:rFonts w:cs="Arial"/>
                <w:color w:val="000000"/>
                <w:sz w:val="14"/>
                <w:szCs w:val="16"/>
                <w:lang w:val="en-GB"/>
              </w:rPr>
              <w:t>— Make retur</w:t>
            </w:r>
            <w:r w:rsidR="00BB3C4A">
              <w:rPr>
                <w:rFonts w:cs="Arial"/>
                <w:color w:val="000000"/>
                <w:sz w:val="14"/>
                <w:szCs w:val="16"/>
                <w:lang w:val="en-GB"/>
              </w:rPr>
              <w:t>n to work information available</w:t>
            </w:r>
          </w:p>
          <w:p w14:paraId="5FFE04FC" w14:textId="62A6524A" w:rsidR="00C65744" w:rsidRPr="00C65744" w:rsidRDefault="00A7538C" w:rsidP="00292A53">
            <w:pPr>
              <w:spacing w:after="60"/>
              <w:rPr>
                <w:rFonts w:cs="Arial"/>
                <w:color w:val="000000"/>
                <w:sz w:val="14"/>
                <w:szCs w:val="16"/>
                <w:lang w:val="en-GB"/>
              </w:rPr>
            </w:pPr>
            <w:hyperlink r:id="rId1502" w:history="1">
              <w:r w:rsidR="00C65744" w:rsidRPr="007F3983">
                <w:rPr>
                  <w:rStyle w:val="Hyperlink"/>
                  <w:rFonts w:cs="Arial"/>
                  <w:sz w:val="14"/>
                  <w:szCs w:val="16"/>
                  <w:lang w:val="en-GB"/>
                </w:rPr>
                <w:t>s108</w:t>
              </w:r>
            </w:hyperlink>
            <w:r w:rsidR="00C65744" w:rsidRPr="00C65744">
              <w:rPr>
                <w:rFonts w:cs="Arial"/>
                <w:color w:val="000000"/>
                <w:sz w:val="14"/>
                <w:szCs w:val="16"/>
                <w:lang w:val="en-GB"/>
              </w:rPr>
              <w:t xml:space="preserve"> — Employer to notify Author</w:t>
            </w:r>
            <w:r w:rsidR="00BB3C4A">
              <w:rPr>
                <w:rFonts w:cs="Arial"/>
                <w:color w:val="000000"/>
                <w:sz w:val="14"/>
                <w:szCs w:val="16"/>
                <w:lang w:val="en-GB"/>
              </w:rPr>
              <w:t>ity of return to work of worker</w:t>
            </w:r>
          </w:p>
          <w:p w14:paraId="367B7109" w14:textId="2008602F" w:rsidR="00922480" w:rsidRDefault="00A7538C" w:rsidP="00292A53">
            <w:pPr>
              <w:spacing w:after="60"/>
              <w:rPr>
                <w:rFonts w:cs="Arial"/>
                <w:color w:val="000000"/>
                <w:sz w:val="14"/>
                <w:szCs w:val="16"/>
                <w:lang w:val="en-GB"/>
              </w:rPr>
            </w:pPr>
            <w:hyperlink r:id="rId1503" w:history="1">
              <w:r w:rsidR="00C65744" w:rsidRPr="007F3983">
                <w:rPr>
                  <w:rStyle w:val="Hyperlink"/>
                  <w:rFonts w:cs="Arial"/>
                  <w:sz w:val="14"/>
                  <w:szCs w:val="16"/>
                  <w:lang w:val="en-GB"/>
                </w:rPr>
                <w:t>s109</w:t>
              </w:r>
            </w:hyperlink>
            <w:r w:rsidR="00C65744" w:rsidRPr="00C65744">
              <w:rPr>
                <w:rFonts w:cs="Arial"/>
                <w:color w:val="000000"/>
                <w:sz w:val="14"/>
                <w:szCs w:val="16"/>
                <w:lang w:val="en-GB"/>
              </w:rPr>
              <w:t xml:space="preserve"> — Host to coop</w:t>
            </w:r>
            <w:r w:rsidR="00BB3C4A">
              <w:rPr>
                <w:rFonts w:cs="Arial"/>
                <w:color w:val="000000"/>
                <w:sz w:val="14"/>
                <w:szCs w:val="16"/>
                <w:lang w:val="en-GB"/>
              </w:rPr>
              <w:t>erate with labour hire employer</w:t>
            </w:r>
          </w:p>
          <w:p w14:paraId="1BD637EB" w14:textId="65BBD009" w:rsidR="00922480" w:rsidRDefault="00C65744" w:rsidP="00292A53">
            <w:pPr>
              <w:spacing w:after="60"/>
              <w:rPr>
                <w:rFonts w:cs="Arial"/>
                <w:color w:val="000000"/>
                <w:sz w:val="14"/>
                <w:szCs w:val="16"/>
                <w:lang w:val="en-GB"/>
              </w:rPr>
            </w:pPr>
            <w:r w:rsidRPr="00C65744">
              <w:rPr>
                <w:rFonts w:cs="Arial"/>
                <w:color w:val="000000"/>
                <w:sz w:val="14"/>
                <w:szCs w:val="16"/>
                <w:lang w:val="en-GB"/>
              </w:rPr>
              <w:t>Divi</w:t>
            </w:r>
            <w:r w:rsidR="00BB3C4A">
              <w:rPr>
                <w:rFonts w:cs="Arial"/>
                <w:color w:val="000000"/>
                <w:sz w:val="14"/>
                <w:szCs w:val="16"/>
                <w:lang w:val="en-GB"/>
              </w:rPr>
              <w:t>sion 3 — Obligation for workers</w:t>
            </w:r>
          </w:p>
          <w:p w14:paraId="2F12235F" w14:textId="70F81654" w:rsidR="00C65744" w:rsidRPr="00C65744" w:rsidRDefault="00A7538C" w:rsidP="00292A53">
            <w:pPr>
              <w:spacing w:after="60"/>
              <w:rPr>
                <w:rFonts w:cs="Arial"/>
                <w:color w:val="000000"/>
                <w:sz w:val="14"/>
                <w:szCs w:val="16"/>
                <w:lang w:val="en-GB"/>
              </w:rPr>
            </w:pPr>
            <w:hyperlink r:id="rId1504" w:history="1">
              <w:r w:rsidR="00C65744" w:rsidRPr="007F3983">
                <w:rPr>
                  <w:rStyle w:val="Hyperlink"/>
                  <w:rFonts w:cs="Arial"/>
                  <w:sz w:val="14"/>
                  <w:szCs w:val="16"/>
                  <w:lang w:val="en-GB"/>
                </w:rPr>
                <w:t>s110</w:t>
              </w:r>
            </w:hyperlink>
            <w:r w:rsidR="00C65744" w:rsidRPr="00C65744">
              <w:rPr>
                <w:rFonts w:cs="Arial"/>
                <w:color w:val="000000"/>
                <w:sz w:val="14"/>
                <w:szCs w:val="16"/>
                <w:lang w:val="en-GB"/>
              </w:rPr>
              <w:t xml:space="preserve"> — Flow chart 5</w:t>
            </w:r>
            <w:r w:rsidR="003F5D7A">
              <w:rPr>
                <w:rFonts w:cs="Arial"/>
                <w:color w:val="000000"/>
                <w:sz w:val="14"/>
                <w:szCs w:val="16"/>
                <w:lang w:val="en-GB"/>
              </w:rPr>
              <w:t xml:space="preserve"> </w:t>
            </w:r>
            <w:r w:rsidR="00C65744" w:rsidRPr="00C65744">
              <w:rPr>
                <w:rFonts w:cs="Arial"/>
                <w:color w:val="000000"/>
                <w:sz w:val="14"/>
                <w:szCs w:val="16"/>
                <w:lang w:val="en-GB"/>
              </w:rPr>
              <w:t>—</w:t>
            </w:r>
            <w:r w:rsidR="003F5D7A">
              <w:rPr>
                <w:rFonts w:cs="Arial"/>
                <w:color w:val="000000"/>
                <w:sz w:val="14"/>
                <w:szCs w:val="16"/>
                <w:lang w:val="en-GB"/>
              </w:rPr>
              <w:t xml:space="preserve"> </w:t>
            </w:r>
            <w:r w:rsidR="00C65744" w:rsidRPr="00C65744">
              <w:rPr>
                <w:rFonts w:cs="Arial"/>
                <w:color w:val="000000"/>
                <w:sz w:val="14"/>
                <w:szCs w:val="16"/>
                <w:lang w:val="en-GB"/>
              </w:rPr>
              <w:t>return to work obligations of worke</w:t>
            </w:r>
            <w:r w:rsidR="00BB3C4A">
              <w:rPr>
                <w:rFonts w:cs="Arial"/>
                <w:color w:val="000000"/>
                <w:sz w:val="14"/>
                <w:szCs w:val="16"/>
                <w:lang w:val="en-GB"/>
              </w:rPr>
              <w:t>rs</w:t>
            </w:r>
          </w:p>
          <w:p w14:paraId="26EA84C4" w14:textId="3A140B4F" w:rsidR="00922480" w:rsidRDefault="00A7538C" w:rsidP="00292A53">
            <w:pPr>
              <w:spacing w:after="60"/>
              <w:rPr>
                <w:rFonts w:cs="Arial"/>
                <w:color w:val="000000"/>
                <w:sz w:val="14"/>
                <w:szCs w:val="16"/>
                <w:lang w:val="en-GB"/>
              </w:rPr>
            </w:pPr>
            <w:hyperlink r:id="rId1505" w:history="1">
              <w:r w:rsidR="00C65744" w:rsidRPr="008C4398">
                <w:rPr>
                  <w:rStyle w:val="Hyperlink"/>
                  <w:rFonts w:cs="Arial"/>
                  <w:sz w:val="14"/>
                  <w:szCs w:val="16"/>
                  <w:lang w:val="en-GB"/>
                </w:rPr>
                <w:t>s111</w:t>
              </w:r>
            </w:hyperlink>
            <w:r w:rsidR="00C65744" w:rsidRPr="00C65744">
              <w:rPr>
                <w:rFonts w:cs="Arial"/>
                <w:color w:val="000000"/>
                <w:sz w:val="14"/>
                <w:szCs w:val="16"/>
                <w:lang w:val="en-GB"/>
              </w:rPr>
              <w:t xml:space="preserve"> — Participate</w:t>
            </w:r>
            <w:r w:rsidR="00BB3C4A">
              <w:rPr>
                <w:rFonts w:cs="Arial"/>
                <w:color w:val="000000"/>
                <w:sz w:val="14"/>
                <w:szCs w:val="16"/>
                <w:lang w:val="en-GB"/>
              </w:rPr>
              <w:t xml:space="preserve"> in planning for return to work</w:t>
            </w:r>
          </w:p>
          <w:p w14:paraId="46F0404D" w14:textId="6F066478" w:rsidR="00922480" w:rsidRDefault="00A7538C" w:rsidP="00292A53">
            <w:pPr>
              <w:spacing w:after="60"/>
              <w:rPr>
                <w:rFonts w:cs="Arial"/>
                <w:color w:val="000000"/>
                <w:sz w:val="14"/>
                <w:szCs w:val="16"/>
                <w:lang w:val="en-GB"/>
              </w:rPr>
            </w:pPr>
            <w:hyperlink r:id="rId1506" w:history="1">
              <w:r w:rsidR="00C65744" w:rsidRPr="008C4398">
                <w:rPr>
                  <w:rStyle w:val="Hyperlink"/>
                  <w:rFonts w:cs="Arial"/>
                  <w:sz w:val="14"/>
                  <w:szCs w:val="16"/>
                  <w:lang w:val="en-GB"/>
                </w:rPr>
                <w:t>s112</w:t>
              </w:r>
            </w:hyperlink>
            <w:r w:rsidR="00C65744" w:rsidRPr="00C65744">
              <w:rPr>
                <w:rFonts w:cs="Arial"/>
                <w:color w:val="000000"/>
                <w:sz w:val="14"/>
                <w:szCs w:val="16"/>
                <w:lang w:val="en-GB"/>
              </w:rPr>
              <w:t xml:space="preserve"> — Use occup</w:t>
            </w:r>
            <w:r w:rsidR="00BB3C4A">
              <w:rPr>
                <w:rFonts w:cs="Arial"/>
                <w:color w:val="000000"/>
                <w:sz w:val="14"/>
                <w:szCs w:val="16"/>
                <w:lang w:val="en-GB"/>
              </w:rPr>
              <w:t>ational rehabilitation services</w:t>
            </w:r>
          </w:p>
          <w:p w14:paraId="111870DF" w14:textId="580E24C6" w:rsidR="00922480" w:rsidRDefault="00A7538C" w:rsidP="00292A53">
            <w:pPr>
              <w:spacing w:after="60"/>
              <w:rPr>
                <w:rFonts w:cs="Arial"/>
                <w:color w:val="000000"/>
                <w:sz w:val="14"/>
                <w:szCs w:val="16"/>
                <w:lang w:val="en-GB"/>
              </w:rPr>
            </w:pPr>
            <w:hyperlink r:id="rId1507" w:history="1">
              <w:r w:rsidR="00C65744" w:rsidRPr="008C4398">
                <w:rPr>
                  <w:rStyle w:val="Hyperlink"/>
                  <w:rFonts w:cs="Arial"/>
                  <w:sz w:val="14"/>
                  <w:szCs w:val="16"/>
                  <w:lang w:val="en-GB"/>
                </w:rPr>
                <w:t>s1</w:t>
              </w:r>
              <w:r w:rsidR="00BB3C4A" w:rsidRPr="008C4398">
                <w:rPr>
                  <w:rStyle w:val="Hyperlink"/>
                  <w:rFonts w:cs="Arial"/>
                  <w:sz w:val="14"/>
                  <w:szCs w:val="16"/>
                  <w:lang w:val="en-GB"/>
                </w:rPr>
                <w:t>13</w:t>
              </w:r>
            </w:hyperlink>
            <w:r w:rsidR="00BB3C4A">
              <w:rPr>
                <w:rFonts w:cs="Arial"/>
                <w:color w:val="000000"/>
                <w:sz w:val="14"/>
                <w:szCs w:val="16"/>
                <w:lang w:val="en-GB"/>
              </w:rPr>
              <w:t xml:space="preserve"> — Participate in assessments</w:t>
            </w:r>
          </w:p>
          <w:p w14:paraId="6EFB4C3D" w14:textId="5DB4C928" w:rsidR="00922480" w:rsidRDefault="00A7538C" w:rsidP="00292A53">
            <w:pPr>
              <w:spacing w:after="60"/>
              <w:rPr>
                <w:rFonts w:cs="Arial"/>
                <w:color w:val="000000"/>
                <w:sz w:val="14"/>
                <w:szCs w:val="16"/>
                <w:lang w:val="en-GB"/>
              </w:rPr>
            </w:pPr>
            <w:hyperlink r:id="rId1508" w:history="1">
              <w:r w:rsidR="00BB3C4A" w:rsidRPr="008C4398">
                <w:rPr>
                  <w:rStyle w:val="Hyperlink"/>
                  <w:rFonts w:cs="Arial"/>
                  <w:sz w:val="14"/>
                  <w:szCs w:val="16"/>
                  <w:lang w:val="en-GB"/>
                </w:rPr>
                <w:t>s114</w:t>
              </w:r>
            </w:hyperlink>
            <w:r w:rsidR="00BB3C4A">
              <w:rPr>
                <w:rFonts w:cs="Arial"/>
                <w:color w:val="000000"/>
                <w:sz w:val="14"/>
                <w:szCs w:val="16"/>
                <w:lang w:val="en-GB"/>
              </w:rPr>
              <w:t xml:space="preserve"> — Return to work</w:t>
            </w:r>
          </w:p>
          <w:p w14:paraId="65E3B599" w14:textId="4CF6D3E3" w:rsidR="00C65744" w:rsidRPr="00C65744" w:rsidRDefault="00A7538C" w:rsidP="00292A53">
            <w:pPr>
              <w:spacing w:after="60"/>
              <w:rPr>
                <w:rFonts w:cs="Arial"/>
                <w:color w:val="000000"/>
                <w:sz w:val="14"/>
                <w:szCs w:val="16"/>
                <w:lang w:val="en-GB"/>
              </w:rPr>
            </w:pPr>
            <w:hyperlink r:id="rId1509" w:history="1">
              <w:r w:rsidR="00C65744" w:rsidRPr="008C4398">
                <w:rPr>
                  <w:rStyle w:val="Hyperlink"/>
                  <w:rFonts w:cs="Arial"/>
                  <w:sz w:val="14"/>
                  <w:szCs w:val="16"/>
                  <w:lang w:val="en-GB"/>
                </w:rPr>
                <w:t>s11</w:t>
              </w:r>
              <w:r w:rsidR="00BB3C4A" w:rsidRPr="008C4398">
                <w:rPr>
                  <w:rStyle w:val="Hyperlink"/>
                  <w:rFonts w:cs="Arial"/>
                  <w:sz w:val="14"/>
                  <w:szCs w:val="16"/>
                  <w:lang w:val="en-GB"/>
                </w:rPr>
                <w:t>5</w:t>
              </w:r>
            </w:hyperlink>
            <w:r w:rsidR="00BB3C4A">
              <w:rPr>
                <w:rFonts w:cs="Arial"/>
                <w:color w:val="000000"/>
                <w:sz w:val="14"/>
                <w:szCs w:val="16"/>
                <w:lang w:val="en-GB"/>
              </w:rPr>
              <w:t xml:space="preserve"> — Participate in an interview</w:t>
            </w:r>
          </w:p>
          <w:p w14:paraId="081E5E0C" w14:textId="41884917" w:rsidR="00922480" w:rsidRDefault="00C65744" w:rsidP="00292A53">
            <w:pPr>
              <w:spacing w:after="60"/>
              <w:rPr>
                <w:rFonts w:cs="Arial"/>
                <w:color w:val="000000"/>
                <w:sz w:val="14"/>
                <w:szCs w:val="16"/>
                <w:lang w:val="en-GB"/>
              </w:rPr>
            </w:pPr>
            <w:r w:rsidRPr="00C65744">
              <w:rPr>
                <w:rFonts w:cs="Arial"/>
                <w:color w:val="000000"/>
                <w:sz w:val="14"/>
                <w:szCs w:val="16"/>
                <w:lang w:val="en-GB"/>
              </w:rPr>
              <w:t xml:space="preserve">Division </w:t>
            </w:r>
            <w:r w:rsidR="00BB3C4A">
              <w:rPr>
                <w:rFonts w:cs="Arial"/>
                <w:color w:val="000000"/>
                <w:sz w:val="14"/>
                <w:szCs w:val="16"/>
                <w:lang w:val="en-GB"/>
              </w:rPr>
              <w:t>4 — Termination of compensation</w:t>
            </w:r>
          </w:p>
          <w:p w14:paraId="1436A9C5" w14:textId="3DB93674" w:rsidR="00922480" w:rsidRDefault="00A7538C" w:rsidP="00292A53">
            <w:pPr>
              <w:spacing w:after="60"/>
              <w:rPr>
                <w:rFonts w:cs="Arial"/>
                <w:color w:val="000000"/>
                <w:sz w:val="14"/>
                <w:szCs w:val="16"/>
                <w:lang w:val="en-GB"/>
              </w:rPr>
            </w:pPr>
            <w:hyperlink r:id="rId1510" w:history="1">
              <w:r w:rsidR="00C65744" w:rsidRPr="008C4398">
                <w:rPr>
                  <w:rStyle w:val="Hyperlink"/>
                  <w:rFonts w:cs="Arial"/>
                  <w:sz w:val="14"/>
                  <w:szCs w:val="16"/>
                  <w:lang w:val="en-GB"/>
                </w:rPr>
                <w:t>s116</w:t>
              </w:r>
            </w:hyperlink>
            <w:r w:rsidR="00C65744" w:rsidRPr="00C65744">
              <w:rPr>
                <w:rFonts w:cs="Arial"/>
                <w:color w:val="000000"/>
                <w:sz w:val="14"/>
                <w:szCs w:val="16"/>
                <w:lang w:val="en-GB"/>
              </w:rPr>
              <w:t xml:space="preserve"> — Failure t</w:t>
            </w:r>
            <w:r w:rsidR="00BB3C4A">
              <w:rPr>
                <w:rFonts w:cs="Arial"/>
                <w:color w:val="000000"/>
                <w:sz w:val="14"/>
                <w:szCs w:val="16"/>
                <w:lang w:val="en-GB"/>
              </w:rPr>
              <w:t>o comply with Division 3</w:t>
            </w:r>
          </w:p>
          <w:p w14:paraId="0C756A85" w14:textId="019477CD" w:rsidR="00922480" w:rsidRDefault="00A7538C" w:rsidP="00292A53">
            <w:pPr>
              <w:spacing w:after="60"/>
              <w:rPr>
                <w:rFonts w:cs="Arial"/>
                <w:color w:val="000000"/>
                <w:sz w:val="14"/>
                <w:szCs w:val="16"/>
                <w:lang w:val="en-GB"/>
              </w:rPr>
            </w:pPr>
            <w:hyperlink r:id="rId1511" w:history="1">
              <w:r w:rsidR="00C65744" w:rsidRPr="008C4398">
                <w:rPr>
                  <w:rStyle w:val="Hyperlink"/>
                  <w:rFonts w:cs="Arial"/>
                  <w:sz w:val="14"/>
                  <w:szCs w:val="16"/>
                  <w:lang w:val="en-GB"/>
                </w:rPr>
                <w:t>s117</w:t>
              </w:r>
            </w:hyperlink>
            <w:r w:rsidR="00C65744" w:rsidRPr="00C65744">
              <w:rPr>
                <w:rFonts w:cs="Arial"/>
                <w:color w:val="000000"/>
                <w:sz w:val="14"/>
                <w:szCs w:val="16"/>
                <w:lang w:val="en-GB"/>
              </w:rPr>
              <w:t xml:space="preserve"> —</w:t>
            </w:r>
            <w:r w:rsidR="00BB3C4A">
              <w:rPr>
                <w:rFonts w:cs="Arial"/>
                <w:color w:val="000000"/>
                <w:sz w:val="14"/>
                <w:szCs w:val="16"/>
                <w:lang w:val="en-GB"/>
              </w:rPr>
              <w:t xml:space="preserve"> Notification of return to work</w:t>
            </w:r>
          </w:p>
          <w:p w14:paraId="784627D3" w14:textId="707CAEFD" w:rsidR="00922480" w:rsidRDefault="00BB3C4A" w:rsidP="00292A53">
            <w:pPr>
              <w:spacing w:after="60"/>
              <w:rPr>
                <w:rFonts w:cs="Arial"/>
                <w:color w:val="000000"/>
                <w:sz w:val="14"/>
                <w:szCs w:val="16"/>
                <w:lang w:val="en-GB"/>
              </w:rPr>
            </w:pPr>
            <w:r>
              <w:rPr>
                <w:rFonts w:cs="Arial"/>
                <w:color w:val="000000"/>
                <w:sz w:val="14"/>
                <w:szCs w:val="16"/>
                <w:lang w:val="en-GB"/>
              </w:rPr>
              <w:lastRenderedPageBreak/>
              <w:t>Division 5 — General Provisions</w:t>
            </w:r>
          </w:p>
          <w:p w14:paraId="2B9B527E" w14:textId="5611BABE" w:rsidR="00922480" w:rsidRDefault="00A7538C" w:rsidP="00292A53">
            <w:pPr>
              <w:spacing w:after="60"/>
              <w:rPr>
                <w:rFonts w:cs="Arial"/>
                <w:color w:val="000000"/>
                <w:sz w:val="14"/>
                <w:szCs w:val="16"/>
                <w:lang w:val="en-GB"/>
              </w:rPr>
            </w:pPr>
            <w:hyperlink r:id="rId1512" w:history="1">
              <w:r w:rsidR="00C65744" w:rsidRPr="008C4398">
                <w:rPr>
                  <w:rStyle w:val="Hyperlink"/>
                  <w:rFonts w:cs="Arial"/>
                  <w:sz w:val="14"/>
                  <w:szCs w:val="16"/>
                  <w:lang w:val="en-GB"/>
                </w:rPr>
                <w:t>s118</w:t>
              </w:r>
            </w:hyperlink>
            <w:r w:rsidR="00C65744" w:rsidRPr="00C65744">
              <w:rPr>
                <w:rFonts w:cs="Arial"/>
                <w:color w:val="000000"/>
                <w:sz w:val="14"/>
                <w:szCs w:val="16"/>
                <w:lang w:val="en-GB"/>
              </w:rPr>
              <w:t xml:space="preserve"> — Reso</w:t>
            </w:r>
            <w:r w:rsidR="00BB3C4A">
              <w:rPr>
                <w:rFonts w:cs="Arial"/>
                <w:color w:val="000000"/>
                <w:sz w:val="14"/>
                <w:szCs w:val="16"/>
                <w:lang w:val="en-GB"/>
              </w:rPr>
              <w:t>lution of return to work issues</w:t>
            </w:r>
          </w:p>
          <w:p w14:paraId="720D19DF" w14:textId="58013355" w:rsidR="00922480" w:rsidRDefault="00A7538C" w:rsidP="00292A53">
            <w:pPr>
              <w:spacing w:after="60"/>
              <w:rPr>
                <w:rFonts w:cs="Arial"/>
                <w:color w:val="000000"/>
                <w:sz w:val="14"/>
                <w:szCs w:val="16"/>
                <w:lang w:val="en-GB"/>
              </w:rPr>
            </w:pPr>
            <w:hyperlink r:id="rId1513" w:history="1">
              <w:r w:rsidR="00C65744" w:rsidRPr="008C4398">
                <w:rPr>
                  <w:rStyle w:val="Hyperlink"/>
                  <w:rFonts w:cs="Arial"/>
                  <w:sz w:val="14"/>
                  <w:szCs w:val="16"/>
                  <w:lang w:val="en-GB"/>
                </w:rPr>
                <w:t>s119</w:t>
              </w:r>
            </w:hyperlink>
            <w:r w:rsidR="00C65744" w:rsidRPr="00C65744">
              <w:rPr>
                <w:rFonts w:cs="Arial"/>
                <w:color w:val="000000"/>
                <w:sz w:val="14"/>
                <w:szCs w:val="16"/>
                <w:lang w:val="en-GB"/>
              </w:rPr>
              <w:t xml:space="preserve"> — Information about</w:t>
            </w:r>
            <w:r w:rsidR="00BB3C4A">
              <w:rPr>
                <w:rFonts w:cs="Arial"/>
                <w:color w:val="000000"/>
                <w:sz w:val="14"/>
                <w:szCs w:val="16"/>
                <w:lang w:val="en-GB"/>
              </w:rPr>
              <w:t xml:space="preserve"> the employer obligation period</w:t>
            </w:r>
          </w:p>
          <w:p w14:paraId="7269DC98" w14:textId="666A56B0" w:rsidR="00922480" w:rsidRDefault="00A7538C" w:rsidP="00292A53">
            <w:pPr>
              <w:spacing w:after="60"/>
              <w:rPr>
                <w:rFonts w:cs="Arial"/>
                <w:color w:val="000000"/>
                <w:sz w:val="14"/>
                <w:szCs w:val="16"/>
                <w:lang w:val="en-GB"/>
              </w:rPr>
            </w:pPr>
            <w:hyperlink r:id="rId1514" w:history="1">
              <w:r w:rsidR="00BB3C4A" w:rsidRPr="008C4398">
                <w:rPr>
                  <w:rStyle w:val="Hyperlink"/>
                  <w:rFonts w:cs="Arial"/>
                  <w:sz w:val="14"/>
                  <w:szCs w:val="16"/>
                  <w:lang w:val="en-GB"/>
                </w:rPr>
                <w:t>s120</w:t>
              </w:r>
            </w:hyperlink>
            <w:r w:rsidR="00BB3C4A">
              <w:rPr>
                <w:rFonts w:cs="Arial"/>
                <w:color w:val="000000"/>
                <w:sz w:val="14"/>
                <w:szCs w:val="16"/>
                <w:lang w:val="en-GB"/>
              </w:rPr>
              <w:t xml:space="preserve"> — Authority may be given</w:t>
            </w:r>
          </w:p>
          <w:p w14:paraId="64E7485C" w14:textId="62EBA069" w:rsidR="00922480" w:rsidRDefault="00A7538C" w:rsidP="00292A53">
            <w:pPr>
              <w:spacing w:after="60"/>
              <w:rPr>
                <w:rFonts w:cs="Arial"/>
                <w:color w:val="000000"/>
                <w:sz w:val="14"/>
                <w:szCs w:val="16"/>
                <w:lang w:val="en-GB"/>
              </w:rPr>
            </w:pPr>
            <w:hyperlink r:id="rId1515" w:history="1">
              <w:r w:rsidR="00BB3C4A" w:rsidRPr="008C4398">
                <w:rPr>
                  <w:rStyle w:val="Hyperlink"/>
                  <w:rFonts w:cs="Arial"/>
                  <w:sz w:val="14"/>
                  <w:szCs w:val="16"/>
                  <w:lang w:val="en-GB"/>
                </w:rPr>
                <w:t>s121</w:t>
              </w:r>
            </w:hyperlink>
            <w:r w:rsidR="00BB3C4A">
              <w:rPr>
                <w:rFonts w:cs="Arial"/>
                <w:color w:val="000000"/>
                <w:sz w:val="14"/>
                <w:szCs w:val="16"/>
                <w:lang w:val="en-GB"/>
              </w:rPr>
              <w:t xml:space="preserve"> — Compliance Codes</w:t>
            </w:r>
          </w:p>
          <w:p w14:paraId="6BBA905C" w14:textId="56EE5A75" w:rsidR="00C65744" w:rsidRPr="00C65744" w:rsidRDefault="00A7538C" w:rsidP="00292A53">
            <w:pPr>
              <w:spacing w:after="60"/>
              <w:rPr>
                <w:rFonts w:cs="Arial"/>
                <w:color w:val="000000"/>
                <w:sz w:val="14"/>
                <w:szCs w:val="16"/>
                <w:lang w:val="en-GB"/>
              </w:rPr>
            </w:pPr>
            <w:hyperlink r:id="rId1516" w:history="1">
              <w:r w:rsidR="00C65744" w:rsidRPr="008C4398">
                <w:rPr>
                  <w:rStyle w:val="Hyperlink"/>
                  <w:rFonts w:cs="Arial"/>
                  <w:sz w:val="14"/>
                  <w:szCs w:val="16"/>
                  <w:lang w:val="en-GB"/>
                </w:rPr>
                <w:t>s122</w:t>
              </w:r>
            </w:hyperlink>
            <w:r w:rsidR="00C65744" w:rsidRPr="00C65744">
              <w:rPr>
                <w:rFonts w:cs="Arial"/>
                <w:color w:val="000000"/>
                <w:sz w:val="14"/>
                <w:szCs w:val="16"/>
                <w:lang w:val="en-GB"/>
              </w:rPr>
              <w:t xml:space="preserve"> — Disallowance of</w:t>
            </w:r>
            <w:r w:rsidR="00BB3C4A">
              <w:rPr>
                <w:rFonts w:cs="Arial"/>
                <w:color w:val="000000"/>
                <w:sz w:val="14"/>
                <w:szCs w:val="16"/>
                <w:lang w:val="en-GB"/>
              </w:rPr>
              <w:t xml:space="preserve"> certain compliance code orders</w:t>
            </w:r>
          </w:p>
          <w:p w14:paraId="6F411B32" w14:textId="5FBBF627" w:rsidR="00C65744" w:rsidRPr="00C65744" w:rsidRDefault="00A7538C" w:rsidP="00292A53">
            <w:pPr>
              <w:spacing w:after="60"/>
              <w:rPr>
                <w:rFonts w:cs="Arial"/>
                <w:color w:val="000000"/>
                <w:sz w:val="14"/>
                <w:szCs w:val="16"/>
                <w:lang w:val="en-GB"/>
              </w:rPr>
            </w:pPr>
            <w:hyperlink r:id="rId1517" w:history="1">
              <w:r w:rsidR="00C65744" w:rsidRPr="008C4398">
                <w:rPr>
                  <w:rStyle w:val="Hyperlink"/>
                  <w:rFonts w:cs="Arial"/>
                  <w:sz w:val="14"/>
                  <w:szCs w:val="16"/>
                  <w:lang w:val="en-GB"/>
                </w:rPr>
                <w:t>s</w:t>
              </w:r>
              <w:r w:rsidR="00BB3C4A" w:rsidRPr="008C4398">
                <w:rPr>
                  <w:rStyle w:val="Hyperlink"/>
                  <w:rFonts w:cs="Arial"/>
                  <w:sz w:val="14"/>
                  <w:szCs w:val="16"/>
                  <w:lang w:val="en-GB"/>
                </w:rPr>
                <w:t>123</w:t>
              </w:r>
            </w:hyperlink>
            <w:r w:rsidR="00BB3C4A">
              <w:rPr>
                <w:rFonts w:cs="Arial"/>
                <w:color w:val="000000"/>
                <w:sz w:val="14"/>
                <w:szCs w:val="16"/>
                <w:lang w:val="en-GB"/>
              </w:rPr>
              <w:t xml:space="preserve"> — Effect of Compliance Code</w:t>
            </w:r>
          </w:p>
          <w:p w14:paraId="306468BD" w14:textId="38CCE848" w:rsidR="00922480" w:rsidRDefault="00A7538C" w:rsidP="00292A53">
            <w:pPr>
              <w:spacing w:after="60"/>
              <w:rPr>
                <w:rFonts w:cs="Arial"/>
                <w:color w:val="000000"/>
                <w:sz w:val="14"/>
                <w:szCs w:val="16"/>
                <w:lang w:val="en-GB"/>
              </w:rPr>
            </w:pPr>
            <w:hyperlink r:id="rId1518" w:history="1">
              <w:r w:rsidR="00C65744" w:rsidRPr="008C4398">
                <w:rPr>
                  <w:rStyle w:val="Hyperlink"/>
                  <w:rFonts w:cs="Arial"/>
                  <w:sz w:val="14"/>
                  <w:szCs w:val="16"/>
                  <w:lang w:val="en-GB"/>
                </w:rPr>
                <w:t>s124</w:t>
              </w:r>
            </w:hyperlink>
            <w:r w:rsidR="00C65744" w:rsidRPr="00C65744">
              <w:rPr>
                <w:rFonts w:cs="Arial"/>
                <w:color w:val="000000"/>
                <w:sz w:val="14"/>
                <w:szCs w:val="16"/>
                <w:lang w:val="en-GB"/>
              </w:rPr>
              <w:t xml:space="preserve"> — Effect of c</w:t>
            </w:r>
            <w:r w:rsidR="00BB3C4A">
              <w:rPr>
                <w:rFonts w:cs="Arial"/>
                <w:color w:val="000000"/>
                <w:sz w:val="14"/>
                <w:szCs w:val="16"/>
                <w:lang w:val="en-GB"/>
              </w:rPr>
              <w:t>ompliance with compliance codes</w:t>
            </w:r>
          </w:p>
          <w:p w14:paraId="2FBD3E15" w14:textId="58E95CA3" w:rsidR="00C65744" w:rsidRPr="00C65744" w:rsidRDefault="00A7538C" w:rsidP="00292A53">
            <w:pPr>
              <w:spacing w:after="60"/>
              <w:rPr>
                <w:rFonts w:cs="Arial"/>
                <w:color w:val="000000"/>
                <w:sz w:val="14"/>
                <w:szCs w:val="16"/>
                <w:lang w:val="en-GB"/>
              </w:rPr>
            </w:pPr>
            <w:hyperlink r:id="rId1519" w:history="1">
              <w:r w:rsidR="00C65744" w:rsidRPr="008C4398">
                <w:rPr>
                  <w:rStyle w:val="Hyperlink"/>
                  <w:rFonts w:cs="Arial"/>
                  <w:sz w:val="14"/>
                  <w:szCs w:val="16"/>
                  <w:lang w:val="en-GB"/>
                </w:rPr>
                <w:t>s125</w:t>
              </w:r>
            </w:hyperlink>
            <w:r w:rsidR="00C65744" w:rsidRPr="00C65744">
              <w:rPr>
                <w:rFonts w:cs="Arial"/>
                <w:color w:val="000000"/>
                <w:sz w:val="14"/>
                <w:szCs w:val="16"/>
                <w:lang w:val="en-GB"/>
              </w:rPr>
              <w:t xml:space="preserve"> — Functions of Authority</w:t>
            </w:r>
            <w:r w:rsidR="00BB3C4A">
              <w:rPr>
                <w:rFonts w:cs="Arial"/>
                <w:color w:val="000000"/>
                <w:sz w:val="14"/>
                <w:szCs w:val="16"/>
                <w:lang w:val="en-GB"/>
              </w:rPr>
              <w:t xml:space="preserve"> in respect of compliance codes</w:t>
            </w:r>
          </w:p>
          <w:p w14:paraId="0A3689A0" w14:textId="31F233DF" w:rsidR="00922480" w:rsidRDefault="00C65744" w:rsidP="00292A53">
            <w:pPr>
              <w:spacing w:after="60"/>
              <w:rPr>
                <w:rFonts w:cs="Arial"/>
                <w:color w:val="000000"/>
                <w:sz w:val="14"/>
                <w:szCs w:val="16"/>
                <w:lang w:val="en-GB"/>
              </w:rPr>
            </w:pPr>
            <w:r w:rsidRPr="00C65744">
              <w:rPr>
                <w:rFonts w:cs="Arial"/>
                <w:color w:val="000000"/>
                <w:sz w:val="14"/>
                <w:szCs w:val="16"/>
                <w:lang w:val="en-GB"/>
              </w:rPr>
              <w:t>Division 6 — Return to Work Inspectorate (</w:t>
            </w:r>
            <w:hyperlink r:id="rId1520" w:history="1">
              <w:r w:rsidRPr="00F8493E">
                <w:rPr>
                  <w:rStyle w:val="Hyperlink"/>
                  <w:rFonts w:cs="Arial"/>
                  <w:sz w:val="14"/>
                  <w:szCs w:val="16"/>
                  <w:lang w:val="en-GB"/>
                </w:rPr>
                <w:t>s126</w:t>
              </w:r>
            </w:hyperlink>
            <w:r w:rsidRPr="00C65744">
              <w:rPr>
                <w:rFonts w:cs="Arial"/>
                <w:color w:val="000000"/>
                <w:sz w:val="14"/>
                <w:szCs w:val="16"/>
                <w:lang w:val="en-GB"/>
              </w:rPr>
              <w:t xml:space="preserve"> and </w:t>
            </w:r>
            <w:hyperlink r:id="rId1521" w:history="1">
              <w:r w:rsidRPr="00F8493E">
                <w:rPr>
                  <w:rStyle w:val="Hyperlink"/>
                  <w:rFonts w:cs="Arial"/>
                  <w:sz w:val="14"/>
                  <w:szCs w:val="16"/>
                  <w:lang w:val="en-GB"/>
                </w:rPr>
                <w:t>s127</w:t>
              </w:r>
            </w:hyperlink>
            <w:r w:rsidR="00BB3C4A">
              <w:rPr>
                <w:rFonts w:cs="Arial"/>
                <w:color w:val="000000"/>
                <w:sz w:val="14"/>
                <w:szCs w:val="16"/>
                <w:lang w:val="en-GB"/>
              </w:rPr>
              <w:t>)</w:t>
            </w:r>
          </w:p>
          <w:p w14:paraId="53836BDF" w14:textId="5F0E9620" w:rsidR="00922480" w:rsidRDefault="00C65744" w:rsidP="00292A53">
            <w:pPr>
              <w:spacing w:after="60"/>
              <w:rPr>
                <w:rFonts w:cs="Arial"/>
                <w:color w:val="000000"/>
                <w:sz w:val="14"/>
                <w:szCs w:val="16"/>
                <w:lang w:val="en-GB"/>
              </w:rPr>
            </w:pPr>
            <w:r w:rsidRPr="00C65744">
              <w:rPr>
                <w:rFonts w:cs="Arial"/>
                <w:color w:val="000000"/>
                <w:sz w:val="14"/>
                <w:szCs w:val="16"/>
                <w:lang w:val="en-GB"/>
              </w:rPr>
              <w:t>Division 7 — Functions and powe</w:t>
            </w:r>
            <w:r w:rsidR="00BB3C4A">
              <w:rPr>
                <w:rFonts w:cs="Arial"/>
                <w:color w:val="000000"/>
                <w:sz w:val="14"/>
                <w:szCs w:val="16"/>
                <w:lang w:val="en-GB"/>
              </w:rPr>
              <w:t>rs of inspectors (</w:t>
            </w:r>
            <w:hyperlink r:id="rId1522" w:history="1">
              <w:r w:rsidR="00BB3C4A" w:rsidRPr="00F8493E">
                <w:rPr>
                  <w:rStyle w:val="Hyperlink"/>
                  <w:rFonts w:cs="Arial"/>
                  <w:sz w:val="14"/>
                  <w:szCs w:val="16"/>
                  <w:lang w:val="en-GB"/>
                </w:rPr>
                <w:t>s128 to s145</w:t>
              </w:r>
            </w:hyperlink>
            <w:r w:rsidR="00BB3C4A">
              <w:rPr>
                <w:rFonts w:cs="Arial"/>
                <w:color w:val="000000"/>
                <w:sz w:val="14"/>
                <w:szCs w:val="16"/>
                <w:lang w:val="en-GB"/>
              </w:rPr>
              <w:t>)</w:t>
            </w:r>
          </w:p>
          <w:p w14:paraId="2F5DE5E9" w14:textId="72CE3F19" w:rsidR="00922480" w:rsidRDefault="00C65744" w:rsidP="00292A53">
            <w:pPr>
              <w:spacing w:after="60"/>
              <w:rPr>
                <w:rFonts w:cs="Arial"/>
                <w:color w:val="000000"/>
                <w:sz w:val="14"/>
                <w:szCs w:val="16"/>
                <w:lang w:val="en-GB"/>
              </w:rPr>
            </w:pPr>
            <w:r w:rsidRPr="00C65744">
              <w:rPr>
                <w:rFonts w:cs="Arial"/>
                <w:color w:val="000000"/>
                <w:sz w:val="14"/>
                <w:szCs w:val="16"/>
                <w:lang w:val="en-GB"/>
              </w:rPr>
              <w:t>Divis</w:t>
            </w:r>
            <w:r w:rsidR="00BB3C4A">
              <w:rPr>
                <w:rFonts w:cs="Arial"/>
                <w:color w:val="000000"/>
                <w:sz w:val="14"/>
                <w:szCs w:val="16"/>
                <w:lang w:val="en-GB"/>
              </w:rPr>
              <w:t>ion 8 — Offences (</w:t>
            </w:r>
            <w:hyperlink r:id="rId1523" w:history="1">
              <w:r w:rsidR="00BB3C4A" w:rsidRPr="00F8493E">
                <w:rPr>
                  <w:rStyle w:val="Hyperlink"/>
                  <w:rFonts w:cs="Arial"/>
                  <w:sz w:val="14"/>
                  <w:szCs w:val="16"/>
                  <w:lang w:val="en-GB"/>
                </w:rPr>
                <w:t>s146 to s148</w:t>
              </w:r>
            </w:hyperlink>
            <w:r w:rsidR="00BB3C4A">
              <w:rPr>
                <w:rFonts w:cs="Arial"/>
                <w:color w:val="000000"/>
                <w:sz w:val="14"/>
                <w:szCs w:val="16"/>
                <w:lang w:val="en-GB"/>
              </w:rPr>
              <w:t>)</w:t>
            </w:r>
          </w:p>
          <w:p w14:paraId="0A037B48" w14:textId="676E9318"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Division 9 — Rev</w:t>
            </w:r>
            <w:r w:rsidR="00BB3C4A">
              <w:rPr>
                <w:rFonts w:cs="Arial"/>
                <w:color w:val="000000"/>
                <w:sz w:val="14"/>
                <w:szCs w:val="16"/>
                <w:lang w:val="en-GB"/>
              </w:rPr>
              <w:t>iew of decisions (</w:t>
            </w:r>
            <w:hyperlink r:id="rId1524" w:history="1">
              <w:r w:rsidR="00BB3C4A" w:rsidRPr="00F8493E">
                <w:rPr>
                  <w:rStyle w:val="Hyperlink"/>
                  <w:rFonts w:cs="Arial"/>
                  <w:sz w:val="14"/>
                  <w:szCs w:val="16"/>
                  <w:lang w:val="en-GB"/>
                </w:rPr>
                <w:t>s149 to s151</w:t>
              </w:r>
            </w:hyperlink>
            <w:r w:rsidR="00BB3C4A">
              <w:rPr>
                <w:rFonts w:cs="Arial"/>
                <w:color w:val="000000"/>
                <w:sz w:val="14"/>
                <w:szCs w:val="16"/>
                <w:lang w:val="en-GB"/>
              </w:rPr>
              <w:t>)</w:t>
            </w:r>
          </w:p>
          <w:p w14:paraId="429D2FDB" w14:textId="0D229FA2" w:rsidR="00C65744" w:rsidRPr="00C65744" w:rsidRDefault="00A7538C" w:rsidP="00292A53">
            <w:pPr>
              <w:spacing w:after="60"/>
              <w:rPr>
                <w:rFonts w:cs="Arial"/>
                <w:color w:val="000000"/>
                <w:sz w:val="14"/>
                <w:szCs w:val="16"/>
                <w:lang w:val="en-GB"/>
              </w:rPr>
            </w:pPr>
            <w:hyperlink r:id="rId1525" w:history="1">
              <w:r w:rsidR="00C65744" w:rsidRPr="00356D48">
                <w:rPr>
                  <w:rStyle w:val="Hyperlink"/>
                  <w:rFonts w:cs="Arial"/>
                  <w:sz w:val="14"/>
                  <w:szCs w:val="16"/>
                  <w:lang w:val="en-GB"/>
                </w:rPr>
                <w:t>s222</w:t>
              </w:r>
            </w:hyperlink>
            <w:r w:rsidR="00C65744" w:rsidRPr="00C65744">
              <w:rPr>
                <w:rFonts w:cs="Arial"/>
                <w:color w:val="000000"/>
                <w:sz w:val="14"/>
                <w:szCs w:val="16"/>
                <w:lang w:val="en-GB"/>
              </w:rPr>
              <w:t xml:space="preserve"> — Commission or self-insurer may </w:t>
            </w:r>
            <w:r w:rsidR="00BB3C4A">
              <w:rPr>
                <w:rFonts w:cs="Arial"/>
                <w:color w:val="000000"/>
                <w:sz w:val="14"/>
                <w:szCs w:val="16"/>
                <w:lang w:val="en-GB"/>
              </w:rPr>
              <w:t>pay for rehabilitation services</w:t>
            </w:r>
          </w:p>
          <w:p w14:paraId="3677CAF6" w14:textId="0A5FE885" w:rsidR="00922480" w:rsidRDefault="00A7538C" w:rsidP="00292A53">
            <w:pPr>
              <w:spacing w:after="60"/>
              <w:rPr>
                <w:rFonts w:cs="Arial"/>
                <w:color w:val="000000"/>
                <w:sz w:val="14"/>
                <w:szCs w:val="16"/>
                <w:lang w:val="en-GB"/>
              </w:rPr>
            </w:pPr>
            <w:hyperlink r:id="rId1526" w:history="1">
              <w:r w:rsidR="00C65744" w:rsidRPr="00356D48">
                <w:rPr>
                  <w:rStyle w:val="Hyperlink"/>
                  <w:rFonts w:cs="Arial"/>
                  <w:sz w:val="14"/>
                  <w:szCs w:val="16"/>
                  <w:lang w:val="en-GB"/>
                </w:rPr>
                <w:t>s224</w:t>
              </w:r>
            </w:hyperlink>
            <w:r w:rsidR="00C65744" w:rsidRPr="00C65744">
              <w:rPr>
                <w:rFonts w:cs="Arial"/>
                <w:color w:val="000000"/>
                <w:sz w:val="14"/>
                <w:szCs w:val="16"/>
                <w:lang w:val="en-GB"/>
              </w:rPr>
              <w:t xml:space="preserve"> — Compensation for medical</w:t>
            </w:r>
            <w:r w:rsidR="00BB3C4A">
              <w:rPr>
                <w:rFonts w:cs="Arial"/>
                <w:color w:val="000000"/>
                <w:sz w:val="14"/>
                <w:szCs w:val="16"/>
                <w:lang w:val="en-GB"/>
              </w:rPr>
              <w:t xml:space="preserve"> and like services</w:t>
            </w:r>
          </w:p>
          <w:p w14:paraId="04E2C156" w14:textId="7E381E2E" w:rsidR="00922480" w:rsidRDefault="00A7538C" w:rsidP="00292A53">
            <w:pPr>
              <w:spacing w:after="60"/>
              <w:rPr>
                <w:rFonts w:cs="Arial"/>
                <w:color w:val="000000"/>
                <w:sz w:val="14"/>
                <w:szCs w:val="16"/>
                <w:lang w:val="en-GB"/>
              </w:rPr>
            </w:pPr>
            <w:hyperlink r:id="rId1527" w:history="1">
              <w:r w:rsidR="00C65744" w:rsidRPr="00356D48">
                <w:rPr>
                  <w:rStyle w:val="Hyperlink"/>
                  <w:rFonts w:cs="Arial"/>
                  <w:sz w:val="14"/>
                  <w:szCs w:val="16"/>
                  <w:lang w:val="en-GB"/>
                </w:rPr>
                <w:t>s575</w:t>
              </w:r>
            </w:hyperlink>
            <w:r w:rsidR="00C65744" w:rsidRPr="00C65744">
              <w:rPr>
                <w:rFonts w:cs="Arial"/>
                <w:color w:val="000000"/>
                <w:sz w:val="14"/>
                <w:szCs w:val="16"/>
                <w:lang w:val="en-GB"/>
              </w:rPr>
              <w:t xml:space="preserve"> — Offence to e</w:t>
            </w:r>
            <w:r w:rsidR="00BB3C4A">
              <w:rPr>
                <w:rFonts w:cs="Arial"/>
                <w:color w:val="000000"/>
                <w:sz w:val="14"/>
                <w:szCs w:val="16"/>
                <w:lang w:val="en-GB"/>
              </w:rPr>
              <w:t>ngage in discriminatory conduct</w:t>
            </w:r>
          </w:p>
          <w:p w14:paraId="683AA932" w14:textId="39298CF4" w:rsidR="00922480" w:rsidRDefault="00A7538C" w:rsidP="00292A53">
            <w:pPr>
              <w:spacing w:after="60"/>
              <w:rPr>
                <w:rFonts w:cs="Arial"/>
                <w:color w:val="000000"/>
                <w:sz w:val="14"/>
                <w:szCs w:val="16"/>
                <w:lang w:val="en-GB"/>
              </w:rPr>
            </w:pPr>
            <w:hyperlink r:id="rId1528" w:history="1">
              <w:r w:rsidR="00C65744" w:rsidRPr="00356D48">
                <w:rPr>
                  <w:rStyle w:val="Hyperlink"/>
                  <w:rFonts w:cs="Arial"/>
                  <w:sz w:val="14"/>
                  <w:szCs w:val="16"/>
                  <w:lang w:val="en-GB"/>
                </w:rPr>
                <w:t>s609</w:t>
              </w:r>
            </w:hyperlink>
            <w:r w:rsidR="00C65744" w:rsidRPr="00C65744">
              <w:rPr>
                <w:rFonts w:cs="Arial"/>
                <w:color w:val="000000"/>
                <w:sz w:val="14"/>
                <w:szCs w:val="16"/>
                <w:lang w:val="en-GB"/>
              </w:rPr>
              <w:t xml:space="preserve"> — Di</w:t>
            </w:r>
            <w:r w:rsidR="00BB3C4A">
              <w:rPr>
                <w:rFonts w:cs="Arial"/>
                <w:color w:val="000000"/>
                <w:sz w:val="14"/>
                <w:szCs w:val="16"/>
                <w:lang w:val="en-GB"/>
              </w:rPr>
              <w:t>rections issued by the Minister</w:t>
            </w:r>
          </w:p>
          <w:p w14:paraId="2341AEF7" w14:textId="527D0CAF" w:rsidR="00C65744" w:rsidRPr="00C65744" w:rsidRDefault="00A7538C" w:rsidP="00292A53">
            <w:pPr>
              <w:spacing w:after="60"/>
              <w:rPr>
                <w:rFonts w:cs="Arial"/>
                <w:color w:val="000000"/>
                <w:sz w:val="14"/>
                <w:szCs w:val="16"/>
                <w:lang w:val="en-GB"/>
              </w:rPr>
            </w:pPr>
            <w:hyperlink r:id="rId1529" w:history="1">
              <w:r w:rsidR="00C65744" w:rsidRPr="00356D48">
                <w:rPr>
                  <w:rStyle w:val="Hyperlink"/>
                  <w:rFonts w:cs="Arial"/>
                  <w:sz w:val="14"/>
                  <w:szCs w:val="16"/>
                  <w:lang w:val="en-GB"/>
                </w:rPr>
                <w:t>s610</w:t>
              </w:r>
            </w:hyperlink>
            <w:r w:rsidR="00C65744" w:rsidRPr="00C65744">
              <w:rPr>
                <w:rFonts w:cs="Arial"/>
                <w:color w:val="000000"/>
                <w:sz w:val="14"/>
                <w:szCs w:val="16"/>
                <w:lang w:val="en-GB"/>
              </w:rPr>
              <w:t xml:space="preserve"> — Directions g</w:t>
            </w:r>
            <w:r w:rsidR="00BB3C4A">
              <w:rPr>
                <w:rFonts w:cs="Arial"/>
                <w:color w:val="000000"/>
                <w:sz w:val="14"/>
                <w:szCs w:val="16"/>
                <w:lang w:val="en-GB"/>
              </w:rPr>
              <w:t>iven for the purposes of Part 4</w:t>
            </w:r>
          </w:p>
        </w:tc>
        <w:tc>
          <w:tcPr>
            <w:tcW w:w="6836" w:type="dxa"/>
            <w:shd w:val="clear" w:color="auto" w:fill="auto"/>
            <w:tcMar>
              <w:top w:w="80" w:type="dxa"/>
              <w:left w:w="80" w:type="dxa"/>
              <w:bottom w:w="80" w:type="dxa"/>
              <w:right w:w="80" w:type="dxa"/>
            </w:tcMar>
          </w:tcPr>
          <w:p w14:paraId="29E1FB5F" w14:textId="7055CB67" w:rsidR="00C65744" w:rsidRPr="00C65744" w:rsidRDefault="00A7538C" w:rsidP="00292A53">
            <w:pPr>
              <w:spacing w:after="60"/>
              <w:rPr>
                <w:rFonts w:cs="Arial"/>
                <w:color w:val="000000"/>
                <w:sz w:val="14"/>
                <w:szCs w:val="16"/>
                <w:lang w:val="en-GB"/>
              </w:rPr>
            </w:pPr>
            <w:hyperlink r:id="rId1530" w:history="1">
              <w:r w:rsidR="00D74082">
                <w:rPr>
                  <w:rFonts w:cs="Arial"/>
                  <w:color w:val="0000FF"/>
                  <w:sz w:val="14"/>
                  <w:szCs w:val="16"/>
                  <w:u w:val="single"/>
                  <w:lang w:val="en-GB"/>
                </w:rPr>
                <w:t>Labour hire and return to work — information for employers</w:t>
              </w:r>
            </w:hyperlink>
          </w:p>
          <w:p w14:paraId="5D75237B" w14:textId="3995B25F" w:rsidR="00C65744" w:rsidRPr="00C65744" w:rsidRDefault="00A7538C" w:rsidP="00292A53">
            <w:pPr>
              <w:spacing w:after="60"/>
              <w:rPr>
                <w:rFonts w:cs="Arial"/>
                <w:color w:val="0000FF"/>
                <w:sz w:val="14"/>
                <w:szCs w:val="16"/>
                <w:u w:val="single"/>
                <w:lang w:val="en-GB"/>
              </w:rPr>
            </w:pPr>
            <w:hyperlink r:id="rId1531" w:history="1">
              <w:r w:rsidR="00C65744" w:rsidRPr="00D74082">
                <w:rPr>
                  <w:rStyle w:val="Hyperlink"/>
                  <w:rFonts w:cs="Arial"/>
                  <w:sz w:val="14"/>
                  <w:szCs w:val="16"/>
                  <w:lang w:val="en-GB"/>
                </w:rPr>
                <w:t xml:space="preserve">Return to work coordination the basics you </w:t>
              </w:r>
              <w:r w:rsidR="00D74082" w:rsidRPr="00D74082">
                <w:rPr>
                  <w:rStyle w:val="Hyperlink"/>
                  <w:rFonts w:cs="Arial"/>
                  <w:sz w:val="14"/>
                  <w:szCs w:val="16"/>
                  <w:lang w:val="en-GB"/>
                </w:rPr>
                <w:t>need to know</w:t>
              </w:r>
            </w:hyperlink>
          </w:p>
          <w:p w14:paraId="71DF19D2" w14:textId="377A50B5" w:rsidR="00C65744" w:rsidRPr="00C65744" w:rsidRDefault="00A7538C" w:rsidP="00292A53">
            <w:pPr>
              <w:spacing w:after="60"/>
              <w:rPr>
                <w:rFonts w:cs="Arial"/>
                <w:color w:val="0000FF"/>
                <w:sz w:val="14"/>
                <w:szCs w:val="16"/>
                <w:u w:val="single"/>
                <w:lang w:val="en-GB"/>
              </w:rPr>
            </w:pPr>
            <w:hyperlink r:id="rId1532" w:history="1">
              <w:r w:rsidR="00C65744" w:rsidRPr="00D74082">
                <w:rPr>
                  <w:rStyle w:val="Hyperlink"/>
                  <w:rFonts w:cs="Arial"/>
                  <w:sz w:val="14"/>
                  <w:szCs w:val="16"/>
                  <w:lang w:val="en-GB"/>
                </w:rPr>
                <w:t>Returning to work guide for inj</w:t>
              </w:r>
              <w:r w:rsidR="00D74082" w:rsidRPr="00D74082">
                <w:rPr>
                  <w:rStyle w:val="Hyperlink"/>
                  <w:rFonts w:cs="Arial"/>
                  <w:sz w:val="14"/>
                  <w:szCs w:val="16"/>
                  <w:lang w:val="en-GB"/>
                </w:rPr>
                <w:t>ured workers</w:t>
              </w:r>
            </w:hyperlink>
          </w:p>
          <w:p w14:paraId="16EE7BF6" w14:textId="2942A840" w:rsidR="00C65744" w:rsidRPr="00C65744" w:rsidRDefault="00A7538C" w:rsidP="00292A53">
            <w:pPr>
              <w:spacing w:after="60"/>
              <w:rPr>
                <w:rFonts w:cs="Arial"/>
                <w:color w:val="0000FF"/>
                <w:sz w:val="14"/>
                <w:szCs w:val="16"/>
                <w:u w:val="single"/>
                <w:lang w:val="en-GB"/>
              </w:rPr>
            </w:pPr>
            <w:hyperlink r:id="rId1533" w:history="1">
              <w:r w:rsidR="00C65744" w:rsidRPr="00D74082">
                <w:rPr>
                  <w:rStyle w:val="Hyperlink"/>
                  <w:rFonts w:cs="Arial"/>
                  <w:sz w:val="14"/>
                  <w:szCs w:val="16"/>
                  <w:lang w:val="en-GB"/>
                </w:rPr>
                <w:t xml:space="preserve">Steps to resolving return to </w:t>
              </w:r>
              <w:r w:rsidR="00D74082" w:rsidRPr="00D74082">
                <w:rPr>
                  <w:rStyle w:val="Hyperlink"/>
                  <w:rFonts w:cs="Arial"/>
                  <w:sz w:val="14"/>
                  <w:szCs w:val="16"/>
                  <w:lang w:val="en-GB"/>
                </w:rPr>
                <w:t>work issues</w:t>
              </w:r>
            </w:hyperlink>
          </w:p>
          <w:p w14:paraId="56164AC8" w14:textId="15FBEECF" w:rsidR="00C65744" w:rsidRPr="00C65744" w:rsidRDefault="00A7538C" w:rsidP="00292A53">
            <w:pPr>
              <w:spacing w:after="60"/>
              <w:rPr>
                <w:rFonts w:cs="Arial"/>
                <w:color w:val="000000"/>
                <w:sz w:val="14"/>
                <w:szCs w:val="16"/>
                <w:lang w:val="en-GB"/>
              </w:rPr>
            </w:pPr>
            <w:hyperlink r:id="rId1534" w:history="1">
              <w:r w:rsidR="004A2B7B" w:rsidRPr="004A2B7B">
                <w:rPr>
                  <w:rStyle w:val="Hyperlink"/>
                  <w:rFonts w:cs="Arial"/>
                  <w:sz w:val="14"/>
                  <w:szCs w:val="16"/>
                  <w:lang w:val="en-GB"/>
                </w:rPr>
                <w:t>What to do if a worker is injured — a guide for employers</w:t>
              </w:r>
            </w:hyperlink>
          </w:p>
          <w:p w14:paraId="303FC043" w14:textId="2C1CD8FD" w:rsidR="00C65744" w:rsidRPr="00C65744" w:rsidRDefault="00A7538C" w:rsidP="00292A53">
            <w:pPr>
              <w:spacing w:after="60"/>
              <w:rPr>
                <w:rFonts w:cs="Arial"/>
                <w:color w:val="0000FF"/>
                <w:sz w:val="14"/>
                <w:szCs w:val="16"/>
                <w:u w:val="single"/>
                <w:lang w:val="en-GB"/>
              </w:rPr>
            </w:pPr>
            <w:hyperlink r:id="rId1535" w:history="1">
              <w:r w:rsidR="00C65744" w:rsidRPr="00386FD5">
                <w:rPr>
                  <w:rStyle w:val="Hyperlink"/>
                  <w:rFonts w:cs="Arial"/>
                  <w:sz w:val="14"/>
                  <w:szCs w:val="16"/>
                  <w:lang w:val="en-GB"/>
                </w:rPr>
                <w:t>Return to work</w:t>
              </w:r>
              <w:r w:rsidR="00386FD5" w:rsidRPr="00386FD5">
                <w:rPr>
                  <w:rStyle w:val="Hyperlink"/>
                  <w:rFonts w:cs="Arial"/>
                  <w:sz w:val="14"/>
                  <w:szCs w:val="16"/>
                  <w:lang w:val="en-GB"/>
                </w:rPr>
                <w:t xml:space="preserve"> arrangements</w:t>
              </w:r>
            </w:hyperlink>
          </w:p>
          <w:p w14:paraId="18BF8982" w14:textId="231CE2EB" w:rsidR="00C65744" w:rsidRPr="00C65744" w:rsidRDefault="00A7538C" w:rsidP="00292A53">
            <w:pPr>
              <w:spacing w:after="60"/>
              <w:rPr>
                <w:rFonts w:cs="Arial"/>
                <w:color w:val="0000FF"/>
                <w:sz w:val="14"/>
                <w:szCs w:val="16"/>
                <w:u w:val="single"/>
                <w:lang w:val="en-GB"/>
              </w:rPr>
            </w:pPr>
            <w:hyperlink r:id="rId1536" w:history="1">
              <w:r w:rsidR="00C65744" w:rsidRPr="00386FD5">
                <w:rPr>
                  <w:rStyle w:val="Hyperlink"/>
                  <w:rFonts w:cs="Arial"/>
                  <w:sz w:val="14"/>
                  <w:szCs w:val="16"/>
                  <w:lang w:val="en-GB"/>
                </w:rPr>
                <w:t>Suitable employment for injured workers — a step by step guide to assessing suitable emplo</w:t>
              </w:r>
              <w:r w:rsidR="00386FD5" w:rsidRPr="00386FD5">
                <w:rPr>
                  <w:rStyle w:val="Hyperlink"/>
                  <w:rFonts w:cs="Arial"/>
                  <w:sz w:val="14"/>
                  <w:szCs w:val="16"/>
                  <w:lang w:val="en-GB"/>
                </w:rPr>
                <w:t>yment options</w:t>
              </w:r>
            </w:hyperlink>
          </w:p>
          <w:p w14:paraId="070AF86D" w14:textId="26C169E8" w:rsidR="00C65744" w:rsidRPr="00C65744" w:rsidRDefault="00A7538C" w:rsidP="00292A53">
            <w:pPr>
              <w:spacing w:after="60"/>
              <w:rPr>
                <w:rFonts w:cs="Arial"/>
                <w:color w:val="0000FF"/>
                <w:sz w:val="14"/>
                <w:szCs w:val="16"/>
                <w:u w:val="single"/>
                <w:lang w:val="en-GB"/>
              </w:rPr>
            </w:pPr>
            <w:hyperlink r:id="rId1537" w:history="1">
              <w:r w:rsidR="00C65744" w:rsidRPr="00386FD5">
                <w:rPr>
                  <w:rStyle w:val="Hyperlink"/>
                  <w:rFonts w:cs="Arial"/>
                  <w:sz w:val="14"/>
                  <w:szCs w:val="16"/>
                  <w:lang w:val="en-GB"/>
                </w:rPr>
                <w:t>Information for employers — compli</w:t>
              </w:r>
              <w:r w:rsidR="00386FD5" w:rsidRPr="00386FD5">
                <w:rPr>
                  <w:rStyle w:val="Hyperlink"/>
                  <w:rFonts w:cs="Arial"/>
                  <w:sz w:val="14"/>
                  <w:szCs w:val="16"/>
                  <w:lang w:val="en-GB"/>
                </w:rPr>
                <w:t>ance codes</w:t>
              </w:r>
            </w:hyperlink>
          </w:p>
          <w:p w14:paraId="4AE929EA" w14:textId="521CE1A1" w:rsidR="00C65744" w:rsidRPr="00C65744" w:rsidRDefault="00A7538C" w:rsidP="00292A53">
            <w:pPr>
              <w:spacing w:after="60"/>
              <w:rPr>
                <w:rFonts w:cs="Arial"/>
                <w:color w:val="0000FF"/>
                <w:sz w:val="14"/>
                <w:szCs w:val="16"/>
                <w:u w:val="single"/>
                <w:lang w:val="en-GB"/>
              </w:rPr>
            </w:pPr>
            <w:hyperlink r:id="rId1538" w:history="1">
              <w:r w:rsidR="00C65744" w:rsidRPr="00386FD5">
                <w:rPr>
                  <w:rStyle w:val="Hyperlink"/>
                  <w:rFonts w:cs="Arial"/>
                  <w:sz w:val="14"/>
                  <w:szCs w:val="16"/>
                  <w:lang w:val="en-GB"/>
                </w:rPr>
                <w:t>Information for employers — Return to Work Coordinator</w:t>
              </w:r>
              <w:r w:rsidR="00386FD5" w:rsidRPr="00386FD5">
                <w:rPr>
                  <w:rStyle w:val="Hyperlink"/>
                  <w:rFonts w:cs="Arial"/>
                  <w:sz w:val="14"/>
                  <w:szCs w:val="16"/>
                  <w:lang w:val="en-GB"/>
                </w:rPr>
                <w:t xml:space="preserve"> fact sheet</w:t>
              </w:r>
            </w:hyperlink>
          </w:p>
          <w:p w14:paraId="6DF9D850" w14:textId="2DB4EF1B" w:rsidR="00C65744" w:rsidRPr="00C65744" w:rsidRDefault="00A7538C" w:rsidP="00292A53">
            <w:pPr>
              <w:spacing w:after="60"/>
              <w:rPr>
                <w:rFonts w:cs="Arial"/>
                <w:color w:val="000000"/>
                <w:sz w:val="14"/>
                <w:szCs w:val="16"/>
                <w:lang w:val="en-GB"/>
              </w:rPr>
            </w:pPr>
            <w:hyperlink r:id="rId1539" w:history="1">
              <w:r w:rsidR="00C65744" w:rsidRPr="00386FD5">
                <w:rPr>
                  <w:rStyle w:val="Hyperlink"/>
                  <w:rFonts w:cs="Arial"/>
                  <w:sz w:val="14"/>
                  <w:szCs w:val="16"/>
                  <w:lang w:val="en-GB"/>
                </w:rPr>
                <w:t>Return to Work Comp</w:t>
              </w:r>
              <w:r w:rsidR="00386FD5" w:rsidRPr="00386FD5">
                <w:rPr>
                  <w:rStyle w:val="Hyperlink"/>
                  <w:rFonts w:cs="Arial"/>
                  <w:sz w:val="14"/>
                  <w:szCs w:val="16"/>
                  <w:lang w:val="en-GB"/>
                </w:rPr>
                <w:t>liance codes 1</w:t>
              </w:r>
            </w:hyperlink>
          </w:p>
          <w:p w14:paraId="24EC5AE4" w14:textId="4C5F0435" w:rsidR="00C65744" w:rsidRPr="00C65744" w:rsidRDefault="00A7538C" w:rsidP="00292A53">
            <w:pPr>
              <w:spacing w:after="60"/>
              <w:rPr>
                <w:rFonts w:cs="Arial"/>
                <w:color w:val="000000"/>
                <w:sz w:val="14"/>
                <w:szCs w:val="16"/>
                <w:lang w:val="en-GB"/>
              </w:rPr>
            </w:pPr>
            <w:hyperlink r:id="rId1540" w:history="1">
              <w:r w:rsidR="00C65744" w:rsidRPr="00386FD5">
                <w:rPr>
                  <w:rStyle w:val="Hyperlink"/>
                  <w:rFonts w:cs="Arial"/>
                  <w:sz w:val="14"/>
                  <w:szCs w:val="16"/>
                  <w:lang w:val="en-GB"/>
                </w:rPr>
                <w:t>Return to Work Comp</w:t>
              </w:r>
              <w:r w:rsidR="00386FD5" w:rsidRPr="00386FD5">
                <w:rPr>
                  <w:rStyle w:val="Hyperlink"/>
                  <w:rFonts w:cs="Arial"/>
                  <w:sz w:val="14"/>
                  <w:szCs w:val="16"/>
                  <w:lang w:val="en-GB"/>
                </w:rPr>
                <w:t>liance codes 2</w:t>
              </w:r>
            </w:hyperlink>
          </w:p>
          <w:p w14:paraId="1A67B0FA" w14:textId="360659ED" w:rsidR="00C65744" w:rsidRPr="00C65744" w:rsidRDefault="00A7538C" w:rsidP="00292A53">
            <w:pPr>
              <w:spacing w:after="60"/>
              <w:rPr>
                <w:rFonts w:cs="Arial"/>
                <w:color w:val="000000"/>
                <w:sz w:val="14"/>
                <w:szCs w:val="16"/>
                <w:lang w:val="en-GB"/>
              </w:rPr>
            </w:pPr>
            <w:hyperlink r:id="rId1541" w:history="1">
              <w:r w:rsidR="00C65744" w:rsidRPr="00386FD5">
                <w:rPr>
                  <w:rStyle w:val="Hyperlink"/>
                  <w:rFonts w:cs="Arial"/>
                  <w:sz w:val="14"/>
                  <w:szCs w:val="16"/>
                  <w:lang w:val="en-GB"/>
                </w:rPr>
                <w:t>Return to Wor</w:t>
              </w:r>
              <w:r w:rsidR="00386FD5" w:rsidRPr="00386FD5">
                <w:rPr>
                  <w:rStyle w:val="Hyperlink"/>
                  <w:rFonts w:cs="Arial"/>
                  <w:sz w:val="14"/>
                  <w:szCs w:val="16"/>
                  <w:lang w:val="en-GB"/>
                </w:rPr>
                <w:t>k Compliance codes 3</w:t>
              </w:r>
            </w:hyperlink>
          </w:p>
          <w:p w14:paraId="16FD19A0" w14:textId="7136E66A" w:rsidR="00C65744" w:rsidRPr="00C65744" w:rsidRDefault="00A7538C" w:rsidP="00292A53">
            <w:pPr>
              <w:spacing w:after="60"/>
              <w:rPr>
                <w:rFonts w:cs="Arial"/>
                <w:color w:val="000000"/>
                <w:sz w:val="14"/>
                <w:szCs w:val="16"/>
                <w:lang w:val="en-GB"/>
              </w:rPr>
            </w:pPr>
            <w:hyperlink r:id="rId1542" w:history="1">
              <w:r w:rsidR="00C65744" w:rsidRPr="00386FD5">
                <w:rPr>
                  <w:rStyle w:val="Hyperlink"/>
                  <w:rFonts w:cs="Arial"/>
                  <w:sz w:val="14"/>
                  <w:szCs w:val="16"/>
                  <w:lang w:val="en-GB"/>
                </w:rPr>
                <w:t>Return to Work Comp</w:t>
              </w:r>
              <w:r w:rsidR="00386FD5" w:rsidRPr="00386FD5">
                <w:rPr>
                  <w:rStyle w:val="Hyperlink"/>
                  <w:rFonts w:cs="Arial"/>
                  <w:sz w:val="14"/>
                  <w:szCs w:val="16"/>
                  <w:lang w:val="en-GB"/>
                </w:rPr>
                <w:t>liance codes 4</w:t>
              </w:r>
            </w:hyperlink>
          </w:p>
          <w:p w14:paraId="44365D47" w14:textId="6911B494" w:rsidR="00386FD5" w:rsidRDefault="00A7538C" w:rsidP="00292A53">
            <w:pPr>
              <w:spacing w:after="60"/>
              <w:rPr>
                <w:rFonts w:cs="Arial"/>
                <w:color w:val="000000"/>
                <w:sz w:val="14"/>
                <w:szCs w:val="16"/>
                <w:lang w:val="en-GB"/>
              </w:rPr>
            </w:pPr>
            <w:hyperlink r:id="rId1543" w:history="1">
              <w:r w:rsidR="00386FD5" w:rsidRPr="00386FD5">
                <w:rPr>
                  <w:rStyle w:val="Hyperlink"/>
                  <w:rFonts w:cs="Arial"/>
                  <w:sz w:val="14"/>
                  <w:szCs w:val="16"/>
                  <w:lang w:val="en-GB"/>
                </w:rPr>
                <w:t>Return to Work Obligations: Information for Employers</w:t>
              </w:r>
            </w:hyperlink>
          </w:p>
          <w:p w14:paraId="79329587" w14:textId="37E9230D" w:rsidR="00C65744" w:rsidRPr="00C65744" w:rsidRDefault="00A7538C" w:rsidP="00292A53">
            <w:pPr>
              <w:spacing w:after="60"/>
              <w:rPr>
                <w:rFonts w:cs="Arial"/>
                <w:color w:val="0000FF"/>
                <w:sz w:val="14"/>
                <w:szCs w:val="16"/>
                <w:u w:val="single"/>
                <w:lang w:val="en-GB"/>
              </w:rPr>
            </w:pPr>
            <w:hyperlink r:id="rId1544" w:history="1">
              <w:r w:rsidR="00C65744" w:rsidRPr="00386FD5">
                <w:rPr>
                  <w:rStyle w:val="Hyperlink"/>
                  <w:rFonts w:cs="Arial"/>
                  <w:sz w:val="14"/>
                  <w:szCs w:val="16"/>
                  <w:lang w:val="en-GB"/>
                </w:rPr>
                <w:t>Return to Work Ministerial Di</w:t>
              </w:r>
              <w:r w:rsidR="00BB3C4A" w:rsidRPr="00386FD5">
                <w:rPr>
                  <w:rStyle w:val="Hyperlink"/>
                  <w:rFonts w:cs="Arial"/>
                  <w:sz w:val="14"/>
                  <w:szCs w:val="16"/>
                  <w:lang w:val="en-GB"/>
                </w:rPr>
                <w:t>rection No 1 — Issue Resolution</w:t>
              </w:r>
            </w:hyperlink>
          </w:p>
          <w:p w14:paraId="39A86EFA" w14:textId="77777777" w:rsidR="00C65744" w:rsidRDefault="00A7538C" w:rsidP="00292A53">
            <w:pPr>
              <w:spacing w:after="60"/>
              <w:rPr>
                <w:rFonts w:cs="Arial"/>
                <w:color w:val="0000FF"/>
                <w:sz w:val="14"/>
                <w:szCs w:val="16"/>
                <w:u w:val="single"/>
                <w:lang w:val="en-GB"/>
              </w:rPr>
            </w:pPr>
            <w:hyperlink r:id="rId1545" w:history="1">
              <w:r w:rsidR="00C65744" w:rsidRPr="00386FD5">
                <w:rPr>
                  <w:rStyle w:val="Hyperlink"/>
                  <w:rFonts w:cs="Arial"/>
                  <w:sz w:val="14"/>
                  <w:szCs w:val="16"/>
                  <w:lang w:val="en-GB"/>
                </w:rPr>
                <w:t>Return to Work Inspector fact sheet</w:t>
              </w:r>
            </w:hyperlink>
          </w:p>
          <w:p w14:paraId="0E63C881" w14:textId="7B39ECCD" w:rsidR="00386FD5" w:rsidRPr="00C65744" w:rsidRDefault="00A7538C" w:rsidP="00292A53">
            <w:pPr>
              <w:spacing w:after="60"/>
              <w:rPr>
                <w:rFonts w:cs="Arial"/>
                <w:color w:val="000000"/>
                <w:sz w:val="14"/>
                <w:szCs w:val="16"/>
                <w:lang w:val="en-GB"/>
              </w:rPr>
            </w:pPr>
            <w:hyperlink r:id="rId1546" w:history="1">
              <w:r w:rsidR="00386FD5" w:rsidRPr="00386FD5">
                <w:rPr>
                  <w:rStyle w:val="Hyperlink"/>
                  <w:rFonts w:cs="Arial"/>
                  <w:sz w:val="14"/>
                  <w:szCs w:val="16"/>
                  <w:lang w:val="en-GB"/>
                </w:rPr>
                <w:t>Return to Work</w:t>
              </w:r>
            </w:hyperlink>
          </w:p>
        </w:tc>
      </w:tr>
      <w:tr w:rsidR="00C65744" w:rsidRPr="00C65744" w14:paraId="4CDDA1CE" w14:textId="77777777" w:rsidTr="00922480">
        <w:tc>
          <w:tcPr>
            <w:tcW w:w="1343" w:type="dxa"/>
            <w:shd w:val="clear" w:color="auto" w:fill="FFC9C9"/>
            <w:tcMar>
              <w:top w:w="80" w:type="dxa"/>
              <w:left w:w="80" w:type="dxa"/>
              <w:bottom w:w="80" w:type="dxa"/>
              <w:right w:w="80" w:type="dxa"/>
            </w:tcMar>
          </w:tcPr>
          <w:p w14:paraId="63F0022B"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Queensland</w:t>
            </w:r>
          </w:p>
        </w:tc>
        <w:tc>
          <w:tcPr>
            <w:tcW w:w="6836" w:type="dxa"/>
            <w:shd w:val="clear" w:color="auto" w:fill="FFC9C9"/>
            <w:tcMar>
              <w:top w:w="80" w:type="dxa"/>
              <w:left w:w="80" w:type="dxa"/>
              <w:bottom w:w="80" w:type="dxa"/>
              <w:right w:w="80" w:type="dxa"/>
            </w:tcMar>
          </w:tcPr>
          <w:p w14:paraId="0990058A" w14:textId="33420955" w:rsidR="00C65744" w:rsidRPr="00163684" w:rsidRDefault="00356D48" w:rsidP="00F839DB">
            <w:pPr>
              <w:pStyle w:val="ListParagraph"/>
              <w:numPr>
                <w:ilvl w:val="0"/>
                <w:numId w:val="272"/>
              </w:numPr>
              <w:spacing w:after="60"/>
              <w:contextualSpacing/>
              <w:rPr>
                <w:rFonts w:eastAsia="Calibri" w:cs="Arial"/>
                <w:sz w:val="14"/>
                <w:szCs w:val="14"/>
                <w:lang w:eastAsia="en-US"/>
              </w:rPr>
            </w:pPr>
            <w:r w:rsidRPr="00016069">
              <w:rPr>
                <w:i/>
                <w:sz w:val="14"/>
              </w:rPr>
              <w:t>Workers’ Compensation and Rehabilitation Act 2003</w:t>
            </w:r>
            <w:r w:rsidR="00C65744" w:rsidRPr="00163684">
              <w:rPr>
                <w:rFonts w:eastAsia="Calibri" w:cs="Arial"/>
                <w:sz w:val="14"/>
                <w:szCs w:val="14"/>
                <w:lang w:eastAsia="en-US"/>
              </w:rPr>
              <w:t xml:space="preserve"> </w:t>
            </w:r>
            <w:hyperlink r:id="rId1547" w:anchor="sec.220" w:history="1">
              <w:r w:rsidR="00A12CD6" w:rsidRPr="0092586E">
                <w:rPr>
                  <w:rStyle w:val="Hyperlink"/>
                  <w:rFonts w:eastAsia="Calibri" w:cs="Arial"/>
                  <w:sz w:val="14"/>
                  <w:szCs w:val="14"/>
                  <w:lang w:eastAsia="en-US"/>
                </w:rPr>
                <w:t>s220</w:t>
              </w:r>
            </w:hyperlink>
            <w:r w:rsidR="00C65744" w:rsidRPr="00163684">
              <w:rPr>
                <w:rFonts w:eastAsia="Calibri" w:cs="Arial"/>
                <w:sz w:val="14"/>
                <w:szCs w:val="14"/>
                <w:lang w:eastAsia="en-US"/>
              </w:rPr>
              <w:t xml:space="preserve"> — Insurer’s res</w:t>
            </w:r>
            <w:r w:rsidR="00BB3C4A">
              <w:rPr>
                <w:rFonts w:eastAsia="Calibri" w:cs="Arial"/>
                <w:sz w:val="14"/>
                <w:szCs w:val="14"/>
                <w:lang w:eastAsia="en-US"/>
              </w:rPr>
              <w:t>ponsibility for rehabilitation</w:t>
            </w:r>
          </w:p>
          <w:p w14:paraId="75313168" w14:textId="7986E630" w:rsidR="00C65744" w:rsidRPr="00163684" w:rsidRDefault="00A7538C" w:rsidP="00F839DB">
            <w:pPr>
              <w:pStyle w:val="ListParagraph"/>
              <w:numPr>
                <w:ilvl w:val="0"/>
                <w:numId w:val="272"/>
              </w:numPr>
              <w:spacing w:after="60"/>
              <w:contextualSpacing/>
              <w:rPr>
                <w:rFonts w:eastAsia="Calibri" w:cs="Arial"/>
                <w:sz w:val="14"/>
                <w:szCs w:val="14"/>
                <w:lang w:eastAsia="en-US"/>
              </w:rPr>
            </w:pPr>
            <w:hyperlink r:id="rId1548" w:anchor="sec.228" w:history="1">
              <w:r w:rsidR="00A12CD6" w:rsidRPr="0092586E">
                <w:rPr>
                  <w:rStyle w:val="Hyperlink"/>
                  <w:rFonts w:eastAsia="Calibri" w:cs="Arial"/>
                  <w:sz w:val="14"/>
                  <w:szCs w:val="14"/>
                  <w:lang w:eastAsia="en-US"/>
                </w:rPr>
                <w:t>s228</w:t>
              </w:r>
            </w:hyperlink>
            <w:r w:rsidR="00C65744" w:rsidRPr="00163684">
              <w:rPr>
                <w:rFonts w:eastAsia="Calibri" w:cs="Arial"/>
                <w:sz w:val="14"/>
                <w:szCs w:val="14"/>
                <w:lang w:eastAsia="en-US"/>
              </w:rPr>
              <w:t xml:space="preserve"> — Employer’s obligation to assist or provide rehabilitation. </w:t>
            </w:r>
          </w:p>
          <w:p w14:paraId="7B415E69" w14:textId="65225A76" w:rsidR="00C65744" w:rsidRPr="00163684" w:rsidRDefault="00C65744" w:rsidP="00F839DB">
            <w:pPr>
              <w:pStyle w:val="ListParagraph"/>
              <w:numPr>
                <w:ilvl w:val="0"/>
                <w:numId w:val="272"/>
              </w:numPr>
              <w:spacing w:after="60"/>
              <w:contextualSpacing/>
              <w:rPr>
                <w:rFonts w:eastAsia="Calibri" w:cs="Arial"/>
                <w:sz w:val="14"/>
                <w:szCs w:val="14"/>
                <w:lang w:eastAsia="en-US"/>
              </w:rPr>
            </w:pPr>
            <w:r w:rsidRPr="00163684">
              <w:rPr>
                <w:rFonts w:eastAsia="Calibri" w:cs="Arial"/>
                <w:sz w:val="14"/>
                <w:szCs w:val="14"/>
                <w:lang w:eastAsia="en-US"/>
              </w:rPr>
              <w:t xml:space="preserve">Reg </w:t>
            </w:r>
            <w:hyperlink r:id="rId1549" w:anchor="sec.116" w:history="1">
              <w:r w:rsidR="00A12CD6" w:rsidRPr="0092586E">
                <w:rPr>
                  <w:rStyle w:val="Hyperlink"/>
                  <w:rFonts w:eastAsia="Calibri" w:cs="Arial"/>
                  <w:sz w:val="14"/>
                  <w:szCs w:val="14"/>
                  <w:lang w:eastAsia="en-US"/>
                </w:rPr>
                <w:t>s116</w:t>
              </w:r>
            </w:hyperlink>
            <w:r w:rsidR="00BB3C4A">
              <w:rPr>
                <w:rFonts w:eastAsia="Calibri" w:cs="Arial"/>
                <w:sz w:val="14"/>
                <w:szCs w:val="14"/>
                <w:lang w:eastAsia="en-US"/>
              </w:rPr>
              <w:t xml:space="preserve"> Standard for rehabilitation</w:t>
            </w:r>
          </w:p>
        </w:tc>
        <w:tc>
          <w:tcPr>
            <w:tcW w:w="6836" w:type="dxa"/>
            <w:shd w:val="clear" w:color="auto" w:fill="FFC9C9"/>
            <w:tcMar>
              <w:top w:w="80" w:type="dxa"/>
              <w:left w:w="80" w:type="dxa"/>
              <w:bottom w:w="80" w:type="dxa"/>
              <w:right w:w="80" w:type="dxa"/>
            </w:tcMar>
          </w:tcPr>
          <w:p w14:paraId="15CFD743" w14:textId="5B4EEA8E" w:rsidR="00C65744" w:rsidRPr="00C65744" w:rsidRDefault="00A7538C" w:rsidP="00292A53">
            <w:pPr>
              <w:spacing w:after="60"/>
              <w:rPr>
                <w:rFonts w:cs="Arial"/>
                <w:color w:val="000000"/>
                <w:sz w:val="14"/>
                <w:szCs w:val="16"/>
                <w:lang w:val="en-GB"/>
              </w:rPr>
            </w:pPr>
            <w:hyperlink r:id="rId1550" w:history="1">
              <w:r w:rsidR="00C65744" w:rsidRPr="00C65744">
                <w:rPr>
                  <w:rFonts w:cs="Arial"/>
                  <w:color w:val="0000FF"/>
                  <w:sz w:val="14"/>
                  <w:szCs w:val="16"/>
                  <w:u w:val="single"/>
                  <w:lang w:val="en-GB"/>
                </w:rPr>
                <w:t>Guidelines for Standard for Rehabilitation</w:t>
              </w:r>
            </w:hyperlink>
          </w:p>
          <w:p w14:paraId="6181D538" w14:textId="77777777" w:rsidR="00C65744" w:rsidRPr="00C65744" w:rsidRDefault="00C65744" w:rsidP="00292A53">
            <w:pPr>
              <w:spacing w:after="60"/>
              <w:rPr>
                <w:rFonts w:cs="Arial"/>
                <w:color w:val="000000"/>
                <w:sz w:val="14"/>
                <w:szCs w:val="16"/>
                <w:lang w:val="en-GB"/>
              </w:rPr>
            </w:pPr>
          </w:p>
        </w:tc>
      </w:tr>
      <w:tr w:rsidR="00C65744" w:rsidRPr="00C65744" w14:paraId="349B3E3D" w14:textId="77777777" w:rsidTr="00922480">
        <w:tc>
          <w:tcPr>
            <w:tcW w:w="1343" w:type="dxa"/>
            <w:tcMar>
              <w:top w:w="80" w:type="dxa"/>
              <w:left w:w="80" w:type="dxa"/>
              <w:bottom w:w="80" w:type="dxa"/>
              <w:right w:w="80" w:type="dxa"/>
            </w:tcMar>
          </w:tcPr>
          <w:p w14:paraId="6D953B38"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Western Australia</w:t>
            </w:r>
          </w:p>
        </w:tc>
        <w:tc>
          <w:tcPr>
            <w:tcW w:w="6836" w:type="dxa"/>
            <w:tcMar>
              <w:top w:w="80" w:type="dxa"/>
              <w:left w:w="80" w:type="dxa"/>
              <w:bottom w:w="80" w:type="dxa"/>
              <w:right w:w="80" w:type="dxa"/>
            </w:tcMar>
          </w:tcPr>
          <w:p w14:paraId="110DB5F4" w14:textId="10EC35AD"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Workers’ Compensation Code of Practice (Injury Management) 2005: cl1–9; Act — s3, s5(1), s64, s65, s72B, s84</w:t>
            </w:r>
            <w:r w:rsidR="00BB3C4A">
              <w:rPr>
                <w:rFonts w:cs="Arial"/>
                <w:color w:val="000000"/>
                <w:sz w:val="14"/>
                <w:szCs w:val="16"/>
                <w:lang w:val="en-GB"/>
              </w:rPr>
              <w:t>AA(1), s84AB, Part IX, Part IXA</w:t>
            </w:r>
          </w:p>
        </w:tc>
        <w:tc>
          <w:tcPr>
            <w:tcW w:w="6836" w:type="dxa"/>
            <w:tcMar>
              <w:top w:w="80" w:type="dxa"/>
              <w:left w:w="80" w:type="dxa"/>
              <w:bottom w:w="80" w:type="dxa"/>
              <w:right w:w="80" w:type="dxa"/>
            </w:tcMar>
          </w:tcPr>
          <w:p w14:paraId="560A069D" w14:textId="77777777"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Publications:</w:t>
            </w:r>
          </w:p>
          <w:p w14:paraId="59AC9EFC" w14:textId="101B4A27" w:rsidR="00C65744" w:rsidRPr="00C65744" w:rsidRDefault="00A7538C" w:rsidP="00292A53">
            <w:pPr>
              <w:spacing w:after="60"/>
              <w:rPr>
                <w:rFonts w:cs="Arial"/>
                <w:color w:val="000000"/>
                <w:sz w:val="14"/>
                <w:szCs w:val="16"/>
                <w:lang w:val="en-GB"/>
              </w:rPr>
            </w:pPr>
            <w:hyperlink r:id="rId1551" w:tgtFrame="_blank" w:history="1">
              <w:r w:rsidR="00C65744" w:rsidRPr="00C65744">
                <w:rPr>
                  <w:rFonts w:cs="Arial"/>
                  <w:color w:val="0000FF"/>
                  <w:sz w:val="14"/>
                  <w:szCs w:val="16"/>
                  <w:u w:val="single"/>
                  <w:lang w:val="en-GB"/>
                </w:rPr>
                <w:t>Injury Management: A Guide for Employers</w:t>
              </w:r>
            </w:hyperlink>
          </w:p>
          <w:p w14:paraId="4E5BFD3E" w14:textId="7EFBA087" w:rsidR="00C65744" w:rsidRPr="00C65744" w:rsidRDefault="00A7538C" w:rsidP="00292A53">
            <w:pPr>
              <w:spacing w:after="60"/>
              <w:rPr>
                <w:rFonts w:cs="Arial"/>
                <w:color w:val="000000"/>
                <w:sz w:val="14"/>
                <w:szCs w:val="16"/>
                <w:lang w:val="en-GB"/>
              </w:rPr>
            </w:pPr>
            <w:hyperlink r:id="rId1552" w:tgtFrame="_blank" w:history="1">
              <w:r w:rsidR="00C65744" w:rsidRPr="00C65744">
                <w:rPr>
                  <w:rFonts w:cs="Arial"/>
                  <w:color w:val="0000FF"/>
                  <w:sz w:val="14"/>
                  <w:szCs w:val="16"/>
                  <w:u w:val="single"/>
                  <w:lang w:val="en-GB"/>
                </w:rPr>
                <w:t>Workers’ Compensation Code of Practice (Injury Management) 2005</w:t>
              </w:r>
            </w:hyperlink>
          </w:p>
          <w:p w14:paraId="3A0F093E" w14:textId="570154A7" w:rsidR="00C65744" w:rsidRPr="00C65744" w:rsidRDefault="00A7538C" w:rsidP="00292A53">
            <w:pPr>
              <w:spacing w:after="60"/>
              <w:rPr>
                <w:rFonts w:cs="Arial"/>
                <w:color w:val="000000"/>
                <w:sz w:val="14"/>
                <w:szCs w:val="16"/>
                <w:lang w:val="en-GB"/>
              </w:rPr>
            </w:pPr>
            <w:hyperlink r:id="rId1553" w:tgtFrame="_blank" w:history="1">
              <w:r w:rsidR="00C65744" w:rsidRPr="00C65744">
                <w:rPr>
                  <w:rFonts w:cs="Arial"/>
                  <w:color w:val="0000FF"/>
                  <w:sz w:val="14"/>
                  <w:szCs w:val="16"/>
                  <w:u w:val="single"/>
                  <w:lang w:val="en-GB"/>
                </w:rPr>
                <w:t>Template Return to Work Program</w:t>
              </w:r>
            </w:hyperlink>
          </w:p>
          <w:p w14:paraId="6DE26191" w14:textId="68944994" w:rsidR="00C65744" w:rsidRPr="00C65744" w:rsidRDefault="00A7538C" w:rsidP="00292A53">
            <w:pPr>
              <w:spacing w:after="60"/>
              <w:rPr>
                <w:rFonts w:cs="Arial"/>
                <w:color w:val="000000"/>
                <w:sz w:val="14"/>
                <w:szCs w:val="16"/>
                <w:lang w:val="en-GB"/>
              </w:rPr>
            </w:pPr>
            <w:hyperlink r:id="rId1554" w:tgtFrame="_blank" w:history="1">
              <w:r w:rsidR="00C65744" w:rsidRPr="00C65744">
                <w:rPr>
                  <w:rFonts w:cs="Arial"/>
                  <w:color w:val="0000FF"/>
                  <w:sz w:val="14"/>
                  <w:szCs w:val="16"/>
                  <w:u w:val="single"/>
                  <w:lang w:val="en-GB"/>
                </w:rPr>
                <w:t>Guide to the Nationally Consistent Approval Framework for Workplace Rehabilitation Providers</w:t>
              </w:r>
            </w:hyperlink>
          </w:p>
          <w:p w14:paraId="20C5F3E9" w14:textId="77777777"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 xml:space="preserve">Website info: </w:t>
            </w:r>
          </w:p>
          <w:p w14:paraId="652AEB6A" w14:textId="1808310F" w:rsidR="00C65744" w:rsidRPr="00C65744" w:rsidRDefault="00A7538C" w:rsidP="00292A53">
            <w:pPr>
              <w:spacing w:after="60"/>
              <w:rPr>
                <w:rFonts w:cs="Arial"/>
                <w:color w:val="000000"/>
                <w:sz w:val="14"/>
                <w:szCs w:val="16"/>
                <w:lang w:val="en-GB"/>
              </w:rPr>
            </w:pPr>
            <w:hyperlink r:id="rId1555" w:history="1">
              <w:r w:rsidR="00C65744" w:rsidRPr="00C65744">
                <w:rPr>
                  <w:rFonts w:cs="Arial"/>
                  <w:color w:val="0000FF"/>
                  <w:sz w:val="14"/>
                  <w:szCs w:val="16"/>
                  <w:u w:val="single"/>
                  <w:lang w:val="en-GB"/>
                </w:rPr>
                <w:t>Returning to work: Workers</w:t>
              </w:r>
            </w:hyperlink>
          </w:p>
          <w:p w14:paraId="3A961D12" w14:textId="4018F1FC" w:rsidR="00C65744" w:rsidRPr="00C65744" w:rsidRDefault="00A7538C" w:rsidP="00292A53">
            <w:pPr>
              <w:spacing w:after="60"/>
              <w:rPr>
                <w:rFonts w:cs="Arial"/>
                <w:color w:val="000000"/>
                <w:sz w:val="14"/>
                <w:szCs w:val="16"/>
                <w:lang w:val="en-GB"/>
              </w:rPr>
            </w:pPr>
            <w:hyperlink r:id="rId1556" w:history="1">
              <w:r w:rsidR="00C65744" w:rsidRPr="00C65744">
                <w:rPr>
                  <w:rFonts w:cs="Arial"/>
                  <w:color w:val="0000FF"/>
                  <w:sz w:val="14"/>
                  <w:szCs w:val="16"/>
                  <w:u w:val="single"/>
                  <w:lang w:val="en-GB"/>
                </w:rPr>
                <w:t>Returning to work: Employers</w:t>
              </w:r>
            </w:hyperlink>
          </w:p>
          <w:p w14:paraId="2BE61408" w14:textId="4F60653F" w:rsidR="00C65744" w:rsidRPr="00C65744" w:rsidRDefault="00A7538C" w:rsidP="00292A53">
            <w:pPr>
              <w:spacing w:after="60"/>
              <w:rPr>
                <w:rFonts w:cs="Arial"/>
                <w:color w:val="000000"/>
                <w:sz w:val="14"/>
                <w:szCs w:val="16"/>
                <w:lang w:val="en-GB"/>
              </w:rPr>
            </w:pPr>
            <w:hyperlink r:id="rId1557" w:anchor="WRPdirectory" w:history="1">
              <w:r w:rsidR="00C65744" w:rsidRPr="00C65744">
                <w:rPr>
                  <w:rFonts w:cs="Arial"/>
                  <w:color w:val="0000FF"/>
                  <w:sz w:val="14"/>
                  <w:szCs w:val="16"/>
                  <w:u w:val="single"/>
                </w:rPr>
                <w:t>List of approved workplace rehabilitation providers</w:t>
              </w:r>
            </w:hyperlink>
          </w:p>
        </w:tc>
      </w:tr>
      <w:tr w:rsidR="00C65744" w:rsidRPr="00C65744" w14:paraId="3B204D8A" w14:textId="77777777" w:rsidTr="00922480">
        <w:tc>
          <w:tcPr>
            <w:tcW w:w="1343" w:type="dxa"/>
            <w:shd w:val="clear" w:color="auto" w:fill="FFC9C9"/>
            <w:tcMar>
              <w:top w:w="80" w:type="dxa"/>
              <w:left w:w="80" w:type="dxa"/>
              <w:bottom w:w="80" w:type="dxa"/>
              <w:right w:w="80" w:type="dxa"/>
            </w:tcMar>
          </w:tcPr>
          <w:p w14:paraId="42AF8101"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South Australia</w:t>
            </w:r>
          </w:p>
        </w:tc>
        <w:tc>
          <w:tcPr>
            <w:tcW w:w="6836" w:type="dxa"/>
            <w:shd w:val="clear" w:color="auto" w:fill="FFC9C9"/>
            <w:tcMar>
              <w:top w:w="80" w:type="dxa"/>
              <w:left w:w="80" w:type="dxa"/>
              <w:bottom w:w="80" w:type="dxa"/>
              <w:right w:w="80" w:type="dxa"/>
            </w:tcMar>
          </w:tcPr>
          <w:p w14:paraId="61F4CAD8" w14:textId="77777777" w:rsidR="00C65744" w:rsidRPr="00C65744" w:rsidRDefault="00C65744" w:rsidP="00292A53">
            <w:pPr>
              <w:spacing w:after="60"/>
              <w:rPr>
                <w:rFonts w:eastAsia="Calibri" w:cs="Arial"/>
                <w:sz w:val="14"/>
                <w:szCs w:val="14"/>
                <w:lang w:eastAsia="en-US"/>
              </w:rPr>
            </w:pPr>
            <w:r w:rsidRPr="00C65744">
              <w:rPr>
                <w:rFonts w:eastAsia="Calibri" w:cs="Arial"/>
                <w:i/>
                <w:sz w:val="14"/>
                <w:szCs w:val="14"/>
                <w:lang w:eastAsia="en-US"/>
              </w:rPr>
              <w:t xml:space="preserve">Return to </w:t>
            </w:r>
            <w:r w:rsidRPr="00886185">
              <w:rPr>
                <w:rFonts w:eastAsia="Calibri" w:cs="Arial"/>
                <w:i/>
                <w:sz w:val="14"/>
                <w:szCs w:val="14"/>
                <w:lang w:eastAsia="en-US"/>
              </w:rPr>
              <w:t>Work Act 2014</w:t>
            </w:r>
          </w:p>
          <w:p w14:paraId="0716A540" w14:textId="4A45FE33" w:rsidR="00C65744" w:rsidRPr="00C65744" w:rsidRDefault="00A7538C" w:rsidP="00292A53">
            <w:pPr>
              <w:spacing w:after="60"/>
              <w:rPr>
                <w:rFonts w:eastAsia="Calibri" w:cs="Arial"/>
                <w:sz w:val="14"/>
                <w:szCs w:val="14"/>
                <w:lang w:eastAsia="en-US"/>
              </w:rPr>
            </w:pPr>
            <w:hyperlink r:id="rId1558" w:history="1">
              <w:r w:rsidR="00C65744" w:rsidRPr="002F5E68">
                <w:rPr>
                  <w:rStyle w:val="Hyperlink"/>
                  <w:rFonts w:eastAsia="Calibri" w:cs="Arial"/>
                  <w:sz w:val="14"/>
                  <w:szCs w:val="14"/>
                  <w:lang w:eastAsia="en-US"/>
                </w:rPr>
                <w:t>s3</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Objects of the Act</w:t>
            </w:r>
          </w:p>
          <w:p w14:paraId="0ACE477E" w14:textId="3DB3A560" w:rsidR="00C65744" w:rsidRPr="00C65744" w:rsidRDefault="00A7538C" w:rsidP="00292A53">
            <w:pPr>
              <w:spacing w:after="60"/>
              <w:rPr>
                <w:rFonts w:eastAsia="Calibri" w:cs="Arial"/>
                <w:sz w:val="14"/>
                <w:szCs w:val="14"/>
                <w:lang w:eastAsia="en-US"/>
              </w:rPr>
            </w:pPr>
            <w:hyperlink r:id="rId1559" w:history="1">
              <w:r w:rsidR="00C65744" w:rsidRPr="002F5E68">
                <w:rPr>
                  <w:rStyle w:val="Hyperlink"/>
                  <w:rFonts w:eastAsia="Calibri" w:cs="Arial"/>
                  <w:sz w:val="14"/>
                  <w:szCs w:val="14"/>
                  <w:lang w:eastAsia="en-US"/>
                </w:rPr>
                <w:t>s13(2)(a)</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The Corporation</w:t>
            </w:r>
          </w:p>
          <w:p w14:paraId="26996BF1" w14:textId="39C6B8D1" w:rsidR="00C65744" w:rsidRPr="00C65744" w:rsidRDefault="00A7538C" w:rsidP="00292A53">
            <w:pPr>
              <w:spacing w:after="60"/>
              <w:rPr>
                <w:rFonts w:eastAsia="Calibri" w:cs="Arial"/>
                <w:sz w:val="14"/>
                <w:szCs w:val="14"/>
                <w:lang w:eastAsia="en-US"/>
              </w:rPr>
            </w:pPr>
            <w:hyperlink r:id="rId1560" w:history="1">
              <w:r w:rsidR="00C65744" w:rsidRPr="002F5E68">
                <w:rPr>
                  <w:rStyle w:val="Hyperlink"/>
                  <w:rFonts w:eastAsia="Calibri" w:cs="Arial"/>
                  <w:sz w:val="14"/>
                  <w:szCs w:val="14"/>
                  <w:lang w:eastAsia="en-US"/>
                </w:rPr>
                <w:t>s15(3)</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Workers</w:t>
            </w:r>
          </w:p>
          <w:p w14:paraId="66CEB4BF" w14:textId="6EB7FE46" w:rsidR="00C65744" w:rsidRPr="00C65744" w:rsidRDefault="00A7538C" w:rsidP="00292A53">
            <w:pPr>
              <w:spacing w:after="60"/>
              <w:rPr>
                <w:rFonts w:eastAsia="Calibri" w:cs="Arial"/>
                <w:sz w:val="14"/>
                <w:szCs w:val="14"/>
                <w:lang w:eastAsia="en-US"/>
              </w:rPr>
            </w:pPr>
            <w:hyperlink r:id="rId1561" w:history="1">
              <w:r w:rsidR="00C65744" w:rsidRPr="002F5E68">
                <w:rPr>
                  <w:rStyle w:val="Hyperlink"/>
                  <w:rFonts w:eastAsia="Calibri" w:cs="Arial"/>
                  <w:sz w:val="14"/>
                  <w:szCs w:val="14"/>
                  <w:lang w:eastAsia="en-US"/>
                </w:rPr>
                <w:t>s17(2)</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Employers</w:t>
            </w:r>
          </w:p>
          <w:p w14:paraId="22F8E612" w14:textId="36765BDF" w:rsidR="00C65744" w:rsidRPr="00C65744" w:rsidRDefault="00A7538C" w:rsidP="00292A53">
            <w:pPr>
              <w:spacing w:after="60"/>
              <w:rPr>
                <w:rFonts w:eastAsia="Calibri" w:cs="Arial"/>
                <w:sz w:val="14"/>
                <w:szCs w:val="14"/>
                <w:lang w:eastAsia="en-US"/>
              </w:rPr>
            </w:pPr>
            <w:hyperlink r:id="rId1562" w:history="1">
              <w:r w:rsidR="00C65744" w:rsidRPr="002F5E68">
                <w:rPr>
                  <w:rStyle w:val="Hyperlink"/>
                  <w:rFonts w:eastAsia="Calibri" w:cs="Arial"/>
                  <w:sz w:val="14"/>
                  <w:szCs w:val="14"/>
                  <w:lang w:eastAsia="en-US"/>
                </w:rPr>
                <w:t>s18</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Employer’s duty to provide work</w:t>
            </w:r>
          </w:p>
          <w:p w14:paraId="419EFC7B" w14:textId="28E95A89" w:rsidR="00C65744" w:rsidRPr="00C65744" w:rsidRDefault="00C65744" w:rsidP="00292A53">
            <w:pPr>
              <w:spacing w:after="60"/>
              <w:rPr>
                <w:rFonts w:eastAsia="Calibri" w:cs="Arial"/>
                <w:sz w:val="14"/>
                <w:szCs w:val="14"/>
                <w:lang w:eastAsia="en-US"/>
              </w:rPr>
            </w:pPr>
            <w:r w:rsidRPr="00C65744">
              <w:rPr>
                <w:rFonts w:eastAsia="Calibri" w:cs="Arial"/>
                <w:sz w:val="14"/>
                <w:szCs w:val="14"/>
                <w:lang w:eastAsia="en-US"/>
              </w:rPr>
              <w:t xml:space="preserve">ss </w:t>
            </w:r>
            <w:hyperlink r:id="rId1563" w:history="1">
              <w:r w:rsidRPr="002F5E68">
                <w:rPr>
                  <w:rStyle w:val="Hyperlink"/>
                  <w:rFonts w:eastAsia="Calibri" w:cs="Arial"/>
                  <w:sz w:val="14"/>
                  <w:szCs w:val="14"/>
                  <w:lang w:eastAsia="en-US"/>
                </w:rPr>
                <w:t>23</w:t>
              </w:r>
            </w:hyperlink>
            <w:r w:rsidRPr="00C65744">
              <w:rPr>
                <w:rFonts w:eastAsia="Calibri" w:cs="Arial"/>
                <w:sz w:val="14"/>
                <w:szCs w:val="14"/>
                <w:lang w:eastAsia="en-US"/>
              </w:rPr>
              <w:t xml:space="preserve"> and </w:t>
            </w:r>
            <w:hyperlink r:id="rId1564" w:history="1">
              <w:r w:rsidRPr="002F5E68">
                <w:rPr>
                  <w:rStyle w:val="Hyperlink"/>
                  <w:rFonts w:eastAsia="Calibri" w:cs="Arial"/>
                  <w:sz w:val="14"/>
                  <w:szCs w:val="14"/>
                  <w:lang w:eastAsia="en-US"/>
                </w:rPr>
                <w:t>24</w:t>
              </w:r>
            </w:hyperlink>
            <w:r w:rsidRPr="00C65744">
              <w:rPr>
                <w:rFonts w:eastAsia="Calibri" w:cs="Arial"/>
                <w:sz w:val="14"/>
                <w:szCs w:val="14"/>
                <w:lang w:eastAsia="en-US"/>
              </w:rPr>
              <w:t xml:space="preserve"> — Early intervention, recovery and return to work services</w:t>
            </w:r>
          </w:p>
          <w:p w14:paraId="0B48E084" w14:textId="425274A3" w:rsidR="00C65744" w:rsidRPr="00C65744" w:rsidRDefault="00A7538C" w:rsidP="00292A53">
            <w:pPr>
              <w:spacing w:after="60"/>
              <w:rPr>
                <w:rFonts w:eastAsia="Calibri" w:cs="Arial"/>
                <w:sz w:val="14"/>
                <w:szCs w:val="14"/>
                <w:lang w:eastAsia="en-US"/>
              </w:rPr>
            </w:pPr>
            <w:hyperlink r:id="rId1565" w:history="1">
              <w:r w:rsidR="00C65744" w:rsidRPr="002F5E68">
                <w:rPr>
                  <w:rStyle w:val="Hyperlink"/>
                  <w:rFonts w:eastAsia="Calibri" w:cs="Arial"/>
                  <w:sz w:val="14"/>
                  <w:szCs w:val="14"/>
                  <w:lang w:eastAsia="en-US"/>
                </w:rPr>
                <w:t>s25</w:t>
              </w:r>
            </w:hyperlink>
            <w:r w:rsidR="00C65744" w:rsidRPr="00C65744">
              <w:rPr>
                <w:rFonts w:eastAsia="Calibri" w:cs="Arial"/>
                <w:sz w:val="14"/>
                <w:szCs w:val="14"/>
                <w:lang w:eastAsia="en-US"/>
              </w:rPr>
              <w:t xml:space="preserve"> — Recovery/return to work plans</w:t>
            </w:r>
          </w:p>
          <w:p w14:paraId="05D9D5AA" w14:textId="4269755F" w:rsidR="00C65744" w:rsidRPr="00C65744" w:rsidRDefault="00A7538C" w:rsidP="00292A53">
            <w:pPr>
              <w:spacing w:after="60"/>
              <w:rPr>
                <w:rFonts w:eastAsia="Calibri" w:cs="Arial"/>
                <w:sz w:val="14"/>
                <w:szCs w:val="14"/>
                <w:lang w:eastAsia="en-US"/>
              </w:rPr>
            </w:pPr>
            <w:hyperlink r:id="rId1566" w:history="1">
              <w:r w:rsidR="00C65744" w:rsidRPr="002F5E68">
                <w:rPr>
                  <w:rStyle w:val="Hyperlink"/>
                  <w:rFonts w:eastAsia="Calibri" w:cs="Arial"/>
                  <w:sz w:val="14"/>
                  <w:szCs w:val="14"/>
                  <w:lang w:eastAsia="en-US"/>
                </w:rPr>
                <w:t>s26</w:t>
              </w:r>
            </w:hyperlink>
            <w:r w:rsidR="00C65744" w:rsidRPr="00C65744">
              <w:rPr>
                <w:rFonts w:eastAsia="Calibri" w:cs="Arial"/>
                <w:sz w:val="14"/>
                <w:szCs w:val="14"/>
                <w:lang w:eastAsia="en-US"/>
              </w:rPr>
              <w:t xml:space="preserve"> — Return to work co-ordinators</w:t>
            </w:r>
          </w:p>
          <w:p w14:paraId="10E68698" w14:textId="4F36EC6E" w:rsidR="00C65744" w:rsidRPr="00C65744" w:rsidRDefault="00A7538C" w:rsidP="00292A53">
            <w:pPr>
              <w:spacing w:after="60"/>
              <w:rPr>
                <w:rFonts w:eastAsia="Calibri" w:cs="Arial"/>
                <w:sz w:val="14"/>
                <w:szCs w:val="14"/>
                <w:lang w:eastAsia="en-US"/>
              </w:rPr>
            </w:pPr>
            <w:hyperlink r:id="rId1567" w:history="1">
              <w:r w:rsidR="00C65744" w:rsidRPr="002F5E68">
                <w:rPr>
                  <w:rStyle w:val="Hyperlink"/>
                  <w:rFonts w:eastAsia="Calibri" w:cs="Arial"/>
                  <w:sz w:val="14"/>
                  <w:szCs w:val="14"/>
                  <w:lang w:eastAsia="en-US"/>
                </w:rPr>
                <w:t>s43</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Return to work obligations of worker</w:t>
            </w:r>
          </w:p>
          <w:p w14:paraId="76C632A8" w14:textId="411E7BA6" w:rsidR="00C65744" w:rsidRPr="00C65744" w:rsidRDefault="00A7538C" w:rsidP="00292A53">
            <w:pPr>
              <w:spacing w:after="60"/>
              <w:rPr>
                <w:rFonts w:eastAsia="Calibri" w:cs="Arial"/>
                <w:sz w:val="14"/>
                <w:szCs w:val="14"/>
                <w:lang w:eastAsia="en-US"/>
              </w:rPr>
            </w:pPr>
            <w:hyperlink r:id="rId1568" w:history="1">
              <w:r w:rsidR="00C65744" w:rsidRPr="002F5E68">
                <w:rPr>
                  <w:rStyle w:val="Hyperlink"/>
                  <w:rFonts w:eastAsia="Calibri" w:cs="Arial"/>
                  <w:sz w:val="14"/>
                  <w:szCs w:val="14"/>
                  <w:lang w:eastAsia="en-US"/>
                </w:rPr>
                <w:t>s52</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Reports of return to work etc</w:t>
            </w:r>
          </w:p>
          <w:p w14:paraId="2C925523" w14:textId="77777777" w:rsidR="00C65744" w:rsidRPr="00C65744" w:rsidRDefault="00C65744" w:rsidP="00292A53">
            <w:pPr>
              <w:spacing w:after="60"/>
              <w:rPr>
                <w:rFonts w:eastAsia="Calibri" w:cs="Arial"/>
                <w:sz w:val="14"/>
                <w:szCs w:val="14"/>
                <w:lang w:eastAsia="en-US"/>
              </w:rPr>
            </w:pPr>
            <w:r w:rsidRPr="00C65744">
              <w:rPr>
                <w:rFonts w:eastAsia="Calibri" w:cs="Arial"/>
                <w:sz w:val="14"/>
                <w:szCs w:val="14"/>
                <w:lang w:eastAsia="en-US"/>
              </w:rPr>
              <w:t>Return to Work Regulations 2015</w:t>
            </w:r>
          </w:p>
          <w:p w14:paraId="04D8EE2B" w14:textId="5C8825E2" w:rsidR="00C65744" w:rsidRPr="00C65744" w:rsidRDefault="00A7538C" w:rsidP="003F5D7A">
            <w:pPr>
              <w:spacing w:after="60"/>
              <w:rPr>
                <w:rFonts w:eastAsia="Calibri" w:cs="Arial"/>
                <w:sz w:val="14"/>
                <w:szCs w:val="14"/>
                <w:lang w:eastAsia="en-US"/>
              </w:rPr>
            </w:pPr>
            <w:hyperlink r:id="rId1569" w:history="1">
              <w:r w:rsidR="00C65744" w:rsidRPr="00A21CE3">
                <w:rPr>
                  <w:rStyle w:val="Hyperlink"/>
                  <w:rFonts w:eastAsia="Calibri" w:cs="Arial"/>
                  <w:sz w:val="14"/>
                  <w:szCs w:val="14"/>
                  <w:lang w:eastAsia="en-US"/>
                </w:rPr>
                <w:t>Part 3</w:t>
              </w:r>
            </w:hyperlink>
            <w:r w:rsidR="00C65744" w:rsidRPr="00C65744">
              <w:rPr>
                <w:rFonts w:eastAsia="Calibri" w:cs="Arial"/>
                <w:sz w:val="14"/>
                <w:szCs w:val="14"/>
                <w:lang w:eastAsia="en-US"/>
              </w:rPr>
              <w:t xml:space="preserve"> </w:t>
            </w:r>
            <w:r w:rsidR="003F5D7A">
              <w:rPr>
                <w:rFonts w:eastAsia="Calibri" w:cs="Arial"/>
                <w:sz w:val="14"/>
                <w:szCs w:val="14"/>
                <w:lang w:eastAsia="en-US"/>
              </w:rPr>
              <w:t xml:space="preserve">— </w:t>
            </w:r>
            <w:r w:rsidR="00C65744" w:rsidRPr="00C65744">
              <w:rPr>
                <w:rFonts w:eastAsia="Calibri" w:cs="Arial"/>
                <w:sz w:val="14"/>
                <w:szCs w:val="14"/>
                <w:lang w:eastAsia="en-US"/>
              </w:rPr>
              <w:t>Recovery and Return to Work</w:t>
            </w:r>
          </w:p>
        </w:tc>
        <w:tc>
          <w:tcPr>
            <w:tcW w:w="6836" w:type="dxa"/>
            <w:shd w:val="clear" w:color="auto" w:fill="FFC9C9"/>
            <w:tcMar>
              <w:top w:w="80" w:type="dxa"/>
              <w:left w:w="80" w:type="dxa"/>
              <w:bottom w:w="80" w:type="dxa"/>
              <w:right w:w="80" w:type="dxa"/>
            </w:tcMar>
          </w:tcPr>
          <w:p w14:paraId="1135A1EB" w14:textId="77777777" w:rsidR="00C65744" w:rsidRPr="00C65744" w:rsidRDefault="00A7538C" w:rsidP="00292A53">
            <w:pPr>
              <w:spacing w:after="60"/>
              <w:rPr>
                <w:rFonts w:cs="Arial"/>
                <w:color w:val="000000"/>
                <w:sz w:val="14"/>
                <w:szCs w:val="16"/>
                <w:lang w:val="en-GB"/>
              </w:rPr>
            </w:pPr>
            <w:hyperlink r:id="rId1570" w:history="1">
              <w:r w:rsidR="00C65744" w:rsidRPr="00C65744">
                <w:rPr>
                  <w:rFonts w:cs="Arial"/>
                  <w:color w:val="0000FF"/>
                  <w:sz w:val="14"/>
                  <w:szCs w:val="16"/>
                  <w:u w:val="single"/>
                  <w:lang w:val="en-GB"/>
                </w:rPr>
                <w:t>Recovery/return to work plan</w:t>
              </w:r>
            </w:hyperlink>
          </w:p>
          <w:p w14:paraId="541B6C8D" w14:textId="23BB1630" w:rsidR="00C65744" w:rsidRPr="00C65744" w:rsidRDefault="00A7538C" w:rsidP="00292A53">
            <w:pPr>
              <w:spacing w:after="60"/>
              <w:rPr>
                <w:rFonts w:cs="Arial"/>
                <w:color w:val="000000"/>
                <w:sz w:val="14"/>
                <w:szCs w:val="16"/>
                <w:lang w:val="en-GB"/>
              </w:rPr>
            </w:pPr>
            <w:hyperlink r:id="rId1571" w:history="1">
              <w:r w:rsidR="00C65744" w:rsidRPr="00C65744">
                <w:rPr>
                  <w:rFonts w:cs="Arial"/>
                  <w:color w:val="0000FF"/>
                  <w:sz w:val="14"/>
                  <w:szCs w:val="16"/>
                  <w:u w:val="single"/>
                  <w:lang w:val="en-GB"/>
                </w:rPr>
                <w:t>Return to work coordinators</w:t>
              </w:r>
            </w:hyperlink>
          </w:p>
        </w:tc>
      </w:tr>
      <w:tr w:rsidR="00C65744" w:rsidRPr="00C65744" w14:paraId="41C7A6B4" w14:textId="77777777" w:rsidTr="00922480">
        <w:tc>
          <w:tcPr>
            <w:tcW w:w="1343" w:type="dxa"/>
            <w:tcMar>
              <w:top w:w="80" w:type="dxa"/>
              <w:left w:w="80" w:type="dxa"/>
              <w:bottom w:w="80" w:type="dxa"/>
              <w:right w:w="80" w:type="dxa"/>
            </w:tcMar>
          </w:tcPr>
          <w:p w14:paraId="614B8BAF"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Tasmania</w:t>
            </w:r>
          </w:p>
        </w:tc>
        <w:tc>
          <w:tcPr>
            <w:tcW w:w="6836" w:type="dxa"/>
            <w:tcMar>
              <w:top w:w="80" w:type="dxa"/>
              <w:left w:w="80" w:type="dxa"/>
              <w:bottom w:w="80" w:type="dxa"/>
              <w:right w:w="80" w:type="dxa"/>
            </w:tcMar>
          </w:tcPr>
          <w:p w14:paraId="2870CBBF" w14:textId="59BB5A92" w:rsidR="00C65744" w:rsidRPr="00C65744" w:rsidRDefault="00A7538C" w:rsidP="00292A53">
            <w:pPr>
              <w:spacing w:after="60"/>
              <w:rPr>
                <w:rFonts w:cs="Arial"/>
                <w:color w:val="000000"/>
                <w:sz w:val="14"/>
                <w:szCs w:val="16"/>
                <w:lang w:val="en-GB"/>
              </w:rPr>
            </w:pPr>
            <w:hyperlink r:id="rId1572" w:history="1">
              <w:r w:rsidR="00C65744" w:rsidRPr="00A21CE3">
                <w:rPr>
                  <w:rStyle w:val="Hyperlink"/>
                  <w:rFonts w:cs="Arial"/>
                  <w:sz w:val="14"/>
                  <w:szCs w:val="16"/>
                  <w:lang w:val="en-GB"/>
                </w:rPr>
                <w:t>Part XI</w:t>
              </w:r>
            </w:hyperlink>
            <w:r w:rsidR="00C65744" w:rsidRPr="00C65744">
              <w:rPr>
                <w:rFonts w:cs="Arial"/>
                <w:color w:val="000000"/>
                <w:sz w:val="14"/>
                <w:szCs w:val="16"/>
                <w:lang w:val="en-GB"/>
              </w:rPr>
              <w:t xml:space="preserve"> of the </w:t>
            </w:r>
            <w:r w:rsidR="00C65744" w:rsidRPr="00D41D16">
              <w:rPr>
                <w:rFonts w:cs="Arial"/>
                <w:i/>
                <w:color w:val="000000"/>
                <w:sz w:val="14"/>
                <w:szCs w:val="16"/>
                <w:lang w:val="en-GB"/>
              </w:rPr>
              <w:t>Workers’ Rehabilitation and Compensation Act</w:t>
            </w:r>
            <w:r w:rsidR="00C65744" w:rsidRPr="00886185">
              <w:rPr>
                <w:rFonts w:cs="Arial"/>
                <w:i/>
                <w:color w:val="000000"/>
                <w:sz w:val="14"/>
                <w:szCs w:val="16"/>
                <w:lang w:val="en-GB"/>
              </w:rPr>
              <w:t xml:space="preserve"> 198</w:t>
            </w:r>
            <w:r w:rsidR="00922480" w:rsidRPr="00886185">
              <w:rPr>
                <w:rFonts w:cs="Arial"/>
                <w:i/>
                <w:color w:val="000000"/>
                <w:sz w:val="14"/>
                <w:szCs w:val="16"/>
                <w:lang w:val="en-GB"/>
              </w:rPr>
              <w:t>8</w:t>
            </w:r>
            <w:r w:rsidR="00922480">
              <w:rPr>
                <w:rFonts w:cs="Arial"/>
                <w:color w:val="000000"/>
                <w:sz w:val="14"/>
                <w:szCs w:val="16"/>
                <w:lang w:val="en-GB"/>
              </w:rPr>
              <w:t xml:space="preserve"> deals with injury managemen</w:t>
            </w:r>
            <w:r w:rsidR="00BB3C4A">
              <w:rPr>
                <w:rFonts w:cs="Arial"/>
                <w:color w:val="000000"/>
                <w:sz w:val="14"/>
                <w:szCs w:val="16"/>
                <w:lang w:val="en-GB"/>
              </w:rPr>
              <w:t>t</w:t>
            </w:r>
          </w:p>
        </w:tc>
        <w:tc>
          <w:tcPr>
            <w:tcW w:w="6836" w:type="dxa"/>
            <w:tcMar>
              <w:top w:w="80" w:type="dxa"/>
              <w:left w:w="80" w:type="dxa"/>
              <w:bottom w:w="80" w:type="dxa"/>
              <w:right w:w="80" w:type="dxa"/>
            </w:tcMar>
          </w:tcPr>
          <w:p w14:paraId="175516C1" w14:textId="77777777" w:rsidR="00C65744" w:rsidRPr="00C65744" w:rsidRDefault="00A7538C" w:rsidP="00292A53">
            <w:pPr>
              <w:spacing w:after="60"/>
              <w:rPr>
                <w:rFonts w:cs="Arial"/>
                <w:color w:val="000000"/>
                <w:sz w:val="14"/>
                <w:szCs w:val="16"/>
                <w:lang w:val="en-GB"/>
              </w:rPr>
            </w:pPr>
            <w:hyperlink r:id="rId1573" w:history="1">
              <w:r w:rsidR="00C65744" w:rsidRPr="00C65744">
                <w:rPr>
                  <w:rFonts w:cs="Arial"/>
                  <w:color w:val="0000FF"/>
                  <w:sz w:val="14"/>
                  <w:szCs w:val="16"/>
                  <w:u w:val="single"/>
                  <w:lang w:val="en-GB"/>
                </w:rPr>
                <w:t>Helping People Return to Work</w:t>
              </w:r>
            </w:hyperlink>
            <w:r w:rsidR="00C65744" w:rsidRPr="00C65744" w:rsidDel="000C438D">
              <w:rPr>
                <w:rFonts w:cs="Arial"/>
                <w:color w:val="000000"/>
                <w:sz w:val="14"/>
                <w:szCs w:val="16"/>
                <w:lang w:val="en-GB"/>
              </w:rPr>
              <w:t xml:space="preserve"> </w:t>
            </w:r>
          </w:p>
          <w:p w14:paraId="36569725" w14:textId="417D580B" w:rsidR="00C65744" w:rsidRDefault="00A7538C" w:rsidP="00292A53">
            <w:pPr>
              <w:spacing w:after="60"/>
              <w:rPr>
                <w:rFonts w:cs="Arial"/>
                <w:color w:val="0000FF"/>
                <w:sz w:val="14"/>
                <w:szCs w:val="16"/>
                <w:u w:val="single"/>
                <w:lang w:val="en-GB"/>
              </w:rPr>
            </w:pPr>
            <w:hyperlink r:id="rId1574" w:history="1">
              <w:r w:rsidR="00AF2784">
                <w:rPr>
                  <w:rFonts w:cs="Arial"/>
                  <w:color w:val="0000FF"/>
                  <w:sz w:val="14"/>
                  <w:szCs w:val="16"/>
                  <w:u w:val="single"/>
                  <w:lang w:val="en-GB"/>
                </w:rPr>
                <w:t>Preparing Return to Work Plans</w:t>
              </w:r>
            </w:hyperlink>
          </w:p>
          <w:p w14:paraId="4B2DAD9D" w14:textId="77777777" w:rsidR="00AF2784" w:rsidRPr="00C65744" w:rsidRDefault="00A7538C" w:rsidP="00AF2784">
            <w:pPr>
              <w:spacing w:after="60"/>
              <w:rPr>
                <w:rFonts w:cs="Arial"/>
                <w:color w:val="000000"/>
                <w:sz w:val="14"/>
                <w:szCs w:val="16"/>
                <w:lang w:val="en-GB"/>
              </w:rPr>
            </w:pPr>
            <w:hyperlink r:id="rId1575" w:history="1">
              <w:r w:rsidR="00AF2784" w:rsidRPr="00F21AC2">
                <w:rPr>
                  <w:rStyle w:val="Hyperlink"/>
                  <w:rFonts w:cs="Arial"/>
                  <w:sz w:val="14"/>
                  <w:szCs w:val="16"/>
                  <w:lang w:val="en-GB"/>
                </w:rPr>
                <w:t>Preparing Injury Management Plans</w:t>
              </w:r>
            </w:hyperlink>
          </w:p>
          <w:p w14:paraId="32F146A7" w14:textId="77777777" w:rsidR="00C65744" w:rsidRPr="00C65744" w:rsidRDefault="00A7538C" w:rsidP="00292A53">
            <w:pPr>
              <w:spacing w:after="60"/>
              <w:rPr>
                <w:rFonts w:cs="Arial"/>
                <w:color w:val="000000"/>
                <w:sz w:val="14"/>
                <w:szCs w:val="16"/>
                <w:lang w:val="en-GB"/>
              </w:rPr>
            </w:pPr>
            <w:hyperlink r:id="rId1576" w:history="1">
              <w:r w:rsidR="00C65744" w:rsidRPr="00C65744">
                <w:rPr>
                  <w:rFonts w:cs="Arial"/>
                  <w:color w:val="0000FF"/>
                  <w:sz w:val="14"/>
                  <w:szCs w:val="16"/>
                  <w:u w:val="single"/>
                  <w:lang w:val="en-GB"/>
                </w:rPr>
                <w:t>The Role of the Primary Treating Medical Practitioner</w:t>
              </w:r>
            </w:hyperlink>
          </w:p>
          <w:p w14:paraId="6D3030D5" w14:textId="77777777" w:rsidR="00C65744" w:rsidRPr="00C65744" w:rsidRDefault="00A7538C" w:rsidP="00292A53">
            <w:pPr>
              <w:spacing w:after="60"/>
              <w:rPr>
                <w:rFonts w:cs="Arial"/>
                <w:color w:val="000000"/>
                <w:sz w:val="14"/>
                <w:szCs w:val="16"/>
                <w:lang w:val="en-GB"/>
              </w:rPr>
            </w:pPr>
            <w:hyperlink r:id="rId1577" w:history="1">
              <w:r w:rsidR="00C65744" w:rsidRPr="00C65744">
                <w:rPr>
                  <w:rFonts w:cs="Arial"/>
                  <w:color w:val="0000FF"/>
                  <w:sz w:val="14"/>
                  <w:szCs w:val="16"/>
                  <w:u w:val="single"/>
                  <w:lang w:val="en-GB"/>
                </w:rPr>
                <w:t>The Role of the Workplace Rehabilitation Provider</w:t>
              </w:r>
            </w:hyperlink>
          </w:p>
          <w:p w14:paraId="3CE84C4A" w14:textId="71F597A4" w:rsidR="00AF2784" w:rsidRPr="00AF2784" w:rsidRDefault="00A7538C" w:rsidP="00292A53">
            <w:pPr>
              <w:spacing w:after="60"/>
              <w:rPr>
                <w:sz w:val="14"/>
              </w:rPr>
            </w:pPr>
            <w:hyperlink r:id="rId1578" w:history="1">
              <w:r w:rsidR="00AF2784" w:rsidRPr="00AF2784">
                <w:rPr>
                  <w:rStyle w:val="Hyperlink"/>
                  <w:sz w:val="14"/>
                </w:rPr>
                <w:t>Guidelines for developing an Injury Management Program</w:t>
              </w:r>
            </w:hyperlink>
          </w:p>
          <w:p w14:paraId="42CA5E64" w14:textId="4EF3AD4B" w:rsidR="00C65744" w:rsidRPr="00C65744" w:rsidRDefault="00A7538C" w:rsidP="00292A53">
            <w:pPr>
              <w:spacing w:after="60"/>
              <w:rPr>
                <w:rFonts w:cs="Arial"/>
                <w:color w:val="000000"/>
                <w:sz w:val="14"/>
                <w:szCs w:val="16"/>
                <w:lang w:val="en-GB"/>
              </w:rPr>
            </w:pPr>
            <w:hyperlink r:id="rId1579" w:history="1">
              <w:r w:rsidR="00AF2784">
                <w:rPr>
                  <w:rFonts w:cs="Arial"/>
                  <w:color w:val="0000FF"/>
                  <w:sz w:val="14"/>
                  <w:szCs w:val="16"/>
                  <w:u w:val="single"/>
                  <w:lang w:val="en-GB"/>
                </w:rPr>
                <w:t>Tasmanian specific provisions for workplace rehabilitation providers</w:t>
              </w:r>
            </w:hyperlink>
          </w:p>
          <w:p w14:paraId="115D425D" w14:textId="02A4DC03"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Further resources a</w:t>
            </w:r>
            <w:r w:rsidR="00A569B5">
              <w:rPr>
                <w:rFonts w:cs="Arial"/>
                <w:color w:val="000000"/>
                <w:sz w:val="14"/>
                <w:szCs w:val="16"/>
                <w:lang w:val="en-GB"/>
              </w:rPr>
              <w:t xml:space="preserve">re available under the </w:t>
            </w:r>
            <w:hyperlink r:id="rId1580" w:history="1">
              <w:r w:rsidR="00A569B5" w:rsidRPr="00A569B5">
                <w:rPr>
                  <w:rStyle w:val="Hyperlink"/>
                  <w:rFonts w:cs="Arial"/>
                  <w:sz w:val="14"/>
                  <w:szCs w:val="16"/>
                  <w:lang w:val="en-GB"/>
                </w:rPr>
                <w:t>resources</w:t>
              </w:r>
            </w:hyperlink>
            <w:r w:rsidR="00A569B5">
              <w:rPr>
                <w:rFonts w:cs="Arial"/>
                <w:color w:val="000000"/>
                <w:sz w:val="14"/>
                <w:szCs w:val="16"/>
                <w:lang w:val="en-GB"/>
              </w:rPr>
              <w:t xml:space="preserve"> page on the </w:t>
            </w:r>
            <w:hyperlink r:id="rId1581" w:history="1">
              <w:r w:rsidR="00A569B5" w:rsidRPr="00A569B5">
                <w:rPr>
                  <w:rStyle w:val="Hyperlink"/>
                  <w:rFonts w:cs="Arial"/>
                  <w:sz w:val="14"/>
                  <w:szCs w:val="16"/>
                  <w:lang w:val="en-GB"/>
                </w:rPr>
                <w:t>WorkCover Tasmania</w:t>
              </w:r>
            </w:hyperlink>
            <w:r w:rsidR="00BB3C4A">
              <w:rPr>
                <w:rFonts w:cs="Arial"/>
                <w:color w:val="000000"/>
                <w:sz w:val="14"/>
                <w:szCs w:val="16"/>
                <w:lang w:val="en-GB"/>
              </w:rPr>
              <w:t xml:space="preserve"> website</w:t>
            </w:r>
          </w:p>
        </w:tc>
      </w:tr>
      <w:tr w:rsidR="00C65744" w:rsidRPr="00C65744" w14:paraId="5B48ABEF" w14:textId="77777777" w:rsidTr="00922480">
        <w:tc>
          <w:tcPr>
            <w:tcW w:w="1343" w:type="dxa"/>
            <w:shd w:val="clear" w:color="auto" w:fill="FFC9C9"/>
            <w:tcMar>
              <w:top w:w="80" w:type="dxa"/>
              <w:left w:w="80" w:type="dxa"/>
              <w:bottom w:w="80" w:type="dxa"/>
              <w:right w:w="80" w:type="dxa"/>
            </w:tcMar>
          </w:tcPr>
          <w:p w14:paraId="235314B8"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Northern Territory</w:t>
            </w:r>
          </w:p>
        </w:tc>
        <w:tc>
          <w:tcPr>
            <w:tcW w:w="6836" w:type="dxa"/>
            <w:shd w:val="clear" w:color="auto" w:fill="FFC9C9"/>
            <w:tcMar>
              <w:top w:w="80" w:type="dxa"/>
              <w:left w:w="80" w:type="dxa"/>
              <w:bottom w:w="80" w:type="dxa"/>
              <w:right w:w="80" w:type="dxa"/>
            </w:tcMar>
          </w:tcPr>
          <w:p w14:paraId="454E9BB4" w14:textId="77777777" w:rsidR="00C65744" w:rsidRPr="00163684" w:rsidRDefault="00C65744" w:rsidP="00F839DB">
            <w:pPr>
              <w:pStyle w:val="ListParagraph"/>
              <w:numPr>
                <w:ilvl w:val="0"/>
                <w:numId w:val="273"/>
              </w:numPr>
              <w:spacing w:after="60"/>
              <w:ind w:left="357" w:hanging="357"/>
              <w:rPr>
                <w:rFonts w:eastAsia="Calibri" w:cs="Arial"/>
                <w:sz w:val="14"/>
                <w:szCs w:val="14"/>
                <w:lang w:eastAsia="en-US"/>
              </w:rPr>
            </w:pPr>
            <w:r w:rsidRPr="00163684">
              <w:rPr>
                <w:rFonts w:eastAsia="Calibri" w:cs="Arial"/>
                <w:sz w:val="14"/>
                <w:szCs w:val="14"/>
                <w:lang w:eastAsia="en-US"/>
              </w:rPr>
              <w:t>Employer must:</w:t>
            </w:r>
          </w:p>
          <w:p w14:paraId="73B81F74" w14:textId="36C2B288" w:rsidR="00C65744" w:rsidRPr="00163684" w:rsidRDefault="00C65744" w:rsidP="00F839DB">
            <w:pPr>
              <w:pStyle w:val="ListParagraph"/>
              <w:numPr>
                <w:ilvl w:val="0"/>
                <w:numId w:val="274"/>
              </w:numPr>
              <w:spacing w:after="60"/>
              <w:ind w:left="634" w:hanging="291"/>
              <w:contextualSpacing/>
              <w:rPr>
                <w:rFonts w:cs="Arial"/>
                <w:color w:val="000000"/>
                <w:sz w:val="14"/>
                <w:szCs w:val="16"/>
                <w:lang w:val="en-GB"/>
              </w:rPr>
            </w:pPr>
            <w:r w:rsidRPr="00163684">
              <w:rPr>
                <w:rFonts w:cs="Arial"/>
                <w:color w:val="000000"/>
                <w:sz w:val="14"/>
                <w:szCs w:val="16"/>
                <w:lang w:val="en-GB"/>
              </w:rPr>
              <w:t xml:space="preserve">Take reasonable steps to ensure suitable work is provided </w:t>
            </w:r>
            <w:r w:rsidR="003F5D7A">
              <w:rPr>
                <w:rFonts w:cs="Arial"/>
                <w:color w:val="000000"/>
                <w:sz w:val="14"/>
                <w:szCs w:val="16"/>
                <w:lang w:val="en-GB"/>
              </w:rPr>
              <w:t>—</w:t>
            </w:r>
            <w:r w:rsidR="003F5D7A" w:rsidRPr="00163684">
              <w:rPr>
                <w:rFonts w:cs="Arial"/>
                <w:color w:val="000000"/>
                <w:sz w:val="14"/>
                <w:szCs w:val="16"/>
                <w:lang w:val="en-GB"/>
              </w:rPr>
              <w:t xml:space="preserve"> </w:t>
            </w:r>
            <w:hyperlink r:id="rId1582" w:history="1">
              <w:r w:rsidRPr="00A21CE3">
                <w:rPr>
                  <w:rStyle w:val="Hyperlink"/>
                  <w:rFonts w:cs="Arial"/>
                  <w:sz w:val="14"/>
                  <w:szCs w:val="16"/>
                  <w:lang w:val="en-GB"/>
                </w:rPr>
                <w:t>s75A(1)(a)</w:t>
              </w:r>
            </w:hyperlink>
          </w:p>
          <w:p w14:paraId="799BA7E3" w14:textId="68AD3B5D" w:rsidR="00C65744" w:rsidRPr="00163684" w:rsidRDefault="00C65744" w:rsidP="00F839DB">
            <w:pPr>
              <w:pStyle w:val="ListParagraph"/>
              <w:numPr>
                <w:ilvl w:val="0"/>
                <w:numId w:val="274"/>
              </w:numPr>
              <w:spacing w:after="60"/>
              <w:ind w:left="634" w:hanging="291"/>
              <w:rPr>
                <w:rFonts w:cs="Arial"/>
                <w:color w:val="000000"/>
                <w:sz w:val="14"/>
                <w:szCs w:val="16"/>
                <w:lang w:val="en-GB"/>
              </w:rPr>
            </w:pPr>
            <w:r w:rsidRPr="00163684">
              <w:rPr>
                <w:rFonts w:cs="Arial"/>
                <w:color w:val="000000"/>
                <w:sz w:val="14"/>
                <w:szCs w:val="16"/>
                <w:lang w:val="en-GB"/>
              </w:rPr>
              <w:t xml:space="preserve">take reasonable steps to ensure efforts to retrain worker, if required </w:t>
            </w:r>
            <w:r w:rsidR="003F5D7A">
              <w:rPr>
                <w:rFonts w:cs="Arial"/>
                <w:color w:val="000000"/>
                <w:sz w:val="14"/>
                <w:szCs w:val="16"/>
                <w:lang w:val="en-GB"/>
              </w:rPr>
              <w:t>—</w:t>
            </w:r>
            <w:r w:rsidR="003F5D7A" w:rsidRPr="00163684">
              <w:rPr>
                <w:rFonts w:cs="Arial"/>
                <w:color w:val="000000"/>
                <w:sz w:val="14"/>
                <w:szCs w:val="16"/>
                <w:lang w:val="en-GB"/>
              </w:rPr>
              <w:t xml:space="preserve"> </w:t>
            </w:r>
            <w:hyperlink r:id="rId1583" w:history="1">
              <w:r w:rsidRPr="00A21CE3">
                <w:rPr>
                  <w:rStyle w:val="Hyperlink"/>
                  <w:rFonts w:cs="Arial"/>
                  <w:sz w:val="14"/>
                  <w:szCs w:val="16"/>
                  <w:lang w:val="en-GB"/>
                </w:rPr>
                <w:t>s75A(1)(b)</w:t>
              </w:r>
            </w:hyperlink>
            <w:r w:rsidR="00A21CE3">
              <w:rPr>
                <w:rFonts w:cs="Arial"/>
                <w:color w:val="000000"/>
                <w:sz w:val="14"/>
                <w:szCs w:val="16"/>
                <w:lang w:val="en-GB"/>
              </w:rPr>
              <w:t xml:space="preserve">, </w:t>
            </w:r>
            <w:r w:rsidR="00A21CE3" w:rsidRPr="00016069">
              <w:rPr>
                <w:i/>
                <w:sz w:val="14"/>
              </w:rPr>
              <w:t>Return to Work Act</w:t>
            </w:r>
          </w:p>
          <w:p w14:paraId="6384AE51" w14:textId="5124C786" w:rsidR="00C65744" w:rsidRPr="00163684" w:rsidRDefault="00C65744" w:rsidP="00F839DB">
            <w:pPr>
              <w:pStyle w:val="ListParagraph"/>
              <w:numPr>
                <w:ilvl w:val="0"/>
                <w:numId w:val="273"/>
              </w:numPr>
              <w:spacing w:after="60"/>
              <w:contextualSpacing/>
              <w:rPr>
                <w:rFonts w:eastAsia="Calibri" w:cs="Arial"/>
                <w:sz w:val="14"/>
                <w:szCs w:val="14"/>
                <w:lang w:eastAsia="en-US"/>
              </w:rPr>
            </w:pPr>
            <w:r w:rsidRPr="00163684">
              <w:rPr>
                <w:rFonts w:eastAsia="Calibri" w:cs="Arial"/>
                <w:sz w:val="14"/>
                <w:szCs w:val="14"/>
                <w:lang w:eastAsia="en-US"/>
              </w:rPr>
              <w:t xml:space="preserve">Where worker likely to be incapacitated for more than 28 days, give the worker a proposal in writing for a return to work plan </w:t>
            </w:r>
            <w:r w:rsidR="003F5D7A">
              <w:rPr>
                <w:rFonts w:eastAsia="Calibri" w:cs="Arial"/>
                <w:sz w:val="14"/>
                <w:szCs w:val="14"/>
                <w:lang w:eastAsia="en-US"/>
              </w:rPr>
              <w:t>—</w:t>
            </w:r>
            <w:r w:rsidR="003F5D7A" w:rsidRPr="00163684">
              <w:rPr>
                <w:rFonts w:eastAsia="Calibri" w:cs="Arial"/>
                <w:sz w:val="14"/>
                <w:szCs w:val="14"/>
                <w:lang w:eastAsia="en-US"/>
              </w:rPr>
              <w:t xml:space="preserve"> </w:t>
            </w:r>
            <w:hyperlink r:id="rId1584" w:history="1">
              <w:r w:rsidRPr="00A21CE3">
                <w:rPr>
                  <w:rStyle w:val="Hyperlink"/>
                  <w:rFonts w:eastAsia="Calibri" w:cs="Arial"/>
                  <w:sz w:val="14"/>
                  <w:szCs w:val="14"/>
                  <w:lang w:eastAsia="en-US"/>
                </w:rPr>
                <w:t>s75A(1)(c)</w:t>
              </w:r>
            </w:hyperlink>
          </w:p>
          <w:p w14:paraId="74204731" w14:textId="11BF2894" w:rsidR="00C65744" w:rsidRPr="00163684" w:rsidRDefault="00C65744" w:rsidP="00F839DB">
            <w:pPr>
              <w:pStyle w:val="ListParagraph"/>
              <w:numPr>
                <w:ilvl w:val="0"/>
                <w:numId w:val="273"/>
              </w:numPr>
              <w:spacing w:after="60"/>
              <w:contextualSpacing/>
              <w:rPr>
                <w:rFonts w:eastAsia="Calibri" w:cs="Arial"/>
                <w:sz w:val="14"/>
                <w:szCs w:val="14"/>
                <w:lang w:eastAsia="en-US"/>
              </w:rPr>
            </w:pPr>
            <w:r w:rsidRPr="00163684">
              <w:rPr>
                <w:rFonts w:eastAsia="Calibri" w:cs="Arial"/>
                <w:sz w:val="14"/>
                <w:szCs w:val="14"/>
                <w:lang w:eastAsia="en-US"/>
              </w:rPr>
              <w:t xml:space="preserve">Worker must cooperate with reasonable return to work and treatment program — </w:t>
            </w:r>
            <w:hyperlink r:id="rId1585" w:history="1">
              <w:r w:rsidRPr="00A21CE3">
                <w:rPr>
                  <w:rStyle w:val="Hyperlink"/>
                  <w:rFonts w:eastAsia="Calibri" w:cs="Arial"/>
                  <w:sz w:val="14"/>
                  <w:szCs w:val="14"/>
                  <w:lang w:eastAsia="en-US"/>
                </w:rPr>
                <w:t>s75B</w:t>
              </w:r>
            </w:hyperlink>
          </w:p>
          <w:p w14:paraId="155826FA" w14:textId="3A02BB74" w:rsidR="00C65744" w:rsidRPr="00163684" w:rsidRDefault="00C65744" w:rsidP="00F839DB">
            <w:pPr>
              <w:pStyle w:val="ListParagraph"/>
              <w:numPr>
                <w:ilvl w:val="0"/>
                <w:numId w:val="273"/>
              </w:numPr>
              <w:spacing w:after="60"/>
              <w:contextualSpacing/>
              <w:rPr>
                <w:rFonts w:eastAsia="Calibri" w:cs="Arial"/>
                <w:sz w:val="14"/>
                <w:szCs w:val="14"/>
                <w:lang w:eastAsia="en-US"/>
              </w:rPr>
            </w:pPr>
            <w:r w:rsidRPr="00163684">
              <w:rPr>
                <w:rFonts w:eastAsia="Calibri" w:cs="Arial"/>
                <w:sz w:val="14"/>
                <w:szCs w:val="14"/>
                <w:lang w:eastAsia="en-US"/>
              </w:rPr>
              <w:t xml:space="preserve">Accredited Vocational Rehabilitation Providers — </w:t>
            </w:r>
            <w:hyperlink r:id="rId1586" w:history="1">
              <w:r w:rsidRPr="00A21CE3">
                <w:rPr>
                  <w:rStyle w:val="Hyperlink"/>
                  <w:rFonts w:eastAsia="Calibri" w:cs="Arial"/>
                  <w:sz w:val="14"/>
                  <w:szCs w:val="14"/>
                  <w:lang w:eastAsia="en-US"/>
                </w:rPr>
                <w:t>s50</w:t>
              </w:r>
            </w:hyperlink>
          </w:p>
        </w:tc>
        <w:tc>
          <w:tcPr>
            <w:tcW w:w="6836" w:type="dxa"/>
            <w:shd w:val="clear" w:color="auto" w:fill="FFC9C9"/>
            <w:tcMar>
              <w:top w:w="80" w:type="dxa"/>
              <w:left w:w="80" w:type="dxa"/>
              <w:bottom w:w="80" w:type="dxa"/>
              <w:right w:w="80" w:type="dxa"/>
            </w:tcMar>
          </w:tcPr>
          <w:p w14:paraId="71DC082E" w14:textId="1592E682" w:rsidR="00C65744" w:rsidRPr="00C65744" w:rsidRDefault="00C65744" w:rsidP="00292A53">
            <w:pPr>
              <w:spacing w:after="60"/>
              <w:rPr>
                <w:rFonts w:cs="Arial"/>
                <w:color w:val="0000FF"/>
                <w:sz w:val="14"/>
                <w:szCs w:val="16"/>
                <w:u w:val="single"/>
                <w:lang w:val="en-GB"/>
              </w:rPr>
            </w:pPr>
            <w:r w:rsidRPr="00C65744">
              <w:rPr>
                <w:rFonts w:cs="Arial"/>
                <w:color w:val="000000"/>
                <w:sz w:val="14"/>
                <w:szCs w:val="16"/>
                <w:lang w:val="en-GB"/>
              </w:rPr>
              <w:fldChar w:fldCharType="begin"/>
            </w:r>
            <w:r w:rsidRPr="00C65744">
              <w:rPr>
                <w:rFonts w:cs="Arial"/>
                <w:color w:val="000000"/>
                <w:sz w:val="14"/>
                <w:szCs w:val="16"/>
                <w:lang w:val="en-GB"/>
              </w:rPr>
              <w:instrText>HYPERLINK "http://www.worksafe.nt.gov.au/Bulletins/HealthAndSafetyTopics/Workers Compensation/13.02.03.pdf"</w:instrText>
            </w:r>
            <w:r w:rsidRPr="00C65744">
              <w:rPr>
                <w:rFonts w:cs="Arial"/>
                <w:color w:val="000000"/>
                <w:sz w:val="14"/>
                <w:szCs w:val="16"/>
                <w:lang w:val="en-GB"/>
              </w:rPr>
              <w:fldChar w:fldCharType="separate"/>
            </w:r>
          </w:p>
          <w:p w14:paraId="2AA21997" w14:textId="2DE9A7B8" w:rsidR="004C4EB2" w:rsidRDefault="00C65744" w:rsidP="00292A53">
            <w:pPr>
              <w:spacing w:after="60"/>
              <w:rPr>
                <w:rFonts w:cs="Arial"/>
                <w:color w:val="000000"/>
                <w:sz w:val="14"/>
                <w:szCs w:val="16"/>
                <w:lang w:val="en-GB"/>
              </w:rPr>
            </w:pPr>
            <w:r w:rsidRPr="00C65744">
              <w:rPr>
                <w:rFonts w:cs="Arial"/>
                <w:color w:val="000000"/>
                <w:sz w:val="14"/>
                <w:szCs w:val="16"/>
                <w:lang w:val="en-GB"/>
              </w:rPr>
              <w:fldChar w:fldCharType="end"/>
            </w:r>
            <w:hyperlink r:id="rId1587" w:history="1">
              <w:r w:rsidR="004C4EB2" w:rsidRPr="004C4EB2">
                <w:rPr>
                  <w:rStyle w:val="Hyperlink"/>
                  <w:rFonts w:cs="Arial"/>
                  <w:sz w:val="14"/>
                  <w:szCs w:val="16"/>
                  <w:lang w:val="en-GB"/>
                </w:rPr>
                <w:t>Return to Work — Employers Information</w:t>
              </w:r>
            </w:hyperlink>
          </w:p>
          <w:p w14:paraId="3CBF6834" w14:textId="3FA1CA0A" w:rsidR="004C4EB2" w:rsidRDefault="00A7538C" w:rsidP="00292A53">
            <w:pPr>
              <w:spacing w:after="60"/>
              <w:rPr>
                <w:rFonts w:cs="Arial"/>
                <w:color w:val="000000"/>
                <w:sz w:val="14"/>
                <w:szCs w:val="16"/>
                <w:lang w:val="en-GB"/>
              </w:rPr>
            </w:pPr>
            <w:hyperlink r:id="rId1588" w:history="1">
              <w:r w:rsidR="004C4EB2" w:rsidRPr="004C4EB2">
                <w:rPr>
                  <w:rStyle w:val="Hyperlink"/>
                  <w:rFonts w:cs="Arial"/>
                  <w:sz w:val="14"/>
                  <w:szCs w:val="16"/>
                  <w:lang w:val="en-GB"/>
                </w:rPr>
                <w:t>Return to Work Plans</w:t>
              </w:r>
            </w:hyperlink>
          </w:p>
          <w:p w14:paraId="30DE4D84" w14:textId="3CD0C00B" w:rsidR="00C65744" w:rsidRPr="00C65744" w:rsidRDefault="00C65744" w:rsidP="00292A53">
            <w:pPr>
              <w:spacing w:after="60"/>
              <w:rPr>
                <w:rFonts w:cs="Arial"/>
                <w:color w:val="0000FF"/>
                <w:sz w:val="14"/>
                <w:szCs w:val="16"/>
                <w:u w:val="single"/>
                <w:lang w:val="en-GB"/>
              </w:rPr>
            </w:pPr>
            <w:r w:rsidRPr="00C65744">
              <w:rPr>
                <w:rFonts w:cs="Arial"/>
                <w:color w:val="000000"/>
                <w:sz w:val="14"/>
                <w:szCs w:val="16"/>
                <w:lang w:val="en-GB"/>
              </w:rPr>
              <w:fldChar w:fldCharType="begin"/>
            </w:r>
            <w:r w:rsidR="004C4EB2">
              <w:rPr>
                <w:rFonts w:cs="Arial"/>
                <w:color w:val="000000"/>
                <w:sz w:val="14"/>
                <w:szCs w:val="16"/>
                <w:lang w:val="en-GB"/>
              </w:rPr>
              <w:instrText>HYPERLINK "http://www.worksafe.nt.gov.au/PDF%20Conversion/rehabilitation-information-for-employers.pdf"</w:instrText>
            </w:r>
            <w:r w:rsidRPr="00C65744">
              <w:rPr>
                <w:rFonts w:cs="Arial"/>
                <w:color w:val="000000"/>
                <w:sz w:val="14"/>
                <w:szCs w:val="16"/>
                <w:lang w:val="en-GB"/>
              </w:rPr>
              <w:fldChar w:fldCharType="separate"/>
            </w:r>
            <w:r w:rsidRPr="00C65744">
              <w:rPr>
                <w:rFonts w:cs="Arial"/>
                <w:color w:val="0000FF"/>
                <w:sz w:val="14"/>
                <w:szCs w:val="16"/>
                <w:u w:val="single"/>
                <w:lang w:val="en-GB"/>
              </w:rPr>
              <w:t>Alternative Employer Incentive Scheme</w:t>
            </w:r>
          </w:p>
          <w:p w14:paraId="3F0FC6C1" w14:textId="332E4F36" w:rsidR="00C65744" w:rsidRPr="00C65744" w:rsidRDefault="00C65744" w:rsidP="004C4EB2">
            <w:pPr>
              <w:spacing w:after="60"/>
              <w:rPr>
                <w:rFonts w:cs="Arial"/>
                <w:color w:val="000000"/>
                <w:sz w:val="14"/>
                <w:szCs w:val="16"/>
                <w:lang w:val="en-GB"/>
              </w:rPr>
            </w:pPr>
            <w:r w:rsidRPr="00C65744">
              <w:rPr>
                <w:rFonts w:cs="Arial"/>
                <w:color w:val="000000"/>
                <w:sz w:val="14"/>
                <w:szCs w:val="16"/>
                <w:lang w:val="en-GB"/>
              </w:rPr>
              <w:fldChar w:fldCharType="end"/>
            </w:r>
            <w:r w:rsidR="004C4EB2" w:rsidRPr="00C65744" w:rsidDel="004C4EB2">
              <w:rPr>
                <w:rFonts w:cs="Arial"/>
                <w:color w:val="000000"/>
                <w:sz w:val="14"/>
                <w:szCs w:val="16"/>
                <w:lang w:val="en-GB"/>
              </w:rPr>
              <w:t xml:space="preserve"> </w:t>
            </w:r>
          </w:p>
        </w:tc>
      </w:tr>
      <w:tr w:rsidR="00C65744" w:rsidRPr="00C65744" w14:paraId="7A5C606A" w14:textId="77777777" w:rsidTr="00922480">
        <w:tc>
          <w:tcPr>
            <w:tcW w:w="1343" w:type="dxa"/>
            <w:tcMar>
              <w:top w:w="80" w:type="dxa"/>
              <w:left w:w="80" w:type="dxa"/>
              <w:bottom w:w="80" w:type="dxa"/>
              <w:right w:w="80" w:type="dxa"/>
            </w:tcMar>
          </w:tcPr>
          <w:p w14:paraId="0DF8D727"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Australian Capital Territory</w:t>
            </w:r>
          </w:p>
        </w:tc>
        <w:tc>
          <w:tcPr>
            <w:tcW w:w="6836" w:type="dxa"/>
            <w:tcMar>
              <w:top w:w="80" w:type="dxa"/>
              <w:left w:w="80" w:type="dxa"/>
              <w:bottom w:w="80" w:type="dxa"/>
              <w:right w:w="80" w:type="dxa"/>
            </w:tcMar>
          </w:tcPr>
          <w:p w14:paraId="1E62B927" w14:textId="4229EBDB" w:rsidR="00C65744" w:rsidRPr="00163684" w:rsidRDefault="00A7538C" w:rsidP="00292A53">
            <w:pPr>
              <w:spacing w:after="60"/>
              <w:rPr>
                <w:rFonts w:cs="Arial"/>
                <w:color w:val="000000"/>
                <w:sz w:val="14"/>
                <w:szCs w:val="16"/>
                <w:lang w:val="en-GB"/>
              </w:rPr>
            </w:pPr>
            <w:hyperlink r:id="rId1589" w:history="1">
              <w:r w:rsidR="00C65744" w:rsidRPr="00163684">
                <w:rPr>
                  <w:rFonts w:cs="Arial"/>
                  <w:color w:val="0000FF"/>
                  <w:sz w:val="14"/>
                  <w:szCs w:val="16"/>
                  <w:u w:val="single"/>
                  <w:lang w:val="en-GB"/>
                </w:rPr>
                <w:t xml:space="preserve">Chapter 5 of the </w:t>
              </w:r>
              <w:r w:rsidR="00C65744" w:rsidRPr="00886185">
                <w:rPr>
                  <w:rFonts w:cs="Arial"/>
                  <w:i/>
                  <w:color w:val="0000FF"/>
                  <w:sz w:val="14"/>
                  <w:szCs w:val="16"/>
                  <w:u w:val="single"/>
                  <w:lang w:val="en-GB"/>
                </w:rPr>
                <w:t>Workers’ Compensation Act 1951</w:t>
              </w:r>
            </w:hyperlink>
          </w:p>
        </w:tc>
        <w:tc>
          <w:tcPr>
            <w:tcW w:w="6836" w:type="dxa"/>
            <w:tcMar>
              <w:top w:w="80" w:type="dxa"/>
              <w:left w:w="80" w:type="dxa"/>
              <w:bottom w:w="80" w:type="dxa"/>
              <w:right w:w="80" w:type="dxa"/>
            </w:tcMar>
          </w:tcPr>
          <w:p w14:paraId="4C65D9AB" w14:textId="3068AC5C" w:rsidR="00C65744" w:rsidRPr="00C65744" w:rsidRDefault="00A7538C" w:rsidP="00292A53">
            <w:pPr>
              <w:spacing w:after="60"/>
              <w:rPr>
                <w:rFonts w:cs="Arial"/>
                <w:color w:val="000000"/>
                <w:sz w:val="14"/>
                <w:szCs w:val="16"/>
                <w:lang w:val="en-GB"/>
              </w:rPr>
            </w:pPr>
            <w:hyperlink r:id="rId1590" w:history="1">
              <w:r w:rsidR="00C65744" w:rsidRPr="00C65744">
                <w:rPr>
                  <w:rFonts w:cs="Arial"/>
                  <w:color w:val="0000FF"/>
                  <w:sz w:val="14"/>
                  <w:szCs w:val="16"/>
                  <w:u w:val="single"/>
                  <w:lang w:val="en-GB"/>
                </w:rPr>
                <w:t xml:space="preserve">Chapter 5 of the </w:t>
              </w:r>
              <w:r w:rsidR="00C65744" w:rsidRPr="00886185">
                <w:rPr>
                  <w:rFonts w:cs="Arial"/>
                  <w:i/>
                  <w:color w:val="0000FF"/>
                  <w:sz w:val="14"/>
                  <w:szCs w:val="16"/>
                  <w:u w:val="single"/>
                  <w:lang w:val="en-GB"/>
                </w:rPr>
                <w:t>Workers’ Compensation Act 1951</w:t>
              </w:r>
            </w:hyperlink>
          </w:p>
        </w:tc>
      </w:tr>
      <w:tr w:rsidR="00C65744" w:rsidRPr="00C65744" w14:paraId="7E91EBEB" w14:textId="77777777" w:rsidTr="00922480">
        <w:tc>
          <w:tcPr>
            <w:tcW w:w="1343" w:type="dxa"/>
            <w:shd w:val="clear" w:color="auto" w:fill="FFC9C9"/>
            <w:tcMar>
              <w:top w:w="80" w:type="dxa"/>
              <w:left w:w="80" w:type="dxa"/>
              <w:bottom w:w="80" w:type="dxa"/>
              <w:right w:w="80" w:type="dxa"/>
            </w:tcMar>
          </w:tcPr>
          <w:p w14:paraId="44EBC6E8"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C’wealth Comcare</w:t>
            </w:r>
          </w:p>
        </w:tc>
        <w:tc>
          <w:tcPr>
            <w:tcW w:w="6836" w:type="dxa"/>
            <w:shd w:val="clear" w:color="auto" w:fill="FFC9C9"/>
            <w:tcMar>
              <w:top w:w="80" w:type="dxa"/>
              <w:left w:w="80" w:type="dxa"/>
              <w:bottom w:w="80" w:type="dxa"/>
              <w:right w:w="80" w:type="dxa"/>
            </w:tcMar>
          </w:tcPr>
          <w:p w14:paraId="243A8AA0" w14:textId="47C4D060" w:rsidR="00C65744" w:rsidRPr="00163684" w:rsidRDefault="00C65744" w:rsidP="00F839DB">
            <w:pPr>
              <w:pStyle w:val="ListParagraph"/>
              <w:numPr>
                <w:ilvl w:val="0"/>
                <w:numId w:val="275"/>
              </w:numPr>
              <w:spacing w:after="60"/>
              <w:contextualSpacing/>
              <w:rPr>
                <w:rFonts w:eastAsia="Calibri" w:cs="Arial"/>
                <w:sz w:val="14"/>
                <w:szCs w:val="14"/>
                <w:lang w:eastAsia="en-US"/>
              </w:rPr>
            </w:pPr>
            <w:r w:rsidRPr="00163684">
              <w:rPr>
                <w:rFonts w:eastAsia="Calibri" w:cs="Arial"/>
                <w:i/>
                <w:sz w:val="14"/>
                <w:szCs w:val="14"/>
                <w:lang w:eastAsia="en-US"/>
              </w:rPr>
              <w:t>Safety, Rehabilitation and Compensation Act 1988</w:t>
            </w:r>
            <w:r w:rsidRPr="00163684">
              <w:rPr>
                <w:rFonts w:eastAsia="Calibri" w:cs="Arial"/>
                <w:sz w:val="14"/>
                <w:szCs w:val="14"/>
                <w:lang w:eastAsia="en-US"/>
              </w:rPr>
              <w:t xml:space="preserve"> — </w:t>
            </w:r>
            <w:hyperlink r:id="rId1591" w:history="1">
              <w:r w:rsidRPr="009A0E9B">
                <w:rPr>
                  <w:rStyle w:val="Hyperlink"/>
                  <w:rFonts w:eastAsia="Calibri" w:cs="Arial"/>
                  <w:sz w:val="14"/>
                  <w:szCs w:val="14"/>
                  <w:lang w:eastAsia="en-US"/>
                </w:rPr>
                <w:t>Part III, Division 2</w:t>
              </w:r>
            </w:hyperlink>
          </w:p>
          <w:p w14:paraId="74E4D584" w14:textId="3490ED38" w:rsidR="00C65744" w:rsidRPr="00163684" w:rsidRDefault="00A7538C" w:rsidP="00F839DB">
            <w:pPr>
              <w:pStyle w:val="ListParagraph"/>
              <w:numPr>
                <w:ilvl w:val="0"/>
                <w:numId w:val="275"/>
              </w:numPr>
              <w:spacing w:after="60"/>
              <w:contextualSpacing/>
              <w:rPr>
                <w:rFonts w:eastAsia="Calibri" w:cs="Arial"/>
                <w:sz w:val="14"/>
                <w:szCs w:val="14"/>
                <w:lang w:eastAsia="en-US"/>
              </w:rPr>
            </w:pPr>
            <w:hyperlink r:id="rId1592" w:history="1">
              <w:r w:rsidR="009A0E9B" w:rsidRPr="009A0E9B">
                <w:rPr>
                  <w:rStyle w:val="Hyperlink"/>
                  <w:rFonts w:eastAsia="Calibri" w:cs="Arial"/>
                  <w:sz w:val="14"/>
                  <w:szCs w:val="14"/>
                  <w:lang w:eastAsia="en-US"/>
                </w:rPr>
                <w:t>s34A–</w:t>
              </w:r>
              <w:r w:rsidR="00C65744" w:rsidRPr="009A0E9B">
                <w:rPr>
                  <w:rStyle w:val="Hyperlink"/>
                  <w:rFonts w:eastAsia="Calibri" w:cs="Arial"/>
                  <w:sz w:val="14"/>
                  <w:szCs w:val="14"/>
                  <w:lang w:eastAsia="en-US"/>
                </w:rPr>
                <w:t>34S</w:t>
              </w:r>
            </w:hyperlink>
            <w:r w:rsidR="00C65744" w:rsidRPr="00163684">
              <w:rPr>
                <w:rFonts w:eastAsia="Calibri" w:cs="Arial"/>
                <w:sz w:val="14"/>
                <w:szCs w:val="14"/>
                <w:lang w:eastAsia="en-US"/>
              </w:rPr>
              <w:t xml:space="preserve"> </w:t>
            </w:r>
            <w:r w:rsidR="003F5D7A">
              <w:rPr>
                <w:rFonts w:eastAsia="Calibri" w:cs="Arial"/>
                <w:sz w:val="14"/>
                <w:szCs w:val="14"/>
                <w:lang w:eastAsia="en-US"/>
              </w:rPr>
              <w:t>—</w:t>
            </w:r>
            <w:r w:rsidR="003F5D7A" w:rsidRPr="00163684">
              <w:rPr>
                <w:rFonts w:eastAsia="Calibri" w:cs="Arial"/>
                <w:sz w:val="14"/>
                <w:szCs w:val="14"/>
                <w:lang w:eastAsia="en-US"/>
              </w:rPr>
              <w:t xml:space="preserve"> </w:t>
            </w:r>
            <w:r w:rsidR="00C65744" w:rsidRPr="00163684">
              <w:rPr>
                <w:rFonts w:eastAsia="Calibri" w:cs="Arial"/>
                <w:sz w:val="14"/>
                <w:szCs w:val="14"/>
                <w:lang w:eastAsia="en-US"/>
              </w:rPr>
              <w:t>Approved rehabilitation program providers</w:t>
            </w:r>
          </w:p>
          <w:p w14:paraId="09E02E67" w14:textId="77777777" w:rsidR="00C65744" w:rsidRPr="00163684" w:rsidRDefault="00C65744" w:rsidP="00F839DB">
            <w:pPr>
              <w:pStyle w:val="ListParagraph"/>
              <w:numPr>
                <w:ilvl w:val="0"/>
                <w:numId w:val="275"/>
              </w:numPr>
              <w:spacing w:after="60"/>
              <w:ind w:left="357" w:hanging="357"/>
              <w:rPr>
                <w:rFonts w:eastAsia="Calibri" w:cs="Arial"/>
                <w:sz w:val="14"/>
                <w:szCs w:val="14"/>
                <w:lang w:eastAsia="en-US"/>
              </w:rPr>
            </w:pPr>
            <w:r w:rsidRPr="00163684">
              <w:rPr>
                <w:rFonts w:eastAsia="Calibri" w:cs="Arial"/>
                <w:sz w:val="14"/>
                <w:szCs w:val="14"/>
                <w:lang w:eastAsia="en-US"/>
              </w:rPr>
              <w:t>Division 3</w:t>
            </w:r>
          </w:p>
          <w:p w14:paraId="7860EC39" w14:textId="5B7C7829" w:rsidR="00C65744" w:rsidRPr="00163684" w:rsidRDefault="00A7538C" w:rsidP="00F839DB">
            <w:pPr>
              <w:pStyle w:val="ListParagraph"/>
              <w:numPr>
                <w:ilvl w:val="0"/>
                <w:numId w:val="276"/>
              </w:numPr>
              <w:spacing w:after="60"/>
              <w:ind w:left="357" w:hanging="14"/>
              <w:contextualSpacing/>
              <w:rPr>
                <w:rFonts w:cs="Arial"/>
                <w:color w:val="000000"/>
                <w:sz w:val="14"/>
                <w:szCs w:val="16"/>
                <w:lang w:val="en-GB"/>
              </w:rPr>
            </w:pPr>
            <w:hyperlink r:id="rId1593" w:history="1">
              <w:r w:rsidR="00C65744" w:rsidRPr="009A0E9B">
                <w:rPr>
                  <w:rStyle w:val="Hyperlink"/>
                  <w:rFonts w:cs="Arial"/>
                  <w:sz w:val="14"/>
                  <w:szCs w:val="16"/>
                  <w:lang w:val="en-GB"/>
                </w:rPr>
                <w:t>s36</w:t>
              </w:r>
            </w:hyperlink>
            <w:r w:rsidR="00C65744" w:rsidRPr="00163684">
              <w:rPr>
                <w:rFonts w:cs="Arial"/>
                <w:color w:val="000000"/>
                <w:sz w:val="14"/>
                <w:szCs w:val="16"/>
                <w:lang w:val="en-GB"/>
              </w:rPr>
              <w:t xml:space="preserve"> Assessment of capability of undertaking rehabilitation program </w:t>
            </w:r>
          </w:p>
          <w:p w14:paraId="3953397F" w14:textId="184645FC" w:rsidR="00C65744" w:rsidRPr="00163684" w:rsidRDefault="00A7538C" w:rsidP="00F839DB">
            <w:pPr>
              <w:pStyle w:val="ListParagraph"/>
              <w:numPr>
                <w:ilvl w:val="0"/>
                <w:numId w:val="276"/>
              </w:numPr>
              <w:spacing w:after="60"/>
              <w:ind w:left="357" w:hanging="14"/>
              <w:contextualSpacing/>
              <w:rPr>
                <w:rFonts w:cs="Arial"/>
                <w:color w:val="000000"/>
                <w:sz w:val="14"/>
                <w:szCs w:val="16"/>
                <w:lang w:val="en-GB"/>
              </w:rPr>
            </w:pPr>
            <w:hyperlink r:id="rId1594" w:history="1">
              <w:r w:rsidR="00C65744" w:rsidRPr="009A0E9B">
                <w:rPr>
                  <w:rStyle w:val="Hyperlink"/>
                  <w:rFonts w:cs="Arial"/>
                  <w:sz w:val="14"/>
                  <w:szCs w:val="16"/>
                  <w:lang w:val="en-GB"/>
                </w:rPr>
                <w:t>s37</w:t>
              </w:r>
            </w:hyperlink>
            <w:r w:rsidR="00C65744" w:rsidRPr="00163684">
              <w:rPr>
                <w:rFonts w:cs="Arial"/>
                <w:color w:val="000000"/>
                <w:sz w:val="14"/>
                <w:szCs w:val="16"/>
                <w:lang w:val="en-GB"/>
              </w:rPr>
              <w:t xml:space="preserve"> Provision of rehabilitation programs</w:t>
            </w:r>
          </w:p>
          <w:p w14:paraId="48D1A177" w14:textId="2FEF1C20" w:rsidR="00C65744" w:rsidRPr="00163684" w:rsidRDefault="00A7538C" w:rsidP="00F839DB">
            <w:pPr>
              <w:pStyle w:val="ListParagraph"/>
              <w:numPr>
                <w:ilvl w:val="0"/>
                <w:numId w:val="276"/>
              </w:numPr>
              <w:spacing w:after="60"/>
              <w:ind w:left="357" w:hanging="14"/>
              <w:contextualSpacing/>
              <w:rPr>
                <w:rFonts w:cs="Arial"/>
                <w:color w:val="000000"/>
                <w:sz w:val="14"/>
                <w:szCs w:val="16"/>
                <w:lang w:val="en-GB"/>
              </w:rPr>
            </w:pPr>
            <w:hyperlink r:id="rId1595" w:history="1">
              <w:r w:rsidR="00C65744" w:rsidRPr="00E260B9">
                <w:rPr>
                  <w:rStyle w:val="Hyperlink"/>
                  <w:rFonts w:cs="Arial"/>
                  <w:sz w:val="14"/>
                  <w:szCs w:val="16"/>
                  <w:lang w:val="en-GB"/>
                </w:rPr>
                <w:t>s38</w:t>
              </w:r>
            </w:hyperlink>
            <w:r w:rsidR="00C65744" w:rsidRPr="00163684">
              <w:rPr>
                <w:rFonts w:cs="Arial"/>
                <w:color w:val="000000"/>
                <w:sz w:val="14"/>
                <w:szCs w:val="16"/>
                <w:lang w:val="en-GB"/>
              </w:rPr>
              <w:t xml:space="preserve"> Review of certain determinations by Comcare</w:t>
            </w:r>
          </w:p>
          <w:p w14:paraId="2D2C3463" w14:textId="300DA8A7" w:rsidR="00C65744" w:rsidRPr="00163684" w:rsidRDefault="00A7538C" w:rsidP="00F839DB">
            <w:pPr>
              <w:pStyle w:val="ListParagraph"/>
              <w:numPr>
                <w:ilvl w:val="0"/>
                <w:numId w:val="276"/>
              </w:numPr>
              <w:spacing w:after="60"/>
              <w:ind w:left="357" w:hanging="14"/>
              <w:contextualSpacing/>
              <w:rPr>
                <w:rFonts w:cs="Arial"/>
                <w:color w:val="000000"/>
                <w:sz w:val="14"/>
                <w:szCs w:val="16"/>
                <w:lang w:val="en-GB"/>
              </w:rPr>
            </w:pPr>
            <w:hyperlink r:id="rId1596" w:history="1">
              <w:r w:rsidR="00C65744" w:rsidRPr="00E260B9">
                <w:rPr>
                  <w:rStyle w:val="Hyperlink"/>
                  <w:rFonts w:cs="Arial"/>
                  <w:sz w:val="14"/>
                  <w:szCs w:val="16"/>
                  <w:lang w:val="en-GB"/>
                </w:rPr>
                <w:t>s39</w:t>
              </w:r>
            </w:hyperlink>
            <w:r w:rsidR="00C65744" w:rsidRPr="00163684">
              <w:rPr>
                <w:rFonts w:cs="Arial"/>
                <w:color w:val="000000"/>
                <w:sz w:val="14"/>
                <w:szCs w:val="16"/>
                <w:lang w:val="en-GB"/>
              </w:rPr>
              <w:t xml:space="preserve"> Compensation payable in respect of certain alterations etc.</w:t>
            </w:r>
          </w:p>
          <w:p w14:paraId="13E291DC" w14:textId="6D7DFC41" w:rsidR="00C65744" w:rsidRPr="00163684" w:rsidRDefault="00A7538C" w:rsidP="00F839DB">
            <w:pPr>
              <w:pStyle w:val="ListParagraph"/>
              <w:numPr>
                <w:ilvl w:val="0"/>
                <w:numId w:val="276"/>
              </w:numPr>
              <w:spacing w:after="60"/>
              <w:ind w:left="357" w:hanging="14"/>
              <w:contextualSpacing/>
              <w:rPr>
                <w:rFonts w:cs="Arial"/>
                <w:color w:val="000000"/>
                <w:sz w:val="14"/>
                <w:szCs w:val="16"/>
                <w:lang w:val="en-GB"/>
              </w:rPr>
            </w:pPr>
            <w:hyperlink r:id="rId1597" w:history="1">
              <w:r w:rsidR="00C65744" w:rsidRPr="00E260B9">
                <w:rPr>
                  <w:rStyle w:val="Hyperlink"/>
                  <w:rFonts w:cs="Arial"/>
                  <w:sz w:val="14"/>
                  <w:szCs w:val="16"/>
                  <w:lang w:val="en-GB"/>
                </w:rPr>
                <w:t>s40</w:t>
              </w:r>
            </w:hyperlink>
            <w:r w:rsidR="00C65744" w:rsidRPr="00163684">
              <w:rPr>
                <w:rFonts w:cs="Arial"/>
                <w:color w:val="000000"/>
                <w:sz w:val="14"/>
                <w:szCs w:val="16"/>
                <w:lang w:val="en-GB"/>
              </w:rPr>
              <w:t xml:space="preserve"> Duty to provide suitable employment</w:t>
            </w:r>
          </w:p>
          <w:p w14:paraId="76025ADE" w14:textId="4C666AA3" w:rsidR="00C65744" w:rsidRPr="00163684" w:rsidRDefault="00A7538C" w:rsidP="00F839DB">
            <w:pPr>
              <w:pStyle w:val="ListParagraph"/>
              <w:numPr>
                <w:ilvl w:val="0"/>
                <w:numId w:val="276"/>
              </w:numPr>
              <w:spacing w:after="60"/>
              <w:ind w:left="357" w:hanging="14"/>
              <w:contextualSpacing/>
              <w:rPr>
                <w:rFonts w:cs="Arial"/>
                <w:color w:val="000000"/>
                <w:sz w:val="14"/>
                <w:szCs w:val="16"/>
                <w:lang w:val="en-GB"/>
              </w:rPr>
            </w:pPr>
            <w:hyperlink r:id="rId1598" w:history="1">
              <w:r w:rsidR="00C65744" w:rsidRPr="00E260B9">
                <w:rPr>
                  <w:rStyle w:val="Hyperlink"/>
                  <w:rFonts w:cs="Arial"/>
                  <w:sz w:val="14"/>
                  <w:szCs w:val="16"/>
                  <w:lang w:val="en-GB"/>
                </w:rPr>
                <w:t>s41</w:t>
              </w:r>
            </w:hyperlink>
            <w:r w:rsidR="00C65744" w:rsidRPr="00163684">
              <w:rPr>
                <w:rFonts w:cs="Arial"/>
                <w:color w:val="000000"/>
                <w:sz w:val="14"/>
                <w:szCs w:val="16"/>
                <w:lang w:val="en-GB"/>
              </w:rPr>
              <w:t xml:space="preserve"> Rehabilitation authorities to comply with guidelines</w:t>
            </w:r>
          </w:p>
          <w:p w14:paraId="5364EE75" w14:textId="4F4D3875" w:rsidR="00C65744" w:rsidRPr="00163684" w:rsidRDefault="00A7538C" w:rsidP="00F839DB">
            <w:pPr>
              <w:pStyle w:val="ListParagraph"/>
              <w:numPr>
                <w:ilvl w:val="0"/>
                <w:numId w:val="276"/>
              </w:numPr>
              <w:spacing w:after="60"/>
              <w:ind w:left="357" w:hanging="14"/>
              <w:contextualSpacing/>
              <w:rPr>
                <w:rFonts w:cs="Arial"/>
                <w:color w:val="000000"/>
                <w:sz w:val="14"/>
                <w:szCs w:val="16"/>
                <w:lang w:val="en-GB"/>
              </w:rPr>
            </w:pPr>
            <w:hyperlink r:id="rId1599" w:history="1">
              <w:r w:rsidR="00C65744" w:rsidRPr="00E260B9">
                <w:rPr>
                  <w:rStyle w:val="Hyperlink"/>
                  <w:rFonts w:cs="Arial"/>
                  <w:sz w:val="14"/>
                  <w:szCs w:val="16"/>
                  <w:lang w:val="en-GB"/>
                </w:rPr>
                <w:t>s41A</w:t>
              </w:r>
            </w:hyperlink>
            <w:r w:rsidR="00C65744" w:rsidRPr="00163684">
              <w:rPr>
                <w:rFonts w:cs="Arial"/>
                <w:color w:val="000000"/>
                <w:sz w:val="14"/>
                <w:szCs w:val="16"/>
                <w:lang w:val="en-GB"/>
              </w:rPr>
              <w:t xml:space="preserve"> Delegation by rehabilitation authority</w:t>
            </w:r>
          </w:p>
        </w:tc>
        <w:tc>
          <w:tcPr>
            <w:tcW w:w="6836" w:type="dxa"/>
            <w:shd w:val="clear" w:color="auto" w:fill="FFC9C9"/>
            <w:tcMar>
              <w:top w:w="80" w:type="dxa"/>
              <w:left w:w="80" w:type="dxa"/>
              <w:bottom w:w="80" w:type="dxa"/>
              <w:right w:w="80" w:type="dxa"/>
            </w:tcMar>
          </w:tcPr>
          <w:p w14:paraId="621CE96D" w14:textId="6486BE3A"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 xml:space="preserve">First to action </w:t>
            </w:r>
            <w:r w:rsidR="003F5D7A">
              <w:rPr>
                <w:rFonts w:cs="Arial"/>
                <w:color w:val="000000"/>
                <w:sz w:val="14"/>
                <w:szCs w:val="16"/>
                <w:lang w:val="en-GB"/>
              </w:rPr>
              <w:t>—</w:t>
            </w:r>
            <w:r w:rsidR="003F5D7A" w:rsidRPr="00C65744">
              <w:rPr>
                <w:rFonts w:cs="Arial"/>
                <w:color w:val="000000"/>
                <w:sz w:val="14"/>
                <w:szCs w:val="16"/>
                <w:lang w:val="en-GB"/>
              </w:rPr>
              <w:t xml:space="preserve"> </w:t>
            </w:r>
            <w:hyperlink r:id="rId1600" w:history="1">
              <w:r w:rsidRPr="00C65744">
                <w:rPr>
                  <w:rFonts w:cs="Arial"/>
                  <w:color w:val="0000FF"/>
                  <w:sz w:val="14"/>
                  <w:szCs w:val="16"/>
                  <w:u w:val="single"/>
                  <w:lang w:val="en-GB"/>
                </w:rPr>
                <w:t>Early intervention to support psychological health and wellbeing</w:t>
              </w:r>
            </w:hyperlink>
          </w:p>
          <w:p w14:paraId="0A33DC28" w14:textId="77777777" w:rsidR="00C65744" w:rsidRPr="00C65744" w:rsidRDefault="00A7538C" w:rsidP="00292A53">
            <w:pPr>
              <w:spacing w:after="60"/>
              <w:rPr>
                <w:rFonts w:cs="Arial"/>
                <w:color w:val="000000"/>
                <w:sz w:val="14"/>
                <w:szCs w:val="16"/>
                <w:lang w:val="en-GB"/>
              </w:rPr>
            </w:pPr>
            <w:hyperlink r:id="rId1601" w:history="1">
              <w:r w:rsidR="00C65744" w:rsidRPr="00C65744">
                <w:rPr>
                  <w:rFonts w:cs="Arial"/>
                  <w:color w:val="0000FF"/>
                  <w:sz w:val="14"/>
                  <w:szCs w:val="16"/>
                  <w:u w:val="single"/>
                  <w:lang w:val="en-GB"/>
                </w:rPr>
                <w:t>Guidelines for Rehabilitation Authorities 2012</w:t>
              </w:r>
            </w:hyperlink>
          </w:p>
          <w:p w14:paraId="71166DE8" w14:textId="77777777" w:rsidR="005348D7" w:rsidRDefault="00C65744" w:rsidP="005348D7">
            <w:pPr>
              <w:spacing w:after="60"/>
              <w:rPr>
                <w:rFonts w:cs="Arial"/>
                <w:color w:val="0000FF"/>
                <w:sz w:val="14"/>
                <w:szCs w:val="16"/>
                <w:u w:val="single"/>
                <w:lang w:val="en-GB"/>
              </w:rPr>
            </w:pPr>
            <w:r w:rsidRPr="00C65744">
              <w:rPr>
                <w:rFonts w:cs="Arial"/>
                <w:color w:val="0000FF"/>
                <w:sz w:val="14"/>
                <w:szCs w:val="16"/>
                <w:u w:val="single"/>
                <w:lang w:val="en-GB"/>
              </w:rPr>
              <w:fldChar w:fldCharType="begin"/>
            </w:r>
            <w:r w:rsidRPr="00C65744">
              <w:rPr>
                <w:rFonts w:cs="Arial"/>
                <w:color w:val="0000FF"/>
                <w:sz w:val="14"/>
                <w:szCs w:val="16"/>
                <w:u w:val="single"/>
                <w:lang w:val="en-GB"/>
              </w:rPr>
              <w:instrText xml:space="preserve"> HYPERLINK "http://www.comcare.gov.au/Forms_and_Publications/publications/services/claims/claims/helping_you_recover" </w:instrText>
            </w:r>
            <w:r w:rsidRPr="00C65744">
              <w:rPr>
                <w:rFonts w:cs="Arial"/>
                <w:color w:val="0000FF"/>
                <w:sz w:val="14"/>
                <w:szCs w:val="16"/>
                <w:u w:val="single"/>
                <w:lang w:val="en-GB"/>
              </w:rPr>
              <w:fldChar w:fldCharType="separate"/>
            </w:r>
            <w:hyperlink r:id="rId1602" w:history="1">
              <w:r w:rsidR="005348D7" w:rsidRPr="00EE7C67">
                <w:rPr>
                  <w:rStyle w:val="Hyperlink"/>
                  <w:rFonts w:cs="Arial"/>
                  <w:sz w:val="14"/>
                  <w:szCs w:val="16"/>
                  <w:lang w:val="en-GB"/>
                </w:rPr>
                <w:t>Barriers to Return to Work</w:t>
              </w:r>
            </w:hyperlink>
          </w:p>
          <w:p w14:paraId="04835A31" w14:textId="77777777" w:rsidR="005348D7" w:rsidRDefault="00A7538C" w:rsidP="005348D7">
            <w:pPr>
              <w:spacing w:after="60"/>
              <w:rPr>
                <w:rFonts w:cs="Arial"/>
                <w:color w:val="0000FF"/>
                <w:sz w:val="14"/>
                <w:szCs w:val="16"/>
                <w:u w:val="single"/>
                <w:lang w:val="en-GB"/>
              </w:rPr>
            </w:pPr>
            <w:hyperlink r:id="rId1603" w:history="1">
              <w:r w:rsidR="005348D7">
                <w:rPr>
                  <w:rStyle w:val="Hyperlink"/>
                  <w:rFonts w:cs="Arial"/>
                  <w:sz w:val="14"/>
                  <w:szCs w:val="16"/>
                  <w:lang w:val="en-GB"/>
                </w:rPr>
                <w:t>Info</w:t>
              </w:r>
              <w:r w:rsidR="005348D7" w:rsidRPr="00EE7C67">
                <w:rPr>
                  <w:rStyle w:val="Hyperlink"/>
                  <w:rFonts w:cs="Arial"/>
                  <w:sz w:val="14"/>
                  <w:szCs w:val="16"/>
                  <w:lang w:val="en-GB"/>
                </w:rPr>
                <w:t>graphic: Back to work, Back to team</w:t>
              </w:r>
            </w:hyperlink>
          </w:p>
          <w:p w14:paraId="3E27B57C" w14:textId="77777777" w:rsidR="005348D7" w:rsidRPr="00C65744" w:rsidRDefault="00A7538C" w:rsidP="005348D7">
            <w:pPr>
              <w:spacing w:after="60"/>
              <w:rPr>
                <w:rFonts w:cs="Arial"/>
                <w:color w:val="000000"/>
                <w:sz w:val="14"/>
                <w:szCs w:val="16"/>
                <w:lang w:val="en-GB"/>
              </w:rPr>
            </w:pPr>
            <w:hyperlink r:id="rId1604" w:history="1">
              <w:r w:rsidR="005348D7" w:rsidRPr="00EE7C67">
                <w:rPr>
                  <w:rStyle w:val="Hyperlink"/>
                  <w:rFonts w:cs="Arial"/>
                  <w:sz w:val="14"/>
                  <w:szCs w:val="16"/>
                  <w:lang w:val="en-GB"/>
                </w:rPr>
                <w:t>Rehabilitation case management – first steps</w:t>
              </w:r>
            </w:hyperlink>
          </w:p>
          <w:p w14:paraId="2A41A38D" w14:textId="77777777" w:rsidR="00C65744" w:rsidRPr="00C65744" w:rsidRDefault="00C65744" w:rsidP="00292A53">
            <w:pPr>
              <w:spacing w:after="60"/>
              <w:rPr>
                <w:rFonts w:cs="Arial"/>
                <w:color w:val="0000FF"/>
                <w:sz w:val="14"/>
                <w:szCs w:val="16"/>
                <w:u w:val="single"/>
                <w:lang w:val="en-GB"/>
              </w:rPr>
            </w:pPr>
            <w:r w:rsidRPr="00C65744">
              <w:rPr>
                <w:rFonts w:cs="Arial"/>
                <w:color w:val="0000FF"/>
                <w:sz w:val="14"/>
                <w:szCs w:val="16"/>
                <w:u w:val="single"/>
                <w:lang w:val="en-GB"/>
              </w:rPr>
              <w:fldChar w:fldCharType="end"/>
            </w:r>
            <w:r w:rsidRPr="00C65744">
              <w:rPr>
                <w:rFonts w:cs="Arial"/>
                <w:color w:val="000000"/>
                <w:sz w:val="14"/>
                <w:szCs w:val="16"/>
                <w:lang w:val="en-GB"/>
              </w:rPr>
              <w:fldChar w:fldCharType="begin"/>
            </w:r>
            <w:r w:rsidRPr="00C65744">
              <w:rPr>
                <w:rFonts w:cs="Arial"/>
                <w:color w:val="000000"/>
                <w:sz w:val="14"/>
                <w:szCs w:val="16"/>
                <w:lang w:val="en-GB"/>
              </w:rPr>
              <w:instrText>HYPERLINK "http://www.comcare.gov.au/recovery/returning_to_work"</w:instrText>
            </w:r>
            <w:r w:rsidRPr="00C65744">
              <w:rPr>
                <w:rFonts w:cs="Arial"/>
                <w:color w:val="000000"/>
                <w:sz w:val="14"/>
                <w:szCs w:val="16"/>
                <w:lang w:val="en-GB"/>
              </w:rPr>
              <w:fldChar w:fldCharType="separate"/>
            </w:r>
            <w:r w:rsidRPr="00C65744">
              <w:rPr>
                <w:rFonts w:cs="Arial"/>
                <w:color w:val="0000FF"/>
                <w:sz w:val="14"/>
                <w:szCs w:val="16"/>
                <w:u w:val="single"/>
                <w:lang w:val="en-GB"/>
              </w:rPr>
              <w:t>Returning to work</w:t>
            </w:r>
          </w:p>
          <w:p w14:paraId="332C26AD" w14:textId="77777777" w:rsidR="00C65744" w:rsidRPr="00C65744" w:rsidRDefault="00C65744" w:rsidP="00292A53">
            <w:pPr>
              <w:spacing w:after="60"/>
              <w:rPr>
                <w:rFonts w:cs="Arial"/>
                <w:color w:val="0000FF"/>
                <w:sz w:val="14"/>
                <w:szCs w:val="16"/>
                <w:u w:val="single"/>
                <w:lang w:val="en-GB"/>
              </w:rPr>
            </w:pPr>
            <w:r w:rsidRPr="00C65744">
              <w:rPr>
                <w:rFonts w:cs="Arial"/>
                <w:color w:val="000000"/>
                <w:sz w:val="14"/>
                <w:szCs w:val="16"/>
                <w:lang w:val="en-GB"/>
              </w:rPr>
              <w:fldChar w:fldCharType="end"/>
            </w:r>
            <w:hyperlink r:id="rId1605" w:history="1">
              <w:r w:rsidRPr="00C65744">
                <w:rPr>
                  <w:rFonts w:cs="Arial"/>
                  <w:color w:val="0000FF"/>
                  <w:sz w:val="14"/>
                  <w:szCs w:val="16"/>
                  <w:u w:val="single"/>
                  <w:lang w:val="en-GB"/>
                </w:rPr>
                <w:t>Return to work easy reference guide</w:t>
              </w:r>
            </w:hyperlink>
          </w:p>
          <w:p w14:paraId="3FD48C25" w14:textId="77777777" w:rsidR="00C65744" w:rsidRPr="00C65744" w:rsidRDefault="00A7538C" w:rsidP="00292A53">
            <w:pPr>
              <w:spacing w:after="60"/>
              <w:rPr>
                <w:rFonts w:cs="Arial"/>
                <w:color w:val="000000"/>
                <w:sz w:val="14"/>
                <w:szCs w:val="16"/>
                <w:lang w:val="en-GB"/>
              </w:rPr>
            </w:pPr>
            <w:hyperlink r:id="rId1606" w:history="1">
              <w:r w:rsidR="00C65744" w:rsidRPr="00C65744">
                <w:rPr>
                  <w:rFonts w:cs="Arial"/>
                  <w:color w:val="0000FF"/>
                  <w:sz w:val="14"/>
                  <w:szCs w:val="16"/>
                  <w:u w:val="single"/>
                  <w:lang w:val="en-GB"/>
                </w:rPr>
                <w:t>First steps back: A guide to suitable employment for rehabilitation case managers</w:t>
              </w:r>
            </w:hyperlink>
          </w:p>
          <w:p w14:paraId="5811445A" w14:textId="77777777" w:rsidR="00C65744" w:rsidRPr="00C65744" w:rsidRDefault="00A7538C" w:rsidP="00292A53">
            <w:pPr>
              <w:spacing w:after="60"/>
              <w:rPr>
                <w:rFonts w:cs="Arial"/>
                <w:color w:val="000000"/>
                <w:sz w:val="14"/>
                <w:szCs w:val="16"/>
                <w:lang w:val="en-GB"/>
              </w:rPr>
            </w:pPr>
            <w:hyperlink r:id="rId1607" w:history="1">
              <w:r w:rsidR="00C65744" w:rsidRPr="00C65744">
                <w:rPr>
                  <w:rFonts w:cs="Arial"/>
                  <w:color w:val="0000FF"/>
                  <w:sz w:val="14"/>
                  <w:szCs w:val="16"/>
                  <w:u w:val="single"/>
                  <w:lang w:val="en-GB"/>
                </w:rPr>
                <w:t>Work trials: a guide for rehabilitation case managers</w:t>
              </w:r>
            </w:hyperlink>
          </w:p>
          <w:p w14:paraId="29781387" w14:textId="18D3E17A" w:rsidR="00C65744" w:rsidRPr="00C65744" w:rsidRDefault="00A7538C" w:rsidP="00292A53">
            <w:pPr>
              <w:spacing w:after="60"/>
              <w:rPr>
                <w:rFonts w:cs="Arial"/>
                <w:color w:val="000000"/>
                <w:sz w:val="14"/>
                <w:szCs w:val="16"/>
                <w:lang w:val="en-GB"/>
              </w:rPr>
            </w:pPr>
            <w:hyperlink r:id="rId1608" w:history="1">
              <w:r w:rsidR="00C65744" w:rsidRPr="00C65744">
                <w:rPr>
                  <w:rFonts w:cs="Arial"/>
                  <w:color w:val="0000FF"/>
                  <w:sz w:val="14"/>
                  <w:szCs w:val="16"/>
                  <w:u w:val="single"/>
                  <w:lang w:val="en-GB"/>
                </w:rPr>
                <w:t>Working for recovery: suitable employment for return to work following psychological injury</w:t>
              </w:r>
            </w:hyperlink>
          </w:p>
        </w:tc>
      </w:tr>
      <w:tr w:rsidR="00C65744" w:rsidRPr="00C65744" w14:paraId="6F6EF805" w14:textId="77777777" w:rsidTr="00922480">
        <w:tc>
          <w:tcPr>
            <w:tcW w:w="1343" w:type="dxa"/>
            <w:tcMar>
              <w:top w:w="80" w:type="dxa"/>
              <w:left w:w="80" w:type="dxa"/>
              <w:bottom w:w="80" w:type="dxa"/>
              <w:right w:w="80" w:type="dxa"/>
            </w:tcMar>
          </w:tcPr>
          <w:p w14:paraId="3F149A52"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C’wealth Seacare</w:t>
            </w:r>
          </w:p>
        </w:tc>
        <w:tc>
          <w:tcPr>
            <w:tcW w:w="6836" w:type="dxa"/>
            <w:tcMar>
              <w:top w:w="80" w:type="dxa"/>
              <w:left w:w="80" w:type="dxa"/>
              <w:bottom w:w="80" w:type="dxa"/>
              <w:right w:w="80" w:type="dxa"/>
            </w:tcMar>
          </w:tcPr>
          <w:p w14:paraId="147110B0" w14:textId="501886E8" w:rsidR="00C65744" w:rsidRPr="00163684" w:rsidRDefault="00C65744" w:rsidP="00F839DB">
            <w:pPr>
              <w:pStyle w:val="ListParagraph"/>
              <w:numPr>
                <w:ilvl w:val="0"/>
                <w:numId w:val="277"/>
              </w:numPr>
              <w:spacing w:after="60"/>
              <w:ind w:left="357" w:hanging="357"/>
              <w:rPr>
                <w:rFonts w:eastAsia="Calibri" w:cs="Arial"/>
                <w:sz w:val="14"/>
                <w:szCs w:val="14"/>
                <w:lang w:eastAsia="en-US"/>
              </w:rPr>
            </w:pPr>
            <w:r w:rsidRPr="00163684">
              <w:rPr>
                <w:rFonts w:eastAsia="Calibri" w:cs="Arial"/>
                <w:i/>
                <w:sz w:val="14"/>
                <w:szCs w:val="14"/>
                <w:lang w:eastAsia="en-US"/>
              </w:rPr>
              <w:t>Seafarers Rehabilitation and Compensation Act 1992</w:t>
            </w:r>
            <w:r w:rsidRPr="00163684">
              <w:rPr>
                <w:rFonts w:eastAsia="Calibri" w:cs="Arial"/>
                <w:sz w:val="14"/>
                <w:szCs w:val="14"/>
                <w:lang w:eastAsia="en-US"/>
              </w:rPr>
              <w:t xml:space="preserve"> </w:t>
            </w:r>
            <w:r w:rsidR="000F45CA">
              <w:rPr>
                <w:rFonts w:eastAsia="Calibri" w:cs="Arial"/>
                <w:sz w:val="14"/>
                <w:szCs w:val="14"/>
                <w:lang w:eastAsia="en-US"/>
              </w:rPr>
              <w:t>—</w:t>
            </w:r>
            <w:r w:rsidRPr="00163684">
              <w:rPr>
                <w:rFonts w:eastAsia="Calibri" w:cs="Arial"/>
                <w:sz w:val="14"/>
                <w:szCs w:val="14"/>
                <w:lang w:eastAsia="en-US"/>
              </w:rPr>
              <w:t>Part 3</w:t>
            </w:r>
          </w:p>
          <w:p w14:paraId="5099DBB2" w14:textId="08A2D2E1" w:rsidR="00C65744" w:rsidRPr="00163684" w:rsidRDefault="00A7538C" w:rsidP="00F839DB">
            <w:pPr>
              <w:pStyle w:val="ListParagraph"/>
              <w:numPr>
                <w:ilvl w:val="0"/>
                <w:numId w:val="278"/>
              </w:numPr>
              <w:spacing w:after="60"/>
              <w:ind w:left="357" w:hanging="14"/>
              <w:contextualSpacing/>
              <w:rPr>
                <w:rFonts w:cs="Arial"/>
                <w:color w:val="000000"/>
                <w:sz w:val="14"/>
                <w:szCs w:val="16"/>
                <w:lang w:val="en-GB"/>
              </w:rPr>
            </w:pPr>
            <w:hyperlink r:id="rId1609" w:history="1">
              <w:r w:rsidR="00C65744" w:rsidRPr="000F45CA">
                <w:rPr>
                  <w:rStyle w:val="Hyperlink"/>
                  <w:rFonts w:cs="Arial"/>
                  <w:sz w:val="14"/>
                  <w:szCs w:val="16"/>
                  <w:lang w:val="en-GB"/>
                </w:rPr>
                <w:t>s48</w:t>
              </w:r>
            </w:hyperlink>
            <w:r w:rsidR="00C65744" w:rsidRPr="00163684">
              <w:rPr>
                <w:rFonts w:cs="Arial"/>
                <w:color w:val="000000"/>
                <w:sz w:val="14"/>
                <w:szCs w:val="16"/>
                <w:lang w:val="en-GB"/>
              </w:rPr>
              <w:t xml:space="preserve"> Approved rehabilitation program providers</w:t>
            </w:r>
          </w:p>
          <w:p w14:paraId="398E1880" w14:textId="465AB33D" w:rsidR="00C65744" w:rsidRPr="00163684" w:rsidRDefault="00A7538C" w:rsidP="00F839DB">
            <w:pPr>
              <w:pStyle w:val="ListParagraph"/>
              <w:numPr>
                <w:ilvl w:val="0"/>
                <w:numId w:val="278"/>
              </w:numPr>
              <w:spacing w:after="60"/>
              <w:ind w:left="357" w:hanging="14"/>
              <w:contextualSpacing/>
              <w:rPr>
                <w:rFonts w:cs="Arial"/>
                <w:color w:val="000000"/>
                <w:sz w:val="14"/>
                <w:szCs w:val="16"/>
                <w:lang w:val="en-GB"/>
              </w:rPr>
            </w:pPr>
            <w:hyperlink r:id="rId1610" w:history="1">
              <w:r w:rsidR="00C65744" w:rsidRPr="000F45CA">
                <w:rPr>
                  <w:rStyle w:val="Hyperlink"/>
                  <w:rFonts w:cs="Arial"/>
                  <w:sz w:val="14"/>
                  <w:szCs w:val="16"/>
                  <w:lang w:val="en-GB"/>
                </w:rPr>
                <w:t>s49</w:t>
              </w:r>
            </w:hyperlink>
            <w:r w:rsidR="00C65744" w:rsidRPr="00163684">
              <w:rPr>
                <w:rFonts w:cs="Arial"/>
                <w:color w:val="000000"/>
                <w:sz w:val="14"/>
                <w:szCs w:val="16"/>
                <w:lang w:val="en-GB"/>
              </w:rPr>
              <w:t xml:space="preserve"> Assessment of capability of undertaking rehabilitation programs</w:t>
            </w:r>
          </w:p>
          <w:p w14:paraId="1B4EC25D" w14:textId="669917DF" w:rsidR="00C65744" w:rsidRPr="00163684" w:rsidRDefault="00A7538C" w:rsidP="00F839DB">
            <w:pPr>
              <w:pStyle w:val="ListParagraph"/>
              <w:numPr>
                <w:ilvl w:val="0"/>
                <w:numId w:val="278"/>
              </w:numPr>
              <w:spacing w:after="60"/>
              <w:ind w:left="357" w:hanging="14"/>
              <w:contextualSpacing/>
              <w:rPr>
                <w:rFonts w:cs="Arial"/>
                <w:color w:val="000000"/>
                <w:sz w:val="14"/>
                <w:szCs w:val="16"/>
                <w:lang w:val="en-GB"/>
              </w:rPr>
            </w:pPr>
            <w:hyperlink r:id="rId1611" w:history="1">
              <w:r w:rsidR="00C65744" w:rsidRPr="000F45CA">
                <w:rPr>
                  <w:rStyle w:val="Hyperlink"/>
                  <w:rFonts w:cs="Arial"/>
                  <w:sz w:val="14"/>
                  <w:szCs w:val="16"/>
                  <w:lang w:val="en-GB"/>
                </w:rPr>
                <w:t>s50</w:t>
              </w:r>
            </w:hyperlink>
            <w:r w:rsidR="00C65744" w:rsidRPr="00163684">
              <w:rPr>
                <w:rFonts w:cs="Arial"/>
                <w:color w:val="000000"/>
                <w:sz w:val="14"/>
                <w:szCs w:val="16"/>
                <w:lang w:val="en-GB"/>
              </w:rPr>
              <w:t xml:space="preserve"> Provision of rehabilitation programs</w:t>
            </w:r>
          </w:p>
          <w:p w14:paraId="378337C9" w14:textId="6D9FA24F" w:rsidR="00C65744" w:rsidRPr="00163684" w:rsidRDefault="00A7538C" w:rsidP="00F839DB">
            <w:pPr>
              <w:pStyle w:val="ListParagraph"/>
              <w:numPr>
                <w:ilvl w:val="0"/>
                <w:numId w:val="278"/>
              </w:numPr>
              <w:spacing w:after="60"/>
              <w:ind w:left="357" w:hanging="14"/>
              <w:contextualSpacing/>
              <w:rPr>
                <w:rFonts w:cs="Arial"/>
                <w:color w:val="000000"/>
                <w:sz w:val="14"/>
                <w:szCs w:val="16"/>
                <w:lang w:val="en-GB"/>
              </w:rPr>
            </w:pPr>
            <w:hyperlink r:id="rId1612" w:history="1">
              <w:r w:rsidR="00C65744" w:rsidRPr="000F45CA">
                <w:rPr>
                  <w:rStyle w:val="Hyperlink"/>
                  <w:rFonts w:cs="Arial"/>
                  <w:sz w:val="14"/>
                  <w:szCs w:val="16"/>
                  <w:lang w:val="en-GB"/>
                </w:rPr>
                <w:t>s51</w:t>
              </w:r>
            </w:hyperlink>
            <w:r w:rsidR="00C65744" w:rsidRPr="00163684">
              <w:rPr>
                <w:rFonts w:cs="Arial"/>
                <w:color w:val="000000"/>
                <w:sz w:val="14"/>
                <w:szCs w:val="16"/>
                <w:lang w:val="en-GB"/>
              </w:rPr>
              <w:t xml:space="preserve"> Compensation payable in resp</w:t>
            </w:r>
            <w:r w:rsidR="00BB3C4A">
              <w:rPr>
                <w:rFonts w:cs="Arial"/>
                <w:color w:val="000000"/>
                <w:sz w:val="14"/>
                <w:szCs w:val="16"/>
                <w:lang w:val="en-GB"/>
              </w:rPr>
              <w:t>ect to certain alterations, etc</w:t>
            </w:r>
          </w:p>
          <w:p w14:paraId="3FFFF73B" w14:textId="2F9B8A12" w:rsidR="00C65744" w:rsidRPr="00163684" w:rsidRDefault="00A7538C" w:rsidP="00F839DB">
            <w:pPr>
              <w:pStyle w:val="ListParagraph"/>
              <w:numPr>
                <w:ilvl w:val="0"/>
                <w:numId w:val="278"/>
              </w:numPr>
              <w:spacing w:after="60"/>
              <w:ind w:left="357" w:hanging="14"/>
              <w:contextualSpacing/>
              <w:rPr>
                <w:rFonts w:cs="Arial"/>
                <w:color w:val="000000"/>
                <w:sz w:val="14"/>
                <w:szCs w:val="16"/>
                <w:lang w:val="en-GB"/>
              </w:rPr>
            </w:pPr>
            <w:hyperlink r:id="rId1613" w:history="1">
              <w:r w:rsidR="00C65744" w:rsidRPr="000F45CA">
                <w:rPr>
                  <w:rStyle w:val="Hyperlink"/>
                  <w:rFonts w:cs="Arial"/>
                  <w:sz w:val="14"/>
                  <w:szCs w:val="16"/>
                  <w:lang w:val="en-GB"/>
                </w:rPr>
                <w:t>s52</w:t>
              </w:r>
            </w:hyperlink>
            <w:r w:rsidR="00C65744" w:rsidRPr="00163684">
              <w:rPr>
                <w:rFonts w:cs="Arial"/>
                <w:color w:val="000000"/>
                <w:sz w:val="14"/>
                <w:szCs w:val="16"/>
                <w:lang w:val="en-GB"/>
              </w:rPr>
              <w:t xml:space="preserve"> Duty to provide suitable employment</w:t>
            </w:r>
          </w:p>
        </w:tc>
        <w:tc>
          <w:tcPr>
            <w:tcW w:w="6836" w:type="dxa"/>
            <w:tcMar>
              <w:top w:w="80" w:type="dxa"/>
              <w:left w:w="80" w:type="dxa"/>
              <w:bottom w:w="80" w:type="dxa"/>
              <w:right w:w="80" w:type="dxa"/>
            </w:tcMar>
          </w:tcPr>
          <w:p w14:paraId="59BC6AC6" w14:textId="435CBBC6" w:rsidR="00C65744" w:rsidRPr="00C65744" w:rsidRDefault="00C65744" w:rsidP="00292A53">
            <w:pPr>
              <w:spacing w:after="60"/>
              <w:rPr>
                <w:rFonts w:cs="Arial"/>
                <w:color w:val="0000FF"/>
                <w:sz w:val="14"/>
                <w:szCs w:val="16"/>
                <w:u w:val="single"/>
                <w:lang w:val="en-GB"/>
              </w:rPr>
            </w:pPr>
            <w:r w:rsidRPr="00C65744">
              <w:rPr>
                <w:rFonts w:cs="Arial"/>
                <w:color w:val="000000"/>
                <w:sz w:val="14"/>
                <w:szCs w:val="16"/>
                <w:lang w:val="en-GB"/>
              </w:rPr>
              <w:lastRenderedPageBreak/>
              <w:fldChar w:fldCharType="begin"/>
            </w:r>
            <w:r w:rsidRPr="00C65744">
              <w:rPr>
                <w:rFonts w:cs="Arial"/>
                <w:color w:val="000000"/>
                <w:sz w:val="14"/>
                <w:szCs w:val="16"/>
                <w:lang w:val="en-GB"/>
              </w:rPr>
              <w:instrText>HYPERLINK "http://www.seacare.gov.au/forms_and_publications/published_information/our_services/Rehabilitation/rehabilitation/a_best_prac_guide_seafarers_rehab_rtw"</w:instrText>
            </w:r>
            <w:r w:rsidRPr="00C65744">
              <w:rPr>
                <w:rFonts w:cs="Arial"/>
                <w:color w:val="000000"/>
                <w:sz w:val="14"/>
                <w:szCs w:val="16"/>
                <w:lang w:val="en-GB"/>
              </w:rPr>
              <w:fldChar w:fldCharType="separate"/>
            </w:r>
            <w:r w:rsidRPr="00C65744">
              <w:rPr>
                <w:rFonts w:cs="Arial"/>
                <w:color w:val="0000FF"/>
                <w:sz w:val="14"/>
                <w:szCs w:val="16"/>
                <w:u w:val="single"/>
                <w:lang w:val="en-GB"/>
              </w:rPr>
              <w:t>A best practice guide Seafarers Re</w:t>
            </w:r>
            <w:r w:rsidR="00BB3C4A">
              <w:rPr>
                <w:rFonts w:cs="Arial"/>
                <w:color w:val="0000FF"/>
                <w:sz w:val="14"/>
                <w:szCs w:val="16"/>
                <w:u w:val="single"/>
                <w:lang w:val="en-GB"/>
              </w:rPr>
              <w:t>habilitation and Return to Work</w:t>
            </w:r>
          </w:p>
          <w:p w14:paraId="2C590DB1" w14:textId="3D716978"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fldChar w:fldCharType="end"/>
            </w:r>
            <w:hyperlink r:id="rId1614" w:history="1">
              <w:r w:rsidRPr="00C65744">
                <w:rPr>
                  <w:rFonts w:cs="Arial"/>
                  <w:color w:val="0000FF"/>
                  <w:sz w:val="14"/>
                  <w:szCs w:val="16"/>
                  <w:u w:val="single"/>
                  <w:lang w:val="en-GB"/>
                </w:rPr>
                <w:t>Short version</w:t>
              </w:r>
            </w:hyperlink>
          </w:p>
        </w:tc>
      </w:tr>
      <w:tr w:rsidR="00C65744" w:rsidRPr="00C65744" w14:paraId="71F177FD" w14:textId="77777777" w:rsidTr="00922480">
        <w:tc>
          <w:tcPr>
            <w:tcW w:w="1343" w:type="dxa"/>
            <w:shd w:val="clear" w:color="auto" w:fill="FFC9C9"/>
            <w:tcMar>
              <w:top w:w="80" w:type="dxa"/>
              <w:left w:w="80" w:type="dxa"/>
              <w:bottom w:w="80" w:type="dxa"/>
              <w:right w:w="80" w:type="dxa"/>
            </w:tcMar>
          </w:tcPr>
          <w:p w14:paraId="0F2DC4EA"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C’wealth DVA</w:t>
            </w:r>
          </w:p>
        </w:tc>
        <w:tc>
          <w:tcPr>
            <w:tcW w:w="6836" w:type="dxa"/>
            <w:shd w:val="clear" w:color="auto" w:fill="FFC9C9"/>
            <w:tcMar>
              <w:top w:w="80" w:type="dxa"/>
              <w:left w:w="80" w:type="dxa"/>
              <w:bottom w:w="80" w:type="dxa"/>
              <w:right w:w="80" w:type="dxa"/>
            </w:tcMar>
          </w:tcPr>
          <w:p w14:paraId="06BDC636" w14:textId="1E04D3BB" w:rsidR="00212E7C" w:rsidRDefault="000445FC" w:rsidP="003F5D7A">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sidR="00BB3C4A">
              <w:rPr>
                <w:rFonts w:cs="Arial"/>
                <w:color w:val="000000"/>
                <w:sz w:val="14"/>
                <w:szCs w:val="16"/>
                <w:lang w:val="en-GB"/>
              </w:rPr>
              <w:t xml:space="preserve"> — </w:t>
            </w:r>
            <w:hyperlink r:id="rId1615" w:history="1">
              <w:r w:rsidR="00212E7C" w:rsidRPr="000445FC">
                <w:rPr>
                  <w:rStyle w:val="Hyperlink"/>
                  <w:rFonts w:cs="Arial"/>
                  <w:sz w:val="14"/>
                  <w:szCs w:val="16"/>
                  <w:lang w:val="en-GB"/>
                </w:rPr>
                <w:t>Chapter 3</w:t>
              </w:r>
            </w:hyperlink>
          </w:p>
          <w:p w14:paraId="69E80A77" w14:textId="4512EC4A" w:rsidR="00C65744" w:rsidRPr="00C65744" w:rsidRDefault="000445FC" w:rsidP="003F5D7A">
            <w:pPr>
              <w:spacing w:after="60"/>
              <w:rPr>
                <w:rFonts w:cs="Arial"/>
                <w:color w:val="000000"/>
                <w:sz w:val="14"/>
                <w:szCs w:val="16"/>
                <w:lang w:val="en-GB"/>
              </w:rPr>
            </w:pPr>
            <w:r w:rsidRPr="00016069">
              <w:rPr>
                <w:i/>
                <w:sz w:val="14"/>
              </w:rPr>
              <w:t>Safety, Rehabilitation and Compensation (Defence-related Claims) Act 1988</w:t>
            </w:r>
            <w:r w:rsidR="00212E7C">
              <w:rPr>
                <w:rFonts w:cs="Arial"/>
                <w:color w:val="000000"/>
                <w:sz w:val="14"/>
                <w:szCs w:val="16"/>
                <w:lang w:val="en-GB"/>
              </w:rPr>
              <w:t xml:space="preserve"> — </w:t>
            </w:r>
            <w:hyperlink r:id="rId1616" w:history="1">
              <w:r w:rsidR="00212E7C" w:rsidRPr="000445FC">
                <w:rPr>
                  <w:rStyle w:val="Hyperlink"/>
                  <w:rFonts w:cs="Arial"/>
                  <w:sz w:val="14"/>
                  <w:szCs w:val="16"/>
                  <w:lang w:val="en-GB"/>
                </w:rPr>
                <w:t>Part III</w:t>
              </w:r>
            </w:hyperlink>
          </w:p>
        </w:tc>
        <w:tc>
          <w:tcPr>
            <w:tcW w:w="6836" w:type="dxa"/>
            <w:shd w:val="clear" w:color="auto" w:fill="FFC9C9"/>
            <w:tcMar>
              <w:top w:w="80" w:type="dxa"/>
              <w:left w:w="80" w:type="dxa"/>
              <w:bottom w:w="80" w:type="dxa"/>
              <w:right w:w="80" w:type="dxa"/>
            </w:tcMar>
          </w:tcPr>
          <w:p w14:paraId="05E65FAF" w14:textId="579C8540" w:rsidR="00C65744" w:rsidRPr="00C65744" w:rsidRDefault="00A7538C" w:rsidP="00292A53">
            <w:pPr>
              <w:spacing w:after="60"/>
              <w:rPr>
                <w:rFonts w:cs="Arial"/>
                <w:color w:val="000000"/>
                <w:sz w:val="14"/>
                <w:szCs w:val="16"/>
                <w:lang w:val="en-GB"/>
              </w:rPr>
            </w:pPr>
            <w:hyperlink r:id="rId1617" w:history="1">
              <w:r w:rsidR="00C65744" w:rsidRPr="00C65744">
                <w:rPr>
                  <w:rFonts w:cs="Arial"/>
                  <w:color w:val="0000FF"/>
                  <w:sz w:val="14"/>
                  <w:szCs w:val="16"/>
                  <w:u w:val="single"/>
                  <w:lang w:val="en-GB"/>
                </w:rPr>
                <w:t>Rehabilitation services in DVA</w:t>
              </w:r>
            </w:hyperlink>
          </w:p>
        </w:tc>
      </w:tr>
      <w:tr w:rsidR="00C65744" w:rsidRPr="00C65744" w14:paraId="493F316D" w14:textId="77777777" w:rsidTr="00922480">
        <w:tc>
          <w:tcPr>
            <w:tcW w:w="1343" w:type="dxa"/>
            <w:tcMar>
              <w:top w:w="80" w:type="dxa"/>
              <w:left w:w="80" w:type="dxa"/>
              <w:bottom w:w="80" w:type="dxa"/>
              <w:right w:w="80" w:type="dxa"/>
            </w:tcMar>
          </w:tcPr>
          <w:p w14:paraId="579526AF"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New Zealand</w:t>
            </w:r>
          </w:p>
        </w:tc>
        <w:tc>
          <w:tcPr>
            <w:tcW w:w="6836" w:type="dxa"/>
            <w:tcMar>
              <w:top w:w="80" w:type="dxa"/>
              <w:left w:w="80" w:type="dxa"/>
              <w:bottom w:w="80" w:type="dxa"/>
              <w:right w:w="80" w:type="dxa"/>
            </w:tcMar>
          </w:tcPr>
          <w:p w14:paraId="0FF9F87F" w14:textId="48C70B2A" w:rsidR="00C65744" w:rsidRPr="00C65744" w:rsidRDefault="00C65744" w:rsidP="003F5D7A">
            <w:pPr>
              <w:spacing w:after="60"/>
              <w:rPr>
                <w:rFonts w:cs="Arial"/>
                <w:color w:val="000000"/>
                <w:sz w:val="14"/>
                <w:szCs w:val="16"/>
                <w:lang w:val="en-GB"/>
              </w:rPr>
            </w:pPr>
            <w:r w:rsidRPr="00886185">
              <w:rPr>
                <w:rFonts w:cs="Arial"/>
                <w:i/>
                <w:color w:val="000000"/>
                <w:sz w:val="14"/>
                <w:szCs w:val="16"/>
                <w:lang w:val="en-GB"/>
              </w:rPr>
              <w:t>Accident Compensation Act 2001</w:t>
            </w:r>
            <w:r w:rsidRPr="00C65744">
              <w:rPr>
                <w:rFonts w:cs="Arial"/>
                <w:color w:val="000000"/>
                <w:sz w:val="14"/>
                <w:szCs w:val="16"/>
                <w:lang w:val="en-GB"/>
              </w:rPr>
              <w:t xml:space="preserve"> — </w:t>
            </w:r>
            <w:hyperlink r:id="rId1618" w:history="1">
              <w:r w:rsidRPr="0087756F">
                <w:rPr>
                  <w:rStyle w:val="Hyperlink"/>
                  <w:rFonts w:cs="Arial"/>
                  <w:sz w:val="14"/>
                  <w:szCs w:val="16"/>
                  <w:lang w:val="en-GB"/>
                </w:rPr>
                <w:t>ss70</w:t>
              </w:r>
              <w:r w:rsidR="003F5D7A" w:rsidRPr="0087756F">
                <w:rPr>
                  <w:rStyle w:val="Hyperlink"/>
                  <w:rFonts w:cs="Arial"/>
                  <w:sz w:val="14"/>
                  <w:szCs w:val="16"/>
                  <w:lang w:val="en-GB"/>
                </w:rPr>
                <w:t>–</w:t>
              </w:r>
              <w:r w:rsidRPr="0087756F">
                <w:rPr>
                  <w:rStyle w:val="Hyperlink"/>
                  <w:rFonts w:cs="Arial"/>
                  <w:sz w:val="14"/>
                  <w:szCs w:val="16"/>
                  <w:lang w:val="en-GB"/>
                </w:rPr>
                <w:t>113</w:t>
              </w:r>
            </w:hyperlink>
          </w:p>
        </w:tc>
        <w:tc>
          <w:tcPr>
            <w:tcW w:w="6836" w:type="dxa"/>
            <w:tcMar>
              <w:top w:w="80" w:type="dxa"/>
              <w:left w:w="80" w:type="dxa"/>
              <w:bottom w:w="80" w:type="dxa"/>
              <w:right w:w="80" w:type="dxa"/>
            </w:tcMar>
          </w:tcPr>
          <w:p w14:paraId="03BEC95A" w14:textId="0C6D9095" w:rsidR="00C65744" w:rsidRPr="00C65744" w:rsidRDefault="003F5D7A" w:rsidP="00292A53">
            <w:pPr>
              <w:spacing w:after="60"/>
              <w:rPr>
                <w:rFonts w:cs="Arial"/>
                <w:color w:val="000000"/>
                <w:sz w:val="14"/>
                <w:szCs w:val="16"/>
                <w:lang w:val="en-GB"/>
              </w:rPr>
            </w:pPr>
            <w:r>
              <w:rPr>
                <w:rFonts w:cs="Arial"/>
                <w:color w:val="000000"/>
                <w:sz w:val="14"/>
                <w:szCs w:val="16"/>
                <w:lang w:val="en-GB"/>
              </w:rPr>
              <w:t>—</w:t>
            </w:r>
          </w:p>
        </w:tc>
      </w:tr>
    </w:tbl>
    <w:p w14:paraId="644FFB52" w14:textId="77777777" w:rsidR="00A37EB0" w:rsidRPr="00A80282" w:rsidRDefault="00A37EB0" w:rsidP="00A80282">
      <w:pPr>
        <w:pStyle w:val="SWATableheader"/>
      </w:pPr>
      <w:bookmarkStart w:id="159" w:name="_Toc504654688"/>
      <w:bookmarkEnd w:id="158"/>
      <w:r w:rsidRPr="00A80282">
        <w:lastRenderedPageBreak/>
        <w:t>Table 5.2a: Requirement to have a workplace rehabilitation/ return to work program or policy</w:t>
      </w:r>
      <w:bookmarkEnd w:id="159"/>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1: Sections of workers’ compensation Acts and guidance material relating to return to work  "/>
        <w:tblDescription w:val="This table outlines the sections of the Acts or regulation referring to return to work and provides the names and links to guidance material on return to work. "/>
      </w:tblPr>
      <w:tblGrid>
        <w:gridCol w:w="1343"/>
        <w:gridCol w:w="1953"/>
        <w:gridCol w:w="1953"/>
        <w:gridCol w:w="1953"/>
        <w:gridCol w:w="1953"/>
        <w:gridCol w:w="1953"/>
        <w:gridCol w:w="1953"/>
        <w:gridCol w:w="1954"/>
      </w:tblGrid>
      <w:tr w:rsidR="00A37EB0" w:rsidRPr="00A37EB0" w14:paraId="5ABC577A" w14:textId="77777777" w:rsidTr="00B2173F">
        <w:trPr>
          <w:tblHeader/>
        </w:trPr>
        <w:tc>
          <w:tcPr>
            <w:tcW w:w="1343" w:type="dxa"/>
            <w:shd w:val="clear" w:color="auto" w:fill="C00000"/>
            <w:tcMar>
              <w:top w:w="0" w:type="dxa"/>
              <w:left w:w="0" w:type="dxa"/>
              <w:bottom w:w="0" w:type="dxa"/>
              <w:right w:w="0" w:type="dxa"/>
            </w:tcMar>
            <w:vAlign w:val="center"/>
          </w:tcPr>
          <w:p w14:paraId="6B695B2B" w14:textId="77777777" w:rsidR="00A37EB0" w:rsidRPr="00A37EB0" w:rsidRDefault="00A37EB0" w:rsidP="00292A53">
            <w:pPr>
              <w:pStyle w:val="Tableheaderrow"/>
              <w:spacing w:after="60"/>
            </w:pPr>
            <w:bookmarkStart w:id="160" w:name="workprogram"/>
          </w:p>
          <w:p w14:paraId="43DB78E2" w14:textId="77777777" w:rsidR="00A37EB0" w:rsidRPr="00A37EB0" w:rsidRDefault="00A37EB0" w:rsidP="00292A53">
            <w:pPr>
              <w:pStyle w:val="Tableheaderrow"/>
              <w:spacing w:after="60"/>
            </w:pPr>
          </w:p>
        </w:tc>
        <w:tc>
          <w:tcPr>
            <w:tcW w:w="1953" w:type="dxa"/>
            <w:shd w:val="clear" w:color="auto" w:fill="C00000"/>
            <w:tcMar>
              <w:top w:w="0" w:type="dxa"/>
              <w:left w:w="0" w:type="dxa"/>
              <w:bottom w:w="0" w:type="dxa"/>
              <w:right w:w="0" w:type="dxa"/>
            </w:tcMar>
            <w:vAlign w:val="center"/>
          </w:tcPr>
          <w:p w14:paraId="55B93E1B" w14:textId="77777777" w:rsidR="00A37EB0" w:rsidRPr="00A37EB0" w:rsidRDefault="00A37EB0" w:rsidP="00292A53">
            <w:pPr>
              <w:pStyle w:val="Tableheaderrow"/>
              <w:spacing w:after="60"/>
            </w:pPr>
            <w:r w:rsidRPr="00A37EB0">
              <w:t>Employers required to have a return to work program or policies?</w:t>
            </w:r>
          </w:p>
        </w:tc>
        <w:tc>
          <w:tcPr>
            <w:tcW w:w="1953" w:type="dxa"/>
            <w:shd w:val="clear" w:color="auto" w:fill="C00000"/>
            <w:tcMar>
              <w:top w:w="0" w:type="dxa"/>
              <w:left w:w="0" w:type="dxa"/>
              <w:bottom w:w="0" w:type="dxa"/>
              <w:right w:w="0" w:type="dxa"/>
            </w:tcMar>
            <w:vAlign w:val="center"/>
          </w:tcPr>
          <w:p w14:paraId="3E908101" w14:textId="77777777" w:rsidR="00A37EB0" w:rsidRPr="00A37EB0" w:rsidRDefault="00A37EB0" w:rsidP="00292A53">
            <w:pPr>
              <w:pStyle w:val="Tableheaderrow"/>
              <w:spacing w:after="60"/>
            </w:pPr>
            <w:r w:rsidRPr="00A37EB0">
              <w:t>Do requirements differ for different categories of employers?</w:t>
            </w:r>
          </w:p>
        </w:tc>
        <w:tc>
          <w:tcPr>
            <w:tcW w:w="1953" w:type="dxa"/>
            <w:shd w:val="clear" w:color="auto" w:fill="C00000"/>
            <w:tcMar>
              <w:top w:w="0" w:type="dxa"/>
              <w:left w:w="0" w:type="dxa"/>
              <w:bottom w:w="0" w:type="dxa"/>
              <w:right w:w="0" w:type="dxa"/>
            </w:tcMar>
            <w:vAlign w:val="center"/>
          </w:tcPr>
          <w:p w14:paraId="48B1CC1E" w14:textId="77777777" w:rsidR="00A37EB0" w:rsidRPr="00A37EB0" w:rsidRDefault="00A37EB0" w:rsidP="00292A53">
            <w:pPr>
              <w:pStyle w:val="Tableheaderrow"/>
              <w:spacing w:after="60"/>
            </w:pPr>
            <w:r w:rsidRPr="00A37EB0">
              <w:t>Exemptions from return to work programs</w:t>
            </w:r>
          </w:p>
        </w:tc>
        <w:tc>
          <w:tcPr>
            <w:tcW w:w="1953" w:type="dxa"/>
            <w:shd w:val="clear" w:color="auto" w:fill="C00000"/>
            <w:tcMar>
              <w:top w:w="0" w:type="dxa"/>
              <w:left w:w="0" w:type="dxa"/>
              <w:bottom w:w="0" w:type="dxa"/>
              <w:right w:w="0" w:type="dxa"/>
            </w:tcMar>
            <w:vAlign w:val="center"/>
          </w:tcPr>
          <w:p w14:paraId="67F0830C" w14:textId="77777777" w:rsidR="00A37EB0" w:rsidRPr="00A37EB0" w:rsidRDefault="00A37EB0" w:rsidP="00292A53">
            <w:pPr>
              <w:pStyle w:val="Tableheaderrow"/>
              <w:spacing w:after="60"/>
            </w:pPr>
            <w:r w:rsidRPr="00A37EB0">
              <w:t>Requiremen</w:t>
            </w:r>
            <w:r w:rsidR="004D42B3">
              <w:t>ts for development of programs/</w:t>
            </w:r>
            <w:r w:rsidRPr="00A37EB0">
              <w:t>policies (e.g. in consultation with workers)</w:t>
            </w:r>
          </w:p>
        </w:tc>
        <w:tc>
          <w:tcPr>
            <w:tcW w:w="1953" w:type="dxa"/>
            <w:shd w:val="clear" w:color="auto" w:fill="C00000"/>
            <w:tcMar>
              <w:top w:w="0" w:type="dxa"/>
              <w:left w:w="0" w:type="dxa"/>
              <w:bottom w:w="0" w:type="dxa"/>
              <w:right w:w="0" w:type="dxa"/>
            </w:tcMar>
            <w:vAlign w:val="center"/>
          </w:tcPr>
          <w:p w14:paraId="10E04FA2" w14:textId="77777777" w:rsidR="00A37EB0" w:rsidRPr="00A37EB0" w:rsidRDefault="00A37EB0" w:rsidP="00292A53">
            <w:pPr>
              <w:pStyle w:val="Tableheaderrow"/>
              <w:spacing w:after="60"/>
            </w:pPr>
            <w:r w:rsidRPr="00A37EB0">
              <w:t>Requirements for display and availability to workers</w:t>
            </w:r>
          </w:p>
        </w:tc>
        <w:tc>
          <w:tcPr>
            <w:tcW w:w="1953" w:type="dxa"/>
            <w:shd w:val="clear" w:color="auto" w:fill="C00000"/>
            <w:tcMar>
              <w:top w:w="0" w:type="dxa"/>
              <w:left w:w="0" w:type="dxa"/>
              <w:bottom w:w="0" w:type="dxa"/>
              <w:right w:w="0" w:type="dxa"/>
            </w:tcMar>
            <w:vAlign w:val="center"/>
          </w:tcPr>
          <w:p w14:paraId="085BBF64" w14:textId="60F2296D" w:rsidR="00A37EB0" w:rsidRPr="00A37EB0" w:rsidRDefault="00A37EB0" w:rsidP="00292A53">
            <w:pPr>
              <w:pStyle w:val="Tableheaderrow"/>
              <w:spacing w:after="60"/>
            </w:pPr>
            <w:r w:rsidRPr="00A37EB0">
              <w:t>Return to work program should include</w:t>
            </w:r>
            <w:r w:rsidR="00232E14">
              <w:fldChar w:fldCharType="begin"/>
            </w:r>
            <w:r w:rsidR="00232E14">
              <w:instrText xml:space="preserve"> XE "</w:instrText>
            </w:r>
            <w:r w:rsidR="00232E14" w:rsidRPr="00124C6D">
              <w:instrText>return to work programs:requirements</w:instrText>
            </w:r>
            <w:r w:rsidR="00232E14">
              <w:instrText xml:space="preserve">" \r "workprogram" </w:instrText>
            </w:r>
            <w:r w:rsidR="00232E14">
              <w:fldChar w:fldCharType="end"/>
            </w:r>
          </w:p>
        </w:tc>
        <w:tc>
          <w:tcPr>
            <w:tcW w:w="1954" w:type="dxa"/>
            <w:shd w:val="clear" w:color="auto" w:fill="C00000"/>
            <w:tcMar>
              <w:top w:w="0" w:type="dxa"/>
              <w:left w:w="0" w:type="dxa"/>
              <w:bottom w:w="0" w:type="dxa"/>
              <w:right w:w="0" w:type="dxa"/>
            </w:tcMar>
            <w:vAlign w:val="center"/>
          </w:tcPr>
          <w:p w14:paraId="42CA0205" w14:textId="77777777" w:rsidR="00A37EB0" w:rsidRPr="00A37EB0" w:rsidRDefault="00A37EB0" w:rsidP="00292A53">
            <w:pPr>
              <w:pStyle w:val="Tableheaderrow"/>
              <w:spacing w:after="60"/>
              <w:rPr>
                <w:color w:val="000000"/>
                <w:lang w:val="en-GB"/>
              </w:rPr>
            </w:pPr>
            <w:r w:rsidRPr="00A37EB0">
              <w:rPr>
                <w:lang w:val="en-GB"/>
              </w:rPr>
              <w:t>Further information</w:t>
            </w:r>
          </w:p>
        </w:tc>
      </w:tr>
      <w:tr w:rsidR="00A37EB0" w:rsidRPr="00A37EB0" w14:paraId="3BA943B2" w14:textId="77777777" w:rsidTr="00B2173F">
        <w:tc>
          <w:tcPr>
            <w:tcW w:w="1343" w:type="dxa"/>
            <w:shd w:val="clear" w:color="auto" w:fill="FFC9C9"/>
            <w:tcMar>
              <w:top w:w="80" w:type="dxa"/>
              <w:left w:w="80" w:type="dxa"/>
              <w:bottom w:w="80" w:type="dxa"/>
              <w:right w:w="80" w:type="dxa"/>
            </w:tcMar>
          </w:tcPr>
          <w:p w14:paraId="0674BF1C"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New South Wales</w:t>
            </w:r>
          </w:p>
        </w:tc>
        <w:tc>
          <w:tcPr>
            <w:tcW w:w="1953" w:type="dxa"/>
            <w:shd w:val="clear" w:color="auto" w:fill="FFC9C9"/>
            <w:tcMar>
              <w:top w:w="80" w:type="dxa"/>
              <w:left w:w="80" w:type="dxa"/>
              <w:bottom w:w="80" w:type="dxa"/>
              <w:right w:w="80" w:type="dxa"/>
            </w:tcMar>
          </w:tcPr>
          <w:p w14:paraId="47D45C34" w14:textId="76404FE9"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C618870" w14:textId="6D6E8B11" w:rsidR="00A37EB0" w:rsidRDefault="00A7538C" w:rsidP="00292A53">
            <w:pPr>
              <w:spacing w:after="60"/>
              <w:rPr>
                <w:rFonts w:cs="Arial"/>
                <w:color w:val="000000"/>
                <w:sz w:val="14"/>
                <w:szCs w:val="16"/>
                <w:lang w:val="en-GB"/>
              </w:rPr>
            </w:pPr>
            <w:hyperlink r:id="rId1619" w:history="1">
              <w:r w:rsidR="00BB3C4A" w:rsidRPr="00AE4565">
                <w:rPr>
                  <w:rStyle w:val="Hyperlink"/>
                  <w:rFonts w:cs="Arial"/>
                  <w:sz w:val="14"/>
                  <w:szCs w:val="16"/>
                  <w:lang w:val="en-GB"/>
                </w:rPr>
                <w:t>s52</w:t>
              </w:r>
              <w:r w:rsidR="0006172E" w:rsidRPr="00AE4565">
                <w:rPr>
                  <w:rStyle w:val="Hyperlink"/>
                  <w:rFonts w:cs="Arial"/>
                  <w:sz w:val="14"/>
                  <w:szCs w:val="16"/>
                  <w:lang w:val="en-GB"/>
                </w:rPr>
                <w:t>(1)</w:t>
              </w:r>
            </w:hyperlink>
            <w:r w:rsidR="00BB3C4A">
              <w:rPr>
                <w:rFonts w:cs="Arial"/>
                <w:color w:val="000000"/>
                <w:sz w:val="14"/>
                <w:szCs w:val="16"/>
                <w:lang w:val="en-GB"/>
              </w:rPr>
              <w:t xml:space="preserve">, </w:t>
            </w:r>
            <w:r w:rsidR="002D752B" w:rsidRPr="00016069">
              <w:rPr>
                <w:i/>
                <w:sz w:val="14"/>
              </w:rPr>
              <w:t>Workplace Injury Management and</w:t>
            </w:r>
            <w:r w:rsidR="002D752B">
              <w:rPr>
                <w:i/>
                <w:sz w:val="14"/>
              </w:rPr>
              <w:t xml:space="preserve"> Workers Compensation Act 1998</w:t>
            </w:r>
          </w:p>
          <w:p w14:paraId="64BBF911" w14:textId="4BAEECE6" w:rsidR="0006172E" w:rsidRDefault="00A7538C" w:rsidP="0006172E">
            <w:pPr>
              <w:spacing w:after="60"/>
              <w:rPr>
                <w:rFonts w:cs="Arial"/>
                <w:color w:val="000000"/>
                <w:sz w:val="14"/>
                <w:szCs w:val="16"/>
                <w:lang w:val="en-GB"/>
              </w:rPr>
            </w:pPr>
            <w:hyperlink r:id="rId1620" w:history="1">
              <w:r w:rsidR="0006172E" w:rsidRPr="00AE4565">
                <w:rPr>
                  <w:rStyle w:val="Hyperlink"/>
                  <w:rFonts w:cs="Arial"/>
                  <w:sz w:val="14"/>
                  <w:szCs w:val="16"/>
                  <w:lang w:val="en-GB"/>
                </w:rPr>
                <w:t>Clause 11</w:t>
              </w:r>
            </w:hyperlink>
            <w:r w:rsidR="0006172E">
              <w:rPr>
                <w:rFonts w:cs="Arial"/>
                <w:color w:val="000000"/>
                <w:sz w:val="14"/>
                <w:szCs w:val="16"/>
                <w:lang w:val="en-GB"/>
              </w:rPr>
              <w:t xml:space="preserve"> of the Workers Compensation Regulation 2016 (2016 regulation)</w:t>
            </w:r>
          </w:p>
          <w:p w14:paraId="1A4EECDA" w14:textId="77777777" w:rsidR="0006172E" w:rsidRDefault="0006172E" w:rsidP="0006172E">
            <w:pPr>
              <w:spacing w:after="60"/>
              <w:rPr>
                <w:rFonts w:cs="Arial"/>
                <w:color w:val="000000"/>
                <w:sz w:val="14"/>
                <w:szCs w:val="16"/>
                <w:lang w:val="en-GB"/>
              </w:rPr>
            </w:pPr>
          </w:p>
          <w:p w14:paraId="38E21839" w14:textId="60E11B58" w:rsidR="0006172E" w:rsidRPr="00A37EB0" w:rsidRDefault="0006172E" w:rsidP="0006172E">
            <w:pPr>
              <w:spacing w:after="60"/>
              <w:rPr>
                <w:rFonts w:cs="Arial"/>
                <w:color w:val="000000"/>
                <w:sz w:val="14"/>
                <w:szCs w:val="16"/>
                <w:lang w:val="en-GB"/>
              </w:rPr>
            </w:pPr>
            <w:r>
              <w:rPr>
                <w:rFonts w:cs="Arial"/>
                <w:color w:val="000000"/>
                <w:sz w:val="14"/>
                <w:szCs w:val="16"/>
                <w:lang w:val="en-GB"/>
              </w:rPr>
              <w:t>NSW employers must have a return to work program in place within 12 months of starting a business, and it must be consistent with the insurer’s injury management program.</w:t>
            </w:r>
          </w:p>
        </w:tc>
        <w:tc>
          <w:tcPr>
            <w:tcW w:w="1953" w:type="dxa"/>
            <w:shd w:val="clear" w:color="auto" w:fill="FFC9C9"/>
            <w:tcMar>
              <w:top w:w="80" w:type="dxa"/>
              <w:left w:w="80" w:type="dxa"/>
              <w:bottom w:w="80" w:type="dxa"/>
              <w:right w:w="80" w:type="dxa"/>
            </w:tcMar>
          </w:tcPr>
          <w:p w14:paraId="54C81AAC" w14:textId="447B4E5C"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BB41BC4" w14:textId="0580E051"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Refer </w:t>
            </w:r>
            <w:hyperlink r:id="rId1621" w:history="1">
              <w:r w:rsidRPr="00AE4565">
                <w:rPr>
                  <w:rStyle w:val="Hyperlink"/>
                  <w:rFonts w:cs="Arial"/>
                  <w:sz w:val="14"/>
                  <w:szCs w:val="16"/>
                  <w:lang w:val="en-GB"/>
                </w:rPr>
                <w:t>Part 6</w:t>
              </w:r>
            </w:hyperlink>
            <w:r w:rsidR="00AE4565">
              <w:rPr>
                <w:rFonts w:cs="Arial"/>
                <w:color w:val="000000"/>
                <w:sz w:val="14"/>
                <w:szCs w:val="16"/>
                <w:lang w:val="en-GB"/>
              </w:rPr>
              <w:t>,</w:t>
            </w:r>
            <w:r w:rsidRPr="00A37EB0">
              <w:rPr>
                <w:rFonts w:cs="Arial"/>
                <w:color w:val="000000"/>
                <w:sz w:val="14"/>
                <w:szCs w:val="16"/>
                <w:lang w:val="en-GB"/>
              </w:rPr>
              <w:t xml:space="preserve"> Workers Compensation Regulation 2016</w:t>
            </w:r>
            <w:r w:rsidR="0006172E">
              <w:rPr>
                <w:rFonts w:cs="Arial"/>
                <w:color w:val="000000"/>
                <w:sz w:val="14"/>
                <w:szCs w:val="16"/>
                <w:lang w:val="en-GB"/>
              </w:rPr>
              <w:t xml:space="preserve"> and </w:t>
            </w:r>
            <w:hyperlink r:id="rId1622" w:history="1">
              <w:r w:rsidR="0006172E" w:rsidRPr="00AE4565">
                <w:rPr>
                  <w:rStyle w:val="Hyperlink"/>
                  <w:rFonts w:cs="Arial"/>
                  <w:sz w:val="14"/>
                  <w:szCs w:val="16"/>
                  <w:lang w:val="en-GB"/>
                </w:rPr>
                <w:t>s52(1)</w:t>
              </w:r>
            </w:hyperlink>
            <w:r w:rsidR="0006172E">
              <w:rPr>
                <w:rFonts w:cs="Arial"/>
                <w:color w:val="000000"/>
                <w:sz w:val="14"/>
                <w:szCs w:val="16"/>
                <w:lang w:val="en-GB"/>
              </w:rPr>
              <w:t xml:space="preserve"> of the 1998 Act.</w:t>
            </w:r>
          </w:p>
        </w:tc>
        <w:tc>
          <w:tcPr>
            <w:tcW w:w="1953" w:type="dxa"/>
            <w:shd w:val="clear" w:color="auto" w:fill="FFC9C9"/>
            <w:tcMar>
              <w:top w:w="80" w:type="dxa"/>
              <w:left w:w="80" w:type="dxa"/>
              <w:bottom w:w="80" w:type="dxa"/>
              <w:right w:w="80" w:type="dxa"/>
            </w:tcMar>
          </w:tcPr>
          <w:p w14:paraId="6799FB87" w14:textId="5052DD98"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9535545" w14:textId="645C0C6A"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Refer </w:t>
            </w:r>
            <w:hyperlink r:id="rId1623" w:history="1">
              <w:r w:rsidRPr="00AE4565">
                <w:rPr>
                  <w:rStyle w:val="Hyperlink"/>
                  <w:rFonts w:cs="Arial"/>
                  <w:sz w:val="14"/>
                  <w:szCs w:val="16"/>
                  <w:lang w:val="en-GB"/>
                </w:rPr>
                <w:t>Clause 21</w:t>
              </w:r>
            </w:hyperlink>
            <w:r w:rsidR="00AE4565">
              <w:rPr>
                <w:rFonts w:cs="Arial"/>
                <w:color w:val="000000"/>
                <w:sz w:val="14"/>
                <w:szCs w:val="16"/>
                <w:lang w:val="en-GB"/>
              </w:rPr>
              <w:t>,</w:t>
            </w:r>
            <w:r w:rsidRPr="00A37EB0">
              <w:rPr>
                <w:rFonts w:cs="Arial"/>
                <w:color w:val="000000"/>
                <w:sz w:val="14"/>
                <w:szCs w:val="16"/>
                <w:lang w:val="en-GB"/>
              </w:rPr>
              <w:t xml:space="preserve"> Workers Compensation Regulation 2016</w:t>
            </w:r>
          </w:p>
        </w:tc>
        <w:tc>
          <w:tcPr>
            <w:tcW w:w="1953" w:type="dxa"/>
            <w:shd w:val="clear" w:color="auto" w:fill="FFC9C9"/>
            <w:tcMar>
              <w:top w:w="80" w:type="dxa"/>
              <w:left w:w="80" w:type="dxa"/>
              <w:bottom w:w="80" w:type="dxa"/>
              <w:right w:w="80" w:type="dxa"/>
            </w:tcMar>
          </w:tcPr>
          <w:p w14:paraId="2CFAE8C5" w14:textId="052559DB"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30C0A9F4" w14:textId="1E50D609" w:rsidR="00A37EB0" w:rsidRPr="00A37EB0" w:rsidRDefault="00A7538C" w:rsidP="00292A53">
            <w:pPr>
              <w:spacing w:after="60"/>
              <w:rPr>
                <w:rFonts w:cs="Arial"/>
                <w:color w:val="000000"/>
                <w:sz w:val="14"/>
                <w:szCs w:val="16"/>
                <w:lang w:val="en-GB"/>
              </w:rPr>
            </w:pPr>
            <w:hyperlink r:id="rId1624" w:history="1">
              <w:r w:rsidR="00BB3C4A" w:rsidRPr="00AE4565">
                <w:rPr>
                  <w:rStyle w:val="Hyperlink"/>
                  <w:rFonts w:cs="Arial"/>
                  <w:sz w:val="14"/>
                  <w:szCs w:val="16"/>
                  <w:lang w:val="en-GB"/>
                </w:rPr>
                <w:t>s52</w:t>
              </w:r>
              <w:r w:rsidR="0006172E" w:rsidRPr="00AE4565">
                <w:rPr>
                  <w:rStyle w:val="Hyperlink"/>
                  <w:rFonts w:cs="Arial"/>
                  <w:sz w:val="14"/>
                  <w:szCs w:val="16"/>
                  <w:lang w:val="en-GB"/>
                </w:rPr>
                <w:t>(2)(b)</w:t>
              </w:r>
            </w:hyperlink>
            <w:r w:rsidR="00BB3C4A">
              <w:rPr>
                <w:rFonts w:cs="Arial"/>
                <w:color w:val="000000"/>
                <w:sz w:val="14"/>
                <w:szCs w:val="16"/>
                <w:lang w:val="en-GB"/>
              </w:rPr>
              <w:t>, 1998 Act</w:t>
            </w:r>
          </w:p>
        </w:tc>
        <w:tc>
          <w:tcPr>
            <w:tcW w:w="1953" w:type="dxa"/>
            <w:shd w:val="clear" w:color="auto" w:fill="FFC9C9"/>
            <w:tcMar>
              <w:top w:w="80" w:type="dxa"/>
              <w:left w:w="80" w:type="dxa"/>
              <w:bottom w:w="80" w:type="dxa"/>
              <w:right w:w="80" w:type="dxa"/>
            </w:tcMar>
          </w:tcPr>
          <w:p w14:paraId="6A44CE0E" w14:textId="4506FEFD"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6CA1D5CF" w14:textId="66CC44F6"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Refer Clauses </w:t>
            </w:r>
            <w:hyperlink r:id="rId1625" w:history="1">
              <w:r w:rsidRPr="00AE4565">
                <w:rPr>
                  <w:rStyle w:val="Hyperlink"/>
                  <w:rFonts w:cs="Arial"/>
                  <w:sz w:val="14"/>
                  <w:szCs w:val="16"/>
                  <w:lang w:val="en-GB"/>
                </w:rPr>
                <w:t>17</w:t>
              </w:r>
            </w:hyperlink>
            <w:r w:rsidRPr="00A37EB0">
              <w:rPr>
                <w:rFonts w:cs="Arial"/>
                <w:color w:val="000000"/>
                <w:sz w:val="14"/>
                <w:szCs w:val="16"/>
                <w:lang w:val="en-GB"/>
              </w:rPr>
              <w:t xml:space="preserve"> and </w:t>
            </w:r>
            <w:hyperlink r:id="rId1626" w:history="1">
              <w:r w:rsidRPr="00AE4565">
                <w:rPr>
                  <w:rStyle w:val="Hyperlink"/>
                  <w:rFonts w:cs="Arial"/>
                  <w:sz w:val="14"/>
                  <w:szCs w:val="16"/>
                  <w:lang w:val="en-GB"/>
                </w:rPr>
                <w:t>18</w:t>
              </w:r>
            </w:hyperlink>
            <w:r w:rsidRPr="00A37EB0">
              <w:rPr>
                <w:rFonts w:cs="Arial"/>
                <w:color w:val="000000"/>
                <w:sz w:val="14"/>
                <w:szCs w:val="16"/>
                <w:lang w:val="en-GB"/>
              </w:rPr>
              <w:t xml:space="preserve"> Workers’ Compensation Regulation 2016</w:t>
            </w:r>
          </w:p>
        </w:tc>
        <w:tc>
          <w:tcPr>
            <w:tcW w:w="1953" w:type="dxa"/>
            <w:shd w:val="clear" w:color="auto" w:fill="FFC9C9"/>
            <w:tcMar>
              <w:top w:w="80" w:type="dxa"/>
              <w:left w:w="80" w:type="dxa"/>
              <w:bottom w:w="80" w:type="dxa"/>
              <w:right w:w="80" w:type="dxa"/>
            </w:tcMar>
          </w:tcPr>
          <w:p w14:paraId="17946787"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Must cover the following key areas:</w:t>
            </w:r>
          </w:p>
          <w:p w14:paraId="33546D4D" w14:textId="77777777"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preventing workplace injuries and illness</w:t>
            </w:r>
          </w:p>
          <w:p w14:paraId="48F1F2D9" w14:textId="77777777"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how the return to work program was developed and implemented including relevant information and training strategies for the workforce</w:t>
            </w:r>
          </w:p>
          <w:p w14:paraId="04FE3A70" w14:textId="77777777"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consulting with workers and any industrial unions representing those workers</w:t>
            </w:r>
          </w:p>
          <w:p w14:paraId="281498BB" w14:textId="77777777"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early commencement of injury management and early return to work</w:t>
            </w:r>
          </w:p>
          <w:p w14:paraId="393400B2" w14:textId="15E6A43B"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 xml:space="preserve">providing suitable </w:t>
            </w:r>
            <w:r w:rsidR="0006172E">
              <w:rPr>
                <w:rFonts w:eastAsia="Calibri" w:cs="Arial"/>
                <w:sz w:val="14"/>
                <w:szCs w:val="14"/>
                <w:lang w:eastAsia="en-US"/>
              </w:rPr>
              <w:t>work</w:t>
            </w:r>
            <w:r w:rsidR="0006172E" w:rsidRPr="00A37EB0">
              <w:rPr>
                <w:rFonts w:eastAsia="Calibri" w:cs="Arial"/>
                <w:sz w:val="14"/>
                <w:szCs w:val="14"/>
                <w:lang w:eastAsia="en-US"/>
              </w:rPr>
              <w:t xml:space="preserve"> </w:t>
            </w:r>
            <w:r w:rsidRPr="00A37EB0">
              <w:rPr>
                <w:rFonts w:eastAsia="Calibri" w:cs="Arial"/>
                <w:sz w:val="14"/>
                <w:szCs w:val="14"/>
                <w:lang w:eastAsia="en-US"/>
              </w:rPr>
              <w:t>and/or vocational retraining/job placement assistance, and</w:t>
            </w:r>
          </w:p>
          <w:p w14:paraId="1B0B8070" w14:textId="04DBBF06"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returning to work not to di</w:t>
            </w:r>
            <w:r w:rsidR="00BB3C4A">
              <w:rPr>
                <w:rFonts w:eastAsia="Calibri" w:cs="Arial"/>
                <w:sz w:val="14"/>
                <w:szCs w:val="14"/>
                <w:lang w:eastAsia="en-US"/>
              </w:rPr>
              <w:t>sadvantage injured workers.</w:t>
            </w:r>
          </w:p>
        </w:tc>
        <w:tc>
          <w:tcPr>
            <w:tcW w:w="1954" w:type="dxa"/>
            <w:shd w:val="clear" w:color="auto" w:fill="FFC9C9"/>
            <w:tcMar>
              <w:top w:w="80" w:type="dxa"/>
              <w:left w:w="80" w:type="dxa"/>
              <w:bottom w:w="80" w:type="dxa"/>
              <w:right w:w="80" w:type="dxa"/>
            </w:tcMar>
          </w:tcPr>
          <w:p w14:paraId="234AFF03" w14:textId="4ACFCB91" w:rsidR="00943FC7" w:rsidRDefault="00A7538C" w:rsidP="00292A53">
            <w:pPr>
              <w:spacing w:after="60"/>
              <w:rPr>
                <w:rFonts w:cs="Arial"/>
                <w:color w:val="000000"/>
                <w:sz w:val="14"/>
                <w:szCs w:val="16"/>
              </w:rPr>
            </w:pPr>
            <w:hyperlink r:id="rId1627" w:history="1">
              <w:r w:rsidR="0006172E">
                <w:rPr>
                  <w:rFonts w:cs="Arial"/>
                  <w:color w:val="0000FF"/>
                  <w:sz w:val="14"/>
                  <w:szCs w:val="16"/>
                  <w:u w:val="single"/>
                </w:rPr>
                <w:t>Guidelines for workplace return to work programs May 2017</w:t>
              </w:r>
            </w:hyperlink>
          </w:p>
          <w:p w14:paraId="0F25E405" w14:textId="43FCD4B9" w:rsidR="00A37EB0" w:rsidRPr="00943FC7" w:rsidRDefault="00A7538C" w:rsidP="00292A53">
            <w:pPr>
              <w:spacing w:after="60"/>
              <w:rPr>
                <w:rFonts w:cs="Arial"/>
                <w:color w:val="000000"/>
                <w:sz w:val="14"/>
                <w:szCs w:val="16"/>
              </w:rPr>
            </w:pPr>
            <w:hyperlink r:id="rId1628" w:history="1">
              <w:r w:rsidR="0006172E">
                <w:rPr>
                  <w:rFonts w:cs="Arial"/>
                  <w:color w:val="0000FF"/>
                  <w:sz w:val="14"/>
                  <w:szCs w:val="16"/>
                  <w:u w:val="single"/>
                </w:rPr>
                <w:t>SIRA standard return to work program for category 2 employers</w:t>
              </w:r>
            </w:hyperlink>
          </w:p>
        </w:tc>
      </w:tr>
      <w:tr w:rsidR="00A37EB0" w:rsidRPr="00A37EB0" w14:paraId="131C0429" w14:textId="77777777" w:rsidTr="00B2173F">
        <w:tc>
          <w:tcPr>
            <w:tcW w:w="1343" w:type="dxa"/>
            <w:tcMar>
              <w:top w:w="80" w:type="dxa"/>
              <w:left w:w="80" w:type="dxa"/>
              <w:bottom w:w="80" w:type="dxa"/>
              <w:right w:w="80" w:type="dxa"/>
            </w:tcMar>
          </w:tcPr>
          <w:p w14:paraId="6796E020"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Victoria</w:t>
            </w:r>
          </w:p>
        </w:tc>
        <w:tc>
          <w:tcPr>
            <w:tcW w:w="1953" w:type="dxa"/>
            <w:tcMar>
              <w:top w:w="80" w:type="dxa"/>
              <w:left w:w="80" w:type="dxa"/>
              <w:bottom w:w="80" w:type="dxa"/>
              <w:right w:w="80" w:type="dxa"/>
            </w:tcMar>
          </w:tcPr>
          <w:p w14:paraId="22210B03" w14:textId="0A24CD9D"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Yes</w:t>
            </w:r>
          </w:p>
          <w:p w14:paraId="68B02E54" w14:textId="6EC27272" w:rsidR="00A37EB0" w:rsidRPr="00A37EB0" w:rsidRDefault="00A37EB0" w:rsidP="000A7038">
            <w:pPr>
              <w:spacing w:after="60"/>
              <w:rPr>
                <w:rFonts w:cs="Arial"/>
                <w:color w:val="000000"/>
                <w:sz w:val="14"/>
                <w:szCs w:val="16"/>
                <w:lang w:val="en-GB"/>
              </w:rPr>
            </w:pPr>
            <w:r w:rsidRPr="00A37EB0">
              <w:rPr>
                <w:rFonts w:cs="Arial"/>
                <w:color w:val="000000"/>
                <w:sz w:val="14"/>
                <w:szCs w:val="16"/>
                <w:lang w:val="en-GB"/>
              </w:rPr>
              <w:t xml:space="preserve">— </w:t>
            </w:r>
            <w:hyperlink r:id="rId1629" w:history="1">
              <w:r w:rsidRPr="008842D1">
                <w:rPr>
                  <w:rStyle w:val="Hyperlink"/>
                  <w:rFonts w:cs="Arial"/>
                  <w:sz w:val="14"/>
                  <w:szCs w:val="16"/>
                  <w:lang w:val="en-GB"/>
                </w:rPr>
                <w:t>s103 to s107</w:t>
              </w:r>
            </w:hyperlink>
            <w:r w:rsidRPr="00A37EB0">
              <w:rPr>
                <w:rFonts w:cs="Arial"/>
                <w:color w:val="000000"/>
                <w:sz w:val="14"/>
                <w:szCs w:val="16"/>
                <w:lang w:val="en-GB"/>
              </w:rPr>
              <w:t xml:space="preserve"> — required to plan return to work for injured worker and consult on this; to have a return to work coordinator for duration of return to work obligations or at all times if has </w:t>
            </w:r>
            <w:r w:rsidR="00CF00CF">
              <w:rPr>
                <w:rFonts w:cs="Arial"/>
                <w:color w:val="000000"/>
                <w:sz w:val="14"/>
                <w:szCs w:val="16"/>
                <w:lang w:val="en-GB"/>
              </w:rPr>
              <w:br/>
            </w:r>
            <w:r w:rsidRPr="00A37EB0">
              <w:rPr>
                <w:rFonts w:cs="Arial"/>
                <w:color w:val="000000"/>
                <w:sz w:val="14"/>
                <w:szCs w:val="16"/>
                <w:lang w:val="en-GB"/>
              </w:rPr>
              <w:t>$</w:t>
            </w:r>
            <w:r w:rsidR="000A7038">
              <w:rPr>
                <w:rFonts w:cs="Arial"/>
                <w:color w:val="000000"/>
                <w:sz w:val="14"/>
                <w:szCs w:val="16"/>
                <w:lang w:val="en-GB"/>
              </w:rPr>
              <w:t>2,337,710</w:t>
            </w:r>
            <w:r w:rsidRPr="00A37EB0">
              <w:rPr>
                <w:rFonts w:cs="Arial"/>
                <w:color w:val="000000"/>
                <w:sz w:val="14"/>
                <w:szCs w:val="16"/>
                <w:lang w:val="en-GB"/>
              </w:rPr>
              <w:t xml:space="preserve"> rateable remuneration and to make return to work information available to all workers </w:t>
            </w:r>
            <w:r w:rsidR="00BB3C4A">
              <w:rPr>
                <w:rFonts w:cs="Arial"/>
                <w:color w:val="000000"/>
                <w:sz w:val="14"/>
                <w:szCs w:val="16"/>
                <w:lang w:val="en-GB"/>
              </w:rPr>
              <w:t>regardless of organisation size</w:t>
            </w:r>
          </w:p>
        </w:tc>
        <w:tc>
          <w:tcPr>
            <w:tcW w:w="1953" w:type="dxa"/>
            <w:tcMar>
              <w:top w:w="80" w:type="dxa"/>
              <w:left w:w="80" w:type="dxa"/>
              <w:bottom w:w="80" w:type="dxa"/>
              <w:right w:w="80" w:type="dxa"/>
            </w:tcMar>
          </w:tcPr>
          <w:p w14:paraId="49EE4E37" w14:textId="5CFB767C"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p w14:paraId="563B7DEE" w14:textId="521E5C9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Except in relation to return to work coordinator being required at all times or for duration of individual cla</w:t>
            </w:r>
            <w:r w:rsidR="00BB3C4A">
              <w:rPr>
                <w:rFonts w:cs="Arial"/>
                <w:color w:val="000000"/>
                <w:sz w:val="14"/>
                <w:szCs w:val="16"/>
                <w:lang w:val="en-GB"/>
              </w:rPr>
              <w:t>im based on remuneration (</w:t>
            </w:r>
            <w:hyperlink r:id="rId1630" w:history="1">
              <w:r w:rsidR="00BB3C4A" w:rsidRPr="008842D1">
                <w:rPr>
                  <w:rStyle w:val="Hyperlink"/>
                  <w:rFonts w:cs="Arial"/>
                  <w:sz w:val="14"/>
                  <w:szCs w:val="16"/>
                  <w:lang w:val="en-GB"/>
                </w:rPr>
                <w:t>s106</w:t>
              </w:r>
            </w:hyperlink>
            <w:r w:rsidR="00BB3C4A">
              <w:rPr>
                <w:rFonts w:cs="Arial"/>
                <w:color w:val="000000"/>
                <w:sz w:val="14"/>
                <w:szCs w:val="16"/>
                <w:lang w:val="en-GB"/>
              </w:rPr>
              <w:t>)</w:t>
            </w:r>
          </w:p>
        </w:tc>
        <w:tc>
          <w:tcPr>
            <w:tcW w:w="1953" w:type="dxa"/>
            <w:tcMar>
              <w:top w:w="80" w:type="dxa"/>
              <w:left w:w="80" w:type="dxa"/>
              <w:bottom w:w="80" w:type="dxa"/>
              <w:right w:w="80" w:type="dxa"/>
            </w:tcMar>
          </w:tcPr>
          <w:p w14:paraId="435AE728" w14:textId="4E3FF2E9"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tc>
        <w:tc>
          <w:tcPr>
            <w:tcW w:w="1953" w:type="dxa"/>
            <w:tcMar>
              <w:top w:w="80" w:type="dxa"/>
              <w:left w:w="80" w:type="dxa"/>
              <w:bottom w:w="80" w:type="dxa"/>
              <w:right w:w="80" w:type="dxa"/>
            </w:tcMar>
          </w:tcPr>
          <w:p w14:paraId="1162BF41" w14:textId="04C1DE1D"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44FCC4D" w14:textId="4233C3F2"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Employer must consult with workers as to how return to work info</w:t>
            </w:r>
            <w:r w:rsidR="00BB3C4A">
              <w:rPr>
                <w:rFonts w:cs="Arial"/>
                <w:color w:val="000000"/>
                <w:sz w:val="14"/>
                <w:szCs w:val="16"/>
                <w:lang w:val="en-GB"/>
              </w:rPr>
              <w:t>rmation is to be made available</w:t>
            </w:r>
          </w:p>
        </w:tc>
        <w:tc>
          <w:tcPr>
            <w:tcW w:w="1953" w:type="dxa"/>
            <w:tcMar>
              <w:top w:w="80" w:type="dxa"/>
              <w:left w:w="80" w:type="dxa"/>
              <w:bottom w:w="80" w:type="dxa"/>
              <w:right w:w="80" w:type="dxa"/>
            </w:tcMar>
          </w:tcPr>
          <w:p w14:paraId="545D557A" w14:textId="56CFCAE1"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BA5094E" w14:textId="7C903EF6"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An employer must make the return to work information available to workers but the Act does not specify how, only that the work</w:t>
            </w:r>
            <w:r w:rsidR="00BB3C4A">
              <w:rPr>
                <w:rFonts w:cs="Arial"/>
                <w:color w:val="000000"/>
                <w:sz w:val="14"/>
                <w:szCs w:val="16"/>
                <w:lang w:val="en-GB"/>
              </w:rPr>
              <w:t>ers must be consulted about how</w:t>
            </w:r>
          </w:p>
        </w:tc>
        <w:tc>
          <w:tcPr>
            <w:tcW w:w="1953" w:type="dxa"/>
            <w:tcMar>
              <w:top w:w="80" w:type="dxa"/>
              <w:left w:w="80" w:type="dxa"/>
              <w:bottom w:w="80" w:type="dxa"/>
              <w:right w:w="80" w:type="dxa"/>
            </w:tcMar>
          </w:tcPr>
          <w:p w14:paraId="2562C2F7"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The return to work information that employers are required to make available to their workers should contain the following elements:</w:t>
            </w:r>
          </w:p>
          <w:p w14:paraId="58DE3819" w14:textId="77777777"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 xml:space="preserve">the obligations of the employer under the return to work Part of the </w:t>
            </w:r>
            <w:r w:rsidRPr="00353FBF">
              <w:rPr>
                <w:rFonts w:eastAsia="Calibri" w:cs="Arial"/>
                <w:i/>
                <w:sz w:val="14"/>
                <w:szCs w:val="14"/>
                <w:lang w:eastAsia="en-US"/>
              </w:rPr>
              <w:t>Workplace Injury Rehabilitation and Compensation Act 2013</w:t>
            </w:r>
            <w:r w:rsidRPr="00A37EB0">
              <w:rPr>
                <w:rFonts w:eastAsia="Calibri" w:cs="Arial"/>
                <w:sz w:val="14"/>
                <w:szCs w:val="14"/>
                <w:lang w:eastAsia="en-US"/>
              </w:rPr>
              <w:t xml:space="preserve"> and how the employer is meeting </w:t>
            </w:r>
            <w:r w:rsidRPr="00A37EB0">
              <w:rPr>
                <w:rFonts w:eastAsia="Calibri" w:cs="Arial"/>
                <w:sz w:val="14"/>
                <w:szCs w:val="14"/>
                <w:lang w:eastAsia="en-US"/>
              </w:rPr>
              <w:lastRenderedPageBreak/>
              <w:t>the obligations, and</w:t>
            </w:r>
          </w:p>
          <w:p w14:paraId="601B0407" w14:textId="7176BC77"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 xml:space="preserve">the rights and obligations of workers under the return to work </w:t>
            </w:r>
            <w:r w:rsidR="000E6EAB">
              <w:rPr>
                <w:rFonts w:eastAsia="Calibri" w:cs="Arial"/>
                <w:sz w:val="14"/>
                <w:szCs w:val="14"/>
                <w:lang w:eastAsia="en-US"/>
              </w:rPr>
              <w:t>p</w:t>
            </w:r>
            <w:r w:rsidRPr="00A37EB0">
              <w:rPr>
                <w:rFonts w:eastAsia="Calibri" w:cs="Arial"/>
                <w:sz w:val="14"/>
                <w:szCs w:val="14"/>
                <w:lang w:eastAsia="en-US"/>
              </w:rPr>
              <w:t xml:space="preserve">art of the </w:t>
            </w:r>
            <w:r w:rsidRPr="00D41D16">
              <w:rPr>
                <w:rFonts w:eastAsia="Calibri" w:cs="Arial"/>
                <w:i/>
                <w:sz w:val="14"/>
                <w:szCs w:val="14"/>
                <w:lang w:eastAsia="en-US"/>
              </w:rPr>
              <w:t>Workplace Injury Rehabilitation and Compensation Act</w:t>
            </w:r>
            <w:r w:rsidRPr="00A37EB0">
              <w:rPr>
                <w:rFonts w:eastAsia="Calibri" w:cs="Arial"/>
                <w:sz w:val="14"/>
                <w:szCs w:val="14"/>
                <w:lang w:eastAsia="en-US"/>
              </w:rPr>
              <w:t xml:space="preserve"> </w:t>
            </w:r>
            <w:r w:rsidRPr="00353FBF">
              <w:rPr>
                <w:rFonts w:eastAsia="Calibri" w:cs="Arial"/>
                <w:i/>
                <w:sz w:val="14"/>
                <w:szCs w:val="14"/>
                <w:lang w:eastAsia="en-US"/>
              </w:rPr>
              <w:t xml:space="preserve">2013 </w:t>
            </w:r>
            <w:r w:rsidRPr="00A37EB0">
              <w:rPr>
                <w:rFonts w:eastAsia="Calibri" w:cs="Arial"/>
                <w:sz w:val="14"/>
                <w:szCs w:val="14"/>
                <w:lang w:eastAsia="en-US"/>
              </w:rPr>
              <w:t>and how workers can obtain further information about the rights and obligations,</w:t>
            </w:r>
            <w:r w:rsidR="00DD0D68">
              <w:rPr>
                <w:rFonts w:eastAsia="Calibri" w:cs="Arial"/>
                <w:sz w:val="14"/>
                <w:szCs w:val="14"/>
                <w:lang w:eastAsia="en-US"/>
              </w:rPr>
              <w:t xml:space="preserve"> </w:t>
            </w:r>
            <w:r w:rsidRPr="00A37EB0">
              <w:rPr>
                <w:rFonts w:eastAsia="Calibri" w:cs="Arial"/>
                <w:sz w:val="14"/>
                <w:szCs w:val="14"/>
                <w:lang w:eastAsia="en-US"/>
              </w:rPr>
              <w:t>and</w:t>
            </w:r>
          </w:p>
          <w:p w14:paraId="07765E6F" w14:textId="77777777"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the name and contact details of the authorised agent selected by the employer, and</w:t>
            </w:r>
          </w:p>
          <w:p w14:paraId="63116C4A" w14:textId="77777777"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the name and contact details of the return to work coordinator, if applicable, and</w:t>
            </w:r>
          </w:p>
          <w:p w14:paraId="2E7433EB" w14:textId="2B51BE32"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 xml:space="preserve">the procedure for resolving return to work issues as specified in </w:t>
            </w:r>
            <w:hyperlink r:id="rId1631" w:history="1">
              <w:r w:rsidRPr="008842D1">
                <w:rPr>
                  <w:rStyle w:val="Hyperlink"/>
                  <w:rFonts w:eastAsia="Calibri" w:cs="Arial"/>
                  <w:sz w:val="14"/>
                  <w:szCs w:val="14"/>
                  <w:lang w:eastAsia="en-US"/>
                </w:rPr>
                <w:t>s118</w:t>
              </w:r>
            </w:hyperlink>
            <w:r w:rsidRPr="00A37EB0">
              <w:rPr>
                <w:rFonts w:eastAsia="Calibri" w:cs="Arial"/>
                <w:sz w:val="14"/>
                <w:szCs w:val="14"/>
                <w:lang w:eastAsia="en-US"/>
              </w:rPr>
              <w:t>.</w:t>
            </w:r>
          </w:p>
        </w:tc>
        <w:tc>
          <w:tcPr>
            <w:tcW w:w="1954" w:type="dxa"/>
            <w:tcMar>
              <w:top w:w="80" w:type="dxa"/>
              <w:left w:w="80" w:type="dxa"/>
              <w:bottom w:w="80" w:type="dxa"/>
              <w:right w:w="80" w:type="dxa"/>
            </w:tcMar>
          </w:tcPr>
          <w:p w14:paraId="3AF87A77" w14:textId="723A6199" w:rsidR="00A37EB0" w:rsidRPr="00A37EB0" w:rsidRDefault="00A7538C" w:rsidP="00292A53">
            <w:pPr>
              <w:spacing w:after="60"/>
              <w:rPr>
                <w:rFonts w:cs="Arial"/>
                <w:color w:val="0000FF"/>
                <w:sz w:val="14"/>
                <w:szCs w:val="16"/>
                <w:u w:val="single"/>
                <w:lang w:val="en-GB"/>
              </w:rPr>
            </w:pPr>
            <w:hyperlink r:id="rId1632" w:history="1">
              <w:r w:rsidR="00A37EB0" w:rsidRPr="004D3EBB">
                <w:rPr>
                  <w:rStyle w:val="Hyperlink"/>
                  <w:rFonts w:cs="Arial"/>
                  <w:sz w:val="14"/>
                  <w:szCs w:val="16"/>
                  <w:lang w:val="en-GB"/>
                </w:rPr>
                <w:t>Return to Work Compliance Code</w:t>
              </w:r>
              <w:r w:rsidR="00BB3C4A" w:rsidRPr="004D3EBB">
                <w:rPr>
                  <w:rStyle w:val="Hyperlink"/>
                  <w:rFonts w:cs="Arial"/>
                  <w:sz w:val="14"/>
                  <w:szCs w:val="16"/>
                  <w:lang w:val="en-GB"/>
                </w:rPr>
                <w:t xml:space="preserve"> 3 — Return to Work Information</w:t>
              </w:r>
            </w:hyperlink>
          </w:p>
          <w:p w14:paraId="697EF4A1" w14:textId="1C725CB5" w:rsidR="00A37EB0" w:rsidRPr="00A37EB0" w:rsidRDefault="00A37EB0" w:rsidP="00292A53">
            <w:pPr>
              <w:spacing w:after="60"/>
              <w:rPr>
                <w:rFonts w:cs="Arial"/>
                <w:color w:val="000000"/>
                <w:sz w:val="14"/>
                <w:szCs w:val="16"/>
                <w:lang w:val="en-GB"/>
              </w:rPr>
            </w:pPr>
          </w:p>
          <w:p w14:paraId="467BB6AE" w14:textId="5DDAFBED" w:rsidR="00A37EB0" w:rsidRPr="00A37EB0" w:rsidRDefault="00A7538C" w:rsidP="00292A53">
            <w:pPr>
              <w:spacing w:after="60"/>
              <w:rPr>
                <w:rFonts w:cs="Arial"/>
                <w:color w:val="000000"/>
                <w:sz w:val="14"/>
                <w:szCs w:val="16"/>
                <w:lang w:val="en-GB"/>
              </w:rPr>
            </w:pPr>
            <w:hyperlink r:id="rId1633" w:history="1">
              <w:r w:rsidR="00A37EB0" w:rsidRPr="004D3EBB">
                <w:rPr>
                  <w:rStyle w:val="Hyperlink"/>
                  <w:rFonts w:cs="Arial"/>
                  <w:sz w:val="14"/>
                  <w:szCs w:val="16"/>
                  <w:lang w:val="en-GB"/>
                </w:rPr>
                <w:t>Return to Work Information Template</w:t>
              </w:r>
            </w:hyperlink>
          </w:p>
        </w:tc>
      </w:tr>
      <w:tr w:rsidR="00A37EB0" w:rsidRPr="00A37EB0" w14:paraId="13531085" w14:textId="77777777" w:rsidTr="00B2173F">
        <w:tc>
          <w:tcPr>
            <w:tcW w:w="1343" w:type="dxa"/>
            <w:shd w:val="clear" w:color="auto" w:fill="FFC9C9"/>
            <w:tcMar>
              <w:top w:w="80" w:type="dxa"/>
              <w:left w:w="80" w:type="dxa"/>
              <w:bottom w:w="80" w:type="dxa"/>
              <w:right w:w="80" w:type="dxa"/>
            </w:tcMar>
          </w:tcPr>
          <w:p w14:paraId="34D84F4B"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Queensland</w:t>
            </w:r>
          </w:p>
        </w:tc>
        <w:tc>
          <w:tcPr>
            <w:tcW w:w="1953" w:type="dxa"/>
            <w:shd w:val="clear" w:color="auto" w:fill="FFC9C9"/>
            <w:tcMar>
              <w:top w:w="80" w:type="dxa"/>
              <w:left w:w="80" w:type="dxa"/>
              <w:bottom w:w="80" w:type="dxa"/>
              <w:right w:w="80" w:type="dxa"/>
            </w:tcMar>
          </w:tcPr>
          <w:p w14:paraId="6966C523" w14:textId="0B3782CA"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r w:rsidR="00A37EB0" w:rsidRPr="00A37EB0">
              <w:rPr>
                <w:rFonts w:cs="Arial"/>
                <w:color w:val="000000"/>
                <w:sz w:val="14"/>
                <w:szCs w:val="16"/>
                <w:lang w:val="en-GB"/>
              </w:rPr>
              <w:t xml:space="preserve"> </w:t>
            </w:r>
          </w:p>
          <w:p w14:paraId="26A5C834" w14:textId="42F3B33B"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An employer must have a workplace rehabilitation policy and procedures if they meet the criteria specified under a regulation. They must also review the policy and procedures every 3 years (</w:t>
            </w:r>
            <w:r w:rsidR="009B783B" w:rsidRPr="00016069">
              <w:rPr>
                <w:i/>
                <w:sz w:val="14"/>
              </w:rPr>
              <w:t>Workers’ Compensation and Rehabilitation Act 2003</w:t>
            </w:r>
            <w:r w:rsidR="009B783B">
              <w:rPr>
                <w:i/>
                <w:sz w:val="14"/>
              </w:rPr>
              <w:t>,</w:t>
            </w:r>
            <w:r w:rsidRPr="00A37EB0">
              <w:rPr>
                <w:rFonts w:cs="Arial"/>
                <w:color w:val="000000"/>
                <w:sz w:val="14"/>
                <w:szCs w:val="16"/>
                <w:lang w:val="en-GB"/>
              </w:rPr>
              <w:t xml:space="preserve"> </w:t>
            </w:r>
            <w:hyperlink r:id="rId1634" w:anchor="sec.227" w:history="1">
              <w:r w:rsidR="008D2E79" w:rsidRPr="0092586E">
                <w:rPr>
                  <w:rStyle w:val="Hyperlink"/>
                  <w:rFonts w:cs="Arial"/>
                  <w:sz w:val="14"/>
                  <w:szCs w:val="16"/>
                  <w:lang w:val="en-GB"/>
                </w:rPr>
                <w:t>s227</w:t>
              </w:r>
            </w:hyperlink>
            <w:r w:rsidR="000E6EAB">
              <w:rPr>
                <w:rFonts w:cs="Arial"/>
                <w:color w:val="000000"/>
                <w:sz w:val="14"/>
                <w:szCs w:val="16"/>
                <w:lang w:val="en-GB"/>
              </w:rPr>
              <w:t>)</w:t>
            </w:r>
          </w:p>
        </w:tc>
        <w:tc>
          <w:tcPr>
            <w:tcW w:w="1953" w:type="dxa"/>
            <w:shd w:val="clear" w:color="auto" w:fill="FFC9C9"/>
            <w:tcMar>
              <w:top w:w="80" w:type="dxa"/>
              <w:left w:w="80" w:type="dxa"/>
              <w:bottom w:w="80" w:type="dxa"/>
              <w:right w:w="80" w:type="dxa"/>
            </w:tcMar>
          </w:tcPr>
          <w:p w14:paraId="40FE295D" w14:textId="498F7CBC"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Yes</w:t>
            </w:r>
          </w:p>
          <w:p w14:paraId="7185B0A5" w14:textId="7032A79E"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If the employer is in a high risk industry there is a lower wage threshold to meet the criteria for needing policy and procedures and a Rehabilitation and Return</w:t>
            </w:r>
            <w:r w:rsidR="00BB3C4A">
              <w:rPr>
                <w:rFonts w:cs="Arial"/>
                <w:color w:val="000000"/>
                <w:sz w:val="14"/>
                <w:szCs w:val="16"/>
                <w:lang w:val="en-GB"/>
              </w:rPr>
              <w:t xml:space="preserve"> to Work Coordinator (Act </w:t>
            </w:r>
            <w:hyperlink r:id="rId1635" w:anchor="sec.226" w:history="1">
              <w:r w:rsidR="008D2E79" w:rsidRPr="0092586E">
                <w:rPr>
                  <w:rStyle w:val="Hyperlink"/>
                  <w:rFonts w:cs="Arial"/>
                  <w:sz w:val="14"/>
                  <w:szCs w:val="16"/>
                  <w:lang w:val="en-GB"/>
                </w:rPr>
                <w:t>s226</w:t>
              </w:r>
            </w:hyperlink>
            <w:r w:rsidR="00BB3C4A">
              <w:rPr>
                <w:rFonts w:cs="Arial"/>
                <w:color w:val="000000"/>
                <w:sz w:val="14"/>
                <w:szCs w:val="16"/>
                <w:lang w:val="en-GB"/>
              </w:rPr>
              <w:t>)</w:t>
            </w:r>
          </w:p>
        </w:tc>
        <w:tc>
          <w:tcPr>
            <w:tcW w:w="1953" w:type="dxa"/>
            <w:shd w:val="clear" w:color="auto" w:fill="FFC9C9"/>
            <w:tcMar>
              <w:top w:w="80" w:type="dxa"/>
              <w:left w:w="80" w:type="dxa"/>
              <w:bottom w:w="80" w:type="dxa"/>
              <w:right w:w="80" w:type="dxa"/>
            </w:tcMar>
          </w:tcPr>
          <w:p w14:paraId="30D69E4E" w14:textId="64F6D749"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3483F39F" w14:textId="6AED0376" w:rsidR="00A37EB0" w:rsidRPr="00A37EB0" w:rsidRDefault="00A37EB0" w:rsidP="00995647">
            <w:pPr>
              <w:spacing w:after="60"/>
              <w:rPr>
                <w:rFonts w:cs="Arial"/>
                <w:color w:val="000000"/>
                <w:sz w:val="14"/>
                <w:szCs w:val="16"/>
                <w:lang w:val="en-GB"/>
              </w:rPr>
            </w:pPr>
            <w:r w:rsidRPr="00A37EB0">
              <w:rPr>
                <w:rFonts w:cs="Arial"/>
                <w:color w:val="000000"/>
                <w:sz w:val="14"/>
                <w:szCs w:val="16"/>
                <w:lang w:val="en-GB"/>
              </w:rPr>
              <w:t xml:space="preserve">Employers in a high risk industry with declared wages less than </w:t>
            </w:r>
            <w:r w:rsidRPr="00A37EB0">
              <w:rPr>
                <w:rFonts w:cs="Arial"/>
                <w:color w:val="000000"/>
                <w:sz w:val="14"/>
                <w:szCs w:val="16"/>
                <w:lang w:val="en-GB"/>
              </w:rPr>
              <w:br/>
              <w:t>$</w:t>
            </w:r>
            <w:r w:rsidR="00995647">
              <w:rPr>
                <w:rFonts w:cs="Arial"/>
                <w:color w:val="000000"/>
                <w:sz w:val="14"/>
                <w:szCs w:val="16"/>
                <w:lang w:val="en-GB"/>
              </w:rPr>
              <w:t>3,853,460</w:t>
            </w:r>
            <w:r w:rsidRPr="00A37EB0">
              <w:rPr>
                <w:rFonts w:cs="Arial"/>
                <w:color w:val="000000"/>
                <w:sz w:val="14"/>
                <w:szCs w:val="16"/>
                <w:lang w:val="en-GB"/>
              </w:rPr>
              <w:t xml:space="preserve">, and all other employers with declared wages of less than </w:t>
            </w:r>
            <w:r w:rsidR="00CF00CF">
              <w:rPr>
                <w:rFonts w:cs="Arial"/>
                <w:color w:val="000000"/>
                <w:sz w:val="14"/>
                <w:szCs w:val="16"/>
                <w:lang w:val="en-GB"/>
              </w:rPr>
              <w:br/>
            </w:r>
            <w:r w:rsidRPr="00A37EB0">
              <w:rPr>
                <w:rFonts w:cs="Arial"/>
                <w:color w:val="000000"/>
                <w:sz w:val="14"/>
                <w:szCs w:val="16"/>
                <w:lang w:val="en-GB"/>
              </w:rPr>
              <w:t>$</w:t>
            </w:r>
            <w:r w:rsidR="00995647">
              <w:rPr>
                <w:rFonts w:cs="Arial"/>
                <w:color w:val="000000"/>
                <w:sz w:val="14"/>
                <w:szCs w:val="16"/>
                <w:lang w:val="en-GB"/>
              </w:rPr>
              <w:t>7,706,920</w:t>
            </w:r>
            <w:r w:rsidRPr="00A37EB0">
              <w:rPr>
                <w:rFonts w:cs="Arial"/>
                <w:color w:val="000000"/>
                <w:sz w:val="14"/>
                <w:szCs w:val="16"/>
                <w:lang w:val="en-GB"/>
              </w:rPr>
              <w:t>, do not need a workplace rehabilitation policy and procedure. (The threshold amount varies each year by movements in QO</w:t>
            </w:r>
            <w:r w:rsidR="00BB3C4A">
              <w:rPr>
                <w:rFonts w:cs="Arial"/>
                <w:color w:val="000000"/>
                <w:sz w:val="14"/>
                <w:szCs w:val="16"/>
                <w:lang w:val="en-GB"/>
              </w:rPr>
              <w:t>TE: Qld Ordinary Time Earnings)</w:t>
            </w:r>
          </w:p>
        </w:tc>
        <w:tc>
          <w:tcPr>
            <w:tcW w:w="1953" w:type="dxa"/>
            <w:shd w:val="clear" w:color="auto" w:fill="FFC9C9"/>
            <w:tcMar>
              <w:top w:w="80" w:type="dxa"/>
              <w:left w:w="80" w:type="dxa"/>
              <w:bottom w:w="80" w:type="dxa"/>
              <w:right w:w="80" w:type="dxa"/>
            </w:tcMar>
          </w:tcPr>
          <w:p w14:paraId="4525FA12" w14:textId="73E84861"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p w14:paraId="5CF7602D" w14:textId="2DCF5F66"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There is no requirement for the policy and procedures to be develop</w:t>
            </w:r>
            <w:r w:rsidR="00BB3C4A">
              <w:rPr>
                <w:rFonts w:cs="Arial"/>
                <w:color w:val="000000"/>
                <w:sz w:val="14"/>
                <w:szCs w:val="16"/>
                <w:lang w:val="en-GB"/>
              </w:rPr>
              <w:t>ed in consultation with workers</w:t>
            </w:r>
          </w:p>
        </w:tc>
        <w:tc>
          <w:tcPr>
            <w:tcW w:w="1953" w:type="dxa"/>
            <w:shd w:val="clear" w:color="auto" w:fill="FFC9C9"/>
            <w:tcMar>
              <w:top w:w="80" w:type="dxa"/>
              <w:left w:w="80" w:type="dxa"/>
              <w:bottom w:w="80" w:type="dxa"/>
              <w:right w:w="80" w:type="dxa"/>
            </w:tcMar>
          </w:tcPr>
          <w:p w14:paraId="19317DCF" w14:textId="48995AE4"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tc>
        <w:tc>
          <w:tcPr>
            <w:tcW w:w="1953" w:type="dxa"/>
            <w:shd w:val="clear" w:color="auto" w:fill="FFC9C9"/>
            <w:tcMar>
              <w:top w:w="80" w:type="dxa"/>
              <w:left w:w="80" w:type="dxa"/>
              <w:bottom w:w="80" w:type="dxa"/>
              <w:right w:w="80" w:type="dxa"/>
            </w:tcMar>
          </w:tcPr>
          <w:p w14:paraId="1AB4316A"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Workplace rehabilitation policies and procedures which outline: </w:t>
            </w:r>
          </w:p>
          <w:p w14:paraId="0DD8605D" w14:textId="77777777" w:rsidR="00A37EB0" w:rsidRPr="00EE51BE" w:rsidRDefault="00A37EB0" w:rsidP="00F839DB">
            <w:pPr>
              <w:pStyle w:val="ListParagraph"/>
              <w:numPr>
                <w:ilvl w:val="0"/>
                <w:numId w:val="221"/>
              </w:numPr>
              <w:spacing w:after="60"/>
              <w:contextualSpacing/>
              <w:rPr>
                <w:rFonts w:eastAsia="Calibri" w:cs="Arial"/>
                <w:sz w:val="14"/>
                <w:szCs w:val="14"/>
                <w:lang w:eastAsia="en-US"/>
              </w:rPr>
            </w:pPr>
            <w:r w:rsidRPr="00EE51BE">
              <w:rPr>
                <w:rFonts w:eastAsia="Calibri" w:cs="Arial"/>
                <w:sz w:val="14"/>
                <w:szCs w:val="14"/>
                <w:lang w:eastAsia="en-US"/>
              </w:rPr>
              <w:t>employer commitment to assist injured workers to access necessary treatment and rehabilitation, and</w:t>
            </w:r>
          </w:p>
          <w:p w14:paraId="40F593BF" w14:textId="77777777" w:rsidR="00A37EB0" w:rsidRPr="00EE51BE" w:rsidRDefault="00A37EB0" w:rsidP="00F839DB">
            <w:pPr>
              <w:pStyle w:val="ListParagraph"/>
              <w:numPr>
                <w:ilvl w:val="0"/>
                <w:numId w:val="221"/>
              </w:numPr>
              <w:spacing w:after="60"/>
              <w:contextualSpacing/>
              <w:rPr>
                <w:rFonts w:eastAsia="Calibri" w:cs="Arial"/>
                <w:sz w:val="14"/>
                <w:szCs w:val="14"/>
                <w:lang w:eastAsia="en-US"/>
              </w:rPr>
            </w:pPr>
            <w:r w:rsidRPr="00EE51BE">
              <w:rPr>
                <w:rFonts w:eastAsia="Calibri" w:cs="Arial"/>
                <w:sz w:val="14"/>
                <w:szCs w:val="14"/>
                <w:lang w:eastAsia="en-US"/>
              </w:rPr>
              <w:t>specific steps employer will take to achieve safe, timely and durable return to work.</w:t>
            </w:r>
          </w:p>
        </w:tc>
        <w:tc>
          <w:tcPr>
            <w:tcW w:w="1954" w:type="dxa"/>
            <w:shd w:val="clear" w:color="auto" w:fill="FFC9C9"/>
            <w:tcMar>
              <w:top w:w="80" w:type="dxa"/>
              <w:left w:w="80" w:type="dxa"/>
              <w:bottom w:w="80" w:type="dxa"/>
              <w:right w:w="80" w:type="dxa"/>
            </w:tcMar>
          </w:tcPr>
          <w:p w14:paraId="1B01136E" w14:textId="24905039" w:rsidR="00A37EB0" w:rsidRPr="00A37EB0" w:rsidRDefault="00A7538C" w:rsidP="00292A53">
            <w:pPr>
              <w:spacing w:after="60"/>
              <w:rPr>
                <w:rFonts w:cs="Arial"/>
                <w:color w:val="000000"/>
                <w:sz w:val="14"/>
                <w:szCs w:val="16"/>
                <w:lang w:val="en-GB"/>
              </w:rPr>
            </w:pPr>
            <w:hyperlink r:id="rId1636" w:history="1">
              <w:r w:rsidR="008D2E79" w:rsidRPr="0092586E">
                <w:rPr>
                  <w:rStyle w:val="Hyperlink"/>
                  <w:rFonts w:cs="Arial"/>
                  <w:sz w:val="14"/>
                  <w:szCs w:val="16"/>
                  <w:lang w:val="en-GB"/>
                </w:rPr>
                <w:t>Workplace Rehabilitation Policy and Procedures</w:t>
              </w:r>
            </w:hyperlink>
          </w:p>
        </w:tc>
      </w:tr>
      <w:tr w:rsidR="00A37EB0" w:rsidRPr="00A37EB0" w14:paraId="57272451" w14:textId="77777777" w:rsidTr="00B2173F">
        <w:tc>
          <w:tcPr>
            <w:tcW w:w="1343" w:type="dxa"/>
            <w:tcMar>
              <w:top w:w="80" w:type="dxa"/>
              <w:left w:w="80" w:type="dxa"/>
              <w:bottom w:w="80" w:type="dxa"/>
              <w:right w:w="80" w:type="dxa"/>
            </w:tcMar>
          </w:tcPr>
          <w:p w14:paraId="74AD8293"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Western Australia</w:t>
            </w:r>
          </w:p>
        </w:tc>
        <w:tc>
          <w:tcPr>
            <w:tcW w:w="1953" w:type="dxa"/>
            <w:tcMar>
              <w:top w:w="80" w:type="dxa"/>
              <w:left w:w="80" w:type="dxa"/>
              <w:bottom w:w="80" w:type="dxa"/>
              <w:right w:w="80" w:type="dxa"/>
            </w:tcMar>
          </w:tcPr>
          <w:p w14:paraId="3F772D73" w14:textId="6BD55393"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r w:rsidR="00A37EB0" w:rsidRPr="00A37EB0">
              <w:rPr>
                <w:rFonts w:cs="Arial"/>
                <w:color w:val="000000"/>
                <w:sz w:val="14"/>
                <w:szCs w:val="16"/>
                <w:lang w:val="en-GB"/>
              </w:rPr>
              <w:t xml:space="preserve"> </w:t>
            </w:r>
          </w:p>
          <w:p w14:paraId="5A176BEB" w14:textId="6EB4505A"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 </w:t>
            </w:r>
            <w:hyperlink r:id="rId1637" w:history="1">
              <w:r w:rsidRPr="00247D54">
                <w:rPr>
                  <w:rStyle w:val="Hyperlink"/>
                  <w:rFonts w:cs="Arial"/>
                  <w:sz w:val="14"/>
                  <w:szCs w:val="16"/>
                  <w:lang w:val="en-GB"/>
                </w:rPr>
                <w:t>s155B</w:t>
              </w:r>
            </w:hyperlink>
            <w:r w:rsidRPr="00A37EB0">
              <w:rPr>
                <w:rFonts w:cs="Arial"/>
                <w:color w:val="000000"/>
                <w:sz w:val="14"/>
                <w:szCs w:val="16"/>
                <w:lang w:val="en-GB"/>
              </w:rPr>
              <w:t xml:space="preserve"> and Workers’ Compensation Code of Practice (Injury Management) 2005. Employers must establish </w:t>
            </w:r>
            <w:r w:rsidRPr="00A37EB0">
              <w:rPr>
                <w:rFonts w:cs="Arial"/>
                <w:color w:val="000000"/>
                <w:sz w:val="14"/>
                <w:szCs w:val="16"/>
                <w:lang w:val="en-GB"/>
              </w:rPr>
              <w:lastRenderedPageBreak/>
              <w:t>and implem</w:t>
            </w:r>
            <w:r w:rsidR="00BB3C4A">
              <w:rPr>
                <w:rFonts w:cs="Arial"/>
                <w:color w:val="000000"/>
                <w:sz w:val="14"/>
                <w:szCs w:val="16"/>
                <w:lang w:val="en-GB"/>
              </w:rPr>
              <w:t>ent an Injury Management System</w:t>
            </w:r>
          </w:p>
        </w:tc>
        <w:tc>
          <w:tcPr>
            <w:tcW w:w="1953" w:type="dxa"/>
            <w:tcMar>
              <w:top w:w="80" w:type="dxa"/>
              <w:left w:w="80" w:type="dxa"/>
              <w:bottom w:w="80" w:type="dxa"/>
              <w:right w:w="80" w:type="dxa"/>
            </w:tcMar>
          </w:tcPr>
          <w:p w14:paraId="4F93F9BA" w14:textId="1253361F" w:rsidR="00A37EB0" w:rsidRPr="00A37EB0" w:rsidRDefault="00BB3C4A" w:rsidP="00292A53">
            <w:pPr>
              <w:spacing w:after="60"/>
              <w:rPr>
                <w:rFonts w:cs="Arial"/>
                <w:color w:val="000000"/>
                <w:sz w:val="14"/>
                <w:szCs w:val="16"/>
                <w:lang w:val="en-GB"/>
              </w:rPr>
            </w:pPr>
            <w:r>
              <w:rPr>
                <w:rFonts w:cs="Arial"/>
                <w:color w:val="000000"/>
                <w:sz w:val="14"/>
                <w:szCs w:val="16"/>
                <w:lang w:val="en-GB"/>
              </w:rPr>
              <w:lastRenderedPageBreak/>
              <w:t>No</w:t>
            </w:r>
          </w:p>
          <w:p w14:paraId="7AE028DD" w14:textId="0350D221"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 </w:t>
            </w:r>
            <w:hyperlink r:id="rId1638" w:history="1">
              <w:r w:rsidRPr="00247D54">
                <w:rPr>
                  <w:rStyle w:val="Hyperlink"/>
                  <w:rFonts w:cs="Arial"/>
                  <w:sz w:val="14"/>
                  <w:szCs w:val="16"/>
                  <w:lang w:val="en-GB"/>
                </w:rPr>
                <w:t>s155B</w:t>
              </w:r>
            </w:hyperlink>
            <w:r w:rsidRPr="00A37EB0">
              <w:rPr>
                <w:rFonts w:cs="Arial"/>
                <w:color w:val="000000"/>
                <w:sz w:val="14"/>
                <w:szCs w:val="16"/>
                <w:lang w:val="en-GB"/>
              </w:rPr>
              <w:t xml:space="preserve"> and Workers’ Compensation Code of Pr</w:t>
            </w:r>
            <w:r w:rsidR="00BB3C4A">
              <w:rPr>
                <w:rFonts w:cs="Arial"/>
                <w:color w:val="000000"/>
                <w:sz w:val="14"/>
                <w:szCs w:val="16"/>
                <w:lang w:val="en-GB"/>
              </w:rPr>
              <w:t>actice (Injury Management) 2005</w:t>
            </w:r>
          </w:p>
        </w:tc>
        <w:tc>
          <w:tcPr>
            <w:tcW w:w="1953" w:type="dxa"/>
            <w:tcMar>
              <w:top w:w="80" w:type="dxa"/>
              <w:left w:w="80" w:type="dxa"/>
              <w:bottom w:w="80" w:type="dxa"/>
              <w:right w:w="80" w:type="dxa"/>
            </w:tcMar>
          </w:tcPr>
          <w:p w14:paraId="048C8D64" w14:textId="781C4D4E"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p w14:paraId="1F18E669" w14:textId="68257EBF"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 </w:t>
            </w:r>
            <w:hyperlink r:id="rId1639" w:history="1">
              <w:r w:rsidRPr="00247D54">
                <w:rPr>
                  <w:rStyle w:val="Hyperlink"/>
                  <w:rFonts w:cs="Arial"/>
                  <w:sz w:val="14"/>
                  <w:szCs w:val="16"/>
                  <w:lang w:val="en-GB"/>
                </w:rPr>
                <w:t>s155B</w:t>
              </w:r>
            </w:hyperlink>
            <w:r w:rsidRPr="00A37EB0">
              <w:rPr>
                <w:rFonts w:cs="Arial"/>
                <w:color w:val="000000"/>
                <w:sz w:val="14"/>
                <w:szCs w:val="16"/>
                <w:lang w:val="en-GB"/>
              </w:rPr>
              <w:t xml:space="preserve"> and Workers’ Compensation Code of Pr</w:t>
            </w:r>
            <w:r w:rsidR="00BB3C4A">
              <w:rPr>
                <w:rFonts w:cs="Arial"/>
                <w:color w:val="000000"/>
                <w:sz w:val="14"/>
                <w:szCs w:val="16"/>
                <w:lang w:val="en-GB"/>
              </w:rPr>
              <w:t>actice (Injury Management) 2005</w:t>
            </w:r>
          </w:p>
        </w:tc>
        <w:tc>
          <w:tcPr>
            <w:tcW w:w="1953" w:type="dxa"/>
            <w:tcMar>
              <w:top w:w="80" w:type="dxa"/>
              <w:left w:w="80" w:type="dxa"/>
              <w:bottom w:w="80" w:type="dxa"/>
              <w:right w:w="80" w:type="dxa"/>
            </w:tcMar>
          </w:tcPr>
          <w:p w14:paraId="194BFCA6" w14:textId="140E43F5"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1328301E" w14:textId="5FF06727"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07CAB124" w14:textId="258F02C8" w:rsidR="00A37EB0" w:rsidRPr="00A37EB0" w:rsidRDefault="00BB3C4A" w:rsidP="00292A53">
            <w:pPr>
              <w:spacing w:after="60"/>
              <w:rPr>
                <w:rFonts w:cs="Arial"/>
                <w:color w:val="000000"/>
                <w:sz w:val="14"/>
                <w:szCs w:val="16"/>
                <w:lang w:val="en-GB"/>
              </w:rPr>
            </w:pPr>
            <w:r>
              <w:rPr>
                <w:rFonts w:cs="Arial"/>
                <w:color w:val="000000"/>
                <w:sz w:val="14"/>
                <w:szCs w:val="16"/>
                <w:lang w:val="en-GB"/>
              </w:rPr>
              <w:t>Code, cl6</w:t>
            </w:r>
          </w:p>
        </w:tc>
        <w:tc>
          <w:tcPr>
            <w:tcW w:w="1953" w:type="dxa"/>
            <w:tcMar>
              <w:top w:w="80" w:type="dxa"/>
              <w:left w:w="80" w:type="dxa"/>
              <w:bottom w:w="80" w:type="dxa"/>
              <w:right w:w="80" w:type="dxa"/>
            </w:tcMar>
          </w:tcPr>
          <w:p w14:paraId="05FA5513"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Code, cl6 states that the document describing the injury management system has to include: </w:t>
            </w:r>
          </w:p>
          <w:p w14:paraId="6F9E66B5" w14:textId="77777777" w:rsidR="00A37EB0" w:rsidRPr="00EE51BE" w:rsidRDefault="00A37EB0" w:rsidP="00F839DB">
            <w:pPr>
              <w:pStyle w:val="ListParagraph"/>
              <w:numPr>
                <w:ilvl w:val="0"/>
                <w:numId w:val="222"/>
              </w:numPr>
              <w:spacing w:after="60"/>
              <w:contextualSpacing/>
              <w:rPr>
                <w:rFonts w:eastAsia="Calibri" w:cs="Arial"/>
                <w:sz w:val="14"/>
                <w:szCs w:val="14"/>
                <w:lang w:eastAsia="en-US"/>
              </w:rPr>
            </w:pPr>
            <w:r w:rsidRPr="00EE51BE">
              <w:rPr>
                <w:rFonts w:eastAsia="Calibri" w:cs="Arial"/>
                <w:sz w:val="14"/>
                <w:szCs w:val="14"/>
                <w:lang w:eastAsia="en-US"/>
              </w:rPr>
              <w:t xml:space="preserve">a description of the steps the employer will </w:t>
            </w:r>
            <w:r w:rsidRPr="00EE51BE">
              <w:rPr>
                <w:rFonts w:eastAsia="Calibri" w:cs="Arial"/>
                <w:sz w:val="14"/>
                <w:szCs w:val="14"/>
                <w:lang w:eastAsia="en-US"/>
              </w:rPr>
              <w:lastRenderedPageBreak/>
              <w:t>take when an injury occurs at the employer’s workplace</w:t>
            </w:r>
          </w:p>
          <w:p w14:paraId="2AD71F6C" w14:textId="77777777" w:rsidR="00A37EB0" w:rsidRPr="00EE51BE" w:rsidRDefault="00A37EB0" w:rsidP="00F839DB">
            <w:pPr>
              <w:pStyle w:val="ListParagraph"/>
              <w:numPr>
                <w:ilvl w:val="0"/>
                <w:numId w:val="222"/>
              </w:numPr>
              <w:spacing w:after="60"/>
              <w:contextualSpacing/>
              <w:rPr>
                <w:rFonts w:eastAsia="Calibri" w:cs="Arial"/>
                <w:sz w:val="14"/>
                <w:szCs w:val="14"/>
                <w:lang w:eastAsia="en-US"/>
              </w:rPr>
            </w:pPr>
            <w:r w:rsidRPr="00EE51BE">
              <w:rPr>
                <w:rFonts w:eastAsia="Calibri" w:cs="Arial"/>
                <w:sz w:val="14"/>
                <w:szCs w:val="14"/>
                <w:lang w:eastAsia="en-US"/>
              </w:rPr>
              <w:t xml:space="preserve">details of the person who </w:t>
            </w:r>
            <w:r w:rsidR="00ED0F63">
              <w:rPr>
                <w:rFonts w:eastAsia="Calibri" w:cs="Arial"/>
                <w:sz w:val="14"/>
                <w:szCs w:val="14"/>
                <w:lang w:eastAsia="en-US"/>
              </w:rPr>
              <w:t>has</w:t>
            </w:r>
            <w:r w:rsidRPr="00EE51BE">
              <w:rPr>
                <w:rFonts w:eastAsia="Calibri" w:cs="Arial"/>
                <w:sz w:val="14"/>
                <w:szCs w:val="14"/>
                <w:lang w:eastAsia="en-US"/>
              </w:rPr>
              <w:t xml:space="preserve"> the day to day responsibility for the injury management system, and how to contact that person.</w:t>
            </w:r>
          </w:p>
        </w:tc>
        <w:tc>
          <w:tcPr>
            <w:tcW w:w="1954" w:type="dxa"/>
            <w:tcMar>
              <w:top w:w="80" w:type="dxa"/>
              <w:left w:w="80" w:type="dxa"/>
              <w:bottom w:w="80" w:type="dxa"/>
              <w:right w:w="80" w:type="dxa"/>
            </w:tcMar>
          </w:tcPr>
          <w:p w14:paraId="19DD3AD8" w14:textId="49EB355B" w:rsidR="00A37EB0" w:rsidRPr="00A37EB0" w:rsidRDefault="00A7538C" w:rsidP="00292A53">
            <w:pPr>
              <w:spacing w:after="60"/>
              <w:rPr>
                <w:rFonts w:cs="Arial"/>
                <w:color w:val="000000"/>
                <w:sz w:val="14"/>
                <w:szCs w:val="16"/>
                <w:lang w:val="en-GB"/>
              </w:rPr>
            </w:pPr>
            <w:hyperlink r:id="rId1640" w:history="1">
              <w:r w:rsidR="00A37EB0" w:rsidRPr="00A37EB0">
                <w:rPr>
                  <w:rFonts w:cs="Arial"/>
                  <w:color w:val="0000FF"/>
                  <w:sz w:val="14"/>
                  <w:szCs w:val="16"/>
                  <w:u w:val="single"/>
                  <w:lang w:val="en-GB"/>
                </w:rPr>
                <w:t>Workers’ Compensation Code of Practice (Injury Management) 2005</w:t>
              </w:r>
            </w:hyperlink>
          </w:p>
        </w:tc>
      </w:tr>
      <w:tr w:rsidR="00A37EB0" w:rsidRPr="00A37EB0" w14:paraId="5C807C20" w14:textId="77777777" w:rsidTr="00B2173F">
        <w:tc>
          <w:tcPr>
            <w:tcW w:w="1343" w:type="dxa"/>
            <w:shd w:val="clear" w:color="auto" w:fill="FFC9C9"/>
            <w:tcMar>
              <w:top w:w="80" w:type="dxa"/>
              <w:left w:w="80" w:type="dxa"/>
              <w:bottom w:w="80" w:type="dxa"/>
              <w:right w:w="80" w:type="dxa"/>
            </w:tcMar>
          </w:tcPr>
          <w:p w14:paraId="13A92BF1"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South Australia</w:t>
            </w:r>
          </w:p>
        </w:tc>
        <w:tc>
          <w:tcPr>
            <w:tcW w:w="1953" w:type="dxa"/>
            <w:shd w:val="clear" w:color="auto" w:fill="FFC9C9"/>
            <w:tcMar>
              <w:top w:w="80" w:type="dxa"/>
              <w:left w:w="80" w:type="dxa"/>
              <w:bottom w:w="80" w:type="dxa"/>
              <w:right w:w="80" w:type="dxa"/>
            </w:tcMar>
          </w:tcPr>
          <w:p w14:paraId="5C078155" w14:textId="504ABBB3"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An employer is required to appoint a Return to Work Coordinator </w:t>
            </w:r>
            <w:r w:rsidR="00CF00CF">
              <w:rPr>
                <w:rFonts w:cs="Arial"/>
                <w:color w:val="000000"/>
                <w:sz w:val="14"/>
                <w:szCs w:val="16"/>
                <w:lang w:val="en-GB"/>
              </w:rPr>
              <w:t>—</w:t>
            </w:r>
            <w:r w:rsidR="00CF00CF" w:rsidRPr="00A37EB0">
              <w:rPr>
                <w:rFonts w:cs="Arial"/>
                <w:color w:val="000000"/>
                <w:sz w:val="14"/>
                <w:szCs w:val="16"/>
                <w:lang w:val="en-GB"/>
              </w:rPr>
              <w:t xml:space="preserve"> </w:t>
            </w:r>
            <w:hyperlink r:id="rId1641" w:history="1">
              <w:r w:rsidRPr="00247D54">
                <w:rPr>
                  <w:rStyle w:val="Hyperlink"/>
                  <w:rFonts w:cs="Arial"/>
                  <w:sz w:val="14"/>
                  <w:szCs w:val="16"/>
                  <w:lang w:val="en-GB"/>
                </w:rPr>
                <w:t>s26</w:t>
              </w:r>
            </w:hyperlink>
            <w:r w:rsidR="00247D54">
              <w:rPr>
                <w:rFonts w:cs="Arial"/>
                <w:color w:val="000000"/>
                <w:sz w:val="14"/>
                <w:szCs w:val="16"/>
                <w:lang w:val="en-GB"/>
              </w:rPr>
              <w:t xml:space="preserve">, </w:t>
            </w:r>
            <w:r w:rsidR="00247D54">
              <w:rPr>
                <w:rFonts w:cs="Arial"/>
                <w:i/>
                <w:color w:val="000000"/>
                <w:sz w:val="14"/>
                <w:szCs w:val="16"/>
                <w:lang w:val="en-GB"/>
              </w:rPr>
              <w:t>Return to Work Act 2014</w:t>
            </w:r>
            <w:r w:rsidRPr="00A37EB0">
              <w:rPr>
                <w:rFonts w:cs="Arial"/>
                <w:color w:val="000000"/>
                <w:sz w:val="14"/>
                <w:szCs w:val="16"/>
                <w:lang w:val="en-GB"/>
              </w:rPr>
              <w:t xml:space="preserve">. The duties of the Coordinator includes a requirement to comply with training or operational guidelines </w:t>
            </w:r>
            <w:r w:rsidR="00BB3C4A">
              <w:rPr>
                <w:rFonts w:cs="Arial"/>
                <w:color w:val="000000"/>
                <w:sz w:val="14"/>
                <w:szCs w:val="16"/>
                <w:lang w:val="en-GB"/>
              </w:rPr>
              <w:t>published by RTWSA [</w:t>
            </w:r>
            <w:hyperlink r:id="rId1642" w:history="1">
              <w:r w:rsidR="00BB3C4A" w:rsidRPr="00247D54">
                <w:rPr>
                  <w:rStyle w:val="Hyperlink"/>
                  <w:rFonts w:cs="Arial"/>
                  <w:sz w:val="14"/>
                  <w:szCs w:val="16"/>
                  <w:lang w:val="en-GB"/>
                </w:rPr>
                <w:t>s26(5)(c)</w:t>
              </w:r>
            </w:hyperlink>
            <w:r w:rsidR="00BB3C4A">
              <w:rPr>
                <w:rFonts w:cs="Arial"/>
                <w:color w:val="000000"/>
                <w:sz w:val="14"/>
                <w:szCs w:val="16"/>
                <w:lang w:val="en-GB"/>
              </w:rPr>
              <w:t>]</w:t>
            </w:r>
          </w:p>
          <w:p w14:paraId="26F99058" w14:textId="50BBBA25"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Under </w:t>
            </w:r>
            <w:hyperlink r:id="rId1643" w:history="1">
              <w:r w:rsidRPr="00247D54">
                <w:rPr>
                  <w:rStyle w:val="Hyperlink"/>
                  <w:rFonts w:cs="Arial"/>
                  <w:sz w:val="14"/>
                  <w:szCs w:val="16"/>
                  <w:lang w:val="en-GB"/>
                </w:rPr>
                <w:t>s147</w:t>
              </w:r>
            </w:hyperlink>
            <w:r w:rsidRPr="00A37EB0">
              <w:rPr>
                <w:rFonts w:cs="Arial"/>
                <w:color w:val="000000"/>
                <w:sz w:val="14"/>
                <w:szCs w:val="16"/>
                <w:lang w:val="en-GB"/>
              </w:rPr>
              <w:t>, an employer can be the subject of a</w:t>
            </w:r>
            <w:r w:rsidR="00ED0F63">
              <w:rPr>
                <w:rFonts w:cs="Arial"/>
                <w:color w:val="000000"/>
                <w:sz w:val="14"/>
                <w:szCs w:val="16"/>
                <w:lang w:val="en-GB"/>
              </w:rPr>
              <w:t>n imposed supplementary payment</w:t>
            </w:r>
            <w:r w:rsidRPr="00A37EB0">
              <w:rPr>
                <w:rFonts w:cs="Arial"/>
                <w:color w:val="000000"/>
                <w:sz w:val="14"/>
                <w:szCs w:val="16"/>
                <w:lang w:val="en-GB"/>
              </w:rPr>
              <w:t xml:space="preserve"> (in addition to their premium) for failing to provide satisfactory recovery/return to work facilities or</w:t>
            </w:r>
            <w:r w:rsidR="00BB3C4A">
              <w:rPr>
                <w:rFonts w:cs="Arial"/>
                <w:color w:val="000000"/>
                <w:sz w:val="14"/>
                <w:szCs w:val="16"/>
                <w:lang w:val="en-GB"/>
              </w:rPr>
              <w:t xml:space="preserve"> services</w:t>
            </w:r>
          </w:p>
        </w:tc>
        <w:tc>
          <w:tcPr>
            <w:tcW w:w="1953" w:type="dxa"/>
            <w:shd w:val="clear" w:color="auto" w:fill="FFC9C9"/>
            <w:tcMar>
              <w:top w:w="80" w:type="dxa"/>
              <w:left w:w="80" w:type="dxa"/>
              <w:bottom w:w="80" w:type="dxa"/>
              <w:right w:w="80" w:type="dxa"/>
            </w:tcMar>
          </w:tcPr>
          <w:p w14:paraId="4F233A1D" w14:textId="7CB2A4DD"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Employers with less than 30 employers are exempt from a requirement to appoint a Return to Work Co-ordinator (</w:t>
            </w:r>
            <w:hyperlink r:id="rId1644" w:history="1">
              <w:r w:rsidRPr="00AE78C0">
                <w:rPr>
                  <w:rStyle w:val="Hyperlink"/>
                  <w:rFonts w:cs="Arial"/>
                  <w:sz w:val="14"/>
                  <w:szCs w:val="16"/>
                  <w:lang w:val="en-GB"/>
                </w:rPr>
                <w:t>Reg 18</w:t>
              </w:r>
            </w:hyperlink>
            <w:r w:rsidRPr="00A37EB0">
              <w:rPr>
                <w:rFonts w:cs="Arial"/>
                <w:color w:val="000000"/>
                <w:sz w:val="14"/>
                <w:szCs w:val="16"/>
                <w:lang w:val="en-GB"/>
              </w:rPr>
              <w:t>)</w:t>
            </w:r>
          </w:p>
        </w:tc>
        <w:tc>
          <w:tcPr>
            <w:tcW w:w="1953" w:type="dxa"/>
            <w:shd w:val="clear" w:color="auto" w:fill="FFC9C9"/>
            <w:tcMar>
              <w:top w:w="80" w:type="dxa"/>
              <w:left w:w="80" w:type="dxa"/>
              <w:bottom w:w="80" w:type="dxa"/>
              <w:right w:w="80" w:type="dxa"/>
            </w:tcMar>
          </w:tcPr>
          <w:p w14:paraId="15794294" w14:textId="451A1391" w:rsidR="00A37EB0" w:rsidRPr="00A37EB0" w:rsidRDefault="00A37EB0" w:rsidP="00CF00CF">
            <w:pPr>
              <w:spacing w:after="60"/>
              <w:rPr>
                <w:rFonts w:cs="Arial"/>
                <w:color w:val="000000"/>
                <w:sz w:val="14"/>
                <w:szCs w:val="16"/>
                <w:lang w:val="en-GB"/>
              </w:rPr>
            </w:pPr>
            <w:r w:rsidRPr="00A37EB0">
              <w:rPr>
                <w:rFonts w:cs="Arial"/>
                <w:color w:val="000000"/>
                <w:sz w:val="14"/>
                <w:szCs w:val="16"/>
                <w:lang w:val="en-GB"/>
              </w:rPr>
              <w:t>A recovery/return to work plan is not mandatory where the period of incapacit</w:t>
            </w:r>
            <w:r w:rsidR="00BB3C4A">
              <w:rPr>
                <w:rFonts w:cs="Arial"/>
                <w:color w:val="000000"/>
                <w:sz w:val="14"/>
                <w:szCs w:val="16"/>
                <w:lang w:val="en-GB"/>
              </w:rPr>
              <w:t xml:space="preserve">y is less than 4 weeks </w:t>
            </w:r>
            <w:r w:rsidR="00CF00CF">
              <w:rPr>
                <w:rFonts w:cs="Arial"/>
                <w:color w:val="000000"/>
                <w:sz w:val="14"/>
                <w:szCs w:val="16"/>
                <w:lang w:val="en-GB"/>
              </w:rPr>
              <w:t xml:space="preserve">— </w:t>
            </w:r>
            <w:hyperlink r:id="rId1645" w:history="1">
              <w:r w:rsidR="00BB3C4A" w:rsidRPr="00AE78C0">
                <w:rPr>
                  <w:rStyle w:val="Hyperlink"/>
                  <w:rFonts w:cs="Arial"/>
                  <w:sz w:val="14"/>
                  <w:szCs w:val="16"/>
                  <w:lang w:val="en-GB"/>
                </w:rPr>
                <w:t>s25(1)</w:t>
              </w:r>
            </w:hyperlink>
          </w:p>
        </w:tc>
        <w:tc>
          <w:tcPr>
            <w:tcW w:w="1953" w:type="dxa"/>
            <w:shd w:val="clear" w:color="auto" w:fill="FFC9C9"/>
            <w:tcMar>
              <w:top w:w="80" w:type="dxa"/>
              <w:left w:w="80" w:type="dxa"/>
              <w:bottom w:w="80" w:type="dxa"/>
              <w:right w:w="80" w:type="dxa"/>
            </w:tcMar>
          </w:tcPr>
          <w:p w14:paraId="67FBEBA6" w14:textId="307C41CF" w:rsidR="00A37EB0" w:rsidRPr="00A37EB0" w:rsidRDefault="00BB3C4A" w:rsidP="00292A53">
            <w:pPr>
              <w:spacing w:after="60"/>
              <w:rPr>
                <w:rFonts w:cs="Arial"/>
                <w:color w:val="000000"/>
                <w:sz w:val="14"/>
                <w:szCs w:val="16"/>
                <w:lang w:val="en-GB"/>
              </w:rPr>
            </w:pPr>
            <w:r>
              <w:rPr>
                <w:rFonts w:cs="Arial"/>
                <w:color w:val="000000"/>
                <w:sz w:val="14"/>
                <w:szCs w:val="16"/>
                <w:lang w:val="en-GB"/>
              </w:rPr>
              <w:t xml:space="preserve">Section </w:t>
            </w:r>
            <w:hyperlink r:id="rId1646" w:history="1">
              <w:r w:rsidRPr="00AE78C0">
                <w:rPr>
                  <w:rStyle w:val="Hyperlink"/>
                  <w:rFonts w:cs="Arial"/>
                  <w:sz w:val="14"/>
                  <w:szCs w:val="16"/>
                  <w:lang w:val="en-GB"/>
                </w:rPr>
                <w:t>25(5)</w:t>
              </w:r>
            </w:hyperlink>
          </w:p>
        </w:tc>
        <w:tc>
          <w:tcPr>
            <w:tcW w:w="1953" w:type="dxa"/>
            <w:shd w:val="clear" w:color="auto" w:fill="FFC9C9"/>
            <w:tcMar>
              <w:top w:w="80" w:type="dxa"/>
              <w:left w:w="80" w:type="dxa"/>
              <w:bottom w:w="80" w:type="dxa"/>
              <w:right w:w="80" w:type="dxa"/>
            </w:tcMar>
          </w:tcPr>
          <w:p w14:paraId="468C2EDF" w14:textId="2B48B175"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Section </w:t>
            </w:r>
            <w:hyperlink r:id="rId1647" w:history="1">
              <w:r w:rsidRPr="00AE78C0">
                <w:rPr>
                  <w:rStyle w:val="Hyperlink"/>
                  <w:rFonts w:cs="Arial"/>
                  <w:sz w:val="14"/>
                  <w:szCs w:val="16"/>
                  <w:lang w:val="en-GB"/>
                </w:rPr>
                <w:t>25(7)</w:t>
              </w:r>
            </w:hyperlink>
          </w:p>
        </w:tc>
        <w:tc>
          <w:tcPr>
            <w:tcW w:w="1953" w:type="dxa"/>
            <w:shd w:val="clear" w:color="auto" w:fill="FFC9C9"/>
            <w:tcMar>
              <w:top w:w="80" w:type="dxa"/>
              <w:left w:w="80" w:type="dxa"/>
              <w:bottom w:w="80" w:type="dxa"/>
              <w:right w:w="80" w:type="dxa"/>
            </w:tcMar>
          </w:tcPr>
          <w:p w14:paraId="0AEF0C9D" w14:textId="1FCE6C57" w:rsidR="00A37EB0" w:rsidRPr="00A37EB0" w:rsidRDefault="00BB3C4A" w:rsidP="00292A53">
            <w:pPr>
              <w:spacing w:after="60"/>
              <w:rPr>
                <w:rFonts w:cs="Arial"/>
                <w:color w:val="000000"/>
                <w:sz w:val="14"/>
                <w:szCs w:val="16"/>
                <w:lang w:val="en-GB"/>
              </w:rPr>
            </w:pPr>
            <w:r>
              <w:rPr>
                <w:rFonts w:cs="Arial"/>
                <w:color w:val="000000"/>
                <w:sz w:val="14"/>
                <w:szCs w:val="16"/>
                <w:lang w:val="en-GB"/>
              </w:rPr>
              <w:t xml:space="preserve">Section </w:t>
            </w:r>
            <w:hyperlink r:id="rId1648" w:history="1">
              <w:r w:rsidRPr="00AE78C0">
                <w:rPr>
                  <w:rStyle w:val="Hyperlink"/>
                  <w:rFonts w:cs="Arial"/>
                  <w:sz w:val="14"/>
                  <w:szCs w:val="16"/>
                  <w:lang w:val="en-GB"/>
                </w:rPr>
                <w:t>25(6)</w:t>
              </w:r>
            </w:hyperlink>
            <w:r>
              <w:rPr>
                <w:rFonts w:cs="Arial"/>
                <w:color w:val="000000"/>
                <w:sz w:val="14"/>
                <w:szCs w:val="16"/>
                <w:lang w:val="en-GB"/>
              </w:rPr>
              <w:t xml:space="preserve"> and </w:t>
            </w:r>
            <w:hyperlink r:id="rId1649" w:history="1">
              <w:r w:rsidRPr="00AE78C0">
                <w:rPr>
                  <w:rStyle w:val="Hyperlink"/>
                  <w:rFonts w:cs="Arial"/>
                  <w:sz w:val="14"/>
                  <w:szCs w:val="16"/>
                  <w:lang w:val="en-GB"/>
                </w:rPr>
                <w:t>regulation 15</w:t>
              </w:r>
            </w:hyperlink>
          </w:p>
        </w:tc>
        <w:tc>
          <w:tcPr>
            <w:tcW w:w="1954" w:type="dxa"/>
            <w:shd w:val="clear" w:color="auto" w:fill="FFC9C9"/>
            <w:tcMar>
              <w:top w:w="80" w:type="dxa"/>
              <w:left w:w="80" w:type="dxa"/>
              <w:bottom w:w="80" w:type="dxa"/>
              <w:right w:w="80" w:type="dxa"/>
            </w:tcMar>
          </w:tcPr>
          <w:p w14:paraId="0FC39038" w14:textId="445ECFC2" w:rsidR="00A37EB0" w:rsidRPr="00A37EB0" w:rsidRDefault="00A7538C" w:rsidP="00292A53">
            <w:pPr>
              <w:spacing w:after="60"/>
              <w:rPr>
                <w:rFonts w:cs="Arial"/>
                <w:color w:val="000000"/>
                <w:sz w:val="14"/>
                <w:szCs w:val="16"/>
                <w:lang w:val="en-GB"/>
              </w:rPr>
            </w:pPr>
            <w:hyperlink r:id="rId1650" w:history="1">
              <w:r w:rsidR="00A37EB0" w:rsidRPr="00A37EB0">
                <w:rPr>
                  <w:rFonts w:cs="Arial"/>
                  <w:color w:val="0000FF"/>
                  <w:sz w:val="14"/>
                  <w:szCs w:val="16"/>
                  <w:u w:val="single"/>
                </w:rPr>
                <w:t>Return to Work Coordinator Functions</w:t>
              </w:r>
            </w:hyperlink>
          </w:p>
        </w:tc>
      </w:tr>
      <w:tr w:rsidR="00A37EB0" w:rsidRPr="00A37EB0" w14:paraId="6774C667" w14:textId="77777777" w:rsidTr="00B2173F">
        <w:tc>
          <w:tcPr>
            <w:tcW w:w="1343" w:type="dxa"/>
            <w:tcMar>
              <w:top w:w="80" w:type="dxa"/>
              <w:left w:w="80" w:type="dxa"/>
              <w:bottom w:w="80" w:type="dxa"/>
              <w:right w:w="80" w:type="dxa"/>
            </w:tcMar>
          </w:tcPr>
          <w:p w14:paraId="4826B1EA"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Tasmania</w:t>
            </w:r>
          </w:p>
        </w:tc>
        <w:tc>
          <w:tcPr>
            <w:tcW w:w="1953" w:type="dxa"/>
            <w:tcMar>
              <w:top w:w="80" w:type="dxa"/>
              <w:left w:w="80" w:type="dxa"/>
              <w:bottom w:w="80" w:type="dxa"/>
              <w:right w:w="80" w:type="dxa"/>
            </w:tcMar>
          </w:tcPr>
          <w:p w14:paraId="0F843321" w14:textId="3EEF25C4" w:rsidR="00A37EB0" w:rsidRDefault="00BB3C4A" w:rsidP="00292A53">
            <w:pPr>
              <w:spacing w:after="60"/>
              <w:contextualSpacing/>
              <w:rPr>
                <w:rFonts w:cs="Arial"/>
                <w:color w:val="000000"/>
                <w:sz w:val="14"/>
                <w:szCs w:val="16"/>
                <w:lang w:val="en-GB"/>
              </w:rPr>
            </w:pPr>
            <w:r>
              <w:rPr>
                <w:rFonts w:cs="Arial"/>
                <w:color w:val="000000"/>
                <w:sz w:val="14"/>
                <w:szCs w:val="16"/>
                <w:lang w:val="en-GB"/>
              </w:rPr>
              <w:t>Yes</w:t>
            </w:r>
          </w:p>
          <w:p w14:paraId="7788A9BD" w14:textId="77777777" w:rsidR="00BB3C4A" w:rsidRPr="00A37EB0" w:rsidRDefault="00BB3C4A" w:rsidP="00292A53">
            <w:pPr>
              <w:spacing w:after="60"/>
              <w:contextualSpacing/>
              <w:rPr>
                <w:rFonts w:cs="Arial"/>
                <w:color w:val="000000"/>
                <w:sz w:val="14"/>
                <w:szCs w:val="16"/>
                <w:lang w:val="en-GB"/>
              </w:rPr>
            </w:pPr>
          </w:p>
          <w:p w14:paraId="7AB76260" w14:textId="78A81673" w:rsidR="00BB3C4A" w:rsidRDefault="00A37EB0" w:rsidP="00292A53">
            <w:pPr>
              <w:spacing w:after="60"/>
              <w:contextualSpacing/>
              <w:rPr>
                <w:rFonts w:cs="Arial"/>
                <w:color w:val="000000"/>
                <w:sz w:val="14"/>
                <w:szCs w:val="16"/>
                <w:lang w:val="en-GB"/>
              </w:rPr>
            </w:pPr>
            <w:r w:rsidRPr="00A37EB0">
              <w:rPr>
                <w:rFonts w:cs="Arial"/>
                <w:color w:val="000000"/>
                <w:sz w:val="14"/>
                <w:szCs w:val="16"/>
                <w:lang w:val="en-GB"/>
              </w:rPr>
              <w:t xml:space="preserve">Insurers and employers are required to ensure that there is an approved Injury Management Program in place in respect of each employer and to comply with it — </w:t>
            </w:r>
            <w:hyperlink r:id="rId1651" w:history="1">
              <w:r w:rsidRPr="00A37EB0">
                <w:rPr>
                  <w:rFonts w:cs="Arial"/>
                  <w:color w:val="0000FF"/>
                  <w:sz w:val="14"/>
                  <w:szCs w:val="16"/>
                  <w:u w:val="single"/>
                  <w:lang w:val="en-GB"/>
                </w:rPr>
                <w:t>s142</w:t>
              </w:r>
            </w:hyperlink>
            <w:r w:rsidR="007C1F5E" w:rsidRPr="007C1F5E">
              <w:rPr>
                <w:sz w:val="14"/>
              </w:rPr>
              <w:t>,</w:t>
            </w:r>
            <w:r w:rsidR="007C1F5E">
              <w:rPr>
                <w:i/>
                <w:sz w:val="14"/>
              </w:rPr>
              <w:t xml:space="preserve"> </w:t>
            </w:r>
            <w:r w:rsidR="007C1F5E" w:rsidRPr="00016069">
              <w:rPr>
                <w:i/>
                <w:sz w:val="14"/>
              </w:rPr>
              <w:t>Workers Rehabilitation and Compensation Act 1988</w:t>
            </w:r>
          </w:p>
          <w:p w14:paraId="0F90E714" w14:textId="77777777" w:rsidR="00BB3C4A" w:rsidRDefault="00BB3C4A" w:rsidP="00292A53">
            <w:pPr>
              <w:spacing w:after="60"/>
              <w:contextualSpacing/>
              <w:rPr>
                <w:rFonts w:cs="Arial"/>
                <w:color w:val="000000"/>
                <w:sz w:val="14"/>
                <w:szCs w:val="16"/>
                <w:lang w:val="en-GB"/>
              </w:rPr>
            </w:pPr>
          </w:p>
          <w:p w14:paraId="5DAA39A6" w14:textId="6845F535"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 xml:space="preserve">The approval process for Injury Management Programs is in </w:t>
            </w:r>
            <w:hyperlink r:id="rId1652" w:history="1">
              <w:r w:rsidRPr="00A37EB0">
                <w:rPr>
                  <w:rFonts w:cs="Arial"/>
                  <w:color w:val="0000FF"/>
                  <w:sz w:val="14"/>
                  <w:szCs w:val="16"/>
                  <w:u w:val="single"/>
                  <w:lang w:val="en-GB"/>
                </w:rPr>
                <w:t>s143</w:t>
              </w:r>
            </w:hyperlink>
          </w:p>
        </w:tc>
        <w:tc>
          <w:tcPr>
            <w:tcW w:w="1953" w:type="dxa"/>
            <w:tcMar>
              <w:top w:w="80" w:type="dxa"/>
              <w:left w:w="80" w:type="dxa"/>
              <w:bottom w:w="80" w:type="dxa"/>
              <w:right w:w="80" w:type="dxa"/>
            </w:tcMar>
          </w:tcPr>
          <w:p w14:paraId="66728C24" w14:textId="44FDB51E"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53771E10" w14:textId="42F97F93"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1BC9359D" w14:textId="11C0FF30" w:rsid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 xml:space="preserve">The WorkCover Tasmania Board can issue Guidelines setting out the matters to be included in an Injury Management Program — </w:t>
            </w:r>
            <w:hyperlink r:id="rId1653" w:history="1">
              <w:r w:rsidRPr="00A37EB0">
                <w:rPr>
                  <w:rFonts w:cs="Arial"/>
                  <w:color w:val="0000FF"/>
                  <w:sz w:val="14"/>
                  <w:szCs w:val="16"/>
                  <w:u w:val="single"/>
                  <w:lang w:val="en-GB"/>
                </w:rPr>
                <w:t>s142(1)</w:t>
              </w:r>
            </w:hyperlink>
          </w:p>
          <w:p w14:paraId="340A806C" w14:textId="77777777" w:rsidR="00BB3C4A" w:rsidRPr="00A37EB0" w:rsidRDefault="00BB3C4A" w:rsidP="00292A53">
            <w:pPr>
              <w:spacing w:after="60"/>
              <w:contextualSpacing/>
              <w:rPr>
                <w:rFonts w:cs="Arial"/>
                <w:color w:val="000000"/>
                <w:sz w:val="14"/>
                <w:szCs w:val="16"/>
                <w:lang w:val="en-GB"/>
              </w:rPr>
            </w:pPr>
          </w:p>
          <w:p w14:paraId="111A8DCC" w14:textId="250849D7"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The Guidelines state that an Injury Management Program should be developed i</w:t>
            </w:r>
            <w:r w:rsidR="00BB3C4A">
              <w:rPr>
                <w:rFonts w:cs="Arial"/>
                <w:color w:val="000000"/>
                <w:sz w:val="14"/>
                <w:szCs w:val="16"/>
                <w:lang w:val="en-GB"/>
              </w:rPr>
              <w:t>n consultation with all parties</w:t>
            </w:r>
          </w:p>
        </w:tc>
        <w:tc>
          <w:tcPr>
            <w:tcW w:w="1953" w:type="dxa"/>
            <w:tcMar>
              <w:top w:w="80" w:type="dxa"/>
              <w:left w:w="80" w:type="dxa"/>
              <w:bottom w:w="80" w:type="dxa"/>
              <w:right w:w="80" w:type="dxa"/>
            </w:tcMar>
          </w:tcPr>
          <w:p w14:paraId="42BE82B5" w14:textId="1D67EACF"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The Guidelines indicate that an Injury Management Program should be readily available in the employer’s workplace where the w</w:t>
            </w:r>
            <w:r w:rsidR="00BB3C4A">
              <w:rPr>
                <w:rFonts w:cs="Arial"/>
                <w:color w:val="000000"/>
                <w:sz w:val="14"/>
                <w:szCs w:val="16"/>
                <w:lang w:val="en-GB"/>
              </w:rPr>
              <w:t>orkers can readily refer to it</w:t>
            </w:r>
          </w:p>
        </w:tc>
        <w:tc>
          <w:tcPr>
            <w:tcW w:w="1953" w:type="dxa"/>
            <w:tcMar>
              <w:top w:w="80" w:type="dxa"/>
              <w:left w:w="80" w:type="dxa"/>
              <w:bottom w:w="80" w:type="dxa"/>
              <w:right w:w="80" w:type="dxa"/>
            </w:tcMar>
          </w:tcPr>
          <w:p w14:paraId="21A92B0E" w14:textId="77777777"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 xml:space="preserve">Injury Management Program should include: </w:t>
            </w:r>
          </w:p>
          <w:p w14:paraId="71E56EA2" w14:textId="77777777" w:rsidR="00A37EB0" w:rsidRPr="00EE51BE" w:rsidRDefault="00A37EB0" w:rsidP="00F839DB">
            <w:pPr>
              <w:pStyle w:val="ListParagraph"/>
              <w:numPr>
                <w:ilvl w:val="0"/>
                <w:numId w:val="223"/>
              </w:numPr>
              <w:spacing w:after="60"/>
              <w:contextualSpacing/>
              <w:rPr>
                <w:rFonts w:eastAsia="Calibri" w:cs="Arial"/>
                <w:sz w:val="14"/>
                <w:szCs w:val="14"/>
                <w:lang w:eastAsia="en-US"/>
              </w:rPr>
            </w:pPr>
            <w:r w:rsidRPr="00EE51BE">
              <w:rPr>
                <w:rFonts w:eastAsia="Calibri" w:cs="Arial"/>
                <w:sz w:val="14"/>
                <w:szCs w:val="14"/>
                <w:lang w:eastAsia="en-US"/>
              </w:rPr>
              <w:t>an injury management policy, including:</w:t>
            </w:r>
          </w:p>
          <w:p w14:paraId="09D21FB0" w14:textId="77777777" w:rsidR="00A37EB0" w:rsidRPr="00EE51BE" w:rsidRDefault="00A37EB0" w:rsidP="00F839DB">
            <w:pPr>
              <w:pStyle w:val="ListParagraph"/>
              <w:numPr>
                <w:ilvl w:val="0"/>
                <w:numId w:val="224"/>
              </w:numPr>
              <w:spacing w:after="60"/>
              <w:contextualSpacing/>
              <w:rPr>
                <w:rFonts w:cs="Arial"/>
                <w:color w:val="000000"/>
                <w:sz w:val="14"/>
                <w:szCs w:val="16"/>
                <w:lang w:val="en-GB"/>
              </w:rPr>
            </w:pPr>
            <w:r w:rsidRPr="00EE51BE">
              <w:rPr>
                <w:rFonts w:cs="Arial"/>
                <w:color w:val="000000"/>
                <w:sz w:val="14"/>
                <w:szCs w:val="16"/>
                <w:lang w:val="en-GB"/>
              </w:rPr>
              <w:t>statement of commitment and objectives; and</w:t>
            </w:r>
          </w:p>
          <w:p w14:paraId="5D164687" w14:textId="77777777" w:rsidR="00A37EB0" w:rsidRPr="00EE51BE" w:rsidRDefault="00A37EB0" w:rsidP="00F839DB">
            <w:pPr>
              <w:pStyle w:val="ListParagraph"/>
              <w:numPr>
                <w:ilvl w:val="0"/>
                <w:numId w:val="224"/>
              </w:numPr>
              <w:spacing w:after="60"/>
              <w:contextualSpacing/>
              <w:rPr>
                <w:rFonts w:cs="Arial"/>
                <w:color w:val="000000"/>
                <w:sz w:val="14"/>
                <w:szCs w:val="16"/>
                <w:lang w:val="en-GB"/>
              </w:rPr>
            </w:pPr>
            <w:r w:rsidRPr="00EE51BE">
              <w:rPr>
                <w:rFonts w:cs="Arial"/>
                <w:color w:val="000000"/>
                <w:sz w:val="14"/>
                <w:szCs w:val="16"/>
                <w:lang w:val="en-GB"/>
              </w:rPr>
              <w:t>statement of roles and responsibilities of all parties</w:t>
            </w:r>
          </w:p>
          <w:p w14:paraId="3A9C8D99" w14:textId="77777777" w:rsidR="00A37EB0" w:rsidRPr="00EE51BE" w:rsidRDefault="00A37EB0" w:rsidP="00F839DB">
            <w:pPr>
              <w:pStyle w:val="ListParagraph"/>
              <w:numPr>
                <w:ilvl w:val="0"/>
                <w:numId w:val="224"/>
              </w:numPr>
              <w:spacing w:after="60"/>
              <w:ind w:left="357" w:hanging="357"/>
              <w:rPr>
                <w:rFonts w:cs="Arial"/>
                <w:color w:val="000000"/>
                <w:sz w:val="14"/>
                <w:szCs w:val="16"/>
                <w:lang w:val="en-GB"/>
              </w:rPr>
            </w:pPr>
            <w:r w:rsidRPr="00EE51BE">
              <w:rPr>
                <w:rFonts w:cs="Arial"/>
                <w:color w:val="000000"/>
                <w:sz w:val="14"/>
                <w:szCs w:val="16"/>
                <w:lang w:val="en-GB"/>
              </w:rPr>
              <w:t>procedures in relation to information and communication management</w:t>
            </w:r>
            <w:r w:rsidR="00ED0F63">
              <w:rPr>
                <w:rFonts w:cs="Arial"/>
                <w:color w:val="000000"/>
                <w:sz w:val="14"/>
                <w:szCs w:val="16"/>
                <w:lang w:val="en-GB"/>
              </w:rPr>
              <w:t>.</w:t>
            </w:r>
            <w:r w:rsidRPr="00EE51BE">
              <w:rPr>
                <w:rFonts w:cs="Arial"/>
                <w:color w:val="000000"/>
                <w:sz w:val="14"/>
                <w:szCs w:val="16"/>
                <w:lang w:val="en-GB"/>
              </w:rPr>
              <w:t xml:space="preserve"> </w:t>
            </w:r>
          </w:p>
          <w:p w14:paraId="22F0F748" w14:textId="77777777" w:rsidR="00A37EB0" w:rsidRPr="00EE51BE" w:rsidRDefault="00A37EB0" w:rsidP="00F839DB">
            <w:pPr>
              <w:pStyle w:val="ListParagraph"/>
              <w:numPr>
                <w:ilvl w:val="0"/>
                <w:numId w:val="223"/>
              </w:numPr>
              <w:spacing w:after="60"/>
              <w:contextualSpacing/>
              <w:rPr>
                <w:rFonts w:eastAsia="Calibri" w:cs="Arial"/>
                <w:sz w:val="14"/>
                <w:szCs w:val="14"/>
                <w:lang w:eastAsia="en-US"/>
              </w:rPr>
            </w:pPr>
            <w:r w:rsidRPr="00EE51BE">
              <w:rPr>
                <w:rFonts w:eastAsia="Calibri" w:cs="Arial"/>
                <w:sz w:val="14"/>
                <w:szCs w:val="14"/>
                <w:lang w:eastAsia="en-US"/>
              </w:rPr>
              <w:t>procedures for managing the roles of Injury Management Co</w:t>
            </w:r>
            <w:r w:rsidRPr="00EE51BE">
              <w:rPr>
                <w:rFonts w:eastAsia="Calibri" w:cs="Arial"/>
                <w:sz w:val="14"/>
                <w:szCs w:val="14"/>
                <w:lang w:eastAsia="en-US"/>
              </w:rPr>
              <w:noBreakHyphen/>
              <w:t xml:space="preserve">ordinator, </w:t>
            </w:r>
            <w:r w:rsidRPr="00EE51BE">
              <w:rPr>
                <w:rFonts w:eastAsia="Calibri" w:cs="Arial"/>
                <w:sz w:val="14"/>
                <w:szCs w:val="14"/>
                <w:lang w:eastAsia="en-US"/>
              </w:rPr>
              <w:lastRenderedPageBreak/>
              <w:t>Workplace Rehabilitation Provider and Return to Work Co</w:t>
            </w:r>
            <w:r w:rsidRPr="00EE51BE">
              <w:rPr>
                <w:rFonts w:eastAsia="Calibri" w:cs="Arial"/>
                <w:sz w:val="14"/>
                <w:szCs w:val="14"/>
                <w:lang w:eastAsia="en-US"/>
              </w:rPr>
              <w:noBreakHyphen/>
              <w:t>ordinator</w:t>
            </w:r>
          </w:p>
          <w:p w14:paraId="114B50B0" w14:textId="77777777" w:rsidR="00A37EB0" w:rsidRPr="00EE51BE" w:rsidRDefault="00A37EB0" w:rsidP="00F839DB">
            <w:pPr>
              <w:pStyle w:val="ListParagraph"/>
              <w:numPr>
                <w:ilvl w:val="0"/>
                <w:numId w:val="223"/>
              </w:numPr>
              <w:spacing w:after="60"/>
              <w:contextualSpacing/>
              <w:rPr>
                <w:rFonts w:eastAsia="Calibri" w:cs="Arial"/>
                <w:sz w:val="14"/>
                <w:szCs w:val="14"/>
                <w:lang w:eastAsia="en-US"/>
              </w:rPr>
            </w:pPr>
            <w:r w:rsidRPr="00EE51BE">
              <w:rPr>
                <w:rFonts w:eastAsia="Calibri" w:cs="Arial"/>
                <w:sz w:val="14"/>
                <w:szCs w:val="14"/>
                <w:lang w:eastAsia="en-US"/>
              </w:rPr>
              <w:t xml:space="preserve">mechanisms to facilitate early reporting and intervention of injuries/claims and procedures relating to medical management. </w:t>
            </w:r>
          </w:p>
          <w:p w14:paraId="11632703" w14:textId="77777777" w:rsidR="00A37EB0" w:rsidRPr="00EE51BE" w:rsidRDefault="00A37EB0" w:rsidP="00F839DB">
            <w:pPr>
              <w:pStyle w:val="ListParagraph"/>
              <w:numPr>
                <w:ilvl w:val="0"/>
                <w:numId w:val="223"/>
              </w:numPr>
              <w:spacing w:after="60"/>
              <w:contextualSpacing/>
              <w:rPr>
                <w:rFonts w:eastAsia="Calibri" w:cs="Arial"/>
                <w:sz w:val="14"/>
                <w:szCs w:val="14"/>
                <w:lang w:eastAsia="en-US"/>
              </w:rPr>
            </w:pPr>
            <w:r w:rsidRPr="00EE51BE">
              <w:rPr>
                <w:rFonts w:eastAsia="Calibri" w:cs="Arial"/>
                <w:sz w:val="14"/>
                <w:szCs w:val="14"/>
                <w:lang w:eastAsia="en-US"/>
              </w:rPr>
              <w:t>policy for the management of employer injury management programs (licensed insurers only).</w:t>
            </w:r>
          </w:p>
          <w:p w14:paraId="23DC64F9" w14:textId="77777777" w:rsidR="00A37EB0" w:rsidRPr="00EE51BE" w:rsidRDefault="00A37EB0" w:rsidP="00F839DB">
            <w:pPr>
              <w:pStyle w:val="ListParagraph"/>
              <w:numPr>
                <w:ilvl w:val="0"/>
                <w:numId w:val="223"/>
              </w:numPr>
              <w:spacing w:after="60"/>
              <w:contextualSpacing/>
              <w:rPr>
                <w:rFonts w:eastAsia="Calibri" w:cs="Arial"/>
                <w:sz w:val="14"/>
                <w:szCs w:val="14"/>
                <w:lang w:eastAsia="en-US"/>
              </w:rPr>
            </w:pPr>
            <w:r w:rsidRPr="00EE51BE">
              <w:rPr>
                <w:rFonts w:eastAsia="Calibri" w:cs="Arial"/>
                <w:sz w:val="14"/>
                <w:szCs w:val="14"/>
                <w:lang w:eastAsia="en-US"/>
              </w:rPr>
              <w:t>Return to work and alternative duties management plans.</w:t>
            </w:r>
          </w:p>
        </w:tc>
        <w:tc>
          <w:tcPr>
            <w:tcW w:w="1954" w:type="dxa"/>
            <w:tcMar>
              <w:top w:w="80" w:type="dxa"/>
              <w:left w:w="80" w:type="dxa"/>
              <w:bottom w:w="80" w:type="dxa"/>
              <w:right w:w="80" w:type="dxa"/>
            </w:tcMar>
          </w:tcPr>
          <w:p w14:paraId="591A77DA" w14:textId="6A978FDE" w:rsidR="00A37EB0" w:rsidRPr="00A37EB0" w:rsidRDefault="00A7538C" w:rsidP="00292A53">
            <w:pPr>
              <w:spacing w:after="60"/>
              <w:contextualSpacing/>
              <w:rPr>
                <w:rFonts w:cs="Arial"/>
                <w:color w:val="000000"/>
                <w:sz w:val="14"/>
                <w:szCs w:val="16"/>
                <w:lang w:val="en-GB"/>
              </w:rPr>
            </w:pPr>
            <w:hyperlink r:id="rId1654" w:history="1">
              <w:r w:rsidR="00A37EB0" w:rsidRPr="00A37EB0">
                <w:rPr>
                  <w:rFonts w:cs="Arial"/>
                  <w:color w:val="0000FF"/>
                  <w:sz w:val="14"/>
                  <w:szCs w:val="16"/>
                  <w:u w:val="single"/>
                  <w:lang w:val="en-GB"/>
                </w:rPr>
                <w:t>Guidelines for developing an Injury Management Program</w:t>
              </w:r>
            </w:hyperlink>
          </w:p>
        </w:tc>
      </w:tr>
      <w:tr w:rsidR="00A37EB0" w:rsidRPr="00A37EB0" w14:paraId="46BA3FD2" w14:textId="77777777" w:rsidTr="00B2173F">
        <w:tc>
          <w:tcPr>
            <w:tcW w:w="1343" w:type="dxa"/>
            <w:shd w:val="clear" w:color="auto" w:fill="FFC9C9"/>
            <w:tcMar>
              <w:top w:w="80" w:type="dxa"/>
              <w:left w:w="80" w:type="dxa"/>
              <w:bottom w:w="80" w:type="dxa"/>
              <w:right w:w="80" w:type="dxa"/>
            </w:tcMar>
          </w:tcPr>
          <w:p w14:paraId="05EC3FF4"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Northern Territory</w:t>
            </w:r>
          </w:p>
        </w:tc>
        <w:tc>
          <w:tcPr>
            <w:tcW w:w="1953" w:type="dxa"/>
            <w:shd w:val="clear" w:color="auto" w:fill="FFC9C9"/>
            <w:tcMar>
              <w:top w:w="80" w:type="dxa"/>
              <w:left w:w="80" w:type="dxa"/>
              <w:bottom w:w="80" w:type="dxa"/>
              <w:right w:w="80" w:type="dxa"/>
            </w:tcMar>
          </w:tcPr>
          <w:p w14:paraId="535E21A5" w14:textId="222C209A"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5D3DA502" w14:textId="781EEEAE" w:rsidR="00A37EB0" w:rsidRPr="007C1F5E" w:rsidRDefault="00A37EB0" w:rsidP="00CF00CF">
            <w:pPr>
              <w:spacing w:after="60"/>
              <w:rPr>
                <w:rFonts w:cs="Arial"/>
                <w:i/>
                <w:color w:val="000000"/>
                <w:sz w:val="14"/>
                <w:szCs w:val="16"/>
                <w:lang w:val="en-GB"/>
              </w:rPr>
            </w:pPr>
            <w:r w:rsidRPr="00A37EB0">
              <w:rPr>
                <w:rFonts w:cs="Arial"/>
                <w:color w:val="000000"/>
                <w:sz w:val="14"/>
                <w:szCs w:val="16"/>
                <w:lang w:val="en-GB"/>
              </w:rPr>
              <w:t xml:space="preserve">Where worker likely to be incapacitated for more than 28 days, the employer must give the worker a proposal in writing for a return to work plan </w:t>
            </w:r>
            <w:r w:rsidR="00CF00CF">
              <w:rPr>
                <w:rFonts w:cs="Arial"/>
                <w:color w:val="000000"/>
                <w:sz w:val="14"/>
                <w:szCs w:val="16"/>
                <w:lang w:val="en-GB"/>
              </w:rPr>
              <w:t>—</w:t>
            </w:r>
            <w:r w:rsidR="00CF00CF" w:rsidRPr="00A37EB0">
              <w:rPr>
                <w:rFonts w:cs="Arial"/>
                <w:color w:val="000000"/>
                <w:sz w:val="14"/>
                <w:szCs w:val="16"/>
                <w:lang w:val="en-GB"/>
              </w:rPr>
              <w:t xml:space="preserve"> </w:t>
            </w:r>
            <w:hyperlink r:id="rId1655" w:history="1">
              <w:r w:rsidRPr="007C1F5E">
                <w:rPr>
                  <w:rStyle w:val="Hyperlink"/>
                  <w:rFonts w:cs="Arial"/>
                  <w:sz w:val="14"/>
                  <w:szCs w:val="16"/>
                  <w:lang w:val="en-GB"/>
                </w:rPr>
                <w:t>s75A(1)(c)</w:t>
              </w:r>
            </w:hyperlink>
            <w:r w:rsidR="007C1F5E">
              <w:rPr>
                <w:rFonts w:cs="Arial"/>
                <w:color w:val="000000"/>
                <w:sz w:val="14"/>
                <w:szCs w:val="16"/>
                <w:lang w:val="en-GB"/>
              </w:rPr>
              <w:t xml:space="preserve">, </w:t>
            </w:r>
            <w:r w:rsidR="007C1F5E">
              <w:rPr>
                <w:rFonts w:cs="Arial"/>
                <w:i/>
                <w:color w:val="000000"/>
                <w:sz w:val="14"/>
                <w:szCs w:val="16"/>
                <w:lang w:val="en-GB"/>
              </w:rPr>
              <w:t>Return to Work Act</w:t>
            </w:r>
          </w:p>
        </w:tc>
        <w:tc>
          <w:tcPr>
            <w:tcW w:w="1953" w:type="dxa"/>
            <w:shd w:val="clear" w:color="auto" w:fill="FFC9C9"/>
            <w:tcMar>
              <w:top w:w="80" w:type="dxa"/>
              <w:left w:w="80" w:type="dxa"/>
              <w:bottom w:w="80" w:type="dxa"/>
              <w:right w:w="80" w:type="dxa"/>
            </w:tcMar>
          </w:tcPr>
          <w:p w14:paraId="20F0376A" w14:textId="5135DE5A"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No</w:t>
            </w:r>
          </w:p>
        </w:tc>
        <w:tc>
          <w:tcPr>
            <w:tcW w:w="1953" w:type="dxa"/>
            <w:shd w:val="clear" w:color="auto" w:fill="FFC9C9"/>
            <w:tcMar>
              <w:top w:w="80" w:type="dxa"/>
              <w:left w:w="80" w:type="dxa"/>
              <w:bottom w:w="80" w:type="dxa"/>
              <w:right w:w="80" w:type="dxa"/>
            </w:tcMar>
          </w:tcPr>
          <w:p w14:paraId="3A8A9063" w14:textId="571EC4EF"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tc>
        <w:tc>
          <w:tcPr>
            <w:tcW w:w="1953" w:type="dxa"/>
            <w:shd w:val="clear" w:color="auto" w:fill="FFC9C9"/>
            <w:tcMar>
              <w:top w:w="80" w:type="dxa"/>
              <w:left w:w="80" w:type="dxa"/>
              <w:bottom w:w="80" w:type="dxa"/>
              <w:right w:w="80" w:type="dxa"/>
            </w:tcMar>
          </w:tcPr>
          <w:p w14:paraId="70D1E640" w14:textId="1CA675BD"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3F7B1F9C" w14:textId="0E09EE04" w:rsidR="00A37EB0" w:rsidRPr="00A37EB0" w:rsidRDefault="00A37EB0" w:rsidP="00CF00CF">
            <w:pPr>
              <w:spacing w:after="60"/>
              <w:rPr>
                <w:rFonts w:cs="Arial"/>
                <w:color w:val="000000"/>
                <w:sz w:val="14"/>
                <w:szCs w:val="16"/>
                <w:lang w:val="en-GB"/>
              </w:rPr>
            </w:pPr>
            <w:r w:rsidRPr="00A37EB0">
              <w:rPr>
                <w:rFonts w:cs="Arial"/>
                <w:color w:val="000000"/>
                <w:sz w:val="14"/>
                <w:szCs w:val="16"/>
                <w:lang w:val="en-GB"/>
              </w:rPr>
              <w:t>Where worker likely to be incapacitated for more than 28 days, the employer must give the worker a proposal in writing for a r</w:t>
            </w:r>
            <w:r w:rsidR="00BB3C4A">
              <w:rPr>
                <w:rFonts w:cs="Arial"/>
                <w:color w:val="000000"/>
                <w:sz w:val="14"/>
                <w:szCs w:val="16"/>
                <w:lang w:val="en-GB"/>
              </w:rPr>
              <w:t xml:space="preserve">eturn to work plan </w:t>
            </w:r>
            <w:r w:rsidR="00CF00CF">
              <w:rPr>
                <w:rFonts w:cs="Arial"/>
                <w:color w:val="000000"/>
                <w:sz w:val="14"/>
                <w:szCs w:val="16"/>
                <w:lang w:val="en-GB"/>
              </w:rPr>
              <w:t xml:space="preserve">— </w:t>
            </w:r>
            <w:hyperlink r:id="rId1656" w:history="1">
              <w:r w:rsidR="00BB3C4A" w:rsidRPr="007C1F5E">
                <w:rPr>
                  <w:rStyle w:val="Hyperlink"/>
                  <w:rFonts w:cs="Arial"/>
                  <w:sz w:val="14"/>
                  <w:szCs w:val="16"/>
                  <w:lang w:val="en-GB"/>
                </w:rPr>
                <w:t>s75A(1)(c)</w:t>
              </w:r>
            </w:hyperlink>
          </w:p>
        </w:tc>
        <w:tc>
          <w:tcPr>
            <w:tcW w:w="1953" w:type="dxa"/>
            <w:shd w:val="clear" w:color="auto" w:fill="FFC9C9"/>
            <w:tcMar>
              <w:top w:w="80" w:type="dxa"/>
              <w:left w:w="80" w:type="dxa"/>
              <w:bottom w:w="80" w:type="dxa"/>
              <w:right w:w="80" w:type="dxa"/>
            </w:tcMar>
          </w:tcPr>
          <w:p w14:paraId="71786EF9" w14:textId="4A2ED546" w:rsidR="00A37EB0" w:rsidRPr="00A37EB0" w:rsidRDefault="00BB3C4A" w:rsidP="00292A53">
            <w:pPr>
              <w:spacing w:after="60"/>
              <w:rPr>
                <w:rFonts w:cs="Arial"/>
                <w:color w:val="000000"/>
                <w:sz w:val="14"/>
                <w:szCs w:val="16"/>
                <w:lang w:val="en-GB"/>
              </w:rPr>
            </w:pPr>
            <w:r>
              <w:rPr>
                <w:rFonts w:cs="Arial"/>
                <w:color w:val="000000"/>
                <w:sz w:val="14"/>
                <w:szCs w:val="16"/>
                <w:lang w:val="en-GB"/>
              </w:rPr>
              <w:t>Not legislated</w:t>
            </w:r>
          </w:p>
        </w:tc>
        <w:tc>
          <w:tcPr>
            <w:tcW w:w="1953" w:type="dxa"/>
            <w:shd w:val="clear" w:color="auto" w:fill="FFC9C9"/>
            <w:tcMar>
              <w:top w:w="80" w:type="dxa"/>
              <w:left w:w="80" w:type="dxa"/>
              <w:bottom w:w="80" w:type="dxa"/>
              <w:right w:w="80" w:type="dxa"/>
            </w:tcMar>
          </w:tcPr>
          <w:p w14:paraId="3446355A" w14:textId="2634643B" w:rsidR="00A37EB0" w:rsidRPr="00A37EB0" w:rsidRDefault="00BB3C4A" w:rsidP="00292A53">
            <w:pPr>
              <w:spacing w:after="60"/>
              <w:rPr>
                <w:rFonts w:cs="Arial"/>
                <w:color w:val="000000"/>
                <w:sz w:val="14"/>
                <w:szCs w:val="16"/>
                <w:lang w:val="en-GB"/>
              </w:rPr>
            </w:pPr>
            <w:r>
              <w:rPr>
                <w:rFonts w:cs="Arial"/>
                <w:color w:val="000000"/>
                <w:sz w:val="14"/>
                <w:szCs w:val="16"/>
                <w:lang w:val="en-GB"/>
              </w:rPr>
              <w:t>Not legislated</w:t>
            </w:r>
          </w:p>
        </w:tc>
        <w:tc>
          <w:tcPr>
            <w:tcW w:w="1954" w:type="dxa"/>
            <w:shd w:val="clear" w:color="auto" w:fill="FFC9C9"/>
            <w:tcMar>
              <w:top w:w="80" w:type="dxa"/>
              <w:left w:w="80" w:type="dxa"/>
              <w:bottom w:w="80" w:type="dxa"/>
              <w:right w:w="80" w:type="dxa"/>
            </w:tcMar>
          </w:tcPr>
          <w:p w14:paraId="047990F2" w14:textId="6DB28530" w:rsidR="00A37EB0" w:rsidRPr="00A37EB0" w:rsidRDefault="00A7538C" w:rsidP="00292A53">
            <w:pPr>
              <w:spacing w:after="60"/>
              <w:rPr>
                <w:rFonts w:cs="Arial"/>
                <w:color w:val="000000"/>
                <w:sz w:val="14"/>
                <w:szCs w:val="16"/>
                <w:lang w:val="en-GB"/>
              </w:rPr>
            </w:pPr>
            <w:hyperlink r:id="rId1657" w:history="1">
              <w:r w:rsidR="004C4EB2" w:rsidRPr="002C0908">
                <w:rPr>
                  <w:rStyle w:val="Hyperlink"/>
                  <w:rFonts w:cs="Arial"/>
                  <w:sz w:val="14"/>
                  <w:szCs w:val="16"/>
                  <w:lang w:val="en-GB"/>
                </w:rPr>
                <w:t>Return to Work Plans</w:t>
              </w:r>
            </w:hyperlink>
          </w:p>
        </w:tc>
      </w:tr>
      <w:tr w:rsidR="00A37EB0" w:rsidRPr="00A37EB0" w14:paraId="35AE573F" w14:textId="77777777" w:rsidTr="00B2173F">
        <w:tc>
          <w:tcPr>
            <w:tcW w:w="1343" w:type="dxa"/>
            <w:tcMar>
              <w:top w:w="80" w:type="dxa"/>
              <w:left w:w="80" w:type="dxa"/>
              <w:bottom w:w="80" w:type="dxa"/>
              <w:right w:w="80" w:type="dxa"/>
            </w:tcMar>
          </w:tcPr>
          <w:p w14:paraId="722F460F"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Australian Capital Territory</w:t>
            </w:r>
          </w:p>
        </w:tc>
        <w:tc>
          <w:tcPr>
            <w:tcW w:w="1953" w:type="dxa"/>
            <w:tcMar>
              <w:top w:w="80" w:type="dxa"/>
              <w:left w:w="80" w:type="dxa"/>
              <w:bottom w:w="80" w:type="dxa"/>
              <w:right w:w="80" w:type="dxa"/>
            </w:tcMar>
          </w:tcPr>
          <w:p w14:paraId="1A9FA76F" w14:textId="7C3F26EA" w:rsidR="00A37EB0" w:rsidRDefault="00BB3C4A" w:rsidP="00292A53">
            <w:pPr>
              <w:spacing w:after="60"/>
              <w:contextualSpacing/>
              <w:rPr>
                <w:rFonts w:cs="Arial"/>
                <w:color w:val="000000"/>
                <w:sz w:val="14"/>
                <w:szCs w:val="16"/>
                <w:lang w:val="en-GB"/>
              </w:rPr>
            </w:pPr>
            <w:r>
              <w:rPr>
                <w:rFonts w:cs="Arial"/>
                <w:color w:val="000000"/>
                <w:sz w:val="14"/>
                <w:szCs w:val="16"/>
                <w:lang w:val="en-GB"/>
              </w:rPr>
              <w:t>Yes</w:t>
            </w:r>
          </w:p>
          <w:p w14:paraId="1DC4E0F0" w14:textId="77777777" w:rsidR="00BB3C4A" w:rsidRPr="00A37EB0" w:rsidRDefault="00BB3C4A" w:rsidP="00292A53">
            <w:pPr>
              <w:spacing w:after="60"/>
              <w:contextualSpacing/>
              <w:rPr>
                <w:rFonts w:cs="Arial"/>
                <w:color w:val="000000"/>
                <w:sz w:val="14"/>
                <w:szCs w:val="16"/>
                <w:lang w:val="en-GB"/>
              </w:rPr>
            </w:pPr>
          </w:p>
          <w:p w14:paraId="79E71C12" w14:textId="27C2586D" w:rsidR="00A37EB0" w:rsidRPr="00A37EB0" w:rsidRDefault="00A7538C" w:rsidP="00292A53">
            <w:pPr>
              <w:spacing w:after="60"/>
              <w:contextualSpacing/>
              <w:rPr>
                <w:rFonts w:cs="Arial"/>
                <w:color w:val="000000"/>
                <w:sz w:val="14"/>
                <w:szCs w:val="16"/>
                <w:lang w:val="en-GB"/>
              </w:rPr>
            </w:pPr>
            <w:hyperlink r:id="rId1658" w:history="1">
              <w:r w:rsidR="00A37EB0" w:rsidRPr="000C03B7">
                <w:rPr>
                  <w:rStyle w:val="Hyperlink"/>
                  <w:rFonts w:cs="Arial"/>
                  <w:sz w:val="14"/>
                  <w:szCs w:val="16"/>
                  <w:lang w:val="en-GB"/>
                </w:rPr>
                <w:t>s109</w:t>
              </w:r>
            </w:hyperlink>
            <w:r w:rsidR="000C03B7">
              <w:rPr>
                <w:rFonts w:cs="Arial"/>
                <w:color w:val="000000"/>
                <w:sz w:val="14"/>
                <w:szCs w:val="16"/>
                <w:lang w:val="en-GB"/>
              </w:rPr>
              <w:t>,</w:t>
            </w:r>
            <w:r w:rsidR="00A37EB0" w:rsidRPr="00A37EB0">
              <w:rPr>
                <w:rFonts w:cs="Arial"/>
                <w:color w:val="000000"/>
                <w:sz w:val="14"/>
                <w:szCs w:val="16"/>
                <w:lang w:val="en-GB"/>
              </w:rPr>
              <w:t xml:space="preserve"> </w:t>
            </w:r>
            <w:r w:rsidR="00A37EB0" w:rsidRPr="00D41D16">
              <w:rPr>
                <w:rFonts w:cs="Arial"/>
                <w:i/>
                <w:color w:val="000000"/>
                <w:sz w:val="14"/>
                <w:szCs w:val="16"/>
                <w:lang w:val="en-GB"/>
              </w:rPr>
              <w:t>Workers’ Compensation Act</w:t>
            </w:r>
            <w:r w:rsidR="00A37EB0" w:rsidRPr="00A37EB0">
              <w:rPr>
                <w:rFonts w:cs="Arial"/>
                <w:color w:val="000000"/>
                <w:sz w:val="14"/>
                <w:szCs w:val="16"/>
                <w:lang w:val="en-GB"/>
              </w:rPr>
              <w:t xml:space="preserve"> </w:t>
            </w:r>
            <w:r w:rsidR="00A37EB0" w:rsidRPr="00D41D16">
              <w:rPr>
                <w:rFonts w:cs="Arial"/>
                <w:i/>
                <w:color w:val="000000"/>
                <w:sz w:val="14"/>
                <w:szCs w:val="16"/>
                <w:lang w:val="en-GB"/>
              </w:rPr>
              <w:t>1951</w:t>
            </w:r>
          </w:p>
        </w:tc>
        <w:tc>
          <w:tcPr>
            <w:tcW w:w="1953" w:type="dxa"/>
            <w:tcMar>
              <w:top w:w="80" w:type="dxa"/>
              <w:left w:w="80" w:type="dxa"/>
              <w:bottom w:w="80" w:type="dxa"/>
              <w:right w:w="80" w:type="dxa"/>
            </w:tcMar>
          </w:tcPr>
          <w:p w14:paraId="322CDB12" w14:textId="0DD5EF81"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7DDD172E" w14:textId="6351D019"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25CF3128" w14:textId="7F054B1A"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The return to work program must be developed in consultation with: workers to whom it relates, unions representing the workers and approved rehabilitation provide</w:t>
            </w:r>
            <w:r w:rsidR="00344F9F">
              <w:rPr>
                <w:rFonts w:cs="Arial"/>
                <w:color w:val="000000"/>
                <w:sz w:val="14"/>
                <w:szCs w:val="16"/>
                <w:lang w:val="en-GB"/>
              </w:rPr>
              <w:t>rs</w:t>
            </w:r>
            <w:r w:rsidRPr="00A37EB0">
              <w:rPr>
                <w:rFonts w:cs="Arial"/>
                <w:color w:val="000000"/>
                <w:sz w:val="14"/>
                <w:szCs w:val="16"/>
                <w:lang w:val="en-GB"/>
              </w:rPr>
              <w:t xml:space="preserve">. </w:t>
            </w:r>
            <w:r w:rsidR="00CF00CF">
              <w:rPr>
                <w:rFonts w:cs="Arial"/>
                <w:color w:val="000000"/>
                <w:sz w:val="14"/>
                <w:szCs w:val="16"/>
                <w:lang w:val="en-GB"/>
              </w:rPr>
              <w:t xml:space="preserve">— </w:t>
            </w:r>
            <w:hyperlink r:id="rId1659" w:history="1">
              <w:r w:rsidRPr="000C03B7">
                <w:rPr>
                  <w:rStyle w:val="Hyperlink"/>
                  <w:rFonts w:cs="Arial"/>
                  <w:sz w:val="14"/>
                  <w:szCs w:val="16"/>
                  <w:lang w:val="en-GB"/>
                </w:rPr>
                <w:t>s109</w:t>
              </w:r>
            </w:hyperlink>
            <w:r w:rsidR="000C03B7">
              <w:rPr>
                <w:rFonts w:cs="Arial"/>
                <w:color w:val="000000"/>
                <w:sz w:val="14"/>
                <w:szCs w:val="16"/>
                <w:lang w:val="en-GB"/>
              </w:rPr>
              <w:t>,</w:t>
            </w:r>
            <w:r w:rsidRPr="00A37EB0">
              <w:rPr>
                <w:rFonts w:cs="Arial"/>
                <w:color w:val="000000"/>
                <w:sz w:val="14"/>
                <w:szCs w:val="16"/>
                <w:lang w:val="en-GB"/>
              </w:rPr>
              <w:t xml:space="preserve"> </w:t>
            </w:r>
            <w:r w:rsidRPr="00D41D16">
              <w:rPr>
                <w:rFonts w:cs="Arial"/>
                <w:i/>
                <w:color w:val="000000"/>
                <w:sz w:val="14"/>
                <w:szCs w:val="16"/>
                <w:lang w:val="en-GB"/>
              </w:rPr>
              <w:t>Workers’ Compensation Act</w:t>
            </w:r>
            <w:r w:rsidRPr="00A37EB0">
              <w:rPr>
                <w:rFonts w:cs="Arial"/>
                <w:color w:val="000000"/>
                <w:sz w:val="14"/>
                <w:szCs w:val="16"/>
                <w:lang w:val="en-GB"/>
              </w:rPr>
              <w:t xml:space="preserve"> </w:t>
            </w:r>
            <w:r w:rsidRPr="00D41D16">
              <w:rPr>
                <w:rFonts w:cs="Arial"/>
                <w:i/>
                <w:color w:val="000000"/>
                <w:sz w:val="14"/>
                <w:szCs w:val="16"/>
                <w:lang w:val="en-GB"/>
              </w:rPr>
              <w:t>1951</w:t>
            </w:r>
          </w:p>
        </w:tc>
        <w:tc>
          <w:tcPr>
            <w:tcW w:w="1953" w:type="dxa"/>
            <w:tcMar>
              <w:top w:w="80" w:type="dxa"/>
              <w:left w:w="80" w:type="dxa"/>
              <w:bottom w:w="80" w:type="dxa"/>
              <w:right w:w="80" w:type="dxa"/>
            </w:tcMar>
          </w:tcPr>
          <w:p w14:paraId="189D7F4F" w14:textId="68405DFB" w:rsid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Yes</w:t>
            </w:r>
          </w:p>
          <w:p w14:paraId="30425BAD" w14:textId="77777777" w:rsidR="00BB3C4A" w:rsidRPr="00A37EB0" w:rsidRDefault="00BB3C4A" w:rsidP="00292A53">
            <w:pPr>
              <w:spacing w:after="60"/>
              <w:contextualSpacing/>
              <w:rPr>
                <w:rFonts w:cs="Arial"/>
                <w:color w:val="000000"/>
                <w:sz w:val="14"/>
                <w:szCs w:val="16"/>
                <w:lang w:val="en-GB"/>
              </w:rPr>
            </w:pPr>
          </w:p>
          <w:p w14:paraId="6D29C0E1" w14:textId="326307C3" w:rsidR="00BB3C4A" w:rsidRPr="00A37EB0" w:rsidRDefault="00A7538C" w:rsidP="00292A53">
            <w:pPr>
              <w:spacing w:after="60"/>
              <w:contextualSpacing/>
              <w:rPr>
                <w:rFonts w:cs="Arial"/>
                <w:color w:val="000000"/>
                <w:sz w:val="14"/>
                <w:szCs w:val="16"/>
                <w:lang w:val="en-GB"/>
              </w:rPr>
            </w:pPr>
            <w:hyperlink r:id="rId1660" w:history="1">
              <w:r w:rsidR="000C03B7" w:rsidRPr="000C03B7">
                <w:rPr>
                  <w:rStyle w:val="Hyperlink"/>
                  <w:rFonts w:cs="Arial"/>
                  <w:sz w:val="14"/>
                  <w:szCs w:val="16"/>
                  <w:lang w:val="en-GB"/>
                </w:rPr>
                <w:t>s109</w:t>
              </w:r>
              <w:r w:rsidR="00A37EB0" w:rsidRPr="000C03B7">
                <w:rPr>
                  <w:rStyle w:val="Hyperlink"/>
                  <w:rFonts w:cs="Arial"/>
                  <w:sz w:val="14"/>
                  <w:szCs w:val="16"/>
                  <w:lang w:val="en-GB"/>
                </w:rPr>
                <w:t>(2)</w:t>
              </w:r>
            </w:hyperlink>
          </w:p>
        </w:tc>
        <w:tc>
          <w:tcPr>
            <w:tcW w:w="1953" w:type="dxa"/>
            <w:tcMar>
              <w:top w:w="80" w:type="dxa"/>
              <w:left w:w="80" w:type="dxa"/>
              <w:bottom w:w="80" w:type="dxa"/>
              <w:right w:w="80" w:type="dxa"/>
            </w:tcMar>
          </w:tcPr>
          <w:p w14:paraId="75D96701" w14:textId="0ED4DF0E"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 xml:space="preserve">Section </w:t>
            </w:r>
            <w:hyperlink r:id="rId1661" w:history="1">
              <w:r w:rsidRPr="000C03B7">
                <w:rPr>
                  <w:rStyle w:val="Hyperlink"/>
                  <w:rFonts w:cs="Arial"/>
                  <w:sz w:val="14"/>
                  <w:szCs w:val="16"/>
                  <w:lang w:val="en-GB"/>
                </w:rPr>
                <w:t>109(3)</w:t>
              </w:r>
            </w:hyperlink>
            <w:r w:rsidRPr="00A37EB0">
              <w:rPr>
                <w:rFonts w:cs="Arial"/>
                <w:color w:val="000000"/>
                <w:sz w:val="14"/>
                <w:szCs w:val="16"/>
                <w:lang w:val="en-GB"/>
              </w:rPr>
              <w:t xml:space="preserve"> provides that the return to work program must provide policies and procedures for rehabilitation and be consistent with insurer’s injury management program, be established in accordance with any guidelines issued by the Minister.</w:t>
            </w:r>
          </w:p>
        </w:tc>
        <w:tc>
          <w:tcPr>
            <w:tcW w:w="1954" w:type="dxa"/>
            <w:tcMar>
              <w:top w:w="80" w:type="dxa"/>
              <w:left w:w="80" w:type="dxa"/>
              <w:bottom w:w="80" w:type="dxa"/>
              <w:right w:w="80" w:type="dxa"/>
            </w:tcMar>
          </w:tcPr>
          <w:p w14:paraId="30518787" w14:textId="44E49BE9" w:rsidR="00A37EB0" w:rsidRPr="00353FBF" w:rsidRDefault="00A37EB0" w:rsidP="00292A53">
            <w:pPr>
              <w:spacing w:after="60"/>
              <w:contextualSpacing/>
              <w:rPr>
                <w:rFonts w:cs="Arial"/>
                <w:i/>
                <w:color w:val="0000FF"/>
                <w:sz w:val="14"/>
                <w:szCs w:val="16"/>
                <w:u w:val="single"/>
                <w:lang w:val="en-GB"/>
              </w:rPr>
            </w:pPr>
            <w:r w:rsidRPr="00353FBF">
              <w:rPr>
                <w:rFonts w:cs="Arial"/>
                <w:i/>
                <w:color w:val="000000"/>
                <w:sz w:val="14"/>
                <w:szCs w:val="16"/>
                <w:lang w:val="en-GB"/>
              </w:rPr>
              <w:fldChar w:fldCharType="begin"/>
            </w:r>
            <w:r w:rsidRPr="00353FBF">
              <w:rPr>
                <w:rFonts w:cs="Arial"/>
                <w:i/>
                <w:color w:val="000000"/>
                <w:sz w:val="14"/>
                <w:szCs w:val="16"/>
                <w:lang w:val="en-GB"/>
              </w:rPr>
              <w:instrText>HYPERLINK "http://www.legislation.act.gov.au/a/1951-2/default.asp"</w:instrText>
            </w:r>
            <w:r w:rsidRPr="00353FBF">
              <w:rPr>
                <w:rFonts w:cs="Arial"/>
                <w:i/>
                <w:color w:val="000000"/>
                <w:sz w:val="14"/>
                <w:szCs w:val="16"/>
                <w:lang w:val="en-GB"/>
              </w:rPr>
              <w:fldChar w:fldCharType="separate"/>
            </w:r>
            <w:r w:rsidR="00BB3C4A" w:rsidRPr="00353FBF">
              <w:rPr>
                <w:rFonts w:cs="Arial"/>
                <w:i/>
                <w:color w:val="0000FF"/>
                <w:sz w:val="14"/>
                <w:szCs w:val="16"/>
                <w:u w:val="single"/>
                <w:lang w:val="en-GB"/>
              </w:rPr>
              <w:t>Workers’ Compensation Act 1951</w:t>
            </w:r>
          </w:p>
          <w:p w14:paraId="42C90AC1" w14:textId="77777777" w:rsidR="00A37EB0" w:rsidRPr="00A37EB0" w:rsidRDefault="00A37EB0" w:rsidP="00292A53">
            <w:pPr>
              <w:spacing w:after="60"/>
              <w:contextualSpacing/>
              <w:rPr>
                <w:rFonts w:cs="Arial"/>
                <w:color w:val="000000"/>
                <w:sz w:val="14"/>
                <w:szCs w:val="16"/>
                <w:lang w:val="en-GB"/>
              </w:rPr>
            </w:pPr>
            <w:r w:rsidRPr="00353FBF">
              <w:rPr>
                <w:rFonts w:cs="Arial"/>
                <w:i/>
                <w:color w:val="000000"/>
                <w:sz w:val="14"/>
                <w:szCs w:val="16"/>
                <w:lang w:val="en-GB"/>
              </w:rPr>
              <w:fldChar w:fldCharType="end"/>
            </w:r>
          </w:p>
        </w:tc>
      </w:tr>
      <w:tr w:rsidR="00A37EB0" w:rsidRPr="00A37EB0" w14:paraId="52751BAF" w14:textId="77777777" w:rsidTr="00B2173F">
        <w:tc>
          <w:tcPr>
            <w:tcW w:w="1343" w:type="dxa"/>
            <w:shd w:val="clear" w:color="auto" w:fill="FFC9C9"/>
            <w:tcMar>
              <w:top w:w="80" w:type="dxa"/>
              <w:left w:w="80" w:type="dxa"/>
              <w:bottom w:w="80" w:type="dxa"/>
              <w:right w:w="80" w:type="dxa"/>
            </w:tcMar>
          </w:tcPr>
          <w:p w14:paraId="7C55CA26"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C’wealth Comcare</w:t>
            </w:r>
          </w:p>
        </w:tc>
        <w:tc>
          <w:tcPr>
            <w:tcW w:w="1953" w:type="dxa"/>
            <w:shd w:val="clear" w:color="auto" w:fill="FFC9C9"/>
            <w:tcMar>
              <w:top w:w="80" w:type="dxa"/>
              <w:left w:w="80" w:type="dxa"/>
              <w:bottom w:w="80" w:type="dxa"/>
              <w:right w:w="80" w:type="dxa"/>
            </w:tcMar>
          </w:tcPr>
          <w:p w14:paraId="023911D7" w14:textId="6A0093A8"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626E064C" w14:textId="7650548D" w:rsidR="00A37EB0" w:rsidRPr="00A37EB0" w:rsidRDefault="00A37EB0" w:rsidP="00CF00CF">
            <w:pPr>
              <w:spacing w:after="60"/>
              <w:rPr>
                <w:rFonts w:cs="Arial"/>
                <w:color w:val="000000"/>
                <w:sz w:val="14"/>
                <w:szCs w:val="16"/>
                <w:lang w:val="en-GB"/>
              </w:rPr>
            </w:pPr>
            <w:r w:rsidRPr="00A37EB0">
              <w:rPr>
                <w:rFonts w:cs="Arial"/>
                <w:color w:val="000000"/>
                <w:sz w:val="14"/>
                <w:szCs w:val="16"/>
                <w:lang w:val="en-GB"/>
              </w:rPr>
              <w:t xml:space="preserve">Section 41(2) of the </w:t>
            </w:r>
            <w:r w:rsidRPr="00627169">
              <w:rPr>
                <w:rFonts w:cs="Arial"/>
                <w:i/>
                <w:color w:val="000000"/>
                <w:sz w:val="14"/>
                <w:szCs w:val="16"/>
                <w:lang w:val="en-GB"/>
              </w:rPr>
              <w:t>Safety, Rehabilitation and Compensation Act 1988</w:t>
            </w:r>
            <w:r w:rsidRPr="00A37EB0">
              <w:rPr>
                <w:rFonts w:cs="Arial"/>
                <w:color w:val="000000"/>
                <w:sz w:val="14"/>
                <w:szCs w:val="16"/>
                <w:lang w:val="en-GB"/>
              </w:rPr>
              <w:t xml:space="preserve"> requires rehabilitation authorities to comply with any guidelines issued under </w:t>
            </w:r>
            <w:hyperlink r:id="rId1662" w:history="1">
              <w:r w:rsidRPr="00353117">
                <w:rPr>
                  <w:rStyle w:val="Hyperlink"/>
                  <w:rFonts w:cs="Arial"/>
                  <w:sz w:val="14"/>
                  <w:szCs w:val="16"/>
                  <w:lang w:val="en-GB"/>
                </w:rPr>
                <w:t>s41(1)</w:t>
              </w:r>
            </w:hyperlink>
            <w:r w:rsidRPr="00A37EB0">
              <w:rPr>
                <w:rFonts w:cs="Arial"/>
                <w:color w:val="000000"/>
                <w:sz w:val="14"/>
                <w:szCs w:val="16"/>
                <w:lang w:val="en-GB"/>
              </w:rPr>
              <w:t xml:space="preserve">. Rehabilitation programs and rehabilitation management systems are covered in the </w:t>
            </w:r>
            <w:r w:rsidRPr="00627169">
              <w:rPr>
                <w:rFonts w:cs="Arial"/>
                <w:i/>
                <w:color w:val="000000"/>
                <w:sz w:val="14"/>
                <w:szCs w:val="16"/>
                <w:lang w:val="en-GB"/>
              </w:rPr>
              <w:t>Guidelines for Rehabilitation Authorities 2012</w:t>
            </w:r>
            <w:r w:rsidRPr="00A37EB0">
              <w:rPr>
                <w:rFonts w:cs="Arial"/>
                <w:color w:val="000000"/>
                <w:sz w:val="14"/>
                <w:szCs w:val="16"/>
                <w:lang w:val="en-GB"/>
              </w:rPr>
              <w:t xml:space="preserve"> (the Guidelines); Chapter 4 — Part II Rehabilitation Program Attachment A </w:t>
            </w:r>
            <w:r w:rsidR="00CF00CF">
              <w:rPr>
                <w:rFonts w:cs="Arial"/>
                <w:color w:val="000000"/>
                <w:sz w:val="14"/>
                <w:szCs w:val="16"/>
                <w:lang w:val="en-GB"/>
              </w:rPr>
              <w:t>—</w:t>
            </w:r>
            <w:r w:rsidR="00CF00CF" w:rsidRPr="00A37EB0">
              <w:rPr>
                <w:rFonts w:cs="Arial"/>
                <w:color w:val="000000"/>
                <w:sz w:val="14"/>
                <w:szCs w:val="16"/>
                <w:lang w:val="en-GB"/>
              </w:rPr>
              <w:t xml:space="preserve"> </w:t>
            </w:r>
            <w:r w:rsidRPr="00A37EB0">
              <w:rPr>
                <w:rFonts w:cs="Arial"/>
                <w:color w:val="000000"/>
                <w:sz w:val="14"/>
                <w:szCs w:val="16"/>
                <w:lang w:val="en-GB"/>
              </w:rPr>
              <w:t>Performance Standards and Measures for Employers</w:t>
            </w:r>
          </w:p>
        </w:tc>
        <w:tc>
          <w:tcPr>
            <w:tcW w:w="1953" w:type="dxa"/>
            <w:shd w:val="clear" w:color="auto" w:fill="FFC9C9"/>
            <w:tcMar>
              <w:top w:w="80" w:type="dxa"/>
              <w:left w:w="80" w:type="dxa"/>
              <w:bottom w:w="80" w:type="dxa"/>
              <w:right w:w="80" w:type="dxa"/>
            </w:tcMar>
          </w:tcPr>
          <w:p w14:paraId="31F47D5C" w14:textId="31F722EC" w:rsidR="00A37EB0" w:rsidRPr="00A37EB0" w:rsidRDefault="00BB3C4A" w:rsidP="00292A53">
            <w:pPr>
              <w:spacing w:after="60"/>
              <w:rPr>
                <w:rFonts w:cs="Arial"/>
                <w:color w:val="000000"/>
                <w:sz w:val="14"/>
                <w:szCs w:val="16"/>
                <w:lang w:val="en-GB"/>
              </w:rPr>
            </w:pPr>
            <w:r>
              <w:rPr>
                <w:rFonts w:cs="Arial"/>
                <w:color w:val="000000"/>
                <w:sz w:val="14"/>
                <w:szCs w:val="16"/>
                <w:lang w:val="en-GB"/>
              </w:rPr>
              <w:lastRenderedPageBreak/>
              <w:t>Yes</w:t>
            </w:r>
            <w:r w:rsidR="00A37EB0" w:rsidRPr="00A37EB0">
              <w:rPr>
                <w:rFonts w:cs="Arial"/>
                <w:color w:val="000000"/>
                <w:sz w:val="14"/>
                <w:szCs w:val="16"/>
                <w:lang w:val="en-GB"/>
              </w:rPr>
              <w:t xml:space="preserve"> </w:t>
            </w:r>
          </w:p>
          <w:p w14:paraId="0B7A048C" w14:textId="040389A2"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The Guidelines state on page 23 that the level of sophistication and detail in the rehabilitation management system is dependent upon the risk </w:t>
            </w:r>
            <w:r w:rsidRPr="00A37EB0">
              <w:rPr>
                <w:rFonts w:cs="Arial"/>
                <w:color w:val="000000"/>
                <w:sz w:val="14"/>
                <w:szCs w:val="16"/>
                <w:lang w:val="en-GB"/>
              </w:rPr>
              <w:lastRenderedPageBreak/>
              <w:t>profile of the employer’s industry, employee numbers, nature and location of employment premises, and the frequency of injuries warranting rehabilitation assessmen</w:t>
            </w:r>
            <w:r w:rsidR="00BB3C4A">
              <w:rPr>
                <w:rFonts w:cs="Arial"/>
                <w:color w:val="000000"/>
                <w:sz w:val="14"/>
                <w:szCs w:val="16"/>
                <w:lang w:val="en-GB"/>
              </w:rPr>
              <w:t>ts and rehabilitation programs</w:t>
            </w:r>
          </w:p>
        </w:tc>
        <w:tc>
          <w:tcPr>
            <w:tcW w:w="1953" w:type="dxa"/>
            <w:shd w:val="clear" w:color="auto" w:fill="FFC9C9"/>
            <w:tcMar>
              <w:top w:w="80" w:type="dxa"/>
              <w:left w:w="80" w:type="dxa"/>
              <w:bottom w:w="80" w:type="dxa"/>
              <w:right w:w="80" w:type="dxa"/>
            </w:tcMar>
          </w:tcPr>
          <w:p w14:paraId="630D2555" w14:textId="16C3ACE6"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lastRenderedPageBreak/>
              <w:t>No</w:t>
            </w:r>
          </w:p>
        </w:tc>
        <w:tc>
          <w:tcPr>
            <w:tcW w:w="1953" w:type="dxa"/>
            <w:shd w:val="clear" w:color="auto" w:fill="FFC9C9"/>
            <w:tcMar>
              <w:top w:w="80" w:type="dxa"/>
              <w:left w:w="80" w:type="dxa"/>
              <w:bottom w:w="80" w:type="dxa"/>
              <w:right w:w="80" w:type="dxa"/>
            </w:tcMar>
          </w:tcPr>
          <w:p w14:paraId="0A5E09BF" w14:textId="0464A1A9"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The Guidelines promote ongoing consultation and communication of relevant information with employees regard</w:t>
            </w:r>
            <w:r w:rsidR="00BB3C4A">
              <w:rPr>
                <w:rFonts w:cs="Arial"/>
                <w:color w:val="000000"/>
                <w:sz w:val="14"/>
                <w:szCs w:val="16"/>
                <w:lang w:val="en-GB"/>
              </w:rPr>
              <w:t>ing rehabilitation</w:t>
            </w:r>
          </w:p>
        </w:tc>
        <w:tc>
          <w:tcPr>
            <w:tcW w:w="1953" w:type="dxa"/>
            <w:shd w:val="clear" w:color="auto" w:fill="FFC9C9"/>
            <w:tcMar>
              <w:top w:w="80" w:type="dxa"/>
              <w:left w:w="80" w:type="dxa"/>
              <w:bottom w:w="80" w:type="dxa"/>
              <w:right w:w="80" w:type="dxa"/>
            </w:tcMar>
          </w:tcPr>
          <w:p w14:paraId="54A88C06" w14:textId="4721A5C7"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Yes</w:t>
            </w:r>
          </w:p>
        </w:tc>
        <w:tc>
          <w:tcPr>
            <w:tcW w:w="1953" w:type="dxa"/>
            <w:shd w:val="clear" w:color="auto" w:fill="FFC9C9"/>
            <w:tcMar>
              <w:top w:w="80" w:type="dxa"/>
              <w:left w:w="80" w:type="dxa"/>
              <w:bottom w:w="80" w:type="dxa"/>
              <w:right w:w="80" w:type="dxa"/>
            </w:tcMar>
          </w:tcPr>
          <w:p w14:paraId="61109F64"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An employer is responsible for developing and maintaining a system for managing rehabilitation under the Guidelines. This system should meet </w:t>
            </w:r>
          </w:p>
          <w:p w14:paraId="55BF97AB" w14:textId="77777777" w:rsidR="00A37EB0" w:rsidRPr="00A37EB0" w:rsidRDefault="00A37EB0" w:rsidP="00DF35F2">
            <w:pPr>
              <w:numPr>
                <w:ilvl w:val="0"/>
                <w:numId w:val="67"/>
              </w:numPr>
              <w:spacing w:after="60"/>
              <w:ind w:left="357" w:hanging="357"/>
              <w:contextualSpacing/>
              <w:rPr>
                <w:rFonts w:cs="Arial"/>
                <w:color w:val="000000"/>
                <w:sz w:val="14"/>
                <w:szCs w:val="16"/>
                <w:lang w:val="en-GB"/>
              </w:rPr>
            </w:pPr>
            <w:r w:rsidRPr="00A37EB0">
              <w:rPr>
                <w:rFonts w:cs="Arial"/>
                <w:color w:val="000000"/>
                <w:sz w:val="14"/>
                <w:szCs w:val="16"/>
                <w:lang w:val="en-GB"/>
              </w:rPr>
              <w:t xml:space="preserve">the Performance </w:t>
            </w:r>
            <w:r w:rsidRPr="00A37EB0">
              <w:rPr>
                <w:rFonts w:cs="Arial"/>
                <w:color w:val="000000"/>
                <w:sz w:val="14"/>
                <w:szCs w:val="16"/>
                <w:lang w:val="en-GB"/>
              </w:rPr>
              <w:lastRenderedPageBreak/>
              <w:t xml:space="preserve">Standards and Measures in Attachment A of the Guidelines; </w:t>
            </w:r>
          </w:p>
          <w:p w14:paraId="322A5AE1" w14:textId="77777777" w:rsidR="00A37EB0" w:rsidRPr="00A37EB0" w:rsidRDefault="00A37EB0" w:rsidP="00DF35F2">
            <w:pPr>
              <w:numPr>
                <w:ilvl w:val="0"/>
                <w:numId w:val="67"/>
              </w:numPr>
              <w:spacing w:after="60"/>
              <w:ind w:left="357" w:hanging="357"/>
              <w:contextualSpacing/>
              <w:rPr>
                <w:rFonts w:cs="Arial"/>
                <w:color w:val="000000"/>
                <w:sz w:val="14"/>
                <w:szCs w:val="16"/>
                <w:lang w:val="en-GB"/>
              </w:rPr>
            </w:pPr>
            <w:r w:rsidRPr="00A37EB0">
              <w:rPr>
                <w:rFonts w:cs="Arial"/>
                <w:color w:val="000000"/>
                <w:sz w:val="14"/>
                <w:szCs w:val="16"/>
                <w:lang w:val="en-GB"/>
              </w:rPr>
              <w:t xml:space="preserve">the rehabilitation needs of the employer to deliver effective rehabilitation; and </w:t>
            </w:r>
          </w:p>
          <w:p w14:paraId="1DED48D3" w14:textId="51BCA15B" w:rsidR="00A37EB0" w:rsidRPr="00A37EB0" w:rsidRDefault="00A37EB0" w:rsidP="00DF35F2">
            <w:pPr>
              <w:numPr>
                <w:ilvl w:val="0"/>
                <w:numId w:val="67"/>
              </w:numPr>
              <w:spacing w:after="60"/>
              <w:contextualSpacing/>
              <w:rPr>
                <w:rFonts w:cs="Arial"/>
                <w:color w:val="000000"/>
                <w:sz w:val="14"/>
                <w:szCs w:val="16"/>
                <w:lang w:val="en-GB"/>
              </w:rPr>
            </w:pPr>
            <w:r w:rsidRPr="00A37EB0">
              <w:rPr>
                <w:rFonts w:cs="Arial"/>
                <w:color w:val="000000"/>
                <w:sz w:val="14"/>
                <w:szCs w:val="16"/>
                <w:lang w:val="en-GB"/>
              </w:rPr>
              <w:t xml:space="preserve">the reporting requirements on the employer’s rehabilitation performance (see Chapter 5 and Attachment B of the </w:t>
            </w:r>
            <w:r w:rsidR="00BB3C4A">
              <w:rPr>
                <w:rFonts w:cs="Arial"/>
                <w:color w:val="000000"/>
                <w:sz w:val="14"/>
                <w:szCs w:val="16"/>
                <w:lang w:val="en-GB"/>
              </w:rPr>
              <w:t>Guidelines)</w:t>
            </w:r>
          </w:p>
        </w:tc>
        <w:tc>
          <w:tcPr>
            <w:tcW w:w="1954" w:type="dxa"/>
            <w:shd w:val="clear" w:color="auto" w:fill="FFC9C9"/>
            <w:tcMar>
              <w:top w:w="80" w:type="dxa"/>
              <w:left w:w="80" w:type="dxa"/>
              <w:bottom w:w="80" w:type="dxa"/>
              <w:right w:w="80" w:type="dxa"/>
            </w:tcMar>
          </w:tcPr>
          <w:p w14:paraId="330F8D63" w14:textId="7E2382C5" w:rsidR="00A37EB0" w:rsidRPr="00353FBF" w:rsidRDefault="00A37EB0" w:rsidP="00292A53">
            <w:pPr>
              <w:spacing w:after="60"/>
              <w:contextualSpacing/>
              <w:rPr>
                <w:rFonts w:cs="Arial"/>
                <w:i/>
                <w:color w:val="0000FF"/>
                <w:sz w:val="14"/>
                <w:szCs w:val="16"/>
                <w:u w:val="single"/>
                <w:lang w:val="en-GB"/>
              </w:rPr>
            </w:pPr>
            <w:r w:rsidRPr="00353FBF">
              <w:rPr>
                <w:rFonts w:cs="Arial"/>
                <w:i/>
                <w:color w:val="000000"/>
                <w:sz w:val="14"/>
                <w:szCs w:val="16"/>
                <w:lang w:val="en-GB"/>
              </w:rPr>
              <w:lastRenderedPageBreak/>
              <w:fldChar w:fldCharType="begin"/>
            </w:r>
            <w:r w:rsidRPr="00353FBF">
              <w:rPr>
                <w:rFonts w:cs="Arial"/>
                <w:i/>
                <w:color w:val="000000"/>
                <w:sz w:val="14"/>
                <w:szCs w:val="16"/>
                <w:lang w:val="en-GB"/>
              </w:rPr>
              <w:instrText>HYPERLINK "https://www.comcare.gov.au/__data/assets/pdf_file/0014/110822/Guidelines_for_Rehabilitation_Authorities_2012.pdf"</w:instrText>
            </w:r>
            <w:r w:rsidRPr="00353FBF">
              <w:rPr>
                <w:rFonts w:cs="Arial"/>
                <w:i/>
                <w:color w:val="000000"/>
                <w:sz w:val="14"/>
                <w:szCs w:val="16"/>
                <w:lang w:val="en-GB"/>
              </w:rPr>
              <w:fldChar w:fldCharType="separate"/>
            </w:r>
            <w:r w:rsidRPr="00353FBF">
              <w:rPr>
                <w:rFonts w:cs="Arial"/>
                <w:i/>
                <w:color w:val="0000FF"/>
                <w:sz w:val="14"/>
                <w:szCs w:val="16"/>
                <w:u w:val="single"/>
                <w:lang w:val="en-GB"/>
              </w:rPr>
              <w:t xml:space="preserve">Guidelines for </w:t>
            </w:r>
            <w:r w:rsidR="00BB3C4A" w:rsidRPr="00353FBF">
              <w:rPr>
                <w:rFonts w:cs="Arial"/>
                <w:i/>
                <w:color w:val="0000FF"/>
                <w:sz w:val="14"/>
                <w:szCs w:val="16"/>
                <w:u w:val="single"/>
                <w:lang w:val="en-GB"/>
              </w:rPr>
              <w:t>Rehabilitation Authorities 2012</w:t>
            </w:r>
          </w:p>
          <w:p w14:paraId="76AFD46C" w14:textId="77777777" w:rsidR="00A37EB0" w:rsidRPr="00A37EB0" w:rsidRDefault="00A37EB0" w:rsidP="00292A53">
            <w:pPr>
              <w:spacing w:after="60"/>
              <w:contextualSpacing/>
              <w:rPr>
                <w:rFonts w:cs="Arial"/>
                <w:color w:val="000000"/>
                <w:sz w:val="14"/>
                <w:szCs w:val="16"/>
                <w:lang w:val="en-GB"/>
              </w:rPr>
            </w:pPr>
            <w:r w:rsidRPr="00353FBF">
              <w:rPr>
                <w:rFonts w:cs="Arial"/>
                <w:i/>
                <w:color w:val="000000"/>
                <w:sz w:val="14"/>
                <w:szCs w:val="16"/>
                <w:lang w:val="en-GB"/>
              </w:rPr>
              <w:fldChar w:fldCharType="end"/>
            </w:r>
          </w:p>
        </w:tc>
      </w:tr>
      <w:tr w:rsidR="00A37EB0" w:rsidRPr="00A37EB0" w14:paraId="6B388E14" w14:textId="77777777" w:rsidTr="00B2173F">
        <w:tc>
          <w:tcPr>
            <w:tcW w:w="1343" w:type="dxa"/>
            <w:tcMar>
              <w:top w:w="80" w:type="dxa"/>
              <w:left w:w="80" w:type="dxa"/>
              <w:bottom w:w="80" w:type="dxa"/>
              <w:right w:w="80" w:type="dxa"/>
            </w:tcMar>
          </w:tcPr>
          <w:p w14:paraId="71B3EA81"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C’wealth Seacare</w:t>
            </w:r>
          </w:p>
        </w:tc>
        <w:tc>
          <w:tcPr>
            <w:tcW w:w="1953" w:type="dxa"/>
            <w:tcMar>
              <w:top w:w="80" w:type="dxa"/>
              <w:left w:w="80" w:type="dxa"/>
              <w:bottom w:w="80" w:type="dxa"/>
              <w:right w:w="80" w:type="dxa"/>
            </w:tcMar>
          </w:tcPr>
          <w:p w14:paraId="1E384037" w14:textId="335CB582"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6F044070" w14:textId="010E5CFF"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tcMar>
              <w:top w:w="80" w:type="dxa"/>
              <w:left w:w="80" w:type="dxa"/>
              <w:bottom w:w="80" w:type="dxa"/>
              <w:right w:w="80" w:type="dxa"/>
            </w:tcMar>
          </w:tcPr>
          <w:p w14:paraId="11290D50" w14:textId="65F88802"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6EF07D04" w14:textId="44D9AB9E"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In consultation with the employee, employer, rehabilitation pr</w:t>
            </w:r>
            <w:r w:rsidR="00BB3C4A">
              <w:rPr>
                <w:rFonts w:cs="Arial"/>
                <w:color w:val="000000"/>
                <w:sz w:val="14"/>
                <w:szCs w:val="16"/>
                <w:lang w:val="en-GB"/>
              </w:rPr>
              <w:t>ovider and medical practitioner</w:t>
            </w:r>
          </w:p>
        </w:tc>
        <w:tc>
          <w:tcPr>
            <w:tcW w:w="1953" w:type="dxa"/>
            <w:tcMar>
              <w:top w:w="80" w:type="dxa"/>
              <w:left w:w="80" w:type="dxa"/>
              <w:bottom w:w="80" w:type="dxa"/>
              <w:right w:w="80" w:type="dxa"/>
            </w:tcMar>
          </w:tcPr>
          <w:p w14:paraId="1AF9032F" w14:textId="6D99A9D5"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tcMar>
              <w:top w:w="80" w:type="dxa"/>
              <w:left w:w="80" w:type="dxa"/>
              <w:bottom w:w="80" w:type="dxa"/>
              <w:right w:w="80" w:type="dxa"/>
            </w:tcMar>
          </w:tcPr>
          <w:p w14:paraId="5DFBD7F2" w14:textId="4C870DD4"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4" w:type="dxa"/>
            <w:tcMar>
              <w:top w:w="80" w:type="dxa"/>
              <w:left w:w="80" w:type="dxa"/>
              <w:bottom w:w="80" w:type="dxa"/>
              <w:right w:w="80" w:type="dxa"/>
            </w:tcMar>
          </w:tcPr>
          <w:p w14:paraId="21984FC2" w14:textId="75E9231A" w:rsidR="00A37EB0" w:rsidRPr="00A37EB0" w:rsidRDefault="00A7538C" w:rsidP="00292A53">
            <w:pPr>
              <w:spacing w:after="60"/>
              <w:contextualSpacing/>
              <w:rPr>
                <w:rFonts w:cs="Arial"/>
                <w:color w:val="000000"/>
                <w:sz w:val="14"/>
                <w:szCs w:val="16"/>
                <w:lang w:val="en-GB"/>
              </w:rPr>
            </w:pPr>
            <w:hyperlink r:id="rId1663" w:history="1">
              <w:r w:rsidR="00A37EB0" w:rsidRPr="00A37EB0">
                <w:rPr>
                  <w:rFonts w:cs="Arial"/>
                  <w:color w:val="0000FF"/>
                  <w:sz w:val="14"/>
                  <w:szCs w:val="16"/>
                  <w:u w:val="single"/>
                  <w:lang w:val="en-GB"/>
                </w:rPr>
                <w:t>A best practice guide: Seafarers Rehabilitation and Return to Work</w:t>
              </w:r>
            </w:hyperlink>
          </w:p>
        </w:tc>
      </w:tr>
      <w:tr w:rsidR="00A37EB0" w:rsidRPr="00A37EB0" w14:paraId="49324209" w14:textId="77777777" w:rsidTr="00B2173F">
        <w:tc>
          <w:tcPr>
            <w:tcW w:w="1343" w:type="dxa"/>
            <w:shd w:val="clear" w:color="auto" w:fill="FFC9C9"/>
            <w:tcMar>
              <w:top w:w="80" w:type="dxa"/>
              <w:left w:w="80" w:type="dxa"/>
              <w:bottom w:w="80" w:type="dxa"/>
              <w:right w:w="80" w:type="dxa"/>
            </w:tcMar>
          </w:tcPr>
          <w:p w14:paraId="73AF95D7"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C’wealth DVA</w:t>
            </w:r>
          </w:p>
        </w:tc>
        <w:tc>
          <w:tcPr>
            <w:tcW w:w="1953" w:type="dxa"/>
            <w:shd w:val="clear" w:color="auto" w:fill="FFC9C9"/>
            <w:tcMar>
              <w:top w:w="80" w:type="dxa"/>
              <w:left w:w="80" w:type="dxa"/>
              <w:bottom w:w="80" w:type="dxa"/>
              <w:right w:w="80" w:type="dxa"/>
            </w:tcMar>
          </w:tcPr>
          <w:p w14:paraId="32144D9F" w14:textId="536C08BC"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4FF2919F" w14:textId="5A81CF55"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27C957D5" w14:textId="14C15325"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723B3C66" w14:textId="5E0DB451"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658913D5" w14:textId="338DC0EC"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56CAB91B" w14:textId="433E3537"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4" w:type="dxa"/>
            <w:shd w:val="clear" w:color="auto" w:fill="FFC9C9"/>
            <w:tcMar>
              <w:top w:w="80" w:type="dxa"/>
              <w:left w:w="80" w:type="dxa"/>
              <w:bottom w:w="80" w:type="dxa"/>
              <w:right w:w="80" w:type="dxa"/>
            </w:tcMar>
          </w:tcPr>
          <w:p w14:paraId="3A2C1BC6" w14:textId="5313DD9D"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r>
      <w:tr w:rsidR="00A37EB0" w:rsidRPr="00A37EB0" w14:paraId="6538D988" w14:textId="77777777" w:rsidTr="00B2173F">
        <w:tc>
          <w:tcPr>
            <w:tcW w:w="1343" w:type="dxa"/>
            <w:tcMar>
              <w:top w:w="80" w:type="dxa"/>
              <w:left w:w="80" w:type="dxa"/>
              <w:bottom w:w="80" w:type="dxa"/>
              <w:right w:w="80" w:type="dxa"/>
            </w:tcMar>
          </w:tcPr>
          <w:p w14:paraId="281C3B92" w14:textId="33B5BE89"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New Zealand</w:t>
            </w:r>
          </w:p>
        </w:tc>
        <w:tc>
          <w:tcPr>
            <w:tcW w:w="1953" w:type="dxa"/>
            <w:tcMar>
              <w:top w:w="80" w:type="dxa"/>
              <w:left w:w="80" w:type="dxa"/>
              <w:bottom w:w="80" w:type="dxa"/>
              <w:right w:w="80" w:type="dxa"/>
            </w:tcMar>
          </w:tcPr>
          <w:p w14:paraId="5E2623E2" w14:textId="0084A74F"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tcMar>
              <w:top w:w="80" w:type="dxa"/>
              <w:left w:w="80" w:type="dxa"/>
              <w:bottom w:w="80" w:type="dxa"/>
              <w:right w:w="80" w:type="dxa"/>
            </w:tcMar>
          </w:tcPr>
          <w:p w14:paraId="783B78C1" w14:textId="1F964091"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1C947449" w14:textId="54B025CE"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063DC4DA" w14:textId="205A31BD"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tcMar>
              <w:top w:w="80" w:type="dxa"/>
              <w:left w:w="80" w:type="dxa"/>
              <w:bottom w:w="80" w:type="dxa"/>
              <w:right w:w="80" w:type="dxa"/>
            </w:tcMar>
          </w:tcPr>
          <w:p w14:paraId="0AB598BE" w14:textId="4963253B"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73B177AE" w14:textId="5FC1FEE2"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c>
          <w:tcPr>
            <w:tcW w:w="1954" w:type="dxa"/>
            <w:tcMar>
              <w:top w:w="80" w:type="dxa"/>
              <w:left w:w="80" w:type="dxa"/>
              <w:bottom w:w="80" w:type="dxa"/>
              <w:right w:w="80" w:type="dxa"/>
            </w:tcMar>
          </w:tcPr>
          <w:p w14:paraId="7A493310" w14:textId="3F457F45" w:rsidR="00A37EB0" w:rsidRPr="00A37EB0" w:rsidRDefault="00A37EB0" w:rsidP="00292A53">
            <w:pPr>
              <w:spacing w:after="60"/>
              <w:contextualSpacing/>
              <w:rPr>
                <w:rFonts w:cs="Arial"/>
                <w:color w:val="000000"/>
                <w:sz w:val="14"/>
                <w:szCs w:val="16"/>
                <w:lang w:val="en-GB"/>
              </w:rPr>
            </w:pPr>
            <w:r w:rsidRPr="00A37EB0">
              <w:rPr>
                <w:rFonts w:cs="Arial"/>
                <w:color w:val="000000"/>
                <w:sz w:val="14"/>
                <w:szCs w:val="16"/>
                <w:lang w:val="en-GB"/>
              </w:rPr>
              <w:t>N/A</w:t>
            </w:r>
          </w:p>
        </w:tc>
      </w:tr>
      <w:bookmarkEnd w:id="160"/>
    </w:tbl>
    <w:p w14:paraId="50FE25D3" w14:textId="77777777" w:rsidR="00C66972" w:rsidRPr="00C66972" w:rsidRDefault="00C66972" w:rsidP="00C66972">
      <w:pPr>
        <w:spacing w:after="200" w:line="276" w:lineRule="auto"/>
        <w:rPr>
          <w:rFonts w:eastAsiaTheme="minorHAnsi"/>
        </w:rPr>
      </w:pPr>
    </w:p>
    <w:p w14:paraId="6885F1D9" w14:textId="5580AE99" w:rsidR="00697313" w:rsidRPr="00A80282" w:rsidRDefault="00697313" w:rsidP="00A80282">
      <w:pPr>
        <w:pStyle w:val="SWATableheader"/>
      </w:pPr>
      <w:bookmarkStart w:id="161" w:name="_Toc504654689"/>
      <w:r w:rsidRPr="00A80282">
        <w:rPr>
          <w:rStyle w:val="SWATableheaderChar"/>
          <w:b/>
        </w:rPr>
        <w:lastRenderedPageBreak/>
        <w:t>Table 5.2b: Return to work plans — Individual return to work plans</w:t>
      </w:r>
      <w:bookmarkEnd w:id="161"/>
      <w:r w:rsidRPr="00A80282">
        <w:t xml:space="preserve"> </w:t>
      </w:r>
      <w:r w:rsidR="00232E14" w:rsidRPr="00A80282">
        <w:fldChar w:fldCharType="begin"/>
      </w:r>
      <w:r w:rsidR="00232E14" w:rsidRPr="00A80282">
        <w:instrText xml:space="preserve"> XE "return to work plans:individual return to work plans" \r "returntowork" </w:instrText>
      </w:r>
      <w:r w:rsidR="00232E14" w:rsidRPr="00A80282">
        <w:fldChar w:fldCharType="end"/>
      </w:r>
    </w:p>
    <w:tbl>
      <w:tblPr>
        <w:tblW w:w="1501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2b: Return to work plans — Individual return to work plans "/>
        <w:tblDescription w:val="This table provides information on return to work plans. "/>
      </w:tblPr>
      <w:tblGrid>
        <w:gridCol w:w="1343"/>
        <w:gridCol w:w="2734"/>
        <w:gridCol w:w="2936"/>
        <w:gridCol w:w="3118"/>
        <w:gridCol w:w="2694"/>
        <w:gridCol w:w="2190"/>
      </w:tblGrid>
      <w:tr w:rsidR="00697313" w:rsidRPr="00697313" w14:paraId="5579DD97" w14:textId="77777777" w:rsidTr="00D413F6">
        <w:trPr>
          <w:tblHeader/>
        </w:trPr>
        <w:tc>
          <w:tcPr>
            <w:tcW w:w="1343" w:type="dxa"/>
            <w:shd w:val="clear" w:color="auto" w:fill="C00000"/>
            <w:tcMar>
              <w:top w:w="0" w:type="dxa"/>
              <w:left w:w="0" w:type="dxa"/>
              <w:bottom w:w="0" w:type="dxa"/>
              <w:right w:w="0" w:type="dxa"/>
            </w:tcMar>
            <w:vAlign w:val="center"/>
          </w:tcPr>
          <w:p w14:paraId="759BFF39" w14:textId="77777777" w:rsidR="00697313" w:rsidRPr="00697313" w:rsidRDefault="00697313" w:rsidP="00292A53">
            <w:pPr>
              <w:pStyle w:val="Tableheaderrow"/>
              <w:spacing w:after="60"/>
            </w:pPr>
            <w:bookmarkStart w:id="162" w:name="returntowork"/>
          </w:p>
          <w:p w14:paraId="7C9B3566" w14:textId="77777777" w:rsidR="00697313" w:rsidRPr="00697313" w:rsidRDefault="00697313" w:rsidP="00292A53">
            <w:pPr>
              <w:pStyle w:val="Tableheaderrow"/>
              <w:spacing w:after="60"/>
            </w:pPr>
          </w:p>
        </w:tc>
        <w:tc>
          <w:tcPr>
            <w:tcW w:w="2734" w:type="dxa"/>
            <w:shd w:val="clear" w:color="auto" w:fill="C00000"/>
            <w:tcMar>
              <w:top w:w="0" w:type="dxa"/>
              <w:left w:w="0" w:type="dxa"/>
              <w:bottom w:w="0" w:type="dxa"/>
              <w:right w:w="0" w:type="dxa"/>
            </w:tcMar>
            <w:vAlign w:val="center"/>
          </w:tcPr>
          <w:p w14:paraId="695C8875" w14:textId="77777777" w:rsidR="00697313" w:rsidRPr="00697313" w:rsidRDefault="00697313" w:rsidP="00292A53">
            <w:pPr>
              <w:pStyle w:val="Tableheaderrow"/>
              <w:spacing w:after="60"/>
            </w:pPr>
            <w:r w:rsidRPr="00697313">
              <w:t>Responsibility for ensuring that a return to work plan is in place</w:t>
            </w:r>
          </w:p>
        </w:tc>
        <w:tc>
          <w:tcPr>
            <w:tcW w:w="2936" w:type="dxa"/>
            <w:shd w:val="clear" w:color="auto" w:fill="C00000"/>
            <w:tcMar>
              <w:top w:w="0" w:type="dxa"/>
              <w:left w:w="0" w:type="dxa"/>
              <w:bottom w:w="0" w:type="dxa"/>
              <w:right w:w="0" w:type="dxa"/>
            </w:tcMar>
            <w:vAlign w:val="center"/>
          </w:tcPr>
          <w:p w14:paraId="1DEBDAD4" w14:textId="77777777" w:rsidR="00697313" w:rsidRPr="00697313" w:rsidRDefault="00697313" w:rsidP="00292A53">
            <w:pPr>
              <w:pStyle w:val="Tableheaderrow"/>
              <w:spacing w:after="60"/>
            </w:pPr>
            <w:r w:rsidRPr="00697313">
              <w:t>When is a return to work plan or injury management required?</w:t>
            </w:r>
          </w:p>
        </w:tc>
        <w:tc>
          <w:tcPr>
            <w:tcW w:w="3118" w:type="dxa"/>
            <w:shd w:val="clear" w:color="auto" w:fill="C00000"/>
            <w:tcMar>
              <w:top w:w="0" w:type="dxa"/>
              <w:left w:w="0" w:type="dxa"/>
              <w:bottom w:w="0" w:type="dxa"/>
              <w:right w:w="0" w:type="dxa"/>
            </w:tcMar>
            <w:vAlign w:val="center"/>
          </w:tcPr>
          <w:p w14:paraId="7C36C730" w14:textId="77777777" w:rsidR="00697313" w:rsidRPr="00697313" w:rsidRDefault="00697313" w:rsidP="00292A53">
            <w:pPr>
              <w:pStyle w:val="Tableheaderrow"/>
              <w:spacing w:after="60"/>
            </w:pPr>
            <w:r w:rsidRPr="00697313">
              <w:t>Contents of the plan</w:t>
            </w:r>
          </w:p>
        </w:tc>
        <w:tc>
          <w:tcPr>
            <w:tcW w:w="2694" w:type="dxa"/>
            <w:shd w:val="clear" w:color="auto" w:fill="C00000"/>
            <w:tcMar>
              <w:top w:w="0" w:type="dxa"/>
              <w:left w:w="0" w:type="dxa"/>
              <w:bottom w:w="0" w:type="dxa"/>
              <w:right w:w="0" w:type="dxa"/>
            </w:tcMar>
            <w:vAlign w:val="center"/>
          </w:tcPr>
          <w:p w14:paraId="5C8463E9" w14:textId="77777777" w:rsidR="00697313" w:rsidRPr="00697313" w:rsidRDefault="00697313" w:rsidP="00292A53">
            <w:pPr>
              <w:pStyle w:val="Tableheaderrow"/>
              <w:spacing w:after="60"/>
            </w:pPr>
            <w:r w:rsidRPr="00697313">
              <w:t>Further information</w:t>
            </w:r>
          </w:p>
        </w:tc>
        <w:tc>
          <w:tcPr>
            <w:tcW w:w="2190" w:type="dxa"/>
            <w:shd w:val="clear" w:color="auto" w:fill="C00000"/>
            <w:tcMar>
              <w:top w:w="0" w:type="dxa"/>
              <w:left w:w="0" w:type="dxa"/>
              <w:bottom w:w="0" w:type="dxa"/>
              <w:right w:w="0" w:type="dxa"/>
            </w:tcMar>
            <w:vAlign w:val="center"/>
          </w:tcPr>
          <w:p w14:paraId="5DF9DC00" w14:textId="77777777" w:rsidR="00697313" w:rsidRPr="00697313" w:rsidRDefault="00697313" w:rsidP="00292A53">
            <w:pPr>
              <w:pStyle w:val="Tableheaderrow"/>
              <w:spacing w:after="60"/>
            </w:pPr>
            <w:r w:rsidRPr="00697313">
              <w:t>Requirement to have a separate injury management plan</w:t>
            </w:r>
          </w:p>
        </w:tc>
      </w:tr>
      <w:tr w:rsidR="00697313" w:rsidRPr="00697313" w14:paraId="589B9097" w14:textId="77777777" w:rsidTr="00D413F6">
        <w:tc>
          <w:tcPr>
            <w:tcW w:w="1343" w:type="dxa"/>
            <w:shd w:val="clear" w:color="auto" w:fill="FFC9C9"/>
            <w:tcMar>
              <w:top w:w="80" w:type="dxa"/>
              <w:left w:w="80" w:type="dxa"/>
              <w:bottom w:w="80" w:type="dxa"/>
              <w:right w:w="80" w:type="dxa"/>
            </w:tcMar>
          </w:tcPr>
          <w:p w14:paraId="3F36D1C8"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New South Wales</w:t>
            </w:r>
          </w:p>
        </w:tc>
        <w:tc>
          <w:tcPr>
            <w:tcW w:w="2734" w:type="dxa"/>
            <w:shd w:val="clear" w:color="auto" w:fill="FFC9C9"/>
            <w:tcMar>
              <w:top w:w="80" w:type="dxa"/>
              <w:left w:w="80" w:type="dxa"/>
              <w:bottom w:w="80" w:type="dxa"/>
              <w:right w:w="80" w:type="dxa"/>
            </w:tcMar>
          </w:tcPr>
          <w:p w14:paraId="351ABD06" w14:textId="3FA6F74A" w:rsidR="00697313" w:rsidRPr="00697313" w:rsidRDefault="00697313" w:rsidP="00F839DB">
            <w:pPr>
              <w:pStyle w:val="ListParagraph"/>
              <w:numPr>
                <w:ilvl w:val="0"/>
                <w:numId w:val="225"/>
              </w:numPr>
              <w:spacing w:after="60"/>
              <w:contextualSpacing/>
              <w:rPr>
                <w:rFonts w:eastAsia="Calibri" w:cs="Arial"/>
                <w:sz w:val="14"/>
                <w:szCs w:val="14"/>
                <w:lang w:eastAsia="en-US"/>
              </w:rPr>
            </w:pPr>
            <w:r w:rsidRPr="00697313">
              <w:rPr>
                <w:rFonts w:eastAsia="Calibri" w:cs="Arial"/>
                <w:sz w:val="14"/>
                <w:szCs w:val="14"/>
                <w:lang w:eastAsia="en-US"/>
              </w:rPr>
              <w:t xml:space="preserve">Insurer is responsible for the development of an injury management plan — </w:t>
            </w:r>
            <w:hyperlink r:id="rId1664" w:history="1">
              <w:r w:rsidRPr="008D08DF">
                <w:rPr>
                  <w:rStyle w:val="Hyperlink"/>
                  <w:rFonts w:eastAsia="Calibri" w:cs="Arial"/>
                  <w:sz w:val="14"/>
                  <w:szCs w:val="14"/>
                  <w:lang w:eastAsia="en-US"/>
                </w:rPr>
                <w:t>s45</w:t>
              </w:r>
            </w:hyperlink>
            <w:r w:rsidRPr="00697313">
              <w:rPr>
                <w:rFonts w:eastAsia="Calibri" w:cs="Arial"/>
                <w:sz w:val="14"/>
                <w:szCs w:val="14"/>
                <w:lang w:eastAsia="en-US"/>
              </w:rPr>
              <w:t xml:space="preserve"> of the </w:t>
            </w:r>
            <w:r w:rsidR="008D08DF" w:rsidRPr="00016069">
              <w:rPr>
                <w:i/>
                <w:sz w:val="14"/>
              </w:rPr>
              <w:t>Workplace Injury Management and</w:t>
            </w:r>
            <w:r w:rsidR="008D08DF">
              <w:rPr>
                <w:i/>
                <w:sz w:val="14"/>
              </w:rPr>
              <w:t xml:space="preserve"> Workers Compensation Act 1998</w:t>
            </w:r>
            <w:r w:rsidRPr="00697313">
              <w:rPr>
                <w:rFonts w:eastAsia="Calibri" w:cs="Arial"/>
                <w:sz w:val="14"/>
                <w:szCs w:val="14"/>
                <w:lang w:eastAsia="en-US"/>
              </w:rPr>
              <w:t>.</w:t>
            </w:r>
          </w:p>
          <w:p w14:paraId="5DD26113" w14:textId="77777777" w:rsidR="00697313" w:rsidRPr="00697313" w:rsidRDefault="00697313" w:rsidP="00F839DB">
            <w:pPr>
              <w:pStyle w:val="ListParagraph"/>
              <w:numPr>
                <w:ilvl w:val="0"/>
                <w:numId w:val="225"/>
              </w:numPr>
              <w:spacing w:after="60"/>
              <w:contextualSpacing/>
              <w:rPr>
                <w:rFonts w:eastAsia="Calibri" w:cs="Arial"/>
                <w:sz w:val="14"/>
                <w:szCs w:val="14"/>
                <w:lang w:eastAsia="en-US"/>
              </w:rPr>
            </w:pPr>
            <w:r w:rsidRPr="00697313">
              <w:rPr>
                <w:rFonts w:eastAsia="Calibri" w:cs="Arial"/>
                <w:sz w:val="14"/>
                <w:szCs w:val="14"/>
                <w:lang w:eastAsia="en-US"/>
              </w:rPr>
              <w:t>As part of the injury management plan an employer is responsible for the development of a return to work plan.</w:t>
            </w:r>
          </w:p>
        </w:tc>
        <w:tc>
          <w:tcPr>
            <w:tcW w:w="2936" w:type="dxa"/>
            <w:shd w:val="clear" w:color="auto" w:fill="FFC9C9"/>
            <w:tcMar>
              <w:top w:w="80" w:type="dxa"/>
              <w:left w:w="80" w:type="dxa"/>
              <w:bottom w:w="80" w:type="dxa"/>
              <w:right w:w="80" w:type="dxa"/>
            </w:tcMar>
          </w:tcPr>
          <w:p w14:paraId="6AE30432" w14:textId="7F104578"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If worker sustains significant injury i.e. workplace injury that is likely to result in the worker being incapacitated for work for a continuous period of more than 7 days, whether or not any of those days are work days and whether or not the incapacity is total or partial or a combination of both the insurer is responsible for the development of an injury management plan. Refer </w:t>
            </w:r>
            <w:hyperlink r:id="rId1665" w:history="1">
              <w:r w:rsidRPr="008D08DF">
                <w:rPr>
                  <w:rStyle w:val="Hyperlink"/>
                  <w:rFonts w:cs="Arial"/>
                  <w:sz w:val="14"/>
                  <w:szCs w:val="16"/>
                  <w:lang w:val="en-GB"/>
                </w:rPr>
                <w:t>s45</w:t>
              </w:r>
            </w:hyperlink>
            <w:r w:rsidRPr="00697313">
              <w:rPr>
                <w:rFonts w:cs="Arial"/>
                <w:color w:val="000000"/>
                <w:sz w:val="14"/>
                <w:szCs w:val="16"/>
                <w:lang w:val="en-GB"/>
              </w:rPr>
              <w:t xml:space="preserve"> 1998 Act. </w:t>
            </w:r>
          </w:p>
        </w:tc>
        <w:tc>
          <w:tcPr>
            <w:tcW w:w="3118" w:type="dxa"/>
            <w:shd w:val="clear" w:color="auto" w:fill="FFC9C9"/>
            <w:tcMar>
              <w:top w:w="80" w:type="dxa"/>
              <w:left w:w="80" w:type="dxa"/>
              <w:bottom w:w="80" w:type="dxa"/>
              <w:right w:w="80" w:type="dxa"/>
            </w:tcMar>
          </w:tcPr>
          <w:p w14:paraId="2224DA64"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The injury management plan outlines services required to assist a worker to recover and return to work. Includes details about treatment, rehabilitation and retraining. It is developed in consultation with the worker and employer, and outlines the actions and obligations for each participant. </w:t>
            </w:r>
          </w:p>
        </w:tc>
        <w:tc>
          <w:tcPr>
            <w:tcW w:w="2694" w:type="dxa"/>
            <w:shd w:val="clear" w:color="auto" w:fill="FFC9C9"/>
            <w:tcMar>
              <w:top w:w="80" w:type="dxa"/>
              <w:left w:w="80" w:type="dxa"/>
              <w:bottom w:w="80" w:type="dxa"/>
              <w:right w:w="80" w:type="dxa"/>
            </w:tcMar>
          </w:tcPr>
          <w:p w14:paraId="2D562454" w14:textId="77777777" w:rsidR="00697313" w:rsidRDefault="00697313" w:rsidP="008B64CA">
            <w:pPr>
              <w:spacing w:after="60"/>
              <w:rPr>
                <w:rFonts w:cs="Arial"/>
                <w:color w:val="0000FF"/>
                <w:sz w:val="14"/>
                <w:szCs w:val="16"/>
                <w:u w:val="single"/>
              </w:rPr>
            </w:pPr>
            <w:r w:rsidRPr="00697313">
              <w:rPr>
                <w:rFonts w:cs="Arial"/>
                <w:color w:val="000000"/>
                <w:sz w:val="14"/>
                <w:szCs w:val="16"/>
              </w:rPr>
              <w:t xml:space="preserve">An employer is to develop a </w:t>
            </w:r>
            <w:r w:rsidR="008B64CA">
              <w:rPr>
                <w:rFonts w:cs="Arial"/>
                <w:color w:val="000000"/>
                <w:sz w:val="14"/>
                <w:szCs w:val="16"/>
              </w:rPr>
              <w:t xml:space="preserve">recovery at </w:t>
            </w:r>
            <w:r w:rsidRPr="00697313">
              <w:rPr>
                <w:rFonts w:cs="Arial"/>
                <w:color w:val="000000"/>
                <w:sz w:val="14"/>
                <w:szCs w:val="16"/>
              </w:rPr>
              <w:t xml:space="preserve">work plan for each worker who returns to suitable </w:t>
            </w:r>
            <w:r w:rsidR="008B64CA">
              <w:rPr>
                <w:rFonts w:cs="Arial"/>
                <w:color w:val="000000"/>
                <w:sz w:val="14"/>
                <w:szCs w:val="16"/>
              </w:rPr>
              <w:t>work</w:t>
            </w:r>
            <w:r w:rsidRPr="00697313">
              <w:rPr>
                <w:rFonts w:cs="Arial"/>
                <w:color w:val="000000"/>
                <w:sz w:val="14"/>
                <w:szCs w:val="16"/>
              </w:rPr>
              <w:t xml:space="preserve">. For details refer to </w:t>
            </w:r>
            <w:hyperlink r:id="rId1666" w:history="1">
              <w:r w:rsidR="008B64CA">
                <w:rPr>
                  <w:rFonts w:cs="Arial"/>
                  <w:color w:val="0000FF"/>
                  <w:sz w:val="14"/>
                  <w:szCs w:val="16"/>
                  <w:u w:val="single"/>
                </w:rPr>
                <w:t>Guidelines for workplace return to work programs May 2017</w:t>
              </w:r>
            </w:hyperlink>
            <w:r w:rsidR="00E13D9F">
              <w:rPr>
                <w:rFonts w:cs="Arial"/>
                <w:color w:val="0000FF"/>
                <w:sz w:val="14"/>
                <w:szCs w:val="16"/>
                <w:u w:val="single"/>
              </w:rPr>
              <w:t>.</w:t>
            </w:r>
          </w:p>
          <w:p w14:paraId="7ADAFB47" w14:textId="3EEC58E9" w:rsidR="008B64CA" w:rsidRPr="00697313" w:rsidRDefault="00A7538C" w:rsidP="008B64CA">
            <w:pPr>
              <w:spacing w:after="60"/>
              <w:rPr>
                <w:rFonts w:cs="Arial"/>
                <w:color w:val="000000"/>
                <w:sz w:val="14"/>
                <w:szCs w:val="16"/>
                <w:lang w:val="en-GB"/>
              </w:rPr>
            </w:pPr>
            <w:hyperlink r:id="rId1667" w:history="1">
              <w:r w:rsidR="008B64CA" w:rsidRPr="00A41920">
                <w:rPr>
                  <w:rFonts w:cs="Arial"/>
                  <w:color w:val="0000FF" w:themeColor="hyperlink"/>
                  <w:sz w:val="14"/>
                  <w:szCs w:val="16"/>
                  <w:u w:val="single"/>
                  <w:lang w:val="en-GB"/>
                </w:rPr>
                <w:t>Recover at work planning tool and template</w:t>
              </w:r>
            </w:hyperlink>
            <w:r w:rsidR="008B64CA">
              <w:rPr>
                <w:rFonts w:cs="Arial"/>
                <w:color w:val="000000"/>
                <w:sz w:val="14"/>
                <w:szCs w:val="16"/>
                <w:lang w:val="en-GB"/>
              </w:rPr>
              <w:t xml:space="preserve"> —</w:t>
            </w:r>
            <w:r w:rsidR="008B64CA" w:rsidRPr="00A41920">
              <w:rPr>
                <w:rFonts w:cs="Arial"/>
                <w:color w:val="000000"/>
                <w:sz w:val="14"/>
                <w:szCs w:val="16"/>
                <w:lang w:val="en-GB"/>
              </w:rPr>
              <w:t xml:space="preserve"> to assist in the development of a recover at work plan</w:t>
            </w:r>
            <w:r w:rsidR="008B64CA">
              <w:rPr>
                <w:rFonts w:cs="Arial"/>
                <w:color w:val="000000"/>
                <w:sz w:val="14"/>
                <w:szCs w:val="16"/>
                <w:lang w:val="en-GB"/>
              </w:rPr>
              <w:t>.</w:t>
            </w:r>
          </w:p>
        </w:tc>
        <w:tc>
          <w:tcPr>
            <w:tcW w:w="2190" w:type="dxa"/>
            <w:shd w:val="clear" w:color="auto" w:fill="FFC9C9"/>
            <w:tcMar>
              <w:top w:w="80" w:type="dxa"/>
              <w:left w:w="80" w:type="dxa"/>
              <w:bottom w:w="80" w:type="dxa"/>
              <w:right w:w="80" w:type="dxa"/>
            </w:tcMar>
          </w:tcPr>
          <w:p w14:paraId="3DE6C18A"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If injury is a significant injury then insurer must establish an injury management plan.</w:t>
            </w:r>
          </w:p>
        </w:tc>
      </w:tr>
      <w:tr w:rsidR="00697313" w:rsidRPr="00697313" w14:paraId="4C1F9D75" w14:textId="77777777" w:rsidTr="00D413F6">
        <w:tc>
          <w:tcPr>
            <w:tcW w:w="1343" w:type="dxa"/>
            <w:tcMar>
              <w:top w:w="80" w:type="dxa"/>
              <w:left w:w="80" w:type="dxa"/>
              <w:bottom w:w="80" w:type="dxa"/>
              <w:right w:w="80" w:type="dxa"/>
            </w:tcMar>
          </w:tcPr>
          <w:p w14:paraId="6306D94E"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Victoria</w:t>
            </w:r>
          </w:p>
        </w:tc>
        <w:tc>
          <w:tcPr>
            <w:tcW w:w="2734" w:type="dxa"/>
            <w:tcMar>
              <w:top w:w="80" w:type="dxa"/>
              <w:left w:w="80" w:type="dxa"/>
              <w:bottom w:w="80" w:type="dxa"/>
              <w:right w:w="80" w:type="dxa"/>
            </w:tcMar>
          </w:tcPr>
          <w:p w14:paraId="18CB671F" w14:textId="4A5FD4AD"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Employer — </w:t>
            </w:r>
            <w:hyperlink r:id="rId1668" w:history="1">
              <w:r w:rsidRPr="003F5F1D">
                <w:rPr>
                  <w:rStyle w:val="Hyperlink"/>
                  <w:rFonts w:cs="Arial"/>
                  <w:sz w:val="14"/>
                  <w:szCs w:val="16"/>
                  <w:lang w:val="en-GB"/>
                </w:rPr>
                <w:t>s103</w:t>
              </w:r>
            </w:hyperlink>
            <w:r w:rsidRPr="00697313">
              <w:rPr>
                <w:rFonts w:cs="Arial"/>
                <w:color w:val="000000"/>
                <w:sz w:val="14"/>
                <w:szCs w:val="16"/>
                <w:lang w:val="en-GB"/>
              </w:rPr>
              <w:t xml:space="preserve"> (provide employment)</w:t>
            </w:r>
            <w:r w:rsidR="00B461BC">
              <w:rPr>
                <w:rFonts w:cs="Arial"/>
                <w:color w:val="000000"/>
                <w:sz w:val="14"/>
                <w:szCs w:val="16"/>
                <w:lang w:val="en-GB"/>
              </w:rPr>
              <w:t xml:space="preserve"> and </w:t>
            </w:r>
            <w:hyperlink r:id="rId1669" w:history="1">
              <w:r w:rsidR="00B461BC" w:rsidRPr="003F5F1D">
                <w:rPr>
                  <w:rStyle w:val="Hyperlink"/>
                  <w:rFonts w:cs="Arial"/>
                  <w:sz w:val="14"/>
                  <w:szCs w:val="16"/>
                  <w:lang w:val="en-GB"/>
                </w:rPr>
                <w:t>s104</w:t>
              </w:r>
            </w:hyperlink>
            <w:r w:rsidR="00B461BC">
              <w:rPr>
                <w:rFonts w:cs="Arial"/>
                <w:color w:val="000000"/>
                <w:sz w:val="14"/>
                <w:szCs w:val="16"/>
                <w:lang w:val="en-GB"/>
              </w:rPr>
              <w:t xml:space="preserve"> (plan return to work)</w:t>
            </w:r>
          </w:p>
        </w:tc>
        <w:tc>
          <w:tcPr>
            <w:tcW w:w="2936" w:type="dxa"/>
            <w:tcMar>
              <w:top w:w="80" w:type="dxa"/>
              <w:left w:w="80" w:type="dxa"/>
              <w:bottom w:w="80" w:type="dxa"/>
              <w:right w:w="80" w:type="dxa"/>
            </w:tcMar>
          </w:tcPr>
          <w:p w14:paraId="4E3FC54F" w14:textId="783983C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Employer must plan a worker’s return to work from the date on which the employer knows or ought reasonably to have known of worker’s incapacity, whichever is the earlier date. </w:t>
            </w:r>
            <w:hyperlink r:id="rId1670" w:history="1">
              <w:r w:rsidRPr="003F5F1D">
                <w:rPr>
                  <w:rStyle w:val="Hyperlink"/>
                  <w:rFonts w:cs="Arial"/>
                  <w:sz w:val="14"/>
                  <w:szCs w:val="16"/>
                  <w:lang w:val="en-GB"/>
                </w:rPr>
                <w:t>s96</w:t>
              </w:r>
            </w:hyperlink>
            <w:r w:rsidRPr="00697313">
              <w:rPr>
                <w:rFonts w:cs="Arial"/>
                <w:color w:val="000000"/>
                <w:sz w:val="14"/>
                <w:szCs w:val="16"/>
                <w:lang w:val="en-GB"/>
              </w:rPr>
              <w:t xml:space="preserve"> — Defines this start date as the earliest of the following dates:</w:t>
            </w:r>
          </w:p>
          <w:p w14:paraId="7F81589D" w14:textId="316E1D27" w:rsidR="00697313" w:rsidRPr="00697313" w:rsidRDefault="00697313" w:rsidP="00F839DB">
            <w:pPr>
              <w:pStyle w:val="ListParagraph"/>
              <w:numPr>
                <w:ilvl w:val="0"/>
                <w:numId w:val="226"/>
              </w:numPr>
              <w:spacing w:after="60"/>
              <w:contextualSpacing/>
              <w:rPr>
                <w:rFonts w:eastAsia="Calibri" w:cs="Arial"/>
                <w:sz w:val="14"/>
                <w:szCs w:val="14"/>
                <w:lang w:eastAsia="en-US"/>
              </w:rPr>
            </w:pPr>
            <w:r w:rsidRPr="00697313">
              <w:rPr>
                <w:rFonts w:eastAsia="Calibri" w:cs="Arial"/>
                <w:sz w:val="14"/>
                <w:szCs w:val="14"/>
                <w:lang w:eastAsia="en-US"/>
              </w:rPr>
              <w:t xml:space="preserve">the date the employer receives the worker’s medical certificate (issued in accordance with </w:t>
            </w:r>
            <w:hyperlink r:id="rId1671" w:history="1">
              <w:r w:rsidRPr="003F5F1D">
                <w:rPr>
                  <w:rStyle w:val="Hyperlink"/>
                  <w:rFonts w:eastAsia="Calibri" w:cs="Arial"/>
                  <w:sz w:val="14"/>
                  <w:szCs w:val="14"/>
                  <w:lang w:eastAsia="en-US"/>
                </w:rPr>
                <w:t>s25(1)</w:t>
              </w:r>
            </w:hyperlink>
            <w:r w:rsidRPr="00697313">
              <w:rPr>
                <w:rFonts w:eastAsia="Calibri" w:cs="Arial"/>
                <w:sz w:val="14"/>
                <w:szCs w:val="14"/>
                <w:lang w:eastAsia="en-US"/>
              </w:rPr>
              <w:t>,</w:t>
            </w:r>
            <w:r w:rsidR="00344F9F">
              <w:rPr>
                <w:rFonts w:eastAsia="Calibri" w:cs="Arial"/>
                <w:sz w:val="14"/>
                <w:szCs w:val="14"/>
                <w:lang w:eastAsia="en-US"/>
              </w:rPr>
              <w:t xml:space="preserve"> </w:t>
            </w:r>
            <w:r w:rsidRPr="00697313">
              <w:rPr>
                <w:rFonts w:eastAsia="Calibri" w:cs="Arial"/>
                <w:sz w:val="14"/>
                <w:szCs w:val="14"/>
                <w:lang w:eastAsia="en-US"/>
              </w:rPr>
              <w:t xml:space="preserve">or </w:t>
            </w:r>
          </w:p>
          <w:p w14:paraId="203174F9" w14:textId="77777777" w:rsidR="00697313" w:rsidRPr="00697313" w:rsidRDefault="00697313" w:rsidP="00F839DB">
            <w:pPr>
              <w:pStyle w:val="ListParagraph"/>
              <w:numPr>
                <w:ilvl w:val="0"/>
                <w:numId w:val="226"/>
              </w:numPr>
              <w:spacing w:after="60"/>
              <w:contextualSpacing/>
              <w:rPr>
                <w:rFonts w:eastAsia="Calibri" w:cs="Arial"/>
                <w:sz w:val="14"/>
                <w:szCs w:val="14"/>
                <w:lang w:eastAsia="en-US"/>
              </w:rPr>
            </w:pPr>
            <w:r w:rsidRPr="00697313">
              <w:rPr>
                <w:rFonts w:eastAsia="Calibri" w:cs="Arial"/>
                <w:sz w:val="14"/>
                <w:szCs w:val="14"/>
                <w:lang w:eastAsia="en-US"/>
              </w:rPr>
              <w:t>the date the employer receives a claim for compensation from the worker in the form of weekly payments, or</w:t>
            </w:r>
          </w:p>
          <w:p w14:paraId="24614AB4" w14:textId="77777777" w:rsidR="00697313" w:rsidRPr="00697313" w:rsidRDefault="00697313" w:rsidP="00F839DB">
            <w:pPr>
              <w:pStyle w:val="ListParagraph"/>
              <w:numPr>
                <w:ilvl w:val="0"/>
                <w:numId w:val="226"/>
              </w:numPr>
              <w:spacing w:after="60"/>
              <w:contextualSpacing/>
              <w:rPr>
                <w:rFonts w:eastAsia="Calibri" w:cs="Arial"/>
                <w:sz w:val="14"/>
                <w:szCs w:val="14"/>
                <w:lang w:eastAsia="en-US"/>
              </w:rPr>
            </w:pPr>
            <w:r w:rsidRPr="00697313">
              <w:rPr>
                <w:rFonts w:eastAsia="Calibri" w:cs="Arial"/>
                <w:sz w:val="14"/>
                <w:szCs w:val="14"/>
                <w:lang w:eastAsia="en-US"/>
              </w:rPr>
              <w:t xml:space="preserve">the date the employer is notified by the Authority that the worker has made a claim for compensation in the form of weekly payments, or </w:t>
            </w:r>
          </w:p>
          <w:p w14:paraId="437B917D" w14:textId="7E9566BE" w:rsidR="00697313" w:rsidRPr="00697313" w:rsidRDefault="00697313" w:rsidP="00F839DB">
            <w:pPr>
              <w:pStyle w:val="ListParagraph"/>
              <w:numPr>
                <w:ilvl w:val="0"/>
                <w:numId w:val="226"/>
              </w:numPr>
              <w:spacing w:after="60"/>
              <w:contextualSpacing/>
              <w:rPr>
                <w:rFonts w:eastAsia="Calibri" w:cs="Arial"/>
                <w:sz w:val="14"/>
                <w:szCs w:val="14"/>
                <w:lang w:eastAsia="en-US"/>
              </w:rPr>
            </w:pPr>
            <w:r w:rsidRPr="00697313">
              <w:rPr>
                <w:rFonts w:eastAsia="Calibri" w:cs="Arial"/>
                <w:sz w:val="14"/>
                <w:szCs w:val="14"/>
                <w:lang w:eastAsia="en-US"/>
              </w:rPr>
              <w:t xml:space="preserve">the date the employer is notified by the Authority that the worker has provided the Authority with a medical certificate issued in accordance with </w:t>
            </w:r>
            <w:hyperlink r:id="rId1672" w:history="1">
              <w:r w:rsidRPr="003F5F1D">
                <w:rPr>
                  <w:rStyle w:val="Hyperlink"/>
                  <w:rFonts w:eastAsia="Calibri" w:cs="Arial"/>
                  <w:sz w:val="14"/>
                  <w:szCs w:val="14"/>
                  <w:lang w:eastAsia="en-US"/>
                </w:rPr>
                <w:t>s25(1)</w:t>
              </w:r>
            </w:hyperlink>
            <w:r w:rsidRPr="00697313">
              <w:rPr>
                <w:rFonts w:eastAsia="Calibri" w:cs="Arial"/>
                <w:sz w:val="14"/>
                <w:szCs w:val="14"/>
                <w:lang w:eastAsia="en-US"/>
              </w:rPr>
              <w:t>.</w:t>
            </w:r>
          </w:p>
        </w:tc>
        <w:tc>
          <w:tcPr>
            <w:tcW w:w="3118" w:type="dxa"/>
            <w:tcMar>
              <w:top w:w="80" w:type="dxa"/>
              <w:left w:w="80" w:type="dxa"/>
              <w:bottom w:w="80" w:type="dxa"/>
              <w:right w:w="80" w:type="dxa"/>
            </w:tcMar>
          </w:tcPr>
          <w:p w14:paraId="768947CA" w14:textId="77777777" w:rsidR="00697313" w:rsidRPr="00697313" w:rsidRDefault="00697313" w:rsidP="00F839DB">
            <w:pPr>
              <w:pStyle w:val="ListParagraph"/>
              <w:numPr>
                <w:ilvl w:val="0"/>
                <w:numId w:val="226"/>
              </w:numPr>
              <w:spacing w:after="60"/>
              <w:rPr>
                <w:rFonts w:eastAsia="Calibri" w:cs="Arial"/>
                <w:sz w:val="14"/>
                <w:szCs w:val="14"/>
                <w:lang w:eastAsia="en-US"/>
              </w:rPr>
            </w:pPr>
            <w:r w:rsidRPr="00697313">
              <w:rPr>
                <w:rFonts w:eastAsia="Calibri" w:cs="Arial"/>
                <w:sz w:val="14"/>
                <w:szCs w:val="14"/>
                <w:lang w:eastAsia="en-US"/>
              </w:rPr>
              <w:t>Once suitable or pre-injury employment has been confirmed, employers must provide the worker with details of the return to work arrangements. The details of the return to work arrangements must be clear, accurate and up to date. Employers should include (but not limit themselves to including) details about:</w:t>
            </w:r>
          </w:p>
          <w:p w14:paraId="0B94195B"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the suitable employment being provided including modified or alternative duties that accommodate restrictions identified in medical information available such as Certificates of Capacity</w:t>
            </w:r>
          </w:p>
          <w:p w14:paraId="4B9D6D08"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commencement time and date</w:t>
            </w:r>
          </w:p>
          <w:p w14:paraId="716CB5DA"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details of any tasks or duties the worker needs to avoid</w:t>
            </w:r>
          </w:p>
          <w:p w14:paraId="72896640"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the hours of work and the place of work</w:t>
            </w:r>
          </w:p>
          <w:p w14:paraId="1C24A169"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work breaks, rotations or exercise breaks</w:t>
            </w:r>
          </w:p>
          <w:p w14:paraId="4450EBDF"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support, aids or modifications to the workplace to assist the worker’s return to work</w:t>
            </w:r>
          </w:p>
          <w:p w14:paraId="6F75A2B9"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the Return to Work Coordinator contact details</w:t>
            </w:r>
          </w:p>
          <w:p w14:paraId="0EF095CF"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details of the worker’s supervisor or manager when returning to work, and</w:t>
            </w:r>
          </w:p>
          <w:p w14:paraId="3EAFF0C1" w14:textId="77777777" w:rsidR="00697313" w:rsidRPr="00697313" w:rsidRDefault="00697313" w:rsidP="00F839DB">
            <w:pPr>
              <w:pStyle w:val="ListParagraph"/>
              <w:numPr>
                <w:ilvl w:val="0"/>
                <w:numId w:val="227"/>
              </w:numPr>
              <w:spacing w:after="60"/>
              <w:ind w:left="686" w:hanging="425"/>
              <w:rPr>
                <w:rFonts w:cs="Arial"/>
                <w:color w:val="000000"/>
                <w:sz w:val="14"/>
                <w:szCs w:val="16"/>
                <w:lang w:val="en-GB"/>
              </w:rPr>
            </w:pPr>
            <w:r w:rsidRPr="00697313">
              <w:rPr>
                <w:rFonts w:cs="Arial"/>
                <w:color w:val="000000"/>
                <w:sz w:val="14"/>
                <w:szCs w:val="16"/>
                <w:lang w:val="en-GB"/>
              </w:rPr>
              <w:t>the review date (reviews may occur earlier than this date as appropriate).</w:t>
            </w:r>
          </w:p>
          <w:p w14:paraId="7EB3EBAF" w14:textId="77777777" w:rsidR="00697313" w:rsidRPr="00697313" w:rsidRDefault="00697313" w:rsidP="00F839DB">
            <w:pPr>
              <w:pStyle w:val="ListParagraph"/>
              <w:numPr>
                <w:ilvl w:val="0"/>
                <w:numId w:val="228"/>
              </w:numPr>
              <w:spacing w:after="60"/>
              <w:ind w:left="357" w:hanging="357"/>
              <w:rPr>
                <w:rFonts w:eastAsia="Calibri" w:cs="Arial"/>
                <w:sz w:val="14"/>
                <w:szCs w:val="14"/>
                <w:lang w:eastAsia="en-US"/>
              </w:rPr>
            </w:pPr>
            <w:r w:rsidRPr="00697313">
              <w:rPr>
                <w:rFonts w:eastAsia="Calibri" w:cs="Arial"/>
                <w:sz w:val="14"/>
                <w:szCs w:val="14"/>
                <w:lang w:eastAsia="en-US"/>
              </w:rPr>
              <w:t xml:space="preserve">An employer must communicate the details of the return to work arrangements to the worker or other relevant parties in a way that is most appropriate for the worker and the other parties. Providing the worker with this information in writing </w:t>
            </w:r>
            <w:r w:rsidRPr="00697313">
              <w:rPr>
                <w:rFonts w:eastAsia="Calibri" w:cs="Arial"/>
                <w:sz w:val="14"/>
                <w:szCs w:val="14"/>
                <w:lang w:eastAsia="en-US"/>
              </w:rPr>
              <w:lastRenderedPageBreak/>
              <w:t>is one way to comply, but it is not mandatory to do so. However, this may not always be adequate and other approaches may be required such as talking through the return to work arrangements with the worker.</w:t>
            </w:r>
          </w:p>
        </w:tc>
        <w:tc>
          <w:tcPr>
            <w:tcW w:w="2694" w:type="dxa"/>
            <w:tcMar>
              <w:top w:w="80" w:type="dxa"/>
              <w:left w:w="80" w:type="dxa"/>
              <w:bottom w:w="80" w:type="dxa"/>
              <w:right w:w="80" w:type="dxa"/>
            </w:tcMar>
          </w:tcPr>
          <w:p w14:paraId="57659507" w14:textId="21D1BB5E" w:rsidR="00697313" w:rsidRPr="00697313" w:rsidRDefault="00A7538C" w:rsidP="00292A53">
            <w:pPr>
              <w:spacing w:after="60"/>
              <w:rPr>
                <w:rFonts w:cs="Arial"/>
                <w:color w:val="000000"/>
                <w:sz w:val="14"/>
                <w:szCs w:val="16"/>
                <w:lang w:val="en-GB"/>
              </w:rPr>
            </w:pPr>
            <w:hyperlink r:id="rId1673" w:history="1">
              <w:r w:rsidR="00697313" w:rsidRPr="00697313">
                <w:rPr>
                  <w:rFonts w:cs="Arial"/>
                  <w:color w:val="0000FF"/>
                  <w:sz w:val="14"/>
                  <w:szCs w:val="16"/>
                  <w:u w:val="single"/>
                  <w:lang w:val="en-GB"/>
                </w:rPr>
                <w:t>Return to work Compliance Code 1: Providing employment, planning and consulting about return to work</w:t>
              </w:r>
            </w:hyperlink>
          </w:p>
        </w:tc>
        <w:tc>
          <w:tcPr>
            <w:tcW w:w="2190" w:type="dxa"/>
            <w:tcMar>
              <w:top w:w="80" w:type="dxa"/>
              <w:left w:w="80" w:type="dxa"/>
              <w:bottom w:w="80" w:type="dxa"/>
              <w:right w:w="80" w:type="dxa"/>
            </w:tcMar>
          </w:tcPr>
          <w:p w14:paraId="6F132281" w14:textId="168906AC"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No</w:t>
            </w:r>
          </w:p>
        </w:tc>
      </w:tr>
      <w:tr w:rsidR="00697313" w:rsidRPr="00697313" w14:paraId="17633355" w14:textId="77777777" w:rsidTr="00D413F6">
        <w:tc>
          <w:tcPr>
            <w:tcW w:w="1343" w:type="dxa"/>
            <w:shd w:val="clear" w:color="auto" w:fill="FFC9C9"/>
            <w:tcMar>
              <w:top w:w="80" w:type="dxa"/>
              <w:left w:w="80" w:type="dxa"/>
              <w:bottom w:w="80" w:type="dxa"/>
              <w:right w:w="80" w:type="dxa"/>
            </w:tcMar>
          </w:tcPr>
          <w:p w14:paraId="73E86F3D"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Queensland</w:t>
            </w:r>
          </w:p>
        </w:tc>
        <w:tc>
          <w:tcPr>
            <w:tcW w:w="2734" w:type="dxa"/>
            <w:shd w:val="clear" w:color="auto" w:fill="FFC9C9"/>
            <w:tcMar>
              <w:top w:w="80" w:type="dxa"/>
              <w:left w:w="80" w:type="dxa"/>
              <w:bottom w:w="80" w:type="dxa"/>
              <w:right w:w="80" w:type="dxa"/>
            </w:tcMar>
          </w:tcPr>
          <w:p w14:paraId="23864F6F" w14:textId="3A2A1F4D" w:rsidR="00697313" w:rsidRPr="00697313" w:rsidRDefault="008F7064" w:rsidP="00292A53">
            <w:pPr>
              <w:spacing w:after="60"/>
              <w:rPr>
                <w:rFonts w:cs="Arial"/>
                <w:color w:val="000000"/>
                <w:sz w:val="14"/>
                <w:szCs w:val="16"/>
                <w:lang w:val="en-GB"/>
              </w:rPr>
            </w:pPr>
            <w:r w:rsidRPr="00016069">
              <w:rPr>
                <w:i/>
                <w:sz w:val="14"/>
              </w:rPr>
              <w:t>Workers’ Compensation and Rehabilitation Act 2003</w:t>
            </w:r>
            <w:r w:rsidR="00B461BC">
              <w:rPr>
                <w:rFonts w:cs="Arial"/>
                <w:color w:val="000000"/>
                <w:sz w:val="14"/>
                <w:szCs w:val="16"/>
                <w:lang w:val="en-GB"/>
              </w:rPr>
              <w:t xml:space="preserve"> </w:t>
            </w:r>
            <w:hyperlink r:id="rId1674" w:anchor="sec.220" w:history="1">
              <w:r w:rsidR="00AC2471" w:rsidRPr="005855E6">
                <w:rPr>
                  <w:rStyle w:val="Hyperlink"/>
                  <w:rFonts w:cs="Arial"/>
                  <w:sz w:val="14"/>
                  <w:szCs w:val="16"/>
                  <w:lang w:val="en-GB"/>
                </w:rPr>
                <w:t>s220</w:t>
              </w:r>
            </w:hyperlink>
            <w:r w:rsidR="00B461BC">
              <w:rPr>
                <w:rFonts w:cs="Arial"/>
                <w:color w:val="000000"/>
                <w:sz w:val="14"/>
                <w:szCs w:val="16"/>
                <w:lang w:val="en-GB"/>
              </w:rPr>
              <w:t xml:space="preserve"> — The insurer</w:t>
            </w:r>
          </w:p>
        </w:tc>
        <w:tc>
          <w:tcPr>
            <w:tcW w:w="2936" w:type="dxa"/>
            <w:shd w:val="clear" w:color="auto" w:fill="FFC9C9"/>
            <w:tcMar>
              <w:top w:w="80" w:type="dxa"/>
              <w:left w:w="80" w:type="dxa"/>
              <w:bottom w:w="80" w:type="dxa"/>
              <w:right w:w="80" w:type="dxa"/>
            </w:tcMar>
          </w:tcPr>
          <w:p w14:paraId="72A21E9A" w14:textId="7E46B341" w:rsidR="00697313" w:rsidRPr="00697313" w:rsidRDefault="00697313" w:rsidP="00E95BD7">
            <w:pPr>
              <w:spacing w:after="60"/>
              <w:rPr>
                <w:rFonts w:cs="Arial"/>
                <w:color w:val="000000"/>
                <w:sz w:val="14"/>
                <w:szCs w:val="16"/>
                <w:lang w:val="en-GB"/>
              </w:rPr>
            </w:pPr>
            <w:r w:rsidRPr="00697313">
              <w:rPr>
                <w:rFonts w:cs="Arial"/>
                <w:color w:val="000000"/>
                <w:sz w:val="14"/>
                <w:szCs w:val="16"/>
                <w:lang w:val="en-GB"/>
              </w:rPr>
              <w:t xml:space="preserve">Act </w:t>
            </w:r>
            <w:hyperlink r:id="rId1675" w:anchor="sec.220" w:history="1">
              <w:r w:rsidR="00AC2471" w:rsidRPr="005855E6">
                <w:rPr>
                  <w:rStyle w:val="Hyperlink"/>
                  <w:rFonts w:cs="Arial"/>
                  <w:sz w:val="14"/>
                  <w:szCs w:val="16"/>
                  <w:lang w:val="en-GB"/>
                </w:rPr>
                <w:t>s220</w:t>
              </w:r>
            </w:hyperlink>
            <w:r w:rsidRPr="00697313">
              <w:rPr>
                <w:rFonts w:cs="Arial"/>
                <w:color w:val="000000"/>
                <w:sz w:val="14"/>
                <w:szCs w:val="16"/>
                <w:lang w:val="en-GB"/>
              </w:rPr>
              <w:t xml:space="preserve"> </w:t>
            </w:r>
            <w:r w:rsidR="00E95BD7">
              <w:rPr>
                <w:rFonts w:cs="Arial"/>
                <w:color w:val="000000"/>
                <w:sz w:val="14"/>
                <w:szCs w:val="16"/>
                <w:lang w:val="en-GB"/>
              </w:rPr>
              <w:t>—</w:t>
            </w:r>
            <w:r w:rsidR="00E95BD7" w:rsidRPr="00697313">
              <w:rPr>
                <w:rFonts w:cs="Arial"/>
                <w:color w:val="000000"/>
                <w:sz w:val="14"/>
                <w:szCs w:val="16"/>
                <w:lang w:val="en-GB"/>
              </w:rPr>
              <w:t xml:space="preserve"> </w:t>
            </w:r>
            <w:r w:rsidRPr="00697313">
              <w:rPr>
                <w:rFonts w:cs="Arial"/>
                <w:color w:val="000000"/>
                <w:sz w:val="14"/>
                <w:szCs w:val="16"/>
                <w:lang w:val="en-GB"/>
              </w:rPr>
              <w:t xml:space="preserve">An insurer must take the steps it considers practicable to coordinate the development and maintenance of a rehabilitation and return to work plan in consultation with the injured worker, the worker’s employer </w:t>
            </w:r>
            <w:r w:rsidR="00B461BC">
              <w:rPr>
                <w:rFonts w:cs="Arial"/>
                <w:color w:val="000000"/>
                <w:sz w:val="14"/>
                <w:szCs w:val="16"/>
                <w:lang w:val="en-GB"/>
              </w:rPr>
              <w:t>and treating registered persons</w:t>
            </w:r>
          </w:p>
        </w:tc>
        <w:tc>
          <w:tcPr>
            <w:tcW w:w="3118" w:type="dxa"/>
            <w:shd w:val="clear" w:color="auto" w:fill="FFC9C9"/>
            <w:tcMar>
              <w:top w:w="80" w:type="dxa"/>
              <w:left w:w="80" w:type="dxa"/>
              <w:bottom w:w="80" w:type="dxa"/>
              <w:right w:w="80" w:type="dxa"/>
            </w:tcMar>
          </w:tcPr>
          <w:p w14:paraId="507CEC83" w14:textId="6D1F8AC6"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A written plan outlining the rehabilitation objectives and the steps req</w:t>
            </w:r>
            <w:r w:rsidR="00B461BC">
              <w:rPr>
                <w:rFonts w:cs="Arial"/>
                <w:color w:val="000000"/>
                <w:sz w:val="14"/>
                <w:szCs w:val="16"/>
                <w:lang w:val="en-GB"/>
              </w:rPr>
              <w:t>uired to achieve the objectives</w:t>
            </w:r>
          </w:p>
        </w:tc>
        <w:tc>
          <w:tcPr>
            <w:tcW w:w="2694" w:type="dxa"/>
            <w:shd w:val="clear" w:color="auto" w:fill="FFC9C9"/>
            <w:tcMar>
              <w:top w:w="80" w:type="dxa"/>
              <w:left w:w="80" w:type="dxa"/>
              <w:bottom w:w="80" w:type="dxa"/>
              <w:right w:w="80" w:type="dxa"/>
            </w:tcMar>
          </w:tcPr>
          <w:p w14:paraId="638A2D16" w14:textId="6E1BBF38" w:rsidR="00697313" w:rsidRPr="00697313" w:rsidRDefault="00A7538C" w:rsidP="00292A53">
            <w:pPr>
              <w:spacing w:after="60"/>
              <w:rPr>
                <w:rFonts w:cs="Arial"/>
                <w:color w:val="000000"/>
                <w:sz w:val="14"/>
                <w:szCs w:val="16"/>
                <w:lang w:val="en-GB"/>
              </w:rPr>
            </w:pPr>
            <w:hyperlink r:id="rId1676" w:history="1">
              <w:r w:rsidR="00697313" w:rsidRPr="00697313">
                <w:rPr>
                  <w:rFonts w:cs="Arial"/>
                  <w:color w:val="0000FF"/>
                  <w:sz w:val="14"/>
                  <w:szCs w:val="16"/>
                  <w:u w:val="single"/>
                  <w:lang w:val="en-GB"/>
                </w:rPr>
                <w:t>Guidelines for Standard for Rehabilitation</w:t>
              </w:r>
            </w:hyperlink>
          </w:p>
        </w:tc>
        <w:tc>
          <w:tcPr>
            <w:tcW w:w="2190" w:type="dxa"/>
            <w:shd w:val="clear" w:color="auto" w:fill="FFC9C9"/>
            <w:tcMar>
              <w:top w:w="80" w:type="dxa"/>
              <w:left w:w="80" w:type="dxa"/>
              <w:bottom w:w="80" w:type="dxa"/>
              <w:right w:w="80" w:type="dxa"/>
            </w:tcMar>
          </w:tcPr>
          <w:p w14:paraId="46F09A7B" w14:textId="3983B9C3"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No</w:t>
            </w:r>
          </w:p>
        </w:tc>
      </w:tr>
      <w:tr w:rsidR="00697313" w:rsidRPr="00697313" w14:paraId="1CC772F8" w14:textId="77777777" w:rsidTr="00D413F6">
        <w:tc>
          <w:tcPr>
            <w:tcW w:w="1343" w:type="dxa"/>
            <w:tcMar>
              <w:top w:w="80" w:type="dxa"/>
              <w:left w:w="80" w:type="dxa"/>
              <w:bottom w:w="80" w:type="dxa"/>
              <w:right w:w="80" w:type="dxa"/>
            </w:tcMar>
          </w:tcPr>
          <w:p w14:paraId="53B504C4"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Western Australia</w:t>
            </w:r>
          </w:p>
        </w:tc>
        <w:tc>
          <w:tcPr>
            <w:tcW w:w="2734" w:type="dxa"/>
            <w:tcMar>
              <w:top w:w="80" w:type="dxa"/>
              <w:left w:w="80" w:type="dxa"/>
              <w:bottom w:w="80" w:type="dxa"/>
              <w:right w:w="80" w:type="dxa"/>
            </w:tcMar>
          </w:tcPr>
          <w:p w14:paraId="6284B894" w14:textId="5AEBC281"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E</w:t>
            </w:r>
            <w:r w:rsidR="00B461BC">
              <w:rPr>
                <w:rFonts w:cs="Arial"/>
                <w:color w:val="000000"/>
                <w:sz w:val="14"/>
                <w:szCs w:val="16"/>
                <w:lang w:val="en-GB"/>
              </w:rPr>
              <w:t xml:space="preserve">mployer — </w:t>
            </w:r>
            <w:r w:rsidR="00C07E45" w:rsidRPr="00016069">
              <w:rPr>
                <w:i/>
                <w:sz w:val="14"/>
              </w:rPr>
              <w:t>Workers’ Compensation and Injury Management Act 1981</w:t>
            </w:r>
            <w:r w:rsidR="00B461BC">
              <w:rPr>
                <w:rFonts w:cs="Arial"/>
                <w:color w:val="000000"/>
                <w:sz w:val="14"/>
                <w:szCs w:val="16"/>
                <w:lang w:val="en-GB"/>
              </w:rPr>
              <w:t xml:space="preserve"> </w:t>
            </w:r>
            <w:hyperlink r:id="rId1677" w:history="1">
              <w:r w:rsidR="00B461BC" w:rsidRPr="00C07E45">
                <w:rPr>
                  <w:rStyle w:val="Hyperlink"/>
                  <w:rFonts w:cs="Arial"/>
                  <w:sz w:val="14"/>
                  <w:szCs w:val="16"/>
                  <w:lang w:val="en-GB"/>
                </w:rPr>
                <w:t>s155C</w:t>
              </w:r>
            </w:hyperlink>
            <w:r w:rsidR="00B461BC">
              <w:rPr>
                <w:rFonts w:cs="Arial"/>
                <w:color w:val="000000"/>
                <w:sz w:val="14"/>
                <w:szCs w:val="16"/>
                <w:lang w:val="en-GB"/>
              </w:rPr>
              <w:t>; Code — cl7</w:t>
            </w:r>
          </w:p>
        </w:tc>
        <w:tc>
          <w:tcPr>
            <w:tcW w:w="2936" w:type="dxa"/>
            <w:tcMar>
              <w:top w:w="80" w:type="dxa"/>
              <w:left w:w="80" w:type="dxa"/>
              <w:bottom w:w="80" w:type="dxa"/>
              <w:right w:w="80" w:type="dxa"/>
            </w:tcMar>
          </w:tcPr>
          <w:p w14:paraId="18A9FCC1" w14:textId="36F53F9A" w:rsidR="00697313" w:rsidRPr="00697313" w:rsidRDefault="00A7538C" w:rsidP="00292A53">
            <w:pPr>
              <w:spacing w:after="60"/>
              <w:rPr>
                <w:rFonts w:cs="Arial"/>
                <w:color w:val="000000"/>
                <w:sz w:val="14"/>
                <w:szCs w:val="16"/>
                <w:lang w:val="en-GB"/>
              </w:rPr>
            </w:pPr>
            <w:hyperlink r:id="rId1678" w:history="1">
              <w:r w:rsidR="00697313" w:rsidRPr="00C07E45">
                <w:rPr>
                  <w:rStyle w:val="Hyperlink"/>
                  <w:rFonts w:cs="Arial"/>
                  <w:sz w:val="14"/>
                  <w:szCs w:val="16"/>
                  <w:lang w:val="en-GB"/>
                </w:rPr>
                <w:t>s155C</w:t>
              </w:r>
            </w:hyperlink>
            <w:r w:rsidR="00697313" w:rsidRPr="00697313">
              <w:rPr>
                <w:rFonts w:cs="Arial"/>
                <w:color w:val="000000"/>
                <w:sz w:val="14"/>
                <w:szCs w:val="16"/>
                <w:lang w:val="en-GB"/>
              </w:rPr>
              <w:t xml:space="preserve"> — As soon as practicable after </w:t>
            </w:r>
          </w:p>
          <w:p w14:paraId="4C523CAC" w14:textId="77777777" w:rsidR="00697313" w:rsidRPr="006140ED" w:rsidRDefault="00697313" w:rsidP="00F839DB">
            <w:pPr>
              <w:pStyle w:val="ListParagraph"/>
              <w:numPr>
                <w:ilvl w:val="0"/>
                <w:numId w:val="228"/>
              </w:numPr>
              <w:spacing w:after="60"/>
              <w:contextualSpacing/>
              <w:rPr>
                <w:rFonts w:eastAsia="Calibri" w:cs="Arial"/>
                <w:sz w:val="14"/>
                <w:szCs w:val="14"/>
                <w:lang w:eastAsia="en-US"/>
              </w:rPr>
            </w:pPr>
            <w:r w:rsidRPr="006140ED">
              <w:rPr>
                <w:rFonts w:eastAsia="Calibri" w:cs="Arial"/>
                <w:sz w:val="14"/>
                <w:szCs w:val="14"/>
                <w:lang w:eastAsia="en-US"/>
              </w:rPr>
              <w:t xml:space="preserve">the treating doctor indicates the need for a return to work program, or </w:t>
            </w:r>
          </w:p>
          <w:p w14:paraId="09EE740B" w14:textId="77777777" w:rsidR="00697313" w:rsidRPr="006140ED" w:rsidRDefault="00697313" w:rsidP="00F839DB">
            <w:pPr>
              <w:pStyle w:val="ListParagraph"/>
              <w:numPr>
                <w:ilvl w:val="0"/>
                <w:numId w:val="228"/>
              </w:numPr>
              <w:spacing w:after="60"/>
              <w:contextualSpacing/>
              <w:rPr>
                <w:rFonts w:eastAsia="Calibri" w:cs="Arial"/>
                <w:sz w:val="14"/>
                <w:szCs w:val="14"/>
                <w:lang w:eastAsia="en-US"/>
              </w:rPr>
            </w:pPr>
            <w:r w:rsidRPr="006140ED">
              <w:rPr>
                <w:rFonts w:eastAsia="Calibri" w:cs="Arial"/>
                <w:sz w:val="14"/>
                <w:szCs w:val="14"/>
                <w:lang w:eastAsia="en-US"/>
              </w:rPr>
              <w:t>the worker’s doctor signs a medical certificate to the effect that the worker has partial capacity for work or has total capacity but is unable to return to their pre-injury position for some reason.</w:t>
            </w:r>
          </w:p>
        </w:tc>
        <w:tc>
          <w:tcPr>
            <w:tcW w:w="3118" w:type="dxa"/>
            <w:tcMar>
              <w:top w:w="80" w:type="dxa"/>
              <w:left w:w="80" w:type="dxa"/>
              <w:bottom w:w="80" w:type="dxa"/>
              <w:right w:w="80" w:type="dxa"/>
            </w:tcMar>
          </w:tcPr>
          <w:p w14:paraId="1BE69082"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cl8(1)(a) — (d):</w:t>
            </w:r>
          </w:p>
          <w:p w14:paraId="77427BC7" w14:textId="77777777" w:rsidR="00697313" w:rsidRPr="006140ED" w:rsidRDefault="00697313" w:rsidP="00F839DB">
            <w:pPr>
              <w:pStyle w:val="ListParagraph"/>
              <w:numPr>
                <w:ilvl w:val="0"/>
                <w:numId w:val="229"/>
              </w:numPr>
              <w:spacing w:after="60"/>
              <w:contextualSpacing/>
              <w:rPr>
                <w:rFonts w:eastAsia="Calibri" w:cs="Arial"/>
                <w:sz w:val="14"/>
                <w:szCs w:val="14"/>
                <w:lang w:eastAsia="en-US"/>
              </w:rPr>
            </w:pPr>
            <w:r w:rsidRPr="006140ED">
              <w:rPr>
                <w:rFonts w:eastAsia="Calibri" w:cs="Arial"/>
                <w:sz w:val="14"/>
                <w:szCs w:val="14"/>
                <w:lang w:eastAsia="en-US"/>
              </w:rPr>
              <w:t>Names of the injured worker and the employer, and any other details needed to identify them,</w:t>
            </w:r>
          </w:p>
          <w:p w14:paraId="4C93761B" w14:textId="77777777" w:rsidR="00697313" w:rsidRPr="006140ED" w:rsidRDefault="00697313" w:rsidP="00F839DB">
            <w:pPr>
              <w:pStyle w:val="ListParagraph"/>
              <w:numPr>
                <w:ilvl w:val="0"/>
                <w:numId w:val="229"/>
              </w:numPr>
              <w:spacing w:after="60"/>
              <w:contextualSpacing/>
              <w:rPr>
                <w:rFonts w:eastAsia="Calibri" w:cs="Arial"/>
                <w:sz w:val="14"/>
                <w:szCs w:val="14"/>
                <w:lang w:eastAsia="en-US"/>
              </w:rPr>
            </w:pPr>
            <w:r w:rsidRPr="006140ED">
              <w:rPr>
                <w:rFonts w:eastAsia="Calibri" w:cs="Arial"/>
                <w:sz w:val="14"/>
                <w:szCs w:val="14"/>
                <w:lang w:eastAsia="en-US"/>
              </w:rPr>
              <w:t>Description of the goal of the program,</w:t>
            </w:r>
          </w:p>
          <w:p w14:paraId="5026CA8A" w14:textId="77777777" w:rsidR="00697313" w:rsidRPr="006140ED" w:rsidRDefault="00697313" w:rsidP="00F839DB">
            <w:pPr>
              <w:pStyle w:val="ListParagraph"/>
              <w:numPr>
                <w:ilvl w:val="0"/>
                <w:numId w:val="229"/>
              </w:numPr>
              <w:spacing w:after="60"/>
              <w:contextualSpacing/>
              <w:rPr>
                <w:rFonts w:eastAsia="Calibri" w:cs="Arial"/>
                <w:sz w:val="14"/>
                <w:szCs w:val="14"/>
                <w:lang w:eastAsia="en-US"/>
              </w:rPr>
            </w:pPr>
            <w:r w:rsidRPr="006140ED">
              <w:rPr>
                <w:rFonts w:eastAsia="Calibri" w:cs="Arial"/>
                <w:sz w:val="14"/>
                <w:szCs w:val="14"/>
                <w:lang w:eastAsia="en-US"/>
              </w:rPr>
              <w:t>List of the action to be taken to enable return to work, identifying who has to take each action, and</w:t>
            </w:r>
          </w:p>
          <w:p w14:paraId="7B34FD13" w14:textId="77777777" w:rsidR="00697313" w:rsidRPr="006140ED" w:rsidRDefault="00697313" w:rsidP="00F839DB">
            <w:pPr>
              <w:pStyle w:val="ListParagraph"/>
              <w:numPr>
                <w:ilvl w:val="0"/>
                <w:numId w:val="229"/>
              </w:numPr>
              <w:spacing w:after="60"/>
              <w:contextualSpacing/>
              <w:rPr>
                <w:rFonts w:eastAsia="Calibri" w:cs="Arial"/>
                <w:sz w:val="14"/>
                <w:szCs w:val="14"/>
                <w:lang w:eastAsia="en-US"/>
              </w:rPr>
            </w:pPr>
            <w:r w:rsidRPr="006140ED">
              <w:rPr>
                <w:rFonts w:eastAsia="Calibri" w:cs="Arial"/>
                <w:sz w:val="14"/>
                <w:szCs w:val="14"/>
                <w:lang w:eastAsia="en-US"/>
              </w:rPr>
              <w:t xml:space="preserve">A statement as to whether the worker agrees with the content of the program. </w:t>
            </w:r>
          </w:p>
        </w:tc>
        <w:tc>
          <w:tcPr>
            <w:tcW w:w="2694" w:type="dxa"/>
            <w:tcMar>
              <w:top w:w="80" w:type="dxa"/>
              <w:left w:w="80" w:type="dxa"/>
              <w:bottom w:w="80" w:type="dxa"/>
              <w:right w:w="80" w:type="dxa"/>
            </w:tcMar>
          </w:tcPr>
          <w:p w14:paraId="3ADDC627" w14:textId="31FAD6F8" w:rsidR="00697313" w:rsidRPr="00697313" w:rsidRDefault="00A7538C" w:rsidP="00292A53">
            <w:pPr>
              <w:spacing w:after="60"/>
              <w:rPr>
                <w:rFonts w:cs="Arial"/>
                <w:color w:val="000000"/>
                <w:sz w:val="14"/>
                <w:szCs w:val="16"/>
                <w:lang w:val="en-GB"/>
              </w:rPr>
            </w:pPr>
            <w:hyperlink r:id="rId1679" w:history="1">
              <w:r w:rsidR="00697313" w:rsidRPr="00697313">
                <w:rPr>
                  <w:rFonts w:cs="Arial"/>
                  <w:color w:val="0000FF"/>
                  <w:sz w:val="14"/>
                  <w:szCs w:val="16"/>
                  <w:u w:val="single"/>
                  <w:lang w:val="en-GB"/>
                </w:rPr>
                <w:t>Injury Management: A Guide for Employers</w:t>
              </w:r>
            </w:hyperlink>
          </w:p>
        </w:tc>
        <w:tc>
          <w:tcPr>
            <w:tcW w:w="2190" w:type="dxa"/>
            <w:tcMar>
              <w:top w:w="80" w:type="dxa"/>
              <w:left w:w="80" w:type="dxa"/>
              <w:bottom w:w="80" w:type="dxa"/>
              <w:right w:w="80" w:type="dxa"/>
            </w:tcMar>
          </w:tcPr>
          <w:p w14:paraId="69079092" w14:textId="55560716" w:rsidR="00697313" w:rsidRPr="00697313" w:rsidRDefault="00B461BC" w:rsidP="00292A53">
            <w:pPr>
              <w:spacing w:after="60"/>
              <w:rPr>
                <w:rFonts w:cs="Arial"/>
                <w:color w:val="000000"/>
                <w:sz w:val="14"/>
                <w:szCs w:val="16"/>
                <w:lang w:val="en-GB"/>
              </w:rPr>
            </w:pPr>
            <w:r>
              <w:rPr>
                <w:rFonts w:cs="Arial"/>
                <w:color w:val="000000"/>
                <w:sz w:val="14"/>
                <w:szCs w:val="16"/>
                <w:lang w:val="en-GB"/>
              </w:rPr>
              <w:t>No</w:t>
            </w:r>
          </w:p>
          <w:p w14:paraId="6242190A"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A return to work program is an individualised program. An Injury Management System is developed by the employer for all workers describing the steps to be taken if an injury occurs.</w:t>
            </w:r>
          </w:p>
        </w:tc>
      </w:tr>
      <w:tr w:rsidR="00697313" w:rsidRPr="00697313" w14:paraId="275BBA36" w14:textId="77777777" w:rsidTr="00D413F6">
        <w:tc>
          <w:tcPr>
            <w:tcW w:w="1343" w:type="dxa"/>
            <w:shd w:val="clear" w:color="auto" w:fill="FFC9C9"/>
            <w:tcMar>
              <w:top w:w="80" w:type="dxa"/>
              <w:left w:w="80" w:type="dxa"/>
              <w:bottom w:w="80" w:type="dxa"/>
              <w:right w:w="80" w:type="dxa"/>
            </w:tcMar>
          </w:tcPr>
          <w:p w14:paraId="2A9261DF"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South Australia</w:t>
            </w:r>
          </w:p>
        </w:tc>
        <w:tc>
          <w:tcPr>
            <w:tcW w:w="2734" w:type="dxa"/>
            <w:shd w:val="clear" w:color="auto" w:fill="FFC9C9"/>
            <w:tcMar>
              <w:top w:w="80" w:type="dxa"/>
              <w:left w:w="80" w:type="dxa"/>
              <w:bottom w:w="80" w:type="dxa"/>
              <w:right w:w="80" w:type="dxa"/>
            </w:tcMar>
          </w:tcPr>
          <w:p w14:paraId="4CC17051" w14:textId="70DFFA3D" w:rsidR="00697313" w:rsidRPr="00697313" w:rsidRDefault="00697313" w:rsidP="00E95BD7">
            <w:pPr>
              <w:spacing w:after="60"/>
              <w:rPr>
                <w:rFonts w:cs="Arial"/>
                <w:color w:val="000000"/>
                <w:sz w:val="14"/>
                <w:szCs w:val="16"/>
                <w:lang w:val="en-GB"/>
              </w:rPr>
            </w:pPr>
            <w:r w:rsidRPr="00697313">
              <w:rPr>
                <w:rFonts w:cs="Arial"/>
                <w:color w:val="000000"/>
                <w:sz w:val="14"/>
                <w:szCs w:val="16"/>
                <w:lang w:val="en-GB"/>
              </w:rPr>
              <w:t xml:space="preserve">The insurer/self-insured employer are responsible for ensuring that a recovery/return to work plan is in place for the worker </w:t>
            </w:r>
            <w:r w:rsidR="00E95BD7">
              <w:rPr>
                <w:rFonts w:cs="Arial"/>
                <w:color w:val="000000"/>
                <w:sz w:val="14"/>
                <w:szCs w:val="16"/>
                <w:lang w:val="en-GB"/>
              </w:rPr>
              <w:t>—</w:t>
            </w:r>
            <w:r w:rsidR="0040442D">
              <w:rPr>
                <w:rFonts w:cs="Arial"/>
                <w:color w:val="000000"/>
                <w:sz w:val="14"/>
                <w:szCs w:val="16"/>
                <w:lang w:val="en-GB"/>
              </w:rPr>
              <w:t xml:space="preserve"> </w:t>
            </w:r>
            <w:r w:rsidR="0040442D" w:rsidRPr="00016069">
              <w:rPr>
                <w:i/>
                <w:sz w:val="14"/>
              </w:rPr>
              <w:t>Return to Work Act 2014</w:t>
            </w:r>
            <w:r w:rsidR="00E95BD7" w:rsidRPr="00697313">
              <w:rPr>
                <w:rFonts w:cs="Arial"/>
                <w:color w:val="000000"/>
                <w:sz w:val="14"/>
                <w:szCs w:val="16"/>
                <w:lang w:val="en-GB"/>
              </w:rPr>
              <w:t xml:space="preserve"> </w:t>
            </w:r>
            <w:hyperlink r:id="rId1680" w:history="1">
              <w:r w:rsidRPr="00697313">
                <w:rPr>
                  <w:rFonts w:cs="Arial"/>
                  <w:color w:val="0000FF"/>
                  <w:sz w:val="14"/>
                  <w:szCs w:val="16"/>
                  <w:u w:val="single"/>
                  <w:lang w:val="en-GB"/>
                </w:rPr>
                <w:t>s25</w:t>
              </w:r>
            </w:hyperlink>
            <w:r w:rsidR="0040442D">
              <w:rPr>
                <w:rFonts w:cs="Arial"/>
                <w:color w:val="0000FF"/>
                <w:sz w:val="14"/>
                <w:szCs w:val="16"/>
                <w:u w:val="single"/>
                <w:lang w:val="en-GB"/>
              </w:rPr>
              <w:t xml:space="preserve"> </w:t>
            </w:r>
          </w:p>
        </w:tc>
        <w:tc>
          <w:tcPr>
            <w:tcW w:w="2936" w:type="dxa"/>
            <w:shd w:val="clear" w:color="auto" w:fill="FFC9C9"/>
            <w:tcMar>
              <w:top w:w="80" w:type="dxa"/>
              <w:left w:w="80" w:type="dxa"/>
              <w:bottom w:w="80" w:type="dxa"/>
              <w:right w:w="80" w:type="dxa"/>
            </w:tcMar>
          </w:tcPr>
          <w:p w14:paraId="33FEB821" w14:textId="4EBEC502" w:rsidR="00697313" w:rsidRPr="006140ED" w:rsidRDefault="00697313" w:rsidP="00F839DB">
            <w:pPr>
              <w:pStyle w:val="ListParagraph"/>
              <w:numPr>
                <w:ilvl w:val="0"/>
                <w:numId w:val="230"/>
              </w:numPr>
              <w:spacing w:after="60"/>
              <w:contextualSpacing/>
              <w:rPr>
                <w:rFonts w:eastAsia="Calibri" w:cs="Arial"/>
                <w:sz w:val="14"/>
                <w:szCs w:val="14"/>
                <w:lang w:eastAsia="en-US"/>
              </w:rPr>
            </w:pPr>
            <w:r w:rsidRPr="006140ED">
              <w:rPr>
                <w:rFonts w:eastAsia="Calibri" w:cs="Arial"/>
                <w:sz w:val="14"/>
                <w:szCs w:val="14"/>
                <w:lang w:eastAsia="en-US"/>
              </w:rPr>
              <w:t xml:space="preserve">A recovery/return to work plan must be prepared where it appears that a worker is (or is likely) to be incapacitated for work by a work injury for more than 4 weeks </w:t>
            </w:r>
            <w:r w:rsidR="00E95BD7">
              <w:rPr>
                <w:rFonts w:eastAsia="Calibri" w:cs="Arial"/>
                <w:sz w:val="14"/>
                <w:szCs w:val="14"/>
                <w:lang w:eastAsia="en-US"/>
              </w:rPr>
              <w:t>—</w:t>
            </w:r>
            <w:r w:rsidR="00E95BD7" w:rsidRPr="006140ED">
              <w:rPr>
                <w:rFonts w:eastAsia="Calibri" w:cs="Arial"/>
                <w:sz w:val="14"/>
                <w:szCs w:val="14"/>
                <w:lang w:eastAsia="en-US"/>
              </w:rPr>
              <w:t xml:space="preserve"> </w:t>
            </w:r>
            <w:hyperlink r:id="rId1681" w:history="1">
              <w:r w:rsidRPr="0040442D">
                <w:rPr>
                  <w:rStyle w:val="Hyperlink"/>
                  <w:rFonts w:eastAsia="Calibri" w:cs="Arial"/>
                  <w:sz w:val="14"/>
                  <w:szCs w:val="14"/>
                  <w:lang w:eastAsia="en-US"/>
                </w:rPr>
                <w:t>s25(2)(a)</w:t>
              </w:r>
            </w:hyperlink>
            <w:r w:rsidRPr="006140ED">
              <w:rPr>
                <w:rFonts w:eastAsia="Calibri" w:cs="Arial"/>
                <w:sz w:val="14"/>
                <w:szCs w:val="14"/>
                <w:lang w:eastAsia="en-US"/>
              </w:rPr>
              <w:t>.</w:t>
            </w:r>
          </w:p>
          <w:p w14:paraId="4DEAA89F" w14:textId="4E72980C" w:rsidR="00697313" w:rsidRPr="006140ED" w:rsidRDefault="00697313" w:rsidP="00F839DB">
            <w:pPr>
              <w:pStyle w:val="ListParagraph"/>
              <w:numPr>
                <w:ilvl w:val="0"/>
                <w:numId w:val="230"/>
              </w:numPr>
              <w:spacing w:after="60"/>
              <w:contextualSpacing/>
              <w:rPr>
                <w:rFonts w:eastAsia="Calibri" w:cs="Arial"/>
                <w:sz w:val="14"/>
                <w:szCs w:val="14"/>
                <w:lang w:eastAsia="en-US"/>
              </w:rPr>
            </w:pPr>
            <w:r w:rsidRPr="006140ED">
              <w:rPr>
                <w:rFonts w:eastAsia="Calibri" w:cs="Arial"/>
                <w:sz w:val="14"/>
                <w:szCs w:val="14"/>
                <w:lang w:eastAsia="en-US"/>
              </w:rPr>
              <w:t xml:space="preserve">A plan must not impose any obligation on a seriously injured worker (more than 30% WPI) to return to work </w:t>
            </w:r>
            <w:r w:rsidR="00E95BD7">
              <w:rPr>
                <w:rFonts w:eastAsia="Calibri" w:cs="Arial"/>
                <w:sz w:val="14"/>
                <w:szCs w:val="14"/>
                <w:lang w:eastAsia="en-US"/>
              </w:rPr>
              <w:t>—</w:t>
            </w:r>
            <w:r w:rsidR="00E95BD7" w:rsidRPr="006140ED">
              <w:rPr>
                <w:rFonts w:eastAsia="Calibri" w:cs="Arial"/>
                <w:sz w:val="14"/>
                <w:szCs w:val="14"/>
                <w:lang w:eastAsia="en-US"/>
              </w:rPr>
              <w:t xml:space="preserve"> </w:t>
            </w:r>
            <w:hyperlink r:id="rId1682" w:history="1">
              <w:r w:rsidRPr="0040442D">
                <w:rPr>
                  <w:rStyle w:val="Hyperlink"/>
                  <w:rFonts w:eastAsia="Calibri" w:cs="Arial"/>
                  <w:sz w:val="14"/>
                  <w:szCs w:val="14"/>
                  <w:lang w:eastAsia="en-US"/>
                </w:rPr>
                <w:t>s25(11)</w:t>
              </w:r>
            </w:hyperlink>
            <w:r w:rsidRPr="006140ED">
              <w:rPr>
                <w:rFonts w:eastAsia="Calibri" w:cs="Arial"/>
                <w:sz w:val="14"/>
                <w:szCs w:val="14"/>
                <w:lang w:eastAsia="en-US"/>
              </w:rPr>
              <w:t>.</w:t>
            </w:r>
          </w:p>
        </w:tc>
        <w:tc>
          <w:tcPr>
            <w:tcW w:w="3118" w:type="dxa"/>
            <w:shd w:val="clear" w:color="auto" w:fill="FFC9C9"/>
            <w:tcMar>
              <w:top w:w="80" w:type="dxa"/>
              <w:left w:w="80" w:type="dxa"/>
              <w:bottom w:w="80" w:type="dxa"/>
              <w:right w:w="80" w:type="dxa"/>
            </w:tcMar>
          </w:tcPr>
          <w:p w14:paraId="3E53C569" w14:textId="4EAD77BC"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Under </w:t>
            </w:r>
            <w:hyperlink r:id="rId1683" w:history="1">
              <w:r w:rsidRPr="0040442D">
                <w:rPr>
                  <w:rStyle w:val="Hyperlink"/>
                  <w:rFonts w:cs="Arial"/>
                  <w:sz w:val="14"/>
                  <w:szCs w:val="16"/>
                  <w:lang w:val="en-GB"/>
                </w:rPr>
                <w:t>Regulation 15</w:t>
              </w:r>
            </w:hyperlink>
            <w:r w:rsidRPr="00697313">
              <w:rPr>
                <w:rFonts w:cs="Arial"/>
                <w:color w:val="000000"/>
                <w:sz w:val="14"/>
                <w:szCs w:val="16"/>
                <w:lang w:val="en-GB"/>
              </w:rPr>
              <w:t>, the plan must specify:</w:t>
            </w:r>
          </w:p>
          <w:p w14:paraId="2EC92B55"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worker name</w:t>
            </w:r>
          </w:p>
          <w:p w14:paraId="76901BB7"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date of birth</w:t>
            </w:r>
          </w:p>
          <w:p w14:paraId="11843265"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claim number</w:t>
            </w:r>
          </w:p>
          <w:p w14:paraId="178E0A5C"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employer name</w:t>
            </w:r>
          </w:p>
          <w:p w14:paraId="3F3031B4"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nature of injury</w:t>
            </w:r>
          </w:p>
          <w:p w14:paraId="36EFAEC4"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date of injury</w:t>
            </w:r>
          </w:p>
          <w:p w14:paraId="24107005"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must be appropriate to the circumstances of the worker</w:t>
            </w:r>
          </w:p>
          <w:p w14:paraId="25A628FD"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must have specific employment objectives</w:t>
            </w:r>
          </w:p>
          <w:p w14:paraId="727F3C16"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must promote communication and cooperation between parties</w:t>
            </w:r>
          </w:p>
          <w:p w14:paraId="16311174"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must contain recovery/return to work services provided to worker</w:t>
            </w:r>
          </w:p>
          <w:p w14:paraId="7377538C"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commencement and completion period</w:t>
            </w:r>
          </w:p>
          <w:p w14:paraId="43CD1BD8"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review times</w:t>
            </w:r>
          </w:p>
          <w:p w14:paraId="2EB1FC38" w14:textId="77777777" w:rsidR="00697313" w:rsidRPr="00697313" w:rsidRDefault="00697313" w:rsidP="00DF35F2">
            <w:pPr>
              <w:numPr>
                <w:ilvl w:val="0"/>
                <w:numId w:val="44"/>
              </w:numPr>
              <w:spacing w:after="60"/>
              <w:ind w:left="357" w:hanging="357"/>
              <w:contextualSpacing/>
              <w:rPr>
                <w:rFonts w:eastAsia="Calibri" w:cs="Arial"/>
                <w:sz w:val="14"/>
                <w:szCs w:val="14"/>
                <w:lang w:eastAsia="en-US"/>
              </w:rPr>
            </w:pPr>
            <w:r w:rsidRPr="00697313">
              <w:rPr>
                <w:rFonts w:eastAsia="Calibri" w:cs="Arial"/>
                <w:sz w:val="14"/>
                <w:szCs w:val="14"/>
                <w:lang w:eastAsia="en-US"/>
              </w:rPr>
              <w:t>prescribed notices for employers and workers regarding failure to comply.</w:t>
            </w:r>
          </w:p>
        </w:tc>
        <w:tc>
          <w:tcPr>
            <w:tcW w:w="2694" w:type="dxa"/>
            <w:shd w:val="clear" w:color="auto" w:fill="FFC9C9"/>
            <w:tcMar>
              <w:top w:w="80" w:type="dxa"/>
              <w:left w:w="80" w:type="dxa"/>
              <w:bottom w:w="80" w:type="dxa"/>
              <w:right w:w="80" w:type="dxa"/>
            </w:tcMar>
          </w:tcPr>
          <w:p w14:paraId="7D25C682" w14:textId="3619EE55" w:rsidR="00697313" w:rsidRPr="00697313" w:rsidRDefault="00A7538C" w:rsidP="00292A53">
            <w:pPr>
              <w:spacing w:after="60"/>
              <w:rPr>
                <w:rFonts w:cs="Arial"/>
                <w:color w:val="000000"/>
                <w:sz w:val="14"/>
                <w:szCs w:val="16"/>
                <w:lang w:val="en-GB"/>
              </w:rPr>
            </w:pPr>
            <w:hyperlink r:id="rId1684" w:history="1">
              <w:r w:rsidR="00697313" w:rsidRPr="00697313">
                <w:rPr>
                  <w:rFonts w:cs="Arial"/>
                  <w:color w:val="0000FF"/>
                  <w:sz w:val="14"/>
                  <w:szCs w:val="16"/>
                  <w:u w:val="single"/>
                  <w:lang w:val="en-GB"/>
                </w:rPr>
                <w:t>Regulation 15</w:t>
              </w:r>
            </w:hyperlink>
            <w:r w:rsidR="00697313" w:rsidRPr="00697313">
              <w:rPr>
                <w:rFonts w:cs="Arial"/>
                <w:color w:val="000000"/>
                <w:sz w:val="14"/>
                <w:szCs w:val="16"/>
                <w:lang w:val="en-GB"/>
              </w:rPr>
              <w:t xml:space="preserve"> </w:t>
            </w:r>
            <w:r w:rsidR="00B461BC">
              <w:rPr>
                <w:rFonts w:cs="Arial"/>
                <w:color w:val="000000"/>
                <w:sz w:val="14"/>
                <w:szCs w:val="16"/>
                <w:lang w:val="en-GB"/>
              </w:rPr>
              <w:t>Return to Work Regulations 2015</w:t>
            </w:r>
          </w:p>
        </w:tc>
        <w:tc>
          <w:tcPr>
            <w:tcW w:w="2190" w:type="dxa"/>
            <w:shd w:val="clear" w:color="auto" w:fill="FFC9C9"/>
            <w:tcMar>
              <w:top w:w="80" w:type="dxa"/>
              <w:left w:w="80" w:type="dxa"/>
              <w:bottom w:w="80" w:type="dxa"/>
              <w:right w:w="80" w:type="dxa"/>
            </w:tcMar>
          </w:tcPr>
          <w:p w14:paraId="2D3D6516" w14:textId="6CFE2C3A" w:rsidR="00697313" w:rsidRPr="00697313" w:rsidRDefault="00B461BC" w:rsidP="00292A53">
            <w:pPr>
              <w:spacing w:after="60"/>
              <w:rPr>
                <w:rFonts w:cs="Arial"/>
                <w:color w:val="000000"/>
                <w:sz w:val="14"/>
                <w:szCs w:val="16"/>
                <w:lang w:val="en-GB"/>
              </w:rPr>
            </w:pPr>
            <w:r>
              <w:rPr>
                <w:rFonts w:cs="Arial"/>
                <w:color w:val="000000"/>
                <w:sz w:val="14"/>
                <w:szCs w:val="16"/>
                <w:lang w:val="en-GB"/>
              </w:rPr>
              <w:t>No</w:t>
            </w:r>
          </w:p>
        </w:tc>
      </w:tr>
      <w:tr w:rsidR="00697313" w:rsidRPr="00697313" w14:paraId="7FF4A1F0" w14:textId="77777777" w:rsidTr="00D413F6">
        <w:tc>
          <w:tcPr>
            <w:tcW w:w="1343" w:type="dxa"/>
            <w:tcMar>
              <w:top w:w="80" w:type="dxa"/>
              <w:left w:w="80" w:type="dxa"/>
              <w:bottom w:w="80" w:type="dxa"/>
              <w:right w:w="80" w:type="dxa"/>
            </w:tcMar>
          </w:tcPr>
          <w:p w14:paraId="05036C75"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Tasmania</w:t>
            </w:r>
          </w:p>
        </w:tc>
        <w:tc>
          <w:tcPr>
            <w:tcW w:w="2734" w:type="dxa"/>
            <w:tcMar>
              <w:top w:w="80" w:type="dxa"/>
              <w:left w:w="80" w:type="dxa"/>
              <w:bottom w:w="80" w:type="dxa"/>
              <w:right w:w="80" w:type="dxa"/>
            </w:tcMar>
          </w:tcPr>
          <w:p w14:paraId="6F6478E0" w14:textId="0817A3E1"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injury management coordinator —</w:t>
            </w:r>
            <w:r w:rsidR="00E01D9D">
              <w:rPr>
                <w:rFonts w:cs="Arial"/>
                <w:color w:val="000000"/>
                <w:sz w:val="14"/>
                <w:szCs w:val="16"/>
                <w:lang w:val="en-GB"/>
              </w:rPr>
              <w:t xml:space="preserve"> </w:t>
            </w:r>
            <w:r w:rsidR="00E01D9D" w:rsidRPr="00016069">
              <w:rPr>
                <w:i/>
                <w:sz w:val="14"/>
              </w:rPr>
              <w:t>Workers Rehabilitation and Compensation Act 1988</w:t>
            </w:r>
            <w:r w:rsidRPr="00697313">
              <w:rPr>
                <w:rFonts w:cs="Arial"/>
                <w:color w:val="000000"/>
                <w:sz w:val="14"/>
                <w:szCs w:val="16"/>
                <w:lang w:val="en-GB"/>
              </w:rPr>
              <w:t xml:space="preserve"> </w:t>
            </w:r>
            <w:hyperlink r:id="rId1685" w:history="1">
              <w:r w:rsidRPr="00E01D9D">
                <w:rPr>
                  <w:rStyle w:val="Hyperlink"/>
                  <w:rFonts w:cs="Arial"/>
                  <w:sz w:val="14"/>
                  <w:szCs w:val="16"/>
                  <w:lang w:val="en-GB"/>
                </w:rPr>
                <w:t>s143E</w:t>
              </w:r>
            </w:hyperlink>
          </w:p>
        </w:tc>
        <w:tc>
          <w:tcPr>
            <w:tcW w:w="2936" w:type="dxa"/>
            <w:tcMar>
              <w:top w:w="80" w:type="dxa"/>
              <w:left w:w="80" w:type="dxa"/>
              <w:bottom w:w="80" w:type="dxa"/>
              <w:right w:w="80" w:type="dxa"/>
            </w:tcMar>
          </w:tcPr>
          <w:p w14:paraId="7C7E284D" w14:textId="77777777" w:rsidR="00697313" w:rsidRPr="006140ED" w:rsidRDefault="00697313" w:rsidP="00F839DB">
            <w:pPr>
              <w:pStyle w:val="ListParagraph"/>
              <w:numPr>
                <w:ilvl w:val="0"/>
                <w:numId w:val="231"/>
              </w:numPr>
              <w:spacing w:after="60"/>
              <w:contextualSpacing/>
              <w:rPr>
                <w:rFonts w:eastAsia="Calibri" w:cs="Arial"/>
                <w:sz w:val="14"/>
                <w:szCs w:val="14"/>
                <w:lang w:eastAsia="en-US"/>
              </w:rPr>
            </w:pPr>
            <w:r w:rsidRPr="006140ED">
              <w:rPr>
                <w:rFonts w:eastAsia="Calibri" w:cs="Arial"/>
                <w:sz w:val="14"/>
                <w:szCs w:val="14"/>
                <w:lang w:eastAsia="en-US"/>
              </w:rPr>
              <w:t>If the worker is, or is likely to be, totally or partially incapacitated for work for more than 5 working days but less than 28 days, a return</w:t>
            </w:r>
            <w:r w:rsidRPr="006140ED">
              <w:rPr>
                <w:rFonts w:eastAsia="Calibri" w:cs="Arial"/>
                <w:sz w:val="14"/>
                <w:szCs w:val="14"/>
                <w:lang w:eastAsia="en-US"/>
              </w:rPr>
              <w:noBreakHyphen/>
              <w:t>to</w:t>
            </w:r>
            <w:r w:rsidRPr="006140ED">
              <w:rPr>
                <w:rFonts w:eastAsia="Calibri" w:cs="Arial"/>
                <w:sz w:val="14"/>
                <w:szCs w:val="14"/>
                <w:lang w:eastAsia="en-US"/>
              </w:rPr>
              <w:noBreakHyphen/>
              <w:t xml:space="preserve">work plan is </w:t>
            </w:r>
            <w:r w:rsidRPr="006140ED">
              <w:rPr>
                <w:rFonts w:eastAsia="Calibri" w:cs="Arial"/>
                <w:sz w:val="14"/>
                <w:szCs w:val="14"/>
                <w:lang w:eastAsia="en-US"/>
              </w:rPr>
              <w:lastRenderedPageBreak/>
              <w:t xml:space="preserve">required before the expiry of 5 days after the worker becomes totally or partially incapacitated for work for more than 5 working days. </w:t>
            </w:r>
          </w:p>
          <w:p w14:paraId="560401F5" w14:textId="77777777" w:rsidR="00697313" w:rsidRDefault="00697313" w:rsidP="00F839DB">
            <w:pPr>
              <w:pStyle w:val="ListParagraph"/>
              <w:numPr>
                <w:ilvl w:val="0"/>
                <w:numId w:val="231"/>
              </w:numPr>
              <w:spacing w:after="60"/>
              <w:contextualSpacing/>
              <w:rPr>
                <w:rFonts w:eastAsia="Calibri" w:cs="Arial"/>
                <w:sz w:val="14"/>
                <w:szCs w:val="14"/>
                <w:lang w:eastAsia="en-US"/>
              </w:rPr>
            </w:pPr>
            <w:r w:rsidRPr="006140ED">
              <w:rPr>
                <w:rFonts w:eastAsia="Calibri" w:cs="Arial"/>
                <w:sz w:val="14"/>
                <w:szCs w:val="14"/>
                <w:lang w:eastAsia="en-US"/>
              </w:rPr>
              <w:t>If the worker is, or is likely to be, totally or partially incapacitated for work for more than 28 days, an injury management plan is required before the expiry of 5 days after the worker becomes totally or partially incapac</w:t>
            </w:r>
            <w:r w:rsidR="00E01D9D">
              <w:rPr>
                <w:rFonts w:eastAsia="Calibri" w:cs="Arial"/>
                <w:sz w:val="14"/>
                <w:szCs w:val="14"/>
                <w:lang w:eastAsia="en-US"/>
              </w:rPr>
              <w:t xml:space="preserve">itated for work for 28 days. </w:t>
            </w:r>
          </w:p>
          <w:p w14:paraId="0EDD06CA" w14:textId="5AB44827" w:rsidR="00945754" w:rsidRPr="006140ED" w:rsidRDefault="00A7538C" w:rsidP="00945754">
            <w:pPr>
              <w:pStyle w:val="ListParagraph"/>
              <w:spacing w:after="60"/>
              <w:ind w:left="360"/>
              <w:contextualSpacing/>
              <w:rPr>
                <w:rFonts w:eastAsia="Calibri" w:cs="Arial"/>
                <w:sz w:val="14"/>
                <w:szCs w:val="14"/>
                <w:lang w:eastAsia="en-US"/>
              </w:rPr>
            </w:pPr>
            <w:hyperlink r:id="rId1686" w:history="1">
              <w:r w:rsidR="00945754" w:rsidRPr="00945754">
                <w:rPr>
                  <w:rStyle w:val="Hyperlink"/>
                  <w:rFonts w:eastAsia="Calibri" w:cs="Arial"/>
                  <w:sz w:val="14"/>
                  <w:szCs w:val="14"/>
                  <w:lang w:eastAsia="en-US"/>
                </w:rPr>
                <w:t>s143E</w:t>
              </w:r>
            </w:hyperlink>
          </w:p>
        </w:tc>
        <w:tc>
          <w:tcPr>
            <w:tcW w:w="3118" w:type="dxa"/>
            <w:tcMar>
              <w:top w:w="80" w:type="dxa"/>
              <w:left w:w="80" w:type="dxa"/>
              <w:bottom w:w="80" w:type="dxa"/>
              <w:right w:w="80" w:type="dxa"/>
            </w:tcMar>
          </w:tcPr>
          <w:p w14:paraId="505A2DC0" w14:textId="77777777" w:rsidR="00697313" w:rsidRPr="006140ED" w:rsidRDefault="00697313" w:rsidP="00F839DB">
            <w:pPr>
              <w:pStyle w:val="ListParagraph"/>
              <w:numPr>
                <w:ilvl w:val="0"/>
                <w:numId w:val="231"/>
              </w:numPr>
              <w:spacing w:after="60"/>
              <w:contextualSpacing/>
              <w:rPr>
                <w:rFonts w:eastAsia="Calibri" w:cs="Arial"/>
                <w:sz w:val="14"/>
                <w:szCs w:val="14"/>
                <w:lang w:eastAsia="en-US"/>
              </w:rPr>
            </w:pPr>
            <w:r w:rsidRPr="006140ED">
              <w:rPr>
                <w:rFonts w:eastAsia="Calibri" w:cs="Arial"/>
                <w:sz w:val="14"/>
                <w:szCs w:val="14"/>
                <w:lang w:eastAsia="en-US"/>
              </w:rPr>
              <w:lastRenderedPageBreak/>
              <w:t xml:space="preserve">Contact details for: the worker, worker’s supervisor or return to work coordinator, the primary treating medical practitioner; and the injury management coordinator. </w:t>
            </w:r>
          </w:p>
          <w:p w14:paraId="2E9A0BB2" w14:textId="77777777" w:rsidR="00697313" w:rsidRPr="006140ED" w:rsidRDefault="00697313" w:rsidP="00F839DB">
            <w:pPr>
              <w:pStyle w:val="ListParagraph"/>
              <w:numPr>
                <w:ilvl w:val="0"/>
                <w:numId w:val="231"/>
              </w:numPr>
              <w:spacing w:after="60"/>
              <w:contextualSpacing/>
              <w:rPr>
                <w:rFonts w:eastAsia="Calibri" w:cs="Arial"/>
                <w:sz w:val="14"/>
                <w:szCs w:val="14"/>
                <w:lang w:eastAsia="en-US"/>
              </w:rPr>
            </w:pPr>
            <w:r w:rsidRPr="006140ED">
              <w:rPr>
                <w:rFonts w:eastAsia="Calibri" w:cs="Arial"/>
                <w:sz w:val="14"/>
                <w:szCs w:val="14"/>
                <w:lang w:eastAsia="en-US"/>
              </w:rPr>
              <w:lastRenderedPageBreak/>
              <w:t>Details of the worker’s employment, medical assessment, capacity to work, any current return to work or injury management plan that the worker has been participating in, medical management, barriers or impediments to return to work, suitable duties identified and availa</w:t>
            </w:r>
            <w:r w:rsidR="00FF1B40">
              <w:rPr>
                <w:rFonts w:eastAsia="Calibri" w:cs="Arial"/>
                <w:sz w:val="14"/>
                <w:szCs w:val="14"/>
                <w:lang w:eastAsia="en-US"/>
              </w:rPr>
              <w:t>ble, return to work</w:t>
            </w:r>
            <w:r w:rsidRPr="006140ED">
              <w:rPr>
                <w:rFonts w:eastAsia="Calibri" w:cs="Arial"/>
                <w:sz w:val="14"/>
                <w:szCs w:val="14"/>
                <w:lang w:eastAsia="en-US"/>
              </w:rPr>
              <w:t>/injury management goals, strategies for achieving goals and agreement to comply with the plan from the worker and employer.</w:t>
            </w:r>
          </w:p>
        </w:tc>
        <w:tc>
          <w:tcPr>
            <w:tcW w:w="2694" w:type="dxa"/>
            <w:tcMar>
              <w:top w:w="80" w:type="dxa"/>
              <w:left w:w="80" w:type="dxa"/>
              <w:bottom w:w="80" w:type="dxa"/>
              <w:right w:w="80" w:type="dxa"/>
            </w:tcMar>
          </w:tcPr>
          <w:p w14:paraId="2921ECDC" w14:textId="01862265" w:rsidR="00BA1995" w:rsidRDefault="00A7538C" w:rsidP="00BA1995">
            <w:pPr>
              <w:spacing w:after="60"/>
              <w:rPr>
                <w:rFonts w:cs="Arial"/>
                <w:color w:val="000000"/>
                <w:sz w:val="14"/>
                <w:szCs w:val="16"/>
                <w:lang w:val="en-GB"/>
              </w:rPr>
            </w:pPr>
            <w:hyperlink r:id="rId1687" w:history="1">
              <w:r w:rsidR="00BA1995" w:rsidRPr="00BA1995">
                <w:rPr>
                  <w:rStyle w:val="Hyperlink"/>
                  <w:rFonts w:cs="Arial"/>
                  <w:sz w:val="14"/>
                  <w:szCs w:val="16"/>
                  <w:lang w:val="en-GB"/>
                </w:rPr>
                <w:t>Preparing Return to Work Plans</w:t>
              </w:r>
            </w:hyperlink>
          </w:p>
          <w:p w14:paraId="11E240BB" w14:textId="561E17C2" w:rsidR="00BA1995" w:rsidRDefault="00A7538C" w:rsidP="00BA1995">
            <w:pPr>
              <w:spacing w:after="60"/>
              <w:rPr>
                <w:rFonts w:cs="Arial"/>
                <w:color w:val="000000"/>
                <w:sz w:val="14"/>
                <w:szCs w:val="16"/>
                <w:lang w:val="en-GB"/>
              </w:rPr>
            </w:pPr>
            <w:hyperlink r:id="rId1688" w:history="1">
              <w:r w:rsidR="00BA1995" w:rsidRPr="00BA1995">
                <w:rPr>
                  <w:rStyle w:val="Hyperlink"/>
                  <w:rFonts w:cs="Arial"/>
                  <w:sz w:val="14"/>
                  <w:szCs w:val="16"/>
                  <w:lang w:val="en-GB"/>
                </w:rPr>
                <w:t>Preparing Injury Management Plans</w:t>
              </w:r>
            </w:hyperlink>
          </w:p>
          <w:p w14:paraId="5D0CB08D" w14:textId="710F5014" w:rsidR="00697313" w:rsidRPr="00697313" w:rsidRDefault="00A7538C" w:rsidP="00BA1995">
            <w:pPr>
              <w:spacing w:after="60"/>
              <w:rPr>
                <w:rFonts w:cs="Arial"/>
                <w:color w:val="000000"/>
                <w:sz w:val="14"/>
                <w:szCs w:val="16"/>
                <w:lang w:val="en-GB"/>
              </w:rPr>
            </w:pPr>
            <w:hyperlink r:id="rId1689" w:history="1"/>
            <w:hyperlink r:id="rId1690" w:history="1">
              <w:r w:rsidR="00697313" w:rsidRPr="00697313">
                <w:rPr>
                  <w:rFonts w:cs="Arial"/>
                  <w:color w:val="0000FF"/>
                  <w:sz w:val="14"/>
                  <w:szCs w:val="16"/>
                  <w:u w:val="single"/>
                  <w:lang w:val="en-GB"/>
                </w:rPr>
                <w:t xml:space="preserve">Return to Work Plan/Injury Management </w:t>
              </w:r>
              <w:r w:rsidR="00697313" w:rsidRPr="00697313">
                <w:rPr>
                  <w:rFonts w:cs="Arial"/>
                  <w:color w:val="0000FF"/>
                  <w:sz w:val="14"/>
                  <w:szCs w:val="16"/>
                  <w:u w:val="single"/>
                  <w:lang w:val="en-GB"/>
                </w:rPr>
                <w:lastRenderedPageBreak/>
                <w:t>Plan — Sample</w:t>
              </w:r>
            </w:hyperlink>
          </w:p>
        </w:tc>
        <w:tc>
          <w:tcPr>
            <w:tcW w:w="2190" w:type="dxa"/>
            <w:tcMar>
              <w:top w:w="80" w:type="dxa"/>
              <w:left w:w="80" w:type="dxa"/>
              <w:bottom w:w="80" w:type="dxa"/>
              <w:right w:w="80" w:type="dxa"/>
            </w:tcMar>
          </w:tcPr>
          <w:p w14:paraId="4ADDF241" w14:textId="17E7F27C" w:rsidR="00697313" w:rsidRPr="00697313" w:rsidRDefault="00A7538C" w:rsidP="00292A53">
            <w:pPr>
              <w:spacing w:after="60"/>
              <w:rPr>
                <w:rFonts w:cs="Arial"/>
                <w:color w:val="000000"/>
                <w:sz w:val="14"/>
                <w:szCs w:val="16"/>
                <w:lang w:val="en-GB"/>
              </w:rPr>
            </w:pPr>
            <w:hyperlink r:id="rId1691" w:history="1">
              <w:r w:rsidR="00B461BC" w:rsidRPr="00945754">
                <w:rPr>
                  <w:rStyle w:val="Hyperlink"/>
                  <w:rFonts w:cs="Arial"/>
                  <w:sz w:val="14"/>
                  <w:szCs w:val="16"/>
                  <w:lang w:val="en-GB"/>
                </w:rPr>
                <w:t>s143E</w:t>
              </w:r>
            </w:hyperlink>
            <w:r w:rsidR="00B461BC">
              <w:rPr>
                <w:rFonts w:cs="Arial"/>
                <w:color w:val="000000"/>
                <w:sz w:val="14"/>
                <w:szCs w:val="16"/>
                <w:lang w:val="en-GB"/>
              </w:rPr>
              <w:t xml:space="preserve"> — Yes</w:t>
            </w:r>
          </w:p>
          <w:p w14:paraId="3FA38A12"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An injury management plan is required if the worker is, or is likely to be, totally or partially </w:t>
            </w:r>
            <w:r w:rsidRPr="00697313">
              <w:rPr>
                <w:rFonts w:cs="Arial"/>
                <w:color w:val="000000"/>
                <w:sz w:val="14"/>
                <w:szCs w:val="16"/>
                <w:lang w:val="en-GB"/>
              </w:rPr>
              <w:lastRenderedPageBreak/>
              <w:t xml:space="preserve">incapacitated for work for more than 28 days. </w:t>
            </w:r>
          </w:p>
        </w:tc>
      </w:tr>
      <w:tr w:rsidR="00697313" w:rsidRPr="00697313" w14:paraId="6EC0E988" w14:textId="77777777" w:rsidTr="00D413F6">
        <w:tc>
          <w:tcPr>
            <w:tcW w:w="1343" w:type="dxa"/>
            <w:shd w:val="clear" w:color="auto" w:fill="FFC9C9"/>
            <w:tcMar>
              <w:top w:w="80" w:type="dxa"/>
              <w:left w:w="80" w:type="dxa"/>
              <w:bottom w:w="80" w:type="dxa"/>
              <w:right w:w="80" w:type="dxa"/>
            </w:tcMar>
          </w:tcPr>
          <w:p w14:paraId="66F56660"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lastRenderedPageBreak/>
              <w:t>Northern Territory</w:t>
            </w:r>
          </w:p>
        </w:tc>
        <w:tc>
          <w:tcPr>
            <w:tcW w:w="2734" w:type="dxa"/>
            <w:shd w:val="clear" w:color="auto" w:fill="FFC9C9"/>
            <w:tcMar>
              <w:top w:w="80" w:type="dxa"/>
              <w:left w:w="80" w:type="dxa"/>
              <w:bottom w:w="80" w:type="dxa"/>
              <w:right w:w="80" w:type="dxa"/>
            </w:tcMar>
          </w:tcPr>
          <w:p w14:paraId="6F656A2E" w14:textId="55D0F088" w:rsidR="00697313" w:rsidRPr="00697313" w:rsidRDefault="00697313" w:rsidP="00E95BD7">
            <w:pPr>
              <w:spacing w:after="60"/>
              <w:rPr>
                <w:rFonts w:cs="Arial"/>
                <w:color w:val="000000"/>
                <w:sz w:val="14"/>
                <w:szCs w:val="16"/>
                <w:lang w:val="en-GB"/>
              </w:rPr>
            </w:pPr>
            <w:r w:rsidRPr="00697313">
              <w:rPr>
                <w:rFonts w:cs="Arial"/>
                <w:color w:val="000000"/>
                <w:sz w:val="14"/>
                <w:szCs w:val="16"/>
                <w:lang w:val="en-GB"/>
              </w:rPr>
              <w:t xml:space="preserve">The employer </w:t>
            </w:r>
            <w:r w:rsidR="00E95BD7">
              <w:rPr>
                <w:rFonts w:cs="Arial"/>
                <w:color w:val="000000"/>
                <w:sz w:val="14"/>
                <w:szCs w:val="16"/>
                <w:lang w:val="en-GB"/>
              </w:rPr>
              <w:t>—</w:t>
            </w:r>
            <w:r w:rsidR="00E95BD7" w:rsidRPr="00697313">
              <w:rPr>
                <w:rFonts w:cs="Arial"/>
                <w:color w:val="000000"/>
                <w:sz w:val="14"/>
                <w:szCs w:val="16"/>
                <w:lang w:val="en-GB"/>
              </w:rPr>
              <w:t xml:space="preserve"> </w:t>
            </w:r>
            <w:r w:rsidR="008446BB">
              <w:rPr>
                <w:rFonts w:cs="Arial"/>
                <w:i/>
                <w:color w:val="000000"/>
                <w:sz w:val="14"/>
                <w:szCs w:val="16"/>
                <w:lang w:val="en-GB"/>
              </w:rPr>
              <w:t xml:space="preserve">Return to Work Act </w:t>
            </w:r>
            <w:hyperlink r:id="rId1692" w:history="1">
              <w:r w:rsidRPr="008446BB">
                <w:rPr>
                  <w:rStyle w:val="Hyperlink"/>
                  <w:rFonts w:cs="Arial"/>
                  <w:sz w:val="14"/>
                  <w:szCs w:val="16"/>
                  <w:lang w:val="en-GB"/>
                </w:rPr>
                <w:t>s75A</w:t>
              </w:r>
            </w:hyperlink>
          </w:p>
        </w:tc>
        <w:tc>
          <w:tcPr>
            <w:tcW w:w="2936" w:type="dxa"/>
            <w:shd w:val="clear" w:color="auto" w:fill="FFC9C9"/>
            <w:tcMar>
              <w:top w:w="80" w:type="dxa"/>
              <w:left w:w="80" w:type="dxa"/>
              <w:bottom w:w="80" w:type="dxa"/>
              <w:right w:w="80" w:type="dxa"/>
            </w:tcMar>
          </w:tcPr>
          <w:p w14:paraId="20A769D6" w14:textId="0E6A9331"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When worker is likely to be inca</w:t>
            </w:r>
            <w:r w:rsidR="00B461BC">
              <w:rPr>
                <w:rFonts w:cs="Arial"/>
                <w:color w:val="000000"/>
                <w:sz w:val="14"/>
                <w:szCs w:val="16"/>
                <w:lang w:val="en-GB"/>
              </w:rPr>
              <w:t>pacitated for more than 28 days</w:t>
            </w:r>
          </w:p>
        </w:tc>
        <w:tc>
          <w:tcPr>
            <w:tcW w:w="3118" w:type="dxa"/>
            <w:shd w:val="clear" w:color="auto" w:fill="FFC9C9"/>
            <w:tcMar>
              <w:top w:w="80" w:type="dxa"/>
              <w:left w:w="80" w:type="dxa"/>
              <w:bottom w:w="80" w:type="dxa"/>
              <w:right w:w="80" w:type="dxa"/>
            </w:tcMar>
          </w:tcPr>
          <w:p w14:paraId="51940BC9" w14:textId="3CAB77D7" w:rsidR="00697313" w:rsidRPr="00697313" w:rsidRDefault="00B461BC" w:rsidP="00292A53">
            <w:pPr>
              <w:spacing w:after="60"/>
              <w:rPr>
                <w:rFonts w:cs="Arial"/>
                <w:color w:val="000000"/>
                <w:sz w:val="14"/>
                <w:szCs w:val="16"/>
                <w:lang w:val="en-GB"/>
              </w:rPr>
            </w:pPr>
            <w:r>
              <w:rPr>
                <w:rFonts w:cs="Arial"/>
                <w:color w:val="000000"/>
                <w:sz w:val="14"/>
                <w:szCs w:val="16"/>
                <w:lang w:val="en-GB"/>
              </w:rPr>
              <w:t>Not Legislated</w:t>
            </w:r>
          </w:p>
        </w:tc>
        <w:tc>
          <w:tcPr>
            <w:tcW w:w="2694" w:type="dxa"/>
            <w:shd w:val="clear" w:color="auto" w:fill="FFC9C9"/>
            <w:tcMar>
              <w:top w:w="80" w:type="dxa"/>
              <w:left w:w="80" w:type="dxa"/>
              <w:bottom w:w="80" w:type="dxa"/>
              <w:right w:w="80" w:type="dxa"/>
            </w:tcMar>
          </w:tcPr>
          <w:p w14:paraId="3794FE14" w14:textId="7054A702" w:rsidR="00697313" w:rsidRPr="00697313" w:rsidRDefault="00A7538C" w:rsidP="00292A53">
            <w:pPr>
              <w:spacing w:after="60"/>
              <w:rPr>
                <w:rFonts w:cs="Arial"/>
                <w:color w:val="000000"/>
                <w:sz w:val="14"/>
                <w:szCs w:val="16"/>
                <w:lang w:val="en-GB"/>
              </w:rPr>
            </w:pPr>
            <w:hyperlink r:id="rId1693" w:history="1">
              <w:r w:rsidR="00040B7A" w:rsidRPr="002C0908">
                <w:rPr>
                  <w:rStyle w:val="Hyperlink"/>
                  <w:rFonts w:cs="Arial"/>
                  <w:sz w:val="14"/>
                  <w:szCs w:val="16"/>
                  <w:lang w:val="en-GB"/>
                </w:rPr>
                <w:t>Return to Work Plans</w:t>
              </w:r>
            </w:hyperlink>
          </w:p>
        </w:tc>
        <w:tc>
          <w:tcPr>
            <w:tcW w:w="2190" w:type="dxa"/>
            <w:shd w:val="clear" w:color="auto" w:fill="FFC9C9"/>
            <w:tcMar>
              <w:top w:w="80" w:type="dxa"/>
              <w:left w:w="80" w:type="dxa"/>
              <w:bottom w:w="80" w:type="dxa"/>
              <w:right w:w="80" w:type="dxa"/>
            </w:tcMar>
          </w:tcPr>
          <w:p w14:paraId="69E419DC" w14:textId="564F70BB" w:rsidR="00697313" w:rsidRPr="00697313" w:rsidRDefault="00B461BC" w:rsidP="00292A53">
            <w:pPr>
              <w:spacing w:after="60"/>
              <w:rPr>
                <w:rFonts w:cs="Arial"/>
                <w:color w:val="000000"/>
                <w:sz w:val="14"/>
                <w:szCs w:val="16"/>
                <w:lang w:val="en-GB"/>
              </w:rPr>
            </w:pPr>
            <w:r>
              <w:rPr>
                <w:rFonts w:cs="Arial"/>
                <w:color w:val="000000"/>
                <w:sz w:val="14"/>
                <w:szCs w:val="16"/>
                <w:lang w:val="en-GB"/>
              </w:rPr>
              <w:t>Not Legislated</w:t>
            </w:r>
          </w:p>
        </w:tc>
      </w:tr>
      <w:tr w:rsidR="00697313" w:rsidRPr="00697313" w14:paraId="27DCC48F" w14:textId="77777777" w:rsidTr="00D413F6">
        <w:tc>
          <w:tcPr>
            <w:tcW w:w="1343" w:type="dxa"/>
            <w:tcMar>
              <w:top w:w="80" w:type="dxa"/>
              <w:left w:w="80" w:type="dxa"/>
              <w:bottom w:w="80" w:type="dxa"/>
              <w:right w:w="80" w:type="dxa"/>
            </w:tcMar>
          </w:tcPr>
          <w:p w14:paraId="79CBF3B9"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Australian Capital Territory</w:t>
            </w:r>
          </w:p>
        </w:tc>
        <w:tc>
          <w:tcPr>
            <w:tcW w:w="2734" w:type="dxa"/>
            <w:tcMar>
              <w:top w:w="80" w:type="dxa"/>
              <w:left w:w="80" w:type="dxa"/>
              <w:bottom w:w="80" w:type="dxa"/>
              <w:right w:w="80" w:type="dxa"/>
            </w:tcMar>
          </w:tcPr>
          <w:p w14:paraId="20520103" w14:textId="7FD6DAF5"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The insurer carries the primary responsibility under </w:t>
            </w:r>
            <w:hyperlink r:id="rId1694" w:history="1">
              <w:r w:rsidRPr="002B5943">
                <w:rPr>
                  <w:rStyle w:val="Hyperlink"/>
                  <w:rFonts w:cs="Arial"/>
                  <w:sz w:val="14"/>
                  <w:szCs w:val="16"/>
                  <w:lang w:val="en-GB"/>
                </w:rPr>
                <w:t>s97</w:t>
              </w:r>
            </w:hyperlink>
            <w:r w:rsidRPr="00697313">
              <w:rPr>
                <w:rFonts w:cs="Arial"/>
                <w:color w:val="000000"/>
                <w:sz w:val="14"/>
                <w:szCs w:val="16"/>
                <w:lang w:val="en-GB"/>
              </w:rPr>
              <w:t xml:space="preserve"> </w:t>
            </w:r>
            <w:r w:rsidRPr="00AD2C3B">
              <w:rPr>
                <w:rFonts w:cs="Arial"/>
                <w:i/>
                <w:color w:val="000000"/>
                <w:sz w:val="14"/>
                <w:szCs w:val="16"/>
                <w:lang w:val="en-GB"/>
              </w:rPr>
              <w:t xml:space="preserve">Workers’ Compensation </w:t>
            </w:r>
            <w:r w:rsidR="00B461BC" w:rsidRPr="00AD2C3B">
              <w:rPr>
                <w:rFonts w:cs="Arial"/>
                <w:i/>
                <w:color w:val="000000"/>
                <w:sz w:val="14"/>
                <w:szCs w:val="16"/>
                <w:lang w:val="en-GB"/>
              </w:rPr>
              <w:t>Act 1951</w:t>
            </w:r>
          </w:p>
        </w:tc>
        <w:tc>
          <w:tcPr>
            <w:tcW w:w="2936" w:type="dxa"/>
            <w:tcMar>
              <w:top w:w="80" w:type="dxa"/>
              <w:left w:w="80" w:type="dxa"/>
              <w:bottom w:w="80" w:type="dxa"/>
              <w:right w:w="80" w:type="dxa"/>
            </w:tcMar>
          </w:tcPr>
          <w:p w14:paraId="04FD8CDC" w14:textId="105BB470" w:rsidR="00697313" w:rsidRPr="00697313" w:rsidRDefault="00A7538C" w:rsidP="00292A53">
            <w:pPr>
              <w:spacing w:after="60"/>
              <w:rPr>
                <w:rFonts w:cs="Arial"/>
                <w:color w:val="000000"/>
                <w:sz w:val="14"/>
                <w:szCs w:val="16"/>
                <w:lang w:val="en-GB"/>
              </w:rPr>
            </w:pPr>
            <w:hyperlink r:id="rId1695" w:history="1">
              <w:r w:rsidR="00697313" w:rsidRPr="002B5943">
                <w:rPr>
                  <w:rStyle w:val="Hyperlink"/>
                  <w:rFonts w:cs="Arial"/>
                  <w:sz w:val="14"/>
                  <w:szCs w:val="16"/>
                  <w:lang w:val="en-GB"/>
                </w:rPr>
                <w:t>s97</w:t>
              </w:r>
            </w:hyperlink>
            <w:r w:rsidR="00697313" w:rsidRPr="00697313">
              <w:rPr>
                <w:rFonts w:cs="Arial"/>
                <w:color w:val="000000"/>
                <w:sz w:val="14"/>
                <w:szCs w:val="16"/>
                <w:lang w:val="en-GB"/>
              </w:rPr>
              <w:t xml:space="preserve"> </w:t>
            </w:r>
            <w:r w:rsidR="00697313" w:rsidRPr="00D41D16">
              <w:rPr>
                <w:rFonts w:cs="Arial"/>
                <w:i/>
                <w:color w:val="000000"/>
                <w:sz w:val="14"/>
                <w:szCs w:val="16"/>
                <w:lang w:val="en-GB"/>
              </w:rPr>
              <w:t>Workers’ Compensation Act 1951</w:t>
            </w:r>
            <w:r w:rsidR="00697313" w:rsidRPr="00697313">
              <w:rPr>
                <w:rFonts w:cs="Arial"/>
                <w:color w:val="000000"/>
                <w:sz w:val="14"/>
                <w:szCs w:val="16"/>
                <w:lang w:val="en-GB"/>
              </w:rPr>
              <w:t xml:space="preserve"> — all significant compensable injuries (incapacity for seven days or more) must have a personal injury plan. If the worker is not back at work in pre-injury duties at pre-injury hours by 4 weeks post injury notification a rehabilitation provider must be appointed — </w:t>
            </w:r>
            <w:hyperlink r:id="rId1696" w:history="1">
              <w:r w:rsidR="00697313" w:rsidRPr="002B5943">
                <w:rPr>
                  <w:rStyle w:val="Hyperlink"/>
                  <w:rFonts w:cs="Arial"/>
                  <w:sz w:val="14"/>
                  <w:szCs w:val="16"/>
                  <w:lang w:val="en-GB"/>
                </w:rPr>
                <w:t>s99A</w:t>
              </w:r>
            </w:hyperlink>
            <w:r w:rsidR="00697313" w:rsidRPr="00697313">
              <w:rPr>
                <w:rFonts w:cs="Arial"/>
                <w:color w:val="000000"/>
                <w:sz w:val="14"/>
                <w:szCs w:val="16"/>
                <w:lang w:val="en-GB"/>
              </w:rPr>
              <w:t xml:space="preserve"> </w:t>
            </w:r>
            <w:r w:rsidR="00697313" w:rsidRPr="00D41D16">
              <w:rPr>
                <w:rFonts w:cs="Arial"/>
                <w:i/>
                <w:color w:val="000000"/>
                <w:sz w:val="14"/>
                <w:szCs w:val="16"/>
                <w:lang w:val="en-GB"/>
              </w:rPr>
              <w:t>Workers Compensation Act 1951</w:t>
            </w:r>
            <w:r w:rsidR="00B461BC">
              <w:rPr>
                <w:rFonts w:cs="Arial"/>
                <w:color w:val="000000"/>
                <w:sz w:val="14"/>
                <w:szCs w:val="16"/>
                <w:lang w:val="en-GB"/>
              </w:rPr>
              <w:t>)</w:t>
            </w:r>
          </w:p>
        </w:tc>
        <w:tc>
          <w:tcPr>
            <w:tcW w:w="3118" w:type="dxa"/>
            <w:tcMar>
              <w:top w:w="80" w:type="dxa"/>
              <w:left w:w="80" w:type="dxa"/>
              <w:bottom w:w="80" w:type="dxa"/>
              <w:right w:w="80" w:type="dxa"/>
            </w:tcMar>
          </w:tcPr>
          <w:p w14:paraId="534D312A" w14:textId="21C3BA8F"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plan is for coordinating and managing the aspects of injury management that relate to medical treatment and rehabilitation services for the worker to achieve a timely, safe and durable return to work. The content</w:t>
            </w:r>
            <w:r w:rsidR="00B461BC">
              <w:rPr>
                <w:rFonts w:cs="Arial"/>
                <w:color w:val="000000"/>
                <w:sz w:val="14"/>
                <w:szCs w:val="16"/>
                <w:lang w:val="en-GB"/>
              </w:rPr>
              <w:t xml:space="preserve"> of the plan is not prescribed</w:t>
            </w:r>
          </w:p>
        </w:tc>
        <w:tc>
          <w:tcPr>
            <w:tcW w:w="2694" w:type="dxa"/>
            <w:tcMar>
              <w:top w:w="80" w:type="dxa"/>
              <w:left w:w="80" w:type="dxa"/>
              <w:bottom w:w="80" w:type="dxa"/>
              <w:right w:w="80" w:type="dxa"/>
            </w:tcMar>
          </w:tcPr>
          <w:p w14:paraId="5363EE93" w14:textId="53F9910C" w:rsidR="00697313" w:rsidRPr="00AD2C3B" w:rsidRDefault="00697313" w:rsidP="00292A53">
            <w:pPr>
              <w:spacing w:after="60"/>
              <w:rPr>
                <w:rFonts w:cs="Arial"/>
                <w:i/>
                <w:color w:val="0000FF"/>
                <w:sz w:val="14"/>
                <w:szCs w:val="16"/>
                <w:u w:val="single"/>
                <w:lang w:val="en-GB"/>
              </w:rPr>
            </w:pPr>
            <w:r w:rsidRPr="00AD2C3B">
              <w:rPr>
                <w:rFonts w:cs="Arial"/>
                <w:i/>
                <w:color w:val="000000"/>
                <w:sz w:val="14"/>
                <w:szCs w:val="16"/>
                <w:lang w:val="en-GB"/>
              </w:rPr>
              <w:fldChar w:fldCharType="begin"/>
            </w:r>
            <w:r w:rsidRPr="00AD2C3B">
              <w:rPr>
                <w:rFonts w:cs="Arial"/>
                <w:i/>
                <w:color w:val="000000"/>
                <w:sz w:val="14"/>
                <w:szCs w:val="16"/>
                <w:lang w:val="en-GB"/>
              </w:rPr>
              <w:instrText>HYPERLINK "http://www.legislation.act.gov.au/a/1951-2/default.asp"</w:instrText>
            </w:r>
            <w:r w:rsidRPr="00AD2C3B">
              <w:rPr>
                <w:rFonts w:cs="Arial"/>
                <w:i/>
                <w:color w:val="000000"/>
                <w:sz w:val="14"/>
                <w:szCs w:val="16"/>
                <w:lang w:val="en-GB"/>
              </w:rPr>
              <w:fldChar w:fldCharType="separate"/>
            </w:r>
            <w:r w:rsidR="00B461BC" w:rsidRPr="00AD2C3B">
              <w:rPr>
                <w:rFonts w:cs="Arial"/>
                <w:i/>
                <w:color w:val="0000FF"/>
                <w:sz w:val="14"/>
                <w:szCs w:val="16"/>
                <w:u w:val="single"/>
                <w:lang w:val="en-GB"/>
              </w:rPr>
              <w:t>Workers’ Compensation Act 1951</w:t>
            </w:r>
          </w:p>
          <w:p w14:paraId="3BC460D5" w14:textId="77777777" w:rsidR="00697313" w:rsidRPr="00697313" w:rsidRDefault="00697313" w:rsidP="00292A53">
            <w:pPr>
              <w:spacing w:after="60"/>
              <w:rPr>
                <w:rFonts w:cs="Arial"/>
                <w:color w:val="000000"/>
                <w:sz w:val="14"/>
                <w:szCs w:val="16"/>
                <w:lang w:val="en-GB"/>
              </w:rPr>
            </w:pPr>
            <w:r w:rsidRPr="00AD2C3B">
              <w:rPr>
                <w:rFonts w:cs="Arial"/>
                <w:i/>
                <w:color w:val="000000"/>
                <w:sz w:val="14"/>
                <w:szCs w:val="16"/>
                <w:lang w:val="en-GB"/>
              </w:rPr>
              <w:fldChar w:fldCharType="end"/>
            </w:r>
          </w:p>
        </w:tc>
        <w:tc>
          <w:tcPr>
            <w:tcW w:w="2190" w:type="dxa"/>
            <w:tcMar>
              <w:top w:w="80" w:type="dxa"/>
              <w:left w:w="80" w:type="dxa"/>
              <w:bottom w:w="80" w:type="dxa"/>
              <w:right w:w="80" w:type="dxa"/>
            </w:tcMar>
          </w:tcPr>
          <w:p w14:paraId="77C3A6A3" w14:textId="7B273065"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return to work plan and the injury management plan are integrated</w:t>
            </w:r>
            <w:r w:rsidR="00B461BC">
              <w:rPr>
                <w:rFonts w:cs="Arial"/>
                <w:color w:val="000000"/>
                <w:sz w:val="14"/>
                <w:szCs w:val="16"/>
                <w:lang w:val="en-GB"/>
              </w:rPr>
              <w:t xml:space="preserve"> into the personal injury plan</w:t>
            </w:r>
          </w:p>
        </w:tc>
      </w:tr>
      <w:tr w:rsidR="00697313" w:rsidRPr="00697313" w14:paraId="4F52A8B4" w14:textId="77777777" w:rsidTr="00D413F6">
        <w:tc>
          <w:tcPr>
            <w:tcW w:w="1343" w:type="dxa"/>
            <w:shd w:val="clear" w:color="auto" w:fill="FFC9C9"/>
            <w:tcMar>
              <w:top w:w="80" w:type="dxa"/>
              <w:left w:w="80" w:type="dxa"/>
              <w:bottom w:w="80" w:type="dxa"/>
              <w:right w:w="80" w:type="dxa"/>
            </w:tcMar>
          </w:tcPr>
          <w:p w14:paraId="5B6D79D7"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C’wealth Comcare</w:t>
            </w:r>
          </w:p>
        </w:tc>
        <w:tc>
          <w:tcPr>
            <w:tcW w:w="2734" w:type="dxa"/>
            <w:shd w:val="clear" w:color="auto" w:fill="FFC9C9"/>
            <w:tcMar>
              <w:top w:w="80" w:type="dxa"/>
              <w:left w:w="80" w:type="dxa"/>
              <w:bottom w:w="80" w:type="dxa"/>
              <w:right w:w="80" w:type="dxa"/>
            </w:tcMar>
          </w:tcPr>
          <w:p w14:paraId="11E8096C" w14:textId="1CE1EF1F"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The employer (defined in </w:t>
            </w:r>
            <w:hyperlink r:id="rId1697" w:history="1">
              <w:r w:rsidRPr="00280B67">
                <w:rPr>
                  <w:rStyle w:val="Hyperlink"/>
                  <w:rFonts w:cs="Arial"/>
                  <w:sz w:val="14"/>
                  <w:szCs w:val="16"/>
                  <w:lang w:val="en-GB"/>
                </w:rPr>
                <w:t>s4</w:t>
              </w:r>
            </w:hyperlink>
            <w:r w:rsidRPr="00697313">
              <w:rPr>
                <w:rFonts w:cs="Arial"/>
                <w:color w:val="000000"/>
                <w:sz w:val="14"/>
                <w:szCs w:val="16"/>
                <w:lang w:val="en-GB"/>
              </w:rPr>
              <w:t xml:space="preserve"> as th</w:t>
            </w:r>
            <w:r w:rsidR="00280B67">
              <w:rPr>
                <w:rFonts w:cs="Arial"/>
                <w:color w:val="000000"/>
                <w:sz w:val="14"/>
                <w:szCs w:val="16"/>
                <w:lang w:val="en-GB"/>
              </w:rPr>
              <w:t xml:space="preserve">e rehabilitation authority) — </w:t>
            </w:r>
            <w:hyperlink r:id="rId1698" w:history="1">
              <w:r w:rsidR="00280B67" w:rsidRPr="00280B67">
                <w:rPr>
                  <w:rStyle w:val="Hyperlink"/>
                  <w:rFonts w:cs="Arial"/>
                  <w:sz w:val="14"/>
                  <w:szCs w:val="16"/>
                  <w:lang w:val="en-GB"/>
                </w:rPr>
                <w:t>s</w:t>
              </w:r>
              <w:r w:rsidRPr="00280B67">
                <w:rPr>
                  <w:rStyle w:val="Hyperlink"/>
                  <w:rFonts w:cs="Arial"/>
                  <w:sz w:val="14"/>
                  <w:szCs w:val="16"/>
                  <w:lang w:val="en-GB"/>
                </w:rPr>
                <w:t>37(1)</w:t>
              </w:r>
            </w:hyperlink>
            <w:r w:rsidR="00280B67">
              <w:rPr>
                <w:rFonts w:cs="Arial"/>
                <w:color w:val="000000"/>
                <w:sz w:val="14"/>
                <w:szCs w:val="16"/>
                <w:lang w:val="en-GB"/>
              </w:rPr>
              <w:t xml:space="preserve"> </w:t>
            </w:r>
            <w:r w:rsidR="00280B67" w:rsidRPr="00016069">
              <w:rPr>
                <w:i/>
                <w:sz w:val="14"/>
              </w:rPr>
              <w:t>Safety, Rehabilitation and Compensation Act 1988</w:t>
            </w:r>
          </w:p>
        </w:tc>
        <w:tc>
          <w:tcPr>
            <w:tcW w:w="2936" w:type="dxa"/>
            <w:shd w:val="clear" w:color="auto" w:fill="FFC9C9"/>
            <w:tcMar>
              <w:top w:w="80" w:type="dxa"/>
              <w:left w:w="80" w:type="dxa"/>
              <w:bottom w:w="80" w:type="dxa"/>
              <w:right w:w="80" w:type="dxa"/>
            </w:tcMar>
          </w:tcPr>
          <w:p w14:paraId="0DBE1F52" w14:textId="77777777" w:rsidR="00697313" w:rsidRPr="006140ED" w:rsidRDefault="00697313" w:rsidP="00F839DB">
            <w:pPr>
              <w:pStyle w:val="ListParagraph"/>
              <w:numPr>
                <w:ilvl w:val="0"/>
                <w:numId w:val="232"/>
              </w:numPr>
              <w:spacing w:after="60"/>
              <w:contextualSpacing/>
              <w:rPr>
                <w:rFonts w:eastAsia="Calibri" w:cs="Arial"/>
                <w:sz w:val="14"/>
                <w:szCs w:val="14"/>
                <w:lang w:eastAsia="en-US"/>
              </w:rPr>
            </w:pPr>
            <w:r w:rsidRPr="006140ED">
              <w:rPr>
                <w:rFonts w:eastAsia="Calibri" w:cs="Arial"/>
                <w:sz w:val="14"/>
                <w:szCs w:val="14"/>
                <w:lang w:eastAsia="en-US"/>
              </w:rPr>
              <w:t xml:space="preserve">The </w:t>
            </w:r>
            <w:r w:rsidRPr="006140ED">
              <w:rPr>
                <w:rFonts w:eastAsia="Calibri" w:cs="Arial"/>
                <w:i/>
                <w:sz w:val="14"/>
                <w:szCs w:val="14"/>
                <w:lang w:eastAsia="en-US"/>
              </w:rPr>
              <w:t>Guidelines for Rehabilitation Authorities 2012</w:t>
            </w:r>
            <w:r w:rsidRPr="006140ED">
              <w:rPr>
                <w:rFonts w:eastAsia="Calibri" w:cs="Arial"/>
                <w:sz w:val="14"/>
                <w:szCs w:val="14"/>
                <w:lang w:eastAsia="en-US"/>
              </w:rPr>
              <w:t xml:space="preserve"> (the Guidelines) (see paragraph 17.2) state that the case manager, in identifying the potential for early rehabilitation intervention, should have regard to: (a)-(h), including unplanned workplace absences of 3 or more days.</w:t>
            </w:r>
          </w:p>
          <w:p w14:paraId="51C45146" w14:textId="57D1FDFC" w:rsidR="00697313" w:rsidRPr="006140ED" w:rsidRDefault="00697313" w:rsidP="00F839DB">
            <w:pPr>
              <w:pStyle w:val="ListParagraph"/>
              <w:numPr>
                <w:ilvl w:val="0"/>
                <w:numId w:val="232"/>
              </w:numPr>
              <w:spacing w:after="60"/>
              <w:contextualSpacing/>
              <w:rPr>
                <w:rFonts w:eastAsia="Calibri" w:cs="Arial"/>
                <w:sz w:val="14"/>
                <w:szCs w:val="14"/>
                <w:lang w:eastAsia="en-US"/>
              </w:rPr>
            </w:pPr>
            <w:r w:rsidRPr="006140ED">
              <w:rPr>
                <w:rFonts w:eastAsia="Calibri" w:cs="Arial"/>
                <w:sz w:val="14"/>
                <w:szCs w:val="14"/>
                <w:lang w:eastAsia="en-US"/>
              </w:rPr>
              <w:t xml:space="preserve">When a rehabilitation authority makes a determination that an employee who has suffered an injury resulting in an incapacity for work or an impairment should undertake a rehabilitation program — </w:t>
            </w:r>
            <w:hyperlink r:id="rId1699" w:history="1">
              <w:r w:rsidR="00280B67" w:rsidRPr="00280B67">
                <w:rPr>
                  <w:rStyle w:val="Hyperlink"/>
                  <w:rFonts w:cs="Arial"/>
                  <w:sz w:val="14"/>
                  <w:szCs w:val="16"/>
                  <w:lang w:val="en-GB"/>
                </w:rPr>
                <w:t>s37(1)</w:t>
              </w:r>
            </w:hyperlink>
            <w:r w:rsidR="00E13D9F">
              <w:rPr>
                <w:rFonts w:eastAsia="Calibri" w:cs="Arial"/>
                <w:sz w:val="14"/>
                <w:szCs w:val="14"/>
                <w:lang w:eastAsia="en-US"/>
              </w:rPr>
              <w:t>.</w:t>
            </w:r>
          </w:p>
        </w:tc>
        <w:tc>
          <w:tcPr>
            <w:tcW w:w="3118" w:type="dxa"/>
            <w:shd w:val="clear" w:color="auto" w:fill="FFC9C9"/>
            <w:tcMar>
              <w:top w:w="80" w:type="dxa"/>
              <w:left w:w="80" w:type="dxa"/>
              <w:bottom w:w="80" w:type="dxa"/>
              <w:right w:w="80" w:type="dxa"/>
            </w:tcMar>
          </w:tcPr>
          <w:p w14:paraId="736EC504" w14:textId="77777777" w:rsidR="00697313" w:rsidRPr="006140ED" w:rsidRDefault="00697313" w:rsidP="00F839DB">
            <w:pPr>
              <w:pStyle w:val="ListParagraph"/>
              <w:numPr>
                <w:ilvl w:val="0"/>
                <w:numId w:val="232"/>
              </w:numPr>
              <w:spacing w:after="60"/>
              <w:contextualSpacing/>
              <w:rPr>
                <w:rFonts w:eastAsia="Calibri" w:cs="Arial"/>
                <w:sz w:val="14"/>
                <w:szCs w:val="14"/>
                <w:lang w:eastAsia="en-US"/>
              </w:rPr>
            </w:pPr>
            <w:r w:rsidRPr="006140ED">
              <w:rPr>
                <w:rFonts w:eastAsia="Calibri" w:cs="Arial"/>
                <w:sz w:val="14"/>
                <w:szCs w:val="14"/>
                <w:lang w:eastAsia="en-US"/>
              </w:rPr>
              <w:t>The Guidelines (see Chapter 4, Part II — Rehabilitation Program) state the purpose of a rehabilitation program (return to work plan) is to deliver structured activities and services that assist an employee to be maintained at or return to work and/or maintain or improve the performance of activities of daily living.</w:t>
            </w:r>
          </w:p>
          <w:p w14:paraId="7B891B71" w14:textId="77777777" w:rsidR="00697313" w:rsidRPr="006140ED" w:rsidRDefault="00697313" w:rsidP="00F839DB">
            <w:pPr>
              <w:pStyle w:val="ListParagraph"/>
              <w:numPr>
                <w:ilvl w:val="0"/>
                <w:numId w:val="232"/>
              </w:numPr>
              <w:spacing w:after="60"/>
              <w:ind w:left="357" w:hanging="357"/>
              <w:rPr>
                <w:rFonts w:eastAsia="Calibri" w:cs="Arial"/>
                <w:sz w:val="14"/>
                <w:szCs w:val="14"/>
                <w:lang w:eastAsia="en-US"/>
              </w:rPr>
            </w:pPr>
            <w:r w:rsidRPr="006140ED">
              <w:rPr>
                <w:rFonts w:eastAsia="Calibri" w:cs="Arial"/>
                <w:sz w:val="14"/>
                <w:szCs w:val="14"/>
                <w:lang w:eastAsia="en-US"/>
              </w:rPr>
              <w:t xml:space="preserve">In deciding to provide a rehabilitation program the rehabilitation authority shall have regard to: </w:t>
            </w:r>
          </w:p>
          <w:p w14:paraId="55EEBAF5" w14:textId="77777777" w:rsidR="00697313" w:rsidRPr="006140ED" w:rsidRDefault="00697313" w:rsidP="00F839DB">
            <w:pPr>
              <w:pStyle w:val="ListParagraph"/>
              <w:numPr>
                <w:ilvl w:val="0"/>
                <w:numId w:val="233"/>
              </w:numPr>
              <w:spacing w:after="60"/>
              <w:ind w:left="544" w:hanging="283"/>
              <w:rPr>
                <w:rFonts w:cs="Arial"/>
                <w:color w:val="000000"/>
                <w:sz w:val="14"/>
                <w:szCs w:val="16"/>
                <w:lang w:val="en-GB"/>
              </w:rPr>
            </w:pPr>
            <w:r w:rsidRPr="006140ED">
              <w:rPr>
                <w:rFonts w:cs="Arial"/>
                <w:color w:val="000000"/>
                <w:sz w:val="14"/>
                <w:szCs w:val="16"/>
                <w:lang w:val="en-GB"/>
              </w:rPr>
              <w:t xml:space="preserve">the recommendations from the rehabilitation assessment; </w:t>
            </w:r>
          </w:p>
          <w:p w14:paraId="42871B0D" w14:textId="5A661F5E" w:rsidR="00697313" w:rsidRPr="006140ED" w:rsidRDefault="00697313" w:rsidP="00F839DB">
            <w:pPr>
              <w:pStyle w:val="ListParagraph"/>
              <w:numPr>
                <w:ilvl w:val="0"/>
                <w:numId w:val="233"/>
              </w:numPr>
              <w:spacing w:after="60"/>
              <w:ind w:left="544" w:hanging="283"/>
              <w:rPr>
                <w:rFonts w:cs="Arial"/>
                <w:color w:val="000000"/>
                <w:sz w:val="14"/>
                <w:szCs w:val="16"/>
                <w:lang w:val="en-GB"/>
              </w:rPr>
            </w:pPr>
            <w:r w:rsidRPr="006140ED">
              <w:rPr>
                <w:rFonts w:cs="Arial"/>
                <w:color w:val="000000"/>
                <w:sz w:val="14"/>
                <w:szCs w:val="16"/>
                <w:lang w:val="en-GB"/>
              </w:rPr>
              <w:t xml:space="preserve">the matters under </w:t>
            </w:r>
            <w:hyperlink r:id="rId1700" w:history="1">
              <w:r w:rsidRPr="00280B67">
                <w:rPr>
                  <w:rStyle w:val="Hyperlink"/>
                  <w:rFonts w:cs="Arial"/>
                  <w:sz w:val="14"/>
                  <w:szCs w:val="16"/>
                  <w:lang w:val="en-GB"/>
                </w:rPr>
                <w:t>s37(3)</w:t>
              </w:r>
            </w:hyperlink>
            <w:r w:rsidRPr="006140ED">
              <w:rPr>
                <w:rFonts w:cs="Arial"/>
                <w:color w:val="000000"/>
                <w:sz w:val="14"/>
                <w:szCs w:val="16"/>
                <w:lang w:val="en-GB"/>
              </w:rPr>
              <w:t xml:space="preserve"> of the Act, including consultation with the employee, the employee’s treating practitioner, supervisor and the approved rehabilitation provider as to the program’s content; and </w:t>
            </w:r>
          </w:p>
          <w:p w14:paraId="54259797" w14:textId="1C01E376" w:rsidR="00697313" w:rsidRPr="006140ED" w:rsidRDefault="00697313" w:rsidP="00F839DB">
            <w:pPr>
              <w:pStyle w:val="ListParagraph"/>
              <w:numPr>
                <w:ilvl w:val="0"/>
                <w:numId w:val="233"/>
              </w:numPr>
              <w:spacing w:after="60"/>
              <w:ind w:left="544" w:hanging="283"/>
              <w:rPr>
                <w:rFonts w:cs="Arial"/>
                <w:color w:val="000000"/>
                <w:sz w:val="14"/>
                <w:szCs w:val="16"/>
                <w:lang w:val="en-GB"/>
              </w:rPr>
            </w:pPr>
            <w:r w:rsidRPr="006140ED">
              <w:rPr>
                <w:rFonts w:cs="Arial"/>
                <w:color w:val="000000"/>
                <w:sz w:val="14"/>
                <w:szCs w:val="16"/>
                <w:lang w:val="en-GB"/>
              </w:rPr>
              <w:t xml:space="preserve">where the current rehabilitation authority is not the liable employer, the potential views and contributions of the liable employer to the rehabilitation program content shall be sought including their ability to provide </w:t>
            </w:r>
            <w:r w:rsidRPr="006140ED">
              <w:rPr>
                <w:rFonts w:cs="Arial"/>
                <w:color w:val="000000"/>
                <w:sz w:val="14"/>
                <w:szCs w:val="16"/>
                <w:lang w:val="en-GB"/>
              </w:rPr>
              <w:lastRenderedPageBreak/>
              <w:t xml:space="preserve">suitable employment. (Guidelines, Chapter 4, Part II </w:t>
            </w:r>
            <w:r w:rsidR="00E95BD7">
              <w:rPr>
                <w:rFonts w:cs="Arial"/>
                <w:color w:val="000000"/>
                <w:sz w:val="14"/>
                <w:szCs w:val="16"/>
                <w:lang w:val="en-GB"/>
              </w:rPr>
              <w:t>—</w:t>
            </w:r>
            <w:r w:rsidR="00E95BD7" w:rsidRPr="006140ED">
              <w:rPr>
                <w:rFonts w:cs="Arial"/>
                <w:color w:val="000000"/>
                <w:sz w:val="14"/>
                <w:szCs w:val="16"/>
                <w:lang w:val="en-GB"/>
              </w:rPr>
              <w:t xml:space="preserve"> </w:t>
            </w:r>
            <w:r w:rsidRPr="006140ED">
              <w:rPr>
                <w:rFonts w:cs="Arial"/>
                <w:color w:val="000000"/>
                <w:sz w:val="14"/>
                <w:szCs w:val="16"/>
                <w:lang w:val="en-GB"/>
              </w:rPr>
              <w:t>Rehabilitation Program, paragraph 24).</w:t>
            </w:r>
          </w:p>
        </w:tc>
        <w:tc>
          <w:tcPr>
            <w:tcW w:w="2694" w:type="dxa"/>
            <w:shd w:val="clear" w:color="auto" w:fill="FFC9C9"/>
            <w:tcMar>
              <w:top w:w="80" w:type="dxa"/>
              <w:left w:w="80" w:type="dxa"/>
              <w:bottom w:w="80" w:type="dxa"/>
              <w:right w:w="80" w:type="dxa"/>
            </w:tcMar>
          </w:tcPr>
          <w:p w14:paraId="371114BB" w14:textId="08644FA6" w:rsidR="00697313" w:rsidRPr="00AD2C3B" w:rsidRDefault="00697313" w:rsidP="00292A53">
            <w:pPr>
              <w:spacing w:after="60"/>
              <w:rPr>
                <w:rFonts w:cs="Arial"/>
                <w:i/>
                <w:color w:val="000000"/>
                <w:sz w:val="14"/>
                <w:szCs w:val="16"/>
                <w:lang w:val="en-GB"/>
              </w:rPr>
            </w:pPr>
            <w:r w:rsidRPr="00AD2C3B">
              <w:rPr>
                <w:rFonts w:cs="Arial"/>
                <w:i/>
                <w:color w:val="0000FF"/>
                <w:sz w:val="14"/>
                <w:szCs w:val="16"/>
                <w:u w:val="single"/>
                <w:lang w:val="en-GB"/>
              </w:rPr>
              <w:lastRenderedPageBreak/>
              <w:t xml:space="preserve">Guidelines for </w:t>
            </w:r>
            <w:r w:rsidR="00B461BC" w:rsidRPr="00AD2C3B">
              <w:rPr>
                <w:rFonts w:cs="Arial"/>
                <w:i/>
                <w:color w:val="0000FF"/>
                <w:sz w:val="14"/>
                <w:szCs w:val="16"/>
                <w:u w:val="single"/>
                <w:lang w:val="en-GB"/>
              </w:rPr>
              <w:t>Rehabilitation Authorities 2012</w:t>
            </w:r>
          </w:p>
        </w:tc>
        <w:tc>
          <w:tcPr>
            <w:tcW w:w="2190" w:type="dxa"/>
            <w:shd w:val="clear" w:color="auto" w:fill="FFC9C9"/>
            <w:tcMar>
              <w:top w:w="80" w:type="dxa"/>
              <w:left w:w="80" w:type="dxa"/>
              <w:bottom w:w="80" w:type="dxa"/>
              <w:right w:w="80" w:type="dxa"/>
            </w:tcMar>
          </w:tcPr>
          <w:p w14:paraId="25552AAB"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No</w:t>
            </w:r>
          </w:p>
        </w:tc>
      </w:tr>
      <w:tr w:rsidR="00697313" w:rsidRPr="00697313" w14:paraId="07808A29" w14:textId="77777777" w:rsidTr="00D413F6">
        <w:tc>
          <w:tcPr>
            <w:tcW w:w="1343" w:type="dxa"/>
            <w:tcMar>
              <w:top w:w="80" w:type="dxa"/>
              <w:left w:w="80" w:type="dxa"/>
              <w:bottom w:w="80" w:type="dxa"/>
              <w:right w:w="80" w:type="dxa"/>
            </w:tcMar>
          </w:tcPr>
          <w:p w14:paraId="311EDF47"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C’wealth Seacare</w:t>
            </w:r>
          </w:p>
        </w:tc>
        <w:tc>
          <w:tcPr>
            <w:tcW w:w="2734" w:type="dxa"/>
            <w:tcMar>
              <w:top w:w="80" w:type="dxa"/>
              <w:left w:w="80" w:type="dxa"/>
              <w:bottom w:w="80" w:type="dxa"/>
              <w:right w:w="80" w:type="dxa"/>
            </w:tcMar>
          </w:tcPr>
          <w:p w14:paraId="08687120" w14:textId="6036B8F1"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employer</w:t>
            </w:r>
            <w:r w:rsidR="00E43A25">
              <w:rPr>
                <w:rFonts w:cs="Arial"/>
                <w:color w:val="000000"/>
                <w:sz w:val="14"/>
                <w:szCs w:val="16"/>
                <w:lang w:val="en-GB"/>
              </w:rPr>
              <w:t xml:space="preserve"> and approved program provider</w:t>
            </w:r>
            <w:r w:rsidRPr="00697313">
              <w:rPr>
                <w:rFonts w:cs="Arial"/>
                <w:color w:val="000000"/>
                <w:sz w:val="14"/>
                <w:szCs w:val="16"/>
                <w:lang w:val="en-GB"/>
              </w:rPr>
              <w:t xml:space="preserve"> — </w:t>
            </w:r>
            <w:hyperlink r:id="rId1701" w:history="1">
              <w:r w:rsidRPr="00280B67">
                <w:rPr>
                  <w:rStyle w:val="Hyperlink"/>
                  <w:rFonts w:cs="Arial"/>
                  <w:sz w:val="14"/>
                  <w:szCs w:val="16"/>
                  <w:lang w:val="en-GB"/>
                </w:rPr>
                <w:t>s50(1)</w:t>
              </w:r>
            </w:hyperlink>
            <w:r w:rsidR="00280B67">
              <w:rPr>
                <w:rFonts w:cs="Arial"/>
                <w:color w:val="000000"/>
                <w:sz w:val="14"/>
                <w:szCs w:val="16"/>
                <w:lang w:val="en-GB"/>
              </w:rPr>
              <w:t xml:space="preserve"> </w:t>
            </w:r>
            <w:r w:rsidR="00280B67" w:rsidRPr="00016069">
              <w:rPr>
                <w:i/>
                <w:sz w:val="14"/>
              </w:rPr>
              <w:t>Seafarers Rehabilitation and Compensation Act 1992</w:t>
            </w:r>
          </w:p>
        </w:tc>
        <w:tc>
          <w:tcPr>
            <w:tcW w:w="2936" w:type="dxa"/>
            <w:tcMar>
              <w:top w:w="80" w:type="dxa"/>
              <w:left w:w="80" w:type="dxa"/>
              <w:bottom w:w="80" w:type="dxa"/>
              <w:right w:w="80" w:type="dxa"/>
            </w:tcMar>
          </w:tcPr>
          <w:p w14:paraId="29C8934C" w14:textId="08DEAC0C" w:rsidR="00697313" w:rsidRPr="00697313" w:rsidRDefault="00A7538C" w:rsidP="00280B67">
            <w:pPr>
              <w:spacing w:after="60"/>
              <w:rPr>
                <w:rFonts w:cs="Arial"/>
                <w:color w:val="000000"/>
                <w:sz w:val="14"/>
                <w:szCs w:val="16"/>
                <w:lang w:val="en-GB"/>
              </w:rPr>
            </w:pPr>
            <w:hyperlink r:id="rId1702" w:history="1">
              <w:r w:rsidR="00697313" w:rsidRPr="00280B67">
                <w:rPr>
                  <w:rStyle w:val="Hyperlink"/>
                  <w:rFonts w:cs="Arial"/>
                  <w:sz w:val="14"/>
                  <w:szCs w:val="16"/>
                  <w:lang w:val="en-GB"/>
                </w:rPr>
                <w:t>s49(1)</w:t>
              </w:r>
            </w:hyperlink>
            <w:r w:rsidR="00697313" w:rsidRPr="00697313">
              <w:rPr>
                <w:rFonts w:cs="Arial"/>
                <w:color w:val="000000"/>
                <w:sz w:val="14"/>
                <w:szCs w:val="16"/>
                <w:lang w:val="en-GB"/>
              </w:rPr>
              <w:t xml:space="preserve"> — If the injury lasts, or is e</w:t>
            </w:r>
            <w:r w:rsidR="00B461BC">
              <w:rPr>
                <w:rFonts w:cs="Arial"/>
                <w:color w:val="000000"/>
                <w:sz w:val="14"/>
                <w:szCs w:val="16"/>
                <w:lang w:val="en-GB"/>
              </w:rPr>
              <w:t>xpected to last 28 days or more</w:t>
            </w:r>
          </w:p>
        </w:tc>
        <w:tc>
          <w:tcPr>
            <w:tcW w:w="3118" w:type="dxa"/>
            <w:tcMar>
              <w:top w:w="80" w:type="dxa"/>
              <w:left w:w="80" w:type="dxa"/>
              <w:bottom w:w="80" w:type="dxa"/>
              <w:right w:w="80" w:type="dxa"/>
            </w:tcMar>
          </w:tcPr>
          <w:p w14:paraId="0EC786B5"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Where practical: </w:t>
            </w:r>
          </w:p>
          <w:p w14:paraId="178774CB" w14:textId="77777777" w:rsidR="00697313" w:rsidRPr="006140ED" w:rsidRDefault="00697313" w:rsidP="00F839DB">
            <w:pPr>
              <w:pStyle w:val="ListParagraph"/>
              <w:numPr>
                <w:ilvl w:val="0"/>
                <w:numId w:val="234"/>
              </w:numPr>
              <w:spacing w:after="60"/>
              <w:contextualSpacing/>
              <w:rPr>
                <w:rFonts w:eastAsia="Calibri" w:cs="Arial"/>
                <w:sz w:val="14"/>
                <w:szCs w:val="14"/>
                <w:lang w:eastAsia="en-US"/>
              </w:rPr>
            </w:pPr>
            <w:r w:rsidRPr="006140ED">
              <w:rPr>
                <w:rFonts w:eastAsia="Calibri" w:cs="Arial"/>
                <w:sz w:val="14"/>
                <w:szCs w:val="14"/>
                <w:lang w:eastAsia="en-US"/>
              </w:rPr>
              <w:t>suitable employment</w:t>
            </w:r>
          </w:p>
          <w:p w14:paraId="42985B93" w14:textId="77777777" w:rsidR="00697313" w:rsidRPr="006140ED" w:rsidRDefault="00697313" w:rsidP="00F839DB">
            <w:pPr>
              <w:pStyle w:val="ListParagraph"/>
              <w:numPr>
                <w:ilvl w:val="0"/>
                <w:numId w:val="234"/>
              </w:numPr>
              <w:spacing w:after="60"/>
              <w:contextualSpacing/>
              <w:rPr>
                <w:rFonts w:eastAsia="Calibri" w:cs="Arial"/>
                <w:sz w:val="14"/>
                <w:szCs w:val="14"/>
                <w:lang w:eastAsia="en-US"/>
              </w:rPr>
            </w:pPr>
            <w:r w:rsidRPr="006140ED">
              <w:rPr>
                <w:rFonts w:eastAsia="Calibri" w:cs="Arial"/>
                <w:sz w:val="14"/>
                <w:szCs w:val="14"/>
                <w:lang w:eastAsia="en-US"/>
              </w:rPr>
              <w:t>an outline of steps by the employer or on the employers behalf, and</w:t>
            </w:r>
          </w:p>
          <w:p w14:paraId="69FDE959" w14:textId="77777777" w:rsidR="00697313" w:rsidRPr="006140ED" w:rsidRDefault="00697313" w:rsidP="00F839DB">
            <w:pPr>
              <w:pStyle w:val="ListParagraph"/>
              <w:numPr>
                <w:ilvl w:val="0"/>
                <w:numId w:val="234"/>
              </w:numPr>
              <w:spacing w:after="60"/>
              <w:contextualSpacing/>
              <w:rPr>
                <w:rFonts w:eastAsia="Calibri" w:cs="Arial"/>
                <w:sz w:val="14"/>
                <w:szCs w:val="14"/>
                <w:lang w:eastAsia="en-US"/>
              </w:rPr>
            </w:pPr>
            <w:r w:rsidRPr="006140ED">
              <w:rPr>
                <w:rFonts w:eastAsia="Calibri" w:cs="Arial"/>
                <w:sz w:val="14"/>
                <w:szCs w:val="14"/>
                <w:lang w:eastAsia="en-US"/>
              </w:rPr>
              <w:t>a start and review date.</w:t>
            </w:r>
          </w:p>
        </w:tc>
        <w:tc>
          <w:tcPr>
            <w:tcW w:w="2694" w:type="dxa"/>
            <w:tcMar>
              <w:top w:w="80" w:type="dxa"/>
              <w:left w:w="80" w:type="dxa"/>
              <w:bottom w:w="80" w:type="dxa"/>
              <w:right w:w="80" w:type="dxa"/>
            </w:tcMar>
          </w:tcPr>
          <w:p w14:paraId="4CEDD818" w14:textId="2EDB2A39" w:rsidR="00697313" w:rsidRPr="00697313" w:rsidRDefault="00A7538C" w:rsidP="00292A53">
            <w:pPr>
              <w:spacing w:after="60"/>
              <w:rPr>
                <w:rFonts w:cs="Arial"/>
                <w:color w:val="000000"/>
                <w:sz w:val="14"/>
                <w:szCs w:val="16"/>
                <w:lang w:val="en-GB"/>
              </w:rPr>
            </w:pPr>
            <w:hyperlink r:id="rId1703" w:history="1">
              <w:r w:rsidR="00697313" w:rsidRPr="00697313">
                <w:rPr>
                  <w:rFonts w:cs="Arial"/>
                  <w:color w:val="0000FF"/>
                  <w:sz w:val="14"/>
                  <w:szCs w:val="16"/>
                  <w:u w:val="single"/>
                  <w:lang w:val="en-GB"/>
                </w:rPr>
                <w:t>A best practice guide: Seafarers Rehabilitation and Return to Work</w:t>
              </w:r>
            </w:hyperlink>
          </w:p>
        </w:tc>
        <w:tc>
          <w:tcPr>
            <w:tcW w:w="2190" w:type="dxa"/>
            <w:tcMar>
              <w:top w:w="80" w:type="dxa"/>
              <w:left w:w="80" w:type="dxa"/>
              <w:bottom w:w="80" w:type="dxa"/>
              <w:right w:w="80" w:type="dxa"/>
            </w:tcMar>
          </w:tcPr>
          <w:p w14:paraId="5B87E59C" w14:textId="104A33DA"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No</w:t>
            </w:r>
          </w:p>
        </w:tc>
      </w:tr>
      <w:tr w:rsidR="00697313" w:rsidRPr="00697313" w14:paraId="3F42789E" w14:textId="77777777" w:rsidTr="00D413F6">
        <w:tc>
          <w:tcPr>
            <w:tcW w:w="1343" w:type="dxa"/>
            <w:shd w:val="clear" w:color="auto" w:fill="FFC9C9"/>
            <w:tcMar>
              <w:top w:w="80" w:type="dxa"/>
              <w:left w:w="80" w:type="dxa"/>
              <w:bottom w:w="80" w:type="dxa"/>
              <w:right w:w="80" w:type="dxa"/>
            </w:tcMar>
          </w:tcPr>
          <w:p w14:paraId="6940FD5D"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C’wealth DVA</w:t>
            </w:r>
          </w:p>
        </w:tc>
        <w:tc>
          <w:tcPr>
            <w:tcW w:w="2734" w:type="dxa"/>
            <w:shd w:val="clear" w:color="auto" w:fill="FFC9C9"/>
            <w:tcMar>
              <w:top w:w="80" w:type="dxa"/>
              <w:left w:w="80" w:type="dxa"/>
              <w:bottom w:w="80" w:type="dxa"/>
              <w:right w:w="80" w:type="dxa"/>
            </w:tcMar>
          </w:tcPr>
          <w:p w14:paraId="7D44DB02" w14:textId="72CCF7E0" w:rsidR="00697313" w:rsidRPr="006140ED" w:rsidRDefault="006362F3" w:rsidP="00F839DB">
            <w:pPr>
              <w:pStyle w:val="ListParagraph"/>
              <w:numPr>
                <w:ilvl w:val="0"/>
                <w:numId w:val="235"/>
              </w:numPr>
              <w:spacing w:after="60"/>
              <w:contextualSpacing/>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i/>
                <w:sz w:val="14"/>
                <w:szCs w:val="14"/>
                <w:lang w:eastAsia="en-US"/>
              </w:rPr>
              <w:t xml:space="preserve"> </w:t>
            </w:r>
            <w:r>
              <w:rPr>
                <w:rFonts w:eastAsia="Calibri" w:cs="Arial"/>
                <w:sz w:val="14"/>
                <w:szCs w:val="14"/>
                <w:lang w:eastAsia="en-US"/>
              </w:rPr>
              <w:t>(</w:t>
            </w:r>
            <w:r w:rsidR="009D57B8">
              <w:rPr>
                <w:rFonts w:eastAsia="Calibri" w:cs="Arial"/>
                <w:sz w:val="14"/>
                <w:szCs w:val="14"/>
                <w:lang w:eastAsia="en-US"/>
              </w:rPr>
              <w:t>MRCA</w:t>
            </w:r>
            <w:r>
              <w:rPr>
                <w:rFonts w:eastAsia="Calibri" w:cs="Arial"/>
                <w:sz w:val="14"/>
                <w:szCs w:val="14"/>
                <w:lang w:eastAsia="en-US"/>
              </w:rPr>
              <w:t>)</w:t>
            </w:r>
            <w:r w:rsidR="009D57B8">
              <w:rPr>
                <w:rFonts w:eastAsia="Calibri" w:cs="Arial"/>
                <w:sz w:val="14"/>
                <w:szCs w:val="14"/>
                <w:lang w:eastAsia="en-US"/>
              </w:rPr>
              <w:t xml:space="preserve"> </w:t>
            </w:r>
            <w:hyperlink r:id="rId1704" w:history="1">
              <w:r w:rsidR="00697313" w:rsidRPr="006362F3">
                <w:rPr>
                  <w:rStyle w:val="Hyperlink"/>
                  <w:rFonts w:eastAsia="Calibri" w:cs="Arial"/>
                  <w:sz w:val="14"/>
                  <w:szCs w:val="14"/>
                  <w:lang w:eastAsia="en-US"/>
                </w:rPr>
                <w:t>s39</w:t>
              </w:r>
            </w:hyperlink>
            <w:r w:rsidR="00697313" w:rsidRPr="006140ED">
              <w:rPr>
                <w:rFonts w:eastAsia="Calibri" w:cs="Arial"/>
                <w:sz w:val="14"/>
                <w:szCs w:val="14"/>
                <w:lang w:eastAsia="en-US"/>
              </w:rPr>
              <w:t xml:space="preserve"> — The rehabilitation authority for a person at a time is:</w:t>
            </w:r>
          </w:p>
          <w:p w14:paraId="5592D017" w14:textId="77777777" w:rsidR="00697313" w:rsidRPr="00697313" w:rsidRDefault="00697313" w:rsidP="00292A53">
            <w:pPr>
              <w:numPr>
                <w:ilvl w:val="0"/>
                <w:numId w:val="18"/>
              </w:numPr>
              <w:spacing w:after="60"/>
              <w:contextualSpacing/>
              <w:rPr>
                <w:rFonts w:cs="Arial"/>
                <w:color w:val="000000"/>
                <w:sz w:val="14"/>
                <w:szCs w:val="16"/>
                <w:lang w:val="en-GB"/>
              </w:rPr>
            </w:pPr>
            <w:r w:rsidRPr="00697313">
              <w:rPr>
                <w:rFonts w:cs="Arial"/>
                <w:color w:val="000000"/>
                <w:sz w:val="14"/>
                <w:szCs w:val="16"/>
                <w:lang w:val="en-GB"/>
              </w:rPr>
              <w:t>subject to paragraph (aa), the Chief of the Defence Force for a time when the person:</w:t>
            </w:r>
          </w:p>
          <w:p w14:paraId="7C45DFA3" w14:textId="77777777" w:rsidR="00697313" w:rsidRPr="006140ED" w:rsidRDefault="00697313" w:rsidP="00F839DB">
            <w:pPr>
              <w:pStyle w:val="ListParagraph"/>
              <w:numPr>
                <w:ilvl w:val="0"/>
                <w:numId w:val="236"/>
              </w:numPr>
              <w:spacing w:after="60"/>
              <w:ind w:left="627" w:hanging="284"/>
              <w:contextualSpacing/>
              <w:rPr>
                <w:rFonts w:cs="Arial"/>
                <w:color w:val="000000"/>
                <w:sz w:val="14"/>
                <w:szCs w:val="16"/>
                <w:lang w:val="en-GB"/>
              </w:rPr>
            </w:pPr>
            <w:r w:rsidRPr="006140ED">
              <w:rPr>
                <w:rFonts w:cs="Arial"/>
                <w:color w:val="000000"/>
                <w:sz w:val="14"/>
                <w:szCs w:val="16"/>
                <w:lang w:val="en-GB"/>
              </w:rPr>
              <w:t>is a Permanent Forces member, a continuous full-time Reservist or a part-time Reservist; and</w:t>
            </w:r>
          </w:p>
          <w:p w14:paraId="1FA175E4" w14:textId="77777777" w:rsidR="00697313" w:rsidRPr="006140ED" w:rsidRDefault="00697313" w:rsidP="00F839DB">
            <w:pPr>
              <w:pStyle w:val="ListParagraph"/>
              <w:numPr>
                <w:ilvl w:val="0"/>
                <w:numId w:val="236"/>
              </w:numPr>
              <w:spacing w:after="60"/>
              <w:ind w:left="627" w:hanging="284"/>
              <w:contextualSpacing/>
              <w:rPr>
                <w:rFonts w:cs="Arial"/>
                <w:color w:val="000000"/>
                <w:sz w:val="14"/>
                <w:szCs w:val="16"/>
                <w:lang w:val="en-GB"/>
              </w:rPr>
            </w:pPr>
            <w:r w:rsidRPr="006140ED">
              <w:rPr>
                <w:rFonts w:cs="Arial"/>
                <w:color w:val="000000"/>
                <w:sz w:val="14"/>
                <w:szCs w:val="16"/>
                <w:lang w:val="en-GB"/>
              </w:rPr>
              <w:t>has not been identified by or on behalf of the Chief of the Defence Force as being likely to be discharged from the Defence Force for medical reasons; or</w:t>
            </w:r>
          </w:p>
          <w:p w14:paraId="28576D8C" w14:textId="77777777" w:rsidR="003112C5" w:rsidRDefault="00697313" w:rsidP="00F839DB">
            <w:pPr>
              <w:pStyle w:val="Tableabc"/>
              <w:numPr>
                <w:ilvl w:val="0"/>
                <w:numId w:val="560"/>
              </w:numPr>
              <w:spacing w:after="100"/>
              <w:ind w:left="357" w:hanging="357"/>
              <w:contextualSpacing/>
              <w:rPr>
                <w:color w:val="000000"/>
              </w:rPr>
            </w:pPr>
            <w:r w:rsidRPr="00A25C15">
              <w:rPr>
                <w:color w:val="000000"/>
              </w:rPr>
              <w:t>if the Commission, after considering advice from the Chief of the Defence Force, determines, in writing, that the Commission is to be the rehabilitation authority for a specified person at a specified time</w:t>
            </w:r>
            <w:r w:rsidR="00E95BD7" w:rsidRPr="00A25C15">
              <w:rPr>
                <w:color w:val="000000"/>
              </w:rPr>
              <w:t xml:space="preserve"> </w:t>
            </w:r>
            <w:r w:rsidRPr="00A25C15">
              <w:rPr>
                <w:color w:val="000000"/>
              </w:rPr>
              <w:t>—</w:t>
            </w:r>
            <w:r w:rsidR="00E95BD7" w:rsidRPr="00A25C15">
              <w:rPr>
                <w:color w:val="000000"/>
              </w:rPr>
              <w:t xml:space="preserve"> </w:t>
            </w:r>
            <w:r w:rsidRPr="00A25C15">
              <w:rPr>
                <w:color w:val="000000"/>
              </w:rPr>
              <w:t>the Commission for that time; or</w:t>
            </w:r>
          </w:p>
          <w:p w14:paraId="10106000" w14:textId="77777777" w:rsidR="00697313" w:rsidRDefault="00697313" w:rsidP="00F839DB">
            <w:pPr>
              <w:pStyle w:val="Tableabc"/>
              <w:numPr>
                <w:ilvl w:val="0"/>
                <w:numId w:val="560"/>
              </w:numPr>
              <w:spacing w:after="100"/>
              <w:ind w:left="357" w:hanging="357"/>
              <w:contextualSpacing/>
              <w:rPr>
                <w:color w:val="000000"/>
              </w:rPr>
            </w:pPr>
            <w:r w:rsidRPr="003112C5">
              <w:rPr>
                <w:color w:val="000000"/>
              </w:rPr>
              <w:t>the Commission for any other time.</w:t>
            </w:r>
          </w:p>
          <w:p w14:paraId="5F3FA276" w14:textId="77777777" w:rsidR="001A1D8D" w:rsidRDefault="001A1D8D" w:rsidP="001A1D8D">
            <w:pPr>
              <w:pStyle w:val="Tableabc"/>
              <w:numPr>
                <w:ilvl w:val="0"/>
                <w:numId w:val="0"/>
              </w:numPr>
              <w:spacing w:after="100"/>
              <w:ind w:left="360" w:hanging="360"/>
              <w:contextualSpacing/>
              <w:rPr>
                <w:color w:val="000000"/>
              </w:rPr>
            </w:pPr>
          </w:p>
          <w:p w14:paraId="55F7DBFA" w14:textId="1DBE0451" w:rsidR="001A1D8D" w:rsidRDefault="006362F3" w:rsidP="00F839DB">
            <w:pPr>
              <w:pStyle w:val="Tableabc"/>
              <w:numPr>
                <w:ilvl w:val="0"/>
                <w:numId w:val="235"/>
              </w:numPr>
              <w:spacing w:after="100"/>
              <w:contextualSpacing/>
              <w:rPr>
                <w:color w:val="000000"/>
              </w:rPr>
            </w:pPr>
            <w:r w:rsidRPr="00016069">
              <w:rPr>
                <w:i/>
              </w:rPr>
              <w:t>Safety, Rehabilitation and Compensation (Defence-related Claims) Act 1988</w:t>
            </w:r>
            <w:r>
              <w:rPr>
                <w:color w:val="000000"/>
              </w:rPr>
              <w:t xml:space="preserve"> (</w:t>
            </w:r>
            <w:r w:rsidR="001A1D8D">
              <w:rPr>
                <w:color w:val="000000"/>
              </w:rPr>
              <w:t>DRCA</w:t>
            </w:r>
            <w:r>
              <w:rPr>
                <w:color w:val="000000"/>
              </w:rPr>
              <w:t>)</w:t>
            </w:r>
            <w:r w:rsidR="001A1D8D">
              <w:rPr>
                <w:color w:val="000000"/>
              </w:rPr>
              <w:t xml:space="preserve"> </w:t>
            </w:r>
            <w:hyperlink r:id="rId1705" w:history="1">
              <w:r w:rsidR="001A1D8D" w:rsidRPr="006362F3">
                <w:rPr>
                  <w:rStyle w:val="Hyperlink"/>
                </w:rPr>
                <w:t>s41A</w:t>
              </w:r>
            </w:hyperlink>
            <w:r w:rsidR="001A1D8D">
              <w:rPr>
                <w:color w:val="000000"/>
              </w:rPr>
              <w:t xml:space="preserve"> — Delegation by a Rehabilitation Authority</w:t>
            </w:r>
          </w:p>
          <w:p w14:paraId="441DD824" w14:textId="77777777" w:rsidR="001A1D8D" w:rsidRDefault="001A1D8D" w:rsidP="00F839DB">
            <w:pPr>
              <w:pStyle w:val="Tableabc"/>
              <w:numPr>
                <w:ilvl w:val="0"/>
                <w:numId w:val="563"/>
              </w:numPr>
              <w:spacing w:after="100"/>
              <w:contextualSpacing/>
              <w:rPr>
                <w:color w:val="000000"/>
              </w:rPr>
            </w:pPr>
            <w:r>
              <w:rPr>
                <w:color w:val="000000"/>
              </w:rPr>
              <w:t>A rehabilitation authority</w:t>
            </w:r>
            <w:r w:rsidR="00664874">
              <w:rPr>
                <w:color w:val="000000"/>
              </w:rPr>
              <w:t xml:space="preserve"> who is:</w:t>
            </w:r>
          </w:p>
          <w:p w14:paraId="3787BB86" w14:textId="77777777" w:rsidR="00664874" w:rsidRDefault="00664874" w:rsidP="00F839DB">
            <w:pPr>
              <w:pStyle w:val="Tableabc"/>
              <w:numPr>
                <w:ilvl w:val="0"/>
                <w:numId w:val="564"/>
              </w:numPr>
              <w:spacing w:after="100"/>
              <w:contextualSpacing/>
              <w:rPr>
                <w:color w:val="000000"/>
              </w:rPr>
            </w:pPr>
            <w:r>
              <w:rPr>
                <w:color w:val="000000"/>
              </w:rPr>
              <w:t>the principal officer of an Entity; or</w:t>
            </w:r>
          </w:p>
          <w:p w14:paraId="290F96E7" w14:textId="77777777" w:rsidR="00664874" w:rsidRDefault="00664874" w:rsidP="00F839DB">
            <w:pPr>
              <w:pStyle w:val="Tableabc"/>
              <w:numPr>
                <w:ilvl w:val="0"/>
                <w:numId w:val="564"/>
              </w:numPr>
              <w:spacing w:after="100"/>
              <w:contextualSpacing/>
              <w:rPr>
                <w:color w:val="000000"/>
              </w:rPr>
            </w:pPr>
            <w:r>
              <w:rPr>
                <w:color w:val="000000"/>
              </w:rPr>
              <w:t xml:space="preserve">the principal officer of a Commonwealth authority in respect of which a licence is not in force under Part VIII of the SRC Act; or </w:t>
            </w:r>
          </w:p>
          <w:p w14:paraId="2B051F17" w14:textId="77777777" w:rsidR="00664874" w:rsidRDefault="00664874" w:rsidP="00F839DB">
            <w:pPr>
              <w:pStyle w:val="Tableabc"/>
              <w:numPr>
                <w:ilvl w:val="0"/>
                <w:numId w:val="564"/>
              </w:numPr>
              <w:spacing w:after="100"/>
              <w:contextualSpacing/>
              <w:rPr>
                <w:color w:val="000000"/>
              </w:rPr>
            </w:pPr>
            <w:r>
              <w:rPr>
                <w:color w:val="000000"/>
              </w:rPr>
              <w:t>the principal officer of a licensee;</w:t>
            </w:r>
          </w:p>
          <w:p w14:paraId="06173D8E" w14:textId="517FBDF3" w:rsidR="00664874" w:rsidRDefault="00664874" w:rsidP="00664874">
            <w:pPr>
              <w:pStyle w:val="Tableabc"/>
              <w:numPr>
                <w:ilvl w:val="0"/>
                <w:numId w:val="0"/>
              </w:numPr>
              <w:spacing w:after="100"/>
              <w:ind w:left="345"/>
              <w:contextualSpacing/>
              <w:rPr>
                <w:color w:val="000000"/>
              </w:rPr>
            </w:pPr>
            <w:r>
              <w:rPr>
                <w:color w:val="000000"/>
              </w:rPr>
              <w:lastRenderedPageBreak/>
              <w:t>may in writing, delegate to an officer of, or a person employed by that Entity, authority or licensee all or any of the powers and functions of the rehabilitation authority under this Part.</w:t>
            </w:r>
          </w:p>
          <w:p w14:paraId="69E4E1B7" w14:textId="2F40FBA3" w:rsidR="00664874" w:rsidRDefault="00664874" w:rsidP="00F839DB">
            <w:pPr>
              <w:pStyle w:val="Tableabc"/>
              <w:numPr>
                <w:ilvl w:val="0"/>
                <w:numId w:val="563"/>
              </w:numPr>
              <w:spacing w:after="100"/>
              <w:contextualSpacing/>
              <w:rPr>
                <w:color w:val="000000"/>
              </w:rPr>
            </w:pPr>
            <w:r>
              <w:rPr>
                <w:color w:val="000000"/>
              </w:rPr>
              <w:t>A rehabilitation authority who is the Chief of the Defence Force may, in writing, delegate to an officer or employee of the Commonwealth all or any of the powers and functions of the rehabilitation authority under this Part.</w:t>
            </w:r>
          </w:p>
          <w:p w14:paraId="447E01E7" w14:textId="23EF89D7" w:rsidR="00664874" w:rsidRPr="003112C5" w:rsidRDefault="00664874" w:rsidP="00664874">
            <w:pPr>
              <w:pStyle w:val="Tableabc"/>
              <w:numPr>
                <w:ilvl w:val="0"/>
                <w:numId w:val="0"/>
              </w:numPr>
              <w:spacing w:after="100"/>
              <w:ind w:left="360" w:hanging="360"/>
              <w:contextualSpacing/>
              <w:rPr>
                <w:color w:val="000000"/>
              </w:rPr>
            </w:pPr>
          </w:p>
        </w:tc>
        <w:tc>
          <w:tcPr>
            <w:tcW w:w="2936" w:type="dxa"/>
            <w:shd w:val="clear" w:color="auto" w:fill="FFC9C9"/>
            <w:tcMar>
              <w:top w:w="80" w:type="dxa"/>
              <w:left w:w="80" w:type="dxa"/>
              <w:bottom w:w="80" w:type="dxa"/>
              <w:right w:w="80" w:type="dxa"/>
            </w:tcMar>
          </w:tcPr>
          <w:p w14:paraId="5FD38621" w14:textId="4499E621" w:rsidR="00697313" w:rsidRDefault="003112C5" w:rsidP="00F839DB">
            <w:pPr>
              <w:pStyle w:val="ListParagraph"/>
              <w:numPr>
                <w:ilvl w:val="0"/>
                <w:numId w:val="235"/>
              </w:numPr>
              <w:spacing w:after="60"/>
              <w:contextualSpacing/>
              <w:rPr>
                <w:rFonts w:cs="Arial"/>
                <w:color w:val="000000"/>
                <w:sz w:val="14"/>
                <w:szCs w:val="16"/>
                <w:lang w:val="en-GB"/>
              </w:rPr>
            </w:pPr>
            <w:r w:rsidRPr="003112C5">
              <w:rPr>
                <w:rFonts w:cs="Arial"/>
                <w:color w:val="000000"/>
                <w:sz w:val="14"/>
                <w:szCs w:val="16"/>
                <w:lang w:val="en-GB"/>
              </w:rPr>
              <w:lastRenderedPageBreak/>
              <w:t xml:space="preserve">MRCA </w:t>
            </w:r>
            <w:hyperlink r:id="rId1706" w:history="1">
              <w:r w:rsidR="00697313" w:rsidRPr="006362F3">
                <w:rPr>
                  <w:rStyle w:val="Hyperlink"/>
                  <w:rFonts w:cs="Arial"/>
                  <w:sz w:val="14"/>
                  <w:szCs w:val="16"/>
                  <w:lang w:val="en-GB"/>
                </w:rPr>
                <w:t>s51</w:t>
              </w:r>
            </w:hyperlink>
            <w:r w:rsidR="00697313" w:rsidRPr="003112C5">
              <w:rPr>
                <w:rFonts w:cs="Arial"/>
                <w:color w:val="000000"/>
                <w:sz w:val="14"/>
                <w:szCs w:val="16"/>
                <w:lang w:val="en-GB"/>
              </w:rPr>
              <w:t xml:space="preserve"> — Rehabilitation authority may determine that the person is to undertake a rehabilitation program if an assessment has been made of the perso</w:t>
            </w:r>
            <w:r w:rsidR="00B461BC" w:rsidRPr="003112C5">
              <w:rPr>
                <w:rFonts w:cs="Arial"/>
                <w:color w:val="000000"/>
                <w:sz w:val="14"/>
                <w:szCs w:val="16"/>
                <w:lang w:val="en-GB"/>
              </w:rPr>
              <w:t>n’s capacity for rehabilitation</w:t>
            </w:r>
          </w:p>
          <w:p w14:paraId="3EE8152D" w14:textId="1C06BB56" w:rsidR="003112C5" w:rsidRDefault="003112C5" w:rsidP="00F839DB">
            <w:pPr>
              <w:pStyle w:val="ListParagraph"/>
              <w:numPr>
                <w:ilvl w:val="0"/>
                <w:numId w:val="235"/>
              </w:numPr>
              <w:spacing w:after="60"/>
              <w:contextualSpacing/>
              <w:rPr>
                <w:rFonts w:cs="Arial"/>
                <w:color w:val="000000"/>
                <w:sz w:val="14"/>
                <w:szCs w:val="16"/>
                <w:lang w:val="en-GB"/>
              </w:rPr>
            </w:pPr>
            <w:r>
              <w:rPr>
                <w:rFonts w:cs="Arial"/>
                <w:color w:val="000000"/>
                <w:sz w:val="14"/>
                <w:szCs w:val="16"/>
                <w:lang w:val="en-GB"/>
              </w:rPr>
              <w:t xml:space="preserve">DRCA </w:t>
            </w:r>
            <w:hyperlink r:id="rId1707" w:history="1">
              <w:r w:rsidRPr="006362F3">
                <w:rPr>
                  <w:rStyle w:val="Hyperlink"/>
                  <w:rFonts w:cs="Arial"/>
                  <w:sz w:val="14"/>
                  <w:szCs w:val="16"/>
                  <w:lang w:val="en-GB"/>
                </w:rPr>
                <w:t>s37</w:t>
              </w:r>
            </w:hyperlink>
            <w:r>
              <w:rPr>
                <w:rFonts w:cs="Arial"/>
                <w:color w:val="000000"/>
                <w:sz w:val="14"/>
                <w:szCs w:val="16"/>
                <w:lang w:val="en-GB"/>
              </w:rPr>
              <w:t xml:space="preserve"> — Provision of rehabilitation programs</w:t>
            </w:r>
          </w:p>
          <w:p w14:paraId="311BE47E" w14:textId="1752DD75" w:rsidR="003112C5" w:rsidRPr="003112C5" w:rsidRDefault="003112C5" w:rsidP="00F839DB">
            <w:pPr>
              <w:pStyle w:val="ListParagraph"/>
              <w:numPr>
                <w:ilvl w:val="0"/>
                <w:numId w:val="561"/>
              </w:numPr>
              <w:spacing w:after="60"/>
              <w:contextualSpacing/>
              <w:rPr>
                <w:rFonts w:cs="Arial"/>
                <w:color w:val="000000"/>
                <w:sz w:val="14"/>
                <w:szCs w:val="16"/>
                <w:lang w:val="en-GB"/>
              </w:rPr>
            </w:pPr>
            <w:r>
              <w:rPr>
                <w:rFonts w:cs="Arial"/>
                <w:color w:val="000000"/>
                <w:sz w:val="14"/>
                <w:szCs w:val="16"/>
                <w:lang w:val="en-GB"/>
              </w:rPr>
              <w:t>A rehabilitation authority may make a determination that an employee who has suffered an injury resulting in an incapacity for work or an impairment should undertake a rehabilitation program.</w:t>
            </w:r>
          </w:p>
        </w:tc>
        <w:tc>
          <w:tcPr>
            <w:tcW w:w="3118" w:type="dxa"/>
            <w:shd w:val="clear" w:color="auto" w:fill="FFC9C9"/>
            <w:tcMar>
              <w:top w:w="80" w:type="dxa"/>
              <w:left w:w="80" w:type="dxa"/>
              <w:bottom w:w="80" w:type="dxa"/>
              <w:right w:w="80" w:type="dxa"/>
            </w:tcMar>
          </w:tcPr>
          <w:p w14:paraId="16198CFE" w14:textId="6F5307D7" w:rsidR="00697313" w:rsidRPr="00697313" w:rsidRDefault="003112C5" w:rsidP="00292A53">
            <w:pPr>
              <w:spacing w:after="60"/>
              <w:contextualSpacing/>
              <w:rPr>
                <w:rFonts w:cs="Arial"/>
                <w:color w:val="000000"/>
                <w:sz w:val="14"/>
                <w:szCs w:val="16"/>
                <w:lang w:val="en-GB"/>
              </w:rPr>
            </w:pPr>
            <w:r>
              <w:rPr>
                <w:rFonts w:cs="Arial"/>
                <w:color w:val="000000"/>
                <w:sz w:val="14"/>
                <w:szCs w:val="16"/>
                <w:lang w:val="en-GB"/>
              </w:rPr>
              <w:t xml:space="preserve">MRCA </w:t>
            </w:r>
            <w:hyperlink r:id="rId1708" w:history="1">
              <w:r w:rsidR="00697313" w:rsidRPr="006362F3">
                <w:rPr>
                  <w:rStyle w:val="Hyperlink"/>
                  <w:rFonts w:cs="Arial"/>
                  <w:sz w:val="14"/>
                  <w:szCs w:val="16"/>
                  <w:lang w:val="en-GB"/>
                </w:rPr>
                <w:t>s5</w:t>
              </w:r>
            </w:hyperlink>
            <w:r w:rsidR="00697313" w:rsidRPr="00697313">
              <w:rPr>
                <w:rFonts w:cs="Arial"/>
                <w:color w:val="000000"/>
                <w:sz w:val="14"/>
                <w:szCs w:val="16"/>
                <w:lang w:val="en-GB"/>
              </w:rPr>
              <w:t xml:space="preserve"> — A program that consists of or includes any one or more of the following: </w:t>
            </w:r>
          </w:p>
          <w:p w14:paraId="6D42B03B"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medical, dental, psychiatric and hospital services,</w:t>
            </w:r>
          </w:p>
          <w:p w14:paraId="326FBDF9"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physical training and exercise,</w:t>
            </w:r>
          </w:p>
          <w:p w14:paraId="03D7BAB9"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physiotherapy,</w:t>
            </w:r>
          </w:p>
          <w:p w14:paraId="062306B4"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occupational therapy,</w:t>
            </w:r>
          </w:p>
          <w:p w14:paraId="08C4E369"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 xml:space="preserve">vocational assessment and rehabilitation, </w:t>
            </w:r>
          </w:p>
          <w:p w14:paraId="0454F995"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counselling, and</w:t>
            </w:r>
          </w:p>
          <w:p w14:paraId="4AF772B7" w14:textId="77777777" w:rsidR="00697313" w:rsidRPr="006C1EA0" w:rsidRDefault="00697313" w:rsidP="00F839DB">
            <w:pPr>
              <w:pStyle w:val="ListParagraph"/>
              <w:numPr>
                <w:ilvl w:val="0"/>
                <w:numId w:val="237"/>
              </w:numPr>
              <w:spacing w:after="60"/>
              <w:ind w:left="357" w:hanging="357"/>
              <w:rPr>
                <w:rFonts w:cs="Arial"/>
                <w:color w:val="000000"/>
                <w:sz w:val="14"/>
                <w:szCs w:val="16"/>
                <w:lang w:val="en-GB"/>
              </w:rPr>
            </w:pPr>
            <w:r w:rsidRPr="006C1EA0">
              <w:rPr>
                <w:rFonts w:cs="Arial"/>
                <w:color w:val="000000"/>
                <w:sz w:val="14"/>
                <w:szCs w:val="16"/>
                <w:lang w:val="en-GB"/>
              </w:rPr>
              <w:t xml:space="preserve">psycho-social training. </w:t>
            </w:r>
          </w:p>
          <w:p w14:paraId="11F8A90E" w14:textId="6C468C4E" w:rsidR="00697313" w:rsidRPr="005C5C26" w:rsidRDefault="003112C5" w:rsidP="00292A53">
            <w:pPr>
              <w:spacing w:after="60"/>
              <w:contextualSpacing/>
              <w:rPr>
                <w:rFonts w:eastAsia="Calibri" w:cs="Arial"/>
                <w:sz w:val="14"/>
                <w:szCs w:val="14"/>
                <w:lang w:eastAsia="en-US"/>
              </w:rPr>
            </w:pPr>
            <w:r>
              <w:rPr>
                <w:rFonts w:eastAsia="Calibri" w:cs="Arial"/>
                <w:sz w:val="14"/>
                <w:szCs w:val="14"/>
                <w:lang w:eastAsia="en-US"/>
              </w:rPr>
              <w:t xml:space="preserve">MRCA </w:t>
            </w:r>
            <w:hyperlink r:id="rId1709" w:history="1">
              <w:r w:rsidR="00697313" w:rsidRPr="006362F3">
                <w:rPr>
                  <w:rStyle w:val="Hyperlink"/>
                  <w:rFonts w:eastAsia="Calibri" w:cs="Arial"/>
                  <w:sz w:val="14"/>
                  <w:szCs w:val="14"/>
                  <w:lang w:eastAsia="en-US"/>
                </w:rPr>
                <w:t>s5</w:t>
              </w:r>
            </w:hyperlink>
            <w:r w:rsidR="00697313" w:rsidRPr="005C5C26">
              <w:rPr>
                <w:rFonts w:eastAsia="Calibri" w:cs="Arial"/>
                <w:sz w:val="14"/>
                <w:szCs w:val="14"/>
                <w:lang w:eastAsia="en-US"/>
              </w:rPr>
              <w:t xml:space="preserve"> — Vocational assessment and rehabilitation consists of or includes any one or more of the following:</w:t>
            </w:r>
          </w:p>
          <w:p w14:paraId="0B7A3802"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assessment of transferable skills,</w:t>
            </w:r>
          </w:p>
          <w:p w14:paraId="6AC367DC"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functional capacity assessment,</w:t>
            </w:r>
          </w:p>
          <w:p w14:paraId="65745988"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workplace assessment,</w:t>
            </w:r>
          </w:p>
          <w:p w14:paraId="3B9BA4DA"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vocational counselling and training,</w:t>
            </w:r>
          </w:p>
          <w:p w14:paraId="5D100EFE"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review of medical factors,</w:t>
            </w:r>
          </w:p>
          <w:p w14:paraId="4C1C1145"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training in resume preparation, job-seeker skills and job placement, and</w:t>
            </w:r>
          </w:p>
          <w:p w14:paraId="0801FF07" w14:textId="77777777" w:rsidR="00697313"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 xml:space="preserve">provision of workplace aids and equipment. </w:t>
            </w:r>
          </w:p>
          <w:p w14:paraId="5C5E0D24" w14:textId="77777777" w:rsidR="003112C5" w:rsidRDefault="003112C5" w:rsidP="003112C5">
            <w:pPr>
              <w:spacing w:after="60"/>
              <w:contextualSpacing/>
              <w:rPr>
                <w:rFonts w:eastAsia="Calibri" w:cs="Arial"/>
                <w:sz w:val="14"/>
                <w:szCs w:val="14"/>
                <w:lang w:eastAsia="en-US"/>
              </w:rPr>
            </w:pPr>
          </w:p>
          <w:p w14:paraId="6BCF6C97" w14:textId="55EF31DD" w:rsidR="003112C5" w:rsidRPr="003112C5" w:rsidRDefault="003112C5" w:rsidP="003112C5">
            <w:pPr>
              <w:spacing w:after="60"/>
              <w:contextualSpacing/>
              <w:rPr>
                <w:rFonts w:eastAsia="Calibri" w:cs="Arial"/>
                <w:sz w:val="14"/>
                <w:szCs w:val="14"/>
                <w:lang w:eastAsia="en-US"/>
              </w:rPr>
            </w:pPr>
            <w:r>
              <w:rPr>
                <w:rFonts w:eastAsia="Calibri" w:cs="Arial"/>
                <w:sz w:val="14"/>
                <w:szCs w:val="14"/>
                <w:lang w:eastAsia="en-US"/>
              </w:rPr>
              <w:t xml:space="preserve">DRCA </w:t>
            </w:r>
            <w:hyperlink r:id="rId1710" w:history="1">
              <w:r w:rsidRPr="006362F3">
                <w:rPr>
                  <w:rStyle w:val="Hyperlink"/>
                  <w:rFonts w:eastAsia="Calibri" w:cs="Arial"/>
                  <w:sz w:val="14"/>
                  <w:szCs w:val="14"/>
                  <w:lang w:eastAsia="en-US"/>
                </w:rPr>
                <w:t>s4</w:t>
              </w:r>
            </w:hyperlink>
            <w:r>
              <w:rPr>
                <w:rFonts w:eastAsia="Calibri" w:cs="Arial"/>
                <w:sz w:val="14"/>
                <w:szCs w:val="14"/>
                <w:lang w:eastAsia="en-US"/>
              </w:rPr>
              <w:t xml:space="preserve"> — </w:t>
            </w:r>
            <w:r w:rsidRPr="001A1D8D">
              <w:rPr>
                <w:rFonts w:eastAsia="Calibri" w:cs="Arial"/>
                <w:b/>
                <w:i/>
                <w:sz w:val="14"/>
                <w:szCs w:val="14"/>
                <w:lang w:eastAsia="en-US"/>
              </w:rPr>
              <w:t>rehabilitation program</w:t>
            </w:r>
            <w:r>
              <w:rPr>
                <w:rFonts w:eastAsia="Calibri" w:cs="Arial"/>
                <w:sz w:val="14"/>
                <w:szCs w:val="14"/>
                <w:lang w:eastAsia="en-US"/>
              </w:rPr>
              <w:t xml:space="preserve"> includes medical, dental, psychiatric and hospital services (whether on an in-patient or </w:t>
            </w:r>
            <w:r w:rsidR="001A1D8D">
              <w:rPr>
                <w:rFonts w:eastAsia="Calibri" w:cs="Arial"/>
                <w:sz w:val="14"/>
                <w:szCs w:val="14"/>
                <w:lang w:eastAsia="en-US"/>
              </w:rPr>
              <w:t>out-patient basis), physical training and exercise, physiotherapy, occupational therapy and vocational training.</w:t>
            </w:r>
          </w:p>
        </w:tc>
        <w:tc>
          <w:tcPr>
            <w:tcW w:w="2694" w:type="dxa"/>
            <w:shd w:val="clear" w:color="auto" w:fill="FFC9C9"/>
            <w:tcMar>
              <w:top w:w="80" w:type="dxa"/>
              <w:left w:w="80" w:type="dxa"/>
              <w:bottom w:w="80" w:type="dxa"/>
              <w:right w:w="80" w:type="dxa"/>
            </w:tcMar>
          </w:tcPr>
          <w:p w14:paraId="0F85C59C" w14:textId="6E42E00D" w:rsidR="00697313" w:rsidRPr="00697313" w:rsidRDefault="00A7538C" w:rsidP="00292A53">
            <w:pPr>
              <w:spacing w:after="60"/>
              <w:contextualSpacing/>
              <w:rPr>
                <w:rFonts w:cs="Arial"/>
                <w:color w:val="000000"/>
                <w:sz w:val="14"/>
                <w:szCs w:val="16"/>
                <w:lang w:val="en-GB"/>
              </w:rPr>
            </w:pPr>
            <w:hyperlink r:id="rId1711" w:history="1">
              <w:r w:rsidR="00697313" w:rsidRPr="00697313">
                <w:rPr>
                  <w:rFonts w:cs="Arial"/>
                  <w:color w:val="0000FF"/>
                  <w:sz w:val="14"/>
                  <w:szCs w:val="16"/>
                  <w:u w:val="single"/>
                  <w:lang w:val="en-GB"/>
                </w:rPr>
                <w:t>Rehabilitation services in DVA</w:t>
              </w:r>
            </w:hyperlink>
          </w:p>
        </w:tc>
        <w:tc>
          <w:tcPr>
            <w:tcW w:w="2190" w:type="dxa"/>
            <w:shd w:val="clear" w:color="auto" w:fill="FFC9C9"/>
            <w:tcMar>
              <w:top w:w="80" w:type="dxa"/>
              <w:left w:w="80" w:type="dxa"/>
              <w:bottom w:w="80" w:type="dxa"/>
              <w:right w:w="80" w:type="dxa"/>
            </w:tcMar>
          </w:tcPr>
          <w:p w14:paraId="19FAA2C1" w14:textId="2F3DBB30" w:rsidR="00697313" w:rsidRPr="00697313" w:rsidRDefault="00697313" w:rsidP="00292A53">
            <w:pPr>
              <w:spacing w:after="60"/>
              <w:contextualSpacing/>
              <w:rPr>
                <w:rFonts w:cs="Arial"/>
                <w:color w:val="000000"/>
                <w:sz w:val="14"/>
                <w:szCs w:val="16"/>
                <w:lang w:val="en-GB"/>
              </w:rPr>
            </w:pPr>
            <w:r w:rsidRPr="00697313">
              <w:rPr>
                <w:rFonts w:cs="Arial"/>
                <w:color w:val="000000"/>
                <w:sz w:val="14"/>
                <w:szCs w:val="16"/>
                <w:lang w:val="en-GB"/>
              </w:rPr>
              <w:t>No</w:t>
            </w:r>
          </w:p>
        </w:tc>
      </w:tr>
      <w:tr w:rsidR="00697313" w:rsidRPr="00697313" w14:paraId="6940CA0C" w14:textId="77777777" w:rsidTr="00D413F6">
        <w:tc>
          <w:tcPr>
            <w:tcW w:w="1343" w:type="dxa"/>
            <w:tcMar>
              <w:top w:w="80" w:type="dxa"/>
              <w:left w:w="80" w:type="dxa"/>
              <w:bottom w:w="80" w:type="dxa"/>
              <w:right w:w="80" w:type="dxa"/>
            </w:tcMar>
          </w:tcPr>
          <w:p w14:paraId="741A0935" w14:textId="0CB40E0A"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New Zealand</w:t>
            </w:r>
          </w:p>
        </w:tc>
        <w:tc>
          <w:tcPr>
            <w:tcW w:w="2734" w:type="dxa"/>
            <w:tcMar>
              <w:top w:w="80" w:type="dxa"/>
              <w:left w:w="80" w:type="dxa"/>
              <w:bottom w:w="80" w:type="dxa"/>
              <w:right w:w="80" w:type="dxa"/>
            </w:tcMar>
          </w:tcPr>
          <w:p w14:paraId="25E01EDB" w14:textId="1176BA02" w:rsidR="00697313" w:rsidRPr="006C1EA0" w:rsidRDefault="00697313" w:rsidP="00F839DB">
            <w:pPr>
              <w:pStyle w:val="ListParagraph"/>
              <w:numPr>
                <w:ilvl w:val="0"/>
                <w:numId w:val="235"/>
              </w:numPr>
              <w:spacing w:after="60"/>
              <w:contextualSpacing/>
              <w:rPr>
                <w:rFonts w:eastAsia="Calibri" w:cs="Arial"/>
                <w:sz w:val="14"/>
                <w:szCs w:val="14"/>
                <w:lang w:eastAsia="en-US"/>
              </w:rPr>
            </w:pPr>
            <w:r w:rsidRPr="006C1EA0">
              <w:rPr>
                <w:rFonts w:eastAsia="Calibri" w:cs="Arial"/>
                <w:sz w:val="14"/>
                <w:szCs w:val="14"/>
                <w:lang w:eastAsia="en-US"/>
              </w:rPr>
              <w:t xml:space="preserve">The Injured Employee — </w:t>
            </w:r>
            <w:hyperlink r:id="rId1712" w:history="1">
              <w:r w:rsidRPr="00DC7F13">
                <w:rPr>
                  <w:rStyle w:val="Hyperlink"/>
                  <w:rFonts w:eastAsia="Calibri" w:cs="Arial"/>
                  <w:sz w:val="14"/>
                  <w:szCs w:val="14"/>
                  <w:lang w:eastAsia="en-US"/>
                </w:rPr>
                <w:t>s70</w:t>
              </w:r>
            </w:hyperlink>
            <w:r w:rsidR="00DC7F13">
              <w:rPr>
                <w:rFonts w:eastAsia="Calibri" w:cs="Arial"/>
                <w:sz w:val="14"/>
                <w:szCs w:val="14"/>
                <w:lang w:eastAsia="en-US"/>
              </w:rPr>
              <w:t xml:space="preserve"> </w:t>
            </w:r>
            <w:r w:rsidR="00DC7F13" w:rsidRPr="00016069">
              <w:rPr>
                <w:i/>
                <w:sz w:val="14"/>
              </w:rPr>
              <w:t>Accident Compensation Act 2001</w:t>
            </w:r>
          </w:p>
          <w:p w14:paraId="220C80EA" w14:textId="77777777" w:rsidR="00697313" w:rsidRPr="006C1EA0" w:rsidRDefault="00697313" w:rsidP="00F839DB">
            <w:pPr>
              <w:pStyle w:val="ListParagraph"/>
              <w:numPr>
                <w:ilvl w:val="0"/>
                <w:numId w:val="235"/>
              </w:numPr>
              <w:spacing w:after="60"/>
              <w:contextualSpacing/>
              <w:rPr>
                <w:rFonts w:eastAsia="Calibri" w:cs="Arial"/>
                <w:sz w:val="14"/>
                <w:szCs w:val="14"/>
                <w:lang w:eastAsia="en-US"/>
              </w:rPr>
            </w:pPr>
            <w:r w:rsidRPr="006C1EA0">
              <w:rPr>
                <w:rFonts w:eastAsia="Calibri" w:cs="Arial"/>
                <w:sz w:val="14"/>
                <w:szCs w:val="14"/>
                <w:lang w:eastAsia="en-US"/>
              </w:rPr>
              <w:t>Claimant’s and Corporation’s obligations in relation to rehabilitation</w:t>
            </w:r>
          </w:p>
          <w:p w14:paraId="54BA642D" w14:textId="77777777" w:rsidR="00697313" w:rsidRPr="006C1EA0" w:rsidRDefault="00697313" w:rsidP="00F839DB">
            <w:pPr>
              <w:pStyle w:val="ListParagraph"/>
              <w:numPr>
                <w:ilvl w:val="0"/>
                <w:numId w:val="235"/>
              </w:numPr>
              <w:spacing w:after="60"/>
              <w:contextualSpacing/>
              <w:rPr>
                <w:rFonts w:eastAsia="Calibri" w:cs="Arial"/>
                <w:sz w:val="14"/>
                <w:szCs w:val="14"/>
                <w:lang w:eastAsia="en-US"/>
              </w:rPr>
            </w:pPr>
            <w:r w:rsidRPr="006C1EA0">
              <w:rPr>
                <w:rFonts w:eastAsia="Calibri" w:cs="Arial"/>
                <w:sz w:val="14"/>
                <w:szCs w:val="14"/>
                <w:lang w:eastAsia="en-US"/>
              </w:rPr>
              <w:t>A claimant who has suffered personal injury for which they have cover:</w:t>
            </w:r>
          </w:p>
          <w:p w14:paraId="0DA20404" w14:textId="77777777" w:rsidR="00697313" w:rsidRPr="006C1EA0" w:rsidRDefault="00697313" w:rsidP="00F839DB">
            <w:pPr>
              <w:pStyle w:val="ListParagraph"/>
              <w:numPr>
                <w:ilvl w:val="0"/>
                <w:numId w:val="238"/>
              </w:numPr>
              <w:spacing w:after="60"/>
              <w:ind w:left="627" w:hanging="284"/>
              <w:contextualSpacing/>
              <w:rPr>
                <w:rFonts w:eastAsia="Calibri" w:cs="Arial"/>
                <w:sz w:val="14"/>
                <w:szCs w:val="14"/>
                <w:lang w:eastAsia="en-US"/>
              </w:rPr>
            </w:pPr>
            <w:r w:rsidRPr="006C1EA0">
              <w:rPr>
                <w:rFonts w:eastAsia="Calibri" w:cs="Arial"/>
                <w:sz w:val="14"/>
                <w:szCs w:val="14"/>
                <w:lang w:eastAsia="en-US"/>
              </w:rPr>
              <w:t>is entitled to be provided with rehabilitation, to the extent provided by this Act, to assist in restoring health, independence, and participation to the maximum extent practicable, but</w:t>
            </w:r>
          </w:p>
          <w:p w14:paraId="1B80D5FC" w14:textId="77777777" w:rsidR="00697313" w:rsidRPr="006C1EA0" w:rsidRDefault="00697313" w:rsidP="00F839DB">
            <w:pPr>
              <w:pStyle w:val="ListParagraph"/>
              <w:numPr>
                <w:ilvl w:val="0"/>
                <w:numId w:val="238"/>
              </w:numPr>
              <w:spacing w:after="60"/>
              <w:ind w:left="627" w:hanging="284"/>
              <w:contextualSpacing/>
              <w:rPr>
                <w:rFonts w:eastAsia="Calibri" w:cs="Arial"/>
                <w:sz w:val="14"/>
                <w:szCs w:val="14"/>
                <w:lang w:eastAsia="en-US"/>
              </w:rPr>
            </w:pPr>
            <w:r w:rsidRPr="006C1EA0">
              <w:rPr>
                <w:rFonts w:eastAsia="Calibri" w:cs="Arial"/>
                <w:sz w:val="14"/>
                <w:szCs w:val="14"/>
                <w:lang w:eastAsia="en-US"/>
              </w:rPr>
              <w:t>is responsible for their own rehabilitation to the extent practicable having regard to the consequences of their injury.</w:t>
            </w:r>
          </w:p>
        </w:tc>
        <w:tc>
          <w:tcPr>
            <w:tcW w:w="2936" w:type="dxa"/>
            <w:tcMar>
              <w:top w:w="80" w:type="dxa"/>
              <w:left w:w="80" w:type="dxa"/>
              <w:bottom w:w="80" w:type="dxa"/>
              <w:right w:w="80" w:type="dxa"/>
            </w:tcMar>
          </w:tcPr>
          <w:p w14:paraId="389DF7CB" w14:textId="68D442F7" w:rsidR="00697313" w:rsidRPr="00697313" w:rsidRDefault="00A7538C" w:rsidP="00292A53">
            <w:pPr>
              <w:spacing w:after="60"/>
              <w:rPr>
                <w:rFonts w:cs="Arial"/>
                <w:color w:val="000000"/>
                <w:sz w:val="14"/>
                <w:szCs w:val="16"/>
                <w:lang w:val="en-GB"/>
              </w:rPr>
            </w:pPr>
            <w:hyperlink r:id="rId1713" w:history="1">
              <w:r w:rsidR="00697313" w:rsidRPr="00DC7F13">
                <w:rPr>
                  <w:rStyle w:val="Hyperlink"/>
                  <w:rFonts w:cs="Arial"/>
                  <w:sz w:val="14"/>
                  <w:szCs w:val="16"/>
                  <w:lang w:val="en-GB"/>
                </w:rPr>
                <w:t>s86</w:t>
              </w:r>
            </w:hyperlink>
            <w:r w:rsidR="00697313" w:rsidRPr="00697313">
              <w:rPr>
                <w:rFonts w:cs="Arial"/>
                <w:color w:val="000000"/>
                <w:sz w:val="14"/>
                <w:szCs w:val="16"/>
                <w:lang w:val="en-GB"/>
              </w:rPr>
              <w:t xml:space="preserve"> — After an assessment has been done and the corporation decides that it is reasonably practicable to return the injured employee to the same employ</w:t>
            </w:r>
            <w:r w:rsidR="00B461BC">
              <w:rPr>
                <w:rFonts w:cs="Arial"/>
                <w:color w:val="000000"/>
                <w:sz w:val="14"/>
                <w:szCs w:val="16"/>
                <w:lang w:val="en-GB"/>
              </w:rPr>
              <w:t>ment in which they were engaged</w:t>
            </w:r>
          </w:p>
        </w:tc>
        <w:tc>
          <w:tcPr>
            <w:tcW w:w="3118" w:type="dxa"/>
            <w:tcMar>
              <w:top w:w="80" w:type="dxa"/>
              <w:left w:w="80" w:type="dxa"/>
              <w:bottom w:w="80" w:type="dxa"/>
              <w:right w:w="80" w:type="dxa"/>
            </w:tcMar>
          </w:tcPr>
          <w:p w14:paraId="1F37F905" w14:textId="0ED8FA53"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Various forms of Rehabilitation based on type of injury, seve</w:t>
            </w:r>
            <w:r w:rsidR="00B461BC">
              <w:rPr>
                <w:rFonts w:cs="Arial"/>
                <w:color w:val="000000"/>
                <w:sz w:val="14"/>
                <w:szCs w:val="16"/>
                <w:lang w:val="en-GB"/>
              </w:rPr>
              <w:t>rity, duties normally performed</w:t>
            </w:r>
          </w:p>
        </w:tc>
        <w:tc>
          <w:tcPr>
            <w:tcW w:w="2694" w:type="dxa"/>
            <w:tcMar>
              <w:top w:w="80" w:type="dxa"/>
              <w:left w:w="80" w:type="dxa"/>
              <w:bottom w:w="80" w:type="dxa"/>
              <w:right w:w="80" w:type="dxa"/>
            </w:tcMar>
          </w:tcPr>
          <w:p w14:paraId="4158F93A"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w:t>
            </w:r>
          </w:p>
        </w:tc>
        <w:tc>
          <w:tcPr>
            <w:tcW w:w="2190" w:type="dxa"/>
            <w:tcMar>
              <w:top w:w="80" w:type="dxa"/>
              <w:left w:w="80" w:type="dxa"/>
              <w:bottom w:w="80" w:type="dxa"/>
              <w:right w:w="80" w:type="dxa"/>
            </w:tcMar>
          </w:tcPr>
          <w:p w14:paraId="0D5DF9B2"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w:t>
            </w:r>
          </w:p>
        </w:tc>
      </w:tr>
      <w:bookmarkEnd w:id="162"/>
    </w:tbl>
    <w:p w14:paraId="75942AE3" w14:textId="77777777" w:rsidR="00C66972" w:rsidRPr="00C66972" w:rsidRDefault="00C66972" w:rsidP="00C66972">
      <w:pPr>
        <w:spacing w:after="200" w:line="276" w:lineRule="auto"/>
        <w:rPr>
          <w:rFonts w:eastAsiaTheme="minorHAnsi"/>
        </w:rPr>
      </w:pPr>
    </w:p>
    <w:p w14:paraId="7F83275D" w14:textId="77777777" w:rsidR="006C1EA0" w:rsidRPr="00A80282" w:rsidRDefault="006C1EA0" w:rsidP="00A80282">
      <w:pPr>
        <w:pStyle w:val="SWATableheader"/>
      </w:pPr>
      <w:bookmarkStart w:id="163" w:name="_Toc504654690"/>
      <w:bookmarkStart w:id="164" w:name="duties"/>
      <w:r w:rsidRPr="00A80282">
        <w:lastRenderedPageBreak/>
        <w:t>Table 5.2c: Suitable duties</w:t>
      </w:r>
      <w:bookmarkEnd w:id="163"/>
      <w:r w:rsidRPr="00A80282">
        <w:t xml:space="preserve"> </w:t>
      </w:r>
      <w:r w:rsidR="00C7036A" w:rsidRPr="00A80282">
        <w:fldChar w:fldCharType="begin"/>
      </w:r>
      <w:r w:rsidR="00C7036A" w:rsidRPr="00A80282">
        <w:instrText xml:space="preserve"> XE "duties on return to work (suitable duties)" \r "duties" </w:instrText>
      </w:r>
      <w:r w:rsidR="00C7036A" w:rsidRPr="00A80282">
        <w:fldChar w:fldCharType="end"/>
      </w:r>
      <w:r w:rsidR="00232E14" w:rsidRPr="00A80282">
        <w:fldChar w:fldCharType="begin"/>
      </w:r>
      <w:r w:rsidR="00232E14" w:rsidRPr="00A80282">
        <w:instrText xml:space="preserve"> XE "return to work:employer responsiblities" \r "duties" </w:instrText>
      </w:r>
      <w:r w:rsidR="00232E14" w:rsidRPr="00A80282">
        <w:fldChar w:fldCharType="end"/>
      </w:r>
      <w:r w:rsidR="00232E14" w:rsidRPr="00A80282">
        <w:t xml:space="preserve"> </w:t>
      </w:r>
      <w:r w:rsidR="00232E14" w:rsidRPr="00A80282">
        <w:fldChar w:fldCharType="begin"/>
      </w:r>
      <w:r w:rsidR="00232E14" w:rsidRPr="00A80282">
        <w:instrText xml:space="preserve"> XE "return to work:suitable duties" \r "duties" </w:instrText>
      </w:r>
      <w:r w:rsidR="00232E14" w:rsidRPr="00A80282">
        <w:fldChar w:fldCharType="end"/>
      </w:r>
      <w:r w:rsidR="00CA3CD4" w:rsidRPr="00A80282">
        <w:fldChar w:fldCharType="begin"/>
      </w:r>
      <w:r w:rsidR="00CA3CD4" w:rsidRPr="00A80282">
        <w:instrText xml:space="preserve"> XE "suitable duties (return to work)" \r "duties"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2c: Suitable duties  "/>
        <w:tblDescription w:val="This table describes suitable duties under the workers' compensation schemes. "/>
      </w:tblPr>
      <w:tblGrid>
        <w:gridCol w:w="1343"/>
        <w:gridCol w:w="2977"/>
        <w:gridCol w:w="2491"/>
        <w:gridCol w:w="2735"/>
        <w:gridCol w:w="2734"/>
        <w:gridCol w:w="2735"/>
      </w:tblGrid>
      <w:tr w:rsidR="006C1EA0" w:rsidRPr="006C1EA0" w14:paraId="528B292E" w14:textId="77777777" w:rsidTr="00DF3396">
        <w:trPr>
          <w:tblHeader/>
        </w:trPr>
        <w:tc>
          <w:tcPr>
            <w:tcW w:w="1343" w:type="dxa"/>
            <w:shd w:val="clear" w:color="auto" w:fill="C00000"/>
            <w:tcMar>
              <w:top w:w="0" w:type="dxa"/>
              <w:left w:w="0" w:type="dxa"/>
              <w:bottom w:w="0" w:type="dxa"/>
              <w:right w:w="0" w:type="dxa"/>
            </w:tcMar>
            <w:vAlign w:val="center"/>
          </w:tcPr>
          <w:p w14:paraId="658A2A59" w14:textId="77777777" w:rsidR="006C1EA0" w:rsidRPr="006C1EA0" w:rsidRDefault="006C1EA0" w:rsidP="00292A53">
            <w:pPr>
              <w:pStyle w:val="Tableheaderrow"/>
              <w:spacing w:after="60"/>
            </w:pPr>
          </w:p>
          <w:p w14:paraId="00877313" w14:textId="77777777" w:rsidR="006C1EA0" w:rsidRPr="006C1EA0" w:rsidRDefault="006C1EA0" w:rsidP="00292A53">
            <w:pPr>
              <w:pStyle w:val="Tableheaderrow"/>
              <w:spacing w:after="60"/>
            </w:pPr>
          </w:p>
        </w:tc>
        <w:tc>
          <w:tcPr>
            <w:tcW w:w="2977" w:type="dxa"/>
            <w:shd w:val="clear" w:color="auto" w:fill="C00000"/>
            <w:tcMar>
              <w:top w:w="0" w:type="dxa"/>
              <w:left w:w="0" w:type="dxa"/>
              <w:bottom w:w="0" w:type="dxa"/>
              <w:right w:w="0" w:type="dxa"/>
            </w:tcMar>
            <w:vAlign w:val="center"/>
          </w:tcPr>
          <w:p w14:paraId="6756521A" w14:textId="77777777" w:rsidR="006C1EA0" w:rsidRPr="006C1EA0" w:rsidRDefault="006C1EA0" w:rsidP="00292A53">
            <w:pPr>
              <w:pStyle w:val="Tableheaderrow"/>
              <w:spacing w:after="60"/>
            </w:pPr>
            <w:r w:rsidRPr="006C1EA0">
              <w:t>What constitutes suitable duties</w:t>
            </w:r>
          </w:p>
        </w:tc>
        <w:tc>
          <w:tcPr>
            <w:tcW w:w="2491" w:type="dxa"/>
            <w:shd w:val="clear" w:color="auto" w:fill="C00000"/>
            <w:tcMar>
              <w:top w:w="0" w:type="dxa"/>
              <w:left w:w="0" w:type="dxa"/>
              <w:bottom w:w="0" w:type="dxa"/>
              <w:right w:w="0" w:type="dxa"/>
            </w:tcMar>
            <w:vAlign w:val="center"/>
          </w:tcPr>
          <w:p w14:paraId="7598A41B" w14:textId="77777777" w:rsidR="006C1EA0" w:rsidRPr="006C1EA0" w:rsidRDefault="006C1EA0" w:rsidP="00292A53">
            <w:pPr>
              <w:pStyle w:val="Tableheaderrow"/>
              <w:spacing w:after="60"/>
            </w:pPr>
            <w:r w:rsidRPr="006C1EA0">
              <w:t>Any time limits on the provision of suitable employment?</w:t>
            </w:r>
          </w:p>
        </w:tc>
        <w:tc>
          <w:tcPr>
            <w:tcW w:w="2735" w:type="dxa"/>
            <w:shd w:val="clear" w:color="auto" w:fill="C00000"/>
            <w:tcMar>
              <w:top w:w="0" w:type="dxa"/>
              <w:left w:w="0" w:type="dxa"/>
              <w:bottom w:w="0" w:type="dxa"/>
              <w:right w:w="0" w:type="dxa"/>
            </w:tcMar>
            <w:vAlign w:val="center"/>
          </w:tcPr>
          <w:p w14:paraId="7BDCA45A" w14:textId="77777777" w:rsidR="006C1EA0" w:rsidRPr="006C1EA0" w:rsidRDefault="006C1EA0" w:rsidP="00292A53">
            <w:pPr>
              <w:pStyle w:val="Tableheaderrow"/>
              <w:spacing w:after="60"/>
            </w:pPr>
            <w:r w:rsidRPr="006C1EA0">
              <w:t>Does the employer have an obligation to hold the injured worker’s former position open? For how long?</w:t>
            </w:r>
          </w:p>
        </w:tc>
        <w:tc>
          <w:tcPr>
            <w:tcW w:w="2734" w:type="dxa"/>
            <w:shd w:val="clear" w:color="auto" w:fill="C00000"/>
            <w:tcMar>
              <w:top w:w="0" w:type="dxa"/>
              <w:left w:w="0" w:type="dxa"/>
              <w:bottom w:w="0" w:type="dxa"/>
              <w:right w:w="0" w:type="dxa"/>
            </w:tcMar>
            <w:vAlign w:val="center"/>
          </w:tcPr>
          <w:p w14:paraId="5A9A1D56" w14:textId="77777777" w:rsidR="006C1EA0" w:rsidRPr="006C1EA0" w:rsidRDefault="006C1EA0" w:rsidP="00292A53">
            <w:pPr>
              <w:pStyle w:val="Tableheaderrow"/>
              <w:spacing w:after="60"/>
            </w:pPr>
            <w:r w:rsidRPr="006C1EA0">
              <w:t>Exemptions</w:t>
            </w:r>
          </w:p>
        </w:tc>
        <w:tc>
          <w:tcPr>
            <w:tcW w:w="2735" w:type="dxa"/>
            <w:shd w:val="clear" w:color="auto" w:fill="C00000"/>
            <w:tcMar>
              <w:top w:w="0" w:type="dxa"/>
              <w:left w:w="0" w:type="dxa"/>
              <w:bottom w:w="0" w:type="dxa"/>
              <w:right w:w="0" w:type="dxa"/>
            </w:tcMar>
            <w:vAlign w:val="center"/>
          </w:tcPr>
          <w:p w14:paraId="656443D5" w14:textId="77777777" w:rsidR="006C1EA0" w:rsidRPr="006C1EA0" w:rsidRDefault="006C1EA0" w:rsidP="00292A53">
            <w:pPr>
              <w:pStyle w:val="Tableheaderrow"/>
              <w:spacing w:after="60"/>
            </w:pPr>
            <w:r w:rsidRPr="006C1EA0">
              <w:t>Requirement for the employer to notify the authority before dismissing the injured worker?</w:t>
            </w:r>
          </w:p>
        </w:tc>
      </w:tr>
      <w:tr w:rsidR="006C1EA0" w:rsidRPr="006C1EA0" w14:paraId="0A6E2BDF" w14:textId="77777777" w:rsidTr="00DF3396">
        <w:tc>
          <w:tcPr>
            <w:tcW w:w="1343" w:type="dxa"/>
            <w:shd w:val="clear" w:color="auto" w:fill="FFC9C9"/>
            <w:tcMar>
              <w:top w:w="80" w:type="dxa"/>
              <w:left w:w="80" w:type="dxa"/>
              <w:bottom w:w="80" w:type="dxa"/>
              <w:right w:w="80" w:type="dxa"/>
            </w:tcMar>
          </w:tcPr>
          <w:p w14:paraId="3FB7ABA4"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New South Wales</w:t>
            </w:r>
          </w:p>
        </w:tc>
        <w:tc>
          <w:tcPr>
            <w:tcW w:w="2977" w:type="dxa"/>
            <w:shd w:val="clear" w:color="auto" w:fill="FFC9C9"/>
            <w:tcMar>
              <w:top w:w="80" w:type="dxa"/>
              <w:left w:w="80" w:type="dxa"/>
              <w:bottom w:w="80" w:type="dxa"/>
              <w:right w:w="80" w:type="dxa"/>
            </w:tcMar>
          </w:tcPr>
          <w:p w14:paraId="4470EE84" w14:textId="64171867" w:rsid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Suitable employment means: employment in work for which the worker is currently suited having regard to capacity, age and other factors but regardless of its availability, location — </w:t>
            </w:r>
            <w:hyperlink r:id="rId1714" w:history="1">
              <w:r w:rsidRPr="00F3005F">
                <w:rPr>
                  <w:rStyle w:val="Hyperlink"/>
                  <w:rFonts w:cs="Arial"/>
                  <w:sz w:val="14"/>
                  <w:szCs w:val="16"/>
                  <w:lang w:val="en-GB"/>
                </w:rPr>
                <w:t>s32A</w:t>
              </w:r>
            </w:hyperlink>
            <w:r w:rsidRPr="006C1EA0">
              <w:rPr>
                <w:rFonts w:cs="Arial"/>
                <w:color w:val="000000"/>
                <w:sz w:val="14"/>
                <w:szCs w:val="16"/>
                <w:lang w:val="en-GB"/>
              </w:rPr>
              <w:t xml:space="preserve">, </w:t>
            </w:r>
            <w:r w:rsidR="00F3005F" w:rsidRPr="00016069">
              <w:rPr>
                <w:i/>
                <w:sz w:val="14"/>
              </w:rPr>
              <w:t>Workers Compensation Act 1987</w:t>
            </w:r>
            <w:r w:rsidRPr="006C1EA0">
              <w:rPr>
                <w:rFonts w:cs="Arial"/>
                <w:color w:val="000000"/>
                <w:sz w:val="14"/>
                <w:szCs w:val="16"/>
                <w:lang w:val="en-GB"/>
              </w:rPr>
              <w:t xml:space="preserve">. Where reasonably practicable duties should be equivalent to the employment at the time of injury, </w:t>
            </w:r>
            <w:hyperlink r:id="rId1715" w:history="1">
              <w:r w:rsidRPr="00F3005F">
                <w:rPr>
                  <w:rStyle w:val="Hyperlink"/>
                  <w:rFonts w:cs="Arial"/>
                  <w:sz w:val="14"/>
                  <w:szCs w:val="16"/>
                  <w:lang w:val="en-GB"/>
                </w:rPr>
                <w:t>s49</w:t>
              </w:r>
            </w:hyperlink>
            <w:r w:rsidRPr="006C1EA0">
              <w:rPr>
                <w:rFonts w:cs="Arial"/>
                <w:color w:val="000000"/>
                <w:sz w:val="14"/>
                <w:szCs w:val="16"/>
                <w:lang w:val="en-GB"/>
              </w:rPr>
              <w:t xml:space="preserve">, </w:t>
            </w:r>
            <w:r w:rsidR="00F3005F" w:rsidRPr="00016069">
              <w:rPr>
                <w:i/>
                <w:sz w:val="14"/>
              </w:rPr>
              <w:t>Workplace Injury Management and</w:t>
            </w:r>
            <w:r w:rsidR="00F3005F">
              <w:rPr>
                <w:i/>
                <w:sz w:val="14"/>
              </w:rPr>
              <w:t xml:space="preserve"> Workers Compensation Act 1998</w:t>
            </w:r>
            <w:r w:rsidR="003D2FCB">
              <w:rPr>
                <w:rFonts w:cs="Arial"/>
                <w:color w:val="000000"/>
                <w:sz w:val="14"/>
                <w:szCs w:val="16"/>
                <w:lang w:val="en-GB"/>
              </w:rPr>
              <w:t>.</w:t>
            </w:r>
          </w:p>
          <w:p w14:paraId="04409BEE" w14:textId="1290843B" w:rsidR="00786A03" w:rsidRPr="006C1EA0" w:rsidRDefault="00786A03" w:rsidP="00292A53">
            <w:pPr>
              <w:spacing w:after="60"/>
              <w:rPr>
                <w:rFonts w:cs="Arial"/>
                <w:color w:val="000000"/>
                <w:sz w:val="14"/>
                <w:szCs w:val="16"/>
                <w:lang w:val="en-GB"/>
              </w:rPr>
            </w:pPr>
            <w:r>
              <w:rPr>
                <w:rFonts w:cs="Arial"/>
                <w:color w:val="000000"/>
                <w:sz w:val="14"/>
                <w:szCs w:val="16"/>
                <w:lang w:val="en-GB"/>
              </w:rPr>
              <w:t>The requirements of Chapter 3 of the 1998 Act (Workplace Injury Management) apply even when there is a d</w:t>
            </w:r>
            <w:r w:rsidR="00F3005F">
              <w:rPr>
                <w:rFonts w:cs="Arial"/>
                <w:color w:val="000000"/>
                <w:sz w:val="14"/>
                <w:szCs w:val="16"/>
                <w:lang w:val="en-GB"/>
              </w:rPr>
              <w:t xml:space="preserve">ispute as to liability, </w:t>
            </w:r>
            <w:hyperlink r:id="rId1716" w:history="1">
              <w:r w:rsidR="00F3005F" w:rsidRPr="00F3005F">
                <w:rPr>
                  <w:rStyle w:val="Hyperlink"/>
                  <w:rFonts w:cs="Arial"/>
                  <w:sz w:val="14"/>
                  <w:szCs w:val="16"/>
                  <w:lang w:val="en-GB"/>
                </w:rPr>
                <w:t>s</w:t>
              </w:r>
              <w:r w:rsidRPr="00F3005F">
                <w:rPr>
                  <w:rStyle w:val="Hyperlink"/>
                  <w:rFonts w:cs="Arial"/>
                  <w:sz w:val="14"/>
                  <w:szCs w:val="16"/>
                  <w:lang w:val="en-GB"/>
                </w:rPr>
                <w:t>41A</w:t>
              </w:r>
            </w:hyperlink>
            <w:r>
              <w:rPr>
                <w:rFonts w:cs="Arial"/>
                <w:color w:val="000000"/>
                <w:sz w:val="14"/>
                <w:szCs w:val="16"/>
                <w:lang w:val="en-GB"/>
              </w:rPr>
              <w:t>.</w:t>
            </w:r>
          </w:p>
        </w:tc>
        <w:tc>
          <w:tcPr>
            <w:tcW w:w="2491" w:type="dxa"/>
            <w:shd w:val="clear" w:color="auto" w:fill="FFC9C9"/>
            <w:tcMar>
              <w:top w:w="80" w:type="dxa"/>
              <w:left w:w="80" w:type="dxa"/>
              <w:bottom w:w="80" w:type="dxa"/>
              <w:right w:w="80" w:type="dxa"/>
            </w:tcMar>
          </w:tcPr>
          <w:p w14:paraId="3DAABBC6" w14:textId="43CF80AB"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59F26B40" w14:textId="77777777" w:rsidR="006C1EA0" w:rsidRPr="006C1EA0" w:rsidRDefault="006C1EA0" w:rsidP="00292A53">
            <w:pPr>
              <w:spacing w:after="60"/>
              <w:ind w:left="360" w:hanging="360"/>
              <w:rPr>
                <w:rFonts w:cs="Arial"/>
                <w:color w:val="000000"/>
                <w:sz w:val="14"/>
                <w:szCs w:val="16"/>
                <w:lang w:val="en-GB"/>
              </w:rPr>
            </w:pPr>
            <w:r w:rsidRPr="006C1EA0">
              <w:rPr>
                <w:rFonts w:cs="Arial"/>
                <w:color w:val="000000"/>
                <w:sz w:val="14"/>
                <w:szCs w:val="16"/>
                <w:lang w:val="en-GB"/>
              </w:rPr>
              <w:t xml:space="preserve">Yes </w:t>
            </w:r>
          </w:p>
          <w:p w14:paraId="44096BAA" w14:textId="029ADECF" w:rsidR="006C1EA0" w:rsidRPr="00FD5F86" w:rsidRDefault="00FD5F86" w:rsidP="00F839DB">
            <w:pPr>
              <w:pStyle w:val="ListParagraph"/>
              <w:numPr>
                <w:ilvl w:val="0"/>
                <w:numId w:val="466"/>
              </w:numPr>
              <w:spacing w:after="60"/>
              <w:rPr>
                <w:rFonts w:cs="Arial"/>
                <w:color w:val="000000"/>
                <w:sz w:val="14"/>
                <w:szCs w:val="16"/>
                <w:lang w:val="en-GB"/>
              </w:rPr>
            </w:pPr>
            <w:r w:rsidRPr="00FD5F86">
              <w:rPr>
                <w:rFonts w:cs="Arial"/>
                <w:color w:val="000000"/>
                <w:sz w:val="14"/>
                <w:szCs w:val="16"/>
                <w:lang w:val="en-GB"/>
              </w:rPr>
              <w:t>T</w:t>
            </w:r>
            <w:r w:rsidR="006C1EA0" w:rsidRPr="00FD5F86">
              <w:rPr>
                <w:rFonts w:cs="Arial"/>
                <w:color w:val="000000"/>
                <w:sz w:val="14"/>
                <w:szCs w:val="16"/>
                <w:lang w:val="en-GB"/>
              </w:rPr>
              <w:t>wo</w:t>
            </w:r>
            <w:r w:rsidRPr="00FD5F86">
              <w:rPr>
                <w:rFonts w:cs="Arial"/>
                <w:color w:val="000000"/>
                <w:sz w:val="14"/>
                <w:szCs w:val="16"/>
                <w:lang w:val="en-GB"/>
              </w:rPr>
              <w:t xml:space="preserve"> </w:t>
            </w:r>
            <w:r w:rsidR="00F3005F">
              <w:rPr>
                <w:rFonts w:cs="Arial"/>
                <w:color w:val="000000"/>
                <w:sz w:val="14"/>
                <w:szCs w:val="16"/>
                <w:lang w:val="en-GB"/>
              </w:rPr>
              <w:t>years</w:t>
            </w:r>
            <w:r w:rsidR="006C1EA0" w:rsidRPr="00FD5F86">
              <w:rPr>
                <w:rFonts w:cs="Arial"/>
                <w:color w:val="000000"/>
                <w:sz w:val="14"/>
                <w:szCs w:val="16"/>
                <w:lang w:val="en-GB"/>
              </w:rPr>
              <w:t xml:space="preserve"> </w:t>
            </w:r>
            <w:r w:rsidR="00F358E7">
              <w:rPr>
                <w:rFonts w:cs="Arial"/>
                <w:color w:val="000000"/>
                <w:sz w:val="14"/>
                <w:szCs w:val="16"/>
                <w:lang w:val="en-GB"/>
              </w:rPr>
              <w:t xml:space="preserve">— </w:t>
            </w:r>
            <w:hyperlink r:id="rId1717" w:history="1">
              <w:r w:rsidR="006C1EA0" w:rsidRPr="00F3005F">
                <w:rPr>
                  <w:rStyle w:val="Hyperlink"/>
                  <w:rFonts w:cs="Arial"/>
                  <w:sz w:val="14"/>
                  <w:szCs w:val="16"/>
                  <w:lang w:val="en-GB"/>
                </w:rPr>
                <w:t>s247</w:t>
              </w:r>
            </w:hyperlink>
            <w:r w:rsidR="006C1EA0" w:rsidRPr="00FD5F86">
              <w:rPr>
                <w:rFonts w:cs="Arial"/>
                <w:color w:val="000000"/>
                <w:sz w:val="14"/>
                <w:szCs w:val="16"/>
                <w:lang w:val="en-GB"/>
              </w:rPr>
              <w:t xml:space="preserve"> of the 1987 Act</w:t>
            </w:r>
            <w:r w:rsidR="003D2FCB">
              <w:rPr>
                <w:rFonts w:cs="Arial"/>
                <w:color w:val="000000"/>
                <w:sz w:val="14"/>
                <w:szCs w:val="16"/>
                <w:lang w:val="en-GB"/>
              </w:rPr>
              <w:t>.</w:t>
            </w:r>
          </w:p>
        </w:tc>
        <w:tc>
          <w:tcPr>
            <w:tcW w:w="2734" w:type="dxa"/>
            <w:shd w:val="clear" w:color="auto" w:fill="FFC9C9"/>
            <w:tcMar>
              <w:top w:w="80" w:type="dxa"/>
              <w:left w:w="80" w:type="dxa"/>
              <w:bottom w:w="80" w:type="dxa"/>
              <w:right w:w="80" w:type="dxa"/>
            </w:tcMar>
          </w:tcPr>
          <w:p w14:paraId="38742470"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5AA6A1B2" w14:textId="0B6909C5" w:rsidR="006C1EA0" w:rsidRPr="00FD5F86" w:rsidRDefault="00A7538C" w:rsidP="00F839DB">
            <w:pPr>
              <w:pStyle w:val="ListParagraph"/>
              <w:numPr>
                <w:ilvl w:val="0"/>
                <w:numId w:val="466"/>
              </w:numPr>
              <w:spacing w:after="60"/>
              <w:rPr>
                <w:rFonts w:cs="Arial"/>
                <w:color w:val="000000"/>
                <w:sz w:val="14"/>
                <w:szCs w:val="16"/>
                <w:lang w:val="en-GB"/>
              </w:rPr>
            </w:pPr>
            <w:hyperlink r:id="rId1718" w:history="1">
              <w:r w:rsidR="006C1EA0" w:rsidRPr="00F3005F">
                <w:rPr>
                  <w:rStyle w:val="Hyperlink"/>
                  <w:rFonts w:cs="Arial"/>
                  <w:sz w:val="14"/>
                  <w:szCs w:val="16"/>
                  <w:lang w:val="en-GB"/>
                </w:rPr>
                <w:t>s248(3)</w:t>
              </w:r>
            </w:hyperlink>
            <w:r w:rsidR="006C1EA0" w:rsidRPr="00FD5F86">
              <w:rPr>
                <w:rFonts w:cs="Arial"/>
                <w:color w:val="000000"/>
                <w:sz w:val="14"/>
                <w:szCs w:val="16"/>
                <w:lang w:val="en-GB"/>
              </w:rPr>
              <w:t xml:space="preserve"> of the 1987 Act</w:t>
            </w:r>
          </w:p>
        </w:tc>
        <w:tc>
          <w:tcPr>
            <w:tcW w:w="2735" w:type="dxa"/>
            <w:shd w:val="clear" w:color="auto" w:fill="FFC9C9"/>
            <w:tcMar>
              <w:top w:w="80" w:type="dxa"/>
              <w:left w:w="80" w:type="dxa"/>
              <w:bottom w:w="80" w:type="dxa"/>
              <w:right w:w="80" w:type="dxa"/>
            </w:tcMar>
          </w:tcPr>
          <w:p w14:paraId="45960EAB"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No </w:t>
            </w:r>
          </w:p>
          <w:p w14:paraId="28BD8A44" w14:textId="74F7A9B1" w:rsidR="006C1EA0" w:rsidRPr="00FD5F86" w:rsidRDefault="006C1EA0" w:rsidP="00F839DB">
            <w:pPr>
              <w:pStyle w:val="ListParagraph"/>
              <w:numPr>
                <w:ilvl w:val="0"/>
                <w:numId w:val="466"/>
              </w:numPr>
              <w:spacing w:after="60"/>
              <w:rPr>
                <w:rFonts w:cs="Arial"/>
                <w:color w:val="000000"/>
                <w:sz w:val="14"/>
                <w:szCs w:val="16"/>
                <w:lang w:val="en-GB"/>
              </w:rPr>
            </w:pPr>
            <w:r w:rsidRPr="00FD5F86">
              <w:rPr>
                <w:rFonts w:cs="Arial"/>
                <w:color w:val="000000"/>
                <w:sz w:val="14"/>
                <w:szCs w:val="16"/>
                <w:lang w:val="en-GB"/>
              </w:rPr>
              <w:t>but cannot dismiss the worker within six months of the injury date on the basis that the worker is unfit for work because of the injury</w:t>
            </w:r>
            <w:r w:rsidR="003D2FCB">
              <w:rPr>
                <w:rFonts w:cs="Arial"/>
                <w:color w:val="000000"/>
                <w:sz w:val="14"/>
                <w:szCs w:val="16"/>
                <w:lang w:val="en-GB"/>
              </w:rPr>
              <w:t>.</w:t>
            </w:r>
          </w:p>
        </w:tc>
      </w:tr>
      <w:tr w:rsidR="006C1EA0" w:rsidRPr="006C1EA0" w14:paraId="69881910" w14:textId="77777777" w:rsidTr="00DF3396">
        <w:tc>
          <w:tcPr>
            <w:tcW w:w="1343" w:type="dxa"/>
            <w:tcMar>
              <w:top w:w="80" w:type="dxa"/>
              <w:left w:w="80" w:type="dxa"/>
              <w:bottom w:w="80" w:type="dxa"/>
              <w:right w:w="80" w:type="dxa"/>
            </w:tcMar>
          </w:tcPr>
          <w:p w14:paraId="3F95C355"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Victoria</w:t>
            </w:r>
          </w:p>
        </w:tc>
        <w:tc>
          <w:tcPr>
            <w:tcW w:w="2977" w:type="dxa"/>
            <w:tcMar>
              <w:top w:w="80" w:type="dxa"/>
              <w:left w:w="80" w:type="dxa"/>
              <w:bottom w:w="80" w:type="dxa"/>
              <w:right w:w="80" w:type="dxa"/>
            </w:tcMar>
          </w:tcPr>
          <w:p w14:paraId="6F736BFE" w14:textId="77777777" w:rsidR="006C1EA0" w:rsidRPr="00240AAB" w:rsidRDefault="006C1EA0" w:rsidP="00F839DB">
            <w:pPr>
              <w:pStyle w:val="ListParagraph"/>
              <w:numPr>
                <w:ilvl w:val="0"/>
                <w:numId w:val="254"/>
              </w:numPr>
              <w:spacing w:after="60"/>
              <w:contextualSpacing/>
              <w:rPr>
                <w:rFonts w:eastAsia="Calibri" w:cs="Arial"/>
                <w:sz w:val="14"/>
                <w:szCs w:val="14"/>
                <w:lang w:eastAsia="en-US"/>
              </w:rPr>
            </w:pPr>
            <w:r w:rsidRPr="00240AAB">
              <w:rPr>
                <w:rFonts w:eastAsia="Calibri" w:cs="Arial"/>
                <w:sz w:val="14"/>
                <w:szCs w:val="14"/>
                <w:lang w:eastAsia="en-US"/>
              </w:rPr>
              <w:t>Suitable employment means work that is suited to the worker’s current abilities taking into account their capacity for work and, amongst other things, their medical condition, age, skills, work experience, place of residence and pre-injury employment.</w:t>
            </w:r>
          </w:p>
          <w:p w14:paraId="3A02E07E" w14:textId="30279E02" w:rsidR="006C1EA0" w:rsidRPr="00240AAB" w:rsidRDefault="006C1EA0" w:rsidP="00F839DB">
            <w:pPr>
              <w:pStyle w:val="ListParagraph"/>
              <w:numPr>
                <w:ilvl w:val="0"/>
                <w:numId w:val="254"/>
              </w:numPr>
              <w:spacing w:after="60"/>
              <w:contextualSpacing/>
              <w:rPr>
                <w:rFonts w:eastAsia="Calibri" w:cs="Arial"/>
                <w:sz w:val="14"/>
                <w:szCs w:val="14"/>
                <w:lang w:eastAsia="en-US"/>
              </w:rPr>
            </w:pPr>
            <w:r w:rsidRPr="00240AAB">
              <w:rPr>
                <w:rFonts w:eastAsia="Calibri" w:cs="Arial"/>
                <w:sz w:val="14"/>
                <w:szCs w:val="14"/>
                <w:lang w:eastAsia="en-US"/>
              </w:rPr>
              <w:t xml:space="preserve">Pre-injury employment means employment that is the same as, or equivalent to, the job that a worker was employed in before they sustained their injury or illness (see definitions in </w:t>
            </w:r>
            <w:hyperlink r:id="rId1719" w:history="1">
              <w:r w:rsidRPr="00B03525">
                <w:rPr>
                  <w:rStyle w:val="Hyperlink"/>
                  <w:rFonts w:eastAsia="Calibri" w:cs="Arial"/>
                  <w:sz w:val="14"/>
                  <w:szCs w:val="14"/>
                  <w:lang w:eastAsia="en-US"/>
                </w:rPr>
                <w:t>s3</w:t>
              </w:r>
            </w:hyperlink>
            <w:r w:rsidRPr="00240AAB">
              <w:rPr>
                <w:rFonts w:eastAsia="Calibri" w:cs="Arial"/>
                <w:sz w:val="14"/>
                <w:szCs w:val="14"/>
                <w:lang w:eastAsia="en-US"/>
              </w:rPr>
              <w:t xml:space="preserve"> and </w:t>
            </w:r>
            <w:hyperlink r:id="rId1720" w:history="1">
              <w:r w:rsidRPr="00B03525">
                <w:rPr>
                  <w:rStyle w:val="Hyperlink"/>
                  <w:rFonts w:eastAsia="Calibri" w:cs="Arial"/>
                  <w:sz w:val="14"/>
                  <w:szCs w:val="14"/>
                  <w:lang w:eastAsia="en-US"/>
                </w:rPr>
                <w:t>s96</w:t>
              </w:r>
            </w:hyperlink>
            <w:r w:rsidR="00B03525">
              <w:rPr>
                <w:rFonts w:eastAsia="Calibri" w:cs="Arial"/>
                <w:sz w:val="14"/>
                <w:szCs w:val="14"/>
                <w:lang w:eastAsia="en-US"/>
              </w:rPr>
              <w:t xml:space="preserve">, </w:t>
            </w:r>
            <w:r w:rsidR="00B03525" w:rsidRPr="00016069">
              <w:rPr>
                <w:i/>
                <w:sz w:val="14"/>
              </w:rPr>
              <w:t>Workplace Injury Rehabilitation and Compensation Act 2013</w:t>
            </w:r>
            <w:r w:rsidRPr="00240AAB">
              <w:rPr>
                <w:rFonts w:eastAsia="Calibri" w:cs="Arial"/>
                <w:sz w:val="14"/>
                <w:szCs w:val="14"/>
                <w:lang w:eastAsia="en-US"/>
              </w:rPr>
              <w:t>).</w:t>
            </w:r>
          </w:p>
        </w:tc>
        <w:tc>
          <w:tcPr>
            <w:tcW w:w="2491" w:type="dxa"/>
            <w:tcMar>
              <w:top w:w="80" w:type="dxa"/>
              <w:left w:w="80" w:type="dxa"/>
              <w:bottom w:w="80" w:type="dxa"/>
              <w:right w:w="80" w:type="dxa"/>
            </w:tcMar>
          </w:tcPr>
          <w:p w14:paraId="1B6B06EF" w14:textId="0D3B8313"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52 w</w:t>
            </w:r>
            <w:r w:rsidR="00B461BC">
              <w:rPr>
                <w:rFonts w:cs="Arial"/>
                <w:color w:val="000000"/>
                <w:sz w:val="14"/>
                <w:szCs w:val="16"/>
                <w:lang w:val="en-GB"/>
              </w:rPr>
              <w:t>eeks of the worker’s incapacity</w:t>
            </w:r>
          </w:p>
        </w:tc>
        <w:tc>
          <w:tcPr>
            <w:tcW w:w="2735" w:type="dxa"/>
            <w:tcMar>
              <w:top w:w="80" w:type="dxa"/>
              <w:left w:w="80" w:type="dxa"/>
              <w:bottom w:w="80" w:type="dxa"/>
              <w:right w:w="80" w:type="dxa"/>
            </w:tcMar>
          </w:tcPr>
          <w:p w14:paraId="73F5CB66"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52 weeks of the worker’s incapacity. For the duration of the employment obligation period the employer has to provide suitable employment if the worker has a current work capacity and pre-injury if the worker no longer has an incapacity for work.</w:t>
            </w:r>
          </w:p>
        </w:tc>
        <w:tc>
          <w:tcPr>
            <w:tcW w:w="2734" w:type="dxa"/>
            <w:tcMar>
              <w:top w:w="80" w:type="dxa"/>
              <w:left w:w="80" w:type="dxa"/>
              <w:bottom w:w="80" w:type="dxa"/>
              <w:right w:w="80" w:type="dxa"/>
            </w:tcMar>
          </w:tcPr>
          <w:p w14:paraId="3788FA52"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1CF7F5C8" w14:textId="1CB9A79C" w:rsidR="006C1EA0" w:rsidRPr="00FD5F86" w:rsidRDefault="00A7538C" w:rsidP="00F839DB">
            <w:pPr>
              <w:pStyle w:val="ListParagraph"/>
              <w:numPr>
                <w:ilvl w:val="0"/>
                <w:numId w:val="466"/>
              </w:numPr>
              <w:spacing w:after="60"/>
              <w:rPr>
                <w:rFonts w:cs="Arial"/>
                <w:color w:val="000000"/>
                <w:sz w:val="14"/>
                <w:szCs w:val="16"/>
                <w:lang w:val="en-GB"/>
              </w:rPr>
            </w:pPr>
            <w:hyperlink r:id="rId1721" w:history="1">
              <w:r w:rsidR="00B461BC" w:rsidRPr="00B03525">
                <w:rPr>
                  <w:rStyle w:val="Hyperlink"/>
                  <w:rFonts w:cs="Arial"/>
                  <w:sz w:val="14"/>
                  <w:szCs w:val="16"/>
                  <w:lang w:val="en-GB"/>
                </w:rPr>
                <w:t>s101</w:t>
              </w:r>
            </w:hyperlink>
          </w:p>
        </w:tc>
        <w:tc>
          <w:tcPr>
            <w:tcW w:w="2735" w:type="dxa"/>
            <w:tcMar>
              <w:top w:w="80" w:type="dxa"/>
              <w:left w:w="80" w:type="dxa"/>
              <w:bottom w:w="80" w:type="dxa"/>
              <w:right w:w="80" w:type="dxa"/>
            </w:tcMar>
          </w:tcPr>
          <w:p w14:paraId="6F9CB2E6" w14:textId="29D46CB2"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r>
      <w:tr w:rsidR="006C1EA0" w:rsidRPr="006C1EA0" w14:paraId="053D81AA" w14:textId="77777777" w:rsidTr="00DF3396">
        <w:tc>
          <w:tcPr>
            <w:tcW w:w="1343" w:type="dxa"/>
            <w:shd w:val="clear" w:color="auto" w:fill="FFC9C9"/>
            <w:tcMar>
              <w:top w:w="80" w:type="dxa"/>
              <w:left w:w="80" w:type="dxa"/>
              <w:bottom w:w="80" w:type="dxa"/>
              <w:right w:w="80" w:type="dxa"/>
            </w:tcMar>
          </w:tcPr>
          <w:p w14:paraId="2536703A"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Queensland</w:t>
            </w:r>
          </w:p>
        </w:tc>
        <w:tc>
          <w:tcPr>
            <w:tcW w:w="2977" w:type="dxa"/>
            <w:shd w:val="clear" w:color="auto" w:fill="FFC9C9"/>
            <w:tcMar>
              <w:top w:w="80" w:type="dxa"/>
              <w:left w:w="80" w:type="dxa"/>
              <w:bottom w:w="80" w:type="dxa"/>
              <w:right w:w="80" w:type="dxa"/>
            </w:tcMar>
          </w:tcPr>
          <w:p w14:paraId="347C2CC0" w14:textId="43AB437F" w:rsidR="006C1EA0" w:rsidRPr="005C5C26" w:rsidRDefault="00B03525" w:rsidP="00292A53">
            <w:pPr>
              <w:spacing w:after="60"/>
              <w:rPr>
                <w:rFonts w:eastAsia="Calibri" w:cs="Arial"/>
                <w:sz w:val="14"/>
                <w:szCs w:val="14"/>
                <w:lang w:eastAsia="en-US"/>
              </w:rPr>
            </w:pPr>
            <w:r w:rsidRPr="00016069">
              <w:rPr>
                <w:i/>
                <w:sz w:val="14"/>
              </w:rPr>
              <w:t>Workers’ Compensation and Rehabilitation Act 2003</w:t>
            </w:r>
            <w:r w:rsidR="006C1EA0" w:rsidRPr="005C5C26">
              <w:rPr>
                <w:rFonts w:eastAsia="Calibri" w:cs="Arial"/>
                <w:sz w:val="14"/>
                <w:szCs w:val="14"/>
                <w:lang w:eastAsia="en-US"/>
              </w:rPr>
              <w:t xml:space="preserve"> </w:t>
            </w:r>
            <w:hyperlink r:id="rId1722" w:anchor="sec.42" w:history="1">
              <w:r w:rsidR="006C1EA0" w:rsidRPr="00B03525">
                <w:rPr>
                  <w:rStyle w:val="Hyperlink"/>
                  <w:rFonts w:eastAsia="Calibri" w:cs="Arial"/>
                  <w:sz w:val="14"/>
                  <w:szCs w:val="14"/>
                  <w:lang w:eastAsia="en-US"/>
                </w:rPr>
                <w:t>s42</w:t>
              </w:r>
            </w:hyperlink>
            <w:r w:rsidR="006C1EA0" w:rsidRPr="005C5C26">
              <w:rPr>
                <w:rFonts w:eastAsia="Calibri" w:cs="Arial"/>
                <w:sz w:val="14"/>
                <w:szCs w:val="14"/>
                <w:lang w:eastAsia="en-US"/>
              </w:rPr>
              <w:t xml:space="preserve"> — Suitable duties are work duties for which the worker is suited, having regard to: </w:t>
            </w:r>
          </w:p>
          <w:p w14:paraId="1ACD86C3"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nature of the worker’s incapacity and pre-injury employment</w:t>
            </w:r>
          </w:p>
          <w:p w14:paraId="59B7A57B"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relevant medical information</w:t>
            </w:r>
          </w:p>
          <w:p w14:paraId="755433D3"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 xml:space="preserve">rehabilitation and return to work plan for the worker </w:t>
            </w:r>
          </w:p>
          <w:p w14:paraId="3A55252E"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provisions of the employer’s workplace rehabilitation policy and procedures</w:t>
            </w:r>
          </w:p>
          <w:p w14:paraId="6F80358B"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worker’s age, education, skills and work experience;</w:t>
            </w:r>
          </w:p>
          <w:p w14:paraId="2492FB8D"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 xml:space="preserve">if duties are available at a location other than the location in which the </w:t>
            </w:r>
            <w:r w:rsidRPr="00240AAB">
              <w:rPr>
                <w:rFonts w:eastAsia="Calibri" w:cs="Arial"/>
                <w:sz w:val="14"/>
                <w:szCs w:val="14"/>
                <w:lang w:eastAsia="en-US"/>
              </w:rPr>
              <w:lastRenderedPageBreak/>
              <w:t>worker was injured — whether it is reasonable to expect the worker to attend the other location, and</w:t>
            </w:r>
          </w:p>
          <w:p w14:paraId="35C912FC"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any other relevant matters.</w:t>
            </w:r>
          </w:p>
        </w:tc>
        <w:tc>
          <w:tcPr>
            <w:tcW w:w="2491" w:type="dxa"/>
            <w:shd w:val="clear" w:color="auto" w:fill="FFC9C9"/>
            <w:tcMar>
              <w:top w:w="80" w:type="dxa"/>
              <w:left w:w="80" w:type="dxa"/>
              <w:bottom w:w="80" w:type="dxa"/>
              <w:right w:w="80" w:type="dxa"/>
            </w:tcMar>
          </w:tcPr>
          <w:p w14:paraId="7DEA2150" w14:textId="401F1437" w:rsidR="006C1EA0" w:rsidRPr="006C1EA0" w:rsidRDefault="00B461BC" w:rsidP="00292A53">
            <w:pPr>
              <w:spacing w:after="60"/>
              <w:rPr>
                <w:rFonts w:cs="Arial"/>
                <w:color w:val="000000"/>
                <w:sz w:val="14"/>
                <w:szCs w:val="16"/>
                <w:lang w:val="en-GB"/>
              </w:rPr>
            </w:pPr>
            <w:r>
              <w:rPr>
                <w:rFonts w:cs="Arial"/>
                <w:color w:val="000000"/>
                <w:sz w:val="14"/>
                <w:szCs w:val="16"/>
                <w:lang w:val="en-GB"/>
              </w:rPr>
              <w:lastRenderedPageBreak/>
              <w:t>No</w:t>
            </w:r>
          </w:p>
          <w:p w14:paraId="1A0CFD1D" w14:textId="2D31DF73" w:rsidR="006C1EA0" w:rsidRPr="00240AAB" w:rsidRDefault="006C1EA0" w:rsidP="00F839DB">
            <w:pPr>
              <w:pStyle w:val="ListParagraph"/>
              <w:numPr>
                <w:ilvl w:val="0"/>
                <w:numId w:val="252"/>
              </w:numPr>
              <w:spacing w:after="60"/>
              <w:ind w:left="357" w:hanging="357"/>
              <w:contextualSpacing/>
              <w:rPr>
                <w:rFonts w:cs="Arial"/>
                <w:color w:val="000000"/>
                <w:sz w:val="14"/>
                <w:szCs w:val="16"/>
                <w:lang w:val="en-GB"/>
              </w:rPr>
            </w:pPr>
            <w:r w:rsidRPr="00240AAB">
              <w:rPr>
                <w:rFonts w:cs="Arial"/>
                <w:color w:val="000000"/>
                <w:sz w:val="14"/>
                <w:szCs w:val="16"/>
                <w:lang w:val="en-GB"/>
              </w:rPr>
              <w:t xml:space="preserve">The employer has an obligation to provide rehabilitation, which includes suitable duties, while the worker is receiving workers’ compensation — Act </w:t>
            </w:r>
            <w:hyperlink r:id="rId1723" w:anchor="sec.228" w:history="1">
              <w:r w:rsidR="00FB273A" w:rsidRPr="009A5208">
                <w:rPr>
                  <w:rStyle w:val="Hyperlink"/>
                  <w:rFonts w:cs="Arial"/>
                  <w:sz w:val="14"/>
                  <w:szCs w:val="16"/>
                  <w:lang w:val="en-GB"/>
                </w:rPr>
                <w:t>s228</w:t>
              </w:r>
            </w:hyperlink>
          </w:p>
          <w:p w14:paraId="7F570F88" w14:textId="19BAC29A" w:rsidR="006C1EA0" w:rsidRPr="00240AAB" w:rsidRDefault="006C1EA0" w:rsidP="00F839DB">
            <w:pPr>
              <w:pStyle w:val="ListParagraph"/>
              <w:numPr>
                <w:ilvl w:val="0"/>
                <w:numId w:val="252"/>
              </w:numPr>
              <w:spacing w:after="60"/>
              <w:rPr>
                <w:rFonts w:cs="Arial"/>
                <w:color w:val="000000"/>
                <w:sz w:val="14"/>
                <w:szCs w:val="16"/>
                <w:lang w:val="en-GB"/>
              </w:rPr>
            </w:pPr>
            <w:r w:rsidRPr="00240AAB">
              <w:rPr>
                <w:rFonts w:cs="Arial"/>
                <w:color w:val="000000"/>
                <w:sz w:val="14"/>
                <w:szCs w:val="16"/>
                <w:lang w:val="en-GB"/>
              </w:rPr>
              <w:t xml:space="preserve">Weekly payments stop when the worker’s incapacity stops, or after the worker has received compensation for 5 years, or when the maximum compensation payment is reached — Act </w:t>
            </w:r>
            <w:hyperlink r:id="rId1724" w:anchor="sec.144" w:history="1">
              <w:r w:rsidR="00FB273A" w:rsidRPr="009A5208">
                <w:rPr>
                  <w:rStyle w:val="Hyperlink"/>
                  <w:rFonts w:cs="Arial"/>
                  <w:sz w:val="14"/>
                  <w:szCs w:val="16"/>
                  <w:lang w:val="en-GB"/>
                </w:rPr>
                <w:t>s144</w:t>
              </w:r>
            </w:hyperlink>
            <w:r w:rsidRPr="00240AAB">
              <w:rPr>
                <w:rFonts w:cs="Arial"/>
                <w:color w:val="000000"/>
                <w:sz w:val="14"/>
                <w:szCs w:val="16"/>
                <w:lang w:val="en-GB"/>
              </w:rPr>
              <w:t>)</w:t>
            </w:r>
            <w:r w:rsidR="003D2FCB">
              <w:rPr>
                <w:rFonts w:cs="Arial"/>
                <w:color w:val="000000"/>
                <w:sz w:val="14"/>
                <w:szCs w:val="16"/>
                <w:lang w:val="en-GB"/>
              </w:rPr>
              <w:t>.</w:t>
            </w:r>
          </w:p>
        </w:tc>
        <w:tc>
          <w:tcPr>
            <w:tcW w:w="2735" w:type="dxa"/>
            <w:shd w:val="clear" w:color="auto" w:fill="FFC9C9"/>
            <w:tcMar>
              <w:top w:w="80" w:type="dxa"/>
              <w:left w:w="80" w:type="dxa"/>
              <w:bottom w:w="80" w:type="dxa"/>
              <w:right w:w="80" w:type="dxa"/>
            </w:tcMar>
          </w:tcPr>
          <w:p w14:paraId="49FBD7FB" w14:textId="71B2CB04" w:rsidR="006C1EA0" w:rsidRPr="006C1EA0" w:rsidRDefault="00B461BC" w:rsidP="00292A53">
            <w:pPr>
              <w:spacing w:after="60"/>
              <w:rPr>
                <w:rFonts w:cs="Arial"/>
                <w:color w:val="000000"/>
                <w:sz w:val="14"/>
                <w:szCs w:val="16"/>
                <w:lang w:val="en-GB"/>
              </w:rPr>
            </w:pPr>
            <w:r>
              <w:rPr>
                <w:rFonts w:cs="Arial"/>
                <w:color w:val="000000"/>
                <w:sz w:val="14"/>
                <w:szCs w:val="16"/>
                <w:lang w:val="en-GB"/>
              </w:rPr>
              <w:t>Yes</w:t>
            </w:r>
          </w:p>
          <w:p w14:paraId="5D999086" w14:textId="33CCADB8"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The employer must hold the worker’s former position open for 12 months (the employer must not dismiss the worker solely or mainly because the worker is not fit for employment in a position because of the injury within 12 months of the worker sustaining the injury) — Act </w:t>
            </w:r>
            <w:hyperlink r:id="rId1725" w:anchor="sec.232B" w:history="1">
              <w:r w:rsidR="00FB273A" w:rsidRPr="009A5208">
                <w:rPr>
                  <w:rStyle w:val="Hyperlink"/>
                  <w:rFonts w:cs="Arial"/>
                  <w:sz w:val="14"/>
                  <w:szCs w:val="16"/>
                  <w:lang w:val="en-GB"/>
                </w:rPr>
                <w:t>s232B</w:t>
              </w:r>
            </w:hyperlink>
            <w:r w:rsidRPr="006C1EA0">
              <w:rPr>
                <w:rFonts w:cs="Arial"/>
                <w:color w:val="000000"/>
                <w:sz w:val="14"/>
                <w:szCs w:val="16"/>
                <w:lang w:val="en-GB"/>
              </w:rPr>
              <w:t>.</w:t>
            </w:r>
          </w:p>
        </w:tc>
        <w:tc>
          <w:tcPr>
            <w:tcW w:w="2734" w:type="dxa"/>
            <w:shd w:val="clear" w:color="auto" w:fill="FFC9C9"/>
            <w:tcMar>
              <w:top w:w="80" w:type="dxa"/>
              <w:left w:w="80" w:type="dxa"/>
              <w:bottom w:w="80" w:type="dxa"/>
              <w:right w:w="80" w:type="dxa"/>
            </w:tcMar>
          </w:tcPr>
          <w:p w14:paraId="674A4470" w14:textId="73233C7B"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27305BC6" w14:textId="29D42768"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r>
      <w:tr w:rsidR="006C1EA0" w:rsidRPr="006C1EA0" w14:paraId="5237454F" w14:textId="77777777" w:rsidTr="00DF3396">
        <w:tc>
          <w:tcPr>
            <w:tcW w:w="1343" w:type="dxa"/>
            <w:tcMar>
              <w:top w:w="80" w:type="dxa"/>
              <w:left w:w="80" w:type="dxa"/>
              <w:bottom w:w="80" w:type="dxa"/>
              <w:right w:w="80" w:type="dxa"/>
            </w:tcMar>
          </w:tcPr>
          <w:p w14:paraId="23A41C38"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Western Australia</w:t>
            </w:r>
          </w:p>
        </w:tc>
        <w:tc>
          <w:tcPr>
            <w:tcW w:w="2977" w:type="dxa"/>
            <w:tcMar>
              <w:top w:w="80" w:type="dxa"/>
              <w:left w:w="80" w:type="dxa"/>
              <w:bottom w:w="80" w:type="dxa"/>
              <w:right w:w="80" w:type="dxa"/>
            </w:tcMar>
          </w:tcPr>
          <w:p w14:paraId="69DB526E" w14:textId="136692DC" w:rsidR="006C1EA0" w:rsidRPr="00240AAB" w:rsidRDefault="006C1EA0" w:rsidP="00F839DB">
            <w:pPr>
              <w:pStyle w:val="ListParagraph"/>
              <w:numPr>
                <w:ilvl w:val="0"/>
                <w:numId w:val="251"/>
              </w:numPr>
              <w:spacing w:after="60"/>
              <w:contextualSpacing/>
              <w:rPr>
                <w:rFonts w:eastAsia="Calibri" w:cs="Arial"/>
                <w:sz w:val="14"/>
                <w:szCs w:val="14"/>
                <w:lang w:eastAsia="en-US"/>
              </w:rPr>
            </w:pPr>
            <w:r w:rsidRPr="00240AAB">
              <w:rPr>
                <w:rFonts w:eastAsia="Calibri" w:cs="Arial"/>
                <w:sz w:val="14"/>
                <w:szCs w:val="14"/>
                <w:lang w:eastAsia="en-US"/>
              </w:rPr>
              <w:t xml:space="preserve">Employer required to provide pre-injury position to injured worker if worker attains total or partial capacity within 12 months. If that job is no longer available, or worker can no longer perform, employer must offer a similar position for which worker is qualified, and capable of doing — </w:t>
            </w:r>
            <w:hyperlink r:id="rId1726" w:history="1">
              <w:r w:rsidRPr="00A8099B">
                <w:rPr>
                  <w:rStyle w:val="Hyperlink"/>
                  <w:rFonts w:eastAsia="Calibri" w:cs="Arial"/>
                  <w:sz w:val="14"/>
                  <w:szCs w:val="14"/>
                  <w:lang w:eastAsia="en-US"/>
                </w:rPr>
                <w:t>s84AA(1)</w:t>
              </w:r>
            </w:hyperlink>
            <w:r w:rsidR="00A8099B">
              <w:rPr>
                <w:rFonts w:eastAsia="Calibri" w:cs="Arial"/>
                <w:sz w:val="14"/>
                <w:szCs w:val="14"/>
                <w:lang w:eastAsia="en-US"/>
              </w:rPr>
              <w:t xml:space="preserve"> </w:t>
            </w:r>
            <w:r w:rsidR="00A8099B" w:rsidRPr="00016069">
              <w:rPr>
                <w:i/>
                <w:sz w:val="14"/>
              </w:rPr>
              <w:t>Workers’ Compensation and Injury Management Act 1981</w:t>
            </w:r>
          </w:p>
          <w:p w14:paraId="1DF627BF" w14:textId="22C0C927" w:rsidR="006C1EA0" w:rsidRPr="00240AAB" w:rsidRDefault="006C1EA0" w:rsidP="00F839DB">
            <w:pPr>
              <w:pStyle w:val="ListParagraph"/>
              <w:numPr>
                <w:ilvl w:val="0"/>
                <w:numId w:val="251"/>
              </w:numPr>
              <w:spacing w:after="60"/>
              <w:contextualSpacing/>
              <w:rPr>
                <w:rFonts w:eastAsia="Calibri" w:cs="Arial"/>
                <w:sz w:val="14"/>
                <w:szCs w:val="14"/>
                <w:lang w:eastAsia="en-US"/>
              </w:rPr>
            </w:pPr>
            <w:r w:rsidRPr="00240AAB">
              <w:rPr>
                <w:rFonts w:eastAsia="Calibri" w:cs="Arial"/>
                <w:sz w:val="14"/>
                <w:szCs w:val="14"/>
                <w:lang w:eastAsia="en-US"/>
              </w:rPr>
              <w:t xml:space="preserve">Employers are required to notify worker and WorkCover WA of any intention to dismiss the worker 28 days before the dismissal is due to take place — </w:t>
            </w:r>
            <w:hyperlink r:id="rId1727" w:history="1">
              <w:r w:rsidRPr="00A8099B">
                <w:rPr>
                  <w:rStyle w:val="Hyperlink"/>
                  <w:rFonts w:eastAsia="Calibri" w:cs="Arial"/>
                  <w:sz w:val="14"/>
                  <w:szCs w:val="14"/>
                  <w:lang w:eastAsia="en-US"/>
                </w:rPr>
                <w:t>s84AB</w:t>
              </w:r>
            </w:hyperlink>
            <w:r w:rsidR="003D2FCB">
              <w:rPr>
                <w:rFonts w:eastAsia="Calibri" w:cs="Arial"/>
                <w:sz w:val="14"/>
                <w:szCs w:val="14"/>
                <w:lang w:eastAsia="en-US"/>
              </w:rPr>
              <w:t>.</w:t>
            </w:r>
          </w:p>
        </w:tc>
        <w:tc>
          <w:tcPr>
            <w:tcW w:w="2491" w:type="dxa"/>
            <w:tcMar>
              <w:top w:w="80" w:type="dxa"/>
              <w:left w:w="80" w:type="dxa"/>
              <w:bottom w:w="80" w:type="dxa"/>
              <w:right w:w="80" w:type="dxa"/>
            </w:tcMar>
          </w:tcPr>
          <w:p w14:paraId="075F7F71"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Previous position offered if reasonably practicable to do so.</w:t>
            </w:r>
          </w:p>
        </w:tc>
        <w:tc>
          <w:tcPr>
            <w:tcW w:w="2735" w:type="dxa"/>
            <w:tcMar>
              <w:top w:w="80" w:type="dxa"/>
              <w:left w:w="80" w:type="dxa"/>
              <w:bottom w:w="80" w:type="dxa"/>
              <w:right w:w="80" w:type="dxa"/>
            </w:tcMar>
          </w:tcPr>
          <w:p w14:paraId="75A8B63D"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64643818" w14:textId="522E2F2C" w:rsidR="006C1EA0" w:rsidRPr="006C1EA0" w:rsidRDefault="00B461BC" w:rsidP="00292A53">
            <w:pPr>
              <w:spacing w:after="60"/>
              <w:ind w:left="360" w:hanging="360"/>
              <w:rPr>
                <w:rFonts w:cs="Arial"/>
                <w:color w:val="000000"/>
                <w:sz w:val="14"/>
                <w:szCs w:val="16"/>
                <w:lang w:val="en-GB"/>
              </w:rPr>
            </w:pPr>
            <w:r>
              <w:rPr>
                <w:rFonts w:cs="Arial"/>
                <w:color w:val="000000"/>
                <w:sz w:val="14"/>
                <w:szCs w:val="16"/>
                <w:lang w:val="en-GB"/>
              </w:rPr>
              <w:t>12 months</w:t>
            </w:r>
          </w:p>
        </w:tc>
        <w:tc>
          <w:tcPr>
            <w:tcW w:w="2734" w:type="dxa"/>
            <w:tcMar>
              <w:top w:w="80" w:type="dxa"/>
              <w:left w:w="80" w:type="dxa"/>
              <w:bottom w:w="80" w:type="dxa"/>
              <w:right w:w="80" w:type="dxa"/>
            </w:tcMar>
          </w:tcPr>
          <w:p w14:paraId="73C8ED52"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Yes </w:t>
            </w:r>
          </w:p>
          <w:p w14:paraId="7E45659C" w14:textId="7CE9C4B6"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If the employer proves that the worker was dismissed on the grounds of serious or wilful misconduct — </w:t>
            </w:r>
            <w:hyperlink r:id="rId1728" w:history="1">
              <w:r w:rsidRPr="00A8099B">
                <w:rPr>
                  <w:rStyle w:val="Hyperlink"/>
                  <w:rFonts w:cs="Arial"/>
                  <w:sz w:val="14"/>
                  <w:szCs w:val="16"/>
                  <w:lang w:val="en-GB"/>
                </w:rPr>
                <w:t>s84AA(2)</w:t>
              </w:r>
            </w:hyperlink>
          </w:p>
        </w:tc>
        <w:tc>
          <w:tcPr>
            <w:tcW w:w="2735" w:type="dxa"/>
            <w:tcMar>
              <w:top w:w="80" w:type="dxa"/>
              <w:left w:w="80" w:type="dxa"/>
              <w:bottom w:w="80" w:type="dxa"/>
              <w:right w:w="80" w:type="dxa"/>
            </w:tcMar>
          </w:tcPr>
          <w:p w14:paraId="47581792"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198D064C" w14:textId="201D84A9" w:rsidR="006C1EA0" w:rsidRPr="006C1EA0" w:rsidRDefault="00A7538C" w:rsidP="00292A53">
            <w:pPr>
              <w:spacing w:after="60"/>
              <w:ind w:left="360" w:hanging="360"/>
              <w:rPr>
                <w:rFonts w:cs="Arial"/>
                <w:color w:val="000000"/>
                <w:sz w:val="14"/>
                <w:szCs w:val="16"/>
                <w:lang w:val="en-GB"/>
              </w:rPr>
            </w:pPr>
            <w:hyperlink r:id="rId1729" w:history="1">
              <w:r w:rsidR="006C1EA0" w:rsidRPr="00A8099B">
                <w:rPr>
                  <w:rStyle w:val="Hyperlink"/>
                  <w:rFonts w:cs="Arial"/>
                  <w:sz w:val="14"/>
                  <w:szCs w:val="16"/>
                  <w:lang w:val="en-GB"/>
                </w:rPr>
                <w:t>s84AB</w:t>
              </w:r>
            </w:hyperlink>
          </w:p>
        </w:tc>
      </w:tr>
      <w:tr w:rsidR="006C1EA0" w:rsidRPr="006C1EA0" w14:paraId="54E9D3A3" w14:textId="77777777" w:rsidTr="00DF3396">
        <w:tc>
          <w:tcPr>
            <w:tcW w:w="1343" w:type="dxa"/>
            <w:shd w:val="clear" w:color="auto" w:fill="FFC9C9"/>
            <w:tcMar>
              <w:top w:w="80" w:type="dxa"/>
              <w:left w:w="80" w:type="dxa"/>
              <w:bottom w:w="80" w:type="dxa"/>
              <w:right w:w="80" w:type="dxa"/>
            </w:tcMar>
          </w:tcPr>
          <w:p w14:paraId="2D6ACE47"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South Australia</w:t>
            </w:r>
          </w:p>
        </w:tc>
        <w:tc>
          <w:tcPr>
            <w:tcW w:w="2977" w:type="dxa"/>
            <w:shd w:val="clear" w:color="auto" w:fill="FFC9C9"/>
            <w:tcMar>
              <w:top w:w="80" w:type="dxa"/>
              <w:left w:w="80" w:type="dxa"/>
              <w:bottom w:w="80" w:type="dxa"/>
              <w:right w:w="80" w:type="dxa"/>
            </w:tcMar>
          </w:tcPr>
          <w:p w14:paraId="757846D1" w14:textId="07DAA7BC"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Suitable employment is defined in </w:t>
            </w:r>
            <w:hyperlink r:id="rId1730" w:history="1">
              <w:r w:rsidRPr="008512A2">
                <w:rPr>
                  <w:rStyle w:val="Hyperlink"/>
                  <w:rFonts w:cs="Arial"/>
                  <w:sz w:val="14"/>
                  <w:szCs w:val="16"/>
                  <w:lang w:val="en-GB"/>
                </w:rPr>
                <w:t>section 4</w:t>
              </w:r>
            </w:hyperlink>
            <w:r w:rsidRPr="006C1EA0">
              <w:rPr>
                <w:rFonts w:cs="Arial"/>
                <w:color w:val="000000"/>
                <w:sz w:val="14"/>
                <w:szCs w:val="16"/>
                <w:lang w:val="en-GB"/>
              </w:rPr>
              <w:t xml:space="preserve"> of the </w:t>
            </w:r>
            <w:r w:rsidR="00350C59" w:rsidRPr="00016069">
              <w:rPr>
                <w:i/>
                <w:sz w:val="14"/>
              </w:rPr>
              <w:t>Return to Work Act 2014</w:t>
            </w:r>
            <w:r w:rsidRPr="006C1EA0">
              <w:rPr>
                <w:rFonts w:cs="Arial"/>
                <w:color w:val="000000"/>
                <w:sz w:val="14"/>
                <w:szCs w:val="16"/>
                <w:lang w:val="en-GB"/>
              </w:rPr>
              <w:t xml:space="preserve"> as follows:</w:t>
            </w:r>
          </w:p>
          <w:p w14:paraId="2241B5A4"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In relation to a worker, means employment in work for which the worker is currently suited, whether or not the work is available, having regard to the following: </w:t>
            </w:r>
          </w:p>
          <w:p w14:paraId="4DE215D7"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the nature of the worker’s incapacity and previous employment,</w:t>
            </w:r>
          </w:p>
          <w:p w14:paraId="756CBAF5"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the worker’s age, education, skills and work experience,</w:t>
            </w:r>
          </w:p>
          <w:p w14:paraId="674D51BF"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the worker’s place of residence,</w:t>
            </w:r>
          </w:p>
          <w:p w14:paraId="1C45F943"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medical information relating to the worker that is reasonably available, including in any medical certificate or report,</w:t>
            </w:r>
          </w:p>
          <w:p w14:paraId="43782FE5"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if any recovery/return to work services are being provided to or for the worker, and</w:t>
            </w:r>
          </w:p>
          <w:p w14:paraId="74D232A3" w14:textId="77777777" w:rsidR="006C1EA0" w:rsidRPr="006C1EA0" w:rsidRDefault="006C1EA0" w:rsidP="00DF35F2">
            <w:pPr>
              <w:numPr>
                <w:ilvl w:val="0"/>
                <w:numId w:val="45"/>
              </w:numPr>
              <w:spacing w:after="60"/>
              <w:ind w:left="357" w:hanging="357"/>
              <w:contextualSpacing/>
              <w:rPr>
                <w:rFonts w:eastAsia="Calibri" w:cs="Arial"/>
                <w:sz w:val="14"/>
                <w:szCs w:val="14"/>
                <w:lang w:eastAsia="en-US"/>
              </w:rPr>
            </w:pPr>
            <w:r w:rsidRPr="006C1EA0">
              <w:rPr>
                <w:rFonts w:eastAsia="Calibri" w:cs="Arial"/>
                <w:sz w:val="14"/>
                <w:szCs w:val="14"/>
                <w:lang w:eastAsia="en-US"/>
              </w:rPr>
              <w:t>the worker’s recovery/return to work plan, if any.</w:t>
            </w:r>
          </w:p>
        </w:tc>
        <w:tc>
          <w:tcPr>
            <w:tcW w:w="2491" w:type="dxa"/>
            <w:shd w:val="clear" w:color="auto" w:fill="FFC9C9"/>
            <w:tcMar>
              <w:top w:w="80" w:type="dxa"/>
              <w:left w:w="80" w:type="dxa"/>
              <w:bottom w:w="80" w:type="dxa"/>
              <w:right w:w="80" w:type="dxa"/>
            </w:tcMar>
          </w:tcPr>
          <w:p w14:paraId="3EED9E3C" w14:textId="452611E1"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3CDC49ED"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 however, under section 18 an employer must provide suitable employment for the worker (the employment being employment for which the worker is fit and, subject to that qualification and this section, so far as reasonably practicable the same as, or equivalent to, the employment in which the worker was working immediately before the incapacity).</w:t>
            </w:r>
          </w:p>
        </w:tc>
        <w:tc>
          <w:tcPr>
            <w:tcW w:w="2734" w:type="dxa"/>
            <w:shd w:val="clear" w:color="auto" w:fill="FFC9C9"/>
            <w:tcMar>
              <w:top w:w="80" w:type="dxa"/>
              <w:left w:w="80" w:type="dxa"/>
              <w:bottom w:w="80" w:type="dxa"/>
              <w:right w:w="80" w:type="dxa"/>
            </w:tcMar>
          </w:tcPr>
          <w:p w14:paraId="6A0CD2AD"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The requirement to provide suitable employment does not apply in the following circumstances:</w:t>
            </w:r>
          </w:p>
          <w:p w14:paraId="08FB1EED" w14:textId="77777777"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 xml:space="preserve">it is not reasonably practicable to provide employment (with the onus of establishing that on the employer); or </w:t>
            </w:r>
          </w:p>
          <w:p w14:paraId="24DE290A" w14:textId="77777777"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 xml:space="preserve">the worker left the employment of that employer before the commencement of the incapacity for work; or </w:t>
            </w:r>
          </w:p>
          <w:p w14:paraId="79D92E49" w14:textId="77777777"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 xml:space="preserve">the worker terminated the employment after the commencement of the incapacity for work; or </w:t>
            </w:r>
          </w:p>
          <w:p w14:paraId="1BD19591" w14:textId="3E04F726"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 xml:space="preserve">new or other employment options have been agreed between the worker, the employer and the Corporation under section </w:t>
            </w:r>
            <w:hyperlink r:id="rId1731" w:history="1">
              <w:r w:rsidRPr="008512A2">
                <w:rPr>
                  <w:rStyle w:val="Hyperlink"/>
                  <w:rFonts w:eastAsia="Calibri" w:cs="Arial"/>
                  <w:sz w:val="14"/>
                  <w:szCs w:val="14"/>
                  <w:lang w:eastAsia="en-US"/>
                </w:rPr>
                <w:t>25(10)</w:t>
              </w:r>
            </w:hyperlink>
            <w:r w:rsidRPr="00240AAB">
              <w:rPr>
                <w:rFonts w:eastAsia="Calibri" w:cs="Arial"/>
                <w:sz w:val="14"/>
                <w:szCs w:val="14"/>
                <w:lang w:eastAsia="en-US"/>
              </w:rPr>
              <w:t xml:space="preserve">; or </w:t>
            </w:r>
          </w:p>
          <w:p w14:paraId="526396A5" w14:textId="324D9DF1"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the worker has otherwise returned to work with the pre-injury employer or another employer.</w:t>
            </w:r>
            <w:r w:rsidR="00F358E7">
              <w:rPr>
                <w:rFonts w:eastAsia="Calibri" w:cs="Arial"/>
                <w:sz w:val="14"/>
                <w:szCs w:val="14"/>
                <w:lang w:eastAsia="en-US"/>
              </w:rPr>
              <w:t xml:space="preserve"> —</w:t>
            </w:r>
            <w:r w:rsidRPr="00240AAB">
              <w:rPr>
                <w:rFonts w:ascii="Calibri" w:eastAsia="Calibri" w:hAnsi="Calibri"/>
                <w:sz w:val="22"/>
                <w:szCs w:val="22"/>
                <w:lang w:eastAsia="en-US"/>
              </w:rPr>
              <w:t xml:space="preserve"> </w:t>
            </w:r>
            <w:hyperlink r:id="rId1732" w:history="1">
              <w:r w:rsidRPr="00240AAB">
                <w:rPr>
                  <w:rFonts w:eastAsia="Calibri" w:cs="Arial"/>
                  <w:color w:val="0000FF"/>
                  <w:sz w:val="14"/>
                  <w:szCs w:val="14"/>
                  <w:u w:val="single"/>
                  <w:lang w:eastAsia="en-US"/>
                </w:rPr>
                <w:t>s18(2)</w:t>
              </w:r>
            </w:hyperlink>
            <w:r w:rsidR="003D2FCB">
              <w:rPr>
                <w:rFonts w:eastAsia="Calibri" w:cs="Arial"/>
                <w:color w:val="0000FF"/>
                <w:sz w:val="14"/>
                <w:szCs w:val="14"/>
                <w:u w:val="single"/>
                <w:lang w:eastAsia="en-US"/>
              </w:rPr>
              <w:t>.</w:t>
            </w:r>
          </w:p>
        </w:tc>
        <w:tc>
          <w:tcPr>
            <w:tcW w:w="2735" w:type="dxa"/>
            <w:shd w:val="clear" w:color="auto" w:fill="FFC9C9"/>
            <w:tcMar>
              <w:top w:w="80" w:type="dxa"/>
              <w:left w:w="80" w:type="dxa"/>
              <w:bottom w:w="80" w:type="dxa"/>
              <w:right w:w="80" w:type="dxa"/>
            </w:tcMar>
          </w:tcPr>
          <w:p w14:paraId="51970FE8" w14:textId="77777777" w:rsidR="006C1EA0" w:rsidRPr="00240AAB" w:rsidRDefault="006C1EA0" w:rsidP="00F839DB">
            <w:pPr>
              <w:pStyle w:val="ListParagraph"/>
              <w:numPr>
                <w:ilvl w:val="0"/>
                <w:numId w:val="250"/>
              </w:numPr>
              <w:spacing w:after="60"/>
              <w:contextualSpacing/>
              <w:rPr>
                <w:rFonts w:eastAsia="Calibri" w:cs="Arial"/>
                <w:sz w:val="14"/>
                <w:szCs w:val="14"/>
                <w:lang w:eastAsia="en-US"/>
              </w:rPr>
            </w:pPr>
            <w:r w:rsidRPr="00240AAB">
              <w:rPr>
                <w:rFonts w:eastAsia="Calibri" w:cs="Arial"/>
                <w:sz w:val="14"/>
                <w:szCs w:val="14"/>
                <w:lang w:eastAsia="en-US"/>
              </w:rPr>
              <w:t>Pursuant to section 20(1) the employer must provide 28 days notice to the Corporation.</w:t>
            </w:r>
          </w:p>
          <w:p w14:paraId="2B4A1A90" w14:textId="791E2448" w:rsidR="006C1EA0" w:rsidRPr="00240AAB" w:rsidRDefault="006C1EA0" w:rsidP="00F839DB">
            <w:pPr>
              <w:pStyle w:val="ListParagraph"/>
              <w:numPr>
                <w:ilvl w:val="0"/>
                <w:numId w:val="250"/>
              </w:numPr>
              <w:spacing w:after="60"/>
              <w:contextualSpacing/>
              <w:rPr>
                <w:rFonts w:eastAsia="Calibri" w:cs="Arial"/>
                <w:sz w:val="14"/>
                <w:szCs w:val="14"/>
                <w:lang w:eastAsia="en-US"/>
              </w:rPr>
            </w:pPr>
            <w:r w:rsidRPr="00240AAB">
              <w:rPr>
                <w:rFonts w:eastAsia="Calibri" w:cs="Arial"/>
                <w:sz w:val="14"/>
                <w:szCs w:val="14"/>
                <w:lang w:eastAsia="en-US"/>
              </w:rPr>
              <w:t>Notice to the Corporation is not required if termination has occurred on grounds of serious and wilful misconduct or the worker is not participating in a recover/return to work plan, nor receiving compensation for the work injury or the worker’s rights to compensation for the injury have been exhausted or the time for making a claim for compensation has expired</w:t>
            </w:r>
            <w:r w:rsidR="003D2FCB">
              <w:rPr>
                <w:rFonts w:eastAsia="Calibri" w:cs="Arial"/>
                <w:sz w:val="14"/>
                <w:szCs w:val="14"/>
                <w:lang w:eastAsia="en-US"/>
              </w:rPr>
              <w:t>.</w:t>
            </w:r>
          </w:p>
        </w:tc>
      </w:tr>
      <w:tr w:rsidR="006C1EA0" w:rsidRPr="006C1EA0" w14:paraId="0865BB7D" w14:textId="77777777" w:rsidTr="00DF3396">
        <w:tc>
          <w:tcPr>
            <w:tcW w:w="1343" w:type="dxa"/>
            <w:tcMar>
              <w:top w:w="80" w:type="dxa"/>
              <w:left w:w="80" w:type="dxa"/>
              <w:bottom w:w="80" w:type="dxa"/>
              <w:right w:w="80" w:type="dxa"/>
            </w:tcMar>
          </w:tcPr>
          <w:p w14:paraId="2968FF70"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Tasmania</w:t>
            </w:r>
          </w:p>
        </w:tc>
        <w:tc>
          <w:tcPr>
            <w:tcW w:w="2977" w:type="dxa"/>
            <w:tcMar>
              <w:top w:w="80" w:type="dxa"/>
              <w:left w:w="80" w:type="dxa"/>
              <w:bottom w:w="80" w:type="dxa"/>
              <w:right w:w="80" w:type="dxa"/>
            </w:tcMar>
          </w:tcPr>
          <w:p w14:paraId="3C1C42C1"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Suitable alternative duties, in relation to a worker, are those duties for which the worker is suited, having regard to the following: </w:t>
            </w:r>
          </w:p>
          <w:p w14:paraId="2339C280" w14:textId="77777777" w:rsidR="006C1EA0" w:rsidRPr="00240AAB" w:rsidRDefault="006C1EA0" w:rsidP="00F839DB">
            <w:pPr>
              <w:pStyle w:val="ListParagraph"/>
              <w:numPr>
                <w:ilvl w:val="0"/>
                <w:numId w:val="248"/>
              </w:numPr>
              <w:spacing w:after="60"/>
              <w:contextualSpacing/>
              <w:rPr>
                <w:rFonts w:eastAsia="Calibri" w:cs="Arial"/>
                <w:sz w:val="14"/>
                <w:szCs w:val="14"/>
                <w:lang w:eastAsia="en-US"/>
              </w:rPr>
            </w:pPr>
            <w:r w:rsidRPr="00240AAB">
              <w:rPr>
                <w:rFonts w:eastAsia="Calibri" w:cs="Arial"/>
                <w:sz w:val="14"/>
                <w:szCs w:val="14"/>
                <w:lang w:eastAsia="en-US"/>
              </w:rPr>
              <w:t xml:space="preserve">nature of the worker’s incapacity and pre-injury employment; </w:t>
            </w:r>
          </w:p>
          <w:p w14:paraId="79E780EA" w14:textId="77777777" w:rsidR="006C1EA0" w:rsidRPr="00240AAB" w:rsidRDefault="006C1EA0" w:rsidP="00F839DB">
            <w:pPr>
              <w:pStyle w:val="ListParagraph"/>
              <w:numPr>
                <w:ilvl w:val="0"/>
                <w:numId w:val="248"/>
              </w:numPr>
              <w:spacing w:after="60"/>
              <w:contextualSpacing/>
              <w:rPr>
                <w:rFonts w:eastAsia="Calibri" w:cs="Arial"/>
                <w:sz w:val="14"/>
                <w:szCs w:val="14"/>
                <w:lang w:eastAsia="en-US"/>
              </w:rPr>
            </w:pPr>
            <w:r w:rsidRPr="00240AAB">
              <w:rPr>
                <w:rFonts w:eastAsia="Calibri" w:cs="Arial"/>
                <w:sz w:val="14"/>
                <w:szCs w:val="14"/>
                <w:lang w:eastAsia="en-US"/>
              </w:rPr>
              <w:lastRenderedPageBreak/>
              <w:t>worker’s age, education, skills and work experience;</w:t>
            </w:r>
          </w:p>
          <w:p w14:paraId="414977BC" w14:textId="77777777" w:rsidR="006C1EA0" w:rsidRPr="00240AAB" w:rsidRDefault="006C1EA0" w:rsidP="00F839DB">
            <w:pPr>
              <w:pStyle w:val="ListParagraph"/>
              <w:numPr>
                <w:ilvl w:val="0"/>
                <w:numId w:val="248"/>
              </w:numPr>
              <w:spacing w:after="60"/>
              <w:contextualSpacing/>
              <w:rPr>
                <w:rFonts w:eastAsia="Calibri" w:cs="Arial"/>
                <w:sz w:val="14"/>
                <w:szCs w:val="14"/>
                <w:lang w:eastAsia="en-US"/>
              </w:rPr>
            </w:pPr>
            <w:r w:rsidRPr="00240AAB">
              <w:rPr>
                <w:rFonts w:eastAsia="Calibri" w:cs="Arial"/>
                <w:sz w:val="14"/>
                <w:szCs w:val="14"/>
                <w:lang w:eastAsia="en-US"/>
              </w:rPr>
              <w:t xml:space="preserve">worker’s place of residence; </w:t>
            </w:r>
          </w:p>
          <w:p w14:paraId="3A834256" w14:textId="77777777" w:rsidR="006C1EA0" w:rsidRPr="00240AAB" w:rsidRDefault="006C1EA0" w:rsidP="00F839DB">
            <w:pPr>
              <w:pStyle w:val="ListParagraph"/>
              <w:numPr>
                <w:ilvl w:val="0"/>
                <w:numId w:val="248"/>
              </w:numPr>
              <w:spacing w:after="60"/>
              <w:contextualSpacing/>
              <w:rPr>
                <w:rFonts w:eastAsia="Calibri" w:cs="Arial"/>
                <w:sz w:val="14"/>
                <w:szCs w:val="14"/>
                <w:lang w:eastAsia="en-US"/>
              </w:rPr>
            </w:pPr>
            <w:r w:rsidRPr="00240AAB">
              <w:rPr>
                <w:rFonts w:eastAsia="Calibri" w:cs="Arial"/>
                <w:sz w:val="14"/>
                <w:szCs w:val="14"/>
                <w:lang w:eastAsia="en-US"/>
              </w:rPr>
              <w:t xml:space="preserve">any suitable duties for which worker has received rehabilitation training; </w:t>
            </w:r>
          </w:p>
          <w:p w14:paraId="5894AB51" w14:textId="77777777" w:rsidR="006C1EA0" w:rsidRPr="00240AAB" w:rsidRDefault="006C1EA0" w:rsidP="00F839DB">
            <w:pPr>
              <w:pStyle w:val="ListParagraph"/>
              <w:numPr>
                <w:ilvl w:val="0"/>
                <w:numId w:val="248"/>
              </w:numPr>
              <w:spacing w:after="60"/>
              <w:contextualSpacing/>
              <w:rPr>
                <w:rFonts w:eastAsia="Calibri" w:cs="Arial"/>
                <w:sz w:val="14"/>
                <w:szCs w:val="14"/>
                <w:lang w:eastAsia="en-US"/>
              </w:rPr>
            </w:pPr>
            <w:r w:rsidRPr="00240AAB">
              <w:rPr>
                <w:rFonts w:eastAsia="Calibri" w:cs="Arial"/>
                <w:sz w:val="14"/>
                <w:szCs w:val="14"/>
                <w:lang w:eastAsia="en-US"/>
              </w:rPr>
              <w:t xml:space="preserve">and any other relevant circumstances. </w:t>
            </w:r>
          </w:p>
          <w:p w14:paraId="5A7D269B" w14:textId="77777777" w:rsidR="006C1EA0" w:rsidRPr="00240AAB" w:rsidRDefault="006C1EA0" w:rsidP="00F839DB">
            <w:pPr>
              <w:pStyle w:val="ListParagraph"/>
              <w:numPr>
                <w:ilvl w:val="0"/>
                <w:numId w:val="248"/>
              </w:numPr>
              <w:spacing w:after="60"/>
              <w:contextualSpacing/>
              <w:rPr>
                <w:rFonts w:eastAsia="Calibri" w:cs="Arial"/>
                <w:sz w:val="14"/>
                <w:szCs w:val="14"/>
                <w:lang w:eastAsia="en-US"/>
              </w:rPr>
            </w:pPr>
            <w:r w:rsidRPr="00240AAB">
              <w:rPr>
                <w:rFonts w:eastAsia="Calibri" w:cs="Arial"/>
                <w:sz w:val="14"/>
                <w:szCs w:val="14"/>
                <w:lang w:eastAsia="en-US"/>
              </w:rPr>
              <w:t>Suitable alternative duties specifically exclude:</w:t>
            </w:r>
          </w:p>
          <w:p w14:paraId="0E3EDC88" w14:textId="77777777" w:rsidR="006C1EA0" w:rsidRPr="00240AAB" w:rsidRDefault="006C1EA0" w:rsidP="00F839DB">
            <w:pPr>
              <w:pStyle w:val="ListParagraph"/>
              <w:numPr>
                <w:ilvl w:val="0"/>
                <w:numId w:val="539"/>
              </w:numPr>
              <w:spacing w:after="60"/>
              <w:contextualSpacing/>
              <w:rPr>
                <w:rFonts w:eastAsia="Calibri" w:cs="Arial"/>
                <w:sz w:val="14"/>
                <w:szCs w:val="14"/>
                <w:lang w:eastAsia="en-US"/>
              </w:rPr>
            </w:pPr>
            <w:r w:rsidRPr="00240AAB">
              <w:rPr>
                <w:rFonts w:eastAsia="Calibri" w:cs="Arial"/>
                <w:sz w:val="14"/>
                <w:szCs w:val="14"/>
                <w:lang w:eastAsia="en-US"/>
              </w:rPr>
              <w:t xml:space="preserve">duties that are merely of a token nature or do not involve useful work having regard to the employer’s trade or business; or </w:t>
            </w:r>
          </w:p>
          <w:p w14:paraId="1C9F072E" w14:textId="2A04CE1D" w:rsidR="006C1EA0" w:rsidRPr="00240AAB" w:rsidRDefault="006C1EA0" w:rsidP="00F839DB">
            <w:pPr>
              <w:pStyle w:val="ListParagraph"/>
              <w:numPr>
                <w:ilvl w:val="0"/>
                <w:numId w:val="539"/>
              </w:numPr>
              <w:spacing w:after="60"/>
              <w:contextualSpacing/>
              <w:rPr>
                <w:rFonts w:eastAsia="Calibri" w:cs="Arial"/>
                <w:sz w:val="14"/>
                <w:szCs w:val="14"/>
                <w:lang w:eastAsia="en-US"/>
              </w:rPr>
            </w:pPr>
            <w:r w:rsidRPr="00240AAB">
              <w:rPr>
                <w:rFonts w:eastAsia="Calibri" w:cs="Arial"/>
                <w:sz w:val="14"/>
                <w:szCs w:val="14"/>
                <w:lang w:eastAsia="en-US"/>
              </w:rPr>
              <w:t xml:space="preserve">duties that are demeaning in nature having regard to the worker’s incapacity, pre-injury employment, age, education, skills and work experience and to the worker’s other employment prospects </w:t>
            </w:r>
            <w:r w:rsidR="00B1153D">
              <w:rPr>
                <w:rFonts w:eastAsia="Calibri" w:cs="Arial"/>
                <w:sz w:val="14"/>
                <w:szCs w:val="14"/>
                <w:lang w:eastAsia="en-US"/>
              </w:rPr>
              <w:t>—</w:t>
            </w:r>
            <w:hyperlink r:id="rId1733" w:history="1">
              <w:r w:rsidR="00B1153D">
                <w:rPr>
                  <w:rFonts w:eastAsia="Calibri" w:cs="Arial"/>
                  <w:color w:val="0000FF"/>
                  <w:sz w:val="14"/>
                  <w:szCs w:val="14"/>
                  <w:u w:val="single"/>
                  <w:lang w:eastAsia="en-US"/>
                </w:rPr>
                <w:t>s143M(5)</w:t>
              </w:r>
            </w:hyperlink>
            <w:r w:rsidRPr="00240AAB">
              <w:rPr>
                <w:rFonts w:eastAsia="Calibri" w:cs="Arial"/>
                <w:sz w:val="14"/>
                <w:szCs w:val="14"/>
                <w:lang w:eastAsia="en-US"/>
              </w:rPr>
              <w:t>)</w:t>
            </w:r>
            <w:r w:rsidR="003D2FCB">
              <w:rPr>
                <w:rFonts w:eastAsia="Calibri" w:cs="Arial"/>
                <w:sz w:val="14"/>
                <w:szCs w:val="14"/>
                <w:lang w:eastAsia="en-US"/>
              </w:rPr>
              <w:t>.</w:t>
            </w:r>
          </w:p>
        </w:tc>
        <w:tc>
          <w:tcPr>
            <w:tcW w:w="2491" w:type="dxa"/>
            <w:tcMar>
              <w:top w:w="80" w:type="dxa"/>
              <w:left w:w="80" w:type="dxa"/>
              <w:bottom w:w="80" w:type="dxa"/>
              <w:right w:w="80" w:type="dxa"/>
            </w:tcMar>
          </w:tcPr>
          <w:p w14:paraId="1BE324EA" w14:textId="3EA4879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lastRenderedPageBreak/>
              <w:t>No</w:t>
            </w:r>
          </w:p>
        </w:tc>
        <w:tc>
          <w:tcPr>
            <w:tcW w:w="2735" w:type="dxa"/>
            <w:tcMar>
              <w:top w:w="80" w:type="dxa"/>
              <w:left w:w="80" w:type="dxa"/>
              <w:bottom w:w="80" w:type="dxa"/>
              <w:right w:w="80" w:type="dxa"/>
            </w:tcMar>
          </w:tcPr>
          <w:p w14:paraId="740BD722"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0549210D" w14:textId="21A6D61B"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For a period of 12 months commencing on the day on which the worker becomes totally or partially incapacitated by a workplace injury.</w:t>
            </w:r>
            <w:r w:rsidR="00DD0D68">
              <w:rPr>
                <w:rFonts w:cs="Arial"/>
                <w:color w:val="000000"/>
                <w:sz w:val="14"/>
                <w:szCs w:val="16"/>
                <w:lang w:val="en-GB"/>
              </w:rPr>
              <w:t xml:space="preserve"> </w:t>
            </w:r>
            <w:r w:rsidRPr="006C1EA0">
              <w:rPr>
                <w:rFonts w:cs="Arial"/>
                <w:color w:val="000000"/>
                <w:sz w:val="14"/>
                <w:szCs w:val="16"/>
                <w:lang w:val="en-GB"/>
              </w:rPr>
              <w:br/>
            </w:r>
            <w:r w:rsidRPr="006C1EA0">
              <w:rPr>
                <w:rFonts w:cs="Arial"/>
                <w:color w:val="000000"/>
                <w:sz w:val="14"/>
                <w:szCs w:val="16"/>
                <w:lang w:val="en-GB"/>
              </w:rPr>
              <w:lastRenderedPageBreak/>
              <w:t xml:space="preserve">— </w:t>
            </w:r>
            <w:hyperlink r:id="rId1734" w:history="1">
              <w:r w:rsidRPr="006C1EA0">
                <w:rPr>
                  <w:rFonts w:cs="Arial"/>
                  <w:color w:val="0000FF"/>
                  <w:sz w:val="14"/>
                  <w:szCs w:val="16"/>
                  <w:u w:val="single"/>
                  <w:lang w:val="en-GB"/>
                </w:rPr>
                <w:t>s143L(1)</w:t>
              </w:r>
            </w:hyperlink>
            <w:r w:rsidR="003D2FCB">
              <w:rPr>
                <w:rFonts w:cs="Arial"/>
                <w:color w:val="0000FF"/>
                <w:sz w:val="14"/>
                <w:szCs w:val="16"/>
                <w:u w:val="single"/>
                <w:lang w:val="en-GB"/>
              </w:rPr>
              <w:t>.</w:t>
            </w:r>
          </w:p>
        </w:tc>
        <w:tc>
          <w:tcPr>
            <w:tcW w:w="2734" w:type="dxa"/>
            <w:tcMar>
              <w:top w:w="80" w:type="dxa"/>
              <w:left w:w="80" w:type="dxa"/>
              <w:bottom w:w="80" w:type="dxa"/>
              <w:right w:w="80" w:type="dxa"/>
            </w:tcMar>
          </w:tcPr>
          <w:p w14:paraId="6185A033"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lastRenderedPageBreak/>
              <w:t xml:space="preserve">Yes </w:t>
            </w:r>
          </w:p>
          <w:p w14:paraId="5E5FB25F" w14:textId="42645FB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The employer does not have to hold the worker’s position open if: there is medical evidence indicating that it is highly improbable that the worker will be able to </w:t>
            </w:r>
            <w:r w:rsidRPr="006C1EA0">
              <w:rPr>
                <w:rFonts w:cs="Arial"/>
                <w:color w:val="000000"/>
                <w:sz w:val="14"/>
                <w:szCs w:val="16"/>
                <w:lang w:val="en-GB"/>
              </w:rPr>
              <w:lastRenderedPageBreak/>
              <w:t xml:space="preserve">perform the employment in respect of which the worker was engaged immediately before becoming incapacitated; or the work for which the worker was employed is no longer required to be performed — </w:t>
            </w:r>
            <w:hyperlink r:id="rId1735" w:history="1">
              <w:r w:rsidRPr="006C1EA0">
                <w:rPr>
                  <w:rFonts w:cs="Arial"/>
                  <w:color w:val="0000FF"/>
                  <w:sz w:val="14"/>
                  <w:szCs w:val="16"/>
                  <w:u w:val="single"/>
                  <w:lang w:val="en-GB"/>
                </w:rPr>
                <w:t>s143L(2)</w:t>
              </w:r>
            </w:hyperlink>
            <w:r w:rsidR="003D2FCB">
              <w:rPr>
                <w:rFonts w:cs="Arial"/>
                <w:color w:val="0000FF"/>
                <w:sz w:val="14"/>
                <w:szCs w:val="16"/>
                <w:u w:val="single"/>
                <w:lang w:val="en-GB"/>
              </w:rPr>
              <w:t>.</w:t>
            </w:r>
          </w:p>
        </w:tc>
        <w:tc>
          <w:tcPr>
            <w:tcW w:w="2735" w:type="dxa"/>
            <w:tcMar>
              <w:top w:w="80" w:type="dxa"/>
              <w:left w:w="80" w:type="dxa"/>
              <w:bottom w:w="80" w:type="dxa"/>
              <w:right w:w="80" w:type="dxa"/>
            </w:tcMar>
          </w:tcPr>
          <w:p w14:paraId="184ACB4B" w14:textId="48F279C8"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lastRenderedPageBreak/>
              <w:t>No</w:t>
            </w:r>
          </w:p>
        </w:tc>
      </w:tr>
      <w:tr w:rsidR="006C1EA0" w:rsidRPr="006C1EA0" w14:paraId="0316BBE4" w14:textId="77777777" w:rsidTr="00DF3396">
        <w:tc>
          <w:tcPr>
            <w:tcW w:w="1343" w:type="dxa"/>
            <w:shd w:val="clear" w:color="auto" w:fill="FFC9C9"/>
            <w:tcMar>
              <w:top w:w="80" w:type="dxa"/>
              <w:left w:w="80" w:type="dxa"/>
              <w:bottom w:w="80" w:type="dxa"/>
              <w:right w:w="80" w:type="dxa"/>
            </w:tcMar>
          </w:tcPr>
          <w:p w14:paraId="41D66993"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Northern Territory</w:t>
            </w:r>
          </w:p>
        </w:tc>
        <w:tc>
          <w:tcPr>
            <w:tcW w:w="2977" w:type="dxa"/>
            <w:shd w:val="clear" w:color="auto" w:fill="FFC9C9"/>
            <w:tcMar>
              <w:top w:w="80" w:type="dxa"/>
              <w:left w:w="80" w:type="dxa"/>
              <w:bottom w:w="80" w:type="dxa"/>
              <w:right w:w="80" w:type="dxa"/>
            </w:tcMar>
          </w:tcPr>
          <w:p w14:paraId="599D0AF6" w14:textId="4C97FA91" w:rsidR="006C1EA0" w:rsidRPr="005C5C26" w:rsidRDefault="00A7538C" w:rsidP="00292A53">
            <w:pPr>
              <w:spacing w:after="60"/>
              <w:rPr>
                <w:rFonts w:eastAsia="Calibri" w:cs="Arial"/>
                <w:sz w:val="14"/>
                <w:szCs w:val="14"/>
                <w:lang w:eastAsia="en-US"/>
              </w:rPr>
            </w:pPr>
            <w:hyperlink r:id="rId1736" w:history="1">
              <w:r w:rsidR="006C1EA0" w:rsidRPr="001E0A0C">
                <w:rPr>
                  <w:rStyle w:val="Hyperlink"/>
                  <w:rFonts w:eastAsia="Calibri" w:cs="Arial"/>
                  <w:sz w:val="14"/>
                  <w:szCs w:val="14"/>
                  <w:lang w:eastAsia="en-US"/>
                </w:rPr>
                <w:t>s75A(6)</w:t>
              </w:r>
            </w:hyperlink>
            <w:r w:rsidR="006C1EA0" w:rsidRPr="005C5C26">
              <w:rPr>
                <w:rFonts w:eastAsia="Calibri" w:cs="Arial"/>
                <w:sz w:val="14"/>
                <w:szCs w:val="14"/>
                <w:lang w:eastAsia="en-US"/>
              </w:rPr>
              <w:t xml:space="preserve"> </w:t>
            </w:r>
            <w:r w:rsidR="001E0A0C" w:rsidRPr="00016069">
              <w:rPr>
                <w:i/>
                <w:sz w:val="14"/>
              </w:rPr>
              <w:t>Return to Work Act</w:t>
            </w:r>
            <w:r w:rsidR="001E0A0C" w:rsidRPr="005C5C26">
              <w:rPr>
                <w:rFonts w:eastAsia="Calibri" w:cs="Arial"/>
                <w:sz w:val="14"/>
                <w:szCs w:val="14"/>
                <w:lang w:eastAsia="en-US"/>
              </w:rPr>
              <w:t xml:space="preserve"> </w:t>
            </w:r>
            <w:r w:rsidR="006C1EA0" w:rsidRPr="005C5C26">
              <w:rPr>
                <w:rFonts w:eastAsia="Calibri" w:cs="Arial"/>
                <w:sz w:val="14"/>
                <w:szCs w:val="14"/>
                <w:lang w:eastAsia="en-US"/>
              </w:rPr>
              <w:t>— Employment is suitable for a worker if it requires the worker to perform work for which the worker is fit as specified in the workers statement of fitness for work, taking the following matters into account:</w:t>
            </w:r>
          </w:p>
          <w:p w14:paraId="78BA620B"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his or her age</w:t>
            </w:r>
          </w:p>
          <w:p w14:paraId="215048AB"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his or her experience, training and other existing skills</w:t>
            </w:r>
          </w:p>
          <w:p w14:paraId="20008796"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his or her potential for rehabilitation training</w:t>
            </w:r>
          </w:p>
          <w:p w14:paraId="4F5E5990"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his or her language skills</w:t>
            </w:r>
          </w:p>
          <w:p w14:paraId="719EBB82"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the impairments suffered by the worker; and</w:t>
            </w:r>
          </w:p>
          <w:p w14:paraId="718C4E07" w14:textId="15CB0CE2"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the provision of suitable employment includes the referral of the worker to the alternative employer incentive scheme developed by the Authority if the employer does not have other suitable employment available</w:t>
            </w:r>
            <w:r w:rsidR="003D2FCB">
              <w:rPr>
                <w:rFonts w:eastAsia="Calibri" w:cs="Arial"/>
                <w:sz w:val="14"/>
                <w:szCs w:val="14"/>
                <w:lang w:eastAsia="en-US"/>
              </w:rPr>
              <w:t>.</w:t>
            </w:r>
          </w:p>
        </w:tc>
        <w:tc>
          <w:tcPr>
            <w:tcW w:w="2491" w:type="dxa"/>
            <w:shd w:val="clear" w:color="auto" w:fill="FFC9C9"/>
            <w:tcMar>
              <w:top w:w="80" w:type="dxa"/>
              <w:left w:w="80" w:type="dxa"/>
              <w:bottom w:w="80" w:type="dxa"/>
              <w:right w:w="80" w:type="dxa"/>
            </w:tcMar>
          </w:tcPr>
          <w:p w14:paraId="2E9A60A6" w14:textId="1936C3E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737A8EC0" w14:textId="568E4F84" w:rsidR="006C1EA0" w:rsidRPr="006C1EA0" w:rsidRDefault="00B461BC" w:rsidP="00292A53">
            <w:pPr>
              <w:spacing w:after="60"/>
              <w:rPr>
                <w:rFonts w:cs="Arial"/>
                <w:color w:val="000000"/>
                <w:sz w:val="14"/>
                <w:szCs w:val="16"/>
                <w:lang w:val="en-GB"/>
              </w:rPr>
            </w:pPr>
            <w:r>
              <w:rPr>
                <w:rFonts w:cs="Arial"/>
                <w:color w:val="000000"/>
                <w:sz w:val="14"/>
                <w:szCs w:val="16"/>
                <w:lang w:val="en-GB"/>
              </w:rPr>
              <w:t>No</w:t>
            </w:r>
          </w:p>
          <w:p w14:paraId="3FC362C5" w14:textId="4D22873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But must not dismiss worker, if incapacitated, for six months after the injury — </w:t>
            </w:r>
            <w:hyperlink r:id="rId1737" w:history="1">
              <w:r w:rsidRPr="001E0A0C">
                <w:rPr>
                  <w:rStyle w:val="Hyperlink"/>
                  <w:rFonts w:cs="Arial"/>
                  <w:sz w:val="14"/>
                  <w:szCs w:val="16"/>
                  <w:lang w:val="en-GB"/>
                </w:rPr>
                <w:t>s65C</w:t>
              </w:r>
            </w:hyperlink>
          </w:p>
        </w:tc>
        <w:tc>
          <w:tcPr>
            <w:tcW w:w="2734" w:type="dxa"/>
            <w:shd w:val="clear" w:color="auto" w:fill="FFC9C9"/>
            <w:tcMar>
              <w:top w:w="80" w:type="dxa"/>
              <w:left w:w="80" w:type="dxa"/>
              <w:bottom w:w="80" w:type="dxa"/>
              <w:right w:w="80" w:type="dxa"/>
            </w:tcMar>
          </w:tcPr>
          <w:p w14:paraId="45B105B2" w14:textId="29E75AAC"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3334473F" w14:textId="341A979C"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If employer can show worker was dismissed on grounds of serious misconduct — </w:t>
            </w:r>
            <w:hyperlink r:id="rId1738" w:history="1">
              <w:r w:rsidRPr="001E0A0C">
                <w:rPr>
                  <w:rStyle w:val="Hyperlink"/>
                  <w:rFonts w:cs="Arial"/>
                  <w:sz w:val="14"/>
                  <w:szCs w:val="16"/>
                  <w:lang w:val="en-GB"/>
                </w:rPr>
                <w:t>s65C(3)</w:t>
              </w:r>
            </w:hyperlink>
          </w:p>
        </w:tc>
        <w:tc>
          <w:tcPr>
            <w:tcW w:w="2735" w:type="dxa"/>
            <w:shd w:val="clear" w:color="auto" w:fill="FFC9C9"/>
            <w:tcMar>
              <w:top w:w="80" w:type="dxa"/>
              <w:left w:w="80" w:type="dxa"/>
              <w:bottom w:w="80" w:type="dxa"/>
              <w:right w:w="80" w:type="dxa"/>
            </w:tcMar>
          </w:tcPr>
          <w:p w14:paraId="779DFD99" w14:textId="52C39A75"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r>
      <w:tr w:rsidR="006C1EA0" w:rsidRPr="006C1EA0" w14:paraId="0F056E54" w14:textId="77777777" w:rsidTr="00DF3396">
        <w:tc>
          <w:tcPr>
            <w:tcW w:w="1343" w:type="dxa"/>
            <w:tcMar>
              <w:top w:w="80" w:type="dxa"/>
              <w:left w:w="80" w:type="dxa"/>
              <w:bottom w:w="80" w:type="dxa"/>
              <w:right w:w="80" w:type="dxa"/>
            </w:tcMar>
          </w:tcPr>
          <w:p w14:paraId="1A32BD1F"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Australian Capital Territory</w:t>
            </w:r>
          </w:p>
        </w:tc>
        <w:tc>
          <w:tcPr>
            <w:tcW w:w="2977" w:type="dxa"/>
            <w:tcMar>
              <w:top w:w="80" w:type="dxa"/>
              <w:left w:w="80" w:type="dxa"/>
              <w:bottom w:w="80" w:type="dxa"/>
              <w:right w:w="80" w:type="dxa"/>
            </w:tcMar>
          </w:tcPr>
          <w:p w14:paraId="278E16F2" w14:textId="6692B224" w:rsidR="006C1EA0" w:rsidRPr="006C1EA0" w:rsidRDefault="00B461BC" w:rsidP="00292A53">
            <w:pPr>
              <w:spacing w:after="60"/>
              <w:rPr>
                <w:rFonts w:cs="Arial"/>
                <w:color w:val="000000"/>
                <w:sz w:val="14"/>
                <w:szCs w:val="16"/>
                <w:lang w:val="en-GB"/>
              </w:rPr>
            </w:pPr>
            <w:r>
              <w:rPr>
                <w:rFonts w:cs="Arial"/>
                <w:color w:val="000000"/>
                <w:sz w:val="14"/>
                <w:szCs w:val="16"/>
                <w:lang w:val="en-GB"/>
              </w:rPr>
              <w:t>Suitable duties are not defined</w:t>
            </w:r>
          </w:p>
        </w:tc>
        <w:tc>
          <w:tcPr>
            <w:tcW w:w="2491" w:type="dxa"/>
            <w:tcMar>
              <w:top w:w="80" w:type="dxa"/>
              <w:left w:w="80" w:type="dxa"/>
              <w:bottom w:w="80" w:type="dxa"/>
              <w:right w:w="80" w:type="dxa"/>
            </w:tcMar>
          </w:tcPr>
          <w:p w14:paraId="111313BD" w14:textId="171677CE"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Section 105 — within six months after the day the worker became </w:t>
            </w:r>
            <w:r w:rsidR="00B461BC">
              <w:rPr>
                <w:rFonts w:cs="Arial"/>
                <w:color w:val="000000"/>
                <w:sz w:val="14"/>
                <w:szCs w:val="16"/>
                <w:lang w:val="en-GB"/>
              </w:rPr>
              <w:t>entitled to weekly compensation</w:t>
            </w:r>
          </w:p>
        </w:tc>
        <w:tc>
          <w:tcPr>
            <w:tcW w:w="2735" w:type="dxa"/>
            <w:tcMar>
              <w:top w:w="80" w:type="dxa"/>
              <w:left w:w="80" w:type="dxa"/>
              <w:bottom w:w="80" w:type="dxa"/>
              <w:right w:w="80" w:type="dxa"/>
            </w:tcMar>
          </w:tcPr>
          <w:p w14:paraId="23E8FAA0" w14:textId="7C3921F9"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The employer has an obligation to provide duties for up to six months (</w:t>
            </w:r>
            <w:hyperlink r:id="rId1739" w:history="1">
              <w:r w:rsidRPr="001E0A0C">
                <w:rPr>
                  <w:rStyle w:val="Hyperlink"/>
                  <w:rFonts w:cs="Arial"/>
                  <w:sz w:val="14"/>
                  <w:szCs w:val="16"/>
                  <w:lang w:val="en-GB"/>
                </w:rPr>
                <w:t>s105</w:t>
              </w:r>
            </w:hyperlink>
            <w:r w:rsidRPr="006C1EA0">
              <w:rPr>
                <w:rFonts w:cs="Arial"/>
                <w:color w:val="000000"/>
                <w:sz w:val="14"/>
                <w:szCs w:val="16"/>
                <w:lang w:val="en-GB"/>
              </w:rPr>
              <w:t xml:space="preserve"> </w:t>
            </w:r>
            <w:r w:rsidRPr="00D41D16">
              <w:rPr>
                <w:rFonts w:cs="Arial"/>
                <w:i/>
                <w:color w:val="000000"/>
                <w:sz w:val="14"/>
                <w:szCs w:val="16"/>
                <w:lang w:val="en-GB"/>
              </w:rPr>
              <w:t>Workers’ Compensation Act 1951</w:t>
            </w:r>
            <w:r w:rsidR="00B461BC">
              <w:rPr>
                <w:rFonts w:cs="Arial"/>
                <w:color w:val="000000"/>
                <w:sz w:val="14"/>
                <w:szCs w:val="16"/>
                <w:lang w:val="en-GB"/>
              </w:rPr>
              <w:t>)</w:t>
            </w:r>
          </w:p>
        </w:tc>
        <w:tc>
          <w:tcPr>
            <w:tcW w:w="2734" w:type="dxa"/>
            <w:tcMar>
              <w:top w:w="80" w:type="dxa"/>
              <w:left w:w="80" w:type="dxa"/>
              <w:bottom w:w="80" w:type="dxa"/>
              <w:right w:w="80" w:type="dxa"/>
            </w:tcMar>
          </w:tcPr>
          <w:p w14:paraId="3BE3921C" w14:textId="060CFABF"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The employer does not have an obligation to provide duties if — </w:t>
            </w:r>
            <w:hyperlink r:id="rId1740" w:history="1">
              <w:r w:rsidRPr="001E0A0C">
                <w:rPr>
                  <w:rStyle w:val="Hyperlink"/>
                  <w:rFonts w:cs="Arial"/>
                  <w:sz w:val="14"/>
                  <w:szCs w:val="16"/>
                  <w:lang w:val="en-GB"/>
                </w:rPr>
                <w:t>s106(4)</w:t>
              </w:r>
            </w:hyperlink>
            <w:r w:rsidRPr="006C1EA0">
              <w:rPr>
                <w:rFonts w:cs="Arial"/>
                <w:color w:val="000000"/>
                <w:sz w:val="14"/>
                <w:szCs w:val="16"/>
                <w:lang w:val="en-GB"/>
              </w:rPr>
              <w:t xml:space="preserve"> </w:t>
            </w:r>
            <w:r w:rsidRPr="00D41D16">
              <w:rPr>
                <w:rFonts w:cs="Arial"/>
                <w:i/>
                <w:color w:val="000000"/>
                <w:sz w:val="14"/>
                <w:szCs w:val="16"/>
                <w:lang w:val="en-GB"/>
              </w:rPr>
              <w:t>Workers’ Compensation Act 1951</w:t>
            </w:r>
            <w:r w:rsidRPr="006C1EA0">
              <w:rPr>
                <w:rFonts w:cs="Arial"/>
                <w:color w:val="000000"/>
                <w:sz w:val="14"/>
                <w:szCs w:val="16"/>
                <w:lang w:val="en-GB"/>
              </w:rPr>
              <w:t>):</w:t>
            </w:r>
          </w:p>
          <w:p w14:paraId="246908AD" w14:textId="77777777" w:rsidR="006C1EA0" w:rsidRPr="006C1EA0" w:rsidRDefault="006C1EA0" w:rsidP="00F839DB">
            <w:pPr>
              <w:pStyle w:val="ListParagraph"/>
              <w:numPr>
                <w:ilvl w:val="0"/>
                <w:numId w:val="246"/>
              </w:numPr>
              <w:spacing w:after="60"/>
              <w:contextualSpacing/>
              <w:rPr>
                <w:rFonts w:eastAsia="Calibri" w:cs="Arial"/>
                <w:sz w:val="14"/>
                <w:szCs w:val="14"/>
                <w:lang w:eastAsia="en-US"/>
              </w:rPr>
            </w:pPr>
            <w:r w:rsidRPr="006C1EA0">
              <w:rPr>
                <w:rFonts w:eastAsia="Calibri" w:cs="Arial"/>
                <w:sz w:val="14"/>
                <w:szCs w:val="14"/>
                <w:lang w:eastAsia="en-US"/>
              </w:rPr>
              <w:t xml:space="preserve">worker leaves voluntarily after the injury </w:t>
            </w:r>
          </w:p>
          <w:p w14:paraId="6C7E99C8" w14:textId="77777777" w:rsidR="006C1EA0" w:rsidRPr="006C1EA0" w:rsidRDefault="006C1EA0" w:rsidP="00F839DB">
            <w:pPr>
              <w:pStyle w:val="ListParagraph"/>
              <w:numPr>
                <w:ilvl w:val="0"/>
                <w:numId w:val="246"/>
              </w:numPr>
              <w:spacing w:after="60"/>
              <w:contextualSpacing/>
              <w:rPr>
                <w:rFonts w:eastAsia="Calibri" w:cs="Arial"/>
                <w:sz w:val="14"/>
                <w:szCs w:val="14"/>
                <w:lang w:eastAsia="en-US"/>
              </w:rPr>
            </w:pPr>
            <w:r w:rsidRPr="006C1EA0">
              <w:rPr>
                <w:rFonts w:eastAsia="Calibri" w:cs="Arial"/>
                <w:sz w:val="14"/>
                <w:szCs w:val="14"/>
                <w:lang w:eastAsia="en-US"/>
              </w:rPr>
              <w:t xml:space="preserve">employer ends worker’s employment after the injury for a reason other than because the worker was not fit for employment because of the injury </w:t>
            </w:r>
          </w:p>
          <w:p w14:paraId="4FDE6BB1" w14:textId="77777777" w:rsidR="006C1EA0" w:rsidRPr="006C1EA0" w:rsidRDefault="006C1EA0" w:rsidP="00F839DB">
            <w:pPr>
              <w:pStyle w:val="ListParagraph"/>
              <w:numPr>
                <w:ilvl w:val="0"/>
                <w:numId w:val="246"/>
              </w:numPr>
              <w:spacing w:after="60"/>
              <w:contextualSpacing/>
              <w:rPr>
                <w:rFonts w:eastAsia="Calibri" w:cs="Arial"/>
                <w:sz w:val="14"/>
                <w:szCs w:val="14"/>
                <w:lang w:eastAsia="en-US"/>
              </w:rPr>
            </w:pPr>
            <w:r w:rsidRPr="006C1EA0">
              <w:rPr>
                <w:rFonts w:eastAsia="Calibri" w:cs="Arial"/>
                <w:sz w:val="14"/>
                <w:szCs w:val="14"/>
                <w:lang w:eastAsia="en-US"/>
              </w:rPr>
              <w:lastRenderedPageBreak/>
              <w:t xml:space="preserve">the employer is a non business employer, and </w:t>
            </w:r>
          </w:p>
          <w:p w14:paraId="22D63DA5" w14:textId="77777777" w:rsidR="006C1EA0" w:rsidRPr="006C1EA0" w:rsidRDefault="006C1EA0" w:rsidP="00F839DB">
            <w:pPr>
              <w:pStyle w:val="ListParagraph"/>
              <w:numPr>
                <w:ilvl w:val="0"/>
                <w:numId w:val="246"/>
              </w:numPr>
              <w:spacing w:after="60"/>
              <w:contextualSpacing/>
              <w:rPr>
                <w:rFonts w:eastAsia="Calibri" w:cs="Arial"/>
                <w:sz w:val="14"/>
                <w:szCs w:val="14"/>
                <w:lang w:eastAsia="en-US"/>
              </w:rPr>
            </w:pPr>
            <w:r w:rsidRPr="006C1EA0">
              <w:rPr>
                <w:rFonts w:eastAsia="Calibri" w:cs="Arial"/>
                <w:sz w:val="14"/>
                <w:szCs w:val="14"/>
                <w:lang w:eastAsia="en-US"/>
              </w:rPr>
              <w:t>the employer cannot provide suitable employment.</w:t>
            </w:r>
          </w:p>
        </w:tc>
        <w:tc>
          <w:tcPr>
            <w:tcW w:w="2735" w:type="dxa"/>
            <w:tcMar>
              <w:top w:w="80" w:type="dxa"/>
              <w:left w:w="80" w:type="dxa"/>
              <w:bottom w:w="80" w:type="dxa"/>
              <w:right w:w="80" w:type="dxa"/>
            </w:tcMar>
          </w:tcPr>
          <w:p w14:paraId="10079C57" w14:textId="739CA24D"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lastRenderedPageBreak/>
              <w:t>Insurer must notify Minister prior to ceasing compensation payment for non-compliance with personal injury plan (</w:t>
            </w:r>
            <w:hyperlink r:id="rId1741" w:history="1">
              <w:r w:rsidRPr="001E0A0C">
                <w:rPr>
                  <w:rStyle w:val="Hyperlink"/>
                  <w:rFonts w:cs="Arial"/>
                  <w:sz w:val="14"/>
                  <w:szCs w:val="16"/>
                  <w:lang w:val="en-GB"/>
                </w:rPr>
                <w:t>s113</w:t>
              </w:r>
            </w:hyperlink>
            <w:r w:rsidRPr="006C1EA0">
              <w:rPr>
                <w:rFonts w:cs="Arial"/>
                <w:color w:val="000000"/>
                <w:sz w:val="14"/>
                <w:szCs w:val="16"/>
                <w:lang w:val="en-GB"/>
              </w:rPr>
              <w:t xml:space="preserve"> </w:t>
            </w:r>
            <w:r w:rsidRPr="00D41D16">
              <w:rPr>
                <w:rFonts w:cs="Arial"/>
                <w:i/>
                <w:color w:val="000000"/>
                <w:sz w:val="14"/>
                <w:szCs w:val="16"/>
                <w:lang w:val="en-GB"/>
              </w:rPr>
              <w:t>Workers’ Compensation Act 1951</w:t>
            </w:r>
            <w:r w:rsidRPr="006C1EA0">
              <w:rPr>
                <w:rFonts w:cs="Arial"/>
                <w:color w:val="000000"/>
                <w:sz w:val="14"/>
                <w:szCs w:val="16"/>
                <w:lang w:val="en-GB"/>
              </w:rPr>
              <w:t>). Employer should notify insurer prior to dismissing worker. Employers can be penalised for failure to provide suitable employment (</w:t>
            </w:r>
            <w:hyperlink r:id="rId1742" w:history="1">
              <w:r w:rsidRPr="001E0A0C">
                <w:rPr>
                  <w:rStyle w:val="Hyperlink"/>
                  <w:rFonts w:cs="Arial"/>
                  <w:sz w:val="14"/>
                  <w:szCs w:val="16"/>
                  <w:lang w:val="en-GB"/>
                </w:rPr>
                <w:t>s106</w:t>
              </w:r>
            </w:hyperlink>
            <w:r w:rsidRPr="006C1EA0">
              <w:rPr>
                <w:rFonts w:cs="Arial"/>
                <w:color w:val="000000"/>
                <w:sz w:val="14"/>
                <w:szCs w:val="16"/>
                <w:lang w:val="en-GB"/>
              </w:rPr>
              <w:t xml:space="preserve"> </w:t>
            </w:r>
            <w:r w:rsidRPr="00D41D16">
              <w:rPr>
                <w:rFonts w:cs="Arial"/>
                <w:i/>
                <w:color w:val="000000"/>
                <w:sz w:val="14"/>
                <w:szCs w:val="16"/>
                <w:lang w:val="en-GB"/>
              </w:rPr>
              <w:t>Workers’ Compensation Act 1951</w:t>
            </w:r>
            <w:r w:rsidRPr="006C1EA0">
              <w:rPr>
                <w:rFonts w:cs="Arial"/>
                <w:color w:val="000000"/>
                <w:sz w:val="14"/>
                <w:szCs w:val="16"/>
                <w:lang w:val="en-GB"/>
              </w:rPr>
              <w:t>).</w:t>
            </w:r>
          </w:p>
        </w:tc>
      </w:tr>
      <w:tr w:rsidR="006C1EA0" w:rsidRPr="006C1EA0" w14:paraId="6FB8AD39" w14:textId="77777777" w:rsidTr="00DF3396">
        <w:tc>
          <w:tcPr>
            <w:tcW w:w="1343" w:type="dxa"/>
            <w:shd w:val="clear" w:color="auto" w:fill="FFC9C9"/>
            <w:tcMar>
              <w:top w:w="80" w:type="dxa"/>
              <w:left w:w="80" w:type="dxa"/>
              <w:bottom w:w="80" w:type="dxa"/>
              <w:right w:w="80" w:type="dxa"/>
            </w:tcMar>
          </w:tcPr>
          <w:p w14:paraId="5E66533F"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C’wealth Comcare</w:t>
            </w:r>
          </w:p>
        </w:tc>
        <w:tc>
          <w:tcPr>
            <w:tcW w:w="2977" w:type="dxa"/>
            <w:shd w:val="clear" w:color="auto" w:fill="FFC9C9"/>
            <w:tcMar>
              <w:top w:w="80" w:type="dxa"/>
              <w:left w:w="80" w:type="dxa"/>
              <w:bottom w:w="80" w:type="dxa"/>
              <w:right w:w="80" w:type="dxa"/>
            </w:tcMar>
          </w:tcPr>
          <w:p w14:paraId="169483B6" w14:textId="53907FC5" w:rsidR="006C1EA0" w:rsidRPr="005C5C26" w:rsidRDefault="006C1EA0" w:rsidP="00292A53">
            <w:pPr>
              <w:spacing w:after="60"/>
              <w:contextualSpacing/>
              <w:rPr>
                <w:rFonts w:eastAsia="Calibri" w:cs="Arial"/>
                <w:sz w:val="14"/>
                <w:szCs w:val="14"/>
                <w:lang w:eastAsia="en-US"/>
              </w:rPr>
            </w:pPr>
            <w:r w:rsidRPr="005C5C26">
              <w:rPr>
                <w:rFonts w:eastAsia="Calibri" w:cs="Arial"/>
                <w:sz w:val="14"/>
                <w:szCs w:val="14"/>
                <w:lang w:eastAsia="en-US"/>
              </w:rPr>
              <w:t xml:space="preserve">Part I </w:t>
            </w:r>
            <w:r w:rsidR="00F358E7">
              <w:rPr>
                <w:rFonts w:eastAsia="Calibri" w:cs="Arial"/>
                <w:sz w:val="14"/>
                <w:szCs w:val="14"/>
                <w:lang w:eastAsia="en-US"/>
              </w:rPr>
              <w:t>—</w:t>
            </w:r>
            <w:r w:rsidR="00F358E7" w:rsidRPr="005C5C26">
              <w:rPr>
                <w:rFonts w:eastAsia="Calibri" w:cs="Arial"/>
                <w:sz w:val="14"/>
                <w:szCs w:val="14"/>
                <w:lang w:eastAsia="en-US"/>
              </w:rPr>
              <w:t xml:space="preserve"> </w:t>
            </w:r>
            <w:r w:rsidRPr="005C5C26">
              <w:rPr>
                <w:rFonts w:eastAsia="Calibri" w:cs="Arial"/>
                <w:sz w:val="14"/>
                <w:szCs w:val="14"/>
                <w:lang w:eastAsia="en-US"/>
              </w:rPr>
              <w:t xml:space="preserve">Preliminary, </w:t>
            </w:r>
            <w:hyperlink r:id="rId1743" w:history="1">
              <w:r w:rsidRPr="001B0E98">
                <w:rPr>
                  <w:rStyle w:val="Hyperlink"/>
                  <w:rFonts w:eastAsia="Calibri" w:cs="Arial"/>
                  <w:sz w:val="14"/>
                  <w:szCs w:val="14"/>
                  <w:lang w:eastAsia="en-US"/>
                </w:rPr>
                <w:t>Section 4</w:t>
              </w:r>
            </w:hyperlink>
            <w:r w:rsidRPr="005C5C26">
              <w:rPr>
                <w:rFonts w:eastAsia="Calibri" w:cs="Arial"/>
                <w:sz w:val="14"/>
                <w:szCs w:val="14"/>
                <w:lang w:eastAsia="en-US"/>
              </w:rPr>
              <w:t xml:space="preserve"> </w:t>
            </w:r>
            <w:r w:rsidR="00F358E7">
              <w:rPr>
                <w:rFonts w:eastAsia="Calibri" w:cs="Arial"/>
                <w:sz w:val="14"/>
                <w:szCs w:val="14"/>
                <w:lang w:eastAsia="en-US"/>
              </w:rPr>
              <w:t>—</w:t>
            </w:r>
            <w:r w:rsidR="00F358E7" w:rsidRPr="005C5C26">
              <w:rPr>
                <w:rFonts w:eastAsia="Calibri" w:cs="Arial"/>
                <w:sz w:val="14"/>
                <w:szCs w:val="14"/>
                <w:lang w:eastAsia="en-US"/>
              </w:rPr>
              <w:t xml:space="preserve"> </w:t>
            </w:r>
            <w:r w:rsidRPr="005C5C26">
              <w:rPr>
                <w:rFonts w:eastAsia="Calibri" w:cs="Arial"/>
                <w:sz w:val="14"/>
                <w:szCs w:val="14"/>
                <w:lang w:eastAsia="en-US"/>
              </w:rPr>
              <w:t>Interpretation s(1)</w:t>
            </w:r>
            <w:r w:rsidR="001B0E98">
              <w:rPr>
                <w:rFonts w:eastAsia="Calibri" w:cs="Arial"/>
                <w:sz w:val="14"/>
                <w:szCs w:val="14"/>
                <w:lang w:eastAsia="en-US"/>
              </w:rPr>
              <w:t xml:space="preserve">, </w:t>
            </w:r>
            <w:r w:rsidR="001B0E98" w:rsidRPr="00016069">
              <w:rPr>
                <w:i/>
                <w:sz w:val="14"/>
              </w:rPr>
              <w:t>Safety, Rehabilitation and Compensation Act 1988</w:t>
            </w:r>
          </w:p>
          <w:p w14:paraId="5A8D9F34" w14:textId="77777777" w:rsidR="006C1EA0" w:rsidRPr="005C5C26" w:rsidRDefault="006C1EA0" w:rsidP="00292A53">
            <w:pPr>
              <w:spacing w:after="60"/>
              <w:contextualSpacing/>
              <w:rPr>
                <w:rFonts w:eastAsia="Calibri" w:cs="Arial"/>
                <w:sz w:val="14"/>
                <w:szCs w:val="14"/>
                <w:lang w:eastAsia="en-US"/>
              </w:rPr>
            </w:pPr>
            <w:r w:rsidRPr="005C5C26">
              <w:rPr>
                <w:rFonts w:eastAsia="Calibri" w:cs="Arial"/>
                <w:sz w:val="14"/>
                <w:szCs w:val="14"/>
                <w:lang w:eastAsia="en-US"/>
              </w:rPr>
              <w:t>Suitable employment, in relation to an employee who has suffered an injury in respect of which compensation is payable under this s4 of the SRC Act, means:</w:t>
            </w:r>
          </w:p>
          <w:p w14:paraId="06216FAD" w14:textId="77777777" w:rsidR="006C1EA0" w:rsidRPr="006C1EA0" w:rsidRDefault="006C1EA0" w:rsidP="00F839DB">
            <w:pPr>
              <w:pStyle w:val="Tableabc7pt"/>
              <w:numPr>
                <w:ilvl w:val="0"/>
                <w:numId w:val="435"/>
              </w:numPr>
              <w:spacing w:before="0" w:after="60"/>
              <w:rPr>
                <w:rFonts w:eastAsia="Calibri"/>
                <w:lang w:eastAsia="en-US"/>
              </w:rPr>
            </w:pPr>
            <w:r w:rsidRPr="006C1EA0">
              <w:rPr>
                <w:rFonts w:eastAsia="Calibri"/>
                <w:lang w:eastAsia="en-US"/>
              </w:rPr>
              <w:t>in the case of an employee who was a permanent employee of the Commonwealth or a licensee on the day on which he or she was injured and who continues to be so employed — employment by the Commonwealth or the licensed corporation, as the case may be in work for which the employee is suited having regard to:</w:t>
            </w:r>
          </w:p>
          <w:p w14:paraId="4BC5F4E6" w14:textId="77777777" w:rsidR="006C1EA0" w:rsidRPr="006C1EA0" w:rsidRDefault="006C1EA0" w:rsidP="00F839DB">
            <w:pPr>
              <w:pStyle w:val="ListParagraph"/>
              <w:numPr>
                <w:ilvl w:val="0"/>
                <w:numId w:val="241"/>
              </w:numPr>
              <w:spacing w:after="60"/>
              <w:ind w:left="627" w:hanging="284"/>
              <w:rPr>
                <w:rFonts w:cs="Arial"/>
                <w:color w:val="000000"/>
                <w:sz w:val="14"/>
                <w:szCs w:val="16"/>
                <w:lang w:val="en-GB"/>
              </w:rPr>
            </w:pPr>
            <w:r w:rsidRPr="006C1EA0">
              <w:rPr>
                <w:rFonts w:cs="Arial"/>
                <w:color w:val="000000"/>
                <w:sz w:val="14"/>
                <w:szCs w:val="16"/>
                <w:lang w:val="en-GB"/>
              </w:rPr>
              <w:t>the employee’s age, experience, training, language and other skills</w:t>
            </w:r>
          </w:p>
          <w:p w14:paraId="0450E61D" w14:textId="77777777" w:rsidR="006C1EA0" w:rsidRPr="006C1EA0" w:rsidRDefault="006C1EA0" w:rsidP="00F839DB">
            <w:pPr>
              <w:pStyle w:val="ListParagraph"/>
              <w:numPr>
                <w:ilvl w:val="0"/>
                <w:numId w:val="241"/>
              </w:numPr>
              <w:spacing w:after="60"/>
              <w:ind w:left="627" w:hanging="284"/>
              <w:rPr>
                <w:rFonts w:cs="Arial"/>
                <w:color w:val="000000"/>
                <w:sz w:val="14"/>
                <w:szCs w:val="16"/>
                <w:lang w:val="en-GB"/>
              </w:rPr>
            </w:pPr>
            <w:r w:rsidRPr="006C1EA0">
              <w:rPr>
                <w:rFonts w:cs="Arial"/>
                <w:color w:val="000000"/>
                <w:sz w:val="14"/>
                <w:szCs w:val="16"/>
                <w:lang w:val="en-GB"/>
              </w:rPr>
              <w:t>the employee’s suitability for rehabilitation or vocational retraining</w:t>
            </w:r>
          </w:p>
          <w:p w14:paraId="2E988FBF" w14:textId="77777777" w:rsidR="006C1EA0" w:rsidRPr="006C1EA0" w:rsidRDefault="006C1EA0" w:rsidP="00F839DB">
            <w:pPr>
              <w:pStyle w:val="ListParagraph"/>
              <w:numPr>
                <w:ilvl w:val="0"/>
                <w:numId w:val="241"/>
              </w:numPr>
              <w:spacing w:after="60"/>
              <w:ind w:left="627" w:hanging="284"/>
              <w:rPr>
                <w:rFonts w:cs="Arial"/>
                <w:color w:val="000000"/>
                <w:sz w:val="14"/>
                <w:szCs w:val="16"/>
                <w:lang w:val="en-GB"/>
              </w:rPr>
            </w:pPr>
            <w:r w:rsidRPr="006C1EA0">
              <w:rPr>
                <w:rFonts w:cs="Arial"/>
                <w:color w:val="000000"/>
                <w:sz w:val="14"/>
                <w:szCs w:val="16"/>
                <w:lang w:val="en-GB"/>
              </w:rPr>
              <w:t>where employment is available in a place that would require the employee to change his or her place of residence — whether it is reasonable to expect the employee to change his or her place of residence, and</w:t>
            </w:r>
          </w:p>
          <w:p w14:paraId="2DCF687B" w14:textId="77777777" w:rsidR="006C1EA0" w:rsidRPr="006C1EA0" w:rsidRDefault="006C1EA0" w:rsidP="00F839DB">
            <w:pPr>
              <w:pStyle w:val="ListParagraph"/>
              <w:numPr>
                <w:ilvl w:val="0"/>
                <w:numId w:val="241"/>
              </w:numPr>
              <w:spacing w:after="60"/>
              <w:ind w:left="627" w:hanging="284"/>
              <w:rPr>
                <w:rFonts w:cs="Arial"/>
                <w:color w:val="000000"/>
                <w:sz w:val="14"/>
                <w:szCs w:val="16"/>
                <w:lang w:val="en-GB"/>
              </w:rPr>
            </w:pPr>
            <w:r w:rsidRPr="006C1EA0">
              <w:rPr>
                <w:rFonts w:cs="Arial"/>
                <w:color w:val="000000"/>
                <w:sz w:val="14"/>
                <w:szCs w:val="16"/>
                <w:lang w:val="en-GB"/>
              </w:rPr>
              <w:t>any other relevant matter.</w:t>
            </w:r>
          </w:p>
          <w:p w14:paraId="08E80536" w14:textId="77777777" w:rsidR="006C1EA0" w:rsidRPr="006C1EA0" w:rsidRDefault="006C1EA0" w:rsidP="00F839DB">
            <w:pPr>
              <w:pStyle w:val="ListParagraph"/>
              <w:numPr>
                <w:ilvl w:val="0"/>
                <w:numId w:val="242"/>
              </w:numPr>
              <w:spacing w:after="60"/>
              <w:contextualSpacing/>
              <w:rPr>
                <w:rFonts w:eastAsia="Calibri" w:cs="Arial"/>
                <w:sz w:val="14"/>
                <w:szCs w:val="14"/>
                <w:lang w:eastAsia="en-US"/>
              </w:rPr>
            </w:pPr>
            <w:r w:rsidRPr="006C1EA0">
              <w:rPr>
                <w:rFonts w:eastAsia="Calibri" w:cs="Arial"/>
                <w:sz w:val="14"/>
                <w:szCs w:val="14"/>
                <w:lang w:eastAsia="en-US"/>
              </w:rPr>
              <w:t>in any other case — any employment (including self-employment), having regard to the matters specified in subparagraphs (a)(i), (ii), (iii) and (iv).</w:t>
            </w:r>
          </w:p>
          <w:p w14:paraId="481CA9E1" w14:textId="23C877E3"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Under </w:t>
            </w:r>
            <w:hyperlink r:id="rId1744" w:history="1">
              <w:r w:rsidRPr="001B0E98">
                <w:rPr>
                  <w:rStyle w:val="Hyperlink"/>
                  <w:rFonts w:cs="Arial"/>
                  <w:sz w:val="14"/>
                  <w:szCs w:val="16"/>
                  <w:lang w:val="en-GB"/>
                </w:rPr>
                <w:t>s40(1)</w:t>
              </w:r>
            </w:hyperlink>
            <w:r w:rsidRPr="006C1EA0">
              <w:rPr>
                <w:rFonts w:cs="Arial"/>
                <w:color w:val="000000"/>
                <w:sz w:val="14"/>
                <w:szCs w:val="16"/>
                <w:lang w:val="en-GB"/>
              </w:rPr>
              <w:t xml:space="preserve"> — Where an employee is undertaking, or has completed, a rehabilitation program, the relevant employer shall take all reasonable steps to provide the employee with suitable employment or to assist the employee to find such employment.</w:t>
            </w:r>
          </w:p>
        </w:tc>
        <w:tc>
          <w:tcPr>
            <w:tcW w:w="2491" w:type="dxa"/>
            <w:shd w:val="clear" w:color="auto" w:fill="FFC9C9"/>
            <w:tcMar>
              <w:top w:w="80" w:type="dxa"/>
              <w:left w:w="80" w:type="dxa"/>
              <w:bottom w:w="80" w:type="dxa"/>
              <w:right w:w="80" w:type="dxa"/>
            </w:tcMar>
          </w:tcPr>
          <w:p w14:paraId="0EADFE99" w14:textId="22369FA5" w:rsidR="006C1EA0" w:rsidRPr="006C1EA0" w:rsidRDefault="00B461BC" w:rsidP="00292A53">
            <w:pPr>
              <w:spacing w:after="60"/>
              <w:rPr>
                <w:rFonts w:cs="Arial"/>
                <w:color w:val="000000"/>
                <w:sz w:val="14"/>
                <w:szCs w:val="16"/>
                <w:lang w:val="en-GB"/>
              </w:rPr>
            </w:pPr>
            <w:r>
              <w:rPr>
                <w:rFonts w:cs="Arial"/>
                <w:color w:val="000000"/>
                <w:sz w:val="14"/>
                <w:szCs w:val="16"/>
                <w:lang w:val="en-GB"/>
              </w:rPr>
              <w:t>Not specified</w:t>
            </w:r>
          </w:p>
        </w:tc>
        <w:tc>
          <w:tcPr>
            <w:tcW w:w="2735" w:type="dxa"/>
            <w:shd w:val="clear" w:color="auto" w:fill="FFC9C9"/>
            <w:tcMar>
              <w:top w:w="80" w:type="dxa"/>
              <w:left w:w="80" w:type="dxa"/>
              <w:bottom w:w="80" w:type="dxa"/>
              <w:right w:w="80" w:type="dxa"/>
            </w:tcMar>
          </w:tcPr>
          <w:p w14:paraId="440CEF9A" w14:textId="217FB58C" w:rsidR="006C1EA0" w:rsidRPr="006C1EA0" w:rsidRDefault="00B461BC" w:rsidP="00292A53">
            <w:pPr>
              <w:spacing w:after="60"/>
              <w:rPr>
                <w:rFonts w:cs="Arial"/>
                <w:color w:val="000000"/>
                <w:sz w:val="14"/>
                <w:szCs w:val="16"/>
                <w:lang w:val="en-GB"/>
              </w:rPr>
            </w:pPr>
            <w:r>
              <w:rPr>
                <w:rFonts w:cs="Arial"/>
                <w:color w:val="000000"/>
                <w:sz w:val="14"/>
                <w:szCs w:val="16"/>
                <w:lang w:val="en-GB"/>
              </w:rPr>
              <w:t>Not specified</w:t>
            </w:r>
          </w:p>
        </w:tc>
        <w:tc>
          <w:tcPr>
            <w:tcW w:w="2734" w:type="dxa"/>
            <w:shd w:val="clear" w:color="auto" w:fill="FFC9C9"/>
            <w:tcMar>
              <w:top w:w="80" w:type="dxa"/>
              <w:left w:w="80" w:type="dxa"/>
              <w:bottom w:w="80" w:type="dxa"/>
              <w:right w:w="80" w:type="dxa"/>
            </w:tcMar>
          </w:tcPr>
          <w:p w14:paraId="3F50AD61" w14:textId="3CFE8319" w:rsidR="006C1EA0" w:rsidRPr="006C1EA0" w:rsidRDefault="006C1EA0" w:rsidP="00F839DB">
            <w:pPr>
              <w:pStyle w:val="ListParagraph"/>
              <w:numPr>
                <w:ilvl w:val="0"/>
                <w:numId w:val="245"/>
              </w:numPr>
              <w:spacing w:after="60"/>
              <w:contextualSpacing/>
              <w:rPr>
                <w:rFonts w:eastAsia="Calibri" w:cs="Arial"/>
                <w:sz w:val="14"/>
                <w:szCs w:val="14"/>
                <w:lang w:eastAsia="en-US"/>
              </w:rPr>
            </w:pPr>
            <w:r w:rsidRPr="006C1EA0">
              <w:rPr>
                <w:rFonts w:eastAsia="Calibri" w:cs="Arial"/>
                <w:sz w:val="14"/>
                <w:szCs w:val="14"/>
                <w:lang w:eastAsia="en-US"/>
              </w:rPr>
              <w:t xml:space="preserve">The </w:t>
            </w:r>
            <w:r w:rsidRPr="006C1EA0">
              <w:rPr>
                <w:rFonts w:eastAsia="Calibri" w:cs="Arial"/>
                <w:i/>
                <w:sz w:val="14"/>
                <w:szCs w:val="14"/>
                <w:lang w:eastAsia="en-US"/>
              </w:rPr>
              <w:t>Guidelines for Rehabilitation Authorities 2012</w:t>
            </w:r>
            <w:r w:rsidRPr="006C1EA0">
              <w:rPr>
                <w:rFonts w:eastAsia="Calibri" w:cs="Arial"/>
                <w:sz w:val="14"/>
                <w:szCs w:val="14"/>
                <w:lang w:eastAsia="en-US"/>
              </w:rPr>
              <w:t xml:space="preserve"> </w:t>
            </w:r>
            <w:r w:rsidR="00F358E7">
              <w:rPr>
                <w:rFonts w:eastAsia="Calibri" w:cs="Arial"/>
                <w:sz w:val="14"/>
                <w:szCs w:val="14"/>
                <w:lang w:eastAsia="en-US"/>
              </w:rPr>
              <w:t>—</w:t>
            </w:r>
            <w:r w:rsidR="00F358E7" w:rsidRPr="006C1EA0">
              <w:rPr>
                <w:rFonts w:eastAsia="Calibri" w:cs="Arial"/>
                <w:sz w:val="14"/>
                <w:szCs w:val="14"/>
                <w:lang w:eastAsia="en-US"/>
              </w:rPr>
              <w:t xml:space="preserve"> </w:t>
            </w:r>
            <w:r w:rsidRPr="006C1EA0">
              <w:rPr>
                <w:rFonts w:eastAsia="Calibri" w:cs="Arial"/>
                <w:sz w:val="14"/>
                <w:szCs w:val="14"/>
                <w:lang w:eastAsia="en-US"/>
              </w:rPr>
              <w:t>see paragraph 15.2.</w:t>
            </w:r>
          </w:p>
          <w:p w14:paraId="15183231" w14:textId="065AC06C" w:rsidR="006C1EA0" w:rsidRPr="006C1EA0" w:rsidRDefault="006C1EA0" w:rsidP="00F839DB">
            <w:pPr>
              <w:pStyle w:val="ListParagraph"/>
              <w:numPr>
                <w:ilvl w:val="0"/>
                <w:numId w:val="244"/>
              </w:numPr>
              <w:spacing w:after="60"/>
              <w:contextualSpacing/>
              <w:rPr>
                <w:rFonts w:eastAsia="Calibri" w:cs="Arial"/>
                <w:sz w:val="14"/>
                <w:szCs w:val="14"/>
                <w:lang w:eastAsia="en-US"/>
              </w:rPr>
            </w:pPr>
            <w:r w:rsidRPr="006C1EA0">
              <w:rPr>
                <w:rFonts w:eastAsia="Calibri" w:cs="Arial"/>
                <w:sz w:val="14"/>
                <w:szCs w:val="14"/>
                <w:lang w:eastAsia="en-US"/>
              </w:rPr>
              <w:t xml:space="preserve">Note 2 states that </w:t>
            </w:r>
            <w:hyperlink r:id="rId1745" w:history="1">
              <w:r w:rsidRPr="001B0E98">
                <w:rPr>
                  <w:rStyle w:val="Hyperlink"/>
                  <w:rFonts w:eastAsia="Calibri" w:cs="Arial"/>
                  <w:sz w:val="14"/>
                  <w:szCs w:val="14"/>
                  <w:lang w:eastAsia="en-US"/>
                </w:rPr>
                <w:t>Section 40</w:t>
              </w:r>
            </w:hyperlink>
            <w:r w:rsidRPr="006C1EA0">
              <w:rPr>
                <w:rFonts w:eastAsia="Calibri" w:cs="Arial"/>
                <w:sz w:val="14"/>
                <w:szCs w:val="14"/>
                <w:lang w:eastAsia="en-US"/>
              </w:rPr>
              <w:t xml:space="preserve"> of the Act does not require the employer to provide the employee with, or assist the employee to obtain, suitable employment unless the employee is undertaking, or has undertaken, a rehabilitation program.</w:t>
            </w:r>
          </w:p>
          <w:p w14:paraId="5C4A2E02" w14:textId="77777777" w:rsidR="006C1EA0" w:rsidRPr="006C1EA0" w:rsidRDefault="006C1EA0" w:rsidP="00F839DB">
            <w:pPr>
              <w:pStyle w:val="ListParagraph"/>
              <w:numPr>
                <w:ilvl w:val="0"/>
                <w:numId w:val="243"/>
              </w:numPr>
              <w:spacing w:after="60"/>
              <w:contextualSpacing/>
              <w:rPr>
                <w:rFonts w:eastAsia="Calibri" w:cs="Arial"/>
                <w:sz w:val="14"/>
                <w:szCs w:val="14"/>
                <w:lang w:eastAsia="en-US"/>
              </w:rPr>
            </w:pPr>
            <w:r w:rsidRPr="006C1EA0">
              <w:rPr>
                <w:rFonts w:eastAsia="Calibri" w:cs="Arial"/>
                <w:sz w:val="14"/>
                <w:szCs w:val="14"/>
                <w:lang w:eastAsia="en-US"/>
              </w:rPr>
              <w:t>Note 3 states: where an employee unreasonably fails or refuses to undertake a rehabilitation program, the employer is not obliged to provide for or assist with suitable employment (this relates to employee non-compliance with rehabilitation).</w:t>
            </w:r>
          </w:p>
        </w:tc>
        <w:tc>
          <w:tcPr>
            <w:tcW w:w="2735" w:type="dxa"/>
            <w:shd w:val="clear" w:color="auto" w:fill="FFC9C9"/>
            <w:tcMar>
              <w:top w:w="80" w:type="dxa"/>
              <w:left w:w="80" w:type="dxa"/>
              <w:bottom w:w="80" w:type="dxa"/>
              <w:right w:w="80" w:type="dxa"/>
            </w:tcMar>
          </w:tcPr>
          <w:p w14:paraId="24D3E303" w14:textId="16E209FC" w:rsidR="006C1EA0" w:rsidRPr="006C1EA0" w:rsidRDefault="00B461BC" w:rsidP="00292A53">
            <w:pPr>
              <w:spacing w:after="60"/>
              <w:rPr>
                <w:rFonts w:cs="Arial"/>
                <w:color w:val="000000"/>
                <w:sz w:val="14"/>
                <w:szCs w:val="16"/>
                <w:lang w:val="en-GB"/>
              </w:rPr>
            </w:pPr>
            <w:r>
              <w:rPr>
                <w:rFonts w:cs="Arial"/>
                <w:color w:val="000000"/>
                <w:sz w:val="14"/>
                <w:szCs w:val="16"/>
                <w:lang w:val="en-GB"/>
              </w:rPr>
              <w:t>No requirements</w:t>
            </w:r>
          </w:p>
        </w:tc>
      </w:tr>
      <w:tr w:rsidR="006C1EA0" w:rsidRPr="006C1EA0" w14:paraId="03E55E2A" w14:textId="77777777" w:rsidTr="00DF3396">
        <w:tc>
          <w:tcPr>
            <w:tcW w:w="1343" w:type="dxa"/>
            <w:tcMar>
              <w:top w:w="80" w:type="dxa"/>
              <w:left w:w="80" w:type="dxa"/>
              <w:bottom w:w="80" w:type="dxa"/>
              <w:right w:w="80" w:type="dxa"/>
            </w:tcMar>
          </w:tcPr>
          <w:p w14:paraId="1ADA5A52"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C’wealth Seacare</w:t>
            </w:r>
          </w:p>
        </w:tc>
        <w:tc>
          <w:tcPr>
            <w:tcW w:w="2977" w:type="dxa"/>
            <w:tcMar>
              <w:top w:w="80" w:type="dxa"/>
              <w:left w:w="80" w:type="dxa"/>
              <w:bottom w:w="80" w:type="dxa"/>
              <w:right w:w="80" w:type="dxa"/>
            </w:tcMar>
          </w:tcPr>
          <w:p w14:paraId="45C7C3F2" w14:textId="3AA01046"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Suitable employment, in relation to an employee who has suffered an injury in </w:t>
            </w:r>
            <w:r w:rsidRPr="006C1EA0">
              <w:rPr>
                <w:rFonts w:cs="Arial"/>
                <w:color w:val="000000"/>
                <w:sz w:val="14"/>
                <w:szCs w:val="16"/>
                <w:lang w:val="en-GB"/>
              </w:rPr>
              <w:lastRenderedPageBreak/>
              <w:t xml:space="preserve">respect of which compensation is payable under this — </w:t>
            </w:r>
            <w:hyperlink r:id="rId1746" w:history="1">
              <w:r w:rsidRPr="00B32B40">
                <w:rPr>
                  <w:rStyle w:val="Hyperlink"/>
                  <w:rFonts w:cs="Arial"/>
                  <w:sz w:val="14"/>
                  <w:szCs w:val="16"/>
                  <w:lang w:val="en-GB"/>
                </w:rPr>
                <w:t>s3</w:t>
              </w:r>
            </w:hyperlink>
            <w:r w:rsidRPr="006C1EA0">
              <w:rPr>
                <w:rFonts w:cs="Arial"/>
                <w:color w:val="000000"/>
                <w:sz w:val="14"/>
                <w:szCs w:val="16"/>
                <w:lang w:val="en-GB"/>
              </w:rPr>
              <w:t xml:space="preserve"> of the </w:t>
            </w:r>
            <w:r w:rsidR="00B32B40" w:rsidRPr="00016069">
              <w:rPr>
                <w:i/>
                <w:sz w:val="14"/>
              </w:rPr>
              <w:t>Seafarers Rehabilitation and Compensation Act 1992</w:t>
            </w:r>
            <w:r w:rsidRPr="006C1EA0">
              <w:rPr>
                <w:rFonts w:cs="Arial"/>
                <w:color w:val="000000"/>
                <w:sz w:val="14"/>
                <w:szCs w:val="16"/>
                <w:lang w:val="en-GB"/>
              </w:rPr>
              <w:t>, means any employment (including self employment) for which the employee is suited having regard to:</w:t>
            </w:r>
          </w:p>
          <w:p w14:paraId="1BB4F1AF" w14:textId="77777777"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the employee’s age, experience, training, language and other skills; and</w:t>
            </w:r>
          </w:p>
          <w:p w14:paraId="07A88717" w14:textId="77777777"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the employee’s suitability for rehabilitation or vocational retraining; and</w:t>
            </w:r>
          </w:p>
          <w:p w14:paraId="67533FE4" w14:textId="77777777"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if the employment is available in a place that would require the employee to change his or her place of residence—whether it is reasonable to expect the employee to change his or her place of residence; and</w:t>
            </w:r>
          </w:p>
          <w:p w14:paraId="7FC6F30D" w14:textId="77777777"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any other relevant matter.</w:t>
            </w:r>
          </w:p>
          <w:p w14:paraId="0E674924" w14:textId="01EF2129"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 xml:space="preserve">Under </w:t>
            </w:r>
            <w:hyperlink r:id="rId1747" w:history="1">
              <w:r w:rsidRPr="00B32B40">
                <w:rPr>
                  <w:rStyle w:val="Hyperlink"/>
                  <w:rFonts w:cs="Arial"/>
                  <w:sz w:val="14"/>
                  <w:szCs w:val="16"/>
                  <w:lang w:val="en-GB"/>
                </w:rPr>
                <w:t>section 52</w:t>
              </w:r>
            </w:hyperlink>
            <w:r w:rsidRPr="006C1EA0">
              <w:rPr>
                <w:rFonts w:cs="Arial"/>
                <w:color w:val="000000"/>
                <w:sz w:val="14"/>
                <w:szCs w:val="16"/>
                <w:lang w:val="en-GB"/>
              </w:rPr>
              <w:t xml:space="preserve"> — If an employee is undertaking, or has completed, a rehabilitation program, his or her employer must take all reasonable steps to provide the employee with suitable employment, or to assist the employee to find such employment.</w:t>
            </w:r>
          </w:p>
        </w:tc>
        <w:tc>
          <w:tcPr>
            <w:tcW w:w="2491" w:type="dxa"/>
            <w:tcMar>
              <w:top w:w="80" w:type="dxa"/>
              <w:left w:w="80" w:type="dxa"/>
              <w:bottom w:w="80" w:type="dxa"/>
              <w:right w:w="80" w:type="dxa"/>
            </w:tcMar>
          </w:tcPr>
          <w:p w14:paraId="2B6D90AB" w14:textId="4179C52C" w:rsidR="006C1EA0" w:rsidRPr="006C1EA0" w:rsidRDefault="00B461BC" w:rsidP="00292A53">
            <w:pPr>
              <w:spacing w:after="60"/>
              <w:rPr>
                <w:rFonts w:cs="Arial"/>
                <w:color w:val="000000"/>
                <w:sz w:val="14"/>
                <w:szCs w:val="16"/>
                <w:lang w:val="en-GB"/>
              </w:rPr>
            </w:pPr>
            <w:r>
              <w:rPr>
                <w:rFonts w:cs="Arial"/>
                <w:color w:val="000000"/>
                <w:sz w:val="14"/>
                <w:szCs w:val="16"/>
                <w:lang w:val="en-GB"/>
              </w:rPr>
              <w:lastRenderedPageBreak/>
              <w:t>Not specified</w:t>
            </w:r>
          </w:p>
        </w:tc>
        <w:tc>
          <w:tcPr>
            <w:tcW w:w="2735" w:type="dxa"/>
            <w:tcMar>
              <w:top w:w="80" w:type="dxa"/>
              <w:left w:w="80" w:type="dxa"/>
              <w:bottom w:w="80" w:type="dxa"/>
              <w:right w:w="80" w:type="dxa"/>
            </w:tcMar>
          </w:tcPr>
          <w:p w14:paraId="2553B881" w14:textId="3060E6E2" w:rsidR="006C1EA0" w:rsidRPr="006C1EA0" w:rsidRDefault="00B461BC" w:rsidP="00292A53">
            <w:pPr>
              <w:spacing w:after="60"/>
              <w:rPr>
                <w:rFonts w:cs="Arial"/>
                <w:color w:val="000000"/>
                <w:sz w:val="14"/>
                <w:szCs w:val="16"/>
                <w:lang w:val="en-GB"/>
              </w:rPr>
            </w:pPr>
            <w:r>
              <w:rPr>
                <w:rFonts w:cs="Arial"/>
                <w:color w:val="000000"/>
                <w:sz w:val="14"/>
                <w:szCs w:val="16"/>
                <w:lang w:val="en-GB"/>
              </w:rPr>
              <w:t>Not specified</w:t>
            </w:r>
          </w:p>
        </w:tc>
        <w:tc>
          <w:tcPr>
            <w:tcW w:w="2734" w:type="dxa"/>
            <w:tcMar>
              <w:top w:w="80" w:type="dxa"/>
              <w:left w:w="80" w:type="dxa"/>
              <w:bottom w:w="80" w:type="dxa"/>
              <w:right w:w="80" w:type="dxa"/>
            </w:tcMar>
          </w:tcPr>
          <w:p w14:paraId="17D9F22D" w14:textId="1086419A"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tcMar>
              <w:top w:w="80" w:type="dxa"/>
              <w:left w:w="80" w:type="dxa"/>
              <w:bottom w:w="80" w:type="dxa"/>
              <w:right w:w="80" w:type="dxa"/>
            </w:tcMar>
          </w:tcPr>
          <w:p w14:paraId="1F2C5C80" w14:textId="003AB1FC"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r>
      <w:tr w:rsidR="006C1EA0" w:rsidRPr="006C1EA0" w14:paraId="260A67CC" w14:textId="77777777" w:rsidTr="00DF3396">
        <w:tc>
          <w:tcPr>
            <w:tcW w:w="1343" w:type="dxa"/>
            <w:shd w:val="clear" w:color="auto" w:fill="FFC9C9"/>
            <w:tcMar>
              <w:top w:w="80" w:type="dxa"/>
              <w:left w:w="80" w:type="dxa"/>
              <w:bottom w:w="80" w:type="dxa"/>
              <w:right w:w="80" w:type="dxa"/>
            </w:tcMar>
          </w:tcPr>
          <w:p w14:paraId="115A2590"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C’wealth DVA</w:t>
            </w:r>
          </w:p>
        </w:tc>
        <w:tc>
          <w:tcPr>
            <w:tcW w:w="2977" w:type="dxa"/>
            <w:shd w:val="clear" w:color="auto" w:fill="FFC9C9"/>
            <w:tcMar>
              <w:top w:w="80" w:type="dxa"/>
              <w:left w:w="80" w:type="dxa"/>
              <w:bottom w:w="80" w:type="dxa"/>
              <w:right w:w="80" w:type="dxa"/>
            </w:tcMar>
          </w:tcPr>
          <w:p w14:paraId="4A5FB08C" w14:textId="3D0401A0" w:rsidR="006C1EA0" w:rsidRPr="006C1EA0" w:rsidRDefault="00EA1126" w:rsidP="00292A53">
            <w:pPr>
              <w:spacing w:after="60"/>
              <w:contextualSpacing/>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DF35F2">
              <w:rPr>
                <w:rFonts w:cs="Arial"/>
                <w:color w:val="000000"/>
                <w:sz w:val="14"/>
                <w:szCs w:val="16"/>
                <w:lang w:val="en-GB"/>
              </w:rPr>
              <w:t>MRCA</w:t>
            </w:r>
            <w:r>
              <w:rPr>
                <w:rFonts w:cs="Arial"/>
                <w:color w:val="000000"/>
                <w:sz w:val="14"/>
                <w:szCs w:val="16"/>
                <w:lang w:val="en-GB"/>
              </w:rPr>
              <w:t>)</w:t>
            </w:r>
            <w:r w:rsidR="00DF35F2">
              <w:rPr>
                <w:rFonts w:cs="Arial"/>
                <w:color w:val="000000"/>
                <w:sz w:val="14"/>
                <w:szCs w:val="16"/>
                <w:lang w:val="en-GB"/>
              </w:rPr>
              <w:t xml:space="preserve"> </w:t>
            </w:r>
            <w:hyperlink r:id="rId1748" w:history="1">
              <w:r w:rsidR="00DF35F2" w:rsidRPr="00EA1126">
                <w:rPr>
                  <w:rStyle w:val="Hyperlink"/>
                  <w:rFonts w:cs="Arial"/>
                  <w:sz w:val="14"/>
                  <w:szCs w:val="16"/>
                  <w:lang w:val="en-GB"/>
                </w:rPr>
                <w:t>s5</w:t>
              </w:r>
            </w:hyperlink>
            <w:r w:rsidR="00DF35F2">
              <w:rPr>
                <w:rFonts w:cs="Arial"/>
                <w:color w:val="000000"/>
                <w:sz w:val="14"/>
                <w:szCs w:val="16"/>
                <w:lang w:val="en-GB"/>
              </w:rPr>
              <w:t xml:space="preserve"> — </w:t>
            </w:r>
            <w:r w:rsidR="006C1EA0" w:rsidRPr="006C1EA0">
              <w:rPr>
                <w:rFonts w:cs="Arial"/>
                <w:color w:val="000000"/>
                <w:sz w:val="14"/>
                <w:szCs w:val="16"/>
                <w:lang w:val="en-GB"/>
              </w:rPr>
              <w:t xml:space="preserve">Work for which the person is suited having regard to the following: </w:t>
            </w:r>
          </w:p>
          <w:p w14:paraId="5404BD48" w14:textId="77777777" w:rsidR="006C1EA0" w:rsidRPr="006C1EA0" w:rsidRDefault="006C1EA0" w:rsidP="00F839DB">
            <w:pPr>
              <w:pStyle w:val="ListParagraph"/>
              <w:numPr>
                <w:ilvl w:val="0"/>
                <w:numId w:val="239"/>
              </w:numPr>
              <w:spacing w:after="60"/>
              <w:contextualSpacing/>
              <w:rPr>
                <w:rFonts w:cs="Arial"/>
                <w:color w:val="000000"/>
                <w:sz w:val="14"/>
                <w:szCs w:val="16"/>
                <w:lang w:val="en-GB"/>
              </w:rPr>
            </w:pPr>
            <w:r w:rsidRPr="006C1EA0">
              <w:rPr>
                <w:rFonts w:cs="Arial"/>
                <w:color w:val="000000"/>
                <w:sz w:val="14"/>
                <w:szCs w:val="16"/>
                <w:lang w:val="en-GB"/>
              </w:rPr>
              <w:t xml:space="preserve">the person’s age, experience, training, language and other skills, </w:t>
            </w:r>
          </w:p>
          <w:p w14:paraId="54DE4580" w14:textId="77777777" w:rsidR="006C1EA0" w:rsidRPr="006C1EA0" w:rsidRDefault="006C1EA0" w:rsidP="00F839DB">
            <w:pPr>
              <w:pStyle w:val="ListParagraph"/>
              <w:numPr>
                <w:ilvl w:val="0"/>
                <w:numId w:val="239"/>
              </w:numPr>
              <w:spacing w:after="60"/>
              <w:contextualSpacing/>
              <w:rPr>
                <w:rFonts w:cs="Arial"/>
                <w:color w:val="000000"/>
                <w:sz w:val="14"/>
                <w:szCs w:val="16"/>
                <w:lang w:val="en-GB"/>
              </w:rPr>
            </w:pPr>
            <w:r w:rsidRPr="006C1EA0">
              <w:rPr>
                <w:rFonts w:cs="Arial"/>
                <w:color w:val="000000"/>
                <w:sz w:val="14"/>
                <w:szCs w:val="16"/>
                <w:lang w:val="en-GB"/>
              </w:rPr>
              <w:t xml:space="preserve">the person’s suitability for rehabilitation or vocational retraining, </w:t>
            </w:r>
          </w:p>
          <w:p w14:paraId="02CF5C27" w14:textId="77777777" w:rsidR="00DF35F2" w:rsidRDefault="006C1EA0" w:rsidP="00F839DB">
            <w:pPr>
              <w:pStyle w:val="ListParagraph"/>
              <w:numPr>
                <w:ilvl w:val="0"/>
                <w:numId w:val="239"/>
              </w:numPr>
              <w:spacing w:after="60"/>
              <w:contextualSpacing/>
              <w:rPr>
                <w:rFonts w:cs="Arial"/>
                <w:color w:val="000000"/>
                <w:sz w:val="14"/>
                <w:szCs w:val="16"/>
                <w:lang w:val="en-GB"/>
              </w:rPr>
            </w:pPr>
            <w:r w:rsidRPr="006C1EA0">
              <w:rPr>
                <w:rFonts w:cs="Arial"/>
                <w:color w:val="000000"/>
                <w:sz w:val="14"/>
                <w:szCs w:val="16"/>
                <w:lang w:val="en-GB"/>
              </w:rPr>
              <w:t xml:space="preserve">if work is available in a place that would require the person to change his or her place of residence — whether it is reasonable to expect the person to change his or </w:t>
            </w:r>
            <w:r w:rsidR="00DF35F2">
              <w:rPr>
                <w:rFonts w:cs="Arial"/>
                <w:color w:val="000000"/>
                <w:sz w:val="14"/>
                <w:szCs w:val="16"/>
                <w:lang w:val="en-GB"/>
              </w:rPr>
              <w:t xml:space="preserve">her place of residence, and </w:t>
            </w:r>
          </w:p>
          <w:p w14:paraId="22983719" w14:textId="77777777" w:rsidR="006C1EA0" w:rsidRDefault="006C1EA0" w:rsidP="00F839DB">
            <w:pPr>
              <w:pStyle w:val="ListParagraph"/>
              <w:numPr>
                <w:ilvl w:val="0"/>
                <w:numId w:val="239"/>
              </w:numPr>
              <w:spacing w:after="60"/>
              <w:contextualSpacing/>
              <w:rPr>
                <w:rFonts w:cs="Arial"/>
                <w:color w:val="000000"/>
                <w:sz w:val="14"/>
                <w:szCs w:val="16"/>
                <w:lang w:val="en-GB"/>
              </w:rPr>
            </w:pPr>
            <w:r w:rsidRPr="006C1EA0">
              <w:rPr>
                <w:rFonts w:cs="Arial"/>
                <w:color w:val="000000"/>
                <w:sz w:val="14"/>
                <w:szCs w:val="16"/>
                <w:lang w:val="en-GB"/>
              </w:rPr>
              <w:t>any other relevant matter.</w:t>
            </w:r>
          </w:p>
          <w:p w14:paraId="4311B3FE" w14:textId="77777777" w:rsidR="00DF35F2" w:rsidRDefault="00DF35F2" w:rsidP="00DF35F2">
            <w:pPr>
              <w:spacing w:after="60"/>
              <w:contextualSpacing/>
              <w:rPr>
                <w:rFonts w:cs="Arial"/>
                <w:color w:val="000000"/>
                <w:sz w:val="14"/>
                <w:szCs w:val="16"/>
                <w:lang w:val="en-GB"/>
              </w:rPr>
            </w:pPr>
          </w:p>
          <w:p w14:paraId="2ECD45A7" w14:textId="5F08C513" w:rsidR="00DF35F2" w:rsidRDefault="00EA1126" w:rsidP="00DF35F2">
            <w:pPr>
              <w:spacing w:after="60"/>
              <w:contextualSpacing/>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DF35F2">
              <w:rPr>
                <w:rFonts w:cs="Arial"/>
                <w:color w:val="000000"/>
                <w:sz w:val="14"/>
                <w:szCs w:val="16"/>
                <w:lang w:val="en-GB"/>
              </w:rPr>
              <w:t>DRCA</w:t>
            </w:r>
            <w:r>
              <w:rPr>
                <w:rFonts w:cs="Arial"/>
                <w:color w:val="000000"/>
                <w:sz w:val="14"/>
                <w:szCs w:val="16"/>
                <w:lang w:val="en-GB"/>
              </w:rPr>
              <w:t>)</w:t>
            </w:r>
            <w:r w:rsidR="00DF35F2">
              <w:rPr>
                <w:rFonts w:cs="Arial"/>
                <w:color w:val="000000"/>
                <w:sz w:val="14"/>
                <w:szCs w:val="16"/>
                <w:lang w:val="en-GB"/>
              </w:rPr>
              <w:t xml:space="preserve"> </w:t>
            </w:r>
            <w:hyperlink r:id="rId1749" w:history="1">
              <w:r w:rsidR="00DF35F2" w:rsidRPr="00EA1126">
                <w:rPr>
                  <w:rStyle w:val="Hyperlink"/>
                  <w:rFonts w:cs="Arial"/>
                  <w:sz w:val="14"/>
                  <w:szCs w:val="16"/>
                  <w:lang w:val="en-GB"/>
                </w:rPr>
                <w:t>s4</w:t>
              </w:r>
            </w:hyperlink>
            <w:r w:rsidR="00DF35F2">
              <w:rPr>
                <w:rFonts w:cs="Arial"/>
                <w:color w:val="000000"/>
                <w:sz w:val="14"/>
                <w:szCs w:val="16"/>
                <w:lang w:val="en-GB"/>
              </w:rPr>
              <w:t xml:space="preserve"> — Suitable employment, in relation to an employee who has suffered an injury in respect of which compensation is payable under this Act, means:</w:t>
            </w:r>
          </w:p>
          <w:p w14:paraId="65A44877" w14:textId="77777777" w:rsidR="00DF35F2" w:rsidRDefault="00DF35F2" w:rsidP="00F839DB">
            <w:pPr>
              <w:pStyle w:val="ListParagraph"/>
              <w:numPr>
                <w:ilvl w:val="0"/>
                <w:numId w:val="565"/>
              </w:numPr>
              <w:spacing w:after="60"/>
              <w:ind w:left="357" w:hanging="357"/>
              <w:contextualSpacing/>
              <w:rPr>
                <w:rFonts w:cs="Arial"/>
                <w:color w:val="000000"/>
                <w:sz w:val="14"/>
                <w:szCs w:val="16"/>
                <w:lang w:val="en-GB"/>
              </w:rPr>
            </w:pPr>
            <w:r>
              <w:rPr>
                <w:rFonts w:cs="Arial"/>
                <w:color w:val="000000"/>
                <w:sz w:val="14"/>
                <w:szCs w:val="16"/>
                <w:lang w:val="en-GB"/>
              </w:rPr>
              <w:t xml:space="preserve">in the case of an employee who was a </w:t>
            </w:r>
            <w:r>
              <w:rPr>
                <w:rFonts w:cs="Arial"/>
                <w:color w:val="000000"/>
                <w:sz w:val="14"/>
                <w:szCs w:val="16"/>
                <w:lang w:val="en-GB"/>
              </w:rPr>
              <w:lastRenderedPageBreak/>
              <w:t>permanent employee of the Commonwealth or a licensee on the day on which he or she was injured and who continues to be so employed — employment by the Commonwealth or the licensed corporation, as the case may be in work for which the employee is suited having regard to:</w:t>
            </w:r>
          </w:p>
          <w:p w14:paraId="5FFC301F" w14:textId="77777777" w:rsidR="00DF35F2" w:rsidRDefault="00DF35F2" w:rsidP="00F839DB">
            <w:pPr>
              <w:pStyle w:val="ListParagraph"/>
              <w:numPr>
                <w:ilvl w:val="0"/>
                <w:numId w:val="566"/>
              </w:numPr>
              <w:spacing w:after="60"/>
              <w:contextualSpacing/>
              <w:rPr>
                <w:rFonts w:cs="Arial"/>
                <w:color w:val="000000"/>
                <w:sz w:val="14"/>
                <w:szCs w:val="16"/>
                <w:lang w:val="en-GB"/>
              </w:rPr>
            </w:pPr>
            <w:r>
              <w:rPr>
                <w:rFonts w:cs="Arial"/>
                <w:color w:val="000000"/>
                <w:sz w:val="14"/>
                <w:szCs w:val="16"/>
                <w:lang w:val="en-GB"/>
              </w:rPr>
              <w:t>the employee’s age, experience, training, language and other skills;</w:t>
            </w:r>
          </w:p>
          <w:p w14:paraId="119C2DAC" w14:textId="77777777" w:rsidR="00DF35F2" w:rsidRDefault="00DF35F2" w:rsidP="00F839DB">
            <w:pPr>
              <w:pStyle w:val="ListParagraph"/>
              <w:numPr>
                <w:ilvl w:val="0"/>
                <w:numId w:val="566"/>
              </w:numPr>
              <w:spacing w:after="60"/>
              <w:contextualSpacing/>
              <w:rPr>
                <w:rFonts w:cs="Arial"/>
                <w:color w:val="000000"/>
                <w:sz w:val="14"/>
                <w:szCs w:val="16"/>
                <w:lang w:val="en-GB"/>
              </w:rPr>
            </w:pPr>
            <w:r>
              <w:rPr>
                <w:rFonts w:cs="Arial"/>
                <w:color w:val="000000"/>
                <w:sz w:val="14"/>
                <w:szCs w:val="16"/>
                <w:lang w:val="en-GB"/>
              </w:rPr>
              <w:t>the employee’s suitability for rehabilitation or vocational retraining;</w:t>
            </w:r>
          </w:p>
          <w:p w14:paraId="6CEA64C6" w14:textId="77777777" w:rsidR="00DF35F2" w:rsidRDefault="00DF35F2" w:rsidP="00F839DB">
            <w:pPr>
              <w:pStyle w:val="ListParagraph"/>
              <w:numPr>
                <w:ilvl w:val="0"/>
                <w:numId w:val="566"/>
              </w:numPr>
              <w:spacing w:after="60"/>
              <w:contextualSpacing/>
              <w:rPr>
                <w:rFonts w:cs="Arial"/>
                <w:color w:val="000000"/>
                <w:sz w:val="14"/>
                <w:szCs w:val="16"/>
                <w:lang w:val="en-GB"/>
              </w:rPr>
            </w:pPr>
            <w:r>
              <w:rPr>
                <w:rFonts w:cs="Arial"/>
                <w:color w:val="000000"/>
                <w:sz w:val="14"/>
                <w:szCs w:val="16"/>
                <w:lang w:val="en-GB"/>
              </w:rPr>
              <w:t>where employment is available in a place that would require the employee to change his or her place or residence — whether it is reasonable to expect the employee to change his or her place of residence; and</w:t>
            </w:r>
          </w:p>
          <w:p w14:paraId="7875E6DC" w14:textId="77777777" w:rsidR="00DF35F2" w:rsidRDefault="00DF35F2" w:rsidP="00F839DB">
            <w:pPr>
              <w:pStyle w:val="ListParagraph"/>
              <w:numPr>
                <w:ilvl w:val="0"/>
                <w:numId w:val="566"/>
              </w:numPr>
              <w:spacing w:after="60"/>
              <w:contextualSpacing/>
              <w:rPr>
                <w:rFonts w:cs="Arial"/>
                <w:color w:val="000000"/>
                <w:sz w:val="14"/>
                <w:szCs w:val="16"/>
                <w:lang w:val="en-GB"/>
              </w:rPr>
            </w:pPr>
            <w:r>
              <w:rPr>
                <w:rFonts w:cs="Arial"/>
                <w:color w:val="000000"/>
                <w:sz w:val="14"/>
                <w:szCs w:val="16"/>
                <w:lang w:val="en-GB"/>
              </w:rPr>
              <w:t>any other relevant matter; and</w:t>
            </w:r>
          </w:p>
          <w:p w14:paraId="6E1D313D" w14:textId="636B2EC1" w:rsidR="00DF35F2" w:rsidRPr="00DF35F2" w:rsidRDefault="00DF35F2" w:rsidP="00F839DB">
            <w:pPr>
              <w:pStyle w:val="ListParagraph"/>
              <w:numPr>
                <w:ilvl w:val="0"/>
                <w:numId w:val="565"/>
              </w:numPr>
              <w:spacing w:after="60"/>
              <w:ind w:left="357" w:hanging="357"/>
              <w:contextualSpacing/>
              <w:rPr>
                <w:rFonts w:cs="Arial"/>
                <w:color w:val="000000"/>
                <w:sz w:val="14"/>
                <w:szCs w:val="16"/>
                <w:lang w:val="en-GB"/>
              </w:rPr>
            </w:pPr>
            <w:r>
              <w:rPr>
                <w:rFonts w:cs="Arial"/>
                <w:color w:val="000000"/>
                <w:sz w:val="14"/>
                <w:szCs w:val="16"/>
                <w:lang w:val="en-GB"/>
              </w:rPr>
              <w:t>in any other case — any employment (including self-employment), having regard to the matters specified in subparagraphs (a)(i), (ii), (iii) and (iv).</w:t>
            </w:r>
          </w:p>
        </w:tc>
        <w:tc>
          <w:tcPr>
            <w:tcW w:w="2491" w:type="dxa"/>
            <w:shd w:val="clear" w:color="auto" w:fill="FFC9C9"/>
            <w:tcMar>
              <w:top w:w="80" w:type="dxa"/>
              <w:left w:w="80" w:type="dxa"/>
              <w:bottom w:w="80" w:type="dxa"/>
              <w:right w:w="80" w:type="dxa"/>
            </w:tcMar>
          </w:tcPr>
          <w:p w14:paraId="70F6E705" w14:textId="66CAC24C"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lastRenderedPageBreak/>
              <w:t>No</w:t>
            </w:r>
          </w:p>
        </w:tc>
        <w:tc>
          <w:tcPr>
            <w:tcW w:w="2735" w:type="dxa"/>
            <w:shd w:val="clear" w:color="auto" w:fill="FFC9C9"/>
            <w:tcMar>
              <w:top w:w="80" w:type="dxa"/>
              <w:left w:w="80" w:type="dxa"/>
              <w:bottom w:w="80" w:type="dxa"/>
              <w:right w:w="80" w:type="dxa"/>
            </w:tcMar>
          </w:tcPr>
          <w:p w14:paraId="4B09A061" w14:textId="50D8D31E"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No</w:t>
            </w:r>
          </w:p>
        </w:tc>
        <w:tc>
          <w:tcPr>
            <w:tcW w:w="2734" w:type="dxa"/>
            <w:shd w:val="clear" w:color="auto" w:fill="FFC9C9"/>
            <w:tcMar>
              <w:top w:w="80" w:type="dxa"/>
              <w:left w:w="80" w:type="dxa"/>
              <w:bottom w:w="80" w:type="dxa"/>
              <w:right w:w="80" w:type="dxa"/>
            </w:tcMar>
          </w:tcPr>
          <w:p w14:paraId="4B5A82ED" w14:textId="6259C0B4"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6A5DA832" w14:textId="28429495"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No</w:t>
            </w:r>
          </w:p>
        </w:tc>
      </w:tr>
      <w:tr w:rsidR="006C1EA0" w:rsidRPr="006C1EA0" w14:paraId="5AE973DC" w14:textId="77777777" w:rsidTr="00DF3396">
        <w:tc>
          <w:tcPr>
            <w:tcW w:w="1343" w:type="dxa"/>
            <w:tcMar>
              <w:top w:w="80" w:type="dxa"/>
              <w:left w:w="80" w:type="dxa"/>
              <w:bottom w:w="80" w:type="dxa"/>
              <w:right w:w="80" w:type="dxa"/>
            </w:tcMar>
          </w:tcPr>
          <w:p w14:paraId="783CCA95" w14:textId="5E268406"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New Zealand</w:t>
            </w:r>
          </w:p>
        </w:tc>
        <w:tc>
          <w:tcPr>
            <w:tcW w:w="2977" w:type="dxa"/>
            <w:tcMar>
              <w:top w:w="80" w:type="dxa"/>
              <w:left w:w="80" w:type="dxa"/>
              <w:bottom w:w="80" w:type="dxa"/>
              <w:right w:w="80" w:type="dxa"/>
            </w:tcMar>
          </w:tcPr>
          <w:p w14:paraId="4F34AF4A" w14:textId="77777777"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Providing the injured employee with a working environment in which they can perform duties that will not further injure or prohibit recovery of the original injury.</w:t>
            </w:r>
          </w:p>
        </w:tc>
        <w:tc>
          <w:tcPr>
            <w:tcW w:w="2491" w:type="dxa"/>
            <w:tcMar>
              <w:top w:w="80" w:type="dxa"/>
              <w:left w:w="80" w:type="dxa"/>
              <w:bottom w:w="80" w:type="dxa"/>
              <w:right w:w="80" w:type="dxa"/>
            </w:tcMar>
          </w:tcPr>
          <w:p w14:paraId="333578C9" w14:textId="4CE9788F"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Must be in agreement with the employee, work as a partner</w:t>
            </w:r>
            <w:r w:rsidR="00B461BC">
              <w:rPr>
                <w:rFonts w:cs="Arial"/>
                <w:color w:val="000000"/>
                <w:sz w:val="14"/>
                <w:szCs w:val="16"/>
                <w:lang w:val="en-GB"/>
              </w:rPr>
              <w:t>ship toward full return to work</w:t>
            </w:r>
          </w:p>
        </w:tc>
        <w:tc>
          <w:tcPr>
            <w:tcW w:w="2735" w:type="dxa"/>
            <w:tcMar>
              <w:top w:w="80" w:type="dxa"/>
              <w:left w:w="80" w:type="dxa"/>
              <w:bottom w:w="80" w:type="dxa"/>
              <w:right w:w="80" w:type="dxa"/>
            </w:tcMar>
          </w:tcPr>
          <w:p w14:paraId="256774C3" w14:textId="15778604"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No requirements for an employer to keep a posi</w:t>
            </w:r>
            <w:r w:rsidR="00B461BC">
              <w:rPr>
                <w:rFonts w:cs="Arial"/>
                <w:color w:val="000000"/>
                <w:sz w:val="14"/>
                <w:szCs w:val="16"/>
                <w:lang w:val="en-GB"/>
              </w:rPr>
              <w:t>tion open for an injured worker</w:t>
            </w:r>
          </w:p>
        </w:tc>
        <w:tc>
          <w:tcPr>
            <w:tcW w:w="2734" w:type="dxa"/>
            <w:tcMar>
              <w:top w:w="80" w:type="dxa"/>
              <w:left w:w="80" w:type="dxa"/>
              <w:bottom w:w="80" w:type="dxa"/>
              <w:right w:w="80" w:type="dxa"/>
            </w:tcMar>
          </w:tcPr>
          <w:p w14:paraId="0CF72A18" w14:textId="77777777"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w:t>
            </w:r>
          </w:p>
        </w:tc>
        <w:tc>
          <w:tcPr>
            <w:tcW w:w="2735" w:type="dxa"/>
            <w:tcMar>
              <w:top w:w="80" w:type="dxa"/>
              <w:left w:w="80" w:type="dxa"/>
              <w:bottom w:w="80" w:type="dxa"/>
              <w:right w:w="80" w:type="dxa"/>
            </w:tcMar>
          </w:tcPr>
          <w:p w14:paraId="0116989D" w14:textId="053A3732"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w:t>
            </w:r>
          </w:p>
        </w:tc>
      </w:tr>
    </w:tbl>
    <w:p w14:paraId="41414006" w14:textId="69F63830" w:rsidR="00240AAB" w:rsidRPr="00A80282" w:rsidRDefault="00240AAB" w:rsidP="00BA6173">
      <w:pPr>
        <w:pStyle w:val="SWATableheader"/>
        <w:spacing w:before="120"/>
      </w:pPr>
      <w:bookmarkStart w:id="165" w:name="_Toc504654691"/>
      <w:bookmarkEnd w:id="164"/>
      <w:r w:rsidRPr="00A80282">
        <w:lastRenderedPageBreak/>
        <w:t>Table 5.2d: Other requirements of employers</w:t>
      </w:r>
      <w:bookmarkEnd w:id="165"/>
      <w:r w:rsidRPr="00A80282">
        <w:t xml:space="preserve"> </w:t>
      </w:r>
      <w:r w:rsidR="00232E14" w:rsidRPr="00A80282">
        <w:fldChar w:fldCharType="begin"/>
      </w:r>
      <w:r w:rsidR="00232E14" w:rsidRPr="00A80282">
        <w:instrText xml:space="preserve"> XE "return to work:employer responsibilities" \r "other" </w:instrText>
      </w:r>
      <w:r w:rsidR="00232E14" w:rsidRPr="00A80282">
        <w:fldChar w:fldCharType="end"/>
      </w:r>
    </w:p>
    <w:tbl>
      <w:tblPr>
        <w:tblW w:w="1517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2d: Other requirements of employers  "/>
        <w:tblDescription w:val="This table provides information on other requirements of employers under each of the workers' compensation schemes. "/>
      </w:tblPr>
      <w:tblGrid>
        <w:gridCol w:w="1503"/>
        <w:gridCol w:w="13672"/>
      </w:tblGrid>
      <w:tr w:rsidR="00240AAB" w:rsidRPr="00240AAB" w14:paraId="394EE15A" w14:textId="77777777" w:rsidTr="00B2173F">
        <w:trPr>
          <w:tblHeader/>
        </w:trPr>
        <w:tc>
          <w:tcPr>
            <w:tcW w:w="1503" w:type="dxa"/>
            <w:shd w:val="clear" w:color="auto" w:fill="C00000"/>
            <w:tcMar>
              <w:top w:w="0" w:type="dxa"/>
              <w:left w:w="0" w:type="dxa"/>
              <w:bottom w:w="0" w:type="dxa"/>
              <w:right w:w="0" w:type="dxa"/>
            </w:tcMar>
            <w:vAlign w:val="center"/>
          </w:tcPr>
          <w:p w14:paraId="7F41EE8F" w14:textId="77777777" w:rsidR="00240AAB" w:rsidRPr="00240AAB" w:rsidRDefault="00240AAB" w:rsidP="00292A53">
            <w:pPr>
              <w:pStyle w:val="Tableheaderrow"/>
              <w:spacing w:after="60"/>
            </w:pPr>
            <w:bookmarkStart w:id="166" w:name="other"/>
          </w:p>
        </w:tc>
        <w:tc>
          <w:tcPr>
            <w:tcW w:w="13672" w:type="dxa"/>
            <w:shd w:val="clear" w:color="auto" w:fill="C00000"/>
            <w:tcMar>
              <w:top w:w="0" w:type="dxa"/>
              <w:left w:w="0" w:type="dxa"/>
              <w:bottom w:w="0" w:type="dxa"/>
              <w:right w:w="0" w:type="dxa"/>
            </w:tcMar>
            <w:vAlign w:val="center"/>
          </w:tcPr>
          <w:p w14:paraId="1F69CFA0" w14:textId="77777777" w:rsidR="00240AAB" w:rsidRPr="00240AAB" w:rsidRDefault="00240AAB" w:rsidP="00292A53">
            <w:pPr>
              <w:pStyle w:val="Tableheaderrow"/>
              <w:spacing w:after="60"/>
            </w:pPr>
            <w:r w:rsidRPr="00240AAB">
              <w:t>Other requirements of employers</w:t>
            </w:r>
          </w:p>
        </w:tc>
      </w:tr>
      <w:tr w:rsidR="00240AAB" w:rsidRPr="00240AAB" w14:paraId="6E626C9C" w14:textId="77777777" w:rsidTr="00B2173F">
        <w:tc>
          <w:tcPr>
            <w:tcW w:w="1503" w:type="dxa"/>
            <w:shd w:val="clear" w:color="auto" w:fill="FFC9C9"/>
            <w:tcMar>
              <w:top w:w="80" w:type="dxa"/>
              <w:left w:w="80" w:type="dxa"/>
              <w:bottom w:w="80" w:type="dxa"/>
              <w:right w:w="80" w:type="dxa"/>
            </w:tcMar>
          </w:tcPr>
          <w:p w14:paraId="22280453"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New South Wales</w:t>
            </w:r>
          </w:p>
        </w:tc>
        <w:tc>
          <w:tcPr>
            <w:tcW w:w="13672" w:type="dxa"/>
            <w:shd w:val="clear" w:color="auto" w:fill="FFC9C9"/>
            <w:tcMar>
              <w:top w:w="80" w:type="dxa"/>
              <w:left w:w="80" w:type="dxa"/>
              <w:bottom w:w="80" w:type="dxa"/>
              <w:right w:w="80" w:type="dxa"/>
            </w:tcMar>
          </w:tcPr>
          <w:p w14:paraId="49D485A6" w14:textId="375DC9F1" w:rsidR="00786A03" w:rsidRDefault="00786A03" w:rsidP="00F839DB">
            <w:pPr>
              <w:pStyle w:val="ListParagraph"/>
              <w:numPr>
                <w:ilvl w:val="0"/>
                <w:numId w:val="243"/>
              </w:numPr>
              <w:spacing w:after="60"/>
              <w:contextualSpacing/>
              <w:rPr>
                <w:rFonts w:eastAsia="Calibri" w:cs="Arial"/>
                <w:sz w:val="14"/>
                <w:szCs w:val="14"/>
                <w:lang w:eastAsia="en-US"/>
              </w:rPr>
            </w:pPr>
            <w:r>
              <w:rPr>
                <w:rFonts w:eastAsia="Calibri" w:cs="Arial"/>
                <w:sz w:val="14"/>
                <w:szCs w:val="14"/>
                <w:lang w:eastAsia="en-US"/>
              </w:rPr>
              <w:t xml:space="preserve">Display the “If you get injured at work poster”. The poster summarises the requirements of the </w:t>
            </w:r>
            <w:r w:rsidR="00C8219B" w:rsidRPr="00016069">
              <w:rPr>
                <w:i/>
                <w:sz w:val="14"/>
              </w:rPr>
              <w:t>Workplace Injury Management and</w:t>
            </w:r>
            <w:r w:rsidR="00C8219B">
              <w:rPr>
                <w:i/>
                <w:sz w:val="14"/>
              </w:rPr>
              <w:t xml:space="preserve"> Workers Compensation Act 1998</w:t>
            </w:r>
            <w:r>
              <w:rPr>
                <w:rFonts w:eastAsia="Calibri" w:cs="Arial"/>
                <w:sz w:val="14"/>
                <w:szCs w:val="14"/>
                <w:lang w:eastAsia="en-US"/>
              </w:rPr>
              <w:t xml:space="preserve"> with regard to notifying of injuries and making claims. </w:t>
            </w:r>
            <w:hyperlink r:id="rId1750" w:history="1">
              <w:r w:rsidRPr="00C8219B">
                <w:rPr>
                  <w:rStyle w:val="Hyperlink"/>
                  <w:rFonts w:eastAsia="Calibri" w:cs="Arial"/>
                  <w:sz w:val="14"/>
                  <w:szCs w:val="14"/>
                  <w:lang w:eastAsia="en-US"/>
                </w:rPr>
                <w:t>s231</w:t>
              </w:r>
            </w:hyperlink>
            <w:r>
              <w:rPr>
                <w:rFonts w:eastAsia="Calibri" w:cs="Arial"/>
                <w:sz w:val="14"/>
                <w:szCs w:val="14"/>
                <w:lang w:eastAsia="en-US"/>
              </w:rPr>
              <w:t xml:space="preserve">, 1998 Act and </w:t>
            </w:r>
            <w:hyperlink r:id="rId1751" w:history="1">
              <w:r w:rsidRPr="00C8219B">
                <w:rPr>
                  <w:rStyle w:val="Hyperlink"/>
                  <w:rFonts w:eastAsia="Calibri" w:cs="Arial"/>
                  <w:sz w:val="14"/>
                  <w:szCs w:val="14"/>
                  <w:lang w:eastAsia="en-US"/>
                </w:rPr>
                <w:t>cl 39</w:t>
              </w:r>
            </w:hyperlink>
            <w:r>
              <w:rPr>
                <w:rFonts w:eastAsia="Calibri" w:cs="Arial"/>
                <w:sz w:val="14"/>
                <w:szCs w:val="14"/>
                <w:lang w:eastAsia="en-US"/>
              </w:rPr>
              <w:t xml:space="preserve"> of the </w:t>
            </w:r>
            <w:r w:rsidR="00C8219B">
              <w:rPr>
                <w:rFonts w:eastAsia="Calibri" w:cs="Arial"/>
                <w:sz w:val="14"/>
                <w:szCs w:val="14"/>
                <w:lang w:eastAsia="en-US"/>
              </w:rPr>
              <w:t xml:space="preserve">Workers Compesation </w:t>
            </w:r>
            <w:r>
              <w:rPr>
                <w:rFonts w:eastAsia="Calibri" w:cs="Arial"/>
                <w:sz w:val="14"/>
                <w:szCs w:val="14"/>
                <w:lang w:eastAsia="en-US"/>
              </w:rPr>
              <w:t>Regulation</w:t>
            </w:r>
            <w:r w:rsidR="00C8219B">
              <w:rPr>
                <w:rFonts w:eastAsia="Calibri" w:cs="Arial"/>
                <w:sz w:val="14"/>
                <w:szCs w:val="14"/>
                <w:lang w:eastAsia="en-US"/>
              </w:rPr>
              <w:t xml:space="preserve"> 2016</w:t>
            </w:r>
            <w:r>
              <w:rPr>
                <w:rFonts w:eastAsia="Calibri" w:cs="Arial"/>
                <w:sz w:val="14"/>
                <w:szCs w:val="14"/>
                <w:lang w:eastAsia="en-US"/>
              </w:rPr>
              <w:t xml:space="preserve">. </w:t>
            </w:r>
          </w:p>
          <w:p w14:paraId="743ABAB1" w14:textId="265E2944" w:rsidR="00F81142" w:rsidRPr="00F81142" w:rsidRDefault="00F81142" w:rsidP="00F839DB">
            <w:pPr>
              <w:pStyle w:val="ListParagraph"/>
              <w:numPr>
                <w:ilvl w:val="0"/>
                <w:numId w:val="243"/>
              </w:numPr>
              <w:spacing w:after="60"/>
              <w:contextualSpacing/>
              <w:rPr>
                <w:rFonts w:eastAsia="Calibri" w:cs="Arial"/>
                <w:sz w:val="14"/>
                <w:szCs w:val="14"/>
                <w:lang w:eastAsia="en-US"/>
              </w:rPr>
            </w:pPr>
            <w:r w:rsidRPr="00F81142">
              <w:rPr>
                <w:rFonts w:eastAsia="Calibri" w:cs="Arial"/>
                <w:sz w:val="14"/>
                <w:szCs w:val="14"/>
                <w:lang w:eastAsia="en-US"/>
              </w:rPr>
              <w:t xml:space="preserve">Obligation to participate in establishment of injury management plan </w:t>
            </w:r>
            <w:hyperlink r:id="rId1752" w:history="1">
              <w:r w:rsidRPr="00301C21">
                <w:rPr>
                  <w:rStyle w:val="Hyperlink"/>
                  <w:rFonts w:eastAsia="Calibri" w:cs="Arial"/>
                  <w:sz w:val="14"/>
                  <w:szCs w:val="14"/>
                  <w:lang w:eastAsia="en-US"/>
                </w:rPr>
                <w:t>s46</w:t>
              </w:r>
            </w:hyperlink>
            <w:r w:rsidRPr="00F81142">
              <w:rPr>
                <w:rFonts w:eastAsia="Calibri" w:cs="Arial"/>
                <w:sz w:val="14"/>
                <w:szCs w:val="14"/>
                <w:lang w:eastAsia="en-US"/>
              </w:rPr>
              <w:t xml:space="preserve"> 1998 Act. Employer to provide suitable work</w:t>
            </w:r>
            <w:r w:rsidR="00301C21">
              <w:rPr>
                <w:rFonts w:eastAsia="Calibri" w:cs="Arial"/>
                <w:sz w:val="14"/>
                <w:szCs w:val="14"/>
                <w:lang w:eastAsia="en-US"/>
              </w:rPr>
              <w:t>—</w:t>
            </w:r>
            <w:hyperlink r:id="rId1753" w:history="1">
              <w:r w:rsidRPr="00301C21">
                <w:rPr>
                  <w:rStyle w:val="Hyperlink"/>
                  <w:rFonts w:eastAsia="Calibri" w:cs="Arial"/>
                  <w:sz w:val="14"/>
                  <w:szCs w:val="14"/>
                  <w:lang w:eastAsia="en-US"/>
                </w:rPr>
                <w:t>s</w:t>
              </w:r>
              <w:r w:rsidR="00786A03" w:rsidRPr="00301C21">
                <w:rPr>
                  <w:rStyle w:val="Hyperlink"/>
                  <w:rFonts w:eastAsia="Calibri" w:cs="Arial"/>
                  <w:sz w:val="14"/>
                  <w:szCs w:val="14"/>
                  <w:lang w:eastAsia="en-US"/>
                </w:rPr>
                <w:t xml:space="preserve">ection </w:t>
              </w:r>
              <w:r w:rsidRPr="00301C21">
                <w:rPr>
                  <w:rStyle w:val="Hyperlink"/>
                  <w:rFonts w:eastAsia="Calibri" w:cs="Arial"/>
                  <w:sz w:val="14"/>
                  <w:szCs w:val="14"/>
                  <w:lang w:eastAsia="en-US"/>
                </w:rPr>
                <w:t>49</w:t>
              </w:r>
            </w:hyperlink>
            <w:r w:rsidRPr="00F81142">
              <w:rPr>
                <w:rFonts w:eastAsia="Calibri" w:cs="Arial"/>
                <w:sz w:val="14"/>
                <w:szCs w:val="14"/>
                <w:lang w:eastAsia="en-US"/>
              </w:rPr>
              <w:t xml:space="preserve"> 1998 Act. Category 1 employer </w:t>
            </w:r>
            <w:r w:rsidR="00854F23">
              <w:rPr>
                <w:rFonts w:eastAsia="Calibri" w:cs="Arial"/>
                <w:sz w:val="14"/>
                <w:szCs w:val="14"/>
                <w:lang w:eastAsia="en-US"/>
              </w:rPr>
              <w:fldChar w:fldCharType="begin"/>
            </w:r>
            <w:r w:rsidR="00854F23">
              <w:instrText xml:space="preserve"> XE "</w:instrText>
            </w:r>
            <w:r w:rsidR="00854F23" w:rsidRPr="00154439">
              <w:instrText>Category 1 employers (NSW)</w:instrText>
            </w:r>
            <w:r w:rsidR="00854F23">
              <w:instrText xml:space="preserve">" </w:instrText>
            </w:r>
            <w:r w:rsidR="00854F23">
              <w:rPr>
                <w:rFonts w:eastAsia="Calibri" w:cs="Arial"/>
                <w:sz w:val="14"/>
                <w:szCs w:val="14"/>
                <w:lang w:eastAsia="en-US"/>
              </w:rPr>
              <w:fldChar w:fldCharType="end"/>
            </w:r>
            <w:r w:rsidR="0025506E">
              <w:rPr>
                <w:rFonts w:eastAsia="Calibri" w:cs="Arial"/>
                <w:sz w:val="14"/>
                <w:szCs w:val="14"/>
                <w:lang w:eastAsia="en-US"/>
              </w:rPr>
              <w:fldChar w:fldCharType="begin"/>
            </w:r>
            <w:r w:rsidR="0025506E">
              <w:instrText xml:space="preserve"> XE "</w:instrText>
            </w:r>
            <w:r w:rsidR="0025506E" w:rsidRPr="00C25BD5">
              <w:instrText>employers:Category 1 employers (NSW)</w:instrText>
            </w:r>
            <w:r w:rsidR="0025506E">
              <w:instrText xml:space="preserve">" </w:instrText>
            </w:r>
            <w:r w:rsidR="0025506E">
              <w:rPr>
                <w:rFonts w:eastAsia="Calibri" w:cs="Arial"/>
                <w:sz w:val="14"/>
                <w:szCs w:val="14"/>
                <w:lang w:eastAsia="en-US"/>
              </w:rPr>
              <w:fldChar w:fldCharType="end"/>
            </w:r>
            <w:r w:rsidRPr="00F81142">
              <w:rPr>
                <w:rFonts w:eastAsia="Calibri" w:cs="Arial"/>
                <w:sz w:val="14"/>
                <w:szCs w:val="14"/>
                <w:lang w:eastAsia="en-US"/>
              </w:rPr>
              <w:t>must have r</w:t>
            </w:r>
            <w:r w:rsidR="00EB13D8">
              <w:rPr>
                <w:rFonts w:eastAsia="Calibri" w:cs="Arial"/>
                <w:sz w:val="14"/>
                <w:szCs w:val="14"/>
                <w:lang w:eastAsia="en-US"/>
              </w:rPr>
              <w:t xml:space="preserve">eturn to work coordinator </w:t>
            </w:r>
            <w:hyperlink r:id="rId1754" w:history="1">
              <w:r w:rsidR="00786A03" w:rsidRPr="00301C21">
                <w:rPr>
                  <w:rStyle w:val="Hyperlink"/>
                  <w:rFonts w:eastAsia="Calibri" w:cs="Arial"/>
                  <w:sz w:val="14"/>
                  <w:szCs w:val="14"/>
                  <w:lang w:eastAsia="en-US"/>
                </w:rPr>
                <w:t>c</w:t>
              </w:r>
              <w:r w:rsidR="00EB13D8" w:rsidRPr="00301C21">
                <w:rPr>
                  <w:rStyle w:val="Hyperlink"/>
                  <w:rFonts w:eastAsia="Calibri" w:cs="Arial"/>
                  <w:sz w:val="14"/>
                  <w:szCs w:val="14"/>
                  <w:lang w:eastAsia="en-US"/>
                </w:rPr>
                <w:t>l 19</w:t>
              </w:r>
            </w:hyperlink>
            <w:r w:rsidR="00786A03">
              <w:rPr>
                <w:rFonts w:eastAsia="Calibri" w:cs="Arial"/>
                <w:sz w:val="14"/>
                <w:szCs w:val="14"/>
                <w:lang w:eastAsia="en-US"/>
              </w:rPr>
              <w:t>, 2016</w:t>
            </w:r>
            <w:r w:rsidRPr="00F81142">
              <w:rPr>
                <w:rFonts w:eastAsia="Calibri" w:cs="Arial"/>
                <w:sz w:val="14"/>
                <w:szCs w:val="14"/>
                <w:lang w:eastAsia="en-US"/>
              </w:rPr>
              <w:t xml:space="preserve"> Reg</w:t>
            </w:r>
            <w:r w:rsidR="00786A03">
              <w:rPr>
                <w:rFonts w:eastAsia="Calibri" w:cs="Arial"/>
                <w:sz w:val="14"/>
                <w:szCs w:val="14"/>
                <w:lang w:eastAsia="en-US"/>
              </w:rPr>
              <w:t>ulation.</w:t>
            </w:r>
          </w:p>
          <w:p w14:paraId="0C1910A4" w14:textId="74D4FFA8" w:rsidR="00F81142" w:rsidRDefault="00F81142" w:rsidP="00F839DB">
            <w:pPr>
              <w:pStyle w:val="ListParagraph"/>
              <w:numPr>
                <w:ilvl w:val="0"/>
                <w:numId w:val="243"/>
              </w:numPr>
              <w:spacing w:after="60"/>
              <w:contextualSpacing/>
              <w:rPr>
                <w:rFonts w:eastAsia="Calibri" w:cs="Arial"/>
                <w:sz w:val="14"/>
                <w:szCs w:val="14"/>
                <w:lang w:eastAsia="en-US"/>
              </w:rPr>
            </w:pPr>
            <w:r w:rsidRPr="00F81142">
              <w:rPr>
                <w:rFonts w:eastAsia="Calibri" w:cs="Arial"/>
                <w:sz w:val="14"/>
                <w:szCs w:val="14"/>
                <w:lang w:eastAsia="en-US"/>
              </w:rPr>
              <w:t>The employer of an injured worker must notify the insurer or the Authority within 48 hours after becoming aware that a worker has received a workplace injury in the manner prescri</w:t>
            </w:r>
            <w:r w:rsidR="00301C21">
              <w:rPr>
                <w:rFonts w:eastAsia="Calibri" w:cs="Arial"/>
                <w:sz w:val="14"/>
                <w:szCs w:val="14"/>
                <w:lang w:eastAsia="en-US"/>
              </w:rPr>
              <w:t>bed by the regulations. Chapter </w:t>
            </w:r>
            <w:r w:rsidRPr="00F81142">
              <w:rPr>
                <w:rFonts w:eastAsia="Calibri" w:cs="Arial"/>
                <w:sz w:val="14"/>
                <w:szCs w:val="14"/>
                <w:lang w:eastAsia="en-US"/>
              </w:rPr>
              <w:t xml:space="preserve">3 </w:t>
            </w:r>
            <w:hyperlink r:id="rId1755" w:history="1">
              <w:r w:rsidRPr="00301C21">
                <w:rPr>
                  <w:rStyle w:val="Hyperlink"/>
                  <w:rFonts w:eastAsia="Calibri" w:cs="Arial"/>
                  <w:sz w:val="14"/>
                  <w:szCs w:val="14"/>
                  <w:lang w:eastAsia="en-US"/>
                </w:rPr>
                <w:t>s44</w:t>
              </w:r>
              <w:r w:rsidR="00786A03" w:rsidRPr="00301C21">
                <w:rPr>
                  <w:rStyle w:val="Hyperlink"/>
                  <w:rFonts w:eastAsia="Calibri" w:cs="Arial"/>
                  <w:sz w:val="14"/>
                  <w:szCs w:val="14"/>
                  <w:lang w:eastAsia="en-US"/>
                </w:rPr>
                <w:t>(2)</w:t>
              </w:r>
            </w:hyperlink>
            <w:r w:rsidRPr="00F81142">
              <w:rPr>
                <w:rFonts w:eastAsia="Calibri" w:cs="Arial"/>
                <w:sz w:val="14"/>
                <w:szCs w:val="14"/>
                <w:lang w:eastAsia="en-US"/>
              </w:rPr>
              <w:t>, 1998 Act</w:t>
            </w:r>
            <w:r w:rsidR="00786A03">
              <w:rPr>
                <w:rFonts w:eastAsia="Calibri" w:cs="Arial"/>
                <w:sz w:val="14"/>
                <w:szCs w:val="14"/>
                <w:lang w:eastAsia="en-US"/>
              </w:rPr>
              <w:t>.</w:t>
            </w:r>
          </w:p>
          <w:p w14:paraId="716DF0F5" w14:textId="3B5F8BCB" w:rsidR="00786A03" w:rsidRPr="00F81142" w:rsidRDefault="00786A03" w:rsidP="00F839DB">
            <w:pPr>
              <w:pStyle w:val="ListParagraph"/>
              <w:numPr>
                <w:ilvl w:val="0"/>
                <w:numId w:val="243"/>
              </w:numPr>
              <w:spacing w:after="60"/>
              <w:contextualSpacing/>
              <w:rPr>
                <w:rFonts w:eastAsia="Calibri" w:cs="Arial"/>
                <w:sz w:val="14"/>
                <w:szCs w:val="14"/>
                <w:lang w:eastAsia="en-US"/>
              </w:rPr>
            </w:pPr>
            <w:r>
              <w:rPr>
                <w:rFonts w:eastAsia="Calibri" w:cs="Arial"/>
                <w:sz w:val="14"/>
                <w:szCs w:val="14"/>
                <w:lang w:eastAsia="en-US"/>
              </w:rPr>
              <w:t>Forward any documents related to the claim to the insurer within seven days (excludes self-insured</w:t>
            </w:r>
            <w:r w:rsidR="00697004">
              <w:rPr>
                <w:rFonts w:eastAsia="Calibri" w:cs="Arial"/>
                <w:sz w:val="14"/>
                <w:szCs w:val="14"/>
                <w:lang w:eastAsia="en-US"/>
              </w:rPr>
              <w:t>)</w:t>
            </w:r>
            <w:r>
              <w:rPr>
                <w:rFonts w:eastAsia="Calibri" w:cs="Arial"/>
                <w:sz w:val="14"/>
                <w:szCs w:val="14"/>
                <w:lang w:eastAsia="en-US"/>
              </w:rPr>
              <w:t xml:space="preserve"> </w:t>
            </w:r>
            <w:hyperlink r:id="rId1756" w:history="1">
              <w:r w:rsidRPr="00C8219B">
                <w:rPr>
                  <w:rStyle w:val="Hyperlink"/>
                  <w:rFonts w:eastAsia="Calibri" w:cs="Arial"/>
                  <w:sz w:val="14"/>
                  <w:szCs w:val="14"/>
                  <w:lang w:eastAsia="en-US"/>
                </w:rPr>
                <w:t>s261(1)</w:t>
              </w:r>
            </w:hyperlink>
            <w:r>
              <w:rPr>
                <w:rFonts w:eastAsia="Calibri" w:cs="Arial"/>
                <w:sz w:val="14"/>
                <w:szCs w:val="14"/>
                <w:lang w:eastAsia="en-US"/>
              </w:rPr>
              <w:t xml:space="preserve"> 1998 Act.</w:t>
            </w:r>
          </w:p>
          <w:p w14:paraId="38A00C44" w14:textId="73BA10C7" w:rsidR="00F81142" w:rsidRPr="00F81142" w:rsidRDefault="00F81142" w:rsidP="00F839DB">
            <w:pPr>
              <w:pStyle w:val="ListParagraph"/>
              <w:numPr>
                <w:ilvl w:val="0"/>
                <w:numId w:val="243"/>
              </w:numPr>
              <w:spacing w:after="60"/>
              <w:contextualSpacing/>
              <w:rPr>
                <w:rFonts w:eastAsia="Calibri" w:cs="Arial"/>
                <w:sz w:val="14"/>
                <w:szCs w:val="14"/>
                <w:lang w:eastAsia="en-US"/>
              </w:rPr>
            </w:pPr>
            <w:r w:rsidRPr="00F81142">
              <w:rPr>
                <w:rFonts w:eastAsia="Calibri" w:cs="Arial"/>
                <w:sz w:val="14"/>
                <w:szCs w:val="14"/>
                <w:lang w:eastAsia="en-US"/>
              </w:rPr>
              <w:t>Register of injuries — The employer must maintain a register of injuries in which workers record details of work-related injuries, (</w:t>
            </w:r>
            <w:hyperlink r:id="rId1757" w:history="1">
              <w:r w:rsidR="00786A03" w:rsidRPr="00C8219B">
                <w:rPr>
                  <w:rStyle w:val="Hyperlink"/>
                  <w:rFonts w:eastAsia="Calibri" w:cs="Arial"/>
                  <w:sz w:val="14"/>
                  <w:szCs w:val="14"/>
                  <w:lang w:eastAsia="en-US"/>
                </w:rPr>
                <w:t>s256</w:t>
              </w:r>
            </w:hyperlink>
            <w:r w:rsidR="00786A03">
              <w:rPr>
                <w:rFonts w:eastAsia="Calibri" w:cs="Arial"/>
                <w:sz w:val="14"/>
                <w:szCs w:val="14"/>
                <w:lang w:eastAsia="en-US"/>
              </w:rPr>
              <w:t xml:space="preserve">, 1998 Act, </w:t>
            </w:r>
            <w:hyperlink r:id="rId1758" w:history="1">
              <w:r w:rsidRPr="00301C21">
                <w:rPr>
                  <w:rStyle w:val="Hyperlink"/>
                  <w:rFonts w:eastAsia="Calibri" w:cs="Arial"/>
                  <w:sz w:val="14"/>
                  <w:szCs w:val="14"/>
                  <w:lang w:eastAsia="en-US"/>
                </w:rPr>
                <w:t>Clause 40</w:t>
              </w:r>
            </w:hyperlink>
            <w:r w:rsidRPr="00F81142">
              <w:rPr>
                <w:rFonts w:eastAsia="Calibri" w:cs="Arial"/>
                <w:sz w:val="14"/>
                <w:szCs w:val="14"/>
                <w:lang w:eastAsia="en-US"/>
              </w:rPr>
              <w:t xml:space="preserve"> of the Workers Compensation Regulation 2016)</w:t>
            </w:r>
          </w:p>
          <w:p w14:paraId="132D8A63" w14:textId="15B9CDCC" w:rsidR="00240AAB" w:rsidRDefault="00F81142" w:rsidP="00F839DB">
            <w:pPr>
              <w:pStyle w:val="ListParagraph"/>
              <w:numPr>
                <w:ilvl w:val="0"/>
                <w:numId w:val="243"/>
              </w:numPr>
              <w:spacing w:after="60"/>
              <w:contextualSpacing/>
              <w:rPr>
                <w:rFonts w:eastAsia="Calibri" w:cs="Arial"/>
                <w:sz w:val="14"/>
                <w:szCs w:val="14"/>
                <w:lang w:eastAsia="en-US"/>
              </w:rPr>
            </w:pPr>
            <w:r w:rsidRPr="00F81142">
              <w:rPr>
                <w:rFonts w:eastAsia="Calibri" w:cs="Arial"/>
                <w:sz w:val="14"/>
                <w:szCs w:val="14"/>
                <w:lang w:eastAsia="en-US"/>
              </w:rPr>
              <w:t>Record of wages — The employer must keep a record of wages for at least the previous 5 years (</w:t>
            </w:r>
            <w:hyperlink r:id="rId1759" w:history="1">
              <w:r w:rsidRPr="00301C21">
                <w:rPr>
                  <w:rStyle w:val="Hyperlink"/>
                  <w:rFonts w:eastAsia="Calibri" w:cs="Arial"/>
                  <w:sz w:val="14"/>
                  <w:szCs w:val="14"/>
                  <w:lang w:eastAsia="en-US"/>
                </w:rPr>
                <w:t>s174</w:t>
              </w:r>
            </w:hyperlink>
            <w:r w:rsidRPr="00F81142">
              <w:rPr>
                <w:rFonts w:eastAsia="Calibri" w:cs="Arial"/>
                <w:sz w:val="14"/>
                <w:szCs w:val="14"/>
                <w:lang w:eastAsia="en-US"/>
              </w:rPr>
              <w:t xml:space="preserve"> of the </w:t>
            </w:r>
            <w:r w:rsidR="00301C21" w:rsidRPr="00016069">
              <w:rPr>
                <w:i/>
                <w:sz w:val="14"/>
              </w:rPr>
              <w:t>Workers Compensation Act 1987</w:t>
            </w:r>
            <w:r w:rsidRPr="00F81142">
              <w:rPr>
                <w:rFonts w:eastAsia="Calibri" w:cs="Arial"/>
                <w:sz w:val="14"/>
                <w:szCs w:val="14"/>
                <w:lang w:eastAsia="en-US"/>
              </w:rPr>
              <w:t>)</w:t>
            </w:r>
            <w:r w:rsidR="003D2FCB">
              <w:rPr>
                <w:rFonts w:eastAsia="Calibri" w:cs="Arial"/>
                <w:sz w:val="14"/>
                <w:szCs w:val="14"/>
                <w:lang w:eastAsia="en-US"/>
              </w:rPr>
              <w:t>.</w:t>
            </w:r>
          </w:p>
          <w:p w14:paraId="6F035861" w14:textId="0CCECB54" w:rsidR="00786A03" w:rsidRPr="00240AAB" w:rsidRDefault="00786A03" w:rsidP="00F839DB">
            <w:pPr>
              <w:pStyle w:val="ListParagraph"/>
              <w:numPr>
                <w:ilvl w:val="0"/>
                <w:numId w:val="243"/>
              </w:numPr>
              <w:spacing w:after="60"/>
              <w:contextualSpacing/>
              <w:rPr>
                <w:rFonts w:eastAsia="Calibri" w:cs="Arial"/>
                <w:sz w:val="14"/>
                <w:szCs w:val="14"/>
                <w:lang w:eastAsia="en-US"/>
              </w:rPr>
            </w:pPr>
            <w:r>
              <w:rPr>
                <w:rFonts w:eastAsia="Calibri" w:cs="Arial"/>
                <w:sz w:val="14"/>
                <w:szCs w:val="14"/>
                <w:lang w:eastAsia="en-US"/>
              </w:rPr>
              <w:t xml:space="preserve">Pass on any monies owed to a worker in a timely manner </w:t>
            </w:r>
            <w:hyperlink r:id="rId1760" w:history="1">
              <w:r w:rsidRPr="00301C21">
                <w:rPr>
                  <w:rStyle w:val="Hyperlink"/>
                  <w:rFonts w:eastAsia="Calibri" w:cs="Arial"/>
                  <w:sz w:val="14"/>
                  <w:szCs w:val="14"/>
                  <w:lang w:eastAsia="en-US"/>
                </w:rPr>
                <w:t>s264(3)</w:t>
              </w:r>
            </w:hyperlink>
            <w:r>
              <w:rPr>
                <w:rFonts w:eastAsia="Calibri" w:cs="Arial"/>
                <w:sz w:val="14"/>
                <w:szCs w:val="14"/>
                <w:lang w:eastAsia="en-US"/>
              </w:rPr>
              <w:t xml:space="preserve"> 1998 Act.</w:t>
            </w:r>
          </w:p>
        </w:tc>
      </w:tr>
      <w:tr w:rsidR="00240AAB" w:rsidRPr="00240AAB" w14:paraId="48C73C33" w14:textId="77777777" w:rsidTr="00B2173F">
        <w:tc>
          <w:tcPr>
            <w:tcW w:w="1503" w:type="dxa"/>
            <w:tcMar>
              <w:top w:w="80" w:type="dxa"/>
              <w:left w:w="80" w:type="dxa"/>
              <w:bottom w:w="80" w:type="dxa"/>
              <w:right w:w="80" w:type="dxa"/>
            </w:tcMar>
          </w:tcPr>
          <w:p w14:paraId="50ED81C0"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Victoria</w:t>
            </w:r>
          </w:p>
        </w:tc>
        <w:tc>
          <w:tcPr>
            <w:tcW w:w="13672" w:type="dxa"/>
            <w:tcMar>
              <w:top w:w="80" w:type="dxa"/>
              <w:left w:w="80" w:type="dxa"/>
              <w:bottom w:w="80" w:type="dxa"/>
              <w:right w:w="80" w:type="dxa"/>
            </w:tcMar>
          </w:tcPr>
          <w:p w14:paraId="0368C5F0" w14:textId="6E490BAA" w:rsidR="005C5C26" w:rsidRDefault="00A7538C" w:rsidP="00292A53">
            <w:pPr>
              <w:spacing w:after="60"/>
              <w:rPr>
                <w:rFonts w:cs="Arial"/>
                <w:color w:val="000000"/>
                <w:sz w:val="14"/>
                <w:szCs w:val="16"/>
                <w:lang w:val="en-GB"/>
              </w:rPr>
            </w:pPr>
            <w:hyperlink r:id="rId1761" w:history="1">
              <w:r w:rsidR="00240AAB" w:rsidRPr="00456C2E">
                <w:rPr>
                  <w:rStyle w:val="Hyperlink"/>
                  <w:rFonts w:cs="Arial"/>
                  <w:sz w:val="14"/>
                  <w:szCs w:val="16"/>
                  <w:lang w:val="en-GB"/>
                </w:rPr>
                <w:t>s105</w:t>
              </w:r>
            </w:hyperlink>
            <w:r w:rsidR="00456C2E">
              <w:rPr>
                <w:rFonts w:cs="Arial"/>
                <w:color w:val="000000"/>
                <w:sz w:val="14"/>
                <w:szCs w:val="16"/>
                <w:lang w:val="en-GB"/>
              </w:rPr>
              <w:t xml:space="preserve">, </w:t>
            </w:r>
            <w:r w:rsidR="00456C2E" w:rsidRPr="00016069">
              <w:rPr>
                <w:i/>
                <w:sz w:val="14"/>
              </w:rPr>
              <w:t>Workplace Injury Rehabilitation and Compensation Act 2013</w:t>
            </w:r>
            <w:r w:rsidR="00240AAB" w:rsidRPr="00240AAB">
              <w:rPr>
                <w:rFonts w:cs="Arial"/>
                <w:color w:val="000000"/>
                <w:sz w:val="14"/>
                <w:szCs w:val="16"/>
                <w:lang w:val="en-GB"/>
              </w:rPr>
              <w:t xml:space="preserve"> — Consult about</w:t>
            </w:r>
            <w:r w:rsidR="00B461BC">
              <w:rPr>
                <w:rFonts w:cs="Arial"/>
                <w:color w:val="000000"/>
                <w:sz w:val="14"/>
                <w:szCs w:val="16"/>
                <w:lang w:val="en-GB"/>
              </w:rPr>
              <w:t xml:space="preserve"> the return to work of a worker</w:t>
            </w:r>
          </w:p>
          <w:p w14:paraId="28C01C70" w14:textId="02919F86" w:rsidR="005C5C26" w:rsidRDefault="00A7538C" w:rsidP="00292A53">
            <w:pPr>
              <w:spacing w:after="60"/>
              <w:rPr>
                <w:rFonts w:cs="Arial"/>
                <w:color w:val="000000"/>
                <w:sz w:val="14"/>
                <w:szCs w:val="16"/>
                <w:lang w:val="en-GB"/>
              </w:rPr>
            </w:pPr>
            <w:hyperlink r:id="rId1762" w:history="1">
              <w:r w:rsidR="00240AAB" w:rsidRPr="00456C2E">
                <w:rPr>
                  <w:rStyle w:val="Hyperlink"/>
                  <w:rFonts w:cs="Arial"/>
                  <w:sz w:val="14"/>
                  <w:szCs w:val="16"/>
                  <w:lang w:val="en-GB"/>
                </w:rPr>
                <w:t>s106</w:t>
              </w:r>
            </w:hyperlink>
            <w:r w:rsidR="00240AAB" w:rsidRPr="00240AAB">
              <w:rPr>
                <w:rFonts w:cs="Arial"/>
                <w:color w:val="000000"/>
                <w:sz w:val="14"/>
                <w:szCs w:val="16"/>
                <w:lang w:val="en-GB"/>
              </w:rPr>
              <w:t xml:space="preserve"> </w:t>
            </w:r>
            <w:r w:rsidR="00456C2E">
              <w:rPr>
                <w:rFonts w:cs="Arial"/>
                <w:color w:val="000000"/>
                <w:sz w:val="14"/>
                <w:szCs w:val="16"/>
                <w:lang w:val="en-GB"/>
              </w:rPr>
              <w:t xml:space="preserve">2013 Act </w:t>
            </w:r>
            <w:r w:rsidR="00240AAB" w:rsidRPr="00240AAB">
              <w:rPr>
                <w:rFonts w:cs="Arial"/>
                <w:color w:val="000000"/>
                <w:sz w:val="14"/>
                <w:szCs w:val="16"/>
                <w:lang w:val="en-GB"/>
              </w:rPr>
              <w:t>— Return to Work Coordinator to be appointed</w:t>
            </w:r>
            <w:r w:rsidR="00F358E7">
              <w:rPr>
                <w:rFonts w:cs="Arial"/>
                <w:color w:val="000000"/>
                <w:sz w:val="14"/>
                <w:szCs w:val="16"/>
                <w:lang w:val="en-GB"/>
              </w:rPr>
              <w:t xml:space="preserve"> </w:t>
            </w:r>
            <w:r w:rsidR="00240AAB" w:rsidRPr="00240AAB">
              <w:rPr>
                <w:rFonts w:cs="Arial"/>
                <w:color w:val="000000"/>
                <w:sz w:val="14"/>
                <w:szCs w:val="16"/>
                <w:lang w:val="en-GB"/>
              </w:rPr>
              <w:t>— must have sufficient seniority and b</w:t>
            </w:r>
            <w:r w:rsidR="00B461BC">
              <w:rPr>
                <w:rFonts w:cs="Arial"/>
                <w:color w:val="000000"/>
                <w:sz w:val="14"/>
                <w:szCs w:val="16"/>
                <w:lang w:val="en-GB"/>
              </w:rPr>
              <w:t>e competent to perform the role</w:t>
            </w:r>
          </w:p>
          <w:p w14:paraId="3B3442AB" w14:textId="3E317124" w:rsidR="005C5C26" w:rsidRDefault="00A7538C" w:rsidP="00292A53">
            <w:pPr>
              <w:spacing w:after="60"/>
              <w:rPr>
                <w:rFonts w:cs="Arial"/>
                <w:color w:val="000000"/>
                <w:sz w:val="14"/>
                <w:szCs w:val="16"/>
                <w:lang w:val="en-GB"/>
              </w:rPr>
            </w:pPr>
            <w:hyperlink r:id="rId1763" w:history="1">
              <w:r w:rsidR="00240AAB" w:rsidRPr="00456C2E">
                <w:rPr>
                  <w:rStyle w:val="Hyperlink"/>
                  <w:rFonts w:cs="Arial"/>
                  <w:sz w:val="14"/>
                  <w:szCs w:val="16"/>
                  <w:lang w:val="en-GB"/>
                </w:rPr>
                <w:t>s109</w:t>
              </w:r>
            </w:hyperlink>
            <w:r w:rsidR="00240AAB" w:rsidRPr="00240AAB">
              <w:rPr>
                <w:rFonts w:cs="Arial"/>
                <w:color w:val="000000"/>
                <w:sz w:val="14"/>
                <w:szCs w:val="16"/>
                <w:lang w:val="en-GB"/>
              </w:rPr>
              <w:t xml:space="preserve"> </w:t>
            </w:r>
            <w:r w:rsidR="00456C2E">
              <w:rPr>
                <w:rFonts w:cs="Arial"/>
                <w:color w:val="000000"/>
                <w:sz w:val="14"/>
                <w:szCs w:val="16"/>
                <w:lang w:val="en-GB"/>
              </w:rPr>
              <w:t xml:space="preserve">2013 Act </w:t>
            </w:r>
            <w:r w:rsidR="00240AAB" w:rsidRPr="00240AAB">
              <w:rPr>
                <w:rFonts w:cs="Arial"/>
                <w:color w:val="000000"/>
                <w:sz w:val="14"/>
                <w:szCs w:val="16"/>
                <w:lang w:val="en-GB"/>
              </w:rPr>
              <w:t>— Host to coop</w:t>
            </w:r>
            <w:r w:rsidR="00B461BC">
              <w:rPr>
                <w:rFonts w:cs="Arial"/>
                <w:color w:val="000000"/>
                <w:sz w:val="14"/>
                <w:szCs w:val="16"/>
                <w:lang w:val="en-GB"/>
              </w:rPr>
              <w:t>erate with labour hire employer</w:t>
            </w:r>
          </w:p>
          <w:p w14:paraId="42977DF0" w14:textId="1E323E5F" w:rsidR="00240AAB" w:rsidRPr="00240AAB" w:rsidRDefault="00A7538C" w:rsidP="00292A53">
            <w:pPr>
              <w:spacing w:after="60"/>
              <w:rPr>
                <w:rFonts w:cs="Arial"/>
                <w:color w:val="000000"/>
                <w:sz w:val="14"/>
                <w:szCs w:val="16"/>
                <w:lang w:val="en-GB"/>
              </w:rPr>
            </w:pPr>
            <w:hyperlink r:id="rId1764" w:history="1">
              <w:r w:rsidR="00240AAB" w:rsidRPr="00456C2E">
                <w:rPr>
                  <w:rStyle w:val="Hyperlink"/>
                  <w:rFonts w:cs="Arial"/>
                  <w:sz w:val="14"/>
                  <w:szCs w:val="16"/>
                  <w:lang w:val="en-GB"/>
                </w:rPr>
                <w:t>s118</w:t>
              </w:r>
            </w:hyperlink>
            <w:r w:rsidR="00240AAB" w:rsidRPr="00240AAB">
              <w:rPr>
                <w:rFonts w:cs="Arial"/>
                <w:color w:val="000000"/>
                <w:sz w:val="14"/>
                <w:szCs w:val="16"/>
                <w:lang w:val="en-GB"/>
              </w:rPr>
              <w:t xml:space="preserve"> </w:t>
            </w:r>
            <w:r w:rsidR="00456C2E">
              <w:rPr>
                <w:rFonts w:cs="Arial"/>
                <w:color w:val="000000"/>
                <w:sz w:val="14"/>
                <w:szCs w:val="16"/>
                <w:lang w:val="en-GB"/>
              </w:rPr>
              <w:t xml:space="preserve">2013 Act </w:t>
            </w:r>
            <w:r w:rsidR="00240AAB" w:rsidRPr="00240AAB">
              <w:rPr>
                <w:rFonts w:cs="Arial"/>
                <w:color w:val="000000"/>
                <w:sz w:val="14"/>
                <w:szCs w:val="16"/>
                <w:lang w:val="en-GB"/>
              </w:rPr>
              <w:t>— Reso</w:t>
            </w:r>
            <w:r w:rsidR="00B461BC">
              <w:rPr>
                <w:rFonts w:cs="Arial"/>
                <w:color w:val="000000"/>
                <w:sz w:val="14"/>
                <w:szCs w:val="16"/>
                <w:lang w:val="en-GB"/>
              </w:rPr>
              <w:t>lution of return to work issues</w:t>
            </w:r>
          </w:p>
        </w:tc>
      </w:tr>
      <w:tr w:rsidR="00240AAB" w:rsidRPr="00240AAB" w14:paraId="6ED0EB9D" w14:textId="77777777" w:rsidTr="00B2173F">
        <w:tc>
          <w:tcPr>
            <w:tcW w:w="1503" w:type="dxa"/>
            <w:shd w:val="clear" w:color="auto" w:fill="FFC9C9"/>
            <w:tcMar>
              <w:top w:w="80" w:type="dxa"/>
              <w:left w:w="80" w:type="dxa"/>
              <w:bottom w:w="80" w:type="dxa"/>
              <w:right w:w="80" w:type="dxa"/>
            </w:tcMar>
          </w:tcPr>
          <w:p w14:paraId="1E5D4C77"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Queensland</w:t>
            </w:r>
          </w:p>
        </w:tc>
        <w:tc>
          <w:tcPr>
            <w:tcW w:w="13672" w:type="dxa"/>
            <w:shd w:val="clear" w:color="auto" w:fill="FFC9C9"/>
            <w:tcMar>
              <w:top w:w="80" w:type="dxa"/>
              <w:left w:w="80" w:type="dxa"/>
              <w:bottom w:w="80" w:type="dxa"/>
              <w:right w:w="80" w:type="dxa"/>
            </w:tcMar>
          </w:tcPr>
          <w:p w14:paraId="7C4B4632" w14:textId="09BFB780"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Employers must appoint a Rehabilitation and Return to Work Coordinator if they meet a wages threshold. The Rehabilitation and Return to Work Coordinator must also be l</w:t>
            </w:r>
            <w:r w:rsidR="00967387">
              <w:rPr>
                <w:rFonts w:cs="Arial"/>
                <w:color w:val="000000"/>
                <w:sz w:val="14"/>
                <w:szCs w:val="16"/>
                <w:lang w:val="en-GB"/>
              </w:rPr>
              <w:t>ocated in Queensland (</w:t>
            </w:r>
            <w:r w:rsidR="00967387" w:rsidRPr="00016069">
              <w:rPr>
                <w:i/>
                <w:sz w:val="14"/>
              </w:rPr>
              <w:t>Workers’ Compensation and Rehabilitation Act 2003</w:t>
            </w:r>
            <w:r w:rsidR="00B461BC">
              <w:rPr>
                <w:rFonts w:cs="Arial"/>
                <w:color w:val="000000"/>
                <w:sz w:val="14"/>
                <w:szCs w:val="16"/>
                <w:lang w:val="en-GB"/>
              </w:rPr>
              <w:t xml:space="preserve"> </w:t>
            </w:r>
            <w:hyperlink r:id="rId1765" w:anchor="sec.226" w:history="1">
              <w:r w:rsidR="00B61072" w:rsidRPr="00381A55">
                <w:rPr>
                  <w:rStyle w:val="Hyperlink"/>
                  <w:rFonts w:cs="Arial"/>
                  <w:sz w:val="14"/>
                  <w:szCs w:val="16"/>
                  <w:lang w:val="en-GB"/>
                </w:rPr>
                <w:t>s226</w:t>
              </w:r>
            </w:hyperlink>
            <w:r w:rsidR="00B461BC">
              <w:rPr>
                <w:rFonts w:cs="Arial"/>
                <w:color w:val="000000"/>
                <w:sz w:val="14"/>
                <w:szCs w:val="16"/>
                <w:lang w:val="en-GB"/>
              </w:rPr>
              <w:t>)</w:t>
            </w:r>
          </w:p>
        </w:tc>
      </w:tr>
      <w:tr w:rsidR="00240AAB" w:rsidRPr="00240AAB" w14:paraId="3FB3712C" w14:textId="77777777" w:rsidTr="00B2173F">
        <w:tc>
          <w:tcPr>
            <w:tcW w:w="1503" w:type="dxa"/>
            <w:tcMar>
              <w:top w:w="80" w:type="dxa"/>
              <w:left w:w="80" w:type="dxa"/>
              <w:bottom w:w="80" w:type="dxa"/>
              <w:right w:w="80" w:type="dxa"/>
            </w:tcMar>
          </w:tcPr>
          <w:p w14:paraId="5FEBE530"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Western Australia</w:t>
            </w:r>
          </w:p>
        </w:tc>
        <w:tc>
          <w:tcPr>
            <w:tcW w:w="13672" w:type="dxa"/>
            <w:tcMar>
              <w:top w:w="80" w:type="dxa"/>
              <w:left w:w="80" w:type="dxa"/>
              <w:bottom w:w="80" w:type="dxa"/>
              <w:right w:w="80" w:type="dxa"/>
            </w:tcMar>
          </w:tcPr>
          <w:p w14:paraId="77C445B7" w14:textId="255D0C3D"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No</w:t>
            </w:r>
          </w:p>
        </w:tc>
      </w:tr>
      <w:tr w:rsidR="00240AAB" w:rsidRPr="00240AAB" w14:paraId="5EBB8F79" w14:textId="77777777" w:rsidTr="00B2173F">
        <w:tc>
          <w:tcPr>
            <w:tcW w:w="1503" w:type="dxa"/>
            <w:shd w:val="clear" w:color="auto" w:fill="FFC9C9"/>
            <w:tcMar>
              <w:top w:w="80" w:type="dxa"/>
              <w:left w:w="80" w:type="dxa"/>
              <w:bottom w:w="80" w:type="dxa"/>
              <w:right w:w="80" w:type="dxa"/>
            </w:tcMar>
          </w:tcPr>
          <w:p w14:paraId="620969D7"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South Australia</w:t>
            </w:r>
          </w:p>
        </w:tc>
        <w:tc>
          <w:tcPr>
            <w:tcW w:w="13672" w:type="dxa"/>
            <w:shd w:val="clear" w:color="auto" w:fill="FFC9C9"/>
            <w:tcMar>
              <w:top w:w="80" w:type="dxa"/>
              <w:left w:w="80" w:type="dxa"/>
              <w:bottom w:w="80" w:type="dxa"/>
              <w:right w:w="80" w:type="dxa"/>
            </w:tcMar>
          </w:tcPr>
          <w:p w14:paraId="1E2E5A8A" w14:textId="3F7BFF91" w:rsidR="00240AAB" w:rsidRPr="00085354" w:rsidRDefault="00240AAB" w:rsidP="00F839DB">
            <w:pPr>
              <w:pStyle w:val="ListParagraph"/>
              <w:numPr>
                <w:ilvl w:val="0"/>
                <w:numId w:val="255"/>
              </w:numPr>
              <w:spacing w:after="60"/>
              <w:ind w:hanging="357"/>
              <w:contextualSpacing/>
              <w:rPr>
                <w:rFonts w:eastAsia="Calibri" w:cs="Arial"/>
                <w:sz w:val="14"/>
                <w:szCs w:val="14"/>
                <w:lang w:eastAsia="en-US"/>
              </w:rPr>
            </w:pPr>
            <w:r w:rsidRPr="00085354">
              <w:rPr>
                <w:rFonts w:eastAsia="Calibri" w:cs="Arial"/>
                <w:sz w:val="14"/>
                <w:szCs w:val="14"/>
                <w:lang w:eastAsia="en-US"/>
              </w:rPr>
              <w:t>An employer must appoint a Return to Work Coordinator if they have 30 or more employees. The Rehabilitation and Return to Work Coordinator must be located in South Australia. —</w:t>
            </w:r>
            <w:r w:rsidR="00967387">
              <w:rPr>
                <w:rFonts w:eastAsia="Calibri" w:cs="Arial"/>
                <w:sz w:val="14"/>
                <w:szCs w:val="14"/>
                <w:lang w:eastAsia="en-US"/>
              </w:rPr>
              <w:t xml:space="preserve"> </w:t>
            </w:r>
            <w:r w:rsidR="00967387" w:rsidRPr="00016069">
              <w:rPr>
                <w:i/>
                <w:sz w:val="14"/>
              </w:rPr>
              <w:t>Return to Work Act 2014</w:t>
            </w:r>
            <w:r w:rsidRPr="00085354">
              <w:rPr>
                <w:rFonts w:eastAsia="Calibri" w:cs="Arial"/>
                <w:sz w:val="14"/>
                <w:szCs w:val="14"/>
                <w:lang w:eastAsia="en-US"/>
              </w:rPr>
              <w:t xml:space="preserve"> </w:t>
            </w:r>
            <w:hyperlink r:id="rId1766" w:history="1">
              <w:r w:rsidRPr="00085354">
                <w:rPr>
                  <w:rFonts w:eastAsia="Calibri" w:cs="Arial"/>
                  <w:color w:val="0000FF"/>
                  <w:sz w:val="14"/>
                  <w:szCs w:val="14"/>
                  <w:u w:val="single"/>
                  <w:lang w:eastAsia="en-US"/>
                </w:rPr>
                <w:t>s26</w:t>
              </w:r>
            </w:hyperlink>
          </w:p>
          <w:p w14:paraId="73541627" w14:textId="77777777" w:rsidR="00240AAB" w:rsidRPr="00085354" w:rsidRDefault="00240AAB" w:rsidP="00F839DB">
            <w:pPr>
              <w:pStyle w:val="ListParagraph"/>
              <w:numPr>
                <w:ilvl w:val="0"/>
                <w:numId w:val="255"/>
              </w:numPr>
              <w:spacing w:after="60"/>
              <w:ind w:hanging="357"/>
              <w:contextualSpacing/>
              <w:rPr>
                <w:rFonts w:eastAsia="Calibri" w:cs="Arial"/>
                <w:sz w:val="14"/>
                <w:szCs w:val="14"/>
                <w:lang w:eastAsia="en-US"/>
              </w:rPr>
            </w:pPr>
            <w:r w:rsidRPr="00085354">
              <w:rPr>
                <w:rFonts w:eastAsia="Calibri" w:cs="Arial"/>
                <w:sz w:val="14"/>
                <w:szCs w:val="14"/>
                <w:lang w:eastAsia="en-US"/>
              </w:rPr>
              <w:t>An employer must notify the Corporation when:</w:t>
            </w:r>
          </w:p>
          <w:p w14:paraId="7BE2D4F1" w14:textId="77777777" w:rsidR="00240AAB" w:rsidRPr="00240AAB" w:rsidRDefault="00240AAB" w:rsidP="00DF35F2">
            <w:pPr>
              <w:numPr>
                <w:ilvl w:val="0"/>
                <w:numId w:val="46"/>
              </w:numPr>
              <w:spacing w:after="60"/>
              <w:ind w:hanging="357"/>
              <w:contextualSpacing/>
              <w:rPr>
                <w:rFonts w:eastAsia="Calibri" w:cs="Arial"/>
                <w:sz w:val="14"/>
                <w:szCs w:val="14"/>
                <w:lang w:eastAsia="en-US"/>
              </w:rPr>
            </w:pPr>
            <w:r w:rsidRPr="00240AAB">
              <w:rPr>
                <w:rFonts w:eastAsia="Calibri" w:cs="Arial"/>
                <w:sz w:val="14"/>
                <w:szCs w:val="14"/>
                <w:lang w:eastAsia="en-US"/>
              </w:rPr>
              <w:t xml:space="preserve">a worker who has been receiving weekly payments for total incapacity returns to work; or </w:t>
            </w:r>
          </w:p>
          <w:p w14:paraId="48102EA4" w14:textId="7F70C8C9" w:rsidR="00240AAB" w:rsidRPr="00240AAB" w:rsidRDefault="00240AAB" w:rsidP="00DF35F2">
            <w:pPr>
              <w:numPr>
                <w:ilvl w:val="0"/>
                <w:numId w:val="46"/>
              </w:numPr>
              <w:spacing w:after="60"/>
              <w:ind w:hanging="357"/>
              <w:contextualSpacing/>
              <w:rPr>
                <w:rFonts w:eastAsia="Calibri" w:cs="Arial"/>
                <w:sz w:val="14"/>
                <w:szCs w:val="14"/>
                <w:lang w:eastAsia="en-US"/>
              </w:rPr>
            </w:pPr>
            <w:r w:rsidRPr="00240AAB">
              <w:rPr>
                <w:rFonts w:eastAsia="Calibri" w:cs="Arial"/>
                <w:sz w:val="14"/>
                <w:szCs w:val="14"/>
                <w:lang w:eastAsia="en-US"/>
              </w:rPr>
              <w:t>there is a change in the weekly earnings of a worker who is receiving weekly payments for partial incapacity; or</w:t>
            </w:r>
          </w:p>
          <w:p w14:paraId="2FDA249E" w14:textId="146D8D71" w:rsidR="00240AAB" w:rsidRPr="00240AAB" w:rsidRDefault="00240AAB" w:rsidP="00DF35F2">
            <w:pPr>
              <w:numPr>
                <w:ilvl w:val="0"/>
                <w:numId w:val="46"/>
              </w:numPr>
              <w:spacing w:after="60"/>
              <w:ind w:hanging="357"/>
              <w:contextualSpacing/>
              <w:rPr>
                <w:rFonts w:eastAsia="Calibri" w:cs="Arial"/>
                <w:sz w:val="14"/>
                <w:szCs w:val="14"/>
                <w:lang w:eastAsia="en-US"/>
              </w:rPr>
            </w:pPr>
            <w:r w:rsidRPr="00240AAB">
              <w:rPr>
                <w:rFonts w:eastAsia="Calibri" w:cs="Arial"/>
                <w:sz w:val="14"/>
                <w:szCs w:val="14"/>
                <w:lang w:eastAsia="en-US"/>
              </w:rPr>
              <w:t>there is a change in the type of work performed by a worker who is receiving weekly p</w:t>
            </w:r>
            <w:r w:rsidR="00B461BC">
              <w:rPr>
                <w:rFonts w:eastAsia="Calibri" w:cs="Arial"/>
                <w:sz w:val="14"/>
                <w:szCs w:val="14"/>
                <w:lang w:eastAsia="en-US"/>
              </w:rPr>
              <w:t>ayments for partial incapacity</w:t>
            </w:r>
            <w:r w:rsidR="00F358E7">
              <w:rPr>
                <w:rFonts w:eastAsia="Calibri" w:cs="Arial"/>
                <w:sz w:val="14"/>
                <w:szCs w:val="14"/>
                <w:lang w:eastAsia="en-US"/>
              </w:rPr>
              <w:t xml:space="preserve"> —</w:t>
            </w:r>
            <w:r w:rsidR="00B461BC">
              <w:rPr>
                <w:rFonts w:eastAsia="Calibri" w:cs="Arial"/>
                <w:sz w:val="14"/>
                <w:szCs w:val="14"/>
                <w:lang w:eastAsia="en-US"/>
              </w:rPr>
              <w:t xml:space="preserve"> </w:t>
            </w:r>
            <w:hyperlink r:id="rId1767" w:history="1">
              <w:r w:rsidRPr="00240AAB">
                <w:rPr>
                  <w:rFonts w:eastAsia="Calibri" w:cs="Arial"/>
                  <w:color w:val="0000FF"/>
                  <w:sz w:val="14"/>
                  <w:szCs w:val="14"/>
                  <w:u w:val="single"/>
                  <w:lang w:eastAsia="en-US"/>
                </w:rPr>
                <w:t>s52</w:t>
              </w:r>
            </w:hyperlink>
          </w:p>
        </w:tc>
      </w:tr>
      <w:tr w:rsidR="00240AAB" w:rsidRPr="00240AAB" w14:paraId="5F1EAF7B" w14:textId="77777777" w:rsidTr="00B2173F">
        <w:tc>
          <w:tcPr>
            <w:tcW w:w="1503" w:type="dxa"/>
            <w:tcMar>
              <w:top w:w="80" w:type="dxa"/>
              <w:left w:w="80" w:type="dxa"/>
              <w:bottom w:w="80" w:type="dxa"/>
              <w:right w:w="80" w:type="dxa"/>
            </w:tcMar>
          </w:tcPr>
          <w:p w14:paraId="5C7BF922"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Tasmania</w:t>
            </w:r>
          </w:p>
        </w:tc>
        <w:tc>
          <w:tcPr>
            <w:tcW w:w="13672" w:type="dxa"/>
            <w:tcMar>
              <w:top w:w="80" w:type="dxa"/>
              <w:left w:w="80" w:type="dxa"/>
              <w:bottom w:w="80" w:type="dxa"/>
              <w:right w:w="80" w:type="dxa"/>
            </w:tcMar>
          </w:tcPr>
          <w:p w14:paraId="1B1187F0" w14:textId="491D808B" w:rsidR="00240AAB" w:rsidRPr="00085354" w:rsidRDefault="00240AAB" w:rsidP="00F839DB">
            <w:pPr>
              <w:pStyle w:val="ListParagraph"/>
              <w:numPr>
                <w:ilvl w:val="0"/>
                <w:numId w:val="256"/>
              </w:numPr>
              <w:spacing w:after="60"/>
              <w:ind w:left="357" w:hanging="357"/>
              <w:contextualSpacing/>
              <w:rPr>
                <w:rFonts w:eastAsia="Calibri" w:cs="Arial"/>
                <w:sz w:val="14"/>
                <w:szCs w:val="14"/>
                <w:lang w:eastAsia="en-US"/>
              </w:rPr>
            </w:pPr>
            <w:r w:rsidRPr="00085354">
              <w:rPr>
                <w:rFonts w:eastAsia="Calibri" w:cs="Arial"/>
                <w:sz w:val="14"/>
                <w:szCs w:val="14"/>
                <w:lang w:eastAsia="en-US"/>
              </w:rPr>
              <w:t>An employer must notify its insurer within 3 working days of becoming aware that one of the employer’s workers has suffered a workplace injury that results in or is likely to result in the worker being totally or partially incapacitated for work; or is required to be reported under the worker’s approved injury management program. —</w:t>
            </w:r>
            <w:r w:rsidR="00301155">
              <w:rPr>
                <w:rFonts w:eastAsia="Calibri" w:cs="Arial"/>
                <w:sz w:val="14"/>
                <w:szCs w:val="14"/>
                <w:lang w:eastAsia="en-US"/>
              </w:rPr>
              <w:t xml:space="preserve"> </w:t>
            </w:r>
            <w:r w:rsidR="00301155" w:rsidRPr="00016069">
              <w:rPr>
                <w:i/>
                <w:sz w:val="14"/>
              </w:rPr>
              <w:t>Workers Rehabilitation and Compensation Act 1988</w:t>
            </w:r>
            <w:r w:rsidRPr="00085354">
              <w:rPr>
                <w:rFonts w:eastAsia="Calibri" w:cs="Arial"/>
                <w:sz w:val="14"/>
                <w:szCs w:val="14"/>
                <w:lang w:eastAsia="en-US"/>
              </w:rPr>
              <w:t xml:space="preserve"> </w:t>
            </w:r>
            <w:hyperlink r:id="rId1768" w:history="1">
              <w:r w:rsidRPr="00085354">
                <w:rPr>
                  <w:rFonts w:eastAsia="Calibri" w:cs="Arial"/>
                  <w:color w:val="0000FF"/>
                  <w:sz w:val="14"/>
                  <w:szCs w:val="14"/>
                  <w:u w:val="single"/>
                  <w:lang w:eastAsia="en-US"/>
                </w:rPr>
                <w:t>s143A</w:t>
              </w:r>
            </w:hyperlink>
          </w:p>
          <w:p w14:paraId="0A98BBF6" w14:textId="55A62F1C" w:rsidR="00240AAB" w:rsidRPr="00085354" w:rsidRDefault="00240AAB" w:rsidP="00F839DB">
            <w:pPr>
              <w:pStyle w:val="ListParagraph"/>
              <w:numPr>
                <w:ilvl w:val="0"/>
                <w:numId w:val="256"/>
              </w:numPr>
              <w:spacing w:after="60"/>
              <w:ind w:left="357" w:hanging="357"/>
              <w:contextualSpacing/>
              <w:rPr>
                <w:rFonts w:eastAsia="Calibri" w:cs="Arial"/>
                <w:sz w:val="14"/>
                <w:szCs w:val="14"/>
                <w:lang w:eastAsia="en-US"/>
              </w:rPr>
            </w:pPr>
            <w:r w:rsidRPr="00085354">
              <w:rPr>
                <w:rFonts w:eastAsia="Calibri" w:cs="Arial"/>
                <w:sz w:val="14"/>
                <w:szCs w:val="14"/>
                <w:lang w:eastAsia="en-US"/>
              </w:rPr>
              <w:t xml:space="preserve">If the employer is a self-insurer and/or submitted its own injury management program to the Board, the employer must appoint an injury management coordinator. — </w:t>
            </w:r>
            <w:hyperlink r:id="rId1769" w:history="1">
              <w:r w:rsidRPr="00301155">
                <w:rPr>
                  <w:rStyle w:val="Hyperlink"/>
                  <w:rFonts w:eastAsia="Calibri" w:cs="Arial"/>
                  <w:sz w:val="14"/>
                  <w:szCs w:val="14"/>
                  <w:lang w:eastAsia="en-US"/>
                </w:rPr>
                <w:t>s143B(3) and (4)</w:t>
              </w:r>
            </w:hyperlink>
            <w:r w:rsidRPr="00085354">
              <w:rPr>
                <w:rFonts w:eastAsia="Calibri" w:cs="Arial"/>
                <w:sz w:val="14"/>
                <w:szCs w:val="14"/>
                <w:lang w:eastAsia="en-US"/>
              </w:rPr>
              <w:t xml:space="preserve"> </w:t>
            </w:r>
          </w:p>
          <w:p w14:paraId="206F8192" w14:textId="77777777" w:rsidR="00240AAB" w:rsidRPr="00085354" w:rsidRDefault="00240AAB" w:rsidP="00F839DB">
            <w:pPr>
              <w:pStyle w:val="ListParagraph"/>
              <w:numPr>
                <w:ilvl w:val="0"/>
                <w:numId w:val="256"/>
              </w:numPr>
              <w:spacing w:after="60"/>
              <w:ind w:left="357" w:hanging="357"/>
              <w:contextualSpacing/>
              <w:rPr>
                <w:rFonts w:eastAsia="Calibri" w:cs="Arial"/>
                <w:sz w:val="14"/>
                <w:szCs w:val="14"/>
                <w:lang w:eastAsia="en-US"/>
              </w:rPr>
            </w:pPr>
            <w:r w:rsidRPr="00085354">
              <w:rPr>
                <w:rFonts w:eastAsia="Calibri" w:cs="Arial"/>
                <w:sz w:val="14"/>
                <w:szCs w:val="14"/>
                <w:lang w:eastAsia="en-US"/>
              </w:rPr>
              <w:t>An employer who employs more than 50 workers must appoint a suitably qualified return</w:t>
            </w:r>
            <w:r w:rsidRPr="00085354">
              <w:rPr>
                <w:rFonts w:eastAsia="Calibri" w:cs="Arial"/>
                <w:sz w:val="14"/>
                <w:szCs w:val="14"/>
                <w:lang w:eastAsia="en-US"/>
              </w:rPr>
              <w:noBreakHyphen/>
              <w:t>to</w:t>
            </w:r>
            <w:r w:rsidRPr="00085354">
              <w:rPr>
                <w:rFonts w:eastAsia="Calibri" w:cs="Arial"/>
                <w:sz w:val="14"/>
                <w:szCs w:val="14"/>
                <w:lang w:eastAsia="en-US"/>
              </w:rPr>
              <w:noBreakHyphen/>
              <w:t xml:space="preserve">work co-ordinator and must assign workers with significant injuries to the return to work coordinator as soon as practicable. — </w:t>
            </w:r>
            <w:hyperlink r:id="rId1770" w:history="1">
              <w:r w:rsidRPr="00085354">
                <w:rPr>
                  <w:rFonts w:eastAsia="Calibri" w:cs="Arial"/>
                  <w:color w:val="0000FF"/>
                  <w:sz w:val="14"/>
                  <w:szCs w:val="14"/>
                  <w:u w:val="single"/>
                  <w:lang w:eastAsia="en-US"/>
                </w:rPr>
                <w:t>s143D</w:t>
              </w:r>
            </w:hyperlink>
            <w:r w:rsidRPr="00085354">
              <w:rPr>
                <w:rFonts w:eastAsia="Calibri" w:cs="Arial"/>
                <w:sz w:val="14"/>
                <w:szCs w:val="14"/>
                <w:lang w:eastAsia="en-US"/>
              </w:rPr>
              <w:t xml:space="preserve"> </w:t>
            </w:r>
          </w:p>
          <w:p w14:paraId="70CA702A" w14:textId="1EE1B19C" w:rsidR="00240AAB" w:rsidRPr="00085354" w:rsidRDefault="00240AAB" w:rsidP="00F839DB">
            <w:pPr>
              <w:pStyle w:val="ListParagraph"/>
              <w:numPr>
                <w:ilvl w:val="0"/>
                <w:numId w:val="256"/>
              </w:numPr>
              <w:spacing w:after="60"/>
              <w:ind w:left="357" w:hanging="357"/>
              <w:contextualSpacing/>
              <w:rPr>
                <w:rFonts w:eastAsia="Calibri" w:cs="Arial"/>
                <w:sz w:val="14"/>
                <w:szCs w:val="14"/>
                <w:lang w:eastAsia="en-US"/>
              </w:rPr>
            </w:pPr>
            <w:r w:rsidRPr="00085354">
              <w:rPr>
                <w:rFonts w:eastAsia="Calibri" w:cs="Arial"/>
                <w:sz w:val="14"/>
                <w:szCs w:val="14"/>
                <w:lang w:eastAsia="en-US"/>
              </w:rPr>
              <w:t>An employer must take all reasonable steps to comply with the requirements of a return to work plane or injury management plan. —</w:t>
            </w:r>
            <w:r w:rsidR="00DD0D68">
              <w:rPr>
                <w:rFonts w:eastAsia="Calibri" w:cs="Arial"/>
                <w:sz w:val="14"/>
                <w:szCs w:val="14"/>
                <w:lang w:eastAsia="en-US"/>
              </w:rPr>
              <w:t xml:space="preserve"> </w:t>
            </w:r>
            <w:hyperlink r:id="rId1771" w:history="1">
              <w:r w:rsidRPr="00085354">
                <w:rPr>
                  <w:rFonts w:eastAsia="Calibri" w:cs="Arial"/>
                  <w:color w:val="0000FF"/>
                  <w:sz w:val="14"/>
                  <w:szCs w:val="14"/>
                  <w:u w:val="single"/>
                  <w:lang w:eastAsia="en-US"/>
                </w:rPr>
                <w:t>s143E(7)</w:t>
              </w:r>
            </w:hyperlink>
            <w:r w:rsidRPr="00085354">
              <w:rPr>
                <w:rFonts w:eastAsia="Calibri" w:cs="Arial"/>
                <w:sz w:val="14"/>
                <w:szCs w:val="14"/>
                <w:lang w:eastAsia="en-US"/>
              </w:rPr>
              <w:t xml:space="preserve"> </w:t>
            </w:r>
          </w:p>
          <w:p w14:paraId="213DE8F4" w14:textId="109BED78" w:rsidR="00240AAB" w:rsidRPr="00085354" w:rsidRDefault="00240AAB" w:rsidP="00F839DB">
            <w:pPr>
              <w:pStyle w:val="ListParagraph"/>
              <w:numPr>
                <w:ilvl w:val="0"/>
                <w:numId w:val="256"/>
              </w:numPr>
              <w:spacing w:after="60"/>
              <w:ind w:left="357" w:hanging="357"/>
              <w:contextualSpacing/>
              <w:rPr>
                <w:rFonts w:eastAsia="Calibri" w:cs="Arial"/>
                <w:sz w:val="14"/>
                <w:szCs w:val="14"/>
                <w:lang w:eastAsia="en-US"/>
              </w:rPr>
            </w:pPr>
            <w:r w:rsidRPr="00085354">
              <w:rPr>
                <w:rFonts w:eastAsia="Calibri" w:cs="Arial"/>
                <w:sz w:val="14"/>
                <w:szCs w:val="14"/>
                <w:lang w:eastAsia="en-US"/>
              </w:rPr>
              <w:t xml:space="preserve">As soon as practicable after making a significant decision in relation to the injury management of a worker, the employer is to notify the worker of the decision and the reason/s for the decision. </w:t>
            </w:r>
            <w:r w:rsidRPr="00085354">
              <w:rPr>
                <w:rFonts w:eastAsia="Calibri" w:cs="Arial"/>
                <w:sz w:val="14"/>
                <w:szCs w:val="14"/>
                <w:lang w:eastAsia="en-US"/>
              </w:rPr>
              <w:br/>
              <w:t xml:space="preserve">— </w:t>
            </w:r>
            <w:hyperlink r:id="rId1772" w:history="1">
              <w:r w:rsidRPr="00085354">
                <w:rPr>
                  <w:rFonts w:eastAsia="Calibri" w:cs="Arial"/>
                  <w:color w:val="0000FF"/>
                  <w:sz w:val="14"/>
                  <w:szCs w:val="14"/>
                  <w:u w:val="single"/>
                  <w:lang w:eastAsia="en-US"/>
                </w:rPr>
                <w:t>s143P(1)</w:t>
              </w:r>
            </w:hyperlink>
          </w:p>
        </w:tc>
      </w:tr>
      <w:tr w:rsidR="00240AAB" w:rsidRPr="00240AAB" w14:paraId="08AB47E5" w14:textId="77777777" w:rsidTr="00B2173F">
        <w:tc>
          <w:tcPr>
            <w:tcW w:w="1503" w:type="dxa"/>
            <w:shd w:val="clear" w:color="auto" w:fill="FFC9C9"/>
            <w:tcMar>
              <w:top w:w="80" w:type="dxa"/>
              <w:left w:w="80" w:type="dxa"/>
              <w:bottom w:w="80" w:type="dxa"/>
              <w:right w:w="80" w:type="dxa"/>
            </w:tcMar>
          </w:tcPr>
          <w:p w14:paraId="373EEF88"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Northern Territory</w:t>
            </w:r>
          </w:p>
        </w:tc>
        <w:tc>
          <w:tcPr>
            <w:tcW w:w="13672" w:type="dxa"/>
            <w:shd w:val="clear" w:color="auto" w:fill="FFC9C9"/>
            <w:tcMar>
              <w:top w:w="80" w:type="dxa"/>
              <w:left w:w="80" w:type="dxa"/>
              <w:bottom w:w="80" w:type="dxa"/>
              <w:right w:w="80" w:type="dxa"/>
            </w:tcMar>
          </w:tcPr>
          <w:p w14:paraId="0477F2D3" w14:textId="3A89E97C"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No</w:t>
            </w:r>
          </w:p>
        </w:tc>
      </w:tr>
      <w:tr w:rsidR="00240AAB" w:rsidRPr="00240AAB" w14:paraId="697F6014" w14:textId="77777777" w:rsidTr="00B2173F">
        <w:tc>
          <w:tcPr>
            <w:tcW w:w="1503" w:type="dxa"/>
            <w:tcMar>
              <w:top w:w="80" w:type="dxa"/>
              <w:left w:w="80" w:type="dxa"/>
              <w:bottom w:w="80" w:type="dxa"/>
              <w:right w:w="80" w:type="dxa"/>
            </w:tcMar>
          </w:tcPr>
          <w:p w14:paraId="2DF1DB5B"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Australian Capital Territory</w:t>
            </w:r>
          </w:p>
        </w:tc>
        <w:tc>
          <w:tcPr>
            <w:tcW w:w="13672" w:type="dxa"/>
            <w:tcMar>
              <w:top w:w="80" w:type="dxa"/>
              <w:left w:w="80" w:type="dxa"/>
              <w:bottom w:w="80" w:type="dxa"/>
              <w:right w:w="80" w:type="dxa"/>
            </w:tcMar>
          </w:tcPr>
          <w:p w14:paraId="3279109F" w14:textId="24F4DC41"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No</w:t>
            </w:r>
          </w:p>
        </w:tc>
      </w:tr>
      <w:tr w:rsidR="00240AAB" w:rsidRPr="00240AAB" w14:paraId="1A65AF6E" w14:textId="77777777" w:rsidTr="00B2173F">
        <w:tc>
          <w:tcPr>
            <w:tcW w:w="1503" w:type="dxa"/>
            <w:shd w:val="clear" w:color="auto" w:fill="FFC9C9"/>
            <w:tcMar>
              <w:top w:w="80" w:type="dxa"/>
              <w:left w:w="80" w:type="dxa"/>
              <w:bottom w:w="80" w:type="dxa"/>
              <w:right w:w="80" w:type="dxa"/>
            </w:tcMar>
          </w:tcPr>
          <w:p w14:paraId="5695C192"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C’wealth Comcare</w:t>
            </w:r>
          </w:p>
        </w:tc>
        <w:tc>
          <w:tcPr>
            <w:tcW w:w="13672" w:type="dxa"/>
            <w:shd w:val="clear" w:color="auto" w:fill="FFC9C9"/>
            <w:tcMar>
              <w:top w:w="80" w:type="dxa"/>
              <w:left w:w="80" w:type="dxa"/>
              <w:bottom w:w="80" w:type="dxa"/>
              <w:right w:w="80" w:type="dxa"/>
            </w:tcMar>
          </w:tcPr>
          <w:p w14:paraId="4A2FE3DE" w14:textId="0C68A75A" w:rsidR="00240AAB" w:rsidRPr="00085354" w:rsidRDefault="00301155" w:rsidP="00F839DB">
            <w:pPr>
              <w:pStyle w:val="ListParagraph"/>
              <w:numPr>
                <w:ilvl w:val="0"/>
                <w:numId w:val="257"/>
              </w:numPr>
              <w:spacing w:after="60"/>
              <w:ind w:left="357" w:hanging="357"/>
              <w:contextualSpacing/>
              <w:rPr>
                <w:rFonts w:eastAsia="Calibri" w:cs="Arial"/>
                <w:sz w:val="14"/>
                <w:szCs w:val="14"/>
                <w:lang w:eastAsia="en-US"/>
              </w:rPr>
            </w:pPr>
            <w:r w:rsidRPr="00016069">
              <w:rPr>
                <w:i/>
                <w:sz w:val="14"/>
              </w:rPr>
              <w:t>Safety, Rehabilitation and Compensation Act 1988</w:t>
            </w:r>
            <w:r>
              <w:rPr>
                <w:i/>
                <w:sz w:val="14"/>
              </w:rPr>
              <w:t xml:space="preserve"> </w:t>
            </w:r>
            <w:hyperlink r:id="rId1773" w:history="1">
              <w:r w:rsidR="00240AAB" w:rsidRPr="00301155">
                <w:rPr>
                  <w:rStyle w:val="Hyperlink"/>
                  <w:rFonts w:eastAsia="Calibri" w:cs="Arial"/>
                  <w:sz w:val="14"/>
                  <w:szCs w:val="14"/>
                  <w:lang w:eastAsia="en-US"/>
                </w:rPr>
                <w:t>s36</w:t>
              </w:r>
            </w:hyperlink>
            <w:r w:rsidR="00240AAB" w:rsidRPr="00085354">
              <w:rPr>
                <w:rFonts w:eastAsia="Calibri" w:cs="Arial"/>
                <w:sz w:val="14"/>
                <w:szCs w:val="14"/>
                <w:lang w:eastAsia="en-US"/>
              </w:rPr>
              <w:t xml:space="preserve"> — Assessment of capability of undertaking rehabilitation program. Where an employee suffers an injury resulting in an incapacity for work or an impairment, the rehabilitation authority may at any time, and shall on the written request of the employee, arrange for the assessment of the employee’s capability of under</w:t>
            </w:r>
            <w:r w:rsidR="00B461BC">
              <w:rPr>
                <w:rFonts w:eastAsia="Calibri" w:cs="Arial"/>
                <w:sz w:val="14"/>
                <w:szCs w:val="14"/>
                <w:lang w:eastAsia="en-US"/>
              </w:rPr>
              <w:t>taking a rehabilitation program</w:t>
            </w:r>
          </w:p>
          <w:p w14:paraId="2A458FB8" w14:textId="3ECBF25B" w:rsidR="00240AAB" w:rsidRPr="00085354" w:rsidRDefault="00A7538C" w:rsidP="00F839DB">
            <w:pPr>
              <w:pStyle w:val="ListParagraph"/>
              <w:numPr>
                <w:ilvl w:val="0"/>
                <w:numId w:val="257"/>
              </w:numPr>
              <w:spacing w:after="60"/>
              <w:ind w:left="357" w:hanging="357"/>
              <w:contextualSpacing/>
              <w:rPr>
                <w:rFonts w:eastAsia="Calibri" w:cs="Arial"/>
                <w:sz w:val="14"/>
                <w:szCs w:val="14"/>
                <w:lang w:eastAsia="en-US"/>
              </w:rPr>
            </w:pPr>
            <w:hyperlink r:id="rId1774" w:history="1">
              <w:r w:rsidR="00240AAB" w:rsidRPr="00301155">
                <w:rPr>
                  <w:rStyle w:val="Hyperlink"/>
                  <w:rFonts w:eastAsia="Calibri" w:cs="Arial"/>
                  <w:sz w:val="14"/>
                  <w:szCs w:val="14"/>
                  <w:lang w:eastAsia="en-US"/>
                </w:rPr>
                <w:t>s36(4)</w:t>
              </w:r>
            </w:hyperlink>
            <w:r w:rsidR="00240AAB" w:rsidRPr="00085354">
              <w:rPr>
                <w:rFonts w:eastAsia="Calibri" w:cs="Arial"/>
                <w:sz w:val="14"/>
                <w:szCs w:val="14"/>
                <w:lang w:eastAsia="en-US"/>
              </w:rPr>
              <w:t xml:space="preserve"> — Decide whether an employee had a reasonable excuse for failing to attend or co-</w:t>
            </w:r>
            <w:r w:rsidR="00B461BC">
              <w:rPr>
                <w:rFonts w:eastAsia="Calibri" w:cs="Arial"/>
                <w:sz w:val="14"/>
                <w:szCs w:val="14"/>
                <w:lang w:eastAsia="en-US"/>
              </w:rPr>
              <w:t>operate in an examination</w:t>
            </w:r>
          </w:p>
          <w:p w14:paraId="49A7580A" w14:textId="54CABBD8" w:rsidR="00240AAB" w:rsidRPr="00085354" w:rsidRDefault="00A7538C" w:rsidP="00F839DB">
            <w:pPr>
              <w:pStyle w:val="ListParagraph"/>
              <w:numPr>
                <w:ilvl w:val="0"/>
                <w:numId w:val="257"/>
              </w:numPr>
              <w:spacing w:after="60"/>
              <w:ind w:left="357" w:hanging="357"/>
              <w:contextualSpacing/>
              <w:rPr>
                <w:rFonts w:eastAsia="Calibri" w:cs="Arial"/>
                <w:sz w:val="14"/>
                <w:szCs w:val="14"/>
                <w:lang w:eastAsia="en-US"/>
              </w:rPr>
            </w:pPr>
            <w:hyperlink r:id="rId1775" w:history="1">
              <w:r w:rsidR="00240AAB" w:rsidRPr="00301155">
                <w:rPr>
                  <w:rStyle w:val="Hyperlink"/>
                  <w:rFonts w:eastAsia="Calibri" w:cs="Arial"/>
                  <w:sz w:val="14"/>
                  <w:szCs w:val="14"/>
                  <w:lang w:eastAsia="en-US"/>
                </w:rPr>
                <w:t>s37</w:t>
              </w:r>
            </w:hyperlink>
            <w:r w:rsidR="00240AAB" w:rsidRPr="00085354">
              <w:rPr>
                <w:rFonts w:eastAsia="Calibri" w:cs="Arial"/>
                <w:sz w:val="14"/>
                <w:szCs w:val="14"/>
                <w:lang w:eastAsia="en-US"/>
              </w:rPr>
              <w:t xml:space="preserve"> — If the rehabilitation authority makes a determination that an employee should unde</w:t>
            </w:r>
            <w:r w:rsidR="00B461BC">
              <w:rPr>
                <w:rFonts w:eastAsia="Calibri" w:cs="Arial"/>
                <w:sz w:val="14"/>
                <w:szCs w:val="14"/>
                <w:lang w:eastAsia="en-US"/>
              </w:rPr>
              <w:t xml:space="preserve">rtake a rehabilitation program, </w:t>
            </w:r>
            <w:r w:rsidR="00240AAB" w:rsidRPr="00085354">
              <w:rPr>
                <w:rFonts w:eastAsia="Calibri" w:cs="Arial"/>
                <w:sz w:val="14"/>
                <w:szCs w:val="14"/>
                <w:lang w:eastAsia="en-US"/>
              </w:rPr>
              <w:t>the rehabilitation authority must provide a rehabilitation program for the employee itself; or make arrangements with an approved program provider for that provider to provide a rehabili</w:t>
            </w:r>
            <w:r w:rsidR="00B461BC">
              <w:rPr>
                <w:rFonts w:eastAsia="Calibri" w:cs="Arial"/>
                <w:sz w:val="14"/>
                <w:szCs w:val="14"/>
                <w:lang w:eastAsia="en-US"/>
              </w:rPr>
              <w:t>tation program for the employee</w:t>
            </w:r>
          </w:p>
          <w:p w14:paraId="33E95B70" w14:textId="3E2CAA28" w:rsidR="00240AAB" w:rsidRPr="00085354" w:rsidRDefault="00A7538C" w:rsidP="00F839DB">
            <w:pPr>
              <w:pStyle w:val="ListParagraph"/>
              <w:numPr>
                <w:ilvl w:val="0"/>
                <w:numId w:val="257"/>
              </w:numPr>
              <w:spacing w:after="60"/>
              <w:ind w:left="357" w:hanging="357"/>
              <w:contextualSpacing/>
              <w:rPr>
                <w:rFonts w:eastAsia="Calibri" w:cs="Arial"/>
                <w:sz w:val="14"/>
                <w:szCs w:val="14"/>
                <w:lang w:eastAsia="en-US"/>
              </w:rPr>
            </w:pPr>
            <w:hyperlink r:id="rId1776" w:history="1">
              <w:r w:rsidR="00240AAB" w:rsidRPr="00301155">
                <w:rPr>
                  <w:rStyle w:val="Hyperlink"/>
                  <w:rFonts w:eastAsia="Calibri" w:cs="Arial"/>
                  <w:sz w:val="14"/>
                  <w:szCs w:val="14"/>
                  <w:lang w:eastAsia="en-US"/>
                </w:rPr>
                <w:t>s37(7)</w:t>
              </w:r>
            </w:hyperlink>
            <w:r w:rsidR="00240AAB" w:rsidRPr="00085354">
              <w:rPr>
                <w:rFonts w:eastAsia="Calibri" w:cs="Arial"/>
                <w:sz w:val="14"/>
                <w:szCs w:val="14"/>
                <w:lang w:eastAsia="en-US"/>
              </w:rPr>
              <w:t xml:space="preserve"> — Decide whether the employee had a reasonable excuse for failing to und</w:t>
            </w:r>
            <w:r w:rsidR="00B461BC">
              <w:rPr>
                <w:rFonts w:eastAsia="Calibri" w:cs="Arial"/>
                <w:sz w:val="14"/>
                <w:szCs w:val="14"/>
                <w:lang w:eastAsia="en-US"/>
              </w:rPr>
              <w:t>ertake a rehabilitation program</w:t>
            </w:r>
          </w:p>
        </w:tc>
      </w:tr>
      <w:tr w:rsidR="00240AAB" w:rsidRPr="00240AAB" w14:paraId="38DD0A41" w14:textId="77777777" w:rsidTr="00B2173F">
        <w:tc>
          <w:tcPr>
            <w:tcW w:w="1503" w:type="dxa"/>
            <w:tcMar>
              <w:top w:w="80" w:type="dxa"/>
              <w:left w:w="80" w:type="dxa"/>
              <w:bottom w:w="80" w:type="dxa"/>
              <w:right w:w="80" w:type="dxa"/>
            </w:tcMar>
          </w:tcPr>
          <w:p w14:paraId="4A07DD56"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lastRenderedPageBreak/>
              <w:t>C’wealth Seacare</w:t>
            </w:r>
          </w:p>
        </w:tc>
        <w:tc>
          <w:tcPr>
            <w:tcW w:w="13672" w:type="dxa"/>
            <w:tcMar>
              <w:top w:w="80" w:type="dxa"/>
              <w:left w:w="80" w:type="dxa"/>
              <w:bottom w:w="80" w:type="dxa"/>
              <w:right w:w="80" w:type="dxa"/>
            </w:tcMar>
          </w:tcPr>
          <w:p w14:paraId="2AC305EF" w14:textId="0D368D05" w:rsidR="00240AAB" w:rsidRPr="00085354" w:rsidRDefault="00025829" w:rsidP="00F839DB">
            <w:pPr>
              <w:pStyle w:val="ListParagraph"/>
              <w:numPr>
                <w:ilvl w:val="0"/>
                <w:numId w:val="258"/>
              </w:numPr>
              <w:spacing w:after="60"/>
              <w:ind w:left="357" w:hanging="357"/>
              <w:contextualSpacing/>
              <w:rPr>
                <w:rFonts w:eastAsia="Calibri" w:cs="Arial"/>
                <w:sz w:val="14"/>
                <w:szCs w:val="14"/>
                <w:lang w:eastAsia="en-US"/>
              </w:rPr>
            </w:pPr>
            <w:r w:rsidRPr="00016069">
              <w:rPr>
                <w:i/>
                <w:sz w:val="14"/>
              </w:rPr>
              <w:t>Seafarers Rehabilitation and Compensation Act 1992</w:t>
            </w:r>
            <w:r>
              <w:rPr>
                <w:i/>
                <w:sz w:val="14"/>
              </w:rPr>
              <w:t xml:space="preserve"> </w:t>
            </w:r>
            <w:hyperlink r:id="rId1777" w:history="1">
              <w:r w:rsidR="00240AAB" w:rsidRPr="00025829">
                <w:rPr>
                  <w:rStyle w:val="Hyperlink"/>
                  <w:rFonts w:eastAsia="Calibri" w:cs="Arial"/>
                  <w:sz w:val="14"/>
                  <w:szCs w:val="14"/>
                  <w:lang w:eastAsia="en-US"/>
                </w:rPr>
                <w:t>s49</w:t>
              </w:r>
            </w:hyperlink>
            <w:r w:rsidR="00240AAB" w:rsidRPr="00085354">
              <w:rPr>
                <w:rFonts w:eastAsia="Calibri" w:cs="Arial"/>
                <w:sz w:val="14"/>
                <w:szCs w:val="14"/>
                <w:lang w:eastAsia="en-US"/>
              </w:rPr>
              <w:t xml:space="preserve"> — Assessment of capability of undertaking rehabilitation program. If an employee suffers an injury that lasts, or is expected to last, 28 days, which results in an impairment or an incapacity for work, the employer must arrange for the assessment of the employee’s capability of under</w:t>
            </w:r>
            <w:r w:rsidR="00B461BC">
              <w:rPr>
                <w:rFonts w:eastAsia="Calibri" w:cs="Arial"/>
                <w:sz w:val="14"/>
                <w:szCs w:val="14"/>
                <w:lang w:eastAsia="en-US"/>
              </w:rPr>
              <w:t>taking a rehabilitation program</w:t>
            </w:r>
          </w:p>
          <w:p w14:paraId="16C76590" w14:textId="16DA1A76" w:rsidR="00240AAB" w:rsidRPr="00085354" w:rsidRDefault="00A7538C" w:rsidP="00F839DB">
            <w:pPr>
              <w:pStyle w:val="ListParagraph"/>
              <w:numPr>
                <w:ilvl w:val="0"/>
                <w:numId w:val="258"/>
              </w:numPr>
              <w:spacing w:after="60"/>
              <w:ind w:left="357" w:hanging="357"/>
              <w:contextualSpacing/>
              <w:rPr>
                <w:rFonts w:eastAsia="Calibri" w:cs="Arial"/>
                <w:sz w:val="14"/>
                <w:szCs w:val="14"/>
                <w:lang w:eastAsia="en-US"/>
              </w:rPr>
            </w:pPr>
            <w:hyperlink r:id="rId1778" w:history="1">
              <w:r w:rsidR="00240AAB" w:rsidRPr="00025829">
                <w:rPr>
                  <w:rStyle w:val="Hyperlink"/>
                  <w:rFonts w:eastAsia="Calibri" w:cs="Arial"/>
                  <w:sz w:val="14"/>
                  <w:szCs w:val="14"/>
                  <w:lang w:eastAsia="en-US"/>
                </w:rPr>
                <w:t>s49(4)</w:t>
              </w:r>
            </w:hyperlink>
            <w:r w:rsidR="00240AAB" w:rsidRPr="00085354">
              <w:rPr>
                <w:rFonts w:eastAsia="Calibri" w:cs="Arial"/>
                <w:sz w:val="14"/>
                <w:szCs w:val="14"/>
                <w:lang w:eastAsia="en-US"/>
              </w:rPr>
              <w:t xml:space="preserve"> — Decide whether an employee had a reasonable excuse for failing to co-operate in an examination</w:t>
            </w:r>
          </w:p>
          <w:p w14:paraId="7A900094" w14:textId="119C5E7B" w:rsidR="00240AAB" w:rsidRPr="00085354" w:rsidRDefault="00A7538C" w:rsidP="00F839DB">
            <w:pPr>
              <w:pStyle w:val="ListParagraph"/>
              <w:numPr>
                <w:ilvl w:val="0"/>
                <w:numId w:val="258"/>
              </w:numPr>
              <w:spacing w:after="60"/>
              <w:ind w:left="357" w:hanging="357"/>
              <w:contextualSpacing/>
              <w:rPr>
                <w:rFonts w:eastAsia="Calibri" w:cs="Arial"/>
                <w:sz w:val="14"/>
                <w:szCs w:val="14"/>
                <w:lang w:eastAsia="en-US"/>
              </w:rPr>
            </w:pPr>
            <w:hyperlink r:id="rId1779" w:history="1">
              <w:r w:rsidR="00240AAB" w:rsidRPr="00025829">
                <w:rPr>
                  <w:rStyle w:val="Hyperlink"/>
                  <w:rFonts w:eastAsia="Calibri" w:cs="Arial"/>
                  <w:sz w:val="14"/>
                  <w:szCs w:val="14"/>
                  <w:lang w:eastAsia="en-US"/>
                </w:rPr>
                <w:t>s50</w:t>
              </w:r>
            </w:hyperlink>
            <w:r w:rsidR="00240AAB" w:rsidRPr="00085354">
              <w:rPr>
                <w:rFonts w:eastAsia="Calibri" w:cs="Arial"/>
                <w:sz w:val="14"/>
                <w:szCs w:val="14"/>
                <w:lang w:eastAsia="en-US"/>
              </w:rPr>
              <w:t xml:space="preserve"> — If an employee is assessed capable of undertaking a rehabilitation program, the employer must make arrangements with an approved program provider for the provision of an appropriate rehabilitation program.</w:t>
            </w:r>
          </w:p>
          <w:p w14:paraId="0173219C" w14:textId="23F3BE1B" w:rsidR="00240AAB" w:rsidRPr="00085354" w:rsidRDefault="00A7538C" w:rsidP="00F839DB">
            <w:pPr>
              <w:pStyle w:val="ListParagraph"/>
              <w:numPr>
                <w:ilvl w:val="0"/>
                <w:numId w:val="258"/>
              </w:numPr>
              <w:spacing w:after="60"/>
              <w:ind w:left="357" w:hanging="357"/>
              <w:contextualSpacing/>
              <w:rPr>
                <w:rFonts w:eastAsia="Calibri" w:cs="Arial"/>
                <w:sz w:val="14"/>
                <w:szCs w:val="14"/>
                <w:lang w:eastAsia="en-US"/>
              </w:rPr>
            </w:pPr>
            <w:hyperlink r:id="rId1780" w:history="1">
              <w:r w:rsidR="00240AAB" w:rsidRPr="00025829">
                <w:rPr>
                  <w:rStyle w:val="Hyperlink"/>
                  <w:rFonts w:eastAsia="Calibri" w:cs="Arial"/>
                  <w:sz w:val="14"/>
                  <w:szCs w:val="14"/>
                  <w:lang w:eastAsia="en-US"/>
                </w:rPr>
                <w:t>s50(5)</w:t>
              </w:r>
            </w:hyperlink>
            <w:r w:rsidR="00240AAB" w:rsidRPr="00085354">
              <w:rPr>
                <w:rFonts w:eastAsia="Calibri" w:cs="Arial"/>
                <w:sz w:val="14"/>
                <w:szCs w:val="14"/>
                <w:lang w:eastAsia="en-US"/>
              </w:rPr>
              <w:t xml:space="preserve"> </w:t>
            </w:r>
            <w:r w:rsidR="00F358E7">
              <w:rPr>
                <w:rFonts w:eastAsia="Calibri" w:cs="Arial"/>
                <w:sz w:val="14"/>
                <w:szCs w:val="14"/>
                <w:lang w:eastAsia="en-US"/>
              </w:rPr>
              <w:t>—</w:t>
            </w:r>
            <w:r w:rsidR="00F358E7" w:rsidRPr="00085354">
              <w:rPr>
                <w:rFonts w:eastAsia="Calibri" w:cs="Arial"/>
                <w:sz w:val="14"/>
                <w:szCs w:val="14"/>
                <w:lang w:eastAsia="en-US"/>
              </w:rPr>
              <w:t xml:space="preserve"> </w:t>
            </w:r>
            <w:r w:rsidR="00240AAB" w:rsidRPr="00085354">
              <w:rPr>
                <w:rFonts w:eastAsia="Calibri" w:cs="Arial"/>
                <w:sz w:val="14"/>
                <w:szCs w:val="14"/>
                <w:lang w:eastAsia="en-US"/>
              </w:rPr>
              <w:t>Decide whether the employee had a reasonable excuse for failing to undertake a rehabilitation program</w:t>
            </w:r>
          </w:p>
        </w:tc>
      </w:tr>
      <w:tr w:rsidR="00240AAB" w:rsidRPr="00240AAB" w14:paraId="64813AE6" w14:textId="77777777" w:rsidTr="00B2173F">
        <w:tc>
          <w:tcPr>
            <w:tcW w:w="1503" w:type="dxa"/>
            <w:shd w:val="clear" w:color="auto" w:fill="FFC9C9"/>
            <w:tcMar>
              <w:top w:w="80" w:type="dxa"/>
              <w:left w:w="80" w:type="dxa"/>
              <w:bottom w:w="80" w:type="dxa"/>
              <w:right w:w="80" w:type="dxa"/>
            </w:tcMar>
          </w:tcPr>
          <w:p w14:paraId="12DF3C61"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C’wealth DVA</w:t>
            </w:r>
          </w:p>
        </w:tc>
        <w:tc>
          <w:tcPr>
            <w:tcW w:w="13672" w:type="dxa"/>
            <w:shd w:val="clear" w:color="auto" w:fill="FFC9C9"/>
            <w:tcMar>
              <w:top w:w="80" w:type="dxa"/>
              <w:left w:w="80" w:type="dxa"/>
              <w:bottom w:w="80" w:type="dxa"/>
              <w:right w:w="80" w:type="dxa"/>
            </w:tcMar>
          </w:tcPr>
          <w:p w14:paraId="191C0F3C" w14:textId="6DE3FD2E"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No</w:t>
            </w:r>
          </w:p>
        </w:tc>
      </w:tr>
      <w:tr w:rsidR="00240AAB" w:rsidRPr="00240AAB" w14:paraId="42C23E34" w14:textId="77777777" w:rsidTr="00B2173F">
        <w:tc>
          <w:tcPr>
            <w:tcW w:w="1503" w:type="dxa"/>
            <w:tcMar>
              <w:top w:w="80" w:type="dxa"/>
              <w:left w:w="80" w:type="dxa"/>
              <w:bottom w:w="80" w:type="dxa"/>
              <w:right w:w="80" w:type="dxa"/>
            </w:tcMar>
            <w:vAlign w:val="center"/>
          </w:tcPr>
          <w:p w14:paraId="4CBD7C0B"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New Zealand</w:t>
            </w:r>
          </w:p>
        </w:tc>
        <w:tc>
          <w:tcPr>
            <w:tcW w:w="13672" w:type="dxa"/>
            <w:tcMar>
              <w:top w:w="80" w:type="dxa"/>
              <w:left w:w="80" w:type="dxa"/>
              <w:bottom w:w="80" w:type="dxa"/>
              <w:right w:w="80" w:type="dxa"/>
            </w:tcMar>
          </w:tcPr>
          <w:p w14:paraId="1C4CA0D1" w14:textId="2FEB261A"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The employer must take all practicable steps to assist the claimant with the claimant's vocational rehabilitation under his or her individual rehabilitation plan —</w:t>
            </w:r>
            <w:r w:rsidR="00025829">
              <w:rPr>
                <w:rFonts w:cs="Arial"/>
                <w:color w:val="000000"/>
                <w:sz w:val="14"/>
                <w:szCs w:val="16"/>
                <w:lang w:val="en-GB"/>
              </w:rPr>
              <w:t xml:space="preserve"> </w:t>
            </w:r>
            <w:r w:rsidR="00025829" w:rsidRPr="00016069">
              <w:rPr>
                <w:i/>
                <w:sz w:val="14"/>
              </w:rPr>
              <w:t>Accident Compensation Act 2001</w:t>
            </w:r>
            <w:r w:rsidR="00DD0D68">
              <w:rPr>
                <w:rFonts w:cs="Arial"/>
                <w:color w:val="000000"/>
                <w:sz w:val="14"/>
                <w:szCs w:val="16"/>
                <w:lang w:val="en-GB"/>
              </w:rPr>
              <w:t xml:space="preserve"> </w:t>
            </w:r>
            <w:hyperlink r:id="rId1781" w:history="1">
              <w:r w:rsidR="00B461BC" w:rsidRPr="00025829">
                <w:rPr>
                  <w:rStyle w:val="Hyperlink"/>
                  <w:rFonts w:cs="Arial"/>
                  <w:sz w:val="14"/>
                  <w:szCs w:val="16"/>
                  <w:lang w:val="en-GB"/>
                </w:rPr>
                <w:t>s71</w:t>
              </w:r>
            </w:hyperlink>
          </w:p>
        </w:tc>
      </w:tr>
    </w:tbl>
    <w:p w14:paraId="3CC121BA" w14:textId="45869741" w:rsidR="00085354" w:rsidRPr="00A80282" w:rsidRDefault="00085354" w:rsidP="00A80282">
      <w:pPr>
        <w:pStyle w:val="SWATableheader"/>
      </w:pPr>
      <w:bookmarkStart w:id="167" w:name="_Toc504654692"/>
      <w:bookmarkEnd w:id="166"/>
      <w:r w:rsidRPr="00A80282">
        <w:lastRenderedPageBreak/>
        <w:t>Table 5.3: Responsibilities of workers</w:t>
      </w:r>
      <w:bookmarkEnd w:id="167"/>
      <w:r w:rsidRPr="00A80282">
        <w:t xml:space="preserve"> </w:t>
      </w:r>
      <w:r w:rsidR="00232E14" w:rsidRPr="00A80282">
        <w:fldChar w:fldCharType="begin"/>
      </w:r>
      <w:r w:rsidR="00232E14" w:rsidRPr="00A80282">
        <w:instrText xml:space="preserve"> XE "return to work:worker responsibilities" \r "worker1" </w:instrText>
      </w:r>
      <w:r w:rsidR="00232E14" w:rsidRPr="00A80282">
        <w:fldChar w:fldCharType="end"/>
      </w:r>
      <w:r w:rsidR="00870A7B" w:rsidRPr="00A80282">
        <w:fldChar w:fldCharType="begin"/>
      </w:r>
      <w:r w:rsidR="00870A7B" w:rsidRPr="00A80282">
        <w:instrText xml:space="preserve"> XE "work health and safety requirements and auditing:responsibilities in return to work" \r "worker1" </w:instrText>
      </w:r>
      <w:r w:rsidR="00870A7B" w:rsidRPr="00A80282">
        <w:fldChar w:fldCharType="end"/>
      </w:r>
      <w:r w:rsidR="00870A7B" w:rsidRPr="00A80282">
        <w:fldChar w:fldCharType="begin"/>
      </w:r>
      <w:r w:rsidR="00870A7B" w:rsidRPr="00A80282">
        <w:instrText xml:space="preserve"> XE "work health and safety requirements and auditing:see also coverage of workers" \t ""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3: Responsibilities of workers  "/>
        <w:tblDescription w:val="This table provides information about the responsibilies of workers under each of the workers' compensation schemes. "/>
      </w:tblPr>
      <w:tblGrid>
        <w:gridCol w:w="1418"/>
        <w:gridCol w:w="2278"/>
        <w:gridCol w:w="2279"/>
        <w:gridCol w:w="2279"/>
        <w:gridCol w:w="2278"/>
        <w:gridCol w:w="2279"/>
        <w:gridCol w:w="2279"/>
      </w:tblGrid>
      <w:tr w:rsidR="00085354" w:rsidRPr="00085354" w14:paraId="292CCC2F" w14:textId="77777777" w:rsidTr="00B2173F">
        <w:trPr>
          <w:tblHeader/>
        </w:trPr>
        <w:tc>
          <w:tcPr>
            <w:tcW w:w="1418" w:type="dxa"/>
            <w:shd w:val="clear" w:color="auto" w:fill="C00000"/>
            <w:tcMar>
              <w:top w:w="80" w:type="dxa"/>
              <w:left w:w="80" w:type="dxa"/>
              <w:bottom w:w="80" w:type="dxa"/>
              <w:right w:w="80" w:type="dxa"/>
            </w:tcMar>
            <w:vAlign w:val="center"/>
          </w:tcPr>
          <w:p w14:paraId="5837BFED" w14:textId="77777777" w:rsidR="00085354" w:rsidRPr="00085354" w:rsidRDefault="00085354" w:rsidP="00292A53">
            <w:pPr>
              <w:pStyle w:val="Tableheaderrow"/>
              <w:spacing w:after="60"/>
            </w:pPr>
            <w:bookmarkStart w:id="168" w:name="worker1"/>
          </w:p>
          <w:p w14:paraId="6DCABB64" w14:textId="77777777" w:rsidR="00085354" w:rsidRPr="00085354" w:rsidRDefault="00085354" w:rsidP="00292A53">
            <w:pPr>
              <w:pStyle w:val="Tableheaderrow"/>
              <w:spacing w:after="60"/>
            </w:pPr>
          </w:p>
        </w:tc>
        <w:tc>
          <w:tcPr>
            <w:tcW w:w="2278" w:type="dxa"/>
            <w:shd w:val="clear" w:color="auto" w:fill="C00000"/>
            <w:tcMar>
              <w:top w:w="80" w:type="dxa"/>
              <w:left w:w="80" w:type="dxa"/>
              <w:bottom w:w="80" w:type="dxa"/>
              <w:right w:w="80" w:type="dxa"/>
            </w:tcMar>
            <w:vAlign w:val="center"/>
          </w:tcPr>
          <w:p w14:paraId="1583D26F" w14:textId="77777777" w:rsidR="00085354" w:rsidRPr="00085354" w:rsidRDefault="00085354" w:rsidP="00292A53">
            <w:pPr>
              <w:pStyle w:val="Tableheaderrow"/>
              <w:spacing w:after="60"/>
            </w:pPr>
            <w:r w:rsidRPr="00085354">
              <w:t xml:space="preserve">Responsibilities of the worker in relation to the return to </w:t>
            </w:r>
            <w:r w:rsidRPr="00085354">
              <w:br/>
              <w:t>work / injury management plan</w:t>
            </w:r>
          </w:p>
        </w:tc>
        <w:tc>
          <w:tcPr>
            <w:tcW w:w="2279" w:type="dxa"/>
            <w:shd w:val="clear" w:color="auto" w:fill="C00000"/>
            <w:tcMar>
              <w:top w:w="80" w:type="dxa"/>
              <w:left w:w="80" w:type="dxa"/>
              <w:bottom w:w="80" w:type="dxa"/>
              <w:right w:w="80" w:type="dxa"/>
            </w:tcMar>
            <w:vAlign w:val="center"/>
          </w:tcPr>
          <w:p w14:paraId="7D2C9D66" w14:textId="77777777" w:rsidR="00085354" w:rsidRPr="00085354" w:rsidRDefault="00085354" w:rsidP="00292A53">
            <w:pPr>
              <w:pStyle w:val="Tableheaderrow"/>
              <w:spacing w:after="60"/>
            </w:pPr>
            <w:r w:rsidRPr="00085354">
              <w:t>Obligations in relation to participating in medical treatment and/or rehabilitation</w:t>
            </w:r>
          </w:p>
        </w:tc>
        <w:tc>
          <w:tcPr>
            <w:tcW w:w="2279" w:type="dxa"/>
            <w:shd w:val="clear" w:color="auto" w:fill="C00000"/>
            <w:tcMar>
              <w:top w:w="80" w:type="dxa"/>
              <w:left w:w="80" w:type="dxa"/>
              <w:bottom w:w="80" w:type="dxa"/>
              <w:right w:w="80" w:type="dxa"/>
            </w:tcMar>
            <w:vAlign w:val="center"/>
          </w:tcPr>
          <w:p w14:paraId="339F5149" w14:textId="77777777" w:rsidR="00085354" w:rsidRPr="00085354" w:rsidRDefault="00085354" w:rsidP="00292A53">
            <w:pPr>
              <w:pStyle w:val="Tableheaderrow"/>
              <w:spacing w:after="60"/>
            </w:pPr>
            <w:r w:rsidRPr="00085354">
              <w:t>Obligations in relation to participating in assessment</w:t>
            </w:r>
          </w:p>
        </w:tc>
        <w:tc>
          <w:tcPr>
            <w:tcW w:w="2278" w:type="dxa"/>
            <w:shd w:val="clear" w:color="auto" w:fill="C00000"/>
            <w:tcMar>
              <w:top w:w="80" w:type="dxa"/>
              <w:left w:w="80" w:type="dxa"/>
              <w:bottom w:w="80" w:type="dxa"/>
              <w:right w:w="80" w:type="dxa"/>
            </w:tcMar>
            <w:vAlign w:val="center"/>
          </w:tcPr>
          <w:p w14:paraId="01FE217C" w14:textId="77777777" w:rsidR="00085354" w:rsidRPr="00085354" w:rsidRDefault="00085354" w:rsidP="00292A53">
            <w:pPr>
              <w:pStyle w:val="Tableheaderrow"/>
              <w:spacing w:after="60"/>
            </w:pPr>
            <w:r w:rsidRPr="00085354">
              <w:t>Obligations in making efforts to return to work</w:t>
            </w:r>
          </w:p>
        </w:tc>
        <w:tc>
          <w:tcPr>
            <w:tcW w:w="2279" w:type="dxa"/>
            <w:shd w:val="clear" w:color="auto" w:fill="C00000"/>
            <w:tcMar>
              <w:top w:w="80" w:type="dxa"/>
              <w:left w:w="80" w:type="dxa"/>
              <w:bottom w:w="80" w:type="dxa"/>
              <w:right w:w="80" w:type="dxa"/>
            </w:tcMar>
            <w:vAlign w:val="center"/>
          </w:tcPr>
          <w:p w14:paraId="0D573BDC" w14:textId="1DC72C06" w:rsidR="00085354" w:rsidRPr="00085354" w:rsidRDefault="00085354" w:rsidP="00292A53">
            <w:pPr>
              <w:pStyle w:val="Tableheaderrow"/>
              <w:spacing w:after="60"/>
            </w:pPr>
            <w:r w:rsidRPr="00085354">
              <w:t>Obligations in relation to notifying about a return to work</w:t>
            </w:r>
          </w:p>
        </w:tc>
        <w:tc>
          <w:tcPr>
            <w:tcW w:w="2279" w:type="dxa"/>
            <w:shd w:val="clear" w:color="auto" w:fill="C00000"/>
            <w:tcMar>
              <w:top w:w="80" w:type="dxa"/>
              <w:left w:w="80" w:type="dxa"/>
              <w:bottom w:w="80" w:type="dxa"/>
              <w:right w:w="80" w:type="dxa"/>
            </w:tcMar>
            <w:vAlign w:val="center"/>
          </w:tcPr>
          <w:p w14:paraId="66A02809" w14:textId="77777777" w:rsidR="00085354" w:rsidRPr="00085354" w:rsidRDefault="00085354" w:rsidP="00292A53">
            <w:pPr>
              <w:pStyle w:val="Tableheaderrow"/>
              <w:spacing w:after="60"/>
            </w:pPr>
            <w:r w:rsidRPr="00085354">
              <w:t>Other obligations</w:t>
            </w:r>
          </w:p>
        </w:tc>
      </w:tr>
      <w:tr w:rsidR="00085354" w:rsidRPr="00085354" w14:paraId="05661E03" w14:textId="77777777" w:rsidTr="00B2173F">
        <w:tc>
          <w:tcPr>
            <w:tcW w:w="1418" w:type="dxa"/>
            <w:shd w:val="clear" w:color="auto" w:fill="FFC9C9"/>
            <w:tcMar>
              <w:top w:w="80" w:type="dxa"/>
              <w:left w:w="80" w:type="dxa"/>
              <w:bottom w:w="80" w:type="dxa"/>
              <w:right w:w="80" w:type="dxa"/>
            </w:tcMar>
          </w:tcPr>
          <w:p w14:paraId="36A1F959"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New South Wales</w:t>
            </w:r>
          </w:p>
        </w:tc>
        <w:tc>
          <w:tcPr>
            <w:tcW w:w="2278" w:type="dxa"/>
            <w:shd w:val="clear" w:color="auto" w:fill="FFC9C9"/>
            <w:tcMar>
              <w:top w:w="80" w:type="dxa"/>
              <w:left w:w="80" w:type="dxa"/>
              <w:bottom w:w="80" w:type="dxa"/>
              <w:right w:w="80" w:type="dxa"/>
            </w:tcMar>
          </w:tcPr>
          <w:p w14:paraId="7EE78FBD" w14:textId="01499F33" w:rsidR="00085354" w:rsidRPr="00085354" w:rsidRDefault="00A7538C" w:rsidP="00292A53">
            <w:pPr>
              <w:spacing w:after="60"/>
              <w:rPr>
                <w:rFonts w:cs="Arial"/>
                <w:color w:val="000000"/>
                <w:sz w:val="14"/>
                <w:szCs w:val="16"/>
                <w:lang w:val="en-GB"/>
              </w:rPr>
            </w:pPr>
            <w:hyperlink r:id="rId1782" w:history="1">
              <w:r w:rsidR="00163731" w:rsidRPr="00ED76DA">
                <w:rPr>
                  <w:rStyle w:val="Hyperlink"/>
                  <w:rFonts w:cs="Arial"/>
                  <w:sz w:val="14"/>
                  <w:szCs w:val="16"/>
                  <w:lang w:val="en-GB"/>
                </w:rPr>
                <w:t xml:space="preserve">Section </w:t>
              </w:r>
              <w:r w:rsidR="00085354" w:rsidRPr="00ED76DA">
                <w:rPr>
                  <w:rStyle w:val="Hyperlink"/>
                  <w:rFonts w:cs="Arial"/>
                  <w:sz w:val="14"/>
                  <w:szCs w:val="16"/>
                  <w:lang w:val="en-GB"/>
                </w:rPr>
                <w:t>47</w:t>
              </w:r>
            </w:hyperlink>
            <w:r w:rsidR="00085354" w:rsidRPr="00085354">
              <w:rPr>
                <w:rFonts w:cs="Arial"/>
                <w:color w:val="000000"/>
                <w:sz w:val="14"/>
                <w:szCs w:val="16"/>
                <w:lang w:val="en-GB"/>
              </w:rPr>
              <w:t xml:space="preserve"> </w:t>
            </w:r>
            <w:r w:rsidR="00ED76DA" w:rsidRPr="00016069">
              <w:rPr>
                <w:i/>
                <w:sz w:val="14"/>
              </w:rPr>
              <w:t>Workplace Injury Management and</w:t>
            </w:r>
            <w:r w:rsidR="00ED76DA">
              <w:rPr>
                <w:i/>
                <w:sz w:val="14"/>
              </w:rPr>
              <w:t xml:space="preserve"> Workers Compensation Act 1998</w:t>
            </w:r>
            <w:r w:rsidR="00085354" w:rsidRPr="00085354">
              <w:rPr>
                <w:rFonts w:cs="Arial"/>
                <w:color w:val="000000"/>
                <w:sz w:val="14"/>
                <w:szCs w:val="16"/>
                <w:lang w:val="en-GB"/>
              </w:rPr>
              <w:t xml:space="preserve"> — Must participate and cooperate in the establishment of an injury management plan. Must comply with obligations under an injury management plan. Must nominate treating doctor. Must authorise treating doctor to provide information for the purposes of injury management. </w:t>
            </w:r>
          </w:p>
        </w:tc>
        <w:tc>
          <w:tcPr>
            <w:tcW w:w="2279" w:type="dxa"/>
            <w:shd w:val="clear" w:color="auto" w:fill="FFC9C9"/>
            <w:tcMar>
              <w:top w:w="80" w:type="dxa"/>
              <w:left w:w="80" w:type="dxa"/>
              <w:bottom w:w="80" w:type="dxa"/>
              <w:right w:w="80" w:type="dxa"/>
            </w:tcMar>
          </w:tcPr>
          <w:p w14:paraId="3ACA536F" w14:textId="4E931D4C" w:rsidR="00085354" w:rsidRDefault="00A7538C" w:rsidP="00292A53">
            <w:pPr>
              <w:spacing w:after="60"/>
              <w:rPr>
                <w:rFonts w:cs="Arial"/>
                <w:color w:val="000000"/>
                <w:sz w:val="14"/>
                <w:szCs w:val="16"/>
                <w:lang w:val="en-GB"/>
              </w:rPr>
            </w:pPr>
            <w:hyperlink r:id="rId1783" w:history="1">
              <w:r w:rsidR="00085354" w:rsidRPr="00ED76DA">
                <w:rPr>
                  <w:rStyle w:val="Hyperlink"/>
                  <w:rFonts w:cs="Arial"/>
                  <w:sz w:val="14"/>
                  <w:szCs w:val="16"/>
                  <w:lang w:val="en-GB"/>
                </w:rPr>
                <w:t>s</w:t>
              </w:r>
              <w:r w:rsidR="00B461BC" w:rsidRPr="00ED76DA">
                <w:rPr>
                  <w:rStyle w:val="Hyperlink"/>
                  <w:rFonts w:cs="Arial"/>
                  <w:sz w:val="14"/>
                  <w:szCs w:val="16"/>
                  <w:lang w:val="en-GB"/>
                </w:rPr>
                <w:t>47</w:t>
              </w:r>
            </w:hyperlink>
            <w:r w:rsidR="00B461BC">
              <w:rPr>
                <w:rFonts w:cs="Arial"/>
                <w:color w:val="000000"/>
                <w:sz w:val="14"/>
                <w:szCs w:val="16"/>
                <w:lang w:val="en-GB"/>
              </w:rPr>
              <w:t xml:space="preserve"> 1998 Act — Must participate</w:t>
            </w:r>
          </w:p>
          <w:p w14:paraId="14823FA5" w14:textId="304B7C1A" w:rsidR="00163731" w:rsidRPr="00085354" w:rsidRDefault="00163731" w:rsidP="00292A53">
            <w:pPr>
              <w:spacing w:after="60"/>
              <w:rPr>
                <w:rFonts w:cs="Arial"/>
                <w:color w:val="000000"/>
                <w:sz w:val="14"/>
                <w:szCs w:val="16"/>
                <w:lang w:val="en-GB"/>
              </w:rPr>
            </w:pPr>
            <w:r>
              <w:rPr>
                <w:rFonts w:cs="Arial"/>
                <w:color w:val="000000"/>
                <w:sz w:val="14"/>
                <w:szCs w:val="16"/>
                <w:lang w:val="en-GB"/>
              </w:rPr>
              <w:t xml:space="preserve">Nominate a treating doctor who is prepared to participate in the development and implementation of an injury management plan (section </w:t>
            </w:r>
            <w:hyperlink r:id="rId1784" w:history="1">
              <w:r w:rsidRPr="00ED76DA">
                <w:rPr>
                  <w:rStyle w:val="Hyperlink"/>
                  <w:rFonts w:cs="Arial"/>
                  <w:sz w:val="14"/>
                  <w:szCs w:val="16"/>
                  <w:lang w:val="en-GB"/>
                </w:rPr>
                <w:t>47(3)</w:t>
              </w:r>
            </w:hyperlink>
            <w:r>
              <w:rPr>
                <w:rFonts w:cs="Arial"/>
                <w:color w:val="000000"/>
                <w:sz w:val="14"/>
                <w:szCs w:val="16"/>
                <w:lang w:val="en-GB"/>
              </w:rPr>
              <w:t xml:space="preserve"> and </w:t>
            </w:r>
            <w:hyperlink r:id="rId1785" w:history="1">
              <w:r w:rsidRPr="00ED76DA">
                <w:rPr>
                  <w:rStyle w:val="Hyperlink"/>
                  <w:rFonts w:cs="Arial"/>
                  <w:sz w:val="14"/>
                  <w:szCs w:val="16"/>
                  <w:lang w:val="en-GB"/>
                </w:rPr>
                <w:t>94</w:t>
              </w:r>
            </w:hyperlink>
            <w:r>
              <w:rPr>
                <w:rFonts w:cs="Arial"/>
                <w:color w:val="000000"/>
                <w:sz w:val="14"/>
                <w:szCs w:val="16"/>
                <w:lang w:val="en-GB"/>
              </w:rPr>
              <w:t>) of the 1998 Act.</w:t>
            </w:r>
          </w:p>
        </w:tc>
        <w:tc>
          <w:tcPr>
            <w:tcW w:w="2279" w:type="dxa"/>
            <w:shd w:val="clear" w:color="auto" w:fill="FFC9C9"/>
            <w:tcMar>
              <w:top w:w="80" w:type="dxa"/>
              <w:left w:w="80" w:type="dxa"/>
              <w:bottom w:w="80" w:type="dxa"/>
              <w:right w:w="80" w:type="dxa"/>
            </w:tcMar>
          </w:tcPr>
          <w:p w14:paraId="63D06BB0" w14:textId="61BDE044" w:rsidR="00085354" w:rsidRPr="00085354" w:rsidRDefault="00A7538C" w:rsidP="00292A53">
            <w:pPr>
              <w:spacing w:after="60"/>
              <w:rPr>
                <w:rFonts w:cs="Arial"/>
                <w:color w:val="000000"/>
                <w:sz w:val="14"/>
                <w:szCs w:val="16"/>
                <w:lang w:val="en-GB"/>
              </w:rPr>
            </w:pPr>
            <w:hyperlink r:id="rId1786" w:history="1">
              <w:r w:rsidR="009E6E59" w:rsidRPr="00ED76DA">
                <w:rPr>
                  <w:rStyle w:val="Hyperlink"/>
                  <w:rFonts w:cs="Arial"/>
                  <w:sz w:val="14"/>
                  <w:szCs w:val="16"/>
                  <w:lang w:val="en-GB"/>
                </w:rPr>
                <w:t xml:space="preserve">Section </w:t>
              </w:r>
              <w:r w:rsidR="00085354" w:rsidRPr="00ED76DA">
                <w:rPr>
                  <w:rStyle w:val="Hyperlink"/>
                  <w:rFonts w:cs="Arial"/>
                  <w:sz w:val="14"/>
                  <w:szCs w:val="16"/>
                  <w:lang w:val="en-GB"/>
                </w:rPr>
                <w:t>119</w:t>
              </w:r>
            </w:hyperlink>
            <w:r w:rsidR="00085354" w:rsidRPr="00085354">
              <w:rPr>
                <w:rFonts w:cs="Arial"/>
                <w:color w:val="000000"/>
                <w:sz w:val="14"/>
                <w:szCs w:val="16"/>
                <w:lang w:val="en-GB"/>
              </w:rPr>
              <w:t xml:space="preserve"> 1998 Act — A worker who has given notice of an injury or receiving weekly payments of compensation, must if so required by the employer, submit himself or herself for examination by a medical practitioner, provided and paid by the employer. </w:t>
            </w:r>
          </w:p>
        </w:tc>
        <w:tc>
          <w:tcPr>
            <w:tcW w:w="2278" w:type="dxa"/>
            <w:shd w:val="clear" w:color="auto" w:fill="FFC9C9"/>
            <w:tcMar>
              <w:top w:w="80" w:type="dxa"/>
              <w:left w:w="80" w:type="dxa"/>
              <w:bottom w:w="80" w:type="dxa"/>
              <w:right w:w="80" w:type="dxa"/>
            </w:tcMar>
          </w:tcPr>
          <w:p w14:paraId="4DC03B78" w14:textId="307548CC" w:rsidR="00085354" w:rsidRPr="00085354" w:rsidRDefault="00A7538C" w:rsidP="009E6E59">
            <w:pPr>
              <w:spacing w:after="60"/>
              <w:rPr>
                <w:rFonts w:cs="Arial"/>
                <w:color w:val="000000"/>
                <w:sz w:val="14"/>
                <w:szCs w:val="16"/>
                <w:lang w:val="en-GB"/>
              </w:rPr>
            </w:pPr>
            <w:hyperlink r:id="rId1787" w:history="1">
              <w:r w:rsidR="009E6E59" w:rsidRPr="00ED76DA">
                <w:rPr>
                  <w:rStyle w:val="Hyperlink"/>
                  <w:rFonts w:cs="Arial"/>
                  <w:sz w:val="14"/>
                  <w:szCs w:val="16"/>
                  <w:lang w:val="en-GB"/>
                </w:rPr>
                <w:t xml:space="preserve">Section </w:t>
              </w:r>
              <w:r w:rsidR="00085354" w:rsidRPr="00ED76DA">
                <w:rPr>
                  <w:rStyle w:val="Hyperlink"/>
                  <w:rFonts w:cs="Arial"/>
                  <w:sz w:val="14"/>
                  <w:szCs w:val="16"/>
                  <w:lang w:val="en-GB"/>
                </w:rPr>
                <w:t>48</w:t>
              </w:r>
            </w:hyperlink>
            <w:r w:rsidR="00085354" w:rsidRPr="00085354">
              <w:rPr>
                <w:rFonts w:cs="Arial"/>
                <w:color w:val="000000"/>
                <w:sz w:val="14"/>
                <w:szCs w:val="16"/>
                <w:lang w:val="en-GB"/>
              </w:rPr>
              <w:t xml:space="preserve"> 1998 Act — Must make all reasonable efforts to return to work in suitable employment</w:t>
            </w:r>
            <w:r w:rsidR="009E6E59">
              <w:rPr>
                <w:rFonts w:cs="Arial"/>
                <w:color w:val="000000"/>
                <w:sz w:val="14"/>
                <w:szCs w:val="16"/>
                <w:lang w:val="en-GB"/>
              </w:rPr>
              <w:t xml:space="preserve"> with their pre-injury employer at the same place of employment or another place of</w:t>
            </w:r>
            <w:r w:rsidR="00085354" w:rsidRPr="00085354">
              <w:rPr>
                <w:rFonts w:cs="Arial"/>
                <w:color w:val="000000"/>
                <w:sz w:val="14"/>
                <w:szCs w:val="16"/>
                <w:lang w:val="en-GB"/>
              </w:rPr>
              <w:t xml:space="preserve"> employment.</w:t>
            </w:r>
          </w:p>
        </w:tc>
        <w:tc>
          <w:tcPr>
            <w:tcW w:w="2279" w:type="dxa"/>
            <w:shd w:val="clear" w:color="auto" w:fill="FFC9C9"/>
            <w:tcMar>
              <w:top w:w="80" w:type="dxa"/>
              <w:left w:w="80" w:type="dxa"/>
              <w:bottom w:w="80" w:type="dxa"/>
              <w:right w:w="80" w:type="dxa"/>
            </w:tcMar>
          </w:tcPr>
          <w:p w14:paraId="62B64016" w14:textId="05844CC7" w:rsidR="00085354" w:rsidRPr="00085354" w:rsidRDefault="00A7538C" w:rsidP="00292A53">
            <w:pPr>
              <w:spacing w:after="60"/>
              <w:rPr>
                <w:rFonts w:cs="Arial"/>
                <w:color w:val="000000"/>
                <w:sz w:val="14"/>
                <w:szCs w:val="16"/>
                <w:lang w:val="en-GB"/>
              </w:rPr>
            </w:pPr>
            <w:hyperlink r:id="rId1788" w:history="1">
              <w:r w:rsidR="009E6E59" w:rsidRPr="00ED76DA">
                <w:rPr>
                  <w:rStyle w:val="Hyperlink"/>
                  <w:rFonts w:cs="Arial"/>
                  <w:sz w:val="14"/>
                  <w:szCs w:val="16"/>
                  <w:lang w:val="en-GB"/>
                </w:rPr>
                <w:t xml:space="preserve">Section </w:t>
              </w:r>
              <w:r w:rsidR="00085354" w:rsidRPr="00ED76DA">
                <w:rPr>
                  <w:rStyle w:val="Hyperlink"/>
                  <w:rFonts w:cs="Arial"/>
                  <w:sz w:val="14"/>
                  <w:szCs w:val="16"/>
                  <w:lang w:val="en-GB"/>
                </w:rPr>
                <w:t>57</w:t>
              </w:r>
            </w:hyperlink>
            <w:r w:rsidR="00085354" w:rsidRPr="00085354">
              <w:rPr>
                <w:rFonts w:cs="Arial"/>
                <w:color w:val="000000"/>
                <w:sz w:val="14"/>
                <w:szCs w:val="16"/>
                <w:lang w:val="en-GB"/>
              </w:rPr>
              <w:t xml:space="preserve"> </w:t>
            </w:r>
            <w:r w:rsidR="00ED76DA" w:rsidRPr="00016069">
              <w:rPr>
                <w:i/>
                <w:sz w:val="14"/>
              </w:rPr>
              <w:t>Workers Compensation Act 1987</w:t>
            </w:r>
            <w:r w:rsidR="00085354" w:rsidRPr="00085354">
              <w:rPr>
                <w:rFonts w:cs="Arial"/>
                <w:color w:val="000000"/>
                <w:sz w:val="14"/>
                <w:szCs w:val="16"/>
                <w:lang w:val="en-GB"/>
              </w:rPr>
              <w:t xml:space="preserve"> — If in receipt of weekly compensation, must notify of return to work or commencement of own business or any change in employment. </w:t>
            </w:r>
          </w:p>
        </w:tc>
        <w:tc>
          <w:tcPr>
            <w:tcW w:w="2279" w:type="dxa"/>
            <w:shd w:val="clear" w:color="auto" w:fill="FFC9C9"/>
            <w:tcMar>
              <w:top w:w="80" w:type="dxa"/>
              <w:left w:w="80" w:type="dxa"/>
              <w:bottom w:w="80" w:type="dxa"/>
              <w:right w:w="80" w:type="dxa"/>
            </w:tcMar>
          </w:tcPr>
          <w:p w14:paraId="147AFFE4" w14:textId="2FC32EF7" w:rsidR="009E6E59" w:rsidRDefault="009E6E59" w:rsidP="00292A53">
            <w:pPr>
              <w:spacing w:after="60"/>
              <w:rPr>
                <w:rFonts w:cs="Arial"/>
                <w:color w:val="000000"/>
                <w:sz w:val="14"/>
                <w:szCs w:val="16"/>
                <w:lang w:val="en-GB"/>
              </w:rPr>
            </w:pPr>
            <w:r>
              <w:rPr>
                <w:rFonts w:cs="Arial"/>
                <w:color w:val="000000"/>
                <w:sz w:val="14"/>
                <w:szCs w:val="16"/>
                <w:lang w:val="en-GB"/>
              </w:rPr>
              <w:t>Notify the employer as soon as possible after a work-related injury occurs (</w:t>
            </w:r>
            <w:hyperlink r:id="rId1789" w:history="1">
              <w:r w:rsidRPr="00ED76DA">
                <w:rPr>
                  <w:rStyle w:val="Hyperlink"/>
                  <w:rFonts w:cs="Arial"/>
                  <w:sz w:val="14"/>
                  <w:szCs w:val="16"/>
                  <w:lang w:val="en-GB"/>
                </w:rPr>
                <w:t>section 44(1)</w:t>
              </w:r>
            </w:hyperlink>
            <w:r>
              <w:rPr>
                <w:rFonts w:cs="Arial"/>
                <w:color w:val="000000"/>
                <w:sz w:val="14"/>
                <w:szCs w:val="16"/>
                <w:lang w:val="en-GB"/>
              </w:rPr>
              <w:t xml:space="preserve"> 1998 Act).</w:t>
            </w:r>
          </w:p>
          <w:p w14:paraId="04C56F80" w14:textId="777777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From the Guidelines for workplace return to work programs, worker obligations include:</w:t>
            </w:r>
          </w:p>
          <w:p w14:paraId="25533D5F" w14:textId="709BDCE8" w:rsidR="00085354" w:rsidRPr="00085354" w:rsidRDefault="00085354" w:rsidP="00F839DB">
            <w:pPr>
              <w:pStyle w:val="ListParagraph"/>
              <w:numPr>
                <w:ilvl w:val="0"/>
                <w:numId w:val="259"/>
              </w:numPr>
              <w:spacing w:after="60"/>
              <w:contextualSpacing/>
              <w:rPr>
                <w:rFonts w:eastAsia="Calibri" w:cs="Arial"/>
                <w:sz w:val="14"/>
                <w:szCs w:val="14"/>
                <w:lang w:eastAsia="en-US"/>
              </w:rPr>
            </w:pPr>
            <w:r w:rsidRPr="00085354">
              <w:rPr>
                <w:rFonts w:eastAsia="Calibri" w:cs="Arial"/>
                <w:sz w:val="14"/>
                <w:szCs w:val="14"/>
                <w:lang w:eastAsia="en-US"/>
              </w:rPr>
              <w:t>cooperate with the employer to meet their return to work obligations, and advise of any difficulties with return to work as soon as practical to prevent delays in addressing any problems</w:t>
            </w:r>
            <w:r w:rsidR="003D2FCB">
              <w:rPr>
                <w:rFonts w:eastAsia="Calibri" w:cs="Arial"/>
                <w:sz w:val="14"/>
                <w:szCs w:val="14"/>
                <w:lang w:eastAsia="en-US"/>
              </w:rPr>
              <w:t>.</w:t>
            </w:r>
          </w:p>
        </w:tc>
      </w:tr>
      <w:tr w:rsidR="00085354" w:rsidRPr="00085354" w14:paraId="58390750" w14:textId="77777777" w:rsidTr="00B2173F">
        <w:tc>
          <w:tcPr>
            <w:tcW w:w="1418" w:type="dxa"/>
            <w:tcMar>
              <w:top w:w="80" w:type="dxa"/>
              <w:left w:w="80" w:type="dxa"/>
              <w:bottom w:w="80" w:type="dxa"/>
              <w:right w:w="80" w:type="dxa"/>
            </w:tcMar>
          </w:tcPr>
          <w:p w14:paraId="399A0AEB"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Victoria</w:t>
            </w:r>
          </w:p>
        </w:tc>
        <w:tc>
          <w:tcPr>
            <w:tcW w:w="2278" w:type="dxa"/>
            <w:tcMar>
              <w:top w:w="80" w:type="dxa"/>
              <w:left w:w="80" w:type="dxa"/>
              <w:bottom w:w="80" w:type="dxa"/>
              <w:right w:w="80" w:type="dxa"/>
            </w:tcMar>
          </w:tcPr>
          <w:p w14:paraId="65A1AB31" w14:textId="6713DD44"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Part 4, Division 3</w:t>
            </w:r>
            <w:r w:rsidR="002E5D2E">
              <w:rPr>
                <w:rFonts w:cs="Arial"/>
                <w:color w:val="000000"/>
                <w:sz w:val="14"/>
                <w:szCs w:val="16"/>
                <w:lang w:val="en-GB"/>
              </w:rPr>
              <w:t xml:space="preserve">, </w:t>
            </w:r>
            <w:r w:rsidR="002E5D2E" w:rsidRPr="00016069">
              <w:rPr>
                <w:i/>
                <w:sz w:val="14"/>
              </w:rPr>
              <w:t>Workplace Injury Rehabilitation and Compensation Act 2013</w:t>
            </w:r>
            <w:r w:rsidR="002E5D2E">
              <w:rPr>
                <w:i/>
                <w:sz w:val="14"/>
              </w:rPr>
              <w:t xml:space="preserve"> </w:t>
            </w:r>
            <w:r w:rsidRPr="00085354">
              <w:rPr>
                <w:rFonts w:cs="Arial"/>
                <w:color w:val="000000"/>
                <w:sz w:val="14"/>
                <w:szCs w:val="16"/>
                <w:lang w:val="en-GB"/>
              </w:rPr>
              <w:t xml:space="preserve">—Obligations of workers: </w:t>
            </w:r>
          </w:p>
          <w:p w14:paraId="06315E21" w14:textId="5CCB5E46" w:rsidR="00085354" w:rsidRPr="00906893" w:rsidRDefault="00A7538C" w:rsidP="00F839DB">
            <w:pPr>
              <w:pStyle w:val="ListParagraph"/>
              <w:numPr>
                <w:ilvl w:val="0"/>
                <w:numId w:val="260"/>
              </w:numPr>
              <w:spacing w:after="60"/>
              <w:ind w:left="357" w:hanging="357"/>
              <w:contextualSpacing/>
              <w:rPr>
                <w:rFonts w:cs="Arial"/>
                <w:color w:val="000000"/>
                <w:sz w:val="14"/>
                <w:szCs w:val="16"/>
                <w:lang w:val="en-GB"/>
              </w:rPr>
            </w:pPr>
            <w:hyperlink r:id="rId1790" w:history="1">
              <w:r w:rsidR="00085354" w:rsidRPr="002E5D2E">
                <w:rPr>
                  <w:rStyle w:val="Hyperlink"/>
                  <w:rFonts w:cs="Arial"/>
                  <w:sz w:val="14"/>
                  <w:szCs w:val="16"/>
                  <w:lang w:val="en-GB"/>
                </w:rPr>
                <w:t>s111</w:t>
              </w:r>
            </w:hyperlink>
            <w:r w:rsidR="00085354" w:rsidRPr="00906893">
              <w:rPr>
                <w:rFonts w:cs="Arial"/>
                <w:color w:val="000000"/>
                <w:sz w:val="14"/>
                <w:szCs w:val="16"/>
                <w:lang w:val="en-GB"/>
              </w:rPr>
              <w:t xml:space="preserve"> — Participate in planning for return to work.</w:t>
            </w:r>
          </w:p>
          <w:p w14:paraId="2EF4DDF9" w14:textId="7311ADCA" w:rsidR="00085354" w:rsidRPr="00906893" w:rsidRDefault="00A7538C" w:rsidP="00F839DB">
            <w:pPr>
              <w:pStyle w:val="ListParagraph"/>
              <w:numPr>
                <w:ilvl w:val="0"/>
                <w:numId w:val="260"/>
              </w:numPr>
              <w:spacing w:after="60"/>
              <w:ind w:left="357" w:hanging="357"/>
              <w:contextualSpacing/>
              <w:rPr>
                <w:rFonts w:cs="Arial"/>
                <w:color w:val="000000"/>
                <w:sz w:val="14"/>
                <w:szCs w:val="16"/>
                <w:lang w:val="en-GB"/>
              </w:rPr>
            </w:pPr>
            <w:hyperlink r:id="rId1791" w:history="1">
              <w:r w:rsidR="00085354" w:rsidRPr="002E5D2E">
                <w:rPr>
                  <w:rStyle w:val="Hyperlink"/>
                  <w:rFonts w:cs="Arial"/>
                  <w:sz w:val="14"/>
                  <w:szCs w:val="16"/>
                  <w:lang w:val="en-GB"/>
                </w:rPr>
                <w:t>s114</w:t>
              </w:r>
            </w:hyperlink>
            <w:r w:rsidR="00085354" w:rsidRPr="00906893">
              <w:rPr>
                <w:rFonts w:cs="Arial"/>
                <w:color w:val="000000"/>
                <w:sz w:val="14"/>
                <w:szCs w:val="16"/>
                <w:lang w:val="en-GB"/>
              </w:rPr>
              <w:t xml:space="preserve"> — Return to work.</w:t>
            </w:r>
          </w:p>
          <w:p w14:paraId="02F465F6" w14:textId="5B6FA7B2" w:rsidR="00085354" w:rsidRPr="00906893" w:rsidRDefault="00A7538C" w:rsidP="00F839DB">
            <w:pPr>
              <w:pStyle w:val="ListParagraph"/>
              <w:numPr>
                <w:ilvl w:val="0"/>
                <w:numId w:val="260"/>
              </w:numPr>
              <w:spacing w:after="60"/>
              <w:ind w:left="357" w:hanging="357"/>
              <w:contextualSpacing/>
              <w:rPr>
                <w:rFonts w:cs="Arial"/>
                <w:color w:val="000000"/>
                <w:sz w:val="14"/>
                <w:szCs w:val="16"/>
                <w:lang w:val="en-GB"/>
              </w:rPr>
            </w:pPr>
            <w:hyperlink r:id="rId1792" w:history="1">
              <w:r w:rsidR="00085354" w:rsidRPr="002E5D2E">
                <w:rPr>
                  <w:rStyle w:val="Hyperlink"/>
                  <w:rFonts w:cs="Arial"/>
                  <w:sz w:val="14"/>
                  <w:szCs w:val="16"/>
                  <w:lang w:val="en-GB"/>
                </w:rPr>
                <w:t>s11</w:t>
              </w:r>
              <w:r w:rsidR="00B461BC" w:rsidRPr="002E5D2E">
                <w:rPr>
                  <w:rStyle w:val="Hyperlink"/>
                  <w:rFonts w:cs="Arial"/>
                  <w:sz w:val="14"/>
                  <w:szCs w:val="16"/>
                  <w:lang w:val="en-GB"/>
                </w:rPr>
                <w:t>5</w:t>
              </w:r>
            </w:hyperlink>
            <w:r w:rsidR="00B461BC">
              <w:rPr>
                <w:rFonts w:cs="Arial"/>
                <w:color w:val="000000"/>
                <w:sz w:val="14"/>
                <w:szCs w:val="16"/>
                <w:lang w:val="en-GB"/>
              </w:rPr>
              <w:t xml:space="preserve"> — Participate in an interview</w:t>
            </w:r>
          </w:p>
        </w:tc>
        <w:tc>
          <w:tcPr>
            <w:tcW w:w="2279" w:type="dxa"/>
            <w:tcMar>
              <w:top w:w="80" w:type="dxa"/>
              <w:left w:w="80" w:type="dxa"/>
              <w:bottom w:w="80" w:type="dxa"/>
              <w:right w:w="80" w:type="dxa"/>
            </w:tcMar>
          </w:tcPr>
          <w:p w14:paraId="74F8534C" w14:textId="685CE6F7" w:rsidR="00085354" w:rsidRPr="00085354" w:rsidRDefault="00A7538C" w:rsidP="00292A53">
            <w:pPr>
              <w:spacing w:after="60"/>
              <w:rPr>
                <w:rFonts w:cs="Arial"/>
                <w:color w:val="000000"/>
                <w:sz w:val="14"/>
                <w:szCs w:val="16"/>
                <w:lang w:val="en-GB"/>
              </w:rPr>
            </w:pPr>
            <w:hyperlink r:id="rId1793" w:history="1">
              <w:r w:rsidR="00AD2C3B" w:rsidRPr="002E5D2E">
                <w:rPr>
                  <w:rStyle w:val="Hyperlink"/>
                  <w:rFonts w:cs="Arial"/>
                  <w:sz w:val="14"/>
                  <w:szCs w:val="16"/>
                  <w:lang w:val="en-GB"/>
                </w:rPr>
                <w:t>s</w:t>
              </w:r>
              <w:r w:rsidR="00085354" w:rsidRPr="002E5D2E">
                <w:rPr>
                  <w:rStyle w:val="Hyperlink"/>
                  <w:rFonts w:cs="Arial"/>
                  <w:sz w:val="14"/>
                  <w:szCs w:val="16"/>
                  <w:lang w:val="en-GB"/>
                </w:rPr>
                <w:t>112</w:t>
              </w:r>
            </w:hyperlink>
            <w:r w:rsidR="00085354" w:rsidRPr="00085354">
              <w:rPr>
                <w:rFonts w:cs="Arial"/>
                <w:color w:val="000000"/>
                <w:sz w:val="14"/>
                <w:szCs w:val="16"/>
                <w:lang w:val="en-GB"/>
              </w:rPr>
              <w:t xml:space="preserve"> — Use occup</w:t>
            </w:r>
            <w:r w:rsidR="00B461BC">
              <w:rPr>
                <w:rFonts w:cs="Arial"/>
                <w:color w:val="000000"/>
                <w:sz w:val="14"/>
                <w:szCs w:val="16"/>
                <w:lang w:val="en-GB"/>
              </w:rPr>
              <w:t>ational rehabilitation services</w:t>
            </w:r>
          </w:p>
        </w:tc>
        <w:tc>
          <w:tcPr>
            <w:tcW w:w="2279" w:type="dxa"/>
            <w:tcMar>
              <w:top w:w="80" w:type="dxa"/>
              <w:left w:w="80" w:type="dxa"/>
              <w:bottom w:w="80" w:type="dxa"/>
              <w:right w:w="80" w:type="dxa"/>
            </w:tcMar>
          </w:tcPr>
          <w:p w14:paraId="75A08F02" w14:textId="3C347FFF" w:rsidR="00085354" w:rsidRPr="00085354" w:rsidRDefault="00A7538C" w:rsidP="00AD2C3B">
            <w:pPr>
              <w:spacing w:after="60"/>
              <w:rPr>
                <w:rFonts w:cs="Arial"/>
                <w:color w:val="000000"/>
                <w:sz w:val="14"/>
                <w:szCs w:val="16"/>
                <w:lang w:val="en-GB"/>
              </w:rPr>
            </w:pPr>
            <w:hyperlink r:id="rId1794" w:history="1">
              <w:r w:rsidR="00085354" w:rsidRPr="002E5D2E">
                <w:rPr>
                  <w:rStyle w:val="Hyperlink"/>
                  <w:rFonts w:cs="Arial"/>
                  <w:sz w:val="14"/>
                  <w:szCs w:val="16"/>
                  <w:lang w:val="en-GB"/>
                </w:rPr>
                <w:t>s11</w:t>
              </w:r>
              <w:r w:rsidR="00B461BC" w:rsidRPr="002E5D2E">
                <w:rPr>
                  <w:rStyle w:val="Hyperlink"/>
                  <w:rFonts w:cs="Arial"/>
                  <w:sz w:val="14"/>
                  <w:szCs w:val="16"/>
                  <w:lang w:val="en-GB"/>
                </w:rPr>
                <w:t>3</w:t>
              </w:r>
            </w:hyperlink>
            <w:r w:rsidR="00B461BC">
              <w:rPr>
                <w:rFonts w:cs="Arial"/>
                <w:color w:val="000000"/>
                <w:sz w:val="14"/>
                <w:szCs w:val="16"/>
                <w:lang w:val="en-GB"/>
              </w:rPr>
              <w:t xml:space="preserve"> — Participate in assessments</w:t>
            </w:r>
          </w:p>
        </w:tc>
        <w:tc>
          <w:tcPr>
            <w:tcW w:w="2278" w:type="dxa"/>
            <w:tcMar>
              <w:top w:w="80" w:type="dxa"/>
              <w:left w:w="80" w:type="dxa"/>
              <w:bottom w:w="80" w:type="dxa"/>
              <w:right w:w="80" w:type="dxa"/>
            </w:tcMar>
          </w:tcPr>
          <w:p w14:paraId="2B9B2EFF" w14:textId="5CE58CCC" w:rsidR="00085354" w:rsidRPr="00085354" w:rsidRDefault="00A7538C" w:rsidP="00292A53">
            <w:pPr>
              <w:spacing w:after="60"/>
              <w:rPr>
                <w:rFonts w:cs="Arial"/>
                <w:color w:val="000000"/>
                <w:sz w:val="14"/>
                <w:szCs w:val="16"/>
                <w:lang w:val="en-GB"/>
              </w:rPr>
            </w:pPr>
            <w:hyperlink r:id="rId1795" w:history="1">
              <w:r w:rsidR="00AD2C3B" w:rsidRPr="002E5D2E">
                <w:rPr>
                  <w:rStyle w:val="Hyperlink"/>
                  <w:rFonts w:cs="Arial"/>
                  <w:sz w:val="14"/>
                  <w:szCs w:val="16"/>
                  <w:lang w:val="en-GB"/>
                </w:rPr>
                <w:t>s</w:t>
              </w:r>
              <w:r w:rsidR="00085354" w:rsidRPr="002E5D2E">
                <w:rPr>
                  <w:rStyle w:val="Hyperlink"/>
                  <w:rFonts w:cs="Arial"/>
                  <w:sz w:val="14"/>
                  <w:szCs w:val="16"/>
                  <w:lang w:val="en-GB"/>
                </w:rPr>
                <w:t>114</w:t>
              </w:r>
            </w:hyperlink>
            <w:r w:rsidR="00085354" w:rsidRPr="00085354">
              <w:rPr>
                <w:rFonts w:cs="Arial"/>
                <w:color w:val="000000"/>
                <w:sz w:val="14"/>
                <w:szCs w:val="16"/>
                <w:lang w:val="en-GB"/>
              </w:rPr>
              <w:t xml:space="preserve"> — Make reaso</w:t>
            </w:r>
            <w:r w:rsidR="00B461BC">
              <w:rPr>
                <w:rFonts w:cs="Arial"/>
                <w:color w:val="000000"/>
                <w:sz w:val="14"/>
                <w:szCs w:val="16"/>
                <w:lang w:val="en-GB"/>
              </w:rPr>
              <w:t>nable efforts to return to work</w:t>
            </w:r>
          </w:p>
        </w:tc>
        <w:tc>
          <w:tcPr>
            <w:tcW w:w="2279" w:type="dxa"/>
            <w:tcMar>
              <w:top w:w="80" w:type="dxa"/>
              <w:left w:w="80" w:type="dxa"/>
              <w:bottom w:w="80" w:type="dxa"/>
              <w:right w:w="80" w:type="dxa"/>
            </w:tcMar>
          </w:tcPr>
          <w:p w14:paraId="7B66BC6F" w14:textId="654197B5" w:rsidR="00085354" w:rsidRPr="00085354" w:rsidRDefault="00A7538C" w:rsidP="00292A53">
            <w:pPr>
              <w:spacing w:after="60"/>
              <w:rPr>
                <w:rFonts w:cs="Arial"/>
                <w:color w:val="000000"/>
                <w:sz w:val="14"/>
                <w:szCs w:val="16"/>
                <w:lang w:val="en-GB"/>
              </w:rPr>
            </w:pPr>
            <w:hyperlink r:id="rId1796" w:history="1">
              <w:r w:rsidR="00AD2C3B" w:rsidRPr="002E5D2E">
                <w:rPr>
                  <w:rStyle w:val="Hyperlink"/>
                  <w:rFonts w:cs="Arial"/>
                  <w:sz w:val="14"/>
                  <w:szCs w:val="16"/>
                  <w:lang w:val="en-GB"/>
                </w:rPr>
                <w:t>s</w:t>
              </w:r>
              <w:r w:rsidR="00085354" w:rsidRPr="002E5D2E">
                <w:rPr>
                  <w:rStyle w:val="Hyperlink"/>
                  <w:rFonts w:cs="Arial"/>
                  <w:sz w:val="14"/>
                  <w:szCs w:val="16"/>
                  <w:lang w:val="en-GB"/>
                </w:rPr>
                <w:t>117</w:t>
              </w:r>
            </w:hyperlink>
          </w:p>
        </w:tc>
        <w:tc>
          <w:tcPr>
            <w:tcW w:w="2279" w:type="dxa"/>
            <w:tcMar>
              <w:top w:w="80" w:type="dxa"/>
              <w:left w:w="80" w:type="dxa"/>
              <w:bottom w:w="80" w:type="dxa"/>
              <w:right w:w="80" w:type="dxa"/>
            </w:tcMar>
          </w:tcPr>
          <w:p w14:paraId="2F57D953" w14:textId="77777777" w:rsidR="00085354" w:rsidRPr="00085354" w:rsidRDefault="00085354" w:rsidP="00292A53">
            <w:pPr>
              <w:spacing w:after="60"/>
              <w:rPr>
                <w:rFonts w:cs="Arial"/>
                <w:color w:val="000000"/>
                <w:sz w:val="14"/>
                <w:szCs w:val="16"/>
                <w:lang w:val="en-GB"/>
              </w:rPr>
            </w:pPr>
          </w:p>
        </w:tc>
      </w:tr>
      <w:tr w:rsidR="00085354" w:rsidRPr="00085354" w14:paraId="357F66F5" w14:textId="77777777" w:rsidTr="00B2173F">
        <w:tc>
          <w:tcPr>
            <w:tcW w:w="1418" w:type="dxa"/>
            <w:shd w:val="clear" w:color="auto" w:fill="FFC9C9"/>
            <w:tcMar>
              <w:top w:w="80" w:type="dxa"/>
              <w:left w:w="80" w:type="dxa"/>
              <w:bottom w:w="80" w:type="dxa"/>
              <w:right w:w="80" w:type="dxa"/>
            </w:tcMar>
          </w:tcPr>
          <w:p w14:paraId="1EDA70D1"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Queensland</w:t>
            </w:r>
          </w:p>
        </w:tc>
        <w:tc>
          <w:tcPr>
            <w:tcW w:w="2278" w:type="dxa"/>
            <w:shd w:val="clear" w:color="auto" w:fill="FFC9C9"/>
            <w:tcMar>
              <w:top w:w="80" w:type="dxa"/>
              <w:left w:w="80" w:type="dxa"/>
              <w:bottom w:w="80" w:type="dxa"/>
              <w:right w:w="80" w:type="dxa"/>
            </w:tcMar>
          </w:tcPr>
          <w:p w14:paraId="3D26B2DB" w14:textId="2D6236BE" w:rsidR="00085354" w:rsidRPr="00085354" w:rsidRDefault="00DE7933" w:rsidP="00F358E7">
            <w:pPr>
              <w:spacing w:after="60"/>
              <w:rPr>
                <w:rFonts w:cs="Arial"/>
                <w:color w:val="000000"/>
                <w:sz w:val="14"/>
                <w:szCs w:val="16"/>
                <w:lang w:val="en-GB"/>
              </w:rPr>
            </w:pPr>
            <w:r w:rsidRPr="00016069">
              <w:rPr>
                <w:i/>
                <w:sz w:val="14"/>
              </w:rPr>
              <w:t>Workers’ Compensation and Rehabilitation Act 2003</w:t>
            </w:r>
            <w:r w:rsidR="00085354" w:rsidRPr="00085354">
              <w:rPr>
                <w:rFonts w:cs="Arial"/>
                <w:color w:val="000000"/>
                <w:sz w:val="14"/>
                <w:szCs w:val="16"/>
                <w:lang w:val="en-GB"/>
              </w:rPr>
              <w:t xml:space="preserve"> </w:t>
            </w:r>
            <w:hyperlink r:id="rId1797" w:anchor="sec.231" w:history="1">
              <w:r w:rsidR="00483BE1" w:rsidRPr="00381A55">
                <w:rPr>
                  <w:rStyle w:val="Hyperlink"/>
                  <w:rFonts w:cs="Arial"/>
                  <w:sz w:val="14"/>
                  <w:szCs w:val="16"/>
                  <w:lang w:val="en-GB"/>
                </w:rPr>
                <w:t>ss231–232</w:t>
              </w:r>
            </w:hyperlink>
            <w:r w:rsidR="00085354" w:rsidRPr="00085354">
              <w:rPr>
                <w:rFonts w:cs="Arial"/>
                <w:color w:val="000000"/>
                <w:sz w:val="14"/>
                <w:szCs w:val="16"/>
                <w:lang w:val="en-GB"/>
              </w:rPr>
              <w:t xml:space="preserve"> — The worker must participate in rehabilitation (including suitable duties programs), while they are entitled to compensation. The worker must also mitigate their loss (for the purposes of common law claims) by participating in rehabilitation, return to work program or suitable duties programs.</w:t>
            </w:r>
          </w:p>
        </w:tc>
        <w:tc>
          <w:tcPr>
            <w:tcW w:w="2279" w:type="dxa"/>
            <w:shd w:val="clear" w:color="auto" w:fill="FFC9C9"/>
            <w:tcMar>
              <w:top w:w="80" w:type="dxa"/>
              <w:left w:w="80" w:type="dxa"/>
              <w:bottom w:w="80" w:type="dxa"/>
              <w:right w:w="80" w:type="dxa"/>
            </w:tcMar>
          </w:tcPr>
          <w:p w14:paraId="46EE3E3E" w14:textId="02904CD9"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Act </w:t>
            </w:r>
            <w:hyperlink r:id="rId1798" w:anchor="sec.232" w:history="1">
              <w:r w:rsidR="00483BE1" w:rsidRPr="00381A55">
                <w:rPr>
                  <w:rStyle w:val="Hyperlink"/>
                  <w:rFonts w:cs="Arial"/>
                  <w:sz w:val="14"/>
                  <w:szCs w:val="16"/>
                  <w:lang w:val="en-GB"/>
                </w:rPr>
                <w:t>s232</w:t>
              </w:r>
            </w:hyperlink>
            <w:r w:rsidRPr="00085354">
              <w:rPr>
                <w:rFonts w:cs="Arial"/>
                <w:color w:val="000000"/>
                <w:sz w:val="14"/>
                <w:szCs w:val="16"/>
                <w:lang w:val="en-GB"/>
              </w:rPr>
              <w:t xml:space="preserve"> — The worker must participate in rehabilitation while they are entitled to compensation. If they do not, the insurer may suspend the worker’s compensation payments.</w:t>
            </w:r>
          </w:p>
        </w:tc>
        <w:tc>
          <w:tcPr>
            <w:tcW w:w="2279" w:type="dxa"/>
            <w:shd w:val="clear" w:color="auto" w:fill="FFC9C9"/>
            <w:tcMar>
              <w:top w:w="80" w:type="dxa"/>
              <w:left w:w="80" w:type="dxa"/>
              <w:bottom w:w="80" w:type="dxa"/>
              <w:right w:w="80" w:type="dxa"/>
            </w:tcMar>
          </w:tcPr>
          <w:p w14:paraId="3CD6A68B" w14:textId="20D22891" w:rsidR="00085354" w:rsidRPr="00906893" w:rsidRDefault="00085354" w:rsidP="00F839DB">
            <w:pPr>
              <w:pStyle w:val="ListParagraph"/>
              <w:numPr>
                <w:ilvl w:val="0"/>
                <w:numId w:val="259"/>
              </w:numPr>
              <w:spacing w:after="60"/>
              <w:contextualSpacing/>
              <w:rPr>
                <w:rFonts w:eastAsia="Calibri" w:cs="Arial"/>
                <w:sz w:val="14"/>
                <w:szCs w:val="14"/>
                <w:lang w:eastAsia="en-US"/>
              </w:rPr>
            </w:pPr>
            <w:r w:rsidRPr="00906893">
              <w:rPr>
                <w:rFonts w:eastAsia="Calibri" w:cs="Arial"/>
                <w:sz w:val="14"/>
                <w:szCs w:val="14"/>
                <w:lang w:eastAsia="en-US"/>
              </w:rPr>
              <w:t xml:space="preserve">Act </w:t>
            </w:r>
            <w:hyperlink r:id="rId1799" w:anchor="sec.135" w:history="1">
              <w:r w:rsidR="00483BE1" w:rsidRPr="00381A55">
                <w:rPr>
                  <w:rStyle w:val="Hyperlink"/>
                  <w:rFonts w:eastAsia="Calibri" w:cs="Arial"/>
                  <w:sz w:val="14"/>
                  <w:szCs w:val="14"/>
                  <w:lang w:eastAsia="en-US"/>
                </w:rPr>
                <w:t>s135</w:t>
              </w:r>
            </w:hyperlink>
            <w:r w:rsidRPr="00906893">
              <w:rPr>
                <w:rFonts w:eastAsia="Calibri" w:cs="Arial"/>
                <w:sz w:val="14"/>
                <w:szCs w:val="14"/>
                <w:lang w:eastAsia="en-US"/>
              </w:rPr>
              <w:t xml:space="preserve"> — an insurer may require a worker to be examined by a person registered to provide medical treatment. A worker’s compensation may be suspended if they fail to attend or refuse examination. </w:t>
            </w:r>
          </w:p>
          <w:p w14:paraId="11BFEA0E" w14:textId="6022F878" w:rsidR="00085354" w:rsidRPr="00906893" w:rsidRDefault="00DE7933" w:rsidP="00F839DB">
            <w:pPr>
              <w:pStyle w:val="ListParagraph"/>
              <w:numPr>
                <w:ilvl w:val="0"/>
                <w:numId w:val="259"/>
              </w:numPr>
              <w:spacing w:after="60"/>
              <w:contextualSpacing/>
              <w:rPr>
                <w:rFonts w:eastAsia="Calibri" w:cs="Arial"/>
                <w:sz w:val="14"/>
                <w:szCs w:val="14"/>
                <w:lang w:eastAsia="en-US"/>
              </w:rPr>
            </w:pPr>
            <w:r>
              <w:rPr>
                <w:rFonts w:eastAsia="Calibri" w:cs="Arial"/>
                <w:sz w:val="14"/>
                <w:szCs w:val="14"/>
                <w:lang w:eastAsia="en-US"/>
              </w:rPr>
              <w:t xml:space="preserve">Act </w:t>
            </w:r>
            <w:hyperlink r:id="rId1800" w:anchor="sec.500" w:history="1">
              <w:r w:rsidR="00483BE1" w:rsidRPr="00381A55">
                <w:rPr>
                  <w:rStyle w:val="Hyperlink"/>
                  <w:rFonts w:eastAsia="Calibri" w:cs="Arial"/>
                  <w:sz w:val="14"/>
                  <w:szCs w:val="14"/>
                  <w:lang w:eastAsia="en-US"/>
                </w:rPr>
                <w:t>s500</w:t>
              </w:r>
            </w:hyperlink>
            <w:r w:rsidR="00085354" w:rsidRPr="00906893">
              <w:rPr>
                <w:rFonts w:eastAsia="Calibri" w:cs="Arial"/>
                <w:sz w:val="14"/>
                <w:szCs w:val="14"/>
                <w:lang w:eastAsia="en-US"/>
              </w:rPr>
              <w:t xml:space="preserve"> — an insurer may also refer a matter relating to an injury to a Medical Assessment Tribunal for decision. A worker must attend a Medical Assessment Tribunal if </w:t>
            </w:r>
            <w:r w:rsidR="00085354" w:rsidRPr="00906893">
              <w:rPr>
                <w:rFonts w:eastAsia="Calibri" w:cs="Arial"/>
                <w:sz w:val="14"/>
                <w:szCs w:val="14"/>
                <w:lang w:eastAsia="en-US"/>
              </w:rPr>
              <w:lastRenderedPageBreak/>
              <w:t xml:space="preserve">requested by the insurer, and must submit to examination by the tribunal. </w:t>
            </w:r>
          </w:p>
          <w:p w14:paraId="0A82E079" w14:textId="4DCF76BD" w:rsidR="00085354" w:rsidRPr="00906893" w:rsidRDefault="00085354" w:rsidP="00F839DB">
            <w:pPr>
              <w:pStyle w:val="ListParagraph"/>
              <w:numPr>
                <w:ilvl w:val="0"/>
                <w:numId w:val="259"/>
              </w:numPr>
              <w:spacing w:after="60"/>
              <w:ind w:left="357" w:hanging="357"/>
              <w:contextualSpacing/>
              <w:rPr>
                <w:rFonts w:eastAsia="Calibri" w:cs="Arial"/>
                <w:sz w:val="14"/>
                <w:szCs w:val="14"/>
                <w:lang w:eastAsia="en-US"/>
              </w:rPr>
            </w:pPr>
            <w:r w:rsidRPr="00906893">
              <w:rPr>
                <w:rFonts w:eastAsia="Calibri" w:cs="Arial"/>
                <w:sz w:val="14"/>
                <w:szCs w:val="14"/>
                <w:lang w:eastAsia="en-US"/>
              </w:rPr>
              <w:t xml:space="preserve">Act </w:t>
            </w:r>
            <w:hyperlink r:id="rId1801" w:anchor="sec.510" w:history="1">
              <w:r w:rsidR="00483BE1" w:rsidRPr="00381A55">
                <w:rPr>
                  <w:rStyle w:val="Hyperlink"/>
                  <w:rFonts w:eastAsia="Calibri" w:cs="Arial"/>
                  <w:sz w:val="14"/>
                  <w:szCs w:val="14"/>
                  <w:lang w:eastAsia="en-US"/>
                </w:rPr>
                <w:t>s510</w:t>
              </w:r>
            </w:hyperlink>
            <w:r w:rsidRPr="00906893">
              <w:rPr>
                <w:rFonts w:eastAsia="Calibri" w:cs="Arial"/>
                <w:sz w:val="14"/>
                <w:szCs w:val="14"/>
                <w:lang w:eastAsia="en-US"/>
              </w:rPr>
              <w:t xml:space="preserve"> — if a worker does not attend or refuses to be examined, their compensation may be suspended. An insurer must request the examination i</w:t>
            </w:r>
            <w:r w:rsidR="00B461BC">
              <w:rPr>
                <w:rFonts w:eastAsia="Calibri" w:cs="Arial"/>
                <w:sz w:val="14"/>
                <w:szCs w:val="14"/>
                <w:lang w:eastAsia="en-US"/>
              </w:rPr>
              <w:t>n the way specifie</w:t>
            </w:r>
            <w:r w:rsidR="00B461BC" w:rsidRPr="00713331">
              <w:rPr>
                <w:rFonts w:eastAsia="Calibri" w:cs="Arial"/>
                <w:sz w:val="14"/>
                <w:szCs w:val="14"/>
                <w:lang w:eastAsia="en-US"/>
              </w:rPr>
              <w:t xml:space="preserve">d by </w:t>
            </w:r>
            <w:r w:rsidR="00713331" w:rsidRPr="00713331">
              <w:rPr>
                <w:rFonts w:eastAsia="Calibri" w:cs="Arial"/>
                <w:sz w:val="14"/>
                <w:szCs w:val="14"/>
                <w:lang w:eastAsia="en-US"/>
              </w:rPr>
              <w:t>Workers’ Compensation and Rehabilitation Regulation 2014</w:t>
            </w:r>
            <w:r w:rsidR="00B461BC">
              <w:rPr>
                <w:rFonts w:eastAsia="Calibri" w:cs="Arial"/>
                <w:sz w:val="14"/>
                <w:szCs w:val="14"/>
                <w:lang w:eastAsia="en-US"/>
              </w:rPr>
              <w:t xml:space="preserve"> </w:t>
            </w:r>
            <w:hyperlink r:id="rId1802" w:history="1">
              <w:r w:rsidR="00B461BC" w:rsidRPr="00713331">
                <w:rPr>
                  <w:rStyle w:val="Hyperlink"/>
                  <w:rFonts w:eastAsia="Calibri" w:cs="Arial"/>
                  <w:sz w:val="14"/>
                  <w:szCs w:val="14"/>
                  <w:lang w:eastAsia="en-US"/>
                </w:rPr>
                <w:t>s106</w:t>
              </w:r>
            </w:hyperlink>
          </w:p>
        </w:tc>
        <w:tc>
          <w:tcPr>
            <w:tcW w:w="2278" w:type="dxa"/>
            <w:shd w:val="clear" w:color="auto" w:fill="FFC9C9"/>
            <w:tcMar>
              <w:top w:w="80" w:type="dxa"/>
              <w:left w:w="80" w:type="dxa"/>
              <w:bottom w:w="80" w:type="dxa"/>
              <w:right w:w="80" w:type="dxa"/>
            </w:tcMar>
          </w:tcPr>
          <w:p w14:paraId="59EA3D13" w14:textId="6C5FF3E2" w:rsidR="00085354" w:rsidRPr="00906893" w:rsidRDefault="00085354" w:rsidP="00F839DB">
            <w:pPr>
              <w:pStyle w:val="ListParagraph"/>
              <w:numPr>
                <w:ilvl w:val="0"/>
                <w:numId w:val="261"/>
              </w:numPr>
              <w:spacing w:after="60"/>
              <w:contextualSpacing/>
              <w:rPr>
                <w:rFonts w:eastAsia="Calibri" w:cs="Arial"/>
                <w:sz w:val="14"/>
                <w:szCs w:val="14"/>
                <w:lang w:eastAsia="en-US"/>
              </w:rPr>
            </w:pPr>
            <w:r w:rsidRPr="00906893">
              <w:rPr>
                <w:rFonts w:eastAsia="Calibri" w:cs="Arial"/>
                <w:sz w:val="14"/>
                <w:szCs w:val="14"/>
                <w:lang w:eastAsia="en-US"/>
              </w:rPr>
              <w:lastRenderedPageBreak/>
              <w:t xml:space="preserve">Act </w:t>
            </w:r>
            <w:hyperlink r:id="rId1803" w:anchor="sec.232" w:history="1">
              <w:r w:rsidR="00483BE1" w:rsidRPr="00381A55">
                <w:rPr>
                  <w:rStyle w:val="Hyperlink"/>
                  <w:rFonts w:eastAsia="Calibri" w:cs="Arial"/>
                  <w:sz w:val="14"/>
                  <w:szCs w:val="14"/>
                  <w:lang w:eastAsia="en-US"/>
                </w:rPr>
                <w:t>s232</w:t>
              </w:r>
            </w:hyperlink>
            <w:r w:rsidRPr="00906893">
              <w:rPr>
                <w:rFonts w:eastAsia="Calibri" w:cs="Arial"/>
                <w:sz w:val="14"/>
                <w:szCs w:val="14"/>
                <w:lang w:eastAsia="en-US"/>
              </w:rPr>
              <w:t xml:space="preserve"> — A worker must satisfactorily participate in rehabilitation and a worker must mitigate their loss by participating (Act </w:t>
            </w:r>
            <w:hyperlink r:id="rId1804" w:anchor="sec.231" w:history="1">
              <w:r w:rsidR="00483BE1" w:rsidRPr="00381A55">
                <w:rPr>
                  <w:rStyle w:val="Hyperlink"/>
                  <w:rFonts w:eastAsia="Calibri" w:cs="Arial"/>
                  <w:sz w:val="14"/>
                  <w:szCs w:val="14"/>
                  <w:lang w:eastAsia="en-US"/>
                </w:rPr>
                <w:t>s231</w:t>
              </w:r>
            </w:hyperlink>
            <w:r w:rsidRPr="00906893">
              <w:rPr>
                <w:rFonts w:eastAsia="Calibri" w:cs="Arial"/>
                <w:sz w:val="14"/>
                <w:szCs w:val="14"/>
                <w:lang w:eastAsia="en-US"/>
              </w:rPr>
              <w:t>) in any return to work program or suitable duties.</w:t>
            </w:r>
          </w:p>
          <w:p w14:paraId="0A35E7CF" w14:textId="77777777" w:rsidR="00085354" w:rsidRPr="00906893" w:rsidRDefault="00085354" w:rsidP="00F839DB">
            <w:pPr>
              <w:pStyle w:val="ListParagraph"/>
              <w:numPr>
                <w:ilvl w:val="0"/>
                <w:numId w:val="261"/>
              </w:numPr>
              <w:spacing w:after="60"/>
              <w:contextualSpacing/>
              <w:rPr>
                <w:rFonts w:eastAsia="Calibri" w:cs="Arial"/>
                <w:sz w:val="14"/>
                <w:szCs w:val="14"/>
                <w:lang w:eastAsia="en-US"/>
              </w:rPr>
            </w:pPr>
            <w:r w:rsidRPr="00906893">
              <w:rPr>
                <w:rFonts w:eastAsia="Calibri" w:cs="Arial"/>
                <w:sz w:val="14"/>
                <w:szCs w:val="14"/>
                <w:lang w:eastAsia="en-US"/>
              </w:rPr>
              <w:t xml:space="preserve">An insurer must refer a worker who has lodged a common law claim to an accredited return to work program of the insurer, unless the insurer is satisfied that, as a result of the injury, the worker will not be able to participate in </w:t>
            </w:r>
            <w:r w:rsidRPr="00906893">
              <w:rPr>
                <w:rFonts w:eastAsia="Calibri" w:cs="Arial"/>
                <w:sz w:val="14"/>
                <w:szCs w:val="14"/>
                <w:lang w:eastAsia="en-US"/>
              </w:rPr>
              <w:lastRenderedPageBreak/>
              <w:t>the program.</w:t>
            </w:r>
          </w:p>
        </w:tc>
        <w:tc>
          <w:tcPr>
            <w:tcW w:w="2279" w:type="dxa"/>
            <w:shd w:val="clear" w:color="auto" w:fill="FFC9C9"/>
            <w:tcMar>
              <w:top w:w="80" w:type="dxa"/>
              <w:left w:w="80" w:type="dxa"/>
              <w:bottom w:w="80" w:type="dxa"/>
              <w:right w:w="80" w:type="dxa"/>
            </w:tcMar>
          </w:tcPr>
          <w:p w14:paraId="510AA4E0" w14:textId="0AD10541"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lastRenderedPageBreak/>
              <w:t xml:space="preserve">Act </w:t>
            </w:r>
            <w:hyperlink r:id="rId1805" w:anchor="sec.136" w:history="1">
              <w:r w:rsidR="00483BE1" w:rsidRPr="00381A55">
                <w:rPr>
                  <w:rStyle w:val="Hyperlink"/>
                  <w:rFonts w:cs="Arial"/>
                  <w:sz w:val="14"/>
                  <w:szCs w:val="16"/>
                  <w:lang w:val="en-GB"/>
                </w:rPr>
                <w:t>s136</w:t>
              </w:r>
            </w:hyperlink>
            <w:r w:rsidRPr="00085354">
              <w:rPr>
                <w:rFonts w:cs="Arial"/>
                <w:color w:val="000000"/>
                <w:sz w:val="14"/>
                <w:szCs w:val="16"/>
                <w:lang w:val="en-GB"/>
              </w:rPr>
              <w:t xml:space="preserve"> — A worker receiving compensation for an injury must notify the insurer within 10 business days of returning to work.</w:t>
            </w:r>
          </w:p>
        </w:tc>
        <w:tc>
          <w:tcPr>
            <w:tcW w:w="2279" w:type="dxa"/>
            <w:shd w:val="clear" w:color="auto" w:fill="FFC9C9"/>
            <w:tcMar>
              <w:top w:w="80" w:type="dxa"/>
              <w:left w:w="80" w:type="dxa"/>
              <w:bottom w:w="80" w:type="dxa"/>
              <w:right w:w="80" w:type="dxa"/>
            </w:tcMar>
          </w:tcPr>
          <w:p w14:paraId="2063F374" w14:textId="77777777" w:rsidR="00085354" w:rsidRPr="00085354" w:rsidRDefault="00085354" w:rsidP="00292A53">
            <w:pPr>
              <w:spacing w:after="60"/>
              <w:rPr>
                <w:rFonts w:cs="Arial"/>
                <w:color w:val="000000"/>
                <w:sz w:val="14"/>
                <w:szCs w:val="16"/>
                <w:lang w:val="en-GB"/>
              </w:rPr>
            </w:pPr>
          </w:p>
        </w:tc>
      </w:tr>
      <w:tr w:rsidR="00085354" w:rsidRPr="00085354" w14:paraId="78CA2810" w14:textId="77777777" w:rsidTr="00B2173F">
        <w:tc>
          <w:tcPr>
            <w:tcW w:w="1418" w:type="dxa"/>
            <w:tcMar>
              <w:top w:w="80" w:type="dxa"/>
              <w:left w:w="80" w:type="dxa"/>
              <w:bottom w:w="80" w:type="dxa"/>
              <w:right w:w="80" w:type="dxa"/>
            </w:tcMar>
          </w:tcPr>
          <w:p w14:paraId="739D9938"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Western Australia</w:t>
            </w:r>
          </w:p>
        </w:tc>
        <w:tc>
          <w:tcPr>
            <w:tcW w:w="2278" w:type="dxa"/>
            <w:tcMar>
              <w:top w:w="80" w:type="dxa"/>
              <w:left w:w="80" w:type="dxa"/>
              <w:bottom w:w="80" w:type="dxa"/>
              <w:right w:w="80" w:type="dxa"/>
            </w:tcMar>
          </w:tcPr>
          <w:p w14:paraId="000BFFD8" w14:textId="2C5028E7" w:rsidR="00085354" w:rsidRPr="00906893" w:rsidRDefault="00420E76" w:rsidP="00F839DB">
            <w:pPr>
              <w:pStyle w:val="ListParagraph"/>
              <w:numPr>
                <w:ilvl w:val="0"/>
                <w:numId w:val="262"/>
              </w:numPr>
              <w:spacing w:after="60"/>
              <w:contextualSpacing/>
              <w:rPr>
                <w:rFonts w:eastAsia="Calibri" w:cs="Arial"/>
                <w:sz w:val="14"/>
                <w:szCs w:val="14"/>
                <w:lang w:eastAsia="en-US"/>
              </w:rPr>
            </w:pPr>
            <w:r w:rsidRPr="00016069">
              <w:rPr>
                <w:i/>
                <w:sz w:val="14"/>
              </w:rPr>
              <w:t>Workers’ Compensation and Injury Management Act 1981</w:t>
            </w:r>
            <w:r>
              <w:rPr>
                <w:i/>
                <w:sz w:val="14"/>
              </w:rPr>
              <w:t xml:space="preserve"> </w:t>
            </w:r>
            <w:hyperlink r:id="rId1806" w:history="1">
              <w:r w:rsidR="00085354" w:rsidRPr="00420E76">
                <w:rPr>
                  <w:rStyle w:val="Hyperlink"/>
                  <w:rFonts w:eastAsia="Calibri" w:cs="Arial"/>
                  <w:sz w:val="14"/>
                  <w:szCs w:val="14"/>
                  <w:lang w:eastAsia="en-US"/>
                </w:rPr>
                <w:t>s72B</w:t>
              </w:r>
            </w:hyperlink>
            <w:r w:rsidR="00085354" w:rsidRPr="00906893">
              <w:rPr>
                <w:rFonts w:eastAsia="Calibri" w:cs="Arial"/>
                <w:sz w:val="14"/>
                <w:szCs w:val="14"/>
                <w:lang w:eastAsia="en-US"/>
              </w:rPr>
              <w:t xml:space="preserve"> participate in return to work program. </w:t>
            </w:r>
          </w:p>
          <w:p w14:paraId="6762B6BE" w14:textId="77777777" w:rsidR="00085354" w:rsidRPr="00906893" w:rsidRDefault="00085354" w:rsidP="00F839DB">
            <w:pPr>
              <w:pStyle w:val="ListParagraph"/>
              <w:numPr>
                <w:ilvl w:val="0"/>
                <w:numId w:val="262"/>
              </w:numPr>
              <w:spacing w:after="60"/>
              <w:contextualSpacing/>
              <w:rPr>
                <w:rFonts w:eastAsia="Calibri" w:cs="Arial"/>
                <w:sz w:val="14"/>
                <w:szCs w:val="14"/>
                <w:lang w:eastAsia="en-US"/>
              </w:rPr>
            </w:pPr>
            <w:r w:rsidRPr="00906893">
              <w:rPr>
                <w:rFonts w:eastAsia="Calibri" w:cs="Arial"/>
                <w:sz w:val="14"/>
                <w:szCs w:val="14"/>
                <w:lang w:eastAsia="en-US"/>
              </w:rPr>
              <w:t xml:space="preserve">To the best of ability carry out agreed actions as outlined in the return to work program. </w:t>
            </w:r>
          </w:p>
          <w:p w14:paraId="5109767C" w14:textId="77777777" w:rsidR="00085354" w:rsidRPr="00906893" w:rsidRDefault="00085354" w:rsidP="00F839DB">
            <w:pPr>
              <w:pStyle w:val="ListParagraph"/>
              <w:numPr>
                <w:ilvl w:val="0"/>
                <w:numId w:val="262"/>
              </w:numPr>
              <w:spacing w:after="60"/>
              <w:contextualSpacing/>
              <w:rPr>
                <w:rFonts w:eastAsia="Calibri" w:cs="Arial"/>
                <w:sz w:val="14"/>
                <w:szCs w:val="14"/>
                <w:lang w:eastAsia="en-US"/>
              </w:rPr>
            </w:pPr>
            <w:r w:rsidRPr="00906893">
              <w:rPr>
                <w:rFonts w:eastAsia="Calibri" w:cs="Arial"/>
                <w:sz w:val="14"/>
                <w:szCs w:val="14"/>
                <w:lang w:eastAsia="en-US"/>
              </w:rPr>
              <w:t>Immediately inform Injury Management Coordinator and manager of any difficulties carrying out the return to work program.</w:t>
            </w:r>
          </w:p>
        </w:tc>
        <w:tc>
          <w:tcPr>
            <w:tcW w:w="2279" w:type="dxa"/>
            <w:tcMar>
              <w:top w:w="80" w:type="dxa"/>
              <w:left w:w="80" w:type="dxa"/>
              <w:bottom w:w="80" w:type="dxa"/>
              <w:right w:w="80" w:type="dxa"/>
            </w:tcMar>
          </w:tcPr>
          <w:p w14:paraId="731343E4" w14:textId="777777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Workers should:</w:t>
            </w:r>
          </w:p>
          <w:p w14:paraId="452081A8" w14:textId="5DDAEDC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Attend medical examinations (</w:t>
            </w:r>
            <w:hyperlink r:id="rId1807" w:history="1">
              <w:r w:rsidRPr="00420E76">
                <w:rPr>
                  <w:rStyle w:val="Hyperlink"/>
                  <w:rFonts w:eastAsia="Calibri" w:cs="Arial"/>
                  <w:sz w:val="14"/>
                  <w:szCs w:val="14"/>
                  <w:lang w:eastAsia="en-US"/>
                </w:rPr>
                <w:t>s64</w:t>
              </w:r>
            </w:hyperlink>
            <w:r w:rsidRPr="00906893">
              <w:rPr>
                <w:rFonts w:eastAsia="Calibri" w:cs="Arial"/>
                <w:sz w:val="14"/>
                <w:szCs w:val="14"/>
                <w:lang w:eastAsia="en-US"/>
              </w:rPr>
              <w:t xml:space="preserve"> and </w:t>
            </w:r>
            <w:hyperlink r:id="rId1808" w:history="1">
              <w:r w:rsidRPr="00420E76">
                <w:rPr>
                  <w:rStyle w:val="Hyperlink"/>
                  <w:rFonts w:eastAsia="Calibri" w:cs="Arial"/>
                  <w:sz w:val="14"/>
                  <w:szCs w:val="14"/>
                  <w:lang w:eastAsia="en-US"/>
                </w:rPr>
                <w:t>65</w:t>
              </w:r>
            </w:hyperlink>
            <w:r w:rsidRPr="00906893">
              <w:rPr>
                <w:rFonts w:eastAsia="Calibri" w:cs="Arial"/>
                <w:sz w:val="14"/>
                <w:szCs w:val="14"/>
                <w:lang w:eastAsia="en-US"/>
              </w:rPr>
              <w:t>)</w:t>
            </w:r>
          </w:p>
          <w:p w14:paraId="0B1ADF61" w14:textId="7777777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 xml:space="preserve">provide medical certificates in timely fashion </w:t>
            </w:r>
          </w:p>
          <w:p w14:paraId="20F83B72" w14:textId="7777777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 xml:space="preserve">attend medical and other treatment appointments arranged by treating doctor, or arranged by the employer </w:t>
            </w:r>
          </w:p>
          <w:p w14:paraId="6E0D4885" w14:textId="7777777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if referred to a workplace rehabilitation service, participate in all aspects of the service and work cooperat</w:t>
            </w:r>
            <w:r w:rsidR="00FE3A37">
              <w:rPr>
                <w:rFonts w:eastAsia="Calibri" w:cs="Arial"/>
                <w:sz w:val="14"/>
                <w:szCs w:val="14"/>
                <w:lang w:eastAsia="en-US"/>
              </w:rPr>
              <w:t>ively with the service provider</w:t>
            </w:r>
            <w:r w:rsidRPr="00906893">
              <w:rPr>
                <w:rFonts w:eastAsia="Calibri" w:cs="Arial"/>
                <w:sz w:val="14"/>
                <w:szCs w:val="14"/>
                <w:lang w:eastAsia="en-US"/>
              </w:rPr>
              <w:t>, and</w:t>
            </w:r>
          </w:p>
          <w:p w14:paraId="0EA41ACB" w14:textId="7777777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advise of any changes to treating doctor or other treatment providers.</w:t>
            </w:r>
          </w:p>
          <w:p w14:paraId="48A4969E" w14:textId="77777777" w:rsidR="00085354" w:rsidRPr="00085354" w:rsidRDefault="00A7538C" w:rsidP="00292A53">
            <w:pPr>
              <w:spacing w:after="60"/>
              <w:rPr>
                <w:rFonts w:cs="Arial"/>
                <w:color w:val="000000"/>
                <w:sz w:val="14"/>
                <w:szCs w:val="16"/>
                <w:lang w:val="en-GB"/>
              </w:rPr>
            </w:pPr>
            <w:hyperlink r:id="rId1809" w:history="1">
              <w:r w:rsidR="00085354" w:rsidRPr="00085354">
                <w:rPr>
                  <w:rFonts w:cs="Arial"/>
                  <w:color w:val="0000FF"/>
                  <w:sz w:val="14"/>
                  <w:szCs w:val="16"/>
                  <w:u w:val="single"/>
                  <w:lang w:val="en-GB"/>
                </w:rPr>
                <w:t>Returning to work: Workers</w:t>
              </w:r>
            </w:hyperlink>
          </w:p>
          <w:p w14:paraId="6D330011" w14:textId="2A1B6F22" w:rsidR="00085354" w:rsidRPr="00085354" w:rsidRDefault="00A7538C" w:rsidP="00292A53">
            <w:pPr>
              <w:spacing w:after="60"/>
              <w:rPr>
                <w:rFonts w:cs="Arial"/>
                <w:color w:val="000000"/>
                <w:sz w:val="14"/>
                <w:szCs w:val="16"/>
                <w:lang w:val="en-GB"/>
              </w:rPr>
            </w:pPr>
            <w:hyperlink r:id="rId1810" w:history="1">
              <w:r w:rsidR="00085354" w:rsidRPr="00085354">
                <w:rPr>
                  <w:rFonts w:cs="Arial"/>
                  <w:color w:val="0000FF"/>
                  <w:sz w:val="14"/>
                  <w:szCs w:val="16"/>
                  <w:u w:val="single"/>
                  <w:lang w:val="en-GB"/>
                </w:rPr>
                <w:t>Returning to work: Employers</w:t>
              </w:r>
            </w:hyperlink>
          </w:p>
        </w:tc>
        <w:tc>
          <w:tcPr>
            <w:tcW w:w="2279" w:type="dxa"/>
            <w:tcMar>
              <w:top w:w="80" w:type="dxa"/>
              <w:left w:w="80" w:type="dxa"/>
              <w:bottom w:w="80" w:type="dxa"/>
              <w:right w:w="80" w:type="dxa"/>
            </w:tcMar>
          </w:tcPr>
          <w:p w14:paraId="58966FC1" w14:textId="77777777" w:rsidR="00085354" w:rsidRPr="00085354" w:rsidRDefault="00085354" w:rsidP="00292A53">
            <w:pPr>
              <w:spacing w:after="60"/>
              <w:rPr>
                <w:rFonts w:cs="Arial"/>
                <w:color w:val="000000"/>
                <w:sz w:val="14"/>
                <w:szCs w:val="16"/>
                <w:lang w:val="en-GB"/>
              </w:rPr>
            </w:pPr>
          </w:p>
        </w:tc>
        <w:tc>
          <w:tcPr>
            <w:tcW w:w="2278" w:type="dxa"/>
            <w:tcMar>
              <w:top w:w="80" w:type="dxa"/>
              <w:left w:w="80" w:type="dxa"/>
              <w:bottom w:w="80" w:type="dxa"/>
              <w:right w:w="80" w:type="dxa"/>
            </w:tcMar>
          </w:tcPr>
          <w:p w14:paraId="1E4A2864" w14:textId="77777777" w:rsidR="00085354" w:rsidRPr="00085354" w:rsidRDefault="00085354" w:rsidP="00292A53">
            <w:pPr>
              <w:spacing w:after="60"/>
              <w:rPr>
                <w:rFonts w:cs="Arial"/>
                <w:color w:val="000000"/>
                <w:sz w:val="14"/>
                <w:szCs w:val="16"/>
                <w:lang w:val="en-GB"/>
              </w:rPr>
            </w:pPr>
          </w:p>
        </w:tc>
        <w:tc>
          <w:tcPr>
            <w:tcW w:w="2279" w:type="dxa"/>
            <w:tcMar>
              <w:top w:w="80" w:type="dxa"/>
              <w:left w:w="80" w:type="dxa"/>
              <w:bottom w:w="80" w:type="dxa"/>
              <w:right w:w="80" w:type="dxa"/>
            </w:tcMar>
          </w:tcPr>
          <w:p w14:paraId="1DFC3FAC" w14:textId="1419E5E7" w:rsidR="00085354" w:rsidRPr="00085354" w:rsidRDefault="00A7538C" w:rsidP="00292A53">
            <w:pPr>
              <w:spacing w:after="60"/>
              <w:rPr>
                <w:rFonts w:cs="Arial"/>
                <w:color w:val="000000"/>
                <w:sz w:val="14"/>
                <w:szCs w:val="16"/>
                <w:lang w:val="en-GB"/>
              </w:rPr>
            </w:pPr>
            <w:hyperlink r:id="rId1811" w:history="1">
              <w:r w:rsidR="00085354" w:rsidRPr="00420E76">
                <w:rPr>
                  <w:rStyle w:val="Hyperlink"/>
                  <w:rFonts w:cs="Arial"/>
                  <w:sz w:val="14"/>
                  <w:szCs w:val="16"/>
                  <w:lang w:val="en-GB"/>
                </w:rPr>
                <w:t>s59</w:t>
              </w:r>
            </w:hyperlink>
            <w:r w:rsidR="00085354" w:rsidRPr="00085354">
              <w:rPr>
                <w:rFonts w:cs="Arial"/>
                <w:color w:val="000000"/>
                <w:sz w:val="14"/>
                <w:szCs w:val="16"/>
                <w:lang w:val="en-GB"/>
              </w:rPr>
              <w:t xml:space="preserve"> —</w:t>
            </w:r>
            <w:r w:rsidR="00F358E7">
              <w:rPr>
                <w:rFonts w:cs="Arial"/>
                <w:color w:val="000000"/>
                <w:sz w:val="14"/>
                <w:szCs w:val="16"/>
                <w:lang w:val="en-GB"/>
              </w:rPr>
              <w:t xml:space="preserve"> </w:t>
            </w:r>
            <w:r w:rsidR="00085354" w:rsidRPr="00085354">
              <w:rPr>
                <w:rFonts w:cs="Arial"/>
                <w:color w:val="000000"/>
                <w:sz w:val="14"/>
                <w:szCs w:val="16"/>
                <w:lang w:val="en-GB"/>
              </w:rPr>
              <w:t xml:space="preserve">notify employer within 7 </w:t>
            </w:r>
            <w:r w:rsidR="00B461BC">
              <w:rPr>
                <w:rFonts w:cs="Arial"/>
                <w:color w:val="000000"/>
                <w:sz w:val="14"/>
                <w:szCs w:val="16"/>
                <w:lang w:val="en-GB"/>
              </w:rPr>
              <w:t>days if returning to employment</w:t>
            </w:r>
          </w:p>
        </w:tc>
        <w:tc>
          <w:tcPr>
            <w:tcW w:w="2279" w:type="dxa"/>
            <w:tcMar>
              <w:top w:w="80" w:type="dxa"/>
              <w:left w:w="80" w:type="dxa"/>
              <w:bottom w:w="80" w:type="dxa"/>
              <w:right w:w="80" w:type="dxa"/>
            </w:tcMar>
          </w:tcPr>
          <w:p w14:paraId="71237DED" w14:textId="77777777" w:rsidR="00085354" w:rsidRPr="00906893" w:rsidRDefault="00085354" w:rsidP="00F839DB">
            <w:pPr>
              <w:pStyle w:val="ListParagraph"/>
              <w:numPr>
                <w:ilvl w:val="0"/>
                <w:numId w:val="264"/>
              </w:numPr>
              <w:spacing w:after="60"/>
              <w:contextualSpacing/>
              <w:rPr>
                <w:rFonts w:eastAsia="Calibri" w:cs="Arial"/>
                <w:sz w:val="14"/>
                <w:szCs w:val="14"/>
                <w:lang w:eastAsia="en-US"/>
              </w:rPr>
            </w:pPr>
            <w:r w:rsidRPr="00906893">
              <w:rPr>
                <w:rFonts w:eastAsia="Calibri" w:cs="Arial"/>
                <w:sz w:val="14"/>
                <w:szCs w:val="14"/>
                <w:lang w:eastAsia="en-US"/>
              </w:rPr>
              <w:t>Communicate with parties in open and honest manner and reply to reasonable levels of communication.</w:t>
            </w:r>
          </w:p>
          <w:p w14:paraId="79A2E222" w14:textId="77777777" w:rsidR="00085354" w:rsidRPr="00906893" w:rsidRDefault="00085354" w:rsidP="00F839DB">
            <w:pPr>
              <w:pStyle w:val="ListParagraph"/>
              <w:numPr>
                <w:ilvl w:val="0"/>
                <w:numId w:val="264"/>
              </w:numPr>
              <w:spacing w:after="60"/>
              <w:contextualSpacing/>
              <w:rPr>
                <w:rFonts w:eastAsia="Calibri" w:cs="Arial"/>
                <w:sz w:val="14"/>
                <w:szCs w:val="14"/>
                <w:lang w:eastAsia="en-US"/>
              </w:rPr>
            </w:pPr>
            <w:r w:rsidRPr="00906893">
              <w:rPr>
                <w:rFonts w:eastAsia="Calibri" w:cs="Arial"/>
                <w:sz w:val="14"/>
                <w:szCs w:val="14"/>
                <w:lang w:eastAsia="en-US"/>
              </w:rPr>
              <w:t>Advise of any changes in contact details.</w:t>
            </w:r>
          </w:p>
        </w:tc>
      </w:tr>
      <w:tr w:rsidR="00085354" w:rsidRPr="00085354" w14:paraId="61996028" w14:textId="77777777" w:rsidTr="00B2173F">
        <w:tc>
          <w:tcPr>
            <w:tcW w:w="1418" w:type="dxa"/>
            <w:shd w:val="clear" w:color="auto" w:fill="FFC9C9"/>
            <w:tcMar>
              <w:top w:w="80" w:type="dxa"/>
              <w:left w:w="80" w:type="dxa"/>
              <w:bottom w:w="80" w:type="dxa"/>
              <w:right w:w="80" w:type="dxa"/>
            </w:tcMar>
          </w:tcPr>
          <w:p w14:paraId="7E6FD56F"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South Australia</w:t>
            </w:r>
          </w:p>
        </w:tc>
        <w:tc>
          <w:tcPr>
            <w:tcW w:w="2278" w:type="dxa"/>
            <w:shd w:val="clear" w:color="auto" w:fill="FFC9C9"/>
            <w:tcMar>
              <w:top w:w="80" w:type="dxa"/>
              <w:left w:w="80" w:type="dxa"/>
              <w:bottom w:w="80" w:type="dxa"/>
              <w:right w:w="80" w:type="dxa"/>
            </w:tcMar>
          </w:tcPr>
          <w:p w14:paraId="235C0B9F" w14:textId="346574F8" w:rsidR="00085354" w:rsidRPr="00906893" w:rsidRDefault="00A7538C" w:rsidP="00F839DB">
            <w:pPr>
              <w:pStyle w:val="ListParagraph"/>
              <w:numPr>
                <w:ilvl w:val="0"/>
                <w:numId w:val="265"/>
              </w:numPr>
              <w:spacing w:after="60"/>
              <w:contextualSpacing/>
              <w:rPr>
                <w:rFonts w:eastAsia="Calibri" w:cs="Arial"/>
                <w:sz w:val="14"/>
                <w:szCs w:val="14"/>
                <w:lang w:eastAsia="en-US"/>
              </w:rPr>
            </w:pPr>
            <w:hyperlink r:id="rId1812" w:history="1">
              <w:r w:rsidR="00085354" w:rsidRPr="00906893">
                <w:rPr>
                  <w:rFonts w:eastAsia="Calibri" w:cs="Arial"/>
                  <w:color w:val="0000FF"/>
                  <w:sz w:val="14"/>
                  <w:szCs w:val="14"/>
                  <w:u w:val="single"/>
                  <w:lang w:eastAsia="en-US"/>
                </w:rPr>
                <w:t>s25(4)</w:t>
              </w:r>
            </w:hyperlink>
            <w:r w:rsidR="00F358E7" w:rsidRPr="0077500F">
              <w:rPr>
                <w:rFonts w:eastAsia="Calibri" w:cs="Arial"/>
                <w:color w:val="0000FF"/>
                <w:sz w:val="14"/>
                <w:szCs w:val="14"/>
                <w:lang w:eastAsia="en-US"/>
              </w:rPr>
              <w:t xml:space="preserve"> </w:t>
            </w:r>
            <w:r w:rsidR="00B7310F" w:rsidRPr="00016069">
              <w:rPr>
                <w:i/>
                <w:sz w:val="14"/>
              </w:rPr>
              <w:t>Return to Work Act 2014</w:t>
            </w:r>
            <w:r w:rsidR="00B7310F">
              <w:rPr>
                <w:i/>
                <w:sz w:val="14"/>
              </w:rPr>
              <w:t xml:space="preserve"> </w:t>
            </w:r>
            <w:r w:rsidR="00085354" w:rsidRPr="00906893">
              <w:rPr>
                <w:rFonts w:eastAsia="Calibri" w:cs="Arial"/>
                <w:sz w:val="14"/>
                <w:szCs w:val="14"/>
                <w:lang w:eastAsia="en-US"/>
              </w:rPr>
              <w:t>— The Return to Work Plan may impose obligations on the worker and in case of dispute will continue to bind the worker</w:t>
            </w:r>
            <w:r w:rsidR="00DD0D68">
              <w:rPr>
                <w:rFonts w:eastAsia="Calibri" w:cs="Arial"/>
                <w:sz w:val="14"/>
                <w:szCs w:val="14"/>
                <w:lang w:eastAsia="en-US"/>
              </w:rPr>
              <w:t xml:space="preserve"> </w:t>
            </w:r>
            <w:r w:rsidR="00085354" w:rsidRPr="00906893">
              <w:rPr>
                <w:rFonts w:eastAsia="Calibri" w:cs="Arial"/>
                <w:sz w:val="14"/>
                <w:szCs w:val="14"/>
                <w:lang w:eastAsia="en-US"/>
              </w:rPr>
              <w:t>subject to the outcome of the dispute.</w:t>
            </w:r>
          </w:p>
          <w:p w14:paraId="1D3695D3" w14:textId="181DB1D1" w:rsidR="00085354" w:rsidRPr="00906893" w:rsidRDefault="00A7538C" w:rsidP="00F839DB">
            <w:pPr>
              <w:pStyle w:val="ListParagraph"/>
              <w:numPr>
                <w:ilvl w:val="0"/>
                <w:numId w:val="265"/>
              </w:numPr>
              <w:spacing w:after="60"/>
              <w:contextualSpacing/>
              <w:rPr>
                <w:rFonts w:eastAsia="Calibri" w:cs="Arial"/>
                <w:sz w:val="14"/>
                <w:szCs w:val="14"/>
                <w:lang w:eastAsia="en-US"/>
              </w:rPr>
            </w:pPr>
            <w:hyperlink r:id="rId1813" w:history="1">
              <w:r w:rsidR="00085354" w:rsidRPr="00906893">
                <w:rPr>
                  <w:rFonts w:eastAsia="Calibri" w:cs="Arial"/>
                  <w:color w:val="0000FF"/>
                  <w:sz w:val="14"/>
                  <w:szCs w:val="14"/>
                  <w:u w:val="single"/>
                  <w:lang w:eastAsia="en-US"/>
                </w:rPr>
                <w:t>s48(3)</w:t>
              </w:r>
            </w:hyperlink>
            <w:r w:rsidR="00F358E7" w:rsidRPr="0077500F">
              <w:rPr>
                <w:rFonts w:eastAsia="Calibri" w:cs="Arial"/>
                <w:color w:val="0000FF"/>
                <w:sz w:val="14"/>
                <w:szCs w:val="14"/>
                <w:lang w:eastAsia="en-US"/>
              </w:rPr>
              <w:t xml:space="preserve"> </w:t>
            </w:r>
            <w:r w:rsidR="00085354" w:rsidRPr="00906893">
              <w:rPr>
                <w:rFonts w:eastAsia="Calibri" w:cs="Arial"/>
                <w:sz w:val="14"/>
                <w:szCs w:val="14"/>
                <w:lang w:eastAsia="en-US"/>
              </w:rPr>
              <w:t>— A worker’s income maintenance can be discontinued if the worker ‘breaches mutuality,</w:t>
            </w:r>
            <w:r w:rsidR="000B0BD8">
              <w:rPr>
                <w:rFonts w:eastAsia="Calibri" w:cs="Arial"/>
                <w:sz w:val="14"/>
                <w:szCs w:val="14"/>
                <w:lang w:eastAsia="en-US"/>
              </w:rPr>
              <w:t xml:space="preserve">’ </w:t>
            </w:r>
            <w:r w:rsidR="00085354" w:rsidRPr="00906893">
              <w:rPr>
                <w:rFonts w:eastAsia="Calibri" w:cs="Arial"/>
                <w:sz w:val="14"/>
                <w:szCs w:val="14"/>
                <w:lang w:eastAsia="en-US"/>
              </w:rPr>
              <w:t xml:space="preserve">including </w:t>
            </w:r>
          </w:p>
          <w:p w14:paraId="521E88EE" w14:textId="5F7E7596" w:rsidR="00085354" w:rsidRPr="00906893" w:rsidRDefault="00085354" w:rsidP="00F839DB">
            <w:pPr>
              <w:pStyle w:val="ListParagraph"/>
              <w:numPr>
                <w:ilvl w:val="0"/>
                <w:numId w:val="265"/>
              </w:numPr>
              <w:spacing w:after="60"/>
              <w:contextualSpacing/>
              <w:rPr>
                <w:rFonts w:eastAsia="Calibri" w:cs="Arial"/>
                <w:sz w:val="14"/>
                <w:szCs w:val="14"/>
                <w:lang w:eastAsia="en-US"/>
              </w:rPr>
            </w:pPr>
            <w:r w:rsidRPr="00906893">
              <w:rPr>
                <w:rFonts w:eastAsia="Calibri" w:cs="Arial"/>
                <w:sz w:val="14"/>
                <w:szCs w:val="14"/>
                <w:lang w:eastAsia="en-US"/>
              </w:rPr>
              <w:lastRenderedPageBreak/>
              <w:t>if a worker fails to comply with a return to work obligation [</w:t>
            </w:r>
            <w:hyperlink r:id="rId1814" w:history="1">
              <w:r w:rsidRPr="00B7310F">
                <w:rPr>
                  <w:rStyle w:val="Hyperlink"/>
                  <w:rFonts w:eastAsia="Calibri" w:cs="Arial"/>
                  <w:sz w:val="14"/>
                  <w:szCs w:val="14"/>
                  <w:lang w:eastAsia="en-US"/>
                </w:rPr>
                <w:t>s48(3)(e)(ii)</w:t>
              </w:r>
            </w:hyperlink>
            <w:r w:rsidRPr="00906893">
              <w:rPr>
                <w:rFonts w:eastAsia="Calibri" w:cs="Arial"/>
                <w:sz w:val="14"/>
                <w:szCs w:val="14"/>
                <w:lang w:eastAsia="en-US"/>
              </w:rPr>
              <w:t>]</w:t>
            </w:r>
            <w:r w:rsidR="003D2FCB">
              <w:rPr>
                <w:rFonts w:eastAsia="Calibri" w:cs="Arial"/>
                <w:sz w:val="14"/>
                <w:szCs w:val="14"/>
                <w:lang w:eastAsia="en-US"/>
              </w:rPr>
              <w:t>.</w:t>
            </w:r>
          </w:p>
        </w:tc>
        <w:tc>
          <w:tcPr>
            <w:tcW w:w="2279" w:type="dxa"/>
            <w:shd w:val="clear" w:color="auto" w:fill="FFC9C9"/>
            <w:tcMar>
              <w:top w:w="80" w:type="dxa"/>
              <w:left w:w="80" w:type="dxa"/>
              <w:bottom w:w="80" w:type="dxa"/>
              <w:right w:w="80" w:type="dxa"/>
            </w:tcMar>
          </w:tcPr>
          <w:p w14:paraId="2F65ACF8" w14:textId="116B8E07" w:rsidR="00085354" w:rsidRPr="00124894" w:rsidRDefault="00085354" w:rsidP="00F839DB">
            <w:pPr>
              <w:pStyle w:val="ListParagraph"/>
              <w:numPr>
                <w:ilvl w:val="0"/>
                <w:numId w:val="265"/>
              </w:numPr>
              <w:spacing w:after="60"/>
              <w:contextualSpacing/>
              <w:rPr>
                <w:rFonts w:eastAsia="Calibri" w:cs="Arial"/>
                <w:sz w:val="14"/>
                <w:szCs w:val="14"/>
                <w:lang w:eastAsia="en-US"/>
              </w:rPr>
            </w:pPr>
            <w:r w:rsidRPr="00906893">
              <w:rPr>
                <w:rFonts w:eastAsia="Calibri" w:cs="Arial"/>
                <w:sz w:val="14"/>
                <w:szCs w:val="14"/>
                <w:lang w:eastAsia="en-US"/>
              </w:rPr>
              <w:lastRenderedPageBreak/>
              <w:t xml:space="preserve">Under </w:t>
            </w:r>
            <w:hyperlink r:id="rId1815" w:history="1">
              <w:r w:rsidRPr="00906893">
                <w:rPr>
                  <w:rFonts w:eastAsia="Calibri" w:cs="Arial"/>
                  <w:color w:val="0000FF"/>
                  <w:sz w:val="14"/>
                  <w:szCs w:val="14"/>
                  <w:u w:val="single"/>
                  <w:lang w:eastAsia="en-US"/>
                </w:rPr>
                <w:t>s48(3)(a)</w:t>
              </w:r>
            </w:hyperlink>
            <w:r w:rsidRPr="00906893">
              <w:rPr>
                <w:rFonts w:eastAsia="Calibri" w:cs="Arial"/>
                <w:sz w:val="14"/>
                <w:szCs w:val="14"/>
                <w:lang w:eastAsia="en-US"/>
              </w:rPr>
              <w:t xml:space="preserve"> a worker’s income maintenance can be discontinued if a worker fails to submit to an examination by a recognised medical expert nominated by the Corporation, and if a worker</w:t>
            </w:r>
            <w:r w:rsidR="00124894">
              <w:rPr>
                <w:rFonts w:eastAsia="Calibri" w:cs="Arial"/>
                <w:sz w:val="14"/>
                <w:szCs w:val="14"/>
                <w:lang w:eastAsia="en-US"/>
              </w:rPr>
              <w:t xml:space="preserve"> </w:t>
            </w:r>
            <w:r w:rsidRPr="00124894">
              <w:rPr>
                <w:rFonts w:eastAsia="Calibri" w:cs="Arial"/>
                <w:sz w:val="14"/>
                <w:szCs w:val="14"/>
                <w:lang w:eastAsia="en-US"/>
              </w:rPr>
              <w:t>refuses or fails to submit to proper medical treatment for the worker’s condition [</w:t>
            </w:r>
            <w:hyperlink r:id="rId1816" w:history="1">
              <w:r w:rsidRPr="00124894">
                <w:rPr>
                  <w:rFonts w:eastAsia="Calibri" w:cs="Arial"/>
                  <w:color w:val="0000FF"/>
                  <w:sz w:val="14"/>
                  <w:szCs w:val="14"/>
                  <w:u w:val="single"/>
                  <w:lang w:eastAsia="en-US"/>
                </w:rPr>
                <w:t>s48(3)(c)</w:t>
              </w:r>
            </w:hyperlink>
            <w:r w:rsidRPr="00124894">
              <w:rPr>
                <w:rFonts w:eastAsia="Calibri" w:cs="Arial"/>
                <w:sz w:val="14"/>
                <w:szCs w:val="14"/>
                <w:u w:val="single"/>
                <w:lang w:eastAsia="en-US"/>
              </w:rPr>
              <w:t>]</w:t>
            </w:r>
          </w:p>
          <w:p w14:paraId="6AA96E3F" w14:textId="77777777" w:rsidR="00085354" w:rsidRPr="00906893" w:rsidRDefault="00A7538C" w:rsidP="00F839DB">
            <w:pPr>
              <w:pStyle w:val="ListParagraph"/>
              <w:numPr>
                <w:ilvl w:val="0"/>
                <w:numId w:val="265"/>
              </w:numPr>
              <w:spacing w:after="60"/>
              <w:contextualSpacing/>
              <w:rPr>
                <w:rFonts w:eastAsia="Calibri" w:cs="Arial"/>
                <w:sz w:val="14"/>
                <w:szCs w:val="14"/>
                <w:lang w:eastAsia="en-US"/>
              </w:rPr>
            </w:pPr>
            <w:hyperlink r:id="rId1817" w:history="1">
              <w:r w:rsidR="00085354" w:rsidRPr="00906893">
                <w:rPr>
                  <w:rFonts w:eastAsia="Calibri" w:cs="Arial"/>
                  <w:color w:val="0000FF"/>
                  <w:sz w:val="14"/>
                  <w:szCs w:val="14"/>
                  <w:u w:val="single"/>
                  <w:lang w:eastAsia="en-US"/>
                </w:rPr>
                <w:t xml:space="preserve">Section 48(4) </w:t>
              </w:r>
            </w:hyperlink>
            <w:r w:rsidR="00085354" w:rsidRPr="00906893">
              <w:rPr>
                <w:rFonts w:eastAsia="Calibri" w:cs="Arial"/>
                <w:sz w:val="14"/>
                <w:szCs w:val="14"/>
                <w:lang w:eastAsia="en-US"/>
              </w:rPr>
              <w:t xml:space="preserve">states that a worker has not breached </w:t>
            </w:r>
            <w:r w:rsidR="00085354" w:rsidRPr="00906893">
              <w:rPr>
                <w:rFonts w:eastAsia="Calibri" w:cs="Arial"/>
                <w:sz w:val="14"/>
                <w:szCs w:val="14"/>
                <w:lang w:eastAsia="en-US"/>
              </w:rPr>
              <w:lastRenderedPageBreak/>
              <w:t>mutuality if they reasonably refuse surgery or the administration of a drug or if they choose one form of treatment over another.</w:t>
            </w:r>
          </w:p>
        </w:tc>
        <w:tc>
          <w:tcPr>
            <w:tcW w:w="2279" w:type="dxa"/>
            <w:shd w:val="clear" w:color="auto" w:fill="FFC9C9"/>
            <w:tcMar>
              <w:top w:w="80" w:type="dxa"/>
              <w:left w:w="80" w:type="dxa"/>
              <w:bottom w:w="80" w:type="dxa"/>
              <w:right w:w="80" w:type="dxa"/>
            </w:tcMar>
          </w:tcPr>
          <w:p w14:paraId="00F76405" w14:textId="575B9620" w:rsidR="00085354" w:rsidRPr="00906893" w:rsidRDefault="00085354" w:rsidP="00F839DB">
            <w:pPr>
              <w:pStyle w:val="ListParagraph"/>
              <w:numPr>
                <w:ilvl w:val="0"/>
                <w:numId w:val="265"/>
              </w:numPr>
              <w:spacing w:after="60"/>
              <w:contextualSpacing/>
              <w:rPr>
                <w:rFonts w:eastAsia="Calibri" w:cs="Arial"/>
                <w:sz w:val="14"/>
                <w:szCs w:val="14"/>
                <w:lang w:eastAsia="en-US"/>
              </w:rPr>
            </w:pPr>
            <w:r w:rsidRPr="00906893">
              <w:rPr>
                <w:rFonts w:eastAsia="Calibri" w:cs="Arial"/>
                <w:sz w:val="14"/>
                <w:szCs w:val="14"/>
                <w:lang w:eastAsia="en-US"/>
              </w:rPr>
              <w:lastRenderedPageBreak/>
              <w:t xml:space="preserve">See </w:t>
            </w:r>
            <w:hyperlink r:id="rId1818" w:history="1">
              <w:r w:rsidRPr="00B7310F">
                <w:rPr>
                  <w:rStyle w:val="Hyperlink"/>
                  <w:rFonts w:eastAsia="Calibri" w:cs="Arial"/>
                  <w:sz w:val="14"/>
                  <w:szCs w:val="14"/>
                  <w:lang w:eastAsia="en-US"/>
                </w:rPr>
                <w:t>s31(3)(b)</w:t>
              </w:r>
            </w:hyperlink>
            <w:r w:rsidRPr="00906893">
              <w:rPr>
                <w:rFonts w:eastAsia="Calibri" w:cs="Arial"/>
                <w:sz w:val="14"/>
                <w:szCs w:val="14"/>
                <w:lang w:eastAsia="en-US"/>
              </w:rPr>
              <w:t xml:space="preserve"> </w:t>
            </w:r>
            <w:r w:rsidR="00F358E7">
              <w:rPr>
                <w:rFonts w:eastAsia="Calibri" w:cs="Arial"/>
                <w:sz w:val="14"/>
                <w:szCs w:val="14"/>
                <w:lang w:eastAsia="en-US"/>
              </w:rPr>
              <w:t>—</w:t>
            </w:r>
            <w:r w:rsidR="00F358E7" w:rsidRPr="00906893">
              <w:rPr>
                <w:rFonts w:eastAsia="Calibri" w:cs="Arial"/>
                <w:sz w:val="14"/>
                <w:szCs w:val="14"/>
                <w:lang w:eastAsia="en-US"/>
              </w:rPr>
              <w:t xml:space="preserve"> </w:t>
            </w:r>
            <w:r w:rsidRPr="00906893">
              <w:rPr>
                <w:rFonts w:eastAsia="Calibri" w:cs="Arial"/>
                <w:sz w:val="14"/>
                <w:szCs w:val="14"/>
                <w:lang w:eastAsia="en-US"/>
              </w:rPr>
              <w:t>a claim may be rejected if a worker refuses to submit to an examination.</w:t>
            </w:r>
          </w:p>
        </w:tc>
        <w:tc>
          <w:tcPr>
            <w:tcW w:w="2278" w:type="dxa"/>
            <w:shd w:val="clear" w:color="auto" w:fill="FFC9C9"/>
            <w:tcMar>
              <w:top w:w="80" w:type="dxa"/>
              <w:left w:w="80" w:type="dxa"/>
              <w:bottom w:w="80" w:type="dxa"/>
              <w:right w:w="80" w:type="dxa"/>
            </w:tcMar>
          </w:tcPr>
          <w:p w14:paraId="174DB23E" w14:textId="774A2A1A" w:rsidR="00124894" w:rsidRDefault="00085354" w:rsidP="00DF35F2">
            <w:pPr>
              <w:numPr>
                <w:ilvl w:val="0"/>
                <w:numId w:val="47"/>
              </w:numPr>
              <w:spacing w:after="60"/>
              <w:contextualSpacing/>
              <w:rPr>
                <w:rFonts w:eastAsia="Calibri" w:cs="Arial"/>
                <w:sz w:val="14"/>
                <w:szCs w:val="14"/>
                <w:lang w:eastAsia="en-US"/>
              </w:rPr>
            </w:pPr>
            <w:r w:rsidRPr="00085354">
              <w:rPr>
                <w:rFonts w:eastAsia="Calibri" w:cs="Arial"/>
                <w:sz w:val="14"/>
                <w:szCs w:val="14"/>
                <w:lang w:eastAsia="en-US"/>
              </w:rPr>
              <w:t xml:space="preserve">A worker may be discontinued if they refuse to cooperate in establishing a return to work plan or fail to comply with an obligation under the plan </w:t>
            </w:r>
            <w:r w:rsidR="00F358E7">
              <w:rPr>
                <w:rFonts w:eastAsia="Calibri" w:cs="Arial"/>
                <w:sz w:val="14"/>
                <w:szCs w:val="14"/>
                <w:lang w:eastAsia="en-US"/>
              </w:rPr>
              <w:t>—</w:t>
            </w:r>
            <w:r w:rsidR="00F358E7" w:rsidRPr="00085354">
              <w:rPr>
                <w:rFonts w:eastAsia="Calibri" w:cs="Arial"/>
                <w:sz w:val="14"/>
                <w:szCs w:val="14"/>
                <w:lang w:eastAsia="en-US"/>
              </w:rPr>
              <w:t xml:space="preserve"> </w:t>
            </w:r>
            <w:hyperlink r:id="rId1819" w:history="1">
              <w:r w:rsidRPr="00085354">
                <w:rPr>
                  <w:rFonts w:eastAsia="Calibri" w:cs="Arial"/>
                  <w:color w:val="0000FF"/>
                  <w:sz w:val="14"/>
                  <w:szCs w:val="14"/>
                  <w:u w:val="single"/>
                  <w:lang w:eastAsia="en-US"/>
                </w:rPr>
                <w:t>s48(3)(d)</w:t>
              </w:r>
            </w:hyperlink>
            <w:r w:rsidR="00124894">
              <w:rPr>
                <w:rFonts w:eastAsia="Calibri" w:cs="Arial"/>
                <w:sz w:val="14"/>
                <w:szCs w:val="14"/>
                <w:lang w:eastAsia="en-US"/>
              </w:rPr>
              <w:t>.</w:t>
            </w:r>
          </w:p>
          <w:p w14:paraId="2DC4D455" w14:textId="7239DE0B" w:rsidR="00085354" w:rsidRPr="00085354" w:rsidRDefault="00085354" w:rsidP="00DF35F2">
            <w:pPr>
              <w:numPr>
                <w:ilvl w:val="0"/>
                <w:numId w:val="47"/>
              </w:numPr>
              <w:spacing w:after="60"/>
              <w:contextualSpacing/>
              <w:rPr>
                <w:rFonts w:eastAsia="Calibri" w:cs="Arial"/>
                <w:sz w:val="14"/>
                <w:szCs w:val="14"/>
                <w:lang w:eastAsia="en-US"/>
              </w:rPr>
            </w:pPr>
            <w:r w:rsidRPr="00085354">
              <w:rPr>
                <w:rFonts w:eastAsia="Calibri" w:cs="Arial"/>
                <w:sz w:val="14"/>
                <w:szCs w:val="14"/>
                <w:lang w:eastAsia="en-US"/>
              </w:rPr>
              <w:t>A worker may be discontinued if they refuse to undertake work that has been offered that the worker is capable of performing</w:t>
            </w:r>
            <w:r w:rsidR="000B0BD8">
              <w:rPr>
                <w:rFonts w:eastAsia="Calibri" w:cs="Arial"/>
                <w:sz w:val="14"/>
                <w:szCs w:val="14"/>
                <w:lang w:eastAsia="en-US"/>
              </w:rPr>
              <w:t xml:space="preserve"> </w:t>
            </w:r>
            <w:r w:rsidR="00F358E7">
              <w:rPr>
                <w:rFonts w:eastAsia="Calibri" w:cs="Arial"/>
                <w:sz w:val="14"/>
                <w:szCs w:val="14"/>
                <w:lang w:eastAsia="en-US"/>
              </w:rPr>
              <w:t xml:space="preserve">— </w:t>
            </w:r>
            <w:r w:rsidRPr="00085354">
              <w:rPr>
                <w:rFonts w:eastAsia="Calibri" w:cs="Arial"/>
                <w:sz w:val="14"/>
                <w:szCs w:val="14"/>
                <w:lang w:eastAsia="en-US"/>
              </w:rPr>
              <w:t xml:space="preserve">s </w:t>
            </w:r>
            <w:hyperlink r:id="rId1820" w:history="1">
              <w:r w:rsidRPr="00085354">
                <w:rPr>
                  <w:rFonts w:eastAsia="Calibri" w:cs="Arial"/>
                  <w:color w:val="0000FF"/>
                  <w:sz w:val="14"/>
                  <w:szCs w:val="14"/>
                  <w:u w:val="single"/>
                  <w:lang w:eastAsia="en-US"/>
                </w:rPr>
                <w:t>48(3)(e)</w:t>
              </w:r>
            </w:hyperlink>
            <w:r w:rsidR="000B0BD8">
              <w:rPr>
                <w:rFonts w:eastAsia="Calibri" w:cs="Arial"/>
                <w:color w:val="0000FF"/>
                <w:sz w:val="14"/>
                <w:szCs w:val="14"/>
                <w:u w:val="single"/>
                <w:lang w:eastAsia="en-US"/>
              </w:rPr>
              <w:t xml:space="preserve"> </w:t>
            </w:r>
            <w:r w:rsidRPr="00085354">
              <w:rPr>
                <w:rFonts w:eastAsia="Calibri" w:cs="Arial"/>
                <w:sz w:val="14"/>
                <w:szCs w:val="14"/>
                <w:lang w:eastAsia="en-US"/>
              </w:rPr>
              <w:t xml:space="preserve">— or if they fail to take reasonable steps to </w:t>
            </w:r>
            <w:r w:rsidRPr="00085354">
              <w:rPr>
                <w:rFonts w:eastAsia="Calibri" w:cs="Arial"/>
                <w:sz w:val="14"/>
                <w:szCs w:val="14"/>
                <w:lang w:eastAsia="en-US"/>
              </w:rPr>
              <w:lastRenderedPageBreak/>
              <w:t xml:space="preserve">find or obtain suitable employment </w:t>
            </w:r>
            <w:r w:rsidR="00F358E7">
              <w:rPr>
                <w:rFonts w:eastAsia="Calibri" w:cs="Arial"/>
                <w:sz w:val="14"/>
                <w:szCs w:val="14"/>
                <w:lang w:eastAsia="en-US"/>
              </w:rPr>
              <w:t>—</w:t>
            </w:r>
            <w:r w:rsidR="00F358E7" w:rsidRPr="00085354">
              <w:rPr>
                <w:rFonts w:eastAsia="Calibri" w:cs="Arial"/>
                <w:sz w:val="14"/>
                <w:szCs w:val="14"/>
                <w:lang w:eastAsia="en-US"/>
              </w:rPr>
              <w:t xml:space="preserve"> </w:t>
            </w:r>
            <w:r w:rsidRPr="00085354">
              <w:rPr>
                <w:rFonts w:eastAsia="Calibri" w:cs="Arial"/>
                <w:sz w:val="14"/>
                <w:szCs w:val="14"/>
                <w:lang w:eastAsia="en-US"/>
              </w:rPr>
              <w:t>s</w:t>
            </w:r>
            <w:hyperlink r:id="rId1821" w:history="1">
              <w:r w:rsidRPr="00085354">
                <w:rPr>
                  <w:rFonts w:eastAsia="Calibri" w:cs="Arial"/>
                  <w:color w:val="0000FF"/>
                  <w:sz w:val="14"/>
                  <w:szCs w:val="14"/>
                  <w:u w:val="single"/>
                  <w:lang w:eastAsia="en-US"/>
                </w:rPr>
                <w:t>48(3)(e)</w:t>
              </w:r>
            </w:hyperlink>
            <w:r w:rsidRPr="00085354">
              <w:rPr>
                <w:rFonts w:eastAsia="Calibri" w:cs="Arial"/>
                <w:sz w:val="14"/>
                <w:szCs w:val="14"/>
                <w:lang w:eastAsia="en-US"/>
              </w:rPr>
              <w:t>.</w:t>
            </w:r>
          </w:p>
        </w:tc>
        <w:tc>
          <w:tcPr>
            <w:tcW w:w="2279" w:type="dxa"/>
            <w:shd w:val="clear" w:color="auto" w:fill="FFC9C9"/>
            <w:tcMar>
              <w:top w:w="80" w:type="dxa"/>
              <w:left w:w="80" w:type="dxa"/>
              <w:bottom w:w="80" w:type="dxa"/>
              <w:right w:w="80" w:type="dxa"/>
            </w:tcMar>
          </w:tcPr>
          <w:p w14:paraId="7312836A" w14:textId="36B57784" w:rsidR="00085354" w:rsidRPr="00085354" w:rsidRDefault="00B461BC" w:rsidP="00292A53">
            <w:pPr>
              <w:spacing w:after="60"/>
              <w:rPr>
                <w:rFonts w:cs="Arial"/>
                <w:color w:val="000000"/>
                <w:sz w:val="14"/>
                <w:szCs w:val="16"/>
                <w:lang w:val="en-GB"/>
              </w:rPr>
            </w:pPr>
            <w:r>
              <w:rPr>
                <w:rFonts w:cs="Arial"/>
                <w:color w:val="000000"/>
                <w:sz w:val="14"/>
                <w:szCs w:val="16"/>
                <w:lang w:val="en-GB"/>
              </w:rPr>
              <w:lastRenderedPageBreak/>
              <w:t>Not defined in the Act</w:t>
            </w:r>
          </w:p>
        </w:tc>
        <w:tc>
          <w:tcPr>
            <w:tcW w:w="2279" w:type="dxa"/>
            <w:shd w:val="clear" w:color="auto" w:fill="FFC9C9"/>
            <w:tcMar>
              <w:top w:w="80" w:type="dxa"/>
              <w:left w:w="80" w:type="dxa"/>
              <w:bottom w:w="80" w:type="dxa"/>
              <w:right w:w="80" w:type="dxa"/>
            </w:tcMar>
          </w:tcPr>
          <w:p w14:paraId="28486A3D" w14:textId="77777777" w:rsidR="00085354" w:rsidRPr="00906893" w:rsidRDefault="00A7538C" w:rsidP="00DF35F2">
            <w:pPr>
              <w:pStyle w:val="ListParagraph"/>
              <w:numPr>
                <w:ilvl w:val="0"/>
                <w:numId w:val="47"/>
              </w:numPr>
              <w:spacing w:after="60"/>
              <w:contextualSpacing/>
              <w:rPr>
                <w:rFonts w:eastAsia="Calibri" w:cs="Arial"/>
                <w:sz w:val="14"/>
                <w:szCs w:val="14"/>
                <w:lang w:eastAsia="en-US"/>
              </w:rPr>
            </w:pPr>
            <w:hyperlink r:id="rId1822" w:history="1">
              <w:r w:rsidR="00085354" w:rsidRPr="00906893">
                <w:rPr>
                  <w:rFonts w:eastAsia="Calibri" w:cs="Arial"/>
                  <w:color w:val="0000FF"/>
                  <w:sz w:val="14"/>
                  <w:szCs w:val="14"/>
                  <w:u w:val="single"/>
                  <w:lang w:eastAsia="en-US"/>
                </w:rPr>
                <w:t>s16</w:t>
              </w:r>
            </w:hyperlink>
            <w:r w:rsidR="00085354" w:rsidRPr="00906893">
              <w:rPr>
                <w:rFonts w:eastAsia="Calibri" w:cs="Arial"/>
                <w:sz w:val="14"/>
                <w:szCs w:val="14"/>
                <w:lang w:eastAsia="en-US"/>
              </w:rPr>
              <w:t xml:space="preserve"> — Upon injury the worker must give notice to the employer within 24 hours after the injury occurred or as soon as practicable. </w:t>
            </w:r>
          </w:p>
          <w:p w14:paraId="7D20779B" w14:textId="7C85BD47" w:rsidR="00085354" w:rsidRPr="00906893" w:rsidRDefault="00A7538C" w:rsidP="00DF35F2">
            <w:pPr>
              <w:pStyle w:val="ListParagraph"/>
              <w:numPr>
                <w:ilvl w:val="0"/>
                <w:numId w:val="47"/>
              </w:numPr>
              <w:spacing w:after="60"/>
              <w:contextualSpacing/>
              <w:rPr>
                <w:rFonts w:eastAsia="Calibri" w:cs="Arial"/>
                <w:sz w:val="14"/>
                <w:szCs w:val="14"/>
                <w:lang w:eastAsia="en-US"/>
              </w:rPr>
            </w:pPr>
            <w:hyperlink r:id="rId1823" w:history="1">
              <w:r w:rsidR="00085354" w:rsidRPr="00906893">
                <w:rPr>
                  <w:rFonts w:eastAsia="Calibri" w:cs="Arial"/>
                  <w:color w:val="0000FF"/>
                  <w:sz w:val="14"/>
                  <w:szCs w:val="14"/>
                  <w:u w:val="single"/>
                  <w:lang w:eastAsia="en-US"/>
                </w:rPr>
                <w:t>s51</w:t>
              </w:r>
            </w:hyperlink>
            <w:r w:rsidR="00F358E7" w:rsidRPr="0077500F">
              <w:rPr>
                <w:rFonts w:eastAsia="Calibri" w:cs="Arial"/>
                <w:color w:val="0000FF"/>
                <w:sz w:val="14"/>
                <w:szCs w:val="14"/>
                <w:lang w:eastAsia="en-US"/>
              </w:rPr>
              <w:t xml:space="preserve"> </w:t>
            </w:r>
            <w:r w:rsidR="00085354" w:rsidRPr="00906893">
              <w:rPr>
                <w:rFonts w:eastAsia="Calibri" w:cs="Arial"/>
                <w:sz w:val="14"/>
                <w:szCs w:val="14"/>
                <w:lang w:eastAsia="en-US"/>
              </w:rPr>
              <w:t xml:space="preserve">— If the worker will be absent from Australia in excess of 28 days must notify the Corporation the prescribed details of the proposed absence at least </w:t>
            </w:r>
            <w:r w:rsidR="00085354" w:rsidRPr="00906893">
              <w:rPr>
                <w:rFonts w:eastAsia="Calibri" w:cs="Arial"/>
                <w:sz w:val="14"/>
                <w:szCs w:val="14"/>
                <w:lang w:eastAsia="en-US"/>
              </w:rPr>
              <w:lastRenderedPageBreak/>
              <w:t>28 days before leaving.</w:t>
            </w:r>
          </w:p>
        </w:tc>
      </w:tr>
      <w:tr w:rsidR="00085354" w:rsidRPr="00085354" w14:paraId="7B7DACB6" w14:textId="77777777" w:rsidTr="00B2173F">
        <w:tc>
          <w:tcPr>
            <w:tcW w:w="1418" w:type="dxa"/>
            <w:tcMar>
              <w:top w:w="80" w:type="dxa"/>
              <w:left w:w="80" w:type="dxa"/>
              <w:bottom w:w="80" w:type="dxa"/>
              <w:right w:w="80" w:type="dxa"/>
            </w:tcMar>
          </w:tcPr>
          <w:p w14:paraId="540AB945"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lastRenderedPageBreak/>
              <w:t>Tasmania</w:t>
            </w:r>
          </w:p>
        </w:tc>
        <w:tc>
          <w:tcPr>
            <w:tcW w:w="2278" w:type="dxa"/>
            <w:tcMar>
              <w:top w:w="80" w:type="dxa"/>
              <w:left w:w="80" w:type="dxa"/>
              <w:bottom w:w="80" w:type="dxa"/>
              <w:right w:w="80" w:type="dxa"/>
            </w:tcMar>
          </w:tcPr>
          <w:p w14:paraId="3A7264A2" w14:textId="2B01176D"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 xml:space="preserve">Worker to notify employer as soon as practicable after a workplace injury of the primary treating medical practitioner. </w:t>
            </w:r>
            <w:r w:rsidRPr="00906893">
              <w:rPr>
                <w:rFonts w:eastAsia="Calibri" w:cs="Arial"/>
                <w:sz w:val="14"/>
                <w:szCs w:val="14"/>
                <w:lang w:eastAsia="en-US"/>
              </w:rPr>
              <w:br/>
              <w:t>—</w:t>
            </w:r>
            <w:r w:rsidR="008006D0">
              <w:rPr>
                <w:rFonts w:eastAsia="Calibri" w:cs="Arial"/>
                <w:sz w:val="14"/>
                <w:szCs w:val="14"/>
                <w:lang w:eastAsia="en-US"/>
              </w:rPr>
              <w:t xml:space="preserve"> </w:t>
            </w:r>
            <w:r w:rsidR="008006D0" w:rsidRPr="00016069">
              <w:rPr>
                <w:i/>
                <w:sz w:val="14"/>
              </w:rPr>
              <w:t>Workers Rehabilitation and Compensation Act 1988</w:t>
            </w:r>
            <w:r w:rsidRPr="00906893">
              <w:rPr>
                <w:rFonts w:eastAsia="Calibri" w:cs="Arial"/>
                <w:sz w:val="14"/>
                <w:szCs w:val="14"/>
                <w:lang w:eastAsia="en-US"/>
              </w:rPr>
              <w:t xml:space="preserve"> </w:t>
            </w:r>
            <w:hyperlink r:id="rId1824" w:history="1">
              <w:r w:rsidRPr="00906893">
                <w:rPr>
                  <w:rFonts w:eastAsia="Calibri" w:cs="Arial"/>
                  <w:color w:val="0000FF"/>
                  <w:sz w:val="14"/>
                  <w:szCs w:val="14"/>
                  <w:u w:val="single"/>
                  <w:lang w:eastAsia="en-US"/>
                </w:rPr>
                <w:t>s143G(1)</w:t>
              </w:r>
            </w:hyperlink>
          </w:p>
          <w:p w14:paraId="518B6927" w14:textId="77777777"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 xml:space="preserve">Worker is to take all reasonable steps to comply with requirements of the return to work plan or injury management plan and to perform any actions that the worker is required to perform under the plan. — </w:t>
            </w:r>
            <w:hyperlink r:id="rId1825" w:history="1">
              <w:r w:rsidRPr="00906893">
                <w:rPr>
                  <w:rFonts w:eastAsia="Calibri" w:cs="Arial"/>
                  <w:color w:val="0000FF"/>
                  <w:sz w:val="14"/>
                  <w:szCs w:val="14"/>
                  <w:u w:val="single"/>
                  <w:lang w:eastAsia="en-US"/>
                </w:rPr>
                <w:t>s143E(7</w:t>
              </w:r>
            </w:hyperlink>
            <w:r w:rsidRPr="00906893">
              <w:rPr>
                <w:rFonts w:eastAsia="Calibri" w:cs="Arial"/>
                <w:sz w:val="14"/>
                <w:szCs w:val="14"/>
                <w:lang w:eastAsia="en-US"/>
              </w:rPr>
              <w:t xml:space="preserve">) and </w:t>
            </w:r>
            <w:hyperlink r:id="rId1826" w:history="1">
              <w:r w:rsidRPr="00906893">
                <w:rPr>
                  <w:rFonts w:eastAsia="Calibri" w:cs="Arial"/>
                  <w:color w:val="0000FF"/>
                  <w:sz w:val="14"/>
                  <w:szCs w:val="14"/>
                  <w:u w:val="single"/>
                  <w:lang w:eastAsia="en-US"/>
                </w:rPr>
                <w:t>s143N(1)</w:t>
              </w:r>
            </w:hyperlink>
            <w:r w:rsidRPr="00906893">
              <w:rPr>
                <w:rFonts w:eastAsia="Calibri" w:cs="Arial"/>
                <w:sz w:val="14"/>
                <w:szCs w:val="14"/>
                <w:lang w:eastAsia="en-US"/>
              </w:rPr>
              <w:t>.</w:t>
            </w:r>
          </w:p>
        </w:tc>
        <w:tc>
          <w:tcPr>
            <w:tcW w:w="2279" w:type="dxa"/>
            <w:tcMar>
              <w:top w:w="80" w:type="dxa"/>
              <w:left w:w="80" w:type="dxa"/>
              <w:bottom w:w="80" w:type="dxa"/>
              <w:right w:w="80" w:type="dxa"/>
            </w:tcMar>
          </w:tcPr>
          <w:p w14:paraId="6C4DCFE3" w14:textId="77777777"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 xml:space="preserve">Worker to take all reasonable steps to comply with requirements of the return to work or injury management plan. </w:t>
            </w:r>
            <w:r w:rsidRPr="00906893">
              <w:rPr>
                <w:rFonts w:eastAsia="Calibri" w:cs="Arial"/>
                <w:sz w:val="14"/>
                <w:szCs w:val="14"/>
                <w:lang w:eastAsia="en-US"/>
              </w:rPr>
              <w:br/>
              <w:t xml:space="preserve">— </w:t>
            </w:r>
            <w:hyperlink r:id="rId1827" w:history="1">
              <w:r w:rsidRPr="00906893">
                <w:rPr>
                  <w:rFonts w:eastAsia="Calibri" w:cs="Arial"/>
                  <w:color w:val="0000FF"/>
                  <w:sz w:val="14"/>
                  <w:szCs w:val="14"/>
                  <w:u w:val="single"/>
                  <w:lang w:eastAsia="en-US"/>
                </w:rPr>
                <w:t>s143E(7)</w:t>
              </w:r>
            </w:hyperlink>
          </w:p>
          <w:p w14:paraId="002D25B0" w14:textId="77777777"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If a medical practitioner conducting an independent medical review reports that any medical or surgical treatment will terminate or shorten the period of incapacity, the worker must submit to treatment or, if the worker is dissatisfied with the report, the worker must submit to an examination b</w:t>
            </w:r>
            <w:r w:rsidR="007A6841">
              <w:rPr>
                <w:rFonts w:eastAsia="Calibri" w:cs="Arial"/>
                <w:sz w:val="14"/>
                <w:szCs w:val="14"/>
                <w:lang w:eastAsia="en-US"/>
              </w:rPr>
              <w:t>y another medical practitioner.</w:t>
            </w:r>
            <w:r w:rsidRPr="00906893">
              <w:rPr>
                <w:rFonts w:eastAsia="Calibri" w:cs="Arial"/>
                <w:sz w:val="14"/>
                <w:szCs w:val="14"/>
                <w:lang w:eastAsia="en-US"/>
              </w:rPr>
              <w:t xml:space="preserve"> If the medical practitioners are in agreement, the worker must submit to the treatment specified. — </w:t>
            </w:r>
            <w:hyperlink r:id="rId1828" w:history="1">
              <w:r w:rsidRPr="00906893">
                <w:rPr>
                  <w:rFonts w:eastAsia="Calibri" w:cs="Arial"/>
                  <w:color w:val="0000FF"/>
                  <w:sz w:val="14"/>
                  <w:szCs w:val="14"/>
                  <w:u w:val="single"/>
                  <w:lang w:eastAsia="en-US"/>
                </w:rPr>
                <w:t>(s90A(7))</w:t>
              </w:r>
            </w:hyperlink>
          </w:p>
          <w:p w14:paraId="5F0B8BE8" w14:textId="347E6967"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 xml:space="preserve">If worker fails to submit to treatment (with the exception of surgical treatment) the worker’s right to compensation and to take any proceedings under the </w:t>
            </w:r>
            <w:r w:rsidRPr="00D41D16">
              <w:rPr>
                <w:rFonts w:eastAsia="Calibri" w:cs="Arial"/>
                <w:i/>
                <w:sz w:val="14"/>
                <w:szCs w:val="14"/>
                <w:lang w:eastAsia="en-US"/>
              </w:rPr>
              <w:t>Workers Rehabilitation and Compensation Act 1988</w:t>
            </w:r>
            <w:r w:rsidRPr="00906893">
              <w:rPr>
                <w:rFonts w:eastAsia="Calibri" w:cs="Arial"/>
                <w:sz w:val="14"/>
                <w:szCs w:val="14"/>
                <w:lang w:eastAsia="en-US"/>
              </w:rPr>
              <w:t xml:space="preserve"> can be suspended. —</w:t>
            </w:r>
            <w:hyperlink r:id="rId1829" w:history="1">
              <w:r w:rsidRPr="00906893">
                <w:rPr>
                  <w:rFonts w:eastAsia="Calibri" w:cs="Arial"/>
                  <w:color w:val="0000FF"/>
                  <w:sz w:val="14"/>
                  <w:szCs w:val="14"/>
                  <w:u w:val="single"/>
                  <w:lang w:eastAsia="en-US"/>
                </w:rPr>
                <w:t xml:space="preserve"> s90C</w:t>
              </w:r>
            </w:hyperlink>
            <w:r w:rsidR="003D2FCB">
              <w:rPr>
                <w:rFonts w:eastAsia="Calibri" w:cs="Arial"/>
                <w:color w:val="0000FF"/>
                <w:sz w:val="14"/>
                <w:szCs w:val="14"/>
                <w:u w:val="single"/>
                <w:lang w:eastAsia="en-US"/>
              </w:rPr>
              <w:t>.</w:t>
            </w:r>
          </w:p>
        </w:tc>
        <w:tc>
          <w:tcPr>
            <w:tcW w:w="2279" w:type="dxa"/>
            <w:tcMar>
              <w:top w:w="80" w:type="dxa"/>
              <w:left w:w="80" w:type="dxa"/>
              <w:bottom w:w="80" w:type="dxa"/>
              <w:right w:w="80" w:type="dxa"/>
            </w:tcMar>
          </w:tcPr>
          <w:p w14:paraId="59031B3F" w14:textId="0EA0E6F3"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In relation to medical reviews, a worker is to submit to an independent medical review at a reasonable time provided the worker has been given reasonable notice. If the worker objects to the review, he/she can refer it to the Tribunal for consideration. — </w:t>
            </w:r>
            <w:hyperlink r:id="rId1830" w:history="1">
              <w:r w:rsidRPr="00085354">
                <w:rPr>
                  <w:rFonts w:cs="Arial"/>
                  <w:color w:val="0000FF"/>
                  <w:sz w:val="14"/>
                  <w:szCs w:val="16"/>
                  <w:u w:val="single"/>
                  <w:lang w:val="en-GB"/>
                </w:rPr>
                <w:t>s90A</w:t>
              </w:r>
            </w:hyperlink>
            <w:r w:rsidRPr="00085354">
              <w:rPr>
                <w:rFonts w:cs="Arial"/>
                <w:color w:val="000000"/>
                <w:sz w:val="14"/>
                <w:szCs w:val="16"/>
                <w:lang w:val="en-GB"/>
              </w:rPr>
              <w:t xml:space="preserve"> and </w:t>
            </w:r>
            <w:hyperlink r:id="rId1831" w:history="1">
              <w:r w:rsidRPr="00085354">
                <w:rPr>
                  <w:rFonts w:cs="Arial"/>
                  <w:color w:val="0000FF"/>
                  <w:sz w:val="14"/>
                  <w:szCs w:val="16"/>
                  <w:u w:val="single"/>
                  <w:lang w:val="en-GB"/>
                </w:rPr>
                <w:t>s90C</w:t>
              </w:r>
            </w:hyperlink>
            <w:r w:rsidR="003D2FCB">
              <w:rPr>
                <w:rFonts w:cs="Arial"/>
                <w:color w:val="0000FF"/>
                <w:sz w:val="14"/>
                <w:szCs w:val="16"/>
                <w:u w:val="single"/>
                <w:lang w:val="en-GB"/>
              </w:rPr>
              <w:t>.</w:t>
            </w:r>
          </w:p>
        </w:tc>
        <w:tc>
          <w:tcPr>
            <w:tcW w:w="2278" w:type="dxa"/>
            <w:tcMar>
              <w:top w:w="80" w:type="dxa"/>
              <w:left w:w="80" w:type="dxa"/>
              <w:bottom w:w="80" w:type="dxa"/>
              <w:right w:w="80" w:type="dxa"/>
            </w:tcMar>
          </w:tcPr>
          <w:p w14:paraId="6739318D" w14:textId="1318D20D"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If worker is unable to perform an action, they are to seek medical advice and if appropriate undergo treatment that may enable the action, and advise the employer and injury management coordinator of the worker’s inability and of any medical advice or treatment sought or undergone. A worker who is assigned reduced hours in accordance with an approved plan must take all reasonable steps to ensure attending a medical practitioner does not interfere with worker’s employment during those hours. — </w:t>
            </w:r>
            <w:hyperlink r:id="rId1832" w:history="1">
              <w:r w:rsidRPr="00085354">
                <w:rPr>
                  <w:rFonts w:cs="Arial"/>
                  <w:color w:val="0000FF"/>
                  <w:sz w:val="14"/>
                  <w:szCs w:val="16"/>
                  <w:u w:val="single"/>
                  <w:lang w:val="en-GB"/>
                </w:rPr>
                <w:t>s143N</w:t>
              </w:r>
            </w:hyperlink>
            <w:r w:rsidR="003D2FCB">
              <w:rPr>
                <w:rFonts w:cs="Arial"/>
                <w:color w:val="0000FF"/>
                <w:sz w:val="14"/>
                <w:szCs w:val="16"/>
                <w:u w:val="single"/>
                <w:lang w:val="en-GB"/>
              </w:rPr>
              <w:t>.</w:t>
            </w:r>
          </w:p>
        </w:tc>
        <w:tc>
          <w:tcPr>
            <w:tcW w:w="2279" w:type="dxa"/>
            <w:tcMar>
              <w:top w:w="80" w:type="dxa"/>
              <w:left w:w="80" w:type="dxa"/>
              <w:bottom w:w="80" w:type="dxa"/>
              <w:right w:w="80" w:type="dxa"/>
            </w:tcMar>
          </w:tcPr>
          <w:p w14:paraId="182EDD1F" w14:textId="777777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N/A</w:t>
            </w:r>
          </w:p>
        </w:tc>
        <w:tc>
          <w:tcPr>
            <w:tcW w:w="2279" w:type="dxa"/>
            <w:tcMar>
              <w:top w:w="80" w:type="dxa"/>
              <w:left w:w="80" w:type="dxa"/>
              <w:bottom w:w="80" w:type="dxa"/>
              <w:right w:w="80" w:type="dxa"/>
            </w:tcMar>
          </w:tcPr>
          <w:p w14:paraId="58E59B24" w14:textId="32BE633F"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A worker must not wilfully fail to disclose to any treating medical practitioner any information that the worker knows or ought reasonably be expected to know is relevant to the diagnosis or treatment of the worker’s workplace injury. — </w:t>
            </w:r>
            <w:hyperlink r:id="rId1833" w:history="1">
              <w:r w:rsidRPr="00085354">
                <w:rPr>
                  <w:rFonts w:cs="Arial"/>
                  <w:color w:val="0000FF"/>
                  <w:sz w:val="14"/>
                  <w:szCs w:val="16"/>
                  <w:u w:val="single"/>
                  <w:lang w:val="en-GB"/>
                </w:rPr>
                <w:t>s143J</w:t>
              </w:r>
            </w:hyperlink>
            <w:r w:rsidR="003D2FCB">
              <w:rPr>
                <w:rFonts w:cs="Arial"/>
                <w:color w:val="0000FF"/>
                <w:sz w:val="14"/>
                <w:szCs w:val="16"/>
                <w:u w:val="single"/>
                <w:lang w:val="en-GB"/>
              </w:rPr>
              <w:t>.</w:t>
            </w:r>
          </w:p>
        </w:tc>
      </w:tr>
      <w:tr w:rsidR="00085354" w:rsidRPr="00085354" w14:paraId="6ECADE75" w14:textId="77777777" w:rsidTr="00B2173F">
        <w:tc>
          <w:tcPr>
            <w:tcW w:w="1418" w:type="dxa"/>
            <w:shd w:val="clear" w:color="auto" w:fill="FFC9C9"/>
            <w:tcMar>
              <w:top w:w="80" w:type="dxa"/>
              <w:left w:w="80" w:type="dxa"/>
              <w:bottom w:w="80" w:type="dxa"/>
              <w:right w:w="80" w:type="dxa"/>
            </w:tcMar>
          </w:tcPr>
          <w:p w14:paraId="1F57ACE4"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Northern Territory</w:t>
            </w:r>
          </w:p>
        </w:tc>
        <w:tc>
          <w:tcPr>
            <w:tcW w:w="2278" w:type="dxa"/>
            <w:shd w:val="clear" w:color="auto" w:fill="FFC9C9"/>
            <w:tcMar>
              <w:top w:w="80" w:type="dxa"/>
              <w:left w:w="80" w:type="dxa"/>
              <w:bottom w:w="80" w:type="dxa"/>
              <w:right w:w="80" w:type="dxa"/>
            </w:tcMar>
          </w:tcPr>
          <w:p w14:paraId="01907A87" w14:textId="1CF5427B" w:rsidR="00085354" w:rsidRPr="00085354" w:rsidRDefault="00FA151B" w:rsidP="00292A53">
            <w:pPr>
              <w:spacing w:after="60"/>
              <w:rPr>
                <w:rFonts w:cs="Arial"/>
                <w:color w:val="000000"/>
                <w:sz w:val="14"/>
                <w:szCs w:val="16"/>
                <w:lang w:val="en-GB"/>
              </w:rPr>
            </w:pPr>
            <w:r w:rsidRPr="00016069">
              <w:rPr>
                <w:i/>
                <w:sz w:val="14"/>
              </w:rPr>
              <w:t>Return to Work Act</w:t>
            </w:r>
            <w:r w:rsidRPr="00085354">
              <w:rPr>
                <w:rFonts w:cs="Arial"/>
                <w:color w:val="000000"/>
                <w:sz w:val="14"/>
                <w:szCs w:val="16"/>
                <w:lang w:val="en-GB"/>
              </w:rPr>
              <w:t xml:space="preserve"> </w:t>
            </w:r>
            <w:hyperlink r:id="rId1834" w:history="1">
              <w:r w:rsidR="00085354" w:rsidRPr="00FA151B">
                <w:rPr>
                  <w:rStyle w:val="Hyperlink"/>
                  <w:rFonts w:cs="Arial"/>
                  <w:sz w:val="14"/>
                  <w:szCs w:val="16"/>
                  <w:lang w:val="en-GB"/>
                </w:rPr>
                <w:t>s75B</w:t>
              </w:r>
            </w:hyperlink>
            <w:r w:rsidR="00085354" w:rsidRPr="00085354">
              <w:rPr>
                <w:rFonts w:cs="Arial"/>
                <w:color w:val="000000"/>
                <w:sz w:val="14"/>
                <w:szCs w:val="16"/>
                <w:lang w:val="en-GB"/>
              </w:rPr>
              <w:t xml:space="preserve"> —</w:t>
            </w:r>
            <w:r w:rsidR="00F358E7">
              <w:rPr>
                <w:rFonts w:cs="Arial"/>
                <w:color w:val="000000"/>
                <w:sz w:val="14"/>
                <w:szCs w:val="16"/>
                <w:lang w:val="en-GB"/>
              </w:rPr>
              <w:t xml:space="preserve"> </w:t>
            </w:r>
            <w:r w:rsidR="00085354" w:rsidRPr="00085354">
              <w:rPr>
                <w:rFonts w:cs="Arial"/>
                <w:color w:val="000000"/>
                <w:sz w:val="14"/>
                <w:szCs w:val="16"/>
                <w:lang w:val="en-GB"/>
              </w:rPr>
              <w:t>worker must cooperate with reasonable return to work process.</w:t>
            </w:r>
          </w:p>
        </w:tc>
        <w:tc>
          <w:tcPr>
            <w:tcW w:w="2279" w:type="dxa"/>
            <w:shd w:val="clear" w:color="auto" w:fill="FFC9C9"/>
            <w:tcMar>
              <w:top w:w="80" w:type="dxa"/>
              <w:left w:w="80" w:type="dxa"/>
              <w:bottom w:w="80" w:type="dxa"/>
              <w:right w:w="80" w:type="dxa"/>
            </w:tcMar>
          </w:tcPr>
          <w:p w14:paraId="1EB93C66" w14:textId="62C6AD96" w:rsidR="00085354" w:rsidRPr="00085354" w:rsidRDefault="00A7538C" w:rsidP="00292A53">
            <w:pPr>
              <w:spacing w:after="60"/>
              <w:rPr>
                <w:rFonts w:cs="Arial"/>
                <w:color w:val="000000"/>
                <w:sz w:val="14"/>
                <w:szCs w:val="16"/>
                <w:lang w:val="en-GB"/>
              </w:rPr>
            </w:pPr>
            <w:hyperlink r:id="rId1835" w:history="1">
              <w:r w:rsidR="00085354" w:rsidRPr="00FA151B">
                <w:rPr>
                  <w:rStyle w:val="Hyperlink"/>
                  <w:rFonts w:cs="Arial"/>
                  <w:sz w:val="14"/>
                  <w:szCs w:val="16"/>
                  <w:lang w:val="en-GB"/>
                </w:rPr>
                <w:t>s75B</w:t>
              </w:r>
            </w:hyperlink>
            <w:r w:rsidR="00085354" w:rsidRPr="00085354">
              <w:rPr>
                <w:rFonts w:cs="Arial"/>
                <w:color w:val="000000"/>
                <w:sz w:val="14"/>
                <w:szCs w:val="16"/>
                <w:lang w:val="en-GB"/>
              </w:rPr>
              <w:t xml:space="preserve"> — Worker must cooperate with reasonable medical, surgical and rehabilitation treatment and participate in rehabilitation training or a workplace based return to work program. </w:t>
            </w:r>
          </w:p>
        </w:tc>
        <w:tc>
          <w:tcPr>
            <w:tcW w:w="2279" w:type="dxa"/>
            <w:shd w:val="clear" w:color="auto" w:fill="FFC9C9"/>
            <w:tcMar>
              <w:top w:w="80" w:type="dxa"/>
              <w:left w:w="80" w:type="dxa"/>
              <w:bottom w:w="80" w:type="dxa"/>
              <w:right w:w="80" w:type="dxa"/>
            </w:tcMar>
          </w:tcPr>
          <w:p w14:paraId="434EE71A" w14:textId="7E72749F" w:rsidR="00085354" w:rsidRPr="00085354" w:rsidRDefault="00A7538C" w:rsidP="00292A53">
            <w:pPr>
              <w:spacing w:after="60"/>
              <w:rPr>
                <w:rFonts w:cs="Arial"/>
                <w:color w:val="000000"/>
                <w:sz w:val="14"/>
                <w:szCs w:val="16"/>
                <w:lang w:val="en-GB"/>
              </w:rPr>
            </w:pPr>
            <w:hyperlink r:id="rId1836" w:history="1">
              <w:r w:rsidR="00085354" w:rsidRPr="00FA151B">
                <w:rPr>
                  <w:rStyle w:val="Hyperlink"/>
                  <w:rFonts w:cs="Arial"/>
                  <w:sz w:val="14"/>
                  <w:szCs w:val="16"/>
                  <w:lang w:val="en-GB"/>
                </w:rPr>
                <w:t>s75B</w:t>
              </w:r>
            </w:hyperlink>
            <w:r w:rsidR="00085354" w:rsidRPr="00085354">
              <w:rPr>
                <w:rFonts w:cs="Arial"/>
                <w:color w:val="000000"/>
                <w:sz w:val="14"/>
                <w:szCs w:val="16"/>
                <w:lang w:val="en-GB"/>
              </w:rPr>
              <w:t xml:space="preserve"> — Must present at reasonable intervals for assessment of employment prospects.</w:t>
            </w:r>
          </w:p>
        </w:tc>
        <w:tc>
          <w:tcPr>
            <w:tcW w:w="2278" w:type="dxa"/>
            <w:shd w:val="clear" w:color="auto" w:fill="FFC9C9"/>
            <w:tcMar>
              <w:top w:w="80" w:type="dxa"/>
              <w:left w:w="80" w:type="dxa"/>
              <w:bottom w:w="80" w:type="dxa"/>
              <w:right w:w="80" w:type="dxa"/>
            </w:tcMar>
          </w:tcPr>
          <w:p w14:paraId="4504B1D1" w14:textId="777777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Obligation is on employer to provide or arrange. Worker must then cooperate.</w:t>
            </w:r>
          </w:p>
        </w:tc>
        <w:tc>
          <w:tcPr>
            <w:tcW w:w="2279" w:type="dxa"/>
            <w:shd w:val="clear" w:color="auto" w:fill="FFC9C9"/>
            <w:tcMar>
              <w:top w:w="80" w:type="dxa"/>
              <w:left w:w="80" w:type="dxa"/>
              <w:bottom w:w="80" w:type="dxa"/>
              <w:right w:w="80" w:type="dxa"/>
            </w:tcMar>
          </w:tcPr>
          <w:p w14:paraId="60266728" w14:textId="2ACFCF28" w:rsidR="00085354" w:rsidRPr="00085354" w:rsidRDefault="00A7538C" w:rsidP="00292A53">
            <w:pPr>
              <w:spacing w:after="60"/>
              <w:rPr>
                <w:rFonts w:cs="Arial"/>
                <w:color w:val="000000"/>
                <w:sz w:val="14"/>
                <w:szCs w:val="16"/>
                <w:lang w:val="en-GB"/>
              </w:rPr>
            </w:pPr>
            <w:hyperlink r:id="rId1837" w:history="1">
              <w:r w:rsidR="00085354" w:rsidRPr="00FA151B">
                <w:rPr>
                  <w:rStyle w:val="Hyperlink"/>
                  <w:rFonts w:cs="Arial"/>
                  <w:sz w:val="14"/>
                  <w:szCs w:val="16"/>
                  <w:lang w:val="en-GB"/>
                </w:rPr>
                <w:t>s90</w:t>
              </w:r>
            </w:hyperlink>
            <w:r w:rsidR="00085354" w:rsidRPr="00085354">
              <w:rPr>
                <w:rFonts w:cs="Arial"/>
                <w:color w:val="000000"/>
                <w:sz w:val="14"/>
                <w:szCs w:val="16"/>
                <w:lang w:val="en-GB"/>
              </w:rPr>
              <w:t xml:space="preserve"> — Worker must notify employer if returns to work with another employer or circumstances change in a way likely to affect entitlement.</w:t>
            </w:r>
          </w:p>
        </w:tc>
        <w:tc>
          <w:tcPr>
            <w:tcW w:w="2279" w:type="dxa"/>
            <w:shd w:val="clear" w:color="auto" w:fill="FFC9C9"/>
            <w:tcMar>
              <w:top w:w="80" w:type="dxa"/>
              <w:left w:w="80" w:type="dxa"/>
              <w:bottom w:w="80" w:type="dxa"/>
              <w:right w:w="80" w:type="dxa"/>
            </w:tcMar>
          </w:tcPr>
          <w:p w14:paraId="3C504744" w14:textId="6AB6D11A"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N/A</w:t>
            </w:r>
          </w:p>
        </w:tc>
      </w:tr>
      <w:tr w:rsidR="00085354" w:rsidRPr="00085354" w14:paraId="4BF058A3" w14:textId="77777777" w:rsidTr="00B2173F">
        <w:tc>
          <w:tcPr>
            <w:tcW w:w="1418" w:type="dxa"/>
            <w:tcMar>
              <w:top w:w="80" w:type="dxa"/>
              <w:left w:w="80" w:type="dxa"/>
              <w:bottom w:w="80" w:type="dxa"/>
              <w:right w:w="80" w:type="dxa"/>
            </w:tcMar>
          </w:tcPr>
          <w:p w14:paraId="77C517C6"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Australian Capital Territory</w:t>
            </w:r>
          </w:p>
        </w:tc>
        <w:tc>
          <w:tcPr>
            <w:tcW w:w="2278" w:type="dxa"/>
            <w:tcMar>
              <w:top w:w="80" w:type="dxa"/>
              <w:left w:w="80" w:type="dxa"/>
              <w:bottom w:w="80" w:type="dxa"/>
              <w:right w:w="80" w:type="dxa"/>
            </w:tcMar>
          </w:tcPr>
          <w:p w14:paraId="5F2E0F13" w14:textId="01684DAD" w:rsidR="00085354" w:rsidRPr="00D04D03" w:rsidRDefault="00BE0756" w:rsidP="00292A53">
            <w:pPr>
              <w:spacing w:after="60"/>
              <w:contextualSpacing/>
              <w:rPr>
                <w:rFonts w:eastAsia="Calibri" w:cs="Arial"/>
                <w:sz w:val="14"/>
                <w:szCs w:val="14"/>
                <w:lang w:eastAsia="en-US"/>
              </w:rPr>
            </w:pPr>
            <w:r w:rsidRPr="00016069">
              <w:rPr>
                <w:i/>
                <w:sz w:val="14"/>
              </w:rPr>
              <w:t>Workers Compensation Act 1951</w:t>
            </w:r>
            <w:r>
              <w:rPr>
                <w:i/>
                <w:sz w:val="14"/>
              </w:rPr>
              <w:t xml:space="preserve"> </w:t>
            </w:r>
            <w:hyperlink r:id="rId1838" w:history="1">
              <w:r w:rsidR="00085354" w:rsidRPr="00BE0756">
                <w:rPr>
                  <w:rStyle w:val="Hyperlink"/>
                  <w:rFonts w:eastAsia="Calibri" w:cs="Arial"/>
                  <w:sz w:val="14"/>
                  <w:szCs w:val="14"/>
                  <w:lang w:eastAsia="en-US"/>
                </w:rPr>
                <w:t>s113</w:t>
              </w:r>
            </w:hyperlink>
            <w:r w:rsidR="00085354" w:rsidRPr="00D04D03">
              <w:rPr>
                <w:rFonts w:eastAsia="Calibri" w:cs="Arial"/>
                <w:sz w:val="14"/>
                <w:szCs w:val="14"/>
                <w:lang w:eastAsia="en-US"/>
              </w:rPr>
              <w:t xml:space="preserve"> — The worker must:</w:t>
            </w:r>
          </w:p>
          <w:p w14:paraId="05052765" w14:textId="1977FE39" w:rsidR="00085354" w:rsidRPr="00906893" w:rsidRDefault="00A7538C" w:rsidP="00F839DB">
            <w:pPr>
              <w:pStyle w:val="ListParagraph"/>
              <w:numPr>
                <w:ilvl w:val="0"/>
                <w:numId w:val="267"/>
              </w:numPr>
              <w:spacing w:after="60"/>
              <w:contextualSpacing/>
              <w:rPr>
                <w:rFonts w:eastAsia="Calibri" w:cs="Arial"/>
                <w:sz w:val="14"/>
                <w:szCs w:val="14"/>
                <w:lang w:eastAsia="en-US"/>
              </w:rPr>
            </w:pPr>
            <w:hyperlink r:id="rId1839" w:history="1">
              <w:r w:rsidR="00085354" w:rsidRPr="00BE0756">
                <w:rPr>
                  <w:rStyle w:val="Hyperlink"/>
                  <w:rFonts w:eastAsia="Calibri" w:cs="Arial"/>
                  <w:sz w:val="14"/>
                  <w:szCs w:val="14"/>
                  <w:lang w:eastAsia="en-US"/>
                </w:rPr>
                <w:t>s101</w:t>
              </w:r>
            </w:hyperlink>
            <w:r w:rsidR="00085354" w:rsidRPr="00906893">
              <w:rPr>
                <w:rFonts w:eastAsia="Calibri" w:cs="Arial"/>
                <w:sz w:val="14"/>
                <w:szCs w:val="14"/>
                <w:lang w:eastAsia="en-US"/>
              </w:rPr>
              <w:t xml:space="preserve"> — Participate in development of personal injury plan </w:t>
            </w:r>
          </w:p>
          <w:p w14:paraId="31C4F8DA" w14:textId="249763B4" w:rsidR="00085354" w:rsidRPr="00906893" w:rsidRDefault="00A7538C" w:rsidP="00F839DB">
            <w:pPr>
              <w:pStyle w:val="ListParagraph"/>
              <w:numPr>
                <w:ilvl w:val="0"/>
                <w:numId w:val="267"/>
              </w:numPr>
              <w:spacing w:after="60"/>
              <w:contextualSpacing/>
              <w:rPr>
                <w:rFonts w:eastAsia="Calibri" w:cs="Arial"/>
                <w:sz w:val="14"/>
                <w:szCs w:val="14"/>
                <w:lang w:eastAsia="en-US"/>
              </w:rPr>
            </w:pPr>
            <w:hyperlink r:id="rId1840" w:history="1">
              <w:r w:rsidR="00085354" w:rsidRPr="00BE0756">
                <w:rPr>
                  <w:rStyle w:val="Hyperlink"/>
                  <w:rFonts w:eastAsia="Calibri" w:cs="Arial"/>
                  <w:sz w:val="14"/>
                  <w:szCs w:val="14"/>
                  <w:lang w:eastAsia="en-US"/>
                </w:rPr>
                <w:t>s102</w:t>
              </w:r>
            </w:hyperlink>
            <w:r w:rsidR="00085354" w:rsidRPr="00906893">
              <w:rPr>
                <w:rFonts w:eastAsia="Calibri" w:cs="Arial"/>
                <w:sz w:val="14"/>
                <w:szCs w:val="14"/>
                <w:lang w:eastAsia="en-US"/>
              </w:rPr>
              <w:t xml:space="preserve"> — Nominate treating doctor, and</w:t>
            </w:r>
          </w:p>
          <w:p w14:paraId="6C8B8EA5" w14:textId="06AB85E4" w:rsidR="00085354" w:rsidRPr="00906893" w:rsidRDefault="00A7538C" w:rsidP="00F839DB">
            <w:pPr>
              <w:pStyle w:val="ListParagraph"/>
              <w:numPr>
                <w:ilvl w:val="0"/>
                <w:numId w:val="267"/>
              </w:numPr>
              <w:spacing w:after="60"/>
              <w:contextualSpacing/>
              <w:rPr>
                <w:rFonts w:eastAsia="Calibri" w:cs="Arial"/>
                <w:sz w:val="14"/>
                <w:szCs w:val="14"/>
                <w:lang w:eastAsia="en-US"/>
              </w:rPr>
            </w:pPr>
            <w:hyperlink r:id="rId1841"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Participate in vocational rehabilitation or a return to work program.</w:t>
            </w:r>
          </w:p>
        </w:tc>
        <w:tc>
          <w:tcPr>
            <w:tcW w:w="2279" w:type="dxa"/>
            <w:tcMar>
              <w:top w:w="80" w:type="dxa"/>
              <w:left w:w="80" w:type="dxa"/>
              <w:bottom w:w="80" w:type="dxa"/>
              <w:right w:w="80" w:type="dxa"/>
            </w:tcMar>
          </w:tcPr>
          <w:p w14:paraId="40EC4CC6" w14:textId="36449CFC" w:rsidR="00085354" w:rsidRPr="00085354" w:rsidRDefault="00A7538C" w:rsidP="00292A53">
            <w:pPr>
              <w:spacing w:after="60"/>
              <w:rPr>
                <w:rFonts w:cs="Arial"/>
                <w:color w:val="000000"/>
                <w:sz w:val="14"/>
                <w:szCs w:val="16"/>
                <w:lang w:val="en-GB"/>
              </w:rPr>
            </w:pPr>
            <w:hyperlink r:id="rId1842" w:history="1">
              <w:r w:rsidR="00085354" w:rsidRPr="00BE0756">
                <w:rPr>
                  <w:rStyle w:val="Hyperlink"/>
                  <w:rFonts w:cs="Arial"/>
                  <w:sz w:val="14"/>
                  <w:szCs w:val="16"/>
                  <w:lang w:val="en-GB"/>
                </w:rPr>
                <w:t>s101(2)</w:t>
              </w:r>
            </w:hyperlink>
            <w:r w:rsidR="00085354" w:rsidRPr="00085354">
              <w:rPr>
                <w:rFonts w:cs="Arial"/>
                <w:color w:val="000000"/>
                <w:sz w:val="14"/>
                <w:szCs w:val="16"/>
                <w:lang w:val="en-GB"/>
              </w:rPr>
              <w:t xml:space="preserve"> — The injured worker must comply with reasonable obligations under the plan, </w:t>
            </w:r>
            <w:r w:rsidR="00085354" w:rsidRPr="00085354">
              <w:rPr>
                <w:rFonts w:cs="Arial"/>
                <w:color w:val="000000"/>
                <w:sz w:val="14"/>
                <w:szCs w:val="16"/>
                <w:lang w:val="en-GB"/>
              </w:rPr>
              <w:lastRenderedPageBreak/>
              <w:t>including any obligation to receive medical treatment or rehabilitation services.</w:t>
            </w:r>
          </w:p>
        </w:tc>
        <w:tc>
          <w:tcPr>
            <w:tcW w:w="2279" w:type="dxa"/>
            <w:tcMar>
              <w:top w:w="80" w:type="dxa"/>
              <w:left w:w="80" w:type="dxa"/>
              <w:bottom w:w="80" w:type="dxa"/>
              <w:right w:w="80" w:type="dxa"/>
            </w:tcMar>
          </w:tcPr>
          <w:p w14:paraId="444A1315" w14:textId="62096284" w:rsidR="00085354" w:rsidRPr="00906893" w:rsidRDefault="00A7538C" w:rsidP="00F839DB">
            <w:pPr>
              <w:pStyle w:val="ListParagraph"/>
              <w:numPr>
                <w:ilvl w:val="0"/>
                <w:numId w:val="268"/>
              </w:numPr>
              <w:spacing w:after="60"/>
              <w:contextualSpacing/>
              <w:rPr>
                <w:rFonts w:eastAsia="Calibri" w:cs="Arial"/>
                <w:sz w:val="14"/>
                <w:szCs w:val="14"/>
                <w:lang w:eastAsia="en-US"/>
              </w:rPr>
            </w:pPr>
            <w:hyperlink r:id="rId1843"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Attend assessments of the worker’s employment </w:t>
            </w:r>
            <w:r w:rsidR="00085354" w:rsidRPr="00906893">
              <w:rPr>
                <w:rFonts w:eastAsia="Calibri" w:cs="Arial"/>
                <w:sz w:val="14"/>
                <w:szCs w:val="14"/>
                <w:lang w:eastAsia="en-US"/>
              </w:rPr>
              <w:lastRenderedPageBreak/>
              <w:t>prospects.</w:t>
            </w:r>
          </w:p>
          <w:p w14:paraId="68CAED95" w14:textId="3816975F" w:rsidR="00085354" w:rsidRPr="00906893" w:rsidRDefault="00A7538C" w:rsidP="00F839DB">
            <w:pPr>
              <w:pStyle w:val="ListParagraph"/>
              <w:numPr>
                <w:ilvl w:val="0"/>
                <w:numId w:val="268"/>
              </w:numPr>
              <w:spacing w:after="60"/>
              <w:contextualSpacing/>
              <w:rPr>
                <w:rFonts w:eastAsia="Calibri" w:cs="Arial"/>
                <w:sz w:val="14"/>
                <w:szCs w:val="14"/>
                <w:lang w:eastAsia="en-US"/>
              </w:rPr>
            </w:pPr>
            <w:hyperlink r:id="rId1844"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Attend a medical assessment of the worker’s injury.</w:t>
            </w:r>
          </w:p>
        </w:tc>
        <w:tc>
          <w:tcPr>
            <w:tcW w:w="2278" w:type="dxa"/>
            <w:tcMar>
              <w:top w:w="80" w:type="dxa"/>
              <w:left w:w="80" w:type="dxa"/>
              <w:bottom w:w="80" w:type="dxa"/>
              <w:right w:w="80" w:type="dxa"/>
            </w:tcMar>
          </w:tcPr>
          <w:p w14:paraId="4C096EFB" w14:textId="2F1EFB17" w:rsidR="00085354" w:rsidRPr="00906893" w:rsidRDefault="00A7538C" w:rsidP="00F839DB">
            <w:pPr>
              <w:pStyle w:val="ListParagraph"/>
              <w:numPr>
                <w:ilvl w:val="0"/>
                <w:numId w:val="268"/>
              </w:numPr>
              <w:spacing w:after="60"/>
              <w:contextualSpacing/>
              <w:rPr>
                <w:rFonts w:eastAsia="Calibri" w:cs="Arial"/>
                <w:sz w:val="14"/>
                <w:szCs w:val="14"/>
                <w:lang w:eastAsia="en-US"/>
              </w:rPr>
            </w:pPr>
            <w:hyperlink r:id="rId1845" w:history="1">
              <w:r w:rsidR="00085354" w:rsidRPr="00BE0756">
                <w:rPr>
                  <w:rStyle w:val="Hyperlink"/>
                  <w:rFonts w:eastAsia="Calibri" w:cs="Arial"/>
                  <w:sz w:val="14"/>
                  <w:szCs w:val="14"/>
                  <w:lang w:eastAsia="en-US"/>
                </w:rPr>
                <w:t>s104</w:t>
              </w:r>
            </w:hyperlink>
            <w:r w:rsidR="00085354" w:rsidRPr="00906893">
              <w:rPr>
                <w:rFonts w:eastAsia="Calibri" w:cs="Arial"/>
                <w:sz w:val="14"/>
                <w:szCs w:val="14"/>
                <w:lang w:eastAsia="en-US"/>
              </w:rPr>
              <w:t xml:space="preserve"> — an injured worker must make all reasonable efforts to return to work with </w:t>
            </w:r>
            <w:r w:rsidR="00085354" w:rsidRPr="00906893">
              <w:rPr>
                <w:rFonts w:eastAsia="Calibri" w:cs="Arial"/>
                <w:sz w:val="14"/>
                <w:szCs w:val="14"/>
                <w:lang w:eastAsia="en-US"/>
              </w:rPr>
              <w:lastRenderedPageBreak/>
              <w:t>the workers pre-incapacity employer.</w:t>
            </w:r>
          </w:p>
          <w:p w14:paraId="20F364B5" w14:textId="76996E01" w:rsidR="00085354" w:rsidRPr="00906893" w:rsidRDefault="00A7538C" w:rsidP="00F839DB">
            <w:pPr>
              <w:pStyle w:val="ListParagraph"/>
              <w:numPr>
                <w:ilvl w:val="0"/>
                <w:numId w:val="268"/>
              </w:numPr>
              <w:spacing w:after="60"/>
              <w:contextualSpacing/>
              <w:rPr>
                <w:rFonts w:eastAsia="Calibri" w:cs="Arial"/>
                <w:sz w:val="14"/>
                <w:szCs w:val="14"/>
                <w:lang w:eastAsia="en-US"/>
              </w:rPr>
            </w:pPr>
            <w:hyperlink r:id="rId1846"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Undertake suitable alternative duties provided. </w:t>
            </w:r>
          </w:p>
          <w:p w14:paraId="346B3F35" w14:textId="76B19996" w:rsidR="00085354" w:rsidRPr="00906893" w:rsidRDefault="00A7538C" w:rsidP="00F839DB">
            <w:pPr>
              <w:pStyle w:val="ListParagraph"/>
              <w:numPr>
                <w:ilvl w:val="0"/>
                <w:numId w:val="268"/>
              </w:numPr>
              <w:spacing w:after="60"/>
              <w:ind w:left="357" w:hanging="357"/>
              <w:contextualSpacing/>
              <w:rPr>
                <w:rFonts w:eastAsia="Calibri" w:cs="Arial"/>
                <w:sz w:val="14"/>
                <w:szCs w:val="14"/>
                <w:lang w:eastAsia="en-US"/>
              </w:rPr>
            </w:pPr>
            <w:hyperlink r:id="rId1847"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Take up an offer of suitable work for which worker is qualified and worker can perform.</w:t>
            </w:r>
          </w:p>
        </w:tc>
        <w:tc>
          <w:tcPr>
            <w:tcW w:w="2279" w:type="dxa"/>
            <w:tcMar>
              <w:top w:w="80" w:type="dxa"/>
              <w:left w:w="80" w:type="dxa"/>
              <w:bottom w:w="80" w:type="dxa"/>
              <w:right w:w="80" w:type="dxa"/>
            </w:tcMar>
          </w:tcPr>
          <w:p w14:paraId="1164AAB9" w14:textId="4F5116DE"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lastRenderedPageBreak/>
              <w:t>No</w:t>
            </w:r>
          </w:p>
        </w:tc>
        <w:tc>
          <w:tcPr>
            <w:tcW w:w="2279" w:type="dxa"/>
            <w:tcMar>
              <w:top w:w="80" w:type="dxa"/>
              <w:left w:w="80" w:type="dxa"/>
              <w:bottom w:w="80" w:type="dxa"/>
              <w:right w:w="80" w:type="dxa"/>
            </w:tcMar>
          </w:tcPr>
          <w:p w14:paraId="5DF64635" w14:textId="2889BD4E"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w:t>
            </w:r>
          </w:p>
        </w:tc>
      </w:tr>
      <w:tr w:rsidR="00085354" w:rsidRPr="00085354" w14:paraId="097A0887" w14:textId="77777777" w:rsidTr="00B2173F">
        <w:tc>
          <w:tcPr>
            <w:tcW w:w="1418" w:type="dxa"/>
            <w:shd w:val="clear" w:color="auto" w:fill="FFC9C9"/>
            <w:tcMar>
              <w:top w:w="80" w:type="dxa"/>
              <w:left w:w="80" w:type="dxa"/>
              <w:bottom w:w="80" w:type="dxa"/>
              <w:right w:w="80" w:type="dxa"/>
            </w:tcMar>
          </w:tcPr>
          <w:p w14:paraId="5E8548F1"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C’wealth Comcare</w:t>
            </w:r>
          </w:p>
        </w:tc>
        <w:tc>
          <w:tcPr>
            <w:tcW w:w="2278" w:type="dxa"/>
            <w:shd w:val="clear" w:color="auto" w:fill="FFC9C9"/>
            <w:tcMar>
              <w:top w:w="80" w:type="dxa"/>
              <w:left w:w="80" w:type="dxa"/>
              <w:bottom w:w="80" w:type="dxa"/>
              <w:right w:w="80" w:type="dxa"/>
            </w:tcMar>
          </w:tcPr>
          <w:p w14:paraId="3A4C3CB0" w14:textId="25DD8551" w:rsidR="00085354" w:rsidRPr="00906893" w:rsidRDefault="00085354" w:rsidP="00F839DB">
            <w:pPr>
              <w:pStyle w:val="ListParagraph"/>
              <w:numPr>
                <w:ilvl w:val="0"/>
                <w:numId w:val="270"/>
              </w:numPr>
              <w:spacing w:after="60"/>
              <w:contextualSpacing/>
              <w:rPr>
                <w:rFonts w:eastAsia="Calibri" w:cs="Arial"/>
                <w:sz w:val="14"/>
                <w:szCs w:val="14"/>
                <w:lang w:eastAsia="en-US"/>
              </w:rPr>
            </w:pPr>
            <w:r w:rsidRPr="00906893">
              <w:rPr>
                <w:rFonts w:eastAsia="Calibri" w:cs="Arial"/>
                <w:sz w:val="14"/>
                <w:szCs w:val="14"/>
                <w:lang w:eastAsia="en-US"/>
              </w:rPr>
              <w:t xml:space="preserve">The employee is responsible for undertaking a determined rehabilitation program [refer to </w:t>
            </w:r>
            <w:hyperlink r:id="rId1848" w:history="1">
              <w:r w:rsidRPr="00E175E3">
                <w:rPr>
                  <w:rStyle w:val="Hyperlink"/>
                  <w:rFonts w:eastAsia="Calibri" w:cs="Arial"/>
                  <w:sz w:val="14"/>
                  <w:szCs w:val="14"/>
                  <w:lang w:eastAsia="en-US"/>
                </w:rPr>
                <w:t>ss37(1) and 37(7)</w:t>
              </w:r>
            </w:hyperlink>
            <w:r w:rsidR="00E175E3">
              <w:rPr>
                <w:rFonts w:eastAsia="Calibri" w:cs="Arial"/>
                <w:sz w:val="14"/>
                <w:szCs w:val="14"/>
                <w:lang w:eastAsia="en-US"/>
              </w:rPr>
              <w:t xml:space="preserve"> of </w:t>
            </w:r>
            <w:r w:rsidR="00E175E3" w:rsidRPr="00016069">
              <w:rPr>
                <w:i/>
                <w:sz w:val="14"/>
              </w:rPr>
              <w:t>Safety, Rehabilitation and Compensation Act 1988</w:t>
            </w:r>
            <w:r w:rsidRPr="00906893">
              <w:rPr>
                <w:rFonts w:eastAsia="Calibri" w:cs="Arial"/>
                <w:sz w:val="14"/>
                <w:szCs w:val="14"/>
                <w:lang w:eastAsia="en-US"/>
              </w:rPr>
              <w:t>]</w:t>
            </w:r>
          </w:p>
          <w:p w14:paraId="19C0FE70" w14:textId="77777777" w:rsidR="00085354" w:rsidRPr="00906893" w:rsidRDefault="00085354" w:rsidP="00F839DB">
            <w:pPr>
              <w:pStyle w:val="ListParagraph"/>
              <w:numPr>
                <w:ilvl w:val="0"/>
                <w:numId w:val="270"/>
              </w:numPr>
              <w:spacing w:after="60"/>
              <w:contextualSpacing/>
              <w:rPr>
                <w:rFonts w:eastAsia="Calibri" w:cs="Arial"/>
                <w:sz w:val="14"/>
                <w:szCs w:val="14"/>
                <w:lang w:eastAsia="en-US"/>
              </w:rPr>
            </w:pPr>
            <w:r w:rsidRPr="00906893">
              <w:rPr>
                <w:rFonts w:eastAsia="Calibri" w:cs="Arial"/>
                <w:sz w:val="14"/>
                <w:szCs w:val="14"/>
                <w:lang w:eastAsia="en-US"/>
              </w:rPr>
              <w:t>Actively participate in any rehabilitation program developed by the case manager or approved workplace rehabilitation provider. Implement recommended and agreed changes to work practices, workplace environment and/or home environment in consultation with employer to minimise the chance of further injuries or accidents (refer to Rehabilitation Program form).</w:t>
            </w:r>
          </w:p>
        </w:tc>
        <w:tc>
          <w:tcPr>
            <w:tcW w:w="2279" w:type="dxa"/>
            <w:shd w:val="clear" w:color="auto" w:fill="FFC9C9"/>
            <w:tcMar>
              <w:top w:w="80" w:type="dxa"/>
              <w:left w:w="80" w:type="dxa"/>
              <w:bottom w:w="80" w:type="dxa"/>
              <w:right w:w="80" w:type="dxa"/>
            </w:tcMar>
          </w:tcPr>
          <w:p w14:paraId="1BEDC1A4" w14:textId="5AD6C47B" w:rsidR="00085354" w:rsidRPr="00085354" w:rsidRDefault="00A7538C" w:rsidP="00F358E7">
            <w:pPr>
              <w:spacing w:after="60"/>
              <w:rPr>
                <w:rFonts w:cs="Arial"/>
                <w:color w:val="000000"/>
                <w:sz w:val="14"/>
                <w:szCs w:val="16"/>
                <w:lang w:val="en-GB"/>
              </w:rPr>
            </w:pPr>
            <w:hyperlink r:id="rId1849" w:history="1">
              <w:r w:rsidR="00085354" w:rsidRPr="00E175E3">
                <w:rPr>
                  <w:rStyle w:val="Hyperlink"/>
                  <w:rFonts w:cs="Arial"/>
                  <w:sz w:val="14"/>
                  <w:szCs w:val="16"/>
                  <w:lang w:val="en-GB"/>
                </w:rPr>
                <w:t>s37(7)</w:t>
              </w:r>
            </w:hyperlink>
            <w:r w:rsidR="00085354" w:rsidRPr="00085354">
              <w:rPr>
                <w:rFonts w:cs="Arial"/>
                <w:color w:val="000000"/>
                <w:sz w:val="14"/>
                <w:szCs w:val="16"/>
                <w:lang w:val="en-GB"/>
              </w:rPr>
              <w:t xml:space="preserve"> — Provides an employee obligation to participate in a rehabilitation program which may involve medical treatment. An employee’s failure to participate carries a ‘reasonableness’ test. Also refer to </w:t>
            </w:r>
            <w:r w:rsidR="00085354" w:rsidRPr="00085354">
              <w:rPr>
                <w:rFonts w:cs="Arial"/>
                <w:i/>
                <w:color w:val="000000"/>
                <w:sz w:val="14"/>
                <w:szCs w:val="16"/>
                <w:lang w:val="en-GB"/>
              </w:rPr>
              <w:t>Guidelines for Rehabilitation Authorities 2012</w:t>
            </w:r>
            <w:r w:rsidR="00085354" w:rsidRPr="00085354">
              <w:rPr>
                <w:rFonts w:cs="Arial"/>
                <w:color w:val="000000"/>
                <w:sz w:val="14"/>
                <w:szCs w:val="16"/>
                <w:lang w:val="en-GB"/>
              </w:rPr>
              <w:t xml:space="preserve"> </w:t>
            </w:r>
            <w:r w:rsidR="00F358E7">
              <w:rPr>
                <w:rFonts w:cs="Arial"/>
                <w:color w:val="000000"/>
                <w:sz w:val="14"/>
                <w:szCs w:val="16"/>
                <w:lang w:val="en-GB"/>
              </w:rPr>
              <w:t>—</w:t>
            </w:r>
            <w:r w:rsidR="00F358E7" w:rsidRPr="00085354">
              <w:rPr>
                <w:rFonts w:cs="Arial"/>
                <w:color w:val="000000"/>
                <w:sz w:val="14"/>
                <w:szCs w:val="16"/>
                <w:lang w:val="en-GB"/>
              </w:rPr>
              <w:t xml:space="preserve"> </w:t>
            </w:r>
            <w:r w:rsidR="00085354" w:rsidRPr="00085354">
              <w:rPr>
                <w:rFonts w:cs="Arial"/>
                <w:color w:val="000000"/>
                <w:sz w:val="14"/>
                <w:szCs w:val="16"/>
                <w:lang w:val="en-GB"/>
              </w:rPr>
              <w:t xml:space="preserve">Chapter 4 </w:t>
            </w:r>
            <w:r w:rsidR="00F358E7">
              <w:rPr>
                <w:rFonts w:cs="Arial"/>
                <w:color w:val="000000"/>
                <w:sz w:val="14"/>
                <w:szCs w:val="16"/>
                <w:lang w:val="en-GB"/>
              </w:rPr>
              <w:t>—</w:t>
            </w:r>
            <w:r w:rsidR="00F358E7" w:rsidRPr="00085354">
              <w:rPr>
                <w:rFonts w:cs="Arial"/>
                <w:color w:val="000000"/>
                <w:sz w:val="14"/>
                <w:szCs w:val="16"/>
                <w:lang w:val="en-GB"/>
              </w:rPr>
              <w:t xml:space="preserve"> </w:t>
            </w:r>
            <w:r w:rsidR="00085354" w:rsidRPr="00085354">
              <w:rPr>
                <w:rFonts w:cs="Arial"/>
                <w:color w:val="000000"/>
                <w:sz w:val="14"/>
                <w:szCs w:val="16"/>
                <w:lang w:val="en-GB"/>
              </w:rPr>
              <w:t xml:space="preserve">Part III </w:t>
            </w:r>
            <w:r w:rsidR="00F358E7">
              <w:rPr>
                <w:rFonts w:cs="Arial"/>
                <w:color w:val="000000"/>
                <w:sz w:val="14"/>
                <w:szCs w:val="16"/>
                <w:lang w:val="en-GB"/>
              </w:rPr>
              <w:t>—</w:t>
            </w:r>
            <w:r w:rsidR="00F358E7" w:rsidRPr="00085354">
              <w:rPr>
                <w:rFonts w:cs="Arial"/>
                <w:color w:val="000000"/>
                <w:sz w:val="14"/>
                <w:szCs w:val="16"/>
                <w:lang w:val="en-GB"/>
              </w:rPr>
              <w:t xml:space="preserve"> </w:t>
            </w:r>
            <w:r w:rsidR="00085354" w:rsidRPr="00085354">
              <w:rPr>
                <w:rFonts w:cs="Arial"/>
                <w:color w:val="000000"/>
                <w:sz w:val="14"/>
                <w:szCs w:val="16"/>
                <w:lang w:val="en-GB"/>
              </w:rPr>
              <w:t>Employee Non-compliance.</w:t>
            </w:r>
          </w:p>
        </w:tc>
        <w:tc>
          <w:tcPr>
            <w:tcW w:w="2279" w:type="dxa"/>
            <w:shd w:val="clear" w:color="auto" w:fill="FFC9C9"/>
            <w:tcMar>
              <w:top w:w="80" w:type="dxa"/>
              <w:left w:w="80" w:type="dxa"/>
              <w:bottom w:w="80" w:type="dxa"/>
              <w:right w:w="80" w:type="dxa"/>
            </w:tcMar>
          </w:tcPr>
          <w:p w14:paraId="0B2A77D7" w14:textId="77777777" w:rsidR="00085354" w:rsidRPr="00906893" w:rsidRDefault="00085354" w:rsidP="00F839DB">
            <w:pPr>
              <w:pStyle w:val="ListParagraph"/>
              <w:numPr>
                <w:ilvl w:val="0"/>
                <w:numId w:val="269"/>
              </w:numPr>
              <w:spacing w:after="60"/>
              <w:contextualSpacing/>
              <w:rPr>
                <w:rFonts w:eastAsia="Calibri" w:cs="Arial"/>
                <w:sz w:val="14"/>
                <w:szCs w:val="14"/>
                <w:lang w:eastAsia="en-US"/>
              </w:rPr>
            </w:pPr>
            <w:r w:rsidRPr="00906893">
              <w:rPr>
                <w:rFonts w:eastAsia="Calibri" w:cs="Arial"/>
                <w:sz w:val="14"/>
                <w:szCs w:val="14"/>
                <w:lang w:eastAsia="en-US"/>
              </w:rPr>
              <w:t>The employee is responsible for attending and co-operating at a required examination to assess the employee’s capability of undertaking a rehabilitation program.</w:t>
            </w:r>
          </w:p>
          <w:p w14:paraId="77441C9D" w14:textId="13E1BA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[refer to </w:t>
            </w:r>
            <w:hyperlink r:id="rId1850" w:history="1">
              <w:r w:rsidRPr="00E175E3">
                <w:rPr>
                  <w:rStyle w:val="Hyperlink"/>
                  <w:rFonts w:cs="Arial"/>
                  <w:sz w:val="14"/>
                  <w:szCs w:val="16"/>
                  <w:lang w:val="en-GB"/>
                </w:rPr>
                <w:t>s36(1)</w:t>
              </w:r>
            </w:hyperlink>
            <w:r w:rsidRPr="00085354">
              <w:rPr>
                <w:rFonts w:cs="Arial"/>
                <w:color w:val="000000"/>
                <w:sz w:val="14"/>
                <w:szCs w:val="16"/>
                <w:lang w:val="en-GB"/>
              </w:rPr>
              <w:t xml:space="preserve">, </w:t>
            </w:r>
            <w:hyperlink r:id="rId1851" w:history="1">
              <w:r w:rsidRPr="00E175E3">
                <w:rPr>
                  <w:rStyle w:val="Hyperlink"/>
                  <w:rFonts w:cs="Arial"/>
                  <w:sz w:val="14"/>
                  <w:szCs w:val="16"/>
                  <w:lang w:val="en-GB"/>
                </w:rPr>
                <w:t>s36(3)</w:t>
              </w:r>
            </w:hyperlink>
            <w:r w:rsidRPr="00085354">
              <w:rPr>
                <w:rFonts w:cs="Arial"/>
                <w:color w:val="000000"/>
                <w:sz w:val="14"/>
                <w:szCs w:val="16"/>
                <w:lang w:val="en-GB"/>
              </w:rPr>
              <w:t xml:space="preserve"> and </w:t>
            </w:r>
            <w:hyperlink r:id="rId1852" w:history="1">
              <w:r w:rsidRPr="00E175E3">
                <w:rPr>
                  <w:rStyle w:val="Hyperlink"/>
                  <w:rFonts w:cs="Arial"/>
                  <w:sz w:val="14"/>
                  <w:szCs w:val="16"/>
                  <w:lang w:val="en-GB"/>
                </w:rPr>
                <w:t>s36(4)</w:t>
              </w:r>
            </w:hyperlink>
            <w:r w:rsidRPr="00085354">
              <w:rPr>
                <w:rFonts w:cs="Arial"/>
                <w:color w:val="000000"/>
                <w:sz w:val="14"/>
                <w:szCs w:val="16"/>
                <w:lang w:val="en-GB"/>
              </w:rPr>
              <w:t>]</w:t>
            </w:r>
          </w:p>
          <w:p w14:paraId="0B0AA501" w14:textId="77777777" w:rsidR="00085354" w:rsidRPr="00906893" w:rsidRDefault="00085354" w:rsidP="00F839DB">
            <w:pPr>
              <w:pStyle w:val="ListParagraph"/>
              <w:numPr>
                <w:ilvl w:val="0"/>
                <w:numId w:val="269"/>
              </w:numPr>
              <w:spacing w:after="60"/>
              <w:ind w:left="357" w:hanging="357"/>
              <w:rPr>
                <w:rFonts w:eastAsia="Calibri" w:cs="Arial"/>
                <w:sz w:val="14"/>
                <w:szCs w:val="14"/>
                <w:lang w:eastAsia="en-US"/>
              </w:rPr>
            </w:pPr>
            <w:r w:rsidRPr="00906893">
              <w:rPr>
                <w:rFonts w:eastAsia="Calibri" w:cs="Arial"/>
                <w:sz w:val="14"/>
                <w:szCs w:val="14"/>
                <w:lang w:eastAsia="en-US"/>
              </w:rPr>
              <w:t>Employee shall cooperate in the assessment of the capacity to undertake a rehabilitation program:</w:t>
            </w:r>
          </w:p>
          <w:p w14:paraId="3268D57B" w14:textId="42F5560D" w:rsidR="00085354" w:rsidRPr="00906893" w:rsidRDefault="00A7538C" w:rsidP="00F839DB">
            <w:pPr>
              <w:pStyle w:val="ListParagraph"/>
              <w:numPr>
                <w:ilvl w:val="0"/>
                <w:numId w:val="271"/>
              </w:numPr>
              <w:spacing w:after="60"/>
              <w:ind w:left="357" w:hanging="357"/>
              <w:contextualSpacing/>
              <w:rPr>
                <w:rFonts w:cs="Arial"/>
                <w:color w:val="000000"/>
                <w:sz w:val="14"/>
                <w:szCs w:val="16"/>
                <w:lang w:val="en-GB"/>
              </w:rPr>
            </w:pPr>
            <w:hyperlink r:id="rId1853" w:history="1">
              <w:r w:rsidR="00085354" w:rsidRPr="00E175E3">
                <w:rPr>
                  <w:rStyle w:val="Hyperlink"/>
                  <w:rFonts w:cs="Arial"/>
                  <w:sz w:val="14"/>
                  <w:szCs w:val="16"/>
                  <w:lang w:val="en-GB"/>
                </w:rPr>
                <w:t>s36(3)</w:t>
              </w:r>
            </w:hyperlink>
            <w:r w:rsidR="00085354" w:rsidRPr="00906893">
              <w:rPr>
                <w:rFonts w:cs="Arial"/>
                <w:color w:val="000000"/>
                <w:sz w:val="14"/>
                <w:szCs w:val="16"/>
                <w:lang w:val="en-GB"/>
              </w:rPr>
              <w:t xml:space="preserve"> — Employee shall undergo a required examination.</w:t>
            </w:r>
          </w:p>
          <w:p w14:paraId="7AD29969" w14:textId="1DDECEB0" w:rsidR="00085354" w:rsidRPr="00906893" w:rsidRDefault="00A7538C" w:rsidP="00F839DB">
            <w:pPr>
              <w:pStyle w:val="ListParagraph"/>
              <w:numPr>
                <w:ilvl w:val="0"/>
                <w:numId w:val="271"/>
              </w:numPr>
              <w:spacing w:after="60"/>
              <w:ind w:left="357" w:hanging="357"/>
              <w:rPr>
                <w:rFonts w:cs="Arial"/>
                <w:color w:val="000000"/>
                <w:sz w:val="14"/>
                <w:szCs w:val="16"/>
                <w:lang w:val="en-GB"/>
              </w:rPr>
            </w:pPr>
            <w:hyperlink r:id="rId1854" w:history="1">
              <w:r w:rsidR="00085354" w:rsidRPr="00E175E3">
                <w:rPr>
                  <w:rStyle w:val="Hyperlink"/>
                  <w:rFonts w:cs="Arial"/>
                  <w:sz w:val="14"/>
                  <w:szCs w:val="16"/>
                  <w:lang w:val="en-GB"/>
                </w:rPr>
                <w:t>s36(4)</w:t>
              </w:r>
            </w:hyperlink>
            <w:r w:rsidR="00085354" w:rsidRPr="00906893">
              <w:rPr>
                <w:rFonts w:cs="Arial"/>
                <w:color w:val="000000"/>
                <w:sz w:val="14"/>
                <w:szCs w:val="16"/>
                <w:lang w:val="en-GB"/>
              </w:rPr>
              <w:t xml:space="preserve"> — All rights and proceedings under the act are suspended if an employee fails, without reasonable excuse, to undergo a rehabilitation examination.</w:t>
            </w:r>
          </w:p>
        </w:tc>
        <w:tc>
          <w:tcPr>
            <w:tcW w:w="2278" w:type="dxa"/>
            <w:shd w:val="clear" w:color="auto" w:fill="FFC9C9"/>
            <w:tcMar>
              <w:top w:w="80" w:type="dxa"/>
              <w:left w:w="80" w:type="dxa"/>
              <w:bottom w:w="80" w:type="dxa"/>
              <w:right w:w="80" w:type="dxa"/>
            </w:tcMar>
          </w:tcPr>
          <w:p w14:paraId="7C544727" w14:textId="0E627FCC" w:rsidR="00085354" w:rsidRPr="00085354" w:rsidRDefault="00A7538C" w:rsidP="00292A53">
            <w:pPr>
              <w:spacing w:after="60"/>
              <w:rPr>
                <w:rFonts w:cs="Arial"/>
                <w:color w:val="000000"/>
                <w:sz w:val="14"/>
                <w:szCs w:val="16"/>
                <w:lang w:val="en-GB"/>
              </w:rPr>
            </w:pPr>
            <w:hyperlink r:id="rId1855" w:history="1">
              <w:r w:rsidR="00085354" w:rsidRPr="00E175E3">
                <w:rPr>
                  <w:rStyle w:val="Hyperlink"/>
                  <w:rFonts w:cs="Arial"/>
                  <w:sz w:val="14"/>
                  <w:szCs w:val="16"/>
                  <w:lang w:val="en-GB"/>
                </w:rPr>
                <w:t>s19(4)</w:t>
              </w:r>
            </w:hyperlink>
            <w:r w:rsidR="00085354" w:rsidRPr="00085354">
              <w:rPr>
                <w:rFonts w:cs="Arial"/>
                <w:color w:val="000000"/>
                <w:sz w:val="14"/>
                <w:szCs w:val="16"/>
                <w:lang w:val="en-GB"/>
              </w:rPr>
              <w:t xml:space="preserve"> — Employee has a responsibility to actively seek or participate in suitable employment where that employee has a capacity to return to work. </w:t>
            </w:r>
          </w:p>
        </w:tc>
        <w:tc>
          <w:tcPr>
            <w:tcW w:w="2279" w:type="dxa"/>
            <w:shd w:val="clear" w:color="auto" w:fill="FFC9C9"/>
            <w:tcMar>
              <w:top w:w="80" w:type="dxa"/>
              <w:left w:w="80" w:type="dxa"/>
              <w:bottom w:w="80" w:type="dxa"/>
              <w:right w:w="80" w:type="dxa"/>
            </w:tcMar>
          </w:tcPr>
          <w:p w14:paraId="483AA6AB" w14:textId="5DC0A9A6" w:rsidR="00085354" w:rsidRPr="00085354" w:rsidRDefault="00B461BC" w:rsidP="00292A53">
            <w:pPr>
              <w:spacing w:after="60"/>
              <w:rPr>
                <w:rFonts w:cs="Arial"/>
                <w:color w:val="000000"/>
                <w:sz w:val="14"/>
                <w:szCs w:val="16"/>
                <w:lang w:val="en-GB"/>
              </w:rPr>
            </w:pPr>
            <w:r>
              <w:rPr>
                <w:rFonts w:cs="Arial"/>
                <w:color w:val="000000"/>
                <w:sz w:val="14"/>
                <w:szCs w:val="16"/>
                <w:lang w:val="en-GB"/>
              </w:rPr>
              <w:t>No legislative requirements</w:t>
            </w:r>
          </w:p>
        </w:tc>
        <w:tc>
          <w:tcPr>
            <w:tcW w:w="2279" w:type="dxa"/>
            <w:shd w:val="clear" w:color="auto" w:fill="FFC9C9"/>
            <w:tcMar>
              <w:top w:w="80" w:type="dxa"/>
              <w:left w:w="80" w:type="dxa"/>
              <w:bottom w:w="80" w:type="dxa"/>
              <w:right w:w="80" w:type="dxa"/>
            </w:tcMar>
          </w:tcPr>
          <w:p w14:paraId="0D18BF92" w14:textId="433934F3"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w:t>
            </w:r>
          </w:p>
        </w:tc>
      </w:tr>
      <w:tr w:rsidR="00085354" w:rsidRPr="00085354" w14:paraId="3C768EC9" w14:textId="77777777" w:rsidTr="00B2173F">
        <w:tc>
          <w:tcPr>
            <w:tcW w:w="1418" w:type="dxa"/>
            <w:tcMar>
              <w:top w:w="80" w:type="dxa"/>
              <w:left w:w="80" w:type="dxa"/>
              <w:bottom w:w="80" w:type="dxa"/>
              <w:right w:w="80" w:type="dxa"/>
            </w:tcMar>
          </w:tcPr>
          <w:p w14:paraId="29A5D745"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C’wealth Seacare</w:t>
            </w:r>
          </w:p>
        </w:tc>
        <w:tc>
          <w:tcPr>
            <w:tcW w:w="2278" w:type="dxa"/>
            <w:tcMar>
              <w:top w:w="80" w:type="dxa"/>
              <w:left w:w="80" w:type="dxa"/>
              <w:bottom w:w="80" w:type="dxa"/>
              <w:right w:w="80" w:type="dxa"/>
            </w:tcMar>
          </w:tcPr>
          <w:p w14:paraId="5A403CB2" w14:textId="41410EBC"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The employee is responsible for undertaking a rehabilitation program provided under </w:t>
            </w:r>
            <w:hyperlink r:id="rId1856" w:history="1">
              <w:r w:rsidRPr="00323798">
                <w:rPr>
                  <w:rStyle w:val="Hyperlink"/>
                  <w:rFonts w:cs="Arial"/>
                  <w:sz w:val="14"/>
                  <w:szCs w:val="16"/>
                  <w:lang w:val="en-GB"/>
                </w:rPr>
                <w:t>s50(1)</w:t>
              </w:r>
            </w:hyperlink>
            <w:r w:rsidR="00323798">
              <w:rPr>
                <w:rFonts w:cs="Arial"/>
                <w:color w:val="000000"/>
                <w:sz w:val="14"/>
                <w:szCs w:val="16"/>
                <w:lang w:val="en-GB"/>
              </w:rPr>
              <w:t xml:space="preserve"> </w:t>
            </w:r>
            <w:r w:rsidR="00323798" w:rsidRPr="00016069">
              <w:rPr>
                <w:i/>
                <w:sz w:val="14"/>
              </w:rPr>
              <w:t>Seafarers Rehabilitation and Compensation Act 1992</w:t>
            </w:r>
            <w:r w:rsidR="00B461BC">
              <w:rPr>
                <w:rFonts w:cs="Arial"/>
                <w:color w:val="000000"/>
                <w:sz w:val="14"/>
                <w:szCs w:val="16"/>
                <w:lang w:val="en-GB"/>
              </w:rPr>
              <w:t>.</w:t>
            </w:r>
          </w:p>
        </w:tc>
        <w:tc>
          <w:tcPr>
            <w:tcW w:w="2279" w:type="dxa"/>
            <w:tcMar>
              <w:top w:w="80" w:type="dxa"/>
              <w:left w:w="80" w:type="dxa"/>
              <w:bottom w:w="80" w:type="dxa"/>
              <w:right w:w="80" w:type="dxa"/>
            </w:tcMar>
          </w:tcPr>
          <w:p w14:paraId="6D654F34" w14:textId="13E3D970" w:rsidR="00085354" w:rsidRPr="00085354" w:rsidRDefault="00A7538C" w:rsidP="00292A53">
            <w:pPr>
              <w:spacing w:after="60"/>
              <w:rPr>
                <w:rFonts w:cs="Arial"/>
                <w:color w:val="000000"/>
                <w:sz w:val="14"/>
                <w:szCs w:val="16"/>
                <w:lang w:val="en-GB"/>
              </w:rPr>
            </w:pPr>
            <w:hyperlink r:id="rId1857" w:history="1">
              <w:r w:rsidR="00085354" w:rsidRPr="00323798">
                <w:rPr>
                  <w:rStyle w:val="Hyperlink"/>
                  <w:rFonts w:cs="Arial"/>
                  <w:sz w:val="14"/>
                  <w:szCs w:val="16"/>
                  <w:lang w:val="en-GB"/>
                </w:rPr>
                <w:t>s50(5)</w:t>
              </w:r>
            </w:hyperlink>
            <w:r w:rsidR="00085354" w:rsidRPr="00085354">
              <w:rPr>
                <w:rFonts w:cs="Arial"/>
                <w:color w:val="000000"/>
                <w:sz w:val="14"/>
                <w:szCs w:val="16"/>
                <w:lang w:val="en-GB"/>
              </w:rPr>
              <w:t xml:space="preserve"> — If the employee, without reasonable excuse, does not undertake a rehabilitation program provided for them, compensation can be suspended.</w:t>
            </w:r>
          </w:p>
        </w:tc>
        <w:tc>
          <w:tcPr>
            <w:tcW w:w="2279" w:type="dxa"/>
            <w:tcMar>
              <w:top w:w="80" w:type="dxa"/>
              <w:left w:w="80" w:type="dxa"/>
              <w:bottom w:w="80" w:type="dxa"/>
              <w:right w:w="80" w:type="dxa"/>
            </w:tcMar>
          </w:tcPr>
          <w:p w14:paraId="629C7639" w14:textId="13B36862" w:rsidR="00085354" w:rsidRPr="00906893" w:rsidRDefault="00A7538C" w:rsidP="00F839DB">
            <w:pPr>
              <w:pStyle w:val="ListParagraph"/>
              <w:numPr>
                <w:ilvl w:val="0"/>
                <w:numId w:val="269"/>
              </w:numPr>
              <w:spacing w:after="60"/>
              <w:contextualSpacing/>
              <w:rPr>
                <w:rFonts w:eastAsia="Calibri" w:cs="Arial"/>
                <w:sz w:val="14"/>
                <w:szCs w:val="14"/>
                <w:lang w:eastAsia="en-US"/>
              </w:rPr>
            </w:pPr>
            <w:hyperlink r:id="rId1858" w:history="1">
              <w:r w:rsidR="00085354" w:rsidRPr="00323798">
                <w:rPr>
                  <w:rStyle w:val="Hyperlink"/>
                  <w:rFonts w:eastAsia="Calibri" w:cs="Arial"/>
                  <w:sz w:val="14"/>
                  <w:szCs w:val="14"/>
                  <w:lang w:eastAsia="en-US"/>
                </w:rPr>
                <w:t>s49(3)</w:t>
              </w:r>
            </w:hyperlink>
            <w:r w:rsidR="00085354" w:rsidRPr="00906893">
              <w:rPr>
                <w:rFonts w:eastAsia="Calibri" w:cs="Arial"/>
                <w:sz w:val="14"/>
                <w:szCs w:val="14"/>
                <w:lang w:eastAsia="en-US"/>
              </w:rPr>
              <w:t xml:space="preserve"> — The employer may require the employee to undergo an examination in relation to an assessment. </w:t>
            </w:r>
          </w:p>
          <w:p w14:paraId="27705E1F" w14:textId="2DFC4609" w:rsidR="00085354" w:rsidRPr="00906893" w:rsidRDefault="00A7538C" w:rsidP="00F839DB">
            <w:pPr>
              <w:pStyle w:val="ListParagraph"/>
              <w:numPr>
                <w:ilvl w:val="0"/>
                <w:numId w:val="269"/>
              </w:numPr>
              <w:spacing w:after="60"/>
              <w:ind w:left="357" w:hanging="357"/>
              <w:contextualSpacing/>
              <w:rPr>
                <w:rFonts w:eastAsia="Calibri" w:cs="Arial"/>
                <w:sz w:val="14"/>
                <w:szCs w:val="14"/>
                <w:lang w:eastAsia="en-US"/>
              </w:rPr>
            </w:pPr>
            <w:hyperlink r:id="rId1859" w:history="1">
              <w:r w:rsidR="00085354" w:rsidRPr="00323798">
                <w:rPr>
                  <w:rStyle w:val="Hyperlink"/>
                  <w:rFonts w:eastAsia="Calibri" w:cs="Arial"/>
                  <w:sz w:val="14"/>
                  <w:szCs w:val="14"/>
                  <w:lang w:eastAsia="en-US"/>
                </w:rPr>
                <w:t>s49(4)</w:t>
              </w:r>
            </w:hyperlink>
            <w:r w:rsidR="00085354" w:rsidRPr="00906893">
              <w:rPr>
                <w:rFonts w:eastAsia="Calibri" w:cs="Arial"/>
                <w:sz w:val="14"/>
                <w:szCs w:val="14"/>
                <w:lang w:eastAsia="en-US"/>
              </w:rPr>
              <w:t xml:space="preserve"> — If the employee does not attend, without reasonable excuse, or obstructs the examination, compensation can be suspended.</w:t>
            </w:r>
          </w:p>
        </w:tc>
        <w:tc>
          <w:tcPr>
            <w:tcW w:w="2278" w:type="dxa"/>
            <w:tcMar>
              <w:top w:w="80" w:type="dxa"/>
              <w:left w:w="80" w:type="dxa"/>
              <w:bottom w:w="80" w:type="dxa"/>
              <w:right w:w="80" w:type="dxa"/>
            </w:tcMar>
          </w:tcPr>
          <w:p w14:paraId="1CD796F1" w14:textId="0A006E33" w:rsidR="00085354" w:rsidRPr="00085354" w:rsidRDefault="00A7538C" w:rsidP="00F358E7">
            <w:pPr>
              <w:spacing w:after="60"/>
              <w:rPr>
                <w:rFonts w:cs="Arial"/>
                <w:color w:val="000000"/>
                <w:sz w:val="14"/>
                <w:szCs w:val="16"/>
                <w:lang w:val="en-GB"/>
              </w:rPr>
            </w:pPr>
            <w:hyperlink r:id="rId1860" w:history="1">
              <w:r w:rsidR="00085354" w:rsidRPr="00323798">
                <w:rPr>
                  <w:rStyle w:val="Hyperlink"/>
                  <w:rFonts w:cs="Arial"/>
                  <w:sz w:val="14"/>
                  <w:szCs w:val="16"/>
                  <w:lang w:val="en-GB"/>
                </w:rPr>
                <w:t>s32</w:t>
              </w:r>
            </w:hyperlink>
            <w:r w:rsidR="00085354" w:rsidRPr="00085354">
              <w:rPr>
                <w:rFonts w:cs="Arial"/>
                <w:color w:val="000000"/>
                <w:sz w:val="14"/>
                <w:szCs w:val="16"/>
                <w:lang w:val="en-GB"/>
              </w:rPr>
              <w:t xml:space="preserve"> </w:t>
            </w:r>
            <w:r w:rsidR="00F358E7">
              <w:rPr>
                <w:rFonts w:cs="Arial"/>
                <w:color w:val="000000"/>
                <w:sz w:val="14"/>
                <w:szCs w:val="16"/>
                <w:lang w:val="en-GB"/>
              </w:rPr>
              <w:t>—</w:t>
            </w:r>
            <w:r w:rsidR="00F358E7" w:rsidRPr="00085354">
              <w:rPr>
                <w:rFonts w:cs="Arial"/>
                <w:color w:val="000000"/>
                <w:sz w:val="14"/>
                <w:szCs w:val="16"/>
                <w:lang w:val="en-GB"/>
              </w:rPr>
              <w:t xml:space="preserve"> </w:t>
            </w:r>
            <w:r w:rsidR="00085354" w:rsidRPr="00085354">
              <w:rPr>
                <w:rFonts w:cs="Arial"/>
                <w:color w:val="000000"/>
                <w:sz w:val="14"/>
                <w:szCs w:val="16"/>
                <w:lang w:val="en-GB"/>
              </w:rPr>
              <w:t>Employee has a responsibility to actively seek or participate in suitable employment where that employee has a capacity to return to work.</w:t>
            </w:r>
          </w:p>
        </w:tc>
        <w:tc>
          <w:tcPr>
            <w:tcW w:w="2279" w:type="dxa"/>
            <w:tcMar>
              <w:top w:w="80" w:type="dxa"/>
              <w:left w:w="80" w:type="dxa"/>
              <w:bottom w:w="80" w:type="dxa"/>
              <w:right w:w="80" w:type="dxa"/>
            </w:tcMar>
          </w:tcPr>
          <w:p w14:paraId="15C66090" w14:textId="2C979D7C"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 legislative requirement</w:t>
            </w:r>
            <w:r w:rsidR="003D2FCB">
              <w:rPr>
                <w:rFonts w:cs="Arial"/>
                <w:color w:val="000000"/>
                <w:sz w:val="14"/>
                <w:szCs w:val="16"/>
                <w:lang w:val="en-GB"/>
              </w:rPr>
              <w:t>.</w:t>
            </w:r>
          </w:p>
        </w:tc>
        <w:tc>
          <w:tcPr>
            <w:tcW w:w="2279" w:type="dxa"/>
            <w:tcMar>
              <w:top w:w="80" w:type="dxa"/>
              <w:left w:w="80" w:type="dxa"/>
              <w:bottom w:w="80" w:type="dxa"/>
              <w:right w:w="80" w:type="dxa"/>
            </w:tcMar>
          </w:tcPr>
          <w:p w14:paraId="767332F3" w14:textId="75736F48"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w:t>
            </w:r>
          </w:p>
        </w:tc>
      </w:tr>
      <w:tr w:rsidR="00085354" w:rsidRPr="00085354" w14:paraId="15246212" w14:textId="77777777" w:rsidTr="00B2173F">
        <w:tc>
          <w:tcPr>
            <w:tcW w:w="1418" w:type="dxa"/>
            <w:shd w:val="clear" w:color="auto" w:fill="FFC9C9"/>
            <w:tcMar>
              <w:top w:w="80" w:type="dxa"/>
              <w:left w:w="80" w:type="dxa"/>
              <w:bottom w:w="80" w:type="dxa"/>
              <w:right w:w="80" w:type="dxa"/>
            </w:tcMar>
          </w:tcPr>
          <w:p w14:paraId="2B508E43"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C’wealth DVA</w:t>
            </w:r>
          </w:p>
        </w:tc>
        <w:tc>
          <w:tcPr>
            <w:tcW w:w="2278" w:type="dxa"/>
            <w:shd w:val="clear" w:color="auto" w:fill="FFC9C9"/>
            <w:tcMar>
              <w:top w:w="80" w:type="dxa"/>
              <w:left w:w="80" w:type="dxa"/>
              <w:bottom w:w="80" w:type="dxa"/>
              <w:right w:w="80" w:type="dxa"/>
            </w:tcMar>
          </w:tcPr>
          <w:p w14:paraId="24E34D2A" w14:textId="3984A73E" w:rsidR="00085354" w:rsidRDefault="00117500" w:rsidP="00292A53">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2E7A63">
              <w:rPr>
                <w:rFonts w:cs="Arial"/>
                <w:color w:val="000000"/>
                <w:sz w:val="14"/>
                <w:szCs w:val="16"/>
                <w:lang w:val="en-GB"/>
              </w:rPr>
              <w:t>MRCA</w:t>
            </w:r>
            <w:r>
              <w:rPr>
                <w:rFonts w:cs="Arial"/>
                <w:color w:val="000000"/>
                <w:sz w:val="14"/>
                <w:szCs w:val="16"/>
                <w:lang w:val="en-GB"/>
              </w:rPr>
              <w:t>)</w:t>
            </w:r>
            <w:r w:rsidR="002E7A63">
              <w:rPr>
                <w:rFonts w:cs="Arial"/>
                <w:color w:val="000000"/>
                <w:sz w:val="14"/>
                <w:szCs w:val="16"/>
                <w:lang w:val="en-GB"/>
              </w:rPr>
              <w:t xml:space="preserve"> </w:t>
            </w:r>
            <w:r w:rsidR="0077500F">
              <w:rPr>
                <w:rFonts w:cs="Arial"/>
                <w:color w:val="000000"/>
                <w:sz w:val="14"/>
                <w:szCs w:val="16"/>
                <w:lang w:val="en-GB"/>
              </w:rPr>
              <w:lastRenderedPageBreak/>
              <w:t>—</w:t>
            </w:r>
            <w:r w:rsidR="002E7A63">
              <w:rPr>
                <w:rFonts w:cs="Arial"/>
                <w:color w:val="000000"/>
                <w:sz w:val="14"/>
                <w:szCs w:val="16"/>
                <w:lang w:val="en-GB"/>
              </w:rPr>
              <w:t xml:space="preserve"> </w:t>
            </w:r>
            <w:hyperlink r:id="rId1861" w:history="1">
              <w:r w:rsidR="00085354" w:rsidRPr="0027739E">
                <w:rPr>
                  <w:rStyle w:val="Hyperlink"/>
                  <w:rFonts w:cs="Arial"/>
                  <w:sz w:val="14"/>
                  <w:szCs w:val="16"/>
                  <w:lang w:val="en-GB"/>
                </w:rPr>
                <w:t>s52</w:t>
              </w:r>
            </w:hyperlink>
            <w:r w:rsidR="00085354" w:rsidRPr="00085354">
              <w:rPr>
                <w:rFonts w:cs="Arial"/>
                <w:color w:val="000000"/>
                <w:sz w:val="14"/>
                <w:szCs w:val="16"/>
                <w:lang w:val="en-GB"/>
              </w:rPr>
              <w:t xml:space="preserve"> — If rehabilitation authority requires person to undertake a rehabilitation program and person refuses or fails to undertake the program, authority may determine that the person’s right to compensation (but not the person’s right to treatment or compensation for treatment) is suspended until person undertakes the rehabilitation program.</w:t>
            </w:r>
          </w:p>
          <w:p w14:paraId="40A89472" w14:textId="77777777" w:rsidR="002E7A63" w:rsidRDefault="002E7A63" w:rsidP="00292A53">
            <w:pPr>
              <w:spacing w:after="60"/>
              <w:rPr>
                <w:rFonts w:cs="Arial"/>
                <w:color w:val="000000"/>
                <w:sz w:val="14"/>
                <w:szCs w:val="16"/>
                <w:lang w:val="en-GB"/>
              </w:rPr>
            </w:pPr>
          </w:p>
          <w:p w14:paraId="1E53B0B5" w14:textId="4862AAC3" w:rsidR="002E7A63" w:rsidRDefault="00117500" w:rsidP="00292A53">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2E7A63">
              <w:rPr>
                <w:rFonts w:cs="Arial"/>
                <w:color w:val="000000"/>
                <w:sz w:val="14"/>
                <w:szCs w:val="16"/>
                <w:lang w:val="en-GB"/>
              </w:rPr>
              <w:t>DRCA</w:t>
            </w:r>
            <w:r>
              <w:rPr>
                <w:rFonts w:cs="Arial"/>
                <w:color w:val="000000"/>
                <w:sz w:val="14"/>
                <w:szCs w:val="16"/>
                <w:lang w:val="en-GB"/>
              </w:rPr>
              <w:t>)</w:t>
            </w:r>
          </w:p>
          <w:p w14:paraId="1A848711" w14:textId="220935D0" w:rsidR="002E7A63" w:rsidRDefault="002E7A63" w:rsidP="00F839DB">
            <w:pPr>
              <w:pStyle w:val="ListParagraph"/>
              <w:numPr>
                <w:ilvl w:val="0"/>
                <w:numId w:val="567"/>
              </w:numPr>
              <w:spacing w:after="60"/>
              <w:ind w:left="357" w:hanging="357"/>
              <w:rPr>
                <w:rFonts w:cs="Arial"/>
                <w:color w:val="000000"/>
                <w:sz w:val="14"/>
                <w:szCs w:val="16"/>
                <w:lang w:val="en-GB"/>
              </w:rPr>
            </w:pPr>
            <w:r>
              <w:rPr>
                <w:rFonts w:cs="Arial"/>
                <w:color w:val="000000"/>
                <w:sz w:val="14"/>
                <w:szCs w:val="16"/>
                <w:lang w:val="en-GB"/>
              </w:rPr>
              <w:t xml:space="preserve">The employee is responsible for undertaking a determined rehabilitation program [refer to </w:t>
            </w:r>
            <w:hyperlink r:id="rId1862" w:history="1">
              <w:r w:rsidRPr="0027739E">
                <w:rPr>
                  <w:rStyle w:val="Hyperlink"/>
                  <w:rFonts w:cs="Arial"/>
                  <w:sz w:val="14"/>
                  <w:szCs w:val="16"/>
                  <w:lang w:val="en-GB"/>
                </w:rPr>
                <w:t>ss37(1) and 37(7)</w:t>
              </w:r>
            </w:hyperlink>
            <w:r>
              <w:rPr>
                <w:rFonts w:cs="Arial"/>
                <w:color w:val="000000"/>
                <w:sz w:val="14"/>
                <w:szCs w:val="16"/>
                <w:lang w:val="en-GB"/>
              </w:rPr>
              <w:t>]</w:t>
            </w:r>
          </w:p>
          <w:p w14:paraId="4C6E60A1" w14:textId="0C589124" w:rsidR="002E7A63" w:rsidRPr="002E7A63" w:rsidRDefault="002E7A63" w:rsidP="00F839DB">
            <w:pPr>
              <w:pStyle w:val="ListParagraph"/>
              <w:numPr>
                <w:ilvl w:val="0"/>
                <w:numId w:val="567"/>
              </w:numPr>
              <w:spacing w:after="60"/>
              <w:ind w:left="357" w:hanging="357"/>
              <w:rPr>
                <w:rFonts w:cs="Arial"/>
                <w:color w:val="000000"/>
                <w:sz w:val="14"/>
                <w:szCs w:val="16"/>
                <w:lang w:val="en-GB"/>
              </w:rPr>
            </w:pPr>
            <w:r>
              <w:rPr>
                <w:rFonts w:cs="Arial"/>
                <w:color w:val="000000"/>
                <w:sz w:val="14"/>
                <w:szCs w:val="16"/>
                <w:lang w:val="en-GB"/>
              </w:rPr>
              <w:t xml:space="preserve">Actively </w:t>
            </w:r>
            <w:r w:rsidR="00E424E0">
              <w:rPr>
                <w:rFonts w:cs="Arial"/>
                <w:color w:val="000000"/>
                <w:sz w:val="14"/>
                <w:szCs w:val="16"/>
                <w:lang w:val="en-GB"/>
              </w:rPr>
              <w:t>participate in any rehabilitation program developed by the case manager or approved workplace rehabilitation provider. Implement recommended and agreed changes to work practices, workplace environment and/or home environment in consultation with employer to minimise the change of further injuries or accidents (refer to Rehabilitation Program form).</w:t>
            </w:r>
          </w:p>
        </w:tc>
        <w:tc>
          <w:tcPr>
            <w:tcW w:w="2279" w:type="dxa"/>
            <w:shd w:val="clear" w:color="auto" w:fill="FFC9C9"/>
            <w:tcMar>
              <w:top w:w="80" w:type="dxa"/>
              <w:left w:w="80" w:type="dxa"/>
              <w:bottom w:w="80" w:type="dxa"/>
              <w:right w:w="80" w:type="dxa"/>
            </w:tcMar>
          </w:tcPr>
          <w:p w14:paraId="417DD47C" w14:textId="61F36D54" w:rsidR="00085354" w:rsidRPr="00085354" w:rsidRDefault="00B461BC" w:rsidP="00292A53">
            <w:pPr>
              <w:spacing w:after="60"/>
              <w:rPr>
                <w:rFonts w:cs="Arial"/>
                <w:color w:val="000000"/>
                <w:sz w:val="14"/>
                <w:szCs w:val="16"/>
                <w:lang w:val="en-GB"/>
              </w:rPr>
            </w:pPr>
            <w:r>
              <w:rPr>
                <w:rFonts w:cs="Arial"/>
                <w:color w:val="000000"/>
                <w:sz w:val="14"/>
                <w:szCs w:val="16"/>
                <w:lang w:val="en-GB"/>
              </w:rPr>
              <w:lastRenderedPageBreak/>
              <w:t>As adjacent</w:t>
            </w:r>
          </w:p>
        </w:tc>
        <w:tc>
          <w:tcPr>
            <w:tcW w:w="2279" w:type="dxa"/>
            <w:shd w:val="clear" w:color="auto" w:fill="FFC9C9"/>
            <w:tcMar>
              <w:top w:w="80" w:type="dxa"/>
              <w:left w:w="80" w:type="dxa"/>
              <w:bottom w:w="80" w:type="dxa"/>
              <w:right w:w="80" w:type="dxa"/>
            </w:tcMar>
          </w:tcPr>
          <w:p w14:paraId="676AE1C3" w14:textId="261F439B" w:rsidR="00085354" w:rsidRDefault="002E7A63" w:rsidP="00292A53">
            <w:pPr>
              <w:spacing w:after="60"/>
              <w:rPr>
                <w:rFonts w:cs="Arial"/>
                <w:color w:val="000000"/>
                <w:sz w:val="14"/>
                <w:szCs w:val="16"/>
                <w:lang w:val="en-GB"/>
              </w:rPr>
            </w:pPr>
            <w:r>
              <w:rPr>
                <w:rFonts w:cs="Arial"/>
                <w:color w:val="000000"/>
                <w:sz w:val="14"/>
                <w:szCs w:val="16"/>
                <w:lang w:val="en-GB"/>
              </w:rPr>
              <w:t xml:space="preserve">MRCA </w:t>
            </w:r>
            <w:r w:rsidR="0077500F">
              <w:rPr>
                <w:rFonts w:cs="Arial"/>
                <w:color w:val="000000"/>
                <w:sz w:val="14"/>
                <w:szCs w:val="16"/>
                <w:lang w:val="en-GB"/>
              </w:rPr>
              <w:t>—</w:t>
            </w:r>
            <w:r>
              <w:rPr>
                <w:rFonts w:cs="Arial"/>
                <w:color w:val="000000"/>
                <w:sz w:val="14"/>
                <w:szCs w:val="16"/>
                <w:lang w:val="en-GB"/>
              </w:rPr>
              <w:t xml:space="preserve"> </w:t>
            </w:r>
            <w:hyperlink r:id="rId1863" w:history="1">
              <w:r w:rsidR="00085354" w:rsidRPr="0027739E">
                <w:rPr>
                  <w:rStyle w:val="Hyperlink"/>
                  <w:rFonts w:cs="Arial"/>
                  <w:sz w:val="14"/>
                  <w:szCs w:val="16"/>
                  <w:lang w:val="en-GB"/>
                </w:rPr>
                <w:t>s50</w:t>
              </w:r>
            </w:hyperlink>
            <w:r w:rsidR="00085354" w:rsidRPr="00085354">
              <w:rPr>
                <w:rFonts w:cs="Arial"/>
                <w:color w:val="000000"/>
                <w:sz w:val="14"/>
                <w:szCs w:val="16"/>
                <w:lang w:val="en-GB"/>
              </w:rPr>
              <w:t xml:space="preserve"> — If the rehabilitation authority requires </w:t>
            </w:r>
            <w:r w:rsidR="00085354" w:rsidRPr="00085354">
              <w:rPr>
                <w:rFonts w:cs="Arial"/>
                <w:color w:val="000000"/>
                <w:sz w:val="14"/>
                <w:szCs w:val="16"/>
                <w:lang w:val="en-GB"/>
              </w:rPr>
              <w:lastRenderedPageBreak/>
              <w:t xml:space="preserve">the person to undergo an examination and the person: (a) refuses or fails to undergo the examination; or (b) in any way obstructs the examination; the authority may determine that the person’s right to compensation (but not the person’s right to treatment or compensation for treatment) is suspended until the examination takes place. </w:t>
            </w:r>
          </w:p>
          <w:p w14:paraId="0A63F05A" w14:textId="77777777" w:rsidR="0030198A" w:rsidRDefault="0030198A" w:rsidP="00292A53">
            <w:pPr>
              <w:spacing w:after="60"/>
              <w:rPr>
                <w:rFonts w:cs="Arial"/>
                <w:color w:val="000000"/>
                <w:sz w:val="14"/>
                <w:szCs w:val="16"/>
                <w:lang w:val="en-GB"/>
              </w:rPr>
            </w:pPr>
          </w:p>
          <w:p w14:paraId="76C2D267" w14:textId="77777777" w:rsidR="0030198A" w:rsidRDefault="0030198A" w:rsidP="00292A53">
            <w:pPr>
              <w:spacing w:after="60"/>
              <w:rPr>
                <w:rFonts w:cs="Arial"/>
                <w:color w:val="000000"/>
                <w:sz w:val="14"/>
                <w:szCs w:val="16"/>
                <w:lang w:val="en-GB"/>
              </w:rPr>
            </w:pPr>
            <w:r>
              <w:rPr>
                <w:rFonts w:cs="Arial"/>
                <w:color w:val="000000"/>
                <w:sz w:val="14"/>
                <w:szCs w:val="16"/>
                <w:lang w:val="en-GB"/>
              </w:rPr>
              <w:t>DRCA</w:t>
            </w:r>
          </w:p>
          <w:p w14:paraId="5B45A013" w14:textId="77777777" w:rsidR="0030198A" w:rsidRDefault="0030198A" w:rsidP="00F839DB">
            <w:pPr>
              <w:pStyle w:val="ListParagraph"/>
              <w:numPr>
                <w:ilvl w:val="0"/>
                <w:numId w:val="568"/>
              </w:numPr>
              <w:spacing w:after="60"/>
              <w:ind w:left="357" w:hanging="357"/>
              <w:rPr>
                <w:rFonts w:cs="Arial"/>
                <w:color w:val="000000"/>
                <w:sz w:val="14"/>
                <w:szCs w:val="16"/>
                <w:lang w:val="en-GB"/>
              </w:rPr>
            </w:pPr>
            <w:r>
              <w:rPr>
                <w:rFonts w:cs="Arial"/>
                <w:color w:val="000000"/>
                <w:sz w:val="14"/>
                <w:szCs w:val="16"/>
                <w:lang w:val="en-GB"/>
              </w:rPr>
              <w:t>The employee is responsible for attending and co-operating at a required examination to assess the employee’s capability of undertaking a rehabilitation program.</w:t>
            </w:r>
          </w:p>
          <w:p w14:paraId="2D4A16AD" w14:textId="48D98825" w:rsidR="0030198A" w:rsidRDefault="0030198A" w:rsidP="0030198A">
            <w:pPr>
              <w:spacing w:after="60"/>
              <w:rPr>
                <w:rFonts w:cs="Arial"/>
                <w:color w:val="000000"/>
                <w:sz w:val="14"/>
                <w:szCs w:val="16"/>
                <w:lang w:val="en-GB"/>
              </w:rPr>
            </w:pPr>
            <w:r>
              <w:rPr>
                <w:rFonts w:cs="Arial"/>
                <w:color w:val="000000"/>
                <w:sz w:val="14"/>
                <w:szCs w:val="16"/>
                <w:lang w:val="en-GB"/>
              </w:rPr>
              <w:t xml:space="preserve">[refer to </w:t>
            </w:r>
            <w:hyperlink r:id="rId1864" w:history="1">
              <w:r w:rsidRPr="0027739E">
                <w:rPr>
                  <w:rStyle w:val="Hyperlink"/>
                  <w:rFonts w:cs="Arial"/>
                  <w:sz w:val="14"/>
                  <w:szCs w:val="16"/>
                  <w:lang w:val="en-GB"/>
                </w:rPr>
                <w:t>s36(1)</w:t>
              </w:r>
            </w:hyperlink>
            <w:r>
              <w:rPr>
                <w:rFonts w:cs="Arial"/>
                <w:color w:val="000000"/>
                <w:sz w:val="14"/>
                <w:szCs w:val="16"/>
                <w:lang w:val="en-GB"/>
              </w:rPr>
              <w:t xml:space="preserve">, </w:t>
            </w:r>
            <w:hyperlink r:id="rId1865" w:history="1">
              <w:r w:rsidRPr="0027739E">
                <w:rPr>
                  <w:rStyle w:val="Hyperlink"/>
                  <w:rFonts w:cs="Arial"/>
                  <w:sz w:val="14"/>
                  <w:szCs w:val="16"/>
                  <w:lang w:val="en-GB"/>
                </w:rPr>
                <w:t>s36(3)</w:t>
              </w:r>
            </w:hyperlink>
            <w:r>
              <w:rPr>
                <w:rFonts w:cs="Arial"/>
                <w:color w:val="000000"/>
                <w:sz w:val="14"/>
                <w:szCs w:val="16"/>
                <w:lang w:val="en-GB"/>
              </w:rPr>
              <w:t xml:space="preserve"> and </w:t>
            </w:r>
            <w:hyperlink r:id="rId1866" w:history="1">
              <w:r w:rsidRPr="0027739E">
                <w:rPr>
                  <w:rStyle w:val="Hyperlink"/>
                  <w:rFonts w:cs="Arial"/>
                  <w:sz w:val="14"/>
                  <w:szCs w:val="16"/>
                  <w:lang w:val="en-GB"/>
                </w:rPr>
                <w:t>s36(4)</w:t>
              </w:r>
            </w:hyperlink>
            <w:r>
              <w:rPr>
                <w:rFonts w:cs="Arial"/>
                <w:color w:val="000000"/>
                <w:sz w:val="14"/>
                <w:szCs w:val="16"/>
                <w:lang w:val="en-GB"/>
              </w:rPr>
              <w:t>]</w:t>
            </w:r>
          </w:p>
          <w:p w14:paraId="15F1F40C" w14:textId="77777777" w:rsidR="0030198A" w:rsidRDefault="0030198A" w:rsidP="00F839DB">
            <w:pPr>
              <w:pStyle w:val="ListParagraph"/>
              <w:numPr>
                <w:ilvl w:val="0"/>
                <w:numId w:val="568"/>
              </w:numPr>
              <w:spacing w:after="60"/>
              <w:ind w:left="357" w:hanging="357"/>
              <w:rPr>
                <w:rFonts w:cs="Arial"/>
                <w:color w:val="000000"/>
                <w:sz w:val="14"/>
                <w:szCs w:val="16"/>
                <w:lang w:val="en-GB"/>
              </w:rPr>
            </w:pPr>
            <w:r>
              <w:rPr>
                <w:rFonts w:cs="Arial"/>
                <w:color w:val="000000"/>
                <w:sz w:val="14"/>
                <w:szCs w:val="16"/>
                <w:lang w:val="en-GB"/>
              </w:rPr>
              <w:t>Employee shall cooperate in the assessment of the capacity to undertake a rehabilitation program:</w:t>
            </w:r>
          </w:p>
          <w:p w14:paraId="6DC414EE" w14:textId="2D88E831" w:rsidR="0030198A" w:rsidRDefault="00A7538C" w:rsidP="00F839DB">
            <w:pPr>
              <w:pStyle w:val="ListParagraph"/>
              <w:numPr>
                <w:ilvl w:val="0"/>
                <w:numId w:val="569"/>
              </w:numPr>
              <w:spacing w:after="60"/>
              <w:ind w:left="357" w:hanging="357"/>
              <w:rPr>
                <w:rFonts w:cs="Arial"/>
                <w:color w:val="000000"/>
                <w:sz w:val="14"/>
                <w:szCs w:val="16"/>
                <w:lang w:val="en-GB"/>
              </w:rPr>
            </w:pPr>
            <w:hyperlink r:id="rId1867" w:history="1">
              <w:r w:rsidR="0030198A" w:rsidRPr="0027739E">
                <w:rPr>
                  <w:rStyle w:val="Hyperlink"/>
                  <w:rFonts w:cs="Arial"/>
                  <w:sz w:val="14"/>
                  <w:szCs w:val="16"/>
                  <w:lang w:val="en-GB"/>
                </w:rPr>
                <w:t>S36(3)</w:t>
              </w:r>
            </w:hyperlink>
            <w:r w:rsidR="0030198A">
              <w:rPr>
                <w:rFonts w:cs="Arial"/>
                <w:color w:val="000000"/>
                <w:sz w:val="14"/>
                <w:szCs w:val="16"/>
                <w:lang w:val="en-GB"/>
              </w:rPr>
              <w:t xml:space="preserve"> — Employee shall undergo a required examination.</w:t>
            </w:r>
          </w:p>
          <w:p w14:paraId="134D6447" w14:textId="0488604B" w:rsidR="0030198A" w:rsidRPr="0030198A" w:rsidRDefault="00A7538C" w:rsidP="0030198A">
            <w:pPr>
              <w:spacing w:after="60"/>
              <w:rPr>
                <w:rFonts w:cs="Arial"/>
                <w:color w:val="000000"/>
                <w:sz w:val="14"/>
                <w:szCs w:val="16"/>
                <w:lang w:val="en-GB"/>
              </w:rPr>
            </w:pPr>
            <w:hyperlink r:id="rId1868" w:history="1">
              <w:r w:rsidR="0030198A" w:rsidRPr="0027739E">
                <w:rPr>
                  <w:rStyle w:val="Hyperlink"/>
                  <w:rFonts w:cs="Arial"/>
                  <w:sz w:val="14"/>
                  <w:szCs w:val="16"/>
                  <w:lang w:val="en-GB"/>
                </w:rPr>
                <w:t>S36(4)</w:t>
              </w:r>
            </w:hyperlink>
            <w:r w:rsidR="0030198A">
              <w:rPr>
                <w:rFonts w:cs="Arial"/>
                <w:color w:val="000000"/>
                <w:sz w:val="14"/>
                <w:szCs w:val="16"/>
                <w:lang w:val="en-GB"/>
              </w:rPr>
              <w:t xml:space="preserve"> — All rights and proceedings under the act are suspended if an employee fails, without reasonable excuse, to undergo a rehabilitation examination.</w:t>
            </w:r>
          </w:p>
        </w:tc>
        <w:tc>
          <w:tcPr>
            <w:tcW w:w="2278" w:type="dxa"/>
            <w:shd w:val="clear" w:color="auto" w:fill="FFC9C9"/>
            <w:tcMar>
              <w:top w:w="80" w:type="dxa"/>
              <w:left w:w="80" w:type="dxa"/>
              <w:bottom w:w="80" w:type="dxa"/>
              <w:right w:w="80" w:type="dxa"/>
            </w:tcMar>
          </w:tcPr>
          <w:p w14:paraId="1B0CB95C" w14:textId="2B8DA3FC" w:rsidR="00085354" w:rsidRPr="00085354" w:rsidRDefault="00B461BC" w:rsidP="00292A53">
            <w:pPr>
              <w:spacing w:after="60"/>
              <w:rPr>
                <w:rFonts w:cs="Arial"/>
                <w:color w:val="000000"/>
                <w:sz w:val="14"/>
                <w:szCs w:val="16"/>
                <w:lang w:val="en-GB"/>
              </w:rPr>
            </w:pPr>
            <w:r>
              <w:rPr>
                <w:rFonts w:cs="Arial"/>
                <w:color w:val="000000"/>
                <w:sz w:val="14"/>
                <w:szCs w:val="16"/>
                <w:lang w:val="en-GB"/>
              </w:rPr>
              <w:lastRenderedPageBreak/>
              <w:t>As adjacent</w:t>
            </w:r>
          </w:p>
        </w:tc>
        <w:tc>
          <w:tcPr>
            <w:tcW w:w="2279" w:type="dxa"/>
            <w:shd w:val="clear" w:color="auto" w:fill="FFC9C9"/>
            <w:tcMar>
              <w:top w:w="80" w:type="dxa"/>
              <w:left w:w="80" w:type="dxa"/>
              <w:bottom w:w="80" w:type="dxa"/>
              <w:right w:w="80" w:type="dxa"/>
            </w:tcMar>
          </w:tcPr>
          <w:p w14:paraId="522FAF6D" w14:textId="5C93D428"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N/A</w:t>
            </w:r>
          </w:p>
        </w:tc>
        <w:tc>
          <w:tcPr>
            <w:tcW w:w="2279" w:type="dxa"/>
            <w:shd w:val="clear" w:color="auto" w:fill="FFC9C9"/>
            <w:tcMar>
              <w:top w:w="80" w:type="dxa"/>
              <w:left w:w="80" w:type="dxa"/>
              <w:bottom w:w="80" w:type="dxa"/>
              <w:right w:w="80" w:type="dxa"/>
            </w:tcMar>
          </w:tcPr>
          <w:p w14:paraId="0A69BA7F" w14:textId="2D1D6AB8"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N/A</w:t>
            </w:r>
          </w:p>
        </w:tc>
      </w:tr>
      <w:tr w:rsidR="00085354" w:rsidRPr="00085354" w14:paraId="5507DAC9" w14:textId="77777777" w:rsidTr="00B2173F">
        <w:tc>
          <w:tcPr>
            <w:tcW w:w="1418" w:type="dxa"/>
            <w:tcMar>
              <w:top w:w="80" w:type="dxa"/>
              <w:left w:w="80" w:type="dxa"/>
              <w:bottom w:w="80" w:type="dxa"/>
              <w:right w:w="80" w:type="dxa"/>
            </w:tcMar>
          </w:tcPr>
          <w:p w14:paraId="2FD30E67" w14:textId="1663DE8F"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New Zealand</w:t>
            </w:r>
          </w:p>
        </w:tc>
        <w:tc>
          <w:tcPr>
            <w:tcW w:w="2278" w:type="dxa"/>
            <w:tcMar>
              <w:top w:w="80" w:type="dxa"/>
              <w:left w:w="80" w:type="dxa"/>
              <w:bottom w:w="80" w:type="dxa"/>
              <w:right w:w="80" w:type="dxa"/>
            </w:tcMar>
          </w:tcPr>
          <w:p w14:paraId="4EDC524B" w14:textId="1084E274" w:rsidR="00085354" w:rsidRPr="00085354" w:rsidRDefault="00465BE7" w:rsidP="00292A53">
            <w:pPr>
              <w:spacing w:after="60"/>
              <w:rPr>
                <w:rFonts w:cs="Arial"/>
                <w:color w:val="000000"/>
                <w:sz w:val="14"/>
                <w:szCs w:val="16"/>
                <w:lang w:val="en-GB"/>
              </w:rPr>
            </w:pPr>
            <w:r>
              <w:rPr>
                <w:rFonts w:cs="Arial"/>
                <w:color w:val="000000"/>
                <w:sz w:val="14"/>
                <w:szCs w:val="16"/>
                <w:lang w:val="en-GB"/>
              </w:rPr>
              <w:t>Yes —</w:t>
            </w:r>
            <w:r w:rsidR="00F358E7">
              <w:rPr>
                <w:rFonts w:cs="Arial"/>
                <w:color w:val="000000"/>
                <w:sz w:val="14"/>
                <w:szCs w:val="16"/>
                <w:lang w:val="en-GB"/>
              </w:rPr>
              <w:t xml:space="preserve"> </w:t>
            </w:r>
            <w:hyperlink r:id="rId1869" w:history="1">
              <w:r w:rsidR="00B461BC" w:rsidRPr="00180C09">
                <w:rPr>
                  <w:rStyle w:val="Hyperlink"/>
                  <w:rFonts w:cs="Arial"/>
                  <w:sz w:val="14"/>
                  <w:szCs w:val="16"/>
                  <w:lang w:val="en-GB"/>
                </w:rPr>
                <w:t>s72</w:t>
              </w:r>
            </w:hyperlink>
            <w:r w:rsidR="00180C09">
              <w:rPr>
                <w:rFonts w:cs="Arial"/>
                <w:color w:val="000000"/>
                <w:sz w:val="14"/>
                <w:szCs w:val="16"/>
                <w:lang w:val="en-GB"/>
              </w:rPr>
              <w:t xml:space="preserve"> </w:t>
            </w:r>
            <w:r w:rsidR="00180C09" w:rsidRPr="00016069">
              <w:rPr>
                <w:i/>
                <w:sz w:val="14"/>
              </w:rPr>
              <w:t>Accident Compensation Act 2001</w:t>
            </w:r>
          </w:p>
        </w:tc>
        <w:tc>
          <w:tcPr>
            <w:tcW w:w="2279" w:type="dxa"/>
            <w:tcMar>
              <w:top w:w="80" w:type="dxa"/>
              <w:left w:w="80" w:type="dxa"/>
              <w:bottom w:w="80" w:type="dxa"/>
              <w:right w:w="80" w:type="dxa"/>
            </w:tcMar>
          </w:tcPr>
          <w:p w14:paraId="754DEF05" w14:textId="5C5707E4" w:rsidR="00085354" w:rsidRPr="00085354" w:rsidRDefault="00B461BC" w:rsidP="00292A53">
            <w:pPr>
              <w:spacing w:after="60"/>
              <w:rPr>
                <w:rFonts w:cs="Arial"/>
                <w:color w:val="000000"/>
                <w:sz w:val="14"/>
                <w:szCs w:val="16"/>
                <w:lang w:val="en-GB"/>
              </w:rPr>
            </w:pPr>
            <w:r>
              <w:rPr>
                <w:rFonts w:cs="Arial"/>
                <w:color w:val="000000"/>
                <w:sz w:val="14"/>
                <w:szCs w:val="16"/>
                <w:lang w:val="en-GB"/>
              </w:rPr>
              <w:t xml:space="preserve">Yes — </w:t>
            </w:r>
            <w:hyperlink r:id="rId1870" w:history="1">
              <w:r w:rsidR="00180C09" w:rsidRPr="00180C09">
                <w:rPr>
                  <w:rStyle w:val="Hyperlink"/>
                  <w:rFonts w:cs="Arial"/>
                  <w:sz w:val="14"/>
                  <w:szCs w:val="16"/>
                  <w:lang w:val="en-GB"/>
                </w:rPr>
                <w:t>s72</w:t>
              </w:r>
            </w:hyperlink>
          </w:p>
        </w:tc>
        <w:tc>
          <w:tcPr>
            <w:tcW w:w="2279" w:type="dxa"/>
            <w:tcMar>
              <w:top w:w="80" w:type="dxa"/>
              <w:left w:w="80" w:type="dxa"/>
              <w:bottom w:w="80" w:type="dxa"/>
              <w:right w:w="80" w:type="dxa"/>
            </w:tcMar>
          </w:tcPr>
          <w:p w14:paraId="49D7829C" w14:textId="0D3EBD65" w:rsidR="00085354" w:rsidRPr="00085354" w:rsidRDefault="00B461BC" w:rsidP="00292A53">
            <w:pPr>
              <w:spacing w:after="60"/>
              <w:rPr>
                <w:rFonts w:cs="Arial"/>
                <w:color w:val="000000"/>
                <w:sz w:val="14"/>
                <w:szCs w:val="16"/>
                <w:lang w:val="en-GB"/>
              </w:rPr>
            </w:pPr>
            <w:r>
              <w:rPr>
                <w:rFonts w:cs="Arial"/>
                <w:color w:val="000000"/>
                <w:sz w:val="14"/>
                <w:szCs w:val="16"/>
                <w:lang w:val="en-GB"/>
              </w:rPr>
              <w:t xml:space="preserve">Yes — </w:t>
            </w:r>
            <w:hyperlink r:id="rId1871" w:history="1">
              <w:r w:rsidR="00180C09" w:rsidRPr="00180C09">
                <w:rPr>
                  <w:rStyle w:val="Hyperlink"/>
                  <w:rFonts w:cs="Arial"/>
                  <w:sz w:val="14"/>
                  <w:szCs w:val="16"/>
                  <w:lang w:val="en-GB"/>
                </w:rPr>
                <w:t>s72</w:t>
              </w:r>
            </w:hyperlink>
          </w:p>
        </w:tc>
        <w:tc>
          <w:tcPr>
            <w:tcW w:w="2278" w:type="dxa"/>
            <w:tcMar>
              <w:top w:w="80" w:type="dxa"/>
              <w:left w:w="80" w:type="dxa"/>
              <w:bottom w:w="80" w:type="dxa"/>
              <w:right w:w="80" w:type="dxa"/>
            </w:tcMar>
          </w:tcPr>
          <w:p w14:paraId="6BBA74CF" w14:textId="63B4FF98" w:rsidR="00085354" w:rsidRPr="00085354" w:rsidRDefault="00B461BC" w:rsidP="00292A53">
            <w:pPr>
              <w:spacing w:after="60"/>
              <w:rPr>
                <w:rFonts w:cs="Arial"/>
                <w:color w:val="000000"/>
                <w:sz w:val="14"/>
                <w:szCs w:val="16"/>
                <w:lang w:val="en-GB"/>
              </w:rPr>
            </w:pPr>
            <w:r>
              <w:rPr>
                <w:rFonts w:cs="Arial"/>
                <w:color w:val="000000"/>
                <w:sz w:val="14"/>
                <w:szCs w:val="16"/>
                <w:lang w:val="en-GB"/>
              </w:rPr>
              <w:t xml:space="preserve">Yes — </w:t>
            </w:r>
            <w:hyperlink r:id="rId1872" w:history="1">
              <w:r w:rsidR="00180C09" w:rsidRPr="00180C09">
                <w:rPr>
                  <w:rStyle w:val="Hyperlink"/>
                  <w:rFonts w:cs="Arial"/>
                  <w:sz w:val="14"/>
                  <w:szCs w:val="16"/>
                  <w:lang w:val="en-GB"/>
                </w:rPr>
                <w:t>s72</w:t>
              </w:r>
            </w:hyperlink>
          </w:p>
        </w:tc>
        <w:tc>
          <w:tcPr>
            <w:tcW w:w="2279" w:type="dxa"/>
            <w:tcMar>
              <w:top w:w="80" w:type="dxa"/>
              <w:left w:w="80" w:type="dxa"/>
              <w:bottom w:w="80" w:type="dxa"/>
              <w:right w:w="80" w:type="dxa"/>
            </w:tcMar>
          </w:tcPr>
          <w:p w14:paraId="6B2016BE" w14:textId="77777777" w:rsidR="00085354" w:rsidRPr="00085354" w:rsidRDefault="00085354" w:rsidP="00292A53">
            <w:pPr>
              <w:spacing w:after="60"/>
              <w:rPr>
                <w:rFonts w:cs="Arial"/>
                <w:color w:val="000000"/>
                <w:sz w:val="14"/>
                <w:szCs w:val="16"/>
                <w:lang w:val="en-GB"/>
              </w:rPr>
            </w:pPr>
          </w:p>
        </w:tc>
        <w:tc>
          <w:tcPr>
            <w:tcW w:w="2279" w:type="dxa"/>
            <w:tcMar>
              <w:top w:w="80" w:type="dxa"/>
              <w:left w:w="80" w:type="dxa"/>
              <w:bottom w:w="80" w:type="dxa"/>
              <w:right w:w="80" w:type="dxa"/>
            </w:tcMar>
          </w:tcPr>
          <w:p w14:paraId="49156671" w14:textId="451417E0"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A claimant who receives any entitlement must, when reasonably required to do so by the Corporation: authorise the Corporation to obtain medical and other records that are </w:t>
            </w:r>
            <w:r w:rsidR="00B461BC">
              <w:rPr>
                <w:rFonts w:cs="Arial"/>
                <w:color w:val="000000"/>
                <w:sz w:val="14"/>
                <w:szCs w:val="16"/>
                <w:lang w:val="en-GB"/>
              </w:rPr>
              <w:t>or may be relevant to the claim.</w:t>
            </w:r>
          </w:p>
        </w:tc>
      </w:tr>
    </w:tbl>
    <w:p w14:paraId="18A2D89A" w14:textId="14FC561F" w:rsidR="00BF5260" w:rsidRPr="00A80282" w:rsidRDefault="00BF5260" w:rsidP="00A80282">
      <w:pPr>
        <w:pStyle w:val="SWATableheader"/>
      </w:pPr>
      <w:bookmarkStart w:id="169" w:name="_Toc504654693"/>
      <w:bookmarkStart w:id="170" w:name="repsonsibility"/>
      <w:bookmarkEnd w:id="168"/>
      <w:r w:rsidRPr="00A80282">
        <w:lastRenderedPageBreak/>
        <w:t>Table 5.4: Injured worker placement incentives</w:t>
      </w:r>
      <w:bookmarkEnd w:id="169"/>
      <w:r w:rsidRPr="00A80282">
        <w:t xml:space="preserve"> </w:t>
      </w:r>
      <w:r w:rsidR="0025506E" w:rsidRPr="00A80282">
        <w:fldChar w:fldCharType="begin"/>
      </w:r>
      <w:r w:rsidR="0025506E" w:rsidRPr="00A80282">
        <w:instrText xml:space="preserve"> XE "employers:responsibilities in return to work" \r "repsonsibility" </w:instrText>
      </w:r>
      <w:r w:rsidR="0025506E" w:rsidRPr="00A80282">
        <w:fldChar w:fldCharType="end"/>
      </w:r>
      <w:r w:rsidR="005E71F1" w:rsidRPr="00A80282">
        <w:fldChar w:fldCharType="begin"/>
      </w:r>
      <w:r w:rsidR="005E71F1" w:rsidRPr="00A80282">
        <w:instrText xml:space="preserve"> XE "injured workers:placement incentives see also return to work" \r "repsonsibility" </w:instrText>
      </w:r>
      <w:r w:rsidR="005E71F1" w:rsidRPr="00A80282">
        <w:fldChar w:fldCharType="end"/>
      </w:r>
      <w:r w:rsidR="00232E14" w:rsidRPr="00A80282">
        <w:fldChar w:fldCharType="begin"/>
      </w:r>
      <w:r w:rsidR="00232E14" w:rsidRPr="00A80282">
        <w:instrText xml:space="preserve"> XE "return to work programs:injured worker placement incentives" \r "repsonsibility" </w:instrText>
      </w:r>
      <w:r w:rsidR="00232E1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4: Injured worker placement incentives  "/>
        <w:tblDescription w:val="This table outlines injured worker placement incentives under the workers' compensation schemes. "/>
      </w:tblPr>
      <w:tblGrid>
        <w:gridCol w:w="1343"/>
        <w:gridCol w:w="1709"/>
        <w:gridCol w:w="1709"/>
        <w:gridCol w:w="1709"/>
        <w:gridCol w:w="1709"/>
        <w:gridCol w:w="1709"/>
        <w:gridCol w:w="1709"/>
        <w:gridCol w:w="1709"/>
        <w:gridCol w:w="1709"/>
      </w:tblGrid>
      <w:tr w:rsidR="00F73604" w:rsidRPr="00BF5260" w14:paraId="7D6B769C" w14:textId="77777777" w:rsidTr="00B2173F">
        <w:trPr>
          <w:tblHeader/>
        </w:trPr>
        <w:tc>
          <w:tcPr>
            <w:tcW w:w="1343" w:type="dxa"/>
            <w:shd w:val="clear" w:color="auto" w:fill="C00000"/>
            <w:tcMar>
              <w:top w:w="0" w:type="dxa"/>
              <w:left w:w="0" w:type="dxa"/>
              <w:bottom w:w="0" w:type="dxa"/>
              <w:right w:w="0" w:type="dxa"/>
            </w:tcMar>
            <w:vAlign w:val="center"/>
          </w:tcPr>
          <w:p w14:paraId="3A5C3A07" w14:textId="77777777" w:rsidR="00BF5260" w:rsidRPr="00BF5260" w:rsidRDefault="00BF5260" w:rsidP="00292A53">
            <w:pPr>
              <w:pStyle w:val="Tableheaderrow"/>
              <w:spacing w:after="60"/>
            </w:pPr>
          </w:p>
          <w:p w14:paraId="7F2AED37" w14:textId="77777777" w:rsidR="00BF5260" w:rsidRPr="00BF5260" w:rsidRDefault="00BF5260" w:rsidP="00292A53">
            <w:pPr>
              <w:pStyle w:val="Tableheaderrow"/>
              <w:spacing w:after="60"/>
            </w:pPr>
          </w:p>
        </w:tc>
        <w:tc>
          <w:tcPr>
            <w:tcW w:w="1709" w:type="dxa"/>
            <w:shd w:val="clear" w:color="auto" w:fill="C00000"/>
            <w:tcMar>
              <w:top w:w="0" w:type="dxa"/>
              <w:left w:w="0" w:type="dxa"/>
              <w:bottom w:w="0" w:type="dxa"/>
              <w:right w:w="0" w:type="dxa"/>
            </w:tcMar>
            <w:vAlign w:val="center"/>
          </w:tcPr>
          <w:p w14:paraId="2CDB4C8B" w14:textId="77777777" w:rsidR="00BF5260" w:rsidRPr="00BF5260" w:rsidRDefault="00BF5260" w:rsidP="00292A53">
            <w:pPr>
              <w:pStyle w:val="Tableheaderrow"/>
              <w:spacing w:after="60"/>
            </w:pPr>
            <w:r w:rsidRPr="00BF5260">
              <w:t>Name of scheme</w:t>
            </w:r>
          </w:p>
        </w:tc>
        <w:tc>
          <w:tcPr>
            <w:tcW w:w="1709" w:type="dxa"/>
            <w:shd w:val="clear" w:color="auto" w:fill="C00000"/>
            <w:tcMar>
              <w:top w:w="0" w:type="dxa"/>
              <w:left w:w="0" w:type="dxa"/>
              <w:bottom w:w="0" w:type="dxa"/>
              <w:right w:w="0" w:type="dxa"/>
            </w:tcMar>
            <w:vAlign w:val="center"/>
          </w:tcPr>
          <w:p w14:paraId="74144A2F" w14:textId="77777777" w:rsidR="00BF5260" w:rsidRPr="00BF5260" w:rsidRDefault="00BF5260" w:rsidP="00292A53">
            <w:pPr>
              <w:pStyle w:val="Tableheaderrow"/>
              <w:spacing w:after="60"/>
            </w:pPr>
            <w:r w:rsidRPr="00BF5260">
              <w:t>Includes wage/ salary subsidy?</w:t>
            </w:r>
          </w:p>
        </w:tc>
        <w:tc>
          <w:tcPr>
            <w:tcW w:w="1709" w:type="dxa"/>
            <w:shd w:val="clear" w:color="auto" w:fill="C00000"/>
            <w:tcMar>
              <w:top w:w="0" w:type="dxa"/>
              <w:left w:w="0" w:type="dxa"/>
              <w:bottom w:w="0" w:type="dxa"/>
              <w:right w:w="0" w:type="dxa"/>
            </w:tcMar>
            <w:vAlign w:val="center"/>
          </w:tcPr>
          <w:p w14:paraId="496ED72C" w14:textId="77777777" w:rsidR="00BF5260" w:rsidRPr="00BF5260" w:rsidRDefault="00BF5260" w:rsidP="00292A53">
            <w:pPr>
              <w:pStyle w:val="Tableheaderrow"/>
              <w:spacing w:after="60"/>
            </w:pPr>
            <w:r w:rsidRPr="00BF5260">
              <w:t>Premium exemption</w:t>
            </w:r>
          </w:p>
        </w:tc>
        <w:tc>
          <w:tcPr>
            <w:tcW w:w="1709" w:type="dxa"/>
            <w:shd w:val="clear" w:color="auto" w:fill="C00000"/>
            <w:tcMar>
              <w:top w:w="0" w:type="dxa"/>
              <w:left w:w="0" w:type="dxa"/>
              <w:bottom w:w="0" w:type="dxa"/>
              <w:right w:w="0" w:type="dxa"/>
            </w:tcMar>
            <w:vAlign w:val="center"/>
          </w:tcPr>
          <w:p w14:paraId="3C41949E" w14:textId="77777777" w:rsidR="00BF5260" w:rsidRPr="00BF5260" w:rsidRDefault="00BF5260" w:rsidP="00292A53">
            <w:pPr>
              <w:pStyle w:val="Tableheaderrow"/>
              <w:spacing w:after="60"/>
            </w:pPr>
            <w:r w:rsidRPr="00BF5260">
              <w:t>Second injury costs from aggravation or recurrence of existing injury</w:t>
            </w:r>
          </w:p>
        </w:tc>
        <w:tc>
          <w:tcPr>
            <w:tcW w:w="1709" w:type="dxa"/>
            <w:shd w:val="clear" w:color="auto" w:fill="C00000"/>
            <w:tcMar>
              <w:top w:w="0" w:type="dxa"/>
              <w:left w:w="0" w:type="dxa"/>
              <w:bottom w:w="0" w:type="dxa"/>
              <w:right w:w="0" w:type="dxa"/>
            </w:tcMar>
            <w:vAlign w:val="center"/>
          </w:tcPr>
          <w:p w14:paraId="3AEF3EE0" w14:textId="77777777" w:rsidR="00BF5260" w:rsidRPr="00BF5260" w:rsidRDefault="00BF5260" w:rsidP="00292A53">
            <w:pPr>
              <w:pStyle w:val="Tableheaderrow"/>
              <w:spacing w:after="60"/>
            </w:pPr>
            <w:r w:rsidRPr="00BF5260">
              <w:t>Funding for equipment used for workplace modifications</w:t>
            </w:r>
          </w:p>
        </w:tc>
        <w:tc>
          <w:tcPr>
            <w:tcW w:w="1709" w:type="dxa"/>
            <w:shd w:val="clear" w:color="auto" w:fill="C00000"/>
            <w:tcMar>
              <w:top w:w="0" w:type="dxa"/>
              <w:left w:w="0" w:type="dxa"/>
              <w:bottom w:w="0" w:type="dxa"/>
              <w:right w:w="0" w:type="dxa"/>
            </w:tcMar>
            <w:vAlign w:val="center"/>
          </w:tcPr>
          <w:p w14:paraId="074BEA2D" w14:textId="77777777" w:rsidR="00BF5260" w:rsidRPr="00BF5260" w:rsidRDefault="00BF5260" w:rsidP="00292A53">
            <w:pPr>
              <w:pStyle w:val="Tableheaderrow"/>
              <w:spacing w:after="60"/>
            </w:pPr>
            <w:r w:rsidRPr="00BF5260">
              <w:t>Training costs</w:t>
            </w:r>
          </w:p>
        </w:tc>
        <w:tc>
          <w:tcPr>
            <w:tcW w:w="1709" w:type="dxa"/>
            <w:shd w:val="clear" w:color="auto" w:fill="C00000"/>
            <w:tcMar>
              <w:top w:w="0" w:type="dxa"/>
              <w:left w:w="0" w:type="dxa"/>
              <w:bottom w:w="0" w:type="dxa"/>
              <w:right w:w="0" w:type="dxa"/>
            </w:tcMar>
            <w:vAlign w:val="center"/>
          </w:tcPr>
          <w:p w14:paraId="066368D0" w14:textId="159897E3" w:rsidR="00BF5260" w:rsidRPr="00BF5260" w:rsidRDefault="00DD0D68" w:rsidP="00292A53">
            <w:pPr>
              <w:pStyle w:val="Tableheaderrow"/>
              <w:spacing w:after="60"/>
            </w:pPr>
            <w:r>
              <w:t xml:space="preserve"> </w:t>
            </w:r>
            <w:r w:rsidR="00BF5260" w:rsidRPr="00BF5260">
              <w:t>Work trials</w:t>
            </w:r>
          </w:p>
        </w:tc>
        <w:tc>
          <w:tcPr>
            <w:tcW w:w="1709" w:type="dxa"/>
            <w:shd w:val="clear" w:color="auto" w:fill="C00000"/>
            <w:tcMar>
              <w:top w:w="0" w:type="dxa"/>
              <w:left w:w="0" w:type="dxa"/>
              <w:bottom w:w="0" w:type="dxa"/>
              <w:right w:w="0" w:type="dxa"/>
            </w:tcMar>
            <w:vAlign w:val="center"/>
          </w:tcPr>
          <w:p w14:paraId="2EB8AA56" w14:textId="77777777" w:rsidR="00BF5260" w:rsidRPr="00BF5260" w:rsidRDefault="00BF5260" w:rsidP="00292A53">
            <w:pPr>
              <w:pStyle w:val="Tableheaderrow"/>
              <w:spacing w:after="60"/>
            </w:pPr>
            <w:r w:rsidRPr="00BF5260">
              <w:t>Further information</w:t>
            </w:r>
          </w:p>
        </w:tc>
      </w:tr>
      <w:tr w:rsidR="00B13FAB" w:rsidRPr="00BF5260" w14:paraId="7764F944" w14:textId="77777777" w:rsidTr="00B2173F">
        <w:tc>
          <w:tcPr>
            <w:tcW w:w="1343" w:type="dxa"/>
            <w:vMerge w:val="restart"/>
            <w:shd w:val="clear" w:color="auto" w:fill="FFC9C9"/>
            <w:tcMar>
              <w:top w:w="80" w:type="dxa"/>
              <w:left w:w="80" w:type="dxa"/>
              <w:bottom w:w="80" w:type="dxa"/>
              <w:right w:w="80" w:type="dxa"/>
            </w:tcMar>
          </w:tcPr>
          <w:p w14:paraId="1EB248EB" w14:textId="77777777" w:rsidR="00B13FAB" w:rsidRPr="00BF5260" w:rsidRDefault="00B13FAB" w:rsidP="00292A53">
            <w:pPr>
              <w:spacing w:after="60"/>
              <w:rPr>
                <w:rFonts w:eastAsia="Calibri" w:cs="Arial"/>
                <w:b/>
                <w:sz w:val="16"/>
                <w:szCs w:val="16"/>
                <w:lang w:eastAsia="en-US"/>
              </w:rPr>
            </w:pPr>
            <w:r w:rsidRPr="00BF5260">
              <w:rPr>
                <w:rFonts w:eastAsia="Calibri" w:cs="Arial"/>
                <w:b/>
                <w:sz w:val="16"/>
                <w:szCs w:val="16"/>
                <w:lang w:eastAsia="en-US"/>
              </w:rPr>
              <w:t>New South Wales</w:t>
            </w:r>
          </w:p>
        </w:tc>
        <w:tc>
          <w:tcPr>
            <w:tcW w:w="1709" w:type="dxa"/>
            <w:shd w:val="clear" w:color="auto" w:fill="FFC9C9"/>
            <w:tcMar>
              <w:top w:w="80" w:type="dxa"/>
              <w:left w:w="80" w:type="dxa"/>
              <w:bottom w:w="80" w:type="dxa"/>
              <w:right w:w="80" w:type="dxa"/>
            </w:tcMar>
          </w:tcPr>
          <w:p w14:paraId="38A417CB" w14:textId="56B0D619" w:rsidR="00B13FAB" w:rsidRPr="00BF5260" w:rsidRDefault="00B13FAB" w:rsidP="00292A53">
            <w:pPr>
              <w:spacing w:after="60"/>
              <w:rPr>
                <w:rFonts w:cs="Arial"/>
                <w:color w:val="000000"/>
                <w:sz w:val="14"/>
                <w:szCs w:val="16"/>
                <w:lang w:val="en-GB"/>
              </w:rPr>
            </w:pPr>
            <w:r>
              <w:rPr>
                <w:rFonts w:cs="Arial"/>
                <w:color w:val="000000"/>
                <w:sz w:val="14"/>
                <w:szCs w:val="16"/>
                <w:lang w:val="en-GB"/>
              </w:rPr>
              <w:t>JobCover Placement Program</w:t>
            </w:r>
          </w:p>
        </w:tc>
        <w:tc>
          <w:tcPr>
            <w:tcW w:w="1709" w:type="dxa"/>
            <w:shd w:val="clear" w:color="auto" w:fill="FFC9C9"/>
            <w:tcMar>
              <w:top w:w="80" w:type="dxa"/>
              <w:left w:w="80" w:type="dxa"/>
              <w:bottom w:w="80" w:type="dxa"/>
              <w:right w:w="80" w:type="dxa"/>
            </w:tcMar>
          </w:tcPr>
          <w:p w14:paraId="0A3197F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2B9FDB0A" w14:textId="5C52F563"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U</w:t>
            </w:r>
            <w:r>
              <w:rPr>
                <w:rFonts w:cs="Arial"/>
                <w:color w:val="000000"/>
                <w:sz w:val="14"/>
                <w:szCs w:val="16"/>
                <w:lang w:val="en-GB"/>
              </w:rPr>
              <w:t>p to $27,</w:t>
            </w:r>
            <w:r w:rsidRPr="00BF5260">
              <w:rPr>
                <w:rFonts w:cs="Arial"/>
                <w:color w:val="000000"/>
                <w:sz w:val="14"/>
                <w:szCs w:val="16"/>
                <w:lang w:val="en-GB"/>
              </w:rPr>
              <w:t>400 over a 52 week period can be paid as an incentive payment to the employer.</w:t>
            </w:r>
          </w:p>
        </w:tc>
        <w:tc>
          <w:tcPr>
            <w:tcW w:w="1709" w:type="dxa"/>
            <w:shd w:val="clear" w:color="auto" w:fill="FFC9C9"/>
            <w:tcMar>
              <w:top w:w="80" w:type="dxa"/>
              <w:left w:w="80" w:type="dxa"/>
              <w:bottom w:w="80" w:type="dxa"/>
              <w:right w:w="80" w:type="dxa"/>
            </w:tcMar>
          </w:tcPr>
          <w:p w14:paraId="2EA2CF3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36F48736"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Injured workers wages not included in wages for premium calculation purposes for two years.</w:t>
            </w:r>
          </w:p>
        </w:tc>
        <w:tc>
          <w:tcPr>
            <w:tcW w:w="1709" w:type="dxa"/>
            <w:shd w:val="clear" w:color="auto" w:fill="FFC9C9"/>
            <w:tcMar>
              <w:top w:w="80" w:type="dxa"/>
              <w:left w:w="80" w:type="dxa"/>
              <w:bottom w:w="80" w:type="dxa"/>
              <w:right w:w="80" w:type="dxa"/>
            </w:tcMar>
          </w:tcPr>
          <w:p w14:paraId="5DF403B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753FB9A1"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Changes to the existing injury are managed against the original claim for a period of two years.</w:t>
            </w:r>
          </w:p>
        </w:tc>
        <w:tc>
          <w:tcPr>
            <w:tcW w:w="1709" w:type="dxa"/>
            <w:shd w:val="clear" w:color="auto" w:fill="FFC9C9"/>
            <w:tcMar>
              <w:top w:w="80" w:type="dxa"/>
              <w:left w:w="80" w:type="dxa"/>
              <w:bottom w:w="80" w:type="dxa"/>
              <w:right w:w="80" w:type="dxa"/>
            </w:tcMar>
          </w:tcPr>
          <w:p w14:paraId="28C14522"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1985F5B5"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 limit to amount — justify against the principles for funding of equipment and workplace modification.</w:t>
            </w:r>
          </w:p>
        </w:tc>
        <w:tc>
          <w:tcPr>
            <w:tcW w:w="1709" w:type="dxa"/>
            <w:shd w:val="clear" w:color="auto" w:fill="FFC9C9"/>
            <w:tcMar>
              <w:top w:w="80" w:type="dxa"/>
              <w:left w:w="80" w:type="dxa"/>
              <w:bottom w:w="80" w:type="dxa"/>
              <w:right w:w="80" w:type="dxa"/>
            </w:tcMar>
          </w:tcPr>
          <w:p w14:paraId="432FD7C0"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1D74C708"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 limit to amount — justify against the principles of retraining.</w:t>
            </w:r>
          </w:p>
        </w:tc>
        <w:tc>
          <w:tcPr>
            <w:tcW w:w="1709" w:type="dxa"/>
            <w:shd w:val="clear" w:color="auto" w:fill="FFC9C9"/>
            <w:tcMar>
              <w:top w:w="80" w:type="dxa"/>
              <w:left w:w="80" w:type="dxa"/>
              <w:bottom w:w="80" w:type="dxa"/>
              <w:right w:w="80" w:type="dxa"/>
            </w:tcMar>
          </w:tcPr>
          <w:p w14:paraId="24042F10"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4F8E3248"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Work experience with a host employer for up to 12 weeks.</w:t>
            </w:r>
          </w:p>
        </w:tc>
        <w:tc>
          <w:tcPr>
            <w:tcW w:w="1709" w:type="dxa"/>
            <w:shd w:val="clear" w:color="auto" w:fill="FFC9C9"/>
            <w:tcMar>
              <w:top w:w="80" w:type="dxa"/>
              <w:left w:w="80" w:type="dxa"/>
              <w:bottom w:w="80" w:type="dxa"/>
              <w:right w:w="80" w:type="dxa"/>
            </w:tcMar>
          </w:tcPr>
          <w:p w14:paraId="1D2BDA36" w14:textId="77777777" w:rsidR="00B13FAB" w:rsidRPr="00BF5260" w:rsidRDefault="00A7538C" w:rsidP="00292A53">
            <w:pPr>
              <w:spacing w:after="60"/>
              <w:rPr>
                <w:rFonts w:cs="Arial"/>
                <w:color w:val="000000"/>
                <w:sz w:val="14"/>
                <w:szCs w:val="16"/>
                <w:lang w:val="en-GB"/>
              </w:rPr>
            </w:pPr>
            <w:hyperlink r:id="rId1873" w:history="1">
              <w:r w:rsidR="00B13FAB" w:rsidRPr="00BF5260">
                <w:rPr>
                  <w:rFonts w:cs="Arial"/>
                  <w:color w:val="0000FF"/>
                  <w:sz w:val="14"/>
                  <w:szCs w:val="16"/>
                  <w:u w:val="single"/>
                  <w:lang w:val="en-GB"/>
                </w:rPr>
                <w:t>JobCover placement program</w:t>
              </w:r>
            </w:hyperlink>
          </w:p>
          <w:p w14:paraId="365F0C3B" w14:textId="67FAD744" w:rsidR="00B13FAB" w:rsidRPr="00BF5260" w:rsidRDefault="00A7538C" w:rsidP="00292A53">
            <w:pPr>
              <w:spacing w:after="60"/>
              <w:rPr>
                <w:rFonts w:cs="Arial"/>
                <w:color w:val="000000"/>
                <w:sz w:val="14"/>
                <w:szCs w:val="16"/>
                <w:lang w:val="en-GB"/>
              </w:rPr>
            </w:pPr>
            <w:hyperlink r:id="rId1874" w:history="1">
              <w:r w:rsidR="00B13FAB" w:rsidRPr="00BF5260">
                <w:rPr>
                  <w:rFonts w:cs="Arial"/>
                  <w:color w:val="0000FF"/>
                  <w:sz w:val="14"/>
                  <w:szCs w:val="16"/>
                  <w:u w:val="single"/>
                </w:rPr>
                <w:t>Equipment and workplace modification</w:t>
              </w:r>
            </w:hyperlink>
            <w:hyperlink r:id="rId1875" w:history="1">
              <w:r w:rsidR="00B13FAB" w:rsidRPr="00BF5260">
                <w:rPr>
                  <w:rFonts w:cs="Arial"/>
                  <w:color w:val="0000FF"/>
                  <w:sz w:val="14"/>
                  <w:szCs w:val="16"/>
                  <w:u w:val="single"/>
                </w:rPr>
                <w:t>Training</w:t>
              </w:r>
            </w:hyperlink>
          </w:p>
        </w:tc>
      </w:tr>
      <w:tr w:rsidR="00B13FAB" w:rsidRPr="00BF5260" w14:paraId="3B1B5FF4" w14:textId="77777777" w:rsidTr="00B2173F">
        <w:tc>
          <w:tcPr>
            <w:tcW w:w="1343" w:type="dxa"/>
            <w:vMerge/>
            <w:shd w:val="clear" w:color="auto" w:fill="FFC9C9"/>
            <w:tcMar>
              <w:top w:w="80" w:type="dxa"/>
              <w:left w:w="80" w:type="dxa"/>
              <w:bottom w:w="80" w:type="dxa"/>
              <w:right w:w="80" w:type="dxa"/>
            </w:tcMar>
          </w:tcPr>
          <w:p w14:paraId="77BB8AA1" w14:textId="77777777" w:rsidR="00B13FAB" w:rsidRPr="00BF5260" w:rsidRDefault="00B13FAB" w:rsidP="00292A53">
            <w:pPr>
              <w:spacing w:after="60"/>
              <w:rPr>
                <w:rFonts w:eastAsia="Calibri" w:cs="Arial"/>
                <w:b/>
                <w:sz w:val="16"/>
                <w:szCs w:val="16"/>
                <w:lang w:eastAsia="en-US"/>
              </w:rPr>
            </w:pPr>
          </w:p>
        </w:tc>
        <w:tc>
          <w:tcPr>
            <w:tcW w:w="1709" w:type="dxa"/>
            <w:shd w:val="clear" w:color="auto" w:fill="FFC9C9"/>
            <w:tcMar>
              <w:top w:w="80" w:type="dxa"/>
              <w:left w:w="80" w:type="dxa"/>
              <w:bottom w:w="80" w:type="dxa"/>
              <w:right w:w="80" w:type="dxa"/>
            </w:tcMar>
          </w:tcPr>
          <w:p w14:paraId="70C2361A" w14:textId="55F630AF"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Return to Work Ass</w:t>
            </w:r>
            <w:r>
              <w:rPr>
                <w:rFonts w:cs="Arial"/>
                <w:color w:val="000000"/>
                <w:sz w:val="14"/>
                <w:szCs w:val="16"/>
                <w:lang w:val="en-GB"/>
              </w:rPr>
              <w:t>ist Program for Micro Employers</w:t>
            </w:r>
            <w:r>
              <w:rPr>
                <w:rFonts w:cs="Arial"/>
                <w:color w:val="000000"/>
                <w:sz w:val="14"/>
                <w:szCs w:val="16"/>
                <w:lang w:val="en-GB"/>
              </w:rPr>
              <w:fldChar w:fldCharType="begin"/>
            </w:r>
            <w:r>
              <w:instrText xml:space="preserve"> XE "</w:instrText>
            </w:r>
            <w:r w:rsidRPr="001854C8">
              <w:instrText>micro employers (NSW)</w:instrText>
            </w:r>
            <w:r>
              <w:instrText xml:space="preserve">" </w:instrText>
            </w:r>
            <w:r>
              <w:rPr>
                <w:rFonts w:cs="Arial"/>
                <w:color w:val="000000"/>
                <w:sz w:val="14"/>
                <w:szCs w:val="16"/>
                <w:lang w:val="en-GB"/>
              </w:rPr>
              <w:fldChar w:fldCharType="end"/>
            </w:r>
          </w:p>
        </w:tc>
        <w:tc>
          <w:tcPr>
            <w:tcW w:w="1709" w:type="dxa"/>
            <w:shd w:val="clear" w:color="auto" w:fill="FFC9C9"/>
            <w:tcMar>
              <w:top w:w="80" w:type="dxa"/>
              <w:left w:w="80" w:type="dxa"/>
              <w:bottom w:w="80" w:type="dxa"/>
              <w:right w:w="80" w:type="dxa"/>
            </w:tcMar>
          </w:tcPr>
          <w:p w14:paraId="65A267C6" w14:textId="1ABE37E7" w:rsidR="00B13FAB" w:rsidRPr="00BF5260" w:rsidRDefault="00B13FAB" w:rsidP="00BE3CC9">
            <w:pPr>
              <w:spacing w:after="60"/>
              <w:rPr>
                <w:rFonts w:cs="Arial"/>
                <w:color w:val="000000"/>
                <w:sz w:val="14"/>
                <w:szCs w:val="16"/>
                <w:lang w:val="en-GB"/>
              </w:rPr>
            </w:pPr>
            <w:r w:rsidRPr="00BF5260">
              <w:rPr>
                <w:rFonts w:cs="Arial"/>
                <w:color w:val="000000"/>
                <w:sz w:val="14"/>
                <w:szCs w:val="16"/>
                <w:lang w:val="en-GB"/>
              </w:rPr>
              <w:t>Worker continues to receive weekly payments from insurer to enable employer to pay a casual for a maximum of six weeks in the first three weeks after date of injury. UIt is for very small employers</w:t>
            </w:r>
            <w:r>
              <w:rPr>
                <w:rFonts w:cs="Arial"/>
                <w:color w:val="000000"/>
                <w:sz w:val="14"/>
                <w:szCs w:val="16"/>
                <w:lang w:val="en-GB"/>
              </w:rPr>
              <w:fldChar w:fldCharType="begin"/>
            </w:r>
            <w:r>
              <w:instrText xml:space="preserve"> XE "</w:instrText>
            </w:r>
            <w:r w:rsidRPr="001854C8">
              <w:instrText>small employers (NSW)</w:instrText>
            </w:r>
            <w:r>
              <w:instrText xml:space="preserve">" </w:instrText>
            </w:r>
            <w:r>
              <w:rPr>
                <w:rFonts w:cs="Arial"/>
                <w:color w:val="000000"/>
                <w:sz w:val="14"/>
                <w:szCs w:val="16"/>
                <w:lang w:val="en-GB"/>
              </w:rPr>
              <w:fldChar w:fldCharType="end"/>
            </w:r>
            <w:r w:rsidRPr="00BF5260">
              <w:rPr>
                <w:rFonts w:cs="Arial"/>
                <w:color w:val="000000"/>
                <w:sz w:val="14"/>
                <w:szCs w:val="16"/>
                <w:lang w:val="en-GB"/>
              </w:rPr>
              <w:t xml:space="preserve"> </w:t>
            </w:r>
            <w:r>
              <w:rPr>
                <w:rFonts w:cs="Arial"/>
                <w:color w:val="000000"/>
                <w:sz w:val="14"/>
                <w:szCs w:val="16"/>
                <w:lang w:val="en-GB"/>
              </w:rPr>
              <w:t>—</w:t>
            </w:r>
            <w:r w:rsidRPr="00BF5260">
              <w:rPr>
                <w:rFonts w:cs="Arial"/>
                <w:color w:val="000000"/>
                <w:sz w:val="14"/>
                <w:szCs w:val="16"/>
                <w:lang w:val="en-GB"/>
              </w:rPr>
              <w:t xml:space="preserve"> only 5 FTE or less and basic tariff premium of </w:t>
            </w:r>
            <w:r>
              <w:rPr>
                <w:rFonts w:cs="Arial"/>
                <w:color w:val="000000"/>
                <w:sz w:val="14"/>
                <w:szCs w:val="16"/>
                <w:lang w:val="en-GB"/>
              </w:rPr>
              <w:br/>
            </w:r>
            <w:r w:rsidRPr="00BF5260">
              <w:rPr>
                <w:rFonts w:cs="Arial"/>
                <w:color w:val="000000"/>
                <w:sz w:val="14"/>
                <w:szCs w:val="16"/>
                <w:lang w:val="en-GB"/>
              </w:rPr>
              <w:t>$30</w:t>
            </w:r>
            <w:r>
              <w:rPr>
                <w:rFonts w:cs="Arial"/>
                <w:color w:val="000000"/>
                <w:sz w:val="14"/>
                <w:szCs w:val="16"/>
                <w:lang w:val="en-GB"/>
              </w:rPr>
              <w:t>,</w:t>
            </w:r>
            <w:r w:rsidRPr="00BF5260">
              <w:rPr>
                <w:rFonts w:cs="Arial"/>
                <w:color w:val="000000"/>
                <w:sz w:val="14"/>
                <w:szCs w:val="16"/>
                <w:lang w:val="en-GB"/>
              </w:rPr>
              <w:t>000 or less.</w:t>
            </w:r>
          </w:p>
        </w:tc>
        <w:tc>
          <w:tcPr>
            <w:tcW w:w="1709" w:type="dxa"/>
            <w:shd w:val="clear" w:color="auto" w:fill="FFC9C9"/>
            <w:tcMar>
              <w:top w:w="80" w:type="dxa"/>
              <w:left w:w="80" w:type="dxa"/>
              <w:bottom w:w="80" w:type="dxa"/>
              <w:right w:w="80" w:type="dxa"/>
            </w:tcMar>
          </w:tcPr>
          <w:p w14:paraId="2273F92A" w14:textId="2EE4C8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562A78C1" w14:textId="19EB50C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36675C4E"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364CEE2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 limit to amount — justify against the principles for funding of equipment and workplace modification.</w:t>
            </w:r>
          </w:p>
        </w:tc>
        <w:tc>
          <w:tcPr>
            <w:tcW w:w="1709" w:type="dxa"/>
            <w:shd w:val="clear" w:color="auto" w:fill="FFC9C9"/>
            <w:tcMar>
              <w:top w:w="80" w:type="dxa"/>
              <w:left w:w="80" w:type="dxa"/>
              <w:bottom w:w="80" w:type="dxa"/>
              <w:right w:w="80" w:type="dxa"/>
            </w:tcMar>
          </w:tcPr>
          <w:p w14:paraId="40595BDC" w14:textId="7386AA12"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3F25CCE8" w14:textId="10377532"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2832ACC9" w14:textId="3A97ADFF" w:rsidR="00B13FAB" w:rsidRPr="00BF5260" w:rsidRDefault="00A7538C" w:rsidP="00292A53">
            <w:pPr>
              <w:spacing w:after="60"/>
              <w:rPr>
                <w:rFonts w:cs="Arial"/>
                <w:color w:val="000000"/>
                <w:sz w:val="14"/>
                <w:szCs w:val="16"/>
                <w:lang w:val="en-GB"/>
              </w:rPr>
            </w:pPr>
            <w:hyperlink r:id="rId1876" w:history="1">
              <w:r w:rsidR="00B13FAB" w:rsidRPr="00BF5260">
                <w:rPr>
                  <w:rFonts w:cs="Arial"/>
                  <w:color w:val="0000FF"/>
                  <w:sz w:val="14"/>
                  <w:szCs w:val="16"/>
                  <w:u w:val="single"/>
                </w:rPr>
                <w:t>Assistance for micro employers - SIRA</w:t>
              </w:r>
            </w:hyperlink>
          </w:p>
        </w:tc>
      </w:tr>
      <w:tr w:rsidR="00B13FAB" w:rsidRPr="00BF5260" w14:paraId="5355CAC9" w14:textId="77777777" w:rsidTr="00B2173F">
        <w:tc>
          <w:tcPr>
            <w:tcW w:w="1343" w:type="dxa"/>
            <w:vMerge/>
            <w:shd w:val="clear" w:color="auto" w:fill="FFC9C9"/>
            <w:tcMar>
              <w:top w:w="80" w:type="dxa"/>
              <w:left w:w="80" w:type="dxa"/>
              <w:bottom w:w="80" w:type="dxa"/>
              <w:right w:w="80" w:type="dxa"/>
            </w:tcMar>
          </w:tcPr>
          <w:p w14:paraId="243CF1AD" w14:textId="77777777" w:rsidR="00B13FAB" w:rsidRPr="00BF5260" w:rsidRDefault="00B13FAB" w:rsidP="00292A53">
            <w:pPr>
              <w:spacing w:after="60"/>
              <w:rPr>
                <w:rFonts w:eastAsia="Calibri" w:cs="Arial"/>
                <w:b/>
                <w:sz w:val="16"/>
                <w:szCs w:val="16"/>
                <w:lang w:eastAsia="en-US"/>
              </w:rPr>
            </w:pPr>
          </w:p>
        </w:tc>
        <w:tc>
          <w:tcPr>
            <w:tcW w:w="1709" w:type="dxa"/>
            <w:shd w:val="clear" w:color="auto" w:fill="FFC9C9"/>
            <w:tcMar>
              <w:top w:w="80" w:type="dxa"/>
              <w:left w:w="80" w:type="dxa"/>
              <w:bottom w:w="80" w:type="dxa"/>
              <w:right w:w="80" w:type="dxa"/>
            </w:tcMar>
          </w:tcPr>
          <w:p w14:paraId="5110521D" w14:textId="6A98F9B5" w:rsidR="00B13FAB" w:rsidRPr="00BF5260" w:rsidRDefault="00B13FAB" w:rsidP="00292A53">
            <w:pPr>
              <w:spacing w:after="60"/>
              <w:rPr>
                <w:rFonts w:cs="Arial"/>
                <w:color w:val="000000"/>
                <w:sz w:val="14"/>
                <w:szCs w:val="16"/>
                <w:lang w:val="en-GB"/>
              </w:rPr>
            </w:pPr>
            <w:r>
              <w:rPr>
                <w:rFonts w:cs="Arial"/>
                <w:color w:val="000000"/>
                <w:sz w:val="14"/>
                <w:szCs w:val="16"/>
                <w:lang w:val="en-GB"/>
              </w:rPr>
              <w:t>Workplace modifications</w:t>
            </w:r>
          </w:p>
        </w:tc>
        <w:tc>
          <w:tcPr>
            <w:tcW w:w="1709" w:type="dxa"/>
            <w:shd w:val="clear" w:color="auto" w:fill="FFC9C9"/>
            <w:tcMar>
              <w:top w:w="80" w:type="dxa"/>
              <w:left w:w="80" w:type="dxa"/>
              <w:bottom w:w="80" w:type="dxa"/>
              <w:right w:w="80" w:type="dxa"/>
            </w:tcMar>
          </w:tcPr>
          <w:p w14:paraId="7A2AFB52" w14:textId="1D213E6C"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5DF8825B" w14:textId="5912694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21ADC9C8" w14:textId="325DADB9"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2322C6A3"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082B31E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 limits to amount justify against the principles for funding or equipment and workplace modification.</w:t>
            </w:r>
          </w:p>
        </w:tc>
        <w:tc>
          <w:tcPr>
            <w:tcW w:w="1709" w:type="dxa"/>
            <w:shd w:val="clear" w:color="auto" w:fill="FFC9C9"/>
            <w:tcMar>
              <w:top w:w="80" w:type="dxa"/>
              <w:left w:w="80" w:type="dxa"/>
              <w:bottom w:w="80" w:type="dxa"/>
              <w:right w:w="80" w:type="dxa"/>
            </w:tcMar>
          </w:tcPr>
          <w:p w14:paraId="7C267130" w14:textId="4EDE5F62"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69D12B75" w14:textId="04B456C7" w:rsidR="00B13FAB" w:rsidRPr="00BF5260" w:rsidRDefault="00B13FAB" w:rsidP="00292A53">
            <w:pPr>
              <w:spacing w:after="60"/>
              <w:rPr>
                <w:rFonts w:cs="Arial"/>
                <w:color w:val="000000"/>
                <w:sz w:val="14"/>
                <w:szCs w:val="16"/>
                <w:lang w:val="en-GB"/>
              </w:rPr>
            </w:pPr>
            <w:r>
              <w:rPr>
                <w:rFonts w:cs="Arial"/>
                <w:color w:val="000000"/>
                <w:sz w:val="14"/>
                <w:szCs w:val="16"/>
                <w:lang w:val="en-GB"/>
              </w:rPr>
              <w:t>Can be linked to a work trial</w:t>
            </w:r>
          </w:p>
        </w:tc>
        <w:tc>
          <w:tcPr>
            <w:tcW w:w="1709" w:type="dxa"/>
            <w:shd w:val="clear" w:color="auto" w:fill="FFC9C9"/>
            <w:tcMar>
              <w:top w:w="80" w:type="dxa"/>
              <w:left w:w="80" w:type="dxa"/>
              <w:bottom w:w="80" w:type="dxa"/>
              <w:right w:w="80" w:type="dxa"/>
            </w:tcMar>
          </w:tcPr>
          <w:p w14:paraId="187D0C6F" w14:textId="1D48C65E" w:rsidR="00B13FAB" w:rsidRDefault="00A7538C" w:rsidP="00292A53">
            <w:pPr>
              <w:spacing w:after="60"/>
              <w:rPr>
                <w:rFonts w:cs="Arial"/>
                <w:color w:val="0000FF"/>
                <w:sz w:val="14"/>
                <w:szCs w:val="16"/>
                <w:u w:val="single"/>
                <w:lang w:val="en-GB"/>
              </w:rPr>
            </w:pPr>
            <w:hyperlink r:id="rId1877" w:history="1">
              <w:r w:rsidR="00B13FAB" w:rsidRPr="00BF5260">
                <w:rPr>
                  <w:rFonts w:cs="Arial"/>
                  <w:color w:val="0000FF"/>
                  <w:sz w:val="14"/>
                  <w:szCs w:val="16"/>
                  <w:u w:val="single"/>
                  <w:lang w:val="en-GB"/>
                </w:rPr>
                <w:t>Equipment and workplace modification</w:t>
              </w:r>
            </w:hyperlink>
          </w:p>
          <w:p w14:paraId="482C2A66" w14:textId="77777777" w:rsidR="00B13FAB" w:rsidRPr="00BF5260" w:rsidRDefault="00B13FAB" w:rsidP="00292A53">
            <w:pPr>
              <w:spacing w:after="60"/>
              <w:rPr>
                <w:rFonts w:cs="Arial"/>
                <w:color w:val="000000"/>
                <w:sz w:val="14"/>
                <w:szCs w:val="16"/>
                <w:lang w:val="en-GB"/>
              </w:rPr>
            </w:pPr>
          </w:p>
          <w:p w14:paraId="1052CB81" w14:textId="77777777" w:rsidR="00B13FAB" w:rsidRPr="00BF5260" w:rsidRDefault="00B13FAB" w:rsidP="00292A53">
            <w:pPr>
              <w:spacing w:after="60"/>
              <w:rPr>
                <w:rFonts w:cs="Arial"/>
                <w:color w:val="000000"/>
                <w:sz w:val="14"/>
                <w:szCs w:val="16"/>
                <w:lang w:val="en-GB"/>
              </w:rPr>
            </w:pPr>
          </w:p>
        </w:tc>
      </w:tr>
      <w:tr w:rsidR="00B13FAB" w:rsidRPr="00BF5260" w14:paraId="6D9DC596" w14:textId="77777777" w:rsidTr="00B13FAB">
        <w:tc>
          <w:tcPr>
            <w:tcW w:w="1343" w:type="dxa"/>
            <w:vMerge/>
            <w:tcMar>
              <w:top w:w="80" w:type="dxa"/>
              <w:left w:w="80" w:type="dxa"/>
              <w:bottom w:w="80" w:type="dxa"/>
              <w:right w:w="80" w:type="dxa"/>
            </w:tcMar>
          </w:tcPr>
          <w:p w14:paraId="1C06657F" w14:textId="77777777" w:rsidR="00B13FAB" w:rsidRPr="00BF5260" w:rsidRDefault="00B13FAB" w:rsidP="00292A53">
            <w:pPr>
              <w:spacing w:after="60"/>
              <w:rPr>
                <w:rFonts w:eastAsia="Calibri" w:cs="Arial"/>
                <w:b/>
                <w:sz w:val="16"/>
                <w:szCs w:val="16"/>
                <w:lang w:eastAsia="en-US"/>
              </w:rPr>
            </w:pPr>
          </w:p>
        </w:tc>
        <w:tc>
          <w:tcPr>
            <w:tcW w:w="1709" w:type="dxa"/>
            <w:shd w:val="clear" w:color="auto" w:fill="FFC9C9"/>
            <w:tcMar>
              <w:top w:w="80" w:type="dxa"/>
              <w:left w:w="80" w:type="dxa"/>
              <w:bottom w:w="80" w:type="dxa"/>
              <w:right w:w="80" w:type="dxa"/>
            </w:tcMar>
          </w:tcPr>
          <w:p w14:paraId="3C706BB7" w14:textId="2B2671FF" w:rsidR="00B13FAB" w:rsidRPr="00BF5260" w:rsidRDefault="00B13FAB" w:rsidP="00292A53">
            <w:pPr>
              <w:spacing w:after="60"/>
              <w:rPr>
                <w:rFonts w:cs="Arial"/>
                <w:color w:val="000000"/>
                <w:sz w:val="14"/>
                <w:szCs w:val="16"/>
                <w:lang w:val="en-GB"/>
              </w:rPr>
            </w:pPr>
            <w:r>
              <w:rPr>
                <w:rFonts w:cs="Arial"/>
                <w:color w:val="000000"/>
                <w:sz w:val="14"/>
                <w:szCs w:val="16"/>
                <w:lang w:val="en-GB"/>
              </w:rPr>
              <w:t>New employment assistance benefit</w:t>
            </w:r>
          </w:p>
        </w:tc>
        <w:tc>
          <w:tcPr>
            <w:tcW w:w="1709" w:type="dxa"/>
            <w:shd w:val="clear" w:color="auto" w:fill="FFC9C9"/>
            <w:tcMar>
              <w:top w:w="80" w:type="dxa"/>
              <w:left w:w="80" w:type="dxa"/>
              <w:bottom w:w="80" w:type="dxa"/>
              <w:right w:w="80" w:type="dxa"/>
            </w:tcMar>
          </w:tcPr>
          <w:p w14:paraId="3FE11642" w14:textId="7CF00845" w:rsidR="00B13FAB" w:rsidRPr="00BF5260" w:rsidRDefault="00B13FAB" w:rsidP="00292A53">
            <w:pPr>
              <w:spacing w:after="60"/>
              <w:rPr>
                <w:rFonts w:cs="Arial"/>
                <w:color w:val="000000"/>
                <w:sz w:val="14"/>
                <w:szCs w:val="16"/>
                <w:lang w:val="en-GB"/>
              </w:rPr>
            </w:pPr>
            <w:r>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391FC675" w14:textId="1F7A2798" w:rsidR="00B13FAB" w:rsidRPr="00B13FAB" w:rsidRDefault="00B13FAB" w:rsidP="00B13FAB">
            <w:pPr>
              <w:spacing w:after="60"/>
              <w:contextualSpacing/>
              <w:rPr>
                <w:rFonts w:eastAsia="Calibri" w:cs="Arial"/>
                <w:sz w:val="14"/>
                <w:szCs w:val="14"/>
                <w:lang w:eastAsia="en-US"/>
              </w:rPr>
            </w:pPr>
            <w:r>
              <w:rPr>
                <w:rFonts w:eastAsia="Calibri" w:cs="Arial"/>
                <w:sz w:val="14"/>
                <w:szCs w:val="14"/>
                <w:lang w:eastAsia="en-US"/>
              </w:rPr>
              <w:t>No</w:t>
            </w:r>
          </w:p>
        </w:tc>
        <w:tc>
          <w:tcPr>
            <w:tcW w:w="1709" w:type="dxa"/>
            <w:shd w:val="clear" w:color="auto" w:fill="FFC9C9"/>
            <w:tcMar>
              <w:top w:w="80" w:type="dxa"/>
              <w:left w:w="80" w:type="dxa"/>
              <w:bottom w:w="80" w:type="dxa"/>
              <w:right w:w="80" w:type="dxa"/>
            </w:tcMar>
          </w:tcPr>
          <w:p w14:paraId="130D403D" w14:textId="2C4DB4AF" w:rsidR="00B13FAB" w:rsidRPr="00B13FAB" w:rsidRDefault="00B13FAB" w:rsidP="00B13FAB">
            <w:pPr>
              <w:spacing w:after="60"/>
              <w:contextualSpacing/>
              <w:rPr>
                <w:rFonts w:eastAsia="Calibri" w:cs="Arial"/>
                <w:sz w:val="14"/>
                <w:szCs w:val="14"/>
                <w:lang w:eastAsia="en-US"/>
              </w:rPr>
            </w:pPr>
            <w:r>
              <w:rPr>
                <w:rFonts w:eastAsia="Calibri" w:cs="Arial"/>
                <w:sz w:val="14"/>
                <w:szCs w:val="14"/>
                <w:lang w:eastAsia="en-US"/>
              </w:rPr>
              <w:t>No</w:t>
            </w:r>
          </w:p>
        </w:tc>
        <w:tc>
          <w:tcPr>
            <w:tcW w:w="1709" w:type="dxa"/>
            <w:shd w:val="clear" w:color="auto" w:fill="FFC9C9"/>
            <w:tcMar>
              <w:top w:w="80" w:type="dxa"/>
              <w:left w:w="80" w:type="dxa"/>
              <w:bottom w:w="80" w:type="dxa"/>
              <w:right w:w="80" w:type="dxa"/>
            </w:tcMar>
          </w:tcPr>
          <w:p w14:paraId="7E660D71" w14:textId="3C195579" w:rsidR="00B13FAB" w:rsidRPr="00BF5260" w:rsidRDefault="00B13FAB" w:rsidP="00292A53">
            <w:pPr>
              <w:spacing w:after="60" w:line="276" w:lineRule="auto"/>
              <w:rPr>
                <w:rFonts w:cs="Arial"/>
                <w:color w:val="000000"/>
                <w:sz w:val="14"/>
                <w:szCs w:val="16"/>
                <w:lang w:val="en-GB"/>
              </w:rPr>
            </w:pPr>
            <w:r>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2C1EAB7A" w14:textId="32F0C9C4" w:rsidR="00B13FAB" w:rsidRPr="00BF5260" w:rsidRDefault="00B13FAB" w:rsidP="00292A53">
            <w:pPr>
              <w:spacing w:after="60" w:line="276" w:lineRule="auto"/>
              <w:rPr>
                <w:rFonts w:cs="Arial"/>
                <w:color w:val="000000"/>
                <w:sz w:val="14"/>
                <w:szCs w:val="16"/>
                <w:lang w:val="en-GB"/>
              </w:rPr>
            </w:pPr>
            <w:r>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2FA531BA" w14:textId="77777777" w:rsidR="00B13FAB" w:rsidRPr="00BF5260" w:rsidRDefault="00B13FAB" w:rsidP="00292A53">
            <w:pPr>
              <w:spacing w:after="60" w:line="276" w:lineRule="auto"/>
              <w:rPr>
                <w:rFonts w:cs="Arial"/>
                <w:color w:val="000000"/>
                <w:sz w:val="14"/>
                <w:szCs w:val="16"/>
                <w:lang w:val="en-GB"/>
              </w:rPr>
            </w:pPr>
          </w:p>
        </w:tc>
        <w:tc>
          <w:tcPr>
            <w:tcW w:w="1709" w:type="dxa"/>
            <w:shd w:val="clear" w:color="auto" w:fill="FFC9C9"/>
            <w:tcMar>
              <w:top w:w="80" w:type="dxa"/>
              <w:left w:w="80" w:type="dxa"/>
              <w:bottom w:w="80" w:type="dxa"/>
              <w:right w:w="80" w:type="dxa"/>
            </w:tcMar>
          </w:tcPr>
          <w:p w14:paraId="6F716E34" w14:textId="5A7930A1" w:rsidR="00B13FAB" w:rsidRPr="00B13FAB" w:rsidRDefault="00B13FAB" w:rsidP="00292A53">
            <w:pPr>
              <w:spacing w:after="60" w:line="276" w:lineRule="auto"/>
              <w:rPr>
                <w:sz w:val="14"/>
              </w:rPr>
            </w:pPr>
            <w:r>
              <w:rPr>
                <w:sz w:val="14"/>
              </w:rPr>
              <w:t>New employment assistance benefit. Cost up to $1,000 to support return to work with a new employer.</w:t>
            </w:r>
          </w:p>
        </w:tc>
      </w:tr>
      <w:tr w:rsidR="00BF5260" w:rsidRPr="00BF5260" w14:paraId="4007D47B" w14:textId="77777777" w:rsidTr="00B2173F">
        <w:tc>
          <w:tcPr>
            <w:tcW w:w="1343" w:type="dxa"/>
            <w:tcMar>
              <w:top w:w="80" w:type="dxa"/>
              <w:left w:w="80" w:type="dxa"/>
              <w:bottom w:w="80" w:type="dxa"/>
              <w:right w:w="80" w:type="dxa"/>
            </w:tcMar>
          </w:tcPr>
          <w:p w14:paraId="1D516055"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Victoria</w:t>
            </w:r>
          </w:p>
        </w:tc>
        <w:tc>
          <w:tcPr>
            <w:tcW w:w="1709" w:type="dxa"/>
            <w:tcMar>
              <w:top w:w="80" w:type="dxa"/>
              <w:left w:w="80" w:type="dxa"/>
              <w:bottom w:w="80" w:type="dxa"/>
              <w:right w:w="80" w:type="dxa"/>
            </w:tcMar>
          </w:tcPr>
          <w:p w14:paraId="55E95227" w14:textId="426A6BF6" w:rsidR="00BF5260" w:rsidRPr="00BF5260" w:rsidRDefault="002E7180" w:rsidP="00292A53">
            <w:pPr>
              <w:spacing w:after="60"/>
              <w:rPr>
                <w:rFonts w:cs="Arial"/>
                <w:color w:val="000000"/>
                <w:sz w:val="14"/>
                <w:szCs w:val="16"/>
                <w:lang w:val="en-GB"/>
              </w:rPr>
            </w:pPr>
            <w:r>
              <w:rPr>
                <w:rFonts w:cs="Arial"/>
                <w:color w:val="000000"/>
                <w:sz w:val="14"/>
                <w:szCs w:val="16"/>
                <w:lang w:val="en-GB"/>
              </w:rPr>
              <w:t>Workplace Incentive Scheme for Employers (</w:t>
            </w:r>
            <w:r w:rsidR="00BF5260" w:rsidRPr="00BF5260">
              <w:rPr>
                <w:rFonts w:cs="Arial"/>
                <w:color w:val="000000"/>
                <w:sz w:val="14"/>
                <w:szCs w:val="16"/>
                <w:lang w:val="en-GB"/>
              </w:rPr>
              <w:t>WISE</w:t>
            </w:r>
            <w:r>
              <w:rPr>
                <w:rFonts w:cs="Arial"/>
                <w:color w:val="000000"/>
                <w:sz w:val="14"/>
                <w:szCs w:val="16"/>
                <w:lang w:val="en-GB"/>
              </w:rPr>
              <w:t>)</w:t>
            </w:r>
          </w:p>
        </w:tc>
        <w:tc>
          <w:tcPr>
            <w:tcW w:w="1709" w:type="dxa"/>
            <w:tcMar>
              <w:top w:w="80" w:type="dxa"/>
              <w:left w:w="80" w:type="dxa"/>
              <w:bottom w:w="80" w:type="dxa"/>
              <w:right w:w="80" w:type="dxa"/>
            </w:tcMar>
          </w:tcPr>
          <w:p w14:paraId="730181A0" w14:textId="0E73564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WISE is a 6 month financial incentive of up to $26</w:t>
            </w:r>
            <w:r w:rsidR="00E23C9E">
              <w:rPr>
                <w:rFonts w:cs="Arial"/>
                <w:color w:val="000000"/>
                <w:sz w:val="14"/>
                <w:szCs w:val="16"/>
                <w:lang w:val="en-GB"/>
              </w:rPr>
              <w:t>,</w:t>
            </w:r>
            <w:r w:rsidRPr="00BF5260">
              <w:rPr>
                <w:rFonts w:cs="Arial"/>
                <w:color w:val="000000"/>
                <w:sz w:val="14"/>
                <w:szCs w:val="16"/>
                <w:lang w:val="en-GB"/>
              </w:rPr>
              <w:t xml:space="preserve">000 payable to employers who offer ongoing employment of </w:t>
            </w:r>
            <w:r w:rsidRPr="00BF5260">
              <w:rPr>
                <w:rFonts w:cs="Arial"/>
                <w:color w:val="000000"/>
                <w:sz w:val="14"/>
                <w:szCs w:val="16"/>
                <w:lang w:val="en-GB"/>
              </w:rPr>
              <w:lastRenderedPageBreak/>
              <w:t>15 hours + to workers with an accepted claim who cannot return to work</w:t>
            </w:r>
            <w:r w:rsidR="00B461BC">
              <w:rPr>
                <w:rFonts w:cs="Arial"/>
                <w:color w:val="000000"/>
                <w:sz w:val="14"/>
                <w:szCs w:val="16"/>
                <w:lang w:val="en-GB"/>
              </w:rPr>
              <w:t xml:space="preserve"> with their pre-injury employer</w:t>
            </w:r>
          </w:p>
        </w:tc>
        <w:tc>
          <w:tcPr>
            <w:tcW w:w="1709" w:type="dxa"/>
            <w:tcMar>
              <w:top w:w="80" w:type="dxa"/>
              <w:left w:w="80" w:type="dxa"/>
              <w:bottom w:w="80" w:type="dxa"/>
              <w:right w:w="80" w:type="dxa"/>
            </w:tcMar>
          </w:tcPr>
          <w:p w14:paraId="1BD6C0B4" w14:textId="77777777" w:rsidR="00BF5260" w:rsidRPr="0052183E" w:rsidRDefault="00BF5260" w:rsidP="00F839DB">
            <w:pPr>
              <w:pStyle w:val="ListParagraph"/>
              <w:numPr>
                <w:ilvl w:val="0"/>
                <w:numId w:val="280"/>
              </w:numPr>
              <w:spacing w:after="60"/>
              <w:contextualSpacing/>
              <w:rPr>
                <w:rFonts w:eastAsia="Calibri" w:cs="Arial"/>
                <w:sz w:val="14"/>
                <w:szCs w:val="14"/>
                <w:lang w:eastAsia="en-US"/>
              </w:rPr>
            </w:pPr>
            <w:r w:rsidRPr="0052183E">
              <w:rPr>
                <w:rFonts w:eastAsia="Calibri" w:cs="Arial"/>
                <w:sz w:val="14"/>
                <w:szCs w:val="14"/>
                <w:lang w:eastAsia="en-US"/>
              </w:rPr>
              <w:lastRenderedPageBreak/>
              <w:t xml:space="preserve">Employers are offered WorkSafe Victoria Injury Insurance protection if the </w:t>
            </w:r>
            <w:r w:rsidRPr="0052183E">
              <w:rPr>
                <w:rFonts w:eastAsia="Calibri" w:cs="Arial"/>
                <w:sz w:val="14"/>
                <w:szCs w:val="14"/>
                <w:lang w:eastAsia="en-US"/>
              </w:rPr>
              <w:lastRenderedPageBreak/>
              <w:t>worker ceases work because of a new injury.</w:t>
            </w:r>
          </w:p>
          <w:p w14:paraId="18AB6A52" w14:textId="77777777" w:rsidR="00BF5260" w:rsidRPr="0052183E" w:rsidRDefault="00BF5260" w:rsidP="00F839DB">
            <w:pPr>
              <w:pStyle w:val="ListParagraph"/>
              <w:numPr>
                <w:ilvl w:val="0"/>
                <w:numId w:val="280"/>
              </w:numPr>
              <w:spacing w:after="60"/>
              <w:contextualSpacing/>
              <w:rPr>
                <w:rFonts w:eastAsia="Calibri" w:cs="Arial"/>
                <w:sz w:val="14"/>
                <w:szCs w:val="14"/>
                <w:lang w:eastAsia="en-US"/>
              </w:rPr>
            </w:pPr>
            <w:r w:rsidRPr="0052183E">
              <w:rPr>
                <w:rFonts w:eastAsia="Calibri" w:cs="Arial"/>
                <w:sz w:val="14"/>
                <w:szCs w:val="14"/>
                <w:lang w:eastAsia="en-US"/>
              </w:rPr>
              <w:t>Additionally, the cost of that claim is excluded from the employer’s injury insurance premium calculation, though the employer is still liable to pay an excess of the first 10 days’ of weekly payments and indexed medical expenses.</w:t>
            </w:r>
          </w:p>
        </w:tc>
        <w:tc>
          <w:tcPr>
            <w:tcW w:w="1709" w:type="dxa"/>
            <w:tcMar>
              <w:top w:w="80" w:type="dxa"/>
              <w:left w:w="80" w:type="dxa"/>
              <w:bottom w:w="80" w:type="dxa"/>
              <w:right w:w="80" w:type="dxa"/>
            </w:tcMar>
          </w:tcPr>
          <w:p w14:paraId="031A96B9" w14:textId="77777777" w:rsidR="00BF5260" w:rsidRPr="0052183E" w:rsidRDefault="00BF5260" w:rsidP="00F839DB">
            <w:pPr>
              <w:pStyle w:val="ListParagraph"/>
              <w:numPr>
                <w:ilvl w:val="0"/>
                <w:numId w:val="279"/>
              </w:numPr>
              <w:spacing w:after="60"/>
              <w:contextualSpacing/>
              <w:rPr>
                <w:rFonts w:eastAsia="Calibri" w:cs="Arial"/>
                <w:sz w:val="14"/>
                <w:szCs w:val="14"/>
                <w:lang w:eastAsia="en-US"/>
              </w:rPr>
            </w:pPr>
            <w:r w:rsidRPr="0052183E">
              <w:rPr>
                <w:rFonts w:eastAsia="Calibri" w:cs="Arial"/>
                <w:sz w:val="14"/>
                <w:szCs w:val="14"/>
                <w:lang w:eastAsia="en-US"/>
              </w:rPr>
              <w:lastRenderedPageBreak/>
              <w:t xml:space="preserve">If a worker on a WISE placement has a further injury during their placement, the </w:t>
            </w:r>
            <w:r w:rsidRPr="0052183E">
              <w:rPr>
                <w:rFonts w:eastAsia="Calibri" w:cs="Arial"/>
                <w:sz w:val="14"/>
                <w:szCs w:val="14"/>
                <w:lang w:eastAsia="en-US"/>
              </w:rPr>
              <w:lastRenderedPageBreak/>
              <w:t>WISE employer’s Agent will determine whether this is a new injury or part of the original claim.</w:t>
            </w:r>
          </w:p>
          <w:p w14:paraId="2E14DCE6" w14:textId="77777777" w:rsidR="00BF5260" w:rsidRPr="0052183E" w:rsidRDefault="00BF5260" w:rsidP="00F839DB">
            <w:pPr>
              <w:pStyle w:val="ListParagraph"/>
              <w:numPr>
                <w:ilvl w:val="0"/>
                <w:numId w:val="279"/>
              </w:numPr>
              <w:spacing w:after="60"/>
              <w:contextualSpacing/>
              <w:rPr>
                <w:rFonts w:eastAsia="Calibri" w:cs="Arial"/>
                <w:sz w:val="14"/>
                <w:szCs w:val="14"/>
                <w:lang w:eastAsia="en-US"/>
              </w:rPr>
            </w:pPr>
            <w:r w:rsidRPr="0052183E">
              <w:rPr>
                <w:rFonts w:eastAsia="Calibri" w:cs="Arial"/>
                <w:sz w:val="14"/>
                <w:szCs w:val="14"/>
                <w:lang w:eastAsia="en-US"/>
              </w:rPr>
              <w:t>Where the decision is that the injury is a continuation of the original injury, then any weekly payments, medical and like expenses will be paid against the original employer’s policy.</w:t>
            </w:r>
          </w:p>
        </w:tc>
        <w:tc>
          <w:tcPr>
            <w:tcW w:w="1709" w:type="dxa"/>
            <w:tcMar>
              <w:top w:w="80" w:type="dxa"/>
              <w:left w:w="80" w:type="dxa"/>
              <w:bottom w:w="80" w:type="dxa"/>
              <w:right w:w="80" w:type="dxa"/>
            </w:tcMar>
          </w:tcPr>
          <w:p w14:paraId="716B250B" w14:textId="77777777" w:rsidR="00BF5260" w:rsidRPr="00BF5260" w:rsidRDefault="00BF5260" w:rsidP="00292A53">
            <w:pPr>
              <w:spacing w:after="60" w:line="276" w:lineRule="auto"/>
              <w:rPr>
                <w:rFonts w:cs="Arial"/>
                <w:color w:val="000000"/>
                <w:sz w:val="14"/>
                <w:szCs w:val="16"/>
                <w:lang w:val="en-GB"/>
              </w:rPr>
            </w:pPr>
            <w:r w:rsidRPr="00BF5260">
              <w:rPr>
                <w:rFonts w:cs="Arial"/>
                <w:color w:val="000000"/>
                <w:sz w:val="14"/>
                <w:szCs w:val="16"/>
                <w:lang w:val="en-GB"/>
              </w:rPr>
              <w:lastRenderedPageBreak/>
              <w:t xml:space="preserve">Not part of WISE but may be provided to the worker as an occupational rehabilitation service </w:t>
            </w:r>
            <w:r w:rsidRPr="00BF5260">
              <w:rPr>
                <w:rFonts w:cs="Arial"/>
                <w:color w:val="000000"/>
                <w:sz w:val="14"/>
                <w:szCs w:val="16"/>
                <w:lang w:val="en-GB"/>
              </w:rPr>
              <w:lastRenderedPageBreak/>
              <w:t>based on the claim circumstances.</w:t>
            </w:r>
          </w:p>
        </w:tc>
        <w:tc>
          <w:tcPr>
            <w:tcW w:w="1709" w:type="dxa"/>
            <w:tcMar>
              <w:top w:w="80" w:type="dxa"/>
              <w:left w:w="80" w:type="dxa"/>
              <w:bottom w:w="80" w:type="dxa"/>
              <w:right w:w="80" w:type="dxa"/>
            </w:tcMar>
          </w:tcPr>
          <w:p w14:paraId="3678FE66" w14:textId="77777777" w:rsidR="00BF5260" w:rsidRPr="00BF5260" w:rsidRDefault="00BF5260" w:rsidP="00292A53">
            <w:pPr>
              <w:spacing w:after="60" w:line="276" w:lineRule="auto"/>
              <w:rPr>
                <w:rFonts w:cs="Arial"/>
                <w:color w:val="000000"/>
                <w:sz w:val="14"/>
                <w:szCs w:val="16"/>
                <w:lang w:val="en-GB"/>
              </w:rPr>
            </w:pPr>
            <w:r w:rsidRPr="00BF5260">
              <w:rPr>
                <w:rFonts w:cs="Arial"/>
                <w:color w:val="000000"/>
                <w:sz w:val="14"/>
                <w:szCs w:val="16"/>
                <w:lang w:val="en-GB"/>
              </w:rPr>
              <w:lastRenderedPageBreak/>
              <w:t xml:space="preserve">Not part of WISE but may be provided to the worker as an occupational rehabilitation service </w:t>
            </w:r>
            <w:r w:rsidRPr="00BF5260">
              <w:rPr>
                <w:rFonts w:cs="Arial"/>
                <w:color w:val="000000"/>
                <w:sz w:val="14"/>
                <w:szCs w:val="16"/>
                <w:lang w:val="en-GB"/>
              </w:rPr>
              <w:lastRenderedPageBreak/>
              <w:t>based on the claim circumstances.</w:t>
            </w:r>
          </w:p>
        </w:tc>
        <w:tc>
          <w:tcPr>
            <w:tcW w:w="1709" w:type="dxa"/>
            <w:tcMar>
              <w:top w:w="80" w:type="dxa"/>
              <w:left w:w="80" w:type="dxa"/>
              <w:bottom w:w="80" w:type="dxa"/>
              <w:right w:w="80" w:type="dxa"/>
            </w:tcMar>
          </w:tcPr>
          <w:p w14:paraId="5AC45C01" w14:textId="5A2D9662" w:rsidR="00BF5260" w:rsidRPr="00BF5260" w:rsidRDefault="00BF5260" w:rsidP="00292A53">
            <w:pPr>
              <w:spacing w:after="60" w:line="276" w:lineRule="auto"/>
              <w:rPr>
                <w:rFonts w:cs="Arial"/>
                <w:color w:val="000000"/>
                <w:sz w:val="14"/>
                <w:szCs w:val="16"/>
                <w:lang w:val="en-GB"/>
              </w:rPr>
            </w:pPr>
            <w:r w:rsidRPr="00BF5260">
              <w:rPr>
                <w:rFonts w:cs="Arial"/>
                <w:color w:val="000000"/>
                <w:sz w:val="14"/>
                <w:szCs w:val="16"/>
                <w:lang w:val="en-GB"/>
              </w:rPr>
              <w:lastRenderedPageBreak/>
              <w:t>No</w:t>
            </w:r>
          </w:p>
        </w:tc>
        <w:tc>
          <w:tcPr>
            <w:tcW w:w="1709" w:type="dxa"/>
            <w:tcMar>
              <w:top w:w="80" w:type="dxa"/>
              <w:left w:w="80" w:type="dxa"/>
              <w:bottom w:w="80" w:type="dxa"/>
              <w:right w:w="80" w:type="dxa"/>
            </w:tcMar>
          </w:tcPr>
          <w:p w14:paraId="2DCA6428" w14:textId="77777777" w:rsidR="00BF5260" w:rsidRDefault="00A7538C" w:rsidP="0089069C">
            <w:pPr>
              <w:spacing w:after="60" w:line="276" w:lineRule="auto"/>
              <w:rPr>
                <w:rFonts w:cs="Arial"/>
                <w:color w:val="0000FF"/>
                <w:sz w:val="14"/>
                <w:szCs w:val="16"/>
                <w:u w:val="single"/>
                <w:lang w:val="en-GB"/>
              </w:rPr>
            </w:pPr>
            <w:hyperlink r:id="rId1878" w:history="1">
              <w:r w:rsidR="0089069C" w:rsidRPr="0089069C">
                <w:rPr>
                  <w:rStyle w:val="Hyperlink"/>
                  <w:rFonts w:cs="Arial"/>
                  <w:sz w:val="14"/>
                  <w:szCs w:val="16"/>
                  <w:lang w:val="en-GB"/>
                </w:rPr>
                <w:t>WorkSafe</w:t>
              </w:r>
              <w:r w:rsidR="00BF5260" w:rsidRPr="0089069C">
                <w:rPr>
                  <w:rStyle w:val="Hyperlink"/>
                  <w:rFonts w:cs="Arial"/>
                  <w:sz w:val="14"/>
                  <w:szCs w:val="16"/>
                  <w:lang w:val="en-GB"/>
                </w:rPr>
                <w:t xml:space="preserve"> Incentive Scheme for Employers</w:t>
              </w:r>
            </w:hyperlink>
          </w:p>
          <w:p w14:paraId="29EB82C9" w14:textId="77777777" w:rsidR="0089069C" w:rsidRDefault="0089069C" w:rsidP="0089069C">
            <w:pPr>
              <w:spacing w:after="60" w:line="276" w:lineRule="auto"/>
              <w:rPr>
                <w:rFonts w:cs="Arial"/>
                <w:color w:val="0000FF"/>
                <w:sz w:val="14"/>
                <w:szCs w:val="16"/>
                <w:u w:val="single"/>
                <w:lang w:val="en-GB"/>
              </w:rPr>
            </w:pPr>
          </w:p>
          <w:p w14:paraId="3A0A811C" w14:textId="1A2FC6EF" w:rsidR="0089069C" w:rsidRPr="00BF5260" w:rsidRDefault="00A7538C" w:rsidP="0089069C">
            <w:pPr>
              <w:spacing w:after="60" w:line="276" w:lineRule="auto"/>
              <w:rPr>
                <w:rFonts w:cs="Arial"/>
                <w:color w:val="000000"/>
                <w:sz w:val="14"/>
                <w:szCs w:val="16"/>
                <w:lang w:val="en-GB"/>
              </w:rPr>
            </w:pPr>
            <w:hyperlink r:id="rId1879" w:history="1">
              <w:r w:rsidR="0089069C" w:rsidRPr="0089069C">
                <w:rPr>
                  <w:rStyle w:val="Hyperlink"/>
                  <w:rFonts w:cs="Arial"/>
                  <w:sz w:val="14"/>
                  <w:szCs w:val="16"/>
                  <w:lang w:val="en-GB"/>
                </w:rPr>
                <w:t xml:space="preserve">WISE Information for </w:t>
              </w:r>
              <w:r w:rsidR="0089069C" w:rsidRPr="0089069C">
                <w:rPr>
                  <w:rStyle w:val="Hyperlink"/>
                  <w:rFonts w:cs="Arial"/>
                  <w:sz w:val="14"/>
                  <w:szCs w:val="16"/>
                  <w:lang w:val="en-GB"/>
                </w:rPr>
                <w:lastRenderedPageBreak/>
                <w:t>employers</w:t>
              </w:r>
            </w:hyperlink>
          </w:p>
        </w:tc>
      </w:tr>
      <w:tr w:rsidR="00BF5260" w:rsidRPr="00BF5260" w14:paraId="7448B54A" w14:textId="77777777" w:rsidTr="00B2173F">
        <w:tc>
          <w:tcPr>
            <w:tcW w:w="1343" w:type="dxa"/>
            <w:shd w:val="clear" w:color="auto" w:fill="FFC9C9"/>
            <w:tcMar>
              <w:top w:w="80" w:type="dxa"/>
              <w:left w:w="80" w:type="dxa"/>
              <w:bottom w:w="80" w:type="dxa"/>
              <w:right w:w="80" w:type="dxa"/>
            </w:tcMar>
          </w:tcPr>
          <w:p w14:paraId="076F4D33"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lastRenderedPageBreak/>
              <w:t>Queensland</w:t>
            </w:r>
          </w:p>
        </w:tc>
        <w:tc>
          <w:tcPr>
            <w:tcW w:w="1709" w:type="dxa"/>
            <w:shd w:val="clear" w:color="auto" w:fill="FFC9C9"/>
            <w:tcMar>
              <w:top w:w="80" w:type="dxa"/>
              <w:left w:w="80" w:type="dxa"/>
              <w:bottom w:w="80" w:type="dxa"/>
              <w:right w:w="80" w:type="dxa"/>
            </w:tcMar>
          </w:tcPr>
          <w:p w14:paraId="53F16130"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Host Placement, run by WorkCover Queensland.</w:t>
            </w:r>
          </w:p>
        </w:tc>
        <w:tc>
          <w:tcPr>
            <w:tcW w:w="1709" w:type="dxa"/>
            <w:shd w:val="clear" w:color="auto" w:fill="FFC9C9"/>
            <w:tcMar>
              <w:top w:w="80" w:type="dxa"/>
              <w:left w:w="80" w:type="dxa"/>
              <w:bottom w:w="80" w:type="dxa"/>
              <w:right w:w="80" w:type="dxa"/>
            </w:tcMar>
          </w:tcPr>
          <w:p w14:paraId="6E2A4919"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WorkCover continues to pay the workers’ compensation entitlements while they participate in the program.</w:t>
            </w:r>
          </w:p>
        </w:tc>
        <w:tc>
          <w:tcPr>
            <w:tcW w:w="1709" w:type="dxa"/>
            <w:shd w:val="clear" w:color="auto" w:fill="FFC9C9"/>
            <w:tcMar>
              <w:top w:w="80" w:type="dxa"/>
              <w:left w:w="80" w:type="dxa"/>
              <w:bottom w:w="80" w:type="dxa"/>
              <w:right w:w="80" w:type="dxa"/>
            </w:tcMar>
          </w:tcPr>
          <w:p w14:paraId="67433C0A" w14:textId="6E4A3A3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Nil</w:t>
            </w:r>
          </w:p>
        </w:tc>
        <w:tc>
          <w:tcPr>
            <w:tcW w:w="1709" w:type="dxa"/>
            <w:shd w:val="clear" w:color="auto" w:fill="FFC9C9"/>
            <w:tcMar>
              <w:top w:w="80" w:type="dxa"/>
              <w:left w:w="80" w:type="dxa"/>
              <w:bottom w:w="80" w:type="dxa"/>
              <w:right w:w="80" w:type="dxa"/>
            </w:tcMar>
          </w:tcPr>
          <w:p w14:paraId="1963447F"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Any injuries sustained during the host program are covered by WorkCover Queensland and do not affect the host employer’s premium. At the end of the program, any aggravation to existing injury is covered by WorkCover Queensland for 6 months following the commencement of employment.</w:t>
            </w:r>
          </w:p>
        </w:tc>
        <w:tc>
          <w:tcPr>
            <w:tcW w:w="1709" w:type="dxa"/>
            <w:shd w:val="clear" w:color="auto" w:fill="FFC9C9"/>
            <w:tcMar>
              <w:top w:w="80" w:type="dxa"/>
              <w:left w:w="80" w:type="dxa"/>
              <w:bottom w:w="80" w:type="dxa"/>
              <w:right w:w="80" w:type="dxa"/>
            </w:tcMar>
          </w:tcPr>
          <w:p w14:paraId="10476F17"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 xml:space="preserve">Is considered on a case by case basis. Reasonable costs will be paid by WorkCover. </w:t>
            </w:r>
          </w:p>
        </w:tc>
        <w:tc>
          <w:tcPr>
            <w:tcW w:w="1709" w:type="dxa"/>
            <w:shd w:val="clear" w:color="auto" w:fill="FFC9C9"/>
            <w:tcMar>
              <w:top w:w="80" w:type="dxa"/>
              <w:left w:w="80" w:type="dxa"/>
              <w:bottom w:w="80" w:type="dxa"/>
              <w:right w:w="80" w:type="dxa"/>
            </w:tcMar>
          </w:tcPr>
          <w:p w14:paraId="1F7D8C9D"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WorkCover will pay for training/additional skills required to secure employment with the host employer.</w:t>
            </w:r>
          </w:p>
        </w:tc>
        <w:tc>
          <w:tcPr>
            <w:tcW w:w="1709" w:type="dxa"/>
            <w:shd w:val="clear" w:color="auto" w:fill="FFC9C9"/>
            <w:tcMar>
              <w:top w:w="80" w:type="dxa"/>
              <w:left w:w="80" w:type="dxa"/>
              <w:bottom w:w="80" w:type="dxa"/>
              <w:right w:w="80" w:type="dxa"/>
            </w:tcMar>
          </w:tcPr>
          <w:p w14:paraId="2E8832E9" w14:textId="03A7C48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 xml:space="preserve">The work </w:t>
            </w:r>
            <w:r w:rsidR="00B461BC">
              <w:rPr>
                <w:rFonts w:cs="Arial"/>
                <w:color w:val="000000"/>
                <w:sz w:val="14"/>
                <w:szCs w:val="16"/>
                <w:lang w:val="en-GB"/>
              </w:rPr>
              <w:t>trial will run for 6 to 8 weeks</w:t>
            </w:r>
          </w:p>
        </w:tc>
        <w:tc>
          <w:tcPr>
            <w:tcW w:w="1709" w:type="dxa"/>
            <w:shd w:val="clear" w:color="auto" w:fill="FFC9C9"/>
            <w:tcMar>
              <w:top w:w="80" w:type="dxa"/>
              <w:left w:w="80" w:type="dxa"/>
              <w:bottom w:w="80" w:type="dxa"/>
              <w:right w:w="80" w:type="dxa"/>
            </w:tcMar>
          </w:tcPr>
          <w:p w14:paraId="3A15E03F" w14:textId="562BA232" w:rsidR="00BF5260" w:rsidRPr="00BF5260" w:rsidRDefault="00A7538C" w:rsidP="00292A53">
            <w:pPr>
              <w:spacing w:after="60"/>
              <w:rPr>
                <w:rFonts w:cs="Arial"/>
                <w:color w:val="000000"/>
                <w:sz w:val="14"/>
                <w:szCs w:val="16"/>
                <w:lang w:val="en-GB"/>
              </w:rPr>
            </w:pPr>
            <w:hyperlink r:id="rId1880" w:history="1">
              <w:r w:rsidR="00BF5260" w:rsidRPr="00BF5260">
                <w:rPr>
                  <w:rFonts w:cs="Arial"/>
                  <w:color w:val="0000FF"/>
                  <w:sz w:val="14"/>
                  <w:szCs w:val="16"/>
                  <w:u w:val="single"/>
                  <w:lang w:val="en-GB"/>
                </w:rPr>
                <w:t>Host Placement</w:t>
              </w:r>
            </w:hyperlink>
          </w:p>
        </w:tc>
      </w:tr>
      <w:tr w:rsidR="00BF5260" w:rsidRPr="00BF5260" w14:paraId="0C94CACB" w14:textId="77777777" w:rsidTr="00B2173F">
        <w:tc>
          <w:tcPr>
            <w:tcW w:w="1343" w:type="dxa"/>
            <w:tcMar>
              <w:top w:w="80" w:type="dxa"/>
              <w:left w:w="80" w:type="dxa"/>
              <w:bottom w:w="80" w:type="dxa"/>
              <w:right w:w="80" w:type="dxa"/>
            </w:tcMar>
          </w:tcPr>
          <w:p w14:paraId="245FC102"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Western Australia</w:t>
            </w:r>
          </w:p>
        </w:tc>
        <w:tc>
          <w:tcPr>
            <w:tcW w:w="1709" w:type="dxa"/>
            <w:tcMar>
              <w:top w:w="80" w:type="dxa"/>
              <w:left w:w="80" w:type="dxa"/>
              <w:bottom w:w="80" w:type="dxa"/>
              <w:right w:w="80" w:type="dxa"/>
            </w:tcMar>
          </w:tcPr>
          <w:p w14:paraId="087C3D93" w14:textId="30A73DB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2152EDB2" w14:textId="1AF7A67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05758F79" w14:textId="29BA0F4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0A0DC537" w14:textId="61E8EDC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4D53818E" w14:textId="3FF70D7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79E15BB" w14:textId="03CB5E3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26B4650D" w14:textId="2BEA971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71956D73" w14:textId="62FA3D9D"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r>
      <w:tr w:rsidR="00BF5260" w:rsidRPr="00BF5260" w14:paraId="7E756A6C" w14:textId="77777777" w:rsidTr="00B2173F">
        <w:tc>
          <w:tcPr>
            <w:tcW w:w="1343" w:type="dxa"/>
            <w:shd w:val="clear" w:color="auto" w:fill="FFC9C9"/>
            <w:tcMar>
              <w:top w:w="80" w:type="dxa"/>
              <w:left w:w="80" w:type="dxa"/>
              <w:bottom w:w="80" w:type="dxa"/>
              <w:right w:w="80" w:type="dxa"/>
            </w:tcMar>
          </w:tcPr>
          <w:p w14:paraId="43348485"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South Australia</w:t>
            </w:r>
          </w:p>
        </w:tc>
        <w:tc>
          <w:tcPr>
            <w:tcW w:w="1709" w:type="dxa"/>
            <w:shd w:val="clear" w:color="auto" w:fill="FFC9C9"/>
            <w:tcMar>
              <w:top w:w="80" w:type="dxa"/>
              <w:left w:w="80" w:type="dxa"/>
              <w:bottom w:w="80" w:type="dxa"/>
              <w:right w:w="80" w:type="dxa"/>
            </w:tcMar>
          </w:tcPr>
          <w:p w14:paraId="50CCB3B0" w14:textId="0A4F0CAD" w:rsidR="00BF5260" w:rsidRPr="00BF5260" w:rsidRDefault="002E7180" w:rsidP="002E7180">
            <w:pPr>
              <w:spacing w:after="60"/>
              <w:rPr>
                <w:rFonts w:cs="Arial"/>
                <w:color w:val="000000"/>
                <w:sz w:val="14"/>
                <w:szCs w:val="16"/>
                <w:lang w:val="en-GB"/>
              </w:rPr>
            </w:pPr>
            <w:r>
              <w:rPr>
                <w:rFonts w:cs="Arial"/>
                <w:color w:val="000000"/>
                <w:sz w:val="14"/>
                <w:szCs w:val="16"/>
                <w:lang w:val="en-GB"/>
              </w:rPr>
              <w:t>RISE (R</w:t>
            </w:r>
            <w:r w:rsidR="00BF5260" w:rsidRPr="00BF5260">
              <w:rPr>
                <w:rFonts w:cs="Arial"/>
                <w:color w:val="000000"/>
                <w:sz w:val="14"/>
                <w:szCs w:val="16"/>
                <w:lang w:val="en-GB"/>
              </w:rPr>
              <w:t xml:space="preserve">e-employment </w:t>
            </w:r>
            <w:r>
              <w:rPr>
                <w:rFonts w:cs="Arial"/>
                <w:color w:val="000000"/>
                <w:sz w:val="14"/>
                <w:szCs w:val="16"/>
                <w:lang w:val="en-GB"/>
              </w:rPr>
              <w:t>I</w:t>
            </w:r>
            <w:r w:rsidR="00B461BC">
              <w:rPr>
                <w:rFonts w:cs="Arial"/>
                <w:color w:val="000000"/>
                <w:sz w:val="14"/>
                <w:szCs w:val="16"/>
                <w:lang w:val="en-GB"/>
              </w:rPr>
              <w:t xml:space="preserve">ncentive </w:t>
            </w:r>
            <w:r>
              <w:rPr>
                <w:rFonts w:cs="Arial"/>
                <w:color w:val="000000"/>
                <w:sz w:val="14"/>
                <w:szCs w:val="16"/>
                <w:lang w:val="en-GB"/>
              </w:rPr>
              <w:t>S</w:t>
            </w:r>
            <w:r w:rsidR="00B461BC">
              <w:rPr>
                <w:rFonts w:cs="Arial"/>
                <w:color w:val="000000"/>
                <w:sz w:val="14"/>
                <w:szCs w:val="16"/>
                <w:lang w:val="en-GB"/>
              </w:rPr>
              <w:t xml:space="preserve">cheme for </w:t>
            </w:r>
            <w:r>
              <w:rPr>
                <w:rFonts w:cs="Arial"/>
                <w:color w:val="000000"/>
                <w:sz w:val="14"/>
                <w:szCs w:val="16"/>
                <w:lang w:val="en-GB"/>
              </w:rPr>
              <w:t>E</w:t>
            </w:r>
            <w:r w:rsidR="00B461BC">
              <w:rPr>
                <w:rFonts w:cs="Arial"/>
                <w:color w:val="000000"/>
                <w:sz w:val="14"/>
                <w:szCs w:val="16"/>
                <w:lang w:val="en-GB"/>
              </w:rPr>
              <w:t>mployers)</w:t>
            </w:r>
          </w:p>
        </w:tc>
        <w:tc>
          <w:tcPr>
            <w:tcW w:w="1709" w:type="dxa"/>
            <w:shd w:val="clear" w:color="auto" w:fill="FFC9C9"/>
            <w:tcMar>
              <w:top w:w="80" w:type="dxa"/>
              <w:left w:w="80" w:type="dxa"/>
              <w:bottom w:w="80" w:type="dxa"/>
              <w:right w:w="80" w:type="dxa"/>
            </w:tcMar>
          </w:tcPr>
          <w:p w14:paraId="58164AD1" w14:textId="4F4D7E94"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Reimbursement of 40% of gross wages f</w:t>
            </w:r>
            <w:r w:rsidR="00B461BC">
              <w:rPr>
                <w:rFonts w:cs="Arial"/>
                <w:color w:val="000000"/>
                <w:sz w:val="14"/>
                <w:szCs w:val="16"/>
                <w:lang w:val="en-GB"/>
              </w:rPr>
              <w:t>or up to 52 weeks of employment</w:t>
            </w:r>
          </w:p>
        </w:tc>
        <w:tc>
          <w:tcPr>
            <w:tcW w:w="1709" w:type="dxa"/>
            <w:shd w:val="clear" w:color="auto" w:fill="FFC9C9"/>
            <w:tcMar>
              <w:top w:w="80" w:type="dxa"/>
              <w:left w:w="80" w:type="dxa"/>
              <w:bottom w:w="80" w:type="dxa"/>
              <w:right w:w="80" w:type="dxa"/>
            </w:tcMar>
          </w:tcPr>
          <w:p w14:paraId="6A4112A2" w14:textId="2671FD3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5D74C178" w14:textId="7E0C3C2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632EF2A8" w14:textId="0A61D551"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Cost associated with minor site modifications, equipm</w:t>
            </w:r>
            <w:r w:rsidR="00B461BC">
              <w:rPr>
                <w:rFonts w:cs="Arial"/>
                <w:color w:val="000000"/>
                <w:sz w:val="14"/>
                <w:szCs w:val="16"/>
                <w:lang w:val="en-GB"/>
              </w:rPr>
              <w:t>ent</w:t>
            </w:r>
          </w:p>
        </w:tc>
        <w:tc>
          <w:tcPr>
            <w:tcW w:w="1709" w:type="dxa"/>
            <w:shd w:val="clear" w:color="auto" w:fill="FFC9C9"/>
            <w:tcMar>
              <w:top w:w="80" w:type="dxa"/>
              <w:left w:w="80" w:type="dxa"/>
              <w:bottom w:w="80" w:type="dxa"/>
              <w:right w:w="80" w:type="dxa"/>
            </w:tcMar>
          </w:tcPr>
          <w:p w14:paraId="1B1FFD9C" w14:textId="6DDC982B"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Considered as part of return to work service b</w:t>
            </w:r>
            <w:r w:rsidR="00B461BC">
              <w:rPr>
                <w:rFonts w:cs="Arial"/>
                <w:color w:val="000000"/>
                <w:sz w:val="14"/>
                <w:szCs w:val="16"/>
                <w:lang w:val="en-GB"/>
              </w:rPr>
              <w:t>ased on the claim circumstances</w:t>
            </w:r>
          </w:p>
        </w:tc>
        <w:tc>
          <w:tcPr>
            <w:tcW w:w="1709" w:type="dxa"/>
            <w:shd w:val="clear" w:color="auto" w:fill="FFC9C9"/>
            <w:tcMar>
              <w:top w:w="80" w:type="dxa"/>
              <w:left w:w="80" w:type="dxa"/>
              <w:bottom w:w="80" w:type="dxa"/>
              <w:right w:w="80" w:type="dxa"/>
            </w:tcMar>
          </w:tcPr>
          <w:p w14:paraId="355116B3" w14:textId="42C68DB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02E0A061" w14:textId="39788D8B"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 xml:space="preserve">RISE information and approval form available from </w:t>
            </w:r>
            <w:hyperlink r:id="rId1881" w:history="1">
              <w:r w:rsidRPr="00BF5260">
                <w:rPr>
                  <w:rFonts w:cs="Arial"/>
                  <w:color w:val="0000FF"/>
                  <w:sz w:val="14"/>
                  <w:szCs w:val="16"/>
                  <w:u w:val="single"/>
                  <w:lang w:val="en-GB"/>
                </w:rPr>
                <w:t>ReturnToWorkSA</w:t>
              </w:r>
            </w:hyperlink>
            <w:r w:rsidR="00B461BC">
              <w:rPr>
                <w:rFonts w:cs="Arial"/>
                <w:color w:val="000000"/>
                <w:sz w:val="14"/>
                <w:szCs w:val="16"/>
                <w:lang w:val="en-GB"/>
              </w:rPr>
              <w:t xml:space="preserve"> website</w:t>
            </w:r>
          </w:p>
        </w:tc>
      </w:tr>
      <w:tr w:rsidR="00BF5260" w:rsidRPr="00BF5260" w14:paraId="079BE7E1" w14:textId="77777777" w:rsidTr="00B2173F">
        <w:tc>
          <w:tcPr>
            <w:tcW w:w="1343" w:type="dxa"/>
            <w:tcMar>
              <w:top w:w="80" w:type="dxa"/>
              <w:left w:w="80" w:type="dxa"/>
              <w:bottom w:w="80" w:type="dxa"/>
              <w:right w:w="80" w:type="dxa"/>
            </w:tcMar>
          </w:tcPr>
          <w:p w14:paraId="7980B27C"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Tasmania</w:t>
            </w:r>
          </w:p>
        </w:tc>
        <w:tc>
          <w:tcPr>
            <w:tcW w:w="1709" w:type="dxa"/>
            <w:tcMar>
              <w:top w:w="80" w:type="dxa"/>
              <w:left w:w="80" w:type="dxa"/>
              <w:bottom w:w="80" w:type="dxa"/>
              <w:right w:w="80" w:type="dxa"/>
            </w:tcMar>
          </w:tcPr>
          <w:p w14:paraId="594C3C8D" w14:textId="351AADFE"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5CBBD0A7" w14:textId="6AFDD21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2C4071EF" w14:textId="01FF00DB"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3F5F9A71" w14:textId="3BD553DC"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51B4B8DE" w14:textId="79FB616C"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D24F1FF" w14:textId="069C1F6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2D6472D8" w14:textId="491D5D96"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01968C95" w14:textId="60DAE8A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r>
      <w:tr w:rsidR="00BF5260" w:rsidRPr="00BF5260" w14:paraId="1EC34871" w14:textId="77777777" w:rsidTr="00B2173F">
        <w:tc>
          <w:tcPr>
            <w:tcW w:w="1343" w:type="dxa"/>
            <w:shd w:val="clear" w:color="auto" w:fill="FFC9C9"/>
            <w:tcMar>
              <w:top w:w="80" w:type="dxa"/>
              <w:left w:w="80" w:type="dxa"/>
              <w:bottom w:w="80" w:type="dxa"/>
              <w:right w:w="80" w:type="dxa"/>
            </w:tcMar>
          </w:tcPr>
          <w:p w14:paraId="031B5B9D"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Northern Territory</w:t>
            </w:r>
          </w:p>
        </w:tc>
        <w:tc>
          <w:tcPr>
            <w:tcW w:w="1709" w:type="dxa"/>
            <w:shd w:val="clear" w:color="auto" w:fill="FFC9C9"/>
            <w:tcMar>
              <w:top w:w="80" w:type="dxa"/>
              <w:left w:w="80" w:type="dxa"/>
              <w:bottom w:w="80" w:type="dxa"/>
              <w:right w:w="80" w:type="dxa"/>
            </w:tcMar>
          </w:tcPr>
          <w:p w14:paraId="4B964FD8" w14:textId="5E17E30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Alternative E</w:t>
            </w:r>
            <w:r w:rsidR="00B461BC">
              <w:rPr>
                <w:rFonts w:cs="Arial"/>
                <w:color w:val="000000"/>
                <w:sz w:val="14"/>
                <w:szCs w:val="16"/>
                <w:lang w:val="en-GB"/>
              </w:rPr>
              <w:t xml:space="preserve">mployer Incentive Scheme — </w:t>
            </w:r>
            <w:hyperlink r:id="rId1882" w:history="1">
              <w:r w:rsidR="00B461BC" w:rsidRPr="00E95F53">
                <w:rPr>
                  <w:rStyle w:val="Hyperlink"/>
                  <w:rFonts w:cs="Arial"/>
                  <w:sz w:val="14"/>
                  <w:szCs w:val="16"/>
                  <w:lang w:val="en-GB"/>
                </w:rPr>
                <w:t>s75A</w:t>
              </w:r>
            </w:hyperlink>
            <w:r w:rsidR="00E95F53">
              <w:rPr>
                <w:rFonts w:cs="Arial"/>
                <w:color w:val="000000"/>
                <w:sz w:val="14"/>
                <w:szCs w:val="16"/>
                <w:lang w:val="en-GB"/>
              </w:rPr>
              <w:t xml:space="preserve">, </w:t>
            </w:r>
            <w:r w:rsidR="00E95F53" w:rsidRPr="00016069">
              <w:rPr>
                <w:i/>
                <w:sz w:val="14"/>
              </w:rPr>
              <w:t>Return to Work Act</w:t>
            </w:r>
          </w:p>
        </w:tc>
        <w:tc>
          <w:tcPr>
            <w:tcW w:w="1709" w:type="dxa"/>
            <w:shd w:val="clear" w:color="auto" w:fill="FFC9C9"/>
            <w:tcMar>
              <w:top w:w="80" w:type="dxa"/>
              <w:left w:w="80" w:type="dxa"/>
              <w:bottom w:w="80" w:type="dxa"/>
              <w:right w:w="80" w:type="dxa"/>
            </w:tcMar>
          </w:tcPr>
          <w:p w14:paraId="6081DD56" w14:textId="2ED0948C"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71150674" w14:textId="12DF812D"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4EA584A7" w14:textId="68C12F0B" w:rsidR="00BF5260" w:rsidRPr="00BF5260" w:rsidRDefault="00B461BC" w:rsidP="00292A53">
            <w:pPr>
              <w:spacing w:after="60"/>
              <w:rPr>
                <w:rFonts w:cs="Arial"/>
                <w:color w:val="000000"/>
                <w:sz w:val="14"/>
                <w:szCs w:val="16"/>
                <w:lang w:val="en-GB"/>
              </w:rPr>
            </w:pPr>
            <w:r>
              <w:rPr>
                <w:rFonts w:cs="Arial"/>
                <w:color w:val="000000"/>
                <w:sz w:val="14"/>
                <w:szCs w:val="16"/>
                <w:lang w:val="en-GB"/>
              </w:rPr>
              <w:t>12 months</w:t>
            </w:r>
          </w:p>
        </w:tc>
        <w:tc>
          <w:tcPr>
            <w:tcW w:w="1709" w:type="dxa"/>
            <w:shd w:val="clear" w:color="auto" w:fill="FFC9C9"/>
            <w:tcMar>
              <w:top w:w="80" w:type="dxa"/>
              <w:left w:w="80" w:type="dxa"/>
              <w:bottom w:w="80" w:type="dxa"/>
              <w:right w:w="80" w:type="dxa"/>
            </w:tcMar>
          </w:tcPr>
          <w:p w14:paraId="3EDEE5E4" w14:textId="7477D1B3"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 reaso</w:t>
            </w:r>
            <w:r w:rsidR="00B461BC">
              <w:rPr>
                <w:rFonts w:cs="Arial"/>
                <w:color w:val="000000"/>
                <w:sz w:val="14"/>
                <w:szCs w:val="16"/>
                <w:lang w:val="en-GB"/>
              </w:rPr>
              <w:t xml:space="preserve">nable and necessary costs — </w:t>
            </w:r>
            <w:hyperlink r:id="rId1883" w:history="1">
              <w:r w:rsidR="00B461BC" w:rsidRPr="00E95F53">
                <w:rPr>
                  <w:rStyle w:val="Hyperlink"/>
                  <w:rFonts w:cs="Arial"/>
                  <w:sz w:val="14"/>
                  <w:szCs w:val="16"/>
                  <w:lang w:val="en-GB"/>
                </w:rPr>
                <w:t>s76</w:t>
              </w:r>
            </w:hyperlink>
          </w:p>
        </w:tc>
        <w:tc>
          <w:tcPr>
            <w:tcW w:w="1709" w:type="dxa"/>
            <w:shd w:val="clear" w:color="auto" w:fill="FFC9C9"/>
            <w:tcMar>
              <w:top w:w="80" w:type="dxa"/>
              <w:left w:w="80" w:type="dxa"/>
              <w:bottom w:w="80" w:type="dxa"/>
              <w:right w:w="80" w:type="dxa"/>
            </w:tcMar>
          </w:tcPr>
          <w:p w14:paraId="082632E6" w14:textId="52B2510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 reaso</w:t>
            </w:r>
            <w:r w:rsidR="00B461BC">
              <w:rPr>
                <w:rFonts w:cs="Arial"/>
                <w:color w:val="000000"/>
                <w:sz w:val="14"/>
                <w:szCs w:val="16"/>
                <w:lang w:val="en-GB"/>
              </w:rPr>
              <w:t xml:space="preserve">nable and necessary costs — </w:t>
            </w:r>
            <w:hyperlink r:id="rId1884" w:history="1">
              <w:r w:rsidR="00B461BC" w:rsidRPr="00E95F53">
                <w:rPr>
                  <w:rStyle w:val="Hyperlink"/>
                  <w:rFonts w:cs="Arial"/>
                  <w:sz w:val="14"/>
                  <w:szCs w:val="16"/>
                  <w:lang w:val="en-GB"/>
                </w:rPr>
                <w:t>s76</w:t>
              </w:r>
            </w:hyperlink>
          </w:p>
        </w:tc>
        <w:tc>
          <w:tcPr>
            <w:tcW w:w="1709" w:type="dxa"/>
            <w:shd w:val="clear" w:color="auto" w:fill="FFC9C9"/>
            <w:tcMar>
              <w:top w:w="80" w:type="dxa"/>
              <w:left w:w="80" w:type="dxa"/>
              <w:bottom w:w="80" w:type="dxa"/>
              <w:right w:w="80" w:type="dxa"/>
            </w:tcMar>
          </w:tcPr>
          <w:p w14:paraId="3C7B5794" w14:textId="69CC3F6C"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 xml:space="preserve">Alternative Employer Incentive Scheme </w:t>
            </w:r>
            <w:r w:rsidR="00B461BC">
              <w:rPr>
                <w:rFonts w:cs="Arial"/>
                <w:color w:val="000000"/>
                <w:sz w:val="14"/>
                <w:szCs w:val="16"/>
                <w:lang w:val="en-GB"/>
              </w:rPr>
              <w:t>provides for 12 week work trial</w:t>
            </w:r>
          </w:p>
        </w:tc>
        <w:tc>
          <w:tcPr>
            <w:tcW w:w="1709" w:type="dxa"/>
            <w:shd w:val="clear" w:color="auto" w:fill="FFC9C9"/>
            <w:tcMar>
              <w:top w:w="80" w:type="dxa"/>
              <w:left w:w="80" w:type="dxa"/>
              <w:bottom w:w="80" w:type="dxa"/>
              <w:right w:w="80" w:type="dxa"/>
            </w:tcMar>
          </w:tcPr>
          <w:p w14:paraId="62DBA12E" w14:textId="063235D1" w:rsidR="00BF5260" w:rsidRPr="00BF5260" w:rsidRDefault="00A7538C" w:rsidP="00292A53">
            <w:pPr>
              <w:spacing w:after="60"/>
              <w:rPr>
                <w:rFonts w:cs="Arial"/>
                <w:color w:val="000000"/>
                <w:sz w:val="14"/>
                <w:szCs w:val="16"/>
                <w:lang w:val="en-GB"/>
              </w:rPr>
            </w:pPr>
            <w:hyperlink r:id="rId1885" w:history="1">
              <w:r w:rsidR="00BF5260" w:rsidRPr="00BF5260">
                <w:rPr>
                  <w:rFonts w:cs="Arial"/>
                  <w:color w:val="0000FF"/>
                  <w:sz w:val="14"/>
                  <w:szCs w:val="16"/>
                  <w:u w:val="single"/>
                  <w:lang w:val="en-GB"/>
                </w:rPr>
                <w:t>Alternative Employer Incentive Scheme</w:t>
              </w:r>
            </w:hyperlink>
          </w:p>
        </w:tc>
      </w:tr>
      <w:tr w:rsidR="00BF5260" w:rsidRPr="00BF5260" w14:paraId="364CB84D" w14:textId="77777777" w:rsidTr="00B2173F">
        <w:tc>
          <w:tcPr>
            <w:tcW w:w="1343" w:type="dxa"/>
            <w:tcMar>
              <w:top w:w="80" w:type="dxa"/>
              <w:left w:w="80" w:type="dxa"/>
              <w:bottom w:w="80" w:type="dxa"/>
              <w:right w:w="80" w:type="dxa"/>
            </w:tcMar>
          </w:tcPr>
          <w:p w14:paraId="44BECBA7"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lastRenderedPageBreak/>
              <w:t>Australian Capital Territory</w:t>
            </w:r>
          </w:p>
        </w:tc>
        <w:tc>
          <w:tcPr>
            <w:tcW w:w="1709" w:type="dxa"/>
            <w:tcMar>
              <w:top w:w="80" w:type="dxa"/>
              <w:left w:w="80" w:type="dxa"/>
              <w:bottom w:w="80" w:type="dxa"/>
              <w:right w:w="80" w:type="dxa"/>
            </w:tcMar>
          </w:tcPr>
          <w:p w14:paraId="66978CC6" w14:textId="717B200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Second Injury arrangements Scheme (</w:t>
            </w:r>
            <w:hyperlink r:id="rId1886" w:history="1">
              <w:r w:rsidRPr="002E7180">
                <w:rPr>
                  <w:rStyle w:val="Hyperlink"/>
                  <w:rFonts w:cs="Arial"/>
                  <w:sz w:val="14"/>
                  <w:szCs w:val="16"/>
                  <w:lang w:val="en-GB"/>
                </w:rPr>
                <w:t>s108</w:t>
              </w:r>
            </w:hyperlink>
            <w:r w:rsidR="002E7180">
              <w:rPr>
                <w:rFonts w:cs="Arial"/>
                <w:color w:val="000000"/>
                <w:sz w:val="14"/>
                <w:szCs w:val="16"/>
                <w:lang w:val="en-GB"/>
              </w:rPr>
              <w:t xml:space="preserve"> </w:t>
            </w:r>
            <w:r w:rsidR="002E7180" w:rsidRPr="00016069">
              <w:rPr>
                <w:i/>
                <w:sz w:val="14"/>
              </w:rPr>
              <w:t>Workers Compensation Act 1951</w:t>
            </w:r>
            <w:r w:rsidRPr="00BF5260">
              <w:rPr>
                <w:rFonts w:cs="Arial"/>
                <w:color w:val="000000"/>
                <w:sz w:val="14"/>
                <w:szCs w:val="16"/>
                <w:lang w:val="en-GB"/>
              </w:rPr>
              <w:t xml:space="preserve">). The scheme provides for private arrangements between insurers and employers. </w:t>
            </w:r>
          </w:p>
        </w:tc>
        <w:tc>
          <w:tcPr>
            <w:tcW w:w="1709" w:type="dxa"/>
            <w:tcMar>
              <w:top w:w="80" w:type="dxa"/>
              <w:left w:w="80" w:type="dxa"/>
              <w:bottom w:w="80" w:type="dxa"/>
              <w:right w:w="80" w:type="dxa"/>
            </w:tcMar>
          </w:tcPr>
          <w:p w14:paraId="5F00703A"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The legislation provides for a wage subsidy and indemnity from injuries. Commercial arrangements can be made between insurers and employers.</w:t>
            </w:r>
          </w:p>
        </w:tc>
        <w:tc>
          <w:tcPr>
            <w:tcW w:w="1709" w:type="dxa"/>
            <w:tcMar>
              <w:top w:w="80" w:type="dxa"/>
              <w:left w:w="80" w:type="dxa"/>
              <w:bottom w:w="80" w:type="dxa"/>
              <w:right w:w="80" w:type="dxa"/>
            </w:tcMar>
          </w:tcPr>
          <w:p w14:paraId="2EDE5B48" w14:textId="23CF042D"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tcMar>
              <w:top w:w="80" w:type="dxa"/>
              <w:left w:w="80" w:type="dxa"/>
              <w:bottom w:w="80" w:type="dxa"/>
              <w:right w:w="80" w:type="dxa"/>
            </w:tcMar>
          </w:tcPr>
          <w:p w14:paraId="23609673"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p w14:paraId="4B788395"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Private arrangement between insurers and employers.</w:t>
            </w:r>
          </w:p>
        </w:tc>
        <w:tc>
          <w:tcPr>
            <w:tcW w:w="1709" w:type="dxa"/>
            <w:tcMar>
              <w:top w:w="80" w:type="dxa"/>
              <w:left w:w="80" w:type="dxa"/>
              <w:bottom w:w="80" w:type="dxa"/>
              <w:right w:w="80" w:type="dxa"/>
            </w:tcMar>
          </w:tcPr>
          <w:p w14:paraId="695CC1BE"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Not expressly provided for but can be negotiated between insurers and employers.</w:t>
            </w:r>
          </w:p>
        </w:tc>
        <w:tc>
          <w:tcPr>
            <w:tcW w:w="1709" w:type="dxa"/>
            <w:tcMar>
              <w:top w:w="80" w:type="dxa"/>
              <w:left w:w="80" w:type="dxa"/>
              <w:bottom w:w="80" w:type="dxa"/>
              <w:right w:w="80" w:type="dxa"/>
            </w:tcMar>
          </w:tcPr>
          <w:p w14:paraId="26819554"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Not expressly provided for but can be negotiated between insurers and employers.</w:t>
            </w:r>
          </w:p>
        </w:tc>
        <w:tc>
          <w:tcPr>
            <w:tcW w:w="1709" w:type="dxa"/>
            <w:tcMar>
              <w:top w:w="80" w:type="dxa"/>
              <w:left w:w="80" w:type="dxa"/>
              <w:bottom w:w="80" w:type="dxa"/>
              <w:right w:w="80" w:type="dxa"/>
            </w:tcMar>
          </w:tcPr>
          <w:p w14:paraId="544A824B"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Not expressly provided for but can be negotiated between insurers and employers.</w:t>
            </w:r>
          </w:p>
        </w:tc>
        <w:tc>
          <w:tcPr>
            <w:tcW w:w="1709" w:type="dxa"/>
            <w:tcMar>
              <w:top w:w="80" w:type="dxa"/>
              <w:left w:w="80" w:type="dxa"/>
              <w:bottom w:w="80" w:type="dxa"/>
              <w:right w:w="80" w:type="dxa"/>
            </w:tcMar>
          </w:tcPr>
          <w:p w14:paraId="49755BBA"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 guidance material has been published.</w:t>
            </w:r>
          </w:p>
        </w:tc>
      </w:tr>
      <w:tr w:rsidR="00BF5260" w:rsidRPr="00BF5260" w14:paraId="25956896" w14:textId="77777777" w:rsidTr="00B2173F">
        <w:tc>
          <w:tcPr>
            <w:tcW w:w="1343" w:type="dxa"/>
            <w:shd w:val="clear" w:color="auto" w:fill="FFC9C9"/>
            <w:tcMar>
              <w:top w:w="80" w:type="dxa"/>
              <w:left w:w="80" w:type="dxa"/>
              <w:bottom w:w="80" w:type="dxa"/>
              <w:right w:w="80" w:type="dxa"/>
            </w:tcMar>
          </w:tcPr>
          <w:p w14:paraId="3847319F"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C’wealth Comcare</w:t>
            </w:r>
          </w:p>
        </w:tc>
        <w:tc>
          <w:tcPr>
            <w:tcW w:w="1709" w:type="dxa"/>
            <w:shd w:val="clear" w:color="auto" w:fill="FFC9C9"/>
            <w:tcMar>
              <w:top w:w="80" w:type="dxa"/>
              <w:left w:w="80" w:type="dxa"/>
              <w:bottom w:w="80" w:type="dxa"/>
              <w:right w:w="80" w:type="dxa"/>
            </w:tcMar>
          </w:tcPr>
          <w:p w14:paraId="1E477DD3" w14:textId="0B09775E"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Work trial placement</w:t>
            </w:r>
          </w:p>
        </w:tc>
        <w:tc>
          <w:tcPr>
            <w:tcW w:w="1709" w:type="dxa"/>
            <w:shd w:val="clear" w:color="auto" w:fill="FFC9C9"/>
            <w:tcMar>
              <w:top w:w="80" w:type="dxa"/>
              <w:left w:w="80" w:type="dxa"/>
              <w:bottom w:w="80" w:type="dxa"/>
              <w:right w:w="80" w:type="dxa"/>
            </w:tcMar>
          </w:tcPr>
          <w:p w14:paraId="37B2D20F" w14:textId="0724568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Incapacity payments are paid by the relevant</w:t>
            </w:r>
            <w:r w:rsidR="00B461BC">
              <w:rPr>
                <w:rFonts w:cs="Arial"/>
                <w:color w:val="000000"/>
                <w:sz w:val="14"/>
                <w:szCs w:val="16"/>
                <w:lang w:val="en-GB"/>
              </w:rPr>
              <w:t xml:space="preserve"> claims agent under the </w:t>
            </w:r>
            <w:r w:rsidR="002E7180" w:rsidRPr="00016069">
              <w:rPr>
                <w:i/>
                <w:sz w:val="14"/>
              </w:rPr>
              <w:t>Safety, Rehabilitation and Compensation Act 1988</w:t>
            </w:r>
          </w:p>
        </w:tc>
        <w:tc>
          <w:tcPr>
            <w:tcW w:w="1709" w:type="dxa"/>
            <w:shd w:val="clear" w:color="auto" w:fill="FFC9C9"/>
            <w:tcMar>
              <w:top w:w="80" w:type="dxa"/>
              <w:left w:w="80" w:type="dxa"/>
              <w:bottom w:w="80" w:type="dxa"/>
              <w:right w:w="80" w:type="dxa"/>
            </w:tcMar>
          </w:tcPr>
          <w:p w14:paraId="62314B16" w14:textId="45E205E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181A6954"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During the course of the work trial if there is a new injury/illness or aggravation of pre-existing injury/illness, the employee should submit a new claim through their rehabilitation authority.</w:t>
            </w:r>
          </w:p>
        </w:tc>
        <w:tc>
          <w:tcPr>
            <w:tcW w:w="1709" w:type="dxa"/>
            <w:shd w:val="clear" w:color="auto" w:fill="FFC9C9"/>
            <w:tcMar>
              <w:top w:w="80" w:type="dxa"/>
              <w:left w:w="80" w:type="dxa"/>
              <w:bottom w:w="80" w:type="dxa"/>
              <w:right w:w="80" w:type="dxa"/>
            </w:tcMar>
          </w:tcPr>
          <w:p w14:paraId="4847894A"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Additional or specialised ergonomic may be included in a rehabilitation program.</w:t>
            </w:r>
          </w:p>
        </w:tc>
        <w:tc>
          <w:tcPr>
            <w:tcW w:w="1709" w:type="dxa"/>
            <w:shd w:val="clear" w:color="auto" w:fill="FFC9C9"/>
            <w:tcMar>
              <w:top w:w="80" w:type="dxa"/>
              <w:left w:w="80" w:type="dxa"/>
              <w:bottom w:w="80" w:type="dxa"/>
              <w:right w:w="80" w:type="dxa"/>
            </w:tcMar>
          </w:tcPr>
          <w:p w14:paraId="7B6ACA8C" w14:textId="2DFB6076"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Retraining costs may form part of a rehabilitation program</w:t>
            </w:r>
            <w:r w:rsidR="003D2FCB">
              <w:rPr>
                <w:rFonts w:cs="Arial"/>
                <w:color w:val="000000"/>
                <w:sz w:val="14"/>
                <w:szCs w:val="16"/>
                <w:lang w:val="en-GB"/>
              </w:rPr>
              <w:t>.</w:t>
            </w:r>
          </w:p>
        </w:tc>
        <w:tc>
          <w:tcPr>
            <w:tcW w:w="1709" w:type="dxa"/>
            <w:shd w:val="clear" w:color="auto" w:fill="FFC9C9"/>
            <w:tcMar>
              <w:top w:w="80" w:type="dxa"/>
              <w:left w:w="80" w:type="dxa"/>
              <w:bottom w:w="80" w:type="dxa"/>
              <w:right w:w="80" w:type="dxa"/>
            </w:tcMar>
          </w:tcPr>
          <w:p w14:paraId="4AE967ED" w14:textId="57DFF5B5"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7744CDBB" w14:textId="61841582" w:rsidR="00BF5260" w:rsidRPr="00BF5260" w:rsidRDefault="00A7538C" w:rsidP="00292A53">
            <w:pPr>
              <w:spacing w:after="60"/>
              <w:rPr>
                <w:rFonts w:cs="Arial"/>
                <w:color w:val="000000"/>
                <w:sz w:val="14"/>
                <w:szCs w:val="16"/>
                <w:lang w:val="en-GB"/>
              </w:rPr>
            </w:pPr>
            <w:hyperlink r:id="rId1887" w:history="1">
              <w:r w:rsidR="00BF5260" w:rsidRPr="00BF5260">
                <w:rPr>
                  <w:rFonts w:cs="Arial"/>
                  <w:color w:val="0000FF"/>
                  <w:sz w:val="14"/>
                  <w:szCs w:val="16"/>
                  <w:u w:val="single"/>
                  <w:lang w:val="en-GB"/>
                </w:rPr>
                <w:t>Work trials: a guide for rehabilitation case managers (Pub 83)</w:t>
              </w:r>
            </w:hyperlink>
          </w:p>
        </w:tc>
      </w:tr>
      <w:tr w:rsidR="00BF5260" w:rsidRPr="00BF5260" w14:paraId="7D85AC60" w14:textId="77777777" w:rsidTr="00B2173F">
        <w:tc>
          <w:tcPr>
            <w:tcW w:w="1343" w:type="dxa"/>
            <w:tcMar>
              <w:top w:w="80" w:type="dxa"/>
              <w:left w:w="80" w:type="dxa"/>
              <w:bottom w:w="80" w:type="dxa"/>
              <w:right w:w="80" w:type="dxa"/>
            </w:tcMar>
          </w:tcPr>
          <w:p w14:paraId="6FD9FA76"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C’wealth Seacare</w:t>
            </w:r>
          </w:p>
        </w:tc>
        <w:tc>
          <w:tcPr>
            <w:tcW w:w="1709" w:type="dxa"/>
            <w:tcMar>
              <w:top w:w="80" w:type="dxa"/>
              <w:left w:w="80" w:type="dxa"/>
              <w:bottom w:w="80" w:type="dxa"/>
              <w:right w:w="80" w:type="dxa"/>
            </w:tcMar>
          </w:tcPr>
          <w:p w14:paraId="186A7502" w14:textId="233A0A9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4717962F" w14:textId="04B5586B"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6EE95559" w14:textId="3C0DA344"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087C3417" w14:textId="723D297D"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FE71A78" w14:textId="2F6D8CA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7FEF2556" w14:textId="18BADB2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47859D8" w14:textId="53776A1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681B61D9" w14:textId="272E1AA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r>
      <w:tr w:rsidR="00BF5260" w:rsidRPr="00BF5260" w14:paraId="58B06529" w14:textId="77777777" w:rsidTr="00B2173F">
        <w:tc>
          <w:tcPr>
            <w:tcW w:w="1343" w:type="dxa"/>
            <w:shd w:val="clear" w:color="auto" w:fill="FFC9C9"/>
            <w:tcMar>
              <w:top w:w="80" w:type="dxa"/>
              <w:left w:w="80" w:type="dxa"/>
              <w:bottom w:w="80" w:type="dxa"/>
              <w:right w:w="80" w:type="dxa"/>
            </w:tcMar>
          </w:tcPr>
          <w:p w14:paraId="0C32EA52"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C’wealth DVA</w:t>
            </w:r>
          </w:p>
        </w:tc>
        <w:tc>
          <w:tcPr>
            <w:tcW w:w="1709" w:type="dxa"/>
            <w:shd w:val="clear" w:color="auto" w:fill="FFC9C9"/>
            <w:tcMar>
              <w:top w:w="80" w:type="dxa"/>
              <w:left w:w="80" w:type="dxa"/>
              <w:bottom w:w="80" w:type="dxa"/>
              <w:right w:w="80" w:type="dxa"/>
            </w:tcMar>
          </w:tcPr>
          <w:p w14:paraId="1854009E" w14:textId="4A33A357" w:rsidR="00BF5260" w:rsidRPr="00BF5260" w:rsidRDefault="00B461BC" w:rsidP="009C3C74">
            <w:pPr>
              <w:spacing w:after="60"/>
              <w:rPr>
                <w:rFonts w:cs="Arial"/>
                <w:color w:val="000000"/>
                <w:sz w:val="14"/>
                <w:szCs w:val="16"/>
                <w:lang w:val="en-GB"/>
              </w:rPr>
            </w:pPr>
            <w:r>
              <w:rPr>
                <w:rFonts w:cs="Arial"/>
                <w:color w:val="000000"/>
                <w:sz w:val="14"/>
                <w:szCs w:val="16"/>
                <w:lang w:val="en-GB"/>
              </w:rPr>
              <w:t>Employer Incentive</w:t>
            </w:r>
            <w:r w:rsidR="009C3C74">
              <w:rPr>
                <w:rFonts w:cs="Arial"/>
                <w:color w:val="000000"/>
                <w:sz w:val="14"/>
                <w:szCs w:val="16"/>
                <w:lang w:val="en-GB"/>
              </w:rPr>
              <w:t xml:space="preserve"> Scheme</w:t>
            </w:r>
          </w:p>
        </w:tc>
        <w:tc>
          <w:tcPr>
            <w:tcW w:w="1709" w:type="dxa"/>
            <w:shd w:val="clear" w:color="auto" w:fill="FFC9C9"/>
            <w:tcMar>
              <w:top w:w="80" w:type="dxa"/>
              <w:left w:w="80" w:type="dxa"/>
              <w:bottom w:w="80" w:type="dxa"/>
              <w:right w:w="80" w:type="dxa"/>
            </w:tcMar>
          </w:tcPr>
          <w:p w14:paraId="69A8630B" w14:textId="526EE166"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7BEC9F4B" w14:textId="02C9DFE6"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3FA7FB94" w14:textId="159F25DE"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2A6B3602" w14:textId="157C68AE"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6E03AB03" w14:textId="60C89A13"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1DC48C73" w14:textId="0ACBB3F5"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184CE315" w14:textId="46F85656" w:rsidR="00BF5260" w:rsidRPr="00BF5260" w:rsidRDefault="00A7538C" w:rsidP="00292A53">
            <w:pPr>
              <w:spacing w:after="60"/>
              <w:rPr>
                <w:rFonts w:cs="Arial"/>
                <w:color w:val="000000"/>
                <w:sz w:val="14"/>
                <w:szCs w:val="16"/>
                <w:lang w:val="en-GB"/>
              </w:rPr>
            </w:pPr>
            <w:hyperlink r:id="rId1888" w:history="1">
              <w:r w:rsidR="009C3C74" w:rsidRPr="00D901DC">
                <w:rPr>
                  <w:rStyle w:val="Hyperlink"/>
                  <w:rFonts w:cs="Arial"/>
                  <w:sz w:val="14"/>
                  <w:szCs w:val="16"/>
                  <w:lang w:val="en-GB"/>
                </w:rPr>
                <w:t>Rehabilitation Policy Library 9.10</w:t>
              </w:r>
            </w:hyperlink>
          </w:p>
        </w:tc>
      </w:tr>
      <w:tr w:rsidR="00BF5260" w:rsidRPr="00BF5260" w14:paraId="1744E90F" w14:textId="77777777" w:rsidTr="00B2173F">
        <w:tc>
          <w:tcPr>
            <w:tcW w:w="1343" w:type="dxa"/>
            <w:tcMar>
              <w:top w:w="80" w:type="dxa"/>
              <w:left w:w="80" w:type="dxa"/>
              <w:bottom w:w="80" w:type="dxa"/>
              <w:right w:w="80" w:type="dxa"/>
            </w:tcMar>
          </w:tcPr>
          <w:p w14:paraId="0225A925"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New Zealand</w:t>
            </w:r>
          </w:p>
        </w:tc>
        <w:tc>
          <w:tcPr>
            <w:tcW w:w="1709" w:type="dxa"/>
            <w:tcMar>
              <w:top w:w="80" w:type="dxa"/>
              <w:left w:w="80" w:type="dxa"/>
              <w:bottom w:w="80" w:type="dxa"/>
              <w:right w:w="80" w:type="dxa"/>
            </w:tcMar>
          </w:tcPr>
          <w:p w14:paraId="79D69C59" w14:textId="4BCF988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3938ED1C" w14:textId="60DE50D3" w:rsidR="00BF5260" w:rsidRPr="00BF5260" w:rsidRDefault="00BF5260" w:rsidP="003D2FCB">
            <w:pPr>
              <w:tabs>
                <w:tab w:val="center" w:pos="774"/>
              </w:tabs>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57ED0F6E" w14:textId="4A9568B2"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3C75DB02" w14:textId="2B6E894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05FB2B9" w14:textId="4376462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42581243" w14:textId="47C09DE5"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47C170E0" w14:textId="091A0F1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631427BA" w14:textId="682907B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r>
    </w:tbl>
    <w:p w14:paraId="17FE263A" w14:textId="77777777" w:rsidR="00F73604" w:rsidRPr="00A80282" w:rsidRDefault="00F73604" w:rsidP="00A80282">
      <w:pPr>
        <w:pStyle w:val="SWATableheader"/>
      </w:pPr>
      <w:bookmarkStart w:id="171" w:name="_Toc504654694"/>
      <w:r w:rsidRPr="00A80282">
        <w:lastRenderedPageBreak/>
        <w:t>Table 5.5:</w:t>
      </w:r>
      <w:r w:rsidR="00A2222E" w:rsidRPr="00A80282">
        <w:t xml:space="preserve"> Responsibilities of authority/</w:t>
      </w:r>
      <w:r w:rsidRPr="00A80282">
        <w:t>insurer</w:t>
      </w:r>
      <w:bookmarkEnd w:id="171"/>
      <w:r w:rsidRPr="00A80282">
        <w:t xml:space="preserve"> </w:t>
      </w:r>
    </w:p>
    <w:tbl>
      <w:tblPr>
        <w:tblW w:w="1501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5: Responsibilities of authority/ insurer  "/>
        <w:tblDescription w:val="This table outlines the responsibilities of the authority or insurer under the workers' compensation schemes. "/>
      </w:tblPr>
      <w:tblGrid>
        <w:gridCol w:w="1343"/>
        <w:gridCol w:w="13672"/>
      </w:tblGrid>
      <w:tr w:rsidR="00F73604" w:rsidRPr="00F73604" w14:paraId="10B63014" w14:textId="77777777" w:rsidTr="00B2173F">
        <w:trPr>
          <w:tblHeader/>
        </w:trPr>
        <w:tc>
          <w:tcPr>
            <w:tcW w:w="1343" w:type="dxa"/>
            <w:shd w:val="clear" w:color="auto" w:fill="C00000"/>
            <w:tcMar>
              <w:top w:w="0" w:type="dxa"/>
              <w:left w:w="0" w:type="dxa"/>
              <w:bottom w:w="0" w:type="dxa"/>
              <w:right w:w="0" w:type="dxa"/>
            </w:tcMar>
            <w:vAlign w:val="center"/>
          </w:tcPr>
          <w:p w14:paraId="0C0D304D" w14:textId="77777777" w:rsidR="00F73604" w:rsidRPr="00F73604" w:rsidRDefault="00F73604" w:rsidP="00292A53">
            <w:pPr>
              <w:pStyle w:val="Tableheaderrow"/>
              <w:spacing w:after="60"/>
            </w:pPr>
            <w:bookmarkStart w:id="172" w:name="insurer"/>
          </w:p>
        </w:tc>
        <w:tc>
          <w:tcPr>
            <w:tcW w:w="13672" w:type="dxa"/>
            <w:shd w:val="clear" w:color="auto" w:fill="C00000"/>
            <w:tcMar>
              <w:top w:w="0" w:type="dxa"/>
              <w:left w:w="0" w:type="dxa"/>
              <w:bottom w:w="0" w:type="dxa"/>
              <w:right w:w="0" w:type="dxa"/>
            </w:tcMar>
            <w:vAlign w:val="center"/>
          </w:tcPr>
          <w:p w14:paraId="7102BA69" w14:textId="32F3F22A" w:rsidR="00F73604" w:rsidRPr="00F73604" w:rsidRDefault="00232E14" w:rsidP="00292A53">
            <w:pPr>
              <w:pStyle w:val="Tableheaderrow"/>
              <w:spacing w:after="60"/>
            </w:pPr>
            <w:r>
              <w:fldChar w:fldCharType="begin"/>
            </w:r>
            <w:r>
              <w:instrText xml:space="preserve"> XE "</w:instrText>
            </w:r>
            <w:r w:rsidRPr="00361E5B">
              <w:instrText>return to work:authority or insurer responsibilities</w:instrText>
            </w:r>
            <w:r>
              <w:instrText xml:space="preserve">" \r "insurer" </w:instrText>
            </w:r>
            <w:r>
              <w:fldChar w:fldCharType="end"/>
            </w:r>
            <w:r w:rsidR="00A2222E">
              <w:t>Responsibilities of authority/</w:t>
            </w:r>
            <w:r w:rsidR="00F73604" w:rsidRPr="00F73604">
              <w:t>insurer</w:t>
            </w:r>
          </w:p>
        </w:tc>
      </w:tr>
      <w:tr w:rsidR="00F73604" w:rsidRPr="00F73604" w14:paraId="6EECCCCC" w14:textId="77777777" w:rsidTr="00B2173F">
        <w:tc>
          <w:tcPr>
            <w:tcW w:w="1343" w:type="dxa"/>
            <w:shd w:val="clear" w:color="auto" w:fill="FFC9C9"/>
            <w:tcMar>
              <w:top w:w="80" w:type="dxa"/>
              <w:left w:w="80" w:type="dxa"/>
              <w:bottom w:w="80" w:type="dxa"/>
              <w:right w:w="80" w:type="dxa"/>
            </w:tcMar>
          </w:tcPr>
          <w:p w14:paraId="385F3254"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New South Wales</w:t>
            </w:r>
          </w:p>
        </w:tc>
        <w:tc>
          <w:tcPr>
            <w:tcW w:w="13672" w:type="dxa"/>
            <w:shd w:val="clear" w:color="auto" w:fill="FFC9C9"/>
            <w:tcMar>
              <w:top w:w="80" w:type="dxa"/>
              <w:left w:w="80" w:type="dxa"/>
              <w:bottom w:w="80" w:type="dxa"/>
              <w:right w:w="80" w:type="dxa"/>
            </w:tcMar>
          </w:tcPr>
          <w:p w14:paraId="0023B0F1" w14:textId="39DD78CD" w:rsidR="00B871AE" w:rsidRDefault="00B871AE" w:rsidP="00F839DB">
            <w:pPr>
              <w:pStyle w:val="ListParagraph"/>
              <w:numPr>
                <w:ilvl w:val="0"/>
                <w:numId w:val="281"/>
              </w:numPr>
              <w:spacing w:after="60"/>
              <w:contextualSpacing/>
              <w:rPr>
                <w:rFonts w:eastAsia="Calibri" w:cs="Arial"/>
                <w:sz w:val="14"/>
                <w:szCs w:val="14"/>
                <w:lang w:eastAsia="en-US"/>
              </w:rPr>
            </w:pPr>
            <w:r>
              <w:rPr>
                <w:rFonts w:eastAsia="Calibri" w:cs="Arial"/>
                <w:sz w:val="14"/>
                <w:szCs w:val="14"/>
                <w:lang w:eastAsia="en-US"/>
              </w:rPr>
              <w:t xml:space="preserve">The insurer must establish and maintain an injury management program and must revise the injury management program from time to time and when directed by SIRA </w:t>
            </w:r>
            <w:hyperlink r:id="rId1889" w:history="1">
              <w:r w:rsidRPr="0069713B">
                <w:rPr>
                  <w:rStyle w:val="Hyperlink"/>
                  <w:rFonts w:eastAsia="Calibri" w:cs="Arial"/>
                  <w:sz w:val="14"/>
                  <w:szCs w:val="14"/>
                  <w:lang w:eastAsia="en-US"/>
                </w:rPr>
                <w:t>s43(1)</w:t>
              </w:r>
            </w:hyperlink>
            <w:r>
              <w:rPr>
                <w:rFonts w:eastAsia="Calibri" w:cs="Arial"/>
                <w:sz w:val="14"/>
                <w:szCs w:val="14"/>
                <w:lang w:eastAsia="en-US"/>
              </w:rPr>
              <w:t xml:space="preserve"> of the </w:t>
            </w:r>
            <w:r w:rsidR="0069713B" w:rsidRPr="00016069">
              <w:rPr>
                <w:i/>
                <w:sz w:val="14"/>
              </w:rPr>
              <w:t>Workplace Injury Management and</w:t>
            </w:r>
            <w:r w:rsidR="0069713B">
              <w:rPr>
                <w:i/>
                <w:sz w:val="14"/>
              </w:rPr>
              <w:t xml:space="preserve"> Workers Compensation Act 1998</w:t>
            </w:r>
            <w:r>
              <w:rPr>
                <w:rFonts w:eastAsia="Calibri" w:cs="Arial"/>
                <w:sz w:val="14"/>
                <w:szCs w:val="14"/>
                <w:lang w:eastAsia="en-US"/>
              </w:rPr>
              <w:t>.</w:t>
            </w:r>
          </w:p>
          <w:p w14:paraId="0F7F86E1" w14:textId="507194F7" w:rsidR="00B871AE" w:rsidRDefault="00B871AE" w:rsidP="00F839DB">
            <w:pPr>
              <w:pStyle w:val="ListParagraph"/>
              <w:numPr>
                <w:ilvl w:val="0"/>
                <w:numId w:val="281"/>
              </w:numPr>
              <w:spacing w:after="60"/>
              <w:contextualSpacing/>
              <w:rPr>
                <w:rFonts w:eastAsia="Calibri" w:cs="Arial"/>
                <w:sz w:val="14"/>
                <w:szCs w:val="14"/>
                <w:lang w:eastAsia="en-US"/>
              </w:rPr>
            </w:pPr>
            <w:r>
              <w:rPr>
                <w:rFonts w:eastAsia="Calibri" w:cs="Arial"/>
                <w:sz w:val="14"/>
                <w:szCs w:val="14"/>
                <w:lang w:eastAsia="en-US"/>
              </w:rPr>
              <w:t xml:space="preserve">Take steps to ensure employers are made aware of their injury management obligations under the legislation and under the insurer’s injury management program </w:t>
            </w:r>
            <w:hyperlink r:id="rId1890" w:history="1">
              <w:r w:rsidRPr="0069713B">
                <w:rPr>
                  <w:rStyle w:val="Hyperlink"/>
                  <w:rFonts w:eastAsia="Calibri" w:cs="Arial"/>
                  <w:sz w:val="14"/>
                  <w:szCs w:val="14"/>
                  <w:lang w:eastAsia="en-US"/>
                </w:rPr>
                <w:t>s43(3)</w:t>
              </w:r>
            </w:hyperlink>
            <w:r>
              <w:rPr>
                <w:rFonts w:eastAsia="Calibri" w:cs="Arial"/>
                <w:sz w:val="14"/>
                <w:szCs w:val="14"/>
                <w:lang w:eastAsia="en-US"/>
              </w:rPr>
              <w:t xml:space="preserve"> of the 1998 Act. </w:t>
            </w:r>
          </w:p>
          <w:p w14:paraId="371A89CC" w14:textId="59D49A41" w:rsidR="00F73604" w:rsidRP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The insurer must within three working days of being notified that a worker has sustained a significant injury, contact the employer, worker and (if necessary) the nominated treating doctor</w:t>
            </w:r>
            <w:r w:rsidR="00B871AE">
              <w:rPr>
                <w:rFonts w:eastAsia="Calibri" w:cs="Arial"/>
                <w:sz w:val="14"/>
                <w:szCs w:val="14"/>
                <w:lang w:eastAsia="en-US"/>
              </w:rPr>
              <w:t xml:space="preserve">, </w:t>
            </w:r>
            <w:hyperlink r:id="rId1891" w:history="1">
              <w:r w:rsidR="00B871AE" w:rsidRPr="0069713B">
                <w:rPr>
                  <w:rStyle w:val="Hyperlink"/>
                  <w:rFonts w:eastAsia="Calibri" w:cs="Arial"/>
                  <w:sz w:val="14"/>
                  <w:szCs w:val="14"/>
                  <w:lang w:eastAsia="en-US"/>
                </w:rPr>
                <w:t>s43(3)</w:t>
              </w:r>
            </w:hyperlink>
            <w:r w:rsidR="00B871AE">
              <w:rPr>
                <w:rFonts w:eastAsia="Calibri" w:cs="Arial"/>
                <w:sz w:val="14"/>
                <w:szCs w:val="14"/>
                <w:lang w:eastAsia="en-US"/>
              </w:rPr>
              <w:t xml:space="preserve"> of the 1998 Act</w:t>
            </w:r>
            <w:r w:rsidRPr="00F73604">
              <w:rPr>
                <w:rFonts w:eastAsia="Calibri" w:cs="Arial"/>
                <w:sz w:val="14"/>
                <w:szCs w:val="14"/>
                <w:lang w:eastAsia="en-US"/>
              </w:rPr>
              <w:t>. Subsequently, the insurer must develop an injury management plan in line with timeframes in the insurer’s injury management program</w:t>
            </w:r>
            <w:r w:rsidR="00B871AE">
              <w:rPr>
                <w:rFonts w:eastAsia="Calibri" w:cs="Arial"/>
                <w:sz w:val="14"/>
                <w:szCs w:val="14"/>
                <w:lang w:eastAsia="en-US"/>
              </w:rPr>
              <w:t xml:space="preserve">, </w:t>
            </w:r>
            <w:hyperlink r:id="rId1892" w:history="1">
              <w:r w:rsidR="00B871AE" w:rsidRPr="0069713B">
                <w:rPr>
                  <w:rStyle w:val="Hyperlink"/>
                  <w:rFonts w:eastAsia="Calibri" w:cs="Arial"/>
                  <w:sz w:val="14"/>
                  <w:szCs w:val="14"/>
                  <w:lang w:eastAsia="en-US"/>
                </w:rPr>
                <w:t>Section 45</w:t>
              </w:r>
            </w:hyperlink>
            <w:r w:rsidR="00B871AE">
              <w:rPr>
                <w:rFonts w:eastAsia="Calibri" w:cs="Arial"/>
                <w:sz w:val="14"/>
                <w:szCs w:val="14"/>
                <w:lang w:eastAsia="en-US"/>
              </w:rPr>
              <w:t xml:space="preserve"> 1998 Act</w:t>
            </w:r>
            <w:r w:rsidRPr="00F73604">
              <w:rPr>
                <w:rFonts w:eastAsia="Calibri" w:cs="Arial"/>
                <w:sz w:val="14"/>
                <w:szCs w:val="14"/>
                <w:lang w:eastAsia="en-US"/>
              </w:rPr>
              <w:t xml:space="preserve">. </w:t>
            </w:r>
          </w:p>
          <w:p w14:paraId="10252351" w14:textId="77777777" w:rsidR="00F73604" w:rsidRP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 xml:space="preserve">Consult with the injured worker, employer and nominated treating doctor in the development of an injury management plan. </w:t>
            </w:r>
          </w:p>
          <w:p w14:paraId="7BC8837C" w14:textId="77777777" w:rsid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 xml:space="preserve">Provide the injured worker, employer and nominated treating doctor with information on the injury management plan initially and as the plan progresses. </w:t>
            </w:r>
          </w:p>
          <w:p w14:paraId="7160C69A" w14:textId="5B20BA39" w:rsidR="00B871AE" w:rsidRDefault="00B871AE" w:rsidP="00F839DB">
            <w:pPr>
              <w:pStyle w:val="ListParagraph"/>
              <w:numPr>
                <w:ilvl w:val="0"/>
                <w:numId w:val="281"/>
              </w:numPr>
              <w:spacing w:after="60"/>
              <w:contextualSpacing/>
              <w:rPr>
                <w:rFonts w:eastAsia="Calibri" w:cs="Arial"/>
                <w:sz w:val="14"/>
                <w:szCs w:val="14"/>
                <w:lang w:eastAsia="en-US"/>
              </w:rPr>
            </w:pPr>
            <w:r>
              <w:rPr>
                <w:rFonts w:eastAsia="Calibri" w:cs="Arial"/>
                <w:sz w:val="14"/>
                <w:szCs w:val="14"/>
                <w:lang w:eastAsia="en-US"/>
              </w:rPr>
              <w:t xml:space="preserve">Commence provisional payment of weekly payments and medical expenses within seven days of being notified of an injury, unless they have a reasonable excuse for not commencing those weekly payments, </w:t>
            </w:r>
            <w:hyperlink r:id="rId1893" w:history="1">
              <w:r w:rsidRPr="0069713B">
                <w:rPr>
                  <w:rStyle w:val="Hyperlink"/>
                  <w:rFonts w:eastAsia="Calibri" w:cs="Arial"/>
                  <w:sz w:val="14"/>
                  <w:szCs w:val="14"/>
                  <w:lang w:eastAsia="en-US"/>
                </w:rPr>
                <w:t>s267(1)</w:t>
              </w:r>
            </w:hyperlink>
            <w:r>
              <w:rPr>
                <w:rFonts w:eastAsia="Calibri" w:cs="Arial"/>
                <w:sz w:val="14"/>
                <w:szCs w:val="14"/>
                <w:lang w:eastAsia="en-US"/>
              </w:rPr>
              <w:t xml:space="preserve"> 1998 Act.</w:t>
            </w:r>
          </w:p>
          <w:p w14:paraId="15C6F2B6" w14:textId="622AC9F6" w:rsidR="00B871AE" w:rsidRPr="00F73604" w:rsidRDefault="00B871AE" w:rsidP="00F839DB">
            <w:pPr>
              <w:pStyle w:val="ListParagraph"/>
              <w:numPr>
                <w:ilvl w:val="0"/>
                <w:numId w:val="281"/>
              </w:numPr>
              <w:spacing w:after="60"/>
              <w:contextualSpacing/>
              <w:rPr>
                <w:rFonts w:eastAsia="Calibri" w:cs="Arial"/>
                <w:sz w:val="14"/>
                <w:szCs w:val="14"/>
                <w:lang w:eastAsia="en-US"/>
              </w:rPr>
            </w:pPr>
            <w:r>
              <w:rPr>
                <w:rFonts w:eastAsia="Calibri" w:cs="Arial"/>
                <w:sz w:val="14"/>
                <w:szCs w:val="14"/>
                <w:lang w:eastAsia="en-US"/>
              </w:rPr>
              <w:t xml:space="preserve">Inform the worker that entitlement to weekly payments can be suspended if the worker does not </w:t>
            </w:r>
            <w:r w:rsidR="003C4CD5">
              <w:rPr>
                <w:rFonts w:eastAsia="Calibri" w:cs="Arial"/>
                <w:sz w:val="14"/>
                <w:szCs w:val="14"/>
                <w:lang w:eastAsia="en-US"/>
              </w:rPr>
              <w:t xml:space="preserve">reasonably comply with the injury management plan </w:t>
            </w:r>
            <w:hyperlink r:id="rId1894" w:history="1">
              <w:r w:rsidR="003C4CD5" w:rsidRPr="0069713B">
                <w:rPr>
                  <w:rStyle w:val="Hyperlink"/>
                  <w:rFonts w:eastAsia="Calibri" w:cs="Arial"/>
                  <w:sz w:val="14"/>
                  <w:szCs w:val="14"/>
                  <w:lang w:eastAsia="en-US"/>
                </w:rPr>
                <w:t>s45(4)</w:t>
              </w:r>
            </w:hyperlink>
            <w:r w:rsidR="003C4CD5">
              <w:rPr>
                <w:rFonts w:eastAsia="Calibri" w:cs="Arial"/>
                <w:sz w:val="14"/>
                <w:szCs w:val="14"/>
                <w:lang w:eastAsia="en-US"/>
              </w:rPr>
              <w:t xml:space="preserve"> 1998 Act.</w:t>
            </w:r>
          </w:p>
          <w:p w14:paraId="56691A91" w14:textId="77777777" w:rsidR="00F73604" w:rsidRP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 xml:space="preserve">Consult with the injured worker, employer and nominated treating doctor when referring to a workplace rehabilitation provider. </w:t>
            </w:r>
          </w:p>
          <w:p w14:paraId="192D0385" w14:textId="2DA701A1" w:rsidR="00F73604" w:rsidRP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 xml:space="preserve">Ensure vocational retraining and/or assistance to obtain employment </w:t>
            </w:r>
            <w:r w:rsidR="001E0C18">
              <w:rPr>
                <w:rFonts w:eastAsia="Calibri" w:cs="Arial"/>
                <w:sz w:val="14"/>
                <w:szCs w:val="14"/>
                <w:lang w:eastAsia="en-US"/>
              </w:rPr>
              <w:t xml:space="preserve">is provided or arranged for a worker that may reasonably lead to a real prospect of employment, </w:t>
            </w:r>
            <w:hyperlink r:id="rId1895" w:history="1">
              <w:r w:rsidR="001E0C18" w:rsidRPr="0069713B">
                <w:rPr>
                  <w:rStyle w:val="Hyperlink"/>
                  <w:rFonts w:eastAsia="Calibri" w:cs="Arial"/>
                  <w:sz w:val="14"/>
                  <w:szCs w:val="14"/>
                  <w:lang w:eastAsia="en-US"/>
                </w:rPr>
                <w:t>s45(6)</w:t>
              </w:r>
            </w:hyperlink>
            <w:r w:rsidR="001E0C18">
              <w:rPr>
                <w:rFonts w:eastAsia="Calibri" w:cs="Arial"/>
                <w:sz w:val="14"/>
                <w:szCs w:val="14"/>
                <w:lang w:eastAsia="en-US"/>
              </w:rPr>
              <w:t xml:space="preserve"> of the 1998 Act.</w:t>
            </w:r>
          </w:p>
        </w:tc>
      </w:tr>
      <w:tr w:rsidR="00F73604" w:rsidRPr="00F73604" w14:paraId="4CD7E2D7" w14:textId="77777777" w:rsidTr="00B2173F">
        <w:tc>
          <w:tcPr>
            <w:tcW w:w="1343" w:type="dxa"/>
            <w:tcMar>
              <w:top w:w="80" w:type="dxa"/>
              <w:left w:w="80" w:type="dxa"/>
              <w:bottom w:w="80" w:type="dxa"/>
              <w:right w:w="80" w:type="dxa"/>
            </w:tcMar>
          </w:tcPr>
          <w:p w14:paraId="0D7992E4" w14:textId="0C59EED6"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Victoria</w:t>
            </w:r>
          </w:p>
        </w:tc>
        <w:tc>
          <w:tcPr>
            <w:tcW w:w="13672" w:type="dxa"/>
            <w:tcMar>
              <w:top w:w="80" w:type="dxa"/>
              <w:left w:w="80" w:type="dxa"/>
              <w:bottom w:w="80" w:type="dxa"/>
              <w:right w:w="80" w:type="dxa"/>
            </w:tcMar>
          </w:tcPr>
          <w:p w14:paraId="0C04F425" w14:textId="2B74D0AB" w:rsidR="00F73604" w:rsidRPr="00F73604" w:rsidRDefault="00F73604" w:rsidP="00F839DB">
            <w:pPr>
              <w:pStyle w:val="ListParagraph"/>
              <w:numPr>
                <w:ilvl w:val="0"/>
                <w:numId w:val="282"/>
              </w:numPr>
              <w:spacing w:after="60"/>
              <w:contextualSpacing/>
              <w:rPr>
                <w:rFonts w:eastAsia="Calibri" w:cs="Arial"/>
                <w:sz w:val="14"/>
                <w:szCs w:val="14"/>
                <w:lang w:eastAsia="en-US"/>
              </w:rPr>
            </w:pPr>
            <w:r w:rsidRPr="00F73604">
              <w:rPr>
                <w:rFonts w:eastAsia="Calibri" w:cs="Arial"/>
                <w:sz w:val="14"/>
                <w:szCs w:val="14"/>
                <w:lang w:eastAsia="en-US"/>
              </w:rPr>
              <w:t xml:space="preserve">Agents do not have return to work obligations under the </w:t>
            </w:r>
            <w:r w:rsidR="00DD2474" w:rsidRPr="00016069">
              <w:rPr>
                <w:i/>
                <w:sz w:val="14"/>
              </w:rPr>
              <w:t>Workplace Injury Rehabilitation and Compensation Act 2013</w:t>
            </w:r>
            <w:r w:rsidRPr="00F73604">
              <w:rPr>
                <w:rFonts w:eastAsia="Calibri" w:cs="Arial"/>
                <w:sz w:val="14"/>
                <w:szCs w:val="14"/>
                <w:lang w:eastAsia="en-US"/>
              </w:rPr>
              <w:t xml:space="preserve">, while employers and workers do. While Agents can assist employers and workers to meet their return to work obligations, such as return to work planning, they cannot meet these obligations on the organisation’s or individual’s behalf. For instance, in relation to complying with </w:t>
            </w:r>
            <w:hyperlink r:id="rId1896" w:history="1">
              <w:r w:rsidRPr="00DD2474">
                <w:rPr>
                  <w:rStyle w:val="Hyperlink"/>
                  <w:rFonts w:eastAsia="Calibri" w:cs="Arial"/>
                  <w:sz w:val="14"/>
                  <w:szCs w:val="14"/>
                  <w:lang w:eastAsia="en-US"/>
                </w:rPr>
                <w:t>s104</w:t>
              </w:r>
            </w:hyperlink>
            <w:r w:rsidRPr="00F73604">
              <w:rPr>
                <w:rFonts w:eastAsia="Calibri" w:cs="Arial"/>
                <w:sz w:val="14"/>
                <w:szCs w:val="14"/>
                <w:lang w:eastAsia="en-US"/>
              </w:rPr>
              <w:t xml:space="preserve"> (providing the worker with clear and accurate details of the return to work arrangements) </w:t>
            </w:r>
          </w:p>
          <w:p w14:paraId="3516F593" w14:textId="77777777" w:rsidR="00F73604" w:rsidRPr="00F73604" w:rsidRDefault="00F73604" w:rsidP="00F839DB">
            <w:pPr>
              <w:pStyle w:val="ListParagraph"/>
              <w:numPr>
                <w:ilvl w:val="0"/>
                <w:numId w:val="282"/>
              </w:numPr>
              <w:spacing w:after="60"/>
              <w:contextualSpacing/>
              <w:rPr>
                <w:rFonts w:eastAsia="Calibri" w:cs="Arial"/>
                <w:sz w:val="14"/>
                <w:szCs w:val="14"/>
                <w:lang w:eastAsia="en-US"/>
              </w:rPr>
            </w:pPr>
            <w:r w:rsidRPr="00F73604">
              <w:rPr>
                <w:rFonts w:eastAsia="Calibri" w:cs="Arial"/>
                <w:sz w:val="14"/>
                <w:szCs w:val="14"/>
                <w:lang w:eastAsia="en-US"/>
              </w:rPr>
              <w:t>Agents can assist employers in developing arrangements. This could in some instances involve assistance in the writing of return to work arrangements provided the employer has ownership of the arrangements. Ownership includes the employer agreeing with and understanding the details of the return to work arrangements and ensuring that the worker and other people such as the worker’s supervisor are aware of the arrangements.</w:t>
            </w:r>
          </w:p>
        </w:tc>
      </w:tr>
      <w:tr w:rsidR="00F73604" w:rsidRPr="00F73604" w14:paraId="6308F9D5" w14:textId="77777777" w:rsidTr="00B2173F">
        <w:tc>
          <w:tcPr>
            <w:tcW w:w="1343" w:type="dxa"/>
            <w:shd w:val="clear" w:color="auto" w:fill="FFC9C9"/>
            <w:tcMar>
              <w:top w:w="80" w:type="dxa"/>
              <w:left w:w="80" w:type="dxa"/>
              <w:bottom w:w="80" w:type="dxa"/>
              <w:right w:w="80" w:type="dxa"/>
            </w:tcMar>
          </w:tcPr>
          <w:p w14:paraId="1126352A"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Queensland</w:t>
            </w:r>
          </w:p>
        </w:tc>
        <w:tc>
          <w:tcPr>
            <w:tcW w:w="13672" w:type="dxa"/>
            <w:shd w:val="clear" w:color="auto" w:fill="FFC9C9"/>
            <w:tcMar>
              <w:top w:w="80" w:type="dxa"/>
              <w:left w:w="80" w:type="dxa"/>
              <w:bottom w:w="80" w:type="dxa"/>
              <w:right w:w="80" w:type="dxa"/>
            </w:tcMar>
          </w:tcPr>
          <w:p w14:paraId="01D244AF" w14:textId="60B11600" w:rsidR="00F73604" w:rsidRPr="00F73604" w:rsidRDefault="00B75F08" w:rsidP="00F839DB">
            <w:pPr>
              <w:pStyle w:val="ListParagraph"/>
              <w:numPr>
                <w:ilvl w:val="0"/>
                <w:numId w:val="283"/>
              </w:numPr>
              <w:spacing w:after="60"/>
              <w:contextualSpacing/>
              <w:rPr>
                <w:rFonts w:eastAsia="Calibri" w:cs="Arial"/>
                <w:sz w:val="14"/>
                <w:szCs w:val="14"/>
                <w:lang w:eastAsia="en-US"/>
              </w:rPr>
            </w:pPr>
            <w:r w:rsidRPr="00016069">
              <w:rPr>
                <w:i/>
                <w:sz w:val="14"/>
              </w:rPr>
              <w:t>Workers’ Compensation and Rehabilitation Act 2003</w:t>
            </w:r>
            <w:r w:rsidR="00F73604" w:rsidRPr="00F73604">
              <w:rPr>
                <w:rFonts w:eastAsia="Calibri" w:cs="Arial"/>
                <w:sz w:val="14"/>
                <w:szCs w:val="14"/>
                <w:lang w:eastAsia="en-US"/>
              </w:rPr>
              <w:t xml:space="preserve"> </w:t>
            </w:r>
            <w:hyperlink r:id="rId1897" w:anchor="sec.220" w:history="1">
              <w:r w:rsidR="001A5DC7" w:rsidRPr="007C3585">
                <w:rPr>
                  <w:rStyle w:val="Hyperlink"/>
                  <w:rFonts w:eastAsia="Calibri" w:cs="Arial"/>
                  <w:sz w:val="14"/>
                  <w:szCs w:val="14"/>
                  <w:lang w:eastAsia="en-US"/>
                </w:rPr>
                <w:t>s220</w:t>
              </w:r>
            </w:hyperlink>
            <w:r w:rsidR="00F73604" w:rsidRPr="00F73604">
              <w:rPr>
                <w:rFonts w:eastAsia="Calibri" w:cs="Arial"/>
                <w:sz w:val="14"/>
                <w:szCs w:val="14"/>
                <w:lang w:eastAsia="en-US"/>
              </w:rPr>
              <w:t xml:space="preserve"> — an insurer must take the steps it considers practicable to secure the rehabilitation and early return to suitable duties of workers who have an entitlement to compensation. </w:t>
            </w:r>
          </w:p>
          <w:p w14:paraId="7AA1986E" w14:textId="77777777" w:rsidR="00F73604" w:rsidRPr="00F73604" w:rsidRDefault="00F73604" w:rsidP="00F839DB">
            <w:pPr>
              <w:pStyle w:val="ListParagraph"/>
              <w:numPr>
                <w:ilvl w:val="0"/>
                <w:numId w:val="283"/>
              </w:numPr>
              <w:spacing w:after="60"/>
              <w:contextualSpacing/>
              <w:rPr>
                <w:rFonts w:eastAsia="Calibri" w:cs="Arial"/>
                <w:sz w:val="14"/>
                <w:szCs w:val="14"/>
                <w:lang w:eastAsia="en-US"/>
              </w:rPr>
            </w:pPr>
            <w:r w:rsidRPr="00F73604">
              <w:rPr>
                <w:rFonts w:eastAsia="Calibri" w:cs="Arial"/>
                <w:sz w:val="14"/>
                <w:szCs w:val="14"/>
                <w:lang w:eastAsia="en-US"/>
              </w:rPr>
              <w:t>An insurer must refer a worker who has lodged a notice of claim to an accredited return to work program of the insurer, unless the insurer is satisfied that, as a result of the injury, the worker will not be able to participate in the program.</w:t>
            </w:r>
          </w:p>
          <w:p w14:paraId="2461B045" w14:textId="77777777" w:rsidR="00F73604" w:rsidRPr="00F73604" w:rsidRDefault="00F73604" w:rsidP="00F839DB">
            <w:pPr>
              <w:pStyle w:val="ListParagraph"/>
              <w:numPr>
                <w:ilvl w:val="0"/>
                <w:numId w:val="283"/>
              </w:numPr>
              <w:spacing w:after="60"/>
              <w:contextualSpacing/>
              <w:rPr>
                <w:rFonts w:eastAsia="Calibri" w:cs="Arial"/>
                <w:sz w:val="14"/>
                <w:szCs w:val="14"/>
                <w:lang w:eastAsia="en-US"/>
              </w:rPr>
            </w:pPr>
            <w:r w:rsidRPr="00F73604">
              <w:rPr>
                <w:rFonts w:eastAsia="Calibri" w:cs="Arial"/>
                <w:sz w:val="14"/>
                <w:szCs w:val="14"/>
                <w:lang w:eastAsia="en-US"/>
              </w:rPr>
              <w:t xml:space="preserve">An insurer must take the steps it considers practicable to coordinate the development and maintenance of a rehabilitation and return to work plan in consultation with the injured worker, the worker’s employer and treating registered persons. </w:t>
            </w:r>
          </w:p>
          <w:p w14:paraId="52B41EA8" w14:textId="77777777" w:rsidR="00F73604" w:rsidRPr="00F73604" w:rsidRDefault="00F73604" w:rsidP="00F839DB">
            <w:pPr>
              <w:pStyle w:val="ListParagraph"/>
              <w:numPr>
                <w:ilvl w:val="0"/>
                <w:numId w:val="283"/>
              </w:numPr>
              <w:spacing w:after="60"/>
              <w:contextualSpacing/>
              <w:rPr>
                <w:rFonts w:eastAsia="Calibri" w:cs="Arial"/>
                <w:sz w:val="14"/>
                <w:szCs w:val="14"/>
                <w:lang w:eastAsia="en-US"/>
              </w:rPr>
            </w:pPr>
            <w:r w:rsidRPr="00F73604">
              <w:rPr>
                <w:rFonts w:eastAsia="Calibri" w:cs="Arial"/>
                <w:sz w:val="14"/>
                <w:szCs w:val="14"/>
                <w:lang w:eastAsia="en-US"/>
              </w:rPr>
              <w:t>An accredited return to work program, of an insurer, means a return to work program managed by the insurer that is accredited by the Workers’ Compensation Regulator.</w:t>
            </w:r>
          </w:p>
        </w:tc>
      </w:tr>
      <w:tr w:rsidR="00F73604" w:rsidRPr="00F73604" w14:paraId="0B1FED57" w14:textId="77777777" w:rsidTr="00B2173F">
        <w:tc>
          <w:tcPr>
            <w:tcW w:w="1343" w:type="dxa"/>
            <w:tcMar>
              <w:top w:w="80" w:type="dxa"/>
              <w:left w:w="80" w:type="dxa"/>
              <w:bottom w:w="80" w:type="dxa"/>
              <w:right w:w="80" w:type="dxa"/>
            </w:tcMar>
          </w:tcPr>
          <w:p w14:paraId="6A65424F"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Western Australia</w:t>
            </w:r>
          </w:p>
        </w:tc>
        <w:tc>
          <w:tcPr>
            <w:tcW w:w="13672" w:type="dxa"/>
            <w:tcMar>
              <w:top w:w="80" w:type="dxa"/>
              <w:left w:w="80" w:type="dxa"/>
              <w:bottom w:w="80" w:type="dxa"/>
              <w:right w:w="80" w:type="dxa"/>
            </w:tcMar>
          </w:tcPr>
          <w:p w14:paraId="49ADBA0C" w14:textId="77777777" w:rsidR="00F73604" w:rsidRPr="00F73604" w:rsidRDefault="00F73604" w:rsidP="00292A53">
            <w:pPr>
              <w:spacing w:after="60"/>
              <w:rPr>
                <w:rFonts w:cs="Arial"/>
                <w:b/>
                <w:color w:val="000000"/>
                <w:sz w:val="14"/>
                <w:szCs w:val="16"/>
                <w:lang w:val="en-GB"/>
              </w:rPr>
            </w:pPr>
            <w:r w:rsidRPr="00F73604">
              <w:rPr>
                <w:rFonts w:cs="Arial"/>
                <w:b/>
                <w:color w:val="000000"/>
                <w:sz w:val="14"/>
                <w:szCs w:val="16"/>
                <w:lang w:val="en-GB"/>
              </w:rPr>
              <w:t>Insurers’ Responsibilities</w:t>
            </w:r>
          </w:p>
          <w:p w14:paraId="28C74709" w14:textId="7AE07265" w:rsidR="00F73604" w:rsidRPr="00F73604" w:rsidRDefault="000A5944" w:rsidP="00F839DB">
            <w:pPr>
              <w:pStyle w:val="ListParagraph"/>
              <w:numPr>
                <w:ilvl w:val="0"/>
                <w:numId w:val="284"/>
              </w:numPr>
              <w:spacing w:after="60"/>
              <w:ind w:left="357" w:hanging="357"/>
              <w:rPr>
                <w:rFonts w:eastAsia="Calibri" w:cs="Arial"/>
                <w:sz w:val="14"/>
                <w:szCs w:val="14"/>
                <w:lang w:eastAsia="en-US"/>
              </w:rPr>
            </w:pPr>
            <w:r w:rsidRPr="00016069">
              <w:rPr>
                <w:i/>
                <w:sz w:val="14"/>
              </w:rPr>
              <w:t>Workers’ Compensation and Injury Management Act 1981</w:t>
            </w:r>
            <w:r>
              <w:rPr>
                <w:i/>
                <w:sz w:val="14"/>
              </w:rPr>
              <w:t xml:space="preserve"> </w:t>
            </w:r>
            <w:hyperlink r:id="rId1898" w:history="1">
              <w:r w:rsidR="00F73604" w:rsidRPr="000A5944">
                <w:rPr>
                  <w:rStyle w:val="Hyperlink"/>
                  <w:rFonts w:eastAsia="Calibri" w:cs="Arial"/>
                  <w:sz w:val="14"/>
                  <w:szCs w:val="14"/>
                  <w:lang w:eastAsia="en-US"/>
                </w:rPr>
                <w:t>s155D</w:t>
              </w:r>
            </w:hyperlink>
            <w:r w:rsidR="00F73604" w:rsidRPr="00F73604">
              <w:rPr>
                <w:rFonts w:eastAsia="Calibri" w:cs="Arial"/>
                <w:sz w:val="14"/>
                <w:szCs w:val="14"/>
                <w:lang w:eastAsia="en-US"/>
              </w:rPr>
              <w:t xml:space="preserve"> — Injury management: insurers’ obligations: </w:t>
            </w:r>
          </w:p>
          <w:p w14:paraId="7FFCF497" w14:textId="77777777" w:rsidR="00F73604" w:rsidRPr="00F73604" w:rsidRDefault="00F73604" w:rsidP="00F839DB">
            <w:pPr>
              <w:pStyle w:val="ListParagraph"/>
              <w:numPr>
                <w:ilvl w:val="0"/>
                <w:numId w:val="285"/>
              </w:numPr>
              <w:spacing w:after="60"/>
              <w:ind w:left="627" w:hanging="284"/>
              <w:rPr>
                <w:rFonts w:cs="Arial"/>
                <w:color w:val="000000"/>
                <w:sz w:val="14"/>
                <w:szCs w:val="16"/>
                <w:lang w:val="en-GB"/>
              </w:rPr>
            </w:pPr>
            <w:r w:rsidRPr="00F73604">
              <w:rPr>
                <w:rFonts w:cs="Arial"/>
                <w:color w:val="000000"/>
                <w:sz w:val="14"/>
                <w:szCs w:val="16"/>
                <w:lang w:val="en-GB"/>
              </w:rPr>
              <w:t>To make employers aware of their obligations in relation to return to work programs and injury management systems.</w:t>
            </w:r>
          </w:p>
          <w:p w14:paraId="26403A45" w14:textId="77777777" w:rsidR="00F73604" w:rsidRPr="00F73604" w:rsidRDefault="00F73604" w:rsidP="00F839DB">
            <w:pPr>
              <w:pStyle w:val="ListParagraph"/>
              <w:numPr>
                <w:ilvl w:val="0"/>
                <w:numId w:val="285"/>
              </w:numPr>
              <w:spacing w:after="60"/>
              <w:ind w:left="627" w:hanging="284"/>
              <w:rPr>
                <w:rFonts w:cs="Arial"/>
                <w:color w:val="000000"/>
                <w:sz w:val="14"/>
                <w:szCs w:val="16"/>
                <w:lang w:val="en-GB"/>
              </w:rPr>
            </w:pPr>
            <w:r w:rsidRPr="00F73604">
              <w:rPr>
                <w:rFonts w:cs="Arial"/>
                <w:color w:val="000000"/>
                <w:sz w:val="14"/>
                <w:szCs w:val="16"/>
                <w:lang w:val="en-GB"/>
              </w:rPr>
              <w:t xml:space="preserve">If requested by the employer either: </w:t>
            </w:r>
          </w:p>
          <w:p w14:paraId="090834D3" w14:textId="77777777" w:rsidR="00F73604" w:rsidRPr="00F73604" w:rsidRDefault="00F73604" w:rsidP="00F839DB">
            <w:pPr>
              <w:pStyle w:val="ListParagraph"/>
              <w:numPr>
                <w:ilvl w:val="0"/>
                <w:numId w:val="286"/>
              </w:numPr>
              <w:spacing w:after="60"/>
              <w:ind w:left="910" w:hanging="283"/>
              <w:contextualSpacing/>
              <w:rPr>
                <w:rFonts w:eastAsia="Calibri" w:cs="Arial"/>
                <w:sz w:val="14"/>
                <w:szCs w:val="14"/>
                <w:lang w:eastAsia="en-US"/>
              </w:rPr>
            </w:pPr>
            <w:r w:rsidRPr="00F73604">
              <w:rPr>
                <w:rFonts w:eastAsia="Calibri" w:cs="Arial"/>
                <w:sz w:val="14"/>
                <w:szCs w:val="14"/>
                <w:lang w:eastAsia="en-US"/>
              </w:rPr>
              <w:t>assist the employer comply with their obligations in relation to return to work programs and injury management systems, or</w:t>
            </w:r>
          </w:p>
          <w:p w14:paraId="1ADF2845" w14:textId="77777777" w:rsidR="00F73604" w:rsidRPr="00F73604" w:rsidRDefault="00F73604" w:rsidP="00F839DB">
            <w:pPr>
              <w:pStyle w:val="ListParagraph"/>
              <w:numPr>
                <w:ilvl w:val="0"/>
                <w:numId w:val="286"/>
              </w:numPr>
              <w:spacing w:after="60"/>
              <w:ind w:left="910" w:hanging="283"/>
              <w:rPr>
                <w:rFonts w:eastAsia="Calibri" w:cs="Arial"/>
                <w:sz w:val="14"/>
                <w:szCs w:val="14"/>
                <w:lang w:eastAsia="en-US"/>
              </w:rPr>
            </w:pPr>
            <w:r w:rsidRPr="00F73604">
              <w:rPr>
                <w:rFonts w:eastAsia="Calibri" w:cs="Arial"/>
                <w:sz w:val="14"/>
                <w:szCs w:val="14"/>
                <w:lang w:eastAsia="en-US"/>
              </w:rPr>
              <w:t>discharge the employer’s obligations on behalf of the employer.</w:t>
            </w:r>
          </w:p>
          <w:p w14:paraId="7E189995" w14:textId="77777777" w:rsidR="00F73604" w:rsidRPr="00F73604" w:rsidRDefault="00F73604" w:rsidP="00292A53">
            <w:pPr>
              <w:spacing w:after="60"/>
              <w:rPr>
                <w:rFonts w:cs="Arial"/>
                <w:b/>
                <w:color w:val="000000"/>
                <w:sz w:val="14"/>
                <w:szCs w:val="16"/>
                <w:lang w:val="en-GB"/>
              </w:rPr>
            </w:pPr>
            <w:r w:rsidRPr="00F73604">
              <w:rPr>
                <w:rFonts w:cs="Arial"/>
                <w:b/>
                <w:color w:val="000000"/>
                <w:sz w:val="14"/>
                <w:szCs w:val="16"/>
                <w:lang w:val="en-GB"/>
              </w:rPr>
              <w:t>WorkCover WA Responsibilities</w:t>
            </w:r>
          </w:p>
          <w:p w14:paraId="10C8E404" w14:textId="3F674D5E" w:rsidR="00F73604" w:rsidRPr="00F73604" w:rsidRDefault="00A7538C" w:rsidP="00F839DB">
            <w:pPr>
              <w:pStyle w:val="ListParagraph"/>
              <w:numPr>
                <w:ilvl w:val="0"/>
                <w:numId w:val="284"/>
              </w:numPr>
              <w:spacing w:after="60"/>
              <w:ind w:left="357" w:hanging="357"/>
              <w:rPr>
                <w:rFonts w:eastAsia="Calibri" w:cs="Arial"/>
                <w:sz w:val="14"/>
                <w:szCs w:val="14"/>
                <w:lang w:eastAsia="en-US"/>
              </w:rPr>
            </w:pPr>
            <w:hyperlink r:id="rId1899" w:history="1">
              <w:r w:rsidR="00F73604" w:rsidRPr="000A5944">
                <w:rPr>
                  <w:rStyle w:val="Hyperlink"/>
                  <w:rFonts w:eastAsia="Calibri" w:cs="Arial"/>
                  <w:sz w:val="14"/>
                  <w:szCs w:val="14"/>
                  <w:lang w:eastAsia="en-US"/>
                </w:rPr>
                <w:t>s157</w:t>
              </w:r>
            </w:hyperlink>
            <w:r w:rsidR="00F73604" w:rsidRPr="00F73604">
              <w:rPr>
                <w:rFonts w:eastAsia="Calibri" w:cs="Arial"/>
                <w:sz w:val="14"/>
                <w:szCs w:val="14"/>
                <w:lang w:eastAsia="en-US"/>
              </w:rPr>
              <w:t xml:space="preserve"> — To provide Information about injury management matters WorkCover WA is to:</w:t>
            </w:r>
          </w:p>
          <w:p w14:paraId="05E01CBD" w14:textId="77777777" w:rsidR="00F73604" w:rsidRPr="00F73604" w:rsidRDefault="00F73604" w:rsidP="00F839DB">
            <w:pPr>
              <w:pStyle w:val="ListParagraph"/>
              <w:numPr>
                <w:ilvl w:val="0"/>
                <w:numId w:val="287"/>
              </w:numPr>
              <w:spacing w:after="60"/>
              <w:ind w:left="627" w:hanging="284"/>
              <w:rPr>
                <w:rFonts w:cs="Arial"/>
                <w:color w:val="000000"/>
                <w:sz w:val="14"/>
                <w:szCs w:val="16"/>
                <w:lang w:val="en-GB"/>
              </w:rPr>
            </w:pPr>
            <w:r w:rsidRPr="00F73604">
              <w:rPr>
                <w:rFonts w:cs="Arial"/>
                <w:color w:val="000000"/>
                <w:sz w:val="14"/>
                <w:szCs w:val="16"/>
                <w:lang w:val="en-GB"/>
              </w:rPr>
              <w:t>provide information and advice on injury management generally</w:t>
            </w:r>
          </w:p>
          <w:p w14:paraId="01BB2361" w14:textId="77777777" w:rsidR="00F73604" w:rsidRPr="00F73604" w:rsidRDefault="00F73604" w:rsidP="00F839DB">
            <w:pPr>
              <w:pStyle w:val="ListParagraph"/>
              <w:numPr>
                <w:ilvl w:val="0"/>
                <w:numId w:val="287"/>
              </w:numPr>
              <w:spacing w:after="60"/>
              <w:ind w:left="627" w:hanging="284"/>
              <w:rPr>
                <w:rFonts w:cs="Arial"/>
                <w:color w:val="000000"/>
                <w:sz w:val="14"/>
                <w:szCs w:val="16"/>
                <w:lang w:val="en-GB"/>
              </w:rPr>
            </w:pPr>
            <w:r w:rsidRPr="00F73604">
              <w:rPr>
                <w:rFonts w:cs="Arial"/>
                <w:color w:val="000000"/>
                <w:sz w:val="14"/>
                <w:szCs w:val="16"/>
                <w:lang w:val="en-GB"/>
              </w:rPr>
              <w:t>make available, upon request, to employers, workers and other persons such information or other assistance as it considers appropriate to facilitate the arranging of injury management</w:t>
            </w:r>
          </w:p>
          <w:p w14:paraId="0348F3DE" w14:textId="77777777" w:rsidR="00F73604" w:rsidRPr="00F73604" w:rsidRDefault="00F73604" w:rsidP="00F839DB">
            <w:pPr>
              <w:pStyle w:val="ListParagraph"/>
              <w:numPr>
                <w:ilvl w:val="0"/>
                <w:numId w:val="287"/>
              </w:numPr>
              <w:spacing w:after="60"/>
              <w:ind w:left="627" w:hanging="284"/>
              <w:rPr>
                <w:rFonts w:cs="Arial"/>
                <w:color w:val="000000"/>
                <w:sz w:val="14"/>
                <w:szCs w:val="16"/>
                <w:lang w:val="en-GB"/>
              </w:rPr>
            </w:pPr>
            <w:r w:rsidRPr="00F73604">
              <w:rPr>
                <w:rFonts w:cs="Arial"/>
                <w:color w:val="000000"/>
                <w:sz w:val="14"/>
                <w:szCs w:val="16"/>
                <w:lang w:val="en-GB"/>
              </w:rPr>
              <w:t>make arrangements with other persons or authorities for the use of facilities for providing information about injury management and related matters, and</w:t>
            </w:r>
          </w:p>
          <w:p w14:paraId="20C044E6" w14:textId="77777777" w:rsidR="00F73604" w:rsidRPr="00F73604" w:rsidRDefault="00F73604" w:rsidP="00F839DB">
            <w:pPr>
              <w:pStyle w:val="ListParagraph"/>
              <w:numPr>
                <w:ilvl w:val="0"/>
                <w:numId w:val="287"/>
              </w:numPr>
              <w:spacing w:after="60"/>
              <w:ind w:left="627" w:hanging="284"/>
              <w:rPr>
                <w:rFonts w:cs="Arial"/>
                <w:color w:val="000000"/>
                <w:sz w:val="14"/>
                <w:szCs w:val="16"/>
                <w:lang w:val="en-GB"/>
              </w:rPr>
            </w:pPr>
            <w:r w:rsidRPr="00F73604">
              <w:rPr>
                <w:rFonts w:cs="Arial"/>
                <w:color w:val="000000"/>
                <w:sz w:val="14"/>
                <w:szCs w:val="16"/>
                <w:lang w:val="en-GB"/>
              </w:rPr>
              <w:t>provide information on injury management or related matters to an arbitrator.</w:t>
            </w:r>
          </w:p>
        </w:tc>
      </w:tr>
      <w:tr w:rsidR="00F73604" w:rsidRPr="00F73604" w14:paraId="324E168A" w14:textId="77777777" w:rsidTr="00B2173F">
        <w:tc>
          <w:tcPr>
            <w:tcW w:w="1343" w:type="dxa"/>
            <w:shd w:val="clear" w:color="auto" w:fill="FFC9C9"/>
            <w:tcMar>
              <w:top w:w="80" w:type="dxa"/>
              <w:left w:w="80" w:type="dxa"/>
              <w:bottom w:w="80" w:type="dxa"/>
              <w:right w:w="80" w:type="dxa"/>
            </w:tcMar>
          </w:tcPr>
          <w:p w14:paraId="62E0E0DE"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South Australia</w:t>
            </w:r>
          </w:p>
        </w:tc>
        <w:tc>
          <w:tcPr>
            <w:tcW w:w="13672" w:type="dxa"/>
            <w:shd w:val="clear" w:color="auto" w:fill="FFC9C9"/>
            <w:tcMar>
              <w:top w:w="80" w:type="dxa"/>
              <w:left w:w="80" w:type="dxa"/>
              <w:bottom w:w="80" w:type="dxa"/>
              <w:right w:w="80" w:type="dxa"/>
            </w:tcMar>
          </w:tcPr>
          <w:p w14:paraId="681FA2AD" w14:textId="48A5108D" w:rsidR="00F73604" w:rsidRPr="00F73604" w:rsidRDefault="00F73604" w:rsidP="00292A53">
            <w:pPr>
              <w:spacing w:after="60"/>
              <w:rPr>
                <w:rFonts w:cs="Arial"/>
                <w:color w:val="000000"/>
                <w:sz w:val="14"/>
                <w:szCs w:val="16"/>
                <w:lang w:val="en-GB"/>
              </w:rPr>
            </w:pPr>
            <w:r w:rsidRPr="00F73604">
              <w:rPr>
                <w:rFonts w:cs="Arial"/>
                <w:color w:val="000000"/>
                <w:sz w:val="14"/>
                <w:szCs w:val="16"/>
                <w:lang w:val="en-GB"/>
              </w:rPr>
              <w:t xml:space="preserve">Under the </w:t>
            </w:r>
            <w:r w:rsidRPr="00D41D16">
              <w:rPr>
                <w:rFonts w:cs="Arial"/>
                <w:i/>
                <w:color w:val="000000"/>
                <w:sz w:val="14"/>
                <w:szCs w:val="16"/>
                <w:lang w:val="en-GB"/>
              </w:rPr>
              <w:t>Return to Work Corporation Act</w:t>
            </w:r>
            <w:r w:rsidR="00D41D16">
              <w:rPr>
                <w:rFonts w:cs="Arial"/>
                <w:color w:val="000000"/>
                <w:sz w:val="14"/>
                <w:szCs w:val="16"/>
                <w:lang w:val="en-GB"/>
              </w:rPr>
              <w:t xml:space="preserve"> </w:t>
            </w:r>
            <w:r w:rsidRPr="00882D5F">
              <w:rPr>
                <w:rFonts w:cs="Arial"/>
                <w:i/>
                <w:color w:val="000000"/>
                <w:sz w:val="14"/>
                <w:szCs w:val="16"/>
                <w:lang w:val="en-GB"/>
              </w:rPr>
              <w:t>1994</w:t>
            </w:r>
            <w:r w:rsidRPr="00F73604">
              <w:rPr>
                <w:rFonts w:cs="Arial"/>
                <w:color w:val="000000"/>
                <w:sz w:val="14"/>
                <w:szCs w:val="16"/>
                <w:lang w:val="en-GB"/>
              </w:rPr>
              <w:t>, the Return to Work Corporation of South Australia is responsible for:</w:t>
            </w:r>
          </w:p>
          <w:p w14:paraId="20B0B49F" w14:textId="78956473" w:rsidR="00F73604" w:rsidRPr="00F73604" w:rsidRDefault="00F73604" w:rsidP="00F839DB">
            <w:pPr>
              <w:pStyle w:val="ListParagraph"/>
              <w:numPr>
                <w:ilvl w:val="0"/>
                <w:numId w:val="284"/>
              </w:numPr>
              <w:spacing w:after="60"/>
              <w:rPr>
                <w:rFonts w:cs="Arial"/>
                <w:color w:val="000000"/>
                <w:sz w:val="14"/>
                <w:szCs w:val="16"/>
                <w:lang w:val="en-GB"/>
              </w:rPr>
            </w:pPr>
            <w:r w:rsidRPr="00F73604">
              <w:rPr>
                <w:rFonts w:cs="Arial"/>
                <w:color w:val="000000"/>
                <w:sz w:val="14"/>
                <w:szCs w:val="16"/>
                <w:lang w:val="en-GB"/>
              </w:rPr>
              <w:t>administration of</w:t>
            </w:r>
            <w:r w:rsidR="00DD0D68">
              <w:rPr>
                <w:rFonts w:cs="Arial"/>
                <w:color w:val="000000"/>
                <w:sz w:val="14"/>
                <w:szCs w:val="16"/>
                <w:lang w:val="en-GB"/>
              </w:rPr>
              <w:t xml:space="preserve"> </w:t>
            </w:r>
            <w:r w:rsidRPr="00F73604">
              <w:rPr>
                <w:rFonts w:cs="Arial"/>
                <w:color w:val="000000"/>
                <w:sz w:val="14"/>
                <w:szCs w:val="16"/>
                <w:lang w:val="en-GB"/>
              </w:rPr>
              <w:t>the Return to Work scheme asa regulator and a service focused insurer;</w:t>
            </w:r>
          </w:p>
          <w:p w14:paraId="360DEF36" w14:textId="77777777" w:rsidR="00F73604" w:rsidRPr="00F73604" w:rsidRDefault="00F73604" w:rsidP="00F839DB">
            <w:pPr>
              <w:pStyle w:val="ListParagraph"/>
              <w:numPr>
                <w:ilvl w:val="0"/>
                <w:numId w:val="284"/>
              </w:numPr>
              <w:spacing w:after="60"/>
              <w:rPr>
                <w:rFonts w:cs="Arial"/>
                <w:color w:val="000000"/>
                <w:sz w:val="14"/>
                <w:szCs w:val="16"/>
                <w:lang w:val="en-GB"/>
              </w:rPr>
            </w:pPr>
            <w:r w:rsidRPr="00F73604">
              <w:rPr>
                <w:rFonts w:cs="Arial"/>
                <w:color w:val="000000"/>
                <w:sz w:val="14"/>
                <w:szCs w:val="16"/>
                <w:lang w:val="en-GB"/>
              </w:rPr>
              <w:t>minimising employer’s costs while providing fair compensation for work-related injuries; and</w:t>
            </w:r>
          </w:p>
          <w:p w14:paraId="4F9EADFA" w14:textId="77777777" w:rsidR="00F73604" w:rsidRPr="00F73604" w:rsidRDefault="00F73604" w:rsidP="00F839DB">
            <w:pPr>
              <w:pStyle w:val="ListParagraph"/>
              <w:numPr>
                <w:ilvl w:val="0"/>
                <w:numId w:val="284"/>
              </w:numPr>
              <w:spacing w:after="60"/>
              <w:rPr>
                <w:rFonts w:cs="Arial"/>
                <w:color w:val="000000"/>
                <w:sz w:val="14"/>
                <w:szCs w:val="16"/>
                <w:lang w:val="en-GB"/>
              </w:rPr>
            </w:pPr>
            <w:r w:rsidRPr="00F73604">
              <w:rPr>
                <w:rFonts w:cs="Arial"/>
                <w:color w:val="000000"/>
                <w:sz w:val="14"/>
                <w:szCs w:val="16"/>
                <w:lang w:val="en-GB"/>
              </w:rPr>
              <w:lastRenderedPageBreak/>
              <w:t xml:space="preserve">ensuring the scheme is fully funded. </w:t>
            </w:r>
          </w:p>
          <w:p w14:paraId="158534FA" w14:textId="77777777" w:rsidR="00F73604" w:rsidRPr="00F73604" w:rsidRDefault="00F73604" w:rsidP="00292A53">
            <w:pPr>
              <w:spacing w:after="60"/>
              <w:rPr>
                <w:rFonts w:cs="Arial"/>
                <w:color w:val="000000"/>
                <w:sz w:val="14"/>
                <w:szCs w:val="16"/>
                <w:lang w:val="en-GB"/>
              </w:rPr>
            </w:pPr>
            <w:r w:rsidRPr="00F73604">
              <w:rPr>
                <w:rFonts w:cs="Arial"/>
                <w:color w:val="000000"/>
                <w:sz w:val="14"/>
                <w:szCs w:val="16"/>
                <w:lang w:val="en-GB"/>
              </w:rPr>
              <w:t>ReturnToWorkSA appoints agents who are responsible for the management of work injury claims specified in legislated contractual arrangements.</w:t>
            </w:r>
          </w:p>
        </w:tc>
      </w:tr>
      <w:tr w:rsidR="00F73604" w:rsidRPr="00F73604" w14:paraId="50010AD5" w14:textId="77777777" w:rsidTr="00B2173F">
        <w:tc>
          <w:tcPr>
            <w:tcW w:w="1343" w:type="dxa"/>
            <w:tcMar>
              <w:top w:w="80" w:type="dxa"/>
              <w:left w:w="80" w:type="dxa"/>
              <w:bottom w:w="80" w:type="dxa"/>
              <w:right w:w="80" w:type="dxa"/>
            </w:tcMar>
          </w:tcPr>
          <w:p w14:paraId="78C37D0D"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lastRenderedPageBreak/>
              <w:t>Tasmania</w:t>
            </w:r>
          </w:p>
        </w:tc>
        <w:tc>
          <w:tcPr>
            <w:tcW w:w="13672" w:type="dxa"/>
            <w:tcMar>
              <w:top w:w="80" w:type="dxa"/>
              <w:left w:w="80" w:type="dxa"/>
              <w:bottom w:w="80" w:type="dxa"/>
              <w:right w:w="80" w:type="dxa"/>
            </w:tcMar>
          </w:tcPr>
          <w:p w14:paraId="7EA16284" w14:textId="7B331CE2" w:rsidR="00F73604" w:rsidRPr="00F73604" w:rsidRDefault="00F73604" w:rsidP="00F839DB">
            <w:pPr>
              <w:pStyle w:val="ListParagraph"/>
              <w:numPr>
                <w:ilvl w:val="0"/>
                <w:numId w:val="288"/>
              </w:numPr>
              <w:spacing w:after="60"/>
              <w:contextualSpacing/>
              <w:rPr>
                <w:rFonts w:eastAsia="Calibri" w:cs="Arial"/>
                <w:sz w:val="14"/>
                <w:szCs w:val="14"/>
                <w:lang w:eastAsia="en-US"/>
              </w:rPr>
            </w:pPr>
            <w:r w:rsidRPr="00F73604">
              <w:rPr>
                <w:rFonts w:eastAsia="Calibri" w:cs="Arial"/>
                <w:sz w:val="14"/>
                <w:szCs w:val="14"/>
                <w:lang w:eastAsia="en-US"/>
              </w:rPr>
              <w:t>An insurer must ensure that there is an injury management program in place in respect of each of its employers (note — the insurer can submit an injury management program to the Board for approval that applies to a group of employers or to all of its employers), must comply with each injury management program and must review any programs it has submitted to the Board every 12 months or as requested by the board. —</w:t>
            </w:r>
            <w:r w:rsidR="002D0BBD">
              <w:rPr>
                <w:rFonts w:eastAsia="Calibri" w:cs="Arial"/>
                <w:sz w:val="14"/>
                <w:szCs w:val="14"/>
                <w:lang w:eastAsia="en-US"/>
              </w:rPr>
              <w:t xml:space="preserve"> </w:t>
            </w:r>
            <w:r w:rsidR="002D0BBD" w:rsidRPr="00016069">
              <w:rPr>
                <w:i/>
                <w:sz w:val="14"/>
              </w:rPr>
              <w:t>Workers Rehabilitation and Compensation Act 1988</w:t>
            </w:r>
            <w:r w:rsidRPr="00F73604">
              <w:rPr>
                <w:rFonts w:eastAsia="Calibri" w:cs="Arial"/>
                <w:sz w:val="14"/>
                <w:szCs w:val="14"/>
                <w:lang w:eastAsia="en-US"/>
              </w:rPr>
              <w:t xml:space="preserve"> </w:t>
            </w:r>
            <w:hyperlink r:id="rId1900" w:history="1">
              <w:r w:rsidRPr="00F73604">
                <w:rPr>
                  <w:rFonts w:eastAsia="Calibri" w:cs="Arial"/>
                  <w:color w:val="0000FF"/>
                  <w:sz w:val="14"/>
                  <w:szCs w:val="14"/>
                  <w:u w:val="single"/>
                  <w:lang w:eastAsia="en-US"/>
                </w:rPr>
                <w:t>s142</w:t>
              </w:r>
            </w:hyperlink>
          </w:p>
          <w:p w14:paraId="104D5978" w14:textId="77777777" w:rsidR="00F73604" w:rsidRPr="00F73604" w:rsidRDefault="00F73604" w:rsidP="00F839DB">
            <w:pPr>
              <w:pStyle w:val="ListParagraph"/>
              <w:numPr>
                <w:ilvl w:val="0"/>
                <w:numId w:val="288"/>
              </w:numPr>
              <w:spacing w:after="60"/>
              <w:contextualSpacing/>
              <w:rPr>
                <w:rFonts w:eastAsia="Calibri" w:cs="Arial"/>
                <w:sz w:val="14"/>
                <w:szCs w:val="14"/>
                <w:lang w:eastAsia="en-US"/>
              </w:rPr>
            </w:pPr>
            <w:r w:rsidRPr="00F73604">
              <w:rPr>
                <w:rFonts w:eastAsia="Calibri" w:cs="Arial"/>
                <w:sz w:val="14"/>
                <w:szCs w:val="14"/>
                <w:lang w:eastAsia="en-US"/>
              </w:rPr>
              <w:t xml:space="preserve">An insurer must appoint an injury management coordinator in respect of its employers. As soon as practicable after becoming aware that a worker (employed by one of its employers) has suffered a significant injury, the insurer must assign that worker to the injury management coordinator. — </w:t>
            </w:r>
            <w:hyperlink r:id="rId1901" w:history="1">
              <w:r w:rsidRPr="00F73604">
                <w:rPr>
                  <w:rFonts w:eastAsia="Calibri" w:cs="Arial"/>
                  <w:color w:val="0000FF"/>
                  <w:sz w:val="14"/>
                  <w:szCs w:val="14"/>
                  <w:u w:val="single"/>
                  <w:lang w:eastAsia="en-US"/>
                </w:rPr>
                <w:t>s143B</w:t>
              </w:r>
            </w:hyperlink>
          </w:p>
          <w:p w14:paraId="026DF949" w14:textId="71B61F00" w:rsidR="00F73604" w:rsidRPr="00F73604" w:rsidRDefault="00F73604" w:rsidP="00F839DB">
            <w:pPr>
              <w:pStyle w:val="ListParagraph"/>
              <w:numPr>
                <w:ilvl w:val="0"/>
                <w:numId w:val="288"/>
              </w:numPr>
              <w:spacing w:after="60"/>
              <w:contextualSpacing/>
              <w:rPr>
                <w:rFonts w:eastAsia="Calibri" w:cs="Arial"/>
                <w:sz w:val="14"/>
                <w:szCs w:val="14"/>
                <w:lang w:eastAsia="en-US"/>
              </w:rPr>
            </w:pPr>
            <w:r w:rsidRPr="00F73604">
              <w:rPr>
                <w:rFonts w:eastAsia="Calibri" w:cs="Arial"/>
                <w:sz w:val="14"/>
                <w:szCs w:val="14"/>
                <w:lang w:eastAsia="en-US"/>
              </w:rPr>
              <w:t xml:space="preserve">As soon as practicable after making a significant decision in relation to the injury management of a worker, the insurer is to notify the worker of the decision and the reason/s for the decision. — </w:t>
            </w:r>
            <w:hyperlink r:id="rId1902" w:history="1">
              <w:r w:rsidRPr="00F73604">
                <w:rPr>
                  <w:rFonts w:eastAsia="Calibri" w:cs="Arial"/>
                  <w:color w:val="0000FF"/>
                  <w:sz w:val="14"/>
                  <w:szCs w:val="14"/>
                  <w:u w:val="single"/>
                  <w:lang w:eastAsia="en-US"/>
                </w:rPr>
                <w:t>s143P(1)</w:t>
              </w:r>
            </w:hyperlink>
            <w:r w:rsidR="003D2FCB">
              <w:rPr>
                <w:rFonts w:eastAsia="Calibri" w:cs="Arial"/>
                <w:color w:val="0000FF"/>
                <w:sz w:val="14"/>
                <w:szCs w:val="14"/>
                <w:u w:val="single"/>
                <w:lang w:eastAsia="en-US"/>
              </w:rPr>
              <w:t>.</w:t>
            </w:r>
          </w:p>
        </w:tc>
      </w:tr>
      <w:tr w:rsidR="00F73604" w:rsidRPr="00F73604" w14:paraId="6402328E" w14:textId="77777777" w:rsidTr="00B2173F">
        <w:tc>
          <w:tcPr>
            <w:tcW w:w="1343" w:type="dxa"/>
            <w:shd w:val="clear" w:color="auto" w:fill="FFC9C9"/>
            <w:tcMar>
              <w:top w:w="80" w:type="dxa"/>
              <w:left w:w="80" w:type="dxa"/>
              <w:bottom w:w="80" w:type="dxa"/>
              <w:right w:w="80" w:type="dxa"/>
            </w:tcMar>
          </w:tcPr>
          <w:p w14:paraId="530978C1"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Northern Territory</w:t>
            </w:r>
          </w:p>
        </w:tc>
        <w:tc>
          <w:tcPr>
            <w:tcW w:w="13672" w:type="dxa"/>
            <w:shd w:val="clear" w:color="auto" w:fill="FFC9C9"/>
            <w:tcMar>
              <w:top w:w="80" w:type="dxa"/>
              <w:left w:w="80" w:type="dxa"/>
              <w:bottom w:w="80" w:type="dxa"/>
              <w:right w:w="80" w:type="dxa"/>
            </w:tcMar>
          </w:tcPr>
          <w:p w14:paraId="2D6A59C2" w14:textId="39B71FBB" w:rsidR="00F73604" w:rsidRPr="00F73604" w:rsidRDefault="002D0BBD" w:rsidP="00292A53">
            <w:pPr>
              <w:spacing w:after="60"/>
              <w:rPr>
                <w:rFonts w:cs="Arial"/>
                <w:color w:val="000000"/>
                <w:sz w:val="14"/>
                <w:szCs w:val="16"/>
                <w:lang w:val="en-GB"/>
              </w:rPr>
            </w:pPr>
            <w:r w:rsidRPr="00016069">
              <w:rPr>
                <w:i/>
                <w:sz w:val="14"/>
              </w:rPr>
              <w:t>Return to Work Act</w:t>
            </w:r>
            <w:r w:rsidRPr="00F73604">
              <w:rPr>
                <w:rFonts w:cs="Arial"/>
                <w:color w:val="000000"/>
                <w:sz w:val="14"/>
                <w:szCs w:val="16"/>
                <w:lang w:val="en-GB"/>
              </w:rPr>
              <w:t xml:space="preserve"> </w:t>
            </w:r>
            <w:hyperlink r:id="rId1903" w:history="1">
              <w:r w:rsidR="00F73604" w:rsidRPr="002D0BBD">
                <w:rPr>
                  <w:rStyle w:val="Hyperlink"/>
                  <w:rFonts w:cs="Arial"/>
                  <w:sz w:val="14"/>
                  <w:szCs w:val="16"/>
                  <w:lang w:val="en-GB"/>
                </w:rPr>
                <w:t>s75A</w:t>
              </w:r>
            </w:hyperlink>
            <w:r w:rsidR="00F73604" w:rsidRPr="00F73604">
              <w:rPr>
                <w:rFonts w:cs="Arial"/>
                <w:color w:val="000000"/>
                <w:sz w:val="14"/>
                <w:szCs w:val="16"/>
                <w:lang w:val="en-GB"/>
              </w:rPr>
              <w:t xml:space="preserve"> provides for responsibilities on employers and the return to work process. The insurer will assist the employer to manage this process.</w:t>
            </w:r>
          </w:p>
        </w:tc>
      </w:tr>
      <w:tr w:rsidR="00F73604" w:rsidRPr="00F73604" w14:paraId="5AC94C4B" w14:textId="77777777" w:rsidTr="00B2173F">
        <w:tc>
          <w:tcPr>
            <w:tcW w:w="1343" w:type="dxa"/>
            <w:tcMar>
              <w:top w:w="80" w:type="dxa"/>
              <w:left w:w="80" w:type="dxa"/>
              <w:bottom w:w="80" w:type="dxa"/>
              <w:right w:w="80" w:type="dxa"/>
            </w:tcMar>
          </w:tcPr>
          <w:p w14:paraId="435A4B93"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Australian Capital Territory</w:t>
            </w:r>
          </w:p>
        </w:tc>
        <w:tc>
          <w:tcPr>
            <w:tcW w:w="13672" w:type="dxa"/>
            <w:tcMar>
              <w:top w:w="80" w:type="dxa"/>
              <w:left w:w="80" w:type="dxa"/>
              <w:bottom w:w="80" w:type="dxa"/>
              <w:right w:w="80" w:type="dxa"/>
            </w:tcMar>
          </w:tcPr>
          <w:p w14:paraId="7A122602" w14:textId="7500BAD8" w:rsidR="00F73604" w:rsidRPr="00F73604" w:rsidRDefault="00A7538C" w:rsidP="00F839DB">
            <w:pPr>
              <w:pStyle w:val="ListParagraph"/>
              <w:numPr>
                <w:ilvl w:val="0"/>
                <w:numId w:val="289"/>
              </w:numPr>
              <w:spacing w:after="60"/>
              <w:contextualSpacing/>
              <w:rPr>
                <w:rFonts w:eastAsia="Calibri" w:cs="Arial"/>
                <w:sz w:val="14"/>
                <w:szCs w:val="14"/>
                <w:lang w:eastAsia="en-US"/>
              </w:rPr>
            </w:pPr>
            <w:hyperlink r:id="rId1904" w:history="1">
              <w:r w:rsidR="00F73604" w:rsidRPr="009B2441">
                <w:rPr>
                  <w:rStyle w:val="Hyperlink"/>
                  <w:rFonts w:eastAsia="Calibri" w:cs="Arial"/>
                  <w:sz w:val="14"/>
                  <w:szCs w:val="14"/>
                  <w:lang w:eastAsia="en-US"/>
                </w:rPr>
                <w:t>Chapter 8</w:t>
              </w:r>
            </w:hyperlink>
            <w:r w:rsidR="00F73604" w:rsidRPr="00F73604">
              <w:rPr>
                <w:rFonts w:eastAsia="Calibri" w:cs="Arial"/>
                <w:sz w:val="14"/>
                <w:szCs w:val="14"/>
                <w:lang w:eastAsia="en-US"/>
              </w:rPr>
              <w:t xml:space="preserve"> of the </w:t>
            </w:r>
            <w:r w:rsidR="00F73604" w:rsidRPr="00D41D16">
              <w:rPr>
                <w:rFonts w:eastAsia="Calibri" w:cs="Arial"/>
                <w:i/>
                <w:sz w:val="14"/>
                <w:szCs w:val="14"/>
                <w:lang w:eastAsia="en-US"/>
              </w:rPr>
              <w:t>Workers’ Compensation Act 1951</w:t>
            </w:r>
            <w:r w:rsidR="00F73604" w:rsidRPr="00F73604">
              <w:rPr>
                <w:rFonts w:eastAsia="Calibri" w:cs="Arial"/>
                <w:sz w:val="14"/>
                <w:szCs w:val="14"/>
                <w:lang w:eastAsia="en-US"/>
              </w:rPr>
              <w:t xml:space="preserve"> — insurer obligations</w:t>
            </w:r>
          </w:p>
          <w:p w14:paraId="2549123D" w14:textId="0E35ADFE" w:rsidR="00F73604" w:rsidRPr="00F73604" w:rsidRDefault="00A7538C" w:rsidP="00F839DB">
            <w:pPr>
              <w:pStyle w:val="ListParagraph"/>
              <w:numPr>
                <w:ilvl w:val="0"/>
                <w:numId w:val="289"/>
              </w:numPr>
              <w:spacing w:after="60"/>
              <w:contextualSpacing/>
              <w:rPr>
                <w:rFonts w:eastAsia="Calibri" w:cs="Arial"/>
                <w:sz w:val="14"/>
                <w:szCs w:val="14"/>
                <w:lang w:eastAsia="en-US"/>
              </w:rPr>
            </w:pPr>
            <w:hyperlink r:id="rId1905" w:history="1">
              <w:r w:rsidR="00F73604" w:rsidRPr="009B2441">
                <w:rPr>
                  <w:rStyle w:val="Hyperlink"/>
                  <w:rFonts w:eastAsia="Calibri" w:cs="Arial"/>
                  <w:sz w:val="14"/>
                  <w:szCs w:val="14"/>
                  <w:lang w:eastAsia="en-US"/>
                </w:rPr>
                <w:t>Chapter 5</w:t>
              </w:r>
            </w:hyperlink>
            <w:r w:rsidR="00F73604" w:rsidRPr="00F73604">
              <w:rPr>
                <w:rFonts w:eastAsia="Calibri" w:cs="Arial"/>
                <w:sz w:val="14"/>
                <w:szCs w:val="14"/>
                <w:lang w:eastAsia="en-US"/>
              </w:rPr>
              <w:t xml:space="preserve"> — injury management obligations</w:t>
            </w:r>
          </w:p>
          <w:p w14:paraId="7F4D7D35" w14:textId="6DF828AD" w:rsidR="00F73604" w:rsidRPr="00F73604" w:rsidRDefault="00A7538C" w:rsidP="00F839DB">
            <w:pPr>
              <w:pStyle w:val="ListParagraph"/>
              <w:numPr>
                <w:ilvl w:val="0"/>
                <w:numId w:val="289"/>
              </w:numPr>
              <w:spacing w:after="60"/>
              <w:contextualSpacing/>
              <w:rPr>
                <w:rFonts w:eastAsia="Calibri" w:cs="Arial"/>
                <w:sz w:val="14"/>
                <w:szCs w:val="14"/>
                <w:lang w:eastAsia="en-US"/>
              </w:rPr>
            </w:pPr>
            <w:hyperlink r:id="rId1906" w:history="1">
              <w:r w:rsidR="00F73604" w:rsidRPr="009B2441">
                <w:rPr>
                  <w:rStyle w:val="Hyperlink"/>
                  <w:rFonts w:eastAsia="Calibri" w:cs="Arial"/>
                  <w:sz w:val="14"/>
                  <w:szCs w:val="14"/>
                  <w:lang w:eastAsia="en-US"/>
                </w:rPr>
                <w:t>s88</w:t>
              </w:r>
            </w:hyperlink>
            <w:r w:rsidR="00F73604" w:rsidRPr="00F73604">
              <w:rPr>
                <w:rFonts w:eastAsia="Calibri" w:cs="Arial"/>
                <w:sz w:val="14"/>
                <w:szCs w:val="14"/>
                <w:lang w:eastAsia="en-US"/>
              </w:rPr>
              <w:t xml:space="preserve"> establish and review injury management program — reviewed every two years</w:t>
            </w:r>
            <w:r w:rsidR="003D2FCB">
              <w:rPr>
                <w:rFonts w:eastAsia="Calibri" w:cs="Arial"/>
                <w:sz w:val="14"/>
                <w:szCs w:val="14"/>
                <w:lang w:eastAsia="en-US"/>
              </w:rPr>
              <w:t>.</w:t>
            </w:r>
          </w:p>
        </w:tc>
      </w:tr>
      <w:tr w:rsidR="00F73604" w:rsidRPr="00F73604" w14:paraId="16D836B3" w14:textId="77777777" w:rsidTr="00B2173F">
        <w:tc>
          <w:tcPr>
            <w:tcW w:w="1343" w:type="dxa"/>
            <w:shd w:val="clear" w:color="auto" w:fill="FFC9C9"/>
            <w:tcMar>
              <w:top w:w="80" w:type="dxa"/>
              <w:left w:w="80" w:type="dxa"/>
              <w:bottom w:w="80" w:type="dxa"/>
              <w:right w:w="80" w:type="dxa"/>
            </w:tcMar>
          </w:tcPr>
          <w:p w14:paraId="7780C4C4"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C’wealth Comcare</w:t>
            </w:r>
          </w:p>
        </w:tc>
        <w:tc>
          <w:tcPr>
            <w:tcW w:w="13672" w:type="dxa"/>
            <w:shd w:val="clear" w:color="auto" w:fill="FFC9C9"/>
            <w:tcMar>
              <w:top w:w="80" w:type="dxa"/>
              <w:left w:w="80" w:type="dxa"/>
              <w:bottom w:w="80" w:type="dxa"/>
              <w:right w:w="80" w:type="dxa"/>
            </w:tcMar>
          </w:tcPr>
          <w:p w14:paraId="22098625" w14:textId="77777777" w:rsidR="00F73604" w:rsidRPr="00F73604" w:rsidRDefault="00F73604" w:rsidP="00F839DB">
            <w:pPr>
              <w:pStyle w:val="ListParagraph"/>
              <w:numPr>
                <w:ilvl w:val="0"/>
                <w:numId w:val="290"/>
              </w:numPr>
              <w:spacing w:after="60"/>
              <w:contextualSpacing/>
              <w:rPr>
                <w:rFonts w:eastAsia="Calibri" w:cs="Arial"/>
                <w:sz w:val="14"/>
                <w:szCs w:val="14"/>
                <w:lang w:eastAsia="en-US"/>
              </w:rPr>
            </w:pPr>
            <w:r w:rsidRPr="00F73604">
              <w:rPr>
                <w:rFonts w:eastAsia="Calibri" w:cs="Arial"/>
                <w:sz w:val="14"/>
                <w:szCs w:val="14"/>
                <w:lang w:eastAsia="en-US"/>
              </w:rPr>
              <w:t>Comcare approves rehabilitation providers including (i) determines criteria for approval and operational standards of rehabilitation providers; (ii) approves, renews and revokes approval of rehabilitation providers.</w:t>
            </w:r>
          </w:p>
          <w:p w14:paraId="626C057E" w14:textId="7C955663" w:rsidR="00F73604" w:rsidRPr="00F73604" w:rsidRDefault="00F73604" w:rsidP="00F839DB">
            <w:pPr>
              <w:pStyle w:val="ListParagraph"/>
              <w:numPr>
                <w:ilvl w:val="0"/>
                <w:numId w:val="290"/>
              </w:numPr>
              <w:spacing w:after="60"/>
              <w:contextualSpacing/>
              <w:rPr>
                <w:rFonts w:eastAsia="Calibri" w:cs="Arial"/>
                <w:sz w:val="14"/>
                <w:szCs w:val="14"/>
                <w:lang w:eastAsia="en-US"/>
              </w:rPr>
            </w:pPr>
            <w:r w:rsidRPr="00F73604">
              <w:rPr>
                <w:rFonts w:eastAsia="Calibri" w:cs="Arial"/>
                <w:sz w:val="14"/>
                <w:szCs w:val="14"/>
                <w:lang w:eastAsia="en-US"/>
              </w:rPr>
              <w:t>Comcare reviews rehabilitation determinations issued by premium paying entities and Commonwealth authorities (</w:t>
            </w:r>
            <w:hyperlink r:id="rId1907" w:history="1">
              <w:r w:rsidRPr="009B2441">
                <w:rPr>
                  <w:rStyle w:val="Hyperlink"/>
                  <w:rFonts w:eastAsia="Calibri" w:cs="Arial"/>
                  <w:sz w:val="14"/>
                  <w:szCs w:val="14"/>
                  <w:lang w:eastAsia="en-US"/>
                </w:rPr>
                <w:t>s38</w:t>
              </w:r>
            </w:hyperlink>
            <w:r w:rsidR="009B2441">
              <w:rPr>
                <w:rFonts w:eastAsia="Calibri" w:cs="Arial"/>
                <w:sz w:val="14"/>
                <w:szCs w:val="14"/>
                <w:lang w:eastAsia="en-US"/>
              </w:rPr>
              <w:t xml:space="preserve"> </w:t>
            </w:r>
            <w:r w:rsidR="009B2441" w:rsidRPr="00016069">
              <w:rPr>
                <w:i/>
                <w:sz w:val="14"/>
              </w:rPr>
              <w:t>Safety, Rehabilitation and Compensation Act 1988</w:t>
            </w:r>
            <w:r w:rsidRPr="00F73604">
              <w:rPr>
                <w:rFonts w:eastAsia="Calibri" w:cs="Arial"/>
                <w:sz w:val="14"/>
                <w:szCs w:val="14"/>
                <w:lang w:eastAsia="en-US"/>
              </w:rPr>
              <w:t>).</w:t>
            </w:r>
          </w:p>
          <w:p w14:paraId="651B9A9F" w14:textId="310411F8" w:rsidR="00F73604" w:rsidRPr="00F73604" w:rsidRDefault="00F73604" w:rsidP="00F839DB">
            <w:pPr>
              <w:pStyle w:val="ListParagraph"/>
              <w:numPr>
                <w:ilvl w:val="0"/>
                <w:numId w:val="290"/>
              </w:numPr>
              <w:spacing w:after="60"/>
              <w:contextualSpacing/>
              <w:rPr>
                <w:rFonts w:eastAsia="Calibri" w:cs="Arial"/>
                <w:sz w:val="14"/>
                <w:szCs w:val="14"/>
                <w:lang w:eastAsia="en-US"/>
              </w:rPr>
            </w:pPr>
            <w:r w:rsidRPr="00F73604">
              <w:rPr>
                <w:rFonts w:eastAsia="Calibri" w:cs="Arial"/>
                <w:sz w:val="14"/>
                <w:szCs w:val="14"/>
                <w:lang w:eastAsia="en-US"/>
              </w:rPr>
              <w:t>Comcare prepares and issues guidelines in relation to the performance and exercise by rehabilitation authorities of their rehabilitation functions and powers (</w:t>
            </w:r>
            <w:hyperlink r:id="rId1908" w:history="1">
              <w:r w:rsidRPr="009B2441">
                <w:rPr>
                  <w:rStyle w:val="Hyperlink"/>
                  <w:rFonts w:eastAsia="Calibri" w:cs="Arial"/>
                  <w:sz w:val="14"/>
                  <w:szCs w:val="14"/>
                  <w:lang w:eastAsia="en-US"/>
                </w:rPr>
                <w:t>s41</w:t>
              </w:r>
            </w:hyperlink>
            <w:r w:rsidRPr="00F73604">
              <w:rPr>
                <w:rFonts w:eastAsia="Calibri" w:cs="Arial"/>
                <w:sz w:val="14"/>
                <w:szCs w:val="14"/>
                <w:lang w:eastAsia="en-US"/>
              </w:rPr>
              <w:t>).</w:t>
            </w:r>
          </w:p>
          <w:p w14:paraId="6F07BC85" w14:textId="1757D0E7" w:rsidR="00F73604" w:rsidRPr="00F73604" w:rsidRDefault="00F73604" w:rsidP="00F839DB">
            <w:pPr>
              <w:pStyle w:val="ListParagraph"/>
              <w:numPr>
                <w:ilvl w:val="0"/>
                <w:numId w:val="290"/>
              </w:numPr>
              <w:spacing w:after="60"/>
              <w:contextualSpacing/>
              <w:rPr>
                <w:rFonts w:eastAsia="Calibri" w:cs="Arial"/>
                <w:sz w:val="14"/>
                <w:szCs w:val="14"/>
                <w:lang w:eastAsia="en-US"/>
              </w:rPr>
            </w:pPr>
            <w:r w:rsidRPr="00F73604">
              <w:rPr>
                <w:rFonts w:eastAsia="Calibri" w:cs="Arial"/>
                <w:sz w:val="14"/>
                <w:szCs w:val="14"/>
                <w:lang w:eastAsia="en-US"/>
              </w:rPr>
              <w:t>Comcare</w:t>
            </w:r>
            <w:r w:rsidR="005348D7">
              <w:rPr>
                <w:rFonts w:eastAsia="Calibri" w:cs="Arial"/>
                <w:sz w:val="14"/>
                <w:szCs w:val="14"/>
                <w:lang w:eastAsia="en-US"/>
              </w:rPr>
              <w:t>, where it is the relevant authority,</w:t>
            </w:r>
            <w:r w:rsidRPr="00F73604">
              <w:rPr>
                <w:rFonts w:eastAsia="Calibri" w:cs="Arial"/>
                <w:sz w:val="14"/>
                <w:szCs w:val="14"/>
                <w:lang w:eastAsia="en-US"/>
              </w:rPr>
              <w:t xml:space="preserve"> develops Recovery Plans in collaboration with the rehabilitation case manager and the employee. Recovery Plans are developed at key points of the claim life cycle to provide an opportunity to share information and identify agreed strategies to achieve sustainable return to employment and wellbeing. Recovery Plans are not a requirement under the legislation.</w:t>
            </w:r>
          </w:p>
        </w:tc>
      </w:tr>
      <w:tr w:rsidR="00F73604" w:rsidRPr="00F73604" w14:paraId="05894E03" w14:textId="77777777" w:rsidTr="00B2173F">
        <w:tc>
          <w:tcPr>
            <w:tcW w:w="1343" w:type="dxa"/>
            <w:tcMar>
              <w:top w:w="80" w:type="dxa"/>
              <w:left w:w="80" w:type="dxa"/>
              <w:bottom w:w="80" w:type="dxa"/>
              <w:right w:w="80" w:type="dxa"/>
            </w:tcMar>
          </w:tcPr>
          <w:p w14:paraId="7FB73895"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C’wealth Seacare</w:t>
            </w:r>
          </w:p>
        </w:tc>
        <w:tc>
          <w:tcPr>
            <w:tcW w:w="13672" w:type="dxa"/>
            <w:tcMar>
              <w:top w:w="80" w:type="dxa"/>
              <w:left w:w="80" w:type="dxa"/>
              <w:bottom w:w="80" w:type="dxa"/>
              <w:right w:w="80" w:type="dxa"/>
            </w:tcMar>
          </w:tcPr>
          <w:p w14:paraId="330297E0" w14:textId="093F2F95" w:rsidR="00F73604" w:rsidRPr="00F73604" w:rsidRDefault="00A7538C" w:rsidP="00292A53">
            <w:pPr>
              <w:spacing w:after="60"/>
              <w:rPr>
                <w:rFonts w:cs="Arial"/>
                <w:color w:val="000000"/>
                <w:sz w:val="14"/>
                <w:szCs w:val="16"/>
                <w:lang w:val="en-GB"/>
              </w:rPr>
            </w:pPr>
            <w:hyperlink r:id="rId1909" w:history="1">
              <w:r w:rsidR="00E5428D" w:rsidRPr="00E5428D">
                <w:rPr>
                  <w:rStyle w:val="Hyperlink"/>
                  <w:rFonts w:cs="Arial"/>
                  <w:sz w:val="14"/>
                  <w:szCs w:val="16"/>
                  <w:lang w:val="en-GB"/>
                </w:rPr>
                <w:t>s50(1)</w:t>
              </w:r>
            </w:hyperlink>
            <w:r w:rsidR="00E5428D" w:rsidRPr="00E5428D">
              <w:rPr>
                <w:rFonts w:cs="Arial"/>
                <w:color w:val="000000"/>
                <w:sz w:val="14"/>
                <w:szCs w:val="16"/>
                <w:lang w:val="en-GB"/>
              </w:rPr>
              <w:t xml:space="preserve"> </w:t>
            </w:r>
            <w:r w:rsidR="00F172F9">
              <w:rPr>
                <w:rFonts w:cs="Arial"/>
                <w:color w:val="000000"/>
                <w:sz w:val="14"/>
                <w:szCs w:val="16"/>
                <w:lang w:val="en-GB"/>
              </w:rPr>
              <w:t xml:space="preserve">of the </w:t>
            </w:r>
            <w:r w:rsidR="00F172F9" w:rsidRPr="00016069">
              <w:rPr>
                <w:i/>
                <w:sz w:val="14"/>
              </w:rPr>
              <w:t>Seafarers Rehabilitation and Compensation Act 1992</w:t>
            </w:r>
            <w:r w:rsidR="00F172F9">
              <w:rPr>
                <w:i/>
                <w:sz w:val="14"/>
              </w:rPr>
              <w:t xml:space="preserve"> </w:t>
            </w:r>
            <w:r w:rsidR="00E5428D" w:rsidRPr="00E5428D">
              <w:rPr>
                <w:rFonts w:cs="Arial"/>
                <w:color w:val="000000"/>
                <w:sz w:val="14"/>
                <w:szCs w:val="16"/>
                <w:lang w:val="en-GB"/>
              </w:rPr>
              <w:t>requires the employer to make arrangements with an approved program provider for the provision of appropriate rehabilitation programs.</w:t>
            </w:r>
          </w:p>
        </w:tc>
      </w:tr>
      <w:tr w:rsidR="00F73604" w:rsidRPr="00F73604" w14:paraId="7B0C27D5" w14:textId="77777777" w:rsidTr="00B2173F">
        <w:tc>
          <w:tcPr>
            <w:tcW w:w="1343" w:type="dxa"/>
            <w:shd w:val="clear" w:color="auto" w:fill="FFC9C9"/>
            <w:tcMar>
              <w:top w:w="80" w:type="dxa"/>
              <w:left w:w="80" w:type="dxa"/>
              <w:bottom w:w="80" w:type="dxa"/>
              <w:right w:w="80" w:type="dxa"/>
            </w:tcMar>
          </w:tcPr>
          <w:p w14:paraId="7F827033"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C’wealth DVA</w:t>
            </w:r>
          </w:p>
        </w:tc>
        <w:tc>
          <w:tcPr>
            <w:tcW w:w="13672" w:type="dxa"/>
            <w:shd w:val="clear" w:color="auto" w:fill="FFC9C9"/>
            <w:tcMar>
              <w:top w:w="80" w:type="dxa"/>
              <w:left w:w="80" w:type="dxa"/>
              <w:bottom w:w="80" w:type="dxa"/>
              <w:right w:w="80" w:type="dxa"/>
            </w:tcMar>
          </w:tcPr>
          <w:p w14:paraId="4A174DB0" w14:textId="12964750" w:rsidR="00F73604" w:rsidRPr="00F73604" w:rsidRDefault="00F73604" w:rsidP="00292A53">
            <w:pPr>
              <w:spacing w:after="60"/>
              <w:rPr>
                <w:rFonts w:cs="Arial"/>
                <w:color w:val="000000"/>
                <w:sz w:val="14"/>
                <w:szCs w:val="16"/>
                <w:lang w:val="en-GB"/>
              </w:rPr>
            </w:pPr>
            <w:r w:rsidRPr="00F73604">
              <w:rPr>
                <w:rFonts w:cs="Arial"/>
                <w:color w:val="000000"/>
                <w:sz w:val="14"/>
                <w:szCs w:val="16"/>
                <w:lang w:val="en-GB"/>
              </w:rPr>
              <w:t>See Rehabilit</w:t>
            </w:r>
            <w:r w:rsidR="00B461BC">
              <w:rPr>
                <w:rFonts w:cs="Arial"/>
                <w:color w:val="000000"/>
                <w:sz w:val="14"/>
                <w:szCs w:val="16"/>
                <w:lang w:val="en-GB"/>
              </w:rPr>
              <w:t>ation Authority in Table 5.2(b)</w:t>
            </w:r>
          </w:p>
        </w:tc>
      </w:tr>
      <w:tr w:rsidR="00F73604" w:rsidRPr="00F73604" w14:paraId="5CD31721" w14:textId="77777777" w:rsidTr="00B2173F">
        <w:tc>
          <w:tcPr>
            <w:tcW w:w="1343" w:type="dxa"/>
            <w:tcMar>
              <w:top w:w="80" w:type="dxa"/>
              <w:left w:w="80" w:type="dxa"/>
              <w:bottom w:w="80" w:type="dxa"/>
              <w:right w:w="80" w:type="dxa"/>
            </w:tcMar>
          </w:tcPr>
          <w:p w14:paraId="1C6120D9"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New Zealand</w:t>
            </w:r>
          </w:p>
        </w:tc>
        <w:tc>
          <w:tcPr>
            <w:tcW w:w="13672" w:type="dxa"/>
            <w:tcMar>
              <w:top w:w="80" w:type="dxa"/>
              <w:left w:w="80" w:type="dxa"/>
              <w:bottom w:w="80" w:type="dxa"/>
              <w:right w:w="80" w:type="dxa"/>
            </w:tcMar>
          </w:tcPr>
          <w:p w14:paraId="5535F215" w14:textId="59F02781" w:rsidR="00F73604" w:rsidRPr="00F73604" w:rsidRDefault="00334D4B" w:rsidP="00F839DB">
            <w:pPr>
              <w:pStyle w:val="ListParagraph"/>
              <w:numPr>
                <w:ilvl w:val="0"/>
                <w:numId w:val="291"/>
              </w:numPr>
              <w:spacing w:after="60"/>
              <w:contextualSpacing/>
              <w:rPr>
                <w:rFonts w:eastAsia="Calibri" w:cs="Arial"/>
                <w:sz w:val="14"/>
                <w:szCs w:val="14"/>
                <w:lang w:eastAsia="en-US"/>
              </w:rPr>
            </w:pPr>
            <w:r w:rsidRPr="00016069">
              <w:rPr>
                <w:i/>
                <w:sz w:val="14"/>
              </w:rPr>
              <w:t>Accident Compensation Act 2001</w:t>
            </w:r>
            <w:r>
              <w:rPr>
                <w:i/>
                <w:sz w:val="14"/>
              </w:rPr>
              <w:t xml:space="preserve"> </w:t>
            </w:r>
            <w:hyperlink r:id="rId1910" w:history="1">
              <w:r w:rsidRPr="00334D4B">
                <w:rPr>
                  <w:rStyle w:val="Hyperlink"/>
                  <w:rFonts w:eastAsia="Calibri" w:cs="Arial"/>
                  <w:sz w:val="14"/>
                  <w:szCs w:val="14"/>
                  <w:lang w:eastAsia="en-US"/>
                </w:rPr>
                <w:t>s7</w:t>
              </w:r>
              <w:r w:rsidR="00F73604" w:rsidRPr="00334D4B">
                <w:rPr>
                  <w:rStyle w:val="Hyperlink"/>
                  <w:rFonts w:eastAsia="Calibri" w:cs="Arial"/>
                  <w:sz w:val="14"/>
                  <w:szCs w:val="14"/>
                  <w:lang w:eastAsia="en-US"/>
                </w:rPr>
                <w:t>0</w:t>
              </w:r>
            </w:hyperlink>
            <w:r w:rsidR="00F73604" w:rsidRPr="00F73604">
              <w:rPr>
                <w:rFonts w:eastAsia="Calibri" w:cs="Arial"/>
                <w:sz w:val="14"/>
                <w:szCs w:val="14"/>
                <w:lang w:eastAsia="en-US"/>
              </w:rPr>
              <w:t xml:space="preserve"> Claimant’s and Corporation’s obligations in relation to rehabilitation </w:t>
            </w:r>
          </w:p>
          <w:p w14:paraId="1194F3E3" w14:textId="79C1FF4A" w:rsidR="00F73604" w:rsidRPr="00F73604" w:rsidRDefault="00F73604" w:rsidP="00F839DB">
            <w:pPr>
              <w:pStyle w:val="ListParagraph"/>
              <w:numPr>
                <w:ilvl w:val="0"/>
                <w:numId w:val="291"/>
              </w:numPr>
              <w:spacing w:after="60"/>
              <w:ind w:left="357" w:hanging="357"/>
              <w:rPr>
                <w:rFonts w:eastAsia="Calibri" w:cs="Arial"/>
                <w:sz w:val="14"/>
                <w:szCs w:val="14"/>
                <w:lang w:eastAsia="en-US"/>
              </w:rPr>
            </w:pPr>
            <w:r w:rsidRPr="00F73604">
              <w:rPr>
                <w:rFonts w:eastAsia="Calibri" w:cs="Arial"/>
                <w:sz w:val="14"/>
                <w:szCs w:val="14"/>
                <w:lang w:eastAsia="en-US"/>
              </w:rPr>
              <w:t>A claimant who has suffered personal injury for which he or she has cover</w:t>
            </w:r>
            <w:r w:rsidR="00E23C9E">
              <w:rPr>
                <w:rFonts w:eastAsia="Calibri" w:cs="Arial"/>
                <w:sz w:val="14"/>
                <w:szCs w:val="14"/>
                <w:lang w:eastAsia="en-US"/>
              </w:rPr>
              <w:t xml:space="preserve"> —</w:t>
            </w:r>
          </w:p>
          <w:p w14:paraId="1A5D004B" w14:textId="77777777" w:rsidR="00F73604" w:rsidRPr="00F73604" w:rsidRDefault="00F73604" w:rsidP="00F839DB">
            <w:pPr>
              <w:pStyle w:val="ListParagraph"/>
              <w:numPr>
                <w:ilvl w:val="0"/>
                <w:numId w:val="292"/>
              </w:numPr>
              <w:spacing w:after="60"/>
              <w:contextualSpacing/>
              <w:rPr>
                <w:rFonts w:eastAsia="Calibri" w:cs="Arial"/>
                <w:sz w:val="14"/>
                <w:szCs w:val="14"/>
                <w:lang w:eastAsia="en-US"/>
              </w:rPr>
            </w:pPr>
            <w:r w:rsidRPr="00F73604">
              <w:rPr>
                <w:rFonts w:eastAsia="Calibri" w:cs="Arial"/>
                <w:sz w:val="14"/>
                <w:szCs w:val="14"/>
                <w:lang w:eastAsia="en-US"/>
              </w:rPr>
              <w:t>is entitled to be provided by the Corporation with rehabilitation, to the extent provided by this Act, to assist in restoring the claimant’s health, independence, and participation to the maximum extent practicable; but</w:t>
            </w:r>
          </w:p>
          <w:p w14:paraId="7CE0F2E4" w14:textId="77777777" w:rsidR="00F73604" w:rsidRPr="00F73604" w:rsidRDefault="00F73604" w:rsidP="00F839DB">
            <w:pPr>
              <w:pStyle w:val="ListParagraph"/>
              <w:numPr>
                <w:ilvl w:val="0"/>
                <w:numId w:val="292"/>
              </w:numPr>
              <w:spacing w:after="60"/>
              <w:contextualSpacing/>
              <w:rPr>
                <w:rFonts w:eastAsia="Calibri" w:cs="Arial"/>
                <w:sz w:val="14"/>
                <w:szCs w:val="14"/>
                <w:lang w:eastAsia="en-US"/>
              </w:rPr>
            </w:pPr>
            <w:r w:rsidRPr="00F73604">
              <w:rPr>
                <w:rFonts w:eastAsia="Calibri" w:cs="Arial"/>
                <w:sz w:val="14"/>
                <w:szCs w:val="14"/>
                <w:lang w:eastAsia="en-US"/>
              </w:rPr>
              <w:t>is responsible for his or her own rehabilitation to the extent practicable having regard to the consequences of his or her personal injury.</w:t>
            </w:r>
          </w:p>
        </w:tc>
      </w:tr>
      <w:bookmarkEnd w:id="170"/>
      <w:bookmarkEnd w:id="172"/>
    </w:tbl>
    <w:p w14:paraId="292B2209" w14:textId="77777777" w:rsidR="00C66972" w:rsidRPr="00C66972" w:rsidRDefault="00C66972" w:rsidP="00C66972">
      <w:pPr>
        <w:spacing w:after="200" w:line="276" w:lineRule="auto"/>
        <w:rPr>
          <w:rFonts w:eastAsiaTheme="minorHAnsi"/>
        </w:rPr>
      </w:pPr>
    </w:p>
    <w:p w14:paraId="76C56CF6"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624" w:gutter="0"/>
          <w:cols w:space="708"/>
          <w:docGrid w:linePitch="360"/>
        </w:sectPr>
      </w:pPr>
    </w:p>
    <w:p w14:paraId="0EF21454" w14:textId="101FD5A3" w:rsidR="00C66972" w:rsidRPr="002067A4" w:rsidRDefault="00C66972" w:rsidP="00A80282">
      <w:pPr>
        <w:pStyle w:val="Title"/>
      </w:pPr>
      <w:bookmarkStart w:id="173" w:name="_Toc483227186"/>
      <w:bookmarkStart w:id="174" w:name="_Toc504654695"/>
      <w:bookmarkStart w:id="175" w:name="coordinators"/>
      <w:r w:rsidRPr="002067A4">
        <w:lastRenderedPageBreak/>
        <w:t>Functions and training of workplace rehabilitation coordinators</w:t>
      </w:r>
      <w:bookmarkEnd w:id="173"/>
      <w:bookmarkEnd w:id="174"/>
      <w:r w:rsidRPr="002067A4">
        <w:t xml:space="preserve"> </w:t>
      </w:r>
      <w:r w:rsidR="00232E14" w:rsidRPr="002067A4">
        <w:fldChar w:fldCharType="begin"/>
      </w:r>
      <w:r w:rsidR="00232E14" w:rsidRPr="002067A4">
        <w:instrText xml:space="preserve"> XE "return to work:workplace rehabilitation coordinators" \r "coordinators" </w:instrText>
      </w:r>
      <w:r w:rsidR="00232E14" w:rsidRPr="002067A4">
        <w:fldChar w:fldCharType="end"/>
      </w:r>
      <w:r w:rsidR="00870A7B" w:rsidRPr="002067A4">
        <w:fldChar w:fldCharType="begin"/>
      </w:r>
      <w:r w:rsidR="00870A7B" w:rsidRPr="002067A4">
        <w:instrText xml:space="preserve"> XE "workplace rehabilitation coordinators" \r "coordinators" </w:instrText>
      </w:r>
      <w:r w:rsidR="00870A7B" w:rsidRPr="002067A4">
        <w:fldChar w:fldCharType="end"/>
      </w:r>
    </w:p>
    <w:p w14:paraId="1742147B" w14:textId="77777777" w:rsidR="00172AC7" w:rsidRDefault="00C66972" w:rsidP="002067A4">
      <w:pPr>
        <w:spacing w:before="240"/>
        <w:rPr>
          <w:rFonts w:eastAsiaTheme="minorHAnsi"/>
        </w:rPr>
      </w:pPr>
      <w:r w:rsidRPr="00C66972">
        <w:rPr>
          <w:rFonts w:eastAsiaTheme="minorHAnsi"/>
        </w:rPr>
        <w:t xml:space="preserve">Some jurisdictions require employers of a certain size to employ an officer in an organisation on a full-time or ad hoc basis to coordinate the return to work of injured workers. Jurisdictions that are not required by their Act to recruit a workplace rehabilitation coordinator are Western Australia, Northern Territory, Australian Capital Territory and New Zealand. </w:t>
      </w:r>
    </w:p>
    <w:p w14:paraId="157B5609" w14:textId="02050FF6" w:rsidR="00C66972" w:rsidRPr="00C66972" w:rsidRDefault="00C66972" w:rsidP="002067A4">
      <w:pPr>
        <w:spacing w:before="240"/>
        <w:rPr>
          <w:rFonts w:eastAsiaTheme="minorHAnsi"/>
        </w:rPr>
      </w:pPr>
      <w:r w:rsidRPr="00C66972">
        <w:rPr>
          <w:rFonts w:eastAsiaTheme="minorHAnsi"/>
        </w:rPr>
        <w:t xml:space="preserve">Workplace rehabilitation coordinators have similar functions in the jurisdictions that require their employment. These functions include: </w:t>
      </w:r>
    </w:p>
    <w:p w14:paraId="193D9674" w14:textId="77777777" w:rsidR="00341A37" w:rsidRDefault="00C66972" w:rsidP="00F839DB">
      <w:pPr>
        <w:pStyle w:val="ListParagraph"/>
        <w:numPr>
          <w:ilvl w:val="0"/>
          <w:numId w:val="485"/>
        </w:numPr>
        <w:rPr>
          <w:rFonts w:eastAsiaTheme="minorHAnsi"/>
        </w:rPr>
      </w:pPr>
      <w:r w:rsidRPr="00341A37">
        <w:rPr>
          <w:rFonts w:eastAsiaTheme="minorHAnsi"/>
        </w:rPr>
        <w:t>developing a return to work plan in consultation with the injured worker and the employer</w:t>
      </w:r>
    </w:p>
    <w:p w14:paraId="697E7E71" w14:textId="77777777" w:rsidR="00341A37" w:rsidRDefault="00C66972" w:rsidP="00F839DB">
      <w:pPr>
        <w:pStyle w:val="ListParagraph"/>
        <w:numPr>
          <w:ilvl w:val="0"/>
          <w:numId w:val="485"/>
        </w:numPr>
        <w:rPr>
          <w:rFonts w:eastAsiaTheme="minorHAnsi"/>
        </w:rPr>
      </w:pPr>
      <w:r w:rsidRPr="00341A37">
        <w:rPr>
          <w:rFonts w:eastAsiaTheme="minorHAnsi"/>
        </w:rPr>
        <w:t>assisting with the planning and implementation of a return to work program</w:t>
      </w:r>
    </w:p>
    <w:p w14:paraId="2C62C995" w14:textId="77777777" w:rsidR="00341A37" w:rsidRDefault="00C66972" w:rsidP="00F839DB">
      <w:pPr>
        <w:pStyle w:val="ListParagraph"/>
        <w:numPr>
          <w:ilvl w:val="0"/>
          <w:numId w:val="485"/>
        </w:numPr>
        <w:rPr>
          <w:rFonts w:eastAsiaTheme="minorHAnsi"/>
        </w:rPr>
      </w:pPr>
      <w:r w:rsidRPr="00341A37">
        <w:rPr>
          <w:rFonts w:eastAsiaTheme="minorHAnsi"/>
        </w:rPr>
        <w:t xml:space="preserve">identifying suitable duties for the injured worker to enable return to work as soon as possible </w:t>
      </w:r>
    </w:p>
    <w:p w14:paraId="0AF41A85" w14:textId="77777777" w:rsidR="00341A37" w:rsidRDefault="00C66972" w:rsidP="00F839DB">
      <w:pPr>
        <w:pStyle w:val="ListParagraph"/>
        <w:numPr>
          <w:ilvl w:val="0"/>
          <w:numId w:val="485"/>
        </w:numPr>
        <w:rPr>
          <w:rFonts w:eastAsiaTheme="minorHAnsi"/>
        </w:rPr>
      </w:pPr>
      <w:r w:rsidRPr="00341A37">
        <w:rPr>
          <w:rFonts w:eastAsiaTheme="minorHAnsi"/>
        </w:rPr>
        <w:t>managing the return to work process by liaising with treating doctors, rehabilitation providers and the employer, and</w:t>
      </w:r>
    </w:p>
    <w:p w14:paraId="0CB7F434" w14:textId="77777777" w:rsidR="00172AC7" w:rsidRDefault="00C66972" w:rsidP="00F839DB">
      <w:pPr>
        <w:pStyle w:val="ListParagraph"/>
        <w:numPr>
          <w:ilvl w:val="0"/>
          <w:numId w:val="485"/>
        </w:numPr>
        <w:rPr>
          <w:rFonts w:eastAsiaTheme="minorHAnsi"/>
        </w:rPr>
      </w:pPr>
      <w:r w:rsidRPr="00341A37">
        <w:rPr>
          <w:rFonts w:eastAsiaTheme="minorHAnsi"/>
        </w:rPr>
        <w:t>monitoring the injured workers’ progress towards successful return to work.</w:t>
      </w:r>
    </w:p>
    <w:p w14:paraId="2B1AF0E7" w14:textId="5D186A6E" w:rsidR="006A50D4" w:rsidRDefault="00C66972" w:rsidP="002067A4">
      <w:pPr>
        <w:spacing w:before="240"/>
        <w:rPr>
          <w:rFonts w:eastAsiaTheme="minorHAnsi"/>
        </w:rPr>
      </w:pPr>
      <w:r w:rsidRPr="00C66972">
        <w:rPr>
          <w:rFonts w:eastAsiaTheme="minorHAnsi"/>
        </w:rPr>
        <w:t>Jurisdictions that require the employment of a workplace rehabilitation coordinator can have specific training requirements. Most commonly, a short course is undertaken in order to gain a qualification as a workplace rehabilitation coordinator.</w:t>
      </w:r>
      <w:r w:rsidR="00341A37">
        <w:rPr>
          <w:rFonts w:eastAsiaTheme="minorHAnsi"/>
        </w:rPr>
        <w:t xml:space="preserve"> </w:t>
      </w:r>
      <w:r w:rsidRPr="00C66972">
        <w:rPr>
          <w:rFonts w:eastAsiaTheme="minorHAnsi"/>
        </w:rPr>
        <w:t>Normally self-insurers case-manage their own employees; however some jurisdictions allow them to outsource this function. Table 6.7 shows the outsourcing of case management arrangements in Australia.</w:t>
      </w:r>
    </w:p>
    <w:p w14:paraId="34E6D840" w14:textId="212888F5"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1702E51F" w14:textId="0684589E" w:rsidR="00C5178A" w:rsidRPr="00A80282" w:rsidRDefault="00C5178A" w:rsidP="00A80282">
      <w:pPr>
        <w:pStyle w:val="SWATableheader"/>
      </w:pPr>
      <w:bookmarkStart w:id="176" w:name="_Toc504654696"/>
      <w:r w:rsidRPr="00A80282">
        <w:lastRenderedPageBreak/>
        <w:t>Table 5.6: Functions and training of workplace rehabilitation coordinators</w:t>
      </w:r>
      <w:bookmarkEnd w:id="176"/>
      <w:r w:rsidRPr="00A80282">
        <w:t xml:space="preserve"> </w:t>
      </w:r>
    </w:p>
    <w:tbl>
      <w:tblPr>
        <w:tblW w:w="0" w:type="auto"/>
        <w:tblInd w:w="6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6: Functions and training of workplace rehabilitation coordinators  "/>
        <w:tblDescription w:val="This table outlines the functions and training of workplace rehabilitation coordinators under each of the workers' compensation schemes. "/>
      </w:tblPr>
      <w:tblGrid>
        <w:gridCol w:w="1361"/>
        <w:gridCol w:w="6836"/>
        <w:gridCol w:w="6836"/>
      </w:tblGrid>
      <w:tr w:rsidR="00C5178A" w:rsidRPr="00C5178A" w14:paraId="0C9044EC" w14:textId="77777777" w:rsidTr="00B2173F">
        <w:trPr>
          <w:tblHeader/>
        </w:trPr>
        <w:tc>
          <w:tcPr>
            <w:tcW w:w="1361" w:type="dxa"/>
            <w:shd w:val="clear" w:color="auto" w:fill="C00000"/>
            <w:tcMar>
              <w:top w:w="0" w:type="dxa"/>
              <w:left w:w="0" w:type="dxa"/>
              <w:bottom w:w="0" w:type="dxa"/>
              <w:right w:w="0" w:type="dxa"/>
            </w:tcMar>
            <w:vAlign w:val="center"/>
          </w:tcPr>
          <w:p w14:paraId="651C8FE1" w14:textId="77777777" w:rsidR="00C5178A" w:rsidRPr="00C5178A" w:rsidRDefault="00C5178A" w:rsidP="00292A53">
            <w:pPr>
              <w:pStyle w:val="Tableheaderrow"/>
              <w:spacing w:after="60"/>
            </w:pPr>
          </w:p>
        </w:tc>
        <w:tc>
          <w:tcPr>
            <w:tcW w:w="6836" w:type="dxa"/>
            <w:shd w:val="clear" w:color="auto" w:fill="C00000"/>
            <w:tcMar>
              <w:top w:w="0" w:type="dxa"/>
              <w:left w:w="0" w:type="dxa"/>
              <w:bottom w:w="0" w:type="dxa"/>
              <w:right w:w="0" w:type="dxa"/>
            </w:tcMar>
            <w:vAlign w:val="center"/>
          </w:tcPr>
          <w:p w14:paraId="13C89EBB" w14:textId="77777777" w:rsidR="00C5178A" w:rsidRPr="00C5178A" w:rsidRDefault="00C5178A" w:rsidP="00292A53">
            <w:pPr>
              <w:pStyle w:val="Tableheaderrow"/>
              <w:spacing w:after="60"/>
            </w:pPr>
            <w:r w:rsidRPr="00C5178A">
              <w:t>Workplace rehabilitation coordinator requirements and threshold</w:t>
            </w:r>
          </w:p>
        </w:tc>
        <w:tc>
          <w:tcPr>
            <w:tcW w:w="6836" w:type="dxa"/>
            <w:shd w:val="clear" w:color="auto" w:fill="C00000"/>
            <w:tcMar>
              <w:top w:w="0" w:type="dxa"/>
              <w:left w:w="0" w:type="dxa"/>
              <w:bottom w:w="0" w:type="dxa"/>
              <w:right w:w="0" w:type="dxa"/>
            </w:tcMar>
            <w:vAlign w:val="center"/>
          </w:tcPr>
          <w:p w14:paraId="127E264E" w14:textId="77777777" w:rsidR="00C5178A" w:rsidRPr="00C5178A" w:rsidRDefault="00C5178A" w:rsidP="00292A53">
            <w:pPr>
              <w:pStyle w:val="Tableheaderrow"/>
              <w:spacing w:after="60"/>
            </w:pPr>
            <w:r w:rsidRPr="00C5178A">
              <w:t>Training and accreditation</w:t>
            </w:r>
          </w:p>
        </w:tc>
      </w:tr>
      <w:tr w:rsidR="00C5178A" w:rsidRPr="00C5178A" w14:paraId="1C6AD2BD" w14:textId="77777777" w:rsidTr="00B2173F">
        <w:tc>
          <w:tcPr>
            <w:tcW w:w="1361" w:type="dxa"/>
            <w:shd w:val="clear" w:color="auto" w:fill="FFC9C9"/>
            <w:tcMar>
              <w:top w:w="80" w:type="dxa"/>
              <w:left w:w="80" w:type="dxa"/>
              <w:bottom w:w="80" w:type="dxa"/>
              <w:right w:w="80" w:type="dxa"/>
            </w:tcMar>
          </w:tcPr>
          <w:p w14:paraId="15B0C942"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3A25B34E" w14:textId="06C2872E" w:rsidR="00C5178A" w:rsidRPr="00C5178A" w:rsidRDefault="00A7538C" w:rsidP="00292A53">
            <w:pPr>
              <w:spacing w:after="60"/>
              <w:rPr>
                <w:rFonts w:cs="Arial"/>
                <w:color w:val="000000"/>
                <w:sz w:val="14"/>
                <w:szCs w:val="16"/>
                <w:lang w:val="en-GB"/>
              </w:rPr>
            </w:pPr>
            <w:hyperlink r:id="rId1911" w:history="1">
              <w:r w:rsidR="00C5178A" w:rsidRPr="00145949">
                <w:rPr>
                  <w:rStyle w:val="Hyperlink"/>
                  <w:rFonts w:cs="Arial"/>
                  <w:sz w:val="14"/>
                  <w:szCs w:val="16"/>
                  <w:lang w:val="en-GB"/>
                </w:rPr>
                <w:t>Clause 23</w:t>
              </w:r>
            </w:hyperlink>
            <w:r w:rsidR="00C5178A" w:rsidRPr="00C5178A">
              <w:rPr>
                <w:rFonts w:cs="Arial"/>
                <w:color w:val="000000"/>
                <w:sz w:val="14"/>
                <w:szCs w:val="16"/>
                <w:lang w:val="en-GB"/>
              </w:rPr>
              <w:t xml:space="preserve"> </w:t>
            </w:r>
            <w:r w:rsidR="00C5178A" w:rsidRPr="00E02A31">
              <w:rPr>
                <w:rFonts w:cs="Arial"/>
                <w:i/>
                <w:color w:val="000000"/>
                <w:sz w:val="14"/>
                <w:szCs w:val="16"/>
                <w:lang w:val="en-GB"/>
              </w:rPr>
              <w:t>Workers’ Compensation Regulation 2016</w:t>
            </w:r>
          </w:p>
          <w:p w14:paraId="535C985E" w14:textId="559C862C"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Category 1 employers</w:t>
            </w:r>
            <w:r w:rsidR="00854F23">
              <w:rPr>
                <w:rFonts w:cs="Arial"/>
                <w:color w:val="000000"/>
                <w:sz w:val="14"/>
                <w:szCs w:val="16"/>
                <w:lang w:val="en-GB"/>
              </w:rPr>
              <w:fldChar w:fldCharType="begin"/>
            </w:r>
            <w:r w:rsidR="00854F23">
              <w:instrText xml:space="preserve"> XE "</w:instrText>
            </w:r>
            <w:r w:rsidR="00C44D5D">
              <w:instrText>Cate</w:instrText>
            </w:r>
            <w:r w:rsidR="00854F23" w:rsidRPr="00154439">
              <w:instrText>gory 1 employers (NSW)</w:instrText>
            </w:r>
            <w:r w:rsidR="00854F23">
              <w:instrText xml:space="preserve">" </w:instrText>
            </w:r>
            <w:r w:rsidR="00854F23">
              <w:rPr>
                <w:rFonts w:cs="Arial"/>
                <w:color w:val="000000"/>
                <w:sz w:val="14"/>
                <w:szCs w:val="16"/>
                <w:lang w:val="en-GB"/>
              </w:rPr>
              <w:fldChar w:fldCharType="end"/>
            </w:r>
            <w:r w:rsidR="0025506E">
              <w:rPr>
                <w:rFonts w:cs="Arial"/>
                <w:color w:val="000000"/>
                <w:sz w:val="14"/>
                <w:szCs w:val="16"/>
                <w:lang w:val="en-GB"/>
              </w:rPr>
              <w:fldChar w:fldCharType="begin"/>
            </w:r>
            <w:r w:rsidR="0025506E">
              <w:instrText xml:space="preserve"> XE "</w:instrText>
            </w:r>
            <w:r w:rsidR="0025506E" w:rsidRPr="00571962">
              <w:instrText>employers:Category 1 employers (NSW)</w:instrText>
            </w:r>
            <w:r w:rsidR="0025506E">
              <w:instrText xml:space="preserve">" </w:instrText>
            </w:r>
            <w:r w:rsidR="0025506E">
              <w:rPr>
                <w:rFonts w:cs="Arial"/>
                <w:color w:val="000000"/>
                <w:sz w:val="14"/>
                <w:szCs w:val="16"/>
                <w:lang w:val="en-GB"/>
              </w:rPr>
              <w:fldChar w:fldCharType="end"/>
            </w:r>
            <w:r w:rsidRPr="00C5178A">
              <w:rPr>
                <w:rFonts w:cs="Arial"/>
                <w:color w:val="000000"/>
                <w:sz w:val="14"/>
                <w:szCs w:val="16"/>
                <w:lang w:val="en-GB"/>
              </w:rPr>
              <w:t xml:space="preserve"> (see Appendix) must have return to work coordinator</w:t>
            </w:r>
          </w:p>
          <w:p w14:paraId="224E309B" w14:textId="16E78630" w:rsidR="00C5178A" w:rsidRPr="00C5178A" w:rsidRDefault="00C5178A" w:rsidP="00F839DB">
            <w:pPr>
              <w:numPr>
                <w:ilvl w:val="0"/>
                <w:numId w:val="73"/>
              </w:numPr>
              <w:spacing w:after="60"/>
              <w:rPr>
                <w:rFonts w:cs="Arial"/>
                <w:color w:val="000000"/>
                <w:sz w:val="14"/>
                <w:szCs w:val="16"/>
                <w:lang w:val="en-GB"/>
              </w:rPr>
            </w:pPr>
            <w:r w:rsidRPr="00C5178A">
              <w:rPr>
                <w:rFonts w:cs="Arial"/>
                <w:color w:val="000000"/>
                <w:sz w:val="14"/>
                <w:szCs w:val="16"/>
                <w:lang w:val="en-GB"/>
              </w:rPr>
              <w:t xml:space="preserve">A category 1 employer must: (a) employ a person to be a Return to Work Coordinator for injured workers of the employer, being a person who has undergone such training as the guidelines may require, or (b) engage a person in accordance with such arrangements as the guidelines may from time to time permit to be a return to work coordinator for injured workers of the employer. </w:t>
            </w:r>
          </w:p>
          <w:p w14:paraId="2CAB77B6" w14:textId="77777777" w:rsidR="00C5178A" w:rsidRPr="00C5178A" w:rsidRDefault="00C5178A" w:rsidP="00F839DB">
            <w:pPr>
              <w:numPr>
                <w:ilvl w:val="0"/>
                <w:numId w:val="73"/>
              </w:numPr>
              <w:spacing w:after="60"/>
              <w:rPr>
                <w:rFonts w:cs="Arial"/>
                <w:color w:val="000000"/>
                <w:sz w:val="14"/>
                <w:szCs w:val="16"/>
                <w:lang w:val="en-GB"/>
              </w:rPr>
            </w:pPr>
            <w:r w:rsidRPr="00C5178A">
              <w:rPr>
                <w:rFonts w:cs="Arial"/>
                <w:color w:val="000000"/>
                <w:sz w:val="14"/>
                <w:szCs w:val="16"/>
                <w:lang w:val="en-GB"/>
              </w:rPr>
              <w:t>The following are examples of the arrangements that the guidelines can permit for the purposes of this clause:</w:t>
            </w:r>
          </w:p>
          <w:p w14:paraId="491C4CF2" w14:textId="77777777" w:rsidR="00C5178A" w:rsidRPr="00C5178A" w:rsidRDefault="00C5178A" w:rsidP="00F839DB">
            <w:pPr>
              <w:numPr>
                <w:ilvl w:val="0"/>
                <w:numId w:val="293"/>
              </w:numPr>
              <w:spacing w:after="60"/>
              <w:ind w:left="627" w:hanging="284"/>
              <w:rPr>
                <w:rFonts w:cs="Arial"/>
                <w:color w:val="000000"/>
                <w:sz w:val="14"/>
                <w:szCs w:val="16"/>
                <w:lang w:val="en-GB"/>
              </w:rPr>
            </w:pPr>
            <w:r w:rsidRPr="00C5178A">
              <w:rPr>
                <w:rFonts w:cs="Arial"/>
                <w:color w:val="000000"/>
                <w:sz w:val="14"/>
                <w:szCs w:val="16"/>
                <w:lang w:val="en-GB"/>
              </w:rPr>
              <w:t xml:space="preserve">the engagement of a person under an arrangement with a person or organisation that provides Return to Work Coordinators to employers, </w:t>
            </w:r>
          </w:p>
          <w:p w14:paraId="5DC0B2DC" w14:textId="77777777" w:rsidR="00C5178A" w:rsidRPr="00C5178A" w:rsidRDefault="00C5178A" w:rsidP="00F839DB">
            <w:pPr>
              <w:numPr>
                <w:ilvl w:val="0"/>
                <w:numId w:val="293"/>
              </w:numPr>
              <w:spacing w:after="60"/>
              <w:ind w:left="627" w:hanging="284"/>
              <w:rPr>
                <w:rFonts w:cs="Arial"/>
                <w:color w:val="000000"/>
                <w:sz w:val="14"/>
                <w:szCs w:val="16"/>
                <w:lang w:val="en-GB"/>
              </w:rPr>
            </w:pPr>
            <w:r w:rsidRPr="00C5178A">
              <w:rPr>
                <w:rFonts w:cs="Arial"/>
                <w:color w:val="000000"/>
                <w:sz w:val="14"/>
                <w:szCs w:val="16"/>
                <w:lang w:val="en-GB"/>
              </w:rPr>
              <w:t>an arrangement under which a person is engaged on a shared basis by two or more employers.</w:t>
            </w:r>
          </w:p>
          <w:p w14:paraId="449A7EAF" w14:textId="77777777" w:rsidR="00C5178A" w:rsidRPr="00C5178A" w:rsidRDefault="00C5178A" w:rsidP="00F839DB">
            <w:pPr>
              <w:numPr>
                <w:ilvl w:val="0"/>
                <w:numId w:val="294"/>
              </w:numPr>
              <w:spacing w:after="60"/>
              <w:rPr>
                <w:rFonts w:cs="Arial"/>
                <w:color w:val="000000"/>
                <w:sz w:val="14"/>
                <w:szCs w:val="16"/>
                <w:lang w:val="en-GB"/>
              </w:rPr>
            </w:pPr>
            <w:r w:rsidRPr="00C5178A">
              <w:rPr>
                <w:rFonts w:cs="Arial"/>
                <w:color w:val="000000"/>
                <w:sz w:val="14"/>
                <w:szCs w:val="16"/>
                <w:lang w:val="en-GB"/>
              </w:rPr>
              <w:t>The guidelines can require an employer to obtain the approval of the Authority before entering into an arrangement for the purposes of subclause (1) (b).</w:t>
            </w:r>
          </w:p>
          <w:p w14:paraId="75FAD477" w14:textId="77777777" w:rsidR="00C5178A" w:rsidRPr="00C5178A" w:rsidRDefault="00C5178A" w:rsidP="00F839DB">
            <w:pPr>
              <w:numPr>
                <w:ilvl w:val="0"/>
                <w:numId w:val="294"/>
              </w:numPr>
              <w:spacing w:after="60"/>
              <w:rPr>
                <w:rFonts w:cs="Arial"/>
                <w:color w:val="000000"/>
                <w:sz w:val="14"/>
                <w:szCs w:val="16"/>
                <w:lang w:val="en-GB"/>
              </w:rPr>
            </w:pPr>
            <w:r w:rsidRPr="00C5178A">
              <w:rPr>
                <w:rFonts w:cs="Arial"/>
                <w:color w:val="000000"/>
                <w:sz w:val="14"/>
                <w:szCs w:val="16"/>
                <w:lang w:val="en-GB"/>
              </w:rPr>
              <w:t>The guidelines can impose requirements with respect to the training, qualifications and experience of persons who may be engaged to be Return to Work Coordinators under subclause (1) (b).</w:t>
            </w:r>
          </w:p>
          <w:p w14:paraId="32B5D1B7" w14:textId="4F40806A" w:rsidR="00C5178A" w:rsidRPr="00C5178A" w:rsidRDefault="00A7538C" w:rsidP="00292A53">
            <w:pPr>
              <w:spacing w:after="60"/>
              <w:rPr>
                <w:rFonts w:cs="Arial"/>
                <w:color w:val="000000"/>
                <w:sz w:val="14"/>
                <w:szCs w:val="16"/>
                <w:lang w:val="en-GB"/>
              </w:rPr>
            </w:pPr>
            <w:hyperlink r:id="rId1912" w:history="1">
              <w:r w:rsidR="00C5178A" w:rsidRPr="00FE4E6B">
                <w:rPr>
                  <w:rStyle w:val="Hyperlink"/>
                  <w:rFonts w:cs="Arial"/>
                  <w:sz w:val="14"/>
                  <w:szCs w:val="16"/>
                  <w:lang w:val="en-GB"/>
                </w:rPr>
                <w:t>Clause 24</w:t>
              </w:r>
            </w:hyperlink>
            <w:r w:rsidR="00C5178A" w:rsidRPr="00C5178A">
              <w:rPr>
                <w:rFonts w:cs="Arial"/>
                <w:color w:val="000000"/>
                <w:sz w:val="14"/>
                <w:szCs w:val="16"/>
                <w:lang w:val="en-GB"/>
              </w:rPr>
              <w:t xml:space="preserve"> </w:t>
            </w:r>
            <w:r w:rsidR="00C5178A" w:rsidRPr="00C5178A">
              <w:rPr>
                <w:rFonts w:cs="Arial"/>
                <w:i/>
                <w:color w:val="000000"/>
                <w:sz w:val="14"/>
                <w:szCs w:val="16"/>
                <w:lang w:val="en-GB"/>
              </w:rPr>
              <w:t>Work</w:t>
            </w:r>
            <w:r w:rsidR="00E02A31">
              <w:rPr>
                <w:rFonts w:cs="Arial"/>
                <w:i/>
                <w:color w:val="000000"/>
                <w:sz w:val="14"/>
                <w:szCs w:val="16"/>
                <w:lang w:val="en-GB"/>
              </w:rPr>
              <w:t>ers Compensation Regulation 2016</w:t>
            </w:r>
          </w:p>
          <w:p w14:paraId="043B3652"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Functions of Return to Work Coordinators:</w:t>
            </w:r>
          </w:p>
          <w:p w14:paraId="6E9F9D49" w14:textId="77777777" w:rsidR="00C5178A" w:rsidRPr="00C5178A" w:rsidRDefault="00C5178A" w:rsidP="00F839DB">
            <w:pPr>
              <w:numPr>
                <w:ilvl w:val="0"/>
                <w:numId w:val="74"/>
              </w:numPr>
              <w:spacing w:after="60"/>
              <w:rPr>
                <w:rFonts w:cs="Arial"/>
                <w:color w:val="000000"/>
                <w:sz w:val="14"/>
                <w:szCs w:val="16"/>
                <w:lang w:val="en-GB"/>
              </w:rPr>
            </w:pPr>
            <w:r w:rsidRPr="00C5178A">
              <w:rPr>
                <w:rFonts w:cs="Arial"/>
                <w:color w:val="000000"/>
                <w:sz w:val="14"/>
                <w:szCs w:val="16"/>
                <w:lang w:val="en-GB"/>
              </w:rPr>
              <w:t>An employer’s Return to Work Coordinators has such functions as may be specified in the Guidelines.</w:t>
            </w:r>
          </w:p>
          <w:p w14:paraId="7C61EDE1"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Responsibilities:</w:t>
            </w:r>
          </w:p>
          <w:p w14:paraId="53EFD463" w14:textId="2201CE52" w:rsidR="00C5178A" w:rsidRPr="00C5178A" w:rsidRDefault="00E02A31" w:rsidP="00F839DB">
            <w:pPr>
              <w:numPr>
                <w:ilvl w:val="0"/>
                <w:numId w:val="74"/>
              </w:numPr>
              <w:spacing w:after="60"/>
              <w:rPr>
                <w:rFonts w:cs="Arial"/>
                <w:color w:val="000000"/>
                <w:sz w:val="14"/>
                <w:szCs w:val="16"/>
                <w:lang w:val="en-GB"/>
              </w:rPr>
            </w:pPr>
            <w:r>
              <w:rPr>
                <w:rFonts w:cs="Arial"/>
                <w:color w:val="000000"/>
                <w:sz w:val="14"/>
                <w:szCs w:val="16"/>
                <w:lang w:val="en-GB"/>
              </w:rPr>
              <w:t>The role and functions</w:t>
            </w:r>
            <w:r w:rsidR="00C5178A" w:rsidRPr="00C5178A">
              <w:rPr>
                <w:rFonts w:cs="Arial"/>
                <w:color w:val="000000"/>
                <w:sz w:val="14"/>
                <w:szCs w:val="16"/>
                <w:lang w:val="en-GB"/>
              </w:rPr>
              <w:t xml:space="preserve"> of return to work coordinators are outlined in SIRA’s Guidelines for workplace return to work programs.</w:t>
            </w:r>
            <w:r>
              <w:rPr>
                <w:rFonts w:cs="Arial"/>
                <w:color w:val="000000"/>
                <w:sz w:val="14"/>
                <w:szCs w:val="16"/>
                <w:lang w:val="en-GB"/>
              </w:rPr>
              <w:t xml:space="preserve"> If an employer chooses to outsource this role or engage a RTW coordinator under a work arrangement or contract, they must ensure:</w:t>
            </w:r>
            <w:r w:rsidR="00C5178A" w:rsidRPr="00C5178A">
              <w:rPr>
                <w:rFonts w:cs="Arial"/>
                <w:color w:val="000000"/>
                <w:sz w:val="14"/>
                <w:szCs w:val="16"/>
                <w:lang w:val="en-GB"/>
              </w:rPr>
              <w:t xml:space="preserve"> </w:t>
            </w:r>
          </w:p>
          <w:p w14:paraId="2E57E233" w14:textId="77777777" w:rsidR="000547CE" w:rsidRDefault="00C5178A" w:rsidP="002A3822">
            <w:pPr>
              <w:numPr>
                <w:ilvl w:val="0"/>
                <w:numId w:val="56"/>
              </w:numPr>
              <w:spacing w:after="60"/>
              <w:ind w:left="714" w:hanging="357"/>
              <w:rPr>
                <w:rFonts w:cs="Arial"/>
                <w:color w:val="000000"/>
                <w:sz w:val="14"/>
                <w:szCs w:val="16"/>
                <w:lang w:val="en-GB"/>
              </w:rPr>
            </w:pPr>
            <w:r w:rsidRPr="00C5178A">
              <w:rPr>
                <w:rFonts w:cs="Arial"/>
                <w:color w:val="000000"/>
                <w:sz w:val="14"/>
                <w:szCs w:val="16"/>
                <w:lang w:val="en-GB"/>
              </w:rPr>
              <w:t xml:space="preserve">the </w:t>
            </w:r>
            <w:r w:rsidR="00E02A31">
              <w:rPr>
                <w:rFonts w:cs="Arial"/>
                <w:color w:val="000000"/>
                <w:sz w:val="14"/>
                <w:szCs w:val="16"/>
                <w:lang w:val="en-GB"/>
              </w:rPr>
              <w:t xml:space="preserve">appointed person has </w:t>
            </w:r>
            <w:r w:rsidR="000547CE">
              <w:rPr>
                <w:rFonts w:cs="Arial"/>
                <w:color w:val="000000"/>
                <w:sz w:val="14"/>
                <w:szCs w:val="16"/>
                <w:lang w:val="en-GB"/>
              </w:rPr>
              <w:t>the required training, skills and experience</w:t>
            </w:r>
          </w:p>
          <w:p w14:paraId="375809CB" w14:textId="5EFE781D" w:rsidR="00C5178A"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 arrangement will not disadvantage workers</w:t>
            </w:r>
          </w:p>
          <w:p w14:paraId="7CBFBB78" w14:textId="77777777" w:rsidR="000547CE"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they consult the workforce before proceeding with the arrangement</w:t>
            </w:r>
          </w:p>
          <w:p w14:paraId="1327C735" w14:textId="77777777" w:rsidR="000547CE"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there is no perceived or actual conflict of interest for the person being engaged</w:t>
            </w:r>
          </w:p>
          <w:p w14:paraId="6420BF5A" w14:textId="3C2B4630" w:rsidR="000547CE"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 RTW program details the arrangements, including the person’s name, qualifications and experience</w:t>
            </w:r>
          </w:p>
          <w:p w14:paraId="750FD974" w14:textId="797E91EC" w:rsidR="000547CE" w:rsidRPr="00C5178A"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 suitability of these arrangements is reviewed every two years as part of the RTW program review.</w:t>
            </w:r>
          </w:p>
          <w:p w14:paraId="477C82CB" w14:textId="60C4BA30" w:rsidR="00C5178A" w:rsidRPr="00C5178A" w:rsidRDefault="00C5178A" w:rsidP="00F839DB">
            <w:pPr>
              <w:pStyle w:val="ListParagraph"/>
              <w:numPr>
                <w:ilvl w:val="0"/>
                <w:numId w:val="74"/>
              </w:numPr>
              <w:spacing w:after="60"/>
              <w:contextualSpacing/>
              <w:rPr>
                <w:rFonts w:eastAsia="Calibri" w:cs="Arial"/>
                <w:sz w:val="14"/>
                <w:szCs w:val="14"/>
                <w:lang w:eastAsia="en-US"/>
              </w:rPr>
            </w:pPr>
            <w:r w:rsidRPr="00C5178A">
              <w:rPr>
                <w:rFonts w:eastAsia="Calibri" w:cs="Arial"/>
                <w:sz w:val="14"/>
                <w:szCs w:val="14"/>
                <w:lang w:eastAsia="en-US"/>
              </w:rPr>
              <w:t>There is no requirement for Category 2</w:t>
            </w:r>
            <w:r w:rsidR="00C44D5D">
              <w:rPr>
                <w:rFonts w:eastAsia="Calibri" w:cs="Arial"/>
                <w:sz w:val="14"/>
                <w:szCs w:val="14"/>
                <w:lang w:eastAsia="en-US"/>
              </w:rPr>
              <w:fldChar w:fldCharType="begin"/>
            </w:r>
            <w:r w:rsidR="00C44D5D">
              <w:instrText xml:space="preserve"> XE "</w:instrText>
            </w:r>
            <w:r w:rsidR="00C44D5D" w:rsidRPr="004F5D46">
              <w:rPr>
                <w:rFonts w:eastAsia="Calibri" w:cs="Arial"/>
                <w:sz w:val="14"/>
                <w:szCs w:val="14"/>
                <w:lang w:eastAsia="en-US"/>
              </w:rPr>
              <w:instrText>Category 2 employers (NSW)</w:instrText>
            </w:r>
            <w:r w:rsidR="00C44D5D">
              <w:instrText xml:space="preserve">" </w:instrText>
            </w:r>
            <w:r w:rsidR="00C44D5D">
              <w:rPr>
                <w:rFonts w:eastAsia="Calibri" w:cs="Arial"/>
                <w:sz w:val="14"/>
                <w:szCs w:val="14"/>
                <w:lang w:eastAsia="en-US"/>
              </w:rPr>
              <w:fldChar w:fldCharType="end"/>
            </w:r>
            <w:r w:rsidR="0025506E">
              <w:rPr>
                <w:rFonts w:eastAsia="Calibri" w:cs="Arial"/>
                <w:sz w:val="14"/>
                <w:szCs w:val="14"/>
                <w:lang w:eastAsia="en-US"/>
              </w:rPr>
              <w:fldChar w:fldCharType="begin"/>
            </w:r>
            <w:r w:rsidR="0025506E">
              <w:instrText xml:space="preserve"> XE "</w:instrText>
            </w:r>
            <w:r w:rsidR="0025506E" w:rsidRPr="00731960">
              <w:instrText>employers:Category 2 employers (NSW)</w:instrText>
            </w:r>
            <w:r w:rsidR="0025506E">
              <w:instrText xml:space="preserve">" </w:instrText>
            </w:r>
            <w:r w:rsidR="0025506E">
              <w:rPr>
                <w:rFonts w:eastAsia="Calibri" w:cs="Arial"/>
                <w:sz w:val="14"/>
                <w:szCs w:val="14"/>
                <w:lang w:eastAsia="en-US"/>
              </w:rPr>
              <w:fldChar w:fldCharType="end"/>
            </w:r>
            <w:r w:rsidRPr="00C5178A">
              <w:rPr>
                <w:rFonts w:eastAsia="Calibri" w:cs="Arial"/>
                <w:sz w:val="14"/>
                <w:szCs w:val="14"/>
                <w:lang w:eastAsia="en-US"/>
              </w:rPr>
              <w:t xml:space="preserve"> employers to appoint a Return to Work Coordinator, however, employer associations and unions may establish shared return to work coordinator positions to assist smaller employers to fulfil their obligations.</w:t>
            </w:r>
          </w:p>
        </w:tc>
        <w:tc>
          <w:tcPr>
            <w:tcW w:w="6836" w:type="dxa"/>
            <w:shd w:val="clear" w:color="auto" w:fill="FFC9C9"/>
            <w:tcMar>
              <w:top w:w="80" w:type="dxa"/>
              <w:left w:w="80" w:type="dxa"/>
              <w:bottom w:w="80" w:type="dxa"/>
              <w:right w:w="80" w:type="dxa"/>
            </w:tcMar>
          </w:tcPr>
          <w:p w14:paraId="413931C4" w14:textId="77777777" w:rsidR="002A3822" w:rsidRDefault="00C5178A" w:rsidP="00292A53">
            <w:pPr>
              <w:spacing w:after="60"/>
              <w:rPr>
                <w:rFonts w:cs="Arial"/>
                <w:color w:val="000000"/>
                <w:sz w:val="14"/>
                <w:szCs w:val="16"/>
                <w:lang w:val="en-GB"/>
              </w:rPr>
            </w:pPr>
            <w:r w:rsidRPr="002A3822">
              <w:rPr>
                <w:sz w:val="14"/>
              </w:rPr>
              <w:t>Guidelines for workplace return to work programs</w:t>
            </w:r>
            <w:r w:rsidRPr="00C5178A">
              <w:rPr>
                <w:rFonts w:cs="Arial"/>
                <w:color w:val="000000"/>
                <w:sz w:val="14"/>
                <w:szCs w:val="16"/>
                <w:lang w:val="en-GB"/>
              </w:rPr>
              <w:t xml:space="preserve">. </w:t>
            </w:r>
          </w:p>
          <w:p w14:paraId="69206412" w14:textId="069AB936" w:rsidR="002A3822" w:rsidRDefault="002A3822" w:rsidP="00292A53">
            <w:pPr>
              <w:spacing w:after="60"/>
              <w:rPr>
                <w:rFonts w:cs="Arial"/>
                <w:color w:val="000000"/>
                <w:sz w:val="14"/>
                <w:szCs w:val="16"/>
                <w:lang w:val="en-GB"/>
              </w:rPr>
            </w:pPr>
            <w:r>
              <w:rPr>
                <w:rFonts w:cs="Arial"/>
                <w:color w:val="000000"/>
                <w:sz w:val="14"/>
                <w:szCs w:val="16"/>
                <w:lang w:val="en-GB"/>
              </w:rPr>
              <w:t>The 2017 guidelines remove the requirement for a Category 1 employer to have a RTW coordinator who holds a certificate of attendance from the Authority-approved ‘Introduction to return to work coordination’ course.</w:t>
            </w:r>
          </w:p>
          <w:p w14:paraId="695561C5" w14:textId="77777777" w:rsidR="002A3822" w:rsidRDefault="002A3822" w:rsidP="00292A53">
            <w:pPr>
              <w:spacing w:after="60"/>
              <w:rPr>
                <w:rFonts w:cs="Arial"/>
                <w:color w:val="000000"/>
                <w:sz w:val="14"/>
                <w:szCs w:val="16"/>
                <w:lang w:val="en-GB"/>
              </w:rPr>
            </w:pPr>
            <w:r>
              <w:rPr>
                <w:rFonts w:cs="Arial"/>
                <w:color w:val="000000"/>
                <w:sz w:val="14"/>
                <w:szCs w:val="16"/>
                <w:lang w:val="en-GB"/>
              </w:rPr>
              <w:t>Category 1 employers are now required to appoint or engage a RTW coordinator who has relevant training, skills and experience to perform the role and functions of a RTW Coordinator.</w:t>
            </w:r>
          </w:p>
          <w:p w14:paraId="60384854" w14:textId="77777777" w:rsidR="002A3822" w:rsidRDefault="002A3822" w:rsidP="00292A53">
            <w:pPr>
              <w:spacing w:after="60"/>
              <w:rPr>
                <w:rFonts w:cs="Arial"/>
                <w:color w:val="000000"/>
                <w:sz w:val="14"/>
                <w:szCs w:val="16"/>
                <w:lang w:val="en-GB"/>
              </w:rPr>
            </w:pPr>
          </w:p>
          <w:p w14:paraId="0EB27B9E" w14:textId="5C56C201" w:rsidR="00C5178A" w:rsidRPr="00C5178A" w:rsidRDefault="002A3822" w:rsidP="00292A53">
            <w:pPr>
              <w:spacing w:after="60"/>
              <w:rPr>
                <w:rFonts w:cs="Arial"/>
                <w:color w:val="000000"/>
                <w:sz w:val="14"/>
                <w:szCs w:val="16"/>
                <w:lang w:val="en-GB"/>
              </w:rPr>
            </w:pPr>
            <w:r>
              <w:rPr>
                <w:rFonts w:cs="Arial"/>
                <w:color w:val="000000"/>
                <w:sz w:val="14"/>
                <w:szCs w:val="16"/>
                <w:lang w:val="en-GB"/>
              </w:rPr>
              <w:t>The guidelines outline competencies which help to deliver effective outcomes. These include</w:t>
            </w:r>
            <w:r w:rsidR="00C5178A" w:rsidRPr="00C5178A">
              <w:rPr>
                <w:rFonts w:cs="Arial"/>
                <w:color w:val="000000"/>
                <w:sz w:val="14"/>
                <w:szCs w:val="16"/>
                <w:lang w:val="en-GB"/>
              </w:rPr>
              <w:t>:</w:t>
            </w:r>
          </w:p>
          <w:p w14:paraId="703D1604" w14:textId="0A6FF1F7" w:rsidR="002A3822" w:rsidRPr="00C5178A"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effective communication skills — able to communicate clearly, actively listen to others and respond with respect</w:t>
            </w:r>
          </w:p>
          <w:p w14:paraId="152C4EC9" w14:textId="3D89B7FC" w:rsidR="00C5178A"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the ability to consult with and influence stakeholders — collaborate with others and value their contribution</w:t>
            </w:r>
          </w:p>
          <w:p w14:paraId="2201F12B" w14:textId="77777777" w:rsidR="002A3822"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negotiation and conflict resolution — gain consensus and commitment from others and resolve issues and conflicts</w:t>
            </w:r>
          </w:p>
          <w:p w14:paraId="3D0CB731" w14:textId="77777777" w:rsidR="002A3822"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being organised and skilled in time management</w:t>
            </w:r>
          </w:p>
          <w:p w14:paraId="38FAC6D5" w14:textId="77777777" w:rsidR="007039A1"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the ability to think and solve problems —</w:t>
            </w:r>
            <w:r w:rsidR="007039A1">
              <w:rPr>
                <w:rFonts w:eastAsia="Calibri" w:cs="Arial"/>
                <w:sz w:val="14"/>
                <w:szCs w:val="14"/>
                <w:lang w:eastAsia="en-US"/>
              </w:rPr>
              <w:t xml:space="preserve"> consider, analyse and develop solutions to barriers to recovery at work</w:t>
            </w:r>
          </w:p>
          <w:p w14:paraId="2E739BF1" w14:textId="77777777" w:rsidR="007039A1" w:rsidRDefault="007039A1"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a knowledge of NSW workers compensation legislation and the roles and responsibilities of stakeholders in the system</w:t>
            </w:r>
          </w:p>
          <w:p w14:paraId="0B8F4F68" w14:textId="35D4D23F" w:rsidR="002A3822" w:rsidRPr="00C5178A" w:rsidRDefault="007039A1"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an understanding of the legal obligations of NSW employers.</w:t>
            </w:r>
            <w:r w:rsidR="002A3822">
              <w:rPr>
                <w:rFonts w:eastAsia="Calibri" w:cs="Arial"/>
                <w:sz w:val="14"/>
                <w:szCs w:val="14"/>
                <w:lang w:eastAsia="en-US"/>
              </w:rPr>
              <w:t xml:space="preserve"> </w:t>
            </w:r>
          </w:p>
          <w:p w14:paraId="40928032" w14:textId="77777777" w:rsidR="007039A1" w:rsidRDefault="007039A1" w:rsidP="00292A53">
            <w:pPr>
              <w:spacing w:after="60"/>
              <w:rPr>
                <w:rFonts w:cs="Arial"/>
                <w:color w:val="000000"/>
                <w:sz w:val="14"/>
                <w:szCs w:val="16"/>
                <w:lang w:val="en-GB"/>
              </w:rPr>
            </w:pPr>
          </w:p>
          <w:p w14:paraId="1DF00D72" w14:textId="77777777" w:rsidR="007039A1" w:rsidRDefault="007039A1" w:rsidP="00292A53">
            <w:pPr>
              <w:spacing w:after="60"/>
              <w:rPr>
                <w:rFonts w:cs="Arial"/>
                <w:color w:val="000000"/>
                <w:sz w:val="14"/>
                <w:szCs w:val="16"/>
                <w:lang w:val="en-GB"/>
              </w:rPr>
            </w:pPr>
            <w:r>
              <w:rPr>
                <w:rFonts w:cs="Arial"/>
                <w:color w:val="000000"/>
                <w:sz w:val="14"/>
                <w:szCs w:val="16"/>
                <w:lang w:val="en-GB"/>
              </w:rPr>
              <w:t>SIRA online training modules can help employers assess RTW coordinator competency. Until the SIRA online training is available the current face to face training will remain available.</w:t>
            </w:r>
          </w:p>
          <w:p w14:paraId="2C96F74E" w14:textId="34C10906" w:rsidR="007039A1" w:rsidRDefault="007039A1" w:rsidP="00292A53">
            <w:pPr>
              <w:spacing w:after="60"/>
              <w:rPr>
                <w:rFonts w:cs="Arial"/>
                <w:color w:val="000000"/>
                <w:sz w:val="14"/>
                <w:szCs w:val="16"/>
                <w:lang w:val="en-GB"/>
              </w:rPr>
            </w:pPr>
            <w:r>
              <w:rPr>
                <w:rFonts w:cs="Arial"/>
                <w:color w:val="000000"/>
                <w:sz w:val="14"/>
                <w:szCs w:val="16"/>
                <w:lang w:val="en-GB"/>
              </w:rPr>
              <w:t>Existing RTW coordinators meet the role’s training and experience requirements if they hold:</w:t>
            </w:r>
          </w:p>
          <w:p w14:paraId="6C84035E" w14:textId="7F732DBA" w:rsidR="007039A1" w:rsidRDefault="00D03329" w:rsidP="00F839DB">
            <w:pPr>
              <w:pStyle w:val="ListParagraph"/>
              <w:numPr>
                <w:ilvl w:val="0"/>
                <w:numId w:val="574"/>
              </w:numPr>
              <w:spacing w:after="60"/>
              <w:ind w:left="357" w:hanging="357"/>
              <w:rPr>
                <w:rFonts w:cs="Arial"/>
                <w:color w:val="000000"/>
                <w:sz w:val="14"/>
                <w:szCs w:val="16"/>
                <w:lang w:val="en-GB"/>
              </w:rPr>
            </w:pPr>
            <w:r>
              <w:rPr>
                <w:rFonts w:cs="Arial"/>
                <w:color w:val="000000"/>
                <w:sz w:val="14"/>
                <w:szCs w:val="16"/>
                <w:lang w:val="en-GB"/>
              </w:rPr>
              <w:t>certificate of attendance at the SIRA-approved two-day course ‘Introduction to return to work coordination’</w:t>
            </w:r>
          </w:p>
          <w:p w14:paraId="1C690706" w14:textId="043F42EE" w:rsidR="00D03329" w:rsidRDefault="00D03329" w:rsidP="00F839DB">
            <w:pPr>
              <w:pStyle w:val="ListParagraph"/>
              <w:numPr>
                <w:ilvl w:val="0"/>
                <w:numId w:val="574"/>
              </w:numPr>
              <w:spacing w:after="60"/>
              <w:ind w:left="357" w:hanging="357"/>
              <w:rPr>
                <w:rFonts w:cs="Arial"/>
                <w:color w:val="000000"/>
                <w:sz w:val="14"/>
                <w:szCs w:val="16"/>
                <w:lang w:val="en-GB"/>
              </w:rPr>
            </w:pPr>
            <w:r>
              <w:rPr>
                <w:rFonts w:cs="Arial"/>
                <w:color w:val="000000"/>
                <w:sz w:val="14"/>
                <w:szCs w:val="16"/>
                <w:lang w:val="en-GB"/>
              </w:rPr>
              <w:t>a certificate of attendance at a WorkCover-approved two-day course for rehabilitation coordinators from February 1995 or before</w:t>
            </w:r>
          </w:p>
          <w:p w14:paraId="7E4DDABC" w14:textId="3D1414AA" w:rsidR="00D03329" w:rsidRDefault="00D03329" w:rsidP="00F839DB">
            <w:pPr>
              <w:pStyle w:val="ListParagraph"/>
              <w:numPr>
                <w:ilvl w:val="0"/>
                <w:numId w:val="574"/>
              </w:numPr>
              <w:spacing w:after="60"/>
              <w:ind w:left="357" w:hanging="357"/>
              <w:rPr>
                <w:rFonts w:cs="Arial"/>
                <w:color w:val="000000"/>
                <w:sz w:val="14"/>
                <w:szCs w:val="16"/>
                <w:lang w:val="en-GB"/>
              </w:rPr>
            </w:pPr>
            <w:r>
              <w:rPr>
                <w:rFonts w:cs="Arial"/>
                <w:color w:val="000000"/>
                <w:sz w:val="14"/>
                <w:szCs w:val="16"/>
                <w:lang w:val="en-GB"/>
              </w:rPr>
              <w:t>a letter exempting them from the requirement to attend training.</w:t>
            </w:r>
          </w:p>
          <w:p w14:paraId="77E2810C" w14:textId="77777777" w:rsidR="00D03329" w:rsidRDefault="00D03329" w:rsidP="00D03329">
            <w:pPr>
              <w:spacing w:after="60"/>
              <w:rPr>
                <w:rFonts w:cs="Arial"/>
                <w:color w:val="000000"/>
                <w:sz w:val="14"/>
                <w:szCs w:val="16"/>
                <w:lang w:val="en-GB"/>
              </w:rPr>
            </w:pPr>
          </w:p>
          <w:p w14:paraId="4268CC9D" w14:textId="497E83FE" w:rsidR="00D03329" w:rsidRPr="00604235" w:rsidRDefault="00D03329" w:rsidP="00D03329">
            <w:pPr>
              <w:rPr>
                <w:rFonts w:cs="Arial"/>
                <w:color w:val="000000"/>
                <w:sz w:val="14"/>
                <w:szCs w:val="16"/>
                <w:lang w:val="en-GB"/>
              </w:rPr>
            </w:pPr>
            <w:r w:rsidRPr="00604235">
              <w:rPr>
                <w:rFonts w:cs="Arial"/>
                <w:color w:val="000000"/>
                <w:sz w:val="14"/>
                <w:szCs w:val="16"/>
                <w:lang w:val="en-GB"/>
              </w:rPr>
              <w:t xml:space="preserve">The Guidelines for workplace return to work programs, May 2017 removed the requirement for RTW coordinators to complete compulsory training. Employers have 2 </w:t>
            </w:r>
            <w:r w:rsidRPr="009D19BA">
              <w:rPr>
                <w:rFonts w:cs="Arial"/>
                <w:color w:val="000000"/>
                <w:sz w:val="14"/>
                <w:szCs w:val="16"/>
                <w:lang w:val="en-GB"/>
              </w:rPr>
              <w:t>years, from</w:t>
            </w:r>
            <w:r w:rsidRPr="00604235">
              <w:rPr>
                <w:rFonts w:cs="Arial"/>
                <w:color w:val="000000"/>
                <w:sz w:val="14"/>
                <w:szCs w:val="16"/>
                <w:lang w:val="en-GB"/>
              </w:rPr>
              <w:t xml:space="preserve"> the date of effect (May 2018) to update their return to work program and policies from the September 2010 guidelines to align with the May 2017 guidelines. </w:t>
            </w:r>
          </w:p>
          <w:p w14:paraId="6EE50341" w14:textId="77777777" w:rsidR="00D03329" w:rsidRDefault="00D03329" w:rsidP="00D03329">
            <w:pPr>
              <w:spacing w:after="60"/>
              <w:rPr>
                <w:rFonts w:cs="Arial"/>
                <w:color w:val="000000"/>
                <w:sz w:val="14"/>
                <w:szCs w:val="16"/>
                <w:lang w:val="en-GB"/>
              </w:rPr>
            </w:pPr>
          </w:p>
          <w:p w14:paraId="36A6BD8E" w14:textId="77777777" w:rsidR="00250686" w:rsidRPr="00604235" w:rsidRDefault="00250686" w:rsidP="00250686">
            <w:pPr>
              <w:spacing w:after="60"/>
              <w:rPr>
                <w:rFonts w:cs="Arial"/>
                <w:color w:val="000000"/>
                <w:sz w:val="14"/>
                <w:szCs w:val="16"/>
                <w:lang w:val="en-GB"/>
              </w:rPr>
            </w:pPr>
            <w:r w:rsidRPr="00604235">
              <w:rPr>
                <w:rFonts w:cs="Arial"/>
                <w:color w:val="000000"/>
                <w:sz w:val="14"/>
                <w:szCs w:val="16"/>
                <w:lang w:val="en-GB"/>
              </w:rPr>
              <w:t xml:space="preserve">The May 2017 guidelines reference online training which is </w:t>
            </w:r>
            <w:r>
              <w:rPr>
                <w:rFonts w:cs="Arial"/>
                <w:color w:val="000000"/>
                <w:sz w:val="14"/>
                <w:szCs w:val="16"/>
                <w:lang w:val="en-GB"/>
              </w:rPr>
              <w:t xml:space="preserve">under </w:t>
            </w:r>
            <w:r w:rsidRPr="00604235">
              <w:rPr>
                <w:rFonts w:cs="Arial"/>
                <w:color w:val="000000"/>
                <w:sz w:val="14"/>
                <w:szCs w:val="16"/>
                <w:lang w:val="en-GB"/>
              </w:rPr>
              <w:t>develop</w:t>
            </w:r>
            <w:r>
              <w:rPr>
                <w:rFonts w:cs="Arial"/>
                <w:color w:val="000000"/>
                <w:sz w:val="14"/>
                <w:szCs w:val="16"/>
                <w:lang w:val="en-GB"/>
              </w:rPr>
              <w:t>ment</w:t>
            </w:r>
            <w:r w:rsidRPr="00604235">
              <w:rPr>
                <w:rFonts w:cs="Arial"/>
                <w:color w:val="000000"/>
                <w:sz w:val="14"/>
                <w:szCs w:val="16"/>
                <w:lang w:val="en-GB"/>
              </w:rPr>
              <w:t xml:space="preserve">. </w:t>
            </w:r>
            <w:r>
              <w:rPr>
                <w:rFonts w:cs="Arial"/>
                <w:color w:val="000000"/>
                <w:sz w:val="14"/>
                <w:szCs w:val="16"/>
                <w:lang w:val="en-GB"/>
              </w:rPr>
              <w:t>U</w:t>
            </w:r>
            <w:r w:rsidRPr="00604235">
              <w:rPr>
                <w:rFonts w:cs="Arial"/>
                <w:color w:val="000000"/>
                <w:sz w:val="14"/>
                <w:szCs w:val="16"/>
                <w:lang w:val="en-GB"/>
              </w:rPr>
              <w:t xml:space="preserve">ntil </w:t>
            </w:r>
            <w:r>
              <w:rPr>
                <w:rFonts w:cs="Arial"/>
                <w:color w:val="000000"/>
                <w:sz w:val="14"/>
                <w:szCs w:val="16"/>
                <w:lang w:val="en-GB"/>
              </w:rPr>
              <w:t xml:space="preserve">the online training </w:t>
            </w:r>
            <w:r w:rsidRPr="00604235">
              <w:rPr>
                <w:rFonts w:cs="Arial"/>
                <w:color w:val="000000"/>
                <w:sz w:val="14"/>
                <w:szCs w:val="16"/>
                <w:lang w:val="en-GB"/>
              </w:rPr>
              <w:t>is released the face to face training which was a requirement for the Sept 2010 guidelines is continuing.</w:t>
            </w:r>
          </w:p>
          <w:p w14:paraId="5F4550D3" w14:textId="77777777" w:rsidR="00250686" w:rsidRDefault="00250686" w:rsidP="00D03329">
            <w:pPr>
              <w:spacing w:after="60"/>
              <w:rPr>
                <w:rFonts w:cs="Arial"/>
                <w:color w:val="000000"/>
                <w:sz w:val="14"/>
                <w:szCs w:val="16"/>
                <w:lang w:val="en-GB"/>
              </w:rPr>
            </w:pPr>
          </w:p>
          <w:p w14:paraId="7A013C14" w14:textId="080E1B81"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Approved trainers are listed on the SIRA website at </w:t>
            </w:r>
            <w:r w:rsidRPr="00BE4935">
              <w:rPr>
                <w:sz w:val="14"/>
              </w:rPr>
              <w:t>Return to work coordination training</w:t>
            </w:r>
            <w:r w:rsidR="003D2FCB" w:rsidRPr="00BE4935">
              <w:rPr>
                <w:sz w:val="14"/>
              </w:rPr>
              <w:t>.</w:t>
            </w:r>
          </w:p>
        </w:tc>
      </w:tr>
      <w:tr w:rsidR="00C5178A" w:rsidRPr="00C5178A" w14:paraId="323EC933" w14:textId="77777777" w:rsidTr="00B2173F">
        <w:tc>
          <w:tcPr>
            <w:tcW w:w="1361" w:type="dxa"/>
            <w:tcMar>
              <w:top w:w="80" w:type="dxa"/>
              <w:left w:w="80" w:type="dxa"/>
              <w:bottom w:w="80" w:type="dxa"/>
              <w:right w:w="80" w:type="dxa"/>
            </w:tcMar>
          </w:tcPr>
          <w:p w14:paraId="49235FB9" w14:textId="477DA54A"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Victoria</w:t>
            </w:r>
          </w:p>
        </w:tc>
        <w:tc>
          <w:tcPr>
            <w:tcW w:w="6836" w:type="dxa"/>
            <w:tcMar>
              <w:top w:w="80" w:type="dxa"/>
              <w:left w:w="80" w:type="dxa"/>
              <w:bottom w:w="80" w:type="dxa"/>
              <w:right w:w="80" w:type="dxa"/>
            </w:tcMar>
          </w:tcPr>
          <w:p w14:paraId="6D1C057C" w14:textId="1964AAC8" w:rsidR="00C5178A" w:rsidRPr="00C5178A" w:rsidRDefault="00FE4E6B" w:rsidP="00292A53">
            <w:pPr>
              <w:spacing w:after="60"/>
              <w:rPr>
                <w:rFonts w:cs="Arial"/>
                <w:color w:val="000000"/>
                <w:sz w:val="14"/>
                <w:szCs w:val="16"/>
                <w:lang w:val="en-GB"/>
              </w:rPr>
            </w:pPr>
            <w:r w:rsidRPr="00016069">
              <w:rPr>
                <w:i/>
                <w:sz w:val="14"/>
              </w:rPr>
              <w:t>Workplace Injury Rehabilitation and Compensation Act 2013</w:t>
            </w:r>
            <w:r>
              <w:rPr>
                <w:rFonts w:cs="Arial"/>
                <w:color w:val="000000"/>
                <w:sz w:val="14"/>
                <w:szCs w:val="16"/>
                <w:lang w:val="en-GB"/>
              </w:rPr>
              <w:t xml:space="preserve"> </w:t>
            </w:r>
            <w:hyperlink r:id="rId1913" w:history="1">
              <w:r w:rsidR="00C5178A" w:rsidRPr="00FE4E6B">
                <w:rPr>
                  <w:rStyle w:val="Hyperlink"/>
                  <w:rFonts w:cs="Arial"/>
                  <w:sz w:val="14"/>
                  <w:szCs w:val="16"/>
                  <w:lang w:val="en-GB"/>
                </w:rPr>
                <w:t>s106</w:t>
              </w:r>
            </w:hyperlink>
            <w:r w:rsidR="00C5178A" w:rsidRPr="00C5178A">
              <w:rPr>
                <w:rFonts w:cs="Arial"/>
                <w:color w:val="000000"/>
                <w:sz w:val="14"/>
                <w:szCs w:val="16"/>
                <w:lang w:val="en-GB"/>
              </w:rPr>
              <w:t xml:space="preserve"> — An employer’s obligation to have a Return to Work Coordinator depends on their rateable remuneration:</w:t>
            </w:r>
          </w:p>
          <w:p w14:paraId="670B589C" w14:textId="534CC05F" w:rsidR="00C5178A" w:rsidRPr="00C5178A" w:rsidRDefault="00C5178A" w:rsidP="00F839DB">
            <w:pPr>
              <w:pStyle w:val="ListParagraph"/>
              <w:numPr>
                <w:ilvl w:val="0"/>
                <w:numId w:val="295"/>
              </w:numPr>
              <w:spacing w:after="60"/>
              <w:contextualSpacing/>
              <w:rPr>
                <w:rFonts w:eastAsia="Calibri" w:cs="Arial"/>
                <w:sz w:val="14"/>
                <w:szCs w:val="14"/>
                <w:lang w:eastAsia="en-US"/>
              </w:rPr>
            </w:pPr>
            <w:r w:rsidRPr="00C5178A">
              <w:rPr>
                <w:rFonts w:eastAsia="Calibri" w:cs="Arial"/>
                <w:sz w:val="14"/>
                <w:szCs w:val="14"/>
                <w:lang w:eastAsia="en-US"/>
              </w:rPr>
              <w:t>an employer with a rateable remuneration of $</w:t>
            </w:r>
            <w:r w:rsidR="000A7038">
              <w:rPr>
                <w:rFonts w:eastAsia="Calibri" w:cs="Arial"/>
                <w:sz w:val="14"/>
                <w:szCs w:val="14"/>
                <w:lang w:eastAsia="en-US"/>
              </w:rPr>
              <w:t>2,337,710</w:t>
            </w:r>
            <w:r w:rsidRPr="00C5178A">
              <w:rPr>
                <w:rFonts w:eastAsia="Calibri" w:cs="Arial"/>
                <w:sz w:val="14"/>
                <w:szCs w:val="14"/>
                <w:lang w:eastAsia="en-US"/>
              </w:rPr>
              <w:t xml:space="preserve"> must have a Return to Work Coordinator appointed at all times, and</w:t>
            </w:r>
          </w:p>
          <w:p w14:paraId="39534E89" w14:textId="670D13AA" w:rsidR="00C5178A" w:rsidRPr="00C5178A" w:rsidRDefault="00C5178A" w:rsidP="00F839DB">
            <w:pPr>
              <w:pStyle w:val="ListParagraph"/>
              <w:numPr>
                <w:ilvl w:val="0"/>
                <w:numId w:val="295"/>
              </w:numPr>
              <w:spacing w:after="60"/>
              <w:contextualSpacing/>
              <w:rPr>
                <w:rFonts w:eastAsia="Calibri" w:cs="Arial"/>
                <w:sz w:val="14"/>
                <w:szCs w:val="14"/>
                <w:lang w:eastAsia="en-US"/>
              </w:rPr>
            </w:pPr>
            <w:r w:rsidRPr="00C5178A">
              <w:rPr>
                <w:rFonts w:eastAsia="Calibri" w:cs="Arial"/>
                <w:sz w:val="14"/>
                <w:szCs w:val="14"/>
                <w:lang w:eastAsia="en-US"/>
              </w:rPr>
              <w:t>an employer with a rateable remuneration of less than $</w:t>
            </w:r>
            <w:r w:rsidR="000A7038">
              <w:rPr>
                <w:rFonts w:eastAsia="Calibri" w:cs="Arial"/>
                <w:sz w:val="14"/>
                <w:szCs w:val="14"/>
                <w:lang w:eastAsia="en-US"/>
              </w:rPr>
              <w:t>2,337,710</w:t>
            </w:r>
            <w:r w:rsidRPr="00C5178A">
              <w:rPr>
                <w:rFonts w:eastAsia="Calibri" w:cs="Arial"/>
                <w:sz w:val="14"/>
                <w:szCs w:val="14"/>
                <w:lang w:eastAsia="en-US"/>
              </w:rPr>
              <w:t xml:space="preserve"> must appoint a Return to Work </w:t>
            </w:r>
            <w:r w:rsidRPr="00C5178A">
              <w:rPr>
                <w:rFonts w:eastAsia="Calibri" w:cs="Arial"/>
                <w:sz w:val="14"/>
                <w:szCs w:val="14"/>
                <w:lang w:eastAsia="en-US"/>
              </w:rPr>
              <w:lastRenderedPageBreak/>
              <w:t>Coordinator for the duration of the employer’s return to work obligations to an injured worker.</w:t>
            </w:r>
          </w:p>
          <w:p w14:paraId="4BF8ACE5" w14:textId="12A58862"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An employer must appoint a person to be a Return to Work Coordinator who has an appropriate level of seniority and is competent to assist the employer to meet the employer’s obligations under </w:t>
            </w:r>
            <w:hyperlink r:id="rId1914" w:history="1">
              <w:r w:rsidRPr="00FE4E6B">
                <w:rPr>
                  <w:rStyle w:val="Hyperlink"/>
                  <w:rFonts w:cs="Arial"/>
                  <w:sz w:val="14"/>
                  <w:szCs w:val="16"/>
                  <w:lang w:val="en-GB"/>
                </w:rPr>
                <w:t>Part 4</w:t>
              </w:r>
            </w:hyperlink>
            <w:r w:rsidRPr="00C5178A">
              <w:rPr>
                <w:rFonts w:cs="Arial"/>
                <w:color w:val="000000"/>
                <w:sz w:val="14"/>
                <w:szCs w:val="16"/>
                <w:lang w:val="en-GB"/>
              </w:rPr>
              <w:t xml:space="preserve"> of the Act</w:t>
            </w:r>
            <w:r w:rsidR="00882D5F">
              <w:rPr>
                <w:rFonts w:cs="Arial"/>
                <w:color w:val="000000"/>
                <w:sz w:val="14"/>
                <w:szCs w:val="16"/>
                <w:lang w:val="en-GB"/>
              </w:rPr>
              <w:t>.</w:t>
            </w:r>
            <w:r w:rsidR="00DD0D68">
              <w:rPr>
                <w:rFonts w:cs="Arial"/>
                <w:color w:val="000000"/>
                <w:sz w:val="14"/>
                <w:szCs w:val="16"/>
                <w:lang w:val="en-GB"/>
              </w:rPr>
              <w:t xml:space="preserve"> </w:t>
            </w:r>
          </w:p>
          <w:p w14:paraId="1E0D9FD7"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 person is competent to assist the employer to meet its obligations under Part 4 of the Act if the person has knowledge, skills or experience relevant to planning for return, including: (a) knowledge of the obligations of employers and workers under Part 4 of the Act (b) knowledge of the compensation scheme provided for under the Act and the </w:t>
            </w:r>
            <w:r w:rsidRPr="00D41D16">
              <w:rPr>
                <w:rFonts w:cs="Arial"/>
                <w:i/>
                <w:color w:val="000000"/>
                <w:sz w:val="14"/>
                <w:szCs w:val="16"/>
                <w:lang w:val="en-GB"/>
              </w:rPr>
              <w:t>Accident Compensation Act 1985</w:t>
            </w:r>
            <w:r w:rsidRPr="00C5178A">
              <w:rPr>
                <w:rFonts w:cs="Arial"/>
                <w:color w:val="000000"/>
                <w:sz w:val="14"/>
                <w:szCs w:val="16"/>
                <w:lang w:val="en-GB"/>
              </w:rPr>
              <w:t xml:space="preserve"> and the functions of WorkSafe Victoria and, if relevant, self-insurers under Part 4 of the Act. </w:t>
            </w:r>
          </w:p>
          <w:p w14:paraId="0BB9BBFF" w14:textId="303ECE69"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View the </w:t>
            </w:r>
            <w:hyperlink r:id="rId1915" w:history="1">
              <w:r w:rsidRPr="00C5178A">
                <w:rPr>
                  <w:rFonts w:cs="Arial"/>
                  <w:color w:val="0000FF"/>
                  <w:sz w:val="14"/>
                  <w:szCs w:val="16"/>
                  <w:u w:val="single"/>
                  <w:lang w:val="en-GB"/>
                </w:rPr>
                <w:t>Return to Work Coordinator fact sheet</w:t>
              </w:r>
            </w:hyperlink>
            <w:r w:rsidRPr="00C5178A">
              <w:rPr>
                <w:rFonts w:cs="Arial"/>
                <w:color w:val="000000"/>
                <w:sz w:val="14"/>
                <w:szCs w:val="16"/>
                <w:lang w:val="en-GB"/>
              </w:rPr>
              <w:t xml:space="preserve"> and the publication </w:t>
            </w:r>
            <w:hyperlink r:id="rId1916" w:history="1">
              <w:r w:rsidRPr="00C5178A">
                <w:rPr>
                  <w:rFonts w:cs="Arial"/>
                  <w:color w:val="0000FF"/>
                  <w:sz w:val="14"/>
                  <w:szCs w:val="16"/>
                  <w:u w:val="single"/>
                  <w:lang w:val="en-GB"/>
                </w:rPr>
                <w:t>Return to Work Coordination — The basics you need to know for more detailed information.</w:t>
              </w:r>
            </w:hyperlink>
          </w:p>
        </w:tc>
        <w:tc>
          <w:tcPr>
            <w:tcW w:w="6836" w:type="dxa"/>
            <w:tcMar>
              <w:top w:w="80" w:type="dxa"/>
              <w:left w:w="80" w:type="dxa"/>
              <w:bottom w:w="80" w:type="dxa"/>
              <w:right w:w="80" w:type="dxa"/>
            </w:tcMar>
          </w:tcPr>
          <w:p w14:paraId="6F6DE4A6"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lastRenderedPageBreak/>
              <w:t>Return to Work Coordinator Training</w:t>
            </w:r>
          </w:p>
          <w:p w14:paraId="65E9AB4A" w14:textId="09444DD5" w:rsidR="00C5178A" w:rsidRPr="00C5178A" w:rsidRDefault="00C5178A" w:rsidP="00F839DB">
            <w:pPr>
              <w:pStyle w:val="ListParagraph"/>
              <w:numPr>
                <w:ilvl w:val="0"/>
                <w:numId w:val="296"/>
              </w:numPr>
              <w:spacing w:after="60"/>
              <w:contextualSpacing/>
              <w:rPr>
                <w:rFonts w:eastAsia="Calibri" w:cs="Arial"/>
                <w:sz w:val="14"/>
                <w:szCs w:val="14"/>
                <w:lang w:eastAsia="en-US"/>
              </w:rPr>
            </w:pPr>
            <w:r w:rsidRPr="00C5178A">
              <w:rPr>
                <w:rFonts w:eastAsia="Calibri" w:cs="Arial"/>
                <w:sz w:val="14"/>
                <w:szCs w:val="14"/>
                <w:lang w:eastAsia="en-US"/>
              </w:rPr>
              <w:t xml:space="preserve">Completion of Return to Work Coordinator training is not mandated by WorkSafe Victoria (WSV). However WSV strongly encourages Return to Work Coordinators to complete the WSV endorsed 2 day Return to Work Coordinator training course developed by WSV in consultation with external stakeholders. Further information can be obtained at </w:t>
            </w:r>
            <w:hyperlink r:id="rId1917" w:history="1">
              <w:r w:rsidRPr="002705A7">
                <w:rPr>
                  <w:rStyle w:val="Hyperlink"/>
                  <w:rFonts w:eastAsia="Calibri" w:cs="Arial"/>
                  <w:sz w:val="14"/>
                  <w:szCs w:val="14"/>
                  <w:lang w:eastAsia="en-US"/>
                </w:rPr>
                <w:t>Return to Work Coordinator training calendar</w:t>
              </w:r>
            </w:hyperlink>
            <w:r w:rsidRPr="00C5178A">
              <w:rPr>
                <w:rFonts w:eastAsia="Calibri" w:cs="Arial"/>
                <w:sz w:val="14"/>
                <w:szCs w:val="14"/>
                <w:lang w:eastAsia="en-US"/>
              </w:rPr>
              <w:t xml:space="preserve"> </w:t>
            </w:r>
          </w:p>
          <w:p w14:paraId="505D20CE" w14:textId="763235D7" w:rsidR="00C5178A" w:rsidRPr="00C5178A" w:rsidRDefault="00C5178A" w:rsidP="00F839DB">
            <w:pPr>
              <w:pStyle w:val="ListParagraph"/>
              <w:numPr>
                <w:ilvl w:val="0"/>
                <w:numId w:val="296"/>
              </w:numPr>
              <w:spacing w:after="60"/>
              <w:contextualSpacing/>
              <w:rPr>
                <w:rFonts w:eastAsia="Calibri" w:cs="Arial"/>
                <w:sz w:val="14"/>
                <w:szCs w:val="14"/>
                <w:lang w:eastAsia="en-US"/>
              </w:rPr>
            </w:pPr>
            <w:r w:rsidRPr="00C5178A">
              <w:rPr>
                <w:rFonts w:eastAsia="Calibri" w:cs="Arial"/>
                <w:sz w:val="14"/>
                <w:szCs w:val="14"/>
                <w:lang w:eastAsia="en-US"/>
              </w:rPr>
              <w:lastRenderedPageBreak/>
              <w:t xml:space="preserve">To become a provider of WorkSafe Victoria endorsed Return to Work Coordinator training interested parties must complete a </w:t>
            </w:r>
            <w:hyperlink r:id="rId1918" w:history="1">
              <w:r w:rsidRPr="00C5178A">
                <w:rPr>
                  <w:rFonts w:eastAsia="Calibri" w:cs="Arial"/>
                  <w:color w:val="0000FF"/>
                  <w:sz w:val="14"/>
                  <w:szCs w:val="14"/>
                  <w:u w:val="single"/>
                  <w:lang w:eastAsia="en-US"/>
                </w:rPr>
                <w:t>Provider Application for Approval to Conduct Role of a Return to Work Coordinator Training Program</w:t>
              </w:r>
            </w:hyperlink>
            <w:r w:rsidRPr="00C5178A">
              <w:rPr>
                <w:rFonts w:eastAsia="Calibri" w:cs="Arial"/>
                <w:sz w:val="14"/>
                <w:szCs w:val="14"/>
                <w:lang w:eastAsia="en-US"/>
              </w:rPr>
              <w:t xml:space="preserve"> application form and satisfy the necessary requirements to gain approval. </w:t>
            </w:r>
          </w:p>
          <w:p w14:paraId="1FC06065" w14:textId="267026F2"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WSV strongly encourages all Return to Work Coordinators to stay </w:t>
            </w:r>
            <w:hyperlink r:id="rId1919" w:history="1">
              <w:r w:rsidRPr="00C5178A">
                <w:rPr>
                  <w:rFonts w:cs="Arial"/>
                  <w:color w:val="0000FF"/>
                  <w:sz w:val="14"/>
                  <w:szCs w:val="16"/>
                  <w:u w:val="single"/>
                  <w:lang w:val="en-GB"/>
                </w:rPr>
                <w:t>up to date</w:t>
              </w:r>
            </w:hyperlink>
            <w:r w:rsidRPr="00C5178A">
              <w:rPr>
                <w:rFonts w:cs="Arial"/>
                <w:color w:val="000000"/>
                <w:sz w:val="14"/>
                <w:szCs w:val="16"/>
                <w:lang w:val="en-GB"/>
              </w:rPr>
              <w:t xml:space="preserve"> with the latest return to work news, information and events, and in doing so build upon and maintain their competence as a coordinator.</w:t>
            </w:r>
          </w:p>
        </w:tc>
      </w:tr>
      <w:tr w:rsidR="00C5178A" w:rsidRPr="00C5178A" w14:paraId="3D870F06" w14:textId="77777777" w:rsidTr="00B2173F">
        <w:tc>
          <w:tcPr>
            <w:tcW w:w="1361" w:type="dxa"/>
            <w:shd w:val="clear" w:color="auto" w:fill="FFC9C9"/>
            <w:tcMar>
              <w:top w:w="80" w:type="dxa"/>
              <w:left w:w="80" w:type="dxa"/>
              <w:bottom w:w="80" w:type="dxa"/>
              <w:right w:w="80" w:type="dxa"/>
            </w:tcMar>
          </w:tcPr>
          <w:p w14:paraId="2DB98072"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lastRenderedPageBreak/>
              <w:t>Queensland</w:t>
            </w:r>
          </w:p>
        </w:tc>
        <w:tc>
          <w:tcPr>
            <w:tcW w:w="6836" w:type="dxa"/>
            <w:shd w:val="clear" w:color="auto" w:fill="FFC9C9"/>
            <w:tcMar>
              <w:top w:w="80" w:type="dxa"/>
              <w:left w:w="80" w:type="dxa"/>
              <w:bottom w:w="80" w:type="dxa"/>
              <w:right w:w="80" w:type="dxa"/>
            </w:tcMar>
          </w:tcPr>
          <w:p w14:paraId="408163DD" w14:textId="2630A9CE" w:rsidR="00C5178A" w:rsidRPr="00C5178A" w:rsidRDefault="00BF2E98" w:rsidP="00292A53">
            <w:pPr>
              <w:spacing w:after="60"/>
              <w:rPr>
                <w:rFonts w:cs="Arial"/>
                <w:color w:val="000000"/>
                <w:sz w:val="14"/>
                <w:szCs w:val="16"/>
                <w:lang w:val="en-GB"/>
              </w:rPr>
            </w:pPr>
            <w:r w:rsidRPr="00016069">
              <w:rPr>
                <w:i/>
                <w:sz w:val="14"/>
              </w:rPr>
              <w:t>Workers’ Compensation and Rehabilitation Act 2003</w:t>
            </w:r>
            <w:r>
              <w:rPr>
                <w:i/>
                <w:sz w:val="14"/>
              </w:rPr>
              <w:t xml:space="preserve"> </w:t>
            </w:r>
            <w:hyperlink r:id="rId1920" w:anchor="sec.41" w:history="1">
              <w:r w:rsidR="004B600D" w:rsidRPr="007C3585">
                <w:rPr>
                  <w:rStyle w:val="Hyperlink"/>
                  <w:rFonts w:cs="Arial"/>
                  <w:sz w:val="14"/>
                  <w:szCs w:val="16"/>
                  <w:lang w:val="en-GB"/>
                </w:rPr>
                <w:t>s41</w:t>
              </w:r>
            </w:hyperlink>
            <w:r w:rsidR="00C5178A" w:rsidRPr="00C5178A">
              <w:rPr>
                <w:rFonts w:cs="Arial"/>
                <w:color w:val="000000"/>
                <w:sz w:val="14"/>
                <w:szCs w:val="16"/>
                <w:lang w:val="en-GB"/>
              </w:rPr>
              <w:t xml:space="preserve"> Meaning of rehabilitation and return to work coordinator</w:t>
            </w:r>
          </w:p>
          <w:p w14:paraId="3EE0F5F1" w14:textId="21698876"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 rehabilitation and return to work coordinator is a person who is appropriately qualified to perform the functions of a rehabilitation and return to work coordinator and has the functions prescribed under a regulation. (</w:t>
            </w:r>
            <w:r w:rsidR="00BF2E98">
              <w:rPr>
                <w:rFonts w:cs="Arial"/>
                <w:color w:val="000000"/>
                <w:sz w:val="14"/>
                <w:szCs w:val="16"/>
                <w:lang w:val="en-GB"/>
              </w:rPr>
              <w:t xml:space="preserve">Workers’ Compensation and Rehabilitation Regulation 2014 </w:t>
            </w:r>
            <w:hyperlink r:id="rId1921" w:anchor="sec.114" w:history="1">
              <w:r w:rsidR="004B600D" w:rsidRPr="007C3585">
                <w:rPr>
                  <w:rStyle w:val="Hyperlink"/>
                  <w:rFonts w:cs="Arial"/>
                  <w:sz w:val="14"/>
                  <w:szCs w:val="16"/>
                  <w:lang w:val="en-GB"/>
                </w:rPr>
                <w:t>s114</w:t>
              </w:r>
            </w:hyperlink>
            <w:r w:rsidRPr="00C5178A">
              <w:rPr>
                <w:rFonts w:cs="Arial"/>
                <w:color w:val="000000"/>
                <w:sz w:val="14"/>
                <w:szCs w:val="16"/>
                <w:lang w:val="en-GB"/>
              </w:rPr>
              <w:t xml:space="preserve"> </w:t>
            </w:r>
            <w:r w:rsidR="00BF2E98">
              <w:rPr>
                <w:rFonts w:cs="Arial"/>
                <w:color w:val="000000"/>
                <w:sz w:val="14"/>
                <w:szCs w:val="16"/>
                <w:lang w:val="en-GB"/>
              </w:rPr>
              <w:t xml:space="preserve">— </w:t>
            </w:r>
            <w:r w:rsidRPr="00C5178A">
              <w:rPr>
                <w:rFonts w:cs="Arial"/>
                <w:color w:val="000000"/>
                <w:sz w:val="14"/>
                <w:szCs w:val="16"/>
                <w:lang w:val="en-GB"/>
              </w:rPr>
              <w:t>Functions of Rehabilitation and Return to Work Coordinator).</w:t>
            </w:r>
            <w:r w:rsidR="00DD0D68">
              <w:rPr>
                <w:rFonts w:cs="Arial"/>
                <w:color w:val="000000"/>
                <w:sz w:val="14"/>
                <w:szCs w:val="16"/>
                <w:lang w:val="en-GB"/>
              </w:rPr>
              <w:t xml:space="preserve"> </w:t>
            </w:r>
            <w:r w:rsidRPr="00C5178A">
              <w:rPr>
                <w:rFonts w:cs="Arial"/>
                <w:color w:val="000000"/>
                <w:sz w:val="14"/>
                <w:szCs w:val="16"/>
                <w:lang w:val="en-GB"/>
              </w:rPr>
              <w:t>These include:</w:t>
            </w:r>
          </w:p>
          <w:p w14:paraId="57480487" w14:textId="77777777" w:rsidR="00C5178A" w:rsidRPr="00C5178A" w:rsidRDefault="00C5178A" w:rsidP="00F839DB">
            <w:pPr>
              <w:pStyle w:val="ListParagraph"/>
              <w:numPr>
                <w:ilvl w:val="0"/>
                <w:numId w:val="297"/>
              </w:numPr>
              <w:spacing w:after="60"/>
              <w:rPr>
                <w:rFonts w:cs="Arial"/>
                <w:color w:val="000000"/>
                <w:sz w:val="14"/>
                <w:szCs w:val="16"/>
                <w:lang w:val="en-GB"/>
              </w:rPr>
            </w:pPr>
            <w:r w:rsidRPr="00C5178A">
              <w:rPr>
                <w:rFonts w:cs="Arial"/>
                <w:color w:val="000000"/>
                <w:sz w:val="14"/>
                <w:szCs w:val="16"/>
                <w:lang w:val="en-GB"/>
              </w:rPr>
              <w:t>initiate early communication with an injured worker in order to clarify the nature and severity of the worker’s injury;</w:t>
            </w:r>
          </w:p>
          <w:p w14:paraId="00E2910E" w14:textId="77777777" w:rsidR="00C5178A" w:rsidRPr="00C5178A" w:rsidRDefault="00C5178A" w:rsidP="00F839DB">
            <w:pPr>
              <w:pStyle w:val="ListParagraph"/>
              <w:numPr>
                <w:ilvl w:val="0"/>
                <w:numId w:val="297"/>
              </w:numPr>
              <w:spacing w:after="60"/>
              <w:rPr>
                <w:rFonts w:cs="Arial"/>
                <w:color w:val="000000"/>
                <w:sz w:val="14"/>
                <w:szCs w:val="16"/>
                <w:lang w:val="en-GB"/>
              </w:rPr>
            </w:pPr>
            <w:r w:rsidRPr="00C5178A">
              <w:rPr>
                <w:rFonts w:cs="Arial"/>
                <w:color w:val="000000"/>
                <w:sz w:val="14"/>
                <w:szCs w:val="16"/>
                <w:lang w:val="en-GB"/>
              </w:rPr>
              <w:t>provide overall coordination of the worker’s return to work;</w:t>
            </w:r>
          </w:p>
          <w:p w14:paraId="0EE369AE" w14:textId="77777777" w:rsidR="00C5178A" w:rsidRPr="00C5178A" w:rsidRDefault="00C5178A" w:rsidP="00F839DB">
            <w:pPr>
              <w:pStyle w:val="ListParagraph"/>
              <w:numPr>
                <w:ilvl w:val="0"/>
                <w:numId w:val="297"/>
              </w:numPr>
              <w:spacing w:after="60"/>
              <w:rPr>
                <w:rFonts w:cs="Arial"/>
                <w:color w:val="000000"/>
                <w:sz w:val="14"/>
                <w:szCs w:val="16"/>
                <w:lang w:val="en-GB"/>
              </w:rPr>
            </w:pPr>
            <w:r w:rsidRPr="00C5178A">
              <w:rPr>
                <w:rFonts w:cs="Arial"/>
                <w:color w:val="000000"/>
                <w:sz w:val="14"/>
                <w:szCs w:val="16"/>
                <w:lang w:val="en-GB"/>
              </w:rPr>
              <w:t>if a rehabilitation and return to work plan is required—</w:t>
            </w:r>
          </w:p>
          <w:p w14:paraId="4559F667" w14:textId="77777777" w:rsidR="00C5178A" w:rsidRPr="00C5178A" w:rsidRDefault="00C5178A" w:rsidP="00F839DB">
            <w:pPr>
              <w:pStyle w:val="ListParagraph"/>
              <w:numPr>
                <w:ilvl w:val="0"/>
                <w:numId w:val="298"/>
              </w:numPr>
              <w:spacing w:after="60"/>
              <w:ind w:left="714" w:hanging="357"/>
              <w:contextualSpacing/>
              <w:rPr>
                <w:rFonts w:cs="Arial"/>
                <w:color w:val="000000"/>
                <w:sz w:val="14"/>
                <w:szCs w:val="16"/>
                <w:lang w:val="en-GB"/>
              </w:rPr>
            </w:pPr>
            <w:r w:rsidRPr="00C5178A">
              <w:rPr>
                <w:rFonts w:cs="Arial"/>
                <w:color w:val="000000"/>
                <w:sz w:val="14"/>
                <w:szCs w:val="16"/>
                <w:lang w:val="en-GB"/>
              </w:rPr>
              <w:t>consult with the worker and the worker’s employer to develop the suitable duties program component of the plan; and</w:t>
            </w:r>
          </w:p>
          <w:p w14:paraId="274EA99E" w14:textId="77777777" w:rsidR="00C5178A" w:rsidRPr="00C5178A" w:rsidRDefault="00C5178A" w:rsidP="00F839DB">
            <w:pPr>
              <w:pStyle w:val="ListParagraph"/>
              <w:numPr>
                <w:ilvl w:val="0"/>
                <w:numId w:val="298"/>
              </w:numPr>
              <w:spacing w:after="60"/>
              <w:rPr>
                <w:rFonts w:cs="Arial"/>
                <w:color w:val="000000"/>
                <w:sz w:val="14"/>
                <w:szCs w:val="16"/>
                <w:lang w:val="en-GB"/>
              </w:rPr>
            </w:pPr>
            <w:r w:rsidRPr="00C5178A">
              <w:rPr>
                <w:rFonts w:cs="Arial"/>
                <w:color w:val="000000"/>
                <w:sz w:val="14"/>
                <w:szCs w:val="16"/>
                <w:lang w:val="en-GB"/>
              </w:rPr>
              <w:t>ensure the program is consistent with the current medical certificate or report for the worker’s injury;</w:t>
            </w:r>
          </w:p>
          <w:p w14:paraId="0FCDEC9E" w14:textId="77777777" w:rsidR="00C5178A" w:rsidRPr="00C5178A" w:rsidRDefault="00C5178A" w:rsidP="00F839DB">
            <w:pPr>
              <w:pStyle w:val="ListParagraph"/>
              <w:numPr>
                <w:ilvl w:val="0"/>
                <w:numId w:val="297"/>
              </w:numPr>
              <w:spacing w:after="60"/>
              <w:rPr>
                <w:rFonts w:cs="Arial"/>
                <w:color w:val="000000"/>
                <w:sz w:val="14"/>
                <w:szCs w:val="16"/>
                <w:lang w:val="en-GB"/>
              </w:rPr>
            </w:pPr>
            <w:r w:rsidRPr="00C5178A">
              <w:rPr>
                <w:rFonts w:cs="Arial"/>
                <w:color w:val="000000"/>
                <w:sz w:val="14"/>
                <w:szCs w:val="16"/>
                <w:lang w:val="en-GB"/>
              </w:rPr>
              <w:t>liaise with—</w:t>
            </w:r>
          </w:p>
          <w:p w14:paraId="69FB112F" w14:textId="77777777" w:rsidR="00C5178A" w:rsidRPr="00C5178A" w:rsidRDefault="00C5178A" w:rsidP="00F839DB">
            <w:pPr>
              <w:pStyle w:val="ListParagraph"/>
              <w:numPr>
                <w:ilvl w:val="0"/>
                <w:numId w:val="299"/>
              </w:numPr>
              <w:spacing w:after="60"/>
              <w:ind w:left="627" w:hanging="284"/>
              <w:contextualSpacing/>
              <w:rPr>
                <w:rFonts w:cs="Arial"/>
                <w:color w:val="000000"/>
                <w:sz w:val="14"/>
                <w:szCs w:val="16"/>
                <w:lang w:val="en-GB"/>
              </w:rPr>
            </w:pPr>
            <w:r w:rsidRPr="00C5178A">
              <w:rPr>
                <w:rFonts w:cs="Arial"/>
                <w:color w:val="000000"/>
                <w:sz w:val="14"/>
                <w:szCs w:val="16"/>
                <w:lang w:val="en-GB"/>
              </w:rPr>
              <w:t>any person engaged by the employer to help in the worker’s rehabilitation and return to work; and</w:t>
            </w:r>
          </w:p>
          <w:p w14:paraId="5FCF2338" w14:textId="77777777" w:rsidR="00C5178A" w:rsidRPr="00C5178A" w:rsidRDefault="00C5178A" w:rsidP="00F839DB">
            <w:pPr>
              <w:pStyle w:val="ListParagraph"/>
              <w:numPr>
                <w:ilvl w:val="0"/>
                <w:numId w:val="299"/>
              </w:numPr>
              <w:spacing w:after="60"/>
              <w:ind w:left="627" w:hanging="284"/>
              <w:rPr>
                <w:rFonts w:cs="Arial"/>
                <w:color w:val="000000"/>
                <w:sz w:val="14"/>
                <w:szCs w:val="16"/>
                <w:lang w:val="en-GB"/>
              </w:rPr>
            </w:pPr>
            <w:r w:rsidRPr="00C5178A">
              <w:rPr>
                <w:rFonts w:cs="Arial"/>
                <w:color w:val="000000"/>
                <w:sz w:val="14"/>
                <w:szCs w:val="16"/>
                <w:lang w:val="en-GB"/>
              </w:rPr>
              <w:t>the insurer about the worker’s progress and indicate, as early as possible, if there is a need for the insurer to assist or intervene.</w:t>
            </w:r>
          </w:p>
          <w:p w14:paraId="288711CF" w14:textId="663B4318" w:rsidR="00C5178A" w:rsidRPr="00C5178A" w:rsidRDefault="00A7538C" w:rsidP="00292A53">
            <w:pPr>
              <w:spacing w:after="60"/>
              <w:rPr>
                <w:rFonts w:cs="Arial"/>
                <w:color w:val="000000"/>
                <w:sz w:val="14"/>
                <w:szCs w:val="16"/>
                <w:lang w:val="en-GB"/>
              </w:rPr>
            </w:pPr>
            <w:hyperlink r:id="rId1922" w:anchor="sec.226" w:history="1">
              <w:r w:rsidR="004B600D" w:rsidRPr="000B2DE4">
                <w:rPr>
                  <w:rStyle w:val="Hyperlink"/>
                  <w:rFonts w:cs="Arial"/>
                  <w:sz w:val="14"/>
                  <w:szCs w:val="16"/>
                  <w:lang w:val="en-GB"/>
                </w:rPr>
                <w:t>s226</w:t>
              </w:r>
            </w:hyperlink>
            <w:r w:rsidR="00C5178A" w:rsidRPr="00C5178A">
              <w:rPr>
                <w:rFonts w:cs="Arial"/>
                <w:color w:val="000000"/>
                <w:sz w:val="14"/>
                <w:szCs w:val="16"/>
                <w:lang w:val="en-GB"/>
              </w:rPr>
              <w:t xml:space="preserve"> — Employer’s obligation to appoint rehabilitation and Return to Work Coordinators</w:t>
            </w:r>
          </w:p>
          <w:p w14:paraId="60C2EC58" w14:textId="4E30CA6D" w:rsidR="00227B85" w:rsidRPr="00227B85" w:rsidRDefault="00C5178A" w:rsidP="00DF35F2">
            <w:pPr>
              <w:numPr>
                <w:ilvl w:val="0"/>
                <w:numId w:val="19"/>
              </w:numPr>
              <w:spacing w:after="60"/>
              <w:ind w:left="357" w:hanging="357"/>
              <w:contextualSpacing/>
              <w:rPr>
                <w:sz w:val="14"/>
                <w:szCs w:val="14"/>
              </w:rPr>
            </w:pPr>
            <w:r w:rsidRPr="00227B85">
              <w:rPr>
                <w:rFonts w:cs="Arial"/>
                <w:color w:val="000000"/>
                <w:sz w:val="14"/>
                <w:szCs w:val="16"/>
                <w:lang w:val="en-GB"/>
              </w:rPr>
              <w:t>An employer must appoint a Rehabilitation and Return to Work Coordinator if the employer meets criteria prescribed under a regulation. That is, the employer employs workers at a workplace in a high risk industry and the wages of the employer in Queensland for the preceding financial year were more than 2</w:t>
            </w:r>
            <w:r w:rsidR="003563DE">
              <w:rPr>
                <w:rFonts w:cs="Arial"/>
                <w:color w:val="000000"/>
                <w:sz w:val="14"/>
                <w:szCs w:val="16"/>
                <w:lang w:val="en-GB"/>
              </w:rPr>
              <w:t>,</w:t>
            </w:r>
            <w:r w:rsidRPr="00227B85">
              <w:rPr>
                <w:rFonts w:cs="Arial"/>
                <w:color w:val="000000"/>
                <w:sz w:val="14"/>
                <w:szCs w:val="16"/>
                <w:lang w:val="en-GB"/>
              </w:rPr>
              <w:t>600 times QOTE. If not in a high risk industry, the wages of the employer in Queensland for the preceding financial year were more than 5</w:t>
            </w:r>
            <w:r w:rsidR="003563DE">
              <w:rPr>
                <w:rFonts w:cs="Arial"/>
                <w:color w:val="000000"/>
                <w:sz w:val="14"/>
                <w:szCs w:val="16"/>
                <w:lang w:val="en-GB"/>
              </w:rPr>
              <w:t>,</w:t>
            </w:r>
            <w:r w:rsidRPr="00227B85">
              <w:rPr>
                <w:rFonts w:cs="Arial"/>
                <w:color w:val="000000"/>
                <w:sz w:val="14"/>
                <w:szCs w:val="16"/>
                <w:lang w:val="en-GB"/>
              </w:rPr>
              <w:t>200 times QOTE.</w:t>
            </w:r>
          </w:p>
          <w:p w14:paraId="30F1C403" w14:textId="77777777" w:rsidR="00227B85" w:rsidRPr="00227B85" w:rsidRDefault="00C5178A" w:rsidP="00DF35F2">
            <w:pPr>
              <w:numPr>
                <w:ilvl w:val="0"/>
                <w:numId w:val="19"/>
              </w:numPr>
              <w:spacing w:after="60"/>
              <w:ind w:left="357" w:hanging="357"/>
              <w:contextualSpacing/>
            </w:pPr>
            <w:r w:rsidRPr="00227B85">
              <w:rPr>
                <w:sz w:val="14"/>
                <w:szCs w:val="14"/>
              </w:rPr>
              <w:t>The Rehabilitation and Return to Work Coordinator must be in Queensland and be employed by the employer under a contract (regardless of whether the contract is a contract of service).</w:t>
            </w:r>
          </w:p>
          <w:p w14:paraId="45F96AFA" w14:textId="37CD24D5" w:rsidR="00227B85" w:rsidRPr="00227B85" w:rsidRDefault="00C5178A" w:rsidP="00DF35F2">
            <w:pPr>
              <w:numPr>
                <w:ilvl w:val="0"/>
                <w:numId w:val="19"/>
              </w:numPr>
              <w:spacing w:after="60"/>
              <w:ind w:left="357" w:hanging="357"/>
              <w:contextualSpacing/>
              <w:rPr>
                <w:sz w:val="14"/>
                <w:szCs w:val="14"/>
              </w:rPr>
            </w:pPr>
            <w:r w:rsidRPr="00227B85">
              <w:rPr>
                <w:sz w:val="14"/>
                <w:szCs w:val="14"/>
              </w:rPr>
              <w:t xml:space="preserve">The employer must appoint the Rehabilitation and Return to Work Coordinator within 6 months after workplace is established or workers are employed at a workplace. Later period can be granted. </w:t>
            </w:r>
          </w:p>
          <w:p w14:paraId="0C89C207" w14:textId="77777777" w:rsidR="00227B85" w:rsidRPr="00227B85" w:rsidRDefault="00C5178A" w:rsidP="00DF35F2">
            <w:pPr>
              <w:numPr>
                <w:ilvl w:val="0"/>
                <w:numId w:val="19"/>
              </w:numPr>
              <w:spacing w:after="60"/>
              <w:ind w:left="357" w:hanging="357"/>
              <w:contextualSpacing/>
            </w:pPr>
            <w:r w:rsidRPr="00227B85">
              <w:rPr>
                <w:sz w:val="14"/>
                <w:szCs w:val="14"/>
              </w:rPr>
              <w:t>A Rehabilitation and Return to Work Coordinator is not civilly liable for an act done, or an omission made, in giving effect to the workplace rehabilitation policy and procedures of an employer.</w:t>
            </w:r>
          </w:p>
          <w:p w14:paraId="4698E4D7" w14:textId="240A59AC" w:rsidR="00C5178A" w:rsidRPr="00473084" w:rsidRDefault="00C5178A" w:rsidP="00DF35F2">
            <w:pPr>
              <w:numPr>
                <w:ilvl w:val="0"/>
                <w:numId w:val="19"/>
              </w:numPr>
              <w:spacing w:after="60"/>
              <w:ind w:left="357" w:hanging="357"/>
              <w:contextualSpacing/>
              <w:rPr>
                <w:rFonts w:cs="Arial"/>
                <w:color w:val="000000"/>
                <w:sz w:val="14"/>
                <w:szCs w:val="16"/>
                <w:u w:val="single"/>
                <w:lang w:val="en-GB"/>
              </w:rPr>
            </w:pPr>
            <w:r w:rsidRPr="00227B85">
              <w:rPr>
                <w:sz w:val="14"/>
                <w:szCs w:val="14"/>
              </w:rPr>
              <w:t xml:space="preserve">If subsection (4) prevents a civil liability attaching to a rehabilitation and return to work, the liability attaches to the employer. </w:t>
            </w:r>
          </w:p>
        </w:tc>
        <w:tc>
          <w:tcPr>
            <w:tcW w:w="6836" w:type="dxa"/>
            <w:shd w:val="clear" w:color="auto" w:fill="FFC9C9"/>
            <w:tcMar>
              <w:top w:w="80" w:type="dxa"/>
              <w:left w:w="80" w:type="dxa"/>
              <w:bottom w:w="80" w:type="dxa"/>
              <w:right w:w="80" w:type="dxa"/>
            </w:tcMar>
          </w:tcPr>
          <w:p w14:paraId="728FD3E2" w14:textId="444BBF2B" w:rsidR="00C5178A" w:rsidRPr="00C5178A" w:rsidRDefault="00A7538C" w:rsidP="00292A53">
            <w:pPr>
              <w:spacing w:after="60"/>
              <w:rPr>
                <w:rFonts w:cs="Arial"/>
                <w:color w:val="000000"/>
                <w:sz w:val="14"/>
                <w:szCs w:val="16"/>
                <w:lang w:val="en-GB"/>
              </w:rPr>
            </w:pPr>
            <w:hyperlink r:id="rId1923" w:anchor="sec.41" w:history="1">
              <w:r w:rsidR="004B600D" w:rsidRPr="007C3585">
                <w:rPr>
                  <w:rStyle w:val="Hyperlink"/>
                  <w:rFonts w:cs="Arial"/>
                  <w:sz w:val="14"/>
                  <w:szCs w:val="16"/>
                  <w:lang w:val="en-GB"/>
                </w:rPr>
                <w:t>s41</w:t>
              </w:r>
            </w:hyperlink>
            <w:r w:rsidR="00C5178A" w:rsidRPr="00C5178A">
              <w:rPr>
                <w:rFonts w:cs="Arial"/>
                <w:color w:val="000000"/>
                <w:sz w:val="14"/>
                <w:szCs w:val="16"/>
                <w:lang w:val="en-GB"/>
              </w:rPr>
              <w:t xml:space="preserve"> Meaning of rehabilitation and return to work coordinator</w:t>
            </w:r>
          </w:p>
          <w:p w14:paraId="12C085C2"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 rehabilitation and return to work coordinator is a person who is appropriately qualified to perform the functions of a rehabilitation and return to work coordinator.</w:t>
            </w:r>
          </w:p>
          <w:p w14:paraId="7ED8124E" w14:textId="605840A5"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The </w:t>
            </w:r>
            <w:hyperlink r:id="rId1924" w:anchor="sch.1" w:history="1">
              <w:r w:rsidR="004B600D" w:rsidRPr="007C3585">
                <w:rPr>
                  <w:rStyle w:val="Hyperlink"/>
                  <w:rFonts w:cs="Arial"/>
                  <w:i/>
                  <w:sz w:val="14"/>
                  <w:szCs w:val="16"/>
                  <w:lang w:val="en-GB"/>
                </w:rPr>
                <w:t>Acts Interpretation Act 1954</w:t>
              </w:r>
            </w:hyperlink>
            <w:r w:rsidR="004B600D">
              <w:rPr>
                <w:rFonts w:cs="Arial"/>
                <w:i/>
                <w:color w:val="000000"/>
                <w:sz w:val="14"/>
                <w:szCs w:val="16"/>
                <w:lang w:val="en-GB"/>
              </w:rPr>
              <w:t xml:space="preserve"> </w:t>
            </w:r>
            <w:r w:rsidRPr="00C5178A">
              <w:rPr>
                <w:rFonts w:cs="Arial"/>
                <w:color w:val="000000"/>
                <w:sz w:val="14"/>
                <w:szCs w:val="16"/>
                <w:lang w:val="en-GB"/>
              </w:rPr>
              <w:t>defines ‘appropriately qualified’ as:</w:t>
            </w:r>
          </w:p>
          <w:p w14:paraId="42432855" w14:textId="77777777" w:rsidR="00C5178A" w:rsidRPr="00C5178A" w:rsidRDefault="00C5178A" w:rsidP="00F839DB">
            <w:pPr>
              <w:numPr>
                <w:ilvl w:val="0"/>
                <w:numId w:val="526"/>
              </w:numPr>
              <w:spacing w:after="60"/>
              <w:rPr>
                <w:rFonts w:cs="Arial"/>
                <w:color w:val="000000"/>
                <w:sz w:val="14"/>
                <w:szCs w:val="16"/>
                <w:lang w:val="en-GB"/>
              </w:rPr>
            </w:pPr>
            <w:r w:rsidRPr="00C5178A">
              <w:rPr>
                <w:rFonts w:cs="Arial"/>
                <w:color w:val="000000"/>
                <w:sz w:val="14"/>
                <w:szCs w:val="16"/>
                <w:lang w:val="en-GB"/>
              </w:rPr>
              <w:t>for a function or power—means having the qualifications, experience or standing appropriate to perform the function or exercise the power; or</w:t>
            </w:r>
          </w:p>
          <w:p w14:paraId="256F113C" w14:textId="77777777" w:rsidR="00C5178A" w:rsidRPr="00C5178A" w:rsidRDefault="00C5178A" w:rsidP="00F839DB">
            <w:pPr>
              <w:numPr>
                <w:ilvl w:val="0"/>
                <w:numId w:val="526"/>
              </w:numPr>
              <w:spacing w:after="60"/>
              <w:rPr>
                <w:rFonts w:cs="Arial"/>
                <w:color w:val="000000"/>
                <w:sz w:val="14"/>
                <w:szCs w:val="16"/>
                <w:lang w:val="en-GB"/>
              </w:rPr>
            </w:pPr>
            <w:r w:rsidRPr="00C5178A">
              <w:rPr>
                <w:rFonts w:cs="Arial"/>
                <w:color w:val="000000"/>
                <w:sz w:val="14"/>
                <w:szCs w:val="16"/>
                <w:lang w:val="en-GB"/>
              </w:rPr>
              <w:t>for appointment to an office—means having the qualifications, experience or standing appropriate to perform the functions of the office.</w:t>
            </w:r>
          </w:p>
          <w:p w14:paraId="30F4E1CC" w14:textId="28A8BCAE"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Example of standing— a person’s classification level in the public service</w:t>
            </w:r>
            <w:r w:rsidR="003D2FCB">
              <w:rPr>
                <w:rFonts w:cs="Arial"/>
                <w:color w:val="000000"/>
                <w:sz w:val="14"/>
                <w:szCs w:val="16"/>
                <w:lang w:val="en-GB"/>
              </w:rPr>
              <w:t>.</w:t>
            </w:r>
          </w:p>
        </w:tc>
      </w:tr>
      <w:tr w:rsidR="00C5178A" w:rsidRPr="00C5178A" w14:paraId="27A377EA" w14:textId="77777777" w:rsidTr="00B2173F">
        <w:tc>
          <w:tcPr>
            <w:tcW w:w="1361" w:type="dxa"/>
            <w:tcMar>
              <w:top w:w="80" w:type="dxa"/>
              <w:left w:w="80" w:type="dxa"/>
              <w:bottom w:w="80" w:type="dxa"/>
              <w:right w:w="80" w:type="dxa"/>
            </w:tcMar>
          </w:tcPr>
          <w:p w14:paraId="015830B3"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Western Australia</w:t>
            </w:r>
          </w:p>
        </w:tc>
        <w:tc>
          <w:tcPr>
            <w:tcW w:w="6836" w:type="dxa"/>
            <w:tcMar>
              <w:top w:w="80" w:type="dxa"/>
              <w:left w:w="80" w:type="dxa"/>
              <w:bottom w:w="80" w:type="dxa"/>
              <w:right w:w="80" w:type="dxa"/>
            </w:tcMar>
          </w:tcPr>
          <w:p w14:paraId="2F50FC80"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c>
          <w:tcPr>
            <w:tcW w:w="6836" w:type="dxa"/>
            <w:tcMar>
              <w:top w:w="80" w:type="dxa"/>
              <w:left w:w="80" w:type="dxa"/>
              <w:bottom w:w="80" w:type="dxa"/>
              <w:right w:w="80" w:type="dxa"/>
            </w:tcMar>
          </w:tcPr>
          <w:p w14:paraId="50F37A31"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r>
      <w:tr w:rsidR="00C5178A" w:rsidRPr="00C5178A" w14:paraId="5029C453" w14:textId="77777777" w:rsidTr="00B2173F">
        <w:tc>
          <w:tcPr>
            <w:tcW w:w="1361" w:type="dxa"/>
            <w:shd w:val="clear" w:color="auto" w:fill="FFC9C9"/>
            <w:tcMar>
              <w:top w:w="80" w:type="dxa"/>
              <w:left w:w="80" w:type="dxa"/>
              <w:bottom w:w="80" w:type="dxa"/>
              <w:right w:w="80" w:type="dxa"/>
            </w:tcMar>
          </w:tcPr>
          <w:p w14:paraId="453C2087"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South Australia</w:t>
            </w:r>
          </w:p>
        </w:tc>
        <w:tc>
          <w:tcPr>
            <w:tcW w:w="6836" w:type="dxa"/>
            <w:shd w:val="clear" w:color="auto" w:fill="FFC9C9"/>
            <w:tcMar>
              <w:top w:w="80" w:type="dxa"/>
              <w:left w:w="80" w:type="dxa"/>
              <w:bottom w:w="80" w:type="dxa"/>
              <w:right w:w="80" w:type="dxa"/>
            </w:tcMar>
          </w:tcPr>
          <w:p w14:paraId="2EB8B0B0" w14:textId="38C70D0B" w:rsidR="00C5178A" w:rsidRPr="00C5178A" w:rsidRDefault="00C5178A" w:rsidP="00292A53">
            <w:pPr>
              <w:spacing w:after="60"/>
              <w:rPr>
                <w:rFonts w:cs="Arial"/>
                <w:color w:val="000000"/>
                <w:sz w:val="14"/>
                <w:szCs w:val="16"/>
                <w:lang w:val="en-GB"/>
              </w:rPr>
            </w:pPr>
            <w:r w:rsidRPr="00C5178A">
              <w:rPr>
                <w:rFonts w:cs="Arial"/>
                <w:b/>
                <w:color w:val="000000"/>
                <w:sz w:val="14"/>
                <w:szCs w:val="16"/>
                <w:lang w:val="en-GB"/>
              </w:rPr>
              <w:t>Return to work co-ordinators</w:t>
            </w:r>
            <w:r w:rsidR="0077013A">
              <w:rPr>
                <w:rFonts w:cs="Arial"/>
                <w:color w:val="000000"/>
                <w:sz w:val="14"/>
                <w:szCs w:val="16"/>
                <w:lang w:val="en-GB"/>
              </w:rPr>
              <w:t xml:space="preserve"> – under </w:t>
            </w:r>
            <w:hyperlink r:id="rId1925" w:history="1">
              <w:r w:rsidR="0077013A" w:rsidRPr="0077013A">
                <w:rPr>
                  <w:rStyle w:val="Hyperlink"/>
                  <w:rFonts w:cs="Arial"/>
                  <w:sz w:val="14"/>
                  <w:szCs w:val="16"/>
                  <w:lang w:val="en-GB"/>
                </w:rPr>
                <w:t>section 26</w:t>
              </w:r>
            </w:hyperlink>
            <w:r w:rsidR="0077013A">
              <w:rPr>
                <w:rFonts w:cs="Arial"/>
                <w:color w:val="000000"/>
                <w:sz w:val="14"/>
                <w:szCs w:val="16"/>
                <w:lang w:val="en-GB"/>
              </w:rPr>
              <w:t xml:space="preserve"> </w:t>
            </w:r>
            <w:r w:rsidR="0077013A">
              <w:rPr>
                <w:rFonts w:cs="Arial"/>
                <w:i/>
                <w:color w:val="000000"/>
                <w:sz w:val="14"/>
                <w:szCs w:val="16"/>
                <w:lang w:val="en-GB"/>
              </w:rPr>
              <w:t>Return to Work Act 2014</w:t>
            </w:r>
            <w:r w:rsidR="0077013A">
              <w:rPr>
                <w:rFonts w:cs="Arial"/>
                <w:color w:val="000000"/>
                <w:sz w:val="14"/>
                <w:szCs w:val="16"/>
                <w:lang w:val="en-GB"/>
              </w:rPr>
              <w:t xml:space="preserve"> </w:t>
            </w:r>
            <w:r w:rsidRPr="00C5178A">
              <w:rPr>
                <w:rFonts w:cs="Arial"/>
                <w:color w:val="000000"/>
                <w:sz w:val="14"/>
                <w:szCs w:val="16"/>
                <w:lang w:val="en-GB"/>
              </w:rPr>
              <w:t>- an employer must appoint (and retain) a return to work co-ordinator who is based in South Australia.</w:t>
            </w:r>
            <w:r w:rsidR="00DD0D68">
              <w:rPr>
                <w:rFonts w:cs="Arial"/>
                <w:color w:val="000000"/>
                <w:sz w:val="14"/>
                <w:szCs w:val="16"/>
                <w:lang w:val="en-GB"/>
              </w:rPr>
              <w:t xml:space="preserve"> </w:t>
            </w:r>
          </w:p>
          <w:p w14:paraId="7E5F1B03"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The employer must appoint a co-ordinator:</w:t>
            </w:r>
          </w:p>
          <w:p w14:paraId="219C4272" w14:textId="77777777" w:rsidR="00C5178A" w:rsidRPr="00C5178A" w:rsidRDefault="00C5178A" w:rsidP="00DF35F2">
            <w:pPr>
              <w:numPr>
                <w:ilvl w:val="0"/>
                <w:numId w:val="48"/>
              </w:numPr>
              <w:spacing w:after="60"/>
              <w:rPr>
                <w:rFonts w:cs="Arial"/>
                <w:color w:val="000000"/>
                <w:sz w:val="14"/>
                <w:szCs w:val="16"/>
                <w:lang w:val="en-GB"/>
              </w:rPr>
            </w:pPr>
            <w:r w:rsidRPr="00C5178A">
              <w:rPr>
                <w:rFonts w:cs="Arial"/>
                <w:color w:val="000000"/>
                <w:sz w:val="14"/>
                <w:szCs w:val="16"/>
                <w:lang w:val="en-GB"/>
              </w:rPr>
              <w:lastRenderedPageBreak/>
              <w:t xml:space="preserve">within 6 months after the requirement to be registered as an employer under the </w:t>
            </w:r>
            <w:r w:rsidRPr="00C5178A">
              <w:rPr>
                <w:rFonts w:cs="Arial"/>
                <w:i/>
                <w:color w:val="000000"/>
                <w:sz w:val="14"/>
                <w:szCs w:val="16"/>
                <w:lang w:val="en-GB"/>
              </w:rPr>
              <w:t>Return to Work Act</w:t>
            </w:r>
            <w:r w:rsidRPr="00C5178A">
              <w:rPr>
                <w:rFonts w:cs="Arial"/>
                <w:color w:val="000000"/>
                <w:sz w:val="14"/>
                <w:szCs w:val="16"/>
                <w:lang w:val="en-GB"/>
              </w:rPr>
              <w:t xml:space="preserve"> </w:t>
            </w:r>
            <w:r w:rsidRPr="00D41D16">
              <w:rPr>
                <w:rFonts w:cs="Arial"/>
                <w:i/>
                <w:color w:val="000000"/>
                <w:sz w:val="14"/>
                <w:szCs w:val="16"/>
                <w:lang w:val="en-GB"/>
              </w:rPr>
              <w:t>2014</w:t>
            </w:r>
            <w:r w:rsidRPr="00C5178A">
              <w:rPr>
                <w:rFonts w:cs="Arial"/>
                <w:color w:val="000000"/>
                <w:sz w:val="14"/>
                <w:szCs w:val="16"/>
                <w:lang w:val="en-GB"/>
              </w:rPr>
              <w:t xml:space="preserve"> (or within a later period approved by the Return to Work Corporation) and </w:t>
            </w:r>
          </w:p>
          <w:p w14:paraId="02ADC8BD" w14:textId="77777777" w:rsidR="00C5178A" w:rsidRPr="00C5178A" w:rsidRDefault="00C5178A" w:rsidP="00DF35F2">
            <w:pPr>
              <w:numPr>
                <w:ilvl w:val="0"/>
                <w:numId w:val="48"/>
              </w:numPr>
              <w:spacing w:after="60"/>
              <w:rPr>
                <w:rFonts w:cs="Arial"/>
                <w:color w:val="000000"/>
                <w:sz w:val="14"/>
                <w:szCs w:val="16"/>
                <w:lang w:val="en-GB"/>
              </w:rPr>
            </w:pPr>
            <w:r w:rsidRPr="00C5178A">
              <w:rPr>
                <w:rFonts w:cs="Arial"/>
                <w:color w:val="000000"/>
                <w:sz w:val="14"/>
                <w:szCs w:val="16"/>
                <w:lang w:val="en-GB"/>
              </w:rPr>
              <w:t>within 3 months after a vacancy occurs in the office of a co-ordinator.</w:t>
            </w:r>
          </w:p>
          <w:p w14:paraId="5FFAAC69"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 co-ordinator has the following functions:</w:t>
            </w:r>
          </w:p>
          <w:p w14:paraId="2EB5295D"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assist workers suffering from work injuries, where prudent and practicable, to remain at or return to work as soon as possible after the occurrence of the injury:</w:t>
            </w:r>
          </w:p>
          <w:p w14:paraId="7700B0DE"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assist in the preparation and implementation of any recovery/return to work plan for an injured worker</w:t>
            </w:r>
          </w:p>
          <w:p w14:paraId="708E3DEA"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liaise with any persons involved in the provision of medical and other relevant services to workers</w:t>
            </w:r>
          </w:p>
          <w:p w14:paraId="1BEA3139"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monitor the progress of an injured worker’s capacity to return to worktotake steps</w:t>
            </w:r>
          </w:p>
          <w:p w14:paraId="026F0AE3"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as far as practicable, prevent the occurrence of an aggravation, acceleration, exacerbation, deterioration or recurrence of an injury where a worker returns to work.</w:t>
            </w:r>
          </w:p>
          <w:p w14:paraId="79015C43" w14:textId="460342A5" w:rsidR="00C5178A" w:rsidRPr="00C5178A" w:rsidRDefault="00EF260F" w:rsidP="00EF260F">
            <w:pPr>
              <w:spacing w:after="60"/>
              <w:rPr>
                <w:rFonts w:cs="Arial"/>
                <w:color w:val="000000"/>
                <w:sz w:val="14"/>
                <w:szCs w:val="16"/>
                <w:lang w:val="en-GB"/>
              </w:rPr>
            </w:pPr>
            <w:r>
              <w:rPr>
                <w:rFonts w:cs="Arial"/>
                <w:color w:val="000000"/>
                <w:sz w:val="14"/>
                <w:szCs w:val="16"/>
                <w:lang w:val="en-GB"/>
              </w:rPr>
              <w:t xml:space="preserve">The regulations </w:t>
            </w:r>
            <w:r w:rsidR="00C5178A" w:rsidRPr="00C5178A">
              <w:rPr>
                <w:rFonts w:cs="Arial"/>
                <w:color w:val="000000"/>
                <w:sz w:val="14"/>
                <w:szCs w:val="16"/>
                <w:lang w:val="en-GB"/>
              </w:rPr>
              <w:t xml:space="preserve">may exempt an employer, or employers of a prescribed class, from the requirement to appoint a Return to Work Co-ordinator </w:t>
            </w:r>
            <w:r>
              <w:rPr>
                <w:rFonts w:cs="Arial"/>
                <w:color w:val="000000"/>
                <w:sz w:val="14"/>
                <w:szCs w:val="16"/>
                <w:lang w:val="en-GB"/>
              </w:rPr>
              <w:t xml:space="preserve">(see </w:t>
            </w:r>
            <w:hyperlink r:id="rId1926" w:history="1">
              <w:r w:rsidRPr="0077013A">
                <w:rPr>
                  <w:rStyle w:val="Hyperlink"/>
                  <w:rFonts w:cs="Arial"/>
                  <w:sz w:val="14"/>
                  <w:szCs w:val="16"/>
                  <w:lang w:val="en-GB"/>
                </w:rPr>
                <w:t>s26</w:t>
              </w:r>
            </w:hyperlink>
            <w:r>
              <w:rPr>
                <w:rFonts w:cs="Arial"/>
                <w:color w:val="000000"/>
                <w:sz w:val="14"/>
                <w:szCs w:val="16"/>
                <w:lang w:val="en-GB"/>
              </w:rPr>
              <w:t xml:space="preserve"> and</w:t>
            </w:r>
            <w:r w:rsidR="00C5178A" w:rsidRPr="00C5178A">
              <w:rPr>
                <w:rFonts w:cs="Arial"/>
                <w:color w:val="000000"/>
                <w:sz w:val="14"/>
                <w:szCs w:val="16"/>
                <w:lang w:val="en-GB"/>
              </w:rPr>
              <w:t xml:space="preserve"> </w:t>
            </w:r>
            <w:hyperlink r:id="rId1927" w:history="1">
              <w:r w:rsidR="00C5178A" w:rsidRPr="00C5178A">
                <w:rPr>
                  <w:rFonts w:cs="Arial"/>
                  <w:color w:val="0000FF"/>
                  <w:sz w:val="14"/>
                  <w:szCs w:val="16"/>
                  <w:u w:val="single"/>
                  <w:lang w:val="en-GB"/>
                </w:rPr>
                <w:t>regulation 18</w:t>
              </w:r>
            </w:hyperlink>
            <w:r w:rsidR="00C5178A" w:rsidRPr="00C5178A">
              <w:rPr>
                <w:rFonts w:cs="Arial"/>
                <w:color w:val="000000"/>
                <w:sz w:val="14"/>
                <w:szCs w:val="16"/>
                <w:lang w:val="en-GB"/>
              </w:rPr>
              <w:t xml:space="preserve"> of the Return to Work Regulations</w:t>
            </w:r>
            <w:r w:rsidR="0077013A">
              <w:rPr>
                <w:rFonts w:cs="Arial"/>
                <w:color w:val="000000"/>
                <w:sz w:val="14"/>
                <w:szCs w:val="16"/>
                <w:lang w:val="en-GB"/>
              </w:rPr>
              <w:t xml:space="preserve"> 2015</w:t>
            </w:r>
            <w:r w:rsidR="00A871A1">
              <w:rPr>
                <w:rFonts w:cs="Arial"/>
                <w:color w:val="000000"/>
                <w:sz w:val="14"/>
                <w:szCs w:val="16"/>
                <w:lang w:val="en-GB"/>
              </w:rPr>
              <w:t>)</w:t>
            </w:r>
            <w:r w:rsidR="00C5178A" w:rsidRPr="00C5178A">
              <w:rPr>
                <w:rFonts w:cs="Arial"/>
                <w:color w:val="000000"/>
                <w:sz w:val="14"/>
                <w:szCs w:val="16"/>
                <w:lang w:val="en-GB"/>
              </w:rPr>
              <w:t>.</w:t>
            </w:r>
          </w:p>
        </w:tc>
        <w:tc>
          <w:tcPr>
            <w:tcW w:w="6836" w:type="dxa"/>
            <w:shd w:val="clear" w:color="auto" w:fill="FFC9C9"/>
            <w:tcMar>
              <w:top w:w="80" w:type="dxa"/>
              <w:left w:w="80" w:type="dxa"/>
              <w:bottom w:w="80" w:type="dxa"/>
              <w:right w:w="80" w:type="dxa"/>
            </w:tcMar>
          </w:tcPr>
          <w:p w14:paraId="443D6037" w14:textId="77777777" w:rsidR="00C5178A" w:rsidRPr="003D67CE" w:rsidRDefault="00C5178A" w:rsidP="00F839DB">
            <w:pPr>
              <w:pStyle w:val="ListParagraph"/>
              <w:numPr>
                <w:ilvl w:val="0"/>
                <w:numId w:val="300"/>
              </w:numPr>
              <w:spacing w:after="60"/>
              <w:contextualSpacing/>
              <w:rPr>
                <w:rFonts w:eastAsia="Calibri" w:cs="Arial"/>
                <w:sz w:val="14"/>
                <w:szCs w:val="14"/>
                <w:lang w:eastAsia="en-US"/>
              </w:rPr>
            </w:pPr>
            <w:r w:rsidRPr="003D67CE">
              <w:rPr>
                <w:rFonts w:eastAsia="Calibri" w:cs="Arial"/>
                <w:sz w:val="14"/>
                <w:szCs w:val="14"/>
                <w:lang w:eastAsia="en-US"/>
              </w:rPr>
              <w:lastRenderedPageBreak/>
              <w:t>Businesses that employ more than 30 workers are required to appoint a certified return to work coordinator.</w:t>
            </w:r>
          </w:p>
          <w:p w14:paraId="01A101B7" w14:textId="77777777" w:rsidR="00C5178A" w:rsidRPr="003D67CE" w:rsidRDefault="00C5178A" w:rsidP="00F839DB">
            <w:pPr>
              <w:pStyle w:val="ListParagraph"/>
              <w:numPr>
                <w:ilvl w:val="0"/>
                <w:numId w:val="300"/>
              </w:numPr>
              <w:spacing w:after="60"/>
              <w:contextualSpacing/>
              <w:rPr>
                <w:rFonts w:eastAsia="Calibri" w:cs="Arial"/>
                <w:sz w:val="14"/>
                <w:szCs w:val="14"/>
                <w:lang w:eastAsia="en-US"/>
              </w:rPr>
            </w:pPr>
            <w:r w:rsidRPr="003D67CE">
              <w:rPr>
                <w:rFonts w:eastAsia="Calibri" w:cs="Arial"/>
                <w:sz w:val="14"/>
                <w:szCs w:val="14"/>
                <w:lang w:eastAsia="en-US"/>
              </w:rPr>
              <w:t xml:space="preserve">Return to Work Co-ordinator certificate training provides participants with an understanding of the role, functions and responsibilities of a return to work coordinator. </w:t>
            </w:r>
          </w:p>
          <w:p w14:paraId="18CB73E5" w14:textId="75EAF712"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lastRenderedPageBreak/>
              <w:t>Training is provided on-line or by a registered training provider.</w:t>
            </w:r>
            <w:r w:rsidR="00DD0D68">
              <w:rPr>
                <w:rFonts w:cs="Arial"/>
                <w:color w:val="000000"/>
                <w:sz w:val="14"/>
                <w:szCs w:val="16"/>
                <w:lang w:val="en-GB"/>
              </w:rPr>
              <w:t xml:space="preserve"> </w:t>
            </w:r>
            <w:r w:rsidRPr="00C5178A">
              <w:rPr>
                <w:rFonts w:cs="Arial"/>
                <w:color w:val="000000"/>
                <w:sz w:val="14"/>
                <w:szCs w:val="16"/>
                <w:lang w:val="en-GB"/>
              </w:rPr>
              <w:t xml:space="preserve">Details are provided on the </w:t>
            </w:r>
            <w:hyperlink r:id="rId1928" w:anchor="return" w:history="1">
              <w:r w:rsidRPr="00C5178A">
                <w:rPr>
                  <w:rFonts w:cs="Arial"/>
                  <w:color w:val="0000FF"/>
                  <w:sz w:val="14"/>
                  <w:szCs w:val="16"/>
                  <w:u w:val="single"/>
                  <w:lang w:val="en-GB"/>
                </w:rPr>
                <w:t>ReturnToWorkSA</w:t>
              </w:r>
            </w:hyperlink>
            <w:r w:rsidRPr="00C5178A">
              <w:rPr>
                <w:rFonts w:cs="Arial"/>
                <w:color w:val="000000"/>
                <w:sz w:val="14"/>
                <w:szCs w:val="16"/>
                <w:lang w:val="en-GB"/>
              </w:rPr>
              <w:t xml:space="preserve"> website.</w:t>
            </w:r>
          </w:p>
        </w:tc>
      </w:tr>
      <w:tr w:rsidR="00C5178A" w:rsidRPr="00C5178A" w14:paraId="1FDB3D07" w14:textId="77777777" w:rsidTr="00B2173F">
        <w:tc>
          <w:tcPr>
            <w:tcW w:w="1361" w:type="dxa"/>
            <w:tcMar>
              <w:top w:w="80" w:type="dxa"/>
              <w:left w:w="80" w:type="dxa"/>
              <w:bottom w:w="80" w:type="dxa"/>
              <w:right w:w="80" w:type="dxa"/>
            </w:tcMar>
          </w:tcPr>
          <w:p w14:paraId="6D5D88F7"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lastRenderedPageBreak/>
              <w:t>Tasmania</w:t>
            </w:r>
          </w:p>
        </w:tc>
        <w:tc>
          <w:tcPr>
            <w:tcW w:w="6836" w:type="dxa"/>
            <w:tcMar>
              <w:top w:w="80" w:type="dxa"/>
              <w:left w:w="80" w:type="dxa"/>
              <w:bottom w:w="80" w:type="dxa"/>
              <w:right w:w="80" w:type="dxa"/>
            </w:tcMar>
          </w:tcPr>
          <w:p w14:paraId="385C67F6" w14:textId="7B5FB13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Injury Management Coordinator —</w:t>
            </w:r>
            <w:r w:rsidR="00647122">
              <w:rPr>
                <w:rFonts w:cs="Arial"/>
                <w:color w:val="000000"/>
                <w:sz w:val="14"/>
                <w:szCs w:val="16"/>
                <w:lang w:val="en-GB"/>
              </w:rPr>
              <w:t xml:space="preserve"> </w:t>
            </w:r>
            <w:r w:rsidR="00647122" w:rsidRPr="00016069">
              <w:rPr>
                <w:i/>
                <w:sz w:val="14"/>
              </w:rPr>
              <w:t>Workers Rehabilitation and Compensation Act 1988</w:t>
            </w:r>
            <w:r w:rsidRPr="00C5178A">
              <w:rPr>
                <w:rFonts w:cs="Arial"/>
                <w:color w:val="000000"/>
                <w:sz w:val="14"/>
                <w:szCs w:val="16"/>
                <w:lang w:val="en-GB"/>
              </w:rPr>
              <w:t xml:space="preserve"> </w:t>
            </w:r>
            <w:hyperlink r:id="rId1929" w:history="1">
              <w:r w:rsidRPr="00C5178A">
                <w:rPr>
                  <w:rFonts w:cs="Arial"/>
                  <w:color w:val="0000FF"/>
                  <w:sz w:val="14"/>
                  <w:szCs w:val="16"/>
                  <w:u w:val="single"/>
                  <w:lang w:val="en-GB"/>
                </w:rPr>
                <w:t>s143B</w:t>
              </w:r>
            </w:hyperlink>
            <w:r w:rsidRPr="00C5178A">
              <w:rPr>
                <w:rFonts w:cs="Arial"/>
                <w:color w:val="000000"/>
                <w:sz w:val="14"/>
                <w:szCs w:val="16"/>
                <w:lang w:val="en-GB"/>
              </w:rPr>
              <w:t xml:space="preserve">. Injury management coordinator to be appointed </w:t>
            </w:r>
          </w:p>
          <w:p w14:paraId="4C0D2880" w14:textId="77777777" w:rsidR="00C5178A" w:rsidRPr="003D67CE" w:rsidRDefault="00C5178A" w:rsidP="00F839DB">
            <w:pPr>
              <w:pStyle w:val="Table123"/>
              <w:numPr>
                <w:ilvl w:val="0"/>
                <w:numId w:val="302"/>
              </w:numPr>
              <w:spacing w:after="60" w:afterAutospacing="0"/>
            </w:pPr>
            <w:r w:rsidRPr="003D67CE">
              <w:t xml:space="preserve">The licensed insurer of an employer of a worker must appoint an injury management coordinator in respect of the employer. </w:t>
            </w:r>
          </w:p>
          <w:p w14:paraId="2FD79210" w14:textId="77777777" w:rsidR="00C5178A" w:rsidRPr="00C5178A" w:rsidRDefault="00C5178A" w:rsidP="00292A53">
            <w:pPr>
              <w:pStyle w:val="Table123"/>
              <w:spacing w:after="60" w:afterAutospacing="0"/>
            </w:pPr>
            <w:r w:rsidRPr="00C5178A">
              <w:t xml:space="preserve">The licensed insurer of an employer of a worker, as soon as practicable after becoming aware that the worker has suffered a significant injury, must assign the worker to the injury management coordinator in respect of the employer. </w:t>
            </w:r>
          </w:p>
          <w:p w14:paraId="7C0B484D" w14:textId="77777777" w:rsidR="00C5178A" w:rsidRPr="00C5178A" w:rsidRDefault="00C5178A" w:rsidP="00292A53">
            <w:pPr>
              <w:pStyle w:val="Table123"/>
              <w:spacing w:after="60" w:afterAutospacing="0"/>
            </w:pPr>
            <w:r w:rsidRPr="00C5178A">
              <w:t xml:space="preserve">If a worker’s approved injury management program was submitted by the worker’s employer to the employer’s insurer under </w:t>
            </w:r>
            <w:hyperlink r:id="rId1930" w:anchor="GS143@Gs4@EN" w:history="1">
              <w:r w:rsidRPr="00C5178A">
                <w:rPr>
                  <w:color w:val="0000FF"/>
                  <w:u w:val="single"/>
                </w:rPr>
                <w:t>s143(4)</w:t>
              </w:r>
            </w:hyperlink>
            <w:r w:rsidRPr="00C5178A">
              <w:t xml:space="preserve">: </w:t>
            </w:r>
          </w:p>
          <w:p w14:paraId="57E19FAB" w14:textId="77777777" w:rsidR="00C5178A" w:rsidRPr="003D67CE" w:rsidRDefault="00A7538C" w:rsidP="00F839DB">
            <w:pPr>
              <w:pStyle w:val="ListParagraph"/>
              <w:numPr>
                <w:ilvl w:val="0"/>
                <w:numId w:val="303"/>
              </w:numPr>
              <w:spacing w:after="60"/>
              <w:ind w:left="627" w:hanging="284"/>
              <w:contextualSpacing/>
              <w:rPr>
                <w:rFonts w:eastAsia="Calibri" w:cs="Arial"/>
                <w:sz w:val="14"/>
                <w:szCs w:val="14"/>
                <w:lang w:eastAsia="en-US"/>
              </w:rPr>
            </w:pPr>
            <w:hyperlink r:id="rId1931" w:anchor="GS143B@Gs1@EN" w:history="1">
              <w:r w:rsidR="00C5178A" w:rsidRPr="003D67CE">
                <w:rPr>
                  <w:rFonts w:eastAsia="Calibri" w:cs="Arial"/>
                  <w:color w:val="0000FF"/>
                  <w:sz w:val="14"/>
                  <w:szCs w:val="14"/>
                  <w:u w:val="single"/>
                  <w:lang w:eastAsia="en-US"/>
                </w:rPr>
                <w:t>subsections (1)</w:t>
              </w:r>
            </w:hyperlink>
            <w:r w:rsidR="00C5178A" w:rsidRPr="003D67CE">
              <w:rPr>
                <w:rFonts w:eastAsia="Calibri" w:cs="Arial"/>
                <w:sz w:val="14"/>
                <w:szCs w:val="14"/>
                <w:lang w:eastAsia="en-US"/>
              </w:rPr>
              <w:t xml:space="preserve"> and </w:t>
            </w:r>
            <w:hyperlink r:id="rId1932" w:anchor="GS143B@Gs2@EN" w:history="1">
              <w:r w:rsidR="00C5178A" w:rsidRPr="003D67CE">
                <w:rPr>
                  <w:rFonts w:eastAsia="Calibri" w:cs="Arial"/>
                  <w:color w:val="0000FF"/>
                  <w:sz w:val="14"/>
                  <w:szCs w:val="14"/>
                  <w:u w:val="single"/>
                  <w:lang w:eastAsia="en-US"/>
                </w:rPr>
                <w:t>(2)</w:t>
              </w:r>
            </w:hyperlink>
            <w:r w:rsidR="00C5178A" w:rsidRPr="003D67CE">
              <w:rPr>
                <w:rFonts w:eastAsia="Calibri" w:cs="Arial"/>
                <w:sz w:val="14"/>
                <w:szCs w:val="14"/>
                <w:lang w:eastAsia="en-US"/>
              </w:rPr>
              <w:t xml:space="preserve"> do not apply to the employer’s insurer; and </w:t>
            </w:r>
          </w:p>
          <w:p w14:paraId="05B739F8" w14:textId="77777777" w:rsidR="00C5178A" w:rsidRPr="003D67CE" w:rsidRDefault="00C5178A" w:rsidP="00F839DB">
            <w:pPr>
              <w:pStyle w:val="ListParagraph"/>
              <w:numPr>
                <w:ilvl w:val="0"/>
                <w:numId w:val="303"/>
              </w:numPr>
              <w:spacing w:after="60"/>
              <w:ind w:left="627" w:hanging="284"/>
              <w:contextualSpacing/>
              <w:rPr>
                <w:rFonts w:eastAsia="Calibri" w:cs="Arial"/>
                <w:sz w:val="14"/>
                <w:szCs w:val="14"/>
                <w:lang w:eastAsia="en-US"/>
              </w:rPr>
            </w:pPr>
            <w:r w:rsidRPr="003D67CE">
              <w:rPr>
                <w:rFonts w:eastAsia="Calibri" w:cs="Arial"/>
                <w:sz w:val="14"/>
                <w:szCs w:val="14"/>
                <w:lang w:eastAsia="en-US"/>
              </w:rPr>
              <w:t>the employer must (i) appoint an injury management coordinator in respect of the employer; and (ii) assign a worker to the injury management coordinator, as soon as practicable after becoming aware the worker has suffered an injury.</w:t>
            </w:r>
          </w:p>
          <w:p w14:paraId="61378036" w14:textId="1723719C" w:rsidR="00C5178A" w:rsidRPr="00C5178A" w:rsidRDefault="00C5178A" w:rsidP="00292A53">
            <w:pPr>
              <w:pStyle w:val="Table123"/>
              <w:spacing w:after="60" w:afterAutospacing="0"/>
            </w:pPr>
            <w:r w:rsidRPr="00C5178A">
              <w:t xml:space="preserve">If a worker’s approved injury management program was submitted by the worker’s employer to the Board under </w:t>
            </w:r>
            <w:hyperlink r:id="rId1933" w:anchor="GS143@Gs5@EN" w:history="1">
              <w:r w:rsidRPr="00C5178A">
                <w:rPr>
                  <w:color w:val="0000FF"/>
                  <w:u w:val="single"/>
                </w:rPr>
                <w:t>s143(5)</w:t>
              </w:r>
            </w:hyperlink>
            <w:r w:rsidRPr="00C5178A">
              <w:t xml:space="preserve"> or </w:t>
            </w:r>
            <w:hyperlink r:id="rId1934" w:anchor="GS143@Gs6@EN" w:history="1">
              <w:r w:rsidRPr="00C5178A">
                <w:rPr>
                  <w:color w:val="0000FF"/>
                  <w:u w:val="single"/>
                </w:rPr>
                <w:t>(6)</w:t>
              </w:r>
            </w:hyperlink>
            <w:r w:rsidR="00DD0D68">
              <w:t xml:space="preserve"> </w:t>
            </w:r>
            <w:r w:rsidRPr="00C5178A">
              <w:t>the employer must:</w:t>
            </w:r>
          </w:p>
          <w:p w14:paraId="293E7C66" w14:textId="77777777" w:rsidR="00C5178A" w:rsidRPr="003D67CE" w:rsidRDefault="00C5178A" w:rsidP="00F839DB">
            <w:pPr>
              <w:pStyle w:val="ListParagraph"/>
              <w:numPr>
                <w:ilvl w:val="0"/>
                <w:numId w:val="304"/>
              </w:numPr>
              <w:spacing w:after="60"/>
              <w:contextualSpacing/>
              <w:rPr>
                <w:rFonts w:eastAsia="Calibri" w:cs="Arial"/>
                <w:sz w:val="14"/>
                <w:szCs w:val="14"/>
                <w:lang w:eastAsia="en-US"/>
              </w:rPr>
            </w:pPr>
            <w:r w:rsidRPr="003D67CE">
              <w:rPr>
                <w:rFonts w:eastAsia="Calibri" w:cs="Arial"/>
                <w:sz w:val="14"/>
                <w:szCs w:val="14"/>
                <w:lang w:eastAsia="en-US"/>
              </w:rPr>
              <w:t>appoint an injury management co-ordinator in respect of the employer; and</w:t>
            </w:r>
          </w:p>
          <w:p w14:paraId="5D37144B" w14:textId="77777777" w:rsidR="00C5178A" w:rsidRPr="003D67CE" w:rsidRDefault="00C5178A" w:rsidP="00F839DB">
            <w:pPr>
              <w:pStyle w:val="ListParagraph"/>
              <w:numPr>
                <w:ilvl w:val="0"/>
                <w:numId w:val="304"/>
              </w:numPr>
              <w:spacing w:after="60"/>
              <w:contextualSpacing/>
              <w:rPr>
                <w:rFonts w:eastAsia="Calibri" w:cs="Arial"/>
                <w:sz w:val="14"/>
                <w:szCs w:val="14"/>
                <w:lang w:eastAsia="en-US"/>
              </w:rPr>
            </w:pPr>
            <w:r w:rsidRPr="003D67CE">
              <w:rPr>
                <w:rFonts w:eastAsia="Calibri" w:cs="Arial"/>
                <w:sz w:val="14"/>
                <w:szCs w:val="14"/>
                <w:lang w:eastAsia="en-US"/>
              </w:rPr>
              <w:t xml:space="preserve">assign a worker to the injury management co-ordinator, as soon as practicable after becoming aware that the worker has suffered a significant injury. </w:t>
            </w:r>
          </w:p>
          <w:p w14:paraId="251266C7"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The employer or insurer who appointed a person to be an injury management co-ordinator may appoint another person to be the injury management co-ordinator in the place of the person first appointed. </w:t>
            </w:r>
          </w:p>
          <w:p w14:paraId="4DFD987D" w14:textId="77777777" w:rsidR="00C5178A" w:rsidRPr="00C5178A" w:rsidRDefault="00C5178A" w:rsidP="00292A53">
            <w:pPr>
              <w:spacing w:after="60"/>
              <w:rPr>
                <w:rFonts w:cs="Arial"/>
                <w:b/>
                <w:color w:val="000000"/>
                <w:sz w:val="14"/>
                <w:szCs w:val="16"/>
                <w:lang w:val="en-GB"/>
              </w:rPr>
            </w:pPr>
            <w:r w:rsidRPr="00C5178A">
              <w:rPr>
                <w:rFonts w:cs="Arial"/>
                <w:b/>
                <w:color w:val="000000"/>
                <w:sz w:val="14"/>
                <w:szCs w:val="16"/>
                <w:lang w:val="en-GB"/>
              </w:rPr>
              <w:t xml:space="preserve">Return to Work coordinator — </w:t>
            </w:r>
            <w:hyperlink r:id="rId1935" w:history="1">
              <w:r w:rsidRPr="00C5178A">
                <w:rPr>
                  <w:rFonts w:cs="Arial"/>
                  <w:b/>
                  <w:color w:val="0000FF"/>
                  <w:sz w:val="14"/>
                  <w:szCs w:val="16"/>
                  <w:u w:val="single"/>
                  <w:lang w:val="en-GB"/>
                </w:rPr>
                <w:t>s143D</w:t>
              </w:r>
            </w:hyperlink>
            <w:r w:rsidRPr="00C5178A">
              <w:rPr>
                <w:rFonts w:cs="Arial"/>
                <w:b/>
                <w:color w:val="000000"/>
                <w:sz w:val="14"/>
                <w:szCs w:val="16"/>
                <w:lang w:val="en-GB"/>
              </w:rPr>
              <w:t xml:space="preserve"> Return to Work Coordinator may be required to be appointed</w:t>
            </w:r>
          </w:p>
          <w:p w14:paraId="14CFD618" w14:textId="77777777" w:rsidR="00C5178A" w:rsidRPr="003E26EA" w:rsidRDefault="00C5178A" w:rsidP="00F839DB">
            <w:pPr>
              <w:pStyle w:val="ListParagraph"/>
              <w:numPr>
                <w:ilvl w:val="0"/>
                <w:numId w:val="305"/>
              </w:numPr>
              <w:spacing w:after="60"/>
              <w:contextualSpacing/>
              <w:rPr>
                <w:rFonts w:eastAsia="Calibri" w:cs="Arial"/>
                <w:sz w:val="14"/>
                <w:szCs w:val="14"/>
                <w:lang w:eastAsia="en-US"/>
              </w:rPr>
            </w:pPr>
            <w:r w:rsidRPr="003E26EA">
              <w:rPr>
                <w:rFonts w:eastAsia="Calibri" w:cs="Arial"/>
                <w:sz w:val="14"/>
                <w:szCs w:val="14"/>
                <w:lang w:eastAsia="en-US"/>
              </w:rPr>
              <w:t>An employer who employs more than 50 workers must appoint a Rehabilitation and Return to Work Coordinator.</w:t>
            </w:r>
          </w:p>
          <w:p w14:paraId="045512AA" w14:textId="77777777" w:rsidR="00C5178A" w:rsidRPr="003E26EA" w:rsidRDefault="00C5178A" w:rsidP="00F839DB">
            <w:pPr>
              <w:pStyle w:val="ListParagraph"/>
              <w:numPr>
                <w:ilvl w:val="0"/>
                <w:numId w:val="305"/>
              </w:numPr>
              <w:spacing w:after="60"/>
              <w:contextualSpacing/>
              <w:rPr>
                <w:rFonts w:eastAsia="Calibri" w:cs="Arial"/>
                <w:sz w:val="14"/>
                <w:szCs w:val="14"/>
                <w:lang w:eastAsia="en-US"/>
              </w:rPr>
            </w:pPr>
            <w:r w:rsidRPr="003E26EA">
              <w:rPr>
                <w:rFonts w:eastAsia="Calibri" w:cs="Arial"/>
                <w:sz w:val="14"/>
                <w:szCs w:val="14"/>
                <w:lang w:eastAsia="en-US"/>
              </w:rPr>
              <w:t xml:space="preserve">A worker’s employer who employs more than 50 workers, as soon as practicable after becoming aware that a worker has suffered a significant injury, must assign the worker to the Rehabilitation and Return to Work Coordinator appointed under </w:t>
            </w:r>
            <w:hyperlink r:id="rId1936" w:history="1">
              <w:r w:rsidRPr="003E26EA">
                <w:rPr>
                  <w:rFonts w:eastAsia="Calibri" w:cs="Arial"/>
                  <w:color w:val="0000FF"/>
                  <w:sz w:val="14"/>
                  <w:szCs w:val="14"/>
                  <w:u w:val="single"/>
                  <w:lang w:eastAsia="en-US"/>
                </w:rPr>
                <w:t>subsection (1)</w:t>
              </w:r>
            </w:hyperlink>
            <w:r w:rsidRPr="003E26EA">
              <w:rPr>
                <w:rFonts w:eastAsia="Calibri" w:cs="Arial"/>
                <w:sz w:val="14"/>
                <w:szCs w:val="14"/>
                <w:lang w:eastAsia="en-US"/>
              </w:rPr>
              <w:t xml:space="preserve"> in respect of the employer.</w:t>
            </w:r>
          </w:p>
          <w:p w14:paraId="4EB9C339"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 worker’s employer may only assign a worker to a Rehabilitation and Return to Work Coordinator if the coordinator is familiar with the workplace, and the management and staff of the workplace, in which the worker is employed.</w:t>
            </w:r>
          </w:p>
        </w:tc>
        <w:tc>
          <w:tcPr>
            <w:tcW w:w="6836" w:type="dxa"/>
            <w:tcMar>
              <w:top w:w="80" w:type="dxa"/>
              <w:left w:w="80" w:type="dxa"/>
              <w:bottom w:w="80" w:type="dxa"/>
              <w:right w:w="80" w:type="dxa"/>
            </w:tcMar>
          </w:tcPr>
          <w:p w14:paraId="478335C7"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Injury Management Coordinator — </w:t>
            </w:r>
            <w:hyperlink r:id="rId1937" w:history="1">
              <w:r w:rsidRPr="00C5178A">
                <w:rPr>
                  <w:rFonts w:cs="Arial"/>
                  <w:color w:val="0000FF"/>
                  <w:sz w:val="14"/>
                  <w:szCs w:val="16"/>
                  <w:u w:val="single"/>
                  <w:lang w:val="en-GB"/>
                </w:rPr>
                <w:t>s143B(5)</w:t>
              </w:r>
            </w:hyperlink>
          </w:p>
          <w:p w14:paraId="0FB2E57E"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 person may only be appointed to be an injury management coordinator if, where the Board approves a course of training: </w:t>
            </w:r>
          </w:p>
          <w:p w14:paraId="5D1AD037"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the person has successfully completed the course of training; or </w:t>
            </w:r>
          </w:p>
          <w:p w14:paraId="68B2A5B8"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the Board is satisfied that the person has obtained a qualification or completed a course of training that is at least equivalent to the course of training approved by the Board.</w:t>
            </w:r>
          </w:p>
          <w:p w14:paraId="288C7895"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WorkCover Tasmania Guideline for Injury Management Coordinator Training Requirements</w:t>
            </w:r>
          </w:p>
          <w:p w14:paraId="2FFAC5D2"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An IMC is required to complete nine units of competency (recognised within the Australian Qualifications Framework) identified by WorkCover. These units focus on the skills required to fulfil the functions of an IMC. The identified units of competency are sourced primarily from the certificate IV Personal Injury Management. The units are also inclusive of the units of competency recommended for Rehabilitation and Return to Work Coordinators.</w:t>
            </w:r>
          </w:p>
          <w:p w14:paraId="4283CD06"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Return to Work Coordinator — </w:t>
            </w:r>
            <w:hyperlink r:id="rId1938" w:history="1">
              <w:r w:rsidRPr="00C5178A">
                <w:rPr>
                  <w:rFonts w:cs="Arial"/>
                  <w:color w:val="0000FF"/>
                  <w:sz w:val="14"/>
                  <w:szCs w:val="16"/>
                  <w:u w:val="single"/>
                  <w:lang w:val="en-GB"/>
                </w:rPr>
                <w:t>s143D</w:t>
              </w:r>
            </w:hyperlink>
          </w:p>
          <w:p w14:paraId="555D40CF"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 person may only be appointed under ss(1) to be a Rehabilitation and Return to Work Coordinator if, where the Board has approved a course of training: </w:t>
            </w:r>
          </w:p>
          <w:p w14:paraId="758C3909" w14:textId="77777777" w:rsidR="00C5178A" w:rsidRPr="003E26EA" w:rsidRDefault="00C5178A" w:rsidP="00F839DB">
            <w:pPr>
              <w:pStyle w:val="ListParagraph"/>
              <w:numPr>
                <w:ilvl w:val="0"/>
                <w:numId w:val="306"/>
              </w:numPr>
              <w:spacing w:after="60"/>
              <w:rPr>
                <w:rFonts w:cs="Arial"/>
                <w:color w:val="000000"/>
                <w:sz w:val="14"/>
                <w:szCs w:val="16"/>
                <w:lang w:val="en-GB"/>
              </w:rPr>
            </w:pPr>
            <w:r w:rsidRPr="003E26EA">
              <w:rPr>
                <w:rFonts w:cs="Arial"/>
                <w:color w:val="000000"/>
                <w:sz w:val="14"/>
                <w:szCs w:val="16"/>
                <w:lang w:val="en-GB"/>
              </w:rPr>
              <w:t xml:space="preserve">the person has successfully completed the course of training; or </w:t>
            </w:r>
          </w:p>
          <w:p w14:paraId="1F75076E" w14:textId="77777777" w:rsidR="00C5178A" w:rsidRPr="003E26EA" w:rsidRDefault="00C5178A" w:rsidP="00F839DB">
            <w:pPr>
              <w:pStyle w:val="ListParagraph"/>
              <w:numPr>
                <w:ilvl w:val="0"/>
                <w:numId w:val="306"/>
              </w:numPr>
              <w:spacing w:after="60"/>
              <w:rPr>
                <w:rFonts w:cs="Arial"/>
                <w:color w:val="000000"/>
                <w:sz w:val="14"/>
                <w:szCs w:val="16"/>
                <w:lang w:val="en-GB"/>
              </w:rPr>
            </w:pPr>
            <w:r w:rsidRPr="003E26EA">
              <w:rPr>
                <w:rFonts w:cs="Arial"/>
                <w:color w:val="000000"/>
                <w:sz w:val="14"/>
                <w:szCs w:val="16"/>
                <w:lang w:val="en-GB"/>
              </w:rPr>
              <w:t>the Board is satisfied that the person has obtained a qualification or completed a course of training that is at least equivalent to the course of training approved by the Board.</w:t>
            </w:r>
          </w:p>
          <w:p w14:paraId="67AAD5DC" w14:textId="40399A12" w:rsidR="00C5178A" w:rsidRPr="005C5C26" w:rsidRDefault="00C5178A" w:rsidP="00292A53">
            <w:pPr>
              <w:spacing w:after="60"/>
              <w:contextualSpacing/>
              <w:rPr>
                <w:rFonts w:eastAsia="Calibri" w:cs="Arial"/>
                <w:sz w:val="14"/>
                <w:szCs w:val="14"/>
                <w:lang w:eastAsia="en-US"/>
              </w:rPr>
            </w:pPr>
            <w:r w:rsidRPr="005C5C26">
              <w:rPr>
                <w:rFonts w:eastAsia="Calibri" w:cs="Arial"/>
                <w:sz w:val="14"/>
                <w:szCs w:val="14"/>
                <w:lang w:eastAsia="en-US"/>
              </w:rPr>
              <w:t>While the WorkCover Tasmania Board has not approved a course of training for Rehabilitation and Return to Work Coordinators, it is recognised that this role requires certain knowledge and skills to enable the appointed person to effectively perform the role. For this reason, it is highly recommended that a Rehabilitation and Return to Work Coordinator completes the three units of competencies recognised within the Aust</w:t>
            </w:r>
            <w:r w:rsidR="003D2FCB">
              <w:rPr>
                <w:rFonts w:eastAsia="Calibri" w:cs="Arial"/>
                <w:sz w:val="14"/>
                <w:szCs w:val="14"/>
                <w:lang w:eastAsia="en-US"/>
              </w:rPr>
              <w:t>ralian Qualifications Framework.</w:t>
            </w:r>
          </w:p>
        </w:tc>
      </w:tr>
      <w:tr w:rsidR="00C5178A" w:rsidRPr="00C5178A" w14:paraId="61A87673" w14:textId="77777777" w:rsidTr="00B2173F">
        <w:tc>
          <w:tcPr>
            <w:tcW w:w="1361" w:type="dxa"/>
            <w:shd w:val="clear" w:color="auto" w:fill="FFC9C9"/>
            <w:tcMar>
              <w:top w:w="80" w:type="dxa"/>
              <w:left w:w="80" w:type="dxa"/>
              <w:bottom w:w="80" w:type="dxa"/>
              <w:right w:w="80" w:type="dxa"/>
            </w:tcMar>
          </w:tcPr>
          <w:p w14:paraId="38C102CB"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ACT</w:t>
            </w:r>
          </w:p>
        </w:tc>
        <w:tc>
          <w:tcPr>
            <w:tcW w:w="6836" w:type="dxa"/>
            <w:shd w:val="clear" w:color="auto" w:fill="FFC9C9"/>
            <w:tcMar>
              <w:top w:w="80" w:type="dxa"/>
              <w:left w:w="80" w:type="dxa"/>
              <w:bottom w:w="80" w:type="dxa"/>
              <w:right w:w="80" w:type="dxa"/>
            </w:tcMar>
          </w:tcPr>
          <w:p w14:paraId="5F950A00" w14:textId="699FF2C6"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An employer that pays an annual premium of $200</w:t>
            </w:r>
            <w:r w:rsidR="003563DE">
              <w:rPr>
                <w:rFonts w:cs="Arial"/>
                <w:color w:val="000000"/>
                <w:sz w:val="14"/>
                <w:szCs w:val="16"/>
                <w:lang w:val="en-GB"/>
              </w:rPr>
              <w:t>,</w:t>
            </w:r>
            <w:r w:rsidRPr="00C5178A">
              <w:rPr>
                <w:rFonts w:cs="Arial"/>
                <w:color w:val="000000"/>
                <w:sz w:val="14"/>
                <w:szCs w:val="16"/>
                <w:lang w:val="en-GB"/>
              </w:rPr>
              <w:t xml:space="preserve">000 or more: or is a </w:t>
            </w:r>
            <w:r w:rsidR="00E43A0F">
              <w:rPr>
                <w:rFonts w:cs="Arial"/>
                <w:color w:val="000000"/>
                <w:sz w:val="14"/>
                <w:szCs w:val="16"/>
                <w:lang w:val="en-GB"/>
              </w:rPr>
              <w:t>self-insurer</w:t>
            </w:r>
          </w:p>
        </w:tc>
        <w:tc>
          <w:tcPr>
            <w:tcW w:w="6836" w:type="dxa"/>
            <w:shd w:val="clear" w:color="auto" w:fill="FFC9C9"/>
            <w:tcMar>
              <w:top w:w="80" w:type="dxa"/>
              <w:left w:w="80" w:type="dxa"/>
              <w:bottom w:w="80" w:type="dxa"/>
              <w:right w:w="80" w:type="dxa"/>
            </w:tcMar>
          </w:tcPr>
          <w:p w14:paraId="73AD7D2F" w14:textId="09D57792"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The SafeWork NSW approved training course </w:t>
            </w:r>
            <w:r w:rsidRPr="00C5178A">
              <w:rPr>
                <w:rFonts w:cs="Arial"/>
                <w:i/>
                <w:color w:val="000000"/>
                <w:sz w:val="14"/>
                <w:szCs w:val="16"/>
                <w:lang w:val="en-GB"/>
              </w:rPr>
              <w:t>Introduction to return to work coordination</w:t>
            </w:r>
            <w:r w:rsidRPr="00C5178A">
              <w:rPr>
                <w:rFonts w:cs="Arial"/>
                <w:color w:val="000000"/>
                <w:sz w:val="14"/>
                <w:szCs w:val="16"/>
                <w:lang w:val="en-GB"/>
              </w:rPr>
              <w:t xml:space="preserve"> or its equiva</w:t>
            </w:r>
            <w:r w:rsidR="002067A4">
              <w:rPr>
                <w:rFonts w:cs="Arial"/>
                <w:color w:val="000000"/>
                <w:sz w:val="14"/>
                <w:szCs w:val="16"/>
                <w:lang w:val="en-GB"/>
              </w:rPr>
              <w:t>lent as named from time to time</w:t>
            </w:r>
            <w:r w:rsidR="008F6EE3">
              <w:rPr>
                <w:rFonts w:cs="Arial"/>
                <w:color w:val="000000"/>
                <w:sz w:val="14"/>
                <w:szCs w:val="16"/>
                <w:lang w:val="en-GB"/>
              </w:rPr>
              <w:t>.</w:t>
            </w:r>
          </w:p>
        </w:tc>
      </w:tr>
      <w:tr w:rsidR="00C5178A" w:rsidRPr="00C5178A" w14:paraId="363C335E" w14:textId="77777777" w:rsidTr="00B2173F">
        <w:tc>
          <w:tcPr>
            <w:tcW w:w="1361" w:type="dxa"/>
            <w:tcMar>
              <w:top w:w="80" w:type="dxa"/>
              <w:left w:w="80" w:type="dxa"/>
              <w:bottom w:w="80" w:type="dxa"/>
              <w:right w:w="80" w:type="dxa"/>
            </w:tcMar>
          </w:tcPr>
          <w:p w14:paraId="16D4F5B8"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lastRenderedPageBreak/>
              <w:t>Northern Territory</w:t>
            </w:r>
          </w:p>
        </w:tc>
        <w:tc>
          <w:tcPr>
            <w:tcW w:w="6836" w:type="dxa"/>
            <w:tcMar>
              <w:top w:w="80" w:type="dxa"/>
              <w:left w:w="80" w:type="dxa"/>
              <w:bottom w:w="80" w:type="dxa"/>
              <w:right w:w="80" w:type="dxa"/>
            </w:tcMar>
          </w:tcPr>
          <w:p w14:paraId="02E34274" w14:textId="7A53C773"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c>
          <w:tcPr>
            <w:tcW w:w="6836" w:type="dxa"/>
            <w:tcMar>
              <w:top w:w="80" w:type="dxa"/>
              <w:left w:w="80" w:type="dxa"/>
              <w:bottom w:w="80" w:type="dxa"/>
              <w:right w:w="80" w:type="dxa"/>
            </w:tcMar>
          </w:tcPr>
          <w:p w14:paraId="63790EDE" w14:textId="336C05AD"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r>
      <w:tr w:rsidR="00C5178A" w:rsidRPr="00C5178A" w14:paraId="1CAE932F" w14:textId="77777777" w:rsidTr="00B2173F">
        <w:tc>
          <w:tcPr>
            <w:tcW w:w="1361" w:type="dxa"/>
            <w:shd w:val="clear" w:color="auto" w:fill="FFC9C9"/>
            <w:tcMar>
              <w:top w:w="80" w:type="dxa"/>
              <w:left w:w="80" w:type="dxa"/>
              <w:bottom w:w="80" w:type="dxa"/>
              <w:right w:w="80" w:type="dxa"/>
            </w:tcMar>
          </w:tcPr>
          <w:p w14:paraId="3E8B6A06"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C’wealth Comcare</w:t>
            </w:r>
          </w:p>
        </w:tc>
        <w:tc>
          <w:tcPr>
            <w:tcW w:w="6836" w:type="dxa"/>
            <w:shd w:val="clear" w:color="auto" w:fill="FFC9C9"/>
            <w:tcMar>
              <w:top w:w="80" w:type="dxa"/>
              <w:left w:w="80" w:type="dxa"/>
              <w:bottom w:w="80" w:type="dxa"/>
              <w:right w:w="80" w:type="dxa"/>
            </w:tcMar>
          </w:tcPr>
          <w:p w14:paraId="056F4FF6" w14:textId="41B327FC" w:rsidR="00C5178A" w:rsidRPr="00C5178A" w:rsidRDefault="00A7538C" w:rsidP="00292A53">
            <w:pPr>
              <w:spacing w:after="60"/>
              <w:rPr>
                <w:rFonts w:cs="Arial"/>
                <w:i/>
                <w:color w:val="000000"/>
                <w:sz w:val="14"/>
                <w:szCs w:val="16"/>
                <w:lang w:val="en-GB"/>
              </w:rPr>
            </w:pPr>
            <w:hyperlink r:id="rId1939" w:history="1">
              <w:r w:rsidR="00C5178A" w:rsidRPr="00F205EA">
                <w:rPr>
                  <w:rStyle w:val="Hyperlink"/>
                  <w:rFonts w:cs="Arial"/>
                  <w:i/>
                  <w:sz w:val="14"/>
                  <w:szCs w:val="16"/>
                  <w:lang w:val="en-GB"/>
                </w:rPr>
                <w:t>Guidelines for Rehabilitation Authorities 2012</w:t>
              </w:r>
            </w:hyperlink>
          </w:p>
          <w:p w14:paraId="1A5B3370"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Chapter 4 — Case Manager’s Role:</w:t>
            </w:r>
          </w:p>
          <w:p w14:paraId="37D10377"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16.1 — A case manager shall ensure that they hold a current delegation from the relevant rehabilitation authority to perform the functions and exercise the powers of the rehabilitation authority under s36 and s37 of the Act — Para 13.a.i.</w:t>
            </w:r>
          </w:p>
        </w:tc>
        <w:tc>
          <w:tcPr>
            <w:tcW w:w="6836" w:type="dxa"/>
            <w:shd w:val="clear" w:color="auto" w:fill="FFC9C9"/>
            <w:tcMar>
              <w:top w:w="80" w:type="dxa"/>
              <w:left w:w="80" w:type="dxa"/>
              <w:bottom w:w="80" w:type="dxa"/>
              <w:right w:w="80" w:type="dxa"/>
            </w:tcMar>
          </w:tcPr>
          <w:p w14:paraId="687EB369" w14:textId="77777777" w:rsidR="00C5178A" w:rsidRPr="00C5178A" w:rsidRDefault="00C5178A" w:rsidP="00292A53">
            <w:pPr>
              <w:spacing w:after="60"/>
              <w:rPr>
                <w:rFonts w:cs="Arial"/>
                <w:i/>
                <w:color w:val="000000"/>
                <w:sz w:val="14"/>
                <w:szCs w:val="16"/>
                <w:lang w:val="en-GB"/>
              </w:rPr>
            </w:pPr>
            <w:r w:rsidRPr="00C5178A">
              <w:rPr>
                <w:rFonts w:cs="Arial"/>
                <w:i/>
                <w:color w:val="000000"/>
                <w:sz w:val="14"/>
                <w:szCs w:val="16"/>
                <w:lang w:val="en-GB"/>
              </w:rPr>
              <w:t>Guidelines for Rehabilitation Authorities 2012</w:t>
            </w:r>
          </w:p>
          <w:p w14:paraId="5FB5B269" w14:textId="38317DC8"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Chapter 3 </w:t>
            </w:r>
            <w:r w:rsidR="003563DE">
              <w:rPr>
                <w:rFonts w:cs="Arial"/>
                <w:color w:val="000000"/>
                <w:sz w:val="14"/>
                <w:szCs w:val="16"/>
                <w:lang w:val="en-GB"/>
              </w:rPr>
              <w:t>—</w:t>
            </w:r>
            <w:r w:rsidR="003563DE" w:rsidRPr="00C5178A">
              <w:rPr>
                <w:rFonts w:cs="Arial"/>
                <w:color w:val="000000"/>
                <w:sz w:val="14"/>
                <w:szCs w:val="16"/>
                <w:lang w:val="en-GB"/>
              </w:rPr>
              <w:t xml:space="preserve"> </w:t>
            </w:r>
            <w:r w:rsidRPr="00C5178A">
              <w:rPr>
                <w:rFonts w:cs="Arial"/>
                <w:color w:val="000000"/>
                <w:sz w:val="14"/>
                <w:szCs w:val="16"/>
                <w:lang w:val="en-GB"/>
              </w:rPr>
              <w:t>Employer to support its rehabilitation authority</w:t>
            </w:r>
          </w:p>
          <w:p w14:paraId="588A5C3B"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13. Responsibilities of the employer</w:t>
            </w:r>
          </w:p>
          <w:p w14:paraId="4F012776"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The employer of the injured employee is responsible for: (a) providing prompt and effective rehabilitation to injured employees by providing adequate and timely support to the rehabilitation authority and case managers through: (i) resourcing and training of case managers, managers and supervisors.</w:t>
            </w:r>
          </w:p>
          <w:p w14:paraId="7A53C683"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Chapter 4 — Case Manager’s Role:</w:t>
            </w:r>
          </w:p>
          <w:p w14:paraId="7AF377F6"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16.1 — A case manager shall ensure that they hold a current delegation from the relevant rehabilitation authority to perform the functions and exercise the powers of the rehabilitation authority under ss36 and 37 of the Act.</w:t>
            </w:r>
          </w:p>
          <w:p w14:paraId="694E199E" w14:textId="5DB3320E"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Also refer to Attachment A </w:t>
            </w:r>
            <w:r w:rsidR="003563DE">
              <w:rPr>
                <w:rFonts w:cs="Arial"/>
                <w:color w:val="000000"/>
                <w:sz w:val="14"/>
                <w:szCs w:val="16"/>
                <w:lang w:val="en-GB"/>
              </w:rPr>
              <w:t>—</w:t>
            </w:r>
            <w:r w:rsidR="003563DE" w:rsidRPr="00C5178A">
              <w:rPr>
                <w:rFonts w:cs="Arial"/>
                <w:color w:val="000000"/>
                <w:sz w:val="14"/>
                <w:szCs w:val="16"/>
                <w:lang w:val="en-GB"/>
              </w:rPr>
              <w:t xml:space="preserve"> </w:t>
            </w:r>
            <w:r w:rsidRPr="00C5178A">
              <w:rPr>
                <w:rFonts w:cs="Arial"/>
                <w:color w:val="000000"/>
                <w:sz w:val="14"/>
                <w:szCs w:val="16"/>
                <w:lang w:val="en-GB"/>
              </w:rPr>
              <w:t>Performance Standards and Measures for Employers which requires a rehabilitation management system including consideration of training needs.</w:t>
            </w:r>
          </w:p>
          <w:p w14:paraId="7439A8F9" w14:textId="77777777" w:rsidR="00C5178A" w:rsidRPr="00C5178A" w:rsidRDefault="00A7538C" w:rsidP="00292A53">
            <w:pPr>
              <w:spacing w:after="60"/>
              <w:rPr>
                <w:rFonts w:cs="Arial"/>
                <w:color w:val="000000"/>
                <w:sz w:val="14"/>
                <w:szCs w:val="16"/>
                <w:lang w:val="en-GB"/>
              </w:rPr>
            </w:pPr>
            <w:hyperlink r:id="rId1940" w:history="1">
              <w:r w:rsidR="00C5178A" w:rsidRPr="00C5178A">
                <w:rPr>
                  <w:rFonts w:cs="Arial"/>
                  <w:color w:val="0000FF"/>
                  <w:sz w:val="14"/>
                  <w:szCs w:val="16"/>
                  <w:u w:val="single"/>
                  <w:lang w:val="en-GB"/>
                </w:rPr>
                <w:t>Rehabilitation Case Manager Core Capabilities</w:t>
              </w:r>
            </w:hyperlink>
            <w:r w:rsidR="00C5178A" w:rsidRPr="00C5178A">
              <w:rPr>
                <w:rFonts w:cs="Arial"/>
                <w:color w:val="000000"/>
                <w:sz w:val="14"/>
                <w:szCs w:val="16"/>
                <w:lang w:val="en-GB"/>
              </w:rPr>
              <w:t xml:space="preserve"> </w:t>
            </w:r>
          </w:p>
          <w:p w14:paraId="63144BD8"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rPr>
              <w:t>Describes the core capabilities for delegated rehabilitation case managers in the Comcare scheme. The core capabilities are not a requirement but can be used to establish a scheme standard and support training needs to maintain a skilled injury management workforce.</w:t>
            </w:r>
          </w:p>
        </w:tc>
      </w:tr>
      <w:tr w:rsidR="00C5178A" w:rsidRPr="00C5178A" w14:paraId="57E05468" w14:textId="77777777" w:rsidTr="00B2173F">
        <w:tc>
          <w:tcPr>
            <w:tcW w:w="1361" w:type="dxa"/>
            <w:tcMar>
              <w:top w:w="80" w:type="dxa"/>
              <w:left w:w="80" w:type="dxa"/>
              <w:bottom w:w="80" w:type="dxa"/>
              <w:right w:w="80" w:type="dxa"/>
            </w:tcMar>
          </w:tcPr>
          <w:p w14:paraId="70513342"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C’wealth Seacare</w:t>
            </w:r>
          </w:p>
        </w:tc>
        <w:tc>
          <w:tcPr>
            <w:tcW w:w="6836" w:type="dxa"/>
            <w:tcMar>
              <w:top w:w="80" w:type="dxa"/>
              <w:left w:w="80" w:type="dxa"/>
              <w:bottom w:w="80" w:type="dxa"/>
              <w:right w:w="80" w:type="dxa"/>
            </w:tcMar>
          </w:tcPr>
          <w:p w14:paraId="76286C3A" w14:textId="4C431286"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c>
          <w:tcPr>
            <w:tcW w:w="6836" w:type="dxa"/>
            <w:tcMar>
              <w:top w:w="80" w:type="dxa"/>
              <w:left w:w="80" w:type="dxa"/>
              <w:bottom w:w="80" w:type="dxa"/>
              <w:right w:w="80" w:type="dxa"/>
            </w:tcMar>
          </w:tcPr>
          <w:p w14:paraId="07CCD3A7" w14:textId="7AFB576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r>
      <w:tr w:rsidR="00C5178A" w:rsidRPr="00C5178A" w14:paraId="57B061FB" w14:textId="77777777" w:rsidTr="00B2173F">
        <w:tc>
          <w:tcPr>
            <w:tcW w:w="1361" w:type="dxa"/>
            <w:shd w:val="clear" w:color="auto" w:fill="FFC9C9"/>
            <w:tcMar>
              <w:top w:w="80" w:type="dxa"/>
              <w:left w:w="80" w:type="dxa"/>
              <w:bottom w:w="80" w:type="dxa"/>
              <w:right w:w="80" w:type="dxa"/>
            </w:tcMar>
          </w:tcPr>
          <w:p w14:paraId="5412F019"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C’wealth DVA</w:t>
            </w:r>
          </w:p>
        </w:tc>
        <w:tc>
          <w:tcPr>
            <w:tcW w:w="6836" w:type="dxa"/>
            <w:shd w:val="clear" w:color="auto" w:fill="FFC9C9"/>
            <w:tcMar>
              <w:top w:w="80" w:type="dxa"/>
              <w:left w:w="80" w:type="dxa"/>
              <w:bottom w:w="80" w:type="dxa"/>
              <w:right w:w="80" w:type="dxa"/>
            </w:tcMar>
          </w:tcPr>
          <w:p w14:paraId="7591D282" w14:textId="45F9A17A" w:rsidR="00C5178A" w:rsidRPr="003E26EA" w:rsidRDefault="00C5178A" w:rsidP="00F839DB">
            <w:pPr>
              <w:pStyle w:val="ListParagraph"/>
              <w:numPr>
                <w:ilvl w:val="0"/>
                <w:numId w:val="307"/>
              </w:numPr>
              <w:spacing w:after="60"/>
              <w:contextualSpacing/>
              <w:rPr>
                <w:rFonts w:eastAsia="Calibri" w:cs="Arial"/>
                <w:sz w:val="14"/>
                <w:szCs w:val="14"/>
                <w:lang w:eastAsia="en-US"/>
              </w:rPr>
            </w:pPr>
            <w:r w:rsidRPr="003E26EA">
              <w:rPr>
                <w:rFonts w:eastAsia="Calibri" w:cs="Arial"/>
                <w:sz w:val="14"/>
                <w:szCs w:val="14"/>
                <w:lang w:eastAsia="en-US"/>
              </w:rPr>
              <w:t xml:space="preserve">The role of the DVA </w:t>
            </w:r>
            <w:hyperlink r:id="rId1941" w:history="1">
              <w:r w:rsidRPr="003E26EA">
                <w:rPr>
                  <w:rFonts w:eastAsia="Calibri" w:cs="Arial"/>
                  <w:color w:val="0000FF"/>
                  <w:sz w:val="14"/>
                  <w:szCs w:val="14"/>
                  <w:u w:val="single"/>
                  <w:lang w:eastAsia="en-US"/>
                </w:rPr>
                <w:t>Rehabilitation Coordinator</w:t>
              </w:r>
            </w:hyperlink>
            <w:r w:rsidRPr="003E26EA">
              <w:rPr>
                <w:rFonts w:eastAsia="Calibri" w:cs="Arial"/>
                <w:sz w:val="14"/>
                <w:szCs w:val="14"/>
                <w:lang w:eastAsia="en-US"/>
              </w:rPr>
              <w:t xml:space="preserve"> is to facilitate and monitor the program of activities for the client involved in the rehabilitation process so as to return the person to a level of functioning, consistent with medical advice in accordance with the relevant legislation, policies and procedures which apply to that individual’s circumstances. The Rehabilitation Coordinator is a link between the client, treating medical practitioners, allied health workers, service providers, training organisations and the managing agency. The Rehabilitation Coordinator is a DVA staff member.</w:t>
            </w:r>
          </w:p>
          <w:p w14:paraId="7645C6D9" w14:textId="781CB554" w:rsidR="00C5178A" w:rsidRPr="003E26EA" w:rsidRDefault="00C5178A" w:rsidP="00F839DB">
            <w:pPr>
              <w:pStyle w:val="ListParagraph"/>
              <w:numPr>
                <w:ilvl w:val="0"/>
                <w:numId w:val="307"/>
              </w:numPr>
              <w:spacing w:after="60"/>
              <w:contextualSpacing/>
              <w:rPr>
                <w:rFonts w:eastAsia="Calibri" w:cs="Arial"/>
                <w:sz w:val="14"/>
                <w:szCs w:val="14"/>
                <w:lang w:eastAsia="en-US"/>
              </w:rPr>
            </w:pPr>
            <w:r w:rsidRPr="003E26EA">
              <w:rPr>
                <w:rFonts w:eastAsia="Calibri" w:cs="Arial"/>
                <w:sz w:val="14"/>
                <w:szCs w:val="14"/>
                <w:lang w:eastAsia="en-US"/>
              </w:rPr>
              <w:t xml:space="preserve">The Australian Defence Force Rehabilitation Program (ADFRP) </w:t>
            </w:r>
            <w:r w:rsidR="009C3C74">
              <w:rPr>
                <w:rFonts w:eastAsia="Calibri" w:cs="Arial"/>
                <w:sz w:val="14"/>
                <w:szCs w:val="14"/>
                <w:lang w:eastAsia="en-US"/>
              </w:rPr>
              <w:t xml:space="preserve">and Rehabilitation for Reservist Program </w:t>
            </w:r>
            <w:r w:rsidRPr="003E26EA">
              <w:rPr>
                <w:rFonts w:eastAsia="Calibri" w:cs="Arial"/>
                <w:sz w:val="14"/>
                <w:szCs w:val="14"/>
                <w:lang w:eastAsia="en-US"/>
              </w:rPr>
              <w:t>provides rehabilitation services for Permanent Force members and Reserve Force members</w:t>
            </w:r>
            <w:r w:rsidR="009C3C74">
              <w:rPr>
                <w:rFonts w:eastAsia="Calibri" w:cs="Arial"/>
                <w:sz w:val="14"/>
                <w:szCs w:val="14"/>
                <w:lang w:eastAsia="en-US"/>
              </w:rPr>
              <w:t>, including part-time and inactive Reserve force members</w:t>
            </w:r>
            <w:r w:rsidRPr="003E26EA">
              <w:rPr>
                <w:rFonts w:eastAsia="Calibri" w:cs="Arial"/>
                <w:sz w:val="14"/>
                <w:szCs w:val="14"/>
                <w:lang w:eastAsia="en-US"/>
              </w:rPr>
              <w:t>.</w:t>
            </w:r>
          </w:p>
        </w:tc>
        <w:tc>
          <w:tcPr>
            <w:tcW w:w="6836" w:type="dxa"/>
            <w:shd w:val="clear" w:color="auto" w:fill="FFC9C9"/>
            <w:tcMar>
              <w:top w:w="80" w:type="dxa"/>
              <w:left w:w="80" w:type="dxa"/>
              <w:bottom w:w="80" w:type="dxa"/>
              <w:right w:w="80" w:type="dxa"/>
            </w:tcMar>
          </w:tcPr>
          <w:p w14:paraId="0A6812EF" w14:textId="77777777" w:rsidR="009C3C74" w:rsidRPr="00690AD5" w:rsidRDefault="009C3C74" w:rsidP="009C3C74">
            <w:pPr>
              <w:rPr>
                <w:rFonts w:cs="Arial"/>
                <w:color w:val="000000"/>
                <w:sz w:val="14"/>
                <w:szCs w:val="16"/>
                <w:lang w:val="en-GB"/>
              </w:rPr>
            </w:pPr>
            <w:r w:rsidRPr="00690AD5">
              <w:rPr>
                <w:rFonts w:cs="Arial"/>
                <w:color w:val="000000"/>
                <w:sz w:val="14"/>
                <w:szCs w:val="16"/>
                <w:lang w:val="en-GB"/>
              </w:rPr>
              <w:t>To work with DVA clients, rehabilitation provider organisations need to satisfy a number of DVA-specific requirements</w:t>
            </w:r>
            <w:r>
              <w:rPr>
                <w:rFonts w:cs="Arial"/>
                <w:color w:val="000000"/>
                <w:sz w:val="14"/>
                <w:szCs w:val="16"/>
                <w:lang w:val="en-GB"/>
              </w:rPr>
              <w:t>.  T</w:t>
            </w:r>
            <w:r w:rsidRPr="00690AD5">
              <w:rPr>
                <w:rFonts w:cs="Arial"/>
                <w:color w:val="000000"/>
                <w:sz w:val="14"/>
                <w:szCs w:val="16"/>
                <w:lang w:val="en-GB"/>
              </w:rPr>
              <w:t>his process is independent of the Comcare accreditation process. To work with DVA clients, provider organisations need to be both an approved Comcare provider and meet the specific DVA requirements.</w:t>
            </w:r>
          </w:p>
          <w:p w14:paraId="55AB0994" w14:textId="77777777" w:rsidR="009C3C74" w:rsidRPr="00690AD5" w:rsidRDefault="009C3C74" w:rsidP="009C3C74">
            <w:pPr>
              <w:rPr>
                <w:rFonts w:cs="Arial"/>
                <w:color w:val="000000"/>
                <w:sz w:val="14"/>
                <w:szCs w:val="16"/>
                <w:lang w:val="en-GB"/>
              </w:rPr>
            </w:pPr>
            <w:r w:rsidRPr="00690AD5">
              <w:rPr>
                <w:rFonts w:cs="Arial"/>
                <w:color w:val="000000"/>
                <w:sz w:val="14"/>
                <w:szCs w:val="16"/>
                <w:lang w:val="en-GB"/>
              </w:rPr>
              <w:t>These DVA requirements are distinct from Comcare’s revised approval criteria and operational standards and have been agreed to by the Military Rehabilitation and Compensation Commission (MRCC).  Industry input at a number of consultation meetings in 2015 helped shape the DVA requirements.</w:t>
            </w:r>
          </w:p>
          <w:p w14:paraId="6819F3C6" w14:textId="77777777" w:rsidR="009C3C74" w:rsidRDefault="009C3C74" w:rsidP="009C3C74">
            <w:pPr>
              <w:rPr>
                <w:rFonts w:cs="Arial"/>
                <w:color w:val="000000"/>
                <w:sz w:val="14"/>
                <w:szCs w:val="16"/>
                <w:lang w:val="en-GB"/>
              </w:rPr>
            </w:pPr>
          </w:p>
          <w:p w14:paraId="6BD09137" w14:textId="77777777" w:rsidR="009C3C74" w:rsidRPr="00690AD5" w:rsidRDefault="009C3C74" w:rsidP="009C3C74">
            <w:pPr>
              <w:rPr>
                <w:rFonts w:cs="Arial"/>
                <w:color w:val="000000"/>
                <w:sz w:val="14"/>
                <w:szCs w:val="16"/>
                <w:lang w:val="en-GB"/>
              </w:rPr>
            </w:pPr>
            <w:r w:rsidRPr="00690AD5">
              <w:rPr>
                <w:rFonts w:cs="Arial"/>
                <w:color w:val="000000"/>
                <w:sz w:val="14"/>
                <w:szCs w:val="16"/>
                <w:lang w:val="en-GB"/>
              </w:rPr>
              <w:t>Summary of Requirements</w:t>
            </w:r>
          </w:p>
          <w:p w14:paraId="3B5FEE55" w14:textId="77777777" w:rsidR="009C3C74" w:rsidRPr="00690AD5" w:rsidRDefault="009C3C74" w:rsidP="009C3C74">
            <w:pPr>
              <w:rPr>
                <w:rFonts w:cs="Arial"/>
                <w:color w:val="000000"/>
                <w:sz w:val="14"/>
                <w:szCs w:val="16"/>
                <w:lang w:val="en-GB"/>
              </w:rPr>
            </w:pPr>
            <w:r w:rsidRPr="00690AD5">
              <w:rPr>
                <w:rFonts w:cs="Arial"/>
                <w:color w:val="000000"/>
                <w:sz w:val="14"/>
                <w:szCs w:val="16"/>
                <w:lang w:val="en-GB"/>
              </w:rPr>
              <w:t>The new DVA rehabilitation provider requirements encompass five criteri</w:t>
            </w:r>
            <w:r>
              <w:rPr>
                <w:rFonts w:cs="Arial"/>
                <w:color w:val="000000"/>
                <w:sz w:val="14"/>
                <w:szCs w:val="16"/>
                <w:lang w:val="en-GB"/>
              </w:rPr>
              <w:t>ia</w:t>
            </w:r>
            <w:r w:rsidRPr="00690AD5">
              <w:rPr>
                <w:rFonts w:cs="Arial"/>
                <w:color w:val="000000"/>
                <w:sz w:val="14"/>
                <w:szCs w:val="16"/>
                <w:lang w:val="en-GB"/>
              </w:rPr>
              <w:t xml:space="preserve"> that all rehabilitation provider staff working with DVA clients will need to satisfy. These requirements are: </w:t>
            </w:r>
          </w:p>
          <w:p w14:paraId="6A46F663" w14:textId="0AA2316D"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 xml:space="preserve">Experience in working with DVA clients or other workers from a similar environment such as police or emergency services personnel; </w:t>
            </w:r>
          </w:p>
          <w:p w14:paraId="3F67270E" w14:textId="6D7F85A7"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 xml:space="preserve">Experience in assisting clients with complex medical conditions to move to a new job with a new employer, to change careers and/or move into a new industry; </w:t>
            </w:r>
          </w:p>
          <w:p w14:paraId="73521DEC" w14:textId="761BD8CA"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 xml:space="preserve">Experience in translating specific skills and qualifications to other industries; </w:t>
            </w:r>
          </w:p>
          <w:p w14:paraId="3052DEC5" w14:textId="58991339"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Completion of DVA e-learning courses demonstrating a knowledge of military culture and DVA services (see below); and</w:t>
            </w:r>
          </w:p>
          <w:p w14:paraId="763904F4" w14:textId="6120D292"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 xml:space="preserve">Minimum of two years’ hands on experience working with clients in medical management, vocational and/or psychosocial areas (see below). </w:t>
            </w:r>
          </w:p>
          <w:p w14:paraId="047FF93C" w14:textId="77777777" w:rsidR="009C3C74" w:rsidRPr="00690AD5" w:rsidRDefault="009C3C74" w:rsidP="009C3C74">
            <w:pPr>
              <w:rPr>
                <w:rFonts w:cs="Arial"/>
                <w:color w:val="000000"/>
                <w:sz w:val="14"/>
                <w:szCs w:val="16"/>
                <w:lang w:val="en-GB"/>
              </w:rPr>
            </w:pPr>
          </w:p>
          <w:p w14:paraId="3C891830" w14:textId="77777777" w:rsidR="009C3C74" w:rsidRPr="00690AD5" w:rsidRDefault="009C3C74" w:rsidP="009C3C74">
            <w:pPr>
              <w:rPr>
                <w:rFonts w:cs="Arial"/>
                <w:color w:val="000000"/>
                <w:sz w:val="14"/>
                <w:szCs w:val="16"/>
                <w:lang w:val="en-GB"/>
              </w:rPr>
            </w:pPr>
            <w:r w:rsidRPr="00690AD5">
              <w:rPr>
                <w:rFonts w:cs="Arial"/>
                <w:color w:val="000000"/>
                <w:sz w:val="14"/>
                <w:szCs w:val="16"/>
                <w:lang w:val="en-GB"/>
              </w:rPr>
              <w:lastRenderedPageBreak/>
              <w:t xml:space="preserve">DVA e-Learning courses </w:t>
            </w:r>
          </w:p>
          <w:p w14:paraId="7271B569" w14:textId="77777777" w:rsidR="009C3C74" w:rsidRPr="00690AD5" w:rsidRDefault="009C3C74" w:rsidP="009C3C74">
            <w:pPr>
              <w:rPr>
                <w:rFonts w:cs="Arial"/>
                <w:color w:val="000000"/>
                <w:sz w:val="14"/>
                <w:szCs w:val="16"/>
                <w:lang w:val="en-GB"/>
              </w:rPr>
            </w:pPr>
            <w:r w:rsidRPr="00690AD5">
              <w:rPr>
                <w:rFonts w:cs="Arial"/>
                <w:color w:val="000000"/>
                <w:sz w:val="14"/>
                <w:szCs w:val="16"/>
                <w:lang w:val="en-GB"/>
              </w:rPr>
              <w:t xml:space="preserve">Providers will need to ensure that their staff have completed the required DVA e-learning courses which are: </w:t>
            </w:r>
          </w:p>
          <w:p w14:paraId="0F498465" w14:textId="709EDE27" w:rsidR="009C3C74" w:rsidRPr="009C3C74" w:rsidRDefault="009C3C74" w:rsidP="00F839DB">
            <w:pPr>
              <w:pStyle w:val="ListParagraph"/>
              <w:numPr>
                <w:ilvl w:val="0"/>
                <w:numId w:val="571"/>
              </w:numPr>
              <w:ind w:left="357" w:hanging="357"/>
              <w:rPr>
                <w:rFonts w:cs="Arial"/>
                <w:color w:val="000000"/>
                <w:sz w:val="14"/>
                <w:szCs w:val="16"/>
                <w:lang w:val="en-GB"/>
              </w:rPr>
            </w:pPr>
            <w:r w:rsidRPr="009C3C74">
              <w:rPr>
                <w:rFonts w:cs="Arial"/>
                <w:color w:val="000000"/>
                <w:sz w:val="14"/>
                <w:szCs w:val="16"/>
                <w:lang w:val="en-GB"/>
              </w:rPr>
              <w:t xml:space="preserve">Non-Liability Health Care – Online Training </w:t>
            </w:r>
          </w:p>
          <w:p w14:paraId="1268C4ED" w14:textId="14278563" w:rsidR="009C3C74" w:rsidRPr="009C3C74" w:rsidRDefault="009C3C74" w:rsidP="00F839DB">
            <w:pPr>
              <w:pStyle w:val="ListParagraph"/>
              <w:numPr>
                <w:ilvl w:val="0"/>
                <w:numId w:val="571"/>
              </w:numPr>
              <w:ind w:left="357" w:hanging="357"/>
              <w:rPr>
                <w:rFonts w:cs="Arial"/>
                <w:color w:val="000000"/>
                <w:sz w:val="14"/>
                <w:szCs w:val="16"/>
                <w:lang w:val="en-GB"/>
              </w:rPr>
            </w:pPr>
            <w:r w:rsidRPr="009C3C74">
              <w:rPr>
                <w:rFonts w:cs="Arial"/>
                <w:color w:val="000000"/>
                <w:sz w:val="14"/>
                <w:szCs w:val="16"/>
                <w:lang w:val="en-GB"/>
              </w:rPr>
              <w:t>Rehabilitation Online</w:t>
            </w:r>
          </w:p>
          <w:p w14:paraId="58576E58" w14:textId="4742407D" w:rsidR="009C3C74" w:rsidRPr="009C3C74" w:rsidRDefault="009C3C74" w:rsidP="00F839DB">
            <w:pPr>
              <w:pStyle w:val="ListParagraph"/>
              <w:numPr>
                <w:ilvl w:val="0"/>
                <w:numId w:val="571"/>
              </w:numPr>
              <w:ind w:left="357" w:hanging="357"/>
              <w:rPr>
                <w:rFonts w:cs="Arial"/>
                <w:color w:val="000000"/>
                <w:sz w:val="14"/>
                <w:szCs w:val="16"/>
                <w:lang w:val="en-GB"/>
              </w:rPr>
            </w:pPr>
            <w:r w:rsidRPr="009C3C74">
              <w:rPr>
                <w:rFonts w:cs="Arial"/>
                <w:color w:val="000000"/>
                <w:sz w:val="14"/>
                <w:szCs w:val="16"/>
                <w:lang w:val="en-GB"/>
              </w:rPr>
              <w:t>Understanding the Military Experience</w:t>
            </w:r>
          </w:p>
          <w:p w14:paraId="2D31134A" w14:textId="4108F466" w:rsidR="009C3C74" w:rsidRPr="009C3C74" w:rsidRDefault="009C3C74" w:rsidP="00F839DB">
            <w:pPr>
              <w:pStyle w:val="ListParagraph"/>
              <w:numPr>
                <w:ilvl w:val="0"/>
                <w:numId w:val="571"/>
              </w:numPr>
              <w:ind w:left="357" w:hanging="357"/>
              <w:rPr>
                <w:rFonts w:cs="Arial"/>
                <w:color w:val="000000"/>
                <w:sz w:val="14"/>
                <w:szCs w:val="16"/>
                <w:lang w:val="en-GB"/>
              </w:rPr>
            </w:pPr>
            <w:r w:rsidRPr="009C3C74">
              <w:rPr>
                <w:rFonts w:cs="Arial"/>
                <w:color w:val="000000"/>
                <w:sz w:val="14"/>
                <w:szCs w:val="16"/>
                <w:lang w:val="en-GB"/>
              </w:rPr>
              <w:t xml:space="preserve">DVA Rehabilitation Program (for consultants who register with DVA from mid-April 2017). </w:t>
            </w:r>
          </w:p>
          <w:p w14:paraId="4EBDD83F" w14:textId="77777777" w:rsidR="009C3C74" w:rsidRPr="00690AD5" w:rsidRDefault="009C3C74" w:rsidP="009C3C74">
            <w:pPr>
              <w:rPr>
                <w:rFonts w:cs="Arial"/>
                <w:color w:val="000000"/>
                <w:sz w:val="14"/>
                <w:szCs w:val="16"/>
                <w:lang w:val="en-GB"/>
              </w:rPr>
            </w:pPr>
          </w:p>
          <w:p w14:paraId="6DEA7C53" w14:textId="72BF5C37" w:rsidR="00C5178A" w:rsidRPr="00C5178A" w:rsidRDefault="009C3C74" w:rsidP="00AC2BC5">
            <w:pPr>
              <w:rPr>
                <w:rFonts w:cs="Arial"/>
                <w:color w:val="000000"/>
                <w:sz w:val="14"/>
                <w:szCs w:val="16"/>
                <w:lang w:val="en-GB"/>
              </w:rPr>
            </w:pPr>
            <w:r w:rsidRPr="00690AD5">
              <w:rPr>
                <w:rFonts w:cs="Arial"/>
                <w:color w:val="000000"/>
                <w:sz w:val="14"/>
                <w:szCs w:val="16"/>
                <w:lang w:val="en-GB"/>
              </w:rPr>
              <w:t>Completion of these specific e-learning courses is a mandatory requirement and cannot be waived.  These e-learning courses and information about how to access the modules are available on DVATrain on the DVA Website. As other appropriate courses become available DVA will inform providers of details and timeframes for completion.</w:t>
            </w:r>
          </w:p>
        </w:tc>
      </w:tr>
      <w:tr w:rsidR="00C5178A" w:rsidRPr="00C5178A" w14:paraId="6076A04E" w14:textId="77777777" w:rsidTr="00B2173F">
        <w:tc>
          <w:tcPr>
            <w:tcW w:w="1361" w:type="dxa"/>
            <w:tcMar>
              <w:top w:w="80" w:type="dxa"/>
              <w:left w:w="80" w:type="dxa"/>
              <w:bottom w:w="80" w:type="dxa"/>
              <w:right w:w="80" w:type="dxa"/>
            </w:tcMar>
          </w:tcPr>
          <w:p w14:paraId="24ABAE54"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lastRenderedPageBreak/>
              <w:t>New Zealand</w:t>
            </w:r>
          </w:p>
        </w:tc>
        <w:tc>
          <w:tcPr>
            <w:tcW w:w="6836" w:type="dxa"/>
            <w:tcMar>
              <w:top w:w="80" w:type="dxa"/>
              <w:left w:w="80" w:type="dxa"/>
              <w:bottom w:w="80" w:type="dxa"/>
              <w:right w:w="80" w:type="dxa"/>
            </w:tcMar>
          </w:tcPr>
          <w:p w14:paraId="694BA5AE" w14:textId="3E94191B"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c>
          <w:tcPr>
            <w:tcW w:w="6836" w:type="dxa"/>
            <w:tcMar>
              <w:top w:w="80" w:type="dxa"/>
              <w:left w:w="80" w:type="dxa"/>
              <w:bottom w:w="80" w:type="dxa"/>
              <w:right w:w="80" w:type="dxa"/>
            </w:tcMar>
          </w:tcPr>
          <w:p w14:paraId="161FE3E6" w14:textId="5293E85D"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r>
      <w:bookmarkEnd w:id="175"/>
    </w:tbl>
    <w:p w14:paraId="41F0C18E" w14:textId="77777777" w:rsidR="00C66972" w:rsidRPr="00C66972" w:rsidRDefault="00C66972" w:rsidP="00C66972">
      <w:pPr>
        <w:spacing w:after="200" w:line="276" w:lineRule="auto"/>
        <w:rPr>
          <w:rFonts w:eastAsiaTheme="minorHAnsi"/>
        </w:rPr>
      </w:pPr>
    </w:p>
    <w:p w14:paraId="4C3E29AB"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454" w:gutter="0"/>
          <w:cols w:space="708"/>
          <w:docGrid w:linePitch="360"/>
        </w:sectPr>
      </w:pPr>
    </w:p>
    <w:p w14:paraId="07D17119" w14:textId="30538FC7" w:rsidR="00C66972" w:rsidRPr="002067A4" w:rsidRDefault="00C66972" w:rsidP="00A80282">
      <w:pPr>
        <w:pStyle w:val="Title"/>
      </w:pPr>
      <w:bookmarkStart w:id="177" w:name="_Toc483227187"/>
      <w:bookmarkStart w:id="178" w:name="_Toc504654697"/>
      <w:bookmarkStart w:id="179" w:name="provider"/>
      <w:r w:rsidRPr="002067A4">
        <w:lastRenderedPageBreak/>
        <w:t>Workplace rehabilitation providers</w:t>
      </w:r>
      <w:bookmarkEnd w:id="177"/>
      <w:bookmarkEnd w:id="178"/>
      <w:r w:rsidR="00232E14" w:rsidRPr="002067A4">
        <w:fldChar w:fldCharType="begin"/>
      </w:r>
      <w:r w:rsidR="00232E14" w:rsidRPr="002067A4">
        <w:instrText xml:space="preserve"> XE "return to work:workplace rehabilitation providers" \r "provider" </w:instrText>
      </w:r>
      <w:r w:rsidR="00232E14" w:rsidRPr="002067A4">
        <w:fldChar w:fldCharType="end"/>
      </w:r>
      <w:r w:rsidR="00870A7B" w:rsidRPr="002067A4">
        <w:fldChar w:fldCharType="begin"/>
      </w:r>
      <w:r w:rsidR="00870A7B" w:rsidRPr="002067A4">
        <w:instrText xml:space="preserve"> XE "workplace rehabilitation providers" \r "provider" </w:instrText>
      </w:r>
      <w:r w:rsidR="00870A7B" w:rsidRPr="002067A4">
        <w:fldChar w:fldCharType="end"/>
      </w:r>
    </w:p>
    <w:p w14:paraId="4FB98E0F" w14:textId="77777777" w:rsidR="006A50D4" w:rsidRDefault="00C66972" w:rsidP="002067A4">
      <w:pPr>
        <w:spacing w:before="240"/>
        <w:rPr>
          <w:rFonts w:eastAsiaTheme="minorHAnsi"/>
        </w:rPr>
      </w:pPr>
      <w:r w:rsidRPr="00C66972">
        <w:rPr>
          <w:rFonts w:eastAsiaTheme="minorHAnsi"/>
        </w:rPr>
        <w:t>Workplace rehabilitation is a managed process involving timely intervention with appropriate and adequate services based on assessed need. It is also aimed at maintaining injured or ill employees in</w:t>
      </w:r>
      <w:r w:rsidR="002F1F9A">
        <w:rPr>
          <w:rFonts w:eastAsiaTheme="minorHAnsi"/>
        </w:rPr>
        <w:t>,</w:t>
      </w:r>
      <w:r w:rsidRPr="00C66972">
        <w:rPr>
          <w:rFonts w:eastAsiaTheme="minorHAnsi"/>
        </w:rPr>
        <w:t xml:space="preserve"> or returning them to suitable employment.</w:t>
      </w:r>
    </w:p>
    <w:p w14:paraId="33DF31EE" w14:textId="77777777" w:rsidR="006A50D4" w:rsidRPr="00A80282" w:rsidRDefault="00C66972" w:rsidP="00A80282">
      <w:pPr>
        <w:pStyle w:val="Heading4"/>
      </w:pPr>
      <w:bookmarkStart w:id="180" w:name="_Toc483227188"/>
      <w:r w:rsidRPr="00A80282">
        <w:t>Responsibilities</w:t>
      </w:r>
      <w:bookmarkEnd w:id="180"/>
    </w:p>
    <w:p w14:paraId="3D4544F8" w14:textId="77777777" w:rsidR="006A50D4" w:rsidRDefault="00C66972" w:rsidP="00A75BCC">
      <w:pPr>
        <w:rPr>
          <w:rFonts w:eastAsiaTheme="minorHAnsi"/>
        </w:rPr>
      </w:pPr>
      <w:r w:rsidRPr="00C66972">
        <w:rPr>
          <w:rFonts w:eastAsiaTheme="minorHAnsi"/>
        </w:rPr>
        <w:t>Workplace rehabilitation providers are engaged to provide specialised expertise in addition to what is generally available within the employer’s and insurer’s operations.</w:t>
      </w:r>
      <w:r w:rsidR="00A75BCC">
        <w:rPr>
          <w:rFonts w:eastAsiaTheme="minorHAnsi"/>
        </w:rPr>
        <w:t xml:space="preserve"> </w:t>
      </w:r>
      <w:r w:rsidRPr="00C66972">
        <w:rPr>
          <w:rFonts w:eastAsiaTheme="minorHAnsi"/>
        </w:rPr>
        <w:t>Depending on the jurisdiction</w:t>
      </w:r>
      <w:r w:rsidR="002F1F9A">
        <w:rPr>
          <w:rFonts w:eastAsiaTheme="minorHAnsi"/>
        </w:rPr>
        <w:t>,</w:t>
      </w:r>
      <w:r w:rsidRPr="00C66972">
        <w:rPr>
          <w:rFonts w:eastAsiaTheme="minorHAnsi"/>
        </w:rPr>
        <w:t xml:space="preserve"> workplace rehabilitation providers can undertake a range of services from functional and workplace assessments and advice concerning job modification</w:t>
      </w:r>
      <w:r w:rsidR="002F1F9A">
        <w:rPr>
          <w:rFonts w:eastAsiaTheme="minorHAnsi"/>
        </w:rPr>
        <w:t>,</w:t>
      </w:r>
      <w:r w:rsidRPr="00C66972">
        <w:rPr>
          <w:rFonts w:eastAsiaTheme="minorHAnsi"/>
        </w:rPr>
        <w:t xml:space="preserve"> to vocational retraining and assistance with job seeking. Table 5.7a provides information on the responsibilities of workplace rehabilitation providers in each jurisdiction.</w:t>
      </w:r>
    </w:p>
    <w:p w14:paraId="60985DB2" w14:textId="77777777" w:rsidR="006A50D4" w:rsidRPr="00A80282" w:rsidRDefault="00C66972" w:rsidP="00A80282">
      <w:pPr>
        <w:pStyle w:val="Heading4"/>
      </w:pPr>
      <w:bookmarkStart w:id="181" w:name="_Toc483227189"/>
      <w:r w:rsidRPr="00A80282">
        <w:t xml:space="preserve">Nationally </w:t>
      </w:r>
      <w:r w:rsidR="0002179E" w:rsidRPr="00A80282">
        <w:t>c</w:t>
      </w:r>
      <w:r w:rsidRPr="00A80282">
        <w:t xml:space="preserve">onsistent </w:t>
      </w:r>
      <w:r w:rsidR="0002179E" w:rsidRPr="00A80282">
        <w:t>a</w:t>
      </w:r>
      <w:r w:rsidRPr="00A80282">
        <w:t xml:space="preserve">pproval </w:t>
      </w:r>
      <w:r w:rsidR="0002179E" w:rsidRPr="00A80282">
        <w:t>f</w:t>
      </w:r>
      <w:r w:rsidRPr="00A80282">
        <w:t xml:space="preserve">ramework for </w:t>
      </w:r>
      <w:r w:rsidR="0002179E" w:rsidRPr="00A80282">
        <w:t>w</w:t>
      </w:r>
      <w:r w:rsidRPr="00A80282">
        <w:t xml:space="preserve">orkplace </w:t>
      </w:r>
      <w:r w:rsidR="0002179E" w:rsidRPr="00A80282">
        <w:t>r</w:t>
      </w:r>
      <w:r w:rsidRPr="00A80282">
        <w:t xml:space="preserve">ehabilitation </w:t>
      </w:r>
      <w:r w:rsidR="0002179E" w:rsidRPr="00A80282">
        <w:t>p</w:t>
      </w:r>
      <w:r w:rsidRPr="00A80282">
        <w:t>roviders</w:t>
      </w:r>
      <w:bookmarkEnd w:id="181"/>
      <w:r w:rsidRPr="00A80282">
        <w:t xml:space="preserve"> </w:t>
      </w:r>
    </w:p>
    <w:p w14:paraId="11E588C8" w14:textId="655905CF" w:rsidR="006A50D4" w:rsidRDefault="00C66972" w:rsidP="00A75BCC">
      <w:pPr>
        <w:rPr>
          <w:rFonts w:eastAsiaTheme="minorHAnsi"/>
        </w:rPr>
      </w:pPr>
      <w:r w:rsidRPr="00C66972">
        <w:rPr>
          <w:rFonts w:eastAsiaTheme="minorHAnsi"/>
        </w:rPr>
        <w:t>During 2006 and 2007 the Heads of Workers’ Compensation Authorities (HWCA) developed a Nationally Consistent Approval Framework for Workplace Rehabilitation Providers. Most jurisdictions have implemented the National Framework. Queensland does not accredit workplace rehabilitation providers</w:t>
      </w:r>
      <w:r w:rsidR="00257215">
        <w:rPr>
          <w:rFonts w:eastAsiaTheme="minorHAnsi"/>
        </w:rPr>
        <w:t>.</w:t>
      </w:r>
      <w:r w:rsidRPr="00C66972">
        <w:rPr>
          <w:rFonts w:eastAsiaTheme="minorHAnsi"/>
        </w:rPr>
        <w:t xml:space="preserve"> While the D</w:t>
      </w:r>
      <w:r w:rsidR="00E86052">
        <w:rPr>
          <w:rFonts w:eastAsiaTheme="minorHAnsi"/>
        </w:rPr>
        <w:t xml:space="preserve">epartment of </w:t>
      </w:r>
      <w:r w:rsidRPr="00C66972">
        <w:rPr>
          <w:rFonts w:eastAsiaTheme="minorHAnsi"/>
        </w:rPr>
        <w:t>V</w:t>
      </w:r>
      <w:r w:rsidR="00E86052">
        <w:rPr>
          <w:rFonts w:eastAsiaTheme="minorHAnsi"/>
        </w:rPr>
        <w:t xml:space="preserve">eterans’ </w:t>
      </w:r>
      <w:r w:rsidRPr="00C66972">
        <w:rPr>
          <w:rFonts w:eastAsiaTheme="minorHAnsi"/>
        </w:rPr>
        <w:t>A</w:t>
      </w:r>
      <w:r w:rsidR="00E86052">
        <w:rPr>
          <w:rFonts w:eastAsiaTheme="minorHAnsi"/>
        </w:rPr>
        <w:t>ffairs</w:t>
      </w:r>
      <w:r w:rsidRPr="00C66972">
        <w:rPr>
          <w:rFonts w:eastAsiaTheme="minorHAnsi"/>
        </w:rPr>
        <w:t xml:space="preserve"> accepts and supports the framework’s principles, it </w:t>
      </w:r>
      <w:r w:rsidR="003865DD">
        <w:rPr>
          <w:rFonts w:eastAsiaTheme="minorHAnsi"/>
        </w:rPr>
        <w:t xml:space="preserve">promotes </w:t>
      </w:r>
      <w:r w:rsidRPr="00C66972">
        <w:rPr>
          <w:rFonts w:eastAsiaTheme="minorHAnsi"/>
        </w:rPr>
        <w:t xml:space="preserve">biopsychosocial needs to ensure a holistic approach to workplace rehabilitation. </w:t>
      </w:r>
    </w:p>
    <w:p w14:paraId="4C8BAD90" w14:textId="77777777" w:rsidR="006A50D4" w:rsidRPr="00A80282" w:rsidRDefault="00C66972" w:rsidP="00A80282">
      <w:pPr>
        <w:pStyle w:val="Heading4"/>
      </w:pPr>
      <w:bookmarkStart w:id="182" w:name="_Toc483227190"/>
      <w:r w:rsidRPr="00A80282">
        <w:t xml:space="preserve">Qualifications and </w:t>
      </w:r>
      <w:r w:rsidR="0002179E" w:rsidRPr="00A80282">
        <w:t>f</w:t>
      </w:r>
      <w:r w:rsidRPr="00A80282">
        <w:t xml:space="preserve">ees </w:t>
      </w:r>
      <w:r w:rsidR="0002179E" w:rsidRPr="00A80282">
        <w:t>s</w:t>
      </w:r>
      <w:r w:rsidRPr="00A80282">
        <w:t>tructure</w:t>
      </w:r>
      <w:bookmarkEnd w:id="182"/>
    </w:p>
    <w:p w14:paraId="5E71D328" w14:textId="77777777" w:rsidR="006A50D4" w:rsidRDefault="00C66972" w:rsidP="00A75BCC">
      <w:pPr>
        <w:rPr>
          <w:rFonts w:eastAsiaTheme="minorHAnsi"/>
        </w:rPr>
      </w:pPr>
      <w:r w:rsidRPr="00C66972">
        <w:rPr>
          <w:rFonts w:eastAsiaTheme="minorHAnsi"/>
        </w:rPr>
        <w:t>The National Framework outlines the minimum qualifications for rehabilitation providers. Some jurisdictions have additional requirements. These are outlined in Table 5.7b as is information on the fees structure in each jurisdiction.</w:t>
      </w:r>
    </w:p>
    <w:p w14:paraId="5D9029FF" w14:textId="77777777" w:rsidR="006A50D4" w:rsidRPr="00A80282" w:rsidRDefault="00C66972" w:rsidP="00A80282">
      <w:pPr>
        <w:pStyle w:val="Heading4"/>
      </w:pPr>
      <w:bookmarkStart w:id="183" w:name="_Toc483227191"/>
      <w:r w:rsidRPr="00A80282">
        <w:t>Prescribed time period to establish a return to work plan</w:t>
      </w:r>
      <w:bookmarkEnd w:id="183"/>
    </w:p>
    <w:p w14:paraId="0F07DDE6" w14:textId="77777777" w:rsidR="006A50D4" w:rsidRDefault="00C66972" w:rsidP="00A75BCC">
      <w:pPr>
        <w:rPr>
          <w:rFonts w:eastAsiaTheme="minorHAnsi"/>
        </w:rPr>
      </w:pPr>
      <w:r w:rsidRPr="00C66972">
        <w:rPr>
          <w:rFonts w:eastAsiaTheme="minorHAnsi"/>
        </w:rPr>
        <w:t>Table 5.8 shows the 3-point contact and the return to work plan development as specified by legislation in various jurisdictions.</w:t>
      </w:r>
    </w:p>
    <w:p w14:paraId="2C12CC22" w14:textId="7EA80655"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682DEFB1" w14:textId="77777777" w:rsidR="003E26EA" w:rsidRPr="00A80282" w:rsidRDefault="003E26EA" w:rsidP="00A80282">
      <w:pPr>
        <w:pStyle w:val="SWATableheader"/>
      </w:pPr>
      <w:bookmarkStart w:id="184" w:name="_Toc504654698"/>
      <w:r w:rsidRPr="00A80282">
        <w:lastRenderedPageBreak/>
        <w:t>Table 5.7a: Responsibilities of workplace rehabilitation provider</w:t>
      </w:r>
      <w:bookmarkEnd w:id="184"/>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7a: Responsibilities of workplace rehabilitation provider  "/>
        <w:tblDescription w:val="This table outlines the responsibilities of workplace rehabilitation providers under each of the workers' compensation schemes. "/>
      </w:tblPr>
      <w:tblGrid>
        <w:gridCol w:w="1059"/>
        <w:gridCol w:w="13956"/>
      </w:tblGrid>
      <w:tr w:rsidR="003E26EA" w:rsidRPr="003E26EA" w14:paraId="1A394809" w14:textId="77777777" w:rsidTr="00C3751B">
        <w:trPr>
          <w:tblHeader/>
        </w:trPr>
        <w:tc>
          <w:tcPr>
            <w:tcW w:w="1059" w:type="dxa"/>
            <w:shd w:val="clear" w:color="auto" w:fill="C00000"/>
            <w:tcMar>
              <w:top w:w="0" w:type="dxa"/>
              <w:left w:w="0" w:type="dxa"/>
              <w:bottom w:w="0" w:type="dxa"/>
              <w:right w:w="0" w:type="dxa"/>
            </w:tcMar>
            <w:vAlign w:val="center"/>
          </w:tcPr>
          <w:p w14:paraId="4551541C" w14:textId="77777777" w:rsidR="003E26EA" w:rsidRPr="003E26EA" w:rsidRDefault="003E26EA" w:rsidP="00292A53">
            <w:pPr>
              <w:pStyle w:val="Tableheaderrow"/>
              <w:spacing w:after="60"/>
            </w:pPr>
          </w:p>
        </w:tc>
        <w:tc>
          <w:tcPr>
            <w:tcW w:w="13956" w:type="dxa"/>
            <w:shd w:val="clear" w:color="auto" w:fill="C00000"/>
            <w:tcMar>
              <w:top w:w="0" w:type="dxa"/>
              <w:left w:w="0" w:type="dxa"/>
              <w:bottom w:w="0" w:type="dxa"/>
              <w:right w:w="0" w:type="dxa"/>
            </w:tcMar>
            <w:vAlign w:val="center"/>
          </w:tcPr>
          <w:p w14:paraId="5C1484D8" w14:textId="77777777" w:rsidR="003E26EA" w:rsidRPr="003E26EA" w:rsidRDefault="003E26EA" w:rsidP="00292A53">
            <w:pPr>
              <w:pStyle w:val="Tableheaderrow"/>
              <w:spacing w:after="60"/>
            </w:pPr>
            <w:r w:rsidRPr="003E26EA">
              <w:t>Responsibilities of rehabilitation provider</w:t>
            </w:r>
          </w:p>
        </w:tc>
      </w:tr>
      <w:tr w:rsidR="003E26EA" w:rsidRPr="003E26EA" w14:paraId="496A8FB5" w14:textId="77777777" w:rsidTr="00C3751B">
        <w:tc>
          <w:tcPr>
            <w:tcW w:w="1059" w:type="dxa"/>
            <w:shd w:val="clear" w:color="auto" w:fill="FFC9C9"/>
            <w:tcMar>
              <w:top w:w="80" w:type="dxa"/>
              <w:left w:w="80" w:type="dxa"/>
              <w:bottom w:w="80" w:type="dxa"/>
              <w:right w:w="80" w:type="dxa"/>
            </w:tcMar>
          </w:tcPr>
          <w:p w14:paraId="228D3486"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New South Wales</w:t>
            </w:r>
          </w:p>
        </w:tc>
        <w:tc>
          <w:tcPr>
            <w:tcW w:w="13956" w:type="dxa"/>
            <w:shd w:val="clear" w:color="auto" w:fill="FFC9C9"/>
            <w:tcMar>
              <w:top w:w="80" w:type="dxa"/>
              <w:left w:w="80" w:type="dxa"/>
              <w:bottom w:w="80" w:type="dxa"/>
              <w:right w:w="80" w:type="dxa"/>
            </w:tcMar>
          </w:tcPr>
          <w:p w14:paraId="1E24B573"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Providers in the field of workplace rehabilitation have the qualifications, experience and expertise appropriate to provide services in accordance with the following definition based on National Occupational Health and Safety Commission (1995) definition: Workplace rehabilitation is a managed process involving timely intervention with appropriate and adequate services based on assessed need, and which is aimed at maintaining injured or ill employees in, or returning them to, suitable employment.</w:t>
            </w:r>
          </w:p>
          <w:p w14:paraId="0151BC2C"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Providers are engaged to provide specialised expertise in addition to that generally available within the employer and insurer operations. Providers are engaged for those injured workers where return to work is not straight forward. Service provision is largely delivered at the workplace by:</w:t>
            </w:r>
          </w:p>
          <w:p w14:paraId="37AC8AB9" w14:textId="72E28FBD"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facilitating a</w:t>
            </w:r>
            <w:r w:rsidR="003865DD">
              <w:rPr>
                <w:rFonts w:eastAsia="Calibri" w:cs="Arial"/>
                <w:sz w:val="14"/>
                <w:szCs w:val="14"/>
                <w:lang w:eastAsia="en-US"/>
              </w:rPr>
              <w:t xml:space="preserve"> timely</w:t>
            </w:r>
            <w:r w:rsidRPr="003E26EA">
              <w:rPr>
                <w:rFonts w:eastAsia="Calibri" w:cs="Arial"/>
                <w:sz w:val="14"/>
                <w:szCs w:val="14"/>
                <w:lang w:eastAsia="en-US"/>
              </w:rPr>
              <w:t xml:space="preserve"> return to work of the worker </w:t>
            </w:r>
          </w:p>
          <w:p w14:paraId="7152B186" w14:textId="20BEF9AD"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 xml:space="preserve">identifying and designing suitable </w:t>
            </w:r>
            <w:r w:rsidR="003865DD">
              <w:rPr>
                <w:rFonts w:eastAsia="Calibri" w:cs="Arial"/>
                <w:sz w:val="14"/>
                <w:szCs w:val="14"/>
                <w:lang w:eastAsia="en-US"/>
              </w:rPr>
              <w:t xml:space="preserve">work </w:t>
            </w:r>
            <w:r w:rsidRPr="003E26EA">
              <w:rPr>
                <w:rFonts w:eastAsia="Calibri" w:cs="Arial"/>
                <w:sz w:val="14"/>
                <w:szCs w:val="14"/>
                <w:lang w:eastAsia="en-US"/>
              </w:rPr>
              <w:t>for the injured worker to assist employers to meet their obligations in providing suitable employment to injured workers</w:t>
            </w:r>
          </w:p>
          <w:p w14:paraId="0C715094" w14:textId="77777777"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identifying and coordinating rehabilitation strategies that ensure workers are able to safely perform their duties</w:t>
            </w:r>
          </w:p>
          <w:p w14:paraId="722CEAA5" w14:textId="77777777"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 xml:space="preserve">forging the link between the insurer, employer and treatment providers to ensure a focus on return to work, and </w:t>
            </w:r>
          </w:p>
          <w:p w14:paraId="4032B494" w14:textId="77777777"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arranging appropriate retraining and placement in alternative employment when the worker is unable to return to pre-injury duties</w:t>
            </w:r>
          </w:p>
          <w:p w14:paraId="74465652" w14:textId="280108AC"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initiation of vocational programs to support any of these approaches</w:t>
            </w:r>
            <w:r w:rsidR="003D2FCB">
              <w:rPr>
                <w:rFonts w:eastAsia="Calibri" w:cs="Arial"/>
                <w:sz w:val="14"/>
                <w:szCs w:val="14"/>
                <w:lang w:eastAsia="en-US"/>
              </w:rPr>
              <w:t>.</w:t>
            </w:r>
          </w:p>
        </w:tc>
      </w:tr>
      <w:tr w:rsidR="003E26EA" w:rsidRPr="003E26EA" w14:paraId="791AEFA9" w14:textId="77777777" w:rsidTr="00C3751B">
        <w:tc>
          <w:tcPr>
            <w:tcW w:w="1059" w:type="dxa"/>
            <w:tcMar>
              <w:top w:w="80" w:type="dxa"/>
              <w:left w:w="80" w:type="dxa"/>
              <w:bottom w:w="80" w:type="dxa"/>
              <w:right w:w="80" w:type="dxa"/>
            </w:tcMar>
          </w:tcPr>
          <w:p w14:paraId="1817FFC7"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Victoria</w:t>
            </w:r>
          </w:p>
        </w:tc>
        <w:tc>
          <w:tcPr>
            <w:tcW w:w="13956" w:type="dxa"/>
            <w:tcMar>
              <w:top w:w="80" w:type="dxa"/>
              <w:left w:w="80" w:type="dxa"/>
              <w:bottom w:w="80" w:type="dxa"/>
              <w:right w:w="80" w:type="dxa"/>
            </w:tcMar>
          </w:tcPr>
          <w:p w14:paraId="6BBC33C8" w14:textId="52E8BC23" w:rsidR="003E26EA" w:rsidRPr="003E26EA" w:rsidRDefault="003C63A5" w:rsidP="00F839DB">
            <w:pPr>
              <w:pStyle w:val="ListParagraph"/>
              <w:numPr>
                <w:ilvl w:val="0"/>
                <w:numId w:val="309"/>
              </w:numPr>
              <w:spacing w:after="60"/>
              <w:contextualSpacing/>
              <w:rPr>
                <w:rFonts w:eastAsia="Calibri" w:cs="Arial"/>
                <w:sz w:val="14"/>
                <w:szCs w:val="14"/>
                <w:lang w:eastAsia="en-US"/>
              </w:rPr>
            </w:pPr>
            <w:r w:rsidRPr="00016069">
              <w:rPr>
                <w:i/>
                <w:sz w:val="14"/>
              </w:rPr>
              <w:t>Workplace Injury Rehabilitation and Compensation Act 2013</w:t>
            </w:r>
            <w:r>
              <w:rPr>
                <w:i/>
                <w:sz w:val="14"/>
              </w:rPr>
              <w:t xml:space="preserve"> </w:t>
            </w:r>
            <w:hyperlink r:id="rId1942" w:history="1">
              <w:r w:rsidR="003E26EA" w:rsidRPr="003C63A5">
                <w:rPr>
                  <w:rStyle w:val="Hyperlink"/>
                  <w:rFonts w:eastAsia="Calibri" w:cs="Arial"/>
                  <w:sz w:val="14"/>
                  <w:szCs w:val="14"/>
                  <w:lang w:eastAsia="en-US"/>
                </w:rPr>
                <w:t>s3</w:t>
              </w:r>
            </w:hyperlink>
            <w:r w:rsidR="003E26EA" w:rsidRPr="003E26EA">
              <w:rPr>
                <w:rFonts w:eastAsia="Calibri" w:cs="Arial"/>
                <w:sz w:val="14"/>
                <w:szCs w:val="14"/>
                <w:lang w:eastAsia="en-US"/>
              </w:rPr>
              <w:t xml:space="preserve"> of the legislation defines the meaning of the term occupational rehabilitation services. For injured workers, there are a number of specific return to work services known as occupational rehabilitation (OR) services to assist them return to work which can only be delivered by OR providers approved by WorkSafe Victoria. Approved occupational rehabilitation providers must comply with conditions of approval and the Nationally Consistent Approval Framework for Workplace Rehabilitation Providers.</w:t>
            </w:r>
          </w:p>
          <w:p w14:paraId="2E1B6C3B" w14:textId="77777777" w:rsidR="003E26EA" w:rsidRPr="003E26EA" w:rsidRDefault="003E26EA" w:rsidP="00F839DB">
            <w:pPr>
              <w:pStyle w:val="ListParagraph"/>
              <w:numPr>
                <w:ilvl w:val="0"/>
                <w:numId w:val="309"/>
              </w:numPr>
              <w:spacing w:after="60"/>
              <w:contextualSpacing/>
              <w:rPr>
                <w:rFonts w:eastAsia="Calibri" w:cs="Arial"/>
                <w:sz w:val="14"/>
                <w:szCs w:val="14"/>
                <w:lang w:eastAsia="en-US"/>
              </w:rPr>
            </w:pPr>
            <w:r w:rsidRPr="003E26EA">
              <w:rPr>
                <w:rFonts w:eastAsia="Calibri" w:cs="Arial"/>
                <w:sz w:val="14"/>
                <w:szCs w:val="14"/>
                <w:lang w:eastAsia="en-US"/>
              </w:rPr>
              <w:t>The type of OR services approved by an Agent for an injured worker depends on whether the return to work focus is to help them back to work with the injury employer (Original Employer Services — OES) or with a new employer (New employer services — NES).</w:t>
            </w:r>
          </w:p>
          <w:p w14:paraId="6D13CE8D" w14:textId="77777777" w:rsidR="003E26EA" w:rsidRPr="003E26EA" w:rsidRDefault="003E26EA" w:rsidP="00F839DB">
            <w:pPr>
              <w:pStyle w:val="ListParagraph"/>
              <w:numPr>
                <w:ilvl w:val="0"/>
                <w:numId w:val="309"/>
              </w:numPr>
              <w:spacing w:after="60"/>
              <w:contextualSpacing/>
              <w:rPr>
                <w:rFonts w:eastAsia="Calibri" w:cs="Arial"/>
                <w:sz w:val="14"/>
                <w:szCs w:val="14"/>
                <w:lang w:eastAsia="en-US"/>
              </w:rPr>
            </w:pPr>
            <w:r w:rsidRPr="003E26EA">
              <w:rPr>
                <w:rFonts w:eastAsia="Calibri" w:cs="Arial"/>
                <w:sz w:val="14"/>
                <w:szCs w:val="14"/>
                <w:lang w:eastAsia="en-US"/>
              </w:rPr>
              <w:t xml:space="preserve">A request for OR services can be made by the worker or the worker’s treating health care provider or their employer however, the Agent responsible for managing the injured worker’s claim must approve the OR service before it is offered or provided to a worker. </w:t>
            </w:r>
          </w:p>
          <w:p w14:paraId="2BE7DD20" w14:textId="77777777" w:rsidR="003E26EA" w:rsidRPr="003E26EA" w:rsidRDefault="003E26EA" w:rsidP="00F839DB">
            <w:pPr>
              <w:pStyle w:val="ListParagraph"/>
              <w:numPr>
                <w:ilvl w:val="0"/>
                <w:numId w:val="309"/>
              </w:numPr>
              <w:spacing w:after="60"/>
              <w:contextualSpacing/>
              <w:rPr>
                <w:rFonts w:eastAsia="Calibri" w:cs="Arial"/>
                <w:sz w:val="14"/>
                <w:szCs w:val="14"/>
                <w:lang w:eastAsia="en-US"/>
              </w:rPr>
            </w:pPr>
            <w:r w:rsidRPr="003E26EA">
              <w:rPr>
                <w:rFonts w:eastAsia="Calibri" w:cs="Arial"/>
                <w:sz w:val="14"/>
                <w:szCs w:val="14"/>
                <w:lang w:eastAsia="en-US"/>
              </w:rPr>
              <w:t xml:space="preserve">View OES &amp; NES provider service item codes and descriptions — </w:t>
            </w:r>
            <w:hyperlink r:id="rId1943" w:history="1">
              <w:r w:rsidRPr="003E26EA">
                <w:rPr>
                  <w:rFonts w:eastAsia="Calibri" w:cs="Arial"/>
                  <w:color w:val="0000FF"/>
                  <w:sz w:val="14"/>
                  <w:szCs w:val="14"/>
                  <w:u w:val="single"/>
                  <w:lang w:eastAsia="en-US"/>
                </w:rPr>
                <w:t>Provide Original and New Employer services</w:t>
              </w:r>
            </w:hyperlink>
            <w:r w:rsidRPr="003E26EA">
              <w:rPr>
                <w:rFonts w:eastAsia="Calibri" w:cs="Arial"/>
                <w:sz w:val="14"/>
                <w:szCs w:val="14"/>
                <w:lang w:eastAsia="en-US"/>
              </w:rPr>
              <w:t>.</w:t>
            </w:r>
          </w:p>
        </w:tc>
      </w:tr>
      <w:tr w:rsidR="003E26EA" w:rsidRPr="003E26EA" w14:paraId="12E09EEA" w14:textId="77777777" w:rsidTr="00C3751B">
        <w:tc>
          <w:tcPr>
            <w:tcW w:w="1059" w:type="dxa"/>
            <w:shd w:val="clear" w:color="auto" w:fill="FFC9C9"/>
            <w:tcMar>
              <w:top w:w="80" w:type="dxa"/>
              <w:left w:w="80" w:type="dxa"/>
              <w:bottom w:w="80" w:type="dxa"/>
              <w:right w:w="80" w:type="dxa"/>
            </w:tcMar>
          </w:tcPr>
          <w:p w14:paraId="19691AD6"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Queensland</w:t>
            </w:r>
          </w:p>
        </w:tc>
        <w:tc>
          <w:tcPr>
            <w:tcW w:w="13956" w:type="dxa"/>
            <w:shd w:val="clear" w:color="auto" w:fill="FFC9C9"/>
            <w:tcMar>
              <w:top w:w="80" w:type="dxa"/>
              <w:left w:w="80" w:type="dxa"/>
              <w:bottom w:w="80" w:type="dxa"/>
              <w:right w:w="80" w:type="dxa"/>
            </w:tcMar>
          </w:tcPr>
          <w:p w14:paraId="703741B5"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N/A</w:t>
            </w:r>
          </w:p>
        </w:tc>
      </w:tr>
      <w:tr w:rsidR="003E26EA" w:rsidRPr="003E26EA" w14:paraId="1C29E24F" w14:textId="77777777" w:rsidTr="00C3751B">
        <w:tc>
          <w:tcPr>
            <w:tcW w:w="1059" w:type="dxa"/>
            <w:tcMar>
              <w:top w:w="80" w:type="dxa"/>
              <w:left w:w="80" w:type="dxa"/>
              <w:bottom w:w="80" w:type="dxa"/>
              <w:right w:w="80" w:type="dxa"/>
            </w:tcMar>
          </w:tcPr>
          <w:p w14:paraId="4E3D28AF"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Western Australia</w:t>
            </w:r>
          </w:p>
        </w:tc>
        <w:tc>
          <w:tcPr>
            <w:tcW w:w="13956" w:type="dxa"/>
            <w:tcMar>
              <w:top w:w="80" w:type="dxa"/>
              <w:left w:w="80" w:type="dxa"/>
              <w:bottom w:w="80" w:type="dxa"/>
              <w:right w:w="80" w:type="dxa"/>
            </w:tcMar>
          </w:tcPr>
          <w:p w14:paraId="1B4EABD3" w14:textId="12ECCF8A"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 xml:space="preserve">To provide vocational rehabilitation services as prescribed in </w:t>
            </w:r>
            <w:hyperlink r:id="rId1944" w:history="1">
              <w:r w:rsidRPr="003C63A5">
                <w:rPr>
                  <w:rStyle w:val="Hyperlink"/>
                  <w:rFonts w:cs="Arial"/>
                  <w:sz w:val="14"/>
                  <w:szCs w:val="16"/>
                  <w:lang w:val="en-GB"/>
                </w:rPr>
                <w:t>regulation 44</w:t>
              </w:r>
            </w:hyperlink>
            <w:r w:rsidRPr="003E26EA">
              <w:rPr>
                <w:rFonts w:cs="Arial"/>
                <w:color w:val="000000"/>
                <w:sz w:val="14"/>
                <w:szCs w:val="16"/>
                <w:lang w:val="en-GB"/>
              </w:rPr>
              <w:t xml:space="preserve"> of the Workers’ Compensation and Injury Management Regulations 1982 such as:</w:t>
            </w:r>
          </w:p>
          <w:p w14:paraId="342286DC"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support counselling</w:t>
            </w:r>
          </w:p>
          <w:p w14:paraId="2B9C6B28"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vocational counselling</w:t>
            </w:r>
          </w:p>
          <w:p w14:paraId="2AC7B114"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purchase of aids and appliances</w:t>
            </w:r>
          </w:p>
          <w:p w14:paraId="49E1140C"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case management</w:t>
            </w:r>
          </w:p>
          <w:p w14:paraId="5ACAEAA6"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retraining criteria assistance</w:t>
            </w:r>
          </w:p>
          <w:p w14:paraId="3598B76D"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specialised retraining program assistance</w:t>
            </w:r>
          </w:p>
          <w:p w14:paraId="3EC19143"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training and education</w:t>
            </w:r>
          </w:p>
          <w:p w14:paraId="22EE87D1"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workplace activities</w:t>
            </w:r>
          </w:p>
          <w:p w14:paraId="33DD138D"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 xml:space="preserve">placement activities </w:t>
            </w:r>
          </w:p>
          <w:p w14:paraId="4343CBA9"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assessments (functional capacity, vocational, ergonomic, job demands, workplace, aids and appliances)</w:t>
            </w:r>
          </w:p>
          <w:p w14:paraId="1AE8D828"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travel</w:t>
            </w:r>
          </w:p>
          <w:p w14:paraId="71B92E20"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medical, and</w:t>
            </w:r>
          </w:p>
          <w:p w14:paraId="682B7949" w14:textId="77777777" w:rsidR="003E26EA" w:rsidRPr="003E26EA" w:rsidRDefault="003E26EA" w:rsidP="00292A53">
            <w:pPr>
              <w:numPr>
                <w:ilvl w:val="0"/>
                <w:numId w:val="4"/>
              </w:numPr>
              <w:spacing w:after="60"/>
              <w:ind w:left="357" w:hanging="357"/>
              <w:rPr>
                <w:rFonts w:cs="Arial"/>
                <w:color w:val="000000"/>
                <w:sz w:val="14"/>
                <w:szCs w:val="16"/>
              </w:rPr>
            </w:pPr>
            <w:r w:rsidRPr="003E26EA">
              <w:rPr>
                <w:rFonts w:cs="Arial"/>
                <w:color w:val="000000"/>
                <w:sz w:val="14"/>
                <w:szCs w:val="16"/>
              </w:rPr>
              <w:t>general reports.</w:t>
            </w:r>
          </w:p>
          <w:p w14:paraId="66D8C281" w14:textId="3090AF2B"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 xml:space="preserve">Workplace rehabilitation providers must comply with the conditions of approval and code of conduct for workplace rehabilitation providers. These requirements are contained in: </w:t>
            </w:r>
          </w:p>
          <w:p w14:paraId="24AAB8AA" w14:textId="771B9853" w:rsidR="003E26EA" w:rsidRPr="003E26EA" w:rsidRDefault="003E26EA" w:rsidP="00F839DB">
            <w:pPr>
              <w:pStyle w:val="ListParagraph"/>
              <w:numPr>
                <w:ilvl w:val="0"/>
                <w:numId w:val="310"/>
              </w:numPr>
              <w:spacing w:after="60"/>
              <w:ind w:left="357" w:hanging="357"/>
              <w:contextualSpacing/>
              <w:rPr>
                <w:rFonts w:cs="Arial"/>
                <w:color w:val="000000"/>
                <w:sz w:val="14"/>
                <w:szCs w:val="16"/>
              </w:rPr>
            </w:pPr>
            <w:r w:rsidRPr="003E26EA">
              <w:rPr>
                <w:rFonts w:cs="Arial"/>
                <w:color w:val="000000"/>
                <w:sz w:val="14"/>
                <w:szCs w:val="16"/>
              </w:rPr>
              <w:t>WorkCover WA’s Application for Approval as a Workplace Rehabilitation Provider</w:t>
            </w:r>
            <w:r w:rsidR="00DD0D68">
              <w:rPr>
                <w:rFonts w:cs="Arial"/>
                <w:color w:val="000000"/>
                <w:sz w:val="14"/>
                <w:szCs w:val="16"/>
              </w:rPr>
              <w:t xml:space="preserve"> </w:t>
            </w:r>
            <w:hyperlink r:id="rId1945" w:history="1">
              <w:r w:rsidRPr="003E26EA">
                <w:rPr>
                  <w:rFonts w:cs="Arial"/>
                  <w:color w:val="0000FF"/>
                  <w:sz w:val="14"/>
                  <w:szCs w:val="16"/>
                  <w:u w:val="single"/>
                </w:rPr>
                <w:t>Application for Approval as a Workplace Rehabilitation Provider Form</w:t>
              </w:r>
            </w:hyperlink>
            <w:r w:rsidRPr="003E26EA">
              <w:rPr>
                <w:rFonts w:cs="Arial"/>
                <w:color w:val="000000"/>
                <w:sz w:val="14"/>
                <w:szCs w:val="16"/>
              </w:rPr>
              <w:t>, and</w:t>
            </w:r>
          </w:p>
          <w:p w14:paraId="447B1784" w14:textId="77777777" w:rsidR="003E26EA" w:rsidRPr="003E26EA" w:rsidRDefault="003E26EA" w:rsidP="00F839DB">
            <w:pPr>
              <w:pStyle w:val="ListParagraph"/>
              <w:numPr>
                <w:ilvl w:val="0"/>
                <w:numId w:val="310"/>
              </w:numPr>
              <w:spacing w:after="60"/>
              <w:rPr>
                <w:rFonts w:cs="Arial"/>
                <w:color w:val="000000"/>
                <w:sz w:val="14"/>
                <w:szCs w:val="16"/>
              </w:rPr>
            </w:pPr>
            <w:r w:rsidRPr="003E26EA">
              <w:rPr>
                <w:rFonts w:cs="Arial"/>
                <w:color w:val="000000"/>
                <w:sz w:val="14"/>
                <w:szCs w:val="16"/>
              </w:rPr>
              <w:t>HWCA’s Guide: Nationally Consistent Approval Framework for Workplace Rehabilitation Providers.</w:t>
            </w:r>
          </w:p>
          <w:p w14:paraId="414200EA" w14:textId="7DA49392" w:rsidR="003E26EA" w:rsidRPr="003E26EA" w:rsidRDefault="00A7538C" w:rsidP="00292A53">
            <w:pPr>
              <w:spacing w:after="60"/>
              <w:rPr>
                <w:rFonts w:cs="Arial"/>
                <w:color w:val="000000"/>
                <w:sz w:val="14"/>
                <w:szCs w:val="16"/>
                <w:lang w:val="en-GB"/>
              </w:rPr>
            </w:pPr>
            <w:hyperlink r:id="rId1946" w:history="1">
              <w:r w:rsidR="003E26EA" w:rsidRPr="003E26EA">
                <w:rPr>
                  <w:rFonts w:cs="Arial"/>
                  <w:color w:val="0000FF"/>
                  <w:sz w:val="14"/>
                  <w:szCs w:val="16"/>
                  <w:u w:val="single"/>
                </w:rPr>
                <w:t>Guide to the Nationally Consistent Approval Framework for Workplace Rehabilitation Providers</w:t>
              </w:r>
            </w:hyperlink>
          </w:p>
        </w:tc>
      </w:tr>
      <w:tr w:rsidR="003E26EA" w:rsidRPr="003E26EA" w14:paraId="4EBAF624" w14:textId="77777777" w:rsidTr="00C3751B">
        <w:tc>
          <w:tcPr>
            <w:tcW w:w="1059" w:type="dxa"/>
            <w:shd w:val="clear" w:color="auto" w:fill="FFC9C9"/>
            <w:tcMar>
              <w:top w:w="80" w:type="dxa"/>
              <w:left w:w="80" w:type="dxa"/>
              <w:bottom w:w="80" w:type="dxa"/>
              <w:right w:w="80" w:type="dxa"/>
            </w:tcMar>
          </w:tcPr>
          <w:p w14:paraId="0DDBA740"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South Australia</w:t>
            </w:r>
          </w:p>
        </w:tc>
        <w:tc>
          <w:tcPr>
            <w:tcW w:w="13956" w:type="dxa"/>
            <w:shd w:val="clear" w:color="auto" w:fill="FFC9C9"/>
            <w:tcMar>
              <w:top w:w="80" w:type="dxa"/>
              <w:left w:w="80" w:type="dxa"/>
              <w:bottom w:w="80" w:type="dxa"/>
              <w:right w:w="80" w:type="dxa"/>
            </w:tcMar>
          </w:tcPr>
          <w:p w14:paraId="3EABFEB8"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Return to work services comprises the following six service categories:</w:t>
            </w:r>
          </w:p>
          <w:p w14:paraId="6757A2B9" w14:textId="2E3F7737"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t>Pre-injury employer services</w:t>
            </w:r>
          </w:p>
          <w:p w14:paraId="280A70CB" w14:textId="54B858FC"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t>Fit for work services</w:t>
            </w:r>
          </w:p>
          <w:p w14:paraId="3395F091" w14:textId="2FAA71A0"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lastRenderedPageBreak/>
              <w:t>Restoration to the community services</w:t>
            </w:r>
          </w:p>
          <w:p w14:paraId="1A3AB5D5" w14:textId="0C39AF45"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t>Job placement services</w:t>
            </w:r>
          </w:p>
          <w:p w14:paraId="595E66F9" w14:textId="68D8A4A0"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t>Return to work assessment services</w:t>
            </w:r>
          </w:p>
          <w:p w14:paraId="15A139F3" w14:textId="365BC28D" w:rsidR="003E26EA" w:rsidRPr="002F1F9A" w:rsidRDefault="003E26EA" w:rsidP="00F839DB">
            <w:pPr>
              <w:pStyle w:val="ListParagraph"/>
              <w:numPr>
                <w:ilvl w:val="0"/>
                <w:numId w:val="475"/>
              </w:numPr>
              <w:spacing w:after="60"/>
              <w:rPr>
                <w:rFonts w:cs="Arial"/>
                <w:color w:val="000000"/>
                <w:sz w:val="14"/>
                <w:szCs w:val="16"/>
                <w:lang w:val="en-GB"/>
              </w:rPr>
            </w:pPr>
            <w:r w:rsidRPr="002F1F9A">
              <w:rPr>
                <w:rFonts w:cs="Arial"/>
                <w:color w:val="000000"/>
                <w:sz w:val="14"/>
                <w:szCs w:val="16"/>
                <w:lang w:val="en-GB"/>
              </w:rPr>
              <w:t>Mediation services</w:t>
            </w:r>
          </w:p>
          <w:p w14:paraId="6538CA6F"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 xml:space="preserve">Each of these six service categories is described in the </w:t>
            </w:r>
            <w:hyperlink r:id="rId1947" w:history="1">
              <w:r w:rsidRPr="003E26EA">
                <w:rPr>
                  <w:rFonts w:cs="Arial"/>
                  <w:color w:val="0000FF"/>
                  <w:sz w:val="14"/>
                  <w:szCs w:val="16"/>
                  <w:u w:val="single"/>
                </w:rPr>
                <w:t>Return to Work Services Fee Schedule</w:t>
              </w:r>
            </w:hyperlink>
            <w:r w:rsidRPr="003E26EA">
              <w:rPr>
                <w:rFonts w:cs="Arial"/>
                <w:color w:val="000000"/>
                <w:sz w:val="14"/>
                <w:szCs w:val="16"/>
                <w:lang w:val="en-GB"/>
              </w:rPr>
              <w:t>.</w:t>
            </w:r>
          </w:p>
        </w:tc>
      </w:tr>
      <w:tr w:rsidR="003E26EA" w:rsidRPr="003E26EA" w14:paraId="56946A64" w14:textId="77777777" w:rsidTr="00C3751B">
        <w:tc>
          <w:tcPr>
            <w:tcW w:w="1059" w:type="dxa"/>
            <w:tcMar>
              <w:top w:w="80" w:type="dxa"/>
              <w:left w:w="80" w:type="dxa"/>
              <w:bottom w:w="80" w:type="dxa"/>
              <w:right w:w="80" w:type="dxa"/>
            </w:tcMar>
          </w:tcPr>
          <w:p w14:paraId="7581998B"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lastRenderedPageBreak/>
              <w:t>Tasmania</w:t>
            </w:r>
          </w:p>
        </w:tc>
        <w:tc>
          <w:tcPr>
            <w:tcW w:w="13956" w:type="dxa"/>
            <w:tcMar>
              <w:top w:w="80" w:type="dxa"/>
              <w:left w:w="80" w:type="dxa"/>
              <w:bottom w:w="80" w:type="dxa"/>
              <w:right w:w="80" w:type="dxa"/>
            </w:tcMar>
          </w:tcPr>
          <w:p w14:paraId="07EC5ADE" w14:textId="399CDC10"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Workplace rehabilitation providers are responsible for providing the following workplace rehabilitation services:</w:t>
            </w:r>
          </w:p>
          <w:p w14:paraId="1166A362"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initial workplace rehabilitation assessment </w:t>
            </w:r>
          </w:p>
          <w:p w14:paraId="2996AAF0"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assessment of a worker’s functional capacity </w:t>
            </w:r>
          </w:p>
          <w:p w14:paraId="142885D8"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workplace assessment </w:t>
            </w:r>
          </w:p>
          <w:p w14:paraId="71A35BF9"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job analysis </w:t>
            </w:r>
          </w:p>
          <w:p w14:paraId="230C5B9E"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advice about job modification </w:t>
            </w:r>
          </w:p>
          <w:p w14:paraId="2C236F20"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rehabilitation counselling </w:t>
            </w:r>
          </w:p>
          <w:p w14:paraId="666AF757"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vocational assessment </w:t>
            </w:r>
          </w:p>
          <w:p w14:paraId="309FA0D8"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advice or assistance with job seeking, and</w:t>
            </w:r>
          </w:p>
          <w:p w14:paraId="76EA48F2" w14:textId="61C5CB8B"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advice or assistance arranging vocational re-education or retraining — </w:t>
            </w:r>
            <w:hyperlink r:id="rId1948" w:history="1">
              <w:r w:rsidRPr="00C42FCF">
                <w:rPr>
                  <w:rFonts w:eastAsia="Calibri" w:cs="Arial"/>
                  <w:color w:val="0000FF"/>
                  <w:sz w:val="14"/>
                  <w:szCs w:val="14"/>
                  <w:u w:val="single"/>
                  <w:lang w:eastAsia="en-US"/>
                </w:rPr>
                <w:t>s3</w:t>
              </w:r>
            </w:hyperlink>
            <w:r w:rsidR="003C63A5">
              <w:rPr>
                <w:i/>
                <w:sz w:val="14"/>
              </w:rPr>
              <w:t xml:space="preserve"> W</w:t>
            </w:r>
            <w:r w:rsidR="003C63A5" w:rsidRPr="00016069">
              <w:rPr>
                <w:i/>
                <w:sz w:val="14"/>
              </w:rPr>
              <w:t>orkers Rehabilitation and Compensation Act 1988</w:t>
            </w:r>
          </w:p>
          <w:p w14:paraId="14FD5AE3" w14:textId="3BE730C2"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Workplace rehabilitation services may only be provided by a person who meets requirements set out in </w:t>
            </w:r>
            <w:hyperlink r:id="rId1949" w:history="1">
              <w:r w:rsidRPr="00C42FCF">
                <w:rPr>
                  <w:rFonts w:eastAsia="Calibri" w:cs="Arial"/>
                  <w:color w:val="0000FF"/>
                  <w:sz w:val="14"/>
                  <w:szCs w:val="14"/>
                  <w:u w:val="single"/>
                  <w:lang w:eastAsia="en-US"/>
                </w:rPr>
                <w:t>s77A</w:t>
              </w:r>
            </w:hyperlink>
          </w:p>
        </w:tc>
      </w:tr>
      <w:tr w:rsidR="003E26EA" w:rsidRPr="003E26EA" w14:paraId="7C83CFAA" w14:textId="77777777" w:rsidTr="00C3751B">
        <w:tc>
          <w:tcPr>
            <w:tcW w:w="1059" w:type="dxa"/>
            <w:shd w:val="clear" w:color="auto" w:fill="FFC9C9"/>
            <w:tcMar>
              <w:top w:w="80" w:type="dxa"/>
              <w:left w:w="80" w:type="dxa"/>
              <w:bottom w:w="80" w:type="dxa"/>
              <w:right w:w="80" w:type="dxa"/>
            </w:tcMar>
          </w:tcPr>
          <w:p w14:paraId="16C25373"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Northern Territory</w:t>
            </w:r>
          </w:p>
        </w:tc>
        <w:tc>
          <w:tcPr>
            <w:tcW w:w="13956" w:type="dxa"/>
            <w:shd w:val="clear" w:color="auto" w:fill="FFC9C9"/>
            <w:tcMar>
              <w:top w:w="80" w:type="dxa"/>
              <w:left w:w="80" w:type="dxa"/>
              <w:bottom w:w="80" w:type="dxa"/>
              <w:right w:w="80" w:type="dxa"/>
            </w:tcMar>
          </w:tcPr>
          <w:p w14:paraId="38082371"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Vocational rehabilitation providers must be accredited by NT WorkSafe. NT WorkSafe has adopted the Nationally Consistent Approval Framework for rehabilitation providers. Vocational providers must comply with the national framework.</w:t>
            </w:r>
          </w:p>
          <w:p w14:paraId="2B447686" w14:textId="7E143836" w:rsidR="003E26EA" w:rsidRPr="003E26EA" w:rsidRDefault="00A7538C" w:rsidP="00292A53">
            <w:pPr>
              <w:spacing w:after="60"/>
              <w:rPr>
                <w:rFonts w:cs="Arial"/>
                <w:color w:val="000000"/>
                <w:sz w:val="14"/>
                <w:szCs w:val="16"/>
                <w:lang w:val="en-GB"/>
              </w:rPr>
            </w:pPr>
            <w:hyperlink r:id="rId1950" w:history="1">
              <w:r w:rsidR="00EF3078" w:rsidRPr="00EF3078">
                <w:rPr>
                  <w:rStyle w:val="Hyperlink"/>
                  <w:rFonts w:cs="Arial"/>
                  <w:sz w:val="14"/>
                  <w:szCs w:val="16"/>
                  <w:lang w:val="en-GB"/>
                </w:rPr>
                <w:t>Rehabilitation providers</w:t>
              </w:r>
            </w:hyperlink>
          </w:p>
        </w:tc>
      </w:tr>
      <w:tr w:rsidR="003E26EA" w:rsidRPr="003E26EA" w14:paraId="1CEF5E17" w14:textId="77777777" w:rsidTr="00C3751B">
        <w:tc>
          <w:tcPr>
            <w:tcW w:w="1059" w:type="dxa"/>
            <w:tcMar>
              <w:top w:w="80" w:type="dxa"/>
              <w:left w:w="80" w:type="dxa"/>
              <w:bottom w:w="80" w:type="dxa"/>
              <w:right w:w="80" w:type="dxa"/>
            </w:tcMar>
          </w:tcPr>
          <w:p w14:paraId="67C2968E"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Australian Capital Territory</w:t>
            </w:r>
          </w:p>
        </w:tc>
        <w:tc>
          <w:tcPr>
            <w:tcW w:w="13956" w:type="dxa"/>
            <w:tcMar>
              <w:top w:w="80" w:type="dxa"/>
              <w:left w:w="80" w:type="dxa"/>
              <w:bottom w:w="80" w:type="dxa"/>
              <w:right w:w="80" w:type="dxa"/>
            </w:tcMar>
          </w:tcPr>
          <w:p w14:paraId="2F16B1B5" w14:textId="77777777" w:rsidR="003E26EA" w:rsidRPr="00C42FCF" w:rsidRDefault="003E26EA" w:rsidP="00F839DB">
            <w:pPr>
              <w:pStyle w:val="ListParagraph"/>
              <w:numPr>
                <w:ilvl w:val="0"/>
                <w:numId w:val="312"/>
              </w:numPr>
              <w:spacing w:after="60"/>
              <w:contextualSpacing/>
              <w:rPr>
                <w:rFonts w:eastAsia="Calibri" w:cs="Arial"/>
                <w:sz w:val="14"/>
                <w:szCs w:val="14"/>
                <w:lang w:eastAsia="en-US"/>
              </w:rPr>
            </w:pPr>
            <w:r w:rsidRPr="00C42FCF">
              <w:rPr>
                <w:rFonts w:eastAsia="Calibri" w:cs="Arial"/>
                <w:sz w:val="14"/>
                <w:szCs w:val="14"/>
                <w:lang w:eastAsia="en-US"/>
              </w:rPr>
              <w:t>Public sector scheme: as per Comcare</w:t>
            </w:r>
          </w:p>
          <w:p w14:paraId="14AC4AB8" w14:textId="3A8E11B6" w:rsidR="003E26EA" w:rsidRPr="00C42FCF" w:rsidRDefault="003E26EA" w:rsidP="00F839DB">
            <w:pPr>
              <w:pStyle w:val="ListParagraph"/>
              <w:numPr>
                <w:ilvl w:val="0"/>
                <w:numId w:val="312"/>
              </w:numPr>
              <w:spacing w:after="60"/>
              <w:contextualSpacing/>
              <w:rPr>
                <w:rFonts w:eastAsia="Calibri" w:cs="Arial"/>
                <w:color w:val="0000FF"/>
                <w:sz w:val="14"/>
                <w:szCs w:val="14"/>
                <w:u w:val="single"/>
                <w:lang w:eastAsia="en-US"/>
              </w:rPr>
            </w:pPr>
            <w:r w:rsidRPr="00C42FCF">
              <w:rPr>
                <w:rFonts w:eastAsia="Calibri" w:cs="Arial"/>
                <w:sz w:val="14"/>
                <w:szCs w:val="14"/>
                <w:lang w:eastAsia="en-US"/>
              </w:rPr>
              <w:t xml:space="preserve">Private scheme — </w:t>
            </w:r>
            <w:r w:rsidRPr="003E26EA">
              <w:rPr>
                <w:rFonts w:eastAsia="Calibri" w:cs="Arial"/>
                <w:sz w:val="14"/>
                <w:szCs w:val="14"/>
                <w:lang w:eastAsia="en-US"/>
              </w:rPr>
              <w:fldChar w:fldCharType="begin"/>
            </w:r>
            <w:r w:rsidRPr="00C42FCF">
              <w:rPr>
                <w:rFonts w:eastAsia="Calibri" w:cs="Arial"/>
                <w:sz w:val="14"/>
                <w:szCs w:val="14"/>
                <w:lang w:eastAsia="en-US"/>
              </w:rPr>
              <w:instrText>HYPERLINK "http://www.legislation.act.gov.au/a/1951-2/default.asp"</w:instrText>
            </w:r>
            <w:r w:rsidRPr="003E26EA">
              <w:rPr>
                <w:rFonts w:eastAsia="Calibri" w:cs="Arial"/>
                <w:sz w:val="14"/>
                <w:szCs w:val="14"/>
                <w:lang w:eastAsia="en-US"/>
              </w:rPr>
              <w:fldChar w:fldCharType="separate"/>
            </w:r>
            <w:r w:rsidR="005E66E4">
              <w:rPr>
                <w:rFonts w:eastAsia="Calibri" w:cs="Arial"/>
                <w:color w:val="0000FF"/>
                <w:sz w:val="14"/>
                <w:szCs w:val="14"/>
                <w:u w:val="single"/>
                <w:lang w:eastAsia="en-US"/>
              </w:rPr>
              <w:t>s99A</w:t>
            </w:r>
            <w:r w:rsidR="005E66E4">
              <w:rPr>
                <w:i/>
                <w:sz w:val="14"/>
              </w:rPr>
              <w:t xml:space="preserve"> W</w:t>
            </w:r>
            <w:r w:rsidR="005E66E4" w:rsidRPr="00016069">
              <w:rPr>
                <w:i/>
                <w:sz w:val="14"/>
              </w:rPr>
              <w:t>orkers Compensation Act 1951</w:t>
            </w:r>
          </w:p>
          <w:p w14:paraId="30BB1FC7" w14:textId="77777777" w:rsidR="003E26EA" w:rsidRPr="00C42FCF" w:rsidRDefault="003E26EA" w:rsidP="00F839DB">
            <w:pPr>
              <w:pStyle w:val="ListParagraph"/>
              <w:numPr>
                <w:ilvl w:val="0"/>
                <w:numId w:val="312"/>
              </w:numPr>
              <w:spacing w:after="60"/>
              <w:rPr>
                <w:rFonts w:eastAsia="Calibri"/>
                <w:sz w:val="14"/>
                <w:szCs w:val="14"/>
                <w:lang w:eastAsia="en-US"/>
              </w:rPr>
            </w:pPr>
            <w:r w:rsidRPr="003E26EA">
              <w:rPr>
                <w:rFonts w:eastAsia="Calibri"/>
                <w:lang w:eastAsia="en-US"/>
              </w:rPr>
              <w:fldChar w:fldCharType="end"/>
            </w:r>
            <w:r w:rsidRPr="00C42FCF">
              <w:rPr>
                <w:rFonts w:eastAsia="Calibri"/>
                <w:sz w:val="14"/>
                <w:szCs w:val="14"/>
                <w:lang w:eastAsia="en-US"/>
              </w:rPr>
              <w:t>The insurer must appoint an approved rehabilitation provider for the injured worker as part of the personal injury plan if the worker has not returned to the worker’s pre-injury duties and pre-injury working hours, within four weeks after the day the worker gave notice of the injury.</w:t>
            </w:r>
          </w:p>
          <w:p w14:paraId="15BEF235" w14:textId="77777777" w:rsidR="003E26EA" w:rsidRPr="00C42FCF" w:rsidRDefault="003E26EA" w:rsidP="00F839DB">
            <w:pPr>
              <w:pStyle w:val="ListParagraph"/>
              <w:numPr>
                <w:ilvl w:val="0"/>
                <w:numId w:val="313"/>
              </w:numPr>
              <w:spacing w:after="60"/>
              <w:contextualSpacing/>
              <w:rPr>
                <w:rFonts w:eastAsia="Calibri" w:cs="Arial"/>
                <w:sz w:val="14"/>
                <w:szCs w:val="14"/>
                <w:lang w:eastAsia="en-US"/>
              </w:rPr>
            </w:pPr>
            <w:r w:rsidRPr="00C42FCF">
              <w:rPr>
                <w:rFonts w:eastAsia="Calibri" w:cs="Arial"/>
                <w:sz w:val="14"/>
                <w:szCs w:val="14"/>
                <w:lang w:eastAsia="en-US"/>
              </w:rPr>
              <w:t>Procedure for approval of rehabilitation provider:</w:t>
            </w:r>
          </w:p>
          <w:p w14:paraId="595E97B8" w14:textId="3CEEE30F" w:rsidR="003E26EA" w:rsidRPr="00C42FCF" w:rsidRDefault="003E26EA" w:rsidP="00F839DB">
            <w:pPr>
              <w:pStyle w:val="ListParagraph"/>
              <w:numPr>
                <w:ilvl w:val="0"/>
                <w:numId w:val="313"/>
              </w:numPr>
              <w:spacing w:after="60"/>
              <w:contextualSpacing/>
              <w:rPr>
                <w:rFonts w:eastAsia="Calibri" w:cs="Arial"/>
                <w:sz w:val="14"/>
                <w:szCs w:val="14"/>
                <w:lang w:eastAsia="en-US"/>
              </w:rPr>
            </w:pPr>
            <w:r w:rsidRPr="00C42FCF">
              <w:rPr>
                <w:rFonts w:eastAsia="Calibri" w:cs="Arial"/>
                <w:sz w:val="14"/>
                <w:szCs w:val="14"/>
                <w:lang w:eastAsia="en-US"/>
              </w:rPr>
              <w:t xml:space="preserve">Providers are assessed and approved in line with the Guide: </w:t>
            </w:r>
            <w:r w:rsidRPr="00C42FCF">
              <w:rPr>
                <w:rFonts w:eastAsia="Calibri" w:cs="Arial"/>
                <w:color w:val="0000FF"/>
                <w:sz w:val="14"/>
                <w:szCs w:val="14"/>
                <w:u w:val="single"/>
                <w:lang w:eastAsia="en-US"/>
              </w:rPr>
              <w:t>Nationally Consistent Framework for Workplace Rehabilitation Providers</w:t>
            </w:r>
            <w:r w:rsidR="00124894">
              <w:rPr>
                <w:rFonts w:eastAsia="Calibri" w:cs="Arial"/>
                <w:color w:val="0000FF"/>
                <w:sz w:val="14"/>
                <w:szCs w:val="14"/>
                <w:u w:val="single"/>
                <w:lang w:eastAsia="en-US"/>
              </w:rPr>
              <w:t xml:space="preserve"> </w:t>
            </w:r>
            <w:r w:rsidRPr="00C42FCF">
              <w:rPr>
                <w:rFonts w:eastAsia="Calibri" w:cs="Arial"/>
                <w:sz w:val="14"/>
                <w:szCs w:val="14"/>
                <w:lang w:eastAsia="en-US"/>
              </w:rPr>
              <w:t>as enforced from time to time. The requirements for the role and responsibilities of providers are outlined in the above guide. ACT provides mutual recognition or approval following direct application to WorkSafe.</w:t>
            </w:r>
          </w:p>
        </w:tc>
      </w:tr>
      <w:tr w:rsidR="003E26EA" w:rsidRPr="003E26EA" w14:paraId="228F0E4A" w14:textId="77777777" w:rsidTr="00C3751B">
        <w:tc>
          <w:tcPr>
            <w:tcW w:w="1059" w:type="dxa"/>
            <w:shd w:val="clear" w:color="auto" w:fill="FFC9C9"/>
            <w:tcMar>
              <w:top w:w="80" w:type="dxa"/>
              <w:left w:w="80" w:type="dxa"/>
              <w:bottom w:w="80" w:type="dxa"/>
              <w:right w:w="80" w:type="dxa"/>
            </w:tcMar>
          </w:tcPr>
          <w:p w14:paraId="25F94F94"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C’wealth Comcare</w:t>
            </w:r>
          </w:p>
        </w:tc>
        <w:tc>
          <w:tcPr>
            <w:tcW w:w="13956" w:type="dxa"/>
            <w:shd w:val="clear" w:color="auto" w:fill="FFC9C9"/>
            <w:tcMar>
              <w:top w:w="80" w:type="dxa"/>
              <w:left w:w="80" w:type="dxa"/>
              <w:bottom w:w="80" w:type="dxa"/>
              <w:right w:w="80" w:type="dxa"/>
            </w:tcMar>
          </w:tcPr>
          <w:p w14:paraId="686EB595"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Providers in the field of workplace rehabilitation have the qualifications, experience and expertise appropriate to provide services in accordance with the following definition based on NOHSC (1995) definition: Workplace rehabilitation is a managed process involving timely intervention with appropriate and adequate services based on assessed need, and which is aimed at maintaining injured or ill employees in, or returning them to, suitable employment.</w:t>
            </w:r>
          </w:p>
          <w:p w14:paraId="7A3906A4" w14:textId="423CE164"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Comcare has adopted the HWCA nationally consistent approval framework and information regarding this and the responsibilities of the provider is available on the Comcare website</w:t>
            </w:r>
            <w:r w:rsidR="00C86613">
              <w:rPr>
                <w:rFonts w:cs="Arial"/>
                <w:color w:val="000000"/>
                <w:sz w:val="14"/>
                <w:szCs w:val="16"/>
                <w:lang w:val="en-GB"/>
              </w:rPr>
              <w:t xml:space="preserve"> —</w:t>
            </w:r>
            <w:r w:rsidR="00C86613" w:rsidRPr="003E26EA">
              <w:rPr>
                <w:rFonts w:cs="Arial"/>
                <w:color w:val="000000"/>
                <w:sz w:val="14"/>
                <w:szCs w:val="16"/>
                <w:lang w:val="en-GB"/>
              </w:rPr>
              <w:t xml:space="preserve"> </w:t>
            </w:r>
            <w:hyperlink r:id="rId1951" w:history="1">
              <w:r w:rsidRPr="003E26EA">
                <w:rPr>
                  <w:rFonts w:cs="Arial"/>
                  <w:color w:val="0000FF"/>
                  <w:sz w:val="14"/>
                  <w:szCs w:val="16"/>
                  <w:u w:val="single"/>
                  <w:lang w:val="en-GB"/>
                </w:rPr>
                <w:t>How to get approved and Operate as a WRP</w:t>
              </w:r>
            </w:hyperlink>
            <w:r w:rsidRPr="003E26EA">
              <w:rPr>
                <w:rFonts w:cs="Arial"/>
                <w:color w:val="000000"/>
                <w:sz w:val="14"/>
                <w:szCs w:val="16"/>
                <w:lang w:val="en-GB"/>
              </w:rPr>
              <w:t xml:space="preserve"> and on the </w:t>
            </w:r>
            <w:hyperlink r:id="rId1952" w:history="1">
              <w:r w:rsidRPr="00407CB2">
                <w:rPr>
                  <w:rStyle w:val="Hyperlink"/>
                  <w:rFonts w:cs="Arial"/>
                  <w:sz w:val="14"/>
                  <w:szCs w:val="16"/>
                  <w:lang w:val="en-GB"/>
                </w:rPr>
                <w:t>HWCA</w:t>
              </w:r>
            </w:hyperlink>
            <w:r w:rsidR="00407CB2">
              <w:rPr>
                <w:rFonts w:cs="Arial"/>
                <w:color w:val="000000"/>
                <w:sz w:val="14"/>
                <w:szCs w:val="16"/>
                <w:lang w:val="en-GB"/>
              </w:rPr>
              <w:t xml:space="preserve"> website</w:t>
            </w:r>
            <w:r w:rsidRPr="003E26EA">
              <w:rPr>
                <w:rFonts w:cs="Arial"/>
                <w:color w:val="000000"/>
                <w:sz w:val="14"/>
                <w:szCs w:val="16"/>
                <w:lang w:val="en-GB"/>
              </w:rPr>
              <w:t>. Providers are engaged to provide specialised expertise in addition to that generally available within the employer and insurer operations. Providers are engaged for those injured workers where return to work is not straight forward. Service provision is largely delivered at the workplace by:</w:t>
            </w:r>
          </w:p>
          <w:p w14:paraId="78C0C8E5" w14:textId="77777777" w:rsidR="003E26EA" w:rsidRPr="00C42FCF" w:rsidRDefault="003E26EA" w:rsidP="00F839DB">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 xml:space="preserve">facilitating an early return to work of the worker </w:t>
            </w:r>
          </w:p>
          <w:p w14:paraId="16E7FB32" w14:textId="77777777" w:rsidR="003E26EA" w:rsidRPr="00C42FCF" w:rsidRDefault="003E26EA" w:rsidP="00F839DB">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identifying and designing suitable duties for the injured worker to assist employers to meet their obligations in providing suitable employment to injured workers</w:t>
            </w:r>
          </w:p>
          <w:p w14:paraId="5C9C6655" w14:textId="77777777" w:rsidR="003E26EA" w:rsidRPr="00C42FCF" w:rsidRDefault="003E26EA" w:rsidP="00F839DB">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identifying and coordinating rehabilitation strategies that ensure workers are able to safely perform their duties</w:t>
            </w:r>
          </w:p>
          <w:p w14:paraId="770EBB6B" w14:textId="77777777" w:rsidR="003E26EA" w:rsidRPr="00C42FCF" w:rsidRDefault="003E26EA" w:rsidP="00F839DB">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forging the link between the insurer, employer and treatment providers to ensure a focus on return to work, and</w:t>
            </w:r>
          </w:p>
          <w:p w14:paraId="0B38F155" w14:textId="77777777" w:rsidR="003E26EA" w:rsidRPr="00C42FCF" w:rsidRDefault="003E26EA" w:rsidP="00F839DB">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arranging appropriate retraining and placement in alternative employment when the worker is unable to return to pre-injury duties.</w:t>
            </w:r>
          </w:p>
        </w:tc>
      </w:tr>
      <w:tr w:rsidR="003E26EA" w:rsidRPr="003E26EA" w14:paraId="38471434" w14:textId="77777777" w:rsidTr="00C3751B">
        <w:tc>
          <w:tcPr>
            <w:tcW w:w="1059" w:type="dxa"/>
            <w:tcMar>
              <w:top w:w="80" w:type="dxa"/>
              <w:left w:w="80" w:type="dxa"/>
              <w:bottom w:w="80" w:type="dxa"/>
              <w:right w:w="80" w:type="dxa"/>
            </w:tcMar>
          </w:tcPr>
          <w:p w14:paraId="65240080"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C’wealth Seacare</w:t>
            </w:r>
          </w:p>
        </w:tc>
        <w:tc>
          <w:tcPr>
            <w:tcW w:w="13956" w:type="dxa"/>
            <w:tcMar>
              <w:top w:w="80" w:type="dxa"/>
              <w:left w:w="80" w:type="dxa"/>
              <w:bottom w:w="80" w:type="dxa"/>
              <w:right w:w="80" w:type="dxa"/>
            </w:tcMar>
          </w:tcPr>
          <w:p w14:paraId="3134239D" w14:textId="56A7749E" w:rsidR="003E26EA" w:rsidRPr="003E26EA" w:rsidRDefault="00990B13" w:rsidP="00990B13">
            <w:pPr>
              <w:spacing w:after="60"/>
              <w:rPr>
                <w:rFonts w:cs="Arial"/>
                <w:color w:val="000000"/>
                <w:sz w:val="14"/>
                <w:szCs w:val="16"/>
                <w:lang w:val="en-GB"/>
              </w:rPr>
            </w:pPr>
            <w:r w:rsidRPr="00016069">
              <w:rPr>
                <w:i/>
                <w:sz w:val="14"/>
              </w:rPr>
              <w:t>Seafarers Rehabilitation and Compensation Act 1992</w:t>
            </w:r>
            <w:r>
              <w:rPr>
                <w:rFonts w:cs="Arial"/>
                <w:color w:val="000000"/>
                <w:sz w:val="14"/>
                <w:szCs w:val="16"/>
                <w:lang w:val="en-GB"/>
              </w:rPr>
              <w:t xml:space="preserve"> </w:t>
            </w:r>
            <w:hyperlink r:id="rId1953" w:history="1">
              <w:r w:rsidR="003E26EA" w:rsidRPr="00990B13">
                <w:rPr>
                  <w:rStyle w:val="Hyperlink"/>
                  <w:rFonts w:cs="Arial"/>
                  <w:sz w:val="14"/>
                  <w:szCs w:val="16"/>
                  <w:lang w:val="en-GB"/>
                </w:rPr>
                <w:t>s48</w:t>
              </w:r>
            </w:hyperlink>
            <w:r w:rsidR="003E26EA" w:rsidRPr="003E26EA">
              <w:rPr>
                <w:rFonts w:cs="Arial"/>
                <w:color w:val="000000"/>
                <w:sz w:val="14"/>
                <w:szCs w:val="16"/>
                <w:lang w:val="en-GB"/>
              </w:rPr>
              <w:t xml:space="preserve"> — states that approved rehabilitation program providers under Part 3 of the </w:t>
            </w:r>
            <w:r>
              <w:rPr>
                <w:rFonts w:cs="Arial"/>
                <w:color w:val="000000"/>
                <w:sz w:val="14"/>
                <w:szCs w:val="16"/>
                <w:lang w:val="en-GB"/>
              </w:rPr>
              <w:t>1992 Act h</w:t>
            </w:r>
            <w:r w:rsidR="003E26EA" w:rsidRPr="003E26EA">
              <w:rPr>
                <w:rFonts w:cs="Arial"/>
                <w:color w:val="000000"/>
                <w:sz w:val="14"/>
                <w:szCs w:val="16"/>
                <w:lang w:val="en-GB"/>
              </w:rPr>
              <w:t xml:space="preserve">as the same meaning as in the </w:t>
            </w:r>
            <w:r w:rsidR="003E26EA" w:rsidRPr="003E26EA">
              <w:rPr>
                <w:rFonts w:cs="Arial"/>
                <w:i/>
                <w:color w:val="000000"/>
                <w:sz w:val="14"/>
                <w:szCs w:val="16"/>
                <w:lang w:val="en-GB"/>
              </w:rPr>
              <w:t>Safety, Rehabilitation and Compensation Act</w:t>
            </w:r>
            <w:r w:rsidR="003E26EA" w:rsidRPr="003E26EA">
              <w:rPr>
                <w:rFonts w:cs="Arial"/>
                <w:color w:val="000000"/>
                <w:sz w:val="14"/>
                <w:szCs w:val="16"/>
                <w:lang w:val="en-GB"/>
              </w:rPr>
              <w:t xml:space="preserve"> </w:t>
            </w:r>
            <w:r w:rsidR="003E26EA" w:rsidRPr="003E26EA">
              <w:rPr>
                <w:rFonts w:cs="Arial"/>
                <w:i/>
                <w:color w:val="000000"/>
                <w:sz w:val="14"/>
                <w:szCs w:val="16"/>
                <w:lang w:val="en-GB"/>
              </w:rPr>
              <w:t>1988</w:t>
            </w:r>
            <w:r w:rsidR="003E26EA" w:rsidRPr="003E26EA">
              <w:rPr>
                <w:rFonts w:cs="Arial"/>
                <w:color w:val="000000"/>
                <w:sz w:val="14"/>
                <w:szCs w:val="16"/>
                <w:lang w:val="en-GB"/>
              </w:rPr>
              <w:t>. Therefore, the responsibilities of rehabilitation providers are the same as Comcare.</w:t>
            </w:r>
          </w:p>
        </w:tc>
      </w:tr>
      <w:tr w:rsidR="003E26EA" w:rsidRPr="003E26EA" w14:paraId="5A23298C" w14:textId="77777777" w:rsidTr="00C3751B">
        <w:tc>
          <w:tcPr>
            <w:tcW w:w="1059" w:type="dxa"/>
            <w:shd w:val="clear" w:color="auto" w:fill="FFC9C9"/>
            <w:tcMar>
              <w:top w:w="80" w:type="dxa"/>
              <w:left w:w="80" w:type="dxa"/>
              <w:bottom w:w="80" w:type="dxa"/>
              <w:right w:w="80" w:type="dxa"/>
            </w:tcMar>
          </w:tcPr>
          <w:p w14:paraId="19DEE463"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C’wealth DVA</w:t>
            </w:r>
          </w:p>
        </w:tc>
        <w:tc>
          <w:tcPr>
            <w:tcW w:w="13956" w:type="dxa"/>
            <w:shd w:val="clear" w:color="auto" w:fill="FFC9C9"/>
            <w:tcMar>
              <w:top w:w="80" w:type="dxa"/>
              <w:left w:w="80" w:type="dxa"/>
              <w:bottom w:w="80" w:type="dxa"/>
              <w:right w:w="80" w:type="dxa"/>
            </w:tcMar>
          </w:tcPr>
          <w:p w14:paraId="4691958D" w14:textId="5801294A" w:rsidR="003E26EA" w:rsidRPr="003E26EA" w:rsidRDefault="00A7538C" w:rsidP="00795087">
            <w:pPr>
              <w:spacing w:after="60"/>
              <w:rPr>
                <w:rFonts w:cs="Arial"/>
                <w:color w:val="000000"/>
                <w:sz w:val="14"/>
                <w:szCs w:val="16"/>
                <w:lang w:val="en-GB"/>
              </w:rPr>
            </w:pPr>
            <w:hyperlink r:id="rId1954" w:history="1">
              <w:r w:rsidR="00795087">
                <w:rPr>
                  <w:rFonts w:cs="Arial"/>
                  <w:color w:val="0000FF"/>
                  <w:sz w:val="14"/>
                  <w:szCs w:val="16"/>
                  <w:u w:val="single"/>
                  <w:lang w:val="en-GB"/>
                </w:rPr>
                <w:t>DVA Rehabilitation Providers</w:t>
              </w:r>
            </w:hyperlink>
            <w:r w:rsidR="003E26EA" w:rsidRPr="003E26EA">
              <w:rPr>
                <w:rFonts w:cs="Arial"/>
                <w:color w:val="000000"/>
                <w:sz w:val="14"/>
                <w:szCs w:val="16"/>
                <w:lang w:val="en-GB"/>
              </w:rPr>
              <w:t xml:space="preserve"> are engaged by DVA to undertake a range of activities including assessment, plan development and management on behalf of DVA to optimise rehabilitation outcomes. Responsibility for the approval of </w:t>
            </w:r>
            <w:r w:rsidR="00795087">
              <w:rPr>
                <w:rFonts w:cs="Arial"/>
                <w:color w:val="000000"/>
                <w:sz w:val="14"/>
                <w:szCs w:val="16"/>
                <w:lang w:val="en-GB"/>
              </w:rPr>
              <w:t xml:space="preserve">rehabilitation activities </w:t>
            </w:r>
            <w:r w:rsidR="003E26EA" w:rsidRPr="003E26EA">
              <w:rPr>
                <w:rFonts w:cs="Arial"/>
                <w:color w:val="000000"/>
                <w:sz w:val="14"/>
                <w:szCs w:val="16"/>
                <w:lang w:val="en-GB"/>
              </w:rPr>
              <w:t xml:space="preserve">recommended by the service provider lies with DVA Rehabilitation Coordinators. The choice of </w:t>
            </w:r>
            <w:r w:rsidR="00795087">
              <w:rPr>
                <w:rFonts w:cs="Arial"/>
                <w:color w:val="000000"/>
                <w:sz w:val="14"/>
                <w:szCs w:val="16"/>
                <w:lang w:val="en-GB"/>
              </w:rPr>
              <w:t xml:space="preserve">rehabilitation activities </w:t>
            </w:r>
            <w:r w:rsidR="003E26EA" w:rsidRPr="003E26EA">
              <w:rPr>
                <w:rFonts w:cs="Arial"/>
                <w:color w:val="000000"/>
                <w:sz w:val="14"/>
                <w:szCs w:val="16"/>
                <w:lang w:val="en-GB"/>
              </w:rPr>
              <w:t xml:space="preserve">will depend on the local services available and the specific needs of the client. </w:t>
            </w:r>
          </w:p>
        </w:tc>
      </w:tr>
      <w:bookmarkEnd w:id="179"/>
      <w:tr w:rsidR="003E26EA" w:rsidRPr="003E26EA" w14:paraId="39A1AC69" w14:textId="77777777" w:rsidTr="00C3751B">
        <w:tc>
          <w:tcPr>
            <w:tcW w:w="1059" w:type="dxa"/>
            <w:tcMar>
              <w:top w:w="80" w:type="dxa"/>
              <w:left w:w="80" w:type="dxa"/>
              <w:bottom w:w="80" w:type="dxa"/>
              <w:right w:w="80" w:type="dxa"/>
            </w:tcMar>
          </w:tcPr>
          <w:p w14:paraId="11FDCC35"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lastRenderedPageBreak/>
              <w:t>New Zealand</w:t>
            </w:r>
          </w:p>
        </w:tc>
        <w:tc>
          <w:tcPr>
            <w:tcW w:w="13956" w:type="dxa"/>
            <w:tcMar>
              <w:top w:w="80" w:type="dxa"/>
              <w:left w:w="80" w:type="dxa"/>
              <w:bottom w:w="80" w:type="dxa"/>
              <w:right w:w="80" w:type="dxa"/>
            </w:tcMar>
          </w:tcPr>
          <w:p w14:paraId="508FD9C1" w14:textId="4EB7123B"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N/A</w:t>
            </w:r>
          </w:p>
        </w:tc>
      </w:tr>
    </w:tbl>
    <w:p w14:paraId="5EF4E19C" w14:textId="77777777" w:rsidR="00ED089D" w:rsidRPr="00A80282" w:rsidRDefault="00ED089D" w:rsidP="00BA6173">
      <w:pPr>
        <w:pStyle w:val="SWATableheader"/>
        <w:spacing w:before="0"/>
      </w:pPr>
      <w:bookmarkStart w:id="185" w:name="_Toc504654699"/>
      <w:r w:rsidRPr="00A80282">
        <w:lastRenderedPageBreak/>
        <w:t>Table 5.7b: Rehabilitation provider qualifications and fee structure</w:t>
      </w:r>
      <w:bookmarkEnd w:id="185"/>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7b: Rehabilitation provider qualifications and fee structure  "/>
        <w:tblDescription w:val="This table provides information about rehabilitation provider qualifications and fee structures. "/>
      </w:tblPr>
      <w:tblGrid>
        <w:gridCol w:w="1485"/>
        <w:gridCol w:w="6804"/>
        <w:gridCol w:w="6726"/>
      </w:tblGrid>
      <w:tr w:rsidR="00ED089D" w:rsidRPr="00ED089D" w14:paraId="524A7260" w14:textId="77777777" w:rsidTr="00292A53">
        <w:trPr>
          <w:tblHeader/>
        </w:trPr>
        <w:tc>
          <w:tcPr>
            <w:tcW w:w="1485" w:type="dxa"/>
            <w:shd w:val="clear" w:color="auto" w:fill="C00000"/>
            <w:tcMar>
              <w:top w:w="0" w:type="dxa"/>
              <w:left w:w="0" w:type="dxa"/>
              <w:bottom w:w="0" w:type="dxa"/>
              <w:right w:w="0" w:type="dxa"/>
            </w:tcMar>
            <w:vAlign w:val="center"/>
          </w:tcPr>
          <w:p w14:paraId="738000E0" w14:textId="77777777" w:rsidR="00ED089D" w:rsidRPr="00ED089D" w:rsidRDefault="00ED089D" w:rsidP="00292A53">
            <w:pPr>
              <w:pStyle w:val="Tableheaderrow"/>
              <w:spacing w:after="60"/>
            </w:pPr>
          </w:p>
        </w:tc>
        <w:tc>
          <w:tcPr>
            <w:tcW w:w="6804" w:type="dxa"/>
            <w:shd w:val="clear" w:color="auto" w:fill="C00000"/>
            <w:tcMar>
              <w:top w:w="0" w:type="dxa"/>
              <w:left w:w="0" w:type="dxa"/>
              <w:bottom w:w="0" w:type="dxa"/>
              <w:right w:w="0" w:type="dxa"/>
            </w:tcMar>
            <w:vAlign w:val="center"/>
          </w:tcPr>
          <w:p w14:paraId="10AE7E19" w14:textId="77777777" w:rsidR="00ED089D" w:rsidRPr="00ED089D" w:rsidRDefault="00ED089D" w:rsidP="00292A53">
            <w:pPr>
              <w:pStyle w:val="Tableheaderrow"/>
              <w:spacing w:after="60"/>
            </w:pPr>
            <w:r w:rsidRPr="00ED089D">
              <w:t>Minimum qualifications</w:t>
            </w:r>
          </w:p>
        </w:tc>
        <w:tc>
          <w:tcPr>
            <w:tcW w:w="6726" w:type="dxa"/>
            <w:shd w:val="clear" w:color="auto" w:fill="C00000"/>
            <w:tcMar>
              <w:top w:w="0" w:type="dxa"/>
              <w:left w:w="0" w:type="dxa"/>
              <w:bottom w:w="0" w:type="dxa"/>
              <w:right w:w="0" w:type="dxa"/>
            </w:tcMar>
            <w:vAlign w:val="center"/>
          </w:tcPr>
          <w:p w14:paraId="11284E24" w14:textId="77777777" w:rsidR="00ED089D" w:rsidRPr="00ED089D" w:rsidRDefault="00ED089D" w:rsidP="00292A53">
            <w:pPr>
              <w:pStyle w:val="Tableheaderrow"/>
              <w:spacing w:after="60"/>
            </w:pPr>
            <w:r w:rsidRPr="00ED089D">
              <w:t>Fee structure</w:t>
            </w:r>
          </w:p>
        </w:tc>
      </w:tr>
      <w:tr w:rsidR="00ED089D" w:rsidRPr="00ED089D" w14:paraId="5457EAB1" w14:textId="77777777" w:rsidTr="00292A53">
        <w:tc>
          <w:tcPr>
            <w:tcW w:w="1485" w:type="dxa"/>
            <w:shd w:val="clear" w:color="auto" w:fill="FFC9C9"/>
            <w:tcMar>
              <w:top w:w="80" w:type="dxa"/>
              <w:left w:w="80" w:type="dxa"/>
              <w:bottom w:w="80" w:type="dxa"/>
              <w:right w:w="80" w:type="dxa"/>
            </w:tcMar>
          </w:tcPr>
          <w:p w14:paraId="0D12A8AA"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New South Wales</w:t>
            </w:r>
          </w:p>
        </w:tc>
        <w:tc>
          <w:tcPr>
            <w:tcW w:w="6804" w:type="dxa"/>
            <w:shd w:val="clear" w:color="auto" w:fill="FFC9C9"/>
            <w:tcMar>
              <w:top w:w="80" w:type="dxa"/>
              <w:left w:w="80" w:type="dxa"/>
              <w:bottom w:w="80" w:type="dxa"/>
              <w:right w:w="80" w:type="dxa"/>
            </w:tcMar>
          </w:tcPr>
          <w:p w14:paraId="1FDD48CB" w14:textId="627A9074" w:rsidR="00ED089D" w:rsidRPr="00ED089D" w:rsidRDefault="00A7538C" w:rsidP="00292A53">
            <w:pPr>
              <w:spacing w:after="60"/>
              <w:rPr>
                <w:rFonts w:cs="Arial"/>
                <w:color w:val="000000"/>
                <w:sz w:val="14"/>
                <w:szCs w:val="16"/>
                <w:lang w:val="en-GB"/>
              </w:rPr>
            </w:pPr>
            <w:hyperlink r:id="rId1955" w:history="1">
              <w:r w:rsidR="00ED089D" w:rsidRPr="00ED089D">
                <w:rPr>
                  <w:rFonts w:cs="Arial"/>
                  <w:color w:val="0000FF"/>
                  <w:sz w:val="14"/>
                  <w:szCs w:val="16"/>
                  <w:u w:val="single"/>
                  <w:lang w:val="en-GB"/>
                </w:rPr>
                <w:t>Guide: Nationally consistent approval framework for workplace rehabilitation providers</w:t>
              </w:r>
            </w:hyperlink>
          </w:p>
          <w:p w14:paraId="073E4EB8" w14:textId="5E90E066" w:rsidR="00ED089D" w:rsidRPr="00ED089D" w:rsidRDefault="00A7538C" w:rsidP="00292A53">
            <w:pPr>
              <w:spacing w:after="60"/>
              <w:rPr>
                <w:rFonts w:cs="Arial"/>
                <w:color w:val="000000"/>
                <w:sz w:val="14"/>
                <w:szCs w:val="16"/>
                <w:lang w:val="en-GB"/>
              </w:rPr>
            </w:pPr>
            <w:hyperlink r:id="rId1956" w:history="1">
              <w:r w:rsidR="00ED089D" w:rsidRPr="00ED089D">
                <w:rPr>
                  <w:rFonts w:cs="Arial"/>
                  <w:color w:val="0000FF"/>
                  <w:sz w:val="14"/>
                  <w:szCs w:val="16"/>
                  <w:u w:val="single"/>
                </w:rPr>
                <w:t>NSW Supplement</w:t>
              </w:r>
              <w:r w:rsidR="00DD0D68">
                <w:rPr>
                  <w:rFonts w:cs="Arial"/>
                  <w:color w:val="0000FF"/>
                  <w:sz w:val="14"/>
                  <w:szCs w:val="16"/>
                  <w:u w:val="single"/>
                </w:rPr>
                <w:t xml:space="preserve"> </w:t>
              </w:r>
              <w:r w:rsidR="00ED089D" w:rsidRPr="00ED089D">
                <w:rPr>
                  <w:rFonts w:cs="Arial"/>
                  <w:color w:val="0000FF"/>
                  <w:sz w:val="14"/>
                  <w:szCs w:val="16"/>
                  <w:u w:val="single"/>
                </w:rPr>
                <w:t>to the guide</w:t>
              </w:r>
            </w:hyperlink>
          </w:p>
        </w:tc>
        <w:tc>
          <w:tcPr>
            <w:tcW w:w="6726" w:type="dxa"/>
            <w:shd w:val="clear" w:color="auto" w:fill="FFC9C9"/>
            <w:tcMar>
              <w:top w:w="80" w:type="dxa"/>
              <w:left w:w="80" w:type="dxa"/>
              <w:bottom w:w="80" w:type="dxa"/>
              <w:right w:w="80" w:type="dxa"/>
            </w:tcMar>
          </w:tcPr>
          <w:p w14:paraId="7C5E9A71" w14:textId="1EA7DE6F" w:rsidR="00ED089D" w:rsidRPr="00ED089D" w:rsidRDefault="00ED089D" w:rsidP="00292A53">
            <w:pPr>
              <w:spacing w:after="60"/>
              <w:rPr>
                <w:rFonts w:cs="Arial"/>
                <w:color w:val="000000"/>
                <w:sz w:val="14"/>
                <w:szCs w:val="16"/>
                <w:lang w:val="en-GB"/>
              </w:rPr>
            </w:pPr>
            <w:r w:rsidRPr="00ED089D">
              <w:rPr>
                <w:rFonts w:cs="Arial"/>
                <w:color w:val="000000"/>
                <w:sz w:val="14"/>
                <w:szCs w:val="16"/>
              </w:rPr>
              <w:t>There are no fee structures for workplace reha</w:t>
            </w:r>
            <w:r w:rsidR="00BB4F03">
              <w:rPr>
                <w:rFonts w:cs="Arial"/>
                <w:color w:val="000000"/>
                <w:sz w:val="14"/>
                <w:szCs w:val="16"/>
              </w:rPr>
              <w:t>bilitation services set by SIRA</w:t>
            </w:r>
          </w:p>
        </w:tc>
      </w:tr>
      <w:tr w:rsidR="00ED089D" w:rsidRPr="00ED089D" w14:paraId="7ECAAC75" w14:textId="77777777" w:rsidTr="00292A53">
        <w:tc>
          <w:tcPr>
            <w:tcW w:w="1485" w:type="dxa"/>
            <w:tcMar>
              <w:top w:w="80" w:type="dxa"/>
              <w:left w:w="80" w:type="dxa"/>
              <w:bottom w:w="80" w:type="dxa"/>
              <w:right w:w="80" w:type="dxa"/>
            </w:tcMar>
          </w:tcPr>
          <w:p w14:paraId="4BD37C11"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Victoria</w:t>
            </w:r>
          </w:p>
        </w:tc>
        <w:tc>
          <w:tcPr>
            <w:tcW w:w="6804" w:type="dxa"/>
            <w:tcMar>
              <w:top w:w="80" w:type="dxa"/>
              <w:left w:w="80" w:type="dxa"/>
              <w:bottom w:w="80" w:type="dxa"/>
              <w:right w:w="80" w:type="dxa"/>
            </w:tcMar>
          </w:tcPr>
          <w:p w14:paraId="0B4B6402" w14:textId="237EFCC1"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Providers must meet the Nationally Consistent Approval Framework for Workplace Rehabi</w:t>
            </w:r>
            <w:r w:rsidR="00BB4F03">
              <w:rPr>
                <w:rFonts w:cs="Arial"/>
                <w:color w:val="000000"/>
                <w:sz w:val="14"/>
                <w:szCs w:val="16"/>
                <w:lang w:val="en-GB"/>
              </w:rPr>
              <w:t>litation Providers requirements</w:t>
            </w:r>
          </w:p>
        </w:tc>
        <w:tc>
          <w:tcPr>
            <w:tcW w:w="6726" w:type="dxa"/>
            <w:tcMar>
              <w:top w:w="80" w:type="dxa"/>
              <w:left w:w="80" w:type="dxa"/>
              <w:bottom w:w="80" w:type="dxa"/>
              <w:right w:w="80" w:type="dxa"/>
            </w:tcMar>
          </w:tcPr>
          <w:p w14:paraId="6E6CF513" w14:textId="77777777" w:rsidR="00ED089D" w:rsidRDefault="00A7538C" w:rsidP="00292A53">
            <w:pPr>
              <w:spacing w:after="60"/>
              <w:rPr>
                <w:rFonts w:cs="Arial"/>
                <w:color w:val="0000FF"/>
                <w:sz w:val="14"/>
                <w:szCs w:val="16"/>
                <w:u w:val="single"/>
                <w:lang w:val="en-GB"/>
              </w:rPr>
            </w:pPr>
            <w:hyperlink r:id="rId1957" w:history="1">
              <w:r w:rsidR="00ED089D" w:rsidRPr="00ED089D">
                <w:rPr>
                  <w:rFonts w:cs="Arial"/>
                  <w:color w:val="0000FF"/>
                  <w:sz w:val="14"/>
                  <w:szCs w:val="16"/>
                  <w:u w:val="single"/>
                  <w:lang w:val="en-GB"/>
                </w:rPr>
                <w:t>Original and New Employer Services</w:t>
              </w:r>
            </w:hyperlink>
          </w:p>
          <w:p w14:paraId="66484D4F" w14:textId="70CA6F98" w:rsidR="001C3881" w:rsidRPr="00ED089D" w:rsidRDefault="00A7538C" w:rsidP="00292A53">
            <w:pPr>
              <w:spacing w:after="60"/>
              <w:rPr>
                <w:rFonts w:cs="Arial"/>
                <w:color w:val="000000"/>
                <w:sz w:val="14"/>
                <w:szCs w:val="16"/>
                <w:lang w:val="en-GB"/>
              </w:rPr>
            </w:pPr>
            <w:hyperlink r:id="rId1958" w:history="1">
              <w:r w:rsidR="001C3881" w:rsidRPr="001C3881">
                <w:rPr>
                  <w:rStyle w:val="Hyperlink"/>
                  <w:rFonts w:cs="Arial"/>
                  <w:sz w:val="14"/>
                  <w:szCs w:val="16"/>
                  <w:lang w:val="en-GB"/>
                </w:rPr>
                <w:t>Occupational rehabilitation fee schedule (expanded)</w:t>
              </w:r>
            </w:hyperlink>
          </w:p>
        </w:tc>
      </w:tr>
      <w:tr w:rsidR="00ED089D" w:rsidRPr="00ED089D" w14:paraId="050677A6" w14:textId="77777777" w:rsidTr="00292A53">
        <w:tc>
          <w:tcPr>
            <w:tcW w:w="1485" w:type="dxa"/>
            <w:shd w:val="clear" w:color="auto" w:fill="FFC9C9"/>
            <w:tcMar>
              <w:top w:w="80" w:type="dxa"/>
              <w:left w:w="80" w:type="dxa"/>
              <w:bottom w:w="80" w:type="dxa"/>
              <w:right w:w="80" w:type="dxa"/>
            </w:tcMar>
          </w:tcPr>
          <w:p w14:paraId="4046FFC3"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Queensland</w:t>
            </w:r>
          </w:p>
        </w:tc>
        <w:tc>
          <w:tcPr>
            <w:tcW w:w="6804" w:type="dxa"/>
            <w:shd w:val="clear" w:color="auto" w:fill="FFC9C9"/>
            <w:tcMar>
              <w:top w:w="80" w:type="dxa"/>
              <w:left w:w="80" w:type="dxa"/>
              <w:bottom w:w="80" w:type="dxa"/>
              <w:right w:w="80" w:type="dxa"/>
            </w:tcMar>
          </w:tcPr>
          <w:p w14:paraId="7ECEAE08" w14:textId="59B3357A"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There are no legislative minimum requirements for Workplace Rehabilitation Providers in Queensland. The Regulator outlines </w:t>
            </w:r>
            <w:hyperlink r:id="rId1959" w:history="1">
              <w:r w:rsidRPr="00ED089D">
                <w:rPr>
                  <w:rFonts w:cs="Arial"/>
                  <w:color w:val="0000FF"/>
                  <w:sz w:val="14"/>
                  <w:szCs w:val="16"/>
                  <w:u w:val="single"/>
                  <w:lang w:val="en-GB"/>
                </w:rPr>
                <w:t>Guidelines for standard for rehabilitation</w:t>
              </w:r>
            </w:hyperlink>
          </w:p>
        </w:tc>
        <w:tc>
          <w:tcPr>
            <w:tcW w:w="6726" w:type="dxa"/>
            <w:shd w:val="clear" w:color="auto" w:fill="FFC9C9"/>
            <w:tcMar>
              <w:top w:w="80" w:type="dxa"/>
              <w:left w:w="80" w:type="dxa"/>
              <w:bottom w:w="80" w:type="dxa"/>
              <w:right w:w="80" w:type="dxa"/>
            </w:tcMar>
          </w:tcPr>
          <w:p w14:paraId="59F77313" w14:textId="4B178075" w:rsidR="00ED089D" w:rsidRPr="00ED089D" w:rsidRDefault="00A7538C" w:rsidP="00292A53">
            <w:pPr>
              <w:spacing w:after="60"/>
              <w:rPr>
                <w:rFonts w:cs="Arial"/>
                <w:color w:val="000000"/>
                <w:sz w:val="14"/>
                <w:szCs w:val="16"/>
                <w:lang w:val="en-GB"/>
              </w:rPr>
            </w:pPr>
            <w:hyperlink r:id="rId1960" w:history="1">
              <w:r w:rsidR="00ED089D" w:rsidRPr="00ED089D">
                <w:rPr>
                  <w:rFonts w:cs="Arial"/>
                  <w:color w:val="0000FF"/>
                  <w:sz w:val="14"/>
                  <w:szCs w:val="16"/>
                  <w:u w:val="single"/>
                  <w:lang w:val="en-GB"/>
                </w:rPr>
                <w:t>Allied Health Fees</w:t>
              </w:r>
            </w:hyperlink>
          </w:p>
        </w:tc>
      </w:tr>
      <w:tr w:rsidR="00ED089D" w:rsidRPr="00ED089D" w14:paraId="1DD0477B" w14:textId="77777777" w:rsidTr="00292A53">
        <w:tc>
          <w:tcPr>
            <w:tcW w:w="1485" w:type="dxa"/>
            <w:tcMar>
              <w:top w:w="80" w:type="dxa"/>
              <w:left w:w="80" w:type="dxa"/>
              <w:bottom w:w="80" w:type="dxa"/>
              <w:right w:w="80" w:type="dxa"/>
            </w:tcMar>
          </w:tcPr>
          <w:p w14:paraId="6428C351"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Western Australia</w:t>
            </w:r>
          </w:p>
        </w:tc>
        <w:tc>
          <w:tcPr>
            <w:tcW w:w="6804" w:type="dxa"/>
            <w:tcMar>
              <w:top w:w="80" w:type="dxa"/>
              <w:left w:w="80" w:type="dxa"/>
              <w:bottom w:w="80" w:type="dxa"/>
              <w:right w:w="80" w:type="dxa"/>
            </w:tcMar>
          </w:tcPr>
          <w:p w14:paraId="0AD9D41E" w14:textId="7777777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To provide vocational rehabilitation services as prescribed in regulation 44:</w:t>
            </w:r>
          </w:p>
          <w:p w14:paraId="61AB46A2" w14:textId="77777777" w:rsidR="00ED089D" w:rsidRPr="00ED089D" w:rsidRDefault="00A7538C" w:rsidP="00292A53">
            <w:pPr>
              <w:spacing w:after="60"/>
              <w:rPr>
                <w:rFonts w:cs="Arial"/>
                <w:color w:val="000000"/>
                <w:sz w:val="14"/>
                <w:szCs w:val="16"/>
                <w:lang w:val="en-GB"/>
              </w:rPr>
            </w:pPr>
            <w:hyperlink r:id="rId1961" w:history="1">
              <w:r w:rsidR="00ED089D" w:rsidRPr="00ED089D">
                <w:rPr>
                  <w:rFonts w:cs="Arial"/>
                  <w:color w:val="0000FF"/>
                  <w:sz w:val="14"/>
                  <w:szCs w:val="16"/>
                  <w:u w:val="single"/>
                  <w:lang w:val="en-GB"/>
                </w:rPr>
                <w:t>Service Provision and Service Descriptions (Standards) for Approved Workplace Rehabilitation Providers</w:t>
              </w:r>
            </w:hyperlink>
            <w:r w:rsidR="00ED089D" w:rsidRPr="00ED089D">
              <w:rPr>
                <w:rFonts w:cs="Arial"/>
                <w:color w:val="000000"/>
                <w:sz w:val="14"/>
                <w:szCs w:val="16"/>
                <w:lang w:val="en-GB"/>
              </w:rPr>
              <w:t xml:space="preserve"> </w:t>
            </w:r>
          </w:p>
          <w:p w14:paraId="02C1967D" w14:textId="45896851" w:rsidR="00ED089D" w:rsidRPr="00ED089D" w:rsidRDefault="00A7538C" w:rsidP="00292A53">
            <w:pPr>
              <w:spacing w:after="60"/>
              <w:rPr>
                <w:rFonts w:cs="Arial"/>
                <w:color w:val="000000"/>
                <w:sz w:val="14"/>
                <w:szCs w:val="16"/>
                <w:lang w:val="en-GB"/>
              </w:rPr>
            </w:pPr>
            <w:hyperlink r:id="rId1962" w:history="1">
              <w:r w:rsidR="00ED089D" w:rsidRPr="00ED089D">
                <w:rPr>
                  <w:rFonts w:cs="Arial"/>
                  <w:color w:val="0000FF"/>
                  <w:sz w:val="14"/>
                  <w:szCs w:val="16"/>
                  <w:u w:val="single"/>
                </w:rPr>
                <w:t>Guide to the Nationally Consistent Approval Framework for Workplace Rehabilitation Providers</w:t>
              </w:r>
            </w:hyperlink>
          </w:p>
        </w:tc>
        <w:tc>
          <w:tcPr>
            <w:tcW w:w="6726" w:type="dxa"/>
            <w:tcMar>
              <w:top w:w="80" w:type="dxa"/>
              <w:left w:w="80" w:type="dxa"/>
              <w:bottom w:w="80" w:type="dxa"/>
              <w:right w:w="80" w:type="dxa"/>
            </w:tcMar>
          </w:tcPr>
          <w:p w14:paraId="57B6E086" w14:textId="5FA7DB00" w:rsidR="00ED089D" w:rsidRPr="00ED089D" w:rsidRDefault="00A7538C" w:rsidP="00292A53">
            <w:pPr>
              <w:spacing w:after="60"/>
              <w:rPr>
                <w:rFonts w:cs="Arial"/>
                <w:color w:val="000000"/>
                <w:sz w:val="14"/>
                <w:szCs w:val="16"/>
                <w:lang w:val="en-GB"/>
              </w:rPr>
            </w:pPr>
            <w:hyperlink r:id="rId1963" w:history="1">
              <w:r w:rsidR="00ED089D" w:rsidRPr="00ED089D">
                <w:rPr>
                  <w:rFonts w:cs="Arial"/>
                  <w:color w:val="0000FF"/>
                  <w:sz w:val="14"/>
                  <w:szCs w:val="16"/>
                  <w:u w:val="single"/>
                  <w:lang w:val="en-GB"/>
                </w:rPr>
                <w:t>Fees info for Workplace Rehabilitation Providers</w:t>
              </w:r>
            </w:hyperlink>
          </w:p>
        </w:tc>
      </w:tr>
      <w:tr w:rsidR="00ED089D" w:rsidRPr="00ED089D" w14:paraId="579105D8" w14:textId="77777777" w:rsidTr="00292A53">
        <w:tc>
          <w:tcPr>
            <w:tcW w:w="1485" w:type="dxa"/>
            <w:shd w:val="clear" w:color="auto" w:fill="FFC9C9"/>
            <w:tcMar>
              <w:top w:w="80" w:type="dxa"/>
              <w:left w:w="80" w:type="dxa"/>
              <w:bottom w:w="80" w:type="dxa"/>
              <w:right w:w="80" w:type="dxa"/>
            </w:tcMar>
          </w:tcPr>
          <w:p w14:paraId="5A52F926"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South Australia</w:t>
            </w:r>
          </w:p>
        </w:tc>
        <w:tc>
          <w:tcPr>
            <w:tcW w:w="6804" w:type="dxa"/>
            <w:shd w:val="clear" w:color="auto" w:fill="FFC9C9"/>
            <w:tcMar>
              <w:top w:w="80" w:type="dxa"/>
              <w:left w:w="80" w:type="dxa"/>
              <w:bottom w:w="80" w:type="dxa"/>
              <w:right w:w="80" w:type="dxa"/>
            </w:tcMar>
          </w:tcPr>
          <w:p w14:paraId="3C2CFAE0" w14:textId="6092C30C" w:rsidR="00ED089D" w:rsidRPr="00ED089D" w:rsidRDefault="00ED089D" w:rsidP="00292A53">
            <w:pPr>
              <w:spacing w:after="60"/>
              <w:rPr>
                <w:rFonts w:cs="Arial"/>
                <w:color w:val="000000"/>
                <w:sz w:val="14"/>
                <w:szCs w:val="16"/>
                <w:highlight w:val="yellow"/>
                <w:lang w:val="en-GB"/>
              </w:rPr>
            </w:pPr>
            <w:r w:rsidRPr="00ED089D">
              <w:rPr>
                <w:rFonts w:cs="Arial"/>
                <w:color w:val="000000"/>
                <w:sz w:val="14"/>
                <w:szCs w:val="16"/>
                <w:lang w:val="en-GB"/>
              </w:rPr>
              <w:t xml:space="preserve">Providers must meet requirements in the </w:t>
            </w:r>
            <w:hyperlink r:id="rId1964" w:history="1">
              <w:r w:rsidRPr="00ED089D">
                <w:rPr>
                  <w:rFonts w:cs="Arial"/>
                  <w:color w:val="0000FF"/>
                  <w:sz w:val="14"/>
                  <w:szCs w:val="16"/>
                  <w:u w:val="single"/>
                </w:rPr>
                <w:t>Return to Work Services Fee Schedule</w:t>
              </w:r>
            </w:hyperlink>
          </w:p>
        </w:tc>
        <w:tc>
          <w:tcPr>
            <w:tcW w:w="6726" w:type="dxa"/>
            <w:shd w:val="clear" w:color="auto" w:fill="FFC9C9"/>
            <w:tcMar>
              <w:top w:w="80" w:type="dxa"/>
              <w:left w:w="80" w:type="dxa"/>
              <w:bottom w:w="80" w:type="dxa"/>
              <w:right w:w="80" w:type="dxa"/>
            </w:tcMar>
          </w:tcPr>
          <w:p w14:paraId="24A13593" w14:textId="489AB373" w:rsidR="00ED089D" w:rsidRPr="00ED089D" w:rsidRDefault="00ED089D" w:rsidP="00292A53">
            <w:pPr>
              <w:spacing w:after="60"/>
              <w:rPr>
                <w:rFonts w:cs="Arial"/>
                <w:color w:val="000000"/>
                <w:sz w:val="14"/>
                <w:szCs w:val="16"/>
                <w:highlight w:val="yellow"/>
                <w:lang w:val="en-GB"/>
              </w:rPr>
            </w:pPr>
            <w:r w:rsidRPr="00ED089D">
              <w:rPr>
                <w:rFonts w:cs="Arial"/>
                <w:color w:val="000000"/>
                <w:sz w:val="14"/>
                <w:szCs w:val="16"/>
                <w:lang w:val="en-GB"/>
              </w:rPr>
              <w:t xml:space="preserve">As outlined in </w:t>
            </w:r>
            <w:r w:rsidRPr="00ED089D">
              <w:rPr>
                <w:rFonts w:cs="Arial"/>
                <w:color w:val="0000FF"/>
                <w:sz w:val="14"/>
                <w:szCs w:val="16"/>
                <w:u w:val="single"/>
              </w:rPr>
              <w:t>Fee Schedule.</w:t>
            </w:r>
          </w:p>
        </w:tc>
      </w:tr>
      <w:tr w:rsidR="00ED089D" w:rsidRPr="00ED089D" w14:paraId="5E07EDDA" w14:textId="77777777" w:rsidTr="00292A53">
        <w:tc>
          <w:tcPr>
            <w:tcW w:w="1485" w:type="dxa"/>
            <w:tcMar>
              <w:top w:w="80" w:type="dxa"/>
              <w:left w:w="80" w:type="dxa"/>
              <w:bottom w:w="80" w:type="dxa"/>
              <w:right w:w="80" w:type="dxa"/>
            </w:tcMar>
          </w:tcPr>
          <w:p w14:paraId="719A0735"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Tasmania</w:t>
            </w:r>
          </w:p>
        </w:tc>
        <w:tc>
          <w:tcPr>
            <w:tcW w:w="6804" w:type="dxa"/>
            <w:tcMar>
              <w:top w:w="80" w:type="dxa"/>
              <w:left w:w="80" w:type="dxa"/>
              <w:bottom w:w="80" w:type="dxa"/>
              <w:right w:w="80" w:type="dxa"/>
            </w:tcMar>
          </w:tcPr>
          <w:p w14:paraId="3B8ADC8A" w14:textId="77777777" w:rsidR="00276B83" w:rsidRPr="00ED089D" w:rsidRDefault="00276B83" w:rsidP="00276B83">
            <w:pPr>
              <w:spacing w:after="60"/>
              <w:rPr>
                <w:rFonts w:cs="Arial"/>
                <w:color w:val="0000FF"/>
                <w:sz w:val="14"/>
                <w:szCs w:val="16"/>
                <w:u w:val="single"/>
                <w:lang w:val="en-GB"/>
              </w:rPr>
            </w:pPr>
            <w:r w:rsidRPr="00ED089D">
              <w:rPr>
                <w:rFonts w:cs="Arial"/>
                <w:color w:val="000000"/>
                <w:sz w:val="14"/>
                <w:szCs w:val="16"/>
                <w:lang w:val="en-GB"/>
              </w:rPr>
              <w:fldChar w:fldCharType="begin"/>
            </w:r>
            <w:r>
              <w:rPr>
                <w:rFonts w:cs="Arial"/>
                <w:color w:val="000000"/>
                <w:sz w:val="14"/>
                <w:szCs w:val="16"/>
                <w:lang w:val="en-GB"/>
              </w:rPr>
              <w:instrText>HYPERLINK "http://www.workcover.tas.gov.au/health_providers/rehabilitation_providers"</w:instrText>
            </w:r>
            <w:r w:rsidRPr="00ED089D">
              <w:rPr>
                <w:rFonts w:cs="Arial"/>
                <w:color w:val="000000"/>
                <w:sz w:val="14"/>
                <w:szCs w:val="16"/>
                <w:lang w:val="en-GB"/>
              </w:rPr>
              <w:fldChar w:fldCharType="separate"/>
            </w:r>
            <w:r w:rsidRPr="00ED089D">
              <w:rPr>
                <w:rFonts w:cs="Arial"/>
                <w:color w:val="0000FF"/>
                <w:sz w:val="14"/>
                <w:szCs w:val="16"/>
                <w:u w:val="single"/>
                <w:lang w:val="en-GB"/>
              </w:rPr>
              <w:t>Workplace Rehabilitation Provider</w:t>
            </w:r>
            <w:r>
              <w:rPr>
                <w:rFonts w:cs="Arial"/>
                <w:color w:val="0000FF"/>
                <w:sz w:val="14"/>
                <w:szCs w:val="16"/>
                <w:u w:val="single"/>
                <w:lang w:val="en-GB"/>
              </w:rPr>
              <w:t>s</w:t>
            </w:r>
          </w:p>
          <w:p w14:paraId="2DE29A1D" w14:textId="593B5DA4" w:rsidR="00ED089D" w:rsidRPr="00ED089D" w:rsidRDefault="00276B83" w:rsidP="00276B83">
            <w:pPr>
              <w:spacing w:after="60"/>
              <w:rPr>
                <w:rFonts w:cs="Arial"/>
                <w:color w:val="000000"/>
                <w:sz w:val="14"/>
                <w:szCs w:val="16"/>
                <w:lang w:val="en-GB"/>
              </w:rPr>
            </w:pPr>
            <w:r w:rsidRPr="00ED089D">
              <w:rPr>
                <w:rFonts w:cs="Arial"/>
                <w:color w:val="000000"/>
                <w:sz w:val="14"/>
                <w:szCs w:val="16"/>
                <w:lang w:val="en-GB"/>
              </w:rPr>
              <w:fldChar w:fldCharType="end"/>
            </w:r>
          </w:p>
        </w:tc>
        <w:tc>
          <w:tcPr>
            <w:tcW w:w="6726" w:type="dxa"/>
            <w:tcMar>
              <w:top w:w="80" w:type="dxa"/>
              <w:left w:w="80" w:type="dxa"/>
              <w:bottom w:w="80" w:type="dxa"/>
              <w:right w:w="80" w:type="dxa"/>
            </w:tcMar>
          </w:tcPr>
          <w:p w14:paraId="693F1C34" w14:textId="2E036613" w:rsidR="00ED089D" w:rsidRPr="00ED089D" w:rsidRDefault="00BB4F03" w:rsidP="00292A53">
            <w:pPr>
              <w:spacing w:after="60"/>
              <w:rPr>
                <w:rFonts w:cs="Arial"/>
                <w:color w:val="000000"/>
                <w:sz w:val="14"/>
                <w:szCs w:val="16"/>
                <w:lang w:val="en-GB"/>
              </w:rPr>
            </w:pPr>
            <w:r>
              <w:rPr>
                <w:rFonts w:cs="Arial"/>
                <w:color w:val="000000"/>
                <w:sz w:val="14"/>
                <w:szCs w:val="16"/>
                <w:lang w:val="en-GB"/>
              </w:rPr>
              <w:t>No fee structure</w:t>
            </w:r>
          </w:p>
          <w:p w14:paraId="3529F6A5" w14:textId="5E977BAA"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Under</w:t>
            </w:r>
            <w:r w:rsidR="009668E0">
              <w:rPr>
                <w:rFonts w:cs="Arial"/>
                <w:color w:val="000000"/>
                <w:sz w:val="14"/>
                <w:szCs w:val="16"/>
                <w:lang w:val="en-GB"/>
              </w:rPr>
              <w:t xml:space="preserve"> </w:t>
            </w:r>
            <w:r w:rsidR="009668E0" w:rsidRPr="00016069">
              <w:rPr>
                <w:i/>
                <w:sz w:val="14"/>
              </w:rPr>
              <w:t>Workers Rehabilitation and Compensation Act 1988</w:t>
            </w:r>
            <w:r w:rsidRPr="00ED089D">
              <w:rPr>
                <w:rFonts w:cs="Arial"/>
                <w:color w:val="000000"/>
                <w:sz w:val="14"/>
                <w:szCs w:val="16"/>
                <w:lang w:val="en-GB"/>
              </w:rPr>
              <w:t xml:space="preserve"> </w:t>
            </w:r>
            <w:hyperlink r:id="rId1965" w:history="1">
              <w:r w:rsidRPr="009668E0">
                <w:rPr>
                  <w:rStyle w:val="Hyperlink"/>
                  <w:rFonts w:cs="Arial"/>
                  <w:sz w:val="14"/>
                  <w:szCs w:val="16"/>
                  <w:lang w:val="en-GB"/>
                </w:rPr>
                <w:t>s75(2A)</w:t>
              </w:r>
            </w:hyperlink>
            <w:r w:rsidRPr="00ED089D">
              <w:rPr>
                <w:rFonts w:cs="Arial"/>
                <w:color w:val="000000"/>
                <w:sz w:val="14"/>
                <w:szCs w:val="16"/>
                <w:lang w:val="en-GB"/>
              </w:rPr>
              <w:t xml:space="preserve"> — a person who provides any services in respect of a claim for compensation must not charge a fee that is in excess of </w:t>
            </w:r>
          </w:p>
          <w:p w14:paraId="25E7E62B" w14:textId="77777777" w:rsidR="00ED089D" w:rsidRPr="00ED089D" w:rsidRDefault="00ED089D" w:rsidP="00F839DB">
            <w:pPr>
              <w:pStyle w:val="ListParagraph"/>
              <w:numPr>
                <w:ilvl w:val="0"/>
                <w:numId w:val="315"/>
              </w:numPr>
              <w:spacing w:after="60"/>
              <w:ind w:left="357" w:hanging="357"/>
              <w:contextualSpacing/>
              <w:rPr>
                <w:rFonts w:cs="Arial"/>
                <w:color w:val="000000"/>
                <w:sz w:val="14"/>
                <w:szCs w:val="16"/>
                <w:lang w:val="en-GB"/>
              </w:rPr>
            </w:pPr>
            <w:r w:rsidRPr="00ED089D">
              <w:rPr>
                <w:rFonts w:cs="Arial"/>
                <w:color w:val="000000"/>
                <w:sz w:val="14"/>
                <w:szCs w:val="16"/>
                <w:lang w:val="en-GB"/>
              </w:rPr>
              <w:t xml:space="preserve">the prescribed fee; or </w:t>
            </w:r>
          </w:p>
          <w:p w14:paraId="4C75CB60" w14:textId="42A26595" w:rsidR="00ED089D" w:rsidRPr="00ED089D" w:rsidRDefault="00ED089D" w:rsidP="00F839DB">
            <w:pPr>
              <w:pStyle w:val="ListParagraph"/>
              <w:numPr>
                <w:ilvl w:val="0"/>
                <w:numId w:val="315"/>
              </w:numPr>
              <w:spacing w:after="60"/>
              <w:ind w:left="357" w:hanging="357"/>
              <w:contextualSpacing/>
              <w:rPr>
                <w:rFonts w:cs="Arial"/>
                <w:color w:val="000000"/>
                <w:sz w:val="14"/>
                <w:szCs w:val="16"/>
                <w:lang w:val="en-GB"/>
              </w:rPr>
            </w:pPr>
            <w:r w:rsidRPr="00ED089D">
              <w:rPr>
                <w:rFonts w:cs="Arial"/>
                <w:color w:val="000000"/>
                <w:sz w:val="14"/>
                <w:szCs w:val="16"/>
                <w:lang w:val="en-GB"/>
              </w:rPr>
              <w:t>if no fee is prescribed, the fee the person would normally charge (taking into account any discount that would normally be applicable) for that service if that service were to be provided for a matter not connecte</w:t>
            </w:r>
            <w:r w:rsidR="00BB4F03">
              <w:rPr>
                <w:rFonts w:cs="Arial"/>
                <w:color w:val="000000"/>
                <w:sz w:val="14"/>
                <w:szCs w:val="16"/>
                <w:lang w:val="en-GB"/>
              </w:rPr>
              <w:t>d with a claim for compensation</w:t>
            </w:r>
          </w:p>
        </w:tc>
      </w:tr>
      <w:tr w:rsidR="00ED089D" w:rsidRPr="00ED089D" w14:paraId="031607BC" w14:textId="77777777" w:rsidTr="00292A53">
        <w:tc>
          <w:tcPr>
            <w:tcW w:w="1485" w:type="dxa"/>
            <w:shd w:val="clear" w:color="auto" w:fill="FFC9C9"/>
            <w:tcMar>
              <w:top w:w="80" w:type="dxa"/>
              <w:left w:w="80" w:type="dxa"/>
              <w:bottom w:w="80" w:type="dxa"/>
              <w:right w:w="80" w:type="dxa"/>
            </w:tcMar>
          </w:tcPr>
          <w:p w14:paraId="713CA513"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Northern Territory</w:t>
            </w:r>
          </w:p>
        </w:tc>
        <w:tc>
          <w:tcPr>
            <w:tcW w:w="6804" w:type="dxa"/>
            <w:shd w:val="clear" w:color="auto" w:fill="FFC9C9"/>
            <w:tcMar>
              <w:top w:w="80" w:type="dxa"/>
              <w:left w:w="80" w:type="dxa"/>
              <w:bottom w:w="80" w:type="dxa"/>
              <w:right w:w="80" w:type="dxa"/>
            </w:tcMar>
          </w:tcPr>
          <w:p w14:paraId="3E95C4C9" w14:textId="01F442AE"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As per Nationall</w:t>
            </w:r>
            <w:r w:rsidR="00BB4F03">
              <w:rPr>
                <w:rFonts w:cs="Arial"/>
                <w:color w:val="000000"/>
                <w:sz w:val="14"/>
                <w:szCs w:val="16"/>
                <w:lang w:val="en-GB"/>
              </w:rPr>
              <w:t>y Consistent Approval Framework</w:t>
            </w:r>
          </w:p>
          <w:p w14:paraId="12AB28AA" w14:textId="677886A6" w:rsidR="00ED089D" w:rsidRPr="00ED089D" w:rsidRDefault="00A7538C" w:rsidP="00292A53">
            <w:pPr>
              <w:spacing w:after="60"/>
              <w:rPr>
                <w:rFonts w:cs="Arial"/>
                <w:color w:val="000000"/>
                <w:sz w:val="14"/>
                <w:szCs w:val="16"/>
                <w:lang w:val="en-GB"/>
              </w:rPr>
            </w:pPr>
            <w:hyperlink r:id="rId1966" w:history="1">
              <w:r w:rsidR="00ED089D" w:rsidRPr="00ED089D">
                <w:rPr>
                  <w:rFonts w:cs="Arial"/>
                  <w:color w:val="0000FF"/>
                  <w:sz w:val="14"/>
                  <w:szCs w:val="16"/>
                  <w:u w:val="single"/>
                  <w:lang w:val="en-GB"/>
                </w:rPr>
                <w:t>NT Supplement</w:t>
              </w:r>
            </w:hyperlink>
          </w:p>
        </w:tc>
        <w:tc>
          <w:tcPr>
            <w:tcW w:w="6726" w:type="dxa"/>
            <w:shd w:val="clear" w:color="auto" w:fill="FFC9C9"/>
            <w:tcMar>
              <w:top w:w="80" w:type="dxa"/>
              <w:left w:w="80" w:type="dxa"/>
              <w:bottom w:w="80" w:type="dxa"/>
              <w:right w:w="80" w:type="dxa"/>
            </w:tcMar>
          </w:tcPr>
          <w:p w14:paraId="4B43CCD6" w14:textId="16D15BB3"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w:t>
            </w:r>
            <w:r w:rsidR="00BB4F03">
              <w:rPr>
                <w:rFonts w:cs="Arial"/>
                <w:color w:val="000000"/>
                <w:sz w:val="14"/>
                <w:szCs w:val="16"/>
                <w:lang w:val="en-GB"/>
              </w:rPr>
              <w:t>ot Regulated</w:t>
            </w:r>
          </w:p>
        </w:tc>
      </w:tr>
      <w:tr w:rsidR="00ED089D" w:rsidRPr="00ED089D" w14:paraId="48319974" w14:textId="77777777" w:rsidTr="00292A53">
        <w:tc>
          <w:tcPr>
            <w:tcW w:w="1485" w:type="dxa"/>
            <w:tcMar>
              <w:top w:w="80" w:type="dxa"/>
              <w:left w:w="80" w:type="dxa"/>
              <w:bottom w:w="80" w:type="dxa"/>
              <w:right w:w="80" w:type="dxa"/>
            </w:tcMar>
          </w:tcPr>
          <w:p w14:paraId="7F33708A"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Australian Capital Territory</w:t>
            </w:r>
          </w:p>
        </w:tc>
        <w:tc>
          <w:tcPr>
            <w:tcW w:w="6804" w:type="dxa"/>
            <w:tcMar>
              <w:top w:w="80" w:type="dxa"/>
              <w:left w:w="80" w:type="dxa"/>
              <w:bottom w:w="80" w:type="dxa"/>
              <w:right w:w="80" w:type="dxa"/>
            </w:tcMar>
          </w:tcPr>
          <w:p w14:paraId="737155A5" w14:textId="7888A31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ACT is compliant with </w:t>
            </w:r>
            <w:hyperlink r:id="rId1967" w:history="1">
              <w:r w:rsidRPr="00ED089D">
                <w:rPr>
                  <w:rFonts w:cs="Arial"/>
                  <w:color w:val="0000FF"/>
                  <w:sz w:val="14"/>
                  <w:szCs w:val="16"/>
                  <w:u w:val="single"/>
                  <w:lang w:val="en-GB"/>
                </w:rPr>
                <w:t>Guide to the Nationally Consistent Approval Framework for Workplace Rehabilitation Providers</w:t>
              </w:r>
            </w:hyperlink>
          </w:p>
        </w:tc>
        <w:tc>
          <w:tcPr>
            <w:tcW w:w="6726" w:type="dxa"/>
            <w:tcMar>
              <w:top w:w="80" w:type="dxa"/>
              <w:left w:w="80" w:type="dxa"/>
              <w:bottom w:w="80" w:type="dxa"/>
              <w:right w:w="80" w:type="dxa"/>
            </w:tcMar>
          </w:tcPr>
          <w:p w14:paraId="5DEF80EB" w14:textId="3684C0D0" w:rsidR="00ED089D" w:rsidRPr="00ED089D" w:rsidRDefault="00BB4F03" w:rsidP="00292A53">
            <w:pPr>
              <w:spacing w:after="60"/>
              <w:rPr>
                <w:rFonts w:cs="Arial"/>
                <w:color w:val="000000"/>
                <w:sz w:val="14"/>
                <w:szCs w:val="16"/>
                <w:lang w:val="en-GB"/>
              </w:rPr>
            </w:pPr>
            <w:r>
              <w:rPr>
                <w:rFonts w:cs="Arial"/>
                <w:color w:val="000000"/>
                <w:sz w:val="14"/>
                <w:szCs w:val="16"/>
                <w:lang w:val="en-GB"/>
              </w:rPr>
              <w:t>Not Regulated</w:t>
            </w:r>
          </w:p>
        </w:tc>
      </w:tr>
      <w:tr w:rsidR="00ED089D" w:rsidRPr="00ED089D" w14:paraId="1E87CBB5" w14:textId="77777777" w:rsidTr="00292A53">
        <w:tc>
          <w:tcPr>
            <w:tcW w:w="1485" w:type="dxa"/>
            <w:shd w:val="clear" w:color="auto" w:fill="FFC9C9"/>
            <w:tcMar>
              <w:top w:w="80" w:type="dxa"/>
              <w:left w:w="80" w:type="dxa"/>
              <w:bottom w:w="80" w:type="dxa"/>
              <w:right w:w="80" w:type="dxa"/>
            </w:tcMar>
          </w:tcPr>
          <w:p w14:paraId="31D8C810"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Comcare</w:t>
            </w:r>
          </w:p>
        </w:tc>
        <w:tc>
          <w:tcPr>
            <w:tcW w:w="6804" w:type="dxa"/>
            <w:shd w:val="clear" w:color="auto" w:fill="FFC9C9"/>
            <w:tcMar>
              <w:top w:w="80" w:type="dxa"/>
              <w:left w:w="80" w:type="dxa"/>
              <w:bottom w:w="80" w:type="dxa"/>
              <w:right w:w="80" w:type="dxa"/>
            </w:tcMar>
          </w:tcPr>
          <w:p w14:paraId="1AE3B7F6" w14:textId="4934D6FC" w:rsidR="00ED089D" w:rsidRPr="00A569B5" w:rsidRDefault="00ED089D" w:rsidP="00292A53">
            <w:pPr>
              <w:spacing w:after="60"/>
              <w:rPr>
                <w:rFonts w:cs="Arial"/>
                <w:color w:val="000000"/>
                <w:sz w:val="14"/>
                <w:szCs w:val="16"/>
                <w:lang w:val="en-GB"/>
              </w:rPr>
            </w:pPr>
            <w:r w:rsidRPr="00ED089D">
              <w:rPr>
                <w:rFonts w:cs="Arial"/>
                <w:color w:val="000000"/>
                <w:sz w:val="14"/>
                <w:szCs w:val="16"/>
                <w:lang w:val="en-GB"/>
              </w:rPr>
              <w:t xml:space="preserve">The requirements of the Nationally Consistent Approval framework are incorporated into the </w:t>
            </w:r>
            <w:hyperlink r:id="rId1968" w:history="1">
              <w:r w:rsidRPr="00A569B5">
                <w:rPr>
                  <w:rStyle w:val="Hyperlink"/>
                  <w:rFonts w:cs="Arial"/>
                  <w:i/>
                  <w:sz w:val="14"/>
                  <w:szCs w:val="16"/>
                  <w:lang w:val="en-GB"/>
                </w:rPr>
                <w:t>Criteria and operational standards for workplace rehabilitation providers 2015</w:t>
              </w:r>
            </w:hyperlink>
            <w:r w:rsidRPr="00ED089D">
              <w:rPr>
                <w:rFonts w:cs="Arial"/>
                <w:color w:val="000000"/>
                <w:sz w:val="14"/>
                <w:szCs w:val="16"/>
                <w:lang w:val="en-GB"/>
              </w:rPr>
              <w:t xml:space="preserve"> — refer t</w:t>
            </w:r>
            <w:r w:rsidR="00BB4F03">
              <w:rPr>
                <w:rFonts w:cs="Arial"/>
                <w:color w:val="000000"/>
                <w:sz w:val="14"/>
                <w:szCs w:val="16"/>
                <w:lang w:val="en-GB"/>
              </w:rPr>
              <w:t>o Appendix 2 — Principle 4.4.1</w:t>
            </w:r>
          </w:p>
        </w:tc>
        <w:tc>
          <w:tcPr>
            <w:tcW w:w="6726" w:type="dxa"/>
            <w:shd w:val="clear" w:color="auto" w:fill="FFC9C9"/>
            <w:tcMar>
              <w:top w:w="80" w:type="dxa"/>
              <w:left w:w="80" w:type="dxa"/>
              <w:bottom w:w="80" w:type="dxa"/>
              <w:right w:w="80" w:type="dxa"/>
            </w:tcMar>
          </w:tcPr>
          <w:p w14:paraId="2D152060" w14:textId="3ABD5D3A"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Fee</w:t>
            </w:r>
            <w:r w:rsidR="00BB4F03">
              <w:rPr>
                <w:rFonts w:cs="Arial"/>
                <w:color w:val="000000"/>
                <w:sz w:val="14"/>
                <w:szCs w:val="16"/>
                <w:lang w:val="en-GB"/>
              </w:rPr>
              <w:t>s are not prescribed by Comcare</w:t>
            </w:r>
            <w:r w:rsidR="005348D7">
              <w:rPr>
                <w:rFonts w:cs="Arial"/>
                <w:color w:val="000000"/>
                <w:sz w:val="14"/>
                <w:szCs w:val="16"/>
                <w:lang w:val="en-GB"/>
              </w:rPr>
              <w:t>. WRPs are engaged by the rehabilitation authority (the injured worker’s employer) under service level agreements or contracts.</w:t>
            </w:r>
          </w:p>
        </w:tc>
      </w:tr>
      <w:tr w:rsidR="00ED089D" w:rsidRPr="00ED089D" w14:paraId="70CE2856" w14:textId="77777777" w:rsidTr="00292A53">
        <w:tc>
          <w:tcPr>
            <w:tcW w:w="1485" w:type="dxa"/>
            <w:tcMar>
              <w:top w:w="80" w:type="dxa"/>
              <w:left w:w="80" w:type="dxa"/>
              <w:bottom w:w="80" w:type="dxa"/>
              <w:right w:w="80" w:type="dxa"/>
            </w:tcMar>
          </w:tcPr>
          <w:p w14:paraId="5A9EA782"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Seacare</w:t>
            </w:r>
          </w:p>
        </w:tc>
        <w:tc>
          <w:tcPr>
            <w:tcW w:w="6804" w:type="dxa"/>
            <w:tcMar>
              <w:top w:w="80" w:type="dxa"/>
              <w:left w:w="80" w:type="dxa"/>
              <w:bottom w:w="80" w:type="dxa"/>
              <w:right w:w="80" w:type="dxa"/>
            </w:tcMar>
          </w:tcPr>
          <w:p w14:paraId="138D0E61" w14:textId="4185D059"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Requirements the same as </w:t>
            </w:r>
            <w:hyperlink r:id="rId1969" w:history="1">
              <w:r w:rsidRPr="00ED089D">
                <w:rPr>
                  <w:rFonts w:cs="Arial"/>
                  <w:color w:val="0000FF"/>
                  <w:sz w:val="14"/>
                  <w:szCs w:val="16"/>
                  <w:u w:val="single"/>
                  <w:lang w:val="en-GB"/>
                </w:rPr>
                <w:t>Comcare’s</w:t>
              </w:r>
            </w:hyperlink>
          </w:p>
        </w:tc>
        <w:tc>
          <w:tcPr>
            <w:tcW w:w="6726" w:type="dxa"/>
            <w:tcMar>
              <w:top w:w="80" w:type="dxa"/>
              <w:left w:w="80" w:type="dxa"/>
              <w:bottom w:w="80" w:type="dxa"/>
              <w:right w:w="80" w:type="dxa"/>
            </w:tcMar>
          </w:tcPr>
          <w:p w14:paraId="256D6526" w14:textId="219DE5CE"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Providers are approved by </w:t>
            </w:r>
            <w:hyperlink r:id="rId1970" w:history="1">
              <w:r w:rsidRPr="00ED089D">
                <w:rPr>
                  <w:rFonts w:cs="Arial"/>
                  <w:color w:val="0000FF"/>
                  <w:sz w:val="14"/>
                  <w:szCs w:val="16"/>
                  <w:u w:val="single"/>
                  <w:lang w:val="en-GB"/>
                </w:rPr>
                <w:t>Comcare</w:t>
              </w:r>
            </w:hyperlink>
          </w:p>
        </w:tc>
      </w:tr>
      <w:tr w:rsidR="00ED089D" w:rsidRPr="00ED089D" w14:paraId="7A9F71DE" w14:textId="77777777" w:rsidTr="00292A53">
        <w:tc>
          <w:tcPr>
            <w:tcW w:w="1485" w:type="dxa"/>
            <w:shd w:val="clear" w:color="auto" w:fill="FFC9C9"/>
            <w:tcMar>
              <w:top w:w="80" w:type="dxa"/>
              <w:left w:w="80" w:type="dxa"/>
              <w:bottom w:w="80" w:type="dxa"/>
              <w:right w:w="80" w:type="dxa"/>
            </w:tcMar>
          </w:tcPr>
          <w:p w14:paraId="2FEE5AA9"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DVA</w:t>
            </w:r>
          </w:p>
        </w:tc>
        <w:tc>
          <w:tcPr>
            <w:tcW w:w="6804" w:type="dxa"/>
            <w:shd w:val="clear" w:color="auto" w:fill="FFC9C9"/>
            <w:tcMar>
              <w:top w:w="80" w:type="dxa"/>
              <w:left w:w="80" w:type="dxa"/>
              <w:bottom w:w="80" w:type="dxa"/>
              <w:right w:w="80" w:type="dxa"/>
            </w:tcMar>
          </w:tcPr>
          <w:p w14:paraId="6618E321" w14:textId="7777777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Approved program provider means: </w:t>
            </w:r>
          </w:p>
          <w:p w14:paraId="63CE4BBE" w14:textId="77777777" w:rsidR="00ED089D" w:rsidRPr="00ED089D" w:rsidRDefault="00ED089D" w:rsidP="00F839DB">
            <w:pPr>
              <w:pStyle w:val="ListParagraph"/>
              <w:numPr>
                <w:ilvl w:val="0"/>
                <w:numId w:val="316"/>
              </w:numPr>
              <w:spacing w:after="60"/>
              <w:ind w:left="357" w:hanging="357"/>
              <w:contextualSpacing/>
              <w:rPr>
                <w:rFonts w:cs="Arial"/>
                <w:color w:val="000000"/>
                <w:sz w:val="14"/>
                <w:szCs w:val="16"/>
                <w:lang w:val="en-GB"/>
              </w:rPr>
            </w:pPr>
            <w:r w:rsidRPr="00ED089D">
              <w:rPr>
                <w:rFonts w:cs="Arial"/>
                <w:color w:val="000000"/>
                <w:sz w:val="14"/>
                <w:szCs w:val="16"/>
                <w:lang w:val="en-GB"/>
              </w:rPr>
              <w:t xml:space="preserve">a person or body that is an approved program provider for the purposes of the </w:t>
            </w:r>
            <w:r w:rsidRPr="00D41D16">
              <w:rPr>
                <w:rFonts w:cs="Arial"/>
                <w:i/>
                <w:color w:val="000000"/>
                <w:sz w:val="14"/>
                <w:szCs w:val="16"/>
                <w:lang w:val="en-GB"/>
              </w:rPr>
              <w:t>Safety, Rehabilitation and Compensation Act 1988</w:t>
            </w:r>
            <w:r w:rsidRPr="00ED089D">
              <w:rPr>
                <w:rFonts w:cs="Arial"/>
                <w:color w:val="000000"/>
                <w:sz w:val="14"/>
                <w:szCs w:val="16"/>
                <w:lang w:val="en-GB"/>
              </w:rPr>
              <w:t xml:space="preserve">; or </w:t>
            </w:r>
          </w:p>
          <w:p w14:paraId="7C3CA14B" w14:textId="5C10602B" w:rsidR="00ED089D" w:rsidRPr="00ED089D" w:rsidRDefault="00ED089D" w:rsidP="00F839DB">
            <w:pPr>
              <w:pStyle w:val="ListParagraph"/>
              <w:numPr>
                <w:ilvl w:val="0"/>
                <w:numId w:val="316"/>
              </w:numPr>
              <w:spacing w:after="60"/>
              <w:rPr>
                <w:rFonts w:cs="Arial"/>
                <w:color w:val="000000"/>
                <w:sz w:val="14"/>
                <w:szCs w:val="16"/>
                <w:lang w:val="en-GB"/>
              </w:rPr>
            </w:pPr>
            <w:r w:rsidRPr="00ED089D">
              <w:rPr>
                <w:rFonts w:cs="Arial"/>
                <w:color w:val="000000"/>
                <w:sz w:val="14"/>
                <w:szCs w:val="16"/>
                <w:lang w:val="en-GB"/>
              </w:rPr>
              <w:t xml:space="preserve">a person nominated in writing by a rehabilitation authority, being a person the rehabilitation authority is satisfied has appropriate skills and expertise to design and provide </w:t>
            </w:r>
            <w:r w:rsidR="00BB4F03">
              <w:rPr>
                <w:rFonts w:cs="Arial"/>
                <w:color w:val="000000"/>
                <w:sz w:val="14"/>
                <w:szCs w:val="16"/>
                <w:lang w:val="en-GB"/>
              </w:rPr>
              <w:t>rehabilitation programs — (</w:t>
            </w:r>
            <w:hyperlink r:id="rId1971" w:history="1">
              <w:r w:rsidR="00BB4F03" w:rsidRPr="009668E0">
                <w:rPr>
                  <w:rStyle w:val="Hyperlink"/>
                  <w:rFonts w:cs="Arial"/>
                  <w:sz w:val="14"/>
                  <w:szCs w:val="16"/>
                  <w:lang w:val="en-GB"/>
                </w:rPr>
                <w:t>s41</w:t>
              </w:r>
            </w:hyperlink>
            <w:r w:rsidR="00BB4F03">
              <w:rPr>
                <w:rFonts w:cs="Arial"/>
                <w:color w:val="000000"/>
                <w:sz w:val="14"/>
                <w:szCs w:val="16"/>
                <w:lang w:val="en-GB"/>
              </w:rPr>
              <w:t>)</w:t>
            </w:r>
          </w:p>
        </w:tc>
        <w:tc>
          <w:tcPr>
            <w:tcW w:w="6726" w:type="dxa"/>
            <w:shd w:val="clear" w:color="auto" w:fill="FFC9C9"/>
            <w:tcMar>
              <w:top w:w="80" w:type="dxa"/>
              <w:left w:w="80" w:type="dxa"/>
              <w:bottom w:w="80" w:type="dxa"/>
              <w:right w:w="80" w:type="dxa"/>
            </w:tcMar>
          </w:tcPr>
          <w:p w14:paraId="3D04C251" w14:textId="4596CF3B"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As per </w:t>
            </w:r>
            <w:hyperlink r:id="rId1972" w:history="1">
              <w:r w:rsidRPr="00ED089D">
                <w:rPr>
                  <w:rFonts w:cs="Arial"/>
                  <w:color w:val="0000FF"/>
                  <w:sz w:val="14"/>
                  <w:szCs w:val="16"/>
                  <w:u w:val="single"/>
                  <w:lang w:val="en-GB"/>
                </w:rPr>
                <w:t>Comcare</w:t>
              </w:r>
            </w:hyperlink>
          </w:p>
        </w:tc>
      </w:tr>
      <w:tr w:rsidR="00ED089D" w:rsidRPr="00ED089D" w14:paraId="7CA11E19" w14:textId="77777777" w:rsidTr="00292A53">
        <w:tc>
          <w:tcPr>
            <w:tcW w:w="1485" w:type="dxa"/>
            <w:tcMar>
              <w:top w:w="80" w:type="dxa"/>
              <w:left w:w="80" w:type="dxa"/>
              <w:bottom w:w="80" w:type="dxa"/>
              <w:right w:w="80" w:type="dxa"/>
            </w:tcMar>
          </w:tcPr>
          <w:p w14:paraId="51E046B0"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New Zealand</w:t>
            </w:r>
          </w:p>
        </w:tc>
        <w:tc>
          <w:tcPr>
            <w:tcW w:w="6804" w:type="dxa"/>
            <w:tcMar>
              <w:top w:w="80" w:type="dxa"/>
              <w:left w:w="80" w:type="dxa"/>
              <w:bottom w:w="80" w:type="dxa"/>
              <w:right w:w="80" w:type="dxa"/>
            </w:tcMar>
          </w:tcPr>
          <w:p w14:paraId="24049D4A" w14:textId="3DCBCED2" w:rsidR="00ED089D" w:rsidRPr="00ED089D" w:rsidRDefault="009668E0" w:rsidP="00292A53">
            <w:pPr>
              <w:spacing w:after="60"/>
              <w:rPr>
                <w:rFonts w:cs="Arial"/>
                <w:color w:val="000000"/>
                <w:sz w:val="14"/>
                <w:szCs w:val="16"/>
                <w:lang w:val="en-GB"/>
              </w:rPr>
            </w:pPr>
            <w:r w:rsidRPr="00016069">
              <w:rPr>
                <w:i/>
                <w:sz w:val="14"/>
              </w:rPr>
              <w:t>Accident Compensation Act 2001</w:t>
            </w:r>
            <w:r>
              <w:rPr>
                <w:rFonts w:cs="Arial"/>
                <w:color w:val="000000"/>
                <w:sz w:val="14"/>
                <w:szCs w:val="16"/>
                <w:lang w:val="en-GB"/>
              </w:rPr>
              <w:t xml:space="preserve"> </w:t>
            </w:r>
            <w:hyperlink r:id="rId1973" w:history="1">
              <w:r w:rsidR="002F1F9A" w:rsidRPr="009668E0">
                <w:rPr>
                  <w:rStyle w:val="Hyperlink"/>
                  <w:rFonts w:cs="Arial"/>
                  <w:sz w:val="14"/>
                  <w:szCs w:val="16"/>
                  <w:lang w:val="en-GB"/>
                </w:rPr>
                <w:t>s90</w:t>
              </w:r>
            </w:hyperlink>
            <w:r w:rsidR="002F1F9A">
              <w:rPr>
                <w:rFonts w:cs="Arial"/>
                <w:color w:val="000000"/>
                <w:sz w:val="14"/>
                <w:szCs w:val="16"/>
                <w:lang w:val="en-GB"/>
              </w:rPr>
              <w:t xml:space="preserve"> vocational rehabilitation o</w:t>
            </w:r>
            <w:r w:rsidR="00ED089D" w:rsidRPr="00ED089D">
              <w:rPr>
                <w:rFonts w:cs="Arial"/>
                <w:color w:val="000000"/>
                <w:sz w:val="14"/>
                <w:szCs w:val="16"/>
                <w:lang w:val="en-GB"/>
              </w:rPr>
              <w:t>ccupational assessor</w:t>
            </w:r>
          </w:p>
          <w:p w14:paraId="6012E112" w14:textId="213EB5F0"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An occupational assessment must be undertaken by an assessor whom the Corporation considers has the appropriate qualifications and experience to do the assessment required in the particular ca</w:t>
            </w:r>
            <w:r w:rsidR="00BB4F03">
              <w:rPr>
                <w:rFonts w:cs="Arial"/>
                <w:color w:val="000000"/>
                <w:sz w:val="14"/>
                <w:szCs w:val="16"/>
                <w:lang w:val="en-GB"/>
              </w:rPr>
              <w:t>se</w:t>
            </w:r>
          </w:p>
        </w:tc>
        <w:tc>
          <w:tcPr>
            <w:tcW w:w="6726" w:type="dxa"/>
            <w:tcMar>
              <w:top w:w="80" w:type="dxa"/>
              <w:left w:w="80" w:type="dxa"/>
              <w:bottom w:w="80" w:type="dxa"/>
              <w:right w:w="80" w:type="dxa"/>
            </w:tcMar>
          </w:tcPr>
          <w:p w14:paraId="4F514A6D" w14:textId="03705538"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Fees are not legislated</w:t>
            </w:r>
          </w:p>
        </w:tc>
      </w:tr>
    </w:tbl>
    <w:p w14:paraId="67A5E4EC" w14:textId="77777777" w:rsidR="00ED089D" w:rsidRPr="00A80282" w:rsidRDefault="00ED089D" w:rsidP="00BA6173">
      <w:pPr>
        <w:pStyle w:val="SWATableheader"/>
        <w:spacing w:before="120"/>
      </w:pPr>
      <w:bookmarkStart w:id="186" w:name="_Toc504654700"/>
      <w:r w:rsidRPr="00A80282">
        <w:lastRenderedPageBreak/>
        <w:t>Table 5.8: Prescribed time periods to establish a return to work plan</w:t>
      </w:r>
      <w:bookmarkEnd w:id="186"/>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8: Prescribed time periods to establish a return to work plan  "/>
        <w:tblDescription w:val="This table outlines prescribed time periods to establish a return to work plan under each of the workers' compensation schemes. "/>
      </w:tblPr>
      <w:tblGrid>
        <w:gridCol w:w="1910"/>
        <w:gridCol w:w="3402"/>
        <w:gridCol w:w="9922"/>
      </w:tblGrid>
      <w:tr w:rsidR="00ED089D" w:rsidRPr="00ED089D" w14:paraId="45479681" w14:textId="77777777" w:rsidTr="00591890">
        <w:trPr>
          <w:tblHeader/>
        </w:trPr>
        <w:tc>
          <w:tcPr>
            <w:tcW w:w="1910" w:type="dxa"/>
            <w:shd w:val="clear" w:color="auto" w:fill="C00000"/>
            <w:tcMar>
              <w:top w:w="0" w:type="dxa"/>
              <w:left w:w="0" w:type="dxa"/>
              <w:bottom w:w="0" w:type="dxa"/>
              <w:right w:w="0" w:type="dxa"/>
            </w:tcMar>
            <w:vAlign w:val="center"/>
          </w:tcPr>
          <w:p w14:paraId="624C3262" w14:textId="77777777" w:rsidR="00ED089D" w:rsidRPr="00ED089D" w:rsidRDefault="00ED089D" w:rsidP="00292A53">
            <w:pPr>
              <w:pStyle w:val="Tableheaderrow"/>
              <w:spacing w:after="60"/>
            </w:pPr>
          </w:p>
        </w:tc>
        <w:tc>
          <w:tcPr>
            <w:tcW w:w="3402" w:type="dxa"/>
            <w:shd w:val="clear" w:color="auto" w:fill="C00000"/>
            <w:tcMar>
              <w:top w:w="0" w:type="dxa"/>
              <w:left w:w="0" w:type="dxa"/>
              <w:bottom w:w="0" w:type="dxa"/>
              <w:right w:w="0" w:type="dxa"/>
            </w:tcMar>
            <w:vAlign w:val="center"/>
          </w:tcPr>
          <w:p w14:paraId="2035D516" w14:textId="77777777" w:rsidR="00ED089D" w:rsidRPr="00ED089D" w:rsidRDefault="00ED089D" w:rsidP="00292A53">
            <w:pPr>
              <w:pStyle w:val="Tableheaderrow"/>
              <w:spacing w:after="60"/>
            </w:pPr>
            <w:r w:rsidRPr="00ED089D">
              <w:t>3-point contact</w:t>
            </w:r>
          </w:p>
        </w:tc>
        <w:tc>
          <w:tcPr>
            <w:tcW w:w="9922" w:type="dxa"/>
            <w:shd w:val="clear" w:color="auto" w:fill="C00000"/>
            <w:tcMar>
              <w:top w:w="0" w:type="dxa"/>
              <w:left w:w="0" w:type="dxa"/>
              <w:bottom w:w="0" w:type="dxa"/>
              <w:right w:w="0" w:type="dxa"/>
            </w:tcMar>
            <w:vAlign w:val="center"/>
          </w:tcPr>
          <w:p w14:paraId="4C3C6DA8" w14:textId="77777777" w:rsidR="00ED089D" w:rsidRPr="00ED089D" w:rsidRDefault="007364A3" w:rsidP="00292A53">
            <w:pPr>
              <w:pStyle w:val="Tableheaderrow"/>
              <w:spacing w:after="60"/>
            </w:pPr>
            <w:r>
              <w:t>Return to work plan/</w:t>
            </w:r>
            <w:r w:rsidR="00ED089D" w:rsidRPr="00ED089D">
              <w:t>personal injury plan developed</w:t>
            </w:r>
          </w:p>
        </w:tc>
      </w:tr>
      <w:tr w:rsidR="00ED089D" w:rsidRPr="00ED089D" w14:paraId="08B60F27" w14:textId="77777777" w:rsidTr="00591890">
        <w:tc>
          <w:tcPr>
            <w:tcW w:w="1910" w:type="dxa"/>
            <w:shd w:val="clear" w:color="auto" w:fill="FFC9C9"/>
            <w:tcMar>
              <w:top w:w="80" w:type="dxa"/>
              <w:left w:w="80" w:type="dxa"/>
              <w:bottom w:w="80" w:type="dxa"/>
              <w:right w:w="80" w:type="dxa"/>
            </w:tcMar>
          </w:tcPr>
          <w:p w14:paraId="6665AFD9"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New South Wales</w:t>
            </w:r>
          </w:p>
        </w:tc>
        <w:tc>
          <w:tcPr>
            <w:tcW w:w="3402" w:type="dxa"/>
            <w:shd w:val="clear" w:color="auto" w:fill="FFC9C9"/>
            <w:tcMar>
              <w:top w:w="80" w:type="dxa"/>
              <w:left w:w="80" w:type="dxa"/>
              <w:bottom w:w="80" w:type="dxa"/>
              <w:right w:w="80" w:type="dxa"/>
            </w:tcMar>
          </w:tcPr>
          <w:p w14:paraId="661801A1" w14:textId="7DD66B96"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shd w:val="clear" w:color="auto" w:fill="FFC9C9"/>
            <w:tcMar>
              <w:top w:w="80" w:type="dxa"/>
              <w:left w:w="80" w:type="dxa"/>
              <w:bottom w:w="80" w:type="dxa"/>
              <w:right w:w="80" w:type="dxa"/>
            </w:tcMar>
          </w:tcPr>
          <w:p w14:paraId="4203699C" w14:textId="3E9E7486" w:rsidR="00ED089D" w:rsidRPr="00ED089D" w:rsidRDefault="00B010AA" w:rsidP="00292A53">
            <w:pPr>
              <w:spacing w:after="60"/>
              <w:rPr>
                <w:rFonts w:cs="Arial"/>
                <w:color w:val="000000"/>
                <w:sz w:val="14"/>
                <w:szCs w:val="16"/>
                <w:lang w:val="en-GB"/>
              </w:rPr>
            </w:pPr>
            <w:r w:rsidRPr="00016069">
              <w:rPr>
                <w:i/>
                <w:sz w:val="14"/>
              </w:rPr>
              <w:t>Workplace Injury Management and</w:t>
            </w:r>
            <w:r>
              <w:rPr>
                <w:i/>
                <w:sz w:val="14"/>
              </w:rPr>
              <w:t xml:space="preserve"> Workers Compensation Act 1998</w:t>
            </w:r>
            <w:r w:rsidR="00ED089D" w:rsidRPr="00ED089D">
              <w:rPr>
                <w:rFonts w:cs="Arial"/>
                <w:color w:val="000000"/>
                <w:sz w:val="14"/>
                <w:szCs w:val="16"/>
                <w:lang w:val="en-GB"/>
              </w:rPr>
              <w:t xml:space="preserve"> </w:t>
            </w:r>
            <w:hyperlink r:id="rId1974" w:history="1">
              <w:r w:rsidR="00ED089D" w:rsidRPr="00B010AA">
                <w:rPr>
                  <w:rStyle w:val="Hyperlink"/>
                  <w:rFonts w:cs="Arial"/>
                  <w:sz w:val="14"/>
                  <w:szCs w:val="16"/>
                  <w:lang w:val="en-GB"/>
                </w:rPr>
                <w:t>s43(4)</w:t>
              </w:r>
            </w:hyperlink>
            <w:r w:rsidR="00ED089D" w:rsidRPr="00ED089D">
              <w:rPr>
                <w:rFonts w:cs="Arial"/>
                <w:color w:val="000000"/>
                <w:sz w:val="14"/>
                <w:szCs w:val="16"/>
                <w:lang w:val="en-GB"/>
              </w:rPr>
              <w:t xml:space="preserve"> — 3 working days for workers with a significant injury. This is completed by the insurer for injury management planning.</w:t>
            </w:r>
          </w:p>
          <w:p w14:paraId="17F763A2" w14:textId="34F23F05" w:rsidR="00ED089D" w:rsidRPr="00ED089D" w:rsidRDefault="00ED089D" w:rsidP="00292A53">
            <w:pPr>
              <w:spacing w:after="60"/>
              <w:rPr>
                <w:rFonts w:cs="Arial"/>
                <w:color w:val="000000"/>
                <w:sz w:val="14"/>
                <w:szCs w:val="16"/>
                <w:lang w:val="en-GB"/>
              </w:rPr>
            </w:pPr>
            <w:r w:rsidRPr="00ED089D">
              <w:rPr>
                <w:rFonts w:cs="Arial"/>
                <w:color w:val="000000"/>
                <w:sz w:val="14"/>
                <w:szCs w:val="16"/>
              </w:rPr>
              <w:t xml:space="preserve">A return to work plan is developed for each injured worker returning to work. </w:t>
            </w:r>
            <w:hyperlink r:id="rId1975" w:history="1">
              <w:r w:rsidRPr="00ED089D">
                <w:rPr>
                  <w:rFonts w:cs="Arial"/>
                  <w:color w:val="0000FF"/>
                  <w:sz w:val="14"/>
                  <w:szCs w:val="16"/>
                  <w:u w:val="single"/>
                </w:rPr>
                <w:t>Guidelines for workplace return to work programs</w:t>
              </w:r>
            </w:hyperlink>
            <w:r w:rsidRPr="00ED089D">
              <w:rPr>
                <w:rFonts w:cs="Arial"/>
                <w:color w:val="000000"/>
                <w:sz w:val="14"/>
                <w:szCs w:val="16"/>
              </w:rPr>
              <w:t>.</w:t>
            </w:r>
          </w:p>
        </w:tc>
      </w:tr>
      <w:tr w:rsidR="00ED089D" w:rsidRPr="00ED089D" w14:paraId="06B4BCC5" w14:textId="77777777" w:rsidTr="00591890">
        <w:tc>
          <w:tcPr>
            <w:tcW w:w="1910" w:type="dxa"/>
            <w:tcMar>
              <w:top w:w="80" w:type="dxa"/>
              <w:left w:w="80" w:type="dxa"/>
              <w:bottom w:w="80" w:type="dxa"/>
              <w:right w:w="80" w:type="dxa"/>
            </w:tcMar>
          </w:tcPr>
          <w:p w14:paraId="4B7001B7"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Victoria</w:t>
            </w:r>
          </w:p>
        </w:tc>
        <w:tc>
          <w:tcPr>
            <w:tcW w:w="3402" w:type="dxa"/>
            <w:tcMar>
              <w:top w:w="80" w:type="dxa"/>
              <w:left w:w="80" w:type="dxa"/>
              <w:bottom w:w="80" w:type="dxa"/>
              <w:right w:w="80" w:type="dxa"/>
            </w:tcMar>
          </w:tcPr>
          <w:p w14:paraId="22FEAC50" w14:textId="25EA4A90"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1F2542F2" w14:textId="168558D6" w:rsidR="00ED089D" w:rsidRPr="00ED089D" w:rsidRDefault="00B010AA" w:rsidP="00F839DB">
            <w:pPr>
              <w:pStyle w:val="ListParagraph"/>
              <w:numPr>
                <w:ilvl w:val="0"/>
                <w:numId w:val="317"/>
              </w:numPr>
              <w:spacing w:after="60"/>
              <w:contextualSpacing/>
              <w:rPr>
                <w:rFonts w:eastAsia="Calibri" w:cs="Arial"/>
                <w:sz w:val="14"/>
                <w:szCs w:val="14"/>
                <w:lang w:eastAsia="en-US"/>
              </w:rPr>
            </w:pPr>
            <w:r w:rsidRPr="00016069">
              <w:rPr>
                <w:i/>
                <w:sz w:val="14"/>
              </w:rPr>
              <w:t>Workplace Injury Rehabilitation and Compensation Act 2013</w:t>
            </w:r>
            <w:r>
              <w:rPr>
                <w:i/>
                <w:sz w:val="14"/>
              </w:rPr>
              <w:t xml:space="preserve"> </w:t>
            </w:r>
            <w:hyperlink r:id="rId1976" w:history="1">
              <w:r w:rsidR="00ED089D" w:rsidRPr="00C91AB4">
                <w:rPr>
                  <w:rStyle w:val="Hyperlink"/>
                  <w:rFonts w:eastAsia="Calibri" w:cs="Arial"/>
                  <w:sz w:val="14"/>
                  <w:szCs w:val="14"/>
                  <w:lang w:eastAsia="en-US"/>
                </w:rPr>
                <w:t>s104</w:t>
              </w:r>
            </w:hyperlink>
            <w:r w:rsidR="00ED089D" w:rsidRPr="00ED089D">
              <w:rPr>
                <w:rFonts w:eastAsia="Calibri" w:cs="Arial"/>
                <w:sz w:val="14"/>
                <w:szCs w:val="14"/>
                <w:lang w:eastAsia="en-US"/>
              </w:rPr>
              <w:t xml:space="preserve"> — Plan return to work — see more details under ‘Return to Work Plans’:</w:t>
            </w:r>
          </w:p>
          <w:p w14:paraId="7385F522" w14:textId="77777777" w:rsidR="00ED089D" w:rsidRPr="00ED089D" w:rsidRDefault="00ED089D" w:rsidP="00DF35F2">
            <w:pPr>
              <w:numPr>
                <w:ilvl w:val="0"/>
                <w:numId w:val="20"/>
              </w:numPr>
              <w:spacing w:after="60"/>
              <w:rPr>
                <w:rFonts w:cs="Arial"/>
                <w:color w:val="000000"/>
                <w:sz w:val="14"/>
                <w:szCs w:val="16"/>
                <w:lang w:val="en-GB"/>
              </w:rPr>
            </w:pPr>
            <w:r w:rsidRPr="00ED089D">
              <w:rPr>
                <w:rFonts w:cs="Arial"/>
                <w:color w:val="000000"/>
                <w:sz w:val="14"/>
                <w:szCs w:val="16"/>
                <w:lang w:val="en-GB"/>
              </w:rPr>
              <w:t>An employer must, to the extent that it is reasonable to do so, plan the return to work of a worker from the date on which the employer knows or ought reasonably to have known of the worker’s incapacity for work, whichever is the earlier date.</w:t>
            </w:r>
          </w:p>
          <w:p w14:paraId="049296ED" w14:textId="37FE8D47" w:rsidR="00ED089D" w:rsidRPr="00ED089D" w:rsidRDefault="00ED089D" w:rsidP="00F839DB">
            <w:pPr>
              <w:pStyle w:val="ListParagraph"/>
              <w:numPr>
                <w:ilvl w:val="0"/>
                <w:numId w:val="317"/>
              </w:numPr>
              <w:spacing w:after="60"/>
              <w:contextualSpacing/>
              <w:rPr>
                <w:rFonts w:eastAsia="Calibri" w:cs="Arial"/>
                <w:sz w:val="14"/>
                <w:szCs w:val="14"/>
                <w:lang w:eastAsia="en-US"/>
              </w:rPr>
            </w:pPr>
            <w:r w:rsidRPr="00ED089D">
              <w:rPr>
                <w:rFonts w:eastAsia="Calibri" w:cs="Arial"/>
                <w:sz w:val="14"/>
                <w:szCs w:val="14"/>
                <w:lang w:eastAsia="en-US"/>
              </w:rPr>
              <w:t xml:space="preserve">Under </w:t>
            </w:r>
            <w:hyperlink r:id="rId1977" w:history="1">
              <w:r w:rsidRPr="00C91AB4">
                <w:rPr>
                  <w:rStyle w:val="Hyperlink"/>
                  <w:rFonts w:eastAsia="Calibri" w:cs="Arial"/>
                  <w:sz w:val="14"/>
                  <w:szCs w:val="14"/>
                  <w:lang w:eastAsia="en-US"/>
                </w:rPr>
                <w:t>s104(4)</w:t>
              </w:r>
            </w:hyperlink>
            <w:r w:rsidRPr="00ED089D">
              <w:rPr>
                <w:rFonts w:eastAsia="Calibri" w:cs="Arial"/>
                <w:sz w:val="14"/>
                <w:szCs w:val="14"/>
                <w:lang w:eastAsia="en-US"/>
              </w:rPr>
              <w:t xml:space="preserve">, an employer knows or ought reasonably to have known of the incapacity for work from the beginning of the employment obligation period under </w:t>
            </w:r>
            <w:hyperlink r:id="rId1978" w:history="1">
              <w:r w:rsidRPr="00C91AB4">
                <w:rPr>
                  <w:rStyle w:val="Hyperlink"/>
                  <w:rFonts w:eastAsia="Calibri" w:cs="Arial"/>
                  <w:sz w:val="14"/>
                  <w:szCs w:val="14"/>
                  <w:lang w:eastAsia="en-US"/>
                </w:rPr>
                <w:t>s103</w:t>
              </w:r>
            </w:hyperlink>
            <w:r w:rsidRPr="00ED089D">
              <w:rPr>
                <w:rFonts w:eastAsia="Calibri" w:cs="Arial"/>
                <w:sz w:val="14"/>
                <w:szCs w:val="14"/>
                <w:lang w:eastAsia="en-US"/>
              </w:rPr>
              <w:t xml:space="preserve"> — either the date a medical certificate or claim for compensation for weekly payments is received by the employer or the employer is notified of receipt of these documents by the insurer, whichever is the earliest.</w:t>
            </w:r>
          </w:p>
        </w:tc>
      </w:tr>
      <w:tr w:rsidR="00ED089D" w:rsidRPr="00ED089D" w14:paraId="0F1B7423" w14:textId="77777777" w:rsidTr="00591890">
        <w:tc>
          <w:tcPr>
            <w:tcW w:w="1910" w:type="dxa"/>
            <w:shd w:val="clear" w:color="auto" w:fill="FFC9C9"/>
            <w:tcMar>
              <w:top w:w="80" w:type="dxa"/>
              <w:left w:w="80" w:type="dxa"/>
              <w:bottom w:w="80" w:type="dxa"/>
              <w:right w:w="80" w:type="dxa"/>
            </w:tcMar>
          </w:tcPr>
          <w:p w14:paraId="5EBA8DA8"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Queensland</w:t>
            </w:r>
          </w:p>
        </w:tc>
        <w:tc>
          <w:tcPr>
            <w:tcW w:w="3402" w:type="dxa"/>
            <w:shd w:val="clear" w:color="auto" w:fill="FFC9C9"/>
            <w:tcMar>
              <w:top w:w="80" w:type="dxa"/>
              <w:left w:w="80" w:type="dxa"/>
              <w:bottom w:w="80" w:type="dxa"/>
              <w:right w:w="80" w:type="dxa"/>
            </w:tcMar>
          </w:tcPr>
          <w:p w14:paraId="35D959CC" w14:textId="283B2D89"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shd w:val="clear" w:color="auto" w:fill="FFC9C9"/>
            <w:tcMar>
              <w:top w:w="80" w:type="dxa"/>
              <w:left w:w="80" w:type="dxa"/>
              <w:bottom w:w="80" w:type="dxa"/>
              <w:right w:w="80" w:type="dxa"/>
            </w:tcMar>
          </w:tcPr>
          <w:p w14:paraId="6E56B2EF" w14:textId="15BC7531" w:rsidR="00ED089D" w:rsidRPr="00ED089D" w:rsidRDefault="00BB4F03" w:rsidP="00292A53">
            <w:pPr>
              <w:spacing w:after="60"/>
              <w:rPr>
                <w:rFonts w:cs="Arial"/>
                <w:color w:val="000000"/>
                <w:sz w:val="14"/>
                <w:szCs w:val="16"/>
                <w:lang w:val="en-GB"/>
              </w:rPr>
            </w:pPr>
            <w:r>
              <w:rPr>
                <w:rFonts w:cs="Arial"/>
                <w:color w:val="000000"/>
                <w:sz w:val="14"/>
                <w:szCs w:val="16"/>
                <w:lang w:val="en-GB"/>
              </w:rPr>
              <w:t>No time specified —</w:t>
            </w:r>
            <w:r w:rsidR="00C91AB4">
              <w:rPr>
                <w:rFonts w:cs="Arial"/>
                <w:color w:val="000000"/>
                <w:sz w:val="14"/>
                <w:szCs w:val="16"/>
                <w:lang w:val="en-GB"/>
              </w:rPr>
              <w:t xml:space="preserve"> </w:t>
            </w:r>
            <w:r w:rsidR="00C91AB4" w:rsidRPr="00016069">
              <w:rPr>
                <w:i/>
                <w:sz w:val="14"/>
              </w:rPr>
              <w:t>Workers’ Compensation and Rehabilitation Act 2003</w:t>
            </w:r>
            <w:r>
              <w:rPr>
                <w:rFonts w:cs="Arial"/>
                <w:color w:val="000000"/>
                <w:sz w:val="14"/>
                <w:szCs w:val="16"/>
                <w:lang w:val="en-GB"/>
              </w:rPr>
              <w:t xml:space="preserve"> </w:t>
            </w:r>
            <w:hyperlink r:id="rId1979" w:anchor="sec.220" w:history="1">
              <w:r w:rsidR="00C41BF5" w:rsidRPr="00F56855">
                <w:rPr>
                  <w:rStyle w:val="Hyperlink"/>
                  <w:rFonts w:cs="Arial"/>
                  <w:sz w:val="14"/>
                  <w:szCs w:val="16"/>
                  <w:lang w:val="en-GB"/>
                </w:rPr>
                <w:t>s220(2)</w:t>
              </w:r>
            </w:hyperlink>
          </w:p>
        </w:tc>
      </w:tr>
      <w:tr w:rsidR="00ED089D" w:rsidRPr="00ED089D" w14:paraId="32227AAB" w14:textId="77777777" w:rsidTr="00591890">
        <w:tc>
          <w:tcPr>
            <w:tcW w:w="1910" w:type="dxa"/>
            <w:tcMar>
              <w:top w:w="80" w:type="dxa"/>
              <w:left w:w="80" w:type="dxa"/>
              <w:bottom w:w="80" w:type="dxa"/>
              <w:right w:w="80" w:type="dxa"/>
            </w:tcMar>
          </w:tcPr>
          <w:p w14:paraId="2B431930"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Western Australia</w:t>
            </w:r>
          </w:p>
        </w:tc>
        <w:tc>
          <w:tcPr>
            <w:tcW w:w="3402" w:type="dxa"/>
            <w:tcMar>
              <w:top w:w="80" w:type="dxa"/>
              <w:left w:w="80" w:type="dxa"/>
              <w:bottom w:w="80" w:type="dxa"/>
              <w:right w:w="80" w:type="dxa"/>
            </w:tcMar>
          </w:tcPr>
          <w:p w14:paraId="482A224D" w14:textId="014EB598"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1372B1FA" w14:textId="07EB362E"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As soon as practicable after doctor </w:t>
            </w:r>
            <w:r w:rsidR="00BB4F03">
              <w:rPr>
                <w:rFonts w:cs="Arial"/>
                <w:color w:val="000000"/>
                <w:sz w:val="14"/>
                <w:szCs w:val="16"/>
                <w:lang w:val="en-GB"/>
              </w:rPr>
              <w:t>makes recommendation —</w:t>
            </w:r>
            <w:r w:rsidR="00091CAF">
              <w:rPr>
                <w:rFonts w:cs="Arial"/>
                <w:color w:val="000000"/>
                <w:sz w:val="14"/>
                <w:szCs w:val="16"/>
                <w:lang w:val="en-GB"/>
              </w:rPr>
              <w:t xml:space="preserve"> </w:t>
            </w:r>
            <w:r w:rsidR="00091CAF" w:rsidRPr="00016069">
              <w:rPr>
                <w:i/>
                <w:sz w:val="14"/>
              </w:rPr>
              <w:t>Workers’ Compensation and Injury Management Act 1981</w:t>
            </w:r>
            <w:r w:rsidR="00BB4F03">
              <w:rPr>
                <w:rFonts w:cs="Arial"/>
                <w:color w:val="000000"/>
                <w:sz w:val="14"/>
                <w:szCs w:val="16"/>
                <w:lang w:val="en-GB"/>
              </w:rPr>
              <w:t xml:space="preserve"> </w:t>
            </w:r>
            <w:hyperlink r:id="rId1980" w:history="1">
              <w:r w:rsidR="00BB4F03" w:rsidRPr="00091CAF">
                <w:rPr>
                  <w:rStyle w:val="Hyperlink"/>
                  <w:rFonts w:cs="Arial"/>
                  <w:sz w:val="14"/>
                  <w:szCs w:val="16"/>
                  <w:lang w:val="en-GB"/>
                </w:rPr>
                <w:t>s155C(1)</w:t>
              </w:r>
            </w:hyperlink>
          </w:p>
        </w:tc>
      </w:tr>
      <w:tr w:rsidR="00ED089D" w:rsidRPr="00ED089D" w14:paraId="4642E317" w14:textId="77777777" w:rsidTr="00591890">
        <w:tc>
          <w:tcPr>
            <w:tcW w:w="1910" w:type="dxa"/>
            <w:shd w:val="clear" w:color="auto" w:fill="FFC9C9"/>
            <w:tcMar>
              <w:top w:w="80" w:type="dxa"/>
              <w:left w:w="80" w:type="dxa"/>
              <w:bottom w:w="80" w:type="dxa"/>
              <w:right w:w="80" w:type="dxa"/>
            </w:tcMar>
          </w:tcPr>
          <w:p w14:paraId="6FC8CA75"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South Australia</w:t>
            </w:r>
          </w:p>
        </w:tc>
        <w:tc>
          <w:tcPr>
            <w:tcW w:w="3402" w:type="dxa"/>
            <w:shd w:val="clear" w:color="auto" w:fill="FFC9C9"/>
            <w:tcMar>
              <w:top w:w="80" w:type="dxa"/>
              <w:left w:w="80" w:type="dxa"/>
              <w:bottom w:w="80" w:type="dxa"/>
              <w:right w:w="80" w:type="dxa"/>
            </w:tcMar>
          </w:tcPr>
          <w:p w14:paraId="050BF0A1" w14:textId="43992D02"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shd w:val="clear" w:color="auto" w:fill="FFC9C9"/>
            <w:tcMar>
              <w:top w:w="80" w:type="dxa"/>
              <w:left w:w="80" w:type="dxa"/>
              <w:bottom w:w="80" w:type="dxa"/>
              <w:right w:w="80" w:type="dxa"/>
            </w:tcMar>
          </w:tcPr>
          <w:p w14:paraId="361B095C" w14:textId="07B6D95C" w:rsidR="00ED089D" w:rsidRPr="00ED089D" w:rsidRDefault="00ED089D" w:rsidP="00C86613">
            <w:pPr>
              <w:spacing w:after="60"/>
              <w:rPr>
                <w:rFonts w:cs="Arial"/>
                <w:color w:val="000000"/>
                <w:sz w:val="14"/>
                <w:szCs w:val="16"/>
                <w:lang w:val="en-GB"/>
              </w:rPr>
            </w:pPr>
            <w:r w:rsidRPr="00ED089D">
              <w:rPr>
                <w:rFonts w:cs="Arial"/>
                <w:color w:val="000000"/>
                <w:sz w:val="14"/>
                <w:szCs w:val="16"/>
                <w:lang w:val="en-GB"/>
              </w:rPr>
              <w:t xml:space="preserve">Where it appears that a worker is (or is likely) to be incapacitated for work by a work injury for more than 4 weeks, a recovery/return to work plan must be prepared </w:t>
            </w:r>
            <w:r w:rsidR="00C86613">
              <w:rPr>
                <w:rFonts w:cs="Arial"/>
                <w:color w:val="000000"/>
                <w:sz w:val="14"/>
                <w:szCs w:val="16"/>
                <w:lang w:val="en-GB"/>
              </w:rPr>
              <w:t>—</w:t>
            </w:r>
            <w:r w:rsidR="00C86613" w:rsidRPr="00ED089D">
              <w:rPr>
                <w:rFonts w:cs="Arial"/>
                <w:color w:val="000000"/>
                <w:sz w:val="14"/>
                <w:szCs w:val="16"/>
                <w:lang w:val="en-GB"/>
              </w:rPr>
              <w:t xml:space="preserve"> </w:t>
            </w:r>
            <w:r w:rsidR="00C9488D" w:rsidRPr="00016069">
              <w:rPr>
                <w:i/>
                <w:sz w:val="14"/>
              </w:rPr>
              <w:t>Return to Work Act 2014</w:t>
            </w:r>
            <w:r w:rsidR="00C9488D">
              <w:rPr>
                <w:i/>
                <w:sz w:val="14"/>
              </w:rPr>
              <w:t xml:space="preserve"> </w:t>
            </w:r>
            <w:hyperlink r:id="rId1981" w:history="1">
              <w:r w:rsidRPr="00ED089D">
                <w:rPr>
                  <w:rFonts w:cs="Arial"/>
                  <w:color w:val="0000FF"/>
                  <w:sz w:val="14"/>
                  <w:szCs w:val="16"/>
                  <w:u w:val="single"/>
                </w:rPr>
                <w:t>s25</w:t>
              </w:r>
            </w:hyperlink>
            <w:r w:rsidRPr="00ED089D">
              <w:rPr>
                <w:rFonts w:cs="Arial"/>
                <w:color w:val="000000"/>
                <w:sz w:val="14"/>
                <w:szCs w:val="16"/>
                <w:lang w:val="en-GB"/>
              </w:rPr>
              <w:t xml:space="preserve">. A plan can also be prepared under other circumstances [see </w:t>
            </w:r>
            <w:hyperlink r:id="rId1982" w:history="1">
              <w:r w:rsidRPr="00C9488D">
                <w:rPr>
                  <w:rStyle w:val="Hyperlink"/>
                  <w:rFonts w:cs="Arial"/>
                  <w:sz w:val="14"/>
                  <w:szCs w:val="16"/>
                  <w:lang w:val="en-GB"/>
                </w:rPr>
                <w:t>s25(2)</w:t>
              </w:r>
            </w:hyperlink>
            <w:r w:rsidRPr="00ED089D">
              <w:rPr>
                <w:rFonts w:cs="Arial"/>
                <w:color w:val="000000"/>
                <w:sz w:val="14"/>
                <w:szCs w:val="16"/>
                <w:lang w:val="en-GB"/>
              </w:rPr>
              <w:t>].</w:t>
            </w:r>
          </w:p>
        </w:tc>
      </w:tr>
      <w:tr w:rsidR="00ED089D" w:rsidRPr="00ED089D" w14:paraId="64604C35" w14:textId="77777777" w:rsidTr="00591890">
        <w:tc>
          <w:tcPr>
            <w:tcW w:w="1910" w:type="dxa"/>
            <w:tcMar>
              <w:top w:w="80" w:type="dxa"/>
              <w:left w:w="80" w:type="dxa"/>
              <w:bottom w:w="80" w:type="dxa"/>
              <w:right w:w="80" w:type="dxa"/>
            </w:tcMar>
          </w:tcPr>
          <w:p w14:paraId="0F0ECCF0"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Tasmania</w:t>
            </w:r>
          </w:p>
        </w:tc>
        <w:tc>
          <w:tcPr>
            <w:tcW w:w="3402" w:type="dxa"/>
            <w:tcMar>
              <w:top w:w="80" w:type="dxa"/>
              <w:left w:w="80" w:type="dxa"/>
              <w:bottom w:w="80" w:type="dxa"/>
              <w:right w:w="80" w:type="dxa"/>
            </w:tcMar>
          </w:tcPr>
          <w:p w14:paraId="45D8D606" w14:textId="6EBCC449"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An injury management coordinator to ensure that contact is made with the worker, the employer and the primary treating medical practitioner as soon as practicable after a worker (suffering a significant injury) is assigned to the injury management coordinator —</w:t>
            </w:r>
            <w:r w:rsidR="00C9488D">
              <w:rPr>
                <w:rFonts w:cs="Arial"/>
                <w:color w:val="000000"/>
                <w:sz w:val="14"/>
                <w:szCs w:val="16"/>
                <w:lang w:val="en-GB"/>
              </w:rPr>
              <w:t xml:space="preserve"> </w:t>
            </w:r>
            <w:r w:rsidR="00C9488D" w:rsidRPr="00016069">
              <w:rPr>
                <w:i/>
                <w:sz w:val="14"/>
              </w:rPr>
              <w:t>Workers Rehabilitation and Compensation Act 1988</w:t>
            </w:r>
            <w:r w:rsidRPr="00ED089D">
              <w:rPr>
                <w:rFonts w:cs="Arial"/>
                <w:color w:val="000000"/>
                <w:sz w:val="14"/>
                <w:szCs w:val="16"/>
                <w:lang w:val="en-GB"/>
              </w:rPr>
              <w:t xml:space="preserve"> </w:t>
            </w:r>
            <w:hyperlink r:id="rId1983" w:history="1">
              <w:r w:rsidRPr="00ED089D">
                <w:rPr>
                  <w:rFonts w:cs="Arial"/>
                  <w:color w:val="0000FF"/>
                  <w:sz w:val="14"/>
                  <w:szCs w:val="16"/>
                  <w:u w:val="single"/>
                  <w:lang w:val="en-GB"/>
                </w:rPr>
                <w:t>s143C(2)(a)</w:t>
              </w:r>
            </w:hyperlink>
            <w:r w:rsidRPr="00ED089D">
              <w:rPr>
                <w:rFonts w:cs="Arial"/>
                <w:color w:val="000000"/>
                <w:sz w:val="14"/>
                <w:szCs w:val="16"/>
                <w:lang w:val="en-GB"/>
              </w:rPr>
              <w:t>.</w:t>
            </w:r>
          </w:p>
        </w:tc>
        <w:tc>
          <w:tcPr>
            <w:tcW w:w="9922" w:type="dxa"/>
            <w:tcMar>
              <w:top w:w="80" w:type="dxa"/>
              <w:left w:w="80" w:type="dxa"/>
              <w:bottom w:w="80" w:type="dxa"/>
              <w:right w:w="80" w:type="dxa"/>
            </w:tcMar>
          </w:tcPr>
          <w:p w14:paraId="2A977EEB" w14:textId="77777777" w:rsidR="00ED089D" w:rsidRPr="00ED089D" w:rsidRDefault="00ED089D" w:rsidP="00591890">
            <w:pPr>
              <w:spacing w:after="0"/>
              <w:rPr>
                <w:rFonts w:cs="Arial"/>
                <w:color w:val="000000"/>
                <w:sz w:val="14"/>
                <w:szCs w:val="16"/>
                <w:lang w:val="en-GB"/>
              </w:rPr>
            </w:pPr>
            <w:r w:rsidRPr="00ED089D">
              <w:rPr>
                <w:rFonts w:cs="Arial"/>
                <w:color w:val="000000"/>
                <w:sz w:val="14"/>
                <w:szCs w:val="16"/>
                <w:lang w:val="en-GB"/>
              </w:rPr>
              <w:t>Return to work plan:</w:t>
            </w:r>
          </w:p>
          <w:p w14:paraId="10ECD5F1" w14:textId="7777777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Where a worker is, or is likely to be, incapacitated for work for more than 5 working days but less than 28 days, a return to work plan must be prepared before the expiry of 5 days after the worker becomes incapacitated for 5 working days — </w:t>
            </w:r>
            <w:hyperlink r:id="rId1984" w:history="1">
              <w:r w:rsidRPr="00ED089D">
                <w:rPr>
                  <w:rFonts w:cs="Arial"/>
                  <w:color w:val="0000FF"/>
                  <w:sz w:val="14"/>
                  <w:szCs w:val="16"/>
                  <w:u w:val="single"/>
                  <w:lang w:val="en-GB"/>
                </w:rPr>
                <w:t>s143E(1)(a)</w:t>
              </w:r>
            </w:hyperlink>
            <w:r w:rsidRPr="00ED089D">
              <w:rPr>
                <w:rFonts w:cs="Arial"/>
                <w:color w:val="000000"/>
                <w:sz w:val="14"/>
                <w:szCs w:val="16"/>
                <w:lang w:val="en-GB"/>
              </w:rPr>
              <w:t>.</w:t>
            </w:r>
          </w:p>
          <w:p w14:paraId="68D8267C" w14:textId="77777777" w:rsidR="00ED089D" w:rsidRPr="00ED089D" w:rsidRDefault="00ED089D" w:rsidP="00591890">
            <w:pPr>
              <w:spacing w:after="0"/>
              <w:rPr>
                <w:rFonts w:cs="Arial"/>
                <w:color w:val="000000"/>
                <w:sz w:val="14"/>
                <w:szCs w:val="16"/>
                <w:lang w:val="en-GB"/>
              </w:rPr>
            </w:pPr>
            <w:r w:rsidRPr="00ED089D">
              <w:rPr>
                <w:rFonts w:cs="Arial"/>
                <w:color w:val="000000"/>
                <w:sz w:val="14"/>
                <w:szCs w:val="16"/>
                <w:lang w:val="en-GB"/>
              </w:rPr>
              <w:t>Injury management plan:</w:t>
            </w:r>
          </w:p>
          <w:p w14:paraId="47495C22" w14:textId="77777777" w:rsidR="00ED089D" w:rsidRPr="00ED089D" w:rsidRDefault="00ED089D" w:rsidP="00591890">
            <w:pPr>
              <w:spacing w:after="40"/>
              <w:rPr>
                <w:rFonts w:cs="Arial"/>
                <w:color w:val="000000"/>
                <w:sz w:val="14"/>
                <w:szCs w:val="16"/>
                <w:lang w:val="en-GB"/>
              </w:rPr>
            </w:pPr>
            <w:r w:rsidRPr="00ED089D">
              <w:rPr>
                <w:rFonts w:cs="Arial"/>
                <w:color w:val="000000"/>
                <w:sz w:val="14"/>
                <w:szCs w:val="16"/>
                <w:lang w:val="en-GB"/>
              </w:rPr>
              <w:t xml:space="preserve">Where a worker is, or is likely to be, incapacitated for work for more than 28 days, an injury management plan must be prepared before the expiry of 5 days after the worker becomes incapacitated for 28 days — </w:t>
            </w:r>
            <w:hyperlink r:id="rId1985" w:history="1">
              <w:r w:rsidRPr="00ED089D">
                <w:rPr>
                  <w:rFonts w:cs="Arial"/>
                  <w:color w:val="0000FF"/>
                  <w:sz w:val="14"/>
                  <w:szCs w:val="16"/>
                  <w:u w:val="single"/>
                  <w:lang w:val="en-GB"/>
                </w:rPr>
                <w:t>s143E(1)(b)</w:t>
              </w:r>
            </w:hyperlink>
            <w:r w:rsidRPr="00ED089D">
              <w:rPr>
                <w:rFonts w:cs="Arial"/>
                <w:color w:val="000000"/>
                <w:sz w:val="14"/>
                <w:szCs w:val="16"/>
                <w:lang w:val="en-GB"/>
              </w:rPr>
              <w:t>.</w:t>
            </w:r>
          </w:p>
        </w:tc>
      </w:tr>
      <w:tr w:rsidR="00ED089D" w:rsidRPr="00ED089D" w14:paraId="18BD0325" w14:textId="77777777" w:rsidTr="00591890">
        <w:tc>
          <w:tcPr>
            <w:tcW w:w="1910" w:type="dxa"/>
            <w:shd w:val="clear" w:color="auto" w:fill="FFC9C9"/>
            <w:tcMar>
              <w:top w:w="80" w:type="dxa"/>
              <w:left w:w="80" w:type="dxa"/>
              <w:bottom w:w="80" w:type="dxa"/>
              <w:right w:w="80" w:type="dxa"/>
            </w:tcMar>
          </w:tcPr>
          <w:p w14:paraId="5D586E82"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Northern Territory</w:t>
            </w:r>
          </w:p>
        </w:tc>
        <w:tc>
          <w:tcPr>
            <w:tcW w:w="3402" w:type="dxa"/>
            <w:shd w:val="clear" w:color="auto" w:fill="FFC9C9"/>
            <w:tcMar>
              <w:top w:w="80" w:type="dxa"/>
              <w:left w:w="80" w:type="dxa"/>
              <w:bottom w:w="80" w:type="dxa"/>
              <w:right w:w="80" w:type="dxa"/>
            </w:tcMar>
          </w:tcPr>
          <w:p w14:paraId="24946897" w14:textId="666086AF"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shd w:val="clear" w:color="auto" w:fill="FFC9C9"/>
            <w:tcMar>
              <w:top w:w="80" w:type="dxa"/>
              <w:left w:w="80" w:type="dxa"/>
              <w:bottom w:w="80" w:type="dxa"/>
              <w:right w:w="80" w:type="dxa"/>
            </w:tcMar>
          </w:tcPr>
          <w:p w14:paraId="6C7D29E4" w14:textId="65B5D3DC"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No time specified</w:t>
            </w:r>
            <w:r w:rsidR="00DD0D68">
              <w:rPr>
                <w:rFonts w:cs="Arial"/>
                <w:color w:val="000000"/>
                <w:sz w:val="14"/>
                <w:szCs w:val="16"/>
                <w:lang w:val="en-GB"/>
              </w:rPr>
              <w:t xml:space="preserve"> </w:t>
            </w:r>
            <w:r w:rsidRPr="00ED089D">
              <w:rPr>
                <w:rFonts w:cs="Arial"/>
                <w:color w:val="000000"/>
                <w:sz w:val="14"/>
                <w:szCs w:val="16"/>
                <w:lang w:val="en-GB"/>
              </w:rPr>
              <w:t>for plan but employer has 7 days after becoming aware</w:t>
            </w:r>
            <w:r w:rsidR="00DD0D68">
              <w:rPr>
                <w:rFonts w:cs="Arial"/>
                <w:color w:val="000000"/>
                <w:sz w:val="14"/>
                <w:szCs w:val="16"/>
                <w:lang w:val="en-GB"/>
              </w:rPr>
              <w:t xml:space="preserve"> </w:t>
            </w:r>
            <w:r w:rsidRPr="00ED089D">
              <w:rPr>
                <w:rFonts w:cs="Arial"/>
                <w:color w:val="000000"/>
                <w:sz w:val="14"/>
                <w:szCs w:val="16"/>
                <w:lang w:val="en-GB"/>
              </w:rPr>
              <w:t xml:space="preserve">that the worker’s total or partial incapacity will exceed 28 days to give a proposal in writing to the worker for a return to work plan — </w:t>
            </w:r>
            <w:r w:rsidR="00C9488D" w:rsidRPr="00016069">
              <w:rPr>
                <w:i/>
                <w:sz w:val="14"/>
              </w:rPr>
              <w:t>Return to Work Act</w:t>
            </w:r>
            <w:r w:rsidR="00C9488D" w:rsidRPr="00ED089D">
              <w:rPr>
                <w:rFonts w:cs="Arial"/>
                <w:color w:val="000000"/>
                <w:sz w:val="14"/>
                <w:szCs w:val="16"/>
                <w:lang w:val="en-GB"/>
              </w:rPr>
              <w:t xml:space="preserve"> </w:t>
            </w:r>
            <w:hyperlink r:id="rId1986" w:history="1">
              <w:r w:rsidRPr="00C9488D">
                <w:rPr>
                  <w:rStyle w:val="Hyperlink"/>
                  <w:rFonts w:cs="Arial"/>
                  <w:sz w:val="14"/>
                  <w:szCs w:val="16"/>
                  <w:lang w:val="en-GB"/>
                </w:rPr>
                <w:t>s75A(1)(c)</w:t>
              </w:r>
            </w:hyperlink>
          </w:p>
        </w:tc>
      </w:tr>
      <w:tr w:rsidR="00ED089D" w:rsidRPr="00ED089D" w14:paraId="6B858FDF" w14:textId="77777777" w:rsidTr="00591890">
        <w:trPr>
          <w:trHeight w:val="423"/>
        </w:trPr>
        <w:tc>
          <w:tcPr>
            <w:tcW w:w="1910" w:type="dxa"/>
            <w:tcMar>
              <w:top w:w="80" w:type="dxa"/>
              <w:left w:w="80" w:type="dxa"/>
              <w:bottom w:w="80" w:type="dxa"/>
              <w:right w:w="80" w:type="dxa"/>
            </w:tcMar>
          </w:tcPr>
          <w:p w14:paraId="262E6AE6"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Australian Capital Territory</w:t>
            </w:r>
          </w:p>
        </w:tc>
        <w:tc>
          <w:tcPr>
            <w:tcW w:w="3402" w:type="dxa"/>
            <w:tcMar>
              <w:top w:w="80" w:type="dxa"/>
              <w:left w:w="80" w:type="dxa"/>
              <w:bottom w:w="80" w:type="dxa"/>
              <w:right w:w="80" w:type="dxa"/>
            </w:tcMar>
          </w:tcPr>
          <w:p w14:paraId="5DC7C5D5" w14:textId="201BCE8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53FD52C5" w14:textId="0BA416A8"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3 business days for significant injury —</w:t>
            </w:r>
            <w:r w:rsidR="00C43DCB">
              <w:rPr>
                <w:rFonts w:cs="Arial"/>
                <w:color w:val="000000"/>
                <w:sz w:val="14"/>
                <w:szCs w:val="16"/>
                <w:lang w:val="en-GB"/>
              </w:rPr>
              <w:t xml:space="preserve"> </w:t>
            </w:r>
            <w:r w:rsidR="00C43DCB" w:rsidRPr="00016069">
              <w:rPr>
                <w:i/>
                <w:sz w:val="14"/>
              </w:rPr>
              <w:t>Workers Compensation Act 1951</w:t>
            </w:r>
            <w:r w:rsidRPr="00ED089D">
              <w:rPr>
                <w:rFonts w:cs="Arial"/>
                <w:color w:val="000000"/>
                <w:sz w:val="14"/>
                <w:szCs w:val="16"/>
                <w:lang w:val="en-GB"/>
              </w:rPr>
              <w:t xml:space="preserve"> </w:t>
            </w:r>
            <w:hyperlink r:id="rId1987" w:history="1">
              <w:r w:rsidRPr="00C43DCB">
                <w:rPr>
                  <w:rStyle w:val="Hyperlink"/>
                  <w:rFonts w:cs="Arial"/>
                  <w:sz w:val="14"/>
                  <w:szCs w:val="16"/>
                  <w:lang w:val="en-GB"/>
                </w:rPr>
                <w:t>s96</w:t>
              </w:r>
            </w:hyperlink>
            <w:r w:rsidRPr="00ED089D">
              <w:rPr>
                <w:rFonts w:cs="Arial"/>
                <w:color w:val="000000"/>
                <w:sz w:val="14"/>
                <w:szCs w:val="16"/>
                <w:lang w:val="en-GB"/>
              </w:rPr>
              <w:t>.</w:t>
            </w:r>
          </w:p>
          <w:p w14:paraId="385D39F7" w14:textId="591E68FE"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When suspected that injury is significant (7 days) — </w:t>
            </w:r>
            <w:hyperlink r:id="rId1988" w:history="1">
              <w:r w:rsidRPr="00C43DCB">
                <w:rPr>
                  <w:rStyle w:val="Hyperlink"/>
                  <w:rFonts w:cs="Arial"/>
                  <w:sz w:val="14"/>
                  <w:szCs w:val="16"/>
                  <w:lang w:val="en-GB"/>
                </w:rPr>
                <w:t>s97</w:t>
              </w:r>
            </w:hyperlink>
            <w:r w:rsidRPr="00ED089D">
              <w:rPr>
                <w:rFonts w:cs="Arial"/>
                <w:color w:val="000000"/>
                <w:sz w:val="14"/>
                <w:szCs w:val="16"/>
                <w:lang w:val="en-GB"/>
              </w:rPr>
              <w:t>.</w:t>
            </w:r>
          </w:p>
        </w:tc>
      </w:tr>
      <w:tr w:rsidR="00ED089D" w:rsidRPr="00ED089D" w14:paraId="5F8B2042" w14:textId="77777777" w:rsidTr="00591890">
        <w:tc>
          <w:tcPr>
            <w:tcW w:w="1910" w:type="dxa"/>
            <w:shd w:val="clear" w:color="auto" w:fill="FFC9C9"/>
            <w:tcMar>
              <w:top w:w="80" w:type="dxa"/>
              <w:left w:w="80" w:type="dxa"/>
              <w:bottom w:w="80" w:type="dxa"/>
              <w:right w:w="80" w:type="dxa"/>
            </w:tcMar>
          </w:tcPr>
          <w:p w14:paraId="7DED415D"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Comcare</w:t>
            </w:r>
          </w:p>
        </w:tc>
        <w:tc>
          <w:tcPr>
            <w:tcW w:w="3402" w:type="dxa"/>
            <w:shd w:val="clear" w:color="auto" w:fill="FFC9C9"/>
            <w:tcMar>
              <w:top w:w="80" w:type="dxa"/>
              <w:left w:w="80" w:type="dxa"/>
              <w:bottom w:w="80" w:type="dxa"/>
              <w:right w:w="80" w:type="dxa"/>
            </w:tcMar>
          </w:tcPr>
          <w:p w14:paraId="11F18799" w14:textId="5C0215CF" w:rsidR="00ED089D" w:rsidRPr="00ED089D" w:rsidRDefault="00BB4F03" w:rsidP="00292A53">
            <w:pPr>
              <w:spacing w:after="60"/>
              <w:rPr>
                <w:rFonts w:cs="Arial"/>
                <w:color w:val="000000"/>
                <w:sz w:val="14"/>
                <w:szCs w:val="16"/>
                <w:lang w:val="en-GB"/>
              </w:rPr>
            </w:pPr>
            <w:r>
              <w:rPr>
                <w:rFonts w:cs="Arial"/>
                <w:color w:val="000000"/>
                <w:sz w:val="14"/>
                <w:szCs w:val="16"/>
                <w:lang w:val="en-GB"/>
              </w:rPr>
              <w:t>No time specified</w:t>
            </w:r>
          </w:p>
        </w:tc>
        <w:tc>
          <w:tcPr>
            <w:tcW w:w="9922" w:type="dxa"/>
            <w:shd w:val="clear" w:color="auto" w:fill="FFC9C9"/>
            <w:tcMar>
              <w:top w:w="80" w:type="dxa"/>
              <w:left w:w="80" w:type="dxa"/>
              <w:bottom w:w="80" w:type="dxa"/>
              <w:right w:w="80" w:type="dxa"/>
            </w:tcMar>
          </w:tcPr>
          <w:p w14:paraId="79EBA0F7" w14:textId="74E9D6E6" w:rsidR="00ED089D" w:rsidRPr="00ED089D" w:rsidRDefault="00BB4F03" w:rsidP="00292A53">
            <w:pPr>
              <w:spacing w:after="60"/>
              <w:rPr>
                <w:rFonts w:cs="Arial"/>
                <w:color w:val="000000"/>
                <w:sz w:val="14"/>
                <w:szCs w:val="16"/>
                <w:lang w:val="en-GB"/>
              </w:rPr>
            </w:pPr>
            <w:r>
              <w:rPr>
                <w:rFonts w:cs="Arial"/>
                <w:color w:val="000000"/>
                <w:sz w:val="14"/>
                <w:szCs w:val="16"/>
                <w:lang w:val="en-GB"/>
              </w:rPr>
              <w:t>No</w:t>
            </w:r>
            <w:r w:rsidR="005348D7">
              <w:rPr>
                <w:rFonts w:cs="Arial"/>
                <w:color w:val="000000"/>
                <w:sz w:val="14"/>
                <w:szCs w:val="16"/>
                <w:lang w:val="en-GB"/>
              </w:rPr>
              <w:t xml:space="preserve"> prescribed</w:t>
            </w:r>
            <w:r>
              <w:rPr>
                <w:rFonts w:cs="Arial"/>
                <w:color w:val="000000"/>
                <w:sz w:val="14"/>
                <w:szCs w:val="16"/>
                <w:lang w:val="en-GB"/>
              </w:rPr>
              <w:t xml:space="preserve"> time specified</w:t>
            </w:r>
            <w:r w:rsidR="005348D7">
              <w:rPr>
                <w:rFonts w:cs="Arial"/>
                <w:color w:val="000000"/>
                <w:sz w:val="14"/>
                <w:szCs w:val="16"/>
                <w:lang w:val="en-GB"/>
              </w:rPr>
              <w:t xml:space="preserve"> by Comcare.</w:t>
            </w:r>
          </w:p>
        </w:tc>
      </w:tr>
      <w:tr w:rsidR="00ED089D" w:rsidRPr="00ED089D" w14:paraId="3B96F4F6" w14:textId="77777777" w:rsidTr="00591890">
        <w:tc>
          <w:tcPr>
            <w:tcW w:w="1910" w:type="dxa"/>
            <w:tcMar>
              <w:top w:w="80" w:type="dxa"/>
              <w:left w:w="80" w:type="dxa"/>
              <w:bottom w:w="80" w:type="dxa"/>
              <w:right w:w="80" w:type="dxa"/>
            </w:tcMar>
          </w:tcPr>
          <w:p w14:paraId="77617FFB"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Seacare</w:t>
            </w:r>
          </w:p>
        </w:tc>
        <w:tc>
          <w:tcPr>
            <w:tcW w:w="3402" w:type="dxa"/>
            <w:tcMar>
              <w:top w:w="80" w:type="dxa"/>
              <w:left w:w="80" w:type="dxa"/>
              <w:bottom w:w="80" w:type="dxa"/>
              <w:right w:w="80" w:type="dxa"/>
            </w:tcMar>
          </w:tcPr>
          <w:p w14:paraId="7277B19F" w14:textId="52D45C80"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74E62143" w14:textId="1DCBFAB2"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No </w:t>
            </w:r>
            <w:r w:rsidR="005348D7">
              <w:rPr>
                <w:rFonts w:cs="Arial"/>
                <w:color w:val="000000"/>
                <w:sz w:val="14"/>
                <w:szCs w:val="16"/>
                <w:lang w:val="en-GB"/>
              </w:rPr>
              <w:t xml:space="preserve">prescribed </w:t>
            </w:r>
            <w:r w:rsidRPr="00ED089D">
              <w:rPr>
                <w:rFonts w:cs="Arial"/>
                <w:color w:val="000000"/>
                <w:sz w:val="14"/>
                <w:szCs w:val="16"/>
                <w:lang w:val="en-GB"/>
              </w:rPr>
              <w:t>time specified</w:t>
            </w:r>
            <w:r w:rsidR="005348D7">
              <w:rPr>
                <w:rFonts w:cs="Arial"/>
                <w:color w:val="000000"/>
                <w:sz w:val="14"/>
                <w:szCs w:val="16"/>
                <w:lang w:val="en-GB"/>
              </w:rPr>
              <w:t xml:space="preserve"> by Comcare.</w:t>
            </w:r>
          </w:p>
        </w:tc>
      </w:tr>
      <w:tr w:rsidR="00ED089D" w:rsidRPr="00ED089D" w14:paraId="610610DE" w14:textId="77777777" w:rsidTr="00591890">
        <w:tc>
          <w:tcPr>
            <w:tcW w:w="1910" w:type="dxa"/>
            <w:shd w:val="clear" w:color="auto" w:fill="FFC9C9"/>
            <w:tcMar>
              <w:top w:w="80" w:type="dxa"/>
              <w:left w:w="80" w:type="dxa"/>
              <w:bottom w:w="80" w:type="dxa"/>
              <w:right w:w="80" w:type="dxa"/>
            </w:tcMar>
          </w:tcPr>
          <w:p w14:paraId="29405151"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DVA</w:t>
            </w:r>
          </w:p>
        </w:tc>
        <w:tc>
          <w:tcPr>
            <w:tcW w:w="3402" w:type="dxa"/>
            <w:shd w:val="clear" w:color="auto" w:fill="FFC9C9"/>
            <w:tcMar>
              <w:top w:w="80" w:type="dxa"/>
              <w:left w:w="80" w:type="dxa"/>
              <w:bottom w:w="80" w:type="dxa"/>
              <w:right w:w="80" w:type="dxa"/>
            </w:tcMar>
          </w:tcPr>
          <w:p w14:paraId="237C6300" w14:textId="2D38AC66" w:rsidR="00ED089D" w:rsidRPr="00ED089D" w:rsidRDefault="00BB4F03" w:rsidP="00292A53">
            <w:pPr>
              <w:spacing w:after="60"/>
              <w:rPr>
                <w:rFonts w:cs="Arial"/>
                <w:color w:val="000000"/>
                <w:sz w:val="14"/>
                <w:szCs w:val="16"/>
                <w:lang w:val="en-GB"/>
              </w:rPr>
            </w:pPr>
            <w:r>
              <w:rPr>
                <w:rFonts w:cs="Arial"/>
                <w:color w:val="000000"/>
                <w:sz w:val="14"/>
                <w:szCs w:val="16"/>
                <w:lang w:val="en-GB"/>
              </w:rPr>
              <w:t>No time specified</w:t>
            </w:r>
          </w:p>
        </w:tc>
        <w:tc>
          <w:tcPr>
            <w:tcW w:w="9922" w:type="dxa"/>
            <w:shd w:val="clear" w:color="auto" w:fill="FFC9C9"/>
            <w:tcMar>
              <w:top w:w="80" w:type="dxa"/>
              <w:left w:w="80" w:type="dxa"/>
              <w:bottom w:w="80" w:type="dxa"/>
              <w:right w:w="80" w:type="dxa"/>
            </w:tcMar>
          </w:tcPr>
          <w:p w14:paraId="75EEB0EB" w14:textId="460BEEC9" w:rsidR="00ED089D" w:rsidRPr="00ED089D" w:rsidRDefault="00BB4F03" w:rsidP="00292A53">
            <w:pPr>
              <w:spacing w:after="60"/>
              <w:rPr>
                <w:rFonts w:cs="Arial"/>
                <w:color w:val="000000"/>
                <w:sz w:val="14"/>
                <w:szCs w:val="16"/>
                <w:lang w:val="en-GB"/>
              </w:rPr>
            </w:pPr>
            <w:r>
              <w:rPr>
                <w:rFonts w:cs="Arial"/>
                <w:color w:val="000000"/>
                <w:sz w:val="14"/>
                <w:szCs w:val="16"/>
                <w:lang w:val="en-GB"/>
              </w:rPr>
              <w:t>No time specified</w:t>
            </w:r>
          </w:p>
        </w:tc>
      </w:tr>
      <w:tr w:rsidR="00ED089D" w:rsidRPr="00ED089D" w14:paraId="296F2E50" w14:textId="77777777" w:rsidTr="00591890">
        <w:tc>
          <w:tcPr>
            <w:tcW w:w="1910" w:type="dxa"/>
            <w:tcMar>
              <w:top w:w="80" w:type="dxa"/>
              <w:left w:w="80" w:type="dxa"/>
              <w:bottom w:w="80" w:type="dxa"/>
              <w:right w:w="80" w:type="dxa"/>
            </w:tcMar>
          </w:tcPr>
          <w:p w14:paraId="40C20B43"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New Zealand</w:t>
            </w:r>
          </w:p>
        </w:tc>
        <w:tc>
          <w:tcPr>
            <w:tcW w:w="3402" w:type="dxa"/>
            <w:tcMar>
              <w:top w:w="80" w:type="dxa"/>
              <w:left w:w="80" w:type="dxa"/>
              <w:bottom w:w="80" w:type="dxa"/>
              <w:right w:w="80" w:type="dxa"/>
            </w:tcMar>
          </w:tcPr>
          <w:p w14:paraId="6F36D16B" w14:textId="723A843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7BC7D9FA" w14:textId="3FEBAFE2" w:rsidR="00ED089D" w:rsidRPr="00ED089D" w:rsidRDefault="00C94202" w:rsidP="00292A53">
            <w:pPr>
              <w:spacing w:after="60"/>
              <w:rPr>
                <w:rFonts w:cs="Arial"/>
                <w:color w:val="000000"/>
                <w:sz w:val="14"/>
                <w:szCs w:val="16"/>
                <w:lang w:val="en-GB"/>
              </w:rPr>
            </w:pPr>
            <w:r w:rsidRPr="00016069">
              <w:rPr>
                <w:i/>
                <w:sz w:val="14"/>
              </w:rPr>
              <w:t>Accident Compensation Act 2001</w:t>
            </w:r>
            <w:r>
              <w:rPr>
                <w:i/>
                <w:sz w:val="14"/>
              </w:rPr>
              <w:t xml:space="preserve"> </w:t>
            </w:r>
            <w:hyperlink r:id="rId1989" w:history="1">
              <w:r w:rsidR="00ED089D" w:rsidRPr="00C94202">
                <w:rPr>
                  <w:rStyle w:val="Hyperlink"/>
                  <w:rFonts w:cs="Arial"/>
                  <w:sz w:val="14"/>
                  <w:szCs w:val="16"/>
                  <w:lang w:val="en-GB"/>
                </w:rPr>
                <w:t>s75</w:t>
              </w:r>
            </w:hyperlink>
            <w:r w:rsidR="00ED089D" w:rsidRPr="00ED089D">
              <w:rPr>
                <w:rFonts w:cs="Arial"/>
                <w:color w:val="000000"/>
                <w:sz w:val="14"/>
                <w:szCs w:val="16"/>
                <w:lang w:val="en-GB"/>
              </w:rPr>
              <w:t xml:space="preserve"> Corporation to determine need for rehabilitation plan</w:t>
            </w:r>
            <w:r w:rsidR="00591890">
              <w:rPr>
                <w:rFonts w:cs="Arial"/>
                <w:color w:val="000000"/>
                <w:sz w:val="14"/>
                <w:szCs w:val="16"/>
                <w:lang w:val="en-GB"/>
              </w:rPr>
              <w:t xml:space="preserve">. </w:t>
            </w:r>
            <w:r w:rsidR="00ED089D" w:rsidRPr="00ED089D">
              <w:rPr>
                <w:rFonts w:cs="Arial"/>
                <w:color w:val="000000"/>
                <w:sz w:val="14"/>
                <w:szCs w:val="16"/>
                <w:lang w:val="en-GB"/>
              </w:rPr>
              <w:t>Within 13 weeks after the Corporation accepts the claimant’s claim for cover, the Corporation-</w:t>
            </w:r>
          </w:p>
          <w:p w14:paraId="3D023B50" w14:textId="66FD9FE3" w:rsidR="00ED089D" w:rsidRPr="00ED089D" w:rsidRDefault="00ED089D" w:rsidP="00591890">
            <w:pPr>
              <w:pStyle w:val="Tableabc"/>
              <w:numPr>
                <w:ilvl w:val="0"/>
                <w:numId w:val="318"/>
              </w:numPr>
              <w:spacing w:afterAutospacing="0"/>
              <w:ind w:left="357" w:hanging="357"/>
              <w:rPr>
                <w:color w:val="000000"/>
              </w:rPr>
            </w:pPr>
            <w:r w:rsidRPr="00ED089D">
              <w:rPr>
                <w:color w:val="000000"/>
              </w:rPr>
              <w:t>must</w:t>
            </w:r>
            <w:r w:rsidR="00C86613">
              <w:rPr>
                <w:color w:val="000000"/>
              </w:rPr>
              <w:t>—</w:t>
            </w:r>
          </w:p>
          <w:p w14:paraId="19AA50B2" w14:textId="77777777" w:rsidR="00ED089D" w:rsidRPr="00ED089D" w:rsidRDefault="00ED089D" w:rsidP="00F839DB">
            <w:pPr>
              <w:pStyle w:val="ListParagraph"/>
              <w:numPr>
                <w:ilvl w:val="0"/>
                <w:numId w:val="319"/>
              </w:numPr>
              <w:spacing w:after="60"/>
              <w:ind w:left="357" w:hanging="11"/>
              <w:contextualSpacing/>
              <w:rPr>
                <w:rFonts w:cs="Arial"/>
                <w:color w:val="000000"/>
                <w:sz w:val="14"/>
                <w:szCs w:val="16"/>
                <w:lang w:val="en-GB"/>
              </w:rPr>
            </w:pPr>
            <w:r w:rsidRPr="00ED089D">
              <w:rPr>
                <w:rFonts w:cs="Arial"/>
                <w:color w:val="000000"/>
                <w:sz w:val="14"/>
                <w:szCs w:val="16"/>
                <w:lang w:val="en-GB"/>
              </w:rPr>
              <w:t>determine whether the claimant is likely to need social or vocational rehabilitation after the 12 weeks have ended; and</w:t>
            </w:r>
          </w:p>
          <w:p w14:paraId="35E66DF8" w14:textId="77777777" w:rsidR="00ED089D" w:rsidRPr="00ED089D" w:rsidRDefault="00ED089D" w:rsidP="00F839DB">
            <w:pPr>
              <w:pStyle w:val="ListParagraph"/>
              <w:numPr>
                <w:ilvl w:val="0"/>
                <w:numId w:val="319"/>
              </w:numPr>
              <w:spacing w:after="60"/>
              <w:ind w:hanging="11"/>
              <w:rPr>
                <w:rFonts w:cs="Arial"/>
                <w:color w:val="000000"/>
                <w:sz w:val="14"/>
                <w:szCs w:val="16"/>
                <w:lang w:val="en-GB"/>
              </w:rPr>
            </w:pPr>
            <w:r w:rsidRPr="00ED089D">
              <w:rPr>
                <w:rFonts w:cs="Arial"/>
                <w:color w:val="000000"/>
                <w:sz w:val="14"/>
                <w:szCs w:val="16"/>
                <w:lang w:val="en-GB"/>
              </w:rPr>
              <w:t>if so, prepare an individual rehabilitation plan in consultation with the claimant; and</w:t>
            </w:r>
          </w:p>
          <w:p w14:paraId="64158A80" w14:textId="77777777" w:rsidR="00ED089D" w:rsidRPr="00ED089D" w:rsidRDefault="00ED089D" w:rsidP="00F839DB">
            <w:pPr>
              <w:pStyle w:val="ListParagraph"/>
              <w:numPr>
                <w:ilvl w:val="0"/>
                <w:numId w:val="320"/>
              </w:numPr>
              <w:spacing w:after="60"/>
              <w:rPr>
                <w:rFonts w:cs="Arial"/>
                <w:color w:val="000000"/>
                <w:sz w:val="14"/>
                <w:szCs w:val="16"/>
                <w:lang w:val="en-GB"/>
              </w:rPr>
            </w:pPr>
            <w:r w:rsidRPr="00ED089D">
              <w:rPr>
                <w:rFonts w:cs="Arial"/>
                <w:color w:val="000000"/>
                <w:sz w:val="14"/>
                <w:szCs w:val="16"/>
                <w:lang w:val="en-GB"/>
              </w:rPr>
              <w:t>may include the plan provision for treatment.</w:t>
            </w:r>
          </w:p>
        </w:tc>
      </w:tr>
    </w:tbl>
    <w:p w14:paraId="26EEA20C" w14:textId="483F03AB"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709" w:gutter="0"/>
          <w:cols w:space="708"/>
          <w:docGrid w:linePitch="360"/>
        </w:sectPr>
      </w:pPr>
    </w:p>
    <w:p w14:paraId="22D2C2A4" w14:textId="66142920" w:rsidR="00C709C9" w:rsidRDefault="00B5255A" w:rsidP="00C709C9">
      <w:pPr>
        <w:pStyle w:val="SWASectiontitle"/>
        <w:rPr>
          <w:bCs/>
        </w:rPr>
      </w:pPr>
      <w:bookmarkStart w:id="187" w:name="_Toc504654701"/>
      <w:bookmarkEnd w:id="156"/>
      <w:r>
        <w:rPr>
          <w:noProof/>
        </w:rPr>
        <w:lastRenderedPageBreak/>
        <w:drawing>
          <wp:anchor distT="0" distB="0" distL="114300" distR="114300" simplePos="0" relativeHeight="251668992" behindDoc="1" locked="0" layoutInCell="1" allowOverlap="1" wp14:anchorId="54220B4E" wp14:editId="7D2FFC37">
            <wp:simplePos x="0" y="0"/>
            <wp:positionH relativeFrom="column">
              <wp:posOffset>-168910</wp:posOffset>
            </wp:positionH>
            <wp:positionV relativeFrom="paragraph">
              <wp:posOffset>-960755</wp:posOffset>
            </wp:positionV>
            <wp:extent cx="7600950" cy="10732135"/>
            <wp:effectExtent l="0" t="0" r="0" b="0"/>
            <wp:wrapNone/>
            <wp:docPr id="5" name="Picture 5"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7C73B6A5" wp14:editId="094A29BD">
            <wp:simplePos x="0" y="0"/>
            <wp:positionH relativeFrom="column">
              <wp:posOffset>-914400</wp:posOffset>
            </wp:positionH>
            <wp:positionV relativeFrom="paragraph">
              <wp:posOffset>-1157605</wp:posOffset>
            </wp:positionV>
            <wp:extent cx="7600950" cy="10732135"/>
            <wp:effectExtent l="0" t="0" r="0" b="0"/>
            <wp:wrapNone/>
            <wp:docPr id="1" name="Picture 1"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9C9" w:rsidRPr="00CA27AD">
        <w:t>Chapter</w:t>
      </w:r>
      <w:r w:rsidR="00246D8C">
        <w:rPr>
          <w:bCs/>
        </w:rPr>
        <w:t xml:space="preserve"> 6:</w:t>
      </w:r>
      <w:r w:rsidR="00246D8C">
        <w:rPr>
          <w:bCs/>
        </w:rPr>
        <w:br/>
      </w:r>
      <w:r w:rsidR="00C709C9" w:rsidRPr="000B48F9">
        <w:rPr>
          <w:bCs/>
        </w:rPr>
        <w:t>Self-insurer arrangements</w:t>
      </w:r>
      <w:bookmarkEnd w:id="187"/>
    </w:p>
    <w:p w14:paraId="2BCB7749" w14:textId="356ED8D8" w:rsidR="000B48F9" w:rsidRDefault="000B48F9">
      <w:pPr>
        <w:spacing w:after="200" w:line="276" w:lineRule="auto"/>
        <w:rPr>
          <w:rFonts w:eastAsiaTheme="minorHAnsi"/>
          <w:b/>
        </w:rPr>
      </w:pPr>
      <w:r>
        <w:rPr>
          <w:rFonts w:eastAsiaTheme="minorHAnsi"/>
          <w:b/>
        </w:rPr>
        <w:br w:type="page"/>
      </w:r>
    </w:p>
    <w:p w14:paraId="0F914047" w14:textId="525B9E63" w:rsidR="0026591E" w:rsidRPr="0026591E" w:rsidRDefault="0026591E" w:rsidP="00A80282">
      <w:pPr>
        <w:pStyle w:val="Title"/>
      </w:pPr>
      <w:bookmarkStart w:id="188" w:name="_Toc504654702"/>
      <w:r w:rsidRPr="0026591E">
        <w:lastRenderedPageBreak/>
        <w:t>Self-insurers</w:t>
      </w:r>
      <w:bookmarkEnd w:id="188"/>
    </w:p>
    <w:p w14:paraId="391B8137" w14:textId="6E8EE51A" w:rsidR="006A50D4" w:rsidRDefault="00C66972" w:rsidP="00924800">
      <w:pPr>
        <w:spacing w:before="240"/>
        <w:rPr>
          <w:rFonts w:eastAsiaTheme="minorHAnsi"/>
        </w:rPr>
      </w:pPr>
      <w:r w:rsidRPr="00C66972">
        <w:rPr>
          <w:rFonts w:eastAsiaTheme="minorHAnsi"/>
        </w:rPr>
        <w:t>Each jurisdiction allows employers to self-insure for workers’ compensation. This allows companies to manage and pay for their employees’ claims for work-related fatality, injury and illness, rather than paying premiums to insurers to take on those responsibilities.</w:t>
      </w:r>
      <w:r w:rsidR="000B568E">
        <w:rPr>
          <w:rFonts w:eastAsiaTheme="minorHAnsi"/>
        </w:rPr>
        <w:fldChar w:fldCharType="begin"/>
      </w:r>
      <w:r w:rsidR="000B568E">
        <w:instrText xml:space="preserve"> XE "</w:instrText>
      </w:r>
      <w:r w:rsidR="000B568E" w:rsidRPr="001854C8">
        <w:instrText>self-insurer arrangements</w:instrText>
      </w:r>
      <w:r w:rsidR="000B568E">
        <w:instrText xml:space="preserve">" </w:instrText>
      </w:r>
      <w:r w:rsidR="000B568E">
        <w:rPr>
          <w:rFonts w:eastAsiaTheme="minorHAnsi"/>
        </w:rPr>
        <w:fldChar w:fldCharType="end"/>
      </w:r>
      <w:r w:rsidRPr="00C66972">
        <w:rPr>
          <w:rFonts w:eastAsiaTheme="minorHAnsi"/>
        </w:rPr>
        <w:t xml:space="preserve"> </w:t>
      </w:r>
    </w:p>
    <w:p w14:paraId="75EFBB26" w14:textId="4F52D9D8" w:rsidR="006A50D4" w:rsidRDefault="00C66972" w:rsidP="00924800">
      <w:pPr>
        <w:spacing w:before="240"/>
        <w:rPr>
          <w:rFonts w:eastAsiaTheme="minorHAnsi"/>
        </w:rPr>
      </w:pPr>
      <w:r w:rsidRPr="00C66972">
        <w:rPr>
          <w:rFonts w:eastAsiaTheme="minorHAnsi"/>
        </w:rPr>
        <w:t>Self-insured companies must conform to each jurisdiction’s specific legislative requirements, such as the level of benefit</w:t>
      </w:r>
      <w:r w:rsidR="00924800">
        <w:rPr>
          <w:rFonts w:eastAsiaTheme="minorHAnsi"/>
        </w:rPr>
        <w:t xml:space="preserve">s payable to injured employees. However, </w:t>
      </w:r>
      <w:r w:rsidRPr="00C66972">
        <w:rPr>
          <w:rFonts w:eastAsiaTheme="minorHAnsi"/>
        </w:rPr>
        <w:t xml:space="preserve">self-insurance gives them financial freedom to fund and manage their own workers’ compensation liabilities. </w:t>
      </w:r>
    </w:p>
    <w:p w14:paraId="523C1F18" w14:textId="77777777" w:rsidR="006A50D4" w:rsidRDefault="00C66972" w:rsidP="00924800">
      <w:pPr>
        <w:spacing w:before="240"/>
        <w:rPr>
          <w:rFonts w:eastAsiaTheme="minorHAnsi"/>
        </w:rPr>
      </w:pPr>
      <w:r w:rsidRPr="00C66972">
        <w:rPr>
          <w:rFonts w:eastAsiaTheme="minorHAnsi"/>
        </w:rPr>
        <w:t>All workers’ compensation jurisdictions in Australia and New Zealand, except Seacare and the Department of Veterans’ Affairs, allow employers to self-insure if they meet certain requirements, the most critical of which is the financial capacity to fully fund future liabilities. Regulatory authorities in each jurisdiction also need to be satisfied that self-insuring employers have adequate work health and safety, injury management and return to work arrangements, as well as the capacity to effectively manage workers’ compensation.</w:t>
      </w:r>
    </w:p>
    <w:p w14:paraId="1528606D" w14:textId="08EB9EEA" w:rsidR="00C66972" w:rsidRPr="00C66972" w:rsidRDefault="00C66972" w:rsidP="00924800">
      <w:pPr>
        <w:spacing w:before="240"/>
        <w:rPr>
          <w:rFonts w:eastAsiaTheme="minorHAnsi"/>
        </w:rPr>
      </w:pPr>
      <w:r w:rsidRPr="00C66972">
        <w:rPr>
          <w:rFonts w:eastAsiaTheme="minorHAnsi"/>
        </w:rPr>
        <w:t>Once employers self-insure they no longer pay workers’ compensation premiums. However, they are still required to pay a levy that is a fair contribution towards the overheads of administering the scheme.</w:t>
      </w:r>
    </w:p>
    <w:p w14:paraId="772494D9" w14:textId="77777777" w:rsidR="006A50D4" w:rsidRDefault="00C66972" w:rsidP="00924800">
      <w:pPr>
        <w:spacing w:before="240"/>
        <w:rPr>
          <w:rFonts w:eastAsiaTheme="minorHAnsi"/>
        </w:rPr>
      </w:pPr>
      <w:r w:rsidRPr="00C66972">
        <w:rPr>
          <w:rFonts w:eastAsiaTheme="minorHAnsi"/>
        </w:rPr>
        <w:t>Self-insuring employers can self manage the claims management and rehabilitation of their injured workers and have responsibility for meeting all of their claim liabilities. Self-insurers have to reapply to self-insure after a period of time.</w:t>
      </w:r>
    </w:p>
    <w:p w14:paraId="368B01D9" w14:textId="77777777" w:rsidR="006A50D4" w:rsidRDefault="00C66972" w:rsidP="00924800">
      <w:pPr>
        <w:spacing w:before="240"/>
        <w:rPr>
          <w:rFonts w:eastAsiaTheme="minorHAnsi"/>
        </w:rPr>
      </w:pPr>
      <w:r w:rsidRPr="00C66972">
        <w:rPr>
          <w:rFonts w:eastAsiaTheme="minorHAnsi"/>
        </w:rPr>
        <w:t>The tables contained in this chapter outline:</w:t>
      </w:r>
    </w:p>
    <w:p w14:paraId="17EFCA6D" w14:textId="50CEE1BE" w:rsidR="00205CCE" w:rsidRDefault="00C66972" w:rsidP="00F839DB">
      <w:pPr>
        <w:pStyle w:val="Heading4"/>
        <w:numPr>
          <w:ilvl w:val="1"/>
          <w:numId w:val="475"/>
        </w:numPr>
        <w:rPr>
          <w:rFonts w:eastAsiaTheme="minorHAnsi"/>
        </w:rPr>
      </w:pPr>
      <w:r w:rsidRPr="0014264B">
        <w:rPr>
          <w:rFonts w:eastAsiaTheme="minorHAnsi"/>
        </w:rPr>
        <w:t>Workers’ compensation and self-insurance coverage</w:t>
      </w:r>
    </w:p>
    <w:p w14:paraId="59EA50C1" w14:textId="77777777" w:rsidR="00205CCE" w:rsidRDefault="00C66972" w:rsidP="00F839DB">
      <w:pPr>
        <w:pStyle w:val="Heading4"/>
        <w:numPr>
          <w:ilvl w:val="1"/>
          <w:numId w:val="475"/>
        </w:numPr>
        <w:rPr>
          <w:rFonts w:eastAsiaTheme="minorHAnsi"/>
        </w:rPr>
      </w:pPr>
      <w:r w:rsidRPr="0014264B">
        <w:rPr>
          <w:rFonts w:eastAsiaTheme="minorHAnsi"/>
        </w:rPr>
        <w:t>Criteria for becoming a self-insurer</w:t>
      </w:r>
    </w:p>
    <w:p w14:paraId="199BAB49" w14:textId="77777777" w:rsidR="00205CCE" w:rsidRDefault="00C66972" w:rsidP="00F839DB">
      <w:pPr>
        <w:pStyle w:val="Heading4"/>
        <w:numPr>
          <w:ilvl w:val="1"/>
          <w:numId w:val="475"/>
        </w:numPr>
        <w:rPr>
          <w:rFonts w:eastAsiaTheme="minorHAnsi"/>
        </w:rPr>
      </w:pPr>
      <w:r w:rsidRPr="00205CCE">
        <w:rPr>
          <w:rFonts w:eastAsiaTheme="minorHAnsi"/>
        </w:rPr>
        <w:t xml:space="preserve">Application and approval process, ongoing costs and duration of license </w:t>
      </w:r>
    </w:p>
    <w:p w14:paraId="740CC1E3" w14:textId="77777777" w:rsidR="00205CCE" w:rsidRDefault="00C66972" w:rsidP="00F839DB">
      <w:pPr>
        <w:pStyle w:val="Heading4"/>
        <w:numPr>
          <w:ilvl w:val="1"/>
          <w:numId w:val="475"/>
        </w:numPr>
        <w:rPr>
          <w:rFonts w:eastAsiaTheme="minorHAnsi"/>
        </w:rPr>
      </w:pPr>
      <w:r w:rsidRPr="00205CCE">
        <w:rPr>
          <w:rFonts w:eastAsiaTheme="minorHAnsi"/>
        </w:rPr>
        <w:t xml:space="preserve">Work health and safety requirements and auditing </w:t>
      </w:r>
    </w:p>
    <w:p w14:paraId="757C8C2E" w14:textId="77777777" w:rsidR="00205CCE" w:rsidRDefault="00C66972" w:rsidP="00F839DB">
      <w:pPr>
        <w:pStyle w:val="Heading4"/>
        <w:numPr>
          <w:ilvl w:val="1"/>
          <w:numId w:val="475"/>
        </w:numPr>
        <w:rPr>
          <w:rFonts w:eastAsiaTheme="minorHAnsi"/>
        </w:rPr>
      </w:pPr>
      <w:r w:rsidRPr="00205CCE">
        <w:rPr>
          <w:rFonts w:eastAsiaTheme="minorHAnsi"/>
        </w:rPr>
        <w:t>Bank guarantees, prudential margins and excess of loss requirements</w:t>
      </w:r>
    </w:p>
    <w:p w14:paraId="07F8A215" w14:textId="77777777" w:rsidR="00205CCE" w:rsidRDefault="00C66972" w:rsidP="00F839DB">
      <w:pPr>
        <w:pStyle w:val="Heading4"/>
        <w:numPr>
          <w:ilvl w:val="1"/>
          <w:numId w:val="475"/>
        </w:numPr>
        <w:rPr>
          <w:rFonts w:eastAsiaTheme="minorHAnsi"/>
        </w:rPr>
      </w:pPr>
      <w:r w:rsidRPr="00205CCE">
        <w:rPr>
          <w:rFonts w:eastAsiaTheme="minorHAnsi"/>
        </w:rPr>
        <w:t>Restraints on company structure</w:t>
      </w:r>
      <w:r w:rsidR="00124894" w:rsidRPr="00205CCE">
        <w:rPr>
          <w:rFonts w:eastAsiaTheme="minorHAnsi"/>
        </w:rPr>
        <w:t xml:space="preserve"> </w:t>
      </w:r>
      <w:r w:rsidR="00184441" w:rsidRPr="00205CCE">
        <w:rPr>
          <w:rFonts w:eastAsiaTheme="minorHAnsi"/>
        </w:rPr>
        <w:fldChar w:fldCharType="begin"/>
      </w:r>
      <w:r w:rsidR="00184441" w:rsidRPr="0014264B">
        <w:instrText xml:space="preserve"> XE "company structure restraints (self-insurers)" </w:instrText>
      </w:r>
      <w:r w:rsidR="00184441" w:rsidRPr="00205CCE">
        <w:rPr>
          <w:rFonts w:eastAsiaTheme="minorHAnsi"/>
        </w:rPr>
        <w:fldChar w:fldCharType="end"/>
      </w:r>
    </w:p>
    <w:p w14:paraId="036AA637" w14:textId="77777777" w:rsidR="00205CCE" w:rsidRDefault="00C66972" w:rsidP="00F839DB">
      <w:pPr>
        <w:pStyle w:val="Heading4"/>
        <w:numPr>
          <w:ilvl w:val="1"/>
          <w:numId w:val="475"/>
        </w:numPr>
        <w:rPr>
          <w:rFonts w:eastAsiaTheme="minorHAnsi"/>
        </w:rPr>
      </w:pPr>
      <w:r w:rsidRPr="00205CCE">
        <w:rPr>
          <w:rFonts w:eastAsiaTheme="minorHAnsi"/>
        </w:rPr>
        <w:t>Outsourcing of case management</w:t>
      </w:r>
    </w:p>
    <w:p w14:paraId="74726891" w14:textId="77777777" w:rsidR="00205CCE" w:rsidRDefault="00C66972" w:rsidP="00F839DB">
      <w:pPr>
        <w:pStyle w:val="Heading4"/>
        <w:numPr>
          <w:ilvl w:val="1"/>
          <w:numId w:val="475"/>
        </w:numPr>
        <w:rPr>
          <w:rFonts w:eastAsiaTheme="minorHAnsi"/>
        </w:rPr>
      </w:pPr>
      <w:r w:rsidRPr="00205CCE">
        <w:rPr>
          <w:rFonts w:eastAsiaTheme="minorHAnsi"/>
        </w:rPr>
        <w:t xml:space="preserve">Other ongoing license requirements </w:t>
      </w:r>
    </w:p>
    <w:p w14:paraId="49F38043" w14:textId="77777777" w:rsidR="00205CCE" w:rsidRDefault="00C66972" w:rsidP="00F839DB">
      <w:pPr>
        <w:pStyle w:val="Heading4"/>
        <w:numPr>
          <w:ilvl w:val="1"/>
          <w:numId w:val="475"/>
        </w:numPr>
        <w:rPr>
          <w:rFonts w:eastAsiaTheme="minorHAnsi"/>
        </w:rPr>
      </w:pPr>
      <w:r w:rsidRPr="00205CCE">
        <w:rPr>
          <w:rFonts w:eastAsiaTheme="minorHAnsi"/>
        </w:rPr>
        <w:t>Reporting requirements, and</w:t>
      </w:r>
    </w:p>
    <w:p w14:paraId="0A368561" w14:textId="1D8C72B8" w:rsidR="006A50D4" w:rsidRPr="00205CCE" w:rsidRDefault="00C66972" w:rsidP="00F839DB">
      <w:pPr>
        <w:pStyle w:val="Heading4"/>
        <w:numPr>
          <w:ilvl w:val="1"/>
          <w:numId w:val="475"/>
        </w:numPr>
        <w:rPr>
          <w:rFonts w:eastAsiaTheme="minorHAnsi"/>
        </w:rPr>
      </w:pPr>
      <w:r w:rsidRPr="00205CCE">
        <w:rPr>
          <w:rFonts w:eastAsiaTheme="minorHAnsi"/>
        </w:rPr>
        <w:t>Requirements for surrendering a self-insurance licence and penalties for exiting the scheme.</w:t>
      </w:r>
    </w:p>
    <w:p w14:paraId="7C8D52D3" w14:textId="77777777" w:rsidR="006A50D4" w:rsidRDefault="00C66972" w:rsidP="00924800">
      <w:pPr>
        <w:spacing w:before="240"/>
        <w:rPr>
          <w:rFonts w:eastAsiaTheme="minorHAnsi"/>
        </w:rPr>
      </w:pPr>
      <w:r w:rsidRPr="00C66972">
        <w:rPr>
          <w:rFonts w:eastAsiaTheme="minorHAnsi"/>
        </w:rPr>
        <w:t>The laws and regulations that must be satisfied to become a self-insurer vary significantly between jurisdictions. If an employer operates in more than one jurisdiction, it must apply separately for self-insurance in each of the jurisdictions in which it operates, except for the Comcare Scheme, which is a national scheme.</w:t>
      </w:r>
    </w:p>
    <w:p w14:paraId="4E405BEE" w14:textId="051D4F96" w:rsidR="00C66972" w:rsidRPr="00C66972" w:rsidRDefault="00C66972" w:rsidP="00924800">
      <w:pPr>
        <w:spacing w:before="240"/>
        <w:rPr>
          <w:rFonts w:eastAsiaTheme="minorHAnsi"/>
        </w:rPr>
      </w:pPr>
      <w:r w:rsidRPr="00C66972">
        <w:rPr>
          <w:rFonts w:eastAsiaTheme="minorHAnsi"/>
        </w:rPr>
        <w:t>A</w:t>
      </w:r>
      <w:r w:rsidR="000954E7">
        <w:rPr>
          <w:rFonts w:eastAsiaTheme="minorHAnsi"/>
        </w:rPr>
        <w:t xml:space="preserve">s at 30 September </w:t>
      </w:r>
      <w:r w:rsidR="00C47CAE">
        <w:rPr>
          <w:rFonts w:eastAsiaTheme="minorHAnsi"/>
        </w:rPr>
        <w:t>2017</w:t>
      </w:r>
      <w:r w:rsidR="00C47CAE" w:rsidRPr="00C66972">
        <w:rPr>
          <w:rFonts w:eastAsiaTheme="minorHAnsi"/>
        </w:rPr>
        <w:t xml:space="preserve"> </w:t>
      </w:r>
      <w:r w:rsidRPr="00C66972">
        <w:rPr>
          <w:rFonts w:eastAsiaTheme="minorHAnsi"/>
        </w:rPr>
        <w:t>there was no mutual recognition between the jurisdictions. Therefore, if an employer qualifies for self-insurance in one jurisdiction it does not automatically qualify for recognition in another jurisdiction.</w:t>
      </w:r>
    </w:p>
    <w:p w14:paraId="16138D02" w14:textId="77777777" w:rsidR="00C66972" w:rsidRPr="00C66972" w:rsidRDefault="00C66972" w:rsidP="00924800">
      <w:pPr>
        <w:spacing w:before="240"/>
        <w:rPr>
          <w:rFonts w:eastAsiaTheme="minorHAnsi"/>
        </w:rPr>
      </w:pPr>
      <w:r w:rsidRPr="00C66972">
        <w:rPr>
          <w:rFonts w:eastAsiaTheme="minorHAnsi"/>
        </w:rPr>
        <w:t>All jurisdictions impose a number of requirements that must be satisfied in order for organisations to be eligible to self-insure. In addition, all jurisdictions apply financial/prudential requirements to establish the long term financial viability of the organisation.</w:t>
      </w:r>
    </w:p>
    <w:p w14:paraId="07154D83" w14:textId="77777777" w:rsidR="00C66972" w:rsidRPr="00C66972" w:rsidRDefault="00C66972" w:rsidP="00C66972">
      <w:pPr>
        <w:spacing w:after="200" w:line="276" w:lineRule="auto"/>
        <w:rPr>
          <w:rFonts w:eastAsiaTheme="minorHAnsi"/>
        </w:rPr>
        <w:sectPr w:rsidR="00C66972" w:rsidRPr="00C66972" w:rsidSect="00BE34AA">
          <w:pgSz w:w="11906" w:h="16838"/>
          <w:pgMar w:top="1440" w:right="1440" w:bottom="1440" w:left="1440" w:header="709" w:footer="709" w:gutter="0"/>
          <w:cols w:space="708"/>
          <w:docGrid w:linePitch="360"/>
        </w:sectPr>
      </w:pPr>
    </w:p>
    <w:p w14:paraId="574B4E84" w14:textId="4F5AA974" w:rsidR="000B48F9" w:rsidRPr="00205CCE" w:rsidRDefault="000B48F9" w:rsidP="00205CCE">
      <w:pPr>
        <w:pStyle w:val="SWATableheader"/>
      </w:pPr>
      <w:bookmarkStart w:id="189" w:name="_Toc504654703"/>
      <w:r w:rsidRPr="00205CCE">
        <w:lastRenderedPageBreak/>
        <w:t>Table 6.1: Workers’ compensation and self-insurance coverage</w:t>
      </w:r>
      <w:bookmarkEnd w:id="189"/>
      <w:r w:rsidRPr="00205CCE">
        <w:t xml:space="preserve"> </w:t>
      </w:r>
      <w:r w:rsidR="000B568E" w:rsidRPr="00205CCE">
        <w:fldChar w:fldCharType="begin"/>
      </w:r>
      <w:r w:rsidR="000B568E" w:rsidRPr="00205CCE">
        <w:instrText xml:space="preserve"> XE "self-insurer arrangements:workers' compensation and self-insurance caverage"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1: Workers’ compensation and self-insurance coverage  "/>
        <w:tblDescription w:val="This table provides information on workers' compensation and self-insurance coverage under the workers' compensation schemes. "/>
      </w:tblPr>
      <w:tblGrid>
        <w:gridCol w:w="1984"/>
        <w:gridCol w:w="1303"/>
        <w:gridCol w:w="1303"/>
        <w:gridCol w:w="1303"/>
        <w:gridCol w:w="1303"/>
        <w:gridCol w:w="1303"/>
        <w:gridCol w:w="1303"/>
        <w:gridCol w:w="1303"/>
        <w:gridCol w:w="1303"/>
        <w:gridCol w:w="1303"/>
        <w:gridCol w:w="1304"/>
      </w:tblGrid>
      <w:tr w:rsidR="000B48F9" w:rsidRPr="000B48F9" w14:paraId="71727811" w14:textId="77777777" w:rsidTr="00B2173F">
        <w:trPr>
          <w:tblHeader/>
        </w:trPr>
        <w:tc>
          <w:tcPr>
            <w:tcW w:w="1984" w:type="dxa"/>
            <w:shd w:val="clear" w:color="auto" w:fill="C00000"/>
            <w:tcMar>
              <w:top w:w="0" w:type="dxa"/>
              <w:left w:w="0" w:type="dxa"/>
              <w:bottom w:w="0" w:type="dxa"/>
              <w:right w:w="0" w:type="dxa"/>
            </w:tcMar>
            <w:vAlign w:val="center"/>
          </w:tcPr>
          <w:p w14:paraId="7F0FF311" w14:textId="77777777" w:rsidR="000B48F9" w:rsidRPr="000B48F9" w:rsidRDefault="000B48F9" w:rsidP="00292A53">
            <w:pPr>
              <w:pStyle w:val="Tableheaderrow"/>
              <w:spacing w:after="60"/>
            </w:pPr>
          </w:p>
        </w:tc>
        <w:tc>
          <w:tcPr>
            <w:tcW w:w="1303" w:type="dxa"/>
            <w:shd w:val="clear" w:color="auto" w:fill="C00000"/>
            <w:tcMar>
              <w:top w:w="0" w:type="dxa"/>
              <w:left w:w="0" w:type="dxa"/>
              <w:bottom w:w="0" w:type="dxa"/>
              <w:right w:w="0" w:type="dxa"/>
            </w:tcMar>
            <w:vAlign w:val="center"/>
          </w:tcPr>
          <w:p w14:paraId="21ECE091" w14:textId="77777777" w:rsidR="000B48F9" w:rsidRPr="000B48F9" w:rsidRDefault="000B48F9" w:rsidP="00292A53">
            <w:pPr>
              <w:pStyle w:val="Tableheaderrow"/>
              <w:spacing w:after="60"/>
            </w:pPr>
            <w:r w:rsidRPr="000B48F9">
              <w:t>New South Wales</w:t>
            </w:r>
          </w:p>
        </w:tc>
        <w:tc>
          <w:tcPr>
            <w:tcW w:w="1303" w:type="dxa"/>
            <w:shd w:val="clear" w:color="auto" w:fill="C00000"/>
            <w:tcMar>
              <w:top w:w="0" w:type="dxa"/>
              <w:left w:w="0" w:type="dxa"/>
              <w:bottom w:w="0" w:type="dxa"/>
              <w:right w:w="0" w:type="dxa"/>
            </w:tcMar>
            <w:vAlign w:val="center"/>
          </w:tcPr>
          <w:p w14:paraId="176FEB3A" w14:textId="77777777" w:rsidR="000B48F9" w:rsidRPr="000B48F9" w:rsidRDefault="000B48F9" w:rsidP="00292A53">
            <w:pPr>
              <w:pStyle w:val="Tableheaderrow"/>
              <w:spacing w:after="60"/>
            </w:pPr>
            <w:r w:rsidRPr="000B48F9">
              <w:t>Victoria</w:t>
            </w:r>
          </w:p>
        </w:tc>
        <w:tc>
          <w:tcPr>
            <w:tcW w:w="1303" w:type="dxa"/>
            <w:shd w:val="clear" w:color="auto" w:fill="C00000"/>
            <w:tcMar>
              <w:top w:w="0" w:type="dxa"/>
              <w:left w:w="0" w:type="dxa"/>
              <w:bottom w:w="0" w:type="dxa"/>
              <w:right w:w="0" w:type="dxa"/>
            </w:tcMar>
            <w:vAlign w:val="center"/>
          </w:tcPr>
          <w:p w14:paraId="3B9FCDA9" w14:textId="77777777" w:rsidR="000B48F9" w:rsidRPr="000B48F9" w:rsidRDefault="000B48F9" w:rsidP="00292A53">
            <w:pPr>
              <w:pStyle w:val="Tableheaderrow"/>
              <w:spacing w:after="60"/>
            </w:pPr>
            <w:r w:rsidRPr="000B48F9">
              <w:t>Queensland</w:t>
            </w:r>
          </w:p>
        </w:tc>
        <w:tc>
          <w:tcPr>
            <w:tcW w:w="1303" w:type="dxa"/>
            <w:shd w:val="clear" w:color="auto" w:fill="C00000"/>
            <w:tcMar>
              <w:top w:w="0" w:type="dxa"/>
              <w:left w:w="0" w:type="dxa"/>
              <w:bottom w:w="0" w:type="dxa"/>
              <w:right w:w="0" w:type="dxa"/>
            </w:tcMar>
            <w:vAlign w:val="center"/>
          </w:tcPr>
          <w:p w14:paraId="7CA1B212" w14:textId="77777777" w:rsidR="000B48F9" w:rsidRPr="000B48F9" w:rsidRDefault="000B48F9" w:rsidP="00292A53">
            <w:pPr>
              <w:pStyle w:val="Tableheaderrow"/>
              <w:spacing w:after="60"/>
            </w:pPr>
            <w:r w:rsidRPr="000B48F9">
              <w:t>Western Australia</w:t>
            </w:r>
          </w:p>
        </w:tc>
        <w:tc>
          <w:tcPr>
            <w:tcW w:w="1303" w:type="dxa"/>
            <w:shd w:val="clear" w:color="auto" w:fill="C00000"/>
            <w:tcMar>
              <w:top w:w="0" w:type="dxa"/>
              <w:left w:w="0" w:type="dxa"/>
              <w:bottom w:w="0" w:type="dxa"/>
              <w:right w:w="0" w:type="dxa"/>
            </w:tcMar>
            <w:vAlign w:val="center"/>
          </w:tcPr>
          <w:p w14:paraId="62394909" w14:textId="77777777" w:rsidR="000B48F9" w:rsidRPr="000B48F9" w:rsidRDefault="000B48F9" w:rsidP="00292A53">
            <w:pPr>
              <w:pStyle w:val="Tableheaderrow"/>
              <w:spacing w:after="60"/>
            </w:pPr>
            <w:r w:rsidRPr="000B48F9">
              <w:t>South Australia</w:t>
            </w:r>
          </w:p>
        </w:tc>
        <w:tc>
          <w:tcPr>
            <w:tcW w:w="1303" w:type="dxa"/>
            <w:shd w:val="clear" w:color="auto" w:fill="C00000"/>
            <w:tcMar>
              <w:top w:w="0" w:type="dxa"/>
              <w:left w:w="0" w:type="dxa"/>
              <w:bottom w:w="0" w:type="dxa"/>
              <w:right w:w="0" w:type="dxa"/>
            </w:tcMar>
            <w:vAlign w:val="center"/>
          </w:tcPr>
          <w:p w14:paraId="4AB3B8B5" w14:textId="77777777" w:rsidR="000B48F9" w:rsidRPr="000B48F9" w:rsidRDefault="000B48F9" w:rsidP="00292A53">
            <w:pPr>
              <w:pStyle w:val="Tableheaderrow"/>
              <w:spacing w:after="60"/>
            </w:pPr>
            <w:r w:rsidRPr="000B48F9">
              <w:t>Tasmania</w:t>
            </w:r>
          </w:p>
        </w:tc>
        <w:tc>
          <w:tcPr>
            <w:tcW w:w="1303" w:type="dxa"/>
            <w:shd w:val="clear" w:color="auto" w:fill="C00000"/>
            <w:tcMar>
              <w:top w:w="0" w:type="dxa"/>
              <w:left w:w="0" w:type="dxa"/>
              <w:bottom w:w="0" w:type="dxa"/>
              <w:right w:w="0" w:type="dxa"/>
            </w:tcMar>
            <w:vAlign w:val="center"/>
          </w:tcPr>
          <w:p w14:paraId="6BC1DACF" w14:textId="77777777" w:rsidR="000B48F9" w:rsidRPr="000B48F9" w:rsidRDefault="000B48F9" w:rsidP="00292A53">
            <w:pPr>
              <w:pStyle w:val="Tableheaderrow"/>
              <w:spacing w:after="60"/>
            </w:pPr>
            <w:r w:rsidRPr="000B48F9">
              <w:t>Northern Territory</w:t>
            </w:r>
          </w:p>
        </w:tc>
        <w:tc>
          <w:tcPr>
            <w:tcW w:w="1303" w:type="dxa"/>
            <w:shd w:val="clear" w:color="auto" w:fill="C00000"/>
            <w:tcMar>
              <w:top w:w="0" w:type="dxa"/>
              <w:left w:w="0" w:type="dxa"/>
              <w:bottom w:w="0" w:type="dxa"/>
              <w:right w:w="0" w:type="dxa"/>
            </w:tcMar>
            <w:vAlign w:val="center"/>
          </w:tcPr>
          <w:p w14:paraId="06F415FD" w14:textId="77777777" w:rsidR="000B48F9" w:rsidRPr="000B48F9" w:rsidRDefault="000B48F9" w:rsidP="00292A53">
            <w:pPr>
              <w:pStyle w:val="Tableheaderrow"/>
              <w:spacing w:after="60"/>
            </w:pPr>
            <w:r w:rsidRPr="000B48F9">
              <w:t>Australian Capital Territory</w:t>
            </w:r>
          </w:p>
        </w:tc>
        <w:tc>
          <w:tcPr>
            <w:tcW w:w="1303" w:type="dxa"/>
            <w:shd w:val="clear" w:color="auto" w:fill="C00000"/>
            <w:tcMar>
              <w:top w:w="0" w:type="dxa"/>
              <w:left w:w="0" w:type="dxa"/>
              <w:bottom w:w="0" w:type="dxa"/>
              <w:right w:w="0" w:type="dxa"/>
            </w:tcMar>
            <w:vAlign w:val="center"/>
          </w:tcPr>
          <w:p w14:paraId="5CFC35D8" w14:textId="77777777" w:rsidR="000B48F9" w:rsidRPr="000B48F9" w:rsidRDefault="000B48F9" w:rsidP="00292A53">
            <w:pPr>
              <w:pStyle w:val="Tableheaderrow"/>
              <w:spacing w:after="60"/>
            </w:pPr>
            <w:r w:rsidRPr="000B48F9">
              <w:t>C’wealth Comcare</w:t>
            </w:r>
          </w:p>
        </w:tc>
        <w:tc>
          <w:tcPr>
            <w:tcW w:w="1304" w:type="dxa"/>
            <w:shd w:val="clear" w:color="auto" w:fill="C00000"/>
            <w:tcMar>
              <w:top w:w="0" w:type="dxa"/>
              <w:left w:w="0" w:type="dxa"/>
              <w:bottom w:w="0" w:type="dxa"/>
              <w:right w:w="0" w:type="dxa"/>
            </w:tcMar>
            <w:vAlign w:val="center"/>
          </w:tcPr>
          <w:p w14:paraId="52AA7C61" w14:textId="77777777" w:rsidR="000B48F9" w:rsidRPr="000B48F9" w:rsidRDefault="000B48F9" w:rsidP="00292A53">
            <w:pPr>
              <w:pStyle w:val="Tableheaderrow"/>
              <w:spacing w:after="60"/>
            </w:pPr>
            <w:r w:rsidRPr="000B48F9">
              <w:t>New Zealand</w:t>
            </w:r>
          </w:p>
        </w:tc>
      </w:tr>
      <w:tr w:rsidR="000B48F9" w:rsidRPr="000B48F9" w14:paraId="64281212" w14:textId="77777777" w:rsidTr="00B2173F">
        <w:tc>
          <w:tcPr>
            <w:tcW w:w="1984" w:type="dxa"/>
            <w:shd w:val="clear" w:color="auto" w:fill="FFC9C9"/>
            <w:tcMar>
              <w:top w:w="80" w:type="dxa"/>
              <w:left w:w="80" w:type="dxa"/>
              <w:bottom w:w="80" w:type="dxa"/>
              <w:right w:w="80" w:type="dxa"/>
            </w:tcMar>
          </w:tcPr>
          <w:p w14:paraId="4F75146B" w14:textId="2555C511" w:rsidR="000B48F9" w:rsidRPr="000B48F9" w:rsidRDefault="000B48F9" w:rsidP="005348D7">
            <w:pPr>
              <w:spacing w:after="60"/>
              <w:rPr>
                <w:rFonts w:eastAsia="Calibri" w:cs="Arial"/>
                <w:b/>
                <w:sz w:val="16"/>
                <w:szCs w:val="16"/>
                <w:lang w:eastAsia="en-US"/>
              </w:rPr>
            </w:pPr>
            <w:r w:rsidRPr="000B48F9">
              <w:rPr>
                <w:rFonts w:eastAsia="Calibri" w:cs="Arial"/>
                <w:b/>
                <w:sz w:val="16"/>
                <w:szCs w:val="16"/>
                <w:lang w:eastAsia="en-US"/>
              </w:rPr>
              <w:t xml:space="preserve">Employees covered by workers’ compensation </w:t>
            </w:r>
            <w:r w:rsidR="005348D7" w:rsidRPr="000B48F9">
              <w:rPr>
                <w:rFonts w:eastAsia="Calibri" w:cs="Arial"/>
                <w:b/>
                <w:sz w:val="16"/>
                <w:szCs w:val="16"/>
                <w:lang w:eastAsia="en-US"/>
              </w:rPr>
              <w:t>201</w:t>
            </w:r>
            <w:r w:rsidR="005348D7">
              <w:rPr>
                <w:rFonts w:eastAsia="Calibri" w:cs="Arial"/>
                <w:b/>
                <w:sz w:val="16"/>
                <w:szCs w:val="16"/>
                <w:lang w:eastAsia="en-US"/>
              </w:rPr>
              <w:t>6</w:t>
            </w:r>
            <w:r w:rsidRPr="000B48F9">
              <w:rPr>
                <w:rFonts w:eastAsia="Calibri" w:cs="Arial"/>
                <w:b/>
                <w:sz w:val="16"/>
                <w:szCs w:val="16"/>
                <w:lang w:eastAsia="en-US"/>
              </w:rPr>
              <w:t>–1</w:t>
            </w:r>
            <w:r w:rsidR="005348D7">
              <w:rPr>
                <w:rFonts w:eastAsia="Calibri" w:cs="Arial"/>
                <w:b/>
                <w:sz w:val="16"/>
                <w:szCs w:val="16"/>
                <w:lang w:eastAsia="en-US"/>
              </w:rPr>
              <w:t>7</w:t>
            </w:r>
            <w:r w:rsidR="00813F1C" w:rsidRPr="00813F1C">
              <w:rPr>
                <w:rFonts w:eastAsia="Calibri" w:cs="Arial"/>
                <w:b/>
                <w:sz w:val="16"/>
                <w:szCs w:val="16"/>
                <w:vertAlign w:val="superscript"/>
                <w:lang w:eastAsia="en-US"/>
              </w:rPr>
              <w:t>1</w:t>
            </w:r>
          </w:p>
        </w:tc>
        <w:tc>
          <w:tcPr>
            <w:tcW w:w="1303" w:type="dxa"/>
            <w:shd w:val="clear" w:color="auto" w:fill="FFC9C9"/>
            <w:tcMar>
              <w:top w:w="80" w:type="dxa"/>
              <w:left w:w="80" w:type="dxa"/>
              <w:bottom w:w="80" w:type="dxa"/>
              <w:right w:w="80" w:type="dxa"/>
            </w:tcMar>
          </w:tcPr>
          <w:p w14:paraId="599D2A9B" w14:textId="54CCE863" w:rsidR="000B48F9" w:rsidRPr="000B48F9" w:rsidRDefault="00326350" w:rsidP="00292A53">
            <w:pPr>
              <w:spacing w:after="60"/>
              <w:rPr>
                <w:rFonts w:cs="Arial"/>
                <w:color w:val="000000"/>
                <w:sz w:val="14"/>
                <w:szCs w:val="16"/>
                <w:lang w:val="en-GB"/>
              </w:rPr>
            </w:pPr>
            <w:r>
              <w:rPr>
                <w:rFonts w:cs="Arial"/>
                <w:color w:val="000000"/>
                <w:sz w:val="14"/>
                <w:szCs w:val="16"/>
                <w:lang w:val="en-GB"/>
              </w:rPr>
              <w:t>3,4</w:t>
            </w:r>
            <w:r w:rsidR="0094778B">
              <w:rPr>
                <w:rFonts w:cs="Arial"/>
                <w:color w:val="000000"/>
                <w:sz w:val="14"/>
                <w:szCs w:val="16"/>
                <w:lang w:val="en-GB"/>
              </w:rPr>
              <w:t>82</w:t>
            </w:r>
            <w:r>
              <w:rPr>
                <w:rFonts w:cs="Arial"/>
                <w:color w:val="000000"/>
                <w:sz w:val="14"/>
                <w:szCs w:val="16"/>
                <w:lang w:val="en-GB"/>
              </w:rPr>
              <w:t>,000 (approx.)</w:t>
            </w:r>
          </w:p>
        </w:tc>
        <w:tc>
          <w:tcPr>
            <w:tcW w:w="1303" w:type="dxa"/>
            <w:shd w:val="clear" w:color="auto" w:fill="FFC9C9"/>
            <w:tcMar>
              <w:top w:w="80" w:type="dxa"/>
              <w:left w:w="80" w:type="dxa"/>
              <w:bottom w:w="80" w:type="dxa"/>
              <w:right w:w="80" w:type="dxa"/>
            </w:tcMar>
          </w:tcPr>
          <w:p w14:paraId="7D785F10" w14:textId="7C33D516"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2</w:t>
            </w:r>
            <w:r w:rsidR="005C7179">
              <w:rPr>
                <w:rFonts w:cs="Arial"/>
                <w:color w:val="000000"/>
                <w:sz w:val="14"/>
                <w:szCs w:val="16"/>
                <w:lang w:val="en-GB"/>
              </w:rPr>
              <w:t>,</w:t>
            </w:r>
            <w:r w:rsidRPr="000B48F9">
              <w:rPr>
                <w:rFonts w:cs="Arial"/>
                <w:color w:val="000000"/>
                <w:sz w:val="14"/>
                <w:szCs w:val="16"/>
                <w:lang w:val="en-GB"/>
              </w:rPr>
              <w:t>607</w:t>
            </w:r>
            <w:r w:rsidR="005C7179">
              <w:rPr>
                <w:rFonts w:cs="Arial"/>
                <w:color w:val="000000"/>
                <w:sz w:val="14"/>
                <w:szCs w:val="16"/>
                <w:lang w:val="en-GB"/>
              </w:rPr>
              <w:t>,</w:t>
            </w:r>
            <w:r w:rsidRPr="000B48F9">
              <w:rPr>
                <w:rFonts w:cs="Arial"/>
                <w:color w:val="000000"/>
                <w:sz w:val="14"/>
                <w:szCs w:val="16"/>
                <w:lang w:val="en-GB"/>
              </w:rPr>
              <w:t>300</w:t>
            </w:r>
          </w:p>
        </w:tc>
        <w:tc>
          <w:tcPr>
            <w:tcW w:w="1303" w:type="dxa"/>
            <w:shd w:val="clear" w:color="auto" w:fill="FFC9C9"/>
            <w:tcMar>
              <w:top w:w="80" w:type="dxa"/>
              <w:left w:w="80" w:type="dxa"/>
              <w:bottom w:w="80" w:type="dxa"/>
              <w:right w:w="80" w:type="dxa"/>
            </w:tcMar>
          </w:tcPr>
          <w:p w14:paraId="0DE3D217" w14:textId="1EBBF877" w:rsidR="000B48F9" w:rsidRPr="000B48F9" w:rsidRDefault="00995647" w:rsidP="00292A53">
            <w:pPr>
              <w:spacing w:after="60"/>
              <w:rPr>
                <w:rFonts w:cs="Arial"/>
                <w:color w:val="000000"/>
                <w:sz w:val="14"/>
                <w:szCs w:val="16"/>
                <w:lang w:val="en-GB"/>
              </w:rPr>
            </w:pPr>
            <w:r>
              <w:rPr>
                <w:rFonts w:cs="Arial"/>
                <w:color w:val="000000"/>
                <w:sz w:val="14"/>
                <w:szCs w:val="16"/>
                <w:lang w:val="en-GB"/>
              </w:rPr>
              <w:t>2,170,470</w:t>
            </w:r>
          </w:p>
        </w:tc>
        <w:tc>
          <w:tcPr>
            <w:tcW w:w="1303" w:type="dxa"/>
            <w:shd w:val="clear" w:color="auto" w:fill="FFC9C9"/>
            <w:tcMar>
              <w:top w:w="80" w:type="dxa"/>
              <w:left w:w="80" w:type="dxa"/>
              <w:bottom w:w="80" w:type="dxa"/>
              <w:right w:w="80" w:type="dxa"/>
            </w:tcMar>
          </w:tcPr>
          <w:p w14:paraId="77FF77C5" w14:textId="43AA3906" w:rsidR="000B48F9" w:rsidRPr="000B48F9" w:rsidRDefault="00813F1C" w:rsidP="00292A53">
            <w:pPr>
              <w:spacing w:after="60"/>
              <w:rPr>
                <w:rFonts w:cs="Arial"/>
                <w:color w:val="000000"/>
                <w:sz w:val="14"/>
                <w:szCs w:val="16"/>
                <w:lang w:val="en-GB"/>
              </w:rPr>
            </w:pPr>
            <w:r>
              <w:rPr>
                <w:rFonts w:cs="Arial"/>
                <w:color w:val="000000"/>
                <w:sz w:val="14"/>
                <w:szCs w:val="16"/>
                <w:lang w:val="en-GB"/>
              </w:rPr>
              <w:t>1,243,</w:t>
            </w:r>
            <w:r w:rsidR="000B48F9" w:rsidRPr="000B48F9">
              <w:rPr>
                <w:rFonts w:cs="Arial"/>
                <w:color w:val="000000"/>
                <w:sz w:val="14"/>
                <w:szCs w:val="16"/>
                <w:lang w:val="en-GB"/>
              </w:rPr>
              <w:t>900</w:t>
            </w:r>
          </w:p>
        </w:tc>
        <w:tc>
          <w:tcPr>
            <w:tcW w:w="1303" w:type="dxa"/>
            <w:shd w:val="clear" w:color="auto" w:fill="FFC9C9"/>
            <w:tcMar>
              <w:top w:w="80" w:type="dxa"/>
              <w:left w:w="80" w:type="dxa"/>
              <w:bottom w:w="80" w:type="dxa"/>
              <w:right w:w="80" w:type="dxa"/>
            </w:tcMar>
          </w:tcPr>
          <w:p w14:paraId="1EA2C258" w14:textId="73B557C2" w:rsidR="000B48F9" w:rsidRPr="000B48F9" w:rsidRDefault="00D41D16" w:rsidP="00292A53">
            <w:pPr>
              <w:spacing w:after="60"/>
              <w:rPr>
                <w:rFonts w:cs="Arial"/>
                <w:color w:val="000000"/>
                <w:sz w:val="14"/>
                <w:szCs w:val="16"/>
                <w:lang w:val="en-GB"/>
              </w:rPr>
            </w:pPr>
            <w:r>
              <w:rPr>
                <w:rFonts w:cs="Arial"/>
                <w:color w:val="000000"/>
                <w:sz w:val="14"/>
                <w:szCs w:val="16"/>
                <w:lang w:val="en-GB"/>
              </w:rPr>
              <w:t>500</w:t>
            </w:r>
            <w:r w:rsidR="005C7179">
              <w:rPr>
                <w:rFonts w:cs="Arial"/>
                <w:color w:val="000000"/>
                <w:sz w:val="14"/>
                <w:szCs w:val="16"/>
                <w:lang w:val="en-GB"/>
              </w:rPr>
              <w:t>,</w:t>
            </w:r>
            <w:r w:rsidR="000B48F9" w:rsidRPr="000B48F9">
              <w:rPr>
                <w:rFonts w:cs="Arial"/>
                <w:color w:val="000000"/>
                <w:sz w:val="14"/>
                <w:szCs w:val="16"/>
                <w:lang w:val="en-GB"/>
              </w:rPr>
              <w:t>000 (approx)</w:t>
            </w:r>
          </w:p>
        </w:tc>
        <w:tc>
          <w:tcPr>
            <w:tcW w:w="1303" w:type="dxa"/>
            <w:shd w:val="clear" w:color="auto" w:fill="FFC9C9"/>
            <w:tcMar>
              <w:top w:w="80" w:type="dxa"/>
              <w:left w:w="80" w:type="dxa"/>
              <w:bottom w:w="80" w:type="dxa"/>
              <w:right w:w="80" w:type="dxa"/>
            </w:tcMar>
          </w:tcPr>
          <w:p w14:paraId="65067485" w14:textId="32B1ED08" w:rsidR="000B48F9" w:rsidRPr="000B48F9" w:rsidRDefault="00276B83" w:rsidP="00292A53">
            <w:pPr>
              <w:spacing w:after="60"/>
              <w:rPr>
                <w:rFonts w:cs="Arial"/>
                <w:color w:val="000000"/>
                <w:sz w:val="14"/>
                <w:szCs w:val="16"/>
                <w:lang w:val="en-GB"/>
              </w:rPr>
            </w:pPr>
            <w:r>
              <w:rPr>
                <w:rFonts w:cs="Arial"/>
                <w:color w:val="000000"/>
                <w:sz w:val="14"/>
                <w:szCs w:val="16"/>
                <w:lang w:val="en-GB"/>
              </w:rPr>
              <w:t>236,000</w:t>
            </w:r>
          </w:p>
          <w:p w14:paraId="43B10841" w14:textId="77777777" w:rsidR="000B48F9" w:rsidRPr="000B48F9" w:rsidRDefault="000B48F9" w:rsidP="00292A53">
            <w:pPr>
              <w:spacing w:after="60"/>
              <w:rPr>
                <w:rFonts w:cs="Arial"/>
                <w:color w:val="000000"/>
                <w:sz w:val="14"/>
                <w:szCs w:val="16"/>
                <w:lang w:val="en-GB"/>
              </w:rPr>
            </w:pPr>
          </w:p>
        </w:tc>
        <w:tc>
          <w:tcPr>
            <w:tcW w:w="1303" w:type="dxa"/>
            <w:shd w:val="clear" w:color="auto" w:fill="FFC9C9"/>
            <w:tcMar>
              <w:top w:w="80" w:type="dxa"/>
              <w:left w:w="80" w:type="dxa"/>
              <w:bottom w:w="80" w:type="dxa"/>
              <w:right w:w="80" w:type="dxa"/>
            </w:tcMar>
          </w:tcPr>
          <w:p w14:paraId="79967BB4" w14:textId="59A3F5CF"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120</w:t>
            </w:r>
            <w:r w:rsidR="005C7179">
              <w:rPr>
                <w:rFonts w:cs="Arial"/>
                <w:color w:val="000000"/>
                <w:sz w:val="14"/>
                <w:szCs w:val="16"/>
                <w:lang w:val="en-GB"/>
              </w:rPr>
              <w:t>,</w:t>
            </w:r>
            <w:r w:rsidRPr="000B48F9">
              <w:rPr>
                <w:rFonts w:cs="Arial"/>
                <w:color w:val="000000"/>
                <w:sz w:val="14"/>
                <w:szCs w:val="16"/>
                <w:lang w:val="en-GB"/>
              </w:rPr>
              <w:t>000</w:t>
            </w:r>
          </w:p>
        </w:tc>
        <w:tc>
          <w:tcPr>
            <w:tcW w:w="1303" w:type="dxa"/>
            <w:shd w:val="clear" w:color="auto" w:fill="FFC9C9"/>
            <w:tcMar>
              <w:top w:w="80" w:type="dxa"/>
              <w:left w:w="80" w:type="dxa"/>
              <w:bottom w:w="80" w:type="dxa"/>
              <w:right w:w="80" w:type="dxa"/>
            </w:tcMar>
          </w:tcPr>
          <w:p w14:paraId="1D149D48" w14:textId="4FD1D7E6" w:rsidR="000B48F9" w:rsidRPr="000B48F9" w:rsidRDefault="008F6EE3" w:rsidP="008F6EE3">
            <w:pPr>
              <w:spacing w:after="60"/>
              <w:rPr>
                <w:rFonts w:cs="Arial"/>
                <w:color w:val="000000"/>
                <w:sz w:val="14"/>
                <w:szCs w:val="16"/>
                <w:lang w:val="en-GB"/>
              </w:rPr>
            </w:pPr>
            <w:r>
              <w:rPr>
                <w:rFonts w:cs="Arial"/>
                <w:color w:val="000000"/>
                <w:sz w:val="14"/>
                <w:szCs w:val="16"/>
                <w:lang w:val="en-GB"/>
              </w:rPr>
              <w:t>139,400</w:t>
            </w:r>
            <w:r w:rsidR="000B48F9" w:rsidRPr="000B48F9">
              <w:rPr>
                <w:rFonts w:cs="Arial"/>
                <w:color w:val="000000"/>
                <w:sz w:val="14"/>
                <w:szCs w:val="16"/>
                <w:lang w:val="en-GB"/>
              </w:rPr>
              <w:t xml:space="preserve"> (private sector approx)</w:t>
            </w:r>
          </w:p>
        </w:tc>
        <w:tc>
          <w:tcPr>
            <w:tcW w:w="1303" w:type="dxa"/>
            <w:shd w:val="clear" w:color="auto" w:fill="FFC9C9"/>
            <w:tcMar>
              <w:top w:w="80" w:type="dxa"/>
              <w:left w:w="80" w:type="dxa"/>
              <w:bottom w:w="80" w:type="dxa"/>
              <w:right w:w="80" w:type="dxa"/>
            </w:tcMar>
          </w:tcPr>
          <w:p w14:paraId="3AE2946B" w14:textId="7A1C5131" w:rsidR="000B48F9" w:rsidRPr="000B48F9" w:rsidRDefault="005348D7" w:rsidP="00292A53">
            <w:pPr>
              <w:spacing w:after="60"/>
              <w:rPr>
                <w:rFonts w:cs="Arial"/>
                <w:color w:val="000000"/>
                <w:sz w:val="14"/>
                <w:szCs w:val="16"/>
                <w:lang w:val="en-GB"/>
              </w:rPr>
            </w:pPr>
            <w:r>
              <w:rPr>
                <w:rFonts w:cs="Arial"/>
                <w:color w:val="000000"/>
                <w:sz w:val="14"/>
                <w:szCs w:val="16"/>
                <w:lang w:val="en-GB"/>
              </w:rPr>
              <w:t>388,377</w:t>
            </w:r>
            <w:r w:rsidR="00A71D21" w:rsidRPr="00A71D21">
              <w:rPr>
                <w:rFonts w:cs="Arial"/>
                <w:color w:val="000000"/>
                <w:sz w:val="14"/>
                <w:szCs w:val="16"/>
                <w:vertAlign w:val="superscript"/>
                <w:lang w:val="en-GB"/>
              </w:rPr>
              <w:t>5</w:t>
            </w:r>
          </w:p>
          <w:p w14:paraId="2164AEBB" w14:textId="463B7072" w:rsidR="000B48F9" w:rsidRPr="000B48F9" w:rsidRDefault="000B48F9" w:rsidP="005348D7">
            <w:pPr>
              <w:spacing w:after="60"/>
              <w:rPr>
                <w:rFonts w:cs="Arial"/>
                <w:color w:val="000000"/>
                <w:sz w:val="14"/>
                <w:szCs w:val="16"/>
                <w:lang w:val="en-GB"/>
              </w:rPr>
            </w:pPr>
            <w:r w:rsidRPr="000B48F9">
              <w:rPr>
                <w:rFonts w:cs="Arial"/>
                <w:color w:val="000000"/>
                <w:sz w:val="14"/>
                <w:szCs w:val="16"/>
                <w:lang w:val="en-GB"/>
              </w:rPr>
              <w:t>(Scheme FTE inc. ACT Gov as at</w:t>
            </w:r>
            <w:r w:rsidR="005348D7">
              <w:rPr>
                <w:rFonts w:cs="Arial"/>
                <w:color w:val="000000"/>
                <w:sz w:val="14"/>
                <w:szCs w:val="16"/>
                <w:lang w:val="en-GB"/>
              </w:rPr>
              <w:t xml:space="preserve"> 25 July 2017</w:t>
            </w:r>
            <w:r w:rsidRPr="000B48F9">
              <w:rPr>
                <w:rFonts w:cs="Arial"/>
                <w:color w:val="000000"/>
                <w:sz w:val="14"/>
                <w:szCs w:val="16"/>
                <w:lang w:val="en-GB"/>
              </w:rPr>
              <w:t>)</w:t>
            </w:r>
            <w:r w:rsidR="003D2FCB">
              <w:rPr>
                <w:rFonts w:cs="Arial"/>
                <w:color w:val="000000"/>
                <w:sz w:val="14"/>
                <w:szCs w:val="16"/>
                <w:lang w:val="en-GB"/>
              </w:rPr>
              <w:t>.</w:t>
            </w:r>
          </w:p>
        </w:tc>
        <w:tc>
          <w:tcPr>
            <w:tcW w:w="1304" w:type="dxa"/>
            <w:shd w:val="clear" w:color="auto" w:fill="FFC9C9"/>
            <w:tcMar>
              <w:top w:w="80" w:type="dxa"/>
              <w:left w:w="80" w:type="dxa"/>
              <w:bottom w:w="80" w:type="dxa"/>
              <w:right w:w="80" w:type="dxa"/>
            </w:tcMar>
          </w:tcPr>
          <w:p w14:paraId="2E8FF7F4" w14:textId="3154ABFC" w:rsidR="000B48F9" w:rsidRPr="000B48F9" w:rsidRDefault="007E7640" w:rsidP="00292A53">
            <w:pPr>
              <w:spacing w:after="60"/>
              <w:rPr>
                <w:rFonts w:cs="Arial"/>
                <w:color w:val="000000"/>
                <w:sz w:val="14"/>
                <w:szCs w:val="16"/>
                <w:lang w:val="en-GB"/>
              </w:rPr>
            </w:pPr>
            <w:r>
              <w:rPr>
                <w:rFonts w:cs="Arial"/>
                <w:color w:val="000000"/>
                <w:sz w:val="14"/>
                <w:szCs w:val="16"/>
                <w:lang w:val="en-GB"/>
              </w:rPr>
              <w:t>2,460</w:t>
            </w:r>
            <w:r w:rsidR="005C7179">
              <w:rPr>
                <w:rFonts w:cs="Arial"/>
                <w:color w:val="000000"/>
                <w:sz w:val="14"/>
                <w:szCs w:val="16"/>
                <w:lang w:val="en-GB"/>
              </w:rPr>
              <w:t>,</w:t>
            </w:r>
            <w:r w:rsidR="0014264B">
              <w:rPr>
                <w:rFonts w:cs="Arial"/>
                <w:color w:val="000000"/>
                <w:sz w:val="14"/>
                <w:szCs w:val="16"/>
                <w:lang w:val="en-GB"/>
              </w:rPr>
              <w:t>000 (includes part-time)</w:t>
            </w:r>
            <w:r w:rsidR="005C7179" w:rsidRPr="00A71D21">
              <w:rPr>
                <w:rFonts w:cs="Arial"/>
                <w:color w:val="000000"/>
                <w:sz w:val="14"/>
                <w:szCs w:val="16"/>
                <w:vertAlign w:val="superscript"/>
                <w:lang w:val="en-GB"/>
              </w:rPr>
              <w:t>6</w:t>
            </w:r>
          </w:p>
        </w:tc>
      </w:tr>
      <w:tr w:rsidR="000B48F9" w:rsidRPr="000B48F9" w14:paraId="0370A87D" w14:textId="77777777" w:rsidTr="00B2173F">
        <w:tc>
          <w:tcPr>
            <w:tcW w:w="1984" w:type="dxa"/>
            <w:tcMar>
              <w:top w:w="80" w:type="dxa"/>
              <w:left w:w="80" w:type="dxa"/>
              <w:bottom w:w="80" w:type="dxa"/>
              <w:right w:w="80" w:type="dxa"/>
            </w:tcMar>
          </w:tcPr>
          <w:p w14:paraId="704A32D9" w14:textId="77777777" w:rsidR="000B48F9" w:rsidRPr="000B48F9" w:rsidRDefault="000B48F9" w:rsidP="00292A53">
            <w:pPr>
              <w:spacing w:after="60"/>
              <w:rPr>
                <w:rFonts w:eastAsia="Calibri" w:cs="Arial"/>
                <w:b/>
                <w:sz w:val="16"/>
                <w:szCs w:val="16"/>
                <w:lang w:eastAsia="en-US"/>
              </w:rPr>
            </w:pPr>
            <w:r w:rsidRPr="000B48F9">
              <w:rPr>
                <w:rFonts w:eastAsia="Calibri" w:cs="Arial"/>
                <w:b/>
                <w:sz w:val="16"/>
                <w:szCs w:val="16"/>
                <w:lang w:eastAsia="en-US"/>
              </w:rPr>
              <w:t>Employees covered by self-insurance</w:t>
            </w:r>
          </w:p>
        </w:tc>
        <w:tc>
          <w:tcPr>
            <w:tcW w:w="1303" w:type="dxa"/>
            <w:tcMar>
              <w:top w:w="80" w:type="dxa"/>
              <w:left w:w="80" w:type="dxa"/>
              <w:bottom w:w="80" w:type="dxa"/>
              <w:right w:w="80" w:type="dxa"/>
            </w:tcMar>
          </w:tcPr>
          <w:p w14:paraId="698DA7C4" w14:textId="2B312DC4" w:rsidR="000B48F9" w:rsidRPr="000B48F9" w:rsidRDefault="0094778B" w:rsidP="00292A53">
            <w:pPr>
              <w:spacing w:after="60"/>
              <w:rPr>
                <w:rFonts w:cs="Arial"/>
                <w:color w:val="000000"/>
                <w:sz w:val="14"/>
                <w:szCs w:val="16"/>
                <w:lang w:val="en-GB"/>
              </w:rPr>
            </w:pPr>
            <w:r>
              <w:rPr>
                <w:rFonts w:cs="Arial"/>
                <w:color w:val="000000"/>
                <w:sz w:val="14"/>
                <w:szCs w:val="16"/>
                <w:lang w:val="en-GB"/>
              </w:rPr>
              <w:t>81</w:t>
            </w:r>
            <w:r w:rsidR="00326350">
              <w:rPr>
                <w:rFonts w:cs="Arial"/>
                <w:color w:val="000000"/>
                <w:sz w:val="14"/>
                <w:szCs w:val="16"/>
                <w:lang w:val="en-GB"/>
              </w:rPr>
              <w:t>5</w:t>
            </w:r>
            <w:r w:rsidR="005C7179">
              <w:rPr>
                <w:rFonts w:cs="Arial"/>
                <w:color w:val="000000"/>
                <w:sz w:val="14"/>
                <w:szCs w:val="16"/>
                <w:lang w:val="en-GB"/>
              </w:rPr>
              <w:t>,</w:t>
            </w:r>
            <w:r w:rsidR="000B48F9" w:rsidRPr="000B48F9">
              <w:rPr>
                <w:rFonts w:cs="Arial"/>
                <w:color w:val="000000"/>
                <w:sz w:val="14"/>
                <w:szCs w:val="16"/>
                <w:lang w:val="en-GB"/>
              </w:rPr>
              <w:t>000</w:t>
            </w:r>
            <w:r w:rsidR="005C7179" w:rsidRPr="00A71D21">
              <w:rPr>
                <w:rFonts w:cs="Arial"/>
                <w:color w:val="000000"/>
                <w:sz w:val="14"/>
                <w:szCs w:val="16"/>
                <w:vertAlign w:val="superscript"/>
                <w:lang w:val="en-GB"/>
              </w:rPr>
              <w:t>2</w:t>
            </w:r>
          </w:p>
          <w:p w14:paraId="7A69EAA2" w14:textId="6D1430EF"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(approx)</w:t>
            </w:r>
          </w:p>
        </w:tc>
        <w:tc>
          <w:tcPr>
            <w:tcW w:w="1303" w:type="dxa"/>
            <w:tcMar>
              <w:top w:w="80" w:type="dxa"/>
              <w:left w:w="80" w:type="dxa"/>
              <w:bottom w:w="80" w:type="dxa"/>
              <w:right w:w="80" w:type="dxa"/>
            </w:tcMar>
          </w:tcPr>
          <w:p w14:paraId="4C5B4049" w14:textId="67FA16BD" w:rsidR="000B48F9" w:rsidRPr="000B48F9" w:rsidRDefault="00D41D16" w:rsidP="000A7038">
            <w:pPr>
              <w:spacing w:after="60"/>
              <w:rPr>
                <w:rFonts w:cs="Arial"/>
                <w:color w:val="000000"/>
                <w:sz w:val="14"/>
                <w:szCs w:val="16"/>
                <w:lang w:val="en-GB"/>
              </w:rPr>
            </w:pPr>
            <w:r>
              <w:rPr>
                <w:rFonts w:cs="Arial"/>
                <w:color w:val="000000"/>
                <w:sz w:val="14"/>
                <w:szCs w:val="16"/>
                <w:lang w:val="en-GB"/>
              </w:rPr>
              <w:t>1</w:t>
            </w:r>
            <w:r w:rsidR="005C7179">
              <w:rPr>
                <w:rFonts w:cs="Arial"/>
                <w:color w:val="000000"/>
                <w:sz w:val="14"/>
                <w:szCs w:val="16"/>
                <w:lang w:val="en-GB"/>
              </w:rPr>
              <w:t>,</w:t>
            </w:r>
            <w:r w:rsidR="000A7038">
              <w:rPr>
                <w:rFonts w:cs="Arial"/>
                <w:color w:val="000000"/>
                <w:sz w:val="14"/>
                <w:szCs w:val="16"/>
                <w:lang w:val="en-GB"/>
              </w:rPr>
              <w:t>630</w:t>
            </w:r>
            <w:r w:rsidR="005C7179">
              <w:rPr>
                <w:rFonts w:cs="Arial"/>
                <w:color w:val="000000"/>
                <w:sz w:val="14"/>
                <w:szCs w:val="16"/>
                <w:lang w:val="en-GB"/>
              </w:rPr>
              <w:t>,</w:t>
            </w:r>
            <w:r w:rsidR="000B48F9" w:rsidRPr="000B48F9">
              <w:rPr>
                <w:rFonts w:cs="Arial"/>
                <w:color w:val="000000"/>
                <w:sz w:val="14"/>
                <w:szCs w:val="16"/>
                <w:lang w:val="en-GB"/>
              </w:rPr>
              <w:t>003</w:t>
            </w:r>
            <w:r w:rsidR="005C7179" w:rsidRPr="00A71D21">
              <w:rPr>
                <w:rFonts w:cs="Arial"/>
                <w:color w:val="000000"/>
                <w:sz w:val="14"/>
                <w:szCs w:val="16"/>
                <w:vertAlign w:val="superscript"/>
                <w:lang w:val="en-GB"/>
              </w:rPr>
              <w:t>3</w:t>
            </w:r>
            <w:r w:rsidR="000B48F9" w:rsidRPr="000B48F9">
              <w:rPr>
                <w:rFonts w:cs="Arial"/>
                <w:color w:val="000000"/>
                <w:sz w:val="14"/>
                <w:szCs w:val="16"/>
                <w:lang w:val="en-GB"/>
              </w:rPr>
              <w:t xml:space="preserve"> (approx)</w:t>
            </w:r>
          </w:p>
        </w:tc>
        <w:tc>
          <w:tcPr>
            <w:tcW w:w="1303" w:type="dxa"/>
            <w:tcMar>
              <w:top w:w="80" w:type="dxa"/>
              <w:left w:w="80" w:type="dxa"/>
              <w:bottom w:w="80" w:type="dxa"/>
              <w:right w:w="80" w:type="dxa"/>
            </w:tcMar>
          </w:tcPr>
          <w:p w14:paraId="63BE1F09" w14:textId="709DE913" w:rsidR="000B48F9" w:rsidRPr="000B48F9" w:rsidRDefault="00995647" w:rsidP="00292A53">
            <w:pPr>
              <w:spacing w:after="60"/>
              <w:rPr>
                <w:rFonts w:cs="Arial"/>
                <w:color w:val="000000"/>
                <w:sz w:val="14"/>
                <w:szCs w:val="16"/>
                <w:lang w:val="en-GB"/>
              </w:rPr>
            </w:pPr>
            <w:r>
              <w:rPr>
                <w:rFonts w:cs="Arial"/>
                <w:color w:val="000000"/>
                <w:sz w:val="14"/>
                <w:szCs w:val="16"/>
                <w:lang w:val="en-GB"/>
              </w:rPr>
              <w:t>173,390</w:t>
            </w:r>
          </w:p>
        </w:tc>
        <w:tc>
          <w:tcPr>
            <w:tcW w:w="1303" w:type="dxa"/>
            <w:tcMar>
              <w:top w:w="80" w:type="dxa"/>
              <w:left w:w="80" w:type="dxa"/>
              <w:bottom w:w="80" w:type="dxa"/>
              <w:right w:w="80" w:type="dxa"/>
            </w:tcMar>
          </w:tcPr>
          <w:p w14:paraId="0FB99967" w14:textId="7F15C45E" w:rsidR="000B48F9" w:rsidRPr="000B48F9" w:rsidRDefault="00813F1C" w:rsidP="00292A53">
            <w:pPr>
              <w:spacing w:after="60"/>
              <w:rPr>
                <w:rFonts w:cs="Arial"/>
                <w:color w:val="000000"/>
                <w:sz w:val="14"/>
                <w:szCs w:val="16"/>
                <w:lang w:val="en-GB"/>
              </w:rPr>
            </w:pPr>
            <w:r>
              <w:rPr>
                <w:rFonts w:cs="Arial"/>
                <w:color w:val="000000"/>
                <w:sz w:val="14"/>
                <w:szCs w:val="16"/>
                <w:lang w:val="en-GB"/>
              </w:rPr>
              <w:t>103,521</w:t>
            </w:r>
          </w:p>
        </w:tc>
        <w:tc>
          <w:tcPr>
            <w:tcW w:w="1303" w:type="dxa"/>
            <w:tcMar>
              <w:top w:w="80" w:type="dxa"/>
              <w:left w:w="80" w:type="dxa"/>
              <w:bottom w:w="80" w:type="dxa"/>
              <w:right w:w="80" w:type="dxa"/>
            </w:tcMar>
          </w:tcPr>
          <w:p w14:paraId="5E3EC4EE" w14:textId="78D29139" w:rsidR="000B48F9" w:rsidRPr="000B48F9" w:rsidRDefault="0014264B" w:rsidP="00292A53">
            <w:pPr>
              <w:spacing w:after="60"/>
              <w:rPr>
                <w:rFonts w:cs="Arial"/>
                <w:color w:val="000000"/>
                <w:sz w:val="14"/>
                <w:szCs w:val="16"/>
                <w:lang w:val="en-GB"/>
              </w:rPr>
            </w:pPr>
            <w:r>
              <w:rPr>
                <w:rFonts w:cs="Arial"/>
                <w:color w:val="000000"/>
                <w:sz w:val="14"/>
                <w:szCs w:val="16"/>
                <w:lang w:val="en-GB"/>
              </w:rPr>
              <w:t>Data not collected</w:t>
            </w:r>
          </w:p>
        </w:tc>
        <w:tc>
          <w:tcPr>
            <w:tcW w:w="1303" w:type="dxa"/>
            <w:tcMar>
              <w:top w:w="80" w:type="dxa"/>
              <w:left w:w="80" w:type="dxa"/>
              <w:bottom w:w="80" w:type="dxa"/>
              <w:right w:w="80" w:type="dxa"/>
            </w:tcMar>
          </w:tcPr>
          <w:p w14:paraId="2915C75D" w14:textId="43EB3423"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10</w:t>
            </w:r>
            <w:r w:rsidR="005C7179">
              <w:rPr>
                <w:rFonts w:cs="Arial"/>
                <w:color w:val="000000"/>
                <w:sz w:val="14"/>
                <w:szCs w:val="16"/>
                <w:lang w:val="en-GB"/>
              </w:rPr>
              <w:t>,</w:t>
            </w:r>
            <w:r w:rsidR="00276B83">
              <w:rPr>
                <w:rFonts w:cs="Arial"/>
                <w:color w:val="000000"/>
                <w:sz w:val="14"/>
                <w:szCs w:val="16"/>
                <w:lang w:val="en-GB"/>
              </w:rPr>
              <w:t>658</w:t>
            </w:r>
            <w:r w:rsidRPr="000B48F9">
              <w:rPr>
                <w:rFonts w:cs="Arial"/>
                <w:color w:val="000000"/>
                <w:sz w:val="14"/>
                <w:szCs w:val="16"/>
                <w:lang w:val="en-GB"/>
              </w:rPr>
              <w:t xml:space="preserve"> (FTE)</w:t>
            </w:r>
          </w:p>
        </w:tc>
        <w:tc>
          <w:tcPr>
            <w:tcW w:w="1303" w:type="dxa"/>
            <w:tcMar>
              <w:top w:w="80" w:type="dxa"/>
              <w:left w:w="80" w:type="dxa"/>
              <w:bottom w:w="80" w:type="dxa"/>
              <w:right w:w="80" w:type="dxa"/>
            </w:tcMar>
          </w:tcPr>
          <w:p w14:paraId="438DF9A6" w14:textId="62B97970"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4</w:t>
            </w:r>
            <w:r w:rsidR="005C7179">
              <w:rPr>
                <w:rFonts w:cs="Arial"/>
                <w:color w:val="000000"/>
                <w:sz w:val="14"/>
                <w:szCs w:val="16"/>
                <w:lang w:val="en-GB"/>
              </w:rPr>
              <w:t>,</w:t>
            </w:r>
            <w:r w:rsidR="0082448D">
              <w:rPr>
                <w:rFonts w:cs="Arial"/>
                <w:color w:val="000000"/>
                <w:sz w:val="14"/>
                <w:szCs w:val="16"/>
                <w:lang w:val="en-GB"/>
              </w:rPr>
              <w:t>857</w:t>
            </w:r>
          </w:p>
        </w:tc>
        <w:tc>
          <w:tcPr>
            <w:tcW w:w="1303" w:type="dxa"/>
            <w:tcMar>
              <w:top w:w="80" w:type="dxa"/>
              <w:left w:w="80" w:type="dxa"/>
              <w:bottom w:w="80" w:type="dxa"/>
              <w:right w:w="80" w:type="dxa"/>
            </w:tcMar>
          </w:tcPr>
          <w:p w14:paraId="38AF3E5B" w14:textId="32CBFEFF" w:rsidR="000B48F9" w:rsidRPr="000B48F9" w:rsidRDefault="003D2FCB" w:rsidP="00292A53">
            <w:pPr>
              <w:spacing w:after="60"/>
              <w:rPr>
                <w:rFonts w:cs="Arial"/>
                <w:color w:val="000000"/>
                <w:sz w:val="14"/>
                <w:szCs w:val="16"/>
                <w:lang w:val="en-GB"/>
              </w:rPr>
            </w:pPr>
            <w:r>
              <w:rPr>
                <w:rFonts w:cs="Arial"/>
                <w:color w:val="000000"/>
                <w:sz w:val="14"/>
                <w:szCs w:val="16"/>
                <w:lang w:val="en-GB"/>
              </w:rPr>
              <w:t>3</w:t>
            </w:r>
            <w:r w:rsidR="005C7179">
              <w:rPr>
                <w:rFonts w:cs="Arial"/>
                <w:color w:val="000000"/>
                <w:sz w:val="14"/>
                <w:szCs w:val="16"/>
                <w:lang w:val="en-GB"/>
              </w:rPr>
              <w:t>,</w:t>
            </w:r>
            <w:r>
              <w:rPr>
                <w:rFonts w:cs="Arial"/>
                <w:color w:val="000000"/>
                <w:sz w:val="14"/>
                <w:szCs w:val="16"/>
                <w:lang w:val="en-GB"/>
              </w:rPr>
              <w:t>000 (approx</w:t>
            </w:r>
            <w:r w:rsidR="000B48F9" w:rsidRPr="000B48F9">
              <w:rPr>
                <w:rFonts w:cs="Arial"/>
                <w:color w:val="000000"/>
                <w:sz w:val="14"/>
                <w:szCs w:val="16"/>
                <w:lang w:val="en-GB"/>
              </w:rPr>
              <w:t>)</w:t>
            </w:r>
          </w:p>
        </w:tc>
        <w:tc>
          <w:tcPr>
            <w:tcW w:w="1303" w:type="dxa"/>
            <w:tcMar>
              <w:top w:w="80" w:type="dxa"/>
              <w:left w:w="80" w:type="dxa"/>
              <w:bottom w:w="80" w:type="dxa"/>
              <w:right w:w="80" w:type="dxa"/>
            </w:tcMar>
          </w:tcPr>
          <w:p w14:paraId="35F7F5DC" w14:textId="549AAAC4" w:rsidR="000B48F9" w:rsidRPr="000B48F9" w:rsidRDefault="005348D7" w:rsidP="005348D7">
            <w:pPr>
              <w:spacing w:after="60"/>
              <w:rPr>
                <w:rFonts w:cs="Arial"/>
                <w:color w:val="000000"/>
                <w:sz w:val="14"/>
                <w:szCs w:val="16"/>
                <w:lang w:val="en-GB"/>
              </w:rPr>
            </w:pPr>
            <w:r>
              <w:rPr>
                <w:rFonts w:cs="Arial"/>
                <w:color w:val="000000"/>
                <w:sz w:val="14"/>
                <w:szCs w:val="16"/>
                <w:lang w:val="en-GB"/>
              </w:rPr>
              <w:t>178,825</w:t>
            </w:r>
            <w:r w:rsidR="000B48F9" w:rsidRPr="000B48F9">
              <w:rPr>
                <w:rFonts w:cs="Arial"/>
                <w:color w:val="000000"/>
                <w:sz w:val="14"/>
                <w:szCs w:val="16"/>
                <w:lang w:val="en-GB"/>
              </w:rPr>
              <w:t xml:space="preserve"> (FTE as at </w:t>
            </w:r>
            <w:r>
              <w:rPr>
                <w:rFonts w:cs="Arial"/>
                <w:color w:val="000000"/>
                <w:sz w:val="14"/>
                <w:szCs w:val="16"/>
                <w:lang w:val="en-GB"/>
              </w:rPr>
              <w:t>25 July 2017</w:t>
            </w:r>
            <w:r w:rsidR="000B48F9" w:rsidRPr="000B48F9">
              <w:rPr>
                <w:rFonts w:cs="Arial"/>
                <w:color w:val="000000"/>
                <w:sz w:val="14"/>
                <w:szCs w:val="16"/>
                <w:lang w:val="en-GB"/>
              </w:rPr>
              <w:t>)</w:t>
            </w:r>
          </w:p>
        </w:tc>
        <w:tc>
          <w:tcPr>
            <w:tcW w:w="1304" w:type="dxa"/>
            <w:tcMar>
              <w:top w:w="80" w:type="dxa"/>
              <w:left w:w="80" w:type="dxa"/>
              <w:bottom w:w="80" w:type="dxa"/>
              <w:right w:w="80" w:type="dxa"/>
            </w:tcMar>
          </w:tcPr>
          <w:p w14:paraId="049FD9BC" w14:textId="4E24E613" w:rsidR="000B48F9" w:rsidRPr="000B48F9" w:rsidRDefault="000B48F9" w:rsidP="007E7640">
            <w:pPr>
              <w:spacing w:after="60"/>
              <w:rPr>
                <w:rFonts w:cs="Arial"/>
                <w:color w:val="000000"/>
                <w:sz w:val="14"/>
                <w:szCs w:val="16"/>
                <w:highlight w:val="yellow"/>
                <w:lang w:val="en-GB"/>
              </w:rPr>
            </w:pPr>
            <w:r w:rsidRPr="000B48F9">
              <w:rPr>
                <w:rFonts w:cs="Arial"/>
                <w:color w:val="000000"/>
                <w:sz w:val="14"/>
                <w:szCs w:val="16"/>
                <w:lang w:val="en-GB"/>
              </w:rPr>
              <w:t xml:space="preserve">Approximately </w:t>
            </w:r>
            <w:r w:rsidR="007E7640">
              <w:rPr>
                <w:rFonts w:cs="Arial"/>
                <w:color w:val="000000"/>
                <w:sz w:val="14"/>
                <w:szCs w:val="16"/>
                <w:lang w:val="en-GB"/>
              </w:rPr>
              <w:t>351,000</w:t>
            </w:r>
            <w:r w:rsidRPr="000B48F9">
              <w:rPr>
                <w:rFonts w:cs="Arial"/>
                <w:color w:val="000000"/>
                <w:sz w:val="14"/>
                <w:szCs w:val="16"/>
                <w:lang w:val="en-GB"/>
              </w:rPr>
              <w:t xml:space="preserve"> (FTE)</w:t>
            </w:r>
          </w:p>
        </w:tc>
      </w:tr>
      <w:tr w:rsidR="000B48F9" w:rsidRPr="000B48F9" w14:paraId="42EFA1E5" w14:textId="77777777" w:rsidTr="00B2173F">
        <w:tc>
          <w:tcPr>
            <w:tcW w:w="1984" w:type="dxa"/>
            <w:shd w:val="clear" w:color="auto" w:fill="FFC9C9"/>
            <w:tcMar>
              <w:top w:w="80" w:type="dxa"/>
              <w:left w:w="80" w:type="dxa"/>
              <w:bottom w:w="80" w:type="dxa"/>
              <w:right w:w="80" w:type="dxa"/>
            </w:tcMar>
          </w:tcPr>
          <w:p w14:paraId="13FC76D0" w14:textId="77777777" w:rsidR="000B48F9" w:rsidRPr="000B48F9" w:rsidRDefault="000B48F9" w:rsidP="00292A53">
            <w:pPr>
              <w:spacing w:after="60"/>
              <w:rPr>
                <w:rFonts w:eastAsia="Calibri" w:cs="Arial"/>
                <w:b/>
                <w:sz w:val="16"/>
                <w:szCs w:val="16"/>
                <w:lang w:eastAsia="en-US"/>
              </w:rPr>
            </w:pPr>
            <w:r w:rsidRPr="000B48F9">
              <w:rPr>
                <w:rFonts w:eastAsia="Calibri" w:cs="Arial"/>
                <w:b/>
                <w:sz w:val="16"/>
                <w:szCs w:val="16"/>
                <w:lang w:eastAsia="en-US"/>
              </w:rPr>
              <w:t>Employees covered by self-insurance (%)</w:t>
            </w:r>
          </w:p>
        </w:tc>
        <w:tc>
          <w:tcPr>
            <w:tcW w:w="1303" w:type="dxa"/>
            <w:shd w:val="clear" w:color="auto" w:fill="FFC9C9"/>
            <w:tcMar>
              <w:top w:w="80" w:type="dxa"/>
              <w:left w:w="80" w:type="dxa"/>
              <w:bottom w:w="80" w:type="dxa"/>
              <w:right w:w="80" w:type="dxa"/>
            </w:tcMar>
          </w:tcPr>
          <w:p w14:paraId="5766D444" w14:textId="658B8C26" w:rsidR="000B48F9" w:rsidRPr="000B48F9" w:rsidRDefault="0094778B" w:rsidP="00326350">
            <w:pPr>
              <w:spacing w:after="60"/>
              <w:rPr>
                <w:rFonts w:cs="Arial"/>
                <w:color w:val="000000"/>
                <w:sz w:val="14"/>
                <w:szCs w:val="16"/>
                <w:lang w:val="en-GB"/>
              </w:rPr>
            </w:pPr>
            <w:r>
              <w:rPr>
                <w:rFonts w:cs="Arial"/>
                <w:color w:val="000000"/>
                <w:sz w:val="14"/>
                <w:szCs w:val="16"/>
                <w:lang w:val="en-GB"/>
              </w:rPr>
              <w:t>23.0</w:t>
            </w:r>
          </w:p>
        </w:tc>
        <w:tc>
          <w:tcPr>
            <w:tcW w:w="1303" w:type="dxa"/>
            <w:shd w:val="clear" w:color="auto" w:fill="FFC9C9"/>
            <w:tcMar>
              <w:top w:w="80" w:type="dxa"/>
              <w:left w:w="80" w:type="dxa"/>
              <w:bottom w:w="80" w:type="dxa"/>
              <w:right w:w="80" w:type="dxa"/>
            </w:tcMar>
          </w:tcPr>
          <w:p w14:paraId="1EEA1237" w14:textId="4AC80207" w:rsidR="000B48F9" w:rsidRPr="000B48F9" w:rsidRDefault="000B48F9" w:rsidP="000A7038">
            <w:pPr>
              <w:spacing w:after="60"/>
              <w:rPr>
                <w:rFonts w:cs="Arial"/>
                <w:color w:val="000000"/>
                <w:sz w:val="14"/>
                <w:szCs w:val="16"/>
                <w:lang w:val="en-GB"/>
              </w:rPr>
            </w:pPr>
            <w:r w:rsidRPr="000B48F9">
              <w:rPr>
                <w:rFonts w:cs="Arial"/>
                <w:color w:val="000000"/>
                <w:sz w:val="14"/>
                <w:szCs w:val="16"/>
                <w:lang w:val="en-GB"/>
              </w:rPr>
              <w:t>7.</w:t>
            </w:r>
            <w:r w:rsidR="000A7038">
              <w:rPr>
                <w:rFonts w:cs="Arial"/>
                <w:color w:val="000000"/>
                <w:sz w:val="14"/>
                <w:szCs w:val="16"/>
                <w:lang w:val="en-GB"/>
              </w:rPr>
              <w:t>7</w:t>
            </w:r>
            <w:r w:rsidRPr="000B48F9">
              <w:rPr>
                <w:rFonts w:cs="Arial"/>
                <w:color w:val="000000"/>
                <w:sz w:val="14"/>
                <w:szCs w:val="16"/>
                <w:lang w:val="en-GB"/>
              </w:rPr>
              <w:t xml:space="preserve"> by remuneration </w:t>
            </w:r>
            <w:r w:rsidR="0014264B">
              <w:rPr>
                <w:rFonts w:cs="Arial"/>
                <w:color w:val="000000"/>
                <w:sz w:val="14"/>
                <w:szCs w:val="16"/>
                <w:lang w:val="en-GB"/>
              </w:rPr>
              <w:br/>
            </w:r>
            <w:r w:rsidRPr="000B48F9">
              <w:rPr>
                <w:rFonts w:cs="Arial"/>
                <w:color w:val="000000"/>
                <w:sz w:val="14"/>
                <w:szCs w:val="16"/>
                <w:lang w:val="en-GB"/>
              </w:rPr>
              <w:t>(as at June 201</w:t>
            </w:r>
            <w:r w:rsidR="000A7038">
              <w:rPr>
                <w:rFonts w:cs="Arial"/>
                <w:color w:val="000000"/>
                <w:sz w:val="14"/>
                <w:szCs w:val="16"/>
                <w:lang w:val="en-GB"/>
              </w:rPr>
              <w:t>7</w:t>
            </w:r>
            <w:r w:rsidRPr="000B48F9">
              <w:rPr>
                <w:rFonts w:cs="Arial"/>
                <w:color w:val="000000"/>
                <w:sz w:val="14"/>
                <w:szCs w:val="16"/>
                <w:lang w:val="en-GB"/>
              </w:rPr>
              <w:t>)</w:t>
            </w:r>
          </w:p>
        </w:tc>
        <w:tc>
          <w:tcPr>
            <w:tcW w:w="1303" w:type="dxa"/>
            <w:shd w:val="clear" w:color="auto" w:fill="FFC9C9"/>
            <w:tcMar>
              <w:top w:w="80" w:type="dxa"/>
              <w:left w:w="80" w:type="dxa"/>
              <w:bottom w:w="80" w:type="dxa"/>
              <w:right w:w="80" w:type="dxa"/>
            </w:tcMar>
          </w:tcPr>
          <w:p w14:paraId="14C995D5" w14:textId="750369DF"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8.</w:t>
            </w:r>
            <w:r w:rsidR="00995647">
              <w:rPr>
                <w:rFonts w:cs="Arial"/>
                <w:color w:val="000000"/>
                <w:sz w:val="14"/>
                <w:szCs w:val="16"/>
                <w:lang w:val="en-GB"/>
              </w:rPr>
              <w:t>0</w:t>
            </w:r>
          </w:p>
        </w:tc>
        <w:tc>
          <w:tcPr>
            <w:tcW w:w="1303" w:type="dxa"/>
            <w:shd w:val="clear" w:color="auto" w:fill="FFC9C9"/>
            <w:tcMar>
              <w:top w:w="80" w:type="dxa"/>
              <w:left w:w="80" w:type="dxa"/>
              <w:bottom w:w="80" w:type="dxa"/>
              <w:right w:w="80" w:type="dxa"/>
            </w:tcMar>
          </w:tcPr>
          <w:p w14:paraId="1485DBA8" w14:textId="3887991D" w:rsidR="000B48F9" w:rsidRPr="000B48F9" w:rsidRDefault="0014264B" w:rsidP="00292A53">
            <w:pPr>
              <w:spacing w:after="60"/>
              <w:rPr>
                <w:rFonts w:cs="Arial"/>
                <w:color w:val="000000"/>
                <w:sz w:val="14"/>
                <w:szCs w:val="16"/>
                <w:lang w:val="en-GB"/>
              </w:rPr>
            </w:pPr>
            <w:r w:rsidRPr="0014264B">
              <w:rPr>
                <w:rFonts w:cs="Arial"/>
                <w:color w:val="000000"/>
                <w:sz w:val="14"/>
                <w:szCs w:val="16"/>
                <w:lang w:val="en-GB"/>
              </w:rPr>
              <w:t>—</w:t>
            </w:r>
          </w:p>
        </w:tc>
        <w:tc>
          <w:tcPr>
            <w:tcW w:w="1303" w:type="dxa"/>
            <w:shd w:val="clear" w:color="auto" w:fill="FFC9C9"/>
            <w:tcMar>
              <w:top w:w="80" w:type="dxa"/>
              <w:left w:w="80" w:type="dxa"/>
              <w:bottom w:w="80" w:type="dxa"/>
              <w:right w:w="80" w:type="dxa"/>
            </w:tcMar>
          </w:tcPr>
          <w:p w14:paraId="6E48763F" w14:textId="69A1052C"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 xml:space="preserve">38.4 by remuneration </w:t>
            </w:r>
            <w:r w:rsidR="0014264B">
              <w:rPr>
                <w:rFonts w:cs="Arial"/>
                <w:color w:val="000000"/>
                <w:sz w:val="14"/>
                <w:szCs w:val="16"/>
                <w:lang w:val="en-GB"/>
              </w:rPr>
              <w:br/>
            </w:r>
            <w:r w:rsidRPr="000B48F9">
              <w:rPr>
                <w:rFonts w:cs="Arial"/>
                <w:color w:val="000000"/>
                <w:sz w:val="14"/>
                <w:szCs w:val="16"/>
                <w:lang w:val="en-GB"/>
              </w:rPr>
              <w:t>(as at June 2016)</w:t>
            </w:r>
          </w:p>
        </w:tc>
        <w:tc>
          <w:tcPr>
            <w:tcW w:w="1303" w:type="dxa"/>
            <w:shd w:val="clear" w:color="auto" w:fill="FFC9C9"/>
            <w:tcMar>
              <w:top w:w="80" w:type="dxa"/>
              <w:left w:w="80" w:type="dxa"/>
              <w:bottom w:w="80" w:type="dxa"/>
              <w:right w:w="80" w:type="dxa"/>
            </w:tcMar>
          </w:tcPr>
          <w:p w14:paraId="6CED5442" w14:textId="67E9C783"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4.</w:t>
            </w:r>
            <w:r w:rsidR="00276B83">
              <w:rPr>
                <w:rFonts w:cs="Arial"/>
                <w:color w:val="000000"/>
                <w:sz w:val="14"/>
                <w:szCs w:val="16"/>
                <w:lang w:val="en-GB"/>
              </w:rPr>
              <w:t>5</w:t>
            </w:r>
          </w:p>
        </w:tc>
        <w:tc>
          <w:tcPr>
            <w:tcW w:w="1303" w:type="dxa"/>
            <w:shd w:val="clear" w:color="auto" w:fill="FFC9C9"/>
            <w:tcMar>
              <w:top w:w="80" w:type="dxa"/>
              <w:left w:w="80" w:type="dxa"/>
              <w:bottom w:w="80" w:type="dxa"/>
              <w:right w:w="80" w:type="dxa"/>
            </w:tcMar>
          </w:tcPr>
          <w:p w14:paraId="67C64E1A" w14:textId="0074A013"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4.</w:t>
            </w:r>
            <w:r w:rsidR="0082448D">
              <w:rPr>
                <w:rFonts w:cs="Arial"/>
                <w:color w:val="000000"/>
                <w:sz w:val="14"/>
                <w:szCs w:val="16"/>
                <w:lang w:val="en-GB"/>
              </w:rPr>
              <w:t>04</w:t>
            </w:r>
          </w:p>
          <w:p w14:paraId="3DAF2B77" w14:textId="77777777" w:rsidR="000B48F9" w:rsidRPr="000B48F9" w:rsidRDefault="000B48F9" w:rsidP="00292A53">
            <w:pPr>
              <w:spacing w:after="60"/>
              <w:rPr>
                <w:rFonts w:cs="Arial"/>
                <w:color w:val="000000"/>
                <w:sz w:val="14"/>
                <w:szCs w:val="16"/>
                <w:lang w:val="en-GB"/>
              </w:rPr>
            </w:pPr>
          </w:p>
        </w:tc>
        <w:tc>
          <w:tcPr>
            <w:tcW w:w="1303" w:type="dxa"/>
            <w:shd w:val="clear" w:color="auto" w:fill="FFC9C9"/>
            <w:tcMar>
              <w:top w:w="80" w:type="dxa"/>
              <w:left w:w="80" w:type="dxa"/>
              <w:bottom w:w="80" w:type="dxa"/>
              <w:right w:w="80" w:type="dxa"/>
            </w:tcMar>
          </w:tcPr>
          <w:p w14:paraId="04233CEA"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&lt;1</w:t>
            </w:r>
          </w:p>
        </w:tc>
        <w:tc>
          <w:tcPr>
            <w:tcW w:w="1303" w:type="dxa"/>
            <w:shd w:val="clear" w:color="auto" w:fill="FFC9C9"/>
            <w:tcMar>
              <w:top w:w="80" w:type="dxa"/>
              <w:left w:w="80" w:type="dxa"/>
              <w:bottom w:w="80" w:type="dxa"/>
              <w:right w:w="80" w:type="dxa"/>
            </w:tcMar>
          </w:tcPr>
          <w:p w14:paraId="56E497D3" w14:textId="28AD920D" w:rsidR="000B48F9" w:rsidRPr="000B48F9" w:rsidRDefault="005348D7" w:rsidP="00292A53">
            <w:pPr>
              <w:spacing w:after="60"/>
              <w:rPr>
                <w:rFonts w:cs="Arial"/>
                <w:color w:val="000000"/>
                <w:sz w:val="14"/>
                <w:szCs w:val="16"/>
                <w:lang w:val="en-GB"/>
              </w:rPr>
            </w:pPr>
            <w:r>
              <w:rPr>
                <w:rFonts w:cs="Arial"/>
                <w:color w:val="000000"/>
                <w:sz w:val="14"/>
                <w:szCs w:val="16"/>
                <w:lang w:val="en-GB"/>
              </w:rPr>
              <w:t>46.0</w:t>
            </w:r>
          </w:p>
          <w:p w14:paraId="1AA16A0C" w14:textId="1FC6CCDA" w:rsidR="000B48F9" w:rsidRPr="000B48F9" w:rsidRDefault="000B48F9" w:rsidP="005348D7">
            <w:pPr>
              <w:spacing w:after="60"/>
              <w:rPr>
                <w:rFonts w:cs="Arial"/>
                <w:color w:val="000000"/>
                <w:sz w:val="14"/>
                <w:szCs w:val="16"/>
                <w:lang w:val="en-GB"/>
              </w:rPr>
            </w:pPr>
            <w:r w:rsidRPr="000B48F9">
              <w:rPr>
                <w:rFonts w:cs="Arial"/>
                <w:color w:val="000000"/>
                <w:sz w:val="14"/>
                <w:szCs w:val="16"/>
                <w:lang w:val="en-GB"/>
              </w:rPr>
              <w:t xml:space="preserve">(as at </w:t>
            </w:r>
            <w:r w:rsidR="005348D7">
              <w:rPr>
                <w:rFonts w:cs="Arial"/>
                <w:color w:val="000000"/>
                <w:sz w:val="14"/>
                <w:szCs w:val="16"/>
                <w:lang w:val="en-GB"/>
              </w:rPr>
              <w:t>25 July 2017</w:t>
            </w:r>
            <w:r w:rsidR="0014264B">
              <w:rPr>
                <w:rFonts w:cs="Arial"/>
                <w:color w:val="000000"/>
                <w:sz w:val="14"/>
                <w:szCs w:val="16"/>
                <w:lang w:val="en-GB"/>
              </w:rPr>
              <w:t>)</w:t>
            </w:r>
          </w:p>
        </w:tc>
        <w:tc>
          <w:tcPr>
            <w:tcW w:w="1304" w:type="dxa"/>
            <w:shd w:val="clear" w:color="auto" w:fill="FFC9C9"/>
            <w:tcMar>
              <w:top w:w="80" w:type="dxa"/>
              <w:left w:w="80" w:type="dxa"/>
              <w:bottom w:w="80" w:type="dxa"/>
              <w:right w:w="80" w:type="dxa"/>
            </w:tcMar>
          </w:tcPr>
          <w:p w14:paraId="3D6E1385" w14:textId="789B3C3E" w:rsidR="000B48F9" w:rsidRPr="000B48F9" w:rsidRDefault="007E7640" w:rsidP="00292A53">
            <w:pPr>
              <w:spacing w:after="60"/>
              <w:rPr>
                <w:rFonts w:cs="Arial"/>
                <w:color w:val="000000"/>
                <w:sz w:val="14"/>
                <w:szCs w:val="16"/>
                <w:highlight w:val="yellow"/>
                <w:lang w:val="en-GB"/>
              </w:rPr>
            </w:pPr>
            <w:r>
              <w:rPr>
                <w:rFonts w:cs="Arial"/>
                <w:color w:val="000000"/>
                <w:sz w:val="14"/>
                <w:szCs w:val="16"/>
                <w:lang w:val="en-GB"/>
              </w:rPr>
              <w:t>20</w:t>
            </w:r>
            <w:r w:rsidRPr="000B48F9">
              <w:rPr>
                <w:rFonts w:cs="Arial"/>
                <w:color w:val="000000"/>
                <w:sz w:val="14"/>
                <w:szCs w:val="16"/>
                <w:lang w:val="en-GB"/>
              </w:rPr>
              <w:t xml:space="preserve"> </w:t>
            </w:r>
            <w:r w:rsidR="000B48F9" w:rsidRPr="000B48F9">
              <w:rPr>
                <w:rFonts w:cs="Arial"/>
                <w:color w:val="000000"/>
                <w:sz w:val="14"/>
                <w:szCs w:val="16"/>
                <w:lang w:val="en-GB"/>
              </w:rPr>
              <w:t>(FTE)</w:t>
            </w:r>
          </w:p>
        </w:tc>
      </w:tr>
      <w:tr w:rsidR="000B48F9" w:rsidRPr="000B48F9" w14:paraId="6BEAC885" w14:textId="77777777" w:rsidTr="00B2173F">
        <w:tc>
          <w:tcPr>
            <w:tcW w:w="1984" w:type="dxa"/>
            <w:tcMar>
              <w:top w:w="80" w:type="dxa"/>
              <w:left w:w="80" w:type="dxa"/>
              <w:bottom w:w="80" w:type="dxa"/>
              <w:right w:w="80" w:type="dxa"/>
            </w:tcMar>
          </w:tcPr>
          <w:p w14:paraId="7E229A17" w14:textId="77777777" w:rsidR="000B48F9" w:rsidRPr="000B48F9" w:rsidRDefault="000B48F9" w:rsidP="00292A53">
            <w:pPr>
              <w:spacing w:after="60"/>
              <w:rPr>
                <w:rFonts w:eastAsia="Calibri" w:cs="Arial"/>
                <w:b/>
                <w:sz w:val="16"/>
                <w:szCs w:val="16"/>
                <w:lang w:eastAsia="en-US"/>
              </w:rPr>
            </w:pPr>
            <w:r w:rsidRPr="000B48F9">
              <w:rPr>
                <w:rFonts w:eastAsia="Calibri" w:cs="Arial"/>
                <w:b/>
                <w:sz w:val="16"/>
                <w:szCs w:val="16"/>
                <w:lang w:eastAsia="en-US"/>
              </w:rPr>
              <w:t>Number of self-insurer licences</w:t>
            </w:r>
          </w:p>
        </w:tc>
        <w:tc>
          <w:tcPr>
            <w:tcW w:w="1303" w:type="dxa"/>
            <w:tcMar>
              <w:top w:w="80" w:type="dxa"/>
              <w:left w:w="80" w:type="dxa"/>
              <w:bottom w:w="80" w:type="dxa"/>
              <w:right w:w="80" w:type="dxa"/>
            </w:tcMar>
          </w:tcPr>
          <w:p w14:paraId="107E64A3" w14:textId="7CA3314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6</w:t>
            </w:r>
            <w:r w:rsidR="00326350">
              <w:rPr>
                <w:rFonts w:cs="Arial"/>
                <w:color w:val="000000"/>
                <w:sz w:val="14"/>
                <w:szCs w:val="16"/>
                <w:lang w:val="en-GB"/>
              </w:rPr>
              <w:t>0</w:t>
            </w:r>
            <w:r w:rsidRPr="000B48F9">
              <w:rPr>
                <w:rFonts w:cs="Arial"/>
                <w:color w:val="000000"/>
                <w:sz w:val="14"/>
                <w:szCs w:val="16"/>
                <w:lang w:val="en-GB"/>
              </w:rPr>
              <w:t>, plus 6 specialised insurers</w:t>
            </w:r>
            <w:r w:rsidR="003D2FCB">
              <w:rPr>
                <w:rFonts w:cs="Arial"/>
                <w:color w:val="000000"/>
                <w:sz w:val="14"/>
                <w:szCs w:val="16"/>
                <w:lang w:val="en-GB"/>
              </w:rPr>
              <w:t>.</w:t>
            </w:r>
          </w:p>
        </w:tc>
        <w:tc>
          <w:tcPr>
            <w:tcW w:w="1303" w:type="dxa"/>
            <w:tcMar>
              <w:top w:w="80" w:type="dxa"/>
              <w:left w:w="80" w:type="dxa"/>
              <w:bottom w:w="80" w:type="dxa"/>
              <w:right w:w="80" w:type="dxa"/>
            </w:tcMar>
          </w:tcPr>
          <w:p w14:paraId="5BE7737E"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38</w:t>
            </w:r>
          </w:p>
        </w:tc>
        <w:tc>
          <w:tcPr>
            <w:tcW w:w="1303" w:type="dxa"/>
            <w:tcMar>
              <w:top w:w="80" w:type="dxa"/>
              <w:left w:w="80" w:type="dxa"/>
              <w:bottom w:w="80" w:type="dxa"/>
              <w:right w:w="80" w:type="dxa"/>
            </w:tcMar>
          </w:tcPr>
          <w:p w14:paraId="59467E0A"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28</w:t>
            </w:r>
          </w:p>
        </w:tc>
        <w:tc>
          <w:tcPr>
            <w:tcW w:w="1303" w:type="dxa"/>
            <w:tcMar>
              <w:top w:w="80" w:type="dxa"/>
              <w:left w:w="80" w:type="dxa"/>
              <w:bottom w:w="80" w:type="dxa"/>
              <w:right w:w="80" w:type="dxa"/>
            </w:tcMar>
          </w:tcPr>
          <w:p w14:paraId="005E3A9A" w14:textId="011B424D"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2</w:t>
            </w:r>
            <w:r w:rsidR="00813F1C">
              <w:rPr>
                <w:rFonts w:cs="Arial"/>
                <w:color w:val="000000"/>
                <w:sz w:val="14"/>
                <w:szCs w:val="16"/>
                <w:lang w:val="en-GB"/>
              </w:rPr>
              <w:t>4</w:t>
            </w:r>
          </w:p>
        </w:tc>
        <w:tc>
          <w:tcPr>
            <w:tcW w:w="1303" w:type="dxa"/>
            <w:tcMar>
              <w:top w:w="80" w:type="dxa"/>
              <w:left w:w="80" w:type="dxa"/>
              <w:bottom w:w="80" w:type="dxa"/>
              <w:right w:w="80" w:type="dxa"/>
            </w:tcMar>
          </w:tcPr>
          <w:p w14:paraId="39FAC7D0" w14:textId="50FF9DCA"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70 self-insured employer groups</w:t>
            </w:r>
            <w:r w:rsidR="003D2FCB">
              <w:rPr>
                <w:rFonts w:cs="Arial"/>
                <w:color w:val="000000"/>
                <w:sz w:val="14"/>
                <w:szCs w:val="16"/>
                <w:lang w:val="en-GB"/>
              </w:rPr>
              <w:t>.</w:t>
            </w:r>
          </w:p>
        </w:tc>
        <w:tc>
          <w:tcPr>
            <w:tcW w:w="1303" w:type="dxa"/>
            <w:tcMar>
              <w:top w:w="80" w:type="dxa"/>
              <w:left w:w="80" w:type="dxa"/>
              <w:bottom w:w="80" w:type="dxa"/>
              <w:right w:w="80" w:type="dxa"/>
            </w:tcMar>
          </w:tcPr>
          <w:p w14:paraId="64D0544C" w14:textId="0E97D139"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1</w:t>
            </w:r>
            <w:r w:rsidR="00276B83">
              <w:rPr>
                <w:rFonts w:cs="Arial"/>
                <w:color w:val="000000"/>
                <w:sz w:val="14"/>
                <w:szCs w:val="16"/>
                <w:lang w:val="en-GB"/>
              </w:rPr>
              <w:t>0</w:t>
            </w:r>
          </w:p>
        </w:tc>
        <w:tc>
          <w:tcPr>
            <w:tcW w:w="1303" w:type="dxa"/>
            <w:tcMar>
              <w:top w:w="80" w:type="dxa"/>
              <w:left w:w="80" w:type="dxa"/>
              <w:bottom w:w="80" w:type="dxa"/>
              <w:right w:w="80" w:type="dxa"/>
            </w:tcMar>
          </w:tcPr>
          <w:p w14:paraId="273ED8C1"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4</w:t>
            </w:r>
          </w:p>
        </w:tc>
        <w:tc>
          <w:tcPr>
            <w:tcW w:w="1303" w:type="dxa"/>
            <w:tcMar>
              <w:top w:w="80" w:type="dxa"/>
              <w:left w:w="80" w:type="dxa"/>
              <w:bottom w:w="80" w:type="dxa"/>
              <w:right w:w="80" w:type="dxa"/>
            </w:tcMar>
          </w:tcPr>
          <w:p w14:paraId="310E223B"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 xml:space="preserve">7 </w:t>
            </w:r>
          </w:p>
        </w:tc>
        <w:tc>
          <w:tcPr>
            <w:tcW w:w="1303" w:type="dxa"/>
            <w:tcMar>
              <w:top w:w="80" w:type="dxa"/>
              <w:left w:w="80" w:type="dxa"/>
              <w:bottom w:w="80" w:type="dxa"/>
              <w:right w:w="80" w:type="dxa"/>
            </w:tcMar>
          </w:tcPr>
          <w:p w14:paraId="0643FB2B"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34</w:t>
            </w:r>
          </w:p>
          <w:p w14:paraId="790749E7" w14:textId="01D72440" w:rsidR="000B48F9" w:rsidRPr="000B48F9" w:rsidRDefault="000B48F9" w:rsidP="005348D7">
            <w:pPr>
              <w:spacing w:after="60"/>
              <w:rPr>
                <w:rFonts w:cs="Arial"/>
                <w:color w:val="000000"/>
                <w:sz w:val="14"/>
                <w:szCs w:val="16"/>
                <w:lang w:val="en-GB"/>
              </w:rPr>
            </w:pPr>
            <w:r w:rsidRPr="000B48F9">
              <w:rPr>
                <w:rFonts w:cs="Arial"/>
                <w:color w:val="000000"/>
                <w:sz w:val="14"/>
                <w:szCs w:val="16"/>
                <w:lang w:val="en-GB"/>
              </w:rPr>
              <w:t xml:space="preserve">(as at </w:t>
            </w:r>
            <w:r w:rsidR="005348D7">
              <w:rPr>
                <w:rFonts w:cs="Arial"/>
                <w:color w:val="000000"/>
                <w:sz w:val="14"/>
                <w:szCs w:val="16"/>
                <w:lang w:val="en-GB"/>
              </w:rPr>
              <w:t>25 July 2017</w:t>
            </w:r>
            <w:r w:rsidRPr="000B48F9">
              <w:rPr>
                <w:rFonts w:cs="Arial"/>
                <w:color w:val="000000"/>
                <w:sz w:val="14"/>
                <w:szCs w:val="16"/>
                <w:lang w:val="en-GB"/>
              </w:rPr>
              <w:t>)</w:t>
            </w:r>
          </w:p>
        </w:tc>
        <w:tc>
          <w:tcPr>
            <w:tcW w:w="1304" w:type="dxa"/>
            <w:tcMar>
              <w:top w:w="80" w:type="dxa"/>
              <w:left w:w="80" w:type="dxa"/>
              <w:bottom w:w="80" w:type="dxa"/>
              <w:right w:w="80" w:type="dxa"/>
            </w:tcMar>
          </w:tcPr>
          <w:p w14:paraId="27AB2658" w14:textId="0863BF0F" w:rsidR="000B48F9" w:rsidRPr="000B48F9" w:rsidRDefault="000B48F9" w:rsidP="00292A53">
            <w:pPr>
              <w:spacing w:after="60"/>
              <w:rPr>
                <w:rFonts w:cs="Arial"/>
                <w:color w:val="000000"/>
                <w:sz w:val="14"/>
                <w:szCs w:val="16"/>
                <w:highlight w:val="yellow"/>
                <w:lang w:val="en-GB"/>
              </w:rPr>
            </w:pPr>
            <w:r w:rsidRPr="000B48F9">
              <w:rPr>
                <w:rFonts w:cs="Arial"/>
                <w:color w:val="000000"/>
                <w:sz w:val="14"/>
                <w:szCs w:val="16"/>
                <w:lang w:val="en-GB"/>
              </w:rPr>
              <w:t>1</w:t>
            </w:r>
            <w:r w:rsidR="0044198D">
              <w:rPr>
                <w:rFonts w:cs="Arial"/>
                <w:color w:val="000000"/>
                <w:sz w:val="14"/>
                <w:szCs w:val="16"/>
                <w:lang w:val="en-GB"/>
              </w:rPr>
              <w:t>40</w:t>
            </w:r>
            <w:r w:rsidRPr="000B48F9">
              <w:rPr>
                <w:rFonts w:cs="Arial"/>
                <w:color w:val="000000"/>
                <w:sz w:val="14"/>
                <w:szCs w:val="16"/>
                <w:lang w:val="en-GB"/>
              </w:rPr>
              <w:t xml:space="preserve"> Contracts</w:t>
            </w:r>
          </w:p>
        </w:tc>
      </w:tr>
      <w:tr w:rsidR="000B48F9" w:rsidRPr="000B48F9" w14:paraId="7F7583FA" w14:textId="77777777" w:rsidTr="00B2173F">
        <w:tc>
          <w:tcPr>
            <w:tcW w:w="1984" w:type="dxa"/>
            <w:shd w:val="clear" w:color="auto" w:fill="FFC9C9"/>
            <w:tcMar>
              <w:top w:w="80" w:type="dxa"/>
              <w:left w:w="80" w:type="dxa"/>
              <w:bottom w:w="80" w:type="dxa"/>
              <w:right w:w="80" w:type="dxa"/>
            </w:tcMar>
          </w:tcPr>
          <w:p w14:paraId="291B8C41" w14:textId="46BC583A" w:rsidR="000B48F9" w:rsidRPr="000B48F9" w:rsidRDefault="000B48F9" w:rsidP="00813F1C">
            <w:pPr>
              <w:spacing w:after="60"/>
              <w:rPr>
                <w:rFonts w:eastAsia="Calibri" w:cs="Arial"/>
                <w:b/>
                <w:sz w:val="16"/>
                <w:szCs w:val="16"/>
                <w:lang w:eastAsia="en-US"/>
              </w:rPr>
            </w:pPr>
            <w:r w:rsidRPr="000B48F9">
              <w:rPr>
                <w:rFonts w:eastAsia="Calibri" w:cs="Arial"/>
                <w:b/>
                <w:sz w:val="16"/>
                <w:szCs w:val="16"/>
                <w:lang w:eastAsia="en-US"/>
              </w:rPr>
              <w:t>Number of self-insured employers</w:t>
            </w:r>
            <w:r w:rsidR="00813F1C">
              <w:rPr>
                <w:rFonts w:eastAsia="Calibri" w:cs="Arial"/>
                <w:b/>
                <w:sz w:val="16"/>
                <w:szCs w:val="16"/>
                <w:vertAlign w:val="superscript"/>
                <w:lang w:eastAsia="en-US"/>
              </w:rPr>
              <w:t>1</w:t>
            </w:r>
          </w:p>
        </w:tc>
        <w:tc>
          <w:tcPr>
            <w:tcW w:w="1303" w:type="dxa"/>
            <w:shd w:val="clear" w:color="auto" w:fill="FFC9C9"/>
            <w:tcMar>
              <w:top w:w="80" w:type="dxa"/>
              <w:left w:w="80" w:type="dxa"/>
              <w:bottom w:w="80" w:type="dxa"/>
              <w:right w:w="80" w:type="dxa"/>
            </w:tcMar>
          </w:tcPr>
          <w:p w14:paraId="6C953095" w14:textId="57F9BE75" w:rsidR="0014264B" w:rsidRDefault="0014264B" w:rsidP="00292A53">
            <w:pPr>
              <w:spacing w:after="60"/>
              <w:rPr>
                <w:rFonts w:cs="Arial"/>
                <w:color w:val="000000"/>
                <w:sz w:val="14"/>
                <w:szCs w:val="16"/>
                <w:lang w:val="en-GB"/>
              </w:rPr>
            </w:pPr>
            <w:r>
              <w:rPr>
                <w:rFonts w:cs="Arial"/>
                <w:color w:val="000000"/>
                <w:sz w:val="14"/>
                <w:szCs w:val="16"/>
                <w:lang w:val="en-GB"/>
              </w:rPr>
              <w:t>3</w:t>
            </w:r>
            <w:r w:rsidR="00326350">
              <w:rPr>
                <w:rFonts w:cs="Arial"/>
                <w:color w:val="000000"/>
                <w:sz w:val="14"/>
                <w:szCs w:val="16"/>
                <w:lang w:val="en-GB"/>
              </w:rPr>
              <w:t>9</w:t>
            </w:r>
            <w:r>
              <w:rPr>
                <w:rFonts w:cs="Arial"/>
                <w:color w:val="000000"/>
                <w:sz w:val="14"/>
                <w:szCs w:val="16"/>
                <w:lang w:val="en-GB"/>
              </w:rPr>
              <w:t xml:space="preserve"> self-insurers</w:t>
            </w:r>
          </w:p>
          <w:p w14:paraId="20E06FDC" w14:textId="57A92E6F" w:rsidR="000B48F9" w:rsidRPr="000B48F9" w:rsidRDefault="00326350" w:rsidP="00326350">
            <w:pPr>
              <w:spacing w:after="60"/>
              <w:rPr>
                <w:rFonts w:cs="Arial"/>
                <w:color w:val="000000"/>
                <w:sz w:val="14"/>
                <w:szCs w:val="16"/>
                <w:lang w:val="en-GB"/>
              </w:rPr>
            </w:pPr>
            <w:r>
              <w:rPr>
                <w:rFonts w:cs="Arial"/>
                <w:color w:val="000000"/>
                <w:sz w:val="14"/>
                <w:szCs w:val="16"/>
                <w:lang w:val="en-GB"/>
              </w:rPr>
              <w:t>21</w:t>
            </w:r>
            <w:r w:rsidR="000B48F9" w:rsidRPr="000B48F9">
              <w:rPr>
                <w:rFonts w:cs="Arial"/>
                <w:color w:val="000000"/>
                <w:sz w:val="14"/>
                <w:szCs w:val="16"/>
                <w:lang w:val="en-GB"/>
              </w:rPr>
              <w:t xml:space="preserve"> group self-insurers with </w:t>
            </w:r>
            <w:r>
              <w:rPr>
                <w:rFonts w:cs="Arial"/>
                <w:color w:val="000000"/>
                <w:sz w:val="14"/>
                <w:szCs w:val="16"/>
                <w:lang w:val="en-GB"/>
              </w:rPr>
              <w:t>151</w:t>
            </w:r>
            <w:r w:rsidR="000B48F9" w:rsidRPr="000B48F9">
              <w:rPr>
                <w:rFonts w:cs="Arial"/>
                <w:color w:val="000000"/>
                <w:sz w:val="14"/>
                <w:szCs w:val="16"/>
                <w:lang w:val="en-GB"/>
              </w:rPr>
              <w:t xml:space="preserve"> subsidiaries</w:t>
            </w:r>
          </w:p>
        </w:tc>
        <w:tc>
          <w:tcPr>
            <w:tcW w:w="1303" w:type="dxa"/>
            <w:shd w:val="clear" w:color="auto" w:fill="FFC9C9"/>
            <w:tcMar>
              <w:top w:w="80" w:type="dxa"/>
              <w:left w:w="80" w:type="dxa"/>
              <w:bottom w:w="80" w:type="dxa"/>
              <w:right w:w="80" w:type="dxa"/>
            </w:tcMar>
          </w:tcPr>
          <w:p w14:paraId="5D300105"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153</w:t>
            </w:r>
          </w:p>
        </w:tc>
        <w:tc>
          <w:tcPr>
            <w:tcW w:w="1303" w:type="dxa"/>
            <w:shd w:val="clear" w:color="auto" w:fill="FFC9C9"/>
            <w:tcMar>
              <w:top w:w="80" w:type="dxa"/>
              <w:left w:w="80" w:type="dxa"/>
              <w:bottom w:w="80" w:type="dxa"/>
              <w:right w:w="80" w:type="dxa"/>
            </w:tcMar>
          </w:tcPr>
          <w:p w14:paraId="15A3FC34" w14:textId="1F01867A"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28</w:t>
            </w:r>
            <w:r w:rsidR="00995647">
              <w:rPr>
                <w:rFonts w:cs="Arial"/>
                <w:color w:val="000000"/>
                <w:sz w:val="14"/>
                <w:szCs w:val="16"/>
                <w:lang w:val="en-GB"/>
              </w:rPr>
              <w:t>5</w:t>
            </w:r>
          </w:p>
        </w:tc>
        <w:tc>
          <w:tcPr>
            <w:tcW w:w="1303" w:type="dxa"/>
            <w:shd w:val="clear" w:color="auto" w:fill="FFC9C9"/>
            <w:tcMar>
              <w:top w:w="80" w:type="dxa"/>
              <w:left w:w="80" w:type="dxa"/>
              <w:bottom w:w="80" w:type="dxa"/>
              <w:right w:w="80" w:type="dxa"/>
            </w:tcMar>
          </w:tcPr>
          <w:p w14:paraId="4F0F1322" w14:textId="42919202"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2</w:t>
            </w:r>
            <w:r w:rsidR="00813F1C">
              <w:rPr>
                <w:rFonts w:cs="Arial"/>
                <w:color w:val="000000"/>
                <w:sz w:val="14"/>
                <w:szCs w:val="16"/>
                <w:lang w:val="en-GB"/>
              </w:rPr>
              <w:t>4</w:t>
            </w:r>
          </w:p>
        </w:tc>
        <w:tc>
          <w:tcPr>
            <w:tcW w:w="1303" w:type="dxa"/>
            <w:shd w:val="clear" w:color="auto" w:fill="FFC9C9"/>
            <w:tcMar>
              <w:top w:w="80" w:type="dxa"/>
              <w:left w:w="80" w:type="dxa"/>
              <w:bottom w:w="80" w:type="dxa"/>
              <w:right w:w="80" w:type="dxa"/>
            </w:tcMar>
          </w:tcPr>
          <w:p w14:paraId="105DDAB1" w14:textId="51DF220D"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70 private and approx 44 Crown</w:t>
            </w:r>
          </w:p>
        </w:tc>
        <w:tc>
          <w:tcPr>
            <w:tcW w:w="1303" w:type="dxa"/>
            <w:shd w:val="clear" w:color="auto" w:fill="FFC9C9"/>
            <w:tcMar>
              <w:top w:w="80" w:type="dxa"/>
              <w:left w:w="80" w:type="dxa"/>
              <w:bottom w:w="80" w:type="dxa"/>
              <w:right w:w="80" w:type="dxa"/>
            </w:tcMar>
          </w:tcPr>
          <w:p w14:paraId="0B0A05B1" w14:textId="3364D365"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10</w:t>
            </w:r>
          </w:p>
        </w:tc>
        <w:tc>
          <w:tcPr>
            <w:tcW w:w="1303" w:type="dxa"/>
            <w:shd w:val="clear" w:color="auto" w:fill="FFC9C9"/>
            <w:tcMar>
              <w:top w:w="80" w:type="dxa"/>
              <w:left w:w="80" w:type="dxa"/>
              <w:bottom w:w="80" w:type="dxa"/>
              <w:right w:w="80" w:type="dxa"/>
            </w:tcMar>
          </w:tcPr>
          <w:p w14:paraId="1A8909F4"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4 private</w:t>
            </w:r>
          </w:p>
          <w:p w14:paraId="164FA764" w14:textId="0560C51E"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 xml:space="preserve">Government is a </w:t>
            </w:r>
            <w:r w:rsidR="00E43A0F">
              <w:rPr>
                <w:rFonts w:cs="Arial"/>
                <w:color w:val="000000"/>
                <w:sz w:val="14"/>
                <w:szCs w:val="16"/>
                <w:lang w:val="en-GB"/>
              </w:rPr>
              <w:t>self-insurer</w:t>
            </w:r>
            <w:r w:rsidRPr="000B48F9">
              <w:rPr>
                <w:rFonts w:cs="Arial"/>
                <w:color w:val="000000"/>
                <w:sz w:val="14"/>
                <w:szCs w:val="16"/>
                <w:lang w:val="en-GB"/>
              </w:rPr>
              <w:t xml:space="preserve"> by legislation and is not requir</w:t>
            </w:r>
            <w:r w:rsidR="0014264B">
              <w:rPr>
                <w:rFonts w:cs="Arial"/>
                <w:color w:val="000000"/>
                <w:sz w:val="14"/>
                <w:szCs w:val="16"/>
                <w:lang w:val="en-GB"/>
              </w:rPr>
              <w:t>ed to be approved</w:t>
            </w:r>
          </w:p>
        </w:tc>
        <w:tc>
          <w:tcPr>
            <w:tcW w:w="1303" w:type="dxa"/>
            <w:shd w:val="clear" w:color="auto" w:fill="FFC9C9"/>
            <w:tcMar>
              <w:top w:w="80" w:type="dxa"/>
              <w:left w:w="80" w:type="dxa"/>
              <w:bottom w:w="80" w:type="dxa"/>
              <w:right w:w="80" w:type="dxa"/>
            </w:tcMar>
          </w:tcPr>
          <w:p w14:paraId="08D56154" w14:textId="77777777" w:rsidR="000B48F9" w:rsidRPr="00A86AF8" w:rsidRDefault="000B48F9" w:rsidP="00292A53">
            <w:pPr>
              <w:spacing w:after="60"/>
              <w:rPr>
                <w:rFonts w:cs="Arial"/>
                <w:color w:val="000000"/>
                <w:sz w:val="14"/>
                <w:szCs w:val="16"/>
                <w:lang w:val="en-GB"/>
              </w:rPr>
            </w:pPr>
            <w:r w:rsidRPr="00A86AF8">
              <w:rPr>
                <w:rFonts w:cs="Arial"/>
                <w:color w:val="000000"/>
                <w:sz w:val="14"/>
                <w:szCs w:val="16"/>
                <w:lang w:val="en-GB"/>
              </w:rPr>
              <w:t>7</w:t>
            </w:r>
          </w:p>
        </w:tc>
        <w:tc>
          <w:tcPr>
            <w:tcW w:w="1303" w:type="dxa"/>
            <w:shd w:val="clear" w:color="auto" w:fill="FFC9C9"/>
            <w:tcMar>
              <w:top w:w="80" w:type="dxa"/>
              <w:left w:w="80" w:type="dxa"/>
              <w:bottom w:w="80" w:type="dxa"/>
              <w:right w:w="80" w:type="dxa"/>
            </w:tcMar>
          </w:tcPr>
          <w:p w14:paraId="7D037741"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34</w:t>
            </w:r>
          </w:p>
          <w:p w14:paraId="0902EB1B" w14:textId="111C93D2" w:rsidR="000B48F9" w:rsidRPr="000B48F9" w:rsidRDefault="000B48F9" w:rsidP="005348D7">
            <w:pPr>
              <w:spacing w:after="60"/>
              <w:rPr>
                <w:rFonts w:cs="Arial"/>
                <w:color w:val="000000"/>
                <w:sz w:val="14"/>
                <w:szCs w:val="16"/>
                <w:lang w:val="en-GB"/>
              </w:rPr>
            </w:pPr>
            <w:r w:rsidRPr="000B48F9">
              <w:rPr>
                <w:rFonts w:cs="Arial"/>
                <w:color w:val="000000"/>
                <w:sz w:val="14"/>
                <w:szCs w:val="16"/>
                <w:lang w:val="en-GB"/>
              </w:rPr>
              <w:t xml:space="preserve">(as at </w:t>
            </w:r>
            <w:r w:rsidR="005348D7">
              <w:rPr>
                <w:rFonts w:cs="Arial"/>
                <w:color w:val="000000"/>
                <w:sz w:val="14"/>
                <w:szCs w:val="16"/>
                <w:lang w:val="en-GB"/>
              </w:rPr>
              <w:t>25 July 2017</w:t>
            </w:r>
            <w:r w:rsidRPr="000B48F9">
              <w:rPr>
                <w:rFonts w:cs="Arial"/>
                <w:color w:val="000000"/>
                <w:sz w:val="14"/>
                <w:szCs w:val="16"/>
                <w:lang w:val="en-GB"/>
              </w:rPr>
              <w:t>)</w:t>
            </w:r>
          </w:p>
        </w:tc>
        <w:tc>
          <w:tcPr>
            <w:tcW w:w="1304" w:type="dxa"/>
            <w:shd w:val="clear" w:color="auto" w:fill="FFC9C9"/>
            <w:tcMar>
              <w:top w:w="80" w:type="dxa"/>
              <w:left w:w="80" w:type="dxa"/>
              <w:bottom w:w="80" w:type="dxa"/>
              <w:right w:w="80" w:type="dxa"/>
            </w:tcMar>
          </w:tcPr>
          <w:p w14:paraId="50023343" w14:textId="76631274" w:rsidR="000B48F9" w:rsidRPr="000B48F9" w:rsidRDefault="007E7640" w:rsidP="00292A53">
            <w:pPr>
              <w:spacing w:after="60"/>
              <w:rPr>
                <w:rFonts w:cs="Arial"/>
                <w:color w:val="000000"/>
                <w:sz w:val="14"/>
                <w:szCs w:val="16"/>
                <w:highlight w:val="yellow"/>
                <w:lang w:val="en-GB"/>
              </w:rPr>
            </w:pPr>
            <w:r>
              <w:rPr>
                <w:rFonts w:cs="Arial"/>
                <w:color w:val="000000"/>
                <w:sz w:val="14"/>
                <w:szCs w:val="16"/>
                <w:lang w:val="en-GB"/>
              </w:rPr>
              <w:t>403</w:t>
            </w:r>
          </w:p>
        </w:tc>
      </w:tr>
      <w:tr w:rsidR="000B48F9" w:rsidRPr="000B48F9" w14:paraId="050BFC6A" w14:textId="77777777" w:rsidTr="00B2173F">
        <w:tc>
          <w:tcPr>
            <w:tcW w:w="1984" w:type="dxa"/>
            <w:tcMar>
              <w:top w:w="80" w:type="dxa"/>
              <w:left w:w="80" w:type="dxa"/>
              <w:bottom w:w="80" w:type="dxa"/>
              <w:right w:w="80" w:type="dxa"/>
            </w:tcMar>
          </w:tcPr>
          <w:p w14:paraId="5A550A93" w14:textId="77777777" w:rsidR="000B48F9" w:rsidRPr="000B48F9" w:rsidRDefault="000B48F9" w:rsidP="00292A53">
            <w:pPr>
              <w:spacing w:after="60"/>
              <w:rPr>
                <w:rFonts w:eastAsia="Calibri" w:cs="Arial"/>
                <w:b/>
                <w:sz w:val="16"/>
                <w:szCs w:val="16"/>
                <w:lang w:eastAsia="en-US"/>
              </w:rPr>
            </w:pPr>
            <w:r w:rsidRPr="000B48F9">
              <w:rPr>
                <w:rFonts w:eastAsia="Calibri" w:cs="Arial"/>
                <w:b/>
                <w:sz w:val="16"/>
                <w:szCs w:val="16"/>
                <w:lang w:eastAsia="en-US"/>
              </w:rPr>
              <w:t>Employers covered by self-insurance (%)</w:t>
            </w:r>
          </w:p>
        </w:tc>
        <w:tc>
          <w:tcPr>
            <w:tcW w:w="1303" w:type="dxa"/>
            <w:tcMar>
              <w:top w:w="80" w:type="dxa"/>
              <w:left w:w="80" w:type="dxa"/>
              <w:bottom w:w="80" w:type="dxa"/>
              <w:right w:w="80" w:type="dxa"/>
            </w:tcMar>
          </w:tcPr>
          <w:p w14:paraId="0B8393E1" w14:textId="6C76B56F"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N/A</w:t>
            </w:r>
          </w:p>
        </w:tc>
        <w:tc>
          <w:tcPr>
            <w:tcW w:w="1303" w:type="dxa"/>
            <w:tcMar>
              <w:top w:w="80" w:type="dxa"/>
              <w:left w:w="80" w:type="dxa"/>
              <w:bottom w:w="80" w:type="dxa"/>
              <w:right w:w="80" w:type="dxa"/>
            </w:tcMar>
          </w:tcPr>
          <w:p w14:paraId="51CCD67C" w14:textId="156D3A0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0.14</w:t>
            </w:r>
            <w:r w:rsidR="005C7179" w:rsidRPr="00A71D21">
              <w:rPr>
                <w:rFonts w:cs="Arial"/>
                <w:color w:val="000000"/>
                <w:sz w:val="14"/>
                <w:szCs w:val="16"/>
                <w:vertAlign w:val="superscript"/>
                <w:lang w:val="en-GB"/>
              </w:rPr>
              <w:t>4</w:t>
            </w:r>
          </w:p>
        </w:tc>
        <w:tc>
          <w:tcPr>
            <w:tcW w:w="1303" w:type="dxa"/>
            <w:tcMar>
              <w:top w:w="80" w:type="dxa"/>
              <w:left w:w="80" w:type="dxa"/>
              <w:bottom w:w="80" w:type="dxa"/>
              <w:right w:w="80" w:type="dxa"/>
            </w:tcMar>
          </w:tcPr>
          <w:p w14:paraId="3A4D3248" w14:textId="25F1820F"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0.2 (approx)</w:t>
            </w:r>
          </w:p>
        </w:tc>
        <w:tc>
          <w:tcPr>
            <w:tcW w:w="1303" w:type="dxa"/>
            <w:tcMar>
              <w:top w:w="80" w:type="dxa"/>
              <w:left w:w="80" w:type="dxa"/>
              <w:bottom w:w="80" w:type="dxa"/>
              <w:right w:w="80" w:type="dxa"/>
            </w:tcMar>
          </w:tcPr>
          <w:p w14:paraId="3E8EC8D3"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w:t>
            </w:r>
          </w:p>
        </w:tc>
        <w:tc>
          <w:tcPr>
            <w:tcW w:w="1303" w:type="dxa"/>
            <w:tcMar>
              <w:top w:w="80" w:type="dxa"/>
              <w:left w:w="80" w:type="dxa"/>
              <w:bottom w:w="80" w:type="dxa"/>
              <w:right w:w="80" w:type="dxa"/>
            </w:tcMar>
          </w:tcPr>
          <w:p w14:paraId="06BB2A3C" w14:textId="3D1730F9"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N/A</w:t>
            </w:r>
          </w:p>
        </w:tc>
        <w:tc>
          <w:tcPr>
            <w:tcW w:w="1303" w:type="dxa"/>
            <w:tcMar>
              <w:top w:w="80" w:type="dxa"/>
              <w:left w:w="80" w:type="dxa"/>
              <w:bottom w:w="80" w:type="dxa"/>
              <w:right w:w="80" w:type="dxa"/>
            </w:tcMar>
          </w:tcPr>
          <w:p w14:paraId="555002A2" w14:textId="3DBE8AC9"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N/A</w:t>
            </w:r>
          </w:p>
        </w:tc>
        <w:tc>
          <w:tcPr>
            <w:tcW w:w="1303" w:type="dxa"/>
            <w:tcMar>
              <w:top w:w="80" w:type="dxa"/>
              <w:left w:w="80" w:type="dxa"/>
              <w:bottom w:w="80" w:type="dxa"/>
              <w:right w:w="80" w:type="dxa"/>
            </w:tcMar>
          </w:tcPr>
          <w:p w14:paraId="7981DB96" w14:textId="211B639B"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N/A</w:t>
            </w:r>
          </w:p>
        </w:tc>
        <w:tc>
          <w:tcPr>
            <w:tcW w:w="1303" w:type="dxa"/>
            <w:tcMar>
              <w:top w:w="80" w:type="dxa"/>
              <w:left w:w="80" w:type="dxa"/>
              <w:bottom w:w="80" w:type="dxa"/>
              <w:right w:w="80" w:type="dxa"/>
            </w:tcMar>
          </w:tcPr>
          <w:p w14:paraId="05D2086D" w14:textId="77777777" w:rsidR="000B48F9" w:rsidRPr="000B48F9" w:rsidRDefault="000B48F9" w:rsidP="00292A53">
            <w:pPr>
              <w:spacing w:after="60"/>
              <w:rPr>
                <w:rFonts w:cs="Arial"/>
                <w:color w:val="000000"/>
                <w:sz w:val="14"/>
                <w:szCs w:val="16"/>
                <w:lang w:val="en-GB"/>
              </w:rPr>
            </w:pPr>
            <w:r w:rsidRPr="000B48F9">
              <w:rPr>
                <w:rFonts w:cs="Arial"/>
                <w:color w:val="000000"/>
                <w:sz w:val="14"/>
                <w:szCs w:val="16"/>
                <w:lang w:val="en-GB"/>
              </w:rPr>
              <w:t>&lt;1</w:t>
            </w:r>
          </w:p>
        </w:tc>
        <w:tc>
          <w:tcPr>
            <w:tcW w:w="1303" w:type="dxa"/>
            <w:tcMar>
              <w:top w:w="80" w:type="dxa"/>
              <w:left w:w="80" w:type="dxa"/>
              <w:bottom w:w="80" w:type="dxa"/>
              <w:right w:w="80" w:type="dxa"/>
            </w:tcMar>
          </w:tcPr>
          <w:p w14:paraId="6599E5AF" w14:textId="5509716A" w:rsidR="000B48F9" w:rsidRPr="000B48F9" w:rsidRDefault="000B48F9" w:rsidP="005348D7">
            <w:pPr>
              <w:spacing w:after="60"/>
              <w:rPr>
                <w:rFonts w:cs="Arial"/>
                <w:color w:val="000000"/>
                <w:sz w:val="14"/>
                <w:szCs w:val="16"/>
                <w:lang w:val="en-GB"/>
              </w:rPr>
            </w:pPr>
            <w:r w:rsidRPr="000B48F9">
              <w:rPr>
                <w:rFonts w:cs="Arial"/>
                <w:color w:val="000000"/>
                <w:sz w:val="14"/>
                <w:szCs w:val="16"/>
                <w:lang w:val="en-GB"/>
              </w:rPr>
              <w:t>17.</w:t>
            </w:r>
            <w:r w:rsidR="005348D7">
              <w:rPr>
                <w:rFonts w:cs="Arial"/>
                <w:color w:val="000000"/>
                <w:sz w:val="14"/>
                <w:szCs w:val="16"/>
                <w:lang w:val="en-GB"/>
              </w:rPr>
              <w:t>2</w:t>
            </w:r>
            <w:r w:rsidR="005348D7" w:rsidRPr="000B48F9">
              <w:rPr>
                <w:rFonts w:cs="Arial"/>
                <w:color w:val="000000"/>
                <w:sz w:val="14"/>
                <w:szCs w:val="16"/>
                <w:lang w:val="en-GB"/>
              </w:rPr>
              <w:t xml:space="preserve"> </w:t>
            </w:r>
            <w:r w:rsidR="0014264B">
              <w:rPr>
                <w:rFonts w:cs="Arial"/>
                <w:color w:val="000000"/>
                <w:sz w:val="14"/>
                <w:szCs w:val="16"/>
                <w:lang w:val="en-GB"/>
              </w:rPr>
              <w:br/>
            </w:r>
            <w:r w:rsidRPr="000B48F9">
              <w:rPr>
                <w:rFonts w:cs="Arial"/>
                <w:color w:val="000000"/>
                <w:sz w:val="14"/>
                <w:szCs w:val="16"/>
                <w:lang w:val="en-GB"/>
              </w:rPr>
              <w:t xml:space="preserve">(of employers as at </w:t>
            </w:r>
            <w:r w:rsidR="005348D7">
              <w:rPr>
                <w:rFonts w:cs="Arial"/>
                <w:color w:val="000000"/>
                <w:sz w:val="14"/>
                <w:szCs w:val="16"/>
                <w:lang w:val="en-GB"/>
              </w:rPr>
              <w:t>25 July 2017</w:t>
            </w:r>
            <w:r w:rsidRPr="000B48F9">
              <w:rPr>
                <w:rFonts w:cs="Arial"/>
                <w:color w:val="000000"/>
                <w:sz w:val="14"/>
                <w:szCs w:val="16"/>
                <w:lang w:val="en-GB"/>
              </w:rPr>
              <w:t>)</w:t>
            </w:r>
          </w:p>
        </w:tc>
        <w:tc>
          <w:tcPr>
            <w:tcW w:w="1304" w:type="dxa"/>
            <w:tcMar>
              <w:top w:w="80" w:type="dxa"/>
              <w:left w:w="80" w:type="dxa"/>
              <w:bottom w:w="80" w:type="dxa"/>
              <w:right w:w="80" w:type="dxa"/>
            </w:tcMar>
          </w:tcPr>
          <w:p w14:paraId="5C0D4B3B" w14:textId="51C7D69D" w:rsidR="000B48F9" w:rsidRPr="000B48F9" w:rsidRDefault="007E7640" w:rsidP="00292A53">
            <w:pPr>
              <w:spacing w:after="60"/>
              <w:rPr>
                <w:rFonts w:cs="Arial"/>
                <w:color w:val="000000"/>
                <w:sz w:val="14"/>
                <w:szCs w:val="16"/>
                <w:lang w:val="en-GB"/>
              </w:rPr>
            </w:pPr>
            <w:r>
              <w:rPr>
                <w:rFonts w:cs="Arial"/>
                <w:color w:val="000000"/>
                <w:sz w:val="14"/>
                <w:szCs w:val="16"/>
                <w:lang w:val="en-GB"/>
              </w:rPr>
              <w:t>&lt;1</w:t>
            </w:r>
          </w:p>
        </w:tc>
      </w:tr>
    </w:tbl>
    <w:p w14:paraId="65AF680D" w14:textId="77777777"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The figures in this table aim to give the reader an indication of the number of self-insurers in each scheme. For exact details on self-insurance statistics, readers should contact the relevant jurisdictional authority.</w:t>
      </w:r>
    </w:p>
    <w:p w14:paraId="14B60D39" w14:textId="014E1E80"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Includes number of employees covered by self and specialised insurer workers’ compensation arrangements. Includes government employees covered by the Treasury Managed Fund</w:t>
      </w:r>
      <w:r w:rsidR="00AE6838" w:rsidRPr="00CA27AD">
        <w:rPr>
          <w:rFonts w:eastAsia="Calibri"/>
          <w:sz w:val="16"/>
          <w:lang w:eastAsia="en-US"/>
        </w:rPr>
        <w:fldChar w:fldCharType="begin"/>
      </w:r>
      <w:r w:rsidR="00AE6838" w:rsidRPr="00CA27AD">
        <w:rPr>
          <w:sz w:val="16"/>
        </w:rPr>
        <w:instrText xml:space="preserve"> XE "</w:instrText>
      </w:r>
      <w:r w:rsidR="00AE6838" w:rsidRPr="00CA27AD">
        <w:rPr>
          <w:color w:val="000000"/>
          <w:sz w:val="16"/>
          <w:szCs w:val="16"/>
          <w:lang w:val="en-GB"/>
        </w:rPr>
        <w:instrText>Treasury Managed Fund (NSW)</w:instrText>
      </w:r>
      <w:r w:rsidR="00AE6838" w:rsidRPr="00CA27AD">
        <w:rPr>
          <w:sz w:val="16"/>
        </w:rPr>
        <w:instrText xml:space="preserve">" </w:instrText>
      </w:r>
      <w:r w:rsidR="00AE6838" w:rsidRPr="00CA27AD">
        <w:rPr>
          <w:rFonts w:eastAsia="Calibri"/>
          <w:sz w:val="16"/>
          <w:lang w:eastAsia="en-US"/>
        </w:rPr>
        <w:fldChar w:fldCharType="end"/>
      </w:r>
      <w:r w:rsidRPr="00CA27AD">
        <w:rPr>
          <w:rFonts w:eastAsia="Calibri"/>
          <w:sz w:val="16"/>
          <w:lang w:eastAsia="en-US"/>
        </w:rPr>
        <w:t xml:space="preserve"> administered by the NSW </w:t>
      </w:r>
      <w:r w:rsidR="00E43A0F">
        <w:rPr>
          <w:rFonts w:eastAsia="Calibri"/>
          <w:sz w:val="16"/>
          <w:lang w:eastAsia="en-US"/>
        </w:rPr>
        <w:t>Self-insurance</w:t>
      </w:r>
      <w:r w:rsidRPr="00CA27AD">
        <w:rPr>
          <w:rFonts w:eastAsia="Calibri"/>
          <w:sz w:val="16"/>
          <w:lang w:eastAsia="en-US"/>
        </w:rPr>
        <w:t xml:space="preserve"> Corporation.</w:t>
      </w:r>
    </w:p>
    <w:p w14:paraId="0F132542" w14:textId="40655A1B"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 xml:space="preserve">For Victoria this figure does not include the self-insured employee numbers. The figure provided is the total FTEs of all self-insurers as at 30 June </w:t>
      </w:r>
      <w:r w:rsidR="000A7038">
        <w:rPr>
          <w:rFonts w:eastAsia="Calibri"/>
          <w:sz w:val="16"/>
          <w:lang w:eastAsia="en-US"/>
        </w:rPr>
        <w:t>2017</w:t>
      </w:r>
      <w:r w:rsidRPr="00CA27AD">
        <w:rPr>
          <w:rFonts w:eastAsia="Calibri"/>
          <w:sz w:val="16"/>
          <w:lang w:eastAsia="en-US"/>
        </w:rPr>
        <w:t>.</w:t>
      </w:r>
    </w:p>
    <w:p w14:paraId="70B86DB7" w14:textId="7CE4BA9C"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Self-insurers represent 7.</w:t>
      </w:r>
      <w:r w:rsidR="000A7038">
        <w:rPr>
          <w:rFonts w:eastAsia="Calibri"/>
          <w:sz w:val="16"/>
          <w:lang w:eastAsia="en-US"/>
        </w:rPr>
        <w:t>7</w:t>
      </w:r>
      <w:r w:rsidRPr="00CA27AD">
        <w:rPr>
          <w:rFonts w:eastAsia="Calibri"/>
          <w:sz w:val="16"/>
          <w:lang w:eastAsia="en-US"/>
        </w:rPr>
        <w:t>% of the Victorian scheme by remuneration. Although there are a relatively small number of self-insured bodies corporate, they represent some of the largest companies in Victoria. The two biggest</w:t>
      </w:r>
      <w:r w:rsidR="00CA27AD">
        <w:rPr>
          <w:rFonts w:eastAsia="Calibri"/>
          <w:sz w:val="16"/>
          <w:lang w:eastAsia="en-US"/>
        </w:rPr>
        <w:t xml:space="preserve"> </w:t>
      </w:r>
      <w:r w:rsidRPr="00CA27AD">
        <w:rPr>
          <w:rFonts w:eastAsia="Calibri"/>
          <w:sz w:val="16"/>
          <w:lang w:eastAsia="en-US"/>
        </w:rPr>
        <w:t xml:space="preserve">self-insurers, in terms of employee numbers, are Wesfarmers </w:t>
      </w:r>
      <w:r w:rsidR="000A7038">
        <w:rPr>
          <w:rFonts w:eastAsia="Calibri"/>
          <w:sz w:val="16"/>
          <w:lang w:eastAsia="en-US"/>
        </w:rPr>
        <w:t xml:space="preserve">Limited </w:t>
      </w:r>
      <w:r w:rsidRPr="00CA27AD">
        <w:rPr>
          <w:rFonts w:eastAsia="Calibri"/>
          <w:sz w:val="16"/>
          <w:lang w:eastAsia="en-US"/>
        </w:rPr>
        <w:t>and Woolworths</w:t>
      </w:r>
      <w:r w:rsidR="000A7038">
        <w:rPr>
          <w:rFonts w:eastAsia="Calibri"/>
          <w:sz w:val="16"/>
          <w:lang w:eastAsia="en-US"/>
        </w:rPr>
        <w:t xml:space="preserve"> Group Limited</w:t>
      </w:r>
      <w:r w:rsidRPr="00CA27AD">
        <w:rPr>
          <w:rFonts w:eastAsia="Calibri"/>
          <w:sz w:val="16"/>
          <w:lang w:eastAsia="en-US"/>
        </w:rPr>
        <w:t>.</w:t>
      </w:r>
    </w:p>
    <w:p w14:paraId="472BE6CC" w14:textId="77777777"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 xml:space="preserve">Contractors working for the Commonwealth will be recorded against their State of usual residence and hence all employed persons are recorded as being covered by workers’ compensation, again in these figures there is an inherent potential degree of inaccuracy. </w:t>
      </w:r>
    </w:p>
    <w:p w14:paraId="1A675BB3" w14:textId="028C52A6" w:rsidR="00C66972" w:rsidRPr="00CA27AD" w:rsidRDefault="000B48F9" w:rsidP="00F839DB">
      <w:pPr>
        <w:pStyle w:val="ListParagraph"/>
        <w:numPr>
          <w:ilvl w:val="0"/>
          <w:numId w:val="530"/>
        </w:numPr>
        <w:rPr>
          <w:rFonts w:eastAsia="Calibri"/>
          <w:sz w:val="16"/>
          <w:lang w:eastAsia="en-US"/>
        </w:rPr>
      </w:pPr>
      <w:r w:rsidRPr="00CA27AD">
        <w:rPr>
          <w:rFonts w:eastAsia="Calibri"/>
          <w:sz w:val="16"/>
          <w:lang w:eastAsia="en-US"/>
        </w:rPr>
        <w:t xml:space="preserve">For New Zealand this figure includes self-insurers and self-employed persons who are covered by the Scheme. </w:t>
      </w:r>
    </w:p>
    <w:p w14:paraId="0A359BE0" w14:textId="687F8B55" w:rsidR="00A86AF8" w:rsidRPr="00205CCE" w:rsidRDefault="00A86AF8" w:rsidP="00205CCE">
      <w:pPr>
        <w:pStyle w:val="SWATableheader"/>
      </w:pPr>
      <w:bookmarkStart w:id="190" w:name="_Toc504654704"/>
      <w:r w:rsidRPr="00205CCE">
        <w:lastRenderedPageBreak/>
        <w:t>Table 6.2: Criteria for becoming a self-insurer</w:t>
      </w:r>
      <w:bookmarkEnd w:id="190"/>
      <w:r w:rsidRPr="00205CCE">
        <w:t xml:space="preserve"> </w:t>
      </w:r>
      <w:r w:rsidR="000B568E" w:rsidRPr="00205CCE">
        <w:fldChar w:fldCharType="begin"/>
      </w:r>
      <w:r w:rsidR="000B568E" w:rsidRPr="00205CCE">
        <w:instrText xml:space="preserve"> XE "self-insurer arrangements:criteria" \r "criteria" </w:instrText>
      </w:r>
      <w:r w:rsidR="000B568E" w:rsidRPr="00205CCE">
        <w:fldChar w:fldCharType="end"/>
      </w:r>
    </w:p>
    <w:tbl>
      <w:tblPr>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2: Criteria for becoming a self-insurer"/>
        <w:tblDescription w:val="This table outlines the criteria for being a self-insurer under each of the workers' compensation schemes. "/>
      </w:tblPr>
      <w:tblGrid>
        <w:gridCol w:w="1276"/>
        <w:gridCol w:w="2551"/>
        <w:gridCol w:w="11064"/>
      </w:tblGrid>
      <w:tr w:rsidR="00A86AF8" w:rsidRPr="00A86AF8" w14:paraId="4141C661" w14:textId="77777777" w:rsidTr="00B2173F">
        <w:trPr>
          <w:tblHeader/>
        </w:trPr>
        <w:tc>
          <w:tcPr>
            <w:tcW w:w="1276" w:type="dxa"/>
            <w:shd w:val="clear" w:color="auto" w:fill="C00000"/>
            <w:tcMar>
              <w:top w:w="0" w:type="dxa"/>
              <w:left w:w="0" w:type="dxa"/>
              <w:bottom w:w="0" w:type="dxa"/>
              <w:right w:w="0" w:type="dxa"/>
            </w:tcMar>
            <w:vAlign w:val="center"/>
          </w:tcPr>
          <w:p w14:paraId="45A99C8B" w14:textId="77777777" w:rsidR="00A86AF8" w:rsidRPr="00A86AF8" w:rsidRDefault="00A86AF8" w:rsidP="00292A53">
            <w:pPr>
              <w:pStyle w:val="Tableheaderrow"/>
              <w:spacing w:after="60"/>
            </w:pPr>
            <w:bookmarkStart w:id="191" w:name="prudential"/>
            <w:bookmarkStart w:id="192" w:name="criteria"/>
          </w:p>
        </w:tc>
        <w:tc>
          <w:tcPr>
            <w:tcW w:w="2551" w:type="dxa"/>
            <w:shd w:val="clear" w:color="auto" w:fill="C00000"/>
            <w:tcMar>
              <w:top w:w="0" w:type="dxa"/>
              <w:left w:w="0" w:type="dxa"/>
              <w:bottom w:w="0" w:type="dxa"/>
              <w:right w:w="0" w:type="dxa"/>
            </w:tcMar>
            <w:vAlign w:val="center"/>
          </w:tcPr>
          <w:p w14:paraId="16E754DE" w14:textId="122A447A" w:rsidR="00A86AF8" w:rsidRPr="00A86AF8" w:rsidRDefault="00A86AF8" w:rsidP="00292A53">
            <w:pPr>
              <w:pStyle w:val="Tableheaderrow"/>
              <w:spacing w:after="60"/>
            </w:pPr>
            <w:r w:rsidRPr="00A86AF8">
              <w:t>Number of employees</w:t>
            </w:r>
            <w:r w:rsidR="003D18DA">
              <w:fldChar w:fldCharType="begin"/>
            </w:r>
            <w:r w:rsidR="003D18DA">
              <w:instrText xml:space="preserve"> XE "</w:instrText>
            </w:r>
            <w:r w:rsidR="003D18DA" w:rsidRPr="001854C8">
              <w:instrText>prudential requirements (self-insurers)</w:instrText>
            </w:r>
            <w:r w:rsidR="003D18DA">
              <w:instrText xml:space="preserve">" \r "prudential" </w:instrText>
            </w:r>
            <w:r w:rsidR="003D18DA">
              <w:fldChar w:fldCharType="end"/>
            </w:r>
          </w:p>
        </w:tc>
        <w:tc>
          <w:tcPr>
            <w:tcW w:w="11064" w:type="dxa"/>
            <w:shd w:val="clear" w:color="auto" w:fill="C00000"/>
            <w:tcMar>
              <w:top w:w="0" w:type="dxa"/>
              <w:left w:w="0" w:type="dxa"/>
              <w:bottom w:w="0" w:type="dxa"/>
              <w:right w:w="0" w:type="dxa"/>
            </w:tcMar>
            <w:vAlign w:val="center"/>
          </w:tcPr>
          <w:p w14:paraId="43AF905B" w14:textId="701E7E1D" w:rsidR="00A86AF8" w:rsidRPr="00A86AF8" w:rsidRDefault="007364A3" w:rsidP="00292A53">
            <w:pPr>
              <w:pStyle w:val="Tableheaderrow"/>
              <w:spacing w:after="60"/>
            </w:pPr>
            <w:r>
              <w:t>Financial/</w:t>
            </w:r>
            <w:r w:rsidR="00A86AF8" w:rsidRPr="00A86AF8">
              <w:t>prudential requirements</w:t>
            </w:r>
            <w:r w:rsidR="000B568E">
              <w:fldChar w:fldCharType="begin"/>
            </w:r>
            <w:r w:rsidR="000B568E">
              <w:instrText xml:space="preserve"> XE "</w:instrText>
            </w:r>
            <w:r w:rsidR="000B568E" w:rsidRPr="006947ED">
              <w:instrText>self-insurer arrangements standards and:prudential requirements</w:instrText>
            </w:r>
            <w:r w:rsidR="000B568E">
              <w:instrText xml:space="preserve">" \r "prudential" </w:instrText>
            </w:r>
            <w:r w:rsidR="000B568E">
              <w:fldChar w:fldCharType="end"/>
            </w:r>
          </w:p>
        </w:tc>
      </w:tr>
      <w:tr w:rsidR="00A86AF8" w:rsidRPr="00A86AF8" w14:paraId="563B67A3" w14:textId="77777777" w:rsidTr="00B2173F">
        <w:tc>
          <w:tcPr>
            <w:tcW w:w="1276" w:type="dxa"/>
            <w:shd w:val="clear" w:color="auto" w:fill="FFC9C9"/>
            <w:tcMar>
              <w:top w:w="80" w:type="dxa"/>
              <w:left w:w="80" w:type="dxa"/>
              <w:bottom w:w="80" w:type="dxa"/>
              <w:right w:w="80" w:type="dxa"/>
            </w:tcMar>
          </w:tcPr>
          <w:p w14:paraId="1364507B"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New South Wales</w:t>
            </w:r>
          </w:p>
        </w:tc>
        <w:tc>
          <w:tcPr>
            <w:tcW w:w="2551" w:type="dxa"/>
            <w:shd w:val="clear" w:color="auto" w:fill="FFC9C9"/>
            <w:tcMar>
              <w:top w:w="80" w:type="dxa"/>
              <w:left w:w="80" w:type="dxa"/>
              <w:bottom w:w="80" w:type="dxa"/>
              <w:right w:w="80" w:type="dxa"/>
            </w:tcMar>
          </w:tcPr>
          <w:p w14:paraId="4F48BE2F" w14:textId="7C5C0218" w:rsidR="0014264B" w:rsidRDefault="00A86AF8" w:rsidP="00292A53">
            <w:pPr>
              <w:spacing w:after="60"/>
              <w:rPr>
                <w:rFonts w:cs="Arial"/>
                <w:color w:val="000000"/>
                <w:sz w:val="14"/>
                <w:szCs w:val="16"/>
                <w:lang w:val="en-GB"/>
              </w:rPr>
            </w:pPr>
            <w:r w:rsidRPr="00A86AF8">
              <w:rPr>
                <w:rFonts w:cs="Arial"/>
                <w:color w:val="000000"/>
                <w:sz w:val="14"/>
                <w:szCs w:val="16"/>
                <w:lang w:val="en-GB"/>
              </w:rPr>
              <w:t>500 permanent staff inc</w:t>
            </w:r>
            <w:r w:rsidR="0014264B">
              <w:rPr>
                <w:rFonts w:cs="Arial"/>
                <w:color w:val="000000"/>
                <w:sz w:val="14"/>
                <w:szCs w:val="16"/>
                <w:lang w:val="en-GB"/>
              </w:rPr>
              <w:t>luding full-time and part-time</w:t>
            </w:r>
          </w:p>
          <w:p w14:paraId="0A703EFA" w14:textId="5267DDA4" w:rsidR="00A86AF8" w:rsidRPr="00A86AF8" w:rsidRDefault="00A86AF8" w:rsidP="00D7029F">
            <w:pPr>
              <w:spacing w:after="60"/>
              <w:rPr>
                <w:rFonts w:cs="Arial"/>
                <w:color w:val="000000"/>
                <w:sz w:val="14"/>
                <w:szCs w:val="16"/>
                <w:lang w:val="en-GB"/>
              </w:rPr>
            </w:pPr>
            <w:r w:rsidRPr="00A86AF8">
              <w:rPr>
                <w:rFonts w:cs="Arial"/>
                <w:color w:val="000000"/>
                <w:sz w:val="14"/>
                <w:szCs w:val="16"/>
                <w:lang w:val="en-GB"/>
              </w:rPr>
              <w:t>SIRA may use its discretion to grant a licence to an employer which does not meet this requirement if such an employer</w:t>
            </w:r>
            <w:r w:rsidR="00D7029F">
              <w:rPr>
                <w:rFonts w:cs="Arial"/>
                <w:color w:val="000000"/>
                <w:sz w:val="14"/>
                <w:szCs w:val="16"/>
                <w:lang w:val="en-GB"/>
              </w:rPr>
              <w:t xml:space="preserve"> can demonstrate its ability to meet the application requirements</w:t>
            </w:r>
            <w:r w:rsidRPr="00A86AF8">
              <w:rPr>
                <w:rFonts w:cs="Arial"/>
                <w:color w:val="000000"/>
                <w:sz w:val="14"/>
                <w:szCs w:val="16"/>
                <w:lang w:val="en-GB"/>
              </w:rPr>
              <w:t>.</w:t>
            </w:r>
          </w:p>
        </w:tc>
        <w:tc>
          <w:tcPr>
            <w:tcW w:w="11064" w:type="dxa"/>
            <w:shd w:val="clear" w:color="auto" w:fill="FFC9C9"/>
            <w:tcMar>
              <w:top w:w="80" w:type="dxa"/>
              <w:left w:w="80" w:type="dxa"/>
              <w:bottom w:w="80" w:type="dxa"/>
              <w:right w:w="80" w:type="dxa"/>
            </w:tcMar>
          </w:tcPr>
          <w:p w14:paraId="0F2CAA74" w14:textId="08F9A8EA" w:rsidR="00F81142" w:rsidRPr="00F81142" w:rsidRDefault="003150A4" w:rsidP="00292A53">
            <w:pPr>
              <w:spacing w:after="60"/>
              <w:rPr>
                <w:rFonts w:cs="Arial"/>
                <w:color w:val="000000"/>
                <w:sz w:val="14"/>
                <w:szCs w:val="16"/>
                <w:lang w:val="en-GB"/>
              </w:rPr>
            </w:pPr>
            <w:r w:rsidRPr="00016069">
              <w:rPr>
                <w:i/>
                <w:sz w:val="14"/>
              </w:rPr>
              <w:t>Workers Compensation Act 1987</w:t>
            </w:r>
            <w:r w:rsidR="0014264B">
              <w:rPr>
                <w:rFonts w:cs="Arial"/>
                <w:color w:val="000000"/>
                <w:sz w:val="14"/>
                <w:szCs w:val="16"/>
                <w:lang w:val="en-GB"/>
              </w:rPr>
              <w:t xml:space="preserve">, </w:t>
            </w:r>
            <w:hyperlink r:id="rId1990" w:history="1">
              <w:r w:rsidR="0014264B" w:rsidRPr="003150A4">
                <w:rPr>
                  <w:rStyle w:val="Hyperlink"/>
                  <w:rFonts w:cs="Arial"/>
                  <w:sz w:val="14"/>
                  <w:szCs w:val="16"/>
                  <w:lang w:val="en-GB"/>
                </w:rPr>
                <w:t>Part 7</w:t>
              </w:r>
            </w:hyperlink>
            <w:r w:rsidR="0014264B">
              <w:rPr>
                <w:rFonts w:cs="Arial"/>
                <w:color w:val="000000"/>
                <w:sz w:val="14"/>
                <w:szCs w:val="16"/>
                <w:lang w:val="en-GB"/>
              </w:rPr>
              <w:t>, Div 5</w:t>
            </w:r>
          </w:p>
          <w:p w14:paraId="1D97739F" w14:textId="57877397" w:rsidR="00A86AF8" w:rsidRPr="00A86AF8" w:rsidRDefault="00D7029F" w:rsidP="00D7029F">
            <w:pPr>
              <w:spacing w:after="60"/>
              <w:rPr>
                <w:rFonts w:cs="Arial"/>
                <w:color w:val="000000"/>
                <w:sz w:val="14"/>
                <w:szCs w:val="16"/>
                <w:lang w:val="en-GB"/>
              </w:rPr>
            </w:pPr>
            <w:r>
              <w:rPr>
                <w:rFonts w:cs="Arial"/>
                <w:color w:val="000000"/>
                <w:sz w:val="14"/>
                <w:szCs w:val="16"/>
                <w:lang w:val="en-GB"/>
              </w:rPr>
              <w:t>S</w:t>
            </w:r>
            <w:r w:rsidR="00F81142" w:rsidRPr="00F81142">
              <w:rPr>
                <w:rFonts w:cs="Arial"/>
                <w:color w:val="000000"/>
                <w:sz w:val="14"/>
                <w:szCs w:val="16"/>
                <w:lang w:val="en-GB"/>
              </w:rPr>
              <w:t>elf-insurer</w:t>
            </w:r>
            <w:r>
              <w:rPr>
                <w:rFonts w:cs="Arial"/>
                <w:color w:val="000000"/>
                <w:sz w:val="14"/>
                <w:szCs w:val="16"/>
                <w:lang w:val="en-GB"/>
              </w:rPr>
              <w:t>s</w:t>
            </w:r>
            <w:r w:rsidR="00F81142" w:rsidRPr="00F81142">
              <w:rPr>
                <w:rFonts w:cs="Arial"/>
                <w:color w:val="000000"/>
                <w:sz w:val="14"/>
                <w:szCs w:val="16"/>
                <w:lang w:val="en-GB"/>
              </w:rPr>
              <w:t xml:space="preserve"> must</w:t>
            </w:r>
            <w:r>
              <w:rPr>
                <w:rFonts w:cs="Arial"/>
                <w:color w:val="000000"/>
                <w:sz w:val="14"/>
                <w:szCs w:val="16"/>
                <w:lang w:val="en-GB"/>
              </w:rPr>
              <w:t xml:space="preserve"> demonstrate ongoing financial viability and strength to undertake their obligations to comply with requirements of the workers compensation legislation. Self-insurers need to demonstrate that they</w:t>
            </w:r>
            <w:r w:rsidR="00F81142" w:rsidRPr="00F81142">
              <w:rPr>
                <w:rFonts w:cs="Arial"/>
                <w:color w:val="000000"/>
                <w:sz w:val="14"/>
                <w:szCs w:val="16"/>
                <w:lang w:val="en-GB"/>
              </w:rPr>
              <w:t xml:space="preserve"> have sufficient financial resources to</w:t>
            </w:r>
            <w:r>
              <w:rPr>
                <w:rFonts w:cs="Arial"/>
                <w:color w:val="000000"/>
                <w:sz w:val="14"/>
                <w:szCs w:val="16"/>
                <w:lang w:val="en-GB"/>
              </w:rPr>
              <w:t xml:space="preserve"> cover their financial obligations, and be of sufficient size to provide the necessary security to mitigate the risk of insolvency.</w:t>
            </w:r>
          </w:p>
        </w:tc>
      </w:tr>
      <w:tr w:rsidR="00A86AF8" w:rsidRPr="00A86AF8" w14:paraId="73A11A74" w14:textId="77777777" w:rsidTr="00B2173F">
        <w:tc>
          <w:tcPr>
            <w:tcW w:w="1276" w:type="dxa"/>
            <w:tcMar>
              <w:top w:w="80" w:type="dxa"/>
              <w:left w:w="80" w:type="dxa"/>
              <w:bottom w:w="80" w:type="dxa"/>
              <w:right w:w="80" w:type="dxa"/>
            </w:tcMar>
          </w:tcPr>
          <w:p w14:paraId="4003BFFE"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Victoria</w:t>
            </w:r>
          </w:p>
        </w:tc>
        <w:tc>
          <w:tcPr>
            <w:tcW w:w="2551" w:type="dxa"/>
            <w:tcMar>
              <w:top w:w="80" w:type="dxa"/>
              <w:left w:w="80" w:type="dxa"/>
              <w:bottom w:w="80" w:type="dxa"/>
              <w:right w:w="80" w:type="dxa"/>
            </w:tcMar>
          </w:tcPr>
          <w:p w14:paraId="6AE93CB3" w14:textId="678A2A33"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N/A</w:t>
            </w:r>
          </w:p>
        </w:tc>
        <w:tc>
          <w:tcPr>
            <w:tcW w:w="11064" w:type="dxa"/>
            <w:tcMar>
              <w:top w:w="80" w:type="dxa"/>
              <w:left w:w="80" w:type="dxa"/>
              <w:bottom w:w="80" w:type="dxa"/>
              <w:right w:w="80" w:type="dxa"/>
            </w:tcMar>
          </w:tcPr>
          <w:p w14:paraId="10CA9F88" w14:textId="0D1CFCD2" w:rsidR="00A86AF8" w:rsidRPr="00A86AF8" w:rsidRDefault="00A7538C" w:rsidP="00292A53">
            <w:pPr>
              <w:spacing w:after="60"/>
              <w:rPr>
                <w:rFonts w:cs="Arial"/>
                <w:color w:val="000000"/>
                <w:sz w:val="14"/>
                <w:szCs w:val="16"/>
                <w:lang w:val="en-GB"/>
              </w:rPr>
            </w:pPr>
            <w:hyperlink r:id="rId1991" w:history="1">
              <w:r w:rsidR="00A86AF8" w:rsidRPr="003150A4">
                <w:rPr>
                  <w:rStyle w:val="Hyperlink"/>
                  <w:rFonts w:cs="Arial"/>
                  <w:sz w:val="14"/>
                  <w:szCs w:val="16"/>
                  <w:lang w:val="en-GB"/>
                </w:rPr>
                <w:t>s379(4)(a)</w:t>
              </w:r>
            </w:hyperlink>
            <w:r w:rsidR="00A86AF8" w:rsidRPr="00A86AF8">
              <w:rPr>
                <w:rFonts w:cs="Arial"/>
                <w:color w:val="000000"/>
                <w:sz w:val="14"/>
                <w:szCs w:val="16"/>
                <w:lang w:val="en-GB"/>
              </w:rPr>
              <w:t xml:space="preserve"> —</w:t>
            </w:r>
            <w:r w:rsidR="00DD0D68">
              <w:rPr>
                <w:rFonts w:cs="Arial"/>
                <w:color w:val="000000"/>
                <w:sz w:val="14"/>
                <w:szCs w:val="16"/>
                <w:lang w:val="en-GB"/>
              </w:rPr>
              <w:t xml:space="preserve"> </w:t>
            </w:r>
            <w:r w:rsidR="00A86AF8" w:rsidRPr="00E43A0F">
              <w:rPr>
                <w:rFonts w:cs="Arial"/>
                <w:i/>
                <w:color w:val="000000"/>
                <w:sz w:val="14"/>
                <w:szCs w:val="16"/>
                <w:lang w:val="en-GB"/>
              </w:rPr>
              <w:t>Workplace Injury Rehabilitation and Compensation Act 2013</w:t>
            </w:r>
            <w:r w:rsidR="00A86AF8" w:rsidRPr="00A86AF8">
              <w:rPr>
                <w:rFonts w:cs="Arial"/>
                <w:color w:val="000000"/>
                <w:sz w:val="14"/>
                <w:szCs w:val="16"/>
                <w:lang w:val="en-GB"/>
              </w:rPr>
              <w:t xml:space="preserve"> (WIRC Act). Consideration given to both primary and secondary financial indicators and associated benchmarks dependent on industry sector, i.e. Manufacturing, Finance, Retail, Transport and Other (Public/Non-Public). </w:t>
            </w:r>
          </w:p>
          <w:p w14:paraId="4856EBAA" w14:textId="61483C78"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Primary financial indicators and benchmarks: Balance Sheet Test (1.0</w:t>
            </w:r>
            <w:r w:rsidR="00A71D21">
              <w:rPr>
                <w:rFonts w:cs="Arial"/>
                <w:color w:val="000000"/>
                <w:sz w:val="14"/>
                <w:szCs w:val="16"/>
                <w:lang w:val="en-GB"/>
              </w:rPr>
              <w:t>–</w:t>
            </w:r>
            <w:r w:rsidRPr="00A86AF8">
              <w:rPr>
                <w:rFonts w:cs="Arial"/>
                <w:color w:val="000000"/>
                <w:sz w:val="14"/>
                <w:szCs w:val="16"/>
                <w:lang w:val="en-GB"/>
              </w:rPr>
              <w:t>1.5), Current Liquidity (0.8–1.2),</w:t>
            </w:r>
            <w:r w:rsidR="00DD0D68">
              <w:rPr>
                <w:rFonts w:cs="Arial"/>
                <w:color w:val="000000"/>
                <w:sz w:val="14"/>
                <w:szCs w:val="16"/>
                <w:lang w:val="en-GB"/>
              </w:rPr>
              <w:t xml:space="preserve"> </w:t>
            </w:r>
            <w:r w:rsidRPr="00A86AF8">
              <w:rPr>
                <w:rFonts w:cs="Arial"/>
                <w:color w:val="000000"/>
                <w:sz w:val="14"/>
                <w:szCs w:val="16"/>
                <w:lang w:val="en-GB"/>
              </w:rPr>
              <w:t>Claims Liability (4.0%), Interest Coverage (2.0–3.0), Gearing Ratio (55–60%), Cash Flow Margin (3.0</w:t>
            </w:r>
            <w:r w:rsidR="00A71D21">
              <w:rPr>
                <w:rFonts w:cs="Arial"/>
                <w:color w:val="000000"/>
                <w:sz w:val="14"/>
                <w:szCs w:val="16"/>
                <w:lang w:val="en-GB"/>
              </w:rPr>
              <w:t>–</w:t>
            </w:r>
            <w:r w:rsidRPr="00A86AF8">
              <w:rPr>
                <w:rFonts w:cs="Arial"/>
                <w:color w:val="000000"/>
                <w:sz w:val="14"/>
                <w:szCs w:val="16"/>
                <w:lang w:val="en-GB"/>
              </w:rPr>
              <w:t xml:space="preserve">6.7%), Bad Debt Ratio (2.0%), Excess Capital (10.0%). </w:t>
            </w:r>
          </w:p>
          <w:p w14:paraId="499BA8A2" w14:textId="3FBFFB54" w:rsidR="00A86AF8" w:rsidRPr="00A86AF8" w:rsidRDefault="00A86AF8" w:rsidP="00A71D21">
            <w:pPr>
              <w:spacing w:after="60"/>
              <w:rPr>
                <w:rFonts w:cs="Arial"/>
                <w:color w:val="000000"/>
                <w:sz w:val="14"/>
                <w:szCs w:val="16"/>
                <w:lang w:val="en-GB"/>
              </w:rPr>
            </w:pPr>
            <w:r w:rsidRPr="00A86AF8">
              <w:rPr>
                <w:rFonts w:cs="Arial"/>
                <w:color w:val="000000"/>
                <w:sz w:val="14"/>
                <w:szCs w:val="16"/>
                <w:lang w:val="en-GB"/>
              </w:rPr>
              <w:t>Secondary financial indicators and benchmarks: Return on Investment (5.0-10.0%), Profit Margin (pre-tax) (1.4</w:t>
            </w:r>
            <w:r w:rsidR="00A71D21">
              <w:rPr>
                <w:rFonts w:cs="Arial"/>
                <w:color w:val="000000"/>
                <w:sz w:val="14"/>
                <w:szCs w:val="16"/>
                <w:lang w:val="en-GB"/>
              </w:rPr>
              <w:t>–</w:t>
            </w:r>
            <w:r w:rsidRPr="00A86AF8">
              <w:rPr>
                <w:rFonts w:cs="Arial"/>
                <w:color w:val="000000"/>
                <w:sz w:val="14"/>
                <w:szCs w:val="16"/>
                <w:lang w:val="en-GB"/>
              </w:rPr>
              <w:t>4.9%), Quick Liquidity (0.5</w:t>
            </w:r>
            <w:r w:rsidR="00A71D21">
              <w:rPr>
                <w:rFonts w:cs="Arial"/>
                <w:color w:val="000000"/>
                <w:sz w:val="14"/>
                <w:szCs w:val="16"/>
                <w:lang w:val="en-GB"/>
              </w:rPr>
              <w:t>–</w:t>
            </w:r>
            <w:r w:rsidRPr="00A86AF8">
              <w:rPr>
                <w:rFonts w:cs="Arial"/>
                <w:color w:val="000000"/>
                <w:sz w:val="14"/>
                <w:szCs w:val="16"/>
                <w:lang w:val="en-GB"/>
              </w:rPr>
              <w:t>0.8%), Stock Turnover (5.0</w:t>
            </w:r>
            <w:r w:rsidR="00A71D21">
              <w:rPr>
                <w:rFonts w:cs="Arial"/>
                <w:color w:val="000000"/>
                <w:sz w:val="14"/>
                <w:szCs w:val="16"/>
                <w:lang w:val="en-GB"/>
              </w:rPr>
              <w:t>–</w:t>
            </w:r>
            <w:r w:rsidRPr="00A86AF8">
              <w:rPr>
                <w:rFonts w:cs="Arial"/>
                <w:color w:val="000000"/>
                <w:sz w:val="14"/>
                <w:szCs w:val="16"/>
                <w:lang w:val="en-GB"/>
              </w:rPr>
              <w:t>6.0), Debtor Turnover (46–50 days), Labour Costs (33%), Customer Loan Ratio (50), Net Interest Margin (1.5) and Operating Costs to Revenue (65%).</w:t>
            </w:r>
          </w:p>
        </w:tc>
      </w:tr>
      <w:tr w:rsidR="00A86AF8" w:rsidRPr="00A86AF8" w14:paraId="643188C6" w14:textId="77777777" w:rsidTr="00B2173F">
        <w:tc>
          <w:tcPr>
            <w:tcW w:w="1276" w:type="dxa"/>
            <w:shd w:val="clear" w:color="auto" w:fill="FFC9C9"/>
            <w:tcMar>
              <w:top w:w="80" w:type="dxa"/>
              <w:left w:w="80" w:type="dxa"/>
              <w:bottom w:w="80" w:type="dxa"/>
              <w:right w:w="80" w:type="dxa"/>
            </w:tcMar>
          </w:tcPr>
          <w:p w14:paraId="0680B88C"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Queensland</w:t>
            </w:r>
          </w:p>
        </w:tc>
        <w:tc>
          <w:tcPr>
            <w:tcW w:w="2551" w:type="dxa"/>
            <w:shd w:val="clear" w:color="auto" w:fill="FFC9C9"/>
            <w:tcMar>
              <w:top w:w="80" w:type="dxa"/>
              <w:left w:w="80" w:type="dxa"/>
              <w:bottom w:w="80" w:type="dxa"/>
              <w:right w:w="80" w:type="dxa"/>
            </w:tcMar>
          </w:tcPr>
          <w:p w14:paraId="133495A0" w14:textId="2C4B3C4A"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2000 full time Queensland workers (</w:t>
            </w:r>
            <w:hyperlink r:id="rId1992" w:anchor="sec.71" w:history="1">
              <w:r w:rsidR="0075330E" w:rsidRPr="007C3585">
                <w:rPr>
                  <w:rStyle w:val="Hyperlink"/>
                  <w:rFonts w:cs="Arial"/>
                  <w:sz w:val="14"/>
                  <w:szCs w:val="16"/>
                  <w:lang w:val="en-GB"/>
                </w:rPr>
                <w:t>s71</w:t>
              </w:r>
            </w:hyperlink>
            <w:r w:rsidRPr="00A86AF8">
              <w:rPr>
                <w:rFonts w:cs="Arial"/>
                <w:color w:val="000000"/>
                <w:sz w:val="14"/>
                <w:szCs w:val="16"/>
                <w:lang w:val="en-GB"/>
              </w:rPr>
              <w:t xml:space="preserve"> — </w:t>
            </w:r>
            <w:r w:rsidRPr="00E43A0F">
              <w:rPr>
                <w:rFonts w:cs="Arial"/>
                <w:i/>
                <w:color w:val="000000"/>
                <w:sz w:val="14"/>
                <w:szCs w:val="16"/>
                <w:lang w:val="en-GB"/>
              </w:rPr>
              <w:t>Workers’ Compensation and Rehabilitation Act 2003</w:t>
            </w:r>
            <w:r w:rsidR="0014264B">
              <w:rPr>
                <w:rFonts w:cs="Arial"/>
                <w:color w:val="000000"/>
                <w:sz w:val="14"/>
                <w:szCs w:val="16"/>
                <w:lang w:val="en-GB"/>
              </w:rPr>
              <w:t>)</w:t>
            </w:r>
          </w:p>
        </w:tc>
        <w:tc>
          <w:tcPr>
            <w:tcW w:w="11064" w:type="dxa"/>
            <w:shd w:val="clear" w:color="auto" w:fill="FFC9C9"/>
            <w:tcMar>
              <w:top w:w="80" w:type="dxa"/>
              <w:left w:w="80" w:type="dxa"/>
              <w:bottom w:w="80" w:type="dxa"/>
              <w:right w:w="80" w:type="dxa"/>
            </w:tcMar>
          </w:tcPr>
          <w:p w14:paraId="635CC888" w14:textId="66264F03" w:rsidR="00A86AF8" w:rsidRPr="00A86AF8" w:rsidRDefault="00A86AF8" w:rsidP="00292A53">
            <w:pPr>
              <w:spacing w:after="60"/>
              <w:rPr>
                <w:rFonts w:cs="Arial"/>
                <w:color w:val="000000"/>
                <w:sz w:val="14"/>
                <w:szCs w:val="16"/>
                <w:lang w:val="en-GB"/>
              </w:rPr>
            </w:pPr>
            <w:r w:rsidRPr="00E43A0F">
              <w:rPr>
                <w:rFonts w:cs="Arial"/>
                <w:i/>
                <w:color w:val="000000"/>
                <w:sz w:val="14"/>
                <w:szCs w:val="16"/>
                <w:lang w:val="en-GB"/>
              </w:rPr>
              <w:t>Workers’ Compensation and Rehabilitation Act 2003</w:t>
            </w:r>
            <w:r w:rsidRPr="00A86AF8">
              <w:rPr>
                <w:rFonts w:cs="Arial"/>
                <w:color w:val="000000"/>
                <w:sz w:val="14"/>
                <w:szCs w:val="16"/>
                <w:lang w:val="en-GB"/>
              </w:rPr>
              <w:t xml:space="preserve"> </w:t>
            </w:r>
            <w:hyperlink r:id="rId1993" w:anchor="sec.71" w:history="1">
              <w:r w:rsidR="0075330E" w:rsidRPr="007C3585">
                <w:rPr>
                  <w:rStyle w:val="Hyperlink"/>
                  <w:rFonts w:cs="Arial"/>
                  <w:sz w:val="14"/>
                  <w:szCs w:val="16"/>
                  <w:lang w:val="en-GB"/>
                </w:rPr>
                <w:t>s71</w:t>
              </w:r>
            </w:hyperlink>
            <w:r w:rsidR="0075330E" w:rsidRPr="00A86AF8">
              <w:rPr>
                <w:rFonts w:cs="Arial"/>
                <w:color w:val="000000"/>
                <w:sz w:val="14"/>
                <w:szCs w:val="16"/>
                <w:lang w:val="en-GB"/>
              </w:rPr>
              <w:t xml:space="preserve">, </w:t>
            </w:r>
            <w:hyperlink r:id="rId1994" w:anchor="sec.72" w:history="1">
              <w:r w:rsidR="0075330E" w:rsidRPr="007C3585">
                <w:rPr>
                  <w:rStyle w:val="Hyperlink"/>
                  <w:rFonts w:cs="Arial"/>
                  <w:sz w:val="14"/>
                  <w:szCs w:val="16"/>
                  <w:lang w:val="en-GB"/>
                </w:rPr>
                <w:t>s72</w:t>
              </w:r>
            </w:hyperlink>
            <w:r w:rsidR="0075330E" w:rsidRPr="00A86AF8">
              <w:rPr>
                <w:rFonts w:cs="Arial"/>
                <w:color w:val="000000"/>
                <w:sz w:val="14"/>
                <w:szCs w:val="16"/>
                <w:lang w:val="en-GB"/>
              </w:rPr>
              <w:t xml:space="preserve">, </w:t>
            </w:r>
            <w:hyperlink r:id="rId1995" w:anchor="sec.75" w:history="1">
              <w:r w:rsidR="0075330E" w:rsidRPr="007C3585">
                <w:rPr>
                  <w:rStyle w:val="Hyperlink"/>
                  <w:rFonts w:cs="Arial"/>
                  <w:sz w:val="14"/>
                  <w:szCs w:val="16"/>
                  <w:lang w:val="en-GB"/>
                </w:rPr>
                <w:t>s75</w:t>
              </w:r>
            </w:hyperlink>
            <w:r w:rsidR="0075330E" w:rsidRPr="00A86AF8">
              <w:rPr>
                <w:rFonts w:cs="Arial"/>
                <w:color w:val="000000"/>
                <w:sz w:val="14"/>
                <w:szCs w:val="16"/>
                <w:lang w:val="en-GB"/>
              </w:rPr>
              <w:t xml:space="preserve">, </w:t>
            </w:r>
            <w:hyperlink r:id="rId1996" w:anchor="sec.84" w:history="1">
              <w:r w:rsidR="0075330E" w:rsidRPr="007C3585">
                <w:rPr>
                  <w:rStyle w:val="Hyperlink"/>
                  <w:rFonts w:cs="Arial"/>
                  <w:sz w:val="14"/>
                  <w:szCs w:val="16"/>
                  <w:lang w:val="en-GB"/>
                </w:rPr>
                <w:t>s84</w:t>
              </w:r>
            </w:hyperlink>
            <w:r w:rsidR="0075330E" w:rsidRPr="00A86AF8">
              <w:rPr>
                <w:rFonts w:cs="Arial"/>
                <w:color w:val="000000"/>
                <w:sz w:val="14"/>
                <w:szCs w:val="16"/>
                <w:lang w:val="en-GB"/>
              </w:rPr>
              <w:t xml:space="preserve">, </w:t>
            </w:r>
            <w:hyperlink r:id="rId1997" w:anchor="sec.86" w:history="1">
              <w:r w:rsidR="0075330E" w:rsidRPr="007C3585">
                <w:rPr>
                  <w:rStyle w:val="Hyperlink"/>
                  <w:rFonts w:cs="Arial"/>
                  <w:sz w:val="14"/>
                  <w:szCs w:val="16"/>
                  <w:lang w:val="en-GB"/>
                </w:rPr>
                <w:t>s86</w:t>
              </w:r>
            </w:hyperlink>
          </w:p>
          <w:p w14:paraId="7985E617" w14:textId="13A9065D" w:rsidR="00A86AF8" w:rsidRPr="00A86AF8" w:rsidRDefault="00A7538C" w:rsidP="00292A53">
            <w:pPr>
              <w:spacing w:after="60"/>
              <w:rPr>
                <w:rFonts w:cs="Arial"/>
                <w:color w:val="000000"/>
                <w:sz w:val="14"/>
                <w:szCs w:val="16"/>
                <w:lang w:val="en-GB"/>
              </w:rPr>
            </w:pPr>
            <w:hyperlink r:id="rId1998" w:anchor="sec.71" w:history="1">
              <w:r w:rsidR="0075330E" w:rsidRPr="007C3585">
                <w:rPr>
                  <w:rStyle w:val="Hyperlink"/>
                  <w:rFonts w:cs="Arial"/>
                  <w:sz w:val="14"/>
                  <w:szCs w:val="16"/>
                  <w:lang w:val="en-GB"/>
                </w:rPr>
                <w:t>s71</w:t>
              </w:r>
            </w:hyperlink>
            <w:r w:rsidR="0075330E">
              <w:rPr>
                <w:rFonts w:cs="Arial"/>
                <w:color w:val="000000"/>
                <w:sz w:val="14"/>
                <w:szCs w:val="16"/>
                <w:lang w:val="en-GB"/>
              </w:rPr>
              <w:t xml:space="preserve"> </w:t>
            </w:r>
            <w:r w:rsidR="00A86AF8" w:rsidRPr="00A86AF8">
              <w:rPr>
                <w:rFonts w:cs="Arial"/>
                <w:color w:val="000000"/>
                <w:sz w:val="14"/>
                <w:szCs w:val="16"/>
                <w:lang w:val="en-GB"/>
              </w:rPr>
              <w:t xml:space="preserve">— Employers must be considered fit and proper to be </w:t>
            </w:r>
            <w:r w:rsidR="00E43A0F">
              <w:rPr>
                <w:rFonts w:cs="Arial"/>
                <w:color w:val="000000"/>
                <w:sz w:val="14"/>
                <w:szCs w:val="16"/>
                <w:lang w:val="en-GB"/>
              </w:rPr>
              <w:t>self-insurer</w:t>
            </w:r>
            <w:r w:rsidR="00A86AF8" w:rsidRPr="00A86AF8">
              <w:rPr>
                <w:rFonts w:cs="Arial"/>
                <w:color w:val="000000"/>
                <w:sz w:val="14"/>
                <w:szCs w:val="16"/>
                <w:lang w:val="en-GB"/>
              </w:rPr>
              <w:t>s. (</w:t>
            </w:r>
            <w:hyperlink r:id="rId1999" w:anchor="sec.75" w:history="1">
              <w:r w:rsidR="0075330E" w:rsidRPr="007C3585">
                <w:rPr>
                  <w:rStyle w:val="Hyperlink"/>
                  <w:rFonts w:cs="Arial"/>
                  <w:sz w:val="14"/>
                  <w:szCs w:val="16"/>
                  <w:lang w:val="en-GB"/>
                </w:rPr>
                <w:t>s75</w:t>
              </w:r>
            </w:hyperlink>
            <w:r w:rsidR="00A86AF8" w:rsidRPr="00A86AF8">
              <w:rPr>
                <w:rFonts w:cs="Arial"/>
                <w:color w:val="000000"/>
                <w:sz w:val="14"/>
                <w:szCs w:val="16"/>
                <w:lang w:val="en-GB"/>
              </w:rPr>
              <w:t>) This includes a consideration of the long-term financial viability of the employer, evidenced by its level of capitalisation, profitability and liquidity.</w:t>
            </w:r>
          </w:p>
          <w:p w14:paraId="20D8F4A5" w14:textId="2D33320A" w:rsidR="00A86AF8" w:rsidRPr="00A86AF8" w:rsidRDefault="00E43A0F" w:rsidP="00292A53">
            <w:pPr>
              <w:spacing w:after="60"/>
              <w:rPr>
                <w:rFonts w:cs="Arial"/>
                <w:color w:val="000000"/>
                <w:sz w:val="14"/>
                <w:szCs w:val="16"/>
                <w:lang w:val="en-GB"/>
              </w:rPr>
            </w:pPr>
            <w:r>
              <w:rPr>
                <w:rFonts w:cs="Arial"/>
                <w:color w:val="000000"/>
                <w:sz w:val="14"/>
                <w:szCs w:val="16"/>
                <w:lang w:val="en-GB"/>
              </w:rPr>
              <w:t>Self-insurer</w:t>
            </w:r>
            <w:r w:rsidR="00A86AF8" w:rsidRPr="00A86AF8">
              <w:rPr>
                <w:rFonts w:cs="Arial"/>
                <w:color w:val="000000"/>
                <w:sz w:val="14"/>
                <w:szCs w:val="16"/>
                <w:lang w:val="en-GB"/>
              </w:rPr>
              <w:t>s are required to:</w:t>
            </w:r>
          </w:p>
          <w:p w14:paraId="3E2E342F" w14:textId="31521035" w:rsidR="00A86AF8" w:rsidRPr="00A86AF8" w:rsidRDefault="00A7538C" w:rsidP="00DF35F2">
            <w:pPr>
              <w:numPr>
                <w:ilvl w:val="0"/>
                <w:numId w:val="33"/>
              </w:numPr>
              <w:spacing w:after="60"/>
              <w:rPr>
                <w:rFonts w:cs="Arial"/>
                <w:color w:val="000000"/>
                <w:sz w:val="14"/>
                <w:szCs w:val="16"/>
                <w:lang w:val="en-GB"/>
              </w:rPr>
            </w:pPr>
            <w:hyperlink r:id="rId2000" w:anchor="sec.84" w:history="1">
              <w:r w:rsidR="0075330E" w:rsidRPr="007C3585">
                <w:rPr>
                  <w:rStyle w:val="Hyperlink"/>
                  <w:rFonts w:cs="Arial"/>
                  <w:sz w:val="14"/>
                  <w:szCs w:val="16"/>
                  <w:lang w:val="en-GB"/>
                </w:rPr>
                <w:t>s84</w:t>
              </w:r>
            </w:hyperlink>
            <w:r w:rsidR="0075330E" w:rsidRPr="00A86AF8">
              <w:rPr>
                <w:rFonts w:cs="Arial"/>
                <w:color w:val="000000"/>
                <w:sz w:val="14"/>
                <w:szCs w:val="16"/>
                <w:lang w:val="en-GB"/>
              </w:rPr>
              <w:t xml:space="preserve"> </w:t>
            </w:r>
            <w:r w:rsidR="00A86AF8" w:rsidRPr="00A86AF8">
              <w:rPr>
                <w:rFonts w:cs="Arial"/>
                <w:color w:val="000000"/>
                <w:sz w:val="14"/>
                <w:szCs w:val="16"/>
                <w:lang w:val="en-GB"/>
              </w:rPr>
              <w:t>— Lodge a security (unconditional bank guarantee, cash deposit, or financial guarantee given by an insurance company that is an approved security provider), for an amount equivalent to 150% of the self-insurer’s estimated claims liability, and</w:t>
            </w:r>
          </w:p>
          <w:p w14:paraId="0D94CB8A" w14:textId="54B30954" w:rsidR="00A86AF8" w:rsidRPr="00A86AF8" w:rsidRDefault="00A7538C" w:rsidP="00DF35F2">
            <w:pPr>
              <w:numPr>
                <w:ilvl w:val="0"/>
                <w:numId w:val="33"/>
              </w:numPr>
              <w:spacing w:after="60"/>
              <w:rPr>
                <w:rFonts w:cs="Arial"/>
                <w:color w:val="000000"/>
                <w:sz w:val="14"/>
                <w:szCs w:val="16"/>
                <w:lang w:val="en-GB"/>
              </w:rPr>
            </w:pPr>
            <w:hyperlink r:id="rId2001" w:anchor="sec.86" w:history="1">
              <w:r w:rsidR="0075330E" w:rsidRPr="007C3585">
                <w:rPr>
                  <w:rStyle w:val="Hyperlink"/>
                  <w:rFonts w:cs="Arial"/>
                  <w:sz w:val="14"/>
                  <w:szCs w:val="16"/>
                  <w:lang w:val="en-GB"/>
                </w:rPr>
                <w:t>s86</w:t>
              </w:r>
            </w:hyperlink>
            <w:r w:rsidR="0075330E" w:rsidRPr="00A86AF8">
              <w:rPr>
                <w:rFonts w:cs="Arial"/>
                <w:color w:val="000000"/>
                <w:sz w:val="14"/>
                <w:szCs w:val="16"/>
                <w:lang w:val="en-GB"/>
              </w:rPr>
              <w:t xml:space="preserve"> </w:t>
            </w:r>
            <w:r w:rsidR="00A86AF8" w:rsidRPr="00A86AF8">
              <w:rPr>
                <w:rFonts w:cs="Arial"/>
                <w:color w:val="000000"/>
                <w:sz w:val="14"/>
                <w:szCs w:val="16"/>
                <w:lang w:val="en-GB"/>
              </w:rPr>
              <w:t>— have reinsurance cover, where the self-insurer’s liability is an amount chosen by the self-insurer that is not less than $300</w:t>
            </w:r>
            <w:r w:rsidR="00A71D21">
              <w:rPr>
                <w:rFonts w:cs="Arial"/>
                <w:color w:val="000000"/>
                <w:sz w:val="14"/>
                <w:szCs w:val="16"/>
                <w:lang w:val="en-GB"/>
              </w:rPr>
              <w:t>,</w:t>
            </w:r>
            <w:r w:rsidR="00A86AF8" w:rsidRPr="00A86AF8">
              <w:rPr>
                <w:rFonts w:cs="Arial"/>
                <w:color w:val="000000"/>
                <w:sz w:val="14"/>
                <w:szCs w:val="16"/>
                <w:lang w:val="en-GB"/>
              </w:rPr>
              <w:t>000 or more than the set limit without approval.</w:t>
            </w:r>
          </w:p>
          <w:p w14:paraId="20512628" w14:textId="6E4425A6"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NB. The Workers’ Compensation Regulator has the discretion to issue or renew a self-insurance licence in circumstances where an employer does not meet one or more of the strict criteria for self-insurance, if satisfied that special circumstances exist that warrant the employer or group employer being issued a licence or having a licence renewed. The circumstances where an employer does not meet the criteria for self-insurance include, but are not limited to, instances where an employer or self-insurer does not have 2</w:t>
            </w:r>
            <w:r w:rsidR="00A71D21">
              <w:rPr>
                <w:rFonts w:cs="Arial"/>
                <w:color w:val="000000"/>
                <w:sz w:val="14"/>
                <w:szCs w:val="16"/>
                <w:lang w:val="en-GB"/>
              </w:rPr>
              <w:t>,</w:t>
            </w:r>
            <w:r w:rsidRPr="00A86AF8">
              <w:rPr>
                <w:rFonts w:cs="Arial"/>
                <w:color w:val="000000"/>
                <w:sz w:val="14"/>
                <w:szCs w:val="16"/>
                <w:lang w:val="en-GB"/>
              </w:rPr>
              <w:t>000 full time workers</w:t>
            </w:r>
            <w:r w:rsidR="003D2FCB">
              <w:rPr>
                <w:rFonts w:cs="Arial"/>
                <w:color w:val="000000"/>
                <w:sz w:val="14"/>
                <w:szCs w:val="16"/>
                <w:lang w:val="en-GB"/>
              </w:rPr>
              <w:t>.</w:t>
            </w:r>
          </w:p>
        </w:tc>
      </w:tr>
      <w:tr w:rsidR="00A86AF8" w:rsidRPr="00A86AF8" w14:paraId="7672AE4F" w14:textId="77777777" w:rsidTr="00B2173F">
        <w:tc>
          <w:tcPr>
            <w:tcW w:w="1276" w:type="dxa"/>
            <w:tcMar>
              <w:top w:w="80" w:type="dxa"/>
              <w:left w:w="80" w:type="dxa"/>
              <w:bottom w:w="80" w:type="dxa"/>
              <w:right w:w="80" w:type="dxa"/>
            </w:tcMar>
          </w:tcPr>
          <w:p w14:paraId="5B58EF44"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Western Australia</w:t>
            </w:r>
          </w:p>
        </w:tc>
        <w:tc>
          <w:tcPr>
            <w:tcW w:w="2551" w:type="dxa"/>
            <w:tcMar>
              <w:top w:w="80" w:type="dxa"/>
              <w:left w:w="80" w:type="dxa"/>
              <w:bottom w:w="80" w:type="dxa"/>
              <w:right w:w="80" w:type="dxa"/>
            </w:tcMar>
          </w:tcPr>
          <w:p w14:paraId="7DDFEDA6" w14:textId="18609BA3"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N/A</w:t>
            </w:r>
          </w:p>
        </w:tc>
        <w:tc>
          <w:tcPr>
            <w:tcW w:w="11064" w:type="dxa"/>
            <w:tcMar>
              <w:top w:w="80" w:type="dxa"/>
              <w:left w:w="80" w:type="dxa"/>
              <w:bottom w:w="80" w:type="dxa"/>
              <w:right w:w="80" w:type="dxa"/>
            </w:tcMar>
          </w:tcPr>
          <w:p w14:paraId="12ACF35E" w14:textId="5373C333" w:rsidR="00A86AF8" w:rsidRPr="00A86AF8" w:rsidRDefault="00A7538C" w:rsidP="00292A53">
            <w:pPr>
              <w:spacing w:after="60"/>
              <w:rPr>
                <w:rFonts w:cs="Arial"/>
                <w:color w:val="000000"/>
                <w:sz w:val="14"/>
                <w:szCs w:val="16"/>
                <w:lang w:val="en-GB"/>
              </w:rPr>
            </w:pPr>
            <w:hyperlink r:id="rId2002" w:history="1">
              <w:r w:rsidR="00A86AF8" w:rsidRPr="003D361E">
                <w:rPr>
                  <w:rStyle w:val="Hyperlink"/>
                  <w:rFonts w:cs="Arial"/>
                  <w:sz w:val="14"/>
                  <w:szCs w:val="16"/>
                  <w:lang w:val="en-GB"/>
                </w:rPr>
                <w:t>s164</w:t>
              </w:r>
            </w:hyperlink>
            <w:r w:rsidR="00A86AF8" w:rsidRPr="00A86AF8">
              <w:rPr>
                <w:rFonts w:cs="Arial"/>
                <w:color w:val="000000"/>
                <w:sz w:val="14"/>
                <w:szCs w:val="16"/>
                <w:lang w:val="en-GB"/>
              </w:rPr>
              <w:t xml:space="preserve"> and </w:t>
            </w:r>
            <w:hyperlink r:id="rId2003" w:history="1">
              <w:r w:rsidR="00A86AF8" w:rsidRPr="003D361E">
                <w:rPr>
                  <w:rStyle w:val="Hyperlink"/>
                  <w:rFonts w:cs="Arial"/>
                  <w:sz w:val="14"/>
                  <w:szCs w:val="16"/>
                  <w:lang w:val="en-GB"/>
                </w:rPr>
                <w:t>s165</w:t>
              </w:r>
            </w:hyperlink>
            <w:r w:rsidR="00A86AF8" w:rsidRPr="00A86AF8">
              <w:rPr>
                <w:rFonts w:cs="Arial"/>
                <w:color w:val="000000"/>
                <w:sz w:val="14"/>
                <w:szCs w:val="16"/>
                <w:lang w:val="en-GB"/>
              </w:rPr>
              <w:t xml:space="preserve"> — Self-insurers are to maintain adequate financial resources to comply with the requirements of the </w:t>
            </w:r>
            <w:r w:rsidR="003D361E" w:rsidRPr="00016069">
              <w:rPr>
                <w:i/>
                <w:sz w:val="14"/>
              </w:rPr>
              <w:t>Workers’ Compensation and Injury Management Act 1981</w:t>
            </w:r>
            <w:r w:rsidR="00A86AF8" w:rsidRPr="00A86AF8">
              <w:rPr>
                <w:rFonts w:cs="Arial"/>
                <w:color w:val="000000"/>
                <w:sz w:val="14"/>
                <w:szCs w:val="16"/>
                <w:lang w:val="en-GB"/>
              </w:rPr>
              <w:t>.</w:t>
            </w:r>
          </w:p>
          <w:p w14:paraId="10010C95" w14:textId="77777777"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Self-insurers are required to provide audited financial statements, which include:</w:t>
            </w:r>
          </w:p>
          <w:p w14:paraId="134C62C9"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Balance Sheet Test (i.e. total tangible assets/total liabilities)</w:t>
            </w:r>
          </w:p>
          <w:p w14:paraId="74766466"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 xml:space="preserve">quick liquidity (i.e. current assets less stock/current liabilities) </w:t>
            </w:r>
          </w:p>
          <w:p w14:paraId="7CF6A3C6"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 xml:space="preserve">current liquidity (i.e. current assets/current liabilities) </w:t>
            </w:r>
          </w:p>
          <w:p w14:paraId="1CF5D38D"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interest coverage (net profit before tax/net interest expense)</w:t>
            </w:r>
          </w:p>
          <w:p w14:paraId="1DC17C00"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return on investment (net profit before tax/total equity)</w:t>
            </w:r>
          </w:p>
          <w:p w14:paraId="22BED32F"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claims liability as a percentage of net assets (outstanding claims/net assets), and</w:t>
            </w:r>
          </w:p>
          <w:p w14:paraId="0DB87AFC"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gearing ratio (loan capital/total capital employed).</w:t>
            </w:r>
          </w:p>
          <w:p w14:paraId="7952BEE7"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WorkCover WA, at its discretion, may apply further secondary financial indicators if there are doubts concerning the organisation’s financial viability.</w:t>
            </w:r>
          </w:p>
        </w:tc>
      </w:tr>
      <w:tr w:rsidR="00A86AF8" w:rsidRPr="00A86AF8" w14:paraId="0E4B4177" w14:textId="77777777" w:rsidTr="00B2173F">
        <w:tc>
          <w:tcPr>
            <w:tcW w:w="1276" w:type="dxa"/>
            <w:shd w:val="clear" w:color="auto" w:fill="FFC9C9"/>
            <w:tcMar>
              <w:top w:w="80" w:type="dxa"/>
              <w:left w:w="80" w:type="dxa"/>
              <w:bottom w:w="80" w:type="dxa"/>
              <w:right w:w="80" w:type="dxa"/>
            </w:tcMar>
          </w:tcPr>
          <w:p w14:paraId="2895F96C"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South Australia</w:t>
            </w:r>
          </w:p>
        </w:tc>
        <w:tc>
          <w:tcPr>
            <w:tcW w:w="2551" w:type="dxa"/>
            <w:shd w:val="clear" w:color="auto" w:fill="FFC9C9"/>
            <w:tcMar>
              <w:top w:w="80" w:type="dxa"/>
              <w:left w:w="80" w:type="dxa"/>
              <w:bottom w:w="80" w:type="dxa"/>
              <w:right w:w="80" w:type="dxa"/>
            </w:tcMar>
          </w:tcPr>
          <w:p w14:paraId="1C8E6D4B" w14:textId="42911D1A"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 xml:space="preserve">There is no number specified in the legislation, but the Code of Conduct </w:t>
            </w:r>
            <w:r w:rsidRPr="00A86AF8">
              <w:rPr>
                <w:rFonts w:cs="Arial"/>
                <w:color w:val="000000"/>
                <w:sz w:val="14"/>
                <w:szCs w:val="16"/>
                <w:lang w:val="en-GB"/>
              </w:rPr>
              <w:lastRenderedPageBreak/>
              <w:t>st</w:t>
            </w:r>
            <w:r w:rsidR="0014264B">
              <w:rPr>
                <w:rFonts w:cs="Arial"/>
                <w:color w:val="000000"/>
                <w:sz w:val="14"/>
                <w:szCs w:val="16"/>
                <w:lang w:val="en-GB"/>
              </w:rPr>
              <w:t>ates a minimum of 200 employees</w:t>
            </w:r>
          </w:p>
        </w:tc>
        <w:tc>
          <w:tcPr>
            <w:tcW w:w="11064" w:type="dxa"/>
            <w:shd w:val="clear" w:color="auto" w:fill="FFC9C9"/>
            <w:tcMar>
              <w:top w:w="80" w:type="dxa"/>
              <w:left w:w="80" w:type="dxa"/>
              <w:bottom w:w="80" w:type="dxa"/>
              <w:right w:w="80" w:type="dxa"/>
            </w:tcMar>
          </w:tcPr>
          <w:p w14:paraId="1F038D8C" w14:textId="77777777" w:rsidR="0015307B" w:rsidRPr="0015307B" w:rsidRDefault="0015307B" w:rsidP="00292A53">
            <w:pPr>
              <w:spacing w:after="60"/>
              <w:rPr>
                <w:rFonts w:cs="Arial"/>
                <w:color w:val="000000"/>
                <w:sz w:val="14"/>
                <w:szCs w:val="16"/>
                <w:lang w:val="en-GB"/>
              </w:rPr>
            </w:pPr>
            <w:r w:rsidRPr="0015307B">
              <w:rPr>
                <w:rFonts w:cs="Arial"/>
                <w:color w:val="000000"/>
                <w:sz w:val="14"/>
                <w:szCs w:val="16"/>
                <w:lang w:val="en-GB"/>
              </w:rPr>
              <w:lastRenderedPageBreak/>
              <w:t>ReturnToWorkSA will consider each of the following 4 primary indicators in all cases and the secondary indicator, where considered appropriate:</w:t>
            </w:r>
          </w:p>
          <w:p w14:paraId="6659E948" w14:textId="77777777" w:rsidR="0015307B" w:rsidRPr="0015307B" w:rsidRDefault="0015307B" w:rsidP="00292A53">
            <w:pPr>
              <w:spacing w:after="60"/>
              <w:rPr>
                <w:rFonts w:cs="Arial"/>
                <w:color w:val="000000"/>
                <w:sz w:val="14"/>
                <w:szCs w:val="16"/>
                <w:lang w:val="en-GB"/>
              </w:rPr>
            </w:pPr>
            <w:r w:rsidRPr="0015307B">
              <w:rPr>
                <w:rFonts w:cs="Arial"/>
                <w:color w:val="000000"/>
                <w:sz w:val="14"/>
                <w:szCs w:val="16"/>
                <w:lang w:val="en-GB"/>
              </w:rPr>
              <w:t>Primary indicators</w:t>
            </w:r>
          </w:p>
          <w:p w14:paraId="22575C8E" w14:textId="6962E19D" w:rsidR="0015307B" w:rsidRPr="00466D2D" w:rsidRDefault="0015307B" w:rsidP="00F839DB">
            <w:pPr>
              <w:pStyle w:val="ListParagraph"/>
              <w:numPr>
                <w:ilvl w:val="0"/>
                <w:numId w:val="476"/>
              </w:numPr>
              <w:spacing w:after="60"/>
              <w:contextualSpacing/>
              <w:rPr>
                <w:rFonts w:cs="Arial"/>
                <w:color w:val="000000"/>
                <w:sz w:val="14"/>
                <w:szCs w:val="16"/>
                <w:lang w:val="en-GB"/>
              </w:rPr>
            </w:pPr>
            <w:r w:rsidRPr="00466D2D">
              <w:rPr>
                <w:rFonts w:cs="Arial"/>
                <w:color w:val="000000"/>
                <w:sz w:val="14"/>
                <w:szCs w:val="16"/>
                <w:lang w:val="en-GB"/>
              </w:rPr>
              <w:lastRenderedPageBreak/>
              <w:t>Balance sheet test, being total tangible assets divided by total liabilities</w:t>
            </w:r>
          </w:p>
          <w:p w14:paraId="0C866E8F" w14:textId="02370F9B" w:rsidR="0015307B" w:rsidRPr="00466D2D" w:rsidRDefault="0015307B" w:rsidP="00F839DB">
            <w:pPr>
              <w:pStyle w:val="ListParagraph"/>
              <w:numPr>
                <w:ilvl w:val="0"/>
                <w:numId w:val="476"/>
              </w:numPr>
              <w:spacing w:after="60"/>
              <w:contextualSpacing/>
              <w:rPr>
                <w:rFonts w:cs="Arial"/>
                <w:color w:val="000000"/>
                <w:sz w:val="14"/>
                <w:szCs w:val="16"/>
                <w:lang w:val="en-GB"/>
              </w:rPr>
            </w:pPr>
            <w:r w:rsidRPr="00466D2D">
              <w:rPr>
                <w:rFonts w:cs="Arial"/>
                <w:color w:val="000000"/>
                <w:sz w:val="14"/>
                <w:szCs w:val="16"/>
                <w:lang w:val="en-GB"/>
              </w:rPr>
              <w:t>Gearing ratio, being loan capital divided by total capital employers</w:t>
            </w:r>
          </w:p>
          <w:p w14:paraId="1C4C158E" w14:textId="7EF803F0" w:rsidR="0015307B" w:rsidRPr="00466D2D" w:rsidRDefault="0015307B" w:rsidP="00F839DB">
            <w:pPr>
              <w:pStyle w:val="ListParagraph"/>
              <w:numPr>
                <w:ilvl w:val="0"/>
                <w:numId w:val="476"/>
              </w:numPr>
              <w:spacing w:after="60"/>
              <w:contextualSpacing/>
              <w:rPr>
                <w:rFonts w:cs="Arial"/>
                <w:color w:val="000000"/>
                <w:sz w:val="14"/>
                <w:szCs w:val="16"/>
                <w:lang w:val="en-GB"/>
              </w:rPr>
            </w:pPr>
            <w:r w:rsidRPr="00466D2D">
              <w:rPr>
                <w:rFonts w:cs="Arial"/>
                <w:color w:val="000000"/>
                <w:sz w:val="14"/>
                <w:szCs w:val="16"/>
                <w:lang w:val="en-GB"/>
              </w:rPr>
              <w:t>Liquidity ration, being current assets divided by current liabilities</w:t>
            </w:r>
          </w:p>
          <w:p w14:paraId="2DE3A581" w14:textId="0F435288" w:rsidR="0015307B" w:rsidRPr="00466D2D" w:rsidRDefault="0015307B" w:rsidP="00F839DB">
            <w:pPr>
              <w:pStyle w:val="ListParagraph"/>
              <w:numPr>
                <w:ilvl w:val="0"/>
                <w:numId w:val="476"/>
              </w:numPr>
              <w:spacing w:after="60"/>
              <w:rPr>
                <w:rFonts w:cs="Arial"/>
                <w:color w:val="000000"/>
                <w:sz w:val="14"/>
                <w:szCs w:val="16"/>
                <w:lang w:val="en-GB"/>
              </w:rPr>
            </w:pPr>
            <w:r w:rsidRPr="00466D2D">
              <w:rPr>
                <w:rFonts w:cs="Arial"/>
                <w:color w:val="000000"/>
                <w:sz w:val="14"/>
                <w:szCs w:val="16"/>
                <w:lang w:val="en-GB"/>
              </w:rPr>
              <w:t>Cash flow margin, being operating cash flow divided by net sales</w:t>
            </w:r>
          </w:p>
          <w:p w14:paraId="11511331" w14:textId="77777777" w:rsidR="0015307B" w:rsidRPr="0015307B" w:rsidRDefault="0015307B" w:rsidP="00292A53">
            <w:pPr>
              <w:spacing w:after="60"/>
              <w:rPr>
                <w:rFonts w:cs="Arial"/>
                <w:color w:val="000000"/>
                <w:sz w:val="14"/>
                <w:szCs w:val="16"/>
                <w:lang w:val="en-GB"/>
              </w:rPr>
            </w:pPr>
            <w:r w:rsidRPr="0015307B">
              <w:rPr>
                <w:rFonts w:cs="Arial"/>
                <w:color w:val="000000"/>
                <w:sz w:val="14"/>
                <w:szCs w:val="16"/>
                <w:lang w:val="en-GB"/>
              </w:rPr>
              <w:t xml:space="preserve">Secondary indicator </w:t>
            </w:r>
          </w:p>
          <w:p w14:paraId="6E5A03A8" w14:textId="05D3ED4E" w:rsidR="00A86AF8" w:rsidRPr="00466D2D" w:rsidRDefault="0015307B" w:rsidP="00F839DB">
            <w:pPr>
              <w:pStyle w:val="ListParagraph"/>
              <w:numPr>
                <w:ilvl w:val="0"/>
                <w:numId w:val="476"/>
              </w:numPr>
              <w:spacing w:after="60"/>
              <w:rPr>
                <w:rFonts w:cs="Arial"/>
                <w:color w:val="000000"/>
                <w:sz w:val="14"/>
                <w:szCs w:val="16"/>
                <w:lang w:val="en-GB"/>
              </w:rPr>
            </w:pPr>
            <w:r w:rsidRPr="00466D2D">
              <w:rPr>
                <w:rFonts w:cs="Arial"/>
                <w:color w:val="000000"/>
                <w:sz w:val="14"/>
                <w:szCs w:val="16"/>
                <w:lang w:val="en-GB"/>
              </w:rPr>
              <w:t>Profitability ratio, being net profit before tax divind by total equity</w:t>
            </w:r>
            <w:r w:rsidR="003D2FCB">
              <w:rPr>
                <w:rFonts w:cs="Arial"/>
                <w:color w:val="000000"/>
                <w:sz w:val="14"/>
                <w:szCs w:val="16"/>
                <w:lang w:val="en-GB"/>
              </w:rPr>
              <w:t>.</w:t>
            </w:r>
          </w:p>
        </w:tc>
      </w:tr>
      <w:tr w:rsidR="00C02A4F" w:rsidRPr="00A86AF8" w14:paraId="0FA4AB54" w14:textId="77777777" w:rsidTr="00B2173F">
        <w:tc>
          <w:tcPr>
            <w:tcW w:w="1276" w:type="dxa"/>
            <w:tcMar>
              <w:top w:w="80" w:type="dxa"/>
              <w:left w:w="80" w:type="dxa"/>
              <w:bottom w:w="80" w:type="dxa"/>
              <w:right w:w="80" w:type="dxa"/>
            </w:tcMar>
          </w:tcPr>
          <w:p w14:paraId="781B2867" w14:textId="77777777" w:rsidR="00C02A4F" w:rsidRPr="00A86AF8" w:rsidRDefault="00C02A4F" w:rsidP="00292A53">
            <w:pPr>
              <w:spacing w:after="60"/>
              <w:rPr>
                <w:rFonts w:eastAsia="Calibri" w:cs="Arial"/>
                <w:b/>
                <w:sz w:val="16"/>
                <w:szCs w:val="16"/>
                <w:lang w:eastAsia="en-US"/>
              </w:rPr>
            </w:pPr>
            <w:r w:rsidRPr="00A86AF8">
              <w:rPr>
                <w:rFonts w:eastAsia="Calibri" w:cs="Arial"/>
                <w:b/>
                <w:sz w:val="16"/>
                <w:szCs w:val="16"/>
                <w:lang w:eastAsia="en-US"/>
              </w:rPr>
              <w:lastRenderedPageBreak/>
              <w:t>Tasmania</w:t>
            </w:r>
          </w:p>
        </w:tc>
        <w:tc>
          <w:tcPr>
            <w:tcW w:w="2551" w:type="dxa"/>
            <w:tcMar>
              <w:top w:w="80" w:type="dxa"/>
              <w:left w:w="80" w:type="dxa"/>
              <w:bottom w:w="80" w:type="dxa"/>
              <w:right w:w="80" w:type="dxa"/>
            </w:tcMar>
          </w:tcPr>
          <w:p w14:paraId="44E9DDC5" w14:textId="54164716" w:rsidR="00C02A4F" w:rsidRPr="0015307B" w:rsidRDefault="00C02A4F" w:rsidP="00292A53">
            <w:pPr>
              <w:spacing w:after="60"/>
              <w:rPr>
                <w:rFonts w:cs="Arial"/>
                <w:color w:val="000000"/>
                <w:sz w:val="14"/>
                <w:szCs w:val="14"/>
                <w:lang w:val="en-GB"/>
              </w:rPr>
            </w:pPr>
            <w:r w:rsidRPr="0015307B">
              <w:rPr>
                <w:rFonts w:cs="Arial"/>
                <w:color w:val="000000"/>
                <w:sz w:val="14"/>
                <w:szCs w:val="14"/>
                <w:lang w:val="en-GB"/>
              </w:rPr>
              <w:t>N/A</w:t>
            </w:r>
          </w:p>
        </w:tc>
        <w:tc>
          <w:tcPr>
            <w:tcW w:w="11064" w:type="dxa"/>
            <w:tcMar>
              <w:top w:w="80" w:type="dxa"/>
              <w:left w:w="80" w:type="dxa"/>
              <w:bottom w:w="80" w:type="dxa"/>
              <w:right w:w="80" w:type="dxa"/>
            </w:tcMar>
          </w:tcPr>
          <w:p w14:paraId="27BCE64B" w14:textId="2791D39F" w:rsidR="00C02A4F" w:rsidRPr="00AC0A58" w:rsidRDefault="00C02A4F" w:rsidP="005F7410">
            <w:pPr>
              <w:spacing w:after="60"/>
              <w:rPr>
                <w:rFonts w:cs="Arial"/>
                <w:color w:val="000000"/>
                <w:sz w:val="14"/>
                <w:szCs w:val="14"/>
                <w:lang w:val="en-GB"/>
              </w:rPr>
            </w:pPr>
            <w:r w:rsidRPr="00AC0A58">
              <w:rPr>
                <w:rFonts w:cs="Arial"/>
                <w:color w:val="000000"/>
                <w:sz w:val="14"/>
                <w:szCs w:val="14"/>
                <w:lang w:val="en-GB"/>
              </w:rPr>
              <w:t xml:space="preserve">Part IX, Div 2, </w:t>
            </w:r>
            <w:hyperlink r:id="rId2004" w:history="1">
              <w:r w:rsidRPr="00731820">
                <w:rPr>
                  <w:rStyle w:val="Hyperlink"/>
                  <w:rFonts w:cs="Arial"/>
                  <w:sz w:val="14"/>
                  <w:szCs w:val="14"/>
                  <w:lang w:val="en-GB"/>
                </w:rPr>
                <w:t>s105</w:t>
              </w:r>
            </w:hyperlink>
            <w:r w:rsidR="00731820">
              <w:rPr>
                <w:rFonts w:cs="Arial"/>
                <w:color w:val="000000"/>
                <w:sz w:val="14"/>
                <w:szCs w:val="14"/>
                <w:lang w:val="en-GB"/>
              </w:rPr>
              <w:t xml:space="preserve"> of </w:t>
            </w:r>
            <w:r w:rsidR="00731820" w:rsidRPr="00016069">
              <w:rPr>
                <w:i/>
                <w:sz w:val="14"/>
              </w:rPr>
              <w:t>Workers Rehabilitation and Compensation Act 1988</w:t>
            </w:r>
            <w:r w:rsidRPr="00AC0A58">
              <w:rPr>
                <w:rFonts w:cs="Arial"/>
                <w:color w:val="000000"/>
                <w:sz w:val="14"/>
                <w:szCs w:val="14"/>
                <w:lang w:val="en-GB"/>
              </w:rPr>
              <w:t>.</w:t>
            </w:r>
          </w:p>
          <w:p w14:paraId="14DB8D90" w14:textId="080CCAB9" w:rsidR="00C02A4F" w:rsidRPr="001C52D2" w:rsidRDefault="00A7538C" w:rsidP="005F7410">
            <w:pPr>
              <w:spacing w:after="60"/>
              <w:rPr>
                <w:rFonts w:cs="Arial"/>
                <w:color w:val="000000"/>
                <w:sz w:val="14"/>
                <w:szCs w:val="14"/>
                <w:lang w:val="en-GB"/>
              </w:rPr>
            </w:pPr>
            <w:hyperlink r:id="rId2005" w:history="1">
              <w:r w:rsidR="00C02A4F" w:rsidRPr="00731820">
                <w:rPr>
                  <w:rStyle w:val="Hyperlink"/>
                  <w:rFonts w:cs="Arial"/>
                  <w:sz w:val="14"/>
                  <w:szCs w:val="14"/>
                  <w:lang w:val="en-GB"/>
                </w:rPr>
                <w:t>s105(2)</w:t>
              </w:r>
            </w:hyperlink>
            <w:r w:rsidR="00C02A4F" w:rsidRPr="001C52D2">
              <w:rPr>
                <w:rFonts w:cs="Arial"/>
                <w:color w:val="000000"/>
                <w:sz w:val="14"/>
                <w:szCs w:val="14"/>
                <w:lang w:val="en-GB"/>
              </w:rPr>
              <w:t xml:space="preserve"> — In granting a self-insurer permit, the Board is to take into account the applicant’s financial history and ability to satisfy such prudential standards as the Board determines.</w:t>
            </w:r>
          </w:p>
          <w:p w14:paraId="45D27746" w14:textId="77777777" w:rsidR="00C02A4F" w:rsidRPr="00785696" w:rsidRDefault="00C02A4F" w:rsidP="005F7410">
            <w:pPr>
              <w:spacing w:after="60"/>
              <w:rPr>
                <w:rFonts w:cs="Arial"/>
                <w:color w:val="000000"/>
                <w:sz w:val="14"/>
                <w:szCs w:val="14"/>
                <w:lang w:val="en-GB"/>
              </w:rPr>
            </w:pPr>
            <w:r w:rsidRPr="00785696">
              <w:rPr>
                <w:rFonts w:cs="Arial"/>
                <w:color w:val="000000"/>
                <w:sz w:val="14"/>
                <w:szCs w:val="14"/>
                <w:lang w:val="en-GB"/>
              </w:rPr>
              <w:t>On applying for a self-insurer permit, the applicant must provide the Board with, amongst other things:</w:t>
            </w:r>
          </w:p>
          <w:p w14:paraId="3636877B" w14:textId="77777777" w:rsidR="00C02A4F" w:rsidRDefault="00C02A4F" w:rsidP="00F839DB">
            <w:pPr>
              <w:pStyle w:val="ListParagraph"/>
              <w:numPr>
                <w:ilvl w:val="0"/>
                <w:numId w:val="321"/>
              </w:numPr>
              <w:spacing w:after="60"/>
              <w:contextualSpacing/>
              <w:rPr>
                <w:rFonts w:eastAsia="Calibri" w:cs="Arial"/>
                <w:sz w:val="14"/>
                <w:szCs w:val="14"/>
                <w:lang w:eastAsia="en-US"/>
              </w:rPr>
            </w:pPr>
            <w:r>
              <w:rPr>
                <w:rFonts w:eastAsia="Calibri" w:cs="Arial"/>
                <w:sz w:val="14"/>
                <w:szCs w:val="14"/>
                <w:lang w:eastAsia="en-US"/>
              </w:rPr>
              <w:t>Application form</w:t>
            </w:r>
          </w:p>
          <w:p w14:paraId="64F8455C" w14:textId="77777777" w:rsidR="00C02A4F" w:rsidRDefault="00C02A4F" w:rsidP="00F839DB">
            <w:pPr>
              <w:pStyle w:val="ListParagraph"/>
              <w:numPr>
                <w:ilvl w:val="0"/>
                <w:numId w:val="321"/>
              </w:numPr>
              <w:spacing w:after="60"/>
              <w:contextualSpacing/>
              <w:rPr>
                <w:rFonts w:eastAsia="Calibri" w:cs="Arial"/>
                <w:sz w:val="14"/>
                <w:szCs w:val="14"/>
                <w:lang w:eastAsia="en-US"/>
              </w:rPr>
            </w:pPr>
            <w:r>
              <w:rPr>
                <w:rFonts w:eastAsia="Calibri" w:cs="Arial"/>
                <w:sz w:val="14"/>
                <w:szCs w:val="14"/>
                <w:lang w:eastAsia="en-US"/>
              </w:rPr>
              <w:t>Financial information</w:t>
            </w:r>
          </w:p>
          <w:p w14:paraId="2389C5CC" w14:textId="77777777" w:rsidR="00C02A4F" w:rsidRDefault="00C02A4F" w:rsidP="00F839DB">
            <w:pPr>
              <w:pStyle w:val="ListParagraph"/>
              <w:numPr>
                <w:ilvl w:val="0"/>
                <w:numId w:val="321"/>
              </w:numPr>
              <w:spacing w:after="60"/>
              <w:contextualSpacing/>
              <w:rPr>
                <w:rFonts w:eastAsia="Calibri" w:cs="Arial"/>
                <w:sz w:val="14"/>
                <w:szCs w:val="14"/>
                <w:lang w:eastAsia="en-US"/>
              </w:rPr>
            </w:pPr>
            <w:r>
              <w:rPr>
                <w:rFonts w:eastAsia="Calibri" w:cs="Arial"/>
                <w:sz w:val="14"/>
                <w:szCs w:val="14"/>
                <w:lang w:eastAsia="en-US"/>
              </w:rPr>
              <w:t>Independent work health and safety audit (National Audit Tool V3 or AS4801)</w:t>
            </w:r>
          </w:p>
          <w:p w14:paraId="7775E1BF" w14:textId="77777777" w:rsidR="00C02A4F" w:rsidRPr="00F36706" w:rsidRDefault="00C02A4F" w:rsidP="005F7410">
            <w:pPr>
              <w:spacing w:after="60"/>
              <w:contextualSpacing/>
              <w:rPr>
                <w:rFonts w:eastAsia="Calibri" w:cs="Arial"/>
                <w:sz w:val="14"/>
                <w:szCs w:val="14"/>
                <w:lang w:eastAsia="en-US"/>
              </w:rPr>
            </w:pPr>
            <w:r>
              <w:rPr>
                <w:rFonts w:eastAsia="Calibri" w:cs="Arial"/>
                <w:sz w:val="14"/>
                <w:szCs w:val="14"/>
                <w:lang w:eastAsia="en-US"/>
              </w:rPr>
              <w:t>O</w:t>
            </w:r>
            <w:r w:rsidRPr="00F36706">
              <w:rPr>
                <w:rFonts w:eastAsia="Calibri" w:cs="Arial"/>
                <w:sz w:val="14"/>
                <w:szCs w:val="14"/>
                <w:lang w:eastAsia="en-US"/>
              </w:rPr>
              <w:t>nce the Board has granted provisional approval for a self-insurer permit, the applicant must provide:</w:t>
            </w:r>
          </w:p>
          <w:p w14:paraId="006256E6" w14:textId="77777777" w:rsidR="00C02A4F" w:rsidRPr="000B6D42" w:rsidRDefault="00C02A4F" w:rsidP="00F839DB">
            <w:pPr>
              <w:pStyle w:val="ListParagraph"/>
              <w:numPr>
                <w:ilvl w:val="0"/>
                <w:numId w:val="321"/>
              </w:numPr>
              <w:spacing w:after="60"/>
              <w:contextualSpacing/>
              <w:rPr>
                <w:rFonts w:eastAsia="Calibri" w:cs="Arial"/>
                <w:sz w:val="14"/>
                <w:szCs w:val="14"/>
                <w:lang w:eastAsia="en-US"/>
              </w:rPr>
            </w:pPr>
            <w:r w:rsidRPr="000B6D42">
              <w:rPr>
                <w:rFonts w:eastAsia="Calibri" w:cs="Arial"/>
                <w:sz w:val="14"/>
                <w:szCs w:val="14"/>
                <w:lang w:eastAsia="en-US"/>
              </w:rPr>
              <w:t xml:space="preserve">a financial undertaking from an APRA approved financial institution </w:t>
            </w:r>
          </w:p>
          <w:p w14:paraId="7FB309B6" w14:textId="77777777" w:rsidR="00C02A4F" w:rsidRPr="00C02A4F" w:rsidRDefault="00C02A4F" w:rsidP="00F839DB">
            <w:pPr>
              <w:pStyle w:val="ListParagraph"/>
              <w:numPr>
                <w:ilvl w:val="0"/>
                <w:numId w:val="321"/>
              </w:numPr>
              <w:spacing w:after="60"/>
              <w:contextualSpacing/>
              <w:rPr>
                <w:rFonts w:cs="Arial"/>
                <w:color w:val="000000"/>
                <w:sz w:val="14"/>
                <w:szCs w:val="14"/>
                <w:lang w:val="en-GB"/>
              </w:rPr>
            </w:pPr>
            <w:r w:rsidRPr="00ED261A">
              <w:rPr>
                <w:rFonts w:eastAsia="Calibri" w:cs="Arial"/>
                <w:sz w:val="14"/>
                <w:szCs w:val="14"/>
                <w:lang w:eastAsia="en-US"/>
              </w:rPr>
              <w:t>evidence of an Excess of Loss Policy secured by the organisation</w:t>
            </w:r>
          </w:p>
          <w:p w14:paraId="0BE94910" w14:textId="128881BB" w:rsidR="00C02A4F" w:rsidRPr="0015307B" w:rsidRDefault="00C02A4F" w:rsidP="00F839DB">
            <w:pPr>
              <w:pStyle w:val="ListParagraph"/>
              <w:numPr>
                <w:ilvl w:val="0"/>
                <w:numId w:val="321"/>
              </w:numPr>
              <w:spacing w:after="60"/>
              <w:contextualSpacing/>
              <w:rPr>
                <w:rFonts w:cs="Arial"/>
                <w:color w:val="000000"/>
                <w:sz w:val="14"/>
                <w:szCs w:val="14"/>
                <w:lang w:val="en-GB"/>
              </w:rPr>
            </w:pPr>
            <w:r w:rsidRPr="000B6D42">
              <w:rPr>
                <w:rFonts w:eastAsia="Calibri"/>
                <w:sz w:val="14"/>
                <w:szCs w:val="14"/>
                <w:lang w:eastAsia="en-US"/>
              </w:rPr>
              <w:t xml:space="preserve">a Deed and Power of Attorney </w:t>
            </w:r>
          </w:p>
        </w:tc>
      </w:tr>
      <w:tr w:rsidR="00C02A4F" w:rsidRPr="00A86AF8" w14:paraId="5C44AA2B" w14:textId="77777777" w:rsidTr="00B2173F">
        <w:tc>
          <w:tcPr>
            <w:tcW w:w="1276" w:type="dxa"/>
            <w:shd w:val="clear" w:color="auto" w:fill="FFC9C9"/>
            <w:tcMar>
              <w:top w:w="80" w:type="dxa"/>
              <w:left w:w="80" w:type="dxa"/>
              <w:bottom w:w="80" w:type="dxa"/>
              <w:right w:w="80" w:type="dxa"/>
            </w:tcMar>
          </w:tcPr>
          <w:p w14:paraId="3B4D780D" w14:textId="77777777" w:rsidR="00C02A4F" w:rsidRPr="00A86AF8" w:rsidRDefault="00C02A4F" w:rsidP="00292A53">
            <w:pPr>
              <w:spacing w:after="60"/>
              <w:rPr>
                <w:rFonts w:eastAsia="Calibri" w:cs="Arial"/>
                <w:b/>
                <w:sz w:val="16"/>
                <w:szCs w:val="16"/>
                <w:lang w:eastAsia="en-US"/>
              </w:rPr>
            </w:pPr>
            <w:bookmarkStart w:id="193" w:name="reinsurance"/>
            <w:r w:rsidRPr="00A86AF8">
              <w:rPr>
                <w:rFonts w:eastAsia="Calibri" w:cs="Arial"/>
                <w:b/>
                <w:sz w:val="16"/>
                <w:szCs w:val="16"/>
                <w:lang w:eastAsia="en-US"/>
              </w:rPr>
              <w:t>Northern Territory</w:t>
            </w:r>
          </w:p>
        </w:tc>
        <w:tc>
          <w:tcPr>
            <w:tcW w:w="2551" w:type="dxa"/>
            <w:shd w:val="clear" w:color="auto" w:fill="FFC9C9"/>
            <w:tcMar>
              <w:top w:w="80" w:type="dxa"/>
              <w:left w:w="80" w:type="dxa"/>
              <w:bottom w:w="80" w:type="dxa"/>
              <w:right w:w="80" w:type="dxa"/>
            </w:tcMar>
          </w:tcPr>
          <w:p w14:paraId="26036FF4" w14:textId="4C436739"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N/A</w:t>
            </w:r>
          </w:p>
        </w:tc>
        <w:tc>
          <w:tcPr>
            <w:tcW w:w="11064" w:type="dxa"/>
            <w:shd w:val="clear" w:color="auto" w:fill="FFC9C9"/>
            <w:tcMar>
              <w:top w:w="80" w:type="dxa"/>
              <w:left w:w="80" w:type="dxa"/>
              <w:bottom w:w="80" w:type="dxa"/>
              <w:right w:w="80" w:type="dxa"/>
            </w:tcMar>
          </w:tcPr>
          <w:p w14:paraId="6CEAA653" w14:textId="03C842FF" w:rsidR="00C02A4F" w:rsidRPr="00A86AF8" w:rsidRDefault="004A09E3" w:rsidP="00292A53">
            <w:pPr>
              <w:spacing w:after="60"/>
              <w:rPr>
                <w:rFonts w:cs="Arial"/>
                <w:color w:val="000000"/>
                <w:sz w:val="14"/>
                <w:szCs w:val="16"/>
                <w:lang w:val="en-GB"/>
              </w:rPr>
            </w:pPr>
            <w:r w:rsidRPr="00016069">
              <w:rPr>
                <w:i/>
                <w:sz w:val="14"/>
              </w:rPr>
              <w:t>Return to Work Act</w:t>
            </w:r>
            <w:r w:rsidRPr="00A86AF8">
              <w:rPr>
                <w:rFonts w:cs="Arial"/>
                <w:color w:val="000000"/>
                <w:sz w:val="14"/>
                <w:szCs w:val="16"/>
                <w:lang w:val="en-GB"/>
              </w:rPr>
              <w:t xml:space="preserve"> </w:t>
            </w:r>
            <w:hyperlink r:id="rId2006" w:history="1">
              <w:r w:rsidR="00C02A4F" w:rsidRPr="004A09E3">
                <w:rPr>
                  <w:rStyle w:val="Hyperlink"/>
                  <w:rFonts w:cs="Arial"/>
                  <w:sz w:val="14"/>
                  <w:szCs w:val="16"/>
                  <w:lang w:val="en-GB"/>
                </w:rPr>
                <w:t>s119</w:t>
              </w:r>
            </w:hyperlink>
            <w:r w:rsidR="00C02A4F" w:rsidRPr="00A86AF8">
              <w:rPr>
                <w:rFonts w:cs="Arial"/>
                <w:color w:val="000000"/>
                <w:sz w:val="14"/>
                <w:szCs w:val="16"/>
                <w:lang w:val="en-GB"/>
              </w:rPr>
              <w:t xml:space="preserve"> and </w:t>
            </w:r>
            <w:hyperlink r:id="rId2007" w:history="1">
              <w:r w:rsidR="00C02A4F" w:rsidRPr="004A09E3">
                <w:rPr>
                  <w:rStyle w:val="Hyperlink"/>
                  <w:rFonts w:cs="Arial"/>
                  <w:sz w:val="14"/>
                  <w:szCs w:val="16"/>
                  <w:lang w:val="en-GB"/>
                </w:rPr>
                <w:t>120</w:t>
              </w:r>
            </w:hyperlink>
            <w:r w:rsidR="00C02A4F" w:rsidRPr="00A86AF8">
              <w:rPr>
                <w:rFonts w:cs="Arial"/>
                <w:color w:val="000000"/>
                <w:sz w:val="14"/>
                <w:szCs w:val="16"/>
                <w:lang w:val="en-GB"/>
              </w:rPr>
              <w:t>.</w:t>
            </w:r>
          </w:p>
          <w:p w14:paraId="00FBB152" w14:textId="65D5D1D2"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Financial viability of the employer — </w:t>
            </w:r>
            <w:hyperlink r:id="rId2008" w:history="1">
              <w:r w:rsidRPr="004A09E3">
                <w:rPr>
                  <w:rStyle w:val="Hyperlink"/>
                  <w:rFonts w:cs="Arial"/>
                  <w:sz w:val="14"/>
                  <w:szCs w:val="16"/>
                  <w:lang w:val="en-GB"/>
                </w:rPr>
                <w:t>s119(3)(d)</w:t>
              </w:r>
            </w:hyperlink>
            <w:r w:rsidRPr="00A86AF8">
              <w:rPr>
                <w:rFonts w:cs="Arial"/>
                <w:color w:val="000000"/>
                <w:sz w:val="14"/>
                <w:szCs w:val="16"/>
                <w:lang w:val="en-GB"/>
              </w:rPr>
              <w:t>, which is to be demonstrated through:</w:t>
            </w:r>
          </w:p>
          <w:p w14:paraId="52CE514F" w14:textId="77777777" w:rsidR="00C02A4F" w:rsidRPr="0015307B" w:rsidRDefault="00C02A4F" w:rsidP="00F839DB">
            <w:pPr>
              <w:pStyle w:val="ListParagraph"/>
              <w:numPr>
                <w:ilvl w:val="0"/>
                <w:numId w:val="322"/>
              </w:numPr>
              <w:spacing w:after="60"/>
              <w:contextualSpacing/>
              <w:rPr>
                <w:rFonts w:eastAsia="Calibri" w:cs="Arial"/>
                <w:sz w:val="14"/>
                <w:szCs w:val="14"/>
                <w:lang w:eastAsia="en-US"/>
              </w:rPr>
            </w:pPr>
            <w:r w:rsidRPr="0015307B">
              <w:rPr>
                <w:rFonts w:eastAsia="Calibri" w:cs="Arial"/>
                <w:sz w:val="14"/>
                <w:szCs w:val="14"/>
                <w:lang w:eastAsia="en-US"/>
              </w:rPr>
              <w:t>the provision of the company’s three latest detailed annual balance sheets, including profit and loss statements, together with notes and their auditor’s report following this</w:t>
            </w:r>
          </w:p>
          <w:p w14:paraId="50121838" w14:textId="77777777" w:rsidR="00C02A4F" w:rsidRPr="0015307B" w:rsidRDefault="00C02A4F" w:rsidP="00F839DB">
            <w:pPr>
              <w:pStyle w:val="ListParagraph"/>
              <w:numPr>
                <w:ilvl w:val="0"/>
                <w:numId w:val="322"/>
              </w:numPr>
              <w:spacing w:after="60"/>
              <w:contextualSpacing/>
              <w:rPr>
                <w:rFonts w:eastAsia="Calibri" w:cs="Arial"/>
                <w:sz w:val="14"/>
                <w:szCs w:val="14"/>
                <w:lang w:eastAsia="en-US"/>
              </w:rPr>
            </w:pPr>
            <w:r w:rsidRPr="0015307B">
              <w:rPr>
                <w:rFonts w:eastAsia="Calibri" w:cs="Arial"/>
                <w:sz w:val="14"/>
                <w:szCs w:val="14"/>
                <w:lang w:eastAsia="en-US"/>
              </w:rPr>
              <w:t>an actuarial report on the company, which details its current NT workers’ compensation liabilities and ability to meet both its current and expected liabilities under the Act</w:t>
            </w:r>
          </w:p>
          <w:p w14:paraId="6137FD73" w14:textId="77777777" w:rsidR="00C02A4F" w:rsidRPr="0015307B" w:rsidRDefault="00C02A4F" w:rsidP="00F839DB">
            <w:pPr>
              <w:pStyle w:val="ListParagraph"/>
              <w:numPr>
                <w:ilvl w:val="0"/>
                <w:numId w:val="322"/>
              </w:numPr>
              <w:spacing w:after="60"/>
              <w:contextualSpacing/>
              <w:rPr>
                <w:rFonts w:eastAsia="Calibri" w:cs="Arial"/>
                <w:sz w:val="14"/>
                <w:szCs w:val="14"/>
                <w:lang w:eastAsia="en-US"/>
              </w:rPr>
            </w:pPr>
            <w:r w:rsidRPr="0015307B">
              <w:rPr>
                <w:rFonts w:eastAsia="Calibri" w:cs="Arial"/>
                <w:sz w:val="14"/>
                <w:szCs w:val="14"/>
                <w:lang w:eastAsia="en-US"/>
              </w:rPr>
              <w:t>reinsurance cover of an unlimited amount in excess of the company’s liability of $1 million (indexed) for any one event, and</w:t>
            </w:r>
          </w:p>
          <w:p w14:paraId="3C030E34" w14:textId="77777777" w:rsidR="00C02A4F" w:rsidRPr="0015307B" w:rsidRDefault="00C02A4F" w:rsidP="00F839DB">
            <w:pPr>
              <w:pStyle w:val="ListParagraph"/>
              <w:numPr>
                <w:ilvl w:val="0"/>
                <w:numId w:val="322"/>
              </w:numPr>
              <w:spacing w:after="60"/>
              <w:contextualSpacing/>
              <w:rPr>
                <w:rFonts w:eastAsia="Calibri" w:cs="Arial"/>
                <w:sz w:val="14"/>
                <w:szCs w:val="14"/>
                <w:lang w:eastAsia="en-US"/>
              </w:rPr>
            </w:pPr>
            <w:r w:rsidRPr="0015307B">
              <w:rPr>
                <w:rFonts w:eastAsia="Calibri" w:cs="Arial"/>
                <w:sz w:val="14"/>
                <w:szCs w:val="14"/>
                <w:lang w:eastAsia="en-US"/>
              </w:rPr>
              <w:t>a three year history of the company’s NT workers’ compensation claims.</w:t>
            </w:r>
          </w:p>
        </w:tc>
      </w:tr>
      <w:tr w:rsidR="00C02A4F" w:rsidRPr="00A86AF8" w14:paraId="26C78C41" w14:textId="77777777" w:rsidTr="00B2173F">
        <w:tc>
          <w:tcPr>
            <w:tcW w:w="1276" w:type="dxa"/>
            <w:tcMar>
              <w:top w:w="80" w:type="dxa"/>
              <w:left w:w="80" w:type="dxa"/>
              <w:bottom w:w="80" w:type="dxa"/>
              <w:right w:w="80" w:type="dxa"/>
            </w:tcMar>
          </w:tcPr>
          <w:p w14:paraId="51412630" w14:textId="77777777" w:rsidR="00C02A4F" w:rsidRPr="00A86AF8" w:rsidRDefault="00C02A4F" w:rsidP="00292A53">
            <w:pPr>
              <w:spacing w:after="60"/>
              <w:rPr>
                <w:rFonts w:eastAsia="Calibri" w:cs="Arial"/>
                <w:b/>
                <w:sz w:val="16"/>
                <w:szCs w:val="16"/>
                <w:lang w:eastAsia="en-US"/>
              </w:rPr>
            </w:pPr>
            <w:r w:rsidRPr="00A86AF8">
              <w:rPr>
                <w:rFonts w:eastAsia="Calibri" w:cs="Arial"/>
                <w:b/>
                <w:sz w:val="16"/>
                <w:szCs w:val="16"/>
                <w:lang w:eastAsia="en-US"/>
              </w:rPr>
              <w:t>Australian Capital Territory</w:t>
            </w:r>
          </w:p>
        </w:tc>
        <w:tc>
          <w:tcPr>
            <w:tcW w:w="2551" w:type="dxa"/>
            <w:tcMar>
              <w:top w:w="80" w:type="dxa"/>
              <w:left w:w="80" w:type="dxa"/>
              <w:bottom w:w="80" w:type="dxa"/>
              <w:right w:w="80" w:type="dxa"/>
            </w:tcMar>
          </w:tcPr>
          <w:p w14:paraId="4B62CEDC" w14:textId="50DBC72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N/A</w:t>
            </w:r>
          </w:p>
        </w:tc>
        <w:tc>
          <w:tcPr>
            <w:tcW w:w="11064" w:type="dxa"/>
            <w:tcMar>
              <w:top w:w="80" w:type="dxa"/>
              <w:left w:w="80" w:type="dxa"/>
              <w:bottom w:w="80" w:type="dxa"/>
              <w:right w:w="80" w:type="dxa"/>
            </w:tcMar>
          </w:tcPr>
          <w:p w14:paraId="28A6BC71" w14:textId="27C00ECC"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Workers Compensation Regulation 2002, </w:t>
            </w:r>
            <w:hyperlink r:id="rId2009" w:history="1">
              <w:r w:rsidRPr="006F0DF9">
                <w:rPr>
                  <w:rStyle w:val="Hyperlink"/>
                  <w:rFonts w:cs="Arial"/>
                  <w:sz w:val="14"/>
                  <w:szCs w:val="16"/>
                  <w:lang w:val="en-GB"/>
                </w:rPr>
                <w:t>Part 10</w:t>
              </w:r>
            </w:hyperlink>
            <w:r w:rsidRPr="00A86AF8">
              <w:rPr>
                <w:rFonts w:cs="Arial"/>
                <w:color w:val="000000"/>
                <w:sz w:val="14"/>
                <w:szCs w:val="16"/>
                <w:lang w:val="en-GB"/>
              </w:rPr>
              <w:t>.</w:t>
            </w:r>
          </w:p>
          <w:p w14:paraId="1F9811D2"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Copy of employer’s annual report and balance sheet for the previous 3 years.</w:t>
            </w:r>
          </w:p>
          <w:p w14:paraId="27F065CE"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Actuarial report containing:</w:t>
            </w:r>
          </w:p>
          <w:p w14:paraId="4C7E525F" w14:textId="77777777" w:rsidR="00C02A4F" w:rsidRPr="0015307B" w:rsidRDefault="00C02A4F" w:rsidP="00F839DB">
            <w:pPr>
              <w:pStyle w:val="ListParagraph"/>
              <w:numPr>
                <w:ilvl w:val="0"/>
                <w:numId w:val="323"/>
              </w:numPr>
              <w:spacing w:after="60"/>
              <w:contextualSpacing/>
              <w:rPr>
                <w:rFonts w:eastAsia="Calibri" w:cs="Arial"/>
                <w:sz w:val="14"/>
                <w:szCs w:val="14"/>
                <w:lang w:eastAsia="en-US"/>
              </w:rPr>
            </w:pPr>
            <w:r w:rsidRPr="0015307B">
              <w:rPr>
                <w:rFonts w:eastAsia="Calibri" w:cs="Arial"/>
                <w:sz w:val="14"/>
                <w:szCs w:val="14"/>
                <w:lang w:eastAsia="en-US"/>
              </w:rPr>
              <w:t>estimate of current outstanding liability in relation to compensable injuries</w:t>
            </w:r>
          </w:p>
          <w:p w14:paraId="252AEBBE" w14:textId="77777777" w:rsidR="00C02A4F" w:rsidRPr="0015307B" w:rsidRDefault="00C02A4F" w:rsidP="00F839DB">
            <w:pPr>
              <w:pStyle w:val="ListParagraph"/>
              <w:numPr>
                <w:ilvl w:val="0"/>
                <w:numId w:val="323"/>
              </w:numPr>
              <w:spacing w:after="60"/>
              <w:contextualSpacing/>
              <w:rPr>
                <w:rFonts w:eastAsia="Calibri" w:cs="Arial"/>
                <w:sz w:val="14"/>
                <w:szCs w:val="14"/>
                <w:lang w:eastAsia="en-US"/>
              </w:rPr>
            </w:pPr>
            <w:r w:rsidRPr="0015307B">
              <w:rPr>
                <w:rFonts w:eastAsia="Calibri" w:cs="Arial"/>
                <w:sz w:val="14"/>
                <w:szCs w:val="14"/>
                <w:lang w:eastAsia="en-US"/>
              </w:rPr>
              <w:t>estimate of the total of the employer’s expected liability for each year in relation to which the employer is applying to be a self-insurer, and</w:t>
            </w:r>
          </w:p>
          <w:p w14:paraId="7AA29AB5" w14:textId="77777777" w:rsidR="00C02A4F" w:rsidRPr="0015307B" w:rsidRDefault="00C02A4F" w:rsidP="00F839DB">
            <w:pPr>
              <w:pStyle w:val="ListParagraph"/>
              <w:numPr>
                <w:ilvl w:val="0"/>
                <w:numId w:val="323"/>
              </w:numPr>
              <w:spacing w:after="60"/>
              <w:contextualSpacing/>
              <w:rPr>
                <w:rFonts w:eastAsia="Calibri" w:cs="Arial"/>
                <w:sz w:val="14"/>
                <w:szCs w:val="14"/>
                <w:lang w:eastAsia="en-US"/>
              </w:rPr>
            </w:pPr>
            <w:r w:rsidRPr="0015307B">
              <w:rPr>
                <w:rFonts w:eastAsia="Calibri" w:cs="Arial"/>
                <w:sz w:val="14"/>
                <w:szCs w:val="14"/>
                <w:lang w:eastAsia="en-US"/>
              </w:rPr>
              <w:t>estimate of the total of the expected payments in satisfaction of the employer’s liability for compensable injuries that will be made for each year in relation to which the employer is applying to be a self-insurer.</w:t>
            </w:r>
          </w:p>
          <w:p w14:paraId="4B1604EB"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A written statement is required from the employer that the employer will be able to meet present and future claims under the Act for which the employer is, or is expected to be liable.</w:t>
            </w:r>
          </w:p>
        </w:tc>
      </w:tr>
      <w:tr w:rsidR="00C02A4F" w:rsidRPr="00A86AF8" w14:paraId="51167872" w14:textId="77777777" w:rsidTr="00B2173F">
        <w:tc>
          <w:tcPr>
            <w:tcW w:w="1276" w:type="dxa"/>
            <w:shd w:val="clear" w:color="auto" w:fill="FFC9C9"/>
            <w:tcMar>
              <w:top w:w="80" w:type="dxa"/>
              <w:left w:w="80" w:type="dxa"/>
              <w:bottom w:w="80" w:type="dxa"/>
              <w:right w:w="80" w:type="dxa"/>
            </w:tcMar>
          </w:tcPr>
          <w:p w14:paraId="505C6E22" w14:textId="77777777" w:rsidR="00C02A4F" w:rsidRPr="00A86AF8" w:rsidRDefault="00C02A4F" w:rsidP="00292A53">
            <w:pPr>
              <w:spacing w:after="60"/>
              <w:rPr>
                <w:rFonts w:eastAsia="Calibri" w:cs="Arial"/>
                <w:b/>
                <w:sz w:val="16"/>
                <w:szCs w:val="16"/>
                <w:lang w:eastAsia="en-US"/>
              </w:rPr>
            </w:pPr>
            <w:r w:rsidRPr="00A86AF8">
              <w:rPr>
                <w:rFonts w:eastAsia="Calibri" w:cs="Arial"/>
                <w:b/>
                <w:sz w:val="16"/>
                <w:szCs w:val="16"/>
                <w:lang w:eastAsia="en-US"/>
              </w:rPr>
              <w:t>C’wealth Comcare</w:t>
            </w:r>
          </w:p>
        </w:tc>
        <w:tc>
          <w:tcPr>
            <w:tcW w:w="2551" w:type="dxa"/>
            <w:shd w:val="clear" w:color="auto" w:fill="FFC9C9"/>
            <w:tcMar>
              <w:top w:w="80" w:type="dxa"/>
              <w:left w:w="80" w:type="dxa"/>
              <w:bottom w:w="80" w:type="dxa"/>
              <w:right w:w="80" w:type="dxa"/>
            </w:tcMar>
          </w:tcPr>
          <w:p w14:paraId="04F9E400" w14:textId="4FAE2167" w:rsidR="00C02A4F" w:rsidRPr="00A86AF8" w:rsidRDefault="00C02A4F" w:rsidP="00292A53">
            <w:pPr>
              <w:spacing w:after="60"/>
              <w:rPr>
                <w:rFonts w:cs="Arial"/>
                <w:color w:val="000000"/>
                <w:sz w:val="14"/>
                <w:szCs w:val="16"/>
                <w:lang w:val="en-GB"/>
              </w:rPr>
            </w:pPr>
            <w:r>
              <w:rPr>
                <w:rFonts w:cs="Arial"/>
                <w:color w:val="000000"/>
                <w:sz w:val="14"/>
                <w:szCs w:val="16"/>
                <w:lang w:val="en-GB"/>
              </w:rPr>
              <w:t>N/A</w:t>
            </w:r>
          </w:p>
        </w:tc>
        <w:tc>
          <w:tcPr>
            <w:tcW w:w="11064" w:type="dxa"/>
            <w:shd w:val="clear" w:color="auto" w:fill="FFC9C9"/>
            <w:tcMar>
              <w:top w:w="80" w:type="dxa"/>
              <w:left w:w="80" w:type="dxa"/>
              <w:bottom w:w="80" w:type="dxa"/>
              <w:right w:w="80" w:type="dxa"/>
            </w:tcMar>
          </w:tcPr>
          <w:p w14:paraId="01AC78B8" w14:textId="66445DA3"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Part VIII — Financial</w:t>
            </w:r>
            <w:r w:rsidRPr="00A86AF8">
              <w:rPr>
                <w:rFonts w:cs="Arial"/>
                <w:color w:val="000000"/>
                <w:sz w:val="14"/>
                <w:szCs w:val="16"/>
              </w:rPr>
              <w:t>:</w:t>
            </w:r>
          </w:p>
          <w:p w14:paraId="509FDE78" w14:textId="77777777" w:rsidR="00C02A4F" w:rsidRPr="0015307B" w:rsidRDefault="00C02A4F" w:rsidP="00F839DB">
            <w:pPr>
              <w:pStyle w:val="ListParagraph"/>
              <w:numPr>
                <w:ilvl w:val="0"/>
                <w:numId w:val="324"/>
              </w:numPr>
              <w:spacing w:after="60"/>
              <w:contextualSpacing/>
              <w:rPr>
                <w:rFonts w:eastAsia="Calibri" w:cs="Arial"/>
                <w:sz w:val="14"/>
                <w:szCs w:val="14"/>
                <w:lang w:eastAsia="en-US"/>
              </w:rPr>
            </w:pPr>
            <w:r w:rsidRPr="0015307B">
              <w:rPr>
                <w:rFonts w:eastAsia="Calibri" w:cs="Arial"/>
                <w:sz w:val="14"/>
                <w:szCs w:val="14"/>
                <w:lang w:eastAsia="en-US"/>
              </w:rPr>
              <w:t>provide previous 5 years’ audited statements</w:t>
            </w:r>
          </w:p>
          <w:p w14:paraId="20268135" w14:textId="77777777" w:rsidR="00C02A4F" w:rsidRPr="0015307B" w:rsidRDefault="00C02A4F" w:rsidP="00F839DB">
            <w:pPr>
              <w:pStyle w:val="ListParagraph"/>
              <w:numPr>
                <w:ilvl w:val="0"/>
                <w:numId w:val="324"/>
              </w:numPr>
              <w:spacing w:after="60"/>
              <w:contextualSpacing/>
              <w:rPr>
                <w:rFonts w:eastAsia="Calibri" w:cs="Arial"/>
                <w:sz w:val="14"/>
                <w:szCs w:val="14"/>
                <w:lang w:eastAsia="en-US"/>
              </w:rPr>
            </w:pPr>
            <w:r w:rsidRPr="0015307B">
              <w:rPr>
                <w:rFonts w:eastAsia="Calibri" w:cs="Arial"/>
                <w:sz w:val="14"/>
                <w:szCs w:val="14"/>
                <w:lang w:eastAsia="en-US"/>
              </w:rPr>
              <w:t>financial viability assessment conducted by independent financial consultant, and</w:t>
            </w:r>
          </w:p>
          <w:p w14:paraId="0037900C" w14:textId="77777777" w:rsidR="00C02A4F" w:rsidRPr="0015307B" w:rsidRDefault="00C02A4F" w:rsidP="00F839DB">
            <w:pPr>
              <w:pStyle w:val="ListParagraph"/>
              <w:numPr>
                <w:ilvl w:val="0"/>
                <w:numId w:val="324"/>
              </w:numPr>
              <w:spacing w:after="60"/>
              <w:contextualSpacing/>
              <w:rPr>
                <w:rFonts w:eastAsia="Calibri" w:cs="Arial"/>
                <w:sz w:val="14"/>
                <w:szCs w:val="14"/>
                <w:lang w:eastAsia="en-US"/>
              </w:rPr>
            </w:pPr>
            <w:r w:rsidRPr="0015307B">
              <w:rPr>
                <w:rFonts w:eastAsia="Calibri" w:cs="Arial"/>
                <w:sz w:val="14"/>
                <w:szCs w:val="14"/>
                <w:lang w:eastAsia="en-US"/>
              </w:rPr>
              <w:t>provide certification from the principal officer that they are not aware of any likely events which may materially impact on the suitability of the applicant for approval.</w:t>
            </w:r>
          </w:p>
          <w:p w14:paraId="6E9DBBE7"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Prudential: </w:t>
            </w:r>
          </w:p>
          <w:p w14:paraId="343E78D1" w14:textId="1BF6B598" w:rsidR="00C02A4F" w:rsidRPr="0015307B" w:rsidRDefault="00C02A4F" w:rsidP="00F839DB">
            <w:pPr>
              <w:pStyle w:val="ListParagraph"/>
              <w:numPr>
                <w:ilvl w:val="0"/>
                <w:numId w:val="325"/>
              </w:numPr>
              <w:spacing w:after="60"/>
              <w:contextualSpacing/>
              <w:rPr>
                <w:rFonts w:eastAsia="Calibri" w:cs="Arial"/>
                <w:sz w:val="14"/>
                <w:szCs w:val="14"/>
                <w:lang w:eastAsia="en-US"/>
              </w:rPr>
            </w:pPr>
            <w:r w:rsidRPr="0015307B">
              <w:rPr>
                <w:rFonts w:eastAsia="Calibri" w:cs="Arial"/>
                <w:sz w:val="14"/>
                <w:szCs w:val="14"/>
                <w:lang w:eastAsia="en-US"/>
              </w:rPr>
              <w:t>must have the actuary prepare a liability report to the Safety, Rehabilitation and Compensation Commission’s (the</w:t>
            </w:r>
            <w:r>
              <w:rPr>
                <w:rFonts w:eastAsia="Calibri" w:cs="Arial"/>
                <w:sz w:val="14"/>
                <w:szCs w:val="14"/>
                <w:lang w:eastAsia="en-US"/>
              </w:rPr>
              <w:t xml:space="preserve"> </w:t>
            </w:r>
            <w:r w:rsidRPr="0015307B">
              <w:rPr>
                <w:rFonts w:eastAsia="Calibri" w:cs="Arial"/>
                <w:sz w:val="14"/>
                <w:szCs w:val="14"/>
                <w:lang w:eastAsia="en-US"/>
              </w:rPr>
              <w:t>Commission) requirements</w:t>
            </w:r>
          </w:p>
          <w:p w14:paraId="5BADC15E" w14:textId="77777777" w:rsidR="00C02A4F" w:rsidRPr="0015307B" w:rsidRDefault="00C02A4F" w:rsidP="00F839DB">
            <w:pPr>
              <w:pStyle w:val="ListParagraph"/>
              <w:numPr>
                <w:ilvl w:val="0"/>
                <w:numId w:val="325"/>
              </w:numPr>
              <w:spacing w:after="60"/>
              <w:ind w:left="357" w:hanging="357"/>
              <w:rPr>
                <w:rFonts w:eastAsia="Calibri" w:cs="Arial"/>
                <w:sz w:val="14"/>
                <w:szCs w:val="14"/>
                <w:lang w:eastAsia="en-US"/>
              </w:rPr>
            </w:pPr>
            <w:r w:rsidRPr="0015307B">
              <w:rPr>
                <w:rFonts w:eastAsia="Calibri" w:cs="Arial"/>
                <w:sz w:val="14"/>
                <w:szCs w:val="14"/>
                <w:lang w:eastAsia="en-US"/>
              </w:rPr>
              <w:lastRenderedPageBreak/>
              <w:t xml:space="preserve">the liability report must: </w:t>
            </w:r>
          </w:p>
          <w:p w14:paraId="33E00C04" w14:textId="77777777" w:rsidR="00C02A4F" w:rsidRPr="0015307B" w:rsidRDefault="00C02A4F" w:rsidP="00F839DB">
            <w:pPr>
              <w:pStyle w:val="ListParagraph"/>
              <w:numPr>
                <w:ilvl w:val="0"/>
                <w:numId w:val="326"/>
              </w:numPr>
              <w:spacing w:after="60"/>
              <w:ind w:left="635" w:hanging="283"/>
              <w:rPr>
                <w:rFonts w:cs="Arial"/>
                <w:color w:val="000000"/>
                <w:sz w:val="14"/>
                <w:szCs w:val="16"/>
                <w:lang w:val="en-GB"/>
              </w:rPr>
            </w:pPr>
            <w:r w:rsidRPr="0015307B">
              <w:rPr>
                <w:rFonts w:cs="Arial"/>
                <w:color w:val="000000"/>
                <w:sz w:val="14"/>
                <w:szCs w:val="16"/>
                <w:lang w:val="en-GB"/>
              </w:rPr>
              <w:t xml:space="preserve">include an estimate of the applicant’s outstanding liability at the end of the first 12 and 24 months of the licence </w:t>
            </w:r>
          </w:p>
          <w:p w14:paraId="3539B944" w14:textId="77777777" w:rsidR="00C02A4F" w:rsidRPr="0015307B" w:rsidRDefault="00C02A4F" w:rsidP="00F839DB">
            <w:pPr>
              <w:pStyle w:val="ListParagraph"/>
              <w:numPr>
                <w:ilvl w:val="0"/>
                <w:numId w:val="326"/>
              </w:numPr>
              <w:spacing w:after="60"/>
              <w:ind w:left="635" w:hanging="283"/>
              <w:rPr>
                <w:rFonts w:cs="Arial"/>
                <w:color w:val="000000"/>
                <w:sz w:val="14"/>
                <w:szCs w:val="16"/>
                <w:lang w:val="en-GB"/>
              </w:rPr>
            </w:pPr>
            <w:r w:rsidRPr="0015307B">
              <w:rPr>
                <w:rFonts w:cs="Arial"/>
                <w:color w:val="000000"/>
                <w:sz w:val="14"/>
                <w:szCs w:val="16"/>
                <w:lang w:val="en-GB"/>
              </w:rPr>
              <w:t xml:space="preserve">advise the level of guarantee required (calculated by the actuary at the 95th percentile of projected outstanding claims liabilities in 24 months’ time from the licence commencement date, and </w:t>
            </w:r>
          </w:p>
          <w:p w14:paraId="028527F2" w14:textId="67C9124D" w:rsidR="00C02A4F" w:rsidRPr="0015307B" w:rsidRDefault="00C02A4F" w:rsidP="00F839DB">
            <w:pPr>
              <w:pStyle w:val="ListParagraph"/>
              <w:numPr>
                <w:ilvl w:val="0"/>
                <w:numId w:val="326"/>
              </w:numPr>
              <w:spacing w:after="60"/>
              <w:ind w:left="635" w:hanging="283"/>
              <w:rPr>
                <w:rFonts w:cs="Arial"/>
                <w:color w:val="000000"/>
                <w:sz w:val="14"/>
                <w:szCs w:val="16"/>
                <w:lang w:val="en-GB"/>
              </w:rPr>
            </w:pPr>
            <w:r w:rsidRPr="0015307B">
              <w:rPr>
                <w:rFonts w:cs="Arial"/>
                <w:color w:val="000000"/>
                <w:sz w:val="14"/>
                <w:szCs w:val="16"/>
                <w:lang w:val="en-GB"/>
              </w:rPr>
              <w:t>the addition of one reinsurance</w:t>
            </w:r>
            <w:r>
              <w:rPr>
                <w:rFonts w:cs="Arial"/>
                <w:color w:val="000000"/>
                <w:sz w:val="14"/>
                <w:szCs w:val="16"/>
                <w:lang w:val="en-GB"/>
              </w:rPr>
              <w:fldChar w:fldCharType="begin"/>
            </w:r>
            <w:r>
              <w:instrText xml:space="preserve"> XE "</w:instrText>
            </w:r>
            <w:r w:rsidRPr="001854C8">
              <w:instrText>reinsurance</w:instrText>
            </w:r>
            <w:r>
              <w:instrText xml:space="preserve">" \r "reinsurance" </w:instrText>
            </w:r>
            <w:r>
              <w:rPr>
                <w:rFonts w:cs="Arial"/>
                <w:color w:val="000000"/>
                <w:sz w:val="14"/>
                <w:szCs w:val="16"/>
                <w:lang w:val="en-GB"/>
              </w:rPr>
              <w:fldChar w:fldCharType="end"/>
            </w:r>
            <w:r w:rsidRPr="0015307B">
              <w:rPr>
                <w:rFonts w:cs="Arial"/>
                <w:color w:val="000000"/>
                <w:sz w:val="14"/>
                <w:szCs w:val="16"/>
                <w:lang w:val="en-GB"/>
              </w:rPr>
              <w:t xml:space="preserve"> policy retention amount</w:t>
            </w:r>
          </w:p>
          <w:p w14:paraId="495A11E8" w14:textId="77777777" w:rsidR="00C02A4F" w:rsidRPr="0015307B" w:rsidRDefault="00C02A4F" w:rsidP="00F839DB">
            <w:pPr>
              <w:pStyle w:val="ListParagraph"/>
              <w:numPr>
                <w:ilvl w:val="0"/>
                <w:numId w:val="327"/>
              </w:numPr>
              <w:spacing w:after="60"/>
              <w:contextualSpacing/>
              <w:rPr>
                <w:rFonts w:eastAsia="Calibri" w:cs="Arial"/>
                <w:sz w:val="14"/>
                <w:szCs w:val="14"/>
                <w:lang w:eastAsia="en-US"/>
              </w:rPr>
            </w:pPr>
            <w:r w:rsidRPr="0015307B">
              <w:rPr>
                <w:rFonts w:eastAsia="Calibri" w:cs="Arial"/>
                <w:sz w:val="14"/>
                <w:szCs w:val="14"/>
                <w:lang w:eastAsia="en-US"/>
              </w:rPr>
              <w:t>must recommend appropriate reinsurance arrangements and comment on the suitability of arrangements, and assess the applicant’s capacity to pay amounts up to the recommended reinsurance excess amount, and</w:t>
            </w:r>
          </w:p>
          <w:p w14:paraId="1F6DC475" w14:textId="77777777" w:rsidR="00C02A4F" w:rsidRPr="0015307B" w:rsidRDefault="00C02A4F" w:rsidP="00F839DB">
            <w:pPr>
              <w:pStyle w:val="ListParagraph"/>
              <w:numPr>
                <w:ilvl w:val="0"/>
                <w:numId w:val="327"/>
              </w:numPr>
              <w:spacing w:after="60"/>
              <w:contextualSpacing/>
              <w:rPr>
                <w:rFonts w:eastAsia="Calibri" w:cs="Arial"/>
                <w:sz w:val="14"/>
                <w:szCs w:val="14"/>
                <w:lang w:eastAsia="en-US"/>
              </w:rPr>
            </w:pPr>
            <w:r w:rsidRPr="0015307B">
              <w:rPr>
                <w:rFonts w:eastAsia="Calibri" w:cs="Arial"/>
                <w:sz w:val="14"/>
                <w:szCs w:val="14"/>
                <w:lang w:eastAsia="en-US"/>
              </w:rPr>
              <w:t>the applicant is required to obtain the bank or other guarantee in the form required by the Commission and appropriate reinsurance cover, before the commencement of the licence.</w:t>
            </w:r>
          </w:p>
        </w:tc>
      </w:tr>
      <w:tr w:rsidR="00C02A4F" w:rsidRPr="00A86AF8" w14:paraId="18DAA991" w14:textId="77777777" w:rsidTr="00B2173F">
        <w:tc>
          <w:tcPr>
            <w:tcW w:w="1276" w:type="dxa"/>
            <w:tcMar>
              <w:top w:w="80" w:type="dxa"/>
              <w:left w:w="80" w:type="dxa"/>
              <w:bottom w:w="80" w:type="dxa"/>
              <w:right w:w="80" w:type="dxa"/>
            </w:tcMar>
          </w:tcPr>
          <w:p w14:paraId="6617933D" w14:textId="77777777" w:rsidR="00C02A4F" w:rsidRPr="00A86AF8" w:rsidRDefault="00C02A4F" w:rsidP="00292A53">
            <w:pPr>
              <w:spacing w:after="60"/>
              <w:rPr>
                <w:rFonts w:eastAsia="Calibri" w:cs="Arial"/>
                <w:b/>
                <w:sz w:val="16"/>
                <w:szCs w:val="16"/>
                <w:lang w:eastAsia="en-US"/>
              </w:rPr>
            </w:pPr>
            <w:r w:rsidRPr="00A86AF8">
              <w:rPr>
                <w:rFonts w:eastAsia="Calibri" w:cs="Arial"/>
                <w:b/>
                <w:sz w:val="16"/>
                <w:szCs w:val="16"/>
                <w:lang w:eastAsia="en-US"/>
              </w:rPr>
              <w:lastRenderedPageBreak/>
              <w:t>New Zealand</w:t>
            </w:r>
          </w:p>
        </w:tc>
        <w:tc>
          <w:tcPr>
            <w:tcW w:w="2551" w:type="dxa"/>
            <w:tcMar>
              <w:top w:w="80" w:type="dxa"/>
              <w:left w:w="80" w:type="dxa"/>
              <w:bottom w:w="80" w:type="dxa"/>
              <w:right w:w="80" w:type="dxa"/>
            </w:tcMar>
          </w:tcPr>
          <w:p w14:paraId="31788598" w14:textId="3760E1F6"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No specific minimum emplo</w:t>
            </w:r>
            <w:r>
              <w:rPr>
                <w:rFonts w:cs="Arial"/>
                <w:color w:val="000000"/>
                <w:sz w:val="14"/>
                <w:szCs w:val="16"/>
                <w:lang w:val="en-GB"/>
              </w:rPr>
              <w:t>yee number</w:t>
            </w:r>
          </w:p>
          <w:p w14:paraId="77A9EA69" w14:textId="70A27C78"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In practice, the pricing mechanism makes entry to the program not financially viable to employer whose standard levy is less than </w:t>
            </w:r>
            <w:r w:rsidRPr="00A86AF8">
              <w:rPr>
                <w:rFonts w:cs="Arial"/>
                <w:color w:val="000000"/>
                <w:sz w:val="14"/>
                <w:szCs w:val="16"/>
                <w:lang w:val="en-GB"/>
              </w:rPr>
              <w:br/>
              <w:t>NZ$250</w:t>
            </w:r>
            <w:r>
              <w:rPr>
                <w:rFonts w:cs="Arial"/>
                <w:color w:val="000000"/>
                <w:sz w:val="14"/>
                <w:szCs w:val="16"/>
                <w:lang w:val="en-GB"/>
              </w:rPr>
              <w:t>,</w:t>
            </w:r>
            <w:r w:rsidRPr="00A86AF8">
              <w:rPr>
                <w:rFonts w:cs="Arial"/>
                <w:color w:val="000000"/>
                <w:sz w:val="14"/>
                <w:szCs w:val="16"/>
                <w:lang w:val="en-GB"/>
              </w:rPr>
              <w:t>000.</w:t>
            </w:r>
          </w:p>
        </w:tc>
        <w:tc>
          <w:tcPr>
            <w:tcW w:w="11064" w:type="dxa"/>
            <w:tcMar>
              <w:top w:w="80" w:type="dxa"/>
              <w:left w:w="80" w:type="dxa"/>
              <w:bottom w:w="80" w:type="dxa"/>
              <w:right w:w="80" w:type="dxa"/>
            </w:tcMar>
          </w:tcPr>
          <w:p w14:paraId="4C92C850" w14:textId="1FE8A1C5" w:rsidR="00C02A4F" w:rsidRPr="00A86AF8" w:rsidRDefault="00317E23" w:rsidP="00292A53">
            <w:pPr>
              <w:spacing w:after="60"/>
              <w:rPr>
                <w:rFonts w:cs="Arial"/>
                <w:color w:val="000000"/>
                <w:sz w:val="14"/>
                <w:szCs w:val="16"/>
                <w:lang w:val="en-GB"/>
              </w:rPr>
            </w:pPr>
            <w:r w:rsidRPr="00016069">
              <w:rPr>
                <w:i/>
                <w:sz w:val="14"/>
              </w:rPr>
              <w:t>Accident Compensation Act 2001</w:t>
            </w:r>
            <w:r>
              <w:rPr>
                <w:rFonts w:cs="Arial"/>
                <w:color w:val="000000"/>
                <w:sz w:val="14"/>
                <w:szCs w:val="16"/>
                <w:lang w:val="en-GB"/>
              </w:rPr>
              <w:t xml:space="preserve"> </w:t>
            </w:r>
            <w:hyperlink r:id="rId2010" w:history="1">
              <w:r w:rsidR="00C02A4F" w:rsidRPr="00317E23">
                <w:rPr>
                  <w:rStyle w:val="Hyperlink"/>
                  <w:rFonts w:cs="Arial"/>
                  <w:sz w:val="14"/>
                  <w:szCs w:val="16"/>
                  <w:lang w:val="en-GB"/>
                </w:rPr>
                <w:t>s185</w:t>
              </w:r>
            </w:hyperlink>
            <w:r w:rsidR="00C02A4F" w:rsidRPr="00A86AF8">
              <w:rPr>
                <w:rFonts w:cs="Arial"/>
                <w:color w:val="000000"/>
                <w:sz w:val="14"/>
                <w:szCs w:val="16"/>
                <w:lang w:val="en-GB"/>
              </w:rPr>
              <w:t xml:space="preserve"> — Employers must provide evidence to prove their solvency and their ability to meet their obligations under the programme prior to acceptance in to the programme. </w:t>
            </w:r>
          </w:p>
          <w:p w14:paraId="361B7CCE"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ACC is required to satisfy itself in respect of an employers net worth, that the employer’s contingent liabilities are not excessive, that it has satisfactory solvency, liquidity and profitability ratios over a period of time (usually three years).</w:t>
            </w:r>
          </w:p>
          <w:p w14:paraId="578FB936"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The measures are:</w:t>
            </w:r>
          </w:p>
          <w:p w14:paraId="3FC1264F"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it has substantial net worth</w:t>
            </w:r>
          </w:p>
          <w:p w14:paraId="6FE7686F"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that its contingent liabilities are not excessive (details to be provided including an evaluation as to likely crystallisation of those liabilities)</w:t>
            </w:r>
          </w:p>
          <w:p w14:paraId="1B9E4BF5"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it has an appropriate working capital ratio based on current assets divided by current liabilities</w:t>
            </w:r>
          </w:p>
          <w:p w14:paraId="22D4C38F"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it has an appropriate equity to debt ratio, and</w:t>
            </w:r>
          </w:p>
          <w:p w14:paraId="575EF859"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it has an appropriate return on equity.</w:t>
            </w:r>
          </w:p>
          <w:p w14:paraId="716A5F65"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These figures should, where possible, be provided for the 3 financial periods preceding the application and include best estimates for at least the then current financial period and the next financial period (‘period’ normally meaning a year).</w:t>
            </w:r>
          </w:p>
        </w:tc>
      </w:tr>
      <w:bookmarkEnd w:id="191"/>
      <w:bookmarkEnd w:id="192"/>
      <w:bookmarkEnd w:id="193"/>
    </w:tbl>
    <w:p w14:paraId="17A7ED87" w14:textId="77777777" w:rsidR="00A86AF8" w:rsidRPr="00A86AF8" w:rsidRDefault="00A86AF8" w:rsidP="00A86AF8">
      <w:pPr>
        <w:spacing w:after="200" w:line="276" w:lineRule="auto"/>
        <w:rPr>
          <w:rFonts w:eastAsia="Calibri" w:cs="Arial"/>
          <w:sz w:val="22"/>
          <w:szCs w:val="22"/>
          <w:lang w:eastAsia="en-US"/>
        </w:rPr>
      </w:pPr>
    </w:p>
    <w:p w14:paraId="3D67BB02" w14:textId="221A100E" w:rsidR="00112A7D" w:rsidRPr="00205CCE" w:rsidRDefault="00C709C9" w:rsidP="00205CCE">
      <w:pPr>
        <w:pStyle w:val="SWATableheader"/>
      </w:pPr>
      <w:bookmarkStart w:id="194" w:name="_Toc504654705"/>
      <w:r w:rsidRPr="00205CCE">
        <w:lastRenderedPageBreak/>
        <w:t>T</w:t>
      </w:r>
      <w:r w:rsidR="00112A7D" w:rsidRPr="00205CCE">
        <w:t>able 6.3: Approval process, application and ongoing costs and duration of licence</w:t>
      </w:r>
      <w:bookmarkEnd w:id="194"/>
      <w:r w:rsidR="00112A7D" w:rsidRPr="00205CCE">
        <w:t xml:space="preserve"> </w:t>
      </w:r>
      <w:r w:rsidR="00306D40" w:rsidRPr="00205CCE">
        <w:fldChar w:fldCharType="begin"/>
      </w:r>
      <w:r w:rsidR="00306D40" w:rsidRPr="00205CCE">
        <w:instrText xml:space="preserve"> XE "levies:licences (self-insurance) approval processes, costs and licence" \r "licences" </w:instrText>
      </w:r>
      <w:r w:rsidR="00306D40" w:rsidRPr="00205CCE">
        <w:fldChar w:fldCharType="end"/>
      </w:r>
      <w:r w:rsidR="000B568E" w:rsidRPr="00205CCE">
        <w:fldChar w:fldCharType="begin"/>
      </w:r>
      <w:r w:rsidR="000B568E" w:rsidRPr="00205CCE">
        <w:instrText xml:space="preserve"> XE "self-insurer arrangements:approval process, costs and licence" \r "approval" </w:instrText>
      </w:r>
      <w:r w:rsidR="000B568E" w:rsidRPr="00205CCE">
        <w:fldChar w:fldCharType="end"/>
      </w:r>
      <w:r w:rsidR="000B568E" w:rsidRPr="00205CCE">
        <w:fldChar w:fldCharType="begin"/>
      </w:r>
      <w:r w:rsidR="000B568E" w:rsidRPr="00205CCE">
        <w:instrText xml:space="preserve"> XE "self-insurer arrangements:ongoing requirements see self-insurer arrangements standards and performance" \t "" </w:instrText>
      </w:r>
      <w:r w:rsidR="000B568E" w:rsidRPr="00205CCE">
        <w:fldChar w:fldCharType="end"/>
      </w:r>
    </w:p>
    <w:tbl>
      <w:tblPr>
        <w:tblpPr w:leftFromText="180" w:rightFromText="180" w:vertAnchor="text"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3: Approval process, application and ongoing costs and duration of licence  "/>
        <w:tblDescription w:val="This table outlines the approval process, application and ongoing costs and duration of licence for self-insurers. "/>
      </w:tblPr>
      <w:tblGrid>
        <w:gridCol w:w="1343"/>
        <w:gridCol w:w="4557"/>
        <w:gridCol w:w="4557"/>
        <w:gridCol w:w="4558"/>
      </w:tblGrid>
      <w:tr w:rsidR="00C65EB9" w:rsidRPr="00112A7D" w14:paraId="1CEB4D9D" w14:textId="77777777" w:rsidTr="00B2173F">
        <w:trPr>
          <w:tblHeader/>
        </w:trPr>
        <w:tc>
          <w:tcPr>
            <w:tcW w:w="1343" w:type="dxa"/>
            <w:shd w:val="clear" w:color="auto" w:fill="C00000"/>
            <w:tcMar>
              <w:top w:w="0" w:type="dxa"/>
              <w:left w:w="0" w:type="dxa"/>
              <w:bottom w:w="0" w:type="dxa"/>
              <w:right w:w="0" w:type="dxa"/>
            </w:tcMar>
            <w:vAlign w:val="center"/>
          </w:tcPr>
          <w:p w14:paraId="4F7E1ABC" w14:textId="77777777" w:rsidR="00112A7D" w:rsidRPr="00112A7D" w:rsidRDefault="00112A7D" w:rsidP="00292A53">
            <w:pPr>
              <w:pStyle w:val="Tableheaderrow"/>
              <w:spacing w:after="60"/>
            </w:pPr>
            <w:bookmarkStart w:id="195" w:name="licences"/>
            <w:bookmarkStart w:id="196" w:name="approval"/>
          </w:p>
        </w:tc>
        <w:tc>
          <w:tcPr>
            <w:tcW w:w="4557" w:type="dxa"/>
            <w:shd w:val="clear" w:color="auto" w:fill="C00000"/>
            <w:tcMar>
              <w:top w:w="0" w:type="dxa"/>
              <w:left w:w="0" w:type="dxa"/>
              <w:bottom w:w="0" w:type="dxa"/>
              <w:right w:w="0" w:type="dxa"/>
            </w:tcMar>
            <w:vAlign w:val="center"/>
          </w:tcPr>
          <w:p w14:paraId="33D4846D" w14:textId="77777777" w:rsidR="00112A7D" w:rsidRPr="00112A7D" w:rsidRDefault="00112A7D" w:rsidP="00292A53">
            <w:pPr>
              <w:pStyle w:val="Tableheaderrow"/>
              <w:spacing w:after="60"/>
            </w:pPr>
            <w:r w:rsidRPr="00112A7D">
              <w:t>Applications process</w:t>
            </w:r>
          </w:p>
        </w:tc>
        <w:tc>
          <w:tcPr>
            <w:tcW w:w="4557" w:type="dxa"/>
            <w:shd w:val="clear" w:color="auto" w:fill="C00000"/>
            <w:tcMar>
              <w:top w:w="0" w:type="dxa"/>
              <w:left w:w="0" w:type="dxa"/>
              <w:bottom w:w="0" w:type="dxa"/>
              <w:right w:w="0" w:type="dxa"/>
            </w:tcMar>
            <w:vAlign w:val="center"/>
          </w:tcPr>
          <w:p w14:paraId="7AE9132D" w14:textId="77777777" w:rsidR="00112A7D" w:rsidRPr="00112A7D" w:rsidRDefault="00112A7D" w:rsidP="00292A53">
            <w:pPr>
              <w:pStyle w:val="Tableheaderrow"/>
              <w:spacing w:after="60"/>
            </w:pPr>
            <w:r w:rsidRPr="00112A7D">
              <w:t>Application and ongoing costs</w:t>
            </w:r>
          </w:p>
        </w:tc>
        <w:tc>
          <w:tcPr>
            <w:tcW w:w="4558" w:type="dxa"/>
            <w:shd w:val="clear" w:color="auto" w:fill="C00000"/>
            <w:tcMar>
              <w:top w:w="0" w:type="dxa"/>
              <w:left w:w="0" w:type="dxa"/>
              <w:bottom w:w="0" w:type="dxa"/>
              <w:right w:w="0" w:type="dxa"/>
            </w:tcMar>
            <w:vAlign w:val="center"/>
          </w:tcPr>
          <w:p w14:paraId="5A918D6C" w14:textId="77777777" w:rsidR="00112A7D" w:rsidRPr="00112A7D" w:rsidRDefault="00112A7D" w:rsidP="00292A53">
            <w:pPr>
              <w:pStyle w:val="Tableheaderrow"/>
              <w:spacing w:after="60"/>
            </w:pPr>
            <w:r w:rsidRPr="00112A7D">
              <w:t>Duration of license</w:t>
            </w:r>
          </w:p>
        </w:tc>
      </w:tr>
      <w:tr w:rsidR="00C65EB9" w:rsidRPr="00112A7D" w14:paraId="6E04F893" w14:textId="77777777" w:rsidTr="00B2173F">
        <w:tc>
          <w:tcPr>
            <w:tcW w:w="1343" w:type="dxa"/>
            <w:shd w:val="clear" w:color="auto" w:fill="FFC9C9"/>
            <w:tcMar>
              <w:top w:w="80" w:type="dxa"/>
              <w:left w:w="80" w:type="dxa"/>
              <w:bottom w:w="80" w:type="dxa"/>
              <w:right w:w="80" w:type="dxa"/>
            </w:tcMar>
          </w:tcPr>
          <w:p w14:paraId="0A0D50A9"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New South Wales</w:t>
            </w:r>
          </w:p>
        </w:tc>
        <w:tc>
          <w:tcPr>
            <w:tcW w:w="4557" w:type="dxa"/>
            <w:shd w:val="clear" w:color="auto" w:fill="FFC9C9"/>
            <w:tcMar>
              <w:top w:w="80" w:type="dxa"/>
              <w:left w:w="80" w:type="dxa"/>
              <w:bottom w:w="80" w:type="dxa"/>
              <w:right w:w="80" w:type="dxa"/>
            </w:tcMar>
          </w:tcPr>
          <w:p w14:paraId="3BDC27F4" w14:textId="77777777" w:rsidR="00112A7D" w:rsidRPr="00CF1656" w:rsidRDefault="00112A7D" w:rsidP="00F839DB">
            <w:pPr>
              <w:pStyle w:val="ListParagraph"/>
              <w:numPr>
                <w:ilvl w:val="0"/>
                <w:numId w:val="329"/>
              </w:numPr>
              <w:spacing w:after="60"/>
              <w:ind w:left="357" w:hanging="357"/>
              <w:contextualSpacing/>
              <w:rPr>
                <w:rFonts w:eastAsia="Calibri" w:cs="Arial"/>
                <w:sz w:val="14"/>
                <w:szCs w:val="14"/>
                <w:lang w:eastAsia="en-US"/>
              </w:rPr>
            </w:pPr>
            <w:r w:rsidRPr="00CF1656">
              <w:rPr>
                <w:rFonts w:eastAsia="Calibri" w:cs="Arial"/>
                <w:sz w:val="14"/>
                <w:szCs w:val="14"/>
                <w:lang w:eastAsia="en-US"/>
              </w:rPr>
              <w:t>Acknowledge receipt of application fee.</w:t>
            </w:r>
          </w:p>
          <w:p w14:paraId="07F59D33" w14:textId="77777777" w:rsidR="00112A7D" w:rsidRPr="00CF1656" w:rsidRDefault="00112A7D" w:rsidP="00F839DB">
            <w:pPr>
              <w:pStyle w:val="ListParagraph"/>
              <w:numPr>
                <w:ilvl w:val="0"/>
                <w:numId w:val="329"/>
              </w:numPr>
              <w:spacing w:after="60"/>
              <w:contextualSpacing/>
              <w:rPr>
                <w:rFonts w:eastAsia="Calibri" w:cs="Arial"/>
                <w:sz w:val="14"/>
                <w:szCs w:val="14"/>
                <w:lang w:eastAsia="en-US"/>
              </w:rPr>
            </w:pPr>
            <w:r w:rsidRPr="00CF1656">
              <w:rPr>
                <w:rFonts w:eastAsia="Calibri" w:cs="Arial"/>
                <w:sz w:val="14"/>
                <w:szCs w:val="14"/>
                <w:lang w:eastAsia="en-US"/>
              </w:rPr>
              <w:t>Validate application information and request missing or additional information required for the review.</w:t>
            </w:r>
          </w:p>
          <w:p w14:paraId="749C7408" w14:textId="2021E6C1" w:rsidR="00112A7D" w:rsidRPr="00CF1656" w:rsidRDefault="00112A7D" w:rsidP="00F839DB">
            <w:pPr>
              <w:pStyle w:val="ListParagraph"/>
              <w:numPr>
                <w:ilvl w:val="0"/>
                <w:numId w:val="329"/>
              </w:numPr>
              <w:spacing w:after="60"/>
              <w:contextualSpacing/>
              <w:rPr>
                <w:rFonts w:eastAsia="Calibri" w:cs="Arial"/>
                <w:sz w:val="14"/>
                <w:szCs w:val="14"/>
                <w:lang w:eastAsia="en-US"/>
              </w:rPr>
            </w:pPr>
            <w:r w:rsidRPr="00CF1656">
              <w:rPr>
                <w:rFonts w:eastAsia="Calibri" w:cs="Arial"/>
                <w:sz w:val="14"/>
                <w:szCs w:val="14"/>
                <w:lang w:eastAsia="en-US"/>
              </w:rPr>
              <w:t xml:space="preserve">Review application in different areas including financial, injury and claims management (case management), and data management. </w:t>
            </w:r>
          </w:p>
          <w:p w14:paraId="311C5430" w14:textId="77777777" w:rsidR="00112A7D" w:rsidRPr="00CF1656" w:rsidRDefault="00112A7D" w:rsidP="00F839DB">
            <w:pPr>
              <w:pStyle w:val="ListParagraph"/>
              <w:numPr>
                <w:ilvl w:val="0"/>
                <w:numId w:val="329"/>
              </w:numPr>
              <w:spacing w:after="60"/>
              <w:contextualSpacing/>
              <w:rPr>
                <w:rFonts w:eastAsia="Calibri" w:cs="Arial"/>
                <w:sz w:val="14"/>
                <w:szCs w:val="14"/>
                <w:lang w:eastAsia="en-US"/>
              </w:rPr>
            </w:pPr>
            <w:r w:rsidRPr="00CF1656">
              <w:rPr>
                <w:rFonts w:eastAsia="Calibri" w:cs="Arial"/>
                <w:sz w:val="14"/>
                <w:szCs w:val="14"/>
                <w:lang w:eastAsia="en-US"/>
              </w:rPr>
              <w:t>Prepare Executive Director Submission to recommend either approving or rejecting application.</w:t>
            </w:r>
          </w:p>
          <w:p w14:paraId="26D683E4" w14:textId="77777777" w:rsidR="00112A7D" w:rsidRPr="00CF1656" w:rsidRDefault="00112A7D" w:rsidP="00F839DB">
            <w:pPr>
              <w:pStyle w:val="ListParagraph"/>
              <w:numPr>
                <w:ilvl w:val="0"/>
                <w:numId w:val="329"/>
              </w:numPr>
              <w:spacing w:after="60"/>
              <w:contextualSpacing/>
              <w:rPr>
                <w:rFonts w:eastAsia="Calibri" w:cs="Arial"/>
                <w:sz w:val="14"/>
                <w:szCs w:val="14"/>
                <w:lang w:eastAsia="en-US"/>
              </w:rPr>
            </w:pPr>
            <w:r w:rsidRPr="00CF1656">
              <w:rPr>
                <w:rFonts w:eastAsia="Calibri" w:cs="Arial"/>
                <w:sz w:val="14"/>
                <w:szCs w:val="14"/>
                <w:lang w:eastAsia="en-US"/>
              </w:rPr>
              <w:t>Prepare letter to notify the applicant of either granting the licence with the date of commencement or rejecting the application.</w:t>
            </w:r>
          </w:p>
        </w:tc>
        <w:tc>
          <w:tcPr>
            <w:tcW w:w="4557" w:type="dxa"/>
            <w:shd w:val="clear" w:color="auto" w:fill="FFC9C9"/>
            <w:tcMar>
              <w:top w:w="80" w:type="dxa"/>
              <w:left w:w="80" w:type="dxa"/>
              <w:bottom w:w="80" w:type="dxa"/>
              <w:right w:w="80" w:type="dxa"/>
            </w:tcMar>
          </w:tcPr>
          <w:p w14:paraId="0E8E7C20" w14:textId="4526E789" w:rsidR="00F81142" w:rsidRPr="00476A58" w:rsidRDefault="00F81142" w:rsidP="00F839DB">
            <w:pPr>
              <w:pStyle w:val="Tabledotpointlist7pt"/>
              <w:numPr>
                <w:ilvl w:val="0"/>
                <w:numId w:val="431"/>
              </w:numPr>
              <w:spacing w:after="60"/>
              <w:ind w:left="357" w:hanging="357"/>
            </w:pPr>
            <w:r w:rsidRPr="00476A58">
              <w:t>On</w:t>
            </w:r>
            <w:r w:rsidR="00A958E9">
              <w:t>e-off cost on application of $40</w:t>
            </w:r>
            <w:r w:rsidR="001671DA">
              <w:t>,</w:t>
            </w:r>
            <w:r w:rsidRPr="00476A58">
              <w:t xml:space="preserve">000 for </w:t>
            </w:r>
            <w:r w:rsidR="00A958E9">
              <w:t>Single Self-Insurer licence, $45</w:t>
            </w:r>
            <w:r w:rsidR="001671DA">
              <w:t>,</w:t>
            </w:r>
            <w:r w:rsidRPr="00476A58">
              <w:t>000 for Group Self-Insurer licence.</w:t>
            </w:r>
          </w:p>
          <w:p w14:paraId="0B3C973E" w14:textId="1E4CE99C" w:rsidR="00112A7D" w:rsidRPr="00F81142" w:rsidRDefault="00F81142" w:rsidP="00F839DB">
            <w:pPr>
              <w:pStyle w:val="ListParagraph"/>
              <w:numPr>
                <w:ilvl w:val="0"/>
                <w:numId w:val="431"/>
              </w:numPr>
              <w:spacing w:after="60"/>
              <w:contextualSpacing/>
              <w:rPr>
                <w:rFonts w:eastAsia="Calibri" w:cs="Arial"/>
                <w:sz w:val="14"/>
                <w:szCs w:val="14"/>
                <w:lang w:eastAsia="en-US"/>
              </w:rPr>
            </w:pPr>
            <w:r w:rsidRPr="00F81142">
              <w:rPr>
                <w:sz w:val="14"/>
                <w:szCs w:val="14"/>
              </w:rPr>
              <w:t xml:space="preserve">Insurers are required to contribute to the Workers Compensation Operational Fund under </w:t>
            </w:r>
            <w:hyperlink r:id="rId2011" w:history="1">
              <w:r w:rsidRPr="00453073">
                <w:rPr>
                  <w:rStyle w:val="Hyperlink"/>
                  <w:sz w:val="14"/>
                  <w:szCs w:val="14"/>
                </w:rPr>
                <w:t>s39</w:t>
              </w:r>
            </w:hyperlink>
            <w:r w:rsidRPr="00F81142">
              <w:rPr>
                <w:sz w:val="14"/>
                <w:szCs w:val="14"/>
              </w:rPr>
              <w:t xml:space="preserve"> of the</w:t>
            </w:r>
            <w:r w:rsidR="00453073">
              <w:rPr>
                <w:sz w:val="14"/>
                <w:szCs w:val="14"/>
              </w:rPr>
              <w:t xml:space="preserve"> </w:t>
            </w:r>
            <w:r w:rsidR="00453073" w:rsidRPr="00016069">
              <w:rPr>
                <w:i/>
                <w:sz w:val="14"/>
              </w:rPr>
              <w:t>Workplace Injury Management and</w:t>
            </w:r>
            <w:r w:rsidR="00453073">
              <w:rPr>
                <w:i/>
                <w:sz w:val="14"/>
              </w:rPr>
              <w:t xml:space="preserve"> Workers Compensation Act 1998</w:t>
            </w:r>
            <w:r w:rsidRPr="00F81142">
              <w:rPr>
                <w:sz w:val="14"/>
                <w:szCs w:val="14"/>
              </w:rPr>
              <w:t xml:space="preserve"> and to the Dust Diseases Fund under </w:t>
            </w:r>
            <w:hyperlink r:id="rId2012" w:history="1">
              <w:r w:rsidRPr="00453073">
                <w:rPr>
                  <w:rStyle w:val="Hyperlink"/>
                  <w:sz w:val="14"/>
                  <w:szCs w:val="14"/>
                </w:rPr>
                <w:t>s6</w:t>
              </w:r>
            </w:hyperlink>
            <w:r w:rsidRPr="00F81142">
              <w:rPr>
                <w:sz w:val="14"/>
                <w:szCs w:val="14"/>
              </w:rPr>
              <w:t xml:space="preserve"> of the </w:t>
            </w:r>
            <w:r w:rsidRPr="00453073">
              <w:rPr>
                <w:rStyle w:val="Hyperlink"/>
                <w:i/>
                <w:color w:val="auto"/>
                <w:sz w:val="14"/>
                <w:szCs w:val="14"/>
                <w:u w:val="none"/>
              </w:rPr>
              <w:t>Workers' Compensation (Dust Diseases) Act 1942</w:t>
            </w:r>
            <w:r w:rsidRPr="00F81142">
              <w:rPr>
                <w:sz w:val="14"/>
                <w:szCs w:val="14"/>
              </w:rPr>
              <w:t xml:space="preserve"> on an annual basis.</w:t>
            </w:r>
          </w:p>
        </w:tc>
        <w:tc>
          <w:tcPr>
            <w:tcW w:w="4558" w:type="dxa"/>
            <w:shd w:val="clear" w:color="auto" w:fill="FFC9C9"/>
            <w:tcMar>
              <w:top w:w="80" w:type="dxa"/>
              <w:left w:w="80" w:type="dxa"/>
              <w:bottom w:w="80" w:type="dxa"/>
              <w:right w:w="80" w:type="dxa"/>
            </w:tcMar>
          </w:tcPr>
          <w:p w14:paraId="2E82E12B" w14:textId="0BEB6AAA" w:rsidR="00112A7D" w:rsidRPr="00112A7D" w:rsidRDefault="00112A7D" w:rsidP="00A958E9">
            <w:pPr>
              <w:spacing w:after="60"/>
              <w:rPr>
                <w:rFonts w:cs="Arial"/>
                <w:color w:val="000000"/>
                <w:sz w:val="14"/>
                <w:szCs w:val="16"/>
                <w:lang w:val="en-GB"/>
              </w:rPr>
            </w:pPr>
            <w:r w:rsidRPr="00112A7D">
              <w:rPr>
                <w:rFonts w:cs="Arial"/>
                <w:color w:val="000000"/>
                <w:sz w:val="14"/>
                <w:szCs w:val="16"/>
                <w:lang w:val="en-GB"/>
              </w:rPr>
              <w:t>A licence will be granted for a standard period of 3 years and be capable of renewal for further terms</w:t>
            </w:r>
            <w:r w:rsidR="00A958E9">
              <w:rPr>
                <w:rFonts w:cs="Arial"/>
                <w:color w:val="000000"/>
                <w:sz w:val="14"/>
                <w:szCs w:val="16"/>
                <w:lang w:val="en-GB"/>
              </w:rPr>
              <w:t xml:space="preserve"> of up to eight years</w:t>
            </w:r>
            <w:r w:rsidRPr="00112A7D">
              <w:rPr>
                <w:rFonts w:cs="Arial"/>
                <w:color w:val="000000"/>
                <w:sz w:val="14"/>
                <w:szCs w:val="16"/>
                <w:lang w:val="en-GB"/>
              </w:rPr>
              <w:t>. SIRA has discretion to grant licences for shorter terms if it believes circumstances are warranted.</w:t>
            </w:r>
          </w:p>
        </w:tc>
      </w:tr>
      <w:tr w:rsidR="00112A7D" w:rsidRPr="00112A7D" w14:paraId="056456DF" w14:textId="77777777" w:rsidTr="00B2173F">
        <w:tc>
          <w:tcPr>
            <w:tcW w:w="1343" w:type="dxa"/>
            <w:tcMar>
              <w:top w:w="80" w:type="dxa"/>
              <w:left w:w="80" w:type="dxa"/>
              <w:bottom w:w="80" w:type="dxa"/>
              <w:right w:w="80" w:type="dxa"/>
            </w:tcMar>
          </w:tcPr>
          <w:p w14:paraId="4FC103F5"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Victoria</w:t>
            </w:r>
          </w:p>
        </w:tc>
        <w:tc>
          <w:tcPr>
            <w:tcW w:w="4557" w:type="dxa"/>
            <w:tcMar>
              <w:top w:w="80" w:type="dxa"/>
              <w:left w:w="80" w:type="dxa"/>
              <w:bottom w:w="80" w:type="dxa"/>
              <w:right w:w="80" w:type="dxa"/>
            </w:tcMar>
          </w:tcPr>
          <w:p w14:paraId="3AC19EDA" w14:textId="2A209C25" w:rsidR="00112A7D" w:rsidRPr="00112A7D" w:rsidRDefault="00A7538C" w:rsidP="00292A53">
            <w:pPr>
              <w:spacing w:after="60"/>
              <w:rPr>
                <w:rFonts w:cs="Arial"/>
                <w:color w:val="000000"/>
                <w:sz w:val="14"/>
                <w:szCs w:val="16"/>
                <w:lang w:val="en-GB"/>
              </w:rPr>
            </w:pPr>
            <w:hyperlink r:id="rId2013" w:history="1">
              <w:r w:rsidR="00112A7D" w:rsidRPr="00D42A45">
                <w:rPr>
                  <w:rStyle w:val="Hyperlink"/>
                  <w:rFonts w:cs="Arial"/>
                  <w:sz w:val="14"/>
                  <w:szCs w:val="16"/>
                  <w:lang w:val="en-GB"/>
                </w:rPr>
                <w:t>s375</w:t>
              </w:r>
            </w:hyperlink>
            <w:r w:rsidR="00112A7D" w:rsidRPr="00112A7D">
              <w:rPr>
                <w:rFonts w:cs="Arial"/>
                <w:color w:val="000000"/>
                <w:sz w:val="14"/>
                <w:szCs w:val="16"/>
                <w:lang w:val="en-GB"/>
              </w:rPr>
              <w:t xml:space="preserve"> — </w:t>
            </w:r>
            <w:r w:rsidR="00416D07" w:rsidRPr="00016069">
              <w:rPr>
                <w:i/>
                <w:sz w:val="14"/>
              </w:rPr>
              <w:t xml:space="preserve"> Workplace Injury Rehabilitation and Compensation Act 2013</w:t>
            </w:r>
          </w:p>
          <w:p w14:paraId="30F7EAA9" w14:textId="77777777" w:rsidR="00112A7D" w:rsidRPr="00CF1656" w:rsidRDefault="00112A7D" w:rsidP="00F839DB">
            <w:pPr>
              <w:pStyle w:val="ListParagraph"/>
              <w:numPr>
                <w:ilvl w:val="0"/>
                <w:numId w:val="331"/>
              </w:numPr>
              <w:spacing w:after="60"/>
              <w:ind w:left="357" w:hanging="357"/>
              <w:rPr>
                <w:rFonts w:eastAsia="Calibri" w:cs="Arial"/>
                <w:sz w:val="14"/>
                <w:szCs w:val="14"/>
                <w:lang w:eastAsia="en-US"/>
              </w:rPr>
            </w:pPr>
            <w:r w:rsidRPr="00CF1656">
              <w:rPr>
                <w:rFonts w:eastAsia="Calibri" w:cs="Arial"/>
                <w:sz w:val="14"/>
                <w:szCs w:val="14"/>
                <w:lang w:eastAsia="en-US"/>
              </w:rPr>
              <w:t>Assessment of organisation’s eligibility to apply is undertaken:</w:t>
            </w:r>
          </w:p>
          <w:p w14:paraId="31F22A97" w14:textId="77777777" w:rsidR="00112A7D" w:rsidRPr="00CF1656" w:rsidRDefault="00112A7D" w:rsidP="00F839DB">
            <w:pPr>
              <w:pStyle w:val="ListParagraph"/>
              <w:numPr>
                <w:ilvl w:val="0"/>
                <w:numId w:val="332"/>
              </w:numPr>
              <w:spacing w:after="60"/>
              <w:rPr>
                <w:rFonts w:cs="Arial"/>
                <w:color w:val="000000"/>
                <w:sz w:val="14"/>
                <w:szCs w:val="16"/>
                <w:lang w:val="en-GB"/>
              </w:rPr>
            </w:pPr>
            <w:r w:rsidRPr="00CF1656">
              <w:rPr>
                <w:rFonts w:cs="Arial"/>
                <w:color w:val="000000"/>
                <w:sz w:val="14"/>
                <w:szCs w:val="16"/>
                <w:lang w:val="en-GB"/>
              </w:rPr>
              <w:t>the body corporate must be the ultimate holding company in Australia, and</w:t>
            </w:r>
          </w:p>
          <w:p w14:paraId="3258AA7D" w14:textId="77777777" w:rsidR="00112A7D" w:rsidRPr="00CF1656" w:rsidRDefault="00112A7D" w:rsidP="00F839DB">
            <w:pPr>
              <w:pStyle w:val="ListParagraph"/>
              <w:numPr>
                <w:ilvl w:val="0"/>
                <w:numId w:val="332"/>
              </w:numPr>
              <w:spacing w:after="60"/>
              <w:rPr>
                <w:rFonts w:cs="Arial"/>
                <w:color w:val="000000"/>
                <w:sz w:val="14"/>
                <w:szCs w:val="16"/>
                <w:lang w:val="en-GB"/>
              </w:rPr>
            </w:pPr>
            <w:r w:rsidRPr="00CF1656">
              <w:rPr>
                <w:rFonts w:cs="Arial"/>
                <w:color w:val="000000"/>
                <w:sz w:val="14"/>
                <w:szCs w:val="16"/>
                <w:lang w:val="en-GB"/>
              </w:rPr>
              <w:t>must satisfy prescribed minimum requirements as to financial strength and viability.</w:t>
            </w:r>
          </w:p>
          <w:p w14:paraId="0E9149C4" w14:textId="77777777" w:rsidR="00112A7D" w:rsidRPr="00CF1656" w:rsidRDefault="00112A7D" w:rsidP="00F839DB">
            <w:pPr>
              <w:pStyle w:val="ListParagraph"/>
              <w:numPr>
                <w:ilvl w:val="0"/>
                <w:numId w:val="331"/>
              </w:numPr>
              <w:spacing w:after="60"/>
              <w:contextualSpacing/>
              <w:rPr>
                <w:rFonts w:eastAsia="Calibri" w:cs="Arial"/>
                <w:sz w:val="14"/>
                <w:szCs w:val="14"/>
                <w:lang w:eastAsia="en-US"/>
              </w:rPr>
            </w:pPr>
            <w:r w:rsidRPr="00CF1656">
              <w:rPr>
                <w:rFonts w:eastAsia="Calibri" w:cs="Arial"/>
                <w:sz w:val="14"/>
                <w:szCs w:val="14"/>
                <w:lang w:eastAsia="en-US"/>
              </w:rPr>
              <w:t>If eligible, the organisation may submit an application for approval to WorkSafe Victoria. The assessment of the application may include on-site audits, interviews and inspections.</w:t>
            </w:r>
          </w:p>
          <w:p w14:paraId="76C79B33" w14:textId="311C91CA" w:rsidR="00112A7D" w:rsidRPr="00CF1656" w:rsidRDefault="00112A7D" w:rsidP="00F839DB">
            <w:pPr>
              <w:pStyle w:val="ListParagraph"/>
              <w:numPr>
                <w:ilvl w:val="0"/>
                <w:numId w:val="331"/>
              </w:numPr>
              <w:spacing w:after="60"/>
              <w:contextualSpacing/>
              <w:rPr>
                <w:rFonts w:eastAsia="Calibri" w:cs="Arial"/>
                <w:sz w:val="14"/>
                <w:szCs w:val="14"/>
                <w:lang w:eastAsia="en-US"/>
              </w:rPr>
            </w:pPr>
            <w:r w:rsidRPr="00CF1656">
              <w:rPr>
                <w:rFonts w:eastAsia="Calibri" w:cs="Arial"/>
                <w:sz w:val="14"/>
                <w:szCs w:val="14"/>
                <w:lang w:eastAsia="en-US"/>
              </w:rPr>
              <w:t>Pre-application eligibility fee must be paid as prescrib</w:t>
            </w:r>
            <w:r w:rsidR="003D2FCB">
              <w:rPr>
                <w:rFonts w:eastAsia="Calibri" w:cs="Arial"/>
                <w:sz w:val="14"/>
                <w:szCs w:val="14"/>
                <w:lang w:eastAsia="en-US"/>
              </w:rPr>
              <w:t>ed in the Schedule 6 of the Act.</w:t>
            </w:r>
            <w:r w:rsidR="00BF5D00">
              <w:rPr>
                <w:rFonts w:eastAsia="Calibri" w:cs="Arial"/>
                <w:sz w:val="14"/>
                <w:szCs w:val="14"/>
                <w:lang w:eastAsia="en-US"/>
              </w:rPr>
              <w:t xml:space="preserve"> As at 1 July 2017 this is $1,000 inclusive of GST.</w:t>
            </w:r>
          </w:p>
        </w:tc>
        <w:tc>
          <w:tcPr>
            <w:tcW w:w="4557" w:type="dxa"/>
            <w:tcMar>
              <w:top w:w="80" w:type="dxa"/>
              <w:left w:w="80" w:type="dxa"/>
              <w:bottom w:w="80" w:type="dxa"/>
              <w:right w:w="80" w:type="dxa"/>
            </w:tcMar>
          </w:tcPr>
          <w:p w14:paraId="6299D9CD" w14:textId="6DF26DA2" w:rsidR="00112A7D" w:rsidRPr="00CF1656" w:rsidRDefault="00112A7D" w:rsidP="00F839DB">
            <w:pPr>
              <w:pStyle w:val="ListParagraph"/>
              <w:numPr>
                <w:ilvl w:val="0"/>
                <w:numId w:val="330"/>
              </w:numPr>
              <w:spacing w:after="60"/>
              <w:contextualSpacing/>
              <w:rPr>
                <w:rFonts w:eastAsia="Calibri" w:cs="Arial"/>
                <w:sz w:val="14"/>
                <w:szCs w:val="14"/>
                <w:lang w:eastAsia="en-US"/>
              </w:rPr>
            </w:pPr>
            <w:r w:rsidRPr="00CF1656">
              <w:rPr>
                <w:rFonts w:eastAsia="Calibri" w:cs="Arial"/>
                <w:sz w:val="14"/>
                <w:szCs w:val="14"/>
                <w:lang w:eastAsia="en-US"/>
              </w:rPr>
              <w:t xml:space="preserve">An application fee must be paid by the organisation as prescribed in Schedule 7 of the </w:t>
            </w:r>
            <w:r w:rsidRPr="00124894">
              <w:rPr>
                <w:rFonts w:eastAsia="Calibri" w:cs="Arial"/>
                <w:sz w:val="14"/>
                <w:szCs w:val="14"/>
                <w:lang w:eastAsia="en-US"/>
              </w:rPr>
              <w:t>WIRC Act. The maximum fee payable is</w:t>
            </w:r>
            <w:r w:rsidRPr="00CF1656">
              <w:rPr>
                <w:rFonts w:eastAsia="Calibri" w:cs="Arial"/>
                <w:sz w:val="14"/>
                <w:szCs w:val="14"/>
                <w:lang w:eastAsia="en-US"/>
              </w:rPr>
              <w:t xml:space="preserve"> </w:t>
            </w:r>
            <w:r w:rsidR="00BF5D00">
              <w:rPr>
                <w:rFonts w:eastAsia="Calibri" w:cs="Arial"/>
                <w:sz w:val="14"/>
                <w:szCs w:val="14"/>
                <w:lang w:eastAsia="en-US"/>
              </w:rPr>
              <w:t>$60,050</w:t>
            </w:r>
            <w:r w:rsidRPr="00CF1656">
              <w:rPr>
                <w:rFonts w:eastAsia="Calibri" w:cs="Arial"/>
                <w:sz w:val="14"/>
                <w:szCs w:val="14"/>
                <w:lang w:eastAsia="en-US"/>
              </w:rPr>
              <w:t xml:space="preserve"> (as at 1 July </w:t>
            </w:r>
            <w:r w:rsidR="00BF5D00">
              <w:rPr>
                <w:rFonts w:eastAsia="Calibri" w:cs="Arial"/>
                <w:sz w:val="14"/>
                <w:szCs w:val="14"/>
                <w:lang w:eastAsia="en-US"/>
              </w:rPr>
              <w:t>2017</w:t>
            </w:r>
            <w:r w:rsidR="00BF5D00" w:rsidRPr="00CF1656">
              <w:rPr>
                <w:rFonts w:eastAsia="Calibri" w:cs="Arial"/>
                <w:sz w:val="14"/>
                <w:szCs w:val="14"/>
                <w:lang w:eastAsia="en-US"/>
              </w:rPr>
              <w:t xml:space="preserve"> </w:t>
            </w:r>
            <w:r w:rsidRPr="00CF1656">
              <w:rPr>
                <w:rFonts w:eastAsia="Calibri" w:cs="Arial"/>
                <w:sz w:val="14"/>
                <w:szCs w:val="14"/>
                <w:lang w:eastAsia="en-US"/>
              </w:rPr>
              <w:t>and subject to indexation).</w:t>
            </w:r>
          </w:p>
          <w:p w14:paraId="43458B6D" w14:textId="0250DCA1" w:rsidR="00112A7D" w:rsidRPr="00CF1656" w:rsidRDefault="00112A7D" w:rsidP="00F839DB">
            <w:pPr>
              <w:pStyle w:val="ListParagraph"/>
              <w:numPr>
                <w:ilvl w:val="0"/>
                <w:numId w:val="330"/>
              </w:numPr>
              <w:spacing w:after="60"/>
              <w:contextualSpacing/>
              <w:rPr>
                <w:rFonts w:eastAsia="Calibri" w:cs="Arial"/>
                <w:sz w:val="14"/>
                <w:szCs w:val="14"/>
                <w:lang w:eastAsia="en-US"/>
              </w:rPr>
            </w:pPr>
            <w:r w:rsidRPr="00CF1656">
              <w:rPr>
                <w:rFonts w:eastAsia="Calibri" w:cs="Arial"/>
                <w:sz w:val="14"/>
                <w:szCs w:val="14"/>
                <w:lang w:eastAsia="en-US"/>
              </w:rPr>
              <w:t xml:space="preserve">A self-insurer must pay contributions into the WorkCover Authority Fund in accordance with </w:t>
            </w:r>
            <w:hyperlink r:id="rId2014" w:history="1">
              <w:r w:rsidRPr="00D42A45">
                <w:rPr>
                  <w:rStyle w:val="Hyperlink"/>
                  <w:rFonts w:eastAsia="Calibri" w:cs="Arial"/>
                  <w:sz w:val="14"/>
                  <w:szCs w:val="14"/>
                  <w:lang w:eastAsia="en-US"/>
                </w:rPr>
                <w:t>s388</w:t>
              </w:r>
            </w:hyperlink>
            <w:r w:rsidRPr="00CF1656">
              <w:rPr>
                <w:rFonts w:eastAsia="Calibri" w:cs="Arial"/>
                <w:sz w:val="14"/>
                <w:szCs w:val="14"/>
                <w:lang w:eastAsia="en-US"/>
              </w:rPr>
              <w:t xml:space="preserve"> of the WIRC Act. Quarterly contributions payable by a self-insurer are determined by WorkSafe Victoria based on the rateable remuneration return submitted by a self-insurer pursuant to the Ministerial Order made under </w:t>
            </w:r>
            <w:hyperlink r:id="rId2015" w:history="1">
              <w:r w:rsidRPr="00D42A45">
                <w:rPr>
                  <w:rStyle w:val="Hyperlink"/>
                  <w:rFonts w:eastAsia="Calibri" w:cs="Arial"/>
                  <w:sz w:val="14"/>
                  <w:szCs w:val="14"/>
                  <w:lang w:eastAsia="en-US"/>
                </w:rPr>
                <w:t>s380(3)</w:t>
              </w:r>
            </w:hyperlink>
            <w:r w:rsidRPr="00CF1656">
              <w:rPr>
                <w:rFonts w:eastAsia="Calibri" w:cs="Arial"/>
                <w:sz w:val="14"/>
                <w:szCs w:val="14"/>
                <w:lang w:eastAsia="en-US"/>
              </w:rPr>
              <w:t xml:space="preserve"> of the WIRC Act.</w:t>
            </w:r>
          </w:p>
          <w:p w14:paraId="5E02BB66" w14:textId="19890177" w:rsidR="00112A7D" w:rsidRPr="00CF1656" w:rsidRDefault="00112A7D" w:rsidP="00F839DB">
            <w:pPr>
              <w:pStyle w:val="ListParagraph"/>
              <w:numPr>
                <w:ilvl w:val="0"/>
                <w:numId w:val="330"/>
              </w:numPr>
              <w:spacing w:after="60"/>
              <w:contextualSpacing/>
              <w:rPr>
                <w:rFonts w:eastAsia="Calibri" w:cs="Arial"/>
                <w:sz w:val="14"/>
                <w:szCs w:val="14"/>
                <w:lang w:eastAsia="en-US"/>
              </w:rPr>
            </w:pPr>
            <w:r w:rsidRPr="00CF1656">
              <w:rPr>
                <w:rFonts w:eastAsia="Calibri" w:cs="Arial"/>
                <w:sz w:val="14"/>
                <w:szCs w:val="14"/>
                <w:lang w:eastAsia="en-US"/>
              </w:rPr>
              <w:t xml:space="preserve">The amount of contributions payable by a self-insurer pursuant to </w:t>
            </w:r>
            <w:hyperlink r:id="rId2016" w:history="1">
              <w:r w:rsidR="00D42A45" w:rsidRPr="00D42A45">
                <w:rPr>
                  <w:rStyle w:val="Hyperlink"/>
                  <w:rFonts w:eastAsia="Calibri" w:cs="Arial"/>
                  <w:sz w:val="14"/>
                  <w:szCs w:val="14"/>
                  <w:lang w:eastAsia="en-US"/>
                </w:rPr>
                <w:t>s388</w:t>
              </w:r>
            </w:hyperlink>
            <w:r w:rsidRPr="00CF1656">
              <w:rPr>
                <w:rFonts w:eastAsia="Calibri" w:cs="Arial"/>
                <w:sz w:val="14"/>
                <w:szCs w:val="14"/>
                <w:lang w:eastAsia="en-US"/>
              </w:rPr>
              <w:t xml:space="preserve"> of the WIRC Act is determined by the formula given in </w:t>
            </w:r>
            <w:hyperlink r:id="rId2017" w:history="1">
              <w:r w:rsidRPr="001D6EE0">
                <w:rPr>
                  <w:rStyle w:val="Hyperlink"/>
                  <w:rFonts w:eastAsia="Calibri" w:cs="Arial"/>
                  <w:sz w:val="14"/>
                  <w:szCs w:val="14"/>
                  <w:lang w:eastAsia="en-US"/>
                </w:rPr>
                <w:t>Regulation 14</w:t>
              </w:r>
            </w:hyperlink>
            <w:r w:rsidRPr="00CF1656">
              <w:rPr>
                <w:rFonts w:eastAsia="Calibri" w:cs="Arial"/>
                <w:sz w:val="14"/>
                <w:szCs w:val="14"/>
                <w:lang w:eastAsia="en-US"/>
              </w:rPr>
              <w:t xml:space="preserve"> of the </w:t>
            </w:r>
            <w:r w:rsidRPr="00BF5D00">
              <w:rPr>
                <w:rFonts w:eastAsia="Calibri" w:cs="Arial"/>
                <w:i/>
                <w:sz w:val="14"/>
                <w:szCs w:val="14"/>
                <w:lang w:eastAsia="en-US"/>
              </w:rPr>
              <w:t>Workplace Injury Rehabilitation and Compensation Regulations 2014</w:t>
            </w:r>
            <w:r w:rsidRPr="00CF1656">
              <w:rPr>
                <w:rFonts w:eastAsia="Calibri" w:cs="Arial"/>
                <w:sz w:val="14"/>
                <w:szCs w:val="14"/>
                <w:lang w:eastAsia="en-US"/>
              </w:rPr>
              <w:t>.</w:t>
            </w:r>
          </w:p>
        </w:tc>
        <w:tc>
          <w:tcPr>
            <w:tcW w:w="4558" w:type="dxa"/>
            <w:tcMar>
              <w:top w:w="80" w:type="dxa"/>
              <w:left w:w="80" w:type="dxa"/>
              <w:bottom w:w="80" w:type="dxa"/>
              <w:right w:w="80" w:type="dxa"/>
            </w:tcMar>
          </w:tcPr>
          <w:p w14:paraId="29DC19FD" w14:textId="340CA789" w:rsidR="00112A7D" w:rsidRPr="00112A7D" w:rsidRDefault="00A7538C" w:rsidP="00292A53">
            <w:pPr>
              <w:spacing w:after="60"/>
              <w:rPr>
                <w:rFonts w:cs="Arial"/>
                <w:color w:val="000000"/>
                <w:sz w:val="14"/>
                <w:szCs w:val="16"/>
                <w:lang w:val="en-GB"/>
              </w:rPr>
            </w:pPr>
            <w:hyperlink r:id="rId2018" w:history="1">
              <w:r w:rsidR="00112A7D" w:rsidRPr="00D42A45">
                <w:rPr>
                  <w:rStyle w:val="Hyperlink"/>
                  <w:rFonts w:cs="Arial"/>
                  <w:sz w:val="14"/>
                  <w:szCs w:val="16"/>
                  <w:lang w:val="en-GB"/>
                </w:rPr>
                <w:t>s382</w:t>
              </w:r>
            </w:hyperlink>
            <w:r w:rsidR="00112A7D" w:rsidRPr="00112A7D">
              <w:rPr>
                <w:rFonts w:cs="Arial"/>
                <w:color w:val="000000"/>
                <w:sz w:val="14"/>
                <w:szCs w:val="16"/>
                <w:lang w:val="en-GB"/>
              </w:rPr>
              <w:t xml:space="preserve"> WIRC Act</w:t>
            </w:r>
          </w:p>
          <w:p w14:paraId="7BDDC1E5" w14:textId="77777777"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Initial approval is for a period of three years and any subsequent approvals are for four years unless WorkSafe Victoria in its discretion determines that approval has effect for a period of six years.</w:t>
            </w:r>
          </w:p>
        </w:tc>
      </w:tr>
      <w:tr w:rsidR="00C65EB9" w:rsidRPr="00112A7D" w14:paraId="00FE3C35" w14:textId="77777777" w:rsidTr="00B2173F">
        <w:tc>
          <w:tcPr>
            <w:tcW w:w="1343" w:type="dxa"/>
            <w:shd w:val="clear" w:color="auto" w:fill="FFC9C9"/>
            <w:tcMar>
              <w:top w:w="80" w:type="dxa"/>
              <w:left w:w="80" w:type="dxa"/>
              <w:bottom w:w="80" w:type="dxa"/>
              <w:right w:w="80" w:type="dxa"/>
            </w:tcMar>
          </w:tcPr>
          <w:p w14:paraId="7565530B"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Queensland</w:t>
            </w:r>
          </w:p>
        </w:tc>
        <w:tc>
          <w:tcPr>
            <w:tcW w:w="4557" w:type="dxa"/>
            <w:shd w:val="clear" w:color="auto" w:fill="FFC9C9"/>
            <w:tcMar>
              <w:top w:w="80" w:type="dxa"/>
              <w:left w:w="80" w:type="dxa"/>
              <w:bottom w:w="80" w:type="dxa"/>
              <w:right w:w="80" w:type="dxa"/>
            </w:tcMar>
          </w:tcPr>
          <w:p w14:paraId="4B2FC960" w14:textId="4DD34BE8" w:rsidR="00112A7D" w:rsidRPr="00CF1656" w:rsidRDefault="00A7538C" w:rsidP="00F839DB">
            <w:pPr>
              <w:pStyle w:val="ListParagraph"/>
              <w:numPr>
                <w:ilvl w:val="0"/>
                <w:numId w:val="335"/>
              </w:numPr>
              <w:spacing w:after="60"/>
              <w:contextualSpacing/>
              <w:rPr>
                <w:rFonts w:eastAsia="Calibri" w:cs="Arial"/>
                <w:sz w:val="14"/>
                <w:szCs w:val="14"/>
                <w:lang w:eastAsia="en-US"/>
              </w:rPr>
            </w:pPr>
            <w:hyperlink r:id="rId2019" w:anchor="sec.70" w:history="1">
              <w:r w:rsidR="002E4905" w:rsidRPr="007C3585">
                <w:rPr>
                  <w:rStyle w:val="Hyperlink"/>
                  <w:rFonts w:eastAsia="Calibri" w:cs="Arial"/>
                  <w:sz w:val="14"/>
                  <w:szCs w:val="14"/>
                  <w:lang w:eastAsia="en-US"/>
                </w:rPr>
                <w:t>s70</w:t>
              </w:r>
            </w:hyperlink>
            <w:r w:rsidR="002E4905" w:rsidRPr="00CF1656">
              <w:rPr>
                <w:rFonts w:eastAsia="Calibri" w:cs="Arial"/>
                <w:sz w:val="14"/>
                <w:szCs w:val="14"/>
                <w:lang w:eastAsia="en-US"/>
              </w:rPr>
              <w:t xml:space="preserve"> </w:t>
            </w:r>
            <w:r w:rsidR="00112A7D" w:rsidRPr="00CF1656">
              <w:rPr>
                <w:rFonts w:eastAsia="Calibri" w:cs="Arial"/>
                <w:sz w:val="14"/>
                <w:szCs w:val="14"/>
                <w:lang w:eastAsia="en-US"/>
              </w:rPr>
              <w:t xml:space="preserve">— </w:t>
            </w:r>
            <w:r w:rsidR="00112A7D" w:rsidRPr="00D41D16">
              <w:rPr>
                <w:rFonts w:eastAsia="Calibri" w:cs="Arial"/>
                <w:i/>
                <w:sz w:val="14"/>
                <w:szCs w:val="14"/>
                <w:lang w:eastAsia="en-US"/>
              </w:rPr>
              <w:t>Workers’ Compensation and Rehabilitation Act 2003</w:t>
            </w:r>
            <w:r w:rsidR="00112A7D" w:rsidRPr="00CF1656">
              <w:rPr>
                <w:rFonts w:eastAsia="Calibri" w:cs="Arial"/>
                <w:sz w:val="14"/>
                <w:szCs w:val="14"/>
                <w:lang w:eastAsia="en-US"/>
              </w:rPr>
              <w:t xml:space="preserve"> — The application must: </w:t>
            </w:r>
          </w:p>
          <w:p w14:paraId="034D55CD" w14:textId="77777777" w:rsidR="00112A7D" w:rsidRPr="00CF1656" w:rsidRDefault="00112A7D" w:rsidP="00F839DB">
            <w:pPr>
              <w:pStyle w:val="ListParagraph"/>
              <w:numPr>
                <w:ilvl w:val="0"/>
                <w:numId w:val="336"/>
              </w:numPr>
              <w:spacing w:after="60"/>
              <w:contextualSpacing/>
              <w:rPr>
                <w:rFonts w:eastAsia="Calibri" w:cs="Arial"/>
                <w:sz w:val="14"/>
                <w:szCs w:val="14"/>
                <w:lang w:eastAsia="en-US"/>
              </w:rPr>
            </w:pPr>
            <w:r w:rsidRPr="00CF1656">
              <w:rPr>
                <w:rFonts w:eastAsia="Calibri" w:cs="Arial"/>
                <w:sz w:val="14"/>
                <w:szCs w:val="14"/>
                <w:lang w:eastAsia="en-US"/>
              </w:rPr>
              <w:t xml:space="preserve">be made to the Workers’ Compensation Regulator in the approved form, and </w:t>
            </w:r>
          </w:p>
          <w:p w14:paraId="48E1387E" w14:textId="77777777" w:rsidR="00112A7D" w:rsidRPr="00CF1656" w:rsidRDefault="00112A7D" w:rsidP="00F839DB">
            <w:pPr>
              <w:pStyle w:val="ListParagraph"/>
              <w:numPr>
                <w:ilvl w:val="0"/>
                <w:numId w:val="336"/>
              </w:numPr>
              <w:spacing w:after="60"/>
              <w:contextualSpacing/>
              <w:rPr>
                <w:rFonts w:eastAsia="Calibri" w:cs="Arial"/>
                <w:sz w:val="14"/>
                <w:szCs w:val="14"/>
                <w:lang w:eastAsia="en-US"/>
              </w:rPr>
            </w:pPr>
            <w:r w:rsidRPr="00CF1656">
              <w:rPr>
                <w:rFonts w:eastAsia="Calibri" w:cs="Arial"/>
                <w:sz w:val="14"/>
                <w:szCs w:val="14"/>
                <w:lang w:eastAsia="en-US"/>
              </w:rPr>
              <w:t xml:space="preserve">for a group employer be made by all the members of the group wanting to be licensed, and </w:t>
            </w:r>
          </w:p>
          <w:p w14:paraId="03411B43" w14:textId="77777777" w:rsidR="00112A7D" w:rsidRPr="00CF1656" w:rsidRDefault="00112A7D" w:rsidP="00F839DB">
            <w:pPr>
              <w:pStyle w:val="ListParagraph"/>
              <w:numPr>
                <w:ilvl w:val="0"/>
                <w:numId w:val="336"/>
              </w:numPr>
              <w:spacing w:after="60"/>
              <w:ind w:left="357" w:hanging="357"/>
              <w:rPr>
                <w:rFonts w:eastAsia="Calibri" w:cs="Arial"/>
                <w:sz w:val="14"/>
                <w:szCs w:val="14"/>
                <w:lang w:eastAsia="en-US"/>
              </w:rPr>
            </w:pPr>
            <w:r w:rsidRPr="00CF1656">
              <w:rPr>
                <w:rFonts w:eastAsia="Calibri" w:cs="Arial"/>
                <w:sz w:val="14"/>
                <w:szCs w:val="14"/>
                <w:lang w:eastAsia="en-US"/>
              </w:rPr>
              <w:t>be accompanied by the fee prescribed under a regulation.</w:t>
            </w:r>
          </w:p>
          <w:p w14:paraId="73BF8984" w14:textId="24AE5B7A" w:rsidR="00112A7D" w:rsidRPr="00CF1656" w:rsidRDefault="00A7538C" w:rsidP="00F839DB">
            <w:pPr>
              <w:pStyle w:val="ListParagraph"/>
              <w:numPr>
                <w:ilvl w:val="0"/>
                <w:numId w:val="335"/>
              </w:numPr>
              <w:spacing w:after="60"/>
              <w:contextualSpacing/>
              <w:rPr>
                <w:rFonts w:eastAsia="Calibri" w:cs="Arial"/>
                <w:sz w:val="14"/>
                <w:szCs w:val="14"/>
                <w:lang w:eastAsia="en-US"/>
              </w:rPr>
            </w:pPr>
            <w:hyperlink r:id="rId2020" w:anchor="sec.77" w:history="1">
              <w:r w:rsidR="002E4905" w:rsidRPr="007C3585">
                <w:rPr>
                  <w:rStyle w:val="Hyperlink"/>
                  <w:rFonts w:eastAsia="Calibri" w:cs="Arial"/>
                  <w:sz w:val="14"/>
                  <w:szCs w:val="14"/>
                  <w:lang w:eastAsia="en-US"/>
                </w:rPr>
                <w:t>s77</w:t>
              </w:r>
            </w:hyperlink>
            <w:r w:rsidR="002E4905" w:rsidRPr="00CF1656">
              <w:rPr>
                <w:rFonts w:eastAsia="Calibri" w:cs="Arial"/>
                <w:sz w:val="14"/>
                <w:szCs w:val="14"/>
                <w:lang w:eastAsia="en-US"/>
              </w:rPr>
              <w:t xml:space="preserve"> </w:t>
            </w:r>
            <w:r w:rsidR="00112A7D" w:rsidRPr="00CF1656">
              <w:rPr>
                <w:rFonts w:eastAsia="Calibri" w:cs="Arial"/>
                <w:sz w:val="14"/>
                <w:szCs w:val="14"/>
                <w:lang w:eastAsia="en-US"/>
              </w:rPr>
              <w:t xml:space="preserve">— The Workers’ Compensation Regulator must decide an application within 6 months of receiving it. </w:t>
            </w:r>
            <w:hyperlink r:id="rId2021" w:history="1">
              <w:r w:rsidR="00112A7D" w:rsidRPr="001D6EE0">
                <w:rPr>
                  <w:rStyle w:val="Hyperlink"/>
                  <w:rFonts w:eastAsia="Calibri" w:cs="Arial"/>
                  <w:sz w:val="14"/>
                  <w:szCs w:val="14"/>
                  <w:lang w:eastAsia="en-US"/>
                </w:rPr>
                <w:t>s71</w:t>
              </w:r>
            </w:hyperlink>
            <w:r w:rsidR="00112A7D" w:rsidRPr="00CF1656">
              <w:rPr>
                <w:rFonts w:eastAsia="Calibri" w:cs="Arial"/>
                <w:sz w:val="14"/>
                <w:szCs w:val="14"/>
                <w:lang w:eastAsia="en-US"/>
              </w:rPr>
              <w:t xml:space="preserve"> — The Workers’ Compensation Regulator may issue or renew a licence to be a self-insurer to a single employer only if satisfied that certain criteria have been met.</w:t>
            </w:r>
          </w:p>
          <w:p w14:paraId="160B854B" w14:textId="1DC76FDD" w:rsidR="00112A7D" w:rsidRPr="00CF1656" w:rsidRDefault="00A7538C" w:rsidP="00F839DB">
            <w:pPr>
              <w:pStyle w:val="ListParagraph"/>
              <w:numPr>
                <w:ilvl w:val="0"/>
                <w:numId w:val="335"/>
              </w:numPr>
              <w:spacing w:after="60"/>
              <w:contextualSpacing/>
              <w:rPr>
                <w:rFonts w:eastAsia="Calibri" w:cs="Arial"/>
                <w:sz w:val="14"/>
                <w:szCs w:val="14"/>
                <w:lang w:eastAsia="en-US"/>
              </w:rPr>
            </w:pPr>
            <w:hyperlink r:id="rId2022" w:anchor="sec.75" w:history="1">
              <w:r w:rsidR="002E4905" w:rsidRPr="007C3585">
                <w:rPr>
                  <w:rStyle w:val="Hyperlink"/>
                  <w:rFonts w:eastAsia="Calibri" w:cs="Arial"/>
                  <w:sz w:val="14"/>
                  <w:szCs w:val="14"/>
                  <w:lang w:eastAsia="en-US"/>
                </w:rPr>
                <w:t>s75</w:t>
              </w:r>
            </w:hyperlink>
            <w:r w:rsidR="002E4905" w:rsidRPr="00CF1656">
              <w:rPr>
                <w:rFonts w:eastAsia="Calibri" w:cs="Arial"/>
                <w:sz w:val="14"/>
                <w:szCs w:val="14"/>
                <w:lang w:eastAsia="en-US"/>
              </w:rPr>
              <w:t xml:space="preserve"> </w:t>
            </w:r>
            <w:r w:rsidR="006A466B">
              <w:rPr>
                <w:rFonts w:eastAsia="Calibri" w:cs="Arial"/>
                <w:sz w:val="14"/>
                <w:szCs w:val="14"/>
                <w:lang w:eastAsia="en-US"/>
              </w:rPr>
              <w:t>—</w:t>
            </w:r>
            <w:r w:rsidR="006A466B" w:rsidRPr="00CF1656">
              <w:rPr>
                <w:rFonts w:eastAsia="Calibri" w:cs="Arial"/>
                <w:sz w:val="14"/>
                <w:szCs w:val="14"/>
                <w:lang w:eastAsia="en-US"/>
              </w:rPr>
              <w:t xml:space="preserve"> </w:t>
            </w:r>
            <w:r w:rsidR="00112A7D" w:rsidRPr="00CF1656">
              <w:rPr>
                <w:rFonts w:eastAsia="Calibri" w:cs="Arial"/>
                <w:sz w:val="14"/>
                <w:szCs w:val="14"/>
                <w:lang w:eastAsia="en-US"/>
              </w:rPr>
              <w:t>in deciding whether a single employer or group employer is fit and proper, the Workers’ Compensation Regulator may consider any relevant matter and must consider certain matters (refer to legislation).</w:t>
            </w:r>
          </w:p>
        </w:tc>
        <w:tc>
          <w:tcPr>
            <w:tcW w:w="4557" w:type="dxa"/>
            <w:shd w:val="clear" w:color="auto" w:fill="FFC9C9"/>
            <w:tcMar>
              <w:top w:w="80" w:type="dxa"/>
              <w:left w:w="80" w:type="dxa"/>
              <w:bottom w:w="80" w:type="dxa"/>
              <w:right w:w="80" w:type="dxa"/>
            </w:tcMar>
          </w:tcPr>
          <w:p w14:paraId="53054DDC" w14:textId="77777777" w:rsidR="00112A7D" w:rsidRPr="00CF1656" w:rsidRDefault="00112A7D" w:rsidP="00F839DB">
            <w:pPr>
              <w:pStyle w:val="ListParagraph"/>
              <w:numPr>
                <w:ilvl w:val="0"/>
                <w:numId w:val="333"/>
              </w:numPr>
              <w:spacing w:after="60"/>
              <w:ind w:left="357" w:hanging="357"/>
              <w:rPr>
                <w:rFonts w:eastAsia="Calibri" w:cs="Arial"/>
                <w:sz w:val="14"/>
                <w:szCs w:val="14"/>
                <w:lang w:eastAsia="en-US"/>
              </w:rPr>
            </w:pPr>
            <w:r w:rsidRPr="00CF1656">
              <w:rPr>
                <w:rFonts w:eastAsia="Calibri" w:cs="Arial"/>
                <w:sz w:val="14"/>
                <w:szCs w:val="14"/>
                <w:lang w:eastAsia="en-US"/>
              </w:rPr>
              <w:t>Initial application fee for setting up the licence:</w:t>
            </w:r>
          </w:p>
          <w:p w14:paraId="0D88D2EE" w14:textId="5E539061" w:rsidR="00112A7D" w:rsidRPr="00CF1656" w:rsidRDefault="00112A7D" w:rsidP="00F839DB">
            <w:pPr>
              <w:pStyle w:val="ListParagraph"/>
              <w:numPr>
                <w:ilvl w:val="0"/>
                <w:numId w:val="334"/>
              </w:numPr>
              <w:spacing w:after="60"/>
              <w:rPr>
                <w:rFonts w:cs="Arial"/>
                <w:color w:val="000000"/>
                <w:sz w:val="14"/>
                <w:szCs w:val="16"/>
                <w:lang w:val="en-GB"/>
              </w:rPr>
            </w:pPr>
            <w:r w:rsidRPr="00CF1656">
              <w:rPr>
                <w:rFonts w:cs="Arial"/>
                <w:color w:val="000000"/>
                <w:sz w:val="14"/>
                <w:szCs w:val="16"/>
                <w:lang w:val="en-GB"/>
              </w:rPr>
              <w:t>$15</w:t>
            </w:r>
            <w:r w:rsidR="006A466B">
              <w:rPr>
                <w:rFonts w:cs="Arial"/>
                <w:color w:val="000000"/>
                <w:sz w:val="14"/>
                <w:szCs w:val="16"/>
                <w:lang w:val="en-GB"/>
              </w:rPr>
              <w:t>,</w:t>
            </w:r>
            <w:r w:rsidRPr="00CF1656">
              <w:rPr>
                <w:rFonts w:cs="Arial"/>
                <w:color w:val="000000"/>
                <w:sz w:val="14"/>
                <w:szCs w:val="16"/>
                <w:lang w:val="en-GB"/>
              </w:rPr>
              <w:t>000 application fee for single employers, and</w:t>
            </w:r>
          </w:p>
          <w:p w14:paraId="5510BE6A" w14:textId="46D6B83F" w:rsidR="00112A7D" w:rsidRPr="00CF1656" w:rsidRDefault="00112A7D" w:rsidP="00F839DB">
            <w:pPr>
              <w:pStyle w:val="ListParagraph"/>
              <w:numPr>
                <w:ilvl w:val="0"/>
                <w:numId w:val="334"/>
              </w:numPr>
              <w:spacing w:after="60"/>
              <w:rPr>
                <w:rFonts w:cs="Arial"/>
                <w:color w:val="000000"/>
                <w:sz w:val="14"/>
                <w:szCs w:val="16"/>
                <w:lang w:val="en-GB"/>
              </w:rPr>
            </w:pPr>
            <w:r w:rsidRPr="00CF1656">
              <w:rPr>
                <w:rFonts w:cs="Arial"/>
                <w:color w:val="000000"/>
                <w:sz w:val="14"/>
                <w:szCs w:val="16"/>
                <w:lang w:val="en-GB"/>
              </w:rPr>
              <w:t>$20</w:t>
            </w:r>
            <w:r w:rsidR="006A466B">
              <w:rPr>
                <w:rFonts w:cs="Arial"/>
                <w:color w:val="000000"/>
                <w:sz w:val="14"/>
                <w:szCs w:val="16"/>
                <w:lang w:val="en-GB"/>
              </w:rPr>
              <w:t>,</w:t>
            </w:r>
            <w:r w:rsidRPr="00CF1656">
              <w:rPr>
                <w:rFonts w:cs="Arial"/>
                <w:color w:val="000000"/>
                <w:sz w:val="14"/>
                <w:szCs w:val="16"/>
                <w:lang w:val="en-GB"/>
              </w:rPr>
              <w:t>000 application fee for group employers.</w:t>
            </w:r>
          </w:p>
          <w:p w14:paraId="7E65CD0F" w14:textId="031A5C01" w:rsidR="00112A7D" w:rsidRPr="00CF1656" w:rsidRDefault="00A7538C" w:rsidP="00F839DB">
            <w:pPr>
              <w:pStyle w:val="ListParagraph"/>
              <w:numPr>
                <w:ilvl w:val="0"/>
                <w:numId w:val="333"/>
              </w:numPr>
              <w:spacing w:after="60"/>
              <w:contextualSpacing/>
              <w:rPr>
                <w:rFonts w:eastAsia="Calibri" w:cs="Arial"/>
                <w:sz w:val="14"/>
                <w:szCs w:val="14"/>
                <w:lang w:eastAsia="en-US"/>
              </w:rPr>
            </w:pPr>
            <w:hyperlink r:id="rId2023" w:anchor="sec.70" w:history="1">
              <w:r w:rsidR="002E4905" w:rsidRPr="007C3585">
                <w:rPr>
                  <w:rStyle w:val="Hyperlink"/>
                  <w:rFonts w:eastAsia="Calibri" w:cs="Arial"/>
                  <w:sz w:val="14"/>
                  <w:szCs w:val="14"/>
                  <w:lang w:eastAsia="en-US"/>
                </w:rPr>
                <w:t>s70</w:t>
              </w:r>
            </w:hyperlink>
            <w:r w:rsidR="002E4905" w:rsidRPr="00CF1656">
              <w:rPr>
                <w:rFonts w:eastAsia="Calibri" w:cs="Arial"/>
                <w:sz w:val="14"/>
                <w:szCs w:val="14"/>
                <w:lang w:eastAsia="en-US"/>
              </w:rPr>
              <w:t xml:space="preserve"> </w:t>
            </w:r>
            <w:r w:rsidR="00112A7D" w:rsidRPr="00D41D16">
              <w:rPr>
                <w:rFonts w:eastAsia="Calibri" w:cs="Arial"/>
                <w:i/>
                <w:sz w:val="14"/>
                <w:szCs w:val="14"/>
                <w:lang w:eastAsia="en-US"/>
              </w:rPr>
              <w:t>Workers’ Compensation and Rehabilitation Act 2003</w:t>
            </w:r>
            <w:r w:rsidR="00112A7D" w:rsidRPr="00CF1656">
              <w:rPr>
                <w:rFonts w:eastAsia="Calibri" w:cs="Arial"/>
                <w:sz w:val="14"/>
                <w:szCs w:val="14"/>
                <w:lang w:eastAsia="en-US"/>
              </w:rPr>
              <w:t xml:space="preserve">, </w:t>
            </w:r>
            <w:hyperlink r:id="rId2024" w:anchor="sec.16" w:history="1">
              <w:r w:rsidR="002E4905" w:rsidRPr="007C3585">
                <w:rPr>
                  <w:rStyle w:val="Hyperlink"/>
                  <w:rFonts w:eastAsia="Calibri" w:cs="Arial"/>
                  <w:sz w:val="14"/>
                  <w:szCs w:val="14"/>
                  <w:lang w:eastAsia="en-US"/>
                </w:rPr>
                <w:t>s16</w:t>
              </w:r>
            </w:hyperlink>
            <w:r w:rsidR="002E4905" w:rsidRPr="00CF1656">
              <w:rPr>
                <w:rFonts w:eastAsia="Calibri" w:cs="Arial"/>
                <w:sz w:val="14"/>
                <w:szCs w:val="14"/>
                <w:lang w:eastAsia="en-US"/>
              </w:rPr>
              <w:t xml:space="preserve"> </w:t>
            </w:r>
            <w:r w:rsidR="00112A7D" w:rsidRPr="00CF1656">
              <w:rPr>
                <w:rFonts w:eastAsia="Calibri" w:cs="Arial"/>
                <w:sz w:val="14"/>
                <w:szCs w:val="14"/>
                <w:lang w:eastAsia="en-US"/>
              </w:rPr>
              <w:t>Workers’ Compensation and Rehabilitation Regulation 2014.</w:t>
            </w:r>
          </w:p>
          <w:p w14:paraId="2278AF83" w14:textId="6A5D590B" w:rsidR="00112A7D" w:rsidRPr="00CF1656" w:rsidRDefault="00112A7D" w:rsidP="00F839DB">
            <w:pPr>
              <w:pStyle w:val="ListParagraph"/>
              <w:numPr>
                <w:ilvl w:val="0"/>
                <w:numId w:val="333"/>
              </w:numPr>
              <w:spacing w:after="60"/>
              <w:contextualSpacing/>
              <w:rPr>
                <w:rFonts w:eastAsia="Calibri" w:cs="Arial"/>
                <w:sz w:val="14"/>
                <w:szCs w:val="14"/>
                <w:lang w:eastAsia="en-US"/>
              </w:rPr>
            </w:pPr>
            <w:r w:rsidRPr="00CF1656">
              <w:rPr>
                <w:rFonts w:eastAsia="Calibri" w:cs="Arial"/>
                <w:sz w:val="14"/>
                <w:szCs w:val="14"/>
                <w:lang w:eastAsia="en-US"/>
              </w:rPr>
              <w:t xml:space="preserve">A self-insurer must also pay a levy to the Regulator each financial year under </w:t>
            </w:r>
            <w:hyperlink r:id="rId2025" w:anchor="sec.81" w:history="1">
              <w:r w:rsidR="002E4905" w:rsidRPr="007C3585">
                <w:rPr>
                  <w:rStyle w:val="Hyperlink"/>
                  <w:rFonts w:eastAsia="Calibri" w:cs="Arial"/>
                  <w:sz w:val="14"/>
                  <w:szCs w:val="14"/>
                  <w:lang w:eastAsia="en-US"/>
                </w:rPr>
                <w:t>s81</w:t>
              </w:r>
            </w:hyperlink>
            <w:r w:rsidR="002E4905" w:rsidRPr="00CF1656">
              <w:rPr>
                <w:rFonts w:eastAsia="Calibri" w:cs="Arial"/>
                <w:sz w:val="14"/>
                <w:szCs w:val="14"/>
                <w:lang w:eastAsia="en-US"/>
              </w:rPr>
              <w:t xml:space="preserve"> </w:t>
            </w:r>
            <w:r w:rsidRPr="00CF1656">
              <w:rPr>
                <w:rFonts w:eastAsia="Calibri" w:cs="Arial"/>
                <w:sz w:val="14"/>
                <w:szCs w:val="14"/>
                <w:lang w:eastAsia="en-US"/>
              </w:rPr>
              <w:t xml:space="preserve">of the </w:t>
            </w:r>
            <w:r w:rsidRPr="00D41D16">
              <w:rPr>
                <w:rFonts w:eastAsia="Calibri" w:cs="Arial"/>
                <w:i/>
                <w:sz w:val="14"/>
                <w:szCs w:val="14"/>
                <w:lang w:eastAsia="en-US"/>
              </w:rPr>
              <w:t>Workers’ Compensation and Rehabilitation Act 2003</w:t>
            </w:r>
            <w:r w:rsidRPr="00CF1656">
              <w:rPr>
                <w:rFonts w:eastAsia="Calibri" w:cs="Arial"/>
                <w:sz w:val="14"/>
                <w:szCs w:val="14"/>
                <w:lang w:eastAsia="en-US"/>
              </w:rPr>
              <w:t xml:space="preserve">. The amount a </w:t>
            </w:r>
            <w:r w:rsidR="00E43A0F">
              <w:rPr>
                <w:rFonts w:eastAsia="Calibri" w:cs="Arial"/>
                <w:sz w:val="14"/>
                <w:szCs w:val="14"/>
                <w:lang w:eastAsia="en-US"/>
              </w:rPr>
              <w:t>self-insurer</w:t>
            </w:r>
            <w:r w:rsidRPr="00CF1656">
              <w:rPr>
                <w:rFonts w:eastAsia="Calibri" w:cs="Arial"/>
                <w:sz w:val="14"/>
                <w:szCs w:val="14"/>
                <w:lang w:eastAsia="en-US"/>
              </w:rPr>
              <w:t xml:space="preserve"> must pay is calculated according to the formula in </w:t>
            </w:r>
            <w:hyperlink r:id="rId2026" w:anchor="sec.17" w:history="1">
              <w:r w:rsidR="002E4905" w:rsidRPr="007C3585">
                <w:rPr>
                  <w:rStyle w:val="Hyperlink"/>
                  <w:rFonts w:eastAsia="Calibri" w:cs="Arial"/>
                  <w:sz w:val="14"/>
                  <w:szCs w:val="14"/>
                  <w:lang w:eastAsia="en-US"/>
                </w:rPr>
                <w:t>s17</w:t>
              </w:r>
            </w:hyperlink>
            <w:r w:rsidR="002E4905" w:rsidRPr="00CF1656">
              <w:rPr>
                <w:rFonts w:eastAsia="Calibri" w:cs="Arial"/>
                <w:sz w:val="14"/>
                <w:szCs w:val="14"/>
                <w:lang w:eastAsia="en-US"/>
              </w:rPr>
              <w:t xml:space="preserve"> </w:t>
            </w:r>
            <w:r w:rsidRPr="00CF1656">
              <w:rPr>
                <w:rFonts w:eastAsia="Calibri" w:cs="Arial"/>
                <w:sz w:val="14"/>
                <w:szCs w:val="14"/>
                <w:lang w:eastAsia="en-US"/>
              </w:rPr>
              <w:t>(</w:t>
            </w:r>
            <w:r w:rsidRPr="00D41D16">
              <w:rPr>
                <w:rFonts w:eastAsia="Calibri" w:cs="Arial"/>
                <w:i/>
                <w:sz w:val="14"/>
                <w:szCs w:val="14"/>
                <w:lang w:eastAsia="en-US"/>
              </w:rPr>
              <w:t>Workers’ Compensation and Rehabilitation Regulation 2014</w:t>
            </w:r>
            <w:r w:rsidRPr="00CF1656">
              <w:rPr>
                <w:rFonts w:eastAsia="Calibri" w:cs="Arial"/>
                <w:sz w:val="14"/>
                <w:szCs w:val="14"/>
                <w:lang w:eastAsia="en-US"/>
              </w:rPr>
              <w:t>) and is dependent on their estimated claims liability, and the levy rate set by the Regulator.</w:t>
            </w:r>
          </w:p>
        </w:tc>
        <w:tc>
          <w:tcPr>
            <w:tcW w:w="4558" w:type="dxa"/>
            <w:shd w:val="clear" w:color="auto" w:fill="FFC9C9"/>
            <w:tcMar>
              <w:top w:w="80" w:type="dxa"/>
              <w:left w:w="80" w:type="dxa"/>
              <w:bottom w:w="80" w:type="dxa"/>
              <w:right w:w="80" w:type="dxa"/>
            </w:tcMar>
          </w:tcPr>
          <w:p w14:paraId="0AF20032" w14:textId="65E1026F" w:rsidR="00112A7D" w:rsidRPr="00112A7D" w:rsidRDefault="00A7538C" w:rsidP="00292A53">
            <w:pPr>
              <w:spacing w:after="60"/>
              <w:rPr>
                <w:rFonts w:cs="Arial"/>
                <w:color w:val="000000"/>
                <w:sz w:val="14"/>
                <w:szCs w:val="16"/>
                <w:lang w:val="en-GB"/>
              </w:rPr>
            </w:pPr>
            <w:hyperlink r:id="rId2027" w:anchor="sec.78" w:history="1">
              <w:r w:rsidR="002E4905" w:rsidRPr="007C3585">
                <w:rPr>
                  <w:rStyle w:val="Hyperlink"/>
                  <w:rFonts w:cs="Arial"/>
                  <w:sz w:val="14"/>
                  <w:szCs w:val="16"/>
                  <w:lang w:val="en-GB"/>
                </w:rPr>
                <w:t>s78</w:t>
              </w:r>
            </w:hyperlink>
            <w:r w:rsidR="002E4905" w:rsidRPr="00112A7D">
              <w:rPr>
                <w:rFonts w:cs="Arial"/>
                <w:color w:val="000000"/>
                <w:sz w:val="14"/>
                <w:szCs w:val="16"/>
                <w:lang w:val="en-GB"/>
              </w:rPr>
              <w:t xml:space="preserve"> </w:t>
            </w:r>
            <w:r w:rsidR="00112A7D" w:rsidRPr="00112A7D">
              <w:rPr>
                <w:rFonts w:cs="Arial"/>
                <w:color w:val="000000"/>
                <w:sz w:val="14"/>
                <w:szCs w:val="16"/>
                <w:lang w:val="en-GB"/>
              </w:rPr>
              <w:t xml:space="preserve">— </w:t>
            </w:r>
            <w:r w:rsidR="00112A7D" w:rsidRPr="00D41D16">
              <w:rPr>
                <w:rFonts w:cs="Arial"/>
                <w:i/>
                <w:color w:val="000000"/>
                <w:sz w:val="14"/>
                <w:szCs w:val="16"/>
                <w:lang w:val="en-GB"/>
              </w:rPr>
              <w:t>Workers’ Compensation and Rehabilitation Act 2003</w:t>
            </w:r>
            <w:r w:rsidR="00112A7D" w:rsidRPr="00112A7D">
              <w:rPr>
                <w:rFonts w:cs="Arial"/>
                <w:color w:val="000000"/>
                <w:sz w:val="14"/>
                <w:szCs w:val="16"/>
                <w:lang w:val="en-GB"/>
              </w:rPr>
              <w:t xml:space="preserve"> — Original licence issued for a period of two years, on renewal, licence period can be up to four years.</w:t>
            </w:r>
          </w:p>
        </w:tc>
      </w:tr>
      <w:tr w:rsidR="00112A7D" w:rsidRPr="00112A7D" w14:paraId="08D56543" w14:textId="77777777" w:rsidTr="00B2173F">
        <w:tc>
          <w:tcPr>
            <w:tcW w:w="1343" w:type="dxa"/>
            <w:tcMar>
              <w:top w:w="80" w:type="dxa"/>
              <w:left w:w="80" w:type="dxa"/>
              <w:bottom w:w="80" w:type="dxa"/>
              <w:right w:w="80" w:type="dxa"/>
            </w:tcMar>
          </w:tcPr>
          <w:p w14:paraId="34588004"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Western Australia</w:t>
            </w:r>
          </w:p>
        </w:tc>
        <w:tc>
          <w:tcPr>
            <w:tcW w:w="4557" w:type="dxa"/>
            <w:tcMar>
              <w:top w:w="80" w:type="dxa"/>
              <w:left w:w="80" w:type="dxa"/>
              <w:bottom w:w="80" w:type="dxa"/>
              <w:right w:w="80" w:type="dxa"/>
            </w:tcMar>
          </w:tcPr>
          <w:p w14:paraId="4233ED39" w14:textId="77777777" w:rsidR="00112A7D" w:rsidRPr="00CF1656" w:rsidRDefault="00112A7D" w:rsidP="00F839DB">
            <w:pPr>
              <w:pStyle w:val="ListParagraph"/>
              <w:numPr>
                <w:ilvl w:val="0"/>
                <w:numId w:val="337"/>
              </w:numPr>
              <w:spacing w:after="60"/>
              <w:contextualSpacing/>
              <w:rPr>
                <w:rFonts w:eastAsia="Calibri" w:cs="Arial"/>
                <w:sz w:val="14"/>
                <w:szCs w:val="14"/>
                <w:lang w:eastAsia="en-US"/>
              </w:rPr>
            </w:pPr>
            <w:r w:rsidRPr="00CF1656">
              <w:rPr>
                <w:rFonts w:eastAsia="Calibri" w:cs="Arial"/>
                <w:sz w:val="14"/>
                <w:szCs w:val="14"/>
                <w:lang w:eastAsia="en-US"/>
              </w:rPr>
              <w:t>Employer submits application to WorkCover WA.</w:t>
            </w:r>
          </w:p>
          <w:p w14:paraId="5D208BE5" w14:textId="77777777" w:rsidR="00112A7D" w:rsidRPr="00CF1656" w:rsidRDefault="00112A7D" w:rsidP="00F839DB">
            <w:pPr>
              <w:pStyle w:val="ListParagraph"/>
              <w:numPr>
                <w:ilvl w:val="0"/>
                <w:numId w:val="337"/>
              </w:numPr>
              <w:spacing w:after="60"/>
              <w:contextualSpacing/>
              <w:rPr>
                <w:rFonts w:eastAsia="Calibri" w:cs="Arial"/>
                <w:sz w:val="14"/>
                <w:szCs w:val="14"/>
                <w:lang w:eastAsia="en-US"/>
              </w:rPr>
            </w:pPr>
            <w:r w:rsidRPr="00CF1656">
              <w:rPr>
                <w:rFonts w:eastAsia="Calibri" w:cs="Arial"/>
                <w:sz w:val="14"/>
                <w:szCs w:val="14"/>
                <w:lang w:eastAsia="en-US"/>
              </w:rPr>
              <w:t>WorkCover WA reviews and considers the application for self-insurer status and provides recommendation on the application to the Minister.</w:t>
            </w:r>
          </w:p>
          <w:p w14:paraId="44A3ACCE" w14:textId="77777777" w:rsidR="00112A7D" w:rsidRPr="00CF1656" w:rsidRDefault="00112A7D" w:rsidP="00F839DB">
            <w:pPr>
              <w:pStyle w:val="ListParagraph"/>
              <w:numPr>
                <w:ilvl w:val="0"/>
                <w:numId w:val="337"/>
              </w:numPr>
              <w:spacing w:after="60"/>
              <w:contextualSpacing/>
              <w:rPr>
                <w:rFonts w:eastAsia="Calibri" w:cs="Arial"/>
                <w:sz w:val="14"/>
                <w:szCs w:val="14"/>
                <w:lang w:eastAsia="en-US"/>
              </w:rPr>
            </w:pPr>
            <w:r w:rsidRPr="00CF1656">
              <w:rPr>
                <w:rFonts w:eastAsia="Calibri" w:cs="Arial"/>
                <w:sz w:val="14"/>
                <w:szCs w:val="14"/>
                <w:lang w:eastAsia="en-US"/>
              </w:rPr>
              <w:lastRenderedPageBreak/>
              <w:t>The Governor, on recommendation of the Minister, may exempt an employer.</w:t>
            </w:r>
          </w:p>
        </w:tc>
        <w:tc>
          <w:tcPr>
            <w:tcW w:w="4557" w:type="dxa"/>
            <w:tcMar>
              <w:top w:w="80" w:type="dxa"/>
              <w:left w:w="80" w:type="dxa"/>
              <w:bottom w:w="80" w:type="dxa"/>
              <w:right w:w="80" w:type="dxa"/>
            </w:tcMar>
          </w:tcPr>
          <w:p w14:paraId="562921CB" w14:textId="3241B041" w:rsidR="00112A7D" w:rsidRPr="00112A7D" w:rsidRDefault="00112A7D" w:rsidP="00AC2BC5">
            <w:pPr>
              <w:spacing w:after="60"/>
              <w:rPr>
                <w:rFonts w:cs="Arial"/>
                <w:color w:val="000000"/>
                <w:sz w:val="14"/>
                <w:szCs w:val="16"/>
                <w:lang w:val="en-GB"/>
              </w:rPr>
            </w:pPr>
            <w:r w:rsidRPr="00112A7D">
              <w:rPr>
                <w:rFonts w:cs="Arial"/>
                <w:color w:val="000000"/>
                <w:sz w:val="14"/>
                <w:szCs w:val="16"/>
                <w:lang w:val="en-GB"/>
              </w:rPr>
              <w:lastRenderedPageBreak/>
              <w:t>Self-insurers are required to contribute annually to the Authority’s General Account. The contribution is a percentage (fixed by the Authority) of the total amount of the notional premium of the self-insurer. The minimum contribution is $40</w:t>
            </w:r>
            <w:r w:rsidR="006A466B">
              <w:rPr>
                <w:rFonts w:cs="Arial"/>
                <w:color w:val="000000"/>
                <w:sz w:val="14"/>
                <w:szCs w:val="16"/>
                <w:lang w:val="en-GB"/>
              </w:rPr>
              <w:t>,</w:t>
            </w:r>
            <w:r w:rsidRPr="00112A7D">
              <w:rPr>
                <w:rFonts w:cs="Arial"/>
                <w:color w:val="000000"/>
                <w:sz w:val="14"/>
                <w:szCs w:val="16"/>
                <w:lang w:val="en-GB"/>
              </w:rPr>
              <w:t>000.</w:t>
            </w:r>
          </w:p>
        </w:tc>
        <w:tc>
          <w:tcPr>
            <w:tcW w:w="4558" w:type="dxa"/>
            <w:tcMar>
              <w:top w:w="80" w:type="dxa"/>
              <w:left w:w="80" w:type="dxa"/>
              <w:bottom w:w="80" w:type="dxa"/>
              <w:right w:w="80" w:type="dxa"/>
            </w:tcMar>
          </w:tcPr>
          <w:p w14:paraId="0302431D" w14:textId="30FF81BB"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No initial duration, however (</w:t>
            </w:r>
            <w:hyperlink r:id="rId2028" w:history="1">
              <w:r w:rsidRPr="00F22E49">
                <w:rPr>
                  <w:rStyle w:val="Hyperlink"/>
                  <w:rFonts w:cs="Arial"/>
                  <w:sz w:val="14"/>
                  <w:szCs w:val="16"/>
                  <w:lang w:val="en-GB"/>
                </w:rPr>
                <w:t>s165</w:t>
              </w:r>
            </w:hyperlink>
            <w:r w:rsidRPr="00112A7D">
              <w:rPr>
                <w:rFonts w:cs="Arial"/>
                <w:color w:val="000000"/>
                <w:sz w:val="14"/>
                <w:szCs w:val="16"/>
                <w:lang w:val="en-GB"/>
              </w:rPr>
              <w:t xml:space="preserve"> — </w:t>
            </w:r>
            <w:r w:rsidRPr="00D41D16">
              <w:rPr>
                <w:rFonts w:cs="Arial"/>
                <w:i/>
                <w:color w:val="000000"/>
                <w:sz w:val="14"/>
                <w:szCs w:val="16"/>
                <w:lang w:val="en-GB"/>
              </w:rPr>
              <w:t>Workers’ Compensation and Injury Management Act 1981</w:t>
            </w:r>
            <w:r w:rsidRPr="00112A7D">
              <w:rPr>
                <w:rFonts w:cs="Arial"/>
                <w:color w:val="000000"/>
                <w:sz w:val="14"/>
                <w:szCs w:val="16"/>
                <w:lang w:val="en-GB"/>
              </w:rPr>
              <w:t xml:space="preserve">) requires that self-insurance arrangements be reviewed at least once a year or when so required by the Minister. The review of an exemption will be based on adherence </w:t>
            </w:r>
            <w:r w:rsidRPr="00112A7D">
              <w:rPr>
                <w:rFonts w:cs="Arial"/>
                <w:color w:val="000000"/>
                <w:sz w:val="14"/>
                <w:szCs w:val="16"/>
                <w:lang w:val="en-GB"/>
              </w:rPr>
              <w:lastRenderedPageBreak/>
              <w:t>to the conditions of approval set by WorkCover WA.</w:t>
            </w:r>
          </w:p>
        </w:tc>
      </w:tr>
      <w:tr w:rsidR="00C65EB9" w:rsidRPr="00112A7D" w14:paraId="0BDC835F" w14:textId="77777777" w:rsidTr="00B2173F">
        <w:tc>
          <w:tcPr>
            <w:tcW w:w="1343" w:type="dxa"/>
            <w:shd w:val="clear" w:color="auto" w:fill="FFC9C9"/>
            <w:tcMar>
              <w:top w:w="80" w:type="dxa"/>
              <w:left w:w="80" w:type="dxa"/>
              <w:bottom w:w="80" w:type="dxa"/>
              <w:right w:w="80" w:type="dxa"/>
            </w:tcMar>
          </w:tcPr>
          <w:p w14:paraId="7D9A77E1"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lastRenderedPageBreak/>
              <w:t>South Australia</w:t>
            </w:r>
          </w:p>
        </w:tc>
        <w:tc>
          <w:tcPr>
            <w:tcW w:w="4557" w:type="dxa"/>
            <w:shd w:val="clear" w:color="auto" w:fill="FFC9C9"/>
            <w:tcMar>
              <w:top w:w="80" w:type="dxa"/>
              <w:left w:w="80" w:type="dxa"/>
              <w:bottom w:w="80" w:type="dxa"/>
              <w:right w:w="80" w:type="dxa"/>
            </w:tcMar>
          </w:tcPr>
          <w:p w14:paraId="5D8F052D" w14:textId="7952A622" w:rsidR="00112A7D" w:rsidRPr="005C5C26" w:rsidRDefault="00112A7D" w:rsidP="00F839DB">
            <w:pPr>
              <w:pStyle w:val="ListParagraph"/>
              <w:numPr>
                <w:ilvl w:val="0"/>
                <w:numId w:val="338"/>
              </w:numPr>
              <w:spacing w:after="60"/>
              <w:contextualSpacing/>
              <w:rPr>
                <w:rFonts w:eastAsia="Calibri" w:cs="Arial"/>
                <w:sz w:val="14"/>
                <w:szCs w:val="14"/>
                <w:lang w:eastAsia="en-US"/>
              </w:rPr>
            </w:pPr>
            <w:r w:rsidRPr="00CF1656">
              <w:rPr>
                <w:rFonts w:eastAsia="Calibri" w:cs="Arial"/>
                <w:sz w:val="14"/>
                <w:szCs w:val="14"/>
                <w:lang w:eastAsia="en-US"/>
              </w:rPr>
              <w:t xml:space="preserve">An indicative time line for the process and requirements is outlined in the </w:t>
            </w:r>
            <w:hyperlink r:id="rId2029" w:history="1">
              <w:r w:rsidRPr="00CF1656">
                <w:rPr>
                  <w:rFonts w:eastAsia="Calibri" w:cs="Arial"/>
                  <w:color w:val="0000FF"/>
                  <w:sz w:val="14"/>
                  <w:szCs w:val="14"/>
                  <w:u w:val="single"/>
                  <w:lang w:eastAsia="en-US"/>
                </w:rPr>
                <w:t>Code of Conduct for Self-Insured Employers</w:t>
              </w:r>
            </w:hyperlink>
            <w:r w:rsidR="003D2FCB">
              <w:rPr>
                <w:rFonts w:eastAsia="Calibri" w:cs="Arial"/>
                <w:color w:val="0000FF"/>
                <w:sz w:val="14"/>
                <w:szCs w:val="14"/>
                <w:u w:val="single"/>
                <w:lang w:eastAsia="en-US"/>
              </w:rPr>
              <w:t>.</w:t>
            </w:r>
          </w:p>
        </w:tc>
        <w:tc>
          <w:tcPr>
            <w:tcW w:w="4557" w:type="dxa"/>
            <w:shd w:val="clear" w:color="auto" w:fill="FFC9C9"/>
            <w:tcMar>
              <w:top w:w="80" w:type="dxa"/>
              <w:left w:w="80" w:type="dxa"/>
              <w:bottom w:w="80" w:type="dxa"/>
              <w:right w:w="80" w:type="dxa"/>
            </w:tcMar>
          </w:tcPr>
          <w:p w14:paraId="52C67134" w14:textId="77777777" w:rsidR="00112A7D" w:rsidRPr="00112A7D" w:rsidRDefault="00A7538C" w:rsidP="00292A53">
            <w:pPr>
              <w:spacing w:after="60"/>
              <w:rPr>
                <w:rFonts w:cs="Arial"/>
                <w:color w:val="000000"/>
                <w:sz w:val="14"/>
                <w:szCs w:val="16"/>
                <w:lang w:val="en-GB"/>
              </w:rPr>
            </w:pPr>
            <w:hyperlink r:id="rId2030" w:history="1">
              <w:r w:rsidR="00112A7D" w:rsidRPr="00112A7D">
                <w:rPr>
                  <w:rFonts w:cs="Arial"/>
                  <w:color w:val="0000FF"/>
                  <w:sz w:val="14"/>
                  <w:szCs w:val="16"/>
                  <w:u w:val="single"/>
                  <w:lang w:val="en-GB"/>
                </w:rPr>
                <w:t>ss129-133</w:t>
              </w:r>
            </w:hyperlink>
            <w:r w:rsidR="00112A7D" w:rsidRPr="00112A7D">
              <w:rPr>
                <w:rFonts w:cs="Arial"/>
                <w:color w:val="000000"/>
                <w:sz w:val="14"/>
                <w:szCs w:val="16"/>
                <w:lang w:val="en-GB"/>
              </w:rPr>
              <w:t xml:space="preserve"> — </w:t>
            </w:r>
            <w:r w:rsidR="00112A7D" w:rsidRPr="00112A7D">
              <w:rPr>
                <w:rFonts w:cs="Arial"/>
                <w:i/>
                <w:color w:val="000000"/>
                <w:sz w:val="14"/>
                <w:szCs w:val="16"/>
                <w:lang w:val="en-GB"/>
              </w:rPr>
              <w:t>Return to Work Act</w:t>
            </w:r>
            <w:r w:rsidR="00112A7D" w:rsidRPr="00112A7D">
              <w:rPr>
                <w:rFonts w:cs="Arial"/>
                <w:color w:val="000000"/>
                <w:sz w:val="14"/>
                <w:szCs w:val="16"/>
                <w:lang w:val="en-GB"/>
              </w:rPr>
              <w:t xml:space="preserve"> </w:t>
            </w:r>
            <w:r w:rsidR="00112A7D" w:rsidRPr="00D41D16">
              <w:rPr>
                <w:rFonts w:cs="Arial"/>
                <w:i/>
                <w:color w:val="000000"/>
                <w:sz w:val="14"/>
                <w:szCs w:val="16"/>
                <w:lang w:val="en-GB"/>
              </w:rPr>
              <w:t>2014</w:t>
            </w:r>
          </w:p>
          <w:p w14:paraId="21F1BA46" w14:textId="2F837609" w:rsidR="00112A7D" w:rsidRPr="00112A7D" w:rsidRDefault="00112A7D" w:rsidP="00DF35F2">
            <w:pPr>
              <w:numPr>
                <w:ilvl w:val="0"/>
                <w:numId w:val="50"/>
              </w:numPr>
              <w:spacing w:after="60"/>
              <w:rPr>
                <w:rFonts w:cs="Arial"/>
                <w:color w:val="000000"/>
                <w:sz w:val="14"/>
                <w:szCs w:val="16"/>
                <w:lang w:val="en-GB"/>
              </w:rPr>
            </w:pPr>
            <w:r w:rsidRPr="00112A7D">
              <w:rPr>
                <w:rFonts w:cs="Arial"/>
                <w:color w:val="000000"/>
                <w:sz w:val="14"/>
                <w:szCs w:val="16"/>
                <w:lang w:val="en-GB"/>
              </w:rPr>
              <w:t>A one off application fee applies of $10</w:t>
            </w:r>
            <w:r w:rsidR="006A466B">
              <w:rPr>
                <w:rFonts w:cs="Arial"/>
                <w:color w:val="000000"/>
                <w:sz w:val="14"/>
                <w:szCs w:val="16"/>
                <w:lang w:val="en-GB"/>
              </w:rPr>
              <w:t>,</w:t>
            </w:r>
            <w:r w:rsidRPr="00112A7D">
              <w:rPr>
                <w:rFonts w:cs="Arial"/>
                <w:color w:val="000000"/>
                <w:sz w:val="14"/>
                <w:szCs w:val="16"/>
                <w:lang w:val="en-GB"/>
              </w:rPr>
              <w:t>000 (plus GST) plus $15 (plus GST) for each worker employed by the employer, or group of employers at the time of the application is fixed as the fee that must accompany an application for registration as a self-insured employer, or group of self-insured employers.</w:t>
            </w:r>
          </w:p>
          <w:p w14:paraId="5183D5DD" w14:textId="6D839A7C" w:rsidR="00112A7D" w:rsidRPr="00112A7D" w:rsidRDefault="00D41D16" w:rsidP="00DF35F2">
            <w:pPr>
              <w:numPr>
                <w:ilvl w:val="0"/>
                <w:numId w:val="50"/>
              </w:numPr>
              <w:spacing w:after="60"/>
              <w:rPr>
                <w:rFonts w:cs="Arial"/>
                <w:color w:val="000000"/>
                <w:sz w:val="14"/>
                <w:szCs w:val="16"/>
                <w:lang w:val="en-GB"/>
              </w:rPr>
            </w:pPr>
            <w:r>
              <w:rPr>
                <w:rFonts w:cs="Arial"/>
                <w:color w:val="000000"/>
                <w:sz w:val="14"/>
                <w:szCs w:val="16"/>
                <w:lang w:val="en-GB"/>
              </w:rPr>
              <w:t>The maximum fee payable is $40</w:t>
            </w:r>
            <w:r w:rsidR="006A466B">
              <w:rPr>
                <w:rFonts w:cs="Arial"/>
                <w:color w:val="000000"/>
                <w:sz w:val="14"/>
                <w:szCs w:val="16"/>
                <w:lang w:val="en-GB"/>
              </w:rPr>
              <w:t>,</w:t>
            </w:r>
            <w:r w:rsidR="00112A7D" w:rsidRPr="00112A7D">
              <w:rPr>
                <w:rFonts w:cs="Arial"/>
                <w:color w:val="000000"/>
                <w:sz w:val="14"/>
                <w:szCs w:val="16"/>
                <w:lang w:val="en-GB"/>
              </w:rPr>
              <w:t xml:space="preserve">000 (plus GST). Return to Work Regulations 2015 </w:t>
            </w:r>
            <w:r w:rsidR="006A466B">
              <w:rPr>
                <w:rFonts w:cs="Arial"/>
                <w:color w:val="000000"/>
                <w:sz w:val="14"/>
                <w:szCs w:val="16"/>
                <w:lang w:val="en-GB"/>
              </w:rPr>
              <w:t>—</w:t>
            </w:r>
            <w:r w:rsidR="006A466B" w:rsidRPr="00112A7D">
              <w:rPr>
                <w:rFonts w:cs="Arial"/>
                <w:color w:val="000000"/>
                <w:sz w:val="14"/>
                <w:szCs w:val="16"/>
                <w:lang w:val="en-GB"/>
              </w:rPr>
              <w:t xml:space="preserve"> </w:t>
            </w:r>
            <w:hyperlink r:id="rId2031" w:history="1">
              <w:r w:rsidR="00112A7D" w:rsidRPr="00112A7D">
                <w:rPr>
                  <w:rFonts w:cs="Arial"/>
                  <w:color w:val="0000FF"/>
                  <w:sz w:val="14"/>
                  <w:szCs w:val="16"/>
                  <w:u w:val="single"/>
                  <w:lang w:val="en-GB"/>
                </w:rPr>
                <w:t>Reg 53</w:t>
              </w:r>
            </w:hyperlink>
            <w:r w:rsidR="003D2FCB">
              <w:rPr>
                <w:rFonts w:cs="Arial"/>
                <w:color w:val="000000"/>
                <w:sz w:val="14"/>
                <w:szCs w:val="16"/>
                <w:lang w:val="en-GB"/>
              </w:rPr>
              <w:t>.</w:t>
            </w:r>
          </w:p>
        </w:tc>
        <w:tc>
          <w:tcPr>
            <w:tcW w:w="4558" w:type="dxa"/>
            <w:shd w:val="clear" w:color="auto" w:fill="FFC9C9"/>
            <w:tcMar>
              <w:top w:w="80" w:type="dxa"/>
              <w:left w:w="80" w:type="dxa"/>
              <w:bottom w:w="80" w:type="dxa"/>
              <w:right w:w="80" w:type="dxa"/>
            </w:tcMar>
          </w:tcPr>
          <w:p w14:paraId="49B04F3C" w14:textId="39847FE6" w:rsidR="00112A7D" w:rsidRPr="00112A7D" w:rsidRDefault="00112A7D" w:rsidP="00F22E49">
            <w:pPr>
              <w:spacing w:after="60"/>
              <w:rPr>
                <w:rFonts w:cs="Arial"/>
                <w:color w:val="000000"/>
                <w:sz w:val="14"/>
                <w:szCs w:val="16"/>
                <w:lang w:val="en-GB"/>
              </w:rPr>
            </w:pPr>
            <w:r w:rsidRPr="00112A7D">
              <w:rPr>
                <w:rFonts w:cs="Arial"/>
                <w:color w:val="000000"/>
                <w:sz w:val="14"/>
                <w:szCs w:val="16"/>
                <w:lang w:val="en-GB"/>
              </w:rPr>
              <w:t>Registration as a self-insured employer (license) granted for an initial period (not exceeding three years). A self-insurer may apply to ReturnToWorkSA to renew its registration for further periods. Further periods may not exceed</w:t>
            </w:r>
            <w:r w:rsidR="00DD0D68">
              <w:rPr>
                <w:rFonts w:cs="Arial"/>
                <w:color w:val="000000"/>
                <w:sz w:val="14"/>
                <w:szCs w:val="16"/>
                <w:lang w:val="en-GB"/>
              </w:rPr>
              <w:t xml:space="preserve"> </w:t>
            </w:r>
            <w:r w:rsidR="00F22E49">
              <w:rPr>
                <w:rFonts w:cs="Arial"/>
                <w:color w:val="000000"/>
                <w:sz w:val="14"/>
                <w:szCs w:val="16"/>
                <w:lang w:val="en-GB"/>
              </w:rPr>
              <w:t>years (</w:t>
            </w:r>
            <w:hyperlink r:id="rId2032" w:history="1">
              <w:r w:rsidR="00F22E49" w:rsidRPr="00F22E49">
                <w:rPr>
                  <w:rStyle w:val="Hyperlink"/>
                  <w:rFonts w:cs="Arial"/>
                  <w:sz w:val="14"/>
                  <w:szCs w:val="16"/>
                  <w:lang w:val="en-GB"/>
                </w:rPr>
                <w:t>s129(5)(f)</w:t>
              </w:r>
            </w:hyperlink>
            <w:r w:rsidR="00F22E49">
              <w:rPr>
                <w:rFonts w:cs="Arial"/>
                <w:color w:val="000000"/>
                <w:sz w:val="14"/>
                <w:szCs w:val="16"/>
                <w:lang w:val="en-GB"/>
              </w:rPr>
              <w:t xml:space="preserve"> </w:t>
            </w:r>
            <w:r w:rsidRPr="00112A7D">
              <w:rPr>
                <w:rFonts w:cs="Arial"/>
                <w:color w:val="000000"/>
                <w:sz w:val="14"/>
                <w:szCs w:val="16"/>
                <w:lang w:val="en-GB"/>
              </w:rPr>
              <w:t xml:space="preserve">and </w:t>
            </w:r>
            <w:hyperlink r:id="rId2033" w:history="1">
              <w:r w:rsidRPr="00112A7D">
                <w:rPr>
                  <w:rFonts w:cs="Arial"/>
                  <w:color w:val="0000FF"/>
                  <w:sz w:val="14"/>
                  <w:szCs w:val="16"/>
                  <w:u w:val="single"/>
                </w:rPr>
                <w:t>Code of Conduct for Self-Insured Employers</w:t>
              </w:r>
            </w:hyperlink>
            <w:r w:rsidR="00F22E49" w:rsidRPr="00F22E49">
              <w:rPr>
                <w:rFonts w:cs="Arial"/>
                <w:sz w:val="14"/>
                <w:szCs w:val="16"/>
              </w:rPr>
              <w:t>).</w:t>
            </w:r>
          </w:p>
        </w:tc>
      </w:tr>
      <w:tr w:rsidR="00112A7D" w:rsidRPr="00112A7D" w14:paraId="1357508B" w14:textId="77777777" w:rsidTr="00B2173F">
        <w:tc>
          <w:tcPr>
            <w:tcW w:w="1343" w:type="dxa"/>
            <w:tcMar>
              <w:top w:w="80" w:type="dxa"/>
              <w:left w:w="80" w:type="dxa"/>
              <w:bottom w:w="80" w:type="dxa"/>
              <w:right w:w="80" w:type="dxa"/>
            </w:tcMar>
          </w:tcPr>
          <w:p w14:paraId="25A88D6F"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Tasmania</w:t>
            </w:r>
          </w:p>
        </w:tc>
        <w:tc>
          <w:tcPr>
            <w:tcW w:w="4557" w:type="dxa"/>
            <w:tcMar>
              <w:top w:w="80" w:type="dxa"/>
              <w:left w:w="80" w:type="dxa"/>
              <w:bottom w:w="80" w:type="dxa"/>
              <w:right w:w="80" w:type="dxa"/>
            </w:tcMar>
          </w:tcPr>
          <w:p w14:paraId="5FF0BBC9" w14:textId="112FD70E" w:rsidR="00FF73C1" w:rsidRPr="00145A9F" w:rsidRDefault="00FF73C1" w:rsidP="00FF73C1">
            <w:pPr>
              <w:spacing w:after="60"/>
              <w:rPr>
                <w:rFonts w:cs="Arial"/>
                <w:color w:val="000000"/>
                <w:sz w:val="14"/>
                <w:szCs w:val="16"/>
                <w:lang w:val="en-GB"/>
              </w:rPr>
            </w:pPr>
            <w:r w:rsidRPr="00145A9F">
              <w:rPr>
                <w:rFonts w:cs="Arial"/>
                <w:color w:val="000000"/>
                <w:sz w:val="14"/>
                <w:szCs w:val="16"/>
                <w:lang w:val="en-GB"/>
              </w:rPr>
              <w:t xml:space="preserve">An employer must make application to the WorkCover Tasmania Board on the approved form </w:t>
            </w:r>
            <w:r w:rsidR="009E39E6" w:rsidRPr="00016069">
              <w:rPr>
                <w:i/>
                <w:sz w:val="14"/>
              </w:rPr>
              <w:t xml:space="preserve"> </w:t>
            </w:r>
            <w:r w:rsidR="009E39E6" w:rsidRPr="009E39E6">
              <w:rPr>
                <w:sz w:val="14"/>
              </w:rPr>
              <w:t>(</w:t>
            </w:r>
            <w:r w:rsidR="009E39E6" w:rsidRPr="00016069">
              <w:rPr>
                <w:i/>
                <w:sz w:val="14"/>
              </w:rPr>
              <w:t>Workers Rehabilitation and Compensation Act 1988</w:t>
            </w:r>
            <w:r w:rsidR="009E39E6">
              <w:rPr>
                <w:i/>
                <w:sz w:val="14"/>
              </w:rPr>
              <w:t xml:space="preserve">, </w:t>
            </w:r>
            <w:hyperlink r:id="rId2034" w:history="1">
              <w:r w:rsidRPr="00145A9F">
                <w:rPr>
                  <w:rFonts w:cs="Arial"/>
                  <w:color w:val="0000FF"/>
                  <w:sz w:val="14"/>
                  <w:szCs w:val="16"/>
                  <w:u w:val="single"/>
                  <w:lang w:val="en-GB"/>
                </w:rPr>
                <w:t>s104</w:t>
              </w:r>
            </w:hyperlink>
            <w:r w:rsidRPr="00145A9F">
              <w:rPr>
                <w:rFonts w:cs="Arial"/>
                <w:color w:val="000000"/>
                <w:sz w:val="14"/>
                <w:szCs w:val="16"/>
                <w:lang w:val="en-GB"/>
              </w:rPr>
              <w:t>) accompanied by:</w:t>
            </w:r>
          </w:p>
          <w:p w14:paraId="316106A8" w14:textId="77777777" w:rsidR="00FF73C1" w:rsidRPr="00145A9F" w:rsidRDefault="00FF73C1" w:rsidP="00F839DB">
            <w:pPr>
              <w:pStyle w:val="ListParagraph"/>
              <w:numPr>
                <w:ilvl w:val="0"/>
                <w:numId w:val="338"/>
              </w:numPr>
              <w:spacing w:after="60"/>
              <w:contextualSpacing/>
              <w:rPr>
                <w:rFonts w:eastAsia="Calibri" w:cs="Arial"/>
                <w:sz w:val="14"/>
                <w:szCs w:val="14"/>
                <w:lang w:eastAsia="en-US"/>
              </w:rPr>
            </w:pPr>
            <w:r w:rsidRPr="00145A9F">
              <w:rPr>
                <w:rFonts w:eastAsia="Calibri" w:cs="Arial"/>
                <w:sz w:val="14"/>
                <w:szCs w:val="14"/>
                <w:lang w:eastAsia="en-US"/>
              </w:rPr>
              <w:t>completed financial indicators form</w:t>
            </w:r>
          </w:p>
          <w:p w14:paraId="72491F70" w14:textId="77777777" w:rsidR="00FF73C1" w:rsidRPr="00ED261A" w:rsidRDefault="00FF73C1" w:rsidP="00F839DB">
            <w:pPr>
              <w:pStyle w:val="ListParagraph"/>
              <w:numPr>
                <w:ilvl w:val="0"/>
                <w:numId w:val="338"/>
              </w:numPr>
              <w:spacing w:after="60"/>
              <w:contextualSpacing/>
              <w:rPr>
                <w:rFonts w:eastAsia="Calibri" w:cs="Arial"/>
                <w:sz w:val="14"/>
                <w:szCs w:val="14"/>
                <w:lang w:eastAsia="en-US"/>
              </w:rPr>
            </w:pPr>
            <w:r w:rsidRPr="00ED261A">
              <w:rPr>
                <w:rFonts w:eastAsia="Calibri" w:cs="Arial"/>
                <w:sz w:val="14"/>
                <w:szCs w:val="14"/>
                <w:lang w:eastAsia="en-US"/>
              </w:rPr>
              <w:t>desktop review of financial information by an independent expert</w:t>
            </w:r>
          </w:p>
          <w:p w14:paraId="7A4805AB" w14:textId="77777777" w:rsidR="00FF73C1" w:rsidRPr="00AC0A58" w:rsidRDefault="00FF73C1" w:rsidP="00F839DB">
            <w:pPr>
              <w:pStyle w:val="ListParagraph"/>
              <w:numPr>
                <w:ilvl w:val="0"/>
                <w:numId w:val="338"/>
              </w:numPr>
              <w:spacing w:after="60"/>
              <w:contextualSpacing/>
              <w:rPr>
                <w:rFonts w:eastAsia="Calibri" w:cs="Arial"/>
                <w:sz w:val="14"/>
                <w:szCs w:val="14"/>
                <w:lang w:eastAsia="en-US"/>
              </w:rPr>
            </w:pPr>
            <w:r w:rsidRPr="00AC0A58">
              <w:rPr>
                <w:rFonts w:eastAsia="Calibri" w:cs="Arial"/>
                <w:sz w:val="14"/>
                <w:szCs w:val="14"/>
                <w:lang w:eastAsia="en-US"/>
              </w:rPr>
              <w:t>copies of the organisation’s last three annual reports</w:t>
            </w:r>
          </w:p>
          <w:p w14:paraId="380E663C" w14:textId="77777777" w:rsidR="00FF73C1" w:rsidRPr="001C52D2" w:rsidRDefault="00FF73C1" w:rsidP="00F839DB">
            <w:pPr>
              <w:pStyle w:val="ListParagraph"/>
              <w:numPr>
                <w:ilvl w:val="0"/>
                <w:numId w:val="338"/>
              </w:numPr>
              <w:spacing w:after="60"/>
              <w:contextualSpacing/>
              <w:rPr>
                <w:rFonts w:eastAsia="Calibri" w:cs="Arial"/>
                <w:sz w:val="14"/>
                <w:szCs w:val="14"/>
                <w:lang w:eastAsia="en-US"/>
              </w:rPr>
            </w:pPr>
            <w:r w:rsidRPr="001C52D2">
              <w:rPr>
                <w:rFonts w:eastAsia="Calibri" w:cs="Arial"/>
                <w:sz w:val="14"/>
                <w:szCs w:val="14"/>
                <w:lang w:eastAsia="en-US"/>
              </w:rPr>
              <w:t>evidence of high level safety management practices</w:t>
            </w:r>
          </w:p>
          <w:p w14:paraId="1B74E20B" w14:textId="77777777" w:rsidR="00FF73C1" w:rsidRPr="00785696" w:rsidRDefault="00FF73C1" w:rsidP="00F839DB">
            <w:pPr>
              <w:pStyle w:val="ListParagraph"/>
              <w:numPr>
                <w:ilvl w:val="0"/>
                <w:numId w:val="338"/>
              </w:numPr>
              <w:spacing w:after="60"/>
              <w:contextualSpacing/>
              <w:rPr>
                <w:rFonts w:eastAsia="Calibri" w:cs="Arial"/>
                <w:sz w:val="14"/>
                <w:szCs w:val="14"/>
                <w:lang w:eastAsia="en-US"/>
              </w:rPr>
            </w:pPr>
            <w:r w:rsidRPr="00785696">
              <w:rPr>
                <w:rFonts w:eastAsia="Calibri" w:cs="Arial"/>
                <w:sz w:val="14"/>
                <w:szCs w:val="14"/>
                <w:lang w:eastAsia="en-US"/>
              </w:rPr>
              <w:t>evidence of high level injury management practices</w:t>
            </w:r>
          </w:p>
          <w:p w14:paraId="6E107618" w14:textId="77777777" w:rsidR="00FF73C1" w:rsidRPr="00145A9F" w:rsidRDefault="00FF73C1" w:rsidP="00F839DB">
            <w:pPr>
              <w:pStyle w:val="ListParagraph"/>
              <w:numPr>
                <w:ilvl w:val="0"/>
                <w:numId w:val="338"/>
              </w:numPr>
              <w:spacing w:after="60"/>
              <w:contextualSpacing/>
              <w:rPr>
                <w:rFonts w:eastAsia="Calibri" w:cs="Arial"/>
                <w:sz w:val="14"/>
                <w:szCs w:val="14"/>
                <w:lang w:eastAsia="en-US"/>
              </w:rPr>
            </w:pPr>
            <w:r w:rsidRPr="00145A9F">
              <w:rPr>
                <w:rFonts w:eastAsia="Calibri" w:cs="Arial"/>
                <w:sz w:val="14"/>
                <w:szCs w:val="14"/>
                <w:lang w:eastAsia="en-US"/>
              </w:rPr>
              <w:t>evidence of high level claims management practices, and</w:t>
            </w:r>
          </w:p>
          <w:p w14:paraId="088F561B" w14:textId="77777777" w:rsidR="00FF73C1" w:rsidRPr="00145A9F" w:rsidRDefault="00FF73C1" w:rsidP="00F839DB">
            <w:pPr>
              <w:pStyle w:val="ListParagraph"/>
              <w:numPr>
                <w:ilvl w:val="0"/>
                <w:numId w:val="338"/>
              </w:numPr>
              <w:spacing w:after="60"/>
              <w:contextualSpacing/>
              <w:rPr>
                <w:rFonts w:eastAsia="Calibri" w:cs="Arial"/>
                <w:sz w:val="14"/>
                <w:szCs w:val="14"/>
                <w:lang w:eastAsia="en-US"/>
              </w:rPr>
            </w:pPr>
            <w:r w:rsidRPr="00145A9F">
              <w:rPr>
                <w:rFonts w:eastAsia="Calibri" w:cs="Arial"/>
                <w:sz w:val="14"/>
                <w:szCs w:val="14"/>
                <w:lang w:eastAsia="en-US"/>
              </w:rPr>
              <w:t>evidence of the organisation’s capacity to meet the necessary data reporting requirements.</w:t>
            </w:r>
          </w:p>
          <w:p w14:paraId="7DE7061F" w14:textId="77777777" w:rsidR="00FF73C1" w:rsidRPr="00112A7D" w:rsidRDefault="00A7538C" w:rsidP="00FF73C1">
            <w:pPr>
              <w:spacing w:after="60"/>
              <w:rPr>
                <w:rFonts w:cs="Arial"/>
                <w:color w:val="000000"/>
                <w:sz w:val="14"/>
                <w:szCs w:val="16"/>
                <w:lang w:val="en-GB"/>
              </w:rPr>
            </w:pPr>
            <w:hyperlink r:id="rId2035" w:history="1">
              <w:r w:rsidR="00FF73C1">
                <w:rPr>
                  <w:rFonts w:cs="Arial"/>
                  <w:color w:val="0000FF"/>
                  <w:sz w:val="14"/>
                  <w:szCs w:val="16"/>
                  <w:u w:val="single"/>
                  <w:lang w:val="en-GB"/>
                </w:rPr>
                <w:t>Permit to Self-Insure</w:t>
              </w:r>
            </w:hyperlink>
          </w:p>
          <w:p w14:paraId="4263D069" w14:textId="22E2DBEF" w:rsidR="00112A7D" w:rsidRPr="00112A7D" w:rsidRDefault="00A7538C" w:rsidP="00FF73C1">
            <w:pPr>
              <w:spacing w:after="60"/>
              <w:rPr>
                <w:rFonts w:cs="Arial"/>
                <w:color w:val="000000"/>
                <w:sz w:val="14"/>
                <w:szCs w:val="16"/>
                <w:lang w:val="en-GB"/>
              </w:rPr>
            </w:pPr>
            <w:hyperlink r:id="rId2036" w:history="1">
              <w:r w:rsidR="00FF73C1" w:rsidRPr="00112A7D">
                <w:rPr>
                  <w:rFonts w:cs="Arial"/>
                  <w:color w:val="0000FF"/>
                  <w:sz w:val="14"/>
                  <w:szCs w:val="16"/>
                  <w:u w:val="single"/>
                  <w:lang w:val="en-GB"/>
                </w:rPr>
                <w:t>How to apply for a permit to insure (self-insurer)</w:t>
              </w:r>
            </w:hyperlink>
            <w:r w:rsidR="00FF73C1">
              <w:rPr>
                <w:rFonts w:cs="Arial"/>
                <w:color w:val="0000FF"/>
                <w:sz w:val="14"/>
                <w:szCs w:val="16"/>
                <w:u w:val="single"/>
                <w:lang w:val="en-GB"/>
              </w:rPr>
              <w:t>.</w:t>
            </w:r>
          </w:p>
        </w:tc>
        <w:tc>
          <w:tcPr>
            <w:tcW w:w="4557" w:type="dxa"/>
            <w:tcMar>
              <w:top w:w="80" w:type="dxa"/>
              <w:left w:w="80" w:type="dxa"/>
              <w:bottom w:w="80" w:type="dxa"/>
              <w:right w:w="80" w:type="dxa"/>
            </w:tcMar>
          </w:tcPr>
          <w:p w14:paraId="48B9D7A5" w14:textId="77777777" w:rsidR="00FF73C1" w:rsidRPr="00145A9F" w:rsidRDefault="00FF73C1" w:rsidP="00FF73C1">
            <w:pPr>
              <w:spacing w:after="60"/>
              <w:rPr>
                <w:rFonts w:cs="Arial"/>
                <w:color w:val="000000"/>
                <w:sz w:val="14"/>
                <w:szCs w:val="16"/>
                <w:lang w:val="en-GB"/>
              </w:rPr>
            </w:pPr>
            <w:r w:rsidRPr="00145A9F">
              <w:rPr>
                <w:rFonts w:cs="Arial"/>
                <w:color w:val="000000"/>
                <w:sz w:val="14"/>
                <w:szCs w:val="16"/>
                <w:lang w:val="en-GB"/>
              </w:rPr>
              <w:t>No application fee. However, the applicant is responsible for paying all expenses associated with applying for a self-insurer permit, including expenses associated with:</w:t>
            </w:r>
          </w:p>
          <w:p w14:paraId="1C92A44B" w14:textId="77777777" w:rsidR="00FF73C1" w:rsidRPr="00145A9F" w:rsidRDefault="00FF73C1" w:rsidP="00F839DB">
            <w:pPr>
              <w:pStyle w:val="ListParagraph"/>
              <w:numPr>
                <w:ilvl w:val="0"/>
                <w:numId w:val="339"/>
              </w:numPr>
              <w:spacing w:after="60"/>
              <w:contextualSpacing/>
              <w:rPr>
                <w:rFonts w:eastAsia="Calibri" w:cs="Arial"/>
                <w:sz w:val="14"/>
                <w:szCs w:val="14"/>
                <w:lang w:eastAsia="en-US"/>
              </w:rPr>
            </w:pPr>
            <w:r w:rsidRPr="00ED261A">
              <w:rPr>
                <w:rFonts w:eastAsia="Calibri" w:cs="Arial"/>
                <w:sz w:val="14"/>
                <w:szCs w:val="14"/>
                <w:lang w:eastAsia="en-US"/>
              </w:rPr>
              <w:t xml:space="preserve">providing </w:t>
            </w:r>
            <w:r>
              <w:rPr>
                <w:rFonts w:eastAsia="Calibri" w:cs="Arial"/>
                <w:sz w:val="14"/>
                <w:szCs w:val="14"/>
                <w:lang w:eastAsia="en-US"/>
              </w:rPr>
              <w:t>required financial information</w:t>
            </w:r>
          </w:p>
          <w:p w14:paraId="40B5926F" w14:textId="77777777" w:rsidR="00FF73C1" w:rsidRPr="00145A9F" w:rsidRDefault="00FF73C1" w:rsidP="00F839DB">
            <w:pPr>
              <w:pStyle w:val="ListParagraph"/>
              <w:numPr>
                <w:ilvl w:val="0"/>
                <w:numId w:val="339"/>
              </w:numPr>
              <w:spacing w:after="60"/>
              <w:contextualSpacing/>
              <w:rPr>
                <w:rFonts w:eastAsia="Calibri" w:cs="Arial"/>
                <w:sz w:val="14"/>
                <w:szCs w:val="14"/>
                <w:lang w:eastAsia="en-US"/>
              </w:rPr>
            </w:pPr>
            <w:r w:rsidRPr="00145A9F">
              <w:rPr>
                <w:rFonts w:eastAsia="Calibri" w:cs="Arial"/>
                <w:sz w:val="14"/>
                <w:szCs w:val="14"/>
                <w:lang w:eastAsia="en-US"/>
              </w:rPr>
              <w:t>providing a National Audit Tool report by a certified auditor or evidence of JAZ-ANZ certification against AS/NZ 4801:2001 or the National Audit Tool, and</w:t>
            </w:r>
          </w:p>
          <w:p w14:paraId="10BF8737" w14:textId="77777777" w:rsidR="00FF73C1" w:rsidRPr="00ED261A" w:rsidRDefault="00FF73C1" w:rsidP="00F839DB">
            <w:pPr>
              <w:pStyle w:val="ListParagraph"/>
              <w:numPr>
                <w:ilvl w:val="0"/>
                <w:numId w:val="339"/>
              </w:numPr>
              <w:spacing w:after="60"/>
              <w:contextualSpacing/>
              <w:rPr>
                <w:rFonts w:eastAsia="Calibri" w:cs="Arial"/>
                <w:sz w:val="14"/>
                <w:szCs w:val="14"/>
                <w:lang w:eastAsia="en-US"/>
              </w:rPr>
            </w:pPr>
            <w:r w:rsidRPr="00ED261A">
              <w:rPr>
                <w:rFonts w:eastAsia="Calibri" w:cs="Arial"/>
                <w:sz w:val="14"/>
                <w:szCs w:val="14"/>
                <w:lang w:eastAsia="en-US"/>
              </w:rPr>
              <w:t>seeking approval of an Injury Management Program.</w:t>
            </w:r>
          </w:p>
          <w:p w14:paraId="39B10CC5" w14:textId="77777777" w:rsidR="00FF73C1" w:rsidRDefault="00FF73C1" w:rsidP="00F839DB">
            <w:pPr>
              <w:pStyle w:val="ListParagraph"/>
              <w:numPr>
                <w:ilvl w:val="0"/>
                <w:numId w:val="339"/>
              </w:numPr>
              <w:spacing w:after="60"/>
              <w:contextualSpacing/>
              <w:rPr>
                <w:rFonts w:eastAsia="Calibri" w:cs="Arial"/>
                <w:sz w:val="14"/>
                <w:szCs w:val="14"/>
                <w:lang w:eastAsia="en-US"/>
              </w:rPr>
            </w:pPr>
            <w:r w:rsidRPr="00AC0A58">
              <w:rPr>
                <w:rFonts w:eastAsia="Calibri" w:cs="Arial"/>
                <w:sz w:val="14"/>
                <w:szCs w:val="14"/>
                <w:lang w:eastAsia="en-US"/>
              </w:rPr>
              <w:t>Once a permit is granted, there are ongoing expe</w:t>
            </w:r>
            <w:r>
              <w:rPr>
                <w:rFonts w:eastAsia="Calibri" w:cs="Arial"/>
                <w:sz w:val="14"/>
                <w:szCs w:val="14"/>
                <w:lang w:eastAsia="en-US"/>
              </w:rPr>
              <w:t>nses.</w:t>
            </w:r>
          </w:p>
          <w:p w14:paraId="1BD56AA7" w14:textId="5843AC0B" w:rsidR="00112A7D" w:rsidRPr="00FF73C1" w:rsidRDefault="00FF73C1" w:rsidP="00F839DB">
            <w:pPr>
              <w:pStyle w:val="ListParagraph"/>
              <w:numPr>
                <w:ilvl w:val="0"/>
                <w:numId w:val="339"/>
              </w:numPr>
              <w:spacing w:after="60"/>
              <w:contextualSpacing/>
              <w:rPr>
                <w:rFonts w:eastAsia="Calibri" w:cs="Arial"/>
                <w:sz w:val="14"/>
                <w:szCs w:val="14"/>
                <w:lang w:eastAsia="en-US"/>
              </w:rPr>
            </w:pPr>
            <w:r w:rsidRPr="00FF73C1">
              <w:rPr>
                <w:rFonts w:eastAsia="Calibri" w:cs="Arial"/>
                <w:sz w:val="14"/>
                <w:szCs w:val="14"/>
                <w:lang w:eastAsia="en-US"/>
              </w:rPr>
              <w:t>Requirement to make annual contributions to the WorkCover Tasmania Board and the Nominal Insurer Fund.</w:t>
            </w:r>
          </w:p>
        </w:tc>
        <w:tc>
          <w:tcPr>
            <w:tcW w:w="4558" w:type="dxa"/>
            <w:tcMar>
              <w:top w:w="80" w:type="dxa"/>
              <w:left w:w="80" w:type="dxa"/>
              <w:bottom w:w="80" w:type="dxa"/>
              <w:right w:w="80" w:type="dxa"/>
            </w:tcMar>
          </w:tcPr>
          <w:p w14:paraId="65694A61" w14:textId="77777777"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Duration ranges from one year to three years, depending on the self</w:t>
            </w:r>
            <w:r w:rsidRPr="00112A7D">
              <w:rPr>
                <w:rFonts w:cs="Arial"/>
                <w:color w:val="000000"/>
                <w:sz w:val="14"/>
                <w:szCs w:val="16"/>
                <w:lang w:val="en-GB"/>
              </w:rPr>
              <w:noBreakHyphen/>
              <w:t>insurer’s ability to satisfy the criteria.</w:t>
            </w:r>
          </w:p>
        </w:tc>
      </w:tr>
      <w:tr w:rsidR="00C65EB9" w:rsidRPr="00112A7D" w14:paraId="5F90CDFA" w14:textId="77777777" w:rsidTr="00B2173F">
        <w:tc>
          <w:tcPr>
            <w:tcW w:w="1343" w:type="dxa"/>
            <w:shd w:val="clear" w:color="auto" w:fill="FFC9C9"/>
            <w:tcMar>
              <w:top w:w="80" w:type="dxa"/>
              <w:left w:w="80" w:type="dxa"/>
              <w:bottom w:w="80" w:type="dxa"/>
              <w:right w:w="80" w:type="dxa"/>
            </w:tcMar>
          </w:tcPr>
          <w:p w14:paraId="17B9AE27"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Northern Territory</w:t>
            </w:r>
          </w:p>
        </w:tc>
        <w:tc>
          <w:tcPr>
            <w:tcW w:w="4557" w:type="dxa"/>
            <w:shd w:val="clear" w:color="auto" w:fill="FFC9C9"/>
            <w:tcMar>
              <w:top w:w="80" w:type="dxa"/>
              <w:left w:w="80" w:type="dxa"/>
              <w:bottom w:w="80" w:type="dxa"/>
              <w:right w:w="80" w:type="dxa"/>
            </w:tcMar>
          </w:tcPr>
          <w:p w14:paraId="495AD6D9" w14:textId="62498964" w:rsidR="00112A7D" w:rsidRPr="00112A7D" w:rsidRDefault="007E1187" w:rsidP="00292A53">
            <w:pPr>
              <w:spacing w:after="60"/>
              <w:rPr>
                <w:rFonts w:cs="Arial"/>
                <w:color w:val="000000"/>
                <w:sz w:val="14"/>
                <w:szCs w:val="16"/>
                <w:lang w:val="en-GB"/>
              </w:rPr>
            </w:pPr>
            <w:r w:rsidRPr="00016069">
              <w:rPr>
                <w:i/>
                <w:sz w:val="14"/>
              </w:rPr>
              <w:t>Return to Work Act</w:t>
            </w:r>
            <w:r w:rsidRPr="00112A7D">
              <w:rPr>
                <w:rFonts w:cs="Arial"/>
                <w:color w:val="000000"/>
                <w:sz w:val="14"/>
                <w:szCs w:val="16"/>
                <w:lang w:val="en-GB"/>
              </w:rPr>
              <w:t xml:space="preserve"> </w:t>
            </w:r>
            <w:hyperlink r:id="rId2037" w:history="1">
              <w:r w:rsidR="00112A7D" w:rsidRPr="007E1187">
                <w:rPr>
                  <w:rStyle w:val="Hyperlink"/>
                  <w:rFonts w:cs="Arial"/>
                  <w:sz w:val="14"/>
                  <w:szCs w:val="16"/>
                  <w:lang w:val="en-GB"/>
                </w:rPr>
                <w:t>s120</w:t>
              </w:r>
            </w:hyperlink>
            <w:r w:rsidR="00112A7D" w:rsidRPr="00112A7D">
              <w:rPr>
                <w:rFonts w:cs="Arial"/>
                <w:color w:val="000000"/>
                <w:sz w:val="14"/>
                <w:szCs w:val="16"/>
                <w:lang w:val="en-GB"/>
              </w:rPr>
              <w:t xml:space="preserve"> — Employer to write to Author</w:t>
            </w:r>
            <w:r w:rsidR="0014264B">
              <w:rPr>
                <w:rFonts w:cs="Arial"/>
                <w:color w:val="000000"/>
                <w:sz w:val="14"/>
                <w:szCs w:val="16"/>
                <w:lang w:val="en-GB"/>
              </w:rPr>
              <w:t>ity for approval to self-insure</w:t>
            </w:r>
          </w:p>
        </w:tc>
        <w:tc>
          <w:tcPr>
            <w:tcW w:w="4557" w:type="dxa"/>
            <w:shd w:val="clear" w:color="auto" w:fill="FFC9C9"/>
            <w:tcMar>
              <w:top w:w="80" w:type="dxa"/>
              <w:left w:w="80" w:type="dxa"/>
              <w:bottom w:w="80" w:type="dxa"/>
              <w:right w:w="80" w:type="dxa"/>
            </w:tcMar>
          </w:tcPr>
          <w:p w14:paraId="3CF12404" w14:textId="77777777" w:rsidR="00112A7D" w:rsidRPr="00CF1656" w:rsidRDefault="00112A7D" w:rsidP="00F839DB">
            <w:pPr>
              <w:pStyle w:val="ListParagraph"/>
              <w:numPr>
                <w:ilvl w:val="0"/>
                <w:numId w:val="340"/>
              </w:numPr>
              <w:spacing w:after="60"/>
              <w:ind w:left="357" w:hanging="357"/>
              <w:rPr>
                <w:rFonts w:eastAsia="Calibri" w:cs="Arial"/>
                <w:sz w:val="14"/>
                <w:szCs w:val="14"/>
                <w:lang w:eastAsia="en-US"/>
              </w:rPr>
            </w:pPr>
            <w:r w:rsidRPr="00CF1656">
              <w:rPr>
                <w:rFonts w:eastAsia="Calibri" w:cs="Arial"/>
                <w:sz w:val="14"/>
                <w:szCs w:val="14"/>
                <w:lang w:eastAsia="en-US"/>
              </w:rPr>
              <w:t>There is no cost to employers to lodge a self-insurer application. The only fee for employers is for an actuarial assessment to be provided to NT WorkSafe’s actuary. Once approved a self-insurer will be required to pay the Territory an amount determined by the Authority as a contribution towards:</w:t>
            </w:r>
          </w:p>
          <w:p w14:paraId="09FF777C" w14:textId="77777777" w:rsidR="00112A7D" w:rsidRPr="00CF1656" w:rsidRDefault="00112A7D" w:rsidP="00F839DB">
            <w:pPr>
              <w:pStyle w:val="ListParagraph"/>
              <w:numPr>
                <w:ilvl w:val="0"/>
                <w:numId w:val="341"/>
              </w:numPr>
              <w:spacing w:after="60"/>
              <w:rPr>
                <w:rFonts w:cs="Arial"/>
                <w:color w:val="000000"/>
                <w:sz w:val="14"/>
                <w:szCs w:val="16"/>
                <w:lang w:val="en-GB"/>
              </w:rPr>
            </w:pPr>
            <w:r w:rsidRPr="00CF1656">
              <w:rPr>
                <w:rFonts w:cs="Arial"/>
                <w:color w:val="000000"/>
                <w:sz w:val="14"/>
                <w:szCs w:val="16"/>
                <w:lang w:val="en-GB"/>
              </w:rPr>
              <w:t>administration costs of the Work Health Court</w:t>
            </w:r>
          </w:p>
          <w:p w14:paraId="28979535" w14:textId="77777777" w:rsidR="00112A7D" w:rsidRPr="00CF1656" w:rsidRDefault="00112A7D" w:rsidP="00F839DB">
            <w:pPr>
              <w:pStyle w:val="ListParagraph"/>
              <w:numPr>
                <w:ilvl w:val="0"/>
                <w:numId w:val="341"/>
              </w:numPr>
              <w:spacing w:after="60"/>
              <w:rPr>
                <w:rFonts w:cs="Arial"/>
                <w:color w:val="000000"/>
                <w:sz w:val="14"/>
                <w:szCs w:val="16"/>
                <w:lang w:val="en-GB"/>
              </w:rPr>
            </w:pPr>
            <w:r w:rsidRPr="00CF1656">
              <w:rPr>
                <w:rFonts w:cs="Arial"/>
                <w:color w:val="000000"/>
                <w:sz w:val="14"/>
                <w:szCs w:val="16"/>
                <w:lang w:val="en-GB"/>
              </w:rPr>
              <w:t>administration costs of the Supreme Court associated with proceedings under the Act</w:t>
            </w:r>
          </w:p>
          <w:p w14:paraId="5A43DED4" w14:textId="77777777" w:rsidR="00112A7D" w:rsidRPr="00CF1656" w:rsidRDefault="00112A7D" w:rsidP="00F839DB">
            <w:pPr>
              <w:pStyle w:val="ListParagraph"/>
              <w:numPr>
                <w:ilvl w:val="0"/>
                <w:numId w:val="341"/>
              </w:numPr>
              <w:spacing w:after="60"/>
              <w:rPr>
                <w:rFonts w:cs="Arial"/>
                <w:color w:val="000000"/>
                <w:sz w:val="14"/>
                <w:szCs w:val="16"/>
                <w:lang w:val="en-GB"/>
              </w:rPr>
            </w:pPr>
            <w:r w:rsidRPr="00CF1656">
              <w:rPr>
                <w:rFonts w:cs="Arial"/>
                <w:color w:val="000000"/>
                <w:sz w:val="14"/>
                <w:szCs w:val="16"/>
                <w:lang w:val="en-GB"/>
              </w:rPr>
              <w:t>costs incurred by the Authority in providing a mediation service, and</w:t>
            </w:r>
          </w:p>
          <w:p w14:paraId="78C85D47" w14:textId="124E2B65" w:rsidR="00112A7D" w:rsidRPr="00CF1656" w:rsidRDefault="00112A7D" w:rsidP="00F839DB">
            <w:pPr>
              <w:pStyle w:val="ListParagraph"/>
              <w:numPr>
                <w:ilvl w:val="0"/>
                <w:numId w:val="341"/>
              </w:numPr>
              <w:spacing w:after="60"/>
              <w:rPr>
                <w:rFonts w:cs="Arial"/>
                <w:color w:val="000000"/>
                <w:sz w:val="14"/>
                <w:szCs w:val="16"/>
                <w:lang w:val="en-GB"/>
              </w:rPr>
            </w:pPr>
            <w:r w:rsidRPr="00CF1656">
              <w:rPr>
                <w:rFonts w:cs="Arial"/>
                <w:color w:val="000000"/>
                <w:sz w:val="14"/>
                <w:szCs w:val="16"/>
                <w:lang w:val="en-GB"/>
              </w:rPr>
              <w:t>costs incurred by the Territory in relation to the Authority’s (NT WorkSafe) performance of its functions under the</w:t>
            </w:r>
            <w:r w:rsidR="00DD0D68">
              <w:rPr>
                <w:rFonts w:cs="Arial"/>
                <w:color w:val="000000"/>
                <w:sz w:val="14"/>
                <w:szCs w:val="16"/>
                <w:lang w:val="en-GB"/>
              </w:rPr>
              <w:t xml:space="preserve"> </w:t>
            </w:r>
            <w:r w:rsidRPr="00CF1656">
              <w:rPr>
                <w:rFonts w:cs="Arial"/>
                <w:color w:val="000000"/>
                <w:sz w:val="14"/>
                <w:szCs w:val="16"/>
                <w:lang w:val="en-GB"/>
              </w:rPr>
              <w:t>Return to Work Act</w:t>
            </w:r>
            <w:r w:rsidR="00DD0D68">
              <w:rPr>
                <w:rFonts w:cs="Arial"/>
                <w:color w:val="000000"/>
                <w:sz w:val="14"/>
                <w:szCs w:val="16"/>
                <w:lang w:val="en-GB"/>
              </w:rPr>
              <w:t xml:space="preserve"> </w:t>
            </w:r>
            <w:r w:rsidRPr="00CF1656">
              <w:rPr>
                <w:rFonts w:cs="Arial"/>
                <w:color w:val="000000"/>
                <w:sz w:val="14"/>
                <w:szCs w:val="16"/>
                <w:lang w:val="en-GB"/>
              </w:rPr>
              <w:t>or other Act and in relation to promoting</w:t>
            </w:r>
            <w:r w:rsidR="00DD0D68">
              <w:rPr>
                <w:rFonts w:cs="Arial"/>
                <w:color w:val="000000"/>
                <w:sz w:val="14"/>
                <w:szCs w:val="16"/>
                <w:lang w:val="en-GB"/>
              </w:rPr>
              <w:t xml:space="preserve"> </w:t>
            </w:r>
            <w:r w:rsidRPr="00CF1656">
              <w:rPr>
                <w:rFonts w:cs="Arial"/>
                <w:color w:val="000000"/>
                <w:sz w:val="14"/>
                <w:szCs w:val="16"/>
                <w:lang w:val="en-GB"/>
              </w:rPr>
              <w:t xml:space="preserve">health and safety. </w:t>
            </w:r>
            <w:r w:rsidR="006A466B">
              <w:rPr>
                <w:rFonts w:cs="Arial"/>
                <w:color w:val="000000"/>
                <w:sz w:val="14"/>
                <w:szCs w:val="16"/>
                <w:lang w:val="en-GB"/>
              </w:rPr>
              <w:t>—</w:t>
            </w:r>
            <w:r w:rsidR="006A466B" w:rsidRPr="00CF1656">
              <w:rPr>
                <w:rFonts w:cs="Arial"/>
                <w:color w:val="000000"/>
                <w:sz w:val="14"/>
                <w:szCs w:val="16"/>
                <w:lang w:val="en-GB"/>
              </w:rPr>
              <w:t xml:space="preserve"> </w:t>
            </w:r>
            <w:hyperlink r:id="rId2038" w:history="1">
              <w:r w:rsidR="007E1187" w:rsidRPr="007E1187">
                <w:rPr>
                  <w:rStyle w:val="Hyperlink"/>
                  <w:rFonts w:cs="Arial"/>
                  <w:sz w:val="14"/>
                  <w:szCs w:val="16"/>
                  <w:lang w:val="en-GB"/>
                </w:rPr>
                <w:t>s</w:t>
              </w:r>
              <w:r w:rsidRPr="007E1187">
                <w:rPr>
                  <w:rStyle w:val="Hyperlink"/>
                  <w:rFonts w:cs="Arial"/>
                  <w:sz w:val="14"/>
                  <w:szCs w:val="16"/>
                  <w:lang w:val="en-GB"/>
                </w:rPr>
                <w:t>121A</w:t>
              </w:r>
            </w:hyperlink>
            <w:r w:rsidRPr="00CF1656">
              <w:rPr>
                <w:rFonts w:cs="Arial"/>
                <w:color w:val="000000"/>
                <w:sz w:val="14"/>
                <w:szCs w:val="16"/>
                <w:lang w:val="en-GB"/>
              </w:rPr>
              <w:t>.</w:t>
            </w:r>
          </w:p>
          <w:p w14:paraId="39AF6D12"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They are also subject to contribution to the Nominal Insurer based on notional market share.</w:t>
            </w:r>
          </w:p>
        </w:tc>
        <w:tc>
          <w:tcPr>
            <w:tcW w:w="4558" w:type="dxa"/>
            <w:shd w:val="clear" w:color="auto" w:fill="FFC9C9"/>
            <w:tcMar>
              <w:top w:w="80" w:type="dxa"/>
              <w:left w:w="80" w:type="dxa"/>
              <w:bottom w:w="80" w:type="dxa"/>
              <w:right w:w="80" w:type="dxa"/>
            </w:tcMar>
          </w:tcPr>
          <w:p w14:paraId="19F8242F" w14:textId="6C756073" w:rsidR="00112A7D" w:rsidRPr="00112A7D" w:rsidRDefault="0014264B" w:rsidP="00292A53">
            <w:pPr>
              <w:spacing w:after="60"/>
              <w:rPr>
                <w:rFonts w:cs="Arial"/>
                <w:color w:val="000000"/>
                <w:sz w:val="14"/>
                <w:szCs w:val="16"/>
                <w:lang w:val="en-GB"/>
              </w:rPr>
            </w:pPr>
            <w:r>
              <w:rPr>
                <w:rFonts w:cs="Arial"/>
                <w:color w:val="000000"/>
                <w:sz w:val="14"/>
                <w:szCs w:val="16"/>
                <w:lang w:val="en-GB"/>
              </w:rPr>
              <w:t>One year</w:t>
            </w:r>
          </w:p>
        </w:tc>
      </w:tr>
      <w:tr w:rsidR="00112A7D" w:rsidRPr="00112A7D" w14:paraId="7E61484A" w14:textId="77777777" w:rsidTr="00B2173F">
        <w:tc>
          <w:tcPr>
            <w:tcW w:w="1343" w:type="dxa"/>
            <w:tcMar>
              <w:top w:w="80" w:type="dxa"/>
              <w:left w:w="80" w:type="dxa"/>
              <w:bottom w:w="80" w:type="dxa"/>
              <w:right w:w="80" w:type="dxa"/>
            </w:tcMar>
          </w:tcPr>
          <w:p w14:paraId="513AE4C8"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Australian Capital Territory</w:t>
            </w:r>
          </w:p>
        </w:tc>
        <w:tc>
          <w:tcPr>
            <w:tcW w:w="4557" w:type="dxa"/>
            <w:tcMar>
              <w:top w:w="80" w:type="dxa"/>
              <w:left w:w="80" w:type="dxa"/>
              <w:bottom w:w="80" w:type="dxa"/>
              <w:right w:w="80" w:type="dxa"/>
            </w:tcMar>
          </w:tcPr>
          <w:p w14:paraId="5B67BB40"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Submit application to WorkSafe ACT.</w:t>
            </w:r>
          </w:p>
          <w:p w14:paraId="358763FC"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 xml:space="preserve">WorkSafe ACT will coordinate the review process. </w:t>
            </w:r>
          </w:p>
          <w:p w14:paraId="26139D4E"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 xml:space="preserve">Once applications have been reviewed recommendations will be made to the appropriate delegate. </w:t>
            </w:r>
          </w:p>
          <w:p w14:paraId="59867C3F"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Once the Delegate has made their decision, the applicant will be notified.</w:t>
            </w:r>
          </w:p>
          <w:p w14:paraId="17595E99"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 xml:space="preserve">Should the application be successful, the applicant must complete and return an Acceptance Form within 14 days of the </w:t>
            </w:r>
            <w:r w:rsidRPr="00CF1656">
              <w:rPr>
                <w:rFonts w:eastAsia="Calibri" w:cs="Arial"/>
                <w:sz w:val="14"/>
                <w:szCs w:val="14"/>
                <w:lang w:eastAsia="en-US"/>
              </w:rPr>
              <w:lastRenderedPageBreak/>
              <w:t>date of notification.</w:t>
            </w:r>
          </w:p>
        </w:tc>
        <w:tc>
          <w:tcPr>
            <w:tcW w:w="4557" w:type="dxa"/>
            <w:tcMar>
              <w:top w:w="80" w:type="dxa"/>
              <w:left w:w="80" w:type="dxa"/>
              <w:bottom w:w="80" w:type="dxa"/>
              <w:right w:w="80" w:type="dxa"/>
            </w:tcMar>
          </w:tcPr>
          <w:p w14:paraId="5A8EC1A9" w14:textId="1BB5BAE0"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lastRenderedPageBreak/>
              <w:t>Application fee to be a self-insurer — $</w:t>
            </w:r>
            <w:r w:rsidR="008F6EE3">
              <w:rPr>
                <w:rFonts w:eastAsia="Calibri" w:cs="Arial"/>
                <w:sz w:val="14"/>
                <w:szCs w:val="14"/>
                <w:lang w:eastAsia="en-US"/>
              </w:rPr>
              <w:t>8,302</w:t>
            </w:r>
            <w:r w:rsidRPr="00CF1656">
              <w:rPr>
                <w:rFonts w:eastAsia="Calibri" w:cs="Arial"/>
                <w:sz w:val="14"/>
                <w:szCs w:val="14"/>
                <w:lang w:eastAsia="en-US"/>
              </w:rPr>
              <w:t>.00 (updated each year) and approval fee — $</w:t>
            </w:r>
            <w:r w:rsidR="008F6EE3">
              <w:rPr>
                <w:rFonts w:eastAsia="Calibri" w:cs="Arial"/>
                <w:sz w:val="14"/>
                <w:szCs w:val="14"/>
                <w:lang w:eastAsia="en-US"/>
              </w:rPr>
              <w:t>8,302</w:t>
            </w:r>
            <w:r w:rsidRPr="00CF1656">
              <w:rPr>
                <w:rFonts w:eastAsia="Calibri" w:cs="Arial"/>
                <w:sz w:val="14"/>
                <w:szCs w:val="14"/>
                <w:lang w:eastAsia="en-US"/>
              </w:rPr>
              <w:t>.00.</w:t>
            </w:r>
            <w:r w:rsidR="00B7673F">
              <w:rPr>
                <w:rFonts w:eastAsia="Calibri" w:cs="Arial"/>
                <w:sz w:val="14"/>
                <w:szCs w:val="14"/>
                <w:lang w:eastAsia="en-US"/>
              </w:rPr>
              <w:t xml:space="preserve"> </w:t>
            </w:r>
            <w:r w:rsidRPr="00CF1656">
              <w:rPr>
                <w:rFonts w:eastAsia="Calibri" w:cs="Arial"/>
                <w:sz w:val="14"/>
                <w:szCs w:val="14"/>
                <w:lang w:eastAsia="en-US"/>
              </w:rPr>
              <w:t>The insurer must agree to participate in, and pay the costs of an audit to establish that the insurer has adequate resources to meet the insurer’s current and expected liabilities.</w:t>
            </w:r>
          </w:p>
          <w:p w14:paraId="31A8656F"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 xml:space="preserve">The insurer must agree to participate in, and pay the costs of, an audit to establish that the insurer has complied with its obligations under the Regulatory Framework Appropriate audit </w:t>
            </w:r>
            <w:r w:rsidRPr="00CF1656">
              <w:rPr>
                <w:rFonts w:eastAsia="Calibri" w:cs="Arial"/>
                <w:sz w:val="14"/>
                <w:szCs w:val="14"/>
                <w:lang w:eastAsia="en-US"/>
              </w:rPr>
              <w:lastRenderedPageBreak/>
              <w:t>costs and application fee on renewal of licence.</w:t>
            </w:r>
          </w:p>
        </w:tc>
        <w:tc>
          <w:tcPr>
            <w:tcW w:w="4558" w:type="dxa"/>
            <w:tcMar>
              <w:top w:w="80" w:type="dxa"/>
              <w:left w:w="80" w:type="dxa"/>
              <w:bottom w:w="80" w:type="dxa"/>
              <w:right w:w="80" w:type="dxa"/>
            </w:tcMar>
          </w:tcPr>
          <w:p w14:paraId="24482287" w14:textId="40A997AA" w:rsidR="00112A7D" w:rsidRPr="00112A7D" w:rsidRDefault="0014264B" w:rsidP="00292A53">
            <w:pPr>
              <w:spacing w:after="60"/>
              <w:rPr>
                <w:rFonts w:cs="Arial"/>
                <w:color w:val="000000"/>
                <w:sz w:val="14"/>
                <w:szCs w:val="16"/>
                <w:lang w:val="en-GB"/>
              </w:rPr>
            </w:pPr>
            <w:r>
              <w:rPr>
                <w:rFonts w:cs="Arial"/>
                <w:color w:val="000000"/>
                <w:sz w:val="14"/>
                <w:szCs w:val="16"/>
                <w:lang w:val="en-GB"/>
              </w:rPr>
              <w:lastRenderedPageBreak/>
              <w:t>Up to three years</w:t>
            </w:r>
          </w:p>
        </w:tc>
      </w:tr>
      <w:tr w:rsidR="00C65EB9" w:rsidRPr="00112A7D" w14:paraId="76145922" w14:textId="77777777" w:rsidTr="00B2173F">
        <w:tc>
          <w:tcPr>
            <w:tcW w:w="1343" w:type="dxa"/>
            <w:shd w:val="clear" w:color="auto" w:fill="FFC9C9"/>
            <w:tcMar>
              <w:top w:w="80" w:type="dxa"/>
              <w:left w:w="80" w:type="dxa"/>
              <w:bottom w:w="80" w:type="dxa"/>
              <w:right w:w="80" w:type="dxa"/>
            </w:tcMar>
          </w:tcPr>
          <w:p w14:paraId="751F4860"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C’wealth Comcare</w:t>
            </w:r>
          </w:p>
        </w:tc>
        <w:tc>
          <w:tcPr>
            <w:tcW w:w="4557" w:type="dxa"/>
            <w:shd w:val="clear" w:color="auto" w:fill="FFC9C9"/>
            <w:tcMar>
              <w:top w:w="80" w:type="dxa"/>
              <w:left w:w="80" w:type="dxa"/>
              <w:bottom w:w="80" w:type="dxa"/>
              <w:right w:w="80" w:type="dxa"/>
            </w:tcMar>
          </w:tcPr>
          <w:p w14:paraId="4C2870B4" w14:textId="77777777" w:rsidR="00112A7D" w:rsidRPr="00112A7D" w:rsidRDefault="00112A7D" w:rsidP="00292A53">
            <w:pPr>
              <w:spacing w:after="60"/>
              <w:rPr>
                <w:rFonts w:cs="Arial"/>
                <w:b/>
                <w:color w:val="000000"/>
                <w:sz w:val="14"/>
                <w:szCs w:val="16"/>
                <w:lang w:val="en-GB"/>
              </w:rPr>
            </w:pPr>
            <w:r w:rsidRPr="00112A7D">
              <w:rPr>
                <w:rFonts w:cs="Arial"/>
                <w:b/>
                <w:color w:val="000000"/>
                <w:sz w:val="14"/>
                <w:szCs w:val="16"/>
                <w:lang w:val="en-GB"/>
              </w:rPr>
              <w:t>Process for applying for eligibility</w:t>
            </w:r>
          </w:p>
          <w:p w14:paraId="46787D89" w14:textId="42574EC2"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By Ministerial declaration and provided that the Minister is satisfied tha</w:t>
            </w:r>
            <w:r w:rsidR="00F80628">
              <w:rPr>
                <w:rFonts w:cs="Arial"/>
                <w:color w:val="000000"/>
                <w:sz w:val="14"/>
                <w:szCs w:val="16"/>
                <w:lang w:val="en-GB"/>
              </w:rPr>
              <w:t>t it would be desirable for the</w:t>
            </w:r>
            <w:r w:rsidR="00F80628" w:rsidRPr="00016069">
              <w:rPr>
                <w:i/>
                <w:sz w:val="14"/>
              </w:rPr>
              <w:t xml:space="preserve"> Safety, Rehabilitation and Compensation Act 1988</w:t>
            </w:r>
            <w:r w:rsidRPr="00112A7D">
              <w:rPr>
                <w:rFonts w:cs="Arial"/>
                <w:color w:val="000000"/>
                <w:sz w:val="14"/>
                <w:szCs w:val="16"/>
                <w:lang w:val="en-GB"/>
              </w:rPr>
              <w:t xml:space="preserve"> to apply to employees of a corporation that: </w:t>
            </w:r>
          </w:p>
          <w:p w14:paraId="1774C9F0" w14:textId="77777777" w:rsidR="00112A7D" w:rsidRPr="00CF1656" w:rsidRDefault="00112A7D" w:rsidP="00F839DB">
            <w:pPr>
              <w:pStyle w:val="ListParagraph"/>
              <w:numPr>
                <w:ilvl w:val="0"/>
                <w:numId w:val="342"/>
              </w:numPr>
              <w:spacing w:after="60"/>
              <w:rPr>
                <w:rFonts w:cs="Arial"/>
                <w:color w:val="000000"/>
                <w:sz w:val="14"/>
                <w:szCs w:val="16"/>
                <w:lang w:val="en-GB"/>
              </w:rPr>
            </w:pPr>
            <w:r w:rsidRPr="00CF1656">
              <w:rPr>
                <w:rFonts w:cs="Arial"/>
                <w:color w:val="000000"/>
                <w:sz w:val="14"/>
                <w:szCs w:val="16"/>
                <w:lang w:val="en-GB"/>
              </w:rPr>
              <w:t xml:space="preserve">is, but is about to cease to be, a Commonwealth authority, or </w:t>
            </w:r>
          </w:p>
          <w:p w14:paraId="7673B581" w14:textId="77777777" w:rsidR="00112A7D" w:rsidRPr="00CF1656" w:rsidRDefault="00112A7D" w:rsidP="00F839DB">
            <w:pPr>
              <w:pStyle w:val="ListParagraph"/>
              <w:numPr>
                <w:ilvl w:val="0"/>
                <w:numId w:val="342"/>
              </w:numPr>
              <w:spacing w:after="60"/>
              <w:rPr>
                <w:rFonts w:cs="Arial"/>
                <w:color w:val="000000"/>
                <w:sz w:val="14"/>
                <w:szCs w:val="16"/>
                <w:lang w:val="en-GB"/>
              </w:rPr>
            </w:pPr>
            <w:r w:rsidRPr="00CF1656">
              <w:rPr>
                <w:rFonts w:cs="Arial"/>
                <w:color w:val="000000"/>
                <w:sz w:val="14"/>
                <w:szCs w:val="16"/>
                <w:lang w:val="en-GB"/>
              </w:rPr>
              <w:t xml:space="preserve">was previously a Commonwealth authority, or </w:t>
            </w:r>
          </w:p>
          <w:p w14:paraId="50071457" w14:textId="77777777" w:rsidR="00112A7D" w:rsidRPr="00CF1656" w:rsidRDefault="00112A7D" w:rsidP="00F839DB">
            <w:pPr>
              <w:pStyle w:val="ListParagraph"/>
              <w:numPr>
                <w:ilvl w:val="0"/>
                <w:numId w:val="342"/>
              </w:numPr>
              <w:spacing w:after="60"/>
              <w:rPr>
                <w:rFonts w:cs="Arial"/>
                <w:color w:val="000000"/>
                <w:sz w:val="14"/>
                <w:szCs w:val="16"/>
                <w:lang w:val="en-GB"/>
              </w:rPr>
            </w:pPr>
            <w:r w:rsidRPr="00CF1656">
              <w:rPr>
                <w:rFonts w:cs="Arial"/>
                <w:color w:val="000000"/>
                <w:sz w:val="14"/>
                <w:szCs w:val="16"/>
                <w:lang w:val="en-GB"/>
              </w:rPr>
              <w:t>is carrying on business in competition with a Commonwealth authority or with another corporation that was previously a Commonwealth authority.</w:t>
            </w:r>
          </w:p>
          <w:p w14:paraId="3AA43ED3" w14:textId="77777777"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If the corporation is so declared by the Minister, the corporation is then eligible to apply to the Safety, Rehabilitation and Compensation Commission (the Commission) for a licence.</w:t>
            </w:r>
          </w:p>
          <w:p w14:paraId="4A0AE9BC" w14:textId="77777777" w:rsidR="00112A7D" w:rsidRPr="00112A7D" w:rsidRDefault="00112A7D" w:rsidP="00292A53">
            <w:pPr>
              <w:spacing w:after="60"/>
              <w:rPr>
                <w:rFonts w:cs="Arial"/>
                <w:b/>
                <w:color w:val="000000"/>
                <w:sz w:val="14"/>
                <w:szCs w:val="16"/>
                <w:lang w:val="en-GB"/>
              </w:rPr>
            </w:pPr>
            <w:r w:rsidRPr="00112A7D">
              <w:rPr>
                <w:rFonts w:cs="Arial"/>
                <w:b/>
                <w:color w:val="000000"/>
                <w:sz w:val="14"/>
                <w:szCs w:val="16"/>
                <w:lang w:val="en-GB"/>
              </w:rPr>
              <w:t>Process for applying to become a self-insurer:</w:t>
            </w:r>
          </w:p>
          <w:p w14:paraId="1FB5BD45" w14:textId="4E0B6AAE" w:rsidR="00112A7D" w:rsidRPr="00CF1656" w:rsidRDefault="00A7538C" w:rsidP="00F839DB">
            <w:pPr>
              <w:pStyle w:val="ListParagraph"/>
              <w:numPr>
                <w:ilvl w:val="0"/>
                <w:numId w:val="343"/>
              </w:numPr>
              <w:spacing w:after="60"/>
              <w:contextualSpacing/>
              <w:rPr>
                <w:rFonts w:eastAsia="Calibri" w:cs="Arial"/>
                <w:sz w:val="14"/>
                <w:szCs w:val="14"/>
                <w:lang w:eastAsia="en-US"/>
              </w:rPr>
            </w:pPr>
            <w:hyperlink r:id="rId2039" w:history="1">
              <w:r w:rsidR="00112A7D" w:rsidRPr="00F80628">
                <w:rPr>
                  <w:rStyle w:val="Hyperlink"/>
                  <w:rFonts w:eastAsia="Calibri" w:cs="Arial"/>
                  <w:sz w:val="14"/>
                  <w:szCs w:val="14"/>
                  <w:lang w:eastAsia="en-US"/>
                </w:rPr>
                <w:t>s102</w:t>
              </w:r>
            </w:hyperlink>
            <w:r w:rsidR="00112A7D" w:rsidRPr="00CF1656">
              <w:rPr>
                <w:rFonts w:eastAsia="Calibri" w:cs="Arial"/>
                <w:sz w:val="14"/>
                <w:szCs w:val="14"/>
                <w:lang w:eastAsia="en-US"/>
              </w:rPr>
              <w:t xml:space="preserve"> —</w:t>
            </w:r>
            <w:r w:rsidR="00F80628" w:rsidRPr="00CF1656">
              <w:rPr>
                <w:rFonts w:eastAsia="Calibri" w:cs="Arial"/>
                <w:i/>
                <w:sz w:val="14"/>
                <w:szCs w:val="14"/>
                <w:lang w:eastAsia="en-US"/>
              </w:rPr>
              <w:t xml:space="preserve"> </w:t>
            </w:r>
            <w:r w:rsidR="00F80628" w:rsidRPr="00016069">
              <w:rPr>
                <w:i/>
                <w:sz w:val="14"/>
              </w:rPr>
              <w:t>Safety, Rehabilitation and Compensation Act 1988</w:t>
            </w:r>
            <w:r w:rsidR="00112A7D" w:rsidRPr="00CF1656">
              <w:rPr>
                <w:rFonts w:eastAsia="Calibri" w:cs="Arial"/>
                <w:sz w:val="14"/>
                <w:szCs w:val="14"/>
                <w:lang w:eastAsia="en-US"/>
              </w:rPr>
              <w:t xml:space="preserve"> —</w:t>
            </w:r>
            <w:r w:rsidR="00DD0D68">
              <w:rPr>
                <w:rFonts w:eastAsia="Calibri" w:cs="Arial"/>
                <w:sz w:val="14"/>
                <w:szCs w:val="14"/>
                <w:lang w:eastAsia="en-US"/>
              </w:rPr>
              <w:t xml:space="preserve"> </w:t>
            </w:r>
            <w:r w:rsidR="00112A7D" w:rsidRPr="00CF1656">
              <w:rPr>
                <w:rFonts w:eastAsia="Calibri" w:cs="Arial"/>
                <w:sz w:val="14"/>
                <w:szCs w:val="14"/>
                <w:lang w:eastAsia="en-US"/>
              </w:rPr>
              <w:t>Once a corporation is declared an eligible corporation by the Minister, it may then apply to the Commission for a licence:</w:t>
            </w:r>
          </w:p>
          <w:p w14:paraId="1A2AD018" w14:textId="2A90BF33" w:rsidR="00112A7D" w:rsidRPr="00CF1656" w:rsidRDefault="00112A7D" w:rsidP="00F839DB">
            <w:pPr>
              <w:pStyle w:val="ListParagraph"/>
              <w:numPr>
                <w:ilvl w:val="0"/>
                <w:numId w:val="343"/>
              </w:numPr>
              <w:spacing w:after="60"/>
              <w:ind w:left="357" w:hanging="357"/>
              <w:rPr>
                <w:rFonts w:eastAsia="Calibri" w:cs="Arial"/>
                <w:sz w:val="14"/>
                <w:szCs w:val="14"/>
                <w:lang w:eastAsia="en-US"/>
              </w:rPr>
            </w:pPr>
            <w:r w:rsidRPr="00CF1656">
              <w:rPr>
                <w:rFonts w:eastAsia="Calibri" w:cs="Arial"/>
                <w:sz w:val="14"/>
                <w:szCs w:val="14"/>
                <w:lang w:eastAsia="en-US"/>
              </w:rPr>
              <w:t>To grant a licence,</w:t>
            </w:r>
            <w:r w:rsidR="00DD0D68">
              <w:rPr>
                <w:rFonts w:eastAsia="Calibri" w:cs="Arial"/>
                <w:sz w:val="14"/>
                <w:szCs w:val="14"/>
                <w:lang w:eastAsia="en-US"/>
              </w:rPr>
              <w:t xml:space="preserve"> </w:t>
            </w:r>
            <w:r w:rsidRPr="00CF1656">
              <w:rPr>
                <w:rFonts w:eastAsia="Calibri" w:cs="Arial"/>
                <w:sz w:val="14"/>
                <w:szCs w:val="14"/>
                <w:lang w:eastAsia="en-US"/>
              </w:rPr>
              <w:t>The Commission will consider whether:</w:t>
            </w:r>
          </w:p>
          <w:p w14:paraId="777DDBE4" w14:textId="77777777" w:rsidR="00112A7D" w:rsidRPr="00CF1656" w:rsidRDefault="00112A7D" w:rsidP="00F839DB">
            <w:pPr>
              <w:pStyle w:val="ListParagraph"/>
              <w:numPr>
                <w:ilvl w:val="0"/>
                <w:numId w:val="344"/>
              </w:numPr>
              <w:spacing w:after="60"/>
              <w:ind w:left="357" w:hanging="357"/>
              <w:contextualSpacing/>
              <w:rPr>
                <w:rFonts w:cs="Arial"/>
                <w:color w:val="000000"/>
                <w:sz w:val="14"/>
                <w:szCs w:val="16"/>
                <w:lang w:val="en-GB"/>
              </w:rPr>
            </w:pPr>
            <w:r w:rsidRPr="00CF1656">
              <w:rPr>
                <w:rFonts w:cs="Arial"/>
                <w:color w:val="000000"/>
                <w:sz w:val="14"/>
                <w:szCs w:val="16"/>
                <w:lang w:val="en-GB"/>
              </w:rPr>
              <w:t xml:space="preserve">the applicant has sufficient resources to fulfil the responsibilities imposed on it under the licence </w:t>
            </w:r>
          </w:p>
          <w:p w14:paraId="3269BC5B" w14:textId="77777777" w:rsidR="00112A7D" w:rsidRPr="00CF1656" w:rsidRDefault="00112A7D" w:rsidP="00F839DB">
            <w:pPr>
              <w:pStyle w:val="ListParagraph"/>
              <w:numPr>
                <w:ilvl w:val="0"/>
                <w:numId w:val="344"/>
              </w:numPr>
              <w:spacing w:after="60"/>
              <w:ind w:left="357" w:hanging="357"/>
              <w:contextualSpacing/>
              <w:rPr>
                <w:rFonts w:cs="Arial"/>
                <w:color w:val="000000"/>
                <w:sz w:val="14"/>
                <w:szCs w:val="16"/>
                <w:lang w:val="en-GB"/>
              </w:rPr>
            </w:pPr>
            <w:r w:rsidRPr="00CF1656">
              <w:rPr>
                <w:rFonts w:cs="Arial"/>
                <w:color w:val="000000"/>
                <w:sz w:val="14"/>
                <w:szCs w:val="16"/>
                <w:lang w:val="en-GB"/>
              </w:rPr>
              <w:t>the applicant has the capacity to ensure that claims will be managed in accordance with the Commission’s standards for claims management</w:t>
            </w:r>
          </w:p>
          <w:p w14:paraId="1D6BB2B9" w14:textId="77777777" w:rsidR="00112A7D" w:rsidRPr="00CF1656" w:rsidRDefault="00112A7D" w:rsidP="00F839DB">
            <w:pPr>
              <w:pStyle w:val="ListParagraph"/>
              <w:numPr>
                <w:ilvl w:val="0"/>
                <w:numId w:val="344"/>
              </w:numPr>
              <w:spacing w:after="60"/>
              <w:ind w:left="357" w:hanging="357"/>
              <w:contextualSpacing/>
              <w:rPr>
                <w:rFonts w:cs="Arial"/>
                <w:color w:val="000000"/>
                <w:sz w:val="14"/>
                <w:szCs w:val="16"/>
                <w:lang w:val="en-GB"/>
              </w:rPr>
            </w:pPr>
            <w:r w:rsidRPr="00CF1656">
              <w:rPr>
                <w:rFonts w:cs="Arial"/>
                <w:color w:val="000000"/>
                <w:sz w:val="14"/>
                <w:szCs w:val="16"/>
                <w:lang w:val="en-GB"/>
              </w:rPr>
              <w:t>the applicant has the capacity to meet the Commission’s standards for the rehabilitation and work health and safety of its employees</w:t>
            </w:r>
          </w:p>
          <w:p w14:paraId="47B41782" w14:textId="77777777" w:rsidR="00112A7D" w:rsidRPr="00CF1656" w:rsidRDefault="00112A7D" w:rsidP="00F839DB">
            <w:pPr>
              <w:pStyle w:val="ListParagraph"/>
              <w:numPr>
                <w:ilvl w:val="0"/>
                <w:numId w:val="344"/>
              </w:numPr>
              <w:spacing w:after="60"/>
              <w:ind w:left="357" w:hanging="357"/>
              <w:contextualSpacing/>
              <w:rPr>
                <w:rFonts w:cs="Arial"/>
                <w:color w:val="000000"/>
                <w:sz w:val="14"/>
                <w:szCs w:val="16"/>
                <w:lang w:val="en-GB"/>
              </w:rPr>
            </w:pPr>
            <w:r w:rsidRPr="00CF1656">
              <w:rPr>
                <w:rFonts w:cs="Arial"/>
                <w:color w:val="000000"/>
                <w:sz w:val="14"/>
                <w:szCs w:val="16"/>
                <w:lang w:val="en-GB"/>
              </w:rPr>
              <w:t>the granting of the licence will not be contrary to the interests of the employees of the licensee whose affairs fall within the scope of the licence, and</w:t>
            </w:r>
          </w:p>
          <w:p w14:paraId="62F6A7D2" w14:textId="77777777" w:rsidR="00112A7D" w:rsidRPr="00CF1656" w:rsidRDefault="00112A7D" w:rsidP="00F839DB">
            <w:pPr>
              <w:pStyle w:val="ListParagraph"/>
              <w:numPr>
                <w:ilvl w:val="0"/>
                <w:numId w:val="344"/>
              </w:numPr>
              <w:spacing w:after="60"/>
              <w:rPr>
                <w:rFonts w:cs="Arial"/>
                <w:color w:val="000000"/>
                <w:sz w:val="14"/>
                <w:szCs w:val="16"/>
                <w:lang w:val="en-GB"/>
              </w:rPr>
            </w:pPr>
            <w:r w:rsidRPr="00CF1656">
              <w:rPr>
                <w:rFonts w:cs="Arial"/>
                <w:color w:val="000000"/>
                <w:sz w:val="14"/>
                <w:szCs w:val="16"/>
                <w:lang w:val="en-GB"/>
              </w:rPr>
              <w:t>because of the applicant’s past conduct it is unlikely that the applicant will, if licensed, meet the standards set by the Commission for claims management, rehabilitation and prevention.</w:t>
            </w:r>
          </w:p>
        </w:tc>
        <w:tc>
          <w:tcPr>
            <w:tcW w:w="4557" w:type="dxa"/>
            <w:shd w:val="clear" w:color="auto" w:fill="FFC9C9"/>
            <w:tcMar>
              <w:top w:w="80" w:type="dxa"/>
              <w:left w:w="80" w:type="dxa"/>
              <w:bottom w:w="80" w:type="dxa"/>
              <w:right w:w="80" w:type="dxa"/>
            </w:tcMar>
          </w:tcPr>
          <w:p w14:paraId="2B911C13" w14:textId="77777777" w:rsidR="00112A7D" w:rsidRPr="00CF1656" w:rsidRDefault="00112A7D" w:rsidP="00F839DB">
            <w:pPr>
              <w:pStyle w:val="ListParagraph"/>
              <w:numPr>
                <w:ilvl w:val="0"/>
                <w:numId w:val="345"/>
              </w:numPr>
              <w:spacing w:after="60"/>
              <w:contextualSpacing/>
              <w:rPr>
                <w:rFonts w:eastAsia="Calibri" w:cs="Arial"/>
                <w:sz w:val="14"/>
                <w:szCs w:val="14"/>
                <w:lang w:eastAsia="en-US"/>
              </w:rPr>
            </w:pPr>
            <w:r w:rsidRPr="00CF1656">
              <w:rPr>
                <w:rFonts w:eastAsia="Calibri" w:cs="Arial"/>
                <w:sz w:val="14"/>
                <w:szCs w:val="14"/>
                <w:lang w:eastAsia="en-US"/>
              </w:rPr>
              <w:t>One off application fee based on size, complexity, costs of assessment process etc.</w:t>
            </w:r>
          </w:p>
          <w:p w14:paraId="78EED73F" w14:textId="77777777" w:rsidR="00112A7D" w:rsidRPr="00CF1656" w:rsidRDefault="00112A7D" w:rsidP="00F839DB">
            <w:pPr>
              <w:pStyle w:val="ListParagraph"/>
              <w:numPr>
                <w:ilvl w:val="0"/>
                <w:numId w:val="345"/>
              </w:numPr>
              <w:spacing w:after="60"/>
              <w:contextualSpacing/>
              <w:rPr>
                <w:rFonts w:eastAsia="Calibri" w:cs="Arial"/>
                <w:sz w:val="14"/>
                <w:szCs w:val="14"/>
                <w:lang w:eastAsia="en-US"/>
              </w:rPr>
            </w:pPr>
            <w:r w:rsidRPr="00CF1656">
              <w:rPr>
                <w:rFonts w:eastAsia="Calibri" w:cs="Arial"/>
                <w:sz w:val="14"/>
                <w:szCs w:val="14"/>
                <w:lang w:eastAsia="en-US"/>
              </w:rPr>
              <w:t>Annual licence fee payable. The fee varies based on contributions to regulatory management of the SRC Act scheme with special emphasis on issues relevant to licensees, plus costs specifically applicable to oversighting the licence improvement program for each licence, and the size of the licensee. For licensees with Commonwealth WHS coverage there is a work health and safety contribution to meet regulatory activities in workplace safety.</w:t>
            </w:r>
          </w:p>
        </w:tc>
        <w:tc>
          <w:tcPr>
            <w:tcW w:w="4558" w:type="dxa"/>
            <w:shd w:val="clear" w:color="auto" w:fill="FFC9C9"/>
            <w:tcMar>
              <w:top w:w="80" w:type="dxa"/>
              <w:left w:w="80" w:type="dxa"/>
              <w:bottom w:w="80" w:type="dxa"/>
              <w:right w:w="80" w:type="dxa"/>
            </w:tcMar>
          </w:tcPr>
          <w:p w14:paraId="7DC47DA0" w14:textId="4AA87964" w:rsidR="00112A7D" w:rsidRPr="00112A7D" w:rsidRDefault="0014264B" w:rsidP="00292A53">
            <w:pPr>
              <w:spacing w:after="60"/>
              <w:rPr>
                <w:rFonts w:cs="Arial"/>
                <w:color w:val="000000"/>
                <w:sz w:val="14"/>
                <w:szCs w:val="16"/>
                <w:lang w:val="en-GB"/>
              </w:rPr>
            </w:pPr>
            <w:r>
              <w:rPr>
                <w:rFonts w:cs="Arial"/>
                <w:color w:val="000000"/>
                <w:sz w:val="14"/>
                <w:szCs w:val="16"/>
                <w:lang w:val="en-GB"/>
              </w:rPr>
              <w:t>Up to eight years</w:t>
            </w:r>
          </w:p>
        </w:tc>
      </w:tr>
      <w:tr w:rsidR="00112A7D" w:rsidRPr="00112A7D" w14:paraId="48472BD6" w14:textId="77777777" w:rsidTr="00B2173F">
        <w:tc>
          <w:tcPr>
            <w:tcW w:w="1343" w:type="dxa"/>
            <w:tcMar>
              <w:top w:w="80" w:type="dxa"/>
              <w:left w:w="80" w:type="dxa"/>
              <w:bottom w:w="80" w:type="dxa"/>
              <w:right w:w="80" w:type="dxa"/>
            </w:tcMar>
          </w:tcPr>
          <w:p w14:paraId="05AC70DB"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New Zealand</w:t>
            </w:r>
          </w:p>
        </w:tc>
        <w:tc>
          <w:tcPr>
            <w:tcW w:w="4557" w:type="dxa"/>
            <w:tcMar>
              <w:top w:w="80" w:type="dxa"/>
              <w:left w:w="80" w:type="dxa"/>
              <w:bottom w:w="80" w:type="dxa"/>
              <w:right w:w="80" w:type="dxa"/>
            </w:tcMar>
          </w:tcPr>
          <w:p w14:paraId="43722CA4" w14:textId="77777777" w:rsidR="00112A7D" w:rsidRPr="00CF1656" w:rsidRDefault="00112A7D" w:rsidP="00F839DB">
            <w:pPr>
              <w:pStyle w:val="ListParagraph"/>
              <w:numPr>
                <w:ilvl w:val="0"/>
                <w:numId w:val="346"/>
              </w:numPr>
              <w:spacing w:after="60"/>
              <w:contextualSpacing/>
              <w:rPr>
                <w:rFonts w:eastAsia="Calibri" w:cs="Arial"/>
                <w:sz w:val="14"/>
                <w:szCs w:val="14"/>
                <w:lang w:eastAsia="en-US"/>
              </w:rPr>
            </w:pPr>
            <w:r w:rsidRPr="00CF1656">
              <w:rPr>
                <w:rFonts w:eastAsia="Calibri" w:cs="Arial"/>
                <w:sz w:val="14"/>
                <w:szCs w:val="14"/>
                <w:lang w:eastAsia="en-US"/>
              </w:rPr>
              <w:t>Employer completes an application form providing supporting financial, business and health and safety information.</w:t>
            </w:r>
          </w:p>
          <w:p w14:paraId="0E277A6E" w14:textId="77777777" w:rsidR="00112A7D" w:rsidRPr="00CF1656" w:rsidRDefault="00112A7D" w:rsidP="00F839DB">
            <w:pPr>
              <w:pStyle w:val="ListParagraph"/>
              <w:numPr>
                <w:ilvl w:val="0"/>
                <w:numId w:val="346"/>
              </w:numPr>
              <w:spacing w:after="60"/>
              <w:contextualSpacing/>
              <w:rPr>
                <w:rFonts w:eastAsia="Calibri" w:cs="Arial"/>
                <w:sz w:val="14"/>
                <w:szCs w:val="14"/>
                <w:lang w:eastAsia="en-US"/>
              </w:rPr>
            </w:pPr>
            <w:r w:rsidRPr="00CF1656">
              <w:rPr>
                <w:rFonts w:eastAsia="Calibri" w:cs="Arial"/>
                <w:sz w:val="14"/>
                <w:szCs w:val="14"/>
                <w:lang w:eastAsia="en-US"/>
              </w:rPr>
              <w:t>Notifies all staff in writing about their intention to join.</w:t>
            </w:r>
          </w:p>
          <w:p w14:paraId="1B908230" w14:textId="77777777" w:rsidR="00112A7D" w:rsidRPr="00CF1656" w:rsidRDefault="00112A7D" w:rsidP="00F839DB">
            <w:pPr>
              <w:pStyle w:val="ListParagraph"/>
              <w:numPr>
                <w:ilvl w:val="0"/>
                <w:numId w:val="346"/>
              </w:numPr>
              <w:spacing w:after="60"/>
              <w:contextualSpacing/>
              <w:rPr>
                <w:rFonts w:eastAsia="Calibri" w:cs="Arial"/>
                <w:sz w:val="14"/>
                <w:szCs w:val="14"/>
                <w:lang w:eastAsia="en-US"/>
              </w:rPr>
            </w:pPr>
            <w:r w:rsidRPr="00CF1656">
              <w:rPr>
                <w:rFonts w:eastAsia="Calibri" w:cs="Arial"/>
                <w:sz w:val="14"/>
                <w:szCs w:val="14"/>
                <w:lang w:eastAsia="en-US"/>
              </w:rPr>
              <w:t>Consult with employee representatives about intention to join.</w:t>
            </w:r>
          </w:p>
          <w:p w14:paraId="11DF3612" w14:textId="77777777" w:rsidR="00112A7D" w:rsidRPr="00CF1656" w:rsidRDefault="00112A7D" w:rsidP="00F839DB">
            <w:pPr>
              <w:pStyle w:val="ListParagraph"/>
              <w:numPr>
                <w:ilvl w:val="0"/>
                <w:numId w:val="346"/>
              </w:numPr>
              <w:spacing w:after="60"/>
              <w:contextualSpacing/>
              <w:rPr>
                <w:rFonts w:eastAsia="Calibri" w:cs="Arial"/>
                <w:sz w:val="14"/>
                <w:szCs w:val="14"/>
                <w:lang w:eastAsia="en-US"/>
              </w:rPr>
            </w:pPr>
            <w:r w:rsidRPr="00CF1656">
              <w:rPr>
                <w:rFonts w:eastAsia="Calibri" w:cs="Arial"/>
                <w:sz w:val="14"/>
                <w:szCs w:val="14"/>
                <w:lang w:eastAsia="en-US"/>
              </w:rPr>
              <w:t>Coordinate staff and documentation for the health and safety audit (completed by an ACC approved independent auditor) using the approved audit tool.</w:t>
            </w:r>
          </w:p>
          <w:p w14:paraId="3B2A00B8" w14:textId="77777777" w:rsidR="00112A7D" w:rsidRPr="00CF1656" w:rsidRDefault="00112A7D" w:rsidP="00F839DB">
            <w:pPr>
              <w:pStyle w:val="ListParagraph"/>
              <w:numPr>
                <w:ilvl w:val="0"/>
                <w:numId w:val="346"/>
              </w:numPr>
              <w:spacing w:after="60"/>
              <w:rPr>
                <w:rFonts w:eastAsia="Calibri" w:cs="Arial"/>
                <w:sz w:val="14"/>
                <w:szCs w:val="14"/>
                <w:lang w:eastAsia="en-US"/>
              </w:rPr>
            </w:pPr>
            <w:r w:rsidRPr="00CF1656">
              <w:rPr>
                <w:rFonts w:eastAsia="Calibri" w:cs="Arial"/>
                <w:sz w:val="14"/>
                <w:szCs w:val="14"/>
                <w:lang w:eastAsia="en-US"/>
              </w:rPr>
              <w:t>Submit application to ACC (the Manager) and:</w:t>
            </w:r>
          </w:p>
          <w:p w14:paraId="556A64D0" w14:textId="77777777" w:rsidR="00112A7D" w:rsidRPr="00CF1656" w:rsidRDefault="00112A7D" w:rsidP="00F839DB">
            <w:pPr>
              <w:pStyle w:val="ListParagraph"/>
              <w:numPr>
                <w:ilvl w:val="0"/>
                <w:numId w:val="347"/>
              </w:numPr>
              <w:spacing w:after="60"/>
              <w:ind w:left="357" w:hanging="357"/>
              <w:contextualSpacing/>
              <w:rPr>
                <w:rFonts w:cs="Arial"/>
                <w:color w:val="000000"/>
                <w:sz w:val="14"/>
                <w:szCs w:val="16"/>
                <w:lang w:val="en-GB"/>
              </w:rPr>
            </w:pPr>
            <w:r w:rsidRPr="00CF1656">
              <w:rPr>
                <w:rFonts w:cs="Arial"/>
                <w:color w:val="000000"/>
                <w:sz w:val="14"/>
                <w:szCs w:val="16"/>
                <w:lang w:val="en-GB"/>
              </w:rPr>
              <w:t>ACC will undertake the approval process</w:t>
            </w:r>
          </w:p>
          <w:p w14:paraId="6DAA74D3" w14:textId="77777777" w:rsidR="00112A7D" w:rsidRPr="00CF1656" w:rsidRDefault="00112A7D" w:rsidP="00F839DB">
            <w:pPr>
              <w:pStyle w:val="ListParagraph"/>
              <w:numPr>
                <w:ilvl w:val="0"/>
                <w:numId w:val="347"/>
              </w:numPr>
              <w:spacing w:after="60"/>
              <w:ind w:left="357" w:hanging="357"/>
              <w:contextualSpacing/>
              <w:rPr>
                <w:rFonts w:cs="Arial"/>
                <w:color w:val="000000"/>
                <w:sz w:val="14"/>
                <w:szCs w:val="16"/>
                <w:lang w:val="en-GB"/>
              </w:rPr>
            </w:pPr>
            <w:r w:rsidRPr="00CF1656">
              <w:rPr>
                <w:rFonts w:cs="Arial"/>
                <w:color w:val="000000"/>
                <w:sz w:val="14"/>
                <w:szCs w:val="16"/>
                <w:lang w:val="en-GB"/>
              </w:rPr>
              <w:t>once approval process has been undertaken ACC makes a decision, and</w:t>
            </w:r>
          </w:p>
          <w:p w14:paraId="3F50A6C2" w14:textId="77777777" w:rsidR="00112A7D" w:rsidRPr="00CF1656" w:rsidRDefault="00112A7D" w:rsidP="00F839DB">
            <w:pPr>
              <w:pStyle w:val="ListParagraph"/>
              <w:numPr>
                <w:ilvl w:val="0"/>
                <w:numId w:val="347"/>
              </w:numPr>
              <w:spacing w:after="60"/>
              <w:rPr>
                <w:rFonts w:cs="Arial"/>
                <w:color w:val="000000"/>
                <w:sz w:val="14"/>
                <w:szCs w:val="16"/>
                <w:lang w:val="en-GB"/>
              </w:rPr>
            </w:pPr>
            <w:r w:rsidRPr="00CF1656">
              <w:rPr>
                <w:rFonts w:cs="Arial"/>
                <w:color w:val="000000"/>
                <w:sz w:val="14"/>
                <w:szCs w:val="16"/>
                <w:lang w:val="en-GB"/>
              </w:rPr>
              <w:t>the applicant will be notified.</w:t>
            </w:r>
          </w:p>
        </w:tc>
        <w:tc>
          <w:tcPr>
            <w:tcW w:w="4557" w:type="dxa"/>
            <w:tcMar>
              <w:top w:w="80" w:type="dxa"/>
              <w:left w:w="80" w:type="dxa"/>
              <w:bottom w:w="80" w:type="dxa"/>
              <w:right w:w="80" w:type="dxa"/>
            </w:tcMar>
          </w:tcPr>
          <w:p w14:paraId="141A2DBB" w14:textId="77777777" w:rsidR="00112A7D" w:rsidRPr="00CF1656" w:rsidRDefault="00112A7D" w:rsidP="00F839DB">
            <w:pPr>
              <w:pStyle w:val="ListParagraph"/>
              <w:numPr>
                <w:ilvl w:val="0"/>
                <w:numId w:val="348"/>
              </w:numPr>
              <w:spacing w:after="60"/>
              <w:contextualSpacing/>
              <w:rPr>
                <w:rFonts w:eastAsia="Calibri" w:cs="Arial"/>
                <w:sz w:val="14"/>
                <w:szCs w:val="14"/>
                <w:lang w:eastAsia="en-US"/>
              </w:rPr>
            </w:pPr>
            <w:r w:rsidRPr="00CF1656">
              <w:rPr>
                <w:rFonts w:eastAsia="Calibri" w:cs="Arial"/>
                <w:sz w:val="14"/>
                <w:szCs w:val="14"/>
                <w:lang w:eastAsia="en-US"/>
              </w:rPr>
              <w:t>Pay a portion of the pre-entry audit costs.</w:t>
            </w:r>
          </w:p>
          <w:p w14:paraId="4B591CD3" w14:textId="77777777" w:rsidR="00112A7D" w:rsidRPr="00CF1656" w:rsidRDefault="00112A7D" w:rsidP="00F839DB">
            <w:pPr>
              <w:pStyle w:val="ListParagraph"/>
              <w:numPr>
                <w:ilvl w:val="0"/>
                <w:numId w:val="348"/>
              </w:numPr>
              <w:spacing w:after="60"/>
              <w:contextualSpacing/>
              <w:rPr>
                <w:rFonts w:eastAsia="Calibri" w:cs="Arial"/>
                <w:sz w:val="14"/>
                <w:szCs w:val="14"/>
                <w:lang w:eastAsia="en-US"/>
              </w:rPr>
            </w:pPr>
            <w:r w:rsidRPr="00CF1656">
              <w:rPr>
                <w:rFonts w:eastAsia="Calibri" w:cs="Arial"/>
                <w:sz w:val="14"/>
                <w:szCs w:val="14"/>
                <w:lang w:eastAsia="en-US"/>
              </w:rPr>
              <w:t>Cost of the independent audit of health and safety.</w:t>
            </w:r>
          </w:p>
        </w:tc>
        <w:tc>
          <w:tcPr>
            <w:tcW w:w="4558" w:type="dxa"/>
            <w:tcMar>
              <w:top w:w="80" w:type="dxa"/>
              <w:left w:w="80" w:type="dxa"/>
              <w:bottom w:w="80" w:type="dxa"/>
              <w:right w:w="80" w:type="dxa"/>
            </w:tcMar>
          </w:tcPr>
          <w:p w14:paraId="34B3A5D7" w14:textId="77777777" w:rsidR="00112A7D" w:rsidRPr="00CF1656" w:rsidRDefault="00112A7D" w:rsidP="00F839DB">
            <w:pPr>
              <w:pStyle w:val="ListParagraph"/>
              <w:numPr>
                <w:ilvl w:val="0"/>
                <w:numId w:val="348"/>
              </w:numPr>
              <w:spacing w:after="60"/>
              <w:contextualSpacing/>
              <w:rPr>
                <w:rFonts w:eastAsia="Calibri" w:cs="Arial"/>
                <w:sz w:val="14"/>
                <w:szCs w:val="14"/>
                <w:lang w:eastAsia="en-US"/>
              </w:rPr>
            </w:pPr>
            <w:r w:rsidRPr="00CF1656">
              <w:rPr>
                <w:rFonts w:eastAsia="Calibri" w:cs="Arial"/>
                <w:sz w:val="14"/>
                <w:szCs w:val="14"/>
                <w:lang w:eastAsia="en-US"/>
              </w:rPr>
              <w:t xml:space="preserve">Approval may be for one to three years at the employer’s option. </w:t>
            </w:r>
          </w:p>
          <w:p w14:paraId="6AEE051D" w14:textId="77777777" w:rsidR="00112A7D" w:rsidRPr="00CF1656" w:rsidRDefault="00112A7D" w:rsidP="00F839DB">
            <w:pPr>
              <w:pStyle w:val="ListParagraph"/>
              <w:numPr>
                <w:ilvl w:val="0"/>
                <w:numId w:val="348"/>
              </w:numPr>
              <w:spacing w:after="60"/>
              <w:contextualSpacing/>
              <w:rPr>
                <w:rFonts w:eastAsia="Calibri" w:cs="Arial"/>
                <w:sz w:val="14"/>
                <w:szCs w:val="14"/>
                <w:lang w:eastAsia="en-US"/>
              </w:rPr>
            </w:pPr>
            <w:r w:rsidRPr="00CF1656">
              <w:rPr>
                <w:rFonts w:eastAsia="Calibri" w:cs="Arial"/>
                <w:sz w:val="14"/>
                <w:szCs w:val="14"/>
                <w:lang w:eastAsia="en-US"/>
              </w:rPr>
              <w:t>Annual reviews are undertaken in order to ensure entry (including prudential) requirements are being maintained.</w:t>
            </w:r>
          </w:p>
        </w:tc>
      </w:tr>
      <w:bookmarkEnd w:id="195"/>
      <w:bookmarkEnd w:id="196"/>
    </w:tbl>
    <w:p w14:paraId="6D6985C9" w14:textId="3D51B459" w:rsidR="00C66972" w:rsidRPr="00C66972" w:rsidRDefault="00C66972" w:rsidP="00C66972">
      <w:pPr>
        <w:spacing w:after="200" w:line="276" w:lineRule="auto"/>
        <w:rPr>
          <w:rFonts w:eastAsiaTheme="minorHAnsi"/>
        </w:rPr>
      </w:pPr>
    </w:p>
    <w:p w14:paraId="043E5015" w14:textId="77777777" w:rsidR="00C66972" w:rsidRPr="00C66972" w:rsidRDefault="00C66972" w:rsidP="00C66972">
      <w:pPr>
        <w:spacing w:after="200" w:line="276" w:lineRule="auto"/>
        <w:rPr>
          <w:rFonts w:eastAsiaTheme="minorHAnsi"/>
        </w:rPr>
        <w:sectPr w:rsidR="00C66972" w:rsidRPr="00C66972" w:rsidSect="00BC09D4">
          <w:footnotePr>
            <w:numFmt w:val="chicago"/>
            <w:numRestart w:val="eachPage"/>
          </w:footnotePr>
          <w:pgSz w:w="16838" w:h="11906" w:orient="landscape"/>
          <w:pgMar w:top="249" w:right="567" w:bottom="249" w:left="624" w:header="709" w:footer="709" w:gutter="0"/>
          <w:cols w:space="708"/>
          <w:docGrid w:linePitch="360"/>
        </w:sectPr>
      </w:pPr>
    </w:p>
    <w:p w14:paraId="6592E402" w14:textId="220EF22E" w:rsidR="00C66972" w:rsidRPr="0014264B" w:rsidRDefault="00C66972" w:rsidP="00205CCE">
      <w:pPr>
        <w:pStyle w:val="Title"/>
      </w:pPr>
      <w:bookmarkStart w:id="197" w:name="_Toc483227192"/>
      <w:bookmarkStart w:id="198" w:name="_Toc504654706"/>
      <w:r w:rsidRPr="0014264B">
        <w:lastRenderedPageBreak/>
        <w:t xml:space="preserve">Ongoing </w:t>
      </w:r>
      <w:r w:rsidR="0002179E" w:rsidRPr="0014264B">
        <w:t>r</w:t>
      </w:r>
      <w:r w:rsidRPr="0014264B">
        <w:t>equirements</w:t>
      </w:r>
      <w:bookmarkEnd w:id="197"/>
      <w:bookmarkEnd w:id="198"/>
      <w:r w:rsidR="000B568E" w:rsidRPr="0014264B">
        <w:fldChar w:fldCharType="begin"/>
      </w:r>
      <w:r w:rsidR="000B568E" w:rsidRPr="0014264B">
        <w:instrText xml:space="preserve"> XE "self-insurer arrangements standards and performance" </w:instrText>
      </w:r>
      <w:r w:rsidR="000B568E" w:rsidRPr="0014264B">
        <w:fldChar w:fldCharType="end"/>
      </w:r>
    </w:p>
    <w:p w14:paraId="7EB90755" w14:textId="48244221" w:rsidR="006A50D4" w:rsidRDefault="00C66972" w:rsidP="0014264B">
      <w:pPr>
        <w:spacing w:before="240"/>
        <w:rPr>
          <w:rFonts w:eastAsiaTheme="minorHAnsi"/>
        </w:rPr>
      </w:pPr>
      <w:r w:rsidRPr="00C66972">
        <w:rPr>
          <w:rFonts w:eastAsiaTheme="minorHAnsi"/>
        </w:rPr>
        <w:t xml:space="preserve">The majority of jurisdictions require an applicant for a self-insurance licence to meet a minimum standard for work health and safety and rehabilitation. In determining the minimum standard required for work health and safety, most agencies require the employer to have in place a work health and safety management system or other similar arrangements (i.e. Victoria, </w:t>
      </w:r>
      <w:r w:rsidR="0014264B">
        <w:rPr>
          <w:rFonts w:eastAsiaTheme="minorHAnsi"/>
        </w:rPr>
        <w:t xml:space="preserve">the </w:t>
      </w:r>
      <w:r w:rsidRPr="00C66972">
        <w:rPr>
          <w:rFonts w:eastAsiaTheme="minorHAnsi"/>
        </w:rPr>
        <w:t>N</w:t>
      </w:r>
      <w:r w:rsidR="0014264B">
        <w:rPr>
          <w:rFonts w:eastAsiaTheme="minorHAnsi"/>
        </w:rPr>
        <w:t xml:space="preserve">orthern </w:t>
      </w:r>
      <w:r w:rsidRPr="00C66972">
        <w:rPr>
          <w:rFonts w:eastAsiaTheme="minorHAnsi"/>
        </w:rPr>
        <w:t>T</w:t>
      </w:r>
      <w:r w:rsidR="0014264B">
        <w:rPr>
          <w:rFonts w:eastAsiaTheme="minorHAnsi"/>
        </w:rPr>
        <w:t>erritory</w:t>
      </w:r>
      <w:r w:rsidRPr="00C66972">
        <w:rPr>
          <w:rFonts w:eastAsiaTheme="minorHAnsi"/>
        </w:rPr>
        <w:t xml:space="preserve">, </w:t>
      </w:r>
      <w:r w:rsidR="0014264B">
        <w:rPr>
          <w:rFonts w:eastAsiaTheme="minorHAnsi"/>
        </w:rPr>
        <w:t xml:space="preserve">the </w:t>
      </w:r>
      <w:r w:rsidRPr="00C66972">
        <w:rPr>
          <w:rFonts w:eastAsiaTheme="minorHAnsi"/>
        </w:rPr>
        <w:t>A</w:t>
      </w:r>
      <w:r w:rsidR="0014264B">
        <w:rPr>
          <w:rFonts w:eastAsiaTheme="minorHAnsi"/>
        </w:rPr>
        <w:t xml:space="preserve">ustralian </w:t>
      </w:r>
      <w:r w:rsidRPr="00C66972">
        <w:rPr>
          <w:rFonts w:eastAsiaTheme="minorHAnsi"/>
        </w:rPr>
        <w:t>C</w:t>
      </w:r>
      <w:r w:rsidR="0014264B">
        <w:rPr>
          <w:rFonts w:eastAsiaTheme="minorHAnsi"/>
        </w:rPr>
        <w:t xml:space="preserve">apital </w:t>
      </w:r>
      <w:r w:rsidRPr="00C66972">
        <w:rPr>
          <w:rFonts w:eastAsiaTheme="minorHAnsi"/>
        </w:rPr>
        <w:t>T</w:t>
      </w:r>
      <w:r w:rsidR="0014264B">
        <w:rPr>
          <w:rFonts w:eastAsiaTheme="minorHAnsi"/>
        </w:rPr>
        <w:t>erritory</w:t>
      </w:r>
      <w:r w:rsidRPr="00C66972">
        <w:rPr>
          <w:rFonts w:eastAsiaTheme="minorHAnsi"/>
        </w:rPr>
        <w:t xml:space="preserve"> and </w:t>
      </w:r>
      <w:r w:rsidR="0014264B">
        <w:rPr>
          <w:rFonts w:eastAsiaTheme="minorHAnsi"/>
        </w:rPr>
        <w:t xml:space="preserve">the </w:t>
      </w:r>
      <w:r w:rsidRPr="00C66972">
        <w:rPr>
          <w:rFonts w:eastAsiaTheme="minorHAnsi"/>
        </w:rPr>
        <w:t xml:space="preserve">Commonwealth). These are then audited against a work health and safety audit tool (see Table 6.4). </w:t>
      </w:r>
    </w:p>
    <w:p w14:paraId="1670903F" w14:textId="6EB14290" w:rsidR="006A50D4" w:rsidRDefault="00C66972" w:rsidP="0014264B">
      <w:pPr>
        <w:spacing w:before="240"/>
        <w:rPr>
          <w:rFonts w:eastAsiaTheme="minorHAnsi"/>
        </w:rPr>
      </w:pPr>
      <w:r w:rsidRPr="00C66972">
        <w:rPr>
          <w:rFonts w:eastAsiaTheme="minorHAnsi"/>
        </w:rPr>
        <w:t xml:space="preserve">Victoria, Tasmania and the Commonwealth measure the self-insurer’s performance against the National Self-Insurers OHS Audit Tool and audits of rehabilitation and claims management systems. After two years in the scheme, the Commonwealth requires entities to demonstrate, on an ongoing basis, how they have maintained these management systems. </w:t>
      </w:r>
    </w:p>
    <w:p w14:paraId="64880172" w14:textId="0F38397F" w:rsidR="006A50D4" w:rsidRDefault="00C66972" w:rsidP="0014264B">
      <w:pPr>
        <w:spacing w:before="240"/>
        <w:rPr>
          <w:rFonts w:eastAsiaTheme="minorHAnsi"/>
        </w:rPr>
      </w:pPr>
      <w:r w:rsidRPr="00C66972">
        <w:rPr>
          <w:rFonts w:eastAsiaTheme="minorHAnsi"/>
        </w:rPr>
        <w:t xml:space="preserve">Queensland requires satisfactory work health and safety performance. Although no audit tool is stipulated in legislation, the administrative guidelines indicate that use of the national OHS Audit Tool is required. In South Australia compliance is required with the </w:t>
      </w:r>
      <w:r w:rsidR="00E43A0F">
        <w:rPr>
          <w:rFonts w:eastAsiaTheme="minorHAnsi"/>
        </w:rPr>
        <w:t>Self-insurer</w:t>
      </w:r>
      <w:r w:rsidRPr="00C66972">
        <w:rPr>
          <w:rFonts w:eastAsiaTheme="minorHAnsi"/>
        </w:rPr>
        <w:t xml:space="preserve"> Standards at Annexure A to the Code</w:t>
      </w:r>
      <w:r w:rsidR="009A320F">
        <w:rPr>
          <w:rFonts w:eastAsiaTheme="minorHAnsi"/>
        </w:rPr>
        <w:t>,</w:t>
      </w:r>
      <w:r w:rsidRPr="00C66972">
        <w:rPr>
          <w:rFonts w:eastAsiaTheme="minorHAnsi"/>
        </w:rPr>
        <w:t xml:space="preserve"> with multi-jurisdictional self-insurers able to elect to be audited against the national audit tool</w:t>
      </w:r>
      <w:r w:rsidR="0070573D">
        <w:rPr>
          <w:rFonts w:eastAsiaTheme="minorHAnsi"/>
        </w:rPr>
        <w:t>.</w:t>
      </w:r>
    </w:p>
    <w:p w14:paraId="00C1BF94" w14:textId="77777777" w:rsidR="006A50D4" w:rsidRDefault="00C66972" w:rsidP="0014264B">
      <w:pPr>
        <w:spacing w:before="240"/>
        <w:rPr>
          <w:rFonts w:eastAsiaTheme="minorHAnsi"/>
        </w:rPr>
      </w:pPr>
      <w:r w:rsidRPr="00C66972">
        <w:rPr>
          <w:rFonts w:eastAsiaTheme="minorHAnsi"/>
        </w:rPr>
        <w:t>In addition to the prudential requirements</w:t>
      </w:r>
      <w:r w:rsidR="009A320F">
        <w:rPr>
          <w:rFonts w:eastAsiaTheme="minorHAnsi"/>
        </w:rPr>
        <w:t>,</w:t>
      </w:r>
      <w:r w:rsidRPr="00C66972">
        <w:rPr>
          <w:rFonts w:eastAsiaTheme="minorHAnsi"/>
        </w:rPr>
        <w:t xml:space="preserve"> employers are required to take out bank guarantees</w:t>
      </w:r>
      <w:r w:rsidR="000A06AE">
        <w:rPr>
          <w:rFonts w:eastAsiaTheme="minorHAnsi"/>
        </w:rPr>
        <w:fldChar w:fldCharType="begin"/>
      </w:r>
      <w:r w:rsidR="000A06AE">
        <w:instrText xml:space="preserve"> XE "</w:instrText>
      </w:r>
      <w:r w:rsidR="000A06AE" w:rsidRPr="00090334">
        <w:rPr>
          <w:rFonts w:eastAsiaTheme="minorHAnsi"/>
        </w:rPr>
        <w:instrText>bank guarantees</w:instrText>
      </w:r>
      <w:r w:rsidR="000A06AE">
        <w:instrText xml:space="preserve">" </w:instrText>
      </w:r>
      <w:r w:rsidR="000A06AE">
        <w:rPr>
          <w:rFonts w:eastAsiaTheme="minorHAnsi"/>
        </w:rPr>
        <w:fldChar w:fldCharType="end"/>
      </w:r>
      <w:r w:rsidRPr="00C66972">
        <w:rPr>
          <w:rFonts w:eastAsiaTheme="minorHAnsi"/>
        </w:rPr>
        <w:t xml:space="preserve"> or similar guarantees to cover outstanding claims liabilities. Self-insurers are also required to carry excess of loss insurance to cover catastrophic events. Table 6.5 shows the guarantee requirements for self-insurance eligibility requirements across Australia.</w:t>
      </w:r>
    </w:p>
    <w:p w14:paraId="45726568" w14:textId="6947881E" w:rsidR="006A50D4" w:rsidRDefault="00C66972" w:rsidP="0014264B">
      <w:pPr>
        <w:spacing w:before="240"/>
        <w:rPr>
          <w:rFonts w:eastAsiaTheme="minorHAnsi"/>
        </w:rPr>
      </w:pPr>
      <w:r w:rsidRPr="00C66972">
        <w:rPr>
          <w:rFonts w:eastAsiaTheme="minorHAnsi"/>
        </w:rPr>
        <w:t xml:space="preserve">Jurisdictions vary in the extent of self-insurance licence coverage from single companies </w:t>
      </w:r>
      <w:r w:rsidR="0014264B">
        <w:rPr>
          <w:rFonts w:eastAsiaTheme="minorHAnsi"/>
        </w:rPr>
        <w:t xml:space="preserve">to </w:t>
      </w:r>
      <w:r w:rsidRPr="00C66972">
        <w:rPr>
          <w:rFonts w:eastAsiaTheme="minorHAnsi"/>
        </w:rPr>
        <w:t>fully owned subsidiaries. Table 6.6 details restraints on company structure.</w:t>
      </w:r>
    </w:p>
    <w:p w14:paraId="02C9DBBF" w14:textId="4964E361" w:rsidR="006A50D4" w:rsidRDefault="00C66972" w:rsidP="0014264B">
      <w:pPr>
        <w:spacing w:before="240"/>
        <w:rPr>
          <w:rFonts w:eastAsiaTheme="minorHAnsi"/>
        </w:rPr>
      </w:pPr>
      <w:r w:rsidRPr="00C66972">
        <w:rPr>
          <w:rFonts w:eastAsiaTheme="minorHAnsi"/>
        </w:rPr>
        <w:t xml:space="preserve">Normally self-insurers </w:t>
      </w:r>
      <w:r w:rsidR="00A1226A">
        <w:rPr>
          <w:rFonts w:eastAsiaTheme="minorHAnsi"/>
        </w:rPr>
        <w:t>case-manage their own employees;</w:t>
      </w:r>
      <w:r w:rsidRPr="00C66972">
        <w:rPr>
          <w:rFonts w:eastAsiaTheme="minorHAnsi"/>
        </w:rPr>
        <w:t xml:space="preserve"> however some jurisdictions allow them to outsource this function. Table 6.7 shows the outsourcing of case management arrangements Australia.</w:t>
      </w:r>
    </w:p>
    <w:p w14:paraId="393219D2" w14:textId="77777777" w:rsidR="006A50D4" w:rsidRDefault="00C66972" w:rsidP="0014264B">
      <w:pPr>
        <w:spacing w:before="240"/>
        <w:rPr>
          <w:rFonts w:eastAsiaTheme="minorHAnsi"/>
        </w:rPr>
      </w:pPr>
      <w:r w:rsidRPr="00C66972">
        <w:rPr>
          <w:rFonts w:eastAsiaTheme="minorHAnsi"/>
        </w:rPr>
        <w:t>Self-insurer companies are obliged to comply with workers’ compensation legislation to at least the same extent as premium-paying companies to maintain their self-insurer status. Licensees may have extra conditions imposed on them which also require compliance measures. Table 6.8 details other ongoing licence requirements.</w:t>
      </w:r>
    </w:p>
    <w:p w14:paraId="7542B2D9" w14:textId="10BF9CAA" w:rsidR="00C66972" w:rsidRPr="00205CCE" w:rsidRDefault="00C66972" w:rsidP="00205CCE">
      <w:pPr>
        <w:pStyle w:val="Heading4"/>
      </w:pPr>
      <w:bookmarkStart w:id="199" w:name="_Toc483227193"/>
      <w:r w:rsidRPr="00205CCE">
        <w:t>Reporting requirements</w:t>
      </w:r>
      <w:bookmarkEnd w:id="199"/>
      <w:r w:rsidR="00E566A9" w:rsidRPr="00205CCE">
        <w:t xml:space="preserve"> </w:t>
      </w:r>
      <w:r w:rsidR="00E566A9" w:rsidRPr="00205CCE">
        <w:fldChar w:fldCharType="begin"/>
      </w:r>
      <w:r w:rsidR="00E566A9" w:rsidRPr="00205CCE">
        <w:instrText xml:space="preserve"> XE "reporting requirements for self-insurers" </w:instrText>
      </w:r>
      <w:r w:rsidR="00E566A9" w:rsidRPr="00205CCE">
        <w:fldChar w:fldCharType="end"/>
      </w:r>
      <w:r w:rsidR="000B568E" w:rsidRPr="00205CCE">
        <w:fldChar w:fldCharType="begin"/>
      </w:r>
      <w:r w:rsidR="000B568E" w:rsidRPr="00205CCE">
        <w:instrText xml:space="preserve"> XE "self-insurer arrangements standards and:reporting requirements" </w:instrText>
      </w:r>
      <w:r w:rsidR="000B568E" w:rsidRPr="00205CCE">
        <w:fldChar w:fldCharType="end"/>
      </w:r>
    </w:p>
    <w:p w14:paraId="1859233A" w14:textId="197E109B" w:rsidR="006A50D4" w:rsidRDefault="00C66972" w:rsidP="0043356B">
      <w:pPr>
        <w:rPr>
          <w:rFonts w:eastAsiaTheme="minorHAnsi"/>
        </w:rPr>
      </w:pPr>
      <w:r w:rsidRPr="00C66972">
        <w:rPr>
          <w:rFonts w:eastAsiaTheme="minorHAnsi"/>
        </w:rPr>
        <w:t>Self-insurance lends itself to self-regulation</w:t>
      </w:r>
      <w:r w:rsidR="0014264B">
        <w:rPr>
          <w:rFonts w:eastAsiaTheme="minorHAnsi"/>
        </w:rPr>
        <w:t>,</w:t>
      </w:r>
      <w:r w:rsidRPr="00C66972">
        <w:rPr>
          <w:rFonts w:eastAsiaTheme="minorHAnsi"/>
        </w:rPr>
        <w:t xml:space="preserve"> providing that adequate control measures are put in place from the outset and a continuous reporting programme is followed. Periodic reporting can be used to monitor performance with the degree of auditing linked to a self-insurer’s performance. Table 6.9 shows the reporting requirements across Australia.</w:t>
      </w:r>
    </w:p>
    <w:p w14:paraId="5648DE9B" w14:textId="21E9D14B" w:rsidR="00C66972" w:rsidRPr="00205CCE" w:rsidRDefault="00C66972" w:rsidP="00205CCE">
      <w:pPr>
        <w:pStyle w:val="Heading4"/>
      </w:pPr>
      <w:bookmarkStart w:id="200" w:name="_Toc483227194"/>
      <w:r w:rsidRPr="00205CCE">
        <w:t>Requirements for surrendering license and penalties for exiting</w:t>
      </w:r>
      <w:bookmarkEnd w:id="200"/>
      <w:r w:rsidR="009A320F" w:rsidRPr="00205CCE">
        <w:t xml:space="preserve"> the scheme</w:t>
      </w:r>
      <w:r w:rsidR="00306D40" w:rsidRPr="00205CCE">
        <w:fldChar w:fldCharType="begin"/>
      </w:r>
      <w:r w:rsidR="00306D40" w:rsidRPr="00205CCE">
        <w:instrText xml:space="preserve"> XE "levies:licence surrender and penalties for exiting (self-insurance)" </w:instrText>
      </w:r>
      <w:r w:rsidR="00306D40" w:rsidRPr="00205CCE">
        <w:fldChar w:fldCharType="end"/>
      </w:r>
      <w:r w:rsidR="00A95C3B" w:rsidRPr="00205CCE">
        <w:fldChar w:fldCharType="begin"/>
      </w:r>
      <w:r w:rsidR="00A95C3B" w:rsidRPr="00205CCE">
        <w:instrText xml:space="preserve"> XE "penalties for exiting a scheme (self-insurance)" </w:instrText>
      </w:r>
      <w:r w:rsidR="00A95C3B" w:rsidRPr="00205CCE">
        <w:fldChar w:fldCharType="end"/>
      </w:r>
      <w:r w:rsidR="000B568E" w:rsidRPr="00205CCE">
        <w:fldChar w:fldCharType="begin"/>
      </w:r>
      <w:r w:rsidR="000B568E" w:rsidRPr="00205CCE">
        <w:instrText xml:space="preserve"> XE "self-insurer arrangements standards and:requirements for surrendering licence and penalties for exiting" </w:instrText>
      </w:r>
      <w:r w:rsidR="000B568E" w:rsidRPr="00205CCE">
        <w:fldChar w:fldCharType="end"/>
      </w:r>
    </w:p>
    <w:p w14:paraId="4490C35D" w14:textId="77777777" w:rsidR="00C66972" w:rsidRPr="00C66972" w:rsidRDefault="00C66972" w:rsidP="0043356B">
      <w:pPr>
        <w:rPr>
          <w:rFonts w:eastAsiaTheme="minorHAnsi"/>
        </w:rPr>
      </w:pPr>
      <w:r w:rsidRPr="00C66972">
        <w:rPr>
          <w:rFonts w:eastAsiaTheme="minorHAnsi"/>
        </w:rPr>
        <w:t xml:space="preserve">Self-insurance is not without risk, the predominant one being that if self-insurers fail, then governments may have to meet the costs of workers’ compensation liabilities. Employers may, for a range of reasons, wish to cease being a self-insurer. Some jurisdictions impose penalties on employers who choose to leave their scheme or surrender their self-insurance licence and move to the Comcare scheme. See Table 6.10 for a comparison of these requirements and penalties. </w:t>
      </w:r>
    </w:p>
    <w:p w14:paraId="00A3A593"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2113A343" w14:textId="6942C9E0" w:rsidR="00A759B3" w:rsidRPr="00205CCE" w:rsidRDefault="00A759B3" w:rsidP="00205CCE">
      <w:pPr>
        <w:pStyle w:val="SWATableheader"/>
      </w:pPr>
      <w:bookmarkStart w:id="201" w:name="_Toc504654707"/>
      <w:r w:rsidRPr="00205CCE">
        <w:lastRenderedPageBreak/>
        <w:t>Table 6.4: Work health and safety requirements and auditing</w:t>
      </w:r>
      <w:bookmarkEnd w:id="201"/>
      <w:r w:rsidRPr="00205CCE">
        <w:t xml:space="preserve"> </w:t>
      </w:r>
      <w:r w:rsidR="00870A7B" w:rsidRPr="00205CCE">
        <w:fldChar w:fldCharType="begin"/>
      </w:r>
      <w:r w:rsidR="00870A7B" w:rsidRPr="00205CCE">
        <w:instrText xml:space="preserve"> XE "work health and safety requirements and auditing" \r "auditing" </w:instrText>
      </w:r>
      <w:r w:rsidR="00870A7B" w:rsidRPr="00205CCE">
        <w:fldChar w:fldCharType="end"/>
      </w:r>
      <w:r w:rsidR="000B568E" w:rsidRPr="00205CCE">
        <w:fldChar w:fldCharType="begin"/>
      </w:r>
      <w:r w:rsidR="000B568E" w:rsidRPr="00205CCE">
        <w:instrText xml:space="preserve"> XE "work health and safety requirements and auditing" \r "auditing"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4: Work health and safety requirements and auditing  "/>
        <w:tblDescription w:val="This table outlines the work health and safety requirements and auditing under each of the workers' compensation schemes. "/>
      </w:tblPr>
      <w:tblGrid>
        <w:gridCol w:w="1343"/>
        <w:gridCol w:w="6836"/>
        <w:gridCol w:w="6836"/>
      </w:tblGrid>
      <w:tr w:rsidR="00A759B3" w:rsidRPr="00A759B3" w14:paraId="3522E749" w14:textId="77777777" w:rsidTr="00B2173F">
        <w:trPr>
          <w:tblHeader/>
        </w:trPr>
        <w:tc>
          <w:tcPr>
            <w:tcW w:w="1343" w:type="dxa"/>
            <w:shd w:val="clear" w:color="auto" w:fill="C00000"/>
            <w:tcMar>
              <w:top w:w="0" w:type="dxa"/>
              <w:left w:w="0" w:type="dxa"/>
              <w:bottom w:w="0" w:type="dxa"/>
              <w:right w:w="0" w:type="dxa"/>
            </w:tcMar>
            <w:vAlign w:val="center"/>
          </w:tcPr>
          <w:p w14:paraId="096B174A" w14:textId="77777777" w:rsidR="00A759B3" w:rsidRPr="00A759B3" w:rsidRDefault="00A759B3" w:rsidP="00292A53">
            <w:pPr>
              <w:pStyle w:val="Tableheaderrow"/>
              <w:spacing w:after="60"/>
            </w:pPr>
            <w:bookmarkStart w:id="202" w:name="auditing"/>
          </w:p>
        </w:tc>
        <w:tc>
          <w:tcPr>
            <w:tcW w:w="6836" w:type="dxa"/>
            <w:shd w:val="clear" w:color="auto" w:fill="C00000"/>
            <w:tcMar>
              <w:top w:w="0" w:type="dxa"/>
              <w:left w:w="0" w:type="dxa"/>
              <w:bottom w:w="0" w:type="dxa"/>
              <w:right w:w="0" w:type="dxa"/>
            </w:tcMar>
            <w:vAlign w:val="center"/>
          </w:tcPr>
          <w:p w14:paraId="6C69179B" w14:textId="77777777" w:rsidR="00A759B3" w:rsidRPr="00A759B3" w:rsidRDefault="00A759B3" w:rsidP="00292A53">
            <w:pPr>
              <w:pStyle w:val="Tableheaderrow"/>
              <w:spacing w:after="60"/>
            </w:pPr>
            <w:r w:rsidRPr="00A759B3">
              <w:t>Work Health and Safety Requirements</w:t>
            </w:r>
          </w:p>
        </w:tc>
        <w:tc>
          <w:tcPr>
            <w:tcW w:w="6836" w:type="dxa"/>
            <w:shd w:val="clear" w:color="auto" w:fill="C00000"/>
            <w:tcMar>
              <w:top w:w="0" w:type="dxa"/>
              <w:left w:w="0" w:type="dxa"/>
              <w:bottom w:w="0" w:type="dxa"/>
              <w:right w:w="0" w:type="dxa"/>
            </w:tcMar>
            <w:vAlign w:val="center"/>
          </w:tcPr>
          <w:p w14:paraId="16BB93D4" w14:textId="77777777" w:rsidR="00A759B3" w:rsidRPr="00A759B3" w:rsidRDefault="00A759B3" w:rsidP="00292A53">
            <w:pPr>
              <w:pStyle w:val="Tableheaderrow"/>
              <w:spacing w:after="60"/>
            </w:pPr>
            <w:r w:rsidRPr="00A759B3">
              <w:t>Auditing</w:t>
            </w:r>
          </w:p>
        </w:tc>
      </w:tr>
      <w:tr w:rsidR="00A759B3" w:rsidRPr="00A759B3" w14:paraId="79F492EB" w14:textId="77777777" w:rsidTr="00B2173F">
        <w:tc>
          <w:tcPr>
            <w:tcW w:w="1343" w:type="dxa"/>
            <w:shd w:val="clear" w:color="auto" w:fill="FFC9C9"/>
            <w:tcMar>
              <w:top w:w="80" w:type="dxa"/>
              <w:left w:w="80" w:type="dxa"/>
              <w:bottom w:w="80" w:type="dxa"/>
              <w:right w:w="80" w:type="dxa"/>
            </w:tcMar>
          </w:tcPr>
          <w:p w14:paraId="170FA900"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4ED3116F" w14:textId="5175A14E" w:rsidR="00A759B3" w:rsidRPr="00A759B3" w:rsidRDefault="00F22381" w:rsidP="00292A53">
            <w:pPr>
              <w:spacing w:after="60"/>
              <w:rPr>
                <w:rFonts w:cs="Arial"/>
                <w:color w:val="000000"/>
                <w:sz w:val="14"/>
                <w:szCs w:val="16"/>
                <w:lang w:val="en-GB"/>
              </w:rPr>
            </w:pPr>
            <w:r>
              <w:rPr>
                <w:rFonts w:cs="Arial"/>
                <w:color w:val="000000"/>
                <w:sz w:val="14"/>
                <w:szCs w:val="16"/>
                <w:lang w:val="en-GB"/>
              </w:rPr>
              <w:t>SIRA will assess the applicant’s commitment to safety, as well as its historical workplace safety record, by reviewing the compliance and safety history of the applicant as provided and regulated by SafeWork NSW over the last four years.</w:t>
            </w:r>
          </w:p>
        </w:tc>
        <w:tc>
          <w:tcPr>
            <w:tcW w:w="6836" w:type="dxa"/>
            <w:shd w:val="clear" w:color="auto" w:fill="FFC9C9"/>
            <w:tcMar>
              <w:top w:w="80" w:type="dxa"/>
              <w:left w:w="80" w:type="dxa"/>
              <w:bottom w:w="80" w:type="dxa"/>
              <w:right w:w="80" w:type="dxa"/>
            </w:tcMar>
          </w:tcPr>
          <w:p w14:paraId="39CFF4F1" w14:textId="10524272" w:rsidR="00A759B3" w:rsidRPr="00A759B3" w:rsidRDefault="00991EF1" w:rsidP="00292A53">
            <w:pPr>
              <w:spacing w:after="60"/>
              <w:rPr>
                <w:rFonts w:cs="Arial"/>
                <w:color w:val="000000"/>
                <w:sz w:val="14"/>
                <w:szCs w:val="16"/>
                <w:lang w:val="en-GB"/>
              </w:rPr>
            </w:pPr>
            <w:r>
              <w:rPr>
                <w:rFonts w:cs="Arial"/>
                <w:color w:val="000000"/>
                <w:sz w:val="14"/>
                <w:szCs w:val="16"/>
                <w:lang w:val="en-GB"/>
              </w:rPr>
              <w:t>N/A</w:t>
            </w:r>
          </w:p>
        </w:tc>
      </w:tr>
      <w:tr w:rsidR="00A759B3" w:rsidRPr="00A759B3" w14:paraId="0D1C490E" w14:textId="77777777" w:rsidTr="00B2173F">
        <w:tc>
          <w:tcPr>
            <w:tcW w:w="1343" w:type="dxa"/>
            <w:tcMar>
              <w:top w:w="80" w:type="dxa"/>
              <w:left w:w="80" w:type="dxa"/>
              <w:bottom w:w="80" w:type="dxa"/>
              <w:right w:w="80" w:type="dxa"/>
            </w:tcMar>
          </w:tcPr>
          <w:p w14:paraId="36B54B9D"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Victoria</w:t>
            </w:r>
          </w:p>
        </w:tc>
        <w:tc>
          <w:tcPr>
            <w:tcW w:w="6836" w:type="dxa"/>
            <w:tcMar>
              <w:top w:w="80" w:type="dxa"/>
              <w:left w:w="80" w:type="dxa"/>
              <w:bottom w:w="80" w:type="dxa"/>
              <w:right w:w="80" w:type="dxa"/>
            </w:tcMar>
          </w:tcPr>
          <w:p w14:paraId="6422A4D1"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Safety Management Systems are audited against the National Self-Insurer OHS Management System Audit Tool for all new applicants and current self-insurers.</w:t>
            </w:r>
          </w:p>
          <w:p w14:paraId="2019DD83" w14:textId="77777777" w:rsidR="00A759B3" w:rsidRPr="00A759B3" w:rsidRDefault="00A759B3" w:rsidP="00292A53">
            <w:pPr>
              <w:spacing w:after="60"/>
              <w:rPr>
                <w:rFonts w:cs="Arial"/>
                <w:color w:val="000000"/>
                <w:sz w:val="14"/>
                <w:szCs w:val="16"/>
                <w:lang w:val="en-GB"/>
              </w:rPr>
            </w:pPr>
            <w:r w:rsidRPr="004A6385">
              <w:rPr>
                <w:rFonts w:cs="Arial"/>
                <w:color w:val="000000"/>
                <w:sz w:val="14"/>
                <w:szCs w:val="16"/>
                <w:lang w:val="en-GB"/>
              </w:rPr>
              <w:t>Compliance with</w:t>
            </w:r>
            <w:r w:rsidRPr="00E43A0F">
              <w:rPr>
                <w:rFonts w:cs="Arial"/>
                <w:i/>
                <w:color w:val="000000"/>
                <w:sz w:val="14"/>
                <w:szCs w:val="16"/>
                <w:lang w:val="en-GB"/>
              </w:rPr>
              <w:t xml:space="preserve"> Occupational Health and Safety Act 2004</w:t>
            </w:r>
            <w:r w:rsidRPr="00A759B3">
              <w:rPr>
                <w:rFonts w:cs="Arial"/>
                <w:color w:val="000000"/>
                <w:sz w:val="14"/>
                <w:szCs w:val="16"/>
                <w:lang w:val="en-GB"/>
              </w:rPr>
              <w:t xml:space="preserve"> — Inspectorate field interventions including enforcement activity, prosecutions and incident notifications.</w:t>
            </w:r>
          </w:p>
        </w:tc>
        <w:tc>
          <w:tcPr>
            <w:tcW w:w="6836" w:type="dxa"/>
            <w:tcMar>
              <w:top w:w="80" w:type="dxa"/>
              <w:left w:w="80" w:type="dxa"/>
              <w:bottom w:w="80" w:type="dxa"/>
              <w:right w:w="80" w:type="dxa"/>
            </w:tcMar>
          </w:tcPr>
          <w:p w14:paraId="1B53C089"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Annual self-audit requirements for the duration of the licence period. The self-audits comprise of the following two components:</w:t>
            </w:r>
          </w:p>
          <w:p w14:paraId="770E085B" w14:textId="77777777" w:rsidR="00A759B3" w:rsidRPr="00A759B3" w:rsidRDefault="00A759B3" w:rsidP="00F839DB">
            <w:pPr>
              <w:pStyle w:val="ListParagraph"/>
              <w:numPr>
                <w:ilvl w:val="0"/>
                <w:numId w:val="349"/>
              </w:numPr>
              <w:spacing w:after="60"/>
              <w:ind w:left="357" w:hanging="357"/>
              <w:contextualSpacing/>
              <w:rPr>
                <w:rFonts w:cs="Arial"/>
                <w:color w:val="000000"/>
                <w:sz w:val="14"/>
                <w:szCs w:val="16"/>
                <w:lang w:val="en-GB"/>
              </w:rPr>
            </w:pPr>
            <w:r w:rsidRPr="00A759B3">
              <w:rPr>
                <w:rFonts w:cs="Arial"/>
                <w:color w:val="000000"/>
                <w:sz w:val="14"/>
                <w:szCs w:val="16"/>
                <w:lang w:val="en-GB"/>
              </w:rPr>
              <w:t xml:space="preserve">occupational health and safety management system requirements, and </w:t>
            </w:r>
          </w:p>
          <w:p w14:paraId="70637AED" w14:textId="77777777" w:rsidR="00A759B3" w:rsidRPr="00A759B3" w:rsidRDefault="00A759B3" w:rsidP="00F839DB">
            <w:pPr>
              <w:pStyle w:val="ListParagraph"/>
              <w:numPr>
                <w:ilvl w:val="0"/>
                <w:numId w:val="349"/>
              </w:numPr>
              <w:spacing w:after="60"/>
              <w:rPr>
                <w:rFonts w:cs="Arial"/>
                <w:color w:val="000000"/>
                <w:sz w:val="14"/>
                <w:szCs w:val="16"/>
                <w:lang w:val="en-GB"/>
              </w:rPr>
            </w:pPr>
            <w:r w:rsidRPr="00A759B3">
              <w:rPr>
                <w:rFonts w:cs="Arial"/>
                <w:color w:val="000000"/>
                <w:sz w:val="14"/>
                <w:szCs w:val="16"/>
                <w:lang w:val="en-GB"/>
              </w:rPr>
              <w:t>claims management obligations of employers and other requirements.</w:t>
            </w:r>
          </w:p>
          <w:p w14:paraId="336FB748"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Audits undertaken by the regulator :</w:t>
            </w:r>
          </w:p>
          <w:p w14:paraId="5FD70F42" w14:textId="77777777" w:rsidR="00A759B3" w:rsidRPr="00A759B3" w:rsidRDefault="00A759B3" w:rsidP="00F839DB">
            <w:pPr>
              <w:pStyle w:val="ListParagraph"/>
              <w:numPr>
                <w:ilvl w:val="0"/>
                <w:numId w:val="350"/>
              </w:numPr>
              <w:spacing w:after="60"/>
              <w:contextualSpacing/>
              <w:rPr>
                <w:rFonts w:eastAsia="Calibri" w:cs="Arial"/>
                <w:sz w:val="14"/>
                <w:szCs w:val="14"/>
                <w:lang w:eastAsia="en-US"/>
              </w:rPr>
            </w:pPr>
            <w:r w:rsidRPr="00A759B3">
              <w:rPr>
                <w:rFonts w:eastAsia="Calibri" w:cs="Arial"/>
                <w:sz w:val="14"/>
                <w:szCs w:val="14"/>
                <w:lang w:eastAsia="en-US"/>
              </w:rPr>
              <w:t xml:space="preserve">at time of application for approval and renewal of approval against the National Self-Insurer OHS Management System Audit Tool; and </w:t>
            </w:r>
          </w:p>
          <w:p w14:paraId="58714977" w14:textId="53EE21C9" w:rsidR="00A759B3" w:rsidRPr="00A759B3" w:rsidRDefault="00A759B3" w:rsidP="00F839DB">
            <w:pPr>
              <w:pStyle w:val="ListParagraph"/>
              <w:numPr>
                <w:ilvl w:val="0"/>
                <w:numId w:val="350"/>
              </w:numPr>
              <w:spacing w:after="60"/>
              <w:contextualSpacing/>
              <w:rPr>
                <w:rFonts w:eastAsia="Calibri" w:cs="Arial"/>
                <w:sz w:val="14"/>
                <w:szCs w:val="14"/>
                <w:lang w:eastAsia="en-US"/>
              </w:rPr>
            </w:pPr>
            <w:r w:rsidRPr="00A759B3">
              <w:rPr>
                <w:rFonts w:eastAsia="Calibri" w:cs="Arial"/>
                <w:sz w:val="14"/>
                <w:szCs w:val="14"/>
                <w:lang w:eastAsia="en-US"/>
              </w:rPr>
              <w:t>claims management audit conducted once in a self-insurer’s term of approval</w:t>
            </w:r>
            <w:r w:rsidR="003D2FCB">
              <w:rPr>
                <w:rFonts w:eastAsia="Calibri" w:cs="Arial"/>
                <w:sz w:val="14"/>
                <w:szCs w:val="14"/>
                <w:lang w:eastAsia="en-US"/>
              </w:rPr>
              <w:t>.</w:t>
            </w:r>
          </w:p>
        </w:tc>
      </w:tr>
      <w:tr w:rsidR="00A759B3" w:rsidRPr="00A759B3" w14:paraId="28799EB7" w14:textId="77777777" w:rsidTr="00B2173F">
        <w:tc>
          <w:tcPr>
            <w:tcW w:w="1343" w:type="dxa"/>
            <w:shd w:val="clear" w:color="auto" w:fill="FFC9C9"/>
            <w:tcMar>
              <w:top w:w="80" w:type="dxa"/>
              <w:left w:w="80" w:type="dxa"/>
              <w:bottom w:w="80" w:type="dxa"/>
              <w:right w:w="80" w:type="dxa"/>
            </w:tcMar>
          </w:tcPr>
          <w:p w14:paraId="112B4401"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Queensland</w:t>
            </w:r>
          </w:p>
        </w:tc>
        <w:tc>
          <w:tcPr>
            <w:tcW w:w="6836" w:type="dxa"/>
            <w:shd w:val="clear" w:color="auto" w:fill="FFC9C9"/>
            <w:tcMar>
              <w:top w:w="80" w:type="dxa"/>
              <w:left w:w="80" w:type="dxa"/>
              <w:bottom w:w="80" w:type="dxa"/>
              <w:right w:w="80" w:type="dxa"/>
            </w:tcMar>
          </w:tcPr>
          <w:p w14:paraId="43DC8A64" w14:textId="6EFACA11" w:rsidR="00A759B3" w:rsidRPr="00A759B3" w:rsidRDefault="004A6385" w:rsidP="00292A53">
            <w:pPr>
              <w:spacing w:after="60"/>
              <w:rPr>
                <w:rFonts w:cs="Arial"/>
                <w:color w:val="000000"/>
                <w:sz w:val="14"/>
                <w:szCs w:val="16"/>
                <w:lang w:val="en-GB"/>
              </w:rPr>
            </w:pPr>
            <w:r w:rsidRPr="00016069">
              <w:rPr>
                <w:i/>
                <w:sz w:val="14"/>
              </w:rPr>
              <w:t>Workers’ Compensation and Rehabilitation Act 2003</w:t>
            </w:r>
            <w:r>
              <w:rPr>
                <w:i/>
                <w:sz w:val="14"/>
              </w:rPr>
              <w:t xml:space="preserve"> </w:t>
            </w:r>
            <w:hyperlink r:id="rId2040" w:anchor="sec.71" w:history="1">
              <w:r w:rsidR="00141440" w:rsidRPr="007E71B9">
                <w:rPr>
                  <w:rStyle w:val="Hyperlink"/>
                  <w:rFonts w:cs="Arial"/>
                  <w:sz w:val="14"/>
                  <w:szCs w:val="16"/>
                  <w:lang w:val="en-GB"/>
                </w:rPr>
                <w:t>ss71(4)</w:t>
              </w:r>
            </w:hyperlink>
            <w:r w:rsidR="00141440" w:rsidRPr="007E71B9">
              <w:rPr>
                <w:rFonts w:cs="Arial"/>
                <w:color w:val="000000"/>
                <w:sz w:val="14"/>
                <w:szCs w:val="16"/>
                <w:lang w:val="en-GB"/>
              </w:rPr>
              <w:t xml:space="preserve"> and </w:t>
            </w:r>
            <w:hyperlink r:id="rId2041" w:anchor="sec.72" w:history="1">
              <w:r w:rsidR="00141440" w:rsidRPr="007E71B9">
                <w:rPr>
                  <w:rStyle w:val="Hyperlink"/>
                  <w:rFonts w:cs="Arial"/>
                  <w:sz w:val="14"/>
                  <w:szCs w:val="16"/>
                  <w:lang w:val="en-GB"/>
                </w:rPr>
                <w:t>72(4)</w:t>
              </w:r>
            </w:hyperlink>
            <w:r w:rsidR="00141440" w:rsidRPr="007E71B9">
              <w:rPr>
                <w:rFonts w:cs="Arial"/>
                <w:color w:val="000000"/>
                <w:sz w:val="14"/>
                <w:szCs w:val="16"/>
                <w:lang w:val="en-GB"/>
              </w:rPr>
              <w:t xml:space="preserve"> — The Workers’ Compensation Regulator must ask the chief executive of the department within which the </w:t>
            </w:r>
            <w:hyperlink r:id="rId2042" w:history="1">
              <w:r w:rsidR="00141440" w:rsidRPr="007E71B9">
                <w:rPr>
                  <w:rStyle w:val="Hyperlink"/>
                  <w:rFonts w:cs="Arial"/>
                  <w:i/>
                  <w:sz w:val="14"/>
                  <w:szCs w:val="16"/>
                  <w:lang w:val="en-GB"/>
                </w:rPr>
                <w:t>Work Health and Safety Act 2011</w:t>
              </w:r>
            </w:hyperlink>
            <w:r w:rsidR="00141440" w:rsidRPr="007E71B9">
              <w:rPr>
                <w:rFonts w:cs="Arial"/>
                <w:color w:val="000000"/>
                <w:sz w:val="14"/>
                <w:szCs w:val="16"/>
                <w:lang w:val="en-GB"/>
              </w:rPr>
              <w:t xml:space="preserve"> is administered to prepare a report about the employer’s work health and safety performance.</w:t>
            </w:r>
          </w:p>
        </w:tc>
        <w:tc>
          <w:tcPr>
            <w:tcW w:w="6836" w:type="dxa"/>
            <w:shd w:val="clear" w:color="auto" w:fill="FFC9C9"/>
            <w:tcMar>
              <w:top w:w="80" w:type="dxa"/>
              <w:left w:w="80" w:type="dxa"/>
              <w:bottom w:w="80" w:type="dxa"/>
              <w:right w:w="80" w:type="dxa"/>
            </w:tcMar>
          </w:tcPr>
          <w:p w14:paraId="7EB608B9" w14:textId="3214CB00" w:rsidR="00A759B3" w:rsidRPr="00A759B3" w:rsidRDefault="00141440" w:rsidP="00292A53">
            <w:pPr>
              <w:spacing w:after="60"/>
              <w:rPr>
                <w:rFonts w:cs="Arial"/>
                <w:color w:val="000000"/>
                <w:sz w:val="14"/>
                <w:szCs w:val="16"/>
                <w:lang w:val="en-GB"/>
              </w:rPr>
            </w:pPr>
            <w:r w:rsidRPr="007E71B9">
              <w:rPr>
                <w:rFonts w:cs="Arial"/>
                <w:color w:val="000000"/>
                <w:sz w:val="14"/>
                <w:szCs w:val="16"/>
                <w:lang w:val="en-GB"/>
              </w:rPr>
              <w:t xml:space="preserve">The report provided in accordance with </w:t>
            </w:r>
            <w:hyperlink r:id="rId2043" w:anchor="sec.71" w:history="1">
              <w:r w:rsidRPr="007E71B9">
                <w:rPr>
                  <w:rStyle w:val="Hyperlink"/>
                  <w:rFonts w:cs="Arial"/>
                  <w:sz w:val="14"/>
                  <w:szCs w:val="16"/>
                  <w:lang w:val="en-GB"/>
                </w:rPr>
                <w:t>ss71(4)</w:t>
              </w:r>
            </w:hyperlink>
            <w:r w:rsidRPr="007E71B9">
              <w:rPr>
                <w:rFonts w:cs="Arial"/>
                <w:color w:val="000000"/>
                <w:sz w:val="14"/>
                <w:szCs w:val="16"/>
                <w:lang w:val="en-GB"/>
              </w:rPr>
              <w:t xml:space="preserve"> and </w:t>
            </w:r>
            <w:hyperlink r:id="rId2044" w:anchor="sec.72" w:history="1">
              <w:r w:rsidRPr="007E71B9">
                <w:rPr>
                  <w:rStyle w:val="Hyperlink"/>
                  <w:rFonts w:cs="Arial"/>
                  <w:sz w:val="14"/>
                  <w:szCs w:val="16"/>
                  <w:lang w:val="en-GB"/>
                </w:rPr>
                <w:t>72(4)</w:t>
              </w:r>
            </w:hyperlink>
            <w:r w:rsidRPr="007E71B9">
              <w:rPr>
                <w:rFonts w:cs="Arial"/>
                <w:color w:val="000000"/>
                <w:sz w:val="14"/>
                <w:szCs w:val="16"/>
                <w:lang w:val="en-GB"/>
              </w:rPr>
              <w:t xml:space="preserve"> includes a summary of prosecutions, enforceable undertakings and notices issued against the self-insurer and a summary of audit findings. The audit for self-insurance is conducted at the time of licence renewal or before an initial licence is granted.</w:t>
            </w:r>
          </w:p>
        </w:tc>
      </w:tr>
      <w:tr w:rsidR="00A759B3" w:rsidRPr="00A759B3" w14:paraId="73E158D8" w14:textId="77777777" w:rsidTr="00B2173F">
        <w:tc>
          <w:tcPr>
            <w:tcW w:w="1343" w:type="dxa"/>
            <w:tcMar>
              <w:top w:w="80" w:type="dxa"/>
              <w:left w:w="80" w:type="dxa"/>
              <w:bottom w:w="80" w:type="dxa"/>
              <w:right w:w="80" w:type="dxa"/>
            </w:tcMar>
          </w:tcPr>
          <w:p w14:paraId="5CCA8F8C"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Western Australia</w:t>
            </w:r>
          </w:p>
        </w:tc>
        <w:tc>
          <w:tcPr>
            <w:tcW w:w="6836" w:type="dxa"/>
            <w:tcMar>
              <w:top w:w="80" w:type="dxa"/>
              <w:left w:w="80" w:type="dxa"/>
              <w:bottom w:w="80" w:type="dxa"/>
              <w:right w:w="80" w:type="dxa"/>
            </w:tcMar>
          </w:tcPr>
          <w:p w14:paraId="61F1C91F"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Work health and safety requirements are handled by WorkSafe WA.</w:t>
            </w:r>
          </w:p>
          <w:p w14:paraId="13BD8D3F" w14:textId="4071A66B" w:rsidR="00A759B3" w:rsidRPr="00E43A0F" w:rsidRDefault="00A7538C" w:rsidP="00292A53">
            <w:pPr>
              <w:spacing w:after="60"/>
              <w:rPr>
                <w:rFonts w:cs="Arial"/>
                <w:i/>
                <w:color w:val="000000"/>
                <w:sz w:val="14"/>
                <w:szCs w:val="16"/>
                <w:lang w:val="en-GB"/>
              </w:rPr>
            </w:pPr>
            <w:hyperlink r:id="rId2045" w:history="1">
              <w:r w:rsidR="00E43A0F" w:rsidRPr="00E43A0F">
                <w:rPr>
                  <w:rFonts w:cs="Arial"/>
                  <w:i/>
                  <w:color w:val="0000FF"/>
                  <w:sz w:val="14"/>
                  <w:szCs w:val="16"/>
                  <w:u w:val="single"/>
                  <w:lang w:val="en-GB"/>
                </w:rPr>
                <w:t>Occupational Safety and Health Act 1984</w:t>
              </w:r>
            </w:hyperlink>
          </w:p>
          <w:p w14:paraId="69E05B56" w14:textId="340264BE" w:rsidR="00A759B3" w:rsidRPr="00A759B3" w:rsidRDefault="00A7538C" w:rsidP="00292A53">
            <w:pPr>
              <w:spacing w:after="60"/>
              <w:rPr>
                <w:rFonts w:cs="Arial"/>
                <w:color w:val="000000"/>
                <w:sz w:val="14"/>
                <w:szCs w:val="16"/>
                <w:lang w:val="en-GB"/>
              </w:rPr>
            </w:pPr>
            <w:hyperlink r:id="rId2046" w:history="1">
              <w:r w:rsidR="00A759B3" w:rsidRPr="00A759B3">
                <w:rPr>
                  <w:rFonts w:cs="Arial"/>
                  <w:color w:val="0000FF"/>
                  <w:sz w:val="14"/>
                  <w:szCs w:val="16"/>
                  <w:u w:val="single"/>
                  <w:lang w:val="en-GB"/>
                </w:rPr>
                <w:t>WorkSafe WA</w:t>
              </w:r>
            </w:hyperlink>
          </w:p>
        </w:tc>
        <w:tc>
          <w:tcPr>
            <w:tcW w:w="6836" w:type="dxa"/>
            <w:tcMar>
              <w:top w:w="80" w:type="dxa"/>
              <w:left w:w="80" w:type="dxa"/>
              <w:bottom w:w="80" w:type="dxa"/>
              <w:right w:w="80" w:type="dxa"/>
            </w:tcMar>
          </w:tcPr>
          <w:p w14:paraId="5F1CEDF2" w14:textId="4F00D0B3"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N/A</w:t>
            </w:r>
          </w:p>
        </w:tc>
      </w:tr>
      <w:tr w:rsidR="00A759B3" w:rsidRPr="00A759B3" w14:paraId="00158EBF" w14:textId="77777777" w:rsidTr="00B2173F">
        <w:tc>
          <w:tcPr>
            <w:tcW w:w="1343" w:type="dxa"/>
            <w:shd w:val="clear" w:color="auto" w:fill="FFC9C9"/>
            <w:tcMar>
              <w:top w:w="80" w:type="dxa"/>
              <w:left w:w="80" w:type="dxa"/>
              <w:bottom w:w="80" w:type="dxa"/>
              <w:right w:w="80" w:type="dxa"/>
            </w:tcMar>
          </w:tcPr>
          <w:p w14:paraId="271A40F2"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South Australia</w:t>
            </w:r>
          </w:p>
        </w:tc>
        <w:tc>
          <w:tcPr>
            <w:tcW w:w="6836" w:type="dxa"/>
            <w:shd w:val="clear" w:color="auto" w:fill="FFC9C9"/>
            <w:tcMar>
              <w:top w:w="80" w:type="dxa"/>
              <w:left w:w="80" w:type="dxa"/>
              <w:bottom w:w="80" w:type="dxa"/>
              <w:right w:w="80" w:type="dxa"/>
            </w:tcMar>
          </w:tcPr>
          <w:p w14:paraId="353A3BBD" w14:textId="6C604040" w:rsidR="00A759B3" w:rsidRPr="00A759B3" w:rsidRDefault="00A759B3" w:rsidP="00292A53">
            <w:pPr>
              <w:spacing w:after="60"/>
              <w:ind w:left="357" w:hanging="357"/>
              <w:contextualSpacing/>
              <w:rPr>
                <w:rFonts w:eastAsia="Calibri" w:cs="Arial"/>
                <w:sz w:val="14"/>
                <w:szCs w:val="14"/>
                <w:lang w:eastAsia="en-US"/>
              </w:rPr>
            </w:pPr>
            <w:r w:rsidRPr="00A759B3">
              <w:rPr>
                <w:rFonts w:eastAsia="Calibri" w:cs="Arial"/>
                <w:sz w:val="14"/>
                <w:szCs w:val="14"/>
                <w:lang w:eastAsia="en-US"/>
              </w:rPr>
              <w:t xml:space="preserve">Compliance with the </w:t>
            </w:r>
            <w:r w:rsidR="00E43A0F">
              <w:rPr>
                <w:rFonts w:eastAsia="Calibri" w:cs="Arial"/>
                <w:sz w:val="14"/>
                <w:szCs w:val="14"/>
                <w:lang w:eastAsia="en-US"/>
              </w:rPr>
              <w:t>Self-insurer</w:t>
            </w:r>
            <w:r w:rsidRPr="00A759B3">
              <w:rPr>
                <w:rFonts w:eastAsia="Calibri" w:cs="Arial"/>
                <w:sz w:val="14"/>
                <w:szCs w:val="14"/>
                <w:lang w:eastAsia="en-US"/>
              </w:rPr>
              <w:t xml:space="preserve"> Standards and the WHS and Injury Management Standards, which can be</w:t>
            </w:r>
          </w:p>
          <w:p w14:paraId="16128180" w14:textId="7080F712" w:rsidR="00A759B3" w:rsidRPr="00A759B3" w:rsidRDefault="00A759B3" w:rsidP="00292A53">
            <w:pPr>
              <w:spacing w:after="60"/>
              <w:ind w:left="357" w:hanging="357"/>
              <w:contextualSpacing/>
              <w:rPr>
                <w:rFonts w:eastAsia="Calibri" w:cs="Arial"/>
                <w:sz w:val="14"/>
                <w:szCs w:val="14"/>
                <w:lang w:eastAsia="en-US"/>
              </w:rPr>
            </w:pPr>
            <w:r w:rsidRPr="00A759B3">
              <w:rPr>
                <w:rFonts w:eastAsia="Calibri" w:cs="Arial"/>
                <w:sz w:val="14"/>
                <w:szCs w:val="14"/>
                <w:lang w:eastAsia="en-US"/>
              </w:rPr>
              <w:t xml:space="preserve"> found in the Code of Conduct. See also section </w:t>
            </w:r>
            <w:hyperlink r:id="rId2047" w:history="1">
              <w:r w:rsidRPr="00A759B3">
                <w:rPr>
                  <w:rFonts w:eastAsia="Calibri" w:cs="Arial"/>
                  <w:color w:val="0000FF"/>
                  <w:sz w:val="14"/>
                  <w:szCs w:val="14"/>
                  <w:u w:val="single"/>
                  <w:lang w:eastAsia="en-US"/>
                </w:rPr>
                <w:t>129</w:t>
              </w:r>
            </w:hyperlink>
            <w:r w:rsidRPr="00A759B3">
              <w:rPr>
                <w:rFonts w:eastAsia="Calibri" w:cs="Arial"/>
                <w:sz w:val="14"/>
                <w:szCs w:val="14"/>
                <w:lang w:eastAsia="en-US"/>
              </w:rPr>
              <w:t xml:space="preserve"> of the </w:t>
            </w:r>
            <w:r w:rsidRPr="00A759B3">
              <w:rPr>
                <w:rFonts w:eastAsia="Calibri" w:cs="Arial"/>
                <w:i/>
                <w:sz w:val="14"/>
                <w:szCs w:val="14"/>
                <w:lang w:eastAsia="en-US"/>
              </w:rPr>
              <w:t>Return to Work Act</w:t>
            </w:r>
            <w:r w:rsidRPr="00A759B3">
              <w:rPr>
                <w:rFonts w:eastAsia="Calibri" w:cs="Arial"/>
                <w:sz w:val="14"/>
                <w:szCs w:val="14"/>
                <w:lang w:eastAsia="en-US"/>
              </w:rPr>
              <w:t xml:space="preserve"> </w:t>
            </w:r>
            <w:r w:rsidRPr="00D41D16">
              <w:rPr>
                <w:rFonts w:eastAsia="Calibri" w:cs="Arial"/>
                <w:i/>
                <w:sz w:val="14"/>
                <w:szCs w:val="14"/>
                <w:lang w:eastAsia="en-US"/>
              </w:rPr>
              <w:t>2014</w:t>
            </w:r>
            <w:r w:rsidR="003D2FCB">
              <w:rPr>
                <w:rFonts w:eastAsia="Calibri" w:cs="Arial"/>
                <w:i/>
                <w:sz w:val="14"/>
                <w:szCs w:val="14"/>
                <w:lang w:eastAsia="en-US"/>
              </w:rPr>
              <w:t>.</w:t>
            </w:r>
          </w:p>
        </w:tc>
        <w:tc>
          <w:tcPr>
            <w:tcW w:w="6836" w:type="dxa"/>
            <w:shd w:val="clear" w:color="auto" w:fill="FFC9C9"/>
            <w:tcMar>
              <w:top w:w="80" w:type="dxa"/>
              <w:left w:w="80" w:type="dxa"/>
              <w:bottom w:w="80" w:type="dxa"/>
              <w:right w:w="80" w:type="dxa"/>
            </w:tcMar>
          </w:tcPr>
          <w:p w14:paraId="5EFEDC0C" w14:textId="77777777" w:rsidR="00A759B3" w:rsidRPr="00A759B3" w:rsidRDefault="00A759B3" w:rsidP="00F839DB">
            <w:pPr>
              <w:pStyle w:val="ListParagraph"/>
              <w:numPr>
                <w:ilvl w:val="0"/>
                <w:numId w:val="351"/>
              </w:numPr>
              <w:spacing w:after="60"/>
              <w:contextualSpacing/>
              <w:rPr>
                <w:rFonts w:eastAsia="Calibri" w:cs="Arial"/>
                <w:sz w:val="14"/>
                <w:szCs w:val="14"/>
                <w:lang w:eastAsia="en-US"/>
              </w:rPr>
            </w:pPr>
            <w:r w:rsidRPr="00A759B3">
              <w:rPr>
                <w:rFonts w:eastAsia="Calibri" w:cs="Arial"/>
                <w:sz w:val="14"/>
                <w:szCs w:val="14"/>
                <w:lang w:eastAsia="en-US"/>
              </w:rPr>
              <w:t xml:space="preserve">Evaluation (work health and safety and injury management/rehabilitation) against the standards will be carried out in preparation for each registration renewal, and at other times should something come to ReturnToWorkSA’s attention that indicates a need for a further evaluation. See 2.5.2 ‘Performance standards’ within the </w:t>
            </w:r>
            <w:hyperlink r:id="rId2048" w:history="1">
              <w:r w:rsidRPr="00A759B3">
                <w:rPr>
                  <w:rFonts w:eastAsia="Calibri" w:cs="Arial"/>
                  <w:color w:val="0000FF"/>
                  <w:sz w:val="14"/>
                  <w:szCs w:val="14"/>
                  <w:u w:val="single"/>
                  <w:lang w:eastAsia="en-US"/>
                </w:rPr>
                <w:t>Code of Conduct for Self-insured Employers</w:t>
              </w:r>
            </w:hyperlink>
          </w:p>
          <w:p w14:paraId="724C9C50" w14:textId="77777777" w:rsidR="00A759B3" w:rsidRPr="00A759B3" w:rsidRDefault="00A759B3" w:rsidP="00F839DB">
            <w:pPr>
              <w:pStyle w:val="ListParagraph"/>
              <w:numPr>
                <w:ilvl w:val="0"/>
                <w:numId w:val="351"/>
              </w:numPr>
              <w:spacing w:after="60"/>
              <w:contextualSpacing/>
              <w:rPr>
                <w:rFonts w:eastAsia="Calibri" w:cs="Arial"/>
                <w:sz w:val="14"/>
                <w:szCs w:val="14"/>
                <w:lang w:eastAsia="en-US"/>
              </w:rPr>
            </w:pPr>
            <w:r w:rsidRPr="00A759B3">
              <w:rPr>
                <w:rFonts w:eastAsia="Calibri" w:cs="Arial"/>
                <w:sz w:val="14"/>
                <w:szCs w:val="14"/>
                <w:lang w:eastAsia="en-US"/>
              </w:rPr>
              <w:t>ReturnToWorkSA also monitors self-insured employers throughout non-renewal years.</w:t>
            </w:r>
          </w:p>
        </w:tc>
      </w:tr>
      <w:tr w:rsidR="00A759B3" w:rsidRPr="00A759B3" w14:paraId="474FCA22" w14:textId="77777777" w:rsidTr="00B2173F">
        <w:tc>
          <w:tcPr>
            <w:tcW w:w="1343" w:type="dxa"/>
            <w:tcMar>
              <w:top w:w="80" w:type="dxa"/>
              <w:left w:w="80" w:type="dxa"/>
              <w:bottom w:w="80" w:type="dxa"/>
              <w:right w:w="80" w:type="dxa"/>
            </w:tcMar>
          </w:tcPr>
          <w:p w14:paraId="5611D53B"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Tasmania</w:t>
            </w:r>
          </w:p>
        </w:tc>
        <w:tc>
          <w:tcPr>
            <w:tcW w:w="6836" w:type="dxa"/>
            <w:tcMar>
              <w:top w:w="80" w:type="dxa"/>
              <w:left w:w="80" w:type="dxa"/>
              <w:bottom w:w="80" w:type="dxa"/>
              <w:right w:w="80" w:type="dxa"/>
            </w:tcMar>
          </w:tcPr>
          <w:p w14:paraId="11B50757" w14:textId="77777777" w:rsidR="0084023A" w:rsidRPr="001C52D2" w:rsidRDefault="0084023A" w:rsidP="00F839DB">
            <w:pPr>
              <w:pStyle w:val="ListParagraph"/>
              <w:numPr>
                <w:ilvl w:val="0"/>
                <w:numId w:val="352"/>
              </w:numPr>
              <w:spacing w:after="60"/>
              <w:contextualSpacing/>
              <w:rPr>
                <w:rFonts w:eastAsia="Calibri" w:cs="Arial"/>
                <w:sz w:val="14"/>
                <w:szCs w:val="14"/>
                <w:lang w:eastAsia="en-US"/>
              </w:rPr>
            </w:pPr>
            <w:r w:rsidRPr="001C52D2">
              <w:rPr>
                <w:rFonts w:eastAsia="Calibri" w:cs="Arial"/>
                <w:sz w:val="14"/>
                <w:szCs w:val="14"/>
                <w:lang w:eastAsia="en-US"/>
              </w:rPr>
              <w:t>Must have an established work health and safety management system.</w:t>
            </w:r>
          </w:p>
          <w:p w14:paraId="68E74D2D" w14:textId="77777777" w:rsidR="0084023A" w:rsidRPr="00785696" w:rsidRDefault="0084023A" w:rsidP="00F839DB">
            <w:pPr>
              <w:pStyle w:val="ListParagraph"/>
              <w:numPr>
                <w:ilvl w:val="0"/>
                <w:numId w:val="352"/>
              </w:numPr>
              <w:spacing w:after="60"/>
              <w:contextualSpacing/>
              <w:rPr>
                <w:rFonts w:eastAsia="Calibri" w:cs="Arial"/>
                <w:sz w:val="14"/>
                <w:szCs w:val="14"/>
                <w:lang w:eastAsia="en-US"/>
              </w:rPr>
            </w:pPr>
            <w:r w:rsidRPr="00785696">
              <w:rPr>
                <w:rFonts w:eastAsia="Calibri" w:cs="Arial"/>
                <w:sz w:val="14"/>
                <w:szCs w:val="14"/>
                <w:lang w:eastAsia="en-US"/>
              </w:rPr>
              <w:t>Upon application to self-insure, a National Audit Tool (NAT) audit report is provided by a certified auditor or evidence of JAS—ANZ certification against AS/NZ 4801:200 and the National Audit Tool.</w:t>
            </w:r>
          </w:p>
          <w:p w14:paraId="55C16118" w14:textId="56F89269" w:rsidR="00A759B3" w:rsidRPr="0084023A" w:rsidRDefault="0084023A" w:rsidP="00F839DB">
            <w:pPr>
              <w:pStyle w:val="ListParagraph"/>
              <w:numPr>
                <w:ilvl w:val="0"/>
                <w:numId w:val="352"/>
              </w:numPr>
              <w:spacing w:after="60"/>
              <w:contextualSpacing/>
              <w:rPr>
                <w:rFonts w:eastAsia="Calibri" w:cs="Arial"/>
                <w:sz w:val="14"/>
                <w:szCs w:val="14"/>
                <w:lang w:eastAsia="en-US"/>
              </w:rPr>
            </w:pPr>
            <w:r w:rsidRPr="008D4657">
              <w:rPr>
                <w:rFonts w:eastAsia="Calibri" w:cs="Arial"/>
                <w:sz w:val="14"/>
                <w:szCs w:val="14"/>
                <w:lang w:eastAsia="en-US"/>
              </w:rPr>
              <w:t xml:space="preserve">Must </w:t>
            </w:r>
            <w:r>
              <w:rPr>
                <w:rFonts w:eastAsia="Calibri" w:cs="Arial"/>
                <w:sz w:val="14"/>
                <w:szCs w:val="14"/>
                <w:lang w:eastAsia="en-US"/>
              </w:rPr>
              <w:t>provide</w:t>
            </w:r>
            <w:r w:rsidRPr="00AC0A58">
              <w:rPr>
                <w:rFonts w:eastAsia="Calibri" w:cs="Arial"/>
                <w:sz w:val="14"/>
                <w:szCs w:val="14"/>
                <w:lang w:eastAsia="en-US"/>
              </w:rPr>
              <w:t xml:space="preserve"> the WorkCover Tasmania Board</w:t>
            </w:r>
            <w:r>
              <w:rPr>
                <w:rFonts w:eastAsia="Calibri" w:cs="Arial"/>
                <w:sz w:val="14"/>
                <w:szCs w:val="14"/>
                <w:lang w:eastAsia="en-US"/>
              </w:rPr>
              <w:t xml:space="preserve"> with a comprehensive work health and safety report annually.</w:t>
            </w:r>
          </w:p>
        </w:tc>
        <w:tc>
          <w:tcPr>
            <w:tcW w:w="6836" w:type="dxa"/>
            <w:tcMar>
              <w:top w:w="80" w:type="dxa"/>
              <w:left w:w="80" w:type="dxa"/>
              <w:bottom w:w="80" w:type="dxa"/>
              <w:right w:w="80" w:type="dxa"/>
            </w:tcMar>
          </w:tcPr>
          <w:p w14:paraId="736B2841" w14:textId="77777777" w:rsidR="0084023A" w:rsidRDefault="0084023A" w:rsidP="00F839DB">
            <w:pPr>
              <w:pStyle w:val="Header"/>
              <w:numPr>
                <w:ilvl w:val="0"/>
                <w:numId w:val="352"/>
              </w:numPr>
              <w:spacing w:after="60"/>
              <w:rPr>
                <w:rFonts w:eastAsia="Calibri"/>
                <w:sz w:val="14"/>
                <w:szCs w:val="14"/>
                <w:lang w:eastAsia="en-US"/>
              </w:rPr>
            </w:pPr>
            <w:r w:rsidRPr="001C52D2">
              <w:rPr>
                <w:rFonts w:eastAsia="Calibri"/>
                <w:sz w:val="14"/>
                <w:szCs w:val="14"/>
                <w:lang w:eastAsia="en-US"/>
              </w:rPr>
              <w:t>Work health and safety management system to be self-audited annually, with the use of the National Audit Tool as the audit tool</w:t>
            </w:r>
          </w:p>
          <w:p w14:paraId="70F4399A" w14:textId="77777777" w:rsidR="0084023A" w:rsidRPr="001C52D2" w:rsidRDefault="00A7538C" w:rsidP="0084023A">
            <w:pPr>
              <w:pStyle w:val="Header"/>
              <w:numPr>
                <w:ilvl w:val="0"/>
                <w:numId w:val="0"/>
              </w:numPr>
              <w:spacing w:after="60"/>
              <w:ind w:left="357"/>
              <w:rPr>
                <w:rFonts w:eastAsia="Calibri"/>
                <w:sz w:val="14"/>
                <w:szCs w:val="14"/>
                <w:lang w:eastAsia="en-US"/>
              </w:rPr>
            </w:pPr>
            <w:hyperlink r:id="rId2049" w:history="1">
              <w:r w:rsidR="0084023A" w:rsidRPr="00996A8D">
                <w:rPr>
                  <w:rStyle w:val="Hyperlink"/>
                  <w:rFonts w:eastAsia="Calibri"/>
                  <w:sz w:val="14"/>
                  <w:szCs w:val="14"/>
                  <w:lang w:eastAsia="en-US"/>
                </w:rPr>
                <w:t>Conducting and providing the annual WHS management systems report</w:t>
              </w:r>
            </w:hyperlink>
          </w:p>
          <w:p w14:paraId="6452A9AD" w14:textId="77777777" w:rsidR="0084023A" w:rsidRDefault="0084023A" w:rsidP="00F839DB">
            <w:pPr>
              <w:pStyle w:val="Header"/>
              <w:numPr>
                <w:ilvl w:val="0"/>
                <w:numId w:val="352"/>
              </w:numPr>
              <w:spacing w:after="60"/>
              <w:rPr>
                <w:rFonts w:eastAsia="Calibri"/>
                <w:sz w:val="14"/>
                <w:szCs w:val="14"/>
                <w:lang w:eastAsia="en-US"/>
              </w:rPr>
            </w:pPr>
            <w:r w:rsidRPr="00AC0A58">
              <w:rPr>
                <w:rFonts w:eastAsia="Calibri"/>
                <w:sz w:val="14"/>
                <w:szCs w:val="14"/>
                <w:lang w:eastAsia="en-US"/>
              </w:rPr>
              <w:t>WorkCover surveillance audits are conducted annually as well</w:t>
            </w:r>
          </w:p>
          <w:p w14:paraId="6783D358" w14:textId="52443EDE" w:rsidR="00A759B3" w:rsidRPr="00A759B3" w:rsidRDefault="00A7538C" w:rsidP="0084023A">
            <w:pPr>
              <w:spacing w:after="60"/>
              <w:ind w:left="357"/>
              <w:rPr>
                <w:rFonts w:cs="Arial"/>
                <w:color w:val="000000"/>
                <w:sz w:val="14"/>
                <w:szCs w:val="16"/>
                <w:lang w:val="en-GB"/>
              </w:rPr>
            </w:pPr>
            <w:hyperlink r:id="rId2050" w:history="1">
              <w:r w:rsidR="0084023A" w:rsidRPr="00996A8D">
                <w:rPr>
                  <w:rStyle w:val="Hyperlink"/>
                  <w:rFonts w:eastAsia="Calibri"/>
                  <w:sz w:val="14"/>
                  <w:szCs w:val="14"/>
                  <w:lang w:eastAsia="en-US"/>
                </w:rPr>
                <w:t>WorkCover surveillance audits</w:t>
              </w:r>
            </w:hyperlink>
          </w:p>
        </w:tc>
      </w:tr>
      <w:tr w:rsidR="00A759B3" w:rsidRPr="00A759B3" w14:paraId="12434B6B" w14:textId="77777777" w:rsidTr="00B2173F">
        <w:tc>
          <w:tcPr>
            <w:tcW w:w="1343" w:type="dxa"/>
            <w:shd w:val="clear" w:color="auto" w:fill="FFC9C9"/>
            <w:tcMar>
              <w:top w:w="80" w:type="dxa"/>
              <w:left w:w="80" w:type="dxa"/>
              <w:bottom w:w="80" w:type="dxa"/>
              <w:right w:w="80" w:type="dxa"/>
            </w:tcMar>
          </w:tcPr>
          <w:p w14:paraId="5B0A5B28"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Northern Territory</w:t>
            </w:r>
          </w:p>
        </w:tc>
        <w:tc>
          <w:tcPr>
            <w:tcW w:w="6836" w:type="dxa"/>
            <w:shd w:val="clear" w:color="auto" w:fill="FFC9C9"/>
            <w:tcMar>
              <w:top w:w="80" w:type="dxa"/>
              <w:left w:w="80" w:type="dxa"/>
              <w:bottom w:w="80" w:type="dxa"/>
              <w:right w:w="80" w:type="dxa"/>
            </w:tcMar>
          </w:tcPr>
          <w:p w14:paraId="37580172" w14:textId="77777777" w:rsidR="00A759B3" w:rsidRPr="00A759B3" w:rsidRDefault="00A759B3" w:rsidP="00292A53">
            <w:pPr>
              <w:spacing w:after="60" w:line="276" w:lineRule="auto"/>
              <w:rPr>
                <w:rFonts w:cs="Arial"/>
                <w:color w:val="000000"/>
                <w:sz w:val="14"/>
                <w:szCs w:val="16"/>
                <w:lang w:val="en-GB"/>
              </w:rPr>
            </w:pPr>
            <w:r w:rsidRPr="00A759B3">
              <w:rPr>
                <w:rFonts w:cs="Arial"/>
                <w:color w:val="000000"/>
                <w:sz w:val="14"/>
                <w:szCs w:val="16"/>
                <w:lang w:val="en-GB"/>
              </w:rPr>
              <w:t>Evidence that the company’s NT operation has in place a Work Health and Safety management system and evidence that the company’s work health and safety policy has been brought to the attention of the company’s NT workers.</w:t>
            </w:r>
          </w:p>
        </w:tc>
        <w:tc>
          <w:tcPr>
            <w:tcW w:w="6836" w:type="dxa"/>
            <w:shd w:val="clear" w:color="auto" w:fill="FFC9C9"/>
            <w:tcMar>
              <w:top w:w="80" w:type="dxa"/>
              <w:left w:w="80" w:type="dxa"/>
              <w:bottom w:w="80" w:type="dxa"/>
              <w:right w:w="80" w:type="dxa"/>
            </w:tcMar>
          </w:tcPr>
          <w:p w14:paraId="463C4C2E" w14:textId="3B8010AD" w:rsidR="00A759B3" w:rsidRPr="00A759B3" w:rsidRDefault="00A759B3" w:rsidP="00292A53">
            <w:pPr>
              <w:spacing w:after="60" w:line="276" w:lineRule="auto"/>
              <w:rPr>
                <w:rFonts w:cs="Arial"/>
                <w:color w:val="000000"/>
                <w:sz w:val="14"/>
                <w:szCs w:val="16"/>
                <w:lang w:val="en-GB"/>
              </w:rPr>
            </w:pPr>
            <w:r w:rsidRPr="00A759B3">
              <w:rPr>
                <w:rFonts w:cs="Arial"/>
                <w:color w:val="000000"/>
                <w:sz w:val="14"/>
                <w:szCs w:val="16"/>
                <w:lang w:val="en-GB"/>
              </w:rPr>
              <w:t xml:space="preserve">National </w:t>
            </w:r>
            <w:r w:rsidR="00E43A0F">
              <w:rPr>
                <w:rFonts w:cs="Arial"/>
                <w:color w:val="000000"/>
                <w:sz w:val="14"/>
                <w:szCs w:val="16"/>
                <w:lang w:val="en-GB"/>
              </w:rPr>
              <w:t>Self-insurer</w:t>
            </w:r>
            <w:r w:rsidR="007E70AF">
              <w:rPr>
                <w:rFonts w:cs="Arial"/>
                <w:color w:val="000000"/>
                <w:sz w:val="14"/>
                <w:szCs w:val="16"/>
                <w:lang w:val="en-GB"/>
              </w:rPr>
              <w:t xml:space="preserve"> Audit Tool</w:t>
            </w:r>
          </w:p>
        </w:tc>
      </w:tr>
      <w:tr w:rsidR="00A759B3" w:rsidRPr="00A759B3" w14:paraId="31D01566" w14:textId="77777777" w:rsidTr="00B2173F">
        <w:tc>
          <w:tcPr>
            <w:tcW w:w="1343" w:type="dxa"/>
            <w:tcMar>
              <w:top w:w="80" w:type="dxa"/>
              <w:left w:w="80" w:type="dxa"/>
              <w:bottom w:w="80" w:type="dxa"/>
              <w:right w:w="80" w:type="dxa"/>
            </w:tcMar>
          </w:tcPr>
          <w:p w14:paraId="3AB0FF05"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Australian Capital Territory</w:t>
            </w:r>
          </w:p>
        </w:tc>
        <w:tc>
          <w:tcPr>
            <w:tcW w:w="6836" w:type="dxa"/>
            <w:tcMar>
              <w:top w:w="80" w:type="dxa"/>
              <w:left w:w="80" w:type="dxa"/>
              <w:bottom w:w="80" w:type="dxa"/>
              <w:right w:w="80" w:type="dxa"/>
            </w:tcMar>
          </w:tcPr>
          <w:p w14:paraId="333430AB" w14:textId="77777777" w:rsidR="00A759B3" w:rsidRPr="00A759B3" w:rsidRDefault="00A759B3" w:rsidP="00F839DB">
            <w:pPr>
              <w:pStyle w:val="ListParagraph"/>
              <w:numPr>
                <w:ilvl w:val="0"/>
                <w:numId w:val="353"/>
              </w:numPr>
              <w:spacing w:after="60"/>
              <w:contextualSpacing/>
              <w:rPr>
                <w:rFonts w:eastAsia="Calibri" w:cs="Arial"/>
                <w:sz w:val="14"/>
                <w:szCs w:val="14"/>
                <w:lang w:eastAsia="en-US"/>
              </w:rPr>
            </w:pPr>
            <w:r w:rsidRPr="00A759B3">
              <w:rPr>
                <w:rFonts w:eastAsia="Calibri" w:cs="Arial"/>
                <w:sz w:val="14"/>
                <w:szCs w:val="14"/>
                <w:lang w:eastAsia="en-US"/>
              </w:rPr>
              <w:t xml:space="preserve">Compliant with employer’s duties under </w:t>
            </w:r>
            <w:r w:rsidRPr="00E43A0F">
              <w:rPr>
                <w:rFonts w:eastAsia="Calibri" w:cs="Arial"/>
                <w:i/>
                <w:sz w:val="14"/>
                <w:szCs w:val="14"/>
                <w:lang w:eastAsia="en-US"/>
              </w:rPr>
              <w:t>Work Health and Safety Act 2011</w:t>
            </w:r>
            <w:r w:rsidRPr="00A759B3">
              <w:rPr>
                <w:rFonts w:eastAsia="Calibri" w:cs="Arial"/>
                <w:sz w:val="14"/>
                <w:szCs w:val="14"/>
                <w:lang w:eastAsia="en-US"/>
              </w:rPr>
              <w:t>.</w:t>
            </w:r>
          </w:p>
          <w:p w14:paraId="743BDF64" w14:textId="77777777" w:rsidR="00A759B3" w:rsidRPr="00A759B3" w:rsidRDefault="00A759B3" w:rsidP="00F839DB">
            <w:pPr>
              <w:pStyle w:val="ListParagraph"/>
              <w:numPr>
                <w:ilvl w:val="0"/>
                <w:numId w:val="353"/>
              </w:numPr>
              <w:spacing w:after="60"/>
              <w:contextualSpacing/>
              <w:rPr>
                <w:rFonts w:eastAsia="Calibri" w:cs="Arial"/>
                <w:sz w:val="14"/>
                <w:szCs w:val="14"/>
                <w:lang w:eastAsia="en-US"/>
              </w:rPr>
            </w:pPr>
            <w:r w:rsidRPr="00A759B3">
              <w:rPr>
                <w:rFonts w:eastAsia="Calibri" w:cs="Arial"/>
                <w:sz w:val="14"/>
                <w:szCs w:val="14"/>
                <w:lang w:eastAsia="en-US"/>
              </w:rPr>
              <w:t>Copy of work health and safety policy and evidence that is has been brought to the attention of the employer’s workers.</w:t>
            </w:r>
          </w:p>
          <w:p w14:paraId="37F60646" w14:textId="77777777" w:rsidR="00A759B3" w:rsidRPr="00A759B3" w:rsidRDefault="00A759B3" w:rsidP="00F839DB">
            <w:pPr>
              <w:pStyle w:val="ListParagraph"/>
              <w:numPr>
                <w:ilvl w:val="0"/>
                <w:numId w:val="353"/>
              </w:numPr>
              <w:spacing w:after="60"/>
              <w:contextualSpacing/>
              <w:rPr>
                <w:rFonts w:eastAsia="Calibri" w:cs="Arial"/>
                <w:sz w:val="14"/>
                <w:szCs w:val="14"/>
                <w:lang w:eastAsia="en-US"/>
              </w:rPr>
            </w:pPr>
            <w:r w:rsidRPr="00A759B3">
              <w:rPr>
                <w:rFonts w:eastAsia="Calibri" w:cs="Arial"/>
                <w:sz w:val="14"/>
                <w:szCs w:val="14"/>
                <w:lang w:eastAsia="en-US"/>
              </w:rPr>
              <w:t>Has in place a work health and safety management system that complies with Australian Standard 4801.</w:t>
            </w:r>
          </w:p>
        </w:tc>
        <w:tc>
          <w:tcPr>
            <w:tcW w:w="6836" w:type="dxa"/>
            <w:tcMar>
              <w:top w:w="80" w:type="dxa"/>
              <w:left w:w="80" w:type="dxa"/>
              <w:bottom w:w="80" w:type="dxa"/>
              <w:right w:w="80" w:type="dxa"/>
            </w:tcMar>
          </w:tcPr>
          <w:p w14:paraId="745B8A83"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 xml:space="preserve">The self-insurer must agree to participate in, and pay the costs of, an audit to establish that the self-insurer has adequate resources to meet its current and expected liabilities under the Act. </w:t>
            </w:r>
          </w:p>
          <w:p w14:paraId="76DDB0AF"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 xml:space="preserve">The employer must agree to participate in, and pay the costs of, an audit to establish that the employer has complied with its regulatory obligations. </w:t>
            </w:r>
          </w:p>
        </w:tc>
      </w:tr>
      <w:tr w:rsidR="00A759B3" w:rsidRPr="00A759B3" w14:paraId="78817505" w14:textId="77777777" w:rsidTr="00B2173F">
        <w:tc>
          <w:tcPr>
            <w:tcW w:w="1343" w:type="dxa"/>
            <w:shd w:val="clear" w:color="auto" w:fill="FFC9C9"/>
            <w:tcMar>
              <w:top w:w="80" w:type="dxa"/>
              <w:left w:w="80" w:type="dxa"/>
              <w:bottom w:w="80" w:type="dxa"/>
              <w:right w:w="80" w:type="dxa"/>
            </w:tcMar>
          </w:tcPr>
          <w:p w14:paraId="16D1AC38"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lastRenderedPageBreak/>
              <w:t>C’wealth Comcare</w:t>
            </w:r>
          </w:p>
        </w:tc>
        <w:tc>
          <w:tcPr>
            <w:tcW w:w="6836" w:type="dxa"/>
            <w:shd w:val="clear" w:color="auto" w:fill="FFC9C9"/>
            <w:tcMar>
              <w:top w:w="80" w:type="dxa"/>
              <w:left w:w="80" w:type="dxa"/>
              <w:bottom w:w="80" w:type="dxa"/>
              <w:right w:w="80" w:type="dxa"/>
            </w:tcMar>
          </w:tcPr>
          <w:p w14:paraId="04C8A2BC"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The SRC Commission sets Performance Standards and Measures for licensees, which include performance targets for WHS.</w:t>
            </w:r>
          </w:p>
          <w:p w14:paraId="2017B73A"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Licensees must demonstrate to the SRC Commission that they are continuing to meet the Performance Standards and Measures throughout the licence term.</w:t>
            </w:r>
          </w:p>
          <w:p w14:paraId="48DCF700"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 xml:space="preserve">Licensees with Commonwealth WHS coverage must comply with the </w:t>
            </w:r>
            <w:r w:rsidRPr="00A759B3">
              <w:rPr>
                <w:rFonts w:eastAsia="Calibri" w:cs="Arial"/>
                <w:i/>
                <w:sz w:val="14"/>
                <w:szCs w:val="14"/>
                <w:lang w:eastAsia="en-US"/>
              </w:rPr>
              <w:t>Work Health and Safety Act 2011</w:t>
            </w:r>
            <w:r w:rsidRPr="00A759B3">
              <w:rPr>
                <w:rFonts w:eastAsia="Calibri" w:cs="Arial"/>
                <w:sz w:val="14"/>
                <w:szCs w:val="14"/>
                <w:lang w:eastAsia="en-US"/>
              </w:rPr>
              <w:t xml:space="preserve"> (Cth). They are required to notify relevant incidents and are subject to inspectorate interventions including enforcement activity and prosecutions as and when required.</w:t>
            </w:r>
          </w:p>
          <w:p w14:paraId="5FFC870D"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The Commission is provided with regular updates on all aspects of each licensee’s performance, taking into consideration audit and compliance performances to determine if the licensee is complying with the conditions of licence or if further action is required to address relevant concerns.</w:t>
            </w:r>
          </w:p>
        </w:tc>
        <w:tc>
          <w:tcPr>
            <w:tcW w:w="6836" w:type="dxa"/>
            <w:shd w:val="clear" w:color="auto" w:fill="FFC9C9"/>
            <w:tcMar>
              <w:top w:w="80" w:type="dxa"/>
              <w:left w:w="80" w:type="dxa"/>
              <w:bottom w:w="80" w:type="dxa"/>
              <w:right w:w="80" w:type="dxa"/>
            </w:tcMar>
          </w:tcPr>
          <w:p w14:paraId="75D5E592"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 xml:space="preserve">Licence evaluations may occur prior to the grant of licence. </w:t>
            </w:r>
          </w:p>
          <w:p w14:paraId="29D508CD"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In the first two years of a licence, licensees are considered ‘Developing’ and are subject to extensive annual reviews.</w:t>
            </w:r>
          </w:p>
          <w:p w14:paraId="6CBF7690"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From year three, licensees are considered to be established and must provide annual evidence they are maintaining their management systems and meeting the SRC Commission’s Performance Standards and Measures in all respects.</w:t>
            </w:r>
          </w:p>
          <w:p w14:paraId="08346734"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This evidence can be supplied through internal or external audits, reviews or other means.</w:t>
            </w:r>
          </w:p>
          <w:p w14:paraId="5D67F727"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Data quality audits may also be conducted, if warranted, to assess</w:t>
            </w:r>
            <w:r w:rsidR="00245845">
              <w:rPr>
                <w:rFonts w:eastAsia="Calibri" w:cs="Arial"/>
                <w:sz w:val="14"/>
                <w:szCs w:val="14"/>
                <w:lang w:eastAsia="en-US"/>
              </w:rPr>
              <w:t xml:space="preserve"> the accuracy of data submitted.</w:t>
            </w:r>
          </w:p>
        </w:tc>
      </w:tr>
      <w:tr w:rsidR="00A759B3" w:rsidRPr="00A759B3" w14:paraId="3C3E5740" w14:textId="77777777" w:rsidTr="00B2173F">
        <w:tc>
          <w:tcPr>
            <w:tcW w:w="1343" w:type="dxa"/>
            <w:tcMar>
              <w:top w:w="80" w:type="dxa"/>
              <w:left w:w="80" w:type="dxa"/>
              <w:bottom w:w="80" w:type="dxa"/>
              <w:right w:w="80" w:type="dxa"/>
            </w:tcMar>
          </w:tcPr>
          <w:p w14:paraId="19734990"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New Zealand</w:t>
            </w:r>
          </w:p>
        </w:tc>
        <w:tc>
          <w:tcPr>
            <w:tcW w:w="6836" w:type="dxa"/>
            <w:tcMar>
              <w:top w:w="80" w:type="dxa"/>
              <w:left w:w="80" w:type="dxa"/>
              <w:bottom w:w="80" w:type="dxa"/>
              <w:right w:w="80" w:type="dxa"/>
            </w:tcMar>
          </w:tcPr>
          <w:p w14:paraId="76D9DFD1"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 xml:space="preserve">An audit of an employer’s health and safety systems and practices is carried out as part of the entry requirements. A comprehensive entry audit is undertaken in order to satisfy Accident Compensation Corporation that an employer has the capacity and capability to manage and administer claims at least to the same standard as Accident Compensation Corporation. </w:t>
            </w:r>
          </w:p>
          <w:p w14:paraId="1F6C5235"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Every Accredited Employer must agree to provide to each employee without charge a written statement in plain English that specifies the procedures and requirements under its contract in relation to the lodging of claims, provision of treatment, handling of claims, assessment of incapacity, assessment of capacity for work, and dispute resolution.</w:t>
            </w:r>
          </w:p>
        </w:tc>
        <w:tc>
          <w:tcPr>
            <w:tcW w:w="6836" w:type="dxa"/>
            <w:tcMar>
              <w:top w:w="80" w:type="dxa"/>
              <w:left w:w="80" w:type="dxa"/>
              <w:bottom w:w="80" w:type="dxa"/>
              <w:right w:w="80" w:type="dxa"/>
            </w:tcMar>
          </w:tcPr>
          <w:p w14:paraId="199A89B5"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Monitoring and audit programme includes:</w:t>
            </w:r>
          </w:p>
          <w:p w14:paraId="58A19F0C"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a review of the reporting of claims details and expenditure to be utilised to provide regular comparative benchmarking reports for the Manager and the individual Accredited Employer</w:t>
            </w:r>
          </w:p>
          <w:p w14:paraId="4B5F7556"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onsite audits at least annually of claims management performance</w:t>
            </w:r>
          </w:p>
          <w:p w14:paraId="28254640"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 xml:space="preserve">regular meetings between the account manager and the Accredited Employer (the frequency of which will depend on the experience of the individual Accredited Employer) </w:t>
            </w:r>
          </w:p>
          <w:p w14:paraId="3904CF34"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in the discretion of the Manager and in conjunction with the annual audit programme, a claimant satisfaction survey to determine overall claimant satisfaction with the Accredited Employers Program</w:t>
            </w:r>
          </w:p>
          <w:p w14:paraId="088DE273"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active liaison with Accredited Employer’s workplace employee representatives (if any)</w:t>
            </w:r>
          </w:p>
          <w:p w14:paraId="4635001D"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monitoring of the ongoing solvency of the Accredited Employer and its expected ability to meet its obligations under the Accreditation Agreement, and</w:t>
            </w:r>
          </w:p>
          <w:p w14:paraId="7A52240F"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annual health and safety audit using approved audit tool.</w:t>
            </w:r>
          </w:p>
        </w:tc>
      </w:tr>
      <w:bookmarkEnd w:id="202"/>
    </w:tbl>
    <w:p w14:paraId="3EA5F935" w14:textId="77777777" w:rsidR="00C66972" w:rsidRPr="00C66972" w:rsidRDefault="00C66972" w:rsidP="00C66972">
      <w:pPr>
        <w:spacing w:after="200" w:line="276" w:lineRule="auto"/>
        <w:rPr>
          <w:rFonts w:eastAsiaTheme="minorHAnsi"/>
        </w:rPr>
      </w:pPr>
    </w:p>
    <w:p w14:paraId="07F9C97D" w14:textId="405FFB03" w:rsidR="00A759B3" w:rsidRPr="00205CCE" w:rsidRDefault="00FA78D9" w:rsidP="00205CCE">
      <w:pPr>
        <w:pStyle w:val="SWATableheader"/>
      </w:pPr>
      <w:bookmarkStart w:id="203" w:name="_Toc504654708"/>
      <w:r w:rsidRPr="00205CCE">
        <w:lastRenderedPageBreak/>
        <w:t>Table 6.5: Bank guarantees</w:t>
      </w:r>
      <w:r w:rsidR="006D6FF8" w:rsidRPr="00205CCE">
        <w:fldChar w:fldCharType="begin"/>
      </w:r>
      <w:r w:rsidR="006D6FF8" w:rsidRPr="00205CCE">
        <w:instrText xml:space="preserve"> XE "bank guarantees" </w:instrText>
      </w:r>
      <w:r w:rsidR="006D6FF8" w:rsidRPr="00205CCE">
        <w:fldChar w:fldCharType="end"/>
      </w:r>
      <w:r w:rsidRPr="00205CCE">
        <w:t>/</w:t>
      </w:r>
      <w:r w:rsidR="00A759B3" w:rsidRPr="00205CCE">
        <w:t>prudential margins and excess of loss requirements</w:t>
      </w:r>
      <w:bookmarkEnd w:id="203"/>
      <w:r w:rsidR="00A759B3" w:rsidRPr="00205CCE">
        <w:t xml:space="preserve"> </w:t>
      </w:r>
      <w:r w:rsidR="0025506E" w:rsidRPr="00205CCE">
        <w:fldChar w:fldCharType="begin"/>
      </w:r>
      <w:r w:rsidR="0025506E" w:rsidRPr="00205CCE">
        <w:instrText xml:space="preserve"> XE "excess of loss requirements" \r "excess" </w:instrText>
      </w:r>
      <w:r w:rsidR="0025506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5: Bank guarantees/ prudential margins and excess of loss requirements  "/>
        <w:tblDescription w:val="This table oultines bank guarantees and prudential margins and excess of loss requirements. "/>
      </w:tblPr>
      <w:tblGrid>
        <w:gridCol w:w="1343"/>
        <w:gridCol w:w="6836"/>
        <w:gridCol w:w="6836"/>
      </w:tblGrid>
      <w:tr w:rsidR="00A759B3" w:rsidRPr="00A759B3" w14:paraId="4E69B95C" w14:textId="77777777" w:rsidTr="00831290">
        <w:trPr>
          <w:tblHeader/>
        </w:trPr>
        <w:tc>
          <w:tcPr>
            <w:tcW w:w="1343" w:type="dxa"/>
            <w:shd w:val="clear" w:color="auto" w:fill="C00000"/>
            <w:tcMar>
              <w:top w:w="0" w:type="dxa"/>
              <w:left w:w="0" w:type="dxa"/>
              <w:bottom w:w="0" w:type="dxa"/>
              <w:right w:w="0" w:type="dxa"/>
            </w:tcMar>
            <w:vAlign w:val="center"/>
          </w:tcPr>
          <w:p w14:paraId="14B37CF5" w14:textId="77777777" w:rsidR="00A759B3" w:rsidRPr="00A759B3" w:rsidRDefault="00A759B3" w:rsidP="00292A53">
            <w:pPr>
              <w:pStyle w:val="Tableheaderrow"/>
              <w:spacing w:after="60"/>
            </w:pPr>
            <w:bookmarkStart w:id="204" w:name="excess"/>
          </w:p>
        </w:tc>
        <w:tc>
          <w:tcPr>
            <w:tcW w:w="6836" w:type="dxa"/>
            <w:shd w:val="clear" w:color="auto" w:fill="C00000"/>
            <w:tcMar>
              <w:top w:w="0" w:type="dxa"/>
              <w:left w:w="0" w:type="dxa"/>
              <w:bottom w:w="0" w:type="dxa"/>
              <w:right w:w="0" w:type="dxa"/>
            </w:tcMar>
            <w:vAlign w:val="center"/>
          </w:tcPr>
          <w:p w14:paraId="44CD7BDD" w14:textId="77777777" w:rsidR="00A759B3" w:rsidRPr="00A759B3" w:rsidRDefault="00FA78D9" w:rsidP="00292A53">
            <w:pPr>
              <w:pStyle w:val="Tableheaderrow"/>
              <w:spacing w:after="60"/>
            </w:pPr>
            <w:r>
              <w:t>Bank guarantees/</w:t>
            </w:r>
            <w:r w:rsidR="00A759B3" w:rsidRPr="00A759B3">
              <w:t>prudential margins</w:t>
            </w:r>
          </w:p>
        </w:tc>
        <w:tc>
          <w:tcPr>
            <w:tcW w:w="6836" w:type="dxa"/>
            <w:shd w:val="clear" w:color="auto" w:fill="C00000"/>
            <w:tcMar>
              <w:top w:w="0" w:type="dxa"/>
              <w:left w:w="0" w:type="dxa"/>
              <w:bottom w:w="0" w:type="dxa"/>
              <w:right w:w="0" w:type="dxa"/>
            </w:tcMar>
            <w:vAlign w:val="center"/>
          </w:tcPr>
          <w:p w14:paraId="1A15B912" w14:textId="77777777" w:rsidR="00A759B3" w:rsidRPr="00A759B3" w:rsidRDefault="00A759B3" w:rsidP="00292A53">
            <w:pPr>
              <w:pStyle w:val="Tableheaderrow"/>
              <w:spacing w:after="60"/>
            </w:pPr>
            <w:r w:rsidRPr="00A759B3">
              <w:t>Excess of loss requirements</w:t>
            </w:r>
          </w:p>
        </w:tc>
      </w:tr>
      <w:tr w:rsidR="00A759B3" w:rsidRPr="00A759B3" w14:paraId="453CB2BE" w14:textId="77777777" w:rsidTr="00831290">
        <w:tc>
          <w:tcPr>
            <w:tcW w:w="1343" w:type="dxa"/>
            <w:shd w:val="clear" w:color="auto" w:fill="FFC9C9"/>
            <w:tcMar>
              <w:top w:w="80" w:type="dxa"/>
              <w:left w:w="80" w:type="dxa"/>
              <w:bottom w:w="80" w:type="dxa"/>
              <w:right w:w="80" w:type="dxa"/>
            </w:tcMar>
          </w:tcPr>
          <w:p w14:paraId="48F8E5BF"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0F92BCBC" w14:textId="2D39C4D5" w:rsidR="00A759B3" w:rsidRDefault="00A759B3" w:rsidP="00F839DB">
            <w:pPr>
              <w:pStyle w:val="ListParagraph"/>
              <w:numPr>
                <w:ilvl w:val="0"/>
                <w:numId w:val="356"/>
              </w:numPr>
              <w:spacing w:after="60"/>
              <w:contextualSpacing/>
              <w:rPr>
                <w:rFonts w:eastAsia="Calibri" w:cs="Arial"/>
                <w:sz w:val="14"/>
                <w:szCs w:val="14"/>
                <w:lang w:eastAsia="en-US"/>
              </w:rPr>
            </w:pPr>
            <w:r w:rsidRPr="00A759B3">
              <w:rPr>
                <w:rFonts w:eastAsia="Calibri" w:cs="Arial"/>
                <w:sz w:val="14"/>
                <w:szCs w:val="14"/>
                <w:lang w:eastAsia="en-US"/>
              </w:rPr>
              <w:t xml:space="preserve">Initial security equivalent to tariff premium (WIC rate </w:t>
            </w:r>
            <w:r w:rsidR="00831290">
              <w:rPr>
                <w:rFonts w:eastAsia="Calibri" w:cs="Arial"/>
                <w:sz w:val="14"/>
                <w:szCs w:val="14"/>
                <w:lang w:eastAsia="en-US"/>
              </w:rPr>
              <w:sym w:font="Symbol" w:char="F0B4"/>
            </w:r>
            <w:r w:rsidR="00831290" w:rsidRPr="00A759B3">
              <w:rPr>
                <w:rFonts w:eastAsia="Calibri" w:cs="Arial"/>
                <w:sz w:val="14"/>
                <w:szCs w:val="14"/>
                <w:lang w:eastAsia="en-US"/>
              </w:rPr>
              <w:t xml:space="preserve"> </w:t>
            </w:r>
            <w:r w:rsidRPr="00A759B3">
              <w:rPr>
                <w:rFonts w:eastAsia="Calibri" w:cs="Arial"/>
                <w:sz w:val="14"/>
                <w:szCs w:val="14"/>
                <w:lang w:eastAsia="en-US"/>
              </w:rPr>
              <w:t xml:space="preserve">estimated wages) for the </w:t>
            </w:r>
            <w:r w:rsidR="00991EF1">
              <w:rPr>
                <w:rFonts w:eastAsia="Calibri" w:cs="Arial"/>
                <w:sz w:val="14"/>
                <w:szCs w:val="14"/>
                <w:lang w:eastAsia="en-US"/>
              </w:rPr>
              <w:t xml:space="preserve">previous </w:t>
            </w:r>
            <w:r w:rsidRPr="00A759B3">
              <w:rPr>
                <w:rFonts w:eastAsia="Calibri" w:cs="Arial"/>
                <w:sz w:val="14"/>
                <w:szCs w:val="14"/>
                <w:lang w:eastAsia="en-US"/>
              </w:rPr>
              <w:t xml:space="preserve">twelve months plus a prudential margin of 50%. </w:t>
            </w:r>
            <w:r w:rsidR="00991EF1">
              <w:rPr>
                <w:rFonts w:eastAsia="Calibri" w:cs="Arial"/>
                <w:sz w:val="14"/>
                <w:szCs w:val="14"/>
                <w:lang w:eastAsia="en-US"/>
              </w:rPr>
              <w:t>This is subject to the minimum self-insurer security requirement.</w:t>
            </w:r>
          </w:p>
          <w:p w14:paraId="1C40F10E" w14:textId="11A37BC3" w:rsidR="00991EF1" w:rsidRPr="00A759B3" w:rsidRDefault="00991EF1" w:rsidP="00F839DB">
            <w:pPr>
              <w:pStyle w:val="ListParagraph"/>
              <w:numPr>
                <w:ilvl w:val="0"/>
                <w:numId w:val="356"/>
              </w:numPr>
              <w:spacing w:after="60"/>
              <w:contextualSpacing/>
              <w:rPr>
                <w:rFonts w:eastAsia="Calibri" w:cs="Arial"/>
                <w:sz w:val="14"/>
                <w:szCs w:val="14"/>
                <w:lang w:eastAsia="en-US"/>
              </w:rPr>
            </w:pPr>
            <w:r>
              <w:rPr>
                <w:rFonts w:eastAsia="Calibri" w:cs="Arial"/>
                <w:sz w:val="14"/>
                <w:szCs w:val="14"/>
                <w:lang w:eastAsia="en-US"/>
              </w:rPr>
              <w:t>A minimum security of $2.5 million applies except for government entities (local councils and public universities) and former self-insurers. Government employers are exempt from the security requirements.</w:t>
            </w:r>
          </w:p>
          <w:p w14:paraId="6A300041" w14:textId="77777777" w:rsidR="00A759B3" w:rsidRDefault="00A759B3" w:rsidP="00F839DB">
            <w:pPr>
              <w:pStyle w:val="ListParagraph"/>
              <w:numPr>
                <w:ilvl w:val="0"/>
                <w:numId w:val="356"/>
              </w:numPr>
              <w:spacing w:after="60"/>
              <w:contextualSpacing/>
              <w:rPr>
                <w:rFonts w:eastAsia="Calibri" w:cs="Arial"/>
                <w:sz w:val="14"/>
                <w:szCs w:val="14"/>
                <w:lang w:eastAsia="en-US"/>
              </w:rPr>
            </w:pPr>
            <w:r w:rsidRPr="00A759B3">
              <w:rPr>
                <w:rFonts w:eastAsia="Calibri" w:cs="Arial"/>
                <w:sz w:val="14"/>
                <w:szCs w:val="14"/>
                <w:lang w:eastAsia="en-US"/>
              </w:rPr>
              <w:t>SIRA has discretion to seek additional security if it believes circumstances are warranted. For subsequent reviews</w:t>
            </w:r>
            <w:r w:rsidR="007F295B">
              <w:rPr>
                <w:rFonts w:eastAsia="Calibri" w:cs="Arial"/>
                <w:sz w:val="14"/>
                <w:szCs w:val="14"/>
                <w:lang w:eastAsia="en-US"/>
              </w:rPr>
              <w:t xml:space="preserve"> for self-insurers with a central estimate of outstanding claim liability &lt;$50 million —</w:t>
            </w:r>
            <w:r w:rsidRPr="00A759B3">
              <w:rPr>
                <w:rFonts w:eastAsia="Calibri" w:cs="Arial"/>
                <w:sz w:val="14"/>
                <w:szCs w:val="14"/>
                <w:lang w:eastAsia="en-US"/>
              </w:rPr>
              <w:t xml:space="preserve"> 150% of self-insurer liabilities including a prospective component for the 12 months post balance date.</w:t>
            </w:r>
            <w:r w:rsidR="007F295B">
              <w:rPr>
                <w:rFonts w:eastAsia="Calibri" w:cs="Arial"/>
                <w:sz w:val="14"/>
                <w:szCs w:val="14"/>
                <w:lang w:eastAsia="en-US"/>
              </w:rPr>
              <w:t xml:space="preserve"> The prudential margin does not apply to government entities.</w:t>
            </w:r>
          </w:p>
          <w:p w14:paraId="0B5F44CD" w14:textId="18FDD57E" w:rsidR="007F295B" w:rsidRPr="00A759B3" w:rsidRDefault="007F295B" w:rsidP="00F839DB">
            <w:pPr>
              <w:pStyle w:val="ListParagraph"/>
              <w:numPr>
                <w:ilvl w:val="0"/>
                <w:numId w:val="356"/>
              </w:numPr>
              <w:spacing w:after="60"/>
              <w:contextualSpacing/>
              <w:rPr>
                <w:rFonts w:eastAsia="Calibri" w:cs="Arial"/>
                <w:sz w:val="14"/>
                <w:szCs w:val="14"/>
                <w:lang w:eastAsia="en-US"/>
              </w:rPr>
            </w:pPr>
            <w:r>
              <w:rPr>
                <w:rFonts w:eastAsia="Calibri" w:cs="Arial"/>
                <w:sz w:val="14"/>
                <w:szCs w:val="14"/>
                <w:lang w:eastAsia="en-US"/>
              </w:rPr>
              <w:t xml:space="preserve">For self-insurers with a central estimate of outstanding claim liability </w:t>
            </w:r>
            <w:r>
              <w:rPr>
                <w:rFonts w:ascii="Courier New" w:eastAsia="Calibri" w:hAnsi="Courier New" w:cs="Courier New"/>
                <w:sz w:val="14"/>
                <w:szCs w:val="14"/>
                <w:lang w:eastAsia="en-US"/>
              </w:rPr>
              <w:t>≥</w:t>
            </w:r>
            <w:r>
              <w:rPr>
                <w:rFonts w:eastAsia="Calibri" w:cs="Arial"/>
                <w:sz w:val="14"/>
                <w:szCs w:val="14"/>
                <w:lang w:eastAsia="en-US"/>
              </w:rPr>
              <w:t>$50 million the security is to be determined as at the 95</w:t>
            </w:r>
            <w:r w:rsidRPr="007F295B">
              <w:rPr>
                <w:rFonts w:eastAsia="Calibri" w:cs="Arial"/>
                <w:sz w:val="14"/>
                <w:szCs w:val="14"/>
                <w:vertAlign w:val="superscript"/>
                <w:lang w:eastAsia="en-US"/>
              </w:rPr>
              <w:t>th</w:t>
            </w:r>
            <w:r>
              <w:rPr>
                <w:rFonts w:eastAsia="Calibri" w:cs="Arial"/>
                <w:sz w:val="14"/>
                <w:szCs w:val="14"/>
                <w:lang w:eastAsia="en-US"/>
              </w:rPr>
              <w:t xml:space="preserve"> percentile to achieve a 95 per cent probability of adequacy.</w:t>
            </w:r>
          </w:p>
        </w:tc>
        <w:tc>
          <w:tcPr>
            <w:tcW w:w="6836" w:type="dxa"/>
            <w:shd w:val="clear" w:color="auto" w:fill="FFC9C9"/>
            <w:tcMar>
              <w:top w:w="80" w:type="dxa"/>
              <w:left w:w="80" w:type="dxa"/>
              <w:bottom w:w="80" w:type="dxa"/>
              <w:right w:w="80" w:type="dxa"/>
            </w:tcMar>
          </w:tcPr>
          <w:p w14:paraId="60DF3168" w14:textId="6300BB65" w:rsidR="00CA3453" w:rsidRDefault="00CA3453" w:rsidP="00F839DB">
            <w:pPr>
              <w:pStyle w:val="Tabledotpointlist7pt"/>
              <w:numPr>
                <w:ilvl w:val="0"/>
                <w:numId w:val="356"/>
              </w:numPr>
              <w:spacing w:after="60"/>
            </w:pPr>
            <w:r>
              <w:t xml:space="preserve">A self-insurer must obtain and maintain unlimited reinsurance cover during the currency of the licence so as to restrict its liabilities under the </w:t>
            </w:r>
            <w:r w:rsidR="00C51C39" w:rsidRPr="00016069">
              <w:rPr>
                <w:i/>
              </w:rPr>
              <w:t>Workers Compensation Act 1987</w:t>
            </w:r>
            <w:r>
              <w:t xml:space="preserve"> and independently of the 1987 Act to a maximum amount approved by SIRA in respect of any one event. The reinsurance cover must be provided by an insurance company authorised by the Australian Prudential Regulation Authority.</w:t>
            </w:r>
          </w:p>
          <w:p w14:paraId="6D7740D0" w14:textId="2B8F9C1D" w:rsidR="00CA3453" w:rsidRDefault="00CA3453" w:rsidP="00F839DB">
            <w:pPr>
              <w:pStyle w:val="Tabledotpointlist7pt"/>
              <w:numPr>
                <w:ilvl w:val="0"/>
                <w:numId w:val="356"/>
              </w:numPr>
              <w:spacing w:after="60"/>
              <w:ind w:left="357" w:hanging="357"/>
            </w:pPr>
            <w:r>
              <w:t>A retention amount under the above policy or policies, provided that it is within the range of $100</w:t>
            </w:r>
            <w:r w:rsidR="00831290">
              <w:t>,</w:t>
            </w:r>
            <w:r>
              <w:t>000 to $</w:t>
            </w:r>
            <w:r w:rsidR="007F295B">
              <w:t>2,500,000</w:t>
            </w:r>
            <w:r>
              <w:t xml:space="preserve"> per event is acceptable to SIRA.</w:t>
            </w:r>
          </w:p>
          <w:p w14:paraId="12FE6A32" w14:textId="4F1146E8" w:rsidR="00A759B3" w:rsidRPr="008A55AB" w:rsidRDefault="00CA3453" w:rsidP="00F839DB">
            <w:pPr>
              <w:pStyle w:val="ListParagraph"/>
              <w:numPr>
                <w:ilvl w:val="0"/>
                <w:numId w:val="356"/>
              </w:numPr>
              <w:spacing w:after="60"/>
              <w:contextualSpacing/>
              <w:rPr>
                <w:rFonts w:eastAsia="Calibri" w:cs="Arial"/>
                <w:sz w:val="14"/>
                <w:szCs w:val="14"/>
                <w:lang w:eastAsia="en-US"/>
              </w:rPr>
            </w:pPr>
            <w:r w:rsidRPr="008A55AB">
              <w:rPr>
                <w:sz w:val="14"/>
                <w:szCs w:val="14"/>
              </w:rPr>
              <w:t>Retentions in excess of $</w:t>
            </w:r>
            <w:r w:rsidR="007F295B">
              <w:rPr>
                <w:sz w:val="14"/>
                <w:szCs w:val="14"/>
              </w:rPr>
              <w:t>2,500,000</w:t>
            </w:r>
            <w:r w:rsidRPr="008A55AB">
              <w:rPr>
                <w:sz w:val="14"/>
                <w:szCs w:val="14"/>
              </w:rPr>
              <w:t xml:space="preserve"> will require prior approval by SIRA. In such instances SIRA will require the self-insurer to undertake and provide an assessment of the likely cost of risk retention and the appropriateness of the level of retention sought as part of the approval process.</w:t>
            </w:r>
          </w:p>
        </w:tc>
      </w:tr>
      <w:tr w:rsidR="00A759B3" w:rsidRPr="00A759B3" w14:paraId="468DDD85" w14:textId="77777777" w:rsidTr="00831290">
        <w:tc>
          <w:tcPr>
            <w:tcW w:w="1343" w:type="dxa"/>
            <w:tcMar>
              <w:top w:w="80" w:type="dxa"/>
              <w:left w:w="80" w:type="dxa"/>
              <w:bottom w:w="80" w:type="dxa"/>
              <w:right w:w="80" w:type="dxa"/>
            </w:tcMar>
          </w:tcPr>
          <w:p w14:paraId="44A1EDCD" w14:textId="4E86A131"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Victoria</w:t>
            </w:r>
          </w:p>
        </w:tc>
        <w:tc>
          <w:tcPr>
            <w:tcW w:w="6836" w:type="dxa"/>
            <w:tcMar>
              <w:top w:w="80" w:type="dxa"/>
              <w:left w:w="80" w:type="dxa"/>
              <w:bottom w:w="80" w:type="dxa"/>
              <w:right w:w="80" w:type="dxa"/>
            </w:tcMar>
          </w:tcPr>
          <w:p w14:paraId="132CB5F4" w14:textId="21BBA06F" w:rsidR="006A05EA" w:rsidRPr="006A05EA" w:rsidRDefault="00A7538C" w:rsidP="00292A53">
            <w:pPr>
              <w:spacing w:after="60"/>
              <w:contextualSpacing/>
              <w:rPr>
                <w:rFonts w:cs="Arial"/>
                <w:color w:val="000000"/>
                <w:sz w:val="14"/>
                <w:szCs w:val="16"/>
                <w:lang w:val="en-GB"/>
              </w:rPr>
            </w:pPr>
            <w:hyperlink r:id="rId2051" w:history="1">
              <w:r w:rsidR="006A05EA" w:rsidRPr="00C51C39">
                <w:rPr>
                  <w:rStyle w:val="Hyperlink"/>
                  <w:rFonts w:cs="Arial"/>
                  <w:sz w:val="14"/>
                  <w:szCs w:val="16"/>
                  <w:lang w:val="en-GB"/>
                </w:rPr>
                <w:t>s393</w:t>
              </w:r>
            </w:hyperlink>
            <w:r w:rsidR="006A05EA" w:rsidRPr="006A05EA">
              <w:rPr>
                <w:rFonts w:cs="Arial"/>
                <w:color w:val="000000"/>
                <w:sz w:val="14"/>
                <w:szCs w:val="16"/>
                <w:lang w:val="en-GB"/>
              </w:rPr>
              <w:t xml:space="preserve"> — </w:t>
            </w:r>
            <w:r w:rsidR="00CF6A7F" w:rsidRPr="00016069">
              <w:rPr>
                <w:i/>
                <w:sz w:val="14"/>
              </w:rPr>
              <w:t>Workplace Injury Rehabilitation and Compensation Act 2013</w:t>
            </w:r>
          </w:p>
          <w:p w14:paraId="354D1B5F" w14:textId="41C32E76" w:rsidR="006A05EA" w:rsidRPr="006A05EA" w:rsidRDefault="006A05EA" w:rsidP="00F839DB">
            <w:pPr>
              <w:pStyle w:val="ListParagraph"/>
              <w:numPr>
                <w:ilvl w:val="0"/>
                <w:numId w:val="358"/>
              </w:numPr>
              <w:spacing w:after="60"/>
              <w:ind w:left="357" w:hanging="357"/>
              <w:contextualSpacing/>
              <w:rPr>
                <w:rFonts w:eastAsia="Calibri" w:cs="Arial"/>
                <w:sz w:val="14"/>
                <w:szCs w:val="14"/>
                <w:lang w:eastAsia="en-US"/>
              </w:rPr>
            </w:pPr>
            <w:r w:rsidRPr="006A05EA">
              <w:rPr>
                <w:rFonts w:eastAsia="Calibri" w:cs="Arial"/>
                <w:sz w:val="14"/>
                <w:szCs w:val="14"/>
                <w:lang w:eastAsia="en-US"/>
              </w:rPr>
              <w:t>A self-insurer must ensure that there is in force at all times a guarantee in respect of its assessed liability.</w:t>
            </w:r>
            <w:r w:rsidR="00DD0D68">
              <w:rPr>
                <w:rFonts w:eastAsia="Calibri" w:cs="Arial"/>
                <w:sz w:val="14"/>
                <w:szCs w:val="14"/>
                <w:lang w:eastAsia="en-US"/>
              </w:rPr>
              <w:t xml:space="preserve"> </w:t>
            </w:r>
            <w:r w:rsidRPr="006A05EA">
              <w:rPr>
                <w:rFonts w:eastAsia="Calibri" w:cs="Arial"/>
                <w:sz w:val="14"/>
                <w:szCs w:val="14"/>
                <w:lang w:eastAsia="en-US"/>
              </w:rPr>
              <w:t>The guarantee must :</w:t>
            </w:r>
          </w:p>
          <w:p w14:paraId="6A1FDB29" w14:textId="77777777" w:rsidR="006A05EA" w:rsidRPr="006A05EA" w:rsidRDefault="006A05EA" w:rsidP="00F839DB">
            <w:pPr>
              <w:pStyle w:val="ListParagraph"/>
              <w:numPr>
                <w:ilvl w:val="0"/>
                <w:numId w:val="359"/>
              </w:numPr>
              <w:spacing w:after="60"/>
              <w:contextualSpacing/>
              <w:rPr>
                <w:rFonts w:cs="Arial"/>
                <w:color w:val="000000"/>
                <w:sz w:val="14"/>
                <w:szCs w:val="16"/>
                <w:lang w:val="en-GB"/>
              </w:rPr>
            </w:pPr>
            <w:r w:rsidRPr="006A05EA">
              <w:rPr>
                <w:rFonts w:cs="Arial"/>
                <w:color w:val="000000"/>
                <w:sz w:val="14"/>
                <w:szCs w:val="16"/>
                <w:lang w:val="en-GB"/>
              </w:rPr>
              <w:t>be given by an Authorised Deposit-Taking Institution (ADI);</w:t>
            </w:r>
          </w:p>
          <w:p w14:paraId="632790F4" w14:textId="77777777" w:rsidR="006A05EA" w:rsidRPr="006A05EA" w:rsidRDefault="006A05EA" w:rsidP="00F839DB">
            <w:pPr>
              <w:pStyle w:val="ListParagraph"/>
              <w:numPr>
                <w:ilvl w:val="0"/>
                <w:numId w:val="359"/>
              </w:numPr>
              <w:spacing w:after="60"/>
              <w:contextualSpacing/>
              <w:rPr>
                <w:rFonts w:cs="Arial"/>
                <w:color w:val="000000"/>
                <w:sz w:val="14"/>
                <w:szCs w:val="16"/>
                <w:lang w:val="en-GB"/>
              </w:rPr>
            </w:pPr>
            <w:r w:rsidRPr="006A05EA">
              <w:rPr>
                <w:rFonts w:cs="Arial"/>
                <w:color w:val="000000"/>
                <w:sz w:val="14"/>
                <w:szCs w:val="16"/>
                <w:lang w:val="en-GB"/>
              </w:rPr>
              <w:t>be in a form approved by WorkSafe Victoria; and</w:t>
            </w:r>
          </w:p>
          <w:p w14:paraId="7FF0D167" w14:textId="77777777" w:rsidR="006A05EA" w:rsidRPr="006A05EA" w:rsidRDefault="006A05EA" w:rsidP="00F839DB">
            <w:pPr>
              <w:pStyle w:val="ListParagraph"/>
              <w:numPr>
                <w:ilvl w:val="0"/>
                <w:numId w:val="359"/>
              </w:numPr>
              <w:spacing w:after="60"/>
              <w:contextualSpacing/>
              <w:rPr>
                <w:rFonts w:cs="Arial"/>
                <w:color w:val="000000"/>
                <w:sz w:val="14"/>
                <w:szCs w:val="16"/>
                <w:lang w:val="en-GB"/>
              </w:rPr>
            </w:pPr>
            <w:r w:rsidRPr="006A05EA">
              <w:rPr>
                <w:rFonts w:cs="Arial"/>
                <w:color w:val="000000"/>
                <w:sz w:val="14"/>
                <w:szCs w:val="16"/>
                <w:lang w:val="en-GB"/>
              </w:rPr>
              <w:t>guarantee payment of amounts not less than 150% of the assessed liability or $3 million (whichever is greater).</w:t>
            </w:r>
          </w:p>
          <w:p w14:paraId="549E6AC8" w14:textId="77777777" w:rsidR="00A759B3" w:rsidRPr="006A05EA" w:rsidRDefault="006A05EA" w:rsidP="00F839DB">
            <w:pPr>
              <w:pStyle w:val="ListParagraph"/>
              <w:numPr>
                <w:ilvl w:val="0"/>
                <w:numId w:val="360"/>
              </w:numPr>
              <w:spacing w:after="60"/>
              <w:contextualSpacing/>
              <w:rPr>
                <w:rFonts w:eastAsia="Calibri" w:cs="Arial"/>
                <w:sz w:val="14"/>
                <w:szCs w:val="14"/>
                <w:lang w:eastAsia="en-US"/>
              </w:rPr>
            </w:pPr>
            <w:r w:rsidRPr="006A05EA">
              <w:rPr>
                <w:rFonts w:eastAsia="Calibri" w:cs="Arial"/>
                <w:sz w:val="14"/>
                <w:szCs w:val="14"/>
                <w:lang w:eastAsia="en-US"/>
              </w:rPr>
              <w:t>The valuation of the self-insurer’s assessed liability includes a prospective component which is included in the calculation of the quantum coverage of the guarantee.</w:t>
            </w:r>
          </w:p>
        </w:tc>
        <w:tc>
          <w:tcPr>
            <w:tcW w:w="6836" w:type="dxa"/>
            <w:tcMar>
              <w:top w:w="80" w:type="dxa"/>
              <w:left w:w="80" w:type="dxa"/>
              <w:bottom w:w="80" w:type="dxa"/>
              <w:right w:w="80" w:type="dxa"/>
            </w:tcMar>
          </w:tcPr>
          <w:p w14:paraId="5C7358FD" w14:textId="47BB8221" w:rsidR="00A759B3" w:rsidRPr="00A759B3" w:rsidRDefault="00A7538C" w:rsidP="00292A53">
            <w:pPr>
              <w:spacing w:after="60"/>
              <w:contextualSpacing/>
              <w:rPr>
                <w:rFonts w:cs="Arial"/>
                <w:color w:val="000000"/>
                <w:sz w:val="14"/>
                <w:szCs w:val="16"/>
                <w:lang w:val="en-GB"/>
              </w:rPr>
            </w:pPr>
            <w:hyperlink r:id="rId2052" w:history="1">
              <w:r w:rsidR="00A759B3" w:rsidRPr="00C51C39">
                <w:rPr>
                  <w:rStyle w:val="Hyperlink"/>
                  <w:rFonts w:cs="Arial"/>
                  <w:sz w:val="14"/>
                  <w:szCs w:val="16"/>
                  <w:lang w:val="en-GB"/>
                </w:rPr>
                <w:t>s380(3)</w:t>
              </w:r>
            </w:hyperlink>
            <w:r w:rsidR="00A759B3" w:rsidRPr="00A759B3">
              <w:rPr>
                <w:rFonts w:cs="Arial"/>
                <w:color w:val="000000"/>
                <w:sz w:val="14"/>
                <w:szCs w:val="16"/>
                <w:lang w:val="en-GB"/>
              </w:rPr>
              <w:t xml:space="preserve"> &amp; </w:t>
            </w:r>
            <w:hyperlink r:id="rId2053" w:history="1">
              <w:r w:rsidR="00A759B3" w:rsidRPr="00C51C39">
                <w:rPr>
                  <w:rStyle w:val="Hyperlink"/>
                  <w:rFonts w:cs="Arial"/>
                  <w:sz w:val="14"/>
                  <w:szCs w:val="16"/>
                  <w:lang w:val="en-GB"/>
                </w:rPr>
                <w:t>s393(1)(b)</w:t>
              </w:r>
            </w:hyperlink>
            <w:r w:rsidR="00A759B3" w:rsidRPr="00A759B3">
              <w:rPr>
                <w:rFonts w:cs="Arial"/>
                <w:color w:val="000000"/>
                <w:sz w:val="14"/>
                <w:szCs w:val="16"/>
                <w:lang w:val="en-GB"/>
              </w:rPr>
              <w:t xml:space="preserve"> — WIRC Act </w:t>
            </w:r>
          </w:p>
          <w:p w14:paraId="5029D60C" w14:textId="77777777" w:rsidR="00A759B3" w:rsidRPr="006A05EA" w:rsidRDefault="00A759B3" w:rsidP="00F839DB">
            <w:pPr>
              <w:pStyle w:val="ListParagraph"/>
              <w:numPr>
                <w:ilvl w:val="0"/>
                <w:numId w:val="357"/>
              </w:numPr>
              <w:spacing w:after="60"/>
              <w:contextualSpacing/>
              <w:rPr>
                <w:rFonts w:eastAsia="Calibri" w:cs="Arial"/>
                <w:sz w:val="14"/>
                <w:szCs w:val="14"/>
                <w:lang w:eastAsia="en-US"/>
              </w:rPr>
            </w:pPr>
            <w:r w:rsidRPr="006A05EA">
              <w:rPr>
                <w:rFonts w:eastAsia="Calibri" w:cs="Arial"/>
                <w:sz w:val="14"/>
                <w:szCs w:val="14"/>
                <w:lang w:eastAsia="en-US"/>
              </w:rPr>
              <w:t xml:space="preserve">A Ministerial Order sets out the terms and conditions to which the approval of an organisation as a self-insurer is subject. </w:t>
            </w:r>
          </w:p>
          <w:p w14:paraId="70057907" w14:textId="77777777" w:rsidR="00A759B3" w:rsidRPr="006A05EA" w:rsidRDefault="00A759B3" w:rsidP="00F839DB">
            <w:pPr>
              <w:pStyle w:val="ListParagraph"/>
              <w:numPr>
                <w:ilvl w:val="0"/>
                <w:numId w:val="357"/>
              </w:numPr>
              <w:spacing w:after="60"/>
              <w:contextualSpacing/>
              <w:rPr>
                <w:rFonts w:eastAsia="Calibri" w:cs="Arial"/>
                <w:sz w:val="14"/>
                <w:szCs w:val="14"/>
                <w:lang w:eastAsia="en-US"/>
              </w:rPr>
            </w:pPr>
            <w:r w:rsidRPr="006A05EA">
              <w:rPr>
                <w:rFonts w:eastAsia="Calibri" w:cs="Arial"/>
                <w:sz w:val="14"/>
                <w:szCs w:val="14"/>
                <w:lang w:eastAsia="en-US"/>
              </w:rPr>
              <w:t>The Ministerial Order covers the requirements that must be met for a contract of insurance in respect of contingent liabilities that a self-insurer must have in force at all times.</w:t>
            </w:r>
          </w:p>
          <w:p w14:paraId="1D00E640" w14:textId="77777777" w:rsidR="00A759B3" w:rsidRPr="006A05EA" w:rsidRDefault="00A759B3" w:rsidP="00F839DB">
            <w:pPr>
              <w:pStyle w:val="ListParagraph"/>
              <w:numPr>
                <w:ilvl w:val="0"/>
                <w:numId w:val="357"/>
              </w:numPr>
              <w:spacing w:after="60"/>
              <w:contextualSpacing/>
              <w:rPr>
                <w:rFonts w:eastAsia="Calibri" w:cs="Arial"/>
                <w:sz w:val="14"/>
                <w:szCs w:val="14"/>
                <w:lang w:eastAsia="en-US"/>
              </w:rPr>
            </w:pPr>
            <w:r w:rsidRPr="006A05EA">
              <w:rPr>
                <w:rFonts w:eastAsia="Calibri" w:cs="Arial"/>
                <w:sz w:val="14"/>
                <w:szCs w:val="14"/>
                <w:lang w:eastAsia="en-US"/>
              </w:rPr>
              <w:t>A self-insurer may select an excess for its contingent liability insurance policy of any amount not greater than $5 million. There is no minimum excess amount.</w:t>
            </w:r>
          </w:p>
        </w:tc>
      </w:tr>
      <w:tr w:rsidR="00A759B3" w:rsidRPr="00A759B3" w14:paraId="58CAEC2A" w14:textId="77777777" w:rsidTr="00831290">
        <w:tc>
          <w:tcPr>
            <w:tcW w:w="1343" w:type="dxa"/>
            <w:shd w:val="clear" w:color="auto" w:fill="FFC9C9"/>
            <w:tcMar>
              <w:top w:w="80" w:type="dxa"/>
              <w:left w:w="80" w:type="dxa"/>
              <w:bottom w:w="80" w:type="dxa"/>
              <w:right w:w="80" w:type="dxa"/>
            </w:tcMar>
          </w:tcPr>
          <w:p w14:paraId="4B7820F7"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Queensland</w:t>
            </w:r>
          </w:p>
        </w:tc>
        <w:tc>
          <w:tcPr>
            <w:tcW w:w="6836" w:type="dxa"/>
            <w:shd w:val="clear" w:color="auto" w:fill="FFC9C9"/>
            <w:tcMar>
              <w:top w:w="80" w:type="dxa"/>
              <w:left w:w="80" w:type="dxa"/>
              <w:bottom w:w="80" w:type="dxa"/>
              <w:right w:w="80" w:type="dxa"/>
            </w:tcMar>
          </w:tcPr>
          <w:p w14:paraId="5A9581EA" w14:textId="1310A1BE" w:rsidR="00A759B3" w:rsidRPr="00A759B3" w:rsidRDefault="00A7538C" w:rsidP="00292A53">
            <w:pPr>
              <w:spacing w:after="60"/>
              <w:contextualSpacing/>
              <w:rPr>
                <w:rFonts w:cs="Arial"/>
                <w:color w:val="000000"/>
                <w:sz w:val="14"/>
                <w:szCs w:val="16"/>
                <w:lang w:val="en-GB"/>
              </w:rPr>
            </w:pPr>
            <w:hyperlink r:id="rId2054" w:anchor="sec.84" w:history="1">
              <w:r w:rsidR="00164BA8" w:rsidRPr="005E2493">
                <w:rPr>
                  <w:rStyle w:val="Hyperlink"/>
                  <w:rFonts w:cs="Arial"/>
                  <w:sz w:val="14"/>
                  <w:szCs w:val="16"/>
                  <w:lang w:val="en-GB"/>
                </w:rPr>
                <w:t>s84</w:t>
              </w:r>
            </w:hyperlink>
            <w:r w:rsidR="00164BA8">
              <w:rPr>
                <w:rFonts w:cs="Arial"/>
                <w:color w:val="000000"/>
                <w:sz w:val="14"/>
                <w:szCs w:val="16"/>
                <w:lang w:val="en-GB"/>
              </w:rPr>
              <w:t xml:space="preserve"> </w:t>
            </w:r>
            <w:r w:rsidR="00A759B3" w:rsidRPr="00E43A0F">
              <w:rPr>
                <w:rFonts w:cs="Arial"/>
                <w:i/>
                <w:color w:val="000000"/>
                <w:sz w:val="14"/>
                <w:szCs w:val="16"/>
                <w:lang w:val="en-GB"/>
              </w:rPr>
              <w:t>Workers’ Compensation and Rehabilitation Act 2003</w:t>
            </w:r>
            <w:r w:rsidR="00A759B3" w:rsidRPr="00A759B3">
              <w:rPr>
                <w:rFonts w:cs="Arial"/>
                <w:color w:val="000000"/>
                <w:sz w:val="14"/>
                <w:szCs w:val="16"/>
                <w:lang w:val="en-GB"/>
              </w:rPr>
              <w:t xml:space="preserve"> — Provision of a security (an unconditional bank guarantee, cash deposit, or financial guarantee given by an insurance company that is an approved security provider), for an amount equivalent to 150% of the self-insurer’s estimated claims liability.</w:t>
            </w:r>
          </w:p>
        </w:tc>
        <w:tc>
          <w:tcPr>
            <w:tcW w:w="6836" w:type="dxa"/>
            <w:shd w:val="clear" w:color="auto" w:fill="FFC9C9"/>
            <w:tcMar>
              <w:top w:w="80" w:type="dxa"/>
              <w:left w:w="80" w:type="dxa"/>
              <w:bottom w:w="80" w:type="dxa"/>
              <w:right w:w="80" w:type="dxa"/>
            </w:tcMar>
          </w:tcPr>
          <w:p w14:paraId="34A5D436" w14:textId="4DE595C7" w:rsidR="00A759B3" w:rsidRPr="00A759B3" w:rsidRDefault="00A7538C" w:rsidP="00831290">
            <w:pPr>
              <w:spacing w:after="60"/>
              <w:contextualSpacing/>
              <w:rPr>
                <w:rFonts w:cs="Arial"/>
                <w:color w:val="000000"/>
                <w:sz w:val="14"/>
                <w:szCs w:val="16"/>
                <w:lang w:val="en-GB"/>
              </w:rPr>
            </w:pPr>
            <w:hyperlink r:id="rId2055" w:anchor="sec.86" w:history="1">
              <w:r w:rsidR="00164BA8" w:rsidRPr="005E2493">
                <w:rPr>
                  <w:rStyle w:val="Hyperlink"/>
                  <w:rFonts w:cs="Arial"/>
                  <w:sz w:val="14"/>
                  <w:szCs w:val="16"/>
                  <w:lang w:val="en-GB"/>
                </w:rPr>
                <w:t>s86</w:t>
              </w:r>
            </w:hyperlink>
            <w:r w:rsidR="00164BA8" w:rsidRPr="00A759B3">
              <w:rPr>
                <w:rFonts w:cs="Arial"/>
                <w:color w:val="000000"/>
                <w:sz w:val="14"/>
                <w:szCs w:val="16"/>
                <w:lang w:val="en-GB"/>
              </w:rPr>
              <w:t xml:space="preserve"> </w:t>
            </w:r>
            <w:r w:rsidR="00A759B3" w:rsidRPr="00E43A0F">
              <w:rPr>
                <w:rFonts w:cs="Arial"/>
                <w:i/>
                <w:color w:val="000000"/>
                <w:sz w:val="14"/>
                <w:szCs w:val="16"/>
                <w:lang w:val="en-GB"/>
              </w:rPr>
              <w:t>Workers’ Compensation and Rehabilitation Act 2003</w:t>
            </w:r>
            <w:r w:rsidR="00A759B3" w:rsidRPr="00A759B3">
              <w:rPr>
                <w:rFonts w:cs="Arial"/>
                <w:color w:val="000000"/>
                <w:sz w:val="14"/>
                <w:szCs w:val="16"/>
                <w:lang w:val="en-GB"/>
              </w:rPr>
              <w:t xml:space="preserve"> — Retention of reinsurance for an unlimited amount in excess of the self-insurer’s liability for each event that may happen during the period of reinsurance. The self-insurer’s liability must be not less than $300</w:t>
            </w:r>
            <w:r w:rsidR="00831290">
              <w:rPr>
                <w:rFonts w:cs="Arial"/>
                <w:color w:val="000000"/>
                <w:sz w:val="14"/>
                <w:szCs w:val="16"/>
                <w:lang w:val="en-GB"/>
              </w:rPr>
              <w:t>,</w:t>
            </w:r>
            <w:r w:rsidR="00A759B3" w:rsidRPr="00A759B3">
              <w:rPr>
                <w:rFonts w:cs="Arial"/>
                <w:color w:val="000000"/>
                <w:sz w:val="14"/>
                <w:szCs w:val="16"/>
                <w:lang w:val="en-GB"/>
              </w:rPr>
              <w:t>000 and not more than the limit set by the Regulator on application by the self-insurer.</w:t>
            </w:r>
          </w:p>
        </w:tc>
      </w:tr>
      <w:tr w:rsidR="00A759B3" w:rsidRPr="00A759B3" w14:paraId="647B719F" w14:textId="77777777" w:rsidTr="00831290">
        <w:tc>
          <w:tcPr>
            <w:tcW w:w="1343" w:type="dxa"/>
            <w:tcMar>
              <w:top w:w="80" w:type="dxa"/>
              <w:left w:w="80" w:type="dxa"/>
              <w:bottom w:w="80" w:type="dxa"/>
              <w:right w:w="80" w:type="dxa"/>
            </w:tcMar>
          </w:tcPr>
          <w:p w14:paraId="7BD2EB35"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Western Australia</w:t>
            </w:r>
          </w:p>
        </w:tc>
        <w:tc>
          <w:tcPr>
            <w:tcW w:w="6836" w:type="dxa"/>
            <w:tcMar>
              <w:top w:w="80" w:type="dxa"/>
              <w:left w:w="80" w:type="dxa"/>
              <w:bottom w:w="80" w:type="dxa"/>
              <w:right w:w="80" w:type="dxa"/>
            </w:tcMar>
          </w:tcPr>
          <w:p w14:paraId="65965C4B" w14:textId="77777777"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On 1 July 2013, changes to the minimum level of securities for self-insurers came into effect.</w:t>
            </w:r>
          </w:p>
          <w:p w14:paraId="545F95D1"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 xml:space="preserve">For current self-insurers: </w:t>
            </w:r>
          </w:p>
          <w:p w14:paraId="72035454" w14:textId="77777777" w:rsidR="00A759B3" w:rsidRPr="00A759B3" w:rsidRDefault="00A759B3" w:rsidP="00DF35F2">
            <w:pPr>
              <w:numPr>
                <w:ilvl w:val="0"/>
                <w:numId w:val="53"/>
              </w:numPr>
              <w:spacing w:after="60"/>
              <w:contextualSpacing/>
              <w:rPr>
                <w:rFonts w:cs="Arial"/>
                <w:color w:val="000000"/>
                <w:sz w:val="14"/>
                <w:szCs w:val="16"/>
                <w:lang w:val="en-GB"/>
              </w:rPr>
            </w:pPr>
            <w:r w:rsidRPr="00A759B3">
              <w:rPr>
                <w:rFonts w:cs="Arial"/>
                <w:color w:val="000000"/>
                <w:sz w:val="14"/>
                <w:szCs w:val="16"/>
                <w:lang w:val="en-GB"/>
              </w:rPr>
              <w:t>The minimum level of securities increases from $1 million to $1.5 million.</w:t>
            </w:r>
          </w:p>
          <w:p w14:paraId="04C71FD1" w14:textId="19937FED" w:rsidR="00A759B3" w:rsidRPr="00A759B3" w:rsidRDefault="00A759B3" w:rsidP="00DF35F2">
            <w:pPr>
              <w:numPr>
                <w:ilvl w:val="0"/>
                <w:numId w:val="53"/>
              </w:numPr>
              <w:spacing w:after="60"/>
              <w:ind w:left="357" w:hanging="357"/>
              <w:rPr>
                <w:rFonts w:cs="Arial"/>
                <w:color w:val="000000"/>
                <w:sz w:val="14"/>
                <w:szCs w:val="16"/>
                <w:lang w:val="en-GB"/>
              </w:rPr>
            </w:pPr>
            <w:r w:rsidRPr="00A759B3">
              <w:rPr>
                <w:rFonts w:cs="Arial"/>
                <w:color w:val="000000"/>
                <w:sz w:val="14"/>
                <w:szCs w:val="16"/>
                <w:lang w:val="en-GB"/>
              </w:rPr>
              <w:t>The level of outstanding</w:t>
            </w:r>
            <w:r w:rsidR="0035009B">
              <w:rPr>
                <w:rFonts w:cs="Arial"/>
                <w:color w:val="000000"/>
                <w:sz w:val="14"/>
                <w:szCs w:val="16"/>
                <w:lang w:val="en-GB"/>
              </w:rPr>
              <w:t xml:space="preserve"> claims liabilities plus the 50%</w:t>
            </w:r>
            <w:r w:rsidRPr="00A759B3">
              <w:rPr>
                <w:rFonts w:cs="Arial"/>
                <w:color w:val="000000"/>
                <w:sz w:val="14"/>
                <w:szCs w:val="16"/>
                <w:lang w:val="en-GB"/>
              </w:rPr>
              <w:t xml:space="preserve"> prudential margins is to be rounded up to the next $100</w:t>
            </w:r>
            <w:r w:rsidR="00831290">
              <w:rPr>
                <w:rFonts w:cs="Arial"/>
                <w:color w:val="000000"/>
                <w:sz w:val="14"/>
                <w:szCs w:val="16"/>
                <w:lang w:val="en-GB"/>
              </w:rPr>
              <w:t>,</w:t>
            </w:r>
            <w:r w:rsidRPr="00A759B3">
              <w:rPr>
                <w:rFonts w:cs="Arial"/>
                <w:color w:val="000000"/>
                <w:sz w:val="14"/>
                <w:szCs w:val="16"/>
                <w:lang w:val="en-GB"/>
              </w:rPr>
              <w:t>000.</w:t>
            </w:r>
          </w:p>
          <w:p w14:paraId="661C4DCB"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For new self-insurers:</w:t>
            </w:r>
          </w:p>
          <w:p w14:paraId="66E15FC7" w14:textId="77777777" w:rsidR="00A759B3" w:rsidRPr="00A759B3" w:rsidRDefault="00A759B3" w:rsidP="00DF35F2">
            <w:pPr>
              <w:numPr>
                <w:ilvl w:val="0"/>
                <w:numId w:val="52"/>
              </w:numPr>
              <w:spacing w:after="60"/>
              <w:contextualSpacing/>
              <w:rPr>
                <w:rFonts w:cs="Arial"/>
                <w:color w:val="000000"/>
                <w:sz w:val="14"/>
                <w:szCs w:val="16"/>
                <w:lang w:val="en-GB"/>
              </w:rPr>
            </w:pPr>
            <w:r w:rsidRPr="00A759B3">
              <w:rPr>
                <w:rFonts w:cs="Arial"/>
                <w:color w:val="000000"/>
                <w:sz w:val="14"/>
                <w:szCs w:val="16"/>
                <w:lang w:val="en-GB"/>
              </w:rPr>
              <w:t>The minimum level of securities is set at $2 million.</w:t>
            </w:r>
          </w:p>
          <w:p w14:paraId="6F2438DF" w14:textId="77777777" w:rsidR="00A759B3" w:rsidRPr="00A759B3" w:rsidRDefault="00A759B3" w:rsidP="00DF35F2">
            <w:pPr>
              <w:numPr>
                <w:ilvl w:val="0"/>
                <w:numId w:val="52"/>
              </w:numPr>
              <w:spacing w:after="60"/>
              <w:ind w:left="357" w:hanging="357"/>
              <w:rPr>
                <w:rFonts w:cs="Arial"/>
                <w:color w:val="000000"/>
                <w:sz w:val="14"/>
                <w:szCs w:val="16"/>
                <w:lang w:val="en-GB"/>
              </w:rPr>
            </w:pPr>
            <w:r w:rsidRPr="00A759B3">
              <w:rPr>
                <w:rFonts w:cs="Arial"/>
                <w:color w:val="000000"/>
                <w:sz w:val="14"/>
                <w:szCs w:val="16"/>
                <w:lang w:val="en-GB"/>
              </w:rPr>
              <w:t>Thereafter, the level of securities is to be determined as above.</w:t>
            </w:r>
          </w:p>
          <w:p w14:paraId="5BA6AC36" w14:textId="77777777" w:rsidR="00A759B3" w:rsidRPr="00A759B3" w:rsidRDefault="00A759B3" w:rsidP="00292A53">
            <w:pPr>
              <w:spacing w:after="60"/>
              <w:contextualSpacing/>
              <w:rPr>
                <w:rFonts w:eastAsia="Calibri" w:cs="Arial"/>
                <w:sz w:val="14"/>
                <w:szCs w:val="14"/>
                <w:lang w:eastAsia="en-US"/>
              </w:rPr>
            </w:pPr>
            <w:r w:rsidRPr="00A759B3">
              <w:rPr>
                <w:rFonts w:eastAsia="Calibri" w:cs="Arial"/>
                <w:sz w:val="14"/>
                <w:szCs w:val="14"/>
                <w:lang w:eastAsia="en-US"/>
              </w:rPr>
              <w:t>Actuarial assessments of outstanding claim liability are required on an annual basis and used to determine security amounts.</w:t>
            </w:r>
          </w:p>
        </w:tc>
        <w:tc>
          <w:tcPr>
            <w:tcW w:w="6836" w:type="dxa"/>
            <w:tcMar>
              <w:top w:w="80" w:type="dxa"/>
              <w:left w:w="80" w:type="dxa"/>
              <w:bottom w:w="80" w:type="dxa"/>
              <w:right w:w="80" w:type="dxa"/>
            </w:tcMar>
          </w:tcPr>
          <w:p w14:paraId="24296E5B" w14:textId="77777777"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Common law and catastrophe insurance policy for a minimum of $50 million for any one claim or series of claims arising out of one event.</w:t>
            </w:r>
          </w:p>
        </w:tc>
      </w:tr>
      <w:tr w:rsidR="00A759B3" w:rsidRPr="00A759B3" w14:paraId="7BDC0EA1" w14:textId="77777777" w:rsidTr="00831290">
        <w:tc>
          <w:tcPr>
            <w:tcW w:w="1343" w:type="dxa"/>
            <w:shd w:val="clear" w:color="auto" w:fill="FFC9C9"/>
            <w:tcMar>
              <w:top w:w="80" w:type="dxa"/>
              <w:left w:w="80" w:type="dxa"/>
              <w:bottom w:w="80" w:type="dxa"/>
              <w:right w:w="80" w:type="dxa"/>
            </w:tcMar>
          </w:tcPr>
          <w:p w14:paraId="6EC2D56C"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South Australia</w:t>
            </w:r>
          </w:p>
        </w:tc>
        <w:tc>
          <w:tcPr>
            <w:tcW w:w="6836" w:type="dxa"/>
            <w:shd w:val="clear" w:color="auto" w:fill="FFC9C9"/>
            <w:tcMar>
              <w:top w:w="80" w:type="dxa"/>
              <w:left w:w="80" w:type="dxa"/>
              <w:bottom w:w="80" w:type="dxa"/>
              <w:right w:w="80" w:type="dxa"/>
            </w:tcMar>
          </w:tcPr>
          <w:p w14:paraId="43828952" w14:textId="4A9F5494" w:rsidR="00A759B3" w:rsidRPr="001F5F0F" w:rsidRDefault="00A759B3" w:rsidP="00F839DB">
            <w:pPr>
              <w:pStyle w:val="ListParagraph"/>
              <w:numPr>
                <w:ilvl w:val="0"/>
                <w:numId w:val="361"/>
              </w:numPr>
              <w:spacing w:after="60"/>
              <w:contextualSpacing/>
              <w:rPr>
                <w:rFonts w:eastAsia="Calibri" w:cs="Arial"/>
                <w:sz w:val="14"/>
                <w:szCs w:val="14"/>
                <w:lang w:eastAsia="en-US"/>
              </w:rPr>
            </w:pPr>
            <w:r w:rsidRPr="001F5F0F">
              <w:rPr>
                <w:rFonts w:eastAsia="Calibri" w:cs="Arial"/>
                <w:sz w:val="14"/>
                <w:szCs w:val="14"/>
                <w:lang w:eastAsia="en-US"/>
              </w:rPr>
              <w:t>Outstanding liability multiplied by a prudential margin of 2. It is revised annually in accordance with an actuarial report the employer must submit within 3 months after the end of the financial year. Minimum guarantee applies 2016 — $840</w:t>
            </w:r>
            <w:r w:rsidR="00831290">
              <w:rPr>
                <w:rFonts w:eastAsia="Calibri" w:cs="Arial"/>
                <w:sz w:val="14"/>
                <w:szCs w:val="14"/>
                <w:lang w:eastAsia="en-US"/>
              </w:rPr>
              <w:t>,</w:t>
            </w:r>
            <w:r w:rsidRPr="001F5F0F">
              <w:rPr>
                <w:rFonts w:eastAsia="Calibri" w:cs="Arial"/>
                <w:sz w:val="14"/>
                <w:szCs w:val="14"/>
                <w:lang w:eastAsia="en-US"/>
              </w:rPr>
              <w:t xml:space="preserve">000. </w:t>
            </w:r>
          </w:p>
          <w:p w14:paraId="43695933" w14:textId="68A72362" w:rsidR="00A759B3" w:rsidRPr="00A759B3" w:rsidRDefault="00A759B3" w:rsidP="00F839DB">
            <w:pPr>
              <w:pStyle w:val="ListParagraph"/>
              <w:numPr>
                <w:ilvl w:val="0"/>
                <w:numId w:val="361"/>
              </w:numPr>
              <w:spacing w:after="60"/>
              <w:contextualSpacing/>
              <w:rPr>
                <w:rFonts w:cs="Arial"/>
                <w:color w:val="000000"/>
                <w:sz w:val="14"/>
                <w:szCs w:val="16"/>
                <w:lang w:val="en-GB"/>
              </w:rPr>
            </w:pPr>
            <w:r w:rsidRPr="00595C69">
              <w:rPr>
                <w:rFonts w:eastAsia="Calibri" w:cs="Arial"/>
                <w:sz w:val="14"/>
                <w:szCs w:val="14"/>
                <w:lang w:eastAsia="en-US"/>
              </w:rPr>
              <w:t>Refer</w:t>
            </w:r>
            <w:r w:rsidR="00AA4648">
              <w:rPr>
                <w:rFonts w:eastAsia="Calibri" w:cs="Arial"/>
                <w:sz w:val="14"/>
                <w:szCs w:val="14"/>
                <w:lang w:eastAsia="en-US"/>
              </w:rPr>
              <w:t xml:space="preserve"> to</w:t>
            </w:r>
            <w:r w:rsidRPr="00595C69">
              <w:rPr>
                <w:rFonts w:eastAsia="Calibri" w:cs="Arial"/>
                <w:sz w:val="14"/>
                <w:szCs w:val="14"/>
                <w:lang w:eastAsia="en-US"/>
              </w:rPr>
              <w:t xml:space="preserve"> </w:t>
            </w:r>
            <w:hyperlink r:id="rId2056" w:history="1">
              <w:r w:rsidRPr="00595C69">
                <w:rPr>
                  <w:rFonts w:eastAsia="Calibri" w:cs="Arial"/>
                  <w:color w:val="0000FF"/>
                  <w:sz w:val="14"/>
                  <w:szCs w:val="14"/>
                  <w:u w:val="single"/>
                  <w:lang w:eastAsia="en-US"/>
                </w:rPr>
                <w:t>Schedule 3</w:t>
              </w:r>
            </w:hyperlink>
            <w:r w:rsidRPr="00595C69">
              <w:rPr>
                <w:rFonts w:eastAsia="Calibri" w:cs="Arial"/>
                <w:sz w:val="14"/>
                <w:szCs w:val="14"/>
                <w:lang w:eastAsia="en-US"/>
              </w:rPr>
              <w:t xml:space="preserve"> — Return to Work Regulations 2015 and </w:t>
            </w:r>
            <w:hyperlink r:id="rId2057" w:history="1">
              <w:r w:rsidRPr="00A759B3">
                <w:rPr>
                  <w:rFonts w:eastAsia="Calibri" w:cs="Arial"/>
                  <w:color w:val="0000FF"/>
                  <w:sz w:val="14"/>
                  <w:szCs w:val="14"/>
                  <w:u w:val="single"/>
                  <w:lang w:eastAsia="en-US"/>
                </w:rPr>
                <w:t xml:space="preserve">Code of Conduct for </w:t>
              </w:r>
              <w:r w:rsidR="00E43A0F">
                <w:rPr>
                  <w:rFonts w:eastAsia="Calibri" w:cs="Arial"/>
                  <w:color w:val="0000FF"/>
                  <w:sz w:val="14"/>
                  <w:szCs w:val="14"/>
                  <w:u w:val="single"/>
                  <w:lang w:eastAsia="en-US"/>
                </w:rPr>
                <w:t>Self-insured</w:t>
              </w:r>
              <w:r w:rsidRPr="00A759B3">
                <w:rPr>
                  <w:rFonts w:eastAsia="Calibri" w:cs="Arial"/>
                  <w:color w:val="0000FF"/>
                  <w:sz w:val="14"/>
                  <w:szCs w:val="14"/>
                  <w:u w:val="single"/>
                  <w:lang w:eastAsia="en-US"/>
                </w:rPr>
                <w:t xml:space="preserve"> Employers</w:t>
              </w:r>
            </w:hyperlink>
            <w:r w:rsidR="003D2FCB">
              <w:rPr>
                <w:rFonts w:eastAsia="Calibri" w:cs="Arial"/>
                <w:color w:val="0000FF"/>
                <w:sz w:val="14"/>
                <w:szCs w:val="14"/>
                <w:u w:val="single"/>
                <w:lang w:eastAsia="en-US"/>
              </w:rPr>
              <w:t>.</w:t>
            </w:r>
          </w:p>
        </w:tc>
        <w:tc>
          <w:tcPr>
            <w:tcW w:w="6836" w:type="dxa"/>
            <w:shd w:val="clear" w:color="auto" w:fill="FFC9C9"/>
            <w:tcMar>
              <w:top w:w="80" w:type="dxa"/>
              <w:left w:w="80" w:type="dxa"/>
              <w:bottom w:w="80" w:type="dxa"/>
              <w:right w:w="80" w:type="dxa"/>
            </w:tcMar>
          </w:tcPr>
          <w:p w14:paraId="3B8FCA87" w14:textId="77777777" w:rsidR="00A759B3" w:rsidRPr="006C5923" w:rsidRDefault="00A759B3" w:rsidP="006C5923">
            <w:pPr>
              <w:spacing w:after="60"/>
              <w:contextualSpacing/>
              <w:rPr>
                <w:rFonts w:eastAsia="Calibri" w:cs="Arial"/>
                <w:sz w:val="14"/>
                <w:szCs w:val="14"/>
                <w:lang w:eastAsia="en-US"/>
              </w:rPr>
            </w:pPr>
            <w:r w:rsidRPr="006C5923">
              <w:rPr>
                <w:rFonts w:eastAsia="Calibri" w:cs="Arial"/>
                <w:sz w:val="14"/>
                <w:szCs w:val="14"/>
                <w:lang w:eastAsia="en-US"/>
              </w:rPr>
              <w:t>Self-insurers need to maintain an excess of loss insurance policy that must satisfy:</w:t>
            </w:r>
          </w:p>
          <w:p w14:paraId="16597516" w14:textId="77777777"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$100 million on the sum insured</w:t>
            </w:r>
          </w:p>
          <w:p w14:paraId="00ED90E2" w14:textId="5D7C956B"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a deductible of not less than $500</w:t>
            </w:r>
            <w:r w:rsidR="00831290">
              <w:rPr>
                <w:rFonts w:eastAsia="Calibri" w:cs="Arial"/>
                <w:sz w:val="14"/>
                <w:szCs w:val="14"/>
                <w:lang w:eastAsia="en-US"/>
              </w:rPr>
              <w:t>,</w:t>
            </w:r>
            <w:r w:rsidRPr="008031EA">
              <w:rPr>
                <w:rFonts w:eastAsia="Calibri" w:cs="Arial"/>
                <w:sz w:val="14"/>
                <w:szCs w:val="14"/>
                <w:lang w:eastAsia="en-US"/>
              </w:rPr>
              <w:t>000 per event or series of events, and</w:t>
            </w:r>
          </w:p>
          <w:p w14:paraId="34DBD0F2" w14:textId="77777777" w:rsidR="00A759B3" w:rsidRPr="008031EA" w:rsidRDefault="00A759B3" w:rsidP="00F839DB">
            <w:pPr>
              <w:pStyle w:val="ListParagraph"/>
              <w:numPr>
                <w:ilvl w:val="0"/>
                <w:numId w:val="362"/>
              </w:numPr>
              <w:spacing w:after="60"/>
              <w:ind w:left="357" w:hanging="357"/>
              <w:rPr>
                <w:rFonts w:eastAsia="Calibri" w:cs="Arial"/>
                <w:sz w:val="14"/>
                <w:szCs w:val="14"/>
                <w:lang w:eastAsia="en-US"/>
              </w:rPr>
            </w:pPr>
            <w:r w:rsidRPr="008031EA">
              <w:rPr>
                <w:rFonts w:eastAsia="Calibri" w:cs="Arial"/>
                <w:sz w:val="14"/>
                <w:szCs w:val="14"/>
                <w:lang w:eastAsia="en-US"/>
              </w:rPr>
              <w:t>if the self-insured employer elects to include a stop loss excess or aggregate excess, such stop loss or aggregate excess must not be less than the higher of:</w:t>
            </w:r>
          </w:p>
          <w:p w14:paraId="6FEB9925" w14:textId="77777777" w:rsidR="00A759B3" w:rsidRPr="0054021C" w:rsidRDefault="00A759B3" w:rsidP="00F839DB">
            <w:pPr>
              <w:pStyle w:val="ListParagraph"/>
              <w:numPr>
                <w:ilvl w:val="0"/>
                <w:numId w:val="467"/>
              </w:numPr>
              <w:spacing w:after="60"/>
              <w:contextualSpacing/>
              <w:rPr>
                <w:rFonts w:eastAsia="Calibri" w:cs="Arial"/>
                <w:sz w:val="14"/>
                <w:szCs w:val="14"/>
                <w:lang w:val="en-GB" w:eastAsia="en-US"/>
              </w:rPr>
            </w:pPr>
            <w:r w:rsidRPr="0054021C">
              <w:rPr>
                <w:rFonts w:eastAsia="Calibri" w:cs="Arial"/>
                <w:sz w:val="14"/>
                <w:szCs w:val="14"/>
                <w:lang w:val="en-GB" w:eastAsia="en-US"/>
              </w:rPr>
              <w:t>three times the individual incident excess, or</w:t>
            </w:r>
          </w:p>
          <w:p w14:paraId="3C5F25DA" w14:textId="77777777" w:rsidR="00A759B3" w:rsidRPr="0054021C" w:rsidRDefault="00A759B3" w:rsidP="00F839DB">
            <w:pPr>
              <w:pStyle w:val="ListParagraph"/>
              <w:numPr>
                <w:ilvl w:val="0"/>
                <w:numId w:val="467"/>
              </w:numPr>
              <w:spacing w:after="60"/>
              <w:ind w:left="357" w:hanging="357"/>
              <w:rPr>
                <w:rFonts w:eastAsia="Calibri" w:cs="Arial"/>
                <w:sz w:val="14"/>
                <w:szCs w:val="14"/>
                <w:lang w:val="en-GB" w:eastAsia="en-US"/>
              </w:rPr>
            </w:pPr>
            <w:r w:rsidRPr="0054021C">
              <w:rPr>
                <w:rFonts w:eastAsia="Calibri" w:cs="Arial"/>
                <w:sz w:val="14"/>
                <w:szCs w:val="14"/>
                <w:lang w:val="en-GB" w:eastAsia="en-US"/>
              </w:rPr>
              <w:t>10% above the average incurred claim cost for the prior 3 years.</w:t>
            </w:r>
          </w:p>
          <w:p w14:paraId="293BF2BD" w14:textId="6A9AE5C0"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 xml:space="preserve">Refer to </w:t>
            </w:r>
            <w:hyperlink r:id="rId2058" w:history="1">
              <w:r w:rsidR="00AA4648" w:rsidRPr="00595C69">
                <w:rPr>
                  <w:rFonts w:eastAsia="Calibri" w:cs="Arial"/>
                  <w:color w:val="0000FF"/>
                  <w:sz w:val="14"/>
                  <w:szCs w:val="14"/>
                  <w:u w:val="single"/>
                  <w:lang w:eastAsia="en-US"/>
                </w:rPr>
                <w:t>Schedule 3</w:t>
              </w:r>
            </w:hyperlink>
            <w:r w:rsidRPr="008031EA">
              <w:rPr>
                <w:rFonts w:eastAsia="Calibri" w:cs="Arial"/>
                <w:sz w:val="14"/>
                <w:szCs w:val="14"/>
                <w:lang w:eastAsia="en-US"/>
              </w:rPr>
              <w:t xml:space="preserve"> of the Return to Work Regulations 2015 and </w:t>
            </w:r>
            <w:hyperlink r:id="rId2059" w:history="1">
              <w:r w:rsidRPr="008031EA">
                <w:rPr>
                  <w:rFonts w:eastAsia="Calibri" w:cs="Arial"/>
                  <w:color w:val="0000FF"/>
                  <w:sz w:val="14"/>
                  <w:szCs w:val="14"/>
                  <w:u w:val="single"/>
                  <w:lang w:eastAsia="en-US"/>
                </w:rPr>
                <w:t xml:space="preserve">Code of Conduct for </w:t>
              </w:r>
              <w:r w:rsidR="00E43A0F">
                <w:rPr>
                  <w:rFonts w:eastAsia="Calibri" w:cs="Arial"/>
                  <w:color w:val="0000FF"/>
                  <w:sz w:val="14"/>
                  <w:szCs w:val="14"/>
                  <w:u w:val="single"/>
                  <w:lang w:eastAsia="en-US"/>
                </w:rPr>
                <w:t>Self-insured</w:t>
              </w:r>
              <w:r w:rsidRPr="008031EA">
                <w:rPr>
                  <w:rFonts w:eastAsia="Calibri" w:cs="Arial"/>
                  <w:color w:val="0000FF"/>
                  <w:sz w:val="14"/>
                  <w:szCs w:val="14"/>
                  <w:u w:val="single"/>
                  <w:lang w:eastAsia="en-US"/>
                </w:rPr>
                <w:t xml:space="preserve"> </w:t>
              </w:r>
              <w:r w:rsidRPr="008031EA">
                <w:rPr>
                  <w:rFonts w:eastAsia="Calibri" w:cs="Arial"/>
                  <w:color w:val="0000FF"/>
                  <w:sz w:val="14"/>
                  <w:szCs w:val="14"/>
                  <w:u w:val="single"/>
                  <w:lang w:eastAsia="en-US"/>
                </w:rPr>
                <w:lastRenderedPageBreak/>
                <w:t>Employers</w:t>
              </w:r>
            </w:hyperlink>
            <w:r w:rsidR="003D2FCB">
              <w:rPr>
                <w:rFonts w:eastAsia="Calibri" w:cs="Arial"/>
                <w:color w:val="0000FF"/>
                <w:sz w:val="14"/>
                <w:szCs w:val="14"/>
                <w:u w:val="single"/>
                <w:lang w:eastAsia="en-US"/>
              </w:rPr>
              <w:t>.</w:t>
            </w:r>
          </w:p>
        </w:tc>
      </w:tr>
      <w:tr w:rsidR="00A759B3" w:rsidRPr="00A759B3" w14:paraId="3EEE6A91" w14:textId="77777777" w:rsidTr="00831290">
        <w:tc>
          <w:tcPr>
            <w:tcW w:w="1343" w:type="dxa"/>
            <w:tcMar>
              <w:top w:w="80" w:type="dxa"/>
              <w:left w:w="80" w:type="dxa"/>
              <w:bottom w:w="80" w:type="dxa"/>
              <w:right w:w="80" w:type="dxa"/>
            </w:tcMar>
          </w:tcPr>
          <w:p w14:paraId="442A2BC0"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lastRenderedPageBreak/>
              <w:t>Tasmania</w:t>
            </w:r>
          </w:p>
        </w:tc>
        <w:tc>
          <w:tcPr>
            <w:tcW w:w="6836" w:type="dxa"/>
            <w:tcMar>
              <w:top w:w="80" w:type="dxa"/>
              <w:left w:w="80" w:type="dxa"/>
              <w:bottom w:w="80" w:type="dxa"/>
              <w:right w:w="80" w:type="dxa"/>
            </w:tcMar>
          </w:tcPr>
          <w:p w14:paraId="20DD48EE" w14:textId="77777777"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For self-insurers with less than 3 years experience:</w:t>
            </w:r>
          </w:p>
          <w:p w14:paraId="6443A6AE" w14:textId="77777777" w:rsidR="00A759B3" w:rsidRPr="008031EA" w:rsidRDefault="00A759B3" w:rsidP="00F839DB">
            <w:pPr>
              <w:pStyle w:val="ListParagraph"/>
              <w:numPr>
                <w:ilvl w:val="0"/>
                <w:numId w:val="362"/>
              </w:numPr>
              <w:spacing w:after="60"/>
              <w:ind w:left="357" w:hanging="357"/>
              <w:rPr>
                <w:rFonts w:eastAsia="Calibri" w:cs="Arial"/>
                <w:sz w:val="14"/>
                <w:szCs w:val="14"/>
                <w:lang w:eastAsia="en-US"/>
              </w:rPr>
            </w:pPr>
            <w:r w:rsidRPr="008031EA">
              <w:rPr>
                <w:rFonts w:eastAsia="Calibri" w:cs="Arial"/>
                <w:sz w:val="14"/>
                <w:szCs w:val="14"/>
                <w:lang w:eastAsia="en-US"/>
              </w:rPr>
              <w:t>Bank guarantee equal to:</w:t>
            </w:r>
          </w:p>
          <w:p w14:paraId="125E4159" w14:textId="77777777"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r w:rsidRPr="008031EA">
              <w:rPr>
                <w:rFonts w:cs="Arial"/>
                <w:color w:val="000000"/>
                <w:sz w:val="14"/>
                <w:szCs w:val="16"/>
                <w:lang w:val="en-GB"/>
              </w:rPr>
              <w:t>Yr 1: Notional Premium x 100%</w:t>
            </w:r>
          </w:p>
          <w:p w14:paraId="44FDA888" w14:textId="77777777"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r w:rsidRPr="008031EA">
              <w:rPr>
                <w:rFonts w:cs="Arial"/>
                <w:color w:val="000000"/>
                <w:sz w:val="14"/>
                <w:szCs w:val="16"/>
                <w:lang w:val="en-GB"/>
              </w:rPr>
              <w:t>Yr 2: Notional Premium x 140%</w:t>
            </w:r>
          </w:p>
          <w:p w14:paraId="523741E5" w14:textId="77777777"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r w:rsidRPr="008031EA">
              <w:rPr>
                <w:rFonts w:cs="Arial"/>
                <w:color w:val="000000"/>
                <w:sz w:val="14"/>
                <w:szCs w:val="16"/>
                <w:lang w:val="en-GB"/>
              </w:rPr>
              <w:t>Yr 3: Notional Premium x 180%</w:t>
            </w:r>
          </w:p>
          <w:p w14:paraId="2CE7DBE3" w14:textId="77777777"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r w:rsidRPr="008031EA">
              <w:rPr>
                <w:rFonts w:cs="Arial"/>
                <w:color w:val="000000"/>
                <w:sz w:val="14"/>
                <w:szCs w:val="16"/>
                <w:lang w:val="en-GB"/>
              </w:rPr>
              <w:t>Plus the greater of</w:t>
            </w:r>
            <w:r w:rsidRPr="008031EA" w:rsidDel="005E6713">
              <w:rPr>
                <w:rFonts w:cs="Arial"/>
                <w:color w:val="000000"/>
                <w:sz w:val="14"/>
                <w:szCs w:val="16"/>
                <w:lang w:val="en-GB"/>
              </w:rPr>
              <w:t xml:space="preserve"> </w:t>
            </w:r>
            <w:r w:rsidRPr="008031EA">
              <w:rPr>
                <w:rFonts w:cs="Arial"/>
                <w:color w:val="000000"/>
                <w:sz w:val="14"/>
                <w:szCs w:val="16"/>
                <w:lang w:val="en-GB"/>
              </w:rPr>
              <w:t>30% of the adjusted notional premium, or</w:t>
            </w:r>
          </w:p>
          <w:p w14:paraId="55EB6A4E" w14:textId="77777777"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r w:rsidRPr="008031EA">
              <w:rPr>
                <w:rFonts w:cs="Arial"/>
                <w:color w:val="000000"/>
                <w:sz w:val="14"/>
                <w:szCs w:val="16"/>
                <w:lang w:val="en-GB"/>
              </w:rPr>
              <w:t>the amount of excess to be paid (per event retention), or</w:t>
            </w:r>
          </w:p>
          <w:p w14:paraId="435A202E" w14:textId="0F7D1A0B"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r w:rsidRPr="008031EA">
              <w:rPr>
                <w:rFonts w:cs="Arial"/>
                <w:color w:val="000000"/>
                <w:sz w:val="14"/>
                <w:szCs w:val="16"/>
                <w:lang w:val="en-GB"/>
              </w:rPr>
              <w:t>$500</w:t>
            </w:r>
            <w:r w:rsidR="00831290">
              <w:rPr>
                <w:rFonts w:cs="Arial"/>
                <w:color w:val="000000"/>
                <w:sz w:val="14"/>
                <w:szCs w:val="16"/>
                <w:lang w:val="en-GB"/>
              </w:rPr>
              <w:t>,</w:t>
            </w:r>
            <w:r w:rsidRPr="008031EA">
              <w:rPr>
                <w:rFonts w:cs="Arial"/>
                <w:color w:val="000000"/>
                <w:sz w:val="14"/>
                <w:szCs w:val="16"/>
                <w:lang w:val="en-GB"/>
              </w:rPr>
              <w:t xml:space="preserve">000. </w:t>
            </w:r>
          </w:p>
          <w:p w14:paraId="7391697D" w14:textId="77777777" w:rsidR="00A759B3" w:rsidRPr="006C5923" w:rsidRDefault="00A759B3" w:rsidP="006C5923">
            <w:pPr>
              <w:spacing w:after="60"/>
              <w:rPr>
                <w:rFonts w:cs="Arial"/>
                <w:color w:val="000000"/>
                <w:sz w:val="14"/>
                <w:szCs w:val="16"/>
                <w:lang w:val="en-GB"/>
              </w:rPr>
            </w:pPr>
            <w:r w:rsidRPr="006C5923">
              <w:rPr>
                <w:rFonts w:cs="Arial"/>
                <w:color w:val="000000"/>
                <w:sz w:val="14"/>
                <w:szCs w:val="16"/>
                <w:lang w:val="en-GB"/>
              </w:rPr>
              <w:t>For self-insurers with more than 3 years experience:</w:t>
            </w:r>
          </w:p>
          <w:p w14:paraId="2C88C604" w14:textId="77777777"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Minimum of 150% of central estimate of outstanding claims liabilities or $1m whichever is greater.</w:t>
            </w:r>
          </w:p>
          <w:p w14:paraId="1621469F" w14:textId="0E3B964D" w:rsidR="00A759B3" w:rsidRPr="00A759B3" w:rsidRDefault="00A7538C" w:rsidP="00292A53">
            <w:pPr>
              <w:spacing w:after="60"/>
              <w:contextualSpacing/>
              <w:rPr>
                <w:rFonts w:cs="Arial"/>
                <w:color w:val="000000"/>
                <w:sz w:val="14"/>
                <w:szCs w:val="16"/>
                <w:lang w:val="en-GB"/>
              </w:rPr>
            </w:pPr>
            <w:hyperlink r:id="rId2060" w:history="1">
              <w:r w:rsidR="0084023A">
                <w:rPr>
                  <w:rFonts w:cs="Arial"/>
                  <w:color w:val="0000FF"/>
                  <w:sz w:val="14"/>
                  <w:szCs w:val="16"/>
                  <w:u w:val="single"/>
                  <w:lang w:val="en-GB"/>
                </w:rPr>
                <w:t>Providing a financial undertaking</w:t>
              </w:r>
            </w:hyperlink>
          </w:p>
          <w:p w14:paraId="159EF9F6" w14:textId="7B2F6265" w:rsidR="00A759B3" w:rsidRPr="00A759B3" w:rsidRDefault="00A7538C" w:rsidP="00292A53">
            <w:pPr>
              <w:spacing w:after="60"/>
              <w:contextualSpacing/>
              <w:rPr>
                <w:rFonts w:cs="Arial"/>
                <w:color w:val="000000"/>
                <w:sz w:val="14"/>
                <w:szCs w:val="16"/>
                <w:lang w:val="en-GB"/>
              </w:rPr>
            </w:pPr>
            <w:hyperlink r:id="rId2061" w:history="1">
              <w:r w:rsidR="0084023A">
                <w:rPr>
                  <w:rFonts w:cs="Arial"/>
                  <w:color w:val="0000FF"/>
                  <w:sz w:val="14"/>
                  <w:szCs w:val="16"/>
                  <w:u w:val="single"/>
                  <w:lang w:val="en-GB"/>
                </w:rPr>
                <w:t>How the Financial Undertaking is determined</w:t>
              </w:r>
            </w:hyperlink>
            <w:r w:rsidR="003D2FCB">
              <w:rPr>
                <w:rFonts w:cs="Arial"/>
                <w:color w:val="0000FF"/>
                <w:sz w:val="14"/>
                <w:szCs w:val="16"/>
                <w:u w:val="single"/>
                <w:lang w:val="en-GB"/>
              </w:rPr>
              <w:t>.</w:t>
            </w:r>
          </w:p>
        </w:tc>
        <w:tc>
          <w:tcPr>
            <w:tcW w:w="6836" w:type="dxa"/>
            <w:tcMar>
              <w:top w:w="80" w:type="dxa"/>
              <w:left w:w="80" w:type="dxa"/>
              <w:bottom w:w="80" w:type="dxa"/>
              <w:right w:w="80" w:type="dxa"/>
            </w:tcMar>
          </w:tcPr>
          <w:p w14:paraId="778831E1" w14:textId="2F02E640"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 xml:space="preserve">Excess of loss policy for a minimum amount of $50 million and an irrevocable power of attorney over the policy — </w:t>
            </w:r>
            <w:hyperlink r:id="rId2062" w:history="1">
              <w:r w:rsidR="0084023A">
                <w:rPr>
                  <w:rFonts w:cs="Arial"/>
                  <w:color w:val="0000FF"/>
                  <w:sz w:val="14"/>
                  <w:szCs w:val="16"/>
                  <w:u w:val="single"/>
                  <w:lang w:val="en-GB"/>
                </w:rPr>
                <w:t>Securing an Excess of Loss Policy</w:t>
              </w:r>
            </w:hyperlink>
            <w:r w:rsidR="003D2FCB">
              <w:rPr>
                <w:rFonts w:cs="Arial"/>
                <w:color w:val="0000FF"/>
                <w:sz w:val="14"/>
                <w:szCs w:val="16"/>
                <w:u w:val="single"/>
                <w:lang w:val="en-GB"/>
              </w:rPr>
              <w:t>.</w:t>
            </w:r>
          </w:p>
        </w:tc>
      </w:tr>
      <w:tr w:rsidR="00A759B3" w:rsidRPr="00A759B3" w14:paraId="0D4FFCC5" w14:textId="77777777" w:rsidTr="00831290">
        <w:tc>
          <w:tcPr>
            <w:tcW w:w="1343" w:type="dxa"/>
            <w:shd w:val="clear" w:color="auto" w:fill="FFC9C9"/>
            <w:tcMar>
              <w:top w:w="80" w:type="dxa"/>
              <w:left w:w="80" w:type="dxa"/>
              <w:bottom w:w="80" w:type="dxa"/>
              <w:right w:w="80" w:type="dxa"/>
            </w:tcMar>
          </w:tcPr>
          <w:p w14:paraId="5B7B10D2"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Northern Territory</w:t>
            </w:r>
          </w:p>
        </w:tc>
        <w:tc>
          <w:tcPr>
            <w:tcW w:w="6836" w:type="dxa"/>
            <w:shd w:val="clear" w:color="auto" w:fill="FFC9C9"/>
            <w:tcMar>
              <w:top w:w="80" w:type="dxa"/>
              <w:left w:w="80" w:type="dxa"/>
              <w:bottom w:w="80" w:type="dxa"/>
              <w:right w:w="80" w:type="dxa"/>
            </w:tcMar>
          </w:tcPr>
          <w:p w14:paraId="1B412175" w14:textId="13EA307C"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150% of self-insurer liabilities on application</w:t>
            </w:r>
            <w:r w:rsidR="007E70AF">
              <w:rPr>
                <w:rFonts w:cs="Arial"/>
                <w:color w:val="000000"/>
                <w:sz w:val="14"/>
                <w:szCs w:val="16"/>
                <w:lang w:val="en-GB"/>
              </w:rPr>
              <w:t xml:space="preserve"> and as assessed at each review</w:t>
            </w:r>
          </w:p>
        </w:tc>
        <w:tc>
          <w:tcPr>
            <w:tcW w:w="6836" w:type="dxa"/>
            <w:shd w:val="clear" w:color="auto" w:fill="FFC9C9"/>
            <w:tcMar>
              <w:top w:w="80" w:type="dxa"/>
              <w:left w:w="80" w:type="dxa"/>
              <w:bottom w:w="80" w:type="dxa"/>
              <w:right w:w="80" w:type="dxa"/>
            </w:tcMar>
          </w:tcPr>
          <w:p w14:paraId="2CAD3ED3" w14:textId="3B0C829B"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Catastrophe Reinsurance of an unlimited amount excess of $1</w:t>
            </w:r>
            <w:r w:rsidR="006C5923">
              <w:rPr>
                <w:rFonts w:cs="Arial"/>
                <w:color w:val="000000"/>
                <w:sz w:val="14"/>
                <w:szCs w:val="16"/>
                <w:lang w:val="en-GB"/>
              </w:rPr>
              <w:t xml:space="preserve"> </w:t>
            </w:r>
            <w:r w:rsidRPr="00A759B3">
              <w:rPr>
                <w:rFonts w:cs="Arial"/>
                <w:color w:val="000000"/>
                <w:sz w:val="14"/>
                <w:szCs w:val="16"/>
                <w:lang w:val="en-GB"/>
              </w:rPr>
              <w:t>m</w:t>
            </w:r>
            <w:r w:rsidR="006C5923">
              <w:rPr>
                <w:rFonts w:cs="Arial"/>
                <w:color w:val="000000"/>
                <w:sz w:val="14"/>
                <w:szCs w:val="16"/>
                <w:lang w:val="en-GB"/>
              </w:rPr>
              <w:t>illion</w:t>
            </w:r>
          </w:p>
        </w:tc>
      </w:tr>
      <w:tr w:rsidR="00A759B3" w:rsidRPr="00A759B3" w14:paraId="0801FF14" w14:textId="77777777" w:rsidTr="00831290">
        <w:tc>
          <w:tcPr>
            <w:tcW w:w="1343" w:type="dxa"/>
            <w:tcMar>
              <w:top w:w="80" w:type="dxa"/>
              <w:left w:w="80" w:type="dxa"/>
              <w:bottom w:w="80" w:type="dxa"/>
              <w:right w:w="80" w:type="dxa"/>
            </w:tcMar>
          </w:tcPr>
          <w:p w14:paraId="50A0DC6B"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Australian Capital Territory</w:t>
            </w:r>
          </w:p>
        </w:tc>
        <w:tc>
          <w:tcPr>
            <w:tcW w:w="6836" w:type="dxa"/>
            <w:tcMar>
              <w:top w:w="80" w:type="dxa"/>
              <w:left w:w="80" w:type="dxa"/>
              <w:bottom w:w="80" w:type="dxa"/>
              <w:right w:w="80" w:type="dxa"/>
            </w:tcMar>
          </w:tcPr>
          <w:p w14:paraId="4634E051"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Guarantee from an authorised deposit-taking institution for the greater amount of:</w:t>
            </w:r>
          </w:p>
          <w:p w14:paraId="758E6F65" w14:textId="4D5CC840"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$750</w:t>
            </w:r>
            <w:r w:rsidR="00831290">
              <w:rPr>
                <w:rFonts w:eastAsia="Calibri" w:cs="Arial"/>
                <w:sz w:val="14"/>
                <w:szCs w:val="14"/>
                <w:lang w:eastAsia="en-US"/>
              </w:rPr>
              <w:t>,</w:t>
            </w:r>
            <w:r w:rsidRPr="008031EA">
              <w:rPr>
                <w:rFonts w:eastAsia="Calibri" w:cs="Arial"/>
                <w:sz w:val="14"/>
                <w:szCs w:val="14"/>
                <w:lang w:eastAsia="en-US"/>
              </w:rPr>
              <w:t>000, or</w:t>
            </w:r>
          </w:p>
          <w:p w14:paraId="74546C13" w14:textId="77777777"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an amount calculated by an actuary to be the estimate of outstanding claims liability at the balance date, plus a prudential margin of 30%.</w:t>
            </w:r>
          </w:p>
        </w:tc>
        <w:tc>
          <w:tcPr>
            <w:tcW w:w="6836" w:type="dxa"/>
            <w:tcMar>
              <w:top w:w="80" w:type="dxa"/>
              <w:left w:w="80" w:type="dxa"/>
              <w:bottom w:w="80" w:type="dxa"/>
              <w:right w:w="80" w:type="dxa"/>
            </w:tcMar>
          </w:tcPr>
          <w:p w14:paraId="65C314CE" w14:textId="7B7B1830"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The application must provide evidence that the employer has reinsurance of $500</w:t>
            </w:r>
            <w:r w:rsidR="00831290">
              <w:rPr>
                <w:rFonts w:cs="Arial"/>
                <w:color w:val="000000"/>
                <w:sz w:val="14"/>
                <w:szCs w:val="16"/>
                <w:lang w:val="en-GB"/>
              </w:rPr>
              <w:t>,</w:t>
            </w:r>
            <w:r w:rsidRPr="00A759B3">
              <w:rPr>
                <w:rFonts w:cs="Arial"/>
                <w:color w:val="000000"/>
                <w:sz w:val="14"/>
                <w:szCs w:val="16"/>
                <w:lang w:val="en-GB"/>
              </w:rPr>
              <w:t>000 (CPI indexed) for a single event to cover the employer’s future liability under the Act.</w:t>
            </w:r>
          </w:p>
        </w:tc>
      </w:tr>
      <w:tr w:rsidR="00831290" w:rsidRPr="00A759B3" w14:paraId="4C148300" w14:textId="77777777" w:rsidTr="00831290">
        <w:tc>
          <w:tcPr>
            <w:tcW w:w="1343" w:type="dxa"/>
            <w:shd w:val="clear" w:color="auto" w:fill="FFC9C9"/>
            <w:tcMar>
              <w:top w:w="80" w:type="dxa"/>
              <w:left w:w="80" w:type="dxa"/>
              <w:bottom w:w="80" w:type="dxa"/>
              <w:right w:w="80" w:type="dxa"/>
            </w:tcMar>
          </w:tcPr>
          <w:p w14:paraId="46DA084A" w14:textId="17C8E0C2" w:rsidR="00831290" w:rsidRPr="00A759B3" w:rsidRDefault="00831290" w:rsidP="00292A53">
            <w:pPr>
              <w:spacing w:after="60"/>
              <w:rPr>
                <w:rFonts w:eastAsia="Calibri" w:cs="Arial"/>
                <w:b/>
                <w:sz w:val="16"/>
                <w:szCs w:val="16"/>
                <w:lang w:eastAsia="en-US"/>
              </w:rPr>
            </w:pPr>
            <w:r w:rsidRPr="00A759B3">
              <w:rPr>
                <w:rFonts w:eastAsia="Calibri" w:cs="Arial"/>
                <w:b/>
                <w:sz w:val="16"/>
                <w:szCs w:val="16"/>
                <w:lang w:eastAsia="en-US"/>
              </w:rPr>
              <w:t>C’wealth Comcare</w:t>
            </w:r>
          </w:p>
        </w:tc>
        <w:tc>
          <w:tcPr>
            <w:tcW w:w="6836" w:type="dxa"/>
            <w:shd w:val="clear" w:color="auto" w:fill="FFC9C9"/>
            <w:tcMar>
              <w:top w:w="80" w:type="dxa"/>
              <w:left w:w="80" w:type="dxa"/>
              <w:bottom w:w="80" w:type="dxa"/>
              <w:right w:w="80" w:type="dxa"/>
            </w:tcMar>
          </w:tcPr>
          <w:p w14:paraId="339DD647" w14:textId="77777777" w:rsidR="00831290" w:rsidRPr="008031EA" w:rsidRDefault="00831290" w:rsidP="00F839DB">
            <w:pPr>
              <w:pStyle w:val="ListParagraph"/>
              <w:numPr>
                <w:ilvl w:val="0"/>
                <w:numId w:val="364"/>
              </w:numPr>
              <w:spacing w:after="60"/>
              <w:contextualSpacing/>
              <w:rPr>
                <w:rFonts w:eastAsia="Calibri" w:cs="Arial"/>
                <w:sz w:val="14"/>
                <w:szCs w:val="14"/>
                <w:lang w:eastAsia="en-US"/>
              </w:rPr>
            </w:pPr>
            <w:r w:rsidRPr="008031EA">
              <w:rPr>
                <w:rFonts w:eastAsia="Calibri" w:cs="Arial"/>
                <w:sz w:val="14"/>
                <w:szCs w:val="14"/>
                <w:lang w:eastAsia="en-US"/>
              </w:rPr>
              <w:t xml:space="preserve">Deed between the Commission, Comcare and a bank or insurer for an amount that can be called upon by the Commission in the event a </w:t>
            </w:r>
            <w:r>
              <w:rPr>
                <w:rFonts w:eastAsia="Calibri" w:cs="Arial"/>
                <w:sz w:val="14"/>
                <w:szCs w:val="14"/>
                <w:lang w:eastAsia="en-US"/>
              </w:rPr>
              <w:t>self-insurance</w:t>
            </w:r>
            <w:r w:rsidRPr="008031EA">
              <w:rPr>
                <w:rFonts w:eastAsia="Calibri" w:cs="Arial"/>
                <w:sz w:val="14"/>
                <w:szCs w:val="14"/>
                <w:lang w:eastAsia="en-US"/>
              </w:rPr>
              <w:t xml:space="preserve"> licence is suspended or revoked.</w:t>
            </w:r>
          </w:p>
          <w:p w14:paraId="493224DB" w14:textId="7D492C7C" w:rsidR="00831290" w:rsidRPr="008031EA" w:rsidRDefault="00831290" w:rsidP="00F839DB">
            <w:pPr>
              <w:pStyle w:val="ListParagraph"/>
              <w:numPr>
                <w:ilvl w:val="0"/>
                <w:numId w:val="364"/>
              </w:numPr>
              <w:spacing w:after="60"/>
              <w:contextualSpacing/>
              <w:rPr>
                <w:rFonts w:eastAsia="Calibri" w:cs="Arial"/>
                <w:sz w:val="14"/>
                <w:szCs w:val="14"/>
                <w:lang w:eastAsia="en-US"/>
              </w:rPr>
            </w:pPr>
            <w:r w:rsidRPr="008031EA">
              <w:rPr>
                <w:rFonts w:eastAsia="Calibri" w:cs="Arial"/>
                <w:sz w:val="14"/>
                <w:szCs w:val="14"/>
                <w:lang w:eastAsia="en-US"/>
              </w:rPr>
              <w:t xml:space="preserve">The guarantee is </w:t>
            </w:r>
            <w:r w:rsidR="00206088">
              <w:rPr>
                <w:rFonts w:eastAsia="Calibri" w:cs="Arial"/>
                <w:sz w:val="14"/>
                <w:szCs w:val="14"/>
                <w:lang w:eastAsia="en-US"/>
              </w:rPr>
              <w:t xml:space="preserve">usually </w:t>
            </w:r>
            <w:r w:rsidRPr="008031EA">
              <w:rPr>
                <w:rFonts w:eastAsia="Calibri" w:cs="Arial"/>
                <w:sz w:val="14"/>
                <w:szCs w:val="14"/>
                <w:lang w:eastAsia="en-US"/>
              </w:rPr>
              <w:t>provided annually (date dependent on licensee’s financial Balance Date).</w:t>
            </w:r>
          </w:p>
          <w:p w14:paraId="23BCAED7" w14:textId="77777777" w:rsidR="00831290" w:rsidRPr="008031EA" w:rsidRDefault="00831290" w:rsidP="00F839DB">
            <w:pPr>
              <w:pStyle w:val="ListParagraph"/>
              <w:numPr>
                <w:ilvl w:val="0"/>
                <w:numId w:val="364"/>
              </w:numPr>
              <w:spacing w:after="60"/>
              <w:ind w:left="357" w:hanging="357"/>
              <w:rPr>
                <w:rFonts w:eastAsia="Calibri" w:cs="Arial"/>
                <w:sz w:val="14"/>
                <w:szCs w:val="14"/>
                <w:lang w:eastAsia="en-US"/>
              </w:rPr>
            </w:pPr>
            <w:r w:rsidRPr="008031EA">
              <w:rPr>
                <w:rFonts w:eastAsia="Calibri" w:cs="Arial"/>
                <w:sz w:val="14"/>
                <w:szCs w:val="14"/>
                <w:lang w:eastAsia="en-US"/>
              </w:rPr>
              <w:t xml:space="preserve">The guarantee must be for an amount calculated by the actuary as the greater of: </w:t>
            </w:r>
          </w:p>
          <w:p w14:paraId="188C3A4F" w14:textId="77777777" w:rsidR="00831290" w:rsidRPr="002C662B" w:rsidRDefault="00831290" w:rsidP="00F839DB">
            <w:pPr>
              <w:pStyle w:val="ListParagraph"/>
              <w:numPr>
                <w:ilvl w:val="0"/>
                <w:numId w:val="365"/>
              </w:numPr>
              <w:spacing w:after="60"/>
              <w:contextualSpacing/>
              <w:rPr>
                <w:rFonts w:eastAsia="Calibri" w:cs="Arial"/>
                <w:sz w:val="14"/>
                <w:szCs w:val="14"/>
                <w:lang w:eastAsia="en-US"/>
              </w:rPr>
            </w:pPr>
            <w:r w:rsidRPr="002C662B">
              <w:rPr>
                <w:rFonts w:eastAsia="Calibri" w:cs="Arial"/>
                <w:sz w:val="14"/>
                <w:szCs w:val="14"/>
                <w:lang w:eastAsia="en-US"/>
              </w:rPr>
              <w:t>the 95th percentile of Outstanding Claims Liabilities at the Balance Date and the addition of one reinsurance policy retention amount, or</w:t>
            </w:r>
          </w:p>
          <w:p w14:paraId="56A5B81F" w14:textId="28D13774" w:rsidR="00831290" w:rsidRPr="002C662B" w:rsidRDefault="00831290" w:rsidP="00F839DB">
            <w:pPr>
              <w:pStyle w:val="ListParagraph"/>
              <w:numPr>
                <w:ilvl w:val="0"/>
                <w:numId w:val="365"/>
              </w:numPr>
              <w:spacing w:after="60"/>
              <w:contextualSpacing/>
              <w:rPr>
                <w:rFonts w:eastAsia="Calibri" w:cs="Arial"/>
                <w:sz w:val="14"/>
                <w:szCs w:val="14"/>
                <w:lang w:eastAsia="en-US"/>
              </w:rPr>
            </w:pPr>
            <w:r w:rsidRPr="002C662B">
              <w:rPr>
                <w:rFonts w:eastAsia="Calibri" w:cs="Arial"/>
                <w:sz w:val="14"/>
                <w:szCs w:val="14"/>
                <w:lang w:eastAsia="en-US"/>
              </w:rPr>
              <w:t>the 95th percentile of projected Outstanding Claims Liabilities in 12/18/24* months time from the Balance Date and the addition of one reinsurance policy retent</w:t>
            </w:r>
            <w:r w:rsidR="00206088">
              <w:rPr>
                <w:rFonts w:eastAsia="Calibri" w:cs="Arial"/>
                <w:sz w:val="14"/>
                <w:szCs w:val="14"/>
                <w:lang w:eastAsia="en-US"/>
              </w:rPr>
              <w:t>ion</w:t>
            </w:r>
            <w:r w:rsidRPr="002C662B">
              <w:rPr>
                <w:rFonts w:eastAsia="Calibri" w:cs="Arial"/>
                <w:sz w:val="14"/>
                <w:szCs w:val="14"/>
                <w:lang w:eastAsia="en-US"/>
              </w:rPr>
              <w:t>.</w:t>
            </w:r>
          </w:p>
          <w:p w14:paraId="357CD354" w14:textId="0DC9F12A" w:rsidR="00831290" w:rsidRPr="00A759B3" w:rsidRDefault="00831290" w:rsidP="00206088">
            <w:pPr>
              <w:spacing w:after="60"/>
              <w:rPr>
                <w:rFonts w:cs="Arial"/>
                <w:color w:val="000000"/>
                <w:sz w:val="14"/>
                <w:szCs w:val="16"/>
                <w:lang w:val="en-GB"/>
              </w:rPr>
            </w:pPr>
            <w:r w:rsidRPr="00A759B3">
              <w:rPr>
                <w:rFonts w:cs="Arial"/>
                <w:color w:val="000000"/>
                <w:sz w:val="14"/>
                <w:szCs w:val="16"/>
                <w:lang w:val="en-GB"/>
              </w:rPr>
              <w:t xml:space="preserve">*Note: actual licence will specify: 12 months for licences in the 6th or more year of licence; 18 months for licences in the 4th — 5th year of licence; 24 months for licences </w:t>
            </w:r>
            <w:r>
              <w:rPr>
                <w:rFonts w:cs="Arial"/>
                <w:color w:val="000000"/>
                <w:sz w:val="14"/>
                <w:szCs w:val="16"/>
                <w:lang w:val="en-GB"/>
              </w:rPr>
              <w:t>in the 1st — 3rd year of licence</w:t>
            </w:r>
            <w:r w:rsidRPr="00A759B3">
              <w:rPr>
                <w:rFonts w:cs="Arial"/>
                <w:color w:val="000000"/>
                <w:sz w:val="14"/>
                <w:szCs w:val="16"/>
                <w:lang w:val="en-GB"/>
              </w:rPr>
              <w:t>.</w:t>
            </w:r>
          </w:p>
        </w:tc>
        <w:tc>
          <w:tcPr>
            <w:tcW w:w="6836" w:type="dxa"/>
            <w:shd w:val="clear" w:color="auto" w:fill="FFC9C9"/>
            <w:tcMar>
              <w:top w:w="80" w:type="dxa"/>
              <w:left w:w="80" w:type="dxa"/>
              <w:bottom w:w="80" w:type="dxa"/>
              <w:right w:w="80" w:type="dxa"/>
            </w:tcMar>
          </w:tcPr>
          <w:p w14:paraId="10C40C32" w14:textId="7B3C9EF5" w:rsidR="00831290" w:rsidRPr="00A759B3" w:rsidRDefault="00831290" w:rsidP="00206088">
            <w:pPr>
              <w:spacing w:after="60"/>
              <w:rPr>
                <w:rFonts w:cs="Arial"/>
                <w:color w:val="000000"/>
                <w:sz w:val="14"/>
                <w:szCs w:val="16"/>
                <w:lang w:val="en-GB"/>
              </w:rPr>
            </w:pPr>
            <w:r w:rsidRPr="00A759B3">
              <w:rPr>
                <w:rFonts w:cs="Arial"/>
                <w:color w:val="000000"/>
                <w:sz w:val="14"/>
                <w:szCs w:val="16"/>
                <w:lang w:val="en-GB"/>
              </w:rPr>
              <w:t xml:space="preserve">Licensee is required to maintain an appropriate level of reinsurance for any single event in excess of a retention amount determined by the Commission (excess amount) and as recommended by the actuary. </w:t>
            </w:r>
          </w:p>
        </w:tc>
      </w:tr>
      <w:tr w:rsidR="00831290" w:rsidRPr="00A759B3" w14:paraId="11B69CDB" w14:textId="77777777" w:rsidTr="00831290">
        <w:tc>
          <w:tcPr>
            <w:tcW w:w="1343" w:type="dxa"/>
            <w:tcMar>
              <w:top w:w="80" w:type="dxa"/>
              <w:left w:w="80" w:type="dxa"/>
              <w:bottom w:w="80" w:type="dxa"/>
              <w:right w:w="80" w:type="dxa"/>
            </w:tcMar>
          </w:tcPr>
          <w:p w14:paraId="084CECE8" w14:textId="77777777" w:rsidR="00831290" w:rsidRPr="00A759B3" w:rsidRDefault="00831290" w:rsidP="009C2E8A">
            <w:pPr>
              <w:spacing w:after="60"/>
              <w:rPr>
                <w:rFonts w:eastAsia="Calibri" w:cs="Arial"/>
                <w:b/>
                <w:sz w:val="16"/>
                <w:szCs w:val="16"/>
                <w:lang w:eastAsia="en-US"/>
              </w:rPr>
            </w:pPr>
            <w:r w:rsidRPr="00A759B3">
              <w:rPr>
                <w:rFonts w:eastAsia="Calibri" w:cs="Arial"/>
                <w:b/>
                <w:sz w:val="16"/>
                <w:szCs w:val="16"/>
                <w:lang w:eastAsia="en-US"/>
              </w:rPr>
              <w:t>New Zealand</w:t>
            </w:r>
          </w:p>
        </w:tc>
        <w:tc>
          <w:tcPr>
            <w:tcW w:w="6836" w:type="dxa"/>
            <w:tcMar>
              <w:top w:w="80" w:type="dxa"/>
              <w:left w:w="80" w:type="dxa"/>
              <w:bottom w:w="80" w:type="dxa"/>
              <w:right w:w="80" w:type="dxa"/>
            </w:tcMar>
          </w:tcPr>
          <w:p w14:paraId="0A2927A9" w14:textId="77777777" w:rsidR="00831290" w:rsidRPr="00A759B3" w:rsidRDefault="00831290" w:rsidP="009C2E8A">
            <w:pPr>
              <w:spacing w:after="60"/>
              <w:rPr>
                <w:rFonts w:cs="Arial"/>
                <w:color w:val="000000"/>
                <w:sz w:val="14"/>
                <w:szCs w:val="16"/>
                <w:lang w:val="en-GB"/>
              </w:rPr>
            </w:pPr>
            <w:r w:rsidRPr="00A759B3">
              <w:rPr>
                <w:rFonts w:cs="Arial"/>
                <w:color w:val="000000"/>
                <w:sz w:val="14"/>
                <w:szCs w:val="16"/>
                <w:lang w:val="en-GB"/>
              </w:rPr>
              <w:t>No formal security is taken. No legislative provision to allow formal security arrangements like debentures over assets, bank bonds or guarantees or any other third party guarantees. An employer must prove it has the ability to meet its program obligations completely in its own right in order to be accredited.</w:t>
            </w:r>
          </w:p>
        </w:tc>
        <w:tc>
          <w:tcPr>
            <w:tcW w:w="6836" w:type="dxa"/>
            <w:tcMar>
              <w:top w:w="80" w:type="dxa"/>
              <w:left w:w="80" w:type="dxa"/>
              <w:bottom w:w="80" w:type="dxa"/>
              <w:right w:w="80" w:type="dxa"/>
            </w:tcMar>
          </w:tcPr>
          <w:p w14:paraId="67E33008" w14:textId="77777777" w:rsidR="00831290" w:rsidRPr="00A759B3" w:rsidRDefault="00831290" w:rsidP="009C2E8A">
            <w:pPr>
              <w:spacing w:after="60"/>
              <w:rPr>
                <w:rFonts w:cs="Arial"/>
                <w:color w:val="000000"/>
                <w:sz w:val="14"/>
                <w:szCs w:val="16"/>
                <w:lang w:val="en-GB"/>
              </w:rPr>
            </w:pPr>
            <w:r w:rsidRPr="00A759B3">
              <w:rPr>
                <w:rFonts w:cs="Arial"/>
                <w:color w:val="000000"/>
                <w:sz w:val="14"/>
                <w:szCs w:val="16"/>
                <w:lang w:val="en-GB"/>
              </w:rPr>
              <w:t>Accident Compensation Corporation provides Stop Loss Cover within a range of 160% to 250% of the defined risk. Stop Loss Cover is mandatory for Full Self Cover employers and optional for the Partnership Discount Plans. Any other reinsurance is prohibited under the legislation. The accredited employer is required to carry the risk of work place injury with no ability to offload any of this risk.</w:t>
            </w:r>
          </w:p>
        </w:tc>
      </w:tr>
    </w:tbl>
    <w:p w14:paraId="454FF14D" w14:textId="77777777" w:rsidR="00831290" w:rsidRDefault="00831290" w:rsidP="00292A53">
      <w:pPr>
        <w:spacing w:after="60"/>
        <w:rPr>
          <w:rFonts w:eastAsia="Calibri" w:cs="Arial"/>
          <w:b/>
          <w:sz w:val="16"/>
          <w:szCs w:val="16"/>
          <w:lang w:eastAsia="en-US"/>
        </w:rPr>
        <w:sectPr w:rsidR="00831290" w:rsidSect="00BC09D4">
          <w:footnotePr>
            <w:numFmt w:val="chicago"/>
            <w:numStart w:val="2"/>
          </w:footnotePr>
          <w:pgSz w:w="16838" w:h="11906" w:orient="landscape"/>
          <w:pgMar w:top="249" w:right="567" w:bottom="249" w:left="624" w:header="709" w:footer="709" w:gutter="0"/>
          <w:cols w:space="708"/>
          <w:docGrid w:linePitch="360"/>
        </w:sectPr>
      </w:pPr>
    </w:p>
    <w:p w14:paraId="54118EB6" w14:textId="77777777" w:rsidR="00831290" w:rsidRDefault="00831290" w:rsidP="00292A53">
      <w:pPr>
        <w:spacing w:after="60"/>
        <w:rPr>
          <w:rFonts w:eastAsia="Calibri" w:cs="Arial"/>
          <w:b/>
          <w:sz w:val="16"/>
          <w:szCs w:val="16"/>
          <w:lang w:eastAsia="en-US"/>
        </w:rPr>
        <w:sectPr w:rsidR="00831290" w:rsidSect="00831290">
          <w:type w:val="continuous"/>
          <w:pgSz w:w="16838" w:h="11906" w:orient="landscape"/>
          <w:pgMar w:top="249" w:right="567" w:bottom="249" w:left="624" w:header="709" w:footer="709" w:gutter="0"/>
          <w:cols w:space="708"/>
          <w:docGrid w:linePitch="360"/>
        </w:sectPr>
      </w:pPr>
    </w:p>
    <w:p w14:paraId="2F81537D" w14:textId="77777777" w:rsidR="00831290" w:rsidRDefault="00831290" w:rsidP="00292A53">
      <w:pPr>
        <w:spacing w:after="60"/>
        <w:rPr>
          <w:rFonts w:eastAsia="Calibri" w:cs="Arial"/>
          <w:b/>
          <w:sz w:val="16"/>
          <w:szCs w:val="16"/>
          <w:lang w:eastAsia="en-US"/>
        </w:rPr>
        <w:sectPr w:rsidR="00831290" w:rsidSect="00831290">
          <w:footnotePr>
            <w:numFmt w:val="chicago"/>
            <w:numRestart w:val="eachPage"/>
          </w:footnotePr>
          <w:type w:val="continuous"/>
          <w:pgSz w:w="16838" w:h="11906" w:orient="landscape"/>
          <w:pgMar w:top="249" w:right="567" w:bottom="249" w:left="624" w:header="709" w:footer="709" w:gutter="0"/>
          <w:cols w:space="708"/>
          <w:docGrid w:linePitch="360"/>
        </w:sectPr>
      </w:pPr>
    </w:p>
    <w:p w14:paraId="57CF8852" w14:textId="77777777" w:rsidR="00831290" w:rsidRDefault="00831290" w:rsidP="00292A53">
      <w:pPr>
        <w:spacing w:after="60"/>
        <w:rPr>
          <w:rFonts w:eastAsia="Calibri" w:cs="Arial"/>
          <w:b/>
          <w:sz w:val="16"/>
          <w:szCs w:val="16"/>
          <w:lang w:eastAsia="en-US"/>
        </w:rPr>
        <w:sectPr w:rsidR="00831290" w:rsidSect="00831290">
          <w:footnotePr>
            <w:numFmt w:val="chicago"/>
            <w:numRestart w:val="eachPage"/>
          </w:footnotePr>
          <w:type w:val="continuous"/>
          <w:pgSz w:w="16838" w:h="11906" w:orient="landscape"/>
          <w:pgMar w:top="249" w:right="567" w:bottom="249" w:left="624" w:header="709" w:footer="709" w:gutter="0"/>
          <w:cols w:space="708"/>
          <w:docGrid w:linePitch="360"/>
        </w:sectPr>
      </w:pPr>
    </w:p>
    <w:p w14:paraId="0540E17A" w14:textId="5E30DEF2" w:rsidR="0020102B" w:rsidRPr="00205CCE" w:rsidRDefault="0020102B" w:rsidP="00205CCE">
      <w:pPr>
        <w:pStyle w:val="SWATableheader"/>
      </w:pPr>
      <w:bookmarkStart w:id="205" w:name="_Toc504654709"/>
      <w:bookmarkEnd w:id="204"/>
      <w:r w:rsidRPr="00205CCE">
        <w:lastRenderedPageBreak/>
        <w:t>Table 6.6: Self-insurance restraints on company structure</w:t>
      </w:r>
      <w:bookmarkEnd w:id="205"/>
      <w:r w:rsidRPr="00205CCE">
        <w:t xml:space="preserve"> </w:t>
      </w:r>
      <w:r w:rsidR="00184441" w:rsidRPr="00205CCE">
        <w:fldChar w:fldCharType="begin"/>
      </w:r>
      <w:r w:rsidR="00184441" w:rsidRPr="00205CCE">
        <w:instrText xml:space="preserve"> XE "company structure restraints (self-insurers)" </w:instrText>
      </w:r>
      <w:r w:rsidR="00184441" w:rsidRPr="00205CCE">
        <w:fldChar w:fldCharType="end"/>
      </w:r>
      <w:r w:rsidR="000B568E" w:rsidRPr="00205CCE">
        <w:fldChar w:fldCharType="begin"/>
      </w:r>
      <w:r w:rsidR="000B568E" w:rsidRPr="00205CCE">
        <w:instrText xml:space="preserve"> XE "self-insurer arrangements standards and:company structure"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6: Self-insurance restraints on company structure  "/>
        <w:tblDescription w:val="This table provides information on self-insurance restraints depending on company structure. "/>
      </w:tblPr>
      <w:tblGrid>
        <w:gridCol w:w="1343"/>
        <w:gridCol w:w="13672"/>
      </w:tblGrid>
      <w:tr w:rsidR="0020102B" w:rsidRPr="0020102B" w14:paraId="22B7996E" w14:textId="77777777" w:rsidTr="00B2173F">
        <w:trPr>
          <w:tblHeader/>
        </w:trPr>
        <w:tc>
          <w:tcPr>
            <w:tcW w:w="1343" w:type="dxa"/>
            <w:shd w:val="clear" w:color="auto" w:fill="C00000"/>
            <w:tcMar>
              <w:top w:w="0" w:type="dxa"/>
              <w:left w:w="0" w:type="dxa"/>
              <w:bottom w:w="0" w:type="dxa"/>
              <w:right w:w="0" w:type="dxa"/>
            </w:tcMar>
            <w:vAlign w:val="center"/>
          </w:tcPr>
          <w:p w14:paraId="2516C8FC" w14:textId="77777777" w:rsidR="0020102B" w:rsidRPr="0020102B" w:rsidRDefault="0020102B" w:rsidP="00292A53">
            <w:pPr>
              <w:pStyle w:val="Tableheaderrow"/>
              <w:spacing w:after="60"/>
            </w:pPr>
          </w:p>
        </w:tc>
        <w:tc>
          <w:tcPr>
            <w:tcW w:w="13672" w:type="dxa"/>
            <w:shd w:val="clear" w:color="auto" w:fill="C00000"/>
            <w:tcMar>
              <w:top w:w="0" w:type="dxa"/>
              <w:left w:w="0" w:type="dxa"/>
              <w:bottom w:w="0" w:type="dxa"/>
              <w:right w:w="0" w:type="dxa"/>
            </w:tcMar>
            <w:vAlign w:val="center"/>
          </w:tcPr>
          <w:p w14:paraId="76291FD8" w14:textId="77777777" w:rsidR="0020102B" w:rsidRPr="0020102B" w:rsidRDefault="0020102B" w:rsidP="00292A53">
            <w:pPr>
              <w:pStyle w:val="Tableheaderrow"/>
              <w:spacing w:after="60"/>
            </w:pPr>
            <w:r w:rsidRPr="0020102B">
              <w:t>Restraints on company structure</w:t>
            </w:r>
          </w:p>
        </w:tc>
      </w:tr>
      <w:tr w:rsidR="0020102B" w:rsidRPr="0020102B" w14:paraId="55AF08E6" w14:textId="77777777" w:rsidTr="00B2173F">
        <w:tc>
          <w:tcPr>
            <w:tcW w:w="1343" w:type="dxa"/>
            <w:shd w:val="clear" w:color="auto" w:fill="FFC9C9"/>
            <w:tcMar>
              <w:top w:w="80" w:type="dxa"/>
              <w:left w:w="80" w:type="dxa"/>
              <w:bottom w:w="80" w:type="dxa"/>
              <w:right w:w="80" w:type="dxa"/>
            </w:tcMar>
          </w:tcPr>
          <w:p w14:paraId="7885E374"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New South Wales</w:t>
            </w:r>
          </w:p>
        </w:tc>
        <w:tc>
          <w:tcPr>
            <w:tcW w:w="13672" w:type="dxa"/>
            <w:shd w:val="clear" w:color="auto" w:fill="FFC9C9"/>
            <w:tcMar>
              <w:top w:w="80" w:type="dxa"/>
              <w:left w:w="80" w:type="dxa"/>
              <w:bottom w:w="80" w:type="dxa"/>
              <w:right w:w="80" w:type="dxa"/>
            </w:tcMar>
          </w:tcPr>
          <w:p w14:paraId="4373D8D2" w14:textId="47BD2615" w:rsidR="008A55AB" w:rsidRPr="008A55AB" w:rsidRDefault="008A55AB" w:rsidP="00292A53">
            <w:pPr>
              <w:spacing w:after="60"/>
              <w:rPr>
                <w:rFonts w:cs="Arial"/>
                <w:color w:val="000000"/>
                <w:sz w:val="14"/>
                <w:szCs w:val="16"/>
                <w:lang w:val="en-GB"/>
              </w:rPr>
            </w:pPr>
            <w:r w:rsidRPr="008A55AB">
              <w:rPr>
                <w:rFonts w:cs="Arial"/>
                <w:color w:val="000000"/>
                <w:sz w:val="14"/>
                <w:szCs w:val="16"/>
                <w:lang w:val="en-GB"/>
              </w:rPr>
              <w:t xml:space="preserve">An application for a </w:t>
            </w:r>
            <w:r w:rsidR="00E43A0F">
              <w:rPr>
                <w:rFonts w:cs="Arial"/>
                <w:color w:val="000000"/>
                <w:sz w:val="14"/>
                <w:szCs w:val="16"/>
                <w:lang w:val="en-GB"/>
              </w:rPr>
              <w:t>self-insurance</w:t>
            </w:r>
            <w:r w:rsidRPr="008A55AB">
              <w:rPr>
                <w:rFonts w:cs="Arial"/>
                <w:color w:val="000000"/>
                <w:sz w:val="14"/>
                <w:szCs w:val="16"/>
                <w:lang w:val="en-GB"/>
              </w:rPr>
              <w:t xml:space="preserve"> licence can be made by ‘any employer’ (</w:t>
            </w:r>
            <w:hyperlink r:id="rId2063" w:history="1">
              <w:r w:rsidRPr="00DC0FCE">
                <w:rPr>
                  <w:rStyle w:val="Hyperlink"/>
                  <w:rFonts w:cs="Arial"/>
                  <w:sz w:val="14"/>
                  <w:szCs w:val="16"/>
                  <w:lang w:val="en-GB"/>
                </w:rPr>
                <w:t>s210</w:t>
              </w:r>
            </w:hyperlink>
            <w:r w:rsidRPr="008A55AB">
              <w:rPr>
                <w:rFonts w:cs="Arial"/>
                <w:color w:val="000000"/>
                <w:sz w:val="14"/>
                <w:szCs w:val="16"/>
                <w:lang w:val="en-GB"/>
              </w:rPr>
              <w:t xml:space="preserve"> — </w:t>
            </w:r>
            <w:r w:rsidR="003B4385" w:rsidRPr="00016069">
              <w:rPr>
                <w:i/>
                <w:sz w:val="14"/>
              </w:rPr>
              <w:t>Workers Compensation Act 1987</w:t>
            </w:r>
            <w:r w:rsidRPr="008A55AB">
              <w:rPr>
                <w:rFonts w:cs="Arial"/>
                <w:color w:val="000000"/>
                <w:sz w:val="14"/>
                <w:szCs w:val="16"/>
                <w:lang w:val="en-GB"/>
              </w:rPr>
              <w:t xml:space="preserve">) in accordance with the requirements of SIRA’s licensing policy for self-insurers. A </w:t>
            </w:r>
            <w:r w:rsidR="00E43A0F">
              <w:rPr>
                <w:rFonts w:cs="Arial"/>
                <w:color w:val="000000"/>
                <w:sz w:val="14"/>
                <w:szCs w:val="16"/>
                <w:lang w:val="en-GB"/>
              </w:rPr>
              <w:t>self-insurer</w:t>
            </w:r>
            <w:r w:rsidRPr="008A55AB">
              <w:rPr>
                <w:rFonts w:cs="Arial"/>
                <w:color w:val="000000"/>
                <w:sz w:val="14"/>
                <w:szCs w:val="16"/>
                <w:lang w:val="en-GB"/>
              </w:rPr>
              <w:t xml:space="preserve"> licence may be granted to an employer or a group </w:t>
            </w:r>
            <w:r w:rsidR="00E43A0F">
              <w:rPr>
                <w:rFonts w:cs="Arial"/>
                <w:color w:val="000000"/>
                <w:sz w:val="14"/>
                <w:szCs w:val="16"/>
                <w:lang w:val="en-GB"/>
              </w:rPr>
              <w:t>self-insurer</w:t>
            </w:r>
            <w:r w:rsidRPr="008A55AB">
              <w:rPr>
                <w:rFonts w:cs="Arial"/>
                <w:color w:val="000000"/>
                <w:sz w:val="14"/>
                <w:szCs w:val="16"/>
                <w:lang w:val="en-GB"/>
              </w:rPr>
              <w:t xml:space="preserve"> licence may be granted to a holding company and all wholly owned subsidiaries of the company that are employers in NSW.</w:t>
            </w:r>
          </w:p>
          <w:p w14:paraId="4E51B78C" w14:textId="77777777" w:rsidR="008A55AB" w:rsidRPr="008A55AB" w:rsidRDefault="008A55AB" w:rsidP="00292A53">
            <w:pPr>
              <w:spacing w:after="60"/>
              <w:rPr>
                <w:rFonts w:cs="Arial"/>
                <w:color w:val="000000"/>
                <w:sz w:val="14"/>
                <w:szCs w:val="16"/>
                <w:lang w:val="en-GB"/>
              </w:rPr>
            </w:pPr>
            <w:r w:rsidRPr="008A55AB">
              <w:rPr>
                <w:rFonts w:cs="Arial"/>
                <w:color w:val="000000"/>
                <w:sz w:val="14"/>
                <w:szCs w:val="16"/>
                <w:lang w:val="en-GB"/>
              </w:rPr>
              <w:t>Under a group licence there is no provision for selective inclusion of subsidiaries by the applicant. The legislation specifies that only wholly owned subsidiary companies are to be included in the group licence. For group licences the applicant company would generally be the ultimate holding company in Australia.</w:t>
            </w:r>
          </w:p>
          <w:p w14:paraId="2FFB45BC" w14:textId="77777777" w:rsidR="0020102B" w:rsidRPr="0020102B" w:rsidRDefault="008A55AB" w:rsidP="00292A53">
            <w:pPr>
              <w:spacing w:after="60"/>
              <w:contextualSpacing/>
              <w:rPr>
                <w:rFonts w:cs="Arial"/>
                <w:color w:val="000000"/>
                <w:sz w:val="14"/>
                <w:szCs w:val="16"/>
                <w:lang w:val="en-GB"/>
              </w:rPr>
            </w:pPr>
            <w:r w:rsidRPr="008A55AB">
              <w:rPr>
                <w:rFonts w:cs="Arial"/>
                <w:color w:val="000000"/>
                <w:sz w:val="14"/>
                <w:szCs w:val="16"/>
              </w:rPr>
              <w:t>For group licences a cross guarantee or a holding company guarantee is required.</w:t>
            </w:r>
          </w:p>
        </w:tc>
      </w:tr>
      <w:tr w:rsidR="0020102B" w:rsidRPr="0020102B" w14:paraId="59156F50" w14:textId="77777777" w:rsidTr="00B2173F">
        <w:tc>
          <w:tcPr>
            <w:tcW w:w="1343" w:type="dxa"/>
            <w:tcMar>
              <w:top w:w="80" w:type="dxa"/>
              <w:left w:w="80" w:type="dxa"/>
              <w:bottom w:w="80" w:type="dxa"/>
              <w:right w:w="80" w:type="dxa"/>
            </w:tcMar>
          </w:tcPr>
          <w:p w14:paraId="36F543F6"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Victoria</w:t>
            </w:r>
          </w:p>
        </w:tc>
        <w:tc>
          <w:tcPr>
            <w:tcW w:w="13672" w:type="dxa"/>
            <w:tcMar>
              <w:top w:w="80" w:type="dxa"/>
              <w:left w:w="80" w:type="dxa"/>
              <w:bottom w:w="80" w:type="dxa"/>
              <w:right w:w="80" w:type="dxa"/>
            </w:tcMar>
          </w:tcPr>
          <w:p w14:paraId="7A3CF720" w14:textId="619C73DE" w:rsidR="0020102B" w:rsidRPr="00AD59AC" w:rsidRDefault="0020102B" w:rsidP="00F839DB">
            <w:pPr>
              <w:pStyle w:val="ListParagraph"/>
              <w:numPr>
                <w:ilvl w:val="0"/>
                <w:numId w:val="368"/>
              </w:numPr>
              <w:spacing w:after="60"/>
              <w:contextualSpacing/>
              <w:rPr>
                <w:rFonts w:eastAsia="Calibri" w:cs="Arial"/>
                <w:sz w:val="14"/>
                <w:szCs w:val="14"/>
                <w:lang w:eastAsia="en-US"/>
              </w:rPr>
            </w:pPr>
            <w:r w:rsidRPr="00AD59AC">
              <w:rPr>
                <w:rFonts w:eastAsia="Calibri" w:cs="Arial"/>
                <w:sz w:val="14"/>
                <w:szCs w:val="14"/>
                <w:lang w:eastAsia="en-US"/>
              </w:rPr>
              <w:t xml:space="preserve">Ultimate holding company in Australia and all wholly owned subsidiaries — </w:t>
            </w:r>
            <w:hyperlink r:id="rId2064" w:history="1">
              <w:r w:rsidRPr="006D343B">
                <w:rPr>
                  <w:rStyle w:val="Hyperlink"/>
                  <w:rFonts w:eastAsia="Calibri" w:cs="Arial"/>
                  <w:sz w:val="14"/>
                  <w:szCs w:val="14"/>
                  <w:lang w:eastAsia="en-US"/>
                </w:rPr>
                <w:t>s376(1)</w:t>
              </w:r>
            </w:hyperlink>
            <w:r w:rsidRPr="00AD59AC">
              <w:rPr>
                <w:rFonts w:eastAsia="Calibri" w:cs="Arial"/>
                <w:sz w:val="14"/>
                <w:szCs w:val="14"/>
                <w:lang w:eastAsia="en-US"/>
              </w:rPr>
              <w:t xml:space="preserve"> of the </w:t>
            </w:r>
            <w:r w:rsidR="007A30BF" w:rsidRPr="00016069">
              <w:rPr>
                <w:i/>
                <w:sz w:val="14"/>
              </w:rPr>
              <w:t>Workplace Injury Rehabilitation and Compensation Act 2013</w:t>
            </w:r>
          </w:p>
          <w:p w14:paraId="0FE180C3" w14:textId="03FB6C9C" w:rsidR="0020102B" w:rsidRPr="00AD59AC" w:rsidRDefault="0020102B" w:rsidP="00F839DB">
            <w:pPr>
              <w:pStyle w:val="ListParagraph"/>
              <w:numPr>
                <w:ilvl w:val="0"/>
                <w:numId w:val="368"/>
              </w:numPr>
              <w:spacing w:after="60"/>
              <w:contextualSpacing/>
              <w:rPr>
                <w:rFonts w:eastAsia="Calibri" w:cs="Arial"/>
                <w:sz w:val="14"/>
                <w:szCs w:val="14"/>
                <w:lang w:eastAsia="en-US"/>
              </w:rPr>
            </w:pPr>
            <w:r w:rsidRPr="00AD59AC">
              <w:rPr>
                <w:rFonts w:eastAsia="Calibri" w:cs="Arial"/>
                <w:sz w:val="14"/>
                <w:szCs w:val="14"/>
                <w:lang w:eastAsia="en-US"/>
              </w:rPr>
              <w:t xml:space="preserve">Municipal Association of Victoria (MAV) and local government corporations participating in a scheme of self-insurance operated by the MAV as a self-insurer — </w:t>
            </w:r>
            <w:hyperlink r:id="rId2065" w:history="1">
              <w:r w:rsidRPr="006D343B">
                <w:rPr>
                  <w:rStyle w:val="Hyperlink"/>
                  <w:rFonts w:eastAsia="Calibri" w:cs="Arial"/>
                  <w:sz w:val="14"/>
                  <w:szCs w:val="14"/>
                  <w:lang w:eastAsia="en-US"/>
                </w:rPr>
                <w:t>s376(3)</w:t>
              </w:r>
            </w:hyperlink>
            <w:r w:rsidRPr="00AD59AC">
              <w:rPr>
                <w:rFonts w:eastAsia="Calibri" w:cs="Arial"/>
                <w:sz w:val="14"/>
                <w:szCs w:val="14"/>
                <w:lang w:eastAsia="en-US"/>
              </w:rPr>
              <w:t xml:space="preserve"> of the WIRC Act.</w:t>
            </w:r>
          </w:p>
        </w:tc>
      </w:tr>
      <w:tr w:rsidR="0020102B" w:rsidRPr="0020102B" w14:paraId="11C52C41" w14:textId="77777777" w:rsidTr="00B2173F">
        <w:tc>
          <w:tcPr>
            <w:tcW w:w="1343" w:type="dxa"/>
            <w:shd w:val="clear" w:color="auto" w:fill="FFC9C9"/>
            <w:tcMar>
              <w:top w:w="80" w:type="dxa"/>
              <w:left w:w="80" w:type="dxa"/>
              <w:bottom w:w="80" w:type="dxa"/>
              <w:right w:w="80" w:type="dxa"/>
            </w:tcMar>
          </w:tcPr>
          <w:p w14:paraId="265C2BED"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Queensland</w:t>
            </w:r>
          </w:p>
        </w:tc>
        <w:tc>
          <w:tcPr>
            <w:tcW w:w="13672" w:type="dxa"/>
            <w:shd w:val="clear" w:color="auto" w:fill="FFC9C9"/>
            <w:tcMar>
              <w:top w:w="80" w:type="dxa"/>
              <w:left w:w="80" w:type="dxa"/>
              <w:bottom w:w="80" w:type="dxa"/>
              <w:right w:w="80" w:type="dxa"/>
            </w:tcMar>
          </w:tcPr>
          <w:p w14:paraId="390DF119" w14:textId="77777777"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Group licences are restricted to groups of employers that are made up as follows:</w:t>
            </w:r>
          </w:p>
          <w:p w14:paraId="66E7294A" w14:textId="77777777" w:rsidR="0020102B" w:rsidRPr="00AD59AC" w:rsidRDefault="0020102B" w:rsidP="00F839DB">
            <w:pPr>
              <w:pStyle w:val="ListParagraph"/>
              <w:numPr>
                <w:ilvl w:val="0"/>
                <w:numId w:val="369"/>
              </w:numPr>
              <w:spacing w:after="60"/>
              <w:contextualSpacing/>
              <w:rPr>
                <w:rFonts w:eastAsia="Calibri" w:cs="Arial"/>
                <w:sz w:val="14"/>
                <w:szCs w:val="14"/>
                <w:lang w:eastAsia="en-US"/>
              </w:rPr>
            </w:pPr>
            <w:r w:rsidRPr="00AD59AC">
              <w:rPr>
                <w:rFonts w:eastAsia="Calibri" w:cs="Arial"/>
                <w:sz w:val="14"/>
                <w:szCs w:val="14"/>
                <w:lang w:eastAsia="en-US"/>
              </w:rPr>
              <w:t xml:space="preserve">employers who are in the same industry and have a pre-existing stable business relationship (classification group self-insurer), or </w:t>
            </w:r>
          </w:p>
          <w:p w14:paraId="4D27FA96" w14:textId="77777777" w:rsidR="0020102B" w:rsidRPr="00AD59AC" w:rsidRDefault="0020102B" w:rsidP="00F839DB">
            <w:pPr>
              <w:pStyle w:val="ListParagraph"/>
              <w:numPr>
                <w:ilvl w:val="0"/>
                <w:numId w:val="369"/>
              </w:numPr>
              <w:spacing w:after="60"/>
              <w:contextualSpacing/>
              <w:rPr>
                <w:rFonts w:eastAsia="Calibri" w:cs="Arial"/>
                <w:sz w:val="14"/>
                <w:szCs w:val="14"/>
                <w:lang w:eastAsia="en-US"/>
              </w:rPr>
            </w:pPr>
            <w:r w:rsidRPr="00AD59AC">
              <w:rPr>
                <w:rFonts w:eastAsia="Calibri" w:cs="Arial"/>
                <w:sz w:val="14"/>
                <w:szCs w:val="14"/>
                <w:lang w:eastAsia="en-US"/>
              </w:rPr>
              <w:t xml:space="preserve">related bodies corporate as defined by the </w:t>
            </w:r>
            <w:r w:rsidRPr="00E43A0F">
              <w:rPr>
                <w:rFonts w:eastAsia="Calibri" w:cs="Arial"/>
                <w:i/>
                <w:sz w:val="14"/>
                <w:szCs w:val="14"/>
                <w:lang w:eastAsia="en-US"/>
              </w:rPr>
              <w:t>Corporations Act 2001</w:t>
            </w:r>
            <w:r w:rsidRPr="00AD59AC">
              <w:rPr>
                <w:rFonts w:eastAsia="Calibri" w:cs="Arial"/>
                <w:sz w:val="14"/>
                <w:szCs w:val="14"/>
                <w:lang w:eastAsia="en-US"/>
              </w:rPr>
              <w:t xml:space="preserve"> (related bodies corporate group self-insurer).</w:t>
            </w:r>
          </w:p>
        </w:tc>
      </w:tr>
      <w:tr w:rsidR="0020102B" w:rsidRPr="0020102B" w14:paraId="4D952347" w14:textId="77777777" w:rsidTr="00B2173F">
        <w:tc>
          <w:tcPr>
            <w:tcW w:w="1343" w:type="dxa"/>
            <w:tcMar>
              <w:top w:w="80" w:type="dxa"/>
              <w:left w:w="80" w:type="dxa"/>
              <w:bottom w:w="80" w:type="dxa"/>
              <w:right w:w="80" w:type="dxa"/>
            </w:tcMar>
          </w:tcPr>
          <w:p w14:paraId="543F7255"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Western Australia</w:t>
            </w:r>
          </w:p>
        </w:tc>
        <w:tc>
          <w:tcPr>
            <w:tcW w:w="13672" w:type="dxa"/>
            <w:tcMar>
              <w:top w:w="80" w:type="dxa"/>
              <w:left w:w="80" w:type="dxa"/>
              <w:bottom w:w="80" w:type="dxa"/>
              <w:right w:w="80" w:type="dxa"/>
            </w:tcMar>
          </w:tcPr>
          <w:p w14:paraId="211213FA" w14:textId="1A52D227"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N/A</w:t>
            </w:r>
          </w:p>
        </w:tc>
      </w:tr>
      <w:tr w:rsidR="0020102B" w:rsidRPr="0020102B" w14:paraId="4E95590A" w14:textId="77777777" w:rsidTr="00B2173F">
        <w:tc>
          <w:tcPr>
            <w:tcW w:w="1343" w:type="dxa"/>
            <w:shd w:val="clear" w:color="auto" w:fill="FFC9C9"/>
            <w:tcMar>
              <w:top w:w="80" w:type="dxa"/>
              <w:left w:w="80" w:type="dxa"/>
              <w:bottom w:w="80" w:type="dxa"/>
              <w:right w:w="80" w:type="dxa"/>
            </w:tcMar>
          </w:tcPr>
          <w:p w14:paraId="6D77433E"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South Australia</w:t>
            </w:r>
          </w:p>
        </w:tc>
        <w:tc>
          <w:tcPr>
            <w:tcW w:w="13672" w:type="dxa"/>
            <w:shd w:val="clear" w:color="auto" w:fill="FFC9C9"/>
            <w:tcMar>
              <w:top w:w="80" w:type="dxa"/>
              <w:left w:w="80" w:type="dxa"/>
              <w:bottom w:w="80" w:type="dxa"/>
              <w:right w:w="80" w:type="dxa"/>
            </w:tcMar>
          </w:tcPr>
          <w:p w14:paraId="135B834F" w14:textId="01CAF689"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 xml:space="preserve">Under </w:t>
            </w:r>
            <w:hyperlink r:id="rId2066" w:history="1">
              <w:r w:rsidRPr="0020102B">
                <w:rPr>
                  <w:rFonts w:cs="Arial"/>
                  <w:color w:val="0000FF"/>
                  <w:sz w:val="14"/>
                  <w:szCs w:val="16"/>
                  <w:u w:val="single"/>
                  <w:lang w:val="en-GB"/>
                </w:rPr>
                <w:t>s129</w:t>
              </w:r>
            </w:hyperlink>
            <w:r w:rsidRPr="0020102B">
              <w:rPr>
                <w:rFonts w:cs="Arial"/>
                <w:color w:val="000000"/>
                <w:sz w:val="14"/>
                <w:szCs w:val="16"/>
                <w:lang w:val="en-GB"/>
              </w:rPr>
              <w:t xml:space="preserve">(2) of the </w:t>
            </w:r>
            <w:r w:rsidRPr="0020102B">
              <w:rPr>
                <w:rFonts w:cs="Arial"/>
                <w:i/>
                <w:color w:val="000000"/>
                <w:sz w:val="14"/>
                <w:szCs w:val="16"/>
                <w:lang w:val="en-GB"/>
              </w:rPr>
              <w:t>Return to Work Act</w:t>
            </w:r>
            <w:r w:rsidRPr="00DC45CF">
              <w:rPr>
                <w:rFonts w:cs="Arial"/>
                <w:i/>
                <w:color w:val="000000"/>
                <w:sz w:val="14"/>
                <w:szCs w:val="16"/>
                <w:lang w:val="en-GB"/>
              </w:rPr>
              <w:t xml:space="preserve"> 2014</w:t>
            </w:r>
            <w:r w:rsidRPr="0020102B">
              <w:rPr>
                <w:rFonts w:cs="Arial"/>
                <w:color w:val="000000"/>
                <w:sz w:val="14"/>
                <w:szCs w:val="16"/>
                <w:lang w:val="en-GB"/>
              </w:rPr>
              <w:t xml:space="preserve"> an application as a </w:t>
            </w:r>
            <w:r w:rsidR="00E43A0F">
              <w:rPr>
                <w:rFonts w:cs="Arial"/>
                <w:color w:val="000000"/>
                <w:sz w:val="14"/>
                <w:szCs w:val="16"/>
                <w:lang w:val="en-GB"/>
              </w:rPr>
              <w:t>self-insured</w:t>
            </w:r>
            <w:r w:rsidRPr="0020102B">
              <w:rPr>
                <w:rFonts w:cs="Arial"/>
                <w:color w:val="000000"/>
                <w:sz w:val="14"/>
                <w:szCs w:val="16"/>
                <w:lang w:val="en-GB"/>
              </w:rPr>
              <w:t xml:space="preserve"> employer or as a group of self-insured employers can only be made: </w:t>
            </w:r>
          </w:p>
          <w:p w14:paraId="38C922D3" w14:textId="77777777" w:rsidR="0020102B" w:rsidRPr="0020102B" w:rsidRDefault="0020102B" w:rsidP="00DF35F2">
            <w:pPr>
              <w:numPr>
                <w:ilvl w:val="0"/>
                <w:numId w:val="51"/>
              </w:numPr>
              <w:spacing w:after="60"/>
              <w:ind w:hanging="357"/>
              <w:contextualSpacing/>
              <w:rPr>
                <w:rFonts w:cs="Arial"/>
                <w:color w:val="000000"/>
                <w:sz w:val="14"/>
                <w:szCs w:val="16"/>
                <w:lang w:val="en-GB"/>
              </w:rPr>
            </w:pPr>
            <w:r w:rsidRPr="0020102B">
              <w:rPr>
                <w:rFonts w:cs="Arial"/>
                <w:color w:val="000000"/>
                <w:sz w:val="14"/>
                <w:szCs w:val="16"/>
                <w:lang w:val="en-GB"/>
              </w:rPr>
              <w:t>in the case of an application by an individual employer—</w:t>
            </w:r>
          </w:p>
          <w:p w14:paraId="1749CA2D" w14:textId="77777777" w:rsidR="0020102B" w:rsidRPr="0020102B" w:rsidRDefault="0020102B" w:rsidP="00F839DB">
            <w:pPr>
              <w:numPr>
                <w:ilvl w:val="0"/>
                <w:numId w:val="366"/>
              </w:numPr>
              <w:spacing w:after="60"/>
              <w:ind w:hanging="357"/>
              <w:contextualSpacing/>
              <w:rPr>
                <w:rFonts w:cs="Arial"/>
                <w:color w:val="000000"/>
                <w:sz w:val="14"/>
                <w:szCs w:val="16"/>
                <w:lang w:val="en-GB"/>
              </w:rPr>
            </w:pPr>
            <w:r w:rsidRPr="0020102B">
              <w:rPr>
                <w:rFonts w:cs="Arial"/>
                <w:color w:val="000000"/>
                <w:sz w:val="14"/>
                <w:szCs w:val="16"/>
                <w:lang w:val="en-GB"/>
              </w:rPr>
              <w:t>the employer is a body corporate; or</w:t>
            </w:r>
          </w:p>
          <w:p w14:paraId="04DDEBCE" w14:textId="77777777" w:rsidR="0020102B" w:rsidRPr="0020102B" w:rsidRDefault="0020102B" w:rsidP="00F839DB">
            <w:pPr>
              <w:numPr>
                <w:ilvl w:val="0"/>
                <w:numId w:val="366"/>
              </w:numPr>
              <w:spacing w:after="60"/>
              <w:ind w:hanging="357"/>
              <w:rPr>
                <w:rFonts w:cs="Arial"/>
                <w:color w:val="000000"/>
                <w:sz w:val="14"/>
                <w:szCs w:val="16"/>
                <w:lang w:val="en-GB"/>
              </w:rPr>
            </w:pPr>
            <w:r w:rsidRPr="0020102B">
              <w:rPr>
                <w:rFonts w:cs="Arial"/>
                <w:color w:val="000000"/>
                <w:sz w:val="14"/>
                <w:szCs w:val="16"/>
                <w:lang w:val="en-GB"/>
              </w:rPr>
              <w:t>the employer is an indemnified maritime employer;</w:t>
            </w:r>
          </w:p>
          <w:p w14:paraId="50ABEDF0" w14:textId="77777777" w:rsidR="0020102B" w:rsidRPr="0020102B" w:rsidRDefault="0020102B" w:rsidP="00DF35F2">
            <w:pPr>
              <w:numPr>
                <w:ilvl w:val="0"/>
                <w:numId w:val="51"/>
              </w:numPr>
              <w:spacing w:after="60"/>
              <w:ind w:hanging="357"/>
              <w:contextualSpacing/>
              <w:rPr>
                <w:rFonts w:cs="Arial"/>
                <w:color w:val="000000"/>
                <w:sz w:val="14"/>
                <w:szCs w:val="16"/>
                <w:lang w:val="en-GB"/>
              </w:rPr>
            </w:pPr>
            <w:r w:rsidRPr="0020102B">
              <w:rPr>
                <w:rFonts w:cs="Arial"/>
                <w:color w:val="000000"/>
                <w:sz w:val="14"/>
                <w:szCs w:val="16"/>
                <w:lang w:val="en-GB"/>
              </w:rPr>
              <w:t>in the case of an application by a group—</w:t>
            </w:r>
          </w:p>
          <w:p w14:paraId="6ED4018D" w14:textId="77777777" w:rsidR="0020102B" w:rsidRPr="0020102B" w:rsidRDefault="0020102B" w:rsidP="00F839DB">
            <w:pPr>
              <w:numPr>
                <w:ilvl w:val="0"/>
                <w:numId w:val="367"/>
              </w:numPr>
              <w:spacing w:after="60"/>
              <w:ind w:hanging="357"/>
              <w:contextualSpacing/>
              <w:rPr>
                <w:rFonts w:cs="Arial"/>
                <w:color w:val="000000"/>
                <w:sz w:val="14"/>
                <w:szCs w:val="16"/>
                <w:lang w:val="en-GB"/>
              </w:rPr>
            </w:pPr>
            <w:r w:rsidRPr="0020102B">
              <w:rPr>
                <w:rFonts w:cs="Arial"/>
                <w:color w:val="000000"/>
                <w:sz w:val="14"/>
                <w:szCs w:val="16"/>
                <w:lang w:val="en-GB"/>
              </w:rPr>
              <w:t>the members of the group are related bodies corporate or local government corporations; and</w:t>
            </w:r>
          </w:p>
          <w:p w14:paraId="564C779B" w14:textId="77777777" w:rsidR="0020102B" w:rsidRPr="0020102B" w:rsidRDefault="0020102B" w:rsidP="00F839DB">
            <w:pPr>
              <w:numPr>
                <w:ilvl w:val="0"/>
                <w:numId w:val="367"/>
              </w:numPr>
              <w:spacing w:after="60"/>
              <w:ind w:hanging="357"/>
              <w:contextualSpacing/>
              <w:rPr>
                <w:rFonts w:cs="Arial"/>
                <w:color w:val="000000"/>
                <w:sz w:val="14"/>
                <w:szCs w:val="16"/>
                <w:lang w:val="en-GB"/>
              </w:rPr>
            </w:pPr>
            <w:r w:rsidRPr="0020102B">
              <w:rPr>
                <w:rFonts w:cs="Arial"/>
                <w:color w:val="000000"/>
                <w:sz w:val="14"/>
                <w:szCs w:val="16"/>
                <w:lang w:val="en-GB"/>
              </w:rPr>
              <w:t>if the members of the group are related bodies corporate—no related body corporate of any member of the group that employs a worker or workers in employment to which this Act applies is not a member of the group.</w:t>
            </w:r>
          </w:p>
        </w:tc>
      </w:tr>
      <w:tr w:rsidR="0020102B" w:rsidRPr="0020102B" w14:paraId="3C98D21C" w14:textId="77777777" w:rsidTr="00B2173F">
        <w:tc>
          <w:tcPr>
            <w:tcW w:w="1343" w:type="dxa"/>
            <w:tcMar>
              <w:top w:w="80" w:type="dxa"/>
              <w:left w:w="80" w:type="dxa"/>
              <w:bottom w:w="80" w:type="dxa"/>
              <w:right w:w="80" w:type="dxa"/>
            </w:tcMar>
          </w:tcPr>
          <w:p w14:paraId="5285A568"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Tasmania</w:t>
            </w:r>
          </w:p>
        </w:tc>
        <w:tc>
          <w:tcPr>
            <w:tcW w:w="13672" w:type="dxa"/>
            <w:tcMar>
              <w:top w:w="80" w:type="dxa"/>
              <w:left w:w="80" w:type="dxa"/>
              <w:bottom w:w="80" w:type="dxa"/>
              <w:right w:w="80" w:type="dxa"/>
            </w:tcMar>
          </w:tcPr>
          <w:p w14:paraId="6C275946" w14:textId="7654D21E"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N/A</w:t>
            </w:r>
          </w:p>
        </w:tc>
      </w:tr>
      <w:tr w:rsidR="0020102B" w:rsidRPr="0020102B" w14:paraId="0627B759" w14:textId="77777777" w:rsidTr="00B2173F">
        <w:tc>
          <w:tcPr>
            <w:tcW w:w="1343" w:type="dxa"/>
            <w:shd w:val="clear" w:color="auto" w:fill="FFC9C9"/>
            <w:tcMar>
              <w:top w:w="80" w:type="dxa"/>
              <w:left w:w="80" w:type="dxa"/>
              <w:bottom w:w="80" w:type="dxa"/>
              <w:right w:w="80" w:type="dxa"/>
            </w:tcMar>
          </w:tcPr>
          <w:p w14:paraId="4DC1436E"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Northern Territory</w:t>
            </w:r>
          </w:p>
        </w:tc>
        <w:tc>
          <w:tcPr>
            <w:tcW w:w="13672" w:type="dxa"/>
            <w:shd w:val="clear" w:color="auto" w:fill="FFC9C9"/>
            <w:tcMar>
              <w:top w:w="80" w:type="dxa"/>
              <w:left w:w="80" w:type="dxa"/>
              <w:bottom w:w="80" w:type="dxa"/>
              <w:right w:w="80" w:type="dxa"/>
            </w:tcMar>
          </w:tcPr>
          <w:p w14:paraId="0A44A2D7" w14:textId="2F0DD2B1"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N/A</w:t>
            </w:r>
          </w:p>
        </w:tc>
      </w:tr>
      <w:tr w:rsidR="0020102B" w:rsidRPr="0020102B" w14:paraId="6A7BF8FB" w14:textId="77777777" w:rsidTr="00B2173F">
        <w:tc>
          <w:tcPr>
            <w:tcW w:w="1343" w:type="dxa"/>
            <w:tcMar>
              <w:top w:w="80" w:type="dxa"/>
              <w:left w:w="80" w:type="dxa"/>
              <w:bottom w:w="80" w:type="dxa"/>
              <w:right w:w="80" w:type="dxa"/>
            </w:tcMar>
          </w:tcPr>
          <w:p w14:paraId="3CB18F60"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Australian Capital Territory</w:t>
            </w:r>
          </w:p>
        </w:tc>
        <w:tc>
          <w:tcPr>
            <w:tcW w:w="13672" w:type="dxa"/>
            <w:tcMar>
              <w:top w:w="80" w:type="dxa"/>
              <w:left w:w="80" w:type="dxa"/>
              <w:bottom w:w="80" w:type="dxa"/>
              <w:right w:w="80" w:type="dxa"/>
            </w:tcMar>
          </w:tcPr>
          <w:p w14:paraId="02D618A4" w14:textId="4058ABA4"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N/A</w:t>
            </w:r>
          </w:p>
        </w:tc>
      </w:tr>
      <w:tr w:rsidR="0020102B" w:rsidRPr="0020102B" w14:paraId="22B33EC0" w14:textId="77777777" w:rsidTr="00B2173F">
        <w:tc>
          <w:tcPr>
            <w:tcW w:w="1343" w:type="dxa"/>
            <w:shd w:val="clear" w:color="auto" w:fill="FFC9C9"/>
            <w:tcMar>
              <w:top w:w="80" w:type="dxa"/>
              <w:left w:w="80" w:type="dxa"/>
              <w:bottom w:w="80" w:type="dxa"/>
              <w:right w:w="80" w:type="dxa"/>
            </w:tcMar>
          </w:tcPr>
          <w:p w14:paraId="310BB83D"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C’wealth Comcare</w:t>
            </w:r>
          </w:p>
        </w:tc>
        <w:tc>
          <w:tcPr>
            <w:tcW w:w="13672" w:type="dxa"/>
            <w:shd w:val="clear" w:color="auto" w:fill="FFC9C9"/>
            <w:tcMar>
              <w:top w:w="80" w:type="dxa"/>
              <w:left w:w="80" w:type="dxa"/>
              <w:bottom w:w="80" w:type="dxa"/>
              <w:right w:w="80" w:type="dxa"/>
            </w:tcMar>
          </w:tcPr>
          <w:p w14:paraId="29A7BABA" w14:textId="136AFCF5"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A licence is</w:t>
            </w:r>
            <w:r w:rsidR="007E70AF">
              <w:rPr>
                <w:rFonts w:cs="Arial"/>
                <w:color w:val="000000"/>
                <w:sz w:val="14"/>
                <w:szCs w:val="16"/>
                <w:lang w:val="en-GB"/>
              </w:rPr>
              <w:t xml:space="preserve"> required for each legal entity</w:t>
            </w:r>
          </w:p>
        </w:tc>
      </w:tr>
      <w:tr w:rsidR="0020102B" w:rsidRPr="0020102B" w14:paraId="317DF123" w14:textId="77777777" w:rsidTr="00B2173F">
        <w:tc>
          <w:tcPr>
            <w:tcW w:w="1343" w:type="dxa"/>
            <w:tcMar>
              <w:top w:w="80" w:type="dxa"/>
              <w:left w:w="80" w:type="dxa"/>
              <w:bottom w:w="80" w:type="dxa"/>
              <w:right w:w="80" w:type="dxa"/>
            </w:tcMar>
          </w:tcPr>
          <w:p w14:paraId="517B02AC"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New Zealand</w:t>
            </w:r>
          </w:p>
        </w:tc>
        <w:tc>
          <w:tcPr>
            <w:tcW w:w="13672" w:type="dxa"/>
            <w:tcMar>
              <w:top w:w="80" w:type="dxa"/>
              <w:left w:w="80" w:type="dxa"/>
              <w:bottom w:w="80" w:type="dxa"/>
              <w:right w:w="80" w:type="dxa"/>
            </w:tcMar>
          </w:tcPr>
          <w:p w14:paraId="77225FCA" w14:textId="77777777" w:rsidR="0020102B" w:rsidRPr="00AD59AC" w:rsidRDefault="0020102B" w:rsidP="00F839DB">
            <w:pPr>
              <w:pStyle w:val="ListParagraph"/>
              <w:numPr>
                <w:ilvl w:val="0"/>
                <w:numId w:val="370"/>
              </w:numPr>
              <w:spacing w:after="60"/>
              <w:contextualSpacing/>
              <w:rPr>
                <w:rFonts w:eastAsia="Calibri" w:cs="Arial"/>
                <w:sz w:val="14"/>
                <w:szCs w:val="14"/>
                <w:lang w:eastAsia="en-US"/>
              </w:rPr>
            </w:pPr>
            <w:r w:rsidRPr="00AD59AC">
              <w:rPr>
                <w:rFonts w:eastAsia="Calibri" w:cs="Arial"/>
                <w:sz w:val="14"/>
                <w:szCs w:val="14"/>
                <w:lang w:eastAsia="en-US"/>
              </w:rPr>
              <w:t>Any ‘employer’ in New Zealand is eligible to become ‘accredited’ provided they are able to meet the eligibility requirements outlined in regulation. Eligibility is not confined by structure. Therefore any employer entity, including by way of example a company (including a consolidated group of companies), a partnership, an incorporated society, a government, state owned entities, district hospital boards, local government authorities and incorporated societies.</w:t>
            </w:r>
          </w:p>
          <w:p w14:paraId="7CC1CA61" w14:textId="77777777" w:rsidR="0020102B" w:rsidRPr="00AD59AC" w:rsidRDefault="0020102B" w:rsidP="00F839DB">
            <w:pPr>
              <w:pStyle w:val="ListParagraph"/>
              <w:numPr>
                <w:ilvl w:val="0"/>
                <w:numId w:val="370"/>
              </w:numPr>
              <w:spacing w:after="60"/>
              <w:contextualSpacing/>
              <w:rPr>
                <w:rFonts w:eastAsia="Calibri" w:cs="Arial"/>
                <w:sz w:val="14"/>
                <w:szCs w:val="14"/>
                <w:lang w:eastAsia="en-US"/>
              </w:rPr>
            </w:pPr>
            <w:r w:rsidRPr="00AD59AC">
              <w:rPr>
                <w:rFonts w:eastAsia="Calibri" w:cs="Arial"/>
                <w:sz w:val="14"/>
                <w:szCs w:val="14"/>
                <w:lang w:eastAsia="en-US"/>
              </w:rPr>
              <w:t>A group of employers may become accredited where each member of the group meets the definition of a subsidiary company, as determined by the Companies Act. Any subsidiary where ownership is greater than 50% is able to be a member of the accredited group.</w:t>
            </w:r>
          </w:p>
        </w:tc>
      </w:tr>
    </w:tbl>
    <w:p w14:paraId="43BE2528" w14:textId="5476EF6E" w:rsidR="0020102B" w:rsidRPr="00205CCE" w:rsidRDefault="0020102B" w:rsidP="00205CCE">
      <w:pPr>
        <w:pStyle w:val="SWATableheader"/>
      </w:pPr>
      <w:bookmarkStart w:id="206" w:name="_Toc504654710"/>
      <w:r w:rsidRPr="00205CCE">
        <w:lastRenderedPageBreak/>
        <w:t>Table 6.7</w:t>
      </w:r>
      <w:r w:rsidR="00C709C9" w:rsidRPr="00205CCE">
        <w:t>:</w:t>
      </w:r>
      <w:r w:rsidRPr="00205CCE">
        <w:t xml:space="preserve"> Outsourcing of Case Management</w:t>
      </w:r>
      <w:bookmarkEnd w:id="206"/>
      <w:r w:rsidR="00854F23" w:rsidRPr="00205CCE">
        <w:fldChar w:fldCharType="begin"/>
      </w:r>
      <w:r w:rsidR="00854F23" w:rsidRPr="00205CCE">
        <w:instrText xml:space="preserve"> XE "case management outsourcing" </w:instrText>
      </w:r>
      <w:r w:rsidR="00854F23" w:rsidRPr="00205CCE">
        <w:fldChar w:fldCharType="end"/>
      </w:r>
      <w:r w:rsidR="00A41653" w:rsidRPr="00205CCE">
        <w:fldChar w:fldCharType="begin"/>
      </w:r>
      <w:r w:rsidR="00A41653" w:rsidRPr="00205CCE">
        <w:instrText xml:space="preserve"> XE "outsourcing of case management" </w:instrText>
      </w:r>
      <w:r w:rsidR="00A41653" w:rsidRPr="00205CCE">
        <w:fldChar w:fldCharType="end"/>
      </w:r>
      <w:r w:rsidRPr="00205CCE">
        <w:t xml:space="preserve"> </w:t>
      </w:r>
      <w:r w:rsidR="000B568E" w:rsidRPr="00205CCE">
        <w:fldChar w:fldCharType="begin"/>
      </w:r>
      <w:r w:rsidR="000B568E" w:rsidRPr="00205CCE">
        <w:instrText xml:space="preserve"> XE "self-insurer arrangements standards and performance:case management outsourcing"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7 Outsourcing of Case Management "/>
        <w:tblDescription w:val="This table outlines the workers' compensation schemes which allow the outsourcing of case management. "/>
      </w:tblPr>
      <w:tblGrid>
        <w:gridCol w:w="1343"/>
        <w:gridCol w:w="13672"/>
      </w:tblGrid>
      <w:tr w:rsidR="0020102B" w:rsidRPr="0020102B" w14:paraId="64A09CE0" w14:textId="77777777" w:rsidTr="00B2173F">
        <w:trPr>
          <w:tblHeader/>
        </w:trPr>
        <w:tc>
          <w:tcPr>
            <w:tcW w:w="1343" w:type="dxa"/>
            <w:shd w:val="clear" w:color="auto" w:fill="C00000"/>
            <w:tcMar>
              <w:top w:w="0" w:type="dxa"/>
              <w:left w:w="0" w:type="dxa"/>
              <w:bottom w:w="0" w:type="dxa"/>
              <w:right w:w="0" w:type="dxa"/>
            </w:tcMar>
            <w:vAlign w:val="center"/>
          </w:tcPr>
          <w:p w14:paraId="70A4561B" w14:textId="77777777" w:rsidR="0020102B" w:rsidRPr="0020102B" w:rsidRDefault="0020102B" w:rsidP="00292A53">
            <w:pPr>
              <w:pStyle w:val="Tableheaderrow"/>
              <w:spacing w:after="60"/>
            </w:pPr>
          </w:p>
        </w:tc>
        <w:tc>
          <w:tcPr>
            <w:tcW w:w="13672" w:type="dxa"/>
            <w:shd w:val="clear" w:color="auto" w:fill="C00000"/>
            <w:tcMar>
              <w:top w:w="0" w:type="dxa"/>
              <w:left w:w="0" w:type="dxa"/>
              <w:bottom w:w="0" w:type="dxa"/>
              <w:right w:w="0" w:type="dxa"/>
            </w:tcMar>
            <w:vAlign w:val="center"/>
          </w:tcPr>
          <w:p w14:paraId="6B883D32" w14:textId="77777777" w:rsidR="0020102B" w:rsidRPr="0020102B" w:rsidRDefault="0020102B" w:rsidP="00292A53">
            <w:pPr>
              <w:pStyle w:val="Tableheaderrow"/>
              <w:spacing w:after="60"/>
            </w:pPr>
            <w:r w:rsidRPr="0020102B">
              <w:t>Outsourcing allowed</w:t>
            </w:r>
          </w:p>
        </w:tc>
      </w:tr>
      <w:tr w:rsidR="0020102B" w:rsidRPr="0020102B" w14:paraId="4B167DF1" w14:textId="77777777" w:rsidTr="00B2173F">
        <w:tc>
          <w:tcPr>
            <w:tcW w:w="1343" w:type="dxa"/>
            <w:shd w:val="clear" w:color="auto" w:fill="FFC9C9"/>
            <w:tcMar>
              <w:top w:w="80" w:type="dxa"/>
              <w:left w:w="80" w:type="dxa"/>
              <w:bottom w:w="80" w:type="dxa"/>
              <w:right w:w="80" w:type="dxa"/>
            </w:tcMar>
          </w:tcPr>
          <w:p w14:paraId="00AF2501"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New South Wales</w:t>
            </w:r>
          </w:p>
        </w:tc>
        <w:tc>
          <w:tcPr>
            <w:tcW w:w="13672" w:type="dxa"/>
            <w:shd w:val="clear" w:color="auto" w:fill="FFC9C9"/>
            <w:tcMar>
              <w:top w:w="80" w:type="dxa"/>
              <w:left w:w="80" w:type="dxa"/>
              <w:bottom w:w="80" w:type="dxa"/>
              <w:right w:w="80" w:type="dxa"/>
            </w:tcMar>
          </w:tcPr>
          <w:p w14:paraId="5A2B52DB" w14:textId="43AF5952" w:rsidR="0020102B" w:rsidRPr="0020102B" w:rsidRDefault="00FF0226" w:rsidP="00292A53">
            <w:pPr>
              <w:spacing w:after="60"/>
              <w:rPr>
                <w:rFonts w:cs="Arial"/>
                <w:color w:val="000000"/>
                <w:sz w:val="14"/>
                <w:szCs w:val="16"/>
                <w:lang w:val="en-GB"/>
              </w:rPr>
            </w:pPr>
            <w:r>
              <w:rPr>
                <w:rFonts w:cs="Arial"/>
                <w:color w:val="000000"/>
                <w:sz w:val="14"/>
                <w:szCs w:val="16"/>
                <w:lang w:val="en-GB"/>
              </w:rPr>
              <w:t>Outsourcing claims management is permitted but does not remove the self-insurer’s responsibility to meet SIRA expectations.</w:t>
            </w:r>
          </w:p>
        </w:tc>
      </w:tr>
      <w:tr w:rsidR="0020102B" w:rsidRPr="0020102B" w14:paraId="447836FB" w14:textId="77777777" w:rsidTr="00B2173F">
        <w:tc>
          <w:tcPr>
            <w:tcW w:w="1343" w:type="dxa"/>
            <w:tcMar>
              <w:top w:w="80" w:type="dxa"/>
              <w:left w:w="80" w:type="dxa"/>
              <w:bottom w:w="80" w:type="dxa"/>
              <w:right w:w="80" w:type="dxa"/>
            </w:tcMar>
          </w:tcPr>
          <w:p w14:paraId="38EA5873"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Victoria</w:t>
            </w:r>
          </w:p>
        </w:tc>
        <w:tc>
          <w:tcPr>
            <w:tcW w:w="13672" w:type="dxa"/>
            <w:tcMar>
              <w:top w:w="80" w:type="dxa"/>
              <w:left w:w="80" w:type="dxa"/>
              <w:bottom w:w="80" w:type="dxa"/>
              <w:right w:w="80" w:type="dxa"/>
            </w:tcMar>
          </w:tcPr>
          <w:p w14:paraId="114FFBB6" w14:textId="78415824"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 xml:space="preserve">A self-insurer may appoint a person approved by WorkSafe Victoria to act as the agent to carry out claims management </w:t>
            </w:r>
            <w:r w:rsidR="007E70AF">
              <w:rPr>
                <w:rFonts w:cs="Arial"/>
                <w:color w:val="000000"/>
                <w:sz w:val="14"/>
                <w:szCs w:val="16"/>
                <w:lang w:val="en-GB"/>
              </w:rPr>
              <w:t>functions</w:t>
            </w:r>
            <w:r w:rsidR="008A04C0">
              <w:rPr>
                <w:rFonts w:cs="Arial"/>
                <w:color w:val="000000"/>
                <w:sz w:val="14"/>
                <w:szCs w:val="16"/>
                <w:lang w:val="en-GB"/>
              </w:rPr>
              <w:t xml:space="preserve"> </w:t>
            </w:r>
            <w:r w:rsidR="007E70AF">
              <w:rPr>
                <w:rFonts w:cs="Arial"/>
                <w:color w:val="000000"/>
                <w:sz w:val="14"/>
                <w:szCs w:val="16"/>
                <w:lang w:val="en-GB"/>
              </w:rPr>
              <w:t xml:space="preserve">— </w:t>
            </w:r>
            <w:hyperlink r:id="rId2067" w:history="1">
              <w:r w:rsidR="007E70AF" w:rsidRPr="00BF67DD">
                <w:rPr>
                  <w:rStyle w:val="Hyperlink"/>
                  <w:rFonts w:cs="Arial"/>
                  <w:sz w:val="14"/>
                  <w:szCs w:val="16"/>
                  <w:lang w:val="en-GB"/>
                </w:rPr>
                <w:t>s392</w:t>
              </w:r>
            </w:hyperlink>
            <w:r w:rsidR="007E70AF">
              <w:rPr>
                <w:rFonts w:cs="Arial"/>
                <w:color w:val="000000"/>
                <w:sz w:val="14"/>
                <w:szCs w:val="16"/>
                <w:lang w:val="en-GB"/>
              </w:rPr>
              <w:t xml:space="preserve"> of the </w:t>
            </w:r>
            <w:r w:rsidR="00BF67DD" w:rsidRPr="00016069">
              <w:rPr>
                <w:i/>
                <w:sz w:val="14"/>
              </w:rPr>
              <w:t>Workplace Injury Rehabilitation and Compensation Act 2013</w:t>
            </w:r>
          </w:p>
        </w:tc>
      </w:tr>
      <w:tr w:rsidR="0020102B" w:rsidRPr="0020102B" w14:paraId="1AC0ED81" w14:textId="77777777" w:rsidTr="00B2173F">
        <w:tc>
          <w:tcPr>
            <w:tcW w:w="1343" w:type="dxa"/>
            <w:shd w:val="clear" w:color="auto" w:fill="FFC9C9"/>
            <w:tcMar>
              <w:top w:w="80" w:type="dxa"/>
              <w:left w:w="80" w:type="dxa"/>
              <w:bottom w:w="80" w:type="dxa"/>
              <w:right w:w="80" w:type="dxa"/>
            </w:tcMar>
          </w:tcPr>
          <w:p w14:paraId="52E2080F"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Queensland</w:t>
            </w:r>
          </w:p>
        </w:tc>
        <w:tc>
          <w:tcPr>
            <w:tcW w:w="13672" w:type="dxa"/>
            <w:shd w:val="clear" w:color="auto" w:fill="FFC9C9"/>
            <w:tcMar>
              <w:top w:w="80" w:type="dxa"/>
              <w:left w:w="80" w:type="dxa"/>
              <w:bottom w:w="80" w:type="dxa"/>
              <w:right w:w="80" w:type="dxa"/>
            </w:tcMar>
          </w:tcPr>
          <w:p w14:paraId="445C0F3A" w14:textId="1912F0FB" w:rsidR="0020102B" w:rsidRPr="0020102B" w:rsidRDefault="007E70AF" w:rsidP="00292A53">
            <w:pPr>
              <w:spacing w:after="60"/>
              <w:rPr>
                <w:rFonts w:cs="Arial"/>
                <w:color w:val="000000"/>
                <w:sz w:val="14"/>
                <w:szCs w:val="16"/>
                <w:lang w:val="en-GB"/>
              </w:rPr>
            </w:pPr>
            <w:r>
              <w:rPr>
                <w:rFonts w:cs="Arial"/>
                <w:color w:val="000000"/>
                <w:sz w:val="14"/>
                <w:szCs w:val="16"/>
                <w:lang w:val="en-GB"/>
              </w:rPr>
              <w:t xml:space="preserve">Yes — </w:t>
            </w:r>
            <w:hyperlink r:id="rId2068" w:anchor="sec.92" w:history="1">
              <w:r w:rsidR="00052BE5" w:rsidRPr="007E71B9">
                <w:rPr>
                  <w:rStyle w:val="Hyperlink"/>
                  <w:rFonts w:cs="Arial"/>
                  <w:sz w:val="14"/>
                  <w:szCs w:val="16"/>
                  <w:lang w:val="en-GB"/>
                </w:rPr>
                <w:t>s92(4)</w:t>
              </w:r>
            </w:hyperlink>
            <w:r w:rsidR="00BF67DD">
              <w:rPr>
                <w:rFonts w:cs="Arial"/>
                <w:color w:val="000000"/>
                <w:sz w:val="14"/>
                <w:szCs w:val="16"/>
                <w:lang w:val="en-GB"/>
              </w:rPr>
              <w:t xml:space="preserve"> of the </w:t>
            </w:r>
            <w:r w:rsidR="00BF67DD" w:rsidRPr="00016069">
              <w:rPr>
                <w:i/>
                <w:sz w:val="14"/>
              </w:rPr>
              <w:t>Workers’ Compensation and Rehabilitation Act 2003</w:t>
            </w:r>
          </w:p>
        </w:tc>
      </w:tr>
      <w:tr w:rsidR="0020102B" w:rsidRPr="0020102B" w14:paraId="03129CE6" w14:textId="77777777" w:rsidTr="00B2173F">
        <w:tc>
          <w:tcPr>
            <w:tcW w:w="1343" w:type="dxa"/>
            <w:tcMar>
              <w:top w:w="80" w:type="dxa"/>
              <w:left w:w="80" w:type="dxa"/>
              <w:bottom w:w="80" w:type="dxa"/>
              <w:right w:w="80" w:type="dxa"/>
            </w:tcMar>
          </w:tcPr>
          <w:p w14:paraId="766421A3"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Western Australia</w:t>
            </w:r>
          </w:p>
        </w:tc>
        <w:tc>
          <w:tcPr>
            <w:tcW w:w="13672" w:type="dxa"/>
            <w:tcMar>
              <w:top w:w="80" w:type="dxa"/>
              <w:left w:w="80" w:type="dxa"/>
              <w:bottom w:w="80" w:type="dxa"/>
              <w:right w:w="80" w:type="dxa"/>
            </w:tcMar>
          </w:tcPr>
          <w:p w14:paraId="7A6B57C2" w14:textId="1F24F8E5" w:rsidR="0020102B" w:rsidRPr="0020102B" w:rsidRDefault="007E70AF" w:rsidP="00292A53">
            <w:pPr>
              <w:spacing w:after="60"/>
              <w:rPr>
                <w:rFonts w:cs="Arial"/>
                <w:color w:val="000000"/>
                <w:sz w:val="14"/>
                <w:szCs w:val="16"/>
                <w:lang w:val="en-GB"/>
              </w:rPr>
            </w:pPr>
            <w:r>
              <w:rPr>
                <w:rFonts w:cs="Arial"/>
                <w:color w:val="000000"/>
                <w:sz w:val="14"/>
                <w:szCs w:val="16"/>
                <w:lang w:val="en-GB"/>
              </w:rPr>
              <w:t>Yes</w:t>
            </w:r>
          </w:p>
        </w:tc>
      </w:tr>
      <w:tr w:rsidR="0020102B" w:rsidRPr="0020102B" w14:paraId="5724E38C" w14:textId="77777777" w:rsidTr="00B2173F">
        <w:tc>
          <w:tcPr>
            <w:tcW w:w="1343" w:type="dxa"/>
            <w:shd w:val="clear" w:color="auto" w:fill="FFC9C9"/>
            <w:tcMar>
              <w:top w:w="80" w:type="dxa"/>
              <w:left w:w="80" w:type="dxa"/>
              <w:bottom w:w="80" w:type="dxa"/>
              <w:right w:w="80" w:type="dxa"/>
            </w:tcMar>
          </w:tcPr>
          <w:p w14:paraId="7C19DAEC"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South Australia</w:t>
            </w:r>
          </w:p>
        </w:tc>
        <w:tc>
          <w:tcPr>
            <w:tcW w:w="13672" w:type="dxa"/>
            <w:shd w:val="clear" w:color="auto" w:fill="FFC9C9"/>
            <w:tcMar>
              <w:top w:w="80" w:type="dxa"/>
              <w:left w:w="80" w:type="dxa"/>
              <w:bottom w:w="80" w:type="dxa"/>
              <w:right w:w="80" w:type="dxa"/>
            </w:tcMar>
          </w:tcPr>
          <w:p w14:paraId="06F098DC" w14:textId="3C5BDA94" w:rsidR="0020102B" w:rsidRPr="0020102B" w:rsidRDefault="0020102B" w:rsidP="008A04C0">
            <w:pPr>
              <w:spacing w:after="60"/>
              <w:rPr>
                <w:rFonts w:cs="Arial"/>
                <w:color w:val="000000"/>
                <w:sz w:val="14"/>
                <w:szCs w:val="16"/>
                <w:lang w:val="en-GB"/>
              </w:rPr>
            </w:pPr>
            <w:r w:rsidRPr="0020102B">
              <w:rPr>
                <w:rFonts w:cs="Arial"/>
                <w:color w:val="000000"/>
                <w:sz w:val="14"/>
                <w:szCs w:val="16"/>
                <w:lang w:val="en-GB"/>
              </w:rPr>
              <w:t xml:space="preserve">Decisions must be made by the </w:t>
            </w:r>
            <w:r w:rsidR="00E43A0F">
              <w:rPr>
                <w:rFonts w:cs="Arial"/>
                <w:color w:val="000000"/>
                <w:sz w:val="14"/>
                <w:szCs w:val="16"/>
                <w:lang w:val="en-GB"/>
              </w:rPr>
              <w:t>self-insurer</w:t>
            </w:r>
            <w:r w:rsidRPr="0020102B">
              <w:rPr>
                <w:rFonts w:cs="Arial"/>
                <w:color w:val="000000"/>
                <w:sz w:val="14"/>
                <w:szCs w:val="16"/>
                <w:lang w:val="en-GB"/>
              </w:rPr>
              <w:t xml:space="preserve"> itself and this cannot be delegated </w:t>
            </w:r>
            <w:r w:rsidR="008A04C0">
              <w:rPr>
                <w:rFonts w:cs="Arial"/>
                <w:color w:val="000000"/>
                <w:sz w:val="14"/>
                <w:szCs w:val="16"/>
                <w:lang w:val="en-GB"/>
              </w:rPr>
              <w:t>—</w:t>
            </w:r>
            <w:r w:rsidR="008A04C0" w:rsidRPr="0020102B">
              <w:rPr>
                <w:rFonts w:cs="Arial"/>
                <w:color w:val="000000"/>
                <w:sz w:val="14"/>
                <w:szCs w:val="16"/>
                <w:lang w:val="en-GB"/>
              </w:rPr>
              <w:t xml:space="preserve"> </w:t>
            </w:r>
            <w:r w:rsidRPr="0020102B">
              <w:rPr>
                <w:rFonts w:cs="Arial"/>
                <w:color w:val="000000"/>
                <w:sz w:val="14"/>
                <w:szCs w:val="16"/>
                <w:lang w:val="en-GB"/>
              </w:rPr>
              <w:t>clause</w:t>
            </w:r>
            <w:r w:rsidR="007E70AF">
              <w:rPr>
                <w:rFonts w:cs="Arial"/>
                <w:color w:val="000000"/>
                <w:sz w:val="14"/>
                <w:szCs w:val="16"/>
                <w:lang w:val="en-GB"/>
              </w:rPr>
              <w:t xml:space="preserve"> 2.4.3 b of the Code of Conduct</w:t>
            </w:r>
          </w:p>
        </w:tc>
      </w:tr>
      <w:tr w:rsidR="0020102B" w:rsidRPr="0020102B" w14:paraId="1737FD00" w14:textId="77777777" w:rsidTr="00B2173F">
        <w:tc>
          <w:tcPr>
            <w:tcW w:w="1343" w:type="dxa"/>
            <w:tcMar>
              <w:top w:w="80" w:type="dxa"/>
              <w:left w:w="80" w:type="dxa"/>
              <w:bottom w:w="80" w:type="dxa"/>
              <w:right w:w="80" w:type="dxa"/>
            </w:tcMar>
          </w:tcPr>
          <w:p w14:paraId="3D3A5178"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Tasmania</w:t>
            </w:r>
          </w:p>
        </w:tc>
        <w:tc>
          <w:tcPr>
            <w:tcW w:w="13672" w:type="dxa"/>
            <w:tcMar>
              <w:top w:w="80" w:type="dxa"/>
              <w:left w:w="80" w:type="dxa"/>
              <w:bottom w:w="80" w:type="dxa"/>
              <w:right w:w="80" w:type="dxa"/>
            </w:tcMar>
          </w:tcPr>
          <w:p w14:paraId="015439BF" w14:textId="43420845"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Yes</w:t>
            </w:r>
          </w:p>
        </w:tc>
      </w:tr>
      <w:tr w:rsidR="0020102B" w:rsidRPr="0020102B" w14:paraId="0B10D9A1" w14:textId="77777777" w:rsidTr="00B2173F">
        <w:tc>
          <w:tcPr>
            <w:tcW w:w="1343" w:type="dxa"/>
            <w:shd w:val="clear" w:color="auto" w:fill="FFC9C9"/>
            <w:tcMar>
              <w:top w:w="80" w:type="dxa"/>
              <w:left w:w="80" w:type="dxa"/>
              <w:bottom w:w="80" w:type="dxa"/>
              <w:right w:w="80" w:type="dxa"/>
            </w:tcMar>
          </w:tcPr>
          <w:p w14:paraId="59F1ADB6"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Northern Territory</w:t>
            </w:r>
          </w:p>
        </w:tc>
        <w:tc>
          <w:tcPr>
            <w:tcW w:w="13672" w:type="dxa"/>
            <w:shd w:val="clear" w:color="auto" w:fill="FFC9C9"/>
            <w:tcMar>
              <w:top w:w="80" w:type="dxa"/>
              <w:left w:w="80" w:type="dxa"/>
              <w:bottom w:w="80" w:type="dxa"/>
              <w:right w:w="80" w:type="dxa"/>
            </w:tcMar>
          </w:tcPr>
          <w:p w14:paraId="27A1F3C0" w14:textId="1F166BDB" w:rsidR="0020102B" w:rsidRPr="0020102B" w:rsidRDefault="0020102B" w:rsidP="0082448D">
            <w:pPr>
              <w:spacing w:after="60"/>
              <w:rPr>
                <w:rFonts w:cs="Arial"/>
                <w:color w:val="000000"/>
                <w:sz w:val="14"/>
                <w:szCs w:val="16"/>
                <w:lang w:val="en-GB"/>
              </w:rPr>
            </w:pPr>
            <w:r w:rsidRPr="0020102B">
              <w:rPr>
                <w:rFonts w:cs="Arial"/>
                <w:color w:val="000000"/>
                <w:sz w:val="14"/>
                <w:szCs w:val="16"/>
                <w:lang w:val="en-GB"/>
              </w:rPr>
              <w:t xml:space="preserve">Not covered in legislation. </w:t>
            </w:r>
          </w:p>
        </w:tc>
      </w:tr>
      <w:tr w:rsidR="0020102B" w:rsidRPr="0020102B" w14:paraId="298A8179" w14:textId="77777777" w:rsidTr="00B2173F">
        <w:tc>
          <w:tcPr>
            <w:tcW w:w="1343" w:type="dxa"/>
            <w:tcMar>
              <w:top w:w="80" w:type="dxa"/>
              <w:left w:w="80" w:type="dxa"/>
              <w:bottom w:w="80" w:type="dxa"/>
              <w:right w:w="80" w:type="dxa"/>
            </w:tcMar>
          </w:tcPr>
          <w:p w14:paraId="2079B6E7"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Australian Capital Territory</w:t>
            </w:r>
          </w:p>
        </w:tc>
        <w:tc>
          <w:tcPr>
            <w:tcW w:w="13672" w:type="dxa"/>
            <w:tcMar>
              <w:top w:w="80" w:type="dxa"/>
              <w:left w:w="80" w:type="dxa"/>
              <w:bottom w:w="80" w:type="dxa"/>
              <w:right w:w="80" w:type="dxa"/>
            </w:tcMar>
          </w:tcPr>
          <w:p w14:paraId="786A8558" w14:textId="228B589A"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Yes</w:t>
            </w:r>
          </w:p>
        </w:tc>
      </w:tr>
      <w:tr w:rsidR="0020102B" w:rsidRPr="0020102B" w14:paraId="5D87CC29" w14:textId="77777777" w:rsidTr="00B2173F">
        <w:tc>
          <w:tcPr>
            <w:tcW w:w="1343" w:type="dxa"/>
            <w:shd w:val="clear" w:color="auto" w:fill="FFC9C9"/>
            <w:tcMar>
              <w:top w:w="80" w:type="dxa"/>
              <w:left w:w="80" w:type="dxa"/>
              <w:bottom w:w="80" w:type="dxa"/>
              <w:right w:w="80" w:type="dxa"/>
            </w:tcMar>
          </w:tcPr>
          <w:p w14:paraId="4195C637"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C’wealth Comcare</w:t>
            </w:r>
          </w:p>
        </w:tc>
        <w:tc>
          <w:tcPr>
            <w:tcW w:w="13672" w:type="dxa"/>
            <w:shd w:val="clear" w:color="auto" w:fill="FFC9C9"/>
            <w:tcMar>
              <w:top w:w="80" w:type="dxa"/>
              <w:left w:w="80" w:type="dxa"/>
              <w:bottom w:w="80" w:type="dxa"/>
              <w:right w:w="80" w:type="dxa"/>
            </w:tcMar>
          </w:tcPr>
          <w:p w14:paraId="29E1FBDB" w14:textId="285AFCAB" w:rsidR="0020102B" w:rsidRPr="0020102B" w:rsidRDefault="0020102B" w:rsidP="00BF67DD">
            <w:pPr>
              <w:spacing w:after="60"/>
              <w:jc w:val="both"/>
              <w:rPr>
                <w:rFonts w:cs="Arial"/>
                <w:color w:val="000000"/>
                <w:sz w:val="14"/>
                <w:szCs w:val="16"/>
                <w:lang w:val="en-GB"/>
              </w:rPr>
            </w:pPr>
            <w:r w:rsidRPr="0020102B">
              <w:rPr>
                <w:rFonts w:cs="Arial"/>
                <w:color w:val="000000"/>
                <w:sz w:val="14"/>
                <w:szCs w:val="16"/>
                <w:lang w:val="en-GB"/>
              </w:rPr>
              <w:t xml:space="preserve">Section </w:t>
            </w:r>
            <w:hyperlink r:id="rId2069" w:history="1">
              <w:r w:rsidRPr="00BF67DD">
                <w:rPr>
                  <w:rStyle w:val="Hyperlink"/>
                  <w:rFonts w:cs="Arial"/>
                  <w:sz w:val="14"/>
                  <w:szCs w:val="16"/>
                  <w:lang w:val="en-GB"/>
                </w:rPr>
                <w:t>108B</w:t>
              </w:r>
            </w:hyperlink>
            <w:r w:rsidRPr="0020102B">
              <w:rPr>
                <w:rFonts w:cs="Arial"/>
                <w:color w:val="000000"/>
                <w:sz w:val="14"/>
                <w:szCs w:val="16"/>
                <w:lang w:val="en-GB"/>
              </w:rPr>
              <w:t xml:space="preserve"> of the </w:t>
            </w:r>
            <w:r w:rsidRPr="0020102B">
              <w:rPr>
                <w:rFonts w:cs="Arial"/>
                <w:i/>
                <w:color w:val="000000"/>
                <w:sz w:val="14"/>
                <w:szCs w:val="16"/>
                <w:lang w:val="en-GB"/>
              </w:rPr>
              <w:t>Safety, Rehabilitation and Compensation Act 1988</w:t>
            </w:r>
            <w:r w:rsidRPr="0020102B">
              <w:rPr>
                <w:rFonts w:cs="Arial"/>
                <w:color w:val="000000"/>
                <w:sz w:val="14"/>
                <w:szCs w:val="16"/>
                <w:lang w:val="en-GB"/>
              </w:rPr>
              <w:t xml:space="preserve"> specifies that a licence may authorise a third party (acting on the licensee’s behalf) to manage claims under the Act. Section </w:t>
            </w:r>
            <w:hyperlink r:id="rId2070" w:history="1">
              <w:r w:rsidRPr="00BF67DD">
                <w:rPr>
                  <w:rStyle w:val="Hyperlink"/>
                  <w:rFonts w:cs="Arial"/>
                  <w:sz w:val="14"/>
                  <w:szCs w:val="16"/>
                  <w:lang w:val="en-GB"/>
                </w:rPr>
                <w:t>108B(4)</w:t>
              </w:r>
            </w:hyperlink>
            <w:r w:rsidRPr="0020102B">
              <w:rPr>
                <w:rFonts w:cs="Arial"/>
                <w:color w:val="000000"/>
                <w:sz w:val="14"/>
                <w:szCs w:val="16"/>
                <w:lang w:val="en-GB"/>
              </w:rPr>
              <w:t xml:space="preserve"> stipulates that, should a licensee enter into such a contract, it does not come into force unless, and until, the Commission has varied the licence to note the identity of the contracted claims manager. The licence does not cover claims with a date of injury which pre-dates the date of the licence and the licensee must continue to manage these claims as per State/Territory arrangements.</w:t>
            </w:r>
          </w:p>
        </w:tc>
      </w:tr>
      <w:tr w:rsidR="0020102B" w:rsidRPr="0020102B" w14:paraId="23E2A912" w14:textId="77777777" w:rsidTr="00B2173F">
        <w:tc>
          <w:tcPr>
            <w:tcW w:w="1343" w:type="dxa"/>
            <w:tcMar>
              <w:top w:w="80" w:type="dxa"/>
              <w:left w:w="80" w:type="dxa"/>
              <w:bottom w:w="80" w:type="dxa"/>
              <w:right w:w="80" w:type="dxa"/>
            </w:tcMar>
          </w:tcPr>
          <w:p w14:paraId="3DB0254D"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New Zealand</w:t>
            </w:r>
          </w:p>
        </w:tc>
        <w:tc>
          <w:tcPr>
            <w:tcW w:w="13672" w:type="dxa"/>
            <w:tcMar>
              <w:top w:w="80" w:type="dxa"/>
              <w:left w:w="80" w:type="dxa"/>
              <w:bottom w:w="80" w:type="dxa"/>
              <w:right w:w="80" w:type="dxa"/>
            </w:tcMar>
          </w:tcPr>
          <w:p w14:paraId="2993BDBC" w14:textId="11BC9511"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Although accredited employers may, with the consent of the Manager, retain third party providers to assist in the management of workplace injuries this is subject to them maintaining direct persona</w:t>
            </w:r>
            <w:r w:rsidR="007E70AF">
              <w:rPr>
                <w:rFonts w:cs="Arial"/>
                <w:color w:val="000000"/>
                <w:sz w:val="14"/>
                <w:szCs w:val="16"/>
                <w:lang w:val="en-GB"/>
              </w:rPr>
              <w:t>l involvement with the claimant</w:t>
            </w:r>
          </w:p>
        </w:tc>
      </w:tr>
    </w:tbl>
    <w:p w14:paraId="497CCDDD" w14:textId="085B2372" w:rsidR="00C66972" w:rsidRPr="00C66972" w:rsidRDefault="00C66972" w:rsidP="00C66972">
      <w:pPr>
        <w:spacing w:after="200" w:line="276" w:lineRule="auto"/>
        <w:rPr>
          <w:rFonts w:eastAsiaTheme="minorHAnsi"/>
        </w:rPr>
      </w:pPr>
    </w:p>
    <w:p w14:paraId="53F26536" w14:textId="5E0E73E6" w:rsidR="00AD59AC" w:rsidRPr="00205CCE" w:rsidRDefault="00AD59AC" w:rsidP="00205CCE">
      <w:pPr>
        <w:pStyle w:val="SWATableheader"/>
      </w:pPr>
      <w:bookmarkStart w:id="207" w:name="_Toc504654711"/>
      <w:r w:rsidRPr="00205CCE">
        <w:lastRenderedPageBreak/>
        <w:t>Table 6.8: Other ongoing licence requirements</w:t>
      </w:r>
      <w:bookmarkEnd w:id="207"/>
      <w:r w:rsidRPr="00205CCE">
        <w:t xml:space="preserve"> </w:t>
      </w:r>
      <w:r w:rsidR="00306D40" w:rsidRPr="00205CCE">
        <w:fldChar w:fldCharType="begin"/>
      </w:r>
      <w:r w:rsidR="00306D40" w:rsidRPr="00205CCE">
        <w:instrText xml:space="preserve"> XE "levies:other ongoing licence requirements" \r "licencing" </w:instrText>
      </w:r>
      <w:r w:rsidR="00306D40"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8: Other ongoing licence requirements "/>
        <w:tblDescription w:val=" This table outlines other ongoing licence requirements for workers' compensation schemes. "/>
      </w:tblPr>
      <w:tblGrid>
        <w:gridCol w:w="1201"/>
        <w:gridCol w:w="4557"/>
        <w:gridCol w:w="4557"/>
        <w:gridCol w:w="4558"/>
      </w:tblGrid>
      <w:tr w:rsidR="00AD59AC" w:rsidRPr="00AD59AC" w14:paraId="2C1EA182" w14:textId="77777777" w:rsidTr="00B2173F">
        <w:trPr>
          <w:tblHeader/>
        </w:trPr>
        <w:tc>
          <w:tcPr>
            <w:tcW w:w="1201" w:type="dxa"/>
            <w:shd w:val="clear" w:color="auto" w:fill="C00000"/>
            <w:tcMar>
              <w:top w:w="0" w:type="dxa"/>
              <w:left w:w="0" w:type="dxa"/>
              <w:bottom w:w="0" w:type="dxa"/>
              <w:right w:w="0" w:type="dxa"/>
            </w:tcMar>
            <w:vAlign w:val="center"/>
          </w:tcPr>
          <w:p w14:paraId="15219EDD" w14:textId="77777777" w:rsidR="00AD59AC" w:rsidRPr="00AD59AC" w:rsidRDefault="00AD59AC" w:rsidP="00292A53">
            <w:pPr>
              <w:pStyle w:val="Tableheaderrow"/>
              <w:spacing w:after="60"/>
            </w:pPr>
            <w:bookmarkStart w:id="208" w:name="compliance"/>
            <w:bookmarkStart w:id="209" w:name="licencing"/>
          </w:p>
        </w:tc>
        <w:tc>
          <w:tcPr>
            <w:tcW w:w="4557" w:type="dxa"/>
            <w:shd w:val="clear" w:color="auto" w:fill="C00000"/>
            <w:tcMar>
              <w:top w:w="0" w:type="dxa"/>
              <w:left w:w="0" w:type="dxa"/>
              <w:bottom w:w="0" w:type="dxa"/>
              <w:right w:w="0" w:type="dxa"/>
            </w:tcMar>
            <w:vAlign w:val="center"/>
          </w:tcPr>
          <w:p w14:paraId="45D83A62" w14:textId="238FEB85" w:rsidR="00AD59AC" w:rsidRPr="00AD59AC" w:rsidRDefault="00AD59AC" w:rsidP="00292A53">
            <w:pPr>
              <w:pStyle w:val="Tableheaderrow"/>
              <w:spacing w:after="60"/>
            </w:pPr>
            <w:r w:rsidRPr="00AD59AC">
              <w:t>Compliance with legislation</w:t>
            </w:r>
            <w:r w:rsidR="00306D40">
              <w:t xml:space="preserve"> </w:t>
            </w:r>
            <w:r w:rsidR="00306D40">
              <w:fldChar w:fldCharType="begin"/>
            </w:r>
            <w:r w:rsidR="00306D40">
              <w:instrText xml:space="preserve"> XE "</w:instrText>
            </w:r>
            <w:r w:rsidR="00306D40" w:rsidRPr="004669BE">
              <w:instrText>legislation:compliance with (self-insurers)</w:instrText>
            </w:r>
            <w:r w:rsidR="00306D40">
              <w:instrText xml:space="preserve">" \r "compliance" </w:instrText>
            </w:r>
            <w:r w:rsidR="00306D40">
              <w:fldChar w:fldCharType="end"/>
            </w:r>
            <w:r w:rsidR="000B568E">
              <w:fldChar w:fldCharType="begin"/>
            </w:r>
            <w:r w:rsidR="000B568E">
              <w:instrText xml:space="preserve"> XE "</w:instrText>
            </w:r>
            <w:r w:rsidR="000B568E" w:rsidRPr="00071B37">
              <w:instrText>self-insurer arrangements standards and:compliance with legislation</w:instrText>
            </w:r>
            <w:r w:rsidR="000B568E">
              <w:instrText xml:space="preserve">" \r "compliance" </w:instrText>
            </w:r>
            <w:r w:rsidR="000B568E">
              <w:fldChar w:fldCharType="end"/>
            </w:r>
          </w:p>
        </w:tc>
        <w:tc>
          <w:tcPr>
            <w:tcW w:w="4557" w:type="dxa"/>
            <w:shd w:val="clear" w:color="auto" w:fill="C00000"/>
            <w:tcMar>
              <w:top w:w="0" w:type="dxa"/>
              <w:left w:w="0" w:type="dxa"/>
              <w:bottom w:w="0" w:type="dxa"/>
              <w:right w:w="0" w:type="dxa"/>
            </w:tcMar>
            <w:vAlign w:val="center"/>
          </w:tcPr>
          <w:p w14:paraId="1344A0FD" w14:textId="0589C61C" w:rsidR="00AD59AC" w:rsidRPr="00AD59AC" w:rsidRDefault="00AD59AC" w:rsidP="00292A53">
            <w:pPr>
              <w:pStyle w:val="Tableheaderrow"/>
              <w:spacing w:after="60"/>
            </w:pPr>
            <w:r w:rsidRPr="00AD59AC">
              <w:t>Ongoing licence requirements</w:t>
            </w:r>
            <w:r w:rsidR="000B568E">
              <w:fldChar w:fldCharType="begin"/>
            </w:r>
            <w:r w:rsidR="000B568E">
              <w:instrText xml:space="preserve"> XE "</w:instrText>
            </w:r>
            <w:r w:rsidR="000B568E" w:rsidRPr="00523833">
              <w:instrText>self-insurer arrangements standards and:other ongoing licence requirements</w:instrText>
            </w:r>
            <w:r w:rsidR="000B568E">
              <w:instrText xml:space="preserve">" \r "compliance" </w:instrText>
            </w:r>
            <w:r w:rsidR="000B568E">
              <w:fldChar w:fldCharType="end"/>
            </w:r>
          </w:p>
        </w:tc>
        <w:tc>
          <w:tcPr>
            <w:tcW w:w="4558" w:type="dxa"/>
            <w:shd w:val="clear" w:color="auto" w:fill="C00000"/>
            <w:tcMar>
              <w:top w:w="0" w:type="dxa"/>
              <w:left w:w="0" w:type="dxa"/>
              <w:bottom w:w="0" w:type="dxa"/>
              <w:right w:w="0" w:type="dxa"/>
            </w:tcMar>
            <w:vAlign w:val="center"/>
          </w:tcPr>
          <w:p w14:paraId="4AE0C627" w14:textId="77777777" w:rsidR="00AD59AC" w:rsidRPr="00AD59AC" w:rsidRDefault="00AD59AC" w:rsidP="00292A53">
            <w:pPr>
              <w:pStyle w:val="Tableheaderrow"/>
              <w:spacing w:after="60"/>
            </w:pPr>
            <w:r w:rsidRPr="00AD59AC">
              <w:t>Other matters</w:t>
            </w:r>
          </w:p>
        </w:tc>
      </w:tr>
      <w:tr w:rsidR="00AD59AC" w:rsidRPr="00AD59AC" w14:paraId="1E90C8FD" w14:textId="77777777" w:rsidTr="00B2173F">
        <w:tc>
          <w:tcPr>
            <w:tcW w:w="1201" w:type="dxa"/>
            <w:shd w:val="clear" w:color="auto" w:fill="FFC9C9"/>
            <w:tcMar>
              <w:top w:w="80" w:type="dxa"/>
              <w:left w:w="80" w:type="dxa"/>
              <w:bottom w:w="80" w:type="dxa"/>
              <w:right w:w="80" w:type="dxa"/>
            </w:tcMar>
          </w:tcPr>
          <w:p w14:paraId="2E26BBD0"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New South Wales</w:t>
            </w:r>
          </w:p>
        </w:tc>
        <w:tc>
          <w:tcPr>
            <w:tcW w:w="4557" w:type="dxa"/>
            <w:shd w:val="clear" w:color="auto" w:fill="FFC9C9"/>
            <w:tcMar>
              <w:top w:w="80" w:type="dxa"/>
              <w:left w:w="80" w:type="dxa"/>
              <w:bottom w:w="80" w:type="dxa"/>
              <w:right w:w="80" w:type="dxa"/>
            </w:tcMar>
          </w:tcPr>
          <w:p w14:paraId="1EFFEE42"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 comply with all statutory requirements and conditions of licence for licence continuity. Failure to meet such requirements may constitute a basis for licence suspension, cancellation or non-renewal. Before taking such action SIRA will provide the self-insurer a reasonable opportunity to rectify any breach.</w:t>
            </w:r>
          </w:p>
        </w:tc>
        <w:tc>
          <w:tcPr>
            <w:tcW w:w="4557" w:type="dxa"/>
            <w:shd w:val="clear" w:color="auto" w:fill="FFC9C9"/>
            <w:tcMar>
              <w:top w:w="80" w:type="dxa"/>
              <w:left w:w="80" w:type="dxa"/>
              <w:bottom w:w="80" w:type="dxa"/>
              <w:right w:w="80" w:type="dxa"/>
            </w:tcMar>
          </w:tcPr>
          <w:p w14:paraId="5B642FB1"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 comply with all statutory requirements and conditions of licence for licence continuity. SIRA undertakes ongoing monitoring and review of self-insurers. Self-insurers provide specified information four months after their financial year end to enable an annual review (refer to Table 6.9 Reporting Requirements).</w:t>
            </w:r>
          </w:p>
        </w:tc>
        <w:tc>
          <w:tcPr>
            <w:tcW w:w="4558" w:type="dxa"/>
            <w:shd w:val="clear" w:color="auto" w:fill="FFC9C9"/>
            <w:tcMar>
              <w:top w:w="80" w:type="dxa"/>
              <w:left w:w="80" w:type="dxa"/>
              <w:bottom w:w="80" w:type="dxa"/>
              <w:right w:w="80" w:type="dxa"/>
            </w:tcMar>
          </w:tcPr>
          <w:p w14:paraId="2D8691B6"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w:t>
            </w:r>
          </w:p>
        </w:tc>
      </w:tr>
      <w:tr w:rsidR="00AD59AC" w:rsidRPr="00AD59AC" w14:paraId="3B498B1C" w14:textId="77777777" w:rsidTr="00B2173F">
        <w:tc>
          <w:tcPr>
            <w:tcW w:w="1201" w:type="dxa"/>
            <w:tcMar>
              <w:top w:w="80" w:type="dxa"/>
              <w:left w:w="80" w:type="dxa"/>
              <w:bottom w:w="80" w:type="dxa"/>
              <w:right w:w="80" w:type="dxa"/>
            </w:tcMar>
          </w:tcPr>
          <w:p w14:paraId="337B4B88"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Victoria</w:t>
            </w:r>
          </w:p>
        </w:tc>
        <w:tc>
          <w:tcPr>
            <w:tcW w:w="4557" w:type="dxa"/>
            <w:tcMar>
              <w:top w:w="80" w:type="dxa"/>
              <w:left w:w="80" w:type="dxa"/>
              <w:bottom w:w="80" w:type="dxa"/>
              <w:right w:w="80" w:type="dxa"/>
            </w:tcMar>
          </w:tcPr>
          <w:p w14:paraId="1C0D6E09" w14:textId="326EBEA0"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 xml:space="preserve">WorkSafe Victoria will monitor the self-insurer’s compliance with the </w:t>
            </w:r>
            <w:r w:rsidR="00C01689" w:rsidRPr="00016069">
              <w:rPr>
                <w:i/>
                <w:sz w:val="14"/>
              </w:rPr>
              <w:t>Workplace Injury Rehabilitation and Compensation Act 2013</w:t>
            </w:r>
            <w:r w:rsidRPr="00AD59AC">
              <w:rPr>
                <w:rFonts w:eastAsia="Calibri" w:cs="Arial"/>
                <w:sz w:val="14"/>
                <w:szCs w:val="14"/>
                <w:lang w:eastAsia="en-US"/>
              </w:rPr>
              <w:t xml:space="preserve">, Ministerial Orders, the regulations, any terms and conditions of approval and other legislation (e.g. the </w:t>
            </w:r>
            <w:r w:rsidRPr="00E43A0F">
              <w:rPr>
                <w:rFonts w:eastAsia="Calibri" w:cs="Arial"/>
                <w:i/>
                <w:sz w:val="14"/>
                <w:szCs w:val="14"/>
                <w:lang w:eastAsia="en-US"/>
              </w:rPr>
              <w:t>Occupational Health and Safety Act 2004</w:t>
            </w:r>
            <w:r w:rsidRPr="00AD59AC">
              <w:rPr>
                <w:rFonts w:eastAsia="Calibri" w:cs="Arial"/>
                <w:sz w:val="14"/>
                <w:szCs w:val="14"/>
                <w:lang w:eastAsia="en-US"/>
              </w:rPr>
              <w:t>) throughout the licence period.</w:t>
            </w:r>
          </w:p>
          <w:p w14:paraId="4A4309A3"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An annual performance report is provided to each self-insurer with information on a range of indicators (where possible benchmarked against comparable employers /other self-insurers /or WorkSafe Victoria Agents).</w:t>
            </w:r>
          </w:p>
          <w:p w14:paraId="08D59F2A"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The report includes, but is not limited to an assessment of performance in relation to: self-audits; regulatory audits; financial indicators; incidence of injury and cost of claims; injured worker survey; and administrative compliance.</w:t>
            </w:r>
          </w:p>
        </w:tc>
        <w:tc>
          <w:tcPr>
            <w:tcW w:w="4557" w:type="dxa"/>
            <w:tcMar>
              <w:top w:w="80" w:type="dxa"/>
              <w:left w:w="80" w:type="dxa"/>
              <w:bottom w:w="80" w:type="dxa"/>
              <w:right w:w="80" w:type="dxa"/>
            </w:tcMar>
          </w:tcPr>
          <w:p w14:paraId="0647C5C9"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 xml:space="preserve">Self-insurers must comply with the WIRC Act, Ministerial Orders, the regulations, any terms and conditions of approval and other legislation (e.g. </w:t>
            </w:r>
            <w:r w:rsidRPr="00E43A0F">
              <w:rPr>
                <w:rFonts w:eastAsia="Calibri" w:cs="Arial"/>
                <w:i/>
                <w:sz w:val="14"/>
                <w:szCs w:val="14"/>
                <w:lang w:eastAsia="en-US"/>
              </w:rPr>
              <w:t>Occupational Health and Safety Act 2004</w:t>
            </w:r>
            <w:r w:rsidRPr="00AD59AC">
              <w:rPr>
                <w:rFonts w:eastAsia="Calibri" w:cs="Arial"/>
                <w:sz w:val="14"/>
                <w:szCs w:val="14"/>
                <w:lang w:eastAsia="en-US"/>
              </w:rPr>
              <w:t>).</w:t>
            </w:r>
          </w:p>
          <w:p w14:paraId="0A7B53FD"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Self-insurers are also required to provide specified information at specified times to WorkSafe Victoria.</w:t>
            </w:r>
          </w:p>
          <w:p w14:paraId="3851CB94"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Refer to Tables 6.4, 6.5 and 6.9 for details.</w:t>
            </w:r>
          </w:p>
        </w:tc>
        <w:tc>
          <w:tcPr>
            <w:tcW w:w="4558" w:type="dxa"/>
            <w:tcMar>
              <w:top w:w="80" w:type="dxa"/>
              <w:left w:w="80" w:type="dxa"/>
              <w:bottom w:w="80" w:type="dxa"/>
              <w:right w:w="80" w:type="dxa"/>
            </w:tcMar>
          </w:tcPr>
          <w:p w14:paraId="34FBCF39"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A self-insurer must notify WorkSafe Victoria as soon as they become aware of any strategically significant matter.</w:t>
            </w:r>
          </w:p>
        </w:tc>
      </w:tr>
      <w:tr w:rsidR="00AD59AC" w:rsidRPr="00AD59AC" w14:paraId="3ED7C54B" w14:textId="77777777" w:rsidTr="00B2173F">
        <w:tc>
          <w:tcPr>
            <w:tcW w:w="1201" w:type="dxa"/>
            <w:shd w:val="clear" w:color="auto" w:fill="FFC9C9"/>
            <w:tcMar>
              <w:top w:w="80" w:type="dxa"/>
              <w:left w:w="80" w:type="dxa"/>
              <w:bottom w:w="80" w:type="dxa"/>
              <w:right w:w="80" w:type="dxa"/>
            </w:tcMar>
          </w:tcPr>
          <w:p w14:paraId="0F6A7D01"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Queensland</w:t>
            </w:r>
          </w:p>
        </w:tc>
        <w:tc>
          <w:tcPr>
            <w:tcW w:w="4557" w:type="dxa"/>
            <w:shd w:val="clear" w:color="auto" w:fill="FFC9C9"/>
            <w:tcMar>
              <w:top w:w="80" w:type="dxa"/>
              <w:left w:w="80" w:type="dxa"/>
              <w:bottom w:w="80" w:type="dxa"/>
              <w:right w:w="80" w:type="dxa"/>
            </w:tcMar>
          </w:tcPr>
          <w:p w14:paraId="034A3BF3" w14:textId="46D36BF2" w:rsidR="00AD59AC" w:rsidRPr="00AD59AC" w:rsidRDefault="00A7538C" w:rsidP="00292A53">
            <w:pPr>
              <w:spacing w:after="60"/>
              <w:rPr>
                <w:rFonts w:cs="Arial"/>
                <w:color w:val="000000"/>
                <w:sz w:val="14"/>
                <w:szCs w:val="16"/>
                <w:lang w:val="en-GB"/>
              </w:rPr>
            </w:pPr>
            <w:hyperlink r:id="rId2071" w:anchor="sec.83" w:history="1">
              <w:r w:rsidR="008E0835" w:rsidRPr="007E71B9">
                <w:rPr>
                  <w:rStyle w:val="Hyperlink"/>
                  <w:rFonts w:cs="Arial"/>
                  <w:sz w:val="14"/>
                  <w:szCs w:val="16"/>
                  <w:lang w:val="en-GB"/>
                </w:rPr>
                <w:t>s83</w:t>
              </w:r>
            </w:hyperlink>
            <w:r w:rsidR="008E0835">
              <w:rPr>
                <w:rFonts w:cs="Arial"/>
                <w:color w:val="000000"/>
                <w:sz w:val="14"/>
                <w:szCs w:val="16"/>
                <w:lang w:val="en-GB"/>
              </w:rPr>
              <w:t xml:space="preserve"> </w:t>
            </w:r>
            <w:r w:rsidR="00AD59AC" w:rsidRPr="00AD59AC">
              <w:rPr>
                <w:rFonts w:cs="Arial"/>
                <w:color w:val="000000"/>
                <w:sz w:val="14"/>
                <w:szCs w:val="16"/>
                <w:lang w:val="en-GB"/>
              </w:rPr>
              <w:t xml:space="preserve">— </w:t>
            </w:r>
            <w:r w:rsidR="00AD59AC" w:rsidRPr="00E43A0F">
              <w:rPr>
                <w:rFonts w:cs="Arial"/>
                <w:i/>
                <w:color w:val="000000"/>
                <w:sz w:val="14"/>
                <w:szCs w:val="16"/>
                <w:lang w:val="en-GB"/>
              </w:rPr>
              <w:t>Workers’ Compensation and Rehabilitation Act 2003</w:t>
            </w:r>
            <w:r w:rsidR="00AD59AC" w:rsidRPr="00AD59AC">
              <w:rPr>
                <w:rFonts w:cs="Arial"/>
                <w:color w:val="000000"/>
                <w:sz w:val="14"/>
                <w:szCs w:val="16"/>
                <w:lang w:val="en-GB"/>
              </w:rPr>
              <w:t xml:space="preserve"> — A licence may be subject to: </w:t>
            </w:r>
          </w:p>
          <w:p w14:paraId="51EA8FAD" w14:textId="77777777" w:rsidR="00AD59AC" w:rsidRPr="009B1FE7" w:rsidRDefault="00AD59AC" w:rsidP="00F839DB">
            <w:pPr>
              <w:pStyle w:val="ListParagraph"/>
              <w:numPr>
                <w:ilvl w:val="0"/>
                <w:numId w:val="372"/>
              </w:numPr>
              <w:spacing w:after="60"/>
              <w:ind w:left="357" w:hanging="357"/>
              <w:contextualSpacing/>
              <w:rPr>
                <w:rFonts w:cs="Arial"/>
                <w:color w:val="000000"/>
                <w:sz w:val="14"/>
                <w:szCs w:val="16"/>
                <w:lang w:val="en-GB"/>
              </w:rPr>
            </w:pPr>
            <w:r w:rsidRPr="009B1FE7">
              <w:rPr>
                <w:rFonts w:cs="Arial"/>
                <w:color w:val="000000"/>
                <w:sz w:val="14"/>
                <w:szCs w:val="16"/>
                <w:lang w:val="en-GB"/>
              </w:rPr>
              <w:t xml:space="preserve">the conditions prescribed under a regulation, and </w:t>
            </w:r>
          </w:p>
          <w:p w14:paraId="2E96B4BF" w14:textId="77777777" w:rsidR="00AD59AC" w:rsidRPr="009B1FE7" w:rsidRDefault="00AD59AC" w:rsidP="00F839DB">
            <w:pPr>
              <w:pStyle w:val="ListParagraph"/>
              <w:numPr>
                <w:ilvl w:val="0"/>
                <w:numId w:val="372"/>
              </w:numPr>
              <w:spacing w:after="60"/>
              <w:rPr>
                <w:rFonts w:cs="Arial"/>
                <w:color w:val="000000"/>
                <w:sz w:val="14"/>
                <w:szCs w:val="16"/>
                <w:lang w:val="en-GB"/>
              </w:rPr>
            </w:pPr>
            <w:r w:rsidRPr="009B1FE7">
              <w:rPr>
                <w:rFonts w:cs="Arial"/>
                <w:color w:val="000000"/>
                <w:sz w:val="14"/>
                <w:szCs w:val="16"/>
                <w:lang w:val="en-GB"/>
              </w:rPr>
              <w:t xml:space="preserve">any conditions, not inconsistent with the Act, imposed by the Regulator: </w:t>
            </w:r>
          </w:p>
          <w:p w14:paraId="66A0C625" w14:textId="77777777" w:rsidR="00AD59AC" w:rsidRPr="009B1FE7" w:rsidRDefault="00AD59AC" w:rsidP="00F839DB">
            <w:pPr>
              <w:pStyle w:val="ListParagraph"/>
              <w:numPr>
                <w:ilvl w:val="0"/>
                <w:numId w:val="373"/>
              </w:numPr>
              <w:spacing w:after="60"/>
              <w:ind w:left="357" w:hanging="357"/>
              <w:contextualSpacing/>
              <w:rPr>
                <w:rFonts w:cs="Arial"/>
                <w:color w:val="000000"/>
                <w:sz w:val="14"/>
                <w:szCs w:val="16"/>
                <w:lang w:val="en-GB"/>
              </w:rPr>
            </w:pPr>
            <w:r w:rsidRPr="009B1FE7">
              <w:rPr>
                <w:rFonts w:cs="Arial"/>
                <w:color w:val="000000"/>
                <w:sz w:val="14"/>
                <w:szCs w:val="16"/>
                <w:lang w:val="en-GB"/>
              </w:rPr>
              <w:t>on the issue or renewal of a licence, or</w:t>
            </w:r>
          </w:p>
          <w:p w14:paraId="40DE7393" w14:textId="38C9F2FA" w:rsidR="00AD59AC" w:rsidRPr="009B1FE7" w:rsidRDefault="00AD59AC" w:rsidP="00F839DB">
            <w:pPr>
              <w:pStyle w:val="ListParagraph"/>
              <w:numPr>
                <w:ilvl w:val="0"/>
                <w:numId w:val="373"/>
              </w:numPr>
              <w:spacing w:after="60"/>
              <w:rPr>
                <w:rFonts w:cs="Arial"/>
                <w:color w:val="000000"/>
                <w:sz w:val="14"/>
                <w:szCs w:val="16"/>
                <w:lang w:val="en-GB"/>
              </w:rPr>
            </w:pPr>
            <w:r w:rsidRPr="009B1FE7">
              <w:rPr>
                <w:rFonts w:cs="Arial"/>
                <w:color w:val="000000"/>
                <w:sz w:val="14"/>
                <w:szCs w:val="16"/>
                <w:lang w:val="en-GB"/>
              </w:rPr>
              <w:t>at any time du</w:t>
            </w:r>
            <w:r w:rsidR="003D2FCB">
              <w:rPr>
                <w:rFonts w:cs="Arial"/>
                <w:color w:val="000000"/>
                <w:sz w:val="14"/>
                <w:szCs w:val="16"/>
                <w:lang w:val="en-GB"/>
              </w:rPr>
              <w:t>ring the period of the licence.</w:t>
            </w:r>
          </w:p>
        </w:tc>
        <w:tc>
          <w:tcPr>
            <w:tcW w:w="4557" w:type="dxa"/>
            <w:shd w:val="clear" w:color="auto" w:fill="FFC9C9"/>
            <w:tcMar>
              <w:top w:w="80" w:type="dxa"/>
              <w:left w:w="80" w:type="dxa"/>
              <w:bottom w:w="80" w:type="dxa"/>
              <w:right w:w="80" w:type="dxa"/>
            </w:tcMar>
          </w:tcPr>
          <w:p w14:paraId="3104AB17" w14:textId="77777777" w:rsidR="00AD59AC" w:rsidRPr="009B1FE7" w:rsidRDefault="00AD59AC" w:rsidP="00F839DB">
            <w:pPr>
              <w:pStyle w:val="ListParagraph"/>
              <w:numPr>
                <w:ilvl w:val="0"/>
                <w:numId w:val="374"/>
              </w:numPr>
              <w:spacing w:after="60"/>
              <w:contextualSpacing/>
              <w:rPr>
                <w:rFonts w:eastAsia="Calibri" w:cs="Arial"/>
                <w:sz w:val="14"/>
                <w:szCs w:val="14"/>
                <w:lang w:eastAsia="en-US"/>
              </w:rPr>
            </w:pPr>
            <w:r w:rsidRPr="009B1FE7">
              <w:rPr>
                <w:rFonts w:eastAsia="Calibri" w:cs="Arial"/>
                <w:sz w:val="14"/>
                <w:szCs w:val="14"/>
                <w:lang w:eastAsia="en-US"/>
              </w:rPr>
              <w:t xml:space="preserve">Ability to provide data in the format and at time intervals required by the Regulator. </w:t>
            </w:r>
          </w:p>
          <w:p w14:paraId="1B245F49" w14:textId="77777777" w:rsidR="00AD59AC" w:rsidRPr="009B1FE7" w:rsidRDefault="00AD59AC" w:rsidP="00F839DB">
            <w:pPr>
              <w:pStyle w:val="ListParagraph"/>
              <w:numPr>
                <w:ilvl w:val="0"/>
                <w:numId w:val="374"/>
              </w:numPr>
              <w:spacing w:after="60"/>
              <w:contextualSpacing/>
              <w:rPr>
                <w:rFonts w:eastAsia="Calibri" w:cs="Arial"/>
                <w:sz w:val="14"/>
                <w:szCs w:val="14"/>
                <w:lang w:eastAsia="en-US"/>
              </w:rPr>
            </w:pPr>
            <w:r w:rsidRPr="009B1FE7">
              <w:rPr>
                <w:rFonts w:eastAsia="Calibri" w:cs="Arial"/>
                <w:sz w:val="14"/>
                <w:szCs w:val="14"/>
                <w:lang w:eastAsia="en-US"/>
              </w:rPr>
              <w:t>A self-insurer must supply the Regulator summary information about claims processed on their system.</w:t>
            </w:r>
          </w:p>
          <w:p w14:paraId="5D682366" w14:textId="6A41E4D3" w:rsidR="00AD59AC" w:rsidRPr="00AD59AC" w:rsidRDefault="00A7538C" w:rsidP="00292A53">
            <w:pPr>
              <w:spacing w:after="60"/>
              <w:rPr>
                <w:rFonts w:cs="Arial"/>
                <w:color w:val="000000"/>
                <w:sz w:val="14"/>
                <w:szCs w:val="16"/>
                <w:lang w:val="en-GB"/>
              </w:rPr>
            </w:pPr>
            <w:hyperlink r:id="rId2072" w:anchor="sec.93" w:history="1">
              <w:r w:rsidR="008E0835" w:rsidRPr="007E71B9">
                <w:rPr>
                  <w:rStyle w:val="Hyperlink"/>
                  <w:rFonts w:cs="Arial"/>
                  <w:sz w:val="14"/>
                  <w:szCs w:val="16"/>
                  <w:lang w:val="en-GB"/>
                </w:rPr>
                <w:t>s93</w:t>
              </w:r>
            </w:hyperlink>
            <w:r w:rsidR="008E0835" w:rsidRPr="00AD59AC">
              <w:rPr>
                <w:rFonts w:cs="Arial"/>
                <w:color w:val="000000"/>
                <w:sz w:val="14"/>
                <w:szCs w:val="16"/>
                <w:lang w:val="en-GB"/>
              </w:rPr>
              <w:t xml:space="preserve"> </w:t>
            </w:r>
            <w:r w:rsidR="00AD59AC" w:rsidRPr="00AD59AC">
              <w:rPr>
                <w:rFonts w:cs="Arial"/>
                <w:color w:val="000000"/>
                <w:sz w:val="14"/>
                <w:szCs w:val="16"/>
                <w:lang w:val="en-GB"/>
              </w:rPr>
              <w:t xml:space="preserve">— </w:t>
            </w:r>
            <w:r w:rsidR="00AD59AC" w:rsidRPr="007239A5">
              <w:rPr>
                <w:rFonts w:cs="Arial"/>
                <w:i/>
                <w:color w:val="000000"/>
                <w:sz w:val="14"/>
                <w:szCs w:val="16"/>
                <w:lang w:val="en-GB"/>
              </w:rPr>
              <w:t>Workers’ Compensation and Rehabilitation Act 2003</w:t>
            </w:r>
            <w:r w:rsidR="00AD59AC" w:rsidRPr="00AD59AC">
              <w:rPr>
                <w:rFonts w:cs="Arial"/>
                <w:color w:val="000000"/>
                <w:sz w:val="14"/>
                <w:szCs w:val="16"/>
                <w:lang w:val="en-GB"/>
              </w:rPr>
              <w:t xml:space="preserve"> — When requested, provide copies of:</w:t>
            </w:r>
          </w:p>
          <w:p w14:paraId="7F22DC83" w14:textId="77777777" w:rsidR="00AD59AC" w:rsidRPr="009B1FE7" w:rsidRDefault="00AD59AC" w:rsidP="00F839DB">
            <w:pPr>
              <w:pStyle w:val="ListParagraph"/>
              <w:numPr>
                <w:ilvl w:val="0"/>
                <w:numId w:val="375"/>
              </w:numPr>
              <w:spacing w:after="60"/>
              <w:contextualSpacing/>
              <w:rPr>
                <w:rFonts w:eastAsia="Calibri" w:cs="Arial"/>
                <w:sz w:val="14"/>
                <w:szCs w:val="14"/>
                <w:lang w:eastAsia="en-US"/>
              </w:rPr>
            </w:pPr>
            <w:r w:rsidRPr="009B1FE7">
              <w:rPr>
                <w:rFonts w:eastAsia="Calibri" w:cs="Arial"/>
                <w:sz w:val="14"/>
                <w:szCs w:val="14"/>
                <w:lang w:eastAsia="en-US"/>
              </w:rPr>
              <w:t>documents relating to all claims made</w:t>
            </w:r>
          </w:p>
          <w:p w14:paraId="77729355" w14:textId="77777777" w:rsidR="00AD59AC" w:rsidRPr="009B1FE7" w:rsidRDefault="00AD59AC" w:rsidP="00F839DB">
            <w:pPr>
              <w:pStyle w:val="ListParagraph"/>
              <w:numPr>
                <w:ilvl w:val="0"/>
                <w:numId w:val="375"/>
              </w:numPr>
              <w:spacing w:after="60"/>
              <w:contextualSpacing/>
              <w:rPr>
                <w:rFonts w:eastAsia="Calibri" w:cs="Arial"/>
                <w:sz w:val="14"/>
                <w:szCs w:val="14"/>
                <w:lang w:eastAsia="en-US"/>
              </w:rPr>
            </w:pPr>
            <w:r w:rsidRPr="009B1FE7">
              <w:rPr>
                <w:rFonts w:eastAsia="Calibri" w:cs="Arial"/>
                <w:sz w:val="14"/>
                <w:szCs w:val="14"/>
                <w:lang w:eastAsia="en-US"/>
              </w:rPr>
              <w:t>documents that may assist in assessing the quality and timeliness of claims and rehabilitation management</w:t>
            </w:r>
          </w:p>
          <w:p w14:paraId="018B2CED" w14:textId="77777777" w:rsidR="00AD59AC" w:rsidRPr="009B1FE7" w:rsidRDefault="00AD59AC" w:rsidP="00F839DB">
            <w:pPr>
              <w:pStyle w:val="ListParagraph"/>
              <w:numPr>
                <w:ilvl w:val="0"/>
                <w:numId w:val="375"/>
              </w:numPr>
              <w:spacing w:after="60"/>
              <w:contextualSpacing/>
              <w:rPr>
                <w:rFonts w:eastAsia="Calibri" w:cs="Arial"/>
                <w:sz w:val="14"/>
                <w:szCs w:val="14"/>
                <w:lang w:eastAsia="en-US"/>
              </w:rPr>
            </w:pPr>
            <w:r w:rsidRPr="009B1FE7">
              <w:rPr>
                <w:rFonts w:eastAsia="Calibri" w:cs="Arial"/>
                <w:sz w:val="14"/>
                <w:szCs w:val="14"/>
                <w:lang w:eastAsia="en-US"/>
              </w:rPr>
              <w:t>documents that may assist in assessing the self-insurers financial situation, and</w:t>
            </w:r>
          </w:p>
          <w:p w14:paraId="53473C1D" w14:textId="77777777" w:rsidR="00AD59AC" w:rsidRPr="009B1FE7" w:rsidRDefault="00AD59AC" w:rsidP="00F839DB">
            <w:pPr>
              <w:pStyle w:val="ListParagraph"/>
              <w:numPr>
                <w:ilvl w:val="0"/>
                <w:numId w:val="375"/>
              </w:numPr>
              <w:spacing w:after="60"/>
              <w:contextualSpacing/>
              <w:rPr>
                <w:rFonts w:eastAsia="Calibri" w:cs="Arial"/>
                <w:sz w:val="14"/>
                <w:szCs w:val="14"/>
                <w:lang w:eastAsia="en-US"/>
              </w:rPr>
            </w:pPr>
            <w:r w:rsidRPr="009B1FE7">
              <w:rPr>
                <w:rFonts w:eastAsia="Calibri" w:cs="Arial"/>
                <w:sz w:val="14"/>
                <w:szCs w:val="14"/>
                <w:lang w:eastAsia="en-US"/>
              </w:rPr>
              <w:t>any other documents required to be kept under the licence.</w:t>
            </w:r>
          </w:p>
        </w:tc>
        <w:tc>
          <w:tcPr>
            <w:tcW w:w="4558" w:type="dxa"/>
            <w:shd w:val="clear" w:color="auto" w:fill="FFC9C9"/>
            <w:tcMar>
              <w:top w:w="80" w:type="dxa"/>
              <w:left w:w="80" w:type="dxa"/>
              <w:bottom w:w="80" w:type="dxa"/>
              <w:right w:w="80" w:type="dxa"/>
            </w:tcMar>
          </w:tcPr>
          <w:p w14:paraId="6EDA1154"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w:t>
            </w:r>
          </w:p>
        </w:tc>
      </w:tr>
      <w:tr w:rsidR="00AD59AC" w:rsidRPr="00AD59AC" w14:paraId="0E9FCE55" w14:textId="77777777" w:rsidTr="00B2173F">
        <w:tc>
          <w:tcPr>
            <w:tcW w:w="1201" w:type="dxa"/>
            <w:tcMar>
              <w:top w:w="80" w:type="dxa"/>
              <w:left w:w="80" w:type="dxa"/>
              <w:bottom w:w="80" w:type="dxa"/>
              <w:right w:w="80" w:type="dxa"/>
            </w:tcMar>
          </w:tcPr>
          <w:p w14:paraId="76B898CC"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Western Australia</w:t>
            </w:r>
          </w:p>
        </w:tc>
        <w:tc>
          <w:tcPr>
            <w:tcW w:w="4557" w:type="dxa"/>
            <w:tcMar>
              <w:top w:w="80" w:type="dxa"/>
              <w:left w:w="80" w:type="dxa"/>
              <w:bottom w:w="80" w:type="dxa"/>
              <w:right w:w="80" w:type="dxa"/>
            </w:tcMar>
          </w:tcPr>
          <w:p w14:paraId="22CAC00C" w14:textId="77777777" w:rsidR="00AD59AC" w:rsidRPr="009B1FE7" w:rsidRDefault="00AD59AC" w:rsidP="00F839DB">
            <w:pPr>
              <w:pStyle w:val="ListParagraph"/>
              <w:numPr>
                <w:ilvl w:val="0"/>
                <w:numId w:val="376"/>
              </w:numPr>
              <w:spacing w:after="60"/>
              <w:contextualSpacing/>
              <w:rPr>
                <w:rFonts w:eastAsia="Calibri" w:cs="Arial"/>
                <w:sz w:val="14"/>
                <w:szCs w:val="14"/>
                <w:lang w:eastAsia="en-US"/>
              </w:rPr>
            </w:pPr>
            <w:r w:rsidRPr="009B1FE7">
              <w:rPr>
                <w:rFonts w:eastAsia="Calibri" w:cs="Arial"/>
                <w:sz w:val="14"/>
                <w:szCs w:val="14"/>
                <w:lang w:eastAsia="en-US"/>
              </w:rPr>
              <w:t xml:space="preserve">WorkCover WA monitors self-insurer activities and performance and conducts periodic checks to ascertain if self-insurers maintain an acceptable level of compliance against requirements set out by WorkCover WA and the </w:t>
            </w:r>
            <w:r w:rsidRPr="007239A5">
              <w:rPr>
                <w:rFonts w:eastAsia="Calibri" w:cs="Arial"/>
                <w:i/>
                <w:sz w:val="14"/>
                <w:szCs w:val="14"/>
                <w:lang w:eastAsia="en-US"/>
              </w:rPr>
              <w:t>Workers’ Compensation and Injury Management Act 1981</w:t>
            </w:r>
            <w:r w:rsidRPr="009B1FE7">
              <w:rPr>
                <w:rFonts w:eastAsia="Calibri" w:cs="Arial"/>
                <w:sz w:val="14"/>
                <w:szCs w:val="14"/>
                <w:lang w:eastAsia="en-US"/>
              </w:rPr>
              <w:t xml:space="preserve">. </w:t>
            </w:r>
          </w:p>
          <w:p w14:paraId="5736629A" w14:textId="5108F8F4" w:rsidR="00AD59AC" w:rsidRPr="009B1FE7" w:rsidRDefault="00AD59AC" w:rsidP="00F839DB">
            <w:pPr>
              <w:pStyle w:val="ListParagraph"/>
              <w:numPr>
                <w:ilvl w:val="0"/>
                <w:numId w:val="376"/>
              </w:numPr>
              <w:spacing w:after="60"/>
              <w:contextualSpacing/>
              <w:rPr>
                <w:rFonts w:eastAsia="Calibri" w:cs="Arial"/>
                <w:sz w:val="14"/>
                <w:szCs w:val="14"/>
                <w:lang w:eastAsia="en-US"/>
              </w:rPr>
            </w:pPr>
            <w:r w:rsidRPr="009B1FE7">
              <w:rPr>
                <w:rFonts w:eastAsia="Calibri" w:cs="Arial"/>
                <w:sz w:val="14"/>
                <w:szCs w:val="14"/>
                <w:lang w:eastAsia="en-US"/>
              </w:rPr>
              <w:t xml:space="preserve">If a satisfactory performance is not indicated, a nominated person of the self-insurer may be called before WorkCover WA to show just cause why the approval and exemption of the self-insurer should not be cancelled in accordance with </w:t>
            </w:r>
            <w:hyperlink r:id="rId2073" w:history="1">
              <w:r w:rsidRPr="00A4568C">
                <w:rPr>
                  <w:rStyle w:val="Hyperlink"/>
                  <w:rFonts w:eastAsia="Calibri" w:cs="Arial"/>
                  <w:sz w:val="14"/>
                  <w:szCs w:val="14"/>
                  <w:lang w:eastAsia="en-US"/>
                </w:rPr>
                <w:t>s165</w:t>
              </w:r>
            </w:hyperlink>
            <w:r w:rsidRPr="009B1FE7">
              <w:rPr>
                <w:rFonts w:eastAsia="Calibri" w:cs="Arial"/>
                <w:sz w:val="14"/>
                <w:szCs w:val="14"/>
                <w:lang w:eastAsia="en-US"/>
              </w:rPr>
              <w:t xml:space="preserve"> and </w:t>
            </w:r>
            <w:hyperlink r:id="rId2074" w:history="1">
              <w:r w:rsidRPr="00A4568C">
                <w:rPr>
                  <w:rStyle w:val="Hyperlink"/>
                  <w:rFonts w:eastAsia="Calibri" w:cs="Arial"/>
                  <w:sz w:val="14"/>
                  <w:szCs w:val="14"/>
                  <w:lang w:eastAsia="en-US"/>
                </w:rPr>
                <w:t>s166</w:t>
              </w:r>
            </w:hyperlink>
            <w:r w:rsidRPr="009B1FE7">
              <w:rPr>
                <w:rFonts w:eastAsia="Calibri" w:cs="Arial"/>
                <w:sz w:val="14"/>
                <w:szCs w:val="14"/>
                <w:lang w:eastAsia="en-US"/>
              </w:rPr>
              <w:t xml:space="preserve"> of the Act.</w:t>
            </w:r>
          </w:p>
        </w:tc>
        <w:tc>
          <w:tcPr>
            <w:tcW w:w="4557" w:type="dxa"/>
            <w:tcMar>
              <w:top w:w="80" w:type="dxa"/>
              <w:left w:w="80" w:type="dxa"/>
              <w:bottom w:w="80" w:type="dxa"/>
              <w:right w:w="80" w:type="dxa"/>
            </w:tcMar>
          </w:tcPr>
          <w:p w14:paraId="5C718A68" w14:textId="0188AE05" w:rsidR="00AD59AC" w:rsidRPr="00AD59AC" w:rsidRDefault="00AD59AC" w:rsidP="00DC45CF">
            <w:pPr>
              <w:spacing w:after="60"/>
              <w:rPr>
                <w:rFonts w:cs="Arial"/>
                <w:color w:val="000000"/>
                <w:sz w:val="14"/>
                <w:szCs w:val="16"/>
                <w:lang w:val="en-GB"/>
              </w:rPr>
            </w:pPr>
            <w:r w:rsidRPr="00AD59AC">
              <w:rPr>
                <w:rFonts w:cs="Arial"/>
                <w:color w:val="000000"/>
                <w:sz w:val="14"/>
                <w:szCs w:val="16"/>
                <w:lang w:val="en-GB"/>
              </w:rPr>
              <w:t xml:space="preserve">Self-insurers are required to meet their financial, reporting and claims management obligations as specified under the </w:t>
            </w:r>
            <w:r w:rsidRPr="007239A5">
              <w:rPr>
                <w:rFonts w:cs="Arial"/>
                <w:i/>
                <w:color w:val="000000"/>
                <w:sz w:val="14"/>
                <w:szCs w:val="16"/>
                <w:lang w:val="en-GB"/>
              </w:rPr>
              <w:t>Workers’ Compensation and Injury Management Act 1981</w:t>
            </w:r>
            <w:r w:rsidR="007239A5">
              <w:rPr>
                <w:rFonts w:cs="Arial"/>
                <w:color w:val="000000"/>
                <w:sz w:val="14"/>
                <w:szCs w:val="16"/>
                <w:lang w:val="en-GB"/>
              </w:rPr>
              <w:t xml:space="preserve">. Refer to </w:t>
            </w:r>
            <w:r w:rsidR="00A4568C">
              <w:rPr>
                <w:rFonts w:cs="Arial"/>
                <w:color w:val="000000"/>
                <w:sz w:val="14"/>
                <w:szCs w:val="16"/>
                <w:lang w:val="en-GB"/>
              </w:rPr>
              <w:br/>
            </w:r>
            <w:r w:rsidR="007239A5">
              <w:rPr>
                <w:rFonts w:cs="Arial"/>
                <w:color w:val="000000"/>
                <w:sz w:val="14"/>
                <w:szCs w:val="16"/>
                <w:lang w:val="en-GB"/>
              </w:rPr>
              <w:t>tables 6.8a</w:t>
            </w:r>
            <w:r w:rsidR="00DC45CF">
              <w:rPr>
                <w:rFonts w:cs="Arial"/>
                <w:color w:val="000000"/>
                <w:sz w:val="14"/>
                <w:szCs w:val="16"/>
                <w:lang w:val="en-GB"/>
              </w:rPr>
              <w:t>–</w:t>
            </w:r>
            <w:r w:rsidRPr="00AD59AC">
              <w:rPr>
                <w:rFonts w:cs="Arial"/>
                <w:color w:val="000000"/>
                <w:sz w:val="14"/>
                <w:szCs w:val="16"/>
                <w:lang w:val="en-GB"/>
              </w:rPr>
              <w:t xml:space="preserve">e for further information. </w:t>
            </w:r>
          </w:p>
        </w:tc>
        <w:tc>
          <w:tcPr>
            <w:tcW w:w="4558" w:type="dxa"/>
            <w:tcMar>
              <w:top w:w="80" w:type="dxa"/>
              <w:left w:w="80" w:type="dxa"/>
              <w:bottom w:w="80" w:type="dxa"/>
              <w:right w:w="80" w:type="dxa"/>
            </w:tcMar>
          </w:tcPr>
          <w:p w14:paraId="0AD7972B"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w:t>
            </w:r>
          </w:p>
          <w:p w14:paraId="0BCF08DE" w14:textId="77777777" w:rsidR="00AD59AC" w:rsidRPr="009B1FE7" w:rsidRDefault="00AD59AC" w:rsidP="00F839DB">
            <w:pPr>
              <w:pStyle w:val="ListParagraph"/>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demonstrate expertise to determine claims within the State in time limits specified</w:t>
            </w:r>
          </w:p>
          <w:p w14:paraId="2093E1A0" w14:textId="77777777" w:rsidR="00AD59AC" w:rsidRPr="009B1FE7" w:rsidRDefault="00AD59AC" w:rsidP="00F839DB">
            <w:pPr>
              <w:pStyle w:val="ListParagraph"/>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effect weekly payments within frequency specified</w:t>
            </w:r>
          </w:p>
          <w:p w14:paraId="64437AB5" w14:textId="77777777" w:rsidR="00AD59AC" w:rsidRPr="009B1FE7" w:rsidRDefault="00AD59AC" w:rsidP="00F839DB">
            <w:pPr>
              <w:pStyle w:val="ListParagraph"/>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carry out responsibility with respect to injury management</w:t>
            </w:r>
          </w:p>
          <w:p w14:paraId="0BC76BD1" w14:textId="77777777" w:rsidR="00AD59AC" w:rsidRPr="009B1FE7" w:rsidRDefault="00AD59AC" w:rsidP="00F839DB">
            <w:pPr>
              <w:pStyle w:val="ListParagraph"/>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submit accurate and timely statistical returns/information</w:t>
            </w:r>
          </w:p>
          <w:p w14:paraId="7C7FE047" w14:textId="77777777" w:rsidR="00AD59AC" w:rsidRPr="009B1FE7" w:rsidRDefault="00AD59AC" w:rsidP="00F839DB">
            <w:pPr>
              <w:pStyle w:val="ListParagraph"/>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provide and maintain a copy of their organisational chart</w:t>
            </w:r>
          </w:p>
          <w:p w14:paraId="50CBFC34" w14:textId="77777777" w:rsidR="00AD59AC" w:rsidRPr="009B1FE7" w:rsidRDefault="00AD59AC" w:rsidP="00F839DB">
            <w:pPr>
              <w:pStyle w:val="ListParagraph"/>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demonstrate that an injury management programme is in place, and</w:t>
            </w:r>
          </w:p>
          <w:p w14:paraId="3C972CD5" w14:textId="317389C4" w:rsidR="00AD59AC" w:rsidRPr="009B1FE7" w:rsidRDefault="00AD59AC" w:rsidP="00F839DB">
            <w:pPr>
              <w:pStyle w:val="ListParagraph"/>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 xml:space="preserve">confirm that information management systems utilised by the </w:t>
            </w:r>
            <w:r w:rsidR="00E43A0F">
              <w:rPr>
                <w:rFonts w:eastAsia="Calibri" w:cs="Arial"/>
                <w:sz w:val="14"/>
                <w:szCs w:val="14"/>
                <w:lang w:eastAsia="en-US"/>
              </w:rPr>
              <w:t>self-insurer</w:t>
            </w:r>
            <w:r w:rsidRPr="009B1FE7">
              <w:rPr>
                <w:rFonts w:eastAsia="Calibri" w:cs="Arial"/>
                <w:sz w:val="14"/>
                <w:szCs w:val="14"/>
                <w:lang w:eastAsia="en-US"/>
              </w:rPr>
              <w:t xml:space="preserve"> are able to meet the compliance standards as </w:t>
            </w:r>
            <w:r w:rsidRPr="009B1FE7">
              <w:rPr>
                <w:rFonts w:eastAsia="Calibri" w:cs="Arial"/>
                <w:sz w:val="14"/>
                <w:szCs w:val="14"/>
                <w:lang w:eastAsia="en-US"/>
              </w:rPr>
              <w:lastRenderedPageBreak/>
              <w:t>defined in the Q1 specifications including the provision of data and returns.</w:t>
            </w:r>
          </w:p>
        </w:tc>
      </w:tr>
      <w:tr w:rsidR="00AD59AC" w:rsidRPr="00AD59AC" w14:paraId="0BB1C1BF" w14:textId="77777777" w:rsidTr="00B2173F">
        <w:tc>
          <w:tcPr>
            <w:tcW w:w="1201" w:type="dxa"/>
            <w:shd w:val="clear" w:color="auto" w:fill="FFC9C9"/>
            <w:tcMar>
              <w:top w:w="80" w:type="dxa"/>
              <w:left w:w="80" w:type="dxa"/>
              <w:bottom w:w="80" w:type="dxa"/>
              <w:right w:w="80" w:type="dxa"/>
            </w:tcMar>
          </w:tcPr>
          <w:p w14:paraId="23BB5C63"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lastRenderedPageBreak/>
              <w:t>South Australia</w:t>
            </w:r>
          </w:p>
        </w:tc>
        <w:tc>
          <w:tcPr>
            <w:tcW w:w="4557" w:type="dxa"/>
            <w:shd w:val="clear" w:color="auto" w:fill="FFC9C9"/>
            <w:tcMar>
              <w:top w:w="80" w:type="dxa"/>
              <w:left w:w="80" w:type="dxa"/>
              <w:bottom w:w="80" w:type="dxa"/>
              <w:right w:w="80" w:type="dxa"/>
            </w:tcMar>
          </w:tcPr>
          <w:p w14:paraId="65D3FCB5" w14:textId="3CF32782" w:rsidR="00AD59AC" w:rsidRPr="009B1FE7" w:rsidRDefault="00AD59AC" w:rsidP="00F839DB">
            <w:pPr>
              <w:pStyle w:val="ListParagraph"/>
              <w:numPr>
                <w:ilvl w:val="0"/>
                <w:numId w:val="378"/>
              </w:numPr>
              <w:spacing w:after="60"/>
              <w:contextualSpacing/>
              <w:rPr>
                <w:rFonts w:eastAsia="Calibri" w:cs="Arial"/>
                <w:sz w:val="14"/>
                <w:szCs w:val="14"/>
                <w:lang w:eastAsia="en-US"/>
              </w:rPr>
            </w:pPr>
            <w:r w:rsidRPr="009B1FE7">
              <w:rPr>
                <w:rFonts w:eastAsia="Calibri" w:cs="Arial"/>
                <w:sz w:val="14"/>
                <w:szCs w:val="14"/>
                <w:lang w:eastAsia="en-US"/>
              </w:rPr>
              <w:t xml:space="preserve">ReturnToWorkSA may revoke the registration of a self-insured employer or group of self-insured employers, or reduce the period of registration, if the employer, or a member of the group, (as the case requires) breaches or fails to comply with the Act or a term or condition of registration — </w:t>
            </w:r>
            <w:hyperlink r:id="rId2075" w:history="1">
              <w:r w:rsidRPr="009B1FE7">
                <w:rPr>
                  <w:rFonts w:eastAsia="Calibri" w:cs="Arial"/>
                  <w:color w:val="0000FF"/>
                  <w:sz w:val="14"/>
                  <w:szCs w:val="14"/>
                  <w:u w:val="single"/>
                  <w:lang w:eastAsia="en-US"/>
                </w:rPr>
                <w:t>s129(9)</w:t>
              </w:r>
            </w:hyperlink>
            <w:r w:rsidRPr="009B1FE7">
              <w:rPr>
                <w:rFonts w:eastAsia="Calibri" w:cs="Arial"/>
                <w:i/>
                <w:sz w:val="14"/>
                <w:szCs w:val="14"/>
                <w:lang w:eastAsia="en-US"/>
              </w:rPr>
              <w:t xml:space="preserve"> </w:t>
            </w:r>
            <w:r w:rsidR="00A4568C" w:rsidRPr="00016069">
              <w:rPr>
                <w:i/>
                <w:sz w:val="14"/>
              </w:rPr>
              <w:t>Return to Work Act 2014</w:t>
            </w:r>
          </w:p>
          <w:p w14:paraId="1092952E" w14:textId="2F7C30B5" w:rsidR="00AD59AC" w:rsidRPr="009B1FE7" w:rsidRDefault="00AD59AC" w:rsidP="00F839DB">
            <w:pPr>
              <w:pStyle w:val="ListParagraph"/>
              <w:numPr>
                <w:ilvl w:val="0"/>
                <w:numId w:val="378"/>
              </w:numPr>
              <w:spacing w:after="60"/>
              <w:contextualSpacing/>
              <w:rPr>
                <w:rFonts w:eastAsia="Calibri" w:cs="Arial"/>
                <w:sz w:val="14"/>
                <w:szCs w:val="14"/>
                <w:lang w:eastAsia="en-US"/>
              </w:rPr>
            </w:pPr>
            <w:r w:rsidRPr="009B1FE7">
              <w:rPr>
                <w:rFonts w:eastAsia="Calibri" w:cs="Arial"/>
                <w:sz w:val="14"/>
                <w:szCs w:val="14"/>
                <w:lang w:eastAsia="en-US"/>
              </w:rPr>
              <w:t xml:space="preserve">Self-insurers must comply with all statutory requirements and conditions of registration for registration continuity. Failure to meet requirements may result in reduction, revocation or non-renewal of self-insured registration. Furthermore, any proven systemic abuse of a delegation under the Act may result in the delegation being removed — </w:t>
            </w:r>
            <w:hyperlink r:id="rId2076" w:history="1">
              <w:r w:rsidRPr="009B1FE7">
                <w:rPr>
                  <w:rFonts w:eastAsia="Calibri" w:cs="Arial"/>
                  <w:color w:val="0000FF"/>
                  <w:sz w:val="14"/>
                  <w:szCs w:val="14"/>
                  <w:u w:val="single"/>
                  <w:lang w:eastAsia="en-US"/>
                </w:rPr>
                <w:t xml:space="preserve">Code of Conduct for </w:t>
              </w:r>
              <w:r w:rsidR="00E43A0F">
                <w:rPr>
                  <w:rFonts w:eastAsia="Calibri" w:cs="Arial"/>
                  <w:color w:val="0000FF"/>
                  <w:sz w:val="14"/>
                  <w:szCs w:val="14"/>
                  <w:u w:val="single"/>
                  <w:lang w:eastAsia="en-US"/>
                </w:rPr>
                <w:t>Self-insured</w:t>
              </w:r>
              <w:r w:rsidRPr="009B1FE7">
                <w:rPr>
                  <w:rFonts w:eastAsia="Calibri" w:cs="Arial"/>
                  <w:color w:val="0000FF"/>
                  <w:sz w:val="14"/>
                  <w:szCs w:val="14"/>
                  <w:u w:val="single"/>
                  <w:lang w:eastAsia="en-US"/>
                </w:rPr>
                <w:t xml:space="preserve"> Employers</w:t>
              </w:r>
            </w:hyperlink>
          </w:p>
        </w:tc>
        <w:tc>
          <w:tcPr>
            <w:tcW w:w="4557" w:type="dxa"/>
            <w:shd w:val="clear" w:color="auto" w:fill="FFC9C9"/>
            <w:tcMar>
              <w:top w:w="80" w:type="dxa"/>
              <w:left w:w="80" w:type="dxa"/>
              <w:bottom w:w="80" w:type="dxa"/>
              <w:right w:w="80" w:type="dxa"/>
            </w:tcMar>
          </w:tcPr>
          <w:p w14:paraId="6271CEFD"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 comply with all statutory requirements and conditions of registration for registration continuity.</w:t>
            </w:r>
          </w:p>
        </w:tc>
        <w:tc>
          <w:tcPr>
            <w:tcW w:w="4558" w:type="dxa"/>
            <w:shd w:val="clear" w:color="auto" w:fill="FFC9C9"/>
            <w:tcMar>
              <w:top w:w="80" w:type="dxa"/>
              <w:left w:w="80" w:type="dxa"/>
              <w:bottom w:w="80" w:type="dxa"/>
              <w:right w:w="80" w:type="dxa"/>
            </w:tcMar>
          </w:tcPr>
          <w:p w14:paraId="431EB27A"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w:t>
            </w:r>
          </w:p>
        </w:tc>
      </w:tr>
      <w:tr w:rsidR="00AD59AC" w:rsidRPr="00AD59AC" w14:paraId="0054858B" w14:textId="77777777" w:rsidTr="00B2173F">
        <w:tc>
          <w:tcPr>
            <w:tcW w:w="1201" w:type="dxa"/>
            <w:tcMar>
              <w:top w:w="80" w:type="dxa"/>
              <w:left w:w="80" w:type="dxa"/>
              <w:bottom w:w="80" w:type="dxa"/>
              <w:right w:w="80" w:type="dxa"/>
            </w:tcMar>
          </w:tcPr>
          <w:p w14:paraId="3D62848B"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Tasmania</w:t>
            </w:r>
          </w:p>
        </w:tc>
        <w:tc>
          <w:tcPr>
            <w:tcW w:w="4557" w:type="dxa"/>
            <w:tcMar>
              <w:top w:w="80" w:type="dxa"/>
              <w:left w:w="80" w:type="dxa"/>
              <w:bottom w:w="80" w:type="dxa"/>
              <w:right w:w="80" w:type="dxa"/>
            </w:tcMar>
          </w:tcPr>
          <w:p w14:paraId="07839F44" w14:textId="6BF3241B" w:rsidR="00AD59AC" w:rsidRPr="009B1FE7" w:rsidRDefault="00AD59AC" w:rsidP="00F839DB">
            <w:pPr>
              <w:pStyle w:val="ListParagraph"/>
              <w:numPr>
                <w:ilvl w:val="0"/>
                <w:numId w:val="379"/>
              </w:numPr>
              <w:spacing w:after="60"/>
              <w:contextualSpacing/>
              <w:rPr>
                <w:rFonts w:eastAsia="Calibri" w:cs="Arial"/>
                <w:sz w:val="14"/>
                <w:szCs w:val="14"/>
                <w:lang w:eastAsia="en-US"/>
              </w:rPr>
            </w:pPr>
            <w:r w:rsidRPr="009B1FE7">
              <w:rPr>
                <w:rFonts w:eastAsia="Calibri" w:cs="Arial"/>
                <w:sz w:val="14"/>
                <w:szCs w:val="14"/>
                <w:lang w:eastAsia="en-US"/>
              </w:rPr>
              <w:t xml:space="preserve">A permit is subject to such conditions </w:t>
            </w:r>
            <w:r w:rsidR="006C5923">
              <w:rPr>
                <w:rFonts w:eastAsia="Calibri" w:cs="Arial"/>
                <w:sz w:val="14"/>
                <w:szCs w:val="14"/>
                <w:lang w:eastAsia="en-US"/>
              </w:rPr>
              <w:t>as may be imposed by the Board.</w:t>
            </w:r>
            <w:r w:rsidRPr="009B1FE7">
              <w:rPr>
                <w:rFonts w:eastAsia="Calibri" w:cs="Arial"/>
                <w:sz w:val="14"/>
                <w:szCs w:val="14"/>
                <w:lang w:eastAsia="en-US"/>
              </w:rPr>
              <w:t xml:space="preserve"> A self-insurer who fails to comply with, or contravenes, any condition to which the permit is subject is guilty of an offence and is liable on summary conviction to a fine not exceeding</w:t>
            </w:r>
            <w:r w:rsidR="00A4568C">
              <w:rPr>
                <w:rFonts w:eastAsia="Calibri" w:cs="Arial"/>
                <w:sz w:val="14"/>
                <w:szCs w:val="14"/>
                <w:lang w:eastAsia="en-US"/>
              </w:rPr>
              <w:t xml:space="preserve"> 100 penalty units. — </w:t>
            </w:r>
            <w:hyperlink r:id="rId2077" w:history="1">
              <w:r w:rsidR="00A4568C" w:rsidRPr="00A4568C">
                <w:rPr>
                  <w:rStyle w:val="Hyperlink"/>
                  <w:rFonts w:eastAsia="Calibri" w:cs="Arial"/>
                  <w:sz w:val="14"/>
                  <w:szCs w:val="14"/>
                  <w:lang w:eastAsia="en-US"/>
                </w:rPr>
                <w:t>s107</w:t>
              </w:r>
            </w:hyperlink>
            <w:r w:rsidR="00A4568C">
              <w:rPr>
                <w:rFonts w:eastAsia="Calibri" w:cs="Arial"/>
                <w:sz w:val="14"/>
                <w:szCs w:val="14"/>
                <w:lang w:eastAsia="en-US"/>
              </w:rPr>
              <w:t xml:space="preserve"> W</w:t>
            </w:r>
            <w:r w:rsidR="00A4568C" w:rsidRPr="00016069">
              <w:rPr>
                <w:i/>
                <w:sz w:val="14"/>
              </w:rPr>
              <w:t>orkers Rehabilitation and Compensation Act 1988</w:t>
            </w:r>
          </w:p>
          <w:p w14:paraId="5F81B437" w14:textId="77777777" w:rsidR="00AD59AC" w:rsidRPr="009B1FE7" w:rsidRDefault="00AD59AC" w:rsidP="00F839DB">
            <w:pPr>
              <w:pStyle w:val="ListParagraph"/>
              <w:numPr>
                <w:ilvl w:val="0"/>
                <w:numId w:val="379"/>
              </w:numPr>
              <w:spacing w:after="60"/>
              <w:contextualSpacing/>
              <w:rPr>
                <w:rFonts w:eastAsia="Calibri" w:cs="Arial"/>
                <w:sz w:val="14"/>
                <w:szCs w:val="14"/>
                <w:lang w:eastAsia="en-US"/>
              </w:rPr>
            </w:pPr>
            <w:r w:rsidRPr="009B1FE7">
              <w:rPr>
                <w:rFonts w:eastAsia="Calibri" w:cs="Arial"/>
                <w:sz w:val="14"/>
                <w:szCs w:val="14"/>
                <w:lang w:eastAsia="en-US"/>
              </w:rPr>
              <w:t>The Board may at any time, in its absolute discretion, by notice in writing served on a licensed insurer or self-insurer, revoke or suspend a licence or permit if it is satisfied</w:t>
            </w:r>
            <w:bookmarkStart w:id="210" w:name="GS111@Gs1@Hpa@EN"/>
            <w:bookmarkEnd w:id="210"/>
            <w:r w:rsidRPr="009B1FE7">
              <w:rPr>
                <w:rFonts w:eastAsia="Calibri" w:cs="Arial"/>
                <w:sz w:val="14"/>
                <w:szCs w:val="14"/>
                <w:lang w:eastAsia="en-US"/>
              </w:rPr>
              <w:t>:</w:t>
            </w:r>
            <w:bookmarkStart w:id="211" w:name="GS111@Gs1@Hpb@EN"/>
            <w:bookmarkEnd w:id="211"/>
            <w:r w:rsidRPr="009B1FE7">
              <w:rPr>
                <w:rFonts w:eastAsia="Calibri" w:cs="Arial"/>
                <w:sz w:val="14"/>
                <w:szCs w:val="14"/>
                <w:lang w:eastAsia="en-US"/>
              </w:rPr>
              <w:t xml:space="preserve"> </w:t>
            </w:r>
          </w:p>
          <w:p w14:paraId="0DEB8AE2" w14:textId="77777777" w:rsidR="00AD59AC" w:rsidRPr="009B1FE7" w:rsidRDefault="00AD59AC" w:rsidP="00F839DB">
            <w:pPr>
              <w:pStyle w:val="ListParagraph"/>
              <w:numPr>
                <w:ilvl w:val="0"/>
                <w:numId w:val="384"/>
              </w:numPr>
              <w:spacing w:after="60"/>
              <w:rPr>
                <w:rFonts w:cs="Arial"/>
                <w:color w:val="000000"/>
                <w:sz w:val="14"/>
                <w:szCs w:val="16"/>
                <w:lang w:val="en-GB"/>
              </w:rPr>
            </w:pPr>
            <w:r w:rsidRPr="009B1FE7">
              <w:rPr>
                <w:rFonts w:cs="Arial"/>
                <w:color w:val="000000"/>
                <w:sz w:val="14"/>
                <w:szCs w:val="16"/>
                <w:lang w:val="en-GB"/>
              </w:rPr>
              <w:t>that the licensed insurer or self-insurer has failed to comply with any provision of this Act and the failure constitutes a substantial breach of the requirements of this Act, or</w:t>
            </w:r>
          </w:p>
          <w:p w14:paraId="203BBEF8" w14:textId="2472595F" w:rsidR="00AD59AC" w:rsidRPr="009B1FE7" w:rsidRDefault="00AD59AC" w:rsidP="00F839DB">
            <w:pPr>
              <w:pStyle w:val="ListParagraph"/>
              <w:numPr>
                <w:ilvl w:val="0"/>
                <w:numId w:val="384"/>
              </w:numPr>
              <w:spacing w:after="60"/>
              <w:rPr>
                <w:rFonts w:cs="Arial"/>
                <w:color w:val="000000"/>
                <w:sz w:val="14"/>
                <w:szCs w:val="16"/>
                <w:lang w:val="en-GB"/>
              </w:rPr>
            </w:pPr>
            <w:bookmarkStart w:id="212" w:name="GS111@Gs1@Hpc@EN"/>
            <w:bookmarkEnd w:id="212"/>
            <w:r w:rsidRPr="009B1FE7">
              <w:rPr>
                <w:rFonts w:cs="Arial"/>
                <w:color w:val="000000"/>
                <w:sz w:val="14"/>
                <w:szCs w:val="16"/>
                <w:lang w:val="en-GB"/>
              </w:rPr>
              <w:t xml:space="preserve">that the licensed insurer or self-insurer has been convicted of an offence against this Act — </w:t>
            </w:r>
            <w:hyperlink r:id="rId2078" w:anchor="GS111@EN" w:history="1">
              <w:r w:rsidRPr="009B1FE7">
                <w:rPr>
                  <w:rFonts w:cs="Arial"/>
                  <w:color w:val="0000FF"/>
                  <w:sz w:val="14"/>
                  <w:szCs w:val="16"/>
                  <w:u w:val="single"/>
                  <w:lang w:val="en-GB"/>
                </w:rPr>
                <w:t>s111(1)(b) and (c)</w:t>
              </w:r>
            </w:hyperlink>
          </w:p>
        </w:tc>
        <w:tc>
          <w:tcPr>
            <w:tcW w:w="4557" w:type="dxa"/>
            <w:tcMar>
              <w:top w:w="80" w:type="dxa"/>
              <w:left w:w="80" w:type="dxa"/>
              <w:bottom w:w="80" w:type="dxa"/>
              <w:right w:w="80" w:type="dxa"/>
            </w:tcMar>
          </w:tcPr>
          <w:p w14:paraId="2F19F2C8" w14:textId="170B7699" w:rsidR="00AD59AC" w:rsidRPr="00AD59AC" w:rsidRDefault="00A7538C" w:rsidP="00292A53">
            <w:pPr>
              <w:spacing w:after="60"/>
              <w:rPr>
                <w:rFonts w:cs="Arial"/>
                <w:color w:val="000000"/>
                <w:sz w:val="14"/>
                <w:szCs w:val="16"/>
                <w:lang w:val="en-GB"/>
              </w:rPr>
            </w:pPr>
            <w:hyperlink r:id="rId2079" w:history="1">
              <w:r w:rsidR="00A4568C" w:rsidRPr="00A4568C">
                <w:rPr>
                  <w:rStyle w:val="Hyperlink"/>
                  <w:rFonts w:eastAsia="Calibri" w:cs="Arial"/>
                  <w:sz w:val="14"/>
                  <w:szCs w:val="14"/>
                  <w:lang w:eastAsia="en-US"/>
                </w:rPr>
                <w:t>s107</w:t>
              </w:r>
            </w:hyperlink>
            <w:r w:rsidR="00A4568C">
              <w:rPr>
                <w:rFonts w:cs="Arial"/>
                <w:color w:val="000000"/>
                <w:sz w:val="14"/>
                <w:szCs w:val="16"/>
                <w:lang w:val="en-GB"/>
              </w:rPr>
              <w:t xml:space="preserve"> —</w:t>
            </w:r>
            <w:r w:rsidR="00AD59AC" w:rsidRPr="00AD59AC">
              <w:rPr>
                <w:rFonts w:cs="Arial"/>
                <w:color w:val="000000"/>
                <w:sz w:val="14"/>
                <w:szCs w:val="16"/>
                <w:lang w:val="en-GB"/>
              </w:rPr>
              <w:t xml:space="preserve"> Conditions of permits </w:t>
            </w:r>
          </w:p>
          <w:p w14:paraId="1183AF76" w14:textId="77777777" w:rsidR="00AD59AC" w:rsidRPr="009B1FE7" w:rsidRDefault="00AD59AC" w:rsidP="00F839DB">
            <w:pPr>
              <w:pStyle w:val="Table123"/>
              <w:numPr>
                <w:ilvl w:val="0"/>
                <w:numId w:val="380"/>
              </w:numPr>
              <w:spacing w:after="60" w:afterAutospacing="0"/>
              <w:rPr>
                <w:color w:val="000000"/>
              </w:rPr>
            </w:pPr>
            <w:bookmarkStart w:id="213" w:name="GS107@Gs1@EN"/>
            <w:bookmarkEnd w:id="213"/>
            <w:r w:rsidRPr="009B1FE7">
              <w:rPr>
                <w:color w:val="000000"/>
              </w:rPr>
              <w:t>A permit is subject to such conditions as may be imposed by the Board:</w:t>
            </w:r>
            <w:bookmarkStart w:id="214" w:name="GS107@Gs1@Hpa@EN"/>
            <w:bookmarkEnd w:id="214"/>
          </w:p>
          <w:p w14:paraId="03EEFC51" w14:textId="77777777" w:rsidR="00AD59AC" w:rsidRPr="009B1FE7" w:rsidRDefault="00AD59AC" w:rsidP="00F839DB">
            <w:pPr>
              <w:pStyle w:val="ListParagraph"/>
              <w:numPr>
                <w:ilvl w:val="0"/>
                <w:numId w:val="381"/>
              </w:numPr>
              <w:spacing w:after="60"/>
              <w:rPr>
                <w:rFonts w:cs="Arial"/>
                <w:color w:val="000000"/>
                <w:sz w:val="14"/>
                <w:szCs w:val="16"/>
                <w:lang w:val="en-GB"/>
              </w:rPr>
            </w:pPr>
            <w:r w:rsidRPr="009B1FE7">
              <w:rPr>
                <w:rFonts w:cs="Arial"/>
                <w:color w:val="000000"/>
                <w:sz w:val="14"/>
                <w:szCs w:val="16"/>
                <w:lang w:val="en-GB"/>
              </w:rPr>
              <w:t>on the granting of the permit; or</w:t>
            </w:r>
          </w:p>
          <w:p w14:paraId="0252569E" w14:textId="77777777" w:rsidR="00AD59AC" w:rsidRPr="009B1FE7" w:rsidRDefault="00AD59AC" w:rsidP="00F839DB">
            <w:pPr>
              <w:pStyle w:val="ListParagraph"/>
              <w:numPr>
                <w:ilvl w:val="0"/>
                <w:numId w:val="381"/>
              </w:numPr>
              <w:spacing w:after="60"/>
              <w:rPr>
                <w:rFonts w:cs="Arial"/>
                <w:color w:val="000000"/>
                <w:sz w:val="14"/>
                <w:szCs w:val="16"/>
                <w:lang w:val="en-GB"/>
              </w:rPr>
            </w:pPr>
            <w:bookmarkStart w:id="215" w:name="GS107@Gs1@Hpb@EN"/>
            <w:bookmarkEnd w:id="215"/>
            <w:r w:rsidRPr="009B1FE7">
              <w:rPr>
                <w:rFonts w:cs="Arial"/>
                <w:color w:val="000000"/>
                <w:sz w:val="14"/>
                <w:szCs w:val="16"/>
                <w:lang w:val="en-GB"/>
              </w:rPr>
              <w:t>at any time during the currency of the permit.</w:t>
            </w:r>
          </w:p>
          <w:p w14:paraId="2BD19ECD" w14:textId="77777777" w:rsidR="00AD59AC" w:rsidRPr="009B1FE7" w:rsidRDefault="00AD59AC" w:rsidP="00F839DB">
            <w:pPr>
              <w:pStyle w:val="ListParagraph"/>
              <w:numPr>
                <w:ilvl w:val="0"/>
                <w:numId w:val="382"/>
              </w:numPr>
              <w:spacing w:after="60"/>
              <w:rPr>
                <w:rFonts w:cs="Arial"/>
                <w:color w:val="000000"/>
                <w:sz w:val="14"/>
                <w:szCs w:val="16"/>
                <w:lang w:val="en-GB"/>
              </w:rPr>
            </w:pPr>
            <w:bookmarkStart w:id="216" w:name="GS107@Gs2@EN"/>
            <w:bookmarkEnd w:id="216"/>
            <w:r w:rsidRPr="009B1FE7">
              <w:rPr>
                <w:rFonts w:cs="Arial"/>
                <w:color w:val="000000"/>
                <w:sz w:val="14"/>
                <w:szCs w:val="16"/>
                <w:lang w:val="en-GB"/>
              </w:rPr>
              <w:t xml:space="preserve">The Board may, by notice served on a self-insurer, impose conditions (or further conditions) to which the permit is to be subject or vary any conditions imposed on the permit by the Board and any such conditions or variation shall, subject to </w:t>
            </w:r>
            <w:hyperlink r:id="rId2080" w:anchor="GS112@EN" w:tgtFrame="_self" w:history="1">
              <w:r w:rsidRPr="009B1FE7">
                <w:rPr>
                  <w:rFonts w:cs="Arial"/>
                  <w:color w:val="0000FF"/>
                  <w:sz w:val="14"/>
                  <w:szCs w:val="16"/>
                  <w:u w:val="single"/>
                  <w:lang w:val="en-GB"/>
                </w:rPr>
                <w:t>section 112</w:t>
              </w:r>
            </w:hyperlink>
            <w:hyperlink r:id="rId2081" w:anchor="GS112@Gs3@EN" w:tgtFrame="_self" w:history="1">
              <w:r w:rsidRPr="009B1FE7">
                <w:rPr>
                  <w:rFonts w:cs="Arial"/>
                  <w:color w:val="0000FF"/>
                  <w:sz w:val="14"/>
                  <w:szCs w:val="16"/>
                  <w:u w:val="single"/>
                  <w:lang w:val="en-GB"/>
                </w:rPr>
                <w:t>(3)</w:t>
              </w:r>
            </w:hyperlink>
            <w:r w:rsidRPr="009B1FE7">
              <w:rPr>
                <w:rFonts w:cs="Arial"/>
                <w:color w:val="000000"/>
                <w:sz w:val="14"/>
                <w:szCs w:val="16"/>
                <w:lang w:val="en-GB"/>
              </w:rPr>
              <w:t>, take effect on such date as the Board specifies in the notice, being a date not less than 14 days after the service of the notice on the self-insurer.</w:t>
            </w:r>
          </w:p>
          <w:p w14:paraId="23C5E92E" w14:textId="77777777" w:rsidR="00AD59AC" w:rsidRPr="009B1FE7" w:rsidRDefault="00AD59AC" w:rsidP="00F839DB">
            <w:pPr>
              <w:pStyle w:val="ListParagraph"/>
              <w:numPr>
                <w:ilvl w:val="0"/>
                <w:numId w:val="382"/>
              </w:numPr>
              <w:spacing w:after="60"/>
              <w:rPr>
                <w:rFonts w:cs="Arial"/>
                <w:color w:val="000000"/>
                <w:sz w:val="14"/>
                <w:szCs w:val="16"/>
                <w:lang w:val="en-GB"/>
              </w:rPr>
            </w:pPr>
            <w:bookmarkStart w:id="217" w:name="GS107@Gs3@EN"/>
            <w:bookmarkEnd w:id="217"/>
            <w:r w:rsidRPr="009B1FE7">
              <w:rPr>
                <w:rFonts w:cs="Arial"/>
                <w:color w:val="000000"/>
                <w:sz w:val="14"/>
                <w:szCs w:val="16"/>
                <w:lang w:val="en-GB"/>
              </w:rPr>
              <w:t>A condition to which a permit is subject has effect whether or not the condition is endorsed on the permit.</w:t>
            </w:r>
          </w:p>
          <w:p w14:paraId="7A8F57DC" w14:textId="77777777" w:rsidR="00AD59AC" w:rsidRPr="009B1FE7" w:rsidRDefault="00AD59AC" w:rsidP="00F839DB">
            <w:pPr>
              <w:pStyle w:val="ListParagraph"/>
              <w:numPr>
                <w:ilvl w:val="0"/>
                <w:numId w:val="382"/>
              </w:numPr>
              <w:spacing w:after="60"/>
              <w:rPr>
                <w:rFonts w:cs="Arial"/>
                <w:color w:val="000000"/>
                <w:sz w:val="14"/>
                <w:szCs w:val="16"/>
                <w:lang w:val="en-GB"/>
              </w:rPr>
            </w:pPr>
            <w:r w:rsidRPr="009B1FE7">
              <w:rPr>
                <w:rFonts w:cs="Arial"/>
                <w:color w:val="000000"/>
                <w:sz w:val="14"/>
                <w:szCs w:val="16"/>
                <w:lang w:val="en-GB"/>
              </w:rPr>
              <w:t>A self-insurer who fails to comply with, or contravenes, any condition to which the permit is subject is guilty of an offence and is liable on summary conviction to a fine not exceeding 100 penalty units.</w:t>
            </w:r>
          </w:p>
          <w:p w14:paraId="682A7E11" w14:textId="77777777" w:rsidR="00AD59AC" w:rsidRPr="00AD59AC" w:rsidRDefault="00A7538C" w:rsidP="00292A53">
            <w:pPr>
              <w:spacing w:after="60"/>
              <w:rPr>
                <w:rFonts w:cs="Arial"/>
                <w:color w:val="000000"/>
                <w:sz w:val="14"/>
                <w:szCs w:val="16"/>
                <w:lang w:val="en-GB"/>
              </w:rPr>
            </w:pPr>
            <w:hyperlink r:id="rId2082" w:history="1">
              <w:r w:rsidR="00AD59AC" w:rsidRPr="00AD59AC">
                <w:rPr>
                  <w:rFonts w:cs="Arial"/>
                  <w:color w:val="0000FF"/>
                  <w:sz w:val="14"/>
                  <w:szCs w:val="16"/>
                  <w:u w:val="single"/>
                  <w:lang w:val="en-GB"/>
                </w:rPr>
                <w:t>Permit to Self Insure – Permit Conditions</w:t>
              </w:r>
            </w:hyperlink>
          </w:p>
        </w:tc>
        <w:tc>
          <w:tcPr>
            <w:tcW w:w="4558" w:type="dxa"/>
            <w:tcMar>
              <w:top w:w="80" w:type="dxa"/>
              <w:left w:w="80" w:type="dxa"/>
              <w:bottom w:w="80" w:type="dxa"/>
              <w:right w:w="80" w:type="dxa"/>
            </w:tcMar>
          </w:tcPr>
          <w:p w14:paraId="231BE608" w14:textId="0AAF5544"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More information fo</w:t>
            </w:r>
            <w:r w:rsidR="00B8010A">
              <w:rPr>
                <w:rFonts w:cs="Arial"/>
                <w:color w:val="000000"/>
                <w:sz w:val="14"/>
                <w:szCs w:val="16"/>
                <w:lang w:val="en-GB"/>
              </w:rPr>
              <w:t xml:space="preserve">r self-insurers may be found on the WorkCover Tasmania website under </w:t>
            </w:r>
            <w:hyperlink r:id="rId2083" w:history="1">
              <w:r w:rsidR="00B8010A" w:rsidRPr="00B8010A">
                <w:rPr>
                  <w:rStyle w:val="Hyperlink"/>
                  <w:rFonts w:cs="Arial"/>
                  <w:sz w:val="14"/>
                  <w:szCs w:val="16"/>
                  <w:lang w:val="en-GB"/>
                </w:rPr>
                <w:t>Self-insurers</w:t>
              </w:r>
            </w:hyperlink>
          </w:p>
        </w:tc>
      </w:tr>
      <w:tr w:rsidR="00AD59AC" w:rsidRPr="00AD59AC" w14:paraId="7B5C3EFF" w14:textId="77777777" w:rsidTr="00B2173F">
        <w:tc>
          <w:tcPr>
            <w:tcW w:w="1201" w:type="dxa"/>
            <w:shd w:val="clear" w:color="auto" w:fill="FFC9C9"/>
            <w:tcMar>
              <w:top w:w="80" w:type="dxa"/>
              <w:left w:w="80" w:type="dxa"/>
              <w:bottom w:w="80" w:type="dxa"/>
              <w:right w:w="80" w:type="dxa"/>
            </w:tcMar>
          </w:tcPr>
          <w:p w14:paraId="4593E7A8"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Northern Territory</w:t>
            </w:r>
          </w:p>
        </w:tc>
        <w:tc>
          <w:tcPr>
            <w:tcW w:w="4557" w:type="dxa"/>
            <w:shd w:val="clear" w:color="auto" w:fill="FFC9C9"/>
            <w:tcMar>
              <w:top w:w="80" w:type="dxa"/>
              <w:left w:w="80" w:type="dxa"/>
              <w:bottom w:w="80" w:type="dxa"/>
              <w:right w:w="80" w:type="dxa"/>
            </w:tcMar>
          </w:tcPr>
          <w:p w14:paraId="562B00C8" w14:textId="2989397B" w:rsidR="00AD59AC" w:rsidRPr="00AD59AC" w:rsidRDefault="00A7538C" w:rsidP="00292A53">
            <w:pPr>
              <w:spacing w:after="60"/>
              <w:rPr>
                <w:rFonts w:cs="Arial"/>
                <w:color w:val="000000"/>
                <w:sz w:val="14"/>
                <w:szCs w:val="16"/>
                <w:lang w:val="en-GB"/>
              </w:rPr>
            </w:pPr>
            <w:hyperlink r:id="rId2084" w:history="1">
              <w:r w:rsidR="00AD59AC" w:rsidRPr="00500C87">
                <w:rPr>
                  <w:rStyle w:val="Hyperlink"/>
                  <w:rFonts w:cs="Arial"/>
                  <w:sz w:val="14"/>
                  <w:szCs w:val="16"/>
                  <w:lang w:val="en-GB"/>
                </w:rPr>
                <w:t>s124</w:t>
              </w:r>
            </w:hyperlink>
            <w:r w:rsidR="00AD59AC" w:rsidRPr="00AD59AC">
              <w:rPr>
                <w:rFonts w:cs="Arial"/>
                <w:color w:val="000000"/>
                <w:sz w:val="14"/>
                <w:szCs w:val="16"/>
                <w:lang w:val="en-GB"/>
              </w:rPr>
              <w:t xml:space="preserve"> </w:t>
            </w:r>
            <w:r w:rsidR="00500C87" w:rsidRPr="00016069">
              <w:rPr>
                <w:i/>
                <w:sz w:val="14"/>
              </w:rPr>
              <w:t>Return to Work Act</w:t>
            </w:r>
            <w:r w:rsidR="00500C87" w:rsidRPr="00AD59AC">
              <w:rPr>
                <w:rFonts w:cs="Arial"/>
                <w:color w:val="000000"/>
                <w:sz w:val="14"/>
                <w:szCs w:val="16"/>
                <w:lang w:val="en-GB"/>
              </w:rPr>
              <w:t xml:space="preserve"> </w:t>
            </w:r>
            <w:r w:rsidR="00AD59AC" w:rsidRPr="00AD59AC">
              <w:rPr>
                <w:rFonts w:cs="Arial"/>
                <w:color w:val="000000"/>
                <w:sz w:val="14"/>
                <w:szCs w:val="16"/>
                <w:lang w:val="en-GB"/>
              </w:rPr>
              <w:t>— The Authority may at any time, in its absolute discretion, by notice in writing to an approved insurer or self-insur</w:t>
            </w:r>
            <w:r w:rsidR="00EF6585">
              <w:rPr>
                <w:rFonts w:cs="Arial"/>
                <w:color w:val="000000"/>
                <w:sz w:val="14"/>
                <w:szCs w:val="16"/>
                <w:lang w:val="en-GB"/>
              </w:rPr>
              <w:t>er, revoke or suspend approval</w:t>
            </w:r>
          </w:p>
        </w:tc>
        <w:tc>
          <w:tcPr>
            <w:tcW w:w="4557" w:type="dxa"/>
            <w:shd w:val="clear" w:color="auto" w:fill="FFC9C9"/>
            <w:tcMar>
              <w:top w:w="80" w:type="dxa"/>
              <w:left w:w="80" w:type="dxa"/>
              <w:bottom w:w="80" w:type="dxa"/>
              <w:right w:w="80" w:type="dxa"/>
            </w:tcMar>
          </w:tcPr>
          <w:p w14:paraId="4AC9DE55" w14:textId="5A57F7CB"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N/A</w:t>
            </w:r>
          </w:p>
        </w:tc>
        <w:tc>
          <w:tcPr>
            <w:tcW w:w="4558" w:type="dxa"/>
            <w:shd w:val="clear" w:color="auto" w:fill="FFC9C9"/>
            <w:tcMar>
              <w:top w:w="80" w:type="dxa"/>
              <w:left w:w="80" w:type="dxa"/>
              <w:bottom w:w="80" w:type="dxa"/>
              <w:right w:w="80" w:type="dxa"/>
            </w:tcMar>
          </w:tcPr>
          <w:p w14:paraId="3D634F60" w14:textId="77777777" w:rsidR="00AD59AC" w:rsidRPr="007A1B12" w:rsidRDefault="00AD59AC" w:rsidP="00F839DB">
            <w:pPr>
              <w:pStyle w:val="ListParagraph"/>
              <w:numPr>
                <w:ilvl w:val="0"/>
                <w:numId w:val="383"/>
              </w:numPr>
              <w:spacing w:after="60"/>
              <w:ind w:left="357" w:hanging="357"/>
              <w:rPr>
                <w:rFonts w:eastAsia="Calibri" w:cs="Arial"/>
                <w:sz w:val="14"/>
                <w:szCs w:val="14"/>
                <w:lang w:eastAsia="en-US"/>
              </w:rPr>
            </w:pPr>
            <w:r w:rsidRPr="007A1B12">
              <w:rPr>
                <w:rFonts w:eastAsia="Calibri" w:cs="Arial"/>
                <w:sz w:val="14"/>
                <w:szCs w:val="14"/>
                <w:lang w:eastAsia="en-US"/>
              </w:rPr>
              <w:t xml:space="preserve">Ongoing satisfactory demonstration of the employer’s ability to: </w:t>
            </w:r>
          </w:p>
          <w:p w14:paraId="25E8F051" w14:textId="77777777" w:rsidR="00AD59AC" w:rsidRPr="007A1B12" w:rsidRDefault="00AD59AC" w:rsidP="00F839DB">
            <w:pPr>
              <w:pStyle w:val="ListParagraph"/>
              <w:numPr>
                <w:ilvl w:val="0"/>
                <w:numId w:val="384"/>
              </w:numPr>
              <w:spacing w:after="60"/>
              <w:rPr>
                <w:rFonts w:cs="Arial"/>
                <w:color w:val="000000"/>
                <w:sz w:val="14"/>
                <w:szCs w:val="16"/>
                <w:lang w:val="en-GB"/>
              </w:rPr>
            </w:pPr>
            <w:r w:rsidRPr="007A1B12">
              <w:rPr>
                <w:rFonts w:cs="Arial"/>
                <w:color w:val="000000"/>
                <w:sz w:val="14"/>
                <w:szCs w:val="16"/>
                <w:lang w:val="en-GB"/>
              </w:rPr>
              <w:t>provide statistical and other information required</w:t>
            </w:r>
          </w:p>
          <w:p w14:paraId="7458101D" w14:textId="77777777" w:rsidR="00AD59AC" w:rsidRPr="007A1B12" w:rsidRDefault="00AD59AC" w:rsidP="00F839DB">
            <w:pPr>
              <w:pStyle w:val="ListParagraph"/>
              <w:numPr>
                <w:ilvl w:val="0"/>
                <w:numId w:val="384"/>
              </w:numPr>
              <w:spacing w:after="60"/>
              <w:rPr>
                <w:rFonts w:cs="Arial"/>
                <w:color w:val="000000"/>
                <w:sz w:val="14"/>
                <w:szCs w:val="16"/>
                <w:lang w:val="en-GB"/>
              </w:rPr>
            </w:pPr>
            <w:r w:rsidRPr="007A1B12">
              <w:rPr>
                <w:rFonts w:cs="Arial"/>
                <w:color w:val="000000"/>
                <w:sz w:val="14"/>
                <w:szCs w:val="16"/>
                <w:lang w:val="en-GB"/>
              </w:rPr>
              <w:t xml:space="preserve">provide financial contributions as requested, and </w:t>
            </w:r>
          </w:p>
          <w:p w14:paraId="716F2DAE" w14:textId="77777777" w:rsidR="00AD59AC" w:rsidRPr="007A1B12" w:rsidRDefault="00AD59AC" w:rsidP="00F839DB">
            <w:pPr>
              <w:pStyle w:val="ListParagraph"/>
              <w:numPr>
                <w:ilvl w:val="0"/>
                <w:numId w:val="384"/>
              </w:numPr>
              <w:spacing w:after="60"/>
              <w:rPr>
                <w:rFonts w:cs="Arial"/>
                <w:color w:val="000000"/>
                <w:sz w:val="14"/>
                <w:szCs w:val="16"/>
                <w:lang w:val="en-GB"/>
              </w:rPr>
            </w:pPr>
            <w:r w:rsidRPr="007A1B12">
              <w:rPr>
                <w:rFonts w:cs="Arial"/>
                <w:color w:val="000000"/>
                <w:sz w:val="14"/>
                <w:szCs w:val="16"/>
                <w:lang w:val="en-GB"/>
              </w:rPr>
              <w:t>adequately provide for and manage the company’s Northern Territory workers’ compensation claims.</w:t>
            </w:r>
          </w:p>
          <w:p w14:paraId="513863DF" w14:textId="7B66B7D8" w:rsidR="00AD59AC" w:rsidRPr="007A1B12" w:rsidRDefault="00AD59AC" w:rsidP="00F839DB">
            <w:pPr>
              <w:pStyle w:val="ListParagraph"/>
              <w:numPr>
                <w:ilvl w:val="0"/>
                <w:numId w:val="383"/>
              </w:numPr>
              <w:spacing w:after="60"/>
              <w:contextualSpacing/>
              <w:rPr>
                <w:rFonts w:eastAsia="Calibri" w:cs="Arial"/>
                <w:sz w:val="14"/>
                <w:szCs w:val="14"/>
                <w:lang w:eastAsia="en-US"/>
              </w:rPr>
            </w:pPr>
            <w:r w:rsidRPr="007A1B12">
              <w:rPr>
                <w:rFonts w:eastAsia="Calibri" w:cs="Arial"/>
                <w:sz w:val="14"/>
                <w:szCs w:val="14"/>
                <w:lang w:eastAsia="en-US"/>
              </w:rPr>
              <w:t xml:space="preserve">Adequate expertise to determine claims within the Territory in the time limits specified. Effect weekly payments within the frequency specified. Carry out responsibility with respect to injury </w:t>
            </w:r>
            <w:r w:rsidRPr="007A1B12">
              <w:rPr>
                <w:rFonts w:eastAsia="Calibri" w:cs="Arial"/>
                <w:sz w:val="14"/>
                <w:szCs w:val="14"/>
                <w:lang w:eastAsia="en-US"/>
              </w:rPr>
              <w:lastRenderedPageBreak/>
              <w:t xml:space="preserve">management. Submit accurate and timely statistical returns/information — </w:t>
            </w:r>
            <w:hyperlink r:id="rId2085" w:history="1">
              <w:r w:rsidRPr="00500C87">
                <w:rPr>
                  <w:rStyle w:val="Hyperlink"/>
                  <w:rFonts w:eastAsia="Calibri" w:cs="Arial"/>
                  <w:sz w:val="14"/>
                  <w:szCs w:val="14"/>
                  <w:lang w:eastAsia="en-US"/>
                </w:rPr>
                <w:t>s119</w:t>
              </w:r>
            </w:hyperlink>
            <w:r w:rsidRPr="007A1B12">
              <w:rPr>
                <w:rFonts w:eastAsia="Calibri" w:cs="Arial"/>
                <w:sz w:val="14"/>
                <w:szCs w:val="14"/>
                <w:lang w:eastAsia="en-US"/>
              </w:rPr>
              <w:t xml:space="preserve"> and </w:t>
            </w:r>
            <w:hyperlink r:id="rId2086" w:history="1">
              <w:r w:rsidRPr="00500C87">
                <w:rPr>
                  <w:rStyle w:val="Hyperlink"/>
                  <w:rFonts w:eastAsia="Calibri" w:cs="Arial"/>
                  <w:sz w:val="14"/>
                  <w:szCs w:val="14"/>
                  <w:lang w:eastAsia="en-US"/>
                </w:rPr>
                <w:t>122</w:t>
              </w:r>
            </w:hyperlink>
            <w:r w:rsidRPr="007A1B12">
              <w:rPr>
                <w:rFonts w:eastAsia="Calibri" w:cs="Arial"/>
                <w:sz w:val="14"/>
                <w:szCs w:val="14"/>
                <w:lang w:eastAsia="en-US"/>
              </w:rPr>
              <w:t>.</w:t>
            </w:r>
          </w:p>
        </w:tc>
      </w:tr>
      <w:tr w:rsidR="00AD59AC" w:rsidRPr="00AD59AC" w14:paraId="09940C0A" w14:textId="77777777" w:rsidTr="00B2173F">
        <w:tc>
          <w:tcPr>
            <w:tcW w:w="1201" w:type="dxa"/>
            <w:tcMar>
              <w:top w:w="80" w:type="dxa"/>
              <w:left w:w="80" w:type="dxa"/>
              <w:bottom w:w="80" w:type="dxa"/>
              <w:right w:w="80" w:type="dxa"/>
            </w:tcMar>
          </w:tcPr>
          <w:p w14:paraId="1CE9A670"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lastRenderedPageBreak/>
              <w:t>Australian Capital Territory</w:t>
            </w:r>
          </w:p>
        </w:tc>
        <w:tc>
          <w:tcPr>
            <w:tcW w:w="4557" w:type="dxa"/>
            <w:tcMar>
              <w:top w:w="80" w:type="dxa"/>
              <w:left w:w="80" w:type="dxa"/>
              <w:bottom w:w="80" w:type="dxa"/>
              <w:right w:w="80" w:type="dxa"/>
            </w:tcMar>
          </w:tcPr>
          <w:p w14:paraId="4AA2DC72" w14:textId="77777777" w:rsidR="00AD59AC" w:rsidRPr="007A1B12" w:rsidRDefault="00AD59AC" w:rsidP="00F839DB">
            <w:pPr>
              <w:pStyle w:val="ListParagraph"/>
              <w:numPr>
                <w:ilvl w:val="0"/>
                <w:numId w:val="385"/>
              </w:numPr>
              <w:spacing w:after="60"/>
              <w:contextualSpacing/>
              <w:rPr>
                <w:rFonts w:eastAsia="Calibri" w:cs="Arial"/>
                <w:sz w:val="14"/>
                <w:szCs w:val="14"/>
                <w:lang w:eastAsia="en-US"/>
              </w:rPr>
            </w:pPr>
            <w:r w:rsidRPr="007A1B12">
              <w:rPr>
                <w:rFonts w:eastAsia="Calibri" w:cs="Arial"/>
                <w:sz w:val="14"/>
                <w:szCs w:val="14"/>
                <w:lang w:eastAsia="en-US"/>
              </w:rPr>
              <w:t>Continue to meet obligations under the Act and Regulations and any other protocol approved by the Minister that relate to self-insurers.</w:t>
            </w:r>
          </w:p>
          <w:p w14:paraId="64EFDF5F" w14:textId="77777777" w:rsidR="00AD59AC" w:rsidRPr="007A1B12" w:rsidRDefault="00AD59AC" w:rsidP="00F839DB">
            <w:pPr>
              <w:pStyle w:val="ListParagraph"/>
              <w:numPr>
                <w:ilvl w:val="0"/>
                <w:numId w:val="385"/>
              </w:numPr>
              <w:spacing w:after="60"/>
              <w:contextualSpacing/>
              <w:rPr>
                <w:rFonts w:eastAsia="Calibri" w:cs="Arial"/>
                <w:sz w:val="14"/>
                <w:szCs w:val="14"/>
                <w:lang w:eastAsia="en-US"/>
              </w:rPr>
            </w:pPr>
            <w:r w:rsidRPr="007A1B12">
              <w:rPr>
                <w:rFonts w:eastAsia="Calibri" w:cs="Arial"/>
                <w:sz w:val="14"/>
                <w:szCs w:val="14"/>
                <w:lang w:eastAsia="en-US"/>
              </w:rPr>
              <w:t>Ensure that workers’ compensation claim form, register of injuries and early injury notification form comply with Workers’ Compensation Insurer’s Form Specifications.</w:t>
            </w:r>
          </w:p>
          <w:p w14:paraId="6159372C" w14:textId="77777777" w:rsidR="00AD59AC" w:rsidRPr="007A1B12" w:rsidRDefault="00AD59AC" w:rsidP="00F839DB">
            <w:pPr>
              <w:pStyle w:val="ListParagraph"/>
              <w:numPr>
                <w:ilvl w:val="0"/>
                <w:numId w:val="385"/>
              </w:numPr>
              <w:spacing w:after="60"/>
              <w:contextualSpacing/>
              <w:rPr>
                <w:rFonts w:eastAsia="Calibri" w:cs="Arial"/>
                <w:sz w:val="14"/>
                <w:szCs w:val="14"/>
                <w:lang w:eastAsia="en-US"/>
              </w:rPr>
            </w:pPr>
            <w:r w:rsidRPr="007A1B12">
              <w:rPr>
                <w:rFonts w:eastAsia="Calibri" w:cs="Arial"/>
                <w:sz w:val="14"/>
                <w:szCs w:val="14"/>
                <w:lang w:eastAsia="en-US"/>
              </w:rPr>
              <w:t>Comply with Workers’ Compensation Insurers data reporting requirements.</w:t>
            </w:r>
          </w:p>
        </w:tc>
        <w:tc>
          <w:tcPr>
            <w:tcW w:w="4557" w:type="dxa"/>
            <w:tcMar>
              <w:top w:w="80" w:type="dxa"/>
              <w:left w:w="80" w:type="dxa"/>
              <w:bottom w:w="80" w:type="dxa"/>
              <w:right w:w="80" w:type="dxa"/>
            </w:tcMar>
          </w:tcPr>
          <w:p w14:paraId="36A66FE5"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 comply with all statutory requirements and conditions of licence for licence continuity.</w:t>
            </w:r>
          </w:p>
        </w:tc>
        <w:tc>
          <w:tcPr>
            <w:tcW w:w="4558" w:type="dxa"/>
            <w:tcMar>
              <w:top w:w="80" w:type="dxa"/>
              <w:left w:w="80" w:type="dxa"/>
              <w:bottom w:w="80" w:type="dxa"/>
              <w:right w:w="80" w:type="dxa"/>
            </w:tcMar>
          </w:tcPr>
          <w:p w14:paraId="2A1F8706" w14:textId="77777777" w:rsidR="00AD59AC" w:rsidRPr="007A1B12" w:rsidRDefault="00AD59AC" w:rsidP="00F839DB">
            <w:pPr>
              <w:pStyle w:val="ListParagraph"/>
              <w:numPr>
                <w:ilvl w:val="0"/>
                <w:numId w:val="386"/>
              </w:numPr>
              <w:spacing w:after="60"/>
              <w:contextualSpacing/>
              <w:rPr>
                <w:rFonts w:eastAsia="Calibri" w:cs="Arial"/>
                <w:sz w:val="14"/>
                <w:szCs w:val="14"/>
                <w:lang w:eastAsia="en-US"/>
              </w:rPr>
            </w:pPr>
            <w:r w:rsidRPr="007A1B12">
              <w:rPr>
                <w:rFonts w:eastAsia="Calibri" w:cs="Arial"/>
                <w:sz w:val="14"/>
                <w:szCs w:val="14"/>
                <w:lang w:eastAsia="en-US"/>
              </w:rPr>
              <w:t xml:space="preserve">The self-insurer must agree to participate in, and pay the costs of, an audit to establish that the self-insurer has adequate resources to meet its current and expected liabilities under the Act. </w:t>
            </w:r>
          </w:p>
          <w:p w14:paraId="168BBB10" w14:textId="77777777" w:rsidR="00AD59AC" w:rsidRPr="007A1B12" w:rsidRDefault="00AD59AC" w:rsidP="00F839DB">
            <w:pPr>
              <w:pStyle w:val="ListParagraph"/>
              <w:numPr>
                <w:ilvl w:val="0"/>
                <w:numId w:val="386"/>
              </w:numPr>
              <w:spacing w:after="60"/>
              <w:contextualSpacing/>
              <w:rPr>
                <w:rFonts w:eastAsia="Calibri" w:cs="Arial"/>
                <w:sz w:val="14"/>
                <w:szCs w:val="14"/>
                <w:lang w:eastAsia="en-US"/>
              </w:rPr>
            </w:pPr>
            <w:r w:rsidRPr="007A1B12">
              <w:rPr>
                <w:rFonts w:eastAsia="Calibri" w:cs="Arial"/>
                <w:sz w:val="14"/>
                <w:szCs w:val="14"/>
                <w:lang w:eastAsia="en-US"/>
              </w:rPr>
              <w:t>The employer must agree to participate in, and pay the costs of, an audit to establish that the employer has complied with its obligations under the Regulatory Framework.</w:t>
            </w:r>
          </w:p>
        </w:tc>
      </w:tr>
      <w:tr w:rsidR="00AD59AC" w:rsidRPr="00AD59AC" w14:paraId="43A7B0EA" w14:textId="77777777" w:rsidTr="00B2173F">
        <w:tc>
          <w:tcPr>
            <w:tcW w:w="1201" w:type="dxa"/>
            <w:shd w:val="clear" w:color="auto" w:fill="FFC9C9"/>
            <w:tcMar>
              <w:top w:w="80" w:type="dxa"/>
              <w:left w:w="80" w:type="dxa"/>
              <w:bottom w:w="80" w:type="dxa"/>
              <w:right w:w="80" w:type="dxa"/>
            </w:tcMar>
          </w:tcPr>
          <w:p w14:paraId="0F9E8A17"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C’wealth Comcare</w:t>
            </w:r>
          </w:p>
        </w:tc>
        <w:tc>
          <w:tcPr>
            <w:tcW w:w="4557" w:type="dxa"/>
            <w:shd w:val="clear" w:color="auto" w:fill="FFC9C9"/>
            <w:tcMar>
              <w:top w:w="80" w:type="dxa"/>
              <w:left w:w="80" w:type="dxa"/>
              <w:bottom w:w="80" w:type="dxa"/>
              <w:right w:w="80" w:type="dxa"/>
            </w:tcMar>
          </w:tcPr>
          <w:p w14:paraId="50245F82"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Licensee must comply with the requirements of:</w:t>
            </w:r>
          </w:p>
          <w:p w14:paraId="1E70DF30" w14:textId="6CEEBA08" w:rsidR="00AD59AC" w:rsidRPr="00AD59AC" w:rsidRDefault="00AD59AC" w:rsidP="00DF35F2">
            <w:pPr>
              <w:numPr>
                <w:ilvl w:val="0"/>
                <w:numId w:val="68"/>
              </w:numPr>
              <w:spacing w:after="60"/>
              <w:ind w:left="357" w:hanging="357"/>
              <w:contextualSpacing/>
              <w:rPr>
                <w:rFonts w:cs="Arial"/>
                <w:color w:val="000000"/>
                <w:sz w:val="14"/>
                <w:szCs w:val="16"/>
                <w:lang w:val="en-GB"/>
              </w:rPr>
            </w:pPr>
            <w:r w:rsidRPr="00AD59AC">
              <w:rPr>
                <w:rFonts w:cs="Arial"/>
                <w:color w:val="000000"/>
                <w:sz w:val="14"/>
                <w:szCs w:val="16"/>
                <w:lang w:val="en-GB"/>
              </w:rPr>
              <w:t xml:space="preserve">the </w:t>
            </w:r>
            <w:r w:rsidR="006B3365" w:rsidRPr="00016069">
              <w:rPr>
                <w:i/>
                <w:sz w:val="14"/>
              </w:rPr>
              <w:t>Safety, Rehabilitation and Compensation Act 1988</w:t>
            </w:r>
            <w:r w:rsidRPr="00AD59AC">
              <w:rPr>
                <w:rFonts w:cs="Arial"/>
                <w:color w:val="000000"/>
                <w:sz w:val="14"/>
                <w:szCs w:val="16"/>
                <w:lang w:val="en-GB"/>
              </w:rPr>
              <w:t xml:space="preserve">, </w:t>
            </w:r>
            <w:r w:rsidR="009A6C61">
              <w:rPr>
                <w:rFonts w:cs="Arial"/>
                <w:color w:val="000000"/>
                <w:sz w:val="14"/>
                <w:szCs w:val="16"/>
                <w:lang w:val="en-GB"/>
              </w:rPr>
              <w:t>Safety Rehabilitation and Compensation</w:t>
            </w:r>
            <w:r w:rsidRPr="00AD59AC">
              <w:rPr>
                <w:rFonts w:cs="Arial"/>
                <w:color w:val="000000"/>
                <w:sz w:val="14"/>
                <w:szCs w:val="16"/>
                <w:lang w:val="en-GB"/>
              </w:rPr>
              <w:t xml:space="preserve"> Regulations, the SRC Directions and any other applicable guidelines issued by the Commission under </w:t>
            </w:r>
            <w:hyperlink r:id="rId2087" w:history="1">
              <w:r w:rsidRPr="009A6C61">
                <w:rPr>
                  <w:rStyle w:val="Hyperlink"/>
                  <w:rFonts w:cs="Arial"/>
                  <w:sz w:val="14"/>
                  <w:szCs w:val="16"/>
                  <w:lang w:val="en-GB"/>
                </w:rPr>
                <w:t>s73A</w:t>
              </w:r>
            </w:hyperlink>
            <w:r w:rsidRPr="00AD59AC">
              <w:rPr>
                <w:rFonts w:cs="Arial"/>
                <w:color w:val="000000"/>
                <w:sz w:val="14"/>
                <w:szCs w:val="16"/>
                <w:lang w:val="en-GB"/>
              </w:rPr>
              <w:t xml:space="preserve"> of the SRC Act in respect to rehabilitation and compensation</w:t>
            </w:r>
          </w:p>
          <w:p w14:paraId="6B2EE98F" w14:textId="000546AB" w:rsidR="00AD59AC" w:rsidRPr="00AD59AC" w:rsidRDefault="00AD59AC" w:rsidP="00DF35F2">
            <w:pPr>
              <w:numPr>
                <w:ilvl w:val="0"/>
                <w:numId w:val="68"/>
              </w:numPr>
              <w:spacing w:after="60"/>
              <w:ind w:left="357" w:hanging="357"/>
              <w:contextualSpacing/>
              <w:rPr>
                <w:rFonts w:cs="Arial"/>
                <w:color w:val="000000"/>
                <w:sz w:val="14"/>
                <w:szCs w:val="16"/>
                <w:lang w:val="en-GB"/>
              </w:rPr>
            </w:pPr>
            <w:r w:rsidRPr="00AD59AC">
              <w:rPr>
                <w:rFonts w:cs="Arial"/>
                <w:color w:val="000000"/>
                <w:sz w:val="14"/>
                <w:szCs w:val="16"/>
                <w:lang w:val="en-GB"/>
              </w:rPr>
              <w:t>Commonwealth WHS Act</w:t>
            </w:r>
            <w:r w:rsidR="00FF6376">
              <w:rPr>
                <w:rFonts w:cs="Arial"/>
                <w:color w:val="000000"/>
                <w:sz w:val="14"/>
                <w:szCs w:val="16"/>
                <w:lang w:val="en-GB"/>
              </w:rPr>
              <w:t xml:space="preserve"> (where this applies to the licensee)</w:t>
            </w:r>
            <w:r w:rsidRPr="00AD59AC">
              <w:rPr>
                <w:rFonts w:cs="Arial"/>
                <w:color w:val="000000"/>
                <w:sz w:val="14"/>
                <w:szCs w:val="16"/>
                <w:lang w:val="en-GB"/>
              </w:rPr>
              <w:t xml:space="preserve"> and any applicable laws of the states or territories with respect to safety and health of employees</w:t>
            </w:r>
          </w:p>
          <w:p w14:paraId="01C30AD7" w14:textId="21E155E6" w:rsidR="00AD59AC" w:rsidRPr="00AD59AC" w:rsidRDefault="00FF6376" w:rsidP="00DF35F2">
            <w:pPr>
              <w:numPr>
                <w:ilvl w:val="0"/>
                <w:numId w:val="68"/>
              </w:numPr>
              <w:spacing w:after="60"/>
              <w:ind w:left="357" w:hanging="357"/>
              <w:contextualSpacing/>
              <w:rPr>
                <w:rFonts w:cs="Arial"/>
                <w:color w:val="000000"/>
                <w:sz w:val="14"/>
                <w:szCs w:val="16"/>
                <w:lang w:val="en-GB"/>
              </w:rPr>
            </w:pPr>
            <w:r>
              <w:rPr>
                <w:rFonts w:cs="Arial"/>
                <w:color w:val="000000"/>
                <w:sz w:val="14"/>
                <w:szCs w:val="16"/>
                <w:lang w:val="en-GB"/>
              </w:rPr>
              <w:t>any</w:t>
            </w:r>
            <w:r w:rsidR="00AD59AC" w:rsidRPr="00AD59AC">
              <w:rPr>
                <w:rFonts w:cs="Arial"/>
                <w:color w:val="000000"/>
                <w:sz w:val="14"/>
                <w:szCs w:val="16"/>
                <w:lang w:val="en-GB"/>
              </w:rPr>
              <w:t xml:space="preserve"> guidelines dealing with covert surveillance of employees, and</w:t>
            </w:r>
          </w:p>
          <w:p w14:paraId="32837F32" w14:textId="77777777" w:rsidR="00AD59AC" w:rsidRPr="00AD59AC" w:rsidRDefault="00AD59AC" w:rsidP="00DF35F2">
            <w:pPr>
              <w:numPr>
                <w:ilvl w:val="0"/>
                <w:numId w:val="68"/>
              </w:numPr>
              <w:spacing w:after="60"/>
              <w:contextualSpacing/>
              <w:rPr>
                <w:rFonts w:eastAsia="Calibri" w:cs="Arial"/>
                <w:sz w:val="14"/>
                <w:szCs w:val="14"/>
                <w:lang w:eastAsia="en-US"/>
              </w:rPr>
            </w:pPr>
            <w:r w:rsidRPr="00AD59AC">
              <w:rPr>
                <w:rFonts w:eastAsia="Calibri" w:cs="Arial"/>
                <w:sz w:val="14"/>
                <w:szCs w:val="14"/>
                <w:lang w:eastAsia="en-US"/>
              </w:rPr>
              <w:t>conditions of licence and performance standards.</w:t>
            </w:r>
          </w:p>
        </w:tc>
        <w:tc>
          <w:tcPr>
            <w:tcW w:w="4557" w:type="dxa"/>
            <w:shd w:val="clear" w:color="auto" w:fill="FFC9C9"/>
            <w:tcMar>
              <w:top w:w="80" w:type="dxa"/>
              <w:left w:w="80" w:type="dxa"/>
              <w:bottom w:w="80" w:type="dxa"/>
              <w:right w:w="80" w:type="dxa"/>
            </w:tcMar>
          </w:tcPr>
          <w:p w14:paraId="79B377A1" w14:textId="77777777" w:rsidR="00AD59AC" w:rsidRPr="007A1B12" w:rsidRDefault="00AD59AC" w:rsidP="00DF35F2">
            <w:pPr>
              <w:pStyle w:val="ListParagraph"/>
              <w:numPr>
                <w:ilvl w:val="0"/>
                <w:numId w:val="68"/>
              </w:numPr>
              <w:spacing w:after="60"/>
              <w:contextualSpacing/>
              <w:rPr>
                <w:rFonts w:eastAsia="Calibri" w:cs="Arial"/>
                <w:sz w:val="14"/>
                <w:szCs w:val="14"/>
                <w:lang w:eastAsia="en-US"/>
              </w:rPr>
            </w:pPr>
            <w:r w:rsidRPr="007A1B12">
              <w:rPr>
                <w:rFonts w:eastAsia="Calibri" w:cs="Arial"/>
                <w:sz w:val="14"/>
                <w:szCs w:val="14"/>
                <w:lang w:eastAsia="en-US"/>
              </w:rPr>
              <w:t xml:space="preserve">Comply with any written directions given by the Commission. If claims are managed by a claims manager, provide a copy of the Commission’s directions to the claims manager. Advise and provide a copy of the initiating process to Comcare as soon as possible of any court proceedings in relation to a matter arising in respect of a claim. </w:t>
            </w:r>
          </w:p>
          <w:p w14:paraId="750163DB" w14:textId="77777777" w:rsidR="00AD59AC" w:rsidRPr="007A1B12" w:rsidRDefault="00AD59AC" w:rsidP="00DF35F2">
            <w:pPr>
              <w:pStyle w:val="ListParagraph"/>
              <w:numPr>
                <w:ilvl w:val="0"/>
                <w:numId w:val="68"/>
              </w:numPr>
              <w:spacing w:after="60"/>
              <w:contextualSpacing/>
              <w:rPr>
                <w:rFonts w:eastAsia="Calibri" w:cs="Arial"/>
                <w:sz w:val="14"/>
                <w:szCs w:val="14"/>
                <w:lang w:eastAsia="en-US"/>
              </w:rPr>
            </w:pPr>
            <w:r w:rsidRPr="007A1B12">
              <w:rPr>
                <w:rFonts w:eastAsia="Calibri" w:cs="Arial"/>
                <w:sz w:val="14"/>
                <w:szCs w:val="14"/>
                <w:lang w:eastAsia="en-US"/>
              </w:rPr>
              <w:t xml:space="preserve">Must notify Comcare in writing immediately that the licensee becomes aware: </w:t>
            </w:r>
          </w:p>
          <w:p w14:paraId="5160B8E0" w14:textId="77777777" w:rsidR="00AD59AC" w:rsidRPr="00AD59AC" w:rsidRDefault="00AD59AC" w:rsidP="00F839DB">
            <w:pPr>
              <w:numPr>
                <w:ilvl w:val="0"/>
                <w:numId w:val="387"/>
              </w:numPr>
              <w:spacing w:after="60"/>
              <w:contextualSpacing/>
              <w:rPr>
                <w:rFonts w:eastAsia="Calibri" w:cs="Arial"/>
                <w:sz w:val="14"/>
                <w:szCs w:val="14"/>
                <w:lang w:eastAsia="en-US"/>
              </w:rPr>
            </w:pPr>
            <w:r w:rsidRPr="00AD59AC">
              <w:rPr>
                <w:rFonts w:eastAsia="Calibri" w:cs="Arial"/>
                <w:sz w:val="14"/>
                <w:szCs w:val="14"/>
                <w:lang w:eastAsia="en-US"/>
              </w:rPr>
              <w:t>licensee has not complied with, or not likely to comply with, a condition of the licence</w:t>
            </w:r>
          </w:p>
          <w:p w14:paraId="06A14E02" w14:textId="77777777" w:rsidR="00AD59AC" w:rsidRPr="00AD59AC" w:rsidRDefault="00AD59AC" w:rsidP="00F839DB">
            <w:pPr>
              <w:numPr>
                <w:ilvl w:val="0"/>
                <w:numId w:val="387"/>
              </w:numPr>
              <w:spacing w:after="60"/>
              <w:contextualSpacing/>
              <w:rPr>
                <w:rFonts w:eastAsia="Calibri" w:cs="Arial"/>
                <w:sz w:val="14"/>
                <w:szCs w:val="14"/>
                <w:lang w:eastAsia="en-US"/>
              </w:rPr>
            </w:pPr>
            <w:r w:rsidRPr="00AD59AC">
              <w:rPr>
                <w:rFonts w:eastAsia="Calibri" w:cs="Arial"/>
                <w:sz w:val="14"/>
                <w:szCs w:val="14"/>
                <w:lang w:eastAsia="en-US"/>
              </w:rPr>
              <w:t xml:space="preserve">of any event that may materially impact upon its sustainability to hold a licence, including its capacity to meets its liabilities under the SRC Act or of any material change in financial position </w:t>
            </w:r>
          </w:p>
          <w:p w14:paraId="753A5407" w14:textId="77777777" w:rsidR="00AD59AC" w:rsidRPr="00AD59AC" w:rsidRDefault="00AD59AC" w:rsidP="00F839DB">
            <w:pPr>
              <w:numPr>
                <w:ilvl w:val="0"/>
                <w:numId w:val="387"/>
              </w:numPr>
              <w:spacing w:after="60"/>
              <w:contextualSpacing/>
              <w:rPr>
                <w:rFonts w:eastAsia="Calibri" w:cs="Arial"/>
                <w:sz w:val="14"/>
                <w:szCs w:val="14"/>
                <w:lang w:eastAsia="en-US"/>
              </w:rPr>
            </w:pPr>
            <w:r w:rsidRPr="00AD59AC">
              <w:rPr>
                <w:rFonts w:eastAsia="Calibri" w:cs="Arial"/>
                <w:sz w:val="14"/>
                <w:szCs w:val="14"/>
                <w:lang w:eastAsia="en-US"/>
              </w:rPr>
              <w:t xml:space="preserve">of any material change to its legal structure, ownership or control </w:t>
            </w:r>
          </w:p>
          <w:p w14:paraId="59B67E50" w14:textId="77777777" w:rsidR="00AD59AC" w:rsidRPr="00AD59AC" w:rsidRDefault="00AD59AC" w:rsidP="00F839DB">
            <w:pPr>
              <w:numPr>
                <w:ilvl w:val="0"/>
                <w:numId w:val="387"/>
              </w:numPr>
              <w:spacing w:after="60"/>
              <w:contextualSpacing/>
              <w:rPr>
                <w:rFonts w:eastAsia="Calibri" w:cs="Arial"/>
                <w:sz w:val="14"/>
                <w:szCs w:val="14"/>
                <w:lang w:eastAsia="en-US"/>
              </w:rPr>
            </w:pPr>
            <w:r w:rsidRPr="00AD59AC">
              <w:rPr>
                <w:rFonts w:eastAsia="Calibri" w:cs="Arial"/>
                <w:sz w:val="14"/>
                <w:szCs w:val="14"/>
                <w:lang w:eastAsia="en-US"/>
              </w:rPr>
              <w:t>of any significant change in its employee numbers or significant change in the risk profile of the work undertaken by its employees.</w:t>
            </w:r>
          </w:p>
          <w:p w14:paraId="4918A0F3"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Provide Commission upon request, information relating to the licensee’s operations. </w:t>
            </w:r>
          </w:p>
          <w:p w14:paraId="50E3549B"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Ensure claims manager complies with the conditions of the licence. </w:t>
            </w:r>
          </w:p>
          <w:p w14:paraId="3C319F57"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Be accountable for all claims management policies issued by the claims manager. </w:t>
            </w:r>
          </w:p>
          <w:p w14:paraId="56BAAF0F"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Notify the Commission in writing as soon as possible after it becomes aware that the claims manager has done, or omitted to do, something which has the effect that the licensee is, or likely to be, in breach of a term or condition of the licence. </w:t>
            </w:r>
          </w:p>
          <w:p w14:paraId="52DAC636"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Must enter into and maintain a written contract with the claims manager and provide a copy of the contract to the Commission. Obligations imposed by the licence must be written into the contract between the licensee and the claims manager. </w:t>
            </w:r>
          </w:p>
          <w:p w14:paraId="2DF2F7CF"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Provide a yearly guarantee. </w:t>
            </w:r>
          </w:p>
          <w:p w14:paraId="5D199325"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Maintain an appropriate level of reinsurance.</w:t>
            </w:r>
          </w:p>
          <w:p w14:paraId="392ECF34"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Continue to meet the Commission’s standards for prevention, rehabilitation and claims management.</w:t>
            </w:r>
          </w:p>
          <w:p w14:paraId="53CFD2C9"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A Licensee Compliance and Performance Improvement report, </w:t>
            </w:r>
            <w:r w:rsidRPr="007A1B12">
              <w:rPr>
                <w:rFonts w:eastAsia="Calibri" w:cs="Arial"/>
                <w:sz w:val="14"/>
                <w:szCs w:val="14"/>
                <w:lang w:eastAsia="en-US"/>
              </w:rPr>
              <w:lastRenderedPageBreak/>
              <w:t>outlining the licensee’s achievements for the past 12 months and objectives and targets for the coming year, must be provided annually to Comcare.</w:t>
            </w:r>
          </w:p>
        </w:tc>
        <w:tc>
          <w:tcPr>
            <w:tcW w:w="4558" w:type="dxa"/>
            <w:shd w:val="clear" w:color="auto" w:fill="FFC9C9"/>
            <w:tcMar>
              <w:top w:w="80" w:type="dxa"/>
              <w:left w:w="80" w:type="dxa"/>
              <w:bottom w:w="80" w:type="dxa"/>
              <w:right w:w="80" w:type="dxa"/>
            </w:tcMar>
          </w:tcPr>
          <w:p w14:paraId="66D63B24"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lastRenderedPageBreak/>
              <w:t>—</w:t>
            </w:r>
          </w:p>
        </w:tc>
      </w:tr>
      <w:tr w:rsidR="00AD59AC" w:rsidRPr="00AD59AC" w14:paraId="21F94739" w14:textId="77777777" w:rsidTr="00B2173F">
        <w:tc>
          <w:tcPr>
            <w:tcW w:w="1201" w:type="dxa"/>
            <w:tcMar>
              <w:top w:w="80" w:type="dxa"/>
              <w:left w:w="80" w:type="dxa"/>
              <w:bottom w:w="80" w:type="dxa"/>
              <w:right w:w="80" w:type="dxa"/>
            </w:tcMar>
          </w:tcPr>
          <w:p w14:paraId="133ADCDF"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New Zealand</w:t>
            </w:r>
          </w:p>
        </w:tc>
        <w:tc>
          <w:tcPr>
            <w:tcW w:w="4557" w:type="dxa"/>
            <w:tcMar>
              <w:top w:w="80" w:type="dxa"/>
              <w:left w:w="80" w:type="dxa"/>
              <w:bottom w:w="80" w:type="dxa"/>
              <w:right w:w="80" w:type="dxa"/>
            </w:tcMar>
          </w:tcPr>
          <w:p w14:paraId="54382503" w14:textId="77777777"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Licensee must comply with the requirements of:</w:t>
            </w:r>
          </w:p>
          <w:p w14:paraId="08F0C14E" w14:textId="290EAAC5"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 xml:space="preserve">the </w:t>
            </w:r>
            <w:r w:rsidRPr="00B2471E">
              <w:rPr>
                <w:rFonts w:eastAsia="Calibri" w:cs="Arial"/>
                <w:i/>
                <w:sz w:val="14"/>
                <w:szCs w:val="14"/>
                <w:lang w:eastAsia="en-US"/>
              </w:rPr>
              <w:t>Accident Compensation Act</w:t>
            </w:r>
            <w:r w:rsidR="009A6C61">
              <w:rPr>
                <w:rFonts w:eastAsia="Calibri" w:cs="Arial"/>
                <w:i/>
                <w:sz w:val="14"/>
                <w:szCs w:val="14"/>
                <w:lang w:eastAsia="en-US"/>
              </w:rPr>
              <w:t xml:space="preserve"> 2001</w:t>
            </w:r>
            <w:r w:rsidRPr="007A1B12">
              <w:rPr>
                <w:rFonts w:eastAsia="Calibri" w:cs="Arial"/>
                <w:sz w:val="14"/>
                <w:szCs w:val="14"/>
                <w:lang w:eastAsia="en-US"/>
              </w:rPr>
              <w:t>, Regulations and any other applicable guidelines issued by Accident Compensation Corporation</w:t>
            </w:r>
          </w:p>
          <w:p w14:paraId="17347F51" w14:textId="77777777"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 xml:space="preserve">the </w:t>
            </w:r>
            <w:r w:rsidRPr="007239A5">
              <w:rPr>
                <w:rFonts w:eastAsia="Calibri" w:cs="Arial"/>
                <w:i/>
                <w:sz w:val="14"/>
                <w:szCs w:val="14"/>
                <w:lang w:eastAsia="en-US"/>
              </w:rPr>
              <w:t>Privacy Act 1993</w:t>
            </w:r>
          </w:p>
          <w:p w14:paraId="5404FFD2" w14:textId="77777777"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Health Information Privacy Code 1994, and</w:t>
            </w:r>
          </w:p>
          <w:p w14:paraId="5ED6FA5F" w14:textId="77777777"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the Code of ACC Claimants’ Rights.</w:t>
            </w:r>
          </w:p>
        </w:tc>
        <w:tc>
          <w:tcPr>
            <w:tcW w:w="4557" w:type="dxa"/>
            <w:tcMar>
              <w:top w:w="80" w:type="dxa"/>
              <w:left w:w="80" w:type="dxa"/>
              <w:bottom w:w="80" w:type="dxa"/>
              <w:right w:w="80" w:type="dxa"/>
            </w:tcMar>
          </w:tcPr>
          <w:p w14:paraId="784FFB9B" w14:textId="77777777" w:rsidR="00AD59AC" w:rsidRPr="007A1B12" w:rsidRDefault="00AD59AC" w:rsidP="00F839DB">
            <w:pPr>
              <w:pStyle w:val="ListParagraph"/>
              <w:numPr>
                <w:ilvl w:val="0"/>
                <w:numId w:val="389"/>
              </w:numPr>
              <w:spacing w:after="60"/>
              <w:ind w:left="357" w:hanging="357"/>
              <w:rPr>
                <w:rFonts w:eastAsia="Calibri" w:cs="Arial"/>
                <w:sz w:val="14"/>
                <w:szCs w:val="14"/>
                <w:lang w:eastAsia="en-US"/>
              </w:rPr>
            </w:pPr>
            <w:r w:rsidRPr="007A1B12">
              <w:rPr>
                <w:rFonts w:eastAsia="Calibri" w:cs="Arial"/>
                <w:sz w:val="14"/>
                <w:szCs w:val="14"/>
                <w:lang w:eastAsia="en-US"/>
              </w:rPr>
              <w:t>Comply with any written directions given by ACC. Advise ACC of:</w:t>
            </w:r>
          </w:p>
          <w:p w14:paraId="2F745522" w14:textId="77777777" w:rsidR="00AD59AC" w:rsidRPr="007A1B12" w:rsidRDefault="00AD59AC" w:rsidP="00F839DB">
            <w:pPr>
              <w:pStyle w:val="ListParagraph"/>
              <w:numPr>
                <w:ilvl w:val="0"/>
                <w:numId w:val="390"/>
              </w:numPr>
              <w:spacing w:after="60"/>
              <w:ind w:left="357" w:hanging="357"/>
              <w:contextualSpacing/>
              <w:rPr>
                <w:rFonts w:cs="Arial"/>
                <w:color w:val="000000"/>
                <w:sz w:val="14"/>
                <w:szCs w:val="16"/>
                <w:lang w:val="en-GB"/>
              </w:rPr>
            </w:pPr>
            <w:r w:rsidRPr="007A1B12">
              <w:rPr>
                <w:rFonts w:cs="Arial"/>
                <w:color w:val="000000"/>
                <w:sz w:val="14"/>
                <w:szCs w:val="16"/>
                <w:lang w:val="en-GB"/>
              </w:rPr>
              <w:t>any serious ongoing claim or claims with a duration &lt; 12 months as soon as practicable</w:t>
            </w:r>
          </w:p>
          <w:p w14:paraId="1CF2BB84" w14:textId="77777777" w:rsidR="00AD59AC" w:rsidRPr="007A1B12" w:rsidRDefault="00AD59AC" w:rsidP="00F839DB">
            <w:pPr>
              <w:pStyle w:val="ListParagraph"/>
              <w:numPr>
                <w:ilvl w:val="0"/>
                <w:numId w:val="390"/>
              </w:numPr>
              <w:spacing w:after="60"/>
              <w:ind w:left="357" w:hanging="357"/>
              <w:contextualSpacing/>
              <w:rPr>
                <w:rFonts w:cs="Arial"/>
                <w:color w:val="000000"/>
                <w:sz w:val="14"/>
                <w:szCs w:val="16"/>
                <w:lang w:val="en-GB"/>
              </w:rPr>
            </w:pPr>
            <w:r w:rsidRPr="007A1B12">
              <w:rPr>
                <w:rFonts w:cs="Arial"/>
                <w:color w:val="000000"/>
                <w:sz w:val="14"/>
                <w:szCs w:val="16"/>
                <w:lang w:val="en-GB"/>
              </w:rPr>
              <w:t>any insolvency event</w:t>
            </w:r>
          </w:p>
          <w:p w14:paraId="27107957" w14:textId="77777777" w:rsidR="00AD59AC" w:rsidRPr="007A1B12" w:rsidRDefault="00AD59AC" w:rsidP="00F839DB">
            <w:pPr>
              <w:pStyle w:val="ListParagraph"/>
              <w:numPr>
                <w:ilvl w:val="0"/>
                <w:numId w:val="390"/>
              </w:numPr>
              <w:spacing w:after="60"/>
              <w:ind w:left="357" w:hanging="357"/>
              <w:contextualSpacing/>
              <w:rPr>
                <w:rFonts w:cs="Arial"/>
                <w:color w:val="000000"/>
                <w:sz w:val="14"/>
                <w:szCs w:val="16"/>
                <w:lang w:val="en-GB"/>
              </w:rPr>
            </w:pPr>
            <w:r w:rsidRPr="007A1B12">
              <w:rPr>
                <w:rFonts w:cs="Arial"/>
                <w:color w:val="000000"/>
                <w:sz w:val="14"/>
                <w:szCs w:val="16"/>
                <w:lang w:val="en-GB"/>
              </w:rPr>
              <w:t>any report from Occupational Health and Safety (Ministry of Business, Innovation and Employment)</w:t>
            </w:r>
          </w:p>
          <w:p w14:paraId="3E0BD5E6" w14:textId="77777777" w:rsidR="00AD59AC" w:rsidRPr="007A1B12" w:rsidRDefault="00AD59AC" w:rsidP="00F839DB">
            <w:pPr>
              <w:pStyle w:val="ListParagraph"/>
              <w:numPr>
                <w:ilvl w:val="0"/>
                <w:numId w:val="390"/>
              </w:numPr>
              <w:spacing w:after="60"/>
              <w:ind w:left="357" w:hanging="357"/>
              <w:contextualSpacing/>
              <w:rPr>
                <w:rFonts w:cs="Arial"/>
                <w:color w:val="000000"/>
                <w:sz w:val="14"/>
                <w:szCs w:val="16"/>
                <w:lang w:val="en-GB"/>
              </w:rPr>
            </w:pPr>
            <w:r w:rsidRPr="007A1B12">
              <w:rPr>
                <w:rFonts w:cs="Arial"/>
                <w:color w:val="000000"/>
                <w:sz w:val="14"/>
                <w:szCs w:val="16"/>
                <w:lang w:val="en-GB"/>
              </w:rPr>
              <w:t>anything that could contribute to Accident Compensation Corporation reviewing the status of the employer, and</w:t>
            </w:r>
          </w:p>
          <w:p w14:paraId="6719A37B" w14:textId="77777777" w:rsidR="00AD59AC" w:rsidRPr="007A1B12" w:rsidRDefault="00AD59AC" w:rsidP="00F839DB">
            <w:pPr>
              <w:pStyle w:val="ListParagraph"/>
              <w:numPr>
                <w:ilvl w:val="0"/>
                <w:numId w:val="390"/>
              </w:numPr>
              <w:spacing w:after="60"/>
              <w:rPr>
                <w:rFonts w:cs="Arial"/>
                <w:color w:val="000000"/>
                <w:sz w:val="14"/>
                <w:szCs w:val="16"/>
                <w:lang w:val="en-GB"/>
              </w:rPr>
            </w:pPr>
            <w:r w:rsidRPr="007A1B12">
              <w:rPr>
                <w:rFonts w:cs="Arial"/>
                <w:color w:val="000000"/>
                <w:sz w:val="14"/>
                <w:szCs w:val="16"/>
                <w:lang w:val="en-GB"/>
              </w:rPr>
              <w:t>provide a copy of the initiating process to Accident Compensation Corporation as soon as possible of any court proceedings in relation to a matter arising in respect of a claim.</w:t>
            </w:r>
          </w:p>
          <w:p w14:paraId="5DA19819" w14:textId="77777777" w:rsidR="00AD59AC" w:rsidRPr="007A1B12" w:rsidRDefault="00AD59AC" w:rsidP="00F839DB">
            <w:pPr>
              <w:pStyle w:val="ListParagraph"/>
              <w:numPr>
                <w:ilvl w:val="0"/>
                <w:numId w:val="391"/>
              </w:numPr>
              <w:spacing w:after="60"/>
              <w:contextualSpacing/>
              <w:rPr>
                <w:rFonts w:eastAsia="Calibri" w:cs="Arial"/>
                <w:sz w:val="14"/>
                <w:szCs w:val="14"/>
                <w:lang w:eastAsia="en-US"/>
              </w:rPr>
            </w:pPr>
            <w:r w:rsidRPr="007A1B12">
              <w:rPr>
                <w:rFonts w:eastAsia="Calibri" w:cs="Arial"/>
                <w:sz w:val="14"/>
                <w:szCs w:val="14"/>
                <w:lang w:eastAsia="en-US"/>
              </w:rPr>
              <w:t>Provide Accident Compensation Corporation upon request, information relating to the licensee’s operations. Ensure claims manager complies with the conditions of the licence. Retain overall responsibility for claim and case management. Notify Accident Compensation Corporation in writing as soon as possible after it becomes aware that the claims manager has done, or omitted to do, something which has the effect that the licensee is, or likely to be, in breach of a term or condition of the licence. Must enter into and maintain a written contract with the claims manager and provide a copy of the contract to the ACC.</w:t>
            </w:r>
          </w:p>
        </w:tc>
        <w:tc>
          <w:tcPr>
            <w:tcW w:w="4558" w:type="dxa"/>
            <w:tcMar>
              <w:top w:w="80" w:type="dxa"/>
              <w:left w:w="80" w:type="dxa"/>
              <w:bottom w:w="80" w:type="dxa"/>
              <w:right w:w="80" w:type="dxa"/>
            </w:tcMar>
          </w:tcPr>
          <w:p w14:paraId="1B54DEEF"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w:t>
            </w:r>
          </w:p>
        </w:tc>
      </w:tr>
      <w:bookmarkEnd w:id="208"/>
      <w:bookmarkEnd w:id="209"/>
    </w:tbl>
    <w:p w14:paraId="732E2BB9" w14:textId="77777777" w:rsidR="00C66972" w:rsidRPr="00C66972" w:rsidRDefault="00C66972" w:rsidP="00C66972">
      <w:pPr>
        <w:spacing w:after="200" w:line="276" w:lineRule="auto"/>
        <w:rPr>
          <w:rFonts w:eastAsiaTheme="minorHAnsi"/>
        </w:rPr>
      </w:pPr>
    </w:p>
    <w:p w14:paraId="1B9F2573" w14:textId="378BDAA3" w:rsidR="007A1B12" w:rsidRPr="00205CCE" w:rsidRDefault="007A1B12" w:rsidP="00205CCE">
      <w:pPr>
        <w:pStyle w:val="SWATableheader"/>
      </w:pPr>
      <w:bookmarkStart w:id="218" w:name="_Toc504654712"/>
      <w:r w:rsidRPr="00205CCE">
        <w:lastRenderedPageBreak/>
        <w:t>Table 6.9: Reporting requirements</w:t>
      </w:r>
      <w:bookmarkEnd w:id="218"/>
      <w:r w:rsidRPr="00205CCE">
        <w:t xml:space="preserve"> </w:t>
      </w:r>
      <w:r w:rsidR="000B568E" w:rsidRPr="00205CCE">
        <w:fldChar w:fldCharType="begin"/>
      </w:r>
      <w:r w:rsidR="000B568E" w:rsidRPr="00205CCE">
        <w:instrText xml:space="preserve"> XE "self-insurer arrangements standards and:reporting requirements" \r "reporting"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9: Reporting requirements "/>
        <w:tblDescription w:val="This table outlines the reporting requirements. "/>
      </w:tblPr>
      <w:tblGrid>
        <w:gridCol w:w="1365"/>
        <w:gridCol w:w="1365"/>
        <w:gridCol w:w="1365"/>
        <w:gridCol w:w="1365"/>
        <w:gridCol w:w="1365"/>
        <w:gridCol w:w="1365"/>
        <w:gridCol w:w="1365"/>
        <w:gridCol w:w="1365"/>
        <w:gridCol w:w="1365"/>
        <w:gridCol w:w="1365"/>
        <w:gridCol w:w="1365"/>
      </w:tblGrid>
      <w:tr w:rsidR="007A1B12" w:rsidRPr="007A1B12" w14:paraId="133D309E" w14:textId="77777777" w:rsidTr="00B2173F">
        <w:trPr>
          <w:tblHeader/>
        </w:trPr>
        <w:tc>
          <w:tcPr>
            <w:tcW w:w="1365" w:type="dxa"/>
            <w:shd w:val="clear" w:color="auto" w:fill="C00000"/>
            <w:tcMar>
              <w:top w:w="0" w:type="dxa"/>
              <w:left w:w="0" w:type="dxa"/>
              <w:bottom w:w="0" w:type="dxa"/>
              <w:right w:w="0" w:type="dxa"/>
            </w:tcMar>
            <w:vAlign w:val="center"/>
          </w:tcPr>
          <w:p w14:paraId="436C6EDD" w14:textId="77777777" w:rsidR="007A1B12" w:rsidRPr="007A1B12" w:rsidRDefault="007A1B12" w:rsidP="00292A53">
            <w:pPr>
              <w:pStyle w:val="Tableheaderrow"/>
              <w:spacing w:after="60"/>
            </w:pPr>
            <w:bookmarkStart w:id="219" w:name="self"/>
            <w:bookmarkStart w:id="220" w:name="reporting"/>
          </w:p>
        </w:tc>
        <w:tc>
          <w:tcPr>
            <w:tcW w:w="1365" w:type="dxa"/>
            <w:shd w:val="clear" w:color="auto" w:fill="C00000"/>
            <w:tcMar>
              <w:top w:w="0" w:type="dxa"/>
              <w:left w:w="0" w:type="dxa"/>
              <w:bottom w:w="0" w:type="dxa"/>
              <w:right w:w="0" w:type="dxa"/>
            </w:tcMar>
            <w:vAlign w:val="center"/>
          </w:tcPr>
          <w:p w14:paraId="31E5F611" w14:textId="77777777" w:rsidR="007A1B12" w:rsidRPr="007A1B12" w:rsidRDefault="007A1B12" w:rsidP="00292A53">
            <w:pPr>
              <w:pStyle w:val="Tableheaderrow"/>
              <w:spacing w:after="60"/>
            </w:pPr>
            <w:r w:rsidRPr="007A1B12">
              <w:t>New South Wales</w:t>
            </w:r>
          </w:p>
        </w:tc>
        <w:tc>
          <w:tcPr>
            <w:tcW w:w="1365" w:type="dxa"/>
            <w:shd w:val="clear" w:color="auto" w:fill="C00000"/>
            <w:tcMar>
              <w:top w:w="0" w:type="dxa"/>
              <w:left w:w="0" w:type="dxa"/>
              <w:bottom w:w="0" w:type="dxa"/>
              <w:right w:w="0" w:type="dxa"/>
            </w:tcMar>
            <w:vAlign w:val="center"/>
          </w:tcPr>
          <w:p w14:paraId="5E1DC596" w14:textId="77777777" w:rsidR="007A1B12" w:rsidRPr="007A1B12" w:rsidRDefault="007A1B12" w:rsidP="00292A53">
            <w:pPr>
              <w:pStyle w:val="Tableheaderrow"/>
              <w:spacing w:after="60"/>
            </w:pPr>
            <w:r w:rsidRPr="007A1B12">
              <w:t>Victoria</w:t>
            </w:r>
          </w:p>
        </w:tc>
        <w:tc>
          <w:tcPr>
            <w:tcW w:w="1365" w:type="dxa"/>
            <w:shd w:val="clear" w:color="auto" w:fill="C00000"/>
            <w:tcMar>
              <w:top w:w="0" w:type="dxa"/>
              <w:left w:w="0" w:type="dxa"/>
              <w:bottom w:w="0" w:type="dxa"/>
              <w:right w:w="0" w:type="dxa"/>
            </w:tcMar>
            <w:vAlign w:val="center"/>
          </w:tcPr>
          <w:p w14:paraId="3731FC69" w14:textId="77777777" w:rsidR="007A1B12" w:rsidRPr="007A1B12" w:rsidRDefault="007A1B12" w:rsidP="00292A53">
            <w:pPr>
              <w:pStyle w:val="Tableheaderrow"/>
              <w:spacing w:after="60"/>
            </w:pPr>
            <w:r w:rsidRPr="007A1B12">
              <w:t>Queensland</w:t>
            </w:r>
          </w:p>
        </w:tc>
        <w:tc>
          <w:tcPr>
            <w:tcW w:w="1365" w:type="dxa"/>
            <w:shd w:val="clear" w:color="auto" w:fill="C00000"/>
            <w:tcMar>
              <w:top w:w="0" w:type="dxa"/>
              <w:left w:w="0" w:type="dxa"/>
              <w:bottom w:w="0" w:type="dxa"/>
              <w:right w:w="0" w:type="dxa"/>
            </w:tcMar>
            <w:vAlign w:val="center"/>
          </w:tcPr>
          <w:p w14:paraId="13AD17B9" w14:textId="77777777" w:rsidR="007A1B12" w:rsidRPr="007A1B12" w:rsidRDefault="007A1B12" w:rsidP="00292A53">
            <w:pPr>
              <w:pStyle w:val="Tableheaderrow"/>
              <w:spacing w:after="60"/>
            </w:pPr>
            <w:r w:rsidRPr="007A1B12">
              <w:t>Western Australia</w:t>
            </w:r>
          </w:p>
        </w:tc>
        <w:tc>
          <w:tcPr>
            <w:tcW w:w="1365" w:type="dxa"/>
            <w:shd w:val="clear" w:color="auto" w:fill="C00000"/>
            <w:tcMar>
              <w:top w:w="0" w:type="dxa"/>
              <w:left w:w="0" w:type="dxa"/>
              <w:bottom w:w="0" w:type="dxa"/>
              <w:right w:w="0" w:type="dxa"/>
            </w:tcMar>
            <w:vAlign w:val="center"/>
          </w:tcPr>
          <w:p w14:paraId="7273C3EF" w14:textId="77777777" w:rsidR="007A1B12" w:rsidRPr="007A1B12" w:rsidRDefault="007A1B12" w:rsidP="00292A53">
            <w:pPr>
              <w:pStyle w:val="Tableheaderrow"/>
              <w:spacing w:after="60"/>
            </w:pPr>
            <w:r w:rsidRPr="007A1B12">
              <w:t>South Australia</w:t>
            </w:r>
          </w:p>
        </w:tc>
        <w:tc>
          <w:tcPr>
            <w:tcW w:w="1365" w:type="dxa"/>
            <w:shd w:val="clear" w:color="auto" w:fill="C00000"/>
            <w:tcMar>
              <w:top w:w="0" w:type="dxa"/>
              <w:left w:w="0" w:type="dxa"/>
              <w:bottom w:w="0" w:type="dxa"/>
              <w:right w:w="0" w:type="dxa"/>
            </w:tcMar>
            <w:vAlign w:val="center"/>
          </w:tcPr>
          <w:p w14:paraId="5E309CB6" w14:textId="77777777" w:rsidR="007A1B12" w:rsidRPr="007A1B12" w:rsidRDefault="007A1B12" w:rsidP="00292A53">
            <w:pPr>
              <w:pStyle w:val="Tableheaderrow"/>
              <w:spacing w:after="60"/>
            </w:pPr>
            <w:r w:rsidRPr="007A1B12">
              <w:t>Tasmania</w:t>
            </w:r>
          </w:p>
        </w:tc>
        <w:tc>
          <w:tcPr>
            <w:tcW w:w="1365" w:type="dxa"/>
            <w:shd w:val="clear" w:color="auto" w:fill="C00000"/>
            <w:tcMar>
              <w:top w:w="0" w:type="dxa"/>
              <w:left w:w="0" w:type="dxa"/>
              <w:bottom w:w="0" w:type="dxa"/>
              <w:right w:w="0" w:type="dxa"/>
            </w:tcMar>
            <w:vAlign w:val="center"/>
          </w:tcPr>
          <w:p w14:paraId="09F8D9BF" w14:textId="77777777" w:rsidR="007A1B12" w:rsidRPr="007A1B12" w:rsidRDefault="007A1B12" w:rsidP="00292A53">
            <w:pPr>
              <w:pStyle w:val="Tableheaderrow"/>
              <w:spacing w:after="60"/>
            </w:pPr>
            <w:r w:rsidRPr="007A1B12">
              <w:t>Northern Territory</w:t>
            </w:r>
          </w:p>
        </w:tc>
        <w:tc>
          <w:tcPr>
            <w:tcW w:w="1365" w:type="dxa"/>
            <w:shd w:val="clear" w:color="auto" w:fill="C00000"/>
            <w:tcMar>
              <w:top w:w="0" w:type="dxa"/>
              <w:left w:w="0" w:type="dxa"/>
              <w:bottom w:w="0" w:type="dxa"/>
              <w:right w:w="0" w:type="dxa"/>
            </w:tcMar>
            <w:vAlign w:val="center"/>
          </w:tcPr>
          <w:p w14:paraId="2AC62FE2" w14:textId="77777777" w:rsidR="007A1B12" w:rsidRPr="007A1B12" w:rsidRDefault="007A1B12" w:rsidP="00292A53">
            <w:pPr>
              <w:pStyle w:val="Tableheaderrow"/>
              <w:spacing w:after="60"/>
            </w:pPr>
            <w:r w:rsidRPr="007A1B12">
              <w:t>Australian Capital Territory</w:t>
            </w:r>
          </w:p>
        </w:tc>
        <w:tc>
          <w:tcPr>
            <w:tcW w:w="1365" w:type="dxa"/>
            <w:shd w:val="clear" w:color="auto" w:fill="C00000"/>
            <w:tcMar>
              <w:top w:w="0" w:type="dxa"/>
              <w:left w:w="0" w:type="dxa"/>
              <w:bottom w:w="0" w:type="dxa"/>
              <w:right w:w="0" w:type="dxa"/>
            </w:tcMar>
            <w:vAlign w:val="center"/>
          </w:tcPr>
          <w:p w14:paraId="1027AD1F" w14:textId="5F00A73E" w:rsidR="007A1B12" w:rsidRPr="007A1B12" w:rsidRDefault="007A1B12" w:rsidP="00292A53">
            <w:pPr>
              <w:pStyle w:val="Tableheaderrow"/>
              <w:spacing w:after="60"/>
            </w:pPr>
            <w:r w:rsidRPr="007A1B12">
              <w:t>C’wealth Comcare</w:t>
            </w:r>
            <w:r w:rsidR="00E566A9">
              <w:fldChar w:fldCharType="begin"/>
            </w:r>
            <w:r w:rsidR="00E566A9">
              <w:instrText xml:space="preserve"> XE "</w:instrText>
            </w:r>
            <w:r w:rsidR="00E566A9" w:rsidRPr="001854C8">
              <w:instrText>reporting requirements for self-insurers</w:instrText>
            </w:r>
            <w:r w:rsidR="00E566A9">
              <w:instrText xml:space="preserve">" \r "self" </w:instrText>
            </w:r>
            <w:r w:rsidR="00E566A9">
              <w:fldChar w:fldCharType="end"/>
            </w:r>
          </w:p>
        </w:tc>
        <w:tc>
          <w:tcPr>
            <w:tcW w:w="1365" w:type="dxa"/>
            <w:shd w:val="clear" w:color="auto" w:fill="C00000"/>
            <w:tcMar>
              <w:top w:w="0" w:type="dxa"/>
              <w:left w:w="0" w:type="dxa"/>
              <w:bottom w:w="0" w:type="dxa"/>
              <w:right w:w="0" w:type="dxa"/>
            </w:tcMar>
            <w:vAlign w:val="center"/>
          </w:tcPr>
          <w:p w14:paraId="5D2944B1" w14:textId="77777777" w:rsidR="007A1B12" w:rsidRPr="007A1B12" w:rsidRDefault="007A1B12" w:rsidP="00292A53">
            <w:pPr>
              <w:pStyle w:val="Tableheaderrow"/>
              <w:spacing w:after="60"/>
            </w:pPr>
            <w:r w:rsidRPr="007A1B12">
              <w:t>New Zealand</w:t>
            </w:r>
          </w:p>
        </w:tc>
      </w:tr>
      <w:tr w:rsidR="007A1B12" w:rsidRPr="007A1B12" w14:paraId="74091F97" w14:textId="77777777" w:rsidTr="00B2173F">
        <w:tc>
          <w:tcPr>
            <w:tcW w:w="15015" w:type="dxa"/>
            <w:gridSpan w:val="11"/>
            <w:tcMar>
              <w:top w:w="80" w:type="dxa"/>
              <w:left w:w="80" w:type="dxa"/>
              <w:bottom w:w="80" w:type="dxa"/>
              <w:right w:w="80" w:type="dxa"/>
            </w:tcMar>
          </w:tcPr>
          <w:p w14:paraId="2D7EC99C" w14:textId="77777777" w:rsidR="007A1B12" w:rsidRPr="007A1B12" w:rsidRDefault="007A1B12" w:rsidP="00292A53">
            <w:pPr>
              <w:spacing w:after="60"/>
              <w:jc w:val="center"/>
              <w:rPr>
                <w:rFonts w:eastAsia="Calibri" w:cs="Arial"/>
                <w:b/>
                <w:sz w:val="16"/>
                <w:szCs w:val="16"/>
                <w:lang w:eastAsia="en-US"/>
              </w:rPr>
            </w:pPr>
            <w:r w:rsidRPr="007A1B12">
              <w:rPr>
                <w:rFonts w:eastAsia="Calibri" w:cs="Arial"/>
                <w:b/>
                <w:sz w:val="16"/>
                <w:szCs w:val="16"/>
                <w:lang w:eastAsia="en-US"/>
              </w:rPr>
              <w:t>Claims data</w:t>
            </w:r>
          </w:p>
        </w:tc>
      </w:tr>
      <w:tr w:rsidR="007A1B12" w:rsidRPr="007A1B12" w14:paraId="7E57F762" w14:textId="77777777" w:rsidTr="00B2173F">
        <w:tc>
          <w:tcPr>
            <w:tcW w:w="1365" w:type="dxa"/>
            <w:shd w:val="clear" w:color="auto" w:fill="FFC9C9"/>
            <w:tcMar>
              <w:top w:w="80" w:type="dxa"/>
              <w:left w:w="80" w:type="dxa"/>
              <w:bottom w:w="80" w:type="dxa"/>
              <w:right w:w="80" w:type="dxa"/>
            </w:tcMar>
          </w:tcPr>
          <w:p w14:paraId="1D0DCD5B"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Frequency</w:t>
            </w:r>
          </w:p>
        </w:tc>
        <w:tc>
          <w:tcPr>
            <w:tcW w:w="1365" w:type="dxa"/>
            <w:shd w:val="clear" w:color="auto" w:fill="FFC9C9"/>
            <w:tcMar>
              <w:top w:w="80" w:type="dxa"/>
              <w:left w:w="80" w:type="dxa"/>
              <w:bottom w:w="80" w:type="dxa"/>
              <w:right w:w="80" w:type="dxa"/>
            </w:tcMar>
          </w:tcPr>
          <w:p w14:paraId="358BEC4F"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53F55AC8"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Quarterly</w:t>
            </w:r>
          </w:p>
        </w:tc>
        <w:tc>
          <w:tcPr>
            <w:tcW w:w="1365" w:type="dxa"/>
            <w:shd w:val="clear" w:color="auto" w:fill="FFC9C9"/>
            <w:tcMar>
              <w:top w:w="80" w:type="dxa"/>
              <w:left w:w="80" w:type="dxa"/>
              <w:bottom w:w="80" w:type="dxa"/>
              <w:right w:w="80" w:type="dxa"/>
            </w:tcMar>
          </w:tcPr>
          <w:p w14:paraId="06A87A75"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086E9F24"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16DBEA3E"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14 days</w:t>
            </w:r>
          </w:p>
        </w:tc>
        <w:tc>
          <w:tcPr>
            <w:tcW w:w="1365" w:type="dxa"/>
            <w:shd w:val="clear" w:color="auto" w:fill="FFC9C9"/>
            <w:tcMar>
              <w:top w:w="80" w:type="dxa"/>
              <w:left w:w="80" w:type="dxa"/>
              <w:bottom w:w="80" w:type="dxa"/>
              <w:right w:w="80" w:type="dxa"/>
            </w:tcMar>
          </w:tcPr>
          <w:p w14:paraId="54D28EEB" w14:textId="2768BB6B" w:rsidR="005C5C26" w:rsidRDefault="006C5923" w:rsidP="00292A53">
            <w:pPr>
              <w:spacing w:after="60"/>
              <w:contextualSpacing/>
              <w:rPr>
                <w:rFonts w:eastAsia="Calibri" w:cs="Arial"/>
                <w:sz w:val="14"/>
                <w:szCs w:val="14"/>
                <w:lang w:eastAsia="en-US"/>
              </w:rPr>
            </w:pPr>
            <w:r>
              <w:rPr>
                <w:rFonts w:eastAsia="Calibri" w:cs="Arial"/>
                <w:sz w:val="14"/>
                <w:szCs w:val="14"/>
                <w:lang w:eastAsia="en-US"/>
              </w:rPr>
              <w:t>Monthly</w:t>
            </w:r>
          </w:p>
          <w:p w14:paraId="0DB60EEA" w14:textId="3A0C9FB2" w:rsidR="007A1B12" w:rsidRPr="007A1B12" w:rsidRDefault="006C5923" w:rsidP="00292A53">
            <w:pPr>
              <w:spacing w:after="60"/>
              <w:contextualSpacing/>
              <w:rPr>
                <w:rFonts w:eastAsia="Calibri" w:cs="Arial"/>
                <w:sz w:val="14"/>
                <w:szCs w:val="14"/>
                <w:lang w:eastAsia="en-US"/>
              </w:rPr>
            </w:pPr>
            <w:r>
              <w:rPr>
                <w:rFonts w:eastAsia="Calibri" w:cs="Arial"/>
                <w:sz w:val="14"/>
                <w:szCs w:val="14"/>
                <w:lang w:eastAsia="en-US"/>
              </w:rPr>
              <w:t>Annually</w:t>
            </w:r>
          </w:p>
        </w:tc>
        <w:tc>
          <w:tcPr>
            <w:tcW w:w="1365" w:type="dxa"/>
            <w:shd w:val="clear" w:color="auto" w:fill="FFC9C9"/>
            <w:tcMar>
              <w:top w:w="80" w:type="dxa"/>
              <w:left w:w="80" w:type="dxa"/>
              <w:bottom w:w="80" w:type="dxa"/>
              <w:right w:w="80" w:type="dxa"/>
            </w:tcMar>
          </w:tcPr>
          <w:p w14:paraId="1C66D7F0"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3076DD1E"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5B0D93F3" w14:textId="3A40D0A9"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 or as per dire</w:t>
            </w:r>
            <w:r w:rsidR="00EF6585">
              <w:rPr>
                <w:rFonts w:eastAsia="Calibri" w:cs="Arial"/>
                <w:sz w:val="14"/>
                <w:szCs w:val="14"/>
                <w:lang w:eastAsia="en-US"/>
              </w:rPr>
              <w:t>ction by the Commission</w:t>
            </w:r>
          </w:p>
        </w:tc>
        <w:tc>
          <w:tcPr>
            <w:tcW w:w="1365" w:type="dxa"/>
            <w:shd w:val="clear" w:color="auto" w:fill="FFC9C9"/>
            <w:tcMar>
              <w:top w:w="80" w:type="dxa"/>
              <w:left w:w="80" w:type="dxa"/>
              <w:bottom w:w="80" w:type="dxa"/>
              <w:right w:w="80" w:type="dxa"/>
            </w:tcMar>
          </w:tcPr>
          <w:p w14:paraId="32F1B921"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r>
      <w:tr w:rsidR="007A1B12" w:rsidRPr="007A1B12" w14:paraId="335F26FC" w14:textId="77777777" w:rsidTr="00B2173F">
        <w:tc>
          <w:tcPr>
            <w:tcW w:w="1365" w:type="dxa"/>
            <w:tcMar>
              <w:top w:w="80" w:type="dxa"/>
              <w:left w:w="80" w:type="dxa"/>
              <w:bottom w:w="80" w:type="dxa"/>
              <w:right w:w="80" w:type="dxa"/>
            </w:tcMar>
          </w:tcPr>
          <w:p w14:paraId="0FBA66FC"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Timing</w:t>
            </w:r>
          </w:p>
        </w:tc>
        <w:tc>
          <w:tcPr>
            <w:tcW w:w="1365" w:type="dxa"/>
            <w:tcMar>
              <w:top w:w="80" w:type="dxa"/>
              <w:left w:w="80" w:type="dxa"/>
              <w:bottom w:w="80" w:type="dxa"/>
              <w:right w:w="80" w:type="dxa"/>
            </w:tcMar>
          </w:tcPr>
          <w:p w14:paraId="7D0D991A" w14:textId="05DA6124"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By the </w:t>
            </w:r>
            <w:r w:rsidR="00EF6585">
              <w:rPr>
                <w:rFonts w:eastAsia="Calibri" w:cs="Arial"/>
                <w:sz w:val="14"/>
                <w:szCs w:val="14"/>
                <w:lang w:eastAsia="en-US"/>
              </w:rPr>
              <w:t>15th day of the following month</w:t>
            </w:r>
          </w:p>
        </w:tc>
        <w:tc>
          <w:tcPr>
            <w:tcW w:w="1365" w:type="dxa"/>
            <w:tcMar>
              <w:top w:w="80" w:type="dxa"/>
              <w:left w:w="80" w:type="dxa"/>
              <w:bottom w:w="80" w:type="dxa"/>
              <w:right w:w="80" w:type="dxa"/>
            </w:tcMar>
          </w:tcPr>
          <w:p w14:paraId="0DB76632"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Each year by:</w:t>
            </w:r>
          </w:p>
          <w:p w14:paraId="4FD8476F"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31 March </w:t>
            </w:r>
          </w:p>
          <w:p w14:paraId="37393ACD"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30 June </w:t>
            </w:r>
          </w:p>
          <w:p w14:paraId="29919D45"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30 September </w:t>
            </w:r>
          </w:p>
          <w:p w14:paraId="524B2EE4" w14:textId="25CD57BB"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31 December</w:t>
            </w:r>
          </w:p>
        </w:tc>
        <w:tc>
          <w:tcPr>
            <w:tcW w:w="1365" w:type="dxa"/>
            <w:tcMar>
              <w:top w:w="80" w:type="dxa"/>
              <w:left w:w="80" w:type="dxa"/>
              <w:bottom w:w="80" w:type="dxa"/>
              <w:right w:w="80" w:type="dxa"/>
            </w:tcMar>
          </w:tcPr>
          <w:p w14:paraId="2952BDF7" w14:textId="3E838798"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By the</w:t>
            </w:r>
            <w:r w:rsidR="00EF6585">
              <w:rPr>
                <w:rFonts w:eastAsia="Calibri" w:cs="Arial"/>
                <w:sz w:val="14"/>
                <w:szCs w:val="14"/>
                <w:lang w:eastAsia="en-US"/>
              </w:rPr>
              <w:t xml:space="preserve"> 8th day of the following month</w:t>
            </w:r>
          </w:p>
        </w:tc>
        <w:tc>
          <w:tcPr>
            <w:tcW w:w="1365" w:type="dxa"/>
            <w:tcMar>
              <w:top w:w="80" w:type="dxa"/>
              <w:left w:w="80" w:type="dxa"/>
              <w:bottom w:w="80" w:type="dxa"/>
              <w:right w:w="80" w:type="dxa"/>
            </w:tcMar>
          </w:tcPr>
          <w:p w14:paraId="664E7E1A" w14:textId="27416ADE"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Within 21</w:t>
            </w:r>
            <w:r w:rsidR="00EF6585">
              <w:rPr>
                <w:rFonts w:eastAsia="Calibri" w:cs="Arial"/>
                <w:sz w:val="14"/>
                <w:szCs w:val="14"/>
                <w:lang w:eastAsia="en-US"/>
              </w:rPr>
              <w:t xml:space="preserve"> days from the end of the month</w:t>
            </w:r>
          </w:p>
        </w:tc>
        <w:tc>
          <w:tcPr>
            <w:tcW w:w="1365" w:type="dxa"/>
            <w:tcMar>
              <w:top w:w="80" w:type="dxa"/>
              <w:left w:w="80" w:type="dxa"/>
              <w:bottom w:w="80" w:type="dxa"/>
              <w:right w:w="80" w:type="dxa"/>
            </w:tcMar>
          </w:tcPr>
          <w:p w14:paraId="6C488F53" w14:textId="05324143"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By fortnightly schedule agreed betw</w:t>
            </w:r>
            <w:r w:rsidR="00EF6585">
              <w:rPr>
                <w:rFonts w:eastAsia="Calibri" w:cs="Arial"/>
                <w:sz w:val="14"/>
                <w:szCs w:val="14"/>
                <w:lang w:eastAsia="en-US"/>
              </w:rPr>
              <w:t>een ReturnToWorkSA and employer</w:t>
            </w:r>
          </w:p>
        </w:tc>
        <w:tc>
          <w:tcPr>
            <w:tcW w:w="1365" w:type="dxa"/>
            <w:tcMar>
              <w:top w:w="80" w:type="dxa"/>
              <w:left w:w="80" w:type="dxa"/>
              <w:bottom w:w="80" w:type="dxa"/>
              <w:right w:w="80" w:type="dxa"/>
            </w:tcMar>
          </w:tcPr>
          <w:p w14:paraId="36AF41DD" w14:textId="22C87BEC"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By the </w:t>
            </w:r>
            <w:r w:rsidR="00EF6585">
              <w:rPr>
                <w:rFonts w:eastAsia="Calibri" w:cs="Arial"/>
                <w:sz w:val="14"/>
                <w:szCs w:val="14"/>
                <w:lang w:eastAsia="en-US"/>
              </w:rPr>
              <w:t>21st day of the following month</w:t>
            </w:r>
          </w:p>
          <w:p w14:paraId="0046D425" w14:textId="77777777" w:rsidR="00EF6585" w:rsidRPr="007A1B12" w:rsidRDefault="00EF6585" w:rsidP="00292A53">
            <w:pPr>
              <w:spacing w:after="60"/>
              <w:contextualSpacing/>
              <w:rPr>
                <w:rFonts w:eastAsia="Calibri" w:cs="Arial"/>
                <w:sz w:val="14"/>
                <w:szCs w:val="14"/>
                <w:lang w:eastAsia="en-US"/>
              </w:rPr>
            </w:pPr>
          </w:p>
          <w:p w14:paraId="7C7E8589" w14:textId="54BD5C30" w:rsidR="007A1B12" w:rsidRDefault="00EF6585" w:rsidP="00292A53">
            <w:pPr>
              <w:spacing w:after="60"/>
              <w:contextualSpacing/>
              <w:rPr>
                <w:rFonts w:eastAsia="Calibri" w:cs="Arial"/>
                <w:sz w:val="14"/>
                <w:szCs w:val="14"/>
                <w:lang w:eastAsia="en-US"/>
              </w:rPr>
            </w:pPr>
            <w:r>
              <w:rPr>
                <w:rFonts w:eastAsia="Calibri" w:cs="Arial"/>
                <w:sz w:val="14"/>
                <w:szCs w:val="14"/>
                <w:lang w:eastAsia="en-US"/>
              </w:rPr>
              <w:t>By 31 August each year</w:t>
            </w:r>
          </w:p>
          <w:p w14:paraId="7F8690F9" w14:textId="77777777" w:rsidR="00EF6585" w:rsidRPr="007A1B12" w:rsidRDefault="00EF6585" w:rsidP="00292A53">
            <w:pPr>
              <w:spacing w:after="60"/>
              <w:contextualSpacing/>
              <w:rPr>
                <w:rFonts w:eastAsia="Calibri" w:cs="Arial"/>
                <w:sz w:val="14"/>
                <w:szCs w:val="14"/>
                <w:lang w:eastAsia="en-US"/>
              </w:rPr>
            </w:pPr>
          </w:p>
          <w:p w14:paraId="1CD5D933" w14:textId="7E792668" w:rsidR="007A1B12" w:rsidRPr="007A1B12" w:rsidRDefault="00EF6585" w:rsidP="00292A53">
            <w:pPr>
              <w:spacing w:after="60"/>
              <w:contextualSpacing/>
              <w:rPr>
                <w:rFonts w:eastAsia="Calibri" w:cs="Arial"/>
                <w:sz w:val="14"/>
                <w:szCs w:val="14"/>
                <w:lang w:eastAsia="en-US"/>
              </w:rPr>
            </w:pPr>
            <w:r>
              <w:rPr>
                <w:rFonts w:eastAsia="Calibri" w:cs="Arial"/>
                <w:sz w:val="14"/>
                <w:szCs w:val="14"/>
                <w:lang w:eastAsia="en-US"/>
              </w:rPr>
              <w:t>By 30 September each year</w:t>
            </w:r>
          </w:p>
        </w:tc>
        <w:tc>
          <w:tcPr>
            <w:tcW w:w="1365" w:type="dxa"/>
            <w:tcMar>
              <w:top w:w="80" w:type="dxa"/>
              <w:left w:w="80" w:type="dxa"/>
              <w:bottom w:w="80" w:type="dxa"/>
              <w:right w:w="80" w:type="dxa"/>
            </w:tcMar>
          </w:tcPr>
          <w:p w14:paraId="52FA39E4" w14:textId="4A9A8F66"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By the </w:t>
            </w:r>
            <w:r w:rsidR="00EF6585">
              <w:rPr>
                <w:rFonts w:eastAsia="Calibri" w:cs="Arial"/>
                <w:sz w:val="14"/>
                <w:szCs w:val="14"/>
                <w:lang w:eastAsia="en-US"/>
              </w:rPr>
              <w:t>15th day of the following month</w:t>
            </w:r>
          </w:p>
        </w:tc>
        <w:tc>
          <w:tcPr>
            <w:tcW w:w="1365" w:type="dxa"/>
            <w:tcMar>
              <w:top w:w="80" w:type="dxa"/>
              <w:left w:w="80" w:type="dxa"/>
              <w:bottom w:w="80" w:type="dxa"/>
              <w:right w:w="80" w:type="dxa"/>
            </w:tcMar>
          </w:tcPr>
          <w:p w14:paraId="648BBACA" w14:textId="353B5A60"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By the </w:t>
            </w:r>
            <w:r w:rsidR="00EF6585">
              <w:rPr>
                <w:rFonts w:eastAsia="Calibri" w:cs="Arial"/>
                <w:sz w:val="14"/>
                <w:szCs w:val="14"/>
                <w:lang w:eastAsia="en-US"/>
              </w:rPr>
              <w:t>10th day of the following month</w:t>
            </w:r>
          </w:p>
        </w:tc>
        <w:tc>
          <w:tcPr>
            <w:tcW w:w="1365" w:type="dxa"/>
            <w:tcMar>
              <w:top w:w="80" w:type="dxa"/>
              <w:left w:w="80" w:type="dxa"/>
              <w:bottom w:w="80" w:type="dxa"/>
              <w:right w:w="80" w:type="dxa"/>
            </w:tcMar>
          </w:tcPr>
          <w:p w14:paraId="5F89C4DA" w14:textId="2097CBBD"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By the</w:t>
            </w:r>
            <w:r w:rsidR="00EF6585">
              <w:rPr>
                <w:rFonts w:eastAsia="Calibri" w:cs="Arial"/>
                <w:sz w:val="14"/>
                <w:szCs w:val="14"/>
                <w:lang w:eastAsia="en-US"/>
              </w:rPr>
              <w:t xml:space="preserve"> 5th day of the following month</w:t>
            </w:r>
          </w:p>
        </w:tc>
        <w:tc>
          <w:tcPr>
            <w:tcW w:w="1365" w:type="dxa"/>
            <w:tcMar>
              <w:top w:w="80" w:type="dxa"/>
              <w:left w:w="80" w:type="dxa"/>
              <w:bottom w:w="80" w:type="dxa"/>
              <w:right w:w="80" w:type="dxa"/>
            </w:tcMar>
          </w:tcPr>
          <w:p w14:paraId="4351C77F" w14:textId="7FEDF48B"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At the end of each month, a</w:t>
            </w:r>
            <w:r w:rsidR="00EF6585">
              <w:rPr>
                <w:rFonts w:eastAsia="Calibri" w:cs="Arial"/>
                <w:sz w:val="14"/>
                <w:szCs w:val="14"/>
                <w:lang w:eastAsia="en-US"/>
              </w:rPr>
              <w:t>nd no later than 5 working days</w:t>
            </w:r>
          </w:p>
        </w:tc>
      </w:tr>
      <w:tr w:rsidR="007A1B12" w:rsidRPr="007A1B12" w14:paraId="54B4F75A" w14:textId="77777777" w:rsidTr="00B2173F">
        <w:tc>
          <w:tcPr>
            <w:tcW w:w="1365" w:type="dxa"/>
            <w:shd w:val="clear" w:color="auto" w:fill="FFC9C9"/>
            <w:tcMar>
              <w:top w:w="80" w:type="dxa"/>
              <w:left w:w="80" w:type="dxa"/>
              <w:bottom w:w="80" w:type="dxa"/>
              <w:right w:w="80" w:type="dxa"/>
            </w:tcMar>
          </w:tcPr>
          <w:p w14:paraId="64674ED6"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Format</w:t>
            </w:r>
          </w:p>
        </w:tc>
        <w:tc>
          <w:tcPr>
            <w:tcW w:w="1365" w:type="dxa"/>
            <w:shd w:val="clear" w:color="auto" w:fill="FFC9C9"/>
            <w:tcMar>
              <w:top w:w="80" w:type="dxa"/>
              <w:left w:w="80" w:type="dxa"/>
              <w:bottom w:w="80" w:type="dxa"/>
              <w:right w:w="80" w:type="dxa"/>
            </w:tcMar>
          </w:tcPr>
          <w:p w14:paraId="53638628" w14:textId="77777777" w:rsidR="00EF6585" w:rsidRDefault="00EF6585" w:rsidP="00292A53">
            <w:pPr>
              <w:spacing w:after="60"/>
              <w:contextualSpacing/>
              <w:rPr>
                <w:rFonts w:eastAsia="Calibri" w:cs="Arial"/>
                <w:sz w:val="14"/>
                <w:szCs w:val="14"/>
                <w:lang w:eastAsia="en-US"/>
              </w:rPr>
            </w:pPr>
            <w:r>
              <w:rPr>
                <w:rFonts w:eastAsia="Calibri" w:cs="Arial"/>
                <w:sz w:val="14"/>
                <w:szCs w:val="14"/>
                <w:lang w:eastAsia="en-US"/>
              </w:rPr>
              <w:t>Electronic lodgement</w:t>
            </w:r>
          </w:p>
          <w:p w14:paraId="2C0705D0" w14:textId="77777777" w:rsidR="00EF6585" w:rsidRDefault="00EF6585" w:rsidP="00292A53">
            <w:pPr>
              <w:spacing w:after="60"/>
              <w:contextualSpacing/>
              <w:rPr>
                <w:rFonts w:eastAsia="Calibri" w:cs="Arial"/>
                <w:sz w:val="14"/>
                <w:szCs w:val="14"/>
                <w:lang w:eastAsia="en-US"/>
              </w:rPr>
            </w:pPr>
          </w:p>
          <w:p w14:paraId="6A4857E8" w14:textId="5B403A1E"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Specifications in accordance with Claims Technical Manual V5.10. Injury coding for claims made after 30 June 20</w:t>
            </w:r>
            <w:r w:rsidR="00EF6585">
              <w:rPr>
                <w:rFonts w:eastAsia="Calibri" w:cs="Arial"/>
                <w:sz w:val="14"/>
                <w:szCs w:val="14"/>
                <w:lang w:eastAsia="en-US"/>
              </w:rPr>
              <w:t>11 in accordance with TOOCS 3.1</w:t>
            </w:r>
          </w:p>
        </w:tc>
        <w:tc>
          <w:tcPr>
            <w:tcW w:w="1365" w:type="dxa"/>
            <w:shd w:val="clear" w:color="auto" w:fill="FFC9C9"/>
            <w:tcMar>
              <w:top w:w="80" w:type="dxa"/>
              <w:left w:w="80" w:type="dxa"/>
              <w:bottom w:w="80" w:type="dxa"/>
              <w:right w:w="80" w:type="dxa"/>
            </w:tcMar>
          </w:tcPr>
          <w:p w14:paraId="74615C42"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Electronic data transfer and reporting:</w:t>
            </w:r>
          </w:p>
          <w:p w14:paraId="561D4F47" w14:textId="77777777" w:rsidR="007A1B12" w:rsidRPr="00A86183" w:rsidRDefault="007A1B12" w:rsidP="00F839DB">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 xml:space="preserve">remuneration </w:t>
            </w:r>
          </w:p>
          <w:p w14:paraId="3D774803" w14:textId="77777777" w:rsidR="007A1B12" w:rsidRPr="00A86183" w:rsidRDefault="007A1B12" w:rsidP="00F839DB">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count of standardised claims</w:t>
            </w:r>
          </w:p>
          <w:p w14:paraId="2412602D" w14:textId="77777777" w:rsidR="007A1B12" w:rsidRPr="00A86183" w:rsidRDefault="007A1B12" w:rsidP="00F839DB">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count of &gt; 10 day claims</w:t>
            </w:r>
          </w:p>
          <w:p w14:paraId="700063F4" w14:textId="77777777" w:rsidR="007A1B12" w:rsidRPr="00A86183" w:rsidRDefault="007A1B12" w:rsidP="00F839DB">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count of &gt; 15 day claims (or &gt;13 weeks over excess claims)</w:t>
            </w:r>
          </w:p>
          <w:p w14:paraId="5A077E07" w14:textId="77777777" w:rsidR="007A1B12" w:rsidRPr="00A86183" w:rsidRDefault="007A1B12" w:rsidP="00F839DB">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total standardised payments on standardised claims</w:t>
            </w:r>
          </w:p>
          <w:p w14:paraId="6C7AAC14" w14:textId="77777777" w:rsidR="007A1B12" w:rsidRPr="00A86183" w:rsidRDefault="007A1B12" w:rsidP="00F839DB">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total standardised payments on &gt; 10 day claims</w:t>
            </w:r>
          </w:p>
          <w:p w14:paraId="39287DCB" w14:textId="54D4D2D0" w:rsidR="007A1B12" w:rsidRPr="00A86183" w:rsidRDefault="007A1B12" w:rsidP="00F839DB">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 xml:space="preserve">number of companies in </w:t>
            </w:r>
            <w:r w:rsidRPr="00A86183">
              <w:rPr>
                <w:rFonts w:eastAsia="Calibri" w:cs="Arial"/>
                <w:sz w:val="14"/>
                <w:szCs w:val="14"/>
                <w:lang w:eastAsia="en-US"/>
              </w:rPr>
              <w:lastRenderedPageBreak/>
              <w:t>the comparator group</w:t>
            </w:r>
            <w:r w:rsidR="003D2FCB">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616E9868" w14:textId="163F67B0" w:rsidR="007A1B12" w:rsidRPr="007A1B12" w:rsidRDefault="00EF6585" w:rsidP="00292A53">
            <w:pPr>
              <w:spacing w:after="60"/>
              <w:contextualSpacing/>
              <w:rPr>
                <w:rFonts w:eastAsia="Calibri" w:cs="Arial"/>
                <w:sz w:val="14"/>
                <w:szCs w:val="14"/>
                <w:lang w:eastAsia="en-US"/>
              </w:rPr>
            </w:pPr>
            <w:r>
              <w:rPr>
                <w:rFonts w:eastAsia="Calibri" w:cs="Arial"/>
                <w:sz w:val="14"/>
                <w:szCs w:val="14"/>
                <w:lang w:eastAsia="en-US"/>
              </w:rPr>
              <w:lastRenderedPageBreak/>
              <w:t>Electronic data interchange</w:t>
            </w:r>
          </w:p>
        </w:tc>
        <w:tc>
          <w:tcPr>
            <w:tcW w:w="1365" w:type="dxa"/>
            <w:shd w:val="clear" w:color="auto" w:fill="FFC9C9"/>
            <w:tcMar>
              <w:top w:w="80" w:type="dxa"/>
              <w:left w:w="80" w:type="dxa"/>
              <w:bottom w:w="80" w:type="dxa"/>
              <w:right w:w="80" w:type="dxa"/>
            </w:tcMar>
          </w:tcPr>
          <w:p w14:paraId="6AD9A871" w14:textId="655AF586"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Electronic/me</w:t>
            </w:r>
            <w:r w:rsidR="00EF6585">
              <w:rPr>
                <w:rFonts w:eastAsia="Calibri" w:cs="Arial"/>
                <w:sz w:val="14"/>
                <w:szCs w:val="14"/>
                <w:lang w:eastAsia="en-US"/>
              </w:rPr>
              <w:t>ets WorkCover WA specifications</w:t>
            </w:r>
          </w:p>
        </w:tc>
        <w:tc>
          <w:tcPr>
            <w:tcW w:w="1365" w:type="dxa"/>
            <w:shd w:val="clear" w:color="auto" w:fill="FFC9C9"/>
            <w:tcMar>
              <w:top w:w="80" w:type="dxa"/>
              <w:left w:w="80" w:type="dxa"/>
              <w:bottom w:w="80" w:type="dxa"/>
              <w:right w:w="80" w:type="dxa"/>
            </w:tcMar>
          </w:tcPr>
          <w:p w14:paraId="047A735B" w14:textId="77777777" w:rsidR="00EF6585" w:rsidRDefault="00EF6585" w:rsidP="00292A53">
            <w:pPr>
              <w:spacing w:after="60"/>
              <w:contextualSpacing/>
              <w:rPr>
                <w:rFonts w:eastAsia="Calibri" w:cs="Arial"/>
                <w:sz w:val="14"/>
                <w:szCs w:val="14"/>
                <w:lang w:eastAsia="en-US"/>
              </w:rPr>
            </w:pPr>
            <w:r>
              <w:rPr>
                <w:rFonts w:eastAsia="Calibri" w:cs="Arial"/>
                <w:sz w:val="14"/>
                <w:szCs w:val="14"/>
                <w:lang w:eastAsia="en-US"/>
              </w:rPr>
              <w:t>Electronic Data Interchange</w:t>
            </w:r>
          </w:p>
          <w:p w14:paraId="164AEDE2" w14:textId="77777777" w:rsidR="00EF6585" w:rsidRDefault="00EF6585" w:rsidP="00292A53">
            <w:pPr>
              <w:spacing w:after="60"/>
              <w:contextualSpacing/>
              <w:rPr>
                <w:rFonts w:eastAsia="Calibri" w:cs="Arial"/>
                <w:sz w:val="14"/>
                <w:szCs w:val="14"/>
                <w:lang w:eastAsia="en-US"/>
              </w:rPr>
            </w:pPr>
          </w:p>
          <w:p w14:paraId="3B1FEF03" w14:textId="68A82972"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Claim data as detailed in </w:t>
            </w:r>
            <w:hyperlink r:id="rId2088" w:history="1">
              <w:r w:rsidRPr="007A1B12">
                <w:rPr>
                  <w:rFonts w:eastAsia="Calibri" w:cs="Arial"/>
                  <w:color w:val="0000FF"/>
                  <w:sz w:val="14"/>
                  <w:szCs w:val="14"/>
                  <w:u w:val="single"/>
                  <w:lang w:eastAsia="en-US"/>
                </w:rPr>
                <w:t>Schedule 3</w:t>
              </w:r>
            </w:hyperlink>
            <w:r w:rsidRPr="007A1B12">
              <w:rPr>
                <w:rFonts w:eastAsia="Calibri" w:cs="Arial"/>
                <w:sz w:val="14"/>
                <w:szCs w:val="14"/>
                <w:lang w:eastAsia="en-US"/>
              </w:rPr>
              <w:t xml:space="preserve"> to the R</w:t>
            </w:r>
            <w:r w:rsidR="00EF6585">
              <w:rPr>
                <w:rFonts w:eastAsia="Calibri" w:cs="Arial"/>
                <w:sz w:val="14"/>
                <w:szCs w:val="14"/>
                <w:lang w:eastAsia="en-US"/>
              </w:rPr>
              <w:t>eturn to Work Regulations 2015</w:t>
            </w:r>
          </w:p>
        </w:tc>
        <w:tc>
          <w:tcPr>
            <w:tcW w:w="1365" w:type="dxa"/>
            <w:shd w:val="clear" w:color="auto" w:fill="FFC9C9"/>
            <w:tcMar>
              <w:top w:w="80" w:type="dxa"/>
              <w:left w:w="80" w:type="dxa"/>
              <w:bottom w:w="80" w:type="dxa"/>
              <w:right w:w="80" w:type="dxa"/>
            </w:tcMar>
          </w:tcPr>
          <w:p w14:paraId="53211896"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Annual data return.</w:t>
            </w:r>
          </w:p>
          <w:p w14:paraId="37B90BCF" w14:textId="7B89B5FA" w:rsidR="007A1B12" w:rsidRPr="007A1B12" w:rsidRDefault="00EF6585" w:rsidP="00292A53">
            <w:pPr>
              <w:spacing w:after="60"/>
              <w:contextualSpacing/>
              <w:rPr>
                <w:rFonts w:eastAsia="Calibri" w:cs="Arial"/>
                <w:sz w:val="14"/>
                <w:szCs w:val="14"/>
                <w:lang w:eastAsia="en-US"/>
              </w:rPr>
            </w:pPr>
            <w:r>
              <w:rPr>
                <w:rFonts w:eastAsia="Calibri" w:cs="Arial"/>
                <w:sz w:val="14"/>
                <w:szCs w:val="14"/>
                <w:lang w:eastAsia="en-US"/>
              </w:rPr>
              <w:t>Actuarial assessment of claims</w:t>
            </w:r>
          </w:p>
        </w:tc>
        <w:tc>
          <w:tcPr>
            <w:tcW w:w="1365" w:type="dxa"/>
            <w:shd w:val="clear" w:color="auto" w:fill="FFC9C9"/>
            <w:tcMar>
              <w:top w:w="80" w:type="dxa"/>
              <w:left w:w="80" w:type="dxa"/>
              <w:bottom w:w="80" w:type="dxa"/>
              <w:right w:w="80" w:type="dxa"/>
            </w:tcMar>
          </w:tcPr>
          <w:p w14:paraId="5106CB75" w14:textId="7A9F4688" w:rsidR="007A1B12" w:rsidRPr="007A1B12" w:rsidRDefault="00EF6585" w:rsidP="00292A53">
            <w:pPr>
              <w:spacing w:after="60"/>
              <w:contextualSpacing/>
              <w:rPr>
                <w:rFonts w:eastAsia="Calibri" w:cs="Arial"/>
                <w:sz w:val="14"/>
                <w:szCs w:val="14"/>
                <w:lang w:eastAsia="en-US"/>
              </w:rPr>
            </w:pPr>
            <w:r>
              <w:rPr>
                <w:rFonts w:eastAsia="Calibri" w:cs="Arial"/>
                <w:sz w:val="14"/>
                <w:szCs w:val="14"/>
                <w:lang w:eastAsia="en-US"/>
              </w:rPr>
              <w:t>Electronic data interchange</w:t>
            </w:r>
          </w:p>
        </w:tc>
        <w:tc>
          <w:tcPr>
            <w:tcW w:w="1365" w:type="dxa"/>
            <w:shd w:val="clear" w:color="auto" w:fill="FFC9C9"/>
            <w:tcMar>
              <w:top w:w="80" w:type="dxa"/>
              <w:left w:w="80" w:type="dxa"/>
              <w:bottom w:w="80" w:type="dxa"/>
              <w:right w:w="80" w:type="dxa"/>
            </w:tcMar>
          </w:tcPr>
          <w:p w14:paraId="0CB81762" w14:textId="00F955C6" w:rsidR="007A1B12" w:rsidRPr="007A1B12" w:rsidRDefault="00EF6585" w:rsidP="00292A53">
            <w:pPr>
              <w:spacing w:after="60"/>
              <w:contextualSpacing/>
              <w:rPr>
                <w:rFonts w:eastAsia="Calibri" w:cs="Arial"/>
                <w:sz w:val="14"/>
                <w:szCs w:val="14"/>
                <w:lang w:eastAsia="en-US"/>
              </w:rPr>
            </w:pPr>
            <w:r>
              <w:rPr>
                <w:rFonts w:eastAsia="Calibri" w:cs="Arial"/>
                <w:sz w:val="14"/>
                <w:szCs w:val="14"/>
                <w:lang w:eastAsia="en-US"/>
              </w:rPr>
              <w:t>Electronic data transfer</w:t>
            </w:r>
          </w:p>
        </w:tc>
        <w:tc>
          <w:tcPr>
            <w:tcW w:w="1365" w:type="dxa"/>
            <w:shd w:val="clear" w:color="auto" w:fill="FFC9C9"/>
            <w:tcMar>
              <w:top w:w="80" w:type="dxa"/>
              <w:left w:w="80" w:type="dxa"/>
              <w:bottom w:w="80" w:type="dxa"/>
              <w:right w:w="80" w:type="dxa"/>
            </w:tcMar>
          </w:tcPr>
          <w:p w14:paraId="0D65AFD8" w14:textId="6271D7EA"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Electron</w:t>
            </w:r>
            <w:r w:rsidR="00EF6585">
              <w:rPr>
                <w:rFonts w:eastAsia="Calibri" w:cs="Arial"/>
                <w:sz w:val="14"/>
                <w:szCs w:val="14"/>
                <w:lang w:eastAsia="en-US"/>
              </w:rPr>
              <w:t>ic data interchange/NDS3 format</w:t>
            </w:r>
          </w:p>
        </w:tc>
        <w:tc>
          <w:tcPr>
            <w:tcW w:w="1365" w:type="dxa"/>
            <w:shd w:val="clear" w:color="auto" w:fill="FFC9C9"/>
            <w:tcMar>
              <w:top w:w="80" w:type="dxa"/>
              <w:left w:w="80" w:type="dxa"/>
              <w:bottom w:w="80" w:type="dxa"/>
              <w:right w:w="80" w:type="dxa"/>
            </w:tcMar>
          </w:tcPr>
          <w:p w14:paraId="1117AF83" w14:textId="4BE7F808" w:rsidR="00EF6585"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The Accredited Employer must regularly report to the Manager on claims, entitlements and expenses arising during the Cover Period and </w:t>
            </w:r>
            <w:r w:rsidR="00EF6585">
              <w:rPr>
                <w:rFonts w:eastAsia="Calibri" w:cs="Arial"/>
                <w:sz w:val="14"/>
                <w:szCs w:val="14"/>
                <w:lang w:eastAsia="en-US"/>
              </w:rPr>
              <w:t>ensuing Claim Management Period</w:t>
            </w:r>
          </w:p>
        </w:tc>
      </w:tr>
      <w:tr w:rsidR="007A1B12" w:rsidRPr="007A1B12" w14:paraId="78EA9452" w14:textId="77777777" w:rsidTr="00B2173F">
        <w:tc>
          <w:tcPr>
            <w:tcW w:w="1365" w:type="dxa"/>
            <w:tcMar>
              <w:top w:w="80" w:type="dxa"/>
              <w:left w:w="80" w:type="dxa"/>
              <w:bottom w:w="80" w:type="dxa"/>
              <w:right w:w="80" w:type="dxa"/>
            </w:tcMar>
          </w:tcPr>
          <w:p w14:paraId="3D820B77"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More information</w:t>
            </w:r>
          </w:p>
        </w:tc>
        <w:tc>
          <w:tcPr>
            <w:tcW w:w="1365" w:type="dxa"/>
            <w:tcMar>
              <w:top w:w="80" w:type="dxa"/>
              <w:left w:w="80" w:type="dxa"/>
              <w:bottom w:w="80" w:type="dxa"/>
              <w:right w:w="80" w:type="dxa"/>
            </w:tcMar>
          </w:tcPr>
          <w:p w14:paraId="40FEB0EB"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05D5F54D"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C303AD9" w14:textId="4A027AEC" w:rsidR="007A1B12" w:rsidRPr="007A1B12" w:rsidRDefault="00A7538C" w:rsidP="00292A53">
            <w:pPr>
              <w:spacing w:after="60"/>
              <w:contextualSpacing/>
              <w:rPr>
                <w:rFonts w:eastAsia="Calibri" w:cs="Arial"/>
                <w:sz w:val="14"/>
                <w:szCs w:val="14"/>
                <w:lang w:eastAsia="en-US"/>
              </w:rPr>
            </w:pPr>
            <w:hyperlink r:id="rId2089" w:history="1">
              <w:r w:rsidR="007A1B12" w:rsidRPr="007A1B12">
                <w:rPr>
                  <w:rFonts w:eastAsia="Calibri" w:cs="Arial"/>
                  <w:color w:val="0000FF"/>
                  <w:sz w:val="14"/>
                  <w:szCs w:val="14"/>
                  <w:u w:val="single"/>
                  <w:lang w:eastAsia="en-US"/>
                </w:rPr>
                <w:t>Workers’ Compensation Insurers’ Interface Data Specification</w:t>
              </w:r>
            </w:hyperlink>
          </w:p>
        </w:tc>
        <w:tc>
          <w:tcPr>
            <w:tcW w:w="1365" w:type="dxa"/>
            <w:tcMar>
              <w:top w:w="80" w:type="dxa"/>
              <w:left w:w="80" w:type="dxa"/>
              <w:bottom w:w="80" w:type="dxa"/>
              <w:right w:w="80" w:type="dxa"/>
            </w:tcMar>
          </w:tcPr>
          <w:p w14:paraId="28F73702" w14:textId="77777777" w:rsidR="006A50D4" w:rsidRDefault="00A7538C" w:rsidP="00292A53">
            <w:pPr>
              <w:spacing w:after="60"/>
              <w:contextualSpacing/>
              <w:rPr>
                <w:rFonts w:eastAsia="Calibri" w:cs="Arial"/>
                <w:sz w:val="14"/>
                <w:szCs w:val="14"/>
                <w:lang w:eastAsia="en-US"/>
              </w:rPr>
            </w:pPr>
            <w:hyperlink r:id="rId2090" w:history="1">
              <w:r w:rsidR="007A1B12" w:rsidRPr="007A1B12">
                <w:rPr>
                  <w:rFonts w:eastAsia="Calibri" w:cs="Arial"/>
                  <w:color w:val="0000FF"/>
                  <w:sz w:val="14"/>
                  <w:szCs w:val="14"/>
                  <w:u w:val="single"/>
                  <w:lang w:eastAsia="en-US"/>
                </w:rPr>
                <w:t>Approved Self-Insurers Performance Indicators</w:t>
              </w:r>
            </w:hyperlink>
            <w:r w:rsidR="007A1B12" w:rsidRPr="007A1B12">
              <w:rPr>
                <w:rFonts w:eastAsia="Calibri" w:cs="Arial"/>
                <w:sz w:val="14"/>
                <w:szCs w:val="14"/>
                <w:lang w:eastAsia="en-US"/>
              </w:rPr>
              <w:t>.</w:t>
            </w:r>
          </w:p>
          <w:p w14:paraId="326801DB" w14:textId="50F9C7A5" w:rsidR="007A1B12" w:rsidRPr="007A1B12" w:rsidRDefault="00A7538C" w:rsidP="00292A53">
            <w:pPr>
              <w:spacing w:after="60"/>
              <w:contextualSpacing/>
              <w:rPr>
                <w:rFonts w:eastAsia="Calibri" w:cs="Arial"/>
                <w:sz w:val="14"/>
                <w:szCs w:val="14"/>
                <w:lang w:eastAsia="en-US"/>
              </w:rPr>
            </w:pPr>
            <w:hyperlink r:id="rId2091" w:history="1">
              <w:r w:rsidR="007A1B12" w:rsidRPr="007A1B12">
                <w:rPr>
                  <w:rFonts w:eastAsia="Calibri" w:cs="Arial"/>
                  <w:color w:val="0000FF"/>
                  <w:sz w:val="14"/>
                  <w:szCs w:val="14"/>
                  <w:u w:val="single"/>
                  <w:lang w:eastAsia="en-US"/>
                </w:rPr>
                <w:t>Insurer/</w:t>
              </w:r>
              <w:r w:rsidR="00E43A0F">
                <w:rPr>
                  <w:rFonts w:eastAsia="Calibri" w:cs="Arial"/>
                  <w:color w:val="0000FF"/>
                  <w:sz w:val="14"/>
                  <w:szCs w:val="14"/>
                  <w:u w:val="single"/>
                  <w:lang w:eastAsia="en-US"/>
                </w:rPr>
                <w:t>Self-insurer</w:t>
              </w:r>
              <w:r w:rsidR="007A1B12" w:rsidRPr="007A1B12">
                <w:rPr>
                  <w:rFonts w:eastAsia="Calibri" w:cs="Arial"/>
                  <w:color w:val="0000FF"/>
                  <w:sz w:val="14"/>
                  <w:szCs w:val="14"/>
                  <w:u w:val="single"/>
                  <w:lang w:eastAsia="en-US"/>
                </w:rPr>
                <w:t xml:space="preserve"> Electronic Data Specification</w:t>
              </w:r>
            </w:hyperlink>
          </w:p>
        </w:tc>
        <w:tc>
          <w:tcPr>
            <w:tcW w:w="1365" w:type="dxa"/>
            <w:tcMar>
              <w:top w:w="80" w:type="dxa"/>
              <w:left w:w="80" w:type="dxa"/>
              <w:bottom w:w="80" w:type="dxa"/>
              <w:right w:w="80" w:type="dxa"/>
            </w:tcMar>
          </w:tcPr>
          <w:p w14:paraId="5B1C01A7" w14:textId="47BA05C5" w:rsidR="007A1B12" w:rsidRPr="007A1B12" w:rsidRDefault="00A7538C" w:rsidP="00292A53">
            <w:pPr>
              <w:spacing w:after="60"/>
              <w:contextualSpacing/>
              <w:rPr>
                <w:rFonts w:eastAsia="Calibri" w:cs="Arial"/>
                <w:sz w:val="14"/>
                <w:szCs w:val="14"/>
                <w:lang w:eastAsia="en-US"/>
              </w:rPr>
            </w:pPr>
            <w:hyperlink r:id="rId2092" w:history="1">
              <w:r w:rsidR="007A1B12" w:rsidRPr="007A1B12">
                <w:rPr>
                  <w:rFonts w:eastAsia="Calibri" w:cs="Arial"/>
                  <w:color w:val="0000FF"/>
                  <w:sz w:val="14"/>
                  <w:szCs w:val="14"/>
                  <w:u w:val="single"/>
                  <w:lang w:eastAsia="en-US"/>
                </w:rPr>
                <w:t>Schedule 3</w:t>
              </w:r>
            </w:hyperlink>
            <w:r w:rsidR="007A1B12" w:rsidRPr="007A1B12">
              <w:rPr>
                <w:rFonts w:eastAsia="Calibri" w:cs="Arial"/>
                <w:sz w:val="14"/>
                <w:szCs w:val="14"/>
                <w:lang w:eastAsia="en-US"/>
              </w:rPr>
              <w:t xml:space="preserve"> to the Return to Work Regulations 2015 or the </w:t>
            </w:r>
            <w:hyperlink r:id="rId2093" w:history="1">
              <w:r w:rsidR="00E43A0F">
                <w:rPr>
                  <w:rFonts w:eastAsia="Calibri" w:cs="Arial"/>
                  <w:color w:val="0000FF"/>
                  <w:sz w:val="14"/>
                  <w:szCs w:val="14"/>
                  <w:u w:val="single"/>
                  <w:lang w:eastAsia="en-US"/>
                </w:rPr>
                <w:t>Self-insured</w:t>
              </w:r>
              <w:r w:rsidR="007A1B12" w:rsidRPr="007A1B12">
                <w:rPr>
                  <w:rFonts w:eastAsia="Calibri" w:cs="Arial"/>
                  <w:color w:val="0000FF"/>
                  <w:sz w:val="14"/>
                  <w:szCs w:val="14"/>
                  <w:u w:val="single"/>
                  <w:lang w:eastAsia="en-US"/>
                </w:rPr>
                <w:t xml:space="preserve"> Code of Conduct</w:t>
              </w:r>
            </w:hyperlink>
          </w:p>
        </w:tc>
        <w:tc>
          <w:tcPr>
            <w:tcW w:w="1365" w:type="dxa"/>
            <w:tcMar>
              <w:top w:w="80" w:type="dxa"/>
              <w:left w:w="80" w:type="dxa"/>
              <w:bottom w:w="80" w:type="dxa"/>
              <w:right w:w="80" w:type="dxa"/>
            </w:tcMar>
          </w:tcPr>
          <w:p w14:paraId="5C784E5D" w14:textId="10B6419F" w:rsidR="007A1B12" w:rsidRPr="007A1B12" w:rsidRDefault="00A7538C" w:rsidP="00292A53">
            <w:pPr>
              <w:spacing w:after="60"/>
              <w:contextualSpacing/>
              <w:rPr>
                <w:rFonts w:eastAsia="Calibri" w:cs="Arial"/>
                <w:sz w:val="14"/>
                <w:szCs w:val="14"/>
                <w:lang w:eastAsia="en-US"/>
              </w:rPr>
            </w:pPr>
            <w:hyperlink r:id="rId2094" w:history="1">
              <w:r w:rsidR="007A1B12" w:rsidRPr="007A1B12">
                <w:rPr>
                  <w:rFonts w:eastAsia="Calibri" w:cs="Arial"/>
                  <w:color w:val="0000FF"/>
                  <w:sz w:val="14"/>
                  <w:szCs w:val="14"/>
                  <w:u w:val="single"/>
                  <w:lang w:eastAsia="en-US"/>
                </w:rPr>
                <w:t>WorkCover Tasmania website</w:t>
              </w:r>
            </w:hyperlink>
          </w:p>
        </w:tc>
        <w:tc>
          <w:tcPr>
            <w:tcW w:w="1365" w:type="dxa"/>
            <w:tcMar>
              <w:top w:w="80" w:type="dxa"/>
              <w:left w:w="80" w:type="dxa"/>
              <w:bottom w:w="80" w:type="dxa"/>
              <w:right w:w="80" w:type="dxa"/>
            </w:tcMar>
          </w:tcPr>
          <w:p w14:paraId="0E6338CE" w14:textId="0A17AA8A" w:rsidR="007A1B12" w:rsidRPr="007A1B12" w:rsidRDefault="00A7254E" w:rsidP="00292A53">
            <w:pPr>
              <w:spacing w:after="60"/>
              <w:contextualSpacing/>
              <w:rPr>
                <w:rFonts w:eastAsia="Calibri" w:cs="Arial"/>
                <w:sz w:val="14"/>
                <w:szCs w:val="14"/>
                <w:lang w:eastAsia="en-US"/>
              </w:rPr>
            </w:pPr>
            <w:r>
              <w:rPr>
                <w:rFonts w:eastAsia="Calibri" w:cs="Arial"/>
                <w:color w:val="0000FF"/>
                <w:sz w:val="14"/>
                <w:szCs w:val="14"/>
                <w:u w:val="single"/>
                <w:lang w:eastAsia="en-US"/>
              </w:rPr>
              <w:t xml:space="preserve"> </w:t>
            </w:r>
            <w:hyperlink r:id="rId2095" w:history="1">
              <w:r w:rsidRPr="00A7254E">
                <w:rPr>
                  <w:rStyle w:val="Hyperlink"/>
                  <w:rFonts w:eastAsia="Calibri" w:cs="Arial"/>
                  <w:sz w:val="14"/>
                  <w:szCs w:val="14"/>
                  <w:lang w:eastAsia="en-US"/>
                </w:rPr>
                <w:t>NT WorkSafe</w:t>
              </w:r>
            </w:hyperlink>
          </w:p>
        </w:tc>
        <w:tc>
          <w:tcPr>
            <w:tcW w:w="1365" w:type="dxa"/>
            <w:tcMar>
              <w:top w:w="80" w:type="dxa"/>
              <w:left w:w="80" w:type="dxa"/>
              <w:bottom w:w="80" w:type="dxa"/>
              <w:right w:w="80" w:type="dxa"/>
            </w:tcMar>
          </w:tcPr>
          <w:p w14:paraId="0F86E359" w14:textId="117D92B0"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Contact </w:t>
            </w:r>
            <w:hyperlink r:id="rId2096" w:history="1">
              <w:r w:rsidRPr="007A1B12">
                <w:rPr>
                  <w:rFonts w:eastAsia="Calibri" w:cs="Arial"/>
                  <w:color w:val="0000FF"/>
                  <w:sz w:val="14"/>
                  <w:szCs w:val="14"/>
                  <w:u w:val="single"/>
                  <w:lang w:eastAsia="en-US"/>
                </w:rPr>
                <w:t>WorkSafe ACT</w:t>
              </w:r>
            </w:hyperlink>
          </w:p>
        </w:tc>
        <w:tc>
          <w:tcPr>
            <w:tcW w:w="1365" w:type="dxa"/>
            <w:tcMar>
              <w:top w:w="80" w:type="dxa"/>
              <w:left w:w="80" w:type="dxa"/>
              <w:bottom w:w="80" w:type="dxa"/>
              <w:right w:w="80" w:type="dxa"/>
            </w:tcMar>
          </w:tcPr>
          <w:p w14:paraId="44CC7CC3"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3DB1DDA"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Licensee must comply with the requirements of:</w:t>
            </w:r>
          </w:p>
          <w:p w14:paraId="38152C4E" w14:textId="647D85B0" w:rsidR="007A1B12" w:rsidRPr="00A86183" w:rsidRDefault="00CB0CAB" w:rsidP="00F839DB">
            <w:pPr>
              <w:pStyle w:val="ListParagraph"/>
              <w:numPr>
                <w:ilvl w:val="0"/>
                <w:numId w:val="393"/>
              </w:numPr>
              <w:spacing w:after="60"/>
              <w:ind w:left="226" w:hanging="226"/>
              <w:contextualSpacing/>
              <w:rPr>
                <w:rFonts w:eastAsia="Calibri" w:cs="Arial"/>
                <w:sz w:val="14"/>
                <w:szCs w:val="14"/>
                <w:lang w:eastAsia="en-US"/>
              </w:rPr>
            </w:pPr>
            <w:r>
              <w:rPr>
                <w:rFonts w:eastAsia="Calibri" w:cs="Arial"/>
                <w:sz w:val="14"/>
                <w:szCs w:val="14"/>
                <w:lang w:eastAsia="en-US"/>
              </w:rPr>
              <w:t xml:space="preserve">the </w:t>
            </w:r>
            <w:r>
              <w:rPr>
                <w:rFonts w:eastAsia="Calibri" w:cs="Arial"/>
                <w:i/>
                <w:sz w:val="14"/>
                <w:szCs w:val="14"/>
                <w:lang w:eastAsia="en-US"/>
              </w:rPr>
              <w:t>Accident Compensation Act 2001</w:t>
            </w:r>
            <w:r w:rsidR="007A1B12" w:rsidRPr="00A86183">
              <w:rPr>
                <w:rFonts w:eastAsia="Calibri" w:cs="Arial"/>
                <w:sz w:val="14"/>
                <w:szCs w:val="14"/>
                <w:lang w:eastAsia="en-US"/>
              </w:rPr>
              <w:t>, Regulations and any other guidelines issued by ACC</w:t>
            </w:r>
          </w:p>
          <w:p w14:paraId="1F518CC5" w14:textId="77777777" w:rsidR="007A1B12" w:rsidRPr="007239A5" w:rsidRDefault="007A1B12" w:rsidP="00F839DB">
            <w:pPr>
              <w:pStyle w:val="ListParagraph"/>
              <w:numPr>
                <w:ilvl w:val="0"/>
                <w:numId w:val="392"/>
              </w:numPr>
              <w:spacing w:after="60"/>
              <w:ind w:left="226" w:hanging="226"/>
              <w:contextualSpacing/>
              <w:rPr>
                <w:rFonts w:eastAsia="Calibri" w:cs="Arial"/>
                <w:i/>
                <w:sz w:val="14"/>
                <w:szCs w:val="14"/>
                <w:lang w:eastAsia="en-US"/>
              </w:rPr>
            </w:pPr>
            <w:r w:rsidRPr="00A86183">
              <w:rPr>
                <w:rFonts w:eastAsia="Calibri" w:cs="Arial"/>
                <w:sz w:val="14"/>
                <w:szCs w:val="14"/>
                <w:lang w:eastAsia="en-US"/>
              </w:rPr>
              <w:t xml:space="preserve">the </w:t>
            </w:r>
            <w:r w:rsidRPr="007239A5">
              <w:rPr>
                <w:rFonts w:eastAsia="Calibri" w:cs="Arial"/>
                <w:i/>
                <w:sz w:val="14"/>
                <w:szCs w:val="14"/>
                <w:lang w:eastAsia="en-US"/>
              </w:rPr>
              <w:t>Privacy Act 1993</w:t>
            </w:r>
          </w:p>
          <w:p w14:paraId="169232A4" w14:textId="77777777" w:rsidR="007A1B12" w:rsidRPr="00A86183" w:rsidRDefault="007A1B12" w:rsidP="00F839DB">
            <w:pPr>
              <w:pStyle w:val="ListParagraph"/>
              <w:numPr>
                <w:ilvl w:val="0"/>
                <w:numId w:val="392"/>
              </w:numPr>
              <w:spacing w:after="60"/>
              <w:ind w:left="226" w:hanging="226"/>
              <w:contextualSpacing/>
              <w:rPr>
                <w:rFonts w:eastAsia="Calibri" w:cs="Arial"/>
                <w:sz w:val="14"/>
                <w:szCs w:val="14"/>
                <w:lang w:eastAsia="en-US"/>
              </w:rPr>
            </w:pPr>
            <w:r w:rsidRPr="00A86183">
              <w:rPr>
                <w:rFonts w:eastAsia="Calibri" w:cs="Arial"/>
                <w:sz w:val="14"/>
                <w:szCs w:val="14"/>
                <w:lang w:eastAsia="en-US"/>
              </w:rPr>
              <w:t>Health Information Privacy Code 1994, and</w:t>
            </w:r>
          </w:p>
          <w:p w14:paraId="01AD8597" w14:textId="77777777" w:rsidR="007A1B12" w:rsidRPr="00A86183" w:rsidRDefault="007A1B12" w:rsidP="00F839DB">
            <w:pPr>
              <w:pStyle w:val="ListParagraph"/>
              <w:numPr>
                <w:ilvl w:val="0"/>
                <w:numId w:val="392"/>
              </w:numPr>
              <w:spacing w:after="60"/>
              <w:ind w:left="226" w:hanging="226"/>
              <w:contextualSpacing/>
              <w:rPr>
                <w:rFonts w:eastAsia="Calibri" w:cs="Arial"/>
                <w:sz w:val="14"/>
                <w:szCs w:val="14"/>
                <w:lang w:eastAsia="en-US"/>
              </w:rPr>
            </w:pPr>
            <w:r w:rsidRPr="00A86183">
              <w:rPr>
                <w:rFonts w:eastAsia="Calibri" w:cs="Arial"/>
                <w:sz w:val="14"/>
                <w:szCs w:val="14"/>
                <w:lang w:eastAsia="en-US"/>
              </w:rPr>
              <w:t>the Code of ACC Claimants’ Rights.</w:t>
            </w:r>
          </w:p>
        </w:tc>
      </w:tr>
      <w:tr w:rsidR="007A1B12" w:rsidRPr="007A1B12" w14:paraId="3D1B4F6F" w14:textId="77777777" w:rsidTr="00B2173F">
        <w:tc>
          <w:tcPr>
            <w:tcW w:w="15015" w:type="dxa"/>
            <w:gridSpan w:val="11"/>
            <w:tcMar>
              <w:top w:w="80" w:type="dxa"/>
              <w:left w:w="80" w:type="dxa"/>
              <w:bottom w:w="80" w:type="dxa"/>
              <w:right w:w="80" w:type="dxa"/>
            </w:tcMar>
          </w:tcPr>
          <w:p w14:paraId="5A48FCE9" w14:textId="77777777" w:rsidR="007A1B12" w:rsidRPr="007A1B12" w:rsidRDefault="007A1B12" w:rsidP="00292A53">
            <w:pPr>
              <w:spacing w:after="60"/>
              <w:jc w:val="center"/>
              <w:rPr>
                <w:rFonts w:eastAsia="Calibri" w:cs="Arial"/>
                <w:b/>
                <w:sz w:val="16"/>
                <w:szCs w:val="16"/>
                <w:lang w:eastAsia="en-US"/>
              </w:rPr>
            </w:pPr>
            <w:r w:rsidRPr="007A1B12">
              <w:rPr>
                <w:rFonts w:eastAsia="Calibri" w:cs="Arial"/>
                <w:b/>
                <w:sz w:val="16"/>
                <w:szCs w:val="16"/>
                <w:lang w:eastAsia="en-US"/>
              </w:rPr>
              <w:t>Annual financial information</w:t>
            </w:r>
          </w:p>
        </w:tc>
      </w:tr>
      <w:tr w:rsidR="007A1B12" w:rsidRPr="007A1B12" w14:paraId="6B94C6F8" w14:textId="77777777" w:rsidTr="00B2173F">
        <w:tc>
          <w:tcPr>
            <w:tcW w:w="1365" w:type="dxa"/>
            <w:shd w:val="clear" w:color="auto" w:fill="FFC9C9"/>
            <w:tcMar>
              <w:top w:w="80" w:type="dxa"/>
              <w:left w:w="80" w:type="dxa"/>
              <w:bottom w:w="80" w:type="dxa"/>
              <w:right w:w="80" w:type="dxa"/>
            </w:tcMar>
          </w:tcPr>
          <w:p w14:paraId="5BC33887"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Annual report/ financial statements</w:t>
            </w:r>
          </w:p>
        </w:tc>
        <w:tc>
          <w:tcPr>
            <w:tcW w:w="1365" w:type="dxa"/>
            <w:shd w:val="clear" w:color="auto" w:fill="FFC9C9"/>
            <w:tcMar>
              <w:top w:w="80" w:type="dxa"/>
              <w:left w:w="80" w:type="dxa"/>
              <w:bottom w:w="80" w:type="dxa"/>
              <w:right w:w="80" w:type="dxa"/>
            </w:tcMar>
          </w:tcPr>
          <w:p w14:paraId="6B5C7FC3" w14:textId="0B7B7DDB"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Annual report including audited financial statements within fo</w:t>
            </w:r>
            <w:r w:rsidR="00EF6585">
              <w:rPr>
                <w:rFonts w:eastAsia="Calibri" w:cs="Arial"/>
                <w:sz w:val="14"/>
                <w:szCs w:val="14"/>
                <w:lang w:eastAsia="en-US"/>
              </w:rPr>
              <w:t>ur months of end financial year</w:t>
            </w:r>
          </w:p>
        </w:tc>
        <w:tc>
          <w:tcPr>
            <w:tcW w:w="1365" w:type="dxa"/>
            <w:shd w:val="clear" w:color="auto" w:fill="FFC9C9"/>
            <w:tcMar>
              <w:top w:w="80" w:type="dxa"/>
              <w:left w:w="80" w:type="dxa"/>
              <w:bottom w:w="80" w:type="dxa"/>
              <w:right w:w="80" w:type="dxa"/>
            </w:tcMar>
          </w:tcPr>
          <w:p w14:paraId="11B720EB" w14:textId="764362F5" w:rsidR="007A1B12" w:rsidRPr="007A1B12" w:rsidRDefault="007A1B12" w:rsidP="003D2FCB">
            <w:pPr>
              <w:spacing w:after="60"/>
              <w:rPr>
                <w:rFonts w:eastAsia="Calibri" w:cs="Arial"/>
                <w:sz w:val="14"/>
                <w:szCs w:val="14"/>
                <w:lang w:eastAsia="en-US"/>
              </w:rPr>
            </w:pPr>
            <w:r w:rsidRPr="007A1B12">
              <w:rPr>
                <w:rFonts w:eastAsia="Calibri" w:cs="Arial"/>
                <w:sz w:val="14"/>
                <w:szCs w:val="14"/>
                <w:lang w:eastAsia="en-US"/>
              </w:rPr>
              <w:t xml:space="preserve">Annual report / financial statements within six months of the </w:t>
            </w:r>
            <w:r w:rsidR="00E43A0F">
              <w:rPr>
                <w:rFonts w:eastAsia="Calibri" w:cs="Arial"/>
                <w:sz w:val="14"/>
                <w:szCs w:val="14"/>
                <w:lang w:eastAsia="en-US"/>
              </w:rPr>
              <w:t>self-insurer</w:t>
            </w:r>
            <w:r w:rsidR="00EF6585">
              <w:rPr>
                <w:rFonts w:eastAsia="Calibri" w:cs="Arial"/>
                <w:sz w:val="14"/>
                <w:szCs w:val="14"/>
                <w:lang w:eastAsia="en-US"/>
              </w:rPr>
              <w:t>’s balance date.</w:t>
            </w:r>
          </w:p>
        </w:tc>
        <w:tc>
          <w:tcPr>
            <w:tcW w:w="1365" w:type="dxa"/>
            <w:shd w:val="clear" w:color="auto" w:fill="FFC9C9"/>
            <w:tcMar>
              <w:top w:w="80" w:type="dxa"/>
              <w:left w:w="80" w:type="dxa"/>
              <w:bottom w:w="80" w:type="dxa"/>
              <w:right w:w="80" w:type="dxa"/>
            </w:tcMar>
          </w:tcPr>
          <w:p w14:paraId="39769EDA" w14:textId="3296D6AB"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Audited financial statements within 20 business days</w:t>
            </w:r>
            <w:r w:rsidR="00EF6585">
              <w:rPr>
                <w:rFonts w:eastAsia="Calibri" w:cs="Arial"/>
                <w:sz w:val="14"/>
                <w:szCs w:val="14"/>
                <w:lang w:eastAsia="en-US"/>
              </w:rPr>
              <w:t xml:space="preserve"> of becoming publicly available</w:t>
            </w:r>
          </w:p>
          <w:p w14:paraId="16B8F5FA" w14:textId="49BA933D"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Annual report within 20 business days</w:t>
            </w:r>
            <w:r w:rsidR="00EF6585">
              <w:rPr>
                <w:rFonts w:eastAsia="Calibri" w:cs="Arial"/>
                <w:sz w:val="14"/>
                <w:szCs w:val="14"/>
                <w:lang w:eastAsia="en-US"/>
              </w:rPr>
              <w:t xml:space="preserve"> of becoming publicly available</w:t>
            </w:r>
          </w:p>
          <w:p w14:paraId="50C1370F" w14:textId="116B7FCD"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Wages declaration for NDS purpo</w:t>
            </w:r>
            <w:r w:rsidR="00EF6585">
              <w:rPr>
                <w:rFonts w:eastAsia="Calibri" w:cs="Arial"/>
                <w:sz w:val="14"/>
                <w:szCs w:val="14"/>
                <w:lang w:eastAsia="en-US"/>
              </w:rPr>
              <w:t>ses only be 31 August each year</w:t>
            </w:r>
          </w:p>
        </w:tc>
        <w:tc>
          <w:tcPr>
            <w:tcW w:w="1365" w:type="dxa"/>
            <w:shd w:val="clear" w:color="auto" w:fill="FFC9C9"/>
            <w:tcMar>
              <w:top w:w="80" w:type="dxa"/>
              <w:left w:w="80" w:type="dxa"/>
              <w:bottom w:w="80" w:type="dxa"/>
              <w:right w:w="80" w:type="dxa"/>
            </w:tcMar>
          </w:tcPr>
          <w:p w14:paraId="1F6A1FFB" w14:textId="03C7F17E"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Return on investment required for initial ap</w:t>
            </w:r>
            <w:r w:rsidR="00EF6585">
              <w:rPr>
                <w:rFonts w:eastAsia="Calibri" w:cs="Arial"/>
                <w:sz w:val="14"/>
                <w:szCs w:val="14"/>
                <w:lang w:eastAsia="en-US"/>
              </w:rPr>
              <w:t>plication and for annual review</w:t>
            </w:r>
          </w:p>
        </w:tc>
        <w:tc>
          <w:tcPr>
            <w:tcW w:w="1365" w:type="dxa"/>
            <w:shd w:val="clear" w:color="auto" w:fill="FFC9C9"/>
            <w:tcMar>
              <w:top w:w="80" w:type="dxa"/>
              <w:left w:w="80" w:type="dxa"/>
              <w:bottom w:w="80" w:type="dxa"/>
              <w:right w:w="80" w:type="dxa"/>
            </w:tcMar>
          </w:tcPr>
          <w:p w14:paraId="45599861" w14:textId="5B6AC9A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Audited financial statements/Annual Report within five months of the end o</w:t>
            </w:r>
            <w:r w:rsidR="00EF6585">
              <w:rPr>
                <w:rFonts w:eastAsia="Calibri" w:cs="Arial"/>
                <w:sz w:val="14"/>
                <w:szCs w:val="14"/>
                <w:lang w:eastAsia="en-US"/>
              </w:rPr>
              <w:t>f the employer’s financial year</w:t>
            </w:r>
          </w:p>
        </w:tc>
        <w:tc>
          <w:tcPr>
            <w:tcW w:w="1365" w:type="dxa"/>
            <w:shd w:val="clear" w:color="auto" w:fill="FFC9C9"/>
            <w:tcMar>
              <w:top w:w="80" w:type="dxa"/>
              <w:left w:w="80" w:type="dxa"/>
              <w:bottom w:w="80" w:type="dxa"/>
              <w:right w:w="80" w:type="dxa"/>
            </w:tcMar>
          </w:tcPr>
          <w:p w14:paraId="1937A3EC" w14:textId="56DB77BA"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Annual report by 31 </w:t>
            </w:r>
            <w:r w:rsidR="00EF6585">
              <w:rPr>
                <w:rFonts w:eastAsia="Calibri" w:cs="Arial"/>
                <w:sz w:val="14"/>
                <w:szCs w:val="14"/>
                <w:lang w:eastAsia="en-US"/>
              </w:rPr>
              <w:t>July each year</w:t>
            </w:r>
          </w:p>
        </w:tc>
        <w:tc>
          <w:tcPr>
            <w:tcW w:w="1365" w:type="dxa"/>
            <w:shd w:val="clear" w:color="auto" w:fill="FFC9C9"/>
            <w:tcMar>
              <w:top w:w="80" w:type="dxa"/>
              <w:left w:w="80" w:type="dxa"/>
              <w:bottom w:w="80" w:type="dxa"/>
              <w:right w:w="80" w:type="dxa"/>
            </w:tcMar>
          </w:tcPr>
          <w:p w14:paraId="069850AE" w14:textId="7456E105"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Audited financial st</w:t>
            </w:r>
            <w:r w:rsidR="00EF6585">
              <w:rPr>
                <w:rFonts w:eastAsia="Calibri" w:cs="Arial"/>
                <w:sz w:val="14"/>
                <w:szCs w:val="14"/>
                <w:lang w:eastAsia="en-US"/>
              </w:rPr>
              <w:t>atements by 31 August each year</w:t>
            </w:r>
          </w:p>
          <w:p w14:paraId="1C5BE2AD" w14:textId="076CC8EB"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Annua</w:t>
            </w:r>
            <w:r w:rsidR="00EF6585">
              <w:rPr>
                <w:rFonts w:eastAsia="Calibri" w:cs="Arial"/>
                <w:sz w:val="14"/>
                <w:szCs w:val="14"/>
                <w:lang w:eastAsia="en-US"/>
              </w:rPr>
              <w:t>l report by 31 August each year</w:t>
            </w:r>
          </w:p>
        </w:tc>
        <w:tc>
          <w:tcPr>
            <w:tcW w:w="1365" w:type="dxa"/>
            <w:shd w:val="clear" w:color="auto" w:fill="FFC9C9"/>
            <w:tcMar>
              <w:top w:w="80" w:type="dxa"/>
              <w:left w:w="80" w:type="dxa"/>
              <w:bottom w:w="80" w:type="dxa"/>
              <w:right w:w="80" w:type="dxa"/>
            </w:tcMar>
          </w:tcPr>
          <w:p w14:paraId="0C13DAEC"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70C23B91" w14:textId="49134292"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Audited financial statements provided annually (the date depends on the licensee’s Balance Da</w:t>
            </w:r>
            <w:r w:rsidR="00EF6585">
              <w:rPr>
                <w:rFonts w:eastAsia="Calibri" w:cs="Arial"/>
                <w:sz w:val="14"/>
                <w:szCs w:val="14"/>
                <w:lang w:eastAsia="en-US"/>
              </w:rPr>
              <w:t>te e.g. end of financial year).</w:t>
            </w:r>
          </w:p>
          <w:p w14:paraId="66740D7A" w14:textId="518D20D8"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The statements must show that provision has been made for meeting the workers’ compensation liability as </w:t>
            </w:r>
            <w:r w:rsidR="00EF6585">
              <w:rPr>
                <w:rFonts w:eastAsia="Calibri" w:cs="Arial"/>
                <w:sz w:val="14"/>
                <w:szCs w:val="14"/>
                <w:lang w:eastAsia="en-US"/>
              </w:rPr>
              <w:t>advised in the actuarial report</w:t>
            </w:r>
          </w:p>
        </w:tc>
        <w:tc>
          <w:tcPr>
            <w:tcW w:w="1365" w:type="dxa"/>
            <w:shd w:val="clear" w:color="auto" w:fill="FFC9C9"/>
            <w:tcMar>
              <w:top w:w="80" w:type="dxa"/>
              <w:left w:w="80" w:type="dxa"/>
              <w:bottom w:w="80" w:type="dxa"/>
              <w:right w:w="80" w:type="dxa"/>
            </w:tcMar>
          </w:tcPr>
          <w:p w14:paraId="0D35FF6E"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r>
      <w:tr w:rsidR="007A1B12" w:rsidRPr="007A1B12" w14:paraId="655888BC" w14:textId="77777777" w:rsidTr="00B2173F">
        <w:tc>
          <w:tcPr>
            <w:tcW w:w="1365" w:type="dxa"/>
            <w:tcMar>
              <w:top w:w="80" w:type="dxa"/>
              <w:left w:w="80" w:type="dxa"/>
              <w:bottom w:w="80" w:type="dxa"/>
              <w:right w:w="80" w:type="dxa"/>
            </w:tcMar>
          </w:tcPr>
          <w:p w14:paraId="45A21825"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lastRenderedPageBreak/>
              <w:t>Actuarial report/ assessment of claims liabilities</w:t>
            </w:r>
          </w:p>
        </w:tc>
        <w:tc>
          <w:tcPr>
            <w:tcW w:w="1365" w:type="dxa"/>
            <w:tcMar>
              <w:top w:w="80" w:type="dxa"/>
              <w:left w:w="80" w:type="dxa"/>
              <w:bottom w:w="80" w:type="dxa"/>
              <w:right w:w="80" w:type="dxa"/>
            </w:tcMar>
          </w:tcPr>
          <w:p w14:paraId="76852D9D" w14:textId="466092C0"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assessment of claims liabilities as at balance date provided within four mo</w:t>
            </w:r>
            <w:r w:rsidR="00EF6585">
              <w:rPr>
                <w:rFonts w:eastAsia="Calibri" w:cs="Arial"/>
                <w:sz w:val="14"/>
                <w:szCs w:val="14"/>
                <w:lang w:eastAsia="en-US"/>
              </w:rPr>
              <w:t>nths of end of financial year</w:t>
            </w:r>
          </w:p>
        </w:tc>
        <w:tc>
          <w:tcPr>
            <w:tcW w:w="1365" w:type="dxa"/>
            <w:tcMar>
              <w:top w:w="80" w:type="dxa"/>
              <w:left w:w="80" w:type="dxa"/>
              <w:bottom w:w="80" w:type="dxa"/>
              <w:right w:w="80" w:type="dxa"/>
            </w:tcMar>
          </w:tcPr>
          <w:p w14:paraId="6E33C8A2" w14:textId="16C33A35"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Actuarial assessment of claims liabilities submitted within three months of the </w:t>
            </w:r>
            <w:r w:rsidR="00E43A0F">
              <w:rPr>
                <w:rFonts w:eastAsia="Calibri" w:cs="Arial"/>
                <w:sz w:val="14"/>
                <w:szCs w:val="14"/>
                <w:lang w:eastAsia="en-US"/>
              </w:rPr>
              <w:t>self-insurer</w:t>
            </w:r>
            <w:r w:rsidR="00EF6585">
              <w:rPr>
                <w:rFonts w:eastAsia="Calibri" w:cs="Arial"/>
                <w:sz w:val="14"/>
                <w:szCs w:val="14"/>
                <w:lang w:eastAsia="en-US"/>
              </w:rPr>
              <w:t>’s balance date</w:t>
            </w:r>
          </w:p>
        </w:tc>
        <w:tc>
          <w:tcPr>
            <w:tcW w:w="1365" w:type="dxa"/>
            <w:tcMar>
              <w:top w:w="80" w:type="dxa"/>
              <w:left w:w="80" w:type="dxa"/>
              <w:bottom w:w="80" w:type="dxa"/>
              <w:right w:w="80" w:type="dxa"/>
            </w:tcMar>
          </w:tcPr>
          <w:p w14:paraId="53A4DE92" w14:textId="414BB301"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assessment on claims liabilities within 20 business days after the end of each year of the Licence or such other time as agreed between</w:t>
            </w:r>
            <w:r w:rsidR="00EF6585">
              <w:rPr>
                <w:rFonts w:eastAsia="Calibri" w:cs="Arial"/>
                <w:sz w:val="14"/>
                <w:szCs w:val="14"/>
                <w:lang w:eastAsia="en-US"/>
              </w:rPr>
              <w:t xml:space="preserve"> the Regulator and the licensee</w:t>
            </w:r>
          </w:p>
        </w:tc>
        <w:tc>
          <w:tcPr>
            <w:tcW w:w="1365" w:type="dxa"/>
            <w:tcMar>
              <w:top w:w="80" w:type="dxa"/>
              <w:left w:w="80" w:type="dxa"/>
              <w:bottom w:w="80" w:type="dxa"/>
              <w:right w:w="80" w:type="dxa"/>
            </w:tcMar>
          </w:tcPr>
          <w:p w14:paraId="76FB5A48" w14:textId="1B3ED4D6"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Claims liability as a % of net assets required for initial ap</w:t>
            </w:r>
            <w:r w:rsidR="00EF6585">
              <w:rPr>
                <w:rFonts w:eastAsia="Calibri" w:cs="Arial"/>
                <w:sz w:val="14"/>
                <w:szCs w:val="14"/>
                <w:lang w:eastAsia="en-US"/>
              </w:rPr>
              <w:t>plication and for annual review</w:t>
            </w:r>
          </w:p>
          <w:p w14:paraId="4021AE3A" w14:textId="77777777" w:rsidR="00EF6585" w:rsidRDefault="00EF6585" w:rsidP="00292A53">
            <w:pPr>
              <w:spacing w:after="60"/>
              <w:contextualSpacing/>
              <w:rPr>
                <w:rFonts w:eastAsia="Calibri" w:cs="Arial"/>
                <w:sz w:val="14"/>
                <w:szCs w:val="14"/>
                <w:lang w:eastAsia="en-US"/>
              </w:rPr>
            </w:pPr>
          </w:p>
          <w:p w14:paraId="23C374CB" w14:textId="122C14AB"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Gearing ratio required for initial ap</w:t>
            </w:r>
            <w:r w:rsidR="00EF6585">
              <w:rPr>
                <w:rFonts w:eastAsia="Calibri" w:cs="Arial"/>
                <w:sz w:val="14"/>
                <w:szCs w:val="14"/>
                <w:lang w:eastAsia="en-US"/>
              </w:rPr>
              <w:t>plication and for annual review</w:t>
            </w:r>
          </w:p>
        </w:tc>
        <w:tc>
          <w:tcPr>
            <w:tcW w:w="1365" w:type="dxa"/>
            <w:tcMar>
              <w:top w:w="80" w:type="dxa"/>
              <w:left w:w="80" w:type="dxa"/>
              <w:bottom w:w="80" w:type="dxa"/>
              <w:right w:w="80" w:type="dxa"/>
            </w:tcMar>
          </w:tcPr>
          <w:p w14:paraId="1C64544F"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report on outstanding claim liability within three months of the end of the employer’s financial year or at such other time as may be agreed between ReturnToWorkSA and the employer.</w:t>
            </w:r>
          </w:p>
        </w:tc>
        <w:tc>
          <w:tcPr>
            <w:tcW w:w="1365" w:type="dxa"/>
            <w:tcMar>
              <w:top w:w="80" w:type="dxa"/>
              <w:left w:w="80" w:type="dxa"/>
              <w:bottom w:w="80" w:type="dxa"/>
              <w:right w:w="80" w:type="dxa"/>
            </w:tcMar>
          </w:tcPr>
          <w:p w14:paraId="500315E4"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216BB8B3" w14:textId="5A90ED80"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assessment of claims lia</w:t>
            </w:r>
            <w:r w:rsidR="00EF6585">
              <w:rPr>
                <w:rFonts w:eastAsia="Calibri" w:cs="Arial"/>
                <w:sz w:val="14"/>
                <w:szCs w:val="14"/>
                <w:lang w:eastAsia="en-US"/>
              </w:rPr>
              <w:t>bilities by 31 August each year</w:t>
            </w:r>
          </w:p>
        </w:tc>
        <w:tc>
          <w:tcPr>
            <w:tcW w:w="1365" w:type="dxa"/>
            <w:tcMar>
              <w:top w:w="80" w:type="dxa"/>
              <w:left w:w="80" w:type="dxa"/>
              <w:bottom w:w="80" w:type="dxa"/>
              <w:right w:w="80" w:type="dxa"/>
            </w:tcMar>
          </w:tcPr>
          <w:p w14:paraId="3C9981F2" w14:textId="2DBBB372"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assessment of claims liabilities incorpo</w:t>
            </w:r>
            <w:r w:rsidR="00EF6585">
              <w:rPr>
                <w:rFonts w:eastAsia="Calibri" w:cs="Arial"/>
                <w:sz w:val="14"/>
                <w:szCs w:val="14"/>
                <w:lang w:eastAsia="en-US"/>
              </w:rPr>
              <w:t>rated in licence review process</w:t>
            </w:r>
          </w:p>
        </w:tc>
        <w:tc>
          <w:tcPr>
            <w:tcW w:w="1365" w:type="dxa"/>
            <w:tcMar>
              <w:top w:w="80" w:type="dxa"/>
              <w:left w:w="80" w:type="dxa"/>
              <w:bottom w:w="80" w:type="dxa"/>
              <w:right w:w="80" w:type="dxa"/>
            </w:tcMar>
          </w:tcPr>
          <w:p w14:paraId="681AEF5D" w14:textId="0FA2C03D"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An annual actuarial assessment of claims liabilities is required (the date depends on the lic</w:t>
            </w:r>
            <w:r w:rsidR="00EF6585">
              <w:rPr>
                <w:rFonts w:eastAsia="Calibri" w:cs="Arial"/>
                <w:sz w:val="14"/>
                <w:szCs w:val="14"/>
                <w:lang w:eastAsia="en-US"/>
              </w:rPr>
              <w:t>ensee’s financial Balance Date)</w:t>
            </w:r>
          </w:p>
          <w:p w14:paraId="6C5DA371" w14:textId="77777777" w:rsidR="007A1B12" w:rsidRPr="007A1B12" w:rsidRDefault="007A1B12" w:rsidP="00292A53">
            <w:pPr>
              <w:spacing w:after="60"/>
              <w:contextualSpacing/>
              <w:rPr>
                <w:rFonts w:eastAsia="Calibri" w:cs="Arial"/>
                <w:sz w:val="14"/>
                <w:szCs w:val="14"/>
                <w:lang w:eastAsia="en-US"/>
              </w:rPr>
            </w:pPr>
          </w:p>
        </w:tc>
        <w:tc>
          <w:tcPr>
            <w:tcW w:w="1365" w:type="dxa"/>
            <w:tcMar>
              <w:top w:w="80" w:type="dxa"/>
              <w:left w:w="80" w:type="dxa"/>
              <w:bottom w:w="80" w:type="dxa"/>
              <w:right w:w="80" w:type="dxa"/>
            </w:tcMar>
          </w:tcPr>
          <w:p w14:paraId="5F540C07"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The measures are: </w:t>
            </w:r>
          </w:p>
          <w:p w14:paraId="365E4AA0" w14:textId="77777777" w:rsidR="007A1B12" w:rsidRPr="00A86183" w:rsidRDefault="007A1B12" w:rsidP="00F839DB">
            <w:pPr>
              <w:pStyle w:val="ListParagraph"/>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 xml:space="preserve">it has substantial net worth </w:t>
            </w:r>
          </w:p>
          <w:p w14:paraId="5A61AD0C" w14:textId="77777777" w:rsidR="007A1B12" w:rsidRPr="00A86183" w:rsidRDefault="007A1B12" w:rsidP="00F839DB">
            <w:pPr>
              <w:pStyle w:val="ListParagraph"/>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that its contingent liabilities are not excessive (details to be provided including an evaluation as to likely crystallisation of those liabilities)</w:t>
            </w:r>
          </w:p>
          <w:p w14:paraId="703885CA" w14:textId="77777777" w:rsidR="007A1B12" w:rsidRPr="00A86183" w:rsidRDefault="007A1B12" w:rsidP="00F839DB">
            <w:pPr>
              <w:pStyle w:val="ListParagraph"/>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it has an appropriate working capital ratio based on current assets divided by current liabilities</w:t>
            </w:r>
          </w:p>
          <w:p w14:paraId="43718DD2" w14:textId="77777777" w:rsidR="007A1B12" w:rsidRPr="00A86183" w:rsidRDefault="007A1B12" w:rsidP="00F839DB">
            <w:pPr>
              <w:pStyle w:val="ListParagraph"/>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 xml:space="preserve">it has an appropriate equity to debt ratio, and </w:t>
            </w:r>
          </w:p>
          <w:p w14:paraId="765A7971" w14:textId="77777777" w:rsidR="007A1B12" w:rsidRPr="00A86183" w:rsidRDefault="007A1B12" w:rsidP="00F839DB">
            <w:pPr>
              <w:pStyle w:val="ListParagraph"/>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it has an appropriate return on equity.</w:t>
            </w:r>
          </w:p>
          <w:p w14:paraId="07F1E12F"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These figures should where possible, be provided for the three financial periods preceding the application and include best estimates for at least the then current financial period and the next financial period (‘period’ normally meaning a year).</w:t>
            </w:r>
          </w:p>
        </w:tc>
      </w:tr>
      <w:tr w:rsidR="007A1B12" w:rsidRPr="007A1B12" w14:paraId="1C2DA401" w14:textId="77777777" w:rsidTr="00B2173F">
        <w:tc>
          <w:tcPr>
            <w:tcW w:w="1365" w:type="dxa"/>
            <w:shd w:val="clear" w:color="auto" w:fill="FFC9C9"/>
            <w:tcMar>
              <w:top w:w="80" w:type="dxa"/>
              <w:left w:w="80" w:type="dxa"/>
              <w:bottom w:w="80" w:type="dxa"/>
              <w:right w:w="80" w:type="dxa"/>
            </w:tcMar>
          </w:tcPr>
          <w:p w14:paraId="10828B23"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lastRenderedPageBreak/>
              <w:t>Guarantees/ audit certificates</w:t>
            </w:r>
          </w:p>
        </w:tc>
        <w:tc>
          <w:tcPr>
            <w:tcW w:w="1365" w:type="dxa"/>
            <w:shd w:val="clear" w:color="auto" w:fill="FFC9C9"/>
            <w:tcMar>
              <w:top w:w="80" w:type="dxa"/>
              <w:left w:w="80" w:type="dxa"/>
              <w:bottom w:w="80" w:type="dxa"/>
              <w:right w:w="80" w:type="dxa"/>
            </w:tcMar>
          </w:tcPr>
          <w:p w14:paraId="271BF10B" w14:textId="5412BC43" w:rsidR="007A1B12" w:rsidRPr="007A1B12" w:rsidRDefault="007A1B12" w:rsidP="00FF0226">
            <w:pPr>
              <w:spacing w:after="60"/>
              <w:contextualSpacing/>
              <w:rPr>
                <w:rFonts w:eastAsia="Calibri" w:cs="Arial"/>
                <w:sz w:val="14"/>
                <w:szCs w:val="14"/>
                <w:lang w:eastAsia="en-US"/>
              </w:rPr>
            </w:pPr>
            <w:r w:rsidRPr="007A1B12">
              <w:rPr>
                <w:rFonts w:eastAsia="Calibri" w:cs="Arial"/>
                <w:sz w:val="14"/>
                <w:szCs w:val="14"/>
                <w:lang w:eastAsia="en-US"/>
              </w:rPr>
              <w:t xml:space="preserve">Update guarantee or security as required </w:t>
            </w:r>
            <w:r w:rsidR="00FF0226">
              <w:rPr>
                <w:rFonts w:eastAsia="Calibri" w:cs="Arial"/>
                <w:sz w:val="14"/>
                <w:szCs w:val="14"/>
                <w:lang w:eastAsia="en-US"/>
              </w:rPr>
              <w:t xml:space="preserve">following assessment </w:t>
            </w:r>
            <w:r w:rsidRPr="007A1B12">
              <w:rPr>
                <w:rFonts w:eastAsia="Calibri" w:cs="Arial"/>
                <w:sz w:val="14"/>
                <w:szCs w:val="14"/>
                <w:lang w:eastAsia="en-US"/>
              </w:rPr>
              <w:t>of actuarial report and determi</w:t>
            </w:r>
            <w:r w:rsidR="00EF6585">
              <w:rPr>
                <w:rFonts w:eastAsia="Calibri" w:cs="Arial"/>
                <w:sz w:val="14"/>
                <w:szCs w:val="14"/>
                <w:lang w:eastAsia="en-US"/>
              </w:rPr>
              <w:t>nation of security require</w:t>
            </w:r>
            <w:r w:rsidR="00FF0226">
              <w:rPr>
                <w:rFonts w:eastAsia="Calibri" w:cs="Arial"/>
                <w:sz w:val="14"/>
                <w:szCs w:val="14"/>
                <w:lang w:eastAsia="en-US"/>
              </w:rPr>
              <w:t>d.</w:t>
            </w:r>
          </w:p>
        </w:tc>
        <w:tc>
          <w:tcPr>
            <w:tcW w:w="1365" w:type="dxa"/>
            <w:shd w:val="clear" w:color="auto" w:fill="FFC9C9"/>
            <w:tcMar>
              <w:top w:w="80" w:type="dxa"/>
              <w:left w:w="80" w:type="dxa"/>
              <w:bottom w:w="80" w:type="dxa"/>
              <w:right w:w="80" w:type="dxa"/>
            </w:tcMar>
          </w:tcPr>
          <w:p w14:paraId="75FAF8C0"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Audit certificate submitted within six months of the self-insurer’s balance date.</w:t>
            </w:r>
          </w:p>
          <w:p w14:paraId="3825E213" w14:textId="6789FF5B"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Self-insurer notified of guarantee coverage adjustment within two weeks of receipt of the actuar</w:t>
            </w:r>
            <w:r w:rsidR="00EF6585">
              <w:rPr>
                <w:rFonts w:eastAsia="Calibri" w:cs="Arial"/>
                <w:sz w:val="14"/>
                <w:szCs w:val="14"/>
                <w:lang w:eastAsia="en-US"/>
              </w:rPr>
              <w:t>ial assessment by the regulator</w:t>
            </w:r>
          </w:p>
          <w:p w14:paraId="34162C09" w14:textId="77777777" w:rsidR="00EF6585" w:rsidRPr="007A1B12" w:rsidRDefault="00EF6585" w:rsidP="00292A53">
            <w:pPr>
              <w:spacing w:after="60"/>
              <w:contextualSpacing/>
              <w:rPr>
                <w:rFonts w:eastAsia="Calibri" w:cs="Arial"/>
                <w:sz w:val="14"/>
                <w:szCs w:val="14"/>
                <w:lang w:eastAsia="en-US"/>
              </w:rPr>
            </w:pPr>
          </w:p>
          <w:p w14:paraId="51A43746" w14:textId="3A4EBBC7"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Amended guarantee submitted by self-insurer within 4 we</w:t>
            </w:r>
            <w:r w:rsidR="00EF6585">
              <w:rPr>
                <w:rFonts w:eastAsia="Calibri" w:cs="Arial"/>
                <w:sz w:val="14"/>
                <w:szCs w:val="14"/>
                <w:lang w:eastAsia="en-US"/>
              </w:rPr>
              <w:t>eks of regulator’s notification</w:t>
            </w:r>
          </w:p>
          <w:p w14:paraId="205EC45A" w14:textId="77777777" w:rsidR="00EF6585" w:rsidRPr="007A1B12" w:rsidRDefault="00EF6585" w:rsidP="00292A53">
            <w:pPr>
              <w:spacing w:after="60"/>
              <w:contextualSpacing/>
              <w:rPr>
                <w:rFonts w:eastAsia="Calibri" w:cs="Arial"/>
                <w:sz w:val="14"/>
                <w:szCs w:val="14"/>
                <w:lang w:eastAsia="en-US"/>
              </w:rPr>
            </w:pPr>
          </w:p>
        </w:tc>
        <w:tc>
          <w:tcPr>
            <w:tcW w:w="1365" w:type="dxa"/>
            <w:shd w:val="clear" w:color="auto" w:fill="FFC9C9"/>
            <w:tcMar>
              <w:top w:w="80" w:type="dxa"/>
              <w:left w:w="80" w:type="dxa"/>
              <w:bottom w:w="80" w:type="dxa"/>
              <w:right w:w="80" w:type="dxa"/>
            </w:tcMar>
          </w:tcPr>
          <w:p w14:paraId="6E9F752D" w14:textId="3F98D8F3"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Self-insurer notified of bank guarantee amount following</w:t>
            </w:r>
            <w:r w:rsidR="00EF6585">
              <w:rPr>
                <w:rFonts w:eastAsia="Calibri" w:cs="Arial"/>
                <w:sz w:val="14"/>
                <w:szCs w:val="14"/>
                <w:lang w:eastAsia="en-US"/>
              </w:rPr>
              <w:t xml:space="preserve"> assessment of actuarial report</w:t>
            </w:r>
          </w:p>
        </w:tc>
        <w:tc>
          <w:tcPr>
            <w:tcW w:w="1365" w:type="dxa"/>
            <w:shd w:val="clear" w:color="auto" w:fill="FFC9C9"/>
            <w:tcMar>
              <w:top w:w="80" w:type="dxa"/>
              <w:left w:w="80" w:type="dxa"/>
              <w:bottom w:w="80" w:type="dxa"/>
              <w:right w:w="80" w:type="dxa"/>
            </w:tcMar>
          </w:tcPr>
          <w:p w14:paraId="765F404C" w14:textId="0649EB9E"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Balance sheet test, quick liquidity, current liquidity, interest coverage, return required for initial application and for annu</w:t>
            </w:r>
            <w:r w:rsidR="00EF6585">
              <w:rPr>
                <w:rFonts w:eastAsia="Calibri" w:cs="Arial"/>
                <w:sz w:val="14"/>
                <w:szCs w:val="14"/>
                <w:lang w:eastAsia="en-US"/>
              </w:rPr>
              <w:t>al review</w:t>
            </w:r>
          </w:p>
        </w:tc>
        <w:tc>
          <w:tcPr>
            <w:tcW w:w="1365" w:type="dxa"/>
            <w:shd w:val="clear" w:color="auto" w:fill="FFC9C9"/>
            <w:tcMar>
              <w:top w:w="80" w:type="dxa"/>
              <w:left w:w="80" w:type="dxa"/>
              <w:bottom w:w="80" w:type="dxa"/>
              <w:right w:w="80" w:type="dxa"/>
            </w:tcMar>
          </w:tcPr>
          <w:p w14:paraId="3F3294AD"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Update financial guarantee.</w:t>
            </w:r>
          </w:p>
          <w:p w14:paraId="0C2C9D0B" w14:textId="295D8C07" w:rsidR="00EF6585"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As required in correspondence, normally within one month of </w:t>
            </w:r>
            <w:r w:rsidR="00EF6585">
              <w:rPr>
                <w:rFonts w:eastAsia="Calibri" w:cs="Arial"/>
                <w:sz w:val="14"/>
                <w:szCs w:val="14"/>
                <w:lang w:eastAsia="en-US"/>
              </w:rPr>
              <w:t>submission of actuarial report</w:t>
            </w:r>
          </w:p>
          <w:p w14:paraId="65DF85DC" w14:textId="77777777" w:rsidR="00EF6585" w:rsidRPr="00CB0CAB" w:rsidRDefault="00EF6585" w:rsidP="00292A53">
            <w:pPr>
              <w:spacing w:after="60"/>
              <w:contextualSpacing/>
              <w:rPr>
                <w:rFonts w:eastAsia="Calibri" w:cs="Arial"/>
                <w:sz w:val="14"/>
                <w:szCs w:val="14"/>
                <w:lang w:eastAsia="en-US"/>
              </w:rPr>
            </w:pPr>
          </w:p>
          <w:p w14:paraId="127E8E70" w14:textId="26916A91" w:rsidR="007A1B12" w:rsidRPr="007A1B12" w:rsidRDefault="00A7538C" w:rsidP="00292A53">
            <w:pPr>
              <w:spacing w:after="60"/>
              <w:contextualSpacing/>
              <w:rPr>
                <w:rFonts w:eastAsia="Calibri" w:cs="Arial"/>
                <w:sz w:val="14"/>
                <w:szCs w:val="14"/>
                <w:lang w:eastAsia="en-US"/>
              </w:rPr>
            </w:pPr>
            <w:hyperlink r:id="rId2097" w:history="1">
              <w:r w:rsidR="007A1B12" w:rsidRPr="00CB0CAB">
                <w:rPr>
                  <w:rFonts w:eastAsia="Calibri" w:cs="Arial"/>
                  <w:color w:val="0000FF"/>
                  <w:sz w:val="14"/>
                  <w:szCs w:val="14"/>
                  <w:u w:val="single"/>
                  <w:lang w:eastAsia="en-US"/>
                </w:rPr>
                <w:t>Schedule 3</w:t>
              </w:r>
            </w:hyperlink>
            <w:r w:rsidR="007A1B12" w:rsidRPr="00CB0CAB">
              <w:rPr>
                <w:rFonts w:eastAsia="Calibri" w:cs="Arial"/>
                <w:sz w:val="14"/>
                <w:szCs w:val="14"/>
                <w:lang w:eastAsia="en-US"/>
              </w:rPr>
              <w:t xml:space="preserve"> Return to Work Regulations 2015</w:t>
            </w:r>
          </w:p>
        </w:tc>
        <w:tc>
          <w:tcPr>
            <w:tcW w:w="1365" w:type="dxa"/>
            <w:shd w:val="clear" w:color="auto" w:fill="FFC9C9"/>
            <w:tcMar>
              <w:top w:w="80" w:type="dxa"/>
              <w:left w:w="80" w:type="dxa"/>
              <w:bottom w:w="80" w:type="dxa"/>
              <w:right w:w="80" w:type="dxa"/>
            </w:tcMar>
          </w:tcPr>
          <w:p w14:paraId="1C2B0D25" w14:textId="2A4C5E89"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Independent financial Audi</w:t>
            </w:r>
            <w:r w:rsidR="00EF6585">
              <w:rPr>
                <w:rFonts w:eastAsia="Calibri" w:cs="Arial"/>
                <w:sz w:val="14"/>
                <w:szCs w:val="14"/>
                <w:lang w:eastAsia="en-US"/>
              </w:rPr>
              <w:t>t Report by 31 August each year</w:t>
            </w:r>
          </w:p>
        </w:tc>
        <w:tc>
          <w:tcPr>
            <w:tcW w:w="1365" w:type="dxa"/>
            <w:shd w:val="clear" w:color="auto" w:fill="FFC9C9"/>
            <w:tcMar>
              <w:top w:w="80" w:type="dxa"/>
              <w:left w:w="80" w:type="dxa"/>
              <w:bottom w:w="80" w:type="dxa"/>
              <w:right w:w="80" w:type="dxa"/>
            </w:tcMar>
          </w:tcPr>
          <w:p w14:paraId="3AA40F98"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42F71B2D" w14:textId="4ED36EBB"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Bank Guarantees</w:t>
            </w:r>
            <w:r w:rsidR="006D6FF8">
              <w:rPr>
                <w:rFonts w:eastAsiaTheme="minorHAnsi"/>
              </w:rPr>
              <w:fldChar w:fldCharType="begin"/>
            </w:r>
            <w:r w:rsidR="006D6FF8">
              <w:instrText xml:space="preserve"> XE "</w:instrText>
            </w:r>
            <w:r w:rsidR="006D6FF8" w:rsidRPr="00090334">
              <w:rPr>
                <w:rFonts w:eastAsiaTheme="minorHAnsi"/>
              </w:rPr>
              <w:instrText>bank guarantees</w:instrText>
            </w:r>
            <w:r w:rsidR="006D6FF8">
              <w:instrText xml:space="preserve">" </w:instrText>
            </w:r>
            <w:r w:rsidR="006D6FF8">
              <w:rPr>
                <w:rFonts w:eastAsiaTheme="minorHAnsi"/>
              </w:rPr>
              <w:fldChar w:fldCharType="end"/>
            </w:r>
            <w:r w:rsidRPr="007A1B12">
              <w:rPr>
                <w:rFonts w:eastAsia="Calibri" w:cs="Arial"/>
                <w:sz w:val="14"/>
                <w:szCs w:val="14"/>
                <w:lang w:eastAsia="en-US"/>
              </w:rPr>
              <w:t xml:space="preserve"> kept by the DI Fund (workers’ compensation safety net)</w:t>
            </w:r>
          </w:p>
        </w:tc>
        <w:tc>
          <w:tcPr>
            <w:tcW w:w="1365" w:type="dxa"/>
            <w:shd w:val="clear" w:color="auto" w:fill="FFC9C9"/>
            <w:tcMar>
              <w:top w:w="80" w:type="dxa"/>
              <w:left w:w="80" w:type="dxa"/>
              <w:bottom w:w="80" w:type="dxa"/>
              <w:right w:w="80" w:type="dxa"/>
            </w:tcMar>
          </w:tcPr>
          <w:p w14:paraId="01F4AB45" w14:textId="16EB2AFB"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Deed between the Commission, Comcare and a bank or insurer for an amount that can be called upon by the Commission in the event a self-insurance licence is suspended or revoked. The guarantee is</w:t>
            </w:r>
            <w:r w:rsidR="00FF6376">
              <w:rPr>
                <w:rFonts w:eastAsia="Calibri" w:cs="Arial"/>
                <w:sz w:val="14"/>
                <w:szCs w:val="14"/>
                <w:lang w:eastAsia="en-US"/>
              </w:rPr>
              <w:t xml:space="preserve"> usually</w:t>
            </w:r>
            <w:r w:rsidRPr="007A1B12">
              <w:rPr>
                <w:rFonts w:eastAsia="Calibri" w:cs="Arial"/>
                <w:sz w:val="14"/>
                <w:szCs w:val="14"/>
                <w:lang w:eastAsia="en-US"/>
              </w:rPr>
              <w:t xml:space="preserve"> provided annually (date dependent on licensee’s financial Balance Date). </w:t>
            </w:r>
          </w:p>
        </w:tc>
        <w:tc>
          <w:tcPr>
            <w:tcW w:w="1365" w:type="dxa"/>
            <w:shd w:val="clear" w:color="auto" w:fill="FFC9C9"/>
            <w:tcMar>
              <w:top w:w="80" w:type="dxa"/>
              <w:left w:w="80" w:type="dxa"/>
              <w:bottom w:w="80" w:type="dxa"/>
              <w:right w:w="80" w:type="dxa"/>
            </w:tcMar>
          </w:tcPr>
          <w:p w14:paraId="225B1B28"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Employers must provide evidence to prove their solvency and their ability to meet their obligations under the programme prior to acceptance in to the programme. ACC is required to satisfy itself in respect of an employers net worth, that the employer’s contingent liabilities are not excessive, that it has satisfactory solvency, liquidity and profitability ratios over a period of time (usually three years).</w:t>
            </w:r>
          </w:p>
        </w:tc>
      </w:tr>
      <w:tr w:rsidR="007A1B12" w:rsidRPr="007A1B12" w14:paraId="1BE05D3D" w14:textId="77777777" w:rsidTr="00B2173F">
        <w:tc>
          <w:tcPr>
            <w:tcW w:w="1365" w:type="dxa"/>
            <w:tcMar>
              <w:top w:w="80" w:type="dxa"/>
              <w:left w:w="80" w:type="dxa"/>
              <w:bottom w:w="80" w:type="dxa"/>
              <w:right w:w="80" w:type="dxa"/>
            </w:tcMar>
          </w:tcPr>
          <w:p w14:paraId="1DF97602"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Evidence of excess of loss insurance or reinsurance</w:t>
            </w:r>
          </w:p>
        </w:tc>
        <w:tc>
          <w:tcPr>
            <w:tcW w:w="1365" w:type="dxa"/>
            <w:tcMar>
              <w:top w:w="80" w:type="dxa"/>
              <w:left w:w="80" w:type="dxa"/>
              <w:bottom w:w="80" w:type="dxa"/>
              <w:right w:w="80" w:type="dxa"/>
            </w:tcMar>
          </w:tcPr>
          <w:p w14:paraId="0630F4AF" w14:textId="5F7E7A8D"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Evidence of existence of Excess of Loss insurance provided with annual reporting information four </w:t>
            </w:r>
            <w:r w:rsidR="00EF6585">
              <w:rPr>
                <w:rFonts w:eastAsia="Calibri" w:cs="Arial"/>
                <w:sz w:val="14"/>
                <w:szCs w:val="14"/>
                <w:lang w:eastAsia="en-US"/>
              </w:rPr>
              <w:t>months after financial year end</w:t>
            </w:r>
          </w:p>
        </w:tc>
        <w:tc>
          <w:tcPr>
            <w:tcW w:w="1365" w:type="dxa"/>
            <w:tcMar>
              <w:top w:w="80" w:type="dxa"/>
              <w:left w:w="80" w:type="dxa"/>
              <w:bottom w:w="80" w:type="dxa"/>
              <w:right w:w="80" w:type="dxa"/>
            </w:tcMar>
          </w:tcPr>
          <w:p w14:paraId="1F279BC4" w14:textId="77777777"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Annual certificate of currency of the contract of insurance submitted within 21 days of expiry of the previous certificate of currency (seamless coverage).</w:t>
            </w:r>
          </w:p>
          <w:p w14:paraId="74EB7F8F" w14:textId="77777777" w:rsidR="00BF5D00" w:rsidRPr="007A1B12" w:rsidRDefault="00BF5D00" w:rsidP="00292A53">
            <w:pPr>
              <w:spacing w:after="60"/>
              <w:contextualSpacing/>
              <w:rPr>
                <w:rFonts w:eastAsia="Calibri" w:cs="Arial"/>
                <w:sz w:val="14"/>
                <w:szCs w:val="14"/>
                <w:lang w:eastAsia="en-US"/>
              </w:rPr>
            </w:pPr>
          </w:p>
          <w:p w14:paraId="5C9D05D9" w14:textId="0E33D562"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New/revised contract of insurance submitted within 21 days of the contract of insurance being altered or af</w:t>
            </w:r>
            <w:r w:rsidR="00EF6585">
              <w:rPr>
                <w:rFonts w:eastAsia="Calibri" w:cs="Arial"/>
                <w:sz w:val="14"/>
                <w:szCs w:val="14"/>
                <w:lang w:eastAsia="en-US"/>
              </w:rPr>
              <w:t>fected with a different insurer</w:t>
            </w:r>
          </w:p>
        </w:tc>
        <w:tc>
          <w:tcPr>
            <w:tcW w:w="1365" w:type="dxa"/>
            <w:tcMar>
              <w:top w:w="80" w:type="dxa"/>
              <w:left w:w="80" w:type="dxa"/>
              <w:bottom w:w="80" w:type="dxa"/>
              <w:right w:w="80" w:type="dxa"/>
            </w:tcMar>
          </w:tcPr>
          <w:p w14:paraId="0EF64315" w14:textId="7610D779"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Reinsurance policy/ Certificate</w:t>
            </w:r>
            <w:r w:rsidR="00EF6585">
              <w:rPr>
                <w:rFonts w:eastAsia="Calibri" w:cs="Arial"/>
                <w:sz w:val="14"/>
                <w:szCs w:val="14"/>
                <w:lang w:eastAsia="en-US"/>
              </w:rPr>
              <w:t xml:space="preserve"> of currency submitted annually</w:t>
            </w:r>
          </w:p>
        </w:tc>
        <w:tc>
          <w:tcPr>
            <w:tcW w:w="1365" w:type="dxa"/>
            <w:tcMar>
              <w:top w:w="80" w:type="dxa"/>
              <w:left w:w="80" w:type="dxa"/>
              <w:bottom w:w="80" w:type="dxa"/>
              <w:right w:w="80" w:type="dxa"/>
            </w:tcMar>
          </w:tcPr>
          <w:p w14:paraId="187829AA"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54E3189A" w14:textId="7329A38C"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Evidence of existence of Excess of Loss Insurance policy within three months of the annual renewal</w:t>
            </w:r>
            <w:r w:rsidR="00EF6585">
              <w:rPr>
                <w:rFonts w:eastAsia="Calibri" w:cs="Arial"/>
                <w:sz w:val="14"/>
                <w:szCs w:val="14"/>
                <w:lang w:eastAsia="en-US"/>
              </w:rPr>
              <w:t xml:space="preserve"> of the policy</w:t>
            </w:r>
          </w:p>
        </w:tc>
        <w:tc>
          <w:tcPr>
            <w:tcW w:w="1365" w:type="dxa"/>
            <w:tcMar>
              <w:top w:w="80" w:type="dxa"/>
              <w:left w:w="80" w:type="dxa"/>
              <w:bottom w:w="80" w:type="dxa"/>
              <w:right w:w="80" w:type="dxa"/>
            </w:tcMar>
          </w:tcPr>
          <w:p w14:paraId="2733AE7A" w14:textId="0748AE55"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Evidence of existence of Excess of Loss I</w:t>
            </w:r>
            <w:r w:rsidR="00EF6585">
              <w:rPr>
                <w:rFonts w:eastAsia="Calibri" w:cs="Arial"/>
                <w:sz w:val="14"/>
                <w:szCs w:val="14"/>
                <w:lang w:eastAsia="en-US"/>
              </w:rPr>
              <w:t>nsurance by 31 August each year</w:t>
            </w:r>
          </w:p>
        </w:tc>
        <w:tc>
          <w:tcPr>
            <w:tcW w:w="1365" w:type="dxa"/>
            <w:tcMar>
              <w:top w:w="80" w:type="dxa"/>
              <w:left w:w="80" w:type="dxa"/>
              <w:bottom w:w="80" w:type="dxa"/>
              <w:right w:w="80" w:type="dxa"/>
            </w:tcMar>
          </w:tcPr>
          <w:p w14:paraId="04B952B2" w14:textId="520F27C9"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Claims liabilities and evidence of Excess of Loss I</w:t>
            </w:r>
            <w:r w:rsidR="00EF6585">
              <w:rPr>
                <w:rFonts w:eastAsia="Calibri" w:cs="Arial"/>
                <w:sz w:val="14"/>
                <w:szCs w:val="14"/>
                <w:lang w:eastAsia="en-US"/>
              </w:rPr>
              <w:t>nsurance by 31 August each year</w:t>
            </w:r>
          </w:p>
        </w:tc>
        <w:tc>
          <w:tcPr>
            <w:tcW w:w="1365" w:type="dxa"/>
            <w:tcMar>
              <w:top w:w="80" w:type="dxa"/>
              <w:left w:w="80" w:type="dxa"/>
              <w:bottom w:w="80" w:type="dxa"/>
              <w:right w:w="80" w:type="dxa"/>
            </w:tcMar>
          </w:tcPr>
          <w:p w14:paraId="54A61802"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2A76267C" w14:textId="55C6FF49" w:rsidR="00EF6585"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Required to maintain an appropriate level of reinsurance for any single event in excess of a retention amount determined by the Commission (excess amount) an</w:t>
            </w:r>
            <w:r w:rsidR="00EF6585">
              <w:rPr>
                <w:rFonts w:eastAsia="Calibri" w:cs="Arial"/>
                <w:sz w:val="14"/>
                <w:szCs w:val="14"/>
                <w:lang w:eastAsia="en-US"/>
              </w:rPr>
              <w:t>d as recommended by an actuary</w:t>
            </w:r>
          </w:p>
          <w:p w14:paraId="44B28B39" w14:textId="77777777" w:rsidR="00EF6585" w:rsidRDefault="00EF6585" w:rsidP="00292A53">
            <w:pPr>
              <w:spacing w:after="60"/>
              <w:contextualSpacing/>
              <w:rPr>
                <w:rFonts w:eastAsia="Calibri" w:cs="Arial"/>
                <w:sz w:val="14"/>
                <w:szCs w:val="14"/>
                <w:lang w:eastAsia="en-US"/>
              </w:rPr>
            </w:pPr>
          </w:p>
          <w:p w14:paraId="02F3D80D" w14:textId="350C110E"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 copy of the policy as provided to the Commissi</w:t>
            </w:r>
            <w:r w:rsidR="00EF6585">
              <w:rPr>
                <w:rFonts w:eastAsia="Calibri" w:cs="Arial"/>
                <w:sz w:val="14"/>
                <w:szCs w:val="14"/>
                <w:lang w:eastAsia="en-US"/>
              </w:rPr>
              <w:t>on within seven days of issuing</w:t>
            </w:r>
          </w:p>
        </w:tc>
        <w:tc>
          <w:tcPr>
            <w:tcW w:w="1365" w:type="dxa"/>
            <w:tcMar>
              <w:top w:w="80" w:type="dxa"/>
              <w:left w:w="80" w:type="dxa"/>
              <w:bottom w:w="80" w:type="dxa"/>
              <w:right w:w="80" w:type="dxa"/>
            </w:tcMar>
          </w:tcPr>
          <w:p w14:paraId="5FB41D99"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r>
      <w:tr w:rsidR="007A1B12" w:rsidRPr="007A1B12" w14:paraId="1D62A146" w14:textId="77777777" w:rsidTr="00B2173F">
        <w:tc>
          <w:tcPr>
            <w:tcW w:w="15015" w:type="dxa"/>
            <w:gridSpan w:val="11"/>
            <w:tcMar>
              <w:top w:w="80" w:type="dxa"/>
              <w:left w:w="80" w:type="dxa"/>
              <w:bottom w:w="80" w:type="dxa"/>
              <w:right w:w="80" w:type="dxa"/>
            </w:tcMar>
          </w:tcPr>
          <w:p w14:paraId="0965B1CC" w14:textId="77777777" w:rsidR="007A1B12" w:rsidRPr="007A1B12" w:rsidRDefault="007A1B12" w:rsidP="00292A53">
            <w:pPr>
              <w:spacing w:after="60"/>
              <w:jc w:val="center"/>
              <w:rPr>
                <w:rFonts w:eastAsia="Calibri" w:cs="Arial"/>
                <w:b/>
                <w:sz w:val="16"/>
                <w:szCs w:val="16"/>
                <w:lang w:eastAsia="en-US"/>
              </w:rPr>
            </w:pPr>
            <w:r w:rsidRPr="007A1B12">
              <w:rPr>
                <w:rFonts w:eastAsia="Calibri" w:cs="Arial"/>
                <w:b/>
                <w:sz w:val="16"/>
                <w:szCs w:val="16"/>
                <w:lang w:eastAsia="en-US"/>
              </w:rPr>
              <w:lastRenderedPageBreak/>
              <w:t>Other company information</w:t>
            </w:r>
          </w:p>
        </w:tc>
      </w:tr>
      <w:tr w:rsidR="007A1B12" w:rsidRPr="007A1B12" w14:paraId="11FA7AE7" w14:textId="77777777" w:rsidTr="00B2173F">
        <w:tc>
          <w:tcPr>
            <w:tcW w:w="1365" w:type="dxa"/>
            <w:shd w:val="clear" w:color="auto" w:fill="FFC9C9"/>
            <w:tcMar>
              <w:top w:w="80" w:type="dxa"/>
              <w:left w:w="80" w:type="dxa"/>
              <w:bottom w:w="80" w:type="dxa"/>
              <w:right w:w="80" w:type="dxa"/>
            </w:tcMar>
          </w:tcPr>
          <w:p w14:paraId="6BD1BCD0"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Number of employees/</w:t>
            </w:r>
            <w:r w:rsidRPr="007A1B12">
              <w:rPr>
                <w:rFonts w:eastAsia="Calibri" w:cs="Arial"/>
                <w:b/>
                <w:sz w:val="16"/>
                <w:szCs w:val="16"/>
                <w:lang w:eastAsia="en-US"/>
              </w:rPr>
              <w:br/>
              <w:t>FTE</w:t>
            </w:r>
          </w:p>
        </w:tc>
        <w:tc>
          <w:tcPr>
            <w:tcW w:w="1365" w:type="dxa"/>
            <w:shd w:val="clear" w:color="auto" w:fill="FFC9C9"/>
            <w:tcMar>
              <w:top w:w="80" w:type="dxa"/>
              <w:left w:w="80" w:type="dxa"/>
              <w:bottom w:w="80" w:type="dxa"/>
              <w:right w:w="80" w:type="dxa"/>
            </w:tcMar>
          </w:tcPr>
          <w:p w14:paraId="68457537" w14:textId="40DDCED3"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Number of e</w:t>
            </w:r>
            <w:r w:rsidR="00EF6585">
              <w:rPr>
                <w:rFonts w:eastAsia="Calibri" w:cs="Arial"/>
                <w:sz w:val="14"/>
                <w:szCs w:val="14"/>
                <w:lang w:eastAsia="en-US"/>
              </w:rPr>
              <w:t>mployees by 31 August each year</w:t>
            </w:r>
          </w:p>
        </w:tc>
        <w:tc>
          <w:tcPr>
            <w:tcW w:w="1365" w:type="dxa"/>
            <w:shd w:val="clear" w:color="auto" w:fill="FFC9C9"/>
            <w:tcMar>
              <w:top w:w="80" w:type="dxa"/>
              <w:left w:w="80" w:type="dxa"/>
              <w:bottom w:w="80" w:type="dxa"/>
              <w:right w:w="80" w:type="dxa"/>
            </w:tcMar>
          </w:tcPr>
          <w:p w14:paraId="07B0195B" w14:textId="4F0029A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Number </w:t>
            </w:r>
            <w:r w:rsidR="00EF6585">
              <w:rPr>
                <w:rFonts w:eastAsia="Calibri" w:cs="Arial"/>
                <w:sz w:val="14"/>
                <w:szCs w:val="14"/>
                <w:lang w:eastAsia="en-US"/>
              </w:rPr>
              <w:t>of FTEs by 31 August each year</w:t>
            </w:r>
          </w:p>
        </w:tc>
        <w:tc>
          <w:tcPr>
            <w:tcW w:w="1365" w:type="dxa"/>
            <w:shd w:val="clear" w:color="auto" w:fill="FFC9C9"/>
            <w:tcMar>
              <w:top w:w="80" w:type="dxa"/>
              <w:left w:w="80" w:type="dxa"/>
              <w:bottom w:w="80" w:type="dxa"/>
              <w:right w:w="80" w:type="dxa"/>
            </w:tcMar>
          </w:tcPr>
          <w:p w14:paraId="09C9756E" w14:textId="31623088"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Number of FTE</w:t>
            </w:r>
            <w:r w:rsidR="003322E1">
              <w:rPr>
                <w:rFonts w:eastAsia="Calibri" w:cs="Arial"/>
                <w:sz w:val="14"/>
                <w:szCs w:val="14"/>
                <w:lang w:eastAsia="en-US"/>
              </w:rPr>
              <w:t>s (Minimum 500 if licence issued</w:t>
            </w:r>
            <w:r w:rsidRPr="007A1B12">
              <w:rPr>
                <w:rFonts w:eastAsia="Calibri" w:cs="Arial"/>
                <w:sz w:val="14"/>
                <w:szCs w:val="14"/>
                <w:lang w:eastAsia="en-US"/>
              </w:rPr>
              <w:t xml:space="preserve"> pre March 1999 and 2000 if licence after March 1999) annually and at licence renewal — reporting annually </w:t>
            </w:r>
            <w:r w:rsidR="00EF6585">
              <w:rPr>
                <w:rFonts w:eastAsia="Calibri" w:cs="Arial"/>
                <w:sz w:val="14"/>
                <w:szCs w:val="14"/>
                <w:lang w:eastAsia="en-US"/>
              </w:rPr>
              <w:t>and varies by insurer</w:t>
            </w:r>
          </w:p>
        </w:tc>
        <w:tc>
          <w:tcPr>
            <w:tcW w:w="1365" w:type="dxa"/>
            <w:shd w:val="clear" w:color="auto" w:fill="FFC9C9"/>
            <w:tcMar>
              <w:top w:w="80" w:type="dxa"/>
              <w:left w:w="80" w:type="dxa"/>
              <w:bottom w:w="80" w:type="dxa"/>
              <w:right w:w="80" w:type="dxa"/>
            </w:tcMar>
          </w:tcPr>
          <w:p w14:paraId="10AAA760" w14:textId="5C510B89"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The number of full-time and part-time staff employed during the reporting period is to be provided in</w:t>
            </w:r>
            <w:r w:rsidR="00EF6585">
              <w:rPr>
                <w:rFonts w:eastAsia="Calibri" w:cs="Arial"/>
                <w:sz w:val="14"/>
                <w:szCs w:val="14"/>
                <w:lang w:eastAsia="en-US"/>
              </w:rPr>
              <w:t xml:space="preserve"> the annual self-insurer review</w:t>
            </w:r>
          </w:p>
        </w:tc>
        <w:tc>
          <w:tcPr>
            <w:tcW w:w="1365" w:type="dxa"/>
            <w:shd w:val="clear" w:color="auto" w:fill="FFC9C9"/>
            <w:tcMar>
              <w:top w:w="80" w:type="dxa"/>
              <w:left w:w="80" w:type="dxa"/>
              <w:bottom w:w="80" w:type="dxa"/>
              <w:right w:w="80" w:type="dxa"/>
            </w:tcMar>
          </w:tcPr>
          <w:p w14:paraId="7DE3BA01" w14:textId="40A4CF8F"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Number of FTEs, not spe</w:t>
            </w:r>
            <w:r w:rsidR="00EF6585">
              <w:rPr>
                <w:rFonts w:eastAsia="Calibri" w:cs="Arial"/>
                <w:sz w:val="14"/>
                <w:szCs w:val="14"/>
                <w:lang w:eastAsia="en-US"/>
              </w:rPr>
              <w:t>cifically required to report on</w:t>
            </w:r>
          </w:p>
        </w:tc>
        <w:tc>
          <w:tcPr>
            <w:tcW w:w="1365" w:type="dxa"/>
            <w:shd w:val="clear" w:color="auto" w:fill="FFC9C9"/>
            <w:tcMar>
              <w:top w:w="80" w:type="dxa"/>
              <w:left w:w="80" w:type="dxa"/>
              <w:bottom w:w="80" w:type="dxa"/>
              <w:right w:w="80" w:type="dxa"/>
            </w:tcMar>
          </w:tcPr>
          <w:p w14:paraId="2463B80B"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0984541" w14:textId="733AF9DF"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Number of e</w:t>
            </w:r>
            <w:r w:rsidR="00EF6585">
              <w:rPr>
                <w:rFonts w:eastAsia="Calibri" w:cs="Arial"/>
                <w:sz w:val="14"/>
                <w:szCs w:val="14"/>
                <w:lang w:eastAsia="en-US"/>
              </w:rPr>
              <w:t>mployees by 31 August each year</w:t>
            </w:r>
          </w:p>
        </w:tc>
        <w:tc>
          <w:tcPr>
            <w:tcW w:w="1365" w:type="dxa"/>
            <w:shd w:val="clear" w:color="auto" w:fill="FFC9C9"/>
            <w:tcMar>
              <w:top w:w="80" w:type="dxa"/>
              <w:left w:w="80" w:type="dxa"/>
              <w:bottom w:w="80" w:type="dxa"/>
              <w:right w:w="80" w:type="dxa"/>
            </w:tcMar>
          </w:tcPr>
          <w:p w14:paraId="0CA59E7E" w14:textId="67DE93CA"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Number of employees by 31 Aug</w:t>
            </w:r>
            <w:r w:rsidR="00EF6585">
              <w:rPr>
                <w:rFonts w:eastAsia="Calibri" w:cs="Arial"/>
                <w:sz w:val="14"/>
                <w:szCs w:val="14"/>
                <w:lang w:eastAsia="en-US"/>
              </w:rPr>
              <w:t>ust each year</w:t>
            </w:r>
          </w:p>
        </w:tc>
        <w:tc>
          <w:tcPr>
            <w:tcW w:w="1365" w:type="dxa"/>
            <w:shd w:val="clear" w:color="auto" w:fill="FFC9C9"/>
            <w:tcMar>
              <w:top w:w="80" w:type="dxa"/>
              <w:left w:w="80" w:type="dxa"/>
              <w:bottom w:w="80" w:type="dxa"/>
              <w:right w:w="80" w:type="dxa"/>
            </w:tcMar>
          </w:tcPr>
          <w:p w14:paraId="48BDED03" w14:textId="630CB5BD" w:rsidR="007A1B12" w:rsidRPr="007A1B12" w:rsidRDefault="00EF6585" w:rsidP="00292A53">
            <w:pPr>
              <w:spacing w:after="60"/>
              <w:rPr>
                <w:rFonts w:eastAsia="Calibri" w:cs="Arial"/>
                <w:sz w:val="14"/>
                <w:szCs w:val="14"/>
                <w:lang w:eastAsia="en-US"/>
              </w:rPr>
            </w:pPr>
            <w:r>
              <w:rPr>
                <w:rFonts w:eastAsia="Calibri" w:cs="Arial"/>
                <w:sz w:val="14"/>
                <w:szCs w:val="14"/>
                <w:lang w:eastAsia="en-US"/>
              </w:rPr>
              <w:t>Number of employees</w:t>
            </w:r>
          </w:p>
        </w:tc>
        <w:tc>
          <w:tcPr>
            <w:tcW w:w="1365" w:type="dxa"/>
            <w:shd w:val="clear" w:color="auto" w:fill="FFC9C9"/>
            <w:tcMar>
              <w:top w:w="80" w:type="dxa"/>
              <w:left w:w="80" w:type="dxa"/>
              <w:bottom w:w="80" w:type="dxa"/>
              <w:right w:w="80" w:type="dxa"/>
            </w:tcMar>
          </w:tcPr>
          <w:p w14:paraId="393A707F"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r>
      <w:tr w:rsidR="007A1B12" w:rsidRPr="007A1B12" w14:paraId="1428BC41" w14:textId="77777777" w:rsidTr="00B2173F">
        <w:tc>
          <w:tcPr>
            <w:tcW w:w="1365" w:type="dxa"/>
            <w:tcMar>
              <w:top w:w="80" w:type="dxa"/>
              <w:left w:w="80" w:type="dxa"/>
              <w:bottom w:w="80" w:type="dxa"/>
              <w:right w:w="80" w:type="dxa"/>
            </w:tcMar>
          </w:tcPr>
          <w:p w14:paraId="51499D53"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Remuneration or wages declaration</w:t>
            </w:r>
          </w:p>
        </w:tc>
        <w:tc>
          <w:tcPr>
            <w:tcW w:w="1365" w:type="dxa"/>
            <w:tcMar>
              <w:top w:w="80" w:type="dxa"/>
              <w:left w:w="80" w:type="dxa"/>
              <w:bottom w:w="80" w:type="dxa"/>
              <w:right w:w="80" w:type="dxa"/>
            </w:tcMar>
          </w:tcPr>
          <w:p w14:paraId="102555D8" w14:textId="2132236D"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Remu</w:t>
            </w:r>
            <w:r w:rsidR="00EF6585">
              <w:rPr>
                <w:rFonts w:eastAsia="Calibri" w:cs="Arial"/>
                <w:sz w:val="14"/>
                <w:szCs w:val="14"/>
                <w:lang w:eastAsia="en-US"/>
              </w:rPr>
              <w:t>neration by 31 August each year</w:t>
            </w:r>
          </w:p>
        </w:tc>
        <w:tc>
          <w:tcPr>
            <w:tcW w:w="1365" w:type="dxa"/>
            <w:tcMar>
              <w:top w:w="80" w:type="dxa"/>
              <w:left w:w="80" w:type="dxa"/>
              <w:bottom w:w="80" w:type="dxa"/>
              <w:right w:w="80" w:type="dxa"/>
            </w:tcMar>
          </w:tcPr>
          <w:p w14:paraId="035AE709" w14:textId="611E583B"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Rateable remuneration return s</w:t>
            </w:r>
            <w:r w:rsidR="00EF6585">
              <w:rPr>
                <w:rFonts w:eastAsia="Calibri" w:cs="Arial"/>
                <w:sz w:val="14"/>
                <w:szCs w:val="14"/>
                <w:lang w:eastAsia="en-US"/>
              </w:rPr>
              <w:t>ubmitted by 31 August each year</w:t>
            </w:r>
          </w:p>
        </w:tc>
        <w:tc>
          <w:tcPr>
            <w:tcW w:w="1365" w:type="dxa"/>
            <w:tcMar>
              <w:top w:w="80" w:type="dxa"/>
              <w:left w:w="80" w:type="dxa"/>
              <w:bottom w:w="80" w:type="dxa"/>
              <w:right w:w="80" w:type="dxa"/>
            </w:tcMar>
          </w:tcPr>
          <w:p w14:paraId="515DF426" w14:textId="5EAD13F0"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Remu</w:t>
            </w:r>
            <w:r w:rsidR="00EF6585">
              <w:rPr>
                <w:rFonts w:eastAsia="Calibri" w:cs="Arial"/>
                <w:sz w:val="14"/>
                <w:szCs w:val="14"/>
                <w:lang w:eastAsia="en-US"/>
              </w:rPr>
              <w:t>neration by 31 August each year</w:t>
            </w:r>
          </w:p>
        </w:tc>
        <w:tc>
          <w:tcPr>
            <w:tcW w:w="1365" w:type="dxa"/>
            <w:tcMar>
              <w:top w:w="80" w:type="dxa"/>
              <w:left w:w="80" w:type="dxa"/>
              <w:bottom w:w="80" w:type="dxa"/>
              <w:right w:w="80" w:type="dxa"/>
            </w:tcMar>
          </w:tcPr>
          <w:p w14:paraId="1C6C3245"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DD13A15" w14:textId="156E7D3C"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Re</w:t>
            </w:r>
            <w:r w:rsidR="00EF6585">
              <w:rPr>
                <w:rFonts w:eastAsia="Calibri" w:cs="Arial"/>
                <w:sz w:val="14"/>
                <w:szCs w:val="14"/>
                <w:lang w:eastAsia="en-US"/>
              </w:rPr>
              <w:t>muneration by 31 July each year</w:t>
            </w:r>
          </w:p>
        </w:tc>
        <w:tc>
          <w:tcPr>
            <w:tcW w:w="1365" w:type="dxa"/>
            <w:tcMar>
              <w:top w:w="80" w:type="dxa"/>
              <w:left w:w="80" w:type="dxa"/>
              <w:bottom w:w="80" w:type="dxa"/>
              <w:right w:w="80" w:type="dxa"/>
            </w:tcMar>
          </w:tcPr>
          <w:p w14:paraId="5EAE4099" w14:textId="2A9A9D25"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Workers and wa</w:t>
            </w:r>
            <w:r w:rsidR="00EF6585">
              <w:rPr>
                <w:rFonts w:eastAsia="Calibri" w:cs="Arial"/>
                <w:sz w:val="14"/>
                <w:szCs w:val="14"/>
                <w:lang w:eastAsia="en-US"/>
              </w:rPr>
              <w:t>ges report by 21 July each year</w:t>
            </w:r>
          </w:p>
        </w:tc>
        <w:tc>
          <w:tcPr>
            <w:tcW w:w="1365" w:type="dxa"/>
            <w:tcMar>
              <w:top w:w="80" w:type="dxa"/>
              <w:left w:w="80" w:type="dxa"/>
              <w:bottom w:w="80" w:type="dxa"/>
              <w:right w:w="80" w:type="dxa"/>
            </w:tcMar>
          </w:tcPr>
          <w:p w14:paraId="5DF108EB" w14:textId="22D3DAD8"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Remu</w:t>
            </w:r>
            <w:r w:rsidR="00EF6585">
              <w:rPr>
                <w:rFonts w:eastAsia="Calibri" w:cs="Arial"/>
                <w:sz w:val="14"/>
                <w:szCs w:val="14"/>
                <w:lang w:eastAsia="en-US"/>
              </w:rPr>
              <w:t>neration by 31 August each year</w:t>
            </w:r>
          </w:p>
        </w:tc>
        <w:tc>
          <w:tcPr>
            <w:tcW w:w="1365" w:type="dxa"/>
            <w:tcMar>
              <w:top w:w="80" w:type="dxa"/>
              <w:left w:w="80" w:type="dxa"/>
              <w:bottom w:w="80" w:type="dxa"/>
              <w:right w:w="80" w:type="dxa"/>
            </w:tcMar>
          </w:tcPr>
          <w:p w14:paraId="02F00953"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4DA2627C" w14:textId="0872559E" w:rsidR="007A1B12" w:rsidRPr="007A1B12" w:rsidRDefault="00EF6585" w:rsidP="00292A53">
            <w:pPr>
              <w:spacing w:after="60"/>
              <w:rPr>
                <w:rFonts w:eastAsia="Calibri" w:cs="Arial"/>
                <w:sz w:val="14"/>
                <w:szCs w:val="14"/>
                <w:lang w:eastAsia="en-US"/>
              </w:rPr>
            </w:pPr>
            <w:r>
              <w:rPr>
                <w:rFonts w:eastAsia="Calibri" w:cs="Arial"/>
                <w:sz w:val="14"/>
                <w:szCs w:val="14"/>
                <w:lang w:eastAsia="en-US"/>
              </w:rPr>
              <w:t>Remuneration</w:t>
            </w:r>
          </w:p>
        </w:tc>
        <w:tc>
          <w:tcPr>
            <w:tcW w:w="1365" w:type="dxa"/>
            <w:tcMar>
              <w:top w:w="80" w:type="dxa"/>
              <w:left w:w="80" w:type="dxa"/>
              <w:bottom w:w="80" w:type="dxa"/>
              <w:right w:w="80" w:type="dxa"/>
            </w:tcMar>
          </w:tcPr>
          <w:p w14:paraId="69A904C4"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r>
      <w:tr w:rsidR="007A1B12" w:rsidRPr="007A1B12" w14:paraId="4F98F538" w14:textId="77777777" w:rsidTr="00B2173F">
        <w:tc>
          <w:tcPr>
            <w:tcW w:w="1365" w:type="dxa"/>
            <w:shd w:val="clear" w:color="auto" w:fill="FFC9C9"/>
            <w:tcMar>
              <w:top w:w="80" w:type="dxa"/>
              <w:left w:w="80" w:type="dxa"/>
              <w:bottom w:w="80" w:type="dxa"/>
              <w:right w:w="80" w:type="dxa"/>
            </w:tcMar>
          </w:tcPr>
          <w:p w14:paraId="79CAD669"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Other</w:t>
            </w:r>
          </w:p>
        </w:tc>
        <w:tc>
          <w:tcPr>
            <w:tcW w:w="1365" w:type="dxa"/>
            <w:shd w:val="clear" w:color="auto" w:fill="FFC9C9"/>
            <w:tcMar>
              <w:top w:w="80" w:type="dxa"/>
              <w:left w:w="80" w:type="dxa"/>
              <w:bottom w:w="80" w:type="dxa"/>
              <w:right w:w="80" w:type="dxa"/>
            </w:tcMar>
          </w:tcPr>
          <w:p w14:paraId="75908150" w14:textId="51F1AE25"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Predominant industry/Workers Compensation Industry Classi</w:t>
            </w:r>
            <w:r w:rsidR="00EF6585">
              <w:rPr>
                <w:rFonts w:eastAsia="Calibri" w:cs="Arial"/>
                <w:sz w:val="14"/>
                <w:szCs w:val="14"/>
                <w:lang w:eastAsia="en-US"/>
              </w:rPr>
              <w:t>fication by 31 August each year</w:t>
            </w:r>
          </w:p>
        </w:tc>
        <w:tc>
          <w:tcPr>
            <w:tcW w:w="1365" w:type="dxa"/>
            <w:shd w:val="clear" w:color="auto" w:fill="FFC9C9"/>
            <w:tcMar>
              <w:top w:w="80" w:type="dxa"/>
              <w:left w:w="80" w:type="dxa"/>
              <w:bottom w:w="80" w:type="dxa"/>
              <w:right w:w="80" w:type="dxa"/>
            </w:tcMar>
          </w:tcPr>
          <w:p w14:paraId="43BDCDFA"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By 31 August each year:</w:t>
            </w:r>
          </w:p>
          <w:p w14:paraId="6393C9A8" w14:textId="77777777" w:rsidR="007A1B12" w:rsidRPr="00A86183" w:rsidRDefault="007A1B12" w:rsidP="00F839DB">
            <w:pPr>
              <w:pStyle w:val="ListParagraph"/>
              <w:numPr>
                <w:ilvl w:val="0"/>
                <w:numId w:val="395"/>
              </w:numPr>
              <w:spacing w:after="60"/>
              <w:contextualSpacing/>
              <w:rPr>
                <w:rFonts w:eastAsia="Calibri" w:cs="Arial"/>
                <w:sz w:val="14"/>
                <w:szCs w:val="14"/>
                <w:lang w:eastAsia="en-US"/>
              </w:rPr>
            </w:pPr>
            <w:r w:rsidRPr="00A86183">
              <w:rPr>
                <w:rFonts w:eastAsia="Calibri" w:cs="Arial"/>
                <w:sz w:val="14"/>
                <w:szCs w:val="14"/>
                <w:lang w:eastAsia="en-US"/>
              </w:rPr>
              <w:t>opened / closed workplaces during the reporting period; workplace location;</w:t>
            </w:r>
          </w:p>
          <w:p w14:paraId="37AC2A11" w14:textId="6B046F61" w:rsidR="007A1B12" w:rsidRPr="00A86183" w:rsidRDefault="007A1B12" w:rsidP="00F839DB">
            <w:pPr>
              <w:pStyle w:val="ListParagraph"/>
              <w:numPr>
                <w:ilvl w:val="0"/>
                <w:numId w:val="395"/>
              </w:numPr>
              <w:spacing w:after="60"/>
              <w:contextualSpacing/>
              <w:rPr>
                <w:rFonts w:eastAsia="Calibri" w:cs="Arial"/>
                <w:sz w:val="14"/>
                <w:szCs w:val="14"/>
                <w:lang w:eastAsia="en-US"/>
              </w:rPr>
            </w:pPr>
            <w:r w:rsidRPr="00A86183">
              <w:rPr>
                <w:rFonts w:eastAsia="Calibri" w:cs="Arial"/>
                <w:sz w:val="14"/>
                <w:szCs w:val="14"/>
                <w:lang w:eastAsia="en-US"/>
              </w:rPr>
              <w:t>predominant industry / Wo</w:t>
            </w:r>
            <w:r w:rsidR="00EF6585">
              <w:rPr>
                <w:rFonts w:eastAsia="Calibri" w:cs="Arial"/>
                <w:sz w:val="14"/>
                <w:szCs w:val="14"/>
                <w:lang w:eastAsia="en-US"/>
              </w:rPr>
              <w:t>rkCover Industry Classification</w:t>
            </w:r>
          </w:p>
          <w:p w14:paraId="62D6A790" w14:textId="77777777" w:rsidR="007A1B12" w:rsidRPr="00A86183" w:rsidRDefault="007A1B12" w:rsidP="00292A53">
            <w:pPr>
              <w:spacing w:after="60"/>
              <w:rPr>
                <w:rFonts w:eastAsia="Calibri" w:cs="Arial"/>
                <w:sz w:val="14"/>
                <w:szCs w:val="14"/>
                <w:lang w:eastAsia="en-US"/>
              </w:rPr>
            </w:pPr>
            <w:r w:rsidRPr="00A86183">
              <w:rPr>
                <w:rFonts w:eastAsia="Calibri" w:cs="Arial"/>
                <w:sz w:val="14"/>
                <w:szCs w:val="14"/>
                <w:lang w:eastAsia="en-US"/>
              </w:rPr>
              <w:t>Self-audit results by 31 August each year:</w:t>
            </w:r>
          </w:p>
          <w:p w14:paraId="5FE733E6" w14:textId="19C060DA" w:rsidR="007A1B12" w:rsidRPr="00A86183" w:rsidRDefault="007A1B12" w:rsidP="00F839DB">
            <w:pPr>
              <w:pStyle w:val="ListParagraph"/>
              <w:numPr>
                <w:ilvl w:val="0"/>
                <w:numId w:val="395"/>
              </w:numPr>
              <w:spacing w:after="60"/>
              <w:contextualSpacing/>
              <w:rPr>
                <w:rFonts w:eastAsia="Calibri" w:cs="Arial"/>
                <w:sz w:val="14"/>
                <w:szCs w:val="14"/>
                <w:lang w:eastAsia="en-US"/>
              </w:rPr>
            </w:pPr>
            <w:r w:rsidRPr="00A86183">
              <w:rPr>
                <w:rFonts w:eastAsia="Calibri" w:cs="Arial"/>
                <w:sz w:val="14"/>
                <w:szCs w:val="14"/>
                <w:lang w:eastAsia="en-US"/>
              </w:rPr>
              <w:t>OHS management system audit against the NAT;</w:t>
            </w:r>
            <w:r w:rsidR="00DD0D68">
              <w:rPr>
                <w:rFonts w:eastAsia="Calibri" w:cs="Arial"/>
                <w:sz w:val="14"/>
                <w:szCs w:val="14"/>
                <w:lang w:eastAsia="en-US"/>
              </w:rPr>
              <w:t xml:space="preserve"> </w:t>
            </w:r>
          </w:p>
          <w:p w14:paraId="43BEF0AC" w14:textId="1B7B1431" w:rsidR="007A1B12" w:rsidRPr="00A86183" w:rsidRDefault="007A1B12" w:rsidP="00F839DB">
            <w:pPr>
              <w:pStyle w:val="ListParagraph"/>
              <w:numPr>
                <w:ilvl w:val="0"/>
                <w:numId w:val="395"/>
              </w:numPr>
              <w:spacing w:after="60"/>
              <w:contextualSpacing/>
              <w:rPr>
                <w:rFonts w:eastAsia="Calibri" w:cs="Arial"/>
                <w:sz w:val="14"/>
                <w:szCs w:val="14"/>
                <w:lang w:eastAsia="en-US"/>
              </w:rPr>
            </w:pPr>
            <w:r w:rsidRPr="00A86183">
              <w:rPr>
                <w:rFonts w:eastAsia="Calibri" w:cs="Arial"/>
                <w:sz w:val="14"/>
                <w:szCs w:val="14"/>
                <w:lang w:eastAsia="en-US"/>
              </w:rPr>
              <w:t xml:space="preserve">claims management </w:t>
            </w:r>
            <w:r w:rsidRPr="00A86183">
              <w:rPr>
                <w:rFonts w:eastAsia="Calibri" w:cs="Arial"/>
                <w:sz w:val="14"/>
                <w:szCs w:val="14"/>
                <w:lang w:eastAsia="en-US"/>
              </w:rPr>
              <w:lastRenderedPageBreak/>
              <w:t>obligations o</w:t>
            </w:r>
            <w:r w:rsidR="00A86183">
              <w:rPr>
                <w:rFonts w:eastAsia="Calibri" w:cs="Arial"/>
                <w:sz w:val="14"/>
                <w:szCs w:val="14"/>
                <w:lang w:eastAsia="en-US"/>
              </w:rPr>
              <w:t>f enployers &amp; other requirement</w:t>
            </w:r>
            <w:r w:rsidR="00BF5D00">
              <w:rPr>
                <w:rFonts w:eastAsia="Calibri" w:cs="Arial"/>
                <w:sz w:val="14"/>
                <w:szCs w:val="14"/>
                <w:lang w:eastAsia="en-US"/>
              </w:rPr>
              <w:t>s</w:t>
            </w:r>
          </w:p>
        </w:tc>
        <w:tc>
          <w:tcPr>
            <w:tcW w:w="1365" w:type="dxa"/>
            <w:shd w:val="clear" w:color="auto" w:fill="FFC9C9"/>
            <w:tcMar>
              <w:top w:w="80" w:type="dxa"/>
              <w:left w:w="80" w:type="dxa"/>
              <w:bottom w:w="80" w:type="dxa"/>
              <w:right w:w="80" w:type="dxa"/>
            </w:tcMar>
          </w:tcPr>
          <w:p w14:paraId="6B486B56" w14:textId="77777777" w:rsidR="006A50D4"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Rehabilitation policy and procedures (once per licence period — up to 4 years).</w:t>
            </w:r>
          </w:p>
          <w:p w14:paraId="52745F20" w14:textId="77777777" w:rsidR="006A50D4"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The insurer’s accredited return to work program is reviewed once per licence period – up to 4 years. </w:t>
            </w:r>
          </w:p>
          <w:p w14:paraId="17072433" w14:textId="544ABE53"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Self-assessment required for self-insurers at the mid term of the licence period.</w:t>
            </w:r>
          </w:p>
        </w:tc>
        <w:tc>
          <w:tcPr>
            <w:tcW w:w="1365" w:type="dxa"/>
            <w:shd w:val="clear" w:color="auto" w:fill="FFC9C9"/>
            <w:tcMar>
              <w:top w:w="80" w:type="dxa"/>
              <w:left w:w="80" w:type="dxa"/>
              <w:bottom w:w="80" w:type="dxa"/>
              <w:right w:w="80" w:type="dxa"/>
            </w:tcMar>
          </w:tcPr>
          <w:p w14:paraId="08046C28"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Internal dispute resolution services. </w:t>
            </w:r>
          </w:p>
          <w:p w14:paraId="2CB5F3C7"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Material resources (organisational chart).</w:t>
            </w:r>
          </w:p>
          <w:p w14:paraId="5B55EA70"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Security obligations (claims liabilities, etc).</w:t>
            </w:r>
          </w:p>
          <w:p w14:paraId="0A0FC007"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Insurance obligations (common law cover).</w:t>
            </w:r>
          </w:p>
          <w:p w14:paraId="19469141" w14:textId="77777777" w:rsidR="007A1B12" w:rsidRPr="007A1B12" w:rsidRDefault="007A1B12" w:rsidP="00292A53">
            <w:pPr>
              <w:spacing w:after="60"/>
              <w:rPr>
                <w:rFonts w:eastAsia="Calibri" w:cs="Arial"/>
                <w:sz w:val="14"/>
                <w:szCs w:val="14"/>
                <w:highlight w:val="yellow"/>
                <w:lang w:eastAsia="en-US"/>
              </w:rPr>
            </w:pPr>
            <w:r w:rsidRPr="007A1B12">
              <w:rPr>
                <w:rFonts w:eastAsia="Calibri" w:cs="Arial"/>
                <w:sz w:val="14"/>
                <w:szCs w:val="14"/>
                <w:lang w:eastAsia="en-US"/>
              </w:rPr>
              <w:t>Terrorism</w:t>
            </w:r>
            <w:r w:rsidR="00976950">
              <w:rPr>
                <w:rFonts w:eastAsia="Calibri" w:cs="Arial"/>
                <w:sz w:val="14"/>
                <w:szCs w:val="14"/>
                <w:lang w:eastAsia="en-US"/>
              </w:rPr>
              <w:fldChar w:fldCharType="begin"/>
            </w:r>
            <w:r w:rsidR="00976950">
              <w:instrText xml:space="preserve"> XE "</w:instrText>
            </w:r>
            <w:r w:rsidR="00976950" w:rsidRPr="00301FA8">
              <w:rPr>
                <w:rFonts w:eastAsia="Calibri" w:cs="Arial"/>
                <w:sz w:val="14"/>
                <w:szCs w:val="14"/>
                <w:lang w:eastAsia="en-US"/>
              </w:rPr>
              <w:instrText>Terrorism</w:instrText>
            </w:r>
            <w:r w:rsidR="00976950">
              <w:instrText xml:space="preserve">" </w:instrText>
            </w:r>
            <w:r w:rsidR="00976950">
              <w:rPr>
                <w:rFonts w:eastAsia="Calibri" w:cs="Arial"/>
                <w:sz w:val="14"/>
                <w:szCs w:val="14"/>
                <w:lang w:eastAsia="en-US"/>
              </w:rPr>
              <w:fldChar w:fldCharType="end"/>
            </w:r>
            <w:r w:rsidRPr="007A1B12">
              <w:rPr>
                <w:rFonts w:eastAsia="Calibri" w:cs="Arial"/>
                <w:sz w:val="14"/>
                <w:szCs w:val="14"/>
                <w:lang w:eastAsia="en-US"/>
              </w:rPr>
              <w:t xml:space="preserve"> arrangements (contribution as a result of terrorism) — reporting annually for initial application and for annual review.</w:t>
            </w:r>
          </w:p>
        </w:tc>
        <w:tc>
          <w:tcPr>
            <w:tcW w:w="1365" w:type="dxa"/>
            <w:shd w:val="clear" w:color="auto" w:fill="FFC9C9"/>
            <w:tcMar>
              <w:top w:w="80" w:type="dxa"/>
              <w:left w:w="80" w:type="dxa"/>
              <w:bottom w:w="80" w:type="dxa"/>
              <w:right w:w="80" w:type="dxa"/>
            </w:tcMar>
          </w:tcPr>
          <w:p w14:paraId="433F33BE"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Advice of any change in structure or financial relationships that may affect the consideration of the viability of the employer as soon as possible after a change has occurred.</w:t>
            </w:r>
          </w:p>
        </w:tc>
        <w:tc>
          <w:tcPr>
            <w:tcW w:w="1365" w:type="dxa"/>
            <w:shd w:val="clear" w:color="auto" w:fill="FFC9C9"/>
            <w:tcMar>
              <w:top w:w="80" w:type="dxa"/>
              <w:left w:w="80" w:type="dxa"/>
              <w:bottom w:w="80" w:type="dxa"/>
              <w:right w:w="80" w:type="dxa"/>
            </w:tcMar>
          </w:tcPr>
          <w:p w14:paraId="6AB0E4A6"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Financial undertaking by 30 September each year.</w:t>
            </w:r>
          </w:p>
        </w:tc>
        <w:tc>
          <w:tcPr>
            <w:tcW w:w="1365" w:type="dxa"/>
            <w:shd w:val="clear" w:color="auto" w:fill="FFC9C9"/>
            <w:tcMar>
              <w:top w:w="80" w:type="dxa"/>
              <w:left w:w="80" w:type="dxa"/>
              <w:bottom w:w="80" w:type="dxa"/>
              <w:right w:w="80" w:type="dxa"/>
            </w:tcMar>
          </w:tcPr>
          <w:p w14:paraId="1F40B256" w14:textId="08B82CD0"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Claims paid</w:t>
            </w:r>
            <w:r w:rsidR="00A05A5E">
              <w:rPr>
                <w:rFonts w:eastAsia="Calibri" w:cs="Arial"/>
                <w:sz w:val="14"/>
                <w:szCs w:val="14"/>
                <w:lang w:eastAsia="en-US"/>
              </w:rPr>
              <w:t xml:space="preserve"> and occupation of workers by 30 September </w:t>
            </w:r>
            <w:r w:rsidRPr="007A1B12">
              <w:rPr>
                <w:rFonts w:eastAsia="Calibri" w:cs="Arial"/>
                <w:sz w:val="14"/>
                <w:szCs w:val="14"/>
                <w:lang w:eastAsia="en-US"/>
              </w:rPr>
              <w:t>each year.</w:t>
            </w:r>
          </w:p>
        </w:tc>
        <w:tc>
          <w:tcPr>
            <w:tcW w:w="1365" w:type="dxa"/>
            <w:shd w:val="clear" w:color="auto" w:fill="FFC9C9"/>
            <w:tcMar>
              <w:top w:w="80" w:type="dxa"/>
              <w:left w:w="80" w:type="dxa"/>
              <w:bottom w:w="80" w:type="dxa"/>
              <w:right w:w="80" w:type="dxa"/>
            </w:tcMar>
          </w:tcPr>
          <w:p w14:paraId="100654A7" w14:textId="4BE0CD6B"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Workplace location, predominate industry/Industry Classification by 31 August each year.</w:t>
            </w:r>
          </w:p>
          <w:p w14:paraId="5DEA421D"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Insurer data specification reported monthly by the 10th day of the following month.</w:t>
            </w:r>
          </w:p>
        </w:tc>
        <w:tc>
          <w:tcPr>
            <w:tcW w:w="1365" w:type="dxa"/>
            <w:shd w:val="clear" w:color="auto" w:fill="FFC9C9"/>
            <w:tcMar>
              <w:top w:w="80" w:type="dxa"/>
              <w:left w:w="80" w:type="dxa"/>
              <w:bottom w:w="80" w:type="dxa"/>
              <w:right w:w="80" w:type="dxa"/>
            </w:tcMar>
          </w:tcPr>
          <w:p w14:paraId="7EF73C41"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6DCF9521"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r>
      <w:tr w:rsidR="007A1B12" w:rsidRPr="007A1B12" w14:paraId="3D72DBDF" w14:textId="77777777" w:rsidTr="00B2173F">
        <w:tc>
          <w:tcPr>
            <w:tcW w:w="1365" w:type="dxa"/>
            <w:tcMar>
              <w:top w:w="80" w:type="dxa"/>
              <w:left w:w="80" w:type="dxa"/>
              <w:bottom w:w="80" w:type="dxa"/>
              <w:right w:w="80" w:type="dxa"/>
            </w:tcMar>
          </w:tcPr>
          <w:p w14:paraId="3A044447"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More information</w:t>
            </w:r>
          </w:p>
        </w:tc>
        <w:tc>
          <w:tcPr>
            <w:tcW w:w="1365" w:type="dxa"/>
            <w:tcMar>
              <w:top w:w="80" w:type="dxa"/>
              <w:left w:w="80" w:type="dxa"/>
              <w:bottom w:w="80" w:type="dxa"/>
              <w:right w:w="80" w:type="dxa"/>
            </w:tcMar>
            <w:vAlign w:val="center"/>
          </w:tcPr>
          <w:p w14:paraId="50BC36F4"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5F94FC57"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71A17D4E"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5B510229"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4DCCBD3B"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42844E36"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68B935EC"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24568371"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25FD3E53"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F4CB96F" w14:textId="23D4A31A"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Freq</w:t>
            </w:r>
            <w:r w:rsidR="00EF6585">
              <w:rPr>
                <w:rFonts w:eastAsia="Calibri" w:cs="Arial"/>
                <w:sz w:val="14"/>
                <w:szCs w:val="14"/>
                <w:lang w:eastAsia="en-US"/>
              </w:rPr>
              <w:t>uency of reporting — upon entry</w:t>
            </w:r>
          </w:p>
        </w:tc>
      </w:tr>
      <w:tr w:rsidR="007A1B12" w:rsidRPr="007A1B12" w14:paraId="4ACE4E66" w14:textId="77777777" w:rsidTr="00B2173F">
        <w:tc>
          <w:tcPr>
            <w:tcW w:w="15015" w:type="dxa"/>
            <w:gridSpan w:val="11"/>
            <w:tcMar>
              <w:top w:w="80" w:type="dxa"/>
              <w:left w:w="80" w:type="dxa"/>
              <w:bottom w:w="80" w:type="dxa"/>
              <w:right w:w="80" w:type="dxa"/>
            </w:tcMar>
          </w:tcPr>
          <w:p w14:paraId="7A69E049" w14:textId="77777777" w:rsidR="007A1B12" w:rsidRPr="007A1B12" w:rsidRDefault="007A1B12" w:rsidP="00292A53">
            <w:pPr>
              <w:spacing w:after="60"/>
              <w:jc w:val="center"/>
              <w:rPr>
                <w:rFonts w:eastAsia="Calibri" w:cs="Arial"/>
                <w:b/>
                <w:sz w:val="16"/>
                <w:szCs w:val="16"/>
                <w:lang w:eastAsia="en-US"/>
              </w:rPr>
            </w:pPr>
            <w:r w:rsidRPr="007A1B12">
              <w:rPr>
                <w:rFonts w:eastAsia="Calibri" w:cs="Arial"/>
                <w:b/>
                <w:sz w:val="16"/>
                <w:szCs w:val="16"/>
                <w:lang w:eastAsia="en-US"/>
              </w:rPr>
              <w:t>Irregular reporting requirements</w:t>
            </w:r>
          </w:p>
        </w:tc>
      </w:tr>
      <w:tr w:rsidR="007A1B12" w:rsidRPr="007A1B12" w14:paraId="6D78D19C" w14:textId="77777777" w:rsidTr="00B2173F">
        <w:tc>
          <w:tcPr>
            <w:tcW w:w="1365" w:type="dxa"/>
            <w:shd w:val="clear" w:color="auto" w:fill="FFC9C9"/>
            <w:tcMar>
              <w:top w:w="80" w:type="dxa"/>
              <w:left w:w="80" w:type="dxa"/>
              <w:bottom w:w="80" w:type="dxa"/>
              <w:right w:w="80" w:type="dxa"/>
            </w:tcMar>
          </w:tcPr>
          <w:p w14:paraId="67A27EE3" w14:textId="29BC34C5"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 xml:space="preserve">Changes to Company structure </w:t>
            </w:r>
            <w:r w:rsidR="000B568E">
              <w:rPr>
                <w:rFonts w:eastAsia="Calibri" w:cs="Arial"/>
                <w:b/>
                <w:sz w:val="16"/>
                <w:szCs w:val="16"/>
                <w:lang w:eastAsia="en-US"/>
              </w:rPr>
              <w:fldChar w:fldCharType="begin"/>
            </w:r>
            <w:r w:rsidR="000B568E">
              <w:instrText xml:space="preserve"> XE "</w:instrText>
            </w:r>
            <w:r w:rsidR="000B568E" w:rsidRPr="00413053">
              <w:instrText>self-insurer arrangements standards and:company structure</w:instrText>
            </w:r>
            <w:r w:rsidR="000B568E">
              <w:instrText xml:space="preserve">" </w:instrText>
            </w:r>
            <w:r w:rsidR="000B568E">
              <w:rPr>
                <w:rFonts w:eastAsia="Calibri" w:cs="Arial"/>
                <w:b/>
                <w:sz w:val="16"/>
                <w:szCs w:val="16"/>
                <w:lang w:eastAsia="en-US"/>
              </w:rPr>
              <w:fldChar w:fldCharType="end"/>
            </w:r>
            <w:r w:rsidRPr="007A1B12">
              <w:rPr>
                <w:rFonts w:eastAsia="Calibri" w:cs="Arial"/>
                <w:b/>
                <w:sz w:val="16"/>
                <w:szCs w:val="16"/>
                <w:lang w:eastAsia="en-US"/>
              </w:rPr>
              <w:t>ownership or control</w:t>
            </w:r>
          </w:p>
        </w:tc>
        <w:tc>
          <w:tcPr>
            <w:tcW w:w="1365" w:type="dxa"/>
            <w:shd w:val="clear" w:color="auto" w:fill="FFC9C9"/>
            <w:tcMar>
              <w:top w:w="80" w:type="dxa"/>
              <w:left w:w="80" w:type="dxa"/>
              <w:bottom w:w="80" w:type="dxa"/>
              <w:right w:w="80" w:type="dxa"/>
            </w:tcMar>
          </w:tcPr>
          <w:p w14:paraId="5FEAB084" w14:textId="554B9EA2"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Notify within 10 business days of any change in effective control or any change in ownership </w:t>
            </w:r>
            <w:r w:rsidR="00EF6585">
              <w:rPr>
                <w:rFonts w:eastAsia="Calibri" w:cs="Arial"/>
                <w:sz w:val="14"/>
                <w:szCs w:val="14"/>
                <w:lang w:eastAsia="en-US"/>
              </w:rPr>
              <w:t>exceeding 20% of shareholding</w:t>
            </w:r>
          </w:p>
          <w:p w14:paraId="4982A0ED" w14:textId="7DD46FA1"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Notify within 10 business days of acquisitions and dispositions of wholly owne</w:t>
            </w:r>
            <w:r w:rsidR="00EF6585">
              <w:rPr>
                <w:rFonts w:eastAsia="Calibri" w:cs="Arial"/>
                <w:sz w:val="14"/>
                <w:szCs w:val="14"/>
                <w:lang w:eastAsia="en-US"/>
              </w:rPr>
              <w:t>d subsidiaries employing in NSW</w:t>
            </w:r>
          </w:p>
        </w:tc>
        <w:tc>
          <w:tcPr>
            <w:tcW w:w="1365" w:type="dxa"/>
            <w:shd w:val="clear" w:color="auto" w:fill="FFC9C9"/>
            <w:tcMar>
              <w:top w:w="80" w:type="dxa"/>
              <w:left w:w="80" w:type="dxa"/>
              <w:bottom w:w="80" w:type="dxa"/>
              <w:right w:w="80" w:type="dxa"/>
            </w:tcMar>
          </w:tcPr>
          <w:p w14:paraId="1A476F38" w14:textId="65E19219" w:rsidR="006A50D4" w:rsidRDefault="007A1B12" w:rsidP="00292A53">
            <w:pPr>
              <w:spacing w:after="60"/>
              <w:rPr>
                <w:rFonts w:eastAsia="Calibri" w:cs="Arial"/>
                <w:sz w:val="14"/>
                <w:szCs w:val="14"/>
                <w:lang w:eastAsia="en-US"/>
              </w:rPr>
            </w:pPr>
            <w:r w:rsidRPr="007A1B12">
              <w:rPr>
                <w:rFonts w:eastAsia="Calibri" w:cs="Arial"/>
                <w:sz w:val="14"/>
                <w:szCs w:val="14"/>
                <w:lang w:eastAsia="en-US"/>
              </w:rPr>
              <w:t>Notify within 28 days of the occurrence of any circumst</w:t>
            </w:r>
            <w:r w:rsidR="00EF6585">
              <w:rPr>
                <w:rFonts w:eastAsia="Calibri" w:cs="Arial"/>
                <w:sz w:val="14"/>
                <w:szCs w:val="14"/>
                <w:lang w:eastAsia="en-US"/>
              </w:rPr>
              <w:t xml:space="preserve">ance under </w:t>
            </w:r>
            <w:hyperlink r:id="rId2098" w:history="1">
              <w:r w:rsidR="00EF6585" w:rsidRPr="00DD22FB">
                <w:rPr>
                  <w:rStyle w:val="Hyperlink"/>
                  <w:rFonts w:eastAsia="Calibri" w:cs="Arial"/>
                  <w:sz w:val="14"/>
                  <w:szCs w:val="14"/>
                  <w:lang w:eastAsia="en-US"/>
                </w:rPr>
                <w:t>s384</w:t>
              </w:r>
            </w:hyperlink>
            <w:r w:rsidR="00EF6585">
              <w:rPr>
                <w:rFonts w:eastAsia="Calibri" w:cs="Arial"/>
                <w:sz w:val="14"/>
                <w:szCs w:val="14"/>
                <w:lang w:eastAsia="en-US"/>
              </w:rPr>
              <w:t xml:space="preserve"> of the </w:t>
            </w:r>
            <w:r w:rsidR="00DD22FB" w:rsidRPr="00016069">
              <w:rPr>
                <w:i/>
                <w:sz w:val="14"/>
              </w:rPr>
              <w:t>Workplace Injury Rehabilitation and Compensation Act 2013</w:t>
            </w:r>
          </w:p>
          <w:p w14:paraId="1028F587" w14:textId="69AFA6AC"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Notify within 1 week after becoming aware of a s</w:t>
            </w:r>
            <w:r w:rsidR="00EF6585">
              <w:rPr>
                <w:rFonts w:eastAsia="Calibri" w:cs="Arial"/>
                <w:sz w:val="14"/>
                <w:szCs w:val="14"/>
                <w:lang w:eastAsia="en-US"/>
              </w:rPr>
              <w:t>trategically significant matter</w:t>
            </w:r>
          </w:p>
        </w:tc>
        <w:tc>
          <w:tcPr>
            <w:tcW w:w="1365" w:type="dxa"/>
            <w:shd w:val="clear" w:color="auto" w:fill="FFC9C9"/>
            <w:tcMar>
              <w:top w:w="80" w:type="dxa"/>
              <w:left w:w="80" w:type="dxa"/>
              <w:bottom w:w="80" w:type="dxa"/>
              <w:right w:w="80" w:type="dxa"/>
            </w:tcMar>
          </w:tcPr>
          <w:p w14:paraId="0E5FF2F8"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Report within five business days of the proposed change: </w:t>
            </w:r>
          </w:p>
          <w:p w14:paraId="11F8CD0B"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any event that could reasonably be expected to materially impact on the licensee’s net tangible assets</w:t>
            </w:r>
          </w:p>
          <w:p w14:paraId="10DED446"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any event that could reasonably be expected to materially impact on the licensee’s financial viability or ability to meet its liabilities for claims, and</w:t>
            </w:r>
          </w:p>
          <w:p w14:paraId="4F823A86" w14:textId="4BC3B51D"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any intention of the licensee to withdraw or reduce the bank guarantee or cash dep</w:t>
            </w:r>
            <w:r w:rsidR="00EF6585">
              <w:rPr>
                <w:rFonts w:eastAsia="Calibri" w:cs="Arial"/>
                <w:sz w:val="14"/>
                <w:szCs w:val="14"/>
                <w:lang w:eastAsia="en-US"/>
              </w:rPr>
              <w:t xml:space="preserve">osit lodged with </w:t>
            </w:r>
            <w:r w:rsidR="00EF6585">
              <w:rPr>
                <w:rFonts w:eastAsia="Calibri" w:cs="Arial"/>
                <w:sz w:val="14"/>
                <w:szCs w:val="14"/>
                <w:lang w:eastAsia="en-US"/>
              </w:rPr>
              <w:br/>
              <w:t>the Regulator</w:t>
            </w:r>
          </w:p>
        </w:tc>
        <w:tc>
          <w:tcPr>
            <w:tcW w:w="1365" w:type="dxa"/>
            <w:shd w:val="clear" w:color="auto" w:fill="FFC9C9"/>
            <w:tcMar>
              <w:top w:w="80" w:type="dxa"/>
              <w:left w:w="80" w:type="dxa"/>
              <w:bottom w:w="80" w:type="dxa"/>
              <w:right w:w="80" w:type="dxa"/>
            </w:tcMar>
          </w:tcPr>
          <w:p w14:paraId="520C1041"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33D864D5" w14:textId="056B048E"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Report financial and structural details as early as possible (or in advance) any action affecting the corporate structure of the group including disposal of subsidiary, acquisition of subsidiary, formation of new subsidiary, appointment of receivers, administrators or liquidators </w:t>
            </w:r>
            <w:r w:rsidR="00EF6585">
              <w:rPr>
                <w:rFonts w:eastAsia="Calibri" w:cs="Arial"/>
                <w:sz w:val="14"/>
                <w:szCs w:val="14"/>
                <w:lang w:eastAsia="en-US"/>
              </w:rPr>
              <w:t>and takeover of the company etc</w:t>
            </w:r>
          </w:p>
        </w:tc>
        <w:tc>
          <w:tcPr>
            <w:tcW w:w="1365" w:type="dxa"/>
            <w:shd w:val="clear" w:color="auto" w:fill="FFC9C9"/>
            <w:tcMar>
              <w:top w:w="80" w:type="dxa"/>
              <w:left w:w="80" w:type="dxa"/>
              <w:bottom w:w="80" w:type="dxa"/>
              <w:right w:w="80" w:type="dxa"/>
            </w:tcMar>
          </w:tcPr>
          <w:p w14:paraId="0FA10358" w14:textId="07660E53"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Report as soon as practicable any changes in ownership, directors, struc</w:t>
            </w:r>
            <w:r w:rsidR="00EF6585">
              <w:rPr>
                <w:rFonts w:eastAsia="Calibri" w:cs="Arial"/>
                <w:sz w:val="14"/>
                <w:szCs w:val="14"/>
                <w:lang w:eastAsia="en-US"/>
              </w:rPr>
              <w:t>ture or financial circumstances</w:t>
            </w:r>
          </w:p>
        </w:tc>
        <w:tc>
          <w:tcPr>
            <w:tcW w:w="1365" w:type="dxa"/>
            <w:shd w:val="clear" w:color="auto" w:fill="FFC9C9"/>
            <w:tcMar>
              <w:top w:w="80" w:type="dxa"/>
              <w:left w:w="80" w:type="dxa"/>
              <w:bottom w:w="80" w:type="dxa"/>
              <w:right w:w="80" w:type="dxa"/>
            </w:tcMar>
          </w:tcPr>
          <w:p w14:paraId="2F09F0C8"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B66E9C5"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789C5AC" w14:textId="4A6DCA73" w:rsidR="007A1B12" w:rsidRPr="007A1B12" w:rsidRDefault="007A1B12" w:rsidP="00B53A65">
            <w:pPr>
              <w:spacing w:after="60"/>
              <w:rPr>
                <w:rFonts w:eastAsia="Calibri" w:cs="Arial"/>
                <w:sz w:val="14"/>
                <w:szCs w:val="14"/>
                <w:lang w:eastAsia="en-US"/>
              </w:rPr>
            </w:pPr>
            <w:r w:rsidRPr="007A1B12">
              <w:rPr>
                <w:rFonts w:eastAsia="Calibri" w:cs="Arial"/>
                <w:sz w:val="14"/>
                <w:szCs w:val="14"/>
                <w:lang w:eastAsia="en-US"/>
              </w:rPr>
              <w:t xml:space="preserve">Licensee must notify Comcare in writing immediately when it becomes aware of any changes to its legal </w:t>
            </w:r>
            <w:r w:rsidR="00EF6585">
              <w:rPr>
                <w:rFonts w:eastAsia="Calibri" w:cs="Arial"/>
                <w:sz w:val="14"/>
                <w:szCs w:val="14"/>
                <w:lang w:eastAsia="en-US"/>
              </w:rPr>
              <w:t>structure, ownership or control</w:t>
            </w:r>
          </w:p>
        </w:tc>
        <w:tc>
          <w:tcPr>
            <w:tcW w:w="1365" w:type="dxa"/>
            <w:shd w:val="clear" w:color="auto" w:fill="FFC9C9"/>
            <w:tcMar>
              <w:top w:w="80" w:type="dxa"/>
              <w:left w:w="80" w:type="dxa"/>
              <w:bottom w:w="80" w:type="dxa"/>
              <w:right w:w="80" w:type="dxa"/>
            </w:tcMar>
          </w:tcPr>
          <w:p w14:paraId="6B711D2A"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r>
      <w:tr w:rsidR="007A1B12" w:rsidRPr="007A1B12" w14:paraId="4A2910ED" w14:textId="77777777" w:rsidTr="00B2173F">
        <w:tc>
          <w:tcPr>
            <w:tcW w:w="1365" w:type="dxa"/>
            <w:tcMar>
              <w:top w:w="80" w:type="dxa"/>
              <w:left w:w="80" w:type="dxa"/>
              <w:bottom w:w="80" w:type="dxa"/>
              <w:right w:w="80" w:type="dxa"/>
            </w:tcMar>
          </w:tcPr>
          <w:p w14:paraId="4F0E4987"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Changes to key personnel responsible for OHS or injury management</w:t>
            </w:r>
          </w:p>
        </w:tc>
        <w:tc>
          <w:tcPr>
            <w:tcW w:w="1365" w:type="dxa"/>
            <w:tcMar>
              <w:top w:w="80" w:type="dxa"/>
              <w:left w:w="80" w:type="dxa"/>
              <w:bottom w:w="80" w:type="dxa"/>
              <w:right w:w="80" w:type="dxa"/>
            </w:tcMar>
          </w:tcPr>
          <w:p w14:paraId="7227A39F" w14:textId="04A5F58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Notify within 10 business days of any change or vacancy in the senior management position </w:t>
            </w:r>
            <w:r w:rsidRPr="007A1B12">
              <w:rPr>
                <w:rFonts w:eastAsia="Calibri" w:cs="Arial"/>
                <w:sz w:val="14"/>
                <w:szCs w:val="14"/>
                <w:lang w:eastAsia="en-US"/>
              </w:rPr>
              <w:lastRenderedPageBreak/>
              <w:t>responsible for claims or injury management or the senior management position with overall responsib</w:t>
            </w:r>
            <w:r w:rsidR="00EF6585">
              <w:rPr>
                <w:rFonts w:eastAsia="Calibri" w:cs="Arial"/>
                <w:sz w:val="14"/>
                <w:szCs w:val="14"/>
                <w:lang w:eastAsia="en-US"/>
              </w:rPr>
              <w:t>ility for workers’ compensation</w:t>
            </w:r>
          </w:p>
        </w:tc>
        <w:tc>
          <w:tcPr>
            <w:tcW w:w="1365" w:type="dxa"/>
            <w:tcMar>
              <w:top w:w="80" w:type="dxa"/>
              <w:left w:w="80" w:type="dxa"/>
              <w:bottom w:w="80" w:type="dxa"/>
              <w:right w:w="80" w:type="dxa"/>
            </w:tcMar>
          </w:tcPr>
          <w:p w14:paraId="75BCF3F5"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w:t>
            </w:r>
          </w:p>
        </w:tc>
        <w:tc>
          <w:tcPr>
            <w:tcW w:w="1365" w:type="dxa"/>
            <w:tcMar>
              <w:top w:w="80" w:type="dxa"/>
              <w:left w:w="80" w:type="dxa"/>
              <w:bottom w:w="80" w:type="dxa"/>
              <w:right w:w="80" w:type="dxa"/>
            </w:tcMar>
          </w:tcPr>
          <w:p w14:paraId="6CE7FF1A" w14:textId="3F1BEF0A"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Any intention to change the manner in which any claims are administered or the manner in which the rehabilitati</w:t>
            </w:r>
            <w:r w:rsidR="00EF6585">
              <w:rPr>
                <w:rFonts w:eastAsia="Calibri" w:cs="Arial"/>
                <w:sz w:val="14"/>
                <w:szCs w:val="14"/>
                <w:lang w:eastAsia="en-US"/>
              </w:rPr>
              <w:t xml:space="preserve">on of </w:t>
            </w:r>
            <w:r w:rsidR="00EF6585">
              <w:rPr>
                <w:rFonts w:eastAsia="Calibri" w:cs="Arial"/>
                <w:sz w:val="14"/>
                <w:szCs w:val="14"/>
                <w:lang w:eastAsia="en-US"/>
              </w:rPr>
              <w:lastRenderedPageBreak/>
              <w:t>workers is managed</w:t>
            </w:r>
          </w:p>
        </w:tc>
        <w:tc>
          <w:tcPr>
            <w:tcW w:w="1365" w:type="dxa"/>
            <w:tcMar>
              <w:top w:w="80" w:type="dxa"/>
              <w:left w:w="80" w:type="dxa"/>
              <w:bottom w:w="80" w:type="dxa"/>
              <w:right w:w="80" w:type="dxa"/>
            </w:tcMar>
          </w:tcPr>
          <w:p w14:paraId="1B328774" w14:textId="09F7708C"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 xml:space="preserve">Report one month prior to the commencement of any arrangement resulting in change in a self-insurer’s outsourcing </w:t>
            </w:r>
            <w:r w:rsidRPr="007A1B12">
              <w:rPr>
                <w:rFonts w:eastAsia="Calibri" w:cs="Arial"/>
                <w:sz w:val="14"/>
                <w:szCs w:val="14"/>
                <w:lang w:eastAsia="en-US"/>
              </w:rPr>
              <w:lastRenderedPageBreak/>
              <w:t>a</w:t>
            </w:r>
            <w:r w:rsidR="00EF6585">
              <w:rPr>
                <w:rFonts w:eastAsia="Calibri" w:cs="Arial"/>
                <w:sz w:val="14"/>
                <w:szCs w:val="14"/>
                <w:lang w:eastAsia="en-US"/>
              </w:rPr>
              <w:t>rrangement of claims management</w:t>
            </w:r>
          </w:p>
        </w:tc>
        <w:tc>
          <w:tcPr>
            <w:tcW w:w="1365" w:type="dxa"/>
            <w:tcMar>
              <w:top w:w="80" w:type="dxa"/>
              <w:left w:w="80" w:type="dxa"/>
              <w:bottom w:w="80" w:type="dxa"/>
              <w:right w:w="80" w:type="dxa"/>
            </w:tcMar>
          </w:tcPr>
          <w:p w14:paraId="7C831C1E" w14:textId="69084FBD"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Changes of personnel should be reported to ReturnToWorkSA once they are</w:t>
            </w:r>
            <w:r w:rsidR="006C5923">
              <w:rPr>
                <w:rFonts w:eastAsia="Calibri" w:cs="Arial"/>
                <w:sz w:val="14"/>
                <w:szCs w:val="14"/>
                <w:lang w:eastAsia="en-US"/>
              </w:rPr>
              <w:t xml:space="preserve"> known as r</w:t>
            </w:r>
            <w:r w:rsidR="00EF6585">
              <w:rPr>
                <w:rFonts w:eastAsia="Calibri" w:cs="Arial"/>
                <w:sz w:val="14"/>
                <w:szCs w:val="14"/>
                <w:lang w:eastAsia="en-US"/>
              </w:rPr>
              <w:t xml:space="preserve">equired </w:t>
            </w:r>
            <w:r w:rsidR="00EF6585">
              <w:rPr>
                <w:rFonts w:eastAsia="Calibri" w:cs="Arial"/>
                <w:sz w:val="14"/>
                <w:szCs w:val="14"/>
                <w:lang w:eastAsia="en-US"/>
              </w:rPr>
              <w:lastRenderedPageBreak/>
              <w:t>by the Code</w:t>
            </w:r>
          </w:p>
        </w:tc>
        <w:tc>
          <w:tcPr>
            <w:tcW w:w="1365" w:type="dxa"/>
            <w:tcMar>
              <w:top w:w="80" w:type="dxa"/>
              <w:left w:w="80" w:type="dxa"/>
              <w:bottom w:w="80" w:type="dxa"/>
              <w:right w:w="80" w:type="dxa"/>
            </w:tcMar>
          </w:tcPr>
          <w:p w14:paraId="4CDAA6D4"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w:t>
            </w:r>
          </w:p>
        </w:tc>
        <w:tc>
          <w:tcPr>
            <w:tcW w:w="1365" w:type="dxa"/>
            <w:tcMar>
              <w:top w:w="80" w:type="dxa"/>
              <w:left w:w="80" w:type="dxa"/>
              <w:bottom w:w="80" w:type="dxa"/>
              <w:right w:w="80" w:type="dxa"/>
            </w:tcMar>
          </w:tcPr>
          <w:p w14:paraId="7B3EFDA3"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3A954243"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0B1BDB7C"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46BFE10A"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r>
      <w:tr w:rsidR="007A1B12" w:rsidRPr="007A1B12" w14:paraId="485111C9" w14:textId="77777777" w:rsidTr="00B2173F">
        <w:tc>
          <w:tcPr>
            <w:tcW w:w="1365" w:type="dxa"/>
            <w:shd w:val="clear" w:color="auto" w:fill="FFC9C9"/>
            <w:tcMar>
              <w:top w:w="80" w:type="dxa"/>
              <w:left w:w="80" w:type="dxa"/>
              <w:bottom w:w="80" w:type="dxa"/>
              <w:right w:w="80" w:type="dxa"/>
            </w:tcMar>
          </w:tcPr>
          <w:p w14:paraId="247B3B33"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Breaches or failures to comply with licence conditions or changes likely to result in same</w:t>
            </w:r>
          </w:p>
        </w:tc>
        <w:tc>
          <w:tcPr>
            <w:tcW w:w="1365" w:type="dxa"/>
            <w:shd w:val="clear" w:color="auto" w:fill="FFC9C9"/>
            <w:tcMar>
              <w:top w:w="80" w:type="dxa"/>
              <w:left w:w="80" w:type="dxa"/>
              <w:bottom w:w="80" w:type="dxa"/>
              <w:right w:w="80" w:type="dxa"/>
            </w:tcMar>
          </w:tcPr>
          <w:p w14:paraId="269AEAF8"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03504F6" w14:textId="712D4DFD"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A self-insurer must immediately notify WorkSafe Victoria if they are unable to pay any debts as and when they fall due or they become aware of any event that may prevent them from meeting any other requirement for approval and operation as self-insurer in accordance with (i) the Act or the regulations; or (ii) any terms or conditions of its approval as a self-insurer; or (iii) a Ministerial Order; or </w:t>
            </w:r>
            <w:r w:rsidRPr="007A1B12">
              <w:rPr>
                <w:rFonts w:eastAsia="Calibri" w:cs="Arial"/>
                <w:sz w:val="14"/>
                <w:szCs w:val="14"/>
                <w:lang w:eastAsia="en-US"/>
              </w:rPr>
              <w:br/>
              <w:t>(iv) any other subordinate instrument ma</w:t>
            </w:r>
            <w:r w:rsidR="00EF6585">
              <w:rPr>
                <w:rFonts w:eastAsia="Calibri" w:cs="Arial"/>
                <w:sz w:val="14"/>
                <w:szCs w:val="14"/>
                <w:lang w:eastAsia="en-US"/>
              </w:rPr>
              <w:t>de under the Act or regulations</w:t>
            </w:r>
          </w:p>
        </w:tc>
        <w:tc>
          <w:tcPr>
            <w:tcW w:w="1365" w:type="dxa"/>
            <w:shd w:val="clear" w:color="auto" w:fill="FFC9C9"/>
            <w:tcMar>
              <w:top w:w="80" w:type="dxa"/>
              <w:left w:w="80" w:type="dxa"/>
              <w:bottom w:w="80" w:type="dxa"/>
              <w:right w:w="80" w:type="dxa"/>
            </w:tcMar>
          </w:tcPr>
          <w:p w14:paraId="2D0C152E" w14:textId="7DD11328"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Report within five business days of the proposed change: any event that could reasonably be expected to materially impact on the licensee’s financial viability or ability to </w:t>
            </w:r>
            <w:r w:rsidR="00EF6585">
              <w:rPr>
                <w:rFonts w:eastAsia="Calibri" w:cs="Arial"/>
                <w:sz w:val="14"/>
                <w:szCs w:val="14"/>
                <w:lang w:eastAsia="en-US"/>
              </w:rPr>
              <w:t>meet its liabilities for claims</w:t>
            </w:r>
          </w:p>
        </w:tc>
        <w:tc>
          <w:tcPr>
            <w:tcW w:w="1365" w:type="dxa"/>
            <w:shd w:val="clear" w:color="auto" w:fill="FFC9C9"/>
            <w:tcMar>
              <w:top w:w="80" w:type="dxa"/>
              <w:left w:w="80" w:type="dxa"/>
              <w:bottom w:w="80" w:type="dxa"/>
              <w:right w:w="80" w:type="dxa"/>
            </w:tcMar>
          </w:tcPr>
          <w:p w14:paraId="439547F3"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50F5FEA2" w14:textId="75760893"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Immediately report any changes of the self-insurer that would impact </w:t>
            </w:r>
            <w:r w:rsidR="00EF6585">
              <w:rPr>
                <w:rFonts w:eastAsia="Calibri" w:cs="Arial"/>
                <w:sz w:val="14"/>
                <w:szCs w:val="14"/>
                <w:lang w:eastAsia="en-US"/>
              </w:rPr>
              <w:t>the self-insurance registration</w:t>
            </w:r>
          </w:p>
        </w:tc>
        <w:tc>
          <w:tcPr>
            <w:tcW w:w="1365" w:type="dxa"/>
            <w:shd w:val="clear" w:color="auto" w:fill="FFC9C9"/>
            <w:tcMar>
              <w:top w:w="80" w:type="dxa"/>
              <w:left w:w="80" w:type="dxa"/>
              <w:bottom w:w="80" w:type="dxa"/>
              <w:right w:w="80" w:type="dxa"/>
            </w:tcMar>
          </w:tcPr>
          <w:p w14:paraId="08366007"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90E917C"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EF00A94" w14:textId="33E3ADEA"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Immediately report any changes of the self-insurer that would im</w:t>
            </w:r>
            <w:r w:rsidR="00EF6585">
              <w:rPr>
                <w:rFonts w:eastAsia="Calibri" w:cs="Arial"/>
                <w:sz w:val="14"/>
                <w:szCs w:val="14"/>
                <w:lang w:eastAsia="en-US"/>
              </w:rPr>
              <w:t>pact the self-insurance licence</w:t>
            </w:r>
          </w:p>
        </w:tc>
        <w:tc>
          <w:tcPr>
            <w:tcW w:w="1365" w:type="dxa"/>
            <w:shd w:val="clear" w:color="auto" w:fill="FFC9C9"/>
            <w:tcMar>
              <w:top w:w="80" w:type="dxa"/>
              <w:left w:w="80" w:type="dxa"/>
              <w:bottom w:w="80" w:type="dxa"/>
              <w:right w:w="80" w:type="dxa"/>
            </w:tcMar>
          </w:tcPr>
          <w:p w14:paraId="49D2A303"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Licensee must notify Comcare in writing immediately when it becomes aware that it has not complied with, or is not likely to comply with, a condition of licence.</w:t>
            </w:r>
          </w:p>
          <w:p w14:paraId="30C47C5D" w14:textId="000F4A89"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Licensee must notify Comcare in writing immediately when it becomes aware of any event that may materially impact upon its suitability to hold a licence, including its capacity to meet its liabilities under the SRC Act or of any material c</w:t>
            </w:r>
            <w:r w:rsidR="00EF6585">
              <w:rPr>
                <w:rFonts w:eastAsia="Calibri" w:cs="Arial"/>
                <w:sz w:val="14"/>
                <w:szCs w:val="14"/>
                <w:lang w:eastAsia="en-US"/>
              </w:rPr>
              <w:t>hange in its financial position</w:t>
            </w:r>
          </w:p>
        </w:tc>
        <w:tc>
          <w:tcPr>
            <w:tcW w:w="1365" w:type="dxa"/>
            <w:shd w:val="clear" w:color="auto" w:fill="FFC9C9"/>
            <w:tcMar>
              <w:top w:w="80" w:type="dxa"/>
              <w:left w:w="80" w:type="dxa"/>
              <w:bottom w:w="80" w:type="dxa"/>
              <w:right w:w="80" w:type="dxa"/>
            </w:tcMar>
          </w:tcPr>
          <w:p w14:paraId="7CE3C031"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r>
      <w:tr w:rsidR="007A1B12" w:rsidRPr="007A1B12" w14:paraId="2F5CA9E2" w14:textId="77777777" w:rsidTr="00B2173F">
        <w:tc>
          <w:tcPr>
            <w:tcW w:w="1365" w:type="dxa"/>
            <w:tcMar>
              <w:top w:w="80" w:type="dxa"/>
              <w:left w:w="80" w:type="dxa"/>
              <w:bottom w:w="80" w:type="dxa"/>
              <w:right w:w="80" w:type="dxa"/>
            </w:tcMar>
          </w:tcPr>
          <w:p w14:paraId="69241AC4"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 xml:space="preserve">Changes to predominant industry/ employee numbers / risk </w:t>
            </w:r>
            <w:r w:rsidRPr="007A1B12">
              <w:rPr>
                <w:rFonts w:eastAsia="Calibri" w:cs="Arial"/>
                <w:b/>
                <w:sz w:val="16"/>
                <w:szCs w:val="16"/>
                <w:lang w:eastAsia="en-US"/>
              </w:rPr>
              <w:lastRenderedPageBreak/>
              <w:t>profile of work</w:t>
            </w:r>
          </w:p>
        </w:tc>
        <w:tc>
          <w:tcPr>
            <w:tcW w:w="1365" w:type="dxa"/>
            <w:tcMar>
              <w:top w:w="80" w:type="dxa"/>
              <w:left w:w="80" w:type="dxa"/>
              <w:bottom w:w="80" w:type="dxa"/>
              <w:right w:w="80" w:type="dxa"/>
            </w:tcMar>
          </w:tcPr>
          <w:p w14:paraId="2923CDBC"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w:t>
            </w:r>
          </w:p>
        </w:tc>
        <w:tc>
          <w:tcPr>
            <w:tcW w:w="1365" w:type="dxa"/>
            <w:tcMar>
              <w:top w:w="80" w:type="dxa"/>
              <w:left w:w="80" w:type="dxa"/>
              <w:bottom w:w="80" w:type="dxa"/>
              <w:right w:w="80" w:type="dxa"/>
            </w:tcMar>
          </w:tcPr>
          <w:p w14:paraId="5D987ACA"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3DAB7AE3" w14:textId="2C4A95A6"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Report within five business days of the proposed change: any event that could reasonably be </w:t>
            </w:r>
            <w:r w:rsidRPr="007A1B12">
              <w:rPr>
                <w:rFonts w:eastAsia="Calibri" w:cs="Arial"/>
                <w:sz w:val="14"/>
                <w:szCs w:val="14"/>
                <w:lang w:eastAsia="en-US"/>
              </w:rPr>
              <w:lastRenderedPageBreak/>
              <w:t>expected to materially impact on the number of fulltime workers employed in Queensland by the licensee; Any proposed changes to personnel responsible for managing and deci</w:t>
            </w:r>
            <w:r w:rsidR="00EF6585">
              <w:rPr>
                <w:rFonts w:eastAsia="Calibri" w:cs="Arial"/>
                <w:sz w:val="14"/>
                <w:szCs w:val="14"/>
                <w:lang w:eastAsia="en-US"/>
              </w:rPr>
              <w:t>ding claims</w:t>
            </w:r>
          </w:p>
        </w:tc>
        <w:tc>
          <w:tcPr>
            <w:tcW w:w="1365" w:type="dxa"/>
            <w:tcMar>
              <w:top w:w="80" w:type="dxa"/>
              <w:left w:w="80" w:type="dxa"/>
              <w:bottom w:w="80" w:type="dxa"/>
              <w:right w:w="80" w:type="dxa"/>
            </w:tcMar>
          </w:tcPr>
          <w:p w14:paraId="769638B1"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w:t>
            </w:r>
          </w:p>
        </w:tc>
        <w:tc>
          <w:tcPr>
            <w:tcW w:w="1365" w:type="dxa"/>
            <w:tcMar>
              <w:top w:w="80" w:type="dxa"/>
              <w:left w:w="80" w:type="dxa"/>
              <w:bottom w:w="80" w:type="dxa"/>
              <w:right w:w="80" w:type="dxa"/>
            </w:tcMar>
          </w:tcPr>
          <w:p w14:paraId="7C09E385" w14:textId="0A5B352C"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Self-insurer must notify ReturnToWorkSA immediately when it becomes aware of any significant </w:t>
            </w:r>
            <w:r w:rsidRPr="007A1B12">
              <w:rPr>
                <w:rFonts w:eastAsia="Calibri" w:cs="Arial"/>
                <w:sz w:val="14"/>
                <w:szCs w:val="14"/>
                <w:lang w:eastAsia="en-US"/>
              </w:rPr>
              <w:lastRenderedPageBreak/>
              <w:t xml:space="preserve">change in its employee numbers or significant change in the risk profile </w:t>
            </w:r>
            <w:r w:rsidR="00EF6585">
              <w:rPr>
                <w:rFonts w:eastAsia="Calibri" w:cs="Arial"/>
                <w:sz w:val="14"/>
                <w:szCs w:val="14"/>
                <w:lang w:eastAsia="en-US"/>
              </w:rPr>
              <w:t>or operations of its employment</w:t>
            </w:r>
          </w:p>
          <w:p w14:paraId="226A6406" w14:textId="2A0B0418"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Self-insurer must notify ReturnToWorkSA</w:t>
            </w:r>
            <w:r w:rsidR="00DD0D68">
              <w:rPr>
                <w:rFonts w:eastAsia="Calibri" w:cs="Arial"/>
                <w:sz w:val="14"/>
                <w:szCs w:val="14"/>
                <w:lang w:eastAsia="en-US"/>
              </w:rPr>
              <w:t xml:space="preserve"> </w:t>
            </w:r>
            <w:r w:rsidRPr="007A1B12">
              <w:rPr>
                <w:rFonts w:eastAsia="Calibri" w:cs="Arial"/>
                <w:sz w:val="14"/>
                <w:szCs w:val="14"/>
                <w:lang w:eastAsia="en-US"/>
              </w:rPr>
              <w:t>in writing immediately of any group structure changes in</w:t>
            </w:r>
            <w:r w:rsidR="00EF6585">
              <w:rPr>
                <w:rFonts w:eastAsia="Calibri" w:cs="Arial"/>
                <w:sz w:val="14"/>
                <w:szCs w:val="14"/>
                <w:lang w:eastAsia="en-US"/>
              </w:rPr>
              <w:t>cluding acquisitions, sales etc</w:t>
            </w:r>
          </w:p>
        </w:tc>
        <w:tc>
          <w:tcPr>
            <w:tcW w:w="1365" w:type="dxa"/>
            <w:tcMar>
              <w:top w:w="80" w:type="dxa"/>
              <w:left w:w="80" w:type="dxa"/>
              <w:bottom w:w="80" w:type="dxa"/>
              <w:right w:w="80" w:type="dxa"/>
            </w:tcMar>
          </w:tcPr>
          <w:p w14:paraId="668BF3A6"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w:t>
            </w:r>
          </w:p>
        </w:tc>
        <w:tc>
          <w:tcPr>
            <w:tcW w:w="1365" w:type="dxa"/>
            <w:tcMar>
              <w:top w:w="80" w:type="dxa"/>
              <w:left w:w="80" w:type="dxa"/>
              <w:bottom w:w="80" w:type="dxa"/>
              <w:right w:w="80" w:type="dxa"/>
            </w:tcMar>
          </w:tcPr>
          <w:p w14:paraId="220F0D5C"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36804509"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1E5301A"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Licensee must notify Comcare in writing immediately when it becomes aware of any significant change </w:t>
            </w:r>
            <w:r w:rsidRPr="007A1B12">
              <w:rPr>
                <w:rFonts w:eastAsia="Calibri" w:cs="Arial"/>
                <w:sz w:val="14"/>
                <w:szCs w:val="14"/>
                <w:lang w:eastAsia="en-US"/>
              </w:rPr>
              <w:lastRenderedPageBreak/>
              <w:t>in its employee numbers or significant change in the risk profile of the work undertaken by its employees.</w:t>
            </w:r>
          </w:p>
          <w:p w14:paraId="00733A61"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Licensee must notify Comcare in writing immediately when it acquires another company and intends on transferring the employees of that company to the licensed company, or merges with another company and intends on transferring the employees of that company to the licensed company.</w:t>
            </w:r>
          </w:p>
        </w:tc>
        <w:tc>
          <w:tcPr>
            <w:tcW w:w="1365" w:type="dxa"/>
            <w:tcMar>
              <w:top w:w="80" w:type="dxa"/>
              <w:left w:w="80" w:type="dxa"/>
              <w:bottom w:w="80" w:type="dxa"/>
              <w:right w:w="80" w:type="dxa"/>
            </w:tcMar>
          </w:tcPr>
          <w:p w14:paraId="5F934220"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w:t>
            </w:r>
          </w:p>
        </w:tc>
      </w:tr>
      <w:tr w:rsidR="007A1B12" w:rsidRPr="007A1B12" w14:paraId="181C8609" w14:textId="77777777" w:rsidTr="00B2173F">
        <w:tc>
          <w:tcPr>
            <w:tcW w:w="1365" w:type="dxa"/>
            <w:shd w:val="clear" w:color="auto" w:fill="FFC9C9"/>
            <w:tcMar>
              <w:top w:w="80" w:type="dxa"/>
              <w:left w:w="80" w:type="dxa"/>
              <w:bottom w:w="80" w:type="dxa"/>
              <w:right w:w="80" w:type="dxa"/>
            </w:tcMar>
          </w:tcPr>
          <w:p w14:paraId="10EE0365"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Other</w:t>
            </w:r>
          </w:p>
        </w:tc>
        <w:tc>
          <w:tcPr>
            <w:tcW w:w="1365" w:type="dxa"/>
            <w:shd w:val="clear" w:color="auto" w:fill="FFC9C9"/>
            <w:tcMar>
              <w:top w:w="80" w:type="dxa"/>
              <w:left w:w="80" w:type="dxa"/>
              <w:bottom w:w="80" w:type="dxa"/>
              <w:right w:w="80" w:type="dxa"/>
            </w:tcMar>
          </w:tcPr>
          <w:p w14:paraId="1604E753"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552B2661" w14:textId="106C293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Notify WorkSafe Victoria within 28 days of wholly acquiring a scheme-insured or self-insured employer of its election to assume the tail claims liability of the entity that ha</w:t>
            </w:r>
            <w:r w:rsidR="00EF6585">
              <w:rPr>
                <w:rFonts w:eastAsia="Calibri" w:cs="Arial"/>
                <w:sz w:val="14"/>
                <w:szCs w:val="14"/>
                <w:lang w:eastAsia="en-US"/>
              </w:rPr>
              <w:t>s been acquired</w:t>
            </w:r>
          </w:p>
        </w:tc>
        <w:tc>
          <w:tcPr>
            <w:tcW w:w="1365" w:type="dxa"/>
            <w:shd w:val="clear" w:color="auto" w:fill="FFC9C9"/>
            <w:tcMar>
              <w:top w:w="80" w:type="dxa"/>
              <w:left w:w="80" w:type="dxa"/>
              <w:bottom w:w="80" w:type="dxa"/>
              <w:right w:w="80" w:type="dxa"/>
            </w:tcMar>
          </w:tcPr>
          <w:p w14:paraId="736C3F29"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1AC005A0"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53A49D2C"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6D2E76DA"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A92692E"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4DD9D769"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7F0B49C3" w14:textId="7E87FE74" w:rsidR="00EF6585" w:rsidRDefault="007A1B12" w:rsidP="00292A53">
            <w:pPr>
              <w:spacing w:after="60"/>
              <w:rPr>
                <w:rFonts w:eastAsia="Calibri" w:cs="Arial"/>
                <w:sz w:val="14"/>
                <w:szCs w:val="14"/>
                <w:lang w:eastAsia="en-US"/>
              </w:rPr>
            </w:pPr>
            <w:r w:rsidRPr="007A1B12">
              <w:rPr>
                <w:rFonts w:eastAsia="Calibri" w:cs="Arial"/>
                <w:sz w:val="14"/>
                <w:szCs w:val="14"/>
                <w:lang w:eastAsia="en-US"/>
              </w:rPr>
              <w:t>Licensees must inform Comcare as soon as practicable of court or tribunal proceedings in relation to a claim managed b</w:t>
            </w:r>
            <w:r w:rsidR="00EF6585">
              <w:rPr>
                <w:rFonts w:eastAsia="Calibri" w:cs="Arial"/>
                <w:sz w:val="14"/>
                <w:szCs w:val="14"/>
                <w:lang w:eastAsia="en-US"/>
              </w:rPr>
              <w:t>y a licensee under the SRC Act</w:t>
            </w:r>
          </w:p>
          <w:p w14:paraId="3929BED9" w14:textId="6F19B9C5"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The licensee must not make any submission to a court or tribunal in relation to the interpretation of a provision of the SRC Act that Comcare or the Commission re</w:t>
            </w:r>
            <w:r w:rsidR="00EF6585">
              <w:rPr>
                <w:rFonts w:eastAsia="Calibri" w:cs="Arial"/>
                <w:sz w:val="14"/>
                <w:szCs w:val="14"/>
                <w:lang w:eastAsia="en-US"/>
              </w:rPr>
              <w:t xml:space="preserve">quests the </w:t>
            </w:r>
            <w:r w:rsidR="00EF6585">
              <w:rPr>
                <w:rFonts w:eastAsia="Calibri" w:cs="Arial"/>
                <w:sz w:val="14"/>
                <w:szCs w:val="14"/>
                <w:lang w:eastAsia="en-US"/>
              </w:rPr>
              <w:lastRenderedPageBreak/>
              <w:t>licensee not to make</w:t>
            </w:r>
          </w:p>
          <w:p w14:paraId="118B4D4C" w14:textId="2075DC8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The licence requires licensees to report certain workers’ compensation and other data to Comcare on a regular basis</w:t>
            </w:r>
          </w:p>
        </w:tc>
        <w:tc>
          <w:tcPr>
            <w:tcW w:w="1365" w:type="dxa"/>
            <w:shd w:val="clear" w:color="auto" w:fill="FFC9C9"/>
            <w:tcMar>
              <w:top w:w="80" w:type="dxa"/>
              <w:left w:w="80" w:type="dxa"/>
              <w:bottom w:w="80" w:type="dxa"/>
              <w:right w:w="80" w:type="dxa"/>
            </w:tcMar>
          </w:tcPr>
          <w:p w14:paraId="28211482"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lastRenderedPageBreak/>
              <w:t>—</w:t>
            </w:r>
          </w:p>
        </w:tc>
      </w:tr>
      <w:bookmarkEnd w:id="219"/>
      <w:bookmarkEnd w:id="220"/>
    </w:tbl>
    <w:p w14:paraId="194ED3B3" w14:textId="77777777" w:rsidR="00C66972" w:rsidRPr="00C66972" w:rsidRDefault="00C66972" w:rsidP="00C66972">
      <w:pPr>
        <w:spacing w:after="200" w:line="276" w:lineRule="auto"/>
        <w:rPr>
          <w:rFonts w:eastAsiaTheme="minorHAnsi"/>
        </w:rPr>
      </w:pPr>
    </w:p>
    <w:p w14:paraId="559CED6E" w14:textId="12937029" w:rsidR="00CA78F5" w:rsidRPr="00205CCE" w:rsidRDefault="00CA78F5" w:rsidP="00205CCE">
      <w:pPr>
        <w:pStyle w:val="SWATableheader"/>
      </w:pPr>
      <w:bookmarkStart w:id="221" w:name="_Toc504654713"/>
      <w:r w:rsidRPr="00205CCE">
        <w:lastRenderedPageBreak/>
        <w:t>Table 6.10: Requirements for surrendering a self-insurance licence and penalties for exiting the scheme</w:t>
      </w:r>
      <w:bookmarkEnd w:id="221"/>
      <w:r w:rsidR="00306D40" w:rsidRPr="00205CCE">
        <w:fldChar w:fldCharType="begin"/>
      </w:r>
      <w:r w:rsidR="00306D40" w:rsidRPr="00205CCE">
        <w:instrText xml:space="preserve"> XE "levies:licence surrender and penalties for exiting (self-insurance)" \r "licences1" </w:instrText>
      </w:r>
      <w:r w:rsidR="00306D40" w:rsidRPr="00205CCE">
        <w:fldChar w:fldCharType="end"/>
      </w:r>
      <w:r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10: Requirements for surrendering a self-insurance licence and penalties for exiting the scheme "/>
        <w:tblDescription w:val="This table provides information about requirements for surrending a self-insurance licence and penalties for exiting the scheme. "/>
      </w:tblPr>
      <w:tblGrid>
        <w:gridCol w:w="1343"/>
        <w:gridCol w:w="6836"/>
        <w:gridCol w:w="6836"/>
      </w:tblGrid>
      <w:tr w:rsidR="00CA78F5" w:rsidRPr="00CA78F5" w14:paraId="2446E1BA" w14:textId="77777777" w:rsidTr="00B2173F">
        <w:trPr>
          <w:tblHeader/>
        </w:trPr>
        <w:tc>
          <w:tcPr>
            <w:tcW w:w="1343" w:type="dxa"/>
            <w:shd w:val="clear" w:color="auto" w:fill="C00000"/>
            <w:tcMar>
              <w:top w:w="0" w:type="dxa"/>
              <w:left w:w="0" w:type="dxa"/>
              <w:bottom w:w="0" w:type="dxa"/>
              <w:right w:w="0" w:type="dxa"/>
            </w:tcMar>
            <w:vAlign w:val="center"/>
          </w:tcPr>
          <w:p w14:paraId="004D6CDC" w14:textId="77777777" w:rsidR="00CA78F5" w:rsidRPr="00CA78F5" w:rsidRDefault="00CA78F5" w:rsidP="00292A53">
            <w:pPr>
              <w:pStyle w:val="Tableheaderrow"/>
              <w:spacing w:after="60"/>
            </w:pPr>
            <w:bookmarkStart w:id="222" w:name="licences1"/>
          </w:p>
        </w:tc>
        <w:tc>
          <w:tcPr>
            <w:tcW w:w="6836" w:type="dxa"/>
            <w:shd w:val="clear" w:color="auto" w:fill="C00000"/>
            <w:tcMar>
              <w:top w:w="0" w:type="dxa"/>
              <w:left w:w="0" w:type="dxa"/>
              <w:bottom w:w="0" w:type="dxa"/>
              <w:right w:w="0" w:type="dxa"/>
            </w:tcMar>
            <w:vAlign w:val="center"/>
          </w:tcPr>
          <w:p w14:paraId="3555D1E5" w14:textId="77777777" w:rsidR="00CA78F5" w:rsidRPr="00CA78F5" w:rsidRDefault="00CA78F5" w:rsidP="00292A53">
            <w:pPr>
              <w:pStyle w:val="Tableheaderrow"/>
              <w:spacing w:after="60"/>
            </w:pPr>
            <w:r w:rsidRPr="00CA78F5">
              <w:t>Requirements for surrendering a self-insurer licence</w:t>
            </w:r>
          </w:p>
        </w:tc>
        <w:tc>
          <w:tcPr>
            <w:tcW w:w="6836" w:type="dxa"/>
            <w:shd w:val="clear" w:color="auto" w:fill="C00000"/>
            <w:tcMar>
              <w:top w:w="0" w:type="dxa"/>
              <w:left w:w="0" w:type="dxa"/>
              <w:bottom w:w="0" w:type="dxa"/>
              <w:right w:w="0" w:type="dxa"/>
            </w:tcMar>
            <w:vAlign w:val="center"/>
          </w:tcPr>
          <w:p w14:paraId="38620AD8" w14:textId="77777777" w:rsidR="00CA78F5" w:rsidRPr="00CA78F5" w:rsidRDefault="00CA78F5" w:rsidP="00292A53">
            <w:pPr>
              <w:pStyle w:val="Tableheaderrow"/>
              <w:spacing w:after="60"/>
            </w:pPr>
            <w:r w:rsidRPr="00CA78F5">
              <w:t>Penalties for exiting the scheme (and/ or moving to Comcare scheme</w:t>
            </w:r>
          </w:p>
        </w:tc>
      </w:tr>
      <w:tr w:rsidR="00CA78F5" w:rsidRPr="00CA78F5" w14:paraId="033FB1DC" w14:textId="77777777" w:rsidTr="00B2173F">
        <w:tc>
          <w:tcPr>
            <w:tcW w:w="1343" w:type="dxa"/>
            <w:shd w:val="clear" w:color="auto" w:fill="FFC9C9"/>
            <w:tcMar>
              <w:top w:w="80" w:type="dxa"/>
              <w:left w:w="80" w:type="dxa"/>
              <w:bottom w:w="80" w:type="dxa"/>
              <w:right w:w="80" w:type="dxa"/>
            </w:tcMar>
          </w:tcPr>
          <w:p w14:paraId="4E4E6D91"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31CE3B14" w14:textId="60C0D258" w:rsidR="008A55AB" w:rsidRPr="008A55AB" w:rsidRDefault="008A55AB" w:rsidP="00292A53">
            <w:pPr>
              <w:spacing w:after="60"/>
              <w:rPr>
                <w:rFonts w:cs="Arial"/>
                <w:color w:val="000000"/>
                <w:sz w:val="14"/>
                <w:szCs w:val="16"/>
                <w:lang w:val="en-GB"/>
              </w:rPr>
            </w:pPr>
            <w:r w:rsidRPr="008A55AB">
              <w:rPr>
                <w:rFonts w:cs="Arial"/>
                <w:color w:val="000000"/>
                <w:sz w:val="14"/>
                <w:szCs w:val="16"/>
                <w:lang w:val="en-GB"/>
              </w:rPr>
              <w:t>SIRA requires a</w:t>
            </w:r>
            <w:r w:rsidR="00FF0226">
              <w:rPr>
                <w:rFonts w:cs="Arial"/>
                <w:color w:val="000000"/>
                <w:sz w:val="14"/>
                <w:szCs w:val="16"/>
                <w:lang w:val="en-GB"/>
              </w:rPr>
              <w:t xml:space="preserve"> deed</w:t>
            </w:r>
            <w:r w:rsidRPr="008A55AB">
              <w:rPr>
                <w:rFonts w:cs="Arial"/>
                <w:color w:val="000000"/>
                <w:sz w:val="14"/>
                <w:szCs w:val="16"/>
                <w:lang w:val="en-GB"/>
              </w:rPr>
              <w:t xml:space="preserve"> from the self-insurer</w:t>
            </w:r>
            <w:r w:rsidR="00FF0226">
              <w:rPr>
                <w:rFonts w:cs="Arial"/>
                <w:color w:val="000000"/>
                <w:sz w:val="14"/>
                <w:szCs w:val="16"/>
                <w:lang w:val="en-GB"/>
              </w:rPr>
              <w:t xml:space="preserve"> undertaking</w:t>
            </w:r>
            <w:r w:rsidRPr="008A55AB">
              <w:rPr>
                <w:rFonts w:cs="Arial"/>
                <w:color w:val="000000"/>
                <w:sz w:val="14"/>
                <w:szCs w:val="16"/>
                <w:lang w:val="en-GB"/>
              </w:rPr>
              <w:t xml:space="preserve"> to comply with SIRA’s licensing policy requirements as outlined in policy item </w:t>
            </w:r>
            <w:r w:rsidR="00FF0226">
              <w:rPr>
                <w:rFonts w:cs="Arial"/>
                <w:color w:val="000000"/>
                <w:sz w:val="14"/>
                <w:szCs w:val="16"/>
                <w:lang w:val="en-GB"/>
              </w:rPr>
              <w:t>16.2 Claims run-off</w:t>
            </w:r>
            <w:r w:rsidRPr="008A55AB">
              <w:rPr>
                <w:rFonts w:cs="Arial"/>
                <w:color w:val="000000"/>
                <w:sz w:val="14"/>
                <w:szCs w:val="16"/>
                <w:lang w:val="en-GB"/>
              </w:rPr>
              <w:t xml:space="preserve"> which states:</w:t>
            </w:r>
          </w:p>
          <w:p w14:paraId="4FBD3B37" w14:textId="0E0C2CAA" w:rsidR="008A55AB" w:rsidRPr="008A55AB" w:rsidRDefault="00FF0226" w:rsidP="00F839DB">
            <w:pPr>
              <w:pStyle w:val="ListParagraph"/>
              <w:numPr>
                <w:ilvl w:val="0"/>
                <w:numId w:val="432"/>
              </w:numPr>
              <w:spacing w:after="60"/>
              <w:contextualSpacing/>
              <w:rPr>
                <w:rFonts w:eastAsia="Calibri" w:cs="Arial"/>
                <w:sz w:val="14"/>
                <w:szCs w:val="14"/>
                <w:lang w:eastAsia="en-US"/>
              </w:rPr>
            </w:pPr>
            <w:r>
              <w:rPr>
                <w:rFonts w:eastAsia="Calibri" w:cs="Arial"/>
                <w:sz w:val="14"/>
                <w:szCs w:val="14"/>
                <w:lang w:eastAsia="en-US"/>
              </w:rPr>
              <w:t xml:space="preserve">If </w:t>
            </w:r>
            <w:r w:rsidR="008A55AB" w:rsidRPr="008A55AB">
              <w:rPr>
                <w:rFonts w:eastAsia="Calibri" w:cs="Arial"/>
                <w:sz w:val="14"/>
                <w:szCs w:val="14"/>
                <w:lang w:eastAsia="en-US"/>
              </w:rPr>
              <w:t>a self-insurer no longer hold</w:t>
            </w:r>
            <w:r>
              <w:rPr>
                <w:rFonts w:eastAsia="Calibri" w:cs="Arial"/>
                <w:sz w:val="14"/>
                <w:szCs w:val="14"/>
                <w:lang w:eastAsia="en-US"/>
              </w:rPr>
              <w:t>s</w:t>
            </w:r>
            <w:r w:rsidR="008A55AB" w:rsidRPr="008A55AB">
              <w:rPr>
                <w:rFonts w:eastAsia="Calibri" w:cs="Arial"/>
                <w:sz w:val="14"/>
                <w:szCs w:val="14"/>
                <w:lang w:eastAsia="en-US"/>
              </w:rPr>
              <w:t xml:space="preserve"> a licence, it will still be held responsible for the management of the tail of claims incurred whilst licensed as a self-insurer, and </w:t>
            </w:r>
          </w:p>
          <w:p w14:paraId="29959BBA" w14:textId="704F3E61" w:rsidR="008A55AB" w:rsidRPr="008A55AB" w:rsidRDefault="00FF0226" w:rsidP="00F839DB">
            <w:pPr>
              <w:pStyle w:val="ListParagraph"/>
              <w:numPr>
                <w:ilvl w:val="0"/>
                <w:numId w:val="432"/>
              </w:numPr>
              <w:spacing w:after="60"/>
              <w:contextualSpacing/>
              <w:rPr>
                <w:rFonts w:eastAsia="Calibri" w:cs="Arial"/>
                <w:sz w:val="14"/>
                <w:szCs w:val="14"/>
                <w:lang w:eastAsia="en-US"/>
              </w:rPr>
            </w:pPr>
            <w:r>
              <w:rPr>
                <w:rFonts w:eastAsia="Calibri" w:cs="Arial"/>
                <w:sz w:val="14"/>
                <w:szCs w:val="14"/>
                <w:lang w:eastAsia="en-US"/>
              </w:rPr>
              <w:t>T</w:t>
            </w:r>
            <w:r w:rsidR="008A55AB" w:rsidRPr="008A55AB">
              <w:rPr>
                <w:rFonts w:eastAsia="Calibri" w:cs="Arial"/>
                <w:sz w:val="14"/>
                <w:szCs w:val="14"/>
                <w:lang w:eastAsia="en-US"/>
              </w:rPr>
              <w:t xml:space="preserve">he former licensee </w:t>
            </w:r>
            <w:r>
              <w:rPr>
                <w:rFonts w:eastAsia="Calibri" w:cs="Arial"/>
                <w:sz w:val="14"/>
                <w:szCs w:val="14"/>
                <w:lang w:eastAsia="en-US"/>
              </w:rPr>
              <w:t xml:space="preserve">remains responsible for the tail of claims and </w:t>
            </w:r>
            <w:r w:rsidR="008A55AB" w:rsidRPr="008A55AB">
              <w:rPr>
                <w:rFonts w:eastAsia="Calibri" w:cs="Arial"/>
                <w:sz w:val="14"/>
                <w:szCs w:val="14"/>
                <w:lang w:eastAsia="en-US"/>
              </w:rPr>
              <w:t xml:space="preserve">will be expected to manage and administer run off claims in a professional manner and continue to </w:t>
            </w:r>
            <w:r>
              <w:rPr>
                <w:rFonts w:eastAsia="Calibri" w:cs="Arial"/>
                <w:sz w:val="14"/>
                <w:szCs w:val="14"/>
                <w:lang w:eastAsia="en-US"/>
              </w:rPr>
              <w:t xml:space="preserve">provide </w:t>
            </w:r>
            <w:r w:rsidR="008A55AB" w:rsidRPr="008A55AB">
              <w:rPr>
                <w:rFonts w:eastAsia="Calibri" w:cs="Arial"/>
                <w:sz w:val="14"/>
                <w:szCs w:val="14"/>
                <w:lang w:eastAsia="en-US"/>
              </w:rPr>
              <w:t xml:space="preserve">claims data and other specified information to SIRA. </w:t>
            </w:r>
          </w:p>
          <w:p w14:paraId="6B83F3E0" w14:textId="07CDC2D9" w:rsidR="00CA78F5" w:rsidRPr="008A55AB" w:rsidRDefault="008A55AB" w:rsidP="00FF0226">
            <w:pPr>
              <w:spacing w:after="60"/>
              <w:rPr>
                <w:rFonts w:cs="Arial"/>
                <w:color w:val="000000"/>
                <w:sz w:val="14"/>
                <w:szCs w:val="14"/>
                <w:lang w:val="en-GB"/>
              </w:rPr>
            </w:pPr>
            <w:r w:rsidRPr="008A55AB">
              <w:rPr>
                <w:rFonts w:eastAsia="Calibri" w:cs="Arial"/>
                <w:sz w:val="14"/>
                <w:szCs w:val="14"/>
                <w:lang w:eastAsia="en-US"/>
              </w:rPr>
              <w:t>Security held</w:t>
            </w:r>
            <w:r w:rsidR="00FF0226">
              <w:rPr>
                <w:rFonts w:eastAsia="Calibri" w:cs="Arial"/>
                <w:sz w:val="14"/>
                <w:szCs w:val="14"/>
                <w:lang w:eastAsia="en-US"/>
              </w:rPr>
              <w:t xml:space="preserve"> or re-determined</w:t>
            </w:r>
            <w:r w:rsidRPr="008A55AB">
              <w:rPr>
                <w:rFonts w:eastAsia="Calibri" w:cs="Arial"/>
                <w:sz w:val="14"/>
                <w:szCs w:val="14"/>
                <w:lang w:eastAsia="en-US"/>
              </w:rPr>
              <w:t xml:space="preserve"> by SIRA </w:t>
            </w:r>
            <w:r w:rsidR="00FF0226">
              <w:rPr>
                <w:rFonts w:eastAsia="Calibri" w:cs="Arial"/>
                <w:sz w:val="14"/>
                <w:szCs w:val="14"/>
                <w:lang w:eastAsia="en-US"/>
              </w:rPr>
              <w:t xml:space="preserve">(including </w:t>
            </w:r>
            <w:r w:rsidRPr="008A55AB">
              <w:rPr>
                <w:rFonts w:eastAsia="Calibri" w:cs="Arial"/>
                <w:sz w:val="14"/>
                <w:szCs w:val="14"/>
                <w:lang w:eastAsia="en-US"/>
              </w:rPr>
              <w:t>guarantee arrangements</w:t>
            </w:r>
            <w:r w:rsidR="00FF0226">
              <w:rPr>
                <w:rFonts w:eastAsia="Calibri" w:cs="Arial"/>
                <w:sz w:val="14"/>
                <w:szCs w:val="14"/>
                <w:lang w:eastAsia="en-US"/>
              </w:rPr>
              <w:t>)</w:t>
            </w:r>
            <w:r w:rsidRPr="008A55AB">
              <w:rPr>
                <w:rFonts w:eastAsia="Calibri" w:cs="Arial"/>
                <w:sz w:val="14"/>
                <w:szCs w:val="14"/>
                <w:lang w:eastAsia="en-US"/>
              </w:rPr>
              <w:t xml:space="preserve"> will remain in force until SIRA is satisfied that all claims have been discharged or adequately provided for pursuant to </w:t>
            </w:r>
            <w:hyperlink r:id="rId2099" w:history="1">
              <w:r w:rsidRPr="005E7482">
                <w:rPr>
                  <w:rStyle w:val="Hyperlink"/>
                  <w:rFonts w:eastAsia="Calibri" w:cs="Arial"/>
                  <w:sz w:val="14"/>
                  <w:szCs w:val="14"/>
                  <w:lang w:eastAsia="en-US"/>
                </w:rPr>
                <w:t>s216</w:t>
              </w:r>
            </w:hyperlink>
            <w:r w:rsidRPr="008A55AB">
              <w:rPr>
                <w:rFonts w:eastAsia="Calibri" w:cs="Arial"/>
                <w:sz w:val="14"/>
                <w:szCs w:val="14"/>
                <w:lang w:eastAsia="en-US"/>
              </w:rPr>
              <w:t xml:space="preserve"> of the </w:t>
            </w:r>
            <w:r w:rsidR="005E7482" w:rsidRPr="00016069">
              <w:rPr>
                <w:i/>
                <w:sz w:val="14"/>
              </w:rPr>
              <w:t>Workers Compensation Act 1987</w:t>
            </w:r>
            <w:r w:rsidRPr="008A55AB">
              <w:rPr>
                <w:rFonts w:eastAsia="Calibri" w:cs="Arial"/>
                <w:sz w:val="14"/>
                <w:szCs w:val="14"/>
                <w:lang w:eastAsia="en-US"/>
              </w:rPr>
              <w:t xml:space="preserve">. Legislation pursuant to </w:t>
            </w:r>
            <w:hyperlink r:id="rId2100" w:history="1">
              <w:r w:rsidRPr="005E7482">
                <w:rPr>
                  <w:rStyle w:val="Hyperlink"/>
                  <w:rFonts w:eastAsia="Calibri" w:cs="Arial"/>
                  <w:sz w:val="14"/>
                  <w:szCs w:val="14"/>
                  <w:lang w:eastAsia="en-US"/>
                </w:rPr>
                <w:t>s213</w:t>
              </w:r>
            </w:hyperlink>
            <w:r w:rsidRPr="008A55AB">
              <w:rPr>
                <w:rFonts w:eastAsia="Calibri" w:cs="Arial"/>
                <w:sz w:val="14"/>
                <w:szCs w:val="14"/>
                <w:lang w:eastAsia="en-US"/>
              </w:rPr>
              <w:t xml:space="preserve"> of the 1987 Act allows SIRA to require additional security from former self-insurers.</w:t>
            </w:r>
          </w:p>
        </w:tc>
        <w:tc>
          <w:tcPr>
            <w:tcW w:w="6836" w:type="dxa"/>
            <w:shd w:val="clear" w:color="auto" w:fill="FFC9C9"/>
            <w:tcMar>
              <w:top w:w="80" w:type="dxa"/>
              <w:left w:w="80" w:type="dxa"/>
              <w:bottom w:w="80" w:type="dxa"/>
              <w:right w:w="80" w:type="dxa"/>
            </w:tcMar>
          </w:tcPr>
          <w:p w14:paraId="402FD941" w14:textId="338A0D45" w:rsidR="008A55AB" w:rsidRPr="006C5923" w:rsidRDefault="00D470E4" w:rsidP="006C5923">
            <w:pPr>
              <w:spacing w:after="60"/>
              <w:rPr>
                <w:rFonts w:eastAsia="Calibri" w:cs="Arial"/>
                <w:sz w:val="14"/>
                <w:szCs w:val="14"/>
                <w:lang w:eastAsia="en-US"/>
              </w:rPr>
            </w:pPr>
            <w:r w:rsidRPr="00016069">
              <w:rPr>
                <w:i/>
                <w:sz w:val="14"/>
              </w:rPr>
              <w:t>Workers Compensation Act 1987</w:t>
            </w:r>
            <w:r w:rsidR="006C5923">
              <w:rPr>
                <w:rFonts w:eastAsia="Calibri" w:cs="Arial"/>
                <w:sz w:val="14"/>
                <w:szCs w:val="14"/>
                <w:lang w:eastAsia="en-US"/>
              </w:rPr>
              <w:t xml:space="preserve"> — </w:t>
            </w:r>
            <w:hyperlink r:id="rId2101" w:history="1">
              <w:r w:rsidR="006C5923" w:rsidRPr="005E7482">
                <w:rPr>
                  <w:rStyle w:val="Hyperlink"/>
                  <w:rFonts w:eastAsia="Calibri" w:cs="Arial"/>
                  <w:sz w:val="14"/>
                  <w:szCs w:val="14"/>
                  <w:lang w:eastAsia="en-US"/>
                </w:rPr>
                <w:t>s208AA</w:t>
              </w:r>
            </w:hyperlink>
          </w:p>
          <w:p w14:paraId="06AE5647" w14:textId="77777777" w:rsidR="00CA78F5" w:rsidRPr="00CA78F5" w:rsidRDefault="00CA78F5" w:rsidP="00F839DB">
            <w:pPr>
              <w:pStyle w:val="ListParagraph"/>
              <w:numPr>
                <w:ilvl w:val="0"/>
                <w:numId w:val="398"/>
              </w:numPr>
              <w:spacing w:after="60"/>
              <w:contextualSpacing/>
              <w:rPr>
                <w:rFonts w:eastAsia="Calibri" w:cs="Arial"/>
                <w:sz w:val="14"/>
                <w:szCs w:val="14"/>
                <w:lang w:eastAsia="en-US"/>
              </w:rPr>
            </w:pPr>
            <w:r w:rsidRPr="00CA78F5">
              <w:rPr>
                <w:rFonts w:eastAsia="Calibri" w:cs="Arial"/>
                <w:sz w:val="14"/>
                <w:szCs w:val="14"/>
                <w:lang w:eastAsia="en-US"/>
              </w:rPr>
              <w:t>SIRA may require contributions to the Insurance Fund from exiting employers which includes an employer moving to Comcare.</w:t>
            </w:r>
          </w:p>
          <w:p w14:paraId="19163017" w14:textId="7BE1E733" w:rsidR="00CA78F5" w:rsidRPr="00FF0226" w:rsidRDefault="00CA78F5" w:rsidP="00F839DB">
            <w:pPr>
              <w:pStyle w:val="ListParagraph"/>
              <w:numPr>
                <w:ilvl w:val="0"/>
                <w:numId w:val="398"/>
              </w:numPr>
              <w:spacing w:after="60"/>
              <w:contextualSpacing/>
              <w:rPr>
                <w:rFonts w:eastAsia="Calibri" w:cs="Arial"/>
                <w:sz w:val="14"/>
                <w:szCs w:val="14"/>
                <w:lang w:eastAsia="en-US"/>
              </w:rPr>
            </w:pPr>
            <w:r w:rsidRPr="00CA78F5">
              <w:rPr>
                <w:rFonts w:eastAsia="Calibri" w:cs="Arial"/>
                <w:sz w:val="14"/>
                <w:szCs w:val="14"/>
                <w:lang w:eastAsia="en-US"/>
              </w:rPr>
              <w:t>As an alternative to the making of a contribution to the Insurance Fund, the self-insurer may enter into an agreement with SIRA to assume responsibility for the outstanding claim liabilities that would otherwise be payable by the licensed insurer who previously insured the employer.</w:t>
            </w:r>
          </w:p>
        </w:tc>
      </w:tr>
      <w:tr w:rsidR="00CA78F5" w:rsidRPr="00CA78F5" w14:paraId="01A788FE" w14:textId="77777777" w:rsidTr="00B2173F">
        <w:tc>
          <w:tcPr>
            <w:tcW w:w="1343" w:type="dxa"/>
            <w:tcMar>
              <w:top w:w="80" w:type="dxa"/>
              <w:left w:w="80" w:type="dxa"/>
              <w:bottom w:w="80" w:type="dxa"/>
              <w:right w:w="80" w:type="dxa"/>
            </w:tcMar>
          </w:tcPr>
          <w:p w14:paraId="3D96EDAF"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Victoria</w:t>
            </w:r>
          </w:p>
        </w:tc>
        <w:tc>
          <w:tcPr>
            <w:tcW w:w="6836" w:type="dxa"/>
            <w:tcMar>
              <w:top w:w="80" w:type="dxa"/>
              <w:left w:w="80" w:type="dxa"/>
              <w:bottom w:w="80" w:type="dxa"/>
              <w:right w:w="80" w:type="dxa"/>
            </w:tcMar>
          </w:tcPr>
          <w:p w14:paraId="62292539" w14:textId="646961EB" w:rsidR="00CA78F5" w:rsidRPr="00CA78F5" w:rsidRDefault="00A7538C" w:rsidP="00292A53">
            <w:pPr>
              <w:spacing w:after="60"/>
              <w:rPr>
                <w:rFonts w:cs="Arial"/>
                <w:color w:val="000000"/>
                <w:sz w:val="14"/>
                <w:szCs w:val="16"/>
                <w:lang w:val="en-GB"/>
              </w:rPr>
            </w:pPr>
            <w:hyperlink r:id="rId2102" w:history="1">
              <w:r w:rsidR="00CA78F5" w:rsidRPr="00CE546B">
                <w:rPr>
                  <w:rStyle w:val="Hyperlink"/>
                  <w:rFonts w:cs="Arial"/>
                  <w:sz w:val="14"/>
                  <w:szCs w:val="16"/>
                  <w:lang w:val="en-GB"/>
                </w:rPr>
                <w:t>s403</w:t>
              </w:r>
            </w:hyperlink>
            <w:r w:rsidR="00CA78F5" w:rsidRPr="00CA78F5">
              <w:rPr>
                <w:rFonts w:cs="Arial"/>
                <w:color w:val="000000"/>
                <w:sz w:val="14"/>
                <w:szCs w:val="16"/>
                <w:lang w:val="en-GB"/>
              </w:rPr>
              <w:t xml:space="preserve">, </w:t>
            </w:r>
            <w:hyperlink r:id="rId2103" w:history="1">
              <w:r w:rsidR="00CA78F5" w:rsidRPr="00CE546B">
                <w:rPr>
                  <w:rStyle w:val="Hyperlink"/>
                  <w:rFonts w:cs="Arial"/>
                  <w:sz w:val="14"/>
                  <w:szCs w:val="16"/>
                  <w:lang w:val="en-GB"/>
                </w:rPr>
                <w:t>s404</w:t>
              </w:r>
            </w:hyperlink>
            <w:r w:rsidR="00CA78F5" w:rsidRPr="00CA78F5">
              <w:rPr>
                <w:rFonts w:cs="Arial"/>
                <w:color w:val="000000"/>
                <w:sz w:val="14"/>
                <w:szCs w:val="16"/>
                <w:lang w:val="en-GB"/>
              </w:rPr>
              <w:t xml:space="preserve">, </w:t>
            </w:r>
            <w:hyperlink r:id="rId2104" w:history="1">
              <w:r w:rsidR="00CA78F5" w:rsidRPr="00CE546B">
                <w:rPr>
                  <w:rStyle w:val="Hyperlink"/>
                  <w:rFonts w:cs="Arial"/>
                  <w:sz w:val="14"/>
                  <w:szCs w:val="16"/>
                  <w:lang w:val="en-GB"/>
                </w:rPr>
                <w:t>s405</w:t>
              </w:r>
            </w:hyperlink>
            <w:r w:rsidR="00CA78F5" w:rsidRPr="00CA78F5">
              <w:rPr>
                <w:rFonts w:cs="Arial"/>
                <w:color w:val="000000"/>
                <w:sz w:val="14"/>
                <w:szCs w:val="16"/>
                <w:lang w:val="en-GB"/>
              </w:rPr>
              <w:t xml:space="preserve">, </w:t>
            </w:r>
            <w:hyperlink r:id="rId2105" w:history="1">
              <w:r w:rsidR="00CA78F5" w:rsidRPr="00CE546B">
                <w:rPr>
                  <w:rStyle w:val="Hyperlink"/>
                  <w:rFonts w:cs="Arial"/>
                  <w:sz w:val="14"/>
                  <w:szCs w:val="16"/>
                  <w:lang w:val="en-GB"/>
                </w:rPr>
                <w:t>s406</w:t>
              </w:r>
            </w:hyperlink>
            <w:r w:rsidR="00CA78F5" w:rsidRPr="00CA78F5">
              <w:rPr>
                <w:rFonts w:cs="Arial"/>
                <w:color w:val="000000"/>
                <w:sz w:val="14"/>
                <w:szCs w:val="16"/>
                <w:lang w:val="en-GB"/>
              </w:rPr>
              <w:t xml:space="preserve">, </w:t>
            </w:r>
            <w:hyperlink r:id="rId2106" w:history="1">
              <w:r w:rsidR="00CA78F5" w:rsidRPr="00CE546B">
                <w:rPr>
                  <w:rStyle w:val="Hyperlink"/>
                  <w:rFonts w:cs="Arial"/>
                  <w:sz w:val="14"/>
                  <w:szCs w:val="16"/>
                  <w:lang w:val="en-GB"/>
                </w:rPr>
                <w:t>s407</w:t>
              </w:r>
            </w:hyperlink>
            <w:r w:rsidR="00CA78F5" w:rsidRPr="00CA78F5">
              <w:rPr>
                <w:rFonts w:cs="Arial"/>
                <w:color w:val="000000"/>
                <w:sz w:val="14"/>
                <w:szCs w:val="16"/>
                <w:lang w:val="en-GB"/>
              </w:rPr>
              <w:t xml:space="preserve"> and </w:t>
            </w:r>
            <w:hyperlink r:id="rId2107" w:history="1">
              <w:r w:rsidR="00CA78F5" w:rsidRPr="00CE546B">
                <w:rPr>
                  <w:rStyle w:val="Hyperlink"/>
                  <w:rFonts w:cs="Arial"/>
                  <w:sz w:val="14"/>
                  <w:szCs w:val="16"/>
                  <w:lang w:val="en-GB"/>
                </w:rPr>
                <w:t>s408</w:t>
              </w:r>
            </w:hyperlink>
            <w:r w:rsidR="00CA78F5" w:rsidRPr="00CA78F5">
              <w:rPr>
                <w:rFonts w:cs="Arial"/>
                <w:color w:val="000000"/>
                <w:sz w:val="14"/>
                <w:szCs w:val="16"/>
                <w:lang w:val="en-GB"/>
              </w:rPr>
              <w:t xml:space="preserve"> — </w:t>
            </w:r>
            <w:r w:rsidR="00CE546B" w:rsidRPr="00016069">
              <w:rPr>
                <w:i/>
                <w:sz w:val="14"/>
              </w:rPr>
              <w:t>Workplace Injury Rehabilitation and Compensation Act 2013</w:t>
            </w:r>
          </w:p>
          <w:p w14:paraId="5F85D399"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Application: </w:t>
            </w:r>
          </w:p>
          <w:p w14:paraId="2C1370E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At the request of the self-insurer or determined by WorkSafe Victoria (WSV), the self-insurer’s approval may be revoked. </w:t>
            </w:r>
          </w:p>
          <w:p w14:paraId="00DED2A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Tail claims liability: </w:t>
            </w:r>
          </w:p>
          <w:p w14:paraId="7F43A20F" w14:textId="5724488A" w:rsidR="00CA78F5" w:rsidRPr="00BF5D00" w:rsidRDefault="00CA78F5" w:rsidP="00F839DB">
            <w:pPr>
              <w:pStyle w:val="ListParagraph"/>
              <w:numPr>
                <w:ilvl w:val="0"/>
                <w:numId w:val="542"/>
              </w:numPr>
              <w:spacing w:after="60"/>
              <w:ind w:left="345" w:hanging="345"/>
              <w:rPr>
                <w:rFonts w:cs="Arial"/>
                <w:color w:val="000000"/>
                <w:sz w:val="14"/>
                <w:szCs w:val="16"/>
                <w:lang w:val="en-GB"/>
              </w:rPr>
            </w:pPr>
            <w:r w:rsidRPr="00BF5D00">
              <w:rPr>
                <w:rFonts w:cs="Arial"/>
                <w:color w:val="000000"/>
                <w:sz w:val="14"/>
                <w:szCs w:val="16"/>
                <w:lang w:val="en-GB"/>
              </w:rPr>
              <w:t>Unless otherwise allowed by WSV, WSV assumes the liability for and responsibility for management of, the tail claims of the former self-insurer.</w:t>
            </w:r>
            <w:r w:rsidR="00DD0D68" w:rsidRPr="00BF5D00">
              <w:rPr>
                <w:rFonts w:cs="Arial"/>
                <w:color w:val="000000"/>
                <w:sz w:val="14"/>
                <w:szCs w:val="16"/>
                <w:lang w:val="en-GB"/>
              </w:rPr>
              <w:t xml:space="preserve"> </w:t>
            </w:r>
            <w:r w:rsidRPr="00BF5D00">
              <w:rPr>
                <w:rFonts w:cs="Arial"/>
                <w:color w:val="000000"/>
                <w:sz w:val="14"/>
                <w:szCs w:val="16"/>
                <w:lang w:val="en-GB"/>
              </w:rPr>
              <w:t>A settlement payment covering the outstanding tail claims liability is payable by the former self-insurer to WSV.</w:t>
            </w:r>
            <w:r w:rsidR="00DD0D68" w:rsidRPr="00BF5D00">
              <w:rPr>
                <w:rFonts w:cs="Arial"/>
                <w:color w:val="000000"/>
                <w:sz w:val="14"/>
                <w:szCs w:val="16"/>
                <w:lang w:val="en-GB"/>
              </w:rPr>
              <w:t xml:space="preserve"> </w:t>
            </w:r>
          </w:p>
          <w:p w14:paraId="60AD1A66"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Actuarial Assessment: </w:t>
            </w:r>
          </w:p>
          <w:p w14:paraId="6BDAB7A8" w14:textId="3BC3055D" w:rsidR="00CA78F5" w:rsidRPr="00CA78F5" w:rsidRDefault="00CA78F5" w:rsidP="00F839DB">
            <w:pPr>
              <w:pStyle w:val="ListParagraph"/>
              <w:numPr>
                <w:ilvl w:val="0"/>
                <w:numId w:val="399"/>
              </w:numPr>
              <w:spacing w:after="60"/>
              <w:contextualSpacing/>
              <w:rPr>
                <w:rFonts w:eastAsia="Calibri" w:cs="Arial"/>
                <w:sz w:val="14"/>
                <w:szCs w:val="14"/>
                <w:lang w:eastAsia="en-US"/>
              </w:rPr>
            </w:pPr>
            <w:r w:rsidRPr="00CA78F5">
              <w:rPr>
                <w:rFonts w:eastAsia="Calibri" w:cs="Arial"/>
                <w:sz w:val="14"/>
                <w:szCs w:val="14"/>
                <w:lang w:eastAsia="en-US"/>
              </w:rPr>
              <w:t>An annual actuarial assessment is undertaken for a period of 6 years following the self-insurer’s approval being revoked.</w:t>
            </w:r>
            <w:r w:rsidR="00DD0D68">
              <w:rPr>
                <w:rFonts w:eastAsia="Calibri" w:cs="Arial"/>
                <w:sz w:val="14"/>
                <w:szCs w:val="14"/>
                <w:lang w:eastAsia="en-US"/>
              </w:rPr>
              <w:t xml:space="preserve"> </w:t>
            </w:r>
            <w:r w:rsidRPr="00CA78F5">
              <w:rPr>
                <w:rFonts w:eastAsia="Calibri" w:cs="Arial"/>
                <w:sz w:val="14"/>
                <w:szCs w:val="14"/>
                <w:lang w:eastAsia="en-US"/>
              </w:rPr>
              <w:t>The actuarial assessment is undertaken by an actuary appointed by the WSV.</w:t>
            </w:r>
            <w:r w:rsidR="00DD0D68">
              <w:rPr>
                <w:rFonts w:eastAsia="Calibri" w:cs="Arial"/>
                <w:sz w:val="14"/>
                <w:szCs w:val="14"/>
                <w:lang w:eastAsia="en-US"/>
              </w:rPr>
              <w:t xml:space="preserve"> </w:t>
            </w:r>
          </w:p>
          <w:p w14:paraId="40C4AADB" w14:textId="77777777" w:rsidR="00CA78F5" w:rsidRPr="00CA78F5" w:rsidRDefault="00CA78F5" w:rsidP="00F839DB">
            <w:pPr>
              <w:pStyle w:val="ListParagraph"/>
              <w:numPr>
                <w:ilvl w:val="0"/>
                <w:numId w:val="399"/>
              </w:numPr>
              <w:spacing w:after="60"/>
              <w:contextualSpacing/>
              <w:rPr>
                <w:rFonts w:eastAsia="Calibri" w:cs="Arial"/>
                <w:sz w:val="14"/>
                <w:szCs w:val="14"/>
                <w:lang w:eastAsia="en-US"/>
              </w:rPr>
            </w:pPr>
            <w:r w:rsidRPr="00CA78F5">
              <w:rPr>
                <w:rFonts w:eastAsia="Calibri" w:cs="Arial"/>
                <w:sz w:val="14"/>
                <w:szCs w:val="14"/>
                <w:lang w:eastAsia="en-US"/>
              </w:rPr>
              <w:t xml:space="preserve">An adjustment for the settlement payment is undertaken at the third and sixth year following the date the self-insurer’s approval is revoked. </w:t>
            </w:r>
          </w:p>
          <w:p w14:paraId="53DB7317" w14:textId="77777777" w:rsidR="00CA78F5" w:rsidRPr="00CA78F5" w:rsidRDefault="00CA78F5" w:rsidP="00F839DB">
            <w:pPr>
              <w:pStyle w:val="ListParagraph"/>
              <w:numPr>
                <w:ilvl w:val="0"/>
                <w:numId w:val="399"/>
              </w:numPr>
              <w:spacing w:after="60"/>
              <w:contextualSpacing/>
              <w:rPr>
                <w:rFonts w:eastAsia="Calibri" w:cs="Arial"/>
                <w:sz w:val="14"/>
                <w:szCs w:val="14"/>
                <w:lang w:eastAsia="en-US"/>
              </w:rPr>
            </w:pPr>
            <w:r w:rsidRPr="00CA78F5">
              <w:rPr>
                <w:rFonts w:eastAsia="Calibri" w:cs="Arial"/>
                <w:sz w:val="14"/>
                <w:szCs w:val="14"/>
                <w:lang w:eastAsia="en-US"/>
              </w:rPr>
              <w:t xml:space="preserve">If the revised assessment at the end of the third year exceeds the initial assessment, the former self-insurer must pay the difference to WSV. If the revised assessment is less than the initial assessment, WSV must pay the difference to the former self-insurer. </w:t>
            </w:r>
          </w:p>
          <w:p w14:paraId="24DB29E6" w14:textId="77777777" w:rsidR="00CA78F5" w:rsidRPr="00CA78F5" w:rsidRDefault="00CA78F5" w:rsidP="00F839DB">
            <w:pPr>
              <w:pStyle w:val="ListParagraph"/>
              <w:numPr>
                <w:ilvl w:val="0"/>
                <w:numId w:val="399"/>
              </w:numPr>
              <w:spacing w:after="60"/>
              <w:contextualSpacing/>
              <w:rPr>
                <w:rFonts w:eastAsia="Calibri" w:cs="Arial"/>
                <w:sz w:val="14"/>
                <w:szCs w:val="14"/>
                <w:lang w:eastAsia="en-US"/>
              </w:rPr>
            </w:pPr>
            <w:r w:rsidRPr="00CA78F5">
              <w:rPr>
                <w:rFonts w:eastAsia="Calibri" w:cs="Arial"/>
                <w:sz w:val="14"/>
                <w:szCs w:val="14"/>
                <w:lang w:eastAsia="en-US"/>
              </w:rPr>
              <w:t>This process is repeated at the end of the 6 year liability period and if the revised assessment exceeds the assessment at the end of the third year, the former self-insurer must pay the difference to WSV. If the revised assessment is less, WSV must pay the difference to the former self-insurer.</w:t>
            </w:r>
          </w:p>
          <w:p w14:paraId="06E32FA7"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Tail claims: </w:t>
            </w:r>
          </w:p>
          <w:p w14:paraId="54A7DE00"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The former self-insurer must ensure all claims are given to WSV and all new claims are lodged with WSV. </w:t>
            </w:r>
          </w:p>
          <w:p w14:paraId="46FC9904" w14:textId="0E5DAB1F"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Other charges:</w:t>
            </w:r>
            <w:r w:rsidR="00DD0D68">
              <w:rPr>
                <w:rFonts w:cs="Arial"/>
                <w:color w:val="000000"/>
                <w:sz w:val="14"/>
                <w:szCs w:val="16"/>
                <w:lang w:val="en-GB"/>
              </w:rPr>
              <w:t xml:space="preserve"> </w:t>
            </w:r>
          </w:p>
          <w:p w14:paraId="63870152" w14:textId="77777777" w:rsidR="00CA78F5" w:rsidRPr="00CA78F5" w:rsidRDefault="00CA78F5" w:rsidP="00F839DB">
            <w:pPr>
              <w:pStyle w:val="ListParagraph"/>
              <w:numPr>
                <w:ilvl w:val="0"/>
                <w:numId w:val="400"/>
              </w:numPr>
              <w:spacing w:after="60"/>
              <w:contextualSpacing/>
              <w:rPr>
                <w:rFonts w:eastAsia="Calibri" w:cs="Arial"/>
                <w:sz w:val="14"/>
                <w:szCs w:val="14"/>
                <w:lang w:eastAsia="en-US"/>
              </w:rPr>
            </w:pPr>
            <w:r w:rsidRPr="00CA78F5">
              <w:rPr>
                <w:rFonts w:eastAsia="Calibri" w:cs="Arial"/>
                <w:sz w:val="14"/>
                <w:szCs w:val="14"/>
                <w:lang w:eastAsia="en-US"/>
              </w:rPr>
              <w:t>The former self-insurer is liable to pay the cost of the actuarial assessments obtained by WSV and any extra assessment, if the former self-insurer disputes WSV’s assessment.</w:t>
            </w:r>
          </w:p>
          <w:p w14:paraId="4D4AA2F2" w14:textId="77777777" w:rsidR="00CA78F5" w:rsidRPr="00CA78F5" w:rsidRDefault="00CA78F5" w:rsidP="00F839DB">
            <w:pPr>
              <w:pStyle w:val="ListParagraph"/>
              <w:numPr>
                <w:ilvl w:val="0"/>
                <w:numId w:val="400"/>
              </w:numPr>
              <w:spacing w:after="60"/>
              <w:contextualSpacing/>
              <w:rPr>
                <w:rFonts w:eastAsia="Calibri" w:cs="Arial"/>
                <w:sz w:val="14"/>
                <w:szCs w:val="14"/>
                <w:lang w:eastAsia="en-US"/>
              </w:rPr>
            </w:pPr>
            <w:r w:rsidRPr="00CA78F5">
              <w:rPr>
                <w:rFonts w:eastAsia="Calibri" w:cs="Arial"/>
                <w:sz w:val="14"/>
                <w:szCs w:val="14"/>
                <w:lang w:eastAsia="en-US"/>
              </w:rPr>
              <w:t>The former self-insurer must hold a guarantee against insolvency risk and claims deterioration until the final assessment of liability and if applicable, payment for the six year adjustment.</w:t>
            </w:r>
          </w:p>
          <w:p w14:paraId="4359F6EE"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Time for settlement payment:</w:t>
            </w:r>
          </w:p>
          <w:p w14:paraId="6D62DA3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Payment for the tail claims liability and the third year/sixth year adjustments (if applicable) is payable within 28 days of the assessment or determination from WSV or for a further period as may be agreed between WSV and the employer.</w:t>
            </w:r>
          </w:p>
          <w:p w14:paraId="045A039E"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Specific review provisions: </w:t>
            </w:r>
          </w:p>
          <w:p w14:paraId="0C49684B" w14:textId="77777777" w:rsidR="00CA78F5" w:rsidRPr="00BF5D00" w:rsidRDefault="00CA78F5" w:rsidP="00F839DB">
            <w:pPr>
              <w:pStyle w:val="ListParagraph"/>
              <w:numPr>
                <w:ilvl w:val="0"/>
                <w:numId w:val="543"/>
              </w:numPr>
              <w:spacing w:after="60"/>
              <w:ind w:left="345"/>
              <w:rPr>
                <w:rFonts w:cs="Arial"/>
                <w:color w:val="000000"/>
                <w:sz w:val="14"/>
                <w:szCs w:val="16"/>
                <w:lang w:val="en-GB"/>
              </w:rPr>
            </w:pPr>
            <w:r w:rsidRPr="00BF5D00">
              <w:rPr>
                <w:rFonts w:cs="Arial"/>
                <w:color w:val="000000"/>
                <w:sz w:val="14"/>
                <w:szCs w:val="16"/>
                <w:lang w:val="en-GB"/>
              </w:rPr>
              <w:lastRenderedPageBreak/>
              <w:t xml:space="preserve">The former self-insurer may appoint its own actuary to review WSV’s final assessment of liability. Ability to seek judicial review at common law and actions under the </w:t>
            </w:r>
            <w:r w:rsidRPr="00BF5D00">
              <w:rPr>
                <w:rFonts w:cs="Arial"/>
                <w:i/>
                <w:color w:val="000000"/>
                <w:sz w:val="14"/>
                <w:szCs w:val="16"/>
                <w:lang w:val="en-GB"/>
              </w:rPr>
              <w:t>Administrative Law Act 1978</w:t>
            </w:r>
            <w:r w:rsidRPr="00BF5D00">
              <w:rPr>
                <w:rFonts w:cs="Arial"/>
                <w:color w:val="000000"/>
                <w:sz w:val="14"/>
                <w:szCs w:val="16"/>
                <w:lang w:val="en-GB"/>
              </w:rPr>
              <w:t xml:space="preserve"> are excluded.</w:t>
            </w:r>
          </w:p>
          <w:p w14:paraId="7732B8F2"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Outstanding payment:</w:t>
            </w:r>
          </w:p>
          <w:p w14:paraId="6FEE027D" w14:textId="77777777" w:rsidR="00CA78F5" w:rsidRPr="00BF5D00" w:rsidRDefault="00CA78F5" w:rsidP="00F839DB">
            <w:pPr>
              <w:pStyle w:val="ListParagraph"/>
              <w:numPr>
                <w:ilvl w:val="0"/>
                <w:numId w:val="543"/>
              </w:numPr>
              <w:spacing w:after="60"/>
              <w:ind w:left="345"/>
              <w:rPr>
                <w:rFonts w:cs="Arial"/>
                <w:color w:val="000000"/>
                <w:sz w:val="14"/>
                <w:szCs w:val="16"/>
                <w:lang w:val="en-GB"/>
              </w:rPr>
            </w:pPr>
            <w:r w:rsidRPr="00BF5D00">
              <w:rPr>
                <w:rFonts w:cs="Arial"/>
                <w:color w:val="000000"/>
                <w:sz w:val="14"/>
                <w:szCs w:val="16"/>
                <w:lang w:val="en-GB"/>
              </w:rPr>
              <w:t>Failure to pay any outstanding liability amount may be recovered by WSV under the guarantee in force.</w:t>
            </w:r>
          </w:p>
        </w:tc>
        <w:tc>
          <w:tcPr>
            <w:tcW w:w="6836" w:type="dxa"/>
            <w:tcMar>
              <w:top w:w="80" w:type="dxa"/>
              <w:left w:w="80" w:type="dxa"/>
              <w:bottom w:w="80" w:type="dxa"/>
              <w:right w:w="80" w:type="dxa"/>
            </w:tcMar>
          </w:tcPr>
          <w:p w14:paraId="18E268E1" w14:textId="05C1FAEA" w:rsidR="00CA78F5" w:rsidRPr="00CA78F5" w:rsidRDefault="00A7538C" w:rsidP="00292A53">
            <w:pPr>
              <w:spacing w:after="60"/>
              <w:rPr>
                <w:rFonts w:cs="Arial"/>
                <w:color w:val="000000"/>
                <w:sz w:val="14"/>
                <w:szCs w:val="16"/>
                <w:lang w:val="en-GB"/>
              </w:rPr>
            </w:pPr>
            <w:hyperlink r:id="rId2108" w:history="1">
              <w:r w:rsidR="00CA78F5" w:rsidRPr="00CE546B">
                <w:rPr>
                  <w:rStyle w:val="Hyperlink"/>
                  <w:rFonts w:cs="Arial"/>
                  <w:sz w:val="14"/>
                  <w:szCs w:val="16"/>
                  <w:lang w:val="en-GB"/>
                </w:rPr>
                <w:t>Part 9</w:t>
              </w:r>
            </w:hyperlink>
            <w:r w:rsidR="00CA78F5" w:rsidRPr="00CA78F5">
              <w:rPr>
                <w:rFonts w:cs="Arial"/>
                <w:color w:val="000000"/>
                <w:sz w:val="14"/>
                <w:szCs w:val="16"/>
                <w:lang w:val="en-GB"/>
              </w:rPr>
              <w:t xml:space="preserve"> — WIRC Act</w:t>
            </w:r>
          </w:p>
          <w:p w14:paraId="40DE2FC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Application: </w:t>
            </w:r>
          </w:p>
          <w:p w14:paraId="26DB5C9A" w14:textId="079DFBD8"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Victorian scheme-insured or self-insured employers that exit the scheme to become licensed under the Comcare scheme.</w:t>
            </w:r>
            <w:r w:rsidR="00DD0D68">
              <w:rPr>
                <w:rFonts w:cs="Arial"/>
                <w:color w:val="000000"/>
                <w:sz w:val="14"/>
                <w:szCs w:val="16"/>
                <w:lang w:val="en-GB"/>
              </w:rPr>
              <w:t xml:space="preserve"> </w:t>
            </w:r>
            <w:r w:rsidRPr="00CA78F5">
              <w:rPr>
                <w:rFonts w:cs="Arial"/>
                <w:color w:val="000000"/>
                <w:sz w:val="14"/>
                <w:szCs w:val="16"/>
                <w:lang w:val="en-GB"/>
              </w:rPr>
              <w:t>Applies from 1 July 2005 onwards.</w:t>
            </w:r>
          </w:p>
          <w:p w14:paraId="487C5716"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Tail claims liability: </w:t>
            </w:r>
          </w:p>
          <w:p w14:paraId="6525CA58" w14:textId="72EAA973"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WSV assumes the liability for and responsibility for management of, the tail claims of the exiting employer.</w:t>
            </w:r>
            <w:r w:rsidR="00DD0D68">
              <w:rPr>
                <w:rFonts w:cs="Arial"/>
                <w:color w:val="000000"/>
                <w:sz w:val="14"/>
                <w:szCs w:val="16"/>
                <w:lang w:val="en-GB"/>
              </w:rPr>
              <w:t xml:space="preserve"> </w:t>
            </w:r>
            <w:r w:rsidRPr="00CA78F5">
              <w:rPr>
                <w:rFonts w:cs="Arial"/>
                <w:color w:val="000000"/>
                <w:sz w:val="14"/>
                <w:szCs w:val="16"/>
                <w:lang w:val="en-GB"/>
              </w:rPr>
              <w:t>A settlement payment covering the outstanding tail claims liability may be payable by the exiting employer to WSV.</w:t>
            </w:r>
            <w:r w:rsidR="00DD0D68">
              <w:rPr>
                <w:rFonts w:cs="Arial"/>
                <w:color w:val="000000"/>
                <w:sz w:val="14"/>
                <w:szCs w:val="16"/>
                <w:lang w:val="en-GB"/>
              </w:rPr>
              <w:t xml:space="preserve"> </w:t>
            </w:r>
          </w:p>
          <w:p w14:paraId="75D08CA0"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Actuarial Assessment: </w:t>
            </w:r>
          </w:p>
          <w:p w14:paraId="5CAFBD3A" w14:textId="431094F2" w:rsidR="00CA78F5" w:rsidRPr="00E5567B" w:rsidRDefault="00CA78F5" w:rsidP="00F839DB">
            <w:pPr>
              <w:pStyle w:val="ListParagraph"/>
              <w:numPr>
                <w:ilvl w:val="0"/>
                <w:numId w:val="401"/>
              </w:numPr>
              <w:spacing w:after="60"/>
              <w:contextualSpacing/>
              <w:rPr>
                <w:rFonts w:eastAsia="Calibri" w:cs="Arial"/>
                <w:sz w:val="14"/>
                <w:szCs w:val="14"/>
                <w:lang w:eastAsia="en-US"/>
              </w:rPr>
            </w:pPr>
            <w:r w:rsidRPr="00E5567B">
              <w:rPr>
                <w:rFonts w:eastAsia="Calibri" w:cs="Arial"/>
                <w:sz w:val="14"/>
                <w:szCs w:val="14"/>
                <w:lang w:eastAsia="en-US"/>
              </w:rPr>
              <w:t>An annual actuarial assessment is undertaken for a period of 6 years following the employer’s exit.</w:t>
            </w:r>
            <w:r w:rsidR="00DD0D68">
              <w:rPr>
                <w:rFonts w:eastAsia="Calibri" w:cs="Arial"/>
                <w:sz w:val="14"/>
                <w:szCs w:val="14"/>
                <w:lang w:eastAsia="en-US"/>
              </w:rPr>
              <w:t xml:space="preserve"> </w:t>
            </w:r>
            <w:r w:rsidRPr="00E5567B">
              <w:rPr>
                <w:rFonts w:eastAsia="Calibri" w:cs="Arial"/>
                <w:sz w:val="14"/>
                <w:szCs w:val="14"/>
                <w:lang w:eastAsia="en-US"/>
              </w:rPr>
              <w:t>The actuarial assessment is undertaken by an actuary appointed by WSV.</w:t>
            </w:r>
            <w:r w:rsidR="00DD0D68">
              <w:rPr>
                <w:rFonts w:eastAsia="Calibri" w:cs="Arial"/>
                <w:sz w:val="14"/>
                <w:szCs w:val="14"/>
                <w:lang w:eastAsia="en-US"/>
              </w:rPr>
              <w:t xml:space="preserve"> </w:t>
            </w:r>
          </w:p>
          <w:p w14:paraId="5CFB3183" w14:textId="77777777" w:rsidR="00CA78F5" w:rsidRPr="00E5567B" w:rsidRDefault="00CA78F5" w:rsidP="00F839DB">
            <w:pPr>
              <w:pStyle w:val="ListParagraph"/>
              <w:numPr>
                <w:ilvl w:val="0"/>
                <w:numId w:val="401"/>
              </w:numPr>
              <w:spacing w:after="60"/>
              <w:contextualSpacing/>
              <w:rPr>
                <w:rFonts w:eastAsia="Calibri" w:cs="Arial"/>
                <w:sz w:val="14"/>
                <w:szCs w:val="14"/>
                <w:lang w:eastAsia="en-US"/>
              </w:rPr>
            </w:pPr>
            <w:r w:rsidRPr="00E5567B">
              <w:rPr>
                <w:rFonts w:eastAsia="Calibri" w:cs="Arial"/>
                <w:sz w:val="14"/>
                <w:szCs w:val="14"/>
                <w:lang w:eastAsia="en-US"/>
              </w:rPr>
              <w:t xml:space="preserve">An adjustment for the settlement payment is undertaken at the third and sixth year following the date the employer exited the Victorian scheme. </w:t>
            </w:r>
          </w:p>
          <w:p w14:paraId="2BA74775" w14:textId="77777777" w:rsidR="00CA78F5" w:rsidRPr="00E5567B" w:rsidRDefault="00CA78F5" w:rsidP="00F839DB">
            <w:pPr>
              <w:pStyle w:val="ListParagraph"/>
              <w:numPr>
                <w:ilvl w:val="0"/>
                <w:numId w:val="401"/>
              </w:numPr>
              <w:spacing w:after="60"/>
              <w:contextualSpacing/>
              <w:rPr>
                <w:rFonts w:eastAsia="Calibri" w:cs="Arial"/>
                <w:sz w:val="14"/>
                <w:szCs w:val="14"/>
                <w:lang w:eastAsia="en-US"/>
              </w:rPr>
            </w:pPr>
            <w:r w:rsidRPr="00E5567B">
              <w:rPr>
                <w:rFonts w:eastAsia="Calibri" w:cs="Arial"/>
                <w:sz w:val="14"/>
                <w:szCs w:val="14"/>
                <w:lang w:eastAsia="en-US"/>
              </w:rPr>
              <w:t>If the revised assessment at the end of the third year exceeds the initial assessment, the exiting employer must pay the difference to WSV. If the revised assessment is less than the initial assessment, WSV must pay the difference to the exiting employer.</w:t>
            </w:r>
          </w:p>
          <w:p w14:paraId="4B6D1750" w14:textId="77777777" w:rsidR="00CA78F5" w:rsidRPr="00E5567B" w:rsidRDefault="00CA78F5" w:rsidP="00F839DB">
            <w:pPr>
              <w:pStyle w:val="ListParagraph"/>
              <w:numPr>
                <w:ilvl w:val="0"/>
                <w:numId w:val="401"/>
              </w:numPr>
              <w:spacing w:after="60"/>
              <w:contextualSpacing/>
              <w:rPr>
                <w:rFonts w:eastAsia="Calibri" w:cs="Arial"/>
                <w:sz w:val="14"/>
                <w:szCs w:val="14"/>
                <w:lang w:eastAsia="en-US"/>
              </w:rPr>
            </w:pPr>
            <w:r w:rsidRPr="00E5567B">
              <w:rPr>
                <w:rFonts w:eastAsia="Calibri" w:cs="Arial"/>
                <w:sz w:val="14"/>
                <w:szCs w:val="14"/>
                <w:lang w:eastAsia="en-US"/>
              </w:rPr>
              <w:t>This process is repeated at the end of the 6 year liability period and if the revised assessment exceeds the assessment at the end of the third year, the exiting employer must pay the difference to WSV. If the revised assessment is less, WSV must pay the difference to the exiting employer.</w:t>
            </w:r>
          </w:p>
          <w:p w14:paraId="332440AA"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Other charges:</w:t>
            </w:r>
          </w:p>
          <w:p w14:paraId="10D1831E" w14:textId="77777777" w:rsidR="00CA78F5" w:rsidRPr="00E5567B" w:rsidRDefault="00CA78F5" w:rsidP="00F839DB">
            <w:pPr>
              <w:pStyle w:val="ListParagraph"/>
              <w:numPr>
                <w:ilvl w:val="0"/>
                <w:numId w:val="402"/>
              </w:numPr>
              <w:spacing w:after="60"/>
              <w:contextualSpacing/>
              <w:rPr>
                <w:rFonts w:eastAsia="Calibri" w:cs="Arial"/>
                <w:sz w:val="14"/>
                <w:szCs w:val="14"/>
                <w:lang w:eastAsia="en-US"/>
              </w:rPr>
            </w:pPr>
            <w:r w:rsidRPr="00E5567B">
              <w:rPr>
                <w:rFonts w:eastAsia="Calibri" w:cs="Arial"/>
                <w:sz w:val="14"/>
                <w:szCs w:val="14"/>
                <w:lang w:eastAsia="en-US"/>
              </w:rPr>
              <w:t>The exiting employer is liable to pay the cost of the actuarial assessments obtained by WSV and any extra assessment, if the employer disputes WSV’s assessment.</w:t>
            </w:r>
          </w:p>
          <w:p w14:paraId="509FC2B4" w14:textId="77777777" w:rsidR="00CA78F5" w:rsidRPr="00E5567B" w:rsidRDefault="00CA78F5" w:rsidP="00F839DB">
            <w:pPr>
              <w:pStyle w:val="ListParagraph"/>
              <w:numPr>
                <w:ilvl w:val="0"/>
                <w:numId w:val="402"/>
              </w:numPr>
              <w:spacing w:after="60"/>
              <w:contextualSpacing/>
              <w:rPr>
                <w:rFonts w:eastAsia="Calibri" w:cs="Arial"/>
                <w:sz w:val="14"/>
                <w:szCs w:val="14"/>
                <w:lang w:eastAsia="en-US"/>
              </w:rPr>
            </w:pPr>
            <w:r w:rsidRPr="00E5567B">
              <w:rPr>
                <w:rFonts w:eastAsia="Calibri" w:cs="Arial"/>
                <w:sz w:val="14"/>
                <w:szCs w:val="14"/>
                <w:lang w:eastAsia="en-US"/>
              </w:rPr>
              <w:t>The exiting employer must hold a guarantee against insolvency risk and claims deterioration until the final assessment of liability and if applicable, payment for the six year adjustment.</w:t>
            </w:r>
          </w:p>
          <w:p w14:paraId="1BFD650F"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Time for settlement payment:</w:t>
            </w:r>
          </w:p>
          <w:p w14:paraId="631AB8FA"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Payment for the tail claims liability and the third year/six year adjustments (if applicable) is payable within 28 days of the assessment or determination from WSV or for a further period as may be agreed between WSV and the exiting employer.</w:t>
            </w:r>
          </w:p>
          <w:p w14:paraId="1337486F"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Specific review provisions:</w:t>
            </w:r>
          </w:p>
          <w:p w14:paraId="4AE2763B"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The exiting employer may appoint its own actuary to review WSV’s final assessment of liability. Ability to seek judicial review at common law and actions under the </w:t>
            </w:r>
            <w:r w:rsidRPr="00D41D16">
              <w:rPr>
                <w:rFonts w:cs="Arial"/>
                <w:i/>
                <w:color w:val="000000"/>
                <w:sz w:val="14"/>
                <w:szCs w:val="16"/>
                <w:lang w:val="en-GB"/>
              </w:rPr>
              <w:t>Administrative Law Act 1978</w:t>
            </w:r>
            <w:r w:rsidRPr="00CA78F5">
              <w:rPr>
                <w:rFonts w:cs="Arial"/>
                <w:color w:val="000000"/>
                <w:sz w:val="14"/>
                <w:szCs w:val="16"/>
                <w:lang w:val="en-GB"/>
              </w:rPr>
              <w:t xml:space="preserve"> are excluded.</w:t>
            </w:r>
          </w:p>
          <w:p w14:paraId="6CDEA034"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Outstanding payment:</w:t>
            </w:r>
          </w:p>
          <w:p w14:paraId="33B4E4E0"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lastRenderedPageBreak/>
              <w:t>Failure to pay any outstanding liability amount may be recovered by WSV under the guarantee in force.</w:t>
            </w:r>
          </w:p>
          <w:p w14:paraId="3DBD3420"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Penalties: </w:t>
            </w:r>
          </w:p>
          <w:p w14:paraId="1E8585CB"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Penalties applied for failure to comply with a provision under Part 9 of the WIRC Act are:</w:t>
            </w:r>
          </w:p>
          <w:p w14:paraId="036A923E" w14:textId="77777777" w:rsidR="00CA78F5" w:rsidRPr="00E5567B" w:rsidRDefault="00CA78F5" w:rsidP="00F839DB">
            <w:pPr>
              <w:pStyle w:val="ListParagraph"/>
              <w:numPr>
                <w:ilvl w:val="0"/>
                <w:numId w:val="403"/>
              </w:numPr>
              <w:spacing w:after="60"/>
              <w:contextualSpacing/>
              <w:rPr>
                <w:rFonts w:eastAsia="Calibri" w:cs="Arial"/>
                <w:sz w:val="14"/>
                <w:szCs w:val="14"/>
                <w:lang w:eastAsia="en-US"/>
              </w:rPr>
            </w:pPr>
            <w:r w:rsidRPr="00E5567B">
              <w:rPr>
                <w:rFonts w:eastAsia="Calibri" w:cs="Arial"/>
                <w:sz w:val="14"/>
                <w:szCs w:val="14"/>
                <w:lang w:eastAsia="en-US"/>
              </w:rPr>
              <w:t>in the case of a natural person, 240 penalty units;</w:t>
            </w:r>
          </w:p>
          <w:p w14:paraId="2A7911AB" w14:textId="42FB6193" w:rsidR="00CA78F5" w:rsidRPr="00E5567B" w:rsidRDefault="00CA78F5" w:rsidP="00F839DB">
            <w:pPr>
              <w:pStyle w:val="ListParagraph"/>
              <w:numPr>
                <w:ilvl w:val="0"/>
                <w:numId w:val="403"/>
              </w:numPr>
              <w:spacing w:after="60"/>
              <w:contextualSpacing/>
              <w:rPr>
                <w:rFonts w:eastAsia="Calibri" w:cs="Arial"/>
                <w:sz w:val="14"/>
                <w:szCs w:val="14"/>
                <w:lang w:eastAsia="en-US"/>
              </w:rPr>
            </w:pPr>
            <w:r w:rsidRPr="00E5567B">
              <w:rPr>
                <w:rFonts w:eastAsia="Calibri" w:cs="Arial"/>
                <w:sz w:val="14"/>
                <w:szCs w:val="14"/>
                <w:lang w:eastAsia="en-US"/>
              </w:rPr>
              <w:t>in the case of a body</w:t>
            </w:r>
            <w:r w:rsidR="00B53A65">
              <w:rPr>
                <w:rFonts w:eastAsia="Calibri" w:cs="Arial"/>
                <w:sz w:val="14"/>
                <w:szCs w:val="14"/>
                <w:lang w:eastAsia="en-US"/>
              </w:rPr>
              <w:t xml:space="preserve"> corporate, 1</w:t>
            </w:r>
            <w:r w:rsidR="001568F3">
              <w:rPr>
                <w:rFonts w:eastAsia="Calibri" w:cs="Arial"/>
                <w:sz w:val="14"/>
                <w:szCs w:val="14"/>
                <w:lang w:eastAsia="en-US"/>
              </w:rPr>
              <w:t>,</w:t>
            </w:r>
            <w:r w:rsidR="00B53A65">
              <w:rPr>
                <w:rFonts w:eastAsia="Calibri" w:cs="Arial"/>
                <w:sz w:val="14"/>
                <w:szCs w:val="14"/>
                <w:lang w:eastAsia="en-US"/>
              </w:rPr>
              <w:t>200 penalty units.</w:t>
            </w:r>
          </w:p>
        </w:tc>
      </w:tr>
      <w:tr w:rsidR="00CA78F5" w:rsidRPr="00CA78F5" w14:paraId="215083A5" w14:textId="77777777" w:rsidTr="00B2173F">
        <w:tc>
          <w:tcPr>
            <w:tcW w:w="1343" w:type="dxa"/>
            <w:shd w:val="clear" w:color="auto" w:fill="FFC9C9"/>
            <w:tcMar>
              <w:top w:w="80" w:type="dxa"/>
              <w:left w:w="80" w:type="dxa"/>
              <w:bottom w:w="80" w:type="dxa"/>
              <w:right w:w="80" w:type="dxa"/>
            </w:tcMar>
          </w:tcPr>
          <w:p w14:paraId="133F30C6"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lastRenderedPageBreak/>
              <w:t>Queensland</w:t>
            </w:r>
          </w:p>
        </w:tc>
        <w:tc>
          <w:tcPr>
            <w:tcW w:w="6836" w:type="dxa"/>
            <w:shd w:val="clear" w:color="auto" w:fill="FFC9C9"/>
            <w:tcMar>
              <w:top w:w="80" w:type="dxa"/>
              <w:left w:w="80" w:type="dxa"/>
              <w:bottom w:w="80" w:type="dxa"/>
              <w:right w:w="80" w:type="dxa"/>
            </w:tcMar>
          </w:tcPr>
          <w:p w14:paraId="7A3ECDC1" w14:textId="01D54D8E" w:rsidR="00CA78F5" w:rsidRPr="00CA78F5" w:rsidRDefault="00CA78F5" w:rsidP="00292A53">
            <w:pPr>
              <w:spacing w:after="60"/>
              <w:rPr>
                <w:rFonts w:cs="Arial"/>
                <w:color w:val="000000"/>
                <w:sz w:val="14"/>
                <w:szCs w:val="16"/>
                <w:lang w:val="en-GB"/>
              </w:rPr>
            </w:pPr>
            <w:r w:rsidRPr="007239A5">
              <w:rPr>
                <w:rFonts w:cs="Arial"/>
                <w:i/>
                <w:color w:val="000000"/>
                <w:sz w:val="14"/>
                <w:szCs w:val="16"/>
                <w:lang w:val="en-GB"/>
              </w:rPr>
              <w:t>Workers’ Compensation and Rehabilitation Act 2003</w:t>
            </w:r>
            <w:r w:rsidRPr="00CA78F5">
              <w:rPr>
                <w:rFonts w:cs="Arial"/>
                <w:color w:val="000000"/>
                <w:sz w:val="14"/>
                <w:szCs w:val="16"/>
                <w:lang w:val="en-GB"/>
              </w:rPr>
              <w:t xml:space="preserve"> (</w:t>
            </w:r>
            <w:hyperlink r:id="rId2109" w:anchor="sec.97" w:history="1">
              <w:r w:rsidR="004F1865" w:rsidRPr="007E71B9">
                <w:rPr>
                  <w:rStyle w:val="Hyperlink"/>
                  <w:rFonts w:cs="Arial"/>
                  <w:sz w:val="14"/>
                  <w:szCs w:val="16"/>
                  <w:lang w:val="en-GB"/>
                </w:rPr>
                <w:t>s97</w:t>
              </w:r>
            </w:hyperlink>
            <w:r w:rsidRPr="00CA78F5">
              <w:rPr>
                <w:rFonts w:cs="Arial"/>
                <w:color w:val="000000"/>
                <w:sz w:val="14"/>
                <w:szCs w:val="16"/>
                <w:lang w:val="en-GB"/>
              </w:rPr>
              <w:t>) If the self-insurer does not intend to renew the licence, the self-insurer must advise the Regulator of that fact at least 20 business days before the current licence period ends. If a self-insurer’s licence is cancelled, the premium payable by the former self-insurer is to be calculated in the way prescribed under a regulation. The self-insurer must forward on to WorkCover all claims and related documentation for compensation and any claims that would have been lodged with the self-insurer are to be lodged with WorkCover (</w:t>
            </w:r>
            <w:hyperlink r:id="rId2110" w:anchor="sec.99" w:history="1">
              <w:r w:rsidR="004F1865" w:rsidRPr="007E71B9">
                <w:rPr>
                  <w:rStyle w:val="Hyperlink"/>
                  <w:rFonts w:cs="Arial"/>
                  <w:sz w:val="14"/>
                  <w:szCs w:val="16"/>
                  <w:lang w:val="en-GB"/>
                </w:rPr>
                <w:t>s99</w:t>
              </w:r>
            </w:hyperlink>
            <w:r w:rsidRPr="00CA78F5">
              <w:rPr>
                <w:rFonts w:cs="Arial"/>
                <w:color w:val="000000"/>
                <w:sz w:val="14"/>
                <w:szCs w:val="16"/>
                <w:lang w:val="en-GB"/>
              </w:rPr>
              <w:t>).</w:t>
            </w:r>
          </w:p>
          <w:p w14:paraId="566868CC" w14:textId="7F7E0D6A"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Recovery of ongoing costs from former self-insurer (</w:t>
            </w:r>
            <w:hyperlink r:id="rId2111" w:anchor="sec.101" w:history="1">
              <w:r w:rsidR="004F1865" w:rsidRPr="007E71B9">
                <w:rPr>
                  <w:rStyle w:val="Hyperlink"/>
                  <w:rFonts w:cs="Arial"/>
                  <w:sz w:val="14"/>
                  <w:szCs w:val="16"/>
                  <w:lang w:val="en-GB"/>
                </w:rPr>
                <w:t>s101</w:t>
              </w:r>
            </w:hyperlink>
            <w:r w:rsidRPr="00CA78F5">
              <w:rPr>
                <w:rFonts w:cs="Arial"/>
                <w:color w:val="000000"/>
                <w:sz w:val="14"/>
                <w:szCs w:val="16"/>
                <w:lang w:val="en-GB"/>
              </w:rPr>
              <w:t xml:space="preserve"> </w:t>
            </w:r>
            <w:r w:rsidRPr="007239A5">
              <w:rPr>
                <w:rFonts w:cs="Arial"/>
                <w:i/>
                <w:color w:val="000000"/>
                <w:sz w:val="14"/>
                <w:szCs w:val="16"/>
                <w:lang w:val="en-GB"/>
              </w:rPr>
              <w:t>Workers’ Compensation and Rehabilitation Act 2003</w:t>
            </w:r>
            <w:r w:rsidRPr="00CA78F5">
              <w:rPr>
                <w:rFonts w:cs="Arial"/>
                <w:color w:val="000000"/>
                <w:sz w:val="14"/>
                <w:szCs w:val="16"/>
                <w:lang w:val="en-GB"/>
              </w:rPr>
              <w:t>)</w:t>
            </w:r>
          </w:p>
          <w:p w14:paraId="7E89501E"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If after the cancellation of a licence, WorkCover pays compensation or damages, or incurs management costs in managing claims for which a self-insurer is liable, this is a debt due to WorkCover by the self-insurer.</w:t>
            </w:r>
          </w:p>
          <w:p w14:paraId="74D39252" w14:textId="6CA3E0F1"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Assessing liability after cancellation (</w:t>
            </w:r>
            <w:hyperlink r:id="rId2112" w:anchor="sec.102" w:history="1">
              <w:r w:rsidR="004F1865" w:rsidRPr="007E71B9">
                <w:rPr>
                  <w:rStyle w:val="Hyperlink"/>
                  <w:rFonts w:cs="Arial"/>
                  <w:sz w:val="14"/>
                  <w:szCs w:val="16"/>
                  <w:lang w:val="en-GB"/>
                </w:rPr>
                <w:t>s102</w:t>
              </w:r>
            </w:hyperlink>
            <w:r w:rsidR="004F1865" w:rsidRPr="00CA78F5">
              <w:rPr>
                <w:rFonts w:cs="Arial"/>
                <w:color w:val="000000"/>
                <w:sz w:val="14"/>
                <w:szCs w:val="16"/>
                <w:lang w:val="en-GB"/>
              </w:rPr>
              <w:t xml:space="preserve"> </w:t>
            </w:r>
            <w:r w:rsidRPr="007239A5">
              <w:rPr>
                <w:rFonts w:cs="Arial"/>
                <w:i/>
                <w:color w:val="000000"/>
                <w:sz w:val="14"/>
                <w:szCs w:val="16"/>
                <w:lang w:val="en-GB"/>
              </w:rPr>
              <w:t>Workers’ Compensation and Rehabilitation Act 2003</w:t>
            </w:r>
            <w:r w:rsidRPr="00CA78F5">
              <w:rPr>
                <w:rFonts w:cs="Arial"/>
                <w:color w:val="000000"/>
                <w:sz w:val="14"/>
                <w:szCs w:val="16"/>
                <w:lang w:val="en-GB"/>
              </w:rPr>
              <w:t>)</w:t>
            </w:r>
          </w:p>
          <w:p w14:paraId="73A144B4"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WorkCover must appoint an actuary to assess the former self-insurer’s liability. The amount of liability assessed and management costs are a debt due to WorkCover.</w:t>
            </w:r>
          </w:p>
          <w:p w14:paraId="0CD5A368" w14:textId="1A81DE4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Return of bank guarantee or cash deposit after cancellation (</w:t>
            </w:r>
            <w:hyperlink r:id="rId2113" w:anchor="sec.103" w:history="1">
              <w:r w:rsidR="004F1865" w:rsidRPr="007E71B9">
                <w:rPr>
                  <w:rStyle w:val="Hyperlink"/>
                  <w:rFonts w:cs="Arial"/>
                  <w:sz w:val="14"/>
                  <w:szCs w:val="16"/>
                  <w:lang w:val="en-GB"/>
                </w:rPr>
                <w:t>s103</w:t>
              </w:r>
            </w:hyperlink>
            <w:r w:rsidR="004F1865" w:rsidRPr="00CA78F5">
              <w:rPr>
                <w:rFonts w:cs="Arial"/>
                <w:color w:val="000000"/>
                <w:sz w:val="14"/>
                <w:szCs w:val="16"/>
                <w:lang w:val="en-GB"/>
              </w:rPr>
              <w:t xml:space="preserve"> </w:t>
            </w:r>
            <w:r w:rsidRPr="007239A5">
              <w:rPr>
                <w:rFonts w:cs="Arial"/>
                <w:i/>
                <w:color w:val="000000"/>
                <w:sz w:val="14"/>
                <w:szCs w:val="16"/>
                <w:lang w:val="en-GB"/>
              </w:rPr>
              <w:t>Workers’ Compensation and Rehabilitation Act 2003</w:t>
            </w:r>
            <w:r w:rsidRPr="00CA78F5">
              <w:rPr>
                <w:rFonts w:cs="Arial"/>
                <w:color w:val="000000"/>
                <w:sz w:val="14"/>
                <w:szCs w:val="16"/>
                <w:lang w:val="en-GB"/>
              </w:rPr>
              <w:t>)</w:t>
            </w:r>
          </w:p>
          <w:p w14:paraId="7AEA838D"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When a self-insurer’s licence is cancelled and they consider that all accrued, continuing, future and contingent liabilities have been discharged or adequately provided for, the self-insurer may, by written notice, ask the Regulator to return the balance of the bank guarantee or cash deposit.</w:t>
            </w:r>
          </w:p>
        </w:tc>
        <w:tc>
          <w:tcPr>
            <w:tcW w:w="6836" w:type="dxa"/>
            <w:shd w:val="clear" w:color="auto" w:fill="FFC9C9"/>
            <w:tcMar>
              <w:top w:w="80" w:type="dxa"/>
              <w:left w:w="80" w:type="dxa"/>
              <w:bottom w:w="80" w:type="dxa"/>
              <w:right w:w="80" w:type="dxa"/>
            </w:tcMar>
          </w:tcPr>
          <w:p w14:paraId="11C5AFF6" w14:textId="506FC03C" w:rsidR="00CA78F5" w:rsidRPr="00CA78F5" w:rsidRDefault="00CA78F5" w:rsidP="00292A53">
            <w:pPr>
              <w:spacing w:after="60"/>
              <w:rPr>
                <w:rFonts w:cs="Arial"/>
                <w:color w:val="000000"/>
                <w:sz w:val="14"/>
                <w:szCs w:val="16"/>
                <w:lang w:val="en-GB"/>
              </w:rPr>
            </w:pPr>
            <w:r w:rsidRPr="007239A5">
              <w:rPr>
                <w:rFonts w:cs="Arial"/>
                <w:i/>
                <w:color w:val="000000"/>
                <w:sz w:val="14"/>
                <w:szCs w:val="16"/>
                <w:lang w:val="en-GB"/>
              </w:rPr>
              <w:t>Workers’ Compensation and Rehabilitation Act 2003</w:t>
            </w:r>
            <w:r w:rsidRPr="00CA78F5">
              <w:rPr>
                <w:rFonts w:cs="Arial"/>
                <w:color w:val="000000"/>
                <w:sz w:val="14"/>
                <w:szCs w:val="16"/>
                <w:lang w:val="en-GB"/>
              </w:rPr>
              <w:t xml:space="preserve"> — </w:t>
            </w:r>
            <w:hyperlink r:id="rId2114" w:anchor="sec.105B" w:history="1">
              <w:r w:rsidR="004F1865" w:rsidRPr="008F6154">
                <w:rPr>
                  <w:rStyle w:val="Hyperlink"/>
                  <w:rFonts w:cs="Arial"/>
                  <w:sz w:val="14"/>
                  <w:szCs w:val="16"/>
                  <w:lang w:val="en-GB"/>
                </w:rPr>
                <w:t>s105B</w:t>
              </w:r>
            </w:hyperlink>
            <w:r w:rsidRPr="00CA78F5">
              <w:rPr>
                <w:rFonts w:cs="Arial"/>
                <w:color w:val="000000"/>
                <w:sz w:val="14"/>
                <w:szCs w:val="16"/>
                <w:lang w:val="en-GB"/>
              </w:rPr>
              <w:t>.</w:t>
            </w:r>
          </w:p>
          <w:p w14:paraId="67FC2E08" w14:textId="794F74BF"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 xml:space="preserve">Application: Solely to former </w:t>
            </w:r>
            <w:r w:rsidR="00E43A0F">
              <w:rPr>
                <w:rFonts w:eastAsia="Calibri" w:cs="Arial"/>
                <w:sz w:val="14"/>
                <w:szCs w:val="14"/>
                <w:lang w:eastAsia="en-US"/>
              </w:rPr>
              <w:t>self-insurer</w:t>
            </w:r>
            <w:r w:rsidRPr="00E5567B">
              <w:rPr>
                <w:rFonts w:eastAsia="Calibri" w:cs="Arial"/>
                <w:sz w:val="14"/>
                <w:szCs w:val="14"/>
                <w:lang w:eastAsia="en-US"/>
              </w:rPr>
              <w:t>s who join the Comcare scheme.</w:t>
            </w:r>
          </w:p>
          <w:p w14:paraId="507ED58D"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Tail claims: The employer’s State licence continues for 12 months after exit and they retain liability for tail claims. After 12 months, WorkCover takes over responsibility for pre-exit tail claims and seeks contribution from employer or authorises the employer to continue to manage and pay for these claims.</w:t>
            </w:r>
          </w:p>
          <w:p w14:paraId="2CD36A99"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Extra charges: Levy fee for 12 months, share of actuary charges, and share of any arbiter costs.</w:t>
            </w:r>
          </w:p>
          <w:p w14:paraId="45AD4A65" w14:textId="2568517E"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Time for payment: Interim payment 12 months after exit date needs to be made within 20 business days of receiving written assessment from WorkCover (</w:t>
            </w:r>
            <w:hyperlink r:id="rId2115" w:anchor="sec.105I" w:history="1">
              <w:r w:rsidR="004F1865" w:rsidRPr="008F6154">
                <w:rPr>
                  <w:rStyle w:val="Hyperlink"/>
                  <w:rFonts w:eastAsia="Calibri" w:cs="Arial"/>
                  <w:sz w:val="14"/>
                  <w:szCs w:val="14"/>
                  <w:lang w:eastAsia="en-US"/>
                </w:rPr>
                <w:t>s105I</w:t>
              </w:r>
            </w:hyperlink>
            <w:r w:rsidRPr="00E5567B">
              <w:rPr>
                <w:rFonts w:eastAsia="Calibri" w:cs="Arial"/>
                <w:sz w:val="14"/>
                <w:szCs w:val="14"/>
                <w:lang w:eastAsia="en-US"/>
              </w:rPr>
              <w:t xml:space="preserve">). </w:t>
            </w:r>
          </w:p>
          <w:p w14:paraId="240BE43A"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 xml:space="preserve">Four years following licence cancellation, WorkCover and the employer must each appoint an actuary to recalculate the amount of liability. The employer must pay </w:t>
            </w:r>
          </w:p>
          <w:p w14:paraId="773F4F3F"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WorkCover the difference between the interim payment and the recalculation amount, plus interest on the difference from the day the whole of the interim payment was made.</w:t>
            </w:r>
          </w:p>
          <w:p w14:paraId="52D01D58"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Specific review provisions: If WorkCover and the employer cannot agree on the recalculated amount they may refer to an arbiter.</w:t>
            </w:r>
          </w:p>
          <w:p w14:paraId="1502A3BF"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Penalties: No penalties specified for late payment.</w:t>
            </w:r>
          </w:p>
        </w:tc>
      </w:tr>
      <w:tr w:rsidR="00CA78F5" w:rsidRPr="00CA78F5" w14:paraId="7686F37E" w14:textId="77777777" w:rsidTr="00B2173F">
        <w:tc>
          <w:tcPr>
            <w:tcW w:w="1343" w:type="dxa"/>
            <w:tcMar>
              <w:top w:w="80" w:type="dxa"/>
              <w:left w:w="80" w:type="dxa"/>
              <w:bottom w:w="80" w:type="dxa"/>
              <w:right w:w="80" w:type="dxa"/>
            </w:tcMar>
          </w:tcPr>
          <w:p w14:paraId="28D71FB1"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Western Australia</w:t>
            </w:r>
          </w:p>
        </w:tc>
        <w:tc>
          <w:tcPr>
            <w:tcW w:w="6836" w:type="dxa"/>
            <w:tcMar>
              <w:top w:w="80" w:type="dxa"/>
              <w:left w:w="80" w:type="dxa"/>
              <w:bottom w:w="80" w:type="dxa"/>
              <w:right w:w="80" w:type="dxa"/>
            </w:tcMar>
          </w:tcPr>
          <w:p w14:paraId="5FE79F77" w14:textId="230A36EC"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An employer or group of employers that cease to be exempt is required to insure in accordance with </w:t>
            </w:r>
            <w:hyperlink r:id="rId2116" w:history="1">
              <w:r w:rsidRPr="007173C4">
                <w:rPr>
                  <w:rStyle w:val="Hyperlink"/>
                  <w:rFonts w:cs="Arial"/>
                  <w:sz w:val="14"/>
                  <w:szCs w:val="16"/>
                  <w:lang w:val="en-GB"/>
                </w:rPr>
                <w:t>s160</w:t>
              </w:r>
            </w:hyperlink>
            <w:r w:rsidRPr="00CA78F5">
              <w:rPr>
                <w:rFonts w:cs="Arial"/>
                <w:color w:val="000000"/>
                <w:sz w:val="14"/>
                <w:szCs w:val="16"/>
                <w:lang w:val="en-GB"/>
              </w:rPr>
              <w:t xml:space="preserve"> of the </w:t>
            </w:r>
            <w:r w:rsidRPr="007239A5">
              <w:rPr>
                <w:rFonts w:cs="Arial"/>
                <w:i/>
                <w:color w:val="000000"/>
                <w:sz w:val="14"/>
                <w:szCs w:val="16"/>
                <w:lang w:val="en-GB"/>
              </w:rPr>
              <w:t>Workers’ Compensation and Injury Management Act 1981</w:t>
            </w:r>
            <w:r w:rsidRPr="00CA78F5">
              <w:rPr>
                <w:rFonts w:cs="Arial"/>
                <w:color w:val="000000"/>
                <w:sz w:val="14"/>
                <w:szCs w:val="16"/>
                <w:lang w:val="en-GB"/>
              </w:rPr>
              <w:t>. Where cancellation occurs, the bond will be held until all claims relevant to the period of self-insurance are satisfied.</w:t>
            </w:r>
          </w:p>
        </w:tc>
        <w:tc>
          <w:tcPr>
            <w:tcW w:w="6836" w:type="dxa"/>
            <w:tcMar>
              <w:top w:w="80" w:type="dxa"/>
              <w:left w:w="80" w:type="dxa"/>
              <w:bottom w:w="80" w:type="dxa"/>
              <w:right w:w="80" w:type="dxa"/>
            </w:tcMar>
          </w:tcPr>
          <w:p w14:paraId="53DD9416" w14:textId="1F437ED0" w:rsidR="00CA78F5" w:rsidRPr="00CA78F5" w:rsidRDefault="00EF6585" w:rsidP="00292A53">
            <w:pPr>
              <w:spacing w:after="60"/>
              <w:rPr>
                <w:rFonts w:cs="Arial"/>
                <w:color w:val="000000"/>
                <w:sz w:val="14"/>
                <w:szCs w:val="16"/>
                <w:lang w:val="en-GB"/>
              </w:rPr>
            </w:pPr>
            <w:r>
              <w:rPr>
                <w:rFonts w:cs="Arial"/>
                <w:color w:val="000000"/>
                <w:sz w:val="14"/>
                <w:szCs w:val="16"/>
                <w:lang w:val="en-GB"/>
              </w:rPr>
              <w:t>No specific provisions</w:t>
            </w:r>
          </w:p>
        </w:tc>
      </w:tr>
      <w:tr w:rsidR="00CA78F5" w:rsidRPr="00CA78F5" w14:paraId="2BCBC69B" w14:textId="77777777" w:rsidTr="00B2173F">
        <w:tc>
          <w:tcPr>
            <w:tcW w:w="1343" w:type="dxa"/>
            <w:shd w:val="clear" w:color="auto" w:fill="FFC9C9"/>
            <w:tcMar>
              <w:top w:w="80" w:type="dxa"/>
              <w:left w:w="80" w:type="dxa"/>
              <w:bottom w:w="80" w:type="dxa"/>
              <w:right w:w="80" w:type="dxa"/>
            </w:tcMar>
          </w:tcPr>
          <w:p w14:paraId="3238315E"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South Australia</w:t>
            </w:r>
          </w:p>
        </w:tc>
        <w:tc>
          <w:tcPr>
            <w:tcW w:w="6836" w:type="dxa"/>
            <w:shd w:val="clear" w:color="auto" w:fill="FFC9C9"/>
            <w:tcMar>
              <w:top w:w="80" w:type="dxa"/>
              <w:left w:w="80" w:type="dxa"/>
              <w:bottom w:w="80" w:type="dxa"/>
              <w:right w:w="80" w:type="dxa"/>
            </w:tcMar>
          </w:tcPr>
          <w:p w14:paraId="30CAC21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Assumption of liabilities</w:t>
            </w:r>
          </w:p>
          <w:p w14:paraId="6D847EC9" w14:textId="3E28DDD2"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Pursuant to </w:t>
            </w:r>
            <w:hyperlink r:id="rId2117" w:history="1">
              <w:r w:rsidR="007173C4" w:rsidRPr="007173C4">
                <w:rPr>
                  <w:rStyle w:val="Hyperlink"/>
                  <w:rFonts w:cs="Arial"/>
                  <w:sz w:val="14"/>
                  <w:szCs w:val="16"/>
                  <w:lang w:val="en-GB"/>
                </w:rPr>
                <w:t>s167</w:t>
              </w:r>
            </w:hyperlink>
            <w:r w:rsidR="007173C4">
              <w:rPr>
                <w:rFonts w:cs="Arial"/>
                <w:color w:val="000000"/>
                <w:sz w:val="14"/>
                <w:szCs w:val="16"/>
                <w:lang w:val="en-GB"/>
              </w:rPr>
              <w:t xml:space="preserve"> </w:t>
            </w:r>
            <w:r w:rsidRPr="00CA78F5">
              <w:rPr>
                <w:rFonts w:cs="Arial"/>
                <w:color w:val="000000"/>
                <w:sz w:val="14"/>
                <w:szCs w:val="16"/>
                <w:lang w:val="en-GB"/>
              </w:rPr>
              <w:t xml:space="preserve">of the </w:t>
            </w:r>
            <w:r w:rsidRPr="00CA78F5">
              <w:rPr>
                <w:rFonts w:cs="Arial"/>
                <w:i/>
                <w:color w:val="000000"/>
                <w:sz w:val="14"/>
                <w:szCs w:val="16"/>
                <w:lang w:val="en-GB"/>
              </w:rPr>
              <w:t>Return to Work Act</w:t>
            </w:r>
            <w:r w:rsidRPr="00CA78F5">
              <w:rPr>
                <w:rFonts w:cs="Arial"/>
                <w:color w:val="000000"/>
                <w:sz w:val="14"/>
                <w:szCs w:val="16"/>
                <w:lang w:val="en-GB"/>
              </w:rPr>
              <w:t xml:space="preserve"> </w:t>
            </w:r>
            <w:r w:rsidRPr="00B2471E">
              <w:rPr>
                <w:rFonts w:cs="Arial"/>
                <w:i/>
                <w:color w:val="000000"/>
                <w:sz w:val="14"/>
                <w:szCs w:val="16"/>
                <w:lang w:val="en-GB"/>
              </w:rPr>
              <w:t>2014</w:t>
            </w:r>
            <w:r w:rsidRPr="00CA78F5">
              <w:rPr>
                <w:rFonts w:cs="Arial"/>
                <w:color w:val="000000"/>
                <w:sz w:val="14"/>
                <w:szCs w:val="16"/>
                <w:lang w:val="en-GB"/>
              </w:rPr>
              <w:t>, ReturnToWorkSA is the insurer of last resort and must undertake the liabilities of any self-insured employer that ceases to be registered as a self-insured employer. ReturnToWorkSA may at its sole discretion delay the undertaking of liabilities for such period as it deems appropriate.</w:t>
            </w:r>
          </w:p>
          <w:p w14:paraId="0F00D916" w14:textId="7179FB0C"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Where ReturnToWorkSA assumes the liabilities of a self-insured employer, either in whole or part, it is entitled to receive a payment from the employer equal to the capitalised value of all outstanding liabilities multiplied by that same prudential margin applied on calculating financial guarantees. ReturnToWorkSA may recover the amount of liabilities undertaken by ReturnToWorkSA either as a debt due to ReturnToWorkSA or as a claim — </w:t>
            </w:r>
            <w:hyperlink r:id="rId2118" w:history="1">
              <w:r w:rsidRPr="007173C4">
                <w:rPr>
                  <w:rStyle w:val="Hyperlink"/>
                  <w:rFonts w:cs="Arial"/>
                  <w:sz w:val="14"/>
                  <w:szCs w:val="16"/>
                  <w:lang w:val="en-GB"/>
                </w:rPr>
                <w:t>s167(3)</w:t>
              </w:r>
            </w:hyperlink>
            <w:r w:rsidRPr="00CA78F5">
              <w:rPr>
                <w:rFonts w:cs="Arial"/>
                <w:color w:val="000000"/>
                <w:sz w:val="14"/>
                <w:szCs w:val="16"/>
                <w:lang w:val="en-GB"/>
              </w:rPr>
              <w:t xml:space="preserve">, </w:t>
            </w:r>
            <w:hyperlink r:id="rId2119" w:history="1">
              <w:r w:rsidRPr="00347D0D">
                <w:rPr>
                  <w:rStyle w:val="Hyperlink"/>
                  <w:rFonts w:cs="Arial"/>
                  <w:sz w:val="14"/>
                  <w:szCs w:val="16"/>
                  <w:lang w:val="en-GB"/>
                </w:rPr>
                <w:t>reg 62</w:t>
              </w:r>
            </w:hyperlink>
            <w:r w:rsidRPr="00CA78F5">
              <w:rPr>
                <w:rFonts w:cs="Arial"/>
                <w:color w:val="000000"/>
                <w:sz w:val="14"/>
                <w:szCs w:val="16"/>
                <w:lang w:val="en-GB"/>
              </w:rPr>
              <w:t xml:space="preserve"> and 8.6 Code of conduct for self-insured employers</w:t>
            </w:r>
          </w:p>
          <w:p w14:paraId="2E94E268"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Payment</w:t>
            </w:r>
          </w:p>
          <w:p w14:paraId="20BE7937"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ReturnToWorkSA may, at its discretion, give a self-insured employer whose registration is ceasing a choice as to whether to pay the capitalised sum from its own resources, or to have the financial guarantee provided during the period of self-insured employer registration paid to ReturnToWorkSA. Any shortfall in the financial guarantee relative to the assessed value of the liabilities will be payable by the employer to ReturnToWorkSA as a debt.</w:t>
            </w:r>
          </w:p>
          <w:p w14:paraId="463CE6C2"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Run off of claims</w:t>
            </w:r>
          </w:p>
          <w:p w14:paraId="296D67A9"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Where ReturnToWorkSA deems a run off to be appropriate or necessary in the circumstances, </w:t>
            </w:r>
            <w:r w:rsidRPr="00CA78F5">
              <w:rPr>
                <w:rFonts w:cs="Arial"/>
                <w:color w:val="000000"/>
                <w:sz w:val="14"/>
                <w:szCs w:val="16"/>
                <w:lang w:val="en-GB"/>
              </w:rPr>
              <w:lastRenderedPageBreak/>
              <w:t>ReturnToWorkSA may also determine that the former self-insured employer continues to exercise some or all of its delegated powers and discretions. Without limitation, ReturnToWorkSA will ordinarily consider the following circumstances as being suitable circumstances in which to allow the former self-insured employer to run off its claims:</w:t>
            </w:r>
          </w:p>
          <w:p w14:paraId="652E874C" w14:textId="77777777" w:rsidR="00CA78F5" w:rsidRPr="00E5567B" w:rsidRDefault="00CA78F5" w:rsidP="00F839DB">
            <w:pPr>
              <w:pStyle w:val="ListParagraph"/>
              <w:numPr>
                <w:ilvl w:val="0"/>
                <w:numId w:val="405"/>
              </w:numPr>
              <w:spacing w:after="60"/>
              <w:ind w:left="357" w:hanging="357"/>
              <w:contextualSpacing/>
              <w:rPr>
                <w:rFonts w:cs="Arial"/>
                <w:color w:val="000000"/>
                <w:sz w:val="14"/>
                <w:szCs w:val="16"/>
                <w:lang w:val="en-GB"/>
              </w:rPr>
            </w:pPr>
            <w:r w:rsidRPr="00E5567B">
              <w:rPr>
                <w:rFonts w:cs="Arial"/>
                <w:color w:val="000000"/>
                <w:sz w:val="14"/>
                <w:szCs w:val="16"/>
                <w:lang w:val="en-GB"/>
              </w:rPr>
              <w:t>Employers that have substantially reduced their workforce but which have performed their self-insured employer duties and obligations in accordance with the requirements of the Act and its term and conditions of registration.</w:t>
            </w:r>
          </w:p>
          <w:p w14:paraId="450964B2" w14:textId="77777777" w:rsidR="00CA78F5" w:rsidRPr="00E5567B" w:rsidRDefault="00CA78F5" w:rsidP="00F839DB">
            <w:pPr>
              <w:pStyle w:val="ListParagraph"/>
              <w:numPr>
                <w:ilvl w:val="0"/>
                <w:numId w:val="405"/>
              </w:numPr>
              <w:spacing w:after="60"/>
              <w:ind w:left="357" w:hanging="357"/>
              <w:contextualSpacing/>
              <w:rPr>
                <w:rFonts w:cs="Arial"/>
                <w:color w:val="000000"/>
                <w:sz w:val="14"/>
                <w:szCs w:val="16"/>
                <w:lang w:val="en-GB"/>
              </w:rPr>
            </w:pPr>
            <w:r w:rsidRPr="00E5567B">
              <w:rPr>
                <w:rFonts w:cs="Arial"/>
                <w:color w:val="000000"/>
                <w:sz w:val="14"/>
                <w:szCs w:val="16"/>
                <w:lang w:val="en-GB"/>
              </w:rPr>
              <w:t>A subsidiary of a self-insured employer is sold and the subsidiary or the self-insured employer has sufficient resources and financial security to run off its claims.</w:t>
            </w:r>
          </w:p>
          <w:p w14:paraId="1468E4B2" w14:textId="77777777" w:rsidR="00CA78F5" w:rsidRPr="00E5567B" w:rsidRDefault="00CA78F5" w:rsidP="00F839DB">
            <w:pPr>
              <w:pStyle w:val="ListParagraph"/>
              <w:numPr>
                <w:ilvl w:val="0"/>
                <w:numId w:val="405"/>
              </w:numPr>
              <w:spacing w:after="60"/>
              <w:rPr>
                <w:rFonts w:cs="Arial"/>
                <w:color w:val="000000"/>
                <w:sz w:val="14"/>
                <w:szCs w:val="16"/>
                <w:lang w:val="en-GB"/>
              </w:rPr>
            </w:pPr>
            <w:r w:rsidRPr="00E5567B">
              <w:rPr>
                <w:rFonts w:cs="Arial"/>
                <w:color w:val="000000"/>
                <w:sz w:val="14"/>
                <w:szCs w:val="16"/>
                <w:lang w:val="en-GB"/>
              </w:rPr>
              <w:t>An employer closes down its operations in the state, but remains a viable company operating interstate.</w:t>
            </w:r>
          </w:p>
          <w:p w14:paraId="171A46F3"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ReturnToWorkSA will evaluate the former self-insured employer's compliance with the Act, WHS Standards and Injury Management Standards and the agreement referred to in clause 8.8 and may terminate the run off if ReturnToWorkSA considers there are substantive grounds for doing so.</w:t>
            </w:r>
          </w:p>
          <w:p w14:paraId="66209A4A"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Upon cessation of the run off period, ReturnToWorkSA will appoint an Actuary to assess the value of the claims existing at that time in order to calculate the capitalised sum (if any) the employer must pay to ReturnToWorkSA.</w:t>
            </w:r>
          </w:p>
          <w:p w14:paraId="0BCBE3B3"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Agreement</w:t>
            </w:r>
          </w:p>
          <w:p w14:paraId="27EB0333"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In circumstances where ReturnToWorkSA has decided not to delay the undertaking all of the liabilities of the former self-insured employer and to continue the delegation of powers and discretions to the former self-insured employer for a period, ReturnToWorkSA may require the former self-insured employer to enter into an agreement with ReturnToWorkSA.</w:t>
            </w:r>
          </w:p>
        </w:tc>
        <w:tc>
          <w:tcPr>
            <w:tcW w:w="6836" w:type="dxa"/>
            <w:shd w:val="clear" w:color="auto" w:fill="FFC9C9"/>
            <w:tcMar>
              <w:top w:w="80" w:type="dxa"/>
              <w:left w:w="80" w:type="dxa"/>
              <w:bottom w:w="80" w:type="dxa"/>
              <w:right w:w="80" w:type="dxa"/>
            </w:tcMar>
          </w:tcPr>
          <w:p w14:paraId="7DE685B4" w14:textId="63D66BDB"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lastRenderedPageBreak/>
              <w:t>ReturnToWorkSA does not impose a</w:t>
            </w:r>
            <w:r w:rsidR="00EF6585">
              <w:rPr>
                <w:rFonts w:cs="Arial"/>
                <w:color w:val="000000"/>
                <w:sz w:val="14"/>
                <w:szCs w:val="16"/>
                <w:lang w:val="en-GB"/>
              </w:rPr>
              <w:t xml:space="preserve"> discontinuance fee or exit fee</w:t>
            </w:r>
          </w:p>
          <w:p w14:paraId="0FA443DA" w14:textId="77777777" w:rsidR="00CA78F5" w:rsidRPr="00CA78F5" w:rsidRDefault="00CA78F5" w:rsidP="00292A53">
            <w:pPr>
              <w:spacing w:after="60"/>
              <w:contextualSpacing/>
              <w:rPr>
                <w:rFonts w:cs="Arial"/>
                <w:color w:val="000000"/>
                <w:sz w:val="14"/>
                <w:szCs w:val="16"/>
                <w:lang w:val="en-GB"/>
              </w:rPr>
            </w:pPr>
          </w:p>
        </w:tc>
      </w:tr>
      <w:tr w:rsidR="00CA78F5" w:rsidRPr="00CA78F5" w14:paraId="138C8619" w14:textId="77777777" w:rsidTr="00B2173F">
        <w:tc>
          <w:tcPr>
            <w:tcW w:w="1343" w:type="dxa"/>
            <w:tcMar>
              <w:top w:w="80" w:type="dxa"/>
              <w:left w:w="80" w:type="dxa"/>
              <w:bottom w:w="80" w:type="dxa"/>
              <w:right w:w="80" w:type="dxa"/>
            </w:tcMar>
          </w:tcPr>
          <w:p w14:paraId="438EFBEE"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Tasmania</w:t>
            </w:r>
          </w:p>
        </w:tc>
        <w:tc>
          <w:tcPr>
            <w:tcW w:w="6836" w:type="dxa"/>
            <w:tcMar>
              <w:top w:w="80" w:type="dxa"/>
              <w:left w:w="80" w:type="dxa"/>
              <w:bottom w:w="80" w:type="dxa"/>
              <w:right w:w="80" w:type="dxa"/>
            </w:tcMar>
          </w:tcPr>
          <w:p w14:paraId="43727159" w14:textId="77777777" w:rsidR="0084023A" w:rsidRPr="00CA78F5" w:rsidRDefault="0084023A" w:rsidP="0084023A">
            <w:pPr>
              <w:spacing w:after="60"/>
              <w:contextualSpacing/>
              <w:rPr>
                <w:rFonts w:cs="Arial"/>
                <w:color w:val="000000"/>
                <w:sz w:val="14"/>
                <w:szCs w:val="16"/>
                <w:lang w:val="en-GB"/>
              </w:rPr>
            </w:pPr>
            <w:r w:rsidRPr="00CA78F5">
              <w:rPr>
                <w:rFonts w:cs="Arial"/>
                <w:color w:val="000000"/>
                <w:sz w:val="14"/>
                <w:szCs w:val="16"/>
                <w:lang w:val="en-GB"/>
              </w:rPr>
              <w:t>Exit provisions are set out in the following Guideline:</w:t>
            </w:r>
          </w:p>
          <w:p w14:paraId="0D38F5CA" w14:textId="18733EBF" w:rsidR="00CA78F5" w:rsidRPr="00CA78F5" w:rsidRDefault="00A7538C" w:rsidP="0084023A">
            <w:pPr>
              <w:spacing w:after="60"/>
              <w:contextualSpacing/>
              <w:rPr>
                <w:rFonts w:cs="Arial"/>
                <w:color w:val="000000"/>
                <w:sz w:val="14"/>
                <w:szCs w:val="16"/>
                <w:lang w:val="en-GB"/>
              </w:rPr>
            </w:pPr>
            <w:hyperlink r:id="rId2120" w:history="1">
              <w:r w:rsidR="0084023A" w:rsidRPr="007C7A5B">
                <w:rPr>
                  <w:rStyle w:val="Hyperlink"/>
                  <w:rFonts w:cs="Arial"/>
                  <w:sz w:val="14"/>
                  <w:szCs w:val="16"/>
                  <w:lang w:val="en-GB"/>
                </w:rPr>
                <w:t>How to apply to cease being a permit holder</w:t>
              </w:r>
            </w:hyperlink>
          </w:p>
        </w:tc>
        <w:tc>
          <w:tcPr>
            <w:tcW w:w="6836" w:type="dxa"/>
            <w:tcMar>
              <w:top w:w="80" w:type="dxa"/>
              <w:left w:w="80" w:type="dxa"/>
              <w:bottom w:w="80" w:type="dxa"/>
              <w:right w:w="80" w:type="dxa"/>
            </w:tcMar>
          </w:tcPr>
          <w:p w14:paraId="5D39F583" w14:textId="24B21E9F" w:rsidR="00CA78F5" w:rsidRPr="00CA78F5" w:rsidRDefault="00EF6585" w:rsidP="00292A53">
            <w:pPr>
              <w:spacing w:after="60"/>
              <w:contextualSpacing/>
              <w:rPr>
                <w:rFonts w:cs="Arial"/>
                <w:color w:val="000000"/>
                <w:sz w:val="14"/>
                <w:szCs w:val="16"/>
                <w:lang w:val="en-GB"/>
              </w:rPr>
            </w:pPr>
            <w:r>
              <w:rPr>
                <w:rFonts w:cs="Arial"/>
                <w:color w:val="000000"/>
                <w:sz w:val="14"/>
                <w:szCs w:val="16"/>
                <w:lang w:val="en-GB"/>
              </w:rPr>
              <w:t>No specific provisions</w:t>
            </w:r>
          </w:p>
        </w:tc>
      </w:tr>
      <w:tr w:rsidR="00CA78F5" w:rsidRPr="00CA78F5" w14:paraId="07E2AD2E" w14:textId="77777777" w:rsidTr="00B2173F">
        <w:tc>
          <w:tcPr>
            <w:tcW w:w="1343" w:type="dxa"/>
            <w:shd w:val="clear" w:color="auto" w:fill="FFC9C9"/>
            <w:tcMar>
              <w:top w:w="80" w:type="dxa"/>
              <w:left w:w="80" w:type="dxa"/>
              <w:bottom w:w="80" w:type="dxa"/>
              <w:right w:w="80" w:type="dxa"/>
            </w:tcMar>
          </w:tcPr>
          <w:p w14:paraId="110128F4"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Northern Territory</w:t>
            </w:r>
          </w:p>
        </w:tc>
        <w:tc>
          <w:tcPr>
            <w:tcW w:w="6836" w:type="dxa"/>
            <w:shd w:val="clear" w:color="auto" w:fill="FFC9C9"/>
            <w:tcMar>
              <w:top w:w="80" w:type="dxa"/>
              <w:left w:w="80" w:type="dxa"/>
              <w:bottom w:w="80" w:type="dxa"/>
              <w:right w:w="80" w:type="dxa"/>
            </w:tcMar>
          </w:tcPr>
          <w:p w14:paraId="748CD122" w14:textId="1C2592D8"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 xml:space="preserve">Employer retains responsibility for run off of claims incurred </w:t>
            </w:r>
            <w:r w:rsidR="00EF6585">
              <w:rPr>
                <w:rFonts w:cs="Arial"/>
                <w:color w:val="000000"/>
                <w:sz w:val="14"/>
                <w:szCs w:val="16"/>
                <w:lang w:val="en-GB"/>
              </w:rPr>
              <w:t>during period of self-insurance</w:t>
            </w:r>
          </w:p>
        </w:tc>
        <w:tc>
          <w:tcPr>
            <w:tcW w:w="6836" w:type="dxa"/>
            <w:shd w:val="clear" w:color="auto" w:fill="FFC9C9"/>
            <w:tcMar>
              <w:top w:w="80" w:type="dxa"/>
              <w:left w:w="80" w:type="dxa"/>
              <w:bottom w:w="80" w:type="dxa"/>
              <w:right w:w="80" w:type="dxa"/>
            </w:tcMar>
          </w:tcPr>
          <w:p w14:paraId="594003E7" w14:textId="33E2EDC2" w:rsidR="00CA78F5" w:rsidRPr="00CA78F5" w:rsidRDefault="00EF6585" w:rsidP="00292A53">
            <w:pPr>
              <w:spacing w:after="60"/>
              <w:contextualSpacing/>
              <w:rPr>
                <w:rFonts w:cs="Arial"/>
                <w:color w:val="000000"/>
                <w:sz w:val="14"/>
                <w:szCs w:val="16"/>
                <w:lang w:val="en-GB"/>
              </w:rPr>
            </w:pPr>
            <w:r>
              <w:rPr>
                <w:rFonts w:cs="Arial"/>
                <w:color w:val="000000"/>
                <w:sz w:val="14"/>
                <w:szCs w:val="16"/>
                <w:lang w:val="en-GB"/>
              </w:rPr>
              <w:t xml:space="preserve">No </w:t>
            </w:r>
            <w:r w:rsidR="00F52730">
              <w:rPr>
                <w:rFonts w:cs="Arial"/>
                <w:color w:val="000000"/>
                <w:sz w:val="14"/>
                <w:szCs w:val="16"/>
                <w:lang w:val="en-GB"/>
              </w:rPr>
              <w:t>specific provisions</w:t>
            </w:r>
          </w:p>
        </w:tc>
      </w:tr>
      <w:tr w:rsidR="00CA78F5" w:rsidRPr="00CA78F5" w14:paraId="2410790B" w14:textId="77777777" w:rsidTr="00B2173F">
        <w:tc>
          <w:tcPr>
            <w:tcW w:w="1343" w:type="dxa"/>
            <w:tcMar>
              <w:top w:w="80" w:type="dxa"/>
              <w:left w:w="80" w:type="dxa"/>
              <w:bottom w:w="80" w:type="dxa"/>
              <w:right w:w="80" w:type="dxa"/>
            </w:tcMar>
          </w:tcPr>
          <w:p w14:paraId="1E1A85A5"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Australian Capital Territory</w:t>
            </w:r>
          </w:p>
        </w:tc>
        <w:tc>
          <w:tcPr>
            <w:tcW w:w="6836" w:type="dxa"/>
            <w:tcMar>
              <w:top w:w="80" w:type="dxa"/>
              <w:left w:w="80" w:type="dxa"/>
              <w:bottom w:w="80" w:type="dxa"/>
              <w:right w:w="80" w:type="dxa"/>
            </w:tcMar>
          </w:tcPr>
          <w:p w14:paraId="7A85CCCD" w14:textId="6EC22FA9"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 xml:space="preserve">Under </w:t>
            </w:r>
            <w:hyperlink r:id="rId2121" w:history="1">
              <w:r w:rsidRPr="007173C4">
                <w:rPr>
                  <w:rStyle w:val="Hyperlink"/>
                  <w:rFonts w:cs="Arial"/>
                  <w:sz w:val="14"/>
                  <w:szCs w:val="16"/>
                  <w:lang w:val="en-GB"/>
                </w:rPr>
                <w:t>s94</w:t>
              </w:r>
            </w:hyperlink>
            <w:r w:rsidRPr="00CA78F5">
              <w:rPr>
                <w:rFonts w:cs="Arial"/>
                <w:color w:val="000000"/>
                <w:sz w:val="14"/>
                <w:szCs w:val="16"/>
                <w:lang w:val="en-GB"/>
              </w:rPr>
              <w:t xml:space="preserve"> of the Workers’ Compensation Regulation 2002, the Minister may revoke or suspend a self-insurers exemption. This must be done in writing and is effective seven days after notice has been given.</w:t>
            </w:r>
          </w:p>
        </w:tc>
        <w:tc>
          <w:tcPr>
            <w:tcW w:w="6836" w:type="dxa"/>
            <w:tcMar>
              <w:top w:w="80" w:type="dxa"/>
              <w:left w:w="80" w:type="dxa"/>
              <w:bottom w:w="80" w:type="dxa"/>
              <w:right w:w="80" w:type="dxa"/>
            </w:tcMar>
          </w:tcPr>
          <w:p w14:paraId="7A0EC7B6" w14:textId="5AAE6773" w:rsidR="00CA78F5" w:rsidRPr="00CA78F5" w:rsidRDefault="00EF6585" w:rsidP="00292A53">
            <w:pPr>
              <w:spacing w:after="60"/>
              <w:contextualSpacing/>
              <w:rPr>
                <w:rFonts w:cs="Arial"/>
                <w:color w:val="000000"/>
                <w:sz w:val="14"/>
                <w:szCs w:val="16"/>
                <w:lang w:val="en-GB"/>
              </w:rPr>
            </w:pPr>
            <w:r>
              <w:rPr>
                <w:rFonts w:cs="Arial"/>
                <w:color w:val="000000"/>
                <w:sz w:val="14"/>
                <w:szCs w:val="16"/>
                <w:lang w:val="en-GB"/>
              </w:rPr>
              <w:t>No specific provisions</w:t>
            </w:r>
          </w:p>
        </w:tc>
      </w:tr>
      <w:tr w:rsidR="00CA78F5" w:rsidRPr="00CA78F5" w14:paraId="0140EA1F" w14:textId="77777777" w:rsidTr="00B2173F">
        <w:tc>
          <w:tcPr>
            <w:tcW w:w="1343" w:type="dxa"/>
            <w:shd w:val="clear" w:color="auto" w:fill="FFC9C9"/>
            <w:tcMar>
              <w:top w:w="80" w:type="dxa"/>
              <w:left w:w="80" w:type="dxa"/>
              <w:bottom w:w="80" w:type="dxa"/>
              <w:right w:w="80" w:type="dxa"/>
            </w:tcMar>
          </w:tcPr>
          <w:p w14:paraId="27007270"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C’wealth Comcare</w:t>
            </w:r>
          </w:p>
        </w:tc>
        <w:tc>
          <w:tcPr>
            <w:tcW w:w="6836" w:type="dxa"/>
            <w:shd w:val="clear" w:color="auto" w:fill="FFC9C9"/>
            <w:tcMar>
              <w:top w:w="80" w:type="dxa"/>
              <w:left w:w="80" w:type="dxa"/>
              <w:bottom w:w="80" w:type="dxa"/>
              <w:right w:w="80" w:type="dxa"/>
            </w:tcMar>
          </w:tcPr>
          <w:p w14:paraId="57330B8D" w14:textId="77FFB732"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 xml:space="preserve">A licensee may request the Commission to revoke its licence at a date from which it no longer wishes to hold such a licence under the </w:t>
            </w:r>
            <w:r w:rsidR="007173C4" w:rsidRPr="00016069">
              <w:rPr>
                <w:i/>
                <w:sz w:val="14"/>
              </w:rPr>
              <w:t>Safety, Rehabilitation and Compensation Act 1988</w:t>
            </w:r>
            <w:r w:rsidRPr="00CA78F5">
              <w:rPr>
                <w:rFonts w:cs="Arial"/>
                <w:color w:val="000000"/>
                <w:sz w:val="14"/>
                <w:szCs w:val="16"/>
                <w:lang w:val="en-GB"/>
              </w:rPr>
              <w:t>. There are two general scenarios for a licence revocation:</w:t>
            </w:r>
          </w:p>
          <w:p w14:paraId="5C4F0A65" w14:textId="77777777" w:rsidR="00CA78F5" w:rsidRPr="00CA78F5" w:rsidRDefault="00CA78F5" w:rsidP="00F839DB">
            <w:pPr>
              <w:pStyle w:val="ListParagraph"/>
              <w:numPr>
                <w:ilvl w:val="0"/>
                <w:numId w:val="397"/>
              </w:numPr>
              <w:spacing w:after="60"/>
              <w:contextualSpacing/>
              <w:rPr>
                <w:rFonts w:cs="Arial"/>
                <w:color w:val="000000"/>
                <w:sz w:val="14"/>
                <w:szCs w:val="16"/>
                <w:lang w:val="en-GB"/>
              </w:rPr>
            </w:pPr>
            <w:r w:rsidRPr="00CA78F5">
              <w:rPr>
                <w:rFonts w:cs="Arial"/>
                <w:color w:val="000000"/>
                <w:sz w:val="14"/>
                <w:szCs w:val="16"/>
                <w:lang w:val="en-GB"/>
              </w:rPr>
              <w:t>Comcare continues to hold the bank guarantee and the ex-licensee continues to discharge its SRC Act liabilities post-revocation. The ex-licensee (or a third party) would manage the claims relating to the licence period. In this scenario, a number of licence conditions (including requirements for claims management) survive revocation. The SRC Commission would need to be satisfied that the claims relating to the licence period continue to be managed in accordance with its standards. To verify this, some continued regulatory oversight may be required and payments made by the ex-licensee parties to ensure this regulatory work (post-revocation) is fully funded.</w:t>
            </w:r>
          </w:p>
          <w:p w14:paraId="5F4EAD4A" w14:textId="77777777" w:rsidR="00CA78F5" w:rsidRPr="00CA78F5" w:rsidRDefault="00CA78F5" w:rsidP="00F839DB">
            <w:pPr>
              <w:pStyle w:val="ListParagraph"/>
              <w:numPr>
                <w:ilvl w:val="0"/>
                <w:numId w:val="397"/>
              </w:numPr>
              <w:spacing w:after="60"/>
              <w:contextualSpacing/>
              <w:rPr>
                <w:rFonts w:eastAsia="Calibri" w:cs="Arial"/>
                <w:sz w:val="14"/>
                <w:szCs w:val="14"/>
                <w:lang w:eastAsia="en-US"/>
              </w:rPr>
            </w:pPr>
            <w:r w:rsidRPr="00CA78F5">
              <w:rPr>
                <w:rFonts w:eastAsia="Calibri" w:cs="Arial"/>
                <w:sz w:val="14"/>
                <w:szCs w:val="14"/>
                <w:lang w:eastAsia="en-US"/>
              </w:rPr>
              <w:t>The bank guarantee is called in and Comcare (or a third party) manages the claims.</w:t>
            </w:r>
          </w:p>
        </w:tc>
        <w:tc>
          <w:tcPr>
            <w:tcW w:w="6836" w:type="dxa"/>
            <w:shd w:val="clear" w:color="auto" w:fill="FFC9C9"/>
            <w:tcMar>
              <w:top w:w="80" w:type="dxa"/>
              <w:left w:w="80" w:type="dxa"/>
              <w:bottom w:w="80" w:type="dxa"/>
              <w:right w:w="80" w:type="dxa"/>
            </w:tcMar>
          </w:tcPr>
          <w:p w14:paraId="685ADF99" w14:textId="6FC37C1E"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N/A</w:t>
            </w:r>
          </w:p>
        </w:tc>
      </w:tr>
      <w:tr w:rsidR="00CA78F5" w:rsidRPr="00CA78F5" w14:paraId="124276EE" w14:textId="77777777" w:rsidTr="00B2173F">
        <w:tc>
          <w:tcPr>
            <w:tcW w:w="1343" w:type="dxa"/>
            <w:tcMar>
              <w:top w:w="80" w:type="dxa"/>
              <w:left w:w="80" w:type="dxa"/>
              <w:bottom w:w="80" w:type="dxa"/>
              <w:right w:w="80" w:type="dxa"/>
            </w:tcMar>
          </w:tcPr>
          <w:p w14:paraId="32624C34"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New Zealand</w:t>
            </w:r>
          </w:p>
        </w:tc>
        <w:tc>
          <w:tcPr>
            <w:tcW w:w="6836" w:type="dxa"/>
            <w:tcMar>
              <w:top w:w="80" w:type="dxa"/>
              <w:left w:w="80" w:type="dxa"/>
              <w:bottom w:w="80" w:type="dxa"/>
              <w:right w:w="80" w:type="dxa"/>
            </w:tcMar>
          </w:tcPr>
          <w:p w14:paraId="00122F6D" w14:textId="77777777"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ACC has the right to terminate in respect of:</w:t>
            </w:r>
          </w:p>
          <w:p w14:paraId="54B220FB" w14:textId="77777777" w:rsidR="00CA78F5" w:rsidRPr="00CA78F5" w:rsidRDefault="00CA78F5" w:rsidP="00F839DB">
            <w:pPr>
              <w:pStyle w:val="ListParagraph"/>
              <w:numPr>
                <w:ilvl w:val="0"/>
                <w:numId w:val="396"/>
              </w:numPr>
              <w:spacing w:after="60"/>
              <w:contextualSpacing/>
              <w:rPr>
                <w:rFonts w:eastAsia="Calibri" w:cs="Arial"/>
                <w:sz w:val="14"/>
                <w:szCs w:val="14"/>
                <w:lang w:eastAsia="en-US"/>
              </w:rPr>
            </w:pPr>
            <w:r w:rsidRPr="00CA78F5">
              <w:rPr>
                <w:rFonts w:eastAsia="Calibri" w:cs="Arial"/>
                <w:sz w:val="14"/>
                <w:szCs w:val="14"/>
                <w:lang w:eastAsia="en-US"/>
              </w:rPr>
              <w:t>any insolvency event, or</w:t>
            </w:r>
          </w:p>
          <w:p w14:paraId="50A81E1B" w14:textId="77777777" w:rsidR="00CA78F5" w:rsidRPr="00CA78F5" w:rsidRDefault="00CA78F5" w:rsidP="00F839DB">
            <w:pPr>
              <w:pStyle w:val="ListParagraph"/>
              <w:numPr>
                <w:ilvl w:val="0"/>
                <w:numId w:val="396"/>
              </w:numPr>
              <w:spacing w:after="60"/>
              <w:contextualSpacing/>
              <w:rPr>
                <w:rFonts w:eastAsia="Calibri" w:cs="Arial"/>
                <w:sz w:val="14"/>
                <w:szCs w:val="14"/>
                <w:lang w:eastAsia="en-US"/>
              </w:rPr>
            </w:pPr>
            <w:r w:rsidRPr="00CA78F5">
              <w:rPr>
                <w:rFonts w:eastAsia="Calibri" w:cs="Arial"/>
                <w:sz w:val="14"/>
                <w:szCs w:val="14"/>
                <w:lang w:eastAsia="en-US"/>
              </w:rPr>
              <w:t>a material breach</w:t>
            </w:r>
          </w:p>
          <w:p w14:paraId="5C97C44E" w14:textId="3E2C7D12"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If the Accredited Employer no longer complies w</w:t>
            </w:r>
            <w:r w:rsidR="00EF6585">
              <w:rPr>
                <w:rFonts w:cs="Arial"/>
                <w:color w:val="000000"/>
                <w:sz w:val="14"/>
                <w:szCs w:val="16"/>
                <w:lang w:val="en-GB"/>
              </w:rPr>
              <w:t xml:space="preserve">ith the framework of the </w:t>
            </w:r>
            <w:r w:rsidR="007173C4" w:rsidRPr="00016069">
              <w:rPr>
                <w:i/>
                <w:sz w:val="14"/>
              </w:rPr>
              <w:t>Accident Compensation Act 2001</w:t>
            </w:r>
          </w:p>
        </w:tc>
        <w:tc>
          <w:tcPr>
            <w:tcW w:w="6836" w:type="dxa"/>
            <w:tcMar>
              <w:top w:w="80" w:type="dxa"/>
              <w:left w:w="80" w:type="dxa"/>
              <w:bottom w:w="80" w:type="dxa"/>
              <w:right w:w="80" w:type="dxa"/>
            </w:tcMar>
          </w:tcPr>
          <w:p w14:paraId="4552BDA7" w14:textId="65D72242"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N/A</w:t>
            </w:r>
          </w:p>
        </w:tc>
      </w:tr>
      <w:bookmarkEnd w:id="222"/>
    </w:tbl>
    <w:p w14:paraId="1AD931F9" w14:textId="77777777" w:rsidR="00C66972" w:rsidRPr="00C66972" w:rsidRDefault="00C66972" w:rsidP="00C66972">
      <w:pPr>
        <w:spacing w:after="200" w:line="276" w:lineRule="auto"/>
        <w:rPr>
          <w:rFonts w:eastAsiaTheme="minorHAnsi"/>
        </w:rPr>
        <w:sectPr w:rsidR="00C66972" w:rsidRPr="00C66972" w:rsidSect="00831290">
          <w:footnotePr>
            <w:numFmt w:val="chicago"/>
            <w:numStart w:val="2"/>
          </w:footnotePr>
          <w:type w:val="continuous"/>
          <w:pgSz w:w="16838" w:h="11906" w:orient="landscape"/>
          <w:pgMar w:top="249" w:right="567" w:bottom="249" w:left="624" w:header="709" w:footer="709" w:gutter="0"/>
          <w:cols w:space="708"/>
          <w:docGrid w:linePitch="360"/>
        </w:sectPr>
      </w:pPr>
    </w:p>
    <w:p w14:paraId="4293CC27" w14:textId="339F7731" w:rsidR="00C709C9" w:rsidRPr="00F84383" w:rsidRDefault="00C709C9" w:rsidP="00F84383">
      <w:pPr>
        <w:pStyle w:val="SWASectiontitle"/>
      </w:pPr>
      <w:bookmarkStart w:id="223" w:name="_Toc504654714"/>
      <w:r w:rsidRPr="00F84383">
        <w:rPr>
          <w:noProof/>
        </w:rPr>
        <w:lastRenderedPageBreak/>
        <w:drawing>
          <wp:anchor distT="0" distB="0" distL="114300" distR="114300" simplePos="0" relativeHeight="251671040" behindDoc="1" locked="0" layoutInCell="1" allowOverlap="1" wp14:anchorId="30FC8F41" wp14:editId="7C0FD973">
            <wp:simplePos x="0" y="0"/>
            <wp:positionH relativeFrom="column">
              <wp:posOffset>-914093</wp:posOffset>
            </wp:positionH>
            <wp:positionV relativeFrom="paragraph">
              <wp:posOffset>-961203</wp:posOffset>
            </wp:positionV>
            <wp:extent cx="7600950" cy="10732135"/>
            <wp:effectExtent l="0" t="0" r="0" b="0"/>
            <wp:wrapNone/>
            <wp:docPr id="4" name="Picture 4"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8C" w:rsidRPr="00F84383">
        <w:t>Chapter 7:</w:t>
      </w:r>
      <w:r w:rsidR="00246D8C" w:rsidRPr="00F84383">
        <w:br/>
      </w:r>
      <w:r w:rsidRPr="00F84383">
        <w:t>Scheme administrative and funding arrangements</w:t>
      </w:r>
      <w:bookmarkEnd w:id="223"/>
    </w:p>
    <w:p w14:paraId="195EE910" w14:textId="54CCEB0D" w:rsidR="00C66972" w:rsidRPr="00C66972" w:rsidRDefault="00C66972" w:rsidP="00C66972">
      <w:pPr>
        <w:spacing w:after="200" w:line="276" w:lineRule="auto"/>
        <w:rPr>
          <w:rFonts w:eastAsiaTheme="minorHAnsi"/>
          <w:b/>
        </w:rPr>
      </w:pPr>
    </w:p>
    <w:p w14:paraId="691FC8DA" w14:textId="77777777" w:rsidR="00C4788D" w:rsidRDefault="00C4788D">
      <w:pPr>
        <w:spacing w:after="200" w:line="276" w:lineRule="auto"/>
        <w:rPr>
          <w:rFonts w:eastAsiaTheme="minorHAnsi"/>
        </w:rPr>
      </w:pPr>
      <w:r>
        <w:rPr>
          <w:rFonts w:eastAsiaTheme="minorHAnsi"/>
        </w:rPr>
        <w:br w:type="page"/>
      </w:r>
    </w:p>
    <w:p w14:paraId="04BC40C8" w14:textId="74CD0E5C" w:rsidR="00AD7528" w:rsidRPr="00205CCE" w:rsidRDefault="00AD7528" w:rsidP="00205CCE">
      <w:pPr>
        <w:pStyle w:val="Title"/>
      </w:pPr>
      <w:bookmarkStart w:id="224" w:name="_Toc504654715"/>
      <w:r w:rsidRPr="00205CCE">
        <w:lastRenderedPageBreak/>
        <w:t>A</w:t>
      </w:r>
      <w:r w:rsidR="00C66972" w:rsidRPr="00205CCE">
        <w:t>dministrative and funding arrangements</w:t>
      </w:r>
      <w:bookmarkEnd w:id="224"/>
      <w:r w:rsidR="00C66972" w:rsidRPr="00205CCE">
        <w:t xml:space="preserve"> </w:t>
      </w:r>
    </w:p>
    <w:p w14:paraId="4722BF9A" w14:textId="33FBF86D" w:rsidR="006A50D4" w:rsidRDefault="00AD7528" w:rsidP="00AD7528">
      <w:pPr>
        <w:spacing w:before="240"/>
        <w:rPr>
          <w:rFonts w:eastAsiaTheme="minorHAnsi"/>
        </w:rPr>
      </w:pPr>
      <w:r w:rsidRPr="00AD7528">
        <w:rPr>
          <w:rFonts w:eastAsiaTheme="minorHAnsi"/>
        </w:rPr>
        <w:t>This section provides background information on the administrative and funding arrangements under which the workers’ compensation schemes operate.</w:t>
      </w:r>
      <w:r>
        <w:rPr>
          <w:rFonts w:eastAsiaTheme="minorHAnsi"/>
        </w:rPr>
        <w:t xml:space="preserve"> </w:t>
      </w:r>
      <w:r w:rsidR="00C66972" w:rsidRPr="00C66972">
        <w:rPr>
          <w:rFonts w:eastAsiaTheme="minorHAnsi"/>
        </w:rPr>
        <w:t>The key areas for comparison include scheme names, legislation, transitional arrangements and provisions for certain people who are injured in unique ways or at particular places or times.</w:t>
      </w:r>
    </w:p>
    <w:p w14:paraId="4F82D740" w14:textId="77777777" w:rsidR="006A50D4" w:rsidRDefault="00C66972" w:rsidP="00AD7528">
      <w:pPr>
        <w:spacing w:before="240"/>
        <w:rPr>
          <w:rFonts w:eastAsiaTheme="minorHAnsi"/>
        </w:rPr>
      </w:pPr>
      <w:r w:rsidRPr="00C66972">
        <w:rPr>
          <w:rFonts w:eastAsiaTheme="minorHAnsi"/>
        </w:rPr>
        <w:t xml:space="preserve">The tables contained in this chapter include: </w:t>
      </w:r>
    </w:p>
    <w:p w14:paraId="399B6FEC" w14:textId="1B1D5642" w:rsidR="00475C13" w:rsidRPr="00AD7528" w:rsidRDefault="00C66972" w:rsidP="00205CCE">
      <w:pPr>
        <w:pStyle w:val="Heading4"/>
        <w:rPr>
          <w:rFonts w:eastAsiaTheme="minorHAnsi"/>
        </w:rPr>
      </w:pPr>
      <w:r w:rsidRPr="00AD7528">
        <w:rPr>
          <w:rFonts w:eastAsiaTheme="minorHAnsi"/>
        </w:rPr>
        <w:t>7.1</w:t>
      </w:r>
      <w:r w:rsidRPr="00AD7528">
        <w:rPr>
          <w:rFonts w:eastAsiaTheme="minorHAnsi"/>
        </w:rPr>
        <w:tab/>
        <w:t>Applicable workers’ compensation legislation</w:t>
      </w:r>
    </w:p>
    <w:p w14:paraId="374AB654" w14:textId="0D2EE8BF" w:rsidR="006A50D4" w:rsidRPr="00AD7528" w:rsidRDefault="00C66972" w:rsidP="00205CCE">
      <w:pPr>
        <w:pStyle w:val="Heading4"/>
        <w:rPr>
          <w:rFonts w:eastAsiaTheme="minorHAnsi"/>
        </w:rPr>
      </w:pPr>
      <w:r w:rsidRPr="00AD7528">
        <w:rPr>
          <w:rFonts w:eastAsiaTheme="minorHAnsi"/>
        </w:rPr>
        <w:t>7.2</w:t>
      </w:r>
      <w:r w:rsidRPr="00AD7528">
        <w:rPr>
          <w:rFonts w:eastAsiaTheme="minorHAnsi"/>
        </w:rPr>
        <w:tab/>
        <w:t xml:space="preserve">Transitional provisions </w:t>
      </w:r>
    </w:p>
    <w:p w14:paraId="001F3132" w14:textId="698891B5" w:rsidR="00C66972" w:rsidRPr="00AD7528" w:rsidRDefault="00475C13" w:rsidP="00205CCE">
      <w:pPr>
        <w:pStyle w:val="Heading4"/>
        <w:rPr>
          <w:rFonts w:eastAsiaTheme="minorHAnsi"/>
        </w:rPr>
      </w:pPr>
      <w:r w:rsidRPr="00AD7528">
        <w:rPr>
          <w:rFonts w:eastAsiaTheme="minorHAnsi"/>
        </w:rPr>
        <w:t>7.3</w:t>
      </w:r>
      <w:r w:rsidRPr="00AD7528">
        <w:rPr>
          <w:rFonts w:eastAsiaTheme="minorHAnsi"/>
        </w:rPr>
        <w:tab/>
        <w:t>Minor schemes</w:t>
      </w:r>
    </w:p>
    <w:p w14:paraId="47AEFD24" w14:textId="77777777" w:rsidR="00C66972" w:rsidRPr="00C66972" w:rsidRDefault="00C66972" w:rsidP="00205CCE">
      <w:pPr>
        <w:pStyle w:val="Heading4"/>
        <w:rPr>
          <w:rFonts w:eastAsiaTheme="minorHAnsi"/>
        </w:rPr>
      </w:pPr>
      <w:r w:rsidRPr="00C66972">
        <w:rPr>
          <w:rFonts w:eastAsiaTheme="minorHAnsi"/>
        </w:rPr>
        <w:tab/>
        <w:t>7.3a</w:t>
      </w:r>
      <w:r w:rsidRPr="00C66972">
        <w:rPr>
          <w:rFonts w:eastAsiaTheme="minorHAnsi"/>
        </w:rPr>
        <w:tab/>
        <w:t>New South Wales</w:t>
      </w:r>
    </w:p>
    <w:p w14:paraId="1F322DD7" w14:textId="77777777" w:rsidR="00C66972" w:rsidRPr="00C66972" w:rsidRDefault="00C66972" w:rsidP="00205CCE">
      <w:pPr>
        <w:pStyle w:val="Heading4"/>
        <w:rPr>
          <w:rFonts w:eastAsiaTheme="minorHAnsi"/>
        </w:rPr>
      </w:pPr>
      <w:r w:rsidRPr="00C66972">
        <w:rPr>
          <w:rFonts w:eastAsiaTheme="minorHAnsi"/>
        </w:rPr>
        <w:tab/>
        <w:t>7.3b</w:t>
      </w:r>
      <w:r w:rsidRPr="00C66972">
        <w:rPr>
          <w:rFonts w:eastAsiaTheme="minorHAnsi"/>
        </w:rPr>
        <w:tab/>
        <w:t>Victoria</w:t>
      </w:r>
    </w:p>
    <w:p w14:paraId="63155836" w14:textId="77777777" w:rsidR="00C66972" w:rsidRPr="00C66972" w:rsidRDefault="00C66972" w:rsidP="00205CCE">
      <w:pPr>
        <w:pStyle w:val="Heading4"/>
        <w:rPr>
          <w:rFonts w:eastAsiaTheme="minorHAnsi"/>
        </w:rPr>
      </w:pPr>
      <w:r w:rsidRPr="00C66972">
        <w:rPr>
          <w:rFonts w:eastAsiaTheme="minorHAnsi"/>
        </w:rPr>
        <w:tab/>
        <w:t>7.3c</w:t>
      </w:r>
      <w:r w:rsidRPr="00C66972">
        <w:rPr>
          <w:rFonts w:eastAsiaTheme="minorHAnsi"/>
        </w:rPr>
        <w:tab/>
        <w:t>Western Australia</w:t>
      </w:r>
    </w:p>
    <w:p w14:paraId="44E5F7EB" w14:textId="77777777" w:rsidR="00C66972" w:rsidRPr="00C66972" w:rsidRDefault="00C66972" w:rsidP="00205CCE">
      <w:pPr>
        <w:pStyle w:val="Heading4"/>
        <w:rPr>
          <w:rFonts w:eastAsiaTheme="minorHAnsi"/>
        </w:rPr>
      </w:pPr>
      <w:r w:rsidRPr="00C66972">
        <w:rPr>
          <w:rFonts w:eastAsiaTheme="minorHAnsi"/>
        </w:rPr>
        <w:tab/>
        <w:t>7.3d</w:t>
      </w:r>
      <w:r w:rsidRPr="00C66972">
        <w:rPr>
          <w:rFonts w:eastAsiaTheme="minorHAnsi"/>
        </w:rPr>
        <w:tab/>
        <w:t xml:space="preserve">South Australia </w:t>
      </w:r>
    </w:p>
    <w:p w14:paraId="4564C637" w14:textId="77777777" w:rsidR="00C66972" w:rsidRPr="00C66972" w:rsidRDefault="00C66972" w:rsidP="00205CCE">
      <w:pPr>
        <w:pStyle w:val="Heading4"/>
        <w:rPr>
          <w:rFonts w:eastAsiaTheme="minorHAnsi"/>
        </w:rPr>
      </w:pPr>
      <w:r w:rsidRPr="00C66972">
        <w:rPr>
          <w:rFonts w:eastAsiaTheme="minorHAnsi"/>
        </w:rPr>
        <w:tab/>
        <w:t>7.3e</w:t>
      </w:r>
      <w:r w:rsidRPr="00C66972">
        <w:rPr>
          <w:rFonts w:eastAsiaTheme="minorHAnsi"/>
        </w:rPr>
        <w:tab/>
        <w:t xml:space="preserve">Tasmania </w:t>
      </w:r>
    </w:p>
    <w:p w14:paraId="46150FA3" w14:textId="599131AE" w:rsidR="00C66972" w:rsidRPr="00C66972" w:rsidRDefault="00C66972" w:rsidP="00205CCE">
      <w:pPr>
        <w:pStyle w:val="Heading4"/>
        <w:rPr>
          <w:rFonts w:eastAsiaTheme="minorHAnsi"/>
        </w:rPr>
      </w:pPr>
      <w:r w:rsidRPr="00C66972">
        <w:rPr>
          <w:rFonts w:eastAsiaTheme="minorHAnsi"/>
        </w:rPr>
        <w:tab/>
        <w:t>7.3f</w:t>
      </w:r>
      <w:r w:rsidRPr="00C66972">
        <w:rPr>
          <w:rFonts w:eastAsiaTheme="minorHAnsi"/>
        </w:rPr>
        <w:tab/>
      </w:r>
      <w:r w:rsidR="00205CCE">
        <w:rPr>
          <w:rFonts w:eastAsiaTheme="minorHAnsi"/>
        </w:rPr>
        <w:tab/>
      </w:r>
      <w:r w:rsidRPr="00C66972">
        <w:rPr>
          <w:rFonts w:eastAsiaTheme="minorHAnsi"/>
        </w:rPr>
        <w:t>Commonwealth</w:t>
      </w:r>
    </w:p>
    <w:p w14:paraId="159A6F42" w14:textId="77777777" w:rsidR="006A50D4" w:rsidRDefault="00C66972" w:rsidP="00205CCE">
      <w:pPr>
        <w:pStyle w:val="Heading4"/>
        <w:rPr>
          <w:rFonts w:eastAsiaTheme="minorHAnsi"/>
        </w:rPr>
      </w:pPr>
      <w:r w:rsidRPr="00C66972">
        <w:rPr>
          <w:rFonts w:eastAsiaTheme="minorHAnsi"/>
        </w:rPr>
        <w:tab/>
        <w:t>7.3g</w:t>
      </w:r>
      <w:r w:rsidRPr="00C66972">
        <w:rPr>
          <w:rFonts w:eastAsiaTheme="minorHAnsi"/>
        </w:rPr>
        <w:tab/>
        <w:t>New Zealand</w:t>
      </w:r>
    </w:p>
    <w:p w14:paraId="1C3E2448" w14:textId="77777777" w:rsidR="006A50D4" w:rsidRPr="00AD7528" w:rsidRDefault="00C66972" w:rsidP="00205CCE">
      <w:pPr>
        <w:pStyle w:val="Heading4"/>
        <w:rPr>
          <w:rFonts w:eastAsiaTheme="minorHAnsi"/>
        </w:rPr>
      </w:pPr>
      <w:r w:rsidRPr="00AD7528">
        <w:rPr>
          <w:rFonts w:eastAsiaTheme="minorHAnsi"/>
        </w:rPr>
        <w:t>7.4</w:t>
      </w:r>
      <w:r w:rsidRPr="00AD7528">
        <w:rPr>
          <w:rFonts w:eastAsiaTheme="minorHAnsi"/>
        </w:rPr>
        <w:tab/>
        <w:t xml:space="preserve">Scheme funding positions </w:t>
      </w:r>
    </w:p>
    <w:p w14:paraId="5D766D86" w14:textId="77777777" w:rsidR="006A50D4" w:rsidRPr="00AD7528" w:rsidRDefault="00C66972" w:rsidP="00205CCE">
      <w:pPr>
        <w:pStyle w:val="Heading4"/>
        <w:rPr>
          <w:rFonts w:eastAsiaTheme="minorHAnsi"/>
        </w:rPr>
      </w:pPr>
      <w:r w:rsidRPr="00AD7528">
        <w:rPr>
          <w:rFonts w:eastAsiaTheme="minorHAnsi"/>
        </w:rPr>
        <w:t>7.5</w:t>
      </w:r>
      <w:r w:rsidRPr="00AD7528">
        <w:rPr>
          <w:rFonts w:eastAsiaTheme="minorHAnsi"/>
        </w:rPr>
        <w:tab/>
        <w:t xml:space="preserve">Standard average premium rates </w:t>
      </w:r>
    </w:p>
    <w:p w14:paraId="26B99726" w14:textId="638FFFDB" w:rsidR="00205CCE" w:rsidRPr="00205CCE" w:rsidRDefault="00C66972" w:rsidP="00205CCE">
      <w:pPr>
        <w:pStyle w:val="Heading4"/>
        <w:rPr>
          <w:rFonts w:eastAsiaTheme="minorHAnsi"/>
        </w:rPr>
      </w:pPr>
      <w:r w:rsidRPr="00AD7528">
        <w:rPr>
          <w:rFonts w:eastAsiaTheme="minorHAnsi"/>
        </w:rPr>
        <w:t>7.6</w:t>
      </w:r>
      <w:r w:rsidRPr="00AD7528">
        <w:rPr>
          <w:rFonts w:eastAsiaTheme="minorHAnsi"/>
        </w:rPr>
        <w:tab/>
      </w:r>
      <w:bookmarkStart w:id="225" w:name="_Toc483227195"/>
      <w:r w:rsidR="00205CCE">
        <w:rPr>
          <w:rFonts w:eastAsiaTheme="minorHAnsi"/>
        </w:rPr>
        <w:t>Selected industry premium rates</w:t>
      </w:r>
    </w:p>
    <w:p w14:paraId="6AF86CE8" w14:textId="77777777" w:rsidR="00205CCE" w:rsidRDefault="00205CCE" w:rsidP="00205CCE">
      <w:pPr>
        <w:pStyle w:val="Heading4"/>
      </w:pPr>
    </w:p>
    <w:p w14:paraId="72594DBA" w14:textId="39095A94" w:rsidR="00C66972" w:rsidRPr="00AD7528" w:rsidRDefault="00C66972" w:rsidP="00205CCE">
      <w:pPr>
        <w:pStyle w:val="Heading4"/>
        <w:rPr>
          <w:rFonts w:eastAsiaTheme="minorHAnsi"/>
        </w:rPr>
      </w:pPr>
      <w:r w:rsidRPr="00AD7528">
        <w:t>Scheme administrative arrangements</w:t>
      </w:r>
      <w:bookmarkEnd w:id="225"/>
      <w:r w:rsidR="001A701E" w:rsidRPr="00AD7528">
        <w:fldChar w:fldCharType="begin"/>
      </w:r>
      <w:r w:rsidR="001A701E" w:rsidRPr="00AD7528">
        <w:instrText xml:space="preserve"> XE "scheme administrative arrangements" </w:instrText>
      </w:r>
      <w:r w:rsidR="001A701E" w:rsidRPr="00AD7528">
        <w:fldChar w:fldCharType="end"/>
      </w:r>
    </w:p>
    <w:p w14:paraId="20C2EA79" w14:textId="2EEDBBAD" w:rsidR="006A50D4" w:rsidRDefault="00C66972" w:rsidP="00A132E1">
      <w:pPr>
        <w:rPr>
          <w:rFonts w:eastAsiaTheme="minorHAnsi"/>
        </w:rPr>
      </w:pPr>
      <w:r w:rsidRPr="00C66972">
        <w:rPr>
          <w:rFonts w:eastAsiaTheme="minorHAnsi"/>
        </w:rPr>
        <w:t>Employers who operate in more than one Australian state or territory must comply with all relevant laws within each of the jurisdictions in which they work.</w:t>
      </w:r>
      <w:r w:rsidR="00702D6D">
        <w:rPr>
          <w:rFonts w:eastAsiaTheme="minorHAnsi"/>
        </w:rPr>
        <w:t xml:space="preserve"> </w:t>
      </w:r>
      <w:r w:rsidR="000954E7">
        <w:rPr>
          <w:rFonts w:eastAsiaTheme="minorHAnsi"/>
        </w:rPr>
        <w:t xml:space="preserve">During the </w:t>
      </w:r>
      <w:r w:rsidR="001568F3">
        <w:rPr>
          <w:rFonts w:eastAsiaTheme="minorHAnsi"/>
        </w:rPr>
        <w:t>2016–17</w:t>
      </w:r>
      <w:r w:rsidRPr="009A320F">
        <w:rPr>
          <w:rFonts w:eastAsiaTheme="minorHAnsi"/>
        </w:rPr>
        <w:t xml:space="preserve"> financial year workers’ compensation schemes operated under separate laws in each jurisdiction, as shown in Table 7.1.</w:t>
      </w:r>
    </w:p>
    <w:p w14:paraId="2B8AA588" w14:textId="326D9093" w:rsidR="00C66972" w:rsidRPr="00205CCE" w:rsidRDefault="00C66972" w:rsidP="00205CCE">
      <w:pPr>
        <w:pStyle w:val="Heading4"/>
      </w:pPr>
      <w:bookmarkStart w:id="226" w:name="_Toc483227196"/>
      <w:r w:rsidRPr="00205CCE">
        <w:t>Transitional provisions</w:t>
      </w:r>
      <w:bookmarkEnd w:id="226"/>
      <w:r w:rsidR="00306D40" w:rsidRPr="00205CCE">
        <w:t xml:space="preserve"> </w:t>
      </w:r>
      <w:r w:rsidR="00306D40" w:rsidRPr="00205CCE">
        <w:fldChar w:fldCharType="begin"/>
      </w:r>
      <w:r w:rsidR="00306D40" w:rsidRPr="00205CCE">
        <w:instrText xml:space="preserve"> XE "legislation:transitional provisions" </w:instrText>
      </w:r>
      <w:r w:rsidR="00306D40" w:rsidRPr="00205CCE">
        <w:fldChar w:fldCharType="end"/>
      </w:r>
      <w:r w:rsidR="001A701E" w:rsidRPr="00205CCE">
        <w:fldChar w:fldCharType="begin"/>
      </w:r>
      <w:r w:rsidR="001A701E" w:rsidRPr="00205CCE">
        <w:instrText xml:space="preserve"> XE "scheme administrative arrangements:transitional provisions" </w:instrText>
      </w:r>
      <w:r w:rsidR="001A701E" w:rsidRPr="00205CCE">
        <w:fldChar w:fldCharType="end"/>
      </w:r>
    </w:p>
    <w:p w14:paraId="1FF9BA2C" w14:textId="0F5E597F" w:rsidR="00172AC7" w:rsidRDefault="00C66972" w:rsidP="00AD7528">
      <w:pPr>
        <w:spacing w:before="120"/>
        <w:rPr>
          <w:rFonts w:eastAsiaTheme="minorHAnsi"/>
        </w:rPr>
      </w:pPr>
      <w:r w:rsidRPr="00C66972">
        <w:rPr>
          <w:rFonts w:eastAsiaTheme="minorHAnsi"/>
        </w:rPr>
        <w:t>Not all injured workers are covered under current workers’ compensation legislation because their date of injury may have preceded the introduction of that legislation. However, most jurisdictions provide for workers’ compensation payments to be made to people who would have had an entitlement to compensation under preceding legislation, or for some transitional arrangements to apply to those people.</w:t>
      </w:r>
      <w:r w:rsidR="00AD7528">
        <w:rPr>
          <w:rFonts w:eastAsiaTheme="minorHAnsi"/>
        </w:rPr>
        <w:t xml:space="preserve"> </w:t>
      </w:r>
      <w:r w:rsidRPr="00C66972">
        <w:rPr>
          <w:rFonts w:eastAsiaTheme="minorHAnsi"/>
        </w:rPr>
        <w:t xml:space="preserve">For example, in Queensland injuries that occurred before 1 January 1991 are covered by the </w:t>
      </w:r>
      <w:hyperlink r:id="rId2122" w:history="1">
        <w:r w:rsidR="001917B6" w:rsidRPr="008F6154">
          <w:rPr>
            <w:rStyle w:val="Hyperlink"/>
            <w:rFonts w:eastAsiaTheme="minorHAnsi"/>
            <w:i/>
          </w:rPr>
          <w:t>Workers’ Compensation Act 1916</w:t>
        </w:r>
      </w:hyperlink>
      <w:r w:rsidRPr="00C66972">
        <w:rPr>
          <w:rFonts w:eastAsiaTheme="minorHAnsi"/>
        </w:rPr>
        <w:t xml:space="preserve">, injuries that occurred between 1 January 1991 and 1 February 1997 are covered by the </w:t>
      </w:r>
      <w:hyperlink r:id="rId2123" w:history="1">
        <w:r w:rsidR="001917B6" w:rsidRPr="008F6154">
          <w:rPr>
            <w:rStyle w:val="Hyperlink"/>
            <w:rFonts w:eastAsiaTheme="minorHAnsi"/>
            <w:i/>
          </w:rPr>
          <w:t>Workers’ Compensation Act 1990</w:t>
        </w:r>
      </w:hyperlink>
      <w:r w:rsidRPr="00C66972">
        <w:rPr>
          <w:rFonts w:eastAsiaTheme="minorHAnsi"/>
        </w:rPr>
        <w:t xml:space="preserve"> and injuries that occurred on or after 1</w:t>
      </w:r>
      <w:r w:rsidR="009A320F">
        <w:rPr>
          <w:rFonts w:eastAsiaTheme="minorHAnsi"/>
        </w:rPr>
        <w:t> </w:t>
      </w:r>
      <w:r w:rsidRPr="00C66972">
        <w:rPr>
          <w:rFonts w:eastAsiaTheme="minorHAnsi"/>
        </w:rPr>
        <w:t xml:space="preserve">February 1997 and before 1 July 2003 are covered by the </w:t>
      </w:r>
      <w:hyperlink r:id="rId2124" w:history="1">
        <w:r w:rsidR="001917B6" w:rsidRPr="008F6154">
          <w:rPr>
            <w:rStyle w:val="Hyperlink"/>
            <w:rFonts w:eastAsiaTheme="minorHAnsi"/>
            <w:i/>
          </w:rPr>
          <w:t>WorkCover Queensland Act 1996</w:t>
        </w:r>
      </w:hyperlink>
      <w:r w:rsidRPr="00C66972">
        <w:rPr>
          <w:rFonts w:eastAsiaTheme="minorHAnsi"/>
        </w:rPr>
        <w:t>.</w:t>
      </w:r>
    </w:p>
    <w:p w14:paraId="3F41E058" w14:textId="37CE3DDC" w:rsidR="006A50D4" w:rsidRDefault="00C66972" w:rsidP="00AD7528">
      <w:pPr>
        <w:spacing w:before="240"/>
        <w:rPr>
          <w:rFonts w:eastAsiaTheme="minorHAnsi"/>
        </w:rPr>
      </w:pPr>
      <w:r w:rsidRPr="00C66972">
        <w:rPr>
          <w:rFonts w:eastAsiaTheme="minorHAnsi"/>
        </w:rPr>
        <w:t xml:space="preserve">In other circumstances an injured worker may need to meet certain criteria in order for an injury that occurred when previous legislation was in force to be covered under the current legislation. For example, a Commonwealth employee who was injured prior to 1988 would only be entitled to compensation under the </w:t>
      </w:r>
      <w:r w:rsidR="00FA12A6" w:rsidRPr="00FA12A6">
        <w:rPr>
          <w:rFonts w:eastAsiaTheme="minorHAnsi"/>
          <w:i/>
        </w:rPr>
        <w:t>Safety, Rehabilitation and Compensation Act 1988</w:t>
      </w:r>
      <w:r w:rsidRPr="00C66972">
        <w:rPr>
          <w:rFonts w:eastAsiaTheme="minorHAnsi"/>
        </w:rPr>
        <w:t xml:space="preserve"> if there was an entitlement under the preceding pieces of legislation (see Table 7.2).</w:t>
      </w:r>
    </w:p>
    <w:p w14:paraId="3F7A2B94" w14:textId="77777777" w:rsidR="006A50D4" w:rsidRPr="00AD7528" w:rsidRDefault="00C66972" w:rsidP="00205CCE">
      <w:pPr>
        <w:pStyle w:val="Heading4"/>
      </w:pPr>
      <w:bookmarkStart w:id="227" w:name="_Toc483227197"/>
      <w:r w:rsidRPr="00AD7528">
        <w:t>Unique provisions and other workers’ compensation schemes</w:t>
      </w:r>
      <w:bookmarkEnd w:id="227"/>
    </w:p>
    <w:p w14:paraId="6977421D" w14:textId="593003B8" w:rsidR="00C66972" w:rsidRPr="00C66972" w:rsidRDefault="00C66972" w:rsidP="00AD7528">
      <w:pPr>
        <w:spacing w:before="120"/>
        <w:rPr>
          <w:rFonts w:eastAsiaTheme="minorHAnsi"/>
        </w:rPr>
      </w:pPr>
      <w:r w:rsidRPr="00C66972">
        <w:rPr>
          <w:rFonts w:eastAsiaTheme="minorHAnsi"/>
        </w:rPr>
        <w:t>A number of jurisdictions have specific workers’ compensation or related legislation or other arrangements to provide for people who are injured in unique ways or at particular places or times. For example, the Commonwealth has an administrative scheme for people who may have been affected by nuclear radiation</w:t>
      </w:r>
      <w:r w:rsidR="00E566A9">
        <w:rPr>
          <w:rFonts w:eastAsiaTheme="minorHAnsi"/>
        </w:rPr>
        <w:fldChar w:fldCharType="begin"/>
      </w:r>
      <w:r w:rsidR="00E566A9">
        <w:instrText xml:space="preserve"> XE "</w:instrText>
      </w:r>
      <w:r w:rsidR="00E566A9" w:rsidRPr="001854C8">
        <w:instrText>radiation exposure</w:instrText>
      </w:r>
      <w:r w:rsidR="00E566A9">
        <w:instrText xml:space="preserve">" </w:instrText>
      </w:r>
      <w:r w:rsidR="00E566A9">
        <w:rPr>
          <w:rFonts w:eastAsiaTheme="minorHAnsi"/>
        </w:rPr>
        <w:fldChar w:fldCharType="end"/>
      </w:r>
      <w:r w:rsidRPr="00C66972">
        <w:rPr>
          <w:rFonts w:eastAsiaTheme="minorHAnsi"/>
        </w:rPr>
        <w:t xml:space="preserve"> from British atomic t</w:t>
      </w:r>
      <w:r w:rsidR="00702D6D">
        <w:rPr>
          <w:rFonts w:eastAsiaTheme="minorHAnsi"/>
        </w:rPr>
        <w:t xml:space="preserve">ests in Australia in the </w:t>
      </w:r>
      <w:r w:rsidR="00702D6D">
        <w:rPr>
          <w:rFonts w:eastAsiaTheme="minorHAnsi"/>
        </w:rPr>
        <w:lastRenderedPageBreak/>
        <w:t xml:space="preserve">1950s. </w:t>
      </w:r>
      <w:r w:rsidRPr="00C66972">
        <w:rPr>
          <w:rFonts w:eastAsiaTheme="minorHAnsi"/>
        </w:rPr>
        <w:t>Table 7.3 lists the minor schemes extant in each jurisdiction. Tables 7.3a to 7.3g expand on the specific arrangements in each jurisdiction for the minor schemes.</w:t>
      </w:r>
    </w:p>
    <w:p w14:paraId="1F30439B" w14:textId="77777777" w:rsidR="00C66972" w:rsidRPr="00C66972" w:rsidRDefault="00C66972" w:rsidP="00C66972">
      <w:pPr>
        <w:spacing w:after="200" w:line="276" w:lineRule="auto"/>
        <w:rPr>
          <w:rFonts w:eastAsiaTheme="minorHAnsi"/>
        </w:rPr>
        <w:sectPr w:rsidR="00C66972" w:rsidRPr="00C66972" w:rsidSect="00BE34AA">
          <w:pgSz w:w="11906" w:h="16838"/>
          <w:pgMar w:top="1440" w:right="1440" w:bottom="1440" w:left="1440" w:header="709" w:footer="709" w:gutter="0"/>
          <w:cols w:space="708"/>
          <w:docGrid w:linePitch="360"/>
        </w:sectPr>
      </w:pPr>
    </w:p>
    <w:p w14:paraId="199E4875" w14:textId="35168AE6" w:rsidR="00C4788D" w:rsidRPr="00205CCE" w:rsidRDefault="00C4788D" w:rsidP="00205CCE">
      <w:pPr>
        <w:pStyle w:val="SWATableheader"/>
      </w:pPr>
      <w:bookmarkStart w:id="228" w:name="_Toc504654716"/>
      <w:bookmarkStart w:id="229" w:name="legislation"/>
      <w:r w:rsidRPr="00205CCE">
        <w:lastRenderedPageBreak/>
        <w:t>Table 7.1: Applicable workers’ compensation legislation</w:t>
      </w:r>
      <w:bookmarkEnd w:id="228"/>
      <w:r w:rsidRPr="00205CCE">
        <w:t xml:space="preserve"> </w:t>
      </w:r>
      <w:r w:rsidR="00306D40" w:rsidRPr="00205CCE">
        <w:fldChar w:fldCharType="begin"/>
      </w:r>
      <w:r w:rsidR="00306D40" w:rsidRPr="00205CCE">
        <w:instrText xml:space="preserve"> XE "legislation" \r "legislation" </w:instrText>
      </w:r>
      <w:r w:rsidR="00306D40" w:rsidRPr="00205CCE">
        <w:fldChar w:fldCharType="end"/>
      </w:r>
      <w:r w:rsidR="001A701E" w:rsidRPr="00205CCE">
        <w:fldChar w:fldCharType="begin"/>
      </w:r>
      <w:r w:rsidR="001A701E" w:rsidRPr="00205CCE">
        <w:instrText xml:space="preserve"> XE "scheme administrative arrangements:applicable legislation" \r "legislation" </w:instrText>
      </w:r>
      <w:r w:rsidR="001A701E" w:rsidRPr="00205CCE">
        <w:fldChar w:fldCharType="end"/>
      </w:r>
    </w:p>
    <w:tbl>
      <w:tblPr>
        <w:tblW w:w="0" w:type="auto"/>
        <w:tblInd w:w="6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1: Applicable workers’ compensation legislation "/>
        <w:tblDescription w:val="This table specifies workers' compensation legisation in the Commonwealth of Australia and each state and territory, and New Zealand. "/>
      </w:tblPr>
      <w:tblGrid>
        <w:gridCol w:w="1503"/>
        <w:gridCol w:w="13530"/>
      </w:tblGrid>
      <w:tr w:rsidR="00C4788D" w:rsidRPr="00C4788D" w14:paraId="3B47F576" w14:textId="77777777" w:rsidTr="00793D90">
        <w:trPr>
          <w:tblHeader/>
        </w:trPr>
        <w:tc>
          <w:tcPr>
            <w:tcW w:w="1503" w:type="dxa"/>
            <w:shd w:val="clear" w:color="auto" w:fill="C00000"/>
            <w:tcMar>
              <w:top w:w="0" w:type="dxa"/>
              <w:left w:w="0" w:type="dxa"/>
              <w:bottom w:w="0" w:type="dxa"/>
              <w:right w:w="0" w:type="dxa"/>
            </w:tcMar>
            <w:vAlign w:val="center"/>
          </w:tcPr>
          <w:p w14:paraId="684E7E5A" w14:textId="77777777" w:rsidR="00C4788D" w:rsidRPr="00C4788D" w:rsidRDefault="00C4788D" w:rsidP="00292A53">
            <w:pPr>
              <w:pStyle w:val="Tableheaderrow"/>
              <w:spacing w:after="60"/>
            </w:pPr>
            <w:bookmarkStart w:id="230" w:name="legislation1"/>
          </w:p>
        </w:tc>
        <w:tc>
          <w:tcPr>
            <w:tcW w:w="13530" w:type="dxa"/>
            <w:shd w:val="clear" w:color="auto" w:fill="C00000"/>
            <w:tcMar>
              <w:top w:w="0" w:type="dxa"/>
              <w:left w:w="0" w:type="dxa"/>
              <w:bottom w:w="0" w:type="dxa"/>
              <w:right w:w="0" w:type="dxa"/>
            </w:tcMar>
            <w:vAlign w:val="center"/>
          </w:tcPr>
          <w:p w14:paraId="26523856" w14:textId="2BEA7911" w:rsidR="00C4788D" w:rsidRPr="00C4788D" w:rsidRDefault="00C4788D" w:rsidP="00292A53">
            <w:pPr>
              <w:pStyle w:val="Tableheaderrow"/>
              <w:spacing w:after="60"/>
            </w:pPr>
            <w:r w:rsidRPr="00C4788D">
              <w:t>Applicable workers’ compensation legislation</w:t>
            </w:r>
            <w:r w:rsidR="00306D40">
              <w:fldChar w:fldCharType="begin"/>
            </w:r>
            <w:r w:rsidR="00306D40">
              <w:instrText xml:space="preserve"> XE "</w:instrText>
            </w:r>
            <w:r w:rsidR="00306D40" w:rsidRPr="00314639">
              <w:instrText>legislation:applicable workers compensation legislation</w:instrText>
            </w:r>
            <w:r w:rsidR="00306D40">
              <w:instrText xml:space="preserve">" \r "legislation1" </w:instrText>
            </w:r>
            <w:r w:rsidR="00306D40">
              <w:fldChar w:fldCharType="end"/>
            </w:r>
          </w:p>
        </w:tc>
      </w:tr>
      <w:tr w:rsidR="00C4788D" w:rsidRPr="00C4788D" w14:paraId="1564F826" w14:textId="77777777" w:rsidTr="00793D90">
        <w:tc>
          <w:tcPr>
            <w:tcW w:w="1503" w:type="dxa"/>
            <w:shd w:val="clear" w:color="auto" w:fill="FFC9C9"/>
            <w:tcMar>
              <w:top w:w="80" w:type="dxa"/>
              <w:left w:w="80" w:type="dxa"/>
              <w:bottom w:w="80" w:type="dxa"/>
              <w:right w:w="80" w:type="dxa"/>
            </w:tcMar>
          </w:tcPr>
          <w:p w14:paraId="74960D80" w14:textId="4922739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New South W</w:t>
            </w:r>
            <w:r w:rsidR="005C5C26">
              <w:rPr>
                <w:rFonts w:eastAsia="Calibri" w:cs="Arial"/>
                <w:b/>
                <w:sz w:val="16"/>
                <w:szCs w:val="16"/>
                <w:lang w:eastAsia="en-US"/>
              </w:rPr>
              <w:t>ales</w:t>
            </w:r>
          </w:p>
        </w:tc>
        <w:tc>
          <w:tcPr>
            <w:tcW w:w="13530" w:type="dxa"/>
            <w:shd w:val="clear" w:color="auto" w:fill="FFC9C9"/>
            <w:tcMar>
              <w:top w:w="80" w:type="dxa"/>
              <w:left w:w="80" w:type="dxa"/>
              <w:bottom w:w="80" w:type="dxa"/>
              <w:right w:w="80" w:type="dxa"/>
            </w:tcMar>
          </w:tcPr>
          <w:p w14:paraId="3B90D772" w14:textId="697230CA" w:rsidR="00C4788D" w:rsidRPr="006C5923" w:rsidRDefault="00C4788D" w:rsidP="00292A53">
            <w:pPr>
              <w:spacing w:after="60"/>
              <w:rPr>
                <w:rFonts w:cs="Arial"/>
                <w:i/>
                <w:color w:val="0000FF"/>
                <w:sz w:val="14"/>
                <w:szCs w:val="16"/>
                <w:u w:val="single"/>
                <w:lang w:val="en-GB"/>
              </w:rPr>
            </w:pPr>
            <w:r w:rsidRPr="006C5923">
              <w:rPr>
                <w:rFonts w:cs="Arial"/>
                <w:color w:val="000000"/>
                <w:sz w:val="14"/>
                <w:szCs w:val="16"/>
                <w:lang w:val="en-GB"/>
              </w:rPr>
              <w:fldChar w:fldCharType="begin"/>
            </w:r>
            <w:r w:rsidRPr="00C4788D">
              <w:rPr>
                <w:rFonts w:cs="Arial"/>
                <w:color w:val="000000"/>
                <w:sz w:val="14"/>
                <w:szCs w:val="16"/>
                <w:lang w:val="en-GB"/>
              </w:rPr>
              <w:instrText>HYPERLINK "http://www.legislation.nsw.gov.au/maintop/view/inforce/act+70+1987+cd+0+N"</w:instrText>
            </w:r>
            <w:r w:rsidRPr="006C5923">
              <w:rPr>
                <w:rFonts w:cs="Arial"/>
                <w:color w:val="000000"/>
                <w:sz w:val="14"/>
                <w:szCs w:val="16"/>
                <w:lang w:val="en-GB"/>
              </w:rPr>
              <w:fldChar w:fldCharType="separate"/>
            </w:r>
            <w:r w:rsidR="006C5923" w:rsidRPr="006C5923">
              <w:rPr>
                <w:rFonts w:cs="Arial"/>
                <w:i/>
                <w:color w:val="0000FF"/>
                <w:sz w:val="14"/>
                <w:szCs w:val="16"/>
                <w:u w:val="single"/>
                <w:lang w:val="en-GB"/>
              </w:rPr>
              <w:t>Workers’ Compensation Act 1987</w:t>
            </w:r>
          </w:p>
          <w:p w14:paraId="2F3F39E6" w14:textId="7939DDB0" w:rsidR="00C4788D" w:rsidRPr="006C5923" w:rsidRDefault="00C4788D" w:rsidP="00E27FB8">
            <w:pPr>
              <w:rPr>
                <w:rFonts w:cs="Arial"/>
                <w:i/>
                <w:color w:val="000000"/>
                <w:sz w:val="14"/>
                <w:szCs w:val="16"/>
                <w:lang w:val="en-GB"/>
              </w:rPr>
            </w:pPr>
            <w:r w:rsidRPr="006C5923">
              <w:rPr>
                <w:rFonts w:cs="Arial"/>
                <w:i/>
                <w:color w:val="000000"/>
                <w:sz w:val="14"/>
                <w:szCs w:val="16"/>
                <w:lang w:val="en-GB"/>
              </w:rPr>
              <w:fldChar w:fldCharType="end"/>
            </w:r>
            <w:hyperlink r:id="rId2125" w:history="1">
              <w:r w:rsidRPr="006C5923">
                <w:rPr>
                  <w:rFonts w:cs="Arial"/>
                  <w:i/>
                  <w:color w:val="0000FF"/>
                  <w:sz w:val="14"/>
                  <w:szCs w:val="16"/>
                  <w:u w:val="single"/>
                  <w:lang w:val="en-GB"/>
                </w:rPr>
                <w:t>Workplace Injury Management and Workers Compensation Act 1998</w:t>
              </w:r>
            </w:hyperlink>
          </w:p>
          <w:p w14:paraId="343BF703" w14:textId="452215B2" w:rsidR="00C4788D" w:rsidRPr="006C5923" w:rsidRDefault="00A7538C" w:rsidP="00292A53">
            <w:pPr>
              <w:spacing w:after="60"/>
              <w:rPr>
                <w:rFonts w:cs="Arial"/>
                <w:i/>
                <w:color w:val="000000"/>
                <w:sz w:val="14"/>
                <w:szCs w:val="16"/>
                <w:lang w:val="en-GB"/>
              </w:rPr>
            </w:pPr>
            <w:hyperlink r:id="rId2126" w:history="1">
              <w:r w:rsidR="00C4788D" w:rsidRPr="006C5923">
                <w:rPr>
                  <w:rFonts w:cs="Arial"/>
                  <w:i/>
                  <w:color w:val="0000FF"/>
                  <w:sz w:val="14"/>
                  <w:szCs w:val="16"/>
                  <w:u w:val="single"/>
                  <w:lang w:val="en-GB"/>
                </w:rPr>
                <w:t>Workers’ Compensation (Dust Diseases) Act 1942</w:t>
              </w:r>
            </w:hyperlink>
          </w:p>
          <w:p w14:paraId="30FE12FB" w14:textId="77777777" w:rsidR="00C4788D" w:rsidRPr="006C5923" w:rsidRDefault="00A7538C" w:rsidP="00292A53">
            <w:pPr>
              <w:spacing w:after="60"/>
              <w:rPr>
                <w:rFonts w:cs="Arial"/>
                <w:i/>
                <w:color w:val="000000"/>
                <w:sz w:val="14"/>
                <w:szCs w:val="16"/>
                <w:lang w:val="en-GB"/>
              </w:rPr>
            </w:pPr>
            <w:hyperlink r:id="rId2127" w:history="1">
              <w:r w:rsidR="00C4788D" w:rsidRPr="006C5923">
                <w:rPr>
                  <w:rFonts w:cs="Arial"/>
                  <w:i/>
                  <w:color w:val="0000FF"/>
                  <w:sz w:val="14"/>
                  <w:szCs w:val="16"/>
                  <w:u w:val="single"/>
                  <w:lang w:val="en-GB"/>
                </w:rPr>
                <w:t>Workers’ Compensation (Bush Fire, Emergency and Rescue Services) Act 1987</w:t>
              </w:r>
            </w:hyperlink>
          </w:p>
          <w:p w14:paraId="7BC50C1B" w14:textId="77777777" w:rsidR="00C4788D" w:rsidRPr="006C5923" w:rsidRDefault="00A7538C" w:rsidP="00292A53">
            <w:pPr>
              <w:spacing w:after="60"/>
              <w:rPr>
                <w:rFonts w:cs="Arial"/>
                <w:i/>
                <w:color w:val="000000"/>
                <w:sz w:val="14"/>
                <w:szCs w:val="16"/>
                <w:lang w:val="en-GB"/>
              </w:rPr>
            </w:pPr>
            <w:hyperlink r:id="rId2128" w:history="1">
              <w:r w:rsidR="00C4788D" w:rsidRPr="006C5923">
                <w:rPr>
                  <w:rFonts w:cs="Arial"/>
                  <w:i/>
                  <w:color w:val="0000FF"/>
                  <w:sz w:val="14"/>
                  <w:szCs w:val="16"/>
                  <w:u w:val="single"/>
                  <w:lang w:val="en-GB"/>
                </w:rPr>
                <w:t>State Insurance and Care Governance Act 2015</w:t>
              </w:r>
            </w:hyperlink>
          </w:p>
          <w:p w14:paraId="516E7400" w14:textId="4203E20E" w:rsidR="00C4788D" w:rsidRPr="00C4788D" w:rsidRDefault="00315AD4" w:rsidP="00E27FB8">
            <w:pPr>
              <w:spacing w:after="60"/>
              <w:rPr>
                <w:rFonts w:cs="Arial"/>
                <w:color w:val="000000"/>
                <w:sz w:val="14"/>
                <w:szCs w:val="16"/>
                <w:lang w:val="en-GB"/>
              </w:rPr>
            </w:pPr>
            <w:r>
              <w:rPr>
                <w:rFonts w:cs="Arial"/>
                <w:color w:val="000000"/>
                <w:sz w:val="14"/>
                <w:szCs w:val="16"/>
                <w:lang w:val="en-GB"/>
              </w:rPr>
              <w:t>Historic versions can also be accessed from the same link</w:t>
            </w:r>
          </w:p>
        </w:tc>
      </w:tr>
      <w:tr w:rsidR="00C4788D" w:rsidRPr="00C4788D" w14:paraId="7B7B565F" w14:textId="77777777" w:rsidTr="00793D90">
        <w:tc>
          <w:tcPr>
            <w:tcW w:w="1503" w:type="dxa"/>
            <w:tcMar>
              <w:top w:w="80" w:type="dxa"/>
              <w:left w:w="80" w:type="dxa"/>
              <w:bottom w:w="80" w:type="dxa"/>
              <w:right w:w="80" w:type="dxa"/>
            </w:tcMar>
          </w:tcPr>
          <w:p w14:paraId="5D907C9B"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Victoria</w:t>
            </w:r>
          </w:p>
        </w:tc>
        <w:tc>
          <w:tcPr>
            <w:tcW w:w="13530" w:type="dxa"/>
            <w:tcMar>
              <w:top w:w="80" w:type="dxa"/>
              <w:left w:w="80" w:type="dxa"/>
              <w:bottom w:w="80" w:type="dxa"/>
              <w:right w:w="80" w:type="dxa"/>
            </w:tcMar>
          </w:tcPr>
          <w:p w14:paraId="0B0925FF" w14:textId="51D5489F" w:rsidR="00C4788D" w:rsidRPr="00C4788D" w:rsidRDefault="00A7538C" w:rsidP="00292A53">
            <w:pPr>
              <w:spacing w:after="60"/>
              <w:rPr>
                <w:rFonts w:cs="Arial"/>
                <w:color w:val="000000"/>
                <w:sz w:val="14"/>
                <w:szCs w:val="16"/>
                <w:lang w:val="en-GB"/>
              </w:rPr>
            </w:pPr>
            <w:hyperlink r:id="rId2129" w:history="1">
              <w:r w:rsidR="006C5923">
                <w:rPr>
                  <w:rFonts w:cs="Arial"/>
                  <w:color w:val="0000FF"/>
                  <w:sz w:val="14"/>
                  <w:szCs w:val="16"/>
                  <w:u w:val="single"/>
                  <w:lang w:val="en-GB"/>
                </w:rPr>
                <w:t>Refer Victorian Law Today</w:t>
              </w:r>
            </w:hyperlink>
          </w:p>
          <w:p w14:paraId="79035963" w14:textId="6D7E5CEE" w:rsidR="00C4788D" w:rsidRPr="00C4788D" w:rsidRDefault="00A7538C" w:rsidP="00292A53">
            <w:pPr>
              <w:spacing w:after="60"/>
              <w:rPr>
                <w:rFonts w:cs="Arial"/>
                <w:color w:val="000000"/>
                <w:sz w:val="14"/>
                <w:szCs w:val="16"/>
                <w:lang w:val="en-GB"/>
              </w:rPr>
            </w:pPr>
            <w:hyperlink r:id="rId2130" w:history="1">
              <w:r w:rsidR="00C4788D" w:rsidRPr="006C5923">
                <w:rPr>
                  <w:rFonts w:cs="Arial"/>
                  <w:i/>
                  <w:color w:val="0000FF"/>
                  <w:sz w:val="14"/>
                  <w:szCs w:val="16"/>
                  <w:u w:val="single"/>
                  <w:lang w:val="en-GB"/>
                </w:rPr>
                <w:t>Workplace Injury Rehabilitation and Compensation Act 2013</w:t>
              </w:r>
            </w:hyperlink>
            <w:r w:rsidR="00C4788D" w:rsidRPr="00C4788D">
              <w:rPr>
                <w:rFonts w:cs="Arial"/>
                <w:color w:val="000000"/>
                <w:sz w:val="14"/>
                <w:szCs w:val="16"/>
                <w:lang w:val="en-GB"/>
              </w:rPr>
              <w:t xml:space="preserve"> as at </w:t>
            </w:r>
            <w:r w:rsidR="00B41E11">
              <w:rPr>
                <w:rFonts w:cs="Arial"/>
                <w:color w:val="000000"/>
                <w:sz w:val="14"/>
                <w:szCs w:val="16"/>
                <w:lang w:val="en-GB"/>
              </w:rPr>
              <w:t>27 September 2017</w:t>
            </w:r>
          </w:p>
          <w:p w14:paraId="10891C2F" w14:textId="1C476B27" w:rsidR="00C4788D" w:rsidRPr="006C5923" w:rsidRDefault="00A7538C" w:rsidP="00292A53">
            <w:pPr>
              <w:spacing w:after="60"/>
              <w:rPr>
                <w:rFonts w:cs="Arial"/>
                <w:i/>
                <w:color w:val="000000"/>
                <w:sz w:val="14"/>
                <w:szCs w:val="16"/>
                <w:lang w:val="en-GB"/>
              </w:rPr>
            </w:pPr>
            <w:hyperlink r:id="rId2131" w:history="1">
              <w:r w:rsidR="00C4788D" w:rsidRPr="006C5923">
                <w:rPr>
                  <w:rFonts w:cs="Arial"/>
                  <w:i/>
                  <w:color w:val="0000FF"/>
                  <w:sz w:val="14"/>
                  <w:szCs w:val="16"/>
                  <w:u w:val="single"/>
                  <w:lang w:val="en-GB"/>
                </w:rPr>
                <w:t>Accident Compensation Act 1985</w:t>
              </w:r>
            </w:hyperlink>
            <w:r w:rsidR="00B41E11" w:rsidRPr="008E1757">
              <w:rPr>
                <w:rFonts w:cs="Arial"/>
                <w:i/>
                <w:color w:val="0000FF"/>
                <w:sz w:val="14"/>
                <w:szCs w:val="16"/>
                <w:lang w:val="en-GB"/>
              </w:rPr>
              <w:t xml:space="preserve"> </w:t>
            </w:r>
            <w:r w:rsidR="00B41E11" w:rsidRPr="008E1757">
              <w:rPr>
                <w:sz w:val="14"/>
              </w:rPr>
              <w:t>as at 27 September 2017</w:t>
            </w:r>
            <w:r w:rsidR="00C4788D" w:rsidRPr="008E1757">
              <w:rPr>
                <w:rFonts w:cs="Arial"/>
                <w:i/>
                <w:color w:val="000000"/>
                <w:sz w:val="8"/>
                <w:szCs w:val="16"/>
                <w:lang w:val="en-GB"/>
              </w:rPr>
              <w:t xml:space="preserve"> </w:t>
            </w:r>
          </w:p>
          <w:p w14:paraId="770AFC3B" w14:textId="3E70DEC8" w:rsidR="00C4788D" w:rsidRPr="00C4788D" w:rsidRDefault="00C4788D" w:rsidP="00292A53">
            <w:pPr>
              <w:spacing w:after="60"/>
              <w:rPr>
                <w:rFonts w:cs="Arial"/>
                <w:color w:val="000000"/>
                <w:sz w:val="14"/>
                <w:szCs w:val="16"/>
                <w:lang w:val="en-GB"/>
              </w:rPr>
            </w:pPr>
            <w:r w:rsidRPr="00C4788D">
              <w:rPr>
                <w:rFonts w:cs="Arial"/>
                <w:color w:val="000000"/>
                <w:sz w:val="14"/>
                <w:szCs w:val="16"/>
                <w:lang w:val="en-GB"/>
              </w:rPr>
              <w:t>Historical v</w:t>
            </w:r>
            <w:r w:rsidR="005018E1">
              <w:rPr>
                <w:rFonts w:cs="Arial"/>
                <w:color w:val="000000"/>
                <w:sz w:val="14"/>
                <w:szCs w:val="16"/>
                <w:lang w:val="en-GB"/>
              </w:rPr>
              <w:t xml:space="preserve">ersions can also be accessed </w:t>
            </w:r>
            <w:hyperlink r:id="rId2132" w:history="1">
              <w:r w:rsidRPr="00C4788D">
                <w:rPr>
                  <w:rFonts w:cs="Arial"/>
                  <w:color w:val="0000FF"/>
                  <w:sz w:val="14"/>
                  <w:szCs w:val="16"/>
                  <w:u w:val="single"/>
                  <w:lang w:val="en-GB"/>
                </w:rPr>
                <w:t>here</w:t>
              </w:r>
            </w:hyperlink>
          </w:p>
        </w:tc>
      </w:tr>
      <w:tr w:rsidR="00C4788D" w:rsidRPr="00C4788D" w14:paraId="6966A37B" w14:textId="77777777" w:rsidTr="00793D90">
        <w:tc>
          <w:tcPr>
            <w:tcW w:w="1503" w:type="dxa"/>
            <w:shd w:val="clear" w:color="auto" w:fill="FFC9C9"/>
            <w:tcMar>
              <w:top w:w="80" w:type="dxa"/>
              <w:left w:w="80" w:type="dxa"/>
              <w:bottom w:w="80" w:type="dxa"/>
              <w:right w:w="80" w:type="dxa"/>
            </w:tcMar>
          </w:tcPr>
          <w:p w14:paraId="45AD6CED"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Queensland</w:t>
            </w:r>
          </w:p>
        </w:tc>
        <w:tc>
          <w:tcPr>
            <w:tcW w:w="13530" w:type="dxa"/>
            <w:shd w:val="clear" w:color="auto" w:fill="FFC9C9"/>
            <w:tcMar>
              <w:top w:w="80" w:type="dxa"/>
              <w:left w:w="80" w:type="dxa"/>
              <w:bottom w:w="80" w:type="dxa"/>
              <w:right w:w="80" w:type="dxa"/>
            </w:tcMar>
          </w:tcPr>
          <w:p w14:paraId="2938A806" w14:textId="3B812B19" w:rsidR="00C4788D" w:rsidRPr="00C4788D" w:rsidRDefault="00A7538C" w:rsidP="00292A53">
            <w:pPr>
              <w:spacing w:after="60"/>
              <w:rPr>
                <w:rFonts w:cs="Arial"/>
                <w:color w:val="000000"/>
                <w:sz w:val="14"/>
                <w:szCs w:val="16"/>
                <w:lang w:val="en-GB"/>
              </w:rPr>
            </w:pPr>
            <w:hyperlink r:id="rId2133" w:history="1">
              <w:r w:rsidR="00C4788D" w:rsidRPr="006C5923">
                <w:rPr>
                  <w:rFonts w:cs="Arial"/>
                  <w:i/>
                  <w:color w:val="0000FF"/>
                  <w:sz w:val="14"/>
                  <w:szCs w:val="16"/>
                  <w:u w:val="single"/>
                  <w:lang w:val="en-GB"/>
                </w:rPr>
                <w:t>Workers’ Compensation and Rehabilitation Act 2003</w:t>
              </w:r>
            </w:hyperlink>
            <w:r w:rsidR="00640E79">
              <w:rPr>
                <w:rFonts w:cs="Arial"/>
                <w:color w:val="000000"/>
                <w:sz w:val="14"/>
                <w:szCs w:val="16"/>
                <w:lang w:val="en-GB"/>
              </w:rPr>
              <w:t xml:space="preserve"> (permalink to current reprint)</w:t>
            </w:r>
          </w:p>
          <w:p w14:paraId="7D92C58B" w14:textId="52743D13" w:rsidR="00C4788D" w:rsidRPr="00C4788D" w:rsidRDefault="00A7538C" w:rsidP="00292A53">
            <w:pPr>
              <w:spacing w:after="60"/>
              <w:rPr>
                <w:rFonts w:cs="Arial"/>
                <w:color w:val="000000"/>
                <w:sz w:val="14"/>
                <w:szCs w:val="16"/>
                <w:lang w:val="en-GB"/>
              </w:rPr>
            </w:pPr>
            <w:hyperlink r:id="rId2134" w:history="1">
              <w:r w:rsidR="00C4788D" w:rsidRPr="006C5923">
                <w:rPr>
                  <w:rFonts w:cs="Arial"/>
                  <w:i/>
                  <w:color w:val="0000FF"/>
                  <w:sz w:val="14"/>
                  <w:szCs w:val="16"/>
                  <w:u w:val="single"/>
                  <w:lang w:val="en-GB"/>
                </w:rPr>
                <w:t>Workers’ Compensation and Rehabilitation Regulation 2014</w:t>
              </w:r>
            </w:hyperlink>
            <w:r w:rsidR="00640E79">
              <w:rPr>
                <w:rFonts w:cs="Arial"/>
                <w:color w:val="000000"/>
                <w:sz w:val="14"/>
                <w:szCs w:val="16"/>
                <w:lang w:val="en-GB"/>
              </w:rPr>
              <w:t xml:space="preserve"> (permalink to current reprint)</w:t>
            </w:r>
          </w:p>
          <w:p w14:paraId="02B15DC3" w14:textId="0A95C239" w:rsidR="00C4788D" w:rsidRPr="00C4788D" w:rsidRDefault="00C4788D" w:rsidP="00292A53">
            <w:pPr>
              <w:spacing w:after="60"/>
              <w:rPr>
                <w:rFonts w:cs="Arial"/>
                <w:color w:val="000000"/>
                <w:sz w:val="14"/>
                <w:szCs w:val="16"/>
                <w:lang w:val="en-GB"/>
              </w:rPr>
            </w:pPr>
            <w:r w:rsidRPr="00C4788D">
              <w:rPr>
                <w:rFonts w:cs="Arial"/>
                <w:color w:val="000000"/>
                <w:sz w:val="14"/>
                <w:szCs w:val="16"/>
                <w:lang w:val="en-GB"/>
              </w:rPr>
              <w:t xml:space="preserve">Superseded versions: </w:t>
            </w:r>
            <w:hyperlink r:id="rId2135" w:history="1">
              <w:r w:rsidRPr="00C4788D">
                <w:rPr>
                  <w:rFonts w:cs="Arial"/>
                  <w:color w:val="0000FF"/>
                  <w:sz w:val="14"/>
                  <w:szCs w:val="16"/>
                  <w:u w:val="single"/>
                  <w:lang w:val="en-GB"/>
                </w:rPr>
                <w:t>Act</w:t>
              </w:r>
            </w:hyperlink>
            <w:r w:rsidRPr="00C4788D">
              <w:rPr>
                <w:rFonts w:cs="Arial"/>
                <w:color w:val="000000"/>
                <w:sz w:val="14"/>
                <w:szCs w:val="16"/>
                <w:lang w:val="en-GB"/>
              </w:rPr>
              <w:t xml:space="preserve">, </w:t>
            </w:r>
            <w:hyperlink r:id="rId2136" w:history="1">
              <w:r w:rsidRPr="00C4788D">
                <w:rPr>
                  <w:rFonts w:cs="Arial"/>
                  <w:color w:val="0000FF"/>
                  <w:sz w:val="14"/>
                  <w:szCs w:val="16"/>
                  <w:u w:val="single"/>
                  <w:lang w:val="en-GB"/>
                </w:rPr>
                <w:t>Reg</w:t>
              </w:r>
            </w:hyperlink>
          </w:p>
        </w:tc>
      </w:tr>
      <w:tr w:rsidR="00C4788D" w:rsidRPr="00C4788D" w14:paraId="7FAAAF70" w14:textId="77777777" w:rsidTr="00793D90">
        <w:tc>
          <w:tcPr>
            <w:tcW w:w="1503" w:type="dxa"/>
            <w:tcMar>
              <w:top w:w="80" w:type="dxa"/>
              <w:left w:w="80" w:type="dxa"/>
              <w:bottom w:w="80" w:type="dxa"/>
              <w:right w:w="80" w:type="dxa"/>
            </w:tcMar>
          </w:tcPr>
          <w:p w14:paraId="219A94E2"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Western Australia</w:t>
            </w:r>
          </w:p>
        </w:tc>
        <w:tc>
          <w:tcPr>
            <w:tcW w:w="13530" w:type="dxa"/>
            <w:tcMar>
              <w:top w:w="80" w:type="dxa"/>
              <w:left w:w="80" w:type="dxa"/>
              <w:bottom w:w="80" w:type="dxa"/>
              <w:right w:w="80" w:type="dxa"/>
            </w:tcMar>
          </w:tcPr>
          <w:p w14:paraId="424E5B7F" w14:textId="3AB086D0" w:rsidR="00C4788D" w:rsidRPr="006C5923" w:rsidRDefault="00A7538C" w:rsidP="00292A53">
            <w:pPr>
              <w:spacing w:after="60"/>
              <w:rPr>
                <w:rFonts w:cs="Arial"/>
                <w:i/>
                <w:color w:val="000000"/>
                <w:sz w:val="14"/>
                <w:szCs w:val="16"/>
                <w:lang w:val="en-GB"/>
              </w:rPr>
            </w:pPr>
            <w:hyperlink r:id="rId2137" w:history="1">
              <w:r w:rsidR="00C4788D" w:rsidRPr="006C5923">
                <w:rPr>
                  <w:rFonts w:cs="Arial"/>
                  <w:i/>
                  <w:color w:val="0000FF"/>
                  <w:sz w:val="14"/>
                  <w:szCs w:val="16"/>
                  <w:u w:val="single"/>
                  <w:lang w:val="en-GB"/>
                </w:rPr>
                <w:t>Workers’ Compensation and Injury Management Act 1981</w:t>
              </w:r>
            </w:hyperlink>
            <w:r w:rsidR="00C4788D" w:rsidRPr="006C5923">
              <w:rPr>
                <w:rFonts w:cs="Arial"/>
                <w:i/>
                <w:color w:val="000000"/>
                <w:sz w:val="14"/>
                <w:szCs w:val="16"/>
                <w:lang w:val="en-GB"/>
              </w:rPr>
              <w:t xml:space="preserve"> </w:t>
            </w:r>
          </w:p>
          <w:p w14:paraId="5318F638" w14:textId="555D89C0" w:rsidR="00C4788D" w:rsidRPr="00C4788D" w:rsidRDefault="00C4788D" w:rsidP="00292A53">
            <w:pPr>
              <w:spacing w:after="60"/>
              <w:rPr>
                <w:rFonts w:cs="Arial"/>
                <w:color w:val="000000"/>
                <w:sz w:val="14"/>
                <w:szCs w:val="16"/>
                <w:highlight w:val="yellow"/>
                <w:lang w:val="en-GB"/>
              </w:rPr>
            </w:pPr>
            <w:r w:rsidRPr="00C4788D">
              <w:rPr>
                <w:rFonts w:cs="Arial"/>
                <w:color w:val="000000"/>
                <w:sz w:val="14"/>
                <w:szCs w:val="16"/>
                <w:lang w:val="en-GB"/>
              </w:rPr>
              <w:t xml:space="preserve">Other versions of this Act can be found </w:t>
            </w:r>
            <w:hyperlink r:id="rId2138" w:history="1">
              <w:r w:rsidRPr="00C4788D">
                <w:rPr>
                  <w:rFonts w:cs="Arial"/>
                  <w:color w:val="0000FF"/>
                  <w:sz w:val="14"/>
                  <w:szCs w:val="16"/>
                  <w:u w:val="single"/>
                  <w:lang w:val="en-GB"/>
                </w:rPr>
                <w:t>here</w:t>
              </w:r>
            </w:hyperlink>
          </w:p>
        </w:tc>
      </w:tr>
      <w:tr w:rsidR="00C4788D" w:rsidRPr="00C4788D" w14:paraId="1A9359CB" w14:textId="77777777" w:rsidTr="00793D90">
        <w:tc>
          <w:tcPr>
            <w:tcW w:w="1503" w:type="dxa"/>
            <w:shd w:val="clear" w:color="auto" w:fill="FFC9C9"/>
            <w:tcMar>
              <w:top w:w="80" w:type="dxa"/>
              <w:left w:w="80" w:type="dxa"/>
              <w:bottom w:w="80" w:type="dxa"/>
              <w:right w:w="80" w:type="dxa"/>
            </w:tcMar>
          </w:tcPr>
          <w:p w14:paraId="52194782"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South Australia</w:t>
            </w:r>
          </w:p>
        </w:tc>
        <w:tc>
          <w:tcPr>
            <w:tcW w:w="13530" w:type="dxa"/>
            <w:shd w:val="clear" w:color="auto" w:fill="FFC9C9"/>
            <w:tcMar>
              <w:top w:w="80" w:type="dxa"/>
              <w:left w:w="80" w:type="dxa"/>
              <w:bottom w:w="80" w:type="dxa"/>
              <w:right w:w="80" w:type="dxa"/>
            </w:tcMar>
          </w:tcPr>
          <w:p w14:paraId="2ED92EC1" w14:textId="2D5287D7" w:rsidR="00C4788D" w:rsidRPr="00C4788D" w:rsidRDefault="00A7538C" w:rsidP="00292A53">
            <w:pPr>
              <w:spacing w:after="60"/>
              <w:rPr>
                <w:rFonts w:cs="Arial"/>
                <w:color w:val="000000"/>
                <w:sz w:val="14"/>
                <w:szCs w:val="16"/>
                <w:lang w:val="en-GB"/>
              </w:rPr>
            </w:pPr>
            <w:hyperlink r:id="rId2139" w:anchor="s25http://www.austlii.edu.au/au/legis/sa/consol_act/rtwa2014207/index.html" w:history="1">
              <w:r w:rsidR="00C4788D" w:rsidRPr="006C5923">
                <w:rPr>
                  <w:rFonts w:cs="Arial"/>
                  <w:i/>
                  <w:color w:val="0000FF"/>
                  <w:sz w:val="14"/>
                  <w:szCs w:val="16"/>
                  <w:u w:val="single"/>
                  <w:lang w:val="en-GB"/>
                </w:rPr>
                <w:t>Return to Work Act</w:t>
              </w:r>
              <w:r w:rsidR="00C4788D" w:rsidRPr="00B2471E">
                <w:rPr>
                  <w:rFonts w:cs="Arial"/>
                  <w:i/>
                  <w:color w:val="0000FF"/>
                  <w:sz w:val="14"/>
                  <w:szCs w:val="16"/>
                  <w:u w:val="single"/>
                  <w:lang w:val="en-GB"/>
                </w:rPr>
                <w:t xml:space="preserve"> 2014</w:t>
              </w:r>
            </w:hyperlink>
            <w:r w:rsidR="00DD0D68">
              <w:rPr>
                <w:rFonts w:cs="Arial"/>
                <w:i/>
                <w:color w:val="000000"/>
                <w:sz w:val="14"/>
                <w:szCs w:val="16"/>
                <w:lang w:val="en-GB"/>
              </w:rPr>
              <w:t xml:space="preserve"> </w:t>
            </w:r>
            <w:r w:rsidR="00C4788D" w:rsidRPr="00C4788D">
              <w:rPr>
                <w:rFonts w:cs="Arial"/>
                <w:color w:val="000000"/>
                <w:sz w:val="14"/>
                <w:szCs w:val="16"/>
                <w:lang w:val="en-GB"/>
              </w:rPr>
              <w:t>Version valid from 1 July 2015</w:t>
            </w:r>
          </w:p>
          <w:p w14:paraId="5CE36480" w14:textId="60BF30CF" w:rsidR="00C4788D" w:rsidRPr="00C4788D" w:rsidRDefault="00C4788D" w:rsidP="00292A53">
            <w:pPr>
              <w:spacing w:after="60"/>
              <w:rPr>
                <w:rFonts w:cs="Arial"/>
                <w:color w:val="000000"/>
                <w:sz w:val="14"/>
                <w:szCs w:val="16"/>
                <w:lang w:val="en-GB"/>
              </w:rPr>
            </w:pPr>
            <w:r w:rsidRPr="00C4788D">
              <w:rPr>
                <w:rFonts w:cs="Arial"/>
                <w:color w:val="000000"/>
                <w:sz w:val="14"/>
                <w:szCs w:val="16"/>
              </w:rPr>
              <w:t>Historical versions can be accessed from</w:t>
            </w:r>
            <w:r w:rsidR="005018E1">
              <w:rPr>
                <w:rFonts w:cs="Arial"/>
                <w:color w:val="000000"/>
                <w:sz w:val="14"/>
                <w:szCs w:val="16"/>
              </w:rPr>
              <w:t xml:space="preserve"> </w:t>
            </w:r>
            <w:hyperlink r:id="rId2140" w:history="1">
              <w:r w:rsidR="005018E1" w:rsidRPr="005018E1">
                <w:rPr>
                  <w:rStyle w:val="Hyperlink"/>
                  <w:rFonts w:cs="Arial"/>
                  <w:sz w:val="14"/>
                  <w:szCs w:val="16"/>
                </w:rPr>
                <w:t>South Australian Legislation</w:t>
              </w:r>
            </w:hyperlink>
            <w:r w:rsidR="005018E1">
              <w:rPr>
                <w:rFonts w:cs="Arial"/>
                <w:color w:val="000000"/>
                <w:sz w:val="14"/>
                <w:szCs w:val="16"/>
              </w:rPr>
              <w:t xml:space="preserve"> </w:t>
            </w:r>
          </w:p>
        </w:tc>
      </w:tr>
      <w:tr w:rsidR="00C4788D" w:rsidRPr="00C4788D" w14:paraId="6ECE489E" w14:textId="77777777" w:rsidTr="00793D90">
        <w:tc>
          <w:tcPr>
            <w:tcW w:w="1503" w:type="dxa"/>
            <w:tcMar>
              <w:top w:w="80" w:type="dxa"/>
              <w:left w:w="80" w:type="dxa"/>
              <w:bottom w:w="80" w:type="dxa"/>
              <w:right w:w="80" w:type="dxa"/>
            </w:tcMar>
          </w:tcPr>
          <w:p w14:paraId="21E88BAD"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Tasmania</w:t>
            </w:r>
          </w:p>
        </w:tc>
        <w:tc>
          <w:tcPr>
            <w:tcW w:w="13530" w:type="dxa"/>
            <w:tcMar>
              <w:top w:w="80" w:type="dxa"/>
              <w:left w:w="80" w:type="dxa"/>
              <w:bottom w:w="80" w:type="dxa"/>
              <w:right w:w="80" w:type="dxa"/>
            </w:tcMar>
          </w:tcPr>
          <w:p w14:paraId="2A8942A4" w14:textId="7FFBCB98" w:rsidR="00C4788D" w:rsidRPr="00C4788D" w:rsidRDefault="00A7538C" w:rsidP="00292A53">
            <w:pPr>
              <w:spacing w:after="60"/>
              <w:rPr>
                <w:rFonts w:cs="Arial"/>
                <w:color w:val="000000"/>
                <w:sz w:val="14"/>
                <w:szCs w:val="16"/>
                <w:lang w:val="en-GB"/>
              </w:rPr>
            </w:pPr>
            <w:hyperlink r:id="rId2141" w:history="1">
              <w:r w:rsidR="00BE5AB6" w:rsidRPr="00754361">
                <w:rPr>
                  <w:rStyle w:val="Hyperlink"/>
                  <w:rFonts w:cs="Arial"/>
                  <w:i/>
                  <w:sz w:val="14"/>
                  <w:szCs w:val="16"/>
                  <w:lang w:val="en-GB"/>
                </w:rPr>
                <w:t>Workers Rehabilitation and Compensation Act 1988</w:t>
              </w:r>
            </w:hyperlink>
            <w:r w:rsidR="00BE5AB6">
              <w:rPr>
                <w:rFonts w:cs="Arial"/>
                <w:i/>
                <w:color w:val="000000"/>
                <w:sz w:val="14"/>
                <w:szCs w:val="16"/>
                <w:lang w:val="en-GB"/>
              </w:rPr>
              <w:t xml:space="preserve"> </w:t>
            </w:r>
            <w:r w:rsidR="00BE5AB6">
              <w:rPr>
                <w:rFonts w:cs="Arial"/>
                <w:color w:val="000000"/>
                <w:sz w:val="14"/>
                <w:szCs w:val="16"/>
                <w:lang w:val="en-GB"/>
              </w:rPr>
              <w:t>as at 1 January 2017</w:t>
            </w:r>
          </w:p>
        </w:tc>
      </w:tr>
      <w:tr w:rsidR="00C4788D" w:rsidRPr="00C4788D" w14:paraId="4B6BF288" w14:textId="77777777" w:rsidTr="00793D90">
        <w:tc>
          <w:tcPr>
            <w:tcW w:w="1503" w:type="dxa"/>
            <w:shd w:val="clear" w:color="auto" w:fill="FFC9C9"/>
            <w:tcMar>
              <w:top w:w="80" w:type="dxa"/>
              <w:left w:w="80" w:type="dxa"/>
              <w:bottom w:w="80" w:type="dxa"/>
              <w:right w:w="80" w:type="dxa"/>
            </w:tcMar>
          </w:tcPr>
          <w:p w14:paraId="7AC4DAB1"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Northern Territory</w:t>
            </w:r>
          </w:p>
        </w:tc>
        <w:tc>
          <w:tcPr>
            <w:tcW w:w="13530" w:type="dxa"/>
            <w:shd w:val="clear" w:color="auto" w:fill="FFC9C9"/>
            <w:tcMar>
              <w:top w:w="80" w:type="dxa"/>
              <w:left w:w="80" w:type="dxa"/>
              <w:bottom w:w="80" w:type="dxa"/>
              <w:right w:w="80" w:type="dxa"/>
            </w:tcMar>
          </w:tcPr>
          <w:p w14:paraId="6D06BDE5" w14:textId="0E1519DC" w:rsidR="00C4788D" w:rsidRDefault="009A320F" w:rsidP="00292A53">
            <w:pPr>
              <w:spacing w:after="60"/>
              <w:rPr>
                <w:rFonts w:cs="Arial"/>
                <w:i/>
                <w:color w:val="000000"/>
                <w:sz w:val="14"/>
                <w:szCs w:val="16"/>
                <w:lang w:val="en-GB"/>
              </w:rPr>
            </w:pPr>
            <w:r w:rsidRPr="006C5923">
              <w:rPr>
                <w:rFonts w:cs="Arial"/>
                <w:i/>
                <w:color w:val="000000"/>
                <w:sz w:val="14"/>
                <w:szCs w:val="16"/>
                <w:lang w:val="en-GB"/>
              </w:rPr>
              <w:t>Return to Work Act 2015</w:t>
            </w:r>
          </w:p>
          <w:p w14:paraId="23375641" w14:textId="41713FFA" w:rsidR="00F52730" w:rsidRPr="00F52730" w:rsidRDefault="00A7538C" w:rsidP="00292A53">
            <w:pPr>
              <w:spacing w:after="60"/>
              <w:rPr>
                <w:rFonts w:cs="Arial"/>
                <w:color w:val="000000"/>
                <w:sz w:val="14"/>
                <w:szCs w:val="16"/>
                <w:lang w:val="en-GB"/>
              </w:rPr>
            </w:pPr>
            <w:hyperlink r:id="rId2142" w:history="1">
              <w:r w:rsidR="00F52730" w:rsidRPr="00F52730">
                <w:rPr>
                  <w:rStyle w:val="Hyperlink"/>
                  <w:rFonts w:cs="Arial"/>
                  <w:sz w:val="14"/>
                  <w:szCs w:val="16"/>
                  <w:lang w:val="en-GB"/>
                </w:rPr>
                <w:t>Current version is here</w:t>
              </w:r>
            </w:hyperlink>
          </w:p>
          <w:p w14:paraId="36AFF54D" w14:textId="3233C370" w:rsidR="00C4788D" w:rsidRPr="00C4788D" w:rsidRDefault="00A7538C" w:rsidP="00292A53">
            <w:pPr>
              <w:spacing w:after="60"/>
              <w:rPr>
                <w:rFonts w:cs="Arial"/>
                <w:color w:val="000000"/>
                <w:sz w:val="14"/>
                <w:szCs w:val="16"/>
                <w:lang w:val="en-GB"/>
              </w:rPr>
            </w:pPr>
            <w:hyperlink r:id="rId2143" w:history="1">
              <w:r w:rsidR="00F52730" w:rsidRPr="009D0C4C">
                <w:rPr>
                  <w:rStyle w:val="Hyperlink"/>
                  <w:rFonts w:cs="Arial"/>
                  <w:sz w:val="14"/>
                  <w:szCs w:val="16"/>
                  <w:lang w:val="en-GB"/>
                </w:rPr>
                <w:t xml:space="preserve">Version Valid from 1 October 2015 to </w:t>
              </w:r>
              <w:r w:rsidR="009D0C4C" w:rsidRPr="009D0C4C">
                <w:rPr>
                  <w:rStyle w:val="Hyperlink"/>
                  <w:rFonts w:cs="Arial"/>
                  <w:sz w:val="14"/>
                  <w:szCs w:val="16"/>
                  <w:lang w:val="en-GB"/>
                </w:rPr>
                <w:t>30 April 2016</w:t>
              </w:r>
            </w:hyperlink>
          </w:p>
          <w:p w14:paraId="17624F3C" w14:textId="5DB72B56" w:rsidR="00C4788D" w:rsidRPr="00C4788D" w:rsidRDefault="00A7538C" w:rsidP="00292A53">
            <w:pPr>
              <w:spacing w:after="60"/>
              <w:rPr>
                <w:rFonts w:cs="Arial"/>
                <w:color w:val="000000"/>
                <w:sz w:val="14"/>
                <w:szCs w:val="16"/>
                <w:lang w:val="en-GB"/>
              </w:rPr>
            </w:pPr>
            <w:hyperlink r:id="rId2144" w:history="1">
              <w:r w:rsidR="00F52730" w:rsidRPr="009D0C4C">
                <w:rPr>
                  <w:rStyle w:val="Hyperlink"/>
                  <w:rFonts w:cs="Arial"/>
                  <w:sz w:val="14"/>
                  <w:szCs w:val="16"/>
                  <w:lang w:val="en-GB"/>
                </w:rPr>
                <w:t>Version valid 1 July 2015 to 30 September 2015</w:t>
              </w:r>
            </w:hyperlink>
          </w:p>
          <w:p w14:paraId="3186767B" w14:textId="77777777" w:rsidR="00C4788D" w:rsidRDefault="00C4788D" w:rsidP="00292A53">
            <w:pPr>
              <w:spacing w:after="60"/>
              <w:rPr>
                <w:rFonts w:cs="Arial"/>
                <w:i/>
                <w:color w:val="000000"/>
                <w:sz w:val="14"/>
                <w:szCs w:val="16"/>
                <w:lang w:val="en-GB"/>
              </w:rPr>
            </w:pPr>
            <w:r w:rsidRPr="006C5923">
              <w:rPr>
                <w:rFonts w:cs="Arial"/>
                <w:i/>
                <w:color w:val="000000"/>
                <w:sz w:val="14"/>
                <w:szCs w:val="16"/>
                <w:lang w:val="en-GB"/>
              </w:rPr>
              <w:t>Workers rehabilitation and Compensation Act 2008</w:t>
            </w:r>
          </w:p>
          <w:p w14:paraId="6EAF0551" w14:textId="5301AF42" w:rsidR="00C4788D" w:rsidRPr="00C10ADA" w:rsidRDefault="00A7538C" w:rsidP="00671BA9">
            <w:pPr>
              <w:spacing w:after="60"/>
              <w:rPr>
                <w:rFonts w:cs="Arial"/>
                <w:color w:val="0000FF"/>
                <w:sz w:val="14"/>
                <w:szCs w:val="16"/>
                <w:u w:val="single"/>
                <w:lang w:val="en-GB"/>
              </w:rPr>
            </w:pPr>
            <w:hyperlink r:id="rId2145" w:history="1">
              <w:r w:rsidR="00F52730" w:rsidRPr="00F52730">
                <w:rPr>
                  <w:rStyle w:val="Hyperlink"/>
                  <w:rFonts w:cs="Arial"/>
                  <w:sz w:val="14"/>
                  <w:szCs w:val="16"/>
                  <w:lang w:val="en-GB"/>
                </w:rPr>
                <w:t>Historical versions</w:t>
              </w:r>
            </w:hyperlink>
          </w:p>
        </w:tc>
      </w:tr>
      <w:tr w:rsidR="00C4788D" w:rsidRPr="00C4788D" w14:paraId="69388F02" w14:textId="77777777" w:rsidTr="00793D90">
        <w:tc>
          <w:tcPr>
            <w:tcW w:w="1503" w:type="dxa"/>
            <w:tcMar>
              <w:top w:w="80" w:type="dxa"/>
              <w:left w:w="80" w:type="dxa"/>
              <w:bottom w:w="80" w:type="dxa"/>
              <w:right w:w="80" w:type="dxa"/>
            </w:tcMar>
          </w:tcPr>
          <w:p w14:paraId="074419DC"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Australian Capital Territory</w:t>
            </w:r>
          </w:p>
        </w:tc>
        <w:tc>
          <w:tcPr>
            <w:tcW w:w="13530" w:type="dxa"/>
            <w:tcMar>
              <w:top w:w="80" w:type="dxa"/>
              <w:left w:w="80" w:type="dxa"/>
              <w:bottom w:w="80" w:type="dxa"/>
              <w:right w:w="80" w:type="dxa"/>
            </w:tcMar>
          </w:tcPr>
          <w:p w14:paraId="67C25461" w14:textId="77777777" w:rsidR="002D3DAA" w:rsidRPr="006C5923" w:rsidRDefault="00C4788D" w:rsidP="00292A53">
            <w:pPr>
              <w:spacing w:after="60"/>
              <w:rPr>
                <w:rFonts w:cs="Arial"/>
                <w:i/>
                <w:color w:val="000000"/>
                <w:sz w:val="14"/>
                <w:szCs w:val="16"/>
                <w:lang w:val="en-GB"/>
              </w:rPr>
            </w:pPr>
            <w:r w:rsidRPr="006C5923">
              <w:rPr>
                <w:rFonts w:cs="Arial"/>
                <w:i/>
                <w:color w:val="000000"/>
                <w:sz w:val="14"/>
                <w:szCs w:val="16"/>
                <w:lang w:val="en-GB"/>
              </w:rPr>
              <w:t xml:space="preserve">Workers’ Compensation Act 1951 </w:t>
            </w:r>
          </w:p>
          <w:p w14:paraId="65076EF5" w14:textId="214FCD38" w:rsidR="00C4788D" w:rsidRPr="00C4788D" w:rsidRDefault="00A7538C" w:rsidP="00292A53">
            <w:pPr>
              <w:spacing w:after="60"/>
              <w:rPr>
                <w:rFonts w:cs="Arial"/>
                <w:color w:val="000000"/>
                <w:sz w:val="14"/>
                <w:szCs w:val="16"/>
                <w:lang w:val="en-GB"/>
              </w:rPr>
            </w:pPr>
            <w:hyperlink r:id="rId2146" w:history="1">
              <w:r w:rsidR="002D3DAA" w:rsidRPr="002D3DAA">
                <w:rPr>
                  <w:rStyle w:val="Hyperlink"/>
                  <w:rFonts w:cs="Arial"/>
                  <w:sz w:val="14"/>
                  <w:szCs w:val="16"/>
                  <w:lang w:val="en-GB"/>
                </w:rPr>
                <w:t>ACT Legislation Register</w:t>
              </w:r>
            </w:hyperlink>
            <w:r w:rsidR="002D3DAA">
              <w:rPr>
                <w:rFonts w:cs="Arial"/>
                <w:color w:val="000000"/>
                <w:sz w:val="14"/>
                <w:szCs w:val="16"/>
                <w:lang w:val="en-GB"/>
              </w:rPr>
              <w:t xml:space="preserve"> </w:t>
            </w:r>
            <w:r w:rsidR="00C4788D" w:rsidRPr="00C4788D">
              <w:rPr>
                <w:rFonts w:cs="Arial"/>
                <w:color w:val="000000"/>
                <w:sz w:val="14"/>
                <w:szCs w:val="16"/>
                <w:lang w:val="en-GB"/>
              </w:rPr>
              <w:t>(All versions can be accessed from this webpage)</w:t>
            </w:r>
          </w:p>
        </w:tc>
      </w:tr>
      <w:tr w:rsidR="00C4788D" w:rsidRPr="00C4788D" w14:paraId="1F370057" w14:textId="77777777" w:rsidTr="00793D90">
        <w:tc>
          <w:tcPr>
            <w:tcW w:w="1503" w:type="dxa"/>
            <w:shd w:val="clear" w:color="auto" w:fill="FFC9C9"/>
            <w:tcMar>
              <w:top w:w="80" w:type="dxa"/>
              <w:left w:w="80" w:type="dxa"/>
              <w:bottom w:w="80" w:type="dxa"/>
              <w:right w:w="80" w:type="dxa"/>
            </w:tcMar>
          </w:tcPr>
          <w:p w14:paraId="39D3300B"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C’wealth Comcare</w:t>
            </w:r>
          </w:p>
        </w:tc>
        <w:tc>
          <w:tcPr>
            <w:tcW w:w="13530" w:type="dxa"/>
            <w:shd w:val="clear" w:color="auto" w:fill="FFC9C9"/>
            <w:tcMar>
              <w:top w:w="80" w:type="dxa"/>
              <w:left w:w="80" w:type="dxa"/>
              <w:bottom w:w="80" w:type="dxa"/>
              <w:right w:w="80" w:type="dxa"/>
            </w:tcMar>
          </w:tcPr>
          <w:p w14:paraId="75E6FA8C" w14:textId="77777777" w:rsidR="00C4788D" w:rsidRPr="006C5923" w:rsidRDefault="00C4788D" w:rsidP="00292A53">
            <w:pPr>
              <w:spacing w:after="60"/>
              <w:rPr>
                <w:rFonts w:cs="Arial"/>
                <w:i/>
                <w:color w:val="000000"/>
                <w:sz w:val="14"/>
                <w:szCs w:val="16"/>
                <w:lang w:val="en-GB"/>
              </w:rPr>
            </w:pPr>
            <w:r w:rsidRPr="006C5923">
              <w:rPr>
                <w:rFonts w:cs="Arial"/>
                <w:i/>
                <w:color w:val="000000"/>
                <w:sz w:val="14"/>
                <w:szCs w:val="16"/>
                <w:lang w:val="en-GB"/>
              </w:rPr>
              <w:t>Safety, Rehabilitation and Compensation Act 1988</w:t>
            </w:r>
          </w:p>
          <w:p w14:paraId="3926C3EC" w14:textId="01FBDA3B" w:rsidR="00C4788D" w:rsidRPr="00C4788D" w:rsidRDefault="00A7538C" w:rsidP="00292A53">
            <w:pPr>
              <w:spacing w:after="60"/>
              <w:rPr>
                <w:rFonts w:cs="Arial"/>
                <w:color w:val="000000"/>
                <w:sz w:val="14"/>
                <w:szCs w:val="16"/>
                <w:lang w:val="en-GB"/>
              </w:rPr>
            </w:pPr>
            <w:hyperlink r:id="rId2147" w:history="1">
              <w:r w:rsidR="002D3DAA" w:rsidRPr="002D3DAA">
                <w:rPr>
                  <w:rStyle w:val="Hyperlink"/>
                  <w:rFonts w:cs="Arial"/>
                  <w:sz w:val="14"/>
                  <w:szCs w:val="16"/>
                  <w:lang w:val="en-GB"/>
                </w:rPr>
                <w:t>Federal Register of Legislation</w:t>
              </w:r>
            </w:hyperlink>
          </w:p>
        </w:tc>
      </w:tr>
      <w:tr w:rsidR="00C4788D" w:rsidRPr="00C4788D" w14:paraId="310CBEDF" w14:textId="77777777" w:rsidTr="00793D90">
        <w:tc>
          <w:tcPr>
            <w:tcW w:w="1503" w:type="dxa"/>
            <w:tcMar>
              <w:top w:w="80" w:type="dxa"/>
              <w:left w:w="80" w:type="dxa"/>
              <w:bottom w:w="80" w:type="dxa"/>
              <w:right w:w="80" w:type="dxa"/>
            </w:tcMar>
          </w:tcPr>
          <w:p w14:paraId="1C14C7A6"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C’wealth Seacare</w:t>
            </w:r>
          </w:p>
        </w:tc>
        <w:tc>
          <w:tcPr>
            <w:tcW w:w="13530" w:type="dxa"/>
            <w:tcMar>
              <w:top w:w="80" w:type="dxa"/>
              <w:left w:w="80" w:type="dxa"/>
              <w:bottom w:w="80" w:type="dxa"/>
              <w:right w:w="80" w:type="dxa"/>
            </w:tcMar>
          </w:tcPr>
          <w:p w14:paraId="3BA4819A" w14:textId="7D9D6A51" w:rsidR="00C4788D" w:rsidRPr="006C5923" w:rsidRDefault="00A7538C" w:rsidP="00292A53">
            <w:pPr>
              <w:spacing w:after="60"/>
              <w:rPr>
                <w:rFonts w:cs="Arial"/>
                <w:i/>
                <w:color w:val="000000"/>
                <w:sz w:val="14"/>
                <w:szCs w:val="16"/>
                <w:lang w:val="en-GB"/>
              </w:rPr>
            </w:pPr>
            <w:hyperlink r:id="rId2148" w:history="1">
              <w:r w:rsidR="00C4788D" w:rsidRPr="006C5923">
                <w:rPr>
                  <w:rStyle w:val="Hyperlink"/>
                  <w:rFonts w:cs="Arial"/>
                  <w:i/>
                  <w:sz w:val="14"/>
                  <w:szCs w:val="16"/>
                  <w:lang w:val="en-GB"/>
                </w:rPr>
                <w:t>Seafarers’ Rehabilitation and Compensation Act 1992</w:t>
              </w:r>
            </w:hyperlink>
          </w:p>
        </w:tc>
      </w:tr>
      <w:tr w:rsidR="00C4788D" w:rsidRPr="00C4788D" w14:paraId="4D1F6949" w14:textId="77777777" w:rsidTr="00793D90">
        <w:tc>
          <w:tcPr>
            <w:tcW w:w="1503" w:type="dxa"/>
            <w:shd w:val="clear" w:color="auto" w:fill="FFC9C9"/>
            <w:tcMar>
              <w:top w:w="80" w:type="dxa"/>
              <w:left w:w="80" w:type="dxa"/>
              <w:bottom w:w="80" w:type="dxa"/>
              <w:right w:w="80" w:type="dxa"/>
            </w:tcMar>
          </w:tcPr>
          <w:p w14:paraId="51034741"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C’wealth DVA</w:t>
            </w:r>
          </w:p>
        </w:tc>
        <w:tc>
          <w:tcPr>
            <w:tcW w:w="13530" w:type="dxa"/>
            <w:shd w:val="clear" w:color="auto" w:fill="FFC9C9"/>
            <w:tcMar>
              <w:top w:w="80" w:type="dxa"/>
              <w:left w:w="80" w:type="dxa"/>
              <w:bottom w:w="80" w:type="dxa"/>
              <w:right w:w="80" w:type="dxa"/>
            </w:tcMar>
          </w:tcPr>
          <w:p w14:paraId="785FC4AF" w14:textId="0B60BE1F" w:rsidR="00E857B6" w:rsidRPr="00E857B6" w:rsidRDefault="00E857B6" w:rsidP="00292A53">
            <w:pPr>
              <w:spacing w:after="60"/>
              <w:rPr>
                <w:i/>
                <w:sz w:val="14"/>
                <w:szCs w:val="14"/>
              </w:rPr>
            </w:pPr>
            <w:r>
              <w:rPr>
                <w:i/>
                <w:sz w:val="14"/>
                <w:szCs w:val="14"/>
              </w:rPr>
              <w:t>Safety, Rehabilitation and Compensation (Defence-related Claims) Act 1988</w:t>
            </w:r>
          </w:p>
          <w:p w14:paraId="05D16514" w14:textId="531AA51C" w:rsidR="00C4788D" w:rsidRPr="006C5923" w:rsidRDefault="00A7538C" w:rsidP="00292A53">
            <w:pPr>
              <w:spacing w:after="60"/>
              <w:rPr>
                <w:rFonts w:cs="Arial"/>
                <w:i/>
                <w:color w:val="000000"/>
                <w:sz w:val="14"/>
                <w:szCs w:val="16"/>
                <w:lang w:val="en-GB"/>
              </w:rPr>
            </w:pPr>
            <w:hyperlink r:id="rId2149" w:history="1">
              <w:r w:rsidR="00C4788D" w:rsidRPr="006C5923">
                <w:rPr>
                  <w:rFonts w:cs="Arial"/>
                  <w:i/>
                  <w:color w:val="0000FF"/>
                  <w:sz w:val="14"/>
                  <w:szCs w:val="16"/>
                  <w:u w:val="single"/>
                  <w:lang w:val="en-GB"/>
                </w:rPr>
                <w:t>Military Rehabilitation and Compensation Act 2004</w:t>
              </w:r>
            </w:hyperlink>
          </w:p>
        </w:tc>
      </w:tr>
      <w:tr w:rsidR="00C4788D" w:rsidRPr="00C4788D" w14:paraId="75B1036C" w14:textId="77777777" w:rsidTr="00793D90">
        <w:tc>
          <w:tcPr>
            <w:tcW w:w="1503" w:type="dxa"/>
            <w:tcMar>
              <w:top w:w="80" w:type="dxa"/>
              <w:left w:w="80" w:type="dxa"/>
              <w:bottom w:w="80" w:type="dxa"/>
              <w:right w:w="80" w:type="dxa"/>
            </w:tcMar>
          </w:tcPr>
          <w:p w14:paraId="4916F820" w14:textId="67EC9572"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lastRenderedPageBreak/>
              <w:t>New Zealand</w:t>
            </w:r>
          </w:p>
        </w:tc>
        <w:tc>
          <w:tcPr>
            <w:tcW w:w="13530" w:type="dxa"/>
            <w:tcMar>
              <w:top w:w="80" w:type="dxa"/>
              <w:left w:w="80" w:type="dxa"/>
              <w:bottom w:w="80" w:type="dxa"/>
              <w:right w:w="80" w:type="dxa"/>
            </w:tcMar>
          </w:tcPr>
          <w:p w14:paraId="1139BEF7" w14:textId="77777777" w:rsidR="0044198D" w:rsidRPr="00B139EF" w:rsidRDefault="0044198D" w:rsidP="00292A53">
            <w:pPr>
              <w:pStyle w:val="lgetabletxt"/>
              <w:spacing w:after="60" w:afterAutospacing="0"/>
            </w:pPr>
            <w:r w:rsidRPr="006C5923">
              <w:rPr>
                <w:i/>
              </w:rPr>
              <w:t>Accident Compensation Act 2001 No 49</w:t>
            </w:r>
            <w:r w:rsidRPr="00B139EF">
              <w:t xml:space="preserve"> (current)</w:t>
            </w:r>
          </w:p>
          <w:p w14:paraId="6F5FCD50" w14:textId="77777777" w:rsidR="0044198D" w:rsidRPr="00B139EF" w:rsidRDefault="0044198D" w:rsidP="00292A53">
            <w:pPr>
              <w:pStyle w:val="lgetabletxt"/>
              <w:spacing w:after="60" w:afterAutospacing="0"/>
              <w:rPr>
                <w:rStyle w:val="Hyperlink"/>
              </w:rPr>
            </w:pPr>
            <w:r w:rsidRPr="00B139EF">
              <w:fldChar w:fldCharType="begin"/>
            </w:r>
            <w:r w:rsidRPr="00B139EF">
              <w:instrText>HYPERLINK "http://www.legislation.govt.nz/act/public/2001/0049/latest/DLM99494.html"</w:instrText>
            </w:r>
            <w:r w:rsidRPr="00B139EF">
              <w:fldChar w:fldCharType="separate"/>
            </w:r>
            <w:r w:rsidRPr="00B139EF">
              <w:rPr>
                <w:rStyle w:val="Hyperlink"/>
              </w:rPr>
              <w:t>(Version valid 1 April 2002 onwards)</w:t>
            </w:r>
          </w:p>
          <w:p w14:paraId="4954701F" w14:textId="77777777" w:rsidR="0044198D" w:rsidRPr="006C5923" w:rsidRDefault="0044198D" w:rsidP="00292A53">
            <w:pPr>
              <w:pStyle w:val="lgetabletxt"/>
              <w:spacing w:after="60" w:afterAutospacing="0"/>
              <w:rPr>
                <w:i/>
              </w:rPr>
            </w:pPr>
            <w:r w:rsidRPr="00B139EF">
              <w:fldChar w:fldCharType="end"/>
            </w:r>
            <w:r w:rsidRPr="006C5923">
              <w:rPr>
                <w:i/>
              </w:rPr>
              <w:t>Accident Compensation Amendment Act 2016</w:t>
            </w:r>
          </w:p>
          <w:p w14:paraId="475E2B0E" w14:textId="77777777" w:rsidR="0044198D" w:rsidRDefault="00A7538C" w:rsidP="00292A53">
            <w:pPr>
              <w:pStyle w:val="lgetabletxt"/>
              <w:spacing w:after="60" w:afterAutospacing="0"/>
            </w:pPr>
            <w:hyperlink r:id="rId2150" w:history="1">
              <w:r w:rsidR="0044198D" w:rsidRPr="008F7FA2">
                <w:rPr>
                  <w:rStyle w:val="Hyperlink"/>
                </w:rPr>
                <w:t>(Version valid 7 November 2016 onwards)</w:t>
              </w:r>
            </w:hyperlink>
          </w:p>
          <w:p w14:paraId="02A6911B" w14:textId="0E53D59D" w:rsidR="0044198D" w:rsidRPr="006C5923" w:rsidRDefault="0044198D" w:rsidP="00292A53">
            <w:pPr>
              <w:pStyle w:val="lgetabletxt"/>
              <w:spacing w:after="60" w:afterAutospacing="0"/>
              <w:rPr>
                <w:i/>
              </w:rPr>
            </w:pPr>
            <w:r w:rsidRPr="006C5923">
              <w:rPr>
                <w:i/>
              </w:rPr>
              <w:t>Accident Compe</w:t>
            </w:r>
            <w:r w:rsidR="009A320F" w:rsidRPr="006C5923">
              <w:rPr>
                <w:i/>
              </w:rPr>
              <w:t>nsation Amendment Act 2010 No 1</w:t>
            </w:r>
          </w:p>
          <w:p w14:paraId="4B196431" w14:textId="77777777" w:rsidR="0044198D" w:rsidRPr="00B139EF" w:rsidRDefault="0044198D" w:rsidP="00292A53">
            <w:pPr>
              <w:pStyle w:val="lgetabletxt"/>
              <w:spacing w:after="60" w:afterAutospacing="0"/>
              <w:rPr>
                <w:rStyle w:val="Hyperlink"/>
              </w:rPr>
            </w:pPr>
            <w:r w:rsidRPr="00B139EF">
              <w:fldChar w:fldCharType="begin"/>
            </w:r>
            <w:r w:rsidRPr="00B139EF">
              <w:instrText>HYPERLINK "http://www.legislation.govt.nz/act/public/2001/0049/latest/DLM2796574.html"</w:instrText>
            </w:r>
            <w:r w:rsidRPr="00B139EF">
              <w:fldChar w:fldCharType="separate"/>
            </w:r>
            <w:r w:rsidRPr="00B139EF">
              <w:rPr>
                <w:rStyle w:val="Hyperlink"/>
              </w:rPr>
              <w:t>(Version valid 3 March 2010 onwards)</w:t>
            </w:r>
          </w:p>
          <w:p w14:paraId="28258C2A" w14:textId="77777777" w:rsidR="0044198D" w:rsidRPr="006C5923" w:rsidRDefault="0044198D" w:rsidP="00292A53">
            <w:pPr>
              <w:pStyle w:val="lgetabletxt"/>
              <w:spacing w:after="60" w:afterAutospacing="0"/>
              <w:rPr>
                <w:i/>
              </w:rPr>
            </w:pPr>
            <w:r w:rsidRPr="00B139EF">
              <w:fldChar w:fldCharType="end"/>
            </w:r>
            <w:r w:rsidRPr="006C5923">
              <w:rPr>
                <w:i/>
              </w:rPr>
              <w:t>Injury Prevention, Rehabilitation, and Compensation Act 2001 No 49</w:t>
            </w:r>
          </w:p>
          <w:p w14:paraId="437EE200" w14:textId="7827C4B6" w:rsidR="00C4788D" w:rsidRPr="0044198D" w:rsidRDefault="00A7538C" w:rsidP="00292A53">
            <w:pPr>
              <w:spacing w:after="60"/>
              <w:rPr>
                <w:rFonts w:cs="Arial"/>
                <w:color w:val="000000"/>
                <w:sz w:val="14"/>
                <w:szCs w:val="14"/>
                <w:lang w:val="en-GB"/>
              </w:rPr>
            </w:pPr>
            <w:hyperlink r:id="rId2151" w:history="1">
              <w:r w:rsidR="0044198D" w:rsidRPr="0044198D">
                <w:rPr>
                  <w:rStyle w:val="Hyperlink"/>
                  <w:sz w:val="14"/>
                  <w:szCs w:val="14"/>
                </w:rPr>
                <w:t xml:space="preserve">(renamed </w:t>
              </w:r>
              <w:r w:rsidR="0044198D" w:rsidRPr="007239A5">
                <w:rPr>
                  <w:rStyle w:val="Hyperlink"/>
                  <w:i/>
                  <w:sz w:val="14"/>
                  <w:szCs w:val="14"/>
                </w:rPr>
                <w:t>Accident Compensation Act 2001</w:t>
              </w:r>
              <w:r w:rsidR="0044198D" w:rsidRPr="0044198D">
                <w:rPr>
                  <w:rStyle w:val="Hyperlink"/>
                  <w:sz w:val="14"/>
                  <w:szCs w:val="14"/>
                </w:rPr>
                <w:t xml:space="preserve"> on 3 March 2010)</w:t>
              </w:r>
            </w:hyperlink>
          </w:p>
        </w:tc>
      </w:tr>
    </w:tbl>
    <w:p w14:paraId="1D5DE0B8" w14:textId="71459517" w:rsidR="001A4415" w:rsidRPr="00205CCE" w:rsidRDefault="001A4415" w:rsidP="00205CCE">
      <w:pPr>
        <w:pStyle w:val="SWATableheader"/>
      </w:pPr>
      <w:bookmarkStart w:id="231" w:name="_Toc504654717"/>
      <w:bookmarkEnd w:id="230"/>
      <w:r w:rsidRPr="00205CCE">
        <w:lastRenderedPageBreak/>
        <w:t xml:space="preserve">Table 7.2: Transitional legislation provisions as at 30 September </w:t>
      </w:r>
      <w:bookmarkEnd w:id="231"/>
      <w:r w:rsidR="001568F3">
        <w:t>2017</w:t>
      </w:r>
      <w:r w:rsidR="001568F3"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2: Transitional legislation provisions as at 30 September 2014  "/>
        <w:tblDescription w:val="This table outlines the transitional legislation provisions as at 30 September 2016. "/>
      </w:tblPr>
      <w:tblGrid>
        <w:gridCol w:w="1485"/>
        <w:gridCol w:w="13530"/>
      </w:tblGrid>
      <w:tr w:rsidR="001A4415" w:rsidRPr="001A4415" w14:paraId="010A571C" w14:textId="77777777" w:rsidTr="00B2173F">
        <w:trPr>
          <w:tblHeader/>
        </w:trPr>
        <w:tc>
          <w:tcPr>
            <w:tcW w:w="1485" w:type="dxa"/>
            <w:shd w:val="clear" w:color="auto" w:fill="C00000"/>
            <w:tcMar>
              <w:top w:w="0" w:type="dxa"/>
              <w:left w:w="0" w:type="dxa"/>
              <w:bottom w:w="0" w:type="dxa"/>
              <w:right w:w="0" w:type="dxa"/>
            </w:tcMar>
            <w:vAlign w:val="center"/>
          </w:tcPr>
          <w:p w14:paraId="3582B2C2" w14:textId="77777777" w:rsidR="001A4415" w:rsidRPr="001A4415" w:rsidRDefault="001A4415" w:rsidP="001A4415">
            <w:pPr>
              <w:pStyle w:val="Tableheaderrow"/>
            </w:pPr>
          </w:p>
        </w:tc>
        <w:tc>
          <w:tcPr>
            <w:tcW w:w="13530" w:type="dxa"/>
            <w:shd w:val="clear" w:color="auto" w:fill="C00000"/>
            <w:tcMar>
              <w:top w:w="0" w:type="dxa"/>
              <w:left w:w="0" w:type="dxa"/>
              <w:bottom w:w="0" w:type="dxa"/>
              <w:right w:w="0" w:type="dxa"/>
            </w:tcMar>
            <w:vAlign w:val="center"/>
          </w:tcPr>
          <w:p w14:paraId="721093FD" w14:textId="77777777" w:rsidR="001A4415" w:rsidRPr="001A4415" w:rsidRDefault="001A4415" w:rsidP="001A4415">
            <w:pPr>
              <w:pStyle w:val="Tableheaderrow"/>
            </w:pPr>
            <w:r w:rsidRPr="001A4415">
              <w:t>Transitional legislation provisions</w:t>
            </w:r>
          </w:p>
        </w:tc>
      </w:tr>
      <w:tr w:rsidR="001A4415" w:rsidRPr="00B139EF" w14:paraId="17C5FEC7" w14:textId="77777777" w:rsidTr="00B2173F">
        <w:tc>
          <w:tcPr>
            <w:tcW w:w="1485" w:type="dxa"/>
            <w:shd w:val="clear" w:color="auto" w:fill="FFC9C9"/>
            <w:tcMar>
              <w:top w:w="80" w:type="dxa"/>
              <w:left w:w="80" w:type="dxa"/>
              <w:bottom w:w="80" w:type="dxa"/>
              <w:right w:w="80" w:type="dxa"/>
            </w:tcMar>
          </w:tcPr>
          <w:p w14:paraId="04BC8CF1" w14:textId="77777777" w:rsidR="001A4415" w:rsidRPr="00B139EF" w:rsidRDefault="001A4415" w:rsidP="008E5AF5">
            <w:pPr>
              <w:pStyle w:val="TableColumn1bold"/>
            </w:pPr>
            <w:r w:rsidRPr="00B139EF">
              <w:t>New South Wales</w:t>
            </w:r>
          </w:p>
        </w:tc>
        <w:tc>
          <w:tcPr>
            <w:tcW w:w="13530" w:type="dxa"/>
            <w:shd w:val="clear" w:color="auto" w:fill="FFC9C9"/>
            <w:tcMar>
              <w:top w:w="80" w:type="dxa"/>
              <w:left w:w="80" w:type="dxa"/>
              <w:bottom w:w="80" w:type="dxa"/>
              <w:right w:w="80" w:type="dxa"/>
            </w:tcMar>
          </w:tcPr>
          <w:p w14:paraId="50779CC4" w14:textId="66593178" w:rsidR="001A4415" w:rsidRPr="00B139EF" w:rsidRDefault="00A7538C" w:rsidP="008E5AF5">
            <w:pPr>
              <w:pStyle w:val="Table7pttext"/>
            </w:pPr>
            <w:hyperlink r:id="rId2152" w:history="1">
              <w:r w:rsidR="001A4415" w:rsidRPr="001D60BD">
                <w:rPr>
                  <w:rStyle w:val="Hyperlink"/>
                  <w:i/>
                </w:rPr>
                <w:t>Workers Compensation Act 1987</w:t>
              </w:r>
            </w:hyperlink>
            <w:r w:rsidR="00640E79">
              <w:t xml:space="preserve"> — </w:t>
            </w:r>
            <w:hyperlink r:id="rId2153" w:history="1">
              <w:r w:rsidR="00640E79" w:rsidRPr="001D60BD">
                <w:rPr>
                  <w:rStyle w:val="Hyperlink"/>
                </w:rPr>
                <w:t>Schedule 6</w:t>
              </w:r>
            </w:hyperlink>
          </w:p>
        </w:tc>
      </w:tr>
      <w:tr w:rsidR="001A4415" w:rsidRPr="00B139EF" w14:paraId="6F01B9AB" w14:textId="77777777" w:rsidTr="00B2173F">
        <w:tc>
          <w:tcPr>
            <w:tcW w:w="1485" w:type="dxa"/>
            <w:tcMar>
              <w:top w:w="80" w:type="dxa"/>
              <w:left w:w="80" w:type="dxa"/>
              <w:bottom w:w="80" w:type="dxa"/>
              <w:right w:w="80" w:type="dxa"/>
            </w:tcMar>
          </w:tcPr>
          <w:p w14:paraId="21CBDE47" w14:textId="77777777" w:rsidR="001A4415" w:rsidRPr="00B139EF" w:rsidRDefault="001A4415" w:rsidP="008E5AF5">
            <w:pPr>
              <w:pStyle w:val="TableColumn1bold"/>
            </w:pPr>
            <w:r w:rsidRPr="00B139EF">
              <w:t>Victoria</w:t>
            </w:r>
          </w:p>
        </w:tc>
        <w:tc>
          <w:tcPr>
            <w:tcW w:w="13530" w:type="dxa"/>
            <w:tcMar>
              <w:top w:w="80" w:type="dxa"/>
              <w:left w:w="80" w:type="dxa"/>
              <w:bottom w:w="80" w:type="dxa"/>
              <w:right w:w="80" w:type="dxa"/>
            </w:tcMar>
          </w:tcPr>
          <w:p w14:paraId="251B164C" w14:textId="77777777" w:rsidR="001A4415" w:rsidRPr="006C5923" w:rsidRDefault="00A7538C" w:rsidP="008E5AF5">
            <w:pPr>
              <w:pStyle w:val="TableColumn1bold"/>
              <w:rPr>
                <w:b w:val="0"/>
                <w:i/>
                <w:sz w:val="14"/>
                <w:szCs w:val="14"/>
              </w:rPr>
            </w:pPr>
            <w:hyperlink r:id="rId2154" w:history="1">
              <w:r w:rsidR="001A4415" w:rsidRPr="006C5923">
                <w:rPr>
                  <w:rStyle w:val="Hyperlink"/>
                  <w:b w:val="0"/>
                  <w:i/>
                  <w:sz w:val="14"/>
                  <w:szCs w:val="14"/>
                </w:rPr>
                <w:t>Accident Compensation Act 1985</w:t>
              </w:r>
            </w:hyperlink>
          </w:p>
          <w:p w14:paraId="1B33268C" w14:textId="5EF69EDE" w:rsidR="001A4415" w:rsidRPr="006C5923" w:rsidRDefault="00A7538C" w:rsidP="008E5AF5">
            <w:pPr>
              <w:pStyle w:val="Table7pttext"/>
              <w:rPr>
                <w:i/>
              </w:rPr>
            </w:pPr>
            <w:hyperlink r:id="rId2155" w:history="1">
              <w:r w:rsidR="001A4415" w:rsidRPr="00CD6144">
                <w:rPr>
                  <w:rStyle w:val="Hyperlink"/>
                  <w:i/>
                </w:rPr>
                <w:t>Accident Compensation (WorkCover Insurance) Act 1993</w:t>
              </w:r>
            </w:hyperlink>
          </w:p>
          <w:p w14:paraId="145A8089" w14:textId="3725CC47" w:rsidR="001A4415" w:rsidRPr="00B139EF" w:rsidRDefault="00A7538C" w:rsidP="008E5AF5">
            <w:pPr>
              <w:pStyle w:val="Table7pttext"/>
            </w:pPr>
            <w:hyperlink r:id="rId2156" w:history="1">
              <w:r w:rsidR="001A4415" w:rsidRPr="00CD6144">
                <w:rPr>
                  <w:rStyle w:val="Hyperlink"/>
                  <w:i/>
                </w:rPr>
                <w:t>Workers’ Compensation Act 1958</w:t>
              </w:r>
            </w:hyperlink>
          </w:p>
        </w:tc>
      </w:tr>
      <w:tr w:rsidR="001A4415" w:rsidRPr="00B139EF" w14:paraId="3E33657F" w14:textId="77777777" w:rsidTr="00B2173F">
        <w:tc>
          <w:tcPr>
            <w:tcW w:w="1485" w:type="dxa"/>
            <w:shd w:val="clear" w:color="auto" w:fill="FFC9C9"/>
            <w:tcMar>
              <w:top w:w="80" w:type="dxa"/>
              <w:left w:w="80" w:type="dxa"/>
              <w:bottom w:w="80" w:type="dxa"/>
              <w:right w:w="80" w:type="dxa"/>
            </w:tcMar>
          </w:tcPr>
          <w:p w14:paraId="303CD447" w14:textId="77777777" w:rsidR="001A4415" w:rsidRPr="00B139EF" w:rsidRDefault="001A4415" w:rsidP="008E5AF5">
            <w:pPr>
              <w:pStyle w:val="TableColumn1bold"/>
            </w:pPr>
            <w:r w:rsidRPr="00B139EF">
              <w:t>Queensland</w:t>
            </w:r>
          </w:p>
        </w:tc>
        <w:tc>
          <w:tcPr>
            <w:tcW w:w="13530" w:type="dxa"/>
            <w:shd w:val="clear" w:color="auto" w:fill="FFC9C9"/>
            <w:tcMar>
              <w:top w:w="80" w:type="dxa"/>
              <w:left w:w="80" w:type="dxa"/>
              <w:bottom w:w="80" w:type="dxa"/>
              <w:right w:w="80" w:type="dxa"/>
            </w:tcMar>
          </w:tcPr>
          <w:p w14:paraId="06B4ED5C" w14:textId="2F55F96D" w:rsidR="00387D38" w:rsidRPr="006C5923" w:rsidRDefault="00387D38" w:rsidP="00387D38">
            <w:pPr>
              <w:pStyle w:val="Table7pttext"/>
              <w:rPr>
                <w:rStyle w:val="Hyperlink"/>
                <w:i/>
              </w:rPr>
            </w:pPr>
            <w:r w:rsidRPr="006C5923">
              <w:rPr>
                <w:i/>
              </w:rPr>
              <w:fldChar w:fldCharType="begin"/>
            </w:r>
            <w:r>
              <w:rPr>
                <w:i/>
              </w:rPr>
              <w:instrText>HYPERLINK "https://digitalcollections.qut.edu.au/3197/1/qsr_workers_compensation_act_1916-1982_31may82.pdf"</w:instrText>
            </w:r>
            <w:r w:rsidRPr="006C5923">
              <w:rPr>
                <w:i/>
              </w:rPr>
              <w:fldChar w:fldCharType="separate"/>
            </w:r>
            <w:r w:rsidRPr="006C5923">
              <w:rPr>
                <w:rStyle w:val="Hyperlink"/>
                <w:i/>
              </w:rPr>
              <w:t>Workers’ Compensation Act 1916</w:t>
            </w:r>
          </w:p>
          <w:p w14:paraId="660284BD" w14:textId="77777777" w:rsidR="00387D38" w:rsidRPr="006C5923" w:rsidRDefault="00387D38" w:rsidP="00387D38">
            <w:pPr>
              <w:pStyle w:val="Table7pttext"/>
              <w:rPr>
                <w:rStyle w:val="Hyperlink"/>
                <w:i/>
              </w:rPr>
            </w:pPr>
            <w:r w:rsidRPr="006C5923">
              <w:rPr>
                <w:i/>
              </w:rPr>
              <w:fldChar w:fldCharType="end"/>
            </w:r>
            <w:r w:rsidRPr="006C5923">
              <w:rPr>
                <w:i/>
              </w:rPr>
              <w:fldChar w:fldCharType="begin"/>
            </w:r>
            <w:r>
              <w:rPr>
                <w:i/>
              </w:rPr>
              <w:instrText>HYPERLINK "https://www.legislation.qld.gov.au/view/html/repealed/current/act-1990-110"</w:instrText>
            </w:r>
            <w:r w:rsidRPr="006C5923">
              <w:rPr>
                <w:i/>
              </w:rPr>
              <w:fldChar w:fldCharType="separate"/>
            </w:r>
            <w:r w:rsidRPr="006C5923">
              <w:rPr>
                <w:rStyle w:val="Hyperlink"/>
                <w:i/>
              </w:rPr>
              <w:t>Workers’ Compensation Act 1990</w:t>
            </w:r>
          </w:p>
          <w:p w14:paraId="45894546" w14:textId="09AB27D9" w:rsidR="001A4415" w:rsidRPr="00B139EF" w:rsidRDefault="00387D38" w:rsidP="00387D38">
            <w:pPr>
              <w:pStyle w:val="Table7pttext"/>
            </w:pPr>
            <w:r w:rsidRPr="006C5923">
              <w:rPr>
                <w:i/>
              </w:rPr>
              <w:fldChar w:fldCharType="end"/>
            </w:r>
            <w:hyperlink r:id="rId2157" w:history="1">
              <w:r w:rsidRPr="006C5923">
                <w:rPr>
                  <w:rStyle w:val="Hyperlink"/>
                  <w:i/>
                </w:rPr>
                <w:t>WorkCover Queensland Act 1996</w:t>
              </w:r>
            </w:hyperlink>
          </w:p>
        </w:tc>
      </w:tr>
      <w:tr w:rsidR="001A4415" w:rsidRPr="00B139EF" w14:paraId="697B9571" w14:textId="77777777" w:rsidTr="00B2173F">
        <w:tc>
          <w:tcPr>
            <w:tcW w:w="1485" w:type="dxa"/>
            <w:tcMar>
              <w:top w:w="80" w:type="dxa"/>
              <w:left w:w="80" w:type="dxa"/>
              <w:bottom w:w="80" w:type="dxa"/>
              <w:right w:w="80" w:type="dxa"/>
            </w:tcMar>
          </w:tcPr>
          <w:p w14:paraId="54C99586" w14:textId="77777777" w:rsidR="001A4415" w:rsidRPr="00B139EF" w:rsidRDefault="001A4415" w:rsidP="008E5AF5">
            <w:pPr>
              <w:pStyle w:val="TableColumn1bold"/>
            </w:pPr>
            <w:r w:rsidRPr="00B139EF">
              <w:t>Western Australia</w:t>
            </w:r>
          </w:p>
        </w:tc>
        <w:tc>
          <w:tcPr>
            <w:tcW w:w="13530" w:type="dxa"/>
            <w:tcMar>
              <w:top w:w="80" w:type="dxa"/>
              <w:left w:w="80" w:type="dxa"/>
              <w:bottom w:w="80" w:type="dxa"/>
              <w:right w:w="80" w:type="dxa"/>
            </w:tcMar>
          </w:tcPr>
          <w:p w14:paraId="547A0E18" w14:textId="38799CF7" w:rsidR="001A4415" w:rsidRPr="006C5923" w:rsidRDefault="00A7538C" w:rsidP="008E5AF5">
            <w:pPr>
              <w:pStyle w:val="Table7pttext"/>
              <w:rPr>
                <w:i/>
              </w:rPr>
            </w:pPr>
            <w:hyperlink r:id="rId2158" w:history="1">
              <w:r w:rsidR="001A4415" w:rsidRPr="006C5923">
                <w:rPr>
                  <w:rStyle w:val="Hyperlink"/>
                  <w:i/>
                </w:rPr>
                <w:t>Workers’ Compensation and Injury Management Act 1981</w:t>
              </w:r>
            </w:hyperlink>
          </w:p>
        </w:tc>
      </w:tr>
      <w:tr w:rsidR="001A4415" w:rsidRPr="00B139EF" w14:paraId="279107EA" w14:textId="77777777" w:rsidTr="00B2173F">
        <w:tc>
          <w:tcPr>
            <w:tcW w:w="1485" w:type="dxa"/>
            <w:shd w:val="clear" w:color="auto" w:fill="FFC9C9"/>
            <w:tcMar>
              <w:top w:w="80" w:type="dxa"/>
              <w:left w:w="80" w:type="dxa"/>
              <w:bottom w:w="80" w:type="dxa"/>
              <w:right w:w="80" w:type="dxa"/>
            </w:tcMar>
          </w:tcPr>
          <w:p w14:paraId="45211161" w14:textId="77777777" w:rsidR="001A4415" w:rsidRPr="00B139EF" w:rsidRDefault="001A4415" w:rsidP="008E5AF5">
            <w:pPr>
              <w:pStyle w:val="TableColumn1bold"/>
            </w:pPr>
            <w:r w:rsidRPr="00B139EF">
              <w:t>South Australia</w:t>
            </w:r>
          </w:p>
        </w:tc>
        <w:tc>
          <w:tcPr>
            <w:tcW w:w="13530" w:type="dxa"/>
            <w:shd w:val="clear" w:color="auto" w:fill="FFC9C9"/>
            <w:tcMar>
              <w:top w:w="80" w:type="dxa"/>
              <w:left w:w="80" w:type="dxa"/>
              <w:bottom w:w="80" w:type="dxa"/>
              <w:right w:w="80" w:type="dxa"/>
            </w:tcMar>
          </w:tcPr>
          <w:p w14:paraId="20A47D59" w14:textId="77777777" w:rsidR="001A4415" w:rsidRPr="007566F0" w:rsidRDefault="00A7538C" w:rsidP="008E5AF5">
            <w:pPr>
              <w:pStyle w:val="Table7pttext"/>
              <w:rPr>
                <w:u w:val="single"/>
              </w:rPr>
            </w:pPr>
            <w:hyperlink r:id="rId2159" w:history="1">
              <w:r w:rsidR="001A4415" w:rsidRPr="007566F0">
                <w:rPr>
                  <w:rStyle w:val="Hyperlink"/>
                  <w:i/>
                </w:rPr>
                <w:t>Return to Work Act</w:t>
              </w:r>
              <w:r w:rsidR="001A4415" w:rsidRPr="00B2471E">
                <w:rPr>
                  <w:rStyle w:val="Hyperlink"/>
                  <w:i/>
                </w:rPr>
                <w:t xml:space="preserve"> 2014</w:t>
              </w:r>
            </w:hyperlink>
          </w:p>
          <w:p w14:paraId="61698144" w14:textId="694847F0" w:rsidR="001A4415" w:rsidRPr="00B139EF" w:rsidRDefault="00A7538C" w:rsidP="001568F3">
            <w:pPr>
              <w:pStyle w:val="Table7pttext"/>
            </w:pPr>
            <w:hyperlink r:id="rId2160" w:anchor="s5" w:history="1">
              <w:r w:rsidR="001A4415" w:rsidRPr="00CD6144">
                <w:rPr>
                  <w:rStyle w:val="Hyperlink"/>
                </w:rPr>
                <w:t>Return to Work Regulations 2015</w:t>
              </w:r>
            </w:hyperlink>
            <w:r w:rsidR="001A4415" w:rsidRPr="007566F0">
              <w:t xml:space="preserve"> </w:t>
            </w:r>
            <w:r w:rsidR="001568F3">
              <w:t>—</w:t>
            </w:r>
            <w:r w:rsidR="001568F3" w:rsidRPr="007566F0">
              <w:t xml:space="preserve"> </w:t>
            </w:r>
            <w:r w:rsidR="001A4415" w:rsidRPr="007566F0">
              <w:t xml:space="preserve">Part 11 (Schedule 9 Part 9 of </w:t>
            </w:r>
            <w:r w:rsidR="00F849D2">
              <w:t xml:space="preserve">the </w:t>
            </w:r>
            <w:r w:rsidR="001A4415" w:rsidRPr="007566F0">
              <w:t>Act)</w:t>
            </w:r>
          </w:p>
        </w:tc>
      </w:tr>
      <w:tr w:rsidR="001A4415" w:rsidRPr="00B139EF" w14:paraId="2915CAAA" w14:textId="77777777" w:rsidTr="00B2173F">
        <w:tc>
          <w:tcPr>
            <w:tcW w:w="1485" w:type="dxa"/>
            <w:tcMar>
              <w:top w:w="80" w:type="dxa"/>
              <w:left w:w="80" w:type="dxa"/>
              <w:bottom w:w="80" w:type="dxa"/>
              <w:right w:w="80" w:type="dxa"/>
            </w:tcMar>
          </w:tcPr>
          <w:p w14:paraId="01E9594E" w14:textId="77777777" w:rsidR="001A4415" w:rsidRPr="00B139EF" w:rsidRDefault="001A4415" w:rsidP="008E5AF5">
            <w:pPr>
              <w:pStyle w:val="TableColumn1bold"/>
            </w:pPr>
            <w:r w:rsidRPr="00B139EF">
              <w:t>Tasmania</w:t>
            </w:r>
          </w:p>
        </w:tc>
        <w:tc>
          <w:tcPr>
            <w:tcW w:w="13530" w:type="dxa"/>
            <w:tcMar>
              <w:top w:w="80" w:type="dxa"/>
              <w:left w:w="80" w:type="dxa"/>
              <w:bottom w:w="80" w:type="dxa"/>
              <w:right w:w="80" w:type="dxa"/>
            </w:tcMar>
          </w:tcPr>
          <w:p w14:paraId="7013A8C6" w14:textId="67E197C9" w:rsidR="001A4415" w:rsidRPr="00B139EF" w:rsidRDefault="001A4415" w:rsidP="008E5AF5">
            <w:pPr>
              <w:pStyle w:val="Table7pttext"/>
            </w:pPr>
            <w:r w:rsidRPr="006C5923">
              <w:rPr>
                <w:i/>
              </w:rPr>
              <w:t>Workers’ Compensation Act 1927</w:t>
            </w:r>
            <w:r w:rsidRPr="00B139EF">
              <w:t xml:space="preserve"> (for inju</w:t>
            </w:r>
            <w:r w:rsidR="009A320F">
              <w:t>ries prior to 15 November 1988)</w:t>
            </w:r>
          </w:p>
          <w:p w14:paraId="3D3EB0EA" w14:textId="353DAA27" w:rsidR="001A4415" w:rsidRPr="006C5923" w:rsidRDefault="00A7538C" w:rsidP="008E5AF5">
            <w:pPr>
              <w:pStyle w:val="Table7pttext"/>
              <w:rPr>
                <w:i/>
              </w:rPr>
            </w:pPr>
            <w:hyperlink r:id="rId2161" w:history="1">
              <w:r w:rsidR="001A4415" w:rsidRPr="00CD6144">
                <w:rPr>
                  <w:rStyle w:val="Hyperlink"/>
                  <w:i/>
                </w:rPr>
                <w:t>Workers’ (Occupational</w:t>
              </w:r>
              <w:r w:rsidR="009A320F" w:rsidRPr="00CD6144">
                <w:rPr>
                  <w:rStyle w:val="Hyperlink"/>
                  <w:i/>
                </w:rPr>
                <w:t xml:space="preserve"> Diseases) Relief Fund Act 1954</w:t>
              </w:r>
            </w:hyperlink>
          </w:p>
        </w:tc>
      </w:tr>
      <w:tr w:rsidR="001A4415" w:rsidRPr="00B139EF" w14:paraId="3DD37A94" w14:textId="77777777" w:rsidTr="00B2173F">
        <w:tc>
          <w:tcPr>
            <w:tcW w:w="1485" w:type="dxa"/>
            <w:shd w:val="clear" w:color="auto" w:fill="FFC9C9"/>
            <w:tcMar>
              <w:top w:w="80" w:type="dxa"/>
              <w:left w:w="80" w:type="dxa"/>
              <w:bottom w:w="80" w:type="dxa"/>
              <w:right w:w="80" w:type="dxa"/>
            </w:tcMar>
          </w:tcPr>
          <w:p w14:paraId="440CA470" w14:textId="77777777" w:rsidR="001A4415" w:rsidRPr="00B139EF" w:rsidRDefault="001A4415" w:rsidP="008E5AF5">
            <w:pPr>
              <w:pStyle w:val="TableColumn1bold"/>
            </w:pPr>
            <w:r w:rsidRPr="00B139EF">
              <w:t>Northern Territory</w:t>
            </w:r>
          </w:p>
        </w:tc>
        <w:tc>
          <w:tcPr>
            <w:tcW w:w="13530" w:type="dxa"/>
            <w:shd w:val="clear" w:color="auto" w:fill="FFC9C9"/>
            <w:tcMar>
              <w:top w:w="80" w:type="dxa"/>
              <w:left w:w="80" w:type="dxa"/>
              <w:bottom w:w="80" w:type="dxa"/>
              <w:right w:w="80" w:type="dxa"/>
            </w:tcMar>
          </w:tcPr>
          <w:p w14:paraId="340D3DDF" w14:textId="693F1E89" w:rsidR="001A4415" w:rsidRPr="006C5923" w:rsidRDefault="001A4415" w:rsidP="008E5AF5">
            <w:pPr>
              <w:pStyle w:val="Table7pttext"/>
              <w:rPr>
                <w:i/>
              </w:rPr>
            </w:pPr>
            <w:r w:rsidRPr="006C5923">
              <w:rPr>
                <w:i/>
              </w:rPr>
              <w:t>Workmen’s Compensation Ordinance 1949</w:t>
            </w:r>
          </w:p>
          <w:p w14:paraId="7B0B5E0A" w14:textId="0922748E" w:rsidR="001A4415" w:rsidRPr="006C5923" w:rsidRDefault="009A320F" w:rsidP="008E5AF5">
            <w:pPr>
              <w:pStyle w:val="Table7pttext"/>
              <w:rPr>
                <w:i/>
              </w:rPr>
            </w:pPr>
            <w:r w:rsidRPr="006C5923">
              <w:rPr>
                <w:i/>
              </w:rPr>
              <w:t>Workmen’s Compensation Act 1979</w:t>
            </w:r>
          </w:p>
          <w:p w14:paraId="7E239127" w14:textId="2788CF70" w:rsidR="001A4415" w:rsidRPr="006C5923" w:rsidRDefault="009A320F" w:rsidP="008E5AF5">
            <w:pPr>
              <w:pStyle w:val="Table7pttext"/>
              <w:rPr>
                <w:i/>
              </w:rPr>
            </w:pPr>
            <w:r w:rsidRPr="006C5923">
              <w:rPr>
                <w:i/>
              </w:rPr>
              <w:t>Work Health Act 1986</w:t>
            </w:r>
            <w:r w:rsidR="001A4415" w:rsidRPr="006C5923">
              <w:rPr>
                <w:i/>
              </w:rPr>
              <w:t xml:space="preserve"> </w:t>
            </w:r>
          </w:p>
          <w:p w14:paraId="3584782F" w14:textId="53AD9610" w:rsidR="001A4415" w:rsidRPr="006C5923" w:rsidRDefault="001A4415" w:rsidP="008E5AF5">
            <w:pPr>
              <w:pStyle w:val="Table7pttext"/>
              <w:rPr>
                <w:i/>
              </w:rPr>
            </w:pPr>
            <w:r w:rsidRPr="006C5923">
              <w:rPr>
                <w:i/>
              </w:rPr>
              <w:t>Workers rehabilit</w:t>
            </w:r>
            <w:r w:rsidR="009A320F" w:rsidRPr="006C5923">
              <w:rPr>
                <w:i/>
              </w:rPr>
              <w:t>ation and Compensation Act 2008</w:t>
            </w:r>
          </w:p>
          <w:p w14:paraId="36037605" w14:textId="604ADA6C" w:rsidR="001A4415" w:rsidRPr="00B139EF" w:rsidRDefault="00A7538C" w:rsidP="008E5AF5">
            <w:pPr>
              <w:pStyle w:val="Table7pttext"/>
            </w:pPr>
            <w:hyperlink r:id="rId2162" w:history="1">
              <w:r w:rsidR="001A4415" w:rsidRPr="00B67093">
                <w:rPr>
                  <w:rStyle w:val="Hyperlink"/>
                  <w:i/>
                </w:rPr>
                <w:t>Return to Work Act 2015</w:t>
              </w:r>
            </w:hyperlink>
          </w:p>
        </w:tc>
      </w:tr>
      <w:tr w:rsidR="001A4415" w:rsidRPr="00B139EF" w14:paraId="40E209CA" w14:textId="77777777" w:rsidTr="00B2173F">
        <w:tc>
          <w:tcPr>
            <w:tcW w:w="1485" w:type="dxa"/>
            <w:tcMar>
              <w:top w:w="80" w:type="dxa"/>
              <w:left w:w="80" w:type="dxa"/>
              <w:bottom w:w="80" w:type="dxa"/>
              <w:right w:w="80" w:type="dxa"/>
            </w:tcMar>
          </w:tcPr>
          <w:p w14:paraId="751254A8" w14:textId="77777777" w:rsidR="001A4415" w:rsidRPr="00B139EF" w:rsidRDefault="001A4415" w:rsidP="008E5AF5">
            <w:pPr>
              <w:pStyle w:val="TableColumn1bold"/>
            </w:pPr>
            <w:r w:rsidRPr="00B139EF">
              <w:t>Australian Capital Territory</w:t>
            </w:r>
          </w:p>
        </w:tc>
        <w:tc>
          <w:tcPr>
            <w:tcW w:w="13530" w:type="dxa"/>
            <w:tcMar>
              <w:top w:w="80" w:type="dxa"/>
              <w:left w:w="80" w:type="dxa"/>
              <w:bottom w:w="80" w:type="dxa"/>
              <w:right w:w="80" w:type="dxa"/>
            </w:tcMar>
          </w:tcPr>
          <w:p w14:paraId="5B46A984" w14:textId="2412E5B4" w:rsidR="001A4415" w:rsidRPr="00B139EF" w:rsidRDefault="001A4415" w:rsidP="008E5AF5">
            <w:pPr>
              <w:pStyle w:val="Table7pttext"/>
            </w:pPr>
            <w:r w:rsidRPr="00B139EF">
              <w:t>The ACT legislation is a conso</w:t>
            </w:r>
            <w:r w:rsidR="00640E79">
              <w:t>lidation of previous enactments</w:t>
            </w:r>
          </w:p>
        </w:tc>
      </w:tr>
      <w:tr w:rsidR="001A4415" w:rsidRPr="00B139EF" w14:paraId="51237DAD" w14:textId="77777777" w:rsidTr="00B2173F">
        <w:tc>
          <w:tcPr>
            <w:tcW w:w="1485" w:type="dxa"/>
            <w:shd w:val="clear" w:color="auto" w:fill="FFC9C9"/>
            <w:tcMar>
              <w:top w:w="80" w:type="dxa"/>
              <w:left w:w="80" w:type="dxa"/>
              <w:bottom w:w="80" w:type="dxa"/>
              <w:right w:w="80" w:type="dxa"/>
            </w:tcMar>
          </w:tcPr>
          <w:p w14:paraId="3A9E663F" w14:textId="77777777" w:rsidR="001A4415" w:rsidRPr="00B139EF" w:rsidRDefault="001A4415" w:rsidP="008E5AF5">
            <w:pPr>
              <w:pStyle w:val="TableColumn1bold"/>
            </w:pPr>
            <w:r w:rsidRPr="00B139EF">
              <w:t>C’wealth Comcare</w:t>
            </w:r>
          </w:p>
        </w:tc>
        <w:tc>
          <w:tcPr>
            <w:tcW w:w="13530" w:type="dxa"/>
            <w:shd w:val="clear" w:color="auto" w:fill="FFC9C9"/>
            <w:tcMar>
              <w:top w:w="80" w:type="dxa"/>
              <w:left w:w="80" w:type="dxa"/>
              <w:bottom w:w="80" w:type="dxa"/>
              <w:right w:w="80" w:type="dxa"/>
            </w:tcMar>
          </w:tcPr>
          <w:p w14:paraId="0402E284" w14:textId="1E32AC58" w:rsidR="00640E79" w:rsidRDefault="001A4415" w:rsidP="008E5AF5">
            <w:pPr>
              <w:pStyle w:val="Table7pttext"/>
            </w:pPr>
            <w:r w:rsidRPr="00B139EF">
              <w:t xml:space="preserve">A person who has a date of injury under a previous Act (the 1971, 1930 or 1912 Acts) is entitled to compensation under the </w:t>
            </w:r>
            <w:hyperlink r:id="rId2163" w:history="1">
              <w:r w:rsidR="00B67093" w:rsidRPr="00B67093">
                <w:rPr>
                  <w:rStyle w:val="Hyperlink"/>
                  <w:i/>
                </w:rPr>
                <w:t>Safety, Rehabilitation and Compensation Act 1988</w:t>
              </w:r>
            </w:hyperlink>
            <w:r w:rsidRPr="00B139EF">
              <w:t xml:space="preserve"> provided compensation for that injury would have bee</w:t>
            </w:r>
            <w:r w:rsidR="00640E79">
              <w:t>n payable under the earlier Act</w:t>
            </w:r>
            <w:r w:rsidRPr="00B139EF">
              <w:t xml:space="preserve"> </w:t>
            </w:r>
          </w:p>
          <w:p w14:paraId="69C54CE3" w14:textId="6AE095E7" w:rsidR="001A4415" w:rsidRPr="00B139EF" w:rsidRDefault="001A4415" w:rsidP="008E5AF5">
            <w:pPr>
              <w:pStyle w:val="Table7pttext"/>
            </w:pPr>
            <w:r w:rsidRPr="00B139EF">
              <w:t>A person is not entitled to compensation under the 1988 Act if compensation was not payable in respect of an injur</w:t>
            </w:r>
            <w:r w:rsidR="00640E79">
              <w:t>y suffered under a previous Act</w:t>
            </w:r>
          </w:p>
        </w:tc>
      </w:tr>
      <w:tr w:rsidR="001A4415" w:rsidRPr="00B139EF" w14:paraId="0F8665FC" w14:textId="77777777" w:rsidTr="00B2173F">
        <w:tc>
          <w:tcPr>
            <w:tcW w:w="1485" w:type="dxa"/>
            <w:tcMar>
              <w:top w:w="80" w:type="dxa"/>
              <w:left w:w="80" w:type="dxa"/>
              <w:bottom w:w="80" w:type="dxa"/>
              <w:right w:w="80" w:type="dxa"/>
            </w:tcMar>
          </w:tcPr>
          <w:p w14:paraId="59992E30" w14:textId="77777777" w:rsidR="001A4415" w:rsidRPr="00B139EF" w:rsidRDefault="001A4415" w:rsidP="008E5AF5">
            <w:pPr>
              <w:pStyle w:val="TableColumn1bold"/>
            </w:pPr>
            <w:r w:rsidRPr="00B139EF">
              <w:t>C’wealth Seacare</w:t>
            </w:r>
          </w:p>
        </w:tc>
        <w:tc>
          <w:tcPr>
            <w:tcW w:w="13530" w:type="dxa"/>
            <w:tcMar>
              <w:top w:w="80" w:type="dxa"/>
              <w:left w:w="80" w:type="dxa"/>
              <w:bottom w:w="80" w:type="dxa"/>
              <w:right w:w="80" w:type="dxa"/>
            </w:tcMar>
          </w:tcPr>
          <w:p w14:paraId="648DC732" w14:textId="6FE121D2" w:rsidR="001A4415" w:rsidRPr="00B139EF" w:rsidRDefault="001A4415" w:rsidP="008E5AF5">
            <w:pPr>
              <w:pStyle w:val="Table7pttext"/>
            </w:pPr>
            <w:r w:rsidRPr="00B139EF">
              <w:t xml:space="preserve">A person who has a date of injury under the </w:t>
            </w:r>
            <w:r w:rsidRPr="009E6DB6">
              <w:rPr>
                <w:i/>
              </w:rPr>
              <w:t>Seamen’s Compensation Act 1911</w:t>
            </w:r>
            <w:r w:rsidRPr="00B139EF">
              <w:t xml:space="preserve"> is entitled to compensation under the </w:t>
            </w:r>
            <w:hyperlink r:id="rId2164" w:history="1">
              <w:r w:rsidR="00B67093" w:rsidRPr="00B67093">
                <w:rPr>
                  <w:rStyle w:val="Hyperlink"/>
                  <w:i/>
                </w:rPr>
                <w:t>Seafarers Rehabilitation and Compensation Act 1992</w:t>
              </w:r>
            </w:hyperlink>
            <w:r w:rsidR="00B67093">
              <w:rPr>
                <w:i/>
              </w:rPr>
              <w:t xml:space="preserve"> </w:t>
            </w:r>
            <w:r w:rsidRPr="00B139EF">
              <w:t>provided compensation for that injury would have been payable under the earlier Act. A person is not entitled to compensation under the 1992 Act if compensation was not payable in respect of an injur</w:t>
            </w:r>
            <w:r w:rsidR="00640E79">
              <w:t>y suffered under a previous Act</w:t>
            </w:r>
          </w:p>
          <w:p w14:paraId="2E1FA840" w14:textId="6F5AFFDC" w:rsidR="001A4415" w:rsidRPr="006C5923" w:rsidRDefault="00A7538C" w:rsidP="008E5AF5">
            <w:pPr>
              <w:pStyle w:val="Table7pttext"/>
              <w:rPr>
                <w:i/>
              </w:rPr>
            </w:pPr>
            <w:hyperlink r:id="rId2165" w:history="1">
              <w:r w:rsidR="001A4415" w:rsidRPr="006C5923">
                <w:rPr>
                  <w:rStyle w:val="Hyperlink"/>
                  <w:i/>
                </w:rPr>
                <w:t>Seafarers Rehabilitation and Compensation (Transitional Provisions and Consequential Amendments) Act 1992</w:t>
              </w:r>
            </w:hyperlink>
          </w:p>
        </w:tc>
      </w:tr>
      <w:tr w:rsidR="001A4415" w:rsidRPr="00B139EF" w14:paraId="4B58AD58" w14:textId="77777777" w:rsidTr="00B2173F">
        <w:tc>
          <w:tcPr>
            <w:tcW w:w="1485" w:type="dxa"/>
            <w:shd w:val="clear" w:color="auto" w:fill="FFC9C9"/>
            <w:tcMar>
              <w:top w:w="80" w:type="dxa"/>
              <w:left w:w="80" w:type="dxa"/>
              <w:bottom w:w="80" w:type="dxa"/>
              <w:right w:w="80" w:type="dxa"/>
            </w:tcMar>
          </w:tcPr>
          <w:p w14:paraId="32033A02" w14:textId="77777777" w:rsidR="001A4415" w:rsidRPr="00B139EF" w:rsidRDefault="001A4415" w:rsidP="008E5AF5">
            <w:pPr>
              <w:pStyle w:val="TableColumn1bold"/>
            </w:pPr>
            <w:r w:rsidRPr="00B139EF">
              <w:lastRenderedPageBreak/>
              <w:t>C’wealth DVA</w:t>
            </w:r>
          </w:p>
        </w:tc>
        <w:tc>
          <w:tcPr>
            <w:tcW w:w="13530" w:type="dxa"/>
            <w:shd w:val="clear" w:color="auto" w:fill="FFC9C9"/>
            <w:tcMar>
              <w:top w:w="80" w:type="dxa"/>
              <w:left w:w="80" w:type="dxa"/>
              <w:bottom w:w="80" w:type="dxa"/>
              <w:right w:w="80" w:type="dxa"/>
            </w:tcMar>
          </w:tcPr>
          <w:p w14:paraId="40D520D0" w14:textId="276FE60C" w:rsidR="001A4415" w:rsidRPr="006C5923" w:rsidRDefault="00A7538C" w:rsidP="008E5AF5">
            <w:pPr>
              <w:pStyle w:val="Table7pttext"/>
              <w:rPr>
                <w:i/>
              </w:rPr>
            </w:pPr>
            <w:hyperlink r:id="rId2166" w:history="1">
              <w:r w:rsidR="001A4415" w:rsidRPr="006C5923">
                <w:rPr>
                  <w:rStyle w:val="Hyperlink"/>
                  <w:i/>
                </w:rPr>
                <w:t>Military Rehabilitation and Compensation (Consequential and Transitional Provisions) Act 2004</w:t>
              </w:r>
            </w:hyperlink>
          </w:p>
        </w:tc>
      </w:tr>
      <w:tr w:rsidR="001A4415" w:rsidRPr="00B139EF" w14:paraId="2A3E21B5" w14:textId="77777777" w:rsidTr="00B2173F">
        <w:tc>
          <w:tcPr>
            <w:tcW w:w="1485" w:type="dxa"/>
            <w:tcMar>
              <w:top w:w="80" w:type="dxa"/>
              <w:left w:w="80" w:type="dxa"/>
              <w:bottom w:w="80" w:type="dxa"/>
              <w:right w:w="80" w:type="dxa"/>
            </w:tcMar>
          </w:tcPr>
          <w:p w14:paraId="23FEE462" w14:textId="77777777" w:rsidR="001A4415" w:rsidRPr="00B139EF" w:rsidRDefault="001A4415" w:rsidP="008E5AF5">
            <w:pPr>
              <w:pStyle w:val="TableColumn1bold"/>
            </w:pPr>
            <w:r w:rsidRPr="00B139EF">
              <w:t>New Zealand</w:t>
            </w:r>
          </w:p>
        </w:tc>
        <w:tc>
          <w:tcPr>
            <w:tcW w:w="13530" w:type="dxa"/>
            <w:tcMar>
              <w:top w:w="80" w:type="dxa"/>
              <w:left w:w="80" w:type="dxa"/>
              <w:bottom w:w="80" w:type="dxa"/>
              <w:right w:w="80" w:type="dxa"/>
            </w:tcMar>
          </w:tcPr>
          <w:p w14:paraId="048C4E29" w14:textId="2735FD94" w:rsidR="001A4415" w:rsidRPr="006C5923" w:rsidRDefault="001A4415" w:rsidP="008E5AF5">
            <w:pPr>
              <w:pStyle w:val="Table7pttext"/>
              <w:rPr>
                <w:rStyle w:val="Hyperlink"/>
                <w:i/>
              </w:rPr>
            </w:pPr>
            <w:r w:rsidRPr="006C5923">
              <w:rPr>
                <w:i/>
              </w:rPr>
              <w:fldChar w:fldCharType="begin"/>
            </w:r>
            <w:r w:rsidRPr="006C5923">
              <w:rPr>
                <w:i/>
              </w:rPr>
              <w:instrText>HYPERLINK "http://legislation.knowledge-basket.co.nz/gpacts/public/text/2000/an/005.html"</w:instrText>
            </w:r>
            <w:r w:rsidRPr="006C5923">
              <w:rPr>
                <w:i/>
              </w:rPr>
              <w:fldChar w:fldCharType="separate"/>
            </w:r>
            <w:r w:rsidRPr="006C5923">
              <w:rPr>
                <w:rStyle w:val="Hyperlink"/>
                <w:i/>
              </w:rPr>
              <w:t xml:space="preserve">Accident Insurance (Transitional Provisions) Act </w:t>
            </w:r>
            <w:r w:rsidR="006C5923">
              <w:rPr>
                <w:rStyle w:val="Hyperlink"/>
                <w:i/>
              </w:rPr>
              <w:t>2000</w:t>
            </w:r>
          </w:p>
          <w:p w14:paraId="159F241C" w14:textId="7663E5B1" w:rsidR="001A4415" w:rsidRPr="006C5923" w:rsidRDefault="001A4415" w:rsidP="008E5AF5">
            <w:pPr>
              <w:pStyle w:val="Table7pttext"/>
              <w:rPr>
                <w:rStyle w:val="Hyperlink"/>
                <w:i/>
              </w:rPr>
            </w:pPr>
            <w:r w:rsidRPr="006C5923">
              <w:rPr>
                <w:i/>
              </w:rPr>
              <w:fldChar w:fldCharType="end"/>
            </w:r>
            <w:r w:rsidRPr="006C5923">
              <w:rPr>
                <w:i/>
              </w:rPr>
              <w:fldChar w:fldCharType="begin"/>
            </w:r>
            <w:r w:rsidRPr="006C5923">
              <w:rPr>
                <w:i/>
              </w:rPr>
              <w:instrText>HYPERLINK "http://legislation.knowledge-basket.co.nz/gpacts/public/text/1998/an/114.html"</w:instrText>
            </w:r>
            <w:r w:rsidRPr="006C5923">
              <w:rPr>
                <w:i/>
              </w:rPr>
              <w:fldChar w:fldCharType="separate"/>
            </w:r>
            <w:r w:rsidR="006C5923">
              <w:rPr>
                <w:rStyle w:val="Hyperlink"/>
                <w:i/>
              </w:rPr>
              <w:t>Accident Insurance Act 1998</w:t>
            </w:r>
          </w:p>
          <w:p w14:paraId="1538F5E7" w14:textId="457134E7" w:rsidR="001A4415" w:rsidRPr="006C5923" w:rsidRDefault="001A4415" w:rsidP="008E5AF5">
            <w:pPr>
              <w:pStyle w:val="Table7pttext"/>
              <w:rPr>
                <w:rStyle w:val="Hyperlink"/>
                <w:i/>
              </w:rPr>
            </w:pPr>
            <w:r w:rsidRPr="006C5923">
              <w:rPr>
                <w:i/>
              </w:rPr>
              <w:fldChar w:fldCharType="end"/>
            </w:r>
            <w:r w:rsidRPr="006C5923">
              <w:rPr>
                <w:i/>
              </w:rPr>
              <w:fldChar w:fldCharType="begin"/>
            </w:r>
            <w:r w:rsidRPr="006C5923">
              <w:rPr>
                <w:i/>
              </w:rPr>
              <w:instrText>HYPERLINK "http://legislation.knowledge-basket.co.nz/gpacts/public/text/2000/an/005.html"</w:instrText>
            </w:r>
            <w:r w:rsidRPr="006C5923">
              <w:rPr>
                <w:i/>
              </w:rPr>
              <w:fldChar w:fldCharType="separate"/>
            </w:r>
            <w:r w:rsidRPr="006C5923">
              <w:rPr>
                <w:rStyle w:val="Hyperlink"/>
                <w:i/>
              </w:rPr>
              <w:t xml:space="preserve">Accident Rehabilitation and </w:t>
            </w:r>
            <w:r w:rsidR="006C5923">
              <w:rPr>
                <w:rStyle w:val="Hyperlink"/>
                <w:i/>
              </w:rPr>
              <w:t>Compensation Insurance Act 1992</w:t>
            </w:r>
          </w:p>
          <w:p w14:paraId="453E6D71" w14:textId="46579808" w:rsidR="001A4415" w:rsidRPr="006C5923" w:rsidRDefault="001A4415" w:rsidP="008E5AF5">
            <w:pPr>
              <w:pStyle w:val="Table7pttext"/>
              <w:rPr>
                <w:rStyle w:val="Hyperlink"/>
                <w:i/>
              </w:rPr>
            </w:pPr>
            <w:r w:rsidRPr="006C5923">
              <w:rPr>
                <w:i/>
              </w:rPr>
              <w:fldChar w:fldCharType="end"/>
            </w:r>
            <w:r w:rsidRPr="006C5923">
              <w:rPr>
                <w:i/>
              </w:rPr>
              <w:fldChar w:fldCharType="begin"/>
            </w:r>
            <w:r w:rsidRPr="006C5923">
              <w:rPr>
                <w:i/>
              </w:rPr>
              <w:instrText>HYPERLINK "http://legislation.knowledge-basket.co.nz/gpacts/public/text/1982/an/181.html"</w:instrText>
            </w:r>
            <w:r w:rsidRPr="006C5923">
              <w:rPr>
                <w:i/>
              </w:rPr>
              <w:fldChar w:fldCharType="separate"/>
            </w:r>
            <w:r w:rsidR="006C5923">
              <w:rPr>
                <w:rStyle w:val="Hyperlink"/>
                <w:i/>
              </w:rPr>
              <w:t>Accident Compensation Act 1982</w:t>
            </w:r>
          </w:p>
          <w:p w14:paraId="06F96FAE" w14:textId="46240E66" w:rsidR="001A4415" w:rsidRPr="00B139EF" w:rsidRDefault="001A4415" w:rsidP="008E5AF5">
            <w:pPr>
              <w:pStyle w:val="Table7pttext"/>
            </w:pPr>
            <w:r w:rsidRPr="006C5923">
              <w:rPr>
                <w:i/>
              </w:rPr>
              <w:fldChar w:fldCharType="end"/>
            </w:r>
            <w:hyperlink r:id="rId2167" w:history="1">
              <w:r w:rsidR="006C5923">
                <w:rPr>
                  <w:rStyle w:val="Hyperlink"/>
                  <w:i/>
                </w:rPr>
                <w:t>Accident Compensation Act 1972</w:t>
              </w:r>
            </w:hyperlink>
          </w:p>
        </w:tc>
      </w:tr>
    </w:tbl>
    <w:p w14:paraId="7A6AC1BB" w14:textId="0F9A7C52" w:rsidR="001A4415" w:rsidRPr="00205CCE" w:rsidRDefault="001A4415" w:rsidP="00205CCE">
      <w:pPr>
        <w:pStyle w:val="SWATableheader"/>
      </w:pPr>
      <w:bookmarkStart w:id="232" w:name="_Toc504654718"/>
      <w:bookmarkStart w:id="233" w:name="minor"/>
      <w:bookmarkEnd w:id="229"/>
      <w:r w:rsidRPr="00205CCE">
        <w:lastRenderedPageBreak/>
        <w:t>Table 7.3a: Minor schemes — New South Wales</w:t>
      </w:r>
      <w:bookmarkEnd w:id="232"/>
      <w:r w:rsidRPr="00205CCE">
        <w:t xml:space="preserve"> </w:t>
      </w:r>
      <w:r w:rsidR="003B3E5B" w:rsidRPr="00205CCE">
        <w:fldChar w:fldCharType="begin"/>
      </w:r>
      <w:r w:rsidR="003B3E5B" w:rsidRPr="00205CCE">
        <w:instrText xml:space="preserve"> XE "minor schemes" \r "minor" </w:instrText>
      </w:r>
      <w:r w:rsidR="003B3E5B" w:rsidRPr="00205CCE">
        <w:fldChar w:fldCharType="end"/>
      </w:r>
      <w:r w:rsidR="001A701E" w:rsidRPr="00205CCE">
        <w:t xml:space="preserve"> </w:t>
      </w:r>
      <w:r w:rsidR="001A701E" w:rsidRPr="00205CCE">
        <w:fldChar w:fldCharType="begin"/>
      </w:r>
      <w:r w:rsidR="001A701E" w:rsidRPr="00205CCE">
        <w:instrText xml:space="preserve"> XE "scheme administrative arrangements:minor schemes" \r "minor" </w:instrText>
      </w:r>
      <w:r w:rsidR="001A701E" w:rsidRPr="00205CCE">
        <w:fldChar w:fldCharType="end"/>
      </w:r>
    </w:p>
    <w:tbl>
      <w:tblPr>
        <w:tblpPr w:leftFromText="180" w:rightFromText="180" w:vertAnchor="text" w:tblpX="80"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a: Minor schemes — New South Wales  "/>
        <w:tblDescription w:val="This table provides information on minor workers' compensation schemes in the state of New South Wales. "/>
      </w:tblPr>
      <w:tblGrid>
        <w:gridCol w:w="1475"/>
        <w:gridCol w:w="2707"/>
        <w:gridCol w:w="2707"/>
        <w:gridCol w:w="2707"/>
        <w:gridCol w:w="2707"/>
        <w:gridCol w:w="2708"/>
      </w:tblGrid>
      <w:tr w:rsidR="001A4415" w:rsidRPr="001A4415" w14:paraId="302DC511" w14:textId="77777777" w:rsidTr="00B2173F">
        <w:trPr>
          <w:tblHeader/>
        </w:trPr>
        <w:tc>
          <w:tcPr>
            <w:tcW w:w="1475" w:type="dxa"/>
            <w:shd w:val="clear" w:color="auto" w:fill="C00000"/>
            <w:tcMar>
              <w:top w:w="0" w:type="dxa"/>
              <w:left w:w="0" w:type="dxa"/>
              <w:bottom w:w="0" w:type="dxa"/>
              <w:right w:w="0" w:type="dxa"/>
            </w:tcMar>
            <w:vAlign w:val="center"/>
          </w:tcPr>
          <w:p w14:paraId="6C971BDE" w14:textId="77777777" w:rsidR="001A4415" w:rsidRPr="001A4415" w:rsidRDefault="001A4415" w:rsidP="00292A53">
            <w:pPr>
              <w:pStyle w:val="Tableheaderrow"/>
              <w:spacing w:after="60"/>
            </w:pPr>
          </w:p>
        </w:tc>
        <w:tc>
          <w:tcPr>
            <w:tcW w:w="2707" w:type="dxa"/>
            <w:shd w:val="clear" w:color="auto" w:fill="C00000"/>
            <w:tcMar>
              <w:top w:w="0" w:type="dxa"/>
              <w:left w:w="0" w:type="dxa"/>
              <w:bottom w:w="0" w:type="dxa"/>
              <w:right w:w="0" w:type="dxa"/>
            </w:tcMar>
            <w:vAlign w:val="center"/>
          </w:tcPr>
          <w:p w14:paraId="7C14F414" w14:textId="77777777" w:rsidR="001A4415" w:rsidRPr="001A4415" w:rsidRDefault="001A4415" w:rsidP="00292A53">
            <w:pPr>
              <w:pStyle w:val="Tableheaderrow"/>
              <w:spacing w:after="60"/>
            </w:pPr>
            <w:r w:rsidRPr="001A4415">
              <w:t>Administered by</w:t>
            </w:r>
          </w:p>
        </w:tc>
        <w:tc>
          <w:tcPr>
            <w:tcW w:w="2707" w:type="dxa"/>
            <w:shd w:val="clear" w:color="auto" w:fill="C00000"/>
            <w:tcMar>
              <w:top w:w="0" w:type="dxa"/>
              <w:left w:w="0" w:type="dxa"/>
              <w:bottom w:w="0" w:type="dxa"/>
              <w:right w:w="0" w:type="dxa"/>
            </w:tcMar>
            <w:vAlign w:val="center"/>
          </w:tcPr>
          <w:p w14:paraId="4AE49AC7" w14:textId="77777777" w:rsidR="001A4415" w:rsidRPr="001A4415" w:rsidRDefault="001A4415" w:rsidP="00292A53">
            <w:pPr>
              <w:pStyle w:val="Tableheaderrow"/>
              <w:spacing w:after="60"/>
            </w:pPr>
            <w:r w:rsidRPr="001A4415">
              <w:t>Purpose</w:t>
            </w:r>
          </w:p>
        </w:tc>
        <w:tc>
          <w:tcPr>
            <w:tcW w:w="2707" w:type="dxa"/>
            <w:shd w:val="clear" w:color="auto" w:fill="C00000"/>
            <w:tcMar>
              <w:top w:w="0" w:type="dxa"/>
              <w:left w:w="0" w:type="dxa"/>
              <w:bottom w:w="0" w:type="dxa"/>
              <w:right w:w="0" w:type="dxa"/>
            </w:tcMar>
            <w:vAlign w:val="center"/>
          </w:tcPr>
          <w:p w14:paraId="3F129358" w14:textId="77777777" w:rsidR="001A4415" w:rsidRPr="001A4415" w:rsidRDefault="001A4415" w:rsidP="00292A53">
            <w:pPr>
              <w:pStyle w:val="Tableheaderrow"/>
              <w:spacing w:after="60"/>
            </w:pPr>
            <w:r w:rsidRPr="001A4415">
              <w:t>Coverage</w:t>
            </w:r>
          </w:p>
        </w:tc>
        <w:tc>
          <w:tcPr>
            <w:tcW w:w="2707" w:type="dxa"/>
            <w:shd w:val="clear" w:color="auto" w:fill="C00000"/>
            <w:tcMar>
              <w:top w:w="0" w:type="dxa"/>
              <w:left w:w="0" w:type="dxa"/>
              <w:bottom w:w="0" w:type="dxa"/>
              <w:right w:w="0" w:type="dxa"/>
            </w:tcMar>
            <w:vAlign w:val="center"/>
          </w:tcPr>
          <w:p w14:paraId="46AB62A5" w14:textId="77777777" w:rsidR="001A4415" w:rsidRPr="001A4415" w:rsidRDefault="001A4415" w:rsidP="00292A53">
            <w:pPr>
              <w:pStyle w:val="Tableheaderrow"/>
              <w:spacing w:after="60"/>
            </w:pPr>
            <w:r w:rsidRPr="001A4415">
              <w:t>Number covered</w:t>
            </w:r>
          </w:p>
        </w:tc>
        <w:tc>
          <w:tcPr>
            <w:tcW w:w="2708" w:type="dxa"/>
            <w:shd w:val="clear" w:color="auto" w:fill="C00000"/>
            <w:tcMar>
              <w:top w:w="0" w:type="dxa"/>
              <w:left w:w="0" w:type="dxa"/>
              <w:bottom w:w="0" w:type="dxa"/>
              <w:right w:w="0" w:type="dxa"/>
            </w:tcMar>
            <w:vAlign w:val="center"/>
          </w:tcPr>
          <w:p w14:paraId="37F43F51" w14:textId="77777777" w:rsidR="001A4415" w:rsidRPr="001A4415" w:rsidRDefault="001A4415" w:rsidP="00292A53">
            <w:pPr>
              <w:pStyle w:val="Tableheaderrow"/>
              <w:spacing w:after="60"/>
            </w:pPr>
            <w:r w:rsidRPr="001A4415">
              <w:t>Basis for legislation</w:t>
            </w:r>
          </w:p>
        </w:tc>
      </w:tr>
      <w:tr w:rsidR="001A4415" w:rsidRPr="00D56A36" w14:paraId="0CAE5BE7" w14:textId="77777777" w:rsidTr="00B2173F">
        <w:tc>
          <w:tcPr>
            <w:tcW w:w="1475" w:type="dxa"/>
            <w:shd w:val="clear" w:color="auto" w:fill="FFC9C9"/>
            <w:tcMar>
              <w:top w:w="80" w:type="dxa"/>
              <w:left w:w="80" w:type="dxa"/>
              <w:bottom w:w="80" w:type="dxa"/>
              <w:right w:w="80" w:type="dxa"/>
            </w:tcMar>
          </w:tcPr>
          <w:p w14:paraId="66EDF151" w14:textId="77777777" w:rsidR="001A4415" w:rsidRPr="00B2471E" w:rsidRDefault="001A4415" w:rsidP="00292A53">
            <w:pPr>
              <w:pStyle w:val="TableColumn1bold"/>
              <w:spacing w:after="60"/>
              <w:rPr>
                <w:i/>
              </w:rPr>
            </w:pPr>
            <w:r w:rsidRPr="00B2471E">
              <w:rPr>
                <w:i/>
              </w:rPr>
              <w:t>Workers’ Compensation (Bush Fire, Emergency and Rescue Services) Act 1987</w:t>
            </w:r>
          </w:p>
        </w:tc>
        <w:tc>
          <w:tcPr>
            <w:tcW w:w="2707" w:type="dxa"/>
            <w:shd w:val="clear" w:color="auto" w:fill="FFC9C9"/>
            <w:tcMar>
              <w:top w:w="80" w:type="dxa"/>
              <w:left w:w="80" w:type="dxa"/>
              <w:bottom w:w="80" w:type="dxa"/>
              <w:right w:w="80" w:type="dxa"/>
            </w:tcMar>
          </w:tcPr>
          <w:p w14:paraId="514FAFF4" w14:textId="6EE93362" w:rsidR="001A4415" w:rsidRPr="00D56A36" w:rsidRDefault="004F177A" w:rsidP="00292A53">
            <w:pPr>
              <w:pStyle w:val="Table7pttext"/>
              <w:spacing w:after="60"/>
            </w:pPr>
            <w:r>
              <w:t>i</w:t>
            </w:r>
            <w:r w:rsidR="001A4415" w:rsidRPr="00D56A36">
              <w:t>care</w:t>
            </w:r>
          </w:p>
        </w:tc>
        <w:tc>
          <w:tcPr>
            <w:tcW w:w="2707" w:type="dxa"/>
            <w:shd w:val="clear" w:color="auto" w:fill="FFC9C9"/>
            <w:tcMar>
              <w:top w:w="80" w:type="dxa"/>
              <w:left w:w="80" w:type="dxa"/>
              <w:bottom w:w="80" w:type="dxa"/>
              <w:right w:w="80" w:type="dxa"/>
            </w:tcMar>
          </w:tcPr>
          <w:p w14:paraId="791E0352" w14:textId="1674E1CB" w:rsidR="001A4415" w:rsidRPr="00D56A36" w:rsidRDefault="001A4415" w:rsidP="00292A53">
            <w:pPr>
              <w:pStyle w:val="Table7pttext"/>
              <w:spacing w:after="60"/>
            </w:pPr>
            <w:r w:rsidRPr="00D56A36">
              <w:t>To continue the special compensation scheme</w:t>
            </w:r>
            <w:r w:rsidR="007E7520">
              <w:fldChar w:fldCharType="begin"/>
            </w:r>
            <w:r w:rsidR="007E7520">
              <w:instrText xml:space="preserve"> XE "</w:instrText>
            </w:r>
            <w:r w:rsidR="007E7520" w:rsidRPr="001854C8">
              <w:instrText>special compensation scheme</w:instrText>
            </w:r>
            <w:r w:rsidR="007E7520">
              <w:instrText xml:space="preserve">" </w:instrText>
            </w:r>
            <w:r w:rsidR="007E7520">
              <w:fldChar w:fldCharType="end"/>
            </w:r>
            <w:r w:rsidRPr="00D56A36">
              <w:t xml:space="preserve"> for bush fire fighters, emergency service workers</w:t>
            </w:r>
            <w:r w:rsidR="00C7036A">
              <w:fldChar w:fldCharType="begin"/>
            </w:r>
            <w:r w:rsidR="00C7036A">
              <w:instrText xml:space="preserve"> XE "</w:instrText>
            </w:r>
            <w:r w:rsidR="00C7036A" w:rsidRPr="00D25ABF">
              <w:instrText>emergency service workers:New South Wales</w:instrText>
            </w:r>
            <w:r w:rsidR="00C7036A">
              <w:instrText xml:space="preserve">" </w:instrText>
            </w:r>
            <w:r w:rsidR="00C7036A">
              <w:fldChar w:fldCharType="end"/>
            </w:r>
            <w:r w:rsidRPr="00D56A36">
              <w:t xml:space="preserve"> and rescue association workers.</w:t>
            </w:r>
            <w:r w:rsidR="00232E14">
              <w:fldChar w:fldCharType="begin"/>
            </w:r>
            <w:r w:rsidR="00232E14">
              <w:instrText xml:space="preserve"> XE "</w:instrText>
            </w:r>
            <w:r w:rsidR="00232E14" w:rsidRPr="00F74BCA">
              <w:instrText>rescue workers:New South Wales</w:instrText>
            </w:r>
            <w:r w:rsidR="00232E14">
              <w:instrText xml:space="preserve">" </w:instrText>
            </w:r>
            <w:r w:rsidR="00232E14">
              <w:fldChar w:fldCharType="end"/>
            </w:r>
          </w:p>
        </w:tc>
        <w:tc>
          <w:tcPr>
            <w:tcW w:w="2707" w:type="dxa"/>
            <w:shd w:val="clear" w:color="auto" w:fill="FFC9C9"/>
            <w:tcMar>
              <w:top w:w="80" w:type="dxa"/>
              <w:left w:w="80" w:type="dxa"/>
              <w:bottom w:w="80" w:type="dxa"/>
              <w:right w:w="80" w:type="dxa"/>
            </w:tcMar>
          </w:tcPr>
          <w:p w14:paraId="0F725F45" w14:textId="585F93E4" w:rsidR="001A4415" w:rsidRPr="00D56A36" w:rsidRDefault="003D7723" w:rsidP="00292A53">
            <w:pPr>
              <w:pStyle w:val="Table7pttext"/>
              <w:spacing w:after="60"/>
            </w:pPr>
            <w:r>
              <w:t>This fund provides insurance cover to volunteer workers for surf life saving clubs, state emergency services, volunteer rescue associations and other deemed rescue volunteer workers.</w:t>
            </w:r>
          </w:p>
        </w:tc>
        <w:tc>
          <w:tcPr>
            <w:tcW w:w="2707" w:type="dxa"/>
            <w:shd w:val="clear" w:color="auto" w:fill="FFC9C9"/>
            <w:tcMar>
              <w:top w:w="80" w:type="dxa"/>
              <w:left w:w="80" w:type="dxa"/>
              <w:bottom w:w="80" w:type="dxa"/>
              <w:right w:w="80" w:type="dxa"/>
            </w:tcMar>
          </w:tcPr>
          <w:p w14:paraId="31BDA4EC" w14:textId="65B96FC9" w:rsidR="001A4415" w:rsidRPr="00D56A36" w:rsidRDefault="003D7723" w:rsidP="00292A53">
            <w:pPr>
              <w:pStyle w:val="Table7pttext"/>
              <w:spacing w:after="60"/>
            </w:pPr>
            <w:r>
              <w:t xml:space="preserve">Approximately </w:t>
            </w:r>
            <w:r w:rsidR="001A4415" w:rsidRPr="003708C4">
              <w:t>163</w:t>
            </w:r>
            <w:r w:rsidR="004F177A">
              <w:t>,</w:t>
            </w:r>
            <w:r w:rsidR="001A4415" w:rsidRPr="003708C4">
              <w:t>000 Rural Fire Service, State Emergency Service and Surf Life Saving Association volunteers</w:t>
            </w:r>
            <w:r w:rsidR="009B5CE0">
              <w:rPr>
                <w:rFonts w:eastAsia="Calibri"/>
              </w:rPr>
              <w:fldChar w:fldCharType="begin"/>
            </w:r>
            <w:r w:rsidR="009B5CE0">
              <w:instrText xml:space="preserve"> XE "</w:instrText>
            </w:r>
            <w:r w:rsidR="009B5CE0" w:rsidRPr="003C702B">
              <w:instrText>volunteers, coverage of</w:instrText>
            </w:r>
            <w:r w:rsidR="009B5CE0">
              <w:instrText xml:space="preserve">" </w:instrText>
            </w:r>
            <w:r w:rsidR="009B5CE0">
              <w:rPr>
                <w:rFonts w:eastAsia="Calibri"/>
              </w:rPr>
              <w:fldChar w:fldCharType="end"/>
            </w:r>
            <w:r w:rsidR="001A4415" w:rsidRPr="003708C4">
              <w:t>.</w:t>
            </w:r>
          </w:p>
        </w:tc>
        <w:tc>
          <w:tcPr>
            <w:tcW w:w="2708" w:type="dxa"/>
            <w:shd w:val="clear" w:color="auto" w:fill="FFC9C9"/>
            <w:tcMar>
              <w:top w:w="80" w:type="dxa"/>
              <w:left w:w="80" w:type="dxa"/>
              <w:bottom w:w="80" w:type="dxa"/>
              <w:right w:w="80" w:type="dxa"/>
            </w:tcMar>
          </w:tcPr>
          <w:p w14:paraId="536CB6D1" w14:textId="53780601" w:rsidR="001A4415" w:rsidRPr="00D56A36" w:rsidRDefault="00640E79" w:rsidP="00292A53">
            <w:pPr>
              <w:pStyle w:val="Table7pttext"/>
              <w:spacing w:after="60"/>
            </w:pPr>
            <w:r>
              <w:t>Unique scheme</w:t>
            </w:r>
          </w:p>
        </w:tc>
      </w:tr>
      <w:tr w:rsidR="001A4415" w:rsidRPr="00D56A36" w14:paraId="67D12DF3" w14:textId="77777777" w:rsidTr="00B2173F">
        <w:tc>
          <w:tcPr>
            <w:tcW w:w="1475" w:type="dxa"/>
            <w:tcMar>
              <w:top w:w="80" w:type="dxa"/>
              <w:left w:w="80" w:type="dxa"/>
              <w:bottom w:w="80" w:type="dxa"/>
              <w:right w:w="80" w:type="dxa"/>
            </w:tcMar>
          </w:tcPr>
          <w:p w14:paraId="18085695" w14:textId="1F55F030" w:rsidR="001A4415" w:rsidRPr="00B2471E" w:rsidRDefault="001A4415" w:rsidP="00292A53">
            <w:pPr>
              <w:pStyle w:val="TableColumn1bold"/>
              <w:spacing w:after="60"/>
              <w:rPr>
                <w:i/>
              </w:rPr>
            </w:pPr>
            <w:r w:rsidRPr="00B2471E">
              <w:rPr>
                <w:i/>
              </w:rPr>
              <w:t xml:space="preserve">Workers’ compensation (Dust Diseases) </w:t>
            </w:r>
            <w:r w:rsidR="00C7036A" w:rsidRPr="00B2471E">
              <w:rPr>
                <w:i/>
              </w:rPr>
              <w:fldChar w:fldCharType="begin"/>
            </w:r>
            <w:r w:rsidR="00C7036A" w:rsidRPr="00B2471E">
              <w:rPr>
                <w:i/>
              </w:rPr>
              <w:instrText xml:space="preserve"> XE "dust diseases" </w:instrText>
            </w:r>
            <w:r w:rsidR="00C7036A" w:rsidRPr="00B2471E">
              <w:rPr>
                <w:i/>
              </w:rPr>
              <w:fldChar w:fldCharType="end"/>
            </w:r>
            <w:r w:rsidRPr="00B2471E">
              <w:rPr>
                <w:i/>
              </w:rPr>
              <w:t>Act 1942</w:t>
            </w:r>
          </w:p>
        </w:tc>
        <w:tc>
          <w:tcPr>
            <w:tcW w:w="2707" w:type="dxa"/>
            <w:tcMar>
              <w:top w:w="80" w:type="dxa"/>
              <w:left w:w="80" w:type="dxa"/>
              <w:bottom w:w="80" w:type="dxa"/>
              <w:right w:w="80" w:type="dxa"/>
            </w:tcMar>
          </w:tcPr>
          <w:p w14:paraId="12EE454F" w14:textId="5CDD4F9E" w:rsidR="001A4415" w:rsidRPr="00D56A36" w:rsidRDefault="004F177A" w:rsidP="00292A53">
            <w:pPr>
              <w:pStyle w:val="Table7pttext"/>
              <w:spacing w:after="60"/>
            </w:pPr>
            <w:r>
              <w:t>i</w:t>
            </w:r>
            <w:r w:rsidR="001A4415" w:rsidRPr="003708C4">
              <w:t>care</w:t>
            </w:r>
          </w:p>
        </w:tc>
        <w:tc>
          <w:tcPr>
            <w:tcW w:w="2707" w:type="dxa"/>
            <w:tcMar>
              <w:top w:w="80" w:type="dxa"/>
              <w:left w:w="80" w:type="dxa"/>
              <w:bottom w:w="80" w:type="dxa"/>
              <w:right w:w="80" w:type="dxa"/>
            </w:tcMar>
          </w:tcPr>
          <w:p w14:paraId="59E59D7F" w14:textId="018C68DC" w:rsidR="001A4415" w:rsidRPr="00D56A36" w:rsidRDefault="001A4415" w:rsidP="00292A53">
            <w:pPr>
              <w:pStyle w:val="Table7pttext"/>
              <w:spacing w:after="60"/>
            </w:pPr>
            <w:r w:rsidRPr="00D56A36">
              <w:t xml:space="preserve">This Act makes provisions regarding the payment of compensation in the case of workers who suffer death or disablement owing to a dust disease specified in </w:t>
            </w:r>
            <w:hyperlink r:id="rId2168" w:history="1">
              <w:r w:rsidRPr="00377FF5">
                <w:rPr>
                  <w:rStyle w:val="Hyperlink"/>
                </w:rPr>
                <w:t>Schedule 1</w:t>
              </w:r>
            </w:hyperlink>
            <w:r w:rsidRPr="00D56A36">
              <w:t xml:space="preserve"> of the Act, including any pathological condition of the lungs, pleura or peritoneum that is caused by dust that may also cause a disease so specified, to validate certain payments. </w:t>
            </w:r>
          </w:p>
        </w:tc>
        <w:tc>
          <w:tcPr>
            <w:tcW w:w="2707" w:type="dxa"/>
            <w:tcMar>
              <w:top w:w="80" w:type="dxa"/>
              <w:left w:w="80" w:type="dxa"/>
              <w:bottom w:w="80" w:type="dxa"/>
              <w:right w:w="80" w:type="dxa"/>
            </w:tcMar>
          </w:tcPr>
          <w:p w14:paraId="58D7FB02" w14:textId="33FE37C3" w:rsidR="001A4415" w:rsidRPr="00D56A36" w:rsidRDefault="001A4415" w:rsidP="00292A53">
            <w:pPr>
              <w:pStyle w:val="Table7pttext"/>
              <w:spacing w:after="60"/>
            </w:pPr>
            <w:r w:rsidRPr="00D56A36">
              <w:t xml:space="preserve">Any worker who has developed a ‘dust disease’ as defined in </w:t>
            </w:r>
            <w:hyperlink r:id="rId2169" w:history="1">
              <w:r w:rsidRPr="00377FF5">
                <w:rPr>
                  <w:rStyle w:val="Hyperlink"/>
                </w:rPr>
                <w:t>Schedule 1</w:t>
              </w:r>
            </w:hyperlink>
            <w:r w:rsidRPr="00D56A36">
              <w:t xml:space="preserve"> of the Act from occupational exposure to dust as a worker in New South Wales.</w:t>
            </w:r>
          </w:p>
        </w:tc>
        <w:tc>
          <w:tcPr>
            <w:tcW w:w="2707" w:type="dxa"/>
            <w:tcMar>
              <w:top w:w="80" w:type="dxa"/>
              <w:left w:w="80" w:type="dxa"/>
              <w:bottom w:w="80" w:type="dxa"/>
              <w:right w:w="80" w:type="dxa"/>
            </w:tcMar>
          </w:tcPr>
          <w:p w14:paraId="70C56ED0" w14:textId="002BC5D0" w:rsidR="001A4415" w:rsidRPr="00D56A36" w:rsidRDefault="001A4415" w:rsidP="00292A53">
            <w:pPr>
              <w:pStyle w:val="Table7pttext"/>
              <w:spacing w:after="60"/>
            </w:pPr>
            <w:r w:rsidRPr="003708C4">
              <w:t>As at 25 January 2017 compensation benefits are being provided to a total of 4</w:t>
            </w:r>
            <w:r w:rsidR="004F177A">
              <w:t>,</w:t>
            </w:r>
            <w:r w:rsidRPr="003708C4">
              <w:t>146 clients: 1</w:t>
            </w:r>
            <w:r w:rsidR="004F177A">
              <w:t>,</w:t>
            </w:r>
            <w:r w:rsidRPr="003708C4">
              <w:t>126 workers and 3</w:t>
            </w:r>
            <w:r w:rsidR="004F177A">
              <w:t>,</w:t>
            </w:r>
            <w:r w:rsidRPr="003708C4">
              <w:t>020 dependants of deceased workers.</w:t>
            </w:r>
          </w:p>
        </w:tc>
        <w:tc>
          <w:tcPr>
            <w:tcW w:w="2708" w:type="dxa"/>
            <w:tcMar>
              <w:top w:w="80" w:type="dxa"/>
              <w:left w:w="80" w:type="dxa"/>
              <w:bottom w:w="80" w:type="dxa"/>
              <w:right w:w="80" w:type="dxa"/>
            </w:tcMar>
          </w:tcPr>
          <w:p w14:paraId="613921C3" w14:textId="77777777" w:rsidR="001A4415" w:rsidRPr="00D56A36" w:rsidRDefault="001A4415" w:rsidP="00292A53">
            <w:pPr>
              <w:pStyle w:val="Table7pttext"/>
              <w:spacing w:after="60"/>
            </w:pPr>
            <w:r w:rsidRPr="00D56A36">
              <w:t>A system of no fault compensation for workers and their dependants where a worker suffers death or disability from dust diseases.</w:t>
            </w:r>
          </w:p>
        </w:tc>
      </w:tr>
      <w:tr w:rsidR="001A4415" w:rsidRPr="00D56A36" w14:paraId="586CF236" w14:textId="77777777" w:rsidTr="00B2173F">
        <w:tc>
          <w:tcPr>
            <w:tcW w:w="1475" w:type="dxa"/>
            <w:shd w:val="clear" w:color="auto" w:fill="FFC9C9"/>
            <w:tcMar>
              <w:top w:w="80" w:type="dxa"/>
              <w:left w:w="80" w:type="dxa"/>
              <w:bottom w:w="80" w:type="dxa"/>
              <w:right w:w="80" w:type="dxa"/>
            </w:tcMar>
          </w:tcPr>
          <w:p w14:paraId="5EDCA3A2" w14:textId="77777777" w:rsidR="001A4415" w:rsidRPr="00B2471E" w:rsidRDefault="001A4415" w:rsidP="00292A53">
            <w:pPr>
              <w:pStyle w:val="TableColumn1bold"/>
              <w:spacing w:after="60"/>
              <w:rPr>
                <w:i/>
                <w:highlight w:val="yellow"/>
              </w:rPr>
            </w:pPr>
            <w:r w:rsidRPr="00B2471E">
              <w:rPr>
                <w:i/>
              </w:rPr>
              <w:t>Coal Industry Act 2001</w:t>
            </w:r>
            <w:r w:rsidR="00C44D5D" w:rsidRPr="00B2471E">
              <w:rPr>
                <w:i/>
              </w:rPr>
              <w:fldChar w:fldCharType="begin"/>
            </w:r>
            <w:r w:rsidR="00C44D5D" w:rsidRPr="00B2471E">
              <w:rPr>
                <w:i/>
              </w:rPr>
              <w:instrText xml:space="preserve"> XE "coal industry (NSW)" </w:instrText>
            </w:r>
            <w:r w:rsidR="00C44D5D" w:rsidRPr="00B2471E">
              <w:rPr>
                <w:i/>
              </w:rPr>
              <w:fldChar w:fldCharType="end"/>
            </w:r>
          </w:p>
        </w:tc>
        <w:tc>
          <w:tcPr>
            <w:tcW w:w="2707" w:type="dxa"/>
            <w:shd w:val="clear" w:color="auto" w:fill="FFC9C9"/>
            <w:tcMar>
              <w:top w:w="80" w:type="dxa"/>
              <w:left w:w="80" w:type="dxa"/>
              <w:bottom w:w="80" w:type="dxa"/>
              <w:right w:w="80" w:type="dxa"/>
            </w:tcMar>
          </w:tcPr>
          <w:p w14:paraId="517E6E51" w14:textId="2B8EBCA3" w:rsidR="001A4415" w:rsidRPr="00D56A36" w:rsidRDefault="00A7538C" w:rsidP="00292A53">
            <w:pPr>
              <w:pStyle w:val="Table7pttext"/>
              <w:spacing w:after="60"/>
              <w:rPr>
                <w:highlight w:val="yellow"/>
              </w:rPr>
            </w:pPr>
            <w:hyperlink r:id="rId2170" w:history="1">
              <w:r w:rsidR="001A4415" w:rsidRPr="00D56A36">
                <w:rPr>
                  <w:rStyle w:val="Hyperlink"/>
                </w:rPr>
                <w:t>Coal Services</w:t>
              </w:r>
            </w:hyperlink>
          </w:p>
        </w:tc>
        <w:tc>
          <w:tcPr>
            <w:tcW w:w="2707" w:type="dxa"/>
            <w:shd w:val="clear" w:color="auto" w:fill="FFC9C9"/>
            <w:tcMar>
              <w:top w:w="80" w:type="dxa"/>
              <w:left w:w="80" w:type="dxa"/>
              <w:bottom w:w="80" w:type="dxa"/>
              <w:right w:w="80" w:type="dxa"/>
            </w:tcMar>
          </w:tcPr>
          <w:p w14:paraId="11E4FED4" w14:textId="00C9589E" w:rsidR="001A4415" w:rsidRPr="00D56A36" w:rsidRDefault="001A4415" w:rsidP="00292A53">
            <w:pPr>
              <w:pStyle w:val="Table7pttext"/>
              <w:spacing w:after="60"/>
            </w:pPr>
            <w:r w:rsidRPr="00D56A36">
              <w:t>To operate an innovative, efficient, effective, competitive and fully funded workers’ compensation insurance scheme for the coal mining industry in NSW.</w:t>
            </w:r>
            <w:r w:rsidR="003B3E5B">
              <w:fldChar w:fldCharType="begin"/>
            </w:r>
            <w:r w:rsidR="003B3E5B">
              <w:instrText xml:space="preserve"> XE "</w:instrText>
            </w:r>
            <w:r w:rsidR="003B3E5B" w:rsidRPr="001854C8">
              <w:instrText>mining industry (NSW)</w:instrText>
            </w:r>
            <w:r w:rsidR="003B3E5B">
              <w:instrText xml:space="preserve">" </w:instrText>
            </w:r>
            <w:r w:rsidR="003B3E5B">
              <w:fldChar w:fldCharType="end"/>
            </w:r>
          </w:p>
        </w:tc>
        <w:tc>
          <w:tcPr>
            <w:tcW w:w="2707" w:type="dxa"/>
            <w:shd w:val="clear" w:color="auto" w:fill="FFC9C9"/>
            <w:tcMar>
              <w:top w:w="80" w:type="dxa"/>
              <w:left w:w="80" w:type="dxa"/>
              <w:bottom w:w="80" w:type="dxa"/>
              <w:right w:w="80" w:type="dxa"/>
            </w:tcMar>
          </w:tcPr>
          <w:p w14:paraId="1910D75F" w14:textId="77777777" w:rsidR="001A4415" w:rsidRPr="00D56A36" w:rsidRDefault="001A4415" w:rsidP="00292A53">
            <w:pPr>
              <w:pStyle w:val="Table7pttext"/>
              <w:spacing w:after="60"/>
              <w:rPr>
                <w:highlight w:val="yellow"/>
              </w:rPr>
            </w:pPr>
            <w:r w:rsidRPr="003708C4">
              <w:t xml:space="preserve">Coal Mines Insurance Pty Ltd (CMI) is a specialised insurer and it is the insurer of all Employers in the NSW coal mining industry under the </w:t>
            </w:r>
            <w:hyperlink r:id="rId2171" w:anchor="/view/act/2001/107/full" w:history="1">
              <w:r w:rsidRPr="003708C4">
                <w:rPr>
                  <w:rStyle w:val="Hyperlink"/>
                  <w:i/>
                </w:rPr>
                <w:t>Coal Industry Act 2001.</w:t>
              </w:r>
            </w:hyperlink>
          </w:p>
        </w:tc>
        <w:tc>
          <w:tcPr>
            <w:tcW w:w="2707" w:type="dxa"/>
            <w:shd w:val="clear" w:color="auto" w:fill="FFC9C9"/>
            <w:tcMar>
              <w:top w:w="80" w:type="dxa"/>
              <w:left w:w="80" w:type="dxa"/>
              <w:bottom w:w="80" w:type="dxa"/>
              <w:right w:w="80" w:type="dxa"/>
            </w:tcMar>
          </w:tcPr>
          <w:p w14:paraId="36230E83" w14:textId="33086D30" w:rsidR="001A4415" w:rsidRPr="00D56A36" w:rsidRDefault="001A4415" w:rsidP="003D7723">
            <w:pPr>
              <w:pStyle w:val="Table7pttext"/>
              <w:spacing w:after="60"/>
              <w:rPr>
                <w:highlight w:val="yellow"/>
              </w:rPr>
            </w:pPr>
            <w:r>
              <w:t>As at 30 June 201</w:t>
            </w:r>
            <w:r w:rsidR="003D7723">
              <w:t>7</w:t>
            </w:r>
            <w:r>
              <w:t xml:space="preserve">, </w:t>
            </w:r>
            <w:r w:rsidR="003D7723">
              <w:t xml:space="preserve">751 </w:t>
            </w:r>
            <w:r>
              <w:t xml:space="preserve">policy holders covering </w:t>
            </w:r>
            <w:r w:rsidR="003D7723">
              <w:t>234,233</w:t>
            </w:r>
            <w:r>
              <w:t xml:space="preserve"> employees in NSW.</w:t>
            </w:r>
          </w:p>
        </w:tc>
        <w:tc>
          <w:tcPr>
            <w:tcW w:w="2708" w:type="dxa"/>
            <w:shd w:val="clear" w:color="auto" w:fill="FFC9C9"/>
            <w:tcMar>
              <w:top w:w="80" w:type="dxa"/>
              <w:left w:w="80" w:type="dxa"/>
              <w:bottom w:w="80" w:type="dxa"/>
              <w:right w:w="80" w:type="dxa"/>
            </w:tcMar>
          </w:tcPr>
          <w:p w14:paraId="79F07780" w14:textId="77777777" w:rsidR="001A4415" w:rsidRPr="003708C4" w:rsidRDefault="001A4415" w:rsidP="00292A53">
            <w:pPr>
              <w:pStyle w:val="Table7pttext"/>
              <w:spacing w:after="60"/>
            </w:pPr>
            <w:r w:rsidRPr="003708C4">
              <w:t xml:space="preserve">The Joint Coal Board (JCB) was dissolved by enactment of the </w:t>
            </w:r>
            <w:r w:rsidRPr="007239A5">
              <w:rPr>
                <w:i/>
              </w:rPr>
              <w:t>Coal Industry Repeal Act 2001</w:t>
            </w:r>
            <w:r w:rsidRPr="00B2471E">
              <w:t xml:space="preserve"> (Cth)</w:t>
            </w:r>
            <w:r w:rsidRPr="003708C4">
              <w:t>. The JCB was dissolved on the 1</w:t>
            </w:r>
            <w:r w:rsidRPr="003708C4">
              <w:rPr>
                <w:vertAlign w:val="superscript"/>
              </w:rPr>
              <w:t>st</w:t>
            </w:r>
            <w:r w:rsidRPr="003708C4">
              <w:t xml:space="preserve"> January 2002. </w:t>
            </w:r>
          </w:p>
          <w:p w14:paraId="19256762" w14:textId="77777777" w:rsidR="001A4415" w:rsidRPr="003708C4" w:rsidRDefault="001A4415" w:rsidP="00292A53">
            <w:pPr>
              <w:pStyle w:val="Table7pttext"/>
              <w:spacing w:after="60"/>
            </w:pPr>
            <w:r w:rsidRPr="003708C4">
              <w:t>The assets, rights and liabilities of the JCB have been transferred to an approved company, namely to the Coal Services Pty Ltd (ACN 099 078 234). This transfer took effect on and from the 1</w:t>
            </w:r>
            <w:r w:rsidRPr="003708C4">
              <w:rPr>
                <w:vertAlign w:val="superscript"/>
              </w:rPr>
              <w:t>st</w:t>
            </w:r>
            <w:r w:rsidRPr="003708C4">
              <w:t xml:space="preserve"> January 2002.</w:t>
            </w:r>
          </w:p>
          <w:p w14:paraId="0320DBDB" w14:textId="77777777" w:rsidR="006A50D4" w:rsidRDefault="001A4415" w:rsidP="00292A53">
            <w:pPr>
              <w:pStyle w:val="Table7pttext"/>
              <w:spacing w:after="60"/>
            </w:pPr>
            <w:r w:rsidRPr="003708C4">
              <w:t>CMI is a wholly owned subsidiary of Coal Services Pty Ltd. Coal Services P/L is owned 50% by NSW Minerals Subsidiary Company P/L and 50% by the Construction Forestry Mining and Energy Union. NSW Minerals Subsidiary Company P/L is a company owned by the NSW Minerals Council, an association representing employers in the NSW coal industry.</w:t>
            </w:r>
          </w:p>
          <w:p w14:paraId="379B35D5" w14:textId="378EFA30" w:rsidR="001A4415" w:rsidRPr="00D56A36" w:rsidRDefault="001A4415" w:rsidP="00292A53">
            <w:pPr>
              <w:pStyle w:val="Table7pttext"/>
              <w:spacing w:after="60"/>
            </w:pPr>
            <w:r w:rsidRPr="003708C4">
              <w:t xml:space="preserve">Coal Services P/L and CMI operate as private companies, subject to the Federal </w:t>
            </w:r>
            <w:hyperlink r:id="rId2172" w:history="1">
              <w:r w:rsidRPr="00367415">
                <w:rPr>
                  <w:rStyle w:val="Hyperlink"/>
                  <w:i/>
                </w:rPr>
                <w:t>Corporations Act 2001</w:t>
              </w:r>
            </w:hyperlink>
            <w:r w:rsidRPr="003708C4">
              <w:t xml:space="preserve">, but are also created by statute (the </w:t>
            </w:r>
            <w:hyperlink r:id="rId2173" w:anchor="/view/act/2001/107/full" w:history="1">
              <w:r w:rsidRPr="00367415">
                <w:rPr>
                  <w:rStyle w:val="Hyperlink"/>
                  <w:i/>
                </w:rPr>
                <w:t>Coal Industry Act 2001</w:t>
              </w:r>
            </w:hyperlink>
            <w:r w:rsidRPr="003708C4">
              <w:t>).</w:t>
            </w:r>
          </w:p>
        </w:tc>
      </w:tr>
      <w:tr w:rsidR="001A4415" w:rsidRPr="00D56A36" w14:paraId="171018FF" w14:textId="77777777" w:rsidTr="00B2173F">
        <w:tc>
          <w:tcPr>
            <w:tcW w:w="1475" w:type="dxa"/>
            <w:tcMar>
              <w:top w:w="80" w:type="dxa"/>
              <w:left w:w="80" w:type="dxa"/>
              <w:bottom w:w="80" w:type="dxa"/>
              <w:right w:w="80" w:type="dxa"/>
            </w:tcMar>
          </w:tcPr>
          <w:p w14:paraId="6694E68B" w14:textId="77777777" w:rsidR="001A4415" w:rsidRPr="00D56A36" w:rsidRDefault="001A4415" w:rsidP="00292A53">
            <w:pPr>
              <w:pStyle w:val="TableColumn1bold"/>
              <w:spacing w:after="60"/>
            </w:pPr>
            <w:r w:rsidRPr="00D56A36">
              <w:t>Treasury Managed Fund</w:t>
            </w:r>
            <w:r w:rsidR="00AE6838">
              <w:fldChar w:fldCharType="begin"/>
            </w:r>
            <w:r w:rsidR="00AE6838">
              <w:instrText xml:space="preserve"> XE "</w:instrText>
            </w:r>
            <w:r w:rsidR="00AE6838" w:rsidRPr="00AC3644">
              <w:rPr>
                <w:color w:val="000000"/>
                <w:sz w:val="14"/>
                <w:lang w:val="en-GB"/>
              </w:rPr>
              <w:instrText>Treasury Managed Fund (NSW)</w:instrText>
            </w:r>
            <w:r w:rsidR="00AE6838">
              <w:instrText xml:space="preserve">" </w:instrText>
            </w:r>
            <w:r w:rsidR="00AE6838">
              <w:fldChar w:fldCharType="end"/>
            </w:r>
            <w:r w:rsidRPr="00D56A36">
              <w:t xml:space="preserve"> (TMF) </w:t>
            </w:r>
            <w:r w:rsidRPr="00D56A36">
              <w:lastRenderedPageBreak/>
              <w:t>(NSW Government’s self-insurance scheme)</w:t>
            </w:r>
          </w:p>
        </w:tc>
        <w:tc>
          <w:tcPr>
            <w:tcW w:w="2707" w:type="dxa"/>
            <w:tcMar>
              <w:top w:w="80" w:type="dxa"/>
              <w:left w:w="80" w:type="dxa"/>
              <w:bottom w:w="80" w:type="dxa"/>
              <w:right w:w="80" w:type="dxa"/>
            </w:tcMar>
          </w:tcPr>
          <w:p w14:paraId="795D5608" w14:textId="0CC88DDB" w:rsidR="001A4415" w:rsidRPr="00D56A36" w:rsidRDefault="00A7538C" w:rsidP="00292A53">
            <w:pPr>
              <w:pStyle w:val="Table7pttext"/>
              <w:spacing w:after="60"/>
            </w:pPr>
            <w:hyperlink r:id="rId2174" w:history="1">
              <w:r w:rsidR="001A4415">
                <w:rPr>
                  <w:rStyle w:val="Hyperlink"/>
                </w:rPr>
                <w:t>icare</w:t>
              </w:r>
            </w:hyperlink>
          </w:p>
        </w:tc>
        <w:tc>
          <w:tcPr>
            <w:tcW w:w="2707" w:type="dxa"/>
            <w:tcMar>
              <w:top w:w="80" w:type="dxa"/>
              <w:left w:w="80" w:type="dxa"/>
              <w:bottom w:w="80" w:type="dxa"/>
              <w:right w:w="80" w:type="dxa"/>
            </w:tcMar>
          </w:tcPr>
          <w:p w14:paraId="0CBA748F" w14:textId="76ECF596" w:rsidR="001A4415" w:rsidRDefault="001A4415" w:rsidP="00292A53">
            <w:pPr>
              <w:pStyle w:val="Table7pttext"/>
              <w:spacing w:after="60"/>
            </w:pPr>
            <w:r>
              <w:t xml:space="preserve">icare </w:t>
            </w:r>
            <w:r w:rsidR="00E43A0F">
              <w:t>self-insurance</w:t>
            </w:r>
            <w:r>
              <w:t xml:space="preserve"> administers the NSW Government’s main managed fund scheme, known as the Treasury Managed Fund</w:t>
            </w:r>
            <w:r w:rsidR="00AE6838">
              <w:fldChar w:fldCharType="begin"/>
            </w:r>
            <w:r w:rsidR="00AE6838">
              <w:instrText xml:space="preserve"> XE "</w:instrText>
            </w:r>
            <w:r w:rsidR="00AE6838" w:rsidRPr="00AC3644">
              <w:rPr>
                <w:color w:val="000000"/>
                <w:szCs w:val="16"/>
                <w:lang w:val="en-GB"/>
              </w:rPr>
              <w:instrText>Treasury Managed Fund (NSW)</w:instrText>
            </w:r>
            <w:r w:rsidR="00AE6838">
              <w:instrText xml:space="preserve">" </w:instrText>
            </w:r>
            <w:r w:rsidR="00AE6838">
              <w:fldChar w:fldCharType="end"/>
            </w:r>
            <w:r>
              <w:t xml:space="preserve"> (TMF). The TMF is the NSW Government’s self-insurance </w:t>
            </w:r>
            <w:r>
              <w:lastRenderedPageBreak/>
              <w:t xml:space="preserve">scheme. </w:t>
            </w:r>
          </w:p>
          <w:p w14:paraId="68164AF8" w14:textId="77777777" w:rsidR="001A4415" w:rsidRPr="00D56A36" w:rsidRDefault="001A4415" w:rsidP="00292A53">
            <w:pPr>
              <w:pStyle w:val="Table7pttext"/>
              <w:spacing w:after="60"/>
            </w:pPr>
            <w:r>
              <w:t>The TMF protects the insurable assets and liability exposures of all general government sector agencies and a number of state-owned corporations that have elected to join the scheme.</w:t>
            </w:r>
          </w:p>
        </w:tc>
        <w:tc>
          <w:tcPr>
            <w:tcW w:w="2707" w:type="dxa"/>
            <w:tcMar>
              <w:top w:w="80" w:type="dxa"/>
              <w:left w:w="80" w:type="dxa"/>
              <w:bottom w:w="80" w:type="dxa"/>
              <w:right w:w="80" w:type="dxa"/>
            </w:tcMar>
          </w:tcPr>
          <w:p w14:paraId="3A46EEB3" w14:textId="10756629" w:rsidR="001A4415" w:rsidRPr="00D56A36" w:rsidRDefault="001A4415" w:rsidP="00292A53">
            <w:pPr>
              <w:pStyle w:val="Table7pttext"/>
              <w:spacing w:after="60"/>
            </w:pPr>
            <w:r w:rsidRPr="00D56A36">
              <w:lastRenderedPageBreak/>
              <w:t>Em</w:t>
            </w:r>
            <w:r w:rsidR="00640E79">
              <w:t>ployees of all member agencies</w:t>
            </w:r>
          </w:p>
        </w:tc>
        <w:tc>
          <w:tcPr>
            <w:tcW w:w="2707" w:type="dxa"/>
            <w:tcMar>
              <w:top w:w="80" w:type="dxa"/>
              <w:left w:w="80" w:type="dxa"/>
              <w:bottom w:w="80" w:type="dxa"/>
              <w:right w:w="80" w:type="dxa"/>
            </w:tcMar>
          </w:tcPr>
          <w:p w14:paraId="798EE29C" w14:textId="77777777" w:rsidR="00645F3C" w:rsidRDefault="00645F3C" w:rsidP="00645F3C">
            <w:pPr>
              <w:pStyle w:val="Table7pttext"/>
              <w:spacing w:after="60"/>
            </w:pPr>
            <w:r>
              <w:t>306,514</w:t>
            </w:r>
            <w:r w:rsidR="001A4415" w:rsidRPr="003708C4">
              <w:t xml:space="preserve"> employe</w:t>
            </w:r>
            <w:r w:rsidR="00640E79">
              <w:t xml:space="preserve">es covered </w:t>
            </w:r>
          </w:p>
          <w:p w14:paraId="4E40245D" w14:textId="79987F97" w:rsidR="001A4415" w:rsidRPr="00D56A36" w:rsidRDefault="00640E79" w:rsidP="00645F3C">
            <w:pPr>
              <w:pStyle w:val="Table7pttext"/>
              <w:spacing w:after="60"/>
            </w:pPr>
            <w:r>
              <w:t xml:space="preserve">(as at </w:t>
            </w:r>
            <w:r w:rsidR="00645F3C">
              <w:t>31 December 2017</w:t>
            </w:r>
            <w:r>
              <w:t>)</w:t>
            </w:r>
          </w:p>
        </w:tc>
        <w:tc>
          <w:tcPr>
            <w:tcW w:w="2708" w:type="dxa"/>
            <w:tcMar>
              <w:top w:w="80" w:type="dxa"/>
              <w:left w:w="80" w:type="dxa"/>
              <w:bottom w:w="80" w:type="dxa"/>
              <w:right w:w="80" w:type="dxa"/>
            </w:tcMar>
          </w:tcPr>
          <w:p w14:paraId="0DBFEDBD" w14:textId="719823FF" w:rsidR="001A4415" w:rsidRPr="00D56A36" w:rsidRDefault="00640E79" w:rsidP="00292A53">
            <w:pPr>
              <w:pStyle w:val="Table7pttext"/>
              <w:spacing w:after="60"/>
            </w:pPr>
            <w:r>
              <w:t>Unique scheme</w:t>
            </w:r>
          </w:p>
        </w:tc>
      </w:tr>
    </w:tbl>
    <w:p w14:paraId="5F9B9DFD" w14:textId="7341F34A" w:rsidR="00512701" w:rsidRPr="00205CCE" w:rsidRDefault="00512701" w:rsidP="00205CCE">
      <w:pPr>
        <w:pStyle w:val="SWATableheader"/>
      </w:pPr>
      <w:bookmarkStart w:id="234" w:name="_Toc504654719"/>
      <w:r w:rsidRPr="00205CCE">
        <w:lastRenderedPageBreak/>
        <w:t>Table 7.3b: Minor schemes — Victoria</w:t>
      </w:r>
      <w:bookmarkEnd w:id="234"/>
      <w:r w:rsidRPr="00205CCE">
        <w:t xml:space="preserve"> </w:t>
      </w:r>
      <w:r w:rsidR="00C7036A" w:rsidRPr="00205CCE">
        <w:fldChar w:fldCharType="begin"/>
      </w:r>
      <w:r w:rsidR="00C7036A" w:rsidRPr="00205CCE">
        <w:instrText xml:space="preserve"> XE "emergency service workers:Victoria" </w:instrText>
      </w:r>
      <w:r w:rsidR="00C7036A"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b: Minor schemes — Victoria  "/>
        <w:tblDescription w:val="This table provides information on minor workers' compensation schemes in the state of Victoria."/>
      </w:tblPr>
      <w:tblGrid>
        <w:gridCol w:w="1485"/>
        <w:gridCol w:w="2706"/>
        <w:gridCol w:w="2706"/>
        <w:gridCol w:w="2706"/>
        <w:gridCol w:w="2706"/>
        <w:gridCol w:w="2706"/>
      </w:tblGrid>
      <w:tr w:rsidR="00512701" w:rsidRPr="004F1B2B" w14:paraId="591EF4C0" w14:textId="77777777" w:rsidTr="000F44BC">
        <w:trPr>
          <w:tblHeader/>
        </w:trPr>
        <w:tc>
          <w:tcPr>
            <w:tcW w:w="1485" w:type="dxa"/>
            <w:shd w:val="clear" w:color="auto" w:fill="C00000"/>
            <w:tcMar>
              <w:top w:w="0" w:type="dxa"/>
              <w:left w:w="0" w:type="dxa"/>
              <w:bottom w:w="0" w:type="dxa"/>
              <w:right w:w="0" w:type="dxa"/>
            </w:tcMar>
            <w:vAlign w:val="center"/>
          </w:tcPr>
          <w:p w14:paraId="7008EB51" w14:textId="77777777" w:rsidR="00512701" w:rsidRPr="004F1B2B" w:rsidRDefault="00512701" w:rsidP="00292A53">
            <w:pPr>
              <w:pStyle w:val="Tableheaderrow"/>
              <w:spacing w:after="60"/>
            </w:pPr>
          </w:p>
        </w:tc>
        <w:tc>
          <w:tcPr>
            <w:tcW w:w="2706" w:type="dxa"/>
            <w:shd w:val="clear" w:color="auto" w:fill="C00000"/>
            <w:tcMar>
              <w:top w:w="0" w:type="dxa"/>
              <w:left w:w="0" w:type="dxa"/>
              <w:bottom w:w="0" w:type="dxa"/>
              <w:right w:w="0" w:type="dxa"/>
            </w:tcMar>
            <w:vAlign w:val="center"/>
          </w:tcPr>
          <w:p w14:paraId="21387EA9" w14:textId="77777777" w:rsidR="00512701" w:rsidRPr="004F1B2B" w:rsidRDefault="00512701" w:rsidP="00292A53">
            <w:pPr>
              <w:pStyle w:val="Tableheaderrow"/>
              <w:spacing w:after="60"/>
            </w:pPr>
            <w:r w:rsidRPr="004F1B2B">
              <w:t>Administered by</w:t>
            </w:r>
          </w:p>
        </w:tc>
        <w:tc>
          <w:tcPr>
            <w:tcW w:w="2706" w:type="dxa"/>
            <w:shd w:val="clear" w:color="auto" w:fill="C00000"/>
            <w:tcMar>
              <w:top w:w="0" w:type="dxa"/>
              <w:left w:w="0" w:type="dxa"/>
              <w:bottom w:w="0" w:type="dxa"/>
              <w:right w:w="0" w:type="dxa"/>
            </w:tcMar>
            <w:vAlign w:val="center"/>
          </w:tcPr>
          <w:p w14:paraId="0F5FD32B" w14:textId="77777777" w:rsidR="00512701" w:rsidRPr="004F1B2B" w:rsidRDefault="00512701" w:rsidP="00292A53">
            <w:pPr>
              <w:pStyle w:val="Tableheaderrow"/>
              <w:spacing w:after="60"/>
            </w:pPr>
            <w:r w:rsidRPr="004F1B2B">
              <w:t>Purpose</w:t>
            </w:r>
          </w:p>
        </w:tc>
        <w:tc>
          <w:tcPr>
            <w:tcW w:w="2706" w:type="dxa"/>
            <w:shd w:val="clear" w:color="auto" w:fill="C00000"/>
            <w:tcMar>
              <w:top w:w="0" w:type="dxa"/>
              <w:left w:w="0" w:type="dxa"/>
              <w:bottom w:w="0" w:type="dxa"/>
              <w:right w:w="0" w:type="dxa"/>
            </w:tcMar>
            <w:vAlign w:val="center"/>
          </w:tcPr>
          <w:p w14:paraId="6A34CDD1" w14:textId="77777777" w:rsidR="00512701" w:rsidRPr="004F1B2B" w:rsidRDefault="00512701" w:rsidP="00292A53">
            <w:pPr>
              <w:pStyle w:val="Tableheaderrow"/>
              <w:spacing w:after="60"/>
            </w:pPr>
            <w:r w:rsidRPr="004F1B2B">
              <w:t>Coverage</w:t>
            </w:r>
          </w:p>
        </w:tc>
        <w:tc>
          <w:tcPr>
            <w:tcW w:w="2706" w:type="dxa"/>
            <w:shd w:val="clear" w:color="auto" w:fill="C00000"/>
            <w:tcMar>
              <w:top w:w="0" w:type="dxa"/>
              <w:left w:w="0" w:type="dxa"/>
              <w:bottom w:w="0" w:type="dxa"/>
              <w:right w:w="0" w:type="dxa"/>
            </w:tcMar>
            <w:vAlign w:val="center"/>
          </w:tcPr>
          <w:p w14:paraId="06C8C9C8" w14:textId="77777777" w:rsidR="00512701" w:rsidRPr="004F1B2B" w:rsidRDefault="00512701" w:rsidP="00292A53">
            <w:pPr>
              <w:pStyle w:val="Tableheaderrow"/>
              <w:spacing w:after="60"/>
            </w:pPr>
            <w:r w:rsidRPr="004F1B2B">
              <w:t>Number covered</w:t>
            </w:r>
          </w:p>
        </w:tc>
        <w:tc>
          <w:tcPr>
            <w:tcW w:w="2706" w:type="dxa"/>
            <w:shd w:val="clear" w:color="auto" w:fill="C00000"/>
            <w:tcMar>
              <w:top w:w="0" w:type="dxa"/>
              <w:left w:w="0" w:type="dxa"/>
              <w:bottom w:w="0" w:type="dxa"/>
              <w:right w:w="0" w:type="dxa"/>
            </w:tcMar>
            <w:vAlign w:val="center"/>
          </w:tcPr>
          <w:p w14:paraId="5FF1C4FD" w14:textId="77777777" w:rsidR="00512701" w:rsidRPr="004F1B2B" w:rsidRDefault="00512701" w:rsidP="00292A53">
            <w:pPr>
              <w:pStyle w:val="Tableheaderrow"/>
              <w:spacing w:after="60"/>
            </w:pPr>
            <w:r w:rsidRPr="004F1B2B">
              <w:t>Basis for legislation</w:t>
            </w:r>
          </w:p>
        </w:tc>
      </w:tr>
      <w:tr w:rsidR="00512701" w:rsidRPr="00D56A36" w14:paraId="6DBD126C" w14:textId="77777777" w:rsidTr="000F44BC">
        <w:tc>
          <w:tcPr>
            <w:tcW w:w="1485" w:type="dxa"/>
            <w:shd w:val="clear" w:color="auto" w:fill="FFC9C9"/>
            <w:tcMar>
              <w:top w:w="80" w:type="dxa"/>
              <w:left w:w="80" w:type="dxa"/>
              <w:bottom w:w="80" w:type="dxa"/>
              <w:right w:w="80" w:type="dxa"/>
            </w:tcMar>
          </w:tcPr>
          <w:p w14:paraId="13A05799" w14:textId="71E93D0F" w:rsidR="00512701" w:rsidRPr="00D56A36" w:rsidRDefault="00512701" w:rsidP="00292A53">
            <w:pPr>
              <w:pStyle w:val="TableColumn1bold"/>
              <w:spacing w:after="60"/>
            </w:pPr>
            <w:r w:rsidRPr="00D56A36">
              <w:t>Volunteers</w:t>
            </w:r>
            <w:r w:rsidR="00C23E2F">
              <w:rPr>
                <w:rFonts w:eastAsia="Calibri"/>
              </w:rPr>
              <w:fldChar w:fldCharType="begin"/>
            </w:r>
            <w:r w:rsidR="00C23E2F">
              <w:instrText xml:space="preserve"> XE "</w:instrText>
            </w:r>
            <w:r w:rsidR="00C23E2F" w:rsidRPr="00824BF8">
              <w:instrText>volunteers, coverage of</w:instrText>
            </w:r>
            <w:r w:rsidR="00C23E2F">
              <w:instrText>"</w:instrText>
            </w:r>
            <w:r w:rsidR="00C23E2F">
              <w:rPr>
                <w:rFonts w:eastAsia="Calibri"/>
              </w:rPr>
              <w:fldChar w:fldCharType="end"/>
            </w:r>
            <w:r w:rsidRPr="00D56A36">
              <w:t xml:space="preserve"> — recoupable claims</w:t>
            </w:r>
            <w:r w:rsidR="00232E14">
              <w:fldChar w:fldCharType="begin"/>
            </w:r>
            <w:r w:rsidR="00232E14">
              <w:instrText xml:space="preserve"> XE "</w:instrText>
            </w:r>
            <w:r w:rsidR="00232E14" w:rsidRPr="00FF08F7">
              <w:instrText>rescue workers:Victoria</w:instrText>
            </w:r>
            <w:r w:rsidR="00232E14">
              <w:instrText xml:space="preserve">" </w:instrText>
            </w:r>
            <w:r w:rsidR="00232E14">
              <w:fldChar w:fldCharType="end"/>
            </w:r>
          </w:p>
        </w:tc>
        <w:tc>
          <w:tcPr>
            <w:tcW w:w="2706" w:type="dxa"/>
            <w:shd w:val="clear" w:color="auto" w:fill="FFC9C9"/>
            <w:tcMar>
              <w:top w:w="80" w:type="dxa"/>
              <w:left w:w="80" w:type="dxa"/>
              <w:bottom w:w="80" w:type="dxa"/>
              <w:right w:w="80" w:type="dxa"/>
            </w:tcMar>
          </w:tcPr>
          <w:p w14:paraId="094D4700" w14:textId="77777777" w:rsidR="00512701" w:rsidRPr="00D56A36" w:rsidRDefault="00512701" w:rsidP="00292A53">
            <w:pPr>
              <w:pStyle w:val="Tabledotpointlist7pt"/>
              <w:spacing w:after="60"/>
            </w:pPr>
            <w:r w:rsidRPr="00D56A36">
              <w:t>Claims by volunteers under the:</w:t>
            </w:r>
          </w:p>
          <w:p w14:paraId="74A98A3D" w14:textId="77777777" w:rsidR="00512701" w:rsidRPr="00D56A36" w:rsidRDefault="00512701" w:rsidP="00292A53">
            <w:pPr>
              <w:pStyle w:val="Table-dashpoints"/>
              <w:spacing w:after="60" w:afterAutospacing="0"/>
              <w:ind w:left="630" w:hanging="283"/>
            </w:pPr>
            <w:r w:rsidRPr="00367415">
              <w:rPr>
                <w:i/>
              </w:rPr>
              <w:t>Country Fire Authority Act 1958</w:t>
            </w:r>
            <w:r w:rsidRPr="00D56A36">
              <w:t xml:space="preserve"> are administered by the Country Fire Authority, and</w:t>
            </w:r>
          </w:p>
          <w:p w14:paraId="27292BB1" w14:textId="77777777" w:rsidR="00512701" w:rsidRPr="00D56A36" w:rsidRDefault="00512701" w:rsidP="00292A53">
            <w:pPr>
              <w:pStyle w:val="Table-dashpoints"/>
              <w:spacing w:after="60" w:afterAutospacing="0"/>
              <w:ind w:left="630" w:hanging="283"/>
            </w:pPr>
            <w:r w:rsidRPr="00367415">
              <w:rPr>
                <w:i/>
              </w:rPr>
              <w:t>Police Assistance Compensation Act 1968</w:t>
            </w:r>
            <w:r w:rsidRPr="00D56A36">
              <w:t xml:space="preserve"> (PAC Act) are administered by the Police Department. </w:t>
            </w:r>
          </w:p>
          <w:p w14:paraId="717DDD92" w14:textId="77777777" w:rsidR="00512701" w:rsidRPr="00D56A36" w:rsidRDefault="00512701" w:rsidP="00292A53">
            <w:pPr>
              <w:pStyle w:val="Tabledotpointlist7pt"/>
              <w:spacing w:after="60"/>
            </w:pPr>
            <w:r w:rsidRPr="00D56A36">
              <w:t xml:space="preserve">Except for claims under the Acts above, WorkSafe Victoria administers claims of volunteers as an agent on behalf of the Crown. </w:t>
            </w:r>
          </w:p>
          <w:p w14:paraId="04AA13B1" w14:textId="77777777" w:rsidR="00512701" w:rsidRPr="00D56A36" w:rsidRDefault="00512701" w:rsidP="00292A53">
            <w:pPr>
              <w:pStyle w:val="Tabledotpointlist7pt"/>
              <w:spacing w:after="60"/>
            </w:pPr>
            <w:r w:rsidRPr="00D56A36">
              <w:t xml:space="preserve">The claims agent responsible for managing claims for the Department of Justice manages claims by volunteers under the following Acts: </w:t>
            </w:r>
          </w:p>
          <w:p w14:paraId="0BC22547" w14:textId="77777777" w:rsidR="00512701" w:rsidRPr="00D56A36" w:rsidRDefault="00512701" w:rsidP="00292A53">
            <w:pPr>
              <w:pStyle w:val="Table-dashpoints"/>
              <w:spacing w:after="60" w:afterAutospacing="0"/>
              <w:ind w:left="630" w:hanging="283"/>
            </w:pPr>
            <w:r w:rsidRPr="00367415">
              <w:rPr>
                <w:i/>
              </w:rPr>
              <w:t>Victorian State Emergency Services Act 1987</w:t>
            </w:r>
            <w:r w:rsidRPr="00D56A36">
              <w:t xml:space="preserve"> (applies to registered and casual emergency workers)</w:t>
            </w:r>
          </w:p>
          <w:p w14:paraId="321CBC35" w14:textId="77777777" w:rsidR="00512701" w:rsidRPr="00D56A36" w:rsidRDefault="00512701" w:rsidP="00292A53">
            <w:pPr>
              <w:pStyle w:val="Table-dashpoints"/>
              <w:spacing w:after="60" w:afterAutospacing="0"/>
              <w:ind w:left="630" w:hanging="283"/>
            </w:pPr>
            <w:r w:rsidRPr="00367415">
              <w:rPr>
                <w:i/>
              </w:rPr>
              <w:t>Juries Act 2000</w:t>
            </w:r>
            <w:r w:rsidRPr="00D56A36">
              <w:t xml:space="preserve"> (applies to jurors), and</w:t>
            </w:r>
          </w:p>
          <w:p w14:paraId="136D0590" w14:textId="77777777" w:rsidR="00512701" w:rsidRPr="00D56A36" w:rsidRDefault="00512701" w:rsidP="00292A53">
            <w:pPr>
              <w:pStyle w:val="Table-dashpoints"/>
              <w:spacing w:after="60" w:afterAutospacing="0"/>
              <w:ind w:left="630" w:hanging="283"/>
            </w:pPr>
            <w:r w:rsidRPr="00367415">
              <w:rPr>
                <w:i/>
              </w:rPr>
              <w:t>Emergency Management Act 1986</w:t>
            </w:r>
            <w:r w:rsidRPr="00D56A36">
              <w:t xml:space="preserve"> (applies to casual emergency workers). </w:t>
            </w:r>
          </w:p>
          <w:p w14:paraId="587B23A7" w14:textId="54197F3D" w:rsidR="00512701" w:rsidRPr="00D56A36" w:rsidRDefault="00512701" w:rsidP="00292A53">
            <w:pPr>
              <w:pStyle w:val="Tabledotpointlist7pt"/>
              <w:spacing w:after="60"/>
            </w:pPr>
            <w:r w:rsidRPr="00D56A36">
              <w:t xml:space="preserve">The agent responsible for managing claims for the Department of Education manages claims by volunteers under the </w:t>
            </w:r>
            <w:r w:rsidRPr="00367415">
              <w:rPr>
                <w:i/>
              </w:rPr>
              <w:t>Education Training and Reform Act 2006</w:t>
            </w:r>
            <w:r w:rsidRPr="00D56A36">
              <w:t xml:space="preserve"> (applies to volunteer school workers or volunteer student workers).</w:t>
            </w:r>
            <w:r w:rsidR="000B568E">
              <w:fldChar w:fldCharType="begin"/>
            </w:r>
            <w:r w:rsidR="000B568E">
              <w:instrText xml:space="preserve"> XE "</w:instrText>
            </w:r>
            <w:r w:rsidR="000B568E" w:rsidRPr="001854C8">
              <w:instrText>school or student volunteers</w:instrText>
            </w:r>
            <w:r w:rsidR="000B568E">
              <w:instrText xml:space="preserve">" </w:instrText>
            </w:r>
            <w:r w:rsidR="000B568E">
              <w:fldChar w:fldCharType="end"/>
            </w:r>
            <w:r w:rsidRPr="00D56A36">
              <w:t xml:space="preserve"> </w:t>
            </w:r>
          </w:p>
          <w:p w14:paraId="07139C4E" w14:textId="77777777" w:rsidR="00512701" w:rsidRPr="00D56A36" w:rsidRDefault="00512701" w:rsidP="00292A53">
            <w:pPr>
              <w:pStyle w:val="Tabledotpointlist7pt"/>
              <w:spacing w:after="60"/>
            </w:pPr>
            <w:r w:rsidRPr="00D56A36">
              <w:t>Work Safe Victoria is reimbursed from the Consolidated Fund for any compensation payments made and the costs and expenses associated with administering these claims.</w:t>
            </w:r>
          </w:p>
        </w:tc>
        <w:tc>
          <w:tcPr>
            <w:tcW w:w="2706" w:type="dxa"/>
            <w:shd w:val="clear" w:color="auto" w:fill="FFC9C9"/>
            <w:tcMar>
              <w:top w:w="80" w:type="dxa"/>
              <w:left w:w="80" w:type="dxa"/>
              <w:bottom w:w="80" w:type="dxa"/>
              <w:right w:w="80" w:type="dxa"/>
            </w:tcMar>
          </w:tcPr>
          <w:p w14:paraId="16601FA0" w14:textId="77777777" w:rsidR="00512701" w:rsidRPr="00D56A36" w:rsidRDefault="00512701" w:rsidP="00292A53">
            <w:pPr>
              <w:pStyle w:val="lgetabletxt"/>
              <w:spacing w:after="60" w:afterAutospacing="0"/>
            </w:pPr>
            <w:r w:rsidRPr="00D56A36">
              <w:t xml:space="preserve">Under certain Acts, volunteers assisting Government Agencies are entitled to compensation in accordance with the </w:t>
            </w:r>
            <w:r w:rsidRPr="00367415">
              <w:rPr>
                <w:i/>
              </w:rPr>
              <w:t>Workplace Injury Rehabilitation and Compensation Act 2013</w:t>
            </w:r>
            <w:r w:rsidRPr="00D56A36">
              <w:t xml:space="preserve"> if injured while carrying out specified duties.</w:t>
            </w:r>
          </w:p>
        </w:tc>
        <w:tc>
          <w:tcPr>
            <w:tcW w:w="2706" w:type="dxa"/>
            <w:shd w:val="clear" w:color="auto" w:fill="FFC9C9"/>
            <w:tcMar>
              <w:top w:w="80" w:type="dxa"/>
              <w:left w:w="80" w:type="dxa"/>
              <w:bottom w:w="80" w:type="dxa"/>
              <w:right w:w="80" w:type="dxa"/>
            </w:tcMar>
          </w:tcPr>
          <w:p w14:paraId="00A9F4F3" w14:textId="77777777" w:rsidR="00512701" w:rsidRPr="00D56A36" w:rsidRDefault="00512701" w:rsidP="00292A53">
            <w:pPr>
              <w:pStyle w:val="Tabledotpointlist7pt"/>
              <w:spacing w:after="60"/>
            </w:pPr>
            <w:r w:rsidRPr="00D56A36">
              <w:t xml:space="preserve">Nominated volunteers specified under various pieces of legislation set out below. The term ‘volunteers’ includes people assisting government agents. Volunteers are not workers unless deemed so and are not entitled to compensation unless specified in one of the Acts of Parliament named. </w:t>
            </w:r>
          </w:p>
          <w:p w14:paraId="1326CE1F" w14:textId="77777777" w:rsidR="00512701" w:rsidRPr="00D56A36" w:rsidRDefault="00512701" w:rsidP="00292A53">
            <w:pPr>
              <w:pStyle w:val="Tabledotpointlist7pt"/>
              <w:spacing w:after="60"/>
            </w:pPr>
            <w:r w:rsidRPr="00D56A36">
              <w:t>Workers assigned to emergency organisations by their employers as part of their contract of service remain workers of the employer. They will only be entitled to compensation as volunteers if they are covered by the aforementioned Acts.</w:t>
            </w:r>
          </w:p>
          <w:p w14:paraId="52BE2572" w14:textId="77777777" w:rsidR="00512701" w:rsidRPr="00D56A36" w:rsidRDefault="00512701" w:rsidP="00292A53">
            <w:pPr>
              <w:pStyle w:val="Tabledotpointlist7pt"/>
              <w:spacing w:after="60"/>
            </w:pPr>
            <w:r w:rsidRPr="00D56A36">
              <w:t xml:space="preserve">While carrying out the relevant duties volunteers in prisons and offenders working or participating in a correctional order or diversion program are entitled to compensation for personal injury if it would be payable under the </w:t>
            </w:r>
            <w:r w:rsidRPr="00367415">
              <w:rPr>
                <w:i/>
              </w:rPr>
              <w:t>Workplace Injury Rehabilitation and Compensation Act 2013</w:t>
            </w:r>
            <w:r w:rsidRPr="00D56A36">
              <w:t xml:space="preserve"> if they were a worker employed by the Crown and the personal injury had arisen out of or in the course of employment. </w:t>
            </w:r>
          </w:p>
        </w:tc>
        <w:tc>
          <w:tcPr>
            <w:tcW w:w="2706" w:type="dxa"/>
            <w:shd w:val="clear" w:color="auto" w:fill="FFC9C9"/>
            <w:tcMar>
              <w:top w:w="80" w:type="dxa"/>
              <w:left w:w="80" w:type="dxa"/>
              <w:bottom w:w="80" w:type="dxa"/>
              <w:right w:w="80" w:type="dxa"/>
            </w:tcMar>
          </w:tcPr>
          <w:p w14:paraId="5D49B9F0" w14:textId="202CFCC0" w:rsidR="00512701" w:rsidRPr="00D56A36" w:rsidRDefault="00640E79" w:rsidP="00B53A65">
            <w:pPr>
              <w:pStyle w:val="lgetabletxt"/>
              <w:spacing w:after="60" w:afterAutospacing="0"/>
            </w:pPr>
            <w:r>
              <w:t>Not known</w:t>
            </w:r>
          </w:p>
        </w:tc>
        <w:tc>
          <w:tcPr>
            <w:tcW w:w="2706" w:type="dxa"/>
            <w:shd w:val="clear" w:color="auto" w:fill="FFC9C9"/>
            <w:tcMar>
              <w:top w:w="80" w:type="dxa"/>
              <w:left w:w="80" w:type="dxa"/>
              <w:bottom w:w="80" w:type="dxa"/>
              <w:right w:w="80" w:type="dxa"/>
            </w:tcMar>
          </w:tcPr>
          <w:p w14:paraId="78E922AC" w14:textId="77777777" w:rsidR="00640E79" w:rsidRDefault="00512701" w:rsidP="00B53A65">
            <w:pPr>
              <w:pStyle w:val="lgetabletxt"/>
              <w:spacing w:after="60" w:afterAutospacing="0"/>
            </w:pPr>
            <w:r w:rsidRPr="00D56A36">
              <w:t xml:space="preserve">The aforementioned Acts provide that volunteers and other persons assisting government agencies are entitled to compensation if injured while carrying out relevant duties. </w:t>
            </w:r>
          </w:p>
          <w:p w14:paraId="706F026D" w14:textId="22E40E8E" w:rsidR="00512701" w:rsidRPr="00D56A36" w:rsidRDefault="00512701" w:rsidP="00B53A65">
            <w:pPr>
              <w:pStyle w:val="lgetabletxt"/>
              <w:spacing w:after="60" w:afterAutospacing="0"/>
            </w:pPr>
            <w:r w:rsidRPr="00D56A36">
              <w:t>Go to</w:t>
            </w:r>
            <w:hyperlink r:id="rId2175" w:history="1">
              <w:r w:rsidRPr="00D56A36">
                <w:rPr>
                  <w:rStyle w:val="Hyperlink"/>
                </w:rPr>
                <w:t xml:space="preserve"> </w:t>
              </w:r>
              <w:hyperlink r:id="rId2176" w:history="1">
                <w:r w:rsidRPr="00D56A36">
                  <w:rPr>
                    <w:rStyle w:val="Hyperlink"/>
                  </w:rPr>
                  <w:t xml:space="preserve"> Victorian Legislation and Parliamentary Documents.</w:t>
                </w:r>
              </w:hyperlink>
            </w:hyperlink>
          </w:p>
        </w:tc>
      </w:tr>
    </w:tbl>
    <w:p w14:paraId="097898C6" w14:textId="77777777" w:rsidR="00C66972" w:rsidRPr="00C66972" w:rsidRDefault="00C66972" w:rsidP="00C66972">
      <w:pPr>
        <w:spacing w:after="200" w:line="276" w:lineRule="auto"/>
        <w:rPr>
          <w:rFonts w:eastAsiaTheme="minorHAnsi"/>
        </w:rPr>
      </w:pPr>
    </w:p>
    <w:p w14:paraId="728987D1" w14:textId="77777777" w:rsidR="00C66972" w:rsidRPr="00C66972" w:rsidRDefault="00C66972" w:rsidP="00C66972">
      <w:pPr>
        <w:spacing w:after="200" w:line="276" w:lineRule="auto"/>
        <w:rPr>
          <w:rFonts w:eastAsiaTheme="minorHAnsi"/>
        </w:rPr>
      </w:pPr>
      <w:r w:rsidRPr="00C66972">
        <w:rPr>
          <w:rFonts w:eastAsiaTheme="minorHAnsi"/>
        </w:rPr>
        <w:br w:type="page"/>
      </w:r>
    </w:p>
    <w:p w14:paraId="212C5D5B" w14:textId="77777777" w:rsidR="004F1B2B" w:rsidRPr="00205CCE" w:rsidRDefault="004F1B2B" w:rsidP="00205CCE">
      <w:pPr>
        <w:pStyle w:val="SWATableheader"/>
      </w:pPr>
      <w:bookmarkStart w:id="235" w:name="_Toc504654720"/>
      <w:r w:rsidRPr="00205CCE">
        <w:lastRenderedPageBreak/>
        <w:t>Table 7.3c: Minor schemes — Western Australia</w:t>
      </w:r>
      <w:bookmarkEnd w:id="235"/>
      <w:r w:rsidRPr="00205CCE">
        <w:t xml:space="preserve"> </w:t>
      </w:r>
    </w:p>
    <w:tbl>
      <w:tblPr>
        <w:tblpPr w:leftFromText="180" w:rightFromText="180" w:vertAnchor="text" w:tblpX="80"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c: Minor schemes — Western Australia "/>
        <w:tblDescription w:val="This table provides information on minor workers' compensation schemes in the state of Western Australia. "/>
      </w:tblPr>
      <w:tblGrid>
        <w:gridCol w:w="1475"/>
        <w:gridCol w:w="2707"/>
        <w:gridCol w:w="2707"/>
        <w:gridCol w:w="2707"/>
        <w:gridCol w:w="2707"/>
        <w:gridCol w:w="2708"/>
      </w:tblGrid>
      <w:tr w:rsidR="004F1B2B" w:rsidRPr="004F1B2B" w14:paraId="742C670F" w14:textId="77777777" w:rsidTr="000F44BC">
        <w:trPr>
          <w:tblHeader/>
        </w:trPr>
        <w:tc>
          <w:tcPr>
            <w:tcW w:w="1475" w:type="dxa"/>
            <w:shd w:val="clear" w:color="auto" w:fill="C00000"/>
          </w:tcPr>
          <w:p w14:paraId="3E062C6C" w14:textId="77777777" w:rsidR="004F1B2B" w:rsidRPr="004F1B2B" w:rsidRDefault="004F1B2B" w:rsidP="00292A53">
            <w:pPr>
              <w:pStyle w:val="Tableheaderrow"/>
              <w:spacing w:after="60"/>
            </w:pPr>
          </w:p>
        </w:tc>
        <w:tc>
          <w:tcPr>
            <w:tcW w:w="2707" w:type="dxa"/>
            <w:shd w:val="clear" w:color="auto" w:fill="C00000"/>
            <w:tcMar>
              <w:top w:w="0" w:type="dxa"/>
              <w:left w:w="0" w:type="dxa"/>
              <w:bottom w:w="0" w:type="dxa"/>
              <w:right w:w="0" w:type="dxa"/>
            </w:tcMar>
            <w:vAlign w:val="center"/>
          </w:tcPr>
          <w:p w14:paraId="0DE30633" w14:textId="77777777" w:rsidR="004F1B2B" w:rsidRPr="004F1B2B" w:rsidRDefault="004F1B2B" w:rsidP="00292A53">
            <w:pPr>
              <w:pStyle w:val="Tableheaderrow"/>
              <w:spacing w:after="60"/>
            </w:pPr>
            <w:r w:rsidRPr="004F1B2B">
              <w:t>Administered by</w:t>
            </w:r>
          </w:p>
        </w:tc>
        <w:tc>
          <w:tcPr>
            <w:tcW w:w="2707" w:type="dxa"/>
            <w:shd w:val="clear" w:color="auto" w:fill="C00000"/>
            <w:tcMar>
              <w:top w:w="0" w:type="dxa"/>
              <w:left w:w="0" w:type="dxa"/>
              <w:bottom w:w="0" w:type="dxa"/>
              <w:right w:w="0" w:type="dxa"/>
            </w:tcMar>
            <w:vAlign w:val="center"/>
          </w:tcPr>
          <w:p w14:paraId="597199A2" w14:textId="77777777" w:rsidR="004F1B2B" w:rsidRPr="004F1B2B" w:rsidRDefault="004F1B2B" w:rsidP="00292A53">
            <w:pPr>
              <w:pStyle w:val="Tableheaderrow"/>
              <w:spacing w:after="60"/>
            </w:pPr>
            <w:r w:rsidRPr="004F1B2B">
              <w:t>Purpose</w:t>
            </w:r>
          </w:p>
        </w:tc>
        <w:tc>
          <w:tcPr>
            <w:tcW w:w="2707" w:type="dxa"/>
            <w:shd w:val="clear" w:color="auto" w:fill="C00000"/>
            <w:tcMar>
              <w:top w:w="0" w:type="dxa"/>
              <w:left w:w="0" w:type="dxa"/>
              <w:bottom w:w="0" w:type="dxa"/>
              <w:right w:w="0" w:type="dxa"/>
            </w:tcMar>
            <w:vAlign w:val="center"/>
          </w:tcPr>
          <w:p w14:paraId="761FC426" w14:textId="77777777" w:rsidR="004F1B2B" w:rsidRPr="004F1B2B" w:rsidRDefault="004F1B2B" w:rsidP="00292A53">
            <w:pPr>
              <w:pStyle w:val="Tableheaderrow"/>
              <w:spacing w:after="60"/>
            </w:pPr>
            <w:r w:rsidRPr="004F1B2B">
              <w:t>Coverage</w:t>
            </w:r>
          </w:p>
        </w:tc>
        <w:tc>
          <w:tcPr>
            <w:tcW w:w="2707" w:type="dxa"/>
            <w:shd w:val="clear" w:color="auto" w:fill="C00000"/>
            <w:tcMar>
              <w:top w:w="0" w:type="dxa"/>
              <w:left w:w="0" w:type="dxa"/>
              <w:bottom w:w="0" w:type="dxa"/>
              <w:right w:w="0" w:type="dxa"/>
            </w:tcMar>
            <w:vAlign w:val="center"/>
          </w:tcPr>
          <w:p w14:paraId="3BB4E003" w14:textId="77777777" w:rsidR="004F1B2B" w:rsidRPr="004F1B2B" w:rsidRDefault="004F1B2B" w:rsidP="00292A53">
            <w:pPr>
              <w:pStyle w:val="Tableheaderrow"/>
              <w:spacing w:after="60"/>
            </w:pPr>
            <w:r w:rsidRPr="004F1B2B">
              <w:t>Number covered</w:t>
            </w:r>
          </w:p>
        </w:tc>
        <w:tc>
          <w:tcPr>
            <w:tcW w:w="2708" w:type="dxa"/>
            <w:shd w:val="clear" w:color="auto" w:fill="C00000"/>
            <w:tcMar>
              <w:top w:w="0" w:type="dxa"/>
              <w:left w:w="0" w:type="dxa"/>
              <w:bottom w:w="0" w:type="dxa"/>
              <w:right w:w="0" w:type="dxa"/>
            </w:tcMar>
            <w:vAlign w:val="center"/>
          </w:tcPr>
          <w:p w14:paraId="2502B6D2" w14:textId="77777777" w:rsidR="004F1B2B" w:rsidRPr="004F1B2B" w:rsidRDefault="004F1B2B" w:rsidP="00292A53">
            <w:pPr>
              <w:pStyle w:val="Tableheaderrow"/>
              <w:spacing w:after="60"/>
            </w:pPr>
            <w:r w:rsidRPr="004F1B2B">
              <w:t>Basis for legislation</w:t>
            </w:r>
          </w:p>
        </w:tc>
      </w:tr>
      <w:tr w:rsidR="004F1B2B" w:rsidRPr="00D56A36" w14:paraId="31EF3F72" w14:textId="77777777" w:rsidTr="000F44BC">
        <w:tc>
          <w:tcPr>
            <w:tcW w:w="1475" w:type="dxa"/>
            <w:shd w:val="clear" w:color="auto" w:fill="FFC9C9"/>
          </w:tcPr>
          <w:p w14:paraId="667AA34E" w14:textId="67059B65" w:rsidR="004F1B2B" w:rsidRPr="00B2471E" w:rsidRDefault="004F1B2B" w:rsidP="00292A53">
            <w:pPr>
              <w:pStyle w:val="TableColumn1bold"/>
              <w:spacing w:after="60"/>
              <w:rPr>
                <w:i/>
              </w:rPr>
            </w:pPr>
            <w:r w:rsidRPr="00B2471E">
              <w:rPr>
                <w:i/>
              </w:rPr>
              <w:t xml:space="preserve">Waterfront Workers </w:t>
            </w:r>
            <w:r w:rsidR="00232E14" w:rsidRPr="00B2471E">
              <w:rPr>
                <w:i/>
              </w:rPr>
              <w:fldChar w:fldCharType="begin"/>
            </w:r>
            <w:r w:rsidR="00232E14" w:rsidRPr="00B2471E">
              <w:rPr>
                <w:i/>
              </w:rPr>
              <w:instrText xml:space="preserve"> XE "water front workers (WA)" </w:instrText>
            </w:r>
            <w:r w:rsidR="00232E14" w:rsidRPr="00B2471E">
              <w:rPr>
                <w:i/>
              </w:rPr>
              <w:fldChar w:fldCharType="end"/>
            </w:r>
            <w:r w:rsidRPr="00B2471E">
              <w:rPr>
                <w:i/>
              </w:rPr>
              <w:t>(Compensation for Asbestos Related Diseases</w:t>
            </w:r>
            <w:r w:rsidR="000A06AE" w:rsidRPr="00B2471E">
              <w:rPr>
                <w:i/>
              </w:rPr>
              <w:fldChar w:fldCharType="begin"/>
            </w:r>
            <w:r w:rsidR="000A06AE" w:rsidRPr="00B2471E">
              <w:rPr>
                <w:i/>
              </w:rPr>
              <w:instrText xml:space="preserve"> XE "Asbestos Related Diseases" </w:instrText>
            </w:r>
            <w:r w:rsidR="000A06AE" w:rsidRPr="00B2471E">
              <w:rPr>
                <w:i/>
              </w:rPr>
              <w:fldChar w:fldCharType="end"/>
            </w:r>
            <w:r w:rsidRPr="00B2471E">
              <w:rPr>
                <w:i/>
              </w:rPr>
              <w:t xml:space="preserve">) Act 1986 </w:t>
            </w:r>
          </w:p>
        </w:tc>
        <w:tc>
          <w:tcPr>
            <w:tcW w:w="2707" w:type="dxa"/>
            <w:shd w:val="clear" w:color="auto" w:fill="FFC9C9"/>
            <w:tcMar>
              <w:top w:w="80" w:type="dxa"/>
              <w:left w:w="80" w:type="dxa"/>
              <w:bottom w:w="80" w:type="dxa"/>
              <w:right w:w="80" w:type="dxa"/>
            </w:tcMar>
          </w:tcPr>
          <w:p w14:paraId="09D7E718" w14:textId="5EAF4BD1" w:rsidR="004F1B2B" w:rsidRPr="00D56A36" w:rsidRDefault="004F1B2B" w:rsidP="00292A53">
            <w:pPr>
              <w:pStyle w:val="lgetabletxt"/>
              <w:spacing w:after="60" w:afterAutospacing="0"/>
            </w:pPr>
            <w:r w:rsidRPr="00D56A36">
              <w:t>WorkCover WA</w:t>
            </w:r>
          </w:p>
        </w:tc>
        <w:tc>
          <w:tcPr>
            <w:tcW w:w="2707" w:type="dxa"/>
            <w:shd w:val="clear" w:color="auto" w:fill="FFC9C9"/>
            <w:tcMar>
              <w:top w:w="80" w:type="dxa"/>
              <w:left w:w="80" w:type="dxa"/>
              <w:bottom w:w="80" w:type="dxa"/>
              <w:right w:w="80" w:type="dxa"/>
            </w:tcMar>
          </w:tcPr>
          <w:p w14:paraId="3AC92B95" w14:textId="56E9E7B1" w:rsidR="004F1B2B" w:rsidRPr="00D56A36" w:rsidRDefault="004F1B2B" w:rsidP="00292A53">
            <w:pPr>
              <w:pStyle w:val="lgetabletxt"/>
              <w:spacing w:after="60" w:afterAutospacing="0"/>
            </w:pPr>
            <w:r w:rsidRPr="00D56A36">
              <w:t xml:space="preserve">This Act applies to a waterfront worker in respect of whom there is an entitlement to make a claim for a relevant injury under </w:t>
            </w:r>
            <w:hyperlink r:id="rId2177" w:history="1">
              <w:r w:rsidRPr="002A484F">
                <w:rPr>
                  <w:rStyle w:val="Hyperlink"/>
                </w:rPr>
                <w:t>s33</w:t>
              </w:r>
            </w:hyperlink>
            <w:r w:rsidRPr="00D56A36">
              <w:t xml:space="preserve"> of the </w:t>
            </w:r>
            <w:r w:rsidR="003D589E">
              <w:rPr>
                <w:i/>
              </w:rPr>
              <w:t>Workers’ Compensation and Injury Management Act 1981</w:t>
            </w:r>
            <w:r w:rsidRPr="00D56A36">
              <w:t xml:space="preserve">, but in respect of whom it is not known who was the employer who last employed the waterfront worker in the employment to the nature of which the ‘relevant injury’ is, or was, due. </w:t>
            </w:r>
          </w:p>
          <w:p w14:paraId="3FAD1666" w14:textId="00EAAD7D" w:rsidR="004F1B2B" w:rsidRPr="00D56A36" w:rsidRDefault="00367415" w:rsidP="0088184F">
            <w:pPr>
              <w:pStyle w:val="lgetabletxt"/>
              <w:spacing w:after="60" w:afterAutospacing="0"/>
            </w:pPr>
            <w:r>
              <w:t>‘</w:t>
            </w:r>
            <w:r w:rsidR="0088184F">
              <w:t xml:space="preserve">Relevant </w:t>
            </w:r>
            <w:r>
              <w:t xml:space="preserve">injury’ means </w:t>
            </w:r>
            <w:r w:rsidR="004F1B2B" w:rsidRPr="00D56A36">
              <w:t>mesothelioma</w:t>
            </w:r>
            <w:r w:rsidR="003B3E5B">
              <w:fldChar w:fldCharType="begin"/>
            </w:r>
            <w:r w:rsidR="003B3E5B">
              <w:instrText xml:space="preserve"> XE "</w:instrText>
            </w:r>
            <w:r w:rsidR="003B3E5B" w:rsidRPr="001854C8">
              <w:instrText>mesothelioma (WA)</w:instrText>
            </w:r>
            <w:r w:rsidR="003B3E5B">
              <w:instrText xml:space="preserve">" </w:instrText>
            </w:r>
            <w:r w:rsidR="003B3E5B">
              <w:fldChar w:fldCharType="end"/>
            </w:r>
            <w:r w:rsidR="004F1B2B" w:rsidRPr="00D56A36">
              <w:t>, or lung cancer</w:t>
            </w:r>
            <w:r w:rsidR="00854F23">
              <w:fldChar w:fldCharType="begin"/>
            </w:r>
            <w:r w:rsidR="00854F23">
              <w:instrText xml:space="preserve"> XE "</w:instrText>
            </w:r>
            <w:r w:rsidR="00854F23" w:rsidRPr="003066E6">
              <w:instrText>cancer:lung cancer (WA)</w:instrText>
            </w:r>
            <w:r w:rsidR="00854F23">
              <w:instrText xml:space="preserve">" </w:instrText>
            </w:r>
            <w:r w:rsidR="00854F23">
              <w:fldChar w:fldCharType="end"/>
            </w:r>
            <w:r w:rsidR="00306D40">
              <w:fldChar w:fldCharType="begin"/>
            </w:r>
            <w:r w:rsidR="00306D40">
              <w:instrText xml:space="preserve"> XE "</w:instrText>
            </w:r>
            <w:r w:rsidR="00306D40" w:rsidRPr="00D7166B">
              <w:instrText>lung cancer:WA</w:instrText>
            </w:r>
            <w:r w:rsidR="00306D40">
              <w:instrText xml:space="preserve">" </w:instrText>
            </w:r>
            <w:r w:rsidR="00306D40">
              <w:fldChar w:fldCharType="end"/>
            </w:r>
            <w:r w:rsidR="00306D40">
              <w:t xml:space="preserve">, </w:t>
            </w:r>
            <w:r w:rsidR="004F1B2B" w:rsidRPr="00D56A36">
              <w:t>or</w:t>
            </w:r>
            <w:r>
              <w:t xml:space="preserve"> </w:t>
            </w:r>
            <w:r w:rsidR="004F1B2B" w:rsidRPr="00D56A36">
              <w:t>that form of pneumoconiosis known as asbestosis.</w:t>
            </w:r>
          </w:p>
        </w:tc>
        <w:tc>
          <w:tcPr>
            <w:tcW w:w="2707" w:type="dxa"/>
            <w:shd w:val="clear" w:color="auto" w:fill="FFC9C9"/>
            <w:tcMar>
              <w:top w:w="80" w:type="dxa"/>
              <w:left w:w="80" w:type="dxa"/>
              <w:bottom w:w="80" w:type="dxa"/>
              <w:right w:w="80" w:type="dxa"/>
            </w:tcMar>
          </w:tcPr>
          <w:p w14:paraId="6E4123AA" w14:textId="77777777" w:rsidR="004F1B2B" w:rsidRPr="00D56A36" w:rsidRDefault="004F1B2B" w:rsidP="00292A53">
            <w:pPr>
              <w:pStyle w:val="lgetabletxt"/>
              <w:spacing w:after="60" w:afterAutospacing="0"/>
            </w:pPr>
            <w:r w:rsidRPr="00D56A36">
              <w:t>Waterfront workers, within the meaning of the Compensation Act, employed in or about a harbour or port area at a time when asbestos was being loaded or unloaded from a vessel or otherwise handled in that harbour or port area.</w:t>
            </w:r>
          </w:p>
        </w:tc>
        <w:tc>
          <w:tcPr>
            <w:tcW w:w="2707" w:type="dxa"/>
            <w:shd w:val="clear" w:color="auto" w:fill="FFC9C9"/>
            <w:tcMar>
              <w:top w:w="80" w:type="dxa"/>
              <w:left w:w="80" w:type="dxa"/>
              <w:bottom w:w="80" w:type="dxa"/>
              <w:right w:w="80" w:type="dxa"/>
            </w:tcMar>
          </w:tcPr>
          <w:p w14:paraId="54021E14" w14:textId="050D6C04" w:rsidR="004F1B2B" w:rsidRPr="00D56A36" w:rsidRDefault="004F1B2B" w:rsidP="00292A53">
            <w:pPr>
              <w:pStyle w:val="lgetabletxt"/>
              <w:spacing w:after="60" w:afterAutospacing="0"/>
            </w:pPr>
            <w:r w:rsidRPr="00D56A36">
              <w:t>N/A</w:t>
            </w:r>
          </w:p>
        </w:tc>
        <w:tc>
          <w:tcPr>
            <w:tcW w:w="2708" w:type="dxa"/>
            <w:shd w:val="clear" w:color="auto" w:fill="FFC9C9"/>
            <w:tcMar>
              <w:top w:w="80" w:type="dxa"/>
              <w:left w:w="80" w:type="dxa"/>
              <w:bottom w:w="80" w:type="dxa"/>
              <w:right w:w="80" w:type="dxa"/>
            </w:tcMar>
          </w:tcPr>
          <w:p w14:paraId="7048BFB4" w14:textId="4B8644F6" w:rsidR="004F1B2B" w:rsidRPr="00D56A36" w:rsidRDefault="004F1B2B" w:rsidP="00292A53">
            <w:pPr>
              <w:pStyle w:val="lgetabletxt"/>
              <w:spacing w:after="60" w:afterAutospacing="0"/>
            </w:pPr>
            <w:r w:rsidRPr="00D56A36">
              <w:t>N/A</w:t>
            </w:r>
          </w:p>
        </w:tc>
      </w:tr>
      <w:tr w:rsidR="004F1B2B" w:rsidRPr="00D56A36" w14:paraId="5B7D6B3F" w14:textId="77777777" w:rsidTr="000F44BC">
        <w:tc>
          <w:tcPr>
            <w:tcW w:w="1475" w:type="dxa"/>
          </w:tcPr>
          <w:p w14:paraId="4261D759" w14:textId="77777777" w:rsidR="004F1B2B" w:rsidRPr="00B2471E" w:rsidRDefault="004F1B2B" w:rsidP="00292A53">
            <w:pPr>
              <w:pStyle w:val="TableColumn1bold"/>
              <w:spacing w:after="60"/>
              <w:rPr>
                <w:i/>
              </w:rPr>
            </w:pPr>
            <w:r w:rsidRPr="00B2471E">
              <w:rPr>
                <w:i/>
              </w:rPr>
              <w:t>Employers’ Indemnity Supplementation Fund Act 1980</w:t>
            </w:r>
          </w:p>
        </w:tc>
        <w:tc>
          <w:tcPr>
            <w:tcW w:w="2707" w:type="dxa"/>
            <w:tcMar>
              <w:top w:w="80" w:type="dxa"/>
              <w:left w:w="80" w:type="dxa"/>
              <w:bottom w:w="80" w:type="dxa"/>
              <w:right w:w="80" w:type="dxa"/>
            </w:tcMar>
          </w:tcPr>
          <w:p w14:paraId="3E8F507E" w14:textId="05FC8957" w:rsidR="004F1B2B" w:rsidRPr="00D56A36" w:rsidRDefault="004F1B2B" w:rsidP="00292A53">
            <w:pPr>
              <w:pStyle w:val="lgetabletxt"/>
              <w:spacing w:after="60" w:afterAutospacing="0"/>
            </w:pPr>
            <w:r w:rsidRPr="00D56A36">
              <w:t>WorkCover WA</w:t>
            </w:r>
          </w:p>
        </w:tc>
        <w:tc>
          <w:tcPr>
            <w:tcW w:w="2707" w:type="dxa"/>
            <w:tcMar>
              <w:top w:w="80" w:type="dxa"/>
              <w:left w:w="80" w:type="dxa"/>
              <w:bottom w:w="80" w:type="dxa"/>
              <w:right w:w="80" w:type="dxa"/>
            </w:tcMar>
          </w:tcPr>
          <w:p w14:paraId="1B0FBF7A" w14:textId="77777777" w:rsidR="004F1B2B" w:rsidRPr="00D56A36" w:rsidRDefault="004F1B2B" w:rsidP="00292A53">
            <w:pPr>
              <w:pStyle w:val="lgetabletxt"/>
              <w:spacing w:after="60" w:afterAutospacing="0"/>
            </w:pPr>
            <w:r w:rsidRPr="00D56A36">
              <w:t>The Supplementation Fund provides for payments to injured workers in the event of the failure of an approved insurer.</w:t>
            </w:r>
          </w:p>
        </w:tc>
        <w:tc>
          <w:tcPr>
            <w:tcW w:w="2707" w:type="dxa"/>
            <w:tcMar>
              <w:top w:w="80" w:type="dxa"/>
              <w:left w:w="80" w:type="dxa"/>
              <w:bottom w:w="80" w:type="dxa"/>
              <w:right w:w="80" w:type="dxa"/>
            </w:tcMar>
          </w:tcPr>
          <w:p w14:paraId="46316CA8" w14:textId="44E4636D" w:rsidR="004F1B2B" w:rsidRPr="00D56A36" w:rsidRDefault="004F1B2B" w:rsidP="00367415">
            <w:pPr>
              <w:pStyle w:val="lgetabletxt"/>
              <w:spacing w:after="60" w:afterAutospacing="0"/>
            </w:pPr>
            <w:r w:rsidRPr="00D56A36">
              <w:t>The Supplementation Fund is funded through a levy on insurance premiums which is applied as and when required. No levy is currently in place.</w:t>
            </w:r>
          </w:p>
        </w:tc>
        <w:tc>
          <w:tcPr>
            <w:tcW w:w="2707" w:type="dxa"/>
            <w:tcMar>
              <w:top w:w="80" w:type="dxa"/>
              <w:left w:w="80" w:type="dxa"/>
              <w:bottom w:w="80" w:type="dxa"/>
              <w:right w:w="80" w:type="dxa"/>
            </w:tcMar>
          </w:tcPr>
          <w:p w14:paraId="712251DA" w14:textId="6EF59703" w:rsidR="004F1B2B" w:rsidRPr="00D56A36" w:rsidRDefault="004F1B2B" w:rsidP="00292A53">
            <w:pPr>
              <w:pStyle w:val="lgetabletxt"/>
              <w:spacing w:after="60" w:afterAutospacing="0"/>
            </w:pPr>
            <w:r w:rsidRPr="00D56A36">
              <w:t>N/A</w:t>
            </w:r>
          </w:p>
        </w:tc>
        <w:tc>
          <w:tcPr>
            <w:tcW w:w="2708" w:type="dxa"/>
            <w:tcMar>
              <w:top w:w="80" w:type="dxa"/>
              <w:left w:w="80" w:type="dxa"/>
              <w:bottom w:w="80" w:type="dxa"/>
              <w:right w:w="80" w:type="dxa"/>
            </w:tcMar>
          </w:tcPr>
          <w:p w14:paraId="4CAB1CD1" w14:textId="7910655C" w:rsidR="004F1B2B" w:rsidRPr="00D56A36" w:rsidRDefault="004F1B2B" w:rsidP="00292A53">
            <w:pPr>
              <w:pStyle w:val="lgetabletxt"/>
              <w:spacing w:after="60" w:afterAutospacing="0"/>
            </w:pPr>
            <w:r w:rsidRPr="00D56A36">
              <w:t>N/A</w:t>
            </w:r>
          </w:p>
        </w:tc>
      </w:tr>
    </w:tbl>
    <w:p w14:paraId="6C3E8738" w14:textId="4562D0FC" w:rsidR="004F1B2B" w:rsidRPr="00205CCE" w:rsidRDefault="004F1B2B" w:rsidP="00205CCE">
      <w:pPr>
        <w:pStyle w:val="SWATableheader"/>
      </w:pPr>
      <w:bookmarkStart w:id="236" w:name="_Toc504654721"/>
      <w:r w:rsidRPr="00205CCE">
        <w:lastRenderedPageBreak/>
        <w:t>Table 7.3d: Minor schemes — South Australia</w:t>
      </w:r>
      <w:bookmarkEnd w:id="236"/>
      <w:r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d: Minor schemes — South Australia  "/>
        <w:tblDescription w:val="This table provides information on minor workers' compensation schemes in the state of South Australia. "/>
      </w:tblPr>
      <w:tblGrid>
        <w:gridCol w:w="1485"/>
        <w:gridCol w:w="2706"/>
        <w:gridCol w:w="2706"/>
        <w:gridCol w:w="2706"/>
        <w:gridCol w:w="2706"/>
        <w:gridCol w:w="2706"/>
      </w:tblGrid>
      <w:tr w:rsidR="004F1B2B" w:rsidRPr="00B975BF" w14:paraId="378A093A" w14:textId="77777777" w:rsidTr="000F44BC">
        <w:trPr>
          <w:tblHeader/>
        </w:trPr>
        <w:tc>
          <w:tcPr>
            <w:tcW w:w="1485" w:type="dxa"/>
            <w:shd w:val="clear" w:color="auto" w:fill="C00000"/>
            <w:tcMar>
              <w:top w:w="0" w:type="dxa"/>
              <w:left w:w="0" w:type="dxa"/>
              <w:bottom w:w="0" w:type="dxa"/>
              <w:right w:w="0" w:type="dxa"/>
            </w:tcMar>
            <w:vAlign w:val="center"/>
          </w:tcPr>
          <w:p w14:paraId="35D66D86" w14:textId="77777777" w:rsidR="004F1B2B" w:rsidRPr="00B975BF" w:rsidRDefault="004F1B2B" w:rsidP="00292A53">
            <w:pPr>
              <w:pStyle w:val="Tableheaderrow"/>
              <w:spacing w:after="60"/>
            </w:pPr>
          </w:p>
        </w:tc>
        <w:tc>
          <w:tcPr>
            <w:tcW w:w="2706" w:type="dxa"/>
            <w:shd w:val="clear" w:color="auto" w:fill="C00000"/>
            <w:tcMar>
              <w:top w:w="0" w:type="dxa"/>
              <w:left w:w="0" w:type="dxa"/>
              <w:bottom w:w="0" w:type="dxa"/>
              <w:right w:w="0" w:type="dxa"/>
            </w:tcMar>
            <w:vAlign w:val="center"/>
          </w:tcPr>
          <w:p w14:paraId="7E348305" w14:textId="77777777" w:rsidR="004F1B2B" w:rsidRPr="00B975BF" w:rsidRDefault="004F1B2B" w:rsidP="00292A53">
            <w:pPr>
              <w:pStyle w:val="Tableheaderrow"/>
              <w:spacing w:after="60"/>
            </w:pPr>
            <w:r w:rsidRPr="00B975BF">
              <w:t>Administered by</w:t>
            </w:r>
          </w:p>
        </w:tc>
        <w:tc>
          <w:tcPr>
            <w:tcW w:w="2706" w:type="dxa"/>
            <w:shd w:val="clear" w:color="auto" w:fill="C00000"/>
            <w:tcMar>
              <w:top w:w="0" w:type="dxa"/>
              <w:left w:w="0" w:type="dxa"/>
              <w:bottom w:w="0" w:type="dxa"/>
              <w:right w:w="0" w:type="dxa"/>
            </w:tcMar>
            <w:vAlign w:val="center"/>
          </w:tcPr>
          <w:p w14:paraId="3F9352C0" w14:textId="77777777" w:rsidR="004F1B2B" w:rsidRPr="00B975BF" w:rsidRDefault="004F1B2B" w:rsidP="00292A53">
            <w:pPr>
              <w:pStyle w:val="Tableheaderrow"/>
              <w:spacing w:after="60"/>
            </w:pPr>
            <w:r w:rsidRPr="00B975BF">
              <w:t>Purpose</w:t>
            </w:r>
          </w:p>
        </w:tc>
        <w:tc>
          <w:tcPr>
            <w:tcW w:w="2706" w:type="dxa"/>
            <w:shd w:val="clear" w:color="auto" w:fill="C00000"/>
            <w:tcMar>
              <w:top w:w="0" w:type="dxa"/>
              <w:left w:w="0" w:type="dxa"/>
              <w:bottom w:w="0" w:type="dxa"/>
              <w:right w:w="0" w:type="dxa"/>
            </w:tcMar>
            <w:vAlign w:val="center"/>
          </w:tcPr>
          <w:p w14:paraId="11DA5403" w14:textId="77777777" w:rsidR="004F1B2B" w:rsidRPr="00B975BF" w:rsidRDefault="004F1B2B" w:rsidP="00292A53">
            <w:pPr>
              <w:pStyle w:val="Tableheaderrow"/>
              <w:spacing w:after="60"/>
            </w:pPr>
            <w:r w:rsidRPr="00B975BF">
              <w:t>Coverage</w:t>
            </w:r>
          </w:p>
        </w:tc>
        <w:tc>
          <w:tcPr>
            <w:tcW w:w="2706" w:type="dxa"/>
            <w:shd w:val="clear" w:color="auto" w:fill="C00000"/>
            <w:tcMar>
              <w:top w:w="0" w:type="dxa"/>
              <w:left w:w="0" w:type="dxa"/>
              <w:bottom w:w="0" w:type="dxa"/>
              <w:right w:w="0" w:type="dxa"/>
            </w:tcMar>
            <w:vAlign w:val="center"/>
          </w:tcPr>
          <w:p w14:paraId="7FD5BCC5" w14:textId="77777777" w:rsidR="004F1B2B" w:rsidRPr="00B975BF" w:rsidRDefault="004F1B2B" w:rsidP="00292A53">
            <w:pPr>
              <w:pStyle w:val="Tableheaderrow"/>
              <w:spacing w:after="60"/>
            </w:pPr>
            <w:r w:rsidRPr="00B975BF">
              <w:t>Number covered</w:t>
            </w:r>
          </w:p>
        </w:tc>
        <w:tc>
          <w:tcPr>
            <w:tcW w:w="2706" w:type="dxa"/>
            <w:shd w:val="clear" w:color="auto" w:fill="C00000"/>
            <w:tcMar>
              <w:top w:w="0" w:type="dxa"/>
              <w:left w:w="0" w:type="dxa"/>
              <w:bottom w:w="0" w:type="dxa"/>
              <w:right w:w="0" w:type="dxa"/>
            </w:tcMar>
            <w:vAlign w:val="center"/>
          </w:tcPr>
          <w:p w14:paraId="45B7CEEC" w14:textId="77777777" w:rsidR="004F1B2B" w:rsidRPr="00B975BF" w:rsidRDefault="004F1B2B" w:rsidP="00292A53">
            <w:pPr>
              <w:pStyle w:val="Tableheaderrow"/>
              <w:spacing w:after="60"/>
            </w:pPr>
            <w:r w:rsidRPr="00B975BF">
              <w:t>Basis for legislation</w:t>
            </w:r>
          </w:p>
        </w:tc>
      </w:tr>
      <w:tr w:rsidR="004F1B2B" w:rsidRPr="00D56A36" w14:paraId="57604599" w14:textId="77777777" w:rsidTr="000F44BC">
        <w:tc>
          <w:tcPr>
            <w:tcW w:w="1485" w:type="dxa"/>
            <w:shd w:val="clear" w:color="auto" w:fill="FFC9C9"/>
            <w:tcMar>
              <w:top w:w="80" w:type="dxa"/>
              <w:left w:w="80" w:type="dxa"/>
              <w:bottom w:w="80" w:type="dxa"/>
              <w:right w:w="80" w:type="dxa"/>
            </w:tcMar>
          </w:tcPr>
          <w:p w14:paraId="4590D993" w14:textId="40A75E1A" w:rsidR="004F1B2B" w:rsidRPr="00D56A36" w:rsidRDefault="004F1B2B" w:rsidP="00292A53">
            <w:pPr>
              <w:pStyle w:val="TableColumn1bold"/>
              <w:spacing w:after="60"/>
            </w:pPr>
            <w:r w:rsidRPr="007566F0">
              <w:t>Statutory reserve fund</w:t>
            </w:r>
            <w:r w:rsidR="00CA3CD4">
              <w:fldChar w:fldCharType="begin"/>
            </w:r>
            <w:r w:rsidR="00CA3CD4">
              <w:instrText xml:space="preserve"> XE "</w:instrText>
            </w:r>
            <w:r w:rsidR="00CA3CD4" w:rsidRPr="001854C8">
              <w:instrText>statutory reserve fund (South Australia)</w:instrText>
            </w:r>
            <w:r w:rsidR="00CA3CD4">
              <w:instrText xml:space="preserve">" </w:instrText>
            </w:r>
            <w:r w:rsidR="00CA3CD4">
              <w:fldChar w:fldCharType="end"/>
            </w:r>
            <w:r w:rsidRPr="007566F0">
              <w:t xml:space="preserve"> (clause 61 of schedule 9 of the RTW Act)</w:t>
            </w:r>
          </w:p>
        </w:tc>
        <w:tc>
          <w:tcPr>
            <w:tcW w:w="2706" w:type="dxa"/>
            <w:shd w:val="clear" w:color="auto" w:fill="FFC9C9"/>
            <w:tcMar>
              <w:top w:w="80" w:type="dxa"/>
              <w:left w:w="80" w:type="dxa"/>
              <w:bottom w:w="80" w:type="dxa"/>
              <w:right w:w="80" w:type="dxa"/>
            </w:tcMar>
          </w:tcPr>
          <w:p w14:paraId="60F7BEA2" w14:textId="442D7E1C" w:rsidR="004F1B2B" w:rsidRPr="00D56A36" w:rsidRDefault="00A7538C" w:rsidP="00292A53">
            <w:pPr>
              <w:pStyle w:val="lgetabletxt"/>
              <w:spacing w:after="60" w:afterAutospacing="0"/>
            </w:pPr>
            <w:hyperlink r:id="rId2178" w:history="1">
              <w:r w:rsidR="004F1B2B" w:rsidRPr="00D56A36">
                <w:rPr>
                  <w:rStyle w:val="Hyperlink"/>
                </w:rPr>
                <w:t>ReturnToWorkSA</w:t>
              </w:r>
            </w:hyperlink>
          </w:p>
        </w:tc>
        <w:tc>
          <w:tcPr>
            <w:tcW w:w="2706" w:type="dxa"/>
            <w:shd w:val="clear" w:color="auto" w:fill="FFC9C9"/>
            <w:tcMar>
              <w:top w:w="80" w:type="dxa"/>
              <w:left w:w="80" w:type="dxa"/>
              <w:bottom w:w="80" w:type="dxa"/>
              <w:right w:w="80" w:type="dxa"/>
            </w:tcMar>
          </w:tcPr>
          <w:p w14:paraId="1B592BB7" w14:textId="3B702EF2" w:rsidR="004F1B2B" w:rsidRDefault="004F1B2B" w:rsidP="00292A53">
            <w:pPr>
              <w:pStyle w:val="Tabledotpointlist7pt"/>
              <w:spacing w:after="60"/>
            </w:pPr>
            <w:r>
              <w:t xml:space="preserve">The Statutory Reserve Fund was established under the repealed </w:t>
            </w:r>
            <w:r w:rsidRPr="007239A5">
              <w:rPr>
                <w:i/>
              </w:rPr>
              <w:t>Workers’ Compensation Act 1971</w:t>
            </w:r>
            <w:r>
              <w:t xml:space="preserve"> and came into operation in 1980 against which claims relating to workers compensation liabilities could be made in the event of the insolvency of an insurance company or the insolvency of an uninsured employer. The Fund was re-established under </w:t>
            </w:r>
            <w:hyperlink r:id="rId2179" w:history="1">
              <w:r w:rsidRPr="00174650">
                <w:rPr>
                  <w:rStyle w:val="Hyperlink"/>
                </w:rPr>
                <w:t>Schedule 1</w:t>
              </w:r>
            </w:hyperlink>
            <w:r>
              <w:t xml:space="preserve">, Clause 5 of the </w:t>
            </w:r>
            <w:r w:rsidRPr="007239A5">
              <w:rPr>
                <w:i/>
              </w:rPr>
              <w:t>Worker’s Rehabilitation and Compensation Act 1986</w:t>
            </w:r>
            <w:r>
              <w:t xml:space="preserve"> and continues in its existence pursuant to clause 61 of </w:t>
            </w:r>
            <w:hyperlink r:id="rId2180" w:history="1">
              <w:r w:rsidRPr="00174650">
                <w:rPr>
                  <w:rStyle w:val="Hyperlink"/>
                </w:rPr>
                <w:t>Schedule 9</w:t>
              </w:r>
            </w:hyperlink>
            <w:r>
              <w:t xml:space="preserve"> of the </w:t>
            </w:r>
            <w:r w:rsidRPr="007566F0">
              <w:rPr>
                <w:i/>
              </w:rPr>
              <w:t>Return to Work Act</w:t>
            </w:r>
            <w:r>
              <w:t xml:space="preserve"> </w:t>
            </w:r>
            <w:r w:rsidRPr="00D41D16">
              <w:rPr>
                <w:i/>
              </w:rPr>
              <w:t>2014</w:t>
            </w:r>
            <w:r>
              <w:t>. The Fund forms a separate part of the Compensation Fund of the Return to Work Scheme.</w:t>
            </w:r>
          </w:p>
          <w:p w14:paraId="46EEBD4F" w14:textId="77777777" w:rsidR="004F1B2B" w:rsidRPr="00D56A36" w:rsidRDefault="004F1B2B" w:rsidP="00292A53">
            <w:pPr>
              <w:pStyle w:val="Tabledotpointlist7pt"/>
              <w:spacing w:after="60"/>
            </w:pPr>
            <w:r>
              <w:t>The Statutory Reserve Fund is required to meet any liability arising from a shortfall of the Insurance Assistance Fund.</w:t>
            </w:r>
          </w:p>
        </w:tc>
        <w:tc>
          <w:tcPr>
            <w:tcW w:w="2706" w:type="dxa"/>
            <w:shd w:val="clear" w:color="auto" w:fill="FFC9C9"/>
            <w:tcMar>
              <w:top w:w="80" w:type="dxa"/>
              <w:left w:w="80" w:type="dxa"/>
              <w:bottom w:w="80" w:type="dxa"/>
              <w:right w:w="80" w:type="dxa"/>
            </w:tcMar>
          </w:tcPr>
          <w:p w14:paraId="4FE15185" w14:textId="170A6622" w:rsidR="004F1B2B" w:rsidRPr="00D56A36" w:rsidRDefault="004F1B2B" w:rsidP="00292A53">
            <w:pPr>
              <w:pStyle w:val="lgetabletxt"/>
              <w:spacing w:after="60" w:afterAutospacing="0"/>
            </w:pPr>
            <w:r w:rsidRPr="00D56A36">
              <w:t>Statutory workers’ compensation benefits and liabilities at common law in respe</w:t>
            </w:r>
            <w:r w:rsidR="00367415">
              <w:t>ct of injury prior to 4.00pm 30 </w:t>
            </w:r>
            <w:r w:rsidRPr="00D56A36">
              <w:t>September 1987.</w:t>
            </w:r>
          </w:p>
        </w:tc>
        <w:tc>
          <w:tcPr>
            <w:tcW w:w="2706" w:type="dxa"/>
            <w:shd w:val="clear" w:color="auto" w:fill="FFC9C9"/>
            <w:tcMar>
              <w:top w:w="80" w:type="dxa"/>
              <w:left w:w="80" w:type="dxa"/>
              <w:bottom w:w="80" w:type="dxa"/>
              <w:right w:w="80" w:type="dxa"/>
            </w:tcMar>
          </w:tcPr>
          <w:p w14:paraId="120142A5" w14:textId="204BD828" w:rsidR="004F1B2B" w:rsidRPr="00D56A36" w:rsidRDefault="004F1B2B" w:rsidP="00292A53">
            <w:pPr>
              <w:pStyle w:val="lgetabletxt"/>
              <w:spacing w:after="60" w:afterAutospacing="0"/>
            </w:pPr>
            <w:r w:rsidRPr="00D56A36">
              <w:t>N/A</w:t>
            </w:r>
          </w:p>
        </w:tc>
        <w:tc>
          <w:tcPr>
            <w:tcW w:w="2706" w:type="dxa"/>
            <w:shd w:val="clear" w:color="auto" w:fill="FFC9C9"/>
            <w:tcMar>
              <w:top w:w="80" w:type="dxa"/>
              <w:left w:w="80" w:type="dxa"/>
              <w:bottom w:w="80" w:type="dxa"/>
              <w:right w:w="80" w:type="dxa"/>
            </w:tcMar>
          </w:tcPr>
          <w:p w14:paraId="556679EC" w14:textId="77777777" w:rsidR="004F1B2B" w:rsidRPr="00D56A36" w:rsidRDefault="004F1B2B" w:rsidP="00292A53">
            <w:pPr>
              <w:pStyle w:val="lgetabletxt"/>
              <w:spacing w:after="60" w:afterAutospacing="0"/>
            </w:pPr>
            <w:r w:rsidRPr="00D56A36">
              <w:t xml:space="preserve">To provide protection of injured workers arising under the </w:t>
            </w:r>
            <w:r w:rsidRPr="00D41D16">
              <w:rPr>
                <w:i/>
              </w:rPr>
              <w:t>Workers’ Compensation Act 1971</w:t>
            </w:r>
            <w:r w:rsidRPr="00D56A36">
              <w:t xml:space="preserve"> in the event of the insolvency of an insurance company or an uninsured employer.</w:t>
            </w:r>
          </w:p>
        </w:tc>
      </w:tr>
      <w:tr w:rsidR="004F1B2B" w:rsidRPr="00D56A36" w14:paraId="064307BE" w14:textId="77777777" w:rsidTr="000F44BC">
        <w:tc>
          <w:tcPr>
            <w:tcW w:w="1485" w:type="dxa"/>
            <w:tcMar>
              <w:top w:w="80" w:type="dxa"/>
              <w:left w:w="80" w:type="dxa"/>
              <w:bottom w:w="80" w:type="dxa"/>
              <w:right w:w="80" w:type="dxa"/>
            </w:tcMar>
          </w:tcPr>
          <w:p w14:paraId="235AE9E2" w14:textId="79512148" w:rsidR="004F1B2B" w:rsidRPr="00D56A36" w:rsidRDefault="004F1B2B" w:rsidP="00292A53">
            <w:pPr>
              <w:pStyle w:val="TableColumn1bold"/>
              <w:spacing w:after="60"/>
            </w:pPr>
            <w:r w:rsidRPr="007566F0">
              <w:t>Insurance assistance fund</w:t>
            </w:r>
            <w:r w:rsidR="005E71F1">
              <w:fldChar w:fldCharType="begin"/>
            </w:r>
            <w:r w:rsidR="005E71F1">
              <w:instrText xml:space="preserve"> XE "</w:instrText>
            </w:r>
            <w:r w:rsidR="005E71F1" w:rsidRPr="001854C8">
              <w:instrText>Insurance Assistance Fund (South Australia)</w:instrText>
            </w:r>
            <w:r w:rsidR="005E71F1">
              <w:instrText xml:space="preserve">" </w:instrText>
            </w:r>
            <w:r w:rsidR="005E71F1">
              <w:fldChar w:fldCharType="end"/>
            </w:r>
            <w:r w:rsidRPr="007566F0">
              <w:t xml:space="preserve"> (clause</w:t>
            </w:r>
            <w:r w:rsidR="00DD0D68">
              <w:t xml:space="preserve"> </w:t>
            </w:r>
            <w:r w:rsidRPr="007566F0">
              <w:t>62 of schedule 9 of the RTW Act)</w:t>
            </w:r>
          </w:p>
        </w:tc>
        <w:tc>
          <w:tcPr>
            <w:tcW w:w="2706" w:type="dxa"/>
            <w:tcMar>
              <w:top w:w="80" w:type="dxa"/>
              <w:left w:w="80" w:type="dxa"/>
              <w:bottom w:w="80" w:type="dxa"/>
              <w:right w:w="80" w:type="dxa"/>
            </w:tcMar>
          </w:tcPr>
          <w:p w14:paraId="71CB3AC5" w14:textId="18B04429" w:rsidR="004F1B2B" w:rsidRPr="00D56A36" w:rsidRDefault="00A7538C" w:rsidP="00292A53">
            <w:pPr>
              <w:pStyle w:val="lgetabletxt"/>
              <w:spacing w:after="60" w:afterAutospacing="0"/>
            </w:pPr>
            <w:hyperlink r:id="rId2181" w:history="1">
              <w:r w:rsidR="004F1B2B" w:rsidRPr="00D56A36">
                <w:rPr>
                  <w:rStyle w:val="Hyperlink"/>
                </w:rPr>
                <w:t>ReturnToWorkSA</w:t>
              </w:r>
            </w:hyperlink>
          </w:p>
        </w:tc>
        <w:tc>
          <w:tcPr>
            <w:tcW w:w="2706" w:type="dxa"/>
            <w:tcMar>
              <w:top w:w="80" w:type="dxa"/>
              <w:left w:w="80" w:type="dxa"/>
              <w:bottom w:w="80" w:type="dxa"/>
              <w:right w:w="80" w:type="dxa"/>
            </w:tcMar>
          </w:tcPr>
          <w:p w14:paraId="1C9A9633" w14:textId="77777777" w:rsidR="004F1B2B" w:rsidRDefault="004F1B2B" w:rsidP="00292A53">
            <w:pPr>
              <w:pStyle w:val="Tabledotpointlist7pt"/>
              <w:spacing w:after="60"/>
            </w:pPr>
            <w:r>
              <w:t>The Insurance Assistance Fund continues to be held as a separate part of the Compensation Fund.</w:t>
            </w:r>
          </w:p>
          <w:p w14:paraId="7180D51A" w14:textId="2B640333" w:rsidR="004F1B2B" w:rsidRPr="00D56A36" w:rsidRDefault="004F1B2B" w:rsidP="00292A53">
            <w:pPr>
              <w:pStyle w:val="Tabledotpointlist7pt"/>
              <w:spacing w:after="60"/>
            </w:pPr>
            <w:r>
              <w:t xml:space="preserve">The Insurance Assistance Fund was established under </w:t>
            </w:r>
            <w:hyperlink r:id="rId2182" w:history="1">
              <w:r w:rsidRPr="00B14B4E">
                <w:rPr>
                  <w:rStyle w:val="Hyperlink"/>
                </w:rPr>
                <w:t>Schedule 1</w:t>
              </w:r>
            </w:hyperlink>
            <w:r>
              <w:t xml:space="preserve"> Clause 5A of the </w:t>
            </w:r>
            <w:r w:rsidRPr="007239A5">
              <w:rPr>
                <w:i/>
              </w:rPr>
              <w:t>Workers Rehabilitation and Compensation Act 1986</w:t>
            </w:r>
            <w:r>
              <w:t xml:space="preserve"> and continues in its existence pursuant to clause 62 of </w:t>
            </w:r>
            <w:hyperlink r:id="rId2183" w:history="1">
              <w:r w:rsidRPr="00B14B4E">
                <w:rPr>
                  <w:rStyle w:val="Hyperlink"/>
                </w:rPr>
                <w:t>Schedule 9</w:t>
              </w:r>
            </w:hyperlink>
            <w:r>
              <w:t xml:space="preserve"> of the </w:t>
            </w:r>
            <w:r w:rsidRPr="007239A5">
              <w:rPr>
                <w:i/>
              </w:rPr>
              <w:t>Return to Work Act 2014</w:t>
            </w:r>
            <w:r>
              <w:t xml:space="preserve">. The Fund supports policies issued under s118g of the repealed </w:t>
            </w:r>
            <w:r w:rsidRPr="007239A5">
              <w:rPr>
                <w:i/>
              </w:rPr>
              <w:t>Workers’ Compensation Act 1971</w:t>
            </w:r>
            <w:r>
              <w:t>. As 118g policy relates to a policy of workers’ compensation insurance issued by the State Government Insurance Commission as insurer of last resort at a determined premium</w:t>
            </w:r>
          </w:p>
        </w:tc>
        <w:tc>
          <w:tcPr>
            <w:tcW w:w="2706" w:type="dxa"/>
            <w:tcMar>
              <w:top w:w="80" w:type="dxa"/>
              <w:left w:w="80" w:type="dxa"/>
              <w:bottom w:w="80" w:type="dxa"/>
              <w:right w:w="80" w:type="dxa"/>
            </w:tcMar>
          </w:tcPr>
          <w:p w14:paraId="767C3796" w14:textId="6834CF68" w:rsidR="004F1B2B" w:rsidRPr="00D56A36" w:rsidRDefault="004F1B2B" w:rsidP="00292A53">
            <w:pPr>
              <w:pStyle w:val="lgetabletxt"/>
              <w:spacing w:after="60" w:afterAutospacing="0"/>
            </w:pPr>
            <w:r w:rsidRPr="00D56A36">
              <w:t>Statutory workers</w:t>
            </w:r>
            <w:r w:rsidR="00FA2384">
              <w:t>’</w:t>
            </w:r>
            <w:r w:rsidRPr="00D56A36">
              <w:t xml:space="preserve"> compensation benefits and liabilities at common law in respect of inju</w:t>
            </w:r>
            <w:r w:rsidR="00367415">
              <w:t>ry prior to 4.00pm 30 September </w:t>
            </w:r>
            <w:r w:rsidRPr="00D56A36">
              <w:t>1987.</w:t>
            </w:r>
          </w:p>
        </w:tc>
        <w:tc>
          <w:tcPr>
            <w:tcW w:w="2706" w:type="dxa"/>
            <w:tcMar>
              <w:top w:w="80" w:type="dxa"/>
              <w:left w:w="80" w:type="dxa"/>
              <w:bottom w:w="80" w:type="dxa"/>
              <w:right w:w="80" w:type="dxa"/>
            </w:tcMar>
          </w:tcPr>
          <w:p w14:paraId="166D5A20" w14:textId="3D339344" w:rsidR="004F1B2B" w:rsidRPr="00D56A36" w:rsidRDefault="004F1B2B" w:rsidP="00292A53">
            <w:pPr>
              <w:pStyle w:val="lgetabletxt"/>
              <w:spacing w:after="60" w:afterAutospacing="0"/>
            </w:pPr>
            <w:r w:rsidRPr="00D56A36">
              <w:t>N/A</w:t>
            </w:r>
          </w:p>
        </w:tc>
        <w:tc>
          <w:tcPr>
            <w:tcW w:w="2706" w:type="dxa"/>
            <w:tcMar>
              <w:top w:w="80" w:type="dxa"/>
              <w:left w:w="80" w:type="dxa"/>
              <w:bottom w:w="80" w:type="dxa"/>
              <w:right w:w="80" w:type="dxa"/>
            </w:tcMar>
          </w:tcPr>
          <w:p w14:paraId="7C272F00" w14:textId="47918BFB" w:rsidR="004F1B2B" w:rsidRPr="00D56A36" w:rsidRDefault="004F1B2B" w:rsidP="00292A53">
            <w:pPr>
              <w:pStyle w:val="lgetabletxt"/>
              <w:spacing w:after="60" w:afterAutospacing="0"/>
            </w:pPr>
            <w:r w:rsidRPr="00D56A36">
              <w:t xml:space="preserve">To provide assistance to an employer to meet its obligation to be insured under the repealed </w:t>
            </w:r>
            <w:r w:rsidRPr="007239A5">
              <w:rPr>
                <w:i/>
              </w:rPr>
              <w:t>Workers’ Compensation Act 1971</w:t>
            </w:r>
            <w:r w:rsidRPr="00D56A36">
              <w:t xml:space="preserve"> in cases where an employer was unable to obtain satisfactory workers</w:t>
            </w:r>
            <w:r w:rsidR="00FA2384">
              <w:t>’</w:t>
            </w:r>
            <w:r w:rsidRPr="00D56A36">
              <w:t xml:space="preserve"> compensation insurance from within the open insurance market. </w:t>
            </w:r>
          </w:p>
        </w:tc>
      </w:tr>
    </w:tbl>
    <w:p w14:paraId="044A2061" w14:textId="77777777" w:rsidR="00B975BF" w:rsidRPr="00205CCE" w:rsidRDefault="00B975BF" w:rsidP="00205CCE">
      <w:pPr>
        <w:pStyle w:val="SWATableheader"/>
      </w:pPr>
      <w:bookmarkStart w:id="237" w:name="_Toc504654722"/>
      <w:r w:rsidRPr="00205CCE">
        <w:lastRenderedPageBreak/>
        <w:t>Table 7.3e: Minor schemes — Tasmania</w:t>
      </w:r>
      <w:bookmarkEnd w:id="237"/>
      <w:r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e: Minor schemes — Tasmania  "/>
        <w:tblDescription w:val="This table provides information on minor workers' compensation schemes in the state of Tasmania. "/>
      </w:tblPr>
      <w:tblGrid>
        <w:gridCol w:w="1485"/>
        <w:gridCol w:w="2706"/>
        <w:gridCol w:w="2706"/>
        <w:gridCol w:w="2706"/>
        <w:gridCol w:w="2706"/>
        <w:gridCol w:w="2706"/>
      </w:tblGrid>
      <w:tr w:rsidR="00B975BF" w:rsidRPr="00B975BF" w14:paraId="0CE08EA9" w14:textId="77777777" w:rsidTr="000F44BC">
        <w:trPr>
          <w:tblHeader/>
        </w:trPr>
        <w:tc>
          <w:tcPr>
            <w:tcW w:w="1485" w:type="dxa"/>
            <w:shd w:val="clear" w:color="auto" w:fill="C00000"/>
            <w:tcMar>
              <w:top w:w="0" w:type="dxa"/>
              <w:left w:w="0" w:type="dxa"/>
              <w:bottom w:w="0" w:type="dxa"/>
              <w:right w:w="0" w:type="dxa"/>
            </w:tcMar>
            <w:vAlign w:val="center"/>
          </w:tcPr>
          <w:p w14:paraId="2AC8D11A" w14:textId="77777777" w:rsidR="00B975BF" w:rsidRPr="00B975BF" w:rsidRDefault="00B975BF" w:rsidP="00292A53">
            <w:pPr>
              <w:pStyle w:val="Tableheaderrow"/>
              <w:spacing w:after="60"/>
            </w:pPr>
          </w:p>
        </w:tc>
        <w:tc>
          <w:tcPr>
            <w:tcW w:w="2706" w:type="dxa"/>
            <w:shd w:val="clear" w:color="auto" w:fill="C00000"/>
            <w:tcMar>
              <w:top w:w="0" w:type="dxa"/>
              <w:left w:w="0" w:type="dxa"/>
              <w:bottom w:w="0" w:type="dxa"/>
              <w:right w:w="0" w:type="dxa"/>
            </w:tcMar>
            <w:vAlign w:val="center"/>
          </w:tcPr>
          <w:p w14:paraId="750A9E32" w14:textId="77777777" w:rsidR="00B975BF" w:rsidRPr="00B975BF" w:rsidRDefault="00B975BF" w:rsidP="00292A53">
            <w:pPr>
              <w:pStyle w:val="Tableheaderrow"/>
              <w:spacing w:after="60"/>
            </w:pPr>
            <w:r w:rsidRPr="00B975BF">
              <w:t>Administered by</w:t>
            </w:r>
          </w:p>
        </w:tc>
        <w:tc>
          <w:tcPr>
            <w:tcW w:w="2706" w:type="dxa"/>
            <w:shd w:val="clear" w:color="auto" w:fill="C00000"/>
            <w:tcMar>
              <w:top w:w="0" w:type="dxa"/>
              <w:left w:w="0" w:type="dxa"/>
              <w:bottom w:w="0" w:type="dxa"/>
              <w:right w:w="0" w:type="dxa"/>
            </w:tcMar>
            <w:vAlign w:val="center"/>
          </w:tcPr>
          <w:p w14:paraId="3363D681" w14:textId="77777777" w:rsidR="00B975BF" w:rsidRPr="00B975BF" w:rsidRDefault="00B975BF" w:rsidP="00292A53">
            <w:pPr>
              <w:pStyle w:val="Tableheaderrow"/>
              <w:spacing w:after="60"/>
            </w:pPr>
            <w:r w:rsidRPr="00B975BF">
              <w:t>Purpose</w:t>
            </w:r>
          </w:p>
        </w:tc>
        <w:tc>
          <w:tcPr>
            <w:tcW w:w="2706" w:type="dxa"/>
            <w:shd w:val="clear" w:color="auto" w:fill="C00000"/>
            <w:tcMar>
              <w:top w:w="0" w:type="dxa"/>
              <w:left w:w="0" w:type="dxa"/>
              <w:bottom w:w="0" w:type="dxa"/>
              <w:right w:w="0" w:type="dxa"/>
            </w:tcMar>
            <w:vAlign w:val="center"/>
          </w:tcPr>
          <w:p w14:paraId="1828F3E6" w14:textId="77777777" w:rsidR="00B975BF" w:rsidRPr="00B975BF" w:rsidRDefault="00B975BF" w:rsidP="00292A53">
            <w:pPr>
              <w:pStyle w:val="Tableheaderrow"/>
              <w:spacing w:after="60"/>
            </w:pPr>
            <w:r w:rsidRPr="00B975BF">
              <w:t>Coverage</w:t>
            </w:r>
          </w:p>
        </w:tc>
        <w:tc>
          <w:tcPr>
            <w:tcW w:w="2706" w:type="dxa"/>
            <w:shd w:val="clear" w:color="auto" w:fill="C00000"/>
            <w:tcMar>
              <w:top w:w="0" w:type="dxa"/>
              <w:left w:w="0" w:type="dxa"/>
              <w:bottom w:w="0" w:type="dxa"/>
              <w:right w:w="0" w:type="dxa"/>
            </w:tcMar>
            <w:vAlign w:val="center"/>
          </w:tcPr>
          <w:p w14:paraId="76217AA5" w14:textId="77777777" w:rsidR="00B975BF" w:rsidRPr="00B975BF" w:rsidRDefault="00B975BF" w:rsidP="00292A53">
            <w:pPr>
              <w:pStyle w:val="Tableheaderrow"/>
              <w:spacing w:after="60"/>
            </w:pPr>
            <w:r w:rsidRPr="00B975BF">
              <w:t>Number covered</w:t>
            </w:r>
          </w:p>
        </w:tc>
        <w:tc>
          <w:tcPr>
            <w:tcW w:w="2706" w:type="dxa"/>
            <w:shd w:val="clear" w:color="auto" w:fill="C00000"/>
            <w:tcMar>
              <w:top w:w="0" w:type="dxa"/>
              <w:left w:w="0" w:type="dxa"/>
              <w:bottom w:w="0" w:type="dxa"/>
              <w:right w:w="0" w:type="dxa"/>
            </w:tcMar>
            <w:vAlign w:val="center"/>
          </w:tcPr>
          <w:p w14:paraId="7D6AFFB4" w14:textId="77777777" w:rsidR="00B975BF" w:rsidRPr="00B975BF" w:rsidRDefault="00B975BF" w:rsidP="00292A53">
            <w:pPr>
              <w:pStyle w:val="Tableheaderrow"/>
              <w:spacing w:after="60"/>
            </w:pPr>
            <w:r w:rsidRPr="00B975BF">
              <w:t>Basis for legislation</w:t>
            </w:r>
          </w:p>
        </w:tc>
      </w:tr>
      <w:tr w:rsidR="00B975BF" w:rsidRPr="00D56A36" w14:paraId="51AD5A89" w14:textId="77777777" w:rsidTr="000F44BC">
        <w:tc>
          <w:tcPr>
            <w:tcW w:w="1485" w:type="dxa"/>
            <w:shd w:val="clear" w:color="auto" w:fill="FFC9C9"/>
            <w:tcMar>
              <w:top w:w="80" w:type="dxa"/>
              <w:left w:w="80" w:type="dxa"/>
              <w:bottom w:w="80" w:type="dxa"/>
              <w:right w:w="80" w:type="dxa"/>
            </w:tcMar>
          </w:tcPr>
          <w:p w14:paraId="1DCD9D06" w14:textId="5B44BC8A" w:rsidR="00B975BF" w:rsidRPr="00B2471E" w:rsidRDefault="00B975BF" w:rsidP="00292A53">
            <w:pPr>
              <w:pStyle w:val="TableColumn1bold"/>
              <w:spacing w:after="60"/>
              <w:rPr>
                <w:i/>
              </w:rPr>
            </w:pPr>
            <w:r w:rsidRPr="00B2471E">
              <w:rPr>
                <w:i/>
              </w:rPr>
              <w:t>Asbestos-related Diseases</w:t>
            </w:r>
            <w:r w:rsidR="00584ACD" w:rsidRPr="00B2471E">
              <w:rPr>
                <w:i/>
              </w:rPr>
              <w:fldChar w:fldCharType="begin"/>
            </w:r>
            <w:r w:rsidR="00584ACD" w:rsidRPr="00B2471E">
              <w:rPr>
                <w:i/>
              </w:rPr>
              <w:instrText xml:space="preserve"> XE "Asbestos</w:instrText>
            </w:r>
            <w:r w:rsidR="00C9227A" w:rsidRPr="00B2471E">
              <w:rPr>
                <w:i/>
              </w:rPr>
              <w:instrText xml:space="preserve"> </w:instrText>
            </w:r>
            <w:r w:rsidR="00584ACD" w:rsidRPr="00B2471E">
              <w:rPr>
                <w:i/>
              </w:rPr>
              <w:instrText xml:space="preserve">related Diseases" </w:instrText>
            </w:r>
            <w:r w:rsidR="00584ACD" w:rsidRPr="00B2471E">
              <w:rPr>
                <w:i/>
              </w:rPr>
              <w:fldChar w:fldCharType="end"/>
            </w:r>
            <w:r w:rsidRPr="00B2471E">
              <w:rPr>
                <w:i/>
              </w:rPr>
              <w:t xml:space="preserve"> (Occupational Exposure) Compensation Act 2011</w:t>
            </w:r>
          </w:p>
        </w:tc>
        <w:tc>
          <w:tcPr>
            <w:tcW w:w="2706" w:type="dxa"/>
            <w:shd w:val="clear" w:color="auto" w:fill="FFC9C9"/>
            <w:tcMar>
              <w:top w:w="80" w:type="dxa"/>
              <w:left w:w="80" w:type="dxa"/>
              <w:bottom w:w="80" w:type="dxa"/>
              <w:right w:w="80" w:type="dxa"/>
            </w:tcMar>
          </w:tcPr>
          <w:p w14:paraId="740DA86C" w14:textId="7EA55E48" w:rsidR="00B975BF" w:rsidRPr="00D56A36" w:rsidRDefault="00B975BF" w:rsidP="00292A53">
            <w:pPr>
              <w:pStyle w:val="lgetabletxt"/>
              <w:spacing w:after="60" w:afterAutospacing="0"/>
            </w:pPr>
            <w:r w:rsidRPr="00D56A36">
              <w:t>Department of Justice</w:t>
            </w:r>
          </w:p>
        </w:tc>
        <w:tc>
          <w:tcPr>
            <w:tcW w:w="2706" w:type="dxa"/>
            <w:shd w:val="clear" w:color="auto" w:fill="FFC9C9"/>
            <w:tcMar>
              <w:top w:w="80" w:type="dxa"/>
              <w:left w:w="80" w:type="dxa"/>
              <w:bottom w:w="80" w:type="dxa"/>
              <w:right w:w="80" w:type="dxa"/>
            </w:tcMar>
          </w:tcPr>
          <w:p w14:paraId="4B032EBF" w14:textId="77777777" w:rsidR="00B975BF" w:rsidRPr="00D56A36" w:rsidRDefault="00B975BF" w:rsidP="00292A53">
            <w:pPr>
              <w:pStyle w:val="lgetabletxt"/>
              <w:spacing w:after="60" w:afterAutospacing="0"/>
            </w:pPr>
            <w:r w:rsidRPr="00D56A36">
              <w:t>This Act establishes a scheme for the payment of compensation to workers who contract asbestos related diseases</w:t>
            </w:r>
            <w:r w:rsidR="006270B3" w:rsidRPr="006270B3">
              <w:rPr>
                <w:lang w:val="en-AU"/>
              </w:rPr>
              <w:fldChar w:fldCharType="begin"/>
            </w:r>
            <w:r w:rsidR="006270B3" w:rsidRPr="006270B3">
              <w:rPr>
                <w:lang w:val="en-AU"/>
              </w:rPr>
              <w:instrText xml:space="preserve"> XE "Asbestos Related Diseases" </w:instrText>
            </w:r>
            <w:r w:rsidR="006270B3" w:rsidRPr="006270B3">
              <w:rPr>
                <w:lang w:val="en-AU"/>
              </w:rPr>
              <w:fldChar w:fldCharType="end"/>
            </w:r>
            <w:r w:rsidRPr="00D56A36">
              <w:t xml:space="preserve"> in the course of their employment.</w:t>
            </w:r>
          </w:p>
        </w:tc>
        <w:tc>
          <w:tcPr>
            <w:tcW w:w="2706" w:type="dxa"/>
            <w:shd w:val="clear" w:color="auto" w:fill="FFC9C9"/>
            <w:tcMar>
              <w:top w:w="80" w:type="dxa"/>
              <w:left w:w="80" w:type="dxa"/>
              <w:bottom w:w="80" w:type="dxa"/>
              <w:right w:w="80" w:type="dxa"/>
            </w:tcMar>
          </w:tcPr>
          <w:p w14:paraId="5425246F" w14:textId="77777777" w:rsidR="00B975BF" w:rsidRPr="00D56A36" w:rsidRDefault="00B975BF" w:rsidP="00292A53">
            <w:pPr>
              <w:pStyle w:val="lgetabletxt"/>
              <w:spacing w:after="60" w:afterAutospacing="0"/>
            </w:pPr>
            <w:r w:rsidRPr="00D56A36">
              <w:t>Claimants who are or were workers as defined by the Act and who have suffered a compensable disease.</w:t>
            </w:r>
          </w:p>
        </w:tc>
        <w:tc>
          <w:tcPr>
            <w:tcW w:w="2706" w:type="dxa"/>
            <w:shd w:val="clear" w:color="auto" w:fill="FFC9C9"/>
            <w:tcMar>
              <w:top w:w="80" w:type="dxa"/>
              <w:left w:w="80" w:type="dxa"/>
              <w:bottom w:w="80" w:type="dxa"/>
              <w:right w:w="80" w:type="dxa"/>
            </w:tcMar>
          </w:tcPr>
          <w:p w14:paraId="2FF3A85E" w14:textId="291EF468" w:rsidR="00B975BF" w:rsidRPr="00D56A36" w:rsidRDefault="00B975BF" w:rsidP="00292A53">
            <w:pPr>
              <w:pStyle w:val="lgetabletxt"/>
              <w:spacing w:after="60" w:afterAutospacing="0"/>
            </w:pPr>
            <w:r w:rsidRPr="00D56A36">
              <w:t>N/A</w:t>
            </w:r>
          </w:p>
        </w:tc>
        <w:tc>
          <w:tcPr>
            <w:tcW w:w="2706" w:type="dxa"/>
            <w:shd w:val="clear" w:color="auto" w:fill="FFC9C9"/>
            <w:tcMar>
              <w:top w:w="80" w:type="dxa"/>
              <w:left w:w="80" w:type="dxa"/>
              <w:bottom w:w="80" w:type="dxa"/>
              <w:right w:w="80" w:type="dxa"/>
            </w:tcMar>
          </w:tcPr>
          <w:p w14:paraId="318EE329" w14:textId="23930430" w:rsidR="00B975BF" w:rsidRPr="00D56A36" w:rsidRDefault="00B975BF" w:rsidP="00292A53">
            <w:pPr>
              <w:pStyle w:val="lgetabletxt"/>
              <w:spacing w:after="60" w:afterAutospacing="0"/>
            </w:pPr>
            <w:r w:rsidRPr="00D56A36">
              <w:t>N/A</w:t>
            </w:r>
          </w:p>
        </w:tc>
      </w:tr>
    </w:tbl>
    <w:p w14:paraId="1F49AEAC" w14:textId="77777777" w:rsidR="00E96F8C" w:rsidRPr="00205CCE" w:rsidRDefault="00E96F8C" w:rsidP="00205CCE">
      <w:pPr>
        <w:pStyle w:val="SWATableheader"/>
      </w:pPr>
      <w:bookmarkStart w:id="238" w:name="_Toc504654723"/>
      <w:r w:rsidRPr="00205CCE">
        <w:lastRenderedPageBreak/>
        <w:t>Table 7.3f: Minor schemes — Commonwealth</w:t>
      </w:r>
      <w:bookmarkEnd w:id="238"/>
      <w:r w:rsidRPr="00205CCE">
        <w:t xml:space="preserve"> </w:t>
      </w:r>
    </w:p>
    <w:tbl>
      <w:tblPr>
        <w:tblpPr w:leftFromText="180" w:rightFromText="180" w:vertAnchor="text"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f: Minor schemes — Commonwealth  "/>
        <w:tblDescription w:val="This table provides information about minor workers' compensation schemes as part of the Commonwealth of Australia. "/>
      </w:tblPr>
      <w:tblGrid>
        <w:gridCol w:w="1565"/>
        <w:gridCol w:w="2706"/>
        <w:gridCol w:w="2706"/>
        <w:gridCol w:w="2706"/>
        <w:gridCol w:w="2706"/>
        <w:gridCol w:w="2706"/>
      </w:tblGrid>
      <w:tr w:rsidR="00E96F8C" w:rsidRPr="004D1388" w14:paraId="56899356" w14:textId="77777777" w:rsidTr="000F44BC">
        <w:trPr>
          <w:tblHeader/>
        </w:trPr>
        <w:tc>
          <w:tcPr>
            <w:tcW w:w="1565" w:type="dxa"/>
            <w:shd w:val="clear" w:color="auto" w:fill="C00000"/>
            <w:tcMar>
              <w:top w:w="0" w:type="dxa"/>
              <w:left w:w="0" w:type="dxa"/>
              <w:bottom w:w="0" w:type="dxa"/>
              <w:right w:w="0" w:type="dxa"/>
            </w:tcMar>
            <w:vAlign w:val="center"/>
          </w:tcPr>
          <w:p w14:paraId="68BEC53D" w14:textId="77777777" w:rsidR="00E96F8C" w:rsidRPr="00E96F8C" w:rsidRDefault="00E96F8C" w:rsidP="00292A53">
            <w:pPr>
              <w:pStyle w:val="Tableheaderrow"/>
              <w:spacing w:after="60"/>
            </w:pPr>
          </w:p>
        </w:tc>
        <w:tc>
          <w:tcPr>
            <w:tcW w:w="2706" w:type="dxa"/>
            <w:shd w:val="clear" w:color="auto" w:fill="C00000"/>
            <w:tcMar>
              <w:top w:w="0" w:type="dxa"/>
              <w:left w:w="0" w:type="dxa"/>
              <w:bottom w:w="0" w:type="dxa"/>
              <w:right w:w="0" w:type="dxa"/>
            </w:tcMar>
            <w:vAlign w:val="center"/>
          </w:tcPr>
          <w:p w14:paraId="79A19D4F" w14:textId="77777777" w:rsidR="00E96F8C" w:rsidRPr="00E96F8C" w:rsidRDefault="00E96F8C" w:rsidP="00292A53">
            <w:pPr>
              <w:pStyle w:val="Tableheaderrow"/>
              <w:spacing w:after="60"/>
            </w:pPr>
            <w:r w:rsidRPr="00E96F8C">
              <w:t>Administered by</w:t>
            </w:r>
          </w:p>
        </w:tc>
        <w:tc>
          <w:tcPr>
            <w:tcW w:w="2706" w:type="dxa"/>
            <w:shd w:val="clear" w:color="auto" w:fill="C00000"/>
            <w:tcMar>
              <w:top w:w="0" w:type="dxa"/>
              <w:left w:w="0" w:type="dxa"/>
              <w:bottom w:w="0" w:type="dxa"/>
              <w:right w:w="0" w:type="dxa"/>
            </w:tcMar>
            <w:vAlign w:val="center"/>
          </w:tcPr>
          <w:p w14:paraId="481CCBF8" w14:textId="77777777" w:rsidR="00E96F8C" w:rsidRPr="00E96F8C" w:rsidRDefault="00E96F8C" w:rsidP="00292A53">
            <w:pPr>
              <w:pStyle w:val="Tableheaderrow"/>
              <w:spacing w:after="60"/>
            </w:pPr>
            <w:r w:rsidRPr="00E96F8C">
              <w:t>Purpose</w:t>
            </w:r>
          </w:p>
        </w:tc>
        <w:tc>
          <w:tcPr>
            <w:tcW w:w="2706" w:type="dxa"/>
            <w:shd w:val="clear" w:color="auto" w:fill="C00000"/>
            <w:tcMar>
              <w:top w:w="0" w:type="dxa"/>
              <w:left w:w="0" w:type="dxa"/>
              <w:bottom w:w="0" w:type="dxa"/>
              <w:right w:w="0" w:type="dxa"/>
            </w:tcMar>
            <w:vAlign w:val="center"/>
          </w:tcPr>
          <w:p w14:paraId="13C9D512" w14:textId="77777777" w:rsidR="00E96F8C" w:rsidRPr="00E96F8C" w:rsidRDefault="00E96F8C" w:rsidP="00292A53">
            <w:pPr>
              <w:pStyle w:val="Tableheaderrow"/>
              <w:spacing w:after="60"/>
            </w:pPr>
            <w:r w:rsidRPr="00E96F8C">
              <w:t>Coverage</w:t>
            </w:r>
          </w:p>
        </w:tc>
        <w:tc>
          <w:tcPr>
            <w:tcW w:w="2706" w:type="dxa"/>
            <w:shd w:val="clear" w:color="auto" w:fill="C00000"/>
            <w:tcMar>
              <w:top w:w="0" w:type="dxa"/>
              <w:left w:w="0" w:type="dxa"/>
              <w:bottom w:w="0" w:type="dxa"/>
              <w:right w:w="0" w:type="dxa"/>
            </w:tcMar>
            <w:vAlign w:val="center"/>
          </w:tcPr>
          <w:p w14:paraId="40FFBD33" w14:textId="77777777" w:rsidR="00E96F8C" w:rsidRPr="00E96F8C" w:rsidRDefault="00E96F8C" w:rsidP="00292A53">
            <w:pPr>
              <w:pStyle w:val="Tableheaderrow"/>
              <w:spacing w:after="60"/>
            </w:pPr>
            <w:r w:rsidRPr="00E96F8C">
              <w:t>Number covered</w:t>
            </w:r>
          </w:p>
        </w:tc>
        <w:tc>
          <w:tcPr>
            <w:tcW w:w="2706" w:type="dxa"/>
            <w:shd w:val="clear" w:color="auto" w:fill="C00000"/>
            <w:tcMar>
              <w:top w:w="0" w:type="dxa"/>
              <w:left w:w="0" w:type="dxa"/>
              <w:bottom w:w="0" w:type="dxa"/>
              <w:right w:w="0" w:type="dxa"/>
            </w:tcMar>
            <w:vAlign w:val="center"/>
          </w:tcPr>
          <w:p w14:paraId="2E0A2711" w14:textId="77777777" w:rsidR="00E96F8C" w:rsidRPr="00E96F8C" w:rsidRDefault="00E96F8C" w:rsidP="00292A53">
            <w:pPr>
              <w:pStyle w:val="Tableheaderrow"/>
              <w:spacing w:after="60"/>
            </w:pPr>
            <w:r w:rsidRPr="00E96F8C">
              <w:t>Basis for legislation</w:t>
            </w:r>
          </w:p>
        </w:tc>
      </w:tr>
      <w:tr w:rsidR="00E96F8C" w:rsidRPr="004D1388" w14:paraId="27314F4C" w14:textId="77777777" w:rsidTr="000F44BC">
        <w:tc>
          <w:tcPr>
            <w:tcW w:w="1565" w:type="dxa"/>
            <w:shd w:val="clear" w:color="auto" w:fill="FFC9C9"/>
            <w:tcMar>
              <w:top w:w="80" w:type="dxa"/>
              <w:left w:w="80" w:type="dxa"/>
              <w:bottom w:w="80" w:type="dxa"/>
              <w:right w:w="80" w:type="dxa"/>
            </w:tcMar>
          </w:tcPr>
          <w:p w14:paraId="76E6341D" w14:textId="66713AA7" w:rsidR="00E96F8C" w:rsidRPr="004D1388" w:rsidRDefault="00E96F8C" w:rsidP="00292A53">
            <w:pPr>
              <w:pStyle w:val="TableColumn1bold"/>
              <w:spacing w:after="60"/>
            </w:pPr>
            <w:r w:rsidRPr="004D1388">
              <w:t xml:space="preserve">Administrative scheme for the purposes of compensating persons present at British nuclear test </w:t>
            </w:r>
            <w:r w:rsidR="00854F23">
              <w:fldChar w:fldCharType="begin"/>
            </w:r>
            <w:r w:rsidR="00854F23">
              <w:instrText xml:space="preserve"> XE "</w:instrText>
            </w:r>
            <w:r w:rsidR="00854F23" w:rsidRPr="00154439">
              <w:instrText>British nuclear tests</w:instrText>
            </w:r>
            <w:r w:rsidR="00854F23">
              <w:instrText xml:space="preserve">" </w:instrText>
            </w:r>
            <w:r w:rsidR="00854F23">
              <w:fldChar w:fldCharType="end"/>
            </w:r>
            <w:r w:rsidRPr="004D1388">
              <w:t>sites in Australia</w:t>
            </w:r>
          </w:p>
        </w:tc>
        <w:tc>
          <w:tcPr>
            <w:tcW w:w="2706" w:type="dxa"/>
            <w:shd w:val="clear" w:color="auto" w:fill="FFC9C9"/>
            <w:tcMar>
              <w:top w:w="80" w:type="dxa"/>
              <w:left w:w="80" w:type="dxa"/>
              <w:bottom w:w="80" w:type="dxa"/>
              <w:right w:w="80" w:type="dxa"/>
            </w:tcMar>
          </w:tcPr>
          <w:p w14:paraId="786A2F9F" w14:textId="2E3EFE7F" w:rsidR="00E96F8C" w:rsidRPr="004D1388" w:rsidRDefault="00E96F8C" w:rsidP="00292A53">
            <w:pPr>
              <w:pStyle w:val="lgetabletxt"/>
              <w:spacing w:after="60" w:afterAutospacing="0"/>
            </w:pPr>
            <w:r w:rsidRPr="004D1388">
              <w:t>Department of Employment</w:t>
            </w:r>
          </w:p>
        </w:tc>
        <w:tc>
          <w:tcPr>
            <w:tcW w:w="2706" w:type="dxa"/>
            <w:shd w:val="clear" w:color="auto" w:fill="FFC9C9"/>
            <w:tcMar>
              <w:top w:w="80" w:type="dxa"/>
              <w:left w:w="80" w:type="dxa"/>
              <w:bottom w:w="80" w:type="dxa"/>
              <w:right w:w="80" w:type="dxa"/>
            </w:tcMar>
          </w:tcPr>
          <w:p w14:paraId="1CB1E6F7" w14:textId="1892199C" w:rsidR="00E96F8C" w:rsidRPr="004D1388" w:rsidRDefault="00E96F8C" w:rsidP="00292A53">
            <w:pPr>
              <w:pStyle w:val="lgetabletxt"/>
              <w:spacing w:after="60" w:afterAutospacing="0"/>
            </w:pPr>
            <w:r w:rsidRPr="004D1388">
              <w:t>To compensate those persons who can establish that they were in the region of the tests at the time of the testing, who sustained an injury or a disease which can be demonstrated to have arisen as a result of exposure to radiation</w:t>
            </w:r>
            <w:r w:rsidR="00E566A9">
              <w:fldChar w:fldCharType="begin"/>
            </w:r>
            <w:r w:rsidR="00E566A9">
              <w:instrText xml:space="preserve"> XE "</w:instrText>
            </w:r>
            <w:r w:rsidR="00E566A9" w:rsidRPr="001854C8">
              <w:instrText>radiation exposure</w:instrText>
            </w:r>
            <w:r w:rsidR="00E566A9">
              <w:instrText xml:space="preserve">" </w:instrText>
            </w:r>
            <w:r w:rsidR="00E566A9">
              <w:fldChar w:fldCharType="end"/>
            </w:r>
            <w:r w:rsidRPr="004D1388">
              <w:t>, etc. emanating from the British Nuclear Tests in the 1950s and 1960s. This scheme was formed by Executive Government in 1986.</w:t>
            </w:r>
          </w:p>
        </w:tc>
        <w:tc>
          <w:tcPr>
            <w:tcW w:w="2706" w:type="dxa"/>
            <w:shd w:val="clear" w:color="auto" w:fill="FFC9C9"/>
            <w:tcMar>
              <w:top w:w="80" w:type="dxa"/>
              <w:left w:w="80" w:type="dxa"/>
              <w:bottom w:w="80" w:type="dxa"/>
              <w:right w:w="80" w:type="dxa"/>
            </w:tcMar>
          </w:tcPr>
          <w:p w14:paraId="6FF6637A" w14:textId="77777777" w:rsidR="00E96F8C" w:rsidRPr="004D1388" w:rsidRDefault="00E96F8C" w:rsidP="00292A53">
            <w:pPr>
              <w:pStyle w:val="lgetabletxt"/>
              <w:spacing w:after="60" w:afterAutospacing="0"/>
            </w:pPr>
            <w:r w:rsidRPr="004D1388">
              <w:t>Non-Commonwealth employees, pastoralists and indigenous persons who were present at or near the test sites at the time of the testing in the 1950’s and early 1960’s are covered under the scheme.</w:t>
            </w:r>
          </w:p>
        </w:tc>
        <w:tc>
          <w:tcPr>
            <w:tcW w:w="2706" w:type="dxa"/>
            <w:shd w:val="clear" w:color="auto" w:fill="FFC9C9"/>
            <w:tcMar>
              <w:top w:w="80" w:type="dxa"/>
              <w:left w:w="80" w:type="dxa"/>
              <w:bottom w:w="80" w:type="dxa"/>
              <w:right w:w="80" w:type="dxa"/>
            </w:tcMar>
          </w:tcPr>
          <w:p w14:paraId="5A531FAD" w14:textId="5A146713" w:rsidR="00E96F8C" w:rsidRPr="004D1388" w:rsidRDefault="00E96F8C" w:rsidP="00292A53">
            <w:pPr>
              <w:pStyle w:val="lgetabletxt"/>
              <w:spacing w:after="60" w:afterAutospacing="0"/>
            </w:pPr>
            <w:r w:rsidRPr="004D1388">
              <w:t>N/A</w:t>
            </w:r>
          </w:p>
        </w:tc>
        <w:tc>
          <w:tcPr>
            <w:tcW w:w="2706" w:type="dxa"/>
            <w:shd w:val="clear" w:color="auto" w:fill="FFC9C9"/>
            <w:tcMar>
              <w:top w:w="80" w:type="dxa"/>
              <w:left w:w="80" w:type="dxa"/>
              <w:bottom w:w="80" w:type="dxa"/>
              <w:right w:w="80" w:type="dxa"/>
            </w:tcMar>
          </w:tcPr>
          <w:p w14:paraId="41F32077" w14:textId="77777777" w:rsidR="00E96F8C" w:rsidRPr="004D1388" w:rsidRDefault="00E96F8C" w:rsidP="00292A53">
            <w:pPr>
              <w:pStyle w:val="lgetabletxt"/>
              <w:spacing w:after="60" w:afterAutospacing="0"/>
            </w:pPr>
            <w:r w:rsidRPr="004D1388">
              <w:t>As there is no legislative basis to the scheme, any determination of a claim involves an exercise of the Government’s executive power. There is no right of appeal, although claimants may seek common law redress against the Government. The scheme references Commonwealth workers’ compensation legislation to determine the types and quantum of benefits paid under the scheme.</w:t>
            </w:r>
          </w:p>
        </w:tc>
      </w:tr>
      <w:tr w:rsidR="00E96F8C" w:rsidRPr="004D1388" w14:paraId="14913EA8" w14:textId="77777777" w:rsidTr="000F44BC">
        <w:tc>
          <w:tcPr>
            <w:tcW w:w="1565" w:type="dxa"/>
            <w:tcMar>
              <w:top w:w="80" w:type="dxa"/>
              <w:left w:w="80" w:type="dxa"/>
              <w:bottom w:w="80" w:type="dxa"/>
              <w:right w:w="80" w:type="dxa"/>
            </w:tcMar>
          </w:tcPr>
          <w:p w14:paraId="29BBD6D3" w14:textId="77777777" w:rsidR="00E96F8C" w:rsidRPr="004D1388" w:rsidRDefault="00E96F8C" w:rsidP="00292A53">
            <w:pPr>
              <w:pStyle w:val="TableColumn1bold"/>
              <w:spacing w:after="60"/>
            </w:pPr>
            <w:r w:rsidRPr="004D1388">
              <w:t>Scheme for the payment of special compensation for injury in exceptional circumstances</w:t>
            </w:r>
          </w:p>
        </w:tc>
        <w:tc>
          <w:tcPr>
            <w:tcW w:w="2706" w:type="dxa"/>
            <w:tcMar>
              <w:top w:w="80" w:type="dxa"/>
              <w:left w:w="80" w:type="dxa"/>
              <w:bottom w:w="80" w:type="dxa"/>
              <w:right w:w="80" w:type="dxa"/>
            </w:tcMar>
          </w:tcPr>
          <w:p w14:paraId="262D29AE" w14:textId="68054BEF" w:rsidR="00E96F8C" w:rsidRPr="004D1388" w:rsidRDefault="00E96F8C" w:rsidP="00292A53">
            <w:pPr>
              <w:pStyle w:val="lgetabletxt"/>
              <w:spacing w:after="60" w:afterAutospacing="0"/>
            </w:pPr>
            <w:r w:rsidRPr="004D1388">
              <w:t>Department of Employment</w:t>
            </w:r>
          </w:p>
        </w:tc>
        <w:tc>
          <w:tcPr>
            <w:tcW w:w="2706" w:type="dxa"/>
            <w:tcMar>
              <w:top w:w="80" w:type="dxa"/>
              <w:left w:w="80" w:type="dxa"/>
              <w:bottom w:w="80" w:type="dxa"/>
              <w:right w:w="80" w:type="dxa"/>
            </w:tcMar>
          </w:tcPr>
          <w:p w14:paraId="2DA4C790" w14:textId="77777777" w:rsidR="00E96F8C" w:rsidRPr="004D1388" w:rsidRDefault="00E96F8C" w:rsidP="00292A53">
            <w:pPr>
              <w:pStyle w:val="lgetabletxt"/>
              <w:spacing w:after="60" w:afterAutospacing="0"/>
            </w:pPr>
            <w:r w:rsidRPr="004D1388">
              <w:t>To compensate those persons (listed below) who suffer injuries or contract diseases, under exceptional circumstances, such as injuries which arise a result of actual or threatened acts of violence because the claimant was identified with the Australian Government. It also provides compensation for diseases contracted because of changes in the person’s environment arising out of their connection with the Government, who would not have incurred such injuries or diseases but for the claimant’s connection with the Australian Government — and for which they have no claim for compensation under a statutory scheme. This scheme was formed by Executive Government in 1986.</w:t>
            </w:r>
          </w:p>
        </w:tc>
        <w:tc>
          <w:tcPr>
            <w:tcW w:w="2706" w:type="dxa"/>
            <w:tcMar>
              <w:top w:w="80" w:type="dxa"/>
              <w:left w:w="80" w:type="dxa"/>
              <w:bottom w:w="80" w:type="dxa"/>
              <w:right w:w="80" w:type="dxa"/>
            </w:tcMar>
          </w:tcPr>
          <w:p w14:paraId="2588A081" w14:textId="0ABCE758" w:rsidR="00E96F8C" w:rsidRPr="004D1388" w:rsidRDefault="00E96F8C" w:rsidP="00292A53">
            <w:pPr>
              <w:pStyle w:val="lgetabletxt"/>
              <w:spacing w:after="60" w:afterAutospacing="0"/>
            </w:pPr>
            <w:r w:rsidRPr="004D1388">
              <w:t xml:space="preserve">The Special Compensation Scheme </w:t>
            </w:r>
            <w:r w:rsidR="007E7520">
              <w:fldChar w:fldCharType="begin"/>
            </w:r>
            <w:r w:rsidR="007E7520">
              <w:instrText xml:space="preserve"> XE "</w:instrText>
            </w:r>
            <w:r w:rsidR="007E7520" w:rsidRPr="00A5394E">
              <w:instrText>special compensation scheme:(Commonwealth)</w:instrText>
            </w:r>
            <w:r w:rsidR="007E7520">
              <w:instrText xml:space="preserve">" </w:instrText>
            </w:r>
            <w:r w:rsidR="007E7520">
              <w:fldChar w:fldCharType="end"/>
            </w:r>
            <w:r w:rsidRPr="004D1388">
              <w:t>provides compensation to Commonwealth government employees and/or their dependants, Commonwealth contractors, people undertaking actions at the direction of the Commonwealth and judges</w:t>
            </w:r>
            <w:r w:rsidR="00C461E1">
              <w:fldChar w:fldCharType="begin"/>
            </w:r>
            <w:r w:rsidR="00C461E1">
              <w:instrText xml:space="preserve"> XE "</w:instrText>
            </w:r>
            <w:r w:rsidR="00C461E1" w:rsidRPr="0063546E">
              <w:rPr>
                <w:rFonts w:eastAsia="Calibri"/>
              </w:rPr>
              <w:instrText>judges</w:instrText>
            </w:r>
            <w:r w:rsidR="00C461E1">
              <w:instrText xml:space="preserve">" </w:instrText>
            </w:r>
            <w:r w:rsidR="00C461E1">
              <w:fldChar w:fldCharType="end"/>
            </w:r>
            <w:r w:rsidRPr="004D1388">
              <w:t>.</w:t>
            </w:r>
          </w:p>
        </w:tc>
        <w:tc>
          <w:tcPr>
            <w:tcW w:w="2706" w:type="dxa"/>
            <w:tcMar>
              <w:top w:w="80" w:type="dxa"/>
              <w:left w:w="80" w:type="dxa"/>
              <w:bottom w:w="80" w:type="dxa"/>
              <w:right w:w="80" w:type="dxa"/>
            </w:tcMar>
          </w:tcPr>
          <w:p w14:paraId="05822964" w14:textId="5BC3223C" w:rsidR="00E96F8C" w:rsidRPr="004D1388" w:rsidRDefault="00E96F8C" w:rsidP="00292A53">
            <w:pPr>
              <w:pStyle w:val="lgetabletxt"/>
              <w:spacing w:after="60" w:afterAutospacing="0"/>
            </w:pPr>
            <w:r w:rsidRPr="004D1388">
              <w:t>N/A</w:t>
            </w:r>
          </w:p>
        </w:tc>
        <w:tc>
          <w:tcPr>
            <w:tcW w:w="2706" w:type="dxa"/>
            <w:tcMar>
              <w:top w:w="80" w:type="dxa"/>
              <w:left w:w="80" w:type="dxa"/>
              <w:bottom w:w="80" w:type="dxa"/>
              <w:right w:w="80" w:type="dxa"/>
            </w:tcMar>
          </w:tcPr>
          <w:p w14:paraId="6D7AA177" w14:textId="77777777" w:rsidR="00E96F8C" w:rsidRPr="004D1388" w:rsidRDefault="00E96F8C" w:rsidP="00292A53">
            <w:pPr>
              <w:pStyle w:val="lgetabletxt"/>
              <w:spacing w:after="60" w:afterAutospacing="0"/>
            </w:pPr>
            <w:r w:rsidRPr="004D1388">
              <w:t>As there is no legislative basis to the scheme, any determination of a claim involves an exercise of the Government’s executive power. There is no right of appeal although claimants may seek common law redress against the Government. The scheme references Commonwealth workers’ compensation legislation to determine the types and quantum of benefits paid under the scheme.</w:t>
            </w:r>
          </w:p>
        </w:tc>
      </w:tr>
      <w:tr w:rsidR="00E96F8C" w:rsidRPr="004D1388" w14:paraId="2E1D606C" w14:textId="77777777" w:rsidTr="000F44BC">
        <w:tc>
          <w:tcPr>
            <w:tcW w:w="1565" w:type="dxa"/>
            <w:shd w:val="clear" w:color="auto" w:fill="FFC9C9"/>
            <w:tcMar>
              <w:top w:w="80" w:type="dxa"/>
              <w:left w:w="80" w:type="dxa"/>
              <w:bottom w:w="80" w:type="dxa"/>
              <w:right w:w="80" w:type="dxa"/>
            </w:tcMar>
          </w:tcPr>
          <w:p w14:paraId="231D6037" w14:textId="77777777" w:rsidR="00E96F8C" w:rsidRPr="00E20FA6" w:rsidRDefault="00E96F8C" w:rsidP="00292A53">
            <w:pPr>
              <w:pStyle w:val="TableColumn1bold"/>
              <w:spacing w:after="60"/>
              <w:rPr>
                <w:i/>
              </w:rPr>
            </w:pPr>
            <w:r w:rsidRPr="00E20FA6">
              <w:rPr>
                <w:i/>
              </w:rPr>
              <w:t>Asbestos related claims (management of Commonwealth liabilities) Act 2005</w:t>
            </w:r>
          </w:p>
        </w:tc>
        <w:tc>
          <w:tcPr>
            <w:tcW w:w="2706" w:type="dxa"/>
            <w:shd w:val="clear" w:color="auto" w:fill="FFC9C9"/>
            <w:tcMar>
              <w:top w:w="80" w:type="dxa"/>
              <w:left w:w="80" w:type="dxa"/>
              <w:bottom w:w="80" w:type="dxa"/>
              <w:right w:w="80" w:type="dxa"/>
            </w:tcMar>
          </w:tcPr>
          <w:p w14:paraId="727B4420" w14:textId="41B60C7A" w:rsidR="00E96F8C" w:rsidRPr="004D1388" w:rsidRDefault="00A7538C" w:rsidP="00292A53">
            <w:pPr>
              <w:pStyle w:val="lgetabletxt"/>
              <w:spacing w:after="60" w:afterAutospacing="0"/>
            </w:pPr>
            <w:hyperlink r:id="rId2184" w:history="1">
              <w:r w:rsidR="00E96F8C" w:rsidRPr="004D1388">
                <w:rPr>
                  <w:rStyle w:val="Hyperlink"/>
                </w:rPr>
                <w:t>Comcare</w:t>
              </w:r>
            </w:hyperlink>
          </w:p>
        </w:tc>
        <w:tc>
          <w:tcPr>
            <w:tcW w:w="2706" w:type="dxa"/>
            <w:shd w:val="clear" w:color="auto" w:fill="FFC9C9"/>
            <w:tcMar>
              <w:top w:w="80" w:type="dxa"/>
              <w:left w:w="80" w:type="dxa"/>
              <w:bottom w:w="80" w:type="dxa"/>
              <w:right w:w="80" w:type="dxa"/>
            </w:tcMar>
          </w:tcPr>
          <w:p w14:paraId="7DF17B1A" w14:textId="24083B51" w:rsidR="00E96F8C" w:rsidRPr="004D1388" w:rsidRDefault="00E96F8C" w:rsidP="00A662E7">
            <w:pPr>
              <w:pStyle w:val="lgetabletxt"/>
              <w:spacing w:after="60" w:afterAutospacing="0"/>
            </w:pPr>
            <w:r w:rsidRPr="004D1388">
              <w:t>Manages the Commonwealth’s asbestos</w:t>
            </w:r>
            <w:r w:rsidR="00367415">
              <w:t xml:space="preserve"> </w:t>
            </w:r>
            <w:r w:rsidRPr="004D1388">
              <w:t>related claims liabilities for claims made outside the</w:t>
            </w:r>
            <w:r w:rsidR="00A4295A" w:rsidRPr="00016069">
              <w:rPr>
                <w:i/>
              </w:rPr>
              <w:t xml:space="preserve"> Safety, Rehabilitation and Compensation Act 1988</w:t>
            </w:r>
            <w:r w:rsidRPr="004D1388">
              <w:t xml:space="preserve"> and </w:t>
            </w:r>
            <w:r w:rsidR="00A4295A">
              <w:rPr>
                <w:i/>
              </w:rPr>
              <w:t>Military Rehabilitation and Compensation Act 2004</w:t>
            </w:r>
            <w:r w:rsidRPr="004D1388">
              <w:t>.</w:t>
            </w:r>
          </w:p>
        </w:tc>
        <w:tc>
          <w:tcPr>
            <w:tcW w:w="2706" w:type="dxa"/>
            <w:shd w:val="clear" w:color="auto" w:fill="FFC9C9"/>
            <w:tcMar>
              <w:top w:w="80" w:type="dxa"/>
              <w:left w:w="80" w:type="dxa"/>
              <w:bottom w:w="80" w:type="dxa"/>
              <w:right w:w="80" w:type="dxa"/>
            </w:tcMar>
          </w:tcPr>
          <w:p w14:paraId="340CA1D6" w14:textId="565BAFA6" w:rsidR="00E96F8C" w:rsidRPr="004D1388" w:rsidRDefault="00E96F8C" w:rsidP="00292A53">
            <w:pPr>
              <w:pStyle w:val="lgetabletxt"/>
              <w:spacing w:after="60" w:afterAutospacing="0"/>
            </w:pPr>
            <w:r w:rsidRPr="004D1388">
              <w:t>Claimants with asbestos-related conditions such as asbestosis, an asbestos-induced carcinoma, an asbestos-related non-malignant pleural disease, mesothelioma</w:t>
            </w:r>
            <w:r w:rsidR="003B3E5B">
              <w:fldChar w:fldCharType="begin"/>
            </w:r>
            <w:r w:rsidR="003B3E5B">
              <w:instrText xml:space="preserve"> XE "</w:instrText>
            </w:r>
            <w:r w:rsidR="003B3E5B" w:rsidRPr="00FD2BD8">
              <w:instrText>mesothelioma:(</w:instrText>
            </w:r>
            <w:r w:rsidR="003B3E5B">
              <w:instrText>Commonwealth) see also asbestos-</w:instrText>
            </w:r>
            <w:r w:rsidR="003B3E5B" w:rsidRPr="00FD2BD8">
              <w:instrText>related diseases</w:instrText>
            </w:r>
            <w:r w:rsidR="003B3E5B">
              <w:instrText xml:space="preserve">" </w:instrText>
            </w:r>
            <w:r w:rsidR="003B3E5B">
              <w:fldChar w:fldCharType="end"/>
            </w:r>
            <w:r w:rsidRPr="004D1388">
              <w:t xml:space="preserve"> etc.</w:t>
            </w:r>
          </w:p>
        </w:tc>
        <w:tc>
          <w:tcPr>
            <w:tcW w:w="2706" w:type="dxa"/>
            <w:shd w:val="clear" w:color="auto" w:fill="FFC9C9"/>
            <w:tcMar>
              <w:top w:w="80" w:type="dxa"/>
              <w:left w:w="80" w:type="dxa"/>
              <w:bottom w:w="80" w:type="dxa"/>
              <w:right w:w="80" w:type="dxa"/>
            </w:tcMar>
          </w:tcPr>
          <w:p w14:paraId="63A95F4A" w14:textId="10FDDD65" w:rsidR="00E96F8C" w:rsidRPr="004D1388" w:rsidRDefault="00E96F8C" w:rsidP="006443D2">
            <w:pPr>
              <w:pStyle w:val="lgetabletxt"/>
              <w:spacing w:after="60" w:afterAutospacing="0"/>
            </w:pPr>
            <w:r w:rsidRPr="004D1388">
              <w:t xml:space="preserve">There were </w:t>
            </w:r>
            <w:r w:rsidR="006443D2">
              <w:t>126</w:t>
            </w:r>
            <w:r w:rsidRPr="004D1388">
              <w:t xml:space="preserve"> open claims be</w:t>
            </w:r>
            <w:r>
              <w:t xml:space="preserve">ing managed at 30 September </w:t>
            </w:r>
            <w:r w:rsidR="006443D2">
              <w:t>2017</w:t>
            </w:r>
            <w:r w:rsidRPr="004D1388">
              <w:t>.</w:t>
            </w:r>
          </w:p>
        </w:tc>
        <w:tc>
          <w:tcPr>
            <w:tcW w:w="2706" w:type="dxa"/>
            <w:shd w:val="clear" w:color="auto" w:fill="FFC9C9"/>
            <w:tcMar>
              <w:top w:w="80" w:type="dxa"/>
              <w:left w:w="80" w:type="dxa"/>
              <w:bottom w:w="80" w:type="dxa"/>
              <w:right w:w="80" w:type="dxa"/>
            </w:tcMar>
          </w:tcPr>
          <w:p w14:paraId="73B97DD6" w14:textId="77777777" w:rsidR="00E96F8C" w:rsidRPr="004D1388" w:rsidRDefault="00E96F8C" w:rsidP="00292A53">
            <w:pPr>
              <w:pStyle w:val="lgetabletxt"/>
              <w:spacing w:after="60" w:afterAutospacing="0"/>
            </w:pPr>
            <w:r w:rsidRPr="004D1388">
              <w:t>A focal point for the Commonwealth to manage its asbestos liabilities.</w:t>
            </w:r>
          </w:p>
        </w:tc>
      </w:tr>
      <w:tr w:rsidR="00E96F8C" w:rsidRPr="004D1388" w14:paraId="0663C1C6" w14:textId="77777777" w:rsidTr="000F44BC">
        <w:tc>
          <w:tcPr>
            <w:tcW w:w="1565" w:type="dxa"/>
            <w:tcMar>
              <w:top w:w="80" w:type="dxa"/>
              <w:left w:w="80" w:type="dxa"/>
              <w:bottom w:w="80" w:type="dxa"/>
              <w:right w:w="80" w:type="dxa"/>
            </w:tcMar>
          </w:tcPr>
          <w:p w14:paraId="3808D571" w14:textId="357D0D59" w:rsidR="00E96F8C" w:rsidRPr="00666A4F" w:rsidRDefault="00E96F8C" w:rsidP="00292A53">
            <w:pPr>
              <w:pStyle w:val="TableColumn1bold"/>
              <w:spacing w:after="60"/>
            </w:pPr>
            <w:r w:rsidRPr="00666A4F">
              <w:rPr>
                <w:i/>
              </w:rPr>
              <w:t>Veterans’ Entitlements Act 1986</w:t>
            </w:r>
            <w:r w:rsidR="00666A4F">
              <w:rPr>
                <w:i/>
              </w:rPr>
              <w:t xml:space="preserve"> </w:t>
            </w:r>
            <w:r w:rsidR="00666A4F" w:rsidRPr="00666A4F">
              <w:t>(VEA)</w:t>
            </w:r>
          </w:p>
        </w:tc>
        <w:tc>
          <w:tcPr>
            <w:tcW w:w="2706" w:type="dxa"/>
            <w:tcMar>
              <w:top w:w="80" w:type="dxa"/>
              <w:left w:w="80" w:type="dxa"/>
              <w:bottom w:w="80" w:type="dxa"/>
              <w:right w:w="80" w:type="dxa"/>
            </w:tcMar>
          </w:tcPr>
          <w:p w14:paraId="45F13175" w14:textId="44B6C1AE" w:rsidR="00E96F8C" w:rsidRPr="004D1388" w:rsidRDefault="00E96F8C" w:rsidP="00292A53">
            <w:pPr>
              <w:pStyle w:val="lgetabletxt"/>
              <w:spacing w:after="60" w:afterAutospacing="0"/>
            </w:pPr>
            <w:r w:rsidRPr="004D1388">
              <w:t>Department of Veterans’ Affairs</w:t>
            </w:r>
          </w:p>
        </w:tc>
        <w:tc>
          <w:tcPr>
            <w:tcW w:w="2706" w:type="dxa"/>
            <w:tcMar>
              <w:top w:w="80" w:type="dxa"/>
              <w:left w:w="80" w:type="dxa"/>
              <w:bottom w:w="80" w:type="dxa"/>
              <w:right w:w="80" w:type="dxa"/>
            </w:tcMar>
          </w:tcPr>
          <w:p w14:paraId="51033470" w14:textId="77777777" w:rsidR="00E96F8C" w:rsidRPr="004D1388" w:rsidRDefault="00E96F8C" w:rsidP="00292A53">
            <w:pPr>
              <w:pStyle w:val="lgetabletxt"/>
              <w:spacing w:after="60" w:afterAutospacing="0"/>
            </w:pPr>
            <w:r w:rsidRPr="004D1388">
              <w:t>Provides entitlements to compensation and rehabilitation for members and former members of the Australian Defence Force injured in the course of their duties.</w:t>
            </w:r>
          </w:p>
          <w:p w14:paraId="02FF8BDA" w14:textId="77777777" w:rsidR="00E96F8C" w:rsidRPr="004D1388" w:rsidRDefault="00E96F8C" w:rsidP="00292A53">
            <w:pPr>
              <w:pStyle w:val="lgetabletxt"/>
              <w:spacing w:after="60" w:afterAutospacing="0"/>
            </w:pPr>
            <w:r w:rsidRPr="004D1388">
              <w:t>Injury, disease or death related to the following service:</w:t>
            </w:r>
          </w:p>
          <w:p w14:paraId="20A4D189" w14:textId="77777777" w:rsidR="00E96F8C" w:rsidRPr="004D1388" w:rsidRDefault="00E96F8C" w:rsidP="00292A53">
            <w:pPr>
              <w:pStyle w:val="Tabledotpointlist7pt"/>
              <w:spacing w:after="60"/>
            </w:pPr>
            <w:r w:rsidRPr="004D1388">
              <w:t xml:space="preserve">peacetime service (after completion of three-year qualifying period) — from 7 December 1972 </w:t>
            </w:r>
            <w:r w:rsidRPr="004D1388">
              <w:lastRenderedPageBreak/>
              <w:t>to 6 April 1994. Members who enlisted before 22 May 1986 and who served continuously until after 6 April 1994 are also covered for service after that date</w:t>
            </w:r>
          </w:p>
          <w:p w14:paraId="6E07361B" w14:textId="6F684805" w:rsidR="00E96F8C" w:rsidRPr="004D1388" w:rsidRDefault="00E96F8C" w:rsidP="00292A53">
            <w:pPr>
              <w:pStyle w:val="Tabledotpointlist7pt"/>
              <w:spacing w:after="60"/>
            </w:pPr>
            <w:r w:rsidRPr="004D1388">
              <w:t>all periods of operational service, peacekeeping service</w:t>
            </w:r>
            <w:r w:rsidR="00A95C3B">
              <w:fldChar w:fldCharType="begin"/>
            </w:r>
            <w:r w:rsidR="00A95C3B">
              <w:instrText xml:space="preserve"> XE "</w:instrText>
            </w:r>
            <w:r w:rsidR="00A95C3B" w:rsidRPr="001854C8">
              <w:instrText>peacekeeping service</w:instrText>
            </w:r>
            <w:r w:rsidR="00A95C3B">
              <w:instrText xml:space="preserve">" </w:instrText>
            </w:r>
            <w:r w:rsidR="00A95C3B">
              <w:fldChar w:fldCharType="end"/>
            </w:r>
            <w:r w:rsidRPr="004D1388">
              <w:t xml:space="preserve"> and hazardous service to 30 June 2004, and</w:t>
            </w:r>
          </w:p>
          <w:p w14:paraId="25B3A9A3" w14:textId="77777777" w:rsidR="00E96F8C" w:rsidRPr="004D1388" w:rsidRDefault="00E96F8C" w:rsidP="00292A53">
            <w:pPr>
              <w:pStyle w:val="Tabledotpointlist7pt"/>
              <w:spacing w:after="60"/>
            </w:pPr>
            <w:r w:rsidRPr="004D1388">
              <w:t>war-like operations (for example in East Timor) and non war-like operations to 30 June 2004.</w:t>
            </w:r>
          </w:p>
        </w:tc>
        <w:tc>
          <w:tcPr>
            <w:tcW w:w="2706" w:type="dxa"/>
            <w:tcMar>
              <w:top w:w="80" w:type="dxa"/>
              <w:left w:w="80" w:type="dxa"/>
              <w:bottom w:w="80" w:type="dxa"/>
              <w:right w:w="80" w:type="dxa"/>
            </w:tcMar>
          </w:tcPr>
          <w:p w14:paraId="787FA78E" w14:textId="77777777" w:rsidR="00E96F8C" w:rsidRPr="004D1388" w:rsidRDefault="00E96F8C" w:rsidP="00292A53">
            <w:pPr>
              <w:pStyle w:val="lgetabletxt"/>
              <w:spacing w:after="60" w:afterAutospacing="0"/>
            </w:pPr>
            <w:r w:rsidRPr="004D1388">
              <w:lastRenderedPageBreak/>
              <w:t>To be eligible for compensation payments under the VEA a person must first qualify as a ‘veteran’, a ‘member of the Forces’ or a ‘member of a Peacekeeping Force’. Certain civilians also have access to the VEA.</w:t>
            </w:r>
          </w:p>
          <w:p w14:paraId="544BEE84" w14:textId="77777777" w:rsidR="00E96F8C" w:rsidRPr="004D1388" w:rsidRDefault="00E96F8C" w:rsidP="00292A53">
            <w:pPr>
              <w:pStyle w:val="lgetabletxt"/>
              <w:spacing w:after="60" w:afterAutospacing="0"/>
            </w:pPr>
            <w:r w:rsidRPr="004D1388">
              <w:t xml:space="preserve">A member who had not completed the three-year qualifying period before 7 April 1994 is not covered under the VEA, unless he/she was medically discharged </w:t>
            </w:r>
            <w:r w:rsidRPr="004D1388">
              <w:lastRenderedPageBreak/>
              <w:t>within that time.</w:t>
            </w:r>
          </w:p>
        </w:tc>
        <w:tc>
          <w:tcPr>
            <w:tcW w:w="2706" w:type="dxa"/>
            <w:tcMar>
              <w:top w:w="80" w:type="dxa"/>
              <w:left w:w="80" w:type="dxa"/>
              <w:bottom w:w="80" w:type="dxa"/>
              <w:right w:w="80" w:type="dxa"/>
            </w:tcMar>
          </w:tcPr>
          <w:p w14:paraId="000A2895" w14:textId="0B688B5A" w:rsidR="00E96F8C" w:rsidRPr="004D1388" w:rsidRDefault="00A7538C" w:rsidP="00292A53">
            <w:pPr>
              <w:pStyle w:val="lgetabletxt"/>
              <w:spacing w:after="60" w:afterAutospacing="0"/>
            </w:pPr>
            <w:hyperlink r:id="rId2185" w:history="1">
              <w:r w:rsidR="00E96F8C" w:rsidRPr="004D1388">
                <w:rPr>
                  <w:rStyle w:val="Hyperlink"/>
                </w:rPr>
                <w:t>Statistics about the veteran population</w:t>
              </w:r>
            </w:hyperlink>
          </w:p>
        </w:tc>
        <w:tc>
          <w:tcPr>
            <w:tcW w:w="2706" w:type="dxa"/>
            <w:tcMar>
              <w:top w:w="80" w:type="dxa"/>
              <w:left w:w="80" w:type="dxa"/>
              <w:bottom w:w="80" w:type="dxa"/>
              <w:right w:w="80" w:type="dxa"/>
            </w:tcMar>
          </w:tcPr>
          <w:p w14:paraId="20C37B73" w14:textId="77777777" w:rsidR="00E96F8C" w:rsidRPr="004D1388" w:rsidRDefault="00E96F8C" w:rsidP="00292A53">
            <w:pPr>
              <w:pStyle w:val="lgetabletxt"/>
              <w:spacing w:after="60" w:afterAutospacing="0"/>
            </w:pPr>
            <w:r w:rsidRPr="004D1388">
              <w:t>Eligible veterans, serving and former defence force members, their war widows and widowers and dependants have access to: appropriate compensation and income support in recognition of the effects of war and defence service, and; to health and other care services that promote and maintain self-sufficience, well-being and quality of life.</w:t>
            </w:r>
          </w:p>
        </w:tc>
      </w:tr>
    </w:tbl>
    <w:p w14:paraId="64A7D867" w14:textId="7D5A45BD" w:rsidR="00E96F8C" w:rsidRPr="00205CCE" w:rsidRDefault="00C709C9" w:rsidP="00205CCE">
      <w:pPr>
        <w:pStyle w:val="SWATableheader"/>
      </w:pPr>
      <w:bookmarkStart w:id="239" w:name="_Toc504654724"/>
      <w:r w:rsidRPr="00205CCE">
        <w:lastRenderedPageBreak/>
        <w:t xml:space="preserve">Table </w:t>
      </w:r>
      <w:r w:rsidR="00E96F8C" w:rsidRPr="00205CCE">
        <w:t>7.3g: Minor schemes — New Zealand</w:t>
      </w:r>
      <w:bookmarkEnd w:id="239"/>
      <w:r w:rsidR="00E96F8C"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g: Minor schemes — New Zealand  "/>
        <w:tblDescription w:val="This table provides information about minor workers' compensation in New Zealand. "/>
      </w:tblPr>
      <w:tblGrid>
        <w:gridCol w:w="1485"/>
        <w:gridCol w:w="2706"/>
        <w:gridCol w:w="2706"/>
        <w:gridCol w:w="2706"/>
        <w:gridCol w:w="2706"/>
        <w:gridCol w:w="2706"/>
      </w:tblGrid>
      <w:tr w:rsidR="00E96F8C" w:rsidRPr="00E96F8C" w14:paraId="63467A54" w14:textId="77777777" w:rsidTr="00AD7528">
        <w:trPr>
          <w:trHeight w:val="396"/>
          <w:tblHeader/>
        </w:trPr>
        <w:tc>
          <w:tcPr>
            <w:tcW w:w="1485" w:type="dxa"/>
            <w:shd w:val="clear" w:color="auto" w:fill="C00000"/>
            <w:tcMar>
              <w:top w:w="0" w:type="dxa"/>
              <w:left w:w="0" w:type="dxa"/>
              <w:bottom w:w="0" w:type="dxa"/>
              <w:right w:w="0" w:type="dxa"/>
            </w:tcMar>
            <w:vAlign w:val="center"/>
          </w:tcPr>
          <w:p w14:paraId="1625E48D" w14:textId="77777777" w:rsidR="00E96F8C" w:rsidRPr="00E96F8C" w:rsidRDefault="00E96F8C" w:rsidP="00292A53">
            <w:pPr>
              <w:pStyle w:val="Tableheaderrow"/>
              <w:spacing w:after="60"/>
            </w:pPr>
          </w:p>
        </w:tc>
        <w:tc>
          <w:tcPr>
            <w:tcW w:w="2706" w:type="dxa"/>
            <w:shd w:val="clear" w:color="auto" w:fill="C00000"/>
            <w:tcMar>
              <w:top w:w="0" w:type="dxa"/>
              <w:left w:w="0" w:type="dxa"/>
              <w:bottom w:w="0" w:type="dxa"/>
              <w:right w:w="0" w:type="dxa"/>
            </w:tcMar>
            <w:vAlign w:val="center"/>
          </w:tcPr>
          <w:p w14:paraId="46BDB5BC" w14:textId="77777777" w:rsidR="00E96F8C" w:rsidRPr="00E96F8C" w:rsidRDefault="00E96F8C" w:rsidP="00292A53">
            <w:pPr>
              <w:pStyle w:val="Tableheaderrow"/>
              <w:spacing w:after="60"/>
            </w:pPr>
            <w:r w:rsidRPr="00E96F8C">
              <w:t>Administered by</w:t>
            </w:r>
          </w:p>
        </w:tc>
        <w:tc>
          <w:tcPr>
            <w:tcW w:w="2706" w:type="dxa"/>
            <w:shd w:val="clear" w:color="auto" w:fill="C00000"/>
            <w:tcMar>
              <w:top w:w="0" w:type="dxa"/>
              <w:left w:w="0" w:type="dxa"/>
              <w:bottom w:w="0" w:type="dxa"/>
              <w:right w:w="0" w:type="dxa"/>
            </w:tcMar>
            <w:vAlign w:val="center"/>
          </w:tcPr>
          <w:p w14:paraId="76F1D632" w14:textId="77777777" w:rsidR="00E96F8C" w:rsidRPr="00E96F8C" w:rsidRDefault="00E96F8C" w:rsidP="00292A53">
            <w:pPr>
              <w:pStyle w:val="Tableheaderrow"/>
              <w:spacing w:after="60"/>
            </w:pPr>
            <w:r w:rsidRPr="00E96F8C">
              <w:t>Purpose</w:t>
            </w:r>
          </w:p>
        </w:tc>
        <w:tc>
          <w:tcPr>
            <w:tcW w:w="2706" w:type="dxa"/>
            <w:shd w:val="clear" w:color="auto" w:fill="C00000"/>
            <w:tcMar>
              <w:top w:w="0" w:type="dxa"/>
              <w:left w:w="0" w:type="dxa"/>
              <w:bottom w:w="0" w:type="dxa"/>
              <w:right w:w="0" w:type="dxa"/>
            </w:tcMar>
            <w:vAlign w:val="center"/>
          </w:tcPr>
          <w:p w14:paraId="36B32165" w14:textId="77777777" w:rsidR="00E96F8C" w:rsidRPr="00E96F8C" w:rsidRDefault="00E96F8C" w:rsidP="00292A53">
            <w:pPr>
              <w:pStyle w:val="Tableheaderrow"/>
              <w:spacing w:after="60"/>
            </w:pPr>
            <w:r w:rsidRPr="00E96F8C">
              <w:t>Coverage</w:t>
            </w:r>
          </w:p>
        </w:tc>
        <w:tc>
          <w:tcPr>
            <w:tcW w:w="2706" w:type="dxa"/>
            <w:shd w:val="clear" w:color="auto" w:fill="C00000"/>
            <w:tcMar>
              <w:top w:w="0" w:type="dxa"/>
              <w:left w:w="0" w:type="dxa"/>
              <w:bottom w:w="0" w:type="dxa"/>
              <w:right w:w="0" w:type="dxa"/>
            </w:tcMar>
            <w:vAlign w:val="center"/>
          </w:tcPr>
          <w:p w14:paraId="1114E275" w14:textId="77777777" w:rsidR="00E96F8C" w:rsidRPr="00E96F8C" w:rsidRDefault="00E96F8C" w:rsidP="00292A53">
            <w:pPr>
              <w:pStyle w:val="Tableheaderrow"/>
              <w:spacing w:after="60"/>
            </w:pPr>
            <w:r w:rsidRPr="00E96F8C">
              <w:t>Number covered</w:t>
            </w:r>
          </w:p>
        </w:tc>
        <w:tc>
          <w:tcPr>
            <w:tcW w:w="2706" w:type="dxa"/>
            <w:shd w:val="clear" w:color="auto" w:fill="C00000"/>
            <w:tcMar>
              <w:top w:w="0" w:type="dxa"/>
              <w:left w:w="0" w:type="dxa"/>
              <w:bottom w:w="0" w:type="dxa"/>
              <w:right w:w="0" w:type="dxa"/>
            </w:tcMar>
            <w:vAlign w:val="center"/>
          </w:tcPr>
          <w:p w14:paraId="69404FE9" w14:textId="77777777" w:rsidR="00E96F8C" w:rsidRPr="00E96F8C" w:rsidRDefault="00E96F8C" w:rsidP="00292A53">
            <w:pPr>
              <w:pStyle w:val="Tableheaderrow"/>
              <w:spacing w:after="60"/>
            </w:pPr>
            <w:r w:rsidRPr="00E96F8C">
              <w:t>Basis for legislation</w:t>
            </w:r>
          </w:p>
        </w:tc>
      </w:tr>
      <w:tr w:rsidR="00E96F8C" w:rsidRPr="004D1388" w14:paraId="7BEAE9BA" w14:textId="77777777" w:rsidTr="000F44BC">
        <w:tc>
          <w:tcPr>
            <w:tcW w:w="1485" w:type="dxa"/>
            <w:shd w:val="clear" w:color="auto" w:fill="FFC9C9"/>
            <w:tcMar>
              <w:top w:w="80" w:type="dxa"/>
              <w:left w:w="80" w:type="dxa"/>
              <w:bottom w:w="80" w:type="dxa"/>
              <w:right w:w="80" w:type="dxa"/>
            </w:tcMar>
          </w:tcPr>
          <w:p w14:paraId="21CFDCCE" w14:textId="41D44AC9" w:rsidR="00E96F8C" w:rsidRPr="00E20FA6" w:rsidRDefault="00E96F8C" w:rsidP="00292A53">
            <w:pPr>
              <w:pStyle w:val="TableColumn1bold"/>
              <w:spacing w:after="60"/>
              <w:rPr>
                <w:i/>
              </w:rPr>
            </w:pPr>
            <w:r w:rsidRPr="00E20FA6">
              <w:rPr>
                <w:i/>
              </w:rPr>
              <w:t>Tuberculosis Act 1948</w:t>
            </w:r>
          </w:p>
        </w:tc>
        <w:tc>
          <w:tcPr>
            <w:tcW w:w="2706" w:type="dxa"/>
            <w:shd w:val="clear" w:color="auto" w:fill="FFC9C9"/>
            <w:tcMar>
              <w:top w:w="80" w:type="dxa"/>
              <w:left w:w="80" w:type="dxa"/>
              <w:bottom w:w="80" w:type="dxa"/>
              <w:right w:w="80" w:type="dxa"/>
            </w:tcMar>
          </w:tcPr>
          <w:p w14:paraId="3E56A114" w14:textId="3230FCB7" w:rsidR="00E96F8C" w:rsidRPr="004D1388" w:rsidRDefault="00E96F8C" w:rsidP="00292A53">
            <w:pPr>
              <w:pStyle w:val="lgetabletxt"/>
              <w:spacing w:after="60" w:afterAutospacing="0"/>
            </w:pPr>
            <w:r w:rsidRPr="004D1388">
              <w:t>Ministry of Health</w:t>
            </w:r>
          </w:p>
        </w:tc>
        <w:tc>
          <w:tcPr>
            <w:tcW w:w="2706" w:type="dxa"/>
            <w:shd w:val="clear" w:color="auto" w:fill="FFC9C9"/>
            <w:tcMar>
              <w:top w:w="80" w:type="dxa"/>
              <w:left w:w="80" w:type="dxa"/>
              <w:bottom w:w="80" w:type="dxa"/>
              <w:right w:w="80" w:type="dxa"/>
            </w:tcMar>
          </w:tcPr>
          <w:p w14:paraId="1C6E58BB" w14:textId="77777777" w:rsidR="00E96F8C" w:rsidRPr="004D1388" w:rsidRDefault="00E96F8C" w:rsidP="00292A53">
            <w:pPr>
              <w:pStyle w:val="lgetabletxt"/>
              <w:spacing w:after="60" w:afterAutospacing="0"/>
            </w:pPr>
            <w:r w:rsidRPr="004D1388">
              <w:t>Make better provision for the treatment, care and assistance of persons suffering or having suffered from tuberculosis</w:t>
            </w:r>
            <w:r w:rsidR="00AE6838">
              <w:fldChar w:fldCharType="begin"/>
            </w:r>
            <w:r w:rsidR="00AE6838">
              <w:instrText xml:space="preserve"> XE "</w:instrText>
            </w:r>
            <w:r w:rsidR="00AE6838" w:rsidRPr="00BC3BBD">
              <w:instrText>tuberculosis</w:instrText>
            </w:r>
            <w:r w:rsidR="00AE6838">
              <w:instrText xml:space="preserve">" </w:instrText>
            </w:r>
            <w:r w:rsidR="00AE6838">
              <w:fldChar w:fldCharType="end"/>
            </w:r>
            <w:r w:rsidRPr="004D1388">
              <w:t xml:space="preserve"> and</w:t>
            </w:r>
            <w:r>
              <w:t xml:space="preserve"> for preventing the spread of t</w:t>
            </w:r>
            <w:r w:rsidRPr="004D1388">
              <w:t>uberculosis.</w:t>
            </w:r>
          </w:p>
        </w:tc>
        <w:tc>
          <w:tcPr>
            <w:tcW w:w="2706" w:type="dxa"/>
            <w:shd w:val="clear" w:color="auto" w:fill="FFC9C9"/>
            <w:tcMar>
              <w:top w:w="80" w:type="dxa"/>
              <w:left w:w="80" w:type="dxa"/>
              <w:bottom w:w="80" w:type="dxa"/>
              <w:right w:w="80" w:type="dxa"/>
            </w:tcMar>
          </w:tcPr>
          <w:p w14:paraId="504EB6F4" w14:textId="77777777" w:rsidR="00E96F8C" w:rsidRPr="004D1388" w:rsidRDefault="00E96F8C" w:rsidP="00292A53">
            <w:pPr>
              <w:pStyle w:val="lgetabletxt"/>
              <w:spacing w:after="60" w:afterAutospacing="0"/>
            </w:pPr>
            <w:r w:rsidRPr="004D1388">
              <w:t>Any person who is suffering from tuberculosis</w:t>
            </w:r>
            <w:r w:rsidR="00AE6838">
              <w:fldChar w:fldCharType="begin"/>
            </w:r>
            <w:r w:rsidR="00AE6838">
              <w:instrText xml:space="preserve"> XE "</w:instrText>
            </w:r>
            <w:r w:rsidR="00AE6838" w:rsidRPr="00BC3BBD">
              <w:instrText>tuberculosis</w:instrText>
            </w:r>
            <w:r w:rsidR="00AE6838">
              <w:instrText xml:space="preserve">" </w:instrText>
            </w:r>
            <w:r w:rsidR="00AE6838">
              <w:fldChar w:fldCharType="end"/>
            </w:r>
            <w:r w:rsidRPr="004D1388">
              <w:t xml:space="preserve"> in an active form and who is likely to infect others. Can claim for workers’ compensation if contracted during employment.</w:t>
            </w:r>
          </w:p>
        </w:tc>
        <w:tc>
          <w:tcPr>
            <w:tcW w:w="2706" w:type="dxa"/>
            <w:shd w:val="clear" w:color="auto" w:fill="FFC9C9"/>
            <w:tcMar>
              <w:top w:w="80" w:type="dxa"/>
              <w:left w:w="80" w:type="dxa"/>
              <w:bottom w:w="80" w:type="dxa"/>
              <w:right w:w="80" w:type="dxa"/>
            </w:tcMar>
          </w:tcPr>
          <w:p w14:paraId="76CD913E" w14:textId="3AA3D1C3" w:rsidR="00E96F8C" w:rsidRPr="004D1388" w:rsidRDefault="00AD7528" w:rsidP="00292A53">
            <w:pPr>
              <w:pStyle w:val="lgetabletxt"/>
              <w:spacing w:after="60" w:afterAutospacing="0"/>
            </w:pPr>
            <w:r>
              <w:t>350–400 new cases a year</w:t>
            </w:r>
          </w:p>
        </w:tc>
        <w:tc>
          <w:tcPr>
            <w:tcW w:w="2706" w:type="dxa"/>
            <w:shd w:val="clear" w:color="auto" w:fill="FFC9C9"/>
            <w:tcMar>
              <w:top w:w="80" w:type="dxa"/>
              <w:left w:w="80" w:type="dxa"/>
              <w:bottom w:w="80" w:type="dxa"/>
              <w:right w:w="80" w:type="dxa"/>
            </w:tcMar>
          </w:tcPr>
          <w:p w14:paraId="4749F939" w14:textId="1C5BBD6B" w:rsidR="00E96F8C" w:rsidRPr="004D1388" w:rsidRDefault="00E96F8C" w:rsidP="00292A53">
            <w:pPr>
              <w:pStyle w:val="lgetabletxt"/>
              <w:spacing w:after="60" w:afterAutospacing="0"/>
            </w:pPr>
            <w:r w:rsidRPr="004D1388">
              <w:t>N/A</w:t>
            </w:r>
          </w:p>
        </w:tc>
      </w:tr>
    </w:tbl>
    <w:p w14:paraId="7E158598" w14:textId="77777777" w:rsidR="00C66972" w:rsidRPr="00C66972" w:rsidRDefault="00C66972" w:rsidP="00C66972">
      <w:pPr>
        <w:spacing w:after="200" w:line="276" w:lineRule="auto"/>
        <w:rPr>
          <w:rFonts w:eastAsiaTheme="minorHAnsi"/>
        </w:rPr>
      </w:pPr>
    </w:p>
    <w:bookmarkEnd w:id="233"/>
    <w:p w14:paraId="1AB31055"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624" w:footer="454" w:gutter="0"/>
          <w:cols w:space="708"/>
          <w:docGrid w:linePitch="360"/>
        </w:sectPr>
      </w:pPr>
    </w:p>
    <w:p w14:paraId="628646F2" w14:textId="31BE6EBC" w:rsidR="00C66972" w:rsidRPr="00205CCE" w:rsidRDefault="00C66972" w:rsidP="00205CCE">
      <w:pPr>
        <w:pStyle w:val="Title"/>
      </w:pPr>
      <w:bookmarkStart w:id="240" w:name="_Toc483227198"/>
      <w:bookmarkStart w:id="241" w:name="_Toc504654725"/>
      <w:r w:rsidRPr="00205CCE">
        <w:lastRenderedPageBreak/>
        <w:t>Scheme funding arrangements</w:t>
      </w:r>
      <w:bookmarkEnd w:id="240"/>
      <w:bookmarkEnd w:id="241"/>
      <w:r w:rsidR="001A701E" w:rsidRPr="00205CCE">
        <w:fldChar w:fldCharType="begin"/>
      </w:r>
      <w:r w:rsidR="001A701E" w:rsidRPr="00205CCE">
        <w:instrText xml:space="preserve"> XE "schemes funding arrangements" </w:instrText>
      </w:r>
      <w:r w:rsidR="001A701E" w:rsidRPr="00205CCE">
        <w:fldChar w:fldCharType="end"/>
      </w:r>
    </w:p>
    <w:p w14:paraId="545CA959" w14:textId="0845DEE9" w:rsidR="00C66972" w:rsidRPr="00C66972" w:rsidRDefault="00C66972" w:rsidP="008F2092">
      <w:pPr>
        <w:spacing w:before="240"/>
        <w:rPr>
          <w:rFonts w:eastAsiaTheme="minorHAnsi"/>
        </w:rPr>
      </w:pPr>
      <w:r w:rsidRPr="00C66972">
        <w:rPr>
          <w:rFonts w:eastAsiaTheme="minorHAnsi"/>
        </w:rPr>
        <w:t>All workers’ compensation schemes collect funds to meet liabilities and administer the scheme. There are three different types of scheme funding: centrally funded</w:t>
      </w:r>
      <w:r w:rsidR="00C44D5D">
        <w:rPr>
          <w:rFonts w:eastAsiaTheme="minorHAnsi"/>
        </w:rPr>
        <w:fldChar w:fldCharType="begin"/>
      </w:r>
      <w:r w:rsidR="00C44D5D">
        <w:instrText xml:space="preserve"> XE "</w:instrText>
      </w:r>
      <w:r w:rsidR="00C44D5D" w:rsidRPr="004F5D46">
        <w:instrText>centrally funded schemes</w:instrText>
      </w:r>
      <w:r w:rsidR="00C44D5D">
        <w:instrText xml:space="preserve">" </w:instrText>
      </w:r>
      <w:r w:rsidR="00C44D5D">
        <w:rPr>
          <w:rFonts w:eastAsiaTheme="minorHAnsi"/>
        </w:rPr>
        <w:fldChar w:fldCharType="end"/>
      </w:r>
      <w:r w:rsidRPr="00C66972">
        <w:rPr>
          <w:rFonts w:eastAsiaTheme="minorHAnsi"/>
        </w:rPr>
        <w:t>, hybrid and privately underwritten.</w:t>
      </w:r>
    </w:p>
    <w:p w14:paraId="0FD85053" w14:textId="77777777" w:rsidR="00172AC7" w:rsidRDefault="00C66972" w:rsidP="008F2092">
      <w:pPr>
        <w:spacing w:before="240"/>
        <w:rPr>
          <w:rFonts w:eastAsiaTheme="minorHAnsi"/>
        </w:rPr>
      </w:pPr>
      <w:r w:rsidRPr="00C66972">
        <w:rPr>
          <w:rFonts w:eastAsiaTheme="minorHAnsi"/>
        </w:rPr>
        <w:t>In centrally funded schemes, a single public insurer — a government agency, performs most, if not all of a workers’ compensation insurer’s functions. Central insurers are responsible for underwriting their scheme.</w:t>
      </w:r>
    </w:p>
    <w:p w14:paraId="029BD673" w14:textId="77777777" w:rsidR="00172AC7" w:rsidRDefault="00C66972" w:rsidP="008F2092">
      <w:pPr>
        <w:spacing w:before="240"/>
        <w:rPr>
          <w:rFonts w:eastAsiaTheme="minorHAnsi"/>
        </w:rPr>
      </w:pPr>
      <w:r w:rsidRPr="00C66972">
        <w:rPr>
          <w:rFonts w:eastAsiaTheme="minorHAnsi"/>
        </w:rPr>
        <w:t>The management and operation of hybrid schemes</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r w:rsidRPr="00C66972">
        <w:rPr>
          <w:rFonts w:eastAsiaTheme="minorHAnsi"/>
        </w:rPr>
        <w:t xml:space="preserve"> involves both the public and private sector. Public central insurers are responsible for underwriting, funds management and premium setting. Other functions, such as claims management and rehabilitation are contracted out to private sector bodies, usually insurance companies with specialised expertise in injury management. Details of the contracted bodies in each jurisdiction are available from the jurisdiction’s authorities.</w:t>
      </w:r>
    </w:p>
    <w:p w14:paraId="09AF3F7F" w14:textId="27EE2A17" w:rsidR="006A50D4" w:rsidRDefault="00C66972" w:rsidP="008F2092">
      <w:pPr>
        <w:spacing w:before="240"/>
        <w:rPr>
          <w:rFonts w:eastAsiaTheme="minorHAnsi"/>
        </w:rPr>
      </w:pPr>
      <w:r w:rsidRPr="00C66972">
        <w:rPr>
          <w:rFonts w:eastAsiaTheme="minorHAnsi"/>
        </w:rPr>
        <w:t>In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most, if not all insurer functions are provided by the private sector through approved insurance companies and self-insuring employers who meet the appropriate prudential and other prerequisites. This includes underwriting. In the N</w:t>
      </w:r>
      <w:r w:rsidR="00A1226A">
        <w:rPr>
          <w:rFonts w:eastAsiaTheme="minorHAnsi"/>
        </w:rPr>
        <w:t xml:space="preserve">orthern </w:t>
      </w:r>
      <w:r w:rsidRPr="00C66972">
        <w:rPr>
          <w:rFonts w:eastAsiaTheme="minorHAnsi"/>
        </w:rPr>
        <w:t>T</w:t>
      </w:r>
      <w:r w:rsidR="00A1226A">
        <w:rPr>
          <w:rFonts w:eastAsiaTheme="minorHAnsi"/>
        </w:rPr>
        <w:t>erritory</w:t>
      </w:r>
      <w:r w:rsidRPr="00C66972">
        <w:rPr>
          <w:rFonts w:eastAsiaTheme="minorHAnsi"/>
        </w:rPr>
        <w:t xml:space="preserve"> scheme, a public insurer competes with private insurers for the provision of workers’ compensation. The degree of regulation of privately underwritten schemes by government varies. Table 2.3 outlines the scheme funding arrangements in each jurisdiction.</w:t>
      </w:r>
    </w:p>
    <w:p w14:paraId="66E97405" w14:textId="0D8C9F92" w:rsidR="00C66972" w:rsidRPr="00205CCE" w:rsidRDefault="00C66972" w:rsidP="00205CCE">
      <w:pPr>
        <w:pStyle w:val="Heading4"/>
      </w:pPr>
      <w:bookmarkStart w:id="242" w:name="_Toc483227199"/>
      <w:r w:rsidRPr="00205CCE">
        <w:t>Net funding ratio</w:t>
      </w:r>
      <w:bookmarkEnd w:id="242"/>
      <w:r w:rsidRPr="00205CCE">
        <w:t xml:space="preserve"> </w:t>
      </w:r>
      <w:r w:rsidR="001A701E" w:rsidRPr="00205CCE">
        <w:fldChar w:fldCharType="begin"/>
      </w:r>
      <w:r w:rsidR="001A701E" w:rsidRPr="00205CCE">
        <w:instrText xml:space="preserve"> XE "schemes funding arrangements:net funding ratio" </w:instrText>
      </w:r>
      <w:r w:rsidR="001A701E" w:rsidRPr="00205CCE">
        <w:fldChar w:fldCharType="end"/>
      </w:r>
    </w:p>
    <w:p w14:paraId="2AD60432" w14:textId="77777777" w:rsidR="006A50D4" w:rsidRDefault="00C66972" w:rsidP="00FE27BB">
      <w:pPr>
        <w:rPr>
          <w:rFonts w:eastAsiaTheme="minorHAnsi"/>
        </w:rPr>
      </w:pPr>
      <w:r w:rsidRPr="00C66972">
        <w:rPr>
          <w:rFonts w:eastAsiaTheme="minorHAnsi"/>
        </w:rPr>
        <w:t>The net funding ratio is a net of outstanding claim liabilities and indicates the financial viability of a scheme. It measures the ratio of assets to outstanding claims liability and is generally expressed as a percentage. Where the ratio is over 100 per cent, the scheme may be over funded, and where the ratio is below 100 per cent the scheme may be under funded. For centrally funded and hybrid jurisdictions where there is a separate workers’ compensation fund (centrally funded), the scheme’s annual report identifies the assets set aside for future liabilities. For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xml:space="preserve"> assets are set aside to meet all liabilities.</w:t>
      </w:r>
    </w:p>
    <w:p w14:paraId="154D363D" w14:textId="77777777" w:rsidR="006A50D4" w:rsidRPr="00205CCE" w:rsidRDefault="00C66972" w:rsidP="00205CCE">
      <w:pPr>
        <w:pStyle w:val="Heading4"/>
      </w:pPr>
      <w:bookmarkStart w:id="243" w:name="_Toc483227200"/>
      <w:r w:rsidRPr="00205CCE">
        <w:t>Net assets</w:t>
      </w:r>
      <w:bookmarkEnd w:id="243"/>
      <w:r w:rsidR="001A701E" w:rsidRPr="00205CCE">
        <w:fldChar w:fldCharType="begin"/>
      </w:r>
      <w:r w:rsidR="001A701E" w:rsidRPr="00205CCE">
        <w:instrText xml:space="preserve"> XE "schemes funding arrangements:net assets" </w:instrText>
      </w:r>
      <w:r w:rsidR="001A701E" w:rsidRPr="00205CCE">
        <w:fldChar w:fldCharType="end"/>
      </w:r>
      <w:r w:rsidRPr="00205CCE">
        <w:t xml:space="preserve"> </w:t>
      </w:r>
    </w:p>
    <w:p w14:paraId="336D8C0B" w14:textId="77777777" w:rsidR="006A50D4" w:rsidRDefault="00C66972" w:rsidP="00FE27BB">
      <w:pPr>
        <w:rPr>
          <w:rFonts w:eastAsiaTheme="minorHAnsi"/>
        </w:rPr>
      </w:pPr>
      <w:r w:rsidRPr="00C66972">
        <w:rPr>
          <w:rFonts w:eastAsiaTheme="minorHAnsi"/>
        </w:rPr>
        <w:t>Net assets in centrally funded schemes are the premiums collected and invested by each jurisdiction during a financial year minus any outstanding amount the scheme may recover from third parties. In hybrid schemes</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r w:rsidRPr="00C66972">
        <w:rPr>
          <w:rFonts w:eastAsiaTheme="minorHAnsi"/>
        </w:rPr>
        <w:t>, net assets are the assets available to meet the insurer’s net claims liability. In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net assets are considered to be the insurers’ overall balance sheet claims provisions. Net assets are used in the calculation of funding ratios.</w:t>
      </w:r>
    </w:p>
    <w:p w14:paraId="117B593B" w14:textId="66D26D77" w:rsidR="00C66972" w:rsidRPr="00205CCE" w:rsidRDefault="00C66972" w:rsidP="00205CCE">
      <w:pPr>
        <w:pStyle w:val="Heading4"/>
      </w:pPr>
      <w:bookmarkStart w:id="244" w:name="_Toc483227201"/>
      <w:r w:rsidRPr="00205CCE">
        <w:t>Net liabilities</w:t>
      </w:r>
      <w:bookmarkEnd w:id="244"/>
      <w:r w:rsidRPr="00205CCE">
        <w:t xml:space="preserve"> </w:t>
      </w:r>
      <w:r w:rsidR="001A701E" w:rsidRPr="00205CCE">
        <w:fldChar w:fldCharType="begin"/>
      </w:r>
      <w:r w:rsidR="001A701E" w:rsidRPr="00205CCE">
        <w:instrText xml:space="preserve"> XE "schemes funding arrangements:net liabilities" </w:instrText>
      </w:r>
      <w:r w:rsidR="001A701E" w:rsidRPr="00205CCE">
        <w:fldChar w:fldCharType="end"/>
      </w:r>
    </w:p>
    <w:p w14:paraId="441AE5FB" w14:textId="3CC75406" w:rsidR="00C66972" w:rsidRPr="00C66972" w:rsidRDefault="00C66972" w:rsidP="00FE27BB">
      <w:pPr>
        <w:rPr>
          <w:rFonts w:eastAsiaTheme="minorHAnsi"/>
        </w:rPr>
      </w:pPr>
      <w:r w:rsidRPr="00C66972">
        <w:rPr>
          <w:rFonts w:eastAsiaTheme="minorHAnsi"/>
        </w:rPr>
        <w:t>Net liabilities in centrally funded schemes are the total current and non-current liabilities of the scheme minus any amounts the scheme expects to retrieve at the end of the financial year. In hybrid schemes</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r w:rsidRPr="00C66972">
        <w:rPr>
          <w:rFonts w:eastAsiaTheme="minorHAnsi"/>
        </w:rPr>
        <w:t>, net liabilities are claim liabilities including the prudential margin and net of claims recoveries receivable. The liabilities in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xml:space="preserve"> are taken as the central estimate of outstanding claims for the scheme at the end of the financial year. Net liabilities are used in the calculation of funding ratios. Table 7.4 shows each jurisdiction’s scheme funding position as reported in their annual reports.</w:t>
      </w:r>
    </w:p>
    <w:p w14:paraId="56F594D7" w14:textId="77777777" w:rsidR="00C66972" w:rsidRPr="00C66972" w:rsidRDefault="00C66972" w:rsidP="00C66972">
      <w:pPr>
        <w:spacing w:after="200" w:line="276" w:lineRule="auto"/>
        <w:rPr>
          <w:rFonts w:eastAsiaTheme="minorHAnsi"/>
        </w:rPr>
      </w:pPr>
      <w:r w:rsidRPr="00C66972">
        <w:rPr>
          <w:rFonts w:eastAsiaTheme="minorHAnsi"/>
        </w:rPr>
        <w:br w:type="page"/>
      </w:r>
    </w:p>
    <w:p w14:paraId="265BE0F6" w14:textId="4FE33694" w:rsidR="00E96F8C" w:rsidRPr="00205CCE" w:rsidRDefault="00E96F8C" w:rsidP="00205CCE">
      <w:pPr>
        <w:pStyle w:val="SWATableheader"/>
      </w:pPr>
      <w:bookmarkStart w:id="245" w:name="_Toc504654726"/>
      <w:r w:rsidRPr="00205CCE">
        <w:rPr>
          <w:rStyle w:val="SWATableheaderChar"/>
          <w:b/>
        </w:rPr>
        <w:lastRenderedPageBreak/>
        <w:t>Table 7.4: Schemes’ funding positions as a</w:t>
      </w:r>
      <w:r w:rsidR="00105E73" w:rsidRPr="00205CCE">
        <w:rPr>
          <w:rStyle w:val="SWATableheaderChar"/>
          <w:b/>
        </w:rPr>
        <w:t>t 30 June 201</w:t>
      </w:r>
      <w:r w:rsidR="000264C0">
        <w:rPr>
          <w:rStyle w:val="SWATableheaderChar"/>
          <w:b/>
        </w:rPr>
        <w:t>7</w:t>
      </w:r>
      <w:r w:rsidR="00105E73" w:rsidRPr="00205CCE">
        <w:rPr>
          <w:rStyle w:val="SWATableheaderChar"/>
          <w:b/>
        </w:rPr>
        <w:t xml:space="preserve"> and 30 June 201</w:t>
      </w:r>
      <w:r w:rsidR="000264C0">
        <w:rPr>
          <w:rStyle w:val="SWATableheaderChar"/>
          <w:b/>
        </w:rPr>
        <w:t>6</w:t>
      </w:r>
      <w:bookmarkEnd w:id="245"/>
      <w:r w:rsidR="001A701E" w:rsidRPr="00205CCE">
        <w:rPr>
          <w:rStyle w:val="SWATableheaderChar"/>
          <w:b/>
        </w:rPr>
        <w:fldChar w:fldCharType="begin"/>
      </w:r>
      <w:r w:rsidR="001A701E" w:rsidRPr="00205CCE">
        <w:instrText xml:space="preserve"> XE "schemes funding arrangements:schemes funding positions" </w:instrText>
      </w:r>
      <w:r w:rsidR="001A701E" w:rsidRPr="00205CCE">
        <w:rPr>
          <w:rStyle w:val="SWATableheaderChar"/>
          <w:b/>
        </w:rPr>
        <w:fldChar w:fldCharType="end"/>
      </w:r>
    </w:p>
    <w:tbl>
      <w:tblPr>
        <w:tblW w:w="9122"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4: Schemes’ funding positions as at 30 June 2014 and 30 June 2013"/>
        <w:tblDescription w:val=" This table provides information about workers' compensation scheme funding positions as at 30 June 2016 and 30 June 2015. "/>
      </w:tblPr>
      <w:tblGrid>
        <w:gridCol w:w="1910"/>
        <w:gridCol w:w="3606"/>
        <w:gridCol w:w="3606"/>
      </w:tblGrid>
      <w:tr w:rsidR="00E96F8C" w:rsidRPr="00856236" w14:paraId="19FE0297" w14:textId="77777777" w:rsidTr="005725E6">
        <w:trPr>
          <w:tblHeader/>
        </w:trPr>
        <w:tc>
          <w:tcPr>
            <w:tcW w:w="1910" w:type="dxa"/>
            <w:shd w:val="clear" w:color="auto" w:fill="C00000"/>
            <w:tcMar>
              <w:top w:w="0" w:type="dxa"/>
              <w:left w:w="0" w:type="dxa"/>
              <w:bottom w:w="0" w:type="dxa"/>
              <w:right w:w="0" w:type="dxa"/>
            </w:tcMar>
            <w:vAlign w:val="center"/>
          </w:tcPr>
          <w:p w14:paraId="2DD20394" w14:textId="77777777" w:rsidR="00E96F8C" w:rsidRPr="00856236" w:rsidRDefault="00E96F8C" w:rsidP="00292A53">
            <w:pPr>
              <w:pStyle w:val="Tableheaderrow"/>
              <w:spacing w:after="60"/>
            </w:pPr>
          </w:p>
        </w:tc>
        <w:tc>
          <w:tcPr>
            <w:tcW w:w="3606" w:type="dxa"/>
            <w:shd w:val="clear" w:color="auto" w:fill="C00000"/>
            <w:tcMar>
              <w:top w:w="0" w:type="dxa"/>
              <w:left w:w="0" w:type="dxa"/>
              <w:bottom w:w="0" w:type="dxa"/>
              <w:right w:w="0" w:type="dxa"/>
            </w:tcMar>
            <w:vAlign w:val="center"/>
          </w:tcPr>
          <w:p w14:paraId="6CDFFFCF" w14:textId="5AB1A049" w:rsidR="00E96F8C" w:rsidRPr="00856236" w:rsidRDefault="00E96F8C" w:rsidP="00292A53">
            <w:pPr>
              <w:pStyle w:val="Tableheaderrow"/>
              <w:spacing w:after="60"/>
            </w:pPr>
            <w:r w:rsidRPr="00856236">
              <w:t>30 June 201</w:t>
            </w:r>
            <w:r w:rsidR="000264C0">
              <w:t>7</w:t>
            </w:r>
          </w:p>
        </w:tc>
        <w:tc>
          <w:tcPr>
            <w:tcW w:w="3606" w:type="dxa"/>
            <w:shd w:val="clear" w:color="auto" w:fill="C00000"/>
            <w:tcMar>
              <w:top w:w="0" w:type="dxa"/>
              <w:left w:w="0" w:type="dxa"/>
              <w:bottom w:w="0" w:type="dxa"/>
              <w:right w:w="0" w:type="dxa"/>
            </w:tcMar>
            <w:vAlign w:val="center"/>
          </w:tcPr>
          <w:p w14:paraId="68658722" w14:textId="6B5EE629" w:rsidR="00E96F8C" w:rsidRPr="00856236" w:rsidRDefault="00E96F8C" w:rsidP="00292A53">
            <w:pPr>
              <w:pStyle w:val="Tableheaderrow"/>
              <w:spacing w:after="60"/>
            </w:pPr>
            <w:r w:rsidRPr="00856236">
              <w:t>30 June 201</w:t>
            </w:r>
            <w:r w:rsidR="000264C0">
              <w:t>6</w:t>
            </w:r>
          </w:p>
        </w:tc>
      </w:tr>
      <w:tr w:rsidR="00E96F8C" w:rsidRPr="00916588" w14:paraId="6AD0B3E3" w14:textId="77777777" w:rsidTr="005725E6">
        <w:tc>
          <w:tcPr>
            <w:tcW w:w="1910" w:type="dxa"/>
            <w:shd w:val="clear" w:color="auto" w:fill="FFC9C9"/>
            <w:tcMar>
              <w:top w:w="80" w:type="dxa"/>
              <w:left w:w="80" w:type="dxa"/>
              <w:bottom w:w="80" w:type="dxa"/>
              <w:right w:w="80" w:type="dxa"/>
            </w:tcMar>
          </w:tcPr>
          <w:p w14:paraId="40B60929" w14:textId="3A469AC8" w:rsidR="00E96F8C" w:rsidRPr="00916588" w:rsidRDefault="00E96F8C" w:rsidP="005725E6">
            <w:pPr>
              <w:pStyle w:val="TableColumn1bold"/>
              <w:spacing w:after="60"/>
            </w:pPr>
            <w:r w:rsidRPr="00916588">
              <w:t>New South Wales</w:t>
            </w:r>
            <w:r w:rsidR="005725E6" w:rsidRPr="005725E6">
              <w:rPr>
                <w:sz w:val="14"/>
              </w:rPr>
              <w:t>**</w:t>
            </w:r>
          </w:p>
        </w:tc>
        <w:tc>
          <w:tcPr>
            <w:tcW w:w="3606" w:type="dxa"/>
            <w:shd w:val="clear" w:color="auto" w:fill="FFC9C9"/>
            <w:tcMar>
              <w:top w:w="80" w:type="dxa"/>
              <w:left w:w="80" w:type="dxa"/>
              <w:bottom w:w="80" w:type="dxa"/>
              <w:right w:w="80" w:type="dxa"/>
            </w:tcMar>
          </w:tcPr>
          <w:p w14:paraId="3DB254BB" w14:textId="2D72CE2D" w:rsidR="005725E6" w:rsidRDefault="005725E6" w:rsidP="005725E6">
            <w:pPr>
              <w:pStyle w:val="lgetabletxt"/>
              <w:spacing w:after="60" w:afterAutospacing="0"/>
            </w:pPr>
            <w:r>
              <w:t>Assets: $17,695m</w:t>
            </w:r>
          </w:p>
          <w:p w14:paraId="7D695888" w14:textId="5C560C44" w:rsidR="005725E6" w:rsidRDefault="005725E6" w:rsidP="005725E6">
            <w:pPr>
              <w:pStyle w:val="lgetabletxt"/>
              <w:spacing w:after="60" w:afterAutospacing="0"/>
            </w:pPr>
            <w:r>
              <w:t>Liabilities: $15,330m</w:t>
            </w:r>
          </w:p>
          <w:p w14:paraId="228A4D7A" w14:textId="4EB12CBF" w:rsidR="00E96F8C" w:rsidRPr="00916588" w:rsidRDefault="005725E6" w:rsidP="005725E6">
            <w:pPr>
              <w:pStyle w:val="lgetabletxt"/>
              <w:spacing w:after="60" w:afterAutospacing="0"/>
            </w:pPr>
            <w:r>
              <w:t>Funding Ratio: 115.4%</w:t>
            </w:r>
          </w:p>
        </w:tc>
        <w:tc>
          <w:tcPr>
            <w:tcW w:w="3606" w:type="dxa"/>
            <w:shd w:val="clear" w:color="auto" w:fill="FFC9C9"/>
            <w:tcMar>
              <w:top w:w="80" w:type="dxa"/>
              <w:left w:w="80" w:type="dxa"/>
              <w:bottom w:w="80" w:type="dxa"/>
              <w:right w:w="80" w:type="dxa"/>
            </w:tcMar>
          </w:tcPr>
          <w:p w14:paraId="1E5D8FCF" w14:textId="1ABD19AA" w:rsidR="005725E6" w:rsidRDefault="005725E6" w:rsidP="005725E6">
            <w:pPr>
              <w:pStyle w:val="lgetabletxt"/>
              <w:spacing w:after="60" w:afterAutospacing="0"/>
            </w:pPr>
            <w:r>
              <w:t>Assets: $17,907m</w:t>
            </w:r>
          </w:p>
          <w:p w14:paraId="0662C2D5" w14:textId="298DA59E" w:rsidR="005725E6" w:rsidRDefault="005725E6" w:rsidP="005725E6">
            <w:pPr>
              <w:pStyle w:val="lgetabletxt"/>
              <w:spacing w:after="60" w:afterAutospacing="0"/>
            </w:pPr>
            <w:r>
              <w:t>Liabilities: $14,554m</w:t>
            </w:r>
          </w:p>
          <w:p w14:paraId="47A39D27" w14:textId="24D22320" w:rsidR="00E96F8C" w:rsidRPr="00916588" w:rsidRDefault="005725E6" w:rsidP="005725E6">
            <w:pPr>
              <w:pStyle w:val="lgetabletxt"/>
              <w:spacing w:after="60" w:afterAutospacing="0"/>
            </w:pPr>
            <w:r>
              <w:t>Funding Ratio: 123%</w:t>
            </w:r>
          </w:p>
        </w:tc>
      </w:tr>
      <w:tr w:rsidR="00E96F8C" w:rsidRPr="00916588" w14:paraId="7BF588FB" w14:textId="77777777" w:rsidTr="005725E6">
        <w:tc>
          <w:tcPr>
            <w:tcW w:w="1910" w:type="dxa"/>
            <w:tcMar>
              <w:top w:w="80" w:type="dxa"/>
              <w:left w:w="80" w:type="dxa"/>
              <w:bottom w:w="80" w:type="dxa"/>
              <w:right w:w="80" w:type="dxa"/>
            </w:tcMar>
          </w:tcPr>
          <w:p w14:paraId="6391F9AF" w14:textId="77777777" w:rsidR="00E96F8C" w:rsidRPr="00916588" w:rsidRDefault="00E96F8C" w:rsidP="00292A53">
            <w:pPr>
              <w:pStyle w:val="TableColumn1bold"/>
              <w:spacing w:after="60"/>
            </w:pPr>
            <w:r w:rsidRPr="00916588">
              <w:t>Victoria</w:t>
            </w:r>
          </w:p>
        </w:tc>
        <w:tc>
          <w:tcPr>
            <w:tcW w:w="3606" w:type="dxa"/>
            <w:tcMar>
              <w:top w:w="80" w:type="dxa"/>
              <w:left w:w="80" w:type="dxa"/>
              <w:bottom w:w="80" w:type="dxa"/>
              <w:right w:w="80" w:type="dxa"/>
            </w:tcMar>
          </w:tcPr>
          <w:p w14:paraId="72248FE7" w14:textId="1B746675" w:rsidR="00E96F8C" w:rsidRDefault="00AD7528" w:rsidP="00292A53">
            <w:pPr>
              <w:pStyle w:val="lgetabletxt"/>
              <w:spacing w:after="60" w:afterAutospacing="0"/>
            </w:pPr>
            <w:r>
              <w:t>Assets: $</w:t>
            </w:r>
            <w:r w:rsidR="000B72EE">
              <w:t>15,161</w:t>
            </w:r>
            <w:r>
              <w:t>m</w:t>
            </w:r>
          </w:p>
          <w:p w14:paraId="7FB18F3E" w14:textId="0C9BB196" w:rsidR="00E96F8C" w:rsidRDefault="00E96F8C" w:rsidP="00292A53">
            <w:pPr>
              <w:pStyle w:val="lgetabletxt"/>
              <w:spacing w:after="60" w:afterAutospacing="0"/>
            </w:pPr>
            <w:r>
              <w:t>Liabilities: $12</w:t>
            </w:r>
            <w:r w:rsidR="000264C0">
              <w:t>,</w:t>
            </w:r>
            <w:r w:rsidR="000B72EE">
              <w:t>699m</w:t>
            </w:r>
          </w:p>
          <w:p w14:paraId="59D14751" w14:textId="4BF88EF9" w:rsidR="00E96F8C" w:rsidRPr="00916588" w:rsidRDefault="00E96F8C" w:rsidP="000B72EE">
            <w:pPr>
              <w:pStyle w:val="lgetabletxt"/>
              <w:spacing w:after="60" w:afterAutospacing="0"/>
            </w:pPr>
            <w:r>
              <w:t xml:space="preserve">Funding Ratio: </w:t>
            </w:r>
            <w:r w:rsidR="000B72EE">
              <w:t>119</w:t>
            </w:r>
            <w:r>
              <w:t>%</w:t>
            </w:r>
          </w:p>
        </w:tc>
        <w:tc>
          <w:tcPr>
            <w:tcW w:w="3606" w:type="dxa"/>
            <w:tcMar>
              <w:top w:w="80" w:type="dxa"/>
              <w:left w:w="80" w:type="dxa"/>
              <w:bottom w:w="80" w:type="dxa"/>
              <w:right w:w="80" w:type="dxa"/>
            </w:tcMar>
          </w:tcPr>
          <w:p w14:paraId="4CA9C9C3" w14:textId="1991CB3D" w:rsidR="00E96F8C" w:rsidRDefault="00AD7528" w:rsidP="00292A53">
            <w:pPr>
              <w:pStyle w:val="lgetabletxt"/>
              <w:spacing w:after="60" w:afterAutospacing="0"/>
            </w:pPr>
            <w:r>
              <w:t>Assets: $13</w:t>
            </w:r>
            <w:r w:rsidR="000264C0">
              <w:t>,</w:t>
            </w:r>
            <w:r w:rsidR="000B72EE">
              <w:t>550m</w:t>
            </w:r>
          </w:p>
          <w:p w14:paraId="28AE27CA" w14:textId="5D190895" w:rsidR="00E96F8C" w:rsidRDefault="00AD7528" w:rsidP="00292A53">
            <w:pPr>
              <w:pStyle w:val="lgetabletxt"/>
              <w:spacing w:after="60" w:afterAutospacing="0"/>
            </w:pPr>
            <w:r>
              <w:t>Liabilities: $</w:t>
            </w:r>
            <w:r w:rsidR="000B72EE">
              <w:t>12,058</w:t>
            </w:r>
            <w:r>
              <w:t>m</w:t>
            </w:r>
          </w:p>
          <w:p w14:paraId="3C394414" w14:textId="246B1AB1" w:rsidR="00E96F8C" w:rsidRPr="00916588" w:rsidRDefault="00E96F8C" w:rsidP="00292A53">
            <w:pPr>
              <w:pStyle w:val="lgetabletxt"/>
              <w:spacing w:after="60" w:afterAutospacing="0"/>
            </w:pPr>
            <w:r>
              <w:t>Funding Ratio: 1</w:t>
            </w:r>
            <w:r w:rsidR="000B72EE">
              <w:t>1</w:t>
            </w:r>
            <w:r>
              <w:t>2%</w:t>
            </w:r>
          </w:p>
        </w:tc>
      </w:tr>
      <w:tr w:rsidR="00E96F8C" w:rsidRPr="00916588" w14:paraId="2855FBE2" w14:textId="77777777" w:rsidTr="005725E6">
        <w:tc>
          <w:tcPr>
            <w:tcW w:w="1910" w:type="dxa"/>
            <w:shd w:val="clear" w:color="auto" w:fill="FFC9C9"/>
            <w:tcMar>
              <w:top w:w="80" w:type="dxa"/>
              <w:left w:w="80" w:type="dxa"/>
              <w:bottom w:w="80" w:type="dxa"/>
              <w:right w:w="80" w:type="dxa"/>
            </w:tcMar>
          </w:tcPr>
          <w:p w14:paraId="1594FD99" w14:textId="77777777" w:rsidR="00E96F8C" w:rsidRPr="00916588" w:rsidRDefault="00E96F8C" w:rsidP="00292A53">
            <w:pPr>
              <w:pStyle w:val="TableColumn1bold"/>
              <w:spacing w:after="60"/>
            </w:pPr>
            <w:r w:rsidRPr="00916588">
              <w:t>Queensland</w:t>
            </w:r>
          </w:p>
        </w:tc>
        <w:tc>
          <w:tcPr>
            <w:tcW w:w="3606" w:type="dxa"/>
            <w:shd w:val="clear" w:color="auto" w:fill="FFC9C9"/>
            <w:tcMar>
              <w:top w:w="80" w:type="dxa"/>
              <w:left w:w="80" w:type="dxa"/>
              <w:bottom w:w="80" w:type="dxa"/>
              <w:right w:w="80" w:type="dxa"/>
            </w:tcMar>
          </w:tcPr>
          <w:p w14:paraId="0FD1862A" w14:textId="670E80CB" w:rsidR="00E96F8C" w:rsidRDefault="00AD7528" w:rsidP="00292A53">
            <w:pPr>
              <w:pStyle w:val="lgetabletxt"/>
              <w:spacing w:after="60" w:afterAutospacing="0"/>
            </w:pPr>
            <w:r>
              <w:t>Assets: $</w:t>
            </w:r>
            <w:r w:rsidR="007C3873">
              <w:t>5,086</w:t>
            </w:r>
            <w:r>
              <w:t>m</w:t>
            </w:r>
          </w:p>
          <w:p w14:paraId="7414B9D8" w14:textId="326FE4C2" w:rsidR="00E96F8C" w:rsidRDefault="00367415" w:rsidP="00292A53">
            <w:pPr>
              <w:pStyle w:val="lgetabletxt"/>
              <w:spacing w:after="60" w:afterAutospacing="0"/>
            </w:pPr>
            <w:r>
              <w:t>Liabilities: $2</w:t>
            </w:r>
            <w:r w:rsidR="007C3873">
              <w:t>,971</w:t>
            </w:r>
            <w:r w:rsidR="00AD7528">
              <w:t>m</w:t>
            </w:r>
          </w:p>
          <w:p w14:paraId="5A2A8356" w14:textId="09A7A75E" w:rsidR="00E96F8C" w:rsidRPr="00916588" w:rsidRDefault="00AD7528" w:rsidP="007C3873">
            <w:pPr>
              <w:pStyle w:val="lgetabletxt"/>
              <w:spacing w:after="60" w:afterAutospacing="0"/>
            </w:pPr>
            <w:r>
              <w:t xml:space="preserve">Funding ratio: </w:t>
            </w:r>
            <w:r w:rsidR="007C3873">
              <w:t>171</w:t>
            </w:r>
            <w:r>
              <w:t>%</w:t>
            </w:r>
          </w:p>
        </w:tc>
        <w:tc>
          <w:tcPr>
            <w:tcW w:w="3606" w:type="dxa"/>
            <w:shd w:val="clear" w:color="auto" w:fill="FFC9C9"/>
            <w:tcMar>
              <w:top w:w="80" w:type="dxa"/>
              <w:left w:w="80" w:type="dxa"/>
              <w:bottom w:w="80" w:type="dxa"/>
              <w:right w:w="80" w:type="dxa"/>
            </w:tcMar>
          </w:tcPr>
          <w:p w14:paraId="2BFD5B6D" w14:textId="635D9BE1" w:rsidR="00E96F8C" w:rsidRDefault="00367415" w:rsidP="00292A53">
            <w:pPr>
              <w:pStyle w:val="lgetabletxt"/>
              <w:spacing w:after="60" w:afterAutospacing="0"/>
            </w:pPr>
            <w:r>
              <w:t>Assets: $</w:t>
            </w:r>
            <w:r w:rsidR="007C3873">
              <w:t>4,511</w:t>
            </w:r>
            <w:r w:rsidR="00AD7528">
              <w:t>m</w:t>
            </w:r>
          </w:p>
          <w:p w14:paraId="31A92EA1" w14:textId="2C10C1F4" w:rsidR="00E96F8C" w:rsidRDefault="00AD7528" w:rsidP="00292A53">
            <w:pPr>
              <w:pStyle w:val="lgetabletxt"/>
              <w:spacing w:after="60" w:afterAutospacing="0"/>
            </w:pPr>
            <w:r>
              <w:t>Liabilities: $</w:t>
            </w:r>
            <w:r w:rsidR="007C3873">
              <w:t>2,785</w:t>
            </w:r>
            <w:r>
              <w:t>m</w:t>
            </w:r>
          </w:p>
          <w:p w14:paraId="426E9BA6" w14:textId="19ED7427" w:rsidR="00E96F8C" w:rsidRPr="00916588" w:rsidRDefault="00AD7528" w:rsidP="00292A53">
            <w:pPr>
              <w:pStyle w:val="lgetabletxt"/>
              <w:spacing w:after="60" w:afterAutospacing="0"/>
            </w:pPr>
            <w:r>
              <w:t>Funding ratio: 16</w:t>
            </w:r>
            <w:r w:rsidR="007C3873">
              <w:t>2</w:t>
            </w:r>
            <w:r>
              <w:t>%</w:t>
            </w:r>
          </w:p>
        </w:tc>
      </w:tr>
      <w:tr w:rsidR="00E96F8C" w:rsidRPr="00916588" w14:paraId="462AC098" w14:textId="77777777" w:rsidTr="005725E6">
        <w:tc>
          <w:tcPr>
            <w:tcW w:w="1910" w:type="dxa"/>
            <w:tcMar>
              <w:top w:w="80" w:type="dxa"/>
              <w:left w:w="80" w:type="dxa"/>
              <w:bottom w:w="80" w:type="dxa"/>
              <w:right w:w="80" w:type="dxa"/>
            </w:tcMar>
          </w:tcPr>
          <w:p w14:paraId="05ACD902" w14:textId="77777777" w:rsidR="00E96F8C" w:rsidRPr="00916588" w:rsidRDefault="00E96F8C" w:rsidP="00292A53">
            <w:pPr>
              <w:pStyle w:val="TableColumn1bold"/>
              <w:spacing w:after="60"/>
            </w:pPr>
            <w:r w:rsidRPr="00916588">
              <w:t>Western Australia</w:t>
            </w:r>
          </w:p>
        </w:tc>
        <w:tc>
          <w:tcPr>
            <w:tcW w:w="3606" w:type="dxa"/>
            <w:tcMar>
              <w:top w:w="80" w:type="dxa"/>
              <w:left w:w="80" w:type="dxa"/>
              <w:bottom w:w="80" w:type="dxa"/>
              <w:right w:w="80" w:type="dxa"/>
            </w:tcMar>
          </w:tcPr>
          <w:p w14:paraId="530DD547" w14:textId="6B6F86DC" w:rsidR="00E96F8C" w:rsidRPr="00916588" w:rsidRDefault="00E96F8C" w:rsidP="00292A53">
            <w:pPr>
              <w:pStyle w:val="lgetabletxt"/>
              <w:spacing w:after="60" w:afterAutospacing="0"/>
            </w:pPr>
            <w:r w:rsidRPr="00916588">
              <w:t>WA is a privately underwritten scheme, there</w:t>
            </w:r>
            <w:r w:rsidR="00AD7528">
              <w:t>fore this data is not available</w:t>
            </w:r>
          </w:p>
        </w:tc>
        <w:tc>
          <w:tcPr>
            <w:tcW w:w="3606" w:type="dxa"/>
            <w:tcMar>
              <w:top w:w="80" w:type="dxa"/>
              <w:left w:w="80" w:type="dxa"/>
              <w:bottom w:w="80" w:type="dxa"/>
              <w:right w:w="80" w:type="dxa"/>
            </w:tcMar>
          </w:tcPr>
          <w:p w14:paraId="54BBDD6F" w14:textId="76977C71" w:rsidR="00E96F8C" w:rsidRPr="00916588" w:rsidRDefault="00E96F8C" w:rsidP="00292A53">
            <w:pPr>
              <w:pStyle w:val="lgetabletxt"/>
              <w:spacing w:after="60" w:afterAutospacing="0"/>
            </w:pPr>
            <w:r w:rsidRPr="00916588">
              <w:t>WA is a privately underwritten scheme, there</w:t>
            </w:r>
            <w:r w:rsidR="00AD7528">
              <w:t>fore this data is not available</w:t>
            </w:r>
          </w:p>
        </w:tc>
      </w:tr>
      <w:tr w:rsidR="00E96F8C" w:rsidRPr="00916588" w14:paraId="78C3722B" w14:textId="77777777" w:rsidTr="005725E6">
        <w:tc>
          <w:tcPr>
            <w:tcW w:w="1910" w:type="dxa"/>
            <w:shd w:val="clear" w:color="auto" w:fill="FFC9C9"/>
            <w:tcMar>
              <w:top w:w="80" w:type="dxa"/>
              <w:left w:w="80" w:type="dxa"/>
              <w:bottom w:w="80" w:type="dxa"/>
              <w:right w:w="80" w:type="dxa"/>
            </w:tcMar>
          </w:tcPr>
          <w:p w14:paraId="712B55D1" w14:textId="77777777" w:rsidR="00E96F8C" w:rsidRPr="00916588" w:rsidRDefault="00E96F8C" w:rsidP="00292A53">
            <w:pPr>
              <w:pStyle w:val="TableColumn1bold"/>
              <w:spacing w:after="60"/>
            </w:pPr>
            <w:r w:rsidRPr="00916588">
              <w:t>South Australia</w:t>
            </w:r>
          </w:p>
        </w:tc>
        <w:tc>
          <w:tcPr>
            <w:tcW w:w="3606" w:type="dxa"/>
            <w:shd w:val="clear" w:color="auto" w:fill="FFC9C9"/>
            <w:tcMar>
              <w:top w:w="80" w:type="dxa"/>
              <w:left w:w="80" w:type="dxa"/>
              <w:bottom w:w="80" w:type="dxa"/>
              <w:right w:w="80" w:type="dxa"/>
            </w:tcMar>
          </w:tcPr>
          <w:p w14:paraId="26882186" w14:textId="66E79CC6" w:rsidR="00E96F8C" w:rsidRDefault="00E96F8C" w:rsidP="00292A53">
            <w:pPr>
              <w:pStyle w:val="lgetabletxt"/>
              <w:spacing w:after="60" w:afterAutospacing="0"/>
            </w:pPr>
            <w:r>
              <w:t>Assets:</w:t>
            </w:r>
            <w:r w:rsidR="00367415">
              <w:t xml:space="preserve"> $</w:t>
            </w:r>
            <w:r w:rsidR="001A6CD8">
              <w:t>3,074</w:t>
            </w:r>
            <w:r>
              <w:t>m</w:t>
            </w:r>
          </w:p>
          <w:p w14:paraId="4F7AC90D" w14:textId="486400A0" w:rsidR="00E96F8C" w:rsidRDefault="00E96F8C" w:rsidP="00292A53">
            <w:pPr>
              <w:pStyle w:val="lgetabletxt"/>
              <w:spacing w:after="60" w:afterAutospacing="0"/>
            </w:pPr>
            <w:r>
              <w:t>Liabilities:</w:t>
            </w:r>
            <w:r w:rsidR="00367415">
              <w:t xml:space="preserve"> $</w:t>
            </w:r>
            <w:r w:rsidR="001A6CD8">
              <w:t>2,574</w:t>
            </w:r>
            <w:r>
              <w:t>m</w:t>
            </w:r>
          </w:p>
          <w:p w14:paraId="347FDA7B" w14:textId="68404E1E" w:rsidR="00E96F8C" w:rsidRPr="00916588" w:rsidRDefault="00E96F8C" w:rsidP="001A6CD8">
            <w:pPr>
              <w:pStyle w:val="lgetabletxt"/>
              <w:spacing w:after="60" w:afterAutospacing="0"/>
            </w:pPr>
            <w:r>
              <w:t xml:space="preserve">Funding ratio: </w:t>
            </w:r>
            <w:r w:rsidR="001A6CD8">
              <w:t>119.5</w:t>
            </w:r>
            <w:r>
              <w:t>%</w:t>
            </w:r>
          </w:p>
        </w:tc>
        <w:tc>
          <w:tcPr>
            <w:tcW w:w="3606" w:type="dxa"/>
            <w:shd w:val="clear" w:color="auto" w:fill="FFC9C9"/>
            <w:tcMar>
              <w:top w:w="80" w:type="dxa"/>
              <w:left w:w="80" w:type="dxa"/>
              <w:bottom w:w="80" w:type="dxa"/>
              <w:right w:w="80" w:type="dxa"/>
            </w:tcMar>
          </w:tcPr>
          <w:p w14:paraId="27ED6399" w14:textId="56F88242" w:rsidR="00E96F8C" w:rsidRDefault="00E96F8C" w:rsidP="00292A53">
            <w:pPr>
              <w:pStyle w:val="lgetabletxt"/>
              <w:spacing w:after="60" w:afterAutospacing="0"/>
            </w:pPr>
            <w:r>
              <w:t>Assets: $</w:t>
            </w:r>
            <w:r w:rsidR="001A6CD8">
              <w:t>2,850</w:t>
            </w:r>
            <w:r>
              <w:t>m</w:t>
            </w:r>
          </w:p>
          <w:p w14:paraId="59129FED" w14:textId="5E5349C7" w:rsidR="00E96F8C" w:rsidRDefault="00E96F8C" w:rsidP="00292A53">
            <w:pPr>
              <w:pStyle w:val="lgetabletxt"/>
              <w:spacing w:after="60" w:afterAutospacing="0"/>
            </w:pPr>
            <w:r>
              <w:t>Liabilities: $</w:t>
            </w:r>
            <w:r w:rsidR="001A6CD8">
              <w:t>2,525</w:t>
            </w:r>
            <w:r>
              <w:t>m</w:t>
            </w:r>
          </w:p>
          <w:p w14:paraId="3A8E1B8B" w14:textId="3D725836" w:rsidR="00E96F8C" w:rsidRPr="00916588" w:rsidRDefault="00E96F8C" w:rsidP="00292A53">
            <w:pPr>
              <w:pStyle w:val="lgetabletxt"/>
              <w:spacing w:after="60" w:afterAutospacing="0"/>
            </w:pPr>
            <w:r>
              <w:t xml:space="preserve">Funding Ratio: </w:t>
            </w:r>
            <w:r w:rsidR="001A6CD8">
              <w:t>112.9</w:t>
            </w:r>
            <w:r>
              <w:t>%</w:t>
            </w:r>
          </w:p>
        </w:tc>
      </w:tr>
      <w:tr w:rsidR="00E96F8C" w:rsidRPr="00916588" w14:paraId="57C72BC3" w14:textId="77777777" w:rsidTr="005725E6">
        <w:tc>
          <w:tcPr>
            <w:tcW w:w="1910" w:type="dxa"/>
            <w:tcMar>
              <w:top w:w="80" w:type="dxa"/>
              <w:left w:w="80" w:type="dxa"/>
              <w:bottom w:w="80" w:type="dxa"/>
              <w:right w:w="80" w:type="dxa"/>
            </w:tcMar>
          </w:tcPr>
          <w:p w14:paraId="7CFFD12E" w14:textId="77777777" w:rsidR="00E96F8C" w:rsidRPr="00916588" w:rsidRDefault="00E96F8C" w:rsidP="00292A53">
            <w:pPr>
              <w:pStyle w:val="TableColumn1bold"/>
              <w:spacing w:after="60"/>
            </w:pPr>
            <w:r w:rsidRPr="00916588">
              <w:t>Tasmania</w:t>
            </w:r>
          </w:p>
        </w:tc>
        <w:tc>
          <w:tcPr>
            <w:tcW w:w="3606" w:type="dxa"/>
            <w:tcMar>
              <w:top w:w="80" w:type="dxa"/>
              <w:left w:w="80" w:type="dxa"/>
              <w:bottom w:w="80" w:type="dxa"/>
              <w:right w:w="80" w:type="dxa"/>
            </w:tcMar>
          </w:tcPr>
          <w:p w14:paraId="7D08D1C3" w14:textId="31B0B9DB" w:rsidR="00E96F8C" w:rsidRPr="00916588" w:rsidRDefault="00E96F8C" w:rsidP="00292A53">
            <w:pPr>
              <w:pStyle w:val="lgetabletxt"/>
              <w:spacing w:after="60" w:afterAutospacing="0"/>
            </w:pPr>
            <w:r w:rsidRPr="00916588">
              <w:t>Tasmania is a privately underwritten scheme there</w:t>
            </w:r>
            <w:r w:rsidR="00AD7528">
              <w:t>fore this data is not available</w:t>
            </w:r>
          </w:p>
        </w:tc>
        <w:tc>
          <w:tcPr>
            <w:tcW w:w="3606" w:type="dxa"/>
            <w:tcMar>
              <w:top w:w="80" w:type="dxa"/>
              <w:left w:w="80" w:type="dxa"/>
              <w:bottom w:w="80" w:type="dxa"/>
              <w:right w:w="80" w:type="dxa"/>
            </w:tcMar>
          </w:tcPr>
          <w:p w14:paraId="56641003" w14:textId="4662AF9B" w:rsidR="00E96F8C" w:rsidRPr="00916588" w:rsidRDefault="00E96F8C" w:rsidP="00292A53">
            <w:pPr>
              <w:pStyle w:val="lgetabletxt"/>
              <w:spacing w:after="60" w:afterAutospacing="0"/>
            </w:pPr>
            <w:r w:rsidRPr="00916588">
              <w:t>Tasmania is a privately underwritten scheme, there</w:t>
            </w:r>
            <w:r w:rsidR="00AD7528">
              <w:t>fore this data is not available</w:t>
            </w:r>
          </w:p>
        </w:tc>
      </w:tr>
      <w:tr w:rsidR="00E96F8C" w:rsidRPr="00916588" w14:paraId="5B4761F2" w14:textId="77777777" w:rsidTr="005725E6">
        <w:tc>
          <w:tcPr>
            <w:tcW w:w="1910" w:type="dxa"/>
            <w:shd w:val="clear" w:color="auto" w:fill="FFC9C9"/>
            <w:tcMar>
              <w:top w:w="80" w:type="dxa"/>
              <w:left w:w="80" w:type="dxa"/>
              <w:bottom w:w="80" w:type="dxa"/>
              <w:right w:w="80" w:type="dxa"/>
            </w:tcMar>
          </w:tcPr>
          <w:p w14:paraId="0EE6CE88" w14:textId="77777777" w:rsidR="00E96F8C" w:rsidRPr="00916588" w:rsidRDefault="00E96F8C" w:rsidP="00292A53">
            <w:pPr>
              <w:pStyle w:val="TableColumn1bold"/>
              <w:spacing w:after="60"/>
            </w:pPr>
            <w:r w:rsidRPr="00916588">
              <w:t>Northern Territory</w:t>
            </w:r>
          </w:p>
        </w:tc>
        <w:tc>
          <w:tcPr>
            <w:tcW w:w="3606" w:type="dxa"/>
            <w:shd w:val="clear" w:color="auto" w:fill="FFC9C9"/>
            <w:tcMar>
              <w:top w:w="80" w:type="dxa"/>
              <w:left w:w="80" w:type="dxa"/>
              <w:bottom w:w="80" w:type="dxa"/>
              <w:right w:w="80" w:type="dxa"/>
            </w:tcMar>
          </w:tcPr>
          <w:p w14:paraId="6BAD4210" w14:textId="64B00103" w:rsidR="00E96F8C" w:rsidRPr="00916588" w:rsidRDefault="00671BA9" w:rsidP="00292A53">
            <w:pPr>
              <w:pStyle w:val="lgetabletxt"/>
              <w:spacing w:after="60" w:afterAutospacing="0"/>
            </w:pPr>
            <w:r>
              <w:t>Northern Territory is a privately underwritten scheme therefore this data is not available</w:t>
            </w:r>
          </w:p>
        </w:tc>
        <w:tc>
          <w:tcPr>
            <w:tcW w:w="3606" w:type="dxa"/>
            <w:shd w:val="clear" w:color="auto" w:fill="FFC9C9"/>
            <w:tcMar>
              <w:top w:w="80" w:type="dxa"/>
              <w:left w:w="80" w:type="dxa"/>
              <w:bottom w:w="80" w:type="dxa"/>
              <w:right w:w="80" w:type="dxa"/>
            </w:tcMar>
          </w:tcPr>
          <w:p w14:paraId="2252BDC8" w14:textId="3794F8DF" w:rsidR="00E96F8C" w:rsidRPr="00916588" w:rsidRDefault="00671BA9" w:rsidP="00292A53">
            <w:pPr>
              <w:pStyle w:val="lgetabletxt"/>
              <w:spacing w:after="60" w:afterAutospacing="0"/>
            </w:pPr>
            <w:r>
              <w:t>Northern Territory is a privately underwritten scheme therefore this data is not available</w:t>
            </w:r>
          </w:p>
        </w:tc>
      </w:tr>
      <w:tr w:rsidR="00E96F8C" w:rsidRPr="00916588" w14:paraId="771FAC7B" w14:textId="77777777" w:rsidTr="005725E6">
        <w:tc>
          <w:tcPr>
            <w:tcW w:w="1910" w:type="dxa"/>
            <w:tcMar>
              <w:top w:w="80" w:type="dxa"/>
              <w:left w:w="80" w:type="dxa"/>
              <w:bottom w:w="80" w:type="dxa"/>
              <w:right w:w="80" w:type="dxa"/>
            </w:tcMar>
          </w:tcPr>
          <w:p w14:paraId="5C8554E8" w14:textId="77777777" w:rsidR="00E96F8C" w:rsidRPr="00916588" w:rsidRDefault="00E96F8C" w:rsidP="00292A53">
            <w:pPr>
              <w:pStyle w:val="TableColumn1bold"/>
              <w:spacing w:after="60"/>
            </w:pPr>
            <w:r w:rsidRPr="00916588">
              <w:t>C’wealth Comcare</w:t>
            </w:r>
          </w:p>
        </w:tc>
        <w:tc>
          <w:tcPr>
            <w:tcW w:w="3606" w:type="dxa"/>
            <w:tcMar>
              <w:top w:w="80" w:type="dxa"/>
              <w:left w:w="80" w:type="dxa"/>
              <w:bottom w:w="80" w:type="dxa"/>
              <w:right w:w="80" w:type="dxa"/>
            </w:tcMar>
          </w:tcPr>
          <w:p w14:paraId="021739E0" w14:textId="324140A9" w:rsidR="00E96F8C" w:rsidRDefault="00E96F8C" w:rsidP="00292A53">
            <w:pPr>
              <w:pStyle w:val="lgetabletxt"/>
              <w:spacing w:after="60" w:afterAutospacing="0"/>
            </w:pPr>
            <w:r>
              <w:t>Asse</w:t>
            </w:r>
            <w:r w:rsidR="006443D2">
              <w:t>ts: $2,475.9m</w:t>
            </w:r>
          </w:p>
          <w:p w14:paraId="501407F0" w14:textId="0C5A5F73" w:rsidR="00E96F8C" w:rsidRDefault="00367415" w:rsidP="00292A53">
            <w:pPr>
              <w:pStyle w:val="lgetabletxt"/>
              <w:spacing w:after="60" w:afterAutospacing="0"/>
            </w:pPr>
            <w:r>
              <w:t>Liabilities: $</w:t>
            </w:r>
            <w:r w:rsidR="006443D2">
              <w:t>2,420.7m</w:t>
            </w:r>
          </w:p>
          <w:p w14:paraId="2B81598F" w14:textId="020C8045" w:rsidR="00E96F8C" w:rsidRPr="00916588" w:rsidRDefault="00AD7528" w:rsidP="006443D2">
            <w:pPr>
              <w:pStyle w:val="lgetabletxt"/>
              <w:spacing w:after="60" w:afterAutospacing="0"/>
            </w:pPr>
            <w:r>
              <w:t xml:space="preserve">Funding Ratio: </w:t>
            </w:r>
            <w:r w:rsidR="006443D2">
              <w:t>102</w:t>
            </w:r>
            <w:r>
              <w:t>%</w:t>
            </w:r>
          </w:p>
        </w:tc>
        <w:tc>
          <w:tcPr>
            <w:tcW w:w="3606" w:type="dxa"/>
            <w:tcMar>
              <w:top w:w="80" w:type="dxa"/>
              <w:left w:w="80" w:type="dxa"/>
              <w:bottom w:w="80" w:type="dxa"/>
              <w:right w:w="80" w:type="dxa"/>
            </w:tcMar>
          </w:tcPr>
          <w:p w14:paraId="57C697DA" w14:textId="77777777" w:rsidR="006443D2" w:rsidRDefault="006443D2" w:rsidP="006443D2">
            <w:pPr>
              <w:pStyle w:val="lgetabletxt"/>
              <w:spacing w:after="60" w:afterAutospacing="0"/>
            </w:pPr>
            <w:r>
              <w:t>Assets: $2,307.1m</w:t>
            </w:r>
          </w:p>
          <w:p w14:paraId="78BC7157" w14:textId="77777777" w:rsidR="006443D2" w:rsidRDefault="006443D2" w:rsidP="006443D2">
            <w:pPr>
              <w:pStyle w:val="lgetabletxt"/>
              <w:spacing w:after="60" w:afterAutospacing="0"/>
            </w:pPr>
            <w:r>
              <w:t>Liabilities: $2,757.9m</w:t>
            </w:r>
          </w:p>
          <w:p w14:paraId="3EF9257B" w14:textId="70550D11" w:rsidR="00E96F8C" w:rsidRPr="00916588" w:rsidRDefault="006443D2" w:rsidP="006443D2">
            <w:pPr>
              <w:pStyle w:val="lgetabletxt"/>
              <w:spacing w:after="60" w:afterAutospacing="0"/>
            </w:pPr>
            <w:r>
              <w:t>Funding Ratio: 83.7%</w:t>
            </w:r>
          </w:p>
        </w:tc>
      </w:tr>
      <w:tr w:rsidR="00E96F8C" w:rsidRPr="00916588" w14:paraId="274D4CE5" w14:textId="77777777" w:rsidTr="005725E6">
        <w:tc>
          <w:tcPr>
            <w:tcW w:w="1910" w:type="dxa"/>
            <w:shd w:val="clear" w:color="auto" w:fill="FFC9C9"/>
            <w:tcMar>
              <w:top w:w="80" w:type="dxa"/>
              <w:left w:w="80" w:type="dxa"/>
              <w:bottom w:w="80" w:type="dxa"/>
              <w:right w:w="80" w:type="dxa"/>
            </w:tcMar>
          </w:tcPr>
          <w:p w14:paraId="1528F1DB" w14:textId="77777777" w:rsidR="00E96F8C" w:rsidRPr="00916588" w:rsidRDefault="00E96F8C" w:rsidP="00292A53">
            <w:pPr>
              <w:pStyle w:val="TableColumn1bold"/>
              <w:spacing w:after="60"/>
            </w:pPr>
            <w:r w:rsidRPr="00916588">
              <w:t>C’wealth Seacare</w:t>
            </w:r>
          </w:p>
        </w:tc>
        <w:tc>
          <w:tcPr>
            <w:tcW w:w="3606" w:type="dxa"/>
            <w:shd w:val="clear" w:color="auto" w:fill="FFC9C9"/>
            <w:tcMar>
              <w:top w:w="80" w:type="dxa"/>
              <w:left w:w="80" w:type="dxa"/>
              <w:bottom w:w="80" w:type="dxa"/>
              <w:right w:w="80" w:type="dxa"/>
            </w:tcMar>
          </w:tcPr>
          <w:p w14:paraId="5ED32C1C" w14:textId="6F185127" w:rsidR="00E96F8C" w:rsidRPr="00916588" w:rsidRDefault="00E96F8C" w:rsidP="00292A53">
            <w:pPr>
              <w:pStyle w:val="lgetabletxt"/>
              <w:spacing w:after="60" w:afterAutospacing="0"/>
            </w:pPr>
            <w:r w:rsidRPr="00916588">
              <w:t>Seacare is a privately underwritten scheme, therefore this data is not available</w:t>
            </w:r>
          </w:p>
        </w:tc>
        <w:tc>
          <w:tcPr>
            <w:tcW w:w="3606" w:type="dxa"/>
            <w:shd w:val="clear" w:color="auto" w:fill="FFC9C9"/>
            <w:tcMar>
              <w:top w:w="80" w:type="dxa"/>
              <w:left w:w="80" w:type="dxa"/>
              <w:bottom w:w="80" w:type="dxa"/>
              <w:right w:w="80" w:type="dxa"/>
            </w:tcMar>
          </w:tcPr>
          <w:p w14:paraId="665007EF" w14:textId="12EE2C0C" w:rsidR="00E96F8C" w:rsidRPr="00916588" w:rsidRDefault="00E96F8C" w:rsidP="00292A53">
            <w:pPr>
              <w:pStyle w:val="lgetabletxt"/>
              <w:spacing w:after="60" w:afterAutospacing="0"/>
            </w:pPr>
            <w:r w:rsidRPr="00916588">
              <w:t>Seacare is a privately underwritten scheme, therefore this data is not available</w:t>
            </w:r>
          </w:p>
        </w:tc>
      </w:tr>
      <w:tr w:rsidR="00E96F8C" w:rsidRPr="00916588" w14:paraId="097939AB" w14:textId="77777777" w:rsidTr="005725E6">
        <w:tc>
          <w:tcPr>
            <w:tcW w:w="1910" w:type="dxa"/>
            <w:tcMar>
              <w:top w:w="80" w:type="dxa"/>
              <w:left w:w="80" w:type="dxa"/>
              <w:bottom w:w="80" w:type="dxa"/>
              <w:right w:w="80" w:type="dxa"/>
            </w:tcMar>
          </w:tcPr>
          <w:p w14:paraId="5B8BA456" w14:textId="77777777" w:rsidR="00E96F8C" w:rsidRPr="00916588" w:rsidRDefault="00F14F26" w:rsidP="00292A53">
            <w:pPr>
              <w:pStyle w:val="TableColumn1bold"/>
              <w:spacing w:after="60"/>
            </w:pPr>
            <w:r>
              <w:t>New Zealand</w:t>
            </w:r>
          </w:p>
        </w:tc>
        <w:tc>
          <w:tcPr>
            <w:tcW w:w="3606" w:type="dxa"/>
            <w:tcMar>
              <w:top w:w="80" w:type="dxa"/>
              <w:left w:w="80" w:type="dxa"/>
              <w:bottom w:w="80" w:type="dxa"/>
              <w:right w:w="80" w:type="dxa"/>
            </w:tcMar>
          </w:tcPr>
          <w:p w14:paraId="172C6B75" w14:textId="4731018C" w:rsidR="00F14F26" w:rsidRPr="00916588" w:rsidRDefault="00F14F26" w:rsidP="00292A53">
            <w:pPr>
              <w:pStyle w:val="lgetabletxt"/>
              <w:spacing w:after="60" w:afterAutospacing="0"/>
            </w:pPr>
            <w:r w:rsidRPr="00916588">
              <w:t>Assets: NZ$</w:t>
            </w:r>
            <w:r w:rsidR="005D19AC">
              <w:t>9,231</w:t>
            </w:r>
            <w:r w:rsidRPr="00916588">
              <w:t>m</w:t>
            </w:r>
          </w:p>
          <w:p w14:paraId="1E2336C8" w14:textId="4CBC01BC" w:rsidR="00F14F26" w:rsidRPr="00916588" w:rsidRDefault="00F14F26" w:rsidP="00292A53">
            <w:pPr>
              <w:pStyle w:val="lgetabletxt"/>
              <w:spacing w:after="60" w:afterAutospacing="0"/>
            </w:pPr>
            <w:r w:rsidRPr="00916588">
              <w:t>Liabilities: NZ$</w:t>
            </w:r>
            <w:r w:rsidR="005D19AC">
              <w:t>6,231</w:t>
            </w:r>
            <w:r w:rsidRPr="00916588">
              <w:t>m</w:t>
            </w:r>
          </w:p>
          <w:p w14:paraId="47F950E0" w14:textId="78989513" w:rsidR="00E96F8C" w:rsidRPr="00916588" w:rsidRDefault="00F14F26" w:rsidP="00292A53">
            <w:pPr>
              <w:pStyle w:val="lgetabletxt"/>
              <w:spacing w:after="60" w:afterAutospacing="0"/>
              <w:rPr>
                <w:highlight w:val="yellow"/>
              </w:rPr>
            </w:pPr>
            <w:r w:rsidRPr="00916588">
              <w:t xml:space="preserve">Funding Ratio: </w:t>
            </w:r>
            <w:r w:rsidR="005D19AC">
              <w:t>148.2</w:t>
            </w:r>
            <w:r w:rsidR="00AD7528">
              <w:t>%</w:t>
            </w:r>
          </w:p>
        </w:tc>
        <w:tc>
          <w:tcPr>
            <w:tcW w:w="3606" w:type="dxa"/>
            <w:tcMar>
              <w:top w:w="80" w:type="dxa"/>
              <w:left w:w="80" w:type="dxa"/>
              <w:bottom w:w="80" w:type="dxa"/>
              <w:right w:w="80" w:type="dxa"/>
            </w:tcMar>
          </w:tcPr>
          <w:p w14:paraId="42A08062" w14:textId="4C383F93" w:rsidR="00F14F26" w:rsidRPr="00916588" w:rsidRDefault="00367415" w:rsidP="00292A53">
            <w:pPr>
              <w:pStyle w:val="lgetabletxt"/>
              <w:spacing w:after="60" w:afterAutospacing="0"/>
            </w:pPr>
            <w:r>
              <w:t>Assets: NZ$</w:t>
            </w:r>
            <w:r w:rsidR="005D19AC">
              <w:t>8,916</w:t>
            </w:r>
            <w:r w:rsidR="00F14F26" w:rsidRPr="00916588">
              <w:t>m</w:t>
            </w:r>
          </w:p>
          <w:p w14:paraId="226A15BB" w14:textId="0289BF12" w:rsidR="00F14F26" w:rsidRPr="00916588" w:rsidRDefault="00F14F26" w:rsidP="00292A53">
            <w:pPr>
              <w:pStyle w:val="lgetabletxt"/>
              <w:spacing w:after="60" w:afterAutospacing="0"/>
            </w:pPr>
            <w:r w:rsidRPr="00916588">
              <w:t>Liabilities: NZ$</w:t>
            </w:r>
            <w:r w:rsidR="005D19AC">
              <w:t>6,368</w:t>
            </w:r>
            <w:r w:rsidRPr="00916588">
              <w:t>m</w:t>
            </w:r>
          </w:p>
          <w:p w14:paraId="5AD07083" w14:textId="7973D620" w:rsidR="00E96F8C" w:rsidRPr="00916588" w:rsidRDefault="00AD7528" w:rsidP="005D19AC">
            <w:pPr>
              <w:pStyle w:val="lgetabletxt"/>
              <w:spacing w:after="60" w:afterAutospacing="0"/>
              <w:rPr>
                <w:highlight w:val="yellow"/>
              </w:rPr>
            </w:pPr>
            <w:r>
              <w:t xml:space="preserve">Funding Ratio: </w:t>
            </w:r>
            <w:r w:rsidR="005D19AC">
              <w:t>140</w:t>
            </w:r>
            <w:r>
              <w:t>%</w:t>
            </w:r>
          </w:p>
        </w:tc>
      </w:tr>
    </w:tbl>
    <w:p w14:paraId="0AA61410" w14:textId="0C13D6CF" w:rsidR="00E96F8C" w:rsidRPr="00153D3F" w:rsidRDefault="005725E6" w:rsidP="005725E6">
      <w:pPr>
        <w:pStyle w:val="Footnote"/>
      </w:pPr>
      <w:r>
        <w:t>** the funding position is provided for the government insurer, Insurance &amp; Care NSW which represents 74 per cent of wages within New South Wales</w:t>
      </w:r>
    </w:p>
    <w:p w14:paraId="4C286CB9" w14:textId="12EEFFE5" w:rsidR="006A50D4" w:rsidRDefault="00C66972" w:rsidP="008F2092">
      <w:pPr>
        <w:spacing w:after="200" w:line="276" w:lineRule="auto"/>
        <w:rPr>
          <w:rFonts w:eastAsiaTheme="minorHAnsi"/>
        </w:rPr>
      </w:pPr>
      <w:r w:rsidRPr="00C66972">
        <w:rPr>
          <w:rFonts w:eastAsiaTheme="minorHAnsi"/>
        </w:rPr>
        <w:t xml:space="preserve">Care should be taken when analysing the information above as the valuation of liabilities differs across jurisdictions. The </w:t>
      </w:r>
      <w:hyperlink r:id="rId2186" w:history="1">
        <w:r w:rsidR="00D868BA" w:rsidRPr="00D868BA">
          <w:rPr>
            <w:rStyle w:val="Hyperlink"/>
            <w:rFonts w:eastAsiaTheme="minorHAnsi"/>
          </w:rPr>
          <w:t>Comparative Performance Monitoring (CPM) report 19th Edition – Part 3</w:t>
        </w:r>
      </w:hyperlink>
      <w:r w:rsidRPr="00C66972">
        <w:rPr>
          <w:rFonts w:eastAsiaTheme="minorHAnsi"/>
        </w:rPr>
        <w:t>, attempts to address most of the areas where differences can occur.</w:t>
      </w:r>
    </w:p>
    <w:p w14:paraId="36595D50" w14:textId="77777777" w:rsidR="008F2092" w:rsidRDefault="008F2092" w:rsidP="00702D6D">
      <w:pPr>
        <w:pStyle w:val="Heading4"/>
      </w:pPr>
      <w:bookmarkStart w:id="246" w:name="_Toc483227202"/>
    </w:p>
    <w:p w14:paraId="2A950E0B" w14:textId="77777777" w:rsidR="008F2092" w:rsidRDefault="008F2092">
      <w:pPr>
        <w:spacing w:after="200" w:line="276" w:lineRule="auto"/>
        <w:rPr>
          <w:rFonts w:ascii="Arial Bold" w:eastAsiaTheme="majorEastAsia" w:hAnsi="Arial Bold" w:cs="Arial"/>
          <w:b/>
          <w:bCs/>
          <w:color w:val="C00000"/>
          <w:kern w:val="28"/>
          <w:sz w:val="36"/>
          <w:szCs w:val="32"/>
          <w:lang w:eastAsia="en-US"/>
        </w:rPr>
      </w:pPr>
      <w:r>
        <w:rPr>
          <w:rFonts w:ascii="Arial Bold" w:eastAsiaTheme="majorEastAsia" w:hAnsi="Arial Bold" w:cs="Arial"/>
          <w:b/>
          <w:bCs/>
          <w:color w:val="C00000"/>
          <w:kern w:val="28"/>
          <w:sz w:val="36"/>
          <w:szCs w:val="32"/>
          <w:lang w:eastAsia="en-US"/>
        </w:rPr>
        <w:br w:type="page"/>
      </w:r>
    </w:p>
    <w:p w14:paraId="3797FFB4" w14:textId="0EAD54A6" w:rsidR="006A50D4" w:rsidRPr="00205CCE" w:rsidRDefault="00C66972" w:rsidP="00205CCE">
      <w:pPr>
        <w:pStyle w:val="Title"/>
      </w:pPr>
      <w:bookmarkStart w:id="247" w:name="_Toc504654727"/>
      <w:r w:rsidRPr="00205CCE">
        <w:lastRenderedPageBreak/>
        <w:t>Premiums</w:t>
      </w:r>
      <w:bookmarkEnd w:id="247"/>
      <w:r w:rsidRPr="00205CCE">
        <w:t xml:space="preserve"> </w:t>
      </w:r>
      <w:bookmarkEnd w:id="246"/>
    </w:p>
    <w:p w14:paraId="284279E1" w14:textId="5B23F792" w:rsidR="00172AC7" w:rsidRDefault="00C66972" w:rsidP="008F2092">
      <w:pPr>
        <w:spacing w:before="240"/>
        <w:rPr>
          <w:rFonts w:eastAsiaTheme="minorHAnsi"/>
        </w:rPr>
      </w:pPr>
      <w:r w:rsidRPr="00C66972">
        <w:rPr>
          <w:rFonts w:eastAsiaTheme="minorHAnsi"/>
        </w:rPr>
        <w:t>Employers, other than self-insurers, are required to pay workers’ compensation premiums to cover their workers in the event of a work related injury or illness. The majority of employers in Australia and New Zealand are premium payers. Premiums fund financial and medical support to injured workers, cover the costs of dispute management and administration of the schemes.</w:t>
      </w:r>
    </w:p>
    <w:p w14:paraId="567C4297" w14:textId="77777777" w:rsidR="00172AC7" w:rsidRDefault="00C66972" w:rsidP="008F2092">
      <w:pPr>
        <w:spacing w:before="240"/>
        <w:rPr>
          <w:rFonts w:eastAsiaTheme="minorHAnsi"/>
        </w:rPr>
      </w:pPr>
      <w:r w:rsidRPr="00C66972">
        <w:rPr>
          <w:rFonts w:eastAsiaTheme="minorHAnsi"/>
        </w:rPr>
        <w:t>In central and hybrid schemes</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r w:rsidRPr="00C66972">
        <w:rPr>
          <w:rFonts w:eastAsiaTheme="minorHAnsi"/>
        </w:rPr>
        <w:t>, premium rates are set by a central authority based on actuarial forecasts of claim costs across all industry sectors. In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xml:space="preserve"> independent insurers charge premiums based on a commercial underwriting basis.</w:t>
      </w:r>
    </w:p>
    <w:p w14:paraId="1E3CB928" w14:textId="77777777" w:rsidR="00172AC7" w:rsidRDefault="00C66972" w:rsidP="008F2092">
      <w:pPr>
        <w:spacing w:before="240"/>
        <w:rPr>
          <w:rFonts w:eastAsiaTheme="minorHAnsi"/>
        </w:rPr>
      </w:pPr>
      <w:r w:rsidRPr="00C66972">
        <w:rPr>
          <w:rFonts w:eastAsiaTheme="minorHAnsi"/>
        </w:rPr>
        <w:t>Premium rates are generally pooled across similar risk profile groups. This allows employers who share a common set of risks to spread the risk across their industry type. Across the schemes there are hundreds of specified premium rates for industry types.</w:t>
      </w:r>
      <w:r w:rsidR="006C5F8F">
        <w:rPr>
          <w:rFonts w:eastAsiaTheme="minorHAnsi"/>
        </w:rPr>
        <w:t xml:space="preserve"> </w:t>
      </w:r>
      <w:r w:rsidRPr="00C66972">
        <w:rPr>
          <w:rFonts w:eastAsiaTheme="minorHAnsi"/>
        </w:rPr>
        <w:t>Employers that operate in more than one jurisdiction have to pay the relevant premium in each jurisdiction.</w:t>
      </w:r>
    </w:p>
    <w:p w14:paraId="4B6D9BB7" w14:textId="78137A03" w:rsidR="00C66972" w:rsidRPr="00C66972" w:rsidRDefault="00C66972" w:rsidP="008F2092">
      <w:pPr>
        <w:spacing w:before="240"/>
        <w:rPr>
          <w:rFonts w:eastAsiaTheme="minorHAnsi"/>
        </w:rPr>
      </w:pPr>
      <w:r w:rsidRPr="00C66972">
        <w:rPr>
          <w:rFonts w:eastAsiaTheme="minorHAnsi"/>
        </w:rPr>
        <w:t>Premiums are usually expressed as a percentage of employers’ total wages bills. The rates depend on an employer’s:</w:t>
      </w:r>
    </w:p>
    <w:p w14:paraId="46FB941F" w14:textId="77777777" w:rsidR="00C66972" w:rsidRPr="006C5F8F" w:rsidRDefault="00C66972" w:rsidP="00F839DB">
      <w:pPr>
        <w:pStyle w:val="ListParagraph"/>
        <w:numPr>
          <w:ilvl w:val="0"/>
          <w:numId w:val="486"/>
        </w:numPr>
        <w:rPr>
          <w:rFonts w:eastAsiaTheme="minorHAnsi"/>
        </w:rPr>
      </w:pPr>
      <w:r w:rsidRPr="006C5F8F">
        <w:rPr>
          <w:rFonts w:eastAsiaTheme="minorHAnsi"/>
        </w:rPr>
        <w:t>size</w:t>
      </w:r>
    </w:p>
    <w:p w14:paraId="3C6E3E88" w14:textId="77777777" w:rsidR="00C66972" w:rsidRPr="006C5F8F" w:rsidRDefault="00C66972" w:rsidP="00F839DB">
      <w:pPr>
        <w:pStyle w:val="ListParagraph"/>
        <w:numPr>
          <w:ilvl w:val="0"/>
          <w:numId w:val="486"/>
        </w:numPr>
        <w:rPr>
          <w:rFonts w:eastAsiaTheme="minorHAnsi"/>
        </w:rPr>
      </w:pPr>
      <w:r w:rsidRPr="006C5F8F">
        <w:rPr>
          <w:rFonts w:eastAsiaTheme="minorHAnsi"/>
        </w:rPr>
        <w:t>industry</w:t>
      </w:r>
    </w:p>
    <w:p w14:paraId="6C61B601" w14:textId="77777777" w:rsidR="00C66972" w:rsidRPr="006C5F8F" w:rsidRDefault="00C66972" w:rsidP="00F839DB">
      <w:pPr>
        <w:pStyle w:val="ListParagraph"/>
        <w:numPr>
          <w:ilvl w:val="0"/>
          <w:numId w:val="486"/>
        </w:numPr>
        <w:rPr>
          <w:rFonts w:eastAsiaTheme="minorHAnsi"/>
        </w:rPr>
      </w:pPr>
      <w:r w:rsidRPr="006C5F8F">
        <w:rPr>
          <w:rFonts w:eastAsiaTheme="minorHAnsi"/>
        </w:rPr>
        <w:t>individual claims experience, and</w:t>
      </w:r>
    </w:p>
    <w:p w14:paraId="529CB158" w14:textId="77777777" w:rsidR="00172AC7" w:rsidRDefault="00C66972" w:rsidP="00F839DB">
      <w:pPr>
        <w:pStyle w:val="ListParagraph"/>
        <w:numPr>
          <w:ilvl w:val="0"/>
          <w:numId w:val="486"/>
        </w:numPr>
        <w:rPr>
          <w:rFonts w:eastAsiaTheme="minorHAnsi"/>
        </w:rPr>
      </w:pPr>
      <w:r w:rsidRPr="006C5F8F">
        <w:rPr>
          <w:rFonts w:eastAsiaTheme="minorHAnsi"/>
        </w:rPr>
        <w:t>the way that ‘wages’ are defined for workers’ compensation purposes, which can vary across the jurisdictions.</w:t>
      </w:r>
    </w:p>
    <w:p w14:paraId="6BB6945A" w14:textId="2EA27EB7" w:rsidR="00172AC7" w:rsidRDefault="00C66972" w:rsidP="008F2092">
      <w:pPr>
        <w:spacing w:before="240"/>
        <w:rPr>
          <w:rFonts w:eastAsiaTheme="minorHAnsi"/>
        </w:rPr>
      </w:pPr>
      <w:r w:rsidRPr="00C66972">
        <w:rPr>
          <w:rFonts w:eastAsiaTheme="minorHAnsi"/>
        </w:rPr>
        <w:t>In 201</w:t>
      </w:r>
      <w:r w:rsidR="0043215F">
        <w:rPr>
          <w:rFonts w:eastAsiaTheme="minorHAnsi"/>
        </w:rPr>
        <w:t>5</w:t>
      </w:r>
      <w:r w:rsidRPr="00C66972">
        <w:rPr>
          <w:rFonts w:eastAsiaTheme="minorHAnsi"/>
        </w:rPr>
        <w:t>–1</w:t>
      </w:r>
      <w:r w:rsidR="0043215F">
        <w:rPr>
          <w:rFonts w:eastAsiaTheme="minorHAnsi"/>
        </w:rPr>
        <w:t>6</w:t>
      </w:r>
      <w:r w:rsidRPr="00C66972">
        <w:rPr>
          <w:rFonts w:eastAsiaTheme="minorHAnsi"/>
        </w:rPr>
        <w:t xml:space="preserve"> the Australian standardised average premium rate was 1.</w:t>
      </w:r>
      <w:r w:rsidR="0043215F" w:rsidRPr="00C66972">
        <w:rPr>
          <w:rFonts w:eastAsiaTheme="minorHAnsi"/>
        </w:rPr>
        <w:t>3</w:t>
      </w:r>
      <w:r w:rsidR="0043215F">
        <w:rPr>
          <w:rFonts w:eastAsiaTheme="minorHAnsi"/>
        </w:rPr>
        <w:t>2</w:t>
      </w:r>
      <w:r w:rsidR="0043215F" w:rsidRPr="00C66972">
        <w:rPr>
          <w:rFonts w:eastAsiaTheme="minorHAnsi"/>
        </w:rPr>
        <w:t xml:space="preserve"> </w:t>
      </w:r>
      <w:r w:rsidRPr="00C66972">
        <w:rPr>
          <w:rFonts w:eastAsiaTheme="minorHAnsi"/>
        </w:rPr>
        <w:t xml:space="preserve">per cent of payroll, which was lower than the previous year </w:t>
      </w:r>
      <w:r w:rsidR="0043215F" w:rsidRPr="00C66972">
        <w:rPr>
          <w:rFonts w:eastAsiaTheme="minorHAnsi"/>
        </w:rPr>
        <w:t>201</w:t>
      </w:r>
      <w:r w:rsidR="0043215F">
        <w:rPr>
          <w:rFonts w:eastAsiaTheme="minorHAnsi"/>
        </w:rPr>
        <w:t>4</w:t>
      </w:r>
      <w:r w:rsidRPr="00C66972">
        <w:rPr>
          <w:rFonts w:eastAsiaTheme="minorHAnsi"/>
        </w:rPr>
        <w:t>–</w:t>
      </w:r>
      <w:r w:rsidR="0043215F">
        <w:rPr>
          <w:rFonts w:eastAsiaTheme="minorHAnsi"/>
        </w:rPr>
        <w:t>15</w:t>
      </w:r>
      <w:r w:rsidR="0043215F" w:rsidRPr="00C66972">
        <w:rPr>
          <w:rFonts w:eastAsiaTheme="minorHAnsi"/>
        </w:rPr>
        <w:t xml:space="preserve"> </w:t>
      </w:r>
      <w:r w:rsidRPr="00C66972">
        <w:rPr>
          <w:rFonts w:eastAsiaTheme="minorHAnsi"/>
        </w:rPr>
        <w:t>(1.</w:t>
      </w:r>
      <w:r w:rsidR="0043215F">
        <w:rPr>
          <w:rFonts w:eastAsiaTheme="minorHAnsi"/>
        </w:rPr>
        <w:t xml:space="preserve">39 </w:t>
      </w:r>
      <w:r w:rsidR="0035009B">
        <w:rPr>
          <w:rFonts w:eastAsiaTheme="minorHAnsi"/>
        </w:rPr>
        <w:t>per cent</w:t>
      </w:r>
      <w:r w:rsidR="0043215F">
        <w:rPr>
          <w:rFonts w:eastAsiaTheme="minorHAnsi"/>
        </w:rPr>
        <w:t xml:space="preserve"> of payroll</w:t>
      </w:r>
      <w:r w:rsidRPr="00C66972">
        <w:rPr>
          <w:rFonts w:eastAsiaTheme="minorHAnsi"/>
        </w:rPr>
        <w:t xml:space="preserve">). Table 7.5 shows the standardised average premium rate in each jurisdiction over the last five financial years as reported in </w:t>
      </w:r>
      <w:r w:rsidR="0043215F">
        <w:rPr>
          <w:rFonts w:eastAsiaTheme="minorHAnsi"/>
        </w:rPr>
        <w:t xml:space="preserve">Part 3 – Premium, Entitlements and Scheme Performance of the </w:t>
      </w:r>
      <w:r w:rsidRPr="00C66972">
        <w:rPr>
          <w:rFonts w:eastAsiaTheme="minorHAnsi"/>
        </w:rPr>
        <w:t>CPM report 1</w:t>
      </w:r>
      <w:r w:rsidR="0043215F">
        <w:rPr>
          <w:rFonts w:eastAsiaTheme="minorHAnsi"/>
        </w:rPr>
        <w:t>9</w:t>
      </w:r>
      <w:r w:rsidRPr="00C66972">
        <w:rPr>
          <w:rFonts w:eastAsiaTheme="minorHAnsi"/>
        </w:rPr>
        <w:t xml:space="preserve">th edition (Indicator </w:t>
      </w:r>
      <w:r w:rsidR="0043215F">
        <w:rPr>
          <w:rFonts w:eastAsiaTheme="minorHAnsi"/>
        </w:rPr>
        <w:t>13</w:t>
      </w:r>
      <w:r w:rsidRPr="00C66972">
        <w:rPr>
          <w:rFonts w:eastAsiaTheme="minorHAnsi"/>
        </w:rPr>
        <w:t xml:space="preserve">). </w:t>
      </w:r>
    </w:p>
    <w:p w14:paraId="3E081AA7" w14:textId="6899AE1A" w:rsidR="00C66972" w:rsidRPr="00C66972" w:rsidRDefault="00C66972" w:rsidP="008F2092">
      <w:pPr>
        <w:spacing w:before="240"/>
        <w:rPr>
          <w:rFonts w:eastAsiaTheme="minorHAnsi"/>
        </w:rPr>
      </w:pPr>
      <w:r w:rsidRPr="00C66972">
        <w:rPr>
          <w:rFonts w:eastAsiaTheme="minorHAnsi"/>
        </w:rPr>
        <w:t xml:space="preserve">The standardised premium rates are determined by applying factors that adjust the </w:t>
      </w:r>
      <w:r w:rsidR="00D868BA">
        <w:rPr>
          <w:rFonts w:eastAsiaTheme="minorHAnsi"/>
        </w:rPr>
        <w:t>combined</w:t>
      </w:r>
      <w:r w:rsidRPr="00C66972">
        <w:rPr>
          <w:rFonts w:eastAsiaTheme="minorHAnsi"/>
        </w:rPr>
        <w:t xml:space="preserve"> average premium rate for employer excess and journey claims in each jurisdiction. A full explanation of the methodology for producing standardised average premium rates is in Appendix 1 </w:t>
      </w:r>
      <w:r w:rsidR="0043215F">
        <w:rPr>
          <w:rFonts w:eastAsiaTheme="minorHAnsi"/>
        </w:rPr>
        <w:t xml:space="preserve">– Explanatory notes </w:t>
      </w:r>
      <w:r w:rsidRPr="00C66972">
        <w:rPr>
          <w:rFonts w:eastAsiaTheme="minorHAnsi"/>
        </w:rPr>
        <w:t>of the CPM report</w:t>
      </w:r>
      <w:r w:rsidR="00D868BA">
        <w:rPr>
          <w:rFonts w:eastAsiaTheme="minorHAnsi"/>
        </w:rPr>
        <w:t xml:space="preserve"> 19th</w:t>
      </w:r>
      <w:r w:rsidR="0043215F">
        <w:rPr>
          <w:rFonts w:eastAsiaTheme="minorHAnsi"/>
        </w:rPr>
        <w:t xml:space="preserve"> </w:t>
      </w:r>
      <w:r w:rsidR="00D868BA">
        <w:rPr>
          <w:rFonts w:eastAsiaTheme="minorHAnsi"/>
        </w:rPr>
        <w:t xml:space="preserve">edition – </w:t>
      </w:r>
      <w:r w:rsidR="0043215F">
        <w:rPr>
          <w:rFonts w:eastAsiaTheme="minorHAnsi"/>
        </w:rPr>
        <w:t>Part 3</w:t>
      </w:r>
      <w:r w:rsidRPr="00C66972">
        <w:rPr>
          <w:rFonts w:eastAsiaTheme="minorHAnsi"/>
        </w:rPr>
        <w:t xml:space="preserve">. </w:t>
      </w:r>
    </w:p>
    <w:p w14:paraId="2D40D06F" w14:textId="2AE3EDC0" w:rsidR="00856236" w:rsidRPr="00205CCE" w:rsidRDefault="00856236" w:rsidP="00205CCE">
      <w:pPr>
        <w:pStyle w:val="SWATableheader"/>
      </w:pPr>
      <w:bookmarkStart w:id="248" w:name="_Toc504654728"/>
      <w:r w:rsidRPr="00205CCE">
        <w:lastRenderedPageBreak/>
        <w:t xml:space="preserve">Table 7.5: Standardised average premium rates </w:t>
      </w:r>
      <w:r w:rsidR="000264C0">
        <w:t>2011–12 to 2015–16</w:t>
      </w:r>
      <w:r w:rsidRPr="00205CCE">
        <w:t xml:space="preserve"> (</w:t>
      </w:r>
      <w:r w:rsidR="0043215F">
        <w:t>per cent</w:t>
      </w:r>
      <w:r w:rsidRPr="00205CCE">
        <w:t xml:space="preserve"> of payroll)</w:t>
      </w:r>
      <w:bookmarkEnd w:id="248"/>
      <w:r w:rsidR="003D18DA" w:rsidRPr="00205CCE">
        <w:fldChar w:fldCharType="begin"/>
      </w:r>
      <w:r w:rsidR="003D18DA" w:rsidRPr="00205CCE">
        <w:instrText xml:space="preserve"> XE "premium rates:standardised average premium rates" </w:instrText>
      </w:r>
      <w:r w:rsidR="003D18DA" w:rsidRPr="00205CCE">
        <w:fldChar w:fldCharType="end"/>
      </w:r>
      <w:r w:rsidRPr="00205CCE">
        <w:t xml:space="preserve"> </w:t>
      </w:r>
      <w:r w:rsidR="00CA3CD4" w:rsidRPr="00205CCE">
        <w:fldChar w:fldCharType="begin"/>
      </w:r>
      <w:r w:rsidR="00CA3CD4" w:rsidRPr="00205CCE">
        <w:instrText xml:space="preserve"> XE "standardised average premium rates" </w:instrText>
      </w:r>
      <w:r w:rsidR="00CA3CD4" w:rsidRPr="00205CCE">
        <w:fldChar w:fldCharType="end"/>
      </w:r>
    </w:p>
    <w:tbl>
      <w:tblPr>
        <w:tblW w:w="9182"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5: Standardised average premium rates 2008–09 to 2012–13 (% of payroll) "/>
        <w:tblDescription w:val="This table provides information on standardised average premium rates 2010-11 to 2014-15. "/>
      </w:tblPr>
      <w:tblGrid>
        <w:gridCol w:w="851"/>
        <w:gridCol w:w="757"/>
        <w:gridCol w:w="757"/>
        <w:gridCol w:w="758"/>
        <w:gridCol w:w="757"/>
        <w:gridCol w:w="757"/>
        <w:gridCol w:w="758"/>
        <w:gridCol w:w="757"/>
        <w:gridCol w:w="757"/>
        <w:gridCol w:w="758"/>
        <w:gridCol w:w="757"/>
        <w:gridCol w:w="758"/>
      </w:tblGrid>
      <w:tr w:rsidR="00856236" w:rsidRPr="00856236" w14:paraId="0BCA897F" w14:textId="77777777" w:rsidTr="00B017CF">
        <w:trPr>
          <w:cantSplit/>
          <w:trHeight w:val="1308"/>
          <w:tblHeader/>
        </w:trPr>
        <w:tc>
          <w:tcPr>
            <w:tcW w:w="851" w:type="dxa"/>
            <w:shd w:val="clear" w:color="auto" w:fill="C00000"/>
            <w:tcMar>
              <w:top w:w="80" w:type="dxa"/>
              <w:left w:w="80" w:type="dxa"/>
              <w:bottom w:w="80" w:type="dxa"/>
              <w:right w:w="80" w:type="dxa"/>
            </w:tcMar>
            <w:textDirection w:val="btLr"/>
            <w:vAlign w:val="center"/>
          </w:tcPr>
          <w:p w14:paraId="2A88FD7B" w14:textId="77777777" w:rsidR="00856236" w:rsidRPr="00856236" w:rsidRDefault="00856236" w:rsidP="00B017CF">
            <w:pPr>
              <w:pStyle w:val="Tableheaderrow"/>
              <w:spacing w:after="60"/>
              <w:ind w:left="113" w:right="113"/>
            </w:pPr>
          </w:p>
        </w:tc>
        <w:tc>
          <w:tcPr>
            <w:tcW w:w="757" w:type="dxa"/>
            <w:shd w:val="clear" w:color="auto" w:fill="C00000"/>
            <w:tcMar>
              <w:top w:w="0" w:type="dxa"/>
              <w:left w:w="0" w:type="dxa"/>
              <w:bottom w:w="0" w:type="dxa"/>
              <w:right w:w="0" w:type="dxa"/>
            </w:tcMar>
            <w:textDirection w:val="btLr"/>
            <w:vAlign w:val="center"/>
          </w:tcPr>
          <w:p w14:paraId="64711247" w14:textId="77777777" w:rsidR="00856236" w:rsidRPr="007C1CB3" w:rsidRDefault="00856236" w:rsidP="00B017CF">
            <w:pPr>
              <w:pStyle w:val="Tableheaderrow"/>
              <w:spacing w:after="60"/>
              <w:ind w:left="113" w:right="113"/>
              <w:rPr>
                <w:sz w:val="16"/>
              </w:rPr>
            </w:pPr>
            <w:r w:rsidRPr="007C1CB3">
              <w:rPr>
                <w:sz w:val="16"/>
              </w:rPr>
              <w:t>New South Wales</w:t>
            </w:r>
          </w:p>
        </w:tc>
        <w:tc>
          <w:tcPr>
            <w:tcW w:w="757" w:type="dxa"/>
            <w:shd w:val="clear" w:color="auto" w:fill="C00000"/>
            <w:tcMar>
              <w:top w:w="0" w:type="dxa"/>
              <w:left w:w="0" w:type="dxa"/>
              <w:bottom w:w="0" w:type="dxa"/>
              <w:right w:w="0" w:type="dxa"/>
            </w:tcMar>
            <w:textDirection w:val="btLr"/>
            <w:vAlign w:val="center"/>
          </w:tcPr>
          <w:p w14:paraId="60D70947" w14:textId="77777777" w:rsidR="00856236" w:rsidRPr="007C1CB3" w:rsidRDefault="00856236" w:rsidP="00B017CF">
            <w:pPr>
              <w:pStyle w:val="Tableheaderrow"/>
              <w:spacing w:after="60"/>
              <w:ind w:left="113" w:right="113"/>
              <w:rPr>
                <w:sz w:val="16"/>
              </w:rPr>
            </w:pPr>
            <w:r w:rsidRPr="007C1CB3">
              <w:rPr>
                <w:sz w:val="16"/>
              </w:rPr>
              <w:t>Victoria</w:t>
            </w:r>
          </w:p>
        </w:tc>
        <w:tc>
          <w:tcPr>
            <w:tcW w:w="758" w:type="dxa"/>
            <w:shd w:val="clear" w:color="auto" w:fill="C00000"/>
            <w:tcMar>
              <w:top w:w="0" w:type="dxa"/>
              <w:left w:w="0" w:type="dxa"/>
              <w:bottom w:w="0" w:type="dxa"/>
              <w:right w:w="0" w:type="dxa"/>
            </w:tcMar>
            <w:textDirection w:val="btLr"/>
            <w:vAlign w:val="center"/>
          </w:tcPr>
          <w:p w14:paraId="75373EA9" w14:textId="333D6BD7" w:rsidR="00856236" w:rsidRPr="007C1CB3" w:rsidRDefault="00856236" w:rsidP="00B017CF">
            <w:pPr>
              <w:pStyle w:val="Tableheaderrow"/>
              <w:spacing w:after="60"/>
              <w:ind w:left="113" w:right="113"/>
              <w:rPr>
                <w:sz w:val="16"/>
              </w:rPr>
            </w:pPr>
            <w:r w:rsidRPr="007C1CB3">
              <w:rPr>
                <w:sz w:val="16"/>
              </w:rPr>
              <w:t>Queenslan</w:t>
            </w:r>
            <w:r w:rsidR="00B017CF">
              <w:rPr>
                <w:sz w:val="16"/>
              </w:rPr>
              <w:t>d</w:t>
            </w:r>
          </w:p>
        </w:tc>
        <w:tc>
          <w:tcPr>
            <w:tcW w:w="757" w:type="dxa"/>
            <w:shd w:val="clear" w:color="auto" w:fill="C00000"/>
            <w:tcMar>
              <w:top w:w="0" w:type="dxa"/>
              <w:left w:w="0" w:type="dxa"/>
              <w:bottom w:w="0" w:type="dxa"/>
              <w:right w:w="0" w:type="dxa"/>
            </w:tcMar>
            <w:textDirection w:val="btLr"/>
            <w:vAlign w:val="center"/>
          </w:tcPr>
          <w:p w14:paraId="636BD639" w14:textId="77777777" w:rsidR="00856236" w:rsidRPr="007C1CB3" w:rsidRDefault="00856236" w:rsidP="00B017CF">
            <w:pPr>
              <w:pStyle w:val="Tableheaderrow"/>
              <w:spacing w:after="60"/>
              <w:ind w:left="113" w:right="113"/>
              <w:rPr>
                <w:sz w:val="16"/>
              </w:rPr>
            </w:pPr>
            <w:r w:rsidRPr="007C1CB3">
              <w:rPr>
                <w:sz w:val="16"/>
              </w:rPr>
              <w:t>Western Australia</w:t>
            </w:r>
          </w:p>
        </w:tc>
        <w:tc>
          <w:tcPr>
            <w:tcW w:w="757" w:type="dxa"/>
            <w:shd w:val="clear" w:color="auto" w:fill="C00000"/>
            <w:tcMar>
              <w:top w:w="0" w:type="dxa"/>
              <w:left w:w="0" w:type="dxa"/>
              <w:bottom w:w="0" w:type="dxa"/>
              <w:right w:w="0" w:type="dxa"/>
            </w:tcMar>
            <w:textDirection w:val="btLr"/>
            <w:vAlign w:val="center"/>
          </w:tcPr>
          <w:p w14:paraId="3B063A39" w14:textId="77777777" w:rsidR="00856236" w:rsidRPr="007C1CB3" w:rsidRDefault="00856236" w:rsidP="00B017CF">
            <w:pPr>
              <w:pStyle w:val="Tableheaderrow"/>
              <w:spacing w:after="60"/>
              <w:ind w:left="113" w:right="113"/>
              <w:rPr>
                <w:sz w:val="16"/>
              </w:rPr>
            </w:pPr>
            <w:r w:rsidRPr="007C1CB3">
              <w:rPr>
                <w:sz w:val="16"/>
              </w:rPr>
              <w:t>South Australia</w:t>
            </w:r>
          </w:p>
        </w:tc>
        <w:tc>
          <w:tcPr>
            <w:tcW w:w="758" w:type="dxa"/>
            <w:shd w:val="clear" w:color="auto" w:fill="C00000"/>
            <w:tcMar>
              <w:top w:w="0" w:type="dxa"/>
              <w:left w:w="0" w:type="dxa"/>
              <w:bottom w:w="0" w:type="dxa"/>
              <w:right w:w="0" w:type="dxa"/>
            </w:tcMar>
            <w:textDirection w:val="btLr"/>
            <w:vAlign w:val="center"/>
          </w:tcPr>
          <w:p w14:paraId="78F47DA9" w14:textId="77777777" w:rsidR="00856236" w:rsidRPr="007C1CB3" w:rsidRDefault="00856236" w:rsidP="00B017CF">
            <w:pPr>
              <w:pStyle w:val="Tableheaderrow"/>
              <w:spacing w:after="60"/>
              <w:ind w:left="113" w:right="113"/>
              <w:rPr>
                <w:sz w:val="16"/>
              </w:rPr>
            </w:pPr>
            <w:r w:rsidRPr="007C1CB3">
              <w:rPr>
                <w:sz w:val="16"/>
              </w:rPr>
              <w:t>Tasmania</w:t>
            </w:r>
          </w:p>
        </w:tc>
        <w:tc>
          <w:tcPr>
            <w:tcW w:w="757" w:type="dxa"/>
            <w:shd w:val="clear" w:color="auto" w:fill="C00000"/>
            <w:tcMar>
              <w:top w:w="0" w:type="dxa"/>
              <w:left w:w="0" w:type="dxa"/>
              <w:bottom w:w="0" w:type="dxa"/>
              <w:right w:w="0" w:type="dxa"/>
            </w:tcMar>
            <w:textDirection w:val="btLr"/>
            <w:vAlign w:val="center"/>
          </w:tcPr>
          <w:p w14:paraId="5685BE3F" w14:textId="77777777" w:rsidR="00856236" w:rsidRPr="007C1CB3" w:rsidRDefault="00856236" w:rsidP="00B017CF">
            <w:pPr>
              <w:pStyle w:val="Tableheaderrow"/>
              <w:spacing w:after="60"/>
              <w:ind w:left="113" w:right="113"/>
              <w:rPr>
                <w:sz w:val="16"/>
              </w:rPr>
            </w:pPr>
            <w:r w:rsidRPr="007C1CB3">
              <w:rPr>
                <w:sz w:val="16"/>
              </w:rPr>
              <w:t>Northern Territory</w:t>
            </w:r>
          </w:p>
        </w:tc>
        <w:tc>
          <w:tcPr>
            <w:tcW w:w="757" w:type="dxa"/>
            <w:shd w:val="clear" w:color="auto" w:fill="C00000"/>
            <w:tcMar>
              <w:top w:w="0" w:type="dxa"/>
              <w:left w:w="0" w:type="dxa"/>
              <w:bottom w:w="0" w:type="dxa"/>
              <w:right w:w="0" w:type="dxa"/>
            </w:tcMar>
            <w:textDirection w:val="btLr"/>
            <w:vAlign w:val="center"/>
          </w:tcPr>
          <w:p w14:paraId="2E498F78" w14:textId="4766444A" w:rsidR="00856236" w:rsidRPr="007C1CB3" w:rsidRDefault="00856236" w:rsidP="00B017CF">
            <w:pPr>
              <w:pStyle w:val="Tableheaderrow"/>
              <w:spacing w:after="60"/>
              <w:ind w:left="113" w:right="113"/>
              <w:rPr>
                <w:sz w:val="16"/>
              </w:rPr>
            </w:pPr>
            <w:r w:rsidRPr="007C1CB3">
              <w:rPr>
                <w:sz w:val="16"/>
              </w:rPr>
              <w:t>Aus.</w:t>
            </w:r>
            <w:r w:rsidR="007C1CB3">
              <w:rPr>
                <w:sz w:val="16"/>
              </w:rPr>
              <w:t xml:space="preserve"> </w:t>
            </w:r>
            <w:r w:rsidRPr="007C1CB3">
              <w:rPr>
                <w:sz w:val="16"/>
              </w:rPr>
              <w:t>Capital Territory</w:t>
            </w:r>
            <w:r w:rsidR="00F00490">
              <w:rPr>
                <w:sz w:val="16"/>
              </w:rPr>
              <w:t xml:space="preserve"> </w:t>
            </w:r>
            <w:r w:rsidRPr="007C1CB3">
              <w:rPr>
                <w:sz w:val="16"/>
              </w:rPr>
              <w:t>*</w:t>
            </w:r>
          </w:p>
        </w:tc>
        <w:tc>
          <w:tcPr>
            <w:tcW w:w="758" w:type="dxa"/>
            <w:shd w:val="clear" w:color="auto" w:fill="C00000"/>
            <w:tcMar>
              <w:top w:w="0" w:type="dxa"/>
              <w:left w:w="0" w:type="dxa"/>
              <w:bottom w:w="0" w:type="dxa"/>
              <w:right w:w="0" w:type="dxa"/>
            </w:tcMar>
            <w:textDirection w:val="btLr"/>
            <w:vAlign w:val="center"/>
          </w:tcPr>
          <w:p w14:paraId="5711C0F0" w14:textId="77777777" w:rsidR="00856236" w:rsidRPr="007C1CB3" w:rsidRDefault="00856236" w:rsidP="00B017CF">
            <w:pPr>
              <w:pStyle w:val="Tableheaderrow"/>
              <w:spacing w:after="60"/>
              <w:ind w:left="113" w:right="113"/>
              <w:rPr>
                <w:sz w:val="16"/>
              </w:rPr>
            </w:pPr>
            <w:r w:rsidRPr="007C1CB3">
              <w:rPr>
                <w:sz w:val="16"/>
              </w:rPr>
              <w:t>C’wealth Comcare</w:t>
            </w:r>
          </w:p>
        </w:tc>
        <w:tc>
          <w:tcPr>
            <w:tcW w:w="757" w:type="dxa"/>
            <w:shd w:val="clear" w:color="auto" w:fill="C00000"/>
            <w:tcMar>
              <w:top w:w="0" w:type="dxa"/>
              <w:left w:w="0" w:type="dxa"/>
              <w:bottom w:w="0" w:type="dxa"/>
              <w:right w:w="0" w:type="dxa"/>
            </w:tcMar>
            <w:textDirection w:val="btLr"/>
            <w:vAlign w:val="center"/>
          </w:tcPr>
          <w:p w14:paraId="5F23A8ED" w14:textId="77777777" w:rsidR="00856236" w:rsidRPr="007C1CB3" w:rsidRDefault="00856236" w:rsidP="00B017CF">
            <w:pPr>
              <w:pStyle w:val="Tableheaderrow"/>
              <w:spacing w:after="60"/>
              <w:ind w:left="113" w:right="113"/>
              <w:rPr>
                <w:sz w:val="16"/>
              </w:rPr>
            </w:pPr>
            <w:r w:rsidRPr="007C1CB3">
              <w:rPr>
                <w:sz w:val="16"/>
              </w:rPr>
              <w:t>C’wealth Seacare</w:t>
            </w:r>
          </w:p>
        </w:tc>
        <w:tc>
          <w:tcPr>
            <w:tcW w:w="758" w:type="dxa"/>
            <w:shd w:val="clear" w:color="auto" w:fill="C00000"/>
            <w:tcMar>
              <w:top w:w="0" w:type="dxa"/>
              <w:left w:w="0" w:type="dxa"/>
              <w:bottom w:w="0" w:type="dxa"/>
              <w:right w:w="0" w:type="dxa"/>
            </w:tcMar>
            <w:textDirection w:val="btLr"/>
            <w:vAlign w:val="center"/>
          </w:tcPr>
          <w:p w14:paraId="761481F5" w14:textId="77777777" w:rsidR="00856236" w:rsidRPr="007C1CB3" w:rsidRDefault="00856236" w:rsidP="00B017CF">
            <w:pPr>
              <w:pStyle w:val="Tableheaderrow"/>
              <w:spacing w:after="60"/>
              <w:ind w:left="113" w:right="113"/>
              <w:rPr>
                <w:sz w:val="16"/>
              </w:rPr>
            </w:pPr>
            <w:r w:rsidRPr="007C1CB3">
              <w:rPr>
                <w:sz w:val="16"/>
              </w:rPr>
              <w:t>New Zealand</w:t>
            </w:r>
          </w:p>
        </w:tc>
      </w:tr>
      <w:tr w:rsidR="00856236" w:rsidRPr="00BD4704" w14:paraId="249EFD21" w14:textId="77777777" w:rsidTr="00B017CF">
        <w:tc>
          <w:tcPr>
            <w:tcW w:w="851" w:type="dxa"/>
            <w:shd w:val="clear" w:color="auto" w:fill="FFC9C9"/>
            <w:tcMar>
              <w:top w:w="80" w:type="dxa"/>
              <w:left w:w="80" w:type="dxa"/>
              <w:bottom w:w="80" w:type="dxa"/>
              <w:right w:w="80" w:type="dxa"/>
            </w:tcMar>
            <w:vAlign w:val="center"/>
          </w:tcPr>
          <w:p w14:paraId="7409796B" w14:textId="1939BDBF" w:rsidR="00856236" w:rsidRPr="00BD4704" w:rsidRDefault="00B017CF" w:rsidP="00B017CF">
            <w:pPr>
              <w:pStyle w:val="TableColumn1bold"/>
              <w:spacing w:after="60"/>
              <w:jc w:val="center"/>
            </w:pPr>
            <w:r>
              <w:t>2011–12</w:t>
            </w:r>
          </w:p>
        </w:tc>
        <w:tc>
          <w:tcPr>
            <w:tcW w:w="757" w:type="dxa"/>
            <w:shd w:val="clear" w:color="auto" w:fill="FFC9C9"/>
            <w:tcMar>
              <w:top w:w="80" w:type="dxa"/>
              <w:left w:w="80" w:type="dxa"/>
              <w:bottom w:w="80" w:type="dxa"/>
              <w:right w:w="80" w:type="dxa"/>
            </w:tcMar>
            <w:vAlign w:val="center"/>
          </w:tcPr>
          <w:p w14:paraId="2A83E520" w14:textId="7E42FBC3" w:rsidR="00856236" w:rsidRPr="007A1F70" w:rsidRDefault="00B017CF" w:rsidP="00B017CF">
            <w:pPr>
              <w:pStyle w:val="lgetabletxt"/>
              <w:spacing w:after="60" w:afterAutospacing="0"/>
              <w:jc w:val="center"/>
              <w:rPr>
                <w:sz w:val="16"/>
              </w:rPr>
            </w:pPr>
            <w:r w:rsidRPr="007A1F70">
              <w:rPr>
                <w:sz w:val="16"/>
              </w:rPr>
              <w:t>1.72</w:t>
            </w:r>
          </w:p>
        </w:tc>
        <w:tc>
          <w:tcPr>
            <w:tcW w:w="757" w:type="dxa"/>
            <w:shd w:val="clear" w:color="auto" w:fill="FFC9C9"/>
            <w:tcMar>
              <w:top w:w="80" w:type="dxa"/>
              <w:left w:w="80" w:type="dxa"/>
              <w:bottom w:w="80" w:type="dxa"/>
              <w:right w:w="80" w:type="dxa"/>
            </w:tcMar>
            <w:vAlign w:val="center"/>
          </w:tcPr>
          <w:p w14:paraId="20F9BBCB" w14:textId="67A830FC" w:rsidR="00856236" w:rsidRPr="007A1F70" w:rsidRDefault="00B017CF" w:rsidP="00B017CF">
            <w:pPr>
              <w:pStyle w:val="lgetabletxt"/>
              <w:spacing w:after="60" w:afterAutospacing="0"/>
              <w:jc w:val="center"/>
              <w:rPr>
                <w:sz w:val="16"/>
              </w:rPr>
            </w:pPr>
            <w:r w:rsidRPr="007A1F70">
              <w:rPr>
                <w:sz w:val="16"/>
              </w:rPr>
              <w:t>1.34</w:t>
            </w:r>
          </w:p>
        </w:tc>
        <w:tc>
          <w:tcPr>
            <w:tcW w:w="758" w:type="dxa"/>
            <w:shd w:val="clear" w:color="auto" w:fill="FFC9C9"/>
            <w:tcMar>
              <w:top w:w="80" w:type="dxa"/>
              <w:left w:w="80" w:type="dxa"/>
              <w:bottom w:w="80" w:type="dxa"/>
              <w:right w:w="80" w:type="dxa"/>
            </w:tcMar>
            <w:vAlign w:val="center"/>
          </w:tcPr>
          <w:p w14:paraId="27A612F2" w14:textId="6A6F985E" w:rsidR="00856236" w:rsidRPr="007A1F70" w:rsidRDefault="00B017CF" w:rsidP="00B017CF">
            <w:pPr>
              <w:pStyle w:val="lgetabletxt"/>
              <w:spacing w:after="60" w:afterAutospacing="0"/>
              <w:jc w:val="center"/>
              <w:rPr>
                <w:sz w:val="16"/>
              </w:rPr>
            </w:pPr>
            <w:r w:rsidRPr="007A1F70">
              <w:rPr>
                <w:sz w:val="16"/>
              </w:rPr>
              <w:t>1.41</w:t>
            </w:r>
          </w:p>
        </w:tc>
        <w:tc>
          <w:tcPr>
            <w:tcW w:w="757" w:type="dxa"/>
            <w:shd w:val="clear" w:color="auto" w:fill="FFC9C9"/>
            <w:tcMar>
              <w:top w:w="80" w:type="dxa"/>
              <w:left w:w="80" w:type="dxa"/>
              <w:bottom w:w="80" w:type="dxa"/>
              <w:right w:w="80" w:type="dxa"/>
            </w:tcMar>
            <w:vAlign w:val="center"/>
          </w:tcPr>
          <w:p w14:paraId="29318A3C" w14:textId="6A2E014B" w:rsidR="00856236" w:rsidRPr="007A1F70" w:rsidRDefault="00B017CF" w:rsidP="00B017CF">
            <w:pPr>
              <w:pStyle w:val="lgetabletxt"/>
              <w:spacing w:after="60" w:afterAutospacing="0"/>
              <w:jc w:val="center"/>
              <w:rPr>
                <w:sz w:val="16"/>
              </w:rPr>
            </w:pPr>
            <w:r w:rsidRPr="007A1F70">
              <w:rPr>
                <w:sz w:val="16"/>
              </w:rPr>
              <w:t>1.19</w:t>
            </w:r>
          </w:p>
        </w:tc>
        <w:tc>
          <w:tcPr>
            <w:tcW w:w="757" w:type="dxa"/>
            <w:shd w:val="clear" w:color="auto" w:fill="FFC9C9"/>
            <w:tcMar>
              <w:top w:w="80" w:type="dxa"/>
              <w:left w:w="80" w:type="dxa"/>
              <w:bottom w:w="80" w:type="dxa"/>
              <w:right w:w="80" w:type="dxa"/>
            </w:tcMar>
            <w:vAlign w:val="center"/>
          </w:tcPr>
          <w:p w14:paraId="6C90DBBD" w14:textId="3AB19C9E" w:rsidR="00856236" w:rsidRPr="007A1F70" w:rsidRDefault="00B017CF" w:rsidP="00B017CF">
            <w:pPr>
              <w:pStyle w:val="lgetabletxt"/>
              <w:spacing w:after="60" w:afterAutospacing="0"/>
              <w:jc w:val="center"/>
              <w:rPr>
                <w:sz w:val="16"/>
              </w:rPr>
            </w:pPr>
            <w:r w:rsidRPr="007A1F70">
              <w:rPr>
                <w:sz w:val="16"/>
              </w:rPr>
              <w:t>2.50</w:t>
            </w:r>
          </w:p>
        </w:tc>
        <w:tc>
          <w:tcPr>
            <w:tcW w:w="758" w:type="dxa"/>
            <w:shd w:val="clear" w:color="auto" w:fill="FFC9C9"/>
            <w:tcMar>
              <w:top w:w="80" w:type="dxa"/>
              <w:left w:w="80" w:type="dxa"/>
              <w:bottom w:w="80" w:type="dxa"/>
              <w:right w:w="80" w:type="dxa"/>
            </w:tcMar>
            <w:vAlign w:val="center"/>
          </w:tcPr>
          <w:p w14:paraId="0C4AC77E" w14:textId="49B3B9F9" w:rsidR="00856236" w:rsidRPr="007A1F70" w:rsidRDefault="00B017CF" w:rsidP="00B017CF">
            <w:pPr>
              <w:pStyle w:val="lgetabletxt"/>
              <w:spacing w:after="60" w:afterAutospacing="0"/>
              <w:jc w:val="center"/>
              <w:rPr>
                <w:sz w:val="16"/>
              </w:rPr>
            </w:pPr>
            <w:r w:rsidRPr="007A1F70">
              <w:rPr>
                <w:sz w:val="16"/>
              </w:rPr>
              <w:t>1.51</w:t>
            </w:r>
          </w:p>
        </w:tc>
        <w:tc>
          <w:tcPr>
            <w:tcW w:w="757" w:type="dxa"/>
            <w:shd w:val="clear" w:color="auto" w:fill="FFC9C9"/>
            <w:tcMar>
              <w:top w:w="80" w:type="dxa"/>
              <w:left w:w="80" w:type="dxa"/>
              <w:bottom w:w="80" w:type="dxa"/>
              <w:right w:w="80" w:type="dxa"/>
            </w:tcMar>
            <w:vAlign w:val="center"/>
          </w:tcPr>
          <w:p w14:paraId="2BD3DA8E" w14:textId="49E85400" w:rsidR="00856236" w:rsidRPr="007A1F70" w:rsidRDefault="00F00490" w:rsidP="00B017CF">
            <w:pPr>
              <w:pStyle w:val="lgetabletxt"/>
              <w:spacing w:after="60" w:afterAutospacing="0"/>
              <w:jc w:val="center"/>
              <w:rPr>
                <w:sz w:val="16"/>
              </w:rPr>
            </w:pPr>
            <w:r w:rsidRPr="007A1F70">
              <w:rPr>
                <w:sz w:val="16"/>
              </w:rPr>
              <w:t>1.79</w:t>
            </w:r>
          </w:p>
        </w:tc>
        <w:tc>
          <w:tcPr>
            <w:tcW w:w="757" w:type="dxa"/>
            <w:shd w:val="clear" w:color="auto" w:fill="FFC9C9"/>
            <w:tcMar>
              <w:top w:w="80" w:type="dxa"/>
              <w:left w:w="80" w:type="dxa"/>
              <w:bottom w:w="80" w:type="dxa"/>
              <w:right w:w="80" w:type="dxa"/>
            </w:tcMar>
            <w:vAlign w:val="center"/>
          </w:tcPr>
          <w:p w14:paraId="797452BF" w14:textId="39569D4E" w:rsidR="00856236" w:rsidRPr="007A1F70" w:rsidRDefault="00F00490" w:rsidP="00B017CF">
            <w:pPr>
              <w:pStyle w:val="lgetabletxt"/>
              <w:spacing w:after="60" w:afterAutospacing="0"/>
              <w:jc w:val="center"/>
              <w:rPr>
                <w:sz w:val="16"/>
              </w:rPr>
            </w:pPr>
            <w:r w:rsidRPr="007A1F70">
              <w:rPr>
                <w:sz w:val="16"/>
              </w:rPr>
              <w:t>1.99</w:t>
            </w:r>
          </w:p>
        </w:tc>
        <w:tc>
          <w:tcPr>
            <w:tcW w:w="758" w:type="dxa"/>
            <w:shd w:val="clear" w:color="auto" w:fill="FFC9C9"/>
            <w:tcMar>
              <w:top w:w="80" w:type="dxa"/>
              <w:left w:w="80" w:type="dxa"/>
              <w:bottom w:w="80" w:type="dxa"/>
              <w:right w:w="80" w:type="dxa"/>
            </w:tcMar>
            <w:vAlign w:val="center"/>
          </w:tcPr>
          <w:p w14:paraId="7E976F6E" w14:textId="02BC708A" w:rsidR="00856236" w:rsidRPr="007A1F70" w:rsidRDefault="00F00490" w:rsidP="00B017CF">
            <w:pPr>
              <w:pStyle w:val="lgetabletxt"/>
              <w:spacing w:after="60" w:afterAutospacing="0"/>
              <w:jc w:val="center"/>
              <w:rPr>
                <w:sz w:val="16"/>
              </w:rPr>
            </w:pPr>
            <w:r w:rsidRPr="007A1F70">
              <w:rPr>
                <w:sz w:val="16"/>
              </w:rPr>
              <w:t>0.99</w:t>
            </w:r>
          </w:p>
        </w:tc>
        <w:tc>
          <w:tcPr>
            <w:tcW w:w="757" w:type="dxa"/>
            <w:shd w:val="clear" w:color="auto" w:fill="FFC9C9"/>
            <w:tcMar>
              <w:top w:w="80" w:type="dxa"/>
              <w:left w:w="80" w:type="dxa"/>
              <w:bottom w:w="80" w:type="dxa"/>
              <w:right w:w="80" w:type="dxa"/>
            </w:tcMar>
            <w:vAlign w:val="center"/>
          </w:tcPr>
          <w:p w14:paraId="129ACD85" w14:textId="77777777" w:rsidR="00856236" w:rsidRPr="007A1F70" w:rsidRDefault="00856236" w:rsidP="00B017CF">
            <w:pPr>
              <w:pStyle w:val="lgetabletxt"/>
              <w:spacing w:after="60" w:afterAutospacing="0"/>
              <w:jc w:val="center"/>
              <w:rPr>
                <w:sz w:val="16"/>
              </w:rPr>
            </w:pPr>
            <w:r w:rsidRPr="007A1F70">
              <w:rPr>
                <w:sz w:val="16"/>
              </w:rPr>
              <w:t>N/A</w:t>
            </w:r>
          </w:p>
        </w:tc>
        <w:tc>
          <w:tcPr>
            <w:tcW w:w="758" w:type="dxa"/>
            <w:shd w:val="clear" w:color="auto" w:fill="FFC9C9"/>
            <w:tcMar>
              <w:top w:w="80" w:type="dxa"/>
              <w:left w:w="80" w:type="dxa"/>
              <w:bottom w:w="80" w:type="dxa"/>
              <w:right w:w="80" w:type="dxa"/>
            </w:tcMar>
            <w:vAlign w:val="center"/>
          </w:tcPr>
          <w:p w14:paraId="57CB12D9" w14:textId="41F6068B" w:rsidR="00856236" w:rsidRPr="007A1F70" w:rsidRDefault="00F00490" w:rsidP="00B017CF">
            <w:pPr>
              <w:pStyle w:val="lgetabletxt"/>
              <w:spacing w:after="60" w:afterAutospacing="0"/>
              <w:jc w:val="center"/>
              <w:rPr>
                <w:sz w:val="16"/>
              </w:rPr>
            </w:pPr>
            <w:r w:rsidRPr="007A1F70">
              <w:rPr>
                <w:sz w:val="16"/>
              </w:rPr>
              <w:t>0.97</w:t>
            </w:r>
          </w:p>
        </w:tc>
      </w:tr>
      <w:tr w:rsidR="00856236" w:rsidRPr="00BD4704" w14:paraId="19A70367" w14:textId="77777777" w:rsidTr="00B017CF">
        <w:tc>
          <w:tcPr>
            <w:tcW w:w="851" w:type="dxa"/>
            <w:tcMar>
              <w:top w:w="80" w:type="dxa"/>
              <w:left w:w="80" w:type="dxa"/>
              <w:bottom w:w="80" w:type="dxa"/>
              <w:right w:w="80" w:type="dxa"/>
            </w:tcMar>
            <w:vAlign w:val="center"/>
          </w:tcPr>
          <w:p w14:paraId="02619CDB" w14:textId="5731071A" w:rsidR="00856236" w:rsidRPr="00BD4704" w:rsidRDefault="00B017CF" w:rsidP="00B017CF">
            <w:pPr>
              <w:pStyle w:val="TableColumn1bold"/>
              <w:spacing w:after="60"/>
              <w:jc w:val="center"/>
            </w:pPr>
            <w:r>
              <w:t>2012–13</w:t>
            </w:r>
          </w:p>
        </w:tc>
        <w:tc>
          <w:tcPr>
            <w:tcW w:w="757" w:type="dxa"/>
            <w:tcMar>
              <w:top w:w="80" w:type="dxa"/>
              <w:left w:w="80" w:type="dxa"/>
              <w:bottom w:w="80" w:type="dxa"/>
              <w:right w:w="80" w:type="dxa"/>
            </w:tcMar>
            <w:vAlign w:val="center"/>
          </w:tcPr>
          <w:p w14:paraId="75CB2412" w14:textId="6AC15A41" w:rsidR="00856236" w:rsidRPr="007A1F70" w:rsidRDefault="00B017CF" w:rsidP="00B017CF">
            <w:pPr>
              <w:pStyle w:val="lgetabletxt"/>
              <w:spacing w:after="60" w:afterAutospacing="0"/>
              <w:jc w:val="center"/>
              <w:rPr>
                <w:sz w:val="16"/>
              </w:rPr>
            </w:pPr>
            <w:r w:rsidRPr="007A1F70">
              <w:rPr>
                <w:sz w:val="16"/>
              </w:rPr>
              <w:t>1.70</w:t>
            </w:r>
          </w:p>
        </w:tc>
        <w:tc>
          <w:tcPr>
            <w:tcW w:w="757" w:type="dxa"/>
            <w:tcMar>
              <w:top w:w="80" w:type="dxa"/>
              <w:left w:w="80" w:type="dxa"/>
              <w:bottom w:w="80" w:type="dxa"/>
              <w:right w:w="80" w:type="dxa"/>
            </w:tcMar>
            <w:vAlign w:val="center"/>
          </w:tcPr>
          <w:p w14:paraId="0D33AE52" w14:textId="3A6C1BC6" w:rsidR="00856236" w:rsidRPr="007A1F70" w:rsidRDefault="00B017CF" w:rsidP="00B017CF">
            <w:pPr>
              <w:pStyle w:val="lgetabletxt"/>
              <w:spacing w:after="60" w:afterAutospacing="0"/>
              <w:jc w:val="center"/>
              <w:rPr>
                <w:sz w:val="16"/>
              </w:rPr>
            </w:pPr>
            <w:r w:rsidRPr="007A1F70">
              <w:rPr>
                <w:sz w:val="16"/>
              </w:rPr>
              <w:t>1.31</w:t>
            </w:r>
          </w:p>
        </w:tc>
        <w:tc>
          <w:tcPr>
            <w:tcW w:w="758" w:type="dxa"/>
            <w:tcMar>
              <w:top w:w="80" w:type="dxa"/>
              <w:left w:w="80" w:type="dxa"/>
              <w:bottom w:w="80" w:type="dxa"/>
              <w:right w:w="80" w:type="dxa"/>
            </w:tcMar>
            <w:vAlign w:val="center"/>
          </w:tcPr>
          <w:p w14:paraId="12B339DD" w14:textId="56353BB1" w:rsidR="00856236" w:rsidRPr="007A1F70" w:rsidRDefault="00B017CF" w:rsidP="00B017CF">
            <w:pPr>
              <w:pStyle w:val="lgetabletxt"/>
              <w:spacing w:after="60" w:afterAutospacing="0"/>
              <w:jc w:val="center"/>
              <w:rPr>
                <w:sz w:val="16"/>
              </w:rPr>
            </w:pPr>
            <w:r w:rsidRPr="007A1F70">
              <w:rPr>
                <w:sz w:val="16"/>
              </w:rPr>
              <w:t>1.47</w:t>
            </w:r>
          </w:p>
        </w:tc>
        <w:tc>
          <w:tcPr>
            <w:tcW w:w="757" w:type="dxa"/>
            <w:tcMar>
              <w:top w:w="80" w:type="dxa"/>
              <w:left w:w="80" w:type="dxa"/>
              <w:bottom w:w="80" w:type="dxa"/>
              <w:right w:w="80" w:type="dxa"/>
            </w:tcMar>
            <w:vAlign w:val="center"/>
          </w:tcPr>
          <w:p w14:paraId="00BF7E00" w14:textId="01F482A0" w:rsidR="00856236" w:rsidRPr="007A1F70" w:rsidRDefault="00B017CF" w:rsidP="00B017CF">
            <w:pPr>
              <w:pStyle w:val="lgetabletxt"/>
              <w:spacing w:after="60" w:afterAutospacing="0"/>
              <w:jc w:val="center"/>
              <w:rPr>
                <w:sz w:val="16"/>
              </w:rPr>
            </w:pPr>
            <w:r w:rsidRPr="007A1F70">
              <w:rPr>
                <w:sz w:val="16"/>
              </w:rPr>
              <w:t>1.21</w:t>
            </w:r>
          </w:p>
        </w:tc>
        <w:tc>
          <w:tcPr>
            <w:tcW w:w="757" w:type="dxa"/>
            <w:tcMar>
              <w:top w:w="80" w:type="dxa"/>
              <w:left w:w="80" w:type="dxa"/>
              <w:bottom w:w="80" w:type="dxa"/>
              <w:right w:w="80" w:type="dxa"/>
            </w:tcMar>
            <w:vAlign w:val="center"/>
          </w:tcPr>
          <w:p w14:paraId="4D5167A4" w14:textId="4AD22586" w:rsidR="00856236" w:rsidRPr="007A1F70" w:rsidRDefault="00B017CF" w:rsidP="00B017CF">
            <w:pPr>
              <w:pStyle w:val="lgetabletxt"/>
              <w:spacing w:after="60" w:afterAutospacing="0"/>
              <w:jc w:val="center"/>
              <w:rPr>
                <w:sz w:val="16"/>
              </w:rPr>
            </w:pPr>
            <w:r w:rsidRPr="007A1F70">
              <w:rPr>
                <w:sz w:val="16"/>
              </w:rPr>
              <w:t>2.51</w:t>
            </w:r>
          </w:p>
        </w:tc>
        <w:tc>
          <w:tcPr>
            <w:tcW w:w="758" w:type="dxa"/>
            <w:tcMar>
              <w:top w:w="80" w:type="dxa"/>
              <w:left w:w="80" w:type="dxa"/>
              <w:bottom w:w="80" w:type="dxa"/>
              <w:right w:w="80" w:type="dxa"/>
            </w:tcMar>
            <w:vAlign w:val="center"/>
          </w:tcPr>
          <w:p w14:paraId="4701EDC6" w14:textId="0EF25C9A" w:rsidR="00856236" w:rsidRPr="007A1F70" w:rsidRDefault="00B017CF" w:rsidP="00B017CF">
            <w:pPr>
              <w:pStyle w:val="lgetabletxt"/>
              <w:spacing w:after="60" w:afterAutospacing="0"/>
              <w:jc w:val="center"/>
              <w:rPr>
                <w:sz w:val="16"/>
              </w:rPr>
            </w:pPr>
            <w:r w:rsidRPr="007A1F70">
              <w:rPr>
                <w:sz w:val="16"/>
              </w:rPr>
              <w:t>1.63</w:t>
            </w:r>
          </w:p>
        </w:tc>
        <w:tc>
          <w:tcPr>
            <w:tcW w:w="757" w:type="dxa"/>
            <w:tcMar>
              <w:top w:w="80" w:type="dxa"/>
              <w:left w:w="80" w:type="dxa"/>
              <w:bottom w:w="80" w:type="dxa"/>
              <w:right w:w="80" w:type="dxa"/>
            </w:tcMar>
            <w:vAlign w:val="center"/>
          </w:tcPr>
          <w:p w14:paraId="300B9926" w14:textId="70EB669A" w:rsidR="00856236" w:rsidRPr="007A1F70" w:rsidRDefault="00F00490" w:rsidP="00B017CF">
            <w:pPr>
              <w:pStyle w:val="lgetabletxt"/>
              <w:spacing w:after="60" w:afterAutospacing="0"/>
              <w:jc w:val="center"/>
              <w:rPr>
                <w:sz w:val="16"/>
              </w:rPr>
            </w:pPr>
            <w:r w:rsidRPr="007A1F70">
              <w:rPr>
                <w:sz w:val="16"/>
              </w:rPr>
              <w:t>2.04</w:t>
            </w:r>
          </w:p>
        </w:tc>
        <w:tc>
          <w:tcPr>
            <w:tcW w:w="757" w:type="dxa"/>
            <w:tcMar>
              <w:top w:w="80" w:type="dxa"/>
              <w:left w:w="80" w:type="dxa"/>
              <w:bottom w:w="80" w:type="dxa"/>
              <w:right w:w="80" w:type="dxa"/>
            </w:tcMar>
            <w:vAlign w:val="center"/>
          </w:tcPr>
          <w:p w14:paraId="47FF26F0" w14:textId="4ADD8BAF" w:rsidR="00856236" w:rsidRPr="007A1F70" w:rsidRDefault="00F00490" w:rsidP="00B017CF">
            <w:pPr>
              <w:pStyle w:val="lgetabletxt"/>
              <w:spacing w:after="60" w:afterAutospacing="0"/>
              <w:jc w:val="center"/>
              <w:rPr>
                <w:sz w:val="16"/>
              </w:rPr>
            </w:pPr>
            <w:r w:rsidRPr="007A1F70">
              <w:rPr>
                <w:sz w:val="16"/>
              </w:rPr>
              <w:t>1.99</w:t>
            </w:r>
          </w:p>
        </w:tc>
        <w:tc>
          <w:tcPr>
            <w:tcW w:w="758" w:type="dxa"/>
            <w:tcMar>
              <w:top w:w="80" w:type="dxa"/>
              <w:left w:w="80" w:type="dxa"/>
              <w:bottom w:w="80" w:type="dxa"/>
              <w:right w:w="80" w:type="dxa"/>
            </w:tcMar>
            <w:vAlign w:val="center"/>
          </w:tcPr>
          <w:p w14:paraId="2285A0C1" w14:textId="12361F06" w:rsidR="00856236" w:rsidRPr="007A1F70" w:rsidRDefault="00F00490" w:rsidP="00B017CF">
            <w:pPr>
              <w:pStyle w:val="lgetabletxt"/>
              <w:spacing w:after="60" w:afterAutospacing="0"/>
              <w:jc w:val="center"/>
              <w:rPr>
                <w:sz w:val="16"/>
              </w:rPr>
            </w:pPr>
            <w:r w:rsidRPr="007A1F70">
              <w:rPr>
                <w:sz w:val="16"/>
              </w:rPr>
              <w:t>1.16</w:t>
            </w:r>
          </w:p>
        </w:tc>
        <w:tc>
          <w:tcPr>
            <w:tcW w:w="757" w:type="dxa"/>
            <w:tcMar>
              <w:top w:w="80" w:type="dxa"/>
              <w:left w:w="80" w:type="dxa"/>
              <w:bottom w:w="80" w:type="dxa"/>
              <w:right w:w="80" w:type="dxa"/>
            </w:tcMar>
            <w:vAlign w:val="center"/>
          </w:tcPr>
          <w:p w14:paraId="7B74BE3D" w14:textId="77777777" w:rsidR="00856236" w:rsidRPr="007A1F70" w:rsidRDefault="00856236" w:rsidP="00B017CF">
            <w:pPr>
              <w:pStyle w:val="lgetabletxt"/>
              <w:spacing w:after="60" w:afterAutospacing="0"/>
              <w:jc w:val="center"/>
              <w:rPr>
                <w:sz w:val="16"/>
              </w:rPr>
            </w:pPr>
            <w:r w:rsidRPr="007A1F70">
              <w:rPr>
                <w:sz w:val="16"/>
              </w:rPr>
              <w:t>N/A</w:t>
            </w:r>
          </w:p>
        </w:tc>
        <w:tc>
          <w:tcPr>
            <w:tcW w:w="758" w:type="dxa"/>
            <w:tcMar>
              <w:top w:w="80" w:type="dxa"/>
              <w:left w:w="80" w:type="dxa"/>
              <w:bottom w:w="80" w:type="dxa"/>
              <w:right w:w="80" w:type="dxa"/>
            </w:tcMar>
            <w:vAlign w:val="center"/>
          </w:tcPr>
          <w:p w14:paraId="48B317DB" w14:textId="1665C8EE" w:rsidR="00856236" w:rsidRPr="007A1F70" w:rsidRDefault="00F00490" w:rsidP="00B017CF">
            <w:pPr>
              <w:pStyle w:val="lgetabletxt"/>
              <w:spacing w:after="60" w:afterAutospacing="0"/>
              <w:jc w:val="center"/>
              <w:rPr>
                <w:sz w:val="16"/>
              </w:rPr>
            </w:pPr>
            <w:r w:rsidRPr="007A1F70">
              <w:rPr>
                <w:sz w:val="16"/>
              </w:rPr>
              <w:t>0.75</w:t>
            </w:r>
          </w:p>
        </w:tc>
      </w:tr>
      <w:tr w:rsidR="00856236" w:rsidRPr="00BD4704" w14:paraId="4752A345" w14:textId="77777777" w:rsidTr="00B017CF">
        <w:tc>
          <w:tcPr>
            <w:tcW w:w="851" w:type="dxa"/>
            <w:shd w:val="clear" w:color="auto" w:fill="FFC9C9"/>
            <w:tcMar>
              <w:top w:w="80" w:type="dxa"/>
              <w:left w:w="80" w:type="dxa"/>
              <w:bottom w:w="80" w:type="dxa"/>
              <w:right w:w="80" w:type="dxa"/>
            </w:tcMar>
            <w:vAlign w:val="center"/>
          </w:tcPr>
          <w:p w14:paraId="373A4DE7" w14:textId="0EEA4B90" w:rsidR="00856236" w:rsidRPr="00BD4704" w:rsidRDefault="00B017CF" w:rsidP="00B017CF">
            <w:pPr>
              <w:pStyle w:val="TableColumn1bold"/>
              <w:spacing w:after="60"/>
              <w:jc w:val="center"/>
            </w:pPr>
            <w:r>
              <w:t>2013–14</w:t>
            </w:r>
          </w:p>
        </w:tc>
        <w:tc>
          <w:tcPr>
            <w:tcW w:w="757" w:type="dxa"/>
            <w:shd w:val="clear" w:color="auto" w:fill="FFC9C9"/>
            <w:tcMar>
              <w:top w:w="80" w:type="dxa"/>
              <w:left w:w="80" w:type="dxa"/>
              <w:bottom w:w="80" w:type="dxa"/>
              <w:right w:w="80" w:type="dxa"/>
            </w:tcMar>
            <w:vAlign w:val="center"/>
          </w:tcPr>
          <w:p w14:paraId="52CB5555" w14:textId="16B0578B" w:rsidR="00856236" w:rsidRPr="007A1F70" w:rsidRDefault="00B017CF" w:rsidP="00B017CF">
            <w:pPr>
              <w:pStyle w:val="lgetabletxt"/>
              <w:spacing w:after="60" w:afterAutospacing="0"/>
              <w:jc w:val="center"/>
              <w:rPr>
                <w:sz w:val="16"/>
              </w:rPr>
            </w:pPr>
            <w:r w:rsidRPr="007A1F70">
              <w:rPr>
                <w:sz w:val="16"/>
              </w:rPr>
              <w:t>1.67</w:t>
            </w:r>
          </w:p>
        </w:tc>
        <w:tc>
          <w:tcPr>
            <w:tcW w:w="757" w:type="dxa"/>
            <w:shd w:val="clear" w:color="auto" w:fill="FFC9C9"/>
            <w:tcMar>
              <w:top w:w="80" w:type="dxa"/>
              <w:left w:w="80" w:type="dxa"/>
              <w:bottom w:w="80" w:type="dxa"/>
              <w:right w:w="80" w:type="dxa"/>
            </w:tcMar>
            <w:vAlign w:val="center"/>
          </w:tcPr>
          <w:p w14:paraId="5D95837B" w14:textId="607247CE" w:rsidR="00856236" w:rsidRPr="007A1F70" w:rsidRDefault="00B017CF" w:rsidP="00B017CF">
            <w:pPr>
              <w:pStyle w:val="lgetabletxt"/>
              <w:spacing w:after="60" w:afterAutospacing="0"/>
              <w:jc w:val="center"/>
              <w:rPr>
                <w:sz w:val="16"/>
              </w:rPr>
            </w:pPr>
            <w:r w:rsidRPr="007A1F70">
              <w:rPr>
                <w:sz w:val="16"/>
              </w:rPr>
              <w:t>1.31</w:t>
            </w:r>
          </w:p>
        </w:tc>
        <w:tc>
          <w:tcPr>
            <w:tcW w:w="758" w:type="dxa"/>
            <w:shd w:val="clear" w:color="auto" w:fill="FFC9C9"/>
            <w:tcMar>
              <w:top w:w="80" w:type="dxa"/>
              <w:left w:w="80" w:type="dxa"/>
              <w:bottom w:w="80" w:type="dxa"/>
              <w:right w:w="80" w:type="dxa"/>
            </w:tcMar>
            <w:vAlign w:val="center"/>
          </w:tcPr>
          <w:p w14:paraId="4BE1EB36" w14:textId="533FE492" w:rsidR="00856236" w:rsidRPr="007A1F70" w:rsidRDefault="00B017CF" w:rsidP="00B017CF">
            <w:pPr>
              <w:pStyle w:val="lgetabletxt"/>
              <w:spacing w:after="60" w:afterAutospacing="0"/>
              <w:jc w:val="center"/>
              <w:rPr>
                <w:sz w:val="16"/>
              </w:rPr>
            </w:pPr>
            <w:r w:rsidRPr="007A1F70">
              <w:rPr>
                <w:sz w:val="16"/>
              </w:rPr>
              <w:t>1.43</w:t>
            </w:r>
          </w:p>
        </w:tc>
        <w:tc>
          <w:tcPr>
            <w:tcW w:w="757" w:type="dxa"/>
            <w:shd w:val="clear" w:color="auto" w:fill="FFC9C9"/>
            <w:tcMar>
              <w:top w:w="80" w:type="dxa"/>
              <w:left w:w="80" w:type="dxa"/>
              <w:bottom w:w="80" w:type="dxa"/>
              <w:right w:w="80" w:type="dxa"/>
            </w:tcMar>
            <w:vAlign w:val="center"/>
          </w:tcPr>
          <w:p w14:paraId="3509552D" w14:textId="1C43E894" w:rsidR="00856236" w:rsidRPr="007A1F70" w:rsidRDefault="00B017CF" w:rsidP="00B017CF">
            <w:pPr>
              <w:pStyle w:val="lgetabletxt"/>
              <w:spacing w:after="60" w:afterAutospacing="0"/>
              <w:jc w:val="center"/>
              <w:rPr>
                <w:sz w:val="16"/>
              </w:rPr>
            </w:pPr>
            <w:r w:rsidRPr="007A1F70">
              <w:rPr>
                <w:sz w:val="16"/>
              </w:rPr>
              <w:t>1.22</w:t>
            </w:r>
          </w:p>
        </w:tc>
        <w:tc>
          <w:tcPr>
            <w:tcW w:w="757" w:type="dxa"/>
            <w:shd w:val="clear" w:color="auto" w:fill="FFC9C9"/>
            <w:tcMar>
              <w:top w:w="80" w:type="dxa"/>
              <w:left w:w="80" w:type="dxa"/>
              <w:bottom w:w="80" w:type="dxa"/>
              <w:right w:w="80" w:type="dxa"/>
            </w:tcMar>
            <w:vAlign w:val="center"/>
          </w:tcPr>
          <w:p w14:paraId="42158207" w14:textId="7AF6747F" w:rsidR="00856236" w:rsidRPr="007A1F70" w:rsidRDefault="00B017CF" w:rsidP="00B017CF">
            <w:pPr>
              <w:pStyle w:val="lgetabletxt"/>
              <w:spacing w:after="60" w:afterAutospacing="0"/>
              <w:jc w:val="center"/>
              <w:rPr>
                <w:sz w:val="16"/>
              </w:rPr>
            </w:pPr>
            <w:r w:rsidRPr="007A1F70">
              <w:rPr>
                <w:sz w:val="16"/>
              </w:rPr>
              <w:t>2.48</w:t>
            </w:r>
          </w:p>
        </w:tc>
        <w:tc>
          <w:tcPr>
            <w:tcW w:w="758" w:type="dxa"/>
            <w:shd w:val="clear" w:color="auto" w:fill="FFC9C9"/>
            <w:tcMar>
              <w:top w:w="80" w:type="dxa"/>
              <w:left w:w="80" w:type="dxa"/>
              <w:bottom w:w="80" w:type="dxa"/>
              <w:right w:w="80" w:type="dxa"/>
            </w:tcMar>
            <w:vAlign w:val="center"/>
          </w:tcPr>
          <w:p w14:paraId="4E2A28D9" w14:textId="02D73CF1" w:rsidR="00856236" w:rsidRPr="007A1F70" w:rsidRDefault="00B017CF" w:rsidP="00B017CF">
            <w:pPr>
              <w:pStyle w:val="lgetabletxt"/>
              <w:spacing w:after="60" w:afterAutospacing="0"/>
              <w:jc w:val="center"/>
              <w:rPr>
                <w:sz w:val="16"/>
              </w:rPr>
            </w:pPr>
            <w:r w:rsidRPr="007A1F70">
              <w:rPr>
                <w:sz w:val="16"/>
              </w:rPr>
              <w:t>1.60</w:t>
            </w:r>
          </w:p>
        </w:tc>
        <w:tc>
          <w:tcPr>
            <w:tcW w:w="757" w:type="dxa"/>
            <w:shd w:val="clear" w:color="auto" w:fill="FFC9C9"/>
            <w:tcMar>
              <w:top w:w="80" w:type="dxa"/>
              <w:left w:w="80" w:type="dxa"/>
              <w:bottom w:w="80" w:type="dxa"/>
              <w:right w:w="80" w:type="dxa"/>
            </w:tcMar>
            <w:vAlign w:val="center"/>
          </w:tcPr>
          <w:p w14:paraId="426DF2A9" w14:textId="11CC23A6" w:rsidR="00856236" w:rsidRPr="007A1F70" w:rsidRDefault="00F00490" w:rsidP="00B017CF">
            <w:pPr>
              <w:pStyle w:val="lgetabletxt"/>
              <w:spacing w:after="60" w:afterAutospacing="0"/>
              <w:jc w:val="center"/>
              <w:rPr>
                <w:sz w:val="16"/>
              </w:rPr>
            </w:pPr>
            <w:r w:rsidRPr="007A1F70">
              <w:rPr>
                <w:sz w:val="16"/>
              </w:rPr>
              <w:t>1.87</w:t>
            </w:r>
          </w:p>
        </w:tc>
        <w:tc>
          <w:tcPr>
            <w:tcW w:w="757" w:type="dxa"/>
            <w:shd w:val="clear" w:color="auto" w:fill="FFC9C9"/>
            <w:tcMar>
              <w:top w:w="80" w:type="dxa"/>
              <w:left w:w="80" w:type="dxa"/>
              <w:bottom w:w="80" w:type="dxa"/>
              <w:right w:w="80" w:type="dxa"/>
            </w:tcMar>
            <w:vAlign w:val="center"/>
          </w:tcPr>
          <w:p w14:paraId="0F031178" w14:textId="304483F4" w:rsidR="00856236" w:rsidRPr="007A1F70" w:rsidRDefault="00F00490" w:rsidP="00B017CF">
            <w:pPr>
              <w:pStyle w:val="lgetabletxt"/>
              <w:spacing w:after="60" w:afterAutospacing="0"/>
              <w:jc w:val="center"/>
              <w:rPr>
                <w:sz w:val="16"/>
              </w:rPr>
            </w:pPr>
            <w:r w:rsidRPr="007A1F70">
              <w:rPr>
                <w:sz w:val="16"/>
              </w:rPr>
              <w:t>1.97</w:t>
            </w:r>
          </w:p>
        </w:tc>
        <w:tc>
          <w:tcPr>
            <w:tcW w:w="758" w:type="dxa"/>
            <w:shd w:val="clear" w:color="auto" w:fill="FFC9C9"/>
            <w:tcMar>
              <w:top w:w="80" w:type="dxa"/>
              <w:left w:w="80" w:type="dxa"/>
              <w:bottom w:w="80" w:type="dxa"/>
              <w:right w:w="80" w:type="dxa"/>
            </w:tcMar>
            <w:vAlign w:val="center"/>
          </w:tcPr>
          <w:p w14:paraId="03C1D46E" w14:textId="4150E832" w:rsidR="00856236" w:rsidRPr="007A1F70" w:rsidRDefault="00F00490" w:rsidP="00B017CF">
            <w:pPr>
              <w:pStyle w:val="lgetabletxt"/>
              <w:spacing w:after="60" w:afterAutospacing="0"/>
              <w:jc w:val="center"/>
              <w:rPr>
                <w:sz w:val="16"/>
              </w:rPr>
            </w:pPr>
            <w:r w:rsidRPr="007A1F70">
              <w:rPr>
                <w:sz w:val="16"/>
              </w:rPr>
              <w:t>1.15</w:t>
            </w:r>
          </w:p>
        </w:tc>
        <w:tc>
          <w:tcPr>
            <w:tcW w:w="757" w:type="dxa"/>
            <w:shd w:val="clear" w:color="auto" w:fill="FFC9C9"/>
            <w:tcMar>
              <w:top w:w="80" w:type="dxa"/>
              <w:left w:w="80" w:type="dxa"/>
              <w:bottom w:w="80" w:type="dxa"/>
              <w:right w:w="80" w:type="dxa"/>
            </w:tcMar>
            <w:vAlign w:val="center"/>
          </w:tcPr>
          <w:p w14:paraId="3DFF3D67" w14:textId="77777777" w:rsidR="00856236" w:rsidRPr="007A1F70" w:rsidRDefault="00856236" w:rsidP="00B017CF">
            <w:pPr>
              <w:pStyle w:val="lgetabletxt"/>
              <w:spacing w:after="60" w:afterAutospacing="0"/>
              <w:jc w:val="center"/>
              <w:rPr>
                <w:sz w:val="16"/>
              </w:rPr>
            </w:pPr>
            <w:r w:rsidRPr="007A1F70">
              <w:rPr>
                <w:sz w:val="16"/>
              </w:rPr>
              <w:t>N/A</w:t>
            </w:r>
          </w:p>
        </w:tc>
        <w:tc>
          <w:tcPr>
            <w:tcW w:w="758" w:type="dxa"/>
            <w:shd w:val="clear" w:color="auto" w:fill="FFC9C9"/>
            <w:tcMar>
              <w:top w:w="80" w:type="dxa"/>
              <w:left w:w="80" w:type="dxa"/>
              <w:bottom w:w="80" w:type="dxa"/>
              <w:right w:w="80" w:type="dxa"/>
            </w:tcMar>
            <w:vAlign w:val="center"/>
          </w:tcPr>
          <w:p w14:paraId="03E3702A" w14:textId="59DA2268" w:rsidR="00856236" w:rsidRPr="007A1F70" w:rsidRDefault="00F00490" w:rsidP="00B017CF">
            <w:pPr>
              <w:pStyle w:val="lgetabletxt"/>
              <w:spacing w:after="60" w:afterAutospacing="0"/>
              <w:jc w:val="center"/>
              <w:rPr>
                <w:sz w:val="16"/>
              </w:rPr>
            </w:pPr>
            <w:r w:rsidRPr="007A1F70">
              <w:rPr>
                <w:sz w:val="16"/>
              </w:rPr>
              <w:t>0.71</w:t>
            </w:r>
          </w:p>
        </w:tc>
      </w:tr>
      <w:tr w:rsidR="00856236" w:rsidRPr="00BD4704" w14:paraId="6A7F8465" w14:textId="77777777" w:rsidTr="00B017CF">
        <w:tc>
          <w:tcPr>
            <w:tcW w:w="851" w:type="dxa"/>
            <w:tcMar>
              <w:top w:w="80" w:type="dxa"/>
              <w:left w:w="80" w:type="dxa"/>
              <w:bottom w:w="80" w:type="dxa"/>
              <w:right w:w="80" w:type="dxa"/>
            </w:tcMar>
            <w:vAlign w:val="center"/>
          </w:tcPr>
          <w:p w14:paraId="484E67C1" w14:textId="4D6181FE" w:rsidR="00856236" w:rsidRPr="00BD4704" w:rsidRDefault="00B017CF" w:rsidP="00B017CF">
            <w:pPr>
              <w:pStyle w:val="TableColumn1bold"/>
              <w:spacing w:after="60"/>
              <w:jc w:val="center"/>
            </w:pPr>
            <w:r>
              <w:t>2014–15</w:t>
            </w:r>
          </w:p>
        </w:tc>
        <w:tc>
          <w:tcPr>
            <w:tcW w:w="757" w:type="dxa"/>
            <w:tcMar>
              <w:top w:w="80" w:type="dxa"/>
              <w:left w:w="80" w:type="dxa"/>
              <w:bottom w:w="80" w:type="dxa"/>
              <w:right w:w="80" w:type="dxa"/>
            </w:tcMar>
            <w:vAlign w:val="center"/>
          </w:tcPr>
          <w:p w14:paraId="02EF4137" w14:textId="061B2081" w:rsidR="00856236" w:rsidRPr="007A1F70" w:rsidRDefault="00B017CF" w:rsidP="00B017CF">
            <w:pPr>
              <w:pStyle w:val="lgetabletxt"/>
              <w:spacing w:after="60" w:afterAutospacing="0"/>
              <w:jc w:val="center"/>
              <w:rPr>
                <w:sz w:val="16"/>
              </w:rPr>
            </w:pPr>
            <w:r w:rsidRPr="007A1F70">
              <w:rPr>
                <w:sz w:val="16"/>
              </w:rPr>
              <w:t>1.45</w:t>
            </w:r>
          </w:p>
        </w:tc>
        <w:tc>
          <w:tcPr>
            <w:tcW w:w="757" w:type="dxa"/>
            <w:tcMar>
              <w:top w:w="80" w:type="dxa"/>
              <w:left w:w="80" w:type="dxa"/>
              <w:bottom w:w="80" w:type="dxa"/>
              <w:right w:w="80" w:type="dxa"/>
            </w:tcMar>
            <w:vAlign w:val="center"/>
          </w:tcPr>
          <w:p w14:paraId="2FA59640" w14:textId="1B39919D" w:rsidR="00856236" w:rsidRPr="007A1F70" w:rsidRDefault="00B017CF" w:rsidP="00B017CF">
            <w:pPr>
              <w:pStyle w:val="lgetabletxt"/>
              <w:spacing w:after="60" w:afterAutospacing="0"/>
              <w:jc w:val="center"/>
              <w:rPr>
                <w:sz w:val="16"/>
              </w:rPr>
            </w:pPr>
            <w:r w:rsidRPr="007A1F70">
              <w:rPr>
                <w:sz w:val="16"/>
              </w:rPr>
              <w:t>1.31</w:t>
            </w:r>
          </w:p>
        </w:tc>
        <w:tc>
          <w:tcPr>
            <w:tcW w:w="758" w:type="dxa"/>
            <w:tcMar>
              <w:top w:w="80" w:type="dxa"/>
              <w:left w:w="80" w:type="dxa"/>
              <w:bottom w:w="80" w:type="dxa"/>
              <w:right w:w="80" w:type="dxa"/>
            </w:tcMar>
            <w:vAlign w:val="center"/>
          </w:tcPr>
          <w:p w14:paraId="7E81E2BA" w14:textId="553084C3" w:rsidR="00856236" w:rsidRPr="007A1F70" w:rsidRDefault="00B017CF" w:rsidP="00B017CF">
            <w:pPr>
              <w:pStyle w:val="lgetabletxt"/>
              <w:spacing w:after="60" w:afterAutospacing="0"/>
              <w:jc w:val="center"/>
              <w:rPr>
                <w:sz w:val="16"/>
              </w:rPr>
            </w:pPr>
            <w:r w:rsidRPr="007A1F70">
              <w:rPr>
                <w:sz w:val="16"/>
              </w:rPr>
              <w:t>1.19</w:t>
            </w:r>
          </w:p>
        </w:tc>
        <w:tc>
          <w:tcPr>
            <w:tcW w:w="757" w:type="dxa"/>
            <w:tcMar>
              <w:top w:w="80" w:type="dxa"/>
              <w:left w:w="80" w:type="dxa"/>
              <w:bottom w:w="80" w:type="dxa"/>
              <w:right w:w="80" w:type="dxa"/>
            </w:tcMar>
            <w:vAlign w:val="center"/>
          </w:tcPr>
          <w:p w14:paraId="57E3E35E" w14:textId="743E2EEF" w:rsidR="00856236" w:rsidRPr="007A1F70" w:rsidRDefault="00B017CF" w:rsidP="00B017CF">
            <w:pPr>
              <w:pStyle w:val="lgetabletxt"/>
              <w:spacing w:after="60" w:afterAutospacing="0"/>
              <w:jc w:val="center"/>
              <w:rPr>
                <w:sz w:val="16"/>
              </w:rPr>
            </w:pPr>
            <w:r w:rsidRPr="007A1F70">
              <w:rPr>
                <w:sz w:val="16"/>
              </w:rPr>
              <w:t>1.19</w:t>
            </w:r>
          </w:p>
        </w:tc>
        <w:tc>
          <w:tcPr>
            <w:tcW w:w="757" w:type="dxa"/>
            <w:tcMar>
              <w:top w:w="80" w:type="dxa"/>
              <w:left w:w="80" w:type="dxa"/>
              <w:bottom w:w="80" w:type="dxa"/>
              <w:right w:w="80" w:type="dxa"/>
            </w:tcMar>
            <w:vAlign w:val="center"/>
          </w:tcPr>
          <w:p w14:paraId="5C967945" w14:textId="5BE01EC7" w:rsidR="00856236" w:rsidRPr="007A1F70" w:rsidRDefault="00B017CF" w:rsidP="00B017CF">
            <w:pPr>
              <w:pStyle w:val="lgetabletxt"/>
              <w:spacing w:after="60" w:afterAutospacing="0"/>
              <w:jc w:val="center"/>
              <w:rPr>
                <w:sz w:val="16"/>
              </w:rPr>
            </w:pPr>
            <w:r w:rsidRPr="007A1F70">
              <w:rPr>
                <w:sz w:val="16"/>
              </w:rPr>
              <w:t>2.42</w:t>
            </w:r>
          </w:p>
        </w:tc>
        <w:tc>
          <w:tcPr>
            <w:tcW w:w="758" w:type="dxa"/>
            <w:tcMar>
              <w:top w:w="80" w:type="dxa"/>
              <w:left w:w="80" w:type="dxa"/>
              <w:bottom w:w="80" w:type="dxa"/>
              <w:right w:w="80" w:type="dxa"/>
            </w:tcMar>
            <w:vAlign w:val="center"/>
          </w:tcPr>
          <w:p w14:paraId="13B72A08" w14:textId="1649977C" w:rsidR="00856236" w:rsidRPr="007A1F70" w:rsidRDefault="00B017CF" w:rsidP="00B017CF">
            <w:pPr>
              <w:pStyle w:val="lgetabletxt"/>
              <w:spacing w:after="60" w:afterAutospacing="0"/>
              <w:jc w:val="center"/>
              <w:rPr>
                <w:sz w:val="16"/>
              </w:rPr>
            </w:pPr>
            <w:r w:rsidRPr="007A1F70">
              <w:rPr>
                <w:sz w:val="16"/>
              </w:rPr>
              <w:t>1.58</w:t>
            </w:r>
          </w:p>
        </w:tc>
        <w:tc>
          <w:tcPr>
            <w:tcW w:w="757" w:type="dxa"/>
            <w:tcMar>
              <w:top w:w="80" w:type="dxa"/>
              <w:left w:w="80" w:type="dxa"/>
              <w:bottom w:w="80" w:type="dxa"/>
              <w:right w:w="80" w:type="dxa"/>
            </w:tcMar>
            <w:vAlign w:val="center"/>
          </w:tcPr>
          <w:p w14:paraId="74D41FD6" w14:textId="5F805AF7" w:rsidR="00856236" w:rsidRPr="007A1F70" w:rsidRDefault="00F00490" w:rsidP="00B017CF">
            <w:pPr>
              <w:pStyle w:val="lgetabletxt"/>
              <w:spacing w:after="60" w:afterAutospacing="0"/>
              <w:jc w:val="center"/>
              <w:rPr>
                <w:sz w:val="16"/>
              </w:rPr>
            </w:pPr>
            <w:r w:rsidRPr="007A1F70">
              <w:rPr>
                <w:sz w:val="16"/>
              </w:rPr>
              <w:t>1.71</w:t>
            </w:r>
          </w:p>
        </w:tc>
        <w:tc>
          <w:tcPr>
            <w:tcW w:w="757" w:type="dxa"/>
            <w:tcMar>
              <w:top w:w="80" w:type="dxa"/>
              <w:left w:w="80" w:type="dxa"/>
              <w:bottom w:w="80" w:type="dxa"/>
              <w:right w:w="80" w:type="dxa"/>
            </w:tcMar>
            <w:vAlign w:val="center"/>
          </w:tcPr>
          <w:p w14:paraId="08D65805" w14:textId="4F86F724" w:rsidR="00856236" w:rsidRPr="007A1F70" w:rsidRDefault="00F00490" w:rsidP="00B017CF">
            <w:pPr>
              <w:pStyle w:val="lgetabletxt"/>
              <w:spacing w:after="60" w:afterAutospacing="0"/>
              <w:jc w:val="center"/>
              <w:rPr>
                <w:sz w:val="16"/>
              </w:rPr>
            </w:pPr>
            <w:r w:rsidRPr="007A1F70">
              <w:rPr>
                <w:sz w:val="16"/>
              </w:rPr>
              <w:t>1.84</w:t>
            </w:r>
          </w:p>
        </w:tc>
        <w:tc>
          <w:tcPr>
            <w:tcW w:w="758" w:type="dxa"/>
            <w:tcMar>
              <w:top w:w="80" w:type="dxa"/>
              <w:left w:w="80" w:type="dxa"/>
              <w:bottom w:w="80" w:type="dxa"/>
              <w:right w:w="80" w:type="dxa"/>
            </w:tcMar>
            <w:vAlign w:val="center"/>
          </w:tcPr>
          <w:p w14:paraId="21FB7449" w14:textId="57E8ADCA" w:rsidR="00856236" w:rsidRPr="007A1F70" w:rsidRDefault="00F00490" w:rsidP="00B017CF">
            <w:pPr>
              <w:pStyle w:val="lgetabletxt"/>
              <w:spacing w:after="60" w:afterAutospacing="0"/>
              <w:jc w:val="center"/>
              <w:rPr>
                <w:sz w:val="16"/>
              </w:rPr>
            </w:pPr>
            <w:r w:rsidRPr="007A1F70">
              <w:rPr>
                <w:sz w:val="16"/>
              </w:rPr>
              <w:t>1.22</w:t>
            </w:r>
          </w:p>
        </w:tc>
        <w:tc>
          <w:tcPr>
            <w:tcW w:w="757" w:type="dxa"/>
            <w:tcMar>
              <w:top w:w="80" w:type="dxa"/>
              <w:left w:w="80" w:type="dxa"/>
              <w:bottom w:w="80" w:type="dxa"/>
              <w:right w:w="80" w:type="dxa"/>
            </w:tcMar>
            <w:vAlign w:val="center"/>
          </w:tcPr>
          <w:p w14:paraId="46A8DE66" w14:textId="77777777" w:rsidR="00856236" w:rsidRPr="007A1F70" w:rsidRDefault="00856236" w:rsidP="00B017CF">
            <w:pPr>
              <w:pStyle w:val="lgetabletxt"/>
              <w:spacing w:after="60" w:afterAutospacing="0"/>
              <w:jc w:val="center"/>
              <w:rPr>
                <w:sz w:val="16"/>
              </w:rPr>
            </w:pPr>
            <w:r w:rsidRPr="007A1F70">
              <w:rPr>
                <w:sz w:val="16"/>
              </w:rPr>
              <w:t>N/A</w:t>
            </w:r>
          </w:p>
        </w:tc>
        <w:tc>
          <w:tcPr>
            <w:tcW w:w="758" w:type="dxa"/>
            <w:tcMar>
              <w:top w:w="80" w:type="dxa"/>
              <w:left w:w="80" w:type="dxa"/>
              <w:bottom w:w="80" w:type="dxa"/>
              <w:right w:w="80" w:type="dxa"/>
            </w:tcMar>
            <w:vAlign w:val="center"/>
          </w:tcPr>
          <w:p w14:paraId="5768CCA4" w14:textId="2066E8B8" w:rsidR="00856236" w:rsidRPr="007A1F70" w:rsidRDefault="00F00490" w:rsidP="00B017CF">
            <w:pPr>
              <w:pStyle w:val="lgetabletxt"/>
              <w:spacing w:after="60" w:afterAutospacing="0"/>
              <w:jc w:val="center"/>
              <w:rPr>
                <w:sz w:val="16"/>
              </w:rPr>
            </w:pPr>
            <w:r w:rsidRPr="007A1F70">
              <w:rPr>
                <w:sz w:val="16"/>
              </w:rPr>
              <w:t>0.61</w:t>
            </w:r>
          </w:p>
        </w:tc>
      </w:tr>
      <w:tr w:rsidR="00856236" w:rsidRPr="00BD4704" w14:paraId="13F3CAD5" w14:textId="77777777" w:rsidTr="00B017CF">
        <w:tc>
          <w:tcPr>
            <w:tcW w:w="851" w:type="dxa"/>
            <w:shd w:val="clear" w:color="auto" w:fill="FFC9C9"/>
            <w:tcMar>
              <w:top w:w="80" w:type="dxa"/>
              <w:left w:w="80" w:type="dxa"/>
              <w:bottom w:w="80" w:type="dxa"/>
              <w:right w:w="80" w:type="dxa"/>
            </w:tcMar>
            <w:vAlign w:val="center"/>
          </w:tcPr>
          <w:p w14:paraId="39070835" w14:textId="091B7ACF" w:rsidR="00856236" w:rsidRPr="00BD4704" w:rsidRDefault="00B017CF" w:rsidP="00B017CF">
            <w:pPr>
              <w:pStyle w:val="TableColumn1bold"/>
              <w:spacing w:after="60"/>
              <w:jc w:val="center"/>
            </w:pPr>
            <w:r>
              <w:t>2015–16</w:t>
            </w:r>
          </w:p>
        </w:tc>
        <w:tc>
          <w:tcPr>
            <w:tcW w:w="757" w:type="dxa"/>
            <w:shd w:val="clear" w:color="auto" w:fill="FFC9C9"/>
            <w:tcMar>
              <w:top w:w="80" w:type="dxa"/>
              <w:left w:w="80" w:type="dxa"/>
              <w:bottom w:w="80" w:type="dxa"/>
              <w:right w:w="80" w:type="dxa"/>
            </w:tcMar>
            <w:vAlign w:val="center"/>
          </w:tcPr>
          <w:p w14:paraId="5DD2BA36" w14:textId="59BAA065" w:rsidR="00856236" w:rsidRPr="007A1F70" w:rsidRDefault="00B017CF" w:rsidP="00B017CF">
            <w:pPr>
              <w:pStyle w:val="lgetabletxt"/>
              <w:spacing w:after="60" w:afterAutospacing="0"/>
              <w:jc w:val="center"/>
              <w:rPr>
                <w:sz w:val="16"/>
              </w:rPr>
            </w:pPr>
            <w:r w:rsidRPr="007A1F70">
              <w:rPr>
                <w:sz w:val="16"/>
              </w:rPr>
              <w:t>1.34</w:t>
            </w:r>
          </w:p>
        </w:tc>
        <w:tc>
          <w:tcPr>
            <w:tcW w:w="757" w:type="dxa"/>
            <w:shd w:val="clear" w:color="auto" w:fill="FFC9C9"/>
            <w:tcMar>
              <w:top w:w="80" w:type="dxa"/>
              <w:left w:w="80" w:type="dxa"/>
              <w:bottom w:w="80" w:type="dxa"/>
              <w:right w:w="80" w:type="dxa"/>
            </w:tcMar>
            <w:vAlign w:val="center"/>
          </w:tcPr>
          <w:p w14:paraId="783E851A" w14:textId="0A93FD78" w:rsidR="00856236" w:rsidRPr="007A1F70" w:rsidRDefault="00B017CF" w:rsidP="00B017CF">
            <w:pPr>
              <w:pStyle w:val="lgetabletxt"/>
              <w:spacing w:after="60" w:afterAutospacing="0"/>
              <w:jc w:val="center"/>
              <w:rPr>
                <w:sz w:val="16"/>
              </w:rPr>
            </w:pPr>
            <w:r w:rsidRPr="007A1F70">
              <w:rPr>
                <w:sz w:val="16"/>
              </w:rPr>
              <w:t>1.31</w:t>
            </w:r>
          </w:p>
        </w:tc>
        <w:tc>
          <w:tcPr>
            <w:tcW w:w="758" w:type="dxa"/>
            <w:shd w:val="clear" w:color="auto" w:fill="FFC9C9"/>
            <w:tcMar>
              <w:top w:w="80" w:type="dxa"/>
              <w:left w:w="80" w:type="dxa"/>
              <w:bottom w:w="80" w:type="dxa"/>
              <w:right w:w="80" w:type="dxa"/>
            </w:tcMar>
            <w:vAlign w:val="center"/>
          </w:tcPr>
          <w:p w14:paraId="11852E55" w14:textId="416210DF" w:rsidR="00856236" w:rsidRPr="007A1F70" w:rsidRDefault="00B017CF" w:rsidP="00B017CF">
            <w:pPr>
              <w:pStyle w:val="lgetabletxt"/>
              <w:spacing w:after="60" w:afterAutospacing="0"/>
              <w:jc w:val="center"/>
              <w:rPr>
                <w:sz w:val="16"/>
              </w:rPr>
            </w:pPr>
            <w:r w:rsidRPr="007A1F70">
              <w:rPr>
                <w:sz w:val="16"/>
              </w:rPr>
              <w:t>1.19</w:t>
            </w:r>
          </w:p>
        </w:tc>
        <w:tc>
          <w:tcPr>
            <w:tcW w:w="757" w:type="dxa"/>
            <w:shd w:val="clear" w:color="auto" w:fill="FFC9C9"/>
            <w:tcMar>
              <w:top w:w="80" w:type="dxa"/>
              <w:left w:w="80" w:type="dxa"/>
              <w:bottom w:w="80" w:type="dxa"/>
              <w:right w:w="80" w:type="dxa"/>
            </w:tcMar>
            <w:vAlign w:val="center"/>
          </w:tcPr>
          <w:p w14:paraId="3D4F3E55" w14:textId="109B8E5F" w:rsidR="00856236" w:rsidRPr="007A1F70" w:rsidRDefault="00B017CF" w:rsidP="00B017CF">
            <w:pPr>
              <w:pStyle w:val="lgetabletxt"/>
              <w:spacing w:after="60" w:afterAutospacing="0"/>
              <w:jc w:val="center"/>
              <w:rPr>
                <w:sz w:val="16"/>
              </w:rPr>
            </w:pPr>
            <w:r w:rsidRPr="007A1F70">
              <w:rPr>
                <w:sz w:val="16"/>
              </w:rPr>
              <w:t>1.16</w:t>
            </w:r>
          </w:p>
        </w:tc>
        <w:tc>
          <w:tcPr>
            <w:tcW w:w="757" w:type="dxa"/>
            <w:shd w:val="clear" w:color="auto" w:fill="FFC9C9"/>
            <w:tcMar>
              <w:top w:w="80" w:type="dxa"/>
              <w:left w:w="80" w:type="dxa"/>
              <w:bottom w:w="80" w:type="dxa"/>
              <w:right w:w="80" w:type="dxa"/>
            </w:tcMar>
            <w:vAlign w:val="center"/>
          </w:tcPr>
          <w:p w14:paraId="24171959" w14:textId="40098EB0" w:rsidR="00856236" w:rsidRPr="007A1F70" w:rsidRDefault="00B017CF" w:rsidP="00B017CF">
            <w:pPr>
              <w:pStyle w:val="lgetabletxt"/>
              <w:spacing w:after="60" w:afterAutospacing="0"/>
              <w:jc w:val="center"/>
              <w:rPr>
                <w:sz w:val="16"/>
              </w:rPr>
            </w:pPr>
            <w:r w:rsidRPr="007A1F70">
              <w:rPr>
                <w:sz w:val="16"/>
              </w:rPr>
              <w:t>1.89</w:t>
            </w:r>
          </w:p>
        </w:tc>
        <w:tc>
          <w:tcPr>
            <w:tcW w:w="758" w:type="dxa"/>
            <w:shd w:val="clear" w:color="auto" w:fill="FFC9C9"/>
            <w:tcMar>
              <w:top w:w="80" w:type="dxa"/>
              <w:left w:w="80" w:type="dxa"/>
              <w:bottom w:w="80" w:type="dxa"/>
              <w:right w:w="80" w:type="dxa"/>
            </w:tcMar>
            <w:vAlign w:val="center"/>
          </w:tcPr>
          <w:p w14:paraId="25343656" w14:textId="204530CA" w:rsidR="00856236" w:rsidRPr="007A1F70" w:rsidRDefault="00B017CF" w:rsidP="00B017CF">
            <w:pPr>
              <w:pStyle w:val="lgetabletxt"/>
              <w:spacing w:after="60" w:afterAutospacing="0"/>
              <w:jc w:val="center"/>
              <w:rPr>
                <w:sz w:val="16"/>
              </w:rPr>
            </w:pPr>
            <w:r w:rsidRPr="007A1F70">
              <w:rPr>
                <w:sz w:val="16"/>
              </w:rPr>
              <w:t>1.55</w:t>
            </w:r>
          </w:p>
        </w:tc>
        <w:tc>
          <w:tcPr>
            <w:tcW w:w="757" w:type="dxa"/>
            <w:shd w:val="clear" w:color="auto" w:fill="FFC9C9"/>
            <w:tcMar>
              <w:top w:w="80" w:type="dxa"/>
              <w:left w:w="80" w:type="dxa"/>
              <w:bottom w:w="80" w:type="dxa"/>
              <w:right w:w="80" w:type="dxa"/>
            </w:tcMar>
            <w:vAlign w:val="center"/>
          </w:tcPr>
          <w:p w14:paraId="5F155443" w14:textId="5A2E9064" w:rsidR="00856236" w:rsidRPr="007A1F70" w:rsidRDefault="00F00490" w:rsidP="00B017CF">
            <w:pPr>
              <w:pStyle w:val="lgetabletxt"/>
              <w:spacing w:after="60" w:afterAutospacing="0"/>
              <w:jc w:val="center"/>
              <w:rPr>
                <w:sz w:val="16"/>
              </w:rPr>
            </w:pPr>
            <w:r w:rsidRPr="007A1F70">
              <w:rPr>
                <w:sz w:val="16"/>
              </w:rPr>
              <w:t>1.62</w:t>
            </w:r>
          </w:p>
        </w:tc>
        <w:tc>
          <w:tcPr>
            <w:tcW w:w="757" w:type="dxa"/>
            <w:shd w:val="clear" w:color="auto" w:fill="FFC9C9"/>
            <w:tcMar>
              <w:top w:w="80" w:type="dxa"/>
              <w:left w:w="80" w:type="dxa"/>
              <w:bottom w:w="80" w:type="dxa"/>
              <w:right w:w="80" w:type="dxa"/>
            </w:tcMar>
            <w:vAlign w:val="center"/>
          </w:tcPr>
          <w:p w14:paraId="504E7212" w14:textId="07C3EF35" w:rsidR="00856236" w:rsidRPr="007A1F70" w:rsidRDefault="00F00490" w:rsidP="00B017CF">
            <w:pPr>
              <w:pStyle w:val="lgetabletxt"/>
              <w:spacing w:after="60" w:afterAutospacing="0"/>
              <w:jc w:val="center"/>
              <w:rPr>
                <w:sz w:val="16"/>
              </w:rPr>
            </w:pPr>
            <w:r w:rsidRPr="007A1F70">
              <w:rPr>
                <w:sz w:val="16"/>
              </w:rPr>
              <w:t>1.74</w:t>
            </w:r>
          </w:p>
        </w:tc>
        <w:tc>
          <w:tcPr>
            <w:tcW w:w="758" w:type="dxa"/>
            <w:shd w:val="clear" w:color="auto" w:fill="FFC9C9"/>
            <w:tcMar>
              <w:top w:w="80" w:type="dxa"/>
              <w:left w:w="80" w:type="dxa"/>
              <w:bottom w:w="80" w:type="dxa"/>
              <w:right w:w="80" w:type="dxa"/>
            </w:tcMar>
            <w:vAlign w:val="center"/>
          </w:tcPr>
          <w:p w14:paraId="6C7AED4F" w14:textId="1460003E" w:rsidR="00856236" w:rsidRPr="007A1F70" w:rsidRDefault="00F00490" w:rsidP="00B017CF">
            <w:pPr>
              <w:pStyle w:val="lgetabletxt"/>
              <w:spacing w:after="60" w:afterAutospacing="0"/>
              <w:jc w:val="center"/>
              <w:rPr>
                <w:sz w:val="16"/>
              </w:rPr>
            </w:pPr>
            <w:r w:rsidRPr="007A1F70">
              <w:rPr>
                <w:sz w:val="16"/>
              </w:rPr>
              <w:t>1.16</w:t>
            </w:r>
          </w:p>
        </w:tc>
        <w:tc>
          <w:tcPr>
            <w:tcW w:w="757" w:type="dxa"/>
            <w:shd w:val="clear" w:color="auto" w:fill="FFC9C9"/>
            <w:tcMar>
              <w:top w:w="80" w:type="dxa"/>
              <w:left w:w="80" w:type="dxa"/>
              <w:bottom w:w="80" w:type="dxa"/>
              <w:right w:w="80" w:type="dxa"/>
            </w:tcMar>
            <w:vAlign w:val="center"/>
          </w:tcPr>
          <w:p w14:paraId="42EEE88F" w14:textId="77777777" w:rsidR="00856236" w:rsidRPr="007A1F70" w:rsidRDefault="00856236" w:rsidP="00B017CF">
            <w:pPr>
              <w:pStyle w:val="lgetabletxt"/>
              <w:spacing w:after="60" w:afterAutospacing="0"/>
              <w:jc w:val="center"/>
              <w:rPr>
                <w:sz w:val="16"/>
              </w:rPr>
            </w:pPr>
            <w:r w:rsidRPr="007A1F70">
              <w:rPr>
                <w:sz w:val="16"/>
              </w:rPr>
              <w:t>N/A</w:t>
            </w:r>
          </w:p>
        </w:tc>
        <w:tc>
          <w:tcPr>
            <w:tcW w:w="758" w:type="dxa"/>
            <w:shd w:val="clear" w:color="auto" w:fill="FFC9C9"/>
            <w:tcMar>
              <w:top w:w="80" w:type="dxa"/>
              <w:left w:w="80" w:type="dxa"/>
              <w:bottom w:w="80" w:type="dxa"/>
              <w:right w:w="80" w:type="dxa"/>
            </w:tcMar>
            <w:vAlign w:val="center"/>
          </w:tcPr>
          <w:p w14:paraId="625C8F56" w14:textId="26FA94C4" w:rsidR="00856236" w:rsidRPr="007A1F70" w:rsidRDefault="00F00490" w:rsidP="00B017CF">
            <w:pPr>
              <w:pStyle w:val="lgetabletxt"/>
              <w:spacing w:after="60" w:afterAutospacing="0"/>
              <w:jc w:val="center"/>
              <w:rPr>
                <w:sz w:val="16"/>
              </w:rPr>
            </w:pPr>
            <w:r w:rsidRPr="007A1F70">
              <w:rPr>
                <w:sz w:val="16"/>
              </w:rPr>
              <w:t>0.47</w:t>
            </w:r>
          </w:p>
        </w:tc>
      </w:tr>
    </w:tbl>
    <w:p w14:paraId="00886EB0" w14:textId="77777777" w:rsidR="006A50D4" w:rsidRDefault="00856236" w:rsidP="005725E6">
      <w:pPr>
        <w:pStyle w:val="Footnote"/>
      </w:pPr>
      <w:r w:rsidRPr="00153D3F">
        <w:t>* ACT Private</w:t>
      </w:r>
    </w:p>
    <w:p w14:paraId="7C1BB1AD" w14:textId="4C29F62B" w:rsidR="006A50D4" w:rsidRDefault="00856236" w:rsidP="008F2092">
      <w:pPr>
        <w:spacing w:before="240"/>
      </w:pPr>
      <w:r w:rsidRPr="00153D3F">
        <w:t>Premiums vary from industry to industry. Table 7.6 provides an indication of some selected premium rates. Apart from W</w:t>
      </w:r>
      <w:r w:rsidR="00A1226A">
        <w:t xml:space="preserve">estern </w:t>
      </w:r>
      <w:r w:rsidRPr="00153D3F">
        <w:t>A</w:t>
      </w:r>
      <w:r w:rsidR="00A1226A">
        <w:t>ustralia</w:t>
      </w:r>
      <w:r w:rsidRPr="00153D3F">
        <w:t>, Tasmania, the N</w:t>
      </w:r>
      <w:r w:rsidR="00A1226A">
        <w:t xml:space="preserve">orthern </w:t>
      </w:r>
      <w:r w:rsidRPr="00153D3F">
        <w:t>T</w:t>
      </w:r>
      <w:r w:rsidR="00A1226A">
        <w:t>erritory</w:t>
      </w:r>
      <w:r w:rsidRPr="00153D3F">
        <w:t xml:space="preserve"> and the A</w:t>
      </w:r>
      <w:r w:rsidR="00A1226A">
        <w:t xml:space="preserve">ustralian </w:t>
      </w:r>
      <w:r w:rsidRPr="00153D3F">
        <w:t>C</w:t>
      </w:r>
      <w:r w:rsidR="00A1226A">
        <w:t xml:space="preserve">apital </w:t>
      </w:r>
      <w:r w:rsidRPr="00153D3F">
        <w:t>T</w:t>
      </w:r>
      <w:r w:rsidR="00A1226A">
        <w:t>erritory</w:t>
      </w:r>
      <w:r w:rsidRPr="00153D3F">
        <w:t xml:space="preserve">, industry rates are not provided for jurisdictions with full private insurance underwriting, as each individual insurer sets their own industry rates. In the Comcare jurisdiction industry rates are not applicable as all employers are experience rated. </w:t>
      </w:r>
    </w:p>
    <w:p w14:paraId="523AEC66" w14:textId="0D0B0DC3" w:rsidR="00856236" w:rsidRPr="00153D3F" w:rsidRDefault="00856236" w:rsidP="008F2092">
      <w:pPr>
        <w:spacing w:before="240"/>
      </w:pPr>
      <w:r w:rsidRPr="00153D3F">
        <w:t xml:space="preserve">Further information on industry premium rates calculations are available for: </w:t>
      </w:r>
    </w:p>
    <w:p w14:paraId="398BD9A6" w14:textId="4563133A" w:rsidR="00856236" w:rsidRPr="00EC2B35" w:rsidRDefault="00856236" w:rsidP="00F839DB">
      <w:pPr>
        <w:pStyle w:val="ListParagraph"/>
        <w:numPr>
          <w:ilvl w:val="0"/>
          <w:numId w:val="487"/>
        </w:numPr>
      </w:pPr>
      <w:r w:rsidRPr="00EC2B35">
        <w:t xml:space="preserve">Victoria — Industry descriptions are available in the periodical Victorian Government </w:t>
      </w:r>
      <w:r w:rsidRPr="00971587">
        <w:t xml:space="preserve">Gazette — Premiums Order (No. </w:t>
      </w:r>
      <w:r w:rsidR="000B72EE">
        <w:t>25</w:t>
      </w:r>
      <w:r w:rsidRPr="00971587">
        <w:t>) 201</w:t>
      </w:r>
      <w:r w:rsidR="000B72EE">
        <w:t>7</w:t>
      </w:r>
      <w:r w:rsidRPr="00971587">
        <w:t>/1</w:t>
      </w:r>
      <w:r w:rsidR="000B72EE">
        <w:t>8</w:t>
      </w:r>
      <w:r w:rsidRPr="00971587">
        <w:t xml:space="preserve"> and Industry Rates in the </w:t>
      </w:r>
      <w:hyperlink r:id="rId2187" w:anchor="page=1" w:history="1">
        <w:r w:rsidRPr="00A4295A">
          <w:rPr>
            <w:rStyle w:val="Hyperlink"/>
          </w:rPr>
          <w:t>Victorian Government Gazette No. S15</w:t>
        </w:r>
        <w:r w:rsidR="000B72EE" w:rsidRPr="00A4295A">
          <w:rPr>
            <w:rStyle w:val="Hyperlink"/>
          </w:rPr>
          <w:t>4</w:t>
        </w:r>
        <w:r w:rsidRPr="00A4295A">
          <w:rPr>
            <w:rStyle w:val="Hyperlink"/>
          </w:rPr>
          <w:t xml:space="preserve"> </w:t>
        </w:r>
        <w:r w:rsidR="000B72EE" w:rsidRPr="00A4295A">
          <w:rPr>
            <w:rStyle w:val="Hyperlink"/>
          </w:rPr>
          <w:t xml:space="preserve">17 </w:t>
        </w:r>
        <w:r w:rsidRPr="00A4295A">
          <w:rPr>
            <w:rStyle w:val="Hyperlink"/>
          </w:rPr>
          <w:t xml:space="preserve">May </w:t>
        </w:r>
        <w:r w:rsidR="000B72EE" w:rsidRPr="00A4295A">
          <w:rPr>
            <w:rStyle w:val="Hyperlink"/>
          </w:rPr>
          <w:t>2017</w:t>
        </w:r>
      </w:hyperlink>
      <w:r w:rsidRPr="00971587">
        <w:t>.</w:t>
      </w:r>
    </w:p>
    <w:p w14:paraId="452991EB" w14:textId="7840F16F" w:rsidR="00856236" w:rsidRPr="00EC2B35" w:rsidRDefault="00856236" w:rsidP="00F839DB">
      <w:pPr>
        <w:pStyle w:val="ListParagraph"/>
        <w:numPr>
          <w:ilvl w:val="0"/>
          <w:numId w:val="487"/>
        </w:numPr>
      </w:pPr>
      <w:r w:rsidRPr="00EC2B35">
        <w:t xml:space="preserve">Queensland — </w:t>
      </w:r>
      <w:hyperlink r:id="rId2188" w:history="1">
        <w:r w:rsidR="00DB052A">
          <w:rPr>
            <w:rStyle w:val="Hyperlink"/>
          </w:rPr>
          <w:t>WorkCover Queensland Notice</w:t>
        </w:r>
      </w:hyperlink>
      <w:r w:rsidR="006C5F8F">
        <w:rPr>
          <w:rStyle w:val="Hyperlink"/>
        </w:rPr>
        <w:t>.</w:t>
      </w:r>
    </w:p>
    <w:p w14:paraId="66CFAB53" w14:textId="66D620ED" w:rsidR="00856236" w:rsidRPr="00EC2B35" w:rsidRDefault="00856236" w:rsidP="00F839DB">
      <w:pPr>
        <w:pStyle w:val="ListParagraph"/>
        <w:numPr>
          <w:ilvl w:val="0"/>
          <w:numId w:val="487"/>
        </w:numPr>
      </w:pPr>
      <w:r w:rsidRPr="00EC2B35">
        <w:t>W</w:t>
      </w:r>
      <w:r w:rsidR="00A1226A">
        <w:t xml:space="preserve">estern </w:t>
      </w:r>
      <w:r w:rsidRPr="00EC2B35">
        <w:t>A</w:t>
      </w:r>
      <w:r w:rsidR="00A1226A">
        <w:t>ustralia</w:t>
      </w:r>
      <w:r w:rsidRPr="00EC2B35">
        <w:t xml:space="preserve"> — The </w:t>
      </w:r>
      <w:hyperlink r:id="rId2189" w:anchor="premiumrates" w:history="1">
        <w:r w:rsidRPr="00A4295A">
          <w:rPr>
            <w:rStyle w:val="Hyperlink"/>
          </w:rPr>
          <w:t>Gazetted industry premium rates</w:t>
        </w:r>
      </w:hyperlink>
      <w:r w:rsidRPr="00EC2B35">
        <w:t xml:space="preserve"> for W</w:t>
      </w:r>
      <w:r w:rsidR="00A1226A">
        <w:t xml:space="preserve">estern </w:t>
      </w:r>
      <w:r w:rsidRPr="00EC2B35">
        <w:t>A</w:t>
      </w:r>
      <w:r w:rsidR="00A1226A">
        <w:t>ustralia</w:t>
      </w:r>
      <w:r w:rsidR="006C5F8F">
        <w:t>.</w:t>
      </w:r>
    </w:p>
    <w:p w14:paraId="47EC8FE1" w14:textId="73F3F052" w:rsidR="00856236" w:rsidRPr="00EC2B35" w:rsidRDefault="00A1226A" w:rsidP="00F839DB">
      <w:pPr>
        <w:pStyle w:val="ListParagraph"/>
        <w:numPr>
          <w:ilvl w:val="0"/>
          <w:numId w:val="487"/>
        </w:numPr>
      </w:pPr>
      <w:r>
        <w:t xml:space="preserve">The </w:t>
      </w:r>
      <w:r w:rsidR="00856236" w:rsidRPr="00EC2B35">
        <w:t>A</w:t>
      </w:r>
      <w:r>
        <w:t xml:space="preserve">ustralian </w:t>
      </w:r>
      <w:r w:rsidR="00856236" w:rsidRPr="00EC2B35">
        <w:t>C</w:t>
      </w:r>
      <w:r>
        <w:t xml:space="preserve">apital </w:t>
      </w:r>
      <w:r w:rsidR="00856236" w:rsidRPr="00EC2B35">
        <w:t>T</w:t>
      </w:r>
      <w:r>
        <w:t>erritory</w:t>
      </w:r>
      <w:r w:rsidR="00856236" w:rsidRPr="00EC2B35">
        <w:t xml:space="preserve"> — Recommended </w:t>
      </w:r>
      <w:hyperlink r:id="rId2190" w:history="1">
        <w:r w:rsidR="00856236" w:rsidRPr="00EF68EF">
          <w:rPr>
            <w:rStyle w:val="Hyperlink"/>
          </w:rPr>
          <w:t>reasonable premium rates 201</w:t>
        </w:r>
        <w:r w:rsidR="0054138C" w:rsidRPr="00EF68EF">
          <w:rPr>
            <w:rStyle w:val="Hyperlink"/>
          </w:rPr>
          <w:t>7</w:t>
        </w:r>
        <w:r w:rsidR="000264C0" w:rsidRPr="00EF68EF">
          <w:rPr>
            <w:rStyle w:val="Hyperlink"/>
          </w:rPr>
          <w:t>–</w:t>
        </w:r>
        <w:r w:rsidR="00856236" w:rsidRPr="00EF68EF">
          <w:rPr>
            <w:rStyle w:val="Hyperlink"/>
          </w:rPr>
          <w:t>1</w:t>
        </w:r>
        <w:r w:rsidR="0054138C" w:rsidRPr="00EF68EF">
          <w:rPr>
            <w:rStyle w:val="Hyperlink"/>
          </w:rPr>
          <w:t>8</w:t>
        </w:r>
      </w:hyperlink>
      <w:r w:rsidR="006C5F8F">
        <w:t>.</w:t>
      </w:r>
    </w:p>
    <w:p w14:paraId="595886D3" w14:textId="5983AF9A" w:rsidR="00856236" w:rsidRPr="00EC2B35" w:rsidRDefault="00AC483C" w:rsidP="00F839DB">
      <w:pPr>
        <w:pStyle w:val="ListParagraph"/>
        <w:numPr>
          <w:ilvl w:val="0"/>
          <w:numId w:val="487"/>
        </w:numPr>
      </w:pPr>
      <w:r>
        <w:t>S</w:t>
      </w:r>
      <w:r w:rsidR="00A1226A">
        <w:t xml:space="preserve">outh </w:t>
      </w:r>
      <w:r>
        <w:t>A</w:t>
      </w:r>
      <w:r w:rsidR="00A1226A">
        <w:t>ustralia</w:t>
      </w:r>
      <w:r>
        <w:t xml:space="preserve"> </w:t>
      </w:r>
      <w:r w:rsidRPr="00EC2B35">
        <w:t>—</w:t>
      </w:r>
      <w:r>
        <w:t xml:space="preserve"> </w:t>
      </w:r>
      <w:hyperlink r:id="rId2191" w:history="1">
        <w:r w:rsidR="00856236" w:rsidRPr="00EF68EF">
          <w:rPr>
            <w:rStyle w:val="Hyperlink"/>
          </w:rPr>
          <w:t>Industry descriptions and rates</w:t>
        </w:r>
      </w:hyperlink>
      <w:r w:rsidR="00856236" w:rsidRPr="00EC2B35">
        <w:t xml:space="preserve"> are available on the ReturnToWorkSA website</w:t>
      </w:r>
      <w:r w:rsidR="006C5F8F">
        <w:t>.</w:t>
      </w:r>
    </w:p>
    <w:p w14:paraId="34392F8F" w14:textId="7DD5DB66" w:rsidR="00856236" w:rsidRPr="00EC2B35" w:rsidRDefault="00856236" w:rsidP="00F839DB">
      <w:pPr>
        <w:pStyle w:val="ListParagraph"/>
        <w:numPr>
          <w:ilvl w:val="0"/>
          <w:numId w:val="487"/>
        </w:numPr>
      </w:pPr>
      <w:r w:rsidRPr="00EC2B35">
        <w:t xml:space="preserve">Tasmania — </w:t>
      </w:r>
      <w:hyperlink r:id="rId2192" w:history="1">
        <w:r w:rsidRPr="00603924">
          <w:rPr>
            <w:rStyle w:val="Hyperlink"/>
          </w:rPr>
          <w:t>Suggested Rates</w:t>
        </w:r>
      </w:hyperlink>
      <w:r w:rsidRPr="00EC2B35">
        <w:t xml:space="preserve"> are available on the WorkCover Tasmania Website.</w:t>
      </w:r>
    </w:p>
    <w:p w14:paraId="10E251CD"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5568D893" w14:textId="460E3980" w:rsidR="00856236" w:rsidRPr="00205CCE" w:rsidRDefault="00856236" w:rsidP="00205CCE">
      <w:pPr>
        <w:pStyle w:val="SWATableheader"/>
      </w:pPr>
      <w:bookmarkStart w:id="249" w:name="_Toc504654729"/>
      <w:r w:rsidRPr="00205CCE">
        <w:lastRenderedPageBreak/>
        <w:t>Table 7.6: Selected industry premium rates as at 30 September 201</w:t>
      </w:r>
      <w:r w:rsidR="0088184F">
        <w:t>7</w:t>
      </w:r>
      <w:r w:rsidRPr="00205CCE">
        <w:t xml:space="preserve"> (% of payroll)</w:t>
      </w:r>
      <w:bookmarkEnd w:id="249"/>
      <w:r w:rsidRPr="00205CCE">
        <w:t xml:space="preserve"> </w:t>
      </w:r>
      <w:r w:rsidR="005E71F1" w:rsidRPr="00205CCE">
        <w:fldChar w:fldCharType="begin"/>
      </w:r>
      <w:r w:rsidR="005E71F1" w:rsidRPr="00205CCE">
        <w:instrText xml:space="preserve"> XE "industry pre</w:instrText>
      </w:r>
      <w:r w:rsidR="00306D40" w:rsidRPr="00205CCE">
        <w:instrText>m</w:instrText>
      </w:r>
      <w:r w:rsidR="005E71F1" w:rsidRPr="00205CCE">
        <w:instrText xml:space="preserve">ium rates" \r "premium" </w:instrText>
      </w:r>
      <w:r w:rsidR="005E71F1" w:rsidRPr="00205CCE">
        <w:fldChar w:fldCharType="end"/>
      </w:r>
      <w:r w:rsidR="003D18DA" w:rsidRPr="00205CCE">
        <w:fldChar w:fldCharType="begin"/>
      </w:r>
      <w:r w:rsidR="003D18DA" w:rsidRPr="00205CCE">
        <w:instrText xml:space="preserve"> XE "premium rates:selected industries" \r "selected" </w:instrText>
      </w:r>
      <w:r w:rsidR="003D18DA" w:rsidRPr="00205CCE">
        <w:fldChar w:fldCharType="end"/>
      </w:r>
      <w:r w:rsidR="001A701E" w:rsidRPr="00205CCE">
        <w:fldChar w:fldCharType="begin"/>
      </w:r>
      <w:r w:rsidR="001A701E" w:rsidRPr="00205CCE">
        <w:instrText xml:space="preserve"> XE "schemes funding arrangements:industry premium rates (% or payroll)" \r "selected" </w:instrText>
      </w:r>
      <w:r w:rsidR="001A701E" w:rsidRPr="00205CCE">
        <w:fldChar w:fldCharType="end"/>
      </w:r>
    </w:p>
    <w:tbl>
      <w:tblPr>
        <w:tblW w:w="1501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6: Selected industry premium rates as at 30 September 2014 (% of payroll) "/>
        <w:tblDescription w:val="This table provides information about selected industry premium rates as at 30 September 2016. "/>
      </w:tblPr>
      <w:tblGrid>
        <w:gridCol w:w="1485"/>
        <w:gridCol w:w="1932"/>
        <w:gridCol w:w="1933"/>
        <w:gridCol w:w="1933"/>
        <w:gridCol w:w="1933"/>
        <w:gridCol w:w="1933"/>
        <w:gridCol w:w="1933"/>
        <w:gridCol w:w="1933"/>
      </w:tblGrid>
      <w:tr w:rsidR="00856236" w:rsidRPr="00A44CAF" w14:paraId="13868CF4" w14:textId="77777777" w:rsidTr="000F44BC">
        <w:trPr>
          <w:tblHeader/>
        </w:trPr>
        <w:tc>
          <w:tcPr>
            <w:tcW w:w="1485" w:type="dxa"/>
            <w:shd w:val="clear" w:color="auto" w:fill="C00000"/>
            <w:tcMar>
              <w:top w:w="0" w:type="dxa"/>
              <w:left w:w="0" w:type="dxa"/>
              <w:bottom w:w="0" w:type="dxa"/>
              <w:right w:w="0" w:type="dxa"/>
            </w:tcMar>
            <w:vAlign w:val="center"/>
          </w:tcPr>
          <w:p w14:paraId="32495499" w14:textId="77777777" w:rsidR="00856236" w:rsidRPr="00A44CAF" w:rsidRDefault="00856236" w:rsidP="00292A53">
            <w:pPr>
              <w:pStyle w:val="Tableheaderrow"/>
              <w:spacing w:after="60"/>
            </w:pPr>
            <w:bookmarkStart w:id="250" w:name="premium"/>
            <w:bookmarkStart w:id="251" w:name="selected"/>
          </w:p>
        </w:tc>
        <w:tc>
          <w:tcPr>
            <w:tcW w:w="1932" w:type="dxa"/>
            <w:shd w:val="clear" w:color="auto" w:fill="C00000"/>
            <w:tcMar>
              <w:top w:w="0" w:type="dxa"/>
              <w:left w:w="0" w:type="dxa"/>
              <w:bottom w:w="0" w:type="dxa"/>
              <w:right w:w="0" w:type="dxa"/>
            </w:tcMar>
            <w:vAlign w:val="center"/>
          </w:tcPr>
          <w:p w14:paraId="423F3937" w14:textId="57186D31" w:rsidR="00856236" w:rsidRPr="00A44CAF" w:rsidRDefault="00856236" w:rsidP="00DC5A5A">
            <w:pPr>
              <w:pStyle w:val="Tableheaderrow"/>
              <w:spacing w:after="60"/>
            </w:pPr>
            <w:r w:rsidRPr="00A44CAF">
              <w:t>New South Wales</w:t>
            </w:r>
            <w:r w:rsidR="00851CCB" w:rsidRPr="00A44CAF">
              <w:rPr>
                <w:vertAlign w:val="superscript"/>
              </w:rPr>
              <w:t>1</w:t>
            </w:r>
          </w:p>
        </w:tc>
        <w:tc>
          <w:tcPr>
            <w:tcW w:w="1933" w:type="dxa"/>
            <w:shd w:val="clear" w:color="auto" w:fill="C00000"/>
            <w:tcMar>
              <w:top w:w="0" w:type="dxa"/>
              <w:left w:w="0" w:type="dxa"/>
              <w:bottom w:w="0" w:type="dxa"/>
              <w:right w:w="0" w:type="dxa"/>
            </w:tcMar>
            <w:vAlign w:val="center"/>
          </w:tcPr>
          <w:p w14:paraId="0E82BF56" w14:textId="39F6449A" w:rsidR="00856236" w:rsidRPr="00A44CAF" w:rsidRDefault="00856236" w:rsidP="00851CCB">
            <w:pPr>
              <w:pStyle w:val="Tableheaderrow"/>
              <w:spacing w:after="60"/>
            </w:pPr>
            <w:r w:rsidRPr="00A44CAF">
              <w:t>Victoria</w:t>
            </w:r>
            <w:r w:rsidR="00851CCB">
              <w:rPr>
                <w:vertAlign w:val="superscript"/>
              </w:rPr>
              <w:t>2</w:t>
            </w:r>
          </w:p>
        </w:tc>
        <w:tc>
          <w:tcPr>
            <w:tcW w:w="1933" w:type="dxa"/>
            <w:shd w:val="clear" w:color="auto" w:fill="C00000"/>
            <w:tcMar>
              <w:top w:w="0" w:type="dxa"/>
              <w:left w:w="0" w:type="dxa"/>
              <w:bottom w:w="0" w:type="dxa"/>
              <w:right w:w="0" w:type="dxa"/>
            </w:tcMar>
            <w:vAlign w:val="center"/>
          </w:tcPr>
          <w:p w14:paraId="48F2FD3D" w14:textId="681B556F" w:rsidR="00856236" w:rsidRPr="00A44CAF" w:rsidRDefault="00856236" w:rsidP="00851CCB">
            <w:pPr>
              <w:pStyle w:val="Tableheaderrow"/>
              <w:spacing w:after="60"/>
            </w:pPr>
            <w:r w:rsidRPr="00A44CAF">
              <w:t>Queensland</w:t>
            </w:r>
            <w:r w:rsidR="00851CCB">
              <w:rPr>
                <w:vertAlign w:val="superscript"/>
              </w:rPr>
              <w:t>3</w:t>
            </w:r>
          </w:p>
        </w:tc>
        <w:tc>
          <w:tcPr>
            <w:tcW w:w="1933" w:type="dxa"/>
            <w:shd w:val="clear" w:color="auto" w:fill="C00000"/>
            <w:tcMar>
              <w:top w:w="0" w:type="dxa"/>
              <w:left w:w="0" w:type="dxa"/>
              <w:bottom w:w="0" w:type="dxa"/>
              <w:right w:w="0" w:type="dxa"/>
            </w:tcMar>
            <w:vAlign w:val="center"/>
          </w:tcPr>
          <w:p w14:paraId="2CE9F370" w14:textId="7DB9C7D7" w:rsidR="00856236" w:rsidRPr="00A44CAF" w:rsidRDefault="00B230A9" w:rsidP="00851CCB">
            <w:pPr>
              <w:pStyle w:val="Tableheaderrow"/>
              <w:spacing w:after="60"/>
            </w:pPr>
            <w:r w:rsidRPr="00A44CAF">
              <w:t>Western Australia</w:t>
            </w:r>
            <w:r w:rsidR="00851CCB">
              <w:rPr>
                <w:vertAlign w:val="superscript"/>
              </w:rPr>
              <w:t>4</w:t>
            </w:r>
          </w:p>
        </w:tc>
        <w:tc>
          <w:tcPr>
            <w:tcW w:w="1933" w:type="dxa"/>
            <w:shd w:val="clear" w:color="auto" w:fill="C00000"/>
            <w:tcMar>
              <w:top w:w="0" w:type="dxa"/>
              <w:left w:w="0" w:type="dxa"/>
              <w:bottom w:w="0" w:type="dxa"/>
              <w:right w:w="0" w:type="dxa"/>
            </w:tcMar>
            <w:vAlign w:val="center"/>
          </w:tcPr>
          <w:p w14:paraId="262CE735" w14:textId="7E577EE3" w:rsidR="00856236" w:rsidRPr="00A44CAF" w:rsidRDefault="00856236" w:rsidP="00851CCB">
            <w:pPr>
              <w:pStyle w:val="Tableheaderrow"/>
              <w:spacing w:after="60"/>
            </w:pPr>
            <w:r w:rsidRPr="00A44CAF">
              <w:t>South Australia</w:t>
            </w:r>
            <w:r w:rsidR="00851CCB">
              <w:rPr>
                <w:vertAlign w:val="superscript"/>
              </w:rPr>
              <w:t>5</w:t>
            </w:r>
          </w:p>
        </w:tc>
        <w:tc>
          <w:tcPr>
            <w:tcW w:w="1933" w:type="dxa"/>
            <w:shd w:val="clear" w:color="auto" w:fill="C00000"/>
            <w:tcMar>
              <w:top w:w="0" w:type="dxa"/>
              <w:left w:w="0" w:type="dxa"/>
              <w:bottom w:w="0" w:type="dxa"/>
              <w:right w:w="0" w:type="dxa"/>
            </w:tcMar>
            <w:vAlign w:val="center"/>
          </w:tcPr>
          <w:p w14:paraId="23AE95BA" w14:textId="77777777" w:rsidR="00856236" w:rsidRPr="00A44CAF" w:rsidRDefault="00856236" w:rsidP="00292A53">
            <w:pPr>
              <w:pStyle w:val="Tableheaderrow"/>
              <w:spacing w:after="60"/>
            </w:pPr>
            <w:r w:rsidRPr="00A44CAF">
              <w:t>Tasmania</w:t>
            </w:r>
          </w:p>
        </w:tc>
        <w:tc>
          <w:tcPr>
            <w:tcW w:w="1933" w:type="dxa"/>
            <w:shd w:val="clear" w:color="auto" w:fill="C00000"/>
            <w:tcMar>
              <w:top w:w="0" w:type="dxa"/>
              <w:left w:w="0" w:type="dxa"/>
              <w:bottom w:w="0" w:type="dxa"/>
              <w:right w:w="0" w:type="dxa"/>
            </w:tcMar>
            <w:vAlign w:val="center"/>
          </w:tcPr>
          <w:p w14:paraId="7BB2C042" w14:textId="338C91E3" w:rsidR="00856236" w:rsidRPr="00A44CAF" w:rsidRDefault="00856236" w:rsidP="00851CCB">
            <w:pPr>
              <w:pStyle w:val="Tableheaderrow"/>
              <w:spacing w:after="60"/>
            </w:pPr>
            <w:r w:rsidRPr="00A44CAF">
              <w:t>New Zealand</w:t>
            </w:r>
            <w:r w:rsidR="00851CCB">
              <w:rPr>
                <w:vertAlign w:val="superscript"/>
              </w:rPr>
              <w:t>6</w:t>
            </w:r>
          </w:p>
        </w:tc>
      </w:tr>
      <w:tr w:rsidR="00856236" w:rsidRPr="002233A7" w14:paraId="79B1C65A" w14:textId="77777777" w:rsidTr="000F44BC">
        <w:tc>
          <w:tcPr>
            <w:tcW w:w="1485" w:type="dxa"/>
            <w:shd w:val="clear" w:color="auto" w:fill="FFC9C9"/>
            <w:tcMar>
              <w:top w:w="80" w:type="dxa"/>
              <w:left w:w="80" w:type="dxa"/>
              <w:bottom w:w="80" w:type="dxa"/>
              <w:right w:w="80" w:type="dxa"/>
            </w:tcMar>
          </w:tcPr>
          <w:p w14:paraId="2BDA328D" w14:textId="77777777" w:rsidR="00856236" w:rsidRPr="002233A7" w:rsidRDefault="00856236" w:rsidP="00292A53">
            <w:pPr>
              <w:pStyle w:val="TableColumn1bold"/>
              <w:spacing w:after="60"/>
            </w:pPr>
            <w:r w:rsidRPr="002233A7">
              <w:t>Average levy/ premium rate</w:t>
            </w:r>
          </w:p>
        </w:tc>
        <w:tc>
          <w:tcPr>
            <w:tcW w:w="1932" w:type="dxa"/>
            <w:shd w:val="clear" w:color="auto" w:fill="FFC9C9"/>
            <w:tcMar>
              <w:top w:w="80" w:type="dxa"/>
              <w:left w:w="80" w:type="dxa"/>
              <w:bottom w:w="80" w:type="dxa"/>
              <w:right w:w="80" w:type="dxa"/>
            </w:tcMar>
          </w:tcPr>
          <w:p w14:paraId="6CD210C1" w14:textId="4C6121C2"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51D9AB88" w14:textId="77777777" w:rsidR="00856236" w:rsidRPr="002233A7" w:rsidRDefault="00856236" w:rsidP="00292A53">
            <w:pPr>
              <w:pStyle w:val="lgetabletxt"/>
              <w:spacing w:after="60" w:afterAutospacing="0"/>
            </w:pPr>
            <w:r w:rsidRPr="002233A7">
              <w:t>1.272</w:t>
            </w:r>
          </w:p>
        </w:tc>
        <w:tc>
          <w:tcPr>
            <w:tcW w:w="1933" w:type="dxa"/>
            <w:shd w:val="clear" w:color="auto" w:fill="FFC9C9"/>
            <w:tcMar>
              <w:top w:w="80" w:type="dxa"/>
              <w:left w:w="80" w:type="dxa"/>
              <w:bottom w:w="80" w:type="dxa"/>
              <w:right w:w="80" w:type="dxa"/>
            </w:tcMar>
          </w:tcPr>
          <w:p w14:paraId="26965E25" w14:textId="77777777" w:rsidR="00856236" w:rsidRPr="002233A7" w:rsidRDefault="00856236" w:rsidP="00292A53">
            <w:pPr>
              <w:pStyle w:val="lgetabletxt"/>
              <w:spacing w:after="60" w:afterAutospacing="0"/>
            </w:pPr>
            <w:r w:rsidRPr="002233A7">
              <w:t>1.20</w:t>
            </w:r>
          </w:p>
        </w:tc>
        <w:tc>
          <w:tcPr>
            <w:tcW w:w="1933" w:type="dxa"/>
            <w:shd w:val="clear" w:color="auto" w:fill="FFC9C9"/>
            <w:tcMar>
              <w:top w:w="80" w:type="dxa"/>
              <w:left w:w="80" w:type="dxa"/>
              <w:bottom w:w="80" w:type="dxa"/>
              <w:right w:w="80" w:type="dxa"/>
            </w:tcMar>
          </w:tcPr>
          <w:p w14:paraId="71A66DD5" w14:textId="2AC0B9F8" w:rsidR="00856236" w:rsidRPr="002233A7" w:rsidRDefault="0088184F" w:rsidP="00292A53">
            <w:pPr>
              <w:pStyle w:val="lgetabletxt"/>
              <w:spacing w:after="60" w:afterAutospacing="0"/>
            </w:pPr>
            <w:r>
              <w:t>1.525</w:t>
            </w:r>
          </w:p>
        </w:tc>
        <w:tc>
          <w:tcPr>
            <w:tcW w:w="1933" w:type="dxa"/>
            <w:shd w:val="clear" w:color="auto" w:fill="FFC9C9"/>
            <w:tcMar>
              <w:top w:w="80" w:type="dxa"/>
              <w:left w:w="80" w:type="dxa"/>
              <w:bottom w:w="80" w:type="dxa"/>
              <w:right w:w="80" w:type="dxa"/>
            </w:tcMar>
          </w:tcPr>
          <w:p w14:paraId="18D06DA8" w14:textId="5D753C1B" w:rsidR="00856236" w:rsidRPr="002233A7" w:rsidRDefault="00F15C82" w:rsidP="00292A53">
            <w:pPr>
              <w:pStyle w:val="lgetabletxt"/>
              <w:spacing w:after="60" w:afterAutospacing="0"/>
            </w:pPr>
            <w:r>
              <w:t>1.8</w:t>
            </w:r>
          </w:p>
        </w:tc>
        <w:tc>
          <w:tcPr>
            <w:tcW w:w="1933" w:type="dxa"/>
            <w:shd w:val="clear" w:color="auto" w:fill="FFC9C9"/>
            <w:tcMar>
              <w:top w:w="80" w:type="dxa"/>
              <w:left w:w="80" w:type="dxa"/>
              <w:bottom w:w="80" w:type="dxa"/>
              <w:right w:w="80" w:type="dxa"/>
            </w:tcMar>
          </w:tcPr>
          <w:p w14:paraId="0F0B8174" w14:textId="2D32E74D" w:rsidR="00856236" w:rsidRPr="002233A7" w:rsidRDefault="003E4D71" w:rsidP="00292A53">
            <w:pPr>
              <w:pStyle w:val="lgetabletxt"/>
              <w:spacing w:after="60" w:afterAutospacing="0"/>
            </w:pPr>
            <w:r>
              <w:t>2.27</w:t>
            </w:r>
          </w:p>
        </w:tc>
        <w:tc>
          <w:tcPr>
            <w:tcW w:w="1933" w:type="dxa"/>
            <w:shd w:val="clear" w:color="auto" w:fill="FFC9C9"/>
            <w:tcMar>
              <w:top w:w="80" w:type="dxa"/>
              <w:left w:w="80" w:type="dxa"/>
              <w:bottom w:w="80" w:type="dxa"/>
              <w:right w:w="80" w:type="dxa"/>
            </w:tcMar>
          </w:tcPr>
          <w:p w14:paraId="4771F431" w14:textId="77777777" w:rsidR="00856236" w:rsidRPr="002233A7" w:rsidRDefault="00F14F26" w:rsidP="00292A53">
            <w:pPr>
              <w:pStyle w:val="lgetabletxt"/>
              <w:spacing w:after="60" w:afterAutospacing="0"/>
            </w:pPr>
            <w:r w:rsidRPr="00F14F26">
              <w:t>0.80</w:t>
            </w:r>
          </w:p>
        </w:tc>
      </w:tr>
      <w:tr w:rsidR="00856236" w:rsidRPr="002233A7" w14:paraId="5F426B0C" w14:textId="77777777" w:rsidTr="000F44BC">
        <w:tc>
          <w:tcPr>
            <w:tcW w:w="1485" w:type="dxa"/>
            <w:tcMar>
              <w:top w:w="80" w:type="dxa"/>
              <w:left w:w="80" w:type="dxa"/>
              <w:bottom w:w="80" w:type="dxa"/>
              <w:right w:w="80" w:type="dxa"/>
            </w:tcMar>
          </w:tcPr>
          <w:p w14:paraId="341360A2" w14:textId="77777777" w:rsidR="00856236" w:rsidRPr="002233A7" w:rsidRDefault="00856236" w:rsidP="00292A53">
            <w:pPr>
              <w:pStyle w:val="TableColumn1bold"/>
              <w:spacing w:after="60"/>
            </w:pPr>
            <w:r w:rsidRPr="002233A7">
              <w:t>Highest published rate</w:t>
            </w:r>
          </w:p>
        </w:tc>
        <w:tc>
          <w:tcPr>
            <w:tcW w:w="1932" w:type="dxa"/>
            <w:tcMar>
              <w:top w:w="80" w:type="dxa"/>
              <w:left w:w="80" w:type="dxa"/>
              <w:bottom w:w="80" w:type="dxa"/>
              <w:right w:w="80" w:type="dxa"/>
            </w:tcMar>
          </w:tcPr>
          <w:p w14:paraId="666EFD18" w14:textId="28723849"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4AF05E2E" w14:textId="32CC6F83" w:rsidR="00856236" w:rsidRPr="002233A7" w:rsidRDefault="00856236" w:rsidP="005F4BBF">
            <w:pPr>
              <w:pStyle w:val="lgetabletxt"/>
              <w:spacing w:after="60" w:afterAutospacing="0"/>
            </w:pPr>
            <w:r w:rsidRPr="00971587">
              <w:t>8.</w:t>
            </w:r>
            <w:r w:rsidR="00DE4EC4">
              <w:t>525 (Tyre manufacturing)</w:t>
            </w:r>
          </w:p>
        </w:tc>
        <w:tc>
          <w:tcPr>
            <w:tcW w:w="1933" w:type="dxa"/>
            <w:tcMar>
              <w:top w:w="80" w:type="dxa"/>
              <w:left w:w="80" w:type="dxa"/>
              <w:bottom w:w="80" w:type="dxa"/>
              <w:right w:w="80" w:type="dxa"/>
            </w:tcMar>
          </w:tcPr>
          <w:p w14:paraId="0259EA19" w14:textId="2591D65D" w:rsidR="00856236" w:rsidRPr="002233A7" w:rsidRDefault="00856236" w:rsidP="00292A53">
            <w:pPr>
              <w:pStyle w:val="lgetabletxt"/>
              <w:spacing w:after="60" w:afterAutospacing="0"/>
            </w:pPr>
            <w:r w:rsidRPr="00B2504E">
              <w:t>9.</w:t>
            </w:r>
            <w:r w:rsidR="00203207">
              <w:t>136</w:t>
            </w:r>
            <w:r w:rsidRPr="00B2504E">
              <w:t xml:space="preserve"> (</w:t>
            </w:r>
            <w:r w:rsidR="009C2E8A">
              <w:t>T</w:t>
            </w:r>
            <w:r w:rsidR="009C2E8A" w:rsidRPr="00B2504E">
              <w:t>ree lopping and arborist services</w:t>
            </w:r>
            <w:r w:rsidR="008F2092">
              <w:t>)</w:t>
            </w:r>
          </w:p>
        </w:tc>
        <w:tc>
          <w:tcPr>
            <w:tcW w:w="1933" w:type="dxa"/>
            <w:tcMar>
              <w:top w:w="80" w:type="dxa"/>
              <w:left w:w="80" w:type="dxa"/>
              <w:bottom w:w="80" w:type="dxa"/>
              <w:right w:w="80" w:type="dxa"/>
            </w:tcMar>
          </w:tcPr>
          <w:p w14:paraId="4E767D53" w14:textId="566E2619" w:rsidR="00856236" w:rsidRPr="002233A7" w:rsidRDefault="0088184F" w:rsidP="009C2E8A">
            <w:pPr>
              <w:pStyle w:val="lgetabletxt"/>
              <w:spacing w:after="60" w:afterAutospacing="0"/>
            </w:pPr>
            <w:r>
              <w:t>8.35</w:t>
            </w:r>
            <w:r w:rsidR="008F2092">
              <w:t xml:space="preserve"> (Beef </w:t>
            </w:r>
            <w:r w:rsidR="009C2E8A">
              <w:t>cattle f</w:t>
            </w:r>
            <w:r w:rsidR="008F2092">
              <w:t>arming)</w:t>
            </w:r>
          </w:p>
        </w:tc>
        <w:tc>
          <w:tcPr>
            <w:tcW w:w="1933" w:type="dxa"/>
            <w:tcMar>
              <w:top w:w="80" w:type="dxa"/>
              <w:left w:w="80" w:type="dxa"/>
              <w:bottom w:w="80" w:type="dxa"/>
              <w:right w:w="80" w:type="dxa"/>
            </w:tcMar>
          </w:tcPr>
          <w:p w14:paraId="32B2B47E" w14:textId="0364DB1C" w:rsidR="00856236" w:rsidRPr="002233A7" w:rsidRDefault="00F15C82" w:rsidP="00292A53">
            <w:pPr>
              <w:pStyle w:val="lgetabletxt"/>
              <w:spacing w:after="60" w:afterAutospacing="0"/>
            </w:pPr>
            <w:r>
              <w:t>11.388</w:t>
            </w:r>
            <w:r w:rsidR="00856236" w:rsidRPr="00281BAC">
              <w:t xml:space="preserve"> (Thoroughbred horse racing)</w:t>
            </w:r>
          </w:p>
        </w:tc>
        <w:tc>
          <w:tcPr>
            <w:tcW w:w="1933" w:type="dxa"/>
            <w:tcMar>
              <w:top w:w="80" w:type="dxa"/>
              <w:left w:w="80" w:type="dxa"/>
              <w:bottom w:w="80" w:type="dxa"/>
              <w:right w:w="80" w:type="dxa"/>
            </w:tcMar>
          </w:tcPr>
          <w:p w14:paraId="0CC3205D" w14:textId="5EA89AFD" w:rsidR="00856236" w:rsidRPr="002233A7" w:rsidRDefault="008F2092" w:rsidP="00292A53">
            <w:pPr>
              <w:pStyle w:val="lgetabletxt"/>
              <w:spacing w:after="60" w:afterAutospacing="0"/>
            </w:pPr>
            <w:r>
              <w:t>10.00 (Meat processing)</w:t>
            </w:r>
          </w:p>
        </w:tc>
        <w:tc>
          <w:tcPr>
            <w:tcW w:w="1933" w:type="dxa"/>
            <w:tcMar>
              <w:top w:w="80" w:type="dxa"/>
              <w:left w:w="80" w:type="dxa"/>
              <w:bottom w:w="80" w:type="dxa"/>
              <w:right w:w="80" w:type="dxa"/>
            </w:tcMar>
          </w:tcPr>
          <w:p w14:paraId="34BD5A6A" w14:textId="6F86F037" w:rsidR="00856236" w:rsidRPr="002233A7" w:rsidRDefault="00F14F26" w:rsidP="00292A53">
            <w:pPr>
              <w:pStyle w:val="lgetabletxt"/>
              <w:spacing w:after="60" w:afterAutospacing="0"/>
            </w:pPr>
            <w:r>
              <w:t>6.08</w:t>
            </w:r>
            <w:r w:rsidRPr="002233A7">
              <w:t xml:space="preserve"> (Sport and physical recreation-</w:t>
            </w:r>
            <w:r>
              <w:t>professional rugby)</w:t>
            </w:r>
          </w:p>
        </w:tc>
      </w:tr>
      <w:tr w:rsidR="00856236" w:rsidRPr="002233A7" w14:paraId="67F20C45" w14:textId="77777777" w:rsidTr="000F44BC">
        <w:tc>
          <w:tcPr>
            <w:tcW w:w="1485" w:type="dxa"/>
            <w:shd w:val="clear" w:color="auto" w:fill="FFC9C9"/>
            <w:tcMar>
              <w:top w:w="80" w:type="dxa"/>
              <w:left w:w="80" w:type="dxa"/>
              <w:bottom w:w="80" w:type="dxa"/>
              <w:right w:w="80" w:type="dxa"/>
            </w:tcMar>
          </w:tcPr>
          <w:p w14:paraId="1211A3B3" w14:textId="77777777" w:rsidR="00856236" w:rsidRPr="002233A7" w:rsidRDefault="00856236" w:rsidP="00292A53">
            <w:pPr>
              <w:pStyle w:val="TableColumn1bold"/>
              <w:spacing w:after="60"/>
            </w:pPr>
            <w:r w:rsidRPr="002233A7">
              <w:t>Highest experienced rate</w:t>
            </w:r>
          </w:p>
        </w:tc>
        <w:tc>
          <w:tcPr>
            <w:tcW w:w="1932" w:type="dxa"/>
            <w:shd w:val="clear" w:color="auto" w:fill="FFC9C9"/>
            <w:tcMar>
              <w:top w:w="80" w:type="dxa"/>
              <w:left w:w="80" w:type="dxa"/>
              <w:bottom w:w="80" w:type="dxa"/>
              <w:right w:w="80" w:type="dxa"/>
            </w:tcMar>
          </w:tcPr>
          <w:p w14:paraId="49C1B290" w14:textId="40E6226D"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26EC226B" w14:textId="44E6017D"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4BF1301F" w14:textId="46D3FF23"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7ECFF983" w14:textId="77777777"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313EF92B" w14:textId="4DEFBCAD" w:rsidR="00856236" w:rsidRPr="002233A7" w:rsidRDefault="00856236" w:rsidP="00B53A65">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57E9A329" w14:textId="01262652"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3925531B" w14:textId="4BA6E214" w:rsidR="00856236" w:rsidRPr="002233A7" w:rsidRDefault="00F14F26" w:rsidP="00292A53">
            <w:pPr>
              <w:pStyle w:val="lgetabletxt"/>
              <w:spacing w:after="60" w:afterAutospacing="0"/>
            </w:pPr>
            <w:r w:rsidRPr="002233A7">
              <w:t>7</w:t>
            </w:r>
            <w:r>
              <w:t>4</w:t>
            </w:r>
            <w:r w:rsidRPr="002233A7">
              <w:t>% loading</w:t>
            </w:r>
            <w:r w:rsidR="00DD0D68">
              <w:t xml:space="preserve"> </w:t>
            </w:r>
            <w:r w:rsidRPr="002233A7">
              <w:t>(expressed as a % of an employers standard levy)</w:t>
            </w:r>
          </w:p>
        </w:tc>
      </w:tr>
      <w:tr w:rsidR="00856236" w:rsidRPr="002233A7" w14:paraId="712AF339" w14:textId="77777777" w:rsidTr="000F44BC">
        <w:tc>
          <w:tcPr>
            <w:tcW w:w="1485" w:type="dxa"/>
            <w:tcMar>
              <w:top w:w="80" w:type="dxa"/>
              <w:left w:w="80" w:type="dxa"/>
              <w:bottom w:w="80" w:type="dxa"/>
              <w:right w:w="80" w:type="dxa"/>
            </w:tcMar>
          </w:tcPr>
          <w:p w14:paraId="4BCDAE9F" w14:textId="77777777" w:rsidR="00856236" w:rsidRPr="002233A7" w:rsidRDefault="00856236" w:rsidP="00292A53">
            <w:pPr>
              <w:pStyle w:val="TableColumn1bold"/>
              <w:spacing w:after="60"/>
            </w:pPr>
            <w:r w:rsidRPr="002233A7">
              <w:t>Lowest published rate</w:t>
            </w:r>
          </w:p>
        </w:tc>
        <w:tc>
          <w:tcPr>
            <w:tcW w:w="1932" w:type="dxa"/>
            <w:tcMar>
              <w:top w:w="80" w:type="dxa"/>
              <w:left w:w="80" w:type="dxa"/>
              <w:bottom w:w="80" w:type="dxa"/>
              <w:right w:w="80" w:type="dxa"/>
            </w:tcMar>
          </w:tcPr>
          <w:p w14:paraId="2CB0F7C2" w14:textId="57C378FD"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1C1D99D5" w14:textId="77777777" w:rsidR="00856236" w:rsidRPr="002233A7" w:rsidRDefault="00856236" w:rsidP="00292A53">
            <w:pPr>
              <w:pStyle w:val="lgetabletxt"/>
              <w:spacing w:after="60" w:afterAutospacing="0"/>
            </w:pPr>
            <w:r w:rsidRPr="002233A7">
              <w:t>0.254</w:t>
            </w:r>
          </w:p>
        </w:tc>
        <w:tc>
          <w:tcPr>
            <w:tcW w:w="1933" w:type="dxa"/>
            <w:tcMar>
              <w:top w:w="80" w:type="dxa"/>
              <w:left w:w="80" w:type="dxa"/>
              <w:bottom w:w="80" w:type="dxa"/>
              <w:right w:w="80" w:type="dxa"/>
            </w:tcMar>
          </w:tcPr>
          <w:p w14:paraId="36A33761" w14:textId="6F415F23" w:rsidR="00856236" w:rsidRPr="002233A7" w:rsidRDefault="00856236" w:rsidP="009C2E8A">
            <w:pPr>
              <w:pStyle w:val="lgetabletxt"/>
              <w:spacing w:after="60" w:afterAutospacing="0"/>
            </w:pPr>
            <w:r w:rsidRPr="00B2504E">
              <w:t>0.</w:t>
            </w:r>
            <w:r w:rsidR="00203207">
              <w:t>148</w:t>
            </w:r>
            <w:r w:rsidRPr="00B2504E">
              <w:t xml:space="preserve"> (Computer </w:t>
            </w:r>
            <w:r w:rsidR="009C2E8A">
              <w:t>s</w:t>
            </w:r>
            <w:r w:rsidRPr="00B2504E">
              <w:t>yst</w:t>
            </w:r>
            <w:r w:rsidR="008F2092">
              <w:t xml:space="preserve">em </w:t>
            </w:r>
            <w:r w:rsidR="009C2E8A">
              <w:t>d</w:t>
            </w:r>
            <w:r w:rsidR="008F2092">
              <w:t xml:space="preserve">esign and </w:t>
            </w:r>
            <w:r w:rsidR="009C2E8A">
              <w:t>r</w:t>
            </w:r>
            <w:r w:rsidR="008F2092">
              <w:t xml:space="preserve">elated </w:t>
            </w:r>
            <w:r w:rsidR="009C2E8A">
              <w:t>s</w:t>
            </w:r>
            <w:r w:rsidR="008F2092">
              <w:t>ervices)</w:t>
            </w:r>
          </w:p>
        </w:tc>
        <w:tc>
          <w:tcPr>
            <w:tcW w:w="1933" w:type="dxa"/>
            <w:tcMar>
              <w:top w:w="80" w:type="dxa"/>
              <w:left w:w="80" w:type="dxa"/>
              <w:bottom w:w="80" w:type="dxa"/>
              <w:right w:w="80" w:type="dxa"/>
            </w:tcMar>
          </w:tcPr>
          <w:p w14:paraId="2E904427" w14:textId="77777777" w:rsidR="00856236" w:rsidRPr="002233A7" w:rsidRDefault="00856236" w:rsidP="00292A53">
            <w:pPr>
              <w:pStyle w:val="lgetabletxt"/>
              <w:spacing w:after="60" w:afterAutospacing="0"/>
            </w:pPr>
            <w:r w:rsidRPr="002233A7">
              <w:t>0.25</w:t>
            </w:r>
          </w:p>
        </w:tc>
        <w:tc>
          <w:tcPr>
            <w:tcW w:w="1933" w:type="dxa"/>
            <w:tcMar>
              <w:top w:w="80" w:type="dxa"/>
              <w:left w:w="80" w:type="dxa"/>
              <w:bottom w:w="80" w:type="dxa"/>
              <w:right w:w="80" w:type="dxa"/>
            </w:tcMar>
          </w:tcPr>
          <w:p w14:paraId="6F9363AE" w14:textId="14F551EB" w:rsidR="00856236" w:rsidRPr="002233A7" w:rsidRDefault="00856236" w:rsidP="00F15C82">
            <w:pPr>
              <w:pStyle w:val="lgetabletxt"/>
              <w:spacing w:after="60" w:afterAutospacing="0"/>
            </w:pPr>
            <w:r w:rsidRPr="00281BAC">
              <w:t xml:space="preserve">0.300 (Computer </w:t>
            </w:r>
            <w:r w:rsidR="00F15C82">
              <w:t>and compuer peripheral wholesaling</w:t>
            </w:r>
            <w:r w:rsidRPr="00281BAC">
              <w:t>)</w:t>
            </w:r>
          </w:p>
        </w:tc>
        <w:tc>
          <w:tcPr>
            <w:tcW w:w="1933" w:type="dxa"/>
            <w:tcMar>
              <w:top w:w="80" w:type="dxa"/>
              <w:left w:w="80" w:type="dxa"/>
              <w:bottom w:w="80" w:type="dxa"/>
              <w:right w:w="80" w:type="dxa"/>
            </w:tcMar>
          </w:tcPr>
          <w:p w14:paraId="04641069" w14:textId="713720BA" w:rsidR="00856236" w:rsidRPr="002233A7" w:rsidRDefault="00856236" w:rsidP="003E4D71">
            <w:pPr>
              <w:pStyle w:val="lgetabletxt"/>
              <w:spacing w:after="60" w:afterAutospacing="0"/>
            </w:pPr>
            <w:r w:rsidRPr="00E57903">
              <w:t>0.</w:t>
            </w:r>
            <w:r w:rsidR="003E4D71">
              <w:t>40</w:t>
            </w:r>
            <w:r w:rsidRPr="00E57903">
              <w:t xml:space="preserve"> (</w:t>
            </w:r>
            <w:r w:rsidR="003E4D71">
              <w:t>Financial and related services</w:t>
            </w:r>
            <w:r w:rsidRPr="00E57903">
              <w:t>)</w:t>
            </w:r>
          </w:p>
        </w:tc>
        <w:tc>
          <w:tcPr>
            <w:tcW w:w="1933" w:type="dxa"/>
            <w:tcMar>
              <w:top w:w="80" w:type="dxa"/>
              <w:left w:w="80" w:type="dxa"/>
              <w:bottom w:w="80" w:type="dxa"/>
              <w:right w:w="80" w:type="dxa"/>
            </w:tcMar>
          </w:tcPr>
          <w:p w14:paraId="0DD64BE9" w14:textId="42471E11" w:rsidR="00856236" w:rsidRPr="002233A7" w:rsidRDefault="00F14F26" w:rsidP="00292A53">
            <w:pPr>
              <w:pStyle w:val="lgetabletxt"/>
              <w:spacing w:after="60" w:afterAutospacing="0"/>
            </w:pPr>
            <w:r w:rsidRPr="002233A7">
              <w:t>0.</w:t>
            </w:r>
            <w:r>
              <w:t>11</w:t>
            </w:r>
            <w:r w:rsidRPr="002233A7">
              <w:t xml:space="preserve"> (Computer systems design and related services)</w:t>
            </w:r>
          </w:p>
        </w:tc>
      </w:tr>
      <w:tr w:rsidR="00856236" w:rsidRPr="002233A7" w14:paraId="45E26221" w14:textId="77777777" w:rsidTr="000F44BC">
        <w:tc>
          <w:tcPr>
            <w:tcW w:w="1485" w:type="dxa"/>
            <w:shd w:val="clear" w:color="auto" w:fill="FFC9C9"/>
            <w:tcMar>
              <w:top w:w="80" w:type="dxa"/>
              <w:left w:w="80" w:type="dxa"/>
              <w:bottom w:w="80" w:type="dxa"/>
              <w:right w:w="80" w:type="dxa"/>
            </w:tcMar>
          </w:tcPr>
          <w:p w14:paraId="17C1B9C9" w14:textId="77777777" w:rsidR="00856236" w:rsidRPr="002233A7" w:rsidRDefault="00856236" w:rsidP="00292A53">
            <w:pPr>
              <w:pStyle w:val="TableColumn1bold"/>
              <w:spacing w:after="60"/>
            </w:pPr>
            <w:r w:rsidRPr="002233A7">
              <w:t>Lowest experienced rate</w:t>
            </w:r>
          </w:p>
        </w:tc>
        <w:tc>
          <w:tcPr>
            <w:tcW w:w="1932" w:type="dxa"/>
            <w:shd w:val="clear" w:color="auto" w:fill="FFC9C9"/>
            <w:tcMar>
              <w:top w:w="80" w:type="dxa"/>
              <w:left w:w="80" w:type="dxa"/>
              <w:bottom w:w="80" w:type="dxa"/>
              <w:right w:w="80" w:type="dxa"/>
            </w:tcMar>
          </w:tcPr>
          <w:p w14:paraId="7E011308" w14:textId="01056BB7"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0A4410E5" w14:textId="138FAA39"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7048E5C0" w14:textId="7D3A57C0"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37A2D84F" w14:textId="08DF6535"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7D51155A" w14:textId="2ED3A7F6"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2AAD28EA" w14:textId="3ADC41C3" w:rsidR="00856236" w:rsidRPr="002233A7" w:rsidRDefault="00856236" w:rsidP="00292A53">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50075F5D" w14:textId="17DFE207" w:rsidR="00856236" w:rsidRPr="002233A7" w:rsidRDefault="00F14F26" w:rsidP="00292A53">
            <w:pPr>
              <w:pStyle w:val="lgetabletxt"/>
              <w:spacing w:after="60" w:afterAutospacing="0"/>
            </w:pPr>
            <w:r w:rsidRPr="002233A7">
              <w:t>4</w:t>
            </w:r>
            <w:r>
              <w:t>4</w:t>
            </w:r>
            <w:r w:rsidRPr="002233A7">
              <w:t>% discount</w:t>
            </w:r>
            <w:r w:rsidR="00DD0D68">
              <w:t xml:space="preserve"> </w:t>
            </w:r>
            <w:r w:rsidRPr="002233A7">
              <w:t>(expressed as a % of an employers standard levy)</w:t>
            </w:r>
            <w:r w:rsidR="00B53A65">
              <w:t>.</w:t>
            </w:r>
          </w:p>
        </w:tc>
      </w:tr>
      <w:tr w:rsidR="00856236" w:rsidRPr="002233A7" w14:paraId="4166FB3F" w14:textId="77777777" w:rsidTr="000F44BC">
        <w:tc>
          <w:tcPr>
            <w:tcW w:w="1485" w:type="dxa"/>
            <w:tcMar>
              <w:top w:w="80" w:type="dxa"/>
              <w:left w:w="80" w:type="dxa"/>
              <w:bottom w:w="80" w:type="dxa"/>
              <w:right w:w="80" w:type="dxa"/>
            </w:tcMar>
          </w:tcPr>
          <w:p w14:paraId="18DB62AF" w14:textId="77777777" w:rsidR="00856236" w:rsidRPr="002233A7" w:rsidRDefault="00856236" w:rsidP="00292A53">
            <w:pPr>
              <w:pStyle w:val="TableColumn1bold"/>
              <w:spacing w:after="60"/>
            </w:pPr>
            <w:r w:rsidRPr="002233A7">
              <w:t>House construction</w:t>
            </w:r>
          </w:p>
        </w:tc>
        <w:tc>
          <w:tcPr>
            <w:tcW w:w="1932" w:type="dxa"/>
            <w:tcMar>
              <w:top w:w="80" w:type="dxa"/>
              <w:left w:w="80" w:type="dxa"/>
              <w:bottom w:w="80" w:type="dxa"/>
              <w:right w:w="80" w:type="dxa"/>
            </w:tcMar>
          </w:tcPr>
          <w:p w14:paraId="33658D1F" w14:textId="005DDA1A"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59E3A4EB" w14:textId="0232A0B9" w:rsidR="00856236" w:rsidRPr="002233A7" w:rsidRDefault="00856236" w:rsidP="00DE4EC4">
            <w:pPr>
              <w:pStyle w:val="lgetabletxt"/>
              <w:spacing w:after="60" w:afterAutospacing="0"/>
            </w:pPr>
            <w:r w:rsidRPr="00971587">
              <w:t>1.</w:t>
            </w:r>
            <w:r w:rsidR="00DE4EC4">
              <w:t>900</w:t>
            </w:r>
          </w:p>
        </w:tc>
        <w:tc>
          <w:tcPr>
            <w:tcW w:w="1933" w:type="dxa"/>
            <w:tcMar>
              <w:top w:w="80" w:type="dxa"/>
              <w:left w:w="80" w:type="dxa"/>
              <w:bottom w:w="80" w:type="dxa"/>
              <w:right w:w="80" w:type="dxa"/>
            </w:tcMar>
          </w:tcPr>
          <w:p w14:paraId="0D3AB03A" w14:textId="203F76CD" w:rsidR="00856236" w:rsidRPr="002233A7" w:rsidRDefault="00856236" w:rsidP="00292A53">
            <w:pPr>
              <w:pStyle w:val="lgetabletxt"/>
              <w:spacing w:after="60" w:afterAutospacing="0"/>
            </w:pPr>
            <w:r w:rsidRPr="00B2504E">
              <w:t>2.7</w:t>
            </w:r>
            <w:r w:rsidR="00203207">
              <w:t>52</w:t>
            </w:r>
          </w:p>
        </w:tc>
        <w:tc>
          <w:tcPr>
            <w:tcW w:w="1933" w:type="dxa"/>
            <w:tcMar>
              <w:top w:w="80" w:type="dxa"/>
              <w:left w:w="80" w:type="dxa"/>
              <w:bottom w:w="80" w:type="dxa"/>
              <w:right w:w="80" w:type="dxa"/>
            </w:tcMar>
          </w:tcPr>
          <w:p w14:paraId="1F876748" w14:textId="4932A051" w:rsidR="00856236" w:rsidRPr="002233A7" w:rsidRDefault="00856236" w:rsidP="0088184F">
            <w:pPr>
              <w:pStyle w:val="lgetabletxt"/>
              <w:spacing w:after="60" w:afterAutospacing="0"/>
            </w:pPr>
            <w:r w:rsidRPr="0099469A">
              <w:t>1.</w:t>
            </w:r>
            <w:r w:rsidR="0088184F">
              <w:t>19</w:t>
            </w:r>
          </w:p>
        </w:tc>
        <w:tc>
          <w:tcPr>
            <w:tcW w:w="1933" w:type="dxa"/>
            <w:tcMar>
              <w:top w:w="80" w:type="dxa"/>
              <w:left w:w="80" w:type="dxa"/>
              <w:bottom w:w="80" w:type="dxa"/>
              <w:right w:w="80" w:type="dxa"/>
            </w:tcMar>
          </w:tcPr>
          <w:p w14:paraId="2891F034" w14:textId="41E5DD33" w:rsidR="00856236" w:rsidRPr="002233A7" w:rsidRDefault="00F15C82" w:rsidP="00292A53">
            <w:pPr>
              <w:pStyle w:val="lgetabletxt"/>
              <w:spacing w:after="60" w:afterAutospacing="0"/>
            </w:pPr>
            <w:r>
              <w:t>2.510</w:t>
            </w:r>
          </w:p>
        </w:tc>
        <w:tc>
          <w:tcPr>
            <w:tcW w:w="1933" w:type="dxa"/>
            <w:tcMar>
              <w:top w:w="80" w:type="dxa"/>
              <w:left w:w="80" w:type="dxa"/>
              <w:bottom w:w="80" w:type="dxa"/>
              <w:right w:w="80" w:type="dxa"/>
            </w:tcMar>
          </w:tcPr>
          <w:p w14:paraId="01B8B377" w14:textId="30B8B5B4" w:rsidR="00856236" w:rsidRPr="002233A7" w:rsidRDefault="00856236" w:rsidP="00292A53">
            <w:pPr>
              <w:pStyle w:val="lgetabletxt"/>
              <w:spacing w:after="60" w:afterAutospacing="0"/>
            </w:pPr>
            <w:r w:rsidRPr="00E57903">
              <w:t>3.2</w:t>
            </w:r>
            <w:r w:rsidR="003E4D71">
              <w:t>2</w:t>
            </w:r>
          </w:p>
        </w:tc>
        <w:tc>
          <w:tcPr>
            <w:tcW w:w="1933" w:type="dxa"/>
            <w:tcMar>
              <w:top w:w="80" w:type="dxa"/>
              <w:left w:w="80" w:type="dxa"/>
              <w:bottom w:w="80" w:type="dxa"/>
              <w:right w:w="80" w:type="dxa"/>
            </w:tcMar>
          </w:tcPr>
          <w:p w14:paraId="25C99507" w14:textId="77777777" w:rsidR="00856236" w:rsidRPr="002233A7" w:rsidRDefault="00F14F26" w:rsidP="00292A53">
            <w:pPr>
              <w:pStyle w:val="lgetabletxt"/>
              <w:spacing w:after="60" w:afterAutospacing="0"/>
              <w:rPr>
                <w:highlight w:val="yellow"/>
              </w:rPr>
            </w:pPr>
            <w:r w:rsidRPr="002233A7">
              <w:t>2.</w:t>
            </w:r>
            <w:r>
              <w:t>45</w:t>
            </w:r>
          </w:p>
        </w:tc>
      </w:tr>
      <w:tr w:rsidR="00856236" w:rsidRPr="002233A7" w14:paraId="7CD54E71" w14:textId="77777777" w:rsidTr="000F44BC">
        <w:tc>
          <w:tcPr>
            <w:tcW w:w="1485" w:type="dxa"/>
            <w:shd w:val="clear" w:color="auto" w:fill="FFC9C9"/>
            <w:tcMar>
              <w:top w:w="80" w:type="dxa"/>
              <w:left w:w="80" w:type="dxa"/>
              <w:bottom w:w="80" w:type="dxa"/>
              <w:right w:w="80" w:type="dxa"/>
            </w:tcMar>
          </w:tcPr>
          <w:p w14:paraId="26C1783B" w14:textId="77777777" w:rsidR="00856236" w:rsidRPr="002233A7" w:rsidRDefault="00856236" w:rsidP="00292A53">
            <w:pPr>
              <w:pStyle w:val="TableColumn1bold"/>
              <w:spacing w:after="60"/>
            </w:pPr>
            <w:r w:rsidRPr="002233A7">
              <w:t>Non-residential construction</w:t>
            </w:r>
          </w:p>
        </w:tc>
        <w:tc>
          <w:tcPr>
            <w:tcW w:w="1932" w:type="dxa"/>
            <w:shd w:val="clear" w:color="auto" w:fill="FFC9C9"/>
            <w:tcMar>
              <w:top w:w="80" w:type="dxa"/>
              <w:left w:w="80" w:type="dxa"/>
              <w:bottom w:w="80" w:type="dxa"/>
              <w:right w:w="80" w:type="dxa"/>
            </w:tcMar>
          </w:tcPr>
          <w:p w14:paraId="672E28D4" w14:textId="2B84CDEB"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70E12C19" w14:textId="6B4C9CF1" w:rsidR="00856236" w:rsidRPr="002233A7" w:rsidRDefault="00856236" w:rsidP="00DE4EC4">
            <w:pPr>
              <w:pStyle w:val="lgetabletxt"/>
              <w:spacing w:after="60" w:afterAutospacing="0"/>
            </w:pPr>
            <w:r>
              <w:t>1.</w:t>
            </w:r>
            <w:r w:rsidR="00DE4EC4" w:rsidRPr="00971587">
              <w:t>4</w:t>
            </w:r>
            <w:r w:rsidR="00DE4EC4">
              <w:t>32</w:t>
            </w:r>
          </w:p>
        </w:tc>
        <w:tc>
          <w:tcPr>
            <w:tcW w:w="1933" w:type="dxa"/>
            <w:shd w:val="clear" w:color="auto" w:fill="FFC9C9"/>
            <w:tcMar>
              <w:top w:w="80" w:type="dxa"/>
              <w:left w:w="80" w:type="dxa"/>
              <w:bottom w:w="80" w:type="dxa"/>
              <w:right w:w="80" w:type="dxa"/>
            </w:tcMar>
          </w:tcPr>
          <w:p w14:paraId="0965A82E" w14:textId="3CD60271" w:rsidR="00856236" w:rsidRPr="002233A7" w:rsidRDefault="00856236" w:rsidP="00292A53">
            <w:pPr>
              <w:pStyle w:val="lgetabletxt"/>
              <w:spacing w:after="60" w:afterAutospacing="0"/>
            </w:pPr>
            <w:r w:rsidRPr="00B2504E">
              <w:t>2.</w:t>
            </w:r>
            <w:r w:rsidR="00203207">
              <w:t>136</w:t>
            </w:r>
          </w:p>
        </w:tc>
        <w:tc>
          <w:tcPr>
            <w:tcW w:w="1933" w:type="dxa"/>
            <w:shd w:val="clear" w:color="auto" w:fill="FFC9C9"/>
            <w:tcMar>
              <w:top w:w="80" w:type="dxa"/>
              <w:left w:w="80" w:type="dxa"/>
              <w:bottom w:w="80" w:type="dxa"/>
              <w:right w:w="80" w:type="dxa"/>
            </w:tcMar>
          </w:tcPr>
          <w:p w14:paraId="1BF1B22C" w14:textId="363D1672" w:rsidR="00856236" w:rsidRPr="002233A7" w:rsidRDefault="00856236" w:rsidP="0088184F">
            <w:pPr>
              <w:pStyle w:val="lgetabletxt"/>
              <w:spacing w:after="60" w:afterAutospacing="0"/>
            </w:pPr>
            <w:r w:rsidRPr="0099469A">
              <w:t>1.</w:t>
            </w:r>
            <w:r w:rsidR="0088184F">
              <w:t>46</w:t>
            </w:r>
          </w:p>
        </w:tc>
        <w:tc>
          <w:tcPr>
            <w:tcW w:w="1933" w:type="dxa"/>
            <w:shd w:val="clear" w:color="auto" w:fill="FFC9C9"/>
            <w:tcMar>
              <w:top w:w="80" w:type="dxa"/>
              <w:left w:w="80" w:type="dxa"/>
              <w:bottom w:w="80" w:type="dxa"/>
              <w:right w:w="80" w:type="dxa"/>
            </w:tcMar>
          </w:tcPr>
          <w:p w14:paraId="224D0413" w14:textId="190FF6AB" w:rsidR="00856236" w:rsidRPr="002233A7" w:rsidRDefault="00F15C82" w:rsidP="00292A53">
            <w:pPr>
              <w:pStyle w:val="lgetabletxt"/>
              <w:spacing w:after="60" w:afterAutospacing="0"/>
            </w:pPr>
            <w:r>
              <w:t>2.347</w:t>
            </w:r>
          </w:p>
        </w:tc>
        <w:tc>
          <w:tcPr>
            <w:tcW w:w="1933" w:type="dxa"/>
            <w:shd w:val="clear" w:color="auto" w:fill="FFC9C9"/>
            <w:tcMar>
              <w:top w:w="80" w:type="dxa"/>
              <w:left w:w="80" w:type="dxa"/>
              <w:bottom w:w="80" w:type="dxa"/>
              <w:right w:w="80" w:type="dxa"/>
            </w:tcMar>
          </w:tcPr>
          <w:p w14:paraId="7FA20851" w14:textId="618D9F60" w:rsidR="00856236" w:rsidRPr="002233A7" w:rsidRDefault="00856236" w:rsidP="00292A53">
            <w:pPr>
              <w:pStyle w:val="lgetabletxt"/>
              <w:spacing w:after="60" w:afterAutospacing="0"/>
            </w:pPr>
            <w:r w:rsidRPr="00E57903">
              <w:t>3.</w:t>
            </w:r>
            <w:r w:rsidR="003E4D71">
              <w:t>22</w:t>
            </w:r>
            <w:r w:rsidR="00DD0D68">
              <w:t xml:space="preserve"> </w:t>
            </w:r>
          </w:p>
        </w:tc>
        <w:tc>
          <w:tcPr>
            <w:tcW w:w="1933" w:type="dxa"/>
            <w:shd w:val="clear" w:color="auto" w:fill="FFC9C9"/>
            <w:tcMar>
              <w:top w:w="80" w:type="dxa"/>
              <w:left w:w="80" w:type="dxa"/>
              <w:bottom w:w="80" w:type="dxa"/>
              <w:right w:w="80" w:type="dxa"/>
            </w:tcMar>
          </w:tcPr>
          <w:p w14:paraId="06260D35" w14:textId="77777777" w:rsidR="00856236" w:rsidRPr="002233A7" w:rsidRDefault="000F71B7" w:rsidP="00292A53">
            <w:pPr>
              <w:pStyle w:val="lgetabletxt"/>
              <w:spacing w:after="60" w:afterAutospacing="0"/>
              <w:rPr>
                <w:highlight w:val="yellow"/>
              </w:rPr>
            </w:pPr>
            <w:r w:rsidRPr="002233A7">
              <w:t>2.</w:t>
            </w:r>
            <w:r>
              <w:t>26</w:t>
            </w:r>
          </w:p>
        </w:tc>
      </w:tr>
      <w:tr w:rsidR="00856236" w:rsidRPr="002233A7" w14:paraId="01C043C8" w14:textId="77777777" w:rsidTr="000F44BC">
        <w:tc>
          <w:tcPr>
            <w:tcW w:w="1485" w:type="dxa"/>
            <w:tcMar>
              <w:top w:w="80" w:type="dxa"/>
              <w:left w:w="80" w:type="dxa"/>
              <w:bottom w:w="80" w:type="dxa"/>
              <w:right w:w="80" w:type="dxa"/>
            </w:tcMar>
          </w:tcPr>
          <w:p w14:paraId="1E2F3AFE" w14:textId="77777777" w:rsidR="00856236" w:rsidRPr="002233A7" w:rsidRDefault="00856236" w:rsidP="00292A53">
            <w:pPr>
              <w:pStyle w:val="TableColumn1bold"/>
              <w:spacing w:after="60"/>
            </w:pPr>
            <w:r w:rsidRPr="002233A7">
              <w:t>Meat products</w:t>
            </w:r>
          </w:p>
        </w:tc>
        <w:tc>
          <w:tcPr>
            <w:tcW w:w="1932" w:type="dxa"/>
            <w:tcMar>
              <w:top w:w="80" w:type="dxa"/>
              <w:left w:w="80" w:type="dxa"/>
              <w:bottom w:w="80" w:type="dxa"/>
              <w:right w:w="80" w:type="dxa"/>
            </w:tcMar>
          </w:tcPr>
          <w:p w14:paraId="14F6D228" w14:textId="20DC8C3D"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5BE8FEA1" w14:textId="740D0E8D" w:rsidR="00856236" w:rsidRPr="002233A7" w:rsidRDefault="00DE4EC4" w:rsidP="009C2E8A">
            <w:pPr>
              <w:pStyle w:val="lgetabletxt"/>
              <w:spacing w:after="60" w:afterAutospacing="0"/>
            </w:pPr>
            <w:r>
              <w:t>4.932</w:t>
            </w:r>
            <w:r w:rsidR="008F2092">
              <w:t xml:space="preserve"> (Meat </w:t>
            </w:r>
            <w:r w:rsidR="009C2E8A">
              <w:t>p</w:t>
            </w:r>
            <w:r w:rsidR="008F2092">
              <w:t>rocessing)</w:t>
            </w:r>
          </w:p>
        </w:tc>
        <w:tc>
          <w:tcPr>
            <w:tcW w:w="1933" w:type="dxa"/>
            <w:tcMar>
              <w:top w:w="80" w:type="dxa"/>
              <w:left w:w="80" w:type="dxa"/>
              <w:bottom w:w="80" w:type="dxa"/>
              <w:right w:w="80" w:type="dxa"/>
            </w:tcMar>
          </w:tcPr>
          <w:p w14:paraId="147D45E0" w14:textId="792887D5" w:rsidR="00856236" w:rsidRPr="002233A7" w:rsidRDefault="00203207" w:rsidP="00292A53">
            <w:pPr>
              <w:pStyle w:val="lgetabletxt"/>
              <w:spacing w:after="60" w:afterAutospacing="0"/>
            </w:pPr>
            <w:r>
              <w:t>4.737</w:t>
            </w:r>
            <w:r w:rsidR="008F2092">
              <w:t xml:space="preserve"> (Meat processing)</w:t>
            </w:r>
          </w:p>
        </w:tc>
        <w:tc>
          <w:tcPr>
            <w:tcW w:w="1933" w:type="dxa"/>
            <w:tcMar>
              <w:top w:w="80" w:type="dxa"/>
              <w:left w:w="80" w:type="dxa"/>
              <w:bottom w:w="80" w:type="dxa"/>
              <w:right w:w="80" w:type="dxa"/>
            </w:tcMar>
          </w:tcPr>
          <w:p w14:paraId="67B0AEBC" w14:textId="6092F724" w:rsidR="00856236" w:rsidRPr="00B53A65" w:rsidRDefault="008F2092" w:rsidP="0088184F">
            <w:pPr>
              <w:spacing w:after="60"/>
              <w:rPr>
                <w:rFonts w:eastAsiaTheme="minorEastAsia" w:cs="Arial"/>
                <w:color w:val="000000" w:themeColor="text1"/>
                <w:sz w:val="14"/>
                <w:szCs w:val="16"/>
                <w:lang w:val="en-GB"/>
              </w:rPr>
            </w:pPr>
            <w:r>
              <w:rPr>
                <w:rFonts w:eastAsiaTheme="minorEastAsia" w:cs="Arial"/>
                <w:color w:val="000000" w:themeColor="text1"/>
                <w:sz w:val="14"/>
                <w:szCs w:val="16"/>
                <w:lang w:val="en-GB"/>
              </w:rPr>
              <w:t>4.</w:t>
            </w:r>
            <w:r w:rsidR="0088184F">
              <w:rPr>
                <w:rFonts w:eastAsiaTheme="minorEastAsia" w:cs="Arial"/>
                <w:color w:val="000000" w:themeColor="text1"/>
                <w:sz w:val="14"/>
                <w:szCs w:val="16"/>
                <w:lang w:val="en-GB"/>
              </w:rPr>
              <w:t xml:space="preserve">32 </w:t>
            </w:r>
            <w:r>
              <w:rPr>
                <w:rFonts w:eastAsiaTheme="minorEastAsia" w:cs="Arial"/>
                <w:color w:val="000000" w:themeColor="text1"/>
                <w:sz w:val="14"/>
                <w:szCs w:val="16"/>
                <w:lang w:val="en-GB"/>
              </w:rPr>
              <w:t>(Meat processing)</w:t>
            </w:r>
          </w:p>
        </w:tc>
        <w:tc>
          <w:tcPr>
            <w:tcW w:w="1933" w:type="dxa"/>
            <w:tcMar>
              <w:top w:w="80" w:type="dxa"/>
              <w:left w:w="80" w:type="dxa"/>
              <w:bottom w:w="80" w:type="dxa"/>
              <w:right w:w="80" w:type="dxa"/>
            </w:tcMar>
          </w:tcPr>
          <w:p w14:paraId="002C4C40" w14:textId="36B719DD" w:rsidR="00856236" w:rsidRPr="002233A7" w:rsidRDefault="00F15C82" w:rsidP="00292A53">
            <w:pPr>
              <w:pStyle w:val="lgetabletxt"/>
              <w:spacing w:after="60" w:afterAutospacing="0"/>
            </w:pPr>
            <w:r>
              <w:t>7.478</w:t>
            </w:r>
            <w:r w:rsidR="008F2092">
              <w:t xml:space="preserve"> (Meat processing)</w:t>
            </w:r>
          </w:p>
        </w:tc>
        <w:tc>
          <w:tcPr>
            <w:tcW w:w="1933" w:type="dxa"/>
            <w:tcMar>
              <w:top w:w="80" w:type="dxa"/>
              <w:left w:w="80" w:type="dxa"/>
              <w:bottom w:w="80" w:type="dxa"/>
              <w:right w:w="80" w:type="dxa"/>
            </w:tcMar>
          </w:tcPr>
          <w:p w14:paraId="3E75E095" w14:textId="6D1F7E59" w:rsidR="00856236" w:rsidRPr="002233A7" w:rsidRDefault="00856236" w:rsidP="00292A53">
            <w:pPr>
              <w:pStyle w:val="lgetabletxt"/>
              <w:spacing w:after="60" w:afterAutospacing="0"/>
            </w:pPr>
            <w:r>
              <w:t xml:space="preserve">10.00 </w:t>
            </w:r>
            <w:r w:rsidR="008F2092">
              <w:t>(Meat processing)</w:t>
            </w:r>
          </w:p>
        </w:tc>
        <w:tc>
          <w:tcPr>
            <w:tcW w:w="1933" w:type="dxa"/>
            <w:tcMar>
              <w:top w:w="80" w:type="dxa"/>
              <w:left w:w="80" w:type="dxa"/>
              <w:bottom w:w="80" w:type="dxa"/>
              <w:right w:w="80" w:type="dxa"/>
            </w:tcMar>
          </w:tcPr>
          <w:p w14:paraId="5FF62A43" w14:textId="4A6A9A35" w:rsidR="00856236" w:rsidRPr="00B53A65" w:rsidRDefault="000F71B7" w:rsidP="00292A53">
            <w:pPr>
              <w:pStyle w:val="lgetabletxt"/>
              <w:spacing w:after="60" w:afterAutospacing="0"/>
            </w:pPr>
            <w:r>
              <w:t>2.99</w:t>
            </w:r>
            <w:r w:rsidR="008F2092">
              <w:t xml:space="preserve"> (Processing)</w:t>
            </w:r>
          </w:p>
        </w:tc>
      </w:tr>
      <w:tr w:rsidR="00856236" w:rsidRPr="002233A7" w14:paraId="7205A5F3" w14:textId="77777777" w:rsidTr="000F44BC">
        <w:tc>
          <w:tcPr>
            <w:tcW w:w="1485" w:type="dxa"/>
            <w:shd w:val="clear" w:color="auto" w:fill="FFC9C9"/>
            <w:tcMar>
              <w:top w:w="80" w:type="dxa"/>
              <w:left w:w="80" w:type="dxa"/>
              <w:bottom w:w="80" w:type="dxa"/>
              <w:right w:w="80" w:type="dxa"/>
            </w:tcMar>
          </w:tcPr>
          <w:p w14:paraId="47F4F14D" w14:textId="77777777" w:rsidR="00856236" w:rsidRPr="002233A7" w:rsidRDefault="00856236" w:rsidP="00292A53">
            <w:pPr>
              <w:pStyle w:val="TableColumn1bold"/>
              <w:spacing w:after="60"/>
            </w:pPr>
            <w:r w:rsidRPr="002233A7">
              <w:t>Rubber products manufacturing</w:t>
            </w:r>
          </w:p>
        </w:tc>
        <w:tc>
          <w:tcPr>
            <w:tcW w:w="1932" w:type="dxa"/>
            <w:shd w:val="clear" w:color="auto" w:fill="FFC9C9"/>
            <w:tcMar>
              <w:top w:w="80" w:type="dxa"/>
              <w:left w:w="80" w:type="dxa"/>
              <w:bottom w:w="80" w:type="dxa"/>
              <w:right w:w="80" w:type="dxa"/>
            </w:tcMar>
          </w:tcPr>
          <w:p w14:paraId="1AD9DFCF" w14:textId="47FCB62F"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336BC198" w14:textId="33F42764" w:rsidR="00856236" w:rsidRDefault="00856236" w:rsidP="00292A53">
            <w:pPr>
              <w:pStyle w:val="lgetabletxt"/>
              <w:spacing w:after="60" w:afterAutospacing="0"/>
            </w:pPr>
            <w:r>
              <w:t>3.</w:t>
            </w:r>
            <w:r w:rsidR="00DE4EC4">
              <w:t xml:space="preserve">712 </w:t>
            </w:r>
            <w:r>
              <w:t>(Natura</w:t>
            </w:r>
            <w:r w:rsidR="008F2092">
              <w:t xml:space="preserve">l </w:t>
            </w:r>
            <w:r w:rsidR="009C2E8A">
              <w:t>r</w:t>
            </w:r>
            <w:r w:rsidR="008F2092">
              <w:t xml:space="preserve">ubber </w:t>
            </w:r>
            <w:r w:rsidR="009C2E8A">
              <w:t>p</w:t>
            </w:r>
            <w:r w:rsidR="008F2092">
              <w:t xml:space="preserve">roduct </w:t>
            </w:r>
            <w:r w:rsidR="009C2E8A">
              <w:t>m</w:t>
            </w:r>
            <w:r w:rsidR="008F2092">
              <w:t>anufacturing)</w:t>
            </w:r>
          </w:p>
          <w:p w14:paraId="47EEC34D" w14:textId="3897FE05" w:rsidR="00856236" w:rsidRDefault="00856236" w:rsidP="00292A53">
            <w:pPr>
              <w:pStyle w:val="lgetabletxt"/>
              <w:spacing w:after="60" w:afterAutospacing="0"/>
            </w:pPr>
            <w:r>
              <w:t>2.</w:t>
            </w:r>
            <w:r w:rsidR="00DE4EC4">
              <w:t xml:space="preserve">039 </w:t>
            </w:r>
            <w:r>
              <w:t xml:space="preserve">(Synthetic </w:t>
            </w:r>
            <w:r w:rsidR="009C2E8A">
              <w:t>r</w:t>
            </w:r>
            <w:r>
              <w:t xml:space="preserve">esin </w:t>
            </w:r>
            <w:r w:rsidR="009C2E8A">
              <w:t>a</w:t>
            </w:r>
            <w:r>
              <w:t xml:space="preserve">nd </w:t>
            </w:r>
            <w:r w:rsidR="009C2E8A">
              <w:t>s</w:t>
            </w:r>
            <w:r w:rsidR="008F2092">
              <w:t xml:space="preserve">ynthetic </w:t>
            </w:r>
            <w:r w:rsidR="009C2E8A">
              <w:t>r</w:t>
            </w:r>
            <w:r w:rsidR="008F2092">
              <w:t xml:space="preserve">ubber </w:t>
            </w:r>
            <w:r w:rsidR="009C2E8A">
              <w:t>m</w:t>
            </w:r>
            <w:r w:rsidR="008F2092">
              <w:t>anufacturing)</w:t>
            </w:r>
          </w:p>
          <w:p w14:paraId="2DC74E12" w14:textId="39F8E5BA" w:rsidR="00856236" w:rsidRPr="002233A7" w:rsidRDefault="008F2092" w:rsidP="00DE4EC4">
            <w:pPr>
              <w:pStyle w:val="lgetabletxt"/>
              <w:spacing w:after="60" w:afterAutospacing="0"/>
            </w:pPr>
            <w:r>
              <w:t>8.</w:t>
            </w:r>
            <w:r w:rsidR="00DE4EC4">
              <w:t xml:space="preserve">525 </w:t>
            </w:r>
            <w:r>
              <w:t xml:space="preserve">(Tyre </w:t>
            </w:r>
            <w:r w:rsidR="009C2E8A">
              <w:t>m</w:t>
            </w:r>
            <w:r>
              <w:t>anufacturing)</w:t>
            </w:r>
          </w:p>
        </w:tc>
        <w:tc>
          <w:tcPr>
            <w:tcW w:w="1933" w:type="dxa"/>
            <w:shd w:val="clear" w:color="auto" w:fill="FFC9C9"/>
            <w:tcMar>
              <w:top w:w="80" w:type="dxa"/>
              <w:left w:w="80" w:type="dxa"/>
              <w:bottom w:w="80" w:type="dxa"/>
              <w:right w:w="80" w:type="dxa"/>
            </w:tcMar>
          </w:tcPr>
          <w:p w14:paraId="520ACDFF" w14:textId="45D29770" w:rsidR="00856236" w:rsidRPr="002233A7" w:rsidRDefault="00856236" w:rsidP="009C2E8A">
            <w:pPr>
              <w:pStyle w:val="lgetabletxt"/>
              <w:spacing w:after="60" w:afterAutospacing="0"/>
            </w:pPr>
            <w:r w:rsidRPr="00B2504E">
              <w:t>2.</w:t>
            </w:r>
            <w:r w:rsidR="00203207">
              <w:t>672</w:t>
            </w:r>
            <w:r w:rsidRPr="00B2504E">
              <w:t xml:space="preserve"> (Natura</w:t>
            </w:r>
            <w:r w:rsidR="008F2092">
              <w:t xml:space="preserve">l </w:t>
            </w:r>
            <w:r w:rsidR="009C2E8A">
              <w:t>r</w:t>
            </w:r>
            <w:r w:rsidR="008F2092">
              <w:t xml:space="preserve">ubber </w:t>
            </w:r>
            <w:r w:rsidR="009C2E8A">
              <w:t>p</w:t>
            </w:r>
            <w:r w:rsidR="008F2092">
              <w:t xml:space="preserve">roduct </w:t>
            </w:r>
            <w:r w:rsidR="009C2E8A">
              <w:t>m</w:t>
            </w:r>
            <w:r w:rsidR="008F2092">
              <w:t>anufacturing)</w:t>
            </w:r>
          </w:p>
        </w:tc>
        <w:tc>
          <w:tcPr>
            <w:tcW w:w="1933" w:type="dxa"/>
            <w:shd w:val="clear" w:color="auto" w:fill="FFC9C9"/>
            <w:tcMar>
              <w:top w:w="80" w:type="dxa"/>
              <w:left w:w="80" w:type="dxa"/>
              <w:bottom w:w="80" w:type="dxa"/>
              <w:right w:w="80" w:type="dxa"/>
            </w:tcMar>
          </w:tcPr>
          <w:p w14:paraId="038D9817" w14:textId="01201738" w:rsidR="00856236" w:rsidRDefault="00856236" w:rsidP="00292A53">
            <w:pPr>
              <w:pStyle w:val="lgetabletxt"/>
              <w:spacing w:after="60" w:afterAutospacing="0"/>
            </w:pPr>
            <w:r>
              <w:t>2.</w:t>
            </w:r>
            <w:r w:rsidR="0088184F">
              <w:t xml:space="preserve">55 </w:t>
            </w:r>
            <w:r>
              <w:t>(Rubber tyre manufacturing).</w:t>
            </w:r>
          </w:p>
          <w:p w14:paraId="6A1065C5" w14:textId="47276B7A" w:rsidR="00856236" w:rsidRPr="002233A7" w:rsidRDefault="00856236" w:rsidP="0088184F">
            <w:pPr>
              <w:pStyle w:val="lgetabletxt"/>
              <w:spacing w:after="60" w:afterAutospacing="0"/>
            </w:pPr>
            <w:r>
              <w:t>3.</w:t>
            </w:r>
            <w:r w:rsidR="0088184F">
              <w:t xml:space="preserve">46 </w:t>
            </w:r>
            <w:r>
              <w:t>(Rubbe</w:t>
            </w:r>
            <w:r w:rsidR="008F2092">
              <w:t>r product manufacturing n.e.c.)</w:t>
            </w:r>
          </w:p>
        </w:tc>
        <w:tc>
          <w:tcPr>
            <w:tcW w:w="1933" w:type="dxa"/>
            <w:shd w:val="clear" w:color="auto" w:fill="FFC9C9"/>
            <w:tcMar>
              <w:top w:w="80" w:type="dxa"/>
              <w:left w:w="80" w:type="dxa"/>
              <w:bottom w:w="80" w:type="dxa"/>
              <w:right w:w="80" w:type="dxa"/>
            </w:tcMar>
          </w:tcPr>
          <w:p w14:paraId="7622B922" w14:textId="6E5CF7F9" w:rsidR="008F2092" w:rsidRDefault="00F15C82" w:rsidP="00292A53">
            <w:pPr>
              <w:pStyle w:val="lgetabletxt"/>
              <w:spacing w:after="60" w:afterAutospacing="0"/>
            </w:pPr>
            <w:r>
              <w:t>3.555</w:t>
            </w:r>
            <w:r w:rsidR="00856236">
              <w:t xml:space="preserve"> (Tyre</w:t>
            </w:r>
            <w:r w:rsidR="008F2092">
              <w:t xml:space="preserve"> manufacturing)</w:t>
            </w:r>
          </w:p>
          <w:p w14:paraId="2ED329AF" w14:textId="61C2F04F" w:rsidR="008F2092" w:rsidRDefault="00856236" w:rsidP="00292A53">
            <w:pPr>
              <w:pStyle w:val="lgetabletxt"/>
              <w:spacing w:after="60" w:afterAutospacing="0"/>
            </w:pPr>
            <w:r>
              <w:t>3.</w:t>
            </w:r>
            <w:r w:rsidR="00F15C82">
              <w:t>537</w:t>
            </w:r>
            <w:r>
              <w:t xml:space="preserve"> (Natural ru</w:t>
            </w:r>
            <w:r w:rsidR="008F2092">
              <w:t>bber product manufacturing nec)</w:t>
            </w:r>
          </w:p>
          <w:p w14:paraId="61F5AE40" w14:textId="4A075913" w:rsidR="00856236" w:rsidRPr="002233A7" w:rsidRDefault="00F15C82" w:rsidP="00292A53">
            <w:pPr>
              <w:pStyle w:val="lgetabletxt"/>
              <w:spacing w:after="60" w:afterAutospacing="0"/>
            </w:pPr>
            <w:r>
              <w:t>5.127</w:t>
            </w:r>
            <w:r w:rsidR="00856236">
              <w:t xml:space="preserve"> (Synthetic resin and synthetic rubber manufacturing)</w:t>
            </w:r>
          </w:p>
        </w:tc>
        <w:tc>
          <w:tcPr>
            <w:tcW w:w="1933" w:type="dxa"/>
            <w:shd w:val="clear" w:color="auto" w:fill="FFC9C9"/>
            <w:tcMar>
              <w:top w:w="80" w:type="dxa"/>
              <w:left w:w="80" w:type="dxa"/>
              <w:bottom w:w="80" w:type="dxa"/>
              <w:right w:w="80" w:type="dxa"/>
            </w:tcMar>
          </w:tcPr>
          <w:p w14:paraId="292AC9B5" w14:textId="60D3AEF0" w:rsidR="00856236" w:rsidRDefault="00856236" w:rsidP="00292A53">
            <w:pPr>
              <w:pStyle w:val="lgetabletxt"/>
              <w:spacing w:after="60" w:afterAutospacing="0"/>
            </w:pPr>
            <w:r>
              <w:t>2.</w:t>
            </w:r>
            <w:r w:rsidR="003E4D71">
              <w:t>30</w:t>
            </w:r>
            <w:r w:rsidR="00DD0D68">
              <w:t xml:space="preserve"> </w:t>
            </w:r>
            <w:r>
              <w:t>(Natura</w:t>
            </w:r>
            <w:r w:rsidR="008F2092">
              <w:t xml:space="preserve">l </w:t>
            </w:r>
            <w:r w:rsidR="009C2E8A">
              <w:t>r</w:t>
            </w:r>
            <w:r w:rsidR="008F2092">
              <w:t xml:space="preserve">ubber </w:t>
            </w:r>
            <w:r w:rsidR="009C2E8A">
              <w:t>p</w:t>
            </w:r>
            <w:r w:rsidR="008F2092">
              <w:t xml:space="preserve">roduct </w:t>
            </w:r>
            <w:r w:rsidR="009C2E8A">
              <w:t>m</w:t>
            </w:r>
            <w:r w:rsidR="008F2092">
              <w:t>anufacturing)</w:t>
            </w:r>
          </w:p>
          <w:p w14:paraId="6988F347" w14:textId="36BD686F" w:rsidR="00856236" w:rsidRPr="002233A7" w:rsidRDefault="008F2092" w:rsidP="009C2E8A">
            <w:pPr>
              <w:pStyle w:val="lgetabletxt"/>
              <w:spacing w:after="60" w:afterAutospacing="0"/>
            </w:pPr>
            <w:r>
              <w:t>2.</w:t>
            </w:r>
            <w:r w:rsidR="003E4D71">
              <w:t>30</w:t>
            </w:r>
            <w:r>
              <w:t xml:space="preserve"> (Tyre </w:t>
            </w:r>
            <w:r w:rsidR="009C2E8A">
              <w:t>m</w:t>
            </w:r>
            <w:r>
              <w:t>anufacturing)</w:t>
            </w:r>
          </w:p>
        </w:tc>
        <w:tc>
          <w:tcPr>
            <w:tcW w:w="1933" w:type="dxa"/>
            <w:shd w:val="clear" w:color="auto" w:fill="FFC9C9"/>
            <w:tcMar>
              <w:top w:w="80" w:type="dxa"/>
              <w:left w:w="80" w:type="dxa"/>
              <w:bottom w:w="80" w:type="dxa"/>
              <w:right w:w="80" w:type="dxa"/>
            </w:tcMar>
          </w:tcPr>
          <w:p w14:paraId="45E9D26B" w14:textId="0030C55B" w:rsidR="000F71B7" w:rsidRPr="002233A7" w:rsidRDefault="000F71B7" w:rsidP="00292A53">
            <w:pPr>
              <w:pStyle w:val="lgetabletxt"/>
              <w:spacing w:after="60" w:afterAutospacing="0"/>
            </w:pPr>
            <w:r w:rsidRPr="002233A7">
              <w:t>0.</w:t>
            </w:r>
            <w:r>
              <w:t>54</w:t>
            </w:r>
            <w:r w:rsidRPr="002233A7">
              <w:t xml:space="preserve"> (Natural</w:t>
            </w:r>
            <w:r w:rsidR="008F2092">
              <w:t xml:space="preserve"> rubber product manufacturing)</w:t>
            </w:r>
          </w:p>
          <w:p w14:paraId="363A34BA" w14:textId="016E4AB6" w:rsidR="00856236" w:rsidRPr="002233A7" w:rsidRDefault="000F71B7" w:rsidP="00292A53">
            <w:pPr>
              <w:pStyle w:val="lgetabletxt"/>
              <w:spacing w:after="60" w:afterAutospacing="0"/>
            </w:pPr>
            <w:r>
              <w:t>0.92</w:t>
            </w:r>
            <w:r w:rsidRPr="002233A7">
              <w:t xml:space="preserve"> (Tyre </w:t>
            </w:r>
            <w:r w:rsidR="008F2092">
              <w:t>manufacturing)</w:t>
            </w:r>
          </w:p>
        </w:tc>
      </w:tr>
      <w:tr w:rsidR="00856236" w:rsidRPr="002233A7" w14:paraId="17844251" w14:textId="77777777" w:rsidTr="000F44BC">
        <w:tc>
          <w:tcPr>
            <w:tcW w:w="1485" w:type="dxa"/>
            <w:tcMar>
              <w:top w:w="80" w:type="dxa"/>
              <w:left w:w="80" w:type="dxa"/>
              <w:bottom w:w="80" w:type="dxa"/>
              <w:right w:w="80" w:type="dxa"/>
            </w:tcMar>
          </w:tcPr>
          <w:p w14:paraId="5DBC4812" w14:textId="77777777" w:rsidR="00856236" w:rsidRPr="002233A7" w:rsidRDefault="00856236" w:rsidP="00292A53">
            <w:pPr>
              <w:pStyle w:val="TableColumn1bold"/>
              <w:spacing w:after="60"/>
            </w:pPr>
            <w:r w:rsidRPr="002233A7">
              <w:t>Plastic products</w:t>
            </w:r>
          </w:p>
        </w:tc>
        <w:tc>
          <w:tcPr>
            <w:tcW w:w="1932" w:type="dxa"/>
            <w:tcMar>
              <w:top w:w="80" w:type="dxa"/>
              <w:left w:w="80" w:type="dxa"/>
              <w:bottom w:w="80" w:type="dxa"/>
              <w:right w:w="80" w:type="dxa"/>
            </w:tcMar>
          </w:tcPr>
          <w:p w14:paraId="1B25D0DA" w14:textId="61BBA557"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14CA0DC5" w14:textId="1C91D73B" w:rsidR="00856236" w:rsidRDefault="00856236" w:rsidP="00292A53">
            <w:pPr>
              <w:pStyle w:val="lgetabletxt"/>
              <w:spacing w:after="60" w:afterAutospacing="0"/>
            </w:pPr>
            <w:r>
              <w:t>3.</w:t>
            </w:r>
            <w:r w:rsidR="003C77F4">
              <w:t xml:space="preserve">363 </w:t>
            </w:r>
            <w:r>
              <w:t xml:space="preserve">(Rigid </w:t>
            </w:r>
            <w:r w:rsidR="009C2E8A">
              <w:t>a</w:t>
            </w:r>
            <w:r>
              <w:t xml:space="preserve">nd </w:t>
            </w:r>
            <w:r w:rsidR="009C2E8A">
              <w:t>s</w:t>
            </w:r>
            <w:r>
              <w:t>emi-</w:t>
            </w:r>
            <w:r w:rsidR="009C2E8A">
              <w:t>r</w:t>
            </w:r>
            <w:r>
              <w:t>igid</w:t>
            </w:r>
            <w:r w:rsidR="008F2092">
              <w:t xml:space="preserve"> </w:t>
            </w:r>
            <w:r w:rsidR="009C2E8A">
              <w:t>p</w:t>
            </w:r>
            <w:r w:rsidR="008F2092">
              <w:t xml:space="preserve">olymer </w:t>
            </w:r>
            <w:r w:rsidR="009C2E8A">
              <w:t>p</w:t>
            </w:r>
            <w:r w:rsidR="008F2092">
              <w:t xml:space="preserve">roduct </w:t>
            </w:r>
            <w:r w:rsidR="009C2E8A">
              <w:t>m</w:t>
            </w:r>
            <w:r w:rsidR="008F2092">
              <w:t>anufacturing)</w:t>
            </w:r>
          </w:p>
          <w:p w14:paraId="267EF87D" w14:textId="21FAB0ED" w:rsidR="00856236" w:rsidRDefault="00856236" w:rsidP="00292A53">
            <w:pPr>
              <w:pStyle w:val="lgetabletxt"/>
              <w:spacing w:after="60" w:afterAutospacing="0"/>
            </w:pPr>
            <w:r>
              <w:t>3.</w:t>
            </w:r>
            <w:r w:rsidR="003C77F4">
              <w:t xml:space="preserve">605 </w:t>
            </w:r>
            <w:r>
              <w:t>(Other</w:t>
            </w:r>
            <w:r w:rsidR="008F2092">
              <w:t xml:space="preserve"> </w:t>
            </w:r>
            <w:r w:rsidR="009C2E8A">
              <w:t>p</w:t>
            </w:r>
            <w:r w:rsidR="008F2092">
              <w:t xml:space="preserve">olymer </w:t>
            </w:r>
            <w:r w:rsidR="009C2E8A">
              <w:t>p</w:t>
            </w:r>
            <w:r w:rsidR="008F2092">
              <w:t xml:space="preserve">roduct </w:t>
            </w:r>
            <w:r w:rsidR="009C2E8A">
              <w:t>m</w:t>
            </w:r>
            <w:r w:rsidR="008F2092">
              <w:t>anufacturing)</w:t>
            </w:r>
          </w:p>
          <w:p w14:paraId="700F968B" w14:textId="29623A4F" w:rsidR="00856236" w:rsidRPr="002233A7" w:rsidRDefault="003C77F4" w:rsidP="009C2E8A">
            <w:pPr>
              <w:pStyle w:val="lgetabletxt"/>
              <w:spacing w:after="60" w:afterAutospacing="0"/>
            </w:pPr>
            <w:r>
              <w:t>2.438</w:t>
            </w:r>
            <w:r w:rsidR="00856236">
              <w:t xml:space="preserve"> (Polymer </w:t>
            </w:r>
            <w:r w:rsidR="009C2E8A">
              <w:t>f</w:t>
            </w:r>
            <w:r w:rsidR="00856236">
              <w:t xml:space="preserve">ilm </w:t>
            </w:r>
            <w:r w:rsidR="009C2E8A">
              <w:t>a</w:t>
            </w:r>
            <w:r w:rsidR="00856236">
              <w:t xml:space="preserve">nd </w:t>
            </w:r>
            <w:r w:rsidR="009C2E8A">
              <w:t>s</w:t>
            </w:r>
            <w:r w:rsidR="00856236">
              <w:t xml:space="preserve">heet </w:t>
            </w:r>
            <w:r w:rsidR="009C2E8A">
              <w:t>p</w:t>
            </w:r>
            <w:r w:rsidR="00856236">
              <w:t>a</w:t>
            </w:r>
            <w:r w:rsidR="008F2092">
              <w:t xml:space="preserve">ckaging </w:t>
            </w:r>
            <w:r w:rsidR="009C2E8A">
              <w:t>m</w:t>
            </w:r>
            <w:r w:rsidR="008F2092">
              <w:t xml:space="preserve">aterial </w:t>
            </w:r>
            <w:r w:rsidR="009C2E8A">
              <w:t>m</w:t>
            </w:r>
            <w:r w:rsidR="008F2092">
              <w:t>anufacturing)</w:t>
            </w:r>
          </w:p>
        </w:tc>
        <w:tc>
          <w:tcPr>
            <w:tcW w:w="1933" w:type="dxa"/>
            <w:tcMar>
              <w:top w:w="80" w:type="dxa"/>
              <w:left w:w="80" w:type="dxa"/>
              <w:bottom w:w="80" w:type="dxa"/>
              <w:right w:w="80" w:type="dxa"/>
            </w:tcMar>
          </w:tcPr>
          <w:p w14:paraId="210F491C" w14:textId="56EE9AB4" w:rsidR="00856236" w:rsidRPr="002233A7" w:rsidRDefault="00856236" w:rsidP="00292A53">
            <w:pPr>
              <w:pStyle w:val="lgetabletxt"/>
              <w:spacing w:after="60" w:afterAutospacing="0"/>
            </w:pPr>
            <w:r w:rsidRPr="00B2504E">
              <w:t>2.</w:t>
            </w:r>
            <w:r w:rsidR="00203207">
              <w:t>672</w:t>
            </w:r>
            <w:r w:rsidRPr="00B2504E">
              <w:t xml:space="preserve"> (Rigid and semi-rigid polymer p</w:t>
            </w:r>
            <w:r w:rsidR="008F2092">
              <w:t>roduct manufacturing)</w:t>
            </w:r>
          </w:p>
        </w:tc>
        <w:tc>
          <w:tcPr>
            <w:tcW w:w="1933" w:type="dxa"/>
            <w:tcMar>
              <w:top w:w="80" w:type="dxa"/>
              <w:left w:w="80" w:type="dxa"/>
              <w:bottom w:w="80" w:type="dxa"/>
              <w:right w:w="80" w:type="dxa"/>
            </w:tcMar>
          </w:tcPr>
          <w:p w14:paraId="2A459049" w14:textId="4E5300A3" w:rsidR="00856236" w:rsidRPr="002233A7" w:rsidRDefault="0088184F" w:rsidP="00B53A65">
            <w:pPr>
              <w:spacing w:after="60"/>
            </w:pPr>
            <w:r>
              <w:rPr>
                <w:rFonts w:eastAsiaTheme="minorEastAsia" w:cs="Arial"/>
                <w:color w:val="000000" w:themeColor="text1"/>
                <w:sz w:val="14"/>
                <w:szCs w:val="16"/>
                <w:lang w:val="en-GB"/>
              </w:rPr>
              <w:t>3.08</w:t>
            </w:r>
            <w:r w:rsidR="00856236" w:rsidRPr="0099469A">
              <w:rPr>
                <w:rFonts w:eastAsiaTheme="minorEastAsia" w:cs="Arial"/>
                <w:color w:val="000000" w:themeColor="text1"/>
                <w:sz w:val="14"/>
                <w:szCs w:val="16"/>
                <w:lang w:val="en-GB"/>
              </w:rPr>
              <w:t xml:space="preserve"> (Plastic blow</w:t>
            </w:r>
            <w:r w:rsidR="008F2092">
              <w:rPr>
                <w:rFonts w:eastAsiaTheme="minorEastAsia" w:cs="Arial"/>
                <w:color w:val="000000" w:themeColor="text1"/>
                <w:sz w:val="14"/>
                <w:szCs w:val="16"/>
                <w:lang w:val="en-GB"/>
              </w:rPr>
              <w:t xml:space="preserve"> moulded product manufacturing)</w:t>
            </w:r>
          </w:p>
        </w:tc>
        <w:tc>
          <w:tcPr>
            <w:tcW w:w="1933" w:type="dxa"/>
            <w:tcMar>
              <w:top w:w="80" w:type="dxa"/>
              <w:left w:w="80" w:type="dxa"/>
              <w:bottom w:w="80" w:type="dxa"/>
              <w:right w:w="80" w:type="dxa"/>
            </w:tcMar>
          </w:tcPr>
          <w:p w14:paraId="66145A9C" w14:textId="2AEC99C7" w:rsidR="008F2092" w:rsidRDefault="00896D80" w:rsidP="00292A53">
            <w:pPr>
              <w:pStyle w:val="lgetabletxt"/>
              <w:spacing w:after="60" w:afterAutospacing="0"/>
            </w:pPr>
            <w:r>
              <w:t>4.541</w:t>
            </w:r>
            <w:r w:rsidR="00856236">
              <w:t xml:space="preserve"> (Rigid and semi-rigid polymer products manufacturing)</w:t>
            </w:r>
          </w:p>
          <w:p w14:paraId="2F8A36F0" w14:textId="7B100034" w:rsidR="008F2092" w:rsidRDefault="00856236" w:rsidP="00292A53">
            <w:pPr>
              <w:pStyle w:val="lgetabletxt"/>
              <w:spacing w:after="60" w:afterAutospacing="0"/>
            </w:pPr>
            <w:r>
              <w:t>3.</w:t>
            </w:r>
            <w:r w:rsidR="00896D80">
              <w:t>305</w:t>
            </w:r>
            <w:r>
              <w:t xml:space="preserve"> (Polymer film and sheet packaging material manufacturing)</w:t>
            </w:r>
          </w:p>
          <w:p w14:paraId="35705C11" w14:textId="007291F6" w:rsidR="00856236" w:rsidRPr="002233A7" w:rsidRDefault="00856236" w:rsidP="00896D80">
            <w:pPr>
              <w:pStyle w:val="lgetabletxt"/>
              <w:spacing w:after="60" w:afterAutospacing="0"/>
            </w:pPr>
            <w:r>
              <w:t>4.</w:t>
            </w:r>
            <w:r w:rsidR="00896D80">
              <w:t>284</w:t>
            </w:r>
            <w:r>
              <w:t xml:space="preserve"> (Other basic polymer manufacturing)</w:t>
            </w:r>
          </w:p>
        </w:tc>
        <w:tc>
          <w:tcPr>
            <w:tcW w:w="1933" w:type="dxa"/>
            <w:tcMar>
              <w:top w:w="80" w:type="dxa"/>
              <w:left w:w="80" w:type="dxa"/>
              <w:bottom w:w="80" w:type="dxa"/>
              <w:right w:w="80" w:type="dxa"/>
            </w:tcMar>
          </w:tcPr>
          <w:p w14:paraId="3288BAF0" w14:textId="5588E7A7" w:rsidR="00856236" w:rsidRDefault="00856236" w:rsidP="00292A53">
            <w:pPr>
              <w:pStyle w:val="lgetabletxt"/>
              <w:spacing w:after="60" w:afterAutospacing="0"/>
            </w:pPr>
            <w:r>
              <w:t>2.</w:t>
            </w:r>
            <w:r w:rsidR="003E4D71">
              <w:t>30</w:t>
            </w:r>
            <w:r>
              <w:t xml:space="preserve"> (Other polymer product manufacturing).</w:t>
            </w:r>
          </w:p>
          <w:p w14:paraId="42785CF5" w14:textId="4ACA8A59" w:rsidR="00856236" w:rsidRDefault="00856236" w:rsidP="00292A53">
            <w:pPr>
              <w:pStyle w:val="lgetabletxt"/>
              <w:spacing w:after="60" w:afterAutospacing="0"/>
            </w:pPr>
            <w:r>
              <w:t>4.</w:t>
            </w:r>
            <w:r w:rsidR="003E4D71">
              <w:t>26</w:t>
            </w:r>
            <w:r>
              <w:t xml:space="preserve"> (Polymer film and sheet packaging material manufacturing)</w:t>
            </w:r>
          </w:p>
          <w:p w14:paraId="1E92FFB1" w14:textId="3174717C" w:rsidR="00856236" w:rsidRPr="002233A7" w:rsidRDefault="00856236" w:rsidP="00292A53">
            <w:pPr>
              <w:pStyle w:val="lgetabletxt"/>
              <w:spacing w:after="60" w:afterAutospacing="0"/>
            </w:pPr>
            <w:r>
              <w:t>4.</w:t>
            </w:r>
            <w:r w:rsidR="003E4D71">
              <w:t>26</w:t>
            </w:r>
            <w:r>
              <w:t xml:space="preserve"> (Rigid and semi rigid </w:t>
            </w:r>
            <w:r w:rsidR="008F2092">
              <w:t>polymer products manufacturing)</w:t>
            </w:r>
          </w:p>
        </w:tc>
        <w:tc>
          <w:tcPr>
            <w:tcW w:w="1933" w:type="dxa"/>
            <w:tcMar>
              <w:top w:w="80" w:type="dxa"/>
              <w:left w:w="80" w:type="dxa"/>
              <w:bottom w:w="80" w:type="dxa"/>
              <w:right w:w="80" w:type="dxa"/>
            </w:tcMar>
          </w:tcPr>
          <w:p w14:paraId="0867F73B" w14:textId="03A5107F" w:rsidR="00856236" w:rsidRPr="002233A7" w:rsidRDefault="000F71B7" w:rsidP="00292A53">
            <w:pPr>
              <w:pStyle w:val="lgetabletxt"/>
              <w:spacing w:after="60" w:afterAutospacing="0"/>
            </w:pPr>
            <w:r>
              <w:t xml:space="preserve">0.81 </w:t>
            </w:r>
            <w:r w:rsidRPr="002233A7">
              <w:t>(Rigid and semi-rigid</w:t>
            </w:r>
            <w:r w:rsidR="008F2092">
              <w:t xml:space="preserve"> polymer product manufacturing)</w:t>
            </w:r>
          </w:p>
        </w:tc>
      </w:tr>
      <w:tr w:rsidR="00856236" w:rsidRPr="002233A7" w14:paraId="4AC378A0" w14:textId="77777777" w:rsidTr="000F44BC">
        <w:tc>
          <w:tcPr>
            <w:tcW w:w="1485" w:type="dxa"/>
            <w:shd w:val="clear" w:color="auto" w:fill="FFC9C9"/>
            <w:tcMar>
              <w:top w:w="80" w:type="dxa"/>
              <w:left w:w="80" w:type="dxa"/>
              <w:bottom w:w="80" w:type="dxa"/>
              <w:right w:w="80" w:type="dxa"/>
            </w:tcMar>
          </w:tcPr>
          <w:p w14:paraId="47F0D386" w14:textId="77777777" w:rsidR="00856236" w:rsidRPr="002233A7" w:rsidRDefault="00856236" w:rsidP="00292A53">
            <w:pPr>
              <w:pStyle w:val="TableColumn1bold"/>
              <w:spacing w:after="60"/>
            </w:pPr>
            <w:r w:rsidRPr="002233A7">
              <w:t xml:space="preserve">Basic iron and </w:t>
            </w:r>
            <w:r w:rsidRPr="002233A7">
              <w:lastRenderedPageBreak/>
              <w:t>steel products</w:t>
            </w:r>
          </w:p>
        </w:tc>
        <w:tc>
          <w:tcPr>
            <w:tcW w:w="1932" w:type="dxa"/>
            <w:shd w:val="clear" w:color="auto" w:fill="FFC9C9"/>
            <w:tcMar>
              <w:top w:w="80" w:type="dxa"/>
              <w:left w:w="80" w:type="dxa"/>
              <w:bottom w:w="80" w:type="dxa"/>
              <w:right w:w="80" w:type="dxa"/>
            </w:tcMar>
          </w:tcPr>
          <w:p w14:paraId="7CEF9B0F" w14:textId="26BDD7D9" w:rsidR="00856236" w:rsidRPr="002233A7" w:rsidRDefault="00856236" w:rsidP="00292A53">
            <w:pPr>
              <w:pStyle w:val="lgetabletxt"/>
              <w:spacing w:after="60" w:afterAutospacing="0"/>
            </w:pPr>
            <w:r w:rsidRPr="00EE5693">
              <w:lastRenderedPageBreak/>
              <w:t>Not Available</w:t>
            </w:r>
          </w:p>
        </w:tc>
        <w:tc>
          <w:tcPr>
            <w:tcW w:w="1933" w:type="dxa"/>
            <w:shd w:val="clear" w:color="auto" w:fill="FFC9C9"/>
            <w:tcMar>
              <w:top w:w="80" w:type="dxa"/>
              <w:left w:w="80" w:type="dxa"/>
              <w:bottom w:w="80" w:type="dxa"/>
              <w:right w:w="80" w:type="dxa"/>
            </w:tcMar>
          </w:tcPr>
          <w:p w14:paraId="0F1C976C" w14:textId="618D8EF5" w:rsidR="00856236" w:rsidRPr="002233A7" w:rsidRDefault="003C77F4" w:rsidP="009C2E8A">
            <w:pPr>
              <w:pStyle w:val="lgetabletxt"/>
              <w:spacing w:after="60" w:afterAutospacing="0"/>
            </w:pPr>
            <w:r>
              <w:t>3.413</w:t>
            </w:r>
            <w:r w:rsidR="00856236" w:rsidRPr="00971587">
              <w:t xml:space="preserve"> (Iron </w:t>
            </w:r>
            <w:r w:rsidR="009C2E8A">
              <w:t>s</w:t>
            </w:r>
            <w:r w:rsidR="00856236" w:rsidRPr="00971587">
              <w:t>m</w:t>
            </w:r>
            <w:r w:rsidR="008F2092">
              <w:t xml:space="preserve">elting </w:t>
            </w:r>
            <w:r w:rsidR="009C2E8A">
              <w:t>a</w:t>
            </w:r>
            <w:r w:rsidR="008F2092">
              <w:t xml:space="preserve">nd </w:t>
            </w:r>
            <w:r w:rsidR="009C2E8A">
              <w:lastRenderedPageBreak/>
              <w:t>s</w:t>
            </w:r>
            <w:r w:rsidR="008F2092">
              <w:t xml:space="preserve">teel </w:t>
            </w:r>
            <w:r w:rsidR="009C2E8A">
              <w:t>m</w:t>
            </w:r>
            <w:r w:rsidR="008F2092">
              <w:t>anufacturing)</w:t>
            </w:r>
          </w:p>
        </w:tc>
        <w:tc>
          <w:tcPr>
            <w:tcW w:w="1933" w:type="dxa"/>
            <w:shd w:val="clear" w:color="auto" w:fill="FFC9C9"/>
            <w:tcMar>
              <w:top w:w="80" w:type="dxa"/>
              <w:left w:w="80" w:type="dxa"/>
              <w:bottom w:w="80" w:type="dxa"/>
              <w:right w:w="80" w:type="dxa"/>
            </w:tcMar>
          </w:tcPr>
          <w:p w14:paraId="56E9BF35" w14:textId="32145562" w:rsidR="00856236" w:rsidRPr="002233A7" w:rsidRDefault="00856236" w:rsidP="00292A53">
            <w:pPr>
              <w:pStyle w:val="lgetabletxt"/>
              <w:spacing w:after="60" w:afterAutospacing="0"/>
            </w:pPr>
            <w:r w:rsidRPr="00B2504E">
              <w:lastRenderedPageBreak/>
              <w:t>2.</w:t>
            </w:r>
            <w:r w:rsidR="00203207">
              <w:t>910</w:t>
            </w:r>
            <w:r w:rsidRPr="00B2504E">
              <w:t xml:space="preserve"> (Iron sm</w:t>
            </w:r>
            <w:r w:rsidR="008F2092">
              <w:t xml:space="preserve">elting and </w:t>
            </w:r>
            <w:r w:rsidR="008F2092">
              <w:lastRenderedPageBreak/>
              <w:t>steel manufacturing)</w:t>
            </w:r>
          </w:p>
        </w:tc>
        <w:tc>
          <w:tcPr>
            <w:tcW w:w="1933" w:type="dxa"/>
            <w:shd w:val="clear" w:color="auto" w:fill="FFC9C9"/>
            <w:tcMar>
              <w:top w:w="80" w:type="dxa"/>
              <w:left w:w="80" w:type="dxa"/>
              <w:bottom w:w="80" w:type="dxa"/>
              <w:right w:w="80" w:type="dxa"/>
            </w:tcMar>
          </w:tcPr>
          <w:p w14:paraId="60593E33" w14:textId="614C3FEF" w:rsidR="00856236" w:rsidRPr="002233A7" w:rsidRDefault="00856236" w:rsidP="0088184F">
            <w:pPr>
              <w:pStyle w:val="lgetabletxt"/>
              <w:spacing w:after="60" w:afterAutospacing="0"/>
            </w:pPr>
            <w:r w:rsidRPr="0099469A">
              <w:lastRenderedPageBreak/>
              <w:t>3.</w:t>
            </w:r>
            <w:r w:rsidR="0088184F">
              <w:t>45</w:t>
            </w:r>
          </w:p>
        </w:tc>
        <w:tc>
          <w:tcPr>
            <w:tcW w:w="1933" w:type="dxa"/>
            <w:shd w:val="clear" w:color="auto" w:fill="FFC9C9"/>
            <w:tcMar>
              <w:top w:w="80" w:type="dxa"/>
              <w:left w:w="80" w:type="dxa"/>
              <w:bottom w:w="80" w:type="dxa"/>
              <w:right w:w="80" w:type="dxa"/>
            </w:tcMar>
          </w:tcPr>
          <w:p w14:paraId="5AB42496" w14:textId="2C7D4B08" w:rsidR="00856236" w:rsidRPr="002233A7" w:rsidRDefault="00896D80" w:rsidP="00292A53">
            <w:pPr>
              <w:pStyle w:val="lgetabletxt"/>
              <w:spacing w:after="60" w:afterAutospacing="0"/>
            </w:pPr>
            <w:r>
              <w:t>3.877</w:t>
            </w:r>
            <w:r w:rsidR="00856236" w:rsidRPr="00281BAC">
              <w:t xml:space="preserve"> (Iron smelting and </w:t>
            </w:r>
            <w:r w:rsidR="00856236" w:rsidRPr="00281BAC">
              <w:lastRenderedPageBreak/>
              <w:t>steel manufacturing)</w:t>
            </w:r>
          </w:p>
        </w:tc>
        <w:tc>
          <w:tcPr>
            <w:tcW w:w="1933" w:type="dxa"/>
            <w:shd w:val="clear" w:color="auto" w:fill="FFC9C9"/>
            <w:tcMar>
              <w:top w:w="80" w:type="dxa"/>
              <w:left w:w="80" w:type="dxa"/>
              <w:bottom w:w="80" w:type="dxa"/>
              <w:right w:w="80" w:type="dxa"/>
            </w:tcMar>
          </w:tcPr>
          <w:p w14:paraId="4BEC6436" w14:textId="53227E4F" w:rsidR="00856236" w:rsidRPr="002233A7" w:rsidRDefault="00856236" w:rsidP="00292A53">
            <w:pPr>
              <w:pStyle w:val="lgetabletxt"/>
              <w:spacing w:after="60" w:afterAutospacing="0"/>
            </w:pPr>
            <w:r>
              <w:lastRenderedPageBreak/>
              <w:t>2.</w:t>
            </w:r>
            <w:r w:rsidR="000D7DD3">
              <w:t>76</w:t>
            </w:r>
            <w:r>
              <w:t xml:space="preserve"> </w:t>
            </w:r>
            <w:r w:rsidRPr="00E57903">
              <w:t xml:space="preserve">(Iron smelting and steel </w:t>
            </w:r>
            <w:r w:rsidRPr="00E57903">
              <w:lastRenderedPageBreak/>
              <w:t>manufacturing)</w:t>
            </w:r>
          </w:p>
        </w:tc>
        <w:tc>
          <w:tcPr>
            <w:tcW w:w="1933" w:type="dxa"/>
            <w:shd w:val="clear" w:color="auto" w:fill="FFC9C9"/>
            <w:tcMar>
              <w:top w:w="80" w:type="dxa"/>
              <w:left w:w="80" w:type="dxa"/>
              <w:bottom w:w="80" w:type="dxa"/>
              <w:right w:w="80" w:type="dxa"/>
            </w:tcMar>
          </w:tcPr>
          <w:p w14:paraId="46CD3DAA" w14:textId="1718BB70" w:rsidR="00856236" w:rsidRPr="002233A7" w:rsidRDefault="000F71B7" w:rsidP="00292A53">
            <w:pPr>
              <w:pStyle w:val="lgetabletxt"/>
              <w:spacing w:after="60" w:afterAutospacing="0"/>
            </w:pPr>
            <w:r w:rsidRPr="002233A7">
              <w:lastRenderedPageBreak/>
              <w:t>1.</w:t>
            </w:r>
            <w:r>
              <w:t>29</w:t>
            </w:r>
            <w:r w:rsidR="008F2092">
              <w:t xml:space="preserve"> (Manufacturing)</w:t>
            </w:r>
          </w:p>
        </w:tc>
      </w:tr>
      <w:tr w:rsidR="00856236" w:rsidRPr="002233A7" w14:paraId="4D61F36B" w14:textId="77777777" w:rsidTr="000F44BC">
        <w:tc>
          <w:tcPr>
            <w:tcW w:w="1485" w:type="dxa"/>
            <w:tcMar>
              <w:top w:w="80" w:type="dxa"/>
              <w:left w:w="80" w:type="dxa"/>
              <w:bottom w:w="80" w:type="dxa"/>
              <w:right w:w="80" w:type="dxa"/>
            </w:tcMar>
          </w:tcPr>
          <w:p w14:paraId="47F7721C" w14:textId="77777777" w:rsidR="00856236" w:rsidRPr="002233A7" w:rsidRDefault="00856236" w:rsidP="00292A53">
            <w:pPr>
              <w:pStyle w:val="TableColumn1bold"/>
              <w:spacing w:after="60"/>
            </w:pPr>
            <w:r w:rsidRPr="002233A7">
              <w:t>Steel casting</w:t>
            </w:r>
          </w:p>
        </w:tc>
        <w:tc>
          <w:tcPr>
            <w:tcW w:w="1932" w:type="dxa"/>
            <w:tcMar>
              <w:top w:w="80" w:type="dxa"/>
              <w:left w:w="80" w:type="dxa"/>
              <w:bottom w:w="80" w:type="dxa"/>
              <w:right w:w="80" w:type="dxa"/>
            </w:tcMar>
          </w:tcPr>
          <w:p w14:paraId="7AE169CB" w14:textId="5C0E6E81"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34A497D8" w14:textId="0EB22C2B" w:rsidR="00856236" w:rsidRPr="002233A7" w:rsidRDefault="00856236" w:rsidP="003C77F4">
            <w:pPr>
              <w:pStyle w:val="lgetabletxt"/>
              <w:spacing w:after="60" w:afterAutospacing="0"/>
            </w:pPr>
            <w:r>
              <w:t>5.</w:t>
            </w:r>
            <w:r w:rsidR="003C77F4">
              <w:t>576</w:t>
            </w:r>
            <w:r w:rsidR="003C77F4" w:rsidRPr="00971587">
              <w:t xml:space="preserve"> </w:t>
            </w:r>
            <w:r w:rsidRPr="00971587">
              <w:t>(Iron</w:t>
            </w:r>
            <w:r w:rsidR="008F2092">
              <w:t xml:space="preserve"> </w:t>
            </w:r>
            <w:r w:rsidR="009C2E8A">
              <w:t>a</w:t>
            </w:r>
            <w:r w:rsidR="008F2092">
              <w:t xml:space="preserve">nd </w:t>
            </w:r>
            <w:r w:rsidR="009C2E8A">
              <w:t>s</w:t>
            </w:r>
            <w:r w:rsidR="008F2092">
              <w:t xml:space="preserve">teel </w:t>
            </w:r>
            <w:r w:rsidR="009C2E8A">
              <w:t>c</w:t>
            </w:r>
            <w:r w:rsidR="008F2092">
              <w:t>asting)</w:t>
            </w:r>
          </w:p>
        </w:tc>
        <w:tc>
          <w:tcPr>
            <w:tcW w:w="1933" w:type="dxa"/>
            <w:tcMar>
              <w:top w:w="80" w:type="dxa"/>
              <w:left w:w="80" w:type="dxa"/>
              <w:bottom w:w="80" w:type="dxa"/>
              <w:right w:w="80" w:type="dxa"/>
            </w:tcMar>
          </w:tcPr>
          <w:p w14:paraId="29620021" w14:textId="761EEE66" w:rsidR="00856236" w:rsidRPr="002233A7" w:rsidRDefault="008F2092" w:rsidP="00292A53">
            <w:pPr>
              <w:pStyle w:val="lgetabletxt"/>
              <w:spacing w:after="60" w:afterAutospacing="0"/>
            </w:pPr>
            <w:r>
              <w:t>2.</w:t>
            </w:r>
            <w:r w:rsidR="00203207">
              <w:t>910</w:t>
            </w:r>
            <w:r>
              <w:t xml:space="preserve"> (Iron and steel casting)</w:t>
            </w:r>
          </w:p>
        </w:tc>
        <w:tc>
          <w:tcPr>
            <w:tcW w:w="1933" w:type="dxa"/>
            <w:tcMar>
              <w:top w:w="80" w:type="dxa"/>
              <w:left w:w="80" w:type="dxa"/>
              <w:bottom w:w="80" w:type="dxa"/>
              <w:right w:w="80" w:type="dxa"/>
            </w:tcMar>
          </w:tcPr>
          <w:p w14:paraId="2FABB07B" w14:textId="453DA20B" w:rsidR="00856236" w:rsidRPr="002233A7" w:rsidRDefault="00856236" w:rsidP="0088184F">
            <w:pPr>
              <w:pStyle w:val="lgetabletxt"/>
              <w:spacing w:after="60" w:afterAutospacing="0"/>
            </w:pPr>
            <w:r w:rsidRPr="0099469A">
              <w:t>2.</w:t>
            </w:r>
            <w:r w:rsidR="0088184F">
              <w:t>23</w:t>
            </w:r>
            <w:r w:rsidR="0088184F" w:rsidRPr="0099469A">
              <w:t xml:space="preserve"> </w:t>
            </w:r>
            <w:r w:rsidRPr="0099469A">
              <w:t>(Iron</w:t>
            </w:r>
            <w:r w:rsidR="008F2092">
              <w:t xml:space="preserve"> and steel casting and forging)</w:t>
            </w:r>
          </w:p>
        </w:tc>
        <w:tc>
          <w:tcPr>
            <w:tcW w:w="1933" w:type="dxa"/>
            <w:tcMar>
              <w:top w:w="80" w:type="dxa"/>
              <w:left w:w="80" w:type="dxa"/>
              <w:bottom w:w="80" w:type="dxa"/>
              <w:right w:w="80" w:type="dxa"/>
            </w:tcMar>
          </w:tcPr>
          <w:p w14:paraId="689E24E4" w14:textId="0838428A" w:rsidR="00856236" w:rsidRPr="002233A7" w:rsidRDefault="00896D80" w:rsidP="00292A53">
            <w:pPr>
              <w:pStyle w:val="lgetabletxt"/>
              <w:spacing w:after="60" w:afterAutospacing="0"/>
            </w:pPr>
            <w:r>
              <w:t>5.669</w:t>
            </w:r>
            <w:r w:rsidR="00856236" w:rsidRPr="00281BAC">
              <w:t xml:space="preserve"> (Iron and steel casting)</w:t>
            </w:r>
          </w:p>
        </w:tc>
        <w:tc>
          <w:tcPr>
            <w:tcW w:w="1933" w:type="dxa"/>
            <w:tcMar>
              <w:top w:w="80" w:type="dxa"/>
              <w:left w:w="80" w:type="dxa"/>
              <w:bottom w:w="80" w:type="dxa"/>
              <w:right w:w="80" w:type="dxa"/>
            </w:tcMar>
          </w:tcPr>
          <w:p w14:paraId="15FA203D" w14:textId="6154344E" w:rsidR="00856236" w:rsidRPr="002233A7" w:rsidRDefault="00856236" w:rsidP="00292A53">
            <w:pPr>
              <w:pStyle w:val="lgetabletxt"/>
              <w:spacing w:after="60" w:afterAutospacing="0"/>
            </w:pPr>
            <w:r>
              <w:t>2.</w:t>
            </w:r>
            <w:r w:rsidR="000D7DD3">
              <w:t>76</w:t>
            </w:r>
            <w:r>
              <w:t xml:space="preserve"> </w:t>
            </w:r>
            <w:r w:rsidRPr="00E57903">
              <w:t>(Iron and steel casting)</w:t>
            </w:r>
          </w:p>
        </w:tc>
        <w:tc>
          <w:tcPr>
            <w:tcW w:w="1933" w:type="dxa"/>
            <w:tcMar>
              <w:top w:w="80" w:type="dxa"/>
              <w:left w:w="80" w:type="dxa"/>
              <w:bottom w:w="80" w:type="dxa"/>
              <w:right w:w="80" w:type="dxa"/>
            </w:tcMar>
          </w:tcPr>
          <w:p w14:paraId="37B37CBB" w14:textId="77777777" w:rsidR="000F71B7" w:rsidRPr="002233A7" w:rsidRDefault="000F71B7" w:rsidP="00292A53">
            <w:pPr>
              <w:pStyle w:val="lgetabletxt"/>
              <w:spacing w:after="60" w:afterAutospacing="0"/>
            </w:pPr>
            <w:r w:rsidRPr="002233A7">
              <w:t>1.</w:t>
            </w:r>
            <w:r>
              <w:t>31</w:t>
            </w:r>
            <w:r w:rsidRPr="002233A7">
              <w:t xml:space="preserve"> (Iron and steel casting)</w:t>
            </w:r>
          </w:p>
          <w:p w14:paraId="7BC4F117" w14:textId="5AAB88D5" w:rsidR="00856236" w:rsidRPr="002233A7" w:rsidRDefault="000F71B7" w:rsidP="00292A53">
            <w:pPr>
              <w:pStyle w:val="lgetabletxt"/>
              <w:spacing w:after="60" w:afterAutospacing="0"/>
            </w:pPr>
            <w:r w:rsidRPr="002233A7">
              <w:t>1.</w:t>
            </w:r>
            <w:r>
              <w:t>31</w:t>
            </w:r>
            <w:r w:rsidR="008F2092">
              <w:t xml:space="preserve"> (Iron and steel forging)</w:t>
            </w:r>
          </w:p>
        </w:tc>
      </w:tr>
      <w:tr w:rsidR="00856236" w:rsidRPr="002233A7" w14:paraId="58F5BCDC" w14:textId="77777777" w:rsidTr="000F44BC">
        <w:tc>
          <w:tcPr>
            <w:tcW w:w="1485" w:type="dxa"/>
            <w:shd w:val="clear" w:color="auto" w:fill="FFC9C9"/>
            <w:tcMar>
              <w:top w:w="80" w:type="dxa"/>
              <w:left w:w="80" w:type="dxa"/>
              <w:bottom w:w="80" w:type="dxa"/>
              <w:right w:w="80" w:type="dxa"/>
            </w:tcMar>
          </w:tcPr>
          <w:p w14:paraId="41C437A6" w14:textId="77777777" w:rsidR="00856236" w:rsidRPr="002233A7" w:rsidRDefault="00856236" w:rsidP="00292A53">
            <w:pPr>
              <w:pStyle w:val="TableColumn1bold"/>
              <w:spacing w:after="60"/>
            </w:pPr>
            <w:r w:rsidRPr="002233A7">
              <w:t>Steel pipes and tubes</w:t>
            </w:r>
          </w:p>
        </w:tc>
        <w:tc>
          <w:tcPr>
            <w:tcW w:w="1932" w:type="dxa"/>
            <w:shd w:val="clear" w:color="auto" w:fill="FFC9C9"/>
            <w:tcMar>
              <w:top w:w="80" w:type="dxa"/>
              <w:left w:w="80" w:type="dxa"/>
              <w:bottom w:w="80" w:type="dxa"/>
              <w:right w:w="80" w:type="dxa"/>
            </w:tcMar>
          </w:tcPr>
          <w:p w14:paraId="1F97A4BD" w14:textId="01AD2D26"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17979A70" w14:textId="2F11E2B5" w:rsidR="00856236" w:rsidRPr="002233A7" w:rsidRDefault="003C77F4" w:rsidP="00292A53">
            <w:pPr>
              <w:pStyle w:val="lgetabletxt"/>
              <w:spacing w:after="60" w:afterAutospacing="0"/>
            </w:pPr>
            <w:r>
              <w:t>2.246 (Steel pipe and tube manufacturing)</w:t>
            </w:r>
          </w:p>
        </w:tc>
        <w:tc>
          <w:tcPr>
            <w:tcW w:w="1933" w:type="dxa"/>
            <w:shd w:val="clear" w:color="auto" w:fill="FFC9C9"/>
            <w:tcMar>
              <w:top w:w="80" w:type="dxa"/>
              <w:left w:w="80" w:type="dxa"/>
              <w:bottom w:w="80" w:type="dxa"/>
              <w:right w:w="80" w:type="dxa"/>
            </w:tcMar>
          </w:tcPr>
          <w:p w14:paraId="2E0C81DF" w14:textId="1E5DCDB3" w:rsidR="00856236" w:rsidRPr="002233A7" w:rsidRDefault="00856236" w:rsidP="009C2E8A">
            <w:pPr>
              <w:pStyle w:val="lgetabletxt"/>
              <w:spacing w:after="60" w:afterAutospacing="0"/>
            </w:pPr>
            <w:r w:rsidRPr="00B2504E">
              <w:t>2.</w:t>
            </w:r>
            <w:r w:rsidR="00203207">
              <w:t>910</w:t>
            </w:r>
            <w:r w:rsidRPr="00B2504E">
              <w:t xml:space="preserve"> (Steel </w:t>
            </w:r>
            <w:r w:rsidR="009C2E8A">
              <w:t>p</w:t>
            </w:r>
            <w:r w:rsidRPr="00B2504E">
              <w:t xml:space="preserve">ipe and </w:t>
            </w:r>
            <w:r w:rsidR="009C2E8A">
              <w:t>t</w:t>
            </w:r>
            <w:r w:rsidRPr="00B2504E">
              <w:t xml:space="preserve">ube </w:t>
            </w:r>
            <w:r w:rsidR="009C2E8A">
              <w:t>m</w:t>
            </w:r>
            <w:r w:rsidRPr="00B2504E">
              <w:t>anufacturing)</w:t>
            </w:r>
          </w:p>
        </w:tc>
        <w:tc>
          <w:tcPr>
            <w:tcW w:w="1933" w:type="dxa"/>
            <w:shd w:val="clear" w:color="auto" w:fill="FFC9C9"/>
            <w:tcMar>
              <w:top w:w="80" w:type="dxa"/>
              <w:left w:w="80" w:type="dxa"/>
              <w:bottom w:w="80" w:type="dxa"/>
              <w:right w:w="80" w:type="dxa"/>
            </w:tcMar>
          </w:tcPr>
          <w:p w14:paraId="30DF10EB" w14:textId="687E6140" w:rsidR="00856236" w:rsidRPr="002233A7" w:rsidRDefault="00856236" w:rsidP="0088184F">
            <w:pPr>
              <w:pStyle w:val="lgetabletxt"/>
              <w:spacing w:after="60" w:afterAutospacing="0"/>
            </w:pPr>
            <w:r w:rsidRPr="0099469A">
              <w:t>2.</w:t>
            </w:r>
            <w:r w:rsidR="0088184F">
              <w:t>63</w:t>
            </w:r>
          </w:p>
        </w:tc>
        <w:tc>
          <w:tcPr>
            <w:tcW w:w="1933" w:type="dxa"/>
            <w:shd w:val="clear" w:color="auto" w:fill="FFC9C9"/>
            <w:tcMar>
              <w:top w:w="80" w:type="dxa"/>
              <w:left w:w="80" w:type="dxa"/>
              <w:bottom w:w="80" w:type="dxa"/>
              <w:right w:w="80" w:type="dxa"/>
            </w:tcMar>
          </w:tcPr>
          <w:p w14:paraId="7898D717" w14:textId="1DEF398E" w:rsidR="00856236" w:rsidRPr="002233A7" w:rsidRDefault="00856236" w:rsidP="00292A53">
            <w:pPr>
              <w:pStyle w:val="lgetabletxt"/>
              <w:spacing w:after="60" w:afterAutospacing="0"/>
            </w:pPr>
            <w:r w:rsidRPr="00281BAC">
              <w:t>2.</w:t>
            </w:r>
            <w:r w:rsidR="00896D80">
              <w:t>644</w:t>
            </w:r>
            <w:r w:rsidRPr="00281BAC">
              <w:t xml:space="preserve"> (Steel pipe and tube manufacturing)</w:t>
            </w:r>
          </w:p>
        </w:tc>
        <w:tc>
          <w:tcPr>
            <w:tcW w:w="1933" w:type="dxa"/>
            <w:shd w:val="clear" w:color="auto" w:fill="FFC9C9"/>
            <w:tcMar>
              <w:top w:w="80" w:type="dxa"/>
              <w:left w:w="80" w:type="dxa"/>
              <w:bottom w:w="80" w:type="dxa"/>
              <w:right w:w="80" w:type="dxa"/>
            </w:tcMar>
          </w:tcPr>
          <w:p w14:paraId="1A8097C0" w14:textId="4286BB3C" w:rsidR="00856236" w:rsidRPr="002233A7" w:rsidRDefault="00856236" w:rsidP="00292A53">
            <w:pPr>
              <w:pStyle w:val="lgetabletxt"/>
              <w:spacing w:after="60" w:afterAutospacing="0"/>
            </w:pPr>
            <w:r>
              <w:t>2.</w:t>
            </w:r>
            <w:r w:rsidR="000D7DD3">
              <w:t>76</w:t>
            </w:r>
            <w:r>
              <w:t xml:space="preserve"> </w:t>
            </w:r>
            <w:r w:rsidRPr="00E57903">
              <w:t>(Steel pipe and tube manufacturing)</w:t>
            </w:r>
          </w:p>
        </w:tc>
        <w:tc>
          <w:tcPr>
            <w:tcW w:w="1933" w:type="dxa"/>
            <w:shd w:val="clear" w:color="auto" w:fill="FFC9C9"/>
            <w:tcMar>
              <w:top w:w="80" w:type="dxa"/>
              <w:left w:w="80" w:type="dxa"/>
              <w:bottom w:w="80" w:type="dxa"/>
              <w:right w:w="80" w:type="dxa"/>
            </w:tcMar>
          </w:tcPr>
          <w:p w14:paraId="524A671B" w14:textId="77777777" w:rsidR="000F71B7" w:rsidRPr="002233A7" w:rsidRDefault="000F71B7" w:rsidP="00292A53">
            <w:pPr>
              <w:pStyle w:val="lgetabletxt"/>
              <w:spacing w:after="60" w:afterAutospacing="0"/>
            </w:pPr>
            <w:r w:rsidRPr="002233A7">
              <w:t>1.</w:t>
            </w:r>
            <w:r>
              <w:t>29</w:t>
            </w:r>
          </w:p>
          <w:p w14:paraId="0B626628" w14:textId="170A0C1F" w:rsidR="00856236" w:rsidRPr="002233A7" w:rsidRDefault="008F2092" w:rsidP="00292A53">
            <w:pPr>
              <w:pStyle w:val="lgetabletxt"/>
              <w:spacing w:after="60" w:afterAutospacing="0"/>
            </w:pPr>
            <w:r>
              <w:t>(Manufacturing)</w:t>
            </w:r>
          </w:p>
        </w:tc>
      </w:tr>
      <w:tr w:rsidR="00856236" w:rsidRPr="002233A7" w14:paraId="1F773746" w14:textId="77777777" w:rsidTr="000F44BC">
        <w:tc>
          <w:tcPr>
            <w:tcW w:w="1485" w:type="dxa"/>
            <w:tcMar>
              <w:top w:w="80" w:type="dxa"/>
              <w:left w:w="80" w:type="dxa"/>
              <w:bottom w:w="80" w:type="dxa"/>
              <w:right w:w="80" w:type="dxa"/>
            </w:tcMar>
          </w:tcPr>
          <w:p w14:paraId="665B23D4" w14:textId="77777777" w:rsidR="00856236" w:rsidRPr="002233A7" w:rsidRDefault="00856236" w:rsidP="00292A53">
            <w:pPr>
              <w:pStyle w:val="TableColumn1bold"/>
              <w:spacing w:after="60"/>
            </w:pPr>
            <w:r w:rsidRPr="002233A7">
              <w:t>Pulp paper and paperboard</w:t>
            </w:r>
          </w:p>
        </w:tc>
        <w:tc>
          <w:tcPr>
            <w:tcW w:w="1932" w:type="dxa"/>
            <w:tcMar>
              <w:top w:w="80" w:type="dxa"/>
              <w:left w:w="80" w:type="dxa"/>
              <w:bottom w:w="80" w:type="dxa"/>
              <w:right w:w="80" w:type="dxa"/>
            </w:tcMar>
          </w:tcPr>
          <w:p w14:paraId="517A6909" w14:textId="285EA859"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601C631F" w14:textId="5C32FC37" w:rsidR="00856236" w:rsidRPr="002233A7" w:rsidRDefault="00856236" w:rsidP="003C77F4">
            <w:pPr>
              <w:pStyle w:val="lgetabletxt"/>
              <w:spacing w:after="60" w:afterAutospacing="0"/>
            </w:pPr>
            <w:r w:rsidRPr="00971587">
              <w:t>3.</w:t>
            </w:r>
            <w:r w:rsidR="003C77F4">
              <w:t>869 (Pulp, paper and paperboard manufacturing)</w:t>
            </w:r>
          </w:p>
        </w:tc>
        <w:tc>
          <w:tcPr>
            <w:tcW w:w="1933" w:type="dxa"/>
            <w:tcMar>
              <w:top w:w="80" w:type="dxa"/>
              <w:left w:w="80" w:type="dxa"/>
              <w:bottom w:w="80" w:type="dxa"/>
              <w:right w:w="80" w:type="dxa"/>
            </w:tcMar>
          </w:tcPr>
          <w:p w14:paraId="3C1388D5" w14:textId="255E3535" w:rsidR="00856236" w:rsidRPr="002233A7" w:rsidRDefault="00856236" w:rsidP="009C2E8A">
            <w:pPr>
              <w:pStyle w:val="lgetabletxt"/>
              <w:spacing w:after="60" w:afterAutospacing="0"/>
            </w:pPr>
            <w:r w:rsidRPr="00B2504E">
              <w:t>2.</w:t>
            </w:r>
            <w:r w:rsidR="00203207">
              <w:t>573</w:t>
            </w:r>
            <w:r w:rsidRPr="00B2504E">
              <w:t xml:space="preserve"> (Pulp, </w:t>
            </w:r>
            <w:r w:rsidR="009C2E8A">
              <w:t>p</w:t>
            </w:r>
            <w:r w:rsidRPr="00B2504E">
              <w:t xml:space="preserve">aper and </w:t>
            </w:r>
            <w:r w:rsidR="009C2E8A">
              <w:t>p</w:t>
            </w:r>
            <w:r w:rsidRPr="00B2504E">
              <w:t xml:space="preserve">aperboard </w:t>
            </w:r>
            <w:r w:rsidR="009C2E8A">
              <w:t>m</w:t>
            </w:r>
            <w:r w:rsidRPr="00B2504E">
              <w:t>anufacturing)</w:t>
            </w:r>
          </w:p>
        </w:tc>
        <w:tc>
          <w:tcPr>
            <w:tcW w:w="1933" w:type="dxa"/>
            <w:tcMar>
              <w:top w:w="80" w:type="dxa"/>
              <w:left w:w="80" w:type="dxa"/>
              <w:bottom w:w="80" w:type="dxa"/>
              <w:right w:w="80" w:type="dxa"/>
            </w:tcMar>
          </w:tcPr>
          <w:p w14:paraId="547534C9" w14:textId="5365CB9C" w:rsidR="00856236" w:rsidRPr="002233A7" w:rsidRDefault="00856236" w:rsidP="0088184F">
            <w:pPr>
              <w:pStyle w:val="lgetabletxt"/>
              <w:spacing w:after="60" w:afterAutospacing="0"/>
            </w:pPr>
            <w:r w:rsidRPr="0099469A">
              <w:t>2.</w:t>
            </w:r>
            <w:r w:rsidR="0088184F">
              <w:t>91</w:t>
            </w:r>
          </w:p>
        </w:tc>
        <w:tc>
          <w:tcPr>
            <w:tcW w:w="1933" w:type="dxa"/>
            <w:tcMar>
              <w:top w:w="80" w:type="dxa"/>
              <w:left w:w="80" w:type="dxa"/>
              <w:bottom w:w="80" w:type="dxa"/>
              <w:right w:w="80" w:type="dxa"/>
            </w:tcMar>
          </w:tcPr>
          <w:p w14:paraId="2F76E1F4" w14:textId="5F894E0B" w:rsidR="00856236" w:rsidRPr="002233A7" w:rsidRDefault="00856236" w:rsidP="00292A53">
            <w:pPr>
              <w:pStyle w:val="lgetabletxt"/>
              <w:spacing w:after="60" w:afterAutospacing="0"/>
            </w:pPr>
            <w:r w:rsidRPr="00281BAC">
              <w:t>3.</w:t>
            </w:r>
            <w:r w:rsidR="00896D80">
              <w:t>521</w:t>
            </w:r>
            <w:r w:rsidRPr="00281BAC">
              <w:t xml:space="preserve"> (Pulp paper and paperboard manufacturing)</w:t>
            </w:r>
          </w:p>
        </w:tc>
        <w:tc>
          <w:tcPr>
            <w:tcW w:w="1933" w:type="dxa"/>
            <w:tcMar>
              <w:top w:w="80" w:type="dxa"/>
              <w:left w:w="80" w:type="dxa"/>
              <w:bottom w:w="80" w:type="dxa"/>
              <w:right w:w="80" w:type="dxa"/>
            </w:tcMar>
          </w:tcPr>
          <w:p w14:paraId="7EC72CCC" w14:textId="31FD6516" w:rsidR="00856236" w:rsidRPr="002233A7" w:rsidRDefault="00856236" w:rsidP="00292A53">
            <w:pPr>
              <w:pStyle w:val="lgetabletxt"/>
              <w:spacing w:after="60" w:afterAutospacing="0"/>
            </w:pPr>
            <w:r>
              <w:t>1.1</w:t>
            </w:r>
            <w:r w:rsidR="000D7DD3">
              <w:t>5</w:t>
            </w:r>
            <w:r>
              <w:t xml:space="preserve"> </w:t>
            </w:r>
            <w:r w:rsidRPr="00E57903">
              <w:t>(Pulp paper and paperboard manufacturing)</w:t>
            </w:r>
          </w:p>
        </w:tc>
        <w:tc>
          <w:tcPr>
            <w:tcW w:w="1933" w:type="dxa"/>
            <w:tcMar>
              <w:top w:w="80" w:type="dxa"/>
              <w:left w:w="80" w:type="dxa"/>
              <w:bottom w:w="80" w:type="dxa"/>
              <w:right w:w="80" w:type="dxa"/>
            </w:tcMar>
          </w:tcPr>
          <w:p w14:paraId="3A0E822D" w14:textId="77777777" w:rsidR="000F71B7" w:rsidRPr="002233A7" w:rsidRDefault="000F71B7" w:rsidP="00292A53">
            <w:pPr>
              <w:pStyle w:val="lgetabletxt"/>
              <w:spacing w:after="60" w:afterAutospacing="0"/>
            </w:pPr>
            <w:r w:rsidRPr="002233A7">
              <w:t>0.</w:t>
            </w:r>
            <w:r>
              <w:t>66</w:t>
            </w:r>
          </w:p>
          <w:p w14:paraId="59A4B9C2" w14:textId="78E0ECDB" w:rsidR="00856236" w:rsidRPr="002233A7" w:rsidRDefault="008F2092" w:rsidP="00292A53">
            <w:pPr>
              <w:pStyle w:val="lgetabletxt"/>
              <w:spacing w:after="60" w:afterAutospacing="0"/>
            </w:pPr>
            <w:r>
              <w:t>(Manufacturing)</w:t>
            </w:r>
          </w:p>
        </w:tc>
      </w:tr>
      <w:tr w:rsidR="00856236" w:rsidRPr="002233A7" w14:paraId="45DDB886" w14:textId="77777777" w:rsidTr="000F44BC">
        <w:tc>
          <w:tcPr>
            <w:tcW w:w="1485" w:type="dxa"/>
            <w:shd w:val="clear" w:color="auto" w:fill="FFC9C9"/>
            <w:tcMar>
              <w:top w:w="80" w:type="dxa"/>
              <w:left w:w="80" w:type="dxa"/>
              <w:bottom w:w="80" w:type="dxa"/>
              <w:right w:w="80" w:type="dxa"/>
            </w:tcMar>
          </w:tcPr>
          <w:p w14:paraId="3B902C35" w14:textId="77777777" w:rsidR="00856236" w:rsidRPr="002233A7" w:rsidRDefault="00856236" w:rsidP="00292A53">
            <w:pPr>
              <w:pStyle w:val="TableColumn1bold"/>
              <w:spacing w:after="60"/>
            </w:pPr>
            <w:r w:rsidRPr="002233A7">
              <w:t>Paints</w:t>
            </w:r>
          </w:p>
        </w:tc>
        <w:tc>
          <w:tcPr>
            <w:tcW w:w="1932" w:type="dxa"/>
            <w:shd w:val="clear" w:color="auto" w:fill="FFC9C9"/>
            <w:tcMar>
              <w:top w:w="80" w:type="dxa"/>
              <w:left w:w="80" w:type="dxa"/>
              <w:bottom w:w="80" w:type="dxa"/>
              <w:right w:w="80" w:type="dxa"/>
            </w:tcMar>
          </w:tcPr>
          <w:p w14:paraId="24FCB470" w14:textId="526D20DE"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0DA2F599" w14:textId="2B02A83E" w:rsidR="00856236" w:rsidRPr="002233A7" w:rsidRDefault="00856236" w:rsidP="003C77F4">
            <w:pPr>
              <w:pStyle w:val="lgetabletxt"/>
              <w:spacing w:after="60" w:afterAutospacing="0"/>
            </w:pPr>
            <w:r w:rsidRPr="00971587">
              <w:t>2.</w:t>
            </w:r>
            <w:r w:rsidR="003C77F4">
              <w:t>581</w:t>
            </w:r>
            <w:r w:rsidR="003C77F4" w:rsidRPr="00971587">
              <w:t xml:space="preserve"> </w:t>
            </w:r>
            <w:r w:rsidRPr="00971587">
              <w:t xml:space="preserve">(Paint and </w:t>
            </w:r>
            <w:r w:rsidR="009C2E8A">
              <w:t>c</w:t>
            </w:r>
            <w:r w:rsidRPr="00971587">
              <w:t xml:space="preserve">oatings </w:t>
            </w:r>
            <w:r w:rsidR="009C2E8A">
              <w:t>m</w:t>
            </w:r>
            <w:r w:rsidRPr="00971587">
              <w:t>anufacturing)</w:t>
            </w:r>
          </w:p>
        </w:tc>
        <w:tc>
          <w:tcPr>
            <w:tcW w:w="1933" w:type="dxa"/>
            <w:shd w:val="clear" w:color="auto" w:fill="FFC9C9"/>
            <w:tcMar>
              <w:top w:w="80" w:type="dxa"/>
              <w:left w:w="80" w:type="dxa"/>
              <w:bottom w:w="80" w:type="dxa"/>
              <w:right w:w="80" w:type="dxa"/>
            </w:tcMar>
          </w:tcPr>
          <w:p w14:paraId="3FB497F1" w14:textId="7A2591CE" w:rsidR="00856236" w:rsidRPr="002233A7" w:rsidRDefault="00856236" w:rsidP="00292A53">
            <w:pPr>
              <w:pStyle w:val="lgetabletxt"/>
              <w:spacing w:after="60" w:afterAutospacing="0"/>
            </w:pPr>
            <w:r w:rsidRPr="00B2504E">
              <w:t>1.</w:t>
            </w:r>
            <w:r w:rsidR="00203207">
              <w:t>625</w:t>
            </w:r>
            <w:r w:rsidRPr="00B2504E">
              <w:t xml:space="preserve"> (Pa</w:t>
            </w:r>
            <w:r w:rsidR="008F2092">
              <w:t>int and coatings manufacturing)</w:t>
            </w:r>
          </w:p>
        </w:tc>
        <w:tc>
          <w:tcPr>
            <w:tcW w:w="1933" w:type="dxa"/>
            <w:shd w:val="clear" w:color="auto" w:fill="FFC9C9"/>
            <w:tcMar>
              <w:top w:w="80" w:type="dxa"/>
              <w:left w:w="80" w:type="dxa"/>
              <w:bottom w:w="80" w:type="dxa"/>
              <w:right w:w="80" w:type="dxa"/>
            </w:tcMar>
          </w:tcPr>
          <w:p w14:paraId="0E35DC95" w14:textId="03410714" w:rsidR="00856236" w:rsidRPr="002233A7" w:rsidRDefault="00856236" w:rsidP="0088184F">
            <w:pPr>
              <w:pStyle w:val="lgetabletxt"/>
              <w:spacing w:after="60" w:afterAutospacing="0"/>
            </w:pPr>
            <w:r w:rsidRPr="0099469A">
              <w:t>1.</w:t>
            </w:r>
            <w:r w:rsidR="0088184F">
              <w:t>69</w:t>
            </w:r>
            <w:r w:rsidR="0088184F" w:rsidRPr="0099469A">
              <w:t xml:space="preserve"> </w:t>
            </w:r>
            <w:r w:rsidRPr="0099469A">
              <w:t>(Paint manufact</w:t>
            </w:r>
            <w:r w:rsidR="008F2092">
              <w:t>uring)</w:t>
            </w:r>
          </w:p>
        </w:tc>
        <w:tc>
          <w:tcPr>
            <w:tcW w:w="1933" w:type="dxa"/>
            <w:shd w:val="clear" w:color="auto" w:fill="FFC9C9"/>
            <w:tcMar>
              <w:top w:w="80" w:type="dxa"/>
              <w:left w:w="80" w:type="dxa"/>
              <w:bottom w:w="80" w:type="dxa"/>
              <w:right w:w="80" w:type="dxa"/>
            </w:tcMar>
          </w:tcPr>
          <w:p w14:paraId="435C0669" w14:textId="191CA412" w:rsidR="00856236" w:rsidRPr="002233A7" w:rsidRDefault="00896D80" w:rsidP="00292A53">
            <w:pPr>
              <w:pStyle w:val="lgetabletxt"/>
              <w:spacing w:after="60" w:afterAutospacing="0"/>
            </w:pPr>
            <w:r>
              <w:t>2.870</w:t>
            </w:r>
            <w:r w:rsidR="00856236" w:rsidRPr="00281BAC">
              <w:t xml:space="preserve"> (Paint and coatings manufacturing)</w:t>
            </w:r>
          </w:p>
        </w:tc>
        <w:tc>
          <w:tcPr>
            <w:tcW w:w="1933" w:type="dxa"/>
            <w:shd w:val="clear" w:color="auto" w:fill="FFC9C9"/>
            <w:tcMar>
              <w:top w:w="80" w:type="dxa"/>
              <w:left w:w="80" w:type="dxa"/>
              <w:bottom w:w="80" w:type="dxa"/>
              <w:right w:w="80" w:type="dxa"/>
            </w:tcMar>
          </w:tcPr>
          <w:p w14:paraId="3C6ED285" w14:textId="0191F5FF" w:rsidR="00856236" w:rsidRPr="002233A7" w:rsidRDefault="00856236" w:rsidP="00292A53">
            <w:pPr>
              <w:pStyle w:val="lgetabletxt"/>
              <w:spacing w:after="60" w:afterAutospacing="0"/>
            </w:pPr>
            <w:r w:rsidRPr="00E57903">
              <w:t>4.</w:t>
            </w:r>
            <w:r w:rsidR="000D7DD3">
              <w:t>2</w:t>
            </w:r>
            <w:r w:rsidRPr="00E57903">
              <w:t>6 (Pa</w:t>
            </w:r>
            <w:r w:rsidR="008F2092">
              <w:t>int and coatings manufacturing)</w:t>
            </w:r>
          </w:p>
        </w:tc>
        <w:tc>
          <w:tcPr>
            <w:tcW w:w="1933" w:type="dxa"/>
            <w:shd w:val="clear" w:color="auto" w:fill="FFC9C9"/>
            <w:tcMar>
              <w:top w:w="80" w:type="dxa"/>
              <w:left w:w="80" w:type="dxa"/>
              <w:bottom w:w="80" w:type="dxa"/>
              <w:right w:w="80" w:type="dxa"/>
            </w:tcMar>
          </w:tcPr>
          <w:p w14:paraId="028F1322" w14:textId="0194B822" w:rsidR="00856236" w:rsidRPr="002233A7" w:rsidRDefault="000F71B7" w:rsidP="00292A53">
            <w:pPr>
              <w:pStyle w:val="lgetabletxt"/>
              <w:spacing w:after="60" w:afterAutospacing="0"/>
            </w:pPr>
            <w:r w:rsidRPr="002233A7">
              <w:t>0.</w:t>
            </w:r>
            <w:r>
              <w:t>42</w:t>
            </w:r>
            <w:r w:rsidR="008F2092">
              <w:t xml:space="preserve"> (Paint and coatings)</w:t>
            </w:r>
          </w:p>
        </w:tc>
      </w:tr>
      <w:tr w:rsidR="00856236" w:rsidRPr="002233A7" w14:paraId="18B879AA" w14:textId="77777777" w:rsidTr="000F44BC">
        <w:tc>
          <w:tcPr>
            <w:tcW w:w="1485" w:type="dxa"/>
            <w:tcMar>
              <w:top w:w="80" w:type="dxa"/>
              <w:left w:w="80" w:type="dxa"/>
              <w:bottom w:w="80" w:type="dxa"/>
              <w:right w:w="80" w:type="dxa"/>
            </w:tcMar>
          </w:tcPr>
          <w:p w14:paraId="65FCB6DC" w14:textId="77777777" w:rsidR="00856236" w:rsidRPr="002233A7" w:rsidRDefault="00856236" w:rsidP="00292A53">
            <w:pPr>
              <w:pStyle w:val="TableColumn1bold"/>
              <w:spacing w:after="60"/>
            </w:pPr>
            <w:r w:rsidRPr="002233A7">
              <w:t>Soap and detergents</w:t>
            </w:r>
          </w:p>
        </w:tc>
        <w:tc>
          <w:tcPr>
            <w:tcW w:w="1932" w:type="dxa"/>
            <w:tcMar>
              <w:top w:w="80" w:type="dxa"/>
              <w:left w:w="80" w:type="dxa"/>
              <w:bottom w:w="80" w:type="dxa"/>
              <w:right w:w="80" w:type="dxa"/>
            </w:tcMar>
          </w:tcPr>
          <w:p w14:paraId="2B000006" w14:textId="416898F7"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3A0DA173" w14:textId="4BC19E4E" w:rsidR="00856236" w:rsidRPr="002233A7" w:rsidRDefault="003C77F4" w:rsidP="009C2E8A">
            <w:pPr>
              <w:pStyle w:val="lgetabletxt"/>
              <w:spacing w:after="60" w:afterAutospacing="0"/>
            </w:pPr>
            <w:r>
              <w:t>1.931</w:t>
            </w:r>
            <w:r w:rsidR="00856236" w:rsidRPr="00971587">
              <w:t xml:space="preserve"> (C</w:t>
            </w:r>
            <w:r w:rsidR="008F2092">
              <w:t xml:space="preserve">leaning </w:t>
            </w:r>
            <w:r w:rsidR="009C2E8A">
              <w:t>c</w:t>
            </w:r>
            <w:r w:rsidR="008F2092">
              <w:t xml:space="preserve">ompound </w:t>
            </w:r>
            <w:r w:rsidR="009C2E8A">
              <w:t>m</w:t>
            </w:r>
            <w:r w:rsidR="008F2092">
              <w:t>anufacturing)</w:t>
            </w:r>
          </w:p>
        </w:tc>
        <w:tc>
          <w:tcPr>
            <w:tcW w:w="1933" w:type="dxa"/>
            <w:tcMar>
              <w:top w:w="80" w:type="dxa"/>
              <w:left w:w="80" w:type="dxa"/>
              <w:bottom w:w="80" w:type="dxa"/>
              <w:right w:w="80" w:type="dxa"/>
            </w:tcMar>
          </w:tcPr>
          <w:p w14:paraId="37F78641" w14:textId="4DD84212" w:rsidR="00856236" w:rsidRPr="002233A7" w:rsidRDefault="00856236" w:rsidP="00292A53">
            <w:pPr>
              <w:pStyle w:val="lgetabletxt"/>
              <w:spacing w:after="60" w:afterAutospacing="0"/>
            </w:pPr>
            <w:r w:rsidRPr="00B2504E">
              <w:t>1.6</w:t>
            </w:r>
            <w:r w:rsidR="00203207">
              <w:t>25</w:t>
            </w:r>
            <w:r w:rsidRPr="00B2504E">
              <w:t xml:space="preserve"> (C</w:t>
            </w:r>
            <w:r w:rsidR="008F2092">
              <w:t>leaning compound manufacturing)</w:t>
            </w:r>
          </w:p>
        </w:tc>
        <w:tc>
          <w:tcPr>
            <w:tcW w:w="1933" w:type="dxa"/>
            <w:tcMar>
              <w:top w:w="80" w:type="dxa"/>
              <w:left w:w="80" w:type="dxa"/>
              <w:bottom w:w="80" w:type="dxa"/>
              <w:right w:w="80" w:type="dxa"/>
            </w:tcMar>
          </w:tcPr>
          <w:p w14:paraId="2DE63E69" w14:textId="70B930DA" w:rsidR="00856236" w:rsidRPr="002233A7" w:rsidRDefault="00856236" w:rsidP="0088184F">
            <w:pPr>
              <w:pStyle w:val="lgetabletxt"/>
              <w:spacing w:after="60" w:afterAutospacing="0"/>
            </w:pPr>
            <w:r w:rsidRPr="0099469A">
              <w:t>1.</w:t>
            </w:r>
            <w:r w:rsidR="0088184F">
              <w:t>74</w:t>
            </w:r>
          </w:p>
        </w:tc>
        <w:tc>
          <w:tcPr>
            <w:tcW w:w="1933" w:type="dxa"/>
            <w:tcMar>
              <w:top w:w="80" w:type="dxa"/>
              <w:left w:w="80" w:type="dxa"/>
              <w:bottom w:w="80" w:type="dxa"/>
              <w:right w:w="80" w:type="dxa"/>
            </w:tcMar>
          </w:tcPr>
          <w:p w14:paraId="74F510F7" w14:textId="685359EF" w:rsidR="00856236" w:rsidRPr="002233A7" w:rsidRDefault="00856236" w:rsidP="00292A53">
            <w:pPr>
              <w:pStyle w:val="lgetabletxt"/>
              <w:spacing w:after="60" w:afterAutospacing="0"/>
            </w:pPr>
            <w:r w:rsidRPr="00281BAC">
              <w:t>2.470 (Cleaning compound manufacturing)</w:t>
            </w:r>
          </w:p>
        </w:tc>
        <w:tc>
          <w:tcPr>
            <w:tcW w:w="1933" w:type="dxa"/>
            <w:tcMar>
              <w:top w:w="80" w:type="dxa"/>
              <w:left w:w="80" w:type="dxa"/>
              <w:bottom w:w="80" w:type="dxa"/>
              <w:right w:w="80" w:type="dxa"/>
            </w:tcMar>
          </w:tcPr>
          <w:p w14:paraId="7898D73A" w14:textId="2B5CA257" w:rsidR="00856236" w:rsidRPr="002233A7" w:rsidRDefault="00856236" w:rsidP="00292A53">
            <w:pPr>
              <w:pStyle w:val="lgetabletxt"/>
              <w:spacing w:after="60" w:afterAutospacing="0"/>
            </w:pPr>
            <w:r>
              <w:t>4.</w:t>
            </w:r>
            <w:r w:rsidR="000D7DD3">
              <w:t>2</w:t>
            </w:r>
            <w:r>
              <w:t xml:space="preserve">6 </w:t>
            </w:r>
            <w:r w:rsidRPr="00E57903">
              <w:t>(Cleaning compound manufacturing)</w:t>
            </w:r>
          </w:p>
        </w:tc>
        <w:tc>
          <w:tcPr>
            <w:tcW w:w="1933" w:type="dxa"/>
            <w:tcMar>
              <w:top w:w="80" w:type="dxa"/>
              <w:left w:w="80" w:type="dxa"/>
              <w:bottom w:w="80" w:type="dxa"/>
              <w:right w:w="80" w:type="dxa"/>
            </w:tcMar>
          </w:tcPr>
          <w:p w14:paraId="1A85C3E2" w14:textId="09DA2287" w:rsidR="00856236" w:rsidRPr="002233A7" w:rsidRDefault="008F2092" w:rsidP="00292A53">
            <w:pPr>
              <w:pStyle w:val="lgetabletxt"/>
              <w:spacing w:after="60" w:afterAutospacing="0"/>
              <w:rPr>
                <w:highlight w:val="yellow"/>
              </w:rPr>
            </w:pPr>
            <w:r>
              <w:t xml:space="preserve">0.45 (Cleaning </w:t>
            </w:r>
            <w:r w:rsidR="009C2E8A">
              <w:t>c</w:t>
            </w:r>
            <w:r>
              <w:t>ompound)</w:t>
            </w:r>
          </w:p>
        </w:tc>
      </w:tr>
      <w:tr w:rsidR="00856236" w:rsidRPr="002233A7" w14:paraId="0A74217E" w14:textId="77777777" w:rsidTr="000F44BC">
        <w:tc>
          <w:tcPr>
            <w:tcW w:w="1485" w:type="dxa"/>
            <w:shd w:val="clear" w:color="auto" w:fill="FFC9C9"/>
            <w:tcMar>
              <w:top w:w="80" w:type="dxa"/>
              <w:left w:w="80" w:type="dxa"/>
              <w:bottom w:w="80" w:type="dxa"/>
              <w:right w:w="80" w:type="dxa"/>
            </w:tcMar>
          </w:tcPr>
          <w:p w14:paraId="782029F3" w14:textId="77777777" w:rsidR="00856236" w:rsidRPr="002233A7" w:rsidRDefault="00856236" w:rsidP="00292A53">
            <w:pPr>
              <w:pStyle w:val="TableColumn1bold"/>
              <w:spacing w:after="60"/>
            </w:pPr>
            <w:r w:rsidRPr="002233A7">
              <w:t>Glass and glass products</w:t>
            </w:r>
          </w:p>
        </w:tc>
        <w:tc>
          <w:tcPr>
            <w:tcW w:w="1932" w:type="dxa"/>
            <w:shd w:val="clear" w:color="auto" w:fill="FFC9C9"/>
            <w:tcMar>
              <w:top w:w="80" w:type="dxa"/>
              <w:left w:w="80" w:type="dxa"/>
              <w:bottom w:w="80" w:type="dxa"/>
              <w:right w:w="80" w:type="dxa"/>
            </w:tcMar>
          </w:tcPr>
          <w:p w14:paraId="04F63C27" w14:textId="1A95B1A0"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756E54CB" w14:textId="5DE2FAAA" w:rsidR="00856236" w:rsidRPr="002233A7" w:rsidRDefault="00856236" w:rsidP="003C77F4">
            <w:pPr>
              <w:pStyle w:val="lgetabletxt"/>
              <w:spacing w:after="60" w:afterAutospacing="0"/>
            </w:pPr>
            <w:r w:rsidRPr="00971587">
              <w:t>3.</w:t>
            </w:r>
            <w:r w:rsidR="003C77F4">
              <w:t>084 (Glass and glass product manufacturing)</w:t>
            </w:r>
          </w:p>
        </w:tc>
        <w:tc>
          <w:tcPr>
            <w:tcW w:w="1933" w:type="dxa"/>
            <w:shd w:val="clear" w:color="auto" w:fill="FFC9C9"/>
            <w:tcMar>
              <w:top w:w="80" w:type="dxa"/>
              <w:left w:w="80" w:type="dxa"/>
              <w:bottom w:w="80" w:type="dxa"/>
              <w:right w:w="80" w:type="dxa"/>
            </w:tcMar>
          </w:tcPr>
          <w:p w14:paraId="24B7EB88" w14:textId="642B5E19" w:rsidR="00856236" w:rsidRPr="002233A7" w:rsidRDefault="00856236" w:rsidP="00292A53">
            <w:pPr>
              <w:pStyle w:val="lgetabletxt"/>
              <w:spacing w:after="60" w:afterAutospacing="0"/>
            </w:pPr>
            <w:r w:rsidRPr="00B2504E">
              <w:t>4.</w:t>
            </w:r>
            <w:r w:rsidR="00203207">
              <w:t>735</w:t>
            </w:r>
            <w:r w:rsidRPr="00B2504E">
              <w:t xml:space="preserve"> (Glass and Glass Product Manufacturing)</w:t>
            </w:r>
          </w:p>
        </w:tc>
        <w:tc>
          <w:tcPr>
            <w:tcW w:w="1933" w:type="dxa"/>
            <w:shd w:val="clear" w:color="auto" w:fill="FFC9C9"/>
            <w:tcMar>
              <w:top w:w="80" w:type="dxa"/>
              <w:left w:w="80" w:type="dxa"/>
              <w:bottom w:w="80" w:type="dxa"/>
              <w:right w:w="80" w:type="dxa"/>
            </w:tcMar>
          </w:tcPr>
          <w:p w14:paraId="3ED37694" w14:textId="0B9409F2" w:rsidR="00856236" w:rsidRPr="002233A7" w:rsidRDefault="0088184F" w:rsidP="00292A53">
            <w:pPr>
              <w:pStyle w:val="lgetabletxt"/>
              <w:spacing w:after="60" w:afterAutospacing="0"/>
            </w:pPr>
            <w:r>
              <w:t>4.50</w:t>
            </w:r>
          </w:p>
        </w:tc>
        <w:tc>
          <w:tcPr>
            <w:tcW w:w="1933" w:type="dxa"/>
            <w:shd w:val="clear" w:color="auto" w:fill="FFC9C9"/>
            <w:tcMar>
              <w:top w:w="80" w:type="dxa"/>
              <w:left w:w="80" w:type="dxa"/>
              <w:bottom w:w="80" w:type="dxa"/>
              <w:right w:w="80" w:type="dxa"/>
            </w:tcMar>
          </w:tcPr>
          <w:p w14:paraId="5178F21E" w14:textId="0453F2F5" w:rsidR="00856236" w:rsidRPr="002233A7" w:rsidRDefault="00856236" w:rsidP="00292A53">
            <w:pPr>
              <w:pStyle w:val="lgetabletxt"/>
              <w:spacing w:after="60" w:afterAutospacing="0"/>
            </w:pPr>
            <w:r w:rsidRPr="00281BAC">
              <w:t>3.</w:t>
            </w:r>
            <w:r w:rsidR="00896D80">
              <w:t>358</w:t>
            </w:r>
            <w:r w:rsidRPr="00281BAC">
              <w:t xml:space="preserve"> (Glass and glass products manufacturing)</w:t>
            </w:r>
          </w:p>
        </w:tc>
        <w:tc>
          <w:tcPr>
            <w:tcW w:w="1933" w:type="dxa"/>
            <w:shd w:val="clear" w:color="auto" w:fill="FFC9C9"/>
            <w:tcMar>
              <w:top w:w="80" w:type="dxa"/>
              <w:left w:w="80" w:type="dxa"/>
              <w:bottom w:w="80" w:type="dxa"/>
              <w:right w:w="80" w:type="dxa"/>
            </w:tcMar>
          </w:tcPr>
          <w:p w14:paraId="27ED4763" w14:textId="76D32797" w:rsidR="00856236" w:rsidRPr="002233A7" w:rsidRDefault="00856236" w:rsidP="00292A53">
            <w:pPr>
              <w:pStyle w:val="lgetabletxt"/>
              <w:spacing w:after="60" w:afterAutospacing="0"/>
            </w:pPr>
            <w:r>
              <w:t>3.</w:t>
            </w:r>
            <w:r w:rsidR="000D7DD3">
              <w:t>22</w:t>
            </w:r>
            <w:r>
              <w:t xml:space="preserve"> </w:t>
            </w:r>
            <w:r w:rsidRPr="00E57903">
              <w:t xml:space="preserve">(Glass and </w:t>
            </w:r>
            <w:r w:rsidR="008F2092">
              <w:t>glass product manufacturing)</w:t>
            </w:r>
          </w:p>
        </w:tc>
        <w:tc>
          <w:tcPr>
            <w:tcW w:w="1933" w:type="dxa"/>
            <w:shd w:val="clear" w:color="auto" w:fill="FFC9C9"/>
            <w:tcMar>
              <w:top w:w="80" w:type="dxa"/>
              <w:left w:w="80" w:type="dxa"/>
              <w:bottom w:w="80" w:type="dxa"/>
              <w:right w:w="80" w:type="dxa"/>
            </w:tcMar>
          </w:tcPr>
          <w:p w14:paraId="54D85650" w14:textId="79C6E8DF" w:rsidR="00856236" w:rsidRPr="002233A7" w:rsidRDefault="000F71B7" w:rsidP="00292A53">
            <w:pPr>
              <w:pStyle w:val="lgetabletxt"/>
              <w:spacing w:after="60" w:afterAutospacing="0"/>
            </w:pPr>
            <w:r w:rsidRPr="002233A7">
              <w:t>1.</w:t>
            </w:r>
            <w:r>
              <w:t>40</w:t>
            </w:r>
            <w:r w:rsidR="008F2092">
              <w:t xml:space="preserve"> (Manufacturing)</w:t>
            </w:r>
          </w:p>
        </w:tc>
      </w:tr>
      <w:tr w:rsidR="00856236" w:rsidRPr="002233A7" w14:paraId="498E08E9" w14:textId="77777777" w:rsidTr="000F44BC">
        <w:tc>
          <w:tcPr>
            <w:tcW w:w="1485" w:type="dxa"/>
            <w:tcMar>
              <w:top w:w="80" w:type="dxa"/>
              <w:left w:w="80" w:type="dxa"/>
              <w:bottom w:w="80" w:type="dxa"/>
              <w:right w:w="80" w:type="dxa"/>
            </w:tcMar>
          </w:tcPr>
          <w:p w14:paraId="24359DDD" w14:textId="77777777" w:rsidR="00856236" w:rsidRPr="002233A7" w:rsidRDefault="00856236" w:rsidP="00292A53">
            <w:pPr>
              <w:pStyle w:val="TableColumn1bold"/>
              <w:spacing w:after="60"/>
            </w:pPr>
            <w:r w:rsidRPr="002233A7">
              <w:t>Cement</w:t>
            </w:r>
          </w:p>
        </w:tc>
        <w:tc>
          <w:tcPr>
            <w:tcW w:w="1932" w:type="dxa"/>
            <w:tcMar>
              <w:top w:w="80" w:type="dxa"/>
              <w:left w:w="80" w:type="dxa"/>
              <w:bottom w:w="80" w:type="dxa"/>
              <w:right w:w="80" w:type="dxa"/>
            </w:tcMar>
          </w:tcPr>
          <w:p w14:paraId="37F5FEE1" w14:textId="7BCC07C9"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733FBE2C" w14:textId="67B72DE9" w:rsidR="00856236" w:rsidRPr="002233A7" w:rsidRDefault="00856236" w:rsidP="003C77F4">
            <w:pPr>
              <w:pStyle w:val="lgetabletxt"/>
              <w:spacing w:after="60" w:afterAutospacing="0"/>
            </w:pPr>
            <w:r>
              <w:t>3.</w:t>
            </w:r>
            <w:r w:rsidR="003C77F4">
              <w:t>517</w:t>
            </w:r>
            <w:r w:rsidR="003C77F4" w:rsidRPr="00971587">
              <w:t xml:space="preserve"> </w:t>
            </w:r>
            <w:r w:rsidR="008F2092">
              <w:t>(Cement and lime manufacturing)</w:t>
            </w:r>
          </w:p>
        </w:tc>
        <w:tc>
          <w:tcPr>
            <w:tcW w:w="1933" w:type="dxa"/>
            <w:tcMar>
              <w:top w:w="80" w:type="dxa"/>
              <w:left w:w="80" w:type="dxa"/>
              <w:bottom w:w="80" w:type="dxa"/>
              <w:right w:w="80" w:type="dxa"/>
            </w:tcMar>
          </w:tcPr>
          <w:p w14:paraId="6F6FA647" w14:textId="3EEABCF6" w:rsidR="00856236" w:rsidRPr="002233A7" w:rsidRDefault="00856236" w:rsidP="00292A53">
            <w:pPr>
              <w:pStyle w:val="lgetabletxt"/>
              <w:spacing w:after="60" w:afterAutospacing="0"/>
            </w:pPr>
            <w:r w:rsidRPr="00B2504E">
              <w:t>1.</w:t>
            </w:r>
            <w:r w:rsidR="00203207">
              <w:t>821</w:t>
            </w:r>
            <w:r w:rsidRPr="00B2504E">
              <w:t xml:space="preserve"> </w:t>
            </w:r>
            <w:r w:rsidR="008F2092">
              <w:t>(Cement and lime manufacturing)</w:t>
            </w:r>
          </w:p>
        </w:tc>
        <w:tc>
          <w:tcPr>
            <w:tcW w:w="1933" w:type="dxa"/>
            <w:tcMar>
              <w:top w:w="80" w:type="dxa"/>
              <w:left w:w="80" w:type="dxa"/>
              <w:bottom w:w="80" w:type="dxa"/>
              <w:right w:w="80" w:type="dxa"/>
            </w:tcMar>
          </w:tcPr>
          <w:p w14:paraId="294ADB38" w14:textId="494E3ECA" w:rsidR="00856236" w:rsidRPr="002233A7" w:rsidRDefault="0088184F" w:rsidP="00292A53">
            <w:pPr>
              <w:pStyle w:val="lgetabletxt"/>
              <w:spacing w:after="60" w:afterAutospacing="0"/>
            </w:pPr>
            <w:r>
              <w:t>3.25</w:t>
            </w:r>
            <w:r w:rsidR="00856236" w:rsidRPr="00015428">
              <w:t xml:space="preserve"> </w:t>
            </w:r>
            <w:r w:rsidR="008F2092">
              <w:t>(Cement and lime manufacturing)</w:t>
            </w:r>
          </w:p>
        </w:tc>
        <w:tc>
          <w:tcPr>
            <w:tcW w:w="1933" w:type="dxa"/>
            <w:tcMar>
              <w:top w:w="80" w:type="dxa"/>
              <w:left w:w="80" w:type="dxa"/>
              <w:bottom w:w="80" w:type="dxa"/>
              <w:right w:w="80" w:type="dxa"/>
            </w:tcMar>
          </w:tcPr>
          <w:p w14:paraId="37C8BCB3" w14:textId="6095B0AD" w:rsidR="00856236" w:rsidRPr="002233A7" w:rsidRDefault="00856236" w:rsidP="00292A53">
            <w:pPr>
              <w:pStyle w:val="lgetabletxt"/>
              <w:spacing w:after="60" w:afterAutospacing="0"/>
            </w:pPr>
            <w:r w:rsidRPr="00281BAC">
              <w:t>1.</w:t>
            </w:r>
            <w:r w:rsidR="00896D80">
              <w:t>072</w:t>
            </w:r>
            <w:r w:rsidRPr="00281BAC">
              <w:t xml:space="preserve"> </w:t>
            </w:r>
            <w:r w:rsidR="008F2092">
              <w:t>(Cement and lime manufacturing)</w:t>
            </w:r>
          </w:p>
        </w:tc>
        <w:tc>
          <w:tcPr>
            <w:tcW w:w="1933" w:type="dxa"/>
            <w:tcMar>
              <w:top w:w="80" w:type="dxa"/>
              <w:left w:w="80" w:type="dxa"/>
              <w:bottom w:w="80" w:type="dxa"/>
              <w:right w:w="80" w:type="dxa"/>
            </w:tcMar>
          </w:tcPr>
          <w:p w14:paraId="2AFBF233" w14:textId="5D64714B" w:rsidR="00856236" w:rsidRPr="002233A7" w:rsidRDefault="00856236" w:rsidP="00292A53">
            <w:pPr>
              <w:pStyle w:val="lgetabletxt"/>
              <w:spacing w:after="60" w:afterAutospacing="0"/>
            </w:pPr>
            <w:r w:rsidRPr="00E57903">
              <w:t>3.</w:t>
            </w:r>
            <w:r w:rsidR="000D7DD3">
              <w:t>22</w:t>
            </w:r>
            <w:r w:rsidRPr="00E57903">
              <w:t xml:space="preserve"> (Cement and lime manu</w:t>
            </w:r>
            <w:r w:rsidR="008F2092">
              <w:t>facturing)</w:t>
            </w:r>
          </w:p>
        </w:tc>
        <w:tc>
          <w:tcPr>
            <w:tcW w:w="1933" w:type="dxa"/>
            <w:tcMar>
              <w:top w:w="80" w:type="dxa"/>
              <w:left w:w="80" w:type="dxa"/>
              <w:bottom w:w="80" w:type="dxa"/>
              <w:right w:w="80" w:type="dxa"/>
            </w:tcMar>
          </w:tcPr>
          <w:p w14:paraId="1E8759D5" w14:textId="433BE9C5" w:rsidR="00856236" w:rsidRPr="002233A7" w:rsidRDefault="000F71B7" w:rsidP="00292A53">
            <w:pPr>
              <w:pStyle w:val="lgetabletxt"/>
              <w:spacing w:after="60" w:afterAutospacing="0"/>
            </w:pPr>
            <w:r w:rsidRPr="000F71B7">
              <w:t xml:space="preserve">1.40 </w:t>
            </w:r>
            <w:r w:rsidR="008F2092">
              <w:t>(Cement and lime manufacturing)</w:t>
            </w:r>
          </w:p>
        </w:tc>
      </w:tr>
      <w:tr w:rsidR="00856236" w:rsidRPr="002233A7" w14:paraId="0FD1BB31" w14:textId="77777777" w:rsidTr="000F44BC">
        <w:tc>
          <w:tcPr>
            <w:tcW w:w="1485" w:type="dxa"/>
            <w:shd w:val="clear" w:color="auto" w:fill="FFC9C9"/>
            <w:tcMar>
              <w:top w:w="80" w:type="dxa"/>
              <w:left w:w="80" w:type="dxa"/>
              <w:bottom w:w="80" w:type="dxa"/>
              <w:right w:w="80" w:type="dxa"/>
            </w:tcMar>
          </w:tcPr>
          <w:p w14:paraId="68F8A5E3" w14:textId="77777777" w:rsidR="00856236" w:rsidRPr="002233A7" w:rsidRDefault="00856236" w:rsidP="00292A53">
            <w:pPr>
              <w:pStyle w:val="TableColumn1bold"/>
              <w:spacing w:after="60"/>
            </w:pPr>
            <w:r w:rsidRPr="002233A7">
              <w:t>Clothing manufacturing</w:t>
            </w:r>
          </w:p>
        </w:tc>
        <w:tc>
          <w:tcPr>
            <w:tcW w:w="1932" w:type="dxa"/>
            <w:shd w:val="clear" w:color="auto" w:fill="FFC9C9"/>
            <w:tcMar>
              <w:top w:w="80" w:type="dxa"/>
              <w:left w:w="80" w:type="dxa"/>
              <w:bottom w:w="80" w:type="dxa"/>
              <w:right w:w="80" w:type="dxa"/>
            </w:tcMar>
          </w:tcPr>
          <w:p w14:paraId="2600EE1A" w14:textId="4AE76A0F"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0CBB1FDC" w14:textId="796941E5" w:rsidR="00856236" w:rsidRPr="002233A7" w:rsidRDefault="00856236" w:rsidP="003C77F4">
            <w:pPr>
              <w:pStyle w:val="lgetabletxt"/>
              <w:spacing w:after="60" w:afterAutospacing="0"/>
            </w:pPr>
            <w:r>
              <w:t>2.</w:t>
            </w:r>
            <w:r w:rsidR="003C77F4">
              <w:t>148 (Clothing manufacturing)</w:t>
            </w:r>
          </w:p>
        </w:tc>
        <w:tc>
          <w:tcPr>
            <w:tcW w:w="1933" w:type="dxa"/>
            <w:shd w:val="clear" w:color="auto" w:fill="FFC9C9"/>
            <w:tcMar>
              <w:top w:w="80" w:type="dxa"/>
              <w:left w:w="80" w:type="dxa"/>
              <w:bottom w:w="80" w:type="dxa"/>
              <w:right w:w="80" w:type="dxa"/>
            </w:tcMar>
          </w:tcPr>
          <w:p w14:paraId="01C1E82F" w14:textId="559B6C16" w:rsidR="00856236" w:rsidRPr="002233A7" w:rsidRDefault="00856236" w:rsidP="00292A53">
            <w:pPr>
              <w:pStyle w:val="lgetabletxt"/>
              <w:spacing w:after="60" w:afterAutospacing="0"/>
            </w:pPr>
            <w:r w:rsidRPr="00B2504E">
              <w:t>1.5</w:t>
            </w:r>
            <w:r w:rsidR="00203207">
              <w:t>03</w:t>
            </w:r>
            <w:r w:rsidRPr="00B2504E">
              <w:t xml:space="preserve"> (Clothing </w:t>
            </w:r>
            <w:r w:rsidR="009C2E8A">
              <w:t>m</w:t>
            </w:r>
            <w:r w:rsidRPr="00B2504E">
              <w:t>anufacturing)</w:t>
            </w:r>
          </w:p>
        </w:tc>
        <w:tc>
          <w:tcPr>
            <w:tcW w:w="1933" w:type="dxa"/>
            <w:shd w:val="clear" w:color="auto" w:fill="FFC9C9"/>
            <w:tcMar>
              <w:top w:w="80" w:type="dxa"/>
              <w:left w:w="80" w:type="dxa"/>
              <w:bottom w:w="80" w:type="dxa"/>
              <w:right w:w="80" w:type="dxa"/>
            </w:tcMar>
          </w:tcPr>
          <w:p w14:paraId="06F4FB77" w14:textId="59CB95DC" w:rsidR="00856236" w:rsidRPr="002233A7" w:rsidRDefault="00856236" w:rsidP="0088184F">
            <w:pPr>
              <w:pStyle w:val="lgetabletxt"/>
              <w:spacing w:after="60" w:afterAutospacing="0"/>
            </w:pPr>
            <w:r w:rsidRPr="00015428">
              <w:t>2.</w:t>
            </w:r>
            <w:r w:rsidR="0088184F">
              <w:t>02</w:t>
            </w:r>
          </w:p>
        </w:tc>
        <w:tc>
          <w:tcPr>
            <w:tcW w:w="1933" w:type="dxa"/>
            <w:shd w:val="clear" w:color="auto" w:fill="FFC9C9"/>
            <w:tcMar>
              <w:top w:w="80" w:type="dxa"/>
              <w:left w:w="80" w:type="dxa"/>
              <w:bottom w:w="80" w:type="dxa"/>
              <w:right w:w="80" w:type="dxa"/>
            </w:tcMar>
          </w:tcPr>
          <w:p w14:paraId="7F5FB409" w14:textId="75FC8748" w:rsidR="00856236" w:rsidRPr="002233A7" w:rsidRDefault="00856236" w:rsidP="00292A53">
            <w:pPr>
              <w:pStyle w:val="lgetabletxt"/>
              <w:spacing w:after="60" w:afterAutospacing="0"/>
            </w:pPr>
            <w:r w:rsidRPr="00281BAC">
              <w:t>2.</w:t>
            </w:r>
            <w:r w:rsidR="00896D80">
              <w:t>319</w:t>
            </w:r>
          </w:p>
        </w:tc>
        <w:tc>
          <w:tcPr>
            <w:tcW w:w="1933" w:type="dxa"/>
            <w:shd w:val="clear" w:color="auto" w:fill="FFC9C9"/>
            <w:tcMar>
              <w:top w:w="80" w:type="dxa"/>
              <w:left w:w="80" w:type="dxa"/>
              <w:bottom w:w="80" w:type="dxa"/>
              <w:right w:w="80" w:type="dxa"/>
            </w:tcMar>
          </w:tcPr>
          <w:p w14:paraId="158AA9C2" w14:textId="33AB106A" w:rsidR="00856236" w:rsidRPr="002233A7" w:rsidRDefault="00856236" w:rsidP="00292A53">
            <w:pPr>
              <w:pStyle w:val="lgetabletxt"/>
              <w:spacing w:after="60" w:afterAutospacing="0"/>
            </w:pPr>
            <w:r>
              <w:t>2.</w:t>
            </w:r>
            <w:r w:rsidR="000D7DD3">
              <w:t>19</w:t>
            </w:r>
            <w:r>
              <w:t xml:space="preserve"> </w:t>
            </w:r>
          </w:p>
        </w:tc>
        <w:tc>
          <w:tcPr>
            <w:tcW w:w="1933" w:type="dxa"/>
            <w:shd w:val="clear" w:color="auto" w:fill="FFC9C9"/>
            <w:tcMar>
              <w:top w:w="80" w:type="dxa"/>
              <w:left w:w="80" w:type="dxa"/>
              <w:bottom w:w="80" w:type="dxa"/>
              <w:right w:w="80" w:type="dxa"/>
            </w:tcMar>
          </w:tcPr>
          <w:p w14:paraId="039F42C9" w14:textId="6C83FBC9" w:rsidR="00856236" w:rsidRPr="002233A7" w:rsidRDefault="000F71B7" w:rsidP="00292A53">
            <w:pPr>
              <w:pStyle w:val="lgetabletxt"/>
              <w:spacing w:after="60" w:afterAutospacing="0"/>
            </w:pPr>
            <w:r w:rsidRPr="000F71B7">
              <w:t>0.62 (Clothing manufacturing)</w:t>
            </w:r>
          </w:p>
        </w:tc>
      </w:tr>
      <w:tr w:rsidR="00856236" w:rsidRPr="002233A7" w14:paraId="0383952E" w14:textId="77777777" w:rsidTr="000F44BC">
        <w:tc>
          <w:tcPr>
            <w:tcW w:w="1485" w:type="dxa"/>
            <w:tcMar>
              <w:top w:w="80" w:type="dxa"/>
              <w:left w:w="80" w:type="dxa"/>
              <w:bottom w:w="80" w:type="dxa"/>
              <w:right w:w="80" w:type="dxa"/>
            </w:tcMar>
          </w:tcPr>
          <w:p w14:paraId="7C06F3AE" w14:textId="77777777" w:rsidR="00856236" w:rsidRPr="002233A7" w:rsidRDefault="00856236" w:rsidP="00292A53">
            <w:pPr>
              <w:pStyle w:val="TableColumn1bold"/>
              <w:spacing w:after="60"/>
            </w:pPr>
            <w:r w:rsidRPr="002233A7">
              <w:t>Beer</w:t>
            </w:r>
          </w:p>
        </w:tc>
        <w:tc>
          <w:tcPr>
            <w:tcW w:w="1932" w:type="dxa"/>
            <w:tcMar>
              <w:top w:w="80" w:type="dxa"/>
              <w:left w:w="80" w:type="dxa"/>
              <w:bottom w:w="80" w:type="dxa"/>
              <w:right w:w="80" w:type="dxa"/>
            </w:tcMar>
          </w:tcPr>
          <w:p w14:paraId="31BF52D9" w14:textId="6A7C36AF"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13DA1365" w14:textId="5611F0DE" w:rsidR="00856236" w:rsidRPr="002233A7" w:rsidRDefault="00856236" w:rsidP="003C77F4">
            <w:pPr>
              <w:pStyle w:val="lgetabletxt"/>
              <w:spacing w:after="60" w:afterAutospacing="0"/>
            </w:pPr>
            <w:r w:rsidRPr="00971587">
              <w:t>1.</w:t>
            </w:r>
            <w:r w:rsidR="003C77F4">
              <w:t>570 (Beer manufacturing)</w:t>
            </w:r>
          </w:p>
        </w:tc>
        <w:tc>
          <w:tcPr>
            <w:tcW w:w="1933" w:type="dxa"/>
            <w:tcMar>
              <w:top w:w="80" w:type="dxa"/>
              <w:left w:w="80" w:type="dxa"/>
              <w:bottom w:w="80" w:type="dxa"/>
              <w:right w:w="80" w:type="dxa"/>
            </w:tcMar>
          </w:tcPr>
          <w:p w14:paraId="3026C4E3" w14:textId="7C5B4472" w:rsidR="00856236" w:rsidRPr="002233A7" w:rsidRDefault="00856236" w:rsidP="009C2E8A">
            <w:pPr>
              <w:pStyle w:val="lgetabletxt"/>
              <w:spacing w:after="60" w:afterAutospacing="0"/>
            </w:pPr>
            <w:r w:rsidRPr="00B2504E">
              <w:t>1.</w:t>
            </w:r>
            <w:r w:rsidR="00203207">
              <w:t>572</w:t>
            </w:r>
            <w:r w:rsidRPr="00B2504E">
              <w:t xml:space="preserve"> (Beer </w:t>
            </w:r>
            <w:r w:rsidR="009C2E8A">
              <w:t>m</w:t>
            </w:r>
            <w:r w:rsidRPr="00B2504E">
              <w:t>anufacturing)</w:t>
            </w:r>
          </w:p>
        </w:tc>
        <w:tc>
          <w:tcPr>
            <w:tcW w:w="1933" w:type="dxa"/>
            <w:tcMar>
              <w:top w:w="80" w:type="dxa"/>
              <w:left w:w="80" w:type="dxa"/>
              <w:bottom w:w="80" w:type="dxa"/>
              <w:right w:w="80" w:type="dxa"/>
            </w:tcMar>
          </w:tcPr>
          <w:p w14:paraId="5A5BFEF9" w14:textId="724107E3" w:rsidR="00856236" w:rsidRPr="002233A7" w:rsidRDefault="00856236" w:rsidP="0088184F">
            <w:pPr>
              <w:pStyle w:val="lgetabletxt"/>
              <w:spacing w:after="60" w:afterAutospacing="0"/>
            </w:pPr>
            <w:r w:rsidRPr="00015428">
              <w:t>1.</w:t>
            </w:r>
            <w:r w:rsidR="0088184F">
              <w:t>67</w:t>
            </w:r>
          </w:p>
        </w:tc>
        <w:tc>
          <w:tcPr>
            <w:tcW w:w="1933" w:type="dxa"/>
            <w:tcMar>
              <w:top w:w="80" w:type="dxa"/>
              <w:left w:w="80" w:type="dxa"/>
              <w:bottom w:w="80" w:type="dxa"/>
              <w:right w:w="80" w:type="dxa"/>
            </w:tcMar>
          </w:tcPr>
          <w:p w14:paraId="16516D60" w14:textId="33438994" w:rsidR="00856236" w:rsidRPr="002233A7" w:rsidRDefault="00856236" w:rsidP="00292A53">
            <w:pPr>
              <w:pStyle w:val="lgetabletxt"/>
              <w:spacing w:after="60" w:afterAutospacing="0"/>
            </w:pPr>
            <w:r w:rsidRPr="00281BAC">
              <w:t>1.</w:t>
            </w:r>
            <w:r w:rsidR="00896D80">
              <w:t>394</w:t>
            </w:r>
            <w:r w:rsidRPr="00281BAC">
              <w:t xml:space="preserve"> (Beer manufacturing)</w:t>
            </w:r>
          </w:p>
        </w:tc>
        <w:tc>
          <w:tcPr>
            <w:tcW w:w="1933" w:type="dxa"/>
            <w:tcMar>
              <w:top w:w="80" w:type="dxa"/>
              <w:left w:w="80" w:type="dxa"/>
              <w:bottom w:w="80" w:type="dxa"/>
              <w:right w:w="80" w:type="dxa"/>
            </w:tcMar>
          </w:tcPr>
          <w:p w14:paraId="4CDDCA53" w14:textId="25BE18FA" w:rsidR="00856236" w:rsidRPr="002233A7" w:rsidRDefault="008F2092" w:rsidP="00292A53">
            <w:pPr>
              <w:pStyle w:val="lgetabletxt"/>
              <w:spacing w:after="60" w:afterAutospacing="0"/>
            </w:pPr>
            <w:r>
              <w:t>2.4</w:t>
            </w:r>
            <w:r w:rsidR="000D7DD3">
              <w:t>2</w:t>
            </w:r>
            <w:r>
              <w:t xml:space="preserve"> (Beer manufacturing)</w:t>
            </w:r>
          </w:p>
        </w:tc>
        <w:tc>
          <w:tcPr>
            <w:tcW w:w="1933" w:type="dxa"/>
            <w:tcMar>
              <w:top w:w="80" w:type="dxa"/>
              <w:left w:w="80" w:type="dxa"/>
              <w:bottom w:w="80" w:type="dxa"/>
              <w:right w:w="80" w:type="dxa"/>
            </w:tcMar>
          </w:tcPr>
          <w:p w14:paraId="73A7B2CF" w14:textId="30B7FF73" w:rsidR="00856236" w:rsidRPr="002233A7" w:rsidRDefault="008F2092" w:rsidP="00292A53">
            <w:pPr>
              <w:pStyle w:val="lgetabletxt"/>
              <w:spacing w:after="60" w:afterAutospacing="0"/>
            </w:pPr>
            <w:r>
              <w:t>0.49 (Beer manufacturing)</w:t>
            </w:r>
          </w:p>
        </w:tc>
      </w:tr>
      <w:tr w:rsidR="00856236" w:rsidRPr="002233A7" w14:paraId="306B5DDC" w14:textId="77777777" w:rsidTr="000F44BC">
        <w:tc>
          <w:tcPr>
            <w:tcW w:w="1485" w:type="dxa"/>
            <w:shd w:val="clear" w:color="auto" w:fill="FFC9C9"/>
            <w:tcMar>
              <w:top w:w="80" w:type="dxa"/>
              <w:left w:w="80" w:type="dxa"/>
              <w:bottom w:w="80" w:type="dxa"/>
              <w:right w:w="80" w:type="dxa"/>
            </w:tcMar>
          </w:tcPr>
          <w:p w14:paraId="69FEC16D" w14:textId="77777777" w:rsidR="00856236" w:rsidRPr="002233A7" w:rsidRDefault="00856236" w:rsidP="00292A53">
            <w:pPr>
              <w:pStyle w:val="TableColumn1bold"/>
              <w:spacing w:after="60"/>
            </w:pPr>
            <w:r w:rsidRPr="002233A7">
              <w:t>Hotels</w:t>
            </w:r>
          </w:p>
        </w:tc>
        <w:tc>
          <w:tcPr>
            <w:tcW w:w="1932" w:type="dxa"/>
            <w:shd w:val="clear" w:color="auto" w:fill="FFC9C9"/>
            <w:tcMar>
              <w:top w:w="80" w:type="dxa"/>
              <w:left w:w="80" w:type="dxa"/>
              <w:bottom w:w="80" w:type="dxa"/>
              <w:right w:w="80" w:type="dxa"/>
            </w:tcMar>
          </w:tcPr>
          <w:p w14:paraId="6D4F69E2" w14:textId="5B292250"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1A9DE389" w14:textId="09524619" w:rsidR="00856236" w:rsidRPr="002233A7" w:rsidRDefault="003C77F4" w:rsidP="00292A53">
            <w:pPr>
              <w:pStyle w:val="lgetabletxt"/>
              <w:spacing w:after="60" w:afterAutospacing="0"/>
            </w:pPr>
            <w:r>
              <w:t>1.953</w:t>
            </w:r>
            <w:r w:rsidR="00856236" w:rsidRPr="00971587">
              <w:t xml:space="preserve"> (Accommodation</w:t>
            </w:r>
            <w:r w:rsidR="00257215">
              <w:t>)</w:t>
            </w:r>
            <w:r w:rsidR="00B53A65">
              <w:t>.</w:t>
            </w:r>
          </w:p>
        </w:tc>
        <w:tc>
          <w:tcPr>
            <w:tcW w:w="1933" w:type="dxa"/>
            <w:shd w:val="clear" w:color="auto" w:fill="FFC9C9"/>
            <w:tcMar>
              <w:top w:w="80" w:type="dxa"/>
              <w:left w:w="80" w:type="dxa"/>
              <w:bottom w:w="80" w:type="dxa"/>
              <w:right w:w="80" w:type="dxa"/>
            </w:tcMar>
          </w:tcPr>
          <w:p w14:paraId="362ECFEB" w14:textId="2E03B906" w:rsidR="00856236" w:rsidRDefault="00856236" w:rsidP="00292A53">
            <w:pPr>
              <w:pStyle w:val="lgetabletxt"/>
              <w:spacing w:after="60" w:afterAutospacing="0"/>
            </w:pPr>
            <w:r>
              <w:t>2.2</w:t>
            </w:r>
            <w:r w:rsidR="00203207">
              <w:t>34</w:t>
            </w:r>
            <w:r>
              <w:t xml:space="preserve"> (Accommodation).</w:t>
            </w:r>
          </w:p>
          <w:p w14:paraId="3CEB3959" w14:textId="60A8F703" w:rsidR="00856236" w:rsidRPr="002233A7" w:rsidRDefault="008F2092" w:rsidP="00292A53">
            <w:pPr>
              <w:pStyle w:val="lgetabletxt"/>
              <w:spacing w:after="60" w:afterAutospacing="0"/>
            </w:pPr>
            <w:r>
              <w:t>1.8</w:t>
            </w:r>
            <w:r w:rsidR="00203207">
              <w:t>59</w:t>
            </w:r>
            <w:r>
              <w:t xml:space="preserve"> (Pubs, taverns and bars)</w:t>
            </w:r>
          </w:p>
        </w:tc>
        <w:tc>
          <w:tcPr>
            <w:tcW w:w="1933" w:type="dxa"/>
            <w:shd w:val="clear" w:color="auto" w:fill="FFC9C9"/>
            <w:tcMar>
              <w:top w:w="80" w:type="dxa"/>
              <w:left w:w="80" w:type="dxa"/>
              <w:bottom w:w="80" w:type="dxa"/>
              <w:right w:w="80" w:type="dxa"/>
            </w:tcMar>
          </w:tcPr>
          <w:p w14:paraId="2703D00B" w14:textId="43D8900B" w:rsidR="00856236" w:rsidRDefault="00856236" w:rsidP="00292A53">
            <w:pPr>
              <w:pStyle w:val="lgetabletxt"/>
              <w:spacing w:after="60" w:afterAutospacing="0"/>
            </w:pPr>
            <w:r>
              <w:t>2.</w:t>
            </w:r>
            <w:r w:rsidR="0088184F">
              <w:t xml:space="preserve">22 </w:t>
            </w:r>
            <w:r>
              <w:t>(Accommodation)</w:t>
            </w:r>
          </w:p>
          <w:p w14:paraId="5850FF20" w14:textId="661AC425" w:rsidR="00856236" w:rsidRPr="002233A7" w:rsidRDefault="008F2092" w:rsidP="0088184F">
            <w:pPr>
              <w:pStyle w:val="lgetabletxt"/>
              <w:spacing w:after="60" w:afterAutospacing="0"/>
            </w:pPr>
            <w:r>
              <w:t>1.</w:t>
            </w:r>
            <w:r w:rsidR="0088184F">
              <w:t xml:space="preserve">17 </w:t>
            </w:r>
            <w:r>
              <w:t>(Pubs, taverns and bars)</w:t>
            </w:r>
          </w:p>
        </w:tc>
        <w:tc>
          <w:tcPr>
            <w:tcW w:w="1933" w:type="dxa"/>
            <w:shd w:val="clear" w:color="auto" w:fill="FFC9C9"/>
            <w:tcMar>
              <w:top w:w="80" w:type="dxa"/>
              <w:left w:w="80" w:type="dxa"/>
              <w:bottom w:w="80" w:type="dxa"/>
              <w:right w:w="80" w:type="dxa"/>
            </w:tcMar>
          </w:tcPr>
          <w:p w14:paraId="36585341" w14:textId="785CBE09" w:rsidR="00856236" w:rsidRDefault="008F2092" w:rsidP="00292A53">
            <w:pPr>
              <w:pStyle w:val="lgetabletxt"/>
              <w:spacing w:after="60" w:afterAutospacing="0"/>
              <w:contextualSpacing/>
            </w:pPr>
            <w:r>
              <w:t>2.</w:t>
            </w:r>
            <w:r w:rsidR="00896D80">
              <w:t>495</w:t>
            </w:r>
            <w:r>
              <w:t xml:space="preserve"> (Accommodation)</w:t>
            </w:r>
          </w:p>
          <w:p w14:paraId="757EBC47" w14:textId="5C9EF686" w:rsidR="00856236" w:rsidRPr="002233A7" w:rsidRDefault="00896D80" w:rsidP="00292A53">
            <w:pPr>
              <w:pStyle w:val="lgetabletxt"/>
              <w:spacing w:after="60" w:afterAutospacing="0"/>
            </w:pPr>
            <w:r>
              <w:t>1.958</w:t>
            </w:r>
            <w:r w:rsidR="00856236">
              <w:t xml:space="preserve"> (Pubs, taverns and bars)</w:t>
            </w:r>
          </w:p>
        </w:tc>
        <w:tc>
          <w:tcPr>
            <w:tcW w:w="1933" w:type="dxa"/>
            <w:shd w:val="clear" w:color="auto" w:fill="FFC9C9"/>
            <w:tcMar>
              <w:top w:w="80" w:type="dxa"/>
              <w:left w:w="80" w:type="dxa"/>
              <w:bottom w:w="80" w:type="dxa"/>
              <w:right w:w="80" w:type="dxa"/>
            </w:tcMar>
          </w:tcPr>
          <w:p w14:paraId="1A09DD91" w14:textId="103E739A" w:rsidR="00856236" w:rsidRPr="002233A7" w:rsidRDefault="00856236" w:rsidP="00292A53">
            <w:pPr>
              <w:pStyle w:val="lgetabletxt"/>
              <w:spacing w:after="60" w:afterAutospacing="0"/>
            </w:pPr>
            <w:r>
              <w:t>2.</w:t>
            </w:r>
            <w:r w:rsidR="000D7DD3">
              <w:t>76</w:t>
            </w:r>
            <w:r>
              <w:t xml:space="preserve"> </w:t>
            </w:r>
            <w:r w:rsidR="008F2092">
              <w:t>(Pubs, taverns and bars)</w:t>
            </w:r>
          </w:p>
        </w:tc>
        <w:tc>
          <w:tcPr>
            <w:tcW w:w="1933" w:type="dxa"/>
            <w:shd w:val="clear" w:color="auto" w:fill="FFC9C9"/>
            <w:tcMar>
              <w:top w:w="80" w:type="dxa"/>
              <w:left w:w="80" w:type="dxa"/>
              <w:bottom w:w="80" w:type="dxa"/>
              <w:right w:w="80" w:type="dxa"/>
            </w:tcMar>
          </w:tcPr>
          <w:p w14:paraId="0785BB34" w14:textId="4496FAD2" w:rsidR="00856236" w:rsidRPr="002233A7" w:rsidRDefault="008F2092" w:rsidP="00292A53">
            <w:pPr>
              <w:pStyle w:val="lgetabletxt"/>
              <w:spacing w:after="60" w:afterAutospacing="0"/>
            </w:pPr>
            <w:r>
              <w:t>0.78 (Accommodation)</w:t>
            </w:r>
          </w:p>
        </w:tc>
      </w:tr>
      <w:tr w:rsidR="00856236" w:rsidRPr="002233A7" w14:paraId="0CB87813" w14:textId="77777777" w:rsidTr="000F44BC">
        <w:tc>
          <w:tcPr>
            <w:tcW w:w="1485" w:type="dxa"/>
            <w:tcMar>
              <w:top w:w="80" w:type="dxa"/>
              <w:left w:w="80" w:type="dxa"/>
              <w:bottom w:w="80" w:type="dxa"/>
              <w:right w:w="80" w:type="dxa"/>
            </w:tcMar>
          </w:tcPr>
          <w:p w14:paraId="21FC7B98" w14:textId="77777777" w:rsidR="00856236" w:rsidRPr="002233A7" w:rsidRDefault="00856236" w:rsidP="00292A53">
            <w:pPr>
              <w:pStyle w:val="TableColumn1bold"/>
              <w:spacing w:after="60"/>
            </w:pPr>
            <w:r w:rsidRPr="002233A7">
              <w:t>Bread manufacturing</w:t>
            </w:r>
          </w:p>
        </w:tc>
        <w:tc>
          <w:tcPr>
            <w:tcW w:w="1932" w:type="dxa"/>
            <w:tcMar>
              <w:top w:w="80" w:type="dxa"/>
              <w:left w:w="80" w:type="dxa"/>
              <w:bottom w:w="80" w:type="dxa"/>
              <w:right w:w="80" w:type="dxa"/>
            </w:tcMar>
          </w:tcPr>
          <w:p w14:paraId="6E1E324F" w14:textId="34B171B4"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177CF477" w14:textId="2CDB2244" w:rsidR="00856236" w:rsidRPr="002233A7" w:rsidRDefault="003C77F4" w:rsidP="009C2E8A">
            <w:pPr>
              <w:pStyle w:val="lgetabletxt"/>
              <w:spacing w:after="60" w:afterAutospacing="0"/>
            </w:pPr>
            <w:r>
              <w:t>4.201</w:t>
            </w:r>
            <w:r w:rsidR="00856236" w:rsidRPr="00971587">
              <w:t xml:space="preserve"> (Bre</w:t>
            </w:r>
            <w:r w:rsidR="008F2092">
              <w:t xml:space="preserve">ad </w:t>
            </w:r>
            <w:r w:rsidR="009C2E8A">
              <w:t>m</w:t>
            </w:r>
            <w:r w:rsidR="008F2092">
              <w:t xml:space="preserve">anufacturing </w:t>
            </w:r>
            <w:r w:rsidR="009C2E8A">
              <w:t>– f</w:t>
            </w:r>
            <w:r w:rsidR="008F2092">
              <w:t>actory based)</w:t>
            </w:r>
          </w:p>
        </w:tc>
        <w:tc>
          <w:tcPr>
            <w:tcW w:w="1933" w:type="dxa"/>
            <w:tcMar>
              <w:top w:w="80" w:type="dxa"/>
              <w:left w:w="80" w:type="dxa"/>
              <w:bottom w:w="80" w:type="dxa"/>
              <w:right w:w="80" w:type="dxa"/>
            </w:tcMar>
          </w:tcPr>
          <w:p w14:paraId="2FBB4522" w14:textId="6540E8DD" w:rsidR="00856236" w:rsidRPr="002233A7" w:rsidRDefault="00856236" w:rsidP="009C2E8A">
            <w:pPr>
              <w:pStyle w:val="lgetabletxt"/>
              <w:spacing w:after="60" w:afterAutospacing="0"/>
            </w:pPr>
            <w:r w:rsidRPr="00B2504E">
              <w:t>3.</w:t>
            </w:r>
            <w:r w:rsidR="00203207">
              <w:t>150</w:t>
            </w:r>
            <w:r w:rsidRPr="00B2504E">
              <w:t xml:space="preserve"> (Bread </w:t>
            </w:r>
            <w:r w:rsidR="009C2E8A">
              <w:t>m</w:t>
            </w:r>
            <w:r w:rsidRPr="00B2504E">
              <w:t xml:space="preserve">anufacturing </w:t>
            </w:r>
            <w:r w:rsidR="009C2E8A">
              <w:t>– f</w:t>
            </w:r>
            <w:r w:rsidRPr="00B2504E">
              <w:t>actory based)</w:t>
            </w:r>
          </w:p>
        </w:tc>
        <w:tc>
          <w:tcPr>
            <w:tcW w:w="1933" w:type="dxa"/>
            <w:tcMar>
              <w:top w:w="80" w:type="dxa"/>
              <w:left w:w="80" w:type="dxa"/>
              <w:bottom w:w="80" w:type="dxa"/>
              <w:right w:w="80" w:type="dxa"/>
            </w:tcMar>
          </w:tcPr>
          <w:p w14:paraId="3E580344" w14:textId="2BE3AA97" w:rsidR="00856236" w:rsidRPr="002233A7" w:rsidRDefault="00856236" w:rsidP="0088184F">
            <w:pPr>
              <w:pStyle w:val="lgetabletxt"/>
              <w:spacing w:after="60" w:afterAutospacing="0"/>
            </w:pPr>
            <w:r w:rsidRPr="00015428">
              <w:t>3.</w:t>
            </w:r>
            <w:r w:rsidR="0088184F" w:rsidRPr="00015428">
              <w:t>2</w:t>
            </w:r>
            <w:r w:rsidR="0088184F">
              <w:t>6</w:t>
            </w:r>
          </w:p>
        </w:tc>
        <w:tc>
          <w:tcPr>
            <w:tcW w:w="1933" w:type="dxa"/>
            <w:tcMar>
              <w:top w:w="80" w:type="dxa"/>
              <w:left w:w="80" w:type="dxa"/>
              <w:bottom w:w="80" w:type="dxa"/>
              <w:right w:w="80" w:type="dxa"/>
            </w:tcMar>
          </w:tcPr>
          <w:p w14:paraId="51822058" w14:textId="754BC6A6" w:rsidR="00856236" w:rsidRPr="002233A7" w:rsidRDefault="00856236" w:rsidP="00292A53">
            <w:pPr>
              <w:pStyle w:val="lgetabletxt"/>
              <w:spacing w:after="60" w:afterAutospacing="0"/>
            </w:pPr>
            <w:r w:rsidRPr="00281BAC">
              <w:t>5.</w:t>
            </w:r>
            <w:r w:rsidR="00896D80">
              <w:t>188</w:t>
            </w:r>
            <w:r w:rsidRPr="00281BAC">
              <w:t xml:space="preserve"> (Bread manufacturing – factory based)</w:t>
            </w:r>
          </w:p>
        </w:tc>
        <w:tc>
          <w:tcPr>
            <w:tcW w:w="1933" w:type="dxa"/>
            <w:tcMar>
              <w:top w:w="80" w:type="dxa"/>
              <w:left w:w="80" w:type="dxa"/>
              <w:bottom w:w="80" w:type="dxa"/>
              <w:right w:w="80" w:type="dxa"/>
            </w:tcMar>
          </w:tcPr>
          <w:p w14:paraId="081FA53E" w14:textId="303802E9" w:rsidR="00856236" w:rsidRPr="002233A7" w:rsidRDefault="00856236" w:rsidP="00292A53">
            <w:pPr>
              <w:pStyle w:val="lgetabletxt"/>
              <w:spacing w:after="60" w:afterAutospacing="0"/>
            </w:pPr>
            <w:r w:rsidRPr="00CF7156">
              <w:t>2.</w:t>
            </w:r>
            <w:r w:rsidR="000D7DD3">
              <w:t>88 (Factory based)</w:t>
            </w:r>
          </w:p>
        </w:tc>
        <w:tc>
          <w:tcPr>
            <w:tcW w:w="1933" w:type="dxa"/>
            <w:tcMar>
              <w:top w:w="80" w:type="dxa"/>
              <w:left w:w="80" w:type="dxa"/>
              <w:bottom w:w="80" w:type="dxa"/>
              <w:right w:w="80" w:type="dxa"/>
            </w:tcMar>
          </w:tcPr>
          <w:p w14:paraId="4112E3C3" w14:textId="3F614F0D" w:rsidR="00856236" w:rsidRPr="002233A7" w:rsidRDefault="000F71B7" w:rsidP="00292A53">
            <w:pPr>
              <w:pStyle w:val="lgetabletxt"/>
              <w:spacing w:after="60" w:afterAutospacing="0"/>
            </w:pPr>
            <w:r w:rsidRPr="000F71B7">
              <w:t>0.87 (Factor</w:t>
            </w:r>
            <w:r w:rsidR="008F2092">
              <w:t>y based)</w:t>
            </w:r>
          </w:p>
        </w:tc>
      </w:tr>
      <w:tr w:rsidR="00856236" w:rsidRPr="002233A7" w14:paraId="2CDDB796" w14:textId="77777777" w:rsidTr="000F44BC">
        <w:tc>
          <w:tcPr>
            <w:tcW w:w="1485" w:type="dxa"/>
            <w:shd w:val="clear" w:color="auto" w:fill="FFC9C9"/>
            <w:tcMar>
              <w:top w:w="80" w:type="dxa"/>
              <w:left w:w="80" w:type="dxa"/>
              <w:bottom w:w="80" w:type="dxa"/>
              <w:right w:w="80" w:type="dxa"/>
            </w:tcMar>
          </w:tcPr>
          <w:p w14:paraId="1BE32847" w14:textId="596B2548" w:rsidR="00856236" w:rsidRPr="002233A7" w:rsidRDefault="00856236" w:rsidP="003C77F4">
            <w:pPr>
              <w:pStyle w:val="TableColumn1bold"/>
              <w:spacing w:after="60"/>
            </w:pPr>
            <w:r w:rsidRPr="002233A7">
              <w:t>Footwear manufacturing</w:t>
            </w:r>
            <w:r w:rsidR="00A41653">
              <w:fldChar w:fldCharType="begin"/>
            </w:r>
            <w:r w:rsidR="00A41653">
              <w:instrText xml:space="preserve"> XE "</w:instrText>
            </w:r>
            <w:r w:rsidR="00A41653" w:rsidRPr="0055797F">
              <w:instrText>Footwear manufacturing industry premium rates</w:instrText>
            </w:r>
            <w:r w:rsidR="00A41653">
              <w:instrText xml:space="preserve">" </w:instrText>
            </w:r>
            <w:r w:rsidR="00A41653">
              <w:fldChar w:fldCharType="end"/>
            </w:r>
          </w:p>
        </w:tc>
        <w:tc>
          <w:tcPr>
            <w:tcW w:w="1932" w:type="dxa"/>
            <w:shd w:val="clear" w:color="auto" w:fill="FFC9C9"/>
            <w:tcMar>
              <w:top w:w="80" w:type="dxa"/>
              <w:left w:w="80" w:type="dxa"/>
              <w:bottom w:w="80" w:type="dxa"/>
              <w:right w:w="80" w:type="dxa"/>
            </w:tcMar>
          </w:tcPr>
          <w:p w14:paraId="748CE82F" w14:textId="69170F43"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5CB43C59" w14:textId="7E821105" w:rsidR="00856236" w:rsidRPr="002233A7" w:rsidRDefault="003C77F4" w:rsidP="00292A53">
            <w:pPr>
              <w:pStyle w:val="lgetabletxt"/>
              <w:spacing w:after="60" w:afterAutospacing="0"/>
            </w:pPr>
            <w:r>
              <w:t>3.931</w:t>
            </w:r>
          </w:p>
        </w:tc>
        <w:tc>
          <w:tcPr>
            <w:tcW w:w="1933" w:type="dxa"/>
            <w:shd w:val="clear" w:color="auto" w:fill="FFC9C9"/>
            <w:tcMar>
              <w:top w:w="80" w:type="dxa"/>
              <w:left w:w="80" w:type="dxa"/>
              <w:bottom w:w="80" w:type="dxa"/>
              <w:right w:w="80" w:type="dxa"/>
            </w:tcMar>
          </w:tcPr>
          <w:p w14:paraId="097C041E" w14:textId="5356C054" w:rsidR="00856236" w:rsidRPr="002233A7" w:rsidRDefault="00856236" w:rsidP="00292A53">
            <w:pPr>
              <w:pStyle w:val="lgetabletxt"/>
              <w:spacing w:after="60" w:afterAutospacing="0"/>
            </w:pPr>
            <w:r w:rsidRPr="00B2504E">
              <w:t>1.5</w:t>
            </w:r>
            <w:r w:rsidR="00203207">
              <w:t>03</w:t>
            </w:r>
            <w:r w:rsidRPr="00B2504E">
              <w:t xml:space="preserve"> (Footwear Manufacturing)</w:t>
            </w:r>
          </w:p>
        </w:tc>
        <w:tc>
          <w:tcPr>
            <w:tcW w:w="1933" w:type="dxa"/>
            <w:shd w:val="clear" w:color="auto" w:fill="FFC9C9"/>
            <w:tcMar>
              <w:top w:w="80" w:type="dxa"/>
              <w:left w:w="80" w:type="dxa"/>
              <w:bottom w:w="80" w:type="dxa"/>
              <w:right w:w="80" w:type="dxa"/>
            </w:tcMar>
          </w:tcPr>
          <w:p w14:paraId="75B6A7F2" w14:textId="581432F4" w:rsidR="00856236" w:rsidRPr="002233A7" w:rsidRDefault="00856236" w:rsidP="0088184F">
            <w:pPr>
              <w:pStyle w:val="lgetabletxt"/>
              <w:spacing w:after="60" w:afterAutospacing="0"/>
            </w:pPr>
            <w:r w:rsidRPr="00015428">
              <w:t>1.</w:t>
            </w:r>
            <w:r w:rsidR="0088184F">
              <w:t>79</w:t>
            </w:r>
          </w:p>
        </w:tc>
        <w:tc>
          <w:tcPr>
            <w:tcW w:w="1933" w:type="dxa"/>
            <w:shd w:val="clear" w:color="auto" w:fill="FFC9C9"/>
            <w:tcMar>
              <w:top w:w="80" w:type="dxa"/>
              <w:left w:w="80" w:type="dxa"/>
              <w:bottom w:w="80" w:type="dxa"/>
              <w:right w:w="80" w:type="dxa"/>
            </w:tcMar>
          </w:tcPr>
          <w:p w14:paraId="7B55DFD4" w14:textId="2F81539B" w:rsidR="00856236" w:rsidRPr="002233A7" w:rsidRDefault="00856236" w:rsidP="00292A53">
            <w:pPr>
              <w:pStyle w:val="lgetabletxt"/>
              <w:spacing w:after="60" w:afterAutospacing="0"/>
            </w:pPr>
            <w:r w:rsidRPr="00281BAC">
              <w:t>2.</w:t>
            </w:r>
            <w:r w:rsidR="00896D80">
              <w:t>789</w:t>
            </w:r>
          </w:p>
        </w:tc>
        <w:tc>
          <w:tcPr>
            <w:tcW w:w="1933" w:type="dxa"/>
            <w:shd w:val="clear" w:color="auto" w:fill="FFC9C9"/>
            <w:tcMar>
              <w:top w:w="80" w:type="dxa"/>
              <w:left w:w="80" w:type="dxa"/>
              <w:bottom w:w="80" w:type="dxa"/>
              <w:right w:w="80" w:type="dxa"/>
            </w:tcMar>
          </w:tcPr>
          <w:p w14:paraId="2878BE08" w14:textId="02D565B2" w:rsidR="00856236" w:rsidRPr="002233A7" w:rsidRDefault="00856236" w:rsidP="00292A53">
            <w:pPr>
              <w:pStyle w:val="lgetabletxt"/>
              <w:spacing w:after="60" w:afterAutospacing="0"/>
            </w:pPr>
            <w:r w:rsidRPr="00CF7156">
              <w:t>2.</w:t>
            </w:r>
            <w:r w:rsidR="000D7DD3">
              <w:t>19</w:t>
            </w:r>
            <w:r>
              <w:t xml:space="preserve"> </w:t>
            </w:r>
          </w:p>
        </w:tc>
        <w:tc>
          <w:tcPr>
            <w:tcW w:w="1933" w:type="dxa"/>
            <w:shd w:val="clear" w:color="auto" w:fill="FFC9C9"/>
            <w:tcMar>
              <w:top w:w="80" w:type="dxa"/>
              <w:left w:w="80" w:type="dxa"/>
              <w:bottom w:w="80" w:type="dxa"/>
              <w:right w:w="80" w:type="dxa"/>
            </w:tcMar>
          </w:tcPr>
          <w:p w14:paraId="3B1EEFAE" w14:textId="0A4634F5" w:rsidR="00856236" w:rsidRPr="002233A7" w:rsidRDefault="000F71B7" w:rsidP="00292A53">
            <w:pPr>
              <w:pStyle w:val="lgetabletxt"/>
              <w:spacing w:after="60" w:afterAutospacing="0"/>
              <w:rPr>
                <w:highlight w:val="yellow"/>
              </w:rPr>
            </w:pPr>
            <w:r w:rsidRPr="000F71B7">
              <w:t>0.62 (Footwear manufacturing)</w:t>
            </w:r>
          </w:p>
        </w:tc>
      </w:tr>
      <w:tr w:rsidR="00856236" w:rsidRPr="002233A7" w14:paraId="1BB69174" w14:textId="77777777" w:rsidTr="000F44BC">
        <w:tc>
          <w:tcPr>
            <w:tcW w:w="1485" w:type="dxa"/>
            <w:tcMar>
              <w:top w:w="80" w:type="dxa"/>
              <w:left w:w="80" w:type="dxa"/>
              <w:bottom w:w="80" w:type="dxa"/>
              <w:right w:w="80" w:type="dxa"/>
            </w:tcMar>
          </w:tcPr>
          <w:p w14:paraId="50D8B302" w14:textId="77777777" w:rsidR="00856236" w:rsidRPr="002233A7" w:rsidRDefault="00856236" w:rsidP="00292A53">
            <w:pPr>
              <w:pStyle w:val="TableColumn1bold"/>
              <w:spacing w:after="60"/>
            </w:pPr>
            <w:r w:rsidRPr="002233A7">
              <w:t>Nursing homes</w:t>
            </w:r>
          </w:p>
        </w:tc>
        <w:tc>
          <w:tcPr>
            <w:tcW w:w="1932" w:type="dxa"/>
            <w:tcMar>
              <w:top w:w="80" w:type="dxa"/>
              <w:left w:w="80" w:type="dxa"/>
              <w:bottom w:w="80" w:type="dxa"/>
              <w:right w:w="80" w:type="dxa"/>
            </w:tcMar>
          </w:tcPr>
          <w:p w14:paraId="24583270" w14:textId="32AD9BBB"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6693BCF0" w14:textId="04245FF6" w:rsidR="00856236" w:rsidRPr="002233A7" w:rsidRDefault="003C77F4" w:rsidP="00292A53">
            <w:pPr>
              <w:pStyle w:val="lgetabletxt"/>
              <w:spacing w:after="60" w:afterAutospacing="0"/>
            </w:pPr>
            <w:r>
              <w:t>2.636</w:t>
            </w:r>
            <w:r w:rsidR="00856236" w:rsidRPr="00971587">
              <w:t xml:space="preserve"> (</w:t>
            </w:r>
            <w:r w:rsidR="008F2092">
              <w:t>Aged care residential services)</w:t>
            </w:r>
          </w:p>
        </w:tc>
        <w:tc>
          <w:tcPr>
            <w:tcW w:w="1933" w:type="dxa"/>
            <w:tcMar>
              <w:top w:w="80" w:type="dxa"/>
              <w:left w:w="80" w:type="dxa"/>
              <w:bottom w:w="80" w:type="dxa"/>
              <w:right w:w="80" w:type="dxa"/>
            </w:tcMar>
          </w:tcPr>
          <w:p w14:paraId="4CC4439D" w14:textId="47E3FB7A" w:rsidR="00856236" w:rsidRPr="002233A7" w:rsidRDefault="00856236" w:rsidP="00292A53">
            <w:pPr>
              <w:pStyle w:val="lgetabletxt"/>
              <w:spacing w:after="60" w:afterAutospacing="0"/>
            </w:pPr>
            <w:r w:rsidRPr="00B2504E">
              <w:t>2.</w:t>
            </w:r>
            <w:r w:rsidR="00203207">
              <w:t>557</w:t>
            </w:r>
            <w:r w:rsidRPr="00B2504E">
              <w:t xml:space="preserve"> (Aged care residential services).</w:t>
            </w:r>
          </w:p>
        </w:tc>
        <w:tc>
          <w:tcPr>
            <w:tcW w:w="1933" w:type="dxa"/>
            <w:tcMar>
              <w:top w:w="80" w:type="dxa"/>
              <w:left w:w="80" w:type="dxa"/>
              <w:bottom w:w="80" w:type="dxa"/>
              <w:right w:w="80" w:type="dxa"/>
            </w:tcMar>
          </w:tcPr>
          <w:p w14:paraId="2062C49D" w14:textId="19F39B27" w:rsidR="00856236" w:rsidRPr="002233A7" w:rsidRDefault="00856236" w:rsidP="0088184F">
            <w:pPr>
              <w:pStyle w:val="lgetabletxt"/>
              <w:spacing w:after="60" w:afterAutospacing="0"/>
            </w:pPr>
            <w:r w:rsidRPr="00015428">
              <w:t>3.</w:t>
            </w:r>
            <w:r w:rsidR="0088184F">
              <w:t>18</w:t>
            </w:r>
          </w:p>
        </w:tc>
        <w:tc>
          <w:tcPr>
            <w:tcW w:w="1933" w:type="dxa"/>
            <w:tcMar>
              <w:top w:w="80" w:type="dxa"/>
              <w:left w:w="80" w:type="dxa"/>
              <w:bottom w:w="80" w:type="dxa"/>
              <w:right w:w="80" w:type="dxa"/>
            </w:tcMar>
          </w:tcPr>
          <w:p w14:paraId="081D8811" w14:textId="352BDEBD" w:rsidR="00856236" w:rsidRPr="002233A7" w:rsidRDefault="00856236" w:rsidP="00292A53">
            <w:pPr>
              <w:pStyle w:val="lgetabletxt"/>
              <w:spacing w:after="60" w:afterAutospacing="0"/>
            </w:pPr>
            <w:r w:rsidRPr="00281BAC">
              <w:t>4.</w:t>
            </w:r>
            <w:r w:rsidR="00896D80">
              <w:t>216</w:t>
            </w:r>
            <w:r w:rsidRPr="00281BAC">
              <w:t xml:space="preserve"> Aged care residential services</w:t>
            </w:r>
            <w:r w:rsidR="00B53A65">
              <w:t>.</w:t>
            </w:r>
          </w:p>
        </w:tc>
        <w:tc>
          <w:tcPr>
            <w:tcW w:w="1933" w:type="dxa"/>
            <w:tcMar>
              <w:top w:w="80" w:type="dxa"/>
              <w:left w:w="80" w:type="dxa"/>
              <w:bottom w:w="80" w:type="dxa"/>
              <w:right w:w="80" w:type="dxa"/>
            </w:tcMar>
          </w:tcPr>
          <w:p w14:paraId="6FF99D29" w14:textId="25626B30" w:rsidR="00856236" w:rsidRPr="002233A7" w:rsidRDefault="00856236" w:rsidP="00292A53">
            <w:pPr>
              <w:pStyle w:val="lgetabletxt"/>
              <w:spacing w:after="60" w:afterAutospacing="0"/>
            </w:pPr>
            <w:r>
              <w:t>5.</w:t>
            </w:r>
            <w:r w:rsidR="000D7DD3">
              <w:t>87</w:t>
            </w:r>
            <w:r>
              <w:t xml:space="preserve"> </w:t>
            </w:r>
            <w:r w:rsidRPr="00CF7156">
              <w:t>(Aged care residential services)</w:t>
            </w:r>
            <w:r w:rsidR="00B53A65">
              <w:t>.</w:t>
            </w:r>
          </w:p>
        </w:tc>
        <w:tc>
          <w:tcPr>
            <w:tcW w:w="1933" w:type="dxa"/>
            <w:tcMar>
              <w:top w:w="80" w:type="dxa"/>
              <w:left w:w="80" w:type="dxa"/>
              <w:bottom w:w="80" w:type="dxa"/>
              <w:right w:w="80" w:type="dxa"/>
            </w:tcMar>
          </w:tcPr>
          <w:p w14:paraId="560F1572" w14:textId="3F67C03A" w:rsidR="00856236" w:rsidRPr="002233A7" w:rsidRDefault="000F71B7" w:rsidP="00292A53">
            <w:pPr>
              <w:pStyle w:val="lgetabletxt"/>
              <w:spacing w:after="60" w:afterAutospacing="0"/>
            </w:pPr>
            <w:r w:rsidRPr="000F71B7">
              <w:t>1.22 (</w:t>
            </w:r>
            <w:r w:rsidR="008F2092">
              <w:t>Aged care residential services)</w:t>
            </w:r>
          </w:p>
        </w:tc>
      </w:tr>
      <w:tr w:rsidR="00856236" w:rsidRPr="002233A7" w14:paraId="36312406" w14:textId="77777777" w:rsidTr="000F44BC">
        <w:tc>
          <w:tcPr>
            <w:tcW w:w="1485" w:type="dxa"/>
            <w:shd w:val="clear" w:color="auto" w:fill="FFC9C9"/>
            <w:tcMar>
              <w:top w:w="80" w:type="dxa"/>
              <w:left w:w="80" w:type="dxa"/>
              <w:bottom w:w="80" w:type="dxa"/>
              <w:right w:w="80" w:type="dxa"/>
            </w:tcMar>
          </w:tcPr>
          <w:p w14:paraId="45F6DD37" w14:textId="77777777" w:rsidR="00856236" w:rsidRPr="002233A7" w:rsidRDefault="00856236" w:rsidP="00292A53">
            <w:pPr>
              <w:pStyle w:val="TableColumn1bold"/>
              <w:spacing w:after="60"/>
            </w:pPr>
            <w:r w:rsidRPr="002233A7">
              <w:lastRenderedPageBreak/>
              <w:t>Department stores</w:t>
            </w:r>
          </w:p>
        </w:tc>
        <w:tc>
          <w:tcPr>
            <w:tcW w:w="1932" w:type="dxa"/>
            <w:shd w:val="clear" w:color="auto" w:fill="FFC9C9"/>
            <w:tcMar>
              <w:top w:w="80" w:type="dxa"/>
              <w:left w:w="80" w:type="dxa"/>
              <w:bottom w:w="80" w:type="dxa"/>
              <w:right w:w="80" w:type="dxa"/>
            </w:tcMar>
          </w:tcPr>
          <w:p w14:paraId="2A916B29" w14:textId="12373FFA"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27C8D81E" w14:textId="5553DF37" w:rsidR="00856236" w:rsidRPr="002233A7" w:rsidRDefault="003C77F4" w:rsidP="00292A53">
            <w:pPr>
              <w:pStyle w:val="lgetabletxt"/>
              <w:spacing w:after="60" w:afterAutospacing="0"/>
            </w:pPr>
            <w:r>
              <w:t>1.787 (Department stores)</w:t>
            </w:r>
          </w:p>
        </w:tc>
        <w:tc>
          <w:tcPr>
            <w:tcW w:w="1933" w:type="dxa"/>
            <w:shd w:val="clear" w:color="auto" w:fill="FFC9C9"/>
            <w:tcMar>
              <w:top w:w="80" w:type="dxa"/>
              <w:left w:w="80" w:type="dxa"/>
              <w:bottom w:w="80" w:type="dxa"/>
              <w:right w:w="80" w:type="dxa"/>
            </w:tcMar>
          </w:tcPr>
          <w:p w14:paraId="5F17B0AB" w14:textId="1DA04DD8" w:rsidR="00856236" w:rsidRPr="002233A7" w:rsidRDefault="00856236" w:rsidP="0077599B">
            <w:pPr>
              <w:pStyle w:val="lgetabletxt"/>
              <w:spacing w:after="60" w:afterAutospacing="0"/>
            </w:pPr>
            <w:r w:rsidRPr="00B2504E">
              <w:t>1.4</w:t>
            </w:r>
            <w:r w:rsidR="00203207">
              <w:t>04</w:t>
            </w:r>
            <w:r w:rsidRPr="00B2504E">
              <w:t xml:space="preserve"> (Department </w:t>
            </w:r>
            <w:r w:rsidR="0077599B">
              <w:t>s</w:t>
            </w:r>
            <w:r w:rsidR="0077599B" w:rsidRPr="00B2504E">
              <w:t>tores</w:t>
            </w:r>
            <w:r w:rsidRPr="00B2504E">
              <w:t>)</w:t>
            </w:r>
          </w:p>
        </w:tc>
        <w:tc>
          <w:tcPr>
            <w:tcW w:w="1933" w:type="dxa"/>
            <w:shd w:val="clear" w:color="auto" w:fill="FFC9C9"/>
            <w:tcMar>
              <w:top w:w="80" w:type="dxa"/>
              <w:left w:w="80" w:type="dxa"/>
              <w:bottom w:w="80" w:type="dxa"/>
              <w:right w:w="80" w:type="dxa"/>
            </w:tcMar>
          </w:tcPr>
          <w:p w14:paraId="2AE16BAF" w14:textId="3193D8D9" w:rsidR="00856236" w:rsidRPr="002233A7" w:rsidRDefault="00856236" w:rsidP="0088184F">
            <w:pPr>
              <w:pStyle w:val="lgetabletxt"/>
              <w:spacing w:after="60" w:afterAutospacing="0"/>
            </w:pPr>
            <w:r w:rsidRPr="00015428">
              <w:t>1.</w:t>
            </w:r>
            <w:r w:rsidR="0088184F">
              <w:t>69</w:t>
            </w:r>
          </w:p>
        </w:tc>
        <w:tc>
          <w:tcPr>
            <w:tcW w:w="1933" w:type="dxa"/>
            <w:shd w:val="clear" w:color="auto" w:fill="FFC9C9"/>
            <w:tcMar>
              <w:top w:w="80" w:type="dxa"/>
              <w:left w:w="80" w:type="dxa"/>
              <w:bottom w:w="80" w:type="dxa"/>
              <w:right w:w="80" w:type="dxa"/>
            </w:tcMar>
          </w:tcPr>
          <w:p w14:paraId="24ECF111" w14:textId="60A9DBC0" w:rsidR="00856236" w:rsidRPr="002233A7" w:rsidRDefault="00856236" w:rsidP="00292A53">
            <w:pPr>
              <w:pStyle w:val="lgetabletxt"/>
              <w:spacing w:after="60" w:afterAutospacing="0"/>
            </w:pPr>
            <w:r w:rsidRPr="00281BAC">
              <w:t>1.</w:t>
            </w:r>
            <w:r w:rsidR="00896D80">
              <w:t>460</w:t>
            </w:r>
          </w:p>
        </w:tc>
        <w:tc>
          <w:tcPr>
            <w:tcW w:w="1933" w:type="dxa"/>
            <w:shd w:val="clear" w:color="auto" w:fill="FFC9C9"/>
            <w:tcMar>
              <w:top w:w="80" w:type="dxa"/>
              <w:left w:w="80" w:type="dxa"/>
              <w:bottom w:w="80" w:type="dxa"/>
              <w:right w:w="80" w:type="dxa"/>
            </w:tcMar>
          </w:tcPr>
          <w:p w14:paraId="30E8E082" w14:textId="2519F194" w:rsidR="00856236" w:rsidRPr="002233A7" w:rsidRDefault="00856236" w:rsidP="00292A53">
            <w:pPr>
              <w:pStyle w:val="lgetabletxt"/>
              <w:spacing w:after="60" w:afterAutospacing="0"/>
            </w:pPr>
            <w:r w:rsidRPr="00CF7156">
              <w:t>2.</w:t>
            </w:r>
            <w:r w:rsidR="000D7DD3">
              <w:t>42</w:t>
            </w:r>
            <w:r w:rsidR="00DD0D68">
              <w:t xml:space="preserve"> </w:t>
            </w:r>
          </w:p>
        </w:tc>
        <w:tc>
          <w:tcPr>
            <w:tcW w:w="1933" w:type="dxa"/>
            <w:shd w:val="clear" w:color="auto" w:fill="FFC9C9"/>
            <w:tcMar>
              <w:top w:w="80" w:type="dxa"/>
              <w:left w:w="80" w:type="dxa"/>
              <w:bottom w:w="80" w:type="dxa"/>
              <w:right w:w="80" w:type="dxa"/>
            </w:tcMar>
          </w:tcPr>
          <w:p w14:paraId="70F9B211" w14:textId="13227633" w:rsidR="00856236" w:rsidRPr="002233A7" w:rsidRDefault="000F71B7" w:rsidP="00292A53">
            <w:pPr>
              <w:pStyle w:val="lgetabletxt"/>
              <w:spacing w:after="60" w:afterAutospacing="0"/>
            </w:pPr>
            <w:r w:rsidRPr="000F71B7">
              <w:t>0.44 (Department stores)</w:t>
            </w:r>
          </w:p>
        </w:tc>
      </w:tr>
      <w:tr w:rsidR="00856236" w:rsidRPr="002233A7" w14:paraId="4FB7879D" w14:textId="77777777" w:rsidTr="000F44BC">
        <w:tc>
          <w:tcPr>
            <w:tcW w:w="1485" w:type="dxa"/>
            <w:tcMar>
              <w:top w:w="80" w:type="dxa"/>
              <w:left w:w="80" w:type="dxa"/>
              <w:bottom w:w="80" w:type="dxa"/>
              <w:right w:w="80" w:type="dxa"/>
            </w:tcMar>
          </w:tcPr>
          <w:p w14:paraId="163FB8BF" w14:textId="77777777" w:rsidR="00856236" w:rsidRPr="002233A7" w:rsidRDefault="00856236" w:rsidP="00292A53">
            <w:pPr>
              <w:pStyle w:val="TableColumn1bold"/>
              <w:spacing w:after="60"/>
            </w:pPr>
            <w:r w:rsidRPr="002233A7">
              <w:t>Medical practice</w:t>
            </w:r>
          </w:p>
        </w:tc>
        <w:tc>
          <w:tcPr>
            <w:tcW w:w="1932" w:type="dxa"/>
            <w:tcMar>
              <w:top w:w="80" w:type="dxa"/>
              <w:left w:w="80" w:type="dxa"/>
              <w:bottom w:w="80" w:type="dxa"/>
              <w:right w:w="80" w:type="dxa"/>
            </w:tcMar>
          </w:tcPr>
          <w:p w14:paraId="259F4491" w14:textId="6ED6375A"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6A162599" w14:textId="0DA71F3F" w:rsidR="00856236" w:rsidRDefault="00856236" w:rsidP="00292A53">
            <w:pPr>
              <w:pStyle w:val="lgetabletxt"/>
              <w:spacing w:after="60" w:afterAutospacing="0"/>
            </w:pPr>
            <w:r>
              <w:t>0.</w:t>
            </w:r>
            <w:r w:rsidR="003C77F4">
              <w:t xml:space="preserve">357 </w:t>
            </w:r>
            <w:r>
              <w:t>(Gen</w:t>
            </w:r>
            <w:r w:rsidR="008F2092">
              <w:t>eral practice medical services)</w:t>
            </w:r>
          </w:p>
          <w:p w14:paraId="6EAD3DE3" w14:textId="0F37965A" w:rsidR="00856236" w:rsidRPr="002233A7" w:rsidRDefault="00856236" w:rsidP="00292A53">
            <w:pPr>
              <w:pStyle w:val="lgetabletxt"/>
              <w:spacing w:after="60" w:afterAutospacing="0"/>
            </w:pPr>
            <w:r>
              <w:t>0.25</w:t>
            </w:r>
            <w:r w:rsidR="008F2092">
              <w:t>4 (specialist medical services)</w:t>
            </w:r>
          </w:p>
        </w:tc>
        <w:tc>
          <w:tcPr>
            <w:tcW w:w="1933" w:type="dxa"/>
            <w:tcMar>
              <w:top w:w="80" w:type="dxa"/>
              <w:left w:w="80" w:type="dxa"/>
              <w:bottom w:w="80" w:type="dxa"/>
              <w:right w:w="80" w:type="dxa"/>
            </w:tcMar>
          </w:tcPr>
          <w:p w14:paraId="072C2F78" w14:textId="39757B77" w:rsidR="00856236" w:rsidRPr="002233A7" w:rsidRDefault="00856236" w:rsidP="00292A53">
            <w:pPr>
              <w:pStyle w:val="lgetabletxt"/>
              <w:spacing w:after="60" w:afterAutospacing="0"/>
            </w:pPr>
            <w:r w:rsidRPr="00B2504E">
              <w:t>0.3</w:t>
            </w:r>
            <w:r w:rsidR="00203207">
              <w:t>74</w:t>
            </w:r>
            <w:r w:rsidRPr="00B2504E">
              <w:t xml:space="preserve"> (Gen</w:t>
            </w:r>
            <w:r w:rsidR="008F2092">
              <w:t>eral practice medical services)</w:t>
            </w:r>
          </w:p>
        </w:tc>
        <w:tc>
          <w:tcPr>
            <w:tcW w:w="1933" w:type="dxa"/>
            <w:tcMar>
              <w:top w:w="80" w:type="dxa"/>
              <w:left w:w="80" w:type="dxa"/>
              <w:bottom w:w="80" w:type="dxa"/>
              <w:right w:w="80" w:type="dxa"/>
            </w:tcMar>
          </w:tcPr>
          <w:p w14:paraId="4525C7C4" w14:textId="0FF2C0B8" w:rsidR="00856236" w:rsidRPr="002233A7" w:rsidRDefault="00856236" w:rsidP="0088184F">
            <w:pPr>
              <w:pStyle w:val="lgetabletxt"/>
              <w:spacing w:after="60" w:afterAutospacing="0"/>
            </w:pPr>
            <w:r w:rsidRPr="00015428">
              <w:t>0.</w:t>
            </w:r>
            <w:r w:rsidR="0088184F" w:rsidRPr="00015428">
              <w:t>6</w:t>
            </w:r>
            <w:r w:rsidR="0088184F">
              <w:t>2</w:t>
            </w:r>
            <w:r w:rsidR="0088184F" w:rsidRPr="00015428">
              <w:t xml:space="preserve"> </w:t>
            </w:r>
            <w:r w:rsidRPr="00015428">
              <w:t>(Genera</w:t>
            </w:r>
            <w:r w:rsidR="008F2092">
              <w:t>l practice medical services)</w:t>
            </w:r>
          </w:p>
        </w:tc>
        <w:tc>
          <w:tcPr>
            <w:tcW w:w="1933" w:type="dxa"/>
            <w:tcMar>
              <w:top w:w="80" w:type="dxa"/>
              <w:left w:w="80" w:type="dxa"/>
              <w:bottom w:w="80" w:type="dxa"/>
              <w:right w:w="80" w:type="dxa"/>
            </w:tcMar>
          </w:tcPr>
          <w:p w14:paraId="556D7462" w14:textId="2828346F" w:rsidR="00856236" w:rsidRDefault="00856236" w:rsidP="00292A53">
            <w:pPr>
              <w:pStyle w:val="lgetabletxt"/>
              <w:spacing w:after="60" w:afterAutospacing="0"/>
            </w:pPr>
            <w:r>
              <w:t>0.</w:t>
            </w:r>
            <w:r w:rsidR="0074635F">
              <w:t>404</w:t>
            </w:r>
            <w:r>
              <w:t xml:space="preserve"> (Gen</w:t>
            </w:r>
            <w:r w:rsidR="008F2092">
              <w:t>eral practice medical services)</w:t>
            </w:r>
          </w:p>
          <w:p w14:paraId="6316A6B2" w14:textId="35A40A6A" w:rsidR="00856236" w:rsidRPr="002233A7" w:rsidRDefault="00856236" w:rsidP="00292A53">
            <w:pPr>
              <w:pStyle w:val="lgetabletxt"/>
              <w:spacing w:after="60" w:afterAutospacing="0"/>
            </w:pPr>
            <w:r>
              <w:t>0.</w:t>
            </w:r>
            <w:r w:rsidR="0074635F">
              <w:t>333</w:t>
            </w:r>
            <w:r>
              <w:t xml:space="preserve"> Specialist medical services</w:t>
            </w:r>
          </w:p>
        </w:tc>
        <w:tc>
          <w:tcPr>
            <w:tcW w:w="1933" w:type="dxa"/>
            <w:tcMar>
              <w:top w:w="80" w:type="dxa"/>
              <w:left w:w="80" w:type="dxa"/>
              <w:bottom w:w="80" w:type="dxa"/>
              <w:right w:w="80" w:type="dxa"/>
            </w:tcMar>
          </w:tcPr>
          <w:p w14:paraId="7705E55C" w14:textId="561831DA" w:rsidR="00856236" w:rsidRPr="002233A7" w:rsidRDefault="00856236" w:rsidP="00292A53">
            <w:pPr>
              <w:pStyle w:val="lgetabletxt"/>
              <w:spacing w:after="60" w:afterAutospacing="0"/>
            </w:pPr>
            <w:r>
              <w:t>0.4</w:t>
            </w:r>
            <w:r w:rsidR="000D7DD3">
              <w:t>6</w:t>
            </w:r>
            <w:r w:rsidRPr="00CF7156">
              <w:t xml:space="preserve"> (Gen</w:t>
            </w:r>
            <w:r w:rsidR="008F2092">
              <w:t>eral practice medical services)</w:t>
            </w:r>
          </w:p>
        </w:tc>
        <w:tc>
          <w:tcPr>
            <w:tcW w:w="1933" w:type="dxa"/>
            <w:tcMar>
              <w:top w:w="80" w:type="dxa"/>
              <w:left w:w="80" w:type="dxa"/>
              <w:bottom w:w="80" w:type="dxa"/>
              <w:right w:w="80" w:type="dxa"/>
            </w:tcMar>
          </w:tcPr>
          <w:p w14:paraId="146DB4A3" w14:textId="2DB3BA10" w:rsidR="00856236" w:rsidRPr="00B53A65" w:rsidRDefault="000F71B7" w:rsidP="00B53A65">
            <w:pPr>
              <w:spacing w:after="60"/>
              <w:rPr>
                <w:rFonts w:eastAsiaTheme="minorEastAsia" w:cs="Arial"/>
                <w:color w:val="000000" w:themeColor="text1"/>
                <w:sz w:val="14"/>
                <w:szCs w:val="16"/>
                <w:lang w:val="en-GB"/>
              </w:rPr>
            </w:pPr>
            <w:r w:rsidRPr="000F71B7">
              <w:rPr>
                <w:rFonts w:eastAsiaTheme="minorEastAsia" w:cs="Arial"/>
                <w:color w:val="000000" w:themeColor="text1"/>
                <w:sz w:val="14"/>
                <w:szCs w:val="16"/>
                <w:lang w:val="en-GB"/>
              </w:rPr>
              <w:t>0.12 (Gene</w:t>
            </w:r>
            <w:r w:rsidR="008F2092">
              <w:rPr>
                <w:rFonts w:eastAsiaTheme="minorEastAsia" w:cs="Arial"/>
                <w:color w:val="000000" w:themeColor="text1"/>
                <w:sz w:val="14"/>
                <w:szCs w:val="16"/>
                <w:lang w:val="en-GB"/>
              </w:rPr>
              <w:t>ral practice medical services)</w:t>
            </w:r>
          </w:p>
        </w:tc>
      </w:tr>
      <w:tr w:rsidR="00856236" w:rsidRPr="002233A7" w14:paraId="1B93CF7D" w14:textId="77777777" w:rsidTr="000F44BC">
        <w:tc>
          <w:tcPr>
            <w:tcW w:w="1485" w:type="dxa"/>
            <w:shd w:val="clear" w:color="auto" w:fill="FFC9C9"/>
            <w:tcMar>
              <w:top w:w="80" w:type="dxa"/>
              <w:left w:w="80" w:type="dxa"/>
              <w:bottom w:w="80" w:type="dxa"/>
              <w:right w:w="80" w:type="dxa"/>
            </w:tcMar>
          </w:tcPr>
          <w:p w14:paraId="4EDA66EE" w14:textId="77777777" w:rsidR="00856236" w:rsidRPr="002233A7" w:rsidRDefault="00856236" w:rsidP="00292A53">
            <w:pPr>
              <w:pStyle w:val="TableColumn1bold"/>
              <w:spacing w:after="60"/>
            </w:pPr>
            <w:r w:rsidRPr="002233A7">
              <w:t>Secondary schools — private</w:t>
            </w:r>
          </w:p>
        </w:tc>
        <w:tc>
          <w:tcPr>
            <w:tcW w:w="1932" w:type="dxa"/>
            <w:shd w:val="clear" w:color="auto" w:fill="FFC9C9"/>
            <w:tcMar>
              <w:top w:w="80" w:type="dxa"/>
              <w:left w:w="80" w:type="dxa"/>
              <w:bottom w:w="80" w:type="dxa"/>
              <w:right w:w="80" w:type="dxa"/>
            </w:tcMar>
          </w:tcPr>
          <w:p w14:paraId="2BAB8A95" w14:textId="2B16761A" w:rsidR="00856236" w:rsidRPr="002233A7" w:rsidRDefault="00856236" w:rsidP="00292A53">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6EF052F6" w14:textId="5F666B55" w:rsidR="00856236" w:rsidRPr="002233A7" w:rsidRDefault="00856236" w:rsidP="003C77F4">
            <w:pPr>
              <w:pStyle w:val="lgetabletxt"/>
              <w:spacing w:after="60" w:afterAutospacing="0"/>
            </w:pPr>
            <w:r w:rsidRPr="00971587">
              <w:t>0.</w:t>
            </w:r>
            <w:r w:rsidR="003C77F4" w:rsidRPr="00971587">
              <w:t>5</w:t>
            </w:r>
            <w:r w:rsidR="003C77F4">
              <w:t>83</w:t>
            </w:r>
          </w:p>
        </w:tc>
        <w:tc>
          <w:tcPr>
            <w:tcW w:w="1933" w:type="dxa"/>
            <w:shd w:val="clear" w:color="auto" w:fill="FFC9C9"/>
            <w:tcMar>
              <w:top w:w="80" w:type="dxa"/>
              <w:left w:w="80" w:type="dxa"/>
              <w:bottom w:w="80" w:type="dxa"/>
              <w:right w:w="80" w:type="dxa"/>
            </w:tcMar>
          </w:tcPr>
          <w:p w14:paraId="14ABA998" w14:textId="6B0E6629" w:rsidR="00856236" w:rsidRPr="002233A7" w:rsidRDefault="00856236" w:rsidP="00292A53">
            <w:pPr>
              <w:pStyle w:val="lgetabletxt"/>
              <w:spacing w:after="60" w:afterAutospacing="0"/>
            </w:pPr>
            <w:r w:rsidRPr="00B2504E">
              <w:t>0.82</w:t>
            </w:r>
            <w:r w:rsidR="00F165CF">
              <w:t>5</w:t>
            </w:r>
            <w:r w:rsidRPr="00B2504E">
              <w:t xml:space="preserve"> (No distinction is made between </w:t>
            </w:r>
            <w:r w:rsidR="008F2092">
              <w:t>private and government schools)</w:t>
            </w:r>
          </w:p>
        </w:tc>
        <w:tc>
          <w:tcPr>
            <w:tcW w:w="1933" w:type="dxa"/>
            <w:shd w:val="clear" w:color="auto" w:fill="FFC9C9"/>
            <w:tcMar>
              <w:top w:w="80" w:type="dxa"/>
              <w:left w:w="80" w:type="dxa"/>
              <w:bottom w:w="80" w:type="dxa"/>
              <w:right w:w="80" w:type="dxa"/>
            </w:tcMar>
          </w:tcPr>
          <w:p w14:paraId="1895FA5F" w14:textId="6ED81C0C" w:rsidR="00856236" w:rsidRPr="002233A7" w:rsidRDefault="00856236" w:rsidP="0088184F">
            <w:pPr>
              <w:pStyle w:val="lgetabletxt"/>
              <w:spacing w:after="60" w:afterAutospacing="0"/>
            </w:pPr>
            <w:r w:rsidRPr="00015428">
              <w:t>0.</w:t>
            </w:r>
            <w:r w:rsidR="0088184F">
              <w:t>90</w:t>
            </w:r>
            <w:r w:rsidR="0088184F" w:rsidRPr="00015428">
              <w:t xml:space="preserve"> </w:t>
            </w:r>
            <w:r w:rsidRPr="00015428">
              <w:t xml:space="preserve">(No distinction is made between </w:t>
            </w:r>
            <w:r w:rsidR="008F2092">
              <w:t>private and government schools)</w:t>
            </w:r>
          </w:p>
        </w:tc>
        <w:tc>
          <w:tcPr>
            <w:tcW w:w="1933" w:type="dxa"/>
            <w:shd w:val="clear" w:color="auto" w:fill="FFC9C9"/>
            <w:tcMar>
              <w:top w:w="80" w:type="dxa"/>
              <w:left w:w="80" w:type="dxa"/>
              <w:bottom w:w="80" w:type="dxa"/>
              <w:right w:w="80" w:type="dxa"/>
            </w:tcMar>
          </w:tcPr>
          <w:p w14:paraId="4CB2D34C" w14:textId="19639957" w:rsidR="00856236" w:rsidRDefault="00856236" w:rsidP="00292A53">
            <w:pPr>
              <w:pStyle w:val="lgetabletxt"/>
              <w:spacing w:after="60" w:afterAutospacing="0"/>
            </w:pPr>
            <w:r>
              <w:t>0.</w:t>
            </w:r>
            <w:r w:rsidR="0074635F">
              <w:t>828</w:t>
            </w:r>
            <w:r>
              <w:t xml:space="preserve"> (Secondary education </w:t>
            </w:r>
            <w:r w:rsidR="0074635F">
              <w:t>— G</w:t>
            </w:r>
            <w:r>
              <w:t>overnment schools</w:t>
            </w:r>
            <w:r w:rsidR="0074635F">
              <w:t xml:space="preserve"> are self-insured</w:t>
            </w:r>
            <w:r>
              <w:t>)</w:t>
            </w:r>
          </w:p>
          <w:p w14:paraId="0360DAB6" w14:textId="4F718E2F" w:rsidR="00856236" w:rsidRPr="002233A7" w:rsidRDefault="00856236" w:rsidP="00292A53">
            <w:pPr>
              <w:pStyle w:val="lgetabletxt"/>
              <w:spacing w:after="60" w:afterAutospacing="0"/>
            </w:pPr>
            <w:r>
              <w:t>0.</w:t>
            </w:r>
            <w:r w:rsidR="0074635F">
              <w:t>883</w:t>
            </w:r>
            <w:r>
              <w:t xml:space="preserve"> Combined primary and secondary education</w:t>
            </w:r>
          </w:p>
        </w:tc>
        <w:tc>
          <w:tcPr>
            <w:tcW w:w="1933" w:type="dxa"/>
            <w:shd w:val="clear" w:color="auto" w:fill="FFC9C9"/>
            <w:tcMar>
              <w:top w:w="80" w:type="dxa"/>
              <w:left w:w="80" w:type="dxa"/>
              <w:bottom w:w="80" w:type="dxa"/>
              <w:right w:w="80" w:type="dxa"/>
            </w:tcMar>
          </w:tcPr>
          <w:p w14:paraId="35B33243" w14:textId="56F2E7B5" w:rsidR="00856236" w:rsidRPr="002233A7" w:rsidRDefault="00856236" w:rsidP="00292A53">
            <w:pPr>
              <w:pStyle w:val="lgetabletxt"/>
              <w:spacing w:after="60" w:afterAutospacing="0"/>
            </w:pPr>
            <w:r w:rsidRPr="00CF7156">
              <w:t>1.</w:t>
            </w:r>
            <w:r w:rsidR="000D7DD3">
              <w:t>27</w:t>
            </w:r>
            <w:r w:rsidRPr="00CF7156">
              <w:t xml:space="preserve"> (Secondary education — no distinction is made between </w:t>
            </w:r>
            <w:r w:rsidR="008F2092">
              <w:t>private and government schools)</w:t>
            </w:r>
          </w:p>
        </w:tc>
        <w:tc>
          <w:tcPr>
            <w:tcW w:w="1933" w:type="dxa"/>
            <w:shd w:val="clear" w:color="auto" w:fill="FFC9C9"/>
            <w:tcMar>
              <w:top w:w="80" w:type="dxa"/>
              <w:left w:w="80" w:type="dxa"/>
              <w:bottom w:w="80" w:type="dxa"/>
              <w:right w:w="80" w:type="dxa"/>
            </w:tcMar>
          </w:tcPr>
          <w:p w14:paraId="369C0C62" w14:textId="59F64368" w:rsidR="00856236" w:rsidRPr="002233A7" w:rsidRDefault="000F71B7" w:rsidP="00292A53">
            <w:pPr>
              <w:pStyle w:val="lgetabletxt"/>
              <w:spacing w:after="60" w:afterAutospacing="0"/>
            </w:pPr>
            <w:r w:rsidRPr="000F71B7">
              <w:t xml:space="preserve">0.25 (Secondary education — no distinction is made between </w:t>
            </w:r>
            <w:r w:rsidR="008F2092">
              <w:t>private and government schools)</w:t>
            </w:r>
          </w:p>
        </w:tc>
      </w:tr>
      <w:tr w:rsidR="00856236" w:rsidRPr="002233A7" w14:paraId="3369CA63" w14:textId="77777777" w:rsidTr="000F44BC">
        <w:tc>
          <w:tcPr>
            <w:tcW w:w="1485" w:type="dxa"/>
            <w:tcMar>
              <w:top w:w="80" w:type="dxa"/>
              <w:left w:w="80" w:type="dxa"/>
              <w:bottom w:w="80" w:type="dxa"/>
              <w:right w:w="80" w:type="dxa"/>
            </w:tcMar>
          </w:tcPr>
          <w:p w14:paraId="108BB79E" w14:textId="03D17F93" w:rsidR="00856236" w:rsidRPr="002233A7" w:rsidRDefault="00856236" w:rsidP="00292A53">
            <w:pPr>
              <w:pStyle w:val="TableColumn1bold"/>
              <w:spacing w:after="60"/>
            </w:pPr>
            <w:r w:rsidRPr="002233A7">
              <w:t>Secondary schools — government</w:t>
            </w:r>
          </w:p>
        </w:tc>
        <w:tc>
          <w:tcPr>
            <w:tcW w:w="1932" w:type="dxa"/>
            <w:tcMar>
              <w:top w:w="80" w:type="dxa"/>
              <w:left w:w="80" w:type="dxa"/>
              <w:bottom w:w="80" w:type="dxa"/>
              <w:right w:w="80" w:type="dxa"/>
            </w:tcMar>
          </w:tcPr>
          <w:p w14:paraId="5B0FEDA1" w14:textId="5784D561" w:rsidR="00856236" w:rsidRPr="002233A7" w:rsidRDefault="00856236" w:rsidP="00292A53">
            <w:pPr>
              <w:pStyle w:val="lgetabletxt"/>
              <w:spacing w:after="60" w:afterAutospacing="0"/>
            </w:pPr>
            <w:r w:rsidRPr="00EE5693">
              <w:t>Not Available</w:t>
            </w:r>
          </w:p>
        </w:tc>
        <w:tc>
          <w:tcPr>
            <w:tcW w:w="1933" w:type="dxa"/>
            <w:tcMar>
              <w:top w:w="80" w:type="dxa"/>
              <w:left w:w="80" w:type="dxa"/>
              <w:bottom w:w="80" w:type="dxa"/>
              <w:right w:w="80" w:type="dxa"/>
            </w:tcMar>
          </w:tcPr>
          <w:p w14:paraId="0D1C3366" w14:textId="7730859A" w:rsidR="00856236" w:rsidRPr="002233A7" w:rsidRDefault="00856236" w:rsidP="003C77F4">
            <w:pPr>
              <w:pStyle w:val="lgetabletxt"/>
              <w:spacing w:after="60" w:afterAutospacing="0"/>
            </w:pPr>
            <w:r w:rsidRPr="00971587">
              <w:t>1.2</w:t>
            </w:r>
            <w:r w:rsidR="003C77F4">
              <w:t>14</w:t>
            </w:r>
          </w:p>
        </w:tc>
        <w:tc>
          <w:tcPr>
            <w:tcW w:w="1933" w:type="dxa"/>
            <w:tcMar>
              <w:top w:w="80" w:type="dxa"/>
              <w:left w:w="80" w:type="dxa"/>
              <w:bottom w:w="80" w:type="dxa"/>
              <w:right w:w="80" w:type="dxa"/>
            </w:tcMar>
          </w:tcPr>
          <w:p w14:paraId="0DEC97D7" w14:textId="22721C3F" w:rsidR="00856236" w:rsidRPr="002233A7" w:rsidRDefault="00856236" w:rsidP="00292A53">
            <w:pPr>
              <w:pStyle w:val="lgetabletxt"/>
              <w:spacing w:after="60" w:afterAutospacing="0"/>
            </w:pPr>
            <w:r w:rsidRPr="00B2504E">
              <w:t>0.82</w:t>
            </w:r>
            <w:r w:rsidR="00F165CF">
              <w:t>5</w:t>
            </w:r>
            <w:r w:rsidRPr="00B2504E">
              <w:t xml:space="preserve"> (No distinction is made between </w:t>
            </w:r>
            <w:r w:rsidR="008F2092">
              <w:t>private and government schools)</w:t>
            </w:r>
          </w:p>
        </w:tc>
        <w:tc>
          <w:tcPr>
            <w:tcW w:w="1933" w:type="dxa"/>
            <w:tcMar>
              <w:top w:w="80" w:type="dxa"/>
              <w:left w:w="80" w:type="dxa"/>
              <w:bottom w:w="80" w:type="dxa"/>
              <w:right w:w="80" w:type="dxa"/>
            </w:tcMar>
          </w:tcPr>
          <w:p w14:paraId="4889C708" w14:textId="73B8E3F4" w:rsidR="00856236" w:rsidRPr="002233A7" w:rsidRDefault="00856236" w:rsidP="0088184F">
            <w:pPr>
              <w:pStyle w:val="lgetabletxt"/>
              <w:spacing w:after="60" w:afterAutospacing="0"/>
            </w:pPr>
            <w:r w:rsidRPr="00015428">
              <w:t>0.</w:t>
            </w:r>
            <w:r w:rsidR="0088184F">
              <w:t>90</w:t>
            </w:r>
            <w:r w:rsidR="0088184F" w:rsidRPr="00015428">
              <w:t xml:space="preserve"> </w:t>
            </w:r>
            <w:r w:rsidRPr="00015428">
              <w:t xml:space="preserve">(No distinction is made between </w:t>
            </w:r>
            <w:r w:rsidR="008F2092">
              <w:t>private and government schools)</w:t>
            </w:r>
          </w:p>
        </w:tc>
        <w:tc>
          <w:tcPr>
            <w:tcW w:w="1933" w:type="dxa"/>
            <w:tcMar>
              <w:top w:w="80" w:type="dxa"/>
              <w:left w:w="80" w:type="dxa"/>
              <w:bottom w:w="80" w:type="dxa"/>
              <w:right w:w="80" w:type="dxa"/>
            </w:tcMar>
          </w:tcPr>
          <w:p w14:paraId="296EF435" w14:textId="448B389C" w:rsidR="00856236" w:rsidRPr="002233A7" w:rsidRDefault="0074635F" w:rsidP="00292A53">
            <w:pPr>
              <w:pStyle w:val="lgetabletxt"/>
              <w:spacing w:after="60" w:afterAutospacing="0"/>
            </w:pPr>
            <w:r>
              <w:t>See above.</w:t>
            </w:r>
          </w:p>
        </w:tc>
        <w:tc>
          <w:tcPr>
            <w:tcW w:w="1933" w:type="dxa"/>
            <w:tcMar>
              <w:top w:w="80" w:type="dxa"/>
              <w:left w:w="80" w:type="dxa"/>
              <w:bottom w:w="80" w:type="dxa"/>
              <w:right w:w="80" w:type="dxa"/>
            </w:tcMar>
          </w:tcPr>
          <w:p w14:paraId="209B65BB" w14:textId="3BF00EFD" w:rsidR="00856236" w:rsidRPr="002233A7" w:rsidRDefault="00856236" w:rsidP="00292A53">
            <w:pPr>
              <w:pStyle w:val="lgetabletxt"/>
              <w:spacing w:after="60" w:afterAutospacing="0"/>
            </w:pPr>
            <w:r>
              <w:t>1.</w:t>
            </w:r>
            <w:r w:rsidR="000D7DD3">
              <w:t>27</w:t>
            </w:r>
            <w:r>
              <w:t xml:space="preserve"> </w:t>
            </w:r>
            <w:r w:rsidRPr="00CF7156">
              <w:t xml:space="preserve">(Secondary education — no distinction is made between </w:t>
            </w:r>
            <w:r w:rsidR="008F2092">
              <w:t>private and government schools)</w:t>
            </w:r>
          </w:p>
        </w:tc>
        <w:tc>
          <w:tcPr>
            <w:tcW w:w="1933" w:type="dxa"/>
            <w:tcMar>
              <w:top w:w="80" w:type="dxa"/>
              <w:left w:w="80" w:type="dxa"/>
              <w:bottom w:w="80" w:type="dxa"/>
              <w:right w:w="80" w:type="dxa"/>
            </w:tcMar>
          </w:tcPr>
          <w:p w14:paraId="049A6D8F" w14:textId="3A47AB4D" w:rsidR="00856236" w:rsidRPr="002233A7" w:rsidRDefault="000F71B7" w:rsidP="00292A53">
            <w:pPr>
              <w:pStyle w:val="lgetabletxt"/>
              <w:spacing w:after="60" w:afterAutospacing="0"/>
            </w:pPr>
            <w:r w:rsidRPr="000F71B7">
              <w:t xml:space="preserve">0.25 (Secondary education — no distinction is made between </w:t>
            </w:r>
            <w:r w:rsidR="008F2092">
              <w:t>private and government schools)</w:t>
            </w:r>
          </w:p>
        </w:tc>
      </w:tr>
      <w:bookmarkEnd w:id="250"/>
      <w:bookmarkEnd w:id="251"/>
    </w:tbl>
    <w:p w14:paraId="3AE45250" w14:textId="77777777" w:rsidR="00851CCB" w:rsidRPr="00851CCB" w:rsidRDefault="00851CCB" w:rsidP="00851CCB">
      <w:pPr>
        <w:rPr>
          <w:sz w:val="16"/>
        </w:rPr>
      </w:pPr>
    </w:p>
    <w:p w14:paraId="67689ABA" w14:textId="4A3832F4" w:rsidR="00851CCB" w:rsidRDefault="00851CCB" w:rsidP="00F839DB">
      <w:pPr>
        <w:pStyle w:val="ListParagraph"/>
        <w:numPr>
          <w:ilvl w:val="0"/>
          <w:numId w:val="531"/>
        </w:numPr>
        <w:rPr>
          <w:sz w:val="16"/>
        </w:rPr>
      </w:pPr>
      <w:r>
        <w:rPr>
          <w:sz w:val="16"/>
        </w:rPr>
        <w:t>New South Wales — Rates have not been publicly disclosed since the 1 September 2015 reforms to separate the workers compensation regulatory and insurance functions between the newly created statutory agencies, State Insurance Regulatory Authority and Insurance and Care NSW.</w:t>
      </w:r>
    </w:p>
    <w:p w14:paraId="7C85FDB8" w14:textId="6979240B" w:rsidR="00856236" w:rsidRPr="006C5F8F" w:rsidRDefault="00856236" w:rsidP="00F839DB">
      <w:pPr>
        <w:pStyle w:val="ListParagraph"/>
        <w:numPr>
          <w:ilvl w:val="0"/>
          <w:numId w:val="531"/>
        </w:numPr>
        <w:rPr>
          <w:sz w:val="16"/>
        </w:rPr>
      </w:pPr>
      <w:r w:rsidRPr="006C5F8F">
        <w:rPr>
          <w:sz w:val="16"/>
        </w:rPr>
        <w:t>Victoria — All rates exclude GST</w:t>
      </w:r>
    </w:p>
    <w:p w14:paraId="3B63802B" w14:textId="77777777" w:rsidR="00856236" w:rsidRPr="006C5F8F" w:rsidRDefault="00856236" w:rsidP="00F839DB">
      <w:pPr>
        <w:pStyle w:val="ListParagraph"/>
        <w:numPr>
          <w:ilvl w:val="0"/>
          <w:numId w:val="531"/>
        </w:numPr>
        <w:rPr>
          <w:sz w:val="16"/>
        </w:rPr>
      </w:pPr>
      <w:r w:rsidRPr="006C5F8F">
        <w:rPr>
          <w:sz w:val="16"/>
        </w:rPr>
        <w:t>Queensland — Published rates exclude stamp-duty and GST. Average premium rates include stamp-duty and exclude GST.</w:t>
      </w:r>
    </w:p>
    <w:p w14:paraId="7338C311" w14:textId="1A128F7D" w:rsidR="00856236" w:rsidRPr="006C5F8F" w:rsidRDefault="00856236" w:rsidP="00F839DB">
      <w:pPr>
        <w:pStyle w:val="ListParagraph"/>
        <w:numPr>
          <w:ilvl w:val="0"/>
          <w:numId w:val="531"/>
        </w:numPr>
        <w:rPr>
          <w:sz w:val="16"/>
        </w:rPr>
      </w:pPr>
      <w:r w:rsidRPr="006C5F8F">
        <w:rPr>
          <w:sz w:val="16"/>
        </w:rPr>
        <w:t>W</w:t>
      </w:r>
      <w:r w:rsidR="00DC5A5A">
        <w:rPr>
          <w:sz w:val="16"/>
        </w:rPr>
        <w:t xml:space="preserve">estern </w:t>
      </w:r>
      <w:r w:rsidRPr="006C5F8F">
        <w:rPr>
          <w:sz w:val="16"/>
        </w:rPr>
        <w:t>A</w:t>
      </w:r>
      <w:r w:rsidR="00DC5A5A">
        <w:rPr>
          <w:sz w:val="16"/>
        </w:rPr>
        <w:t>ustralia</w:t>
      </w:r>
      <w:r w:rsidRPr="006C5F8F">
        <w:rPr>
          <w:sz w:val="16"/>
        </w:rPr>
        <w:t xml:space="preserve"> — All published premium rates are exclusive of GST.</w:t>
      </w:r>
    </w:p>
    <w:p w14:paraId="63A04E06" w14:textId="5DDF5266" w:rsidR="00856236" w:rsidRPr="006C5F8F" w:rsidRDefault="00856236" w:rsidP="00F839DB">
      <w:pPr>
        <w:pStyle w:val="ListParagraph"/>
        <w:numPr>
          <w:ilvl w:val="0"/>
          <w:numId w:val="531"/>
        </w:numPr>
        <w:rPr>
          <w:sz w:val="16"/>
        </w:rPr>
      </w:pPr>
      <w:r w:rsidRPr="006C5F8F">
        <w:rPr>
          <w:sz w:val="16"/>
        </w:rPr>
        <w:t>S</w:t>
      </w:r>
      <w:r w:rsidR="00DC5A5A">
        <w:rPr>
          <w:sz w:val="16"/>
        </w:rPr>
        <w:t xml:space="preserve">outh </w:t>
      </w:r>
      <w:r w:rsidRPr="006C5F8F">
        <w:rPr>
          <w:sz w:val="16"/>
        </w:rPr>
        <w:t>A</w:t>
      </w:r>
      <w:r w:rsidR="00DC5A5A">
        <w:rPr>
          <w:sz w:val="16"/>
        </w:rPr>
        <w:t>ustralia</w:t>
      </w:r>
      <w:r w:rsidRPr="006C5F8F">
        <w:rPr>
          <w:sz w:val="16"/>
        </w:rPr>
        <w:t xml:space="preserve"> — all listed rates are exclusive of GST. All other listed rates include GST and The New Tax System effects.</w:t>
      </w:r>
    </w:p>
    <w:p w14:paraId="17DE16EC" w14:textId="77777777" w:rsidR="00856236" w:rsidRPr="006C5F8F" w:rsidRDefault="00856236" w:rsidP="00F839DB">
      <w:pPr>
        <w:pStyle w:val="ListParagraph"/>
        <w:numPr>
          <w:ilvl w:val="0"/>
          <w:numId w:val="531"/>
        </w:numPr>
        <w:rPr>
          <w:sz w:val="16"/>
        </w:rPr>
        <w:sectPr w:rsidR="00856236" w:rsidRPr="006C5F8F" w:rsidSect="00BC09D4">
          <w:pgSz w:w="16838" w:h="11906" w:orient="landscape"/>
          <w:pgMar w:top="249" w:right="567" w:bottom="249" w:left="624" w:header="709" w:footer="709" w:gutter="0"/>
          <w:cols w:space="708"/>
          <w:docGrid w:linePitch="360"/>
        </w:sectPr>
      </w:pPr>
      <w:r w:rsidRPr="006C5F8F">
        <w:rPr>
          <w:sz w:val="16"/>
        </w:rPr>
        <w:t>New Zealand — All published levy rates are exclusive of GST and excludes residual levy.</w:t>
      </w:r>
    </w:p>
    <w:p w14:paraId="3E220DF0" w14:textId="71AAE97A" w:rsidR="00C66972" w:rsidRPr="00205CCE" w:rsidRDefault="00C66972" w:rsidP="00205CCE">
      <w:pPr>
        <w:pStyle w:val="Title"/>
      </w:pPr>
      <w:bookmarkStart w:id="252" w:name="_Toc483227203"/>
      <w:bookmarkStart w:id="253" w:name="_Toc504654730"/>
      <w:bookmarkStart w:id="254" w:name="rates"/>
      <w:r w:rsidRPr="00205CCE">
        <w:lastRenderedPageBreak/>
        <w:t>Premium setting: Notes relating to the industry rates comparison table</w:t>
      </w:r>
      <w:bookmarkEnd w:id="252"/>
      <w:bookmarkEnd w:id="253"/>
      <w:r w:rsidRPr="00205CCE">
        <w:t xml:space="preserve"> </w:t>
      </w:r>
      <w:r w:rsidR="0025506E" w:rsidRPr="00205CCE">
        <w:fldChar w:fldCharType="begin"/>
      </w:r>
      <w:r w:rsidR="0025506E" w:rsidRPr="00205CCE">
        <w:instrText xml:space="preserve"> XE "experience-rated premium rates" \r "rates" </w:instrText>
      </w:r>
      <w:r w:rsidR="0025506E" w:rsidRPr="00205CCE">
        <w:fldChar w:fldCharType="end"/>
      </w:r>
    </w:p>
    <w:p w14:paraId="3220A28B" w14:textId="77777777" w:rsidR="006A50D4" w:rsidRDefault="00C66972" w:rsidP="00DA4626">
      <w:pPr>
        <w:spacing w:before="240"/>
        <w:rPr>
          <w:rFonts w:eastAsiaTheme="minorHAnsi"/>
        </w:rPr>
      </w:pPr>
      <w:r w:rsidRPr="00C66972">
        <w:rPr>
          <w:rFonts w:eastAsiaTheme="minorHAnsi"/>
        </w:rPr>
        <w:t>As it is difficult to make exact comparisons between the states and territories, the following qualifications should be noted:</w:t>
      </w:r>
    </w:p>
    <w:p w14:paraId="586A5421" w14:textId="4D7C3C43" w:rsidR="00C66972" w:rsidRPr="006C5F8F" w:rsidRDefault="00C66972" w:rsidP="00F839DB">
      <w:pPr>
        <w:pStyle w:val="ListParagraph"/>
        <w:numPr>
          <w:ilvl w:val="0"/>
          <w:numId w:val="488"/>
        </w:numPr>
        <w:rPr>
          <w:rFonts w:eastAsiaTheme="minorHAnsi"/>
        </w:rPr>
      </w:pPr>
      <w:r w:rsidRPr="006C5F8F">
        <w:rPr>
          <w:rFonts w:eastAsiaTheme="minorHAnsi"/>
        </w:rPr>
        <w:t>Industry classifications</w:t>
      </w:r>
      <w:r w:rsidR="005E71F1" w:rsidRPr="006C5F8F">
        <w:rPr>
          <w:rFonts w:eastAsiaTheme="minorHAnsi"/>
        </w:rPr>
        <w:fldChar w:fldCharType="begin"/>
      </w:r>
      <w:r w:rsidR="005E71F1">
        <w:instrText xml:space="preserve"> XE "</w:instrText>
      </w:r>
      <w:r w:rsidR="005E71F1" w:rsidRPr="001854C8">
        <w:instrText>industry classifications</w:instrText>
      </w:r>
      <w:r w:rsidR="005E71F1">
        <w:instrText xml:space="preserve">" </w:instrText>
      </w:r>
      <w:r w:rsidR="005E71F1" w:rsidRPr="006C5F8F">
        <w:rPr>
          <w:rFonts w:eastAsiaTheme="minorHAnsi"/>
        </w:rPr>
        <w:fldChar w:fldCharType="end"/>
      </w:r>
      <w:r w:rsidRPr="006C5F8F">
        <w:rPr>
          <w:rFonts w:eastAsiaTheme="minorHAnsi"/>
        </w:rPr>
        <w:t xml:space="preserve"> vary from jurisdiction to jurisdiction. </w:t>
      </w:r>
    </w:p>
    <w:p w14:paraId="022A6436" w14:textId="77777777" w:rsidR="00C66972" w:rsidRPr="006C5F8F" w:rsidRDefault="00C66972" w:rsidP="00F839DB">
      <w:pPr>
        <w:pStyle w:val="ListParagraph"/>
        <w:numPr>
          <w:ilvl w:val="0"/>
          <w:numId w:val="488"/>
        </w:numPr>
        <w:rPr>
          <w:rFonts w:eastAsiaTheme="minorHAnsi"/>
        </w:rPr>
      </w:pPr>
      <w:r w:rsidRPr="006C5F8F">
        <w:rPr>
          <w:rFonts w:eastAsiaTheme="minorHAnsi"/>
        </w:rPr>
        <w:t xml:space="preserve">On 1 July 2010, WorkCover Queensland moved from ANZSIC 1993 to ANZSIC 2006 to better reflect the evolution of technology and changes in industry during that period. </w:t>
      </w:r>
      <w:hyperlink r:id="rId2193" w:history="1">
        <w:r w:rsidRPr="006C5F8F">
          <w:rPr>
            <w:rStyle w:val="Hyperlink"/>
            <w:rFonts w:eastAsiaTheme="minorHAnsi"/>
          </w:rPr>
          <w:t>Current rates are published by Gazette notice</w:t>
        </w:r>
      </w:hyperlink>
      <w:r w:rsidRPr="006C5F8F">
        <w:rPr>
          <w:rFonts w:eastAsiaTheme="minorHAnsi"/>
        </w:rPr>
        <w:t>.</w:t>
      </w:r>
    </w:p>
    <w:p w14:paraId="2F532683" w14:textId="77777777" w:rsidR="00C66972" w:rsidRPr="006C5F8F" w:rsidRDefault="00C66972" w:rsidP="00F839DB">
      <w:pPr>
        <w:pStyle w:val="ListParagraph"/>
        <w:numPr>
          <w:ilvl w:val="0"/>
          <w:numId w:val="488"/>
        </w:numPr>
        <w:rPr>
          <w:rFonts w:eastAsiaTheme="minorHAnsi"/>
        </w:rPr>
      </w:pPr>
      <w:r w:rsidRPr="006C5F8F">
        <w:rPr>
          <w:rFonts w:eastAsiaTheme="minorHAnsi"/>
        </w:rPr>
        <w:t>On 1 July 2011, Victoria introduced an industry classification system based on ANZSIC 2006 to better reflect the evolution of technology and changes in industry. Current rates are published by Gazette notice.</w:t>
      </w:r>
    </w:p>
    <w:p w14:paraId="23F94097" w14:textId="58DA471B" w:rsidR="00C66972" w:rsidRPr="006C5F8F" w:rsidRDefault="00C66972" w:rsidP="00F839DB">
      <w:pPr>
        <w:pStyle w:val="ListParagraph"/>
        <w:numPr>
          <w:ilvl w:val="0"/>
          <w:numId w:val="488"/>
        </w:numPr>
        <w:rPr>
          <w:rFonts w:eastAsiaTheme="minorHAnsi"/>
        </w:rPr>
      </w:pPr>
      <w:r w:rsidRPr="006C5F8F">
        <w:rPr>
          <w:rFonts w:eastAsiaTheme="minorHAnsi"/>
        </w:rPr>
        <w:t>The A</w:t>
      </w:r>
      <w:r w:rsidR="00F329AE">
        <w:rPr>
          <w:rFonts w:eastAsiaTheme="minorHAnsi"/>
        </w:rPr>
        <w:t xml:space="preserve">ustralian </w:t>
      </w:r>
      <w:r w:rsidRPr="006C5F8F">
        <w:rPr>
          <w:rFonts w:eastAsiaTheme="minorHAnsi"/>
        </w:rPr>
        <w:t>C</w:t>
      </w:r>
      <w:r w:rsidR="00F329AE">
        <w:rPr>
          <w:rFonts w:eastAsiaTheme="minorHAnsi"/>
        </w:rPr>
        <w:t xml:space="preserve">apital </w:t>
      </w:r>
      <w:r w:rsidRPr="006C5F8F">
        <w:rPr>
          <w:rFonts w:eastAsiaTheme="minorHAnsi"/>
        </w:rPr>
        <w:t>T</w:t>
      </w:r>
      <w:r w:rsidR="00F329AE">
        <w:rPr>
          <w:rFonts w:eastAsiaTheme="minorHAnsi"/>
        </w:rPr>
        <w:t>erritory</w:t>
      </w:r>
      <w:r w:rsidRPr="006C5F8F">
        <w:rPr>
          <w:rFonts w:eastAsiaTheme="minorHAnsi"/>
        </w:rPr>
        <w:t xml:space="preserve"> publishes</w:t>
      </w:r>
      <w:r w:rsidR="00F20191">
        <w:rPr>
          <w:rFonts w:eastAsiaTheme="minorHAnsi"/>
        </w:rPr>
        <w:t xml:space="preserve"> </w:t>
      </w:r>
      <w:hyperlink r:id="rId2194" w:history="1">
        <w:r w:rsidR="00F20191" w:rsidRPr="00F20191">
          <w:rPr>
            <w:rStyle w:val="Hyperlink"/>
            <w:rFonts w:eastAsiaTheme="minorHAnsi"/>
          </w:rPr>
          <w:t>ACT Workers’ Compensation Scheme Suggested Reasonable Premium Rates — 2017–2018</w:t>
        </w:r>
      </w:hyperlink>
      <w:r w:rsidRPr="006C5F8F">
        <w:rPr>
          <w:rFonts w:eastAsiaTheme="minorHAnsi"/>
        </w:rPr>
        <w:t xml:space="preserve"> which include a comparison from the preceding year based on ANZIC 2006.</w:t>
      </w:r>
    </w:p>
    <w:p w14:paraId="2C2FB8E6" w14:textId="16AC0A8D" w:rsidR="00C66972" w:rsidRPr="006C5F8F" w:rsidRDefault="00C66972" w:rsidP="00F839DB">
      <w:pPr>
        <w:pStyle w:val="ListParagraph"/>
        <w:numPr>
          <w:ilvl w:val="0"/>
          <w:numId w:val="488"/>
        </w:numPr>
        <w:rPr>
          <w:rFonts w:eastAsiaTheme="minorHAnsi"/>
        </w:rPr>
      </w:pPr>
      <w:r w:rsidRPr="006C5F8F">
        <w:rPr>
          <w:rFonts w:eastAsiaTheme="minorHAnsi"/>
        </w:rPr>
        <w:t xml:space="preserve">These actuarially determined rates are released to the community and </w:t>
      </w:r>
      <w:r w:rsidR="00AC483C" w:rsidRPr="006C5F8F">
        <w:rPr>
          <w:rFonts w:eastAsiaTheme="minorHAnsi"/>
        </w:rPr>
        <w:t xml:space="preserve">are </w:t>
      </w:r>
      <w:r w:rsidRPr="006C5F8F">
        <w:rPr>
          <w:rFonts w:eastAsiaTheme="minorHAnsi"/>
        </w:rPr>
        <w:t>provided to the Approved Insurers who underwrite the Scheme to assist in the determination of premium rates for the coming year.</w:t>
      </w:r>
    </w:p>
    <w:p w14:paraId="294AE688" w14:textId="77777777" w:rsidR="00172AC7" w:rsidRDefault="00C66972" w:rsidP="00F839DB">
      <w:pPr>
        <w:pStyle w:val="ListParagraph"/>
        <w:numPr>
          <w:ilvl w:val="0"/>
          <w:numId w:val="488"/>
        </w:numPr>
        <w:rPr>
          <w:rFonts w:eastAsiaTheme="minorHAnsi"/>
        </w:rPr>
      </w:pPr>
      <w:r w:rsidRPr="006C5F8F">
        <w:rPr>
          <w:rFonts w:eastAsiaTheme="minorHAnsi"/>
        </w:rPr>
        <w:t>Levy/Premium category comparisons are done on a ‘best match’ basis and should not be regarded as exact equivalents.</w:t>
      </w:r>
    </w:p>
    <w:p w14:paraId="3359CC29" w14:textId="33284779" w:rsidR="00172AC7" w:rsidRDefault="00C66972" w:rsidP="00DA4626">
      <w:pPr>
        <w:spacing w:before="240"/>
        <w:rPr>
          <w:rFonts w:eastAsiaTheme="minorHAnsi"/>
        </w:rPr>
      </w:pPr>
      <w:r w:rsidRPr="00C66972">
        <w:rPr>
          <w:rFonts w:eastAsiaTheme="minorHAnsi"/>
        </w:rPr>
        <w:t>The number of self-insurers varies across the different jurisdictions. Both S</w:t>
      </w:r>
      <w:r w:rsidR="00F329AE">
        <w:rPr>
          <w:rFonts w:eastAsiaTheme="minorHAnsi"/>
        </w:rPr>
        <w:t xml:space="preserve">outh </w:t>
      </w:r>
      <w:r w:rsidRPr="00C66972">
        <w:rPr>
          <w:rFonts w:eastAsiaTheme="minorHAnsi"/>
        </w:rPr>
        <w:t>A</w:t>
      </w:r>
      <w:r w:rsidR="00F329AE">
        <w:rPr>
          <w:rFonts w:eastAsiaTheme="minorHAnsi"/>
        </w:rPr>
        <w:t>ustralia</w:t>
      </w:r>
      <w:r w:rsidRPr="00C66972">
        <w:rPr>
          <w:rFonts w:eastAsiaTheme="minorHAnsi"/>
        </w:rPr>
        <w:t xml:space="preserve"> and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have large numbers of self-insurers, which means that the proportion of workers centrally covered by these schemes is lower than in some other jurisdictions. For the number of self-insurers in each jurisdiction see Table 6.1.</w:t>
      </w:r>
    </w:p>
    <w:p w14:paraId="105CB873" w14:textId="46EEC737" w:rsidR="00172AC7" w:rsidRDefault="00C66972" w:rsidP="00DA4626">
      <w:pPr>
        <w:spacing w:before="240"/>
        <w:rPr>
          <w:rFonts w:eastAsiaTheme="minorHAnsi"/>
        </w:rPr>
      </w:pPr>
      <w:r w:rsidRPr="00C66972">
        <w:rPr>
          <w:rFonts w:eastAsiaTheme="minorHAnsi"/>
        </w:rPr>
        <w:t>In some jurisdictions, particular industries traditionally have been excluded from the central system. For example, in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the coal industry</w:t>
      </w:r>
      <w:r w:rsidR="00C44D5D">
        <w:rPr>
          <w:rFonts w:eastAsiaTheme="minorHAnsi"/>
        </w:rPr>
        <w:fldChar w:fldCharType="begin"/>
      </w:r>
      <w:r w:rsidR="00C44D5D">
        <w:instrText xml:space="preserve"> XE "</w:instrText>
      </w:r>
      <w:r w:rsidR="00C44D5D" w:rsidRPr="004F5D46">
        <w:instrText>coal industry (NSW)</w:instrText>
      </w:r>
      <w:r w:rsidR="00C44D5D">
        <w:instrText xml:space="preserve">" </w:instrText>
      </w:r>
      <w:r w:rsidR="00C44D5D">
        <w:rPr>
          <w:rFonts w:eastAsiaTheme="minorHAnsi"/>
        </w:rPr>
        <w:fldChar w:fldCharType="end"/>
      </w:r>
      <w:r w:rsidRPr="00C66972">
        <w:rPr>
          <w:rFonts w:eastAsiaTheme="minorHAnsi"/>
        </w:rPr>
        <w:t xml:space="preserve"> is excluded. </w:t>
      </w:r>
    </w:p>
    <w:p w14:paraId="7E9891CD" w14:textId="21C49C4F" w:rsidR="00172AC7" w:rsidRDefault="00C66972" w:rsidP="00DA4626">
      <w:pPr>
        <w:spacing w:before="240"/>
        <w:rPr>
          <w:rFonts w:eastAsiaTheme="minorHAnsi"/>
        </w:rPr>
      </w:pPr>
      <w:r w:rsidRPr="00C66972">
        <w:rPr>
          <w:rFonts w:eastAsiaTheme="minorHAnsi"/>
        </w:rPr>
        <w:t>Charges in addition to the workers’ compensation premium may be levied in some jurisdictions. An example is the Dust Diseases</w:t>
      </w:r>
      <w:r w:rsidR="00C7036A">
        <w:rPr>
          <w:rFonts w:eastAsiaTheme="minorHAnsi"/>
        </w:rPr>
        <w:fldChar w:fldCharType="begin"/>
      </w:r>
      <w:r w:rsidR="00C7036A">
        <w:instrText xml:space="preserve"> XE "</w:instrText>
      </w:r>
      <w:r w:rsidR="00C7036A" w:rsidRPr="001854C8">
        <w:instrText>dust diseases</w:instrText>
      </w:r>
      <w:r w:rsidR="00C7036A">
        <w:instrText xml:space="preserve">" </w:instrText>
      </w:r>
      <w:r w:rsidR="00C7036A">
        <w:rPr>
          <w:rFonts w:eastAsiaTheme="minorHAnsi"/>
        </w:rPr>
        <w:fldChar w:fldCharType="end"/>
      </w:r>
      <w:r w:rsidRPr="00C66972">
        <w:rPr>
          <w:rFonts w:eastAsiaTheme="minorHAnsi"/>
        </w:rPr>
        <w:t xml:space="preserve"> levy in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which is levied on employers under the </w:t>
      </w:r>
      <w:r w:rsidRPr="007239A5">
        <w:rPr>
          <w:rFonts w:eastAsiaTheme="minorHAnsi"/>
          <w:i/>
        </w:rPr>
        <w:t>Workers’ Compensation (Dust Diseases) Act 1942</w:t>
      </w:r>
      <w:r w:rsidRPr="00C66972">
        <w:rPr>
          <w:rFonts w:eastAsiaTheme="minorHAnsi"/>
        </w:rPr>
        <w:t xml:space="preserve"> to fund compensation to people who contract a dust disease including asbestosis and silicosis</w:t>
      </w:r>
      <w:r w:rsidR="007E7520">
        <w:rPr>
          <w:rFonts w:eastAsiaTheme="minorHAnsi"/>
        </w:rPr>
        <w:fldChar w:fldCharType="begin"/>
      </w:r>
      <w:r w:rsidR="007E7520">
        <w:instrText xml:space="preserve"> XE "</w:instrText>
      </w:r>
      <w:r w:rsidR="007E7520" w:rsidRPr="001854C8">
        <w:instrText>silicosis</w:instrText>
      </w:r>
      <w:r w:rsidR="007E7520">
        <w:instrText xml:space="preserve">" </w:instrText>
      </w:r>
      <w:r w:rsidR="007E7520">
        <w:rPr>
          <w:rFonts w:eastAsiaTheme="minorHAnsi"/>
        </w:rPr>
        <w:fldChar w:fldCharType="end"/>
      </w:r>
      <w:r w:rsidRPr="00C66972">
        <w:rPr>
          <w:rFonts w:eastAsiaTheme="minorHAnsi"/>
        </w:rPr>
        <w:t>, and to their dependants. Employers engaged in the mining industry</w:t>
      </w:r>
      <w:r w:rsidR="003B3E5B">
        <w:rPr>
          <w:rFonts w:eastAsiaTheme="minorHAnsi"/>
        </w:rPr>
        <w:fldChar w:fldCharType="begin"/>
      </w:r>
      <w:r w:rsidR="003B3E5B">
        <w:instrText xml:space="preserve"> XE "</w:instrText>
      </w:r>
      <w:r w:rsidR="003B3E5B" w:rsidRPr="001854C8">
        <w:instrText>mining industry (NSW)</w:instrText>
      </w:r>
      <w:r w:rsidR="003B3E5B">
        <w:instrText xml:space="preserve">" </w:instrText>
      </w:r>
      <w:r w:rsidR="003B3E5B">
        <w:rPr>
          <w:rFonts w:eastAsiaTheme="minorHAnsi"/>
        </w:rPr>
        <w:fldChar w:fldCharType="end"/>
      </w:r>
      <w:r w:rsidRPr="00C66972">
        <w:rPr>
          <w:rFonts w:eastAsiaTheme="minorHAnsi"/>
        </w:rPr>
        <w:t xml:space="preserve"> in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also pay a contribution to the Mine Safety Fund</w:t>
      </w:r>
      <w:r w:rsidR="003B3E5B">
        <w:rPr>
          <w:rFonts w:eastAsiaTheme="minorHAnsi"/>
        </w:rPr>
        <w:fldChar w:fldCharType="begin"/>
      </w:r>
      <w:r w:rsidR="003B3E5B">
        <w:instrText xml:space="preserve"> XE "</w:instrText>
      </w:r>
      <w:r w:rsidR="003B3E5B" w:rsidRPr="001854C8">
        <w:instrText>Mine Safety Fund</w:instrText>
      </w:r>
      <w:r w:rsidR="003B3E5B">
        <w:instrText xml:space="preserve">" </w:instrText>
      </w:r>
      <w:r w:rsidR="003B3E5B">
        <w:rPr>
          <w:rFonts w:eastAsiaTheme="minorHAnsi"/>
        </w:rPr>
        <w:fldChar w:fldCharType="end"/>
      </w:r>
      <w:r w:rsidRPr="00C66972">
        <w:rPr>
          <w:rFonts w:eastAsiaTheme="minorHAnsi"/>
        </w:rPr>
        <w:t xml:space="preserve">, established under the </w:t>
      </w:r>
      <w:hyperlink r:id="rId2195" w:history="1">
        <w:r w:rsidRPr="00C66972">
          <w:rPr>
            <w:rStyle w:val="Hyperlink"/>
            <w:rFonts w:eastAsiaTheme="minorHAnsi"/>
            <w:i/>
          </w:rPr>
          <w:t>Mine Safety (Cost Recovery) Act 2005</w:t>
        </w:r>
      </w:hyperlink>
      <w:r w:rsidRPr="00C66972">
        <w:rPr>
          <w:rFonts w:eastAsiaTheme="minorHAnsi"/>
        </w:rPr>
        <w:t>. This contribution funds the mine safety activities of the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Department of Trade and Investment, Regional Infrastructure and Services. A work health and safety fee is additional to the levy (premium) payable in S</w:t>
      </w:r>
      <w:r w:rsidR="00F329AE">
        <w:rPr>
          <w:rFonts w:eastAsiaTheme="minorHAnsi"/>
        </w:rPr>
        <w:t xml:space="preserve">outh </w:t>
      </w:r>
      <w:r w:rsidRPr="00C66972">
        <w:rPr>
          <w:rFonts w:eastAsiaTheme="minorHAnsi"/>
        </w:rPr>
        <w:t>A</w:t>
      </w:r>
      <w:r w:rsidR="00F329AE">
        <w:rPr>
          <w:rFonts w:eastAsiaTheme="minorHAnsi"/>
        </w:rPr>
        <w:t>ustralia</w:t>
      </w:r>
      <w:r w:rsidRPr="00C66972">
        <w:rPr>
          <w:rFonts w:eastAsiaTheme="minorHAnsi"/>
        </w:rPr>
        <w:t>.</w:t>
      </w:r>
    </w:p>
    <w:p w14:paraId="200C3E0B" w14:textId="501CDEB4" w:rsidR="00C66972" w:rsidRPr="00C66972" w:rsidRDefault="00C66972" w:rsidP="00DA4626">
      <w:pPr>
        <w:spacing w:before="240"/>
        <w:rPr>
          <w:rFonts w:eastAsiaTheme="minorHAnsi"/>
        </w:rPr>
      </w:pPr>
      <w:r w:rsidRPr="00C66972">
        <w:rPr>
          <w:rFonts w:eastAsiaTheme="minorHAnsi"/>
        </w:rPr>
        <w:t>The maximum and minimum figures given for experience-rated premium rates represent the extent to which the published rate may be varied according to the various forms of experience rating based on claims rate in a given period. The following information should be noted relating to experience-rated premium rates.</w:t>
      </w:r>
    </w:p>
    <w:p w14:paraId="14DDA1A2" w14:textId="77777777" w:rsidR="006C5F8F" w:rsidRDefault="00C66972" w:rsidP="00F839DB">
      <w:pPr>
        <w:pStyle w:val="ListParagraph"/>
        <w:numPr>
          <w:ilvl w:val="0"/>
          <w:numId w:val="489"/>
        </w:numPr>
        <w:rPr>
          <w:rFonts w:eastAsiaTheme="minorHAnsi"/>
        </w:rPr>
      </w:pPr>
      <w:r w:rsidRPr="006C5F8F">
        <w:rPr>
          <w:rFonts w:eastAsiaTheme="minorHAnsi"/>
        </w:rPr>
        <w:t>In Victoria it is based on the employer’s remuneration.</w:t>
      </w:r>
    </w:p>
    <w:p w14:paraId="26A29AB1" w14:textId="2800F721" w:rsidR="006C5F8F" w:rsidRDefault="00C66972" w:rsidP="00F839DB">
      <w:pPr>
        <w:pStyle w:val="ListParagraph"/>
        <w:numPr>
          <w:ilvl w:val="0"/>
          <w:numId w:val="489"/>
        </w:numPr>
        <w:rPr>
          <w:rFonts w:eastAsiaTheme="minorHAnsi"/>
        </w:rPr>
      </w:pPr>
      <w:r w:rsidRPr="006C5F8F">
        <w:rPr>
          <w:rFonts w:eastAsiaTheme="minorHAnsi"/>
        </w:rPr>
        <w:t>The extent to which insurance companies may discount or load premiums according to experience may vary. For example, amendments to W</w:t>
      </w:r>
      <w:r w:rsidR="00F329AE">
        <w:rPr>
          <w:rFonts w:eastAsiaTheme="minorHAnsi"/>
        </w:rPr>
        <w:t xml:space="preserve">estern </w:t>
      </w:r>
      <w:r w:rsidRPr="006C5F8F">
        <w:rPr>
          <w:rFonts w:eastAsiaTheme="minorHAnsi"/>
        </w:rPr>
        <w:t>A</w:t>
      </w:r>
      <w:r w:rsidR="00F329AE">
        <w:rPr>
          <w:rFonts w:eastAsiaTheme="minorHAnsi"/>
        </w:rPr>
        <w:t>ustralia</w:t>
      </w:r>
      <w:r w:rsidRPr="006C5F8F">
        <w:rPr>
          <w:rFonts w:eastAsiaTheme="minorHAnsi"/>
        </w:rPr>
        <w:t>’s legislation mean that recommended premium rates can be surcharged up to 75 per cent and with the WorkCover WA Authority’s (Board) approval can be surcharged in excess of 75 per cent. There are no limitations on discounting.</w:t>
      </w:r>
    </w:p>
    <w:p w14:paraId="1215F097" w14:textId="7CBCE65E" w:rsidR="006A50D4" w:rsidRDefault="00C66972" w:rsidP="00F839DB">
      <w:pPr>
        <w:pStyle w:val="ListParagraph"/>
        <w:numPr>
          <w:ilvl w:val="0"/>
          <w:numId w:val="489"/>
        </w:numPr>
        <w:rPr>
          <w:rFonts w:eastAsiaTheme="minorHAnsi"/>
        </w:rPr>
      </w:pPr>
      <w:r w:rsidRPr="006C5F8F">
        <w:rPr>
          <w:rFonts w:eastAsiaTheme="minorHAnsi"/>
        </w:rPr>
        <w:t>Figures given for highest and lowest experience-rated premium rates should be treated with some caution. Those for S</w:t>
      </w:r>
      <w:r w:rsidR="00F329AE">
        <w:rPr>
          <w:rFonts w:eastAsiaTheme="minorHAnsi"/>
        </w:rPr>
        <w:t xml:space="preserve">outh </w:t>
      </w:r>
      <w:r w:rsidRPr="006C5F8F">
        <w:rPr>
          <w:rFonts w:eastAsiaTheme="minorHAnsi"/>
        </w:rPr>
        <w:t>A</w:t>
      </w:r>
      <w:r w:rsidR="00F329AE">
        <w:rPr>
          <w:rFonts w:eastAsiaTheme="minorHAnsi"/>
        </w:rPr>
        <w:t>ustralila</w:t>
      </w:r>
      <w:r w:rsidRPr="006C5F8F">
        <w:rPr>
          <w:rFonts w:eastAsiaTheme="minorHAnsi"/>
        </w:rPr>
        <w:t xml:space="preserve"> represent actual maximums and minimums. New </w:t>
      </w:r>
      <w:r w:rsidRPr="006C5F8F">
        <w:rPr>
          <w:rFonts w:eastAsiaTheme="minorHAnsi"/>
        </w:rPr>
        <w:lastRenderedPageBreak/>
        <w:t xml:space="preserve">Zealand applied an experience rating from 1 April 2011. ReturnToWorkSA applied a mandatory experience rating system for medium and large employers and optional retro-paid loss arrangements for large employers from 1 July 2012. </w:t>
      </w:r>
    </w:p>
    <w:p w14:paraId="5DD8FAC7" w14:textId="77777777" w:rsidR="007A3336" w:rsidRDefault="007A3336" w:rsidP="00205CCE">
      <w:pPr>
        <w:pStyle w:val="Title"/>
      </w:pPr>
      <w:bookmarkStart w:id="255" w:name="_Toc483227204"/>
    </w:p>
    <w:p w14:paraId="68D1022E" w14:textId="44CBDC97" w:rsidR="00C66972" w:rsidRPr="00DA4626" w:rsidRDefault="00C66972" w:rsidP="00205CCE">
      <w:pPr>
        <w:pStyle w:val="Title"/>
      </w:pPr>
      <w:bookmarkStart w:id="256" w:name="_Toc504654731"/>
      <w:r w:rsidRPr="00DA4626">
        <w:t>Calculation of industry rates</w:t>
      </w:r>
      <w:bookmarkEnd w:id="255"/>
      <w:bookmarkEnd w:id="256"/>
      <w:r w:rsidR="003D18DA" w:rsidRPr="00DA4626">
        <w:fldChar w:fldCharType="begin"/>
      </w:r>
      <w:r w:rsidR="003D18DA" w:rsidRPr="00DA4626">
        <w:instrText xml:space="preserve"> XE "premium rates:calculation of industry rates" </w:instrText>
      </w:r>
      <w:r w:rsidR="003D18DA" w:rsidRPr="00DA4626">
        <w:fldChar w:fldCharType="end"/>
      </w:r>
    </w:p>
    <w:p w14:paraId="2ACDA2AF" w14:textId="43FE4611" w:rsidR="006A50D4" w:rsidRDefault="00C66972" w:rsidP="00D844AC">
      <w:pPr>
        <w:rPr>
          <w:rFonts w:eastAsiaTheme="minorHAnsi"/>
        </w:rPr>
      </w:pPr>
      <w:r w:rsidRPr="00C66972">
        <w:rPr>
          <w:rFonts w:eastAsiaTheme="minorHAnsi"/>
        </w:rPr>
        <w:t>Each jurisdiction calculates its industry rates differently. Some calculate certain claims performance elements</w:t>
      </w:r>
      <w:r w:rsidR="00DA4626">
        <w:rPr>
          <w:rFonts w:eastAsiaTheme="minorHAnsi"/>
        </w:rPr>
        <w:t>,</w:t>
      </w:r>
      <w:r w:rsidRPr="00C66972">
        <w:rPr>
          <w:rFonts w:eastAsiaTheme="minorHAnsi"/>
        </w:rPr>
        <w:t xml:space="preserve"> while some other jurisdictions also include current industry premium rates. The N</w:t>
      </w:r>
      <w:r w:rsidR="00DA4626">
        <w:rPr>
          <w:rFonts w:eastAsiaTheme="minorHAnsi"/>
        </w:rPr>
        <w:t xml:space="preserve">orthern </w:t>
      </w:r>
      <w:r w:rsidRPr="00C66972">
        <w:rPr>
          <w:rFonts w:eastAsiaTheme="minorHAnsi"/>
        </w:rPr>
        <w:t>T</w:t>
      </w:r>
      <w:r w:rsidR="00DA4626">
        <w:rPr>
          <w:rFonts w:eastAsiaTheme="minorHAnsi"/>
        </w:rPr>
        <w:t>erritory</w:t>
      </w:r>
      <w:r w:rsidRPr="00C66972">
        <w:rPr>
          <w:rFonts w:eastAsiaTheme="minorHAnsi"/>
        </w:rPr>
        <w:t xml:space="preserve"> does not provide industry premium rates because the legislation gives insurers the power to set their own industry premium rates and these do not have to be gazetted. The information below outlines how each jurisdiction calculates their industry premium rates. </w:t>
      </w:r>
    </w:p>
    <w:p w14:paraId="09FEC8EF" w14:textId="77777777" w:rsidR="006A50D4" w:rsidRPr="00205CCE" w:rsidRDefault="00C66972" w:rsidP="00205CCE">
      <w:pPr>
        <w:pStyle w:val="Heading4"/>
      </w:pPr>
      <w:bookmarkStart w:id="257" w:name="_Toc483227205"/>
      <w:r w:rsidRPr="00205CCE">
        <w:t>Victoria</w:t>
      </w:r>
      <w:bookmarkEnd w:id="257"/>
    </w:p>
    <w:p w14:paraId="57CFF0FE" w14:textId="77777777" w:rsidR="006A50D4" w:rsidRDefault="00C66972" w:rsidP="00D844AC">
      <w:pPr>
        <w:rPr>
          <w:rFonts w:eastAsiaTheme="minorHAnsi"/>
        </w:rPr>
      </w:pPr>
      <w:r w:rsidRPr="00C66972">
        <w:rPr>
          <w:rFonts w:eastAsiaTheme="minorHAnsi"/>
        </w:rPr>
        <w:t>Each industry’s rate is calculated based on claim cost rates and claim frequency rates over a five year period with 12 months of development. The rates are calibrated to achieve the averag</w:t>
      </w:r>
      <w:r w:rsidR="005E71F1">
        <w:rPr>
          <w:rFonts w:eastAsiaTheme="minorHAnsi"/>
        </w:rPr>
        <w:fldChar w:fldCharType="begin"/>
      </w:r>
      <w:r w:rsidR="005E71F1">
        <w:instrText xml:space="preserve"> XE "</w:instrText>
      </w:r>
      <w:r w:rsidR="005E71F1" w:rsidRPr="001854C8">
        <w:instrText>industry premium rates</w:instrText>
      </w:r>
      <w:r w:rsidR="005E71F1">
        <w:instrText xml:space="preserve">" </w:instrText>
      </w:r>
      <w:r w:rsidR="005E71F1">
        <w:rPr>
          <w:rFonts w:eastAsiaTheme="minorHAnsi"/>
        </w:rPr>
        <w:fldChar w:fldCharType="end"/>
      </w:r>
      <w:r w:rsidRPr="00C66972">
        <w:rPr>
          <w:rFonts w:eastAsiaTheme="minorHAnsi"/>
        </w:rPr>
        <w:t>e premium rate.</w:t>
      </w:r>
    </w:p>
    <w:p w14:paraId="11FED95D" w14:textId="77777777" w:rsidR="006A50D4" w:rsidRPr="00205CCE" w:rsidRDefault="00C66972" w:rsidP="00205CCE">
      <w:pPr>
        <w:pStyle w:val="Heading4"/>
      </w:pPr>
      <w:bookmarkStart w:id="258" w:name="_Toc483227206"/>
      <w:r w:rsidRPr="00205CCE">
        <w:t>Queensland</w:t>
      </w:r>
      <w:bookmarkEnd w:id="258"/>
    </w:p>
    <w:p w14:paraId="19DB4AA1" w14:textId="77777777" w:rsidR="006A50D4" w:rsidRDefault="00C66972" w:rsidP="00D844AC">
      <w:pPr>
        <w:rPr>
          <w:rFonts w:eastAsiaTheme="minorHAnsi"/>
        </w:rPr>
      </w:pPr>
      <w:r w:rsidRPr="00C66972">
        <w:rPr>
          <w:rFonts w:eastAsiaTheme="minorHAnsi"/>
        </w:rPr>
        <w:t xml:space="preserve">There are currently 560 WorkCover Industry Classifications. Rates are calculated annually based on an actuarially verified methodology considering seven years of wages and claims data. </w:t>
      </w:r>
    </w:p>
    <w:p w14:paraId="5B3A2DCB" w14:textId="77777777" w:rsidR="006A50D4" w:rsidRPr="00205CCE" w:rsidRDefault="00C66972" w:rsidP="00205CCE">
      <w:pPr>
        <w:pStyle w:val="Heading4"/>
      </w:pPr>
      <w:bookmarkStart w:id="259" w:name="_Toc483227207"/>
      <w:r w:rsidRPr="00205CCE">
        <w:t>Western Australia</w:t>
      </w:r>
      <w:bookmarkEnd w:id="259"/>
    </w:p>
    <w:p w14:paraId="1DC6251E" w14:textId="0CCACD7F" w:rsidR="006C5F8F" w:rsidRPr="00C66972" w:rsidRDefault="00C66972" w:rsidP="00D844AC">
      <w:pPr>
        <w:rPr>
          <w:rFonts w:eastAsiaTheme="minorHAnsi"/>
        </w:rPr>
      </w:pPr>
      <w:r w:rsidRPr="00C66972">
        <w:rPr>
          <w:rFonts w:eastAsiaTheme="minorHAnsi"/>
        </w:rPr>
        <w:t>Recommended premium rates are determined annually according to independent actuarial analysis of claims and wages data provided by current and former approved insurers and self-insurers. The actuarial analysis includes:</w:t>
      </w:r>
    </w:p>
    <w:p w14:paraId="5434A9FB" w14:textId="77777777" w:rsidR="00C66972" w:rsidRPr="006C5F8F" w:rsidRDefault="00C66972" w:rsidP="00F839DB">
      <w:pPr>
        <w:pStyle w:val="ListParagraph"/>
        <w:numPr>
          <w:ilvl w:val="0"/>
          <w:numId w:val="490"/>
        </w:numPr>
        <w:rPr>
          <w:rFonts w:eastAsiaTheme="minorHAnsi"/>
        </w:rPr>
      </w:pPr>
      <w:r w:rsidRPr="006C5F8F">
        <w:rPr>
          <w:rFonts w:eastAsiaTheme="minorHAnsi"/>
        </w:rPr>
        <w:t>a calculation of relative premium rates</w:t>
      </w:r>
    </w:p>
    <w:p w14:paraId="0369ED69" w14:textId="77777777" w:rsidR="00C66972" w:rsidRPr="006C5F8F" w:rsidRDefault="00C66972" w:rsidP="00F839DB">
      <w:pPr>
        <w:pStyle w:val="ListParagraph"/>
        <w:numPr>
          <w:ilvl w:val="0"/>
          <w:numId w:val="490"/>
        </w:numPr>
        <w:rPr>
          <w:rFonts w:eastAsiaTheme="minorHAnsi"/>
        </w:rPr>
      </w:pPr>
      <w:r w:rsidRPr="006C5F8F">
        <w:rPr>
          <w:rFonts w:eastAsiaTheme="minorHAnsi"/>
        </w:rPr>
        <w:t>examination of the adequacy of the declared outstanding claims reserves</w:t>
      </w:r>
    </w:p>
    <w:p w14:paraId="11C585DA" w14:textId="77777777" w:rsidR="00C66972" w:rsidRPr="006C5F8F" w:rsidRDefault="00C66972" w:rsidP="00F839DB">
      <w:pPr>
        <w:pStyle w:val="ListParagraph"/>
        <w:numPr>
          <w:ilvl w:val="0"/>
          <w:numId w:val="490"/>
        </w:numPr>
        <w:rPr>
          <w:rFonts w:eastAsiaTheme="minorHAnsi"/>
        </w:rPr>
      </w:pPr>
      <w:r w:rsidRPr="006C5F8F">
        <w:rPr>
          <w:rFonts w:eastAsiaTheme="minorHAnsi"/>
        </w:rPr>
        <w:t>an analysis of insurers’ expense and contingency allowances</w:t>
      </w:r>
    </w:p>
    <w:p w14:paraId="61ACB238" w14:textId="77777777" w:rsidR="00C66972" w:rsidRPr="006C5F8F" w:rsidRDefault="00C66972" w:rsidP="00F839DB">
      <w:pPr>
        <w:pStyle w:val="ListParagraph"/>
        <w:numPr>
          <w:ilvl w:val="0"/>
          <w:numId w:val="490"/>
        </w:numPr>
        <w:rPr>
          <w:rFonts w:eastAsiaTheme="minorHAnsi"/>
        </w:rPr>
      </w:pPr>
      <w:r w:rsidRPr="006C5F8F">
        <w:rPr>
          <w:rFonts w:eastAsiaTheme="minorHAnsi"/>
        </w:rPr>
        <w:t>a projection of the expected incurred cost of claims for the year</w:t>
      </w:r>
    </w:p>
    <w:p w14:paraId="393DE6C3" w14:textId="77777777" w:rsidR="00C66972" w:rsidRPr="006C5F8F" w:rsidRDefault="00C66972" w:rsidP="00F839DB">
      <w:pPr>
        <w:pStyle w:val="ListParagraph"/>
        <w:numPr>
          <w:ilvl w:val="0"/>
          <w:numId w:val="490"/>
        </w:numPr>
        <w:rPr>
          <w:rFonts w:eastAsiaTheme="minorHAnsi"/>
        </w:rPr>
      </w:pPr>
      <w:r w:rsidRPr="006C5F8F">
        <w:rPr>
          <w:rFonts w:eastAsiaTheme="minorHAnsi"/>
        </w:rPr>
        <w:t>a calculation of the amount of premium expected to meet the cost of claims, and</w:t>
      </w:r>
    </w:p>
    <w:p w14:paraId="0E7B2119" w14:textId="77777777" w:rsidR="006A50D4" w:rsidRDefault="00C66972" w:rsidP="00F839DB">
      <w:pPr>
        <w:pStyle w:val="ListParagraph"/>
        <w:numPr>
          <w:ilvl w:val="0"/>
          <w:numId w:val="490"/>
        </w:numPr>
        <w:rPr>
          <w:rFonts w:eastAsiaTheme="minorHAnsi"/>
        </w:rPr>
      </w:pPr>
      <w:r w:rsidRPr="006C5F8F">
        <w:rPr>
          <w:rFonts w:eastAsiaTheme="minorHAnsi"/>
        </w:rPr>
        <w:t>a calculation of the implied uniform percentage variation in the relative premium rates to generate the required premium income.</w:t>
      </w:r>
    </w:p>
    <w:p w14:paraId="44F7DF4C" w14:textId="77777777" w:rsidR="006A50D4" w:rsidRPr="00205CCE" w:rsidRDefault="00C66972" w:rsidP="00205CCE">
      <w:pPr>
        <w:pStyle w:val="Heading4"/>
      </w:pPr>
      <w:bookmarkStart w:id="260" w:name="_Toc483227208"/>
      <w:r w:rsidRPr="00205CCE">
        <w:t>South Australia</w:t>
      </w:r>
      <w:bookmarkEnd w:id="260"/>
    </w:p>
    <w:p w14:paraId="10726D86" w14:textId="77777777" w:rsidR="006A50D4" w:rsidRDefault="00C66972" w:rsidP="00D844AC">
      <w:pPr>
        <w:rPr>
          <w:rFonts w:eastAsiaTheme="minorHAnsi"/>
        </w:rPr>
      </w:pPr>
      <w:r w:rsidRPr="00C66972">
        <w:rPr>
          <w:rFonts w:eastAsiaTheme="minorHAnsi"/>
        </w:rPr>
        <w:t xml:space="preserve">From 1 July 2015, South Australian industry classifications have been aligned to the Australian and New Zealand Standard Industrial Classification system. Each employer location is allocated to an industry classification that corresponds to the predominant activity for that employer at that location — see </w:t>
      </w:r>
      <w:hyperlink r:id="rId2196" w:history="1">
        <w:r w:rsidRPr="00C66972">
          <w:rPr>
            <w:rStyle w:val="Hyperlink"/>
            <w:rFonts w:eastAsiaTheme="minorHAnsi"/>
          </w:rPr>
          <w:t>Industry classification rates</w:t>
        </w:r>
      </w:hyperlink>
      <w:r w:rsidRPr="00C66972">
        <w:rPr>
          <w:rFonts w:eastAsiaTheme="minorHAnsi"/>
        </w:rPr>
        <w:t>.</w:t>
      </w:r>
    </w:p>
    <w:p w14:paraId="0E99A390" w14:textId="77777777" w:rsidR="006A50D4" w:rsidRPr="00205CCE" w:rsidRDefault="00C66972" w:rsidP="00205CCE">
      <w:pPr>
        <w:pStyle w:val="Heading4"/>
      </w:pPr>
      <w:bookmarkStart w:id="261" w:name="_Toc483227209"/>
      <w:r w:rsidRPr="00205CCE">
        <w:t>Tasmania</w:t>
      </w:r>
      <w:bookmarkEnd w:id="261"/>
    </w:p>
    <w:p w14:paraId="10C27D32" w14:textId="10E07949" w:rsidR="006C5F8F" w:rsidRPr="00C66972" w:rsidRDefault="00C66972" w:rsidP="00D844AC">
      <w:pPr>
        <w:rPr>
          <w:rFonts w:eastAsiaTheme="minorHAnsi"/>
        </w:rPr>
      </w:pPr>
      <w:r w:rsidRPr="00C66972">
        <w:rPr>
          <w:rFonts w:eastAsiaTheme="minorHAnsi"/>
        </w:rPr>
        <w:t>WorkCover Tasmania is required to publish suggested premium rates for employers and licensed insurers. The objective is to ensure full funding, minimisation of cross subsidisation and increased transparency in the premium setting process. The actuarial analysis includes:</w:t>
      </w:r>
    </w:p>
    <w:p w14:paraId="6FAC0BCA" w14:textId="77777777" w:rsidR="00C66972" w:rsidRPr="006C5F8F" w:rsidRDefault="00C66972" w:rsidP="00F839DB">
      <w:pPr>
        <w:pStyle w:val="ListParagraph"/>
        <w:numPr>
          <w:ilvl w:val="0"/>
          <w:numId w:val="491"/>
        </w:numPr>
        <w:rPr>
          <w:rFonts w:eastAsiaTheme="minorHAnsi"/>
        </w:rPr>
      </w:pPr>
      <w:r w:rsidRPr="006C5F8F">
        <w:rPr>
          <w:rFonts w:eastAsiaTheme="minorHAnsi"/>
        </w:rPr>
        <w:t>analysis of claim numbers, claim frequency and claim size</w:t>
      </w:r>
    </w:p>
    <w:p w14:paraId="364D34ED" w14:textId="77777777" w:rsidR="00C66972" w:rsidRPr="006C5F8F" w:rsidRDefault="00C66972" w:rsidP="00F839DB">
      <w:pPr>
        <w:pStyle w:val="ListParagraph"/>
        <w:numPr>
          <w:ilvl w:val="0"/>
          <w:numId w:val="491"/>
        </w:numPr>
        <w:rPr>
          <w:rFonts w:eastAsiaTheme="minorHAnsi"/>
        </w:rPr>
      </w:pPr>
      <w:r w:rsidRPr="006C5F8F">
        <w:rPr>
          <w:rFonts w:eastAsiaTheme="minorHAnsi"/>
        </w:rPr>
        <w:t>calculation of required premium pool</w:t>
      </w:r>
    </w:p>
    <w:p w14:paraId="4AF43B58" w14:textId="77777777" w:rsidR="00C66972" w:rsidRPr="006C5F8F" w:rsidRDefault="00C66972" w:rsidP="00F839DB">
      <w:pPr>
        <w:pStyle w:val="ListParagraph"/>
        <w:numPr>
          <w:ilvl w:val="0"/>
          <w:numId w:val="491"/>
        </w:numPr>
        <w:rPr>
          <w:rFonts w:eastAsiaTheme="minorHAnsi"/>
        </w:rPr>
      </w:pPr>
      <w:r w:rsidRPr="006C5F8F">
        <w:rPr>
          <w:rFonts w:eastAsiaTheme="minorHAnsi"/>
        </w:rPr>
        <w:t>examination of effect of legislative change</w:t>
      </w:r>
    </w:p>
    <w:p w14:paraId="1695713E" w14:textId="77777777" w:rsidR="00C66972" w:rsidRPr="006C5F8F" w:rsidRDefault="00C66972" w:rsidP="00F839DB">
      <w:pPr>
        <w:pStyle w:val="ListParagraph"/>
        <w:numPr>
          <w:ilvl w:val="0"/>
          <w:numId w:val="491"/>
        </w:numPr>
        <w:rPr>
          <w:rFonts w:eastAsiaTheme="minorHAnsi"/>
        </w:rPr>
      </w:pPr>
      <w:r w:rsidRPr="006C5F8F">
        <w:rPr>
          <w:rFonts w:eastAsiaTheme="minorHAnsi"/>
        </w:rPr>
        <w:t>analysis of economic assumptions and insurers expense and profit assumptions, and</w:t>
      </w:r>
    </w:p>
    <w:p w14:paraId="68197AC2" w14:textId="0F7B14B1" w:rsidR="007A3336" w:rsidRPr="00205CCE" w:rsidRDefault="00C66972" w:rsidP="00F839DB">
      <w:pPr>
        <w:pStyle w:val="ListParagraph"/>
        <w:numPr>
          <w:ilvl w:val="0"/>
          <w:numId w:val="491"/>
        </w:numPr>
        <w:rPr>
          <w:rFonts w:eastAsiaTheme="minorHAnsi"/>
        </w:rPr>
      </w:pPr>
      <w:r w:rsidRPr="006C5F8F">
        <w:rPr>
          <w:rFonts w:eastAsiaTheme="minorHAnsi"/>
        </w:rPr>
        <w:t>a comparison with insurer filed rates.</w:t>
      </w:r>
      <w:bookmarkStart w:id="262" w:name="_Toc483227210"/>
    </w:p>
    <w:p w14:paraId="170A7372" w14:textId="5BDA5CA7" w:rsidR="00C66972" w:rsidRPr="00205CCE" w:rsidRDefault="00C66972" w:rsidP="00205CCE">
      <w:pPr>
        <w:pStyle w:val="Heading4"/>
      </w:pPr>
      <w:r w:rsidRPr="00205CCE">
        <w:lastRenderedPageBreak/>
        <w:t>Australian Capital Territory</w:t>
      </w:r>
      <w:bookmarkEnd w:id="262"/>
      <w:r w:rsidRPr="00205CCE">
        <w:t xml:space="preserve"> </w:t>
      </w:r>
    </w:p>
    <w:p w14:paraId="063F6EEA" w14:textId="18B8EFB2" w:rsidR="006A50D4" w:rsidRDefault="00C66972" w:rsidP="00D844AC">
      <w:pPr>
        <w:rPr>
          <w:rFonts w:eastAsiaTheme="minorHAnsi"/>
        </w:rPr>
      </w:pPr>
      <w:r w:rsidRPr="00C66972">
        <w:rPr>
          <w:rFonts w:eastAsiaTheme="minorHAnsi"/>
        </w:rPr>
        <w:t>The A</w:t>
      </w:r>
      <w:r w:rsidR="007A3336">
        <w:rPr>
          <w:rFonts w:eastAsiaTheme="minorHAnsi"/>
        </w:rPr>
        <w:t xml:space="preserve">ustralian </w:t>
      </w:r>
      <w:r w:rsidRPr="00C66972">
        <w:rPr>
          <w:rFonts w:eastAsiaTheme="minorHAnsi"/>
        </w:rPr>
        <w:t>C</w:t>
      </w:r>
      <w:r w:rsidR="007A3336">
        <w:rPr>
          <w:rFonts w:eastAsiaTheme="minorHAnsi"/>
        </w:rPr>
        <w:t xml:space="preserve">apital </w:t>
      </w:r>
      <w:r w:rsidRPr="00C66972">
        <w:rPr>
          <w:rFonts w:eastAsiaTheme="minorHAnsi"/>
        </w:rPr>
        <w:t>T</w:t>
      </w:r>
      <w:r w:rsidR="007A3336">
        <w:rPr>
          <w:rFonts w:eastAsiaTheme="minorHAnsi"/>
        </w:rPr>
        <w:t>erritory</w:t>
      </w:r>
      <w:r w:rsidRPr="00C66972">
        <w:rPr>
          <w:rFonts w:eastAsiaTheme="minorHAnsi"/>
        </w:rPr>
        <w:t xml:space="preserve"> releases estimated reasonable rates by ANZSIC class. These rates are determined annually according to independent actuarial analysis of wages and premium data provided by current and former approved insurers and self-insurers.</w:t>
      </w:r>
    </w:p>
    <w:p w14:paraId="600AFEED" w14:textId="0C0230AA" w:rsidR="006A50D4" w:rsidRPr="00205CCE" w:rsidRDefault="00205CCE" w:rsidP="00205CCE">
      <w:pPr>
        <w:pStyle w:val="Heading4"/>
      </w:pPr>
      <w:bookmarkStart w:id="263" w:name="_Toc483227211"/>
      <w:r>
        <w:br w:type="column"/>
      </w:r>
      <w:r w:rsidR="00C66972" w:rsidRPr="00205CCE">
        <w:lastRenderedPageBreak/>
        <w:t>New Zealand</w:t>
      </w:r>
      <w:bookmarkEnd w:id="263"/>
    </w:p>
    <w:p w14:paraId="3148F77D" w14:textId="6BEA797E" w:rsidR="00172AC7" w:rsidRDefault="00C66972" w:rsidP="00D56ED9">
      <w:pPr>
        <w:spacing w:before="120"/>
        <w:rPr>
          <w:rFonts w:eastAsiaTheme="minorHAnsi"/>
        </w:rPr>
      </w:pPr>
      <w:r w:rsidRPr="00C66972">
        <w:rPr>
          <w:rFonts w:eastAsiaTheme="minorHAnsi"/>
        </w:rPr>
        <w:t>In New Zealand there are 539 classification units and 14</w:t>
      </w:r>
      <w:r w:rsidR="005D19AC">
        <w:rPr>
          <w:rFonts w:eastAsiaTheme="minorHAnsi"/>
        </w:rPr>
        <w:t>2</w:t>
      </w:r>
      <w:r w:rsidRPr="00C66972">
        <w:rPr>
          <w:rFonts w:eastAsiaTheme="minorHAnsi"/>
        </w:rPr>
        <w:t xml:space="preserve"> levy risk groups. For each classification unit the levy relativities are compared by year for the last four years. </w:t>
      </w:r>
      <w:r w:rsidR="00AC483C">
        <w:rPr>
          <w:rFonts w:eastAsiaTheme="minorHAnsi"/>
        </w:rPr>
        <w:t xml:space="preserve">As a result of this comparison </w:t>
      </w:r>
      <w:r w:rsidRPr="00C66972">
        <w:rPr>
          <w:rFonts w:eastAsiaTheme="minorHAnsi"/>
        </w:rPr>
        <w:t>and taking into account such things as the impact of large claims, the number of years experience for a new classification unit, the volume of claims etc., the classification unit will either stay within the same levy risk group or be moved to another.</w:t>
      </w:r>
    </w:p>
    <w:p w14:paraId="45CE9E06" w14:textId="3E1E73B0" w:rsidR="00C66972" w:rsidRPr="00C66972" w:rsidRDefault="00C66972" w:rsidP="00DA4626">
      <w:pPr>
        <w:spacing w:before="240"/>
        <w:rPr>
          <w:rFonts w:eastAsiaTheme="minorHAnsi"/>
        </w:rPr>
      </w:pPr>
      <w:r w:rsidRPr="00C66972">
        <w:rPr>
          <w:rFonts w:eastAsiaTheme="minorHAnsi"/>
        </w:rPr>
        <w:t xml:space="preserve">The credibility-adjusted levy rate relativity of each levy risk group is the expected ultimate cost of claims expressed as a percentage of wages for the levy risk group, compared with the expected ultimate cost of claims as a percentage of wages for all levy risk groups. All the expected ultimate cost of claims and wage quantities used for this calculation are weighted averages of the most recent six years of experience. The levy rate relativities are credibility-adjusted (as required) to the self-insurers, then to the levy risk groups, then to the industry groups, and finally to the aggregate rate. The absolute level of the levy rates is set so that the expected costs of the </w:t>
      </w:r>
      <w:r w:rsidR="00AC483C">
        <w:rPr>
          <w:rFonts w:eastAsiaTheme="minorHAnsi"/>
        </w:rPr>
        <w:t>s</w:t>
      </w:r>
      <w:r w:rsidRPr="00C66972">
        <w:rPr>
          <w:rFonts w:eastAsiaTheme="minorHAnsi"/>
        </w:rPr>
        <w:t>cheme will be met.</w:t>
      </w:r>
      <w:r w:rsidR="006C5F8F">
        <w:rPr>
          <w:rFonts w:eastAsiaTheme="minorHAnsi"/>
        </w:rPr>
        <w:t xml:space="preserve"> </w:t>
      </w:r>
      <w:r w:rsidRPr="00C66972">
        <w:rPr>
          <w:rFonts w:eastAsiaTheme="minorHAnsi"/>
        </w:rPr>
        <w:t>The classification unit levy rates shown are fully-funded levy rates.</w:t>
      </w:r>
    </w:p>
    <w:p w14:paraId="79BC154B" w14:textId="77777777" w:rsidR="00AC483C" w:rsidRDefault="00AC483C">
      <w:pPr>
        <w:spacing w:after="200" w:line="276" w:lineRule="auto"/>
        <w:rPr>
          <w:rFonts w:ascii="Arial Bold" w:eastAsiaTheme="minorHAnsi" w:hAnsi="Arial Bold" w:cs="Arial"/>
          <w:b/>
          <w:kern w:val="32"/>
          <w:sz w:val="28"/>
          <w:szCs w:val="22"/>
        </w:rPr>
      </w:pPr>
      <w:bookmarkStart w:id="264" w:name="_Toc483227212"/>
      <w:bookmarkEnd w:id="254"/>
      <w:r>
        <w:rPr>
          <w:rFonts w:eastAsiaTheme="minorHAnsi"/>
        </w:rPr>
        <w:br w:type="page"/>
      </w:r>
    </w:p>
    <w:p w14:paraId="3D1DFBE7" w14:textId="7EF2DE0F" w:rsidR="00D56ED9" w:rsidRPr="004F360B" w:rsidRDefault="00C66972" w:rsidP="004F360B">
      <w:pPr>
        <w:pStyle w:val="Title"/>
      </w:pPr>
      <w:bookmarkStart w:id="265" w:name="_Toc504654732"/>
      <w:r w:rsidRPr="004F360B">
        <w:lastRenderedPageBreak/>
        <w:t>Appendix 1</w:t>
      </w:r>
      <w:bookmarkStart w:id="266" w:name="_Toc483227213"/>
      <w:bookmarkStart w:id="267" w:name="history"/>
      <w:bookmarkEnd w:id="264"/>
      <w:bookmarkEnd w:id="265"/>
    </w:p>
    <w:p w14:paraId="358EDDF0" w14:textId="63215DAA" w:rsidR="00C66972" w:rsidRPr="004F360B" w:rsidRDefault="00C66972" w:rsidP="004F360B">
      <w:pPr>
        <w:pStyle w:val="Title"/>
      </w:pPr>
      <w:bookmarkStart w:id="268" w:name="_Toc504654733"/>
      <w:r w:rsidRPr="004F360B">
        <w:t>The Evolution of workers’ compensation schemes in Australia and New Zealand</w:t>
      </w:r>
      <w:bookmarkEnd w:id="268"/>
      <w:r w:rsidRPr="004F360B">
        <w:t xml:space="preserve"> </w:t>
      </w:r>
      <w:bookmarkEnd w:id="266"/>
      <w:r w:rsidR="001A701E" w:rsidRPr="004F360B">
        <w:fldChar w:fldCharType="begin"/>
      </w:r>
      <w:r w:rsidR="001A701E" w:rsidRPr="004F360B">
        <w:instrText xml:space="preserve"> XE "schemes history and evolution" \r "history" </w:instrText>
      </w:r>
      <w:r w:rsidR="001A701E" w:rsidRPr="004F360B">
        <w:fldChar w:fldCharType="end"/>
      </w:r>
    </w:p>
    <w:p w14:paraId="463DEC05" w14:textId="77777777" w:rsidR="00D56ED9" w:rsidRDefault="00C66972" w:rsidP="006C5F8F">
      <w:pPr>
        <w:rPr>
          <w:rFonts w:eastAsiaTheme="minorHAnsi"/>
        </w:rPr>
      </w:pPr>
      <w:r w:rsidRPr="00C66972">
        <w:rPr>
          <w:rFonts w:eastAsiaTheme="minorHAnsi"/>
        </w:rPr>
        <w:t xml:space="preserve">This section provides an historical overview of the development of workers’ compensation schemes in Australia at both the national and jurisdictional level, and for New Zealand. </w:t>
      </w:r>
    </w:p>
    <w:p w14:paraId="5D8D1E4A" w14:textId="50945E59" w:rsidR="006A50D4" w:rsidRDefault="00C66972" w:rsidP="006C5F8F">
      <w:pPr>
        <w:rPr>
          <w:rFonts w:eastAsiaTheme="minorHAnsi"/>
        </w:rPr>
      </w:pPr>
      <w:r w:rsidRPr="00C66972">
        <w:rPr>
          <w:rFonts w:eastAsiaTheme="minorHAnsi"/>
        </w:rPr>
        <w:t xml:space="preserve">In preparing this section the following publications were used extensively: Kevin Purse, ‘The Evolution of workers’ compensation policy in Australia’, 2005, from the Health Sociology Review; the CCH Workers’ Compensation Guide, Volume 1; and the Productivity Commission’s </w:t>
      </w:r>
      <w:r w:rsidRPr="00C66972">
        <w:rPr>
          <w:rFonts w:eastAsiaTheme="minorHAnsi"/>
          <w:i/>
        </w:rPr>
        <w:t xml:space="preserve">National Workers’ Compensation and Occupational Health and Safety Frameworks </w:t>
      </w:r>
      <w:r w:rsidRPr="00C66972">
        <w:rPr>
          <w:rFonts w:eastAsiaTheme="minorHAnsi"/>
        </w:rPr>
        <w:t>report of 2004.</w:t>
      </w:r>
    </w:p>
    <w:p w14:paraId="2269A422" w14:textId="12132B49" w:rsidR="00C66972" w:rsidRPr="00205CCE" w:rsidRDefault="00C66972" w:rsidP="00205CCE">
      <w:pPr>
        <w:pStyle w:val="Heading4"/>
      </w:pPr>
      <w:bookmarkStart w:id="269" w:name="_Toc483227214"/>
      <w:bookmarkStart w:id="270" w:name="national"/>
      <w:r w:rsidRPr="00205CCE">
        <w:t>The national perspective</w:t>
      </w:r>
      <w:bookmarkEnd w:id="269"/>
      <w:r w:rsidR="002108B6" w:rsidRPr="00205CCE">
        <w:fldChar w:fldCharType="begin"/>
      </w:r>
      <w:r w:rsidR="002108B6" w:rsidRPr="00205CCE">
        <w:instrText xml:space="preserve"> XE "schemes history and evolution:national perspective" \r "national" </w:instrText>
      </w:r>
      <w:r w:rsidR="002108B6" w:rsidRPr="00205CCE">
        <w:fldChar w:fldCharType="end"/>
      </w:r>
    </w:p>
    <w:p w14:paraId="5624BE64" w14:textId="2E18391D" w:rsidR="00172AC7" w:rsidRDefault="00B166BF" w:rsidP="00D56ED9">
      <w:pPr>
        <w:spacing w:before="120"/>
        <w:rPr>
          <w:rFonts w:eastAsiaTheme="minorHAnsi"/>
        </w:rPr>
      </w:pPr>
      <w:r>
        <w:rPr>
          <w:rFonts w:eastAsiaTheme="minorHAnsi"/>
        </w:rPr>
        <w:t>There are 12</w:t>
      </w:r>
      <w:r w:rsidR="00C66972" w:rsidRPr="00C66972">
        <w:rPr>
          <w:rFonts w:eastAsiaTheme="minorHAnsi"/>
        </w:rPr>
        <w:t xml:space="preserve"> main workers’ compensation systems in Australia. Each of the eight Australian states and territories has developed their own workers’ compensation scheme and there are also three Commonwealth schemes: the first is for Australian Government employees, and the employees of licensed </w:t>
      </w:r>
      <w:r w:rsidR="00E43A0F">
        <w:rPr>
          <w:rFonts w:eastAsiaTheme="minorHAnsi"/>
        </w:rPr>
        <w:t>self-insurer</w:t>
      </w:r>
      <w:r w:rsidR="00C66972" w:rsidRPr="00C66972">
        <w:rPr>
          <w:rFonts w:eastAsiaTheme="minorHAnsi"/>
        </w:rPr>
        <w:t xml:space="preserve">s under the </w:t>
      </w:r>
      <w:r w:rsidR="00C66972" w:rsidRPr="00C66972">
        <w:rPr>
          <w:rFonts w:eastAsiaTheme="minorHAnsi"/>
          <w:i/>
        </w:rPr>
        <w:t>Safety Rehabilitation Compensation Act 1988</w:t>
      </w:r>
      <w:r w:rsidR="00C66972" w:rsidRPr="00C66972">
        <w:rPr>
          <w:rFonts w:eastAsiaTheme="minorHAnsi"/>
        </w:rPr>
        <w:t xml:space="preserve">; the second is for certain seafarers under the </w:t>
      </w:r>
      <w:r w:rsidR="00C66972" w:rsidRPr="00C66972">
        <w:rPr>
          <w:rFonts w:eastAsiaTheme="minorHAnsi"/>
          <w:i/>
        </w:rPr>
        <w:t>Seafarers Rehabilitation and Compensation Act 1992</w:t>
      </w:r>
      <w:r w:rsidR="00C66972" w:rsidRPr="00C66972">
        <w:rPr>
          <w:rFonts w:eastAsiaTheme="minorHAnsi"/>
        </w:rPr>
        <w:t xml:space="preserve">; and the third </w:t>
      </w:r>
      <w:r>
        <w:rPr>
          <w:rFonts w:eastAsiaTheme="minorHAnsi"/>
        </w:rPr>
        <w:t xml:space="preserve">and fourth is for Australian Defence Force (ADF) personnel with service prior to </w:t>
      </w:r>
      <w:r w:rsidR="002950E0">
        <w:rPr>
          <w:rFonts w:eastAsiaTheme="minorHAnsi"/>
        </w:rPr>
        <w:t xml:space="preserve">1 July under the </w:t>
      </w:r>
      <w:r w:rsidR="002950E0">
        <w:rPr>
          <w:rFonts w:eastAsiaTheme="minorHAnsi"/>
          <w:i/>
        </w:rPr>
        <w:t xml:space="preserve">Safety, Rehabilitation and Compensation (Defence-related Claims) Act 1988 </w:t>
      </w:r>
      <w:r w:rsidR="002950E0">
        <w:rPr>
          <w:rFonts w:eastAsiaTheme="minorHAnsi"/>
        </w:rPr>
        <w:t xml:space="preserve">(DRCA) and for </w:t>
      </w:r>
      <w:r w:rsidR="00C66972" w:rsidRPr="00C66972">
        <w:rPr>
          <w:rFonts w:eastAsiaTheme="minorHAnsi"/>
        </w:rPr>
        <w:t xml:space="preserve">service on or after 1 July 2004 under the </w:t>
      </w:r>
      <w:r w:rsidR="00C66972" w:rsidRPr="00C66972">
        <w:rPr>
          <w:rFonts w:eastAsiaTheme="minorHAnsi"/>
          <w:i/>
        </w:rPr>
        <w:t>Military Rehabilitation and Compensation Act 2004</w:t>
      </w:r>
      <w:r w:rsidR="00C66972" w:rsidRPr="00C66972">
        <w:rPr>
          <w:rFonts w:eastAsiaTheme="minorHAnsi"/>
        </w:rPr>
        <w:t xml:space="preserve">. </w:t>
      </w:r>
    </w:p>
    <w:p w14:paraId="1EC204E0" w14:textId="77777777" w:rsidR="00172AC7" w:rsidRDefault="00C66972" w:rsidP="00D56ED9">
      <w:pPr>
        <w:spacing w:before="240"/>
        <w:rPr>
          <w:rFonts w:eastAsiaTheme="minorHAnsi"/>
        </w:rPr>
      </w:pPr>
      <w:r w:rsidRPr="00C66972">
        <w:rPr>
          <w:rFonts w:eastAsiaTheme="minorHAnsi"/>
        </w:rPr>
        <w:t xml:space="preserve">The origin of these Australian workers’ compensation systems lies in 19th century British law. Before the implementation of workers’ compensation arrangements an injured worker’s only means of receiving compensation was to sue their employer for negligence at common law. However, workers rarely succeeded in these actions due to what has been described as the ‘unholy trinity’ of legal defences: common employment, voluntary assumption of risk and contributory negligence. To limit the application of those defences, the </w:t>
      </w:r>
      <w:r w:rsidRPr="00AC483C">
        <w:rPr>
          <w:rFonts w:eastAsiaTheme="minorHAnsi"/>
          <w:i/>
        </w:rPr>
        <w:t>Employment Liability Act 1880</w:t>
      </w:r>
      <w:r w:rsidRPr="00C66972">
        <w:rPr>
          <w:rFonts w:eastAsiaTheme="minorHAnsi"/>
        </w:rPr>
        <w:t xml:space="preserve"> was enacted in Britain. This Act was adopted in the Australian colonies between 1882 and 1895. While these Acts were well intentioned, taking them up did not lead to any significant improvement in outcomes for injured workers.</w:t>
      </w:r>
    </w:p>
    <w:p w14:paraId="3CB2E2F3" w14:textId="77777777" w:rsidR="00172AC7" w:rsidRDefault="00C66972" w:rsidP="00D56ED9">
      <w:pPr>
        <w:spacing w:before="240"/>
        <w:rPr>
          <w:rFonts w:eastAsiaTheme="minorHAnsi"/>
        </w:rPr>
      </w:pPr>
      <w:r w:rsidRPr="00C66972">
        <w:rPr>
          <w:rFonts w:eastAsiaTheme="minorHAnsi"/>
        </w:rPr>
        <w:t xml:space="preserve">New workers’ compensation laws incorporating a ‘no-fault’ principle came about after Federation in Australia. New laws were prompted by the failure of the </w:t>
      </w:r>
      <w:r w:rsidRPr="00AC483C">
        <w:rPr>
          <w:rFonts w:eastAsiaTheme="minorHAnsi"/>
          <w:i/>
        </w:rPr>
        <w:t>Employment Liability Act 1880</w:t>
      </w:r>
      <w:r w:rsidRPr="00C66972">
        <w:rPr>
          <w:rFonts w:eastAsiaTheme="minorHAnsi"/>
        </w:rPr>
        <w:t xml:space="preserve"> to improve conditions for injured workers, increasing industrialisation and the rise of the labour movement and popular support for state intervention on behalf of workers. To be eligible for workers’ compensation under the no-fault principle, workers covered by the legislation merely had to prove that their injuries were work related. It was no longer necessary to prove negligence on the part of an employer. Nonetheless early no-fault coverage for workers’ compensation was limited. Firstly, although laws provided for some benefits, the taking out of insurance by employers was not compulsory. Secondly, to be eligible for workers’ compensation, an injury had to be found to have arisen out of and in the course of employment.</w:t>
      </w:r>
    </w:p>
    <w:p w14:paraId="209F1621" w14:textId="102FB01F" w:rsidR="00172AC7" w:rsidRDefault="00C66972" w:rsidP="00D56ED9">
      <w:pPr>
        <w:spacing w:before="240"/>
        <w:rPr>
          <w:rFonts w:eastAsiaTheme="minorHAnsi"/>
        </w:rPr>
      </w:pPr>
      <w:r w:rsidRPr="00C66972">
        <w:rPr>
          <w:rFonts w:eastAsiaTheme="minorHAnsi"/>
        </w:rPr>
        <w:t>In keeping with contemporary attitudes, the first workers’ compensation laws in Australia were generally known as workmen’s compensation and did not expressly cover female workers until challenged by the women’s movement of the 1970s. Coverage for workers’ compensation gradually expanded to include most workers and lump sum payments</w:t>
      </w:r>
      <w:r w:rsidR="00A95C3B">
        <w:rPr>
          <w:rFonts w:eastAsiaTheme="minorHAnsi"/>
        </w:rPr>
        <w:fldChar w:fldCharType="begin"/>
      </w:r>
      <w:r w:rsidR="00A95C3B">
        <w:instrText xml:space="preserve"> XE "</w:instrText>
      </w:r>
      <w:r w:rsidR="00A95C3B" w:rsidRPr="00570B18">
        <w:instrText>payments:lump sum payments</w:instrText>
      </w:r>
      <w:r w:rsidR="00A95C3B">
        <w:instrText xml:space="preserve">" </w:instrText>
      </w:r>
      <w:r w:rsidR="00A95C3B">
        <w:rPr>
          <w:rFonts w:eastAsiaTheme="minorHAnsi"/>
        </w:rPr>
        <w:fldChar w:fldCharType="end"/>
      </w:r>
      <w:r w:rsidRPr="00C66972">
        <w:rPr>
          <w:rFonts w:eastAsiaTheme="minorHAnsi"/>
        </w:rPr>
        <w:t xml:space="preserve"> for loss of body parts were introduced. By 1926 N</w:t>
      </w:r>
      <w:r w:rsidR="0018532B">
        <w:rPr>
          <w:rFonts w:eastAsiaTheme="minorHAnsi"/>
        </w:rPr>
        <w:t xml:space="preserve">ew </w:t>
      </w:r>
      <w:r w:rsidRPr="00C66972">
        <w:rPr>
          <w:rFonts w:eastAsiaTheme="minorHAnsi"/>
        </w:rPr>
        <w:t>S</w:t>
      </w:r>
      <w:r w:rsidR="0018532B">
        <w:rPr>
          <w:rFonts w:eastAsiaTheme="minorHAnsi"/>
        </w:rPr>
        <w:t xml:space="preserve">outh </w:t>
      </w:r>
      <w:r w:rsidRPr="00C66972">
        <w:rPr>
          <w:rFonts w:eastAsiaTheme="minorHAnsi"/>
        </w:rPr>
        <w:t>W</w:t>
      </w:r>
      <w:r w:rsidR="0018532B">
        <w:rPr>
          <w:rFonts w:eastAsiaTheme="minorHAnsi"/>
        </w:rPr>
        <w:t>ales</w:t>
      </w:r>
      <w:r w:rsidRPr="00C66972">
        <w:rPr>
          <w:rFonts w:eastAsiaTheme="minorHAnsi"/>
        </w:rPr>
        <w:t xml:space="preserve"> had introduced compulsory insurance which became the model for most workers’ compensation schemes around Australia.</w:t>
      </w:r>
    </w:p>
    <w:p w14:paraId="0A5110B7" w14:textId="77777777" w:rsidR="00172AC7" w:rsidRDefault="00C66972" w:rsidP="00D56ED9">
      <w:pPr>
        <w:spacing w:before="240"/>
        <w:rPr>
          <w:rFonts w:eastAsiaTheme="minorHAnsi"/>
        </w:rPr>
      </w:pPr>
      <w:r w:rsidRPr="00C66972">
        <w:rPr>
          <w:rFonts w:eastAsiaTheme="minorHAnsi"/>
        </w:rPr>
        <w:t>Between the 1920s and 1970s incremental reforms took place across the jurisdictions. Eligibility continued to widen with the broadening of the definition of injury to ‘arising out of or in the course of employment’. Reforms from the 1970s to the mid-1980s generally improved compensation benefits for workers. However, economic difficulties in the mid 1980s and early 1990s shifted the focus onto reducing the cost of workplace injuries, containing insurance premiums, underwriting arrangements and administrative efficiency.</w:t>
      </w:r>
    </w:p>
    <w:p w14:paraId="5002599B" w14:textId="77777777" w:rsidR="00172AC7" w:rsidRDefault="00C66972" w:rsidP="00D56ED9">
      <w:pPr>
        <w:spacing w:before="240"/>
        <w:rPr>
          <w:rFonts w:eastAsiaTheme="minorHAnsi"/>
        </w:rPr>
      </w:pPr>
      <w:r w:rsidRPr="00C66972">
        <w:rPr>
          <w:rFonts w:eastAsiaTheme="minorHAnsi"/>
        </w:rPr>
        <w:lastRenderedPageBreak/>
        <w:t>In the last quarter of the twentieth century there was a shift in emphasis in the schemes to strengthen the role of work health and safety and to highlight the need for rehabilitation of injured workers. This shift was expected to place downward pressure on costs but did not achieve the level of success expected. Further reform attempts focussed on cutting back benefits and making premiums more competitive. By the mid 1990s, workers’ compensation costs had fallen by 20 per cent as a percentage of total labour costs, easing pressure for reform of premiums and costs, although each jurisdiction continues to grapple with these issues.</w:t>
      </w:r>
    </w:p>
    <w:p w14:paraId="04CB54E4" w14:textId="62FAF127" w:rsidR="006A50D4" w:rsidRDefault="00C66972" w:rsidP="00D56ED9">
      <w:pPr>
        <w:spacing w:before="240"/>
        <w:rPr>
          <w:rFonts w:eastAsiaTheme="minorHAnsi"/>
        </w:rPr>
      </w:pPr>
      <w:r w:rsidRPr="00C66972">
        <w:rPr>
          <w:rFonts w:eastAsiaTheme="minorHAnsi"/>
        </w:rPr>
        <w:t>Since the introduction of the first workers’ compensation laws, each jurisdiction has developed its own arrangements. This has resulted in numerous inconsistencies in the operation and application of workers’ compensation laws. Some of the inconsistencies include scheme funding, common law access</w:t>
      </w:r>
      <w:r w:rsidR="0008303E">
        <w:rPr>
          <w:rFonts w:eastAsiaTheme="minorHAnsi"/>
        </w:rPr>
        <w:fldChar w:fldCharType="begin"/>
      </w:r>
      <w:r w:rsidR="0008303E">
        <w:instrText xml:space="preserve"> XE "</w:instrText>
      </w:r>
      <w:r w:rsidR="0008303E" w:rsidRPr="00C60124">
        <w:instrText>benefits:common law access</w:instrText>
      </w:r>
      <w:r w:rsidR="0008303E">
        <w:instrText xml:space="preserve">" </w:instrText>
      </w:r>
      <w:r w:rsidR="0008303E">
        <w:rPr>
          <w:rFonts w:eastAsiaTheme="minorHAnsi"/>
        </w:rPr>
        <w:fldChar w:fldCharType="end"/>
      </w:r>
      <w:r w:rsidRPr="00C66972">
        <w:rPr>
          <w:rFonts w:eastAsiaTheme="minorHAnsi"/>
        </w:rPr>
        <w:t>, level of entitlements, return to work and coverage. These inconsistencies can be attributed in part to the varying industry profiles and economic environments of each jurisdiction and judicial decisions that have led to legislative amendments. However, as businesses and workers become increasingly mobile, the need to understand the various workers’ compensation systems at the national level is becoming increasingly important</w:t>
      </w:r>
      <w:bookmarkEnd w:id="270"/>
      <w:r w:rsidRPr="00C66972">
        <w:rPr>
          <w:rFonts w:eastAsiaTheme="minorHAnsi"/>
        </w:rPr>
        <w:t>.</w:t>
      </w:r>
    </w:p>
    <w:p w14:paraId="7BB3BEE7" w14:textId="77777777" w:rsidR="006A50D4" w:rsidRPr="00205CCE" w:rsidRDefault="00C66972" w:rsidP="00205CCE">
      <w:pPr>
        <w:pStyle w:val="Title"/>
      </w:pPr>
      <w:bookmarkStart w:id="271" w:name="_Toc483227215"/>
      <w:bookmarkStart w:id="272" w:name="_Toc504654734"/>
      <w:bookmarkStart w:id="273" w:name="NSWHistory"/>
      <w:r w:rsidRPr="00205CCE">
        <w:t>New South Wales</w:t>
      </w:r>
      <w:bookmarkEnd w:id="271"/>
      <w:bookmarkEnd w:id="272"/>
      <w:r w:rsidRPr="00205CCE">
        <w:t xml:space="preserve"> </w:t>
      </w:r>
      <w:r w:rsidR="00A95C3B" w:rsidRPr="00205CCE">
        <w:fldChar w:fldCharType="begin"/>
      </w:r>
      <w:r w:rsidR="00A95C3B" w:rsidRPr="00205CCE">
        <w:instrText xml:space="preserve"> XE "New South Wales:scheme history and evolution" \r "NSWHistory" </w:instrText>
      </w:r>
      <w:r w:rsidR="00A95C3B" w:rsidRPr="00205CCE">
        <w:fldChar w:fldCharType="end"/>
      </w:r>
      <w:r w:rsidR="001A701E" w:rsidRPr="00205CCE">
        <w:fldChar w:fldCharType="begin"/>
      </w:r>
      <w:r w:rsidR="001A701E" w:rsidRPr="00205CCE">
        <w:instrText xml:space="preserve"> XE "schemes history and evolution:New South Wales" \r "NSWHistory" </w:instrText>
      </w:r>
      <w:r w:rsidR="001A701E" w:rsidRPr="00205CCE">
        <w:fldChar w:fldCharType="end"/>
      </w:r>
    </w:p>
    <w:p w14:paraId="459B2C0A" w14:textId="0FFD0805" w:rsidR="00C66972" w:rsidRPr="00D56ED9" w:rsidRDefault="00C66972" w:rsidP="00205CCE">
      <w:pPr>
        <w:pStyle w:val="Heading4"/>
      </w:pPr>
      <w:r w:rsidRPr="00D56ED9">
        <w:t>1910</w:t>
      </w:r>
      <w:r w:rsidR="00C87F14">
        <w:t>–</w:t>
      </w:r>
      <w:r w:rsidRPr="00D56ED9">
        <w:t>1987</w:t>
      </w:r>
    </w:p>
    <w:p w14:paraId="483F56A1" w14:textId="1519593D" w:rsidR="00172AC7" w:rsidRDefault="00C66972" w:rsidP="006C5F8F">
      <w:pPr>
        <w:rPr>
          <w:rFonts w:eastAsiaTheme="minorHAnsi"/>
        </w:rPr>
      </w:pPr>
      <w:r w:rsidRPr="00C66972">
        <w:rPr>
          <w:rFonts w:eastAsiaTheme="minorHAnsi"/>
        </w:rPr>
        <w:t>N</w:t>
      </w:r>
      <w:r w:rsidR="00D56ED9">
        <w:rPr>
          <w:rFonts w:eastAsiaTheme="minorHAnsi"/>
        </w:rPr>
        <w:t xml:space="preserve">ew </w:t>
      </w:r>
      <w:r w:rsidRPr="00C66972">
        <w:rPr>
          <w:rFonts w:eastAsiaTheme="minorHAnsi"/>
        </w:rPr>
        <w:t>S</w:t>
      </w:r>
      <w:r w:rsidR="00D56ED9">
        <w:rPr>
          <w:rFonts w:eastAsiaTheme="minorHAnsi"/>
        </w:rPr>
        <w:t xml:space="preserve">outh </w:t>
      </w:r>
      <w:r w:rsidRPr="00C66972">
        <w:rPr>
          <w:rFonts w:eastAsiaTheme="minorHAnsi"/>
        </w:rPr>
        <w:t>W</w:t>
      </w:r>
      <w:r w:rsidR="00D56ED9">
        <w:rPr>
          <w:rFonts w:eastAsiaTheme="minorHAnsi"/>
        </w:rPr>
        <w:t>ales</w:t>
      </w:r>
      <w:r w:rsidRPr="00C66972">
        <w:rPr>
          <w:rFonts w:eastAsiaTheme="minorHAnsi"/>
        </w:rPr>
        <w:t xml:space="preserve"> introduced the </w:t>
      </w:r>
      <w:r w:rsidRPr="00AC483C">
        <w:rPr>
          <w:rFonts w:eastAsiaTheme="minorHAnsi"/>
          <w:i/>
        </w:rPr>
        <w:t>Workmens’ Compensation Act 1910</w:t>
      </w:r>
      <w:r w:rsidRPr="00C66972">
        <w:rPr>
          <w:rFonts w:eastAsiaTheme="minorHAnsi"/>
        </w:rPr>
        <w:t xml:space="preserve">. It applied to personal injury by accident arising in the course of employment, which was limited to defined ‘dangerous occupations’. Compulsory insurance for employers and the first specialised workers’ compensation tribunal in Australia, the Workers’ Compensation Commission, were introduced in the </w:t>
      </w:r>
      <w:r w:rsidRPr="00AC483C">
        <w:rPr>
          <w:rFonts w:eastAsiaTheme="minorHAnsi"/>
          <w:i/>
        </w:rPr>
        <w:t>Workers’ Compensation Act 1926</w:t>
      </w:r>
      <w:r w:rsidRPr="00C66972">
        <w:rPr>
          <w:rFonts w:eastAsiaTheme="minorHAnsi"/>
        </w:rPr>
        <w:t>. This Act remained essentially unchanged until the mid-1980s.</w:t>
      </w:r>
    </w:p>
    <w:p w14:paraId="182DD38A" w14:textId="43BCBF7B" w:rsidR="00C66972" w:rsidRPr="00D56ED9" w:rsidRDefault="00C66972" w:rsidP="00205CCE">
      <w:pPr>
        <w:pStyle w:val="Heading4"/>
      </w:pPr>
      <w:r w:rsidRPr="00D56ED9">
        <w:t>1987</w:t>
      </w:r>
      <w:r w:rsidR="00C87F14">
        <w:t>–</w:t>
      </w:r>
      <w:r w:rsidRPr="00D56ED9">
        <w:t>2012</w:t>
      </w:r>
    </w:p>
    <w:p w14:paraId="1BCE3554" w14:textId="77777777" w:rsidR="00172AC7" w:rsidRDefault="00C66972" w:rsidP="00D56ED9">
      <w:pPr>
        <w:spacing w:before="120"/>
        <w:rPr>
          <w:rFonts w:eastAsiaTheme="minorHAnsi"/>
        </w:rPr>
      </w:pPr>
      <w:r w:rsidRPr="00C66972">
        <w:rPr>
          <w:rFonts w:eastAsiaTheme="minorHAnsi"/>
        </w:rPr>
        <w:t xml:space="preserve">The </w:t>
      </w:r>
      <w:r w:rsidRPr="00AC483C">
        <w:rPr>
          <w:rFonts w:eastAsiaTheme="minorHAnsi"/>
          <w:i/>
        </w:rPr>
        <w:t>Workers’ Compensation Act 1987</w:t>
      </w:r>
      <w:r w:rsidRPr="00C66972">
        <w:rPr>
          <w:rFonts w:eastAsiaTheme="minorHAnsi"/>
        </w:rPr>
        <w:t xml:space="preserve"> repealed the 1926 Act and introduced a radically different scheme which included public underwriting of the scheme and removing the right of workers to make common law damages claims against their employers. In 1989 the </w:t>
      </w:r>
      <w:r w:rsidRPr="00AC483C">
        <w:rPr>
          <w:rFonts w:eastAsiaTheme="minorHAnsi"/>
          <w:i/>
        </w:rPr>
        <w:t>Workers’ Compensation (Compensation Court Amendment) Act 1989</w:t>
      </w:r>
      <w:r w:rsidRPr="00C66972">
        <w:rPr>
          <w:rFonts w:eastAsiaTheme="minorHAnsi"/>
        </w:rPr>
        <w:t xml:space="preserve"> re-established common law rights and set out the role of the Compensation Court.</w:t>
      </w:r>
    </w:p>
    <w:p w14:paraId="510D4646" w14:textId="77777777" w:rsidR="00172AC7" w:rsidRDefault="00C66972" w:rsidP="00D56ED9">
      <w:pPr>
        <w:spacing w:before="240"/>
        <w:rPr>
          <w:rFonts w:eastAsiaTheme="minorHAnsi"/>
        </w:rPr>
      </w:pPr>
      <w:r w:rsidRPr="00C66972">
        <w:rPr>
          <w:rFonts w:eastAsiaTheme="minorHAnsi"/>
        </w:rPr>
        <w:t>From 1987 to 1991 the workers’ compensation scheme performed well and in the early 1990s premium levels were reduced and there were a number of legislative amendments that expanded the range and level of benefits. However, the previous surplus of almost $1 billion quickly eroded and by mid</w:t>
      </w:r>
      <w:r w:rsidR="0090531A">
        <w:rPr>
          <w:rFonts w:eastAsiaTheme="minorHAnsi"/>
        </w:rPr>
        <w:t xml:space="preserve"> </w:t>
      </w:r>
      <w:r w:rsidRPr="00C66972">
        <w:rPr>
          <w:rFonts w:eastAsiaTheme="minorHAnsi"/>
        </w:rPr>
        <w:t xml:space="preserve">1996 there was a $454 million deficit. The Grellman Inquiry of 1997 was initiated to address continuing financial problems. The inquiry recommended structural changes including stakeholder management, accountability controls and greater incentives for injury management. </w:t>
      </w:r>
    </w:p>
    <w:p w14:paraId="1322BEEA" w14:textId="77777777" w:rsidR="00172AC7" w:rsidRDefault="00C66972" w:rsidP="00D56ED9">
      <w:pPr>
        <w:spacing w:before="240"/>
        <w:rPr>
          <w:rFonts w:eastAsiaTheme="minorHAnsi"/>
        </w:rPr>
      </w:pPr>
      <w:r w:rsidRPr="00C66972">
        <w:rPr>
          <w:rFonts w:eastAsiaTheme="minorHAnsi"/>
        </w:rPr>
        <w:t>Changes in the period 2000–2005 continued to focus on greater competition and choice for employers, improved outcomes for injured workers and reducing the scheme’s deficit, which was eliminated in mid 2006.</w:t>
      </w:r>
    </w:p>
    <w:p w14:paraId="02C275D7" w14:textId="40E60A3A" w:rsidR="00172AC7" w:rsidRDefault="00C66972" w:rsidP="00D56ED9">
      <w:pPr>
        <w:spacing w:before="240"/>
        <w:rPr>
          <w:rFonts w:eastAsiaTheme="minorHAnsi"/>
        </w:rPr>
      </w:pPr>
      <w:r w:rsidRPr="00C66972">
        <w:rPr>
          <w:rFonts w:eastAsiaTheme="minorHAnsi"/>
        </w:rPr>
        <w:t>The improved performance of the NSW WorkCover Scheme saw the target premium collection rate for NSW employers reduced by an average 30 per cent between N</w:t>
      </w:r>
      <w:r w:rsidR="0035009B">
        <w:rPr>
          <w:rFonts w:eastAsiaTheme="minorHAnsi"/>
        </w:rPr>
        <w:t>ovember 2005 and 2008. A 10 per </w:t>
      </w:r>
      <w:r w:rsidRPr="00C66972">
        <w:rPr>
          <w:rFonts w:eastAsiaTheme="minorHAnsi"/>
        </w:rPr>
        <w:t>cent increase in lump sum compensation benefits for permanent impairment was also implemented for injuries received on or after 1 January 2007.</w:t>
      </w:r>
    </w:p>
    <w:p w14:paraId="2D25CDA1" w14:textId="77777777" w:rsidR="00172AC7" w:rsidRDefault="00C66972" w:rsidP="00D56ED9">
      <w:pPr>
        <w:spacing w:before="240"/>
        <w:rPr>
          <w:rFonts w:eastAsiaTheme="minorHAnsi"/>
        </w:rPr>
      </w:pPr>
      <w:r w:rsidRPr="00C66972">
        <w:rPr>
          <w:rFonts w:eastAsiaTheme="minorHAnsi"/>
        </w:rPr>
        <w:t>The structure of the Scheme also continued to evolve. In 2005 the Scheme transitioned from using insurers on open-ended licences to appointing Scheme Agents on commercial performance contracts for claims management and policy administration services that commenced on 1 January 2006. The contracts made Agents more accountable for delivering good Scheme outcomes and improved service standards.</w:t>
      </w:r>
    </w:p>
    <w:p w14:paraId="41B3FA4F" w14:textId="3B0ABC28" w:rsidR="00172AC7" w:rsidRDefault="00C66972" w:rsidP="00D56ED9">
      <w:pPr>
        <w:spacing w:before="240"/>
        <w:rPr>
          <w:rFonts w:eastAsiaTheme="minorHAnsi"/>
        </w:rPr>
      </w:pPr>
      <w:r w:rsidRPr="00C66972">
        <w:rPr>
          <w:rFonts w:eastAsiaTheme="minorHAnsi"/>
        </w:rPr>
        <w:lastRenderedPageBreak/>
        <w:t>From 30 June 2008 employers whose annual wages are $7</w:t>
      </w:r>
      <w:r w:rsidR="00C87F14">
        <w:rPr>
          <w:rFonts w:eastAsiaTheme="minorHAnsi"/>
        </w:rPr>
        <w:t>,</w:t>
      </w:r>
      <w:r w:rsidRPr="00C66972">
        <w:rPr>
          <w:rFonts w:eastAsiaTheme="minorHAnsi"/>
        </w:rPr>
        <w:t>500 or less receive automatic coverage and are no longer required to hold workers’ compensation insurance, except where an employer engages an apprentice or trainee or is a member of a group of companies for workers’ compensation purposes.</w:t>
      </w:r>
    </w:p>
    <w:p w14:paraId="1A682ACE" w14:textId="3BD74A9F" w:rsidR="00172AC7" w:rsidRDefault="00C66972" w:rsidP="00D56ED9">
      <w:pPr>
        <w:spacing w:before="240"/>
        <w:rPr>
          <w:rFonts w:eastAsiaTheme="minorHAnsi"/>
        </w:rPr>
      </w:pPr>
      <w:r w:rsidRPr="00C66972">
        <w:rPr>
          <w:rFonts w:eastAsiaTheme="minorHAnsi"/>
        </w:rPr>
        <w:t xml:space="preserve">In December 2008 the compensation available to families of workers who die as a result of a workplace injury or illness was increased for deaths occurring on or after 24 October 2007. The lump sum death </w:t>
      </w:r>
      <w:r w:rsidR="00C87F14">
        <w:rPr>
          <w:rFonts w:eastAsiaTheme="minorHAnsi"/>
        </w:rPr>
        <w:t>benefit was increased from $343,550 to $425,</w:t>
      </w:r>
      <w:r w:rsidRPr="00C66972">
        <w:rPr>
          <w:rFonts w:eastAsiaTheme="minorHAnsi"/>
        </w:rPr>
        <w:t>000 (indexed). The changes also required payment of the lump sum to be made to a deceased worker’s estate where they leave no financial dependants. Previously only financial dependants were entitled to the lump sum payment.</w:t>
      </w:r>
    </w:p>
    <w:p w14:paraId="6D6BEFD0" w14:textId="77777777" w:rsidR="00172AC7" w:rsidRDefault="00C66972" w:rsidP="00D56ED9">
      <w:pPr>
        <w:spacing w:before="240"/>
        <w:rPr>
          <w:rFonts w:eastAsiaTheme="minorHAnsi"/>
        </w:rPr>
      </w:pPr>
      <w:r w:rsidRPr="00C66972">
        <w:rPr>
          <w:rFonts w:eastAsiaTheme="minorHAnsi"/>
        </w:rPr>
        <w:t>An optional alternative premium calculation method for large employers based on commercial retro-paid loss premium arrangements was introduced from 30 June 2009. The retro-paid loss premium method derives an employer’s premium almost entirely from their individual claims experience and success in injury prevention and claims management during the period of the insurance policy. This provides a strong financial incentive for these employers to reduce the number and cost of workers’ compensation claims.</w:t>
      </w:r>
    </w:p>
    <w:p w14:paraId="2BAA01CC" w14:textId="293EE88B" w:rsidR="00C66972" w:rsidRPr="00D56ED9" w:rsidRDefault="00C66972" w:rsidP="00205CCE">
      <w:pPr>
        <w:pStyle w:val="Heading4"/>
      </w:pPr>
      <w:r w:rsidRPr="00D56ED9">
        <w:t>2012</w:t>
      </w:r>
    </w:p>
    <w:p w14:paraId="3413BA7D" w14:textId="77777777" w:rsidR="00C66972" w:rsidRPr="00C66972" w:rsidRDefault="00C66972" w:rsidP="00F27407">
      <w:pPr>
        <w:rPr>
          <w:rFonts w:eastAsiaTheme="minorHAnsi"/>
        </w:rPr>
      </w:pPr>
      <w:r w:rsidRPr="00C66972">
        <w:rPr>
          <w:rFonts w:eastAsiaTheme="minorHAnsi"/>
        </w:rPr>
        <w:t xml:space="preserve">In June 2012 the NSW Government introduced significant changes to the NSW workers’ compensation system. The </w:t>
      </w:r>
      <w:r w:rsidRPr="00AC483C">
        <w:rPr>
          <w:rFonts w:eastAsiaTheme="minorHAnsi"/>
          <w:i/>
        </w:rPr>
        <w:t>Workers’ Compensation Legislation Amendment Act 2012</w:t>
      </w:r>
      <w:r w:rsidRPr="00C66972">
        <w:rPr>
          <w:rFonts w:eastAsiaTheme="minorHAnsi"/>
        </w:rPr>
        <w:t xml:space="preserve"> was assented on 27 June 2012 and amended the </w:t>
      </w:r>
      <w:r w:rsidRPr="00AC483C">
        <w:rPr>
          <w:rFonts w:eastAsiaTheme="minorHAnsi"/>
          <w:i/>
        </w:rPr>
        <w:t>Workers Compensation Act 1987</w:t>
      </w:r>
      <w:r w:rsidRPr="00C66972">
        <w:rPr>
          <w:rFonts w:eastAsiaTheme="minorHAnsi"/>
        </w:rPr>
        <w:t xml:space="preserve"> and the </w:t>
      </w:r>
      <w:r w:rsidRPr="00AC483C">
        <w:rPr>
          <w:rFonts w:eastAsiaTheme="minorHAnsi"/>
          <w:i/>
        </w:rPr>
        <w:t>Workplace Injury Management and Workers Compensation Act 1998</w:t>
      </w:r>
      <w:r w:rsidRPr="00C66972">
        <w:rPr>
          <w:rFonts w:eastAsiaTheme="minorHAnsi"/>
        </w:rPr>
        <w:t xml:space="preserve">. The changes affected all new and existing workers’ compensation claims, except for claims from: </w:t>
      </w:r>
    </w:p>
    <w:p w14:paraId="73E61CE8" w14:textId="77777777" w:rsidR="00C66972" w:rsidRPr="00F27407" w:rsidRDefault="00C66972" w:rsidP="00F839DB">
      <w:pPr>
        <w:pStyle w:val="ListParagraph"/>
        <w:numPr>
          <w:ilvl w:val="0"/>
          <w:numId w:val="492"/>
        </w:numPr>
        <w:rPr>
          <w:rFonts w:eastAsiaTheme="minorHAnsi"/>
        </w:rPr>
      </w:pPr>
      <w:r w:rsidRPr="00F27407">
        <w:rPr>
          <w:rFonts w:eastAsiaTheme="minorHAnsi"/>
        </w:rPr>
        <w:t xml:space="preserve">police officers, paramedics and fire fighters </w:t>
      </w:r>
    </w:p>
    <w:p w14:paraId="5DEFE5C4" w14:textId="77777777" w:rsidR="00C66972" w:rsidRPr="00F27407" w:rsidRDefault="00C66972" w:rsidP="00F839DB">
      <w:pPr>
        <w:pStyle w:val="ListParagraph"/>
        <w:numPr>
          <w:ilvl w:val="0"/>
          <w:numId w:val="492"/>
        </w:numPr>
        <w:rPr>
          <w:rFonts w:eastAsiaTheme="minorHAnsi"/>
        </w:rPr>
      </w:pPr>
      <w:r w:rsidRPr="00F27407">
        <w:rPr>
          <w:rFonts w:eastAsiaTheme="minorHAnsi"/>
        </w:rPr>
        <w:t xml:space="preserve">workers injured while working in or around a coal mine </w:t>
      </w:r>
    </w:p>
    <w:p w14:paraId="574E8936" w14:textId="77777777" w:rsidR="00C66972" w:rsidRPr="00F27407" w:rsidRDefault="00C66972" w:rsidP="00F839DB">
      <w:pPr>
        <w:pStyle w:val="ListParagraph"/>
        <w:numPr>
          <w:ilvl w:val="0"/>
          <w:numId w:val="492"/>
        </w:numPr>
        <w:rPr>
          <w:rFonts w:eastAsiaTheme="minorHAnsi"/>
        </w:rPr>
      </w:pPr>
      <w:r w:rsidRPr="00F27407">
        <w:rPr>
          <w:rFonts w:eastAsiaTheme="minorHAnsi"/>
        </w:rPr>
        <w:t xml:space="preserve">bush fire fighter and emergency service volunteers (Rural Fire Service, Surf Life Savers, SES volunteers), and </w:t>
      </w:r>
    </w:p>
    <w:p w14:paraId="1B09937C" w14:textId="77777777" w:rsidR="00F27407" w:rsidRDefault="00C66972" w:rsidP="00F839DB">
      <w:pPr>
        <w:pStyle w:val="ListParagraph"/>
        <w:numPr>
          <w:ilvl w:val="0"/>
          <w:numId w:val="492"/>
        </w:numPr>
        <w:rPr>
          <w:rFonts w:eastAsiaTheme="minorHAnsi"/>
        </w:rPr>
      </w:pPr>
      <w:r w:rsidRPr="00F27407">
        <w:rPr>
          <w:rFonts w:eastAsiaTheme="minorHAnsi"/>
        </w:rPr>
        <w:t xml:space="preserve">people with a dust disease claim under the </w:t>
      </w:r>
      <w:r w:rsidRPr="007239A5">
        <w:rPr>
          <w:rFonts w:eastAsiaTheme="minorHAnsi"/>
          <w:i/>
        </w:rPr>
        <w:t>Workers’ Compensation (Dust Diseases) Act 1942</w:t>
      </w:r>
      <w:r w:rsidRPr="00F27407">
        <w:rPr>
          <w:rFonts w:eastAsiaTheme="minorHAnsi"/>
        </w:rPr>
        <w:t xml:space="preserve">. </w:t>
      </w:r>
    </w:p>
    <w:p w14:paraId="7AF2C3DD" w14:textId="596BB212" w:rsidR="00C66972" w:rsidRPr="00F27407" w:rsidRDefault="00C7036A" w:rsidP="00F27407">
      <w:pPr>
        <w:pStyle w:val="ListParagraph"/>
        <w:ind w:left="720"/>
        <w:rPr>
          <w:rFonts w:eastAsiaTheme="minorHAnsi"/>
        </w:rPr>
      </w:pPr>
      <w:r w:rsidRPr="00F27407">
        <w:rPr>
          <w:rFonts w:eastAsiaTheme="minorHAnsi"/>
        </w:rPr>
        <w:fldChar w:fldCharType="begin"/>
      </w:r>
      <w:r>
        <w:instrText xml:space="preserve"> XE "</w:instrText>
      </w:r>
      <w:r w:rsidRPr="001854C8">
        <w:instrText>dust diseases</w:instrText>
      </w:r>
      <w:r>
        <w:instrText xml:space="preserve">" </w:instrText>
      </w:r>
      <w:r w:rsidRPr="00F27407">
        <w:rPr>
          <w:rFonts w:eastAsiaTheme="minorHAnsi"/>
        </w:rPr>
        <w:fldChar w:fldCharType="end"/>
      </w:r>
    </w:p>
    <w:p w14:paraId="14A13A3E" w14:textId="0598BB58" w:rsidR="00C66972" w:rsidRPr="00C66972" w:rsidRDefault="00C66972" w:rsidP="00F27407">
      <w:pPr>
        <w:rPr>
          <w:rFonts w:eastAsiaTheme="minorHAnsi"/>
        </w:rPr>
      </w:pPr>
      <w:r w:rsidRPr="00C66972">
        <w:rPr>
          <w:rFonts w:eastAsiaTheme="minorHAnsi"/>
        </w:rPr>
        <w:t>Claims by these exempt workers will continue to be managed and administered as though the June 2012 changes never occurred. The changes came into effect in stages and included:</w:t>
      </w:r>
    </w:p>
    <w:p w14:paraId="0844280E" w14:textId="77777777" w:rsidR="00C66972" w:rsidRPr="00F27407" w:rsidRDefault="00C66972" w:rsidP="00F839DB">
      <w:pPr>
        <w:pStyle w:val="ListParagraph"/>
        <w:numPr>
          <w:ilvl w:val="0"/>
          <w:numId w:val="493"/>
        </w:numPr>
        <w:rPr>
          <w:rFonts w:eastAsiaTheme="minorHAnsi"/>
        </w:rPr>
      </w:pPr>
      <w:r w:rsidRPr="00F27407">
        <w:rPr>
          <w:rFonts w:eastAsiaTheme="minorHAnsi"/>
        </w:rPr>
        <w:t>changes to permanent impairment lump sum compensation claims made on or after 19 June 2012</w:t>
      </w:r>
    </w:p>
    <w:p w14:paraId="39C15829" w14:textId="77777777" w:rsidR="00C66972" w:rsidRPr="00F27407" w:rsidRDefault="00C66972" w:rsidP="00F839DB">
      <w:pPr>
        <w:pStyle w:val="ListParagraph"/>
        <w:numPr>
          <w:ilvl w:val="0"/>
          <w:numId w:val="493"/>
        </w:numPr>
        <w:rPr>
          <w:rFonts w:eastAsiaTheme="minorHAnsi"/>
        </w:rPr>
      </w:pPr>
      <w:r w:rsidRPr="00F27407">
        <w:rPr>
          <w:rFonts w:eastAsiaTheme="minorHAnsi"/>
        </w:rPr>
        <w:t xml:space="preserve">changes to parameters around journey claims, heart attack and stroke injuries and disease injuries for an injury received on or after 19 June 2012 </w:t>
      </w:r>
    </w:p>
    <w:p w14:paraId="495FE3C7" w14:textId="77777777" w:rsidR="00C66972" w:rsidRPr="00F27407" w:rsidRDefault="00C66972" w:rsidP="00F839DB">
      <w:pPr>
        <w:pStyle w:val="ListParagraph"/>
        <w:numPr>
          <w:ilvl w:val="0"/>
          <w:numId w:val="493"/>
        </w:numPr>
        <w:rPr>
          <w:rFonts w:eastAsiaTheme="minorHAnsi"/>
        </w:rPr>
      </w:pPr>
      <w:r w:rsidRPr="00F27407">
        <w:rPr>
          <w:rFonts w:eastAsiaTheme="minorHAnsi"/>
        </w:rPr>
        <w:t>reforms for seriously injured workers (injured workers with a permanent impairment of more than 30 per cent) which came into effect on 17 September 2012</w:t>
      </w:r>
    </w:p>
    <w:p w14:paraId="7EB21CAF" w14:textId="09A2B3BB" w:rsidR="00C66972" w:rsidRPr="00F27407" w:rsidRDefault="00101E20" w:rsidP="00F839DB">
      <w:pPr>
        <w:pStyle w:val="ListParagraph"/>
        <w:numPr>
          <w:ilvl w:val="0"/>
          <w:numId w:val="493"/>
        </w:numPr>
        <w:rPr>
          <w:rFonts w:eastAsiaTheme="minorHAnsi"/>
        </w:rPr>
      </w:pPr>
      <w:r w:rsidRPr="00F27407">
        <w:rPr>
          <w:rFonts w:eastAsiaTheme="minorHAnsi"/>
        </w:rPr>
        <w:t>c</w:t>
      </w:r>
      <w:r w:rsidR="00C66972" w:rsidRPr="00F27407">
        <w:rPr>
          <w:rFonts w:eastAsiaTheme="minorHAnsi"/>
        </w:rPr>
        <w:t>hanges to weekly payments (1 October 2012 for new claims, 1 January 2013 for existing claims) including calculati</w:t>
      </w:r>
      <w:r w:rsidR="00F27407">
        <w:rPr>
          <w:rFonts w:eastAsiaTheme="minorHAnsi"/>
        </w:rPr>
        <w:t>on methods, step-downs and caps</w:t>
      </w:r>
    </w:p>
    <w:p w14:paraId="12036C26" w14:textId="77777777" w:rsidR="00C66972" w:rsidRPr="00F27407" w:rsidRDefault="00101E20" w:rsidP="00F839DB">
      <w:pPr>
        <w:pStyle w:val="ListParagraph"/>
        <w:numPr>
          <w:ilvl w:val="0"/>
          <w:numId w:val="493"/>
        </w:numPr>
        <w:rPr>
          <w:rFonts w:eastAsiaTheme="minorHAnsi"/>
        </w:rPr>
      </w:pPr>
      <w:r w:rsidRPr="00F27407">
        <w:rPr>
          <w:rFonts w:eastAsiaTheme="minorHAnsi"/>
        </w:rPr>
        <w:t>t</w:t>
      </w:r>
      <w:r w:rsidR="00C66972" w:rsidRPr="00F27407">
        <w:rPr>
          <w:rFonts w:eastAsiaTheme="minorHAnsi"/>
        </w:rPr>
        <w:t>he introduction of work capacity assessments</w:t>
      </w:r>
    </w:p>
    <w:p w14:paraId="2858A9F9" w14:textId="5DB1F4AE" w:rsidR="00C66972" w:rsidRPr="00F27407" w:rsidRDefault="00101E20" w:rsidP="00F839DB">
      <w:pPr>
        <w:pStyle w:val="ListParagraph"/>
        <w:numPr>
          <w:ilvl w:val="0"/>
          <w:numId w:val="493"/>
        </w:numPr>
        <w:rPr>
          <w:rFonts w:eastAsiaTheme="minorHAnsi"/>
        </w:rPr>
      </w:pPr>
      <w:r w:rsidRPr="00F27407">
        <w:rPr>
          <w:rFonts w:eastAsiaTheme="minorHAnsi"/>
        </w:rPr>
        <w:t>t</w:t>
      </w:r>
      <w:r w:rsidR="00C66972" w:rsidRPr="00F27407">
        <w:rPr>
          <w:rFonts w:eastAsiaTheme="minorHAnsi"/>
        </w:rPr>
        <w:t>he establishment of the WorkCover Independent Review Officer (now Workers</w:t>
      </w:r>
      <w:r w:rsidR="00FA2384">
        <w:rPr>
          <w:rFonts w:eastAsiaTheme="minorHAnsi"/>
        </w:rPr>
        <w:t>’</w:t>
      </w:r>
      <w:r w:rsidR="00C66972" w:rsidRPr="00F27407">
        <w:rPr>
          <w:rFonts w:eastAsiaTheme="minorHAnsi"/>
        </w:rPr>
        <w:t xml:space="preserve"> Compensation Independent Revi</w:t>
      </w:r>
      <w:r w:rsidR="00F27407">
        <w:rPr>
          <w:rFonts w:eastAsiaTheme="minorHAnsi"/>
        </w:rPr>
        <w:t>ew Officer from 1 October 2012, and</w:t>
      </w:r>
    </w:p>
    <w:p w14:paraId="239B093F" w14:textId="27451010" w:rsidR="006A50D4" w:rsidRDefault="00101E20" w:rsidP="00F839DB">
      <w:pPr>
        <w:pStyle w:val="ListParagraph"/>
        <w:numPr>
          <w:ilvl w:val="0"/>
          <w:numId w:val="493"/>
        </w:numPr>
        <w:rPr>
          <w:rFonts w:eastAsiaTheme="minorHAnsi"/>
        </w:rPr>
      </w:pPr>
      <w:r w:rsidRPr="00F27407">
        <w:rPr>
          <w:rFonts w:eastAsiaTheme="minorHAnsi"/>
        </w:rPr>
        <w:t>c</w:t>
      </w:r>
      <w:r w:rsidR="00C66972" w:rsidRPr="00F27407">
        <w:rPr>
          <w:rFonts w:eastAsiaTheme="minorHAnsi"/>
        </w:rPr>
        <w:t>hanges to medical and related treatment (1 October 201</w:t>
      </w:r>
      <w:r w:rsidR="00FA2384">
        <w:rPr>
          <w:rFonts w:eastAsiaTheme="minorHAnsi"/>
        </w:rPr>
        <w:t>2 for new claims, and 1 January </w:t>
      </w:r>
      <w:r w:rsidR="00C66972" w:rsidRPr="00F27407">
        <w:rPr>
          <w:rFonts w:eastAsiaTheme="minorHAnsi"/>
        </w:rPr>
        <w:t>2013 for existing claims).</w:t>
      </w:r>
    </w:p>
    <w:p w14:paraId="271D51B9" w14:textId="585DDAAD" w:rsidR="00C66972" w:rsidRPr="00D56ED9" w:rsidRDefault="00C66972" w:rsidP="00205CCE">
      <w:pPr>
        <w:pStyle w:val="Heading4"/>
      </w:pPr>
      <w:r w:rsidRPr="00D56ED9">
        <w:t>2014</w:t>
      </w:r>
    </w:p>
    <w:p w14:paraId="72B277FB" w14:textId="5AD9F785" w:rsidR="00172AC7" w:rsidRDefault="00C66972" w:rsidP="00F27407">
      <w:pPr>
        <w:rPr>
          <w:rFonts w:eastAsiaTheme="minorHAnsi"/>
        </w:rPr>
      </w:pPr>
      <w:r w:rsidRPr="00101E20">
        <w:rPr>
          <w:rFonts w:eastAsiaTheme="minorHAnsi"/>
        </w:rPr>
        <w:t xml:space="preserve">The </w:t>
      </w:r>
      <w:r w:rsidRPr="00FA2384">
        <w:rPr>
          <w:rFonts w:eastAsiaTheme="minorHAnsi"/>
          <w:i/>
        </w:rPr>
        <w:t>Workers Compensation Amendment (Existing Claims) Regulation 2014</w:t>
      </w:r>
      <w:r w:rsidRPr="00101E20">
        <w:rPr>
          <w:rFonts w:eastAsiaTheme="minorHAnsi"/>
        </w:rPr>
        <w:t xml:space="preserve"> w</w:t>
      </w:r>
      <w:r w:rsidR="00FA2384">
        <w:rPr>
          <w:rFonts w:eastAsiaTheme="minorHAnsi"/>
        </w:rPr>
        <w:t>as made on 3 </w:t>
      </w:r>
      <w:r w:rsidRPr="00101E20">
        <w:rPr>
          <w:rFonts w:eastAsiaTheme="minorHAnsi"/>
        </w:rPr>
        <w:t>September 2014 and applies some benefit reforms to workers who made a claim for compensation before 1 October 2012.</w:t>
      </w:r>
    </w:p>
    <w:p w14:paraId="47786927" w14:textId="60DBFE2A" w:rsidR="00C66972" w:rsidRPr="00D56ED9" w:rsidRDefault="00C66972" w:rsidP="00205CCE">
      <w:pPr>
        <w:pStyle w:val="Heading4"/>
      </w:pPr>
      <w:r w:rsidRPr="00D56ED9">
        <w:t>2015</w:t>
      </w:r>
    </w:p>
    <w:p w14:paraId="7166DFB2" w14:textId="77777777" w:rsidR="00C66972" w:rsidRPr="00C66972" w:rsidRDefault="00C66972" w:rsidP="00F27407">
      <w:pPr>
        <w:rPr>
          <w:rFonts w:eastAsiaTheme="minorHAnsi"/>
        </w:rPr>
      </w:pPr>
      <w:r w:rsidRPr="00C66972">
        <w:rPr>
          <w:rFonts w:eastAsiaTheme="minorHAnsi"/>
        </w:rPr>
        <w:lastRenderedPageBreak/>
        <w:t>In August 2015, the NSW Government announced a $1 billion staged reform package with three elements:</w:t>
      </w:r>
    </w:p>
    <w:p w14:paraId="12A0AA66" w14:textId="0C8524E8" w:rsidR="00C66972" w:rsidRPr="00F27407" w:rsidRDefault="00101E20" w:rsidP="00F839DB">
      <w:pPr>
        <w:pStyle w:val="ListParagraph"/>
        <w:numPr>
          <w:ilvl w:val="0"/>
          <w:numId w:val="494"/>
        </w:numPr>
        <w:rPr>
          <w:rFonts w:eastAsiaTheme="minorHAnsi"/>
        </w:rPr>
      </w:pPr>
      <w:r w:rsidRPr="00F27407">
        <w:rPr>
          <w:rFonts w:eastAsiaTheme="minorHAnsi"/>
        </w:rPr>
        <w:t>e</w:t>
      </w:r>
      <w:r w:rsidR="00C66972" w:rsidRPr="00F27407">
        <w:rPr>
          <w:rFonts w:eastAsiaTheme="minorHAnsi"/>
        </w:rPr>
        <w:t>nhanced benefits for injured workers, including changes to lump sum compensation for permanent impairment, increased death benefit lump sum and funeral expenses</w:t>
      </w:r>
      <w:r w:rsidR="00A41653" w:rsidRPr="00F27407">
        <w:rPr>
          <w:rFonts w:eastAsiaTheme="minorHAnsi"/>
        </w:rPr>
        <w:fldChar w:fldCharType="begin"/>
      </w:r>
      <w:r w:rsidR="00A41653">
        <w:instrText xml:space="preserve"> XE "</w:instrText>
      </w:r>
      <w:r w:rsidR="00A41653" w:rsidRPr="00F27407">
        <w:rPr>
          <w:rFonts w:eastAsiaTheme="minorHAnsi"/>
        </w:rPr>
        <w:instrText>funeral expenses</w:instrText>
      </w:r>
      <w:r w:rsidR="00A41653">
        <w:instrText xml:space="preserve">" </w:instrText>
      </w:r>
      <w:r w:rsidR="00A41653" w:rsidRPr="00F27407">
        <w:rPr>
          <w:rFonts w:eastAsiaTheme="minorHAnsi"/>
        </w:rPr>
        <w:fldChar w:fldCharType="end"/>
      </w:r>
      <w:r w:rsidR="00C66972" w:rsidRPr="00F27407">
        <w:rPr>
          <w:rFonts w:eastAsiaTheme="minorHAnsi"/>
        </w:rPr>
        <w:t>, extension of weekly payments beyond retiring age, extended medical entitlements, the introduction of work capacity decision ‘stay’, the introduction of new return to work assistance benefits, the regulation of legal costs for work capacity decision reviews and the regulation of pre-injury average weekly earnings.</w:t>
      </w:r>
    </w:p>
    <w:p w14:paraId="38B5D2E9" w14:textId="77777777" w:rsidR="00C66972" w:rsidRPr="00F27407" w:rsidRDefault="00101E20" w:rsidP="00F839DB">
      <w:pPr>
        <w:pStyle w:val="ListParagraph"/>
        <w:numPr>
          <w:ilvl w:val="0"/>
          <w:numId w:val="494"/>
        </w:numPr>
        <w:rPr>
          <w:rFonts w:eastAsiaTheme="minorHAnsi"/>
        </w:rPr>
      </w:pPr>
      <w:r w:rsidRPr="00F27407">
        <w:rPr>
          <w:rFonts w:eastAsiaTheme="minorHAnsi"/>
        </w:rPr>
        <w:t>p</w:t>
      </w:r>
      <w:r w:rsidR="00C66972" w:rsidRPr="00F27407">
        <w:rPr>
          <w:rFonts w:eastAsiaTheme="minorHAnsi"/>
        </w:rPr>
        <w:t>remium reductions for employers with good safety and return to work records</w:t>
      </w:r>
    </w:p>
    <w:p w14:paraId="32C212EF" w14:textId="77777777" w:rsidR="006A50D4" w:rsidRDefault="00101E20" w:rsidP="00F839DB">
      <w:pPr>
        <w:pStyle w:val="ListParagraph"/>
        <w:numPr>
          <w:ilvl w:val="0"/>
          <w:numId w:val="494"/>
        </w:numPr>
        <w:rPr>
          <w:rFonts w:eastAsiaTheme="minorHAnsi"/>
        </w:rPr>
      </w:pPr>
      <w:r w:rsidRPr="00F27407">
        <w:rPr>
          <w:rFonts w:eastAsiaTheme="minorHAnsi"/>
        </w:rPr>
        <w:t>s</w:t>
      </w:r>
      <w:r w:rsidR="00C66972" w:rsidRPr="00F27407">
        <w:rPr>
          <w:rFonts w:eastAsiaTheme="minorHAnsi"/>
        </w:rPr>
        <w:t>tructural reform for better service and regulation</w:t>
      </w:r>
    </w:p>
    <w:p w14:paraId="4AFD99A9" w14:textId="77777777" w:rsidR="00D56ED9" w:rsidRDefault="00D56ED9" w:rsidP="00F27407">
      <w:pPr>
        <w:rPr>
          <w:rFonts w:eastAsiaTheme="minorHAnsi"/>
        </w:rPr>
      </w:pPr>
    </w:p>
    <w:p w14:paraId="18F23DD9" w14:textId="0C9EFAD2" w:rsidR="00172AC7" w:rsidRDefault="00C66972" w:rsidP="00F27407">
      <w:pPr>
        <w:rPr>
          <w:rFonts w:eastAsiaTheme="minorHAnsi"/>
        </w:rPr>
      </w:pPr>
      <w:r w:rsidRPr="00C66972">
        <w:rPr>
          <w:rFonts w:eastAsiaTheme="minorHAnsi"/>
        </w:rPr>
        <w:t xml:space="preserve">On 1 September 2015 the </w:t>
      </w:r>
      <w:r w:rsidRPr="007239A5">
        <w:rPr>
          <w:rFonts w:eastAsiaTheme="minorHAnsi"/>
          <w:i/>
        </w:rPr>
        <w:t>State Insurance and Care Governance Act 2015</w:t>
      </w:r>
      <w:r w:rsidRPr="00C66972">
        <w:rPr>
          <w:rFonts w:eastAsiaTheme="minorHAnsi"/>
        </w:rPr>
        <w:t xml:space="preserve"> commenced, paving the way for three new organisations - Insurance &amp; Care NSW (icare), the State Insurance Regulatory Authority (SIRA), and SafeWork NSW. icare manages approximately $30 billion in assets and $26</w:t>
      </w:r>
      <w:r w:rsidR="00C87F14">
        <w:rPr>
          <w:rFonts w:eastAsiaTheme="minorHAnsi"/>
        </w:rPr>
        <w:t> </w:t>
      </w:r>
      <w:r w:rsidRPr="00C66972">
        <w:rPr>
          <w:rFonts w:eastAsiaTheme="minorHAnsi"/>
        </w:rPr>
        <w:t>billion in liabilities, making it the largest general insurer service provider in Australia. SIRA is a new government organisation responsible for the regulatory functions in relation to workers’ compensation insurance, motor accidents compulsory third party (CTP) insurance and home building compensation.</w:t>
      </w:r>
    </w:p>
    <w:p w14:paraId="6C426818" w14:textId="43B1D983" w:rsidR="00C66972" w:rsidRPr="00D56ED9" w:rsidRDefault="00C66972" w:rsidP="00205CCE">
      <w:pPr>
        <w:pStyle w:val="Heading4"/>
      </w:pPr>
      <w:r w:rsidRPr="00D56ED9">
        <w:t>2016</w:t>
      </w:r>
    </w:p>
    <w:p w14:paraId="61B80C6E" w14:textId="1FEDEEF7" w:rsidR="006A50D4" w:rsidRDefault="00F3406F" w:rsidP="00F27407">
      <w:pPr>
        <w:rPr>
          <w:rFonts w:eastAsiaTheme="minorHAnsi"/>
        </w:rPr>
      </w:pPr>
      <w:r>
        <w:rPr>
          <w:rFonts w:eastAsiaTheme="minorHAnsi"/>
        </w:rPr>
        <w:t>From</w:t>
      </w:r>
      <w:r w:rsidR="00C66972" w:rsidRPr="00C66972">
        <w:rPr>
          <w:rFonts w:eastAsiaTheme="minorHAnsi"/>
        </w:rPr>
        <w:t xml:space="preserve"> 2016/17</w:t>
      </w:r>
      <w:r>
        <w:rPr>
          <w:rFonts w:eastAsiaTheme="minorHAnsi"/>
        </w:rPr>
        <w:t>, annual</w:t>
      </w:r>
      <w:r w:rsidR="00C66972" w:rsidRPr="00C66972">
        <w:rPr>
          <w:rFonts w:eastAsiaTheme="minorHAnsi"/>
        </w:rPr>
        <w:t xml:space="preserve"> Market Practice and Premiums Guidelines replaced the publication of the WorkCover Insurance Premiums Order, and provide</w:t>
      </w:r>
      <w:r>
        <w:rPr>
          <w:rFonts w:eastAsiaTheme="minorHAnsi"/>
        </w:rPr>
        <w:t>d</w:t>
      </w:r>
      <w:r w:rsidR="00C66972" w:rsidRPr="00C66972">
        <w:rPr>
          <w:rFonts w:eastAsiaTheme="minorHAnsi"/>
        </w:rPr>
        <w:t xml:space="preserve"> a new mechanism for the setting and assessment of </w:t>
      </w:r>
      <w:r w:rsidR="00FA2384">
        <w:rPr>
          <w:rFonts w:eastAsiaTheme="minorHAnsi"/>
        </w:rPr>
        <w:t>w</w:t>
      </w:r>
      <w:r w:rsidR="00C66972" w:rsidRPr="00C66972">
        <w:rPr>
          <w:rFonts w:eastAsiaTheme="minorHAnsi"/>
        </w:rPr>
        <w:t>orkers</w:t>
      </w:r>
      <w:r w:rsidR="00FA2384">
        <w:rPr>
          <w:rFonts w:eastAsiaTheme="minorHAnsi"/>
        </w:rPr>
        <w:t>’</w:t>
      </w:r>
      <w:r w:rsidR="00C66972" w:rsidRPr="00C66972">
        <w:rPr>
          <w:rFonts w:eastAsiaTheme="minorHAnsi"/>
        </w:rPr>
        <w:t xml:space="preserve"> </w:t>
      </w:r>
      <w:r w:rsidR="00FA2384">
        <w:rPr>
          <w:rFonts w:eastAsiaTheme="minorHAnsi"/>
        </w:rPr>
        <w:t>c</w:t>
      </w:r>
      <w:r w:rsidR="00C66972" w:rsidRPr="00C66972">
        <w:rPr>
          <w:rFonts w:eastAsiaTheme="minorHAnsi"/>
        </w:rPr>
        <w:t>ompensation premiums.</w:t>
      </w:r>
      <w:r w:rsidR="00DD0D68">
        <w:rPr>
          <w:rFonts w:eastAsiaTheme="minorHAnsi"/>
        </w:rPr>
        <w:t xml:space="preserve"> </w:t>
      </w:r>
    </w:p>
    <w:p w14:paraId="36FAA530" w14:textId="2D6A9AE6" w:rsidR="00F3406F" w:rsidRPr="007B6C0B" w:rsidRDefault="00F3406F" w:rsidP="00F27407">
      <w:pPr>
        <w:rPr>
          <w:rFonts w:eastAsiaTheme="minorHAnsi"/>
        </w:rPr>
      </w:pPr>
      <w:r w:rsidRPr="007B6C0B">
        <w:rPr>
          <w:rFonts w:eastAsiaTheme="minorHAnsi"/>
        </w:rPr>
        <w:t>The Workers Compensation Amendment (Legal Costs) Regulation 2016 was made on 16 December 2016 and provides for the recovery of legal costs for merit reviews of work capacity decisions. Further transitional arrangements for workers receiving weekly payments of compensation before 1 October 2012 were also made on 16 December 2016 under the Workers Compensation Amendment (Transitional Arrangements for Weekly Payments) Regulation 2016.</w:t>
      </w:r>
    </w:p>
    <w:p w14:paraId="03154DB1" w14:textId="047051E9" w:rsidR="00C66972" w:rsidRPr="00205CCE" w:rsidRDefault="00C66972" w:rsidP="00205CCE">
      <w:pPr>
        <w:pStyle w:val="Title"/>
      </w:pPr>
      <w:bookmarkStart w:id="274" w:name="_Toc504654735"/>
      <w:bookmarkStart w:id="275" w:name="VIC"/>
      <w:bookmarkEnd w:id="273"/>
      <w:r w:rsidRPr="00205CCE">
        <w:t>Victoria</w:t>
      </w:r>
      <w:bookmarkEnd w:id="274"/>
      <w:r w:rsidR="000041B6" w:rsidRPr="00205CCE">
        <w:fldChar w:fldCharType="begin"/>
      </w:r>
      <w:r w:rsidR="000041B6" w:rsidRPr="00205CCE">
        <w:instrText xml:space="preserve"> XE "Victoria:schemes history and evolution" \r "VIC" </w:instrText>
      </w:r>
      <w:r w:rsidR="000041B6" w:rsidRPr="00205CCE">
        <w:fldChar w:fldCharType="end"/>
      </w:r>
      <w:r w:rsidR="001A701E" w:rsidRPr="00205CCE">
        <w:fldChar w:fldCharType="begin"/>
      </w:r>
      <w:r w:rsidR="001A701E" w:rsidRPr="00205CCE">
        <w:instrText xml:space="preserve"> XE "schemes history and evolution:Victoria" \r "VIC" </w:instrText>
      </w:r>
      <w:r w:rsidR="001A701E" w:rsidRPr="00205CCE">
        <w:fldChar w:fldCharType="end"/>
      </w:r>
    </w:p>
    <w:p w14:paraId="2552545C" w14:textId="77777777" w:rsidR="00172AC7" w:rsidRDefault="00C66972" w:rsidP="00F27407">
      <w:pPr>
        <w:rPr>
          <w:rFonts w:eastAsiaTheme="minorHAnsi"/>
        </w:rPr>
      </w:pPr>
      <w:r w:rsidRPr="00C66972">
        <w:rPr>
          <w:rFonts w:eastAsiaTheme="minorHAnsi"/>
        </w:rPr>
        <w:t xml:space="preserve">Victoria introduced the </w:t>
      </w:r>
      <w:r w:rsidRPr="007239A5">
        <w:rPr>
          <w:rFonts w:eastAsiaTheme="minorHAnsi"/>
          <w:i/>
        </w:rPr>
        <w:t>Workers’ Compensation Act 1914</w:t>
      </w:r>
      <w:r w:rsidRPr="00C66972">
        <w:rPr>
          <w:rFonts w:eastAsiaTheme="minorHAnsi"/>
        </w:rPr>
        <w:t xml:space="preserve"> with benefits payable to workers arising ‘out of and in the course of’ employment. The </w:t>
      </w:r>
      <w:r w:rsidRPr="007239A5">
        <w:rPr>
          <w:rFonts w:eastAsiaTheme="minorHAnsi"/>
          <w:i/>
        </w:rPr>
        <w:t>Workers’ Compensation Act 1946</w:t>
      </w:r>
      <w:r w:rsidRPr="00C66972">
        <w:rPr>
          <w:rFonts w:eastAsiaTheme="minorHAnsi"/>
        </w:rPr>
        <w:t xml:space="preserve"> changed to arising ‘out of or in the course’ of employment. Major amendments were made in 1984 and the </w:t>
      </w:r>
      <w:r w:rsidRPr="007239A5">
        <w:rPr>
          <w:rFonts w:eastAsiaTheme="minorHAnsi"/>
          <w:i/>
        </w:rPr>
        <w:t>Accident Compensation Act 1985</w:t>
      </w:r>
      <w:r w:rsidRPr="00C66972">
        <w:rPr>
          <w:rFonts w:eastAsiaTheme="minorHAnsi"/>
        </w:rPr>
        <w:t xml:space="preserve"> was introduced. The </w:t>
      </w:r>
      <w:r w:rsidRPr="007239A5">
        <w:rPr>
          <w:rFonts w:eastAsiaTheme="minorHAnsi"/>
          <w:i/>
        </w:rPr>
        <w:t>Accident Compensation Act 1985</w:t>
      </w:r>
      <w:r w:rsidRPr="00C66972">
        <w:rPr>
          <w:rFonts w:eastAsiaTheme="minorHAnsi"/>
        </w:rPr>
        <w:t xml:space="preserve"> made sweeping changes to the system including public underwriting, vocational rehabilitation, work health and safety reforms and a new dispute resolution system. </w:t>
      </w:r>
    </w:p>
    <w:p w14:paraId="33E057D0" w14:textId="203B7DB5" w:rsidR="006A50D4" w:rsidRDefault="00C66972" w:rsidP="00F27407">
      <w:pPr>
        <w:rPr>
          <w:rFonts w:eastAsiaTheme="minorHAnsi"/>
        </w:rPr>
      </w:pPr>
      <w:r w:rsidRPr="00C66972">
        <w:rPr>
          <w:rFonts w:eastAsiaTheme="minorHAnsi"/>
        </w:rPr>
        <w:t>The Act has been constantly updated with major reforms as follows:</w:t>
      </w:r>
    </w:p>
    <w:p w14:paraId="45F715CD" w14:textId="2B7147E8" w:rsidR="00C66972" w:rsidRPr="00D56ED9" w:rsidRDefault="00C66972" w:rsidP="00205CCE">
      <w:pPr>
        <w:pStyle w:val="Heading4"/>
      </w:pPr>
      <w:r w:rsidRPr="00D56ED9">
        <w:t>1992</w:t>
      </w:r>
    </w:p>
    <w:p w14:paraId="330C4153" w14:textId="77777777" w:rsidR="00C66972" w:rsidRPr="00F27407" w:rsidRDefault="00C66972" w:rsidP="00F839DB">
      <w:pPr>
        <w:pStyle w:val="ListParagraph"/>
        <w:numPr>
          <w:ilvl w:val="0"/>
          <w:numId w:val="495"/>
        </w:numPr>
        <w:rPr>
          <w:rFonts w:eastAsiaTheme="minorHAnsi"/>
        </w:rPr>
      </w:pPr>
      <w:r w:rsidRPr="00F27407">
        <w:rPr>
          <w:rFonts w:eastAsiaTheme="minorHAnsi"/>
        </w:rPr>
        <w:t>restricting weekly benefits for workers with a partial work capacity</w:t>
      </w:r>
    </w:p>
    <w:p w14:paraId="7832DD8C" w14:textId="77777777" w:rsidR="00C66972" w:rsidRPr="00F27407" w:rsidRDefault="00C66972" w:rsidP="00F839DB">
      <w:pPr>
        <w:pStyle w:val="ListParagraph"/>
        <w:numPr>
          <w:ilvl w:val="0"/>
          <w:numId w:val="495"/>
        </w:numPr>
        <w:rPr>
          <w:rFonts w:eastAsiaTheme="minorHAnsi"/>
        </w:rPr>
      </w:pPr>
      <w:r w:rsidRPr="00F27407">
        <w:rPr>
          <w:rFonts w:eastAsiaTheme="minorHAnsi"/>
        </w:rPr>
        <w:t>introducing a non-adversarial dispute resolution system via conciliation</w:t>
      </w:r>
    </w:p>
    <w:p w14:paraId="526A403D" w14:textId="77777777" w:rsidR="00C66972" w:rsidRPr="00F27407" w:rsidRDefault="00C66972" w:rsidP="00F839DB">
      <w:pPr>
        <w:pStyle w:val="ListParagraph"/>
        <w:numPr>
          <w:ilvl w:val="0"/>
          <w:numId w:val="495"/>
        </w:numPr>
        <w:rPr>
          <w:rFonts w:eastAsiaTheme="minorHAnsi"/>
        </w:rPr>
      </w:pPr>
      <w:r w:rsidRPr="00F27407">
        <w:rPr>
          <w:rFonts w:eastAsiaTheme="minorHAnsi"/>
        </w:rPr>
        <w:t>establishing expert Medical Panels to determine medical questions</w:t>
      </w:r>
    </w:p>
    <w:p w14:paraId="512F5214" w14:textId="77777777" w:rsidR="00C66972" w:rsidRPr="00F27407" w:rsidRDefault="00C66972" w:rsidP="00F839DB">
      <w:pPr>
        <w:pStyle w:val="ListParagraph"/>
        <w:numPr>
          <w:ilvl w:val="0"/>
          <w:numId w:val="495"/>
        </w:numPr>
        <w:rPr>
          <w:rFonts w:eastAsiaTheme="minorHAnsi"/>
        </w:rPr>
      </w:pPr>
      <w:r w:rsidRPr="00F27407">
        <w:rPr>
          <w:rFonts w:eastAsiaTheme="minorHAnsi"/>
        </w:rPr>
        <w:t>limiting access to common law to seriously injured workers, and</w:t>
      </w:r>
    </w:p>
    <w:p w14:paraId="463A6C78" w14:textId="77777777" w:rsidR="006A50D4" w:rsidRDefault="00C66972" w:rsidP="00F839DB">
      <w:pPr>
        <w:pStyle w:val="ListParagraph"/>
        <w:numPr>
          <w:ilvl w:val="0"/>
          <w:numId w:val="495"/>
        </w:numPr>
        <w:rPr>
          <w:rFonts w:eastAsiaTheme="minorHAnsi"/>
        </w:rPr>
      </w:pPr>
      <w:r w:rsidRPr="00F27407">
        <w:rPr>
          <w:rFonts w:eastAsiaTheme="minorHAnsi"/>
        </w:rPr>
        <w:t>reinstating the right to sue for economic loss.</w:t>
      </w:r>
    </w:p>
    <w:p w14:paraId="28691593" w14:textId="409599CF" w:rsidR="00C66972" w:rsidRPr="00D56ED9" w:rsidRDefault="00C66972" w:rsidP="00205CCE">
      <w:pPr>
        <w:pStyle w:val="Heading4"/>
      </w:pPr>
      <w:r w:rsidRPr="00D56ED9">
        <w:t>1993</w:t>
      </w:r>
    </w:p>
    <w:p w14:paraId="651343C4" w14:textId="77777777" w:rsidR="006A50D4" w:rsidRDefault="00C66972" w:rsidP="00F839DB">
      <w:pPr>
        <w:pStyle w:val="ListParagraph"/>
        <w:numPr>
          <w:ilvl w:val="0"/>
          <w:numId w:val="496"/>
        </w:numPr>
        <w:rPr>
          <w:rFonts w:eastAsiaTheme="minorHAnsi"/>
        </w:rPr>
      </w:pPr>
      <w:r w:rsidRPr="00F27407">
        <w:rPr>
          <w:rFonts w:eastAsiaTheme="minorHAnsi"/>
        </w:rPr>
        <w:t>introducing the premium system.</w:t>
      </w:r>
    </w:p>
    <w:p w14:paraId="1A396397" w14:textId="4A60225E" w:rsidR="00C66972" w:rsidRPr="00D56ED9" w:rsidRDefault="00C66972" w:rsidP="00205CCE">
      <w:pPr>
        <w:pStyle w:val="Heading4"/>
      </w:pPr>
      <w:r w:rsidRPr="00D56ED9">
        <w:t>1997</w:t>
      </w:r>
    </w:p>
    <w:p w14:paraId="26AE65EF" w14:textId="77777777" w:rsidR="00C66972" w:rsidRPr="00F27407" w:rsidRDefault="00C66972" w:rsidP="00F839DB">
      <w:pPr>
        <w:pStyle w:val="ListParagraph"/>
        <w:numPr>
          <w:ilvl w:val="0"/>
          <w:numId w:val="496"/>
        </w:numPr>
        <w:rPr>
          <w:rFonts w:eastAsiaTheme="minorHAnsi"/>
        </w:rPr>
      </w:pPr>
      <w:r w:rsidRPr="00F27407">
        <w:rPr>
          <w:rFonts w:eastAsiaTheme="minorHAnsi"/>
        </w:rPr>
        <w:lastRenderedPageBreak/>
        <w:t>removing access to common law</w:t>
      </w:r>
    </w:p>
    <w:p w14:paraId="0B893FA5" w14:textId="77777777" w:rsidR="00C66972" w:rsidRPr="00F27407" w:rsidRDefault="00C66972" w:rsidP="00F839DB">
      <w:pPr>
        <w:pStyle w:val="ListParagraph"/>
        <w:numPr>
          <w:ilvl w:val="0"/>
          <w:numId w:val="496"/>
        </w:numPr>
        <w:rPr>
          <w:rFonts w:eastAsiaTheme="minorHAnsi"/>
        </w:rPr>
      </w:pPr>
      <w:r w:rsidRPr="00F27407">
        <w:rPr>
          <w:rFonts w:eastAsiaTheme="minorHAnsi"/>
        </w:rPr>
        <w:t>significantly changing the structure of weekly benefits</w:t>
      </w:r>
    </w:p>
    <w:p w14:paraId="2B5B4ACD" w14:textId="77777777" w:rsidR="00C66972" w:rsidRPr="00F27407" w:rsidRDefault="00C66972" w:rsidP="00F839DB">
      <w:pPr>
        <w:pStyle w:val="ListParagraph"/>
        <w:numPr>
          <w:ilvl w:val="0"/>
          <w:numId w:val="496"/>
        </w:numPr>
        <w:rPr>
          <w:rFonts w:eastAsiaTheme="minorHAnsi"/>
        </w:rPr>
      </w:pPr>
      <w:r w:rsidRPr="00F27407">
        <w:rPr>
          <w:rFonts w:eastAsiaTheme="minorHAnsi"/>
        </w:rPr>
        <w:t>introducing impairment benefits to replace the Table of Maims, and</w:t>
      </w:r>
    </w:p>
    <w:p w14:paraId="53881898" w14:textId="77777777" w:rsidR="006A50D4" w:rsidRDefault="00C66972" w:rsidP="00F839DB">
      <w:pPr>
        <w:pStyle w:val="ListParagraph"/>
        <w:numPr>
          <w:ilvl w:val="0"/>
          <w:numId w:val="496"/>
        </w:numPr>
        <w:rPr>
          <w:rFonts w:eastAsiaTheme="minorHAnsi"/>
        </w:rPr>
      </w:pPr>
      <w:r w:rsidRPr="00F27407">
        <w:rPr>
          <w:rFonts w:eastAsiaTheme="minorHAnsi"/>
        </w:rPr>
        <w:t>restructuring death benefits.</w:t>
      </w:r>
    </w:p>
    <w:p w14:paraId="742CCB18" w14:textId="77777777" w:rsidR="00591890" w:rsidRDefault="00591890">
      <w:pPr>
        <w:spacing w:after="200" w:line="276" w:lineRule="auto"/>
        <w:rPr>
          <w:rFonts w:ascii="Arial Bold" w:eastAsiaTheme="majorEastAsia" w:hAnsi="Arial Bold" w:cstheme="majorBidi"/>
          <w:b/>
          <w:spacing w:val="-3"/>
          <w:szCs w:val="22"/>
          <w:lang w:eastAsia="en-US"/>
        </w:rPr>
      </w:pPr>
      <w:r>
        <w:br w:type="page"/>
      </w:r>
    </w:p>
    <w:p w14:paraId="1319AA17" w14:textId="6F0A2B52" w:rsidR="00C66972" w:rsidRPr="00D56ED9" w:rsidRDefault="00C66972" w:rsidP="00205CCE">
      <w:pPr>
        <w:pStyle w:val="Heading4"/>
      </w:pPr>
      <w:r w:rsidRPr="00D56ED9">
        <w:lastRenderedPageBreak/>
        <w:t>2000</w:t>
      </w:r>
    </w:p>
    <w:p w14:paraId="5A9EE67B" w14:textId="77777777" w:rsidR="00C66972" w:rsidRPr="00F27407" w:rsidRDefault="00C66972" w:rsidP="00F839DB">
      <w:pPr>
        <w:pStyle w:val="ListParagraph"/>
        <w:numPr>
          <w:ilvl w:val="0"/>
          <w:numId w:val="497"/>
        </w:numPr>
        <w:rPr>
          <w:rFonts w:eastAsiaTheme="minorHAnsi"/>
        </w:rPr>
      </w:pPr>
      <w:r w:rsidRPr="00F27407">
        <w:rPr>
          <w:rFonts w:eastAsiaTheme="minorHAnsi"/>
        </w:rPr>
        <w:t>reinstating access to common law damages for seriously injured workers with a new threshold for economic loss.</w:t>
      </w:r>
    </w:p>
    <w:p w14:paraId="1CFCEA62" w14:textId="77777777" w:rsidR="00C66972" w:rsidRPr="00D56ED9" w:rsidRDefault="00C66972" w:rsidP="00205CCE">
      <w:pPr>
        <w:pStyle w:val="Heading4"/>
      </w:pPr>
      <w:r w:rsidRPr="00D56ED9">
        <w:t>2004</w:t>
      </w:r>
    </w:p>
    <w:p w14:paraId="2DB86215" w14:textId="77777777" w:rsidR="00C66972" w:rsidRPr="00F27407" w:rsidRDefault="00C66972" w:rsidP="00F839DB">
      <w:pPr>
        <w:pStyle w:val="ListParagraph"/>
        <w:numPr>
          <w:ilvl w:val="0"/>
          <w:numId w:val="497"/>
        </w:numPr>
        <w:rPr>
          <w:rFonts w:eastAsiaTheme="minorHAnsi"/>
        </w:rPr>
      </w:pPr>
      <w:r w:rsidRPr="00F27407">
        <w:rPr>
          <w:rFonts w:eastAsiaTheme="minorHAnsi"/>
        </w:rPr>
        <w:t>improving the efficiency of the claims process, and</w:t>
      </w:r>
    </w:p>
    <w:p w14:paraId="37D2AD9F" w14:textId="77777777" w:rsidR="006A50D4" w:rsidRDefault="00C66972" w:rsidP="00F839DB">
      <w:pPr>
        <w:pStyle w:val="ListParagraph"/>
        <w:numPr>
          <w:ilvl w:val="0"/>
          <w:numId w:val="497"/>
        </w:numPr>
        <w:rPr>
          <w:rFonts w:eastAsiaTheme="minorHAnsi"/>
        </w:rPr>
      </w:pPr>
      <w:r w:rsidRPr="00F27407">
        <w:rPr>
          <w:rFonts w:eastAsiaTheme="minorHAnsi"/>
        </w:rPr>
        <w:t>facilitating early and sustainable return to work.</w:t>
      </w:r>
    </w:p>
    <w:p w14:paraId="712721F3" w14:textId="272454B7" w:rsidR="00C66972" w:rsidRPr="00D56ED9" w:rsidRDefault="00C66972" w:rsidP="00205CCE">
      <w:pPr>
        <w:pStyle w:val="Heading4"/>
      </w:pPr>
      <w:r w:rsidRPr="00D56ED9">
        <w:t>2005</w:t>
      </w:r>
    </w:p>
    <w:p w14:paraId="5B898522" w14:textId="77777777" w:rsidR="006A50D4" w:rsidRDefault="00C66972" w:rsidP="00F839DB">
      <w:pPr>
        <w:pStyle w:val="ListParagraph"/>
        <w:numPr>
          <w:ilvl w:val="0"/>
          <w:numId w:val="498"/>
        </w:numPr>
        <w:rPr>
          <w:rFonts w:eastAsiaTheme="minorHAnsi"/>
        </w:rPr>
      </w:pPr>
      <w:r w:rsidRPr="00F27407">
        <w:rPr>
          <w:rFonts w:eastAsiaTheme="minorHAnsi"/>
        </w:rPr>
        <w:t>making provision for previously injured workers whose employers exit the Victorian scheme to become licensed corporations under the Comcare scheme.</w:t>
      </w:r>
    </w:p>
    <w:p w14:paraId="27E83945" w14:textId="285B8EFF" w:rsidR="00C66972" w:rsidRPr="00D56ED9" w:rsidRDefault="00C66972" w:rsidP="00205CCE">
      <w:pPr>
        <w:pStyle w:val="Heading4"/>
      </w:pPr>
      <w:r w:rsidRPr="00D56ED9">
        <w:t>2006</w:t>
      </w:r>
    </w:p>
    <w:p w14:paraId="12E9C444" w14:textId="77777777" w:rsidR="00C66972" w:rsidRPr="00F27407" w:rsidRDefault="00C66972" w:rsidP="00F839DB">
      <w:pPr>
        <w:pStyle w:val="ListParagraph"/>
        <w:numPr>
          <w:ilvl w:val="0"/>
          <w:numId w:val="498"/>
        </w:numPr>
        <w:rPr>
          <w:rFonts w:eastAsiaTheme="minorHAnsi"/>
        </w:rPr>
      </w:pPr>
      <w:r w:rsidRPr="00F27407">
        <w:rPr>
          <w:rFonts w:eastAsiaTheme="minorHAnsi"/>
        </w:rPr>
        <w:t>enhancing existing benefits including death benefits and the extension of the weekly benefits entitlement period from 104 to 130 weeks with increased payments for workers with a partial work capacity.</w:t>
      </w:r>
    </w:p>
    <w:p w14:paraId="2D1B2106" w14:textId="77777777" w:rsidR="00C66972" w:rsidRPr="00D56ED9" w:rsidRDefault="00C66972" w:rsidP="00205CCE">
      <w:pPr>
        <w:pStyle w:val="Heading4"/>
      </w:pPr>
      <w:r w:rsidRPr="00D56ED9">
        <w:t>2007</w:t>
      </w:r>
    </w:p>
    <w:p w14:paraId="04CE9F20" w14:textId="0B9640C1" w:rsidR="00C66972" w:rsidRPr="00F27407" w:rsidRDefault="00C66972" w:rsidP="00F839DB">
      <w:pPr>
        <w:pStyle w:val="ListParagraph"/>
        <w:numPr>
          <w:ilvl w:val="0"/>
          <w:numId w:val="498"/>
        </w:numPr>
        <w:rPr>
          <w:rFonts w:eastAsiaTheme="minorHAnsi"/>
        </w:rPr>
      </w:pPr>
      <w:r w:rsidRPr="00F27407">
        <w:rPr>
          <w:rFonts w:eastAsiaTheme="minorHAnsi"/>
        </w:rPr>
        <w:t xml:space="preserve">clarifying the financial guarantee requirements on employers who exit the Victorian WorkCover scheme (or Victorian </w:t>
      </w:r>
      <w:r w:rsidR="00E43A0F">
        <w:rPr>
          <w:rFonts w:eastAsiaTheme="minorHAnsi"/>
        </w:rPr>
        <w:t>self-insurer</w:t>
      </w:r>
      <w:r w:rsidRPr="00F27407">
        <w:rPr>
          <w:rFonts w:eastAsiaTheme="minorHAnsi"/>
        </w:rPr>
        <w:t xml:space="preserve"> arrangements) to self insure under the federal Comcare scheme</w:t>
      </w:r>
    </w:p>
    <w:p w14:paraId="05BB4E18" w14:textId="57EEA395" w:rsidR="00C66972" w:rsidRPr="00F27407" w:rsidRDefault="00C66972" w:rsidP="00F839DB">
      <w:pPr>
        <w:pStyle w:val="ListParagraph"/>
        <w:numPr>
          <w:ilvl w:val="0"/>
          <w:numId w:val="498"/>
        </w:numPr>
        <w:rPr>
          <w:rFonts w:eastAsiaTheme="minorHAnsi"/>
        </w:rPr>
      </w:pPr>
      <w:r w:rsidRPr="00F27407">
        <w:rPr>
          <w:rFonts w:eastAsiaTheme="minorHAnsi"/>
        </w:rPr>
        <w:t xml:space="preserve">mandating the return of the management of tail claim liabilities to the Victorian WorkCover Authority (WorkSafe Victoria) for Victorian </w:t>
      </w:r>
      <w:r w:rsidR="00E43A0F">
        <w:rPr>
          <w:rFonts w:eastAsiaTheme="minorHAnsi"/>
        </w:rPr>
        <w:t>self-insurer</w:t>
      </w:r>
      <w:r w:rsidRPr="00F27407">
        <w:rPr>
          <w:rFonts w:eastAsiaTheme="minorHAnsi"/>
        </w:rPr>
        <w:t xml:space="preserve">s who cease their </w:t>
      </w:r>
      <w:r w:rsidR="00E43A0F">
        <w:rPr>
          <w:rFonts w:eastAsiaTheme="minorHAnsi"/>
        </w:rPr>
        <w:t>self-insurance</w:t>
      </w:r>
      <w:r w:rsidRPr="00F27407">
        <w:rPr>
          <w:rFonts w:eastAsiaTheme="minorHAnsi"/>
        </w:rPr>
        <w:t xml:space="preserve"> arrangements under the Victorian scheme</w:t>
      </w:r>
    </w:p>
    <w:p w14:paraId="7DAF9C6C" w14:textId="77777777" w:rsidR="00C66972" w:rsidRPr="00F27407" w:rsidRDefault="00C66972" w:rsidP="00F839DB">
      <w:pPr>
        <w:pStyle w:val="ListParagraph"/>
        <w:numPr>
          <w:ilvl w:val="0"/>
          <w:numId w:val="498"/>
        </w:numPr>
        <w:rPr>
          <w:rFonts w:eastAsiaTheme="minorHAnsi"/>
        </w:rPr>
      </w:pPr>
      <w:r w:rsidRPr="00F27407">
        <w:rPr>
          <w:rFonts w:eastAsiaTheme="minorHAnsi"/>
        </w:rPr>
        <w:t>restoring the original approach to the assessment of permanent impairment for injured workers who suffer spinal injuries prior to the decision of the Full Court of the Supreme Court in Mountain Pine Furniture Pty Ltd v Taylor</w:t>
      </w:r>
    </w:p>
    <w:p w14:paraId="5510D3CB" w14:textId="77777777" w:rsidR="00C66972" w:rsidRPr="00F27407" w:rsidRDefault="00C66972" w:rsidP="00F839DB">
      <w:pPr>
        <w:pStyle w:val="ListParagraph"/>
        <w:numPr>
          <w:ilvl w:val="0"/>
          <w:numId w:val="498"/>
        </w:numPr>
        <w:rPr>
          <w:rFonts w:eastAsiaTheme="minorHAnsi"/>
        </w:rPr>
      </w:pPr>
      <w:r w:rsidRPr="00F27407">
        <w:rPr>
          <w:rFonts w:eastAsiaTheme="minorHAnsi"/>
        </w:rPr>
        <w:t>confirming that compulsory employer superannuation payments are not taken into account in the calculation of weekly benefit compensation</w:t>
      </w:r>
    </w:p>
    <w:p w14:paraId="0199F6A1" w14:textId="77777777" w:rsidR="00C66972" w:rsidRPr="00F27407" w:rsidRDefault="00C66972" w:rsidP="00F839DB">
      <w:pPr>
        <w:pStyle w:val="ListParagraph"/>
        <w:numPr>
          <w:ilvl w:val="0"/>
          <w:numId w:val="498"/>
        </w:numPr>
        <w:rPr>
          <w:rFonts w:eastAsiaTheme="minorHAnsi"/>
        </w:rPr>
      </w:pPr>
      <w:r w:rsidRPr="00F27407">
        <w:rPr>
          <w:rFonts w:eastAsiaTheme="minorHAnsi"/>
        </w:rPr>
        <w:t>improving counselling benefits for the families of deceased or seriously injured workers, and</w:t>
      </w:r>
    </w:p>
    <w:p w14:paraId="3B704352" w14:textId="77777777" w:rsidR="006A50D4" w:rsidRDefault="00C66972" w:rsidP="00F839DB">
      <w:pPr>
        <w:pStyle w:val="ListParagraph"/>
        <w:numPr>
          <w:ilvl w:val="0"/>
          <w:numId w:val="498"/>
        </w:numPr>
        <w:rPr>
          <w:rFonts w:eastAsiaTheme="minorHAnsi"/>
        </w:rPr>
      </w:pPr>
      <w:r w:rsidRPr="00F27407">
        <w:rPr>
          <w:rFonts w:eastAsiaTheme="minorHAnsi"/>
        </w:rPr>
        <w:t>contributions towards the purchase price of a car where the current car is unsuitable for modification, home relocation costs and portable semi-detachable units in addition to car and home modifications.</w:t>
      </w:r>
    </w:p>
    <w:p w14:paraId="661F79FF" w14:textId="45C5418B" w:rsidR="00C66972" w:rsidRPr="00D56ED9" w:rsidRDefault="00C66972" w:rsidP="00205CCE">
      <w:pPr>
        <w:pStyle w:val="Heading4"/>
      </w:pPr>
      <w:r w:rsidRPr="00D56ED9">
        <w:t>2008</w:t>
      </w:r>
    </w:p>
    <w:p w14:paraId="60981133" w14:textId="77777777" w:rsidR="00C66972" w:rsidRPr="001D3BDA" w:rsidRDefault="00C66972" w:rsidP="00F839DB">
      <w:pPr>
        <w:pStyle w:val="ListParagraph"/>
        <w:numPr>
          <w:ilvl w:val="0"/>
          <w:numId w:val="499"/>
        </w:numPr>
        <w:rPr>
          <w:rFonts w:eastAsiaTheme="minorHAnsi"/>
        </w:rPr>
      </w:pPr>
      <w:r w:rsidRPr="001D3BDA">
        <w:rPr>
          <w:rFonts w:eastAsiaTheme="minorHAnsi"/>
        </w:rPr>
        <w:t>preservation of the higher impairment rating regime for workers with musculoskeletal injuries assessed under Chapter 3 of the American Medical Association</w:t>
      </w:r>
      <w:r w:rsidR="00584ACD" w:rsidRPr="001D3BDA">
        <w:rPr>
          <w:rFonts w:eastAsiaTheme="minorHAnsi"/>
        </w:rPr>
        <w:fldChar w:fldCharType="begin"/>
      </w:r>
      <w:r w:rsidR="00584ACD">
        <w:instrText xml:space="preserve"> XE "</w:instrText>
      </w:r>
      <w:r w:rsidR="00584ACD" w:rsidRPr="001D3BDA">
        <w:rPr>
          <w:rFonts w:eastAsia="Calibri"/>
          <w:sz w:val="14"/>
        </w:rPr>
        <w:instrText>American Medical Association</w:instrText>
      </w:r>
      <w:r w:rsidR="00584ACD">
        <w:instrText xml:space="preserve">" </w:instrText>
      </w:r>
      <w:r w:rsidR="00584ACD" w:rsidRPr="001D3BDA">
        <w:rPr>
          <w:rFonts w:eastAsiaTheme="minorHAnsi"/>
        </w:rPr>
        <w:fldChar w:fldCharType="end"/>
      </w:r>
      <w:r w:rsidRPr="001D3BDA">
        <w:rPr>
          <w:rFonts w:eastAsiaTheme="minorHAnsi"/>
        </w:rPr>
        <w:t xml:space="preserve"> Guides (4th edition) in place since 2003</w:t>
      </w:r>
    </w:p>
    <w:p w14:paraId="44D8C6B7" w14:textId="77777777" w:rsidR="00C66972" w:rsidRPr="001D3BDA" w:rsidRDefault="00C66972" w:rsidP="00F839DB">
      <w:pPr>
        <w:pStyle w:val="ListParagraph"/>
        <w:numPr>
          <w:ilvl w:val="0"/>
          <w:numId w:val="499"/>
        </w:numPr>
        <w:rPr>
          <w:rFonts w:eastAsiaTheme="minorHAnsi"/>
        </w:rPr>
      </w:pPr>
      <w:r w:rsidRPr="001D3BDA">
        <w:rPr>
          <w:rFonts w:eastAsiaTheme="minorHAnsi"/>
        </w:rPr>
        <w:t>retrospective amendments to the Act to maintain the status quo regarding recovery rights against negligent third parties that contribute to the compensation costs payable for a worker’s injury, and</w:t>
      </w:r>
    </w:p>
    <w:p w14:paraId="3459EF19" w14:textId="77777777" w:rsidR="006A50D4" w:rsidRDefault="00C66972" w:rsidP="00F839DB">
      <w:pPr>
        <w:pStyle w:val="ListParagraph"/>
        <w:numPr>
          <w:ilvl w:val="0"/>
          <w:numId w:val="499"/>
        </w:numPr>
        <w:rPr>
          <w:rFonts w:eastAsiaTheme="minorHAnsi"/>
        </w:rPr>
      </w:pPr>
      <w:r w:rsidRPr="001D3BDA">
        <w:rPr>
          <w:rFonts w:eastAsiaTheme="minorHAnsi"/>
        </w:rPr>
        <w:t>workers with asbestos-related conditions can claim provisional damages and access expedited processes to bring on court proceedings quickly where the worker is at imminent risk of death.</w:t>
      </w:r>
    </w:p>
    <w:p w14:paraId="45FE79C5" w14:textId="5CD361C0" w:rsidR="00C66972" w:rsidRPr="00205CCE" w:rsidRDefault="00C66972" w:rsidP="00205CCE">
      <w:pPr>
        <w:pStyle w:val="Heading4"/>
      </w:pPr>
      <w:r w:rsidRPr="00205CCE">
        <w:t>2009</w:t>
      </w:r>
    </w:p>
    <w:p w14:paraId="4E925E72" w14:textId="77777777" w:rsidR="00C66972" w:rsidRPr="001D3BDA" w:rsidRDefault="00C66972" w:rsidP="00F839DB">
      <w:pPr>
        <w:pStyle w:val="ListParagraph"/>
        <w:numPr>
          <w:ilvl w:val="0"/>
          <w:numId w:val="500"/>
        </w:numPr>
        <w:rPr>
          <w:rFonts w:eastAsiaTheme="minorHAnsi"/>
        </w:rPr>
      </w:pPr>
      <w:r w:rsidRPr="001D3BDA">
        <w:rPr>
          <w:rFonts w:eastAsiaTheme="minorHAnsi"/>
        </w:rPr>
        <w:t xml:space="preserve">on 17 June 2009 the Victorian Government responded to 151 recommendations made in a commissioned report following a review undertaken in 2008 by Mr Peter Hanks QC of the </w:t>
      </w:r>
      <w:r w:rsidRPr="007239A5">
        <w:rPr>
          <w:rFonts w:eastAsiaTheme="minorHAnsi"/>
          <w:i/>
        </w:rPr>
        <w:t>Accident Compensation Act 1985</w:t>
      </w:r>
      <w:r w:rsidRPr="001D3BDA">
        <w:rPr>
          <w:rFonts w:eastAsiaTheme="minorHAnsi"/>
        </w:rPr>
        <w:t xml:space="preserve"> and associated legislation, and</w:t>
      </w:r>
    </w:p>
    <w:p w14:paraId="603E1A1F" w14:textId="77777777" w:rsidR="00C66972" w:rsidRPr="001D3BDA" w:rsidRDefault="00C66972" w:rsidP="00F839DB">
      <w:pPr>
        <w:pStyle w:val="ListParagraph"/>
        <w:numPr>
          <w:ilvl w:val="0"/>
          <w:numId w:val="500"/>
        </w:numPr>
        <w:rPr>
          <w:rFonts w:eastAsiaTheme="minorHAnsi"/>
        </w:rPr>
      </w:pPr>
      <w:r w:rsidRPr="001D3BDA">
        <w:rPr>
          <w:rFonts w:eastAsiaTheme="minorHAnsi"/>
        </w:rPr>
        <w:t>improvements to benefit both workers and employers and aimed at enhancing the scheme as a whole were introduced into Parliament in December 2009.</w:t>
      </w:r>
    </w:p>
    <w:p w14:paraId="0A3C4734" w14:textId="77777777" w:rsidR="00591890" w:rsidRDefault="00591890">
      <w:pPr>
        <w:spacing w:after="200" w:line="276" w:lineRule="auto"/>
        <w:rPr>
          <w:rFonts w:ascii="Arial Bold" w:eastAsiaTheme="majorEastAsia" w:hAnsi="Arial Bold" w:cstheme="majorBidi"/>
          <w:b/>
          <w:spacing w:val="-3"/>
          <w:szCs w:val="22"/>
          <w:lang w:eastAsia="en-US"/>
        </w:rPr>
      </w:pPr>
      <w:r>
        <w:br w:type="page"/>
      </w:r>
    </w:p>
    <w:p w14:paraId="497D07E1" w14:textId="121351F8" w:rsidR="00C66972" w:rsidRPr="00D56ED9" w:rsidRDefault="00C66972" w:rsidP="00205CCE">
      <w:pPr>
        <w:pStyle w:val="Heading4"/>
      </w:pPr>
      <w:r w:rsidRPr="00D56ED9">
        <w:lastRenderedPageBreak/>
        <w:t>2010</w:t>
      </w:r>
    </w:p>
    <w:p w14:paraId="5CA41CCD" w14:textId="02394B66" w:rsidR="00C66972" w:rsidRPr="00C66972" w:rsidRDefault="00C66972" w:rsidP="001D3BDA">
      <w:pPr>
        <w:rPr>
          <w:rFonts w:eastAsiaTheme="minorHAnsi"/>
        </w:rPr>
      </w:pPr>
      <w:r w:rsidRPr="00C66972">
        <w:rPr>
          <w:rFonts w:eastAsiaTheme="minorHAnsi"/>
        </w:rPr>
        <w:t xml:space="preserve">The </w:t>
      </w:r>
      <w:r w:rsidRPr="00C66972">
        <w:rPr>
          <w:rFonts w:eastAsiaTheme="minorHAnsi"/>
          <w:i/>
        </w:rPr>
        <w:t>Accident Compensation Amendment Act 2010</w:t>
      </w:r>
      <w:r w:rsidRPr="00C66972">
        <w:rPr>
          <w:rFonts w:eastAsiaTheme="minorHAnsi"/>
        </w:rPr>
        <w:t xml:space="preserve"> was passed with the majority of the reforms commencing from 5 April 2010, except for new return to work rights and obligations commencing from 1 July 2010. The Act introduced the following changes:</w:t>
      </w:r>
    </w:p>
    <w:p w14:paraId="1EF1CB0D" w14:textId="77777777" w:rsidR="00C66972" w:rsidRPr="001D3BDA" w:rsidRDefault="00C66972" w:rsidP="00F839DB">
      <w:pPr>
        <w:pStyle w:val="ListParagraph"/>
        <w:numPr>
          <w:ilvl w:val="0"/>
          <w:numId w:val="501"/>
        </w:numPr>
        <w:rPr>
          <w:rFonts w:eastAsiaTheme="minorHAnsi"/>
        </w:rPr>
      </w:pPr>
      <w:r w:rsidRPr="001D3BDA">
        <w:rPr>
          <w:rFonts w:eastAsiaTheme="minorHAnsi"/>
        </w:rPr>
        <w:t>almost a doubling of lump sum death benefits, and improved access to pensions for dependants of deceased workers</w:t>
      </w:r>
    </w:p>
    <w:p w14:paraId="3D077EC0" w14:textId="77777777" w:rsidR="00C66972" w:rsidRPr="001D3BDA" w:rsidRDefault="00C66972" w:rsidP="00F839DB">
      <w:pPr>
        <w:pStyle w:val="ListParagraph"/>
        <w:numPr>
          <w:ilvl w:val="0"/>
          <w:numId w:val="501"/>
        </w:numPr>
        <w:rPr>
          <w:rFonts w:eastAsiaTheme="minorHAnsi"/>
        </w:rPr>
      </w:pPr>
      <w:r w:rsidRPr="001D3BDA">
        <w:rPr>
          <w:rFonts w:eastAsiaTheme="minorHAnsi"/>
        </w:rPr>
        <w:t>for injured workers who suffer a permanent impairment, the reforms provided:</w:t>
      </w:r>
    </w:p>
    <w:p w14:paraId="63965B19" w14:textId="77777777" w:rsidR="00C66972" w:rsidRPr="001D3BDA" w:rsidRDefault="00C66972" w:rsidP="00F839DB">
      <w:pPr>
        <w:pStyle w:val="ListParagraph"/>
        <w:numPr>
          <w:ilvl w:val="0"/>
          <w:numId w:val="501"/>
        </w:numPr>
        <w:rPr>
          <w:rFonts w:eastAsiaTheme="minorHAnsi"/>
        </w:rPr>
      </w:pPr>
      <w:r w:rsidRPr="001D3BDA">
        <w:rPr>
          <w:rFonts w:eastAsiaTheme="minorHAnsi"/>
        </w:rPr>
        <w:t>a 10 per cent increase in no-fault lump sum benefits for workers with spinal impairments</w:t>
      </w:r>
    </w:p>
    <w:p w14:paraId="1A31B5A3" w14:textId="77777777" w:rsidR="00C66972" w:rsidRPr="001D3BDA" w:rsidRDefault="00C66972" w:rsidP="00F839DB">
      <w:pPr>
        <w:pStyle w:val="ListParagraph"/>
        <w:numPr>
          <w:ilvl w:val="0"/>
          <w:numId w:val="501"/>
        </w:numPr>
        <w:rPr>
          <w:rFonts w:eastAsiaTheme="minorHAnsi"/>
        </w:rPr>
      </w:pPr>
      <w:r w:rsidRPr="001D3BDA">
        <w:rPr>
          <w:rFonts w:eastAsiaTheme="minorHAnsi"/>
        </w:rPr>
        <w:t>a 25 per cent increase in the maximum impairment benefit, increasing no-fault lump sum benefits for the most profoundly injured workers, and</w:t>
      </w:r>
    </w:p>
    <w:p w14:paraId="0011E2BE" w14:textId="77777777" w:rsidR="00C66972" w:rsidRPr="001D3BDA" w:rsidRDefault="00C66972" w:rsidP="00F839DB">
      <w:pPr>
        <w:pStyle w:val="ListParagraph"/>
        <w:numPr>
          <w:ilvl w:val="0"/>
          <w:numId w:val="501"/>
        </w:numPr>
        <w:rPr>
          <w:rFonts w:eastAsiaTheme="minorHAnsi"/>
        </w:rPr>
      </w:pPr>
      <w:r w:rsidRPr="001D3BDA">
        <w:rPr>
          <w:rFonts w:eastAsiaTheme="minorHAnsi"/>
        </w:rPr>
        <w:t>a five-fold increase in benefits awarded to workers who suffer a serious psychiatric impairment.</w:t>
      </w:r>
    </w:p>
    <w:p w14:paraId="49345329" w14:textId="77777777" w:rsidR="00C66972" w:rsidRPr="001D3BDA" w:rsidRDefault="00C66972" w:rsidP="00F839DB">
      <w:pPr>
        <w:pStyle w:val="ListParagraph"/>
        <w:numPr>
          <w:ilvl w:val="0"/>
          <w:numId w:val="501"/>
        </w:numPr>
        <w:rPr>
          <w:rFonts w:eastAsiaTheme="minorHAnsi"/>
        </w:rPr>
      </w:pPr>
      <w:r w:rsidRPr="001D3BDA">
        <w:rPr>
          <w:rFonts w:eastAsiaTheme="minorHAnsi"/>
        </w:rPr>
        <w:t>for injured workers who receive weekly payments:</w:t>
      </w:r>
    </w:p>
    <w:p w14:paraId="77673850" w14:textId="77777777" w:rsidR="00C66972" w:rsidRPr="001D3BDA" w:rsidRDefault="00C66972" w:rsidP="00F839DB">
      <w:pPr>
        <w:pStyle w:val="ListParagraph"/>
        <w:numPr>
          <w:ilvl w:val="0"/>
          <w:numId w:val="501"/>
        </w:numPr>
        <w:rPr>
          <w:rFonts w:eastAsiaTheme="minorHAnsi"/>
        </w:rPr>
      </w:pPr>
      <w:r w:rsidRPr="001D3BDA">
        <w:rPr>
          <w:rFonts w:eastAsiaTheme="minorHAnsi"/>
        </w:rPr>
        <w:t>an increase in the rate of compensation from 75 per cent to 80 per cent of income after workers have received compensation for 13 weeks</w:t>
      </w:r>
    </w:p>
    <w:p w14:paraId="4DE85C88" w14:textId="77777777" w:rsidR="00C66972" w:rsidRPr="001D3BDA" w:rsidRDefault="00C66972" w:rsidP="00F839DB">
      <w:pPr>
        <w:pStyle w:val="ListParagraph"/>
        <w:numPr>
          <w:ilvl w:val="0"/>
          <w:numId w:val="501"/>
        </w:numPr>
        <w:rPr>
          <w:rFonts w:eastAsiaTheme="minorHAnsi"/>
        </w:rPr>
      </w:pPr>
      <w:r w:rsidRPr="001D3BDA">
        <w:rPr>
          <w:rFonts w:eastAsiaTheme="minorHAnsi"/>
        </w:rPr>
        <w:t>a superannuation contribution for long term injured workers</w:t>
      </w:r>
    </w:p>
    <w:p w14:paraId="6632B6D4" w14:textId="77777777" w:rsidR="00C66972" w:rsidRPr="001D3BDA" w:rsidRDefault="00C66972" w:rsidP="00F839DB">
      <w:pPr>
        <w:pStyle w:val="ListParagraph"/>
        <w:numPr>
          <w:ilvl w:val="0"/>
          <w:numId w:val="501"/>
        </w:numPr>
        <w:rPr>
          <w:rFonts w:eastAsiaTheme="minorHAnsi"/>
        </w:rPr>
      </w:pPr>
      <w:r w:rsidRPr="001D3BDA">
        <w:rPr>
          <w:rFonts w:eastAsiaTheme="minorHAnsi"/>
        </w:rPr>
        <w:t>the extension of the inclusion of overtime and shift allowances from 26 weeks to 52 weeks when calculating a worker’s weekly payments</w:t>
      </w:r>
    </w:p>
    <w:p w14:paraId="429CD2A9" w14:textId="2A6F3A0A" w:rsidR="00C66972" w:rsidRPr="001D3BDA" w:rsidRDefault="00C66972" w:rsidP="00F839DB">
      <w:pPr>
        <w:pStyle w:val="ListParagraph"/>
        <w:numPr>
          <w:ilvl w:val="0"/>
          <w:numId w:val="501"/>
        </w:numPr>
        <w:rPr>
          <w:rFonts w:eastAsiaTheme="minorHAnsi"/>
        </w:rPr>
      </w:pPr>
      <w:r w:rsidRPr="001D3BDA">
        <w:rPr>
          <w:rFonts w:eastAsiaTheme="minorHAnsi"/>
        </w:rPr>
        <w:t>increasing the statutory maximum for weekly payments to twice the state average weekly earnings, and</w:t>
      </w:r>
    </w:p>
    <w:p w14:paraId="35D7656D" w14:textId="77777777" w:rsidR="006A50D4" w:rsidRDefault="00C66972" w:rsidP="00F839DB">
      <w:pPr>
        <w:pStyle w:val="ListParagraph"/>
        <w:numPr>
          <w:ilvl w:val="0"/>
          <w:numId w:val="501"/>
        </w:numPr>
        <w:rPr>
          <w:rFonts w:eastAsiaTheme="minorHAnsi"/>
        </w:rPr>
      </w:pPr>
      <w:r w:rsidRPr="001D3BDA">
        <w:rPr>
          <w:rFonts w:eastAsiaTheme="minorHAnsi"/>
        </w:rPr>
        <w:t>payment of limited further weekly payments for workers who have returned to work, but who require surgery for their work-related injury.</w:t>
      </w:r>
    </w:p>
    <w:p w14:paraId="62C1E201" w14:textId="79365E95" w:rsidR="00C66972" w:rsidRPr="001D3BDA" w:rsidRDefault="00C66972" w:rsidP="001F2D00">
      <w:pPr>
        <w:rPr>
          <w:rFonts w:eastAsiaTheme="minorHAnsi"/>
        </w:rPr>
      </w:pPr>
      <w:r w:rsidRPr="001D3BDA">
        <w:rPr>
          <w:rFonts w:eastAsiaTheme="minorHAnsi"/>
        </w:rPr>
        <w:t>Other changes include:</w:t>
      </w:r>
    </w:p>
    <w:p w14:paraId="43082EE2" w14:textId="153FE1BA" w:rsidR="00C66972" w:rsidRPr="001D3BDA" w:rsidRDefault="00C66972" w:rsidP="00F839DB">
      <w:pPr>
        <w:pStyle w:val="ListParagraph"/>
        <w:numPr>
          <w:ilvl w:val="0"/>
          <w:numId w:val="502"/>
        </w:numPr>
        <w:rPr>
          <w:rFonts w:eastAsiaTheme="minorHAnsi"/>
        </w:rPr>
      </w:pPr>
      <w:r w:rsidRPr="001D3BDA">
        <w:rPr>
          <w:rFonts w:eastAsiaTheme="minorHAnsi"/>
        </w:rPr>
        <w:t>the replacement of prescriptive return to work requirements with a performance based regulatory framework from 1 July 2010 and the appointment of a Return to Work (RTW) Inspectorate with the power to enter workplaces and issue return to work improvement notices for any contravention by an employer of the return to work part of the Act</w:t>
      </w:r>
    </w:p>
    <w:p w14:paraId="2BFB6ADF" w14:textId="77777777" w:rsidR="00C66972" w:rsidRPr="001D3BDA" w:rsidRDefault="00C66972" w:rsidP="00F839DB">
      <w:pPr>
        <w:pStyle w:val="ListParagraph"/>
        <w:numPr>
          <w:ilvl w:val="0"/>
          <w:numId w:val="502"/>
        </w:numPr>
        <w:rPr>
          <w:rFonts w:eastAsiaTheme="minorHAnsi"/>
        </w:rPr>
      </w:pPr>
      <w:r w:rsidRPr="001D3BDA">
        <w:rPr>
          <w:rFonts w:eastAsiaTheme="minorHAnsi"/>
        </w:rPr>
        <w:t>greater accountability and transparency of decisions made by Victorian WorkCover Authority and its agents, including the right of employers to request written reasons for agents’ claims decisions and to appeal premium determinations, and</w:t>
      </w:r>
    </w:p>
    <w:p w14:paraId="7101F31D" w14:textId="77777777" w:rsidR="006A50D4" w:rsidRDefault="00C66972" w:rsidP="00F839DB">
      <w:pPr>
        <w:pStyle w:val="ListParagraph"/>
        <w:numPr>
          <w:ilvl w:val="0"/>
          <w:numId w:val="502"/>
        </w:numPr>
        <w:rPr>
          <w:rFonts w:eastAsiaTheme="minorHAnsi"/>
        </w:rPr>
      </w:pPr>
      <w:r w:rsidRPr="001D3BDA">
        <w:rPr>
          <w:rFonts w:eastAsiaTheme="minorHAnsi"/>
        </w:rPr>
        <w:t>less red tape for employers and improved understanding and usability of the legislation by the removal or reform of anomalous, obsolete, inoperative or unclear provisions.</w:t>
      </w:r>
    </w:p>
    <w:p w14:paraId="10F0D695" w14:textId="235AE4A2" w:rsidR="00C66972" w:rsidRPr="00205CCE" w:rsidRDefault="00C66972" w:rsidP="00205CCE">
      <w:pPr>
        <w:pStyle w:val="Heading4"/>
      </w:pPr>
      <w:r w:rsidRPr="00205CCE">
        <w:t>Further reforms were introduced in the latter half of 2010 with amendments to:</w:t>
      </w:r>
    </w:p>
    <w:p w14:paraId="0264D0FF" w14:textId="08126E19" w:rsidR="00C66972" w:rsidRPr="001D3BDA" w:rsidRDefault="00C66972" w:rsidP="00F839DB">
      <w:pPr>
        <w:pStyle w:val="ListParagraph"/>
        <w:numPr>
          <w:ilvl w:val="0"/>
          <w:numId w:val="503"/>
        </w:numPr>
        <w:rPr>
          <w:rFonts w:eastAsiaTheme="minorHAnsi"/>
        </w:rPr>
      </w:pPr>
      <w:r w:rsidRPr="001D3BDA">
        <w:rPr>
          <w:rFonts w:eastAsiaTheme="minorHAnsi"/>
        </w:rPr>
        <w:t>streamline the provision that sets out the calculation of pre-injury average weekly earnings (PIAWE) and correct an anomaly in relation to the incorporation of commissions into PIAWE</w:t>
      </w:r>
    </w:p>
    <w:p w14:paraId="70B28952" w14:textId="77777777" w:rsidR="00C66972" w:rsidRPr="001D3BDA" w:rsidRDefault="00C66972" w:rsidP="00F839DB">
      <w:pPr>
        <w:pStyle w:val="ListParagraph"/>
        <w:numPr>
          <w:ilvl w:val="0"/>
          <w:numId w:val="503"/>
        </w:numPr>
        <w:rPr>
          <w:rFonts w:eastAsiaTheme="minorHAnsi"/>
        </w:rPr>
      </w:pPr>
      <w:r w:rsidRPr="001D3BDA">
        <w:rPr>
          <w:rFonts w:eastAsiaTheme="minorHAnsi"/>
        </w:rPr>
        <w:t>codify current policies that relate to the impact on remuneration of salary packaging and injury prior to taking up a promotion, on the calculation of PIAWE</w:t>
      </w:r>
    </w:p>
    <w:p w14:paraId="0C4B01F6" w14:textId="77777777" w:rsidR="00C66972" w:rsidRPr="001D3BDA" w:rsidRDefault="00C66972" w:rsidP="00F839DB">
      <w:pPr>
        <w:pStyle w:val="ListParagraph"/>
        <w:numPr>
          <w:ilvl w:val="0"/>
          <w:numId w:val="503"/>
        </w:numPr>
        <w:rPr>
          <w:rFonts w:eastAsiaTheme="minorHAnsi"/>
        </w:rPr>
      </w:pPr>
      <w:r w:rsidRPr="001D3BDA">
        <w:rPr>
          <w:rFonts w:eastAsiaTheme="minorHAnsi"/>
        </w:rPr>
        <w:t xml:space="preserve">restructure and streamline the provisions that govern the coverage of contractors </w:t>
      </w:r>
    </w:p>
    <w:p w14:paraId="3496E574" w14:textId="77777777" w:rsidR="00C66972" w:rsidRPr="001D3BDA" w:rsidRDefault="00C66972" w:rsidP="00F839DB">
      <w:pPr>
        <w:pStyle w:val="ListParagraph"/>
        <w:numPr>
          <w:ilvl w:val="0"/>
          <w:numId w:val="503"/>
        </w:numPr>
        <w:rPr>
          <w:rFonts w:eastAsiaTheme="minorHAnsi"/>
        </w:rPr>
      </w:pPr>
      <w:r w:rsidRPr="001D3BDA">
        <w:rPr>
          <w:rFonts w:eastAsiaTheme="minorHAnsi"/>
        </w:rPr>
        <w:t>align the value of impairment benefits for injured workers assessed at 71 per cent WPI or above with the equivalent value of common law damages payable for pain and suffering on an ongoing basis</w:t>
      </w:r>
    </w:p>
    <w:p w14:paraId="1BED57A1" w14:textId="77777777" w:rsidR="00C66972" w:rsidRPr="001D3BDA" w:rsidRDefault="00C66972" w:rsidP="00F839DB">
      <w:pPr>
        <w:pStyle w:val="ListParagraph"/>
        <w:numPr>
          <w:ilvl w:val="0"/>
          <w:numId w:val="503"/>
        </w:numPr>
        <w:rPr>
          <w:rFonts w:eastAsiaTheme="minorHAnsi"/>
        </w:rPr>
      </w:pPr>
      <w:r w:rsidRPr="001D3BDA">
        <w:rPr>
          <w:rFonts w:eastAsiaTheme="minorHAnsi"/>
        </w:rPr>
        <w:t>introduce greater clarity and equity for dependants of deceased workers in relation to medical and like benefits, how earnings are calculated and how partial dependant partners of deceased workers are compensated</w:t>
      </w:r>
    </w:p>
    <w:p w14:paraId="7B476FB6" w14:textId="77777777" w:rsidR="00C66972" w:rsidRPr="001D3BDA" w:rsidRDefault="00C66972" w:rsidP="00F839DB">
      <w:pPr>
        <w:pStyle w:val="ListParagraph"/>
        <w:numPr>
          <w:ilvl w:val="0"/>
          <w:numId w:val="503"/>
        </w:numPr>
        <w:rPr>
          <w:rFonts w:eastAsiaTheme="minorHAnsi"/>
        </w:rPr>
      </w:pPr>
      <w:r w:rsidRPr="001D3BDA">
        <w:rPr>
          <w:rFonts w:eastAsiaTheme="minorHAnsi"/>
        </w:rPr>
        <w:t>improve the usability of provisions relating to medical expenses, and</w:t>
      </w:r>
    </w:p>
    <w:p w14:paraId="7B4CA937" w14:textId="77777777" w:rsidR="006A50D4" w:rsidRDefault="00C66972" w:rsidP="00F839DB">
      <w:pPr>
        <w:pStyle w:val="ListParagraph"/>
        <w:numPr>
          <w:ilvl w:val="0"/>
          <w:numId w:val="503"/>
        </w:numPr>
        <w:rPr>
          <w:rFonts w:eastAsiaTheme="minorHAnsi"/>
        </w:rPr>
      </w:pPr>
      <w:r w:rsidRPr="001D3BDA">
        <w:rPr>
          <w:rFonts w:eastAsiaTheme="minorHAnsi"/>
        </w:rPr>
        <w:lastRenderedPageBreak/>
        <w:t>extend an existing provision in the Act to allow the making of a Governor in Council Order that would permit the introduction of a fixed costs model (FCM), with built-in increases linked to inflation, for plaintiff’s legal costs in the litigated phase of serious injury applications.</w:t>
      </w:r>
    </w:p>
    <w:p w14:paraId="49E02AB7" w14:textId="72D89EB0" w:rsidR="00C66972" w:rsidRPr="00D56ED9" w:rsidRDefault="00C66972" w:rsidP="00205CCE">
      <w:pPr>
        <w:pStyle w:val="Heading4"/>
      </w:pPr>
      <w:r w:rsidRPr="00D56ED9">
        <w:t>2011</w:t>
      </w:r>
    </w:p>
    <w:p w14:paraId="257396FE" w14:textId="77777777" w:rsidR="00172AC7" w:rsidRDefault="00C66972" w:rsidP="001D3BDA">
      <w:pPr>
        <w:rPr>
          <w:rFonts w:eastAsiaTheme="minorHAnsi"/>
        </w:rPr>
      </w:pPr>
      <w:r w:rsidRPr="00C66972">
        <w:rPr>
          <w:rFonts w:eastAsiaTheme="minorHAnsi"/>
        </w:rPr>
        <w:t>On 1 July 2011, the new ANZSIC 2006 based WorkCover Industry Classification (WIC) system commenced.</w:t>
      </w:r>
    </w:p>
    <w:p w14:paraId="47F690E9" w14:textId="627B0B76" w:rsidR="00C66972" w:rsidRPr="00D56ED9" w:rsidRDefault="00C66972" w:rsidP="00205CCE">
      <w:pPr>
        <w:pStyle w:val="Heading4"/>
      </w:pPr>
      <w:r w:rsidRPr="00D56ED9">
        <w:t>2013</w:t>
      </w:r>
    </w:p>
    <w:p w14:paraId="57488BC0" w14:textId="77777777" w:rsidR="006A50D4" w:rsidRDefault="00C66972" w:rsidP="001D3BDA">
      <w:pPr>
        <w:rPr>
          <w:rFonts w:eastAsiaTheme="minorHAnsi"/>
        </w:rPr>
      </w:pPr>
      <w:r w:rsidRPr="00C66972">
        <w:rPr>
          <w:rFonts w:eastAsiaTheme="minorHAnsi"/>
        </w:rPr>
        <w:t xml:space="preserve">The </w:t>
      </w:r>
      <w:r w:rsidRPr="007239A5">
        <w:rPr>
          <w:rFonts w:eastAsiaTheme="minorHAnsi"/>
          <w:i/>
        </w:rPr>
        <w:t>Workplace Injury Rehabilitation and Compensation Act 2013</w:t>
      </w:r>
      <w:r w:rsidRPr="00C66972">
        <w:rPr>
          <w:rFonts w:eastAsiaTheme="minorHAnsi"/>
        </w:rPr>
        <w:t xml:space="preserve"> commenced on 1 July 2014. The Act recasts the </w:t>
      </w:r>
      <w:r w:rsidRPr="007239A5">
        <w:rPr>
          <w:rFonts w:eastAsiaTheme="minorHAnsi"/>
          <w:i/>
        </w:rPr>
        <w:t>Accident Compensation Act 1985</w:t>
      </w:r>
      <w:r w:rsidRPr="00C66972">
        <w:rPr>
          <w:rFonts w:eastAsiaTheme="minorHAnsi"/>
        </w:rPr>
        <w:t xml:space="preserve"> and the </w:t>
      </w:r>
      <w:r w:rsidRPr="007239A5">
        <w:rPr>
          <w:rFonts w:eastAsiaTheme="minorHAnsi"/>
          <w:i/>
        </w:rPr>
        <w:t>Accident Compensation (WorkCover Insurance) Act 1993</w:t>
      </w:r>
      <w:r w:rsidR="001D3BDA">
        <w:rPr>
          <w:rFonts w:eastAsiaTheme="minorHAnsi"/>
        </w:rPr>
        <w:t xml:space="preserve"> into a single Act.</w:t>
      </w:r>
    </w:p>
    <w:p w14:paraId="0C64601E" w14:textId="64030892" w:rsidR="00C66972" w:rsidRPr="00205CCE" w:rsidRDefault="00C66972" w:rsidP="00205CCE">
      <w:pPr>
        <w:pStyle w:val="Title"/>
      </w:pPr>
      <w:bookmarkStart w:id="276" w:name="_Toc483227217"/>
      <w:bookmarkStart w:id="277" w:name="_Toc504654736"/>
      <w:bookmarkEnd w:id="275"/>
      <w:r w:rsidRPr="00205CCE">
        <w:t>Queensland</w:t>
      </w:r>
      <w:bookmarkEnd w:id="276"/>
      <w:bookmarkEnd w:id="277"/>
      <w:r w:rsidR="00B653B7" w:rsidRPr="00205CCE">
        <w:fldChar w:fldCharType="begin"/>
      </w:r>
      <w:r w:rsidR="00B653B7" w:rsidRPr="00205CCE">
        <w:instrText xml:space="preserve"> XE "Queensland:schemes history and evolution" </w:instrText>
      </w:r>
      <w:r w:rsidR="00B653B7" w:rsidRPr="00205CCE">
        <w:fldChar w:fldCharType="end"/>
      </w:r>
      <w:r w:rsidR="000C63D9" w:rsidRPr="00205CCE">
        <w:fldChar w:fldCharType="begin"/>
      </w:r>
      <w:r w:rsidR="000C63D9" w:rsidRPr="00205CCE">
        <w:instrText xml:space="preserve"> XE "schemes history and evolution:Queensland" </w:instrText>
      </w:r>
      <w:r w:rsidR="000C63D9" w:rsidRPr="00205CCE">
        <w:fldChar w:fldCharType="end"/>
      </w:r>
    </w:p>
    <w:p w14:paraId="01C81946" w14:textId="54EB0629" w:rsidR="00C66972" w:rsidRPr="00D56ED9" w:rsidRDefault="00C66972" w:rsidP="00205CCE">
      <w:pPr>
        <w:pStyle w:val="Heading4"/>
      </w:pPr>
      <w:r w:rsidRPr="00D56ED9">
        <w:t>1905</w:t>
      </w:r>
      <w:r w:rsidR="00C87F14">
        <w:t>–</w:t>
      </w:r>
      <w:r w:rsidRPr="00D56ED9">
        <w:t>1990</w:t>
      </w:r>
    </w:p>
    <w:p w14:paraId="31E21CAF" w14:textId="77777777" w:rsidR="00172AC7" w:rsidRDefault="00C66972" w:rsidP="001D3BDA">
      <w:pPr>
        <w:rPr>
          <w:rFonts w:eastAsiaTheme="minorHAnsi"/>
        </w:rPr>
      </w:pPr>
      <w:r w:rsidRPr="00C66972">
        <w:rPr>
          <w:rFonts w:eastAsiaTheme="minorHAnsi"/>
        </w:rPr>
        <w:t xml:space="preserve">Queensland’s first workers’ compensation legislation was the </w:t>
      </w:r>
      <w:r w:rsidRPr="00C66972">
        <w:rPr>
          <w:rFonts w:eastAsiaTheme="minorHAnsi"/>
          <w:i/>
        </w:rPr>
        <w:t>Workers’ Compensation Act 1905</w:t>
      </w:r>
      <w:r w:rsidRPr="00C66972">
        <w:rPr>
          <w:rFonts w:eastAsiaTheme="minorHAnsi"/>
        </w:rPr>
        <w:t xml:space="preserve">. This limited scheme was repealed and replaced by the </w:t>
      </w:r>
      <w:r w:rsidRPr="00C66972">
        <w:rPr>
          <w:rFonts w:eastAsiaTheme="minorHAnsi"/>
          <w:i/>
        </w:rPr>
        <w:t>Workers’ Compensation Act 1916</w:t>
      </w:r>
      <w:r w:rsidRPr="00C66972">
        <w:rPr>
          <w:rFonts w:eastAsiaTheme="minorHAnsi"/>
        </w:rPr>
        <w:t xml:space="preserve">, which became the foundation for workers’ compensation until 1990. In the 1970s benefits were increased and a new Workers’ Compensation Board was created. </w:t>
      </w:r>
    </w:p>
    <w:p w14:paraId="2869E832" w14:textId="5E74620B" w:rsidR="00C66972" w:rsidRPr="00D56ED9" w:rsidRDefault="00C66972" w:rsidP="00205CCE">
      <w:pPr>
        <w:pStyle w:val="Heading4"/>
      </w:pPr>
      <w:r w:rsidRPr="00D56ED9">
        <w:t>1990</w:t>
      </w:r>
    </w:p>
    <w:p w14:paraId="408B8BBE" w14:textId="77777777" w:rsidR="00172AC7" w:rsidRDefault="00C66972" w:rsidP="001D3BDA">
      <w:pPr>
        <w:rPr>
          <w:rFonts w:eastAsiaTheme="minorHAnsi"/>
        </w:rPr>
      </w:pPr>
      <w:r w:rsidRPr="00C66972">
        <w:rPr>
          <w:rFonts w:eastAsiaTheme="minorHAnsi"/>
        </w:rPr>
        <w:t xml:space="preserve">By the late 1980s the legislation in Queensland had become outdated and unwieldy and a review resulted in the </w:t>
      </w:r>
      <w:r w:rsidRPr="00C66972">
        <w:rPr>
          <w:rFonts w:eastAsiaTheme="minorHAnsi"/>
          <w:i/>
        </w:rPr>
        <w:t>Workers’ Compensation Act 1990</w:t>
      </w:r>
      <w:r w:rsidRPr="00C66972">
        <w:rPr>
          <w:rFonts w:eastAsiaTheme="minorHAnsi"/>
        </w:rPr>
        <w:t>. Key features included increased and additional benefits for workers, rehabilitation initiatives, increased employer and worker representation on the Workers’ Compensation Board, increased penalties for fraud and failure of employers to insure, and streamlined administrative arrangements.</w:t>
      </w:r>
    </w:p>
    <w:p w14:paraId="754FCD50" w14:textId="4A733380" w:rsidR="00C66972" w:rsidRPr="00D56ED9" w:rsidRDefault="00C66972" w:rsidP="00205CCE">
      <w:pPr>
        <w:pStyle w:val="Heading4"/>
      </w:pPr>
      <w:r w:rsidRPr="00D56ED9">
        <w:t>1996</w:t>
      </w:r>
    </w:p>
    <w:p w14:paraId="03F0786F" w14:textId="77777777" w:rsidR="00172AC7" w:rsidRDefault="00C66972" w:rsidP="001D3BDA">
      <w:pPr>
        <w:rPr>
          <w:rFonts w:eastAsiaTheme="minorHAnsi"/>
        </w:rPr>
      </w:pPr>
      <w:r w:rsidRPr="00C66972">
        <w:rPr>
          <w:rFonts w:eastAsiaTheme="minorHAnsi"/>
        </w:rPr>
        <w:t xml:space="preserve">In 1996 a further inquiry was held to address financial, regulatory and operational difficulties resulting in the </w:t>
      </w:r>
      <w:r w:rsidRPr="00C66972">
        <w:rPr>
          <w:rFonts w:eastAsiaTheme="minorHAnsi"/>
          <w:i/>
        </w:rPr>
        <w:t>WorkCover Queensland Act 1996</w:t>
      </w:r>
      <w:r w:rsidRPr="00C66972">
        <w:rPr>
          <w:rFonts w:eastAsiaTheme="minorHAnsi"/>
        </w:rPr>
        <w:t>. It repealed the 1990 Act and ‘effected a total rewrite of the workers’ compensation legislation’.</w:t>
      </w:r>
    </w:p>
    <w:p w14:paraId="23242716" w14:textId="447CD47C" w:rsidR="00C66972" w:rsidRPr="00D56ED9" w:rsidRDefault="00C66972" w:rsidP="00205CCE">
      <w:pPr>
        <w:pStyle w:val="Heading4"/>
      </w:pPr>
      <w:r w:rsidRPr="00D56ED9">
        <w:t>2003</w:t>
      </w:r>
    </w:p>
    <w:p w14:paraId="7927F403" w14:textId="77777777" w:rsidR="00172AC7" w:rsidRDefault="00C66972" w:rsidP="001D3BDA">
      <w:pPr>
        <w:rPr>
          <w:rFonts w:eastAsiaTheme="minorHAnsi"/>
        </w:rPr>
      </w:pPr>
      <w:r w:rsidRPr="00C66972">
        <w:rPr>
          <w:rFonts w:eastAsiaTheme="minorHAnsi"/>
        </w:rPr>
        <w:t xml:space="preserve">Following a review under National Competition Policy, the </w:t>
      </w:r>
      <w:r w:rsidRPr="00C66972">
        <w:rPr>
          <w:rFonts w:eastAsiaTheme="minorHAnsi"/>
          <w:i/>
        </w:rPr>
        <w:t>Workers’ Compensation and Rehabilitation Act 2003</w:t>
      </w:r>
      <w:r w:rsidRPr="00C66972">
        <w:rPr>
          <w:rFonts w:eastAsiaTheme="minorHAnsi"/>
        </w:rPr>
        <w:t xml:space="preserve"> repealed the 1996 Act and introduced separate delivery and regulation of the workers’ compensation scheme.</w:t>
      </w:r>
    </w:p>
    <w:p w14:paraId="323520E9" w14:textId="3B48F691" w:rsidR="00C66972" w:rsidRPr="00D56ED9" w:rsidRDefault="00C66972" w:rsidP="00205CCE">
      <w:pPr>
        <w:pStyle w:val="Heading4"/>
      </w:pPr>
      <w:r w:rsidRPr="00D56ED9">
        <w:t>2010</w:t>
      </w:r>
    </w:p>
    <w:p w14:paraId="2F5E1A57" w14:textId="549D174A" w:rsidR="00EC625C" w:rsidRDefault="00C66972" w:rsidP="00205CCE">
      <w:pPr>
        <w:rPr>
          <w:rFonts w:eastAsiaTheme="minorHAnsi"/>
        </w:rPr>
      </w:pPr>
      <w:r w:rsidRPr="00C66972">
        <w:rPr>
          <w:rFonts w:eastAsiaTheme="minorHAnsi"/>
        </w:rPr>
        <w:t>Legislative amendments capping damages and increasing the onus on plaintiffs to prove negligence (in line with aspects of civil liability legislation) were passed in June 2010.</w:t>
      </w:r>
    </w:p>
    <w:p w14:paraId="17469674" w14:textId="59352024" w:rsidR="00C66972" w:rsidRPr="00205CCE" w:rsidRDefault="00C66972" w:rsidP="00205CCE">
      <w:pPr>
        <w:pStyle w:val="Heading4"/>
      </w:pPr>
      <w:r w:rsidRPr="00205CCE">
        <w:t>2013</w:t>
      </w:r>
    </w:p>
    <w:p w14:paraId="1639B07B" w14:textId="77777777" w:rsidR="00172AC7" w:rsidRDefault="00C66972" w:rsidP="001D3BDA">
      <w:pPr>
        <w:rPr>
          <w:rFonts w:eastAsiaTheme="minorHAnsi"/>
        </w:rPr>
      </w:pPr>
      <w:r w:rsidRPr="00C66972">
        <w:rPr>
          <w:rFonts w:eastAsiaTheme="minorHAnsi"/>
        </w:rPr>
        <w:t>Legislative amendments were passed in response to the Inquiry into the Operation of Queensland's Workers' Compensation Schem</w:t>
      </w:r>
      <w:r w:rsidR="005E71F1">
        <w:rPr>
          <w:rFonts w:eastAsiaTheme="minorHAnsi"/>
        </w:rPr>
        <w:fldChar w:fldCharType="begin"/>
      </w:r>
      <w:r w:rsidR="005E71F1">
        <w:instrText xml:space="preserve"> XE "</w:instrText>
      </w:r>
      <w:r w:rsidR="005E71F1" w:rsidRPr="001854C8">
        <w:instrText>Inquiry into the Operation of Queensland's Workers' Compensation Scheme</w:instrText>
      </w:r>
      <w:r w:rsidR="005E71F1">
        <w:instrText xml:space="preserve">" </w:instrText>
      </w:r>
      <w:r w:rsidR="005E71F1">
        <w:rPr>
          <w:rFonts w:eastAsiaTheme="minorHAnsi"/>
        </w:rPr>
        <w:fldChar w:fldCharType="end"/>
      </w:r>
      <w:r w:rsidRPr="00C66972">
        <w:rPr>
          <w:rFonts w:eastAsiaTheme="minorHAnsi"/>
        </w:rPr>
        <w:t xml:space="preserve">e by the Queensland Parliament’s Finance and Administration Committee. A greater than </w:t>
      </w:r>
      <w:r w:rsidR="00AC483C">
        <w:rPr>
          <w:rFonts w:eastAsiaTheme="minorHAnsi"/>
        </w:rPr>
        <w:t>five per cent</w:t>
      </w:r>
      <w:r w:rsidRPr="00C66972">
        <w:rPr>
          <w:rFonts w:eastAsiaTheme="minorHAnsi"/>
        </w:rPr>
        <w:t xml:space="preserve"> degree of permanent impairment threshold was introduced for injured workers seeking damages. Regulatory functions were merged into the Department of Justice and Attorney-General.</w:t>
      </w:r>
    </w:p>
    <w:p w14:paraId="3BE668B7" w14:textId="0CC9010B" w:rsidR="00C66972" w:rsidRPr="00205CCE" w:rsidRDefault="00C66972" w:rsidP="00205CCE">
      <w:pPr>
        <w:pStyle w:val="Heading4"/>
      </w:pPr>
      <w:r w:rsidRPr="00205CCE">
        <w:t>2015</w:t>
      </w:r>
    </w:p>
    <w:p w14:paraId="70220F9F" w14:textId="77777777" w:rsidR="00172AC7" w:rsidRDefault="00C66972" w:rsidP="001D3BDA">
      <w:pPr>
        <w:rPr>
          <w:rFonts w:eastAsiaTheme="minorHAnsi"/>
        </w:rPr>
      </w:pPr>
      <w:r w:rsidRPr="00C66972">
        <w:rPr>
          <w:rFonts w:eastAsiaTheme="minorHAnsi"/>
        </w:rPr>
        <w:t>The common law threshold was removed effective 31 January 2015 and deeming provisions for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with prescribed diseases were introduced.</w:t>
      </w:r>
    </w:p>
    <w:p w14:paraId="2B86ABB7" w14:textId="3E341BFA" w:rsidR="00C66972" w:rsidRPr="00D56ED9" w:rsidRDefault="00C66972" w:rsidP="00205CCE">
      <w:pPr>
        <w:pStyle w:val="Heading4"/>
      </w:pPr>
      <w:r w:rsidRPr="00D56ED9">
        <w:t>2016</w:t>
      </w:r>
    </w:p>
    <w:p w14:paraId="43EBA97B" w14:textId="77777777" w:rsidR="006A50D4" w:rsidRDefault="00C66972" w:rsidP="001D3BDA">
      <w:pPr>
        <w:rPr>
          <w:rFonts w:eastAsiaTheme="minorHAnsi"/>
        </w:rPr>
      </w:pPr>
      <w:r w:rsidRPr="00C66972">
        <w:rPr>
          <w:rFonts w:eastAsiaTheme="minorHAnsi"/>
        </w:rPr>
        <w:lastRenderedPageBreak/>
        <w:t>The National Injury Insurance Scheme for workplace accidents connected with Queensland was introduced to provide eligible seriously injured workers with a statutory entitlement to lifetime treatment, care and support payments (from 1 July 2016).</w:t>
      </w:r>
    </w:p>
    <w:p w14:paraId="7AA5969E" w14:textId="77777777" w:rsidR="00591890" w:rsidRDefault="00591890">
      <w:pPr>
        <w:spacing w:after="200" w:line="276" w:lineRule="auto"/>
        <w:rPr>
          <w:rFonts w:ascii="Arial Bold" w:eastAsiaTheme="majorEastAsia" w:hAnsi="Arial Bold" w:cstheme="majorBidi"/>
          <w:b/>
          <w:spacing w:val="-3"/>
          <w:szCs w:val="22"/>
          <w:lang w:eastAsia="en-US"/>
        </w:rPr>
      </w:pPr>
      <w:r>
        <w:br w:type="page"/>
      </w:r>
    </w:p>
    <w:p w14:paraId="6C1E29E0" w14:textId="168154F9" w:rsidR="0003141E" w:rsidRPr="00D56ED9" w:rsidRDefault="0003141E" w:rsidP="0003141E">
      <w:pPr>
        <w:pStyle w:val="Heading4"/>
      </w:pPr>
      <w:r w:rsidRPr="00D56ED9">
        <w:lastRenderedPageBreak/>
        <w:t>201</w:t>
      </w:r>
      <w:r>
        <w:t>7</w:t>
      </w:r>
    </w:p>
    <w:p w14:paraId="6EB9E1F3" w14:textId="2A1580F1" w:rsidR="0003141E" w:rsidRDefault="0003141E" w:rsidP="0003141E">
      <w:pPr>
        <w:rPr>
          <w:rFonts w:eastAsiaTheme="minorHAnsi"/>
        </w:rPr>
      </w:pPr>
      <w:r>
        <w:rPr>
          <w:rFonts w:eastAsiaTheme="minorHAnsi"/>
        </w:rPr>
        <w:t xml:space="preserve">New entitlements for current and former workers with Coal Workers’ Pneumoconiosis or other </w:t>
      </w:r>
      <w:r w:rsidRPr="00033F6D">
        <w:rPr>
          <w:rFonts w:eastAsiaTheme="minorHAnsi"/>
        </w:rPr>
        <w:t>Coal Mine Dust Lung Disease</w:t>
      </w:r>
      <w:r>
        <w:rPr>
          <w:rFonts w:eastAsiaTheme="minorHAnsi"/>
        </w:rPr>
        <w:t>s introduced</w:t>
      </w:r>
      <w:r w:rsidRPr="00C66972">
        <w:rPr>
          <w:rFonts w:eastAsiaTheme="minorHAnsi"/>
        </w:rPr>
        <w:t>.</w:t>
      </w:r>
    </w:p>
    <w:p w14:paraId="1FEBFA0B" w14:textId="5D351AEE" w:rsidR="00C66972" w:rsidRPr="00205CCE" w:rsidRDefault="00C66972" w:rsidP="00205CCE">
      <w:pPr>
        <w:pStyle w:val="Title"/>
      </w:pPr>
      <w:bookmarkStart w:id="278" w:name="_Toc483227218"/>
      <w:bookmarkStart w:id="279" w:name="_Toc504654737"/>
      <w:r w:rsidRPr="00205CCE">
        <w:t>Western Australia (WA)</w:t>
      </w:r>
      <w:bookmarkEnd w:id="278"/>
      <w:bookmarkEnd w:id="279"/>
      <w:r w:rsidR="00232E14" w:rsidRPr="00205CCE">
        <w:fldChar w:fldCharType="begin"/>
      </w:r>
      <w:r w:rsidR="00232E14" w:rsidRPr="00205CCE">
        <w:instrText xml:space="preserve"> XE "Western Australia:schemes history and evolution" </w:instrText>
      </w:r>
      <w:r w:rsidR="00232E14" w:rsidRPr="00205CCE">
        <w:fldChar w:fldCharType="end"/>
      </w:r>
      <w:r w:rsidR="001A701E" w:rsidRPr="00205CCE">
        <w:fldChar w:fldCharType="begin"/>
      </w:r>
      <w:r w:rsidR="001A701E" w:rsidRPr="00205CCE">
        <w:instrText xml:space="preserve"> XE "schemes history and evolution:Western Australia" </w:instrText>
      </w:r>
      <w:r w:rsidR="001A701E" w:rsidRPr="00205CCE">
        <w:fldChar w:fldCharType="end"/>
      </w:r>
    </w:p>
    <w:p w14:paraId="4F39A8F6" w14:textId="07C1A480" w:rsidR="00172AC7" w:rsidRDefault="00C66972" w:rsidP="001D3BDA">
      <w:pPr>
        <w:rPr>
          <w:rFonts w:eastAsiaTheme="minorHAnsi"/>
        </w:rPr>
      </w:pPr>
      <w:r w:rsidRPr="00C66972">
        <w:rPr>
          <w:rFonts w:eastAsiaTheme="minorHAnsi"/>
        </w:rPr>
        <w:t>W</w:t>
      </w:r>
      <w:r w:rsidR="00D56ED9">
        <w:rPr>
          <w:rFonts w:eastAsiaTheme="minorHAnsi"/>
        </w:rPr>
        <w:t xml:space="preserve">estern </w:t>
      </w:r>
      <w:r w:rsidRPr="00C66972">
        <w:rPr>
          <w:rFonts w:eastAsiaTheme="minorHAnsi"/>
        </w:rPr>
        <w:t>A</w:t>
      </w:r>
      <w:r w:rsidR="00D56ED9">
        <w:rPr>
          <w:rFonts w:eastAsiaTheme="minorHAnsi"/>
        </w:rPr>
        <w:t>ustralia</w:t>
      </w:r>
      <w:r w:rsidRPr="00C66972">
        <w:rPr>
          <w:rFonts w:eastAsiaTheme="minorHAnsi"/>
        </w:rPr>
        <w:t xml:space="preserve"> introduced the </w:t>
      </w:r>
      <w:r w:rsidRPr="00C66972">
        <w:rPr>
          <w:rFonts w:eastAsiaTheme="minorHAnsi"/>
          <w:i/>
        </w:rPr>
        <w:t>Workers’ Compensation Act 1902</w:t>
      </w:r>
      <w:r w:rsidRPr="00C66972">
        <w:rPr>
          <w:rFonts w:eastAsiaTheme="minorHAnsi"/>
        </w:rPr>
        <w:t xml:space="preserve">. There were frequent and complex amendments over the next 79 years until the </w:t>
      </w:r>
      <w:r w:rsidRPr="00C66972">
        <w:rPr>
          <w:rFonts w:eastAsiaTheme="minorHAnsi"/>
          <w:i/>
        </w:rPr>
        <w:t xml:space="preserve">Workers’ Compensation and Assistance Act 1981 </w:t>
      </w:r>
      <w:r w:rsidRPr="00C66972">
        <w:rPr>
          <w:rFonts w:eastAsiaTheme="minorHAnsi"/>
        </w:rPr>
        <w:t xml:space="preserve">amended and consolidated the law. In 1991 the Act was renamed the </w:t>
      </w:r>
      <w:r w:rsidRPr="00C66972">
        <w:rPr>
          <w:rFonts w:eastAsiaTheme="minorHAnsi"/>
          <w:i/>
        </w:rPr>
        <w:t>Workers’ Compensation and Rehabilitation Act 1981</w:t>
      </w:r>
      <w:r w:rsidRPr="00C66972">
        <w:rPr>
          <w:rFonts w:eastAsiaTheme="minorHAnsi"/>
        </w:rPr>
        <w:t>, reflecting a general shift of emphasis to rehabilitation.</w:t>
      </w:r>
    </w:p>
    <w:p w14:paraId="4901F246" w14:textId="77777777" w:rsidR="007B6C0B" w:rsidRDefault="00C66972" w:rsidP="007B6C0B">
      <w:pPr>
        <w:rPr>
          <w:rFonts w:eastAsiaTheme="minorHAnsi"/>
        </w:rPr>
      </w:pPr>
      <w:r w:rsidRPr="00C66972">
        <w:rPr>
          <w:rFonts w:eastAsiaTheme="minorHAnsi"/>
        </w:rPr>
        <w:t xml:space="preserve">A number of reviews and reports between 1999–2001 recommended changes and the </w:t>
      </w:r>
      <w:r w:rsidRPr="007B6C0B">
        <w:rPr>
          <w:rFonts w:eastAsiaTheme="minorHAnsi"/>
        </w:rPr>
        <w:t>Workers’ Compensation Reform Bill 2004 int</w:t>
      </w:r>
      <w:r w:rsidRPr="00C66972">
        <w:rPr>
          <w:rFonts w:eastAsiaTheme="minorHAnsi"/>
        </w:rPr>
        <w:t xml:space="preserve">roduced changes to statutory benefits, injury management, access to common law, employer incentives in relation to return to work for disabled workers, and fairness in dispute resolution. As part of the reforms the Act was renamed the </w:t>
      </w:r>
      <w:r w:rsidRPr="007239A5">
        <w:rPr>
          <w:rFonts w:eastAsiaTheme="minorHAnsi"/>
          <w:i/>
        </w:rPr>
        <w:t>Workers’ Compensation and Injury Management Act 1981</w:t>
      </w:r>
      <w:r w:rsidRPr="00C66972">
        <w:rPr>
          <w:rFonts w:eastAsiaTheme="minorHAnsi"/>
        </w:rPr>
        <w:t xml:space="preserve"> which reflects an emphasis on injury management within the workers’ compensation scheme in Western Australia.</w:t>
      </w:r>
    </w:p>
    <w:p w14:paraId="01C8F450" w14:textId="6AB83FFE" w:rsidR="006A50D4" w:rsidRPr="007B6C0B" w:rsidRDefault="00C66972" w:rsidP="007B6C0B">
      <w:pPr>
        <w:rPr>
          <w:b/>
        </w:rPr>
      </w:pPr>
      <w:r w:rsidRPr="007B6C0B">
        <w:rPr>
          <w:b/>
        </w:rPr>
        <w:t>Legislative Review</w:t>
      </w:r>
    </w:p>
    <w:p w14:paraId="032A88BF" w14:textId="481C53D5" w:rsidR="00C66972" w:rsidRPr="00C66972" w:rsidRDefault="00C66972" w:rsidP="001D3BDA">
      <w:pPr>
        <w:rPr>
          <w:rFonts w:eastAsiaTheme="minorHAnsi"/>
        </w:rPr>
      </w:pPr>
      <w:r w:rsidRPr="00C66972">
        <w:rPr>
          <w:rFonts w:eastAsiaTheme="minorHAnsi"/>
        </w:rPr>
        <w:t xml:space="preserve">In 2009 a further review of the </w:t>
      </w:r>
      <w:r w:rsidRPr="00C66972">
        <w:rPr>
          <w:rFonts w:eastAsiaTheme="minorHAnsi"/>
          <w:i/>
        </w:rPr>
        <w:t>Workers’ Compensation and Injury Management Act 1981</w:t>
      </w:r>
      <w:r w:rsidRPr="00C66972">
        <w:rPr>
          <w:rFonts w:eastAsiaTheme="minorHAnsi"/>
        </w:rPr>
        <w:t xml:space="preserve"> was undertaken. Consequently, the first stage of legislative change saw the:</w:t>
      </w:r>
    </w:p>
    <w:p w14:paraId="11CCBD0A" w14:textId="77777777" w:rsidR="00C66972" w:rsidRPr="001D3BDA" w:rsidRDefault="00C66972" w:rsidP="00F839DB">
      <w:pPr>
        <w:pStyle w:val="ListParagraph"/>
        <w:numPr>
          <w:ilvl w:val="0"/>
          <w:numId w:val="504"/>
        </w:numPr>
        <w:rPr>
          <w:rFonts w:eastAsiaTheme="minorHAnsi"/>
        </w:rPr>
      </w:pPr>
      <w:r w:rsidRPr="001D3BDA">
        <w:rPr>
          <w:rFonts w:eastAsiaTheme="minorHAnsi"/>
        </w:rPr>
        <w:t xml:space="preserve">removal of all aged based limits on workers' compensation entitlements </w:t>
      </w:r>
    </w:p>
    <w:p w14:paraId="767CDE35" w14:textId="161EE085" w:rsidR="00C66972" w:rsidRPr="001D3BDA" w:rsidRDefault="00C66972" w:rsidP="00F839DB">
      <w:pPr>
        <w:pStyle w:val="ListParagraph"/>
        <w:numPr>
          <w:ilvl w:val="0"/>
          <w:numId w:val="504"/>
        </w:numPr>
        <w:rPr>
          <w:rFonts w:eastAsiaTheme="minorHAnsi"/>
        </w:rPr>
      </w:pPr>
      <w:r w:rsidRPr="001D3BDA">
        <w:rPr>
          <w:rFonts w:eastAsiaTheme="minorHAnsi"/>
        </w:rPr>
        <w:t>extension of the safety net arrangement for workers awarded common law damages against uninsured employers</w:t>
      </w:r>
      <w:r w:rsidR="00184441" w:rsidRPr="001D3BDA">
        <w:rPr>
          <w:rFonts w:eastAsiaTheme="minorHAnsi"/>
        </w:rPr>
        <w:fldChar w:fldCharType="begin"/>
      </w:r>
      <w:r w:rsidR="00184441">
        <w:instrText xml:space="preserve"> XE "</w:instrText>
      </w:r>
      <w:r w:rsidR="00184441" w:rsidRPr="005D3C7D">
        <w:instrText>coverage of workers:uninsured employers</w:instrText>
      </w:r>
      <w:r w:rsidR="00184441">
        <w:instrText xml:space="preserve">" </w:instrText>
      </w:r>
      <w:r w:rsidR="00184441" w:rsidRPr="001D3BDA">
        <w:rPr>
          <w:rFonts w:eastAsiaTheme="minorHAnsi"/>
        </w:rPr>
        <w:fldChar w:fldCharType="end"/>
      </w:r>
      <w:r w:rsidR="0025506E" w:rsidRPr="001D3BDA">
        <w:rPr>
          <w:rFonts w:eastAsiaTheme="minorHAnsi"/>
        </w:rPr>
        <w:fldChar w:fldCharType="begin"/>
      </w:r>
      <w:r w:rsidR="0025506E">
        <w:instrText xml:space="preserve"> XE "</w:instrText>
      </w:r>
      <w:r w:rsidR="0025506E" w:rsidRPr="002C2FCA">
        <w:instrText>employers:uninsured employers</w:instrText>
      </w:r>
      <w:r w:rsidR="0025506E">
        <w:instrText xml:space="preserve">" </w:instrText>
      </w:r>
      <w:r w:rsidR="0025506E" w:rsidRPr="001D3BDA">
        <w:rPr>
          <w:rFonts w:eastAsiaTheme="minorHAnsi"/>
        </w:rPr>
        <w:fldChar w:fldCharType="end"/>
      </w:r>
      <w:r w:rsidRPr="001D3BDA">
        <w:rPr>
          <w:rFonts w:eastAsiaTheme="minorHAnsi"/>
        </w:rPr>
        <w:t xml:space="preserve">, and </w:t>
      </w:r>
    </w:p>
    <w:p w14:paraId="7E191DB4" w14:textId="77777777" w:rsidR="00172AC7" w:rsidRDefault="00C66972" w:rsidP="00F839DB">
      <w:pPr>
        <w:pStyle w:val="ListParagraph"/>
        <w:numPr>
          <w:ilvl w:val="0"/>
          <w:numId w:val="504"/>
        </w:numPr>
        <w:rPr>
          <w:rFonts w:eastAsiaTheme="minorHAnsi"/>
        </w:rPr>
      </w:pPr>
      <w:r w:rsidRPr="001D3BDA">
        <w:rPr>
          <w:rFonts w:eastAsiaTheme="minorHAnsi"/>
        </w:rPr>
        <w:t>inclusion of various amendments of an administrative nature (including the removal of time limit for writ lodgement after election and the incorporation of diffuse pleural fibrosis into the industrial disease provisions of the legislation).</w:t>
      </w:r>
    </w:p>
    <w:p w14:paraId="1458AEA5" w14:textId="77777777" w:rsidR="00172AC7" w:rsidRDefault="00C66972" w:rsidP="001D3BDA">
      <w:pPr>
        <w:rPr>
          <w:rFonts w:eastAsiaTheme="minorHAnsi"/>
        </w:rPr>
      </w:pPr>
      <w:r w:rsidRPr="00C66972">
        <w:rPr>
          <w:rFonts w:eastAsiaTheme="minorHAnsi"/>
        </w:rPr>
        <w:t>The establishment of the Conciliation and Arbitration Service and other changes to the dispute resolution process commenced on 1 December 2011.</w:t>
      </w:r>
    </w:p>
    <w:p w14:paraId="4AE2E711" w14:textId="617DB4E8" w:rsidR="00172AC7" w:rsidRDefault="00C66972" w:rsidP="001D3BDA">
      <w:pPr>
        <w:rPr>
          <w:rFonts w:eastAsiaTheme="minorHAnsi"/>
        </w:rPr>
      </w:pPr>
      <w:r w:rsidRPr="00C66972">
        <w:rPr>
          <w:rFonts w:eastAsiaTheme="minorHAnsi"/>
        </w:rPr>
        <w:t xml:space="preserve">The second stage of the legislative review progressed in 2013/2014 and saw the release of the </w:t>
      </w:r>
      <w:r w:rsidRPr="00C66972">
        <w:rPr>
          <w:rFonts w:eastAsiaTheme="minorHAnsi"/>
          <w:i/>
        </w:rPr>
        <w:t>Review of Workers’ Compensation and Injury Management Act 1981</w:t>
      </w:r>
      <w:r w:rsidR="007B6C0B">
        <w:rPr>
          <w:rFonts w:eastAsiaTheme="minorHAnsi"/>
          <w:i/>
        </w:rPr>
        <w:t xml:space="preserve"> </w:t>
      </w:r>
      <w:r w:rsidRPr="00C66972">
        <w:rPr>
          <w:rFonts w:eastAsiaTheme="minorHAnsi"/>
          <w:i/>
        </w:rPr>
        <w:t>Discussion Paper</w:t>
      </w:r>
      <w:r w:rsidRPr="00C66972">
        <w:rPr>
          <w:rFonts w:eastAsiaTheme="minorHAnsi"/>
        </w:rPr>
        <w:t xml:space="preserve">. Stakeholder feedback on the discussion paper informed the subsequent </w:t>
      </w:r>
      <w:r w:rsidRPr="00C66972">
        <w:rPr>
          <w:rFonts w:eastAsiaTheme="minorHAnsi"/>
          <w:i/>
        </w:rPr>
        <w:t>Review of Workers’ Compensation and Injury Management Act 1981 Final Report</w:t>
      </w:r>
      <w:r w:rsidRPr="00C66972">
        <w:rPr>
          <w:rFonts w:eastAsiaTheme="minorHAnsi"/>
        </w:rPr>
        <w:t xml:space="preserve"> (</w:t>
      </w:r>
      <w:r w:rsidR="0088184F">
        <w:rPr>
          <w:rFonts w:eastAsiaTheme="minorHAnsi"/>
        </w:rPr>
        <w:t>F</w:t>
      </w:r>
      <w:r w:rsidR="0088184F" w:rsidRPr="00C66972">
        <w:rPr>
          <w:rFonts w:eastAsiaTheme="minorHAnsi"/>
        </w:rPr>
        <w:t xml:space="preserve">inal </w:t>
      </w:r>
      <w:r w:rsidR="0088184F">
        <w:rPr>
          <w:rFonts w:eastAsiaTheme="minorHAnsi"/>
        </w:rPr>
        <w:t>R</w:t>
      </w:r>
      <w:r w:rsidRPr="00C66972">
        <w:rPr>
          <w:rFonts w:eastAsiaTheme="minorHAnsi"/>
        </w:rPr>
        <w:t>eport).</w:t>
      </w:r>
    </w:p>
    <w:p w14:paraId="1CA29975" w14:textId="2FD83BAE" w:rsidR="006A50D4" w:rsidRDefault="00C66972" w:rsidP="001D3BDA">
      <w:pPr>
        <w:rPr>
          <w:rFonts w:eastAsiaTheme="minorHAnsi"/>
        </w:rPr>
      </w:pPr>
      <w:r w:rsidRPr="00C66972">
        <w:rPr>
          <w:rFonts w:eastAsiaTheme="minorHAnsi"/>
        </w:rPr>
        <w:t>The final report was tabled in Parliament on 26 June 2014. The report contains 171 recommendations for inclusion in the new statute.</w:t>
      </w:r>
      <w:r w:rsidR="001D3BDA">
        <w:rPr>
          <w:rFonts w:eastAsiaTheme="minorHAnsi"/>
        </w:rPr>
        <w:t xml:space="preserve"> </w:t>
      </w:r>
      <w:r w:rsidRPr="00C66972">
        <w:rPr>
          <w:rFonts w:eastAsiaTheme="minorHAnsi"/>
        </w:rPr>
        <w:t xml:space="preserve">Drafting of a bill commenced in 2015/16 but </w:t>
      </w:r>
      <w:r w:rsidR="0088184F">
        <w:rPr>
          <w:rFonts w:eastAsiaTheme="minorHAnsi"/>
        </w:rPr>
        <w:t xml:space="preserve">was placed </w:t>
      </w:r>
      <w:r w:rsidRPr="00C66972">
        <w:rPr>
          <w:rFonts w:eastAsiaTheme="minorHAnsi"/>
        </w:rPr>
        <w:t>on hold until the conclusion of the 2017 WA State election.</w:t>
      </w:r>
    </w:p>
    <w:p w14:paraId="2331AC4E" w14:textId="224A45D8" w:rsidR="0088184F" w:rsidRDefault="0088184F" w:rsidP="001D3BDA">
      <w:pPr>
        <w:rPr>
          <w:rFonts w:eastAsiaTheme="minorHAnsi"/>
        </w:rPr>
      </w:pPr>
      <w:r>
        <w:rPr>
          <w:rFonts w:eastAsiaTheme="minorHAnsi"/>
        </w:rPr>
        <w:t>The drafting of the Bill is now progressing and will incorporate the recommendations of the Final Report as well as lifetime care and support arrangements for catastrophically injured workers.</w:t>
      </w:r>
    </w:p>
    <w:p w14:paraId="042BE058" w14:textId="4B92EC71" w:rsidR="0088184F" w:rsidRDefault="0088184F" w:rsidP="001D3BDA">
      <w:pPr>
        <w:rPr>
          <w:rFonts w:eastAsiaTheme="minorHAnsi"/>
        </w:rPr>
      </w:pPr>
      <w:r>
        <w:rPr>
          <w:rFonts w:eastAsiaTheme="minorHAnsi"/>
        </w:rPr>
        <w:t>Public consultation will occur on a draft Bill before it is introduced into State Parliament, continuing WorkCover WA’s open and consultative approach on the legislative review.</w:t>
      </w:r>
    </w:p>
    <w:p w14:paraId="2AEF5EF4" w14:textId="636CBA54" w:rsidR="00C66972" w:rsidRPr="00205CCE" w:rsidRDefault="00C66972" w:rsidP="00205CCE">
      <w:pPr>
        <w:pStyle w:val="Title"/>
      </w:pPr>
      <w:bookmarkStart w:id="280" w:name="_Toc483227219"/>
      <w:bookmarkStart w:id="281" w:name="_Toc504654738"/>
      <w:bookmarkStart w:id="282" w:name="SA"/>
      <w:r w:rsidRPr="00205CCE">
        <w:t>South Australia (SA</w:t>
      </w:r>
      <w:bookmarkEnd w:id="280"/>
      <w:r w:rsidRPr="00205CCE">
        <w:t>)</w:t>
      </w:r>
      <w:bookmarkEnd w:id="281"/>
      <w:r w:rsidR="001A701E" w:rsidRPr="00205CCE">
        <w:fldChar w:fldCharType="begin"/>
      </w:r>
      <w:r w:rsidR="001A701E" w:rsidRPr="00205CCE">
        <w:instrText xml:space="preserve"> XE "schemes history and evolution:South Australia" \r "SA" </w:instrText>
      </w:r>
      <w:r w:rsidR="001A701E" w:rsidRPr="00205CCE">
        <w:fldChar w:fldCharType="end"/>
      </w:r>
    </w:p>
    <w:p w14:paraId="6422651D" w14:textId="52106C3A" w:rsidR="00172AC7" w:rsidRDefault="00C66972" w:rsidP="00B46F63">
      <w:pPr>
        <w:spacing w:before="240"/>
        <w:rPr>
          <w:rFonts w:eastAsiaTheme="minorHAnsi"/>
        </w:rPr>
      </w:pPr>
      <w:r w:rsidRPr="00C66972">
        <w:rPr>
          <w:rFonts w:eastAsiaTheme="minorHAnsi"/>
        </w:rPr>
        <w:t>S</w:t>
      </w:r>
      <w:r w:rsidR="00D56ED9">
        <w:rPr>
          <w:rFonts w:eastAsiaTheme="minorHAnsi"/>
        </w:rPr>
        <w:t xml:space="preserve">outh </w:t>
      </w:r>
      <w:r w:rsidRPr="00C66972">
        <w:rPr>
          <w:rFonts w:eastAsiaTheme="minorHAnsi"/>
        </w:rPr>
        <w:t>A</w:t>
      </w:r>
      <w:r w:rsidR="00D56ED9">
        <w:rPr>
          <w:rFonts w:eastAsiaTheme="minorHAnsi"/>
        </w:rPr>
        <w:t>ustralia</w:t>
      </w:r>
      <w:r w:rsidRPr="00C66972">
        <w:rPr>
          <w:rFonts w:eastAsiaTheme="minorHAnsi"/>
        </w:rPr>
        <w:t xml:space="preserve"> introduced the </w:t>
      </w:r>
      <w:r w:rsidRPr="00C66972">
        <w:rPr>
          <w:rFonts w:eastAsiaTheme="minorHAnsi"/>
          <w:i/>
        </w:rPr>
        <w:t>Workmens’ Compensation Act 1900</w:t>
      </w:r>
      <w:r w:rsidRPr="00C66972">
        <w:rPr>
          <w:rFonts w:eastAsiaTheme="minorHAnsi"/>
        </w:rPr>
        <w:t xml:space="preserve"> which was consolidated in 1932 and remained essentially in that form until the introduction of the </w:t>
      </w:r>
      <w:r w:rsidRPr="00C66972">
        <w:rPr>
          <w:rFonts w:eastAsiaTheme="minorHAnsi"/>
          <w:i/>
        </w:rPr>
        <w:t>Workers’ Compensation Act 1971</w:t>
      </w:r>
      <w:r w:rsidRPr="00C66972">
        <w:rPr>
          <w:rFonts w:eastAsiaTheme="minorHAnsi"/>
        </w:rPr>
        <w:t>. The 1971 Act completely restructured the workers’ compensation legislation in the state. The Act increased the amounts of compensation payable and broadened the grounds for which a worker could gain compensation.</w:t>
      </w:r>
    </w:p>
    <w:p w14:paraId="5D7DDE5B" w14:textId="77777777" w:rsidR="00172AC7" w:rsidRDefault="00C66972" w:rsidP="00B46F63">
      <w:pPr>
        <w:spacing w:before="240"/>
        <w:rPr>
          <w:rFonts w:eastAsiaTheme="minorHAnsi"/>
        </w:rPr>
      </w:pPr>
      <w:r w:rsidRPr="00C66972">
        <w:rPr>
          <w:rFonts w:eastAsiaTheme="minorHAnsi"/>
        </w:rPr>
        <w:lastRenderedPageBreak/>
        <w:t>In June 1978 the Government established a Committee of Inquiry, chaired by D. E. Byrne, to examine and report on the most effective means of compensating those injured at work. In September 1980 the Committee released the report entitled ‘A Workers’ Rehabilitation and Compensation Board for South Australia — the key to rapid rehabilitation and equitable compensation for those injured at work (</w:t>
      </w:r>
      <w:r w:rsidRPr="00C66972">
        <w:rPr>
          <w:rFonts w:eastAsiaTheme="minorHAnsi"/>
          <w:i/>
        </w:rPr>
        <w:t>‘Byrne Report’</w:t>
      </w:r>
      <w:r w:rsidRPr="00C66972">
        <w:rPr>
          <w:rFonts w:eastAsiaTheme="minorHAnsi"/>
        </w:rPr>
        <w:t xml:space="preserve">). Included among the Committee’s recommendations was that a new Act be introduced repealing the </w:t>
      </w:r>
      <w:r w:rsidRPr="00C66972">
        <w:rPr>
          <w:rFonts w:eastAsiaTheme="minorHAnsi"/>
          <w:i/>
        </w:rPr>
        <w:t>Workers’ Compensation Act 1971</w:t>
      </w:r>
      <w:r w:rsidRPr="00C66972">
        <w:rPr>
          <w:rFonts w:eastAsiaTheme="minorHAnsi"/>
        </w:rPr>
        <w:t>, that a Board be established to administer a workers’ compensation scheme and that the Board be responsible for overseeing and confirming rehabilitation programs.</w:t>
      </w:r>
    </w:p>
    <w:p w14:paraId="591DA128" w14:textId="77777777" w:rsidR="00172AC7" w:rsidRDefault="00C66972" w:rsidP="00B46F63">
      <w:pPr>
        <w:spacing w:before="240"/>
        <w:rPr>
          <w:rFonts w:eastAsiaTheme="minorHAnsi"/>
        </w:rPr>
      </w:pPr>
      <w:r w:rsidRPr="00C66972">
        <w:rPr>
          <w:rFonts w:eastAsiaTheme="minorHAnsi"/>
        </w:rPr>
        <w:t>A Joint Committee was established to investigate those areas where employers and the unions were in agreement or disagreement with respect to changing the workers’ compensation system. Essentially, the Joint Committee reviewed the Byrne Committee recommendations to determine which of those should be implemented. A joint agreement was reached that led to the drafting of new legislation that was considered by Parliament in 1986 and the establishment of WorkCover in September 1987.</w:t>
      </w:r>
    </w:p>
    <w:p w14:paraId="5F6F68D9" w14:textId="40C82419" w:rsidR="006A50D4" w:rsidRDefault="00C66972" w:rsidP="00B46F63">
      <w:pPr>
        <w:spacing w:before="240"/>
        <w:rPr>
          <w:rFonts w:eastAsiaTheme="minorHAnsi"/>
        </w:rPr>
      </w:pPr>
      <w:r w:rsidRPr="00C66972">
        <w:rPr>
          <w:rFonts w:eastAsiaTheme="minorHAnsi"/>
        </w:rPr>
        <w:t xml:space="preserve">Amendments to the </w:t>
      </w:r>
      <w:r w:rsidRPr="00C66972">
        <w:rPr>
          <w:rFonts w:eastAsiaTheme="minorHAnsi"/>
          <w:i/>
        </w:rPr>
        <w:t>Workers’ Rehabilitation and Compensation Act 1986</w:t>
      </w:r>
      <w:r w:rsidRPr="00C66972">
        <w:rPr>
          <w:rFonts w:eastAsiaTheme="minorHAnsi"/>
        </w:rPr>
        <w:t xml:space="preserve"> were made in 1992 (abolishment of common law), 1994 (compensability, redemptions, hearing loss), 1996 (dispute resolution, rehabilitation and return to work plans</w:t>
      </w:r>
      <w:r w:rsidR="00232E14">
        <w:rPr>
          <w:rFonts w:eastAsiaTheme="minorHAnsi"/>
        </w:rPr>
        <w:fldChar w:fldCharType="begin"/>
      </w:r>
      <w:r w:rsidR="00232E14">
        <w:instrText xml:space="preserve"> XE "</w:instrText>
      </w:r>
      <w:r w:rsidR="00232E14" w:rsidRPr="00556D6C">
        <w:instrText>return to work plans:recent developments (South Australia)</w:instrText>
      </w:r>
      <w:r w:rsidR="00232E14">
        <w:instrText xml:space="preserve">" </w:instrText>
      </w:r>
      <w:r w:rsidR="00232E14">
        <w:rPr>
          <w:rFonts w:eastAsiaTheme="minorHAnsi"/>
        </w:rPr>
        <w:fldChar w:fldCharType="end"/>
      </w:r>
      <w:r w:rsidRPr="00C66972">
        <w:rPr>
          <w:rFonts w:eastAsiaTheme="minorHAnsi"/>
        </w:rPr>
        <w:t>, two year reviews and more), and 2006 (territorial).</w:t>
      </w:r>
    </w:p>
    <w:p w14:paraId="35B09D56" w14:textId="77777777" w:rsidR="00172AC7" w:rsidRDefault="00C66972" w:rsidP="00B46F63">
      <w:pPr>
        <w:spacing w:before="240"/>
        <w:rPr>
          <w:rFonts w:eastAsiaTheme="minorHAnsi"/>
        </w:rPr>
      </w:pPr>
      <w:r w:rsidRPr="00C66972">
        <w:rPr>
          <w:rFonts w:eastAsiaTheme="minorHAnsi"/>
        </w:rPr>
        <w:t xml:space="preserve">In 2008 legislative amendments followed an independent review by the South Australia Government to reassess the structure of the Scheme. </w:t>
      </w:r>
    </w:p>
    <w:p w14:paraId="74FD5A6F" w14:textId="77777777" w:rsidR="00172AC7" w:rsidRDefault="00C66972" w:rsidP="00B46F63">
      <w:pPr>
        <w:spacing w:before="240"/>
        <w:rPr>
          <w:rFonts w:eastAsiaTheme="minorHAnsi"/>
        </w:rPr>
      </w:pPr>
      <w:r w:rsidRPr="00C66972">
        <w:rPr>
          <w:rFonts w:eastAsiaTheme="minorHAnsi"/>
        </w:rPr>
        <w:t xml:space="preserve">The 2008 amendments included the introduction of work capacity assessments, Medical Panels, restrictions on redemptions and changes to weekly payments (commonly referred to as ‘step-downs’). The Amendment Act also included a requirement for the Minister for Industrial Relations, to initiate a further independent review in 2011 to consider the impact of the 2008 changes. </w:t>
      </w:r>
    </w:p>
    <w:p w14:paraId="671AD31E" w14:textId="77777777" w:rsidR="00172AC7" w:rsidRDefault="00C66972" w:rsidP="00B46F63">
      <w:pPr>
        <w:spacing w:before="240"/>
        <w:rPr>
          <w:rFonts w:eastAsiaTheme="minorHAnsi"/>
        </w:rPr>
      </w:pPr>
      <w:r w:rsidRPr="00C66972">
        <w:rPr>
          <w:rFonts w:eastAsiaTheme="minorHAnsi"/>
        </w:rPr>
        <w:t xml:space="preserve">In 2008 WorkCover commenced a review of all regulations supporting the Act. All SA regulations expire after being 10 years in force (under the </w:t>
      </w:r>
      <w:r w:rsidRPr="00C66972">
        <w:rPr>
          <w:rFonts w:eastAsiaTheme="minorHAnsi"/>
          <w:i/>
        </w:rPr>
        <w:t>Subordinate Legislation Act 1978</w:t>
      </w:r>
      <w:r w:rsidRPr="00C66972">
        <w:rPr>
          <w:rFonts w:eastAsiaTheme="minorHAnsi"/>
        </w:rPr>
        <w:t xml:space="preserve">). In June 2010 Cabinet approved the Workers’ Rehabilitation and Compensation Regulations 2010. The regulations were made by the Governor and published in the SA Government Gazette on 24 June 2010 and commenced on 1 November 2010. </w:t>
      </w:r>
    </w:p>
    <w:p w14:paraId="32F5207B" w14:textId="77777777" w:rsidR="00172AC7" w:rsidRDefault="00C66972" w:rsidP="00B46F63">
      <w:pPr>
        <w:spacing w:before="240"/>
        <w:rPr>
          <w:rFonts w:eastAsiaTheme="minorHAnsi"/>
        </w:rPr>
      </w:pPr>
      <w:r w:rsidRPr="00C66972">
        <w:rPr>
          <w:rFonts w:eastAsiaTheme="minorHAnsi"/>
        </w:rPr>
        <w:t>The review (generally referred to as the Cossey Review) of the 2008 legislative amendments was undertaken by Mr Bill Cossey and Mr Chris Latham, with the report tabled in Parliament on 23 June 2011. The review found that overall it was too soon for the long term impacts of the 2008 amendments to be known. Emerging trends were identified where possible noting that trends were based on limited experience, limited data and it was unclear if they would prevail in the longer term.</w:t>
      </w:r>
    </w:p>
    <w:p w14:paraId="71367D09" w14:textId="77777777" w:rsidR="00172AC7" w:rsidRDefault="00C66972" w:rsidP="00B46F63">
      <w:pPr>
        <w:spacing w:before="240"/>
        <w:rPr>
          <w:rFonts w:eastAsiaTheme="minorHAnsi"/>
        </w:rPr>
      </w:pPr>
      <w:r w:rsidRPr="00C66972">
        <w:rPr>
          <w:rFonts w:eastAsiaTheme="minorHAnsi"/>
        </w:rPr>
        <w:t xml:space="preserve">On 13 September 2011, the Government made a statement in relation to the Cossey Review to announce that it would continue to work on developing the Government’s response, including consideration of recent court judgements and other reform proposals and working closely with employee and employer representatives, the WorkCover Board and Executive and other interested parties. </w:t>
      </w:r>
    </w:p>
    <w:p w14:paraId="7046688E" w14:textId="495F8836" w:rsidR="00172AC7" w:rsidRDefault="00C66972" w:rsidP="00B46F63">
      <w:pPr>
        <w:spacing w:before="240"/>
        <w:rPr>
          <w:rFonts w:eastAsiaTheme="minorHAnsi"/>
        </w:rPr>
      </w:pPr>
      <w:r w:rsidRPr="00C66972">
        <w:rPr>
          <w:rFonts w:eastAsiaTheme="minorHAnsi"/>
        </w:rPr>
        <w:t>On 27 October 2012, the Premier announced the Workers</w:t>
      </w:r>
      <w:r w:rsidR="00FA2384">
        <w:rPr>
          <w:rFonts w:eastAsiaTheme="minorHAnsi"/>
        </w:rPr>
        <w:t>’</w:t>
      </w:r>
      <w:r w:rsidRPr="00C66972">
        <w:rPr>
          <w:rFonts w:eastAsiaTheme="minorHAnsi"/>
        </w:rPr>
        <w:t xml:space="preserve"> Compensation Improvement Project. Phase one outcomes included a new WorkCover Charter and Performance Statement signed on 19 August 2013, with a range of initiatives that were expected of WorkCover to place a greater focus on early intervention and return to work. These initiatives were intended to cap the growing unfunded liability. Amendments were also made to the </w:t>
      </w:r>
      <w:r w:rsidRPr="00C66972">
        <w:rPr>
          <w:rFonts w:eastAsiaTheme="minorHAnsi"/>
          <w:i/>
        </w:rPr>
        <w:t>WorkCover Corporation Act 1994</w:t>
      </w:r>
      <w:r w:rsidRPr="00C66972">
        <w:rPr>
          <w:rFonts w:eastAsiaTheme="minorHAnsi"/>
        </w:rPr>
        <w:t xml:space="preserve"> in November 2013 to put the Board on a more commercial footing. Phase two of the Workers</w:t>
      </w:r>
      <w:r w:rsidR="00FA2384">
        <w:rPr>
          <w:rFonts w:eastAsiaTheme="minorHAnsi"/>
        </w:rPr>
        <w:t>’</w:t>
      </w:r>
      <w:r w:rsidRPr="00C66972">
        <w:rPr>
          <w:rFonts w:eastAsiaTheme="minorHAnsi"/>
        </w:rPr>
        <w:t xml:space="preserve"> Compensation Improvement Project was announced to include a root and branch recasting of the fundamental characteristics of the legislation.</w:t>
      </w:r>
    </w:p>
    <w:p w14:paraId="45BFFAFF" w14:textId="77777777" w:rsidR="00172AC7" w:rsidRDefault="00C66972" w:rsidP="001D3BDA">
      <w:pPr>
        <w:rPr>
          <w:rFonts w:eastAsiaTheme="minorHAnsi"/>
        </w:rPr>
      </w:pPr>
      <w:r w:rsidRPr="00C66972">
        <w:rPr>
          <w:rFonts w:eastAsiaTheme="minorHAnsi"/>
        </w:rPr>
        <w:t xml:space="preserve">On 30 October 2014 new legislation to reform workers’ compensation in South Australia was passed by Parliament. The </w:t>
      </w:r>
      <w:r w:rsidRPr="00C66972">
        <w:rPr>
          <w:rFonts w:eastAsiaTheme="minorHAnsi"/>
          <w:i/>
        </w:rPr>
        <w:t>Return to Work Act 2014</w:t>
      </w:r>
      <w:r w:rsidRPr="00C66972">
        <w:rPr>
          <w:rFonts w:eastAsiaTheme="minorHAnsi"/>
        </w:rPr>
        <w:t xml:space="preserve"> and the </w:t>
      </w:r>
      <w:r w:rsidRPr="00C66972">
        <w:rPr>
          <w:rFonts w:eastAsiaTheme="minorHAnsi"/>
          <w:i/>
        </w:rPr>
        <w:t>South Australian Employment Tribunal Act 2014</w:t>
      </w:r>
      <w:r w:rsidRPr="00C66972">
        <w:rPr>
          <w:rFonts w:eastAsiaTheme="minorHAnsi"/>
        </w:rPr>
        <w:t xml:space="preserve"> replace the </w:t>
      </w:r>
      <w:r w:rsidRPr="00C66972">
        <w:rPr>
          <w:rFonts w:eastAsiaTheme="minorHAnsi"/>
          <w:i/>
        </w:rPr>
        <w:t>Workers Rehabilitation and Compensation Act 1986</w:t>
      </w:r>
      <w:r w:rsidRPr="00C66972">
        <w:rPr>
          <w:rFonts w:eastAsiaTheme="minorHAnsi"/>
        </w:rPr>
        <w:t xml:space="preserve"> and establish the Return to Work scheme.</w:t>
      </w:r>
    </w:p>
    <w:p w14:paraId="37D25C15" w14:textId="582605F9" w:rsidR="00C66972" w:rsidRPr="00C66972" w:rsidRDefault="00C66972" w:rsidP="001D3BDA">
      <w:pPr>
        <w:rPr>
          <w:rFonts w:eastAsiaTheme="minorHAnsi"/>
        </w:rPr>
      </w:pPr>
      <w:r w:rsidRPr="00C66972">
        <w:rPr>
          <w:rFonts w:eastAsiaTheme="minorHAnsi"/>
        </w:rPr>
        <w:lastRenderedPageBreak/>
        <w:t>The Return to Work scheme is underpinned by the following key principles:</w:t>
      </w:r>
    </w:p>
    <w:p w14:paraId="1C236B05" w14:textId="77777777" w:rsidR="00C66972" w:rsidRPr="001D3BDA" w:rsidRDefault="00C66972" w:rsidP="00F839DB">
      <w:pPr>
        <w:pStyle w:val="ListParagraph"/>
        <w:numPr>
          <w:ilvl w:val="0"/>
          <w:numId w:val="505"/>
        </w:numPr>
        <w:rPr>
          <w:rFonts w:eastAsiaTheme="minorHAnsi"/>
        </w:rPr>
      </w:pPr>
      <w:r w:rsidRPr="001D3BDA">
        <w:rPr>
          <w:rFonts w:eastAsiaTheme="minorHAnsi"/>
        </w:rPr>
        <w:t>a strong focus on early intervention, targeted return to work services and provision of retraining (where required)</w:t>
      </w:r>
    </w:p>
    <w:p w14:paraId="15CD6D0B" w14:textId="77777777" w:rsidR="00C66972" w:rsidRPr="001D3BDA" w:rsidRDefault="00C66972" w:rsidP="00F839DB">
      <w:pPr>
        <w:pStyle w:val="ListParagraph"/>
        <w:numPr>
          <w:ilvl w:val="0"/>
          <w:numId w:val="505"/>
        </w:numPr>
        <w:rPr>
          <w:rFonts w:eastAsiaTheme="minorHAnsi"/>
        </w:rPr>
      </w:pPr>
      <w:r w:rsidRPr="001D3BDA">
        <w:rPr>
          <w:rFonts w:eastAsiaTheme="minorHAnsi"/>
        </w:rPr>
        <w:t>recognition that workers who are seriously injured require different services and support to those workers who are not seriously injured</w:t>
      </w:r>
    </w:p>
    <w:p w14:paraId="04DD0AC1" w14:textId="77777777" w:rsidR="00C66972" w:rsidRPr="001D3BDA" w:rsidRDefault="00C66972" w:rsidP="00F839DB">
      <w:pPr>
        <w:pStyle w:val="ListParagraph"/>
        <w:numPr>
          <w:ilvl w:val="0"/>
          <w:numId w:val="505"/>
        </w:numPr>
        <w:rPr>
          <w:rFonts w:eastAsiaTheme="minorHAnsi"/>
        </w:rPr>
      </w:pPr>
      <w:r w:rsidRPr="001D3BDA">
        <w:rPr>
          <w:rFonts w:eastAsiaTheme="minorHAnsi"/>
        </w:rPr>
        <w:t>clearly articulated rights and obligations for all parties: workers, employers and the Corporation</w:t>
      </w:r>
    </w:p>
    <w:p w14:paraId="4716A813" w14:textId="77777777" w:rsidR="006A50D4" w:rsidRDefault="00C66972" w:rsidP="00F839DB">
      <w:pPr>
        <w:pStyle w:val="ListParagraph"/>
        <w:numPr>
          <w:ilvl w:val="0"/>
          <w:numId w:val="505"/>
        </w:numPr>
        <w:rPr>
          <w:rFonts w:eastAsiaTheme="minorHAnsi"/>
        </w:rPr>
      </w:pPr>
      <w:r w:rsidRPr="001D3BDA">
        <w:rPr>
          <w:rFonts w:eastAsiaTheme="minorHAnsi"/>
        </w:rPr>
        <w:t>a simple and efficient dispute resolution process with an improved framework including clear boundaries and requirements for evidence-based decision making.</w:t>
      </w:r>
    </w:p>
    <w:p w14:paraId="16B24FFC" w14:textId="77777777" w:rsidR="00172AC7" w:rsidRDefault="00C66972" w:rsidP="00C225E8">
      <w:pPr>
        <w:rPr>
          <w:rFonts w:eastAsiaTheme="minorHAnsi"/>
        </w:rPr>
      </w:pPr>
      <w:r w:rsidRPr="00C66972">
        <w:rPr>
          <w:rFonts w:eastAsiaTheme="minorHAnsi"/>
        </w:rPr>
        <w:t>The Return to Work scheme became operational on 1 July 2015.</w:t>
      </w:r>
    </w:p>
    <w:p w14:paraId="652B8E23" w14:textId="77777777" w:rsidR="00172AC7" w:rsidRDefault="00C66972" w:rsidP="00C225E8">
      <w:pPr>
        <w:rPr>
          <w:rFonts w:eastAsiaTheme="minorHAnsi"/>
        </w:rPr>
      </w:pPr>
      <w:r w:rsidRPr="00C66972">
        <w:rPr>
          <w:rFonts w:eastAsiaTheme="minorHAnsi"/>
        </w:rPr>
        <w:t xml:space="preserve">On 2 February 2015 the </w:t>
      </w:r>
      <w:r w:rsidRPr="00C66972">
        <w:rPr>
          <w:rFonts w:eastAsiaTheme="minorHAnsi"/>
          <w:i/>
        </w:rPr>
        <w:t>WorkCover Corporation Act 1994</w:t>
      </w:r>
      <w:r w:rsidRPr="00C66972">
        <w:rPr>
          <w:rFonts w:eastAsiaTheme="minorHAnsi"/>
        </w:rPr>
        <w:t xml:space="preserve"> was amended to the </w:t>
      </w:r>
      <w:r w:rsidRPr="00C66972">
        <w:rPr>
          <w:rFonts w:eastAsiaTheme="minorHAnsi"/>
          <w:i/>
        </w:rPr>
        <w:t>Return to Work Corporation of South Australia Act 1994</w:t>
      </w:r>
      <w:r w:rsidRPr="00C66972">
        <w:rPr>
          <w:rFonts w:eastAsiaTheme="minorHAnsi"/>
        </w:rPr>
        <w:t xml:space="preserve">. These amendments arising from </w:t>
      </w:r>
      <w:r w:rsidRPr="00C66972">
        <w:rPr>
          <w:rFonts w:eastAsiaTheme="minorHAnsi"/>
          <w:i/>
        </w:rPr>
        <w:t>the Return to Work Act 2014</w:t>
      </w:r>
      <w:r w:rsidRPr="00C66972">
        <w:rPr>
          <w:rFonts w:eastAsiaTheme="minorHAnsi"/>
        </w:rPr>
        <w:t xml:space="preserve"> provide for the name change of the Corporation.</w:t>
      </w:r>
    </w:p>
    <w:p w14:paraId="1B302244" w14:textId="4EC35DFB" w:rsidR="006A50D4" w:rsidRDefault="00C66972" w:rsidP="00C225E8">
      <w:pPr>
        <w:rPr>
          <w:rFonts w:eastAsiaTheme="minorHAnsi"/>
        </w:rPr>
      </w:pPr>
      <w:r w:rsidRPr="00C66972">
        <w:rPr>
          <w:rFonts w:eastAsiaTheme="minorHAnsi"/>
        </w:rPr>
        <w:t>On 6 February 2015 ReturnToWorkSA (RTWSA) was launched. RTWSA is responsible for insuring and regulating the Return to Work scheme. RTWSA continued to administer the WorkCover scheme until it was replaced by the Return to Work scheme on 1 July 2015.</w:t>
      </w:r>
      <w:r w:rsidR="001F2D00">
        <w:rPr>
          <w:rFonts w:eastAsiaTheme="minorHAnsi"/>
        </w:rPr>
        <w:t xml:space="preserve"> </w:t>
      </w:r>
      <w:r w:rsidRPr="00C66972">
        <w:rPr>
          <w:rFonts w:eastAsiaTheme="minorHAnsi"/>
        </w:rPr>
        <w:t>Section 203 requires the Minister to cause a review of</w:t>
      </w:r>
      <w:r w:rsidR="00367415">
        <w:rPr>
          <w:rFonts w:eastAsiaTheme="minorHAnsi"/>
        </w:rPr>
        <w:t xml:space="preserve"> the</w:t>
      </w:r>
      <w:r w:rsidRPr="00C66972">
        <w:rPr>
          <w:rFonts w:eastAsiaTheme="minorHAnsi"/>
        </w:rPr>
        <w:t xml:space="preserve"> Act and its operation to be conducted on the expiry of </w:t>
      </w:r>
      <w:r w:rsidR="00AC483C">
        <w:rPr>
          <w:rFonts w:eastAsiaTheme="minorHAnsi"/>
        </w:rPr>
        <w:t>three</w:t>
      </w:r>
      <w:r w:rsidRPr="00C66972">
        <w:rPr>
          <w:rFonts w:eastAsiaTheme="minorHAnsi"/>
        </w:rPr>
        <w:t xml:space="preserve"> years from its commencement. </w:t>
      </w:r>
    </w:p>
    <w:p w14:paraId="7855A0A5" w14:textId="2ADA2A7B" w:rsidR="00AD02C2" w:rsidRPr="00AD02C2" w:rsidRDefault="00AD02C2" w:rsidP="00C225E8">
      <w:pPr>
        <w:rPr>
          <w:rFonts w:eastAsiaTheme="minorHAnsi"/>
        </w:rPr>
      </w:pPr>
      <w:r>
        <w:rPr>
          <w:rFonts w:eastAsiaTheme="minorHAnsi"/>
        </w:rPr>
        <w:t xml:space="preserve">A review of the </w:t>
      </w:r>
      <w:r>
        <w:rPr>
          <w:rFonts w:eastAsiaTheme="minorHAnsi"/>
          <w:i/>
        </w:rPr>
        <w:t>Return to Work Act</w:t>
      </w:r>
      <w:r>
        <w:rPr>
          <w:rFonts w:eastAsiaTheme="minorHAnsi"/>
        </w:rPr>
        <w:t xml:space="preserve"> commenced in late 2017 and is due to report to Government in June 2018.</w:t>
      </w:r>
    </w:p>
    <w:p w14:paraId="5589381B" w14:textId="5957044F" w:rsidR="00C66972" w:rsidRPr="00205CCE" w:rsidRDefault="00C66972" w:rsidP="00205CCE">
      <w:pPr>
        <w:pStyle w:val="Title"/>
      </w:pPr>
      <w:bookmarkStart w:id="283" w:name="_Toc504654739"/>
      <w:bookmarkStart w:id="284" w:name="Tas"/>
      <w:bookmarkEnd w:id="282"/>
      <w:r w:rsidRPr="00205CCE">
        <w:t>Tasmania</w:t>
      </w:r>
      <w:bookmarkEnd w:id="283"/>
      <w:r w:rsidR="0093517C" w:rsidRPr="00205CCE">
        <w:fldChar w:fldCharType="begin"/>
      </w:r>
      <w:r w:rsidR="0093517C" w:rsidRPr="00205CCE">
        <w:instrText xml:space="preserve"> XE "Tasmania:schemes history and evolution" \r "Tas" </w:instrText>
      </w:r>
      <w:r w:rsidR="0093517C" w:rsidRPr="00205CCE">
        <w:fldChar w:fldCharType="end"/>
      </w:r>
      <w:r w:rsidR="001A701E" w:rsidRPr="00205CCE">
        <w:fldChar w:fldCharType="begin"/>
      </w:r>
      <w:r w:rsidR="001A701E" w:rsidRPr="00205CCE">
        <w:instrText xml:space="preserve"> XE "schemes history and evolution:Tasmania" \r "Tas" </w:instrText>
      </w:r>
      <w:r w:rsidR="001A701E" w:rsidRPr="00205CCE">
        <w:fldChar w:fldCharType="end"/>
      </w:r>
    </w:p>
    <w:p w14:paraId="694C0719" w14:textId="533830EC" w:rsidR="00C37BCB" w:rsidRPr="00C66972" w:rsidRDefault="00C66972" w:rsidP="00C37BCB">
      <w:pPr>
        <w:rPr>
          <w:rFonts w:eastAsiaTheme="minorHAnsi"/>
        </w:rPr>
      </w:pPr>
      <w:r w:rsidRPr="00C66972">
        <w:rPr>
          <w:rFonts w:eastAsiaTheme="minorHAnsi"/>
        </w:rPr>
        <w:t xml:space="preserve">Tasmania first introduced workers’ compensation in 1910. The </w:t>
      </w:r>
      <w:r w:rsidRPr="00C66972">
        <w:rPr>
          <w:rFonts w:eastAsiaTheme="minorHAnsi"/>
          <w:i/>
        </w:rPr>
        <w:t>Workers’ Compensation Act 1927</w:t>
      </w:r>
      <w:r w:rsidRPr="00C66972">
        <w:rPr>
          <w:rFonts w:eastAsiaTheme="minorHAnsi"/>
        </w:rPr>
        <w:t xml:space="preserve"> repealed earlier Acts and introduced compulsory insurance against injury to workers. A 1986 Tasmanian Law Reform Commission report recommended sweeping changes to the system and led to the </w:t>
      </w:r>
      <w:r w:rsidRPr="00C66972">
        <w:rPr>
          <w:rFonts w:eastAsiaTheme="minorHAnsi"/>
          <w:i/>
        </w:rPr>
        <w:t>Workers Rehabilitation and Compensation Act 1988</w:t>
      </w:r>
      <w:r w:rsidR="00C37BCB">
        <w:rPr>
          <w:rFonts w:eastAsiaTheme="minorHAnsi"/>
        </w:rPr>
        <w:t xml:space="preserve">. </w:t>
      </w:r>
      <w:r w:rsidRPr="00C66972">
        <w:rPr>
          <w:rFonts w:eastAsiaTheme="minorHAnsi"/>
        </w:rPr>
        <w:t>This Act introduced many new features to the Tasmanian workers’ compensation scheme, including:</w:t>
      </w:r>
    </w:p>
    <w:p w14:paraId="32393105" w14:textId="77777777" w:rsidR="00C66972" w:rsidRPr="00C37BCB" w:rsidRDefault="00C66972" w:rsidP="00F839DB">
      <w:pPr>
        <w:pStyle w:val="ListParagraph"/>
        <w:numPr>
          <w:ilvl w:val="0"/>
          <w:numId w:val="506"/>
        </w:numPr>
        <w:rPr>
          <w:rFonts w:eastAsiaTheme="minorHAnsi"/>
        </w:rPr>
      </w:pPr>
      <w:r w:rsidRPr="00C37BCB">
        <w:rPr>
          <w:rFonts w:eastAsiaTheme="minorHAnsi"/>
        </w:rPr>
        <w:t>the establishment of the Workers’ Compensation Board which included representatives of employers, employees, insurers and the medical profession</w:t>
      </w:r>
    </w:p>
    <w:p w14:paraId="571A5BCA" w14:textId="77777777" w:rsidR="00C66972" w:rsidRPr="00C37BCB" w:rsidRDefault="00C66972" w:rsidP="00F839DB">
      <w:pPr>
        <w:pStyle w:val="ListParagraph"/>
        <w:numPr>
          <w:ilvl w:val="0"/>
          <w:numId w:val="506"/>
        </w:numPr>
        <w:rPr>
          <w:rFonts w:eastAsiaTheme="minorHAnsi"/>
        </w:rPr>
      </w:pPr>
      <w:r w:rsidRPr="00C37BCB">
        <w:rPr>
          <w:rFonts w:eastAsiaTheme="minorHAnsi"/>
        </w:rPr>
        <w:t>extension of coverage to police officers, ministers of religion and sportsmen (restricted)</w:t>
      </w:r>
    </w:p>
    <w:p w14:paraId="29403F75" w14:textId="77777777" w:rsidR="00C66972" w:rsidRPr="00C37BCB" w:rsidRDefault="00C66972" w:rsidP="00F839DB">
      <w:pPr>
        <w:pStyle w:val="ListParagraph"/>
        <w:numPr>
          <w:ilvl w:val="0"/>
          <w:numId w:val="506"/>
        </w:numPr>
        <w:rPr>
          <w:rFonts w:eastAsiaTheme="minorHAnsi"/>
        </w:rPr>
      </w:pPr>
      <w:r w:rsidRPr="00C37BCB">
        <w:rPr>
          <w:rFonts w:eastAsiaTheme="minorHAnsi"/>
        </w:rPr>
        <w:t>revision of payment of the costs of treatment, counselling, retraining or necessary modifications to an injured worker’s home or workplace, and</w:t>
      </w:r>
    </w:p>
    <w:p w14:paraId="2D35A241" w14:textId="77777777" w:rsidR="00172AC7" w:rsidRDefault="00C66972" w:rsidP="00F839DB">
      <w:pPr>
        <w:pStyle w:val="ListParagraph"/>
        <w:numPr>
          <w:ilvl w:val="0"/>
          <w:numId w:val="506"/>
        </w:numPr>
        <w:rPr>
          <w:rFonts w:eastAsiaTheme="minorHAnsi"/>
        </w:rPr>
      </w:pPr>
      <w:r w:rsidRPr="00C37BCB">
        <w:rPr>
          <w:rFonts w:eastAsiaTheme="minorHAnsi"/>
        </w:rPr>
        <w:t>licensing of insurers and self-insurers.</w:t>
      </w:r>
    </w:p>
    <w:p w14:paraId="48230F7B" w14:textId="52F8C8A1" w:rsidR="00C66972" w:rsidRPr="00D56ED9" w:rsidRDefault="00C66972" w:rsidP="00205CCE">
      <w:pPr>
        <w:pStyle w:val="Heading4"/>
      </w:pPr>
      <w:r w:rsidRPr="00D56ED9">
        <w:t xml:space="preserve">1995 </w:t>
      </w:r>
    </w:p>
    <w:p w14:paraId="0415B95B" w14:textId="77777777" w:rsidR="00C66972" w:rsidRPr="00C66972" w:rsidRDefault="00C66972" w:rsidP="00C37BCB">
      <w:pPr>
        <w:rPr>
          <w:rFonts w:eastAsiaTheme="minorHAnsi"/>
        </w:rPr>
      </w:pPr>
      <w:r w:rsidRPr="00C66972">
        <w:rPr>
          <w:rFonts w:eastAsiaTheme="minorHAnsi"/>
        </w:rPr>
        <w:t>During 1995 amendments were made to strengthen the rehabilitation and return to work aspects of the Act, including a requirement for:</w:t>
      </w:r>
    </w:p>
    <w:p w14:paraId="5074791A" w14:textId="77777777" w:rsidR="00C66972" w:rsidRPr="00C37BCB" w:rsidRDefault="00C66972" w:rsidP="00F839DB">
      <w:pPr>
        <w:pStyle w:val="ListParagraph"/>
        <w:numPr>
          <w:ilvl w:val="0"/>
          <w:numId w:val="507"/>
        </w:numPr>
        <w:rPr>
          <w:rFonts w:eastAsiaTheme="minorHAnsi"/>
        </w:rPr>
      </w:pPr>
      <w:r w:rsidRPr="00C37BCB">
        <w:rPr>
          <w:rFonts w:eastAsiaTheme="minorHAnsi"/>
        </w:rPr>
        <w:t>an employer to hold an injured worker’s pre-injury position open for 12 months</w:t>
      </w:r>
    </w:p>
    <w:p w14:paraId="1F56B842" w14:textId="6B3204A9" w:rsidR="00C66972" w:rsidRPr="00C37BCB" w:rsidRDefault="00C66972" w:rsidP="00F839DB">
      <w:pPr>
        <w:pStyle w:val="ListParagraph"/>
        <w:numPr>
          <w:ilvl w:val="0"/>
          <w:numId w:val="507"/>
        </w:numPr>
        <w:rPr>
          <w:rFonts w:eastAsiaTheme="minorHAnsi"/>
        </w:rPr>
      </w:pPr>
      <w:r w:rsidRPr="00C37BCB">
        <w:rPr>
          <w:rFonts w:eastAsiaTheme="minorHAnsi"/>
        </w:rPr>
        <w:t>an employer to provide suitable alternative duties to an injured worker for a period of 12</w:t>
      </w:r>
      <w:r w:rsidR="00AC483C" w:rsidRPr="00C37BCB">
        <w:rPr>
          <w:rFonts w:eastAsiaTheme="minorHAnsi"/>
        </w:rPr>
        <w:t> </w:t>
      </w:r>
      <w:r w:rsidRPr="00C37BCB">
        <w:rPr>
          <w:rFonts w:eastAsiaTheme="minorHAnsi"/>
        </w:rPr>
        <w:t>months</w:t>
      </w:r>
    </w:p>
    <w:p w14:paraId="5CE77F56" w14:textId="77777777" w:rsidR="00C66972" w:rsidRPr="00C37BCB" w:rsidRDefault="00C66972" w:rsidP="00F839DB">
      <w:pPr>
        <w:pStyle w:val="ListParagraph"/>
        <w:numPr>
          <w:ilvl w:val="0"/>
          <w:numId w:val="507"/>
        </w:numPr>
        <w:rPr>
          <w:rFonts w:eastAsiaTheme="minorHAnsi"/>
        </w:rPr>
      </w:pPr>
      <w:r w:rsidRPr="00C37BCB">
        <w:rPr>
          <w:rFonts w:eastAsiaTheme="minorHAnsi"/>
        </w:rPr>
        <w:t>a return to work plan to be developed if a worker is incapacitated for more than 14 days, and</w:t>
      </w:r>
    </w:p>
    <w:p w14:paraId="73FA0879" w14:textId="77777777" w:rsidR="006A50D4" w:rsidRDefault="00C66972" w:rsidP="00F839DB">
      <w:pPr>
        <w:pStyle w:val="ListParagraph"/>
        <w:numPr>
          <w:ilvl w:val="0"/>
          <w:numId w:val="507"/>
        </w:numPr>
        <w:rPr>
          <w:rFonts w:eastAsiaTheme="minorHAnsi"/>
        </w:rPr>
      </w:pPr>
      <w:r w:rsidRPr="00C37BCB">
        <w:rPr>
          <w:rFonts w:eastAsiaTheme="minorHAnsi"/>
        </w:rPr>
        <w:t>an employer with more than 20 employees to have a rehabilitation policy.</w:t>
      </w:r>
    </w:p>
    <w:p w14:paraId="402E9AF0" w14:textId="77777777" w:rsidR="00172AC7" w:rsidRDefault="00C66972" w:rsidP="00C37BCB">
      <w:pPr>
        <w:rPr>
          <w:rFonts w:eastAsiaTheme="minorHAnsi"/>
        </w:rPr>
      </w:pPr>
      <w:r w:rsidRPr="00C66972">
        <w:rPr>
          <w:rFonts w:eastAsiaTheme="minorHAnsi"/>
        </w:rPr>
        <w:t xml:space="preserve">The amendments also removed a worker’s right to compensation on the journey to and from work (in most circumstances) and introduced the first step-down provisions in relation to weekly benefits. </w:t>
      </w:r>
    </w:p>
    <w:p w14:paraId="7D9373D9" w14:textId="7D9E6250" w:rsidR="00C66972" w:rsidRPr="00D56ED9" w:rsidRDefault="00C66972" w:rsidP="00205CCE">
      <w:pPr>
        <w:pStyle w:val="Heading4"/>
      </w:pPr>
      <w:r w:rsidRPr="00D56ED9">
        <w:t xml:space="preserve">2000 </w:t>
      </w:r>
    </w:p>
    <w:p w14:paraId="1CD052A1" w14:textId="4220C828" w:rsidR="00C66972" w:rsidRPr="00396A2E" w:rsidRDefault="00C66972" w:rsidP="00C37BCB">
      <w:pPr>
        <w:rPr>
          <w:rFonts w:eastAsiaTheme="minorHAnsi"/>
        </w:rPr>
      </w:pPr>
      <w:r w:rsidRPr="00C66972">
        <w:rPr>
          <w:rFonts w:eastAsiaTheme="minorHAnsi"/>
        </w:rPr>
        <w:lastRenderedPageBreak/>
        <w:t xml:space="preserve">In response to rising costs and concerns from unions and other groups about the fairness of the scheme, a Joint Select Committee of Inquiry into the Tasmanian workers’ compensation system was initiated. Its 1998 report recommended significant changes to the workers’ compensation system and resulted in the establishment of the new WorkCover Tasmania Board. Many of the recommendations of this Report were incorporated into </w:t>
      </w:r>
      <w:r w:rsidRPr="00396A2E">
        <w:rPr>
          <w:rFonts w:eastAsiaTheme="minorHAnsi"/>
        </w:rPr>
        <w:t>the Workers Rehabilitation and Compensation Amendment Bill 2000 including:</w:t>
      </w:r>
    </w:p>
    <w:p w14:paraId="7EFEBBA2" w14:textId="77777777" w:rsidR="00C66972" w:rsidRPr="00C37BCB" w:rsidRDefault="00C66972" w:rsidP="00F839DB">
      <w:pPr>
        <w:pStyle w:val="ListParagraph"/>
        <w:numPr>
          <w:ilvl w:val="0"/>
          <w:numId w:val="508"/>
        </w:numPr>
        <w:rPr>
          <w:rFonts w:eastAsiaTheme="minorHAnsi"/>
        </w:rPr>
      </w:pPr>
      <w:r w:rsidRPr="00C37BCB">
        <w:rPr>
          <w:rFonts w:eastAsiaTheme="minorHAnsi"/>
        </w:rPr>
        <w:t>access to common law being restricted to those workers who had suffered a Whole Person Impairment of 30 per cent or more</w:t>
      </w:r>
    </w:p>
    <w:p w14:paraId="0D712B31" w14:textId="77777777" w:rsidR="00C66972" w:rsidRPr="00C37BCB" w:rsidRDefault="00C66972" w:rsidP="00F839DB">
      <w:pPr>
        <w:pStyle w:val="ListParagraph"/>
        <w:numPr>
          <w:ilvl w:val="0"/>
          <w:numId w:val="508"/>
        </w:numPr>
        <w:rPr>
          <w:rFonts w:eastAsiaTheme="minorHAnsi"/>
        </w:rPr>
      </w:pPr>
      <w:r w:rsidRPr="00C37BCB">
        <w:rPr>
          <w:rFonts w:eastAsiaTheme="minorHAnsi"/>
        </w:rPr>
        <w:t>replacing the monetary cap on weekly payments with a 10 year limit</w:t>
      </w:r>
    </w:p>
    <w:p w14:paraId="4992BBA9" w14:textId="77777777" w:rsidR="00C66972" w:rsidRPr="00C37BCB" w:rsidRDefault="00C66972" w:rsidP="00F839DB">
      <w:pPr>
        <w:pStyle w:val="ListParagraph"/>
        <w:numPr>
          <w:ilvl w:val="0"/>
          <w:numId w:val="508"/>
        </w:numPr>
        <w:rPr>
          <w:rFonts w:eastAsiaTheme="minorHAnsi"/>
        </w:rPr>
      </w:pPr>
      <w:r w:rsidRPr="00C37BCB">
        <w:rPr>
          <w:rFonts w:eastAsiaTheme="minorHAnsi"/>
        </w:rPr>
        <w:t>without prejudice commencement of weekly payments to injured workers on receipt of a workers’ compensation claim form and medical certificate</w:t>
      </w:r>
    </w:p>
    <w:p w14:paraId="1D361977" w14:textId="77777777" w:rsidR="00C66972" w:rsidRPr="00C37BCB" w:rsidRDefault="00C66972" w:rsidP="00F839DB">
      <w:pPr>
        <w:pStyle w:val="ListParagraph"/>
        <w:numPr>
          <w:ilvl w:val="0"/>
          <w:numId w:val="508"/>
        </w:numPr>
        <w:rPr>
          <w:rFonts w:eastAsiaTheme="minorHAnsi"/>
        </w:rPr>
      </w:pPr>
      <w:r w:rsidRPr="00C37BCB">
        <w:rPr>
          <w:rFonts w:eastAsiaTheme="minorHAnsi"/>
        </w:rPr>
        <w:t>an increase in the level of benefits to the dependants of deceased workers, and</w:t>
      </w:r>
    </w:p>
    <w:p w14:paraId="6B4CC9E8" w14:textId="77777777" w:rsidR="00172AC7" w:rsidRDefault="00C66972" w:rsidP="00F839DB">
      <w:pPr>
        <w:pStyle w:val="ListParagraph"/>
        <w:numPr>
          <w:ilvl w:val="0"/>
          <w:numId w:val="508"/>
        </w:numPr>
        <w:rPr>
          <w:rFonts w:eastAsiaTheme="minorHAnsi"/>
        </w:rPr>
      </w:pPr>
      <w:r w:rsidRPr="00C37BCB">
        <w:rPr>
          <w:rFonts w:eastAsiaTheme="minorHAnsi"/>
        </w:rPr>
        <w:t>increases in the levels of step-downs in weekly payments.</w:t>
      </w:r>
    </w:p>
    <w:p w14:paraId="04BFB608" w14:textId="56FAB709" w:rsidR="00C66972" w:rsidRPr="00D56ED9" w:rsidRDefault="00C66972" w:rsidP="00205CCE">
      <w:pPr>
        <w:pStyle w:val="Heading4"/>
      </w:pPr>
      <w:r w:rsidRPr="00D56ED9">
        <w:t xml:space="preserve">2004 </w:t>
      </w:r>
    </w:p>
    <w:p w14:paraId="7483625E" w14:textId="77777777" w:rsidR="00172AC7" w:rsidRDefault="00C66972" w:rsidP="00B434FE">
      <w:pPr>
        <w:rPr>
          <w:rFonts w:eastAsiaTheme="minorHAnsi"/>
        </w:rPr>
      </w:pPr>
      <w:r w:rsidRPr="00C66972">
        <w:rPr>
          <w:rFonts w:eastAsiaTheme="minorHAnsi"/>
        </w:rPr>
        <w:t>In 2003 the Government initiated a review to investigate concerns that the step-downs in weekly benefits were causing hardship for some workers. The Rutherford Report was completed in March 2004 and contained a number of recommendations for both the government and the WorkCover Tasmania Board. As a result of Rutherford’s report, the legislation was amended to retain the first step-down provision of 85 per cent of Normal Weekly Earlings but increase its duration to 78 weeks and reduce the impact of the second step-down from 70 per cent to 80 per cent of NWE. To offset the additional cost to employers of this change, the maximum period of entitlement was reduced from 10 to nine years. The time limit for deciding initial liability was also increased from 28 days to 12 weeks.</w:t>
      </w:r>
    </w:p>
    <w:p w14:paraId="0F1E5F08" w14:textId="7BEAA9DC" w:rsidR="00C66972" w:rsidRPr="00D56ED9" w:rsidRDefault="00C66972" w:rsidP="00205CCE">
      <w:pPr>
        <w:pStyle w:val="Heading4"/>
      </w:pPr>
      <w:r w:rsidRPr="00D56ED9">
        <w:t>2007</w:t>
      </w:r>
    </w:p>
    <w:p w14:paraId="1B307D04" w14:textId="77777777" w:rsidR="00C66972" w:rsidRPr="00C66972" w:rsidRDefault="00C66972" w:rsidP="00B434FE">
      <w:pPr>
        <w:rPr>
          <w:rFonts w:eastAsiaTheme="minorHAnsi"/>
        </w:rPr>
      </w:pPr>
      <w:r w:rsidRPr="00C66972">
        <w:rPr>
          <w:rFonts w:eastAsiaTheme="minorHAnsi"/>
        </w:rPr>
        <w:t xml:space="preserve">In 2007 Parliament passed the </w:t>
      </w:r>
      <w:r w:rsidRPr="00C66972">
        <w:rPr>
          <w:rFonts w:eastAsiaTheme="minorHAnsi"/>
          <w:i/>
        </w:rPr>
        <w:t>Workers Rehabilitation and Compensation Amendment Act 2007</w:t>
      </w:r>
      <w:r w:rsidRPr="00C66972">
        <w:rPr>
          <w:rFonts w:eastAsiaTheme="minorHAnsi"/>
        </w:rPr>
        <w:t xml:space="preserve">. The aim of this Act was to make the system fairer and provide greater certainty for all parties. The key changes included: </w:t>
      </w:r>
    </w:p>
    <w:p w14:paraId="2E38C464" w14:textId="7CDEED5A" w:rsidR="00C66972" w:rsidRPr="00B434FE" w:rsidRDefault="00C66972" w:rsidP="00F839DB">
      <w:pPr>
        <w:pStyle w:val="ListParagraph"/>
        <w:numPr>
          <w:ilvl w:val="0"/>
          <w:numId w:val="509"/>
        </w:numPr>
        <w:rPr>
          <w:rFonts w:eastAsiaTheme="minorHAnsi"/>
        </w:rPr>
      </w:pPr>
      <w:r w:rsidRPr="00B434FE">
        <w:rPr>
          <w:rFonts w:eastAsiaTheme="minorHAnsi"/>
        </w:rPr>
        <w:t>improved compensation for industrial deafness. In the past some workers were unable to establish a claim for industrial deafness</w:t>
      </w:r>
      <w:r w:rsidR="009915C5" w:rsidRPr="00B434FE">
        <w:rPr>
          <w:rFonts w:eastAsiaTheme="minorHAnsi"/>
        </w:rPr>
        <w:fldChar w:fldCharType="begin"/>
      </w:r>
      <w:r w:rsidR="009915C5">
        <w:instrText xml:space="preserve"> XE "</w:instrText>
      </w:r>
      <w:r w:rsidR="009915C5" w:rsidRPr="001854C8">
        <w:instrText>industrial deafness</w:instrText>
      </w:r>
      <w:r w:rsidR="009915C5">
        <w:instrText xml:space="preserve">" </w:instrText>
      </w:r>
      <w:r w:rsidR="009915C5" w:rsidRPr="00B434FE">
        <w:rPr>
          <w:rFonts w:eastAsiaTheme="minorHAnsi"/>
        </w:rPr>
        <w:fldChar w:fldCharType="end"/>
      </w:r>
      <w:r w:rsidRPr="00B434FE">
        <w:rPr>
          <w:rFonts w:eastAsiaTheme="minorHAnsi"/>
        </w:rPr>
        <w:t xml:space="preserve"> because their employer had failed to conduct baseline audiometric testing — the amendments rectified this</w:t>
      </w:r>
    </w:p>
    <w:p w14:paraId="52D3042C" w14:textId="77777777" w:rsidR="00C66972" w:rsidRPr="00B434FE" w:rsidRDefault="00C66972" w:rsidP="00F839DB">
      <w:pPr>
        <w:pStyle w:val="ListParagraph"/>
        <w:numPr>
          <w:ilvl w:val="0"/>
          <w:numId w:val="509"/>
        </w:numPr>
        <w:rPr>
          <w:rFonts w:eastAsiaTheme="minorHAnsi"/>
        </w:rPr>
      </w:pPr>
      <w:r w:rsidRPr="00B434FE">
        <w:rPr>
          <w:rFonts w:eastAsiaTheme="minorHAnsi"/>
        </w:rPr>
        <w:t>a fairer method of calculating the rate of weekly compensation, especially for workers who have a short employment history and where the award does not include an ‘ordinary-time rate of pay’</w:t>
      </w:r>
    </w:p>
    <w:p w14:paraId="0453EFA5" w14:textId="77777777" w:rsidR="00C66972" w:rsidRPr="00B434FE" w:rsidRDefault="00C66972" w:rsidP="00F839DB">
      <w:pPr>
        <w:pStyle w:val="ListParagraph"/>
        <w:numPr>
          <w:ilvl w:val="0"/>
          <w:numId w:val="509"/>
        </w:numPr>
        <w:rPr>
          <w:rFonts w:eastAsiaTheme="minorHAnsi"/>
        </w:rPr>
      </w:pPr>
      <w:r w:rsidRPr="00B434FE">
        <w:rPr>
          <w:rFonts w:eastAsiaTheme="minorHAnsi"/>
        </w:rPr>
        <w:t>workers’ compensation coverage for jockeys</w:t>
      </w:r>
    </w:p>
    <w:p w14:paraId="231D3062" w14:textId="77777777" w:rsidR="00C66972" w:rsidRPr="00B434FE" w:rsidRDefault="00C66972" w:rsidP="00F839DB">
      <w:pPr>
        <w:pStyle w:val="ListParagraph"/>
        <w:numPr>
          <w:ilvl w:val="0"/>
          <w:numId w:val="509"/>
        </w:numPr>
        <w:rPr>
          <w:rFonts w:eastAsiaTheme="minorHAnsi"/>
        </w:rPr>
      </w:pPr>
      <w:r w:rsidRPr="00B434FE">
        <w:rPr>
          <w:rFonts w:eastAsiaTheme="minorHAnsi"/>
        </w:rPr>
        <w:t xml:space="preserve">amendments to address a Supreme Court decision that limited the ability of employers to recover compensation costs from a negligent third party </w:t>
      </w:r>
    </w:p>
    <w:p w14:paraId="31D5F638" w14:textId="77777777" w:rsidR="00C66972" w:rsidRPr="00B434FE" w:rsidRDefault="00C66972" w:rsidP="00F839DB">
      <w:pPr>
        <w:pStyle w:val="ListParagraph"/>
        <w:numPr>
          <w:ilvl w:val="0"/>
          <w:numId w:val="509"/>
        </w:numPr>
        <w:rPr>
          <w:rFonts w:eastAsiaTheme="minorHAnsi"/>
        </w:rPr>
      </w:pPr>
      <w:r w:rsidRPr="00B434FE">
        <w:rPr>
          <w:rFonts w:eastAsiaTheme="minorHAnsi"/>
        </w:rPr>
        <w:t>clarification of coverage of luxury hire car drivers and consolidation of provisions relating to taxi drivers</w:t>
      </w:r>
    </w:p>
    <w:p w14:paraId="78539B48" w14:textId="77777777" w:rsidR="00C66972" w:rsidRPr="00B434FE" w:rsidRDefault="00C66972" w:rsidP="00F839DB">
      <w:pPr>
        <w:pStyle w:val="ListParagraph"/>
        <w:numPr>
          <w:ilvl w:val="0"/>
          <w:numId w:val="509"/>
        </w:numPr>
        <w:rPr>
          <w:rFonts w:eastAsiaTheme="minorHAnsi"/>
        </w:rPr>
      </w:pPr>
      <w:r w:rsidRPr="00B434FE">
        <w:rPr>
          <w:rFonts w:eastAsiaTheme="minorHAnsi"/>
        </w:rPr>
        <w:t>amendments to the work-relatedness test for injury from ‘arising out of and in the course of’ to ‘arising out of or in the course of’, so it is clear that injuries can be compensable even when symptoms only become apparent after the worker has left the relevant employment (however, to be compensable all injuries and diseases must be caused by work), and</w:t>
      </w:r>
    </w:p>
    <w:p w14:paraId="0EDD1F4B" w14:textId="77777777" w:rsidR="00172AC7" w:rsidRDefault="00C66972" w:rsidP="00F839DB">
      <w:pPr>
        <w:pStyle w:val="ListParagraph"/>
        <w:numPr>
          <w:ilvl w:val="0"/>
          <w:numId w:val="509"/>
        </w:numPr>
        <w:rPr>
          <w:rFonts w:eastAsiaTheme="minorHAnsi"/>
        </w:rPr>
      </w:pPr>
      <w:r w:rsidRPr="00B434FE">
        <w:rPr>
          <w:rFonts w:eastAsiaTheme="minorHAnsi"/>
        </w:rPr>
        <w:t xml:space="preserve">measures to better deal with disputes between insurers or disputes between employers. </w:t>
      </w:r>
    </w:p>
    <w:p w14:paraId="6ADE2C3D" w14:textId="6F619D51" w:rsidR="00B434FE" w:rsidRPr="00D56ED9" w:rsidRDefault="00C66972" w:rsidP="00205CCE">
      <w:pPr>
        <w:pStyle w:val="Heading4"/>
      </w:pPr>
      <w:r w:rsidRPr="00D56ED9">
        <w:t xml:space="preserve">2009 </w:t>
      </w:r>
    </w:p>
    <w:p w14:paraId="4902FDD3" w14:textId="77777777" w:rsidR="00C66972" w:rsidRPr="00C66972" w:rsidRDefault="00C66972" w:rsidP="00B434FE">
      <w:pPr>
        <w:rPr>
          <w:rFonts w:eastAsiaTheme="minorHAnsi"/>
        </w:rPr>
      </w:pPr>
      <w:r w:rsidRPr="00C66972">
        <w:rPr>
          <w:rFonts w:eastAsiaTheme="minorHAnsi"/>
        </w:rPr>
        <w:t xml:space="preserve">The </w:t>
      </w:r>
      <w:r w:rsidRPr="00C66972">
        <w:rPr>
          <w:rFonts w:eastAsiaTheme="minorHAnsi"/>
          <w:i/>
        </w:rPr>
        <w:t>Workers Rehabilitation and Compensation Amendment Act 2009</w:t>
      </w:r>
      <w:r w:rsidRPr="00C66972">
        <w:rPr>
          <w:rFonts w:eastAsiaTheme="minorHAnsi"/>
        </w:rPr>
        <w:t xml:space="preserve"> was passed by Parliament in late 2009 and commenced on 1 July 2010. The amendments had four main purposes:</w:t>
      </w:r>
    </w:p>
    <w:p w14:paraId="12D0756D" w14:textId="77777777" w:rsidR="00C66972" w:rsidRPr="00B434FE" w:rsidRDefault="00C66972" w:rsidP="00F839DB">
      <w:pPr>
        <w:pStyle w:val="ListParagraph"/>
        <w:numPr>
          <w:ilvl w:val="0"/>
          <w:numId w:val="510"/>
        </w:numPr>
        <w:rPr>
          <w:rFonts w:eastAsiaTheme="minorHAnsi"/>
        </w:rPr>
      </w:pPr>
      <w:r w:rsidRPr="00B434FE">
        <w:rPr>
          <w:rFonts w:eastAsiaTheme="minorHAnsi"/>
        </w:rPr>
        <w:t>to implement the Government’s response to the Clayton Report</w:t>
      </w:r>
    </w:p>
    <w:p w14:paraId="62358E0B" w14:textId="77777777" w:rsidR="00C66972" w:rsidRPr="00B434FE" w:rsidRDefault="00C66972" w:rsidP="00F839DB">
      <w:pPr>
        <w:pStyle w:val="ListParagraph"/>
        <w:numPr>
          <w:ilvl w:val="0"/>
          <w:numId w:val="510"/>
        </w:numPr>
        <w:rPr>
          <w:rFonts w:eastAsiaTheme="minorHAnsi"/>
        </w:rPr>
      </w:pPr>
      <w:r w:rsidRPr="00B434FE">
        <w:rPr>
          <w:rFonts w:eastAsiaTheme="minorHAnsi"/>
        </w:rPr>
        <w:t>to establish the legal framework for the WorkCover Return to Work and Injury Management Model</w:t>
      </w:r>
    </w:p>
    <w:p w14:paraId="3B9725B8" w14:textId="77777777" w:rsidR="00C66972" w:rsidRPr="00B434FE" w:rsidRDefault="00C66972" w:rsidP="00F839DB">
      <w:pPr>
        <w:pStyle w:val="ListParagraph"/>
        <w:numPr>
          <w:ilvl w:val="0"/>
          <w:numId w:val="510"/>
        </w:numPr>
        <w:rPr>
          <w:rFonts w:eastAsiaTheme="minorHAnsi"/>
        </w:rPr>
      </w:pPr>
      <w:r w:rsidRPr="00B434FE">
        <w:rPr>
          <w:rFonts w:eastAsiaTheme="minorHAnsi"/>
        </w:rPr>
        <w:lastRenderedPageBreak/>
        <w:t>to amend the timing and level of weekly payment step-downs, and</w:t>
      </w:r>
    </w:p>
    <w:p w14:paraId="0F9BB39F" w14:textId="77777777" w:rsidR="00172AC7" w:rsidRDefault="00C66972" w:rsidP="00F839DB">
      <w:pPr>
        <w:pStyle w:val="ListParagraph"/>
        <w:numPr>
          <w:ilvl w:val="0"/>
          <w:numId w:val="510"/>
        </w:numPr>
        <w:rPr>
          <w:rFonts w:eastAsiaTheme="minorHAnsi"/>
        </w:rPr>
      </w:pPr>
      <w:r w:rsidRPr="00B434FE">
        <w:rPr>
          <w:rFonts w:eastAsiaTheme="minorHAnsi"/>
        </w:rPr>
        <w:t>to reduce the common law threshold from 30 per cent WPI to 20 per cent.</w:t>
      </w:r>
    </w:p>
    <w:p w14:paraId="758D60B7" w14:textId="54064541" w:rsidR="00C66972" w:rsidRPr="001F2D00" w:rsidRDefault="00C66972" w:rsidP="00205CCE">
      <w:pPr>
        <w:pStyle w:val="Heading4"/>
        <w:rPr>
          <w:rFonts w:eastAsiaTheme="minorHAnsi"/>
        </w:rPr>
      </w:pPr>
      <w:r w:rsidRPr="001F2D00">
        <w:rPr>
          <w:rFonts w:eastAsiaTheme="minorHAnsi"/>
        </w:rPr>
        <w:t>The amendments:</w:t>
      </w:r>
    </w:p>
    <w:p w14:paraId="4BC443C4" w14:textId="77777777" w:rsidR="00C66972" w:rsidRPr="00B434FE" w:rsidRDefault="00C66972" w:rsidP="00F839DB">
      <w:pPr>
        <w:pStyle w:val="ListParagraph"/>
        <w:numPr>
          <w:ilvl w:val="0"/>
          <w:numId w:val="511"/>
        </w:numPr>
        <w:rPr>
          <w:rFonts w:eastAsiaTheme="minorHAnsi"/>
        </w:rPr>
      </w:pPr>
      <w:r w:rsidRPr="00B434FE">
        <w:rPr>
          <w:rFonts w:eastAsiaTheme="minorHAnsi"/>
        </w:rPr>
        <w:t>introduced a statement of scheme goals</w:t>
      </w:r>
    </w:p>
    <w:p w14:paraId="436896A3" w14:textId="77777777" w:rsidR="00C66972" w:rsidRPr="00B434FE" w:rsidRDefault="00C66972" w:rsidP="00F839DB">
      <w:pPr>
        <w:pStyle w:val="ListParagraph"/>
        <w:numPr>
          <w:ilvl w:val="0"/>
          <w:numId w:val="511"/>
        </w:numPr>
        <w:rPr>
          <w:rFonts w:eastAsiaTheme="minorHAnsi"/>
        </w:rPr>
      </w:pPr>
      <w:r w:rsidRPr="00B434FE">
        <w:rPr>
          <w:rFonts w:eastAsiaTheme="minorHAnsi"/>
        </w:rPr>
        <w:t>encourage early reporting by holding the employer liable for claims expenses until the claim is reported</w:t>
      </w:r>
    </w:p>
    <w:p w14:paraId="1E67BC4A" w14:textId="77777777" w:rsidR="00C66972" w:rsidRPr="00B434FE" w:rsidRDefault="00C66972" w:rsidP="00F839DB">
      <w:pPr>
        <w:pStyle w:val="ListParagraph"/>
        <w:numPr>
          <w:ilvl w:val="0"/>
          <w:numId w:val="511"/>
        </w:numPr>
        <w:rPr>
          <w:rFonts w:eastAsiaTheme="minorHAnsi"/>
        </w:rPr>
      </w:pPr>
      <w:r w:rsidRPr="00B434FE">
        <w:rPr>
          <w:rFonts w:eastAsiaTheme="minorHAnsi"/>
        </w:rPr>
        <w:t>provide for the payment of counselling services for families of deceased workers</w:t>
      </w:r>
    </w:p>
    <w:p w14:paraId="0CAF2AE4" w14:textId="77777777" w:rsidR="00C66972" w:rsidRPr="00B434FE" w:rsidRDefault="00C66972" w:rsidP="00F839DB">
      <w:pPr>
        <w:pStyle w:val="ListParagraph"/>
        <w:numPr>
          <w:ilvl w:val="0"/>
          <w:numId w:val="511"/>
        </w:numPr>
        <w:rPr>
          <w:rFonts w:eastAsiaTheme="minorHAnsi"/>
        </w:rPr>
      </w:pPr>
      <w:r w:rsidRPr="00B434FE">
        <w:rPr>
          <w:rFonts w:eastAsiaTheme="minorHAnsi"/>
        </w:rPr>
        <w:t>provide for the payment of medical and other expenses for up to 12 months after a worker ceases to be entitled to weekly compensation (with the possibility of extension on application to the Tribunal)</w:t>
      </w:r>
    </w:p>
    <w:p w14:paraId="370D35A9" w14:textId="5A235458" w:rsidR="00C66972" w:rsidRPr="00B434FE" w:rsidRDefault="00C66972" w:rsidP="00F839DB">
      <w:pPr>
        <w:pStyle w:val="ListParagraph"/>
        <w:numPr>
          <w:ilvl w:val="0"/>
          <w:numId w:val="511"/>
        </w:numPr>
        <w:rPr>
          <w:rFonts w:eastAsiaTheme="minorHAnsi"/>
        </w:rPr>
      </w:pPr>
      <w:r w:rsidRPr="00B434FE">
        <w:rPr>
          <w:rFonts w:eastAsiaTheme="minorHAnsi"/>
        </w:rPr>
        <w:t>increase the maximum lump sum payable to a dependant on the death of a worker to $266</w:t>
      </w:r>
      <w:r w:rsidR="007E35F8">
        <w:rPr>
          <w:rFonts w:eastAsiaTheme="minorHAnsi"/>
        </w:rPr>
        <w:t>,</w:t>
      </w:r>
      <w:r w:rsidRPr="00B434FE">
        <w:rPr>
          <w:rFonts w:eastAsiaTheme="minorHAnsi"/>
        </w:rPr>
        <w:t>376.05 (indexed annually)</w:t>
      </w:r>
    </w:p>
    <w:p w14:paraId="10D05D27" w14:textId="6B2B1AD3" w:rsidR="00C66972" w:rsidRPr="00B434FE" w:rsidRDefault="00C66972" w:rsidP="00F839DB">
      <w:pPr>
        <w:pStyle w:val="ListParagraph"/>
        <w:numPr>
          <w:ilvl w:val="0"/>
          <w:numId w:val="511"/>
        </w:numPr>
        <w:rPr>
          <w:rFonts w:eastAsiaTheme="minorHAnsi"/>
        </w:rPr>
      </w:pPr>
      <w:r w:rsidRPr="00B434FE">
        <w:rPr>
          <w:rFonts w:eastAsiaTheme="minorHAnsi"/>
        </w:rPr>
        <w:t>increase weekly payments payable to a dependant child o</w:t>
      </w:r>
      <w:r w:rsidR="0035009B">
        <w:rPr>
          <w:rFonts w:eastAsiaTheme="minorHAnsi"/>
        </w:rPr>
        <w:t>f a deceased worker from 10 per </w:t>
      </w:r>
      <w:r w:rsidRPr="00B434FE">
        <w:rPr>
          <w:rFonts w:eastAsiaTheme="minorHAnsi"/>
        </w:rPr>
        <w:t>cent basic salary to 15 per cent basic salary</w:t>
      </w:r>
    </w:p>
    <w:p w14:paraId="1EEB16EA" w14:textId="430E959D" w:rsidR="00C66972" w:rsidRPr="00B434FE" w:rsidRDefault="00C66972" w:rsidP="00F839DB">
      <w:pPr>
        <w:pStyle w:val="ListParagraph"/>
        <w:numPr>
          <w:ilvl w:val="0"/>
          <w:numId w:val="511"/>
        </w:numPr>
        <w:rPr>
          <w:rFonts w:eastAsiaTheme="minorHAnsi"/>
        </w:rPr>
      </w:pPr>
      <w:r w:rsidRPr="00B434FE">
        <w:rPr>
          <w:rFonts w:eastAsiaTheme="minorHAnsi"/>
        </w:rPr>
        <w:t>increase the maximum lump sum payable for permanent impairment to</w:t>
      </w:r>
      <w:r w:rsidR="00AC483C" w:rsidRPr="00B434FE">
        <w:rPr>
          <w:rFonts w:eastAsiaTheme="minorHAnsi"/>
        </w:rPr>
        <w:t xml:space="preserve"> </w:t>
      </w:r>
      <w:r w:rsidR="007E35F8">
        <w:rPr>
          <w:rFonts w:eastAsiaTheme="minorHAnsi"/>
        </w:rPr>
        <w:t>$266,</w:t>
      </w:r>
      <w:r w:rsidRPr="00B434FE">
        <w:rPr>
          <w:rFonts w:eastAsiaTheme="minorHAnsi"/>
        </w:rPr>
        <w:t>376.05 (indexed annually)</w:t>
      </w:r>
    </w:p>
    <w:p w14:paraId="3BDAD48B" w14:textId="27F9AFD8" w:rsidR="00C66972" w:rsidRPr="00B434FE" w:rsidRDefault="00C66972" w:rsidP="00F839DB">
      <w:pPr>
        <w:pStyle w:val="ListParagraph"/>
        <w:numPr>
          <w:ilvl w:val="0"/>
          <w:numId w:val="511"/>
        </w:numPr>
        <w:rPr>
          <w:rFonts w:eastAsiaTheme="minorHAnsi"/>
        </w:rPr>
      </w:pPr>
      <w:r w:rsidRPr="00B434FE">
        <w:rPr>
          <w:rFonts w:eastAsiaTheme="minorHAnsi"/>
        </w:rPr>
        <w:t>provide for the extension of weekly payments from nine years to 12 years for workers with a WPI between 15 per cent and 19 per cent, to 20 years for workers with a WPI of between 20</w:t>
      </w:r>
      <w:r w:rsidR="00AC483C" w:rsidRPr="00B434FE">
        <w:rPr>
          <w:rFonts w:eastAsiaTheme="minorHAnsi"/>
        </w:rPr>
        <w:t> </w:t>
      </w:r>
      <w:r w:rsidRPr="00B434FE">
        <w:rPr>
          <w:rFonts w:eastAsiaTheme="minorHAnsi"/>
        </w:rPr>
        <w:t>per cent and 29 per cent and until the age of retirement f</w:t>
      </w:r>
      <w:r w:rsidR="0035009B">
        <w:rPr>
          <w:rFonts w:eastAsiaTheme="minorHAnsi"/>
        </w:rPr>
        <w:t>or workers with a WPI of 30 per </w:t>
      </w:r>
      <w:r w:rsidRPr="00B434FE">
        <w:rPr>
          <w:rFonts w:eastAsiaTheme="minorHAnsi"/>
        </w:rPr>
        <w:t>cent or more</w:t>
      </w:r>
    </w:p>
    <w:p w14:paraId="5518A18D" w14:textId="49824AA5" w:rsidR="00C66972" w:rsidRPr="00B434FE" w:rsidRDefault="00C66972" w:rsidP="00F839DB">
      <w:pPr>
        <w:pStyle w:val="ListParagraph"/>
        <w:numPr>
          <w:ilvl w:val="0"/>
          <w:numId w:val="511"/>
        </w:numPr>
        <w:rPr>
          <w:rFonts w:eastAsiaTheme="minorHAnsi"/>
        </w:rPr>
      </w:pPr>
      <w:r w:rsidRPr="00B434FE">
        <w:rPr>
          <w:rFonts w:eastAsiaTheme="minorHAnsi"/>
        </w:rPr>
        <w:t>amend the first step-down to 90 per cent of NWE rather tha</w:t>
      </w:r>
      <w:r w:rsidR="00AC483C" w:rsidRPr="00B434FE">
        <w:rPr>
          <w:rFonts w:eastAsiaTheme="minorHAnsi"/>
        </w:rPr>
        <w:t>n</w:t>
      </w:r>
      <w:r w:rsidRPr="00B434FE">
        <w:rPr>
          <w:rFonts w:eastAsiaTheme="minorHAnsi"/>
        </w:rPr>
        <w:t xml:space="preserve"> 85 per cent of NWE</w:t>
      </w:r>
    </w:p>
    <w:p w14:paraId="206F68E4" w14:textId="52714C67" w:rsidR="00C66972" w:rsidRPr="00B434FE" w:rsidRDefault="00C66972" w:rsidP="00F839DB">
      <w:pPr>
        <w:pStyle w:val="ListParagraph"/>
        <w:numPr>
          <w:ilvl w:val="0"/>
          <w:numId w:val="511"/>
        </w:numPr>
        <w:rPr>
          <w:rFonts w:eastAsiaTheme="minorHAnsi"/>
        </w:rPr>
      </w:pPr>
      <w:r w:rsidRPr="00B434FE">
        <w:rPr>
          <w:rFonts w:eastAsiaTheme="minorHAnsi"/>
        </w:rPr>
        <w:t>delay the operation of the first step-down, so that it comes into effect at 26 weeks of incapacity rather than 13 weeks</w:t>
      </w:r>
    </w:p>
    <w:p w14:paraId="6D17B9DC" w14:textId="77777777" w:rsidR="00C66972" w:rsidRPr="00B434FE" w:rsidRDefault="00C66972" w:rsidP="00F839DB">
      <w:pPr>
        <w:pStyle w:val="ListParagraph"/>
        <w:numPr>
          <w:ilvl w:val="0"/>
          <w:numId w:val="511"/>
        </w:numPr>
        <w:rPr>
          <w:rFonts w:eastAsiaTheme="minorHAnsi"/>
        </w:rPr>
      </w:pPr>
      <w:r w:rsidRPr="00B434FE">
        <w:rPr>
          <w:rFonts w:eastAsiaTheme="minorHAnsi"/>
        </w:rPr>
        <w:t>provide that the step-downs are not to apply where a worker has returned to work for at least 50 per cent of his or her pre-injury hours or duties</w:t>
      </w:r>
    </w:p>
    <w:p w14:paraId="42420E41" w14:textId="77777777" w:rsidR="00C66972" w:rsidRPr="00B434FE" w:rsidRDefault="00C66972" w:rsidP="00F839DB">
      <w:pPr>
        <w:pStyle w:val="ListParagraph"/>
        <w:numPr>
          <w:ilvl w:val="0"/>
          <w:numId w:val="511"/>
        </w:numPr>
        <w:rPr>
          <w:rFonts w:eastAsiaTheme="minorHAnsi"/>
        </w:rPr>
      </w:pPr>
      <w:r w:rsidRPr="00B434FE">
        <w:rPr>
          <w:rFonts w:eastAsiaTheme="minorHAnsi"/>
        </w:rPr>
        <w:t>provide that the step-downs are to be discounted in circumstances where an employer refuses or is unable to provide suitable alternative duties</w:t>
      </w:r>
    </w:p>
    <w:p w14:paraId="7B29ABA7" w14:textId="77777777" w:rsidR="00C66972" w:rsidRPr="00B434FE" w:rsidRDefault="00C66972" w:rsidP="00F839DB">
      <w:pPr>
        <w:pStyle w:val="ListParagraph"/>
        <w:numPr>
          <w:ilvl w:val="0"/>
          <w:numId w:val="511"/>
        </w:numPr>
        <w:rPr>
          <w:rFonts w:eastAsiaTheme="minorHAnsi"/>
        </w:rPr>
      </w:pPr>
      <w:r w:rsidRPr="00B434FE">
        <w:rPr>
          <w:rFonts w:eastAsiaTheme="minorHAnsi"/>
        </w:rPr>
        <w:t>reduce the threshold for access to common law damages from 30 per cent WPI to 20 per cent WPI, and</w:t>
      </w:r>
    </w:p>
    <w:p w14:paraId="23F115AA" w14:textId="77777777" w:rsidR="00172AC7" w:rsidRDefault="00C66972" w:rsidP="00F839DB">
      <w:pPr>
        <w:pStyle w:val="ListParagraph"/>
        <w:numPr>
          <w:ilvl w:val="0"/>
          <w:numId w:val="511"/>
        </w:numPr>
        <w:rPr>
          <w:rFonts w:eastAsiaTheme="minorHAnsi"/>
        </w:rPr>
      </w:pPr>
      <w:r w:rsidRPr="00B434FE">
        <w:rPr>
          <w:rFonts w:eastAsiaTheme="minorHAnsi"/>
        </w:rPr>
        <w:t>repeal s138AB requiring a worker to make an election to pursue common law damages.</w:t>
      </w:r>
    </w:p>
    <w:p w14:paraId="258E73BA" w14:textId="6346888B" w:rsidR="00C66972" w:rsidRPr="00C66972" w:rsidRDefault="00C66972" w:rsidP="00B434FE">
      <w:pPr>
        <w:rPr>
          <w:rFonts w:eastAsiaTheme="minorHAnsi"/>
        </w:rPr>
      </w:pPr>
      <w:r w:rsidRPr="00C66972">
        <w:rPr>
          <w:rFonts w:eastAsiaTheme="minorHAnsi"/>
        </w:rPr>
        <w:t>The amendments also included a range of measures that support the WorkCover Return to Work and Injury Management Model including:</w:t>
      </w:r>
    </w:p>
    <w:p w14:paraId="64FA79BD" w14:textId="77777777" w:rsidR="00C66972" w:rsidRPr="00B434FE" w:rsidRDefault="00C66972" w:rsidP="00F839DB">
      <w:pPr>
        <w:pStyle w:val="ListParagraph"/>
        <w:numPr>
          <w:ilvl w:val="0"/>
          <w:numId w:val="512"/>
        </w:numPr>
        <w:rPr>
          <w:rFonts w:eastAsiaTheme="minorHAnsi"/>
        </w:rPr>
      </w:pPr>
      <w:r w:rsidRPr="00B434FE">
        <w:rPr>
          <w:rFonts w:eastAsiaTheme="minorHAnsi"/>
        </w:rPr>
        <w:t>requirements for return to work and injury management plans</w:t>
      </w:r>
    </w:p>
    <w:p w14:paraId="781D3953" w14:textId="77777777" w:rsidR="00C66972" w:rsidRPr="00B434FE" w:rsidRDefault="00C66972" w:rsidP="00F839DB">
      <w:pPr>
        <w:pStyle w:val="ListParagraph"/>
        <w:numPr>
          <w:ilvl w:val="0"/>
          <w:numId w:val="512"/>
        </w:numPr>
        <w:rPr>
          <w:rFonts w:eastAsiaTheme="minorHAnsi"/>
        </w:rPr>
      </w:pPr>
      <w:r w:rsidRPr="00B434FE">
        <w:rPr>
          <w:rFonts w:eastAsiaTheme="minorHAnsi"/>
        </w:rPr>
        <w:t>obligations on employers to encourage early reporting of injuries and claims</w:t>
      </w:r>
    </w:p>
    <w:p w14:paraId="142D140D" w14:textId="77777777" w:rsidR="00C66972" w:rsidRPr="00B434FE" w:rsidRDefault="00C66972" w:rsidP="00F839DB">
      <w:pPr>
        <w:pStyle w:val="ListParagraph"/>
        <w:numPr>
          <w:ilvl w:val="0"/>
          <w:numId w:val="512"/>
        </w:numPr>
        <w:rPr>
          <w:rFonts w:eastAsiaTheme="minorHAnsi"/>
        </w:rPr>
      </w:pPr>
      <w:r w:rsidRPr="00B434FE">
        <w:rPr>
          <w:rFonts w:eastAsiaTheme="minorHAnsi"/>
        </w:rPr>
        <w:t>providing an entitlement to the payment of limited medical costs before the claim is accepted, and</w:t>
      </w:r>
    </w:p>
    <w:p w14:paraId="034CDB63" w14:textId="77777777" w:rsidR="00172AC7" w:rsidRDefault="00C66972" w:rsidP="00F839DB">
      <w:pPr>
        <w:pStyle w:val="ListParagraph"/>
        <w:numPr>
          <w:ilvl w:val="0"/>
          <w:numId w:val="512"/>
        </w:numPr>
        <w:rPr>
          <w:rFonts w:eastAsiaTheme="minorHAnsi"/>
        </w:rPr>
      </w:pPr>
      <w:r w:rsidRPr="00B434FE">
        <w:rPr>
          <w:rFonts w:eastAsiaTheme="minorHAnsi"/>
        </w:rPr>
        <w:t>introduction of an injury management coordinator to oversee the injury management process.</w:t>
      </w:r>
    </w:p>
    <w:p w14:paraId="26368395" w14:textId="72D8D413" w:rsidR="00C66972" w:rsidRPr="00D56ED9" w:rsidRDefault="00C66972" w:rsidP="00205CCE">
      <w:pPr>
        <w:pStyle w:val="Heading4"/>
      </w:pPr>
      <w:r w:rsidRPr="00D56ED9">
        <w:t>2012 amendments</w:t>
      </w:r>
    </w:p>
    <w:p w14:paraId="423C9297" w14:textId="6D1AF044" w:rsidR="00172AC7" w:rsidRDefault="00C66972" w:rsidP="00B434FE">
      <w:pPr>
        <w:rPr>
          <w:rFonts w:eastAsiaTheme="minorHAnsi"/>
        </w:rPr>
      </w:pPr>
      <w:r w:rsidRPr="00C66972">
        <w:rPr>
          <w:rFonts w:eastAsiaTheme="minorHAnsi"/>
        </w:rPr>
        <w:t xml:space="preserve">The </w:t>
      </w:r>
      <w:r w:rsidRPr="00C66972">
        <w:rPr>
          <w:rFonts w:eastAsiaTheme="minorHAnsi"/>
          <w:i/>
        </w:rPr>
        <w:t>Workers Rehabilitation and Compensation Amendment (Validation) Act 2012</w:t>
      </w:r>
      <w:r w:rsidRPr="00C66972">
        <w:rPr>
          <w:rFonts w:eastAsiaTheme="minorHAnsi"/>
        </w:rPr>
        <w:t xml:space="preserve"> (the 2012 Validation Act) commenced on 30 August 2012. It amended the </w:t>
      </w:r>
      <w:r w:rsidRPr="00C66972">
        <w:rPr>
          <w:rFonts w:eastAsiaTheme="minorHAnsi"/>
          <w:i/>
        </w:rPr>
        <w:t>Workers Rehabilitation and Compensation Act 1988</w:t>
      </w:r>
      <w:r w:rsidRPr="00C66972">
        <w:rPr>
          <w:rFonts w:eastAsiaTheme="minorHAnsi"/>
        </w:rPr>
        <w:t xml:space="preserve"> (the Act) to remove any doubts about the validity of versions </w:t>
      </w:r>
      <w:r w:rsidR="00AC483C">
        <w:rPr>
          <w:rFonts w:eastAsiaTheme="minorHAnsi"/>
        </w:rPr>
        <w:t>two</w:t>
      </w:r>
      <w:r w:rsidRPr="00C66972">
        <w:rPr>
          <w:rFonts w:eastAsiaTheme="minorHAnsi"/>
        </w:rPr>
        <w:t xml:space="preserve"> and </w:t>
      </w:r>
      <w:r w:rsidR="00AC483C">
        <w:rPr>
          <w:rFonts w:eastAsiaTheme="minorHAnsi"/>
        </w:rPr>
        <w:t>three</w:t>
      </w:r>
      <w:r w:rsidRPr="00C66972">
        <w:rPr>
          <w:rFonts w:eastAsiaTheme="minorHAnsi"/>
        </w:rPr>
        <w:t xml:space="preserve"> of the </w:t>
      </w:r>
      <w:r w:rsidRPr="00396A2E">
        <w:rPr>
          <w:rFonts w:eastAsiaTheme="minorHAnsi"/>
          <w:i/>
        </w:rPr>
        <w:t>Guidelines for the Assessment of Permanent Impairment</w:t>
      </w:r>
      <w:r w:rsidRPr="00C66972">
        <w:rPr>
          <w:rFonts w:eastAsiaTheme="minorHAnsi"/>
        </w:rPr>
        <w:t xml:space="preserve"> (the Guidelines). The amendments also clarified that version </w:t>
      </w:r>
      <w:r w:rsidR="00AC483C">
        <w:rPr>
          <w:rFonts w:eastAsiaTheme="minorHAnsi"/>
        </w:rPr>
        <w:t>two</w:t>
      </w:r>
      <w:r w:rsidRPr="00C66972">
        <w:rPr>
          <w:rFonts w:eastAsiaTheme="minorHAnsi"/>
        </w:rPr>
        <w:t xml:space="preserve"> of the Guidelines took effe</w:t>
      </w:r>
      <w:r w:rsidR="001F2D00">
        <w:rPr>
          <w:rFonts w:eastAsiaTheme="minorHAnsi"/>
        </w:rPr>
        <w:t>ct on and from 1 April 2011 to</w:t>
      </w:r>
      <w:r w:rsidR="00DD0D68">
        <w:rPr>
          <w:rFonts w:eastAsiaTheme="minorHAnsi"/>
        </w:rPr>
        <w:t xml:space="preserve"> </w:t>
      </w:r>
      <w:r w:rsidRPr="00C66972">
        <w:rPr>
          <w:rFonts w:eastAsiaTheme="minorHAnsi"/>
        </w:rPr>
        <w:t xml:space="preserve">30 September 2012 and version </w:t>
      </w:r>
      <w:r w:rsidR="00AC483C">
        <w:rPr>
          <w:rFonts w:eastAsiaTheme="minorHAnsi"/>
        </w:rPr>
        <w:t>three</w:t>
      </w:r>
      <w:r w:rsidRPr="00C66972">
        <w:rPr>
          <w:rFonts w:eastAsiaTheme="minorHAnsi"/>
        </w:rPr>
        <w:t xml:space="preserve"> of the Guidelines took effect on and from 1 October 2011. The Guidelines are used to assess the degree of WPI under both the Act and the </w:t>
      </w:r>
      <w:r w:rsidRPr="00C66972">
        <w:rPr>
          <w:rFonts w:eastAsiaTheme="minorHAnsi"/>
          <w:i/>
        </w:rPr>
        <w:t xml:space="preserve">Asbestos-Related Diseases </w:t>
      </w:r>
      <w:r w:rsidR="00A41653">
        <w:fldChar w:fldCharType="begin"/>
      </w:r>
      <w:r w:rsidR="00A41653">
        <w:instrText xml:space="preserve"> XE "</w:instrText>
      </w:r>
      <w:r w:rsidR="00A41653" w:rsidRPr="00014251">
        <w:instrText>Asbestos Related Diseases</w:instrText>
      </w:r>
      <w:r w:rsidR="00A41653">
        <w:instrText xml:space="preserve">" </w:instrText>
      </w:r>
      <w:r w:rsidR="00A41653">
        <w:fldChar w:fldCharType="end"/>
      </w:r>
      <w:r w:rsidR="00A41653" w:rsidRPr="00C66972">
        <w:rPr>
          <w:rFonts w:eastAsiaTheme="minorHAnsi"/>
          <w:i/>
        </w:rPr>
        <w:t xml:space="preserve"> </w:t>
      </w:r>
      <w:r w:rsidRPr="00C66972">
        <w:rPr>
          <w:rFonts w:eastAsiaTheme="minorHAnsi"/>
          <w:i/>
        </w:rPr>
        <w:t>(Occupational Exposure) Compensation Act 2011</w:t>
      </w:r>
      <w:r w:rsidRPr="00C66972">
        <w:rPr>
          <w:rFonts w:eastAsiaTheme="minorHAnsi"/>
        </w:rPr>
        <w:t xml:space="preserve">. Both Acts provide lump sum </w:t>
      </w:r>
      <w:r w:rsidRPr="00C66972">
        <w:rPr>
          <w:rFonts w:eastAsiaTheme="minorHAnsi"/>
        </w:rPr>
        <w:lastRenderedPageBreak/>
        <w:t>compensation based on the percentage of impairment. Under the Act the level of impairment is also relevant in relation to weekly compensation and for access to common law damages.</w:t>
      </w:r>
    </w:p>
    <w:p w14:paraId="5D29FEDD" w14:textId="36890975" w:rsidR="00C66972" w:rsidRPr="00D56ED9" w:rsidRDefault="00C66972" w:rsidP="00205CCE">
      <w:pPr>
        <w:pStyle w:val="Heading4"/>
      </w:pPr>
      <w:r w:rsidRPr="00D56ED9">
        <w:t>2013 amendments</w:t>
      </w:r>
    </w:p>
    <w:p w14:paraId="521496E5" w14:textId="77777777" w:rsidR="006A50D4" w:rsidRDefault="00C66972" w:rsidP="00B434FE">
      <w:pPr>
        <w:rPr>
          <w:rFonts w:eastAsiaTheme="minorHAnsi"/>
        </w:rPr>
      </w:pPr>
      <w:r w:rsidRPr="00396A2E">
        <w:rPr>
          <w:rFonts w:eastAsiaTheme="minorHAnsi"/>
        </w:rPr>
        <w:t>The Workers Rehabilitation and Compensation Amendment (Fire-Fighters) Bill 2013 was passed by</w:t>
      </w:r>
      <w:r w:rsidRPr="00C66972">
        <w:rPr>
          <w:rFonts w:eastAsiaTheme="minorHAnsi"/>
        </w:rPr>
        <w:t xml:space="preserve"> Parliament on 26 September 2013 and commenced operation on 21 October 2013.</w:t>
      </w:r>
    </w:p>
    <w:p w14:paraId="62E9CD8D" w14:textId="77777777" w:rsidR="00172AC7" w:rsidRDefault="00C66972" w:rsidP="00B434FE">
      <w:pPr>
        <w:rPr>
          <w:rFonts w:eastAsiaTheme="minorHAnsi"/>
        </w:rPr>
      </w:pPr>
      <w:r w:rsidRPr="00C66972">
        <w:rPr>
          <w:rFonts w:eastAsiaTheme="minorHAnsi"/>
        </w:rPr>
        <w:t>The legislation establishes a rebuttable presumption that particular forms of cancer developed by career and volunteer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are work related for the purpose of the Act. The amendments will make the process of claiming workers’ compensation less cumbersome for firefighters and recognises that firefighters are at greater risk of developing certain types of cancers as a result of exposure to hazardous substances while performing firefighting activities. Under the presumption, if a career firefighter is diagnosed with one of the 12 cancers listed in the schedule, and served as a firefighter for the relevant qualifying period, it will be presumed that the cancer is an occupational disease and is therefore compensable. For volunteer firefighters there is an additional requirement that the person must have attended at least 150 exposure events within any five year period for brain cancer and leukaemia, and within 10 years for the remaining 10 cancers. This requirement ensures that the presumption only applies to volunteers who have had a significant level of exposure to the hazards of fire. </w:t>
      </w:r>
    </w:p>
    <w:p w14:paraId="71F8019C" w14:textId="540448E4" w:rsidR="00B434FE" w:rsidRPr="00C66972" w:rsidRDefault="00C66972" w:rsidP="00B434FE">
      <w:pPr>
        <w:rPr>
          <w:rFonts w:eastAsiaTheme="minorHAnsi"/>
        </w:rPr>
      </w:pPr>
      <w:r w:rsidRPr="00C66972">
        <w:rPr>
          <w:rFonts w:eastAsiaTheme="minorHAnsi"/>
        </w:rPr>
        <w:t>The legislation limits the operation of the presumption to diseases that oc</w:t>
      </w:r>
      <w:r w:rsidR="00396A2E">
        <w:rPr>
          <w:rFonts w:eastAsiaTheme="minorHAnsi"/>
        </w:rPr>
        <w:t xml:space="preserve">curred during the period of </w:t>
      </w:r>
      <w:r w:rsidRPr="00C66972">
        <w:rPr>
          <w:rFonts w:eastAsiaTheme="minorHAnsi"/>
        </w:rPr>
        <w:t>employment or up to 10 years post retirement or resignation as a firefighter. It will only apply to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both career and volunteer, appointed or employed under the </w:t>
      </w:r>
      <w:r w:rsidRPr="00C66972">
        <w:rPr>
          <w:rFonts w:eastAsiaTheme="minorHAnsi"/>
          <w:i/>
        </w:rPr>
        <w:t>Fire Service Act 1979.</w:t>
      </w:r>
    </w:p>
    <w:p w14:paraId="34C3A0C3" w14:textId="77777777" w:rsidR="006A50D4" w:rsidRDefault="00C66972" w:rsidP="00B434FE">
      <w:pPr>
        <w:rPr>
          <w:rFonts w:eastAsiaTheme="minorHAnsi"/>
        </w:rPr>
      </w:pPr>
      <w:r w:rsidRPr="00C66972">
        <w:rPr>
          <w:rFonts w:eastAsiaTheme="minorHAnsi"/>
        </w:rPr>
        <w:t>The Parliament endorsed an amendment to the Bill to require a review of the legislation after 12 months of operation and every 12 months thereafter. This will provide an opportunity to assess the fairness and effectiveness of the legislation and to take into account any developments in medical research.</w:t>
      </w:r>
    </w:p>
    <w:p w14:paraId="594FADBE" w14:textId="464DE128" w:rsidR="00C66972" w:rsidRPr="00D56ED9" w:rsidRDefault="00C66972" w:rsidP="00205CCE">
      <w:pPr>
        <w:pStyle w:val="Heading4"/>
      </w:pPr>
      <w:r w:rsidRPr="00D56ED9">
        <w:t xml:space="preserve">Asbestos-Related Diseases </w:t>
      </w:r>
      <w:r w:rsidR="00A41653" w:rsidRPr="00D56ED9">
        <w:fldChar w:fldCharType="begin"/>
      </w:r>
      <w:r w:rsidR="00A41653" w:rsidRPr="00D56ED9">
        <w:instrText xml:space="preserve"> XE "Asbestos Related Diseases" </w:instrText>
      </w:r>
      <w:r w:rsidR="00A41653" w:rsidRPr="00D56ED9">
        <w:fldChar w:fldCharType="end"/>
      </w:r>
      <w:r w:rsidR="00A41653" w:rsidRPr="00D56ED9">
        <w:t xml:space="preserve"> </w:t>
      </w:r>
      <w:r w:rsidRPr="00D56ED9">
        <w:t>(Occupational Exposure) Compensation Act 2011</w:t>
      </w:r>
    </w:p>
    <w:p w14:paraId="338047B1" w14:textId="77777777" w:rsidR="006A50D4" w:rsidRDefault="00C66972" w:rsidP="00B434FE">
      <w:pPr>
        <w:rPr>
          <w:rFonts w:eastAsiaTheme="minorHAnsi"/>
        </w:rPr>
      </w:pPr>
      <w:r w:rsidRPr="00C66972">
        <w:rPr>
          <w:rFonts w:eastAsiaTheme="minorHAnsi"/>
        </w:rPr>
        <w:t xml:space="preserve">The </w:t>
      </w:r>
      <w:r w:rsidRPr="00C66972">
        <w:rPr>
          <w:rFonts w:eastAsiaTheme="minorHAnsi"/>
          <w:i/>
        </w:rPr>
        <w:t xml:space="preserve">Asbestos-Related Diseases </w:t>
      </w:r>
      <w:r w:rsidR="00A41653">
        <w:fldChar w:fldCharType="begin"/>
      </w:r>
      <w:r w:rsidR="00A41653">
        <w:instrText xml:space="preserve"> XE "</w:instrText>
      </w:r>
      <w:r w:rsidR="00A41653" w:rsidRPr="00014251">
        <w:instrText>Asbestos Related Diseases</w:instrText>
      </w:r>
      <w:r w:rsidR="00A41653">
        <w:instrText xml:space="preserve">" </w:instrText>
      </w:r>
      <w:r w:rsidR="00A41653">
        <w:fldChar w:fldCharType="end"/>
      </w:r>
      <w:r w:rsidRPr="00C66972">
        <w:rPr>
          <w:rFonts w:eastAsiaTheme="minorHAnsi"/>
          <w:i/>
        </w:rPr>
        <w:t xml:space="preserve"> (Occupational Exposure) Compensation Act 2011</w:t>
      </w:r>
      <w:r w:rsidRPr="00C66972">
        <w:rPr>
          <w:rFonts w:eastAsiaTheme="minorHAnsi"/>
        </w:rPr>
        <w:t xml:space="preserve"> commenced on 31 October 2011. The Act establishes a scheme for the payment of compensation to workers who develop or developed asbestos-related diseases (ARD) </w:t>
      </w:r>
      <w:r w:rsidR="00A41653">
        <w:fldChar w:fldCharType="begin"/>
      </w:r>
      <w:r w:rsidR="00A41653">
        <w:instrText xml:space="preserve"> XE "</w:instrText>
      </w:r>
      <w:r w:rsidR="00A41653" w:rsidRPr="00014251">
        <w:instrText>Asbestos Related Diseases</w:instrText>
      </w:r>
      <w:r w:rsidR="00A41653">
        <w:instrText xml:space="preserve">" </w:instrText>
      </w:r>
      <w:r w:rsidR="00A41653">
        <w:fldChar w:fldCharType="end"/>
      </w:r>
      <w:r w:rsidRPr="00C66972">
        <w:rPr>
          <w:rFonts w:eastAsiaTheme="minorHAnsi"/>
        </w:rPr>
        <w:t xml:space="preserve"> through exposure to asbestos during the course of their employment. A person may still come within the scope of the Act notwithstanding that he or she may have retired some time ago. Compensation may also be available to certain family members of a worker that has died from an ARD. </w:t>
      </w:r>
    </w:p>
    <w:p w14:paraId="206551CE" w14:textId="012C54CB" w:rsidR="00C66972" w:rsidRPr="00C66972" w:rsidRDefault="00C66972" w:rsidP="00B434FE">
      <w:pPr>
        <w:rPr>
          <w:rFonts w:eastAsiaTheme="minorHAnsi"/>
        </w:rPr>
      </w:pPr>
      <w:r w:rsidRPr="00C66972">
        <w:rPr>
          <w:rFonts w:eastAsiaTheme="minorHAnsi"/>
        </w:rPr>
        <w:t xml:space="preserve">Compensation is not available where a worker has already received compensation for the same ARD at common law or under legislation in another jurisdiction or under the </w:t>
      </w:r>
      <w:r w:rsidRPr="00AC483C">
        <w:rPr>
          <w:rFonts w:eastAsiaTheme="minorHAnsi"/>
          <w:i/>
        </w:rPr>
        <w:t>Tasmanian Workers Rehabilitation and Compensation Act 1988</w:t>
      </w:r>
      <w:r w:rsidRPr="00C66972">
        <w:rPr>
          <w:rFonts w:eastAsiaTheme="minorHAnsi"/>
        </w:rPr>
        <w:t xml:space="preserve"> or the </w:t>
      </w:r>
      <w:r w:rsidRPr="00C66972">
        <w:rPr>
          <w:rFonts w:eastAsiaTheme="minorHAnsi"/>
          <w:i/>
        </w:rPr>
        <w:t>Workers’ Compensation Act 1927</w:t>
      </w:r>
      <w:r w:rsidRPr="00C66972">
        <w:rPr>
          <w:rFonts w:eastAsiaTheme="minorHAnsi"/>
        </w:rPr>
        <w:t>.</w:t>
      </w:r>
      <w:r w:rsidR="00DD0D68">
        <w:rPr>
          <w:rFonts w:eastAsiaTheme="minorHAnsi"/>
        </w:rPr>
        <w:t xml:space="preserve"> </w:t>
      </w:r>
    </w:p>
    <w:p w14:paraId="6A000CCC" w14:textId="77777777" w:rsidR="00C66972" w:rsidRPr="00C66972" w:rsidRDefault="00C66972" w:rsidP="00B434FE">
      <w:pPr>
        <w:rPr>
          <w:rFonts w:eastAsiaTheme="minorHAnsi"/>
        </w:rPr>
      </w:pPr>
      <w:r w:rsidRPr="00C66972">
        <w:rPr>
          <w:rFonts w:eastAsiaTheme="minorHAnsi"/>
        </w:rPr>
        <w:t>To be entitled to compensation under the Act, the worker must have or have had a compensable disease. A person has a compensable disease if:</w:t>
      </w:r>
    </w:p>
    <w:p w14:paraId="1EF7DA75" w14:textId="77777777" w:rsidR="00C66972" w:rsidRPr="00B434FE" w:rsidRDefault="00C66972" w:rsidP="00F839DB">
      <w:pPr>
        <w:pStyle w:val="ListParagraph"/>
        <w:numPr>
          <w:ilvl w:val="0"/>
          <w:numId w:val="513"/>
        </w:numPr>
        <w:rPr>
          <w:rFonts w:eastAsiaTheme="minorHAnsi"/>
        </w:rPr>
      </w:pPr>
      <w:r w:rsidRPr="00B434FE">
        <w:rPr>
          <w:rFonts w:eastAsiaTheme="minorHAnsi"/>
        </w:rPr>
        <w:t>the person has an ARD, and</w:t>
      </w:r>
    </w:p>
    <w:p w14:paraId="3AA87A94" w14:textId="77777777" w:rsidR="00172AC7" w:rsidRDefault="00C66972" w:rsidP="00F839DB">
      <w:pPr>
        <w:pStyle w:val="ListParagraph"/>
        <w:numPr>
          <w:ilvl w:val="0"/>
          <w:numId w:val="513"/>
        </w:numPr>
        <w:rPr>
          <w:rFonts w:eastAsiaTheme="minorHAnsi"/>
        </w:rPr>
      </w:pPr>
      <w:r w:rsidRPr="00B434FE">
        <w:rPr>
          <w:rFonts w:eastAsiaTheme="minorHAnsi"/>
        </w:rPr>
        <w:t>the contraction by the person of the disease is reasonably attributable to exposure to asbestos in the course of the person’s employment as a worker during a relevant employment period in which the person’s employment is connected with Tasmania.</w:t>
      </w:r>
    </w:p>
    <w:p w14:paraId="683C1CA9" w14:textId="3E7F7496" w:rsidR="00C66972" w:rsidRPr="001F2D00" w:rsidRDefault="00C66972" w:rsidP="00205CCE">
      <w:pPr>
        <w:pStyle w:val="Heading4"/>
      </w:pPr>
      <w:r w:rsidRPr="001F2D00">
        <w:t>Compensation under the Act</w:t>
      </w:r>
    </w:p>
    <w:p w14:paraId="65245D6D" w14:textId="77777777" w:rsidR="00C66972" w:rsidRPr="00C66972" w:rsidRDefault="00C66972" w:rsidP="00B434FE">
      <w:pPr>
        <w:rPr>
          <w:rFonts w:eastAsiaTheme="minorHAnsi"/>
        </w:rPr>
      </w:pPr>
      <w:r w:rsidRPr="00C66972">
        <w:rPr>
          <w:rFonts w:eastAsiaTheme="minorHAnsi"/>
        </w:rPr>
        <w:t>Where the worker has an imminently fatal compensable ARD (less than two years’ life expectancy from the date of correct diagnosis):</w:t>
      </w:r>
    </w:p>
    <w:p w14:paraId="3F211D3A" w14:textId="77777777" w:rsidR="00C66972" w:rsidRPr="00B434FE" w:rsidRDefault="00C66972" w:rsidP="00F839DB">
      <w:pPr>
        <w:pStyle w:val="ListParagraph"/>
        <w:numPr>
          <w:ilvl w:val="0"/>
          <w:numId w:val="514"/>
        </w:numPr>
        <w:rPr>
          <w:rFonts w:eastAsiaTheme="minorHAnsi"/>
        </w:rPr>
      </w:pPr>
      <w:r w:rsidRPr="00B434FE">
        <w:rPr>
          <w:rFonts w:eastAsiaTheme="minorHAnsi"/>
        </w:rPr>
        <w:t>the worker is entitled to lump sum compensation of 360 compensation units (as at 31 October 2011 a compensation unit was $696.85. On 1 January 2016 a compensation unit increased to $826.53) plus a further age-based payment (if under 80 years of age), and</w:t>
      </w:r>
    </w:p>
    <w:p w14:paraId="56A5D064" w14:textId="77777777" w:rsidR="006A50D4" w:rsidRDefault="00C66972" w:rsidP="00F839DB">
      <w:pPr>
        <w:pStyle w:val="ListParagraph"/>
        <w:numPr>
          <w:ilvl w:val="0"/>
          <w:numId w:val="514"/>
        </w:numPr>
        <w:rPr>
          <w:rFonts w:eastAsiaTheme="minorHAnsi"/>
        </w:rPr>
      </w:pPr>
      <w:r w:rsidRPr="00B434FE">
        <w:rPr>
          <w:rFonts w:eastAsiaTheme="minorHAnsi"/>
        </w:rPr>
        <w:t>the worker is also entitled to have their reasonable medical expenses paid for by the scheme. However, when total medical expenses reach 125 compensation units a review is to be held to ensure that the worker is receiving the correct treatment.</w:t>
      </w:r>
    </w:p>
    <w:p w14:paraId="4ABF6520" w14:textId="3FCA8039" w:rsidR="00C66972" w:rsidRPr="00C66972" w:rsidRDefault="00C66972" w:rsidP="00B434FE">
      <w:pPr>
        <w:rPr>
          <w:rFonts w:eastAsiaTheme="minorHAnsi"/>
        </w:rPr>
      </w:pPr>
      <w:r w:rsidRPr="00C66972">
        <w:rPr>
          <w:rFonts w:eastAsiaTheme="minorHAnsi"/>
        </w:rPr>
        <w:lastRenderedPageBreak/>
        <w:t>Where the worker has a non-imminently fatal compensable ARD (more than two years’ life expectancy from the date of correct diagnosis):</w:t>
      </w:r>
    </w:p>
    <w:p w14:paraId="2B976959" w14:textId="77777777" w:rsidR="00C66972" w:rsidRPr="00B434FE" w:rsidRDefault="00C66972" w:rsidP="00F839DB">
      <w:pPr>
        <w:pStyle w:val="ListParagraph"/>
        <w:numPr>
          <w:ilvl w:val="0"/>
          <w:numId w:val="515"/>
        </w:numPr>
        <w:rPr>
          <w:rFonts w:eastAsiaTheme="minorHAnsi"/>
        </w:rPr>
      </w:pPr>
      <w:r w:rsidRPr="00B434FE">
        <w:rPr>
          <w:rFonts w:eastAsiaTheme="minorHAnsi"/>
        </w:rPr>
        <w:t>a worker with a non-imminently fatal ARD must undergo an impairment assessment. Compensation is only payable if the worker has a WPI of 10 per cent or more</w:t>
      </w:r>
    </w:p>
    <w:p w14:paraId="6AB1444F" w14:textId="34030C89" w:rsidR="00C66972" w:rsidRPr="00B434FE" w:rsidRDefault="00C66972" w:rsidP="00F839DB">
      <w:pPr>
        <w:pStyle w:val="ListParagraph"/>
        <w:numPr>
          <w:ilvl w:val="0"/>
          <w:numId w:val="515"/>
        </w:numPr>
        <w:rPr>
          <w:rFonts w:eastAsiaTheme="minorHAnsi"/>
        </w:rPr>
      </w:pPr>
      <w:r w:rsidRPr="00B434FE">
        <w:rPr>
          <w:rFonts w:eastAsiaTheme="minorHAnsi"/>
        </w:rPr>
        <w:t>three lump sum payments</w:t>
      </w:r>
      <w:r w:rsidR="00A95C3B" w:rsidRPr="00B434FE">
        <w:rPr>
          <w:rFonts w:eastAsiaTheme="minorHAnsi"/>
        </w:rPr>
        <w:fldChar w:fldCharType="begin"/>
      </w:r>
      <w:r w:rsidR="00A95C3B">
        <w:instrText xml:space="preserve"> XE "</w:instrText>
      </w:r>
      <w:r w:rsidR="00A95C3B" w:rsidRPr="00570B18">
        <w:instrText>payments:lump sum payments</w:instrText>
      </w:r>
      <w:r w:rsidR="00A95C3B">
        <w:instrText xml:space="preserve">" </w:instrText>
      </w:r>
      <w:r w:rsidR="00A95C3B" w:rsidRPr="00B434FE">
        <w:rPr>
          <w:rFonts w:eastAsiaTheme="minorHAnsi"/>
        </w:rPr>
        <w:fldChar w:fldCharType="end"/>
      </w:r>
      <w:r w:rsidRPr="00B434FE">
        <w:rPr>
          <w:rFonts w:eastAsiaTheme="minorHAnsi"/>
        </w:rPr>
        <w:t xml:space="preserve"> are payable to the worker depending on the degree of impairment up to a total of 360 compensation units. However, if the worker is assessed at 51 per cent or more WPI at their first assessment, they will receive all three lump sums at the same time — 360 compensation units</w:t>
      </w:r>
    </w:p>
    <w:p w14:paraId="2D9687C2" w14:textId="77777777" w:rsidR="00C66972" w:rsidRPr="00B434FE" w:rsidRDefault="00C66972" w:rsidP="00F839DB">
      <w:pPr>
        <w:pStyle w:val="ListParagraph"/>
        <w:numPr>
          <w:ilvl w:val="0"/>
          <w:numId w:val="515"/>
        </w:numPr>
        <w:rPr>
          <w:rFonts w:eastAsiaTheme="minorHAnsi"/>
        </w:rPr>
      </w:pPr>
      <w:r w:rsidRPr="00B434FE">
        <w:rPr>
          <w:rFonts w:eastAsiaTheme="minorHAnsi"/>
        </w:rPr>
        <w:t>the worker is also entitled to the payment of reasonable medical expenses. There is no dollar cap on the payment of these expenses</w:t>
      </w:r>
    </w:p>
    <w:p w14:paraId="02E2D707" w14:textId="77777777" w:rsidR="00C66972" w:rsidRPr="00B434FE" w:rsidRDefault="00C66972" w:rsidP="00F839DB">
      <w:pPr>
        <w:pStyle w:val="ListParagraph"/>
        <w:numPr>
          <w:ilvl w:val="0"/>
          <w:numId w:val="515"/>
        </w:numPr>
        <w:rPr>
          <w:rFonts w:eastAsiaTheme="minorHAnsi"/>
        </w:rPr>
      </w:pPr>
      <w:r w:rsidRPr="00B434FE">
        <w:rPr>
          <w:rFonts w:eastAsiaTheme="minorHAnsi"/>
        </w:rPr>
        <w:t>where the worker is still employed weekly payments are payable based on incapacity, and</w:t>
      </w:r>
    </w:p>
    <w:p w14:paraId="38471635" w14:textId="77777777" w:rsidR="006A50D4" w:rsidRDefault="00C66972" w:rsidP="00F839DB">
      <w:pPr>
        <w:pStyle w:val="ListParagraph"/>
        <w:numPr>
          <w:ilvl w:val="0"/>
          <w:numId w:val="515"/>
        </w:numPr>
        <w:rPr>
          <w:rFonts w:eastAsiaTheme="minorHAnsi"/>
        </w:rPr>
      </w:pPr>
      <w:r w:rsidRPr="00B434FE">
        <w:rPr>
          <w:rFonts w:eastAsiaTheme="minorHAnsi"/>
        </w:rPr>
        <w:t>where a worker has received compensation in relation to a non-imminently fatal ARD which is subsequently diagnosed as being imminently fatal or they develop a different imminently fatal ARD, they will be paid any remaining lump sum compensation up to 360 compensation units. They will also receive the age-based payment if eligible.</w:t>
      </w:r>
    </w:p>
    <w:p w14:paraId="1C82419A" w14:textId="32386352" w:rsidR="00C66972" w:rsidRPr="00C66972" w:rsidRDefault="00C66972" w:rsidP="00B434FE">
      <w:pPr>
        <w:rPr>
          <w:rFonts w:eastAsiaTheme="minorHAnsi"/>
        </w:rPr>
      </w:pPr>
      <w:r w:rsidRPr="00C66972">
        <w:rPr>
          <w:rFonts w:eastAsiaTheme="minorHAnsi"/>
        </w:rPr>
        <w:t>Members of the family:</w:t>
      </w:r>
    </w:p>
    <w:p w14:paraId="4C1B67CB" w14:textId="77777777" w:rsidR="00C66972" w:rsidRPr="00B434FE" w:rsidRDefault="00C66972" w:rsidP="00F839DB">
      <w:pPr>
        <w:pStyle w:val="ListParagraph"/>
        <w:numPr>
          <w:ilvl w:val="0"/>
          <w:numId w:val="516"/>
        </w:numPr>
        <w:rPr>
          <w:rFonts w:eastAsiaTheme="minorHAnsi"/>
        </w:rPr>
      </w:pPr>
      <w:r w:rsidRPr="00B434FE">
        <w:rPr>
          <w:rFonts w:eastAsiaTheme="minorHAnsi"/>
        </w:rPr>
        <w:t>where a worker has died from a compensable ARD, the members of the worker’s family are entitled to the same amount of lump sum compensation (not including payment of medical expenses or weekly payments) that the worker would have received had they not died. They may also be entitled to funeral expenses</w:t>
      </w:r>
      <w:r w:rsidR="00A41653" w:rsidRPr="00B434FE">
        <w:rPr>
          <w:rFonts w:eastAsiaTheme="minorHAnsi"/>
        </w:rPr>
        <w:fldChar w:fldCharType="begin"/>
      </w:r>
      <w:r w:rsidR="00A41653">
        <w:instrText xml:space="preserve"> XE "</w:instrText>
      </w:r>
      <w:r w:rsidR="00A41653" w:rsidRPr="00B434FE">
        <w:rPr>
          <w:rFonts w:eastAsiaTheme="minorHAnsi"/>
        </w:rPr>
        <w:instrText>funeral expenses</w:instrText>
      </w:r>
      <w:r w:rsidR="00A41653">
        <w:instrText xml:space="preserve">" </w:instrText>
      </w:r>
      <w:r w:rsidR="00A41653" w:rsidRPr="00B434FE">
        <w:rPr>
          <w:rFonts w:eastAsiaTheme="minorHAnsi"/>
        </w:rPr>
        <w:fldChar w:fldCharType="end"/>
      </w:r>
      <w:r w:rsidRPr="00B434FE">
        <w:rPr>
          <w:rFonts w:eastAsiaTheme="minorHAnsi"/>
        </w:rPr>
        <w:t xml:space="preserve"> in relation to the deceased worker, and</w:t>
      </w:r>
    </w:p>
    <w:p w14:paraId="6F5BD6D8" w14:textId="77777777" w:rsidR="006A50D4" w:rsidRDefault="00C66972" w:rsidP="00F839DB">
      <w:pPr>
        <w:pStyle w:val="ListParagraph"/>
        <w:numPr>
          <w:ilvl w:val="0"/>
          <w:numId w:val="516"/>
        </w:numPr>
        <w:rPr>
          <w:rFonts w:eastAsiaTheme="minorHAnsi"/>
        </w:rPr>
      </w:pPr>
      <w:r w:rsidRPr="00B434FE">
        <w:rPr>
          <w:rFonts w:eastAsiaTheme="minorHAnsi"/>
        </w:rPr>
        <w:t xml:space="preserve">members of the family include a spouse (including a person in a significant relationship with the worker within the meaning of the </w:t>
      </w:r>
      <w:r w:rsidRPr="00FA2384">
        <w:rPr>
          <w:rFonts w:eastAsiaTheme="minorHAnsi"/>
          <w:i/>
        </w:rPr>
        <w:t>Relationships Act 2003</w:t>
      </w:r>
      <w:r w:rsidRPr="00B434FE">
        <w:rPr>
          <w:rFonts w:eastAsiaTheme="minorHAnsi"/>
        </w:rPr>
        <w:t>), and a child who is less than 22 years of age (natural child, adopted child and in some circumstances, a step-child).</w:t>
      </w:r>
    </w:p>
    <w:p w14:paraId="3B6EBEC0" w14:textId="4FFB1B86" w:rsidR="00C66972" w:rsidRDefault="00C66972" w:rsidP="00B434FE">
      <w:pPr>
        <w:rPr>
          <w:rFonts w:eastAsiaTheme="minorHAnsi"/>
        </w:rPr>
      </w:pPr>
      <w:r w:rsidRPr="00C66972">
        <w:rPr>
          <w:rFonts w:eastAsiaTheme="minorHAnsi"/>
        </w:rPr>
        <w:t>Further information can be found at:</w:t>
      </w:r>
    </w:p>
    <w:p w14:paraId="103CAB13" w14:textId="2FE135E4" w:rsidR="00AF0674" w:rsidRDefault="00A7538C" w:rsidP="00F839DB">
      <w:pPr>
        <w:pStyle w:val="ListParagraph"/>
        <w:numPr>
          <w:ilvl w:val="0"/>
          <w:numId w:val="525"/>
        </w:numPr>
        <w:rPr>
          <w:rFonts w:eastAsiaTheme="minorHAnsi"/>
        </w:rPr>
      </w:pPr>
      <w:hyperlink r:id="rId2197" w:history="1">
        <w:r w:rsidR="00AF0674" w:rsidRPr="00AF0674">
          <w:rPr>
            <w:rStyle w:val="Hyperlink"/>
            <w:rFonts w:eastAsiaTheme="minorHAnsi"/>
          </w:rPr>
          <w:t>Worksafe Tas – Asbestos safety</w:t>
        </w:r>
      </w:hyperlink>
      <w:r w:rsidR="00AF0674">
        <w:rPr>
          <w:rFonts w:eastAsiaTheme="minorHAnsi"/>
        </w:rPr>
        <w:t xml:space="preserve"> </w:t>
      </w:r>
    </w:p>
    <w:p w14:paraId="289BB6C1" w14:textId="6F4A5EEE" w:rsidR="00AF0674" w:rsidRDefault="00A7538C" w:rsidP="00F839DB">
      <w:pPr>
        <w:pStyle w:val="ListParagraph"/>
        <w:numPr>
          <w:ilvl w:val="0"/>
          <w:numId w:val="525"/>
        </w:numPr>
        <w:rPr>
          <w:rFonts w:eastAsiaTheme="minorHAnsi"/>
        </w:rPr>
      </w:pPr>
      <w:hyperlink r:id="rId2198" w:history="1">
        <w:r w:rsidR="00054AB4">
          <w:rPr>
            <w:rStyle w:val="Hyperlink"/>
            <w:rFonts w:eastAsiaTheme="minorHAnsi"/>
          </w:rPr>
          <w:t>Tasmanian Asbestos Compensation Information</w:t>
        </w:r>
      </w:hyperlink>
    </w:p>
    <w:p w14:paraId="17FA5A59" w14:textId="3B710CE7" w:rsidR="006A50D4" w:rsidRDefault="00A7538C" w:rsidP="00F839DB">
      <w:pPr>
        <w:pStyle w:val="ListParagraph"/>
        <w:numPr>
          <w:ilvl w:val="0"/>
          <w:numId w:val="525"/>
        </w:numPr>
        <w:rPr>
          <w:rFonts w:eastAsiaTheme="minorHAnsi"/>
        </w:rPr>
      </w:pPr>
      <w:hyperlink r:id="rId2199" w:history="1">
        <w:r w:rsidR="00054AB4">
          <w:rPr>
            <w:rStyle w:val="Hyperlink"/>
            <w:rFonts w:eastAsiaTheme="minorHAnsi"/>
          </w:rPr>
          <w:t>Guide to Asbestos Compensation in Tasmania</w:t>
        </w:r>
      </w:hyperlink>
    </w:p>
    <w:p w14:paraId="02F8F022" w14:textId="77777777" w:rsidR="00205CCE" w:rsidRDefault="00205CCE" w:rsidP="00205CCE">
      <w:pPr>
        <w:pStyle w:val="Title"/>
      </w:pPr>
      <w:bookmarkStart w:id="285" w:name="_Toc483227221"/>
      <w:bookmarkStart w:id="286" w:name="NT"/>
      <w:bookmarkEnd w:id="284"/>
    </w:p>
    <w:p w14:paraId="55DE9A79" w14:textId="7A4D4175" w:rsidR="00C66972" w:rsidRPr="00205CCE" w:rsidRDefault="00C66972" w:rsidP="00205CCE">
      <w:pPr>
        <w:pStyle w:val="Title"/>
      </w:pPr>
      <w:bookmarkStart w:id="287" w:name="_Toc504654740"/>
      <w:r w:rsidRPr="00205CCE">
        <w:t>Northern Territory (NT)</w:t>
      </w:r>
      <w:bookmarkEnd w:id="285"/>
      <w:bookmarkEnd w:id="287"/>
      <w:r w:rsidR="00A95C3B" w:rsidRPr="00205CCE">
        <w:fldChar w:fldCharType="begin"/>
      </w:r>
      <w:r w:rsidR="00A95C3B" w:rsidRPr="00205CCE">
        <w:instrText xml:space="preserve"> XE "Northern Territory:schemes history and evolution" \r "NT" </w:instrText>
      </w:r>
      <w:r w:rsidR="00A95C3B" w:rsidRPr="00205CCE">
        <w:fldChar w:fldCharType="end"/>
      </w:r>
      <w:r w:rsidR="001A701E" w:rsidRPr="00205CCE">
        <w:fldChar w:fldCharType="begin"/>
      </w:r>
      <w:r w:rsidR="001A701E" w:rsidRPr="00205CCE">
        <w:instrText xml:space="preserve"> XE "schemes history and evolution:Northern Territory" \r "NT" </w:instrText>
      </w:r>
      <w:r w:rsidR="001A701E" w:rsidRPr="00205CCE">
        <w:fldChar w:fldCharType="end"/>
      </w:r>
    </w:p>
    <w:p w14:paraId="344428DB" w14:textId="77777777" w:rsidR="006A50D4" w:rsidRDefault="00C66972" w:rsidP="00B434FE">
      <w:pPr>
        <w:rPr>
          <w:rFonts w:eastAsiaTheme="minorHAnsi"/>
        </w:rPr>
      </w:pPr>
      <w:r w:rsidRPr="00C66972">
        <w:rPr>
          <w:rFonts w:eastAsiaTheme="minorHAnsi"/>
        </w:rPr>
        <w:t xml:space="preserve">The first workers’ compensation statute introduced in the NT was the </w:t>
      </w:r>
      <w:r w:rsidRPr="00C66972">
        <w:rPr>
          <w:rFonts w:eastAsiaTheme="minorHAnsi"/>
          <w:i/>
        </w:rPr>
        <w:t>Workmens’ Compensation Act 1920</w:t>
      </w:r>
      <w:r w:rsidRPr="00C66972">
        <w:rPr>
          <w:rFonts w:eastAsiaTheme="minorHAnsi"/>
        </w:rPr>
        <w:t xml:space="preserve">. Before then, the </w:t>
      </w:r>
      <w:r w:rsidRPr="00C66972">
        <w:rPr>
          <w:rFonts w:eastAsiaTheme="minorHAnsi"/>
          <w:i/>
        </w:rPr>
        <w:t>Employer’s Liability Act 1884</w:t>
      </w:r>
      <w:r w:rsidRPr="00C66972">
        <w:rPr>
          <w:rFonts w:eastAsiaTheme="minorHAnsi"/>
        </w:rPr>
        <w:t xml:space="preserve"> applied. In 1985 the name of the Act was changed to the </w:t>
      </w:r>
      <w:r w:rsidRPr="00C66972">
        <w:rPr>
          <w:rFonts w:eastAsiaTheme="minorHAnsi"/>
          <w:i/>
        </w:rPr>
        <w:t>Workers’ Compensation Act</w:t>
      </w:r>
      <w:r w:rsidRPr="00C66972">
        <w:rPr>
          <w:rFonts w:eastAsiaTheme="minorHAnsi"/>
        </w:rPr>
        <w:t>.</w:t>
      </w:r>
    </w:p>
    <w:p w14:paraId="219D3156" w14:textId="77777777" w:rsidR="00172AC7" w:rsidRDefault="00C66972" w:rsidP="00B434FE">
      <w:pPr>
        <w:rPr>
          <w:rFonts w:eastAsiaTheme="minorHAnsi"/>
        </w:rPr>
      </w:pPr>
      <w:r w:rsidRPr="00C66972">
        <w:rPr>
          <w:rFonts w:eastAsiaTheme="minorHAnsi"/>
        </w:rPr>
        <w:t xml:space="preserve">A review of the legislation in 1984 resulted in the </w:t>
      </w:r>
      <w:r w:rsidRPr="00C66972">
        <w:rPr>
          <w:rFonts w:eastAsiaTheme="minorHAnsi"/>
          <w:i/>
        </w:rPr>
        <w:t>Work Health Act 1986</w:t>
      </w:r>
      <w:r w:rsidRPr="00C66972">
        <w:rPr>
          <w:rFonts w:eastAsiaTheme="minorHAnsi"/>
        </w:rPr>
        <w:t>, which contained provisions for both work health and safety and workers’ compensation. This Act provided for a scheme which is privately underwritten, featured pension based benefits and promotes rehabilitation and an early return to work. There is no access to common law for injured workers.</w:t>
      </w:r>
    </w:p>
    <w:p w14:paraId="3FEE23CE" w14:textId="6C7362AB" w:rsidR="00C66972" w:rsidRPr="001F2D00" w:rsidRDefault="00C66972" w:rsidP="00205CCE">
      <w:pPr>
        <w:pStyle w:val="Heading4"/>
      </w:pPr>
      <w:r w:rsidRPr="001F2D00">
        <w:t>Cross-Border Amendments</w:t>
      </w:r>
      <w:r w:rsidR="00C461E1" w:rsidRPr="001F2D00">
        <w:fldChar w:fldCharType="begin"/>
      </w:r>
      <w:r w:rsidR="00C461E1" w:rsidRPr="001F2D00">
        <w:instrText xml:space="preserve"> XE "jurisdictions:cross-border provisions" </w:instrText>
      </w:r>
      <w:r w:rsidR="00C461E1" w:rsidRPr="001F2D00">
        <w:fldChar w:fldCharType="end"/>
      </w:r>
      <w:r w:rsidR="009F5AD7" w:rsidRPr="001F2D00">
        <w:fldChar w:fldCharType="begin"/>
      </w:r>
      <w:r w:rsidR="009F5AD7" w:rsidRPr="001F2D00">
        <w:instrText xml:space="preserve"> XE "cross-border provisions:in the Northern Territory" </w:instrText>
      </w:r>
      <w:r w:rsidR="009F5AD7" w:rsidRPr="001F2D00">
        <w:fldChar w:fldCharType="end"/>
      </w:r>
    </w:p>
    <w:p w14:paraId="4044DC08" w14:textId="7E9E4655" w:rsidR="00172AC7" w:rsidRDefault="00C66972" w:rsidP="00B434FE">
      <w:pPr>
        <w:rPr>
          <w:rFonts w:eastAsiaTheme="minorHAnsi"/>
        </w:rPr>
      </w:pPr>
      <w:r w:rsidRPr="00C66972">
        <w:rPr>
          <w:rFonts w:eastAsiaTheme="minorHAnsi"/>
        </w:rPr>
        <w:t xml:space="preserve">‘Cross border’ amendments to the </w:t>
      </w:r>
      <w:r w:rsidRPr="00C66972">
        <w:rPr>
          <w:rFonts w:eastAsiaTheme="minorHAnsi"/>
          <w:i/>
        </w:rPr>
        <w:t>Work Health Act 1986</w:t>
      </w:r>
      <w:r w:rsidRPr="00C66972">
        <w:rPr>
          <w:rFonts w:eastAsiaTheme="minorHAnsi"/>
        </w:rPr>
        <w:t xml:space="preserve"> commenced on 26 April 2007 so employers are only required to maintain a workers’ compensation policy in the NT when they employ workers with a ‘State of Connection’ to the NT. The n</w:t>
      </w:r>
      <w:r w:rsidR="00692DB2">
        <w:rPr>
          <w:rFonts w:eastAsiaTheme="minorHAnsi"/>
        </w:rPr>
        <w:t>ew cross-</w:t>
      </w:r>
      <w:r w:rsidRPr="00C66972">
        <w:rPr>
          <w:rFonts w:eastAsiaTheme="minorHAnsi"/>
        </w:rPr>
        <w:t xml:space="preserve">border arrangements reduce red tape for </w:t>
      </w:r>
      <w:r w:rsidRPr="00C66972">
        <w:rPr>
          <w:rFonts w:eastAsiaTheme="minorHAnsi"/>
        </w:rPr>
        <w:lastRenderedPageBreak/>
        <w:t>employers and make it easier to do business by removing the need for the majority of employers to obtain multiple workers’ compensation policies for workers who are temporarily working interstate. All the other Australian states and te</w:t>
      </w:r>
      <w:r w:rsidR="00692DB2">
        <w:rPr>
          <w:rFonts w:eastAsiaTheme="minorHAnsi"/>
        </w:rPr>
        <w:t>rritories have introduced cross-</w:t>
      </w:r>
      <w:r w:rsidRPr="00C66972">
        <w:rPr>
          <w:rFonts w:eastAsiaTheme="minorHAnsi"/>
        </w:rPr>
        <w:t>border provisions that allow workers to work across their borders for temporary periods, under an existing NT workers’ compensation policy.</w:t>
      </w:r>
    </w:p>
    <w:p w14:paraId="16656ECE" w14:textId="267A636C" w:rsidR="00C66972" w:rsidRPr="00D56ED9" w:rsidRDefault="00C66972" w:rsidP="00205CCE">
      <w:pPr>
        <w:pStyle w:val="Heading4"/>
      </w:pPr>
      <w:r w:rsidRPr="00D56ED9">
        <w:t>2007</w:t>
      </w:r>
    </w:p>
    <w:p w14:paraId="77EFAD61" w14:textId="65DD718C" w:rsidR="00172AC7" w:rsidRDefault="00C66972" w:rsidP="00B434FE">
      <w:pPr>
        <w:rPr>
          <w:rFonts w:eastAsiaTheme="minorHAnsi"/>
        </w:rPr>
      </w:pPr>
      <w:r w:rsidRPr="00C66972">
        <w:rPr>
          <w:rFonts w:eastAsiaTheme="minorHAnsi"/>
        </w:rPr>
        <w:t xml:space="preserve">In December 2007 the Legislative Assembly passed the </w:t>
      </w:r>
      <w:r w:rsidRPr="00C66972">
        <w:rPr>
          <w:rFonts w:eastAsiaTheme="minorHAnsi"/>
          <w:i/>
        </w:rPr>
        <w:t>Workplace Health and Safety Act</w:t>
      </w:r>
      <w:r w:rsidRPr="00C66972">
        <w:rPr>
          <w:rFonts w:eastAsiaTheme="minorHAnsi"/>
        </w:rPr>
        <w:t xml:space="preserve"> and the </w:t>
      </w:r>
      <w:r w:rsidRPr="00C66972">
        <w:rPr>
          <w:rFonts w:eastAsiaTheme="minorHAnsi"/>
          <w:i/>
        </w:rPr>
        <w:t>Law Reform (Work Health) Amendment Act 2007</w:t>
      </w:r>
      <w:r w:rsidRPr="00C66972">
        <w:rPr>
          <w:rFonts w:eastAsiaTheme="minorHAnsi"/>
        </w:rPr>
        <w:t xml:space="preserve">. These Acts separated the work health and safety and rehabilitation and workers’ compensation provisions of the previous </w:t>
      </w:r>
      <w:r w:rsidRPr="00C66972">
        <w:rPr>
          <w:rFonts w:eastAsiaTheme="minorHAnsi"/>
          <w:i/>
        </w:rPr>
        <w:t>Work Health Act 1986</w:t>
      </w:r>
      <w:r w:rsidRPr="00C66972">
        <w:rPr>
          <w:rFonts w:eastAsiaTheme="minorHAnsi"/>
        </w:rPr>
        <w:t xml:space="preserve"> into the new </w:t>
      </w:r>
      <w:r w:rsidRPr="00C66972">
        <w:rPr>
          <w:rFonts w:eastAsiaTheme="minorHAnsi"/>
          <w:i/>
        </w:rPr>
        <w:t>Workplace Health and Safety Act</w:t>
      </w:r>
      <w:r w:rsidRPr="00C66972">
        <w:rPr>
          <w:rFonts w:eastAsiaTheme="minorHAnsi"/>
        </w:rPr>
        <w:t xml:space="preserve"> and the </w:t>
      </w:r>
      <w:r w:rsidRPr="00C66972">
        <w:rPr>
          <w:rFonts w:eastAsiaTheme="minorHAnsi"/>
          <w:i/>
        </w:rPr>
        <w:t>Workers’ Rehabilitation and Compensation Act</w:t>
      </w:r>
      <w:r w:rsidRPr="00C66972">
        <w:rPr>
          <w:rFonts w:eastAsiaTheme="minorHAnsi"/>
        </w:rPr>
        <w:t xml:space="preserve">. The rehabilitation and workers’ compensation provisions of the </w:t>
      </w:r>
      <w:r w:rsidRPr="00C66972">
        <w:rPr>
          <w:rFonts w:eastAsiaTheme="minorHAnsi"/>
          <w:i/>
        </w:rPr>
        <w:t>Work Health Act 1986</w:t>
      </w:r>
      <w:r w:rsidRPr="00C66972">
        <w:rPr>
          <w:rFonts w:eastAsiaTheme="minorHAnsi"/>
        </w:rPr>
        <w:t xml:space="preserve"> were transferred almost unchanged into the new </w:t>
      </w:r>
      <w:r w:rsidRPr="00C66972">
        <w:rPr>
          <w:rFonts w:eastAsiaTheme="minorHAnsi"/>
          <w:i/>
        </w:rPr>
        <w:t>Workers’ Rehabilitation and Compensation Act</w:t>
      </w:r>
      <w:r w:rsidR="00367415">
        <w:rPr>
          <w:rFonts w:eastAsiaTheme="minorHAnsi"/>
        </w:rPr>
        <w:t>.</w:t>
      </w:r>
    </w:p>
    <w:p w14:paraId="7FA8263C" w14:textId="2CBA08C8" w:rsidR="00C66972" w:rsidRPr="00D56ED9" w:rsidRDefault="00C66972" w:rsidP="00205CCE">
      <w:pPr>
        <w:pStyle w:val="Heading4"/>
      </w:pPr>
      <w:r w:rsidRPr="00D56ED9">
        <w:t>2008</w:t>
      </w:r>
    </w:p>
    <w:p w14:paraId="38FB7273" w14:textId="77777777" w:rsidR="006A50D4" w:rsidRDefault="00C66972" w:rsidP="00B434FE">
      <w:pPr>
        <w:rPr>
          <w:rFonts w:eastAsiaTheme="minorHAnsi"/>
        </w:rPr>
      </w:pPr>
      <w:r w:rsidRPr="00C66972">
        <w:rPr>
          <w:rFonts w:eastAsiaTheme="minorHAnsi"/>
        </w:rPr>
        <w:t xml:space="preserve">On 1 July 2008 the </w:t>
      </w:r>
      <w:r w:rsidRPr="00D41D16">
        <w:rPr>
          <w:rFonts w:eastAsiaTheme="minorHAnsi"/>
          <w:i/>
        </w:rPr>
        <w:t>Workplace Health and Safety Act</w:t>
      </w:r>
      <w:r w:rsidRPr="00C66972">
        <w:rPr>
          <w:rFonts w:eastAsiaTheme="minorHAnsi"/>
        </w:rPr>
        <w:t xml:space="preserve"> and parts of the </w:t>
      </w:r>
      <w:r w:rsidRPr="00D41D16">
        <w:rPr>
          <w:rFonts w:eastAsiaTheme="minorHAnsi"/>
          <w:i/>
        </w:rPr>
        <w:t>Workers’ Rehabilitation and Compensation Act</w:t>
      </w:r>
      <w:r w:rsidRPr="00C66972">
        <w:rPr>
          <w:rFonts w:eastAsiaTheme="minorHAnsi"/>
        </w:rPr>
        <w:t xml:space="preserve"> came into effect. </w:t>
      </w:r>
    </w:p>
    <w:p w14:paraId="6D1FE133" w14:textId="2B56B8C7" w:rsidR="00C66972" w:rsidRPr="00C66972" w:rsidRDefault="00C66972" w:rsidP="00B434FE">
      <w:pPr>
        <w:rPr>
          <w:rFonts w:eastAsiaTheme="minorHAnsi"/>
        </w:rPr>
      </w:pPr>
      <w:r w:rsidRPr="00C66972">
        <w:rPr>
          <w:rFonts w:eastAsiaTheme="minorHAnsi"/>
        </w:rPr>
        <w:t xml:space="preserve">Prior to taking effect however, the </w:t>
      </w:r>
      <w:r w:rsidRPr="00D41D16">
        <w:rPr>
          <w:rFonts w:eastAsiaTheme="minorHAnsi"/>
          <w:i/>
        </w:rPr>
        <w:t>Workplace Health and Safety Act</w:t>
      </w:r>
      <w:r w:rsidRPr="00C66972">
        <w:rPr>
          <w:rFonts w:eastAsiaTheme="minorHAnsi"/>
        </w:rPr>
        <w:t xml:space="preserve"> underwent a number of amendments. The amendments made relate to three areas: </w:t>
      </w:r>
    </w:p>
    <w:p w14:paraId="7B0F4375" w14:textId="77777777" w:rsidR="00C66972" w:rsidRPr="00B434FE" w:rsidRDefault="00C66972" w:rsidP="00F839DB">
      <w:pPr>
        <w:pStyle w:val="ListParagraph"/>
        <w:numPr>
          <w:ilvl w:val="0"/>
          <w:numId w:val="517"/>
        </w:numPr>
        <w:rPr>
          <w:rFonts w:eastAsiaTheme="minorHAnsi"/>
        </w:rPr>
      </w:pPr>
      <w:r w:rsidRPr="00B434FE">
        <w:rPr>
          <w:rFonts w:eastAsiaTheme="minorHAnsi"/>
        </w:rPr>
        <w:t>prescribed volunteers are no longer eligible for compensation for life, but instead will now be eligible for compensation similar to that provided to other injured workers</w:t>
      </w:r>
    </w:p>
    <w:p w14:paraId="139BC8EE" w14:textId="77777777" w:rsidR="00C66972" w:rsidRPr="00B434FE" w:rsidRDefault="00C66972" w:rsidP="00F839DB">
      <w:pPr>
        <w:pStyle w:val="ListParagraph"/>
        <w:numPr>
          <w:ilvl w:val="0"/>
          <w:numId w:val="517"/>
        </w:numPr>
        <w:rPr>
          <w:rFonts w:eastAsiaTheme="minorHAnsi"/>
        </w:rPr>
      </w:pPr>
      <w:r w:rsidRPr="00B434FE">
        <w:rPr>
          <w:rFonts w:eastAsiaTheme="minorHAnsi"/>
        </w:rPr>
        <w:t>if an employer/insurer defers a decision on liability but fails to make a decision to accept or dispute liability within the prescribed timeframe (56 days), then the employer/insurer is deemed to have accepted the claim until 14 days after the day on which the employer notifies the claimant of a decision to accept or dispute liability</w:t>
      </w:r>
    </w:p>
    <w:p w14:paraId="5A781BD0" w14:textId="77777777" w:rsidR="00C66972" w:rsidRPr="00B434FE" w:rsidRDefault="00C66972" w:rsidP="00F839DB">
      <w:pPr>
        <w:pStyle w:val="ListParagraph"/>
        <w:numPr>
          <w:ilvl w:val="0"/>
          <w:numId w:val="517"/>
        </w:numPr>
        <w:rPr>
          <w:rFonts w:eastAsiaTheme="minorHAnsi"/>
        </w:rPr>
      </w:pPr>
      <w:r w:rsidRPr="00B434FE">
        <w:rPr>
          <w:rFonts w:eastAsiaTheme="minorHAnsi"/>
        </w:rPr>
        <w:t xml:space="preserve">parties are now required to provide all written medical reports and other specified written material relating to the disputed matters to NT WorkSafe so they can be considered by the parties and mediator prior to the mediation process. The mediation process must now be completed within 21 days instead of 28 days, and </w:t>
      </w:r>
    </w:p>
    <w:p w14:paraId="5A50C75F" w14:textId="77777777" w:rsidR="006A50D4" w:rsidRDefault="00C66972" w:rsidP="00F839DB">
      <w:pPr>
        <w:pStyle w:val="ListParagraph"/>
        <w:numPr>
          <w:ilvl w:val="0"/>
          <w:numId w:val="517"/>
        </w:numPr>
        <w:rPr>
          <w:rFonts w:eastAsiaTheme="minorHAnsi"/>
        </w:rPr>
      </w:pPr>
      <w:r w:rsidRPr="00B434FE">
        <w:rPr>
          <w:rFonts w:eastAsiaTheme="minorHAnsi"/>
        </w:rPr>
        <w:t xml:space="preserve">GIO became an approved insurer pursuant to s121(1) of the </w:t>
      </w:r>
      <w:r w:rsidRPr="00B434FE">
        <w:rPr>
          <w:rFonts w:eastAsiaTheme="minorHAnsi"/>
          <w:i/>
        </w:rPr>
        <w:t>Workers’ Rehabilitation and Compensation Act</w:t>
      </w:r>
      <w:r w:rsidRPr="00B434FE">
        <w:rPr>
          <w:rFonts w:eastAsiaTheme="minorHAnsi"/>
        </w:rPr>
        <w:t xml:space="preserve"> on 30 June 2008, bringing the total number of approved insurers in the jurisdiction to five.</w:t>
      </w:r>
    </w:p>
    <w:p w14:paraId="60D42E62" w14:textId="21627C8C" w:rsidR="00C66972" w:rsidRPr="00D56ED9" w:rsidRDefault="00C66972" w:rsidP="00205CCE">
      <w:pPr>
        <w:pStyle w:val="Heading4"/>
      </w:pPr>
      <w:r w:rsidRPr="00D56ED9">
        <w:t>2012</w:t>
      </w:r>
    </w:p>
    <w:p w14:paraId="4704547F" w14:textId="77777777" w:rsidR="00C66972" w:rsidRPr="00C66972" w:rsidRDefault="00C66972" w:rsidP="00B434FE">
      <w:pPr>
        <w:rPr>
          <w:rFonts w:eastAsiaTheme="minorHAnsi"/>
        </w:rPr>
      </w:pPr>
      <w:r w:rsidRPr="00C66972">
        <w:rPr>
          <w:rFonts w:eastAsiaTheme="minorHAnsi"/>
        </w:rPr>
        <w:t xml:space="preserve">The </w:t>
      </w:r>
      <w:r w:rsidRPr="00C66972">
        <w:rPr>
          <w:rFonts w:eastAsiaTheme="minorHAnsi"/>
          <w:i/>
        </w:rPr>
        <w:t>Workers’ Rehabilitation and Compensation Legislation Amendment Bill 2011</w:t>
      </w:r>
      <w:r w:rsidRPr="00C66972">
        <w:rPr>
          <w:rFonts w:eastAsiaTheme="minorHAnsi"/>
        </w:rPr>
        <w:t xml:space="preserve"> was passed in Parliament on 28 March 2012. The amendments came into effect on 1 July 2012 and are:</w:t>
      </w:r>
    </w:p>
    <w:p w14:paraId="0C2A5F63" w14:textId="77777777" w:rsidR="00C66972" w:rsidRPr="00B434FE" w:rsidRDefault="00C66972" w:rsidP="00F839DB">
      <w:pPr>
        <w:pStyle w:val="ListParagraph"/>
        <w:numPr>
          <w:ilvl w:val="0"/>
          <w:numId w:val="518"/>
        </w:numPr>
        <w:rPr>
          <w:rFonts w:eastAsiaTheme="minorHAnsi"/>
        </w:rPr>
      </w:pPr>
      <w:r w:rsidRPr="00B434FE">
        <w:rPr>
          <w:rFonts w:eastAsiaTheme="minorHAnsi"/>
        </w:rPr>
        <w:t>the definition of 'worker' was amended to remove the reference to the Australian Business Number (ABN) and to apply the ‘Results Test’ so that:</w:t>
      </w:r>
    </w:p>
    <w:p w14:paraId="509A04DF" w14:textId="77777777" w:rsidR="00C66972" w:rsidRPr="00C66972" w:rsidRDefault="00C66972" w:rsidP="00B434FE">
      <w:pPr>
        <w:rPr>
          <w:rFonts w:eastAsiaTheme="minorHAnsi"/>
        </w:rPr>
      </w:pPr>
      <w:r w:rsidRPr="00C66972">
        <w:rPr>
          <w:rFonts w:eastAsiaTheme="minorHAnsi"/>
        </w:rPr>
        <w:t>A person performing work for another person will be a worker unless, in relation to the work, the following tests apply:</w:t>
      </w:r>
    </w:p>
    <w:p w14:paraId="3FB9C9C9" w14:textId="77777777" w:rsidR="00C66972" w:rsidRPr="00B434FE" w:rsidRDefault="00C66972" w:rsidP="00F839DB">
      <w:pPr>
        <w:pStyle w:val="ListParagraph"/>
        <w:numPr>
          <w:ilvl w:val="0"/>
          <w:numId w:val="518"/>
        </w:numPr>
        <w:rPr>
          <w:rFonts w:eastAsiaTheme="minorHAnsi"/>
        </w:rPr>
      </w:pPr>
      <w:r w:rsidRPr="00B434FE">
        <w:rPr>
          <w:rFonts w:eastAsiaTheme="minorHAnsi"/>
        </w:rPr>
        <w:t>The person is paid to achieve a stated outcome; and</w:t>
      </w:r>
    </w:p>
    <w:p w14:paraId="557EF7A3" w14:textId="77777777" w:rsidR="00C66972" w:rsidRPr="00B434FE" w:rsidRDefault="00C66972" w:rsidP="00F839DB">
      <w:pPr>
        <w:pStyle w:val="ListParagraph"/>
        <w:numPr>
          <w:ilvl w:val="0"/>
          <w:numId w:val="518"/>
        </w:numPr>
        <w:rPr>
          <w:rFonts w:eastAsiaTheme="minorHAnsi"/>
        </w:rPr>
      </w:pPr>
      <w:r w:rsidRPr="00B434FE">
        <w:rPr>
          <w:rFonts w:eastAsiaTheme="minorHAnsi"/>
        </w:rPr>
        <w:t>The person has to supply the plant and equipment or tools of trade needed to carry out the work; and</w:t>
      </w:r>
    </w:p>
    <w:p w14:paraId="02EF1D55" w14:textId="77777777" w:rsidR="00C66972" w:rsidRPr="00B434FE" w:rsidRDefault="00C66972" w:rsidP="00F839DB">
      <w:pPr>
        <w:pStyle w:val="ListParagraph"/>
        <w:numPr>
          <w:ilvl w:val="0"/>
          <w:numId w:val="518"/>
        </w:numPr>
        <w:rPr>
          <w:rFonts w:eastAsiaTheme="minorHAnsi"/>
        </w:rPr>
      </w:pPr>
      <w:r w:rsidRPr="00B434FE">
        <w:rPr>
          <w:rFonts w:eastAsiaTheme="minorHAnsi"/>
        </w:rPr>
        <w:t>The person is, or would be, liable for the cost of rectifying any defect in the work carried out.</w:t>
      </w:r>
    </w:p>
    <w:p w14:paraId="00CE5160" w14:textId="77777777" w:rsidR="006A50D4" w:rsidRDefault="00C66972" w:rsidP="00B434FE">
      <w:pPr>
        <w:rPr>
          <w:rFonts w:eastAsiaTheme="minorHAnsi"/>
        </w:rPr>
      </w:pPr>
      <w:r w:rsidRPr="00C66972">
        <w:rPr>
          <w:rFonts w:eastAsiaTheme="minorHAnsi"/>
        </w:rPr>
        <w:t xml:space="preserve">The new laws also provide that a person will not be considered a ‘worker’ for workers’ compensation purposes where there is a personal services business determination in effect for the person performing the work under the </w:t>
      </w:r>
      <w:r w:rsidRPr="00FA2384">
        <w:rPr>
          <w:rFonts w:eastAsiaTheme="minorHAnsi"/>
          <w:i/>
        </w:rPr>
        <w:t xml:space="preserve">Income Tax Assessment Act 1997 </w:t>
      </w:r>
      <w:r w:rsidRPr="00396A2E">
        <w:rPr>
          <w:rFonts w:eastAsiaTheme="minorHAnsi"/>
        </w:rPr>
        <w:t>(Cth)</w:t>
      </w:r>
      <w:r w:rsidRPr="00C66972">
        <w:rPr>
          <w:rFonts w:eastAsiaTheme="minorHAnsi"/>
        </w:rPr>
        <w:t>.</w:t>
      </w:r>
    </w:p>
    <w:p w14:paraId="32921012" w14:textId="67FD7069" w:rsidR="00C66972" w:rsidRPr="00FB729B" w:rsidRDefault="00C66972" w:rsidP="00FB729B">
      <w:pPr>
        <w:rPr>
          <w:rFonts w:eastAsiaTheme="minorHAnsi"/>
        </w:rPr>
      </w:pPr>
      <w:r w:rsidRPr="00FB729B">
        <w:rPr>
          <w:rFonts w:eastAsiaTheme="minorHAnsi"/>
        </w:rPr>
        <w:t>Section 65B of the Act was amended to allow access to compensation by workers injured in Australia but who reside overseas. The change will provide for weekly payments to continue if an injured worker is living outside Australia. The key elements of the change are as follows:</w:t>
      </w:r>
    </w:p>
    <w:p w14:paraId="287F56AF" w14:textId="77777777" w:rsidR="00C66972" w:rsidRPr="00996200" w:rsidRDefault="00C66972" w:rsidP="00F839DB">
      <w:pPr>
        <w:pStyle w:val="ListParagraph"/>
        <w:numPr>
          <w:ilvl w:val="0"/>
          <w:numId w:val="519"/>
        </w:numPr>
        <w:rPr>
          <w:rFonts w:eastAsiaTheme="minorHAnsi"/>
        </w:rPr>
      </w:pPr>
      <w:r w:rsidRPr="00996200">
        <w:rPr>
          <w:rFonts w:eastAsiaTheme="minorHAnsi"/>
        </w:rPr>
        <w:t>For weekly compensation payments to continue the injured worker must, at not less than 3 month intervals, provide proof of identity and proof of ongoing incapacity.</w:t>
      </w:r>
    </w:p>
    <w:p w14:paraId="382D50BD" w14:textId="77777777" w:rsidR="00C66972" w:rsidRPr="00996200" w:rsidRDefault="00C66972" w:rsidP="00F839DB">
      <w:pPr>
        <w:pStyle w:val="ListParagraph"/>
        <w:numPr>
          <w:ilvl w:val="0"/>
          <w:numId w:val="519"/>
        </w:numPr>
        <w:rPr>
          <w:rFonts w:eastAsiaTheme="minorHAnsi"/>
        </w:rPr>
      </w:pPr>
      <w:r w:rsidRPr="00996200">
        <w:rPr>
          <w:rFonts w:eastAsiaTheme="minorHAnsi"/>
        </w:rPr>
        <w:lastRenderedPageBreak/>
        <w:t>The duration of compensation payments will be a maximum of 104 weeks from when the worker starts living outside Australia.</w:t>
      </w:r>
    </w:p>
    <w:p w14:paraId="3D7F4258" w14:textId="77777777" w:rsidR="00C66972" w:rsidRPr="00996200" w:rsidRDefault="00C66972" w:rsidP="00F839DB">
      <w:pPr>
        <w:pStyle w:val="ListParagraph"/>
        <w:numPr>
          <w:ilvl w:val="0"/>
          <w:numId w:val="519"/>
        </w:numPr>
        <w:rPr>
          <w:rFonts w:eastAsiaTheme="minorHAnsi"/>
        </w:rPr>
      </w:pPr>
      <w:r w:rsidRPr="00996200">
        <w:rPr>
          <w:rFonts w:eastAsiaTheme="minorHAnsi"/>
        </w:rPr>
        <w:t>Flexibility will exist for applications to be made to the Work Health Court for payments beyond 104 weeks if the worker is permanently and totally incapacitated, or exceptional circumstances apply. However, any such extension by the Court must be a single period that does not exceed 104 weeks.</w:t>
      </w:r>
    </w:p>
    <w:p w14:paraId="56210215" w14:textId="77777777" w:rsidR="00C66972" w:rsidRPr="00FB729B" w:rsidRDefault="00C66972" w:rsidP="00FB729B">
      <w:pPr>
        <w:rPr>
          <w:rFonts w:eastAsiaTheme="minorHAnsi"/>
        </w:rPr>
      </w:pPr>
      <w:r w:rsidRPr="00FB729B">
        <w:rPr>
          <w:rFonts w:eastAsiaTheme="minorHAnsi"/>
        </w:rPr>
        <w:t>Section 65 of the Act was amended to provide immediate and fairer access to compensation for older workers who are injured and to reflect the Australian Government's decision to increase the qualifying age for the aged pension:</w:t>
      </w:r>
    </w:p>
    <w:p w14:paraId="4B59D0D8" w14:textId="77777777" w:rsidR="00C66972" w:rsidRPr="00996200" w:rsidRDefault="00C66972" w:rsidP="00F839DB">
      <w:pPr>
        <w:pStyle w:val="ListParagraph"/>
        <w:numPr>
          <w:ilvl w:val="0"/>
          <w:numId w:val="520"/>
        </w:numPr>
        <w:rPr>
          <w:rFonts w:eastAsiaTheme="minorHAnsi"/>
        </w:rPr>
      </w:pPr>
      <w:r w:rsidRPr="00996200">
        <w:rPr>
          <w:rFonts w:eastAsiaTheme="minorHAnsi"/>
        </w:rPr>
        <w:t xml:space="preserve">The new legislation establishes a link to the qualifying age for the age pension under the </w:t>
      </w:r>
      <w:r w:rsidRPr="00D41D16">
        <w:rPr>
          <w:rFonts w:eastAsiaTheme="minorHAnsi"/>
          <w:i/>
        </w:rPr>
        <w:t>Social Security Act</w:t>
      </w:r>
      <w:r w:rsidRPr="00996200">
        <w:rPr>
          <w:rFonts w:eastAsiaTheme="minorHAnsi"/>
        </w:rPr>
        <w:t xml:space="preserve">. This will mean that the age limit in the </w:t>
      </w:r>
      <w:r w:rsidRPr="00D41D16">
        <w:rPr>
          <w:rFonts w:eastAsiaTheme="minorHAnsi"/>
          <w:i/>
        </w:rPr>
        <w:t>Workers’ Rehabilitation and Compensation Act</w:t>
      </w:r>
      <w:r w:rsidRPr="00996200">
        <w:rPr>
          <w:rFonts w:eastAsiaTheme="minorHAnsi"/>
        </w:rPr>
        <w:t xml:space="preserve"> will increase in stages between 2017 and 2023 in line with the increase in the pension age.</w:t>
      </w:r>
    </w:p>
    <w:p w14:paraId="4FADD9EA" w14:textId="77777777" w:rsidR="00C66972" w:rsidRPr="00996200" w:rsidRDefault="00C66972" w:rsidP="00F839DB">
      <w:pPr>
        <w:pStyle w:val="ListParagraph"/>
        <w:numPr>
          <w:ilvl w:val="0"/>
          <w:numId w:val="520"/>
        </w:numPr>
        <w:rPr>
          <w:rFonts w:eastAsiaTheme="minorHAnsi"/>
        </w:rPr>
      </w:pPr>
      <w:r w:rsidRPr="00996200">
        <w:rPr>
          <w:rFonts w:eastAsiaTheme="minorHAnsi"/>
        </w:rPr>
        <w:t>In addition, the legislation establishes a transitional benefit for workers who sustain a work injury after 1 July 2012 and who at the time of injury are 63 years of age or over. These workers will be entitled to weekly compensation for a maximum period of 104 weeks or until the worker attains 67 years of age, whichever occurs first.</w:t>
      </w:r>
    </w:p>
    <w:p w14:paraId="2685DDDA" w14:textId="77777777" w:rsidR="00FB729B" w:rsidRDefault="00C66972" w:rsidP="00F839DB">
      <w:pPr>
        <w:pStyle w:val="ListParagraph"/>
        <w:numPr>
          <w:ilvl w:val="0"/>
          <w:numId w:val="520"/>
        </w:numPr>
        <w:rPr>
          <w:rFonts w:eastAsiaTheme="minorHAnsi"/>
        </w:rPr>
      </w:pPr>
      <w:r w:rsidRPr="00996200">
        <w:rPr>
          <w:rFonts w:eastAsiaTheme="minorHAnsi"/>
        </w:rPr>
        <w:t>It should be noted that workers who are older than 67 years when they are injured, will be entitled to weekly compensation for up to 26 weeks (no change from the past situation).</w:t>
      </w:r>
    </w:p>
    <w:p w14:paraId="6ABD5A34" w14:textId="3231408B" w:rsidR="00C66972" w:rsidRPr="00FB729B" w:rsidRDefault="00C66972" w:rsidP="00FB729B">
      <w:pPr>
        <w:rPr>
          <w:rFonts w:eastAsiaTheme="minorHAnsi"/>
        </w:rPr>
      </w:pPr>
      <w:r w:rsidRPr="00FB729B">
        <w:rPr>
          <w:rFonts w:eastAsiaTheme="minorHAnsi"/>
        </w:rPr>
        <w:t>Section 49 of the Act was amended to provide certainty of the types of non-cash benefits that can be taken into account in calculating the worker's NWE for the purposes of payment of weekly compensation. These are limited to accommodation</w:t>
      </w:r>
      <w:r w:rsidR="000A06AE" w:rsidRPr="00FB729B">
        <w:rPr>
          <w:rFonts w:eastAsiaTheme="minorHAnsi"/>
        </w:rPr>
        <w:fldChar w:fldCharType="begin"/>
      </w:r>
      <w:r w:rsidR="000A06AE">
        <w:instrText xml:space="preserve"> XE "</w:instrText>
      </w:r>
      <w:r w:rsidR="000A06AE" w:rsidRPr="00FB729B">
        <w:rPr>
          <w:rFonts w:eastAsia="Calibri" w:cs="Arial"/>
          <w:sz w:val="14"/>
          <w:szCs w:val="14"/>
          <w:lang w:eastAsia="en-US"/>
        </w:rPr>
        <w:instrText>accommodation</w:instrText>
      </w:r>
      <w:r w:rsidR="000A06AE">
        <w:instrText xml:space="preserve">" </w:instrText>
      </w:r>
      <w:r w:rsidR="000A06AE" w:rsidRPr="00FB729B">
        <w:rPr>
          <w:rFonts w:eastAsiaTheme="minorHAnsi"/>
        </w:rPr>
        <w:fldChar w:fldCharType="end"/>
      </w:r>
      <w:r w:rsidRPr="00FB729B">
        <w:rPr>
          <w:rFonts w:eastAsiaTheme="minorHAnsi"/>
        </w:rPr>
        <w:t>, meals and electricity.</w:t>
      </w:r>
    </w:p>
    <w:p w14:paraId="7D3A7CCA" w14:textId="77777777" w:rsidR="00C66972" w:rsidRPr="00FB729B" w:rsidRDefault="00C66972" w:rsidP="00FB729B">
      <w:pPr>
        <w:rPr>
          <w:rFonts w:eastAsiaTheme="minorHAnsi"/>
        </w:rPr>
      </w:pPr>
      <w:r w:rsidRPr="00FB729B">
        <w:rPr>
          <w:rFonts w:eastAsiaTheme="minorHAnsi"/>
        </w:rPr>
        <w:t>Section 89 of the Act was amended to bring the interest rate payable on late payments of weekly compensation in line with the interest rate applicable to Supreme Court judgment debts.</w:t>
      </w:r>
    </w:p>
    <w:p w14:paraId="5E476B1D" w14:textId="77777777" w:rsidR="006A50D4" w:rsidRPr="00FB729B" w:rsidRDefault="00C66972" w:rsidP="00FB729B">
      <w:pPr>
        <w:rPr>
          <w:rFonts w:eastAsiaTheme="minorHAnsi"/>
        </w:rPr>
      </w:pPr>
      <w:r w:rsidRPr="00FB729B">
        <w:rPr>
          <w:rFonts w:eastAsiaTheme="minorHAnsi"/>
        </w:rPr>
        <w:t>Section 116 of the Act was amended to provide specific power of the Supreme Court to remit matters back to the Work Health Court in appropriate circumstances.</w:t>
      </w:r>
    </w:p>
    <w:p w14:paraId="6AE9D54D" w14:textId="06149291" w:rsidR="00C66972" w:rsidRPr="00D56ED9" w:rsidRDefault="00C66972" w:rsidP="00205CCE">
      <w:pPr>
        <w:pStyle w:val="Heading4"/>
      </w:pPr>
      <w:r w:rsidRPr="00D56ED9">
        <w:t>2015</w:t>
      </w:r>
    </w:p>
    <w:p w14:paraId="3B5C5ACC" w14:textId="77777777" w:rsidR="00172AC7" w:rsidRDefault="00C66972" w:rsidP="00996200">
      <w:pPr>
        <w:rPr>
          <w:rFonts w:eastAsiaTheme="minorHAnsi"/>
        </w:rPr>
      </w:pPr>
      <w:r w:rsidRPr="00396A2E">
        <w:rPr>
          <w:rFonts w:eastAsiaTheme="minorHAnsi"/>
        </w:rPr>
        <w:t>The Workers' Rehabilitation and Compensation Legislation Amendment Bill 2015, was tabled in</w:t>
      </w:r>
      <w:r w:rsidRPr="00C66972">
        <w:rPr>
          <w:rFonts w:eastAsiaTheme="minorHAnsi"/>
        </w:rPr>
        <w:t xml:space="preserve"> February 2015, passed in March 2015 and came into effect 1 July 2015. The key amendments are:</w:t>
      </w:r>
    </w:p>
    <w:p w14:paraId="16728DC0" w14:textId="40DB6271" w:rsidR="00C66972" w:rsidRPr="00D56ED9" w:rsidRDefault="00C66972" w:rsidP="00205CCE">
      <w:pPr>
        <w:pStyle w:val="Heading4"/>
        <w:rPr>
          <w:rFonts w:eastAsiaTheme="minorHAnsi"/>
        </w:rPr>
      </w:pPr>
      <w:r w:rsidRPr="00D56ED9">
        <w:rPr>
          <w:rFonts w:eastAsiaTheme="minorHAnsi"/>
        </w:rPr>
        <w:t>Legislation name change</w:t>
      </w:r>
    </w:p>
    <w:p w14:paraId="5CC7D9B2" w14:textId="77777777" w:rsidR="00172AC7" w:rsidRDefault="00C66972" w:rsidP="008A5420">
      <w:pPr>
        <w:rPr>
          <w:rFonts w:eastAsiaTheme="minorHAnsi"/>
        </w:rPr>
      </w:pPr>
      <w:r w:rsidRPr="00C66972">
        <w:rPr>
          <w:rFonts w:eastAsiaTheme="minorHAnsi"/>
        </w:rPr>
        <w:t>The name of the legislation has changed to '</w:t>
      </w:r>
      <w:r w:rsidRPr="00396A2E">
        <w:rPr>
          <w:rFonts w:eastAsiaTheme="minorHAnsi"/>
          <w:i/>
        </w:rPr>
        <w:t>Return to Work Act</w:t>
      </w:r>
      <w:r w:rsidRPr="00C66972">
        <w:rPr>
          <w:rFonts w:eastAsiaTheme="minorHAnsi"/>
        </w:rPr>
        <w:t>' and Regulations. The change is to reflect the primary objective of the legislation, which is to assist injured workers to return to work.</w:t>
      </w:r>
    </w:p>
    <w:p w14:paraId="0720417F" w14:textId="61142477" w:rsidR="00C66972" w:rsidRPr="00205CCE" w:rsidRDefault="00C66972" w:rsidP="00205CCE">
      <w:pPr>
        <w:pStyle w:val="Heading4"/>
      </w:pPr>
      <w:r w:rsidRPr="00205CCE">
        <w:t>Presumptive legislation for firefighters</w:t>
      </w:r>
      <w:r w:rsidR="00A41653" w:rsidRPr="00205CCE">
        <w:fldChar w:fldCharType="begin"/>
      </w:r>
      <w:r w:rsidR="00A41653" w:rsidRPr="00205CCE">
        <w:instrText xml:space="preserve"> XE "firefighters" </w:instrText>
      </w:r>
      <w:r w:rsidR="00A41653" w:rsidRPr="00205CCE">
        <w:fldChar w:fldCharType="end"/>
      </w:r>
      <w:r w:rsidRPr="00205CCE">
        <w:t xml:space="preserve"> and volunteers</w:t>
      </w:r>
    </w:p>
    <w:p w14:paraId="015B2F9B" w14:textId="77777777" w:rsidR="00396A2E" w:rsidRDefault="00C66972" w:rsidP="00396A2E">
      <w:pPr>
        <w:rPr>
          <w:rFonts w:eastAsiaTheme="minorHAnsi"/>
        </w:rPr>
      </w:pPr>
      <w:r w:rsidRPr="00C66972">
        <w:rPr>
          <w:rFonts w:eastAsiaTheme="minorHAnsi"/>
        </w:rPr>
        <w:t>Presumptive legislation has been introduced to make it easier for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and volunteer firefighters to claim workers' compensation if they are diagnosed with one of the 12 cancers listed in the legislation schedule. This change recognises that fire fighters are at greater risk of developing certain types of cancers as a result of exposure to hazardous substances while performing firefighting activities.</w:t>
      </w:r>
    </w:p>
    <w:p w14:paraId="10AF4860" w14:textId="223E08CE" w:rsidR="00C66972" w:rsidRPr="00396A2E" w:rsidRDefault="00C66972" w:rsidP="00396A2E">
      <w:pPr>
        <w:rPr>
          <w:rFonts w:eastAsiaTheme="minorHAnsi"/>
          <w:b/>
        </w:rPr>
      </w:pPr>
      <w:r w:rsidRPr="00396A2E">
        <w:rPr>
          <w:rFonts w:eastAsiaTheme="minorHAnsi"/>
          <w:b/>
        </w:rPr>
        <w:t>Definition of worker</w:t>
      </w:r>
    </w:p>
    <w:p w14:paraId="2BE7BFB4" w14:textId="77777777" w:rsidR="00172AC7" w:rsidRDefault="00C66972" w:rsidP="008A5420">
      <w:pPr>
        <w:rPr>
          <w:rFonts w:eastAsiaTheme="minorHAnsi"/>
        </w:rPr>
      </w:pPr>
      <w:r w:rsidRPr="00C66972">
        <w:rPr>
          <w:rFonts w:eastAsiaTheme="minorHAnsi"/>
        </w:rPr>
        <w:t>The definition of worker has been aligned with the PAYG definition used by the Australian Taxation Office (ATO). This change will make it easier for employers and workers to identify who is covered for workers' compensation.</w:t>
      </w:r>
    </w:p>
    <w:p w14:paraId="346285B5" w14:textId="3A56B843" w:rsidR="008A5420" w:rsidRPr="00D56ED9" w:rsidRDefault="00C66972" w:rsidP="00205CCE">
      <w:pPr>
        <w:pStyle w:val="Heading4"/>
        <w:rPr>
          <w:rFonts w:eastAsiaTheme="minorHAnsi"/>
        </w:rPr>
      </w:pPr>
      <w:r w:rsidRPr="00D56ED9">
        <w:rPr>
          <w:rFonts w:eastAsiaTheme="minorHAnsi"/>
        </w:rPr>
        <w:t>Increased period of compensation for older workers</w:t>
      </w:r>
    </w:p>
    <w:p w14:paraId="6FF4B3D9" w14:textId="77777777" w:rsidR="00172AC7" w:rsidRDefault="00C66972" w:rsidP="008A5420">
      <w:pPr>
        <w:rPr>
          <w:rFonts w:eastAsiaTheme="minorHAnsi"/>
          <w:b/>
        </w:rPr>
      </w:pPr>
      <w:r w:rsidRPr="00C66972">
        <w:rPr>
          <w:rFonts w:eastAsiaTheme="minorHAnsi"/>
        </w:rPr>
        <w:t>This change recognised that Territorians are staying in the workforce beyond the pension age. The period of compensation for workers aged 67 years or older has increased from 26 weeks to 104 weeks, providing older workers with a more reasonable level of financial protection should they get injured at work.</w:t>
      </w:r>
    </w:p>
    <w:p w14:paraId="6BBB1B25" w14:textId="74B21C4D" w:rsidR="008A5420" w:rsidRPr="00D56ED9" w:rsidRDefault="00C66972" w:rsidP="00205CCE">
      <w:pPr>
        <w:pStyle w:val="Heading4"/>
        <w:rPr>
          <w:rFonts w:eastAsiaTheme="minorHAnsi"/>
        </w:rPr>
      </w:pPr>
      <w:r w:rsidRPr="00D56ED9">
        <w:rPr>
          <w:rFonts w:eastAsiaTheme="minorHAnsi"/>
        </w:rPr>
        <w:t>Five year cap on benefits for less serious injuries</w:t>
      </w:r>
    </w:p>
    <w:p w14:paraId="4B585BE9" w14:textId="45703C74" w:rsidR="006A50D4" w:rsidRDefault="00C66972" w:rsidP="008A5420">
      <w:pPr>
        <w:rPr>
          <w:rFonts w:eastAsiaTheme="minorHAnsi"/>
          <w:b/>
        </w:rPr>
      </w:pPr>
      <w:r w:rsidRPr="00C66972">
        <w:rPr>
          <w:rFonts w:eastAsiaTheme="minorHAnsi"/>
        </w:rPr>
        <w:lastRenderedPageBreak/>
        <w:t>Under this change, workers who suffer a less serious injury will be limited to five years of compensation, with a maximum of one additional year for medical and other costs. This change does not affect workers who have suffered a more serious injury and have been evaluated as having a permanent impairment of 15</w:t>
      </w:r>
      <w:r w:rsidR="00367415">
        <w:rPr>
          <w:rFonts w:eastAsiaTheme="minorHAnsi"/>
        </w:rPr>
        <w:t xml:space="preserve"> per cent</w:t>
      </w:r>
      <w:r w:rsidRPr="00C66972">
        <w:rPr>
          <w:rFonts w:eastAsiaTheme="minorHAnsi"/>
        </w:rPr>
        <w:t xml:space="preserve"> or higher. These more seriously injured workers depending on work capacity may be entitled to compensation payments until pension age.</w:t>
      </w:r>
    </w:p>
    <w:p w14:paraId="3D428B44" w14:textId="58518B43" w:rsidR="00C66972" w:rsidRPr="00D56ED9" w:rsidRDefault="00C66972" w:rsidP="00205CCE">
      <w:pPr>
        <w:pStyle w:val="Heading4"/>
        <w:rPr>
          <w:rFonts w:eastAsiaTheme="minorHAnsi"/>
        </w:rPr>
      </w:pPr>
      <w:r w:rsidRPr="00D56ED9">
        <w:rPr>
          <w:rFonts w:eastAsiaTheme="minorHAnsi"/>
        </w:rPr>
        <w:t>Increase in death and funeral benefits</w:t>
      </w:r>
    </w:p>
    <w:p w14:paraId="5982FCAB" w14:textId="2CF3157E" w:rsidR="00172AC7" w:rsidRDefault="00C66972" w:rsidP="008A5420">
      <w:pPr>
        <w:rPr>
          <w:rFonts w:eastAsiaTheme="minorHAnsi"/>
        </w:rPr>
      </w:pPr>
      <w:r w:rsidRPr="00C66972">
        <w:rPr>
          <w:rFonts w:eastAsiaTheme="minorHAnsi"/>
        </w:rPr>
        <w:t xml:space="preserve">The death benefit for the dependants of a deceased worker has increased from 260 times to 364 times the average weekly earnings. </w:t>
      </w:r>
    </w:p>
    <w:p w14:paraId="495F5342" w14:textId="19A49208" w:rsidR="00C66972" w:rsidRPr="00D56ED9" w:rsidRDefault="00C66972" w:rsidP="00205CCE">
      <w:pPr>
        <w:pStyle w:val="Heading4"/>
        <w:rPr>
          <w:rFonts w:eastAsiaTheme="minorHAnsi"/>
        </w:rPr>
      </w:pPr>
      <w:r w:rsidRPr="00D56ED9">
        <w:rPr>
          <w:rFonts w:eastAsiaTheme="minorHAnsi"/>
        </w:rPr>
        <w:t>Stroke and heart attack claims</w:t>
      </w:r>
    </w:p>
    <w:p w14:paraId="315579E4" w14:textId="77777777" w:rsidR="00172AC7" w:rsidRDefault="00C66972" w:rsidP="008A5420">
      <w:pPr>
        <w:rPr>
          <w:rFonts w:eastAsiaTheme="minorHAnsi"/>
        </w:rPr>
      </w:pPr>
      <w:r w:rsidRPr="00C66972">
        <w:rPr>
          <w:rFonts w:eastAsiaTheme="minorHAnsi"/>
        </w:rPr>
        <w:t>Compensation will not be provided for stroke or heart attacks that are not caused by work. Compensation will be paid if it is established that a person's employment is the real, proximate or effective cause of the heart attack or stroke.</w:t>
      </w:r>
    </w:p>
    <w:p w14:paraId="3D456475" w14:textId="11241C11" w:rsidR="00C66972" w:rsidRPr="00D56ED9" w:rsidRDefault="00C66972" w:rsidP="00205CCE">
      <w:pPr>
        <w:pStyle w:val="Heading4"/>
        <w:rPr>
          <w:rFonts w:eastAsiaTheme="minorHAnsi"/>
        </w:rPr>
      </w:pPr>
      <w:r w:rsidRPr="00D56ED9">
        <w:rPr>
          <w:rFonts w:eastAsiaTheme="minorHAnsi"/>
        </w:rPr>
        <w:t>Capping the calculation for normal weekly earnings</w:t>
      </w:r>
    </w:p>
    <w:p w14:paraId="0F3BF539" w14:textId="4CDA3C5D" w:rsidR="00172AC7" w:rsidRDefault="00C66972" w:rsidP="008A5420">
      <w:pPr>
        <w:rPr>
          <w:rFonts w:eastAsiaTheme="minorHAnsi"/>
        </w:rPr>
      </w:pPr>
      <w:r w:rsidRPr="00C66972">
        <w:rPr>
          <w:rFonts w:eastAsiaTheme="minorHAnsi"/>
        </w:rPr>
        <w:t>During the first 26 weeks when a worker is unable to work, their compensation payments are paid at their normal weekly earnings. After 26 weeks, compensation payments are paid at 75</w:t>
      </w:r>
      <w:r w:rsidR="00367415">
        <w:rPr>
          <w:rFonts w:eastAsiaTheme="minorHAnsi"/>
        </w:rPr>
        <w:t xml:space="preserve"> per cent</w:t>
      </w:r>
      <w:r w:rsidRPr="00C66972">
        <w:rPr>
          <w:rFonts w:eastAsiaTheme="minorHAnsi"/>
        </w:rPr>
        <w:t xml:space="preserve"> of their normal weekly earnings. There is now a cap on the calculation of a worker's normal weekly earnings after 26 weeks to 250</w:t>
      </w:r>
      <w:r w:rsidR="00367415">
        <w:rPr>
          <w:rFonts w:eastAsiaTheme="minorHAnsi"/>
        </w:rPr>
        <w:t xml:space="preserve"> per cent</w:t>
      </w:r>
      <w:r w:rsidRPr="00C66972">
        <w:rPr>
          <w:rFonts w:eastAsiaTheme="minorHAnsi"/>
        </w:rPr>
        <w:t xml:space="preserve"> of </w:t>
      </w:r>
      <w:r w:rsidR="00367415">
        <w:rPr>
          <w:rFonts w:eastAsiaTheme="minorHAnsi"/>
        </w:rPr>
        <w:t>the average weekly earnings</w:t>
      </w:r>
      <w:r w:rsidRPr="00C66972">
        <w:rPr>
          <w:rFonts w:eastAsiaTheme="minorHAnsi"/>
        </w:rPr>
        <w:t xml:space="preserve">. This provision will only affect very high income earners, and in such cases will provide incentive, for both the worker and the employer to focus on return to work. </w:t>
      </w:r>
    </w:p>
    <w:p w14:paraId="6A8359B0" w14:textId="2771EBC4" w:rsidR="00C66972" w:rsidRPr="00D56ED9" w:rsidRDefault="00C66972" w:rsidP="00396A2E">
      <w:pPr>
        <w:pStyle w:val="Heading4"/>
        <w:ind w:left="0" w:firstLine="0"/>
        <w:rPr>
          <w:rFonts w:eastAsiaTheme="minorHAnsi"/>
        </w:rPr>
      </w:pPr>
      <w:r w:rsidRPr="00D56ED9">
        <w:rPr>
          <w:rFonts w:eastAsiaTheme="minorHAnsi"/>
        </w:rPr>
        <w:t>Clarification on when compensation payments are reduced to 75</w:t>
      </w:r>
      <w:r w:rsidR="00367415" w:rsidRPr="00D56ED9">
        <w:rPr>
          <w:rFonts w:eastAsiaTheme="minorHAnsi"/>
        </w:rPr>
        <w:t xml:space="preserve"> per cent</w:t>
      </w:r>
      <w:r w:rsidRPr="00D56ED9">
        <w:rPr>
          <w:rFonts w:eastAsiaTheme="minorHAnsi"/>
        </w:rPr>
        <w:t xml:space="preserve"> of normal weekly </w:t>
      </w:r>
      <w:r w:rsidR="00396A2E">
        <w:rPr>
          <w:rFonts w:eastAsiaTheme="minorHAnsi"/>
        </w:rPr>
        <w:t>e</w:t>
      </w:r>
      <w:r w:rsidRPr="00D56ED9">
        <w:rPr>
          <w:rFonts w:eastAsiaTheme="minorHAnsi"/>
        </w:rPr>
        <w:t>arnings</w:t>
      </w:r>
    </w:p>
    <w:p w14:paraId="24614BDB" w14:textId="4545598E" w:rsidR="006A50D4" w:rsidRPr="00396A2E" w:rsidRDefault="00C66972" w:rsidP="008A5420">
      <w:pPr>
        <w:rPr>
          <w:rFonts w:eastAsiaTheme="minorHAnsi"/>
        </w:rPr>
      </w:pPr>
      <w:r w:rsidRPr="00C66972">
        <w:rPr>
          <w:rFonts w:eastAsiaTheme="minorHAnsi"/>
        </w:rPr>
        <w:t>The legislation has been amended to clarify that compensation payments to an injured worker are reduced to 75</w:t>
      </w:r>
      <w:r w:rsidR="00367415">
        <w:rPr>
          <w:rFonts w:eastAsiaTheme="minorHAnsi"/>
        </w:rPr>
        <w:t xml:space="preserve"> per cent</w:t>
      </w:r>
      <w:r w:rsidRPr="00C66972">
        <w:rPr>
          <w:rFonts w:eastAsiaTheme="minorHAnsi"/>
        </w:rPr>
        <w:t xml:space="preserve"> of their normal weekly earnings after receiving a total of 26 weeks of </w:t>
      </w:r>
      <w:r w:rsidRPr="00396A2E">
        <w:rPr>
          <w:rFonts w:eastAsiaTheme="minorHAnsi"/>
        </w:rPr>
        <w:t>compensation payments, rather than the period of 26 weeks from the date they were injured.</w:t>
      </w:r>
    </w:p>
    <w:p w14:paraId="21213B26" w14:textId="77777777" w:rsidR="00172AC7" w:rsidRDefault="00C66972" w:rsidP="00A87BB8">
      <w:pPr>
        <w:rPr>
          <w:rFonts w:eastAsiaTheme="minorHAnsi"/>
        </w:rPr>
      </w:pPr>
      <w:r w:rsidRPr="00396A2E">
        <w:rPr>
          <w:rFonts w:eastAsiaTheme="minorHAnsi"/>
        </w:rPr>
        <w:t>The Return to Work Legislation Amendment Bill 2015, was tabled in June 2015, passed in August 2015 and came into effect on 1 October</w:t>
      </w:r>
      <w:r w:rsidRPr="00C66972">
        <w:rPr>
          <w:rFonts w:eastAsiaTheme="minorHAnsi"/>
        </w:rPr>
        <w:t xml:space="preserve"> 2015. The key amendments are:</w:t>
      </w:r>
    </w:p>
    <w:p w14:paraId="0C484785" w14:textId="0A3B5464" w:rsidR="00C66972" w:rsidRPr="00D56ED9" w:rsidRDefault="00C66972" w:rsidP="00205CCE">
      <w:pPr>
        <w:pStyle w:val="Heading4"/>
        <w:rPr>
          <w:rFonts w:eastAsiaTheme="minorHAnsi"/>
        </w:rPr>
      </w:pPr>
      <w:r w:rsidRPr="00D56ED9">
        <w:rPr>
          <w:rFonts w:eastAsiaTheme="minorHAnsi"/>
        </w:rPr>
        <w:t>Payment of reasonable expenses for family counselling</w:t>
      </w:r>
    </w:p>
    <w:p w14:paraId="3FCBD8E7" w14:textId="73729146" w:rsidR="00172AC7" w:rsidRDefault="00C66972" w:rsidP="008A5420">
      <w:pPr>
        <w:rPr>
          <w:rFonts w:eastAsiaTheme="minorHAnsi"/>
        </w:rPr>
      </w:pPr>
      <w:r w:rsidRPr="00C66972">
        <w:rPr>
          <w:rFonts w:eastAsiaTheme="minorHAnsi"/>
        </w:rPr>
        <w:t>This provision relates to broader counselling and support at an early stage, including in relation to a worker’s family to assist</w:t>
      </w:r>
      <w:r w:rsidR="008A5420">
        <w:rPr>
          <w:rFonts w:eastAsiaTheme="minorHAnsi"/>
        </w:rPr>
        <w:t xml:space="preserve"> the process of rehabilitation. </w:t>
      </w:r>
      <w:r w:rsidRPr="00C66972">
        <w:rPr>
          <w:rFonts w:eastAsiaTheme="minorHAnsi"/>
        </w:rPr>
        <w:t>The amount payable will be to a maximum of 1.5 times Average Weekly Earnings.</w:t>
      </w:r>
    </w:p>
    <w:p w14:paraId="0D9C5D17" w14:textId="12E6EAD6" w:rsidR="00C66972" w:rsidRPr="00D56ED9" w:rsidRDefault="00C66972" w:rsidP="00205CCE">
      <w:pPr>
        <w:pStyle w:val="Heading4"/>
        <w:rPr>
          <w:rFonts w:eastAsiaTheme="minorHAnsi"/>
        </w:rPr>
      </w:pPr>
      <w:r w:rsidRPr="00D56ED9">
        <w:rPr>
          <w:rFonts w:eastAsiaTheme="minorHAnsi"/>
        </w:rPr>
        <w:t>Reasonable payment for medical and rehabilitation costs during deferment</w:t>
      </w:r>
    </w:p>
    <w:p w14:paraId="4299EE0A" w14:textId="77777777" w:rsidR="00172AC7" w:rsidRPr="00D56ED9" w:rsidRDefault="00C66972" w:rsidP="008A5420">
      <w:pPr>
        <w:rPr>
          <w:rFonts w:eastAsiaTheme="minorHAnsi"/>
        </w:rPr>
      </w:pPr>
      <w:r w:rsidRPr="00D56ED9">
        <w:rPr>
          <w:rFonts w:eastAsiaTheme="minorHAnsi"/>
        </w:rPr>
        <w:t>Where a decision is made to defer liability of a claim, there is a requirement on the employer to make weekly payments of compensation and, in the case of claims for mental stress, engage in rehabilitation.</w:t>
      </w:r>
    </w:p>
    <w:p w14:paraId="12200681" w14:textId="77777777" w:rsidR="00172AC7" w:rsidRPr="00D56ED9" w:rsidRDefault="00C66972" w:rsidP="008A5420">
      <w:pPr>
        <w:rPr>
          <w:rFonts w:eastAsiaTheme="minorHAnsi"/>
        </w:rPr>
      </w:pPr>
      <w:r w:rsidRPr="00D56ED9">
        <w:rPr>
          <w:rFonts w:eastAsiaTheme="minorHAnsi"/>
        </w:rPr>
        <w:t>Now for all deferred claims, payments for treatment and rehabilitation during the deferral period will ensure that a worker’s recovery is not compromised by lack of treatment or reha</w:t>
      </w:r>
      <w:r w:rsidR="008A5420" w:rsidRPr="00D56ED9">
        <w:rPr>
          <w:rFonts w:eastAsiaTheme="minorHAnsi"/>
        </w:rPr>
        <w:t xml:space="preserve">bilitation during that period. </w:t>
      </w:r>
      <w:r w:rsidRPr="00D56ED9">
        <w:rPr>
          <w:rFonts w:eastAsiaTheme="minorHAnsi"/>
        </w:rPr>
        <w:t>This benefit excludes hospital inpatient and associated surgical costs as well as costs of interstate evacuations.</w:t>
      </w:r>
    </w:p>
    <w:p w14:paraId="23EF52AA" w14:textId="0D3C1162" w:rsidR="00C66972" w:rsidRPr="00D56ED9" w:rsidRDefault="00C66972" w:rsidP="00205CCE">
      <w:pPr>
        <w:pStyle w:val="Heading4"/>
        <w:rPr>
          <w:rFonts w:eastAsiaTheme="minorHAnsi"/>
        </w:rPr>
      </w:pPr>
      <w:r w:rsidRPr="00D56ED9">
        <w:rPr>
          <w:rFonts w:eastAsiaTheme="minorHAnsi"/>
        </w:rPr>
        <w:t>Mental stress claims</w:t>
      </w:r>
    </w:p>
    <w:p w14:paraId="6F442EB1" w14:textId="77777777" w:rsidR="006A50D4" w:rsidRDefault="00C66972" w:rsidP="008A5420">
      <w:pPr>
        <w:rPr>
          <w:rFonts w:eastAsiaTheme="minorHAnsi"/>
        </w:rPr>
      </w:pPr>
      <w:r w:rsidRPr="00C66972">
        <w:rPr>
          <w:rFonts w:eastAsiaTheme="minorHAnsi"/>
        </w:rPr>
        <w:t>The former defence to a mental injury claim was based on reasonable administrative action and reasonable disciplinary action.</w:t>
      </w:r>
      <w:r w:rsidR="008A5420">
        <w:rPr>
          <w:rFonts w:eastAsiaTheme="minorHAnsi"/>
        </w:rPr>
        <w:t xml:space="preserve"> </w:t>
      </w:r>
    </w:p>
    <w:p w14:paraId="0FD0212B" w14:textId="77777777" w:rsidR="00172AC7" w:rsidRDefault="00C66972" w:rsidP="008A5420">
      <w:pPr>
        <w:rPr>
          <w:rFonts w:eastAsiaTheme="minorHAnsi"/>
        </w:rPr>
      </w:pPr>
      <w:r w:rsidRPr="00C66972">
        <w:rPr>
          <w:rFonts w:eastAsiaTheme="minorHAnsi"/>
        </w:rPr>
        <w:t>Reasonable administrative action is now replaced with management action. Management action has been defined in the legislation and will include any communication in connection with identified actions.</w:t>
      </w:r>
    </w:p>
    <w:p w14:paraId="32140729" w14:textId="71A631C4" w:rsidR="00C66972" w:rsidRPr="00D56ED9" w:rsidRDefault="00C66972" w:rsidP="00205CCE">
      <w:pPr>
        <w:pStyle w:val="Heading4"/>
        <w:rPr>
          <w:rFonts w:eastAsiaTheme="minorHAnsi"/>
        </w:rPr>
      </w:pPr>
      <w:r w:rsidRPr="00D56ED9">
        <w:rPr>
          <w:rFonts w:eastAsiaTheme="minorHAnsi"/>
        </w:rPr>
        <w:t>Formal notice to be provided to the worker of any pending step down or cancellation</w:t>
      </w:r>
    </w:p>
    <w:p w14:paraId="7D6906CC" w14:textId="77777777" w:rsidR="00172AC7" w:rsidRPr="00D56ED9" w:rsidRDefault="00C66972" w:rsidP="008A5420">
      <w:pPr>
        <w:rPr>
          <w:rFonts w:eastAsiaTheme="minorHAnsi"/>
        </w:rPr>
      </w:pPr>
      <w:r w:rsidRPr="00D56ED9">
        <w:rPr>
          <w:rFonts w:eastAsiaTheme="minorHAnsi"/>
        </w:rPr>
        <w:t>Formal notice is required to be provided to the worker of the pending step down (or cancellation), and the step down not to take effect until 14 days after the worker has been notified.</w:t>
      </w:r>
      <w:r w:rsidR="00A87BB8" w:rsidRPr="00D56ED9">
        <w:rPr>
          <w:rFonts w:eastAsiaTheme="minorHAnsi"/>
        </w:rPr>
        <w:t xml:space="preserve"> </w:t>
      </w:r>
      <w:r w:rsidRPr="00D56ED9">
        <w:rPr>
          <w:rFonts w:eastAsiaTheme="minorHAnsi"/>
        </w:rPr>
        <w:t>This applies to all step downs 26 weeks, 260 weeks and 104 weeks (age).</w:t>
      </w:r>
    </w:p>
    <w:p w14:paraId="200AC935" w14:textId="3E9536ED" w:rsidR="00C66972" w:rsidRPr="00D56ED9" w:rsidRDefault="00C66972" w:rsidP="00205CCE">
      <w:pPr>
        <w:pStyle w:val="Heading4"/>
        <w:rPr>
          <w:rFonts w:eastAsiaTheme="minorHAnsi"/>
        </w:rPr>
      </w:pPr>
      <w:r w:rsidRPr="00D56ED9">
        <w:rPr>
          <w:rFonts w:eastAsiaTheme="minorHAnsi"/>
        </w:rPr>
        <w:t>Payment for legal advice at mediation</w:t>
      </w:r>
    </w:p>
    <w:p w14:paraId="6D348688" w14:textId="1ADF3175" w:rsidR="00172AC7" w:rsidRPr="00D56ED9" w:rsidRDefault="00C66972" w:rsidP="008A5420">
      <w:pPr>
        <w:rPr>
          <w:rFonts w:eastAsiaTheme="minorHAnsi"/>
        </w:rPr>
      </w:pPr>
      <w:r w:rsidRPr="00D56ED9">
        <w:rPr>
          <w:rFonts w:eastAsiaTheme="minorHAnsi"/>
        </w:rPr>
        <w:lastRenderedPageBreak/>
        <w:t>A mediator may recommend workers receive paid legal advice of and incidental to the mediation fo</w:t>
      </w:r>
      <w:r w:rsidR="00396A2E">
        <w:rPr>
          <w:rFonts w:eastAsiaTheme="minorHAnsi"/>
        </w:rPr>
        <w:t>r an amount up to one times AWE</w:t>
      </w:r>
      <w:r w:rsidRPr="00D56ED9">
        <w:rPr>
          <w:rFonts w:eastAsiaTheme="minorHAnsi"/>
        </w:rPr>
        <w:t>. The entitleme</w:t>
      </w:r>
      <w:r w:rsidR="00367415" w:rsidRPr="00D56ED9">
        <w:rPr>
          <w:rFonts w:eastAsiaTheme="minorHAnsi"/>
        </w:rPr>
        <w:t>nt is subject to approval by NT </w:t>
      </w:r>
      <w:r w:rsidRPr="00D56ED9">
        <w:rPr>
          <w:rFonts w:eastAsiaTheme="minorHAnsi"/>
        </w:rPr>
        <w:t>WorkSafe.</w:t>
      </w:r>
    </w:p>
    <w:p w14:paraId="1FFA9D72" w14:textId="6CCEEA15" w:rsidR="006A50D4" w:rsidRPr="00D56ED9" w:rsidRDefault="00C66972" w:rsidP="008A5420">
      <w:pPr>
        <w:rPr>
          <w:rFonts w:eastAsiaTheme="minorHAnsi"/>
        </w:rPr>
      </w:pPr>
      <w:r w:rsidRPr="00D56ED9">
        <w:rPr>
          <w:rFonts w:eastAsiaTheme="minorHAnsi"/>
        </w:rPr>
        <w:t>Access to a lawyer will not be provided as a right, however the mediator can recommend to the Authority that legal advice be paid for by the employer where the mediator believes it</w:t>
      </w:r>
      <w:r w:rsidR="00396A2E">
        <w:rPr>
          <w:rFonts w:eastAsiaTheme="minorHAnsi"/>
        </w:rPr>
        <w:t xml:space="preserve"> will facilitate the mediation. </w:t>
      </w:r>
      <w:r w:rsidRPr="00D56ED9">
        <w:rPr>
          <w:rFonts w:eastAsiaTheme="minorHAnsi"/>
        </w:rPr>
        <w:t>Examples would be a more complex matter or where a worker is mentally impaired.</w:t>
      </w:r>
    </w:p>
    <w:p w14:paraId="7BA05D53" w14:textId="24605DC9" w:rsidR="00C66972" w:rsidRPr="00D56ED9" w:rsidRDefault="00C66972" w:rsidP="00205CCE">
      <w:pPr>
        <w:pStyle w:val="Heading4"/>
        <w:rPr>
          <w:rFonts w:eastAsiaTheme="minorHAnsi"/>
        </w:rPr>
      </w:pPr>
      <w:r w:rsidRPr="00D56ED9">
        <w:rPr>
          <w:rFonts w:eastAsiaTheme="minorHAnsi"/>
        </w:rPr>
        <w:t>Negotiated settlements</w:t>
      </w:r>
    </w:p>
    <w:p w14:paraId="284D27BF" w14:textId="77777777" w:rsidR="006A50D4" w:rsidRDefault="00C66972" w:rsidP="008A5420">
      <w:pPr>
        <w:rPr>
          <w:rFonts w:eastAsiaTheme="minorHAnsi"/>
        </w:rPr>
      </w:pPr>
      <w:r w:rsidRPr="00C66972">
        <w:rPr>
          <w:rFonts w:eastAsiaTheme="minorHAnsi"/>
        </w:rPr>
        <w:t>There is now provision for the finalisation of the claim by the payment of a lump sum through negotiated settlement.</w:t>
      </w:r>
    </w:p>
    <w:p w14:paraId="543619D8" w14:textId="77777777" w:rsidR="006A50D4" w:rsidRDefault="00C66972" w:rsidP="008A5420">
      <w:pPr>
        <w:rPr>
          <w:rFonts w:eastAsiaTheme="minorHAnsi"/>
        </w:rPr>
      </w:pPr>
      <w:r w:rsidRPr="00C66972">
        <w:rPr>
          <w:rFonts w:eastAsiaTheme="minorHAnsi"/>
        </w:rPr>
        <w:t>The legislation requires a qualifying period of 104 weeks before a negotiated settlement. This will minimise the possibility of negotiated settlements preventing effective rehabilitation.</w:t>
      </w:r>
    </w:p>
    <w:p w14:paraId="6A063BDD" w14:textId="77777777" w:rsidR="006A50D4" w:rsidRDefault="00C66972" w:rsidP="008A5420">
      <w:pPr>
        <w:rPr>
          <w:rFonts w:eastAsiaTheme="minorHAnsi"/>
        </w:rPr>
      </w:pPr>
      <w:r w:rsidRPr="00C66972">
        <w:rPr>
          <w:rFonts w:eastAsiaTheme="minorHAnsi"/>
        </w:rPr>
        <w:t>Any settlement will involve mandatory independent legal advice funded by the employer (insurer).</w:t>
      </w:r>
    </w:p>
    <w:p w14:paraId="2FD650F2" w14:textId="77777777" w:rsidR="006A50D4" w:rsidRDefault="00C66972" w:rsidP="008A5420">
      <w:pPr>
        <w:rPr>
          <w:rFonts w:eastAsiaTheme="minorHAnsi"/>
        </w:rPr>
      </w:pPr>
      <w:r w:rsidRPr="00C66972">
        <w:rPr>
          <w:rFonts w:eastAsiaTheme="minorHAnsi"/>
        </w:rPr>
        <w:t>Financial advice funded by the employer (insurer) is to be provided on the request of the worker.</w:t>
      </w:r>
    </w:p>
    <w:p w14:paraId="65C7F42E" w14:textId="77777777" w:rsidR="00172AC7" w:rsidRDefault="00C66972" w:rsidP="008A5420">
      <w:pPr>
        <w:rPr>
          <w:rFonts w:eastAsiaTheme="minorHAnsi"/>
        </w:rPr>
      </w:pPr>
      <w:r w:rsidRPr="00C66972">
        <w:rPr>
          <w:rFonts w:eastAsiaTheme="minorHAnsi"/>
        </w:rPr>
        <w:t>It will not apply to claimants that are catastrophically injured and covered by the NIIS.</w:t>
      </w:r>
    </w:p>
    <w:p w14:paraId="176F5FD9" w14:textId="77777777" w:rsidR="002A62A3" w:rsidRDefault="002A62A3">
      <w:pPr>
        <w:spacing w:after="200" w:line="276" w:lineRule="auto"/>
        <w:rPr>
          <w:rFonts w:ascii="Arial Bold" w:eastAsiaTheme="minorHAnsi" w:hAnsi="Arial Bold" w:cstheme="majorBidi"/>
          <w:b/>
          <w:spacing w:val="-3"/>
          <w:szCs w:val="22"/>
          <w:lang w:eastAsia="en-US"/>
        </w:rPr>
      </w:pPr>
      <w:r>
        <w:rPr>
          <w:rFonts w:eastAsiaTheme="minorHAnsi"/>
        </w:rPr>
        <w:br w:type="page"/>
      </w:r>
    </w:p>
    <w:p w14:paraId="379A1911" w14:textId="234B3650" w:rsidR="00C66972" w:rsidRPr="00D56ED9" w:rsidRDefault="00C66972" w:rsidP="00205CCE">
      <w:pPr>
        <w:pStyle w:val="Heading4"/>
        <w:rPr>
          <w:rFonts w:eastAsiaTheme="minorHAnsi"/>
        </w:rPr>
      </w:pPr>
      <w:r w:rsidRPr="00D56ED9">
        <w:rPr>
          <w:rFonts w:eastAsiaTheme="minorHAnsi"/>
        </w:rPr>
        <w:lastRenderedPageBreak/>
        <w:t>Settlement of disputed claims</w:t>
      </w:r>
    </w:p>
    <w:p w14:paraId="2B65C996" w14:textId="77777777" w:rsidR="006A50D4" w:rsidRPr="00D56ED9" w:rsidRDefault="00C66972" w:rsidP="008A5420">
      <w:pPr>
        <w:rPr>
          <w:rFonts w:eastAsiaTheme="minorHAnsi"/>
        </w:rPr>
      </w:pPr>
      <w:r w:rsidRPr="00D56ED9">
        <w:rPr>
          <w:rFonts w:eastAsiaTheme="minorHAnsi"/>
        </w:rPr>
        <w:t>There is provision to allow for the settlement of disputed claims for compensation (whether disputed on a question of fact or law or both) and settlement of contested applications to the Work Health Court.</w:t>
      </w:r>
    </w:p>
    <w:p w14:paraId="7565243A" w14:textId="77777777" w:rsidR="00172AC7" w:rsidRPr="00D56ED9" w:rsidRDefault="00C66972" w:rsidP="008A5420">
      <w:pPr>
        <w:rPr>
          <w:rFonts w:eastAsiaTheme="minorHAnsi"/>
        </w:rPr>
      </w:pPr>
      <w:r w:rsidRPr="00D56ED9">
        <w:rPr>
          <w:rFonts w:eastAsiaTheme="minorHAnsi"/>
        </w:rPr>
        <w:t>As with negotiated settlements, any settlement will involve mandatory independent legal advice funded by the employer (insurer) and financial advice at the request of the worker also to be funded by the employer (insurer).</w:t>
      </w:r>
      <w:r w:rsidR="00A87BB8" w:rsidRPr="00D56ED9">
        <w:rPr>
          <w:rFonts w:eastAsiaTheme="minorHAnsi"/>
        </w:rPr>
        <w:t xml:space="preserve"> </w:t>
      </w:r>
      <w:r w:rsidRPr="00D56ED9">
        <w:rPr>
          <w:rFonts w:eastAsiaTheme="minorHAnsi"/>
        </w:rPr>
        <w:t>Any settlement within the first 104 weeks from injury will be subject to a six month cooling off period.</w:t>
      </w:r>
      <w:r w:rsidR="00A87BB8" w:rsidRPr="00D56ED9">
        <w:rPr>
          <w:rFonts w:eastAsiaTheme="minorHAnsi"/>
        </w:rPr>
        <w:t xml:space="preserve"> </w:t>
      </w:r>
      <w:r w:rsidRPr="00D56ED9">
        <w:rPr>
          <w:rFonts w:eastAsiaTheme="minorHAnsi"/>
        </w:rPr>
        <w:t>In other words, the settlement is not binding until six months has elapsed.</w:t>
      </w:r>
    </w:p>
    <w:p w14:paraId="49B85839" w14:textId="42EF6792" w:rsidR="00C66972" w:rsidRPr="00D56ED9" w:rsidRDefault="00C66972" w:rsidP="00205CCE">
      <w:pPr>
        <w:pStyle w:val="Heading4"/>
        <w:rPr>
          <w:rFonts w:eastAsiaTheme="minorHAnsi"/>
        </w:rPr>
      </w:pPr>
      <w:r w:rsidRPr="00D56ED9">
        <w:rPr>
          <w:rFonts w:eastAsiaTheme="minorHAnsi"/>
        </w:rPr>
        <w:t>Exclusion of journey claims</w:t>
      </w:r>
    </w:p>
    <w:p w14:paraId="5D084DF0" w14:textId="77777777" w:rsidR="00172AC7" w:rsidRPr="00D56ED9" w:rsidRDefault="00C66972" w:rsidP="001B57A4">
      <w:pPr>
        <w:rPr>
          <w:rFonts w:eastAsiaTheme="minorHAnsi"/>
        </w:rPr>
      </w:pPr>
      <w:r w:rsidRPr="00C66972">
        <w:rPr>
          <w:rFonts w:eastAsiaTheme="minorHAnsi"/>
        </w:rPr>
        <w:t>This provision excludes claims for all journeys to and from work</w:t>
      </w:r>
      <w:r w:rsidR="009D7327">
        <w:fldChar w:fldCharType="begin"/>
      </w:r>
      <w:r w:rsidR="009D7327">
        <w:instrText xml:space="preserve"> XE "</w:instrText>
      </w:r>
      <w:r w:rsidR="009D7327" w:rsidRPr="00E8318C">
        <w:instrText>journeys to and from work</w:instrText>
      </w:r>
      <w:r w:rsidR="009D7327">
        <w:instrText xml:space="preserve">" </w:instrText>
      </w:r>
      <w:r w:rsidR="009D7327">
        <w:fldChar w:fldCharType="end"/>
      </w:r>
      <w:r w:rsidRPr="00C66972">
        <w:rPr>
          <w:rFonts w:eastAsiaTheme="minorHAnsi"/>
        </w:rPr>
        <w:t xml:space="preserve">. Journeys that are considered to be in the course of employment are not excluded. Examples are where the journey is to or from a workplace other than the worker’s normal workplace at the request of the employer or where the worker is required to work outside their normal hours of work and is paid for the time taken for the </w:t>
      </w:r>
      <w:r w:rsidRPr="00D56ED9">
        <w:rPr>
          <w:rFonts w:eastAsiaTheme="minorHAnsi"/>
        </w:rPr>
        <w:t>journey to or from work.</w:t>
      </w:r>
    </w:p>
    <w:p w14:paraId="42546E72" w14:textId="442BBD41" w:rsidR="00C66972" w:rsidRPr="00D56ED9" w:rsidRDefault="00C66972" w:rsidP="00205CCE">
      <w:pPr>
        <w:pStyle w:val="Heading4"/>
        <w:rPr>
          <w:rFonts w:eastAsiaTheme="minorHAnsi"/>
        </w:rPr>
      </w:pPr>
      <w:r w:rsidRPr="00D56ED9">
        <w:rPr>
          <w:rFonts w:eastAsiaTheme="minorHAnsi"/>
        </w:rPr>
        <w:t>Enforcement of compulsory insurance provisions by ability to stop work</w:t>
      </w:r>
    </w:p>
    <w:p w14:paraId="5CF34045" w14:textId="77777777" w:rsidR="00172AC7" w:rsidRPr="00D56ED9" w:rsidRDefault="00C66972" w:rsidP="008A5420">
      <w:pPr>
        <w:rPr>
          <w:rFonts w:eastAsiaTheme="minorHAnsi"/>
        </w:rPr>
      </w:pPr>
      <w:r w:rsidRPr="00D56ED9">
        <w:rPr>
          <w:rFonts w:eastAsiaTheme="minorHAnsi"/>
        </w:rPr>
        <w:t>If an employer does not hold the necessary workers' compensation insurance policy there is the power to order the employer to stop work until such time as the situation is rectified.</w:t>
      </w:r>
    </w:p>
    <w:p w14:paraId="5FB1DA26" w14:textId="22A2DC89" w:rsidR="00C66972" w:rsidRPr="00D56ED9" w:rsidRDefault="00C66972" w:rsidP="00205CCE">
      <w:pPr>
        <w:pStyle w:val="Heading4"/>
        <w:rPr>
          <w:rFonts w:eastAsiaTheme="minorHAnsi"/>
        </w:rPr>
      </w:pPr>
      <w:r w:rsidRPr="00D56ED9">
        <w:rPr>
          <w:rFonts w:eastAsiaTheme="minorHAnsi"/>
        </w:rPr>
        <w:t>Involvement of support persons at mediation</w:t>
      </w:r>
    </w:p>
    <w:p w14:paraId="23FC9373" w14:textId="77777777" w:rsidR="006A50D4" w:rsidRDefault="00C66972" w:rsidP="008A5420">
      <w:pPr>
        <w:rPr>
          <w:rFonts w:eastAsiaTheme="minorHAnsi"/>
        </w:rPr>
      </w:pPr>
      <w:r w:rsidRPr="00C66972">
        <w:rPr>
          <w:rFonts w:eastAsiaTheme="minorHAnsi"/>
        </w:rPr>
        <w:t>Mediators will now be able to consent to a person, who is not a legal representative, to represent a claimant during the mediation.</w:t>
      </w:r>
    </w:p>
    <w:p w14:paraId="379707D2" w14:textId="77777777" w:rsidR="00172AC7" w:rsidRDefault="00C66972" w:rsidP="008A5420">
      <w:pPr>
        <w:rPr>
          <w:rFonts w:eastAsiaTheme="minorHAnsi"/>
        </w:rPr>
      </w:pPr>
      <w:r w:rsidRPr="00C66972">
        <w:rPr>
          <w:rFonts w:eastAsiaTheme="minorHAnsi"/>
        </w:rPr>
        <w:t>If the mediator considers that a claimant is not best equipped to fully present their own case and that the mediation will be best facilitated if assistance is provided by an advocate, then the mediator may consent to the claimant being represented by an advocate.</w:t>
      </w:r>
    </w:p>
    <w:p w14:paraId="6EF15DF6" w14:textId="58F723B5" w:rsidR="00C66972" w:rsidRPr="00D56ED9" w:rsidRDefault="00C66972" w:rsidP="00205CCE">
      <w:pPr>
        <w:pStyle w:val="Heading4"/>
        <w:rPr>
          <w:rFonts w:eastAsiaTheme="minorHAnsi"/>
        </w:rPr>
      </w:pPr>
      <w:r w:rsidRPr="00D56ED9">
        <w:rPr>
          <w:rFonts w:eastAsiaTheme="minorHAnsi"/>
        </w:rPr>
        <w:t>Improving return to work outcomes</w:t>
      </w:r>
    </w:p>
    <w:p w14:paraId="3CAEA8E5" w14:textId="77777777" w:rsidR="00C66972" w:rsidRPr="00D56ED9" w:rsidRDefault="00C66972" w:rsidP="008A5420">
      <w:pPr>
        <w:rPr>
          <w:rFonts w:eastAsiaTheme="minorHAnsi"/>
        </w:rPr>
      </w:pPr>
      <w:r w:rsidRPr="00D56ED9">
        <w:rPr>
          <w:rFonts w:eastAsiaTheme="minorHAnsi"/>
        </w:rPr>
        <w:t>To assist in improving return to work outcomes the legislation includes the following:</w:t>
      </w:r>
    </w:p>
    <w:p w14:paraId="13921CDB" w14:textId="77777777" w:rsidR="00C66972" w:rsidRPr="00D56ED9" w:rsidRDefault="00C66972" w:rsidP="00F839DB">
      <w:pPr>
        <w:pStyle w:val="ListParagraph"/>
        <w:numPr>
          <w:ilvl w:val="0"/>
          <w:numId w:val="524"/>
        </w:numPr>
        <w:rPr>
          <w:rFonts w:eastAsiaTheme="minorHAnsi"/>
        </w:rPr>
      </w:pPr>
      <w:r w:rsidRPr="00D56ED9">
        <w:rPr>
          <w:rFonts w:eastAsiaTheme="minorHAnsi"/>
        </w:rPr>
        <w:t>The employer must produce a return to work plan, developed and agreed between the employer and worker for any injury that involves incapacity of more than 28 days.</w:t>
      </w:r>
    </w:p>
    <w:p w14:paraId="6769B1DB" w14:textId="77777777" w:rsidR="00C66972" w:rsidRPr="00D56ED9" w:rsidRDefault="00C66972" w:rsidP="00F839DB">
      <w:pPr>
        <w:pStyle w:val="ListParagraph"/>
        <w:numPr>
          <w:ilvl w:val="0"/>
          <w:numId w:val="524"/>
        </w:numPr>
        <w:rPr>
          <w:rFonts w:eastAsiaTheme="minorHAnsi"/>
        </w:rPr>
      </w:pPr>
      <w:r w:rsidRPr="00D56ED9">
        <w:rPr>
          <w:rFonts w:eastAsiaTheme="minorHAnsi"/>
        </w:rPr>
        <w:t>An employer will be unable to dismiss a worker for a period of six months following the date of injury unless during that period the worker ceases to be totally or partially incapacitated because of the injury.</w:t>
      </w:r>
    </w:p>
    <w:p w14:paraId="6CDD8F3F" w14:textId="77777777" w:rsidR="00172AC7" w:rsidRPr="00D56ED9" w:rsidRDefault="00C66972" w:rsidP="00F839DB">
      <w:pPr>
        <w:pStyle w:val="ListParagraph"/>
        <w:numPr>
          <w:ilvl w:val="0"/>
          <w:numId w:val="524"/>
        </w:numPr>
        <w:rPr>
          <w:rFonts w:eastAsiaTheme="minorHAnsi"/>
        </w:rPr>
      </w:pPr>
      <w:r w:rsidRPr="00D56ED9">
        <w:rPr>
          <w:rFonts w:eastAsiaTheme="minorHAnsi"/>
        </w:rPr>
        <w:t>This is not to apply if the employer proves the worker was dismissed on the grounds of serious and wilful misconduct.</w:t>
      </w:r>
    </w:p>
    <w:p w14:paraId="00F11855" w14:textId="77777777" w:rsidR="00EF4831" w:rsidRDefault="00EF4831" w:rsidP="00205CCE">
      <w:pPr>
        <w:pStyle w:val="Heading4"/>
        <w:rPr>
          <w:rFonts w:eastAsiaTheme="minorHAnsi"/>
        </w:rPr>
      </w:pPr>
      <w:r>
        <w:rPr>
          <w:rFonts w:eastAsiaTheme="minorHAnsi"/>
        </w:rPr>
        <w:t>2016</w:t>
      </w:r>
    </w:p>
    <w:p w14:paraId="0F41BEBE" w14:textId="70A5392E" w:rsidR="00C66972" w:rsidRPr="001F2D00" w:rsidRDefault="00EF4831" w:rsidP="00205CCE">
      <w:pPr>
        <w:pStyle w:val="Heading4"/>
        <w:rPr>
          <w:rFonts w:eastAsiaTheme="minorHAnsi"/>
        </w:rPr>
      </w:pPr>
      <w:r>
        <w:rPr>
          <w:rFonts w:eastAsiaTheme="minorHAnsi"/>
        </w:rPr>
        <w:t>Deemed Diseases</w:t>
      </w:r>
      <w:r w:rsidR="00A95C3B" w:rsidRPr="001F2D00">
        <w:rPr>
          <w:rFonts w:eastAsiaTheme="minorHAnsi"/>
        </w:rPr>
        <w:fldChar w:fldCharType="begin"/>
      </w:r>
      <w:r w:rsidR="00A95C3B" w:rsidRPr="001F2D00">
        <w:instrText xml:space="preserve"> XE "Northern Territory:recent developments" </w:instrText>
      </w:r>
      <w:r w:rsidR="00A95C3B" w:rsidRPr="001F2D00">
        <w:rPr>
          <w:rFonts w:eastAsiaTheme="minorHAnsi"/>
        </w:rPr>
        <w:fldChar w:fldCharType="end"/>
      </w:r>
    </w:p>
    <w:p w14:paraId="6D6F5C57" w14:textId="77777777" w:rsidR="006A50D4" w:rsidRDefault="00C66972" w:rsidP="008A5420">
      <w:pPr>
        <w:rPr>
          <w:rFonts w:eastAsiaTheme="minorHAnsi"/>
        </w:rPr>
      </w:pPr>
      <w:r w:rsidRPr="00C66972">
        <w:rPr>
          <w:rFonts w:eastAsiaTheme="minorHAnsi"/>
        </w:rPr>
        <w:t>The Northern Territory has adopted the recommended list from the report “Deemed Diseases in Australia” as commissioned by Safe Work Australia, effective 1 July 2016 – see Return to Work Regulations, Schedule 2.</w:t>
      </w:r>
    </w:p>
    <w:p w14:paraId="29686989" w14:textId="54E1C6B5" w:rsidR="00EF4831" w:rsidRDefault="00EF4831" w:rsidP="00EF4831">
      <w:pPr>
        <w:pStyle w:val="Heading4"/>
        <w:rPr>
          <w:rFonts w:eastAsiaTheme="minorHAnsi"/>
        </w:rPr>
      </w:pPr>
      <w:r>
        <w:rPr>
          <w:rFonts w:eastAsiaTheme="minorHAnsi"/>
        </w:rPr>
        <w:t>2017</w:t>
      </w:r>
    </w:p>
    <w:p w14:paraId="25A57B5F" w14:textId="0AFE4F76" w:rsidR="00EF4831" w:rsidRPr="001F2D00" w:rsidRDefault="00EF4831" w:rsidP="00EF4831">
      <w:pPr>
        <w:pStyle w:val="Heading4"/>
        <w:rPr>
          <w:rFonts w:eastAsiaTheme="minorHAnsi"/>
        </w:rPr>
      </w:pPr>
      <w:r>
        <w:rPr>
          <w:rFonts w:eastAsiaTheme="minorHAnsi"/>
        </w:rPr>
        <w:t>Permanent Impairment</w:t>
      </w:r>
      <w:r w:rsidRPr="001F2D00">
        <w:rPr>
          <w:rFonts w:eastAsiaTheme="minorHAnsi"/>
        </w:rPr>
        <w:fldChar w:fldCharType="begin"/>
      </w:r>
      <w:r w:rsidRPr="001F2D00">
        <w:instrText xml:space="preserve"> XE "Northern Territory:recent developments" </w:instrText>
      </w:r>
      <w:r w:rsidRPr="001F2D00">
        <w:rPr>
          <w:rFonts w:eastAsiaTheme="minorHAnsi"/>
        </w:rPr>
        <w:fldChar w:fldCharType="end"/>
      </w:r>
    </w:p>
    <w:p w14:paraId="587AB3BE" w14:textId="3D8D4A06" w:rsidR="00EF4831" w:rsidRDefault="00EF4831" w:rsidP="00EF4831">
      <w:pPr>
        <w:rPr>
          <w:rFonts w:eastAsiaTheme="minorHAnsi"/>
        </w:rPr>
      </w:pPr>
      <w:r>
        <w:rPr>
          <w:rFonts w:eastAsiaTheme="minorHAnsi"/>
        </w:rPr>
        <w:t xml:space="preserve">On 1 September 2017, the Northern Territory implemented the national template guide for the evaluation of permanent impairment.  The </w:t>
      </w:r>
      <w:r w:rsidRPr="00C63E9D">
        <w:rPr>
          <w:rFonts w:eastAsiaTheme="minorHAnsi"/>
          <w:i/>
        </w:rPr>
        <w:t>NT WorkSafe Guidelines for the Evaluation of Permanent Impairment</w:t>
      </w:r>
      <w:r>
        <w:rPr>
          <w:rFonts w:eastAsiaTheme="minorHAnsi"/>
        </w:rPr>
        <w:t xml:space="preserve"> calls up AMA 5</w:t>
      </w:r>
      <w:r w:rsidRPr="000A6C9E">
        <w:rPr>
          <w:rFonts w:eastAsiaTheme="minorHAnsi"/>
          <w:vertAlign w:val="superscript"/>
        </w:rPr>
        <w:t>th</w:t>
      </w:r>
      <w:r>
        <w:rPr>
          <w:rFonts w:eastAsiaTheme="minorHAnsi"/>
        </w:rPr>
        <w:t xml:space="preserve"> Edition</w:t>
      </w:r>
      <w:r w:rsidRPr="00C66972">
        <w:rPr>
          <w:rFonts w:eastAsiaTheme="minorHAnsi"/>
        </w:rPr>
        <w:t>.</w:t>
      </w:r>
    </w:p>
    <w:p w14:paraId="156A9303" w14:textId="77777777" w:rsidR="00EF4831" w:rsidRDefault="00EF4831" w:rsidP="008A5420">
      <w:pPr>
        <w:rPr>
          <w:rFonts w:eastAsiaTheme="minorHAnsi"/>
        </w:rPr>
      </w:pPr>
    </w:p>
    <w:p w14:paraId="65DAD601" w14:textId="77777777" w:rsidR="002A62A3" w:rsidRDefault="002A62A3">
      <w:pPr>
        <w:spacing w:after="200" w:line="276" w:lineRule="auto"/>
        <w:rPr>
          <w:rFonts w:ascii="Arial Bold" w:eastAsiaTheme="majorEastAsia" w:hAnsi="Arial Bold" w:cs="Arial"/>
          <w:b/>
          <w:bCs/>
          <w:color w:val="C00000"/>
          <w:kern w:val="28"/>
          <w:sz w:val="36"/>
          <w:szCs w:val="32"/>
          <w:lang w:eastAsia="en-US"/>
        </w:rPr>
      </w:pPr>
      <w:bookmarkStart w:id="288" w:name="_Toc483227222"/>
      <w:bookmarkStart w:id="289" w:name="_Toc504654741"/>
      <w:bookmarkStart w:id="290" w:name="ACT"/>
      <w:bookmarkEnd w:id="286"/>
      <w:r>
        <w:br w:type="page"/>
      </w:r>
    </w:p>
    <w:p w14:paraId="5A61B71A" w14:textId="4BB7D107" w:rsidR="00C66972" w:rsidRPr="00205CCE" w:rsidRDefault="00C66972" w:rsidP="00205CCE">
      <w:pPr>
        <w:pStyle w:val="Title"/>
      </w:pPr>
      <w:r w:rsidRPr="00205CCE">
        <w:lastRenderedPageBreak/>
        <w:t>Australian Capital Territory (ACT)</w:t>
      </w:r>
      <w:bookmarkEnd w:id="288"/>
      <w:bookmarkEnd w:id="289"/>
      <w:r w:rsidR="002108B6" w:rsidRPr="00205CCE">
        <w:fldChar w:fldCharType="begin"/>
      </w:r>
      <w:r w:rsidR="002108B6" w:rsidRPr="00205CCE">
        <w:instrText xml:space="preserve"> XE "schemes history and evolution:Australian Capital Territory" </w:instrText>
      </w:r>
      <w:r w:rsidR="002108B6" w:rsidRPr="00205CCE">
        <w:fldChar w:fldCharType="end"/>
      </w:r>
    </w:p>
    <w:p w14:paraId="18A2D454" w14:textId="77777777" w:rsidR="006A50D4" w:rsidRDefault="00C66972" w:rsidP="00B46F63">
      <w:pPr>
        <w:spacing w:before="240"/>
        <w:rPr>
          <w:rFonts w:eastAsiaTheme="minorHAnsi"/>
        </w:rPr>
      </w:pPr>
      <w:r w:rsidRPr="00C66972">
        <w:rPr>
          <w:rFonts w:eastAsiaTheme="minorHAnsi"/>
        </w:rPr>
        <w:t xml:space="preserve">In 1951 the ACT introduced the </w:t>
      </w:r>
      <w:r w:rsidRPr="00FA2384">
        <w:rPr>
          <w:rFonts w:eastAsiaTheme="minorHAnsi"/>
          <w:i/>
        </w:rPr>
        <w:t>Workmens’ Compensation Ordinance 1951</w:t>
      </w:r>
      <w:r w:rsidRPr="00C66972">
        <w:rPr>
          <w:rFonts w:eastAsiaTheme="minorHAnsi"/>
        </w:rPr>
        <w:t xml:space="preserve"> to repeal the original 1946 Ordinance. With the advent of self-government in the ACT on 11 May 1989, the 1951 Ordinance became the </w:t>
      </w:r>
      <w:r w:rsidRPr="00C66972">
        <w:rPr>
          <w:rFonts w:eastAsiaTheme="minorHAnsi"/>
          <w:i/>
        </w:rPr>
        <w:t>Workmens’ Compensation Act 1951</w:t>
      </w:r>
      <w:r w:rsidRPr="00C66972">
        <w:rPr>
          <w:rFonts w:eastAsiaTheme="minorHAnsi"/>
        </w:rPr>
        <w:t xml:space="preserve"> and from 22 January 1992 it became the </w:t>
      </w:r>
      <w:r w:rsidRPr="00C66972">
        <w:rPr>
          <w:rFonts w:eastAsiaTheme="minorHAnsi"/>
          <w:i/>
        </w:rPr>
        <w:t>Workers’ Compensation Act 1951</w:t>
      </w:r>
      <w:r w:rsidRPr="00C66972">
        <w:rPr>
          <w:rFonts w:eastAsiaTheme="minorHAnsi"/>
        </w:rPr>
        <w:t xml:space="preserve">. Significant amendments were made by the </w:t>
      </w:r>
      <w:r w:rsidRPr="00FA2384">
        <w:rPr>
          <w:rFonts w:eastAsiaTheme="minorHAnsi"/>
          <w:i/>
        </w:rPr>
        <w:t>Workers’ Compensation (Amendment) Act 1991</w:t>
      </w:r>
      <w:r w:rsidRPr="00C66972">
        <w:rPr>
          <w:rFonts w:eastAsiaTheme="minorHAnsi"/>
        </w:rPr>
        <w:t xml:space="preserve"> to the </w:t>
      </w:r>
      <w:r w:rsidRPr="00C66972">
        <w:rPr>
          <w:rFonts w:eastAsiaTheme="minorHAnsi"/>
          <w:i/>
        </w:rPr>
        <w:t>Workers’ Compensation Act 1951</w:t>
      </w:r>
      <w:r w:rsidRPr="00C66972">
        <w:rPr>
          <w:rFonts w:eastAsiaTheme="minorHAnsi"/>
        </w:rPr>
        <w:t>, following reviews of the system in 1984, 1987 and 1990.</w:t>
      </w:r>
    </w:p>
    <w:p w14:paraId="7F8F1143" w14:textId="77777777" w:rsidR="00172AC7" w:rsidRDefault="00C66972" w:rsidP="00B46F63">
      <w:pPr>
        <w:spacing w:before="240"/>
        <w:rPr>
          <w:rFonts w:eastAsiaTheme="minorHAnsi"/>
        </w:rPr>
      </w:pPr>
      <w:r w:rsidRPr="00C66972">
        <w:rPr>
          <w:rFonts w:eastAsiaTheme="minorHAnsi"/>
        </w:rPr>
        <w:t xml:space="preserve">The </w:t>
      </w:r>
      <w:r w:rsidRPr="00C66972">
        <w:rPr>
          <w:rFonts w:eastAsiaTheme="minorHAnsi"/>
          <w:i/>
        </w:rPr>
        <w:t>Workers’ Compensation Act 1951</w:t>
      </w:r>
      <w:r w:rsidRPr="00C66972">
        <w:rPr>
          <w:rFonts w:eastAsiaTheme="minorHAnsi"/>
        </w:rPr>
        <w:t xml:space="preserve"> was significantly amended in 2002 to create a workers’ compensation scheme based upon the principles of early rehabilitation and return to safe and durable work for injured workers. The </w:t>
      </w:r>
      <w:r w:rsidRPr="00C66972">
        <w:rPr>
          <w:rFonts w:eastAsiaTheme="minorHAnsi"/>
          <w:i/>
        </w:rPr>
        <w:t>Workers’ Compensation Amendment Act 2001</w:t>
      </w:r>
      <w:r w:rsidRPr="00C66972">
        <w:rPr>
          <w:rFonts w:eastAsiaTheme="minorHAnsi"/>
        </w:rPr>
        <w:t xml:space="preserve"> introduced a number of new elements to ensure that employers, insurers, treatment providers, and the injured worker were equally obliged to participate in personal injury plans, claims were dealt with expediently and statutory benefits were aligned with the Scheme’s return to work goals.</w:t>
      </w:r>
    </w:p>
    <w:p w14:paraId="51DB1851" w14:textId="77777777" w:rsidR="00172AC7" w:rsidRDefault="00C66972" w:rsidP="00B46F63">
      <w:pPr>
        <w:spacing w:before="240"/>
        <w:rPr>
          <w:rFonts w:eastAsiaTheme="minorHAnsi"/>
        </w:rPr>
      </w:pPr>
      <w:r w:rsidRPr="00C66972">
        <w:rPr>
          <w:rFonts w:eastAsiaTheme="minorHAnsi"/>
        </w:rPr>
        <w:t xml:space="preserve">An advisory committee to the responsible Minister was also established to look at the ongoing operation of the scheme and regulations. In 2006 further amendments were made to the </w:t>
      </w:r>
      <w:r w:rsidRPr="00FA2384">
        <w:rPr>
          <w:rFonts w:eastAsiaTheme="minorHAnsi"/>
          <w:i/>
        </w:rPr>
        <w:t>Workers’ Compensation Act 1951</w:t>
      </w:r>
      <w:r w:rsidRPr="00C66972">
        <w:rPr>
          <w:rFonts w:eastAsiaTheme="minorHAnsi"/>
        </w:rPr>
        <w:t xml:space="preserve"> to allow certain categories of carers to be deemed as ‘workers’ under the Act and to create a Default Insurance Fund, which superseded the previous Nominal Insurer and Supplementation Fund. </w:t>
      </w:r>
    </w:p>
    <w:p w14:paraId="17B5D506" w14:textId="77777777" w:rsidR="00172AC7" w:rsidRPr="0003416A" w:rsidRDefault="00C66972" w:rsidP="00B46F63">
      <w:pPr>
        <w:spacing w:before="240"/>
        <w:rPr>
          <w:rFonts w:eastAsiaTheme="minorHAnsi"/>
        </w:rPr>
      </w:pPr>
      <w:r w:rsidRPr="00C66972">
        <w:rPr>
          <w:rFonts w:eastAsiaTheme="minorHAnsi"/>
        </w:rPr>
        <w:t xml:space="preserve">Other inconsequential amendments have been made through the </w:t>
      </w:r>
      <w:r w:rsidRPr="00C66972">
        <w:rPr>
          <w:rFonts w:eastAsiaTheme="minorHAnsi"/>
          <w:i/>
        </w:rPr>
        <w:t>Justice and Community Safety Legislation Amendment Act 2006</w:t>
      </w:r>
      <w:r w:rsidRPr="00C66972">
        <w:rPr>
          <w:rFonts w:eastAsiaTheme="minorHAnsi"/>
        </w:rPr>
        <w:t xml:space="preserve"> and the </w:t>
      </w:r>
      <w:r w:rsidRPr="00C66972">
        <w:rPr>
          <w:rFonts w:eastAsiaTheme="minorHAnsi"/>
          <w:i/>
        </w:rPr>
        <w:t>Statute Law Amendment Act 2007</w:t>
      </w:r>
      <w:r w:rsidRPr="00C66972">
        <w:rPr>
          <w:rFonts w:eastAsiaTheme="minorHAnsi"/>
        </w:rPr>
        <w:t xml:space="preserve"> (no. 2). Also, for infringement notice offences under the Act, see </w:t>
      </w:r>
      <w:r w:rsidRPr="0003416A">
        <w:rPr>
          <w:rFonts w:eastAsiaTheme="minorHAnsi"/>
        </w:rPr>
        <w:t xml:space="preserve">the Magistrates Court (Workers’ Compensation Infringement Notices) Regulation 2006. </w:t>
      </w:r>
    </w:p>
    <w:p w14:paraId="793505DB" w14:textId="5F700513" w:rsidR="006A50D4" w:rsidRDefault="00F20191" w:rsidP="00B46F63">
      <w:pPr>
        <w:spacing w:before="240"/>
        <w:rPr>
          <w:rFonts w:eastAsiaTheme="minorHAnsi"/>
        </w:rPr>
      </w:pPr>
      <w:r>
        <w:rPr>
          <w:rFonts w:eastAsiaTheme="minorHAnsi"/>
        </w:rPr>
        <w:t>Changes to the scheme since this time have been minor and primarily focussed on modernisation. In 2010, significant scheme reforms were proposed but never progressed.</w:t>
      </w:r>
    </w:p>
    <w:p w14:paraId="55954598" w14:textId="5BA55C20" w:rsidR="00C66972" w:rsidRPr="00205CCE" w:rsidRDefault="00C66972" w:rsidP="00205CCE">
      <w:pPr>
        <w:pStyle w:val="Title"/>
      </w:pPr>
      <w:bookmarkStart w:id="291" w:name="_Toc483227223"/>
      <w:bookmarkStart w:id="292" w:name="_Toc504654742"/>
      <w:bookmarkStart w:id="293" w:name="seacare"/>
      <w:bookmarkStart w:id="294" w:name="commonwealth"/>
      <w:bookmarkEnd w:id="290"/>
      <w:r w:rsidRPr="00205CCE">
        <w:t>The Commonwealth</w:t>
      </w:r>
      <w:bookmarkEnd w:id="291"/>
      <w:bookmarkEnd w:id="292"/>
      <w:r w:rsidR="00C44D5D" w:rsidRPr="00205CCE">
        <w:t xml:space="preserve"> </w:t>
      </w:r>
      <w:r w:rsidR="0070573D" w:rsidRPr="00205CCE">
        <w:fldChar w:fldCharType="begin"/>
      </w:r>
      <w:r w:rsidR="0070573D" w:rsidRPr="00205CCE">
        <w:instrText xml:space="preserve"> XE "Commonwealth of Australia:schemes history and evolution" \r "commonwealth" </w:instrText>
      </w:r>
      <w:r w:rsidR="0070573D" w:rsidRPr="00205CCE">
        <w:fldChar w:fldCharType="end"/>
      </w:r>
      <w:r w:rsidR="007B3F66" w:rsidRPr="00205CCE">
        <w:fldChar w:fldCharType="begin"/>
      </w:r>
      <w:r w:rsidR="007B3F66" w:rsidRPr="00205CCE">
        <w:instrText xml:space="preserve"> XE "Department of Veterans' Affairs:schemes history and evolution" </w:instrText>
      </w:r>
      <w:r w:rsidR="007B3F66" w:rsidRPr="00205CCE">
        <w:fldChar w:fldCharType="end"/>
      </w:r>
      <w:r w:rsidR="002108B6" w:rsidRPr="00205CCE">
        <w:fldChar w:fldCharType="begin"/>
      </w:r>
      <w:r w:rsidR="002108B6" w:rsidRPr="00205CCE">
        <w:instrText xml:space="preserve"> XE "schemes history and evolution:Commonwealth" \r "commonwealth" </w:instrText>
      </w:r>
      <w:r w:rsidR="002108B6" w:rsidRPr="00205CCE">
        <w:fldChar w:fldCharType="end"/>
      </w:r>
    </w:p>
    <w:p w14:paraId="3B30AC70" w14:textId="77777777" w:rsidR="00172AC7" w:rsidRDefault="00C66972" w:rsidP="002A5E50">
      <w:pPr>
        <w:spacing w:before="240"/>
        <w:rPr>
          <w:rFonts w:eastAsiaTheme="minorHAnsi"/>
        </w:rPr>
      </w:pPr>
      <w:r w:rsidRPr="00C66972">
        <w:rPr>
          <w:rFonts w:eastAsiaTheme="minorHAnsi"/>
        </w:rPr>
        <w:t xml:space="preserve">In 1912, the Commonwealth introduced the </w:t>
      </w:r>
      <w:r w:rsidRPr="00C66972">
        <w:rPr>
          <w:rFonts w:eastAsiaTheme="minorHAnsi"/>
          <w:i/>
        </w:rPr>
        <w:t>Commonwealth Workmens’ Compensation Act 1912</w:t>
      </w:r>
      <w:r w:rsidRPr="00C66972">
        <w:rPr>
          <w:rFonts w:eastAsiaTheme="minorHAnsi"/>
        </w:rPr>
        <w:t xml:space="preserve"> to provide compensation for Commonwealth workers. Before then, compensation was paid to widows and orphans of deceased Commonwealth officers under the </w:t>
      </w:r>
      <w:r w:rsidRPr="00C66972">
        <w:rPr>
          <w:rFonts w:eastAsiaTheme="minorHAnsi"/>
          <w:i/>
        </w:rPr>
        <w:t xml:space="preserve">Officers’ Compensation Acts of 1908, 1909 </w:t>
      </w:r>
      <w:r w:rsidRPr="00C66972">
        <w:rPr>
          <w:rFonts w:eastAsiaTheme="minorHAnsi"/>
        </w:rPr>
        <w:t>and</w:t>
      </w:r>
      <w:r w:rsidRPr="00C66972">
        <w:rPr>
          <w:rFonts w:eastAsiaTheme="minorHAnsi"/>
          <w:i/>
        </w:rPr>
        <w:t xml:space="preserve"> 1912</w:t>
      </w:r>
      <w:r w:rsidRPr="00C66972">
        <w:rPr>
          <w:rFonts w:eastAsiaTheme="minorHAnsi"/>
        </w:rPr>
        <w:t xml:space="preserve"> via determinations of Parliament.</w:t>
      </w:r>
    </w:p>
    <w:p w14:paraId="13F0B793" w14:textId="77777777" w:rsidR="00172AC7" w:rsidRDefault="00C66972" w:rsidP="002A5E50">
      <w:pPr>
        <w:spacing w:before="240"/>
        <w:rPr>
          <w:rFonts w:eastAsiaTheme="minorHAnsi"/>
        </w:rPr>
      </w:pPr>
      <w:r w:rsidRPr="00C66972">
        <w:rPr>
          <w:rFonts w:eastAsiaTheme="minorHAnsi"/>
        </w:rPr>
        <w:t xml:space="preserve">In 1930, the </w:t>
      </w:r>
      <w:r w:rsidRPr="00C66972">
        <w:rPr>
          <w:rFonts w:eastAsiaTheme="minorHAnsi"/>
          <w:i/>
        </w:rPr>
        <w:t>Commonwealth Workers’ Compensation Act 1930</w:t>
      </w:r>
      <w:r w:rsidRPr="00C66972">
        <w:rPr>
          <w:rFonts w:eastAsiaTheme="minorHAnsi"/>
        </w:rPr>
        <w:t xml:space="preserve"> was enacted and provided a more extensive system of compensation for Commonwealth workers. In 1971 the </w:t>
      </w:r>
      <w:r w:rsidRPr="00C66972">
        <w:rPr>
          <w:rFonts w:eastAsiaTheme="minorHAnsi"/>
          <w:i/>
        </w:rPr>
        <w:t>Compensation (Commonwealth Employees) Act 1971</w:t>
      </w:r>
      <w:r w:rsidRPr="00C66972">
        <w:rPr>
          <w:rFonts w:eastAsiaTheme="minorHAnsi"/>
        </w:rPr>
        <w:t xml:space="preserve"> repealed the 1930 Act.</w:t>
      </w:r>
    </w:p>
    <w:p w14:paraId="5C61B8EB" w14:textId="7BF19C1C" w:rsidR="00A87BB8" w:rsidRPr="00C66972" w:rsidRDefault="00C66972" w:rsidP="002A5E50">
      <w:pPr>
        <w:spacing w:before="240"/>
        <w:rPr>
          <w:rFonts w:eastAsiaTheme="minorHAnsi"/>
        </w:rPr>
      </w:pPr>
      <w:r w:rsidRPr="00C66972">
        <w:rPr>
          <w:rFonts w:eastAsiaTheme="minorHAnsi"/>
        </w:rPr>
        <w:t xml:space="preserve">The introduction of the SRC Act in 1988 was the most significant reform in the Commonwealth jurisdiction as it introduced a focus on rehabilitation, which was seen as the best way to reduce spiralling costs of compensation. It included incentives through tiered income support rates for employees, gave employers statutory powers and responsibilities for rehabilitation and was paired with more reviews and investigations of claims. It also replaced lump sum compensation methodology </w:t>
      </w:r>
      <w:r w:rsidRPr="00C66972">
        <w:rPr>
          <w:rFonts w:eastAsiaTheme="minorHAnsi"/>
        </w:rPr>
        <w:lastRenderedPageBreak/>
        <w:t>from assessment against a limited table of maims to a Guide prepared with comprehensive criteria assessing impairment based on the WPI concept.</w:t>
      </w:r>
    </w:p>
    <w:p w14:paraId="0B2A7C00" w14:textId="77777777" w:rsidR="001B57A4" w:rsidRDefault="00C66972" w:rsidP="002A5E50">
      <w:pPr>
        <w:spacing w:before="240"/>
        <w:rPr>
          <w:rFonts w:eastAsiaTheme="minorHAnsi"/>
        </w:rPr>
      </w:pPr>
      <w:r w:rsidRPr="00C66972">
        <w:rPr>
          <w:rFonts w:eastAsiaTheme="minorHAnsi"/>
        </w:rPr>
        <w:t xml:space="preserve">In 1992, the SRC Act was amended to enable Commonwealth Authorities and certain corporations to apply to the Safety, Rehabilitation and Compensation Commission for a licence to accept liability for workers’ compensation and to manage workers’ compensation claims. The first licensees were Telstra Corporation Ltd and Australian Postal Corporation Ltd followed by a number of government business enterprises undergoing privatisation such as Australian Defence Industries (later ADI Limited and now Thales Australia), Commonwealth Serum Laboratories (now CSL Limited) and National Rail Corporation (later Pacific National (ACT) Limited, now Asciano). </w:t>
      </w:r>
    </w:p>
    <w:p w14:paraId="09FB0274" w14:textId="77E3C086" w:rsidR="00172AC7" w:rsidRDefault="00C66972" w:rsidP="002A5E50">
      <w:pPr>
        <w:spacing w:before="240"/>
        <w:rPr>
          <w:rFonts w:eastAsiaTheme="minorHAnsi"/>
        </w:rPr>
      </w:pPr>
      <w:r w:rsidRPr="00C66972">
        <w:rPr>
          <w:rFonts w:eastAsiaTheme="minorHAnsi"/>
        </w:rPr>
        <w:t>In 2005 Optus Administration Pty Ltd was the first licence granted to a corporation that had no previous connection to the Commonwealth other than that it was in competition with Telstra. By December 2012, there were 30 licensees in the Comcare scheme, including banks such as National Australia Bank and the Commonwealth Bank, transport companies such as Linfox Australia, Border Express, Australian air Express and K&amp;S Freighters, and construction or industrial companies such as John Holland and Visionstream Pty Ltd.</w:t>
      </w:r>
    </w:p>
    <w:p w14:paraId="0F90DFA7" w14:textId="77777777" w:rsidR="00172AC7" w:rsidRDefault="00C66972" w:rsidP="002A5E50">
      <w:pPr>
        <w:spacing w:before="240"/>
        <w:rPr>
          <w:rFonts w:eastAsiaTheme="minorHAnsi"/>
        </w:rPr>
      </w:pPr>
      <w:r w:rsidRPr="00C66972">
        <w:rPr>
          <w:rFonts w:eastAsiaTheme="minorHAnsi"/>
        </w:rPr>
        <w:t xml:space="preserve">On 11 December 2007, the Federal Government placed a moratorium on new applications from private corporations wanting to move to the Comcare workers’ compensation scheme. However, companies that had already been declared eligible to apply for a self-insurance licence by the previous government were not affected by the moratorium. This moratorium was lifted in December 2013. </w:t>
      </w:r>
    </w:p>
    <w:p w14:paraId="04119A12" w14:textId="7D99C7BF" w:rsidR="006A50D4" w:rsidRDefault="00C66972" w:rsidP="002A5E50">
      <w:pPr>
        <w:spacing w:before="240"/>
        <w:rPr>
          <w:rFonts w:eastAsiaTheme="minorHAnsi"/>
        </w:rPr>
      </w:pPr>
      <w:r w:rsidRPr="00C66972">
        <w:rPr>
          <w:rFonts w:eastAsiaTheme="minorHAnsi"/>
        </w:rPr>
        <w:t xml:space="preserve">The Commonwealth first became involved in workers’ compensation arrangements for seafarers with the passage of the </w:t>
      </w:r>
      <w:r w:rsidRPr="00BE1B25">
        <w:rPr>
          <w:rFonts w:eastAsiaTheme="minorHAnsi"/>
          <w:i/>
        </w:rPr>
        <w:t>Seamens’ Compensation Act 1911</w:t>
      </w:r>
      <w:r w:rsidRPr="00C66972">
        <w:rPr>
          <w:rFonts w:eastAsiaTheme="minorHAnsi"/>
        </w:rPr>
        <w:t xml:space="preserve">. Despite a number of minor amendments, the 1911 arrangements remained in place until 1992. In 1988, the Seamens’ Compensation Review conducted by Professor Henry Luntz recommended a number of changes to the </w:t>
      </w:r>
      <w:r w:rsidRPr="00D41D16">
        <w:rPr>
          <w:rFonts w:eastAsiaTheme="minorHAnsi"/>
          <w:i/>
        </w:rPr>
        <w:t>Seamens’ Compensation Act</w:t>
      </w:r>
      <w:r w:rsidRPr="00C66972">
        <w:rPr>
          <w:rFonts w:eastAsiaTheme="minorHAnsi"/>
        </w:rPr>
        <w:t xml:space="preserve"> to modernise it and to ensure consistency with arrangements being considered for Commonwealth employees. The </w:t>
      </w:r>
      <w:r w:rsidRPr="00FA2384">
        <w:rPr>
          <w:rFonts w:eastAsiaTheme="minorHAnsi"/>
          <w:i/>
        </w:rPr>
        <w:t>Seafarers’ Rehabilitation and Compensation Act 1992</w:t>
      </w:r>
      <w:r w:rsidRPr="00C66972">
        <w:rPr>
          <w:rFonts w:eastAsiaTheme="minorHAnsi"/>
        </w:rPr>
        <w:t xml:space="preserve"> sets out similar provisions to those applying to Commonwealth employees under the Comcare scheme. </w:t>
      </w:r>
    </w:p>
    <w:p w14:paraId="2151B445" w14:textId="4400FD41" w:rsidR="00172AC7" w:rsidRDefault="00C66972" w:rsidP="002A5E50">
      <w:pPr>
        <w:spacing w:before="240"/>
        <w:rPr>
          <w:rFonts w:eastAsiaTheme="minorHAnsi"/>
        </w:rPr>
      </w:pPr>
      <w:r w:rsidRPr="00C66972">
        <w:rPr>
          <w:rFonts w:eastAsiaTheme="minorHAnsi"/>
        </w:rPr>
        <w:t xml:space="preserve">In 2004, the MRCA 2004 was enacted to provide a system of compensation for current and former members of the ADF and their dependants, with service on or after 1 July 2004. Service prior to that date is covered by the SRC Act and the </w:t>
      </w:r>
      <w:r w:rsidRPr="00BE1B25">
        <w:rPr>
          <w:rFonts w:eastAsiaTheme="minorHAnsi"/>
          <w:i/>
        </w:rPr>
        <w:t>Veterans’ Entitlements Act 1986</w:t>
      </w:r>
      <w:r w:rsidRPr="00C66972">
        <w:rPr>
          <w:rFonts w:eastAsiaTheme="minorHAnsi"/>
        </w:rPr>
        <w:t xml:space="preserve"> (VEA).</w:t>
      </w:r>
      <w:r w:rsidR="00FF2A05">
        <w:rPr>
          <w:rFonts w:eastAsiaTheme="minorHAnsi"/>
        </w:rPr>
        <w:t xml:space="preserve"> In October 2017 the </w:t>
      </w:r>
      <w:r w:rsidR="00FF2A05">
        <w:rPr>
          <w:rFonts w:eastAsiaTheme="minorHAnsi"/>
          <w:i/>
        </w:rPr>
        <w:t>Safety, Rehabilitation and Compensation (Defence-related Claims) Act, 1988</w:t>
      </w:r>
      <w:r w:rsidR="00FF2A05">
        <w:rPr>
          <w:rFonts w:eastAsiaTheme="minorHAnsi"/>
        </w:rPr>
        <w:t xml:space="preserve"> (DRCA) was enacted. This Act provides coverage for defence force personnel who were injured prior to July 2004 and who were previously covered under the SRC Act. </w:t>
      </w:r>
      <w:r w:rsidR="00FF2A05" w:rsidRPr="00AF4A1B">
        <w:rPr>
          <w:szCs w:val="20"/>
          <w:lang w:val="en"/>
        </w:rPr>
        <w:t xml:space="preserve">From 12 October 2017, all claims that were considered under the provisions of the </w:t>
      </w:r>
      <w:r w:rsidR="00FF2A05">
        <w:rPr>
          <w:szCs w:val="20"/>
          <w:lang w:val="en"/>
        </w:rPr>
        <w:t xml:space="preserve">SRC Act </w:t>
      </w:r>
      <w:r w:rsidR="00FF2A05" w:rsidRPr="00AF4A1B">
        <w:rPr>
          <w:szCs w:val="20"/>
          <w:lang w:val="en"/>
        </w:rPr>
        <w:t>(for conditions attributable to pre-1 July 2004 service) are now considered under the DRCA. All existing claims under the SRC</w:t>
      </w:r>
      <w:r w:rsidR="00FF2A05">
        <w:rPr>
          <w:szCs w:val="20"/>
          <w:lang w:val="en"/>
        </w:rPr>
        <w:t xml:space="preserve"> </w:t>
      </w:r>
      <w:r w:rsidR="00FF2A05" w:rsidRPr="00AF4A1B">
        <w:rPr>
          <w:szCs w:val="20"/>
          <w:lang w:val="en"/>
        </w:rPr>
        <w:t>A</w:t>
      </w:r>
      <w:r w:rsidR="00FF2A05">
        <w:rPr>
          <w:szCs w:val="20"/>
          <w:lang w:val="en"/>
        </w:rPr>
        <w:t>ct</w:t>
      </w:r>
      <w:r w:rsidR="00FF2A05" w:rsidRPr="00AF4A1B">
        <w:rPr>
          <w:szCs w:val="20"/>
          <w:lang w:val="en"/>
        </w:rPr>
        <w:t xml:space="preserve"> are now treated as claims under the DRCA.</w:t>
      </w:r>
    </w:p>
    <w:p w14:paraId="25F8114E" w14:textId="0E8CD900" w:rsidR="00172AC7" w:rsidRDefault="00C66972" w:rsidP="002A5E50">
      <w:pPr>
        <w:spacing w:before="240"/>
        <w:rPr>
          <w:rFonts w:eastAsiaTheme="minorHAnsi"/>
        </w:rPr>
      </w:pPr>
      <w:r w:rsidRPr="00C66972">
        <w:rPr>
          <w:rFonts w:eastAsiaTheme="minorHAnsi"/>
        </w:rPr>
        <w:t xml:space="preserve">The Military Rehabilitation and Compensation Commission </w:t>
      </w:r>
      <w:r w:rsidR="003B3E5B">
        <w:rPr>
          <w:rFonts w:eastAsiaTheme="minorHAnsi"/>
        </w:rPr>
        <w:fldChar w:fldCharType="begin"/>
      </w:r>
      <w:r w:rsidR="003B3E5B">
        <w:instrText xml:space="preserve"> XE "</w:instrText>
      </w:r>
      <w:r w:rsidR="003B3E5B" w:rsidRPr="001854C8">
        <w:instrText>Military Rehabilitation and Compensation Commission</w:instrText>
      </w:r>
      <w:r w:rsidR="003B3E5B">
        <w:instrText xml:space="preserve">" </w:instrText>
      </w:r>
      <w:r w:rsidR="003B3E5B">
        <w:rPr>
          <w:rFonts w:eastAsiaTheme="minorHAnsi"/>
        </w:rPr>
        <w:fldChar w:fldCharType="end"/>
      </w:r>
      <w:r w:rsidRPr="00C66972">
        <w:rPr>
          <w:rFonts w:eastAsiaTheme="minorHAnsi"/>
        </w:rPr>
        <w:t xml:space="preserve">(MRCC) regulates the MRCA and </w:t>
      </w:r>
      <w:r w:rsidR="0034184F">
        <w:rPr>
          <w:rFonts w:eastAsiaTheme="minorHAnsi"/>
        </w:rPr>
        <w:t xml:space="preserve">DRCA </w:t>
      </w:r>
      <w:r w:rsidRPr="00C66972">
        <w:rPr>
          <w:rFonts w:eastAsiaTheme="minorHAnsi"/>
        </w:rPr>
        <w:t>schemes</w:t>
      </w:r>
      <w:r w:rsidR="0034184F">
        <w:rPr>
          <w:rFonts w:eastAsiaTheme="minorHAnsi"/>
        </w:rPr>
        <w:t>.</w:t>
      </w:r>
      <w:r w:rsidRPr="00C66972">
        <w:rPr>
          <w:rFonts w:eastAsiaTheme="minorHAnsi"/>
        </w:rPr>
        <w:t>The types of compensation provided under the MRCA are based on the SRC Act and VEA provisions</w:t>
      </w:r>
      <w:r w:rsidR="0034184F">
        <w:rPr>
          <w:rFonts w:eastAsiaTheme="minorHAnsi"/>
        </w:rPr>
        <w:t>, while DRCA replaces the SRC Act for ADF members</w:t>
      </w:r>
      <w:r w:rsidRPr="00C66972">
        <w:rPr>
          <w:rFonts w:eastAsiaTheme="minorHAnsi"/>
        </w:rPr>
        <w:t>.</w:t>
      </w:r>
    </w:p>
    <w:p w14:paraId="3A984D59" w14:textId="77777777" w:rsidR="00172AC7" w:rsidRDefault="00C66972" w:rsidP="002A5E50">
      <w:pPr>
        <w:spacing w:before="240"/>
        <w:rPr>
          <w:rFonts w:eastAsiaTheme="minorHAnsi"/>
        </w:rPr>
      </w:pPr>
      <w:r w:rsidRPr="00C66972">
        <w:rPr>
          <w:rFonts w:eastAsiaTheme="minorHAnsi"/>
        </w:rPr>
        <w:t>Under the MRCA, DVA provides rehabilitation, treatment and compensation for current (in conjunction with the relevant Service Chief) or former ADF members who sustain a mental or physical injury or contract a disease as a result of military service rendered on or after 1 July 2004. DVA also provides compensation to their eligible dependants if their death, on or after 1 July 2004, is related to that service, if they were entitled to maximum permanent impairment compensation or had been eligible for a Special Rate Disability Pension.</w:t>
      </w:r>
    </w:p>
    <w:p w14:paraId="56844A64" w14:textId="38BCB5D4" w:rsidR="00C66972" w:rsidRPr="00C66972" w:rsidRDefault="00C66972" w:rsidP="002A5E50">
      <w:pPr>
        <w:spacing w:before="240"/>
        <w:rPr>
          <w:rFonts w:eastAsiaTheme="minorHAnsi"/>
        </w:rPr>
      </w:pPr>
      <w:r w:rsidRPr="00C66972">
        <w:rPr>
          <w:rFonts w:eastAsiaTheme="minorHAnsi"/>
        </w:rPr>
        <w:t>DVA has a focus on providing rehabilitation services to help injured or sick personnel make as full a recovery as possible and, if possible, return to their normal employment. DVA also increases the amount of compensation available in the event of severe service-related injury, disease or death.</w:t>
      </w:r>
    </w:p>
    <w:p w14:paraId="20D77B7B" w14:textId="6AB7ADB4" w:rsidR="00D56ED9" w:rsidRPr="00B46F63" w:rsidRDefault="00C66972" w:rsidP="00B46F63">
      <w:pPr>
        <w:rPr>
          <w:rFonts w:eastAsiaTheme="minorHAnsi"/>
        </w:rPr>
      </w:pPr>
      <w:r w:rsidRPr="00C66972">
        <w:rPr>
          <w:rFonts w:eastAsiaTheme="minorHAnsi"/>
        </w:rPr>
        <w:t>Note: A reference to the Commonwealth in this publication does not include Seacare or DVA unless specifically stated.</w:t>
      </w:r>
      <w:bookmarkStart w:id="295" w:name="_Toc483227224"/>
    </w:p>
    <w:bookmarkEnd w:id="293"/>
    <w:bookmarkEnd w:id="295"/>
    <w:p w14:paraId="78524B14" w14:textId="1CE9D0F2" w:rsidR="00C66972" w:rsidRPr="00205CCE" w:rsidRDefault="00C66972" w:rsidP="00205CCE">
      <w:pPr>
        <w:pStyle w:val="Heading4"/>
      </w:pPr>
      <w:r w:rsidRPr="00205CCE">
        <w:lastRenderedPageBreak/>
        <w:t>Seacare coverage</w:t>
      </w:r>
      <w:r w:rsidR="000B568E" w:rsidRPr="00205CCE">
        <w:t xml:space="preserve"> </w:t>
      </w:r>
      <w:r w:rsidR="000B568E" w:rsidRPr="00205CCE">
        <w:fldChar w:fldCharType="begin"/>
      </w:r>
      <w:r w:rsidR="000B568E" w:rsidRPr="00205CCE">
        <w:instrText xml:space="preserve"> XE "Seacare:scheme history and evolution" </w:instrText>
      </w:r>
      <w:r w:rsidR="000B568E" w:rsidRPr="00205CCE">
        <w:fldChar w:fldCharType="end"/>
      </w:r>
    </w:p>
    <w:p w14:paraId="48F08EE3" w14:textId="77777777" w:rsidR="00172AC7" w:rsidRDefault="00C66972" w:rsidP="00B46F63">
      <w:pPr>
        <w:spacing w:before="120"/>
        <w:rPr>
          <w:rFonts w:eastAsiaTheme="minorHAnsi"/>
        </w:rPr>
      </w:pPr>
      <w:r w:rsidRPr="00C66972">
        <w:rPr>
          <w:rFonts w:eastAsiaTheme="minorHAnsi"/>
        </w:rPr>
        <w:t xml:space="preserve">On 22 December 2014, in </w:t>
      </w:r>
      <w:r w:rsidRPr="00C66972">
        <w:rPr>
          <w:rFonts w:eastAsiaTheme="minorHAnsi"/>
          <w:i/>
        </w:rPr>
        <w:t>Samson Maritime Pty Ltd v Aucote</w:t>
      </w:r>
      <w:r w:rsidRPr="00C66972">
        <w:rPr>
          <w:rFonts w:eastAsiaTheme="minorHAnsi"/>
        </w:rPr>
        <w:t xml:space="preserve"> [2014] FCAFC 182 (the Aucote decision), the Full Court of the Federal Court held that the application provisions of the</w:t>
      </w:r>
      <w:r w:rsidRPr="00C66972">
        <w:rPr>
          <w:rFonts w:eastAsiaTheme="minorHAnsi"/>
          <w:b/>
        </w:rPr>
        <w:t xml:space="preserve"> </w:t>
      </w:r>
      <w:hyperlink r:id="rId2200" w:history="1">
        <w:r w:rsidRPr="00C66972">
          <w:rPr>
            <w:rStyle w:val="Hyperlink"/>
            <w:rFonts w:eastAsiaTheme="minorHAnsi"/>
            <w:i/>
          </w:rPr>
          <w:t>Seafarers</w:t>
        </w:r>
        <w:r w:rsidRPr="00C66972">
          <w:rPr>
            <w:rStyle w:val="Hyperlink"/>
            <w:rFonts w:eastAsiaTheme="minorHAnsi"/>
            <w:b/>
            <w:i/>
          </w:rPr>
          <w:t xml:space="preserve"> </w:t>
        </w:r>
        <w:r w:rsidRPr="00C66972">
          <w:rPr>
            <w:rStyle w:val="Hyperlink"/>
            <w:rFonts w:eastAsiaTheme="minorHAnsi"/>
            <w:i/>
          </w:rPr>
          <w:t>Act</w:t>
        </w:r>
      </w:hyperlink>
      <w:r w:rsidRPr="00C66972">
        <w:rPr>
          <w:rFonts w:eastAsiaTheme="minorHAnsi"/>
          <w:b/>
        </w:rPr>
        <w:t xml:space="preserve"> </w:t>
      </w:r>
      <w:r w:rsidRPr="00C66972">
        <w:rPr>
          <w:rFonts w:eastAsiaTheme="minorHAnsi"/>
        </w:rPr>
        <w:t>operated to apply the Seafarers Act to seafarers employed by a trading, financial or foreign corporation on a prescribed ship, including ships engaged in intrastate trade. This is a substantially broader coverage than what has been historically understood by maritime industry regulators and participants.</w:t>
      </w:r>
    </w:p>
    <w:p w14:paraId="400DA2E7" w14:textId="77777777" w:rsidR="00172AC7" w:rsidRDefault="00C66972" w:rsidP="00B46F63">
      <w:pPr>
        <w:spacing w:before="240"/>
        <w:rPr>
          <w:rFonts w:eastAsiaTheme="minorHAnsi"/>
        </w:rPr>
      </w:pPr>
      <w:r w:rsidRPr="00C66972">
        <w:rPr>
          <w:rFonts w:eastAsiaTheme="minorHAnsi"/>
        </w:rPr>
        <w:t xml:space="preserve">While the decision did not specifically address the application provisions of the </w:t>
      </w:r>
      <w:hyperlink r:id="rId2201" w:history="1">
        <w:r w:rsidRPr="00C66972">
          <w:rPr>
            <w:rStyle w:val="Hyperlink"/>
            <w:rFonts w:eastAsiaTheme="minorHAnsi"/>
          </w:rPr>
          <w:t>OHS (MI) Act</w:t>
        </w:r>
      </w:hyperlink>
      <w:r w:rsidRPr="00C66972">
        <w:rPr>
          <w:rFonts w:eastAsiaTheme="minorHAnsi"/>
        </w:rPr>
        <w:t xml:space="preserve">, these provisions are similar to those of the Seafarers Act. </w:t>
      </w:r>
    </w:p>
    <w:p w14:paraId="42BBF5FD" w14:textId="77777777" w:rsidR="00172AC7" w:rsidRDefault="00C66972" w:rsidP="00B46F63">
      <w:pPr>
        <w:spacing w:before="240"/>
        <w:rPr>
          <w:rFonts w:eastAsiaTheme="minorHAnsi"/>
        </w:rPr>
      </w:pPr>
      <w:r w:rsidRPr="00C66972">
        <w:rPr>
          <w:rFonts w:eastAsiaTheme="minorHAnsi"/>
        </w:rPr>
        <w:t xml:space="preserve">The </w:t>
      </w:r>
      <w:hyperlink r:id="rId2202" w:history="1">
        <w:r w:rsidRPr="00C66972">
          <w:rPr>
            <w:rStyle w:val="Hyperlink"/>
            <w:rFonts w:eastAsiaTheme="minorHAnsi"/>
            <w:i/>
          </w:rPr>
          <w:t>Seafarers Rehabilitation and Compensation and Other Legislation Amendment Act 2015</w:t>
        </w:r>
      </w:hyperlink>
      <w:r w:rsidRPr="00C66972">
        <w:rPr>
          <w:rFonts w:eastAsiaTheme="minorHAnsi"/>
        </w:rPr>
        <w:t xml:space="preserve"> (the Act) was introduced to address the consequences of the Aucote decision. The Act commenced on 26 May 2016 and clarified the application of the Seafarers Act and OHS(MI) Act up until the date of commencement (26 May 2016). As such, the Act, as passed by the Parliament, only addresses the historical application of the Seacare scheme.</w:t>
      </w:r>
    </w:p>
    <w:p w14:paraId="33373F57" w14:textId="2E9FEB0B" w:rsidR="00B94426" w:rsidRPr="00B94426" w:rsidRDefault="00C66972" w:rsidP="00B46F63">
      <w:pPr>
        <w:spacing w:before="240"/>
        <w:rPr>
          <w:rFonts w:eastAsiaTheme="minorHAnsi"/>
        </w:rPr>
      </w:pPr>
      <w:r w:rsidRPr="00C66972">
        <w:rPr>
          <w:rFonts w:eastAsiaTheme="minorHAnsi"/>
        </w:rPr>
        <w:t xml:space="preserve">To address the coverage of the scheme going forward, the Seacare Authority has issued two multi-ship exemptions under section 20A of the Seafarers Act that (generally) exempt the employment of employees on any ship listed in those exemptions from the Seafarers Act if the ship is engaged in intrastate trade. </w:t>
      </w:r>
    </w:p>
    <w:p w14:paraId="7A4C7DFE" w14:textId="68DEA4F4" w:rsidR="00C66972" w:rsidRPr="00205CCE" w:rsidRDefault="00A80282" w:rsidP="00205CCE">
      <w:pPr>
        <w:pStyle w:val="Title"/>
      </w:pPr>
      <w:bookmarkStart w:id="296" w:name="_Toc483227225"/>
      <w:bookmarkEnd w:id="294"/>
      <w:r>
        <w:br w:type="column"/>
      </w:r>
      <w:bookmarkStart w:id="297" w:name="_Toc504654743"/>
      <w:r w:rsidR="00C66972" w:rsidRPr="00205CCE">
        <w:lastRenderedPageBreak/>
        <w:t>New Zealand</w:t>
      </w:r>
      <w:bookmarkEnd w:id="296"/>
      <w:bookmarkEnd w:id="297"/>
      <w:r w:rsidR="00A95C3B" w:rsidRPr="00205CCE">
        <w:fldChar w:fldCharType="begin"/>
      </w:r>
      <w:r w:rsidR="00A95C3B" w:rsidRPr="00205CCE">
        <w:instrText xml:space="preserve"> XE "New Zealand:scheme history and evolution" </w:instrText>
      </w:r>
      <w:r w:rsidR="00A95C3B" w:rsidRPr="00205CCE">
        <w:fldChar w:fldCharType="end"/>
      </w:r>
      <w:r w:rsidR="00A95C3B" w:rsidRPr="00205CCE">
        <w:fldChar w:fldCharType="begin"/>
      </w:r>
      <w:r w:rsidR="00A95C3B" w:rsidRPr="00205CCE">
        <w:instrText xml:space="preserve"> XE "New Zealand:recent developments" </w:instrText>
      </w:r>
      <w:r w:rsidR="00A95C3B" w:rsidRPr="00205CCE">
        <w:fldChar w:fldCharType="end"/>
      </w:r>
      <w:r w:rsidR="002108B6" w:rsidRPr="00205CCE">
        <w:fldChar w:fldCharType="begin"/>
      </w:r>
      <w:r w:rsidR="002108B6" w:rsidRPr="00205CCE">
        <w:instrText xml:space="preserve"> XE "schemes history and evolution:New Zealand" </w:instrText>
      </w:r>
      <w:r w:rsidR="002108B6" w:rsidRPr="00205CCE">
        <w:fldChar w:fldCharType="end"/>
      </w:r>
    </w:p>
    <w:p w14:paraId="6EF40008" w14:textId="77777777" w:rsidR="00172AC7" w:rsidRDefault="00C66972" w:rsidP="002A5E50">
      <w:pPr>
        <w:spacing w:before="240"/>
        <w:rPr>
          <w:rFonts w:eastAsiaTheme="minorHAnsi"/>
        </w:rPr>
      </w:pPr>
      <w:r w:rsidRPr="00C66972">
        <w:rPr>
          <w:rFonts w:eastAsiaTheme="minorHAnsi"/>
        </w:rPr>
        <w:t xml:space="preserve">The first example of periodic earnings-related payments in New Zealand had its origins in the </w:t>
      </w:r>
      <w:r w:rsidRPr="00FA2384">
        <w:rPr>
          <w:rFonts w:eastAsiaTheme="minorHAnsi"/>
          <w:i/>
        </w:rPr>
        <w:t>Workers’ Compensation for Accidents Act 1900</w:t>
      </w:r>
      <w:r w:rsidRPr="00C66972">
        <w:rPr>
          <w:rFonts w:eastAsiaTheme="minorHAnsi"/>
        </w:rPr>
        <w:t xml:space="preserve">. This was the first in a long line of legislation that eventually prompted Sir Owen Woodhouse’s 1967 Compensation for Personal Injury in New Zealand: Report of the Royal Commission of Inquiry (the Woodhouse Report). This led to the </w:t>
      </w:r>
      <w:r w:rsidRPr="00AC483C">
        <w:rPr>
          <w:rFonts w:eastAsiaTheme="minorHAnsi"/>
          <w:i/>
        </w:rPr>
        <w:t>Accident Compensation Act 1972</w:t>
      </w:r>
      <w:r w:rsidRPr="00C66972">
        <w:rPr>
          <w:rFonts w:eastAsiaTheme="minorHAnsi"/>
        </w:rPr>
        <w:t xml:space="preserve">, which was updated in 1982 and replaced by a substantially amended scheme in 1992. </w:t>
      </w:r>
    </w:p>
    <w:p w14:paraId="4A2F0410" w14:textId="77777777" w:rsidR="00172AC7" w:rsidRDefault="00C66972" w:rsidP="002A5E50">
      <w:pPr>
        <w:spacing w:before="240"/>
        <w:rPr>
          <w:rFonts w:eastAsiaTheme="minorHAnsi"/>
        </w:rPr>
      </w:pPr>
      <w:r w:rsidRPr="00C66972">
        <w:rPr>
          <w:rFonts w:eastAsiaTheme="minorHAnsi"/>
        </w:rPr>
        <w:t xml:space="preserve">In 1999 elements of private insurance competition were introduced with the </w:t>
      </w:r>
      <w:r w:rsidRPr="00AC483C">
        <w:rPr>
          <w:rFonts w:eastAsiaTheme="minorHAnsi"/>
          <w:i/>
        </w:rPr>
        <w:t>Accident Insurance Act 1998</w:t>
      </w:r>
      <w:r w:rsidRPr="00C66972">
        <w:rPr>
          <w:rFonts w:eastAsiaTheme="minorHAnsi"/>
        </w:rPr>
        <w:t xml:space="preserve">. This was reversed in 2001 with the </w:t>
      </w:r>
      <w:r w:rsidRPr="00AC483C">
        <w:rPr>
          <w:rFonts w:eastAsiaTheme="minorHAnsi"/>
          <w:i/>
        </w:rPr>
        <w:t>Injury Prevention, Rehabilitation and Compensation Act</w:t>
      </w:r>
      <w:r w:rsidRPr="00C66972">
        <w:rPr>
          <w:rFonts w:eastAsiaTheme="minorHAnsi"/>
        </w:rPr>
        <w:t xml:space="preserve"> (IPRC Act) renamed the </w:t>
      </w:r>
      <w:r w:rsidRPr="00AC483C">
        <w:rPr>
          <w:rFonts w:eastAsiaTheme="minorHAnsi"/>
          <w:i/>
        </w:rPr>
        <w:t>Accident Compensation Act 2001</w:t>
      </w:r>
      <w:r w:rsidRPr="00C66972">
        <w:rPr>
          <w:rFonts w:eastAsiaTheme="minorHAnsi"/>
        </w:rPr>
        <w:t xml:space="preserve"> (AC Act).</w:t>
      </w:r>
    </w:p>
    <w:p w14:paraId="7A0B523E" w14:textId="21B22480" w:rsidR="00C66972" w:rsidRPr="00205CCE" w:rsidRDefault="00C66972" w:rsidP="00205CCE">
      <w:pPr>
        <w:pStyle w:val="Heading4"/>
      </w:pPr>
      <w:r w:rsidRPr="00205CCE">
        <w:t>Recent Developments (New Zealand)</w:t>
      </w:r>
    </w:p>
    <w:p w14:paraId="2389039C" w14:textId="77777777" w:rsidR="00172AC7" w:rsidRDefault="00C66972" w:rsidP="002A5E50">
      <w:pPr>
        <w:spacing w:before="240"/>
        <w:rPr>
          <w:rFonts w:eastAsiaTheme="minorHAnsi"/>
        </w:rPr>
      </w:pPr>
      <w:r w:rsidRPr="00C66972">
        <w:rPr>
          <w:rFonts w:eastAsiaTheme="minorHAnsi"/>
        </w:rPr>
        <w:t xml:space="preserve">A 2007 legislative amendment to the </w:t>
      </w:r>
      <w:r w:rsidRPr="00C66972">
        <w:rPr>
          <w:rFonts w:eastAsiaTheme="minorHAnsi"/>
          <w:i/>
        </w:rPr>
        <w:t>IPRC Act 2001</w:t>
      </w:r>
      <w:r w:rsidRPr="00C66972">
        <w:rPr>
          <w:rFonts w:eastAsiaTheme="minorHAnsi"/>
        </w:rPr>
        <w:t xml:space="preserve"> established a new merged Work Account that incorporated the Self-Employed Work Account and Employers’ Account and their respective reserves and liabilities. The </w:t>
      </w:r>
      <w:r w:rsidRPr="006D5E12">
        <w:rPr>
          <w:rFonts w:eastAsiaTheme="minorHAnsi"/>
        </w:rPr>
        <w:t xml:space="preserve">Injury Prevention, Rehabilitation and Compensation (Employer Levy) Regulations and the Injury Prevention, Rehabilitation and Compensation (Self-Employed Work Account Levies) Regulations were replaced with a single set of Levy Regulations covering levies for employers and </w:t>
      </w:r>
      <w:r w:rsidRPr="00C66972">
        <w:rPr>
          <w:rFonts w:eastAsiaTheme="minorHAnsi"/>
        </w:rPr>
        <w:t>self-employed.</w:t>
      </w:r>
    </w:p>
    <w:p w14:paraId="308B8881" w14:textId="03B0B4AC" w:rsidR="005D19AC" w:rsidRDefault="00C66972" w:rsidP="002A5E50">
      <w:pPr>
        <w:spacing w:before="240"/>
        <w:rPr>
          <w:rFonts w:eastAsiaTheme="minorHAnsi"/>
        </w:rPr>
      </w:pPr>
      <w:r w:rsidRPr="00C66972">
        <w:rPr>
          <w:rFonts w:eastAsiaTheme="minorHAnsi"/>
        </w:rPr>
        <w:t xml:space="preserve">Also in the </w:t>
      </w:r>
      <w:r w:rsidRPr="00C66972">
        <w:rPr>
          <w:rFonts w:eastAsiaTheme="minorHAnsi"/>
          <w:i/>
        </w:rPr>
        <w:t>2007 Amendment Act</w:t>
      </w:r>
      <w:r w:rsidRPr="00C66972">
        <w:rPr>
          <w:rFonts w:eastAsiaTheme="minorHAnsi"/>
        </w:rPr>
        <w:t>, the Medical Misadventure Account was renamed as Treatment Injury to reflect the fact that a 2005 amendment had replaced medical misadventure with the less restrictive concept of ‘treatment injury’.</w:t>
      </w:r>
    </w:p>
    <w:p w14:paraId="7826CDC3" w14:textId="77777777" w:rsidR="005D19AC" w:rsidRDefault="005D19AC" w:rsidP="005D19AC">
      <w:pPr>
        <w:spacing w:before="240"/>
        <w:rPr>
          <w:rFonts w:eastAsiaTheme="minorHAnsi"/>
        </w:rPr>
      </w:pPr>
      <w:r>
        <w:rPr>
          <w:rFonts w:eastAsiaTheme="minorHAnsi"/>
        </w:rPr>
        <w:t xml:space="preserve">In 2010, Parliament passed the </w:t>
      </w:r>
      <w:r w:rsidRPr="00EA7F6D">
        <w:rPr>
          <w:rFonts w:eastAsiaTheme="minorHAnsi"/>
          <w:i/>
        </w:rPr>
        <w:t>Accident Compensation Amendment Act 2010</w:t>
      </w:r>
      <w:r w:rsidRPr="00F2360B">
        <w:rPr>
          <w:rFonts w:eastAsiaTheme="minorHAnsi"/>
        </w:rPr>
        <w:t xml:space="preserve"> which aimed to improve flexibility, contain costs, and encourage co-operation with government agencies.</w:t>
      </w:r>
      <w:r>
        <w:rPr>
          <w:rFonts w:eastAsiaTheme="minorHAnsi"/>
        </w:rPr>
        <w:t xml:space="preserve"> Key changes included allowing information sharing with Inland Revenue and the creation of a motorcycle safety levy.</w:t>
      </w:r>
    </w:p>
    <w:p w14:paraId="36212024" w14:textId="77777777" w:rsidR="005D19AC" w:rsidRPr="00C66972" w:rsidRDefault="005D19AC" w:rsidP="002A5E50">
      <w:pPr>
        <w:spacing w:before="240"/>
        <w:rPr>
          <w:rFonts w:eastAsiaTheme="minorHAnsi"/>
        </w:rPr>
        <w:sectPr w:rsidR="005D19AC" w:rsidRPr="00C66972" w:rsidSect="004B218C">
          <w:pgSz w:w="11906" w:h="16838"/>
          <w:pgMar w:top="1440" w:right="1440" w:bottom="1440" w:left="1440" w:header="709" w:footer="709" w:gutter="0"/>
          <w:cols w:space="708"/>
          <w:docGrid w:linePitch="360"/>
        </w:sectPr>
      </w:pPr>
    </w:p>
    <w:p w14:paraId="2105BCA2" w14:textId="77777777" w:rsidR="00C66972" w:rsidRPr="00205CCE" w:rsidRDefault="00C66972" w:rsidP="00205CCE">
      <w:pPr>
        <w:pStyle w:val="Title"/>
      </w:pPr>
      <w:bookmarkStart w:id="298" w:name="_Toc483227226"/>
      <w:bookmarkStart w:id="299" w:name="_Toc504654744"/>
      <w:bookmarkEnd w:id="267"/>
      <w:r w:rsidRPr="00205CCE">
        <w:lastRenderedPageBreak/>
        <w:t>Appendix 2</w:t>
      </w:r>
      <w:bookmarkEnd w:id="298"/>
      <w:bookmarkEnd w:id="299"/>
    </w:p>
    <w:p w14:paraId="505AB6AA" w14:textId="77777777" w:rsidR="006A50D4" w:rsidRPr="00205CCE" w:rsidRDefault="00C66972" w:rsidP="00205CCE">
      <w:pPr>
        <w:pStyle w:val="Title"/>
      </w:pPr>
      <w:bookmarkStart w:id="300" w:name="_Toc483227227"/>
      <w:bookmarkStart w:id="301" w:name="_Toc504654745"/>
      <w:r w:rsidRPr="00205CCE">
        <w:t>Diseases</w:t>
      </w:r>
      <w:bookmarkEnd w:id="300"/>
      <w:bookmarkEnd w:id="301"/>
      <w:r w:rsidRPr="00205CCE">
        <w:t xml:space="preserve"> </w:t>
      </w:r>
    </w:p>
    <w:p w14:paraId="13BACEA0" w14:textId="77777777" w:rsidR="00172AC7" w:rsidRDefault="00C66972" w:rsidP="0001216C">
      <w:pPr>
        <w:rPr>
          <w:rFonts w:eastAsiaTheme="minorHAnsi"/>
        </w:rPr>
      </w:pPr>
      <w:r w:rsidRPr="00C66972">
        <w:rPr>
          <w:rFonts w:eastAsiaTheme="minorHAnsi"/>
        </w:rPr>
        <w:t>Compared to work-related injuries, it is more difficult to prove that a disease was contracted in, or caused by, particular employment. In recognition of this, all jurisdictions except Queensland* and DVA have enacted special provisions in their workers’ compensation legislation which deem specified occupational diseases as being caused by specified work related activities.</w:t>
      </w:r>
    </w:p>
    <w:p w14:paraId="4250080A" w14:textId="12990754" w:rsidR="006A50D4" w:rsidRDefault="00C66972" w:rsidP="0001216C">
      <w:pPr>
        <w:rPr>
          <w:rFonts w:eastAsiaTheme="minorHAnsi"/>
        </w:rPr>
      </w:pPr>
      <w:r w:rsidRPr="00C66972">
        <w:rPr>
          <w:rFonts w:eastAsiaTheme="minorHAnsi"/>
        </w:rPr>
        <w:t>The effect of these provisions is to reverse the onus of proof. A worker with the disease who has been exposed to the relevant exposure in the course of their work is assumed to have developed that disease because of the exposure unless there is strong evidence to the contrary. Diseases that are not included on the jurisdictional prescribed lists can still be the subject of a workers’ compensation claim through the normal approach, where the reverse onus of proof would not apply. Table 1 provides a jurisdictional comparison of these lists.</w:t>
      </w:r>
    </w:p>
    <w:p w14:paraId="671785AD" w14:textId="4E0C20B8" w:rsidR="00C66972" w:rsidRPr="00C66972" w:rsidRDefault="00C66972" w:rsidP="0001216C">
      <w:pPr>
        <w:rPr>
          <w:rFonts w:eastAsiaTheme="minorHAnsi"/>
        </w:rPr>
        <w:sectPr w:rsidR="00C66972" w:rsidRPr="00C66972" w:rsidSect="00246D8C">
          <w:pgSz w:w="11906" w:h="16838"/>
          <w:pgMar w:top="1440" w:right="1440" w:bottom="1440" w:left="1440" w:header="709" w:footer="709" w:gutter="0"/>
          <w:cols w:space="708"/>
          <w:docGrid w:linePitch="360"/>
        </w:sectPr>
      </w:pPr>
      <w:r w:rsidRPr="00C66972">
        <w:rPr>
          <w:rFonts w:eastAsiaTheme="minorHAnsi"/>
        </w:rPr>
        <w:t>* with the exception of certain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with prescribed diseases.</w:t>
      </w:r>
    </w:p>
    <w:p w14:paraId="0C70270D" w14:textId="2A09AAAB" w:rsidR="00A64F30" w:rsidRPr="00205CCE" w:rsidRDefault="00A64F30" w:rsidP="00205CCE">
      <w:pPr>
        <w:pStyle w:val="SWATableheader"/>
      </w:pPr>
      <w:bookmarkStart w:id="302" w:name="_Toc504654746"/>
      <w:bookmarkStart w:id="303" w:name="diseases"/>
      <w:r w:rsidRPr="00205CCE">
        <w:lastRenderedPageBreak/>
        <w:t>Appendix Table 1: Occupational diseases a</w:t>
      </w:r>
      <w:r w:rsidR="00142A1D">
        <w:t>s prescribed at 30 September 2017</w:t>
      </w:r>
      <w:r w:rsidRPr="00205CCE">
        <w:t xml:space="preserve"> — Occupational diseases caused by agents arising from work activities</w:t>
      </w:r>
      <w:bookmarkEnd w:id="302"/>
      <w:r w:rsidR="00C7036A" w:rsidRPr="00205CCE">
        <w:fldChar w:fldCharType="begin"/>
      </w:r>
      <w:r w:rsidR="00C7036A" w:rsidRPr="00205CCE">
        <w:instrText xml:space="preserve"> XE "diseases:deemed to be caused by work" \r "diseases" </w:instrText>
      </w:r>
      <w:r w:rsidR="00C7036A" w:rsidRPr="00205CCE">
        <w:fldChar w:fldCharType="end"/>
      </w:r>
      <w:r w:rsidR="00C7036A" w:rsidRPr="00205CCE">
        <w:t xml:space="preserve"> </w:t>
      </w:r>
      <w:r w:rsidR="00C7036A" w:rsidRPr="00205CCE">
        <w:fldChar w:fldCharType="begin"/>
      </w:r>
      <w:r w:rsidR="00C7036A" w:rsidRPr="00205CCE">
        <w:instrText xml:space="preserve"> XE "diseases:occupational diseases caused by agents arising from work activities" \r "chemical" </w:instrText>
      </w:r>
      <w:r w:rsidR="00C7036A" w:rsidRPr="00205CCE">
        <w:fldChar w:fldCharType="end"/>
      </w:r>
      <w:r w:rsidR="00306D40" w:rsidRPr="00205CCE">
        <w:fldChar w:fldCharType="begin"/>
      </w:r>
      <w:r w:rsidR="00306D40" w:rsidRPr="00205CCE">
        <w:instrText xml:space="preserve"> XE "legislation:prescribed occupational diseases" \r "diseases" </w:instrText>
      </w:r>
      <w:r w:rsidR="00306D40" w:rsidRPr="00205CCE">
        <w:fldChar w:fldCharType="end"/>
      </w:r>
    </w:p>
    <w:tbl>
      <w:tblPr>
        <w:tblW w:w="1509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Appendix Table 1: Occupational diseases as prescribed at 30 September 2014 — Occupational diseases caused by agents arising from "/>
        <w:tblDescription w:val="This table provides information on occupational diseases as perscribed at 30 September 2016 for occupational diseases caused by agents arising from work activities. "/>
      </w:tblPr>
      <w:tblGrid>
        <w:gridCol w:w="1564"/>
        <w:gridCol w:w="1503"/>
        <w:gridCol w:w="1503"/>
        <w:gridCol w:w="1504"/>
        <w:gridCol w:w="1503"/>
        <w:gridCol w:w="1504"/>
        <w:gridCol w:w="1503"/>
        <w:gridCol w:w="1504"/>
        <w:gridCol w:w="1503"/>
        <w:gridCol w:w="1504"/>
      </w:tblGrid>
      <w:tr w:rsidR="00A64F30" w:rsidRPr="00AE2013" w14:paraId="60C9C81A" w14:textId="77777777" w:rsidTr="00FB729B">
        <w:trPr>
          <w:cantSplit/>
          <w:tblHeader/>
        </w:trPr>
        <w:tc>
          <w:tcPr>
            <w:tcW w:w="1564" w:type="dxa"/>
            <w:shd w:val="clear" w:color="auto" w:fill="C00000"/>
            <w:tcMar>
              <w:top w:w="0" w:type="dxa"/>
              <w:left w:w="0" w:type="dxa"/>
              <w:bottom w:w="0" w:type="dxa"/>
              <w:right w:w="0" w:type="dxa"/>
            </w:tcMar>
            <w:vAlign w:val="center"/>
          </w:tcPr>
          <w:p w14:paraId="4596D219" w14:textId="77777777" w:rsidR="00A64F30" w:rsidRPr="00AE2013" w:rsidRDefault="00A64F30" w:rsidP="00292A53">
            <w:pPr>
              <w:pStyle w:val="Tableheaderrow"/>
              <w:spacing w:after="60"/>
            </w:pPr>
          </w:p>
        </w:tc>
        <w:tc>
          <w:tcPr>
            <w:tcW w:w="1503" w:type="dxa"/>
            <w:shd w:val="clear" w:color="auto" w:fill="C00000"/>
            <w:tcMar>
              <w:top w:w="0" w:type="dxa"/>
              <w:left w:w="0" w:type="dxa"/>
              <w:bottom w:w="0" w:type="dxa"/>
              <w:right w:w="0" w:type="dxa"/>
            </w:tcMar>
            <w:vAlign w:val="center"/>
          </w:tcPr>
          <w:p w14:paraId="4606E1A6" w14:textId="77777777" w:rsidR="00A64F30" w:rsidRPr="00AE2013" w:rsidRDefault="00A64F30" w:rsidP="00292A53">
            <w:pPr>
              <w:pStyle w:val="Tableheaderrow"/>
              <w:spacing w:after="60"/>
            </w:pPr>
            <w:r w:rsidRPr="00AE2013">
              <w:t>New South Wales</w:t>
            </w:r>
          </w:p>
        </w:tc>
        <w:tc>
          <w:tcPr>
            <w:tcW w:w="1503" w:type="dxa"/>
            <w:shd w:val="clear" w:color="auto" w:fill="C00000"/>
            <w:tcMar>
              <w:top w:w="0" w:type="dxa"/>
              <w:left w:w="0" w:type="dxa"/>
              <w:bottom w:w="0" w:type="dxa"/>
              <w:right w:w="0" w:type="dxa"/>
            </w:tcMar>
            <w:vAlign w:val="center"/>
          </w:tcPr>
          <w:p w14:paraId="110B6B9C" w14:textId="77777777" w:rsidR="00A64F30" w:rsidRPr="00AE2013" w:rsidRDefault="00A64F30" w:rsidP="00292A53">
            <w:pPr>
              <w:pStyle w:val="Tableheaderrow"/>
              <w:spacing w:after="60"/>
            </w:pPr>
            <w:r w:rsidRPr="00AE2013">
              <w:t>Victoria</w:t>
            </w:r>
          </w:p>
        </w:tc>
        <w:tc>
          <w:tcPr>
            <w:tcW w:w="1504" w:type="dxa"/>
            <w:shd w:val="clear" w:color="auto" w:fill="C00000"/>
            <w:tcMar>
              <w:top w:w="0" w:type="dxa"/>
              <w:left w:w="0" w:type="dxa"/>
              <w:bottom w:w="0" w:type="dxa"/>
              <w:right w:w="0" w:type="dxa"/>
            </w:tcMar>
            <w:vAlign w:val="center"/>
          </w:tcPr>
          <w:p w14:paraId="7E2BEC07" w14:textId="77777777" w:rsidR="00A64F30" w:rsidRPr="00AE2013" w:rsidRDefault="00A64F30" w:rsidP="00292A53">
            <w:pPr>
              <w:pStyle w:val="Tableheaderrow"/>
              <w:spacing w:after="60"/>
            </w:pPr>
            <w:r w:rsidRPr="00AE2013">
              <w:t>Western Australia</w:t>
            </w:r>
          </w:p>
        </w:tc>
        <w:tc>
          <w:tcPr>
            <w:tcW w:w="1503" w:type="dxa"/>
            <w:shd w:val="clear" w:color="auto" w:fill="C00000"/>
            <w:tcMar>
              <w:top w:w="0" w:type="dxa"/>
              <w:left w:w="0" w:type="dxa"/>
              <w:bottom w:w="0" w:type="dxa"/>
              <w:right w:w="0" w:type="dxa"/>
            </w:tcMar>
            <w:vAlign w:val="center"/>
          </w:tcPr>
          <w:p w14:paraId="760AB6C2" w14:textId="77777777" w:rsidR="00A64F30" w:rsidRPr="00AE2013" w:rsidRDefault="00A64F30" w:rsidP="00292A53">
            <w:pPr>
              <w:pStyle w:val="Tableheaderrow"/>
              <w:spacing w:after="60"/>
            </w:pPr>
            <w:r w:rsidRPr="00AE2013">
              <w:t>South Australia</w:t>
            </w:r>
          </w:p>
        </w:tc>
        <w:tc>
          <w:tcPr>
            <w:tcW w:w="1504" w:type="dxa"/>
            <w:shd w:val="clear" w:color="auto" w:fill="C00000"/>
            <w:tcMar>
              <w:top w:w="0" w:type="dxa"/>
              <w:left w:w="0" w:type="dxa"/>
              <w:bottom w:w="0" w:type="dxa"/>
              <w:right w:w="0" w:type="dxa"/>
            </w:tcMar>
            <w:vAlign w:val="center"/>
          </w:tcPr>
          <w:p w14:paraId="1412382D" w14:textId="77777777" w:rsidR="00A64F30" w:rsidRPr="00AE2013" w:rsidRDefault="00A64F30" w:rsidP="00292A53">
            <w:pPr>
              <w:pStyle w:val="Tableheaderrow"/>
              <w:spacing w:after="60"/>
            </w:pPr>
            <w:r w:rsidRPr="00AE2013">
              <w:t>Tasmania</w:t>
            </w:r>
          </w:p>
        </w:tc>
        <w:tc>
          <w:tcPr>
            <w:tcW w:w="1503" w:type="dxa"/>
            <w:shd w:val="clear" w:color="auto" w:fill="C00000"/>
            <w:tcMar>
              <w:top w:w="0" w:type="dxa"/>
              <w:left w:w="0" w:type="dxa"/>
              <w:bottom w:w="0" w:type="dxa"/>
              <w:right w:w="0" w:type="dxa"/>
            </w:tcMar>
            <w:vAlign w:val="center"/>
          </w:tcPr>
          <w:p w14:paraId="1A01C807" w14:textId="77777777" w:rsidR="00A64F30" w:rsidRPr="00AE2013" w:rsidRDefault="00A64F30" w:rsidP="00292A53">
            <w:pPr>
              <w:pStyle w:val="Tableheaderrow"/>
              <w:spacing w:after="60"/>
            </w:pPr>
            <w:r w:rsidRPr="00AE2013">
              <w:t>Northern Territory</w:t>
            </w:r>
          </w:p>
        </w:tc>
        <w:tc>
          <w:tcPr>
            <w:tcW w:w="1504" w:type="dxa"/>
            <w:shd w:val="clear" w:color="auto" w:fill="C00000"/>
            <w:tcMar>
              <w:top w:w="0" w:type="dxa"/>
              <w:left w:w="0" w:type="dxa"/>
              <w:bottom w:w="0" w:type="dxa"/>
              <w:right w:w="0" w:type="dxa"/>
            </w:tcMar>
            <w:vAlign w:val="center"/>
          </w:tcPr>
          <w:p w14:paraId="5163786D" w14:textId="77777777" w:rsidR="00A64F30" w:rsidRPr="00AE2013" w:rsidRDefault="00A64F30" w:rsidP="00292A53">
            <w:pPr>
              <w:pStyle w:val="Tableheaderrow"/>
              <w:spacing w:after="60"/>
            </w:pPr>
            <w:r w:rsidRPr="00AE2013">
              <w:t>Australian Capital Territory</w:t>
            </w:r>
          </w:p>
        </w:tc>
        <w:tc>
          <w:tcPr>
            <w:tcW w:w="1503" w:type="dxa"/>
            <w:shd w:val="clear" w:color="auto" w:fill="C00000"/>
            <w:tcMar>
              <w:top w:w="0" w:type="dxa"/>
              <w:left w:w="0" w:type="dxa"/>
              <w:bottom w:w="0" w:type="dxa"/>
              <w:right w:w="0" w:type="dxa"/>
            </w:tcMar>
            <w:vAlign w:val="center"/>
          </w:tcPr>
          <w:p w14:paraId="700FDD2A" w14:textId="7D9D30AA" w:rsidR="00A64F30" w:rsidRPr="00AE2013" w:rsidRDefault="00E43A0F" w:rsidP="00292A53">
            <w:pPr>
              <w:pStyle w:val="Tableheaderrow"/>
              <w:spacing w:after="60"/>
            </w:pPr>
            <w:r>
              <w:t>C’wealth</w:t>
            </w:r>
            <w:r w:rsidRPr="00142A1D">
              <w:rPr>
                <w:vertAlign w:val="superscript"/>
              </w:rPr>
              <w:t>1</w:t>
            </w:r>
          </w:p>
        </w:tc>
        <w:tc>
          <w:tcPr>
            <w:tcW w:w="1504" w:type="dxa"/>
            <w:shd w:val="clear" w:color="auto" w:fill="C00000"/>
            <w:tcMar>
              <w:top w:w="0" w:type="dxa"/>
              <w:left w:w="0" w:type="dxa"/>
              <w:bottom w:w="0" w:type="dxa"/>
              <w:right w:w="0" w:type="dxa"/>
            </w:tcMar>
            <w:vAlign w:val="center"/>
          </w:tcPr>
          <w:p w14:paraId="2BA47FDB" w14:textId="77777777" w:rsidR="00A64F30" w:rsidRPr="00AE2013" w:rsidRDefault="00A64F30" w:rsidP="00292A53">
            <w:pPr>
              <w:pStyle w:val="Tableheaderrow"/>
              <w:spacing w:after="60"/>
            </w:pPr>
            <w:r w:rsidRPr="00AE2013">
              <w:t>New Zealand</w:t>
            </w:r>
          </w:p>
        </w:tc>
      </w:tr>
      <w:tr w:rsidR="00A64F30" w:rsidRPr="001A7A6B" w14:paraId="3465A290" w14:textId="77777777" w:rsidTr="00FB729B">
        <w:trPr>
          <w:cantSplit/>
        </w:trPr>
        <w:tc>
          <w:tcPr>
            <w:tcW w:w="15095" w:type="dxa"/>
            <w:gridSpan w:val="10"/>
            <w:tcMar>
              <w:top w:w="80" w:type="dxa"/>
              <w:left w:w="80" w:type="dxa"/>
              <w:bottom w:w="80" w:type="dxa"/>
              <w:right w:w="80" w:type="dxa"/>
            </w:tcMar>
            <w:vAlign w:val="center"/>
          </w:tcPr>
          <w:p w14:paraId="380E7B97" w14:textId="01EEE048" w:rsidR="00A64F30" w:rsidRDefault="00A64F30" w:rsidP="00292A53">
            <w:pPr>
              <w:pStyle w:val="TableColumn1bold"/>
              <w:spacing w:after="60"/>
              <w:jc w:val="center"/>
            </w:pPr>
            <w:bookmarkStart w:id="304" w:name="chemical" w:colFirst="0" w:colLast="5"/>
            <w:r w:rsidRPr="001A7A6B">
              <w:t>Chemical agents</w:t>
            </w:r>
            <w:r w:rsidR="00C44D5D">
              <w:t xml:space="preserve"> </w:t>
            </w:r>
            <w:r w:rsidR="00C44D5D">
              <w:fldChar w:fldCharType="begin"/>
            </w:r>
            <w:r w:rsidR="00C44D5D">
              <w:instrText xml:space="preserve"> XE "</w:instrText>
            </w:r>
            <w:r w:rsidR="00C44D5D" w:rsidRPr="004F5D46">
              <w:instrText>chemical agents</w:instrText>
            </w:r>
            <w:r w:rsidR="00C44D5D">
              <w:instrText xml:space="preserve">" \r "chemical" </w:instrText>
            </w:r>
            <w:r w:rsidR="00C44D5D">
              <w:fldChar w:fldCharType="end"/>
            </w:r>
            <w:r w:rsidR="00C7036A">
              <w:fldChar w:fldCharType="begin"/>
            </w:r>
            <w:r w:rsidR="00C7036A">
              <w:instrText xml:space="preserve"> XE "</w:instrText>
            </w:r>
            <w:r w:rsidR="00C7036A" w:rsidRPr="00AD2871">
              <w:instrText>diseases:chemical agents</w:instrText>
            </w:r>
            <w:r w:rsidR="00C7036A">
              <w:instrText xml:space="preserve">" \r "chemical" </w:instrText>
            </w:r>
            <w:r w:rsidR="00C7036A">
              <w:fldChar w:fldCharType="end"/>
            </w:r>
          </w:p>
          <w:p w14:paraId="1EA82A25" w14:textId="77777777" w:rsidR="00C44D5D" w:rsidRPr="001A7A6B" w:rsidRDefault="00C44D5D" w:rsidP="00292A53">
            <w:pPr>
              <w:pStyle w:val="TableColumn1bold"/>
              <w:spacing w:after="60"/>
              <w:jc w:val="center"/>
            </w:pPr>
          </w:p>
        </w:tc>
      </w:tr>
      <w:tr w:rsidR="00A64F30" w:rsidRPr="001A7A6B" w14:paraId="311158C0" w14:textId="77777777" w:rsidTr="00FB729B">
        <w:trPr>
          <w:cantSplit/>
        </w:trPr>
        <w:tc>
          <w:tcPr>
            <w:tcW w:w="1564" w:type="dxa"/>
            <w:shd w:val="clear" w:color="auto" w:fill="FFC9C9"/>
            <w:tcMar>
              <w:top w:w="80" w:type="dxa"/>
              <w:left w:w="80" w:type="dxa"/>
              <w:bottom w:w="80" w:type="dxa"/>
              <w:right w:w="80" w:type="dxa"/>
            </w:tcMar>
          </w:tcPr>
          <w:p w14:paraId="3A1A2EFA" w14:textId="77777777" w:rsidR="00A64F30" w:rsidRPr="001A7A6B" w:rsidRDefault="00A64F30" w:rsidP="00292A53">
            <w:pPr>
              <w:pStyle w:val="TableColumn1bold"/>
              <w:spacing w:after="60"/>
            </w:pPr>
            <w:r w:rsidRPr="001A7A6B">
              <w:t>Alcohols, glycols or ketones</w:t>
            </w:r>
          </w:p>
        </w:tc>
        <w:tc>
          <w:tcPr>
            <w:tcW w:w="1503" w:type="dxa"/>
            <w:shd w:val="clear" w:color="auto" w:fill="FFC9C9"/>
            <w:tcMar>
              <w:top w:w="80" w:type="dxa"/>
              <w:left w:w="80" w:type="dxa"/>
              <w:bottom w:w="80" w:type="dxa"/>
              <w:right w:w="80" w:type="dxa"/>
            </w:tcMar>
          </w:tcPr>
          <w:p w14:paraId="1988FD4C"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376A033C"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790AD83B" w14:textId="03F624D0" w:rsidR="00A64F30" w:rsidRPr="001A7A6B" w:rsidRDefault="00A64F30" w:rsidP="00292A53">
            <w:pPr>
              <w:pStyle w:val="Table7pttext"/>
              <w:spacing w:after="60"/>
            </w:pPr>
            <w:r w:rsidRPr="001A7A6B">
              <w:t xml:space="preserve">Diseases caused </w:t>
            </w:r>
            <w:r w:rsidR="00B46F63">
              <w:t>by alcohols, glycols or ketones</w:t>
            </w:r>
          </w:p>
        </w:tc>
        <w:tc>
          <w:tcPr>
            <w:tcW w:w="1503" w:type="dxa"/>
            <w:shd w:val="clear" w:color="auto" w:fill="FFC9C9"/>
            <w:tcMar>
              <w:top w:w="80" w:type="dxa"/>
              <w:left w:w="80" w:type="dxa"/>
              <w:bottom w:w="80" w:type="dxa"/>
              <w:right w:w="80" w:type="dxa"/>
            </w:tcMar>
          </w:tcPr>
          <w:p w14:paraId="30163B8E"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5FF7949F" w14:textId="2A303277" w:rsidR="00A64F30" w:rsidRPr="001A7A6B" w:rsidRDefault="00A64F30" w:rsidP="00292A53">
            <w:pPr>
              <w:pStyle w:val="Table7pttext"/>
              <w:spacing w:after="60"/>
            </w:pPr>
            <w:r w:rsidRPr="001A7A6B">
              <w:t xml:space="preserve">Poisoning by alcohols, </w:t>
            </w:r>
            <w:r w:rsidR="00B46F63">
              <w:t>glycols or ketones</w:t>
            </w:r>
          </w:p>
        </w:tc>
        <w:tc>
          <w:tcPr>
            <w:tcW w:w="1503" w:type="dxa"/>
            <w:shd w:val="clear" w:color="auto" w:fill="FFC9C9"/>
            <w:tcMar>
              <w:top w:w="80" w:type="dxa"/>
              <w:left w:w="80" w:type="dxa"/>
              <w:bottom w:w="80" w:type="dxa"/>
              <w:right w:w="80" w:type="dxa"/>
            </w:tcMar>
          </w:tcPr>
          <w:p w14:paraId="380D7007" w14:textId="160CCB96" w:rsidR="00A64F30" w:rsidRPr="001A7A6B" w:rsidRDefault="00A64F30" w:rsidP="00292A53">
            <w:pPr>
              <w:pStyle w:val="Table7pttext"/>
              <w:spacing w:after="60"/>
            </w:pPr>
            <w:r w:rsidRPr="00A8033E">
              <w:t>Acute poisoning/toxicity</w:t>
            </w:r>
          </w:p>
        </w:tc>
        <w:tc>
          <w:tcPr>
            <w:tcW w:w="1504" w:type="dxa"/>
            <w:shd w:val="clear" w:color="auto" w:fill="FFC9C9"/>
            <w:tcMar>
              <w:top w:w="80" w:type="dxa"/>
              <w:left w:w="80" w:type="dxa"/>
              <w:bottom w:w="80" w:type="dxa"/>
              <w:right w:w="80" w:type="dxa"/>
            </w:tcMar>
          </w:tcPr>
          <w:p w14:paraId="768F9554"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7D60C115" w14:textId="7E5055F8" w:rsidR="00A64F30" w:rsidRPr="001A7A6B" w:rsidRDefault="00A64F30" w:rsidP="00292A53">
            <w:pPr>
              <w:pStyle w:val="Table7pttext"/>
              <w:spacing w:after="60"/>
            </w:pPr>
            <w:r w:rsidRPr="001A7A6B">
              <w:t xml:space="preserve">Diseases caused </w:t>
            </w:r>
            <w:r w:rsidR="00B46F63">
              <w:t>by alcohols, glycols or ketones</w:t>
            </w:r>
          </w:p>
        </w:tc>
        <w:tc>
          <w:tcPr>
            <w:tcW w:w="1504" w:type="dxa"/>
            <w:shd w:val="clear" w:color="auto" w:fill="FFC9C9"/>
            <w:tcMar>
              <w:top w:w="80" w:type="dxa"/>
              <w:left w:w="80" w:type="dxa"/>
              <w:bottom w:w="80" w:type="dxa"/>
              <w:right w:w="80" w:type="dxa"/>
            </w:tcMar>
          </w:tcPr>
          <w:p w14:paraId="03DC2F5B" w14:textId="77777777" w:rsidR="00A64F30" w:rsidRPr="001A7A6B" w:rsidRDefault="00A64F30" w:rsidP="00292A53">
            <w:pPr>
              <w:pStyle w:val="Table7pttext"/>
              <w:spacing w:after="60"/>
            </w:pPr>
            <w:r w:rsidRPr="001A7A6B">
              <w:t>—</w:t>
            </w:r>
          </w:p>
        </w:tc>
      </w:tr>
      <w:tr w:rsidR="00A64F30" w:rsidRPr="001A7A6B" w14:paraId="7B23D802" w14:textId="77777777" w:rsidTr="00FB729B">
        <w:trPr>
          <w:cantSplit/>
        </w:trPr>
        <w:tc>
          <w:tcPr>
            <w:tcW w:w="1564" w:type="dxa"/>
            <w:tcMar>
              <w:top w:w="80" w:type="dxa"/>
              <w:left w:w="80" w:type="dxa"/>
              <w:bottom w:w="80" w:type="dxa"/>
              <w:right w:w="80" w:type="dxa"/>
            </w:tcMar>
          </w:tcPr>
          <w:p w14:paraId="01869B6A" w14:textId="77777777" w:rsidR="00A64F30" w:rsidRPr="001A7A6B" w:rsidRDefault="00A64F30" w:rsidP="00292A53">
            <w:pPr>
              <w:pStyle w:val="TableColumn1bold"/>
              <w:spacing w:after="60"/>
            </w:pPr>
            <w:r w:rsidRPr="001A7A6B">
              <w:t>Antimony</w:t>
            </w:r>
          </w:p>
        </w:tc>
        <w:tc>
          <w:tcPr>
            <w:tcW w:w="1503" w:type="dxa"/>
            <w:tcMar>
              <w:top w:w="80" w:type="dxa"/>
              <w:left w:w="80" w:type="dxa"/>
              <w:bottom w:w="80" w:type="dxa"/>
              <w:right w:w="80" w:type="dxa"/>
            </w:tcMar>
          </w:tcPr>
          <w:p w14:paraId="2404E6EF"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6B1C25DB"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31E52F65"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4057F60E" w14:textId="77777777" w:rsidR="00A64F30" w:rsidRPr="001A7A6B" w:rsidRDefault="00A64F30" w:rsidP="00292A53">
            <w:pPr>
              <w:pStyle w:val="Table7pttext"/>
              <w:spacing w:after="60"/>
            </w:pPr>
            <w:r w:rsidRPr="001A7A6B">
              <w:t>Antimony poisoning or its sequelae (antimony or its preparations or compounds).</w:t>
            </w:r>
          </w:p>
        </w:tc>
        <w:tc>
          <w:tcPr>
            <w:tcW w:w="1504" w:type="dxa"/>
            <w:tcMar>
              <w:top w:w="80" w:type="dxa"/>
              <w:left w:w="80" w:type="dxa"/>
              <w:bottom w:w="80" w:type="dxa"/>
              <w:right w:w="80" w:type="dxa"/>
            </w:tcMar>
          </w:tcPr>
          <w:p w14:paraId="0987520D"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276383D5" w14:textId="56238A2C" w:rsidR="00A64F30" w:rsidRPr="001A7A6B" w:rsidRDefault="00A64F30" w:rsidP="00292A53">
            <w:pPr>
              <w:pStyle w:val="Table7pttext"/>
              <w:spacing w:after="60"/>
            </w:pPr>
            <w:r w:rsidRPr="00A8033E">
              <w:t>Acute poisoning/toxicity</w:t>
            </w:r>
            <w:r w:rsidR="00AC483C">
              <w:t>.</w:t>
            </w:r>
          </w:p>
        </w:tc>
        <w:tc>
          <w:tcPr>
            <w:tcW w:w="1504" w:type="dxa"/>
            <w:tcMar>
              <w:top w:w="80" w:type="dxa"/>
              <w:left w:w="80" w:type="dxa"/>
              <w:bottom w:w="80" w:type="dxa"/>
              <w:right w:w="80" w:type="dxa"/>
            </w:tcMar>
          </w:tcPr>
          <w:p w14:paraId="2FC54451" w14:textId="61D41028" w:rsidR="00A64F30" w:rsidRPr="001A7A6B" w:rsidRDefault="00A64F30" w:rsidP="00292A53">
            <w:pPr>
              <w:pStyle w:val="Table7pttext"/>
              <w:spacing w:after="60"/>
            </w:pPr>
            <w:r w:rsidRPr="001A7A6B">
              <w:t>Poisoning by antimony or a compound of antimony; any of t</w:t>
            </w:r>
            <w:r w:rsidR="00AD5848">
              <w:t>he sequelae of such a poisoning</w:t>
            </w:r>
          </w:p>
        </w:tc>
        <w:tc>
          <w:tcPr>
            <w:tcW w:w="1503" w:type="dxa"/>
            <w:tcMar>
              <w:top w:w="80" w:type="dxa"/>
              <w:left w:w="80" w:type="dxa"/>
              <w:bottom w:w="80" w:type="dxa"/>
              <w:right w:w="80" w:type="dxa"/>
            </w:tcMar>
          </w:tcPr>
          <w:p w14:paraId="3DDAAB45"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08E959BA" w14:textId="77777777" w:rsidR="00A64F30" w:rsidRPr="001A7A6B" w:rsidRDefault="00A64F30" w:rsidP="00292A53">
            <w:pPr>
              <w:pStyle w:val="Table7pttext"/>
              <w:spacing w:after="60"/>
            </w:pPr>
            <w:r w:rsidRPr="001A7A6B">
              <w:t>—</w:t>
            </w:r>
          </w:p>
        </w:tc>
      </w:tr>
      <w:tr w:rsidR="00A64F30" w:rsidRPr="001A7A6B" w14:paraId="6C561FDE" w14:textId="77777777" w:rsidTr="00FB729B">
        <w:trPr>
          <w:cantSplit/>
        </w:trPr>
        <w:tc>
          <w:tcPr>
            <w:tcW w:w="1564" w:type="dxa"/>
            <w:shd w:val="clear" w:color="auto" w:fill="FFC9C9"/>
            <w:tcMar>
              <w:top w:w="80" w:type="dxa"/>
              <w:left w:w="80" w:type="dxa"/>
              <w:bottom w:w="80" w:type="dxa"/>
              <w:right w:w="80" w:type="dxa"/>
            </w:tcMar>
          </w:tcPr>
          <w:p w14:paraId="2922C1B5" w14:textId="77777777" w:rsidR="00A64F30" w:rsidRPr="001A7A6B" w:rsidRDefault="00A64F30" w:rsidP="00292A53">
            <w:pPr>
              <w:pStyle w:val="TableColumn1bold"/>
              <w:spacing w:after="60"/>
            </w:pPr>
            <w:r w:rsidRPr="001A7A6B">
              <w:t>Arsenic</w:t>
            </w:r>
          </w:p>
        </w:tc>
        <w:tc>
          <w:tcPr>
            <w:tcW w:w="1503" w:type="dxa"/>
            <w:shd w:val="clear" w:color="auto" w:fill="FFC9C9"/>
            <w:tcMar>
              <w:top w:w="80" w:type="dxa"/>
              <w:left w:w="80" w:type="dxa"/>
              <w:bottom w:w="80" w:type="dxa"/>
              <w:right w:w="80" w:type="dxa"/>
            </w:tcMar>
          </w:tcPr>
          <w:p w14:paraId="356E15B2" w14:textId="1FBF6A45" w:rsidR="00A64F30" w:rsidRPr="001A7A6B" w:rsidRDefault="00A64F30" w:rsidP="00292A53">
            <w:pPr>
              <w:pStyle w:val="Table7pttext"/>
              <w:spacing w:after="60"/>
            </w:pPr>
            <w:r w:rsidRPr="001A7A6B">
              <w:t xml:space="preserve">Arsenic poisoning by arsenic or </w:t>
            </w:r>
            <w:r w:rsidR="00B46F63">
              <w:t>its compounds, and its sequelae</w:t>
            </w:r>
          </w:p>
          <w:p w14:paraId="5B431871" w14:textId="69936DC4" w:rsidR="00A64F30" w:rsidRPr="001A7A6B" w:rsidRDefault="00A64F30" w:rsidP="00292A53">
            <w:pPr>
              <w:pStyle w:val="Table7pttext"/>
              <w:spacing w:after="60"/>
            </w:pPr>
            <w:r w:rsidRPr="001A7A6B">
              <w:t>(</w:t>
            </w:r>
            <w:hyperlink r:id="rId2203" w:history="1">
              <w:r w:rsidRPr="009A3D99">
                <w:rPr>
                  <w:rStyle w:val="Hyperlink"/>
                </w:rPr>
                <w:t>Schedule 1</w:t>
              </w:r>
            </w:hyperlink>
            <w:r w:rsidRPr="001A7A6B">
              <w:t xml:space="preserve"> of the Worke</w:t>
            </w:r>
            <w:r>
              <w:t>rs’ Compensation Regulation 2016</w:t>
            </w:r>
            <w:r w:rsidR="00B46F63">
              <w:t>)</w:t>
            </w:r>
          </w:p>
        </w:tc>
        <w:tc>
          <w:tcPr>
            <w:tcW w:w="1503" w:type="dxa"/>
            <w:shd w:val="clear" w:color="auto" w:fill="FFC9C9"/>
            <w:tcMar>
              <w:top w:w="80" w:type="dxa"/>
              <w:left w:w="80" w:type="dxa"/>
              <w:bottom w:w="80" w:type="dxa"/>
              <w:right w:w="80" w:type="dxa"/>
            </w:tcMar>
          </w:tcPr>
          <w:p w14:paraId="380D8B88" w14:textId="14E29E8A" w:rsidR="00A64F30" w:rsidRPr="001A7A6B" w:rsidRDefault="00A64F30" w:rsidP="00292A53">
            <w:pPr>
              <w:pStyle w:val="Table7pttext"/>
              <w:spacing w:after="60"/>
            </w:pPr>
            <w:r w:rsidRPr="001A7A6B">
              <w:t>Arsenic poisoning or its sequelae (arsenic or its preparations</w:t>
            </w:r>
            <w:r w:rsidR="00B46F63">
              <w:t xml:space="preserve"> or compounds)</w:t>
            </w:r>
          </w:p>
        </w:tc>
        <w:tc>
          <w:tcPr>
            <w:tcW w:w="1504" w:type="dxa"/>
            <w:shd w:val="clear" w:color="auto" w:fill="FFC9C9"/>
            <w:tcMar>
              <w:top w:w="80" w:type="dxa"/>
              <w:left w:w="80" w:type="dxa"/>
              <w:bottom w:w="80" w:type="dxa"/>
              <w:right w:w="80" w:type="dxa"/>
            </w:tcMar>
          </w:tcPr>
          <w:p w14:paraId="7AAEAA22" w14:textId="54E8D5C5" w:rsidR="00A64F30" w:rsidRPr="001A7A6B" w:rsidRDefault="00B53A65" w:rsidP="00292A53">
            <w:pPr>
              <w:pStyle w:val="Table7pttext"/>
              <w:spacing w:after="60"/>
            </w:pPr>
            <w:r>
              <w:t>Arsenic poisoning (</w:t>
            </w:r>
            <w:r w:rsidR="00A64F30" w:rsidRPr="001A7A6B">
              <w:t>arsenic o</w:t>
            </w:r>
            <w:r>
              <w:t>r its preparations or compounds)</w:t>
            </w:r>
          </w:p>
        </w:tc>
        <w:tc>
          <w:tcPr>
            <w:tcW w:w="1503" w:type="dxa"/>
            <w:shd w:val="clear" w:color="auto" w:fill="FFC9C9"/>
            <w:tcMar>
              <w:top w:w="80" w:type="dxa"/>
              <w:left w:w="80" w:type="dxa"/>
              <w:bottom w:w="80" w:type="dxa"/>
              <w:right w:w="80" w:type="dxa"/>
            </w:tcMar>
          </w:tcPr>
          <w:p w14:paraId="19C1D05E" w14:textId="3F579FB2" w:rsidR="00A64F30" w:rsidRPr="001A7A6B" w:rsidRDefault="00A64F30" w:rsidP="00292A53">
            <w:pPr>
              <w:pStyle w:val="Table7pttext"/>
              <w:spacing w:after="60"/>
            </w:pPr>
            <w:r w:rsidRPr="001A7A6B">
              <w:t>Arsenic poisoning or its sequelae (arsenic or</w:t>
            </w:r>
            <w:r w:rsidR="00B46F63">
              <w:t xml:space="preserve"> its preparations or compounds)</w:t>
            </w:r>
          </w:p>
        </w:tc>
        <w:tc>
          <w:tcPr>
            <w:tcW w:w="1504" w:type="dxa"/>
            <w:shd w:val="clear" w:color="auto" w:fill="FFC9C9"/>
            <w:tcMar>
              <w:top w:w="80" w:type="dxa"/>
              <w:left w:w="80" w:type="dxa"/>
              <w:bottom w:w="80" w:type="dxa"/>
              <w:right w:w="80" w:type="dxa"/>
            </w:tcMar>
          </w:tcPr>
          <w:p w14:paraId="3B635CEC" w14:textId="60EE09CC" w:rsidR="00A64F30" w:rsidRPr="001A7A6B" w:rsidRDefault="00A64F30" w:rsidP="00292A53">
            <w:pPr>
              <w:pStyle w:val="Table7pttext"/>
              <w:spacing w:after="60"/>
            </w:pPr>
            <w:r w:rsidRPr="001A7A6B">
              <w:t>Poisoning by</w:t>
            </w:r>
            <w:r w:rsidR="00B46F63">
              <w:t xml:space="preserve"> arsenic or its toxic compounds</w:t>
            </w:r>
          </w:p>
        </w:tc>
        <w:tc>
          <w:tcPr>
            <w:tcW w:w="1503" w:type="dxa"/>
            <w:shd w:val="clear" w:color="auto" w:fill="FFC9C9"/>
            <w:tcMar>
              <w:top w:w="80" w:type="dxa"/>
              <w:left w:w="80" w:type="dxa"/>
              <w:bottom w:w="80" w:type="dxa"/>
              <w:right w:w="80" w:type="dxa"/>
            </w:tcMar>
          </w:tcPr>
          <w:p w14:paraId="6DF09B1B" w14:textId="77777777" w:rsidR="00A64F30" w:rsidRDefault="00A64F30" w:rsidP="00292A53">
            <w:pPr>
              <w:pStyle w:val="Table7pttext"/>
              <w:spacing w:after="60"/>
            </w:pPr>
            <w:r>
              <w:t>Acute poisoning/toxicity.</w:t>
            </w:r>
          </w:p>
          <w:p w14:paraId="427B3EB0" w14:textId="26FAB5BF" w:rsidR="00A64F30" w:rsidRPr="001A7A6B" w:rsidRDefault="00A64F30" w:rsidP="00292A53">
            <w:pPr>
              <w:pStyle w:val="Table7pttext"/>
              <w:spacing w:after="60"/>
            </w:pPr>
            <w:r>
              <w:t>Lung malignancy, Peripheral neuropathy</w:t>
            </w:r>
          </w:p>
        </w:tc>
        <w:tc>
          <w:tcPr>
            <w:tcW w:w="1504" w:type="dxa"/>
            <w:shd w:val="clear" w:color="auto" w:fill="FFC9C9"/>
            <w:tcMar>
              <w:top w:w="80" w:type="dxa"/>
              <w:left w:w="80" w:type="dxa"/>
              <w:bottom w:w="80" w:type="dxa"/>
              <w:right w:w="80" w:type="dxa"/>
            </w:tcMar>
          </w:tcPr>
          <w:p w14:paraId="0D20C4BA" w14:textId="49FA1026" w:rsidR="00A64F30" w:rsidRPr="001A7A6B" w:rsidRDefault="00A64F30" w:rsidP="00292A53">
            <w:pPr>
              <w:pStyle w:val="Table7pttext"/>
              <w:spacing w:after="60"/>
            </w:pPr>
            <w:r w:rsidRPr="001A7A6B">
              <w:t>Poisoning by arsenic or a compound of arsenic; any of t</w:t>
            </w:r>
            <w:r w:rsidR="00AD5848">
              <w:t>he sequelae of such a poisoning</w:t>
            </w:r>
          </w:p>
        </w:tc>
        <w:tc>
          <w:tcPr>
            <w:tcW w:w="1503" w:type="dxa"/>
            <w:shd w:val="clear" w:color="auto" w:fill="FFC9C9"/>
            <w:tcMar>
              <w:top w:w="80" w:type="dxa"/>
              <w:left w:w="80" w:type="dxa"/>
              <w:bottom w:w="80" w:type="dxa"/>
              <w:right w:w="80" w:type="dxa"/>
            </w:tcMar>
          </w:tcPr>
          <w:p w14:paraId="3D27BE6E" w14:textId="77777777" w:rsidR="00A64F30" w:rsidRPr="001A7A6B" w:rsidRDefault="00A64F30" w:rsidP="00292A53">
            <w:pPr>
              <w:pStyle w:val="Table7pttext"/>
              <w:spacing w:after="60"/>
            </w:pPr>
            <w:r w:rsidRPr="001A7A6B">
              <w:t>Diseases caused by arsenic or its toxic compounds.</w:t>
            </w:r>
          </w:p>
        </w:tc>
        <w:tc>
          <w:tcPr>
            <w:tcW w:w="1504" w:type="dxa"/>
            <w:shd w:val="clear" w:color="auto" w:fill="FFC9C9"/>
            <w:tcMar>
              <w:top w:w="80" w:type="dxa"/>
              <w:left w:w="80" w:type="dxa"/>
              <w:bottom w:w="80" w:type="dxa"/>
              <w:right w:w="80" w:type="dxa"/>
            </w:tcMar>
          </w:tcPr>
          <w:p w14:paraId="38C157E8" w14:textId="52D8EF90" w:rsidR="00A64F30" w:rsidRPr="001A7A6B" w:rsidRDefault="00A64F30" w:rsidP="00292A53">
            <w:pPr>
              <w:pStyle w:val="Table7pttext"/>
              <w:spacing w:after="60"/>
            </w:pPr>
            <w:r w:rsidRPr="001A7A6B">
              <w:t>Diseases of a type generally accepted by the medical profession as caused by arsenic or its toxic compound</w:t>
            </w:r>
            <w:r w:rsidR="00AD5848">
              <w:t>s</w:t>
            </w:r>
          </w:p>
        </w:tc>
      </w:tr>
      <w:tr w:rsidR="00A64F30" w:rsidRPr="001A7A6B" w14:paraId="323934C0" w14:textId="77777777" w:rsidTr="00FB729B">
        <w:trPr>
          <w:cantSplit/>
        </w:trPr>
        <w:tc>
          <w:tcPr>
            <w:tcW w:w="1564" w:type="dxa"/>
            <w:tcMar>
              <w:top w:w="80" w:type="dxa"/>
              <w:left w:w="80" w:type="dxa"/>
              <w:bottom w:w="80" w:type="dxa"/>
              <w:right w:w="80" w:type="dxa"/>
            </w:tcMar>
          </w:tcPr>
          <w:p w14:paraId="3F117784" w14:textId="77777777" w:rsidR="00A64F30" w:rsidRPr="001A7A6B" w:rsidRDefault="00A64F30" w:rsidP="00292A53">
            <w:pPr>
              <w:pStyle w:val="TableColumn1bold"/>
              <w:spacing w:after="60"/>
            </w:pPr>
            <w:r w:rsidRPr="001A7A6B">
              <w:t>Asphyxiants: carbon monoxide, hydrogen sulphide, hydrogen cyanide</w:t>
            </w:r>
          </w:p>
        </w:tc>
        <w:tc>
          <w:tcPr>
            <w:tcW w:w="1503" w:type="dxa"/>
            <w:tcMar>
              <w:top w:w="80" w:type="dxa"/>
              <w:left w:w="80" w:type="dxa"/>
              <w:bottom w:w="80" w:type="dxa"/>
              <w:right w:w="80" w:type="dxa"/>
            </w:tcMar>
          </w:tcPr>
          <w:p w14:paraId="1C22E423"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0196DCC0" w14:textId="059A117F" w:rsidR="00A64F30" w:rsidRPr="001A7A6B" w:rsidRDefault="00AD5848" w:rsidP="00292A53">
            <w:pPr>
              <w:pStyle w:val="Table7pttext"/>
              <w:spacing w:after="60"/>
            </w:pPr>
            <w:r>
              <w:t>Carbon monoxide poisoning</w:t>
            </w:r>
          </w:p>
        </w:tc>
        <w:tc>
          <w:tcPr>
            <w:tcW w:w="1504" w:type="dxa"/>
            <w:tcMar>
              <w:top w:w="80" w:type="dxa"/>
              <w:left w:w="80" w:type="dxa"/>
              <w:bottom w:w="80" w:type="dxa"/>
              <w:right w:w="80" w:type="dxa"/>
            </w:tcMar>
          </w:tcPr>
          <w:p w14:paraId="139F508C" w14:textId="77777777" w:rsidR="00A64F30" w:rsidRPr="001A7A6B" w:rsidRDefault="00A64F30" w:rsidP="00292A53">
            <w:pPr>
              <w:pStyle w:val="Table7pttext"/>
              <w:spacing w:after="60"/>
            </w:pPr>
            <w:r w:rsidRPr="001A7A6B">
              <w:t>Poisoning by cyanogen compounds.</w:t>
            </w:r>
          </w:p>
          <w:p w14:paraId="61E1D76F" w14:textId="77777777" w:rsidR="00A64F30" w:rsidRPr="001A7A6B" w:rsidRDefault="00A64F30" w:rsidP="00292A53">
            <w:pPr>
              <w:pStyle w:val="Table7pttext"/>
              <w:spacing w:after="60"/>
            </w:pPr>
            <w:r w:rsidRPr="001A7A6B">
              <w:t>Poisoning by carbon monoxide.</w:t>
            </w:r>
          </w:p>
          <w:p w14:paraId="3012BB18" w14:textId="7DC6AE27" w:rsidR="00A64F30" w:rsidRPr="001A7A6B" w:rsidRDefault="00A64F30" w:rsidP="00292A53">
            <w:pPr>
              <w:pStyle w:val="Table7pttext"/>
              <w:spacing w:after="60"/>
            </w:pPr>
            <w:r w:rsidRPr="001A7A6B">
              <w:t xml:space="preserve">Diseases caused by asphyxiants: carbon monoxide, hydrogen cyanide or its toxic derivatives or </w:t>
            </w:r>
            <w:r w:rsidR="00AD5848">
              <w:t>hydrogen sulphide</w:t>
            </w:r>
          </w:p>
        </w:tc>
        <w:tc>
          <w:tcPr>
            <w:tcW w:w="1503" w:type="dxa"/>
            <w:tcMar>
              <w:top w:w="80" w:type="dxa"/>
              <w:left w:w="80" w:type="dxa"/>
              <w:bottom w:w="80" w:type="dxa"/>
              <w:right w:w="80" w:type="dxa"/>
            </w:tcMar>
          </w:tcPr>
          <w:p w14:paraId="59A049F4" w14:textId="507E853C" w:rsidR="00A64F30" w:rsidRPr="001A7A6B" w:rsidRDefault="00A64F30" w:rsidP="00292A53">
            <w:pPr>
              <w:pStyle w:val="Table7pttext"/>
              <w:spacing w:after="60"/>
            </w:pPr>
            <w:r w:rsidRPr="001A7A6B">
              <w:t>Carbon mon</w:t>
            </w:r>
            <w:r w:rsidR="00AD5848">
              <w:t>oxide poisoning or its sequelae</w:t>
            </w:r>
          </w:p>
        </w:tc>
        <w:tc>
          <w:tcPr>
            <w:tcW w:w="1504" w:type="dxa"/>
            <w:tcMar>
              <w:top w:w="80" w:type="dxa"/>
              <w:left w:w="80" w:type="dxa"/>
              <w:bottom w:w="80" w:type="dxa"/>
              <w:right w:w="80" w:type="dxa"/>
            </w:tcMar>
          </w:tcPr>
          <w:p w14:paraId="7542055B" w14:textId="36DDD922" w:rsidR="00A64F30" w:rsidRPr="001A7A6B" w:rsidRDefault="00A64F30" w:rsidP="00292A53">
            <w:pPr>
              <w:pStyle w:val="Table7pttext"/>
              <w:spacing w:after="60"/>
            </w:pPr>
            <w:r w:rsidRPr="001A7A6B">
              <w:t>Poisoning by asphyxiants: carbon monoxide, carbon dioxide, hydrogen sulph</w:t>
            </w:r>
            <w:r w:rsidR="00AD5848">
              <w:t>ide, hydrogen cyanide, nitrogen</w:t>
            </w:r>
          </w:p>
        </w:tc>
        <w:tc>
          <w:tcPr>
            <w:tcW w:w="1503" w:type="dxa"/>
            <w:tcMar>
              <w:top w:w="80" w:type="dxa"/>
              <w:left w:w="80" w:type="dxa"/>
              <w:bottom w:w="80" w:type="dxa"/>
              <w:right w:w="80" w:type="dxa"/>
            </w:tcMar>
          </w:tcPr>
          <w:p w14:paraId="00D46D99" w14:textId="77777777" w:rsidR="00A64F30" w:rsidRDefault="00A64F30" w:rsidP="00292A53">
            <w:pPr>
              <w:pStyle w:val="Table7pttext"/>
              <w:spacing w:after="60"/>
            </w:pPr>
            <w:r>
              <w:t>Acute poisoning/toxicity.</w:t>
            </w:r>
          </w:p>
          <w:p w14:paraId="707D2BAB" w14:textId="38D10BCD" w:rsidR="00A64F30" w:rsidRPr="001A7A6B" w:rsidRDefault="00A64F30" w:rsidP="00292A53">
            <w:pPr>
              <w:pStyle w:val="Table7pttext"/>
              <w:spacing w:after="60"/>
            </w:pPr>
            <w:r>
              <w:t>Occupational asthma</w:t>
            </w:r>
          </w:p>
        </w:tc>
        <w:tc>
          <w:tcPr>
            <w:tcW w:w="1504" w:type="dxa"/>
            <w:tcMar>
              <w:top w:w="80" w:type="dxa"/>
              <w:left w:w="80" w:type="dxa"/>
              <w:bottom w:w="80" w:type="dxa"/>
              <w:right w:w="80" w:type="dxa"/>
            </w:tcMar>
          </w:tcPr>
          <w:p w14:paraId="0D013BF5" w14:textId="77777777" w:rsidR="00A64F30" w:rsidRPr="001A7A6B" w:rsidRDefault="00A64F30" w:rsidP="00292A53">
            <w:pPr>
              <w:pStyle w:val="Table7pttext"/>
              <w:spacing w:after="60"/>
            </w:pPr>
            <w:r w:rsidRPr="001A7A6B">
              <w:t xml:space="preserve">Poisoning by carbon monoxide. </w:t>
            </w:r>
          </w:p>
          <w:p w14:paraId="0365D630" w14:textId="77777777" w:rsidR="00A64F30" w:rsidRPr="001A7A6B" w:rsidRDefault="00A64F30" w:rsidP="00292A53">
            <w:pPr>
              <w:pStyle w:val="Table7pttext"/>
              <w:spacing w:after="60"/>
            </w:pPr>
            <w:r w:rsidRPr="001A7A6B">
              <w:t>Poisoning by hydrogen cyanide or a compound of hydrogen cyanide.</w:t>
            </w:r>
          </w:p>
          <w:p w14:paraId="74D69B0B" w14:textId="5F9A2D84" w:rsidR="00A64F30" w:rsidRPr="001A7A6B" w:rsidRDefault="00AD5848" w:rsidP="00292A53">
            <w:pPr>
              <w:pStyle w:val="Table7pttext"/>
              <w:spacing w:after="60"/>
            </w:pPr>
            <w:r>
              <w:t>Poisoning by hydrogen sulphide</w:t>
            </w:r>
          </w:p>
        </w:tc>
        <w:tc>
          <w:tcPr>
            <w:tcW w:w="1503" w:type="dxa"/>
            <w:tcMar>
              <w:top w:w="80" w:type="dxa"/>
              <w:left w:w="80" w:type="dxa"/>
              <w:bottom w:w="80" w:type="dxa"/>
              <w:right w:w="80" w:type="dxa"/>
            </w:tcMar>
          </w:tcPr>
          <w:p w14:paraId="6806EA42" w14:textId="44237256" w:rsidR="00A64F30" w:rsidRPr="001A7A6B" w:rsidRDefault="00A64F30" w:rsidP="00292A53">
            <w:pPr>
              <w:pStyle w:val="Table7pttext"/>
              <w:spacing w:after="60"/>
            </w:pPr>
            <w:r w:rsidRPr="001A7A6B">
              <w:t>Diseases caused by asphyxiants: carbon monoxide, hydrogen cyanide or its toxic</w:t>
            </w:r>
            <w:r w:rsidR="00AD5848">
              <w:t xml:space="preserve"> derivatives, hydrogen sulphide</w:t>
            </w:r>
          </w:p>
        </w:tc>
        <w:tc>
          <w:tcPr>
            <w:tcW w:w="1504" w:type="dxa"/>
            <w:tcMar>
              <w:top w:w="80" w:type="dxa"/>
              <w:left w:w="80" w:type="dxa"/>
              <w:bottom w:w="80" w:type="dxa"/>
              <w:right w:w="80" w:type="dxa"/>
            </w:tcMar>
          </w:tcPr>
          <w:p w14:paraId="6C55CA27" w14:textId="77777777" w:rsidR="00A64F30" w:rsidRPr="001A7A6B" w:rsidRDefault="00A64F30" w:rsidP="00292A53">
            <w:pPr>
              <w:pStyle w:val="Table7pttext"/>
              <w:spacing w:after="60"/>
            </w:pPr>
            <w:r w:rsidRPr="001A7A6B">
              <w:t>—</w:t>
            </w:r>
          </w:p>
        </w:tc>
      </w:tr>
      <w:tr w:rsidR="00A64F30" w:rsidRPr="001A7A6B" w14:paraId="3A25B92E" w14:textId="77777777" w:rsidTr="00FB729B">
        <w:trPr>
          <w:cantSplit/>
        </w:trPr>
        <w:tc>
          <w:tcPr>
            <w:tcW w:w="1564" w:type="dxa"/>
            <w:shd w:val="clear" w:color="auto" w:fill="FFC9C9"/>
            <w:tcMar>
              <w:top w:w="80" w:type="dxa"/>
              <w:left w:w="80" w:type="dxa"/>
              <w:bottom w:w="80" w:type="dxa"/>
              <w:right w:w="80" w:type="dxa"/>
            </w:tcMar>
          </w:tcPr>
          <w:p w14:paraId="57A989E2" w14:textId="77777777" w:rsidR="00A64F30" w:rsidRPr="001A7A6B" w:rsidRDefault="00A64F30" w:rsidP="00292A53">
            <w:pPr>
              <w:pStyle w:val="TableColumn1bold"/>
              <w:spacing w:after="60"/>
            </w:pPr>
            <w:r w:rsidRPr="001A7A6B">
              <w:lastRenderedPageBreak/>
              <w:t>Benzene</w:t>
            </w:r>
          </w:p>
        </w:tc>
        <w:tc>
          <w:tcPr>
            <w:tcW w:w="1503" w:type="dxa"/>
            <w:shd w:val="clear" w:color="auto" w:fill="FFC9C9"/>
            <w:tcMar>
              <w:top w:w="80" w:type="dxa"/>
              <w:left w:w="80" w:type="dxa"/>
              <w:bottom w:w="80" w:type="dxa"/>
              <w:right w:w="80" w:type="dxa"/>
            </w:tcMar>
          </w:tcPr>
          <w:p w14:paraId="1E1B7EAB" w14:textId="0CFB68AB" w:rsidR="00A64F30" w:rsidRPr="001A7A6B" w:rsidRDefault="00A64F30" w:rsidP="00292A53">
            <w:pPr>
              <w:pStyle w:val="Table7pttext"/>
              <w:spacing w:after="60"/>
            </w:pPr>
            <w:r w:rsidRPr="001A7A6B">
              <w:t>Poisoning by benzene or its homologues, their nitro and amido</w:t>
            </w:r>
            <w:r w:rsidR="00AD5848">
              <w:t>- derivatives, and its sequelae</w:t>
            </w:r>
          </w:p>
          <w:p w14:paraId="1FD71840" w14:textId="63AE0B58" w:rsidR="00A64F30" w:rsidRPr="001A7A6B" w:rsidRDefault="00A64F30" w:rsidP="00292A53">
            <w:pPr>
              <w:pStyle w:val="Table7pttext"/>
              <w:spacing w:after="60"/>
            </w:pPr>
            <w:r w:rsidRPr="001A7A6B">
              <w:t>(</w:t>
            </w:r>
            <w:hyperlink r:id="rId2204" w:history="1">
              <w:r w:rsidRPr="009A3D99">
                <w:rPr>
                  <w:rStyle w:val="Hyperlink"/>
                </w:rPr>
                <w:t>Schedule 1</w:t>
              </w:r>
            </w:hyperlink>
            <w:r w:rsidRPr="001A7A6B">
              <w:t xml:space="preserve"> of the Workers’ C</w:t>
            </w:r>
            <w:r>
              <w:t>ompensation Regulation 2016</w:t>
            </w:r>
            <w:r w:rsidR="00AD5848">
              <w:t>)</w:t>
            </w:r>
          </w:p>
        </w:tc>
        <w:tc>
          <w:tcPr>
            <w:tcW w:w="1503" w:type="dxa"/>
            <w:shd w:val="clear" w:color="auto" w:fill="FFC9C9"/>
            <w:tcMar>
              <w:top w:w="80" w:type="dxa"/>
              <w:left w:w="80" w:type="dxa"/>
              <w:bottom w:w="80" w:type="dxa"/>
              <w:right w:w="80" w:type="dxa"/>
            </w:tcMar>
          </w:tcPr>
          <w:p w14:paraId="19CA1696" w14:textId="103D8F59" w:rsidR="00A64F30" w:rsidRPr="001A7A6B" w:rsidRDefault="00A64F30" w:rsidP="00292A53">
            <w:pPr>
              <w:pStyle w:val="Table7pttext"/>
              <w:spacing w:after="60"/>
            </w:pPr>
            <w:r w:rsidRPr="001A7A6B">
              <w:t>Poisoning by benzol, its homologues, or its nitro and amido- derivatives, and t</w:t>
            </w:r>
            <w:r w:rsidR="00AD5848">
              <w:t>he sequelae of these poisonings</w:t>
            </w:r>
          </w:p>
        </w:tc>
        <w:tc>
          <w:tcPr>
            <w:tcW w:w="1504" w:type="dxa"/>
            <w:shd w:val="clear" w:color="auto" w:fill="FFC9C9"/>
            <w:tcMar>
              <w:top w:w="80" w:type="dxa"/>
              <w:left w:w="80" w:type="dxa"/>
              <w:bottom w:w="80" w:type="dxa"/>
              <w:right w:w="80" w:type="dxa"/>
            </w:tcMar>
          </w:tcPr>
          <w:p w14:paraId="78D128F8" w14:textId="77777777" w:rsidR="00A64F30" w:rsidRPr="001A7A6B" w:rsidRDefault="00A64F30" w:rsidP="00292A53">
            <w:pPr>
              <w:pStyle w:val="Table7pttext"/>
              <w:spacing w:after="60"/>
            </w:pPr>
            <w:r w:rsidRPr="001A7A6B">
              <w:t>Poisoning by benzol.</w:t>
            </w:r>
          </w:p>
          <w:p w14:paraId="0A8D9F1F" w14:textId="36AE2E0D" w:rsidR="00A64F30" w:rsidRPr="001A7A6B" w:rsidRDefault="00A64F30" w:rsidP="00292A53">
            <w:pPr>
              <w:pStyle w:val="Table7pttext"/>
              <w:spacing w:after="60"/>
            </w:pPr>
            <w:r w:rsidRPr="001A7A6B">
              <w:t>Pois</w:t>
            </w:r>
            <w:r w:rsidR="00B53A65">
              <w:t>oning by a ho</w:t>
            </w:r>
            <w:r w:rsidR="00AD5848">
              <w:t>mologue of benzol</w:t>
            </w:r>
          </w:p>
        </w:tc>
        <w:tc>
          <w:tcPr>
            <w:tcW w:w="1503" w:type="dxa"/>
            <w:shd w:val="clear" w:color="auto" w:fill="FFC9C9"/>
            <w:tcMar>
              <w:top w:w="80" w:type="dxa"/>
              <w:left w:w="80" w:type="dxa"/>
              <w:bottom w:w="80" w:type="dxa"/>
              <w:right w:w="80" w:type="dxa"/>
            </w:tcMar>
          </w:tcPr>
          <w:p w14:paraId="761E0F12" w14:textId="78BF5449" w:rsidR="00A64F30" w:rsidRPr="001A7A6B" w:rsidRDefault="00A64F30" w:rsidP="00292A53">
            <w:pPr>
              <w:pStyle w:val="Table7pttext"/>
              <w:spacing w:after="60"/>
            </w:pPr>
            <w:r w:rsidRPr="001A7A6B">
              <w:t>Benzene poisoning (i.e. poisoning by benzene or its homologues or their nitro and amdio</w:t>
            </w:r>
            <w:r w:rsidR="00AD5848">
              <w:t>-derivatives) and its sequelae</w:t>
            </w:r>
          </w:p>
        </w:tc>
        <w:tc>
          <w:tcPr>
            <w:tcW w:w="1504" w:type="dxa"/>
            <w:shd w:val="clear" w:color="auto" w:fill="FFC9C9"/>
            <w:tcMar>
              <w:top w:w="80" w:type="dxa"/>
              <w:left w:w="80" w:type="dxa"/>
              <w:bottom w:w="80" w:type="dxa"/>
              <w:right w:w="80" w:type="dxa"/>
            </w:tcMar>
          </w:tcPr>
          <w:p w14:paraId="7A35292F" w14:textId="3AE01894" w:rsidR="00A64F30" w:rsidRPr="001A7A6B" w:rsidRDefault="00A64F30" w:rsidP="00292A53">
            <w:pPr>
              <w:pStyle w:val="Table7pttext"/>
              <w:spacing w:after="60"/>
            </w:pPr>
            <w:r w:rsidRPr="001A7A6B">
              <w:t xml:space="preserve">Poisoning by </w:t>
            </w:r>
            <w:r w:rsidR="00AD5848">
              <w:t>benzene or its toxic homologues</w:t>
            </w:r>
          </w:p>
        </w:tc>
        <w:tc>
          <w:tcPr>
            <w:tcW w:w="1503" w:type="dxa"/>
            <w:shd w:val="clear" w:color="auto" w:fill="FFC9C9"/>
            <w:tcMar>
              <w:top w:w="80" w:type="dxa"/>
              <w:left w:w="80" w:type="dxa"/>
              <w:bottom w:w="80" w:type="dxa"/>
              <w:right w:w="80" w:type="dxa"/>
            </w:tcMar>
          </w:tcPr>
          <w:p w14:paraId="6479F5D2" w14:textId="77777777" w:rsidR="00A64F30" w:rsidRDefault="00A64F30" w:rsidP="00292A53">
            <w:pPr>
              <w:pStyle w:val="Table7pttext"/>
              <w:spacing w:after="60"/>
            </w:pPr>
            <w:r>
              <w:t>Acute poisoning/toxicity.</w:t>
            </w:r>
          </w:p>
          <w:p w14:paraId="35D85BF8" w14:textId="421BC154" w:rsidR="00A64F30" w:rsidRPr="001A7A6B" w:rsidRDefault="00A64F30" w:rsidP="00292A53">
            <w:pPr>
              <w:pStyle w:val="Table7pttext"/>
              <w:spacing w:after="60"/>
            </w:pPr>
            <w:r>
              <w:t>Leukaemia (excluding chronic lyphatic leukaemia)</w:t>
            </w:r>
          </w:p>
        </w:tc>
        <w:tc>
          <w:tcPr>
            <w:tcW w:w="1504" w:type="dxa"/>
            <w:shd w:val="clear" w:color="auto" w:fill="FFC9C9"/>
            <w:tcMar>
              <w:top w:w="80" w:type="dxa"/>
              <w:left w:w="80" w:type="dxa"/>
              <w:bottom w:w="80" w:type="dxa"/>
              <w:right w:w="80" w:type="dxa"/>
            </w:tcMar>
          </w:tcPr>
          <w:p w14:paraId="484D1B66" w14:textId="1E0BF010" w:rsidR="00A64F30" w:rsidRPr="001A7A6B" w:rsidRDefault="00A64F30" w:rsidP="00292A53">
            <w:pPr>
              <w:pStyle w:val="Table7pttext"/>
              <w:spacing w:after="60"/>
            </w:pPr>
            <w:r w:rsidRPr="001A7A6B">
              <w:t>Poisoning by benzene, a homologue of benzene or a nitro-derivative or amido-derivative of benzene; any of t</w:t>
            </w:r>
            <w:r w:rsidR="00AD5848">
              <w:t>he sequelae of such a poisoning</w:t>
            </w:r>
          </w:p>
        </w:tc>
        <w:tc>
          <w:tcPr>
            <w:tcW w:w="1503" w:type="dxa"/>
            <w:shd w:val="clear" w:color="auto" w:fill="FFC9C9"/>
            <w:tcMar>
              <w:top w:w="80" w:type="dxa"/>
              <w:left w:w="80" w:type="dxa"/>
              <w:bottom w:w="80" w:type="dxa"/>
              <w:right w:w="80" w:type="dxa"/>
            </w:tcMar>
          </w:tcPr>
          <w:p w14:paraId="5120FDE2" w14:textId="246672BB" w:rsidR="00A64F30" w:rsidRPr="001A7A6B" w:rsidRDefault="00A64F30" w:rsidP="00292A53">
            <w:pPr>
              <w:pStyle w:val="Table7pttext"/>
              <w:spacing w:after="60"/>
            </w:pPr>
            <w:r w:rsidRPr="001A7A6B">
              <w:t xml:space="preserve">Diseases caused by </w:t>
            </w:r>
            <w:r w:rsidR="00AD5848">
              <w:t>benzene or its toxic homologues</w:t>
            </w:r>
          </w:p>
        </w:tc>
        <w:tc>
          <w:tcPr>
            <w:tcW w:w="1504" w:type="dxa"/>
            <w:shd w:val="clear" w:color="auto" w:fill="FFC9C9"/>
            <w:tcMar>
              <w:top w:w="80" w:type="dxa"/>
              <w:left w:w="80" w:type="dxa"/>
              <w:bottom w:w="80" w:type="dxa"/>
              <w:right w:w="80" w:type="dxa"/>
            </w:tcMar>
          </w:tcPr>
          <w:p w14:paraId="79B89B2B" w14:textId="4A9AF1EF" w:rsidR="00A64F30" w:rsidRPr="001A7A6B" w:rsidRDefault="00A64F30" w:rsidP="00292A53">
            <w:pPr>
              <w:pStyle w:val="Table7pttext"/>
              <w:spacing w:after="60"/>
            </w:pPr>
            <w:r w:rsidRPr="001A7A6B">
              <w:t xml:space="preserve">Diseases of a type generally accepted by the medical profession as caused by </w:t>
            </w:r>
            <w:r w:rsidR="00AD5848">
              <w:t>benzene or its toxic homologues</w:t>
            </w:r>
          </w:p>
        </w:tc>
      </w:tr>
      <w:tr w:rsidR="00A64F30" w:rsidRPr="001A7A6B" w14:paraId="7B30851A" w14:textId="77777777" w:rsidTr="00FB729B">
        <w:trPr>
          <w:cantSplit/>
        </w:trPr>
        <w:tc>
          <w:tcPr>
            <w:tcW w:w="1564" w:type="dxa"/>
            <w:tcMar>
              <w:top w:w="80" w:type="dxa"/>
              <w:left w:w="80" w:type="dxa"/>
              <w:bottom w:w="80" w:type="dxa"/>
              <w:right w:w="80" w:type="dxa"/>
            </w:tcMar>
          </w:tcPr>
          <w:p w14:paraId="543DFD97" w14:textId="77777777" w:rsidR="00A64F30" w:rsidRPr="001A7A6B" w:rsidRDefault="00A64F30" w:rsidP="00292A53">
            <w:pPr>
              <w:pStyle w:val="TableColumn1bold"/>
              <w:spacing w:after="60"/>
            </w:pPr>
            <w:r w:rsidRPr="001A7A6B">
              <w:t>Beryllium</w:t>
            </w:r>
          </w:p>
        </w:tc>
        <w:tc>
          <w:tcPr>
            <w:tcW w:w="1503" w:type="dxa"/>
            <w:tcMar>
              <w:top w:w="80" w:type="dxa"/>
              <w:left w:w="80" w:type="dxa"/>
              <w:bottom w:w="80" w:type="dxa"/>
              <w:right w:w="80" w:type="dxa"/>
            </w:tcMar>
          </w:tcPr>
          <w:p w14:paraId="69366890"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67564CED"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74D22086"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3C369B42"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15EF0015" w14:textId="346D43EC" w:rsidR="00A64F30" w:rsidRPr="001A7A6B" w:rsidRDefault="00A64F30" w:rsidP="00292A53">
            <w:pPr>
              <w:pStyle w:val="Table7pttext"/>
              <w:spacing w:after="60"/>
            </w:pPr>
            <w:r w:rsidRPr="001A7A6B">
              <w:t>Poisoning by b</w:t>
            </w:r>
            <w:r w:rsidR="00AD5848">
              <w:t>eryllium or its toxic compounds</w:t>
            </w:r>
          </w:p>
        </w:tc>
        <w:tc>
          <w:tcPr>
            <w:tcW w:w="1503" w:type="dxa"/>
            <w:tcMar>
              <w:top w:w="80" w:type="dxa"/>
              <w:left w:w="80" w:type="dxa"/>
              <w:bottom w:w="80" w:type="dxa"/>
              <w:right w:w="80" w:type="dxa"/>
            </w:tcMar>
          </w:tcPr>
          <w:p w14:paraId="0CE2D596" w14:textId="629C163D" w:rsidR="00A64F30" w:rsidRDefault="00AD5848" w:rsidP="00292A53">
            <w:pPr>
              <w:pStyle w:val="Table7pttext"/>
              <w:spacing w:after="60"/>
            </w:pPr>
            <w:r>
              <w:t>Acute poisoning/toxicity</w:t>
            </w:r>
          </w:p>
          <w:p w14:paraId="7528988E" w14:textId="154BA06B" w:rsidR="00A64F30" w:rsidRDefault="00AD5848" w:rsidP="00292A53">
            <w:pPr>
              <w:pStyle w:val="Table7pttext"/>
              <w:spacing w:after="60"/>
            </w:pPr>
            <w:r>
              <w:t>Pneumoconiosis</w:t>
            </w:r>
          </w:p>
          <w:p w14:paraId="31718137" w14:textId="5ED384AE" w:rsidR="00A64F30" w:rsidRPr="001A7A6B" w:rsidRDefault="00A64F30" w:rsidP="00292A53">
            <w:pPr>
              <w:pStyle w:val="Table7pttext"/>
              <w:spacing w:after="60"/>
            </w:pPr>
            <w:r>
              <w:t>Lung malignancy</w:t>
            </w:r>
          </w:p>
        </w:tc>
        <w:tc>
          <w:tcPr>
            <w:tcW w:w="1504" w:type="dxa"/>
            <w:tcMar>
              <w:top w:w="80" w:type="dxa"/>
              <w:left w:w="80" w:type="dxa"/>
              <w:bottom w:w="80" w:type="dxa"/>
              <w:right w:w="80" w:type="dxa"/>
            </w:tcMar>
          </w:tcPr>
          <w:p w14:paraId="6A76D7BF" w14:textId="0F9FA7B7" w:rsidR="00A64F30" w:rsidRPr="001A7A6B" w:rsidRDefault="00A64F30" w:rsidP="00292A53">
            <w:pPr>
              <w:pStyle w:val="Table7pttext"/>
              <w:spacing w:after="60"/>
            </w:pPr>
            <w:r w:rsidRPr="001A7A6B">
              <w:t xml:space="preserve">Poisoning by beryllium or a compound of beryllium; any of the sequelae of such a </w:t>
            </w:r>
            <w:r w:rsidR="00AD5848">
              <w:t>poisoning</w:t>
            </w:r>
          </w:p>
        </w:tc>
        <w:tc>
          <w:tcPr>
            <w:tcW w:w="1503" w:type="dxa"/>
            <w:tcMar>
              <w:top w:w="80" w:type="dxa"/>
              <w:left w:w="80" w:type="dxa"/>
              <w:bottom w:w="80" w:type="dxa"/>
              <w:right w:w="80" w:type="dxa"/>
            </w:tcMar>
          </w:tcPr>
          <w:p w14:paraId="6C3FA023" w14:textId="33E006F5" w:rsidR="00A64F30" w:rsidRPr="001A7A6B" w:rsidRDefault="00A64F30" w:rsidP="00292A53">
            <w:pPr>
              <w:pStyle w:val="Table7pttext"/>
              <w:spacing w:after="60"/>
            </w:pPr>
            <w:r w:rsidRPr="001A7A6B">
              <w:t>Diseases caused by b</w:t>
            </w:r>
            <w:r w:rsidR="00AD5848">
              <w:t>eryllium or its toxic compounds</w:t>
            </w:r>
          </w:p>
        </w:tc>
        <w:tc>
          <w:tcPr>
            <w:tcW w:w="1504" w:type="dxa"/>
            <w:tcMar>
              <w:top w:w="80" w:type="dxa"/>
              <w:left w:w="80" w:type="dxa"/>
              <w:bottom w:w="80" w:type="dxa"/>
              <w:right w:w="80" w:type="dxa"/>
            </w:tcMar>
          </w:tcPr>
          <w:p w14:paraId="5FEF522D" w14:textId="72B34FCF" w:rsidR="00A64F30" w:rsidRPr="001A7A6B" w:rsidRDefault="00A64F30" w:rsidP="00292A53">
            <w:pPr>
              <w:pStyle w:val="Table7pttext"/>
              <w:spacing w:after="60"/>
            </w:pPr>
            <w:r w:rsidRPr="001A7A6B">
              <w:t>Diseases of a type generally accepted by the medical profession as caused by b</w:t>
            </w:r>
            <w:r w:rsidR="00AD5848">
              <w:t>eryllium or its toxic compounds</w:t>
            </w:r>
          </w:p>
        </w:tc>
      </w:tr>
      <w:tr w:rsidR="00A64F30" w:rsidRPr="001A7A6B" w14:paraId="1BC17C05" w14:textId="77777777" w:rsidTr="00FB729B">
        <w:trPr>
          <w:cantSplit/>
        </w:trPr>
        <w:tc>
          <w:tcPr>
            <w:tcW w:w="1564" w:type="dxa"/>
            <w:shd w:val="clear" w:color="auto" w:fill="FFC9C9"/>
            <w:tcMar>
              <w:top w:w="80" w:type="dxa"/>
              <w:left w:w="80" w:type="dxa"/>
              <w:bottom w:w="80" w:type="dxa"/>
              <w:right w:w="80" w:type="dxa"/>
            </w:tcMar>
          </w:tcPr>
          <w:p w14:paraId="0F6F20D9" w14:textId="77777777" w:rsidR="00A64F30" w:rsidRPr="001A7A6B" w:rsidRDefault="00A64F30" w:rsidP="00292A53">
            <w:pPr>
              <w:pStyle w:val="TableColumn1bold"/>
              <w:spacing w:after="60"/>
            </w:pPr>
            <w:r w:rsidRPr="001A7A6B">
              <w:t>Cadmium</w:t>
            </w:r>
          </w:p>
        </w:tc>
        <w:tc>
          <w:tcPr>
            <w:tcW w:w="1503" w:type="dxa"/>
            <w:shd w:val="clear" w:color="auto" w:fill="FFC9C9"/>
            <w:tcMar>
              <w:top w:w="80" w:type="dxa"/>
              <w:left w:w="80" w:type="dxa"/>
              <w:bottom w:w="80" w:type="dxa"/>
              <w:right w:w="80" w:type="dxa"/>
            </w:tcMar>
          </w:tcPr>
          <w:p w14:paraId="354BD59D"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394EA507"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191DD1D7"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2807E5D8"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520966E9" w14:textId="6178D5D2" w:rsidR="00A64F30" w:rsidRPr="001A7A6B" w:rsidRDefault="00A64F30" w:rsidP="00292A53">
            <w:pPr>
              <w:pStyle w:val="Table7pttext"/>
              <w:spacing w:after="60"/>
            </w:pPr>
            <w:r w:rsidRPr="001A7A6B">
              <w:t>Poisoning by</w:t>
            </w:r>
            <w:r w:rsidR="00AD5848">
              <w:t xml:space="preserve"> cadmium or its toxic compounds</w:t>
            </w:r>
          </w:p>
        </w:tc>
        <w:tc>
          <w:tcPr>
            <w:tcW w:w="1503" w:type="dxa"/>
            <w:shd w:val="clear" w:color="auto" w:fill="FFC9C9"/>
            <w:tcMar>
              <w:top w:w="80" w:type="dxa"/>
              <w:left w:w="80" w:type="dxa"/>
              <w:bottom w:w="80" w:type="dxa"/>
              <w:right w:w="80" w:type="dxa"/>
            </w:tcMar>
          </w:tcPr>
          <w:p w14:paraId="4DBDD182" w14:textId="6B93FFB8" w:rsidR="00A64F30" w:rsidRDefault="00A64F30" w:rsidP="00292A53">
            <w:pPr>
              <w:pStyle w:val="Table7pttext"/>
              <w:spacing w:after="60"/>
            </w:pPr>
            <w:r>
              <w:t>Acute poisoning/tox</w:t>
            </w:r>
            <w:r w:rsidR="00AD5848">
              <w:t>icity</w:t>
            </w:r>
          </w:p>
          <w:p w14:paraId="061B5267" w14:textId="73AFB6A6" w:rsidR="00A64F30" w:rsidRPr="001A7A6B" w:rsidRDefault="00A64F30" w:rsidP="00292A53">
            <w:pPr>
              <w:pStyle w:val="Table7pttext"/>
              <w:spacing w:after="60"/>
            </w:pPr>
            <w:r>
              <w:t>Lung malignancy</w:t>
            </w:r>
          </w:p>
        </w:tc>
        <w:tc>
          <w:tcPr>
            <w:tcW w:w="1504" w:type="dxa"/>
            <w:shd w:val="clear" w:color="auto" w:fill="FFC9C9"/>
            <w:tcMar>
              <w:top w:w="80" w:type="dxa"/>
              <w:left w:w="80" w:type="dxa"/>
              <w:bottom w:w="80" w:type="dxa"/>
              <w:right w:w="80" w:type="dxa"/>
            </w:tcMar>
          </w:tcPr>
          <w:p w14:paraId="6134FBA7" w14:textId="7645C7DF" w:rsidR="00A64F30" w:rsidRPr="001A7A6B" w:rsidRDefault="00A64F30" w:rsidP="00292A53">
            <w:pPr>
              <w:pStyle w:val="Table7pttext"/>
              <w:spacing w:after="60"/>
            </w:pPr>
            <w:r w:rsidRPr="001A7A6B">
              <w:t>Poisoning by cadmium or a compound of cadmium; any of t</w:t>
            </w:r>
            <w:r w:rsidR="00AD5848">
              <w:t>he sequelae of such a poisoning</w:t>
            </w:r>
          </w:p>
        </w:tc>
        <w:tc>
          <w:tcPr>
            <w:tcW w:w="1503" w:type="dxa"/>
            <w:shd w:val="clear" w:color="auto" w:fill="FFC9C9"/>
            <w:tcMar>
              <w:top w:w="80" w:type="dxa"/>
              <w:left w:w="80" w:type="dxa"/>
              <w:bottom w:w="80" w:type="dxa"/>
              <w:right w:w="80" w:type="dxa"/>
            </w:tcMar>
          </w:tcPr>
          <w:p w14:paraId="48A72563" w14:textId="351B753F" w:rsidR="00A64F30" w:rsidRPr="001A7A6B" w:rsidRDefault="00A64F30" w:rsidP="00292A53">
            <w:pPr>
              <w:pStyle w:val="Table7pttext"/>
              <w:spacing w:after="60"/>
            </w:pPr>
            <w:r w:rsidRPr="001A7A6B">
              <w:t>Diseases caused by</w:t>
            </w:r>
            <w:r w:rsidR="00AD5848">
              <w:t xml:space="preserve"> cadmium or its toxic compounds</w:t>
            </w:r>
          </w:p>
        </w:tc>
        <w:tc>
          <w:tcPr>
            <w:tcW w:w="1504" w:type="dxa"/>
            <w:shd w:val="clear" w:color="auto" w:fill="FFC9C9"/>
            <w:tcMar>
              <w:top w:w="80" w:type="dxa"/>
              <w:left w:w="80" w:type="dxa"/>
              <w:bottom w:w="80" w:type="dxa"/>
              <w:right w:w="80" w:type="dxa"/>
            </w:tcMar>
          </w:tcPr>
          <w:p w14:paraId="4F521A22" w14:textId="04D9E87D" w:rsidR="00A64F30" w:rsidRPr="001A7A6B" w:rsidRDefault="00A64F30" w:rsidP="00292A53">
            <w:pPr>
              <w:pStyle w:val="Table7pttext"/>
              <w:spacing w:after="60"/>
            </w:pPr>
            <w:r w:rsidRPr="001A7A6B">
              <w:t xml:space="preserve">Chronic renal failure diagnosed as caused by metals such as cadmium or copper, including via </w:t>
            </w:r>
            <w:r w:rsidR="00AD5848">
              <w:t>welding fumes</w:t>
            </w:r>
          </w:p>
        </w:tc>
      </w:tr>
      <w:tr w:rsidR="00A64F30" w:rsidRPr="001A7A6B" w14:paraId="794C7032" w14:textId="77777777" w:rsidTr="00FB729B">
        <w:trPr>
          <w:cantSplit/>
        </w:trPr>
        <w:tc>
          <w:tcPr>
            <w:tcW w:w="1564" w:type="dxa"/>
            <w:tcMar>
              <w:top w:w="80" w:type="dxa"/>
              <w:left w:w="80" w:type="dxa"/>
              <w:bottom w:w="80" w:type="dxa"/>
              <w:right w:w="80" w:type="dxa"/>
            </w:tcMar>
          </w:tcPr>
          <w:p w14:paraId="68BF9458" w14:textId="77777777" w:rsidR="00A64F30" w:rsidRPr="001A7A6B" w:rsidRDefault="00A64F30" w:rsidP="00292A53">
            <w:pPr>
              <w:pStyle w:val="TableColumn1bold"/>
              <w:spacing w:after="60"/>
            </w:pPr>
            <w:r w:rsidRPr="001A7A6B">
              <w:t>Carbon disulphide</w:t>
            </w:r>
          </w:p>
        </w:tc>
        <w:tc>
          <w:tcPr>
            <w:tcW w:w="1503" w:type="dxa"/>
            <w:tcMar>
              <w:top w:w="80" w:type="dxa"/>
              <w:left w:w="80" w:type="dxa"/>
              <w:bottom w:w="80" w:type="dxa"/>
              <w:right w:w="80" w:type="dxa"/>
            </w:tcMar>
          </w:tcPr>
          <w:p w14:paraId="18AAED95"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70691909" w14:textId="64B21223" w:rsidR="00A64F30" w:rsidRPr="001A7A6B" w:rsidRDefault="00AD5848" w:rsidP="00292A53">
            <w:pPr>
              <w:pStyle w:val="Table7pttext"/>
              <w:spacing w:after="60"/>
            </w:pPr>
            <w:r>
              <w:t>Carbon bisulphide poisoning</w:t>
            </w:r>
          </w:p>
        </w:tc>
        <w:tc>
          <w:tcPr>
            <w:tcW w:w="1504" w:type="dxa"/>
            <w:tcMar>
              <w:top w:w="80" w:type="dxa"/>
              <w:left w:w="80" w:type="dxa"/>
              <w:bottom w:w="80" w:type="dxa"/>
              <w:right w:w="80" w:type="dxa"/>
            </w:tcMar>
          </w:tcPr>
          <w:p w14:paraId="0AF2590C" w14:textId="1A9A76FF" w:rsidR="00A64F30" w:rsidRPr="001A7A6B" w:rsidRDefault="00AD5848" w:rsidP="00292A53">
            <w:pPr>
              <w:pStyle w:val="Table7pttext"/>
              <w:spacing w:after="60"/>
            </w:pPr>
            <w:r>
              <w:t>Poisoning by carbon bisulphide</w:t>
            </w:r>
          </w:p>
        </w:tc>
        <w:tc>
          <w:tcPr>
            <w:tcW w:w="1503" w:type="dxa"/>
            <w:tcMar>
              <w:top w:w="80" w:type="dxa"/>
              <w:left w:w="80" w:type="dxa"/>
              <w:bottom w:w="80" w:type="dxa"/>
              <w:right w:w="80" w:type="dxa"/>
            </w:tcMar>
          </w:tcPr>
          <w:p w14:paraId="0E4ECEB2"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005C3206" w14:textId="014956DE" w:rsidR="00A64F30" w:rsidRPr="001A7A6B" w:rsidRDefault="00AD5848" w:rsidP="00292A53">
            <w:pPr>
              <w:pStyle w:val="Table7pttext"/>
              <w:spacing w:after="60"/>
            </w:pPr>
            <w:r>
              <w:t>Poisoning by carbon disulphide</w:t>
            </w:r>
          </w:p>
        </w:tc>
        <w:tc>
          <w:tcPr>
            <w:tcW w:w="1503" w:type="dxa"/>
            <w:tcMar>
              <w:top w:w="80" w:type="dxa"/>
              <w:left w:w="80" w:type="dxa"/>
              <w:bottom w:w="80" w:type="dxa"/>
              <w:right w:w="80" w:type="dxa"/>
            </w:tcMar>
          </w:tcPr>
          <w:p w14:paraId="6BF7BBDC" w14:textId="77777777" w:rsidR="00A64F30" w:rsidRDefault="00A64F30" w:rsidP="00292A53">
            <w:pPr>
              <w:pStyle w:val="Table7pttext"/>
              <w:spacing w:after="60"/>
            </w:pPr>
            <w:r>
              <w:t>Acute poisoning/toxicity.</w:t>
            </w:r>
          </w:p>
          <w:p w14:paraId="19EEE328" w14:textId="75963094" w:rsidR="00A64F30" w:rsidRPr="001A7A6B" w:rsidRDefault="00A64F30" w:rsidP="00292A53">
            <w:pPr>
              <w:pStyle w:val="Table7pttext"/>
              <w:spacing w:after="60"/>
            </w:pPr>
            <w:r>
              <w:t>Peripheral neuropathy</w:t>
            </w:r>
          </w:p>
        </w:tc>
        <w:tc>
          <w:tcPr>
            <w:tcW w:w="1504" w:type="dxa"/>
            <w:tcMar>
              <w:top w:w="80" w:type="dxa"/>
              <w:left w:w="80" w:type="dxa"/>
              <w:bottom w:w="80" w:type="dxa"/>
              <w:right w:w="80" w:type="dxa"/>
            </w:tcMar>
          </w:tcPr>
          <w:p w14:paraId="7C8D3D89" w14:textId="64F2C150" w:rsidR="00A64F30" w:rsidRPr="001A7A6B" w:rsidRDefault="00AD5848" w:rsidP="00292A53">
            <w:pPr>
              <w:pStyle w:val="Table7pttext"/>
              <w:spacing w:after="60"/>
            </w:pPr>
            <w:r>
              <w:t>Poisoning by carbon bisulphide</w:t>
            </w:r>
          </w:p>
        </w:tc>
        <w:tc>
          <w:tcPr>
            <w:tcW w:w="1503" w:type="dxa"/>
            <w:tcMar>
              <w:top w:w="80" w:type="dxa"/>
              <w:left w:w="80" w:type="dxa"/>
              <w:bottom w:w="80" w:type="dxa"/>
              <w:right w:w="80" w:type="dxa"/>
            </w:tcMar>
          </w:tcPr>
          <w:p w14:paraId="517E9FF6" w14:textId="55DBF4BC" w:rsidR="00A64F30" w:rsidRPr="001A7A6B" w:rsidRDefault="00A64F30" w:rsidP="00292A53">
            <w:pPr>
              <w:pStyle w:val="Table7pttext"/>
              <w:spacing w:after="60"/>
            </w:pPr>
            <w:r w:rsidRPr="001A7A6B">
              <w:t>Disea</w:t>
            </w:r>
            <w:r w:rsidR="00AD5848">
              <w:t>ses caused by carbon disulphide</w:t>
            </w:r>
          </w:p>
        </w:tc>
        <w:tc>
          <w:tcPr>
            <w:tcW w:w="1504" w:type="dxa"/>
            <w:tcMar>
              <w:top w:w="80" w:type="dxa"/>
              <w:left w:w="80" w:type="dxa"/>
              <w:bottom w:w="80" w:type="dxa"/>
              <w:right w:w="80" w:type="dxa"/>
            </w:tcMar>
          </w:tcPr>
          <w:p w14:paraId="01CB8F7D" w14:textId="689433CF" w:rsidR="00A64F30" w:rsidRPr="001A7A6B" w:rsidRDefault="00A64F30" w:rsidP="00292A53">
            <w:pPr>
              <w:pStyle w:val="Table7pttext"/>
              <w:spacing w:after="60"/>
            </w:pPr>
            <w:r w:rsidRPr="001A7A6B">
              <w:t>Diseases of a type generally accepted by the medical profession as caused by carbon b</w:t>
            </w:r>
            <w:r w:rsidR="00AD5848">
              <w:t>isulfide or its toxic compounds</w:t>
            </w:r>
          </w:p>
        </w:tc>
      </w:tr>
      <w:tr w:rsidR="00A64F30" w:rsidRPr="001A7A6B" w14:paraId="37D31986" w14:textId="77777777" w:rsidTr="00FB729B">
        <w:trPr>
          <w:cantSplit/>
        </w:trPr>
        <w:tc>
          <w:tcPr>
            <w:tcW w:w="1564" w:type="dxa"/>
            <w:shd w:val="clear" w:color="auto" w:fill="FFC9C9"/>
            <w:tcMar>
              <w:top w:w="80" w:type="dxa"/>
              <w:left w:w="80" w:type="dxa"/>
              <w:bottom w:w="80" w:type="dxa"/>
              <w:right w:w="80" w:type="dxa"/>
            </w:tcMar>
          </w:tcPr>
          <w:p w14:paraId="04791A71" w14:textId="77777777" w:rsidR="00A64F30" w:rsidRPr="001A7A6B" w:rsidRDefault="00A64F30" w:rsidP="00292A53">
            <w:pPr>
              <w:pStyle w:val="TableColumn1bold"/>
              <w:spacing w:after="60"/>
            </w:pPr>
            <w:r w:rsidRPr="001A7A6B">
              <w:t>Chromium</w:t>
            </w:r>
          </w:p>
        </w:tc>
        <w:tc>
          <w:tcPr>
            <w:tcW w:w="1503" w:type="dxa"/>
            <w:shd w:val="clear" w:color="auto" w:fill="FFC9C9"/>
            <w:tcMar>
              <w:top w:w="80" w:type="dxa"/>
              <w:left w:w="80" w:type="dxa"/>
              <w:bottom w:w="80" w:type="dxa"/>
              <w:right w:w="80" w:type="dxa"/>
            </w:tcMar>
          </w:tcPr>
          <w:p w14:paraId="34F8173A"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2C9FCC10" w14:textId="6413AB55" w:rsidR="00A64F30" w:rsidRPr="001A7A6B" w:rsidRDefault="00A64F30" w:rsidP="00292A53">
            <w:pPr>
              <w:pStyle w:val="Table7pttext"/>
              <w:spacing w:after="60"/>
            </w:pPr>
            <w:r w:rsidRPr="001A7A6B">
              <w:t>Chrome ulceration or its sequelae (chromic acid, bichromate of ammonium, potassium o</w:t>
            </w:r>
            <w:r w:rsidR="00AD5848">
              <w:t>r sodium or their preparations)</w:t>
            </w:r>
          </w:p>
        </w:tc>
        <w:tc>
          <w:tcPr>
            <w:tcW w:w="1504" w:type="dxa"/>
            <w:shd w:val="clear" w:color="auto" w:fill="FFC9C9"/>
            <w:tcMar>
              <w:top w:w="80" w:type="dxa"/>
              <w:left w:w="80" w:type="dxa"/>
              <w:bottom w:w="80" w:type="dxa"/>
              <w:right w:w="80" w:type="dxa"/>
            </w:tcMar>
          </w:tcPr>
          <w:p w14:paraId="096439F0" w14:textId="2C2CAF34" w:rsidR="00A64F30" w:rsidRPr="001A7A6B" w:rsidRDefault="00A64F30" w:rsidP="00292A53">
            <w:pPr>
              <w:pStyle w:val="Table7pttext"/>
              <w:spacing w:after="60"/>
            </w:pPr>
            <w:r w:rsidRPr="001A7A6B">
              <w:t>Chrome ulceration (chromic acid or bichromate of ammonium, potassium o</w:t>
            </w:r>
            <w:r w:rsidR="00AD5848">
              <w:t>r sodium or their preparations)</w:t>
            </w:r>
          </w:p>
        </w:tc>
        <w:tc>
          <w:tcPr>
            <w:tcW w:w="1503" w:type="dxa"/>
            <w:shd w:val="clear" w:color="auto" w:fill="FFC9C9"/>
            <w:tcMar>
              <w:top w:w="80" w:type="dxa"/>
              <w:left w:w="80" w:type="dxa"/>
              <w:bottom w:w="80" w:type="dxa"/>
              <w:right w:w="80" w:type="dxa"/>
            </w:tcMar>
          </w:tcPr>
          <w:p w14:paraId="650F6189" w14:textId="1A95661B" w:rsidR="00A64F30" w:rsidRPr="001A7A6B" w:rsidRDefault="00A64F30" w:rsidP="00292A53">
            <w:pPr>
              <w:pStyle w:val="Table7pttext"/>
              <w:spacing w:after="60"/>
            </w:pPr>
            <w:r w:rsidRPr="001A7A6B">
              <w:t>Chrome ulceration or its sequelae (chromic acid, bichromate of ammonium, potassium o</w:t>
            </w:r>
            <w:r w:rsidR="00AD5848">
              <w:t>r sodium or their preparations)</w:t>
            </w:r>
          </w:p>
        </w:tc>
        <w:tc>
          <w:tcPr>
            <w:tcW w:w="1504" w:type="dxa"/>
            <w:shd w:val="clear" w:color="auto" w:fill="FFC9C9"/>
            <w:tcMar>
              <w:top w:w="80" w:type="dxa"/>
              <w:left w:w="80" w:type="dxa"/>
              <w:bottom w:w="80" w:type="dxa"/>
              <w:right w:w="80" w:type="dxa"/>
            </w:tcMar>
          </w:tcPr>
          <w:p w14:paraId="1A1DAB33" w14:textId="66530187" w:rsidR="00A64F30" w:rsidRPr="001A7A6B" w:rsidRDefault="00A64F30" w:rsidP="00292A53">
            <w:pPr>
              <w:pStyle w:val="Table7pttext"/>
              <w:spacing w:after="60"/>
            </w:pPr>
            <w:r w:rsidRPr="001A7A6B">
              <w:t xml:space="preserve">Poisoning by </w:t>
            </w:r>
            <w:r w:rsidR="00AD5848">
              <w:t>chromium or its toxic compounds</w:t>
            </w:r>
          </w:p>
        </w:tc>
        <w:tc>
          <w:tcPr>
            <w:tcW w:w="1503" w:type="dxa"/>
            <w:shd w:val="clear" w:color="auto" w:fill="FFC9C9"/>
            <w:tcMar>
              <w:top w:w="80" w:type="dxa"/>
              <w:left w:w="80" w:type="dxa"/>
              <w:bottom w:w="80" w:type="dxa"/>
              <w:right w:w="80" w:type="dxa"/>
            </w:tcMar>
          </w:tcPr>
          <w:p w14:paraId="7F3D829D" w14:textId="77777777" w:rsidR="00A64F30" w:rsidRDefault="00A64F30" w:rsidP="00292A53">
            <w:pPr>
              <w:pStyle w:val="Table7pttext"/>
              <w:spacing w:after="60"/>
            </w:pPr>
            <w:r>
              <w:t>Acute poisoning/toxicity.</w:t>
            </w:r>
          </w:p>
          <w:p w14:paraId="75C8BEFD" w14:textId="196E7CD3" w:rsidR="00A64F30" w:rsidRPr="001A7A6B" w:rsidRDefault="00A64F30" w:rsidP="00292A53">
            <w:pPr>
              <w:pStyle w:val="Table7pttext"/>
              <w:spacing w:after="60"/>
            </w:pPr>
            <w:r>
              <w:t>Lung malignancy (chromium VI)</w:t>
            </w:r>
          </w:p>
        </w:tc>
        <w:tc>
          <w:tcPr>
            <w:tcW w:w="1504" w:type="dxa"/>
            <w:shd w:val="clear" w:color="auto" w:fill="FFC9C9"/>
            <w:tcMar>
              <w:top w:w="80" w:type="dxa"/>
              <w:left w:w="80" w:type="dxa"/>
              <w:bottom w:w="80" w:type="dxa"/>
              <w:right w:w="80" w:type="dxa"/>
            </w:tcMar>
          </w:tcPr>
          <w:p w14:paraId="3153D6CA" w14:textId="784C0A13" w:rsidR="00A64F30" w:rsidRPr="001A7A6B" w:rsidRDefault="00A64F30" w:rsidP="00292A53">
            <w:pPr>
              <w:pStyle w:val="Table7pttext"/>
              <w:spacing w:after="60"/>
            </w:pPr>
            <w:r w:rsidRPr="001A7A6B">
              <w:t>Chrome ulceration of skin or mucous membrane; any of the sequelae of such an ulceration (chromic acid, bichromate of ammonium, potassium o</w:t>
            </w:r>
            <w:r w:rsidR="00AD5848">
              <w:t>r sodium or their preparations)</w:t>
            </w:r>
          </w:p>
        </w:tc>
        <w:tc>
          <w:tcPr>
            <w:tcW w:w="1503" w:type="dxa"/>
            <w:shd w:val="clear" w:color="auto" w:fill="FFC9C9"/>
            <w:tcMar>
              <w:top w:w="80" w:type="dxa"/>
              <w:left w:w="80" w:type="dxa"/>
              <w:bottom w:w="80" w:type="dxa"/>
              <w:right w:w="80" w:type="dxa"/>
            </w:tcMar>
          </w:tcPr>
          <w:p w14:paraId="7863C5FE" w14:textId="58663DD0" w:rsidR="00A64F30" w:rsidRPr="001A7A6B" w:rsidRDefault="00A64F30" w:rsidP="00292A53">
            <w:pPr>
              <w:pStyle w:val="Table7pttext"/>
              <w:spacing w:after="60"/>
            </w:pPr>
            <w:r w:rsidRPr="001A7A6B">
              <w:t>Diseases caused by chromium or it</w:t>
            </w:r>
            <w:r w:rsidR="00AD5848">
              <w:t>s toxic compounds</w:t>
            </w:r>
          </w:p>
        </w:tc>
        <w:tc>
          <w:tcPr>
            <w:tcW w:w="1504" w:type="dxa"/>
            <w:shd w:val="clear" w:color="auto" w:fill="FFC9C9"/>
            <w:tcMar>
              <w:top w:w="80" w:type="dxa"/>
              <w:left w:w="80" w:type="dxa"/>
              <w:bottom w:w="80" w:type="dxa"/>
              <w:right w:w="80" w:type="dxa"/>
            </w:tcMar>
          </w:tcPr>
          <w:p w14:paraId="26AF8D79" w14:textId="68B6DC22" w:rsidR="00A64F30" w:rsidRPr="001A7A6B" w:rsidRDefault="00A64F30" w:rsidP="00292A53">
            <w:pPr>
              <w:pStyle w:val="Table7pttext"/>
              <w:spacing w:after="60"/>
            </w:pPr>
            <w:r w:rsidRPr="001A7A6B">
              <w:t>Diseases of a type generally accepted by the medical profession as caused b</w:t>
            </w:r>
            <w:r w:rsidR="00AD5848">
              <w:t>y chrome or its toxic compounds</w:t>
            </w:r>
          </w:p>
        </w:tc>
      </w:tr>
      <w:tr w:rsidR="00A64F30" w:rsidRPr="001A7A6B" w14:paraId="6BB3A33D" w14:textId="77777777" w:rsidTr="00FB729B">
        <w:trPr>
          <w:cantSplit/>
        </w:trPr>
        <w:tc>
          <w:tcPr>
            <w:tcW w:w="1564" w:type="dxa"/>
            <w:tcMar>
              <w:top w:w="80" w:type="dxa"/>
              <w:left w:w="80" w:type="dxa"/>
              <w:bottom w:w="80" w:type="dxa"/>
              <w:right w:w="80" w:type="dxa"/>
            </w:tcMar>
          </w:tcPr>
          <w:p w14:paraId="3886F6DB" w14:textId="77777777" w:rsidR="00A64F30" w:rsidRPr="001A7A6B" w:rsidRDefault="00A64F30" w:rsidP="00292A53">
            <w:pPr>
              <w:pStyle w:val="TableColumn1bold"/>
              <w:spacing w:after="60"/>
            </w:pPr>
            <w:r w:rsidRPr="001A7A6B">
              <w:t>Copper</w:t>
            </w:r>
          </w:p>
        </w:tc>
        <w:tc>
          <w:tcPr>
            <w:tcW w:w="1503" w:type="dxa"/>
            <w:tcMar>
              <w:top w:w="80" w:type="dxa"/>
              <w:left w:w="80" w:type="dxa"/>
              <w:bottom w:w="80" w:type="dxa"/>
              <w:right w:w="80" w:type="dxa"/>
            </w:tcMar>
          </w:tcPr>
          <w:p w14:paraId="2CB90CD9"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522E99C7" w14:textId="778963B3" w:rsidR="00A64F30" w:rsidRPr="001A7A6B" w:rsidRDefault="00A64F30" w:rsidP="00292A53">
            <w:pPr>
              <w:pStyle w:val="Table7pttext"/>
              <w:spacing w:after="60"/>
            </w:pPr>
            <w:r w:rsidRPr="001A7A6B">
              <w:t>Copper poisoning or its sequelae (copper or</w:t>
            </w:r>
            <w:r w:rsidR="00AD5848">
              <w:t xml:space="preserve"> its preparations or compounds)</w:t>
            </w:r>
          </w:p>
        </w:tc>
        <w:tc>
          <w:tcPr>
            <w:tcW w:w="1504" w:type="dxa"/>
            <w:tcMar>
              <w:top w:w="80" w:type="dxa"/>
              <w:left w:w="80" w:type="dxa"/>
              <w:bottom w:w="80" w:type="dxa"/>
              <w:right w:w="80" w:type="dxa"/>
            </w:tcMar>
          </w:tcPr>
          <w:p w14:paraId="60CE42EE"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63EA83EB" w14:textId="090E5D03" w:rsidR="00A64F30" w:rsidRPr="001A7A6B" w:rsidRDefault="00A64F30" w:rsidP="00292A53">
            <w:pPr>
              <w:pStyle w:val="Table7pttext"/>
              <w:spacing w:after="60"/>
            </w:pPr>
            <w:r w:rsidRPr="001A7A6B">
              <w:t>Copper poisoning or its sequelae (copper or</w:t>
            </w:r>
            <w:r w:rsidR="00AD5848">
              <w:t xml:space="preserve"> its preparations or compounds)</w:t>
            </w:r>
          </w:p>
        </w:tc>
        <w:tc>
          <w:tcPr>
            <w:tcW w:w="1504" w:type="dxa"/>
            <w:tcMar>
              <w:top w:w="80" w:type="dxa"/>
              <w:left w:w="80" w:type="dxa"/>
              <w:bottom w:w="80" w:type="dxa"/>
              <w:right w:w="80" w:type="dxa"/>
            </w:tcMar>
          </w:tcPr>
          <w:p w14:paraId="36D3B7F2"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73449621" w14:textId="7E1B4CB9" w:rsidR="00A64F30" w:rsidRPr="001A7A6B" w:rsidRDefault="00AD5848" w:rsidP="00292A53">
            <w:pPr>
              <w:pStyle w:val="Table7pttext"/>
              <w:spacing w:after="60"/>
            </w:pPr>
            <w:r>
              <w:t>Acute poisoning/toxicity</w:t>
            </w:r>
          </w:p>
        </w:tc>
        <w:tc>
          <w:tcPr>
            <w:tcW w:w="1504" w:type="dxa"/>
            <w:tcMar>
              <w:top w:w="80" w:type="dxa"/>
              <w:left w:w="80" w:type="dxa"/>
              <w:bottom w:w="80" w:type="dxa"/>
              <w:right w:w="80" w:type="dxa"/>
            </w:tcMar>
          </w:tcPr>
          <w:p w14:paraId="29405A50" w14:textId="60254EB4" w:rsidR="00A64F30" w:rsidRPr="001A7A6B" w:rsidRDefault="00A64F30" w:rsidP="00292A53">
            <w:pPr>
              <w:pStyle w:val="Table7pttext"/>
              <w:spacing w:after="60"/>
            </w:pPr>
            <w:r w:rsidRPr="001A7A6B">
              <w:t>Poisoning by copper or a compound of copper; any of t</w:t>
            </w:r>
            <w:r w:rsidR="00AD5848">
              <w:t>he sequelae of such a poisoning</w:t>
            </w:r>
          </w:p>
        </w:tc>
        <w:tc>
          <w:tcPr>
            <w:tcW w:w="1503" w:type="dxa"/>
            <w:tcMar>
              <w:top w:w="80" w:type="dxa"/>
              <w:left w:w="80" w:type="dxa"/>
              <w:bottom w:w="80" w:type="dxa"/>
              <w:right w:w="80" w:type="dxa"/>
            </w:tcMar>
          </w:tcPr>
          <w:p w14:paraId="24D57F50"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2D81E825" w14:textId="1F2F2689" w:rsidR="00A64F30" w:rsidRPr="001A7A6B" w:rsidRDefault="00A64F30" w:rsidP="00292A53">
            <w:pPr>
              <w:pStyle w:val="Table7pttext"/>
              <w:spacing w:after="60"/>
            </w:pPr>
            <w:r w:rsidRPr="001A7A6B">
              <w:t>Chronic renal failure diagnosed as caused by metals such as cadmium or copper, including via welding fume</w:t>
            </w:r>
            <w:r w:rsidR="00AD5848">
              <w:t>s</w:t>
            </w:r>
          </w:p>
        </w:tc>
      </w:tr>
      <w:tr w:rsidR="00A64F30" w:rsidRPr="001A7A6B" w14:paraId="3B90A63E" w14:textId="77777777" w:rsidTr="00FB729B">
        <w:trPr>
          <w:cantSplit/>
        </w:trPr>
        <w:tc>
          <w:tcPr>
            <w:tcW w:w="1564" w:type="dxa"/>
            <w:shd w:val="clear" w:color="auto" w:fill="FFC9C9"/>
            <w:tcMar>
              <w:top w:w="80" w:type="dxa"/>
              <w:left w:w="80" w:type="dxa"/>
              <w:bottom w:w="80" w:type="dxa"/>
              <w:right w:w="80" w:type="dxa"/>
            </w:tcMar>
          </w:tcPr>
          <w:p w14:paraId="658A4628" w14:textId="77777777" w:rsidR="00A64F30" w:rsidRPr="001A7A6B" w:rsidRDefault="00A64F30" w:rsidP="00292A53">
            <w:pPr>
              <w:pStyle w:val="TableColumn1bold"/>
              <w:spacing w:after="60"/>
            </w:pPr>
            <w:r w:rsidRPr="001A7A6B">
              <w:lastRenderedPageBreak/>
              <w:t>Ethylene oxide</w:t>
            </w:r>
          </w:p>
        </w:tc>
        <w:tc>
          <w:tcPr>
            <w:tcW w:w="1503" w:type="dxa"/>
            <w:shd w:val="clear" w:color="auto" w:fill="FFC9C9"/>
            <w:tcMar>
              <w:top w:w="80" w:type="dxa"/>
              <w:left w:w="80" w:type="dxa"/>
              <w:bottom w:w="80" w:type="dxa"/>
              <w:right w:w="80" w:type="dxa"/>
            </w:tcMar>
          </w:tcPr>
          <w:p w14:paraId="04B2550F"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4875E2D6"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6D8C0308"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2F5D3B33"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26B4DF95"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03F2189F" w14:textId="0AA9FFCD" w:rsidR="00A64F30" w:rsidRPr="001A7A6B" w:rsidRDefault="00AD5848" w:rsidP="00292A53">
            <w:pPr>
              <w:pStyle w:val="Table7pttext"/>
              <w:spacing w:after="60"/>
            </w:pPr>
            <w:r>
              <w:t>Acute poisoning/toxicity</w:t>
            </w:r>
          </w:p>
        </w:tc>
        <w:tc>
          <w:tcPr>
            <w:tcW w:w="1504" w:type="dxa"/>
            <w:shd w:val="clear" w:color="auto" w:fill="FFC9C9"/>
            <w:tcMar>
              <w:top w:w="80" w:type="dxa"/>
              <w:left w:w="80" w:type="dxa"/>
              <w:bottom w:w="80" w:type="dxa"/>
              <w:right w:w="80" w:type="dxa"/>
            </w:tcMar>
          </w:tcPr>
          <w:p w14:paraId="79A735CB"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1EC7A921"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6CB01E8B" w14:textId="4FA6D767" w:rsidR="00A64F30" w:rsidRPr="001A7A6B" w:rsidRDefault="00A64F30" w:rsidP="00292A53">
            <w:pPr>
              <w:pStyle w:val="Table7pttext"/>
              <w:spacing w:after="60"/>
            </w:pPr>
            <w:r w:rsidRPr="001A7A6B">
              <w:t>Diseases of a type generally accepted by the medical profess</w:t>
            </w:r>
            <w:r w:rsidR="00AD5848">
              <w:t>ion as caused by ethylene oxide</w:t>
            </w:r>
          </w:p>
        </w:tc>
      </w:tr>
      <w:tr w:rsidR="00A64F30" w:rsidRPr="001A7A6B" w14:paraId="436C515C" w14:textId="77777777" w:rsidTr="00FB729B">
        <w:trPr>
          <w:cantSplit/>
        </w:trPr>
        <w:tc>
          <w:tcPr>
            <w:tcW w:w="1564" w:type="dxa"/>
            <w:tcMar>
              <w:top w:w="80" w:type="dxa"/>
              <w:left w:w="80" w:type="dxa"/>
              <w:bottom w:w="80" w:type="dxa"/>
              <w:right w:w="80" w:type="dxa"/>
            </w:tcMar>
          </w:tcPr>
          <w:p w14:paraId="37467A28" w14:textId="77777777" w:rsidR="00A64F30" w:rsidRPr="001A7A6B" w:rsidRDefault="00A64F30" w:rsidP="00292A53">
            <w:pPr>
              <w:pStyle w:val="TableColumn1bold"/>
              <w:spacing w:after="60"/>
            </w:pPr>
            <w:r w:rsidRPr="001A7A6B">
              <w:t>Fluorine</w:t>
            </w:r>
          </w:p>
        </w:tc>
        <w:tc>
          <w:tcPr>
            <w:tcW w:w="1503" w:type="dxa"/>
            <w:tcMar>
              <w:top w:w="80" w:type="dxa"/>
              <w:left w:w="80" w:type="dxa"/>
              <w:bottom w:w="80" w:type="dxa"/>
              <w:right w:w="80" w:type="dxa"/>
            </w:tcMar>
          </w:tcPr>
          <w:p w14:paraId="25C91E02"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2F910586"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698DB481" w14:textId="1AEE8AA5" w:rsidR="00A64F30" w:rsidRPr="001A7A6B" w:rsidRDefault="00AD5848" w:rsidP="00292A53">
            <w:pPr>
              <w:pStyle w:val="Table7pttext"/>
              <w:spacing w:after="60"/>
            </w:pPr>
            <w:r>
              <w:t>Poisoning by fluorine</w:t>
            </w:r>
          </w:p>
        </w:tc>
        <w:tc>
          <w:tcPr>
            <w:tcW w:w="1503" w:type="dxa"/>
            <w:tcMar>
              <w:top w:w="80" w:type="dxa"/>
              <w:left w:w="80" w:type="dxa"/>
              <w:bottom w:w="80" w:type="dxa"/>
              <w:right w:w="80" w:type="dxa"/>
            </w:tcMar>
          </w:tcPr>
          <w:p w14:paraId="7C5295FF"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07514F60" w14:textId="59F98E0E" w:rsidR="00A64F30" w:rsidRPr="001A7A6B" w:rsidRDefault="00A64F30" w:rsidP="00292A53">
            <w:pPr>
              <w:pStyle w:val="Table7pttext"/>
              <w:spacing w:after="60"/>
            </w:pPr>
            <w:r w:rsidRPr="001A7A6B">
              <w:t xml:space="preserve">Poisoning by </w:t>
            </w:r>
            <w:r w:rsidR="00AD5848">
              <w:t>fluorine or its toxic compounds</w:t>
            </w:r>
          </w:p>
        </w:tc>
        <w:tc>
          <w:tcPr>
            <w:tcW w:w="1503" w:type="dxa"/>
            <w:tcMar>
              <w:top w:w="80" w:type="dxa"/>
              <w:left w:w="80" w:type="dxa"/>
              <w:bottom w:w="80" w:type="dxa"/>
              <w:right w:w="80" w:type="dxa"/>
            </w:tcMar>
          </w:tcPr>
          <w:p w14:paraId="555ED38A" w14:textId="57EF2E2F" w:rsidR="00A64F30" w:rsidRPr="001A7A6B" w:rsidRDefault="00A64F30" w:rsidP="00292A53">
            <w:pPr>
              <w:pStyle w:val="Table7pttext"/>
              <w:spacing w:after="60"/>
            </w:pPr>
            <w:r w:rsidRPr="00A8033E">
              <w:t>Acute poisoning/tox</w:t>
            </w:r>
            <w:r w:rsidR="00AD5848">
              <w:t>icity</w:t>
            </w:r>
          </w:p>
        </w:tc>
        <w:tc>
          <w:tcPr>
            <w:tcW w:w="1504" w:type="dxa"/>
            <w:tcMar>
              <w:top w:w="80" w:type="dxa"/>
              <w:left w:w="80" w:type="dxa"/>
              <w:bottom w:w="80" w:type="dxa"/>
              <w:right w:w="80" w:type="dxa"/>
            </w:tcMar>
          </w:tcPr>
          <w:p w14:paraId="31E641C8"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697657AA" w14:textId="55E081BE" w:rsidR="00A64F30" w:rsidRPr="001A7A6B" w:rsidRDefault="00A64F30" w:rsidP="00292A53">
            <w:pPr>
              <w:pStyle w:val="Table7pttext"/>
              <w:spacing w:after="60"/>
            </w:pPr>
            <w:r w:rsidRPr="001A7A6B">
              <w:t xml:space="preserve">Diseases caused by </w:t>
            </w:r>
            <w:r w:rsidR="00AD5848">
              <w:t>fluorine or its toxic compounds</w:t>
            </w:r>
          </w:p>
        </w:tc>
        <w:tc>
          <w:tcPr>
            <w:tcW w:w="1504" w:type="dxa"/>
            <w:tcMar>
              <w:top w:w="80" w:type="dxa"/>
              <w:left w:w="80" w:type="dxa"/>
              <w:bottom w:w="80" w:type="dxa"/>
              <w:right w:w="80" w:type="dxa"/>
            </w:tcMar>
          </w:tcPr>
          <w:p w14:paraId="7C0E15EE" w14:textId="77777777" w:rsidR="00A64F30" w:rsidRPr="001A7A6B" w:rsidRDefault="00A64F30" w:rsidP="00292A53">
            <w:pPr>
              <w:pStyle w:val="Table7pttext"/>
              <w:spacing w:after="60"/>
            </w:pPr>
            <w:r w:rsidRPr="001A7A6B">
              <w:t>—</w:t>
            </w:r>
          </w:p>
        </w:tc>
      </w:tr>
      <w:tr w:rsidR="00A64F30" w:rsidRPr="001A7A6B" w14:paraId="5ADC3EA1" w14:textId="77777777" w:rsidTr="00FB729B">
        <w:trPr>
          <w:cantSplit/>
        </w:trPr>
        <w:tc>
          <w:tcPr>
            <w:tcW w:w="1564" w:type="dxa"/>
            <w:shd w:val="clear" w:color="auto" w:fill="FFC9C9"/>
            <w:tcMar>
              <w:top w:w="80" w:type="dxa"/>
              <w:left w:w="80" w:type="dxa"/>
              <w:bottom w:w="80" w:type="dxa"/>
              <w:right w:w="80" w:type="dxa"/>
            </w:tcMar>
          </w:tcPr>
          <w:p w14:paraId="2D7A00AD" w14:textId="77777777" w:rsidR="00A64F30" w:rsidRPr="001A7A6B" w:rsidRDefault="00A64F30" w:rsidP="00292A53">
            <w:pPr>
              <w:pStyle w:val="TableColumn1bold"/>
              <w:spacing w:after="60"/>
            </w:pPr>
            <w:r w:rsidRPr="001A7A6B">
              <w:t>Halogen derivatives of aliphatic or aromatic hydrocarbons</w:t>
            </w:r>
          </w:p>
        </w:tc>
        <w:tc>
          <w:tcPr>
            <w:tcW w:w="1503" w:type="dxa"/>
            <w:shd w:val="clear" w:color="auto" w:fill="FFC9C9"/>
            <w:tcMar>
              <w:top w:w="80" w:type="dxa"/>
              <w:left w:w="80" w:type="dxa"/>
              <w:bottom w:w="80" w:type="dxa"/>
              <w:right w:w="80" w:type="dxa"/>
            </w:tcMar>
          </w:tcPr>
          <w:p w14:paraId="3C78C6E9" w14:textId="0C59D2C4" w:rsidR="00A64F30" w:rsidRPr="001A7A6B" w:rsidRDefault="00A64F30" w:rsidP="00292A53">
            <w:pPr>
              <w:pStyle w:val="Table7pttext"/>
              <w:spacing w:after="60"/>
            </w:pPr>
            <w:r w:rsidRPr="001A7A6B">
              <w:t>Poisoning by the halogen derivates of hydro</w:t>
            </w:r>
            <w:r w:rsidR="00AD5848">
              <w:t>carbons of the aliphatic series</w:t>
            </w:r>
          </w:p>
          <w:p w14:paraId="0073BF3A" w14:textId="67676F7E" w:rsidR="00A64F30" w:rsidRPr="001A7A6B" w:rsidRDefault="00A64F30" w:rsidP="00292A53">
            <w:pPr>
              <w:pStyle w:val="Table7pttext"/>
              <w:spacing w:after="60"/>
            </w:pPr>
            <w:r w:rsidRPr="001A7A6B">
              <w:t>(</w:t>
            </w:r>
            <w:hyperlink r:id="rId2205" w:history="1">
              <w:r w:rsidRPr="009A3D99">
                <w:rPr>
                  <w:rStyle w:val="Hyperlink"/>
                </w:rPr>
                <w:t>Schedule 1</w:t>
              </w:r>
            </w:hyperlink>
            <w:r w:rsidRPr="001A7A6B">
              <w:t xml:space="preserve"> of the Worke</w:t>
            </w:r>
            <w:r>
              <w:t>rs’ Compensation Regulation 2016</w:t>
            </w:r>
            <w:r w:rsidR="00AD5848">
              <w:t>)</w:t>
            </w:r>
          </w:p>
        </w:tc>
        <w:tc>
          <w:tcPr>
            <w:tcW w:w="1503" w:type="dxa"/>
            <w:shd w:val="clear" w:color="auto" w:fill="FFC9C9"/>
            <w:tcMar>
              <w:top w:w="80" w:type="dxa"/>
              <w:left w:w="80" w:type="dxa"/>
              <w:bottom w:w="80" w:type="dxa"/>
              <w:right w:w="80" w:type="dxa"/>
            </w:tcMar>
          </w:tcPr>
          <w:p w14:paraId="737BBABB" w14:textId="4080E51F" w:rsidR="00A64F30" w:rsidRPr="001A7A6B" w:rsidRDefault="00A64F30" w:rsidP="00292A53">
            <w:pPr>
              <w:pStyle w:val="Table7pttext"/>
              <w:spacing w:after="60"/>
            </w:pPr>
            <w:r w:rsidRPr="001A7A6B">
              <w:t>Poisoning by the halogen derivates of hydro</w:t>
            </w:r>
            <w:r w:rsidR="00AD5848">
              <w:t>carbons of the aliphatic series</w:t>
            </w:r>
          </w:p>
        </w:tc>
        <w:tc>
          <w:tcPr>
            <w:tcW w:w="1504" w:type="dxa"/>
            <w:shd w:val="clear" w:color="auto" w:fill="FFC9C9"/>
            <w:tcMar>
              <w:top w:w="80" w:type="dxa"/>
              <w:left w:w="80" w:type="dxa"/>
              <w:bottom w:w="80" w:type="dxa"/>
              <w:right w:w="80" w:type="dxa"/>
            </w:tcMar>
          </w:tcPr>
          <w:p w14:paraId="6CB78DA5" w14:textId="61835A2F" w:rsidR="00A64F30" w:rsidRPr="001A7A6B" w:rsidRDefault="00A64F30" w:rsidP="00292A53">
            <w:pPr>
              <w:pStyle w:val="Table7pttext"/>
              <w:spacing w:after="60"/>
            </w:pPr>
            <w:r w:rsidRPr="001A7A6B">
              <w:t>Poisoning by a halogen derivates of a hydr</w:t>
            </w:r>
            <w:r w:rsidR="00AD5848">
              <w:t>ocarbon of the aliphatic series</w:t>
            </w:r>
          </w:p>
        </w:tc>
        <w:tc>
          <w:tcPr>
            <w:tcW w:w="1503" w:type="dxa"/>
            <w:shd w:val="clear" w:color="auto" w:fill="FFC9C9"/>
            <w:tcMar>
              <w:top w:w="80" w:type="dxa"/>
              <w:left w:w="80" w:type="dxa"/>
              <w:bottom w:w="80" w:type="dxa"/>
              <w:right w:w="80" w:type="dxa"/>
            </w:tcMar>
          </w:tcPr>
          <w:p w14:paraId="58C1E61B" w14:textId="3FFE630C" w:rsidR="00A64F30" w:rsidRPr="001A7A6B" w:rsidRDefault="00A64F30" w:rsidP="00292A53">
            <w:pPr>
              <w:pStyle w:val="Table7pttext"/>
              <w:spacing w:after="60"/>
            </w:pPr>
            <w:r w:rsidRPr="001A7A6B">
              <w:t>Halogen poisoning (ie</w:t>
            </w:r>
            <w:r>
              <w:t>:</w:t>
            </w:r>
            <w:r w:rsidRPr="001A7A6B">
              <w:t xml:space="preserve"> poisoning by the halogen derivatives of hydrocarbons of the aliphatic series) and</w:t>
            </w:r>
            <w:r w:rsidR="00AD5848">
              <w:t xml:space="preserve"> its sequelae</w:t>
            </w:r>
          </w:p>
        </w:tc>
        <w:tc>
          <w:tcPr>
            <w:tcW w:w="1504" w:type="dxa"/>
            <w:shd w:val="clear" w:color="auto" w:fill="FFC9C9"/>
            <w:tcMar>
              <w:top w:w="80" w:type="dxa"/>
              <w:left w:w="80" w:type="dxa"/>
              <w:bottom w:w="80" w:type="dxa"/>
              <w:right w:w="80" w:type="dxa"/>
            </w:tcMar>
          </w:tcPr>
          <w:p w14:paraId="21A57AB1" w14:textId="1980AC91" w:rsidR="00A64F30" w:rsidRPr="001A7A6B" w:rsidRDefault="00A64F30" w:rsidP="00292A53">
            <w:pPr>
              <w:pStyle w:val="Table7pttext"/>
              <w:spacing w:after="60"/>
            </w:pPr>
            <w:r w:rsidRPr="001A7A6B">
              <w:t>Poisoning by the toxic halogen derivatives of ali</w:t>
            </w:r>
            <w:r w:rsidR="00AD5848">
              <w:t>phatic or aromatic hydrocarbons</w:t>
            </w:r>
          </w:p>
        </w:tc>
        <w:tc>
          <w:tcPr>
            <w:tcW w:w="1503" w:type="dxa"/>
            <w:shd w:val="clear" w:color="auto" w:fill="FFC9C9"/>
            <w:tcMar>
              <w:top w:w="80" w:type="dxa"/>
              <w:left w:w="80" w:type="dxa"/>
              <w:bottom w:w="80" w:type="dxa"/>
              <w:right w:w="80" w:type="dxa"/>
            </w:tcMar>
          </w:tcPr>
          <w:p w14:paraId="6460ACD1" w14:textId="56F57992" w:rsidR="00A64F30" w:rsidRPr="001A7A6B" w:rsidRDefault="00AD5848" w:rsidP="00292A53">
            <w:pPr>
              <w:pStyle w:val="Table7pttext"/>
              <w:spacing w:after="60"/>
            </w:pPr>
            <w:r>
              <w:t>Acute poisoning/toxicity</w:t>
            </w:r>
          </w:p>
        </w:tc>
        <w:tc>
          <w:tcPr>
            <w:tcW w:w="1504" w:type="dxa"/>
            <w:shd w:val="clear" w:color="auto" w:fill="FFC9C9"/>
            <w:tcMar>
              <w:top w:w="80" w:type="dxa"/>
              <w:left w:w="80" w:type="dxa"/>
              <w:bottom w:w="80" w:type="dxa"/>
              <w:right w:w="80" w:type="dxa"/>
            </w:tcMar>
          </w:tcPr>
          <w:p w14:paraId="6BD2C9EE" w14:textId="196615E5" w:rsidR="00A64F30" w:rsidRPr="001A7A6B" w:rsidRDefault="00A64F30" w:rsidP="00292A53">
            <w:pPr>
              <w:pStyle w:val="Table7pttext"/>
              <w:spacing w:after="60"/>
            </w:pPr>
            <w:r w:rsidRPr="001A7A6B">
              <w:t>Poisoning by a halogen derivate of a hydr</w:t>
            </w:r>
            <w:r w:rsidR="00A76698">
              <w:t>ocarbon of the aliphatic series</w:t>
            </w:r>
          </w:p>
        </w:tc>
        <w:tc>
          <w:tcPr>
            <w:tcW w:w="1503" w:type="dxa"/>
            <w:shd w:val="clear" w:color="auto" w:fill="FFC9C9"/>
            <w:tcMar>
              <w:top w:w="80" w:type="dxa"/>
              <w:left w:w="80" w:type="dxa"/>
              <w:bottom w:w="80" w:type="dxa"/>
              <w:right w:w="80" w:type="dxa"/>
            </w:tcMar>
          </w:tcPr>
          <w:p w14:paraId="1099A0E8" w14:textId="23F53A39" w:rsidR="00A64F30" w:rsidRPr="001A7A6B" w:rsidRDefault="00A64F30" w:rsidP="00292A53">
            <w:pPr>
              <w:pStyle w:val="Table7pttext"/>
              <w:spacing w:after="60"/>
            </w:pPr>
            <w:r w:rsidRPr="001A7A6B">
              <w:t>Diseases caused by toxic halogen derivatives of aliphatic o</w:t>
            </w:r>
            <w:r w:rsidR="00AD5848">
              <w:t>r aromatic hydrocarbons</w:t>
            </w:r>
          </w:p>
        </w:tc>
        <w:tc>
          <w:tcPr>
            <w:tcW w:w="1504" w:type="dxa"/>
            <w:shd w:val="clear" w:color="auto" w:fill="FFC9C9"/>
            <w:tcMar>
              <w:top w:w="80" w:type="dxa"/>
              <w:left w:w="80" w:type="dxa"/>
              <w:bottom w:w="80" w:type="dxa"/>
              <w:right w:w="80" w:type="dxa"/>
            </w:tcMar>
          </w:tcPr>
          <w:p w14:paraId="70BE980E" w14:textId="783C1605" w:rsidR="00A64F30" w:rsidRPr="001A7A6B" w:rsidRDefault="00A64F30" w:rsidP="00292A53">
            <w:pPr>
              <w:pStyle w:val="Table7pttext"/>
              <w:spacing w:after="60"/>
            </w:pPr>
            <w:r w:rsidRPr="001A7A6B">
              <w:t>Diseases of a type generally accepted by the medical profession as caused by the toxic halogen derivatives of hydro</w:t>
            </w:r>
            <w:r w:rsidR="00AD5848">
              <w:t>carbons of the aliphatic series</w:t>
            </w:r>
          </w:p>
        </w:tc>
      </w:tr>
      <w:tr w:rsidR="00A64F30" w:rsidRPr="001A7A6B" w14:paraId="12C94353" w14:textId="77777777" w:rsidTr="00FB729B">
        <w:trPr>
          <w:cantSplit/>
        </w:trPr>
        <w:tc>
          <w:tcPr>
            <w:tcW w:w="1564" w:type="dxa"/>
            <w:tcMar>
              <w:top w:w="80" w:type="dxa"/>
              <w:left w:w="80" w:type="dxa"/>
              <w:bottom w:w="80" w:type="dxa"/>
              <w:right w:w="80" w:type="dxa"/>
            </w:tcMar>
          </w:tcPr>
          <w:p w14:paraId="4E5B95E8" w14:textId="77777777" w:rsidR="00A64F30" w:rsidRPr="001A7A6B" w:rsidRDefault="00A64F30" w:rsidP="00292A53">
            <w:pPr>
              <w:pStyle w:val="TableColumn1bold"/>
              <w:spacing w:after="60"/>
            </w:pPr>
            <w:r w:rsidRPr="001A7A6B">
              <w:t>Lead</w:t>
            </w:r>
          </w:p>
        </w:tc>
        <w:tc>
          <w:tcPr>
            <w:tcW w:w="1503" w:type="dxa"/>
            <w:tcMar>
              <w:top w:w="80" w:type="dxa"/>
              <w:left w:w="80" w:type="dxa"/>
              <w:bottom w:w="80" w:type="dxa"/>
              <w:right w:w="80" w:type="dxa"/>
            </w:tcMar>
          </w:tcPr>
          <w:p w14:paraId="2A92C2F1" w14:textId="77777777" w:rsidR="00A64F30" w:rsidRPr="001A7A6B" w:rsidRDefault="00A64F30" w:rsidP="00292A53">
            <w:pPr>
              <w:pStyle w:val="Table7pttext"/>
              <w:spacing w:after="60"/>
            </w:pPr>
            <w:r w:rsidRPr="001A7A6B">
              <w:t>Poisoning by lead, its alloys or compounds, and its sequelae.</w:t>
            </w:r>
          </w:p>
          <w:p w14:paraId="5B4D7356" w14:textId="71FFE689" w:rsidR="00A64F30" w:rsidRPr="001A7A6B" w:rsidRDefault="00A64F30" w:rsidP="00292A53">
            <w:pPr>
              <w:pStyle w:val="Table7pttext"/>
              <w:spacing w:after="60"/>
            </w:pPr>
            <w:r w:rsidRPr="001A7A6B">
              <w:t>(</w:t>
            </w:r>
            <w:hyperlink r:id="rId2206" w:history="1">
              <w:r w:rsidRPr="009A3D99">
                <w:rPr>
                  <w:rStyle w:val="Hyperlink"/>
                </w:rPr>
                <w:t>Schedule 1</w:t>
              </w:r>
            </w:hyperlink>
            <w:r w:rsidRPr="001A7A6B">
              <w:t xml:space="preserve"> of the Worke</w:t>
            </w:r>
            <w:r>
              <w:t>rs’ Compensation Regulation 2016</w:t>
            </w:r>
            <w:r w:rsidR="00A76698">
              <w:t>)</w:t>
            </w:r>
          </w:p>
        </w:tc>
        <w:tc>
          <w:tcPr>
            <w:tcW w:w="1503" w:type="dxa"/>
            <w:tcMar>
              <w:top w:w="80" w:type="dxa"/>
              <w:left w:w="80" w:type="dxa"/>
              <w:bottom w:w="80" w:type="dxa"/>
              <w:right w:w="80" w:type="dxa"/>
            </w:tcMar>
          </w:tcPr>
          <w:p w14:paraId="454E97A3" w14:textId="77777777" w:rsidR="00A64F30" w:rsidRPr="001A7A6B" w:rsidRDefault="00A64F30" w:rsidP="00292A53">
            <w:pPr>
              <w:pStyle w:val="Table7pttext"/>
              <w:spacing w:after="60"/>
            </w:pPr>
            <w:r w:rsidRPr="001A7A6B">
              <w:t>Lead poisoning or its sequelae (lead or its preparations or compounds).</w:t>
            </w:r>
          </w:p>
        </w:tc>
        <w:tc>
          <w:tcPr>
            <w:tcW w:w="1504" w:type="dxa"/>
            <w:tcMar>
              <w:top w:w="80" w:type="dxa"/>
              <w:left w:w="80" w:type="dxa"/>
              <w:bottom w:w="80" w:type="dxa"/>
              <w:right w:w="80" w:type="dxa"/>
            </w:tcMar>
          </w:tcPr>
          <w:p w14:paraId="731C298B" w14:textId="77777777" w:rsidR="00A64F30" w:rsidRPr="001A7A6B" w:rsidRDefault="00A64F30" w:rsidP="00292A53">
            <w:pPr>
              <w:pStyle w:val="Table7pttext"/>
              <w:spacing w:after="60"/>
            </w:pPr>
            <w:r w:rsidRPr="001A7A6B">
              <w:t>Lead poisoning (lead, or its preparations or compounds).</w:t>
            </w:r>
          </w:p>
        </w:tc>
        <w:tc>
          <w:tcPr>
            <w:tcW w:w="1503" w:type="dxa"/>
            <w:tcMar>
              <w:top w:w="80" w:type="dxa"/>
              <w:left w:w="80" w:type="dxa"/>
              <w:bottom w:w="80" w:type="dxa"/>
              <w:right w:w="80" w:type="dxa"/>
            </w:tcMar>
          </w:tcPr>
          <w:p w14:paraId="1A72B7D4" w14:textId="77777777" w:rsidR="00A64F30" w:rsidRPr="001A7A6B" w:rsidRDefault="00A64F30" w:rsidP="00292A53">
            <w:pPr>
              <w:pStyle w:val="Table7pttext"/>
              <w:spacing w:after="60"/>
            </w:pPr>
            <w:r w:rsidRPr="001A7A6B">
              <w:t>Lead poisoning or its sequelae (lead or its preparations or compounds).</w:t>
            </w:r>
          </w:p>
        </w:tc>
        <w:tc>
          <w:tcPr>
            <w:tcW w:w="1504" w:type="dxa"/>
            <w:tcMar>
              <w:top w:w="80" w:type="dxa"/>
              <w:left w:w="80" w:type="dxa"/>
              <w:bottom w:w="80" w:type="dxa"/>
              <w:right w:w="80" w:type="dxa"/>
            </w:tcMar>
          </w:tcPr>
          <w:p w14:paraId="3E02FD15" w14:textId="77777777" w:rsidR="00A64F30" w:rsidRPr="001A7A6B" w:rsidRDefault="00A64F30" w:rsidP="00292A53">
            <w:pPr>
              <w:pStyle w:val="Table7pttext"/>
              <w:spacing w:after="60"/>
            </w:pPr>
            <w:r w:rsidRPr="001A7A6B">
              <w:t>Poisoning by lead or its toxic compounds.</w:t>
            </w:r>
          </w:p>
        </w:tc>
        <w:tc>
          <w:tcPr>
            <w:tcW w:w="1503" w:type="dxa"/>
            <w:tcMar>
              <w:top w:w="80" w:type="dxa"/>
              <w:left w:w="80" w:type="dxa"/>
              <w:bottom w:w="80" w:type="dxa"/>
              <w:right w:w="80" w:type="dxa"/>
            </w:tcMar>
          </w:tcPr>
          <w:p w14:paraId="13B3E9E5" w14:textId="77777777" w:rsidR="00A64F30" w:rsidRDefault="00A64F30" w:rsidP="00292A53">
            <w:pPr>
              <w:pStyle w:val="Table7pttext"/>
              <w:spacing w:after="60"/>
            </w:pPr>
            <w:r>
              <w:t>Acute poisoning/toxicity.</w:t>
            </w:r>
          </w:p>
          <w:p w14:paraId="7820B2CE" w14:textId="50BB57BB" w:rsidR="00A64F30" w:rsidRPr="001A7A6B" w:rsidRDefault="00A64F30" w:rsidP="00292A53">
            <w:pPr>
              <w:pStyle w:val="Table7pttext"/>
              <w:spacing w:after="60"/>
            </w:pPr>
            <w:r>
              <w:t>Peripheral neuropathy</w:t>
            </w:r>
          </w:p>
        </w:tc>
        <w:tc>
          <w:tcPr>
            <w:tcW w:w="1504" w:type="dxa"/>
            <w:tcMar>
              <w:top w:w="80" w:type="dxa"/>
              <w:left w:w="80" w:type="dxa"/>
              <w:bottom w:w="80" w:type="dxa"/>
              <w:right w:w="80" w:type="dxa"/>
            </w:tcMar>
          </w:tcPr>
          <w:p w14:paraId="1A8B0A3E" w14:textId="77777777" w:rsidR="002849B2" w:rsidRDefault="002849B2" w:rsidP="002849B2">
            <w:pPr>
              <w:pStyle w:val="Table7pttext"/>
              <w:spacing w:after="60"/>
              <w:rPr>
                <w:rFonts w:cs="Helvetica"/>
              </w:rPr>
            </w:pPr>
            <w:r>
              <w:rPr>
                <w:rFonts w:cs="Helvetica"/>
              </w:rPr>
              <w:t>Peripheral neuropathy</w:t>
            </w:r>
          </w:p>
          <w:p w14:paraId="19788705" w14:textId="12D5D55F" w:rsidR="00A64F30" w:rsidRPr="001A7A6B" w:rsidRDefault="002849B2" w:rsidP="002849B2">
            <w:pPr>
              <w:pStyle w:val="Table7pttext"/>
              <w:spacing w:after="60"/>
            </w:pPr>
            <w:r w:rsidRPr="009D1CA2">
              <w:rPr>
                <w:rFonts w:cs="Helvetica"/>
              </w:rPr>
              <w:t>employment involving exposure to metals, organic solvents</w:t>
            </w:r>
            <w:r>
              <w:rPr>
                <w:rFonts w:cs="Helvetica"/>
              </w:rPr>
              <w:t>,</w:t>
            </w:r>
            <w:r w:rsidRPr="009D1CA2">
              <w:rPr>
                <w:rFonts w:cs="Helvetica"/>
              </w:rPr>
              <w:t xml:space="preserve"> pesticides</w:t>
            </w:r>
            <w:r>
              <w:rPr>
                <w:rFonts w:cs="Helvetica"/>
              </w:rPr>
              <w:t xml:space="preserve"> </w:t>
            </w:r>
            <w:r w:rsidRPr="009D1CA2">
              <w:rPr>
                <w:rFonts w:cs="Helvetica"/>
              </w:rPr>
              <w:t>or acrylamide</w:t>
            </w:r>
            <w:r>
              <w:rPr>
                <w:rFonts w:cs="Helvetica"/>
              </w:rPr>
              <w:t>.</w:t>
            </w:r>
          </w:p>
        </w:tc>
        <w:tc>
          <w:tcPr>
            <w:tcW w:w="1503" w:type="dxa"/>
            <w:tcMar>
              <w:top w:w="80" w:type="dxa"/>
              <w:left w:w="80" w:type="dxa"/>
              <w:bottom w:w="80" w:type="dxa"/>
              <w:right w:w="80" w:type="dxa"/>
            </w:tcMar>
          </w:tcPr>
          <w:p w14:paraId="3FE079CC" w14:textId="2BDF4D40" w:rsidR="00A64F30" w:rsidRPr="001A7A6B" w:rsidRDefault="00A64F30" w:rsidP="00292A53">
            <w:pPr>
              <w:pStyle w:val="Table7pttext"/>
              <w:spacing w:after="60"/>
            </w:pPr>
            <w:r w:rsidRPr="001A7A6B">
              <w:t>Diseases caused</w:t>
            </w:r>
            <w:r w:rsidR="00AD5848">
              <w:t xml:space="preserve"> by lead or its toxic compounds</w:t>
            </w:r>
          </w:p>
        </w:tc>
        <w:tc>
          <w:tcPr>
            <w:tcW w:w="1504" w:type="dxa"/>
            <w:tcMar>
              <w:top w:w="80" w:type="dxa"/>
              <w:left w:w="80" w:type="dxa"/>
              <w:bottom w:w="80" w:type="dxa"/>
              <w:right w:w="80" w:type="dxa"/>
            </w:tcMar>
          </w:tcPr>
          <w:p w14:paraId="21AD5CAE" w14:textId="3CA63E93" w:rsidR="00A64F30" w:rsidRPr="001A7A6B" w:rsidRDefault="00A64F30" w:rsidP="00292A53">
            <w:pPr>
              <w:pStyle w:val="Table7pttext"/>
              <w:spacing w:after="60"/>
            </w:pPr>
            <w:r w:rsidRPr="001A7A6B">
              <w:t>Diseases of a type generally accepted by the medical profession as caused</w:t>
            </w:r>
            <w:r w:rsidR="00A76698">
              <w:t xml:space="preserve"> by lead or its toxic compounds</w:t>
            </w:r>
          </w:p>
        </w:tc>
      </w:tr>
      <w:tr w:rsidR="00A64F30" w:rsidRPr="001A7A6B" w14:paraId="70A4AFE8" w14:textId="77777777" w:rsidTr="00FB729B">
        <w:trPr>
          <w:cantSplit/>
        </w:trPr>
        <w:tc>
          <w:tcPr>
            <w:tcW w:w="1564" w:type="dxa"/>
            <w:shd w:val="clear" w:color="auto" w:fill="FFC9C9"/>
            <w:tcMar>
              <w:top w:w="80" w:type="dxa"/>
              <w:left w:w="80" w:type="dxa"/>
              <w:bottom w:w="80" w:type="dxa"/>
              <w:right w:w="80" w:type="dxa"/>
            </w:tcMar>
          </w:tcPr>
          <w:p w14:paraId="4E287EE6" w14:textId="77777777" w:rsidR="00A64F30" w:rsidRPr="001A7A6B" w:rsidRDefault="00A64F30" w:rsidP="00292A53">
            <w:pPr>
              <w:pStyle w:val="TableColumn1bold"/>
              <w:spacing w:after="60"/>
            </w:pPr>
            <w:r w:rsidRPr="001A7A6B">
              <w:t>Manganese</w:t>
            </w:r>
          </w:p>
        </w:tc>
        <w:tc>
          <w:tcPr>
            <w:tcW w:w="1503" w:type="dxa"/>
            <w:shd w:val="clear" w:color="auto" w:fill="FFC9C9"/>
            <w:tcMar>
              <w:top w:w="80" w:type="dxa"/>
              <w:left w:w="80" w:type="dxa"/>
              <w:bottom w:w="80" w:type="dxa"/>
              <w:right w:w="80" w:type="dxa"/>
            </w:tcMar>
          </w:tcPr>
          <w:p w14:paraId="02991CCB"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46F2460D"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5776444E"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6F273E2C"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4F891605" w14:textId="2B6441CA" w:rsidR="00A64F30" w:rsidRPr="001A7A6B" w:rsidRDefault="00A64F30" w:rsidP="00292A53">
            <w:pPr>
              <w:pStyle w:val="Table7pttext"/>
              <w:spacing w:after="60"/>
            </w:pPr>
            <w:r w:rsidRPr="001A7A6B">
              <w:t>Poisoning by m</w:t>
            </w:r>
            <w:r w:rsidR="00A76698">
              <w:t>anganese or its toxic compounds</w:t>
            </w:r>
          </w:p>
        </w:tc>
        <w:tc>
          <w:tcPr>
            <w:tcW w:w="1503" w:type="dxa"/>
            <w:shd w:val="clear" w:color="auto" w:fill="FFC9C9"/>
            <w:tcMar>
              <w:top w:w="80" w:type="dxa"/>
              <w:left w:w="80" w:type="dxa"/>
              <w:bottom w:w="80" w:type="dxa"/>
              <w:right w:w="80" w:type="dxa"/>
            </w:tcMar>
          </w:tcPr>
          <w:p w14:paraId="591E975B" w14:textId="77777777" w:rsidR="00A64F30" w:rsidRDefault="00A64F30" w:rsidP="00292A53">
            <w:pPr>
              <w:pStyle w:val="Table7pttext"/>
              <w:spacing w:after="60"/>
            </w:pPr>
            <w:r>
              <w:t>Acute poisoning/toxicity.</w:t>
            </w:r>
          </w:p>
          <w:p w14:paraId="05A15A39" w14:textId="403CB1E2" w:rsidR="00A64F30" w:rsidRPr="001A7A6B" w:rsidRDefault="00A64F30" w:rsidP="00292A53">
            <w:pPr>
              <w:pStyle w:val="Table7pttext"/>
              <w:spacing w:after="60"/>
            </w:pPr>
            <w:r>
              <w:t>Parkinson’s disease</w:t>
            </w:r>
          </w:p>
        </w:tc>
        <w:tc>
          <w:tcPr>
            <w:tcW w:w="1504" w:type="dxa"/>
            <w:shd w:val="clear" w:color="auto" w:fill="FFC9C9"/>
            <w:tcMar>
              <w:top w:w="80" w:type="dxa"/>
              <w:left w:w="80" w:type="dxa"/>
              <w:bottom w:w="80" w:type="dxa"/>
              <w:right w:w="80" w:type="dxa"/>
            </w:tcMar>
          </w:tcPr>
          <w:p w14:paraId="1A0F0038" w14:textId="533E18C7" w:rsidR="00A64F30" w:rsidRPr="001A7A6B" w:rsidRDefault="002849B2" w:rsidP="00292A53">
            <w:pPr>
              <w:pStyle w:val="Table7pttext"/>
              <w:spacing w:after="60"/>
            </w:pPr>
            <w:r>
              <w:t>Parkinson’s Disease – employment involving exposure to manganese.</w:t>
            </w:r>
          </w:p>
        </w:tc>
        <w:tc>
          <w:tcPr>
            <w:tcW w:w="1503" w:type="dxa"/>
            <w:shd w:val="clear" w:color="auto" w:fill="FFC9C9"/>
            <w:tcMar>
              <w:top w:w="80" w:type="dxa"/>
              <w:left w:w="80" w:type="dxa"/>
              <w:bottom w:w="80" w:type="dxa"/>
              <w:right w:w="80" w:type="dxa"/>
            </w:tcMar>
          </w:tcPr>
          <w:p w14:paraId="4C883112" w14:textId="06704B4B" w:rsidR="00A64F30" w:rsidRPr="001A7A6B" w:rsidRDefault="00A64F30" w:rsidP="00292A53">
            <w:pPr>
              <w:pStyle w:val="Table7pttext"/>
              <w:spacing w:after="60"/>
            </w:pPr>
            <w:r w:rsidRPr="001A7A6B">
              <w:t>Diseases caused by m</w:t>
            </w:r>
            <w:r w:rsidR="00A76698">
              <w:t>anganese or its toxic compounds</w:t>
            </w:r>
          </w:p>
        </w:tc>
        <w:tc>
          <w:tcPr>
            <w:tcW w:w="1504" w:type="dxa"/>
            <w:shd w:val="clear" w:color="auto" w:fill="FFC9C9"/>
            <w:tcMar>
              <w:top w:w="80" w:type="dxa"/>
              <w:left w:w="80" w:type="dxa"/>
              <w:bottom w:w="80" w:type="dxa"/>
              <w:right w:w="80" w:type="dxa"/>
            </w:tcMar>
          </w:tcPr>
          <w:p w14:paraId="1FCF5961" w14:textId="3529A563" w:rsidR="00A64F30" w:rsidRPr="001A7A6B" w:rsidRDefault="00A64F30" w:rsidP="00292A53">
            <w:pPr>
              <w:pStyle w:val="Table7pttext"/>
              <w:spacing w:after="60"/>
            </w:pPr>
            <w:r w:rsidRPr="001A7A6B">
              <w:t>Diseases of a type generally accepted by the medical profession as caused by m</w:t>
            </w:r>
            <w:r w:rsidR="00A76698">
              <w:t>anganese or its toxic compounds</w:t>
            </w:r>
          </w:p>
        </w:tc>
      </w:tr>
      <w:tr w:rsidR="00A64F30" w:rsidRPr="001A7A6B" w14:paraId="4B8E5FDA" w14:textId="77777777" w:rsidTr="00FB729B">
        <w:trPr>
          <w:cantSplit/>
        </w:trPr>
        <w:tc>
          <w:tcPr>
            <w:tcW w:w="1564" w:type="dxa"/>
            <w:tcMar>
              <w:top w:w="80" w:type="dxa"/>
              <w:left w:w="80" w:type="dxa"/>
              <w:bottom w:w="80" w:type="dxa"/>
              <w:right w:w="80" w:type="dxa"/>
            </w:tcMar>
          </w:tcPr>
          <w:p w14:paraId="78FD5708" w14:textId="77777777" w:rsidR="00A64F30" w:rsidRPr="001A7A6B" w:rsidRDefault="00A64F30" w:rsidP="00292A53">
            <w:pPr>
              <w:pStyle w:val="TableColumn1bold"/>
              <w:spacing w:after="60"/>
            </w:pPr>
            <w:r w:rsidRPr="001A7A6B">
              <w:t>Mercury</w:t>
            </w:r>
          </w:p>
        </w:tc>
        <w:tc>
          <w:tcPr>
            <w:tcW w:w="1503" w:type="dxa"/>
            <w:tcMar>
              <w:top w:w="80" w:type="dxa"/>
              <w:left w:w="80" w:type="dxa"/>
              <w:bottom w:w="80" w:type="dxa"/>
              <w:right w:w="80" w:type="dxa"/>
            </w:tcMar>
          </w:tcPr>
          <w:p w14:paraId="2A00C292" w14:textId="08BE236A" w:rsidR="00A64F30" w:rsidRPr="001A7A6B" w:rsidRDefault="00A64F30" w:rsidP="00292A53">
            <w:pPr>
              <w:pStyle w:val="Table7pttext"/>
              <w:spacing w:after="60"/>
            </w:pPr>
            <w:r w:rsidRPr="001A7A6B">
              <w:t>Poisoning by mercury or its amalgams</w:t>
            </w:r>
            <w:r w:rsidR="00A76698">
              <w:t xml:space="preserve"> or compounds, and its sequelae</w:t>
            </w:r>
          </w:p>
          <w:p w14:paraId="7A352DD5" w14:textId="4B355C9D" w:rsidR="00A64F30" w:rsidRPr="001A7A6B" w:rsidRDefault="00A64F30" w:rsidP="00292A53">
            <w:pPr>
              <w:pStyle w:val="Table7pttext"/>
              <w:spacing w:after="60"/>
            </w:pPr>
            <w:r w:rsidRPr="001A7A6B">
              <w:t>(</w:t>
            </w:r>
            <w:hyperlink r:id="rId2207" w:history="1">
              <w:r w:rsidRPr="009A3D99">
                <w:rPr>
                  <w:rStyle w:val="Hyperlink"/>
                </w:rPr>
                <w:t>Schedule 1</w:t>
              </w:r>
            </w:hyperlink>
            <w:r w:rsidRPr="001A7A6B">
              <w:t xml:space="preserve"> of the Worke</w:t>
            </w:r>
            <w:r>
              <w:t>rs’ Compensation Regulation 2016</w:t>
            </w:r>
            <w:r w:rsidR="00A76698">
              <w:t>)</w:t>
            </w:r>
          </w:p>
        </w:tc>
        <w:tc>
          <w:tcPr>
            <w:tcW w:w="1503" w:type="dxa"/>
            <w:tcMar>
              <w:top w:w="80" w:type="dxa"/>
              <w:left w:w="80" w:type="dxa"/>
              <w:bottom w:w="80" w:type="dxa"/>
              <w:right w:w="80" w:type="dxa"/>
            </w:tcMar>
          </w:tcPr>
          <w:p w14:paraId="652C3991" w14:textId="3F4F29A5" w:rsidR="00A64F30" w:rsidRPr="001A7A6B" w:rsidRDefault="00A64F30" w:rsidP="00292A53">
            <w:pPr>
              <w:pStyle w:val="Table7pttext"/>
              <w:spacing w:after="60"/>
            </w:pPr>
            <w:r w:rsidRPr="001A7A6B">
              <w:t>Mercury poisoning or its sequelae (mercury or</w:t>
            </w:r>
            <w:r w:rsidR="00A76698">
              <w:t xml:space="preserve"> its preparations or compounds)</w:t>
            </w:r>
          </w:p>
        </w:tc>
        <w:tc>
          <w:tcPr>
            <w:tcW w:w="1504" w:type="dxa"/>
            <w:tcMar>
              <w:top w:w="80" w:type="dxa"/>
              <w:left w:w="80" w:type="dxa"/>
              <w:bottom w:w="80" w:type="dxa"/>
              <w:right w:w="80" w:type="dxa"/>
            </w:tcMar>
          </w:tcPr>
          <w:p w14:paraId="6CA94CCF" w14:textId="60BF018C" w:rsidR="00A64F30" w:rsidRPr="001A7A6B" w:rsidRDefault="00A64F30" w:rsidP="00292A53">
            <w:pPr>
              <w:pStyle w:val="Table7pttext"/>
              <w:spacing w:after="60"/>
            </w:pPr>
            <w:r w:rsidRPr="001A7A6B">
              <w:t>Mercury poisoning (mercury, or</w:t>
            </w:r>
            <w:r w:rsidR="00A76698">
              <w:t xml:space="preserve"> its preparations or compounds)</w:t>
            </w:r>
          </w:p>
        </w:tc>
        <w:tc>
          <w:tcPr>
            <w:tcW w:w="1503" w:type="dxa"/>
            <w:tcMar>
              <w:top w:w="80" w:type="dxa"/>
              <w:left w:w="80" w:type="dxa"/>
              <w:bottom w:w="80" w:type="dxa"/>
              <w:right w:w="80" w:type="dxa"/>
            </w:tcMar>
          </w:tcPr>
          <w:p w14:paraId="35F498F0" w14:textId="05D49C5C" w:rsidR="00A64F30" w:rsidRPr="001A7A6B" w:rsidRDefault="00A64F30" w:rsidP="00292A53">
            <w:pPr>
              <w:pStyle w:val="Table7pttext"/>
              <w:spacing w:after="60"/>
            </w:pPr>
            <w:r w:rsidRPr="001A7A6B">
              <w:t>Mercury poisoning or its sequelae (mercury or its preparation</w:t>
            </w:r>
            <w:r w:rsidR="00A76698">
              <w:t>s or compounds)</w:t>
            </w:r>
          </w:p>
        </w:tc>
        <w:tc>
          <w:tcPr>
            <w:tcW w:w="1504" w:type="dxa"/>
            <w:tcMar>
              <w:top w:w="80" w:type="dxa"/>
              <w:left w:w="80" w:type="dxa"/>
              <w:bottom w:w="80" w:type="dxa"/>
              <w:right w:w="80" w:type="dxa"/>
            </w:tcMar>
          </w:tcPr>
          <w:p w14:paraId="039BECDC" w14:textId="77777777" w:rsidR="00A64F30" w:rsidRPr="001A7A6B" w:rsidRDefault="00A64F30" w:rsidP="00292A53">
            <w:pPr>
              <w:pStyle w:val="Table7pttext"/>
              <w:spacing w:after="60"/>
            </w:pPr>
            <w:r w:rsidRPr="001A7A6B">
              <w:t>Poisoning by mercury or its toxic compounds.</w:t>
            </w:r>
          </w:p>
        </w:tc>
        <w:tc>
          <w:tcPr>
            <w:tcW w:w="1503" w:type="dxa"/>
            <w:tcMar>
              <w:top w:w="80" w:type="dxa"/>
              <w:left w:w="80" w:type="dxa"/>
              <w:bottom w:w="80" w:type="dxa"/>
              <w:right w:w="80" w:type="dxa"/>
            </w:tcMar>
          </w:tcPr>
          <w:p w14:paraId="0FDA53D8" w14:textId="77777777" w:rsidR="00A64F30" w:rsidRDefault="00A64F30" w:rsidP="00292A53">
            <w:pPr>
              <w:pStyle w:val="Table7pttext"/>
              <w:spacing w:after="60"/>
            </w:pPr>
            <w:r>
              <w:t>Acute poisoning/toxicity.</w:t>
            </w:r>
          </w:p>
          <w:p w14:paraId="45CF477B" w14:textId="27E3D5D7" w:rsidR="00A64F30" w:rsidRPr="001A7A6B" w:rsidRDefault="00A64F30" w:rsidP="00292A53">
            <w:pPr>
              <w:pStyle w:val="Table7pttext"/>
              <w:spacing w:after="60"/>
            </w:pPr>
            <w:r>
              <w:t>Peripheral neuropathy</w:t>
            </w:r>
          </w:p>
        </w:tc>
        <w:tc>
          <w:tcPr>
            <w:tcW w:w="1504" w:type="dxa"/>
            <w:tcMar>
              <w:top w:w="80" w:type="dxa"/>
              <w:left w:w="80" w:type="dxa"/>
              <w:bottom w:w="80" w:type="dxa"/>
              <w:right w:w="80" w:type="dxa"/>
            </w:tcMar>
          </w:tcPr>
          <w:p w14:paraId="0D19615D" w14:textId="77777777" w:rsidR="002849B2" w:rsidRDefault="002849B2" w:rsidP="002849B2">
            <w:pPr>
              <w:pStyle w:val="Table7pttext"/>
              <w:spacing w:after="60"/>
            </w:pPr>
            <w:r>
              <w:t xml:space="preserve">Peripheral neuropathy </w:t>
            </w:r>
          </w:p>
          <w:p w14:paraId="3BF6147F" w14:textId="7247D87B" w:rsidR="00A64F30" w:rsidRPr="001A7A6B" w:rsidRDefault="002849B2" w:rsidP="002849B2">
            <w:pPr>
              <w:pStyle w:val="Table7pttext"/>
              <w:spacing w:after="60"/>
            </w:pPr>
            <w:r w:rsidRPr="009D1CA2">
              <w:rPr>
                <w:rFonts w:cs="Helvetica"/>
              </w:rPr>
              <w:t>employment involving exposure to metals, organic solvents</w:t>
            </w:r>
            <w:r>
              <w:rPr>
                <w:rFonts w:cs="Helvetica"/>
              </w:rPr>
              <w:t>,</w:t>
            </w:r>
            <w:r w:rsidRPr="009D1CA2">
              <w:rPr>
                <w:rFonts w:cs="Helvetica"/>
              </w:rPr>
              <w:t xml:space="preserve"> pesticides</w:t>
            </w:r>
            <w:r>
              <w:rPr>
                <w:rFonts w:cs="Helvetica"/>
              </w:rPr>
              <w:t xml:space="preserve"> </w:t>
            </w:r>
            <w:r w:rsidRPr="009D1CA2">
              <w:rPr>
                <w:rFonts w:cs="Helvetica"/>
              </w:rPr>
              <w:t>or acrylamide</w:t>
            </w:r>
            <w:r>
              <w:rPr>
                <w:rFonts w:cs="Helvetica"/>
              </w:rPr>
              <w:t>.</w:t>
            </w:r>
          </w:p>
        </w:tc>
        <w:tc>
          <w:tcPr>
            <w:tcW w:w="1503" w:type="dxa"/>
            <w:tcMar>
              <w:top w:w="80" w:type="dxa"/>
              <w:left w:w="80" w:type="dxa"/>
              <w:bottom w:w="80" w:type="dxa"/>
              <w:right w:w="80" w:type="dxa"/>
            </w:tcMar>
          </w:tcPr>
          <w:p w14:paraId="6A7D2BAB" w14:textId="42B9F8A3" w:rsidR="00A64F30" w:rsidRPr="001A7A6B" w:rsidRDefault="00A64F30" w:rsidP="00292A53">
            <w:pPr>
              <w:pStyle w:val="Table7pttext"/>
              <w:spacing w:after="60"/>
            </w:pPr>
            <w:r w:rsidRPr="001A7A6B">
              <w:t>Diseases caused by</w:t>
            </w:r>
            <w:r w:rsidR="00A76698">
              <w:t xml:space="preserve"> mercury or its toxic compounds</w:t>
            </w:r>
          </w:p>
        </w:tc>
        <w:tc>
          <w:tcPr>
            <w:tcW w:w="1504" w:type="dxa"/>
            <w:tcMar>
              <w:top w:w="80" w:type="dxa"/>
              <w:left w:w="80" w:type="dxa"/>
              <w:bottom w:w="80" w:type="dxa"/>
              <w:right w:w="80" w:type="dxa"/>
            </w:tcMar>
          </w:tcPr>
          <w:p w14:paraId="5F012FA9" w14:textId="02F0D0A1" w:rsidR="00A64F30" w:rsidRPr="001A7A6B" w:rsidRDefault="00A64F30" w:rsidP="00292A53">
            <w:pPr>
              <w:pStyle w:val="Table7pttext"/>
              <w:spacing w:after="60"/>
            </w:pPr>
            <w:r w:rsidRPr="001A7A6B">
              <w:t>Diseases of a type generally accepted by the medical profession as caused by</w:t>
            </w:r>
            <w:r w:rsidR="00A76698">
              <w:t xml:space="preserve"> mercury or its toxic compounds</w:t>
            </w:r>
          </w:p>
        </w:tc>
      </w:tr>
      <w:tr w:rsidR="00A64F30" w:rsidRPr="001A7A6B" w14:paraId="3A95AFE8" w14:textId="77777777" w:rsidTr="00FB729B">
        <w:trPr>
          <w:cantSplit/>
        </w:trPr>
        <w:tc>
          <w:tcPr>
            <w:tcW w:w="1564" w:type="dxa"/>
            <w:shd w:val="clear" w:color="auto" w:fill="FFC9C9"/>
            <w:tcMar>
              <w:top w:w="80" w:type="dxa"/>
              <w:left w:w="80" w:type="dxa"/>
              <w:bottom w:w="80" w:type="dxa"/>
              <w:right w:w="80" w:type="dxa"/>
            </w:tcMar>
          </w:tcPr>
          <w:p w14:paraId="300018E5" w14:textId="77777777" w:rsidR="00A64F30" w:rsidRPr="001A7A6B" w:rsidRDefault="00A64F30" w:rsidP="00292A53">
            <w:pPr>
              <w:pStyle w:val="TableColumn1bold"/>
              <w:spacing w:after="60"/>
            </w:pPr>
            <w:r w:rsidRPr="001A7A6B">
              <w:lastRenderedPageBreak/>
              <w:t>Nitro and amino- derivatives of benzene</w:t>
            </w:r>
          </w:p>
        </w:tc>
        <w:tc>
          <w:tcPr>
            <w:tcW w:w="1503" w:type="dxa"/>
            <w:shd w:val="clear" w:color="auto" w:fill="FFC9C9"/>
            <w:tcMar>
              <w:top w:w="80" w:type="dxa"/>
              <w:left w:w="80" w:type="dxa"/>
              <w:bottom w:w="80" w:type="dxa"/>
              <w:right w:w="80" w:type="dxa"/>
            </w:tcMar>
          </w:tcPr>
          <w:p w14:paraId="0EC7D5D9" w14:textId="5E1A7B7A" w:rsidR="00A64F30" w:rsidRPr="001A7A6B" w:rsidRDefault="00A64F30" w:rsidP="00292A53">
            <w:pPr>
              <w:pStyle w:val="Table7pttext"/>
              <w:spacing w:after="60"/>
            </w:pPr>
            <w:r w:rsidRPr="001A7A6B">
              <w:t>Poisoning by benzene or its homologues, their nitro and amido</w:t>
            </w:r>
            <w:r w:rsidR="00A76698">
              <w:t>- derivatives, and its sequelae</w:t>
            </w:r>
          </w:p>
          <w:p w14:paraId="23639257" w14:textId="65A1D47B" w:rsidR="00A64F30" w:rsidRPr="001A7A6B" w:rsidRDefault="00A64F30" w:rsidP="00292A53">
            <w:pPr>
              <w:pStyle w:val="Table7pttext"/>
              <w:spacing w:after="60"/>
            </w:pPr>
            <w:r w:rsidRPr="001A7A6B">
              <w:t>(</w:t>
            </w:r>
            <w:hyperlink r:id="rId2208" w:history="1">
              <w:r w:rsidRPr="009A3D99">
                <w:rPr>
                  <w:rStyle w:val="Hyperlink"/>
                </w:rPr>
                <w:t>Schedule 1</w:t>
              </w:r>
            </w:hyperlink>
            <w:r w:rsidRPr="001A7A6B">
              <w:t xml:space="preserve"> of the Workers’ Compensation Regulation 201</w:t>
            </w:r>
            <w:r>
              <w:t>6</w:t>
            </w:r>
            <w:r w:rsidR="00A76698">
              <w:t>)</w:t>
            </w:r>
          </w:p>
        </w:tc>
        <w:tc>
          <w:tcPr>
            <w:tcW w:w="1503" w:type="dxa"/>
            <w:shd w:val="clear" w:color="auto" w:fill="FFC9C9"/>
            <w:tcMar>
              <w:top w:w="80" w:type="dxa"/>
              <w:left w:w="80" w:type="dxa"/>
              <w:bottom w:w="80" w:type="dxa"/>
              <w:right w:w="80" w:type="dxa"/>
            </w:tcMar>
          </w:tcPr>
          <w:p w14:paraId="3DF1E966" w14:textId="1B72D14B" w:rsidR="00A64F30" w:rsidRPr="001A7A6B" w:rsidRDefault="00A64F30" w:rsidP="00292A53">
            <w:pPr>
              <w:pStyle w:val="Table7pttext"/>
              <w:spacing w:after="60"/>
            </w:pPr>
            <w:r w:rsidRPr="001A7A6B">
              <w:t>Poisoning by benzol, its homologues, or its nitro and amido derivatives, and t</w:t>
            </w:r>
            <w:r w:rsidR="00A76698">
              <w:t>he sequelae of these poisonings</w:t>
            </w:r>
          </w:p>
        </w:tc>
        <w:tc>
          <w:tcPr>
            <w:tcW w:w="1504" w:type="dxa"/>
            <w:shd w:val="clear" w:color="auto" w:fill="FFC9C9"/>
            <w:tcMar>
              <w:top w:w="80" w:type="dxa"/>
              <w:left w:w="80" w:type="dxa"/>
              <w:bottom w:w="80" w:type="dxa"/>
              <w:right w:w="80" w:type="dxa"/>
            </w:tcMar>
          </w:tcPr>
          <w:p w14:paraId="0493C713" w14:textId="6384F7D8" w:rsidR="00A64F30" w:rsidRPr="001A7A6B" w:rsidRDefault="00A64F30" w:rsidP="00292A53">
            <w:pPr>
              <w:pStyle w:val="Table7pttext"/>
              <w:spacing w:after="60"/>
            </w:pPr>
            <w:r w:rsidRPr="001A7A6B">
              <w:t>Poisoning by trinitrotoluene or by benzol or its nitro and amido derivatives (dinitrobenzol, aniline and</w:t>
            </w:r>
            <w:r w:rsidR="00A76698">
              <w:t xml:space="preserve"> others)</w:t>
            </w:r>
          </w:p>
        </w:tc>
        <w:tc>
          <w:tcPr>
            <w:tcW w:w="1503" w:type="dxa"/>
            <w:shd w:val="clear" w:color="auto" w:fill="FFC9C9"/>
            <w:tcMar>
              <w:top w:w="80" w:type="dxa"/>
              <w:left w:w="80" w:type="dxa"/>
              <w:bottom w:w="80" w:type="dxa"/>
              <w:right w:w="80" w:type="dxa"/>
            </w:tcMar>
          </w:tcPr>
          <w:p w14:paraId="3448CF49" w14:textId="7DD09453" w:rsidR="00A64F30" w:rsidRPr="001A7A6B" w:rsidRDefault="00A64F30" w:rsidP="00292A53">
            <w:pPr>
              <w:pStyle w:val="Table7pttext"/>
              <w:spacing w:after="60"/>
            </w:pPr>
            <w:r w:rsidRPr="001A7A6B">
              <w:t>Benzene poisoning (i.e. poisoning by benzene or its homologues or their nitro and amdi</w:t>
            </w:r>
            <w:r w:rsidR="00A76698">
              <w:t>o-derivatives) and its sequelae</w:t>
            </w:r>
          </w:p>
        </w:tc>
        <w:tc>
          <w:tcPr>
            <w:tcW w:w="1504" w:type="dxa"/>
            <w:shd w:val="clear" w:color="auto" w:fill="FFC9C9"/>
            <w:tcMar>
              <w:top w:w="80" w:type="dxa"/>
              <w:left w:w="80" w:type="dxa"/>
              <w:bottom w:w="80" w:type="dxa"/>
              <w:right w:w="80" w:type="dxa"/>
            </w:tcMar>
          </w:tcPr>
          <w:p w14:paraId="684503E0" w14:textId="6D0527B1" w:rsidR="00A64F30" w:rsidRPr="001A7A6B" w:rsidRDefault="00A64F30" w:rsidP="00292A53">
            <w:pPr>
              <w:pStyle w:val="Table7pttext"/>
              <w:spacing w:after="60"/>
            </w:pPr>
            <w:r w:rsidRPr="001A7A6B">
              <w:t>Poisoning by nitro or amino or chloro- derivative</w:t>
            </w:r>
            <w:r w:rsidR="00A76698">
              <w:t>s of benzene or its derivatives</w:t>
            </w:r>
          </w:p>
        </w:tc>
        <w:tc>
          <w:tcPr>
            <w:tcW w:w="1503" w:type="dxa"/>
            <w:shd w:val="clear" w:color="auto" w:fill="FFC9C9"/>
            <w:tcMar>
              <w:top w:w="80" w:type="dxa"/>
              <w:left w:w="80" w:type="dxa"/>
              <w:bottom w:w="80" w:type="dxa"/>
              <w:right w:w="80" w:type="dxa"/>
            </w:tcMar>
          </w:tcPr>
          <w:p w14:paraId="3AB298D8" w14:textId="5903505A" w:rsidR="00A64F30" w:rsidRPr="001A7A6B" w:rsidRDefault="00A76698" w:rsidP="00292A53">
            <w:pPr>
              <w:pStyle w:val="Table7pttext"/>
              <w:spacing w:after="60"/>
            </w:pPr>
            <w:r>
              <w:t>Acute poisoning/toxicity</w:t>
            </w:r>
          </w:p>
        </w:tc>
        <w:tc>
          <w:tcPr>
            <w:tcW w:w="1504" w:type="dxa"/>
            <w:shd w:val="clear" w:color="auto" w:fill="FFC9C9"/>
            <w:tcMar>
              <w:top w:w="80" w:type="dxa"/>
              <w:left w:w="80" w:type="dxa"/>
              <w:bottom w:w="80" w:type="dxa"/>
              <w:right w:w="80" w:type="dxa"/>
            </w:tcMar>
          </w:tcPr>
          <w:p w14:paraId="709E6298" w14:textId="655C4232" w:rsidR="00A64F30" w:rsidRPr="001A7A6B" w:rsidRDefault="00A64F30" w:rsidP="00292A53">
            <w:pPr>
              <w:pStyle w:val="Table7pttext"/>
              <w:spacing w:after="60"/>
            </w:pPr>
            <w:r w:rsidRPr="001A7A6B">
              <w:t>Poisoning by benzene, a homologue of benzene or a nitro-derivative or amido-derivative of benzene; any of t</w:t>
            </w:r>
            <w:r w:rsidR="00A76698">
              <w:t>he sequelae of such a poisoning</w:t>
            </w:r>
          </w:p>
        </w:tc>
        <w:tc>
          <w:tcPr>
            <w:tcW w:w="1503" w:type="dxa"/>
            <w:shd w:val="clear" w:color="auto" w:fill="FFC9C9"/>
            <w:tcMar>
              <w:top w:w="80" w:type="dxa"/>
              <w:left w:w="80" w:type="dxa"/>
              <w:bottom w:w="80" w:type="dxa"/>
              <w:right w:w="80" w:type="dxa"/>
            </w:tcMar>
          </w:tcPr>
          <w:p w14:paraId="0739500B" w14:textId="66FB3E69" w:rsidR="00A64F30" w:rsidRPr="001A7A6B" w:rsidRDefault="00A64F30" w:rsidP="00292A53">
            <w:pPr>
              <w:pStyle w:val="Table7pttext"/>
              <w:spacing w:after="60"/>
            </w:pPr>
            <w:r w:rsidRPr="001A7A6B">
              <w:t>Diseases caused by toxic nitro and amino-derivativ</w:t>
            </w:r>
            <w:r w:rsidR="00A76698">
              <w:t>es of benzene or its homologues</w:t>
            </w:r>
          </w:p>
        </w:tc>
        <w:tc>
          <w:tcPr>
            <w:tcW w:w="1504" w:type="dxa"/>
            <w:shd w:val="clear" w:color="auto" w:fill="FFC9C9"/>
            <w:tcMar>
              <w:top w:w="80" w:type="dxa"/>
              <w:left w:w="80" w:type="dxa"/>
              <w:bottom w:w="80" w:type="dxa"/>
              <w:right w:w="80" w:type="dxa"/>
            </w:tcMar>
          </w:tcPr>
          <w:p w14:paraId="3CC05BFC" w14:textId="525F634C" w:rsidR="00A64F30" w:rsidRPr="001A7A6B" w:rsidRDefault="00A64F30" w:rsidP="00292A53">
            <w:pPr>
              <w:pStyle w:val="Table7pttext"/>
              <w:spacing w:after="60"/>
            </w:pPr>
            <w:r w:rsidRPr="001A7A6B">
              <w:t>Diseases of a type generally accepted by the medical profession as caused by nitro and amido- toxic derivativ</w:t>
            </w:r>
            <w:r w:rsidR="00A76698">
              <w:t>es of benzene or its homologues</w:t>
            </w:r>
          </w:p>
        </w:tc>
      </w:tr>
      <w:tr w:rsidR="00A64F30" w:rsidRPr="001A7A6B" w14:paraId="13A87485" w14:textId="77777777" w:rsidTr="00FB729B">
        <w:trPr>
          <w:cantSplit/>
        </w:trPr>
        <w:tc>
          <w:tcPr>
            <w:tcW w:w="1564" w:type="dxa"/>
            <w:tcMar>
              <w:top w:w="80" w:type="dxa"/>
              <w:left w:w="80" w:type="dxa"/>
              <w:bottom w:w="80" w:type="dxa"/>
              <w:right w:w="80" w:type="dxa"/>
            </w:tcMar>
          </w:tcPr>
          <w:p w14:paraId="1B8A3D90" w14:textId="77777777" w:rsidR="00A64F30" w:rsidRPr="001A7A6B" w:rsidRDefault="00A64F30" w:rsidP="00292A53">
            <w:pPr>
              <w:pStyle w:val="TableColumn1bold"/>
              <w:spacing w:after="60"/>
            </w:pPr>
            <w:r w:rsidRPr="001A7A6B">
              <w:t>Nitroglycerine or other nitric acid esters</w:t>
            </w:r>
          </w:p>
        </w:tc>
        <w:tc>
          <w:tcPr>
            <w:tcW w:w="1503" w:type="dxa"/>
            <w:tcMar>
              <w:top w:w="80" w:type="dxa"/>
              <w:left w:w="80" w:type="dxa"/>
              <w:bottom w:w="80" w:type="dxa"/>
              <w:right w:w="80" w:type="dxa"/>
            </w:tcMar>
          </w:tcPr>
          <w:p w14:paraId="21686E78"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3E62AB10"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6A496ADD"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1D958943"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0CBF952D" w14:textId="3D62C3A1" w:rsidR="00A64F30" w:rsidRPr="001A7A6B" w:rsidRDefault="00A64F30" w:rsidP="00292A53">
            <w:pPr>
              <w:pStyle w:val="Table7pttext"/>
              <w:spacing w:after="60"/>
            </w:pPr>
            <w:r w:rsidRPr="001A7A6B">
              <w:t>Poisoning by nitroglycer</w:t>
            </w:r>
            <w:r w:rsidR="00A76698">
              <w:t>ine or other nitric acid esters</w:t>
            </w:r>
          </w:p>
        </w:tc>
        <w:tc>
          <w:tcPr>
            <w:tcW w:w="1503" w:type="dxa"/>
            <w:tcMar>
              <w:top w:w="80" w:type="dxa"/>
              <w:left w:w="80" w:type="dxa"/>
              <w:bottom w:w="80" w:type="dxa"/>
              <w:right w:w="80" w:type="dxa"/>
            </w:tcMar>
          </w:tcPr>
          <w:p w14:paraId="2CCA9DEA" w14:textId="4212CCC6" w:rsidR="00A64F30" w:rsidRPr="001A7A6B" w:rsidRDefault="00A76698" w:rsidP="00292A53">
            <w:pPr>
              <w:pStyle w:val="Table7pttext"/>
              <w:spacing w:after="60"/>
            </w:pPr>
            <w:r>
              <w:t>Acute poisoning/toxicity</w:t>
            </w:r>
          </w:p>
        </w:tc>
        <w:tc>
          <w:tcPr>
            <w:tcW w:w="1504" w:type="dxa"/>
            <w:tcMar>
              <w:top w:w="80" w:type="dxa"/>
              <w:left w:w="80" w:type="dxa"/>
              <w:bottom w:w="80" w:type="dxa"/>
              <w:right w:w="80" w:type="dxa"/>
            </w:tcMar>
          </w:tcPr>
          <w:p w14:paraId="7418E72E" w14:textId="41B02056" w:rsidR="00A64F30" w:rsidRPr="001A7A6B" w:rsidRDefault="00A64F30" w:rsidP="00292A53">
            <w:pPr>
              <w:pStyle w:val="Table7pttext"/>
              <w:spacing w:after="60"/>
            </w:pPr>
            <w:r w:rsidRPr="001A7A6B">
              <w:t>Diseases caused by nitroglyceri</w:t>
            </w:r>
            <w:r w:rsidR="00A76698">
              <w:t>ne or other nitric acid esters</w:t>
            </w:r>
          </w:p>
        </w:tc>
        <w:tc>
          <w:tcPr>
            <w:tcW w:w="1503" w:type="dxa"/>
            <w:tcMar>
              <w:top w:w="80" w:type="dxa"/>
              <w:left w:w="80" w:type="dxa"/>
              <w:bottom w:w="80" w:type="dxa"/>
              <w:right w:w="80" w:type="dxa"/>
            </w:tcMar>
          </w:tcPr>
          <w:p w14:paraId="7A69D35B" w14:textId="0251ED51" w:rsidR="00A64F30" w:rsidRPr="001A7A6B" w:rsidRDefault="00A64F30" w:rsidP="00292A53">
            <w:pPr>
              <w:pStyle w:val="Table7pttext"/>
              <w:spacing w:after="60"/>
            </w:pPr>
            <w:r w:rsidRPr="001A7A6B">
              <w:t>Diseases caused by nitroglycer</w:t>
            </w:r>
            <w:r w:rsidR="00A76698">
              <w:t>ine or other nitric acid esters</w:t>
            </w:r>
          </w:p>
        </w:tc>
        <w:tc>
          <w:tcPr>
            <w:tcW w:w="1504" w:type="dxa"/>
            <w:tcMar>
              <w:top w:w="80" w:type="dxa"/>
              <w:left w:w="80" w:type="dxa"/>
              <w:bottom w:w="80" w:type="dxa"/>
              <w:right w:w="80" w:type="dxa"/>
            </w:tcMar>
          </w:tcPr>
          <w:p w14:paraId="48DE4FCE" w14:textId="77777777" w:rsidR="00A64F30" w:rsidRPr="001A7A6B" w:rsidRDefault="00A64F30" w:rsidP="00292A53">
            <w:pPr>
              <w:pStyle w:val="Table7pttext"/>
              <w:spacing w:after="60"/>
            </w:pPr>
            <w:r w:rsidRPr="001A7A6B">
              <w:t>—</w:t>
            </w:r>
          </w:p>
        </w:tc>
      </w:tr>
      <w:tr w:rsidR="00A64F30" w:rsidRPr="001A7A6B" w14:paraId="79FA9288" w14:textId="77777777" w:rsidTr="00FB729B">
        <w:trPr>
          <w:cantSplit/>
        </w:trPr>
        <w:tc>
          <w:tcPr>
            <w:tcW w:w="1564" w:type="dxa"/>
            <w:shd w:val="clear" w:color="auto" w:fill="FFC9C9"/>
            <w:tcMar>
              <w:top w:w="80" w:type="dxa"/>
              <w:left w:w="80" w:type="dxa"/>
              <w:bottom w:w="80" w:type="dxa"/>
              <w:right w:w="80" w:type="dxa"/>
            </w:tcMar>
          </w:tcPr>
          <w:p w14:paraId="408ACE42" w14:textId="77777777" w:rsidR="00A64F30" w:rsidRPr="001A7A6B" w:rsidRDefault="00A64F30" w:rsidP="00292A53">
            <w:pPr>
              <w:pStyle w:val="TableColumn1bold"/>
              <w:spacing w:after="60"/>
            </w:pPr>
            <w:r w:rsidRPr="001A7A6B">
              <w:t>Organic solvents</w:t>
            </w:r>
          </w:p>
        </w:tc>
        <w:tc>
          <w:tcPr>
            <w:tcW w:w="1503" w:type="dxa"/>
            <w:shd w:val="clear" w:color="auto" w:fill="FFC9C9"/>
            <w:tcMar>
              <w:top w:w="80" w:type="dxa"/>
              <w:left w:w="80" w:type="dxa"/>
              <w:bottom w:w="80" w:type="dxa"/>
              <w:right w:w="80" w:type="dxa"/>
            </w:tcMar>
          </w:tcPr>
          <w:p w14:paraId="28179FCE"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2D5A75E8"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026A177B"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3B138720"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7733AE5E"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14B53188" w14:textId="77777777" w:rsidR="00A64F30" w:rsidRDefault="00A64F30" w:rsidP="00292A53">
            <w:pPr>
              <w:pStyle w:val="Table7pttext"/>
              <w:spacing w:after="60"/>
            </w:pPr>
            <w:r>
              <w:t>Acute poisoning/toxicity.</w:t>
            </w:r>
          </w:p>
          <w:p w14:paraId="0639D8BF" w14:textId="10F7C890" w:rsidR="00A64F30" w:rsidRPr="001A7A6B" w:rsidRDefault="00A64F30" w:rsidP="00292A53">
            <w:pPr>
              <w:pStyle w:val="Table7pttext"/>
              <w:spacing w:after="60"/>
            </w:pPr>
            <w:r>
              <w:t>Peripheral neuropathy</w:t>
            </w:r>
          </w:p>
        </w:tc>
        <w:tc>
          <w:tcPr>
            <w:tcW w:w="1504" w:type="dxa"/>
            <w:shd w:val="clear" w:color="auto" w:fill="FFC9C9"/>
            <w:tcMar>
              <w:top w:w="80" w:type="dxa"/>
              <w:left w:w="80" w:type="dxa"/>
              <w:bottom w:w="80" w:type="dxa"/>
              <w:right w:w="80" w:type="dxa"/>
            </w:tcMar>
          </w:tcPr>
          <w:p w14:paraId="743CBC8C"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591A4AA8"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60AEFC5A" w14:textId="07B33D4C" w:rsidR="00A64F30" w:rsidRPr="001A7A6B" w:rsidRDefault="00A64F30" w:rsidP="00292A53">
            <w:pPr>
              <w:pStyle w:val="Table7pttext"/>
              <w:spacing w:after="60"/>
            </w:pPr>
            <w:r w:rsidRPr="001A7A6B">
              <w:t>Chronic solvent-induced encephalopathy diagnosed as caused by organic solvents, particularly styrene, toluene, xylene, trichloroethylene, met</w:t>
            </w:r>
            <w:r w:rsidR="00A76698">
              <w:t>hylene chloride or white spirit</w:t>
            </w:r>
          </w:p>
          <w:p w14:paraId="3413E30F" w14:textId="6DE4BD5F" w:rsidR="00A64F30" w:rsidRPr="001A7A6B" w:rsidRDefault="00A64F30" w:rsidP="00292A53">
            <w:pPr>
              <w:pStyle w:val="Table7pttext"/>
              <w:spacing w:after="60"/>
            </w:pPr>
            <w:r w:rsidRPr="001A7A6B">
              <w:t>Peripheral neuropathy diagnosed as caused by organic solvents such as n-hexane, carbon disulphide, or trichloroethylene, pesticides such as organophosphates; ac</w:t>
            </w:r>
            <w:r w:rsidR="00A76698">
              <w:t>rylamide</w:t>
            </w:r>
          </w:p>
        </w:tc>
      </w:tr>
      <w:tr w:rsidR="00A64F30" w:rsidRPr="001A7A6B" w14:paraId="3013FD75" w14:textId="77777777" w:rsidTr="00FB729B">
        <w:trPr>
          <w:cantSplit/>
        </w:trPr>
        <w:tc>
          <w:tcPr>
            <w:tcW w:w="1564" w:type="dxa"/>
            <w:tcMar>
              <w:top w:w="80" w:type="dxa"/>
              <w:left w:w="80" w:type="dxa"/>
              <w:bottom w:w="80" w:type="dxa"/>
              <w:right w:w="80" w:type="dxa"/>
            </w:tcMar>
          </w:tcPr>
          <w:p w14:paraId="1CD474AD" w14:textId="77777777" w:rsidR="00A64F30" w:rsidRPr="001A7A6B" w:rsidRDefault="00A64F30" w:rsidP="00292A53">
            <w:pPr>
              <w:pStyle w:val="TableColumn1bold"/>
              <w:spacing w:after="60"/>
            </w:pPr>
            <w:r w:rsidRPr="001A7A6B">
              <w:t>Oxides of nitrogen</w:t>
            </w:r>
          </w:p>
        </w:tc>
        <w:tc>
          <w:tcPr>
            <w:tcW w:w="1503" w:type="dxa"/>
            <w:tcMar>
              <w:top w:w="80" w:type="dxa"/>
              <w:left w:w="80" w:type="dxa"/>
              <w:bottom w:w="80" w:type="dxa"/>
              <w:right w:w="80" w:type="dxa"/>
            </w:tcMar>
          </w:tcPr>
          <w:p w14:paraId="1D8CE1B3"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40BB4321"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6B0B1E2E" w14:textId="7CE5F60A" w:rsidR="00A64F30" w:rsidRPr="001A7A6B" w:rsidRDefault="00A76698" w:rsidP="00292A53">
            <w:pPr>
              <w:pStyle w:val="Table7pttext"/>
              <w:spacing w:after="60"/>
            </w:pPr>
            <w:r>
              <w:t>Poisoning by nitrous fumes</w:t>
            </w:r>
          </w:p>
        </w:tc>
        <w:tc>
          <w:tcPr>
            <w:tcW w:w="1503" w:type="dxa"/>
            <w:tcMar>
              <w:top w:w="80" w:type="dxa"/>
              <w:left w:w="80" w:type="dxa"/>
              <w:bottom w:w="80" w:type="dxa"/>
              <w:right w:w="80" w:type="dxa"/>
            </w:tcMar>
          </w:tcPr>
          <w:p w14:paraId="2491B8B5" w14:textId="7587A7C1" w:rsidR="00A64F30" w:rsidRPr="001A7A6B" w:rsidRDefault="00A64F30" w:rsidP="00292A53">
            <w:pPr>
              <w:pStyle w:val="Table7pttext"/>
              <w:spacing w:after="60"/>
            </w:pPr>
            <w:r w:rsidRPr="001A7A6B">
              <w:t>Nitrous f</w:t>
            </w:r>
            <w:r w:rsidR="00A76698">
              <w:t>umes poisoning and its sequelae</w:t>
            </w:r>
          </w:p>
        </w:tc>
        <w:tc>
          <w:tcPr>
            <w:tcW w:w="1504" w:type="dxa"/>
            <w:tcMar>
              <w:top w:w="80" w:type="dxa"/>
              <w:left w:w="80" w:type="dxa"/>
              <w:bottom w:w="80" w:type="dxa"/>
              <w:right w:w="80" w:type="dxa"/>
            </w:tcMar>
          </w:tcPr>
          <w:p w14:paraId="0567C41C" w14:textId="4FAF7026" w:rsidR="00A64F30" w:rsidRPr="001A7A6B" w:rsidRDefault="00A76698" w:rsidP="00292A53">
            <w:pPr>
              <w:pStyle w:val="Table7pttext"/>
              <w:spacing w:after="60"/>
            </w:pPr>
            <w:r>
              <w:t>Poisoning by nitrous fumes</w:t>
            </w:r>
          </w:p>
        </w:tc>
        <w:tc>
          <w:tcPr>
            <w:tcW w:w="1503" w:type="dxa"/>
            <w:tcMar>
              <w:top w:w="80" w:type="dxa"/>
              <w:left w:w="80" w:type="dxa"/>
              <w:bottom w:w="80" w:type="dxa"/>
              <w:right w:w="80" w:type="dxa"/>
            </w:tcMar>
          </w:tcPr>
          <w:p w14:paraId="78DB1D2B" w14:textId="01653C8E" w:rsidR="00A64F30" w:rsidRPr="001A7A6B" w:rsidRDefault="00A76698" w:rsidP="00292A53">
            <w:pPr>
              <w:pStyle w:val="Table7pttext"/>
              <w:spacing w:after="60"/>
            </w:pPr>
            <w:r>
              <w:t>Acute poisoning/toxicity</w:t>
            </w:r>
          </w:p>
        </w:tc>
        <w:tc>
          <w:tcPr>
            <w:tcW w:w="1504" w:type="dxa"/>
            <w:tcMar>
              <w:top w:w="80" w:type="dxa"/>
              <w:left w:w="80" w:type="dxa"/>
              <w:bottom w:w="80" w:type="dxa"/>
              <w:right w:w="80" w:type="dxa"/>
            </w:tcMar>
          </w:tcPr>
          <w:p w14:paraId="08FAE0E7" w14:textId="371EDCBD" w:rsidR="00A64F30" w:rsidRPr="001A7A6B" w:rsidRDefault="00A64F30" w:rsidP="00292A53">
            <w:pPr>
              <w:pStyle w:val="Table7pttext"/>
              <w:spacing w:after="60"/>
            </w:pPr>
            <w:r w:rsidRPr="001A7A6B">
              <w:t>Poisoning by an oxide of nitrogen; any of t</w:t>
            </w:r>
            <w:r w:rsidR="00A76698">
              <w:t>he sequelae of such a poisoning</w:t>
            </w:r>
          </w:p>
        </w:tc>
        <w:tc>
          <w:tcPr>
            <w:tcW w:w="1503" w:type="dxa"/>
            <w:tcMar>
              <w:top w:w="80" w:type="dxa"/>
              <w:left w:w="80" w:type="dxa"/>
              <w:bottom w:w="80" w:type="dxa"/>
              <w:right w:w="80" w:type="dxa"/>
            </w:tcMar>
          </w:tcPr>
          <w:p w14:paraId="1B92AF26"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6556053E" w14:textId="77777777" w:rsidR="00A64F30" w:rsidRPr="001A7A6B" w:rsidRDefault="00A64F30" w:rsidP="00292A53">
            <w:pPr>
              <w:pStyle w:val="Table7pttext"/>
              <w:spacing w:after="60"/>
            </w:pPr>
            <w:r w:rsidRPr="001A7A6B">
              <w:t>—</w:t>
            </w:r>
          </w:p>
        </w:tc>
      </w:tr>
      <w:tr w:rsidR="00A64F30" w:rsidRPr="001A7A6B" w14:paraId="548EE035" w14:textId="77777777" w:rsidTr="00FB729B">
        <w:trPr>
          <w:cantSplit/>
        </w:trPr>
        <w:tc>
          <w:tcPr>
            <w:tcW w:w="1564" w:type="dxa"/>
            <w:shd w:val="clear" w:color="auto" w:fill="FFC9C9"/>
            <w:tcMar>
              <w:top w:w="80" w:type="dxa"/>
              <w:left w:w="80" w:type="dxa"/>
              <w:bottom w:w="80" w:type="dxa"/>
              <w:right w:w="80" w:type="dxa"/>
            </w:tcMar>
          </w:tcPr>
          <w:p w14:paraId="09EF347E" w14:textId="77777777" w:rsidR="00A64F30" w:rsidRPr="001A7A6B" w:rsidRDefault="00A64F30" w:rsidP="00292A53">
            <w:pPr>
              <w:pStyle w:val="TableColumn1bold"/>
              <w:spacing w:after="60"/>
            </w:pPr>
            <w:r w:rsidRPr="001A7A6B">
              <w:t>Phosphorus</w:t>
            </w:r>
          </w:p>
        </w:tc>
        <w:tc>
          <w:tcPr>
            <w:tcW w:w="1503" w:type="dxa"/>
            <w:shd w:val="clear" w:color="auto" w:fill="FFC9C9"/>
            <w:tcMar>
              <w:top w:w="80" w:type="dxa"/>
              <w:left w:w="80" w:type="dxa"/>
              <w:bottom w:w="80" w:type="dxa"/>
              <w:right w:w="80" w:type="dxa"/>
            </w:tcMar>
          </w:tcPr>
          <w:p w14:paraId="38BD8816" w14:textId="0DD85C95" w:rsidR="00A64F30" w:rsidRPr="001A7A6B" w:rsidRDefault="00A64F30" w:rsidP="00292A53">
            <w:pPr>
              <w:pStyle w:val="Table7pttext"/>
              <w:spacing w:after="60"/>
            </w:pPr>
            <w:r w:rsidRPr="001A7A6B">
              <w:t xml:space="preserve">Phosphorus poisoning by phosphorous or </w:t>
            </w:r>
            <w:r w:rsidR="00A76698">
              <w:t>its compounds, and its sequelae</w:t>
            </w:r>
          </w:p>
          <w:p w14:paraId="5A1A8450" w14:textId="4A3849AE" w:rsidR="00A64F30" w:rsidRPr="001A7A6B" w:rsidRDefault="00A64F30" w:rsidP="00292A53">
            <w:pPr>
              <w:pStyle w:val="Table7pttext"/>
              <w:spacing w:after="60"/>
            </w:pPr>
            <w:r w:rsidRPr="001A7A6B">
              <w:t>(</w:t>
            </w:r>
            <w:hyperlink r:id="rId2209" w:history="1">
              <w:r w:rsidRPr="009A3D99">
                <w:rPr>
                  <w:rStyle w:val="Hyperlink"/>
                </w:rPr>
                <w:t>Schedule 1</w:t>
              </w:r>
            </w:hyperlink>
            <w:r w:rsidRPr="001A7A6B">
              <w:t xml:space="preserve"> of the Workers’ Compensation Regulation 201</w:t>
            </w:r>
            <w:r>
              <w:t>6</w:t>
            </w:r>
            <w:r w:rsidR="00A76698">
              <w:t>)</w:t>
            </w:r>
          </w:p>
        </w:tc>
        <w:tc>
          <w:tcPr>
            <w:tcW w:w="1503" w:type="dxa"/>
            <w:shd w:val="clear" w:color="auto" w:fill="FFC9C9"/>
            <w:tcMar>
              <w:top w:w="80" w:type="dxa"/>
              <w:left w:w="80" w:type="dxa"/>
              <w:bottom w:w="80" w:type="dxa"/>
              <w:right w:w="80" w:type="dxa"/>
            </w:tcMar>
          </w:tcPr>
          <w:p w14:paraId="4652E67A" w14:textId="42115F61" w:rsidR="00A64F30" w:rsidRPr="001A7A6B" w:rsidRDefault="00A64F30" w:rsidP="00292A53">
            <w:pPr>
              <w:pStyle w:val="Table7pttext"/>
              <w:spacing w:after="60"/>
            </w:pPr>
            <w:r w:rsidRPr="001A7A6B">
              <w:t>Phosphorous poisoning or its sequelae (phosphorous or</w:t>
            </w:r>
            <w:r w:rsidR="00A76698">
              <w:t xml:space="preserve"> its preparations or compounds)</w:t>
            </w:r>
          </w:p>
        </w:tc>
        <w:tc>
          <w:tcPr>
            <w:tcW w:w="1504" w:type="dxa"/>
            <w:shd w:val="clear" w:color="auto" w:fill="FFC9C9"/>
            <w:tcMar>
              <w:top w:w="80" w:type="dxa"/>
              <w:left w:w="80" w:type="dxa"/>
              <w:bottom w:w="80" w:type="dxa"/>
              <w:right w:w="80" w:type="dxa"/>
            </w:tcMar>
          </w:tcPr>
          <w:p w14:paraId="7560A1FF" w14:textId="7F21475A" w:rsidR="00A64F30" w:rsidRPr="001A7A6B" w:rsidRDefault="00A64F30" w:rsidP="00292A53">
            <w:pPr>
              <w:pStyle w:val="Table7pttext"/>
              <w:spacing w:after="60"/>
            </w:pPr>
            <w:r w:rsidRPr="001A7A6B">
              <w:t>Phosphorus poisoning (phosphorus, or its prep</w:t>
            </w:r>
            <w:r w:rsidR="00A76698">
              <w:t>arations or compounds)</w:t>
            </w:r>
          </w:p>
        </w:tc>
        <w:tc>
          <w:tcPr>
            <w:tcW w:w="1503" w:type="dxa"/>
            <w:shd w:val="clear" w:color="auto" w:fill="FFC9C9"/>
            <w:tcMar>
              <w:top w:w="80" w:type="dxa"/>
              <w:left w:w="80" w:type="dxa"/>
              <w:bottom w:w="80" w:type="dxa"/>
              <w:right w:w="80" w:type="dxa"/>
            </w:tcMar>
          </w:tcPr>
          <w:p w14:paraId="17339F03" w14:textId="0D9844D5" w:rsidR="00A64F30" w:rsidRPr="001A7A6B" w:rsidRDefault="00A64F30" w:rsidP="00292A53">
            <w:pPr>
              <w:pStyle w:val="Table7pttext"/>
              <w:spacing w:after="60"/>
            </w:pPr>
            <w:r w:rsidRPr="001A7A6B">
              <w:t>Phosphorus poisoning or its sequelae (phosphorus or</w:t>
            </w:r>
            <w:r w:rsidR="00A76698">
              <w:t xml:space="preserve"> its preparations or compounds)</w:t>
            </w:r>
          </w:p>
        </w:tc>
        <w:tc>
          <w:tcPr>
            <w:tcW w:w="1504" w:type="dxa"/>
            <w:shd w:val="clear" w:color="auto" w:fill="FFC9C9"/>
            <w:tcMar>
              <w:top w:w="80" w:type="dxa"/>
              <w:left w:w="80" w:type="dxa"/>
              <w:bottom w:w="80" w:type="dxa"/>
              <w:right w:w="80" w:type="dxa"/>
            </w:tcMar>
          </w:tcPr>
          <w:p w14:paraId="3267F4CE" w14:textId="5BA46BEF" w:rsidR="00A64F30" w:rsidRPr="001A7A6B" w:rsidRDefault="00A64F30" w:rsidP="00292A53">
            <w:pPr>
              <w:pStyle w:val="Table7pttext"/>
              <w:spacing w:after="60"/>
            </w:pPr>
            <w:r w:rsidRPr="001A7A6B">
              <w:t>Poisoning by ph</w:t>
            </w:r>
            <w:r w:rsidR="00A76698">
              <w:t>osphorus or its toxic compounds</w:t>
            </w:r>
          </w:p>
        </w:tc>
        <w:tc>
          <w:tcPr>
            <w:tcW w:w="1503" w:type="dxa"/>
            <w:shd w:val="clear" w:color="auto" w:fill="FFC9C9"/>
            <w:tcMar>
              <w:top w:w="80" w:type="dxa"/>
              <w:left w:w="80" w:type="dxa"/>
              <w:bottom w:w="80" w:type="dxa"/>
              <w:right w:w="80" w:type="dxa"/>
            </w:tcMar>
          </w:tcPr>
          <w:p w14:paraId="59275DF3" w14:textId="797EAD5B" w:rsidR="00A64F30" w:rsidRPr="001A7A6B" w:rsidRDefault="00A76698" w:rsidP="00292A53">
            <w:pPr>
              <w:pStyle w:val="Table7pttext"/>
              <w:spacing w:after="60"/>
            </w:pPr>
            <w:r>
              <w:t>Acute poisoning/toxicity</w:t>
            </w:r>
          </w:p>
        </w:tc>
        <w:tc>
          <w:tcPr>
            <w:tcW w:w="1504" w:type="dxa"/>
            <w:shd w:val="clear" w:color="auto" w:fill="FFC9C9"/>
            <w:tcMar>
              <w:top w:w="80" w:type="dxa"/>
              <w:left w:w="80" w:type="dxa"/>
              <w:bottom w:w="80" w:type="dxa"/>
              <w:right w:w="80" w:type="dxa"/>
            </w:tcMar>
          </w:tcPr>
          <w:p w14:paraId="564C0852" w14:textId="5DD26FA1" w:rsidR="00A64F30" w:rsidRPr="001A7A6B" w:rsidRDefault="00A64F30" w:rsidP="00292A53">
            <w:pPr>
              <w:pStyle w:val="Table7pttext"/>
              <w:spacing w:after="60"/>
            </w:pPr>
            <w:r w:rsidRPr="001A7A6B">
              <w:t>Poisoning by phosphorus or a compound of phosphorus; any of the sequelae o</w:t>
            </w:r>
            <w:r w:rsidR="00A76698">
              <w:t>f such a poisoning</w:t>
            </w:r>
          </w:p>
        </w:tc>
        <w:tc>
          <w:tcPr>
            <w:tcW w:w="1503" w:type="dxa"/>
            <w:shd w:val="clear" w:color="auto" w:fill="FFC9C9"/>
            <w:tcMar>
              <w:top w:w="80" w:type="dxa"/>
              <w:left w:w="80" w:type="dxa"/>
              <w:bottom w:w="80" w:type="dxa"/>
              <w:right w:w="80" w:type="dxa"/>
            </w:tcMar>
          </w:tcPr>
          <w:p w14:paraId="3DE811D9" w14:textId="4887283B" w:rsidR="00A64F30" w:rsidRPr="001A7A6B" w:rsidRDefault="00A64F30" w:rsidP="00292A53">
            <w:pPr>
              <w:pStyle w:val="Table7pttext"/>
              <w:spacing w:after="60"/>
            </w:pPr>
            <w:r w:rsidRPr="001A7A6B">
              <w:t>Diseases caused by ph</w:t>
            </w:r>
            <w:r w:rsidR="00A76698">
              <w:t>osphorus or its toxic compounds</w:t>
            </w:r>
          </w:p>
        </w:tc>
        <w:tc>
          <w:tcPr>
            <w:tcW w:w="1504" w:type="dxa"/>
            <w:shd w:val="clear" w:color="auto" w:fill="FFC9C9"/>
            <w:tcMar>
              <w:top w:w="80" w:type="dxa"/>
              <w:left w:w="80" w:type="dxa"/>
              <w:bottom w:w="80" w:type="dxa"/>
              <w:right w:w="80" w:type="dxa"/>
            </w:tcMar>
          </w:tcPr>
          <w:p w14:paraId="0B01866E" w14:textId="08D81D70" w:rsidR="00A64F30" w:rsidRPr="001A7A6B" w:rsidRDefault="00A64F30" w:rsidP="00292A53">
            <w:pPr>
              <w:pStyle w:val="Table7pttext"/>
              <w:spacing w:after="60"/>
            </w:pPr>
            <w:r w:rsidRPr="001A7A6B">
              <w:t>Diseases of a type generally accepted by the medical profession as caused by ph</w:t>
            </w:r>
            <w:r w:rsidR="00A76698">
              <w:t>osphorus or its toxic compounds</w:t>
            </w:r>
          </w:p>
        </w:tc>
      </w:tr>
      <w:tr w:rsidR="00A64F30" w:rsidRPr="001A7A6B" w14:paraId="37A63F8E" w14:textId="77777777" w:rsidTr="00FB729B">
        <w:trPr>
          <w:cantSplit/>
        </w:trPr>
        <w:tc>
          <w:tcPr>
            <w:tcW w:w="1564" w:type="dxa"/>
            <w:tcMar>
              <w:top w:w="80" w:type="dxa"/>
              <w:left w:w="80" w:type="dxa"/>
              <w:bottom w:w="80" w:type="dxa"/>
              <w:right w:w="80" w:type="dxa"/>
            </w:tcMar>
          </w:tcPr>
          <w:p w14:paraId="083C3E94" w14:textId="77777777" w:rsidR="00A64F30" w:rsidRPr="001A7A6B" w:rsidRDefault="00A64F30" w:rsidP="00292A53">
            <w:pPr>
              <w:pStyle w:val="TableColumn1bold"/>
              <w:spacing w:after="60"/>
            </w:pPr>
            <w:r w:rsidRPr="001A7A6B">
              <w:lastRenderedPageBreak/>
              <w:t>Tungsten</w:t>
            </w:r>
          </w:p>
        </w:tc>
        <w:tc>
          <w:tcPr>
            <w:tcW w:w="1503" w:type="dxa"/>
            <w:tcMar>
              <w:top w:w="80" w:type="dxa"/>
              <w:left w:w="80" w:type="dxa"/>
              <w:bottom w:w="80" w:type="dxa"/>
              <w:right w:w="80" w:type="dxa"/>
            </w:tcMar>
          </w:tcPr>
          <w:p w14:paraId="0A3967C5"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574EA64A"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7F4E47C9"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7924E13A"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16E16DFA"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6144C5B1" w14:textId="764079D3" w:rsidR="00A64F30" w:rsidRPr="001A7A6B" w:rsidRDefault="00A76698" w:rsidP="00292A53">
            <w:pPr>
              <w:pStyle w:val="Table7pttext"/>
              <w:spacing w:after="60"/>
            </w:pPr>
            <w:r>
              <w:t>Acute poisoning/toxicity</w:t>
            </w:r>
          </w:p>
        </w:tc>
        <w:tc>
          <w:tcPr>
            <w:tcW w:w="1504" w:type="dxa"/>
            <w:tcMar>
              <w:top w:w="80" w:type="dxa"/>
              <w:left w:w="80" w:type="dxa"/>
              <w:bottom w:w="80" w:type="dxa"/>
              <w:right w:w="80" w:type="dxa"/>
            </w:tcMar>
          </w:tcPr>
          <w:p w14:paraId="26610825" w14:textId="77777777" w:rsidR="00A64F30" w:rsidRPr="001A7A6B" w:rsidRDefault="00A64F30" w:rsidP="00292A53">
            <w:pPr>
              <w:pStyle w:val="Table7pttext"/>
              <w:spacing w:after="60"/>
            </w:pPr>
            <w:r w:rsidRPr="001A7A6B">
              <w:t>—</w:t>
            </w:r>
          </w:p>
        </w:tc>
        <w:tc>
          <w:tcPr>
            <w:tcW w:w="1503" w:type="dxa"/>
            <w:tcMar>
              <w:top w:w="80" w:type="dxa"/>
              <w:left w:w="80" w:type="dxa"/>
              <w:bottom w:w="80" w:type="dxa"/>
              <w:right w:w="80" w:type="dxa"/>
            </w:tcMar>
          </w:tcPr>
          <w:p w14:paraId="73823C0B" w14:textId="77777777" w:rsidR="00A64F30" w:rsidRPr="001A7A6B" w:rsidRDefault="00A64F30" w:rsidP="00292A53">
            <w:pPr>
              <w:pStyle w:val="Table7pttext"/>
              <w:spacing w:after="60"/>
            </w:pPr>
            <w:r w:rsidRPr="001A7A6B">
              <w:t>—</w:t>
            </w:r>
          </w:p>
        </w:tc>
        <w:tc>
          <w:tcPr>
            <w:tcW w:w="1504" w:type="dxa"/>
            <w:tcMar>
              <w:top w:w="80" w:type="dxa"/>
              <w:left w:w="80" w:type="dxa"/>
              <w:bottom w:w="80" w:type="dxa"/>
              <w:right w:w="80" w:type="dxa"/>
            </w:tcMar>
          </w:tcPr>
          <w:p w14:paraId="66467292" w14:textId="520D52D7" w:rsidR="00A64F30" w:rsidRPr="001A7A6B" w:rsidRDefault="00A64F30" w:rsidP="00292A53">
            <w:pPr>
              <w:pStyle w:val="Table7pttext"/>
              <w:spacing w:after="60"/>
            </w:pPr>
            <w:r w:rsidRPr="001A7A6B">
              <w:t>Diseases of a type generally accepted by the medical p</w:t>
            </w:r>
            <w:r w:rsidR="00A76698">
              <w:t>rofession as caused by tungsten</w:t>
            </w:r>
          </w:p>
        </w:tc>
      </w:tr>
      <w:tr w:rsidR="00A64F30" w:rsidRPr="001A7A6B" w14:paraId="4EE9729D" w14:textId="77777777" w:rsidTr="00FB729B">
        <w:trPr>
          <w:cantSplit/>
        </w:trPr>
        <w:tc>
          <w:tcPr>
            <w:tcW w:w="1564" w:type="dxa"/>
            <w:shd w:val="clear" w:color="auto" w:fill="FFC9C9"/>
            <w:tcMar>
              <w:top w:w="80" w:type="dxa"/>
              <w:left w:w="80" w:type="dxa"/>
              <w:bottom w:w="80" w:type="dxa"/>
              <w:right w:w="80" w:type="dxa"/>
            </w:tcMar>
          </w:tcPr>
          <w:p w14:paraId="7FE0EF5E" w14:textId="77777777" w:rsidR="00A64F30" w:rsidRPr="001A7A6B" w:rsidRDefault="00A64F30" w:rsidP="00292A53">
            <w:pPr>
              <w:pStyle w:val="TableColumn1bold"/>
              <w:spacing w:after="60"/>
            </w:pPr>
            <w:r w:rsidRPr="001A7A6B">
              <w:t>Zinc</w:t>
            </w:r>
          </w:p>
        </w:tc>
        <w:tc>
          <w:tcPr>
            <w:tcW w:w="1503" w:type="dxa"/>
            <w:shd w:val="clear" w:color="auto" w:fill="FFC9C9"/>
            <w:tcMar>
              <w:top w:w="80" w:type="dxa"/>
              <w:left w:w="80" w:type="dxa"/>
              <w:bottom w:w="80" w:type="dxa"/>
              <w:right w:w="80" w:type="dxa"/>
            </w:tcMar>
          </w:tcPr>
          <w:p w14:paraId="734BDF9B"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40CE4441" w14:textId="1C93F363" w:rsidR="00A64F30" w:rsidRPr="001A7A6B" w:rsidRDefault="00A64F30" w:rsidP="00292A53">
            <w:pPr>
              <w:pStyle w:val="Table7pttext"/>
              <w:spacing w:after="60"/>
            </w:pPr>
            <w:r w:rsidRPr="001A7A6B">
              <w:t>Zinc poisoning or its sequelae (zinc or</w:t>
            </w:r>
            <w:r w:rsidR="00A76698">
              <w:t xml:space="preserve"> its preparations or compounds)</w:t>
            </w:r>
          </w:p>
        </w:tc>
        <w:tc>
          <w:tcPr>
            <w:tcW w:w="1504" w:type="dxa"/>
            <w:shd w:val="clear" w:color="auto" w:fill="FFC9C9"/>
            <w:tcMar>
              <w:top w:w="80" w:type="dxa"/>
              <w:left w:w="80" w:type="dxa"/>
              <w:bottom w:w="80" w:type="dxa"/>
              <w:right w:w="80" w:type="dxa"/>
            </w:tcMar>
          </w:tcPr>
          <w:p w14:paraId="441D50B3"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33ADA9C3" w14:textId="060D424C" w:rsidR="00A64F30" w:rsidRPr="001A7A6B" w:rsidRDefault="00A64F30" w:rsidP="00292A53">
            <w:pPr>
              <w:pStyle w:val="Table7pttext"/>
              <w:spacing w:after="60"/>
            </w:pPr>
            <w:r w:rsidRPr="001A7A6B">
              <w:t>Zinc poisoning or its sequelae (zinc or</w:t>
            </w:r>
            <w:r w:rsidR="00A76698">
              <w:t xml:space="preserve"> its preparations or compounds)</w:t>
            </w:r>
          </w:p>
        </w:tc>
        <w:tc>
          <w:tcPr>
            <w:tcW w:w="1504" w:type="dxa"/>
            <w:shd w:val="clear" w:color="auto" w:fill="FFC9C9"/>
            <w:tcMar>
              <w:top w:w="80" w:type="dxa"/>
              <w:left w:w="80" w:type="dxa"/>
              <w:bottom w:w="80" w:type="dxa"/>
              <w:right w:w="80" w:type="dxa"/>
            </w:tcMar>
          </w:tcPr>
          <w:p w14:paraId="2856634D" w14:textId="77777777" w:rsidR="00A64F30" w:rsidRPr="001A7A6B" w:rsidRDefault="00A64F30"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152C4310" w14:textId="50CFEE78" w:rsidR="00A64F30" w:rsidRPr="001A7A6B" w:rsidRDefault="00A76698" w:rsidP="00292A53">
            <w:pPr>
              <w:pStyle w:val="Table7pttext"/>
              <w:spacing w:after="60"/>
            </w:pPr>
            <w:r>
              <w:t>Acute poisoning/toxicity</w:t>
            </w:r>
          </w:p>
        </w:tc>
        <w:tc>
          <w:tcPr>
            <w:tcW w:w="1504" w:type="dxa"/>
            <w:shd w:val="clear" w:color="auto" w:fill="FFC9C9"/>
            <w:tcMar>
              <w:top w:w="80" w:type="dxa"/>
              <w:left w:w="80" w:type="dxa"/>
              <w:bottom w:w="80" w:type="dxa"/>
              <w:right w:w="80" w:type="dxa"/>
            </w:tcMar>
          </w:tcPr>
          <w:p w14:paraId="5E15783B" w14:textId="142E0D3C" w:rsidR="00A64F30" w:rsidRPr="001A7A6B" w:rsidRDefault="00A64F30" w:rsidP="00292A53">
            <w:pPr>
              <w:pStyle w:val="Table7pttext"/>
              <w:spacing w:after="60"/>
            </w:pPr>
            <w:r w:rsidRPr="001A7A6B">
              <w:t>Poisoning by zinc or a compound of zinc; any of t</w:t>
            </w:r>
            <w:r w:rsidR="00A76698">
              <w:t>he sequelae of such a poisoning</w:t>
            </w:r>
          </w:p>
        </w:tc>
        <w:tc>
          <w:tcPr>
            <w:tcW w:w="1503" w:type="dxa"/>
            <w:shd w:val="clear" w:color="auto" w:fill="FFC9C9"/>
            <w:tcMar>
              <w:top w:w="80" w:type="dxa"/>
              <w:left w:w="80" w:type="dxa"/>
              <w:bottom w:w="80" w:type="dxa"/>
              <w:right w:w="80" w:type="dxa"/>
            </w:tcMar>
          </w:tcPr>
          <w:p w14:paraId="78B24AD8" w14:textId="77777777" w:rsidR="00A64F30" w:rsidRPr="001A7A6B" w:rsidRDefault="00A64F30"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6AEE3162" w14:textId="77777777" w:rsidR="00A64F30" w:rsidRPr="001A7A6B" w:rsidRDefault="00A64F30" w:rsidP="00292A53">
            <w:pPr>
              <w:pStyle w:val="Table7pttext"/>
              <w:spacing w:after="60"/>
            </w:pPr>
            <w:r w:rsidRPr="001A7A6B">
              <w:t>—</w:t>
            </w:r>
          </w:p>
        </w:tc>
      </w:tr>
      <w:bookmarkEnd w:id="304"/>
      <w:tr w:rsidR="002849B2" w:rsidRPr="001A7A6B" w14:paraId="6CA4B0E5" w14:textId="77777777" w:rsidTr="00FB729B">
        <w:trPr>
          <w:cantSplit/>
        </w:trPr>
        <w:tc>
          <w:tcPr>
            <w:tcW w:w="1564" w:type="dxa"/>
            <w:tcMar>
              <w:top w:w="80" w:type="dxa"/>
              <w:left w:w="80" w:type="dxa"/>
              <w:bottom w:w="80" w:type="dxa"/>
              <w:right w:w="80" w:type="dxa"/>
            </w:tcMar>
          </w:tcPr>
          <w:p w14:paraId="6CDECE2B" w14:textId="77777777" w:rsidR="002849B2" w:rsidRPr="001A7A6B" w:rsidRDefault="002849B2" w:rsidP="00292A53">
            <w:pPr>
              <w:pStyle w:val="TableColumn1bold"/>
              <w:spacing w:after="60"/>
            </w:pPr>
            <w:r w:rsidRPr="001A7A6B">
              <w:t>Other chemical agent at work not mentioned in the preceding terms</w:t>
            </w:r>
          </w:p>
        </w:tc>
        <w:tc>
          <w:tcPr>
            <w:tcW w:w="1503" w:type="dxa"/>
            <w:tcMar>
              <w:top w:w="80" w:type="dxa"/>
              <w:left w:w="80" w:type="dxa"/>
              <w:bottom w:w="80" w:type="dxa"/>
              <w:right w:w="80" w:type="dxa"/>
            </w:tcMar>
          </w:tcPr>
          <w:p w14:paraId="3A983F5B"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7DC36A16"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4CC9BAA3" w14:textId="6516C32F" w:rsidR="002849B2" w:rsidRPr="001A7A6B" w:rsidRDefault="002849B2" w:rsidP="00292A53">
            <w:pPr>
              <w:pStyle w:val="Table7pttext"/>
              <w:spacing w:after="60"/>
            </w:pPr>
            <w:r w:rsidRPr="001A7A6B">
              <w:t>Arsenic, phosphorus, lead, mercury or other mineral poisoning (arsenic, phosphorus, lead, mercury, or other mineral, or t</w:t>
            </w:r>
            <w:r>
              <w:t>heir preparations or compounds)</w:t>
            </w:r>
          </w:p>
        </w:tc>
        <w:tc>
          <w:tcPr>
            <w:tcW w:w="1503" w:type="dxa"/>
            <w:tcMar>
              <w:top w:w="80" w:type="dxa"/>
              <w:left w:w="80" w:type="dxa"/>
              <w:bottom w:w="80" w:type="dxa"/>
              <w:right w:w="80" w:type="dxa"/>
            </w:tcMar>
          </w:tcPr>
          <w:p w14:paraId="7209E7BD" w14:textId="354ADC22" w:rsidR="002849B2" w:rsidRPr="001A7A6B" w:rsidRDefault="002849B2" w:rsidP="00292A53">
            <w:pPr>
              <w:pStyle w:val="Table7pttext"/>
              <w:spacing w:after="60"/>
            </w:pPr>
            <w:r w:rsidRPr="002B047F">
              <w:t>Primary epitheliomatous cancer of the skin from work involving handling of tar, pitch, bitumen, mineral oil, paraffin or the compounds products or residues of those substances</w:t>
            </w:r>
          </w:p>
        </w:tc>
        <w:tc>
          <w:tcPr>
            <w:tcW w:w="1504" w:type="dxa"/>
            <w:tcMar>
              <w:top w:w="80" w:type="dxa"/>
              <w:left w:w="80" w:type="dxa"/>
              <w:bottom w:w="80" w:type="dxa"/>
              <w:right w:w="80" w:type="dxa"/>
            </w:tcMar>
          </w:tcPr>
          <w:p w14:paraId="010C266A"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4A2A6196" w14:textId="277E6E5D" w:rsidR="002849B2" w:rsidRPr="001A7A6B" w:rsidRDefault="002849B2" w:rsidP="00292A53">
            <w:pPr>
              <w:pStyle w:val="Table7pttext"/>
              <w:spacing w:after="60"/>
            </w:pPr>
            <w:r w:rsidRPr="00E469EF">
              <w:t>Hexane, osmium, ozone, pesticides consisting of organophosphate and organochlorine compounds, herbicides and related compounds, pharmaceutical agents, phosgene, selenium, styrene, thallium, tin, toluene, vanadium, methylene chloride, benzoquinone and other corneal irritants and other less common, specific substances known to result in poisoning/toxicity</w:t>
            </w:r>
          </w:p>
        </w:tc>
        <w:tc>
          <w:tcPr>
            <w:tcW w:w="1504" w:type="dxa"/>
            <w:tcMar>
              <w:top w:w="80" w:type="dxa"/>
              <w:left w:w="80" w:type="dxa"/>
              <w:bottom w:w="80" w:type="dxa"/>
              <w:right w:w="80" w:type="dxa"/>
            </w:tcMar>
          </w:tcPr>
          <w:p w14:paraId="33445269" w14:textId="77777777" w:rsidR="002849B2" w:rsidRDefault="002849B2" w:rsidP="0099742D">
            <w:pPr>
              <w:pStyle w:val="Table7pttext"/>
              <w:spacing w:after="60"/>
              <w:rPr>
                <w:rFonts w:cs="Helvetica"/>
              </w:rPr>
            </w:pPr>
            <w:r>
              <w:rPr>
                <w:rFonts w:cs="Helvetica"/>
              </w:rPr>
              <w:t xml:space="preserve">Peripheral neuropathy </w:t>
            </w:r>
          </w:p>
          <w:p w14:paraId="79E78601" w14:textId="5F1A4E4D" w:rsidR="002849B2" w:rsidRDefault="002849B2" w:rsidP="0099742D">
            <w:pPr>
              <w:pStyle w:val="Table7pttext"/>
              <w:spacing w:after="60"/>
              <w:rPr>
                <w:rFonts w:cs="Helvetica"/>
              </w:rPr>
            </w:pPr>
            <w:r w:rsidRPr="009D1CA2">
              <w:rPr>
                <w:rFonts w:cs="Helvetica"/>
              </w:rPr>
              <w:t>employment involving exposure to metals, organic solvents</w:t>
            </w:r>
            <w:r>
              <w:rPr>
                <w:rFonts w:cs="Helvetica"/>
              </w:rPr>
              <w:t>,</w:t>
            </w:r>
            <w:r w:rsidRPr="009D1CA2">
              <w:rPr>
                <w:rFonts w:cs="Helvetica"/>
              </w:rPr>
              <w:t xml:space="preserve"> pesticides</w:t>
            </w:r>
            <w:r>
              <w:rPr>
                <w:rFonts w:cs="Helvetica"/>
              </w:rPr>
              <w:t xml:space="preserve"> </w:t>
            </w:r>
            <w:r w:rsidRPr="009D1CA2">
              <w:rPr>
                <w:rFonts w:cs="Helvetica"/>
              </w:rPr>
              <w:t>or acrylamide</w:t>
            </w:r>
            <w:r>
              <w:rPr>
                <w:rFonts w:cs="Helvetica"/>
              </w:rPr>
              <w:t xml:space="preserve"> </w:t>
            </w:r>
          </w:p>
          <w:p w14:paraId="56EE905B" w14:textId="5023F0BC" w:rsidR="002849B2" w:rsidRPr="001A7A6B" w:rsidRDefault="002849B2" w:rsidP="00292A53">
            <w:pPr>
              <w:pStyle w:val="Table7pttext"/>
              <w:spacing w:after="60"/>
            </w:pPr>
          </w:p>
        </w:tc>
        <w:tc>
          <w:tcPr>
            <w:tcW w:w="1503" w:type="dxa"/>
            <w:tcMar>
              <w:top w:w="80" w:type="dxa"/>
              <w:left w:w="80" w:type="dxa"/>
              <w:bottom w:w="80" w:type="dxa"/>
              <w:right w:w="80" w:type="dxa"/>
            </w:tcMar>
          </w:tcPr>
          <w:p w14:paraId="1924E8B3"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37FFD53F" w14:textId="77777777" w:rsidR="002849B2" w:rsidRPr="001A7A6B" w:rsidRDefault="002849B2" w:rsidP="00292A53">
            <w:pPr>
              <w:pStyle w:val="Table7pttext"/>
              <w:spacing w:after="60"/>
            </w:pPr>
            <w:r w:rsidRPr="001A7A6B">
              <w:t>—</w:t>
            </w:r>
          </w:p>
        </w:tc>
      </w:tr>
      <w:tr w:rsidR="002849B2" w:rsidRPr="001A7A6B" w14:paraId="4793448C" w14:textId="77777777" w:rsidTr="00FB729B">
        <w:trPr>
          <w:cantSplit/>
        </w:trPr>
        <w:tc>
          <w:tcPr>
            <w:tcW w:w="1564" w:type="dxa"/>
            <w:shd w:val="clear" w:color="auto" w:fill="FFC9C9"/>
            <w:tcMar>
              <w:top w:w="80" w:type="dxa"/>
              <w:left w:w="80" w:type="dxa"/>
              <w:bottom w:w="80" w:type="dxa"/>
              <w:right w:w="80" w:type="dxa"/>
            </w:tcMar>
          </w:tcPr>
          <w:p w14:paraId="05232753" w14:textId="451B79BC" w:rsidR="002849B2" w:rsidRPr="001A7A6B" w:rsidRDefault="002849B2" w:rsidP="00292A53">
            <w:pPr>
              <w:pStyle w:val="TableColumn1bold"/>
              <w:spacing w:after="60"/>
            </w:pPr>
            <w:r w:rsidRPr="001A7A6B">
              <w:t>Hearing impairment caused by noise</w:t>
            </w:r>
            <w:r>
              <w:fldChar w:fldCharType="begin"/>
            </w:r>
            <w:r>
              <w:instrText xml:space="preserve"> XE "</w:instrText>
            </w:r>
            <w:r w:rsidRPr="001854C8">
              <w:instrText>noise see also hearing impairment</w:instrText>
            </w:r>
            <w:r>
              <w:instrText xml:space="preserve">" </w:instrText>
            </w:r>
            <w:r>
              <w:fldChar w:fldCharType="end"/>
            </w:r>
          </w:p>
        </w:tc>
        <w:tc>
          <w:tcPr>
            <w:tcW w:w="1503" w:type="dxa"/>
            <w:shd w:val="clear" w:color="auto" w:fill="FFC9C9"/>
            <w:tcMar>
              <w:top w:w="80" w:type="dxa"/>
              <w:left w:w="80" w:type="dxa"/>
              <w:bottom w:w="80" w:type="dxa"/>
              <w:right w:w="80" w:type="dxa"/>
            </w:tcMar>
          </w:tcPr>
          <w:p w14:paraId="30A83E72"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41706418"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0FBCCDE7" w14:textId="16FC5FCF" w:rsidR="002849B2" w:rsidRPr="001A7A6B" w:rsidRDefault="002849B2" w:rsidP="00292A53">
            <w:pPr>
              <w:pStyle w:val="Table7pttext"/>
              <w:spacing w:after="60"/>
            </w:pPr>
            <w:r>
              <w:t>Noise induced hearing loss</w:t>
            </w:r>
          </w:p>
        </w:tc>
        <w:tc>
          <w:tcPr>
            <w:tcW w:w="1503" w:type="dxa"/>
            <w:shd w:val="clear" w:color="auto" w:fill="FFC9C9"/>
            <w:tcMar>
              <w:top w:w="80" w:type="dxa"/>
              <w:left w:w="80" w:type="dxa"/>
              <w:bottom w:w="80" w:type="dxa"/>
              <w:right w:w="80" w:type="dxa"/>
            </w:tcMar>
          </w:tcPr>
          <w:p w14:paraId="5933E0F2" w14:textId="3665D03C" w:rsidR="002849B2" w:rsidRPr="001A7A6B" w:rsidRDefault="002849B2" w:rsidP="00292A53">
            <w:pPr>
              <w:pStyle w:val="Table7pttext"/>
              <w:spacing w:after="60"/>
            </w:pPr>
            <w:r>
              <w:t>Noise induced hearing loss</w:t>
            </w:r>
          </w:p>
        </w:tc>
        <w:tc>
          <w:tcPr>
            <w:tcW w:w="1504" w:type="dxa"/>
            <w:shd w:val="clear" w:color="auto" w:fill="FFC9C9"/>
            <w:tcMar>
              <w:top w:w="80" w:type="dxa"/>
              <w:left w:w="80" w:type="dxa"/>
              <w:bottom w:w="80" w:type="dxa"/>
              <w:right w:w="80" w:type="dxa"/>
            </w:tcMar>
          </w:tcPr>
          <w:p w14:paraId="36498F70" w14:textId="77777777" w:rsidR="002849B2" w:rsidRPr="001A7A6B" w:rsidRDefault="002849B2" w:rsidP="00292A53">
            <w:pPr>
              <w:pStyle w:val="Table7pttext"/>
              <w:spacing w:after="60"/>
            </w:pPr>
            <w:r w:rsidRPr="001A7A6B">
              <w:t>Industrial deafness caused by workplace deafness</w:t>
            </w:r>
          </w:p>
          <w:p w14:paraId="3F108844" w14:textId="7AF27113" w:rsidR="002849B2" w:rsidRPr="001A7A6B" w:rsidRDefault="00A7538C" w:rsidP="00292A53">
            <w:pPr>
              <w:pStyle w:val="Table7pttext"/>
              <w:spacing w:after="60"/>
            </w:pPr>
            <w:hyperlink r:id="rId2210" w:history="1">
              <w:r w:rsidR="002849B2" w:rsidRPr="001A7A6B">
                <w:rPr>
                  <w:rStyle w:val="Hyperlink"/>
                </w:rPr>
                <w:t>S72A</w:t>
              </w:r>
            </w:hyperlink>
          </w:p>
        </w:tc>
        <w:tc>
          <w:tcPr>
            <w:tcW w:w="1503" w:type="dxa"/>
            <w:shd w:val="clear" w:color="auto" w:fill="FFC9C9"/>
            <w:tcMar>
              <w:top w:w="80" w:type="dxa"/>
              <w:left w:w="80" w:type="dxa"/>
              <w:bottom w:w="80" w:type="dxa"/>
              <w:right w:w="80" w:type="dxa"/>
            </w:tcMar>
          </w:tcPr>
          <w:p w14:paraId="7848649A" w14:textId="58F78044" w:rsidR="002849B2" w:rsidRPr="00E469EF" w:rsidRDefault="002849B2" w:rsidP="00292A53">
            <w:pPr>
              <w:spacing w:after="60"/>
              <w:rPr>
                <w:rFonts w:cs="Arial"/>
                <w:sz w:val="14"/>
                <w:szCs w:val="14"/>
              </w:rPr>
            </w:pPr>
            <w:r w:rsidRPr="00E469EF">
              <w:rPr>
                <w:rFonts w:cs="Arial"/>
                <w:sz w:val="14"/>
                <w:szCs w:val="14"/>
              </w:rPr>
              <w:t>Hearing impairmen</w:t>
            </w:r>
            <w:r>
              <w:rPr>
                <w:rFonts w:cs="Arial"/>
                <w:sz w:val="14"/>
                <w:szCs w:val="14"/>
              </w:rPr>
              <w:t>t caused by noise above 85dB(A)</w:t>
            </w:r>
          </w:p>
        </w:tc>
        <w:tc>
          <w:tcPr>
            <w:tcW w:w="1504" w:type="dxa"/>
            <w:shd w:val="clear" w:color="auto" w:fill="FFC9C9"/>
            <w:tcMar>
              <w:top w:w="80" w:type="dxa"/>
              <w:left w:w="80" w:type="dxa"/>
              <w:bottom w:w="80" w:type="dxa"/>
              <w:right w:w="80" w:type="dxa"/>
            </w:tcMar>
          </w:tcPr>
          <w:p w14:paraId="0C48683A"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50D32B59"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5032CA9A" w14:textId="77777777" w:rsidR="002849B2" w:rsidRPr="001A7A6B" w:rsidRDefault="002849B2" w:rsidP="00292A53">
            <w:pPr>
              <w:pStyle w:val="Table7pttext"/>
              <w:spacing w:after="60"/>
            </w:pPr>
            <w:r w:rsidRPr="001A7A6B">
              <w:t>—</w:t>
            </w:r>
          </w:p>
        </w:tc>
      </w:tr>
      <w:tr w:rsidR="002849B2" w:rsidRPr="001A7A6B" w14:paraId="7E0F37B4" w14:textId="77777777" w:rsidTr="00FB729B">
        <w:trPr>
          <w:cantSplit/>
        </w:trPr>
        <w:tc>
          <w:tcPr>
            <w:tcW w:w="1564" w:type="dxa"/>
            <w:tcMar>
              <w:top w:w="80" w:type="dxa"/>
              <w:left w:w="80" w:type="dxa"/>
              <w:bottom w:w="80" w:type="dxa"/>
              <w:right w:w="80" w:type="dxa"/>
            </w:tcMar>
          </w:tcPr>
          <w:p w14:paraId="77B97716" w14:textId="671CC26B" w:rsidR="002849B2" w:rsidRPr="001A7A6B" w:rsidRDefault="002849B2" w:rsidP="00292A53">
            <w:pPr>
              <w:pStyle w:val="TableColumn1bold"/>
              <w:spacing w:after="60"/>
            </w:pPr>
            <w:r w:rsidRPr="001A7A6B">
              <w:lastRenderedPageBreak/>
              <w:t>Ionizing radiation</w:t>
            </w:r>
            <w:r>
              <w:fldChar w:fldCharType="begin"/>
            </w:r>
            <w:r>
              <w:instrText xml:space="preserve"> XE "</w:instrText>
            </w:r>
            <w:r w:rsidRPr="001854C8">
              <w:instrText>ionizing radiations</w:instrText>
            </w:r>
            <w:r>
              <w:instrText xml:space="preserve">" </w:instrText>
            </w:r>
            <w:r>
              <w:fldChar w:fldCharType="end"/>
            </w:r>
            <w:r w:rsidRPr="001A7A6B">
              <w:t>s</w:t>
            </w:r>
          </w:p>
        </w:tc>
        <w:tc>
          <w:tcPr>
            <w:tcW w:w="1503" w:type="dxa"/>
            <w:tcMar>
              <w:top w:w="80" w:type="dxa"/>
              <w:left w:w="80" w:type="dxa"/>
              <w:bottom w:w="80" w:type="dxa"/>
              <w:right w:w="80" w:type="dxa"/>
            </w:tcMar>
          </w:tcPr>
          <w:p w14:paraId="211A8B18" w14:textId="77777777" w:rsidR="002849B2" w:rsidRPr="001A7A6B" w:rsidRDefault="002849B2" w:rsidP="00292A53">
            <w:pPr>
              <w:pStyle w:val="Table7pttext"/>
              <w:spacing w:after="60"/>
            </w:pPr>
            <w:r w:rsidRPr="001A7A6B">
              <w:t>Pathological manifestations of a kind that are due to or contributed to by:</w:t>
            </w:r>
          </w:p>
          <w:p w14:paraId="1256D430" w14:textId="2D6FB76D" w:rsidR="002849B2" w:rsidRPr="001A7A6B" w:rsidRDefault="002849B2" w:rsidP="00292A53">
            <w:pPr>
              <w:pStyle w:val="Table7pttext"/>
              <w:spacing w:after="60"/>
            </w:pPr>
            <w:r w:rsidRPr="001A7A6B">
              <w:t xml:space="preserve">(a) radium and other radioactive substances, </w:t>
            </w:r>
            <w:r w:rsidRPr="001A7A6B">
              <w:br/>
              <w:t>(b) X-rays. (</w:t>
            </w:r>
            <w:hyperlink r:id="rId2211" w:history="1">
              <w:r w:rsidRPr="00E46A02">
                <w:rPr>
                  <w:rStyle w:val="Hyperlink"/>
                </w:rPr>
                <w:t>Schedule 1</w:t>
              </w:r>
            </w:hyperlink>
            <w:r w:rsidRPr="001A7A6B">
              <w:t xml:space="preserve"> of the Worke</w:t>
            </w:r>
            <w:r>
              <w:t>rs’ Compensation Regulation 2016)</w:t>
            </w:r>
          </w:p>
        </w:tc>
        <w:tc>
          <w:tcPr>
            <w:tcW w:w="1503" w:type="dxa"/>
            <w:tcMar>
              <w:top w:w="80" w:type="dxa"/>
              <w:left w:w="80" w:type="dxa"/>
              <w:bottom w:w="80" w:type="dxa"/>
              <w:right w:w="80" w:type="dxa"/>
            </w:tcMar>
          </w:tcPr>
          <w:p w14:paraId="2816FF52" w14:textId="0E81A580" w:rsidR="002849B2" w:rsidRPr="001A7A6B" w:rsidRDefault="002849B2" w:rsidP="00292A53">
            <w:pPr>
              <w:pStyle w:val="Table7pttext"/>
              <w:spacing w:after="60"/>
            </w:pPr>
            <w:r w:rsidRPr="001A7A6B">
              <w:t>Pathological manifestations due to radium and other rad</w:t>
            </w:r>
            <w:r>
              <w:t xml:space="preserve">ioactive substances, or </w:t>
            </w:r>
            <w:r>
              <w:br/>
              <w:t>X-rays</w:t>
            </w:r>
          </w:p>
        </w:tc>
        <w:tc>
          <w:tcPr>
            <w:tcW w:w="1504" w:type="dxa"/>
            <w:tcMar>
              <w:top w:w="80" w:type="dxa"/>
              <w:left w:w="80" w:type="dxa"/>
              <w:bottom w:w="80" w:type="dxa"/>
              <w:right w:w="80" w:type="dxa"/>
            </w:tcMar>
          </w:tcPr>
          <w:p w14:paraId="154DA404" w14:textId="77777777" w:rsidR="002849B2" w:rsidRPr="001A7A6B" w:rsidRDefault="002849B2" w:rsidP="00292A53">
            <w:pPr>
              <w:pStyle w:val="Table7pttext"/>
              <w:spacing w:after="60"/>
            </w:pPr>
            <w:r w:rsidRPr="001A7A6B">
              <w:t>Pathological manifestations due to:</w:t>
            </w:r>
          </w:p>
          <w:p w14:paraId="5E99DBE8" w14:textId="77777777" w:rsidR="002849B2" w:rsidRPr="001A7A6B" w:rsidRDefault="002849B2" w:rsidP="00292A53">
            <w:pPr>
              <w:pStyle w:val="Table7pttext"/>
              <w:spacing w:after="60"/>
            </w:pPr>
            <w:r w:rsidRPr="001A7A6B">
              <w:t>a) radium and other radioactive substances</w:t>
            </w:r>
          </w:p>
          <w:p w14:paraId="4F9644CC" w14:textId="77777777" w:rsidR="002849B2" w:rsidRPr="001A7A6B" w:rsidRDefault="002849B2" w:rsidP="00292A53">
            <w:pPr>
              <w:pStyle w:val="Table7pttext"/>
              <w:spacing w:after="60"/>
            </w:pPr>
            <w:r w:rsidRPr="001A7A6B">
              <w:t>b) X-rays, or</w:t>
            </w:r>
          </w:p>
          <w:p w14:paraId="52DA2711" w14:textId="648D3297" w:rsidR="002849B2" w:rsidRPr="001A7A6B" w:rsidRDefault="002849B2" w:rsidP="00292A53">
            <w:pPr>
              <w:pStyle w:val="Table7pttext"/>
              <w:spacing w:after="60"/>
            </w:pPr>
            <w:r>
              <w:t>c) Lasers</w:t>
            </w:r>
          </w:p>
        </w:tc>
        <w:tc>
          <w:tcPr>
            <w:tcW w:w="1503" w:type="dxa"/>
            <w:tcMar>
              <w:top w:w="80" w:type="dxa"/>
              <w:left w:w="80" w:type="dxa"/>
              <w:bottom w:w="80" w:type="dxa"/>
              <w:right w:w="80" w:type="dxa"/>
            </w:tcMar>
          </w:tcPr>
          <w:p w14:paraId="161992AB" w14:textId="77777777" w:rsidR="002849B2" w:rsidRPr="001A7A6B" w:rsidRDefault="002849B2" w:rsidP="00292A53">
            <w:pPr>
              <w:pStyle w:val="Table7pttext"/>
              <w:spacing w:after="60"/>
            </w:pPr>
            <w:r w:rsidRPr="001A7A6B">
              <w:t>Pathological manifestations due to:</w:t>
            </w:r>
          </w:p>
          <w:p w14:paraId="6E1C5547" w14:textId="77777777" w:rsidR="002849B2" w:rsidRPr="001A7A6B" w:rsidRDefault="002849B2" w:rsidP="00292A53">
            <w:pPr>
              <w:pStyle w:val="Table7pttext"/>
              <w:spacing w:after="60"/>
            </w:pPr>
            <w:r w:rsidRPr="001A7A6B">
              <w:t>a) radium and other radioactive substances, or</w:t>
            </w:r>
          </w:p>
          <w:p w14:paraId="3CD31537" w14:textId="0B7DA6D7" w:rsidR="002849B2" w:rsidRPr="001A7A6B" w:rsidRDefault="002849B2" w:rsidP="00B53A65">
            <w:pPr>
              <w:pStyle w:val="Table7pttext"/>
              <w:spacing w:after="60"/>
            </w:pPr>
            <w:r>
              <w:t>b) X-rays</w:t>
            </w:r>
          </w:p>
        </w:tc>
        <w:tc>
          <w:tcPr>
            <w:tcW w:w="1504" w:type="dxa"/>
            <w:tcMar>
              <w:top w:w="80" w:type="dxa"/>
              <w:left w:w="80" w:type="dxa"/>
              <w:bottom w:w="80" w:type="dxa"/>
              <w:right w:w="80" w:type="dxa"/>
            </w:tcMar>
          </w:tcPr>
          <w:p w14:paraId="08E1B0F5" w14:textId="77777777" w:rsidR="002849B2" w:rsidRPr="001A7A6B" w:rsidRDefault="002849B2" w:rsidP="00292A53">
            <w:pPr>
              <w:pStyle w:val="Table7pttext"/>
              <w:spacing w:after="60"/>
            </w:pPr>
            <w:r w:rsidRPr="001A7A6B">
              <w:t>Disease caused by ionising radiations.</w:t>
            </w:r>
          </w:p>
        </w:tc>
        <w:tc>
          <w:tcPr>
            <w:tcW w:w="1503" w:type="dxa"/>
            <w:tcMar>
              <w:top w:w="80" w:type="dxa"/>
              <w:left w:w="80" w:type="dxa"/>
              <w:bottom w:w="80" w:type="dxa"/>
              <w:right w:w="80" w:type="dxa"/>
            </w:tcMar>
          </w:tcPr>
          <w:p w14:paraId="554E4F8A" w14:textId="6E764B90" w:rsidR="002849B2" w:rsidRPr="001A7A6B" w:rsidRDefault="002849B2" w:rsidP="00292A53">
            <w:pPr>
              <w:pStyle w:val="Table7pttext"/>
              <w:spacing w:after="60"/>
            </w:pPr>
            <w:r w:rsidRPr="00E469EF">
              <w:t>Mali</w:t>
            </w:r>
            <w:r>
              <w:t>g</w:t>
            </w:r>
            <w:r w:rsidRPr="00E469EF">
              <w:t>nancy of salivary gland, oesophagus, stomach, colon and rectum, nasal cavity and para-nasal cavity, lung, bone skin (non-melanoma), breast (female), kidney, bladder, brain, thyroid, leukaemia(excluding chronic lyphatic leukaemia and non-Hodgkin’s lymphoma</w:t>
            </w:r>
          </w:p>
        </w:tc>
        <w:tc>
          <w:tcPr>
            <w:tcW w:w="1504" w:type="dxa"/>
            <w:tcMar>
              <w:top w:w="80" w:type="dxa"/>
              <w:left w:w="80" w:type="dxa"/>
              <w:bottom w:w="80" w:type="dxa"/>
              <w:right w:w="80" w:type="dxa"/>
            </w:tcMar>
          </w:tcPr>
          <w:p w14:paraId="775AA4CF" w14:textId="5B13F1EF" w:rsidR="002849B2" w:rsidRDefault="002849B2" w:rsidP="002849B2">
            <w:pPr>
              <w:pStyle w:val="Table7pttext"/>
              <w:spacing w:after="60"/>
            </w:pPr>
            <w:r>
              <w:t xml:space="preserve"> Salivary gland</w:t>
            </w:r>
          </w:p>
          <w:p w14:paraId="6B718D1C" w14:textId="77777777" w:rsidR="002849B2" w:rsidRDefault="002849B2" w:rsidP="002849B2">
            <w:pPr>
              <w:pStyle w:val="Table7pttext"/>
              <w:spacing w:after="60"/>
            </w:pPr>
            <w:r>
              <w:t>Nasopharynx</w:t>
            </w:r>
          </w:p>
          <w:p w14:paraId="7E3F6B5F" w14:textId="77777777" w:rsidR="002849B2" w:rsidRDefault="002849B2" w:rsidP="002849B2">
            <w:pPr>
              <w:pStyle w:val="Table7pttext"/>
              <w:spacing w:after="60"/>
            </w:pPr>
            <w:r>
              <w:t>Oesophagus</w:t>
            </w:r>
          </w:p>
          <w:p w14:paraId="6207139F" w14:textId="77777777" w:rsidR="002849B2" w:rsidRDefault="002849B2" w:rsidP="002849B2">
            <w:pPr>
              <w:pStyle w:val="Table7pttext"/>
              <w:spacing w:after="60"/>
            </w:pPr>
            <w:r>
              <w:t>Stomach</w:t>
            </w:r>
          </w:p>
          <w:p w14:paraId="44889B32" w14:textId="77777777" w:rsidR="002849B2" w:rsidRDefault="002849B2" w:rsidP="002849B2">
            <w:pPr>
              <w:pStyle w:val="Table7pttext"/>
              <w:spacing w:after="60"/>
            </w:pPr>
            <w:r>
              <w:t>Colon and rectum</w:t>
            </w:r>
          </w:p>
          <w:p w14:paraId="47B69E3D" w14:textId="77777777" w:rsidR="002849B2" w:rsidRDefault="002849B2" w:rsidP="002849B2">
            <w:pPr>
              <w:pStyle w:val="Table7pttext"/>
              <w:spacing w:after="60"/>
            </w:pPr>
            <w:r>
              <w:t>Liver</w:t>
            </w:r>
          </w:p>
          <w:p w14:paraId="43E1522B" w14:textId="77777777" w:rsidR="002849B2" w:rsidRDefault="002849B2" w:rsidP="002849B2">
            <w:pPr>
              <w:pStyle w:val="Table7pttext"/>
              <w:spacing w:after="60"/>
            </w:pPr>
            <w:r>
              <w:t>Nasal cavity and para nasal sinuses</w:t>
            </w:r>
          </w:p>
          <w:p w14:paraId="361A0474" w14:textId="77777777" w:rsidR="002849B2" w:rsidRDefault="002849B2" w:rsidP="002849B2">
            <w:pPr>
              <w:pStyle w:val="Table7pttext"/>
              <w:spacing w:after="60"/>
            </w:pPr>
            <w:r>
              <w:t>Larynx</w:t>
            </w:r>
          </w:p>
          <w:p w14:paraId="1F299EE6" w14:textId="77777777" w:rsidR="002849B2" w:rsidRDefault="002849B2" w:rsidP="002849B2">
            <w:pPr>
              <w:pStyle w:val="Table7pttext"/>
              <w:spacing w:after="60"/>
            </w:pPr>
            <w:r>
              <w:t>Lung</w:t>
            </w:r>
          </w:p>
          <w:p w14:paraId="1AC19F58" w14:textId="77777777" w:rsidR="002849B2" w:rsidRDefault="002849B2" w:rsidP="002849B2">
            <w:pPr>
              <w:pStyle w:val="Table7pttext"/>
              <w:spacing w:after="60"/>
            </w:pPr>
            <w:r>
              <w:t>Bone</w:t>
            </w:r>
          </w:p>
          <w:p w14:paraId="110AB8E1" w14:textId="77777777" w:rsidR="002849B2" w:rsidRDefault="002849B2" w:rsidP="002849B2">
            <w:pPr>
              <w:pStyle w:val="Table7pttext"/>
              <w:spacing w:after="60"/>
            </w:pPr>
            <w:r>
              <w:t>Skin (melanoma)</w:t>
            </w:r>
          </w:p>
          <w:p w14:paraId="63635545" w14:textId="77777777" w:rsidR="002849B2" w:rsidRDefault="002849B2" w:rsidP="002849B2">
            <w:pPr>
              <w:pStyle w:val="Table7pttext"/>
              <w:spacing w:after="60"/>
            </w:pPr>
            <w:r>
              <w:t>Skin (non-melanoma)</w:t>
            </w:r>
          </w:p>
          <w:p w14:paraId="74CB277B" w14:textId="77777777" w:rsidR="002849B2" w:rsidRDefault="002849B2" w:rsidP="002849B2">
            <w:pPr>
              <w:pStyle w:val="Table7pttext"/>
              <w:spacing w:after="60"/>
            </w:pPr>
            <w:r>
              <w:t>Mesothelioma</w:t>
            </w:r>
          </w:p>
          <w:p w14:paraId="30B69DB5" w14:textId="77777777" w:rsidR="002849B2" w:rsidRDefault="002849B2" w:rsidP="002849B2">
            <w:pPr>
              <w:pStyle w:val="Table7pttext"/>
              <w:spacing w:after="60"/>
            </w:pPr>
            <w:r>
              <w:t>Breast (female)</w:t>
            </w:r>
          </w:p>
          <w:p w14:paraId="68CD048A" w14:textId="77777777" w:rsidR="002849B2" w:rsidRDefault="002849B2" w:rsidP="002849B2">
            <w:pPr>
              <w:pStyle w:val="Table7pttext"/>
              <w:spacing w:after="60"/>
            </w:pPr>
            <w:r>
              <w:t>Ovary</w:t>
            </w:r>
          </w:p>
          <w:p w14:paraId="1C340F88" w14:textId="77777777" w:rsidR="002849B2" w:rsidRDefault="002849B2" w:rsidP="002849B2">
            <w:pPr>
              <w:pStyle w:val="Table7pttext"/>
              <w:spacing w:after="60"/>
            </w:pPr>
            <w:r>
              <w:t>Kidney</w:t>
            </w:r>
          </w:p>
          <w:p w14:paraId="14448F61" w14:textId="77777777" w:rsidR="002849B2" w:rsidRDefault="002849B2" w:rsidP="002849B2">
            <w:pPr>
              <w:pStyle w:val="Table7pttext"/>
              <w:spacing w:after="60"/>
            </w:pPr>
            <w:r>
              <w:t>Bladder</w:t>
            </w:r>
          </w:p>
          <w:p w14:paraId="253D2DD8" w14:textId="77777777" w:rsidR="002849B2" w:rsidRDefault="002849B2" w:rsidP="002849B2">
            <w:pPr>
              <w:pStyle w:val="Table7pttext"/>
              <w:spacing w:after="60"/>
            </w:pPr>
            <w:r>
              <w:t>Brain</w:t>
            </w:r>
          </w:p>
          <w:p w14:paraId="37147463" w14:textId="77777777" w:rsidR="002849B2" w:rsidRDefault="002849B2" w:rsidP="002849B2">
            <w:pPr>
              <w:pStyle w:val="Table7pttext"/>
              <w:spacing w:after="60"/>
            </w:pPr>
            <w:r>
              <w:t>Thyroid</w:t>
            </w:r>
          </w:p>
          <w:p w14:paraId="26C1C74B" w14:textId="77777777" w:rsidR="002849B2" w:rsidRDefault="002849B2" w:rsidP="002849B2">
            <w:pPr>
              <w:pStyle w:val="Table7pttext"/>
              <w:spacing w:after="60"/>
            </w:pPr>
            <w:r>
              <w:t>Leukaemia (excluding chronic lymphatic leukaemia)</w:t>
            </w:r>
          </w:p>
          <w:p w14:paraId="2D405A66" w14:textId="73074D1A" w:rsidR="002849B2" w:rsidRPr="001A7A6B" w:rsidRDefault="002849B2" w:rsidP="002849B2">
            <w:pPr>
              <w:pStyle w:val="Table7pttext"/>
              <w:spacing w:after="60"/>
            </w:pPr>
            <w:r>
              <w:t>Non-Hodgkin's Lymphoma</w:t>
            </w:r>
          </w:p>
        </w:tc>
        <w:tc>
          <w:tcPr>
            <w:tcW w:w="1503" w:type="dxa"/>
            <w:tcMar>
              <w:top w:w="80" w:type="dxa"/>
              <w:left w:w="80" w:type="dxa"/>
              <w:bottom w:w="80" w:type="dxa"/>
              <w:right w:w="80" w:type="dxa"/>
            </w:tcMar>
          </w:tcPr>
          <w:p w14:paraId="18D8D63F" w14:textId="082174E5" w:rsidR="002849B2" w:rsidRPr="001A7A6B" w:rsidRDefault="002849B2" w:rsidP="00292A53">
            <w:pPr>
              <w:pStyle w:val="Table7pttext"/>
              <w:spacing w:after="60"/>
            </w:pPr>
            <w:r w:rsidRPr="001A7A6B">
              <w:t>Disease</w:t>
            </w:r>
            <w:r>
              <w:t>s caused by ionising radiations</w:t>
            </w:r>
          </w:p>
        </w:tc>
        <w:tc>
          <w:tcPr>
            <w:tcW w:w="1504" w:type="dxa"/>
            <w:tcMar>
              <w:top w:w="80" w:type="dxa"/>
              <w:left w:w="80" w:type="dxa"/>
              <w:bottom w:w="80" w:type="dxa"/>
              <w:right w:w="80" w:type="dxa"/>
            </w:tcMar>
          </w:tcPr>
          <w:p w14:paraId="519FE489" w14:textId="3C9691F7" w:rsidR="002849B2" w:rsidRPr="001A7A6B" w:rsidRDefault="002849B2" w:rsidP="00292A53">
            <w:pPr>
              <w:pStyle w:val="Table7pttext"/>
              <w:spacing w:after="60"/>
            </w:pPr>
            <w:r w:rsidRPr="001A7A6B">
              <w:t>Diseases of a type generally accepted by the medical profession as caused by ionising radi</w:t>
            </w:r>
            <w:r>
              <w:t>ations</w:t>
            </w:r>
          </w:p>
        </w:tc>
      </w:tr>
      <w:tr w:rsidR="002849B2" w:rsidRPr="001A7A6B" w14:paraId="32004EA0" w14:textId="77777777" w:rsidTr="00FB729B">
        <w:trPr>
          <w:cantSplit/>
        </w:trPr>
        <w:tc>
          <w:tcPr>
            <w:tcW w:w="1564" w:type="dxa"/>
            <w:shd w:val="clear" w:color="auto" w:fill="FFC9C9"/>
            <w:tcMar>
              <w:top w:w="80" w:type="dxa"/>
              <w:left w:w="80" w:type="dxa"/>
              <w:bottom w:w="80" w:type="dxa"/>
              <w:right w:w="80" w:type="dxa"/>
            </w:tcMar>
          </w:tcPr>
          <w:p w14:paraId="28D8EFB9" w14:textId="77777777" w:rsidR="002849B2" w:rsidRPr="001A7A6B" w:rsidRDefault="002849B2" w:rsidP="00292A53">
            <w:pPr>
              <w:pStyle w:val="TableColumn1bold"/>
              <w:spacing w:after="60"/>
            </w:pPr>
            <w:r w:rsidRPr="001A7A6B">
              <w:t>Vibration</w:t>
            </w:r>
            <w:r>
              <w:fldChar w:fldCharType="begin"/>
            </w:r>
            <w:r>
              <w:instrText xml:space="preserve"> XE "</w:instrText>
            </w:r>
            <w:r w:rsidRPr="007102D5">
              <w:instrText>vibration, disorders caused by</w:instrText>
            </w:r>
            <w:r>
              <w:instrText xml:space="preserve">" </w:instrText>
            </w:r>
            <w:r>
              <w:fldChar w:fldCharType="end"/>
            </w:r>
            <w:r w:rsidRPr="001A7A6B">
              <w:t xml:space="preserve"> (disorders of muscles, tendons, bones, joints, peripheral blood vessels or peripheral nerves</w:t>
            </w:r>
          </w:p>
        </w:tc>
        <w:tc>
          <w:tcPr>
            <w:tcW w:w="1503" w:type="dxa"/>
            <w:shd w:val="clear" w:color="auto" w:fill="FFC9C9"/>
            <w:tcMar>
              <w:top w:w="80" w:type="dxa"/>
              <w:left w:w="80" w:type="dxa"/>
              <w:bottom w:w="80" w:type="dxa"/>
              <w:right w:w="80" w:type="dxa"/>
            </w:tcMar>
          </w:tcPr>
          <w:p w14:paraId="25716573"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0A4DAD12"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60F5392B" w14:textId="36C0CD19" w:rsidR="002849B2" w:rsidRPr="001A7A6B" w:rsidRDefault="002849B2" w:rsidP="00292A53">
            <w:pPr>
              <w:pStyle w:val="Table7pttext"/>
              <w:spacing w:after="60"/>
            </w:pPr>
            <w:r w:rsidRPr="001A7A6B">
              <w:t>Effects of vibration (including Rayn</w:t>
            </w:r>
            <w:r>
              <w:t>aud’s phenomenon and dead hand)</w:t>
            </w:r>
          </w:p>
        </w:tc>
        <w:tc>
          <w:tcPr>
            <w:tcW w:w="1503" w:type="dxa"/>
            <w:shd w:val="clear" w:color="auto" w:fill="FFC9C9"/>
            <w:tcMar>
              <w:top w:w="80" w:type="dxa"/>
              <w:left w:w="80" w:type="dxa"/>
              <w:bottom w:w="80" w:type="dxa"/>
              <w:right w:w="80" w:type="dxa"/>
            </w:tcMar>
          </w:tcPr>
          <w:p w14:paraId="3A9F1837"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0470B78C"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733E26DC" w14:textId="1D8900D7" w:rsidR="002849B2" w:rsidRPr="001A7A6B" w:rsidRDefault="002849B2" w:rsidP="00292A53">
            <w:pPr>
              <w:pStyle w:val="Table7pttext"/>
              <w:spacing w:after="60"/>
            </w:pPr>
            <w:r w:rsidRPr="00E469EF">
              <w:t>Raynaud’s disease</w:t>
            </w:r>
          </w:p>
        </w:tc>
        <w:tc>
          <w:tcPr>
            <w:tcW w:w="1504" w:type="dxa"/>
            <w:shd w:val="clear" w:color="auto" w:fill="FFC9C9"/>
            <w:tcMar>
              <w:top w:w="80" w:type="dxa"/>
              <w:left w:w="80" w:type="dxa"/>
              <w:bottom w:w="80" w:type="dxa"/>
              <w:right w:w="80" w:type="dxa"/>
            </w:tcMar>
          </w:tcPr>
          <w:p w14:paraId="4B6DC545" w14:textId="77777777" w:rsidR="002849B2" w:rsidRDefault="002849B2" w:rsidP="002849B2">
            <w:pPr>
              <w:pStyle w:val="Table7pttext"/>
              <w:spacing w:after="60"/>
            </w:pPr>
            <w:r>
              <w:t>Raynaud’s disease</w:t>
            </w:r>
          </w:p>
          <w:p w14:paraId="3265BE2F" w14:textId="20E423E6" w:rsidR="002849B2" w:rsidRPr="001A7A6B" w:rsidRDefault="002849B2" w:rsidP="002849B2">
            <w:pPr>
              <w:pStyle w:val="Table7pttext"/>
              <w:spacing w:after="60"/>
            </w:pPr>
            <w:r w:rsidRPr="009D1CA2">
              <w:rPr>
                <w:rFonts w:cs="Helvetica"/>
              </w:rPr>
              <w:t>employment involving exposure to vibration from powered tools and equipment</w:t>
            </w:r>
          </w:p>
        </w:tc>
        <w:tc>
          <w:tcPr>
            <w:tcW w:w="1503" w:type="dxa"/>
            <w:shd w:val="clear" w:color="auto" w:fill="FFC9C9"/>
            <w:tcMar>
              <w:top w:w="80" w:type="dxa"/>
              <w:left w:w="80" w:type="dxa"/>
              <w:bottom w:w="80" w:type="dxa"/>
              <w:right w:w="80" w:type="dxa"/>
            </w:tcMar>
          </w:tcPr>
          <w:p w14:paraId="043DD916" w14:textId="2DE66514" w:rsidR="002849B2" w:rsidRPr="001A7A6B" w:rsidRDefault="002849B2" w:rsidP="00292A53">
            <w:pPr>
              <w:pStyle w:val="Table7pttext"/>
              <w:spacing w:after="60"/>
            </w:pPr>
            <w:r w:rsidRPr="001A7A6B">
              <w:t>Diseases caused by vibration (disorders of muscles, tendons, bones, joints, peripheral bloo</w:t>
            </w:r>
            <w:r>
              <w:t>d vessels or peripheral nerves)</w:t>
            </w:r>
          </w:p>
        </w:tc>
        <w:tc>
          <w:tcPr>
            <w:tcW w:w="1504" w:type="dxa"/>
            <w:shd w:val="clear" w:color="auto" w:fill="FFC9C9"/>
            <w:tcMar>
              <w:top w:w="80" w:type="dxa"/>
              <w:left w:w="80" w:type="dxa"/>
              <w:bottom w:w="80" w:type="dxa"/>
              <w:right w:w="80" w:type="dxa"/>
            </w:tcMar>
          </w:tcPr>
          <w:p w14:paraId="53BDC375" w14:textId="44B05FD0" w:rsidR="002849B2" w:rsidRPr="001A7A6B" w:rsidRDefault="002849B2" w:rsidP="00292A53">
            <w:pPr>
              <w:pStyle w:val="Table7pttext"/>
              <w:spacing w:after="60"/>
            </w:pPr>
            <w:r w:rsidRPr="001A7A6B">
              <w:t>Hand-arm vibration syndrome diagnosed as caus</w:t>
            </w:r>
            <w:r>
              <w:t>ed by hand and/or arm vibration</w:t>
            </w:r>
          </w:p>
        </w:tc>
      </w:tr>
      <w:tr w:rsidR="002849B2" w:rsidRPr="001A7A6B" w14:paraId="4699B85B" w14:textId="77777777" w:rsidTr="00FB729B">
        <w:trPr>
          <w:cantSplit/>
        </w:trPr>
        <w:tc>
          <w:tcPr>
            <w:tcW w:w="1564" w:type="dxa"/>
            <w:tcMar>
              <w:top w:w="80" w:type="dxa"/>
              <w:left w:w="80" w:type="dxa"/>
              <w:bottom w:w="80" w:type="dxa"/>
              <w:right w:w="80" w:type="dxa"/>
            </w:tcMar>
          </w:tcPr>
          <w:p w14:paraId="50D511E9" w14:textId="3AD2E803" w:rsidR="002849B2" w:rsidRPr="001A7A6B" w:rsidRDefault="002849B2" w:rsidP="00292A53">
            <w:pPr>
              <w:pStyle w:val="TableColumn1bold"/>
              <w:spacing w:after="60"/>
            </w:pPr>
            <w:r w:rsidRPr="001A7A6B">
              <w:lastRenderedPageBreak/>
              <w:t>Work in compressed or decompressed air</w:t>
            </w:r>
            <w:r>
              <w:fldChar w:fldCharType="begin"/>
            </w:r>
            <w:r>
              <w:instrText xml:space="preserve"> XE "</w:instrText>
            </w:r>
            <w:r w:rsidRPr="009C57D8">
              <w:instrText>compressed or decompressed air, diseases caused by work in</w:instrText>
            </w:r>
            <w:r>
              <w:instrText xml:space="preserve">" </w:instrText>
            </w:r>
            <w:r>
              <w:fldChar w:fldCharType="end"/>
            </w:r>
          </w:p>
        </w:tc>
        <w:tc>
          <w:tcPr>
            <w:tcW w:w="1503" w:type="dxa"/>
            <w:tcMar>
              <w:top w:w="80" w:type="dxa"/>
              <w:left w:w="80" w:type="dxa"/>
              <w:bottom w:w="80" w:type="dxa"/>
              <w:right w:w="80" w:type="dxa"/>
            </w:tcMar>
          </w:tcPr>
          <w:p w14:paraId="191D03EB"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092C13E9"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7B047455" w14:textId="2A99CE45" w:rsidR="002849B2" w:rsidRPr="001A7A6B" w:rsidRDefault="002849B2" w:rsidP="00292A53">
            <w:pPr>
              <w:pStyle w:val="Table7pttext"/>
              <w:spacing w:after="60"/>
            </w:pPr>
            <w:r>
              <w:t>Compressed air illness</w:t>
            </w:r>
          </w:p>
        </w:tc>
        <w:tc>
          <w:tcPr>
            <w:tcW w:w="1503" w:type="dxa"/>
            <w:tcMar>
              <w:top w:w="80" w:type="dxa"/>
              <w:left w:w="80" w:type="dxa"/>
              <w:bottom w:w="80" w:type="dxa"/>
              <w:right w:w="80" w:type="dxa"/>
            </w:tcMar>
          </w:tcPr>
          <w:p w14:paraId="74EFE4E6"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322D4DDB" w14:textId="00E2F595" w:rsidR="002849B2" w:rsidRPr="001A7A6B" w:rsidRDefault="002849B2" w:rsidP="00292A53">
            <w:pPr>
              <w:pStyle w:val="Table7pttext"/>
              <w:spacing w:after="60"/>
            </w:pPr>
            <w:r w:rsidRPr="001A7A6B">
              <w:t>Compressed air illness including avascular necrosis (undergro</w:t>
            </w:r>
            <w:r>
              <w:t>und, underwater, high altitude)</w:t>
            </w:r>
          </w:p>
        </w:tc>
        <w:tc>
          <w:tcPr>
            <w:tcW w:w="1503" w:type="dxa"/>
            <w:tcMar>
              <w:top w:w="80" w:type="dxa"/>
              <w:left w:w="80" w:type="dxa"/>
              <w:bottom w:w="80" w:type="dxa"/>
              <w:right w:w="80" w:type="dxa"/>
            </w:tcMar>
          </w:tcPr>
          <w:p w14:paraId="0F109F9B" w14:textId="77777777" w:rsidR="002849B2" w:rsidRPr="001A7A6B" w:rsidRDefault="002849B2" w:rsidP="00292A53">
            <w:pPr>
              <w:pStyle w:val="Table7pttext"/>
              <w:spacing w:after="60"/>
            </w:pPr>
            <w:r>
              <w:softHyphen/>
            </w:r>
            <w:r w:rsidRPr="00D60E53">
              <w:t>—</w:t>
            </w:r>
          </w:p>
        </w:tc>
        <w:tc>
          <w:tcPr>
            <w:tcW w:w="1504" w:type="dxa"/>
            <w:tcMar>
              <w:top w:w="80" w:type="dxa"/>
              <w:left w:w="80" w:type="dxa"/>
              <w:bottom w:w="80" w:type="dxa"/>
              <w:right w:w="80" w:type="dxa"/>
            </w:tcMar>
          </w:tcPr>
          <w:p w14:paraId="0BC7B702"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07C475F6" w14:textId="62F37A00" w:rsidR="002849B2" w:rsidRPr="001A7A6B" w:rsidRDefault="002849B2" w:rsidP="00292A53">
            <w:pPr>
              <w:pStyle w:val="Table7pttext"/>
              <w:spacing w:after="60"/>
            </w:pPr>
            <w:r w:rsidRPr="001A7A6B">
              <w:t>Diseases c</w:t>
            </w:r>
            <w:r>
              <w:t>aused by work in compressed air</w:t>
            </w:r>
          </w:p>
        </w:tc>
        <w:tc>
          <w:tcPr>
            <w:tcW w:w="1504" w:type="dxa"/>
            <w:tcMar>
              <w:top w:w="80" w:type="dxa"/>
              <w:left w:w="80" w:type="dxa"/>
              <w:bottom w:w="80" w:type="dxa"/>
              <w:right w:w="80" w:type="dxa"/>
            </w:tcMar>
          </w:tcPr>
          <w:p w14:paraId="16EE149E" w14:textId="77777777" w:rsidR="002849B2" w:rsidRPr="001A7A6B" w:rsidRDefault="002849B2" w:rsidP="00292A53">
            <w:pPr>
              <w:pStyle w:val="Table7pttext"/>
              <w:spacing w:after="60"/>
            </w:pPr>
            <w:r w:rsidRPr="001A7A6B">
              <w:t>—</w:t>
            </w:r>
          </w:p>
        </w:tc>
      </w:tr>
      <w:tr w:rsidR="002849B2" w:rsidRPr="001A7A6B" w14:paraId="6B20307A" w14:textId="77777777" w:rsidTr="00FB729B">
        <w:trPr>
          <w:cantSplit/>
        </w:trPr>
        <w:tc>
          <w:tcPr>
            <w:tcW w:w="1564" w:type="dxa"/>
            <w:shd w:val="clear" w:color="auto" w:fill="FFC9C9"/>
            <w:tcMar>
              <w:top w:w="80" w:type="dxa"/>
              <w:left w:w="80" w:type="dxa"/>
              <w:bottom w:w="80" w:type="dxa"/>
              <w:right w:w="80" w:type="dxa"/>
            </w:tcMar>
          </w:tcPr>
          <w:p w14:paraId="1242556D" w14:textId="563EC0AD" w:rsidR="002849B2" w:rsidRPr="001A7A6B" w:rsidRDefault="002849B2" w:rsidP="00292A53">
            <w:pPr>
              <w:pStyle w:val="TableColumn1bold"/>
              <w:spacing w:after="60"/>
            </w:pPr>
            <w:r w:rsidRPr="001A7A6B">
              <w:t>Diseases caused by other physical agents at work not mentioned in the preceding terms</w:t>
            </w:r>
            <w:r>
              <w:fldChar w:fldCharType="begin"/>
            </w:r>
            <w:r>
              <w:instrText xml:space="preserve"> XE "</w:instrText>
            </w:r>
            <w:r w:rsidRPr="001E2E17">
              <w:instrText>diseases:physical agents</w:instrText>
            </w:r>
            <w:r>
              <w:instrText xml:space="preserve">" </w:instrText>
            </w:r>
            <w:r>
              <w:fldChar w:fldCharType="end"/>
            </w:r>
          </w:p>
        </w:tc>
        <w:tc>
          <w:tcPr>
            <w:tcW w:w="1503" w:type="dxa"/>
            <w:shd w:val="clear" w:color="auto" w:fill="FFC9C9"/>
            <w:tcMar>
              <w:top w:w="80" w:type="dxa"/>
              <w:left w:w="80" w:type="dxa"/>
              <w:bottom w:w="80" w:type="dxa"/>
              <w:right w:w="80" w:type="dxa"/>
            </w:tcMar>
          </w:tcPr>
          <w:p w14:paraId="15D3EC53"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7E1DE8B1"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5C74C583" w14:textId="29C03E72" w:rsidR="002849B2" w:rsidRPr="001A7A6B" w:rsidRDefault="002849B2" w:rsidP="00292A53">
            <w:pPr>
              <w:pStyle w:val="Table7pttext"/>
              <w:spacing w:after="60"/>
            </w:pPr>
            <w:r w:rsidRPr="001A7A6B">
              <w:t>Effects of insolation (</w:t>
            </w:r>
            <w:r>
              <w:t>prolonged exposure to sunlight)</w:t>
            </w:r>
          </w:p>
          <w:p w14:paraId="06CA0C22" w14:textId="794CEE4E" w:rsidR="002849B2" w:rsidRPr="001A7A6B" w:rsidRDefault="002849B2" w:rsidP="00292A53">
            <w:pPr>
              <w:pStyle w:val="Table7pttext"/>
              <w:spacing w:after="60"/>
            </w:pPr>
            <w:r>
              <w:t>Effects of electrical currents</w:t>
            </w:r>
          </w:p>
        </w:tc>
        <w:tc>
          <w:tcPr>
            <w:tcW w:w="1503" w:type="dxa"/>
            <w:shd w:val="clear" w:color="auto" w:fill="FFC9C9"/>
            <w:tcMar>
              <w:top w:w="80" w:type="dxa"/>
              <w:left w:w="80" w:type="dxa"/>
              <w:bottom w:w="80" w:type="dxa"/>
              <w:right w:w="80" w:type="dxa"/>
            </w:tcMar>
          </w:tcPr>
          <w:p w14:paraId="10402A27"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089DDDAF"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2B4E28F0" w14:textId="4F286990" w:rsidR="002849B2" w:rsidRPr="001A7A6B" w:rsidRDefault="002849B2" w:rsidP="00292A53">
            <w:pPr>
              <w:pStyle w:val="Table7pttext"/>
              <w:spacing w:after="60"/>
            </w:pPr>
            <w:r w:rsidRPr="00E469EF">
              <w:t>Bursitis at elbow or knee – all work involving prolonged external friction pressure or repetitive motion at or about the elbow or the knee</w:t>
            </w:r>
          </w:p>
        </w:tc>
        <w:tc>
          <w:tcPr>
            <w:tcW w:w="1504" w:type="dxa"/>
            <w:shd w:val="clear" w:color="auto" w:fill="FFC9C9"/>
            <w:tcMar>
              <w:top w:w="80" w:type="dxa"/>
              <w:left w:w="80" w:type="dxa"/>
              <w:bottom w:w="80" w:type="dxa"/>
              <w:right w:w="80" w:type="dxa"/>
            </w:tcMar>
          </w:tcPr>
          <w:p w14:paraId="65E2D94E" w14:textId="77777777" w:rsidR="002849B2" w:rsidRDefault="002849B2" w:rsidP="002849B2">
            <w:pPr>
              <w:pStyle w:val="Table7pttext"/>
              <w:spacing w:after="60"/>
            </w:pPr>
            <w:r>
              <w:t>Bursitis at the elbow or knee</w:t>
            </w:r>
          </w:p>
          <w:p w14:paraId="70855906" w14:textId="7ADEAF95" w:rsidR="002849B2" w:rsidRPr="001A7A6B" w:rsidRDefault="002849B2" w:rsidP="002849B2">
            <w:pPr>
              <w:pStyle w:val="Table7pttext"/>
              <w:spacing w:after="60"/>
            </w:pPr>
            <w:r w:rsidRPr="009D1CA2">
              <w:rPr>
                <w:rFonts w:cs="Helvetica"/>
              </w:rPr>
              <w:t>employment involving prolonged external friction or pressure or repetitive motion at or about the elbow or the knee</w:t>
            </w:r>
          </w:p>
        </w:tc>
        <w:tc>
          <w:tcPr>
            <w:tcW w:w="1503" w:type="dxa"/>
            <w:shd w:val="clear" w:color="auto" w:fill="FFC9C9"/>
            <w:tcMar>
              <w:top w:w="80" w:type="dxa"/>
              <w:left w:w="80" w:type="dxa"/>
              <w:bottom w:w="80" w:type="dxa"/>
              <w:right w:w="80" w:type="dxa"/>
            </w:tcMar>
          </w:tcPr>
          <w:p w14:paraId="46B53337"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307A9E85" w14:textId="77777777" w:rsidR="002849B2" w:rsidRPr="001A7A6B" w:rsidRDefault="002849B2" w:rsidP="00292A53">
            <w:pPr>
              <w:pStyle w:val="Table7pttext"/>
              <w:spacing w:after="60"/>
            </w:pPr>
            <w:r w:rsidRPr="001A7A6B">
              <w:t>—</w:t>
            </w:r>
          </w:p>
        </w:tc>
      </w:tr>
      <w:tr w:rsidR="002849B2" w:rsidRPr="001A7A6B" w14:paraId="468B24F7" w14:textId="77777777" w:rsidTr="00FB729B">
        <w:trPr>
          <w:cantSplit/>
        </w:trPr>
        <w:tc>
          <w:tcPr>
            <w:tcW w:w="15095" w:type="dxa"/>
            <w:gridSpan w:val="10"/>
            <w:tcMar>
              <w:top w:w="80" w:type="dxa"/>
              <w:left w:w="80" w:type="dxa"/>
              <w:bottom w:w="80" w:type="dxa"/>
              <w:right w:w="80" w:type="dxa"/>
            </w:tcMar>
          </w:tcPr>
          <w:p w14:paraId="4CF0A232" w14:textId="1CB44A38" w:rsidR="002849B2" w:rsidRPr="001A7A6B" w:rsidRDefault="002849B2" w:rsidP="00292A53">
            <w:pPr>
              <w:pStyle w:val="TableColumn1bold"/>
              <w:spacing w:after="60"/>
              <w:jc w:val="center"/>
            </w:pPr>
            <w:r w:rsidRPr="001A7A6B">
              <w:t>Biological agents and infectious or parasitic diseases</w:t>
            </w:r>
            <w:r>
              <w:t xml:space="preserve"> </w:t>
            </w:r>
            <w:r>
              <w:fldChar w:fldCharType="begin"/>
            </w:r>
            <w:r>
              <w:instrText xml:space="preserve"> XE "</w:instrText>
            </w:r>
            <w:r w:rsidRPr="00154439">
              <w:instrText>biological agents and infectious or parasitic diseases</w:instrText>
            </w:r>
            <w:r>
              <w:instrText xml:space="preserve">" \r "anthrax" </w:instrText>
            </w:r>
            <w:r>
              <w:fldChar w:fldCharType="end"/>
            </w:r>
            <w:r>
              <w:fldChar w:fldCharType="begin"/>
            </w:r>
            <w:r>
              <w:instrText xml:space="preserve"> XE "</w:instrText>
            </w:r>
            <w:r w:rsidRPr="00F46F73">
              <w:instrText>diseases:biological agents and infectious or parasitic diseases</w:instrText>
            </w:r>
            <w:r>
              <w:instrText xml:space="preserve">" \r "anthrax" </w:instrText>
            </w:r>
            <w:r>
              <w:fldChar w:fldCharType="end"/>
            </w:r>
            <w:r>
              <w:t xml:space="preserve"> </w:t>
            </w:r>
            <w:r>
              <w:fldChar w:fldCharType="begin"/>
            </w:r>
            <w:r>
              <w:instrText xml:space="preserve"> XE "</w:instrText>
            </w:r>
            <w:r w:rsidRPr="001854C8">
              <w:instrText>infectious or parasitic diseases</w:instrText>
            </w:r>
            <w:r>
              <w:instrText xml:space="preserve">" \r "anthrax" </w:instrText>
            </w:r>
            <w:r>
              <w:fldChar w:fldCharType="end"/>
            </w:r>
            <w:r>
              <w:fldChar w:fldCharType="begin"/>
            </w:r>
            <w:r>
              <w:instrText xml:space="preserve"> XE "</w:instrText>
            </w:r>
            <w:r w:rsidRPr="001854C8">
              <w:instrText>parasitic diseases</w:instrText>
            </w:r>
            <w:r>
              <w:instrText xml:space="preserve">" \r "anthrax" </w:instrText>
            </w:r>
            <w:r>
              <w:fldChar w:fldCharType="end"/>
            </w:r>
          </w:p>
        </w:tc>
      </w:tr>
      <w:tr w:rsidR="002849B2" w:rsidRPr="001A7A6B" w14:paraId="3E8CEAF5" w14:textId="77777777" w:rsidTr="00FB729B">
        <w:trPr>
          <w:cantSplit/>
        </w:trPr>
        <w:tc>
          <w:tcPr>
            <w:tcW w:w="1564" w:type="dxa"/>
            <w:shd w:val="clear" w:color="auto" w:fill="FFC9C9"/>
            <w:tcMar>
              <w:top w:w="80" w:type="dxa"/>
              <w:left w:w="80" w:type="dxa"/>
              <w:bottom w:w="80" w:type="dxa"/>
              <w:right w:w="80" w:type="dxa"/>
            </w:tcMar>
          </w:tcPr>
          <w:p w14:paraId="6315F889" w14:textId="77777777" w:rsidR="002849B2" w:rsidRPr="001A7A6B" w:rsidRDefault="002849B2" w:rsidP="00292A53">
            <w:pPr>
              <w:pStyle w:val="TableColumn1bold"/>
              <w:spacing w:after="60"/>
            </w:pPr>
            <w:r w:rsidRPr="001A7A6B">
              <w:t>Anthrax</w:t>
            </w:r>
          </w:p>
        </w:tc>
        <w:tc>
          <w:tcPr>
            <w:tcW w:w="1503" w:type="dxa"/>
            <w:shd w:val="clear" w:color="auto" w:fill="FFC9C9"/>
            <w:tcMar>
              <w:top w:w="80" w:type="dxa"/>
              <w:left w:w="80" w:type="dxa"/>
              <w:bottom w:w="80" w:type="dxa"/>
              <w:right w:w="80" w:type="dxa"/>
            </w:tcMar>
          </w:tcPr>
          <w:p w14:paraId="5CEC93AF" w14:textId="77777777" w:rsidR="002849B2" w:rsidRPr="001A7A6B" w:rsidRDefault="002849B2" w:rsidP="00292A53">
            <w:pPr>
              <w:pStyle w:val="Table7pttext"/>
              <w:spacing w:after="60"/>
            </w:pPr>
            <w:r w:rsidRPr="001A7A6B">
              <w:t>Anthrax infection.</w:t>
            </w:r>
          </w:p>
          <w:p w14:paraId="7AEA7A56" w14:textId="4F6553C1" w:rsidR="002849B2" w:rsidRPr="001A7A6B" w:rsidRDefault="002849B2" w:rsidP="00292A53">
            <w:pPr>
              <w:pStyle w:val="Table7pttext"/>
              <w:spacing w:after="60"/>
            </w:pPr>
            <w:r w:rsidRPr="001A7A6B">
              <w:t>(</w:t>
            </w:r>
            <w:hyperlink r:id="rId2212" w:history="1">
              <w:r w:rsidRPr="00E46A02">
                <w:rPr>
                  <w:rStyle w:val="Hyperlink"/>
                </w:rPr>
                <w:t>Schedule 1</w:t>
              </w:r>
            </w:hyperlink>
            <w:r w:rsidRPr="001A7A6B">
              <w:t xml:space="preserve"> of the Workers’ Compensation Regulation 201</w:t>
            </w:r>
            <w:r>
              <w:t>6)</w:t>
            </w:r>
          </w:p>
        </w:tc>
        <w:tc>
          <w:tcPr>
            <w:tcW w:w="1503" w:type="dxa"/>
            <w:shd w:val="clear" w:color="auto" w:fill="FFC9C9"/>
            <w:tcMar>
              <w:top w:w="80" w:type="dxa"/>
              <w:left w:w="80" w:type="dxa"/>
              <w:bottom w:w="80" w:type="dxa"/>
              <w:right w:w="80" w:type="dxa"/>
            </w:tcMar>
          </w:tcPr>
          <w:p w14:paraId="10642650" w14:textId="5BF005D7" w:rsidR="002849B2" w:rsidRPr="001A7A6B" w:rsidRDefault="002849B2" w:rsidP="00292A53">
            <w:pPr>
              <w:pStyle w:val="Table7pttext"/>
              <w:spacing w:after="60"/>
            </w:pPr>
            <w:r>
              <w:t>Anthrax</w:t>
            </w:r>
          </w:p>
        </w:tc>
        <w:tc>
          <w:tcPr>
            <w:tcW w:w="1504" w:type="dxa"/>
            <w:shd w:val="clear" w:color="auto" w:fill="FFC9C9"/>
            <w:tcMar>
              <w:top w:w="80" w:type="dxa"/>
              <w:left w:w="80" w:type="dxa"/>
              <w:bottom w:w="80" w:type="dxa"/>
              <w:right w:w="80" w:type="dxa"/>
            </w:tcMar>
          </w:tcPr>
          <w:p w14:paraId="6D1E8248" w14:textId="2921F7EE" w:rsidR="002849B2" w:rsidRPr="001A7A6B" w:rsidRDefault="002849B2" w:rsidP="00292A53">
            <w:pPr>
              <w:pStyle w:val="Table7pttext"/>
              <w:spacing w:after="60"/>
            </w:pPr>
            <w:r>
              <w:t>Anthrax</w:t>
            </w:r>
          </w:p>
        </w:tc>
        <w:tc>
          <w:tcPr>
            <w:tcW w:w="1503" w:type="dxa"/>
            <w:shd w:val="clear" w:color="auto" w:fill="FFC9C9"/>
            <w:tcMar>
              <w:top w:w="80" w:type="dxa"/>
              <w:left w:w="80" w:type="dxa"/>
              <w:bottom w:w="80" w:type="dxa"/>
              <w:right w:w="80" w:type="dxa"/>
            </w:tcMar>
          </w:tcPr>
          <w:p w14:paraId="4678FF57" w14:textId="7AAC617B" w:rsidR="002849B2" w:rsidRPr="001A7A6B" w:rsidRDefault="002849B2" w:rsidP="00292A53">
            <w:pPr>
              <w:pStyle w:val="Table7pttext"/>
              <w:spacing w:after="60"/>
            </w:pPr>
            <w:r>
              <w:t>Anthrax</w:t>
            </w:r>
          </w:p>
        </w:tc>
        <w:tc>
          <w:tcPr>
            <w:tcW w:w="1504" w:type="dxa"/>
            <w:shd w:val="clear" w:color="auto" w:fill="FFC9C9"/>
            <w:tcMar>
              <w:top w:w="80" w:type="dxa"/>
              <w:left w:w="80" w:type="dxa"/>
              <w:bottom w:w="80" w:type="dxa"/>
              <w:right w:w="80" w:type="dxa"/>
            </w:tcMar>
          </w:tcPr>
          <w:p w14:paraId="2AE877C3" w14:textId="2561AE8B" w:rsidR="002849B2" w:rsidRPr="001A7A6B" w:rsidRDefault="002849B2" w:rsidP="00292A53">
            <w:pPr>
              <w:pStyle w:val="Table7pttext"/>
              <w:spacing w:after="60"/>
            </w:pPr>
            <w:r w:rsidRPr="001A7A6B">
              <w:t>Infectious or parasitic diseases contracted in an occupation where there is a particular risk of ex</w:t>
            </w:r>
            <w:r>
              <w:t>posure to the agent responsible</w:t>
            </w:r>
          </w:p>
        </w:tc>
        <w:tc>
          <w:tcPr>
            <w:tcW w:w="1503" w:type="dxa"/>
            <w:shd w:val="clear" w:color="auto" w:fill="FFC9C9"/>
            <w:tcMar>
              <w:top w:w="80" w:type="dxa"/>
              <w:left w:w="80" w:type="dxa"/>
              <w:bottom w:w="80" w:type="dxa"/>
              <w:right w:w="80" w:type="dxa"/>
            </w:tcMar>
          </w:tcPr>
          <w:p w14:paraId="33472E6F" w14:textId="12F8E11F" w:rsidR="002849B2" w:rsidRPr="001A7A6B" w:rsidRDefault="002849B2" w:rsidP="00292A53">
            <w:pPr>
              <w:pStyle w:val="Table7pttext"/>
              <w:spacing w:after="60"/>
            </w:pPr>
            <w:r>
              <w:t>Anthrax</w:t>
            </w:r>
          </w:p>
        </w:tc>
        <w:tc>
          <w:tcPr>
            <w:tcW w:w="1504" w:type="dxa"/>
            <w:shd w:val="clear" w:color="auto" w:fill="FFC9C9"/>
            <w:tcMar>
              <w:top w:w="80" w:type="dxa"/>
              <w:left w:w="80" w:type="dxa"/>
              <w:bottom w:w="80" w:type="dxa"/>
              <w:right w:w="80" w:type="dxa"/>
            </w:tcMar>
          </w:tcPr>
          <w:p w14:paraId="4CCD33D0" w14:textId="56681780" w:rsidR="002849B2" w:rsidRPr="001A7A6B" w:rsidRDefault="002849B2" w:rsidP="00292A53">
            <w:pPr>
              <w:pStyle w:val="Table7pttext"/>
              <w:spacing w:after="60"/>
            </w:pPr>
            <w:r>
              <w:t>Anthrax where employment involves work with animals or animal carcasses</w:t>
            </w:r>
          </w:p>
        </w:tc>
        <w:tc>
          <w:tcPr>
            <w:tcW w:w="1503" w:type="dxa"/>
            <w:shd w:val="clear" w:color="auto" w:fill="FFC9C9"/>
            <w:tcMar>
              <w:top w:w="80" w:type="dxa"/>
              <w:left w:w="80" w:type="dxa"/>
              <w:bottom w:w="80" w:type="dxa"/>
              <w:right w:w="80" w:type="dxa"/>
            </w:tcMar>
          </w:tcPr>
          <w:p w14:paraId="77498415"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5A5D0B72" w14:textId="10D33763" w:rsidR="002849B2" w:rsidRPr="001A7A6B" w:rsidRDefault="002849B2" w:rsidP="00292A53">
            <w:pPr>
              <w:pStyle w:val="Table7pttext"/>
              <w:spacing w:after="60"/>
            </w:pPr>
            <w:r>
              <w:t>Anthrax infection</w:t>
            </w:r>
          </w:p>
        </w:tc>
      </w:tr>
      <w:tr w:rsidR="002849B2" w:rsidRPr="001A7A6B" w14:paraId="7DA68074" w14:textId="77777777" w:rsidTr="00FB729B">
        <w:trPr>
          <w:cantSplit/>
        </w:trPr>
        <w:tc>
          <w:tcPr>
            <w:tcW w:w="1564" w:type="dxa"/>
            <w:tcMar>
              <w:top w:w="80" w:type="dxa"/>
              <w:left w:w="80" w:type="dxa"/>
              <w:bottom w:w="80" w:type="dxa"/>
              <w:right w:w="80" w:type="dxa"/>
            </w:tcMar>
          </w:tcPr>
          <w:p w14:paraId="3F1E8AFA" w14:textId="77777777" w:rsidR="002849B2" w:rsidRPr="001A7A6B" w:rsidRDefault="002849B2" w:rsidP="00292A53">
            <w:pPr>
              <w:pStyle w:val="TableColumn1bold"/>
              <w:spacing w:after="60"/>
            </w:pPr>
            <w:r w:rsidRPr="001A7A6B">
              <w:lastRenderedPageBreak/>
              <w:t>Brucellosis</w:t>
            </w:r>
          </w:p>
        </w:tc>
        <w:tc>
          <w:tcPr>
            <w:tcW w:w="1503" w:type="dxa"/>
            <w:tcMar>
              <w:top w:w="80" w:type="dxa"/>
              <w:left w:w="80" w:type="dxa"/>
              <w:bottom w:w="80" w:type="dxa"/>
              <w:right w:w="80" w:type="dxa"/>
            </w:tcMar>
          </w:tcPr>
          <w:p w14:paraId="11C667B9" w14:textId="77777777" w:rsidR="002849B2" w:rsidRPr="001A7A6B" w:rsidRDefault="002849B2" w:rsidP="00292A53">
            <w:pPr>
              <w:pStyle w:val="Table7pttext"/>
              <w:spacing w:after="60"/>
            </w:pPr>
            <w:r w:rsidRPr="001A7A6B">
              <w:t>Brucellosis.</w:t>
            </w:r>
          </w:p>
          <w:p w14:paraId="0385E1F4" w14:textId="2790CD43" w:rsidR="002849B2" w:rsidRPr="001A7A6B" w:rsidRDefault="002849B2" w:rsidP="00292A53">
            <w:pPr>
              <w:pStyle w:val="Table7pttext"/>
              <w:spacing w:after="60"/>
            </w:pPr>
            <w:r w:rsidRPr="001A7A6B">
              <w:t>(</w:t>
            </w:r>
            <w:hyperlink r:id="rId2213" w:history="1">
              <w:r w:rsidRPr="00E46A02">
                <w:rPr>
                  <w:rStyle w:val="Hyperlink"/>
                </w:rPr>
                <w:t>Schedule 1</w:t>
              </w:r>
            </w:hyperlink>
            <w:r w:rsidRPr="001A7A6B">
              <w:t xml:space="preserve"> of the Workers’ Compensation Regulation 201</w:t>
            </w:r>
            <w:r>
              <w:t>6)</w:t>
            </w:r>
          </w:p>
        </w:tc>
        <w:tc>
          <w:tcPr>
            <w:tcW w:w="1503" w:type="dxa"/>
            <w:tcMar>
              <w:top w:w="80" w:type="dxa"/>
              <w:left w:w="80" w:type="dxa"/>
              <w:bottom w:w="80" w:type="dxa"/>
              <w:right w:w="80" w:type="dxa"/>
            </w:tcMar>
          </w:tcPr>
          <w:p w14:paraId="4239F487" w14:textId="336025BB" w:rsidR="002849B2" w:rsidRPr="001A7A6B" w:rsidRDefault="002849B2" w:rsidP="00292A53">
            <w:pPr>
              <w:pStyle w:val="Table7pttext"/>
              <w:spacing w:after="60"/>
            </w:pPr>
            <w:r w:rsidRPr="001A7A6B">
              <w:t>Brucellosis (Un</w:t>
            </w:r>
            <w:r>
              <w:t>dulant fever)</w:t>
            </w:r>
          </w:p>
        </w:tc>
        <w:tc>
          <w:tcPr>
            <w:tcW w:w="1504" w:type="dxa"/>
            <w:tcMar>
              <w:top w:w="80" w:type="dxa"/>
              <w:left w:w="80" w:type="dxa"/>
              <w:bottom w:w="80" w:type="dxa"/>
              <w:right w:w="80" w:type="dxa"/>
            </w:tcMar>
          </w:tcPr>
          <w:p w14:paraId="4466C34C" w14:textId="77777777" w:rsidR="002849B2" w:rsidRPr="001A7A6B" w:rsidRDefault="002849B2" w:rsidP="00292A53">
            <w:pPr>
              <w:pStyle w:val="Table7pttext"/>
              <w:spacing w:after="60"/>
              <w:rPr>
                <w:highlight w:val="yellow"/>
              </w:rPr>
            </w:pPr>
            <w:r w:rsidRPr="001A7A6B">
              <w:t>—</w:t>
            </w:r>
          </w:p>
        </w:tc>
        <w:tc>
          <w:tcPr>
            <w:tcW w:w="1503" w:type="dxa"/>
            <w:tcMar>
              <w:top w:w="80" w:type="dxa"/>
              <w:left w:w="80" w:type="dxa"/>
              <w:bottom w:w="80" w:type="dxa"/>
              <w:right w:w="80" w:type="dxa"/>
            </w:tcMar>
          </w:tcPr>
          <w:p w14:paraId="355F15CC" w14:textId="1D4E25CE" w:rsidR="002849B2" w:rsidRPr="001A7A6B" w:rsidRDefault="002849B2" w:rsidP="00292A53">
            <w:pPr>
              <w:pStyle w:val="Table7pttext"/>
              <w:spacing w:after="60"/>
            </w:pPr>
            <w:r>
              <w:t>Brucellosis</w:t>
            </w:r>
          </w:p>
        </w:tc>
        <w:tc>
          <w:tcPr>
            <w:tcW w:w="1504" w:type="dxa"/>
            <w:tcMar>
              <w:top w:w="80" w:type="dxa"/>
              <w:left w:w="80" w:type="dxa"/>
              <w:bottom w:w="80" w:type="dxa"/>
              <w:right w:w="80" w:type="dxa"/>
            </w:tcMar>
          </w:tcPr>
          <w:p w14:paraId="1BD40F20" w14:textId="77777777" w:rsidR="002849B2" w:rsidRPr="001A7A6B" w:rsidRDefault="002849B2" w:rsidP="00292A53">
            <w:pPr>
              <w:pStyle w:val="Table7pttext"/>
              <w:spacing w:after="60"/>
            </w:pPr>
            <w:r w:rsidRPr="001A7A6B">
              <w:t>Infectious or parasitic diseases contracted in an occupation where there is a particular risk of exposure to the agent responsible.</w:t>
            </w:r>
          </w:p>
          <w:p w14:paraId="3154F433" w14:textId="77777777" w:rsidR="002849B2" w:rsidRPr="001A7A6B" w:rsidRDefault="002849B2" w:rsidP="00292A53">
            <w:pPr>
              <w:pStyle w:val="Table7pttext"/>
              <w:spacing w:after="60"/>
            </w:pPr>
            <w:r w:rsidRPr="001A7A6B">
              <w:t xml:space="preserve">Note — </w:t>
            </w:r>
            <w:hyperlink r:id="rId2214" w:history="1">
              <w:r w:rsidRPr="001A7A6B">
                <w:rPr>
                  <w:rStyle w:val="Hyperlink"/>
                </w:rPr>
                <w:t>s25(2)(b)</w:t>
              </w:r>
            </w:hyperlink>
            <w:r w:rsidRPr="001A7A6B">
              <w:t xml:space="preserve"> provides that compensation is not payable in respect of the disease known as undulant fever or brucellosis unless an accredited medical practitioner has certified in writing that he is satisfied as to the result of the pathological examination of the blood that the worker is suffering from that disease.</w:t>
            </w:r>
          </w:p>
        </w:tc>
        <w:tc>
          <w:tcPr>
            <w:tcW w:w="1503" w:type="dxa"/>
            <w:tcMar>
              <w:top w:w="80" w:type="dxa"/>
              <w:left w:w="80" w:type="dxa"/>
              <w:bottom w:w="80" w:type="dxa"/>
              <w:right w:w="80" w:type="dxa"/>
            </w:tcMar>
          </w:tcPr>
          <w:p w14:paraId="23291D80" w14:textId="6E93546C" w:rsidR="002849B2" w:rsidRPr="001A7A6B" w:rsidRDefault="002849B2" w:rsidP="00292A53">
            <w:pPr>
              <w:pStyle w:val="Table7pttext"/>
              <w:spacing w:after="60"/>
            </w:pPr>
            <w:r>
              <w:t>Brucellosis</w:t>
            </w:r>
          </w:p>
        </w:tc>
        <w:tc>
          <w:tcPr>
            <w:tcW w:w="1504" w:type="dxa"/>
            <w:tcMar>
              <w:top w:w="80" w:type="dxa"/>
              <w:left w:w="80" w:type="dxa"/>
              <w:bottom w:w="80" w:type="dxa"/>
              <w:right w:w="80" w:type="dxa"/>
            </w:tcMar>
          </w:tcPr>
          <w:p w14:paraId="7B5D6A39" w14:textId="77E44EA3" w:rsidR="002849B2" w:rsidRPr="001A7A6B" w:rsidRDefault="002849B2" w:rsidP="00292A53">
            <w:pPr>
              <w:pStyle w:val="Table7pttext"/>
              <w:spacing w:after="60"/>
            </w:pPr>
            <w:r>
              <w:t>Brucellosis as caused by working with animals or their carcasses</w:t>
            </w:r>
          </w:p>
        </w:tc>
        <w:tc>
          <w:tcPr>
            <w:tcW w:w="1503" w:type="dxa"/>
            <w:tcMar>
              <w:top w:w="80" w:type="dxa"/>
              <w:left w:w="80" w:type="dxa"/>
              <w:bottom w:w="80" w:type="dxa"/>
              <w:right w:w="80" w:type="dxa"/>
            </w:tcMar>
          </w:tcPr>
          <w:p w14:paraId="49C10BC9"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0DEDFA42" w14:textId="0A601883" w:rsidR="002849B2" w:rsidRPr="001A7A6B" w:rsidRDefault="002849B2" w:rsidP="00292A53">
            <w:pPr>
              <w:pStyle w:val="Table7pttext"/>
              <w:spacing w:after="60"/>
            </w:pPr>
            <w:r w:rsidRPr="001A7A6B">
              <w:t xml:space="preserve">Brucellosis diagnosed as caused by working </w:t>
            </w:r>
            <w:r>
              <w:t>with animals or their carcasses</w:t>
            </w:r>
          </w:p>
        </w:tc>
      </w:tr>
      <w:tr w:rsidR="002849B2" w:rsidRPr="001A7A6B" w14:paraId="405A63CB" w14:textId="77777777" w:rsidTr="00FB729B">
        <w:trPr>
          <w:cantSplit/>
        </w:trPr>
        <w:tc>
          <w:tcPr>
            <w:tcW w:w="1564" w:type="dxa"/>
            <w:shd w:val="clear" w:color="auto" w:fill="FFC9C9"/>
            <w:tcMar>
              <w:top w:w="80" w:type="dxa"/>
              <w:left w:w="80" w:type="dxa"/>
              <w:bottom w:w="80" w:type="dxa"/>
              <w:right w:w="80" w:type="dxa"/>
            </w:tcMar>
          </w:tcPr>
          <w:p w14:paraId="779AD11B" w14:textId="77777777" w:rsidR="002849B2" w:rsidRPr="001A7A6B" w:rsidRDefault="002849B2" w:rsidP="00292A53">
            <w:pPr>
              <w:pStyle w:val="TableColumn1bold"/>
              <w:spacing w:after="60"/>
            </w:pPr>
            <w:r w:rsidRPr="001A7A6B">
              <w:t>Hepatitis viruses</w:t>
            </w:r>
          </w:p>
        </w:tc>
        <w:tc>
          <w:tcPr>
            <w:tcW w:w="1503" w:type="dxa"/>
            <w:shd w:val="clear" w:color="auto" w:fill="FFC9C9"/>
            <w:tcMar>
              <w:top w:w="80" w:type="dxa"/>
              <w:left w:w="80" w:type="dxa"/>
              <w:bottom w:w="80" w:type="dxa"/>
              <w:right w:w="80" w:type="dxa"/>
            </w:tcMar>
          </w:tcPr>
          <w:p w14:paraId="0954F977"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1BF2F910"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5349A271" w14:textId="4E8A8C5B" w:rsidR="002849B2" w:rsidRPr="001A7A6B" w:rsidRDefault="002849B2" w:rsidP="00292A53">
            <w:pPr>
              <w:pStyle w:val="Table7pttext"/>
              <w:spacing w:after="60"/>
            </w:pPr>
            <w:r w:rsidRPr="001A7A6B">
              <w:t>Hepatitis</w:t>
            </w:r>
            <w:r>
              <w:t xml:space="preserve"> B</w:t>
            </w:r>
          </w:p>
        </w:tc>
        <w:tc>
          <w:tcPr>
            <w:tcW w:w="1503" w:type="dxa"/>
            <w:shd w:val="clear" w:color="auto" w:fill="FFC9C9"/>
            <w:tcMar>
              <w:top w:w="80" w:type="dxa"/>
              <w:left w:w="80" w:type="dxa"/>
              <w:bottom w:w="80" w:type="dxa"/>
              <w:right w:w="80" w:type="dxa"/>
            </w:tcMar>
          </w:tcPr>
          <w:p w14:paraId="4AE9BBC4"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03D52B91" w14:textId="77777777" w:rsidR="002849B2" w:rsidRPr="001A7A6B" w:rsidRDefault="002849B2" w:rsidP="00292A53">
            <w:pPr>
              <w:pStyle w:val="Table7pttext"/>
              <w:spacing w:after="60"/>
            </w:pPr>
            <w:r w:rsidRPr="001A7A6B">
              <w:t>Infectious or parasitic diseases contracted in an occupation where there is a particular risk of exposure to the agent responsible.</w:t>
            </w:r>
          </w:p>
        </w:tc>
        <w:tc>
          <w:tcPr>
            <w:tcW w:w="1503" w:type="dxa"/>
            <w:shd w:val="clear" w:color="auto" w:fill="FFC9C9"/>
            <w:tcMar>
              <w:top w:w="80" w:type="dxa"/>
              <w:left w:w="80" w:type="dxa"/>
              <w:bottom w:w="80" w:type="dxa"/>
              <w:right w:w="80" w:type="dxa"/>
            </w:tcMar>
          </w:tcPr>
          <w:p w14:paraId="23F51997" w14:textId="3437700D" w:rsidR="002849B2" w:rsidRPr="001A7A6B" w:rsidRDefault="002849B2" w:rsidP="00292A53">
            <w:pPr>
              <w:pStyle w:val="Table7pttext"/>
              <w:spacing w:after="60"/>
            </w:pPr>
            <w:r>
              <w:t>Hepatitis A and B &amp; C</w:t>
            </w:r>
          </w:p>
        </w:tc>
        <w:tc>
          <w:tcPr>
            <w:tcW w:w="1504" w:type="dxa"/>
            <w:shd w:val="clear" w:color="auto" w:fill="FFC9C9"/>
            <w:tcMar>
              <w:top w:w="80" w:type="dxa"/>
              <w:left w:w="80" w:type="dxa"/>
              <w:bottom w:w="80" w:type="dxa"/>
              <w:right w:w="80" w:type="dxa"/>
            </w:tcMar>
          </w:tcPr>
          <w:p w14:paraId="3B5D5212" w14:textId="77777777" w:rsidR="002849B2" w:rsidRPr="008516B9" w:rsidRDefault="002849B2" w:rsidP="002849B2">
            <w:pPr>
              <w:pStyle w:val="Table7pttext"/>
              <w:spacing w:after="60"/>
            </w:pPr>
            <w:r w:rsidRPr="008516B9">
              <w:t>Hepatitis A</w:t>
            </w:r>
            <w:r>
              <w:t xml:space="preserve"> </w:t>
            </w:r>
            <w:r w:rsidRPr="008516B9">
              <w:t>and B &amp; C</w:t>
            </w:r>
          </w:p>
          <w:p w14:paraId="06225A47" w14:textId="77777777" w:rsidR="002849B2" w:rsidRPr="00756936" w:rsidRDefault="002849B2" w:rsidP="002849B2">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employment involving contact</w:t>
            </w:r>
          </w:p>
          <w:p w14:paraId="6EEE122F" w14:textId="77777777" w:rsidR="002849B2" w:rsidRDefault="002849B2" w:rsidP="002849B2">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 xml:space="preserve">with human waste </w:t>
            </w:r>
          </w:p>
          <w:p w14:paraId="3E3C7E59" w14:textId="77777777" w:rsidR="002849B2" w:rsidRPr="00756936" w:rsidRDefault="002849B2" w:rsidP="002849B2">
            <w:pPr>
              <w:autoSpaceDE w:val="0"/>
              <w:autoSpaceDN w:val="0"/>
              <w:adjustRightInd w:val="0"/>
              <w:spacing w:after="0"/>
              <w:rPr>
                <w:rFonts w:eastAsiaTheme="minorHAnsi" w:cs="Arial"/>
                <w:sz w:val="14"/>
                <w:szCs w:val="14"/>
                <w:lang w:eastAsia="en-US"/>
              </w:rPr>
            </w:pPr>
          </w:p>
          <w:p w14:paraId="31C7FE1D" w14:textId="77777777" w:rsidR="002849B2" w:rsidRPr="00756936" w:rsidRDefault="002849B2" w:rsidP="002849B2">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Hepatitis B and C employment involving contact</w:t>
            </w:r>
          </w:p>
          <w:p w14:paraId="0CE38D60" w14:textId="3C8F29D5" w:rsidR="002849B2" w:rsidRPr="001A7A6B" w:rsidRDefault="002849B2" w:rsidP="002849B2">
            <w:pPr>
              <w:pStyle w:val="Table7pttext"/>
              <w:spacing w:after="60"/>
            </w:pPr>
            <w:r w:rsidRPr="00756936">
              <w:t>with human bodily secretions</w:t>
            </w:r>
          </w:p>
        </w:tc>
        <w:tc>
          <w:tcPr>
            <w:tcW w:w="1503" w:type="dxa"/>
            <w:shd w:val="clear" w:color="auto" w:fill="FFC9C9"/>
            <w:tcMar>
              <w:top w:w="80" w:type="dxa"/>
              <w:left w:w="80" w:type="dxa"/>
              <w:bottom w:w="80" w:type="dxa"/>
              <w:right w:w="80" w:type="dxa"/>
            </w:tcMar>
          </w:tcPr>
          <w:p w14:paraId="10B35559"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4ADDF705" w14:textId="77777777" w:rsidR="002849B2" w:rsidRPr="001A7A6B" w:rsidRDefault="002849B2" w:rsidP="00292A53">
            <w:pPr>
              <w:pStyle w:val="Table7pttext"/>
              <w:spacing w:after="60"/>
            </w:pPr>
            <w:r w:rsidRPr="001A7A6B">
              <w:t>—</w:t>
            </w:r>
          </w:p>
        </w:tc>
      </w:tr>
      <w:tr w:rsidR="002849B2" w:rsidRPr="001A7A6B" w14:paraId="090E2124" w14:textId="77777777" w:rsidTr="00FB729B">
        <w:trPr>
          <w:cantSplit/>
        </w:trPr>
        <w:tc>
          <w:tcPr>
            <w:tcW w:w="1564" w:type="dxa"/>
            <w:tcMar>
              <w:top w:w="80" w:type="dxa"/>
              <w:left w:w="80" w:type="dxa"/>
              <w:bottom w:w="80" w:type="dxa"/>
              <w:right w:w="80" w:type="dxa"/>
            </w:tcMar>
          </w:tcPr>
          <w:p w14:paraId="66B32894" w14:textId="77777777" w:rsidR="002849B2" w:rsidRPr="001A7A6B" w:rsidRDefault="002849B2" w:rsidP="00292A53">
            <w:pPr>
              <w:pStyle w:val="TableColumn1bold"/>
              <w:spacing w:after="60"/>
            </w:pPr>
            <w:r w:rsidRPr="001A7A6B">
              <w:t>Human immunodeficiency virus (HIV)</w:t>
            </w:r>
          </w:p>
        </w:tc>
        <w:tc>
          <w:tcPr>
            <w:tcW w:w="1503" w:type="dxa"/>
            <w:tcMar>
              <w:top w:w="80" w:type="dxa"/>
              <w:left w:w="80" w:type="dxa"/>
              <w:bottom w:w="80" w:type="dxa"/>
              <w:right w:w="80" w:type="dxa"/>
            </w:tcMar>
          </w:tcPr>
          <w:p w14:paraId="02289AB3"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6AC36BD7"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660CF464" w14:textId="60515F43" w:rsidR="002849B2" w:rsidRPr="001A7A6B" w:rsidRDefault="002849B2" w:rsidP="009B7F44">
            <w:pPr>
              <w:pStyle w:val="Table7pttext"/>
              <w:spacing w:after="60"/>
            </w:pPr>
            <w:r>
              <w:t>HIV (</w:t>
            </w:r>
            <w:hyperlink r:id="rId2215" w:history="1">
              <w:r w:rsidRPr="009B7F44">
                <w:rPr>
                  <w:rStyle w:val="Hyperlink"/>
                </w:rPr>
                <w:t>s31F</w:t>
              </w:r>
            </w:hyperlink>
            <w:r w:rsidR="009B7F44">
              <w:t xml:space="preserve"> of the </w:t>
            </w:r>
            <w:r w:rsidR="009B7F44" w:rsidRPr="00016069">
              <w:rPr>
                <w:i/>
              </w:rPr>
              <w:t>Workers’ Compensation and Injury Management Act 1981</w:t>
            </w:r>
            <w:r>
              <w:t>)</w:t>
            </w:r>
          </w:p>
        </w:tc>
        <w:tc>
          <w:tcPr>
            <w:tcW w:w="1503" w:type="dxa"/>
            <w:tcMar>
              <w:top w:w="80" w:type="dxa"/>
              <w:left w:w="80" w:type="dxa"/>
              <w:bottom w:w="80" w:type="dxa"/>
              <w:right w:w="80" w:type="dxa"/>
            </w:tcMar>
          </w:tcPr>
          <w:p w14:paraId="1A0896A4"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5687E426" w14:textId="77777777" w:rsidR="002849B2" w:rsidRPr="001A7A6B" w:rsidRDefault="002849B2" w:rsidP="00292A53">
            <w:pPr>
              <w:pStyle w:val="Table7pttext"/>
              <w:spacing w:after="60"/>
            </w:pPr>
            <w:r w:rsidRPr="001A7A6B">
              <w:t>Infectious or parasitic diseases contracted in an occupation where there is a particular risk of exposure to the agent responsible.</w:t>
            </w:r>
          </w:p>
        </w:tc>
        <w:tc>
          <w:tcPr>
            <w:tcW w:w="1503" w:type="dxa"/>
            <w:tcMar>
              <w:top w:w="80" w:type="dxa"/>
              <w:left w:w="80" w:type="dxa"/>
              <w:bottom w:w="80" w:type="dxa"/>
              <w:right w:w="80" w:type="dxa"/>
            </w:tcMar>
          </w:tcPr>
          <w:p w14:paraId="36486617" w14:textId="0FA4EC07" w:rsidR="002849B2" w:rsidRPr="001A7A6B" w:rsidRDefault="002849B2" w:rsidP="00292A53">
            <w:pPr>
              <w:pStyle w:val="Table7pttext"/>
              <w:spacing w:after="60"/>
            </w:pPr>
            <w:r w:rsidRPr="00E469EF">
              <w:t>HIV/A.I.D.S</w:t>
            </w:r>
          </w:p>
        </w:tc>
        <w:tc>
          <w:tcPr>
            <w:tcW w:w="1504" w:type="dxa"/>
            <w:tcMar>
              <w:top w:w="80" w:type="dxa"/>
              <w:left w:w="80" w:type="dxa"/>
              <w:bottom w:w="80" w:type="dxa"/>
              <w:right w:w="80" w:type="dxa"/>
            </w:tcMar>
          </w:tcPr>
          <w:p w14:paraId="6FB5E188" w14:textId="77777777" w:rsidR="002849B2" w:rsidRDefault="002849B2" w:rsidP="002849B2">
            <w:pPr>
              <w:autoSpaceDE w:val="0"/>
              <w:autoSpaceDN w:val="0"/>
              <w:adjustRightInd w:val="0"/>
              <w:spacing w:after="0"/>
              <w:rPr>
                <w:rFonts w:cs="Arial"/>
                <w:sz w:val="14"/>
                <w:szCs w:val="14"/>
              </w:rPr>
            </w:pPr>
            <w:r>
              <w:rPr>
                <w:rFonts w:cs="Arial"/>
                <w:sz w:val="14"/>
                <w:szCs w:val="14"/>
              </w:rPr>
              <w:t>HIV</w:t>
            </w:r>
          </w:p>
          <w:p w14:paraId="2F9A1758" w14:textId="77777777" w:rsidR="002849B2" w:rsidRPr="00756936" w:rsidRDefault="002849B2" w:rsidP="002849B2">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health care worker or laboratory</w:t>
            </w:r>
          </w:p>
          <w:p w14:paraId="457E44E3" w14:textId="77777777" w:rsidR="002849B2" w:rsidRPr="00756936" w:rsidRDefault="002849B2" w:rsidP="002849B2">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worker who becomes HIV</w:t>
            </w:r>
          </w:p>
          <w:p w14:paraId="1281437F" w14:textId="76C350FA" w:rsidR="002849B2" w:rsidRPr="001A7A6B" w:rsidRDefault="002849B2" w:rsidP="002849B2">
            <w:pPr>
              <w:pStyle w:val="Table7pttext"/>
              <w:spacing w:after="60"/>
            </w:pPr>
            <w:r w:rsidRPr="00756936">
              <w:t>positive after a needlestick injury</w:t>
            </w:r>
          </w:p>
        </w:tc>
        <w:tc>
          <w:tcPr>
            <w:tcW w:w="1503" w:type="dxa"/>
            <w:tcMar>
              <w:top w:w="80" w:type="dxa"/>
              <w:left w:w="80" w:type="dxa"/>
              <w:bottom w:w="80" w:type="dxa"/>
              <w:right w:w="80" w:type="dxa"/>
            </w:tcMar>
          </w:tcPr>
          <w:p w14:paraId="04070907"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1CF1F343" w14:textId="77777777" w:rsidR="002849B2" w:rsidRPr="001A7A6B" w:rsidRDefault="002849B2" w:rsidP="00292A53">
            <w:pPr>
              <w:pStyle w:val="Table7pttext"/>
              <w:spacing w:after="60"/>
            </w:pPr>
            <w:r w:rsidRPr="001A7A6B">
              <w:t>—</w:t>
            </w:r>
          </w:p>
        </w:tc>
      </w:tr>
      <w:tr w:rsidR="002849B2" w:rsidRPr="001A7A6B" w14:paraId="4E4B6501" w14:textId="77777777" w:rsidTr="00FB729B">
        <w:trPr>
          <w:cantSplit/>
        </w:trPr>
        <w:tc>
          <w:tcPr>
            <w:tcW w:w="1564" w:type="dxa"/>
            <w:shd w:val="clear" w:color="auto" w:fill="FFC9C9"/>
            <w:tcMar>
              <w:top w:w="80" w:type="dxa"/>
              <w:left w:w="80" w:type="dxa"/>
              <w:bottom w:w="80" w:type="dxa"/>
              <w:right w:w="80" w:type="dxa"/>
            </w:tcMar>
          </w:tcPr>
          <w:p w14:paraId="7E1A26B5" w14:textId="77777777" w:rsidR="002849B2" w:rsidRPr="001A7A6B" w:rsidRDefault="002849B2" w:rsidP="00292A53">
            <w:pPr>
              <w:pStyle w:val="TableColumn1bold"/>
              <w:spacing w:after="60"/>
            </w:pPr>
            <w:r w:rsidRPr="001A7A6B">
              <w:t>Leptospirosis</w:t>
            </w:r>
          </w:p>
        </w:tc>
        <w:tc>
          <w:tcPr>
            <w:tcW w:w="1503" w:type="dxa"/>
            <w:shd w:val="clear" w:color="auto" w:fill="FFC9C9"/>
            <w:tcMar>
              <w:top w:w="80" w:type="dxa"/>
              <w:left w:w="80" w:type="dxa"/>
              <w:bottom w:w="80" w:type="dxa"/>
              <w:right w:w="80" w:type="dxa"/>
            </w:tcMar>
          </w:tcPr>
          <w:p w14:paraId="4C4BFCA4" w14:textId="77777777" w:rsidR="002849B2" w:rsidRPr="001A7A6B" w:rsidRDefault="002849B2" w:rsidP="00292A53">
            <w:pPr>
              <w:pStyle w:val="Table7pttext"/>
              <w:spacing w:after="60"/>
            </w:pPr>
            <w:r w:rsidRPr="001A7A6B">
              <w:t>Leptospirosis.</w:t>
            </w:r>
          </w:p>
          <w:p w14:paraId="1A280868" w14:textId="790E3AE3" w:rsidR="002849B2" w:rsidRPr="001A7A6B" w:rsidRDefault="002849B2" w:rsidP="00292A53">
            <w:pPr>
              <w:pStyle w:val="Table7pttext"/>
              <w:spacing w:after="60"/>
            </w:pPr>
            <w:r w:rsidRPr="001A7A6B">
              <w:t>(</w:t>
            </w:r>
            <w:hyperlink r:id="rId2216" w:history="1">
              <w:r w:rsidRPr="00E46A02">
                <w:rPr>
                  <w:rStyle w:val="Hyperlink"/>
                </w:rPr>
                <w:t>Schedule 1</w:t>
              </w:r>
            </w:hyperlink>
            <w:r w:rsidRPr="001A7A6B">
              <w:t xml:space="preserve"> of the Workers’ Compensation Regulation 201</w:t>
            </w:r>
            <w:r>
              <w:t>6</w:t>
            </w:r>
            <w:r w:rsidRPr="001A7A6B">
              <w:t>)</w:t>
            </w:r>
          </w:p>
        </w:tc>
        <w:tc>
          <w:tcPr>
            <w:tcW w:w="1503" w:type="dxa"/>
            <w:shd w:val="clear" w:color="auto" w:fill="FFC9C9"/>
            <w:tcMar>
              <w:top w:w="80" w:type="dxa"/>
              <w:left w:w="80" w:type="dxa"/>
              <w:bottom w:w="80" w:type="dxa"/>
              <w:right w:w="80" w:type="dxa"/>
            </w:tcMar>
          </w:tcPr>
          <w:p w14:paraId="0CD735AE" w14:textId="1D1A4464" w:rsidR="002849B2" w:rsidRPr="001A7A6B" w:rsidRDefault="002849B2" w:rsidP="00292A53">
            <w:pPr>
              <w:pStyle w:val="Table7pttext"/>
              <w:spacing w:after="60"/>
            </w:pPr>
            <w:r>
              <w:t>Leptospirosis</w:t>
            </w:r>
          </w:p>
        </w:tc>
        <w:tc>
          <w:tcPr>
            <w:tcW w:w="1504" w:type="dxa"/>
            <w:shd w:val="clear" w:color="auto" w:fill="FFC9C9"/>
            <w:tcMar>
              <w:top w:w="80" w:type="dxa"/>
              <w:left w:w="80" w:type="dxa"/>
              <w:bottom w:w="80" w:type="dxa"/>
              <w:right w:w="80" w:type="dxa"/>
            </w:tcMar>
          </w:tcPr>
          <w:p w14:paraId="37331B05" w14:textId="7F0087EA" w:rsidR="002849B2" w:rsidRPr="001A7A6B" w:rsidRDefault="002849B2" w:rsidP="00292A53">
            <w:pPr>
              <w:pStyle w:val="Table7pttext"/>
              <w:spacing w:after="60"/>
            </w:pPr>
            <w:r>
              <w:t>Leptospirosis</w:t>
            </w:r>
          </w:p>
        </w:tc>
        <w:tc>
          <w:tcPr>
            <w:tcW w:w="1503" w:type="dxa"/>
            <w:shd w:val="clear" w:color="auto" w:fill="FFC9C9"/>
            <w:tcMar>
              <w:top w:w="80" w:type="dxa"/>
              <w:left w:w="80" w:type="dxa"/>
              <w:bottom w:w="80" w:type="dxa"/>
              <w:right w:w="80" w:type="dxa"/>
            </w:tcMar>
          </w:tcPr>
          <w:p w14:paraId="3EA05B3E" w14:textId="7DDE6F90" w:rsidR="002849B2" w:rsidRPr="001A7A6B" w:rsidRDefault="002849B2" w:rsidP="00292A53">
            <w:pPr>
              <w:pStyle w:val="Table7pttext"/>
              <w:spacing w:after="60"/>
            </w:pPr>
            <w:r>
              <w:t>Leptospirosis</w:t>
            </w:r>
          </w:p>
        </w:tc>
        <w:tc>
          <w:tcPr>
            <w:tcW w:w="1504" w:type="dxa"/>
            <w:shd w:val="clear" w:color="auto" w:fill="FFC9C9"/>
            <w:tcMar>
              <w:top w:w="80" w:type="dxa"/>
              <w:left w:w="80" w:type="dxa"/>
              <w:bottom w:w="80" w:type="dxa"/>
              <w:right w:w="80" w:type="dxa"/>
            </w:tcMar>
          </w:tcPr>
          <w:p w14:paraId="28D93DDB" w14:textId="08C7222A" w:rsidR="002849B2" w:rsidRPr="001A7A6B" w:rsidRDefault="002849B2" w:rsidP="00A76698">
            <w:pPr>
              <w:pStyle w:val="Table7pttext"/>
              <w:spacing w:after="60"/>
            </w:pPr>
            <w:r w:rsidRPr="001A7A6B">
              <w:t>Infectious or parasitic diseases contracted in an occupation where there is a particular risk of exposure to the agent responsible</w:t>
            </w:r>
          </w:p>
        </w:tc>
        <w:tc>
          <w:tcPr>
            <w:tcW w:w="1503" w:type="dxa"/>
            <w:shd w:val="clear" w:color="auto" w:fill="FFC9C9"/>
            <w:tcMar>
              <w:top w:w="80" w:type="dxa"/>
              <w:left w:w="80" w:type="dxa"/>
              <w:bottom w:w="80" w:type="dxa"/>
              <w:right w:w="80" w:type="dxa"/>
            </w:tcMar>
          </w:tcPr>
          <w:p w14:paraId="3126B65A" w14:textId="6A55112F" w:rsidR="002849B2" w:rsidRPr="001A7A6B" w:rsidRDefault="002849B2" w:rsidP="00292A53">
            <w:pPr>
              <w:pStyle w:val="Table7pttext"/>
              <w:spacing w:after="60"/>
            </w:pPr>
            <w:r>
              <w:t>Leptospirosis</w:t>
            </w:r>
          </w:p>
        </w:tc>
        <w:tc>
          <w:tcPr>
            <w:tcW w:w="1504" w:type="dxa"/>
            <w:shd w:val="clear" w:color="auto" w:fill="FFC9C9"/>
            <w:tcMar>
              <w:top w:w="80" w:type="dxa"/>
              <w:left w:w="80" w:type="dxa"/>
              <w:bottom w:w="80" w:type="dxa"/>
              <w:right w:w="80" w:type="dxa"/>
            </w:tcMar>
          </w:tcPr>
          <w:p w14:paraId="518B2640" w14:textId="77777777" w:rsidR="002849B2" w:rsidRPr="00756936" w:rsidRDefault="002849B2" w:rsidP="002849B2">
            <w:pPr>
              <w:autoSpaceDE w:val="0"/>
              <w:autoSpaceDN w:val="0"/>
              <w:adjustRightInd w:val="0"/>
              <w:spacing w:after="0"/>
              <w:rPr>
                <w:rFonts w:eastAsiaTheme="minorHAnsi" w:cs="Arial"/>
                <w:sz w:val="14"/>
                <w:szCs w:val="14"/>
                <w:lang w:eastAsia="en-US"/>
              </w:rPr>
            </w:pPr>
            <w:r w:rsidRPr="00756936">
              <w:rPr>
                <w:sz w:val="14"/>
                <w:szCs w:val="14"/>
              </w:rPr>
              <w:t>Leptospirosis</w:t>
            </w:r>
            <w:r w:rsidRPr="008516B9">
              <w:rPr>
                <w:rFonts w:cs="Arial"/>
                <w:sz w:val="14"/>
                <w:szCs w:val="14"/>
              </w:rPr>
              <w:t xml:space="preserve"> </w:t>
            </w:r>
            <w:r w:rsidRPr="00756936">
              <w:rPr>
                <w:rFonts w:eastAsiaTheme="minorHAnsi" w:cs="Arial"/>
                <w:sz w:val="14"/>
                <w:szCs w:val="14"/>
                <w:lang w:eastAsia="en-US"/>
              </w:rPr>
              <w:t>employment involving work with</w:t>
            </w:r>
          </w:p>
          <w:p w14:paraId="62473DBD" w14:textId="77777777" w:rsidR="002849B2" w:rsidRPr="00756936" w:rsidRDefault="002849B2" w:rsidP="002849B2">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animals or animal carcasses or work with animal or</w:t>
            </w:r>
          </w:p>
          <w:p w14:paraId="352E7296" w14:textId="5D8E9EE6" w:rsidR="002849B2" w:rsidRPr="001A7A6B" w:rsidRDefault="002849B2" w:rsidP="002849B2">
            <w:pPr>
              <w:pStyle w:val="Table7pttext"/>
              <w:spacing w:after="60"/>
            </w:pPr>
            <w:r w:rsidRPr="00756936">
              <w:t>human waste</w:t>
            </w:r>
            <w:r>
              <w:t>.</w:t>
            </w:r>
          </w:p>
        </w:tc>
        <w:tc>
          <w:tcPr>
            <w:tcW w:w="1503" w:type="dxa"/>
            <w:shd w:val="clear" w:color="auto" w:fill="FFC9C9"/>
            <w:tcMar>
              <w:top w:w="80" w:type="dxa"/>
              <w:left w:w="80" w:type="dxa"/>
              <w:bottom w:w="80" w:type="dxa"/>
              <w:right w:w="80" w:type="dxa"/>
            </w:tcMar>
          </w:tcPr>
          <w:p w14:paraId="51EEC0CE"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4F677048" w14:textId="655C2DA3" w:rsidR="002849B2" w:rsidRPr="001A7A6B" w:rsidRDefault="002849B2" w:rsidP="00292A53">
            <w:pPr>
              <w:pStyle w:val="Table7pttext"/>
              <w:spacing w:after="60"/>
            </w:pPr>
            <w:r w:rsidRPr="001A7A6B">
              <w:t xml:space="preserve">Leptospirosis diagnosed as caused by working </w:t>
            </w:r>
            <w:r>
              <w:t>with animals or their carcasses</w:t>
            </w:r>
          </w:p>
        </w:tc>
      </w:tr>
      <w:tr w:rsidR="002849B2" w:rsidRPr="001A7A6B" w14:paraId="76C0F21A" w14:textId="77777777" w:rsidTr="00FB729B">
        <w:trPr>
          <w:cantSplit/>
        </w:trPr>
        <w:tc>
          <w:tcPr>
            <w:tcW w:w="1564" w:type="dxa"/>
            <w:tcMar>
              <w:top w:w="80" w:type="dxa"/>
              <w:left w:w="80" w:type="dxa"/>
              <w:bottom w:w="80" w:type="dxa"/>
              <w:right w:w="80" w:type="dxa"/>
            </w:tcMar>
          </w:tcPr>
          <w:p w14:paraId="3D6EB1F4" w14:textId="77777777" w:rsidR="002849B2" w:rsidRPr="001A7A6B" w:rsidRDefault="002849B2" w:rsidP="00292A53">
            <w:pPr>
              <w:pStyle w:val="TableColumn1bold"/>
              <w:spacing w:after="60"/>
            </w:pPr>
            <w:r w:rsidRPr="001A7A6B">
              <w:lastRenderedPageBreak/>
              <w:t>Diseases caused by other biological agents at work not mentioned in the preceding terms</w:t>
            </w:r>
          </w:p>
        </w:tc>
        <w:tc>
          <w:tcPr>
            <w:tcW w:w="1503" w:type="dxa"/>
            <w:tcMar>
              <w:top w:w="80" w:type="dxa"/>
              <w:left w:w="80" w:type="dxa"/>
              <w:bottom w:w="80" w:type="dxa"/>
              <w:right w:w="80" w:type="dxa"/>
            </w:tcMar>
          </w:tcPr>
          <w:p w14:paraId="5AADA845" w14:textId="77777777" w:rsidR="002849B2" w:rsidRPr="001A7A6B" w:rsidRDefault="002849B2" w:rsidP="00292A53">
            <w:pPr>
              <w:pStyle w:val="Table7pttext"/>
              <w:spacing w:after="60"/>
            </w:pPr>
            <w:r w:rsidRPr="001A7A6B">
              <w:t>Q fever.</w:t>
            </w:r>
          </w:p>
          <w:p w14:paraId="531D359C" w14:textId="6E5C0D44" w:rsidR="002849B2" w:rsidRPr="001A7A6B" w:rsidRDefault="002849B2" w:rsidP="00292A53">
            <w:pPr>
              <w:pStyle w:val="Table7pttext"/>
              <w:spacing w:after="60"/>
            </w:pPr>
            <w:r w:rsidRPr="001A7A6B">
              <w:t>(</w:t>
            </w:r>
            <w:hyperlink r:id="rId2217" w:history="1">
              <w:r w:rsidRPr="009B7F44">
                <w:rPr>
                  <w:rStyle w:val="Hyperlink"/>
                </w:rPr>
                <w:t>Schedule 1</w:t>
              </w:r>
            </w:hyperlink>
            <w:r w:rsidRPr="001A7A6B">
              <w:t xml:space="preserve"> of the Workers’ Compensation Regulation 201</w:t>
            </w:r>
            <w:r>
              <w:t>6</w:t>
            </w:r>
            <w:r w:rsidRPr="001A7A6B">
              <w:t>)</w:t>
            </w:r>
          </w:p>
        </w:tc>
        <w:tc>
          <w:tcPr>
            <w:tcW w:w="1503" w:type="dxa"/>
            <w:tcMar>
              <w:top w:w="80" w:type="dxa"/>
              <w:left w:w="80" w:type="dxa"/>
              <w:bottom w:w="80" w:type="dxa"/>
              <w:right w:w="80" w:type="dxa"/>
            </w:tcMar>
          </w:tcPr>
          <w:p w14:paraId="229E73A5" w14:textId="77777777" w:rsidR="002849B2" w:rsidRPr="001A7A6B" w:rsidRDefault="002849B2" w:rsidP="00292A53">
            <w:pPr>
              <w:pStyle w:val="Table7pttext"/>
              <w:spacing w:after="60"/>
            </w:pPr>
            <w:r w:rsidRPr="001A7A6B">
              <w:t>Q fever as caused by the micro-organism Coxiella burnetii (also known as Rickettsia burneti), in any of its clinical manifestations [abattoirs, slaughterhouses, knackeries].</w:t>
            </w:r>
          </w:p>
          <w:p w14:paraId="33C74FD8" w14:textId="0067ADA1" w:rsidR="002849B2" w:rsidRPr="001A7A6B" w:rsidRDefault="002849B2" w:rsidP="00292A53">
            <w:pPr>
              <w:pStyle w:val="Table7pttext"/>
              <w:spacing w:after="60"/>
            </w:pPr>
            <w:r w:rsidRPr="001A7A6B">
              <w:t xml:space="preserve">Septic poisoning or its sequelae (from meat, </w:t>
            </w:r>
            <w:r>
              <w:t>meat products, animal products)</w:t>
            </w:r>
          </w:p>
        </w:tc>
        <w:tc>
          <w:tcPr>
            <w:tcW w:w="1504" w:type="dxa"/>
            <w:tcMar>
              <w:top w:w="80" w:type="dxa"/>
              <w:left w:w="80" w:type="dxa"/>
              <w:bottom w:w="80" w:type="dxa"/>
              <w:right w:w="80" w:type="dxa"/>
            </w:tcMar>
          </w:tcPr>
          <w:p w14:paraId="004ECF37" w14:textId="77777777" w:rsidR="002849B2" w:rsidRPr="001A7A6B" w:rsidRDefault="002849B2" w:rsidP="00292A53">
            <w:pPr>
              <w:pStyle w:val="Table7pttext"/>
              <w:spacing w:after="60"/>
            </w:pPr>
            <w:r w:rsidRPr="001A7A6B">
              <w:t>Communicable diseases.</w:t>
            </w:r>
          </w:p>
          <w:p w14:paraId="6A7017DE" w14:textId="77777777" w:rsidR="002849B2" w:rsidRPr="001A7A6B" w:rsidRDefault="002849B2" w:rsidP="00292A53">
            <w:pPr>
              <w:pStyle w:val="Table7pttext"/>
              <w:spacing w:after="60"/>
            </w:pPr>
            <w:r w:rsidRPr="001A7A6B">
              <w:t>Endemic typhus.</w:t>
            </w:r>
          </w:p>
          <w:p w14:paraId="695083E7" w14:textId="77777777" w:rsidR="002849B2" w:rsidRPr="001A7A6B" w:rsidRDefault="002849B2" w:rsidP="00292A53">
            <w:pPr>
              <w:pStyle w:val="Table7pttext"/>
              <w:spacing w:after="60"/>
            </w:pPr>
            <w:r w:rsidRPr="001A7A6B">
              <w:t>Scrub typhus.</w:t>
            </w:r>
          </w:p>
          <w:p w14:paraId="50E11E7E" w14:textId="77777777" w:rsidR="002849B2" w:rsidRPr="001A7A6B" w:rsidRDefault="002849B2" w:rsidP="00292A53">
            <w:pPr>
              <w:pStyle w:val="Table7pttext"/>
              <w:spacing w:after="60"/>
            </w:pPr>
            <w:r w:rsidRPr="001A7A6B">
              <w:t>Brill’s disease.</w:t>
            </w:r>
          </w:p>
          <w:p w14:paraId="675B9EFD" w14:textId="77777777" w:rsidR="002849B2" w:rsidRPr="001A7A6B" w:rsidRDefault="002849B2" w:rsidP="00292A53">
            <w:pPr>
              <w:pStyle w:val="Table7pttext"/>
              <w:spacing w:after="60"/>
            </w:pPr>
            <w:r w:rsidRPr="001A7A6B">
              <w:t>Swineherds disease.</w:t>
            </w:r>
          </w:p>
          <w:p w14:paraId="40EF3A3C" w14:textId="77777777" w:rsidR="002849B2" w:rsidRPr="001A7A6B" w:rsidRDefault="002849B2" w:rsidP="00292A53">
            <w:pPr>
              <w:pStyle w:val="Table7pttext"/>
              <w:spacing w:after="60"/>
            </w:pPr>
            <w:r w:rsidRPr="001A7A6B">
              <w:t>Plague.</w:t>
            </w:r>
          </w:p>
          <w:p w14:paraId="3499DFF9" w14:textId="77777777" w:rsidR="002849B2" w:rsidRPr="001A7A6B" w:rsidRDefault="002849B2" w:rsidP="00292A53">
            <w:pPr>
              <w:pStyle w:val="Table7pttext"/>
              <w:spacing w:after="60"/>
            </w:pPr>
            <w:r w:rsidRPr="001A7A6B">
              <w:t>Mite dermatitis.</w:t>
            </w:r>
          </w:p>
          <w:p w14:paraId="0E321493" w14:textId="77777777" w:rsidR="002849B2" w:rsidRPr="001A7A6B" w:rsidRDefault="002849B2" w:rsidP="00292A53">
            <w:pPr>
              <w:pStyle w:val="Table7pttext"/>
              <w:spacing w:after="60"/>
            </w:pPr>
            <w:r w:rsidRPr="001A7A6B">
              <w:t>Scrub itch.</w:t>
            </w:r>
          </w:p>
          <w:p w14:paraId="324BF8F6" w14:textId="1F843875" w:rsidR="002849B2" w:rsidRPr="001A7A6B" w:rsidRDefault="002849B2" w:rsidP="00292A53">
            <w:pPr>
              <w:pStyle w:val="Table7pttext"/>
              <w:spacing w:after="60"/>
            </w:pPr>
            <w:r w:rsidRPr="001A7A6B">
              <w:t>AIDS (</w:t>
            </w:r>
            <w:hyperlink r:id="rId2218" w:history="1">
              <w:r w:rsidR="009B7F44" w:rsidRPr="009B7F44">
                <w:rPr>
                  <w:rStyle w:val="Hyperlink"/>
                </w:rPr>
                <w:t>s31F</w:t>
              </w:r>
            </w:hyperlink>
            <w:r w:rsidR="009B7F44">
              <w:t xml:space="preserve"> of the 1981 Act</w:t>
            </w:r>
            <w:r>
              <w:t>)</w:t>
            </w:r>
          </w:p>
          <w:p w14:paraId="279AB9A1" w14:textId="77777777" w:rsidR="002849B2" w:rsidRPr="001A7A6B" w:rsidRDefault="002849B2" w:rsidP="00292A53">
            <w:pPr>
              <w:pStyle w:val="Table7pttext"/>
              <w:spacing w:after="60"/>
            </w:pPr>
          </w:p>
        </w:tc>
        <w:tc>
          <w:tcPr>
            <w:tcW w:w="1503" w:type="dxa"/>
            <w:tcMar>
              <w:top w:w="80" w:type="dxa"/>
              <w:left w:w="80" w:type="dxa"/>
              <w:bottom w:w="80" w:type="dxa"/>
              <w:right w:w="80" w:type="dxa"/>
            </w:tcMar>
          </w:tcPr>
          <w:p w14:paraId="75D01B2B" w14:textId="77777777" w:rsidR="002849B2" w:rsidRDefault="002849B2" w:rsidP="00292A53">
            <w:pPr>
              <w:pStyle w:val="Table7pttext"/>
              <w:spacing w:after="60"/>
            </w:pPr>
            <w:r>
              <w:t>Ankylostomiasis (mining).</w:t>
            </w:r>
          </w:p>
          <w:p w14:paraId="4BAF3DFA" w14:textId="77777777" w:rsidR="002849B2" w:rsidRDefault="002849B2" w:rsidP="00292A53">
            <w:pPr>
              <w:pStyle w:val="Table7pttext"/>
              <w:spacing w:after="60"/>
            </w:pPr>
            <w:r>
              <w:t>Q fever.</w:t>
            </w:r>
          </w:p>
          <w:p w14:paraId="1CE97551" w14:textId="53378987" w:rsidR="002849B2" w:rsidRPr="001A7A6B" w:rsidRDefault="002849B2" w:rsidP="00292A53">
            <w:pPr>
              <w:pStyle w:val="Table7pttext"/>
              <w:spacing w:after="60"/>
            </w:pPr>
            <w:r>
              <w:t>Septic poisoning or its sequelae (from meat, meat manufacture, meat products, animal by-products with the trade of butcher or slaughterman)</w:t>
            </w:r>
          </w:p>
        </w:tc>
        <w:tc>
          <w:tcPr>
            <w:tcW w:w="1504" w:type="dxa"/>
            <w:tcMar>
              <w:top w:w="80" w:type="dxa"/>
              <w:left w:w="80" w:type="dxa"/>
              <w:bottom w:w="80" w:type="dxa"/>
              <w:right w:w="80" w:type="dxa"/>
            </w:tcMar>
          </w:tcPr>
          <w:p w14:paraId="43466191" w14:textId="1B76E7BA" w:rsidR="002849B2" w:rsidRPr="001A7A6B" w:rsidRDefault="002849B2" w:rsidP="00292A53">
            <w:pPr>
              <w:pStyle w:val="Table7pttext"/>
              <w:spacing w:after="60"/>
            </w:pPr>
            <w:r w:rsidRPr="001A7A6B">
              <w:t>Infectious or parasitic diseases contracted in an occupation where there is a particular risk of ex</w:t>
            </w:r>
            <w:r>
              <w:t>posure to the agent responsible</w:t>
            </w:r>
          </w:p>
        </w:tc>
        <w:tc>
          <w:tcPr>
            <w:tcW w:w="1503" w:type="dxa"/>
            <w:tcMar>
              <w:top w:w="80" w:type="dxa"/>
              <w:left w:w="80" w:type="dxa"/>
              <w:bottom w:w="80" w:type="dxa"/>
              <w:right w:w="80" w:type="dxa"/>
            </w:tcMar>
          </w:tcPr>
          <w:p w14:paraId="7E19D9E7" w14:textId="3BA47B20" w:rsidR="002849B2" w:rsidRPr="001A7A6B" w:rsidRDefault="002849B2" w:rsidP="00292A53">
            <w:pPr>
              <w:pStyle w:val="Table7pttext"/>
              <w:spacing w:after="60"/>
            </w:pPr>
            <w:r w:rsidRPr="00E469EF">
              <w:t>Q fever, Orf, tuberculosis</w:t>
            </w:r>
            <w:r>
              <w:fldChar w:fldCharType="begin"/>
            </w:r>
            <w:r>
              <w:instrText xml:space="preserve"> XE "</w:instrText>
            </w:r>
            <w:r w:rsidRPr="00BC3BBD">
              <w:instrText>tuberculosis</w:instrText>
            </w:r>
            <w:r>
              <w:instrText xml:space="preserve">" </w:instrText>
            </w:r>
            <w:r>
              <w:fldChar w:fldCharType="end"/>
            </w:r>
          </w:p>
        </w:tc>
        <w:tc>
          <w:tcPr>
            <w:tcW w:w="1504" w:type="dxa"/>
            <w:tcMar>
              <w:top w:w="80" w:type="dxa"/>
              <w:left w:w="80" w:type="dxa"/>
              <w:bottom w:w="80" w:type="dxa"/>
              <w:right w:w="80" w:type="dxa"/>
            </w:tcMar>
          </w:tcPr>
          <w:p w14:paraId="40C97824" w14:textId="77777777" w:rsidR="002849B2" w:rsidRPr="001A7A6B" w:rsidRDefault="002849B2" w:rsidP="00292A53">
            <w:pPr>
              <w:pStyle w:val="Table7pttext"/>
              <w:spacing w:after="60"/>
            </w:pPr>
            <w:r w:rsidRPr="001A7A6B">
              <w:t>Ankylostomiasis (mine).</w:t>
            </w:r>
          </w:p>
          <w:p w14:paraId="499249A1" w14:textId="0A5B1BEE" w:rsidR="002849B2" w:rsidRPr="001A7A6B" w:rsidRDefault="002849B2" w:rsidP="00292A53">
            <w:pPr>
              <w:pStyle w:val="Table7pttext"/>
              <w:spacing w:after="60"/>
            </w:pPr>
            <w:r w:rsidRPr="001A7A6B">
              <w:t>Q fever [</w:t>
            </w:r>
            <w:r>
              <w:t>exposure to Coxiella burnetii]</w:t>
            </w:r>
            <w:r w:rsidR="00161B88">
              <w:t>, Orf</w:t>
            </w:r>
          </w:p>
        </w:tc>
        <w:tc>
          <w:tcPr>
            <w:tcW w:w="1503" w:type="dxa"/>
            <w:tcMar>
              <w:top w:w="80" w:type="dxa"/>
              <w:left w:w="80" w:type="dxa"/>
              <w:bottom w:w="80" w:type="dxa"/>
              <w:right w:w="80" w:type="dxa"/>
            </w:tcMar>
          </w:tcPr>
          <w:p w14:paraId="0C1F8493" w14:textId="1DDE8FE2" w:rsidR="002849B2" w:rsidRPr="001A7A6B" w:rsidRDefault="002849B2" w:rsidP="00292A53">
            <w:pPr>
              <w:pStyle w:val="Table7pttext"/>
              <w:spacing w:after="60"/>
            </w:pPr>
            <w:r w:rsidRPr="001A7A6B">
              <w:t xml:space="preserve">Occupational infectious or parasitic diseases (health or laboratory work, veterinary </w:t>
            </w:r>
            <w:r>
              <w:t>work, handling of animals)</w:t>
            </w:r>
          </w:p>
        </w:tc>
        <w:tc>
          <w:tcPr>
            <w:tcW w:w="1504" w:type="dxa"/>
            <w:tcMar>
              <w:top w:w="80" w:type="dxa"/>
              <w:left w:w="80" w:type="dxa"/>
              <w:bottom w:w="80" w:type="dxa"/>
              <w:right w:w="80" w:type="dxa"/>
            </w:tcMar>
          </w:tcPr>
          <w:p w14:paraId="302DC223" w14:textId="77777777" w:rsidR="002849B2" w:rsidRPr="001A7A6B" w:rsidRDefault="002849B2" w:rsidP="00292A53">
            <w:pPr>
              <w:pStyle w:val="Table7pttext"/>
              <w:spacing w:after="60"/>
            </w:pPr>
            <w:r w:rsidRPr="001A7A6B">
              <w:t>Orf diagnosed as caused by working with animals or their carcasses.</w:t>
            </w:r>
          </w:p>
          <w:p w14:paraId="775E466E" w14:textId="64EE4659" w:rsidR="002849B2" w:rsidRPr="001A7A6B" w:rsidRDefault="002849B2" w:rsidP="00B53A65">
            <w:pPr>
              <w:pStyle w:val="Table7pttext"/>
              <w:spacing w:after="60"/>
            </w:pPr>
            <w:r w:rsidRPr="001A7A6B">
              <w:t xml:space="preserve">Streptococcus suis diagnosed as caused by working </w:t>
            </w:r>
            <w:r>
              <w:t>with animals or their carcasses</w:t>
            </w:r>
          </w:p>
        </w:tc>
      </w:tr>
      <w:tr w:rsidR="002849B2" w:rsidRPr="001A7A6B" w14:paraId="381C7A9C" w14:textId="77777777" w:rsidTr="00FB729B">
        <w:trPr>
          <w:cantSplit/>
        </w:trPr>
        <w:tc>
          <w:tcPr>
            <w:tcW w:w="1564" w:type="dxa"/>
            <w:shd w:val="clear" w:color="auto" w:fill="FFC9C9"/>
            <w:tcMar>
              <w:top w:w="80" w:type="dxa"/>
              <w:left w:w="80" w:type="dxa"/>
              <w:bottom w:w="80" w:type="dxa"/>
              <w:right w:w="80" w:type="dxa"/>
            </w:tcMar>
          </w:tcPr>
          <w:p w14:paraId="6314D14B" w14:textId="77777777" w:rsidR="002849B2" w:rsidRPr="001A7A6B" w:rsidRDefault="002849B2" w:rsidP="00292A53">
            <w:pPr>
              <w:pStyle w:val="TableColumn1bold"/>
              <w:spacing w:after="60"/>
            </w:pPr>
            <w:r w:rsidRPr="001A7A6B">
              <w:t>Asthma caused by recognised sensitizing agents or irritants inherent to the work process</w:t>
            </w:r>
          </w:p>
        </w:tc>
        <w:tc>
          <w:tcPr>
            <w:tcW w:w="1503" w:type="dxa"/>
            <w:shd w:val="clear" w:color="auto" w:fill="FFC9C9"/>
            <w:tcMar>
              <w:top w:w="80" w:type="dxa"/>
              <w:left w:w="80" w:type="dxa"/>
              <w:bottom w:w="80" w:type="dxa"/>
              <w:right w:w="80" w:type="dxa"/>
            </w:tcMar>
          </w:tcPr>
          <w:p w14:paraId="30AE2235" w14:textId="77777777" w:rsidR="002849B2" w:rsidRPr="001A7A6B" w:rsidRDefault="002849B2" w:rsidP="00292A53">
            <w:pPr>
              <w:pStyle w:val="Table7pttext"/>
              <w:spacing w:after="60"/>
            </w:pPr>
          </w:p>
        </w:tc>
        <w:tc>
          <w:tcPr>
            <w:tcW w:w="1503" w:type="dxa"/>
            <w:shd w:val="clear" w:color="auto" w:fill="FFC9C9"/>
            <w:tcMar>
              <w:top w:w="80" w:type="dxa"/>
              <w:left w:w="80" w:type="dxa"/>
              <w:bottom w:w="80" w:type="dxa"/>
              <w:right w:w="80" w:type="dxa"/>
            </w:tcMar>
          </w:tcPr>
          <w:p w14:paraId="23631DAD" w14:textId="77777777" w:rsidR="002849B2" w:rsidRPr="001A7A6B" w:rsidRDefault="002849B2" w:rsidP="00292A53">
            <w:pPr>
              <w:pStyle w:val="Table7pttext"/>
              <w:spacing w:after="60"/>
            </w:pPr>
          </w:p>
        </w:tc>
        <w:tc>
          <w:tcPr>
            <w:tcW w:w="1504" w:type="dxa"/>
            <w:shd w:val="clear" w:color="auto" w:fill="FFC9C9"/>
            <w:tcMar>
              <w:top w:w="80" w:type="dxa"/>
              <w:left w:w="80" w:type="dxa"/>
              <w:bottom w:w="80" w:type="dxa"/>
              <w:right w:w="80" w:type="dxa"/>
            </w:tcMar>
          </w:tcPr>
          <w:p w14:paraId="2C764832" w14:textId="3DC1AF7E" w:rsidR="002849B2" w:rsidRPr="001A7A6B" w:rsidRDefault="002849B2" w:rsidP="00292A53">
            <w:pPr>
              <w:pStyle w:val="Table7pttext"/>
              <w:spacing w:after="60"/>
            </w:pPr>
            <w:r w:rsidRPr="001A7A6B">
              <w:t>Occupational asthma caused by sensitizing agents or irritan</w:t>
            </w:r>
            <w:r>
              <w:t>ts inherent to the work process</w:t>
            </w:r>
          </w:p>
        </w:tc>
        <w:tc>
          <w:tcPr>
            <w:tcW w:w="1503" w:type="dxa"/>
            <w:shd w:val="clear" w:color="auto" w:fill="FFC9C9"/>
            <w:tcMar>
              <w:top w:w="80" w:type="dxa"/>
              <w:left w:w="80" w:type="dxa"/>
              <w:bottom w:w="80" w:type="dxa"/>
              <w:right w:w="80" w:type="dxa"/>
            </w:tcMar>
          </w:tcPr>
          <w:p w14:paraId="50BC718B" w14:textId="11FBBCCE" w:rsidR="002849B2" w:rsidRPr="001A7A6B" w:rsidRDefault="002849B2" w:rsidP="00292A53">
            <w:pPr>
              <w:pStyle w:val="Table7pttext"/>
              <w:spacing w:after="60"/>
            </w:pPr>
            <w:r w:rsidRPr="001A7A6B">
              <w:t>Asthma or asthmatic attacks (dust of red pine, western red cedar</w:t>
            </w:r>
            <w:r>
              <w:t>, blackwood, flour, flour dust)</w:t>
            </w:r>
          </w:p>
        </w:tc>
        <w:tc>
          <w:tcPr>
            <w:tcW w:w="1504" w:type="dxa"/>
            <w:shd w:val="clear" w:color="auto" w:fill="FFC9C9"/>
            <w:tcMar>
              <w:top w:w="80" w:type="dxa"/>
              <w:left w:w="80" w:type="dxa"/>
              <w:bottom w:w="80" w:type="dxa"/>
              <w:right w:w="80" w:type="dxa"/>
            </w:tcMar>
          </w:tcPr>
          <w:p w14:paraId="685CB0FE" w14:textId="0186E2F6" w:rsidR="002849B2" w:rsidRPr="001A7A6B" w:rsidRDefault="002849B2" w:rsidP="00292A53">
            <w:pPr>
              <w:pStyle w:val="Table7pttext"/>
              <w:spacing w:after="60"/>
            </w:pPr>
            <w:r w:rsidRPr="001A7A6B">
              <w:t>An asthmatic condition caused by fumes resulting from the primary aluminium smelting process</w:t>
            </w:r>
          </w:p>
        </w:tc>
        <w:tc>
          <w:tcPr>
            <w:tcW w:w="1503" w:type="dxa"/>
            <w:shd w:val="clear" w:color="auto" w:fill="FFC9C9"/>
            <w:tcMar>
              <w:top w:w="80" w:type="dxa"/>
              <w:left w:w="80" w:type="dxa"/>
              <w:bottom w:w="80" w:type="dxa"/>
              <w:right w:w="80" w:type="dxa"/>
            </w:tcMar>
          </w:tcPr>
          <w:p w14:paraId="46FEF5C3" w14:textId="228F117D" w:rsidR="002849B2" w:rsidRPr="001A7A6B" w:rsidRDefault="002849B2" w:rsidP="00292A53">
            <w:pPr>
              <w:pStyle w:val="Table7pttext"/>
              <w:spacing w:after="60"/>
            </w:pPr>
            <w:r w:rsidRPr="00E469EF">
              <w:t>Occupational asthma (excluding pre-existing asthma worsened due to e</w:t>
            </w:r>
            <w:r>
              <w:t>xposure to workplace irritants)</w:t>
            </w:r>
          </w:p>
        </w:tc>
        <w:tc>
          <w:tcPr>
            <w:tcW w:w="1504" w:type="dxa"/>
            <w:shd w:val="clear" w:color="auto" w:fill="FFC9C9"/>
            <w:tcMar>
              <w:top w:w="80" w:type="dxa"/>
              <w:left w:w="80" w:type="dxa"/>
              <w:bottom w:w="80" w:type="dxa"/>
              <w:right w:w="80" w:type="dxa"/>
            </w:tcMar>
          </w:tcPr>
          <w:p w14:paraId="1625403B"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Occupational asthma</w:t>
            </w:r>
          </w:p>
          <w:p w14:paraId="2E1DC3DE"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(excluding pre-existing</w:t>
            </w:r>
          </w:p>
          <w:p w14:paraId="46EFEA79"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asthma worsened due to</w:t>
            </w:r>
          </w:p>
          <w:p w14:paraId="7D030117"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exposure to workplace</w:t>
            </w:r>
          </w:p>
          <w:p w14:paraId="3E270C7C" w14:textId="774DC716" w:rsidR="002849B2" w:rsidRPr="001A7A6B" w:rsidRDefault="00161B88" w:rsidP="00161B88">
            <w:pPr>
              <w:pStyle w:val="Table7pttext"/>
              <w:spacing w:after="60"/>
            </w:pPr>
            <w:r w:rsidRPr="00A55B8A">
              <w:t>irritants)</w:t>
            </w:r>
          </w:p>
        </w:tc>
        <w:tc>
          <w:tcPr>
            <w:tcW w:w="1503" w:type="dxa"/>
            <w:shd w:val="clear" w:color="auto" w:fill="FFC9C9"/>
            <w:tcMar>
              <w:top w:w="80" w:type="dxa"/>
              <w:left w:w="80" w:type="dxa"/>
              <w:bottom w:w="80" w:type="dxa"/>
              <w:right w:w="80" w:type="dxa"/>
            </w:tcMar>
          </w:tcPr>
          <w:p w14:paraId="7B16D84B" w14:textId="1EE7B9DE" w:rsidR="002849B2" w:rsidRPr="001A7A6B" w:rsidRDefault="002849B2" w:rsidP="00292A53">
            <w:pPr>
              <w:pStyle w:val="Table7pttext"/>
              <w:spacing w:after="60"/>
            </w:pPr>
            <w:r w:rsidRPr="001A7A6B">
              <w:t xml:space="preserve">Occupational asthma caused by </w:t>
            </w:r>
            <w:r>
              <w:t>sensitizing agents or irritants</w:t>
            </w:r>
          </w:p>
        </w:tc>
        <w:tc>
          <w:tcPr>
            <w:tcW w:w="1504" w:type="dxa"/>
            <w:shd w:val="clear" w:color="auto" w:fill="FFC9C9"/>
            <w:tcMar>
              <w:top w:w="80" w:type="dxa"/>
              <w:left w:w="80" w:type="dxa"/>
              <w:bottom w:w="80" w:type="dxa"/>
              <w:right w:w="80" w:type="dxa"/>
            </w:tcMar>
          </w:tcPr>
          <w:p w14:paraId="3674C0FD" w14:textId="4845750F" w:rsidR="002849B2" w:rsidRPr="001A7A6B" w:rsidRDefault="002849B2" w:rsidP="00292A53">
            <w:pPr>
              <w:pStyle w:val="Table7pttext"/>
              <w:spacing w:after="60"/>
            </w:pPr>
            <w:r w:rsidRPr="001A7A6B">
              <w:t>Occupational asthma diagnosed as caused by recognised sensitising agents inherent in the work process such as, but not limited to, isocyanates, certain wood dusts, flour dusts, ani</w:t>
            </w:r>
            <w:r>
              <w:t>mal proteins, enzymes and latex</w:t>
            </w:r>
          </w:p>
        </w:tc>
      </w:tr>
      <w:tr w:rsidR="002849B2" w:rsidRPr="001A7A6B" w14:paraId="6F96A71D" w14:textId="77777777" w:rsidTr="00FB729B">
        <w:trPr>
          <w:cantSplit/>
        </w:trPr>
        <w:tc>
          <w:tcPr>
            <w:tcW w:w="1564" w:type="dxa"/>
            <w:tcMar>
              <w:top w:w="80" w:type="dxa"/>
              <w:left w:w="80" w:type="dxa"/>
              <w:bottom w:w="80" w:type="dxa"/>
              <w:right w:w="80" w:type="dxa"/>
            </w:tcMar>
          </w:tcPr>
          <w:p w14:paraId="37987E33" w14:textId="77777777" w:rsidR="002849B2" w:rsidRPr="001A7A6B" w:rsidRDefault="002849B2" w:rsidP="00292A53">
            <w:pPr>
              <w:pStyle w:val="TableColumn1bold"/>
              <w:spacing w:after="60"/>
            </w:pPr>
            <w:bookmarkStart w:id="305" w:name="dust"/>
            <w:r w:rsidRPr="001A7A6B">
              <w:t>Bronchopulmonary diseases caused by dust of cotton (byssinosis), flax, hemp, sisal or sugar cane</w:t>
            </w:r>
          </w:p>
        </w:tc>
        <w:tc>
          <w:tcPr>
            <w:tcW w:w="1503" w:type="dxa"/>
            <w:tcMar>
              <w:top w:w="80" w:type="dxa"/>
              <w:left w:w="80" w:type="dxa"/>
              <w:bottom w:w="80" w:type="dxa"/>
              <w:right w:w="80" w:type="dxa"/>
            </w:tcMar>
          </w:tcPr>
          <w:p w14:paraId="702E47F6" w14:textId="77777777" w:rsidR="002849B2" w:rsidRDefault="002849B2" w:rsidP="00292A53">
            <w:pPr>
              <w:pStyle w:val="Table7pttext"/>
              <w:spacing w:after="60"/>
            </w:pPr>
            <w:r>
              <w:t>Byssinosis</w:t>
            </w:r>
          </w:p>
          <w:p w14:paraId="3A8B959D" w14:textId="77777777" w:rsidR="002849B2" w:rsidRDefault="002849B2" w:rsidP="00292A53">
            <w:pPr>
              <w:pStyle w:val="Table7pttext"/>
              <w:spacing w:after="60"/>
            </w:pPr>
            <w:r>
              <w:t>Bagassosis</w:t>
            </w:r>
          </w:p>
          <w:p w14:paraId="17F77B95" w14:textId="0E08A233" w:rsidR="002849B2" w:rsidRPr="001A7A6B" w:rsidRDefault="002849B2" w:rsidP="00193F72">
            <w:pPr>
              <w:pStyle w:val="Table7pttext"/>
              <w:spacing w:after="60"/>
            </w:pPr>
            <w:r>
              <w:t>(</w:t>
            </w:r>
            <w:hyperlink r:id="rId2219" w:history="1">
              <w:r w:rsidRPr="00193F72">
                <w:rPr>
                  <w:rStyle w:val="Hyperlink"/>
                </w:rPr>
                <w:t>Schedule 1</w:t>
              </w:r>
            </w:hyperlink>
            <w:r>
              <w:t xml:space="preserve"> of the </w:t>
            </w:r>
            <w:r w:rsidRPr="00FA2384">
              <w:rPr>
                <w:i/>
              </w:rPr>
              <w:t>Workers’ Compensation (Dust Diseases) Act 1942</w:t>
            </w:r>
            <w:r>
              <w:t>)</w:t>
            </w:r>
          </w:p>
        </w:tc>
        <w:tc>
          <w:tcPr>
            <w:tcW w:w="1503" w:type="dxa"/>
            <w:tcMar>
              <w:top w:w="80" w:type="dxa"/>
              <w:left w:w="80" w:type="dxa"/>
              <w:bottom w:w="80" w:type="dxa"/>
              <w:right w:w="80" w:type="dxa"/>
            </w:tcMar>
          </w:tcPr>
          <w:p w14:paraId="0C4CCAEA"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791126EE" w14:textId="0AB658F9" w:rsidR="002849B2" w:rsidRPr="001A7A6B" w:rsidRDefault="002849B2" w:rsidP="00292A53">
            <w:pPr>
              <w:pStyle w:val="Table7pttext"/>
              <w:spacing w:after="60"/>
            </w:pPr>
            <w:r w:rsidRPr="001A7A6B">
              <w:t>Bronchopulmonary diseases caused by c</w:t>
            </w:r>
            <w:r>
              <w:t>otton, flax, hemp or sisal dust</w:t>
            </w:r>
          </w:p>
        </w:tc>
        <w:tc>
          <w:tcPr>
            <w:tcW w:w="1503" w:type="dxa"/>
            <w:tcMar>
              <w:top w:w="80" w:type="dxa"/>
              <w:left w:w="80" w:type="dxa"/>
              <w:bottom w:w="80" w:type="dxa"/>
              <w:right w:w="80" w:type="dxa"/>
            </w:tcMar>
          </w:tcPr>
          <w:p w14:paraId="220F73F2"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45DFCB94"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3591BD3D" w14:textId="101EF358" w:rsidR="002849B2" w:rsidRPr="001A7A6B" w:rsidRDefault="002849B2" w:rsidP="00292A53">
            <w:pPr>
              <w:pStyle w:val="Table7pttext"/>
              <w:spacing w:after="60"/>
            </w:pPr>
            <w:r w:rsidRPr="00E469EF">
              <w:t>Byssinosis</w:t>
            </w:r>
          </w:p>
        </w:tc>
        <w:tc>
          <w:tcPr>
            <w:tcW w:w="1504" w:type="dxa"/>
            <w:tcMar>
              <w:top w:w="80" w:type="dxa"/>
              <w:left w:w="80" w:type="dxa"/>
              <w:bottom w:w="80" w:type="dxa"/>
              <w:right w:w="80" w:type="dxa"/>
            </w:tcMar>
          </w:tcPr>
          <w:p w14:paraId="78663D37"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Byssinosis employment involving exposure</w:t>
            </w:r>
          </w:p>
          <w:p w14:paraId="3315AA26" w14:textId="1FEC60A3" w:rsidR="002849B2" w:rsidRPr="001A7A6B" w:rsidRDefault="00161B88" w:rsidP="00161B88">
            <w:pPr>
              <w:pStyle w:val="Table7pttext"/>
              <w:spacing w:after="60"/>
            </w:pPr>
            <w:r w:rsidRPr="00A55B8A">
              <w:t>to cotton, flax, hemp or sisal dust</w:t>
            </w:r>
          </w:p>
        </w:tc>
        <w:tc>
          <w:tcPr>
            <w:tcW w:w="1503" w:type="dxa"/>
            <w:tcMar>
              <w:top w:w="80" w:type="dxa"/>
              <w:left w:w="80" w:type="dxa"/>
              <w:bottom w:w="80" w:type="dxa"/>
              <w:right w:w="80" w:type="dxa"/>
            </w:tcMar>
          </w:tcPr>
          <w:p w14:paraId="612D373D" w14:textId="0EA40D79" w:rsidR="002849B2" w:rsidRPr="001A7A6B" w:rsidRDefault="002849B2" w:rsidP="00292A53">
            <w:pPr>
              <w:pStyle w:val="Table7pttext"/>
              <w:spacing w:after="60"/>
            </w:pPr>
            <w:r w:rsidRPr="001A7A6B">
              <w:t>Bronchopulmonary diseases caused by cotton dust (byssinosis), or flax,</w:t>
            </w:r>
            <w:r>
              <w:t xml:space="preserve"> hemp or sisal dust</w:t>
            </w:r>
          </w:p>
        </w:tc>
        <w:tc>
          <w:tcPr>
            <w:tcW w:w="1504" w:type="dxa"/>
            <w:tcMar>
              <w:top w:w="80" w:type="dxa"/>
              <w:left w:w="80" w:type="dxa"/>
              <w:bottom w:w="80" w:type="dxa"/>
              <w:right w:w="80" w:type="dxa"/>
            </w:tcMar>
          </w:tcPr>
          <w:p w14:paraId="1EAD0B49" w14:textId="19AE75B6" w:rsidR="002849B2" w:rsidRPr="001A7A6B" w:rsidRDefault="002849B2" w:rsidP="00292A53">
            <w:pPr>
              <w:pStyle w:val="Table7pttext"/>
              <w:spacing w:after="60"/>
            </w:pPr>
            <w:r w:rsidRPr="001A7A6B">
              <w:t>Byssinosis diagnosed as caused by working with co</w:t>
            </w:r>
            <w:r>
              <w:t>tton, flax, hemp, or sisal dust</w:t>
            </w:r>
          </w:p>
        </w:tc>
      </w:tr>
      <w:tr w:rsidR="002849B2" w:rsidRPr="001A7A6B" w14:paraId="5809745E" w14:textId="77777777" w:rsidTr="00FB729B">
        <w:trPr>
          <w:cantSplit/>
        </w:trPr>
        <w:tc>
          <w:tcPr>
            <w:tcW w:w="1564" w:type="dxa"/>
            <w:shd w:val="clear" w:color="auto" w:fill="FFC9C9"/>
            <w:tcMar>
              <w:top w:w="80" w:type="dxa"/>
              <w:left w:w="80" w:type="dxa"/>
              <w:bottom w:w="80" w:type="dxa"/>
              <w:right w:w="80" w:type="dxa"/>
            </w:tcMar>
          </w:tcPr>
          <w:p w14:paraId="0195FB33" w14:textId="77777777" w:rsidR="002849B2" w:rsidRPr="001A7A6B" w:rsidRDefault="002849B2" w:rsidP="00292A53">
            <w:pPr>
              <w:pStyle w:val="TableColumn1bold"/>
              <w:spacing w:after="60"/>
            </w:pPr>
            <w:r w:rsidRPr="001A7A6B">
              <w:t>Bronchopulmonary diseases caused by hard-metal dust</w:t>
            </w:r>
          </w:p>
        </w:tc>
        <w:tc>
          <w:tcPr>
            <w:tcW w:w="1503" w:type="dxa"/>
            <w:shd w:val="clear" w:color="auto" w:fill="FFC9C9"/>
            <w:tcMar>
              <w:top w:w="80" w:type="dxa"/>
              <w:left w:w="80" w:type="dxa"/>
              <w:bottom w:w="80" w:type="dxa"/>
              <w:right w:w="80" w:type="dxa"/>
            </w:tcMar>
          </w:tcPr>
          <w:p w14:paraId="71D28A26" w14:textId="77777777" w:rsidR="002849B2" w:rsidRPr="001A7A6B" w:rsidRDefault="002849B2" w:rsidP="00292A53">
            <w:pPr>
              <w:pStyle w:val="Table7pttext"/>
              <w:spacing w:after="60"/>
            </w:pPr>
            <w:r w:rsidRPr="001A7A6B">
              <w:t>Hard metal pneumoconiosis</w:t>
            </w:r>
          </w:p>
          <w:p w14:paraId="350ABD9B" w14:textId="5BE8ACEA" w:rsidR="002849B2" w:rsidRPr="001A7A6B" w:rsidRDefault="002849B2" w:rsidP="00292A53">
            <w:pPr>
              <w:pStyle w:val="Table7pttext"/>
              <w:spacing w:after="60"/>
            </w:pPr>
            <w:r w:rsidRPr="001A7A6B">
              <w:t>(</w:t>
            </w:r>
            <w:hyperlink r:id="rId2220" w:history="1">
              <w:r w:rsidRPr="00193F72">
                <w:rPr>
                  <w:rStyle w:val="Hyperlink"/>
                </w:rPr>
                <w:t>Schedule 1</w:t>
              </w:r>
            </w:hyperlink>
            <w:r w:rsidRPr="001A7A6B">
              <w:t xml:space="preserve"> of the </w:t>
            </w:r>
            <w:r w:rsidRPr="00FA2384">
              <w:rPr>
                <w:i/>
              </w:rPr>
              <w:t>Workers’ Compensation (Dust Diseases) Act 1942</w:t>
            </w:r>
            <w:r>
              <w:t>)</w:t>
            </w:r>
          </w:p>
        </w:tc>
        <w:tc>
          <w:tcPr>
            <w:tcW w:w="1503" w:type="dxa"/>
            <w:shd w:val="clear" w:color="auto" w:fill="FFC9C9"/>
            <w:tcMar>
              <w:top w:w="80" w:type="dxa"/>
              <w:left w:w="80" w:type="dxa"/>
              <w:bottom w:w="80" w:type="dxa"/>
              <w:right w:w="80" w:type="dxa"/>
            </w:tcMar>
          </w:tcPr>
          <w:p w14:paraId="7818B49A"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66D57B38" w14:textId="77777777" w:rsidR="002849B2" w:rsidRPr="001A7A6B" w:rsidRDefault="002849B2" w:rsidP="00292A53">
            <w:pPr>
              <w:pStyle w:val="Table7pttext"/>
              <w:spacing w:after="60"/>
              <w:rPr>
                <w:highlight w:val="yellow"/>
              </w:rPr>
            </w:pPr>
            <w:r w:rsidRPr="001A7A6B">
              <w:t>—</w:t>
            </w:r>
          </w:p>
        </w:tc>
        <w:tc>
          <w:tcPr>
            <w:tcW w:w="1503" w:type="dxa"/>
            <w:shd w:val="clear" w:color="auto" w:fill="FFC9C9"/>
            <w:tcMar>
              <w:top w:w="80" w:type="dxa"/>
              <w:left w:w="80" w:type="dxa"/>
              <w:bottom w:w="80" w:type="dxa"/>
              <w:right w:w="80" w:type="dxa"/>
            </w:tcMar>
          </w:tcPr>
          <w:p w14:paraId="26E4F62D"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38C4E63A"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74C11CA7" w14:textId="54E68AED" w:rsidR="002849B2" w:rsidRPr="001A7A6B" w:rsidRDefault="002849B2" w:rsidP="00292A53">
            <w:pPr>
              <w:pStyle w:val="Table7pttext"/>
              <w:spacing w:after="60"/>
            </w:pPr>
            <w:r w:rsidRPr="00E469EF">
              <w:t>Pneumoconiosis</w:t>
            </w:r>
          </w:p>
        </w:tc>
        <w:tc>
          <w:tcPr>
            <w:tcW w:w="1504" w:type="dxa"/>
            <w:shd w:val="clear" w:color="auto" w:fill="FFC9C9"/>
            <w:tcMar>
              <w:top w:w="80" w:type="dxa"/>
              <w:left w:w="80" w:type="dxa"/>
              <w:bottom w:w="80" w:type="dxa"/>
              <w:right w:w="80" w:type="dxa"/>
            </w:tcMar>
          </w:tcPr>
          <w:p w14:paraId="4DB0C580"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Other pneumoconiosis involving exposure known to</w:t>
            </w:r>
          </w:p>
          <w:p w14:paraId="119597D8"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occasionally cause</w:t>
            </w:r>
          </w:p>
          <w:p w14:paraId="2F752DDA" w14:textId="13E7E75F" w:rsidR="002849B2" w:rsidRPr="001A7A6B" w:rsidRDefault="00161B88" w:rsidP="00161B88">
            <w:pPr>
              <w:pStyle w:val="Table7pttext"/>
              <w:spacing w:after="60"/>
            </w:pPr>
            <w:r w:rsidRPr="00A55B8A">
              <w:t>pneumoconiosis</w:t>
            </w:r>
            <w:r>
              <w:t>.</w:t>
            </w:r>
          </w:p>
        </w:tc>
        <w:tc>
          <w:tcPr>
            <w:tcW w:w="1503" w:type="dxa"/>
            <w:shd w:val="clear" w:color="auto" w:fill="FFC9C9"/>
            <w:tcMar>
              <w:top w:w="80" w:type="dxa"/>
              <w:left w:w="80" w:type="dxa"/>
              <w:bottom w:w="80" w:type="dxa"/>
              <w:right w:w="80" w:type="dxa"/>
            </w:tcMar>
          </w:tcPr>
          <w:p w14:paraId="3D6CCF59" w14:textId="0B770B9D" w:rsidR="002849B2" w:rsidRPr="001A7A6B" w:rsidRDefault="002849B2" w:rsidP="00292A53">
            <w:pPr>
              <w:pStyle w:val="Table7pttext"/>
              <w:spacing w:after="60"/>
            </w:pPr>
            <w:r w:rsidRPr="001A7A6B">
              <w:t>Bronchopulmonary dis</w:t>
            </w:r>
            <w:r>
              <w:t>eases caused by hard-metal dust</w:t>
            </w:r>
          </w:p>
        </w:tc>
        <w:tc>
          <w:tcPr>
            <w:tcW w:w="1504" w:type="dxa"/>
            <w:shd w:val="clear" w:color="auto" w:fill="FFC9C9"/>
            <w:tcMar>
              <w:top w:w="80" w:type="dxa"/>
              <w:left w:w="80" w:type="dxa"/>
              <w:bottom w:w="80" w:type="dxa"/>
              <w:right w:w="80" w:type="dxa"/>
            </w:tcMar>
          </w:tcPr>
          <w:p w14:paraId="125B6A4B" w14:textId="77777777" w:rsidR="002849B2" w:rsidRPr="001A7A6B" w:rsidRDefault="002849B2" w:rsidP="00292A53">
            <w:pPr>
              <w:pStyle w:val="Table7pttext"/>
              <w:spacing w:after="60"/>
            </w:pPr>
            <w:r w:rsidRPr="001A7A6B">
              <w:t>—</w:t>
            </w:r>
          </w:p>
        </w:tc>
      </w:tr>
      <w:tr w:rsidR="002849B2" w:rsidRPr="001A7A6B" w14:paraId="173D18C9" w14:textId="77777777" w:rsidTr="00FB729B">
        <w:trPr>
          <w:cantSplit/>
        </w:trPr>
        <w:tc>
          <w:tcPr>
            <w:tcW w:w="1564" w:type="dxa"/>
            <w:tcMar>
              <w:top w:w="80" w:type="dxa"/>
              <w:left w:w="80" w:type="dxa"/>
              <w:bottom w:w="80" w:type="dxa"/>
              <w:right w:w="80" w:type="dxa"/>
            </w:tcMar>
          </w:tcPr>
          <w:p w14:paraId="7DC23208" w14:textId="77777777" w:rsidR="002849B2" w:rsidRPr="001A7A6B" w:rsidRDefault="002849B2" w:rsidP="00292A53">
            <w:pPr>
              <w:pStyle w:val="TableColumn1bold"/>
              <w:spacing w:after="60"/>
            </w:pPr>
            <w:r w:rsidRPr="001A7A6B">
              <w:lastRenderedPageBreak/>
              <w:t>Chronic obstructive pulmonary diseases caused by inhalation of coal dust, dust from stone quarries, wood dust, dust from cereals and agricultural work, dust in animal stables, dust from textiles, and paper dust arising from work activities</w:t>
            </w:r>
          </w:p>
        </w:tc>
        <w:tc>
          <w:tcPr>
            <w:tcW w:w="1503" w:type="dxa"/>
            <w:tcMar>
              <w:top w:w="80" w:type="dxa"/>
              <w:left w:w="80" w:type="dxa"/>
              <w:bottom w:w="80" w:type="dxa"/>
              <w:right w:w="80" w:type="dxa"/>
            </w:tcMar>
          </w:tcPr>
          <w:p w14:paraId="1E064EBA" w14:textId="77777777" w:rsidR="002849B2" w:rsidRPr="001A7A6B" w:rsidRDefault="002849B2" w:rsidP="00292A53">
            <w:pPr>
              <w:pStyle w:val="Table7pttext"/>
              <w:spacing w:after="60"/>
            </w:pPr>
            <w:r w:rsidRPr="001A7A6B">
              <w:t>Coal dust pneumoconiosis</w:t>
            </w:r>
          </w:p>
          <w:p w14:paraId="7306E5BF" w14:textId="77777777" w:rsidR="002849B2" w:rsidRPr="001A7A6B" w:rsidRDefault="002849B2" w:rsidP="00292A53">
            <w:pPr>
              <w:pStyle w:val="Table7pttext"/>
              <w:spacing w:after="60"/>
            </w:pPr>
            <w:r w:rsidRPr="001A7A6B">
              <w:t>Farmer’s lung</w:t>
            </w:r>
          </w:p>
          <w:p w14:paraId="6AA8C8B8" w14:textId="05F37C04" w:rsidR="002849B2" w:rsidRPr="001A7A6B" w:rsidRDefault="002849B2" w:rsidP="00292A53">
            <w:pPr>
              <w:pStyle w:val="Table7pttext"/>
              <w:spacing w:after="60"/>
            </w:pPr>
            <w:r w:rsidRPr="001A7A6B">
              <w:t>(</w:t>
            </w:r>
            <w:hyperlink r:id="rId2221" w:history="1">
              <w:r w:rsidRPr="00193F72">
                <w:rPr>
                  <w:rStyle w:val="Hyperlink"/>
                </w:rPr>
                <w:t>Schedule 1</w:t>
              </w:r>
            </w:hyperlink>
            <w:r w:rsidRPr="001A7A6B">
              <w:t xml:space="preserve"> of the </w:t>
            </w:r>
            <w:r w:rsidRPr="00FA2384">
              <w:rPr>
                <w:i/>
              </w:rPr>
              <w:t>Workers’ Compensation (Dust Diseases) Act 1942</w:t>
            </w:r>
            <w:r>
              <w:t>)</w:t>
            </w:r>
          </w:p>
        </w:tc>
        <w:tc>
          <w:tcPr>
            <w:tcW w:w="1503" w:type="dxa"/>
            <w:tcMar>
              <w:top w:w="80" w:type="dxa"/>
              <w:left w:w="80" w:type="dxa"/>
              <w:bottom w:w="80" w:type="dxa"/>
              <w:right w:w="80" w:type="dxa"/>
            </w:tcMar>
          </w:tcPr>
          <w:p w14:paraId="68293041"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0F2D1FA8" w14:textId="77777777" w:rsidR="002849B2" w:rsidRPr="001A7A6B" w:rsidRDefault="002849B2" w:rsidP="00292A53">
            <w:pPr>
              <w:pStyle w:val="Table7pttext"/>
              <w:spacing w:after="60"/>
              <w:rPr>
                <w:highlight w:val="yellow"/>
              </w:rPr>
            </w:pPr>
            <w:r w:rsidRPr="001A7A6B">
              <w:t>—</w:t>
            </w:r>
          </w:p>
        </w:tc>
        <w:tc>
          <w:tcPr>
            <w:tcW w:w="1503" w:type="dxa"/>
            <w:tcMar>
              <w:top w:w="80" w:type="dxa"/>
              <w:left w:w="80" w:type="dxa"/>
              <w:bottom w:w="80" w:type="dxa"/>
              <w:right w:w="80" w:type="dxa"/>
            </w:tcMar>
          </w:tcPr>
          <w:p w14:paraId="5124350A"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7513A5A2"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0DC6325D" w14:textId="77777777" w:rsidR="002849B2" w:rsidRDefault="002849B2" w:rsidP="00292A53">
            <w:pPr>
              <w:pStyle w:val="Table7pttext"/>
              <w:spacing w:after="60"/>
            </w:pPr>
            <w:r>
              <w:t>coal workers’ pneumoconiosis.</w:t>
            </w:r>
          </w:p>
          <w:p w14:paraId="0786CCAA" w14:textId="77777777" w:rsidR="002849B2" w:rsidRDefault="002849B2" w:rsidP="00292A53">
            <w:pPr>
              <w:pStyle w:val="Table7pttext"/>
              <w:spacing w:after="60"/>
            </w:pPr>
            <w:r>
              <w:t>byssinosis</w:t>
            </w:r>
          </w:p>
          <w:p w14:paraId="5966560C" w14:textId="3F4D0136" w:rsidR="002849B2" w:rsidRPr="001A7A6B" w:rsidRDefault="002849B2" w:rsidP="00292A53">
            <w:pPr>
              <w:pStyle w:val="Table7pttext"/>
              <w:spacing w:after="60"/>
            </w:pPr>
            <w:r>
              <w:t>silicosis</w:t>
            </w:r>
            <w:r>
              <w:fldChar w:fldCharType="begin"/>
            </w:r>
            <w:r>
              <w:instrText xml:space="preserve"> XE "</w:instrText>
            </w:r>
            <w:r w:rsidRPr="001854C8">
              <w:instrText>silicosis</w:instrText>
            </w:r>
            <w:r>
              <w:instrText xml:space="preserve">" </w:instrText>
            </w:r>
            <w:r>
              <w:fldChar w:fldCharType="end"/>
            </w:r>
          </w:p>
        </w:tc>
        <w:tc>
          <w:tcPr>
            <w:tcW w:w="1504" w:type="dxa"/>
            <w:tcMar>
              <w:top w:w="80" w:type="dxa"/>
              <w:left w:w="80" w:type="dxa"/>
              <w:bottom w:w="80" w:type="dxa"/>
              <w:right w:w="80" w:type="dxa"/>
            </w:tcMar>
          </w:tcPr>
          <w:p w14:paraId="4106E2A6" w14:textId="77777777" w:rsidR="00161B88" w:rsidRPr="00A55B8A" w:rsidRDefault="00161B88" w:rsidP="00161B88">
            <w:pPr>
              <w:pStyle w:val="Table7pttext"/>
              <w:spacing w:after="60"/>
            </w:pPr>
            <w:r w:rsidRPr="00A55B8A">
              <w:t>Silicosis</w:t>
            </w:r>
          </w:p>
          <w:p w14:paraId="4031D066"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Coal workers'</w:t>
            </w:r>
          </w:p>
          <w:p w14:paraId="45FFDE5B" w14:textId="7D6DC063" w:rsidR="002849B2" w:rsidRPr="001A7A6B" w:rsidRDefault="00161B88" w:rsidP="00161B88">
            <w:pPr>
              <w:pStyle w:val="Table7pttext"/>
              <w:spacing w:after="60"/>
            </w:pPr>
            <w:r w:rsidRPr="00A55B8A">
              <w:t>pneumoconiosis</w:t>
            </w:r>
          </w:p>
        </w:tc>
        <w:tc>
          <w:tcPr>
            <w:tcW w:w="1503" w:type="dxa"/>
            <w:tcMar>
              <w:top w:w="80" w:type="dxa"/>
              <w:left w:w="80" w:type="dxa"/>
              <w:bottom w:w="80" w:type="dxa"/>
              <w:right w:w="80" w:type="dxa"/>
            </w:tcMar>
          </w:tcPr>
          <w:p w14:paraId="0402144A"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5ED11C72" w14:textId="167A49E5" w:rsidR="002849B2" w:rsidRPr="001A7A6B" w:rsidRDefault="002849B2" w:rsidP="00292A53">
            <w:pPr>
              <w:pStyle w:val="Table7pttext"/>
              <w:spacing w:after="60"/>
            </w:pPr>
            <w:r w:rsidRPr="001A7A6B">
              <w:t>Chronic obstructive pulmonary disease diagnosed as caused by coal, si</w:t>
            </w:r>
            <w:r>
              <w:t>lica, cotton dust or grain dust</w:t>
            </w:r>
          </w:p>
        </w:tc>
      </w:tr>
      <w:tr w:rsidR="002849B2" w:rsidRPr="001A7A6B" w14:paraId="4E552C23" w14:textId="77777777" w:rsidTr="00FB729B">
        <w:trPr>
          <w:cantSplit/>
        </w:trPr>
        <w:tc>
          <w:tcPr>
            <w:tcW w:w="1564" w:type="dxa"/>
            <w:shd w:val="clear" w:color="auto" w:fill="FFC9C9"/>
            <w:tcMar>
              <w:top w:w="80" w:type="dxa"/>
              <w:left w:w="80" w:type="dxa"/>
              <w:bottom w:w="80" w:type="dxa"/>
              <w:right w:w="80" w:type="dxa"/>
            </w:tcMar>
          </w:tcPr>
          <w:p w14:paraId="1DEC828E" w14:textId="77777777" w:rsidR="002849B2" w:rsidRPr="001A7A6B" w:rsidRDefault="002849B2" w:rsidP="00292A53">
            <w:pPr>
              <w:pStyle w:val="TableColumn1bold"/>
              <w:spacing w:after="60"/>
            </w:pPr>
            <w:r w:rsidRPr="001A7A6B">
              <w:t>Diseases of the lung caused by aluminium</w:t>
            </w:r>
          </w:p>
        </w:tc>
        <w:tc>
          <w:tcPr>
            <w:tcW w:w="1503" w:type="dxa"/>
            <w:shd w:val="clear" w:color="auto" w:fill="FFC9C9"/>
            <w:tcMar>
              <w:top w:w="80" w:type="dxa"/>
              <w:left w:w="80" w:type="dxa"/>
              <w:bottom w:w="80" w:type="dxa"/>
              <w:right w:w="80" w:type="dxa"/>
            </w:tcMar>
          </w:tcPr>
          <w:p w14:paraId="15594985" w14:textId="77777777" w:rsidR="002849B2" w:rsidRPr="001A7A6B" w:rsidRDefault="002849B2" w:rsidP="00292A53">
            <w:pPr>
              <w:pStyle w:val="Table7pttext"/>
              <w:spacing w:after="60"/>
            </w:pPr>
            <w:r w:rsidRPr="001A7A6B">
              <w:t>Aluminosis</w:t>
            </w:r>
          </w:p>
          <w:p w14:paraId="1D66352E" w14:textId="3DFEEF20" w:rsidR="002849B2" w:rsidRPr="001A7A6B" w:rsidRDefault="002849B2" w:rsidP="00292A53">
            <w:pPr>
              <w:pStyle w:val="Table7pttext"/>
              <w:spacing w:after="60"/>
            </w:pPr>
            <w:r w:rsidRPr="001A7A6B">
              <w:t>(</w:t>
            </w:r>
            <w:hyperlink r:id="rId2222" w:history="1">
              <w:r w:rsidRPr="00193F72">
                <w:rPr>
                  <w:rStyle w:val="Hyperlink"/>
                </w:rPr>
                <w:t>Schedule 1</w:t>
              </w:r>
            </w:hyperlink>
            <w:r w:rsidRPr="001A7A6B">
              <w:t xml:space="preserve"> of the </w:t>
            </w:r>
            <w:r w:rsidRPr="00FA2384">
              <w:rPr>
                <w:i/>
              </w:rPr>
              <w:t>Workers’ Compensation (Dust Diseases) Act 1942</w:t>
            </w:r>
            <w:r w:rsidRPr="001A7A6B">
              <w:t>)</w:t>
            </w:r>
            <w:r>
              <w:fldChar w:fldCharType="begin"/>
            </w:r>
            <w:r>
              <w:instrText xml:space="preserve"> XE "</w:instrText>
            </w:r>
            <w:r w:rsidRPr="001854C8">
              <w:instrText>dust diseases</w:instrText>
            </w:r>
            <w:r>
              <w:instrText xml:space="preserve">" \r "dust" </w:instrText>
            </w:r>
            <w:r>
              <w:fldChar w:fldCharType="end"/>
            </w:r>
          </w:p>
        </w:tc>
        <w:tc>
          <w:tcPr>
            <w:tcW w:w="1503" w:type="dxa"/>
            <w:shd w:val="clear" w:color="auto" w:fill="FFC9C9"/>
            <w:tcMar>
              <w:top w:w="80" w:type="dxa"/>
              <w:left w:w="80" w:type="dxa"/>
              <w:bottom w:w="80" w:type="dxa"/>
              <w:right w:w="80" w:type="dxa"/>
            </w:tcMar>
          </w:tcPr>
          <w:p w14:paraId="7512F296"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72F14C44" w14:textId="77777777" w:rsidR="002849B2" w:rsidRPr="001A7A6B" w:rsidRDefault="002849B2" w:rsidP="00292A53">
            <w:pPr>
              <w:pStyle w:val="Table7pttext"/>
              <w:spacing w:after="60"/>
              <w:rPr>
                <w:highlight w:val="yellow"/>
              </w:rPr>
            </w:pPr>
            <w:r w:rsidRPr="001A7A6B">
              <w:t>—</w:t>
            </w:r>
          </w:p>
        </w:tc>
        <w:tc>
          <w:tcPr>
            <w:tcW w:w="1503" w:type="dxa"/>
            <w:shd w:val="clear" w:color="auto" w:fill="FFC9C9"/>
            <w:tcMar>
              <w:top w:w="80" w:type="dxa"/>
              <w:left w:w="80" w:type="dxa"/>
              <w:bottom w:w="80" w:type="dxa"/>
              <w:right w:w="80" w:type="dxa"/>
            </w:tcMar>
          </w:tcPr>
          <w:p w14:paraId="2E07BC93"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79DA0E38" w14:textId="6934C1A2" w:rsidR="002849B2" w:rsidRPr="001A7A6B" w:rsidRDefault="002849B2" w:rsidP="00292A53">
            <w:pPr>
              <w:pStyle w:val="Table7pttext"/>
              <w:spacing w:after="60"/>
            </w:pPr>
            <w:r w:rsidRPr="001A7A6B">
              <w:t>An asthmatic condition caused by fumes resulting from the pri</w:t>
            </w:r>
            <w:r>
              <w:t>mary aluminium smelting process</w:t>
            </w:r>
          </w:p>
        </w:tc>
        <w:tc>
          <w:tcPr>
            <w:tcW w:w="1503" w:type="dxa"/>
            <w:shd w:val="clear" w:color="auto" w:fill="FFC9C9"/>
            <w:tcMar>
              <w:top w:w="80" w:type="dxa"/>
              <w:left w:w="80" w:type="dxa"/>
              <w:bottom w:w="80" w:type="dxa"/>
              <w:right w:w="80" w:type="dxa"/>
            </w:tcMar>
          </w:tcPr>
          <w:p w14:paraId="3D606ABD" w14:textId="27F5530C" w:rsidR="002849B2" w:rsidRPr="001A7A6B" w:rsidRDefault="002849B2" w:rsidP="00292A53">
            <w:pPr>
              <w:pStyle w:val="Table7pttext"/>
              <w:spacing w:after="60"/>
            </w:pPr>
            <w:r w:rsidRPr="00E469EF">
              <w:t>Pneumoconiosis</w:t>
            </w:r>
          </w:p>
        </w:tc>
        <w:tc>
          <w:tcPr>
            <w:tcW w:w="1504" w:type="dxa"/>
            <w:shd w:val="clear" w:color="auto" w:fill="FFC9C9"/>
            <w:tcMar>
              <w:top w:w="80" w:type="dxa"/>
              <w:left w:w="80" w:type="dxa"/>
              <w:bottom w:w="80" w:type="dxa"/>
              <w:right w:w="80" w:type="dxa"/>
            </w:tcMar>
          </w:tcPr>
          <w:p w14:paraId="36EB99D2" w14:textId="4334A32D" w:rsidR="002849B2" w:rsidRPr="001A7A6B" w:rsidRDefault="00161B88" w:rsidP="00292A53">
            <w:pPr>
              <w:pStyle w:val="Table7pttext"/>
              <w:spacing w:after="60"/>
            </w:pPr>
            <w:r w:rsidRPr="00E469EF">
              <w:t>Pneumoconiosis</w:t>
            </w:r>
          </w:p>
        </w:tc>
        <w:tc>
          <w:tcPr>
            <w:tcW w:w="1503" w:type="dxa"/>
            <w:shd w:val="clear" w:color="auto" w:fill="FFC9C9"/>
            <w:tcMar>
              <w:top w:w="80" w:type="dxa"/>
              <w:left w:w="80" w:type="dxa"/>
              <w:bottom w:w="80" w:type="dxa"/>
              <w:right w:w="80" w:type="dxa"/>
            </w:tcMar>
          </w:tcPr>
          <w:p w14:paraId="0778D9DF"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424AE58D" w14:textId="77777777" w:rsidR="002849B2" w:rsidRPr="001A7A6B" w:rsidRDefault="002849B2" w:rsidP="00292A53">
            <w:pPr>
              <w:pStyle w:val="Table7pttext"/>
              <w:spacing w:after="60"/>
            </w:pPr>
            <w:r w:rsidRPr="001A7A6B">
              <w:t>—</w:t>
            </w:r>
          </w:p>
        </w:tc>
      </w:tr>
      <w:tr w:rsidR="002849B2" w:rsidRPr="001A7A6B" w14:paraId="314BF2FB" w14:textId="77777777" w:rsidTr="00FB729B">
        <w:trPr>
          <w:cantSplit/>
        </w:trPr>
        <w:tc>
          <w:tcPr>
            <w:tcW w:w="1564" w:type="dxa"/>
            <w:tcMar>
              <w:top w:w="80" w:type="dxa"/>
              <w:left w:w="80" w:type="dxa"/>
              <w:bottom w:w="80" w:type="dxa"/>
              <w:right w:w="80" w:type="dxa"/>
            </w:tcMar>
          </w:tcPr>
          <w:p w14:paraId="348B135B" w14:textId="77777777" w:rsidR="002849B2" w:rsidRPr="001A7A6B" w:rsidRDefault="002849B2" w:rsidP="00292A53">
            <w:pPr>
              <w:pStyle w:val="TableColumn1bold"/>
              <w:spacing w:after="60"/>
            </w:pPr>
            <w:r w:rsidRPr="001A7A6B">
              <w:t>Extrinsic allergic alveolitis caused by the inhalation of organic dusts or microbially contaminated aerosols</w:t>
            </w:r>
          </w:p>
        </w:tc>
        <w:tc>
          <w:tcPr>
            <w:tcW w:w="1503" w:type="dxa"/>
            <w:tcMar>
              <w:top w:w="80" w:type="dxa"/>
              <w:left w:w="80" w:type="dxa"/>
              <w:bottom w:w="80" w:type="dxa"/>
              <w:right w:w="80" w:type="dxa"/>
            </w:tcMar>
          </w:tcPr>
          <w:p w14:paraId="56725F53"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7CBFE81D"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69388F21" w14:textId="4E3E43A5" w:rsidR="002849B2" w:rsidRPr="001A7A6B" w:rsidRDefault="002849B2" w:rsidP="00292A53">
            <w:pPr>
              <w:pStyle w:val="Table7pttext"/>
              <w:spacing w:after="60"/>
            </w:pPr>
            <w:r w:rsidRPr="001A7A6B">
              <w:t xml:space="preserve">Extrinsic allergic alveolitis caused by </w:t>
            </w:r>
            <w:r>
              <w:t>the inhalation of organic dusts</w:t>
            </w:r>
          </w:p>
        </w:tc>
        <w:tc>
          <w:tcPr>
            <w:tcW w:w="1503" w:type="dxa"/>
            <w:tcMar>
              <w:top w:w="80" w:type="dxa"/>
              <w:left w:w="80" w:type="dxa"/>
              <w:bottom w:w="80" w:type="dxa"/>
              <w:right w:w="80" w:type="dxa"/>
            </w:tcMar>
          </w:tcPr>
          <w:p w14:paraId="39D7C2B9"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255615F7"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729567A4" w14:textId="45B602E8" w:rsidR="002849B2" w:rsidRPr="001A7A6B" w:rsidRDefault="002849B2" w:rsidP="00292A53">
            <w:pPr>
              <w:pStyle w:val="Table7pttext"/>
              <w:spacing w:after="60"/>
            </w:pPr>
            <w:r w:rsidRPr="00E469EF">
              <w:t>Extrinsic allergic alveolitis – all work involving damp material of biological origin, such as mouldy hay, straw, grain and feathers</w:t>
            </w:r>
          </w:p>
        </w:tc>
        <w:tc>
          <w:tcPr>
            <w:tcW w:w="1504" w:type="dxa"/>
            <w:tcMar>
              <w:top w:w="80" w:type="dxa"/>
              <w:left w:w="80" w:type="dxa"/>
              <w:bottom w:w="80" w:type="dxa"/>
              <w:right w:w="80" w:type="dxa"/>
            </w:tcMar>
          </w:tcPr>
          <w:p w14:paraId="39B5C379"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Extrinsic allergic alveolitis employment involving exposure</w:t>
            </w:r>
          </w:p>
          <w:p w14:paraId="68B5E048" w14:textId="3513B7C3" w:rsidR="002849B2" w:rsidRPr="001A7A6B" w:rsidRDefault="00161B88" w:rsidP="000D07D9">
            <w:pPr>
              <w:autoSpaceDE w:val="0"/>
              <w:autoSpaceDN w:val="0"/>
              <w:adjustRightInd w:val="0"/>
              <w:spacing w:after="0"/>
            </w:pPr>
            <w:r w:rsidRPr="00A55B8A">
              <w:rPr>
                <w:rFonts w:eastAsiaTheme="minorHAnsi" w:cs="Arial"/>
                <w:sz w:val="14"/>
                <w:szCs w:val="14"/>
                <w:lang w:eastAsia="en-US"/>
              </w:rPr>
              <w:t>to damp material of biological</w:t>
            </w:r>
            <w:r w:rsidR="000D07D9">
              <w:rPr>
                <w:rFonts w:eastAsiaTheme="minorHAnsi" w:cs="Arial"/>
                <w:sz w:val="14"/>
                <w:szCs w:val="14"/>
                <w:lang w:eastAsia="en-US"/>
              </w:rPr>
              <w:t xml:space="preserve"> </w:t>
            </w:r>
            <w:r w:rsidRPr="000D07D9">
              <w:rPr>
                <w:sz w:val="14"/>
              </w:rPr>
              <w:t>origin</w:t>
            </w:r>
          </w:p>
        </w:tc>
        <w:tc>
          <w:tcPr>
            <w:tcW w:w="1503" w:type="dxa"/>
            <w:tcMar>
              <w:top w:w="80" w:type="dxa"/>
              <w:left w:w="80" w:type="dxa"/>
              <w:bottom w:w="80" w:type="dxa"/>
              <w:right w:w="80" w:type="dxa"/>
            </w:tcMar>
          </w:tcPr>
          <w:p w14:paraId="246A24F7" w14:textId="08C879AA" w:rsidR="002849B2" w:rsidRPr="001A7A6B" w:rsidRDefault="002849B2" w:rsidP="00292A53">
            <w:pPr>
              <w:pStyle w:val="Table7pttext"/>
              <w:spacing w:after="60"/>
            </w:pPr>
            <w:r w:rsidRPr="001A7A6B">
              <w:t>Extrinsic allergic alveolitis and its sequelae (exposure to the inhalat</w:t>
            </w:r>
            <w:r>
              <w:t>ion of organic dusts)</w:t>
            </w:r>
          </w:p>
        </w:tc>
        <w:tc>
          <w:tcPr>
            <w:tcW w:w="1504" w:type="dxa"/>
            <w:tcMar>
              <w:top w:w="80" w:type="dxa"/>
              <w:left w:w="80" w:type="dxa"/>
              <w:bottom w:w="80" w:type="dxa"/>
              <w:right w:w="80" w:type="dxa"/>
            </w:tcMar>
          </w:tcPr>
          <w:p w14:paraId="1718E668" w14:textId="4EE59A69" w:rsidR="002849B2" w:rsidRPr="001A7A6B" w:rsidRDefault="002849B2" w:rsidP="00292A53">
            <w:pPr>
              <w:pStyle w:val="Table7pttext"/>
              <w:spacing w:after="60"/>
            </w:pPr>
            <w:r w:rsidRPr="001A7A6B">
              <w:t xml:space="preserve">Extrinsic allergic alveolitis diagnosed as caused by work involving </w:t>
            </w:r>
            <w:r>
              <w:t>the inhalation of organic dusts</w:t>
            </w:r>
          </w:p>
        </w:tc>
      </w:tr>
      <w:tr w:rsidR="002849B2" w:rsidRPr="001A7A6B" w14:paraId="0B3A2191" w14:textId="77777777" w:rsidTr="00FB729B">
        <w:trPr>
          <w:cantSplit/>
        </w:trPr>
        <w:tc>
          <w:tcPr>
            <w:tcW w:w="1564" w:type="dxa"/>
            <w:shd w:val="clear" w:color="auto" w:fill="FFC9C9"/>
            <w:tcMar>
              <w:top w:w="80" w:type="dxa"/>
              <w:left w:w="80" w:type="dxa"/>
              <w:bottom w:w="80" w:type="dxa"/>
              <w:right w:w="80" w:type="dxa"/>
            </w:tcMar>
          </w:tcPr>
          <w:p w14:paraId="49B560CC" w14:textId="767E0A12" w:rsidR="002849B2" w:rsidRPr="001A7A6B" w:rsidRDefault="002849B2" w:rsidP="00292A53">
            <w:pPr>
              <w:pStyle w:val="TableColumn1bold"/>
              <w:spacing w:after="60"/>
            </w:pPr>
            <w:r w:rsidRPr="001A7A6B">
              <w:t xml:space="preserve">Pneumoconioses caused by fibrogenic mineral dust (silicosis, anthraco-silicosis, </w:t>
            </w:r>
            <w:r>
              <w:fldChar w:fldCharType="begin"/>
            </w:r>
            <w:r>
              <w:instrText xml:space="preserve"> XE "</w:instrText>
            </w:r>
            <w:r w:rsidRPr="001854C8">
              <w:instrText>silicosis</w:instrText>
            </w:r>
            <w:r>
              <w:instrText xml:space="preserve">" </w:instrText>
            </w:r>
            <w:r>
              <w:fldChar w:fldCharType="end"/>
            </w:r>
            <w:r w:rsidRPr="001A7A6B">
              <w:t>asbestosis</w:t>
            </w:r>
          </w:p>
        </w:tc>
        <w:tc>
          <w:tcPr>
            <w:tcW w:w="1503" w:type="dxa"/>
            <w:shd w:val="clear" w:color="auto" w:fill="FFC9C9"/>
            <w:tcMar>
              <w:top w:w="80" w:type="dxa"/>
              <w:left w:w="80" w:type="dxa"/>
              <w:bottom w:w="80" w:type="dxa"/>
              <w:right w:w="80" w:type="dxa"/>
            </w:tcMar>
          </w:tcPr>
          <w:p w14:paraId="4E4F553D" w14:textId="77777777" w:rsidR="002849B2" w:rsidRPr="001A7A6B" w:rsidRDefault="002849B2" w:rsidP="00292A53">
            <w:pPr>
              <w:pStyle w:val="Table7pttext"/>
              <w:spacing w:after="60"/>
            </w:pPr>
            <w:r w:rsidRPr="001A7A6B">
              <w:t>Asbestosis</w:t>
            </w:r>
          </w:p>
          <w:p w14:paraId="5485EAE9" w14:textId="77777777" w:rsidR="002849B2" w:rsidRPr="001A7A6B" w:rsidRDefault="002849B2" w:rsidP="00292A53">
            <w:pPr>
              <w:pStyle w:val="Table7pttext"/>
              <w:spacing w:after="60"/>
            </w:pPr>
            <w:r w:rsidRPr="001A7A6B">
              <w:t>Silicosis</w:t>
            </w:r>
          </w:p>
          <w:p w14:paraId="3091E01C" w14:textId="4837094F" w:rsidR="002849B2" w:rsidRPr="001A7A6B" w:rsidRDefault="002849B2" w:rsidP="00292A53">
            <w:pPr>
              <w:pStyle w:val="Table7pttext"/>
              <w:spacing w:after="60"/>
            </w:pPr>
            <w:r w:rsidRPr="001A7A6B">
              <w:t>(</w:t>
            </w:r>
            <w:hyperlink r:id="rId2223" w:history="1">
              <w:r w:rsidRPr="00193F72">
                <w:rPr>
                  <w:rStyle w:val="Hyperlink"/>
                </w:rPr>
                <w:t>Schedule 1</w:t>
              </w:r>
            </w:hyperlink>
            <w:r w:rsidRPr="001A7A6B">
              <w:t xml:space="preserve"> of the </w:t>
            </w:r>
            <w:r w:rsidRPr="00FA2384">
              <w:rPr>
                <w:i/>
              </w:rPr>
              <w:t>Workers’ Compensation (Dust Diseases) Act 1942</w:t>
            </w:r>
            <w:r>
              <w:t>)</w:t>
            </w:r>
          </w:p>
        </w:tc>
        <w:tc>
          <w:tcPr>
            <w:tcW w:w="1503" w:type="dxa"/>
            <w:shd w:val="clear" w:color="auto" w:fill="FFC9C9"/>
            <w:tcMar>
              <w:top w:w="80" w:type="dxa"/>
              <w:left w:w="80" w:type="dxa"/>
              <w:bottom w:w="80" w:type="dxa"/>
              <w:right w:w="80" w:type="dxa"/>
            </w:tcMar>
          </w:tcPr>
          <w:p w14:paraId="674F687D" w14:textId="4C0CE500" w:rsidR="002849B2" w:rsidRPr="001A7A6B" w:rsidRDefault="002849B2" w:rsidP="00292A53">
            <w:pPr>
              <w:pStyle w:val="Table7pttext"/>
              <w:spacing w:after="60"/>
            </w:pPr>
            <w:r w:rsidRPr="001A7A6B">
              <w:t>Asbestosi</w:t>
            </w:r>
            <w:r>
              <w:t>s, with or without mesothelioma</w:t>
            </w:r>
          </w:p>
          <w:p w14:paraId="6C6866D6" w14:textId="40583058" w:rsidR="002849B2" w:rsidRPr="001A7A6B" w:rsidRDefault="002849B2" w:rsidP="00292A53">
            <w:pPr>
              <w:pStyle w:val="Table7pttext"/>
              <w:spacing w:after="60"/>
            </w:pPr>
            <w:r w:rsidRPr="001A7A6B">
              <w:t>Silicosis, with or without pulmonary tuberculosis</w:t>
            </w:r>
            <w:r>
              <w:fldChar w:fldCharType="begin"/>
            </w:r>
            <w:r>
              <w:instrText xml:space="preserve"> XE "</w:instrText>
            </w:r>
            <w:r w:rsidRPr="00BC3BBD">
              <w:instrText>tuberculosis</w:instrText>
            </w:r>
            <w:r>
              <w:instrText xml:space="preserve">" </w:instrText>
            </w:r>
            <w:r>
              <w:fldChar w:fldCharType="end"/>
            </w:r>
          </w:p>
        </w:tc>
        <w:tc>
          <w:tcPr>
            <w:tcW w:w="1504" w:type="dxa"/>
            <w:shd w:val="clear" w:color="auto" w:fill="FFC9C9"/>
            <w:tcMar>
              <w:top w:w="80" w:type="dxa"/>
              <w:left w:w="80" w:type="dxa"/>
              <w:bottom w:w="80" w:type="dxa"/>
              <w:right w:w="80" w:type="dxa"/>
            </w:tcMar>
          </w:tcPr>
          <w:p w14:paraId="7C3E215D"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140892E9" w14:textId="1D80A10B" w:rsidR="002849B2" w:rsidRPr="001A7A6B" w:rsidRDefault="002849B2" w:rsidP="00B53A65">
            <w:pPr>
              <w:pStyle w:val="Table7pttext"/>
              <w:spacing w:after="60"/>
            </w:pPr>
            <w:r>
              <w:t>Asbestosis (any work involving exposure to inhalation of asbestos fibres)</w:t>
            </w:r>
          </w:p>
        </w:tc>
        <w:tc>
          <w:tcPr>
            <w:tcW w:w="1504" w:type="dxa"/>
            <w:shd w:val="clear" w:color="auto" w:fill="FFC9C9"/>
            <w:tcMar>
              <w:top w:w="80" w:type="dxa"/>
              <w:left w:w="80" w:type="dxa"/>
              <w:bottom w:w="80" w:type="dxa"/>
              <w:right w:w="80" w:type="dxa"/>
            </w:tcMar>
          </w:tcPr>
          <w:p w14:paraId="27F8A786" w14:textId="221D66D0" w:rsidR="002849B2" w:rsidRPr="001A7A6B" w:rsidRDefault="002849B2" w:rsidP="00292A53">
            <w:pPr>
              <w:pStyle w:val="Table7pttext"/>
              <w:spacing w:after="60"/>
            </w:pPr>
            <w:r w:rsidRPr="001A7A6B">
              <w:t xml:space="preserve">Diseases caused by occupational exposure to asbestos are covered by the </w:t>
            </w:r>
            <w:r w:rsidRPr="00FA2384">
              <w:rPr>
                <w:i/>
              </w:rPr>
              <w:t>Asbestos-Related Diseases</w:t>
            </w:r>
            <w:r w:rsidRPr="00FA2384">
              <w:rPr>
                <w:i/>
              </w:rPr>
              <w:fldChar w:fldCharType="begin"/>
            </w:r>
            <w:r w:rsidRPr="00FA2384">
              <w:rPr>
                <w:i/>
              </w:rPr>
              <w:instrText xml:space="preserve"> XE "Asbestos Related Diseases" </w:instrText>
            </w:r>
            <w:r w:rsidRPr="00FA2384">
              <w:rPr>
                <w:i/>
              </w:rPr>
              <w:fldChar w:fldCharType="end"/>
            </w:r>
            <w:r w:rsidRPr="00FA2384">
              <w:rPr>
                <w:i/>
              </w:rPr>
              <w:t xml:space="preserve"> (Occupational Exposure) Compensation Act 2011</w:t>
            </w:r>
            <w:r>
              <w:t xml:space="preserve"> </w:t>
            </w:r>
            <w:r w:rsidRPr="000D07D9">
              <w:t>from 31 Oct 2011</w:t>
            </w:r>
          </w:p>
        </w:tc>
        <w:tc>
          <w:tcPr>
            <w:tcW w:w="1503" w:type="dxa"/>
            <w:shd w:val="clear" w:color="auto" w:fill="FFC9C9"/>
            <w:tcMar>
              <w:top w:w="80" w:type="dxa"/>
              <w:left w:w="80" w:type="dxa"/>
              <w:bottom w:w="80" w:type="dxa"/>
              <w:right w:w="80" w:type="dxa"/>
            </w:tcMar>
          </w:tcPr>
          <w:p w14:paraId="093F7FF9" w14:textId="5CFDFC3F" w:rsidR="002849B2" w:rsidRPr="001A7A6B" w:rsidRDefault="002849B2" w:rsidP="00292A53">
            <w:pPr>
              <w:pStyle w:val="Table7pttext"/>
              <w:spacing w:after="60"/>
            </w:pPr>
            <w:r w:rsidRPr="00E469EF">
              <w:t>Asbestosis, silicosis</w:t>
            </w:r>
          </w:p>
        </w:tc>
        <w:tc>
          <w:tcPr>
            <w:tcW w:w="1504" w:type="dxa"/>
            <w:shd w:val="clear" w:color="auto" w:fill="FFC9C9"/>
            <w:tcMar>
              <w:top w:w="80" w:type="dxa"/>
              <w:left w:w="80" w:type="dxa"/>
              <w:bottom w:w="80" w:type="dxa"/>
              <w:right w:w="80" w:type="dxa"/>
            </w:tcMar>
          </w:tcPr>
          <w:p w14:paraId="641D2116" w14:textId="77777777" w:rsidR="002849B2" w:rsidRPr="001A7A6B" w:rsidRDefault="002849B2" w:rsidP="00292A53">
            <w:pPr>
              <w:pStyle w:val="Table7pttext"/>
              <w:spacing w:after="60"/>
            </w:pPr>
            <w:r w:rsidRPr="001A7A6B">
              <w:t>Asbestosis.</w:t>
            </w:r>
          </w:p>
          <w:p w14:paraId="14534E0F" w14:textId="59A99A6A" w:rsidR="002849B2" w:rsidRPr="001A7A6B" w:rsidRDefault="002849B2" w:rsidP="00161B88">
            <w:pPr>
              <w:pStyle w:val="Table7pttext"/>
              <w:spacing w:after="60"/>
            </w:pPr>
            <w:r w:rsidRPr="001A7A6B">
              <w:t>Pneumoconiosis (matt</w:t>
            </w:r>
            <w:r>
              <w:t>er)</w:t>
            </w:r>
          </w:p>
        </w:tc>
        <w:tc>
          <w:tcPr>
            <w:tcW w:w="1503" w:type="dxa"/>
            <w:shd w:val="clear" w:color="auto" w:fill="FFC9C9"/>
            <w:tcMar>
              <w:top w:w="80" w:type="dxa"/>
              <w:left w:w="80" w:type="dxa"/>
              <w:bottom w:w="80" w:type="dxa"/>
              <w:right w:w="80" w:type="dxa"/>
            </w:tcMar>
          </w:tcPr>
          <w:p w14:paraId="5AE64673" w14:textId="63DBF7F4" w:rsidR="002849B2" w:rsidRPr="001A7A6B" w:rsidRDefault="002849B2" w:rsidP="00292A53">
            <w:pPr>
              <w:pStyle w:val="Table7pttext"/>
              <w:spacing w:after="60"/>
            </w:pPr>
            <w:r w:rsidRPr="001A7A6B">
              <w:t>Pneumoconioses caused by sclerogenic mineral dust (silicosis, anthraco-silicosis, asbestosis) and silico-tuberculosis</w:t>
            </w:r>
            <w:r>
              <w:fldChar w:fldCharType="begin"/>
            </w:r>
            <w:r>
              <w:instrText xml:space="preserve"> XE "</w:instrText>
            </w:r>
            <w:r w:rsidRPr="00BC3BBD">
              <w:instrText>tuberculosis</w:instrText>
            </w:r>
            <w:r>
              <w:instrText xml:space="preserve">" </w:instrText>
            </w:r>
            <w:r>
              <w:fldChar w:fldCharType="end"/>
            </w:r>
            <w:r w:rsidRPr="001A7A6B">
              <w:t xml:space="preserve">, provided that slilcosis is an essential factor causing the resultant </w:t>
            </w:r>
            <w:r>
              <w:t>incapacity, impairment or death</w:t>
            </w:r>
          </w:p>
        </w:tc>
        <w:tc>
          <w:tcPr>
            <w:tcW w:w="1504" w:type="dxa"/>
            <w:shd w:val="clear" w:color="auto" w:fill="FFC9C9"/>
            <w:tcMar>
              <w:top w:w="80" w:type="dxa"/>
              <w:left w:w="80" w:type="dxa"/>
              <w:bottom w:w="80" w:type="dxa"/>
              <w:right w:w="80" w:type="dxa"/>
            </w:tcMar>
          </w:tcPr>
          <w:p w14:paraId="4F29A209" w14:textId="4105E9FD" w:rsidR="002849B2" w:rsidRPr="001A7A6B" w:rsidRDefault="002849B2" w:rsidP="00292A53">
            <w:pPr>
              <w:pStyle w:val="Table7pttext"/>
              <w:spacing w:after="60"/>
            </w:pPr>
            <w:r w:rsidRPr="001A7A6B">
              <w:t>Pneumoconioses caused by sclerogenic mineral dust (silicosis, anthraco-silicosis, asbestosis) and silico-tuberculosis</w:t>
            </w:r>
            <w:r>
              <w:fldChar w:fldCharType="begin"/>
            </w:r>
            <w:r>
              <w:instrText xml:space="preserve"> XE "</w:instrText>
            </w:r>
            <w:r w:rsidRPr="00BC3BBD">
              <w:instrText>tuberculosis</w:instrText>
            </w:r>
            <w:r>
              <w:instrText xml:space="preserve">" </w:instrText>
            </w:r>
            <w:r>
              <w:fldChar w:fldCharType="end"/>
            </w:r>
            <w:r w:rsidRPr="001A7A6B">
              <w:t>, provided that slilcosis is an essential factor causing th</w:t>
            </w:r>
            <w:r>
              <w:t>e resultant incapacity or death</w:t>
            </w:r>
          </w:p>
        </w:tc>
      </w:tr>
      <w:tr w:rsidR="002849B2" w:rsidRPr="001A7A6B" w14:paraId="3EBB66ED" w14:textId="77777777" w:rsidTr="00FB729B">
        <w:trPr>
          <w:cantSplit/>
        </w:trPr>
        <w:tc>
          <w:tcPr>
            <w:tcW w:w="1564" w:type="dxa"/>
            <w:tcMar>
              <w:top w:w="80" w:type="dxa"/>
              <w:left w:w="80" w:type="dxa"/>
              <w:bottom w:w="80" w:type="dxa"/>
              <w:right w:w="80" w:type="dxa"/>
            </w:tcMar>
          </w:tcPr>
          <w:p w14:paraId="50267989" w14:textId="77777777" w:rsidR="002849B2" w:rsidRPr="001A7A6B" w:rsidRDefault="002849B2" w:rsidP="00292A53">
            <w:pPr>
              <w:pStyle w:val="TableColumn1bold"/>
              <w:spacing w:after="60"/>
            </w:pPr>
            <w:r w:rsidRPr="001A7A6B">
              <w:lastRenderedPageBreak/>
              <w:t>Pnemoconioses caused by non-fibrogenic mineral dust</w:t>
            </w:r>
          </w:p>
        </w:tc>
        <w:tc>
          <w:tcPr>
            <w:tcW w:w="1503" w:type="dxa"/>
            <w:tcMar>
              <w:top w:w="80" w:type="dxa"/>
              <w:left w:w="80" w:type="dxa"/>
              <w:bottom w:w="80" w:type="dxa"/>
              <w:right w:w="80" w:type="dxa"/>
            </w:tcMar>
          </w:tcPr>
          <w:p w14:paraId="6F117002" w14:textId="77777777" w:rsidR="002849B2" w:rsidRPr="001A7A6B" w:rsidRDefault="002849B2" w:rsidP="00292A53">
            <w:pPr>
              <w:pStyle w:val="Table7pttext"/>
              <w:spacing w:after="60"/>
            </w:pPr>
            <w:r w:rsidRPr="001A7A6B">
              <w:t>Talcosis</w:t>
            </w:r>
          </w:p>
          <w:p w14:paraId="0B02E481" w14:textId="77777777" w:rsidR="002849B2" w:rsidRPr="001A7A6B" w:rsidRDefault="002849B2" w:rsidP="00292A53">
            <w:pPr>
              <w:pStyle w:val="Table7pttext"/>
              <w:spacing w:after="60"/>
            </w:pPr>
            <w:r w:rsidRPr="001A7A6B">
              <w:t>Berylliosis</w:t>
            </w:r>
          </w:p>
          <w:p w14:paraId="0904F25F" w14:textId="3705121B" w:rsidR="002849B2" w:rsidRPr="001A7A6B" w:rsidRDefault="002849B2" w:rsidP="00292A53">
            <w:pPr>
              <w:pStyle w:val="Table7pttext"/>
              <w:spacing w:after="60"/>
            </w:pPr>
            <w:r w:rsidRPr="001A7A6B">
              <w:t>(</w:t>
            </w:r>
            <w:hyperlink r:id="rId2224" w:history="1">
              <w:r w:rsidRPr="00193F72">
                <w:rPr>
                  <w:rStyle w:val="Hyperlink"/>
                </w:rPr>
                <w:t>Schedule 1</w:t>
              </w:r>
            </w:hyperlink>
            <w:r w:rsidRPr="001A7A6B">
              <w:t xml:space="preserve"> of the </w:t>
            </w:r>
            <w:r w:rsidRPr="00FA2384">
              <w:rPr>
                <w:i/>
              </w:rPr>
              <w:t>Workers’ Compensation (Dust Diseases) Act 1942</w:t>
            </w:r>
            <w:r>
              <w:t>)</w:t>
            </w:r>
          </w:p>
        </w:tc>
        <w:tc>
          <w:tcPr>
            <w:tcW w:w="1503" w:type="dxa"/>
            <w:tcMar>
              <w:top w:w="80" w:type="dxa"/>
              <w:left w:w="80" w:type="dxa"/>
              <w:bottom w:w="80" w:type="dxa"/>
              <w:right w:w="80" w:type="dxa"/>
            </w:tcMar>
          </w:tcPr>
          <w:p w14:paraId="1DD2E142"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3E18640A" w14:textId="324B9755" w:rsidR="002849B2" w:rsidRPr="001A7A6B" w:rsidRDefault="002849B2" w:rsidP="00292A53">
            <w:pPr>
              <w:pStyle w:val="Table7pttext"/>
              <w:spacing w:after="60"/>
            </w:pPr>
            <w:r>
              <w:t>Pneumoconiosis (mineral dusts)</w:t>
            </w:r>
          </w:p>
        </w:tc>
        <w:tc>
          <w:tcPr>
            <w:tcW w:w="1503" w:type="dxa"/>
            <w:tcMar>
              <w:top w:w="80" w:type="dxa"/>
              <w:left w:w="80" w:type="dxa"/>
              <w:bottom w:w="80" w:type="dxa"/>
              <w:right w:w="80" w:type="dxa"/>
            </w:tcMar>
          </w:tcPr>
          <w:p w14:paraId="48C29CEA" w14:textId="4A3E9769" w:rsidR="002849B2" w:rsidRPr="001A7A6B" w:rsidRDefault="002849B2" w:rsidP="00292A53">
            <w:pPr>
              <w:pStyle w:val="Table7pttext"/>
              <w:spacing w:after="60"/>
            </w:pPr>
            <w:r w:rsidRPr="002B047F">
              <w:t>Pneumonconiosis, including silicosis (any work involving mining, quarrying, cutting, crushing, grinding or pushing stone or meltin</w:t>
            </w:r>
            <w:r>
              <w:t>g, grinding or polishing metal)</w:t>
            </w:r>
          </w:p>
        </w:tc>
        <w:tc>
          <w:tcPr>
            <w:tcW w:w="1504" w:type="dxa"/>
            <w:tcMar>
              <w:top w:w="80" w:type="dxa"/>
              <w:left w:w="80" w:type="dxa"/>
              <w:bottom w:w="80" w:type="dxa"/>
              <w:right w:w="80" w:type="dxa"/>
            </w:tcMar>
          </w:tcPr>
          <w:p w14:paraId="6D0A8935"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483EAC0A" w14:textId="5E436FEF" w:rsidR="002849B2" w:rsidRPr="001A7A6B" w:rsidRDefault="002849B2" w:rsidP="00292A53">
            <w:pPr>
              <w:pStyle w:val="Table7pttext"/>
              <w:spacing w:after="60"/>
            </w:pPr>
            <w:r w:rsidRPr="00E469EF">
              <w:t>All work exposures known to occasionally cause pneumoconiosis such as beryllium, tin, iron oxide, barium, aluminium, cobalt and tungsten</w:t>
            </w:r>
          </w:p>
        </w:tc>
        <w:tc>
          <w:tcPr>
            <w:tcW w:w="1504" w:type="dxa"/>
            <w:tcMar>
              <w:top w:w="80" w:type="dxa"/>
              <w:left w:w="80" w:type="dxa"/>
              <w:bottom w:w="80" w:type="dxa"/>
              <w:right w:w="80" w:type="dxa"/>
            </w:tcMar>
          </w:tcPr>
          <w:p w14:paraId="275AEA27" w14:textId="10EFB235" w:rsidR="002849B2" w:rsidRPr="001A7A6B" w:rsidRDefault="002849B2" w:rsidP="00292A53">
            <w:pPr>
              <w:pStyle w:val="Table7pttext"/>
              <w:spacing w:after="60"/>
            </w:pPr>
            <w:r>
              <w:t>Pneumoconiosis (matter)</w:t>
            </w:r>
          </w:p>
        </w:tc>
        <w:tc>
          <w:tcPr>
            <w:tcW w:w="1503" w:type="dxa"/>
            <w:tcMar>
              <w:top w:w="80" w:type="dxa"/>
              <w:left w:w="80" w:type="dxa"/>
              <w:bottom w:w="80" w:type="dxa"/>
              <w:right w:w="80" w:type="dxa"/>
            </w:tcMar>
          </w:tcPr>
          <w:p w14:paraId="65D5B0EF"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51F1A7B3" w14:textId="68900364" w:rsidR="002849B2" w:rsidRPr="001A7A6B" w:rsidRDefault="002849B2" w:rsidP="00292A53">
            <w:pPr>
              <w:pStyle w:val="Table7pttext"/>
              <w:spacing w:after="60"/>
            </w:pPr>
            <w:r w:rsidRPr="001A7A6B">
              <w:t>Pneumoconiosis diagnosed as caused by tin</w:t>
            </w:r>
            <w:r>
              <w:t>, iron oxide, barium or cobalt</w:t>
            </w:r>
          </w:p>
        </w:tc>
      </w:tr>
      <w:tr w:rsidR="002849B2" w:rsidRPr="001A7A6B" w14:paraId="7A83835F" w14:textId="77777777" w:rsidTr="00FB729B">
        <w:trPr>
          <w:cantSplit/>
        </w:trPr>
        <w:tc>
          <w:tcPr>
            <w:tcW w:w="1564" w:type="dxa"/>
            <w:shd w:val="clear" w:color="auto" w:fill="FFC9C9"/>
            <w:tcMar>
              <w:top w:w="80" w:type="dxa"/>
              <w:left w:w="80" w:type="dxa"/>
              <w:bottom w:w="80" w:type="dxa"/>
              <w:right w:w="80" w:type="dxa"/>
            </w:tcMar>
          </w:tcPr>
          <w:p w14:paraId="36687754" w14:textId="77777777" w:rsidR="002849B2" w:rsidRPr="001A7A6B" w:rsidRDefault="002849B2" w:rsidP="00292A53">
            <w:pPr>
              <w:pStyle w:val="TableColumn1bold"/>
              <w:spacing w:after="60"/>
            </w:pPr>
            <w:r w:rsidRPr="001A7A6B">
              <w:t>Silicotuberculosis</w:t>
            </w:r>
          </w:p>
        </w:tc>
        <w:tc>
          <w:tcPr>
            <w:tcW w:w="1503" w:type="dxa"/>
            <w:shd w:val="clear" w:color="auto" w:fill="FFC9C9"/>
            <w:tcMar>
              <w:top w:w="80" w:type="dxa"/>
              <w:left w:w="80" w:type="dxa"/>
              <w:bottom w:w="80" w:type="dxa"/>
              <w:right w:w="80" w:type="dxa"/>
            </w:tcMar>
          </w:tcPr>
          <w:p w14:paraId="60B69433" w14:textId="77777777" w:rsidR="002849B2" w:rsidRPr="001A7A6B" w:rsidRDefault="002849B2" w:rsidP="00292A53">
            <w:pPr>
              <w:pStyle w:val="Table7pttext"/>
              <w:spacing w:after="60"/>
            </w:pPr>
            <w:r w:rsidRPr="001A7A6B">
              <w:t>Silico-tuberculosis</w:t>
            </w:r>
            <w:r>
              <w:fldChar w:fldCharType="begin"/>
            </w:r>
            <w:r>
              <w:instrText xml:space="preserve"> XE "</w:instrText>
            </w:r>
            <w:r w:rsidRPr="00BC3BBD">
              <w:instrText>tuberculosis</w:instrText>
            </w:r>
            <w:r>
              <w:instrText xml:space="preserve">" </w:instrText>
            </w:r>
            <w:r>
              <w:fldChar w:fldCharType="end"/>
            </w:r>
          </w:p>
          <w:p w14:paraId="57605BB1" w14:textId="48004350" w:rsidR="002849B2" w:rsidRPr="001A7A6B" w:rsidRDefault="002849B2" w:rsidP="00292A53">
            <w:pPr>
              <w:pStyle w:val="Table7pttext"/>
              <w:spacing w:after="60"/>
            </w:pPr>
            <w:r w:rsidRPr="001A7A6B">
              <w:t>(</w:t>
            </w:r>
            <w:hyperlink r:id="rId2225" w:history="1">
              <w:r w:rsidRPr="00193F72">
                <w:rPr>
                  <w:rStyle w:val="Hyperlink"/>
                </w:rPr>
                <w:t>Schedule 1</w:t>
              </w:r>
            </w:hyperlink>
            <w:r w:rsidRPr="001A7A6B">
              <w:t xml:space="preserve"> of the </w:t>
            </w:r>
            <w:r w:rsidRPr="00FA2384">
              <w:rPr>
                <w:i/>
              </w:rPr>
              <w:t>Workers’ Compensation (Dust Diseases) Act 1942</w:t>
            </w:r>
            <w:r>
              <w:t>)</w:t>
            </w:r>
          </w:p>
        </w:tc>
        <w:tc>
          <w:tcPr>
            <w:tcW w:w="1503" w:type="dxa"/>
            <w:shd w:val="clear" w:color="auto" w:fill="FFC9C9"/>
            <w:tcMar>
              <w:top w:w="80" w:type="dxa"/>
              <w:left w:w="80" w:type="dxa"/>
              <w:bottom w:w="80" w:type="dxa"/>
              <w:right w:w="80" w:type="dxa"/>
            </w:tcMar>
          </w:tcPr>
          <w:p w14:paraId="26AA761C" w14:textId="5AFFA82D" w:rsidR="002849B2" w:rsidRPr="001A7A6B" w:rsidRDefault="002849B2" w:rsidP="00292A53">
            <w:pPr>
              <w:pStyle w:val="Table7pttext"/>
              <w:spacing w:after="60"/>
            </w:pPr>
            <w:r w:rsidRPr="001A7A6B">
              <w:t>Silicosis, with or without pulmonary tuberculosis</w:t>
            </w:r>
            <w:r>
              <w:fldChar w:fldCharType="begin"/>
            </w:r>
            <w:r>
              <w:instrText xml:space="preserve"> XE "</w:instrText>
            </w:r>
            <w:r w:rsidRPr="00BC3BBD">
              <w:instrText>tuberculosis</w:instrText>
            </w:r>
            <w:r>
              <w:instrText xml:space="preserve">" </w:instrText>
            </w:r>
            <w:r>
              <w:fldChar w:fldCharType="end"/>
            </w:r>
          </w:p>
        </w:tc>
        <w:tc>
          <w:tcPr>
            <w:tcW w:w="1504" w:type="dxa"/>
            <w:shd w:val="clear" w:color="auto" w:fill="FFC9C9"/>
            <w:tcMar>
              <w:top w:w="80" w:type="dxa"/>
              <w:left w:w="80" w:type="dxa"/>
              <w:bottom w:w="80" w:type="dxa"/>
              <w:right w:w="80" w:type="dxa"/>
            </w:tcMar>
          </w:tcPr>
          <w:p w14:paraId="7481DDB8"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3523DBF9"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3BBAAA50" w14:textId="649BC740" w:rsidR="002849B2" w:rsidRPr="001A7A6B" w:rsidRDefault="002849B2" w:rsidP="00292A53">
            <w:pPr>
              <w:pStyle w:val="Table7pttext"/>
              <w:spacing w:after="60"/>
            </w:pPr>
            <w:r w:rsidRPr="001A7A6B">
              <w:t>Pneumoconioses caused by silica dust (silicosis, anthracosilicosis) and silico-tuberculosis</w:t>
            </w:r>
            <w:r>
              <w:fldChar w:fldCharType="begin"/>
            </w:r>
            <w:r>
              <w:instrText xml:space="preserve"> XE "</w:instrText>
            </w:r>
            <w:r w:rsidRPr="00BC3BBD">
              <w:instrText>tuberculosis</w:instrText>
            </w:r>
            <w:r>
              <w:instrText xml:space="preserve">" </w:instrText>
            </w:r>
            <w:r>
              <w:fldChar w:fldCharType="end"/>
            </w:r>
            <w:r w:rsidRPr="001A7A6B">
              <w:t>, provided that silicosis is an essential factor in causing the resultant incapacity or death from silico-tuberculosis</w:t>
            </w:r>
          </w:p>
        </w:tc>
        <w:tc>
          <w:tcPr>
            <w:tcW w:w="1503" w:type="dxa"/>
            <w:shd w:val="clear" w:color="auto" w:fill="FFC9C9"/>
            <w:tcMar>
              <w:top w:w="80" w:type="dxa"/>
              <w:left w:w="80" w:type="dxa"/>
              <w:bottom w:w="80" w:type="dxa"/>
              <w:right w:w="80" w:type="dxa"/>
            </w:tcMar>
          </w:tcPr>
          <w:p w14:paraId="03248427"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2AEE6B6A" w14:textId="6EAE92C7" w:rsidR="002849B2" w:rsidRPr="001A7A6B" w:rsidRDefault="00161B88" w:rsidP="00292A53">
            <w:pPr>
              <w:pStyle w:val="Table7pttext"/>
              <w:spacing w:after="60"/>
            </w:pPr>
            <w:r>
              <w:t>Silicosis – employment involving exposure to silica</w:t>
            </w:r>
          </w:p>
        </w:tc>
        <w:tc>
          <w:tcPr>
            <w:tcW w:w="1503" w:type="dxa"/>
            <w:shd w:val="clear" w:color="auto" w:fill="FFC9C9"/>
            <w:tcMar>
              <w:top w:w="80" w:type="dxa"/>
              <w:left w:w="80" w:type="dxa"/>
              <w:bottom w:w="80" w:type="dxa"/>
              <w:right w:w="80" w:type="dxa"/>
            </w:tcMar>
          </w:tcPr>
          <w:p w14:paraId="179B9189" w14:textId="22F652B7" w:rsidR="002849B2" w:rsidRPr="001A7A6B" w:rsidRDefault="002849B2" w:rsidP="00692DB2">
            <w:pPr>
              <w:pStyle w:val="Table7pttext"/>
              <w:spacing w:after="60"/>
            </w:pPr>
            <w:r w:rsidRPr="001A7A6B">
              <w:t>Silico-tuberculosis</w:t>
            </w:r>
            <w:r>
              <w:fldChar w:fldCharType="begin"/>
            </w:r>
            <w:r>
              <w:instrText xml:space="preserve"> XE "</w:instrText>
            </w:r>
            <w:r w:rsidRPr="00BC3BBD">
              <w:instrText>tuberculosis</w:instrText>
            </w:r>
            <w:r>
              <w:instrText xml:space="preserve">" </w:instrText>
            </w:r>
            <w:r>
              <w:fldChar w:fldCharType="end"/>
            </w:r>
            <w:r w:rsidRPr="001A7A6B">
              <w:t xml:space="preserve"> </w:t>
            </w:r>
          </w:p>
        </w:tc>
        <w:tc>
          <w:tcPr>
            <w:tcW w:w="1504" w:type="dxa"/>
            <w:shd w:val="clear" w:color="auto" w:fill="FFC9C9"/>
            <w:tcMar>
              <w:top w:w="80" w:type="dxa"/>
              <w:left w:w="80" w:type="dxa"/>
              <w:bottom w:w="80" w:type="dxa"/>
              <w:right w:w="80" w:type="dxa"/>
            </w:tcMar>
          </w:tcPr>
          <w:p w14:paraId="462AFEF3" w14:textId="638C7F47" w:rsidR="002849B2" w:rsidRPr="001A7A6B" w:rsidRDefault="002849B2" w:rsidP="00692DB2">
            <w:pPr>
              <w:pStyle w:val="Table7pttext"/>
              <w:spacing w:after="60"/>
            </w:pPr>
            <w:r w:rsidRPr="001A7A6B">
              <w:t>Silico-tuberculosis</w:t>
            </w:r>
            <w:r>
              <w:fldChar w:fldCharType="begin"/>
            </w:r>
            <w:r>
              <w:instrText xml:space="preserve"> XE "</w:instrText>
            </w:r>
            <w:r w:rsidRPr="00BC3BBD">
              <w:instrText>tuberculosis</w:instrText>
            </w:r>
            <w:r>
              <w:instrText xml:space="preserve">" </w:instrText>
            </w:r>
            <w:r>
              <w:fldChar w:fldCharType="end"/>
            </w:r>
            <w:r w:rsidRPr="001A7A6B">
              <w:t xml:space="preserve"> </w:t>
            </w:r>
          </w:p>
        </w:tc>
      </w:tr>
      <w:tr w:rsidR="002849B2" w:rsidRPr="001A7A6B" w14:paraId="1A841692" w14:textId="77777777" w:rsidTr="00FB729B">
        <w:trPr>
          <w:cantSplit/>
        </w:trPr>
        <w:tc>
          <w:tcPr>
            <w:tcW w:w="1564" w:type="dxa"/>
            <w:tcMar>
              <w:top w:w="80" w:type="dxa"/>
              <w:left w:w="80" w:type="dxa"/>
              <w:bottom w:w="80" w:type="dxa"/>
              <w:right w:w="80" w:type="dxa"/>
            </w:tcMar>
          </w:tcPr>
          <w:p w14:paraId="2253BE36" w14:textId="30D5D9AE" w:rsidR="002849B2" w:rsidRPr="001A7A6B" w:rsidRDefault="002849B2" w:rsidP="00292A53">
            <w:pPr>
              <w:pStyle w:val="TableColumn1bold"/>
              <w:spacing w:after="60"/>
            </w:pPr>
            <w:bookmarkStart w:id="306" w:name="resp"/>
            <w:r w:rsidRPr="001A7A6B">
              <w:t>Other respiratory</w:t>
            </w:r>
            <w:r>
              <w:fldChar w:fldCharType="begin"/>
            </w:r>
            <w:r>
              <w:instrText xml:space="preserve"> XE "</w:instrText>
            </w:r>
            <w:r w:rsidRPr="001854C8">
              <w:instrText>respiratory diseases see also dust diseases</w:instrText>
            </w:r>
            <w:r>
              <w:instrText xml:space="preserve">" </w:instrText>
            </w:r>
            <w:r>
              <w:fldChar w:fldCharType="end"/>
            </w:r>
            <w:r w:rsidRPr="001A7A6B">
              <w:t xml:space="preserve"> disease not mentioned in the preceding items</w:t>
            </w:r>
          </w:p>
        </w:tc>
        <w:tc>
          <w:tcPr>
            <w:tcW w:w="1503" w:type="dxa"/>
            <w:tcMar>
              <w:top w:w="80" w:type="dxa"/>
              <w:left w:w="80" w:type="dxa"/>
              <w:bottom w:w="80" w:type="dxa"/>
              <w:right w:w="80" w:type="dxa"/>
            </w:tcMar>
          </w:tcPr>
          <w:p w14:paraId="01B4EA46" w14:textId="77777777" w:rsidR="002849B2" w:rsidRPr="001A7A6B" w:rsidRDefault="002849B2" w:rsidP="00292A53">
            <w:pPr>
              <w:pStyle w:val="Table7pttext"/>
              <w:spacing w:after="60"/>
            </w:pPr>
            <w:r w:rsidRPr="001A7A6B">
              <w:t>Asbestos related pleural diseases</w:t>
            </w:r>
          </w:p>
          <w:p w14:paraId="148C2BF1" w14:textId="77777777" w:rsidR="002849B2" w:rsidRPr="001A7A6B" w:rsidRDefault="002849B2" w:rsidP="00292A53">
            <w:pPr>
              <w:pStyle w:val="Table7pttext"/>
              <w:spacing w:after="60"/>
            </w:pPr>
            <w:r w:rsidRPr="001A7A6B">
              <w:t>Asbestos induced carcinoma</w:t>
            </w:r>
          </w:p>
          <w:p w14:paraId="607E6BFB" w14:textId="77777777" w:rsidR="002849B2" w:rsidRPr="001A7A6B" w:rsidRDefault="002849B2" w:rsidP="00292A53">
            <w:pPr>
              <w:pStyle w:val="Table7pttext"/>
              <w:spacing w:after="60"/>
            </w:pPr>
            <w:r w:rsidRPr="001A7A6B">
              <w:t>Mesothelioma</w:t>
            </w:r>
          </w:p>
          <w:p w14:paraId="6D016C33" w14:textId="77777777" w:rsidR="002849B2" w:rsidRPr="001A7A6B" w:rsidRDefault="002849B2" w:rsidP="00292A53">
            <w:pPr>
              <w:pStyle w:val="Table7pttext"/>
              <w:spacing w:after="60"/>
            </w:pPr>
            <w:r w:rsidRPr="001A7A6B">
              <w:t>Farmers lung</w:t>
            </w:r>
          </w:p>
          <w:p w14:paraId="6AA0CF92" w14:textId="1A392ADA" w:rsidR="002849B2" w:rsidRPr="001A7A6B" w:rsidRDefault="002849B2" w:rsidP="00292A53">
            <w:pPr>
              <w:pStyle w:val="Table7pttext"/>
              <w:spacing w:after="60"/>
            </w:pPr>
            <w:r w:rsidRPr="001A7A6B">
              <w:t>(</w:t>
            </w:r>
            <w:hyperlink r:id="rId2226" w:history="1">
              <w:r w:rsidRPr="00193F72">
                <w:rPr>
                  <w:rStyle w:val="Hyperlink"/>
                </w:rPr>
                <w:t>Schedule 1</w:t>
              </w:r>
            </w:hyperlink>
            <w:r w:rsidRPr="001A7A6B">
              <w:t xml:space="preserve"> of the </w:t>
            </w:r>
            <w:r w:rsidRPr="00FA2384">
              <w:rPr>
                <w:i/>
              </w:rPr>
              <w:t>Workers’ Compensation (Dust Diseases) Act 1942</w:t>
            </w:r>
            <w:r>
              <w:t>)</w:t>
            </w:r>
          </w:p>
        </w:tc>
        <w:tc>
          <w:tcPr>
            <w:tcW w:w="1503" w:type="dxa"/>
            <w:tcMar>
              <w:top w:w="80" w:type="dxa"/>
              <w:left w:w="80" w:type="dxa"/>
              <w:bottom w:w="80" w:type="dxa"/>
              <w:right w:w="80" w:type="dxa"/>
            </w:tcMar>
          </w:tcPr>
          <w:p w14:paraId="3647F55F"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019D157B" w14:textId="77777777" w:rsidR="002849B2" w:rsidRPr="001A7A6B" w:rsidRDefault="002849B2" w:rsidP="00292A53">
            <w:pPr>
              <w:pStyle w:val="Table7pttext"/>
              <w:spacing w:after="60"/>
            </w:pPr>
            <w:r w:rsidRPr="001A7A6B">
              <w:t>Diffuse pleural fibrosis</w:t>
            </w:r>
          </w:p>
          <w:p w14:paraId="024DCC9B" w14:textId="3EE4E4D2" w:rsidR="002849B2" w:rsidRPr="001A7A6B" w:rsidRDefault="002849B2" w:rsidP="00292A53">
            <w:pPr>
              <w:pStyle w:val="Table7pttext"/>
              <w:spacing w:after="60"/>
            </w:pPr>
            <w:r w:rsidRPr="001A7A6B">
              <w:t>Mesothelioma</w:t>
            </w:r>
          </w:p>
        </w:tc>
        <w:tc>
          <w:tcPr>
            <w:tcW w:w="1503" w:type="dxa"/>
            <w:tcMar>
              <w:top w:w="80" w:type="dxa"/>
              <w:left w:w="80" w:type="dxa"/>
              <w:bottom w:w="80" w:type="dxa"/>
              <w:right w:w="80" w:type="dxa"/>
            </w:tcMar>
          </w:tcPr>
          <w:p w14:paraId="7DAEFD45"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3D3736CA"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0A3DB223" w14:textId="3EECD7FD" w:rsidR="002849B2" w:rsidRPr="001A7A6B" w:rsidRDefault="002849B2" w:rsidP="00292A53">
            <w:pPr>
              <w:pStyle w:val="Table7pttext"/>
              <w:spacing w:after="60"/>
            </w:pPr>
            <w:r w:rsidRPr="00E469EF">
              <w:t>Mesothelioma</w:t>
            </w:r>
          </w:p>
        </w:tc>
        <w:tc>
          <w:tcPr>
            <w:tcW w:w="1504" w:type="dxa"/>
            <w:tcMar>
              <w:top w:w="80" w:type="dxa"/>
              <w:left w:w="80" w:type="dxa"/>
              <w:bottom w:w="80" w:type="dxa"/>
              <w:right w:w="80" w:type="dxa"/>
            </w:tcMar>
          </w:tcPr>
          <w:p w14:paraId="7BE79884"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7ED2FBCE"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7F1317C7" w14:textId="77777777" w:rsidR="002849B2" w:rsidRPr="001A7A6B" w:rsidRDefault="002849B2" w:rsidP="00292A53">
            <w:pPr>
              <w:pStyle w:val="Table7pttext"/>
              <w:spacing w:after="60"/>
            </w:pPr>
            <w:r w:rsidRPr="001A7A6B">
              <w:t>—</w:t>
            </w:r>
          </w:p>
        </w:tc>
      </w:tr>
      <w:tr w:rsidR="002849B2" w:rsidRPr="001A7A6B" w14:paraId="43CA6980" w14:textId="77777777" w:rsidTr="00FB729B">
        <w:trPr>
          <w:cantSplit/>
        </w:trPr>
        <w:tc>
          <w:tcPr>
            <w:tcW w:w="1564" w:type="dxa"/>
            <w:shd w:val="clear" w:color="auto" w:fill="FFC9C9"/>
            <w:tcMar>
              <w:top w:w="80" w:type="dxa"/>
              <w:left w:w="80" w:type="dxa"/>
              <w:bottom w:w="80" w:type="dxa"/>
              <w:right w:w="80" w:type="dxa"/>
            </w:tcMar>
          </w:tcPr>
          <w:p w14:paraId="58629A75" w14:textId="77777777" w:rsidR="002849B2" w:rsidRPr="001A7A6B" w:rsidRDefault="002849B2" w:rsidP="00292A53">
            <w:pPr>
              <w:pStyle w:val="TableColumn1bold"/>
              <w:spacing w:after="60"/>
            </w:pPr>
            <w:r w:rsidRPr="001A7A6B">
              <w:t>Allergic contact dermatoses and contract urticaria caused by other recognised allergy-provoking agents arising from work activities not included in other items</w:t>
            </w:r>
          </w:p>
        </w:tc>
        <w:tc>
          <w:tcPr>
            <w:tcW w:w="1503" w:type="dxa"/>
            <w:shd w:val="clear" w:color="auto" w:fill="FFC9C9"/>
            <w:tcMar>
              <w:top w:w="80" w:type="dxa"/>
              <w:left w:w="80" w:type="dxa"/>
              <w:bottom w:w="80" w:type="dxa"/>
              <w:right w:w="80" w:type="dxa"/>
            </w:tcMar>
          </w:tcPr>
          <w:p w14:paraId="59CC55EA"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0F08E2EE"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62F66DAB"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22DA3594"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28463D4B"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29AA2783" w14:textId="1F26CA72" w:rsidR="002849B2" w:rsidRPr="001A7A6B" w:rsidRDefault="002849B2" w:rsidP="00292A53">
            <w:pPr>
              <w:pStyle w:val="Table7pttext"/>
              <w:spacing w:after="60"/>
            </w:pPr>
            <w:r w:rsidRPr="00815F86">
              <w:t>contact dermatitis (irritant and allergenic) – All work involving sensitising agents or irritants</w:t>
            </w:r>
          </w:p>
        </w:tc>
        <w:tc>
          <w:tcPr>
            <w:tcW w:w="1504" w:type="dxa"/>
            <w:shd w:val="clear" w:color="auto" w:fill="FFC9C9"/>
            <w:tcMar>
              <w:top w:w="80" w:type="dxa"/>
              <w:left w:w="80" w:type="dxa"/>
              <w:bottom w:w="80" w:type="dxa"/>
              <w:right w:w="80" w:type="dxa"/>
            </w:tcMar>
          </w:tcPr>
          <w:p w14:paraId="7FBA8814" w14:textId="388DF451" w:rsidR="002849B2" w:rsidRPr="001A7A6B" w:rsidRDefault="00161B88" w:rsidP="00292A53">
            <w:pPr>
              <w:pStyle w:val="Table7pttext"/>
              <w:spacing w:after="60"/>
            </w:pPr>
            <w:r>
              <w:t>Contact dermatitis (irritant and allergic)</w:t>
            </w:r>
          </w:p>
        </w:tc>
        <w:tc>
          <w:tcPr>
            <w:tcW w:w="1503" w:type="dxa"/>
            <w:shd w:val="clear" w:color="auto" w:fill="FFC9C9"/>
            <w:tcMar>
              <w:top w:w="80" w:type="dxa"/>
              <w:left w:w="80" w:type="dxa"/>
              <w:bottom w:w="80" w:type="dxa"/>
              <w:right w:w="80" w:type="dxa"/>
            </w:tcMar>
          </w:tcPr>
          <w:p w14:paraId="32037003"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48ECE999" w14:textId="0BA9AEED" w:rsidR="002849B2" w:rsidRPr="001A7A6B" w:rsidRDefault="002849B2" w:rsidP="00292A53">
            <w:pPr>
              <w:pStyle w:val="Table7pttext"/>
              <w:spacing w:after="60"/>
            </w:pPr>
            <w:r w:rsidRPr="001A7A6B">
              <w:t xml:space="preserve">Occupational allergic contact dermatitis diagnosed as caused by recognised sensitising agents inherent in the work process such as, but not limited to, nickel and other metals, rubber additives, resins, petroleum distillates, solvents, soaps, </w:t>
            </w:r>
            <w:r>
              <w:t>detergents, and plant allergens</w:t>
            </w:r>
          </w:p>
        </w:tc>
      </w:tr>
      <w:bookmarkEnd w:id="305"/>
      <w:tr w:rsidR="002849B2" w:rsidRPr="001A7A6B" w14:paraId="705B7F74" w14:textId="77777777" w:rsidTr="00FB729B">
        <w:trPr>
          <w:cantSplit/>
        </w:trPr>
        <w:tc>
          <w:tcPr>
            <w:tcW w:w="1564" w:type="dxa"/>
            <w:tcMar>
              <w:top w:w="80" w:type="dxa"/>
              <w:left w:w="80" w:type="dxa"/>
              <w:bottom w:w="80" w:type="dxa"/>
              <w:right w:w="80" w:type="dxa"/>
            </w:tcMar>
          </w:tcPr>
          <w:p w14:paraId="473E21F3" w14:textId="77777777" w:rsidR="002849B2" w:rsidRPr="001A7A6B" w:rsidRDefault="002849B2" w:rsidP="00292A53">
            <w:pPr>
              <w:pStyle w:val="TableColumn1bold"/>
              <w:spacing w:after="60"/>
            </w:pPr>
            <w:r w:rsidRPr="001A7A6B">
              <w:lastRenderedPageBreak/>
              <w:t>Vitiligo caused by other recognised agents arising from work activities not included in other items</w:t>
            </w:r>
          </w:p>
        </w:tc>
        <w:tc>
          <w:tcPr>
            <w:tcW w:w="1503" w:type="dxa"/>
            <w:tcMar>
              <w:top w:w="80" w:type="dxa"/>
              <w:left w:w="80" w:type="dxa"/>
              <w:bottom w:w="80" w:type="dxa"/>
              <w:right w:w="80" w:type="dxa"/>
            </w:tcMar>
          </w:tcPr>
          <w:p w14:paraId="35A947F0"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3A3981CD"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4B35777A"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5D3573A3"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66A218C4"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739D0E43" w14:textId="0F45FCA8" w:rsidR="002849B2" w:rsidRPr="001A7A6B" w:rsidRDefault="002849B2" w:rsidP="00292A53">
            <w:pPr>
              <w:pStyle w:val="Table7pttext"/>
              <w:spacing w:after="60"/>
            </w:pPr>
            <w:r w:rsidRPr="00815F86">
              <w:t xml:space="preserve">Occupational virtiligo – All work involving para-tertiary-butylphenol, para-tertiary- butylcatechol, para-amylphenol, hydroquinone, or the monobenzyl or </w:t>
            </w:r>
            <w:r>
              <w:t>monobutyl ether of hydroquinone</w:t>
            </w:r>
          </w:p>
        </w:tc>
        <w:tc>
          <w:tcPr>
            <w:tcW w:w="1504" w:type="dxa"/>
            <w:tcMar>
              <w:top w:w="80" w:type="dxa"/>
              <w:left w:w="80" w:type="dxa"/>
              <w:bottom w:w="80" w:type="dxa"/>
              <w:right w:w="80" w:type="dxa"/>
            </w:tcMar>
          </w:tcPr>
          <w:p w14:paraId="041194E9" w14:textId="77777777" w:rsidR="00161B88" w:rsidRDefault="00161B88" w:rsidP="00161B88">
            <w:pPr>
              <w:pStyle w:val="Table7pttext"/>
              <w:spacing w:after="60"/>
            </w:pPr>
            <w:r w:rsidRPr="00A55B8A">
              <w:t>Occupational vitiligo</w:t>
            </w:r>
          </w:p>
          <w:p w14:paraId="318A510A"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employment involving exposure</w:t>
            </w:r>
          </w:p>
          <w:p w14:paraId="2253AE6C"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to para-tertiary-butylphenol,</w:t>
            </w:r>
          </w:p>
          <w:p w14:paraId="7F572B24"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para-tertiary-butylcatechol,</w:t>
            </w:r>
          </w:p>
          <w:p w14:paraId="4E1EEFF9"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para-amylphenol, hydroquinone,</w:t>
            </w:r>
          </w:p>
          <w:p w14:paraId="13E912E1"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or the monobenzyl or monobutyl</w:t>
            </w:r>
          </w:p>
          <w:p w14:paraId="6B39123B" w14:textId="01AFAA10" w:rsidR="002849B2" w:rsidRPr="001A7A6B" w:rsidRDefault="00161B88" w:rsidP="00161B88">
            <w:pPr>
              <w:pStyle w:val="Table7pttext"/>
              <w:spacing w:after="60"/>
            </w:pPr>
            <w:r w:rsidRPr="00A55B8A">
              <w:t>ether of hydroquinone</w:t>
            </w:r>
          </w:p>
        </w:tc>
        <w:tc>
          <w:tcPr>
            <w:tcW w:w="1503" w:type="dxa"/>
            <w:tcMar>
              <w:top w:w="80" w:type="dxa"/>
              <w:left w:w="80" w:type="dxa"/>
              <w:bottom w:w="80" w:type="dxa"/>
              <w:right w:w="80" w:type="dxa"/>
            </w:tcMar>
          </w:tcPr>
          <w:p w14:paraId="077D3EDF"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6AE1B7F7" w14:textId="41DE093B" w:rsidR="002849B2" w:rsidRPr="001A7A6B" w:rsidRDefault="002849B2" w:rsidP="00292A53">
            <w:pPr>
              <w:pStyle w:val="Table7pttext"/>
              <w:spacing w:after="60"/>
            </w:pPr>
            <w:r w:rsidRPr="001A7A6B">
              <w:t xml:space="preserve">Vitiligo diagnosed as caused by para-tertiary-butylphenol, para-tertiary-butylcatechol, para-amylphenol, hydroquinone, or the monobenzyl or </w:t>
            </w:r>
            <w:r>
              <w:t>monobutyl ether of hydroquinone</w:t>
            </w:r>
          </w:p>
        </w:tc>
      </w:tr>
      <w:tr w:rsidR="002849B2" w:rsidRPr="001A7A6B" w14:paraId="6F1E76C2" w14:textId="77777777" w:rsidTr="00FB729B">
        <w:trPr>
          <w:cantSplit/>
        </w:trPr>
        <w:tc>
          <w:tcPr>
            <w:tcW w:w="1564" w:type="dxa"/>
            <w:shd w:val="clear" w:color="auto" w:fill="FFC9C9"/>
            <w:tcMar>
              <w:top w:w="80" w:type="dxa"/>
              <w:left w:w="80" w:type="dxa"/>
              <w:bottom w:w="80" w:type="dxa"/>
              <w:right w:w="80" w:type="dxa"/>
            </w:tcMar>
          </w:tcPr>
          <w:p w14:paraId="013587BF" w14:textId="09A44310" w:rsidR="002849B2" w:rsidRPr="001A7A6B" w:rsidRDefault="002849B2" w:rsidP="00292A53">
            <w:pPr>
              <w:pStyle w:val="TableColumn1bold"/>
              <w:spacing w:after="60"/>
            </w:pPr>
            <w:r w:rsidRPr="001A7A6B">
              <w:t>Other skin diseases caused by physical, chemical or biological agents at work not included in other items</w:t>
            </w:r>
            <w:r>
              <w:fldChar w:fldCharType="begin"/>
            </w:r>
            <w:r>
              <w:instrText xml:space="preserve"> XE "</w:instrText>
            </w:r>
            <w:r w:rsidRPr="001854C8">
              <w:instrText>skin diseases</w:instrText>
            </w:r>
            <w:r>
              <w:instrText xml:space="preserve">" </w:instrText>
            </w:r>
            <w:r>
              <w:fldChar w:fldCharType="end"/>
            </w:r>
          </w:p>
        </w:tc>
        <w:tc>
          <w:tcPr>
            <w:tcW w:w="1503" w:type="dxa"/>
            <w:shd w:val="clear" w:color="auto" w:fill="FFC9C9"/>
            <w:tcMar>
              <w:top w:w="80" w:type="dxa"/>
              <w:left w:w="80" w:type="dxa"/>
              <w:bottom w:w="80" w:type="dxa"/>
              <w:right w:w="80" w:type="dxa"/>
            </w:tcMar>
          </w:tcPr>
          <w:p w14:paraId="7DA54E93"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49C45357" w14:textId="189F70B5" w:rsidR="002849B2" w:rsidRPr="001A7A6B" w:rsidRDefault="002849B2" w:rsidP="00292A53">
            <w:pPr>
              <w:pStyle w:val="Table7pttext"/>
              <w:spacing w:after="60"/>
            </w:pPr>
            <w:r w:rsidRPr="001A7A6B">
              <w:t>Dermatitis venenata (contact wi</w:t>
            </w:r>
            <w:r>
              <w:t>th vegetable or mineral matter)</w:t>
            </w:r>
          </w:p>
        </w:tc>
        <w:tc>
          <w:tcPr>
            <w:tcW w:w="1504" w:type="dxa"/>
            <w:shd w:val="clear" w:color="auto" w:fill="FFC9C9"/>
            <w:tcMar>
              <w:top w:w="80" w:type="dxa"/>
              <w:left w:w="80" w:type="dxa"/>
              <w:bottom w:w="80" w:type="dxa"/>
              <w:right w:w="80" w:type="dxa"/>
            </w:tcMar>
          </w:tcPr>
          <w:p w14:paraId="0BBE123E" w14:textId="77F56366" w:rsidR="002849B2" w:rsidRPr="001A7A6B" w:rsidRDefault="002849B2" w:rsidP="00292A53">
            <w:pPr>
              <w:pStyle w:val="Table7pttext"/>
              <w:spacing w:after="60"/>
            </w:pPr>
            <w:r w:rsidRPr="001A7A6B">
              <w:t xml:space="preserve">Any dematosis, ulceration or injury to the mucous membranes of the mouth or nose wholly or partly produced or aggravated by contact with or inhalation or ingestion of irritating dusts, solids, gases or fumes or mineral or </w:t>
            </w:r>
            <w:r>
              <w:t>vegetable irritants or ray burn</w:t>
            </w:r>
          </w:p>
        </w:tc>
        <w:tc>
          <w:tcPr>
            <w:tcW w:w="1503" w:type="dxa"/>
            <w:shd w:val="clear" w:color="auto" w:fill="FFC9C9"/>
            <w:tcMar>
              <w:top w:w="80" w:type="dxa"/>
              <w:left w:w="80" w:type="dxa"/>
              <w:bottom w:w="80" w:type="dxa"/>
              <w:right w:w="80" w:type="dxa"/>
            </w:tcMar>
          </w:tcPr>
          <w:p w14:paraId="15CE7BA4" w14:textId="346B3E74" w:rsidR="002849B2" w:rsidRPr="001A7A6B" w:rsidRDefault="002849B2" w:rsidP="00292A53">
            <w:pPr>
              <w:pStyle w:val="Table7pttext"/>
              <w:spacing w:after="60"/>
            </w:pPr>
            <w:r>
              <w:t>Dermatitis (dust of blackwood)</w:t>
            </w:r>
          </w:p>
        </w:tc>
        <w:tc>
          <w:tcPr>
            <w:tcW w:w="1504" w:type="dxa"/>
            <w:shd w:val="clear" w:color="auto" w:fill="FFC9C9"/>
            <w:tcMar>
              <w:top w:w="80" w:type="dxa"/>
              <w:left w:w="80" w:type="dxa"/>
              <w:bottom w:w="80" w:type="dxa"/>
              <w:right w:w="80" w:type="dxa"/>
            </w:tcMar>
          </w:tcPr>
          <w:p w14:paraId="2D69EF03"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540314EA"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15463226"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40FE86D0" w14:textId="540E6CF7" w:rsidR="002849B2" w:rsidRPr="001A7A6B" w:rsidRDefault="002849B2" w:rsidP="00292A53">
            <w:pPr>
              <w:pStyle w:val="Table7pttext"/>
              <w:spacing w:after="60"/>
            </w:pPr>
            <w:r w:rsidRPr="001A7A6B">
              <w:t>Skin diseases caused by physical, chemical or biological agents at work</w:t>
            </w:r>
            <w:r>
              <w:t xml:space="preserve"> not included under other items</w:t>
            </w:r>
          </w:p>
        </w:tc>
        <w:tc>
          <w:tcPr>
            <w:tcW w:w="1504" w:type="dxa"/>
            <w:shd w:val="clear" w:color="auto" w:fill="FFC9C9"/>
            <w:tcMar>
              <w:top w:w="80" w:type="dxa"/>
              <w:left w:w="80" w:type="dxa"/>
              <w:bottom w:w="80" w:type="dxa"/>
              <w:right w:w="80" w:type="dxa"/>
            </w:tcMar>
          </w:tcPr>
          <w:p w14:paraId="7F86BD70" w14:textId="77777777" w:rsidR="002849B2" w:rsidRPr="001A7A6B" w:rsidRDefault="002849B2" w:rsidP="00292A53">
            <w:pPr>
              <w:pStyle w:val="Table7pttext"/>
              <w:spacing w:after="60"/>
            </w:pPr>
            <w:r w:rsidRPr="001A7A6B">
              <w:t>—</w:t>
            </w:r>
          </w:p>
        </w:tc>
      </w:tr>
      <w:tr w:rsidR="002849B2" w:rsidRPr="001A7A6B" w14:paraId="0E493A20" w14:textId="77777777" w:rsidTr="00FB729B">
        <w:trPr>
          <w:cantSplit/>
        </w:trPr>
        <w:tc>
          <w:tcPr>
            <w:tcW w:w="1564" w:type="dxa"/>
            <w:tcMar>
              <w:top w:w="80" w:type="dxa"/>
              <w:left w:w="80" w:type="dxa"/>
              <w:bottom w:w="80" w:type="dxa"/>
              <w:right w:w="80" w:type="dxa"/>
            </w:tcMar>
          </w:tcPr>
          <w:p w14:paraId="7EBEE117" w14:textId="77777777" w:rsidR="002849B2" w:rsidRPr="001A7A6B" w:rsidRDefault="002849B2" w:rsidP="00292A53">
            <w:pPr>
              <w:pStyle w:val="TableColumn1bold"/>
              <w:spacing w:after="60"/>
            </w:pPr>
            <w:r w:rsidRPr="001A7A6B">
              <w:t>Chronic tenosynovitis of hand and wrist due to repetitive movements, forceful exertions and extreme postures of the wrist</w:t>
            </w:r>
          </w:p>
        </w:tc>
        <w:tc>
          <w:tcPr>
            <w:tcW w:w="1503" w:type="dxa"/>
            <w:tcMar>
              <w:top w:w="80" w:type="dxa"/>
              <w:left w:w="80" w:type="dxa"/>
              <w:bottom w:w="80" w:type="dxa"/>
              <w:right w:w="80" w:type="dxa"/>
            </w:tcMar>
          </w:tcPr>
          <w:p w14:paraId="7BCE2FDB"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300ED22E" w14:textId="1B56E4CC" w:rsidR="002849B2" w:rsidRPr="001A7A6B" w:rsidRDefault="002849B2" w:rsidP="00292A53">
            <w:pPr>
              <w:pStyle w:val="Table7pttext"/>
              <w:spacing w:after="60"/>
            </w:pPr>
            <w:r w:rsidRPr="001A7A6B">
              <w:t>Tenosynovitis (inflammation of the tendon sheaths of the</w:t>
            </w:r>
            <w:r>
              <w:t xml:space="preserve"> hand, wrists, forearm or elbow</w:t>
            </w:r>
          </w:p>
        </w:tc>
        <w:tc>
          <w:tcPr>
            <w:tcW w:w="1504" w:type="dxa"/>
            <w:tcMar>
              <w:top w:w="80" w:type="dxa"/>
              <w:left w:w="80" w:type="dxa"/>
              <w:bottom w:w="80" w:type="dxa"/>
              <w:right w:w="80" w:type="dxa"/>
            </w:tcMar>
          </w:tcPr>
          <w:p w14:paraId="43A1FEA9"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38B36BF7"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5641C303"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33E33397"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2E3EF81B" w14:textId="0FFBAC03" w:rsidR="002849B2" w:rsidRPr="001A7A6B" w:rsidRDefault="00161B88" w:rsidP="00292A53">
            <w:pPr>
              <w:pStyle w:val="Table7pttext"/>
              <w:spacing w:after="60"/>
            </w:pPr>
            <w:r>
              <w:t>—</w:t>
            </w:r>
          </w:p>
        </w:tc>
        <w:tc>
          <w:tcPr>
            <w:tcW w:w="1503" w:type="dxa"/>
            <w:tcMar>
              <w:top w:w="80" w:type="dxa"/>
              <w:left w:w="80" w:type="dxa"/>
              <w:bottom w:w="80" w:type="dxa"/>
              <w:right w:w="80" w:type="dxa"/>
            </w:tcMar>
          </w:tcPr>
          <w:p w14:paraId="40C0EBE4"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442659A0" w14:textId="77777777" w:rsidR="002849B2" w:rsidRPr="001A7A6B" w:rsidRDefault="002849B2" w:rsidP="00292A53">
            <w:pPr>
              <w:pStyle w:val="Table7pttext"/>
              <w:spacing w:after="60"/>
            </w:pPr>
            <w:r w:rsidRPr="001A7A6B">
              <w:t>—</w:t>
            </w:r>
          </w:p>
        </w:tc>
      </w:tr>
      <w:tr w:rsidR="002849B2" w:rsidRPr="001A7A6B" w14:paraId="6379A1B4" w14:textId="77777777" w:rsidTr="00FB729B">
        <w:trPr>
          <w:cantSplit/>
        </w:trPr>
        <w:tc>
          <w:tcPr>
            <w:tcW w:w="1564" w:type="dxa"/>
            <w:shd w:val="clear" w:color="auto" w:fill="FFC9C9"/>
            <w:tcMar>
              <w:top w:w="80" w:type="dxa"/>
              <w:left w:w="80" w:type="dxa"/>
              <w:bottom w:w="80" w:type="dxa"/>
              <w:right w:w="80" w:type="dxa"/>
            </w:tcMar>
          </w:tcPr>
          <w:p w14:paraId="2A479FCA" w14:textId="77777777" w:rsidR="002849B2" w:rsidRPr="001A7A6B" w:rsidRDefault="002849B2" w:rsidP="00292A53">
            <w:pPr>
              <w:pStyle w:val="TableColumn1bold"/>
              <w:spacing w:after="60"/>
            </w:pPr>
            <w:r w:rsidRPr="001A7A6B">
              <w:t>Olecranon bursitis due to prolonged pressure of the elbow region</w:t>
            </w:r>
          </w:p>
        </w:tc>
        <w:tc>
          <w:tcPr>
            <w:tcW w:w="1503" w:type="dxa"/>
            <w:shd w:val="clear" w:color="auto" w:fill="FFC9C9"/>
            <w:tcMar>
              <w:top w:w="80" w:type="dxa"/>
              <w:left w:w="80" w:type="dxa"/>
              <w:bottom w:w="80" w:type="dxa"/>
              <w:right w:w="80" w:type="dxa"/>
            </w:tcMar>
          </w:tcPr>
          <w:p w14:paraId="18C9CAC6"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1074BEDC" w14:textId="4F9C0659" w:rsidR="002849B2" w:rsidRPr="001A7A6B" w:rsidRDefault="002849B2" w:rsidP="00292A53">
            <w:pPr>
              <w:pStyle w:val="Table7pttext"/>
              <w:spacing w:after="60"/>
            </w:pPr>
            <w:r w:rsidRPr="001A7A6B">
              <w:t>Subcutaneous cellulitis or acute b</w:t>
            </w:r>
            <w:r>
              <w:t>ursitis over the elbow (mining)</w:t>
            </w:r>
          </w:p>
        </w:tc>
        <w:tc>
          <w:tcPr>
            <w:tcW w:w="1504" w:type="dxa"/>
            <w:shd w:val="clear" w:color="auto" w:fill="FFC9C9"/>
            <w:tcMar>
              <w:top w:w="80" w:type="dxa"/>
              <w:left w:w="80" w:type="dxa"/>
              <w:bottom w:w="80" w:type="dxa"/>
              <w:right w:w="80" w:type="dxa"/>
            </w:tcMar>
          </w:tcPr>
          <w:p w14:paraId="69CAC8D9"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23881F40"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38239BBD" w14:textId="77777777" w:rsidR="002849B2" w:rsidRPr="001A7A6B" w:rsidRDefault="002849B2" w:rsidP="00292A53">
            <w:pPr>
              <w:pStyle w:val="Table7pttext"/>
              <w:spacing w:after="60"/>
            </w:pPr>
            <w:r w:rsidRPr="001A7A6B">
              <w:t>—</w:t>
            </w:r>
          </w:p>
        </w:tc>
        <w:tc>
          <w:tcPr>
            <w:tcW w:w="1503" w:type="dxa"/>
            <w:shd w:val="clear" w:color="auto" w:fill="FFC9C9"/>
            <w:tcMar>
              <w:top w:w="80" w:type="dxa"/>
              <w:left w:w="80" w:type="dxa"/>
              <w:bottom w:w="80" w:type="dxa"/>
              <w:right w:w="80" w:type="dxa"/>
            </w:tcMar>
          </w:tcPr>
          <w:p w14:paraId="491A720F" w14:textId="2FAC76C0" w:rsidR="002849B2" w:rsidRPr="001A7A6B" w:rsidRDefault="002849B2" w:rsidP="00292A53">
            <w:pPr>
              <w:pStyle w:val="Table7pttext"/>
              <w:spacing w:after="60"/>
            </w:pPr>
            <w:r w:rsidRPr="00815F86">
              <w:t>Bursitis of elbow</w:t>
            </w:r>
          </w:p>
        </w:tc>
        <w:tc>
          <w:tcPr>
            <w:tcW w:w="1504" w:type="dxa"/>
            <w:shd w:val="clear" w:color="auto" w:fill="FFC9C9"/>
            <w:tcMar>
              <w:top w:w="80" w:type="dxa"/>
              <w:left w:w="80" w:type="dxa"/>
              <w:bottom w:w="80" w:type="dxa"/>
              <w:right w:w="80" w:type="dxa"/>
            </w:tcMar>
          </w:tcPr>
          <w:p w14:paraId="16967F78" w14:textId="4502AAFF" w:rsidR="002849B2" w:rsidRPr="001A7A6B" w:rsidRDefault="00161B88" w:rsidP="00292A53">
            <w:pPr>
              <w:pStyle w:val="Table7pttext"/>
              <w:spacing w:after="60"/>
            </w:pPr>
            <w:r>
              <w:t>Bursitis (at the elbow or knee)</w:t>
            </w:r>
          </w:p>
        </w:tc>
        <w:tc>
          <w:tcPr>
            <w:tcW w:w="1503" w:type="dxa"/>
            <w:shd w:val="clear" w:color="auto" w:fill="FFC9C9"/>
            <w:tcMar>
              <w:top w:w="80" w:type="dxa"/>
              <w:left w:w="80" w:type="dxa"/>
              <w:bottom w:w="80" w:type="dxa"/>
              <w:right w:w="80" w:type="dxa"/>
            </w:tcMar>
          </w:tcPr>
          <w:p w14:paraId="26A4E627" w14:textId="77777777" w:rsidR="002849B2" w:rsidRPr="001A7A6B" w:rsidRDefault="002849B2" w:rsidP="00292A53">
            <w:pPr>
              <w:pStyle w:val="Table7pttext"/>
              <w:spacing w:after="60"/>
            </w:pPr>
            <w:r w:rsidRPr="001A7A6B">
              <w:t>—</w:t>
            </w:r>
          </w:p>
        </w:tc>
        <w:tc>
          <w:tcPr>
            <w:tcW w:w="1504" w:type="dxa"/>
            <w:shd w:val="clear" w:color="auto" w:fill="FFC9C9"/>
            <w:tcMar>
              <w:top w:w="80" w:type="dxa"/>
              <w:left w:w="80" w:type="dxa"/>
              <w:bottom w:w="80" w:type="dxa"/>
              <w:right w:w="80" w:type="dxa"/>
            </w:tcMar>
          </w:tcPr>
          <w:p w14:paraId="1F1E2B8E" w14:textId="77777777" w:rsidR="002849B2" w:rsidRPr="001A7A6B" w:rsidRDefault="002849B2" w:rsidP="00292A53">
            <w:pPr>
              <w:pStyle w:val="Table7pttext"/>
              <w:spacing w:after="60"/>
            </w:pPr>
            <w:r w:rsidRPr="001A7A6B">
              <w:t>—</w:t>
            </w:r>
          </w:p>
        </w:tc>
      </w:tr>
      <w:tr w:rsidR="002849B2" w:rsidRPr="001A7A6B" w14:paraId="4C442E19" w14:textId="77777777" w:rsidTr="00FB729B">
        <w:trPr>
          <w:cantSplit/>
        </w:trPr>
        <w:tc>
          <w:tcPr>
            <w:tcW w:w="1564" w:type="dxa"/>
            <w:tcMar>
              <w:top w:w="80" w:type="dxa"/>
              <w:left w:w="80" w:type="dxa"/>
              <w:bottom w:w="80" w:type="dxa"/>
              <w:right w:w="80" w:type="dxa"/>
            </w:tcMar>
          </w:tcPr>
          <w:p w14:paraId="4C3D5C4B" w14:textId="77777777" w:rsidR="002849B2" w:rsidRPr="001A7A6B" w:rsidRDefault="002849B2" w:rsidP="00292A53">
            <w:pPr>
              <w:pStyle w:val="TableColumn1bold"/>
              <w:spacing w:after="60"/>
            </w:pPr>
            <w:r w:rsidRPr="001A7A6B">
              <w:lastRenderedPageBreak/>
              <w:t>Prepatellar bursitis due to prolonged stay in kneeling position</w:t>
            </w:r>
          </w:p>
        </w:tc>
        <w:tc>
          <w:tcPr>
            <w:tcW w:w="1503" w:type="dxa"/>
            <w:tcMar>
              <w:top w:w="80" w:type="dxa"/>
              <w:left w:w="80" w:type="dxa"/>
              <w:bottom w:w="80" w:type="dxa"/>
              <w:right w:w="80" w:type="dxa"/>
            </w:tcMar>
          </w:tcPr>
          <w:p w14:paraId="690A8448"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5381B298" w14:textId="66F923C6" w:rsidR="002849B2" w:rsidRPr="001A7A6B" w:rsidRDefault="002849B2" w:rsidP="00292A53">
            <w:pPr>
              <w:pStyle w:val="Table7pttext"/>
              <w:spacing w:after="60"/>
            </w:pPr>
            <w:r w:rsidRPr="001A7A6B">
              <w:t>Subcutaneous cellulitis or acute bursitis arising at or about the knee</w:t>
            </w:r>
            <w:r>
              <w:t xml:space="preserve"> (beat knee) (mining)</w:t>
            </w:r>
          </w:p>
        </w:tc>
        <w:tc>
          <w:tcPr>
            <w:tcW w:w="1504" w:type="dxa"/>
            <w:tcMar>
              <w:top w:w="80" w:type="dxa"/>
              <w:left w:w="80" w:type="dxa"/>
              <w:bottom w:w="80" w:type="dxa"/>
              <w:right w:w="80" w:type="dxa"/>
            </w:tcMar>
          </w:tcPr>
          <w:p w14:paraId="31AD5566"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61B1FE46"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0474A391" w14:textId="77777777" w:rsidR="002849B2" w:rsidRPr="001A7A6B" w:rsidRDefault="002849B2" w:rsidP="00292A53">
            <w:pPr>
              <w:pStyle w:val="Table7pttext"/>
              <w:spacing w:after="60"/>
            </w:pPr>
            <w:r w:rsidRPr="001A7A6B">
              <w:t>—</w:t>
            </w:r>
          </w:p>
        </w:tc>
        <w:tc>
          <w:tcPr>
            <w:tcW w:w="1503" w:type="dxa"/>
            <w:tcMar>
              <w:top w:w="80" w:type="dxa"/>
              <w:left w:w="80" w:type="dxa"/>
              <w:bottom w:w="80" w:type="dxa"/>
              <w:right w:w="80" w:type="dxa"/>
            </w:tcMar>
          </w:tcPr>
          <w:p w14:paraId="09B3A6E1" w14:textId="06052D0E" w:rsidR="002849B2" w:rsidRPr="001A7A6B" w:rsidRDefault="002849B2" w:rsidP="00292A53">
            <w:pPr>
              <w:pStyle w:val="Table7pttext"/>
              <w:spacing w:after="60"/>
            </w:pPr>
            <w:r w:rsidRPr="00815F86">
              <w:t>Bursitis of knee</w:t>
            </w:r>
          </w:p>
        </w:tc>
        <w:tc>
          <w:tcPr>
            <w:tcW w:w="1504" w:type="dxa"/>
            <w:tcMar>
              <w:top w:w="80" w:type="dxa"/>
              <w:left w:w="80" w:type="dxa"/>
              <w:bottom w:w="80" w:type="dxa"/>
              <w:right w:w="80" w:type="dxa"/>
            </w:tcMar>
          </w:tcPr>
          <w:p w14:paraId="1E5EAB67" w14:textId="77777777" w:rsidR="00161B88"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 xml:space="preserve">Bursitis </w:t>
            </w:r>
            <w:r>
              <w:rPr>
                <w:rFonts w:eastAsiaTheme="minorHAnsi" w:cs="Arial"/>
                <w:sz w:val="14"/>
                <w:szCs w:val="14"/>
                <w:lang w:eastAsia="en-US"/>
              </w:rPr>
              <w:t>of the Knee</w:t>
            </w:r>
          </w:p>
          <w:p w14:paraId="30E247BD"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employment involving prolonged</w:t>
            </w:r>
          </w:p>
          <w:p w14:paraId="73E6F5C6"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external friction or pressure or</w:t>
            </w:r>
          </w:p>
          <w:p w14:paraId="7E6F9E25" w14:textId="77777777" w:rsidR="00161B88" w:rsidRPr="00A55B8A" w:rsidRDefault="00161B88" w:rsidP="00161B88">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repetitive motion at or about the</w:t>
            </w:r>
          </w:p>
          <w:p w14:paraId="4C15B7DD" w14:textId="3DB3BC62" w:rsidR="002849B2" w:rsidRPr="001A7A6B" w:rsidRDefault="00161B88" w:rsidP="00161B88">
            <w:pPr>
              <w:pStyle w:val="Table7pttext"/>
              <w:spacing w:after="60"/>
            </w:pPr>
            <w:r w:rsidRPr="00A55B8A">
              <w:t>elbow or the knee</w:t>
            </w:r>
          </w:p>
        </w:tc>
        <w:tc>
          <w:tcPr>
            <w:tcW w:w="1503" w:type="dxa"/>
            <w:tcMar>
              <w:top w:w="80" w:type="dxa"/>
              <w:left w:w="80" w:type="dxa"/>
              <w:bottom w:w="80" w:type="dxa"/>
              <w:right w:w="80" w:type="dxa"/>
            </w:tcMar>
          </w:tcPr>
          <w:p w14:paraId="783B86FA" w14:textId="77777777" w:rsidR="002849B2" w:rsidRPr="001A7A6B" w:rsidRDefault="002849B2" w:rsidP="00292A53">
            <w:pPr>
              <w:pStyle w:val="Table7pttext"/>
              <w:spacing w:after="60"/>
            </w:pPr>
            <w:r w:rsidRPr="001A7A6B">
              <w:t>—</w:t>
            </w:r>
          </w:p>
        </w:tc>
        <w:tc>
          <w:tcPr>
            <w:tcW w:w="1504" w:type="dxa"/>
            <w:tcMar>
              <w:top w:w="80" w:type="dxa"/>
              <w:left w:w="80" w:type="dxa"/>
              <w:bottom w:w="80" w:type="dxa"/>
              <w:right w:w="80" w:type="dxa"/>
            </w:tcMar>
          </w:tcPr>
          <w:p w14:paraId="1EB62207" w14:textId="77777777" w:rsidR="002849B2" w:rsidRPr="001A7A6B" w:rsidRDefault="002849B2" w:rsidP="00292A53">
            <w:pPr>
              <w:pStyle w:val="Table7pttext"/>
              <w:spacing w:after="60"/>
            </w:pPr>
            <w:r w:rsidRPr="001A7A6B">
              <w:t>—</w:t>
            </w:r>
          </w:p>
        </w:tc>
      </w:tr>
    </w:tbl>
    <w:p w14:paraId="6EA960D4" w14:textId="2F099485" w:rsidR="00A64F30" w:rsidRPr="00E43A0F" w:rsidRDefault="00A64F30" w:rsidP="00F839DB">
      <w:pPr>
        <w:pStyle w:val="ListParagraph"/>
        <w:numPr>
          <w:ilvl w:val="0"/>
          <w:numId w:val="534"/>
        </w:numPr>
        <w:rPr>
          <w:sz w:val="16"/>
        </w:rPr>
      </w:pPr>
      <w:bookmarkStart w:id="307" w:name="anthrax"/>
      <w:bookmarkEnd w:id="303"/>
      <w:bookmarkEnd w:id="306"/>
      <w:r w:rsidRPr="00E43A0F">
        <w:rPr>
          <w:sz w:val="16"/>
        </w:rPr>
        <w:t>Includes Seacare.</w:t>
      </w:r>
    </w:p>
    <w:bookmarkEnd w:id="307"/>
    <w:p w14:paraId="72F4867F" w14:textId="77777777" w:rsidR="00C66972" w:rsidRPr="00A64F30" w:rsidRDefault="00C66972" w:rsidP="00DF35F2">
      <w:pPr>
        <w:numPr>
          <w:ilvl w:val="0"/>
          <w:numId w:val="29"/>
        </w:numPr>
        <w:spacing w:after="200" w:line="276" w:lineRule="auto"/>
        <w:rPr>
          <w:rFonts w:eastAsiaTheme="minorHAnsi"/>
        </w:rPr>
        <w:sectPr w:rsidR="00C66972" w:rsidRPr="00A64F30" w:rsidSect="00BC09D4">
          <w:pgSz w:w="16838" w:h="11906" w:orient="landscape"/>
          <w:pgMar w:top="249" w:right="567" w:bottom="249" w:left="624" w:header="709" w:footer="709" w:gutter="0"/>
          <w:cols w:space="708"/>
          <w:docGrid w:linePitch="360"/>
        </w:sectPr>
      </w:pPr>
    </w:p>
    <w:p w14:paraId="29D89C1E" w14:textId="17543DF5" w:rsidR="00A64F30" w:rsidRPr="00205CCE" w:rsidRDefault="00A64F30" w:rsidP="00205CCE">
      <w:pPr>
        <w:pStyle w:val="SWATableheader"/>
      </w:pPr>
      <w:bookmarkStart w:id="308" w:name="_Toc504654747"/>
      <w:bookmarkStart w:id="309" w:name="table"/>
      <w:r w:rsidRPr="00205CCE">
        <w:lastRenderedPageBreak/>
        <w:t>Appendix Table 2: Occupational diseases as</w:t>
      </w:r>
      <w:r w:rsidR="00CE30D5">
        <w:t xml:space="preserve"> prescribed at 30 September 2017</w:t>
      </w:r>
      <w:r w:rsidRPr="00205CCE">
        <w:t xml:space="preserve"> — Occupational cancer</w:t>
      </w:r>
      <w:bookmarkEnd w:id="308"/>
      <w:r w:rsidR="00854F23" w:rsidRPr="00205CCE">
        <w:fldChar w:fldCharType="begin"/>
      </w:r>
      <w:r w:rsidR="00854F23" w:rsidRPr="00205CCE">
        <w:instrText xml:space="preserve"> XE "cancer:occupational cancer (table of diseases and cancer-causing agents)" \r "table" </w:instrText>
      </w:r>
      <w:r w:rsidR="00854F23" w:rsidRPr="00205CCE">
        <w:fldChar w:fldCharType="end"/>
      </w:r>
      <w:r w:rsidR="00C7036A" w:rsidRPr="00205CCE">
        <w:fldChar w:fldCharType="begin"/>
      </w:r>
      <w:r w:rsidR="00C7036A" w:rsidRPr="00205CCE">
        <w:instrText xml:space="preserve"> XE "diseases:occupational cancer (table of diseases and cancer-causing agents)" \r "table" </w:instrText>
      </w:r>
      <w:r w:rsidR="00C7036A" w:rsidRPr="00205CCE">
        <w:fldChar w:fldCharType="end"/>
      </w:r>
      <w:r w:rsidR="00306D40" w:rsidRPr="00205CCE">
        <w:fldChar w:fldCharType="begin"/>
      </w:r>
      <w:r w:rsidR="00306D40" w:rsidRPr="00205CCE">
        <w:instrText xml:space="preserve"> XE "legislation:prescribed occupational diseases" \r "table" </w:instrText>
      </w:r>
      <w:r w:rsidR="00306D40" w:rsidRPr="00205CCE">
        <w:fldChar w:fldCharType="end"/>
      </w:r>
      <w:r w:rsidR="00232E14" w:rsidRPr="00205CCE">
        <w:fldChar w:fldCharType="begin"/>
      </w:r>
      <w:r w:rsidR="00232E14" w:rsidRPr="00205CCE">
        <w:instrText xml:space="preserve"> XE "respiratory diseases see also dust diseases" \r "table" </w:instrText>
      </w:r>
      <w:r w:rsidR="00232E14" w:rsidRPr="00205CCE">
        <w:fldChar w:fldCharType="end"/>
      </w:r>
    </w:p>
    <w:tbl>
      <w:tblPr>
        <w:tblW w:w="1501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Appendix Table 2: Occupational diseases as prescribed at 30 September 2014 — Occupational cancer"/>
        <w:tblDescription w:val="This tables provides information on occupational diseases as perscribed at 30 September 2016 for occupational cancer. "/>
      </w:tblPr>
      <w:tblGrid>
        <w:gridCol w:w="1485"/>
        <w:gridCol w:w="1503"/>
        <w:gridCol w:w="1503"/>
        <w:gridCol w:w="1504"/>
        <w:gridCol w:w="1503"/>
        <w:gridCol w:w="1503"/>
        <w:gridCol w:w="1504"/>
        <w:gridCol w:w="1503"/>
        <w:gridCol w:w="1503"/>
        <w:gridCol w:w="1504"/>
      </w:tblGrid>
      <w:tr w:rsidR="00A64F30" w:rsidRPr="00A64F30" w14:paraId="38B4F5E4" w14:textId="77777777" w:rsidTr="00FB729B">
        <w:trPr>
          <w:tblHeader/>
        </w:trPr>
        <w:tc>
          <w:tcPr>
            <w:tcW w:w="1485" w:type="dxa"/>
            <w:shd w:val="clear" w:color="auto" w:fill="C00000"/>
            <w:tcMar>
              <w:top w:w="0" w:type="dxa"/>
              <w:left w:w="0" w:type="dxa"/>
              <w:bottom w:w="0" w:type="dxa"/>
              <w:right w:w="0" w:type="dxa"/>
            </w:tcMar>
            <w:vAlign w:val="center"/>
          </w:tcPr>
          <w:p w14:paraId="75E9E69D" w14:textId="77777777" w:rsidR="00A64F30" w:rsidRPr="00A64F30" w:rsidRDefault="00A64F30" w:rsidP="00A64F30">
            <w:pPr>
              <w:pStyle w:val="Tableheaderrow"/>
            </w:pPr>
          </w:p>
        </w:tc>
        <w:tc>
          <w:tcPr>
            <w:tcW w:w="1503" w:type="dxa"/>
            <w:shd w:val="clear" w:color="auto" w:fill="C00000"/>
            <w:tcMar>
              <w:top w:w="0" w:type="dxa"/>
              <w:left w:w="0" w:type="dxa"/>
              <w:bottom w:w="0" w:type="dxa"/>
              <w:right w:w="0" w:type="dxa"/>
            </w:tcMar>
            <w:vAlign w:val="center"/>
          </w:tcPr>
          <w:p w14:paraId="29410C53" w14:textId="77777777" w:rsidR="00A64F30" w:rsidRPr="00A64F30" w:rsidRDefault="00A64F30" w:rsidP="00A64F30">
            <w:pPr>
              <w:pStyle w:val="Tableheaderrow"/>
            </w:pPr>
            <w:r w:rsidRPr="00A64F30">
              <w:t>New South Wales</w:t>
            </w:r>
          </w:p>
        </w:tc>
        <w:tc>
          <w:tcPr>
            <w:tcW w:w="1503" w:type="dxa"/>
            <w:shd w:val="clear" w:color="auto" w:fill="C00000"/>
            <w:tcMar>
              <w:top w:w="0" w:type="dxa"/>
              <w:left w:w="0" w:type="dxa"/>
              <w:bottom w:w="0" w:type="dxa"/>
              <w:right w:w="0" w:type="dxa"/>
            </w:tcMar>
            <w:vAlign w:val="center"/>
          </w:tcPr>
          <w:p w14:paraId="3F828639" w14:textId="77777777" w:rsidR="00A64F30" w:rsidRPr="00A64F30" w:rsidRDefault="00A64F30" w:rsidP="00A64F30">
            <w:pPr>
              <w:pStyle w:val="Tableheaderrow"/>
            </w:pPr>
            <w:r w:rsidRPr="00A64F30">
              <w:t>Victoria</w:t>
            </w:r>
          </w:p>
        </w:tc>
        <w:tc>
          <w:tcPr>
            <w:tcW w:w="1504" w:type="dxa"/>
            <w:shd w:val="clear" w:color="auto" w:fill="C00000"/>
            <w:tcMar>
              <w:top w:w="0" w:type="dxa"/>
              <w:left w:w="0" w:type="dxa"/>
              <w:bottom w:w="0" w:type="dxa"/>
              <w:right w:w="0" w:type="dxa"/>
            </w:tcMar>
            <w:vAlign w:val="center"/>
          </w:tcPr>
          <w:p w14:paraId="0D6409C8" w14:textId="77777777" w:rsidR="00A64F30" w:rsidRPr="00A64F30" w:rsidRDefault="00A64F30" w:rsidP="00A64F30">
            <w:pPr>
              <w:pStyle w:val="Tableheaderrow"/>
            </w:pPr>
            <w:r w:rsidRPr="00A64F30">
              <w:t xml:space="preserve">Western </w:t>
            </w:r>
            <w:r w:rsidRPr="00A64F30">
              <w:br/>
              <w:t>Australia</w:t>
            </w:r>
          </w:p>
        </w:tc>
        <w:tc>
          <w:tcPr>
            <w:tcW w:w="1503" w:type="dxa"/>
            <w:shd w:val="clear" w:color="auto" w:fill="C00000"/>
            <w:tcMar>
              <w:top w:w="0" w:type="dxa"/>
              <w:left w:w="0" w:type="dxa"/>
              <w:bottom w:w="0" w:type="dxa"/>
              <w:right w:w="0" w:type="dxa"/>
            </w:tcMar>
            <w:vAlign w:val="center"/>
          </w:tcPr>
          <w:p w14:paraId="51D805A9" w14:textId="77777777" w:rsidR="00A64F30" w:rsidRPr="00A64F30" w:rsidRDefault="00A64F30" w:rsidP="00A64F30">
            <w:pPr>
              <w:pStyle w:val="Tableheaderrow"/>
            </w:pPr>
            <w:r w:rsidRPr="00A64F30">
              <w:t>South Australia</w:t>
            </w:r>
          </w:p>
        </w:tc>
        <w:tc>
          <w:tcPr>
            <w:tcW w:w="1503" w:type="dxa"/>
            <w:shd w:val="clear" w:color="auto" w:fill="C00000"/>
            <w:tcMar>
              <w:top w:w="0" w:type="dxa"/>
              <w:left w:w="0" w:type="dxa"/>
              <w:bottom w:w="0" w:type="dxa"/>
              <w:right w:w="0" w:type="dxa"/>
            </w:tcMar>
            <w:vAlign w:val="center"/>
          </w:tcPr>
          <w:p w14:paraId="675E1396" w14:textId="77777777" w:rsidR="00A64F30" w:rsidRPr="00A64F30" w:rsidRDefault="00A64F30" w:rsidP="00A64F30">
            <w:pPr>
              <w:pStyle w:val="Tableheaderrow"/>
            </w:pPr>
            <w:r w:rsidRPr="00A64F30">
              <w:t>Tasmania</w:t>
            </w:r>
          </w:p>
        </w:tc>
        <w:tc>
          <w:tcPr>
            <w:tcW w:w="1504" w:type="dxa"/>
            <w:shd w:val="clear" w:color="auto" w:fill="C00000"/>
            <w:tcMar>
              <w:top w:w="0" w:type="dxa"/>
              <w:left w:w="0" w:type="dxa"/>
              <w:bottom w:w="0" w:type="dxa"/>
              <w:right w:w="0" w:type="dxa"/>
            </w:tcMar>
            <w:vAlign w:val="center"/>
          </w:tcPr>
          <w:p w14:paraId="1F22509D" w14:textId="77777777" w:rsidR="00A64F30" w:rsidRPr="00A64F30" w:rsidRDefault="00A64F30" w:rsidP="00A64F30">
            <w:pPr>
              <w:pStyle w:val="Tableheaderrow"/>
            </w:pPr>
            <w:r w:rsidRPr="00A64F30">
              <w:t>Northern Territory</w:t>
            </w:r>
          </w:p>
        </w:tc>
        <w:tc>
          <w:tcPr>
            <w:tcW w:w="1503" w:type="dxa"/>
            <w:shd w:val="clear" w:color="auto" w:fill="C00000"/>
            <w:tcMar>
              <w:top w:w="0" w:type="dxa"/>
              <w:left w:w="0" w:type="dxa"/>
              <w:bottom w:w="0" w:type="dxa"/>
              <w:right w:w="0" w:type="dxa"/>
            </w:tcMar>
            <w:vAlign w:val="center"/>
          </w:tcPr>
          <w:p w14:paraId="027B58D4" w14:textId="77777777" w:rsidR="00A64F30" w:rsidRPr="00A64F30" w:rsidRDefault="00A64F30" w:rsidP="00A64F30">
            <w:pPr>
              <w:pStyle w:val="Tableheaderrow"/>
            </w:pPr>
            <w:r w:rsidRPr="00A64F30">
              <w:t>Australian Capital Territory</w:t>
            </w:r>
          </w:p>
        </w:tc>
        <w:tc>
          <w:tcPr>
            <w:tcW w:w="1503" w:type="dxa"/>
            <w:shd w:val="clear" w:color="auto" w:fill="C00000"/>
            <w:tcMar>
              <w:top w:w="0" w:type="dxa"/>
              <w:left w:w="0" w:type="dxa"/>
              <w:bottom w:w="0" w:type="dxa"/>
              <w:right w:w="0" w:type="dxa"/>
            </w:tcMar>
            <w:vAlign w:val="center"/>
          </w:tcPr>
          <w:p w14:paraId="510B5C8F" w14:textId="77777777" w:rsidR="00A64F30" w:rsidRPr="00A64F30" w:rsidRDefault="00A64F30" w:rsidP="00A64F30">
            <w:pPr>
              <w:pStyle w:val="Tableheaderrow"/>
            </w:pPr>
            <w:r w:rsidRPr="00A64F30">
              <w:t>C’wealth</w:t>
            </w:r>
            <w:r w:rsidRPr="00CE30D5">
              <w:rPr>
                <w:vertAlign w:val="superscript"/>
              </w:rPr>
              <w:t>1</w:t>
            </w:r>
          </w:p>
        </w:tc>
        <w:tc>
          <w:tcPr>
            <w:tcW w:w="1504" w:type="dxa"/>
            <w:shd w:val="clear" w:color="auto" w:fill="C00000"/>
            <w:tcMar>
              <w:top w:w="0" w:type="dxa"/>
              <w:left w:w="0" w:type="dxa"/>
              <w:bottom w:w="0" w:type="dxa"/>
              <w:right w:w="0" w:type="dxa"/>
            </w:tcMar>
            <w:vAlign w:val="center"/>
          </w:tcPr>
          <w:p w14:paraId="3BEAC5D9" w14:textId="77777777" w:rsidR="00A64F30" w:rsidRPr="00A64F30" w:rsidRDefault="00A64F30" w:rsidP="00A64F30">
            <w:pPr>
              <w:pStyle w:val="Tableheaderrow"/>
            </w:pPr>
            <w:r w:rsidRPr="00A64F30">
              <w:t>New Zealand</w:t>
            </w:r>
          </w:p>
        </w:tc>
      </w:tr>
      <w:tr w:rsidR="00A64F30" w:rsidRPr="00A64F30" w14:paraId="5EFF0BD8" w14:textId="77777777" w:rsidTr="00FB729B">
        <w:tc>
          <w:tcPr>
            <w:tcW w:w="15015" w:type="dxa"/>
            <w:gridSpan w:val="10"/>
            <w:tcMar>
              <w:top w:w="80" w:type="dxa"/>
              <w:left w:w="80" w:type="dxa"/>
              <w:bottom w:w="80" w:type="dxa"/>
              <w:right w:w="80" w:type="dxa"/>
            </w:tcMar>
          </w:tcPr>
          <w:p w14:paraId="114A006D" w14:textId="44EAD305" w:rsidR="00A64F30" w:rsidRPr="00A64F30" w:rsidRDefault="00A64F30" w:rsidP="00A64F30">
            <w:pPr>
              <w:jc w:val="center"/>
              <w:rPr>
                <w:rFonts w:eastAsia="Calibri" w:cs="Arial"/>
                <w:b/>
                <w:sz w:val="16"/>
                <w:szCs w:val="16"/>
                <w:lang w:eastAsia="en-US"/>
              </w:rPr>
            </w:pPr>
            <w:r w:rsidRPr="00A64F30">
              <w:rPr>
                <w:rFonts w:eastAsia="Calibri" w:cs="Arial"/>
                <w:b/>
                <w:sz w:val="16"/>
                <w:szCs w:val="16"/>
                <w:lang w:eastAsia="en-US"/>
              </w:rPr>
              <w:t>Cancer caused by the following agents</w:t>
            </w:r>
            <w:r w:rsidR="00306D40">
              <w:rPr>
                <w:rFonts w:eastAsia="Calibri" w:cs="Arial"/>
                <w:b/>
                <w:sz w:val="16"/>
                <w:szCs w:val="16"/>
                <w:lang w:eastAsia="en-US"/>
              </w:rPr>
              <w:t xml:space="preserve"> </w:t>
            </w:r>
            <w:r w:rsidR="00306D40">
              <w:rPr>
                <w:rFonts w:eastAsia="Calibri" w:cs="Arial"/>
                <w:b/>
                <w:sz w:val="16"/>
                <w:szCs w:val="16"/>
                <w:lang w:eastAsia="en-US"/>
              </w:rPr>
              <w:fldChar w:fldCharType="begin"/>
            </w:r>
            <w:r w:rsidR="00306D40">
              <w:instrText xml:space="preserve"> XE "</w:instrText>
            </w:r>
            <w:r w:rsidR="00306D40" w:rsidRPr="001854C8">
              <w:instrText>lung cancer</w:instrText>
            </w:r>
            <w:r w:rsidR="00306D40">
              <w:instrText xml:space="preserve">" \r "table" </w:instrText>
            </w:r>
            <w:r w:rsidR="00306D40">
              <w:rPr>
                <w:rFonts w:eastAsia="Calibri" w:cs="Arial"/>
                <w:b/>
                <w:sz w:val="16"/>
                <w:szCs w:val="16"/>
                <w:lang w:eastAsia="en-US"/>
              </w:rPr>
              <w:fldChar w:fldCharType="end"/>
            </w:r>
          </w:p>
        </w:tc>
      </w:tr>
      <w:tr w:rsidR="00A64F30" w:rsidRPr="00A64F30" w14:paraId="6196CE64" w14:textId="77777777" w:rsidTr="00FB729B">
        <w:tc>
          <w:tcPr>
            <w:tcW w:w="1485" w:type="dxa"/>
            <w:shd w:val="clear" w:color="auto" w:fill="FFC9C9"/>
            <w:tcMar>
              <w:top w:w="80" w:type="dxa"/>
              <w:left w:w="80" w:type="dxa"/>
              <w:bottom w:w="80" w:type="dxa"/>
              <w:right w:w="80" w:type="dxa"/>
            </w:tcMar>
          </w:tcPr>
          <w:p w14:paraId="79764AC9"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Asbestos</w:t>
            </w:r>
          </w:p>
        </w:tc>
        <w:tc>
          <w:tcPr>
            <w:tcW w:w="1503" w:type="dxa"/>
            <w:shd w:val="clear" w:color="auto" w:fill="FFC9C9"/>
            <w:tcMar>
              <w:top w:w="80" w:type="dxa"/>
              <w:left w:w="80" w:type="dxa"/>
              <w:bottom w:w="80" w:type="dxa"/>
              <w:right w:w="80" w:type="dxa"/>
            </w:tcMar>
          </w:tcPr>
          <w:p w14:paraId="208C51B7" w14:textId="77777777" w:rsidR="00A76698" w:rsidRDefault="00A64F30" w:rsidP="00A64F30">
            <w:pPr>
              <w:rPr>
                <w:rFonts w:eastAsia="Calibri" w:cs="Arial"/>
                <w:sz w:val="14"/>
                <w:szCs w:val="14"/>
                <w:lang w:eastAsia="en-US"/>
              </w:rPr>
            </w:pPr>
            <w:r w:rsidRPr="00A64F30">
              <w:rPr>
                <w:rFonts w:eastAsia="Calibri" w:cs="Arial"/>
                <w:sz w:val="14"/>
                <w:szCs w:val="14"/>
                <w:lang w:eastAsia="en-US"/>
              </w:rPr>
              <w:t>Asbestos i</w:t>
            </w:r>
            <w:r w:rsidR="00A76698">
              <w:rPr>
                <w:rFonts w:eastAsia="Calibri" w:cs="Arial"/>
                <w:sz w:val="14"/>
                <w:szCs w:val="14"/>
                <w:lang w:eastAsia="en-US"/>
              </w:rPr>
              <w:t>nduced carcinoma</w:t>
            </w:r>
            <w:r w:rsidR="00A76698" w:rsidRPr="00CE30D5">
              <w:rPr>
                <w:rFonts w:eastAsia="Calibri" w:cs="Arial"/>
                <w:sz w:val="14"/>
                <w:szCs w:val="14"/>
                <w:vertAlign w:val="superscript"/>
                <w:lang w:eastAsia="en-US"/>
              </w:rPr>
              <w:t>2</w:t>
            </w:r>
          </w:p>
          <w:p w14:paraId="4A2001BF" w14:textId="4227A190" w:rsidR="00A64F30" w:rsidRPr="00A64F30" w:rsidRDefault="00A76698" w:rsidP="00A64F30">
            <w:pPr>
              <w:rPr>
                <w:rFonts w:eastAsia="Calibri" w:cs="Arial"/>
                <w:sz w:val="14"/>
                <w:szCs w:val="14"/>
                <w:lang w:eastAsia="en-US"/>
              </w:rPr>
            </w:pPr>
            <w:r>
              <w:rPr>
                <w:rFonts w:eastAsia="Calibri" w:cs="Arial"/>
                <w:sz w:val="14"/>
                <w:szCs w:val="14"/>
                <w:lang w:eastAsia="en-US"/>
              </w:rPr>
              <w:t>Asbestosis</w:t>
            </w:r>
            <w:r w:rsidRPr="00CE30D5">
              <w:rPr>
                <w:rFonts w:eastAsia="Calibri" w:cs="Arial"/>
                <w:sz w:val="14"/>
                <w:szCs w:val="14"/>
                <w:vertAlign w:val="superscript"/>
                <w:lang w:eastAsia="en-US"/>
              </w:rPr>
              <w:t>2</w:t>
            </w:r>
          </w:p>
          <w:p w14:paraId="48EFD8A0" w14:textId="4F07169E" w:rsidR="00A64F30" w:rsidRPr="00A64F30" w:rsidRDefault="00A64F30" w:rsidP="00A64F30">
            <w:pPr>
              <w:rPr>
                <w:rFonts w:eastAsia="Calibri" w:cs="Arial"/>
                <w:sz w:val="14"/>
                <w:szCs w:val="14"/>
                <w:lang w:eastAsia="en-US"/>
              </w:rPr>
            </w:pPr>
            <w:r w:rsidRPr="00A64F30">
              <w:rPr>
                <w:rFonts w:eastAsia="Calibri" w:cs="Arial"/>
                <w:sz w:val="14"/>
                <w:szCs w:val="14"/>
                <w:lang w:eastAsia="en-US"/>
              </w:rPr>
              <w:t>Asbestos related pleu</w:t>
            </w:r>
            <w:r w:rsidR="00A76698">
              <w:rPr>
                <w:rFonts w:eastAsia="Calibri" w:cs="Arial"/>
                <w:sz w:val="14"/>
                <w:szCs w:val="14"/>
                <w:lang w:eastAsia="en-US"/>
              </w:rPr>
              <w:t>ral diseases</w:t>
            </w:r>
            <w:r w:rsidR="00A76698" w:rsidRPr="00CE30D5">
              <w:rPr>
                <w:rFonts w:eastAsia="Calibri" w:cs="Arial"/>
                <w:sz w:val="14"/>
                <w:szCs w:val="14"/>
                <w:vertAlign w:val="superscript"/>
                <w:lang w:eastAsia="en-US"/>
              </w:rPr>
              <w:t>2</w:t>
            </w:r>
          </w:p>
          <w:p w14:paraId="34563C9B" w14:textId="1AAAAD4F" w:rsidR="00A64F30" w:rsidRPr="00A64F30" w:rsidRDefault="00A76698" w:rsidP="00A64F30">
            <w:pPr>
              <w:rPr>
                <w:rFonts w:eastAsia="Calibri" w:cs="Arial"/>
                <w:sz w:val="14"/>
                <w:szCs w:val="14"/>
                <w:lang w:eastAsia="en-US"/>
              </w:rPr>
            </w:pPr>
            <w:r>
              <w:rPr>
                <w:rFonts w:eastAsia="Calibri" w:cs="Arial"/>
                <w:sz w:val="14"/>
                <w:szCs w:val="14"/>
                <w:lang w:eastAsia="en-US"/>
              </w:rPr>
              <w:t>Mesothelioma</w:t>
            </w:r>
            <w:r w:rsidRPr="00CE30D5">
              <w:rPr>
                <w:rFonts w:eastAsia="Calibri" w:cs="Arial"/>
                <w:sz w:val="14"/>
                <w:szCs w:val="14"/>
                <w:vertAlign w:val="superscript"/>
                <w:lang w:eastAsia="en-US"/>
              </w:rPr>
              <w:t>2</w:t>
            </w:r>
            <w:r>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B5FCEE9" w14:textId="3C3C5031" w:rsidR="00A64F30" w:rsidRPr="00A64F30" w:rsidRDefault="00A64F30" w:rsidP="00A64F30">
            <w:pPr>
              <w:rPr>
                <w:rFonts w:eastAsia="Calibri" w:cs="Arial"/>
                <w:sz w:val="14"/>
                <w:szCs w:val="14"/>
                <w:lang w:eastAsia="en-US"/>
              </w:rPr>
            </w:pPr>
            <w:r w:rsidRPr="00A64F30">
              <w:rPr>
                <w:rFonts w:eastAsia="Calibri" w:cs="Arial"/>
                <w:sz w:val="14"/>
                <w:szCs w:val="14"/>
                <w:lang w:eastAsia="en-US"/>
              </w:rPr>
              <w:t>Asbestosi</w:t>
            </w:r>
            <w:r w:rsidR="00A76698">
              <w:rPr>
                <w:rFonts w:eastAsia="Calibri" w:cs="Arial"/>
                <w:sz w:val="14"/>
                <w:szCs w:val="14"/>
                <w:lang w:eastAsia="en-US"/>
              </w:rPr>
              <w:t>s, with or without mesothelioma</w:t>
            </w:r>
          </w:p>
        </w:tc>
        <w:tc>
          <w:tcPr>
            <w:tcW w:w="1504" w:type="dxa"/>
            <w:shd w:val="clear" w:color="auto" w:fill="FFC9C9"/>
            <w:tcMar>
              <w:top w:w="80" w:type="dxa"/>
              <w:left w:w="80" w:type="dxa"/>
              <w:bottom w:w="80" w:type="dxa"/>
              <w:right w:w="80" w:type="dxa"/>
            </w:tcMar>
          </w:tcPr>
          <w:p w14:paraId="5591C138" w14:textId="4F8626EA" w:rsidR="00A64F30" w:rsidRPr="00A64F30" w:rsidRDefault="00A64F30" w:rsidP="00A64F30">
            <w:pPr>
              <w:rPr>
                <w:rFonts w:eastAsia="Calibri" w:cs="Arial"/>
                <w:sz w:val="14"/>
                <w:szCs w:val="14"/>
                <w:lang w:eastAsia="en-US"/>
              </w:rPr>
            </w:pPr>
            <w:r w:rsidRPr="00A64F30">
              <w:rPr>
                <w:rFonts w:eastAsia="Calibri" w:cs="Arial"/>
                <w:sz w:val="14"/>
                <w:szCs w:val="14"/>
                <w:lang w:eastAsia="en-US"/>
              </w:rPr>
              <w:t>Mesothelioma</w:t>
            </w:r>
            <w:r w:rsidR="003B3E5B">
              <w:rPr>
                <w:rFonts w:eastAsia="Calibri" w:cs="Arial"/>
                <w:sz w:val="14"/>
                <w:szCs w:val="14"/>
                <w:lang w:eastAsia="en-US"/>
              </w:rPr>
              <w:fldChar w:fldCharType="begin"/>
            </w:r>
            <w:r w:rsidR="003B3E5B">
              <w:instrText xml:space="preserve"> XE "</w:instrText>
            </w:r>
            <w:r w:rsidR="003B3E5B" w:rsidRPr="001854C8">
              <w:instrText>mesothelioma (WA)</w:instrText>
            </w:r>
            <w:r w:rsidR="003B3E5B">
              <w:instrText xml:space="preserve">" </w:instrText>
            </w:r>
            <w:r w:rsidR="003B3E5B">
              <w:rPr>
                <w:rFonts w:eastAsia="Calibri" w:cs="Arial"/>
                <w:sz w:val="14"/>
                <w:szCs w:val="14"/>
                <w:lang w:eastAsia="en-US"/>
              </w:rPr>
              <w:fldChar w:fldCharType="end"/>
            </w:r>
          </w:p>
          <w:p w14:paraId="53AE75DB" w14:textId="3FD0FCFC" w:rsidR="00A64F30" w:rsidRPr="00A64F30" w:rsidRDefault="00A76698" w:rsidP="00A64F30">
            <w:pPr>
              <w:rPr>
                <w:rFonts w:eastAsia="Calibri" w:cs="Arial"/>
                <w:sz w:val="14"/>
                <w:szCs w:val="14"/>
                <w:lang w:eastAsia="en-US"/>
              </w:rPr>
            </w:pPr>
            <w:r>
              <w:rPr>
                <w:rFonts w:eastAsia="Calibri" w:cs="Arial"/>
                <w:sz w:val="14"/>
                <w:szCs w:val="14"/>
                <w:lang w:eastAsia="en-US"/>
              </w:rPr>
              <w:t>Lung cancer</w:t>
            </w:r>
          </w:p>
          <w:p w14:paraId="100818DB" w14:textId="669627B5" w:rsidR="00A64F30" w:rsidRPr="00A64F30" w:rsidRDefault="00A76698" w:rsidP="00692DB2">
            <w:pPr>
              <w:rPr>
                <w:rFonts w:eastAsia="Calibri" w:cs="Arial"/>
                <w:sz w:val="14"/>
                <w:szCs w:val="14"/>
                <w:lang w:eastAsia="en-US"/>
              </w:rPr>
            </w:pPr>
            <w:r>
              <w:rPr>
                <w:rFonts w:eastAsia="Calibri" w:cs="Arial"/>
                <w:sz w:val="14"/>
                <w:szCs w:val="14"/>
                <w:lang w:eastAsia="en-US"/>
              </w:rPr>
              <w:t>Diffuse pleural fibrosis</w:t>
            </w:r>
          </w:p>
        </w:tc>
        <w:tc>
          <w:tcPr>
            <w:tcW w:w="1503" w:type="dxa"/>
            <w:shd w:val="clear" w:color="auto" w:fill="FFC9C9"/>
            <w:tcMar>
              <w:top w:w="80" w:type="dxa"/>
              <w:left w:w="80" w:type="dxa"/>
              <w:bottom w:w="80" w:type="dxa"/>
              <w:right w:w="80" w:type="dxa"/>
            </w:tcMar>
          </w:tcPr>
          <w:p w14:paraId="21AE43B5" w14:textId="1C7DD499" w:rsidR="00A64F30" w:rsidRPr="00A64F30" w:rsidRDefault="00A64F30" w:rsidP="00A64F30">
            <w:pPr>
              <w:rPr>
                <w:rFonts w:eastAsia="Calibri" w:cs="Arial"/>
                <w:sz w:val="14"/>
                <w:szCs w:val="14"/>
                <w:lang w:eastAsia="en-US"/>
              </w:rPr>
            </w:pPr>
            <w:r w:rsidRPr="00A64F30">
              <w:rPr>
                <w:rFonts w:eastAsia="Calibri" w:cs="Arial"/>
                <w:sz w:val="14"/>
                <w:szCs w:val="14"/>
                <w:lang w:eastAsia="en-US"/>
              </w:rPr>
              <w:t>Asbestosis (any work involving exposure to</w:t>
            </w:r>
            <w:r w:rsidR="00A76698">
              <w:rPr>
                <w:rFonts w:eastAsia="Calibri" w:cs="Arial"/>
                <w:sz w:val="14"/>
                <w:szCs w:val="14"/>
                <w:lang w:eastAsia="en-US"/>
              </w:rPr>
              <w:t xml:space="preserve"> inhalation of asbestos fibres)</w:t>
            </w:r>
          </w:p>
        </w:tc>
        <w:tc>
          <w:tcPr>
            <w:tcW w:w="1503" w:type="dxa"/>
            <w:shd w:val="clear" w:color="auto" w:fill="FFC9C9"/>
            <w:tcMar>
              <w:top w:w="80" w:type="dxa"/>
              <w:left w:w="80" w:type="dxa"/>
              <w:bottom w:w="80" w:type="dxa"/>
              <w:right w:w="80" w:type="dxa"/>
            </w:tcMar>
          </w:tcPr>
          <w:p w14:paraId="3568286F" w14:textId="1B7B927F"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Primary malignant neoplasm of the mesothelium (diffuse mesothelioma) of </w:t>
            </w:r>
            <w:r w:rsidR="00A76698">
              <w:rPr>
                <w:rFonts w:eastAsia="Calibri" w:cs="Arial"/>
                <w:sz w:val="14"/>
                <w:szCs w:val="14"/>
                <w:lang w:eastAsia="en-US"/>
              </w:rPr>
              <w:t>the pleura or of the peritoneum</w:t>
            </w:r>
          </w:p>
          <w:p w14:paraId="77E3EE35" w14:textId="4130D71B"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Note — Diseases caused by occupational exposure to asbestos are covered by the </w:t>
            </w:r>
            <w:r w:rsidRPr="00FA2384">
              <w:rPr>
                <w:rFonts w:eastAsia="Calibri" w:cs="Arial"/>
                <w:i/>
                <w:sz w:val="14"/>
                <w:szCs w:val="14"/>
                <w:lang w:eastAsia="en-US"/>
              </w:rPr>
              <w:t>Asbestos-Related Diseases</w:t>
            </w:r>
            <w:r w:rsidR="00A41653" w:rsidRPr="00FA2384">
              <w:rPr>
                <w:i/>
              </w:rPr>
              <w:fldChar w:fldCharType="begin"/>
            </w:r>
            <w:r w:rsidR="00A41653" w:rsidRPr="00FA2384">
              <w:rPr>
                <w:i/>
              </w:rPr>
              <w:instrText xml:space="preserve"> XE "Asbestos Related Diseases" </w:instrText>
            </w:r>
            <w:r w:rsidR="00A41653" w:rsidRPr="00FA2384">
              <w:rPr>
                <w:i/>
              </w:rPr>
              <w:fldChar w:fldCharType="end"/>
            </w:r>
            <w:r w:rsidRPr="00FA2384">
              <w:rPr>
                <w:rFonts w:eastAsia="Calibri" w:cs="Arial"/>
                <w:i/>
                <w:sz w:val="14"/>
                <w:szCs w:val="14"/>
                <w:lang w:eastAsia="en-US"/>
              </w:rPr>
              <w:t xml:space="preserve"> (Occupational Exposure) Compensation Act 2011</w:t>
            </w:r>
            <w:r w:rsidR="00A76698">
              <w:rPr>
                <w:rFonts w:eastAsia="Calibri" w:cs="Arial"/>
                <w:sz w:val="14"/>
                <w:szCs w:val="14"/>
                <w:lang w:eastAsia="en-US"/>
              </w:rPr>
              <w:t xml:space="preserve"> from 31 Oct 2011</w:t>
            </w:r>
          </w:p>
        </w:tc>
        <w:tc>
          <w:tcPr>
            <w:tcW w:w="1504" w:type="dxa"/>
            <w:shd w:val="clear" w:color="auto" w:fill="FFC9C9"/>
            <w:tcMar>
              <w:top w:w="80" w:type="dxa"/>
              <w:left w:w="80" w:type="dxa"/>
              <w:bottom w:w="80" w:type="dxa"/>
              <w:right w:w="80" w:type="dxa"/>
            </w:tcMar>
          </w:tcPr>
          <w:p w14:paraId="7E3656D2" w14:textId="6D6A9DA3" w:rsidR="00A64F30" w:rsidRPr="00A64F30" w:rsidRDefault="00A64F30" w:rsidP="00A64F30">
            <w:pPr>
              <w:rPr>
                <w:rFonts w:eastAsia="Calibri" w:cs="Arial"/>
                <w:sz w:val="14"/>
                <w:szCs w:val="14"/>
                <w:lang w:eastAsia="en-US"/>
              </w:rPr>
            </w:pPr>
            <w:r w:rsidRPr="00A64F30">
              <w:rPr>
                <w:rFonts w:eastAsia="Calibri" w:cs="Arial"/>
                <w:sz w:val="14"/>
                <w:szCs w:val="14"/>
                <w:lang w:eastAsia="en-US"/>
              </w:rPr>
              <w:t>Lung cancer, mesothelioma and Larynx, lung and ov</w:t>
            </w:r>
            <w:r w:rsidR="00A76698">
              <w:rPr>
                <w:rFonts w:eastAsia="Calibri" w:cs="Arial"/>
                <w:sz w:val="14"/>
                <w:szCs w:val="14"/>
                <w:lang w:eastAsia="en-US"/>
              </w:rPr>
              <w:t>arian cancer caused by asbestos</w:t>
            </w:r>
          </w:p>
        </w:tc>
        <w:tc>
          <w:tcPr>
            <w:tcW w:w="1503" w:type="dxa"/>
            <w:shd w:val="clear" w:color="auto" w:fill="FFC9C9"/>
            <w:tcMar>
              <w:top w:w="80" w:type="dxa"/>
              <w:left w:w="80" w:type="dxa"/>
              <w:bottom w:w="80" w:type="dxa"/>
              <w:right w:w="80" w:type="dxa"/>
            </w:tcMar>
          </w:tcPr>
          <w:p w14:paraId="05ADA1F7" w14:textId="1F807EF2" w:rsidR="00A64F30" w:rsidRPr="00A64F30" w:rsidRDefault="00A76698" w:rsidP="00A64F30">
            <w:pPr>
              <w:rPr>
                <w:rFonts w:eastAsia="Calibri" w:cs="Arial"/>
                <w:sz w:val="14"/>
                <w:szCs w:val="14"/>
                <w:lang w:eastAsia="en-US"/>
              </w:rPr>
            </w:pPr>
            <w:r>
              <w:rPr>
                <w:rFonts w:eastAsia="Calibri" w:cs="Arial"/>
                <w:sz w:val="14"/>
                <w:szCs w:val="14"/>
                <w:lang w:eastAsia="en-US"/>
              </w:rPr>
              <w:t>Asbestosis, mesothelioma</w:t>
            </w:r>
          </w:p>
        </w:tc>
        <w:tc>
          <w:tcPr>
            <w:tcW w:w="1503" w:type="dxa"/>
            <w:shd w:val="clear" w:color="auto" w:fill="FFC9C9"/>
            <w:tcMar>
              <w:top w:w="80" w:type="dxa"/>
              <w:left w:w="80" w:type="dxa"/>
              <w:bottom w:w="80" w:type="dxa"/>
              <w:right w:w="80" w:type="dxa"/>
            </w:tcMar>
          </w:tcPr>
          <w:p w14:paraId="712B34F4" w14:textId="5DCA4D06" w:rsidR="00A64F30" w:rsidRPr="00A64F30" w:rsidRDefault="00A64F30" w:rsidP="00A64F30">
            <w:pPr>
              <w:rPr>
                <w:rFonts w:eastAsia="Calibri" w:cs="Arial"/>
                <w:sz w:val="14"/>
                <w:szCs w:val="14"/>
                <w:lang w:eastAsia="en-US"/>
              </w:rPr>
            </w:pPr>
            <w:r w:rsidRPr="00A64F30">
              <w:rPr>
                <w:rFonts w:eastAsia="Calibri" w:cs="Arial"/>
                <w:sz w:val="14"/>
                <w:szCs w:val="14"/>
                <w:lang w:eastAsia="en-US"/>
              </w:rPr>
              <w:t>Lung cancer or mesotheliomas</w:t>
            </w:r>
            <w:r w:rsidR="003B3E5B">
              <w:rPr>
                <w:rFonts w:eastAsia="Calibri" w:cs="Arial"/>
                <w:sz w:val="14"/>
                <w:szCs w:val="14"/>
                <w:lang w:eastAsia="en-US"/>
              </w:rPr>
              <w:fldChar w:fldCharType="begin"/>
            </w:r>
            <w:r w:rsidR="003B3E5B">
              <w:instrText xml:space="preserve"> XE "</w:instrText>
            </w:r>
            <w:r w:rsidR="003B3E5B" w:rsidRPr="006F1536">
              <w:instrText>mesothelioma:</w:instrText>
            </w:r>
            <w:r w:rsidR="003B3E5B">
              <w:instrText>(C</w:instrText>
            </w:r>
            <w:r w:rsidR="003B3E5B" w:rsidRPr="006F1536">
              <w:instrText>ommonwealth) see also asbestos-related diseases</w:instrText>
            </w:r>
            <w:r w:rsidR="003B3E5B">
              <w:instrText xml:space="preserve">" </w:instrText>
            </w:r>
            <w:r w:rsidR="003B3E5B">
              <w:rPr>
                <w:rFonts w:eastAsia="Calibri" w:cs="Arial"/>
                <w:sz w:val="14"/>
                <w:szCs w:val="14"/>
                <w:lang w:eastAsia="en-US"/>
              </w:rPr>
              <w:fldChar w:fldCharType="end"/>
            </w:r>
            <w:r w:rsidR="00A76698">
              <w:rPr>
                <w:rFonts w:eastAsia="Calibri" w:cs="Arial"/>
                <w:sz w:val="14"/>
                <w:szCs w:val="14"/>
                <w:lang w:eastAsia="en-US"/>
              </w:rPr>
              <w:t xml:space="preserve"> caused by asbestos</w:t>
            </w:r>
          </w:p>
        </w:tc>
        <w:tc>
          <w:tcPr>
            <w:tcW w:w="1504" w:type="dxa"/>
            <w:shd w:val="clear" w:color="auto" w:fill="FFC9C9"/>
            <w:tcMar>
              <w:top w:w="80" w:type="dxa"/>
              <w:left w:w="80" w:type="dxa"/>
              <w:bottom w:w="80" w:type="dxa"/>
              <w:right w:w="80" w:type="dxa"/>
            </w:tcMar>
          </w:tcPr>
          <w:p w14:paraId="219B65A2" w14:textId="6BDCBF3E"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Lung cancer or mesothelioma </w:t>
            </w:r>
            <w:r w:rsidR="00A76698">
              <w:rPr>
                <w:rFonts w:eastAsia="Calibri" w:cs="Arial"/>
                <w:sz w:val="14"/>
                <w:szCs w:val="14"/>
                <w:lang w:eastAsia="en-US"/>
              </w:rPr>
              <w:t>diagnosed as caused by asbestos</w:t>
            </w:r>
          </w:p>
        </w:tc>
      </w:tr>
      <w:tr w:rsidR="00A64F30" w:rsidRPr="00A64F30" w14:paraId="23201AEB" w14:textId="77777777" w:rsidTr="00FB729B">
        <w:tc>
          <w:tcPr>
            <w:tcW w:w="1485" w:type="dxa"/>
            <w:tcMar>
              <w:top w:w="80" w:type="dxa"/>
              <w:left w:w="80" w:type="dxa"/>
              <w:bottom w:w="80" w:type="dxa"/>
              <w:right w:w="80" w:type="dxa"/>
            </w:tcMar>
          </w:tcPr>
          <w:p w14:paraId="7178CAA9"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Beta-naphthylamine</w:t>
            </w:r>
          </w:p>
        </w:tc>
        <w:tc>
          <w:tcPr>
            <w:tcW w:w="1503" w:type="dxa"/>
            <w:tcMar>
              <w:top w:w="80" w:type="dxa"/>
              <w:left w:w="80" w:type="dxa"/>
              <w:bottom w:w="80" w:type="dxa"/>
              <w:right w:w="80" w:type="dxa"/>
            </w:tcMar>
          </w:tcPr>
          <w:p w14:paraId="4203AAA8"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1B6D336"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7DD192D5"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6BFAFBDF"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169D9C04"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3776FEA0" w14:textId="0EA1ACAE" w:rsidR="00A64F30" w:rsidRPr="00A64F30" w:rsidRDefault="00A64F30" w:rsidP="00A64F30">
            <w:pPr>
              <w:rPr>
                <w:rFonts w:eastAsia="Calibri" w:cs="Arial"/>
                <w:sz w:val="14"/>
                <w:szCs w:val="14"/>
                <w:lang w:eastAsia="en-US"/>
              </w:rPr>
            </w:pPr>
            <w:r w:rsidRPr="00A64F30">
              <w:rPr>
                <w:rFonts w:eastAsia="Calibri" w:cs="Arial"/>
                <w:sz w:val="14"/>
                <w:szCs w:val="14"/>
                <w:lang w:eastAsia="en-US"/>
              </w:rPr>
              <w:t>Bladder cancer (2-naphthylamine)</w:t>
            </w:r>
          </w:p>
        </w:tc>
        <w:tc>
          <w:tcPr>
            <w:tcW w:w="1503" w:type="dxa"/>
            <w:tcMar>
              <w:top w:w="80" w:type="dxa"/>
              <w:left w:w="80" w:type="dxa"/>
              <w:bottom w:w="80" w:type="dxa"/>
              <w:right w:w="80" w:type="dxa"/>
            </w:tcMar>
          </w:tcPr>
          <w:p w14:paraId="6B130A4D" w14:textId="77160A59" w:rsidR="00A64F30" w:rsidRPr="00A64F30" w:rsidRDefault="000872E0" w:rsidP="00A64F30">
            <w:pPr>
              <w:rPr>
                <w:rFonts w:eastAsia="Calibri" w:cs="Arial"/>
                <w:sz w:val="14"/>
                <w:szCs w:val="14"/>
                <w:lang w:eastAsia="en-US"/>
              </w:rPr>
            </w:pPr>
            <w:r>
              <w:rPr>
                <w:rFonts w:eastAsia="Calibri" w:cs="Arial"/>
                <w:sz w:val="14"/>
                <w:szCs w:val="14"/>
                <w:lang w:eastAsia="en-US"/>
              </w:rPr>
              <w:t xml:space="preserve">Bladder </w:t>
            </w:r>
            <w:r>
              <w:rPr>
                <w:rFonts w:eastAsia="Calibri" w:cs="Arial"/>
                <w:sz w:val="14"/>
                <w:szCs w:val="14"/>
                <w:lang w:eastAsia="en-US"/>
              </w:rPr>
              <w:br/>
            </w:r>
            <w:r w:rsidRPr="00A55B8A">
              <w:rPr>
                <w:rFonts w:cs="Helvetica"/>
                <w:sz w:val="14"/>
                <w:szCs w:val="14"/>
              </w:rPr>
              <w:t>employment involving exposure to 2-naphthylamine, benzidine, cyclophosphamide, ionizing radiation, ortho-toluidine, polycyclic aromatic hydrocarbons associated with aluminium production</w:t>
            </w:r>
          </w:p>
        </w:tc>
        <w:tc>
          <w:tcPr>
            <w:tcW w:w="1503" w:type="dxa"/>
            <w:tcMar>
              <w:top w:w="80" w:type="dxa"/>
              <w:left w:w="80" w:type="dxa"/>
              <w:bottom w:w="80" w:type="dxa"/>
              <w:right w:w="80" w:type="dxa"/>
            </w:tcMar>
          </w:tcPr>
          <w:p w14:paraId="547F256E"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2CCBD7BC" w14:textId="79091EE4" w:rsidR="00A64F30" w:rsidRPr="00A64F30" w:rsidRDefault="00A64F30" w:rsidP="00A64F30">
            <w:pPr>
              <w:rPr>
                <w:rFonts w:eastAsia="Calibri" w:cs="Arial"/>
                <w:sz w:val="14"/>
                <w:szCs w:val="14"/>
                <w:lang w:eastAsia="en-US"/>
              </w:rPr>
            </w:pPr>
            <w:r w:rsidRPr="00A64F30">
              <w:rPr>
                <w:rFonts w:eastAsia="Calibri" w:cs="Arial"/>
                <w:sz w:val="14"/>
                <w:szCs w:val="14"/>
                <w:lang w:eastAsia="en-US"/>
              </w:rPr>
              <w:t>Bladder cancer diagnosed as caused by 2-naphthylamine, benzidine, 4-aminobiphenyl, N,N-Bis (2-chloroethyl)-2-naphthylamine, other aromatic amines, or po</w:t>
            </w:r>
            <w:r w:rsidR="00A76698">
              <w:rPr>
                <w:rFonts w:eastAsia="Calibri" w:cs="Arial"/>
                <w:sz w:val="14"/>
                <w:szCs w:val="14"/>
                <w:lang w:eastAsia="en-US"/>
              </w:rPr>
              <w:t>ly-cyclic aromatic hydrocarbons</w:t>
            </w:r>
          </w:p>
        </w:tc>
      </w:tr>
      <w:tr w:rsidR="00A64F30" w:rsidRPr="00A64F30" w14:paraId="14EB8F3F" w14:textId="77777777" w:rsidTr="00FB729B">
        <w:tc>
          <w:tcPr>
            <w:tcW w:w="1485" w:type="dxa"/>
            <w:shd w:val="clear" w:color="auto" w:fill="FFC9C9"/>
            <w:tcMar>
              <w:top w:w="80" w:type="dxa"/>
              <w:left w:w="80" w:type="dxa"/>
              <w:bottom w:w="80" w:type="dxa"/>
              <w:right w:w="80" w:type="dxa"/>
            </w:tcMar>
          </w:tcPr>
          <w:p w14:paraId="21B5781F"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Bis chloromethyl ether (BCME)</w:t>
            </w:r>
          </w:p>
        </w:tc>
        <w:tc>
          <w:tcPr>
            <w:tcW w:w="1503" w:type="dxa"/>
            <w:shd w:val="clear" w:color="auto" w:fill="FFC9C9"/>
            <w:tcMar>
              <w:top w:w="80" w:type="dxa"/>
              <w:left w:w="80" w:type="dxa"/>
              <w:bottom w:w="80" w:type="dxa"/>
              <w:right w:w="80" w:type="dxa"/>
            </w:tcMar>
          </w:tcPr>
          <w:p w14:paraId="49CE136E"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01CC3875"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129E9DA6"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A12A52C"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8577ED8"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7FAA19F4" w14:textId="6DF3123A" w:rsidR="00A64F30" w:rsidRPr="00A64F30" w:rsidRDefault="00AC483C" w:rsidP="00A64F30">
            <w:pPr>
              <w:rPr>
                <w:rFonts w:eastAsia="Calibri" w:cs="Arial"/>
                <w:sz w:val="14"/>
                <w:szCs w:val="14"/>
                <w:lang w:eastAsia="en-US"/>
              </w:rPr>
            </w:pPr>
            <w:r>
              <w:rPr>
                <w:rFonts w:eastAsia="Calibri" w:cs="Arial"/>
                <w:sz w:val="14"/>
                <w:szCs w:val="14"/>
                <w:lang w:eastAsia="en-US"/>
              </w:rPr>
              <w:t>L</w:t>
            </w:r>
            <w:r w:rsidR="00A64F30" w:rsidRPr="00A64F30">
              <w:rPr>
                <w:rFonts w:eastAsia="Calibri" w:cs="Arial"/>
                <w:sz w:val="14"/>
                <w:szCs w:val="14"/>
                <w:lang w:eastAsia="en-US"/>
              </w:rPr>
              <w:t>ung cancer</w:t>
            </w:r>
          </w:p>
        </w:tc>
        <w:tc>
          <w:tcPr>
            <w:tcW w:w="1503" w:type="dxa"/>
            <w:shd w:val="clear" w:color="auto" w:fill="FFC9C9"/>
            <w:tcMar>
              <w:top w:w="80" w:type="dxa"/>
              <w:left w:w="80" w:type="dxa"/>
              <w:bottom w:w="80" w:type="dxa"/>
              <w:right w:w="80" w:type="dxa"/>
            </w:tcMar>
          </w:tcPr>
          <w:p w14:paraId="3BB29EA7" w14:textId="6EF89BC6" w:rsidR="00A64F30" w:rsidRPr="00A64F30" w:rsidRDefault="000872E0" w:rsidP="00A64F30">
            <w:pPr>
              <w:rPr>
                <w:rFonts w:eastAsia="Calibri" w:cs="Arial"/>
                <w:sz w:val="14"/>
                <w:szCs w:val="14"/>
                <w:lang w:eastAsia="en-US"/>
              </w:rPr>
            </w:pPr>
            <w:r>
              <w:rPr>
                <w:rFonts w:cs="Helvetica"/>
                <w:sz w:val="14"/>
                <w:szCs w:val="14"/>
              </w:rPr>
              <w:t xml:space="preserve">Lung Cancer </w:t>
            </w:r>
            <w:r w:rsidRPr="00A55B8A">
              <w:rPr>
                <w:rFonts w:cs="Helvetica"/>
                <w:sz w:val="14"/>
                <w:szCs w:val="14"/>
              </w:rPr>
              <w:t xml:space="preserve">employment involving exposure to arsenic, asbestos, beryllium, </w:t>
            </w:r>
            <w:r w:rsidRPr="00A55B8A">
              <w:rPr>
                <w:rFonts w:cs="Helvetica"/>
                <w:sz w:val="14"/>
                <w:szCs w:val="14"/>
              </w:rPr>
              <w:lastRenderedPageBreak/>
              <w:t>bis(chloromethyl)ether, cadmium, chromium VI, diesel engine exhaust, environmental tobacco smoke, ionizing radiation, nickel, polycyclic aromatic hydrocarbons, Radon-222 and its decay products, silica dust (crystalline) or soot (chimney sweeping)</w:t>
            </w:r>
          </w:p>
        </w:tc>
        <w:tc>
          <w:tcPr>
            <w:tcW w:w="1503" w:type="dxa"/>
            <w:shd w:val="clear" w:color="auto" w:fill="FFC9C9"/>
            <w:tcMar>
              <w:top w:w="80" w:type="dxa"/>
              <w:left w:w="80" w:type="dxa"/>
              <w:bottom w:w="80" w:type="dxa"/>
              <w:right w:w="80" w:type="dxa"/>
            </w:tcMar>
          </w:tcPr>
          <w:p w14:paraId="4E7D2DA1"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w:t>
            </w:r>
          </w:p>
        </w:tc>
        <w:tc>
          <w:tcPr>
            <w:tcW w:w="1504" w:type="dxa"/>
            <w:shd w:val="clear" w:color="auto" w:fill="FFC9C9"/>
            <w:tcMar>
              <w:top w:w="80" w:type="dxa"/>
              <w:left w:w="80" w:type="dxa"/>
              <w:bottom w:w="80" w:type="dxa"/>
              <w:right w:w="80" w:type="dxa"/>
            </w:tcMar>
          </w:tcPr>
          <w:p w14:paraId="334C65D6" w14:textId="703F9E39"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Lung cancer diagnosed as caused by bis (chloromethyl) ether (and chloromethyl methyl </w:t>
            </w:r>
            <w:r w:rsidRPr="00A64F30">
              <w:rPr>
                <w:rFonts w:eastAsia="Calibri" w:cs="Arial"/>
                <w:sz w:val="14"/>
                <w:szCs w:val="14"/>
                <w:lang w:eastAsia="en-US"/>
              </w:rPr>
              <w:lastRenderedPageBreak/>
              <w:t>ether), cadmium, coke oven emissions, nickel, radon, silica</w:t>
            </w:r>
            <w:r w:rsidR="00A76698">
              <w:rPr>
                <w:rFonts w:eastAsia="Calibri" w:cs="Arial"/>
                <w:sz w:val="14"/>
                <w:szCs w:val="14"/>
                <w:lang w:eastAsia="en-US"/>
              </w:rPr>
              <w:t xml:space="preserve"> or soot</w:t>
            </w:r>
          </w:p>
        </w:tc>
      </w:tr>
      <w:tr w:rsidR="00A64F30" w:rsidRPr="00A64F30" w14:paraId="73E92969" w14:textId="77777777" w:rsidTr="00FB729B">
        <w:tc>
          <w:tcPr>
            <w:tcW w:w="1485" w:type="dxa"/>
            <w:tcMar>
              <w:top w:w="80" w:type="dxa"/>
              <w:left w:w="80" w:type="dxa"/>
              <w:bottom w:w="80" w:type="dxa"/>
              <w:right w:w="80" w:type="dxa"/>
            </w:tcMar>
          </w:tcPr>
          <w:p w14:paraId="2BE328D3"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lastRenderedPageBreak/>
              <w:t>Coal tars, coal tar pitches or soots</w:t>
            </w:r>
          </w:p>
        </w:tc>
        <w:tc>
          <w:tcPr>
            <w:tcW w:w="1503" w:type="dxa"/>
            <w:tcMar>
              <w:top w:w="80" w:type="dxa"/>
              <w:left w:w="80" w:type="dxa"/>
              <w:bottom w:w="80" w:type="dxa"/>
              <w:right w:w="80" w:type="dxa"/>
            </w:tcMar>
          </w:tcPr>
          <w:p w14:paraId="44A1DE53"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10DAEE6C"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39F957A9"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DA4D19A"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709C74E"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3D2FC451" w14:textId="53A5EF8F" w:rsidR="00A64F30" w:rsidRPr="00A64F30" w:rsidRDefault="00A64F30" w:rsidP="00A64F30">
            <w:pPr>
              <w:rPr>
                <w:rFonts w:eastAsia="Calibri" w:cs="Arial"/>
                <w:sz w:val="14"/>
                <w:szCs w:val="14"/>
                <w:lang w:eastAsia="en-US"/>
              </w:rPr>
            </w:pPr>
            <w:r w:rsidRPr="00A64F30">
              <w:rPr>
                <w:rFonts w:eastAsia="Calibri" w:cs="Arial"/>
                <w:sz w:val="14"/>
                <w:szCs w:val="14"/>
                <w:lang w:eastAsia="en-US"/>
              </w:rPr>
              <w:t>Lung, skin and bladder cancer – All work involving polycyclic aromatic hydrocarbons</w:t>
            </w:r>
          </w:p>
        </w:tc>
        <w:tc>
          <w:tcPr>
            <w:tcW w:w="1503" w:type="dxa"/>
            <w:tcMar>
              <w:top w:w="80" w:type="dxa"/>
              <w:left w:w="80" w:type="dxa"/>
              <w:bottom w:w="80" w:type="dxa"/>
              <w:right w:w="80" w:type="dxa"/>
            </w:tcMar>
          </w:tcPr>
          <w:p w14:paraId="6C8B2E1E" w14:textId="655F6F0F" w:rsidR="00A64F30" w:rsidRPr="00A64F30" w:rsidRDefault="00A64F30" w:rsidP="00A64F30">
            <w:pPr>
              <w:rPr>
                <w:rFonts w:eastAsia="Calibri" w:cs="Arial"/>
                <w:sz w:val="14"/>
                <w:szCs w:val="14"/>
                <w:lang w:eastAsia="en-US"/>
              </w:rPr>
            </w:pPr>
            <w:r w:rsidRPr="00A64F30">
              <w:rPr>
                <w:rFonts w:eastAsia="Calibri" w:cs="Arial"/>
                <w:sz w:val="14"/>
                <w:szCs w:val="14"/>
                <w:lang w:eastAsia="en-US"/>
              </w:rPr>
              <w:t>Primary epitheliomatous cancer of the skin (exposure to or contact with tar, pitch, bitumen, mineral oil, paraffin or a compound, product, or resi</w:t>
            </w:r>
            <w:r w:rsidR="00A76698">
              <w:rPr>
                <w:rFonts w:eastAsia="Calibri" w:cs="Arial"/>
                <w:sz w:val="14"/>
                <w:szCs w:val="14"/>
                <w:lang w:eastAsia="en-US"/>
              </w:rPr>
              <w:t>due of any of those substances)</w:t>
            </w:r>
          </w:p>
        </w:tc>
        <w:tc>
          <w:tcPr>
            <w:tcW w:w="1503" w:type="dxa"/>
            <w:tcMar>
              <w:top w:w="80" w:type="dxa"/>
              <w:left w:w="80" w:type="dxa"/>
              <w:bottom w:w="80" w:type="dxa"/>
              <w:right w:w="80" w:type="dxa"/>
            </w:tcMar>
          </w:tcPr>
          <w:p w14:paraId="327514CF"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50AC0FDB" w14:textId="746EAF91" w:rsidR="00A64F30" w:rsidRPr="00A64F30" w:rsidRDefault="00A64F30" w:rsidP="00A64F30">
            <w:pPr>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w:t>
            </w:r>
            <w:r w:rsidR="00A76698">
              <w:rPr>
                <w:rFonts w:eastAsia="Calibri" w:cs="Arial"/>
                <w:sz w:val="14"/>
                <w:szCs w:val="14"/>
                <w:lang w:eastAsia="en-US"/>
              </w:rPr>
              <w:t>, nickel, radon, silica or soot</w:t>
            </w:r>
          </w:p>
        </w:tc>
      </w:tr>
      <w:tr w:rsidR="00A64F30" w:rsidRPr="00A64F30" w14:paraId="34A1484F" w14:textId="77777777" w:rsidTr="00FB729B">
        <w:tc>
          <w:tcPr>
            <w:tcW w:w="1485" w:type="dxa"/>
            <w:shd w:val="clear" w:color="auto" w:fill="FFC9C9"/>
            <w:tcMar>
              <w:top w:w="80" w:type="dxa"/>
              <w:left w:w="80" w:type="dxa"/>
              <w:bottom w:w="80" w:type="dxa"/>
              <w:right w:w="80" w:type="dxa"/>
            </w:tcMar>
          </w:tcPr>
          <w:p w14:paraId="52E68DB7"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Coke oven emissions</w:t>
            </w:r>
          </w:p>
        </w:tc>
        <w:tc>
          <w:tcPr>
            <w:tcW w:w="1503" w:type="dxa"/>
            <w:shd w:val="clear" w:color="auto" w:fill="FFC9C9"/>
            <w:tcMar>
              <w:top w:w="80" w:type="dxa"/>
              <w:left w:w="80" w:type="dxa"/>
              <w:bottom w:w="80" w:type="dxa"/>
              <w:right w:w="80" w:type="dxa"/>
            </w:tcMar>
          </w:tcPr>
          <w:p w14:paraId="71D786F6"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74617144"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59433F1A"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03D8BCF6"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2CD5EE27"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261E1E45" w14:textId="55525538" w:rsidR="00A64F30" w:rsidRPr="00A64F30" w:rsidRDefault="00A64F30" w:rsidP="00A64F30">
            <w:pPr>
              <w:rPr>
                <w:rFonts w:eastAsia="Calibri" w:cs="Arial"/>
                <w:sz w:val="14"/>
                <w:szCs w:val="14"/>
                <w:lang w:eastAsia="en-US"/>
              </w:rPr>
            </w:pPr>
            <w:r w:rsidRPr="00A64F30">
              <w:rPr>
                <w:rFonts w:eastAsia="Calibri" w:cs="Arial"/>
                <w:sz w:val="14"/>
                <w:szCs w:val="14"/>
                <w:lang w:eastAsia="en-US"/>
              </w:rPr>
              <w:t>Lung, skin and bladder cancer – All work involving polycyclic aromatic hydrocarbons</w:t>
            </w:r>
          </w:p>
        </w:tc>
        <w:tc>
          <w:tcPr>
            <w:tcW w:w="1503" w:type="dxa"/>
            <w:shd w:val="clear" w:color="auto" w:fill="FFC9C9"/>
            <w:tcMar>
              <w:top w:w="80" w:type="dxa"/>
              <w:left w:w="80" w:type="dxa"/>
              <w:bottom w:w="80" w:type="dxa"/>
              <w:right w:w="80" w:type="dxa"/>
            </w:tcMar>
          </w:tcPr>
          <w:p w14:paraId="6C7BF735"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AC7AAA8"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08EAD95C" w14:textId="1973BE82" w:rsidR="00A64F30" w:rsidRPr="00A64F30" w:rsidRDefault="00A64F30" w:rsidP="00A64F30">
            <w:pPr>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w:t>
            </w:r>
            <w:r w:rsidR="00A76698">
              <w:rPr>
                <w:rFonts w:eastAsia="Calibri" w:cs="Arial"/>
                <w:sz w:val="14"/>
                <w:szCs w:val="14"/>
                <w:lang w:eastAsia="en-US"/>
              </w:rPr>
              <w:t>, nickel, radon, silica or soot</w:t>
            </w:r>
          </w:p>
        </w:tc>
      </w:tr>
      <w:tr w:rsidR="00A64F30" w:rsidRPr="00A64F30" w14:paraId="3D52102A" w14:textId="77777777" w:rsidTr="00FB729B">
        <w:tc>
          <w:tcPr>
            <w:tcW w:w="1485" w:type="dxa"/>
            <w:tcMar>
              <w:top w:w="80" w:type="dxa"/>
              <w:left w:w="80" w:type="dxa"/>
              <w:bottom w:w="80" w:type="dxa"/>
              <w:right w:w="80" w:type="dxa"/>
            </w:tcMar>
          </w:tcPr>
          <w:p w14:paraId="2A5FC6C8"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Nickel compounds</w:t>
            </w:r>
          </w:p>
        </w:tc>
        <w:tc>
          <w:tcPr>
            <w:tcW w:w="1503" w:type="dxa"/>
            <w:tcMar>
              <w:top w:w="80" w:type="dxa"/>
              <w:left w:w="80" w:type="dxa"/>
              <w:bottom w:w="80" w:type="dxa"/>
              <w:right w:w="80" w:type="dxa"/>
            </w:tcMar>
          </w:tcPr>
          <w:p w14:paraId="3759B675"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07B96B24"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6F50063D"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6C0C3AE8"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C3CD416"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34A128EF"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5AC239B"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57DEAF6C"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14FCB254" w14:textId="704DF27B" w:rsidR="00A64F30" w:rsidRPr="00A64F30" w:rsidRDefault="00A64F30" w:rsidP="00A64F30">
            <w:pPr>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w:t>
            </w:r>
            <w:r w:rsidR="00A76698">
              <w:rPr>
                <w:rFonts w:eastAsia="Calibri" w:cs="Arial"/>
                <w:sz w:val="14"/>
                <w:szCs w:val="14"/>
                <w:lang w:eastAsia="en-US"/>
              </w:rPr>
              <w:t>, nickel, radon, silica or soot</w:t>
            </w:r>
          </w:p>
        </w:tc>
      </w:tr>
      <w:tr w:rsidR="00A64F30" w:rsidRPr="00A64F30" w14:paraId="6879AECF" w14:textId="77777777" w:rsidTr="00FB729B">
        <w:tc>
          <w:tcPr>
            <w:tcW w:w="1485" w:type="dxa"/>
            <w:shd w:val="clear" w:color="auto" w:fill="FFC9C9"/>
            <w:tcMar>
              <w:top w:w="80" w:type="dxa"/>
              <w:left w:w="80" w:type="dxa"/>
              <w:bottom w:w="80" w:type="dxa"/>
              <w:right w:w="80" w:type="dxa"/>
            </w:tcMar>
          </w:tcPr>
          <w:p w14:paraId="1042F852"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 xml:space="preserve">Tar, pitch, bitumen, mineral </w:t>
            </w:r>
            <w:r w:rsidRPr="00A64F30">
              <w:rPr>
                <w:rFonts w:eastAsia="Calibri" w:cs="Arial"/>
                <w:b/>
                <w:sz w:val="16"/>
                <w:szCs w:val="16"/>
                <w:lang w:eastAsia="en-US"/>
              </w:rPr>
              <w:lastRenderedPageBreak/>
              <w:t>oil, anthracene, or the compounds, products or residues of these substances</w:t>
            </w:r>
          </w:p>
        </w:tc>
        <w:tc>
          <w:tcPr>
            <w:tcW w:w="1503" w:type="dxa"/>
            <w:shd w:val="clear" w:color="auto" w:fill="FFC9C9"/>
            <w:tcMar>
              <w:top w:w="80" w:type="dxa"/>
              <w:left w:w="80" w:type="dxa"/>
              <w:bottom w:w="80" w:type="dxa"/>
              <w:right w:w="80" w:type="dxa"/>
            </w:tcMar>
          </w:tcPr>
          <w:p w14:paraId="5CAA5C90" w14:textId="77777777" w:rsid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Primary epitheliomatous </w:t>
            </w:r>
            <w:r w:rsidRPr="00A64F30">
              <w:rPr>
                <w:rFonts w:eastAsia="Calibri" w:cs="Arial"/>
                <w:sz w:val="14"/>
                <w:szCs w:val="14"/>
                <w:lang w:eastAsia="en-US"/>
              </w:rPr>
              <w:lastRenderedPageBreak/>
              <w:t>cancer of the skin (Any process involving the handling or use of tar, pitch, bitumen, mineral oil, paraffin, or the compounds, products o</w:t>
            </w:r>
            <w:r w:rsidR="00A76698">
              <w:rPr>
                <w:rFonts w:eastAsia="Calibri" w:cs="Arial"/>
                <w:sz w:val="14"/>
                <w:szCs w:val="14"/>
                <w:lang w:eastAsia="en-US"/>
              </w:rPr>
              <w:t>r residues of these substances)</w:t>
            </w:r>
          </w:p>
          <w:p w14:paraId="743D2C31" w14:textId="0BDB0FF7" w:rsidR="00647F09" w:rsidRPr="00647F09" w:rsidRDefault="00647F09" w:rsidP="00A64F30">
            <w:pPr>
              <w:rPr>
                <w:rFonts w:eastAsia="Calibri" w:cs="Arial"/>
                <w:sz w:val="14"/>
                <w:szCs w:val="14"/>
                <w:lang w:eastAsia="en-US"/>
              </w:rPr>
            </w:pPr>
            <w:r>
              <w:rPr>
                <w:rFonts w:eastAsia="Calibri" w:cs="Arial"/>
                <w:sz w:val="14"/>
                <w:szCs w:val="14"/>
                <w:lang w:eastAsia="en-US"/>
              </w:rPr>
              <w:t>(</w:t>
            </w:r>
            <w:hyperlink r:id="rId2227" w:history="1">
              <w:r w:rsidRPr="00593EF5">
                <w:rPr>
                  <w:rStyle w:val="Hyperlink"/>
                  <w:rFonts w:eastAsia="Calibri" w:cs="Arial"/>
                  <w:sz w:val="14"/>
                  <w:szCs w:val="14"/>
                  <w:lang w:eastAsia="en-US"/>
                </w:rPr>
                <w:t>Schedule 1</w:t>
              </w:r>
            </w:hyperlink>
            <w:r>
              <w:rPr>
                <w:rFonts w:eastAsia="Calibri" w:cs="Arial"/>
                <w:sz w:val="14"/>
                <w:szCs w:val="14"/>
                <w:lang w:eastAsia="en-US"/>
              </w:rPr>
              <w:t xml:space="preserve"> of the</w:t>
            </w:r>
            <w:r w:rsidRPr="00593EF5">
              <w:rPr>
                <w:rFonts w:eastAsia="Calibri" w:cs="Arial"/>
                <w:sz w:val="14"/>
                <w:szCs w:val="14"/>
                <w:lang w:eastAsia="en-US"/>
              </w:rPr>
              <w:t xml:space="preserve"> Workers’ Compensation Regulation 2016</w:t>
            </w:r>
            <w:r>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9D53BCD" w14:textId="1D378822"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Primary epitheliomatous </w:t>
            </w:r>
            <w:r w:rsidRPr="00A64F30">
              <w:rPr>
                <w:rFonts w:eastAsia="Calibri" w:cs="Arial"/>
                <w:sz w:val="14"/>
                <w:szCs w:val="14"/>
                <w:lang w:eastAsia="en-US"/>
              </w:rPr>
              <w:lastRenderedPageBreak/>
              <w:t>cancer of the skin (exposure to tar, pitch, bitumen, mineral oil, paraffin or compounds, products, o</w:t>
            </w:r>
            <w:r w:rsidR="00A76698">
              <w:rPr>
                <w:rFonts w:eastAsia="Calibri" w:cs="Arial"/>
                <w:sz w:val="14"/>
                <w:szCs w:val="14"/>
                <w:lang w:eastAsia="en-US"/>
              </w:rPr>
              <w:t>r residues of these substances)</w:t>
            </w:r>
          </w:p>
        </w:tc>
        <w:tc>
          <w:tcPr>
            <w:tcW w:w="1504" w:type="dxa"/>
            <w:shd w:val="clear" w:color="auto" w:fill="FFC9C9"/>
            <w:tcMar>
              <w:top w:w="80" w:type="dxa"/>
              <w:left w:w="80" w:type="dxa"/>
              <w:bottom w:w="80" w:type="dxa"/>
              <w:right w:w="80" w:type="dxa"/>
            </w:tcMar>
          </w:tcPr>
          <w:p w14:paraId="346405CF" w14:textId="7D87B505"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Epitheliomatous cancer or ulceration </w:t>
            </w:r>
            <w:r w:rsidRPr="00A64F30">
              <w:rPr>
                <w:rFonts w:eastAsia="Calibri" w:cs="Arial"/>
                <w:sz w:val="14"/>
                <w:szCs w:val="14"/>
                <w:lang w:eastAsia="en-US"/>
              </w:rPr>
              <w:lastRenderedPageBreak/>
              <w:t xml:space="preserve">of skin or the corneal surface of the eye due to tar, pitch, bitumen, mineral oil, paraffin or compounds, products, </w:t>
            </w:r>
            <w:r w:rsidR="00A76698">
              <w:rPr>
                <w:rFonts w:eastAsia="Calibri" w:cs="Arial"/>
                <w:sz w:val="14"/>
                <w:szCs w:val="14"/>
                <w:lang w:eastAsia="en-US"/>
              </w:rPr>
              <w:t>or residues of those substances</w:t>
            </w:r>
          </w:p>
        </w:tc>
        <w:tc>
          <w:tcPr>
            <w:tcW w:w="1503" w:type="dxa"/>
            <w:shd w:val="clear" w:color="auto" w:fill="FFC9C9"/>
            <w:tcMar>
              <w:top w:w="80" w:type="dxa"/>
              <w:left w:w="80" w:type="dxa"/>
              <w:bottom w:w="80" w:type="dxa"/>
              <w:right w:w="80" w:type="dxa"/>
            </w:tcMar>
          </w:tcPr>
          <w:p w14:paraId="7C3FA3F9" w14:textId="4389BC46"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Primary epitheliomatous </w:t>
            </w:r>
            <w:r w:rsidRPr="00A64F30">
              <w:rPr>
                <w:rFonts w:eastAsia="Calibri" w:cs="Arial"/>
                <w:sz w:val="14"/>
                <w:szCs w:val="14"/>
                <w:lang w:eastAsia="en-US"/>
              </w:rPr>
              <w:lastRenderedPageBreak/>
              <w:t xml:space="preserve">cancer of the skin due to handling or use of tar, pitch, bitumen, mineral oil, paraffin or compounds, products, </w:t>
            </w:r>
            <w:r w:rsidR="00A76698">
              <w:rPr>
                <w:rFonts w:eastAsia="Calibri" w:cs="Arial"/>
                <w:sz w:val="14"/>
                <w:szCs w:val="14"/>
                <w:lang w:eastAsia="en-US"/>
              </w:rPr>
              <w:t>or residues of those substances</w:t>
            </w:r>
          </w:p>
        </w:tc>
        <w:tc>
          <w:tcPr>
            <w:tcW w:w="1503" w:type="dxa"/>
            <w:shd w:val="clear" w:color="auto" w:fill="FFC9C9"/>
            <w:tcMar>
              <w:top w:w="80" w:type="dxa"/>
              <w:left w:w="80" w:type="dxa"/>
              <w:bottom w:w="80" w:type="dxa"/>
              <w:right w:w="80" w:type="dxa"/>
            </w:tcMar>
          </w:tcPr>
          <w:p w14:paraId="30827621" w14:textId="61DFDD18"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Primary squamous cell carcinoma of skin </w:t>
            </w:r>
            <w:r w:rsidRPr="00A64F30">
              <w:rPr>
                <w:rFonts w:eastAsia="Calibri" w:cs="Arial"/>
                <w:sz w:val="14"/>
                <w:szCs w:val="14"/>
                <w:lang w:eastAsia="en-US"/>
              </w:rPr>
              <w:lastRenderedPageBreak/>
              <w:t xml:space="preserve">due to exposure to tar, pitch, mineral oil, anthracene or compounds, products, </w:t>
            </w:r>
            <w:r w:rsidR="00A76698">
              <w:rPr>
                <w:rFonts w:eastAsia="Calibri" w:cs="Arial"/>
                <w:sz w:val="14"/>
                <w:szCs w:val="14"/>
                <w:lang w:eastAsia="en-US"/>
              </w:rPr>
              <w:t>or residues of these substances</w:t>
            </w:r>
          </w:p>
        </w:tc>
        <w:tc>
          <w:tcPr>
            <w:tcW w:w="1504" w:type="dxa"/>
            <w:shd w:val="clear" w:color="auto" w:fill="FFC9C9"/>
            <w:tcMar>
              <w:top w:w="80" w:type="dxa"/>
              <w:left w:w="80" w:type="dxa"/>
              <w:bottom w:w="80" w:type="dxa"/>
              <w:right w:w="80" w:type="dxa"/>
            </w:tcMar>
          </w:tcPr>
          <w:p w14:paraId="17FA8E68" w14:textId="651A35EB"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Lung, skin and bladder cancer – All </w:t>
            </w:r>
            <w:r w:rsidRPr="00A64F30">
              <w:rPr>
                <w:rFonts w:eastAsia="Calibri" w:cs="Arial"/>
                <w:sz w:val="14"/>
                <w:szCs w:val="14"/>
                <w:lang w:eastAsia="en-US"/>
              </w:rPr>
              <w:lastRenderedPageBreak/>
              <w:t>work involving p</w:t>
            </w:r>
            <w:r w:rsidR="00A76698">
              <w:rPr>
                <w:rFonts w:eastAsia="Calibri" w:cs="Arial"/>
                <w:sz w:val="14"/>
                <w:szCs w:val="14"/>
                <w:lang w:eastAsia="en-US"/>
              </w:rPr>
              <w:t>olycyclic aromatic hydrocarbons</w:t>
            </w:r>
          </w:p>
        </w:tc>
        <w:tc>
          <w:tcPr>
            <w:tcW w:w="1503" w:type="dxa"/>
            <w:shd w:val="clear" w:color="auto" w:fill="FFC9C9"/>
            <w:tcMar>
              <w:top w:w="80" w:type="dxa"/>
              <w:left w:w="80" w:type="dxa"/>
              <w:bottom w:w="80" w:type="dxa"/>
              <w:right w:w="80" w:type="dxa"/>
            </w:tcMar>
          </w:tcPr>
          <w:p w14:paraId="0235EB06" w14:textId="667A741F"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Primary epitheliomatous </w:t>
            </w:r>
            <w:r w:rsidRPr="00A64F30">
              <w:rPr>
                <w:rFonts w:eastAsia="Calibri" w:cs="Arial"/>
                <w:sz w:val="14"/>
                <w:szCs w:val="14"/>
                <w:lang w:eastAsia="en-US"/>
              </w:rPr>
              <w:lastRenderedPageBreak/>
              <w:t>cancer of the skin (exposure to tar, pitch, bitumen, mineral oil, paraffin or a compound, product, or resi</w:t>
            </w:r>
            <w:r w:rsidR="00A76698">
              <w:rPr>
                <w:rFonts w:eastAsia="Calibri" w:cs="Arial"/>
                <w:sz w:val="14"/>
                <w:szCs w:val="14"/>
                <w:lang w:eastAsia="en-US"/>
              </w:rPr>
              <w:t>due of any of those substances)</w:t>
            </w:r>
          </w:p>
        </w:tc>
        <w:tc>
          <w:tcPr>
            <w:tcW w:w="1503" w:type="dxa"/>
            <w:shd w:val="clear" w:color="auto" w:fill="FFC9C9"/>
            <w:tcMar>
              <w:top w:w="80" w:type="dxa"/>
              <w:left w:w="80" w:type="dxa"/>
              <w:bottom w:w="80" w:type="dxa"/>
              <w:right w:w="80" w:type="dxa"/>
            </w:tcMar>
          </w:tcPr>
          <w:p w14:paraId="69860458" w14:textId="73A18785"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Primary epitheliomatous </w:t>
            </w:r>
            <w:r w:rsidRPr="00A64F30">
              <w:rPr>
                <w:rFonts w:eastAsia="Calibri" w:cs="Arial"/>
                <w:sz w:val="14"/>
                <w:szCs w:val="14"/>
                <w:lang w:eastAsia="en-US"/>
              </w:rPr>
              <w:lastRenderedPageBreak/>
              <w:t>cancer of the skin caused by tar, pitch, bitumen, mineral oil, anthracene or the compounds, products, or residues of these subst</w:t>
            </w:r>
            <w:r w:rsidR="00A76698">
              <w:rPr>
                <w:rFonts w:eastAsia="Calibri" w:cs="Arial"/>
                <w:sz w:val="14"/>
                <w:szCs w:val="14"/>
                <w:lang w:eastAsia="en-US"/>
              </w:rPr>
              <w:t>ances</w:t>
            </w:r>
          </w:p>
        </w:tc>
        <w:tc>
          <w:tcPr>
            <w:tcW w:w="1504" w:type="dxa"/>
            <w:shd w:val="clear" w:color="auto" w:fill="FFC9C9"/>
            <w:tcMar>
              <w:top w:w="80" w:type="dxa"/>
              <w:left w:w="80" w:type="dxa"/>
              <w:bottom w:w="80" w:type="dxa"/>
              <w:right w:w="80" w:type="dxa"/>
            </w:tcMar>
          </w:tcPr>
          <w:p w14:paraId="55618288" w14:textId="20DDC6A1"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 xml:space="preserve">Primary epitheliomatous </w:t>
            </w:r>
            <w:r w:rsidRPr="00A64F30">
              <w:rPr>
                <w:rFonts w:eastAsia="Calibri" w:cs="Arial"/>
                <w:sz w:val="14"/>
                <w:szCs w:val="14"/>
                <w:lang w:eastAsia="en-US"/>
              </w:rPr>
              <w:lastRenderedPageBreak/>
              <w:t xml:space="preserve">cancer of the skin diagnosed as caused by tar, pitch, bitumen, mineral oil, anthracene or the compounds, products, </w:t>
            </w:r>
            <w:r w:rsidR="00A76698">
              <w:rPr>
                <w:rFonts w:eastAsia="Calibri" w:cs="Arial"/>
                <w:sz w:val="14"/>
                <w:szCs w:val="14"/>
                <w:lang w:eastAsia="en-US"/>
              </w:rPr>
              <w:t>or residues of these substances</w:t>
            </w:r>
          </w:p>
          <w:p w14:paraId="18D96EBB" w14:textId="1A17CC88" w:rsidR="00A64F30" w:rsidRPr="00A64F30" w:rsidRDefault="00A64F30" w:rsidP="00A64F30">
            <w:pPr>
              <w:rPr>
                <w:rFonts w:eastAsia="Calibri" w:cs="Arial"/>
                <w:sz w:val="14"/>
                <w:szCs w:val="14"/>
                <w:lang w:eastAsia="en-US"/>
              </w:rPr>
            </w:pPr>
            <w:r w:rsidRPr="00A64F30">
              <w:rPr>
                <w:rFonts w:eastAsia="Calibri" w:cs="Arial"/>
                <w:sz w:val="14"/>
                <w:szCs w:val="14"/>
                <w:lang w:eastAsia="en-US"/>
              </w:rPr>
              <w:t>Primary epitheliomatous cancer of the skin d</w:t>
            </w:r>
            <w:r w:rsidR="00A76698">
              <w:rPr>
                <w:rFonts w:eastAsia="Calibri" w:cs="Arial"/>
                <w:sz w:val="14"/>
                <w:szCs w:val="14"/>
                <w:lang w:eastAsia="en-US"/>
              </w:rPr>
              <w:t>iagnosed as caused by shale oil</w:t>
            </w:r>
          </w:p>
        </w:tc>
      </w:tr>
      <w:tr w:rsidR="00A64F30" w:rsidRPr="00A64F30" w14:paraId="6C34DDFC" w14:textId="77777777" w:rsidTr="00FB729B">
        <w:tc>
          <w:tcPr>
            <w:tcW w:w="1485" w:type="dxa"/>
            <w:tcMar>
              <w:top w:w="80" w:type="dxa"/>
              <w:left w:w="80" w:type="dxa"/>
              <w:bottom w:w="80" w:type="dxa"/>
              <w:right w:w="80" w:type="dxa"/>
            </w:tcMar>
          </w:tcPr>
          <w:p w14:paraId="1F3421DA"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lastRenderedPageBreak/>
              <w:t>Vinyl chloride</w:t>
            </w:r>
          </w:p>
        </w:tc>
        <w:tc>
          <w:tcPr>
            <w:tcW w:w="1503" w:type="dxa"/>
            <w:tcMar>
              <w:top w:w="80" w:type="dxa"/>
              <w:left w:w="80" w:type="dxa"/>
              <w:bottom w:w="80" w:type="dxa"/>
              <w:right w:w="80" w:type="dxa"/>
            </w:tcMar>
          </w:tcPr>
          <w:p w14:paraId="2E037C31"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56C02F07"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25D90778"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12005DF7"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33217844"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260F90A3" w14:textId="7719DC1C" w:rsidR="00A64F30" w:rsidRPr="00A64F30" w:rsidRDefault="00AC483C" w:rsidP="00A64F30">
            <w:pPr>
              <w:rPr>
                <w:rFonts w:eastAsia="Calibri" w:cs="Arial"/>
                <w:sz w:val="14"/>
                <w:szCs w:val="14"/>
                <w:lang w:eastAsia="en-US"/>
              </w:rPr>
            </w:pPr>
            <w:r>
              <w:rPr>
                <w:rFonts w:eastAsia="Calibri" w:cs="Arial"/>
                <w:sz w:val="14"/>
                <w:szCs w:val="14"/>
                <w:lang w:eastAsia="en-US"/>
              </w:rPr>
              <w:t>L</w:t>
            </w:r>
            <w:r w:rsidR="00A64F30" w:rsidRPr="00A64F30">
              <w:rPr>
                <w:rFonts w:eastAsia="Calibri" w:cs="Arial"/>
                <w:sz w:val="14"/>
                <w:szCs w:val="14"/>
                <w:lang w:eastAsia="en-US"/>
              </w:rPr>
              <w:t>iver cancer</w:t>
            </w:r>
          </w:p>
        </w:tc>
        <w:tc>
          <w:tcPr>
            <w:tcW w:w="1503" w:type="dxa"/>
            <w:tcMar>
              <w:top w:w="80" w:type="dxa"/>
              <w:left w:w="80" w:type="dxa"/>
              <w:bottom w:w="80" w:type="dxa"/>
              <w:right w:w="80" w:type="dxa"/>
            </w:tcMar>
          </w:tcPr>
          <w:p w14:paraId="3E2C7F14" w14:textId="623150FF" w:rsidR="00A64F30" w:rsidRPr="00A64F30" w:rsidRDefault="000872E0" w:rsidP="00A64F30">
            <w:pPr>
              <w:rPr>
                <w:rFonts w:eastAsia="Calibri" w:cs="Arial"/>
                <w:sz w:val="14"/>
                <w:szCs w:val="14"/>
                <w:lang w:eastAsia="en-US"/>
              </w:rPr>
            </w:pPr>
            <w:r>
              <w:rPr>
                <w:rFonts w:eastAsia="Calibri" w:cs="Arial"/>
                <w:sz w:val="14"/>
                <w:szCs w:val="14"/>
                <w:lang w:eastAsia="en-US"/>
              </w:rPr>
              <w:t>Liver cancer</w:t>
            </w:r>
          </w:p>
        </w:tc>
        <w:tc>
          <w:tcPr>
            <w:tcW w:w="1503" w:type="dxa"/>
            <w:tcMar>
              <w:top w:w="80" w:type="dxa"/>
              <w:left w:w="80" w:type="dxa"/>
              <w:bottom w:w="80" w:type="dxa"/>
              <w:right w:w="80" w:type="dxa"/>
            </w:tcMar>
          </w:tcPr>
          <w:p w14:paraId="4C13EF24"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33CA1FDB"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Angiosarcoma of the liver diagnosed as caused by vinyl chloride monomer.</w:t>
            </w:r>
          </w:p>
        </w:tc>
      </w:tr>
      <w:tr w:rsidR="00A64F30" w:rsidRPr="00A64F30" w14:paraId="15DBCC49" w14:textId="77777777" w:rsidTr="00FB729B">
        <w:tc>
          <w:tcPr>
            <w:tcW w:w="1485" w:type="dxa"/>
            <w:shd w:val="clear" w:color="auto" w:fill="FFC9C9"/>
            <w:tcMar>
              <w:top w:w="80" w:type="dxa"/>
              <w:left w:w="80" w:type="dxa"/>
              <w:bottom w:w="80" w:type="dxa"/>
              <w:right w:w="80" w:type="dxa"/>
            </w:tcMar>
          </w:tcPr>
          <w:p w14:paraId="43350D0D"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Wood dust</w:t>
            </w:r>
          </w:p>
        </w:tc>
        <w:tc>
          <w:tcPr>
            <w:tcW w:w="1503" w:type="dxa"/>
            <w:shd w:val="clear" w:color="auto" w:fill="FFC9C9"/>
            <w:tcMar>
              <w:top w:w="80" w:type="dxa"/>
              <w:left w:w="80" w:type="dxa"/>
              <w:bottom w:w="80" w:type="dxa"/>
              <w:right w:w="80" w:type="dxa"/>
            </w:tcMar>
          </w:tcPr>
          <w:p w14:paraId="654272FA"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4141D70F"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15E4260E"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C94A520" w14:textId="3D888EB9"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Asthma or asthmatic attacks (dust of red pine, western red cedar, blackwood, </w:t>
            </w:r>
            <w:r w:rsidR="00A76698">
              <w:rPr>
                <w:rFonts w:eastAsia="Calibri" w:cs="Arial"/>
                <w:sz w:val="14"/>
                <w:szCs w:val="14"/>
                <w:lang w:eastAsia="en-US"/>
              </w:rPr>
              <w:t>flour, flour dust)</w:t>
            </w:r>
          </w:p>
        </w:tc>
        <w:tc>
          <w:tcPr>
            <w:tcW w:w="1503" w:type="dxa"/>
            <w:shd w:val="clear" w:color="auto" w:fill="FFC9C9"/>
            <w:tcMar>
              <w:top w:w="80" w:type="dxa"/>
              <w:left w:w="80" w:type="dxa"/>
              <w:bottom w:w="80" w:type="dxa"/>
              <w:right w:w="80" w:type="dxa"/>
            </w:tcMar>
          </w:tcPr>
          <w:p w14:paraId="1D8FA5C0"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2AD68A99" w14:textId="3AD83410" w:rsidR="00A64F30" w:rsidRPr="00A64F30" w:rsidRDefault="00AC483C" w:rsidP="00A76698">
            <w:pPr>
              <w:rPr>
                <w:rFonts w:eastAsia="Calibri" w:cs="Arial"/>
                <w:sz w:val="14"/>
                <w:szCs w:val="14"/>
                <w:lang w:eastAsia="en-US"/>
              </w:rPr>
            </w:pPr>
            <w:r>
              <w:rPr>
                <w:rFonts w:eastAsia="Calibri" w:cs="Arial"/>
                <w:sz w:val="14"/>
                <w:szCs w:val="14"/>
                <w:lang w:eastAsia="en-US"/>
              </w:rPr>
              <w:t>C</w:t>
            </w:r>
            <w:r w:rsidR="00A64F30" w:rsidRPr="00A64F30">
              <w:rPr>
                <w:rFonts w:eastAsia="Calibri" w:cs="Arial"/>
                <w:sz w:val="14"/>
                <w:szCs w:val="14"/>
                <w:lang w:eastAsia="en-US"/>
              </w:rPr>
              <w:t>ancer of nasopharynx and nasal cavity and paranasal sinuses</w:t>
            </w:r>
          </w:p>
        </w:tc>
        <w:tc>
          <w:tcPr>
            <w:tcW w:w="1503" w:type="dxa"/>
            <w:shd w:val="clear" w:color="auto" w:fill="FFC9C9"/>
            <w:tcMar>
              <w:top w:w="80" w:type="dxa"/>
              <w:left w:w="80" w:type="dxa"/>
              <w:bottom w:w="80" w:type="dxa"/>
              <w:right w:w="80" w:type="dxa"/>
            </w:tcMar>
          </w:tcPr>
          <w:p w14:paraId="1057D5A2" w14:textId="18FD25F3" w:rsidR="00A64F30" w:rsidRDefault="000872E0" w:rsidP="00A64F30">
            <w:pPr>
              <w:rPr>
                <w:rFonts w:eastAsia="Calibri" w:cs="Arial"/>
                <w:sz w:val="14"/>
                <w:szCs w:val="14"/>
                <w:lang w:eastAsia="en-US"/>
              </w:rPr>
            </w:pPr>
            <w:r>
              <w:rPr>
                <w:rFonts w:eastAsia="Calibri" w:cs="Arial"/>
                <w:sz w:val="14"/>
                <w:szCs w:val="14"/>
                <w:lang w:eastAsia="en-US"/>
              </w:rPr>
              <w:t>Nasal cavity and para-nasal sinuses</w:t>
            </w:r>
          </w:p>
          <w:p w14:paraId="038FCCE1" w14:textId="0E84E40D" w:rsidR="000872E0" w:rsidRPr="00A64F30" w:rsidRDefault="000872E0" w:rsidP="00A64F30">
            <w:pPr>
              <w:rPr>
                <w:rFonts w:eastAsia="Calibri" w:cs="Arial"/>
                <w:sz w:val="14"/>
                <w:szCs w:val="14"/>
                <w:lang w:eastAsia="en-US"/>
              </w:rPr>
            </w:pPr>
            <w:r>
              <w:rPr>
                <w:rFonts w:eastAsia="Calibri" w:cs="Arial"/>
                <w:sz w:val="14"/>
                <w:szCs w:val="14"/>
                <w:lang w:eastAsia="en-US"/>
              </w:rPr>
              <w:t>Nasopharynx</w:t>
            </w:r>
          </w:p>
        </w:tc>
        <w:tc>
          <w:tcPr>
            <w:tcW w:w="1503" w:type="dxa"/>
            <w:shd w:val="clear" w:color="auto" w:fill="FFC9C9"/>
            <w:tcMar>
              <w:top w:w="80" w:type="dxa"/>
              <w:left w:w="80" w:type="dxa"/>
              <w:bottom w:w="80" w:type="dxa"/>
              <w:right w:w="80" w:type="dxa"/>
            </w:tcMar>
          </w:tcPr>
          <w:p w14:paraId="3EB3772E"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05EFF655" w14:textId="6E568B15" w:rsidR="00A64F30" w:rsidRPr="00A64F30" w:rsidRDefault="00A64F30" w:rsidP="00A64F30">
            <w:pPr>
              <w:rPr>
                <w:rFonts w:eastAsia="Calibri" w:cs="Arial"/>
                <w:sz w:val="14"/>
                <w:szCs w:val="14"/>
                <w:lang w:eastAsia="en-US"/>
              </w:rPr>
            </w:pPr>
            <w:r w:rsidRPr="00A64F30">
              <w:rPr>
                <w:rFonts w:eastAsia="Calibri" w:cs="Arial"/>
                <w:sz w:val="14"/>
                <w:szCs w:val="14"/>
                <w:lang w:eastAsia="en-US"/>
              </w:rPr>
              <w:t>Sino-nasal carcinoma diagnosed as c</w:t>
            </w:r>
            <w:r w:rsidR="00A76698">
              <w:rPr>
                <w:rFonts w:eastAsia="Calibri" w:cs="Arial"/>
                <w:sz w:val="14"/>
                <w:szCs w:val="14"/>
                <w:lang w:eastAsia="en-US"/>
              </w:rPr>
              <w:t>aused by working with wood dust</w:t>
            </w:r>
          </w:p>
          <w:p w14:paraId="61C9CD74" w14:textId="4E3D7139" w:rsidR="00A64F30" w:rsidRPr="00A64F30" w:rsidRDefault="00A64F30" w:rsidP="00A64F30">
            <w:pPr>
              <w:rPr>
                <w:rFonts w:eastAsia="Calibri" w:cs="Arial"/>
                <w:sz w:val="14"/>
                <w:szCs w:val="14"/>
                <w:lang w:eastAsia="en-US"/>
              </w:rPr>
            </w:pPr>
            <w:r w:rsidRPr="00A64F30">
              <w:rPr>
                <w:rFonts w:eastAsia="Calibri" w:cs="Arial"/>
                <w:sz w:val="14"/>
                <w:szCs w:val="14"/>
                <w:lang w:eastAsia="en-US"/>
              </w:rPr>
              <w:t>Hodgkin’s lymphoma d</w:t>
            </w:r>
            <w:r w:rsidR="00A76698">
              <w:rPr>
                <w:rFonts w:eastAsia="Calibri" w:cs="Arial"/>
                <w:sz w:val="14"/>
                <w:szCs w:val="14"/>
                <w:lang w:eastAsia="en-US"/>
              </w:rPr>
              <w:t>iagnosed as caused by wood dust</w:t>
            </w:r>
          </w:p>
        </w:tc>
      </w:tr>
      <w:tr w:rsidR="00A64F30" w:rsidRPr="00A64F30" w14:paraId="79097844" w14:textId="77777777" w:rsidTr="00FB729B">
        <w:tc>
          <w:tcPr>
            <w:tcW w:w="1485" w:type="dxa"/>
            <w:tcMar>
              <w:top w:w="80" w:type="dxa"/>
              <w:left w:w="80" w:type="dxa"/>
              <w:bottom w:w="80" w:type="dxa"/>
              <w:right w:w="80" w:type="dxa"/>
            </w:tcMar>
          </w:tcPr>
          <w:p w14:paraId="2C38CAA3" w14:textId="14AB666B"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Cancer caused by other agents at work not mentioned in the preceding items</w:t>
            </w:r>
          </w:p>
        </w:tc>
        <w:tc>
          <w:tcPr>
            <w:tcW w:w="1503" w:type="dxa"/>
            <w:tcMar>
              <w:top w:w="80" w:type="dxa"/>
              <w:left w:w="80" w:type="dxa"/>
              <w:bottom w:w="80" w:type="dxa"/>
              <w:right w:w="80" w:type="dxa"/>
            </w:tcMar>
          </w:tcPr>
          <w:p w14:paraId="19C298F2"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59724B90"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10C9B060"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4801D48" w14:textId="11C3E993" w:rsidR="00A64F30" w:rsidRPr="00A64F30" w:rsidRDefault="00A7538C" w:rsidP="00A64F30">
            <w:pPr>
              <w:rPr>
                <w:rFonts w:eastAsia="Calibri" w:cs="Arial"/>
                <w:sz w:val="14"/>
                <w:szCs w:val="14"/>
                <w:lang w:eastAsia="en-US"/>
              </w:rPr>
            </w:pPr>
            <w:hyperlink r:id="rId2228" w:history="1">
              <w:r w:rsidR="00A64F30" w:rsidRPr="00A64F30">
                <w:rPr>
                  <w:rFonts w:eastAsia="Calibri" w:cs="Arial"/>
                  <w:color w:val="0000FF"/>
                  <w:sz w:val="14"/>
                  <w:szCs w:val="14"/>
                  <w:u w:val="single"/>
                  <w:lang w:eastAsia="en-US"/>
                </w:rPr>
                <w:t>Schedule 9</w:t>
              </w:r>
            </w:hyperlink>
            <w:r w:rsidR="00A64F30" w:rsidRPr="00A64F30">
              <w:rPr>
                <w:rFonts w:eastAsia="Calibri" w:cs="Arial"/>
                <w:sz w:val="14"/>
                <w:szCs w:val="14"/>
                <w:lang w:eastAsia="en-US"/>
              </w:rPr>
              <w:t xml:space="preserve"> amendment 23 of the </w:t>
            </w:r>
            <w:r w:rsidR="00A64F30" w:rsidRPr="00A64F30">
              <w:rPr>
                <w:rFonts w:eastAsia="Calibri" w:cs="Arial"/>
                <w:i/>
                <w:sz w:val="14"/>
                <w:szCs w:val="14"/>
                <w:lang w:eastAsia="en-US"/>
              </w:rPr>
              <w:t>Return to Work Act</w:t>
            </w:r>
            <w:r w:rsidR="00A64F30" w:rsidRPr="00A64F30">
              <w:rPr>
                <w:rFonts w:eastAsia="Calibri" w:cs="Arial"/>
                <w:sz w:val="14"/>
                <w:szCs w:val="14"/>
                <w:lang w:eastAsia="en-US"/>
              </w:rPr>
              <w:t xml:space="preserve"> </w:t>
            </w:r>
            <w:r w:rsidR="00A64F30" w:rsidRPr="006108E5">
              <w:rPr>
                <w:rFonts w:eastAsia="Calibri" w:cs="Arial"/>
                <w:sz w:val="14"/>
                <w:szCs w:val="14"/>
                <w:lang w:eastAsia="en-US"/>
              </w:rPr>
              <w:t>2014</w:t>
            </w:r>
            <w:r w:rsidR="00A64F30" w:rsidRPr="00A64F30">
              <w:rPr>
                <w:rFonts w:eastAsia="Calibri" w:cs="Arial"/>
                <w:sz w:val="14"/>
                <w:szCs w:val="14"/>
                <w:lang w:eastAsia="en-US"/>
              </w:rPr>
              <w:t xml:space="preserve"> amended section 31 of the </w:t>
            </w:r>
            <w:r w:rsidR="00A64F30" w:rsidRPr="00A64F30">
              <w:rPr>
                <w:rFonts w:eastAsia="Calibri" w:cs="Arial"/>
                <w:i/>
                <w:sz w:val="14"/>
                <w:szCs w:val="14"/>
                <w:lang w:eastAsia="en-US"/>
              </w:rPr>
              <w:t>Workers Rehabilitation and Compensation Act</w:t>
            </w:r>
            <w:r w:rsidR="00A64F30" w:rsidRPr="00845D6D">
              <w:rPr>
                <w:rFonts w:eastAsia="Calibri" w:cs="Arial"/>
                <w:i/>
                <w:sz w:val="14"/>
                <w:szCs w:val="14"/>
                <w:lang w:eastAsia="en-US"/>
              </w:rPr>
              <w:t xml:space="preserve"> 1986</w:t>
            </w:r>
            <w:r w:rsidR="00A64F30" w:rsidRPr="00A64F30">
              <w:rPr>
                <w:rFonts w:eastAsia="Calibri" w:cs="Arial"/>
                <w:sz w:val="14"/>
                <w:szCs w:val="14"/>
                <w:lang w:eastAsia="en-US"/>
              </w:rPr>
              <w:t xml:space="preserve"> to remove the qualifying periods applicable to volunteer firefighters</w:t>
            </w:r>
            <w:r w:rsidR="00A41653">
              <w:rPr>
                <w:rFonts w:eastAsia="Calibri" w:cs="Arial"/>
                <w:sz w:val="14"/>
                <w:szCs w:val="14"/>
                <w:lang w:eastAsia="en-US"/>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Calibri" w:cs="Arial"/>
                <w:sz w:val="14"/>
                <w:szCs w:val="14"/>
                <w:lang w:eastAsia="en-US"/>
              </w:rPr>
              <w:fldChar w:fldCharType="end"/>
            </w:r>
            <w:r w:rsidR="00A64F30" w:rsidRPr="00A64F30">
              <w:rPr>
                <w:rFonts w:eastAsia="Calibri" w:cs="Arial"/>
                <w:sz w:val="14"/>
                <w:szCs w:val="14"/>
                <w:lang w:eastAsia="en-US"/>
              </w:rPr>
              <w:t xml:space="preserve"> with prescribed cancers (Schedule 2A).</w:t>
            </w:r>
            <w:r w:rsidR="00DD0D68">
              <w:rPr>
                <w:rFonts w:eastAsia="Calibri" w:cs="Arial"/>
                <w:sz w:val="14"/>
                <w:szCs w:val="14"/>
                <w:lang w:eastAsia="en-US"/>
              </w:rPr>
              <w:t xml:space="preserve"> </w:t>
            </w:r>
            <w:r w:rsidR="00A64F30" w:rsidRPr="00A64F30">
              <w:rPr>
                <w:rFonts w:eastAsia="Calibri" w:cs="Arial"/>
                <w:sz w:val="14"/>
                <w:szCs w:val="14"/>
                <w:lang w:eastAsia="en-US"/>
              </w:rPr>
              <w:t>This amendment applies retrospective</w:t>
            </w:r>
            <w:r w:rsidR="00A76698">
              <w:rPr>
                <w:rFonts w:eastAsia="Calibri" w:cs="Arial"/>
                <w:sz w:val="14"/>
                <w:szCs w:val="14"/>
                <w:lang w:eastAsia="en-US"/>
              </w:rPr>
              <w:t>ly i.e. on or after 1 July 2013</w:t>
            </w:r>
          </w:p>
        </w:tc>
        <w:tc>
          <w:tcPr>
            <w:tcW w:w="1503" w:type="dxa"/>
            <w:tcMar>
              <w:top w:w="80" w:type="dxa"/>
              <w:left w:w="80" w:type="dxa"/>
              <w:bottom w:w="80" w:type="dxa"/>
              <w:right w:w="80" w:type="dxa"/>
            </w:tcMar>
          </w:tcPr>
          <w:p w14:paraId="61F014CB"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525A8E14" w14:textId="48505789" w:rsidR="00A64F30" w:rsidRPr="00A64F30" w:rsidRDefault="00E43A0F" w:rsidP="00A64F30">
            <w:pPr>
              <w:rPr>
                <w:rFonts w:eastAsia="Calibri" w:cs="Arial"/>
                <w:sz w:val="14"/>
                <w:szCs w:val="14"/>
                <w:lang w:eastAsia="en-US"/>
              </w:rPr>
            </w:pPr>
            <w:r>
              <w:rPr>
                <w:rFonts w:eastAsia="Calibri" w:cs="Arial"/>
                <w:sz w:val="14"/>
                <w:szCs w:val="14"/>
                <w:lang w:eastAsia="en-US"/>
              </w:rPr>
              <w:t>N</w:t>
            </w:r>
            <w:r w:rsidR="00A64F30" w:rsidRPr="00A64F30">
              <w:rPr>
                <w:rFonts w:eastAsia="Calibri" w:cs="Arial"/>
                <w:sz w:val="14"/>
                <w:szCs w:val="14"/>
                <w:lang w:eastAsia="en-US"/>
              </w:rPr>
              <w:t xml:space="preserve">asopharynx and nasal cavity and paranasal sinuses caused by work involving formaldehyde, leather dust, </w:t>
            </w:r>
            <w:r w:rsidR="00A76698">
              <w:rPr>
                <w:rFonts w:eastAsia="Calibri" w:cs="Arial"/>
                <w:sz w:val="14"/>
                <w:szCs w:val="14"/>
                <w:lang w:eastAsia="en-US"/>
              </w:rPr>
              <w:t>nickel</w:t>
            </w:r>
          </w:p>
          <w:p w14:paraId="77098967"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Liver – hepB and C exposure</w:t>
            </w:r>
          </w:p>
          <w:p w14:paraId="43E92316"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Larynx – strong inorganic acid</w:t>
            </w:r>
          </w:p>
          <w:p w14:paraId="61F3E7C5" w14:textId="37202AF6"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Lung – diesel engine exhaust, environmental tobacco smoke, </w:t>
            </w:r>
            <w:r w:rsidR="00A76698">
              <w:rPr>
                <w:rFonts w:eastAsia="Calibri" w:cs="Arial"/>
                <w:sz w:val="14"/>
                <w:szCs w:val="14"/>
                <w:lang w:eastAsia="en-US"/>
              </w:rPr>
              <w:t>radon-222, silica dust and soot</w:t>
            </w:r>
          </w:p>
          <w:p w14:paraId="650F562B"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Skin – solar radiation, </w:t>
            </w:r>
            <w:r w:rsidRPr="00A64F30">
              <w:rPr>
                <w:rFonts w:eastAsia="Calibri" w:cs="Arial"/>
                <w:sz w:val="14"/>
                <w:szCs w:val="14"/>
                <w:lang w:eastAsia="en-US"/>
              </w:rPr>
              <w:lastRenderedPageBreak/>
              <w:t>polychlorinated biphenols</w:t>
            </w:r>
          </w:p>
          <w:p w14:paraId="18699527"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Kidney – tricholoroethylene</w:t>
            </w:r>
          </w:p>
          <w:p w14:paraId="258BB15E"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Bladder – benzidine,cyclophosphamide, ortho toluidine</w:t>
            </w:r>
          </w:p>
          <w:p w14:paraId="3334E9B1" w14:textId="4C303453" w:rsidR="006A50D4" w:rsidRDefault="00A64F30" w:rsidP="00A64F30">
            <w:pPr>
              <w:rPr>
                <w:rFonts w:eastAsia="Calibri" w:cs="Arial"/>
                <w:sz w:val="14"/>
                <w:szCs w:val="14"/>
                <w:lang w:eastAsia="en-US"/>
              </w:rPr>
            </w:pPr>
            <w:r w:rsidRPr="00A64F30">
              <w:rPr>
                <w:rFonts w:eastAsia="Calibri" w:cs="Arial"/>
                <w:sz w:val="14"/>
                <w:szCs w:val="14"/>
                <w:lang w:eastAsia="en-US"/>
              </w:rPr>
              <w:t>Leukaemia – butadiene, cyclophosphamide, fo</w:t>
            </w:r>
            <w:r w:rsidR="00A76698">
              <w:rPr>
                <w:rFonts w:eastAsia="Calibri" w:cs="Arial"/>
                <w:sz w:val="14"/>
                <w:szCs w:val="14"/>
                <w:lang w:eastAsia="en-US"/>
              </w:rPr>
              <w:t>rmaldehyde, hepC virus exposure</w:t>
            </w:r>
          </w:p>
          <w:p w14:paraId="088F3F9A" w14:textId="23E46068" w:rsidR="00A64F30" w:rsidRPr="00A64F30" w:rsidRDefault="00A64F30" w:rsidP="00A64F30">
            <w:pPr>
              <w:rPr>
                <w:rFonts w:eastAsia="Calibri" w:cs="Arial"/>
                <w:sz w:val="14"/>
                <w:szCs w:val="14"/>
                <w:lang w:eastAsia="en-US"/>
              </w:rPr>
            </w:pPr>
            <w:r w:rsidRPr="00A64F30">
              <w:rPr>
                <w:rFonts w:eastAsia="Calibri" w:cs="Arial"/>
                <w:sz w:val="14"/>
                <w:szCs w:val="14"/>
                <w:lang w:eastAsia="en-US"/>
              </w:rPr>
              <w:t>See return to Work Regulations, reg 5B for occupational cancers and qualifying periods for firefighters</w:t>
            </w:r>
            <w:r w:rsidR="00A41653">
              <w:rPr>
                <w:rFonts w:eastAsia="Calibri" w:cs="Arial"/>
                <w:sz w:val="14"/>
                <w:szCs w:val="14"/>
                <w:lang w:eastAsia="en-US"/>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Calibri" w:cs="Arial"/>
                <w:sz w:val="14"/>
                <w:szCs w:val="14"/>
                <w:lang w:eastAsia="en-US"/>
              </w:rPr>
              <w:fldChar w:fldCharType="end"/>
            </w:r>
          </w:p>
        </w:tc>
        <w:tc>
          <w:tcPr>
            <w:tcW w:w="1503" w:type="dxa"/>
            <w:tcMar>
              <w:top w:w="80" w:type="dxa"/>
              <w:left w:w="80" w:type="dxa"/>
              <w:bottom w:w="80" w:type="dxa"/>
              <w:right w:w="80" w:type="dxa"/>
            </w:tcMar>
          </w:tcPr>
          <w:p w14:paraId="7A87A4A6"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w:t>
            </w:r>
          </w:p>
        </w:tc>
        <w:tc>
          <w:tcPr>
            <w:tcW w:w="1503" w:type="dxa"/>
            <w:tcMar>
              <w:top w:w="80" w:type="dxa"/>
              <w:left w:w="80" w:type="dxa"/>
              <w:bottom w:w="80" w:type="dxa"/>
              <w:right w:w="80" w:type="dxa"/>
            </w:tcMar>
          </w:tcPr>
          <w:p w14:paraId="4D3AF1D2" w14:textId="58DD4073" w:rsidR="00A76698" w:rsidRDefault="00A7538C" w:rsidP="00A64F30">
            <w:pPr>
              <w:rPr>
                <w:rFonts w:eastAsia="Calibri" w:cs="Arial"/>
                <w:sz w:val="14"/>
                <w:szCs w:val="14"/>
                <w:lang w:eastAsia="en-US"/>
              </w:rPr>
            </w:pPr>
            <w:hyperlink r:id="rId2229" w:history="1">
              <w:r w:rsidR="00A64F30" w:rsidRPr="00845D6D">
                <w:rPr>
                  <w:rStyle w:val="Hyperlink"/>
                  <w:rFonts w:eastAsia="Calibri" w:cs="Arial"/>
                  <w:sz w:val="14"/>
                  <w:szCs w:val="14"/>
                  <w:lang w:eastAsia="en-US"/>
                </w:rPr>
                <w:t>s7(8)</w:t>
              </w:r>
            </w:hyperlink>
            <w:r w:rsidR="00A64F30" w:rsidRPr="00A64F30">
              <w:rPr>
                <w:rFonts w:eastAsia="Calibri" w:cs="Arial"/>
                <w:sz w:val="14"/>
                <w:szCs w:val="14"/>
                <w:lang w:eastAsia="en-US"/>
              </w:rPr>
              <w:t xml:space="preserve"> and </w:t>
            </w:r>
            <w:hyperlink r:id="rId2230" w:history="1">
              <w:r w:rsidR="00A64F30" w:rsidRPr="00845D6D">
                <w:rPr>
                  <w:rStyle w:val="Hyperlink"/>
                  <w:rFonts w:eastAsia="Calibri" w:cs="Arial"/>
                  <w:sz w:val="14"/>
                  <w:szCs w:val="14"/>
                  <w:lang w:eastAsia="en-US"/>
                </w:rPr>
                <w:t>s7(9)</w:t>
              </w:r>
            </w:hyperlink>
            <w:r w:rsidR="00A64F30" w:rsidRPr="00A64F30">
              <w:rPr>
                <w:rFonts w:eastAsia="Calibri" w:cs="Arial"/>
                <w:sz w:val="14"/>
                <w:szCs w:val="14"/>
                <w:lang w:eastAsia="en-US"/>
              </w:rPr>
              <w:t xml:space="preserve"> of the SRC 1988 provide the legal presumption that if an employee has been employed as a firefighter for a certain period before being diagnosed with one of the prescribed cancers in </w:t>
            </w:r>
            <w:hyperlink r:id="rId2231" w:history="1">
              <w:r w:rsidR="00A64F30" w:rsidRPr="00845D6D">
                <w:rPr>
                  <w:rStyle w:val="Hyperlink"/>
                  <w:rFonts w:eastAsia="Calibri" w:cs="Arial"/>
                  <w:sz w:val="14"/>
                  <w:szCs w:val="14"/>
                  <w:lang w:eastAsia="en-US"/>
                </w:rPr>
                <w:t>s7(8)</w:t>
              </w:r>
            </w:hyperlink>
            <w:r w:rsidR="00A64F30" w:rsidRPr="00A64F30">
              <w:rPr>
                <w:rFonts w:eastAsia="Calibri" w:cs="Arial"/>
                <w:sz w:val="14"/>
                <w:szCs w:val="14"/>
                <w:lang w:eastAsia="en-US"/>
              </w:rPr>
              <w:t xml:space="preserve">; and has been exposed to the hazards of a fire scene during that period, their employment has contributed to a significant degree to </w:t>
            </w:r>
            <w:r w:rsidR="00A76698">
              <w:rPr>
                <w:rFonts w:eastAsia="Calibri" w:cs="Arial"/>
                <w:sz w:val="14"/>
                <w:szCs w:val="14"/>
                <w:lang w:eastAsia="en-US"/>
              </w:rPr>
              <w:t>the contraction of the disease</w:t>
            </w:r>
          </w:p>
          <w:p w14:paraId="40C46CDD" w14:textId="695BD0F7"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The above provisions provide a separate </w:t>
            </w:r>
            <w:r w:rsidRPr="00A64F30">
              <w:rPr>
                <w:rFonts w:eastAsia="Calibri" w:cs="Arial"/>
                <w:sz w:val="14"/>
                <w:szCs w:val="14"/>
                <w:lang w:eastAsia="en-US"/>
              </w:rPr>
              <w:lastRenderedPageBreak/>
              <w:t>mechanism for firefighters</w:t>
            </w:r>
            <w:r w:rsidR="00A41653">
              <w:rPr>
                <w:rFonts w:eastAsia="Calibri" w:cs="Arial"/>
                <w:sz w:val="14"/>
                <w:szCs w:val="14"/>
                <w:lang w:eastAsia="en-US"/>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Calibri" w:cs="Arial"/>
                <w:sz w:val="14"/>
                <w:szCs w:val="14"/>
                <w:lang w:eastAsia="en-US"/>
              </w:rPr>
              <w:fldChar w:fldCharType="end"/>
            </w:r>
            <w:r w:rsidRPr="00A64F30">
              <w:rPr>
                <w:rFonts w:eastAsia="Calibri" w:cs="Arial"/>
                <w:sz w:val="14"/>
                <w:szCs w:val="14"/>
                <w:lang w:eastAsia="en-US"/>
              </w:rPr>
              <w:t xml:space="preserve"> to access compensation under the SRC Act.</w:t>
            </w:r>
          </w:p>
        </w:tc>
        <w:tc>
          <w:tcPr>
            <w:tcW w:w="1504" w:type="dxa"/>
            <w:tcMar>
              <w:top w:w="80" w:type="dxa"/>
              <w:left w:w="80" w:type="dxa"/>
              <w:bottom w:w="80" w:type="dxa"/>
              <w:right w:w="80" w:type="dxa"/>
            </w:tcMar>
          </w:tcPr>
          <w:p w14:paraId="4A913E2A" w14:textId="75F70813" w:rsidR="00A64F30" w:rsidRPr="00A64F30" w:rsidRDefault="00A64F30" w:rsidP="00A64F30">
            <w:pPr>
              <w:rPr>
                <w:rFonts w:eastAsia="Calibri" w:cs="Arial"/>
                <w:sz w:val="14"/>
                <w:szCs w:val="14"/>
                <w:lang w:eastAsia="en-US"/>
              </w:rPr>
            </w:pPr>
            <w:r w:rsidRPr="00A64F30">
              <w:rPr>
                <w:rFonts w:eastAsia="Calibri" w:cs="Arial"/>
                <w:sz w:val="14"/>
                <w:szCs w:val="14"/>
                <w:lang w:eastAsia="en-US"/>
              </w:rPr>
              <w:lastRenderedPageBreak/>
              <w:t>Naso-pharyngeal carcinoma diag</w:t>
            </w:r>
            <w:r w:rsidR="00A76698">
              <w:rPr>
                <w:rFonts w:eastAsia="Calibri" w:cs="Arial"/>
                <w:sz w:val="14"/>
                <w:szCs w:val="14"/>
                <w:lang w:eastAsia="en-US"/>
              </w:rPr>
              <w:t>nosed as caused by formaldehyde</w:t>
            </w:r>
          </w:p>
          <w:p w14:paraId="410AAFF8" w14:textId="71AAD139" w:rsidR="00A64F30" w:rsidRPr="00A64F30" w:rsidRDefault="00A64F30" w:rsidP="00A64F30">
            <w:pPr>
              <w:rPr>
                <w:rFonts w:eastAsia="Calibri" w:cs="Arial"/>
                <w:sz w:val="14"/>
                <w:szCs w:val="14"/>
                <w:lang w:eastAsia="en-US"/>
              </w:rPr>
            </w:pPr>
            <w:r w:rsidRPr="00A64F30">
              <w:rPr>
                <w:rFonts w:eastAsia="Calibri" w:cs="Arial"/>
                <w:sz w:val="14"/>
                <w:szCs w:val="14"/>
                <w:lang w:eastAsia="en-US"/>
              </w:rPr>
              <w:t>Laryngeal carcinoma diagnosed as caused by sulphuric</w:t>
            </w:r>
            <w:r w:rsidR="00A76698">
              <w:rPr>
                <w:rFonts w:eastAsia="Calibri" w:cs="Arial"/>
                <w:sz w:val="14"/>
                <w:szCs w:val="14"/>
                <w:lang w:eastAsia="en-US"/>
              </w:rPr>
              <w:t xml:space="preserve"> acid mists or organic solvents</w:t>
            </w:r>
          </w:p>
          <w:p w14:paraId="520D8759" w14:textId="5C480A88" w:rsidR="00A64F30" w:rsidRPr="00A64F30" w:rsidRDefault="00A64F30" w:rsidP="00A64F30">
            <w:pPr>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 nickel, radon,</w:t>
            </w:r>
            <w:r w:rsidR="00A76698">
              <w:rPr>
                <w:rFonts w:eastAsia="Calibri" w:cs="Arial"/>
                <w:sz w:val="14"/>
                <w:szCs w:val="14"/>
                <w:lang w:eastAsia="en-US"/>
              </w:rPr>
              <w:t xml:space="preserve"> silica or soot</w:t>
            </w:r>
          </w:p>
          <w:p w14:paraId="6C0E3B65" w14:textId="42841384" w:rsidR="00A64F30" w:rsidRPr="00A64F30" w:rsidRDefault="00A64F30" w:rsidP="00A64F30">
            <w:pPr>
              <w:rPr>
                <w:rFonts w:eastAsia="Calibri" w:cs="Arial"/>
                <w:sz w:val="14"/>
                <w:szCs w:val="14"/>
                <w:lang w:eastAsia="en-US"/>
              </w:rPr>
            </w:pPr>
            <w:r w:rsidRPr="00A64F30">
              <w:rPr>
                <w:rFonts w:eastAsia="Calibri" w:cs="Arial"/>
                <w:sz w:val="14"/>
                <w:szCs w:val="14"/>
                <w:lang w:eastAsia="en-US"/>
              </w:rPr>
              <w:t xml:space="preserve">Bladder cancer </w:t>
            </w:r>
            <w:r w:rsidRPr="00A64F30">
              <w:rPr>
                <w:rFonts w:eastAsia="Calibri" w:cs="Arial"/>
                <w:sz w:val="14"/>
                <w:szCs w:val="14"/>
                <w:lang w:eastAsia="en-US"/>
              </w:rPr>
              <w:lastRenderedPageBreak/>
              <w:t>diagnosed as caused by 2-naphthylamine, benzidine, 4-aminobiphenyl, N,N-Bis (2-chloroethyl)-2-naphthylamine, other aromatic amines, or po</w:t>
            </w:r>
            <w:r w:rsidR="00A76698">
              <w:rPr>
                <w:rFonts w:eastAsia="Calibri" w:cs="Arial"/>
                <w:sz w:val="14"/>
                <w:szCs w:val="14"/>
                <w:lang w:eastAsia="en-US"/>
              </w:rPr>
              <w:t>ly-cyclic aromatic hydrocarbons</w:t>
            </w:r>
          </w:p>
        </w:tc>
      </w:tr>
      <w:tr w:rsidR="00A64F30" w:rsidRPr="00A64F30" w14:paraId="60E41D2B" w14:textId="77777777" w:rsidTr="00FB729B">
        <w:tc>
          <w:tcPr>
            <w:tcW w:w="1485" w:type="dxa"/>
            <w:shd w:val="clear" w:color="auto" w:fill="FFC9C9"/>
            <w:tcMar>
              <w:top w:w="80" w:type="dxa"/>
              <w:left w:w="80" w:type="dxa"/>
              <w:bottom w:w="80" w:type="dxa"/>
              <w:right w:w="80" w:type="dxa"/>
            </w:tcMar>
          </w:tcPr>
          <w:p w14:paraId="7B57BC2A"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lastRenderedPageBreak/>
              <w:t>Miners’ nystagmus</w:t>
            </w:r>
          </w:p>
        </w:tc>
        <w:tc>
          <w:tcPr>
            <w:tcW w:w="1503" w:type="dxa"/>
            <w:shd w:val="clear" w:color="auto" w:fill="FFC9C9"/>
            <w:tcMar>
              <w:top w:w="80" w:type="dxa"/>
              <w:left w:w="80" w:type="dxa"/>
              <w:bottom w:w="80" w:type="dxa"/>
              <w:right w:w="80" w:type="dxa"/>
            </w:tcMar>
          </w:tcPr>
          <w:p w14:paraId="6FDA9403"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2F6D2190"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08AD6F80"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009B4158"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5F267727" w14:textId="6AC9A230" w:rsidR="00A64F30" w:rsidRPr="00A64F30" w:rsidRDefault="00A64F30" w:rsidP="00A64F30">
            <w:pPr>
              <w:rPr>
                <w:rFonts w:eastAsia="Calibri" w:cs="Arial"/>
                <w:sz w:val="14"/>
                <w:szCs w:val="14"/>
                <w:lang w:eastAsia="en-US"/>
              </w:rPr>
            </w:pPr>
            <w:r w:rsidRPr="00A64F30">
              <w:rPr>
                <w:rFonts w:eastAsia="Calibri" w:cs="Arial"/>
                <w:sz w:val="14"/>
                <w:szCs w:val="14"/>
                <w:lang w:eastAsia="en-US"/>
              </w:rPr>
              <w:t>Nystagmus (any work in or a</w:t>
            </w:r>
            <w:r w:rsidR="00A76698">
              <w:rPr>
                <w:rFonts w:eastAsia="Calibri" w:cs="Arial"/>
                <w:sz w:val="14"/>
                <w:szCs w:val="14"/>
                <w:lang w:eastAsia="en-US"/>
              </w:rPr>
              <w:t>bout a mine)</w:t>
            </w:r>
          </w:p>
        </w:tc>
        <w:tc>
          <w:tcPr>
            <w:tcW w:w="1504" w:type="dxa"/>
            <w:shd w:val="clear" w:color="auto" w:fill="FFC9C9"/>
            <w:tcMar>
              <w:top w:w="80" w:type="dxa"/>
              <w:left w:w="80" w:type="dxa"/>
              <w:bottom w:w="80" w:type="dxa"/>
              <w:right w:w="80" w:type="dxa"/>
            </w:tcMar>
          </w:tcPr>
          <w:p w14:paraId="61B5F71F"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1CD65168"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4FDC0E5" w14:textId="77777777" w:rsidR="00A64F30" w:rsidRPr="00A64F30" w:rsidRDefault="00A64F30" w:rsidP="00A64F30">
            <w:pPr>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75DE0148" w14:textId="77777777" w:rsidR="00A64F30" w:rsidRPr="00A64F30" w:rsidRDefault="00A64F30" w:rsidP="00A64F30">
            <w:pPr>
              <w:rPr>
                <w:rFonts w:eastAsia="Calibri" w:cs="Arial"/>
                <w:sz w:val="14"/>
                <w:szCs w:val="14"/>
                <w:lang w:eastAsia="en-US"/>
              </w:rPr>
            </w:pPr>
          </w:p>
        </w:tc>
      </w:tr>
      <w:tr w:rsidR="00A64F30" w:rsidRPr="00A64F30" w14:paraId="0D5878FA" w14:textId="77777777" w:rsidTr="00FB729B">
        <w:tc>
          <w:tcPr>
            <w:tcW w:w="1485" w:type="dxa"/>
            <w:tcMar>
              <w:top w:w="80" w:type="dxa"/>
              <w:left w:w="80" w:type="dxa"/>
              <w:bottom w:w="80" w:type="dxa"/>
              <w:right w:w="80" w:type="dxa"/>
            </w:tcMar>
          </w:tcPr>
          <w:p w14:paraId="2A3FD7C2" w14:textId="77777777" w:rsidR="00A64F30" w:rsidRPr="00A64F30" w:rsidRDefault="00A64F30" w:rsidP="00A64F30">
            <w:pPr>
              <w:rPr>
                <w:rFonts w:eastAsia="Calibri" w:cs="Arial"/>
                <w:b/>
                <w:sz w:val="16"/>
                <w:szCs w:val="16"/>
                <w:lang w:eastAsia="en-US"/>
              </w:rPr>
            </w:pPr>
            <w:r w:rsidRPr="00A64F30">
              <w:rPr>
                <w:rFonts w:eastAsia="Calibri" w:cs="Arial"/>
                <w:b/>
                <w:sz w:val="16"/>
                <w:szCs w:val="16"/>
                <w:lang w:eastAsia="en-US"/>
              </w:rPr>
              <w:t>Legislation and/ or instrument</w:t>
            </w:r>
          </w:p>
        </w:tc>
        <w:tc>
          <w:tcPr>
            <w:tcW w:w="1503" w:type="dxa"/>
            <w:tcMar>
              <w:top w:w="80" w:type="dxa"/>
              <w:left w:w="80" w:type="dxa"/>
              <w:bottom w:w="80" w:type="dxa"/>
              <w:right w:w="80" w:type="dxa"/>
            </w:tcMar>
          </w:tcPr>
          <w:p w14:paraId="6E44FED9" w14:textId="05DEACC5" w:rsidR="00A64F30" w:rsidRPr="00A64F30" w:rsidRDefault="00A64F30" w:rsidP="00A64F30">
            <w:pPr>
              <w:rPr>
                <w:rFonts w:eastAsia="Calibri" w:cs="Arial"/>
                <w:sz w:val="14"/>
                <w:szCs w:val="14"/>
                <w:lang w:eastAsia="en-US"/>
              </w:rPr>
            </w:pPr>
            <w:r w:rsidRPr="00A64F30">
              <w:rPr>
                <w:rFonts w:eastAsia="Calibri" w:cs="Arial"/>
                <w:sz w:val="14"/>
                <w:szCs w:val="14"/>
                <w:lang w:eastAsia="en-US"/>
              </w:rPr>
              <w:t>Workers Compensati</w:t>
            </w:r>
            <w:r w:rsidR="00A76698">
              <w:rPr>
                <w:rFonts w:eastAsia="Calibri" w:cs="Arial"/>
                <w:sz w:val="14"/>
                <w:szCs w:val="14"/>
                <w:lang w:eastAsia="en-US"/>
              </w:rPr>
              <w:t xml:space="preserve">on Regulation 2016 — </w:t>
            </w:r>
            <w:hyperlink r:id="rId2232" w:history="1">
              <w:r w:rsidR="00A76698" w:rsidRPr="00E367E1">
                <w:rPr>
                  <w:rStyle w:val="Hyperlink"/>
                  <w:rFonts w:eastAsia="Calibri" w:cs="Arial"/>
                  <w:sz w:val="14"/>
                  <w:szCs w:val="14"/>
                  <w:lang w:eastAsia="en-US"/>
                </w:rPr>
                <w:t>Schedule 1</w:t>
              </w:r>
            </w:hyperlink>
          </w:p>
          <w:p w14:paraId="67F1AEB6" w14:textId="107DF6BB" w:rsidR="00A64F30" w:rsidRPr="00A64F30" w:rsidRDefault="00A64F30" w:rsidP="00A64F30">
            <w:pPr>
              <w:rPr>
                <w:rFonts w:eastAsia="Calibri" w:cs="Arial"/>
                <w:sz w:val="14"/>
                <w:szCs w:val="14"/>
                <w:lang w:eastAsia="en-US"/>
              </w:rPr>
            </w:pPr>
            <w:r w:rsidRPr="00FA2384">
              <w:rPr>
                <w:rFonts w:eastAsia="Calibri" w:cs="Arial"/>
                <w:i/>
                <w:sz w:val="14"/>
                <w:szCs w:val="14"/>
                <w:lang w:eastAsia="en-US"/>
              </w:rPr>
              <w:t>Workers’ Compensation (Dust Diseases) Act 1942</w:t>
            </w:r>
            <w:r w:rsidR="00A76698">
              <w:rPr>
                <w:rFonts w:eastAsia="Calibri" w:cs="Arial"/>
                <w:sz w:val="14"/>
                <w:szCs w:val="14"/>
                <w:lang w:eastAsia="en-US"/>
              </w:rPr>
              <w:t xml:space="preserve"> — </w:t>
            </w:r>
            <w:hyperlink r:id="rId2233" w:history="1">
              <w:r w:rsidR="00A76698" w:rsidRPr="00E367E1">
                <w:rPr>
                  <w:rStyle w:val="Hyperlink"/>
                  <w:rFonts w:eastAsia="Calibri" w:cs="Arial"/>
                  <w:sz w:val="14"/>
                  <w:szCs w:val="14"/>
                  <w:lang w:eastAsia="en-US"/>
                </w:rPr>
                <w:t>Schedule 1</w:t>
              </w:r>
            </w:hyperlink>
            <w:r w:rsidR="00A76698" w:rsidRPr="00E367E1">
              <w:rPr>
                <w:rFonts w:eastAsia="Calibri" w:cs="Arial"/>
                <w:sz w:val="14"/>
                <w:szCs w:val="14"/>
                <w:vertAlign w:val="superscript"/>
                <w:lang w:eastAsia="en-US"/>
              </w:rPr>
              <w:t>2</w:t>
            </w:r>
          </w:p>
        </w:tc>
        <w:tc>
          <w:tcPr>
            <w:tcW w:w="1503" w:type="dxa"/>
            <w:tcMar>
              <w:top w:w="80" w:type="dxa"/>
              <w:left w:w="80" w:type="dxa"/>
              <w:bottom w:w="80" w:type="dxa"/>
              <w:right w:w="80" w:type="dxa"/>
            </w:tcMar>
          </w:tcPr>
          <w:p w14:paraId="3DC85AE7" w14:textId="67299FD6" w:rsidR="00A64F30" w:rsidRPr="00A64F30" w:rsidRDefault="00A64F30" w:rsidP="00A64F30">
            <w:pPr>
              <w:rPr>
                <w:rFonts w:eastAsia="Calibri" w:cs="Arial"/>
                <w:sz w:val="14"/>
                <w:szCs w:val="14"/>
                <w:lang w:eastAsia="en-US"/>
              </w:rPr>
            </w:pPr>
            <w:r w:rsidRPr="00FA2384">
              <w:rPr>
                <w:rFonts w:eastAsia="Calibri" w:cs="Arial"/>
                <w:i/>
                <w:sz w:val="14"/>
                <w:szCs w:val="14"/>
                <w:lang w:eastAsia="en-US"/>
              </w:rPr>
              <w:t>Workplace Injury Rehabilitation and Compensation Act 2013</w:t>
            </w:r>
            <w:r w:rsidR="00A76698">
              <w:rPr>
                <w:rFonts w:eastAsia="Calibri" w:cs="Arial"/>
                <w:sz w:val="14"/>
                <w:szCs w:val="14"/>
                <w:lang w:eastAsia="en-US"/>
              </w:rPr>
              <w:t xml:space="preserve"> — </w:t>
            </w:r>
            <w:hyperlink r:id="rId2234" w:history="1">
              <w:r w:rsidR="00A76698" w:rsidRPr="00566CDE">
                <w:rPr>
                  <w:rStyle w:val="Hyperlink"/>
                  <w:rFonts w:eastAsia="Calibri" w:cs="Arial"/>
                  <w:sz w:val="14"/>
                  <w:szCs w:val="14"/>
                  <w:lang w:eastAsia="en-US"/>
                </w:rPr>
                <w:t>s51</w:t>
              </w:r>
            </w:hyperlink>
          </w:p>
          <w:p w14:paraId="18883806" w14:textId="1F3AF3E3" w:rsidR="00A64F30" w:rsidRPr="00A64F30" w:rsidRDefault="00A64F30" w:rsidP="00692DB2">
            <w:pPr>
              <w:rPr>
                <w:rFonts w:eastAsia="Calibri" w:cs="Arial"/>
                <w:sz w:val="14"/>
                <w:szCs w:val="14"/>
                <w:lang w:eastAsia="en-US"/>
              </w:rPr>
            </w:pPr>
            <w:r w:rsidRPr="00A64F30">
              <w:rPr>
                <w:rFonts w:eastAsia="Calibri" w:cs="Arial"/>
                <w:sz w:val="14"/>
                <w:szCs w:val="14"/>
                <w:lang w:eastAsia="en-US"/>
              </w:rPr>
              <w:t xml:space="preserve">Victoria Government </w:t>
            </w:r>
            <w:hyperlink r:id="rId2235" w:history="1">
              <w:r w:rsidRPr="009E0E76">
                <w:rPr>
                  <w:rStyle w:val="Hyperlink"/>
                  <w:rFonts w:eastAsia="Calibri" w:cs="Arial"/>
                  <w:sz w:val="14"/>
                  <w:szCs w:val="14"/>
                  <w:lang w:eastAsia="en-US"/>
                </w:rPr>
                <w:t>Gazette</w:t>
              </w:r>
              <w:r w:rsidR="00A76698" w:rsidRPr="009E0E76">
                <w:rPr>
                  <w:rStyle w:val="Hyperlink"/>
                  <w:rFonts w:eastAsia="Calibri" w:cs="Arial"/>
                  <w:sz w:val="14"/>
                  <w:szCs w:val="14"/>
                  <w:lang w:eastAsia="en-US"/>
                </w:rPr>
                <w:t xml:space="preserve"> No.92</w:t>
              </w:r>
            </w:hyperlink>
            <w:r w:rsidR="00A76698">
              <w:rPr>
                <w:rFonts w:eastAsia="Calibri" w:cs="Arial"/>
                <w:sz w:val="14"/>
                <w:szCs w:val="14"/>
                <w:lang w:eastAsia="en-US"/>
              </w:rPr>
              <w:t xml:space="preserve"> — Friday, 30 August 1985</w:t>
            </w:r>
          </w:p>
        </w:tc>
        <w:tc>
          <w:tcPr>
            <w:tcW w:w="1504" w:type="dxa"/>
            <w:tcMar>
              <w:top w:w="80" w:type="dxa"/>
              <w:left w:w="80" w:type="dxa"/>
              <w:bottom w:w="80" w:type="dxa"/>
              <w:right w:w="80" w:type="dxa"/>
            </w:tcMar>
          </w:tcPr>
          <w:p w14:paraId="3CD9FEC5" w14:textId="3C720C6D" w:rsidR="00A64F30" w:rsidRPr="00A64F30" w:rsidRDefault="00A64F30" w:rsidP="00A64F30">
            <w:pPr>
              <w:rPr>
                <w:rFonts w:eastAsia="Calibri" w:cs="Arial"/>
                <w:sz w:val="14"/>
                <w:szCs w:val="14"/>
                <w:lang w:eastAsia="en-US"/>
              </w:rPr>
            </w:pPr>
            <w:r w:rsidRPr="00FA2384">
              <w:rPr>
                <w:rFonts w:eastAsia="Calibri" w:cs="Arial"/>
                <w:i/>
                <w:sz w:val="14"/>
                <w:szCs w:val="14"/>
                <w:lang w:eastAsia="en-US"/>
              </w:rPr>
              <w:t>Workers’ Compensation and Injury Management Act 1981</w:t>
            </w:r>
            <w:r w:rsidR="00A76698">
              <w:rPr>
                <w:rFonts w:eastAsia="Calibri" w:cs="Arial"/>
                <w:sz w:val="14"/>
                <w:szCs w:val="14"/>
                <w:lang w:eastAsia="en-US"/>
              </w:rPr>
              <w:t xml:space="preserve"> — </w:t>
            </w:r>
            <w:r w:rsidR="00A76698">
              <w:rPr>
                <w:rFonts w:eastAsia="Calibri" w:cs="Arial"/>
                <w:sz w:val="14"/>
                <w:szCs w:val="14"/>
                <w:lang w:eastAsia="en-US"/>
              </w:rPr>
              <w:br/>
            </w:r>
            <w:hyperlink r:id="rId2236" w:history="1">
              <w:r w:rsidR="00A76698" w:rsidRPr="003C32BC">
                <w:rPr>
                  <w:rStyle w:val="Hyperlink"/>
                  <w:rFonts w:eastAsia="Calibri" w:cs="Arial"/>
                  <w:sz w:val="14"/>
                  <w:szCs w:val="14"/>
                  <w:lang w:eastAsia="en-US"/>
                </w:rPr>
                <w:t>Schedule 3</w:t>
              </w:r>
            </w:hyperlink>
          </w:p>
        </w:tc>
        <w:tc>
          <w:tcPr>
            <w:tcW w:w="1503" w:type="dxa"/>
            <w:tcMar>
              <w:top w:w="80" w:type="dxa"/>
              <w:left w:w="80" w:type="dxa"/>
              <w:bottom w:w="80" w:type="dxa"/>
              <w:right w:w="80" w:type="dxa"/>
            </w:tcMar>
          </w:tcPr>
          <w:p w14:paraId="120F9513" w14:textId="25482751" w:rsidR="00A64F30" w:rsidRPr="00A64F30" w:rsidRDefault="00A64F30" w:rsidP="00A64F30">
            <w:pPr>
              <w:rPr>
                <w:rFonts w:eastAsia="Calibri" w:cs="Arial"/>
                <w:sz w:val="14"/>
                <w:szCs w:val="14"/>
                <w:lang w:eastAsia="en-US"/>
              </w:rPr>
            </w:pPr>
            <w:r w:rsidRPr="00A64F30">
              <w:rPr>
                <w:rFonts w:eastAsia="Calibri" w:cs="Arial"/>
                <w:i/>
                <w:sz w:val="14"/>
                <w:szCs w:val="14"/>
                <w:lang w:eastAsia="en-US"/>
              </w:rPr>
              <w:t>Return to Work Act</w:t>
            </w:r>
            <w:r w:rsidRPr="00A64F30">
              <w:rPr>
                <w:rFonts w:eastAsia="Calibri" w:cs="Arial"/>
                <w:sz w:val="14"/>
                <w:szCs w:val="14"/>
                <w:lang w:eastAsia="en-US"/>
              </w:rPr>
              <w:t xml:space="preserve"> </w:t>
            </w:r>
            <w:r w:rsidRPr="006108E5">
              <w:rPr>
                <w:rFonts w:eastAsia="Calibri" w:cs="Arial"/>
                <w:sz w:val="14"/>
                <w:szCs w:val="14"/>
                <w:lang w:eastAsia="en-US"/>
              </w:rPr>
              <w:t>2014</w:t>
            </w:r>
            <w:r w:rsidR="00A76698">
              <w:rPr>
                <w:rFonts w:eastAsia="Calibri" w:cs="Arial"/>
                <w:sz w:val="14"/>
                <w:szCs w:val="14"/>
                <w:lang w:eastAsia="en-US"/>
              </w:rPr>
              <w:t xml:space="preserve"> — </w:t>
            </w:r>
            <w:hyperlink r:id="rId2237" w:history="1">
              <w:r w:rsidR="00A76698" w:rsidRPr="003C32BC">
                <w:rPr>
                  <w:rStyle w:val="Hyperlink"/>
                  <w:rFonts w:eastAsia="Calibri" w:cs="Arial"/>
                  <w:sz w:val="14"/>
                  <w:szCs w:val="14"/>
                  <w:lang w:eastAsia="en-US"/>
                </w:rPr>
                <w:t>Schedule 2</w:t>
              </w:r>
            </w:hyperlink>
          </w:p>
        </w:tc>
        <w:tc>
          <w:tcPr>
            <w:tcW w:w="1503" w:type="dxa"/>
            <w:tcMar>
              <w:top w:w="80" w:type="dxa"/>
              <w:left w:w="80" w:type="dxa"/>
              <w:bottom w:w="80" w:type="dxa"/>
              <w:right w:w="80" w:type="dxa"/>
            </w:tcMar>
          </w:tcPr>
          <w:p w14:paraId="7AD6B4A5" w14:textId="5438A33D" w:rsidR="00A64F30" w:rsidRPr="00A64F30" w:rsidRDefault="00A64F30" w:rsidP="00A64F30">
            <w:pPr>
              <w:rPr>
                <w:rFonts w:eastAsia="Calibri" w:cs="Arial"/>
                <w:sz w:val="14"/>
                <w:szCs w:val="14"/>
                <w:lang w:eastAsia="en-US"/>
              </w:rPr>
            </w:pPr>
            <w:r w:rsidRPr="00FA2384">
              <w:rPr>
                <w:rFonts w:eastAsia="Calibri" w:cs="Arial"/>
                <w:i/>
                <w:sz w:val="14"/>
                <w:szCs w:val="14"/>
                <w:lang w:eastAsia="en-US"/>
              </w:rPr>
              <w:t>Workers Rehabilitation and Compensation Act 1988</w:t>
            </w:r>
            <w:r w:rsidR="00A76698">
              <w:rPr>
                <w:rFonts w:eastAsia="Calibri" w:cs="Arial"/>
                <w:sz w:val="14"/>
                <w:szCs w:val="14"/>
                <w:lang w:eastAsia="en-US"/>
              </w:rPr>
              <w:t xml:space="preserve"> — </w:t>
            </w:r>
            <w:hyperlink r:id="rId2238" w:history="1">
              <w:r w:rsidR="00A76698" w:rsidRPr="003C32BC">
                <w:rPr>
                  <w:rStyle w:val="Hyperlink"/>
                  <w:rFonts w:eastAsia="Calibri" w:cs="Arial"/>
                  <w:sz w:val="14"/>
                  <w:szCs w:val="14"/>
                  <w:lang w:eastAsia="en-US"/>
                </w:rPr>
                <w:t>Schedule 4</w:t>
              </w:r>
            </w:hyperlink>
          </w:p>
        </w:tc>
        <w:tc>
          <w:tcPr>
            <w:tcW w:w="1504" w:type="dxa"/>
            <w:tcMar>
              <w:top w:w="80" w:type="dxa"/>
              <w:left w:w="80" w:type="dxa"/>
              <w:bottom w:w="80" w:type="dxa"/>
              <w:right w:w="80" w:type="dxa"/>
            </w:tcMar>
          </w:tcPr>
          <w:p w14:paraId="19DD075E" w14:textId="18D657F2" w:rsidR="00A64F30" w:rsidRPr="00A64F30" w:rsidRDefault="00A64F30" w:rsidP="00CE30D5">
            <w:pPr>
              <w:rPr>
                <w:rFonts w:eastAsia="Calibri" w:cs="Arial"/>
                <w:sz w:val="14"/>
                <w:szCs w:val="14"/>
                <w:lang w:eastAsia="en-US"/>
              </w:rPr>
            </w:pPr>
            <w:r w:rsidRPr="00A64F30">
              <w:rPr>
                <w:rFonts w:eastAsia="Calibri" w:cs="Arial"/>
                <w:sz w:val="14"/>
                <w:szCs w:val="14"/>
                <w:lang w:eastAsia="en-US"/>
              </w:rPr>
              <w:t xml:space="preserve">Return to Work Regulations 2015 </w:t>
            </w:r>
            <w:r w:rsidR="00CE30D5">
              <w:rPr>
                <w:rFonts w:eastAsia="Calibri" w:cs="Arial"/>
                <w:sz w:val="14"/>
                <w:szCs w:val="14"/>
                <w:lang w:eastAsia="en-US"/>
              </w:rPr>
              <w:t>—</w:t>
            </w:r>
            <w:r w:rsidRPr="00A64F30">
              <w:rPr>
                <w:rFonts w:eastAsia="Calibri" w:cs="Arial"/>
                <w:sz w:val="14"/>
                <w:szCs w:val="14"/>
                <w:lang w:eastAsia="en-US"/>
              </w:rPr>
              <w:t xml:space="preserve"> </w:t>
            </w:r>
            <w:hyperlink r:id="rId2239" w:history="1">
              <w:r w:rsidRPr="003C32BC">
                <w:rPr>
                  <w:rStyle w:val="Hyperlink"/>
                  <w:rFonts w:eastAsia="Calibri" w:cs="Arial"/>
                  <w:sz w:val="14"/>
                  <w:szCs w:val="14"/>
                  <w:lang w:eastAsia="en-US"/>
                </w:rPr>
                <w:t>Schedule 2</w:t>
              </w:r>
            </w:hyperlink>
          </w:p>
        </w:tc>
        <w:tc>
          <w:tcPr>
            <w:tcW w:w="1503" w:type="dxa"/>
            <w:tcMar>
              <w:top w:w="80" w:type="dxa"/>
              <w:left w:w="80" w:type="dxa"/>
              <w:bottom w:w="80" w:type="dxa"/>
              <w:right w:w="80" w:type="dxa"/>
            </w:tcMar>
          </w:tcPr>
          <w:p w14:paraId="4F706A81" w14:textId="26F966CC" w:rsidR="00A64F30" w:rsidRPr="00A64F30" w:rsidRDefault="00A64F30" w:rsidP="000872E0">
            <w:pPr>
              <w:rPr>
                <w:rFonts w:eastAsia="Calibri" w:cs="Arial"/>
                <w:sz w:val="14"/>
                <w:szCs w:val="14"/>
                <w:lang w:eastAsia="en-US"/>
              </w:rPr>
            </w:pPr>
            <w:r w:rsidRPr="00A64F30">
              <w:rPr>
                <w:rFonts w:eastAsia="Calibri" w:cs="Arial"/>
                <w:sz w:val="14"/>
                <w:szCs w:val="14"/>
                <w:lang w:eastAsia="en-US"/>
              </w:rPr>
              <w:t>Workers Compensati</w:t>
            </w:r>
            <w:r w:rsidR="00A76698">
              <w:rPr>
                <w:rFonts w:eastAsia="Calibri" w:cs="Arial"/>
                <w:sz w:val="14"/>
                <w:szCs w:val="14"/>
                <w:lang w:eastAsia="en-US"/>
              </w:rPr>
              <w:t>on Regulation 200</w:t>
            </w:r>
            <w:r w:rsidR="000872E0">
              <w:rPr>
                <w:rFonts w:eastAsia="Calibri" w:cs="Arial"/>
                <w:sz w:val="14"/>
                <w:szCs w:val="14"/>
                <w:lang w:eastAsia="en-US"/>
              </w:rPr>
              <w:t>2</w:t>
            </w:r>
            <w:r w:rsidR="00A76698">
              <w:rPr>
                <w:rFonts w:eastAsia="Calibri" w:cs="Arial"/>
                <w:sz w:val="14"/>
                <w:szCs w:val="14"/>
                <w:lang w:eastAsia="en-US"/>
              </w:rPr>
              <w:t xml:space="preserve"> — </w:t>
            </w:r>
            <w:hyperlink r:id="rId2240" w:history="1">
              <w:r w:rsidR="00A76698" w:rsidRPr="00243F6D">
                <w:rPr>
                  <w:rStyle w:val="Hyperlink"/>
                  <w:rFonts w:eastAsia="Calibri" w:cs="Arial"/>
                  <w:sz w:val="14"/>
                  <w:szCs w:val="14"/>
                  <w:lang w:eastAsia="en-US"/>
                </w:rPr>
                <w:t>Schedule 1</w:t>
              </w:r>
            </w:hyperlink>
          </w:p>
        </w:tc>
        <w:tc>
          <w:tcPr>
            <w:tcW w:w="1503" w:type="dxa"/>
            <w:tcMar>
              <w:top w:w="80" w:type="dxa"/>
              <w:left w:w="80" w:type="dxa"/>
              <w:bottom w:w="80" w:type="dxa"/>
              <w:right w:w="80" w:type="dxa"/>
            </w:tcMar>
          </w:tcPr>
          <w:p w14:paraId="26B2AA09" w14:textId="39D025A9" w:rsidR="00A64F30" w:rsidRPr="00A64F30" w:rsidRDefault="00A64F30" w:rsidP="00A64F30">
            <w:pPr>
              <w:rPr>
                <w:rFonts w:eastAsia="Calibri" w:cs="Arial"/>
                <w:sz w:val="14"/>
                <w:szCs w:val="14"/>
                <w:lang w:eastAsia="en-US"/>
              </w:rPr>
            </w:pPr>
            <w:r w:rsidRPr="00FA2384">
              <w:rPr>
                <w:rFonts w:eastAsia="Calibri" w:cs="Arial"/>
                <w:i/>
                <w:sz w:val="14"/>
                <w:szCs w:val="14"/>
                <w:lang w:eastAsia="en-US"/>
              </w:rPr>
              <w:t>Safety, Rehabilitation and Compensation Act 1988</w:t>
            </w:r>
            <w:r w:rsidRPr="00A64F30">
              <w:rPr>
                <w:rFonts w:eastAsia="Calibri" w:cs="Arial"/>
                <w:sz w:val="14"/>
                <w:szCs w:val="14"/>
                <w:lang w:eastAsia="en-US"/>
              </w:rPr>
              <w:t xml:space="preserve"> </w:t>
            </w:r>
            <w:hyperlink r:id="rId2241" w:history="1">
              <w:r w:rsidRPr="009312B9">
                <w:rPr>
                  <w:rStyle w:val="Hyperlink"/>
                  <w:rFonts w:eastAsia="Calibri" w:cs="Arial"/>
                  <w:sz w:val="14"/>
                  <w:szCs w:val="14"/>
                  <w:lang w:eastAsia="en-US"/>
                </w:rPr>
                <w:t>s7(1)</w:t>
              </w:r>
            </w:hyperlink>
            <w:r w:rsidRPr="00A64F30">
              <w:rPr>
                <w:rFonts w:eastAsia="Calibri" w:cs="Arial"/>
                <w:sz w:val="14"/>
                <w:szCs w:val="14"/>
                <w:lang w:eastAsia="en-US"/>
              </w:rPr>
              <w:t>.</w:t>
            </w:r>
          </w:p>
          <w:p w14:paraId="2F31E693" w14:textId="5EF1195A" w:rsidR="00A64F30" w:rsidRPr="00A64F30" w:rsidRDefault="00A7538C" w:rsidP="00A64F30">
            <w:pPr>
              <w:rPr>
                <w:rFonts w:eastAsia="Calibri" w:cs="Arial"/>
                <w:sz w:val="14"/>
                <w:szCs w:val="14"/>
                <w:lang w:eastAsia="en-US"/>
              </w:rPr>
            </w:pPr>
            <w:hyperlink r:id="rId2242" w:history="1">
              <w:r w:rsidR="00A64F30" w:rsidRPr="00755522">
                <w:rPr>
                  <w:rStyle w:val="Hyperlink"/>
                  <w:rFonts w:eastAsia="Calibri" w:cs="Arial"/>
                  <w:sz w:val="14"/>
                  <w:szCs w:val="14"/>
                  <w:lang w:eastAsia="en-US"/>
                </w:rPr>
                <w:t>Safety, Rehabilitation and Compensation (Spec</w:t>
              </w:r>
              <w:r w:rsidR="00A76698" w:rsidRPr="00755522">
                <w:rPr>
                  <w:rStyle w:val="Hyperlink"/>
                  <w:rFonts w:eastAsia="Calibri" w:cs="Arial"/>
                  <w:sz w:val="14"/>
                  <w:szCs w:val="14"/>
                  <w:lang w:eastAsia="en-US"/>
                </w:rPr>
                <w:t>ified Diseases) Notice 2007 (1)</w:t>
              </w:r>
            </w:hyperlink>
          </w:p>
          <w:p w14:paraId="28675DEF" w14:textId="3C55F66E" w:rsidR="00A64F30" w:rsidRPr="00A64F30" w:rsidRDefault="00A64F30" w:rsidP="00A64F30">
            <w:pPr>
              <w:rPr>
                <w:rFonts w:eastAsia="Calibri" w:cs="Arial"/>
                <w:sz w:val="14"/>
                <w:szCs w:val="14"/>
                <w:lang w:eastAsia="en-US"/>
              </w:rPr>
            </w:pPr>
            <w:r w:rsidRPr="00FA2384">
              <w:rPr>
                <w:rFonts w:eastAsia="Calibri" w:cs="Arial"/>
                <w:i/>
                <w:sz w:val="14"/>
                <w:szCs w:val="14"/>
                <w:lang w:eastAsia="en-US"/>
              </w:rPr>
              <w:t>Seafarers’ Rehabilitation and Compensation Act 1992</w:t>
            </w:r>
            <w:r w:rsidRPr="00A64F30">
              <w:rPr>
                <w:rFonts w:eastAsia="Calibri" w:cs="Arial"/>
                <w:sz w:val="14"/>
                <w:szCs w:val="14"/>
                <w:lang w:eastAsia="en-US"/>
              </w:rPr>
              <w:t xml:space="preserve"> </w:t>
            </w:r>
            <w:hyperlink r:id="rId2243" w:history="1">
              <w:r w:rsidRPr="00770B4B">
                <w:rPr>
                  <w:rStyle w:val="Hyperlink"/>
                  <w:rFonts w:eastAsia="Calibri" w:cs="Arial"/>
                  <w:sz w:val="14"/>
                  <w:szCs w:val="14"/>
                  <w:lang w:eastAsia="en-US"/>
                </w:rPr>
                <w:t>s10(1)</w:t>
              </w:r>
            </w:hyperlink>
            <w:r w:rsidRPr="00A64F30">
              <w:rPr>
                <w:rFonts w:eastAsia="Calibri" w:cs="Arial"/>
                <w:sz w:val="14"/>
                <w:szCs w:val="14"/>
                <w:lang w:eastAsia="en-US"/>
              </w:rPr>
              <w:t>.</w:t>
            </w:r>
          </w:p>
          <w:p w14:paraId="208B6D12" w14:textId="46E3D010" w:rsidR="00A64F30" w:rsidRPr="00A64F30" w:rsidRDefault="00A64F30" w:rsidP="00A64F30">
            <w:pPr>
              <w:rPr>
                <w:rFonts w:eastAsia="Calibri" w:cs="Arial"/>
                <w:sz w:val="14"/>
                <w:szCs w:val="14"/>
                <w:lang w:eastAsia="en-US"/>
              </w:rPr>
            </w:pPr>
            <w:r w:rsidRPr="00FA2384">
              <w:rPr>
                <w:rFonts w:eastAsia="Calibri" w:cs="Arial"/>
                <w:i/>
                <w:sz w:val="14"/>
                <w:szCs w:val="14"/>
                <w:lang w:eastAsia="en-US"/>
              </w:rPr>
              <w:t>Seafarers Rehabilitation and Compensation Act 1992</w:t>
            </w:r>
            <w:r w:rsidRPr="00A64F30">
              <w:rPr>
                <w:rFonts w:eastAsia="Calibri" w:cs="Arial"/>
                <w:sz w:val="14"/>
                <w:szCs w:val="14"/>
                <w:lang w:eastAsia="en-US"/>
              </w:rPr>
              <w:t xml:space="preserve"> </w:t>
            </w:r>
            <w:hyperlink r:id="rId2244" w:history="1">
              <w:r w:rsidRPr="00755522">
                <w:rPr>
                  <w:rStyle w:val="Hyperlink"/>
                  <w:rFonts w:eastAsia="Calibri" w:cs="Arial"/>
                  <w:sz w:val="14"/>
                  <w:szCs w:val="14"/>
                  <w:lang w:eastAsia="en-US"/>
                </w:rPr>
                <w:t>Notice of Declaration</w:t>
              </w:r>
              <w:r w:rsidR="00A76698" w:rsidRPr="00755522">
                <w:rPr>
                  <w:rStyle w:val="Hyperlink"/>
                  <w:rFonts w:eastAsia="Calibri" w:cs="Arial"/>
                  <w:sz w:val="14"/>
                  <w:szCs w:val="14"/>
                  <w:lang w:eastAsia="en-US"/>
                </w:rPr>
                <w:t>s and Specifications 25/05/1993</w:t>
              </w:r>
            </w:hyperlink>
          </w:p>
        </w:tc>
        <w:tc>
          <w:tcPr>
            <w:tcW w:w="1504" w:type="dxa"/>
            <w:tcMar>
              <w:top w:w="80" w:type="dxa"/>
              <w:left w:w="80" w:type="dxa"/>
              <w:bottom w:w="80" w:type="dxa"/>
              <w:right w:w="80" w:type="dxa"/>
            </w:tcMar>
          </w:tcPr>
          <w:p w14:paraId="1FE41DD0" w14:textId="2E568686" w:rsidR="00A64F30" w:rsidRPr="00A64F30" w:rsidRDefault="00A64F30" w:rsidP="00A64F30">
            <w:pPr>
              <w:rPr>
                <w:rFonts w:eastAsia="Calibri" w:cs="Arial"/>
                <w:sz w:val="14"/>
                <w:szCs w:val="14"/>
                <w:lang w:eastAsia="en-US"/>
              </w:rPr>
            </w:pPr>
            <w:r w:rsidRPr="00FA2384">
              <w:rPr>
                <w:rFonts w:eastAsia="Calibri" w:cs="Arial"/>
                <w:i/>
                <w:sz w:val="14"/>
                <w:szCs w:val="14"/>
                <w:lang w:eastAsia="en-US"/>
              </w:rPr>
              <w:t>Accident Compensation Act 2001</w:t>
            </w:r>
            <w:r w:rsidR="00A76698">
              <w:rPr>
                <w:rFonts w:eastAsia="Calibri" w:cs="Arial"/>
                <w:sz w:val="14"/>
                <w:szCs w:val="14"/>
                <w:lang w:eastAsia="en-US"/>
              </w:rPr>
              <w:t xml:space="preserve"> </w:t>
            </w:r>
            <w:hyperlink r:id="rId2245" w:history="1">
              <w:r w:rsidR="00A76698" w:rsidRPr="00755522">
                <w:rPr>
                  <w:rStyle w:val="Hyperlink"/>
                  <w:rFonts w:eastAsia="Calibri" w:cs="Arial"/>
                  <w:sz w:val="14"/>
                  <w:szCs w:val="14"/>
                  <w:lang w:eastAsia="en-US"/>
                </w:rPr>
                <w:t>s30(3)</w:t>
              </w:r>
            </w:hyperlink>
            <w:r w:rsidR="00A76698">
              <w:rPr>
                <w:rFonts w:eastAsia="Calibri" w:cs="Arial"/>
                <w:sz w:val="14"/>
                <w:szCs w:val="14"/>
                <w:lang w:eastAsia="en-US"/>
              </w:rPr>
              <w:t xml:space="preserve">, </w:t>
            </w:r>
            <w:hyperlink r:id="rId2246" w:history="1">
              <w:r w:rsidR="00A76698" w:rsidRPr="00755522">
                <w:rPr>
                  <w:rStyle w:val="Hyperlink"/>
                  <w:rFonts w:eastAsia="Calibri" w:cs="Arial"/>
                  <w:sz w:val="14"/>
                  <w:szCs w:val="14"/>
                  <w:lang w:eastAsia="en-US"/>
                </w:rPr>
                <w:t>60</w:t>
              </w:r>
            </w:hyperlink>
            <w:r w:rsidR="00A76698">
              <w:rPr>
                <w:rFonts w:eastAsia="Calibri" w:cs="Arial"/>
                <w:sz w:val="14"/>
                <w:szCs w:val="14"/>
                <w:lang w:eastAsia="en-US"/>
              </w:rPr>
              <w:t xml:space="preserve"> — </w:t>
            </w:r>
            <w:hyperlink r:id="rId2247" w:history="1">
              <w:r w:rsidR="00A76698" w:rsidRPr="00755522">
                <w:rPr>
                  <w:rStyle w:val="Hyperlink"/>
                  <w:rFonts w:eastAsia="Calibri" w:cs="Arial"/>
                  <w:sz w:val="14"/>
                  <w:szCs w:val="14"/>
                  <w:lang w:eastAsia="en-US"/>
                </w:rPr>
                <w:t>Schedule 2</w:t>
              </w:r>
            </w:hyperlink>
          </w:p>
        </w:tc>
      </w:tr>
    </w:tbl>
    <w:bookmarkEnd w:id="309"/>
    <w:p w14:paraId="1625BC14" w14:textId="3B5B0E08" w:rsidR="00A64F30" w:rsidRPr="00E43A0F" w:rsidRDefault="00A64F30" w:rsidP="00F839DB">
      <w:pPr>
        <w:pStyle w:val="ListParagraph"/>
        <w:numPr>
          <w:ilvl w:val="0"/>
          <w:numId w:val="521"/>
        </w:numPr>
        <w:rPr>
          <w:rFonts w:eastAsia="Calibri"/>
          <w:sz w:val="16"/>
          <w:lang w:eastAsia="en-US"/>
        </w:rPr>
      </w:pPr>
      <w:r w:rsidRPr="00E43A0F">
        <w:rPr>
          <w:rFonts w:eastAsia="Calibri"/>
          <w:sz w:val="16"/>
          <w:lang w:eastAsia="en-US"/>
        </w:rPr>
        <w:t>Includes Seacare.</w:t>
      </w:r>
    </w:p>
    <w:p w14:paraId="40AD1A04" w14:textId="77777777" w:rsidR="00A64F30" w:rsidRPr="0001216C" w:rsidRDefault="00A64F30" w:rsidP="00F839DB">
      <w:pPr>
        <w:pStyle w:val="ListParagraph"/>
        <w:numPr>
          <w:ilvl w:val="0"/>
          <w:numId w:val="521"/>
        </w:numPr>
        <w:rPr>
          <w:rFonts w:eastAsia="Calibri"/>
          <w:sz w:val="16"/>
          <w:lang w:eastAsia="en-US"/>
        </w:rPr>
      </w:pPr>
      <w:r w:rsidRPr="0001216C">
        <w:rPr>
          <w:rFonts w:eastAsia="Calibri"/>
          <w:sz w:val="16"/>
          <w:lang w:eastAsia="en-US"/>
        </w:rPr>
        <w:lastRenderedPageBreak/>
        <w:t xml:space="preserve">Schedule 1 of the </w:t>
      </w:r>
      <w:r w:rsidRPr="00FA2384">
        <w:rPr>
          <w:rFonts w:eastAsia="Calibri"/>
          <w:i/>
          <w:sz w:val="16"/>
          <w:lang w:eastAsia="en-US"/>
        </w:rPr>
        <w:t>Workers’ Compensation (Dust Diseases) Act 1942</w:t>
      </w:r>
      <w:r w:rsidRPr="0001216C">
        <w:rPr>
          <w:rFonts w:eastAsia="Calibri"/>
          <w:sz w:val="16"/>
          <w:lang w:eastAsia="en-US"/>
        </w:rPr>
        <w:t xml:space="preserve"> lists the following dust diseases: Aluminosis, Asbestosis, Asbestos induced carcinoma, Asbestos related pleural disease (ARPD), Bagassosis, Berylliosis, Byssinosis, Coal dust pneumoconiosis, Farmers’ Lung, Hard Metal Pneumoconiosis, Mesothelioma, Silicosis, Silico-tuberculosis</w:t>
      </w:r>
      <w:r w:rsidR="00AE6838" w:rsidRPr="0001216C">
        <w:rPr>
          <w:rFonts w:eastAsia="Calibri"/>
          <w:sz w:val="16"/>
          <w:lang w:eastAsia="en-US"/>
        </w:rPr>
        <w:fldChar w:fldCharType="begin"/>
      </w:r>
      <w:r w:rsidR="00AE6838" w:rsidRPr="0001216C">
        <w:rPr>
          <w:sz w:val="16"/>
        </w:rPr>
        <w:instrText xml:space="preserve"> XE "tuberculosis" </w:instrText>
      </w:r>
      <w:r w:rsidR="00AE6838" w:rsidRPr="0001216C">
        <w:rPr>
          <w:rFonts w:eastAsia="Calibri"/>
          <w:sz w:val="16"/>
          <w:lang w:eastAsia="en-US"/>
        </w:rPr>
        <w:fldChar w:fldCharType="end"/>
      </w:r>
      <w:r w:rsidRPr="0001216C">
        <w:rPr>
          <w:rFonts w:eastAsia="Calibri"/>
          <w:sz w:val="16"/>
          <w:lang w:eastAsia="en-US"/>
        </w:rPr>
        <w:t xml:space="preserve"> and Talcosis.</w:t>
      </w:r>
    </w:p>
    <w:p w14:paraId="4BCBE19F"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709" w:gutter="0"/>
          <w:cols w:space="708"/>
          <w:docGrid w:linePitch="360"/>
        </w:sectPr>
      </w:pPr>
    </w:p>
    <w:p w14:paraId="679B6641" w14:textId="7342DC23" w:rsidR="00C66972" w:rsidRPr="00205CCE" w:rsidRDefault="00C66972" w:rsidP="00205CCE">
      <w:pPr>
        <w:pStyle w:val="Title"/>
      </w:pPr>
      <w:bookmarkStart w:id="310" w:name="_Toc483227228"/>
      <w:bookmarkStart w:id="311" w:name="_Toc504654748"/>
      <w:bookmarkStart w:id="312" w:name="glossary"/>
      <w:r w:rsidRPr="00205CCE">
        <w:lastRenderedPageBreak/>
        <w:t>Glossary</w:t>
      </w:r>
      <w:bookmarkEnd w:id="310"/>
      <w:bookmarkEnd w:id="311"/>
      <w:r w:rsidR="00ED7D12" w:rsidRPr="00205CCE">
        <w:fldChar w:fldCharType="begin"/>
      </w:r>
      <w:r w:rsidR="00ED7D12" w:rsidRPr="00205CCE">
        <w:instrText xml:space="preserve"> XE "glossary" \r "glossary" </w:instrText>
      </w:r>
      <w:r w:rsidR="00ED7D12" w:rsidRPr="00205CCE">
        <w:fldChar w:fldCharType="end"/>
      </w:r>
      <w:r w:rsidRPr="00205CCE">
        <w:t xml:space="preserve"> </w:t>
      </w:r>
      <w:r w:rsidR="008E6A35" w:rsidRPr="00205CCE">
        <w:fldChar w:fldCharType="begin"/>
      </w:r>
      <w:r w:rsidR="008E6A35" w:rsidRPr="00205CCE">
        <w:instrText xml:space="preserve"> XE "definitions" \r "glossary" </w:instrText>
      </w:r>
      <w:r w:rsidR="008E6A35" w:rsidRPr="00205CCE">
        <w:fldChar w:fldCharType="end"/>
      </w:r>
    </w:p>
    <w:p w14:paraId="4FAEAF1E" w14:textId="77777777" w:rsidR="00C66972" w:rsidRPr="0001216C" w:rsidRDefault="00C66972" w:rsidP="0001216C">
      <w:pPr>
        <w:pStyle w:val="Heading4"/>
      </w:pPr>
      <w:r w:rsidRPr="0001216C">
        <w:t>Administrative scheme</w:t>
      </w:r>
      <w:r w:rsidR="00DD7859" w:rsidRPr="0001216C">
        <w:fldChar w:fldCharType="begin"/>
      </w:r>
      <w:r w:rsidR="00DD7859" w:rsidRPr="0001216C">
        <w:instrText xml:space="preserve"> XE "Administrative scheme</w:instrText>
      </w:r>
      <w:r w:rsidR="0078562E" w:rsidRPr="0001216C">
        <w:instrText>, defined</w:instrText>
      </w:r>
      <w:r w:rsidR="00DD7859" w:rsidRPr="0001216C">
        <w:instrText xml:space="preserve">" </w:instrText>
      </w:r>
      <w:r w:rsidR="00DD7859" w:rsidRPr="0001216C">
        <w:fldChar w:fldCharType="end"/>
      </w:r>
    </w:p>
    <w:p w14:paraId="6BD6EBC2" w14:textId="77777777" w:rsidR="006A50D4" w:rsidRDefault="00C66972" w:rsidP="0001216C">
      <w:pPr>
        <w:rPr>
          <w:rFonts w:eastAsiaTheme="minorHAnsi"/>
        </w:rPr>
      </w:pPr>
      <w:r w:rsidRPr="00C66972">
        <w:rPr>
          <w:rFonts w:eastAsiaTheme="minorHAnsi"/>
        </w:rPr>
        <w:t>A scheme put in place where no legislation applies.</w:t>
      </w:r>
    </w:p>
    <w:p w14:paraId="1D2274DA" w14:textId="0FF602D2" w:rsidR="00C66972" w:rsidRPr="0001216C" w:rsidRDefault="00C66972" w:rsidP="0001216C">
      <w:pPr>
        <w:pStyle w:val="Heading4"/>
      </w:pPr>
      <w:r w:rsidRPr="0001216C">
        <w:t>Attendant care</w:t>
      </w:r>
      <w:r w:rsidR="00584ACD" w:rsidRPr="0001216C">
        <w:fldChar w:fldCharType="begin"/>
      </w:r>
      <w:r w:rsidR="00584ACD" w:rsidRPr="0001216C">
        <w:instrText xml:space="preserve"> XE "Attendant care</w:instrText>
      </w:r>
      <w:r w:rsidR="000A06AE" w:rsidRPr="0001216C">
        <w:instrText>, defined</w:instrText>
      </w:r>
      <w:r w:rsidR="00584ACD" w:rsidRPr="0001216C">
        <w:instrText xml:space="preserve">" </w:instrText>
      </w:r>
      <w:r w:rsidR="00584ACD" w:rsidRPr="0001216C">
        <w:fldChar w:fldCharType="end"/>
      </w:r>
    </w:p>
    <w:p w14:paraId="606DBF04" w14:textId="77777777" w:rsidR="006A50D4" w:rsidRDefault="00C66972" w:rsidP="0001216C">
      <w:pPr>
        <w:rPr>
          <w:rFonts w:eastAsiaTheme="minorHAnsi"/>
        </w:rPr>
      </w:pPr>
      <w:r w:rsidRPr="00C66972">
        <w:rPr>
          <w:rFonts w:eastAsiaTheme="minorHAnsi"/>
        </w:rPr>
        <w:t>Services of a person to provide regular and essential personal care to an injured worker.</w:t>
      </w:r>
    </w:p>
    <w:p w14:paraId="120D54BF" w14:textId="2F1F5788" w:rsidR="00C66972" w:rsidRPr="0001216C" w:rsidRDefault="00C66972" w:rsidP="0001216C">
      <w:pPr>
        <w:pStyle w:val="Heading4"/>
      </w:pPr>
      <w:r w:rsidRPr="0001216C">
        <w:t>Benefits</w:t>
      </w:r>
      <w:r w:rsidR="0008303E" w:rsidRPr="0001216C">
        <w:fldChar w:fldCharType="begin"/>
      </w:r>
      <w:r w:rsidR="0008303E" w:rsidRPr="0001216C">
        <w:instrText xml:space="preserve"> XE "benefits:defined" </w:instrText>
      </w:r>
      <w:r w:rsidR="0008303E" w:rsidRPr="0001216C">
        <w:fldChar w:fldCharType="end"/>
      </w:r>
    </w:p>
    <w:p w14:paraId="2DFB0D3C" w14:textId="77777777" w:rsidR="006A50D4" w:rsidRDefault="00C66972" w:rsidP="0001216C">
      <w:pPr>
        <w:rPr>
          <w:rFonts w:eastAsiaTheme="minorHAnsi"/>
        </w:rPr>
      </w:pPr>
      <w:r w:rsidRPr="00C66972">
        <w:rPr>
          <w:rFonts w:eastAsiaTheme="minorHAnsi"/>
        </w:rPr>
        <w:t>Money paid to injured workers as compensation for economic and non-economic loss arising from work related injury.</w:t>
      </w:r>
    </w:p>
    <w:p w14:paraId="4BA0E4E7" w14:textId="630A1F9B" w:rsidR="00C66972" w:rsidRPr="00C66972" w:rsidRDefault="00C66972" w:rsidP="0001216C">
      <w:pPr>
        <w:pStyle w:val="Heading4"/>
        <w:rPr>
          <w:rFonts w:eastAsiaTheme="minorHAnsi"/>
        </w:rPr>
      </w:pPr>
      <w:r w:rsidRPr="00C66972">
        <w:rPr>
          <w:rFonts w:eastAsiaTheme="minorHAnsi"/>
        </w:rPr>
        <w:t>Category 1 employers (NSW)</w:t>
      </w:r>
      <w:r w:rsidR="00DD0D68">
        <w:rPr>
          <w:rFonts w:eastAsiaTheme="minorHAnsi"/>
        </w:rPr>
        <w:t xml:space="preserve"> </w:t>
      </w:r>
      <w:r w:rsidR="00854F23">
        <w:rPr>
          <w:rFonts w:eastAsiaTheme="minorHAnsi"/>
        </w:rPr>
        <w:fldChar w:fldCharType="begin"/>
      </w:r>
      <w:r w:rsidR="00854F23">
        <w:instrText xml:space="preserve"> XE "</w:instrText>
      </w:r>
      <w:r w:rsidR="00854F23" w:rsidRPr="00154439">
        <w:instrText>Category 1 employers (NSW)</w:instrText>
      </w:r>
      <w:r w:rsidR="00854F23">
        <w:instrText xml:space="preserve">" </w:instrText>
      </w:r>
      <w:r w:rsidR="00854F23">
        <w:rPr>
          <w:rFonts w:eastAsiaTheme="minorHAnsi"/>
        </w:rPr>
        <w:fldChar w:fldCharType="end"/>
      </w:r>
      <w:r w:rsidR="0025506E">
        <w:rPr>
          <w:rFonts w:eastAsiaTheme="minorHAnsi"/>
        </w:rPr>
        <w:t xml:space="preserve"> </w:t>
      </w:r>
      <w:r w:rsidR="0025506E">
        <w:rPr>
          <w:rFonts w:eastAsiaTheme="minorHAnsi"/>
        </w:rPr>
        <w:fldChar w:fldCharType="begin"/>
      </w:r>
      <w:r w:rsidR="0025506E">
        <w:instrText xml:space="preserve"> XE "</w:instrText>
      </w:r>
      <w:r w:rsidR="0025506E" w:rsidRPr="003A110A">
        <w:instrText>employers:Category 1 employers (NSW)</w:instrText>
      </w:r>
      <w:r w:rsidR="0025506E">
        <w:instrText xml:space="preserve">" </w:instrText>
      </w:r>
      <w:r w:rsidR="0025506E">
        <w:rPr>
          <w:rFonts w:eastAsiaTheme="minorHAnsi"/>
        </w:rPr>
        <w:fldChar w:fldCharType="end"/>
      </w:r>
    </w:p>
    <w:p w14:paraId="767A5DBD" w14:textId="4181D2E2" w:rsidR="00C66972" w:rsidRPr="0001216C" w:rsidRDefault="00C66972" w:rsidP="00F839DB">
      <w:pPr>
        <w:pStyle w:val="ListParagraph"/>
        <w:numPr>
          <w:ilvl w:val="0"/>
          <w:numId w:val="522"/>
        </w:numPr>
        <w:rPr>
          <w:rFonts w:eastAsiaTheme="minorHAnsi"/>
        </w:rPr>
      </w:pPr>
      <w:r w:rsidRPr="0001216C">
        <w:rPr>
          <w:rFonts w:eastAsiaTheme="minorHAnsi"/>
        </w:rPr>
        <w:t>an employer insured under a policy of insurance to which the insurance premiums order for the time being in force applies and whose basic tariff premium (within the meaning of that order) f</w:t>
      </w:r>
      <w:r w:rsidR="00CE30D5">
        <w:rPr>
          <w:rFonts w:eastAsiaTheme="minorHAnsi"/>
        </w:rPr>
        <w:t>or that policy would exceed $50,</w:t>
      </w:r>
      <w:r w:rsidRPr="0001216C">
        <w:rPr>
          <w:rFonts w:eastAsiaTheme="minorHAnsi"/>
        </w:rPr>
        <w:t>000, if the period of insurance to which the premium relates were 12 months, or</w:t>
      </w:r>
    </w:p>
    <w:p w14:paraId="4F6B041C" w14:textId="1769758D" w:rsidR="00C66972" w:rsidRPr="0001216C" w:rsidRDefault="00C66972" w:rsidP="00F839DB">
      <w:pPr>
        <w:pStyle w:val="ListParagraph"/>
        <w:numPr>
          <w:ilvl w:val="0"/>
          <w:numId w:val="522"/>
        </w:numPr>
        <w:rPr>
          <w:rFonts w:eastAsiaTheme="minorHAnsi"/>
        </w:rPr>
      </w:pPr>
      <w:r w:rsidRPr="0001216C">
        <w:rPr>
          <w:rFonts w:eastAsiaTheme="minorHAnsi"/>
        </w:rPr>
        <w:t xml:space="preserve">an employer insured under more than one policy of insurance to which the insurance premiums order for the time being in force applies and whose combined basic tariff premiums (within the meaning of that order) for </w:t>
      </w:r>
      <w:r w:rsidR="00BC0F54">
        <w:rPr>
          <w:rFonts w:eastAsiaTheme="minorHAnsi"/>
        </w:rPr>
        <w:t>those policies would exceed $50,</w:t>
      </w:r>
      <w:r w:rsidRPr="0001216C">
        <w:rPr>
          <w:rFonts w:eastAsiaTheme="minorHAnsi"/>
        </w:rPr>
        <w:t>000, if the period of insurance to which each premium relates were 12 months, or</w:t>
      </w:r>
    </w:p>
    <w:p w14:paraId="5789881A" w14:textId="77777777" w:rsidR="00C66972" w:rsidRPr="0001216C" w:rsidRDefault="00C66972" w:rsidP="00F839DB">
      <w:pPr>
        <w:pStyle w:val="ListParagraph"/>
        <w:numPr>
          <w:ilvl w:val="0"/>
          <w:numId w:val="522"/>
        </w:numPr>
        <w:rPr>
          <w:rFonts w:eastAsiaTheme="minorHAnsi"/>
        </w:rPr>
      </w:pPr>
      <w:r w:rsidRPr="0001216C">
        <w:rPr>
          <w:rFonts w:eastAsiaTheme="minorHAnsi"/>
        </w:rPr>
        <w:t>an employer who is self-insured, or</w:t>
      </w:r>
    </w:p>
    <w:p w14:paraId="523736CB" w14:textId="77777777" w:rsidR="00C66972" w:rsidRPr="0001216C" w:rsidRDefault="00C66972" w:rsidP="00F839DB">
      <w:pPr>
        <w:pStyle w:val="ListParagraph"/>
        <w:numPr>
          <w:ilvl w:val="0"/>
          <w:numId w:val="522"/>
        </w:numPr>
        <w:rPr>
          <w:rFonts w:eastAsiaTheme="minorHAnsi"/>
        </w:rPr>
      </w:pPr>
      <w:r w:rsidRPr="0001216C">
        <w:rPr>
          <w:rFonts w:eastAsiaTheme="minorHAnsi"/>
        </w:rPr>
        <w:t>an employer who is insured with a specialised insurer and who employs more than 20 workers.</w:t>
      </w:r>
    </w:p>
    <w:p w14:paraId="53D1A49D" w14:textId="77777777" w:rsidR="006A50D4" w:rsidRDefault="00C66972" w:rsidP="0001216C">
      <w:pPr>
        <w:rPr>
          <w:rFonts w:eastAsiaTheme="minorHAnsi"/>
        </w:rPr>
      </w:pPr>
      <w:r w:rsidRPr="00C66972">
        <w:rPr>
          <w:rFonts w:eastAsiaTheme="minorHAnsi"/>
          <w:i/>
        </w:rPr>
        <w:t xml:space="preserve">Category 2 employer </w:t>
      </w:r>
      <w:r w:rsidRPr="00C66972">
        <w:rPr>
          <w:rFonts w:eastAsiaTheme="minorHAnsi"/>
        </w:rPr>
        <w:t>means an employer who is not a Category 1 employer.</w:t>
      </w:r>
    </w:p>
    <w:p w14:paraId="0289E990" w14:textId="1337840D" w:rsidR="00C66972" w:rsidRPr="0001216C" w:rsidRDefault="00C66972" w:rsidP="0001216C">
      <w:pPr>
        <w:pStyle w:val="Heading4"/>
      </w:pPr>
      <w:r w:rsidRPr="0001216C">
        <w:t>Centrally funded schemes</w:t>
      </w:r>
      <w:r w:rsidR="00C44D5D" w:rsidRPr="0001216C">
        <w:t xml:space="preserve"> </w:t>
      </w:r>
      <w:r w:rsidR="00C44D5D" w:rsidRPr="0001216C">
        <w:fldChar w:fldCharType="begin"/>
      </w:r>
      <w:r w:rsidR="00C44D5D" w:rsidRPr="0001216C">
        <w:instrText xml:space="preserve"> XE "centrally funded schemes" </w:instrText>
      </w:r>
      <w:r w:rsidR="00C44D5D" w:rsidRPr="0001216C">
        <w:fldChar w:fldCharType="end"/>
      </w:r>
    </w:p>
    <w:p w14:paraId="4F86C4B8" w14:textId="77777777" w:rsidR="006A50D4" w:rsidRDefault="00C66972" w:rsidP="0001216C">
      <w:pPr>
        <w:rPr>
          <w:rFonts w:eastAsiaTheme="minorHAnsi"/>
        </w:rPr>
      </w:pPr>
      <w:r w:rsidRPr="00C66972">
        <w:rPr>
          <w:rFonts w:eastAsiaTheme="minorHAnsi"/>
        </w:rPr>
        <w:t xml:space="preserve">Single public insurer (government agency) that performs most, if not all, workers’ compensation functions. Central insurers underwrite their schemes. </w:t>
      </w:r>
    </w:p>
    <w:p w14:paraId="31D7E5AE" w14:textId="2CA4F639" w:rsidR="00C66972" w:rsidRPr="00C66972" w:rsidRDefault="00C66972" w:rsidP="008A74BF">
      <w:pPr>
        <w:pStyle w:val="Heading4"/>
        <w:rPr>
          <w:rFonts w:eastAsiaTheme="minorHAnsi"/>
        </w:rPr>
      </w:pPr>
      <w:r w:rsidRPr="00C66972">
        <w:rPr>
          <w:rFonts w:eastAsiaTheme="minorHAnsi"/>
        </w:rPr>
        <w:t>Common law</w:t>
      </w:r>
    </w:p>
    <w:p w14:paraId="24B2A7A0" w14:textId="77777777" w:rsidR="006A50D4" w:rsidRDefault="00C66972" w:rsidP="008A74BF">
      <w:pPr>
        <w:rPr>
          <w:rFonts w:eastAsiaTheme="minorHAnsi"/>
        </w:rPr>
      </w:pPr>
      <w:r w:rsidRPr="00C66972">
        <w:rPr>
          <w:rFonts w:eastAsiaTheme="minorHAnsi"/>
        </w:rPr>
        <w:t>Provisions that allow, or preclude, injured workers from taking legal action through the courts to sue their employers for the costs of injury arising from negligence leading to unsafe workplaces.</w:t>
      </w:r>
    </w:p>
    <w:p w14:paraId="214AE684" w14:textId="0035A2C9" w:rsidR="00C66972" w:rsidRPr="00C66972" w:rsidRDefault="00C66972" w:rsidP="008A74BF">
      <w:pPr>
        <w:pStyle w:val="Heading4"/>
        <w:rPr>
          <w:rFonts w:eastAsiaTheme="minorHAnsi"/>
        </w:rPr>
      </w:pPr>
      <w:r w:rsidRPr="00C66972">
        <w:rPr>
          <w:rFonts w:eastAsiaTheme="minorHAnsi"/>
        </w:rPr>
        <w:t>Commutation payment</w:t>
      </w:r>
      <w:r w:rsidR="0070573D">
        <w:rPr>
          <w:rFonts w:eastAsiaTheme="minorHAnsi"/>
        </w:rPr>
        <w:t xml:space="preserve"> </w:t>
      </w:r>
      <w:r w:rsidR="00CC7EF4">
        <w:rPr>
          <w:rFonts w:eastAsiaTheme="minorHAnsi"/>
        </w:rPr>
        <w:fldChar w:fldCharType="begin"/>
      </w:r>
      <w:r w:rsidR="00CC7EF4">
        <w:instrText xml:space="preserve"> XE "</w:instrText>
      </w:r>
      <w:r w:rsidR="00CC7EF4" w:rsidRPr="008C3F1C">
        <w:instrText>commutation payment, defined (see also settlement of future incapacity benefits</w:instrText>
      </w:r>
      <w:r w:rsidR="00CC7EF4">
        <w:instrText xml:space="preserve">" </w:instrText>
      </w:r>
      <w:r w:rsidR="00CC7EF4">
        <w:rPr>
          <w:rFonts w:eastAsiaTheme="minorHAnsi"/>
        </w:rPr>
        <w:fldChar w:fldCharType="end"/>
      </w:r>
      <w:r w:rsidR="00306D40">
        <w:rPr>
          <w:rFonts w:eastAsiaTheme="minorHAnsi"/>
        </w:rPr>
        <w:fldChar w:fldCharType="begin"/>
      </w:r>
      <w:r w:rsidR="00306D40">
        <w:instrText xml:space="preserve"> XE "</w:instrText>
      </w:r>
      <w:r w:rsidR="00306D40" w:rsidRPr="001854C8">
        <w:instrText>lump sum payments</w:instrText>
      </w:r>
      <w:r w:rsidR="00306D40">
        <w:instrText xml:space="preserve">" </w:instrText>
      </w:r>
      <w:r w:rsidR="00306D40">
        <w:rPr>
          <w:rFonts w:eastAsiaTheme="minorHAnsi"/>
        </w:rPr>
        <w:fldChar w:fldCharType="end"/>
      </w:r>
      <w:r w:rsidR="00A95C3B">
        <w:rPr>
          <w:rFonts w:eastAsiaTheme="minorHAnsi"/>
        </w:rPr>
        <w:fldChar w:fldCharType="begin"/>
      </w:r>
      <w:r w:rsidR="00A95C3B">
        <w:instrText xml:space="preserve"> XE "</w:instrText>
      </w:r>
      <w:r w:rsidR="00A95C3B" w:rsidRPr="000A73AA">
        <w:instrText>payments:commutation payment, defined</w:instrText>
      </w:r>
      <w:r w:rsidR="00A95C3B">
        <w:instrText xml:space="preserve">" </w:instrText>
      </w:r>
      <w:r w:rsidR="00A95C3B">
        <w:rPr>
          <w:rFonts w:eastAsiaTheme="minorHAnsi"/>
        </w:rPr>
        <w:fldChar w:fldCharType="end"/>
      </w:r>
      <w:r w:rsidR="007E7520">
        <w:rPr>
          <w:rFonts w:eastAsiaTheme="minorHAnsi"/>
        </w:rPr>
        <w:fldChar w:fldCharType="begin"/>
      </w:r>
      <w:r w:rsidR="007E7520">
        <w:instrText xml:space="preserve"> XE "</w:instrText>
      </w:r>
      <w:r w:rsidR="007E7520" w:rsidRPr="001854C8">
        <w:instrText>settlement of future incapacity benefits</w:instrText>
      </w:r>
      <w:r w:rsidR="007E7520">
        <w:instrText xml:space="preserve">" </w:instrText>
      </w:r>
      <w:r w:rsidR="007E7520">
        <w:rPr>
          <w:rFonts w:eastAsiaTheme="minorHAnsi"/>
        </w:rPr>
        <w:fldChar w:fldCharType="end"/>
      </w:r>
    </w:p>
    <w:p w14:paraId="3D57EB15" w14:textId="77777777" w:rsidR="006A50D4" w:rsidRDefault="00C66972" w:rsidP="008A74BF">
      <w:pPr>
        <w:rPr>
          <w:rFonts w:eastAsiaTheme="minorHAnsi"/>
        </w:rPr>
      </w:pPr>
      <w:r w:rsidRPr="00C66972">
        <w:rPr>
          <w:rFonts w:eastAsiaTheme="minorHAnsi"/>
        </w:rPr>
        <w:t>Depending on the particular legislation of a jurisdiction, and under certain circumstances, an ongoing liability for specified workers’ compensation entitlements can be commuted to a lump sum payment. Following payment of the lump sum, liability for those entitlements ceases. See also redemption payment and settlement payment.</w:t>
      </w:r>
    </w:p>
    <w:p w14:paraId="562F5FF0" w14:textId="74D57E37" w:rsidR="00C66972" w:rsidRPr="00C66972" w:rsidRDefault="00C66972" w:rsidP="008A74BF">
      <w:pPr>
        <w:pStyle w:val="Heading4"/>
        <w:rPr>
          <w:rFonts w:eastAsiaTheme="minorHAnsi"/>
        </w:rPr>
      </w:pPr>
      <w:r w:rsidRPr="00C66972">
        <w:rPr>
          <w:rFonts w:eastAsiaTheme="minorHAnsi"/>
        </w:rPr>
        <w:t>Competitive fund</w:t>
      </w:r>
      <w:r w:rsidR="00184441">
        <w:rPr>
          <w:rFonts w:eastAsiaTheme="minorHAnsi"/>
        </w:rPr>
        <w:t xml:space="preserve"> </w:t>
      </w:r>
      <w:r w:rsidR="00184441">
        <w:rPr>
          <w:rFonts w:eastAsiaTheme="minorHAnsi"/>
        </w:rPr>
        <w:fldChar w:fldCharType="begin"/>
      </w:r>
      <w:r w:rsidR="00184441">
        <w:instrText xml:space="preserve"> XE "</w:instrText>
      </w:r>
      <w:r w:rsidR="00184441" w:rsidRPr="009C57D8">
        <w:instrText>competitive fund, defined</w:instrText>
      </w:r>
      <w:r w:rsidR="00184441">
        <w:instrText xml:space="preserve">" </w:instrText>
      </w:r>
      <w:r w:rsidR="00184441">
        <w:rPr>
          <w:rFonts w:eastAsiaTheme="minorHAnsi"/>
        </w:rPr>
        <w:fldChar w:fldCharType="end"/>
      </w:r>
    </w:p>
    <w:p w14:paraId="36F2F768" w14:textId="77777777" w:rsidR="006A50D4" w:rsidRDefault="00C66972" w:rsidP="008A74BF">
      <w:pPr>
        <w:rPr>
          <w:rFonts w:eastAsiaTheme="minorHAnsi"/>
        </w:rPr>
      </w:pPr>
      <w:r w:rsidRPr="00C66972">
        <w:rPr>
          <w:rFonts w:eastAsiaTheme="minorHAnsi"/>
        </w:rPr>
        <w:t>Insurer functions are provided by the private sector, through approved insurance companies. This includes underwriting and claims management. The degree of regulation of competitive schemes by government varies amongst the competitive schemes.</w:t>
      </w:r>
    </w:p>
    <w:p w14:paraId="3F722A3C" w14:textId="70E25C11" w:rsidR="00C66972" w:rsidRPr="00C66972" w:rsidRDefault="00C66972" w:rsidP="008A74BF">
      <w:pPr>
        <w:pStyle w:val="Heading4"/>
        <w:rPr>
          <w:rFonts w:eastAsiaTheme="minorHAnsi"/>
        </w:rPr>
      </w:pPr>
      <w:r w:rsidRPr="00C66972">
        <w:rPr>
          <w:rFonts w:eastAsiaTheme="minorHAnsi"/>
        </w:rPr>
        <w:t>Cross-border arrangements</w:t>
      </w:r>
      <w:r w:rsidR="00C461E1">
        <w:rPr>
          <w:rFonts w:eastAsiaTheme="minorHAnsi"/>
        </w:rPr>
        <w:fldChar w:fldCharType="begin"/>
      </w:r>
      <w:r w:rsidR="00C461E1">
        <w:instrText xml:space="preserve"> XE "</w:instrText>
      </w:r>
      <w:r w:rsidR="00C461E1" w:rsidRPr="007E1275">
        <w:instrText>jurisdictions:cross-border provisions</w:instrText>
      </w:r>
      <w:r w:rsidR="00C461E1">
        <w:instrText xml:space="preserve">" </w:instrText>
      </w:r>
      <w:r w:rsidR="00C461E1">
        <w:rPr>
          <w:rFonts w:eastAsiaTheme="minorHAnsi"/>
        </w:rPr>
        <w:fldChar w:fldCharType="end"/>
      </w:r>
      <w:r w:rsidR="009F5AD7">
        <w:rPr>
          <w:rFonts w:eastAsiaTheme="minorHAnsi"/>
        </w:rPr>
        <w:fldChar w:fldCharType="begin"/>
      </w:r>
      <w:r w:rsidR="009F5AD7">
        <w:instrText xml:space="preserve"> XE "</w:instrText>
      </w:r>
      <w:r w:rsidR="009F5AD7" w:rsidRPr="003466BF">
        <w:instrText>cross-border provisions:defined</w:instrText>
      </w:r>
      <w:r w:rsidR="009F5AD7">
        <w:instrText xml:space="preserve">" </w:instrText>
      </w:r>
      <w:r w:rsidR="009F5AD7">
        <w:rPr>
          <w:rFonts w:eastAsiaTheme="minorHAnsi"/>
        </w:rPr>
        <w:fldChar w:fldCharType="end"/>
      </w:r>
    </w:p>
    <w:p w14:paraId="77C4CD74" w14:textId="77777777" w:rsidR="006A50D4" w:rsidRDefault="00C66972" w:rsidP="008A74BF">
      <w:pPr>
        <w:rPr>
          <w:rFonts w:eastAsiaTheme="minorHAnsi"/>
        </w:rPr>
      </w:pPr>
      <w:r w:rsidRPr="00C66972">
        <w:rPr>
          <w:rFonts w:eastAsiaTheme="minorHAnsi"/>
        </w:rPr>
        <w:t>Provisions that allow workers who are injured away from their main state or territory of employment are to be covered by workers’ compensation in their main state or territory of employment.</w:t>
      </w:r>
    </w:p>
    <w:p w14:paraId="1D9DEB2B" w14:textId="220A1498" w:rsidR="00C66972" w:rsidRPr="00C66972" w:rsidRDefault="00C66972" w:rsidP="00FB729B">
      <w:pPr>
        <w:pStyle w:val="Heading4"/>
        <w:keepNext/>
        <w:rPr>
          <w:rFonts w:eastAsiaTheme="minorHAnsi"/>
        </w:rPr>
      </w:pPr>
      <w:r w:rsidRPr="00C66972">
        <w:rPr>
          <w:rFonts w:eastAsiaTheme="minorHAnsi"/>
        </w:rPr>
        <w:lastRenderedPageBreak/>
        <w:t>Current Work Capacity</w:t>
      </w:r>
      <w:r w:rsidR="009F5AD7">
        <w:rPr>
          <w:rFonts w:eastAsiaTheme="minorHAnsi"/>
        </w:rPr>
        <w:fldChar w:fldCharType="begin"/>
      </w:r>
      <w:r w:rsidR="009F5AD7">
        <w:instrText xml:space="preserve"> XE "</w:instrText>
      </w:r>
      <w:r w:rsidR="009F5AD7" w:rsidRPr="003507FC">
        <w:instrText>current work capacity:defined</w:instrText>
      </w:r>
      <w:r w:rsidR="009F5AD7">
        <w:instrText xml:space="preserve">" </w:instrText>
      </w:r>
      <w:r w:rsidR="009F5AD7">
        <w:rPr>
          <w:rFonts w:eastAsiaTheme="minorHAnsi"/>
        </w:rPr>
        <w:fldChar w:fldCharType="end"/>
      </w:r>
    </w:p>
    <w:p w14:paraId="3D152D2B" w14:textId="77777777" w:rsidR="006A50D4" w:rsidRDefault="00C66972" w:rsidP="008A74BF">
      <w:pPr>
        <w:rPr>
          <w:rFonts w:eastAsiaTheme="minorHAnsi"/>
        </w:rPr>
      </w:pPr>
      <w:r w:rsidRPr="00C66972">
        <w:rPr>
          <w:rFonts w:eastAsiaTheme="minorHAnsi"/>
        </w:rPr>
        <w:t>As the result of an injury, a worker is presently unable to return to pre-injury employment but is able to return to work in suitable employment (compared with partially incapacitated).</w:t>
      </w:r>
    </w:p>
    <w:p w14:paraId="76DCAF48" w14:textId="540ACADC" w:rsidR="00C66972" w:rsidRPr="00C66972" w:rsidRDefault="00C66972" w:rsidP="008A74BF">
      <w:pPr>
        <w:pStyle w:val="Heading4"/>
        <w:rPr>
          <w:rFonts w:eastAsiaTheme="minorHAnsi"/>
        </w:rPr>
      </w:pPr>
      <w:r w:rsidRPr="00C66972">
        <w:rPr>
          <w:rFonts w:eastAsiaTheme="minorHAnsi"/>
        </w:rPr>
        <w:t xml:space="preserve">Date of injury </w:t>
      </w:r>
      <w:r w:rsidR="009F5AD7">
        <w:rPr>
          <w:rFonts w:eastAsiaTheme="minorHAnsi"/>
        </w:rPr>
        <w:fldChar w:fldCharType="begin"/>
      </w:r>
      <w:r w:rsidR="009F5AD7">
        <w:instrText xml:space="preserve"> XE "</w:instrText>
      </w:r>
      <w:r w:rsidR="009F5AD7" w:rsidRPr="009C57D8">
        <w:instrText>date of injury, defined</w:instrText>
      </w:r>
      <w:r w:rsidR="009F5AD7">
        <w:instrText xml:space="preserve">" </w:instrText>
      </w:r>
      <w:r w:rsidR="009F5AD7">
        <w:rPr>
          <w:rFonts w:eastAsiaTheme="minorHAnsi"/>
        </w:rPr>
        <w:fldChar w:fldCharType="end"/>
      </w:r>
      <w:r w:rsidR="005E71F1">
        <w:rPr>
          <w:rFonts w:eastAsiaTheme="minorHAnsi"/>
        </w:rPr>
        <w:fldChar w:fldCharType="begin"/>
      </w:r>
      <w:r w:rsidR="005E71F1">
        <w:instrText xml:space="preserve"> XE "</w:instrText>
      </w:r>
      <w:r w:rsidR="005E71F1" w:rsidRPr="002B6451">
        <w:instrText>injured workers:date of injury, defined</w:instrText>
      </w:r>
      <w:r w:rsidR="005E71F1">
        <w:instrText xml:space="preserve">" </w:instrText>
      </w:r>
      <w:r w:rsidR="005E71F1">
        <w:rPr>
          <w:rFonts w:eastAsiaTheme="minorHAnsi"/>
        </w:rPr>
        <w:fldChar w:fldCharType="end"/>
      </w:r>
    </w:p>
    <w:p w14:paraId="77F9C199" w14:textId="77777777" w:rsidR="006A50D4" w:rsidRDefault="00C66972" w:rsidP="008A74BF">
      <w:pPr>
        <w:rPr>
          <w:rFonts w:eastAsiaTheme="minorHAnsi"/>
        </w:rPr>
      </w:pPr>
      <w:r w:rsidRPr="00C66972">
        <w:rPr>
          <w:rFonts w:eastAsiaTheme="minorHAnsi"/>
        </w:rPr>
        <w:t>The date a worker became injured — in the case of diseases, this may be the first time symptoms became manifest or the first time medical treatment was sought.</w:t>
      </w:r>
    </w:p>
    <w:p w14:paraId="4D1959D2" w14:textId="11C24212" w:rsidR="00C66972" w:rsidRPr="00C66972" w:rsidRDefault="00297717" w:rsidP="008A74BF">
      <w:pPr>
        <w:pStyle w:val="Heading4"/>
        <w:rPr>
          <w:rFonts w:eastAsiaTheme="minorHAnsi"/>
        </w:rPr>
      </w:pPr>
      <w:r>
        <w:rPr>
          <w:rFonts w:eastAsiaTheme="minorHAnsi"/>
        </w:rPr>
        <w:br w:type="column"/>
      </w:r>
      <w:r w:rsidR="00C66972" w:rsidRPr="00C66972">
        <w:rPr>
          <w:rFonts w:eastAsiaTheme="minorHAnsi"/>
        </w:rPr>
        <w:lastRenderedPageBreak/>
        <w:t>Death benefits</w:t>
      </w:r>
    </w:p>
    <w:p w14:paraId="1A01CA3B" w14:textId="51B7FAD8" w:rsidR="008A74BF" w:rsidRPr="00C66972" w:rsidRDefault="00C66972" w:rsidP="008A74BF">
      <w:pPr>
        <w:rPr>
          <w:rFonts w:eastAsiaTheme="minorHAnsi"/>
        </w:rPr>
      </w:pPr>
      <w:r w:rsidRPr="00C66972">
        <w:rPr>
          <w:rFonts w:eastAsiaTheme="minorHAnsi"/>
        </w:rPr>
        <w:t>Compensation payable to the financial dependants (usually families) of workers who die in work-related circumstances.</w:t>
      </w:r>
    </w:p>
    <w:p w14:paraId="38436883" w14:textId="446F491F" w:rsidR="00C66972" w:rsidRPr="00C66972" w:rsidRDefault="00C66972" w:rsidP="008A74BF">
      <w:pPr>
        <w:pStyle w:val="Heading4"/>
        <w:rPr>
          <w:rFonts w:eastAsiaTheme="minorHAnsi"/>
        </w:rPr>
      </w:pPr>
      <w:r w:rsidRPr="00C66972">
        <w:rPr>
          <w:rFonts w:eastAsiaTheme="minorHAnsi"/>
        </w:rPr>
        <w:t>Deemed worker</w:t>
      </w:r>
      <w:r w:rsidR="00870A7B">
        <w:rPr>
          <w:rFonts w:eastAsiaTheme="minorHAnsi"/>
        </w:rPr>
        <w:fldChar w:fldCharType="begin"/>
      </w:r>
      <w:r w:rsidR="00870A7B">
        <w:instrText xml:space="preserve"> XE "</w:instrText>
      </w:r>
      <w:r w:rsidR="00870A7B" w:rsidRPr="002F7C32">
        <w:instrText>work health and safety requirements and auditing:workers definitions</w:instrText>
      </w:r>
      <w:r w:rsidR="00870A7B">
        <w:instrText xml:space="preserve">" </w:instrText>
      </w:r>
      <w:r w:rsidR="00870A7B">
        <w:rPr>
          <w:rFonts w:eastAsiaTheme="minorHAnsi"/>
        </w:rPr>
        <w:fldChar w:fldCharType="end"/>
      </w:r>
    </w:p>
    <w:p w14:paraId="610FDD5F" w14:textId="77777777" w:rsidR="006A50D4" w:rsidRDefault="00C66972" w:rsidP="008A74BF">
      <w:pPr>
        <w:rPr>
          <w:rFonts w:eastAsiaTheme="minorHAnsi"/>
        </w:rPr>
      </w:pPr>
      <w:r w:rsidRPr="00C66972">
        <w:rPr>
          <w:rFonts w:eastAsiaTheme="minorHAnsi"/>
        </w:rPr>
        <w:t>People who provide a service but may not have the status of a worker and are deemed by legislation or regulation to be covered for workers’ compensation as though they were workers.</w:t>
      </w:r>
    </w:p>
    <w:p w14:paraId="4CD8B30F" w14:textId="438504A4" w:rsidR="00C66972" w:rsidRPr="00C66972" w:rsidRDefault="00C66972" w:rsidP="008A74BF">
      <w:pPr>
        <w:pStyle w:val="Heading4"/>
        <w:rPr>
          <w:rFonts w:eastAsiaTheme="minorHAnsi"/>
        </w:rPr>
      </w:pPr>
      <w:r w:rsidRPr="00C66972">
        <w:rPr>
          <w:rFonts w:eastAsiaTheme="minorHAnsi"/>
        </w:rPr>
        <w:t>Diseases</w:t>
      </w:r>
      <w:r w:rsidR="00C7036A">
        <w:rPr>
          <w:rFonts w:eastAsiaTheme="minorHAnsi"/>
        </w:rPr>
        <w:fldChar w:fldCharType="begin"/>
      </w:r>
      <w:r w:rsidR="00C7036A">
        <w:instrText xml:space="preserve"> XE "</w:instrText>
      </w:r>
      <w:r w:rsidR="00C7036A" w:rsidRPr="00380126">
        <w:instrText>diseases:</w:instrText>
      </w:r>
      <w:r w:rsidR="00C7036A">
        <w:instrText xml:space="preserve">defined" </w:instrText>
      </w:r>
      <w:r w:rsidR="00C7036A">
        <w:rPr>
          <w:rFonts w:eastAsiaTheme="minorHAnsi"/>
        </w:rPr>
        <w:fldChar w:fldCharType="end"/>
      </w:r>
    </w:p>
    <w:p w14:paraId="47B332CA" w14:textId="77777777" w:rsidR="006A50D4" w:rsidRDefault="00C66972" w:rsidP="008A74BF">
      <w:pPr>
        <w:rPr>
          <w:rFonts w:eastAsiaTheme="minorHAnsi"/>
        </w:rPr>
      </w:pPr>
      <w:r w:rsidRPr="00C66972">
        <w:rPr>
          <w:rFonts w:eastAsiaTheme="minorHAnsi"/>
        </w:rPr>
        <w:t>Can include any physical or mental disorder, defect or morbid condition, whether of sudden or gradual development.</w:t>
      </w:r>
    </w:p>
    <w:p w14:paraId="6FAF0334" w14:textId="38AC5E87" w:rsidR="008A74BF" w:rsidRDefault="00C66972" w:rsidP="008A74BF">
      <w:pPr>
        <w:rPr>
          <w:rFonts w:eastAsiaTheme="minorHAnsi"/>
        </w:rPr>
      </w:pPr>
      <w:r w:rsidRPr="00E1145E">
        <w:rPr>
          <w:rStyle w:val="Heading4Char"/>
        </w:rPr>
        <w:t>Diseas</w:t>
      </w:r>
      <w:r w:rsidR="008A74BF">
        <w:rPr>
          <w:rStyle w:val="Heading4Char"/>
        </w:rPr>
        <w:t>e (DVA)</w:t>
      </w:r>
    </w:p>
    <w:p w14:paraId="477B9808" w14:textId="679150CD" w:rsidR="00C66972" w:rsidRPr="008A74BF" w:rsidRDefault="00C66972" w:rsidP="00F839DB">
      <w:pPr>
        <w:pStyle w:val="ListParagraph"/>
        <w:numPr>
          <w:ilvl w:val="1"/>
          <w:numId w:val="416"/>
        </w:numPr>
        <w:rPr>
          <w:rFonts w:eastAsiaTheme="minorHAnsi"/>
        </w:rPr>
      </w:pPr>
      <w:r w:rsidRPr="008A74BF">
        <w:rPr>
          <w:rFonts w:eastAsiaTheme="minorHAnsi"/>
        </w:rPr>
        <w:t>any physical or mental ailment, disorder, defect or morbid condition (whether of sudden onset or gradual development), or</w:t>
      </w:r>
    </w:p>
    <w:p w14:paraId="6B84566D" w14:textId="5FCE05E3" w:rsidR="00C66972" w:rsidRPr="008A74BF" w:rsidRDefault="00C66972" w:rsidP="00F839DB">
      <w:pPr>
        <w:pStyle w:val="ListParagraph"/>
        <w:numPr>
          <w:ilvl w:val="1"/>
          <w:numId w:val="416"/>
        </w:numPr>
        <w:rPr>
          <w:rFonts w:eastAsiaTheme="minorHAnsi"/>
        </w:rPr>
      </w:pPr>
      <w:r w:rsidRPr="008A74BF">
        <w:rPr>
          <w:rFonts w:eastAsiaTheme="minorHAnsi"/>
        </w:rPr>
        <w:t>the recurrence of such an ailment, disorder, defect or morbid condition; but does not include:</w:t>
      </w:r>
    </w:p>
    <w:p w14:paraId="4EF48689" w14:textId="5BAA42B3" w:rsidR="00C66972" w:rsidRPr="008A74BF" w:rsidRDefault="00C66972" w:rsidP="008A74BF">
      <w:pPr>
        <w:pStyle w:val="ListParagraph"/>
        <w:numPr>
          <w:ilvl w:val="1"/>
          <w:numId w:val="9"/>
        </w:numPr>
        <w:rPr>
          <w:rFonts w:eastAsiaTheme="minorHAnsi"/>
        </w:rPr>
      </w:pPr>
      <w:r w:rsidRPr="008A74BF">
        <w:rPr>
          <w:rFonts w:eastAsiaTheme="minorHAnsi"/>
        </w:rPr>
        <w:t>the aggravation of such an ailment, disorder, defect or morbid condition, or</w:t>
      </w:r>
    </w:p>
    <w:p w14:paraId="15DA2830" w14:textId="3CE7E8BA" w:rsidR="00C66972" w:rsidRPr="008A74BF" w:rsidRDefault="00C66972" w:rsidP="008A74BF">
      <w:pPr>
        <w:pStyle w:val="ListParagraph"/>
        <w:numPr>
          <w:ilvl w:val="1"/>
          <w:numId w:val="9"/>
        </w:numPr>
        <w:rPr>
          <w:rFonts w:eastAsiaTheme="minorHAnsi"/>
        </w:rPr>
      </w:pPr>
      <w:r w:rsidRPr="008A74BF">
        <w:rPr>
          <w:rFonts w:eastAsiaTheme="minorHAnsi"/>
        </w:rPr>
        <w:t>a temporary departure from:</w:t>
      </w:r>
    </w:p>
    <w:p w14:paraId="6D447AEC" w14:textId="63FBB7D8" w:rsidR="00C66972" w:rsidRPr="008A74BF" w:rsidRDefault="00C66972" w:rsidP="00F839DB">
      <w:pPr>
        <w:pStyle w:val="ListParagraph"/>
        <w:numPr>
          <w:ilvl w:val="0"/>
          <w:numId w:val="523"/>
        </w:numPr>
        <w:rPr>
          <w:rFonts w:eastAsiaTheme="minorHAnsi"/>
        </w:rPr>
      </w:pPr>
      <w:r w:rsidRPr="008A74BF">
        <w:rPr>
          <w:rFonts w:eastAsiaTheme="minorHAnsi"/>
        </w:rPr>
        <w:t>the normal physiological state, or</w:t>
      </w:r>
    </w:p>
    <w:p w14:paraId="772CA67E" w14:textId="5953A61F" w:rsidR="00C66972" w:rsidRPr="008A74BF" w:rsidRDefault="00C66972" w:rsidP="00F839DB">
      <w:pPr>
        <w:pStyle w:val="ListParagraph"/>
        <w:numPr>
          <w:ilvl w:val="0"/>
          <w:numId w:val="523"/>
        </w:numPr>
        <w:rPr>
          <w:rFonts w:eastAsiaTheme="minorHAnsi"/>
        </w:rPr>
      </w:pPr>
      <w:r w:rsidRPr="008A74BF">
        <w:rPr>
          <w:rFonts w:eastAsiaTheme="minorHAnsi"/>
        </w:rPr>
        <w:t>the accepted ranges of physiological or biochemical measures,</w:t>
      </w:r>
    </w:p>
    <w:p w14:paraId="46EFF621" w14:textId="77777777" w:rsidR="006A50D4" w:rsidRDefault="00C66972" w:rsidP="00F839DB">
      <w:pPr>
        <w:pStyle w:val="ListParagraph"/>
        <w:numPr>
          <w:ilvl w:val="0"/>
          <w:numId w:val="523"/>
        </w:numPr>
        <w:rPr>
          <w:rFonts w:eastAsiaTheme="minorHAnsi"/>
        </w:rPr>
      </w:pPr>
      <w:r w:rsidRPr="008A74BF">
        <w:rPr>
          <w:rFonts w:eastAsiaTheme="minorHAnsi"/>
        </w:rPr>
        <w:t>that results from normal physiological stress (for example, the effect of exercise on blood pressure) or the temporary effect of extraneous agents (for example, alcohol on blood cholesterol levels).</w:t>
      </w:r>
    </w:p>
    <w:p w14:paraId="1339A209" w14:textId="40B04FBE" w:rsidR="00C66972" w:rsidRPr="00C66972" w:rsidRDefault="00C66972" w:rsidP="008A74BF">
      <w:pPr>
        <w:pStyle w:val="Heading4"/>
        <w:rPr>
          <w:rFonts w:eastAsiaTheme="minorHAnsi"/>
        </w:rPr>
      </w:pPr>
      <w:r w:rsidRPr="00C66972">
        <w:rPr>
          <w:rFonts w:eastAsiaTheme="minorHAnsi"/>
        </w:rPr>
        <w:t>Dispute resolution</w:t>
      </w:r>
      <w:r w:rsidR="00C7036A">
        <w:rPr>
          <w:rFonts w:eastAsiaTheme="minorHAnsi"/>
        </w:rPr>
        <w:t xml:space="preserve"> </w:t>
      </w:r>
      <w:r w:rsidR="00C7036A">
        <w:rPr>
          <w:rFonts w:eastAsiaTheme="minorHAnsi"/>
        </w:rPr>
        <w:fldChar w:fldCharType="begin"/>
      </w:r>
      <w:r w:rsidR="00C7036A">
        <w:instrText xml:space="preserve"> XE "</w:instrText>
      </w:r>
      <w:r w:rsidR="00C7036A" w:rsidRPr="001854C8">
        <w:instrText>dispute resolution</w:instrText>
      </w:r>
      <w:r w:rsidR="00C7036A">
        <w:instrText xml:space="preserve">" </w:instrText>
      </w:r>
      <w:r w:rsidR="00C7036A">
        <w:rPr>
          <w:rFonts w:eastAsiaTheme="minorHAnsi"/>
        </w:rPr>
        <w:fldChar w:fldCharType="end"/>
      </w:r>
    </w:p>
    <w:p w14:paraId="77BD735A" w14:textId="77777777" w:rsidR="006A50D4" w:rsidRDefault="00C66972" w:rsidP="008A74BF">
      <w:pPr>
        <w:rPr>
          <w:rFonts w:eastAsiaTheme="minorHAnsi"/>
        </w:rPr>
      </w:pPr>
      <w:r w:rsidRPr="00C66972">
        <w:rPr>
          <w:rFonts w:eastAsiaTheme="minorHAnsi"/>
        </w:rPr>
        <w:t>Processes for resolving disputes between parties in the claims process.</w:t>
      </w:r>
    </w:p>
    <w:p w14:paraId="0B023B3D" w14:textId="7EC21C1D" w:rsidR="00C66972" w:rsidRPr="00C66972" w:rsidRDefault="00C66972" w:rsidP="00735699">
      <w:pPr>
        <w:pStyle w:val="Heading4"/>
        <w:rPr>
          <w:rFonts w:eastAsiaTheme="minorHAnsi"/>
        </w:rPr>
      </w:pPr>
      <w:r w:rsidRPr="00C66972">
        <w:rPr>
          <w:rFonts w:eastAsiaTheme="minorHAnsi"/>
        </w:rPr>
        <w:t>Employee</w:t>
      </w:r>
    </w:p>
    <w:p w14:paraId="0ED73795" w14:textId="77777777" w:rsidR="006A50D4" w:rsidRDefault="00C66972" w:rsidP="00735699">
      <w:pPr>
        <w:rPr>
          <w:rFonts w:eastAsiaTheme="minorHAnsi"/>
        </w:rPr>
      </w:pPr>
      <w:r w:rsidRPr="00C66972">
        <w:rPr>
          <w:rFonts w:eastAsiaTheme="minorHAnsi"/>
        </w:rPr>
        <w:t>A person who works for an employer on a full-time or part-time basis under a contract of service and receives remuneration in wages or salary. See also worker.</w:t>
      </w:r>
    </w:p>
    <w:p w14:paraId="00A3BD80" w14:textId="39FF3669" w:rsidR="00C66972" w:rsidRPr="00C66972" w:rsidRDefault="00C66972" w:rsidP="00735699">
      <w:pPr>
        <w:pStyle w:val="Heading4"/>
        <w:rPr>
          <w:rFonts w:eastAsiaTheme="minorHAnsi"/>
        </w:rPr>
      </w:pPr>
      <w:r w:rsidRPr="00C66972">
        <w:rPr>
          <w:rFonts w:eastAsiaTheme="minorHAnsi"/>
        </w:rPr>
        <w:t>Funeral costs</w:t>
      </w:r>
    </w:p>
    <w:p w14:paraId="4065447C" w14:textId="77777777" w:rsidR="006A50D4" w:rsidRDefault="00C66972" w:rsidP="00735699">
      <w:pPr>
        <w:rPr>
          <w:rFonts w:eastAsiaTheme="minorHAnsi"/>
        </w:rPr>
      </w:pPr>
      <w:r w:rsidRPr="00C66972">
        <w:rPr>
          <w:rFonts w:eastAsiaTheme="minorHAnsi"/>
        </w:rPr>
        <w:t>Reimbursement for the cost of a funeral to the family of a deceased worker or to a person who buries a deceased worker.</w:t>
      </w:r>
    </w:p>
    <w:p w14:paraId="18761CCA" w14:textId="717C1602" w:rsidR="00C66972" w:rsidRPr="00C66972" w:rsidRDefault="00C66972" w:rsidP="00735699">
      <w:pPr>
        <w:pStyle w:val="Heading4"/>
        <w:rPr>
          <w:rFonts w:eastAsiaTheme="minorHAnsi"/>
        </w:rPr>
      </w:pPr>
      <w:r w:rsidRPr="00C66972">
        <w:rPr>
          <w:rFonts w:eastAsiaTheme="minorHAnsi"/>
        </w:rPr>
        <w:t>Home help</w:t>
      </w:r>
      <w:r w:rsidR="00D57A63">
        <w:rPr>
          <w:rFonts w:eastAsiaTheme="minorHAnsi"/>
        </w:rPr>
        <w:fldChar w:fldCharType="begin"/>
      </w:r>
      <w:r w:rsidR="00D57A63">
        <w:instrText xml:space="preserve"> XE "</w:instrText>
      </w:r>
      <w:r w:rsidR="00D57A63" w:rsidRPr="003C702B">
        <w:instrText>home help, defined</w:instrText>
      </w:r>
      <w:r w:rsidR="00D57A63">
        <w:instrText xml:space="preserve">" </w:instrText>
      </w:r>
      <w:r w:rsidR="00D57A63">
        <w:rPr>
          <w:rFonts w:eastAsiaTheme="minorHAnsi"/>
        </w:rPr>
        <w:fldChar w:fldCharType="end"/>
      </w:r>
    </w:p>
    <w:p w14:paraId="2F9B6504" w14:textId="77777777" w:rsidR="006A50D4" w:rsidRDefault="00C66972" w:rsidP="00735699">
      <w:pPr>
        <w:rPr>
          <w:rFonts w:eastAsiaTheme="minorHAnsi"/>
        </w:rPr>
      </w:pPr>
      <w:r w:rsidRPr="00C66972">
        <w:rPr>
          <w:rFonts w:eastAsiaTheme="minorHAnsi"/>
        </w:rPr>
        <w:t>Services of a person to provide domestic assistance to an injured worker.</w:t>
      </w:r>
    </w:p>
    <w:p w14:paraId="2570B420" w14:textId="08012955" w:rsidR="00C66972" w:rsidRPr="00C66972" w:rsidRDefault="00C66972" w:rsidP="00735699">
      <w:pPr>
        <w:pStyle w:val="Heading4"/>
        <w:rPr>
          <w:rFonts w:eastAsiaTheme="minorHAnsi"/>
        </w:rPr>
      </w:pPr>
      <w:r w:rsidRPr="00C66972">
        <w:rPr>
          <w:rFonts w:eastAsiaTheme="minorHAnsi"/>
        </w:rPr>
        <w:t>Home Jurisdiction</w:t>
      </w:r>
      <w:r w:rsidR="00D57A63">
        <w:rPr>
          <w:rFonts w:eastAsiaTheme="minorHAnsi"/>
        </w:rPr>
        <w:fldChar w:fldCharType="begin"/>
      </w:r>
      <w:r w:rsidR="00D57A63">
        <w:instrText xml:space="preserve"> XE "</w:instrText>
      </w:r>
      <w:r w:rsidR="00D57A63" w:rsidRPr="003C702B">
        <w:instrText>home jurisdiction, defined</w:instrText>
      </w:r>
      <w:r w:rsidR="00D57A63">
        <w:instrText xml:space="preserve">" </w:instrText>
      </w:r>
      <w:r w:rsidR="00D57A63">
        <w:rPr>
          <w:rFonts w:eastAsiaTheme="minorHAnsi"/>
        </w:rPr>
        <w:fldChar w:fldCharType="end"/>
      </w:r>
    </w:p>
    <w:p w14:paraId="62303378" w14:textId="77777777" w:rsidR="006A50D4" w:rsidRDefault="00C66972" w:rsidP="00735699">
      <w:pPr>
        <w:rPr>
          <w:rFonts w:eastAsiaTheme="minorHAnsi"/>
        </w:rPr>
      </w:pPr>
      <w:r w:rsidRPr="00C66972">
        <w:rPr>
          <w:rFonts w:eastAsiaTheme="minorHAnsi"/>
        </w:rPr>
        <w:t>The workers’ compensation authority with responsibility in the state or territory where a workplace rehabilitation provider organisation is registered for Australian Business Number (ABN) purposes. However, where the organisation does not intend to deliver services in that state or territory, the home jurisdiction is the workers’ compensation authority where they intend to deliver the majority of the services.</w:t>
      </w:r>
    </w:p>
    <w:p w14:paraId="74E701A8" w14:textId="777F1AB3" w:rsidR="00C66972" w:rsidRPr="00C66972" w:rsidRDefault="00C66972" w:rsidP="00FB729B">
      <w:pPr>
        <w:pStyle w:val="Heading4"/>
        <w:keepNext/>
        <w:rPr>
          <w:rFonts w:eastAsiaTheme="minorHAnsi"/>
        </w:rPr>
      </w:pPr>
      <w:r w:rsidRPr="00C66972">
        <w:rPr>
          <w:rFonts w:eastAsiaTheme="minorHAnsi"/>
        </w:rPr>
        <w:t>Hybrid schemes</w:t>
      </w:r>
      <w:r w:rsidR="0008303E">
        <w:rPr>
          <w:rFonts w:eastAsiaTheme="minorHAnsi"/>
        </w:rPr>
        <w:t xml:space="preserve"> </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p>
    <w:p w14:paraId="47AC6F1C" w14:textId="77777777" w:rsidR="006A50D4" w:rsidRDefault="00C66972" w:rsidP="00735699">
      <w:pPr>
        <w:rPr>
          <w:rFonts w:eastAsiaTheme="minorHAnsi"/>
        </w:rPr>
      </w:pPr>
      <w:r w:rsidRPr="00C66972">
        <w:rPr>
          <w:rFonts w:eastAsiaTheme="minorHAnsi"/>
        </w:rPr>
        <w:t>Essentially a central fund where functions such as claims management and rehabilitation are contracted out to private sector bodies, such as insurers with specialised expertise in injury management.</w:t>
      </w:r>
    </w:p>
    <w:p w14:paraId="328BE1EA" w14:textId="6E3378C1" w:rsidR="00C66972" w:rsidRPr="00C66972" w:rsidRDefault="00C66972" w:rsidP="00735699">
      <w:pPr>
        <w:pStyle w:val="Heading4"/>
        <w:rPr>
          <w:rFonts w:eastAsiaTheme="minorHAnsi"/>
        </w:rPr>
      </w:pPr>
      <w:r w:rsidRPr="00C66972">
        <w:rPr>
          <w:rFonts w:eastAsiaTheme="minorHAnsi"/>
        </w:rPr>
        <w:t>Income replacement</w:t>
      </w:r>
    </w:p>
    <w:p w14:paraId="5F902E6A" w14:textId="77777777" w:rsidR="006A50D4" w:rsidRDefault="00C66972" w:rsidP="00735699">
      <w:pPr>
        <w:rPr>
          <w:rFonts w:eastAsiaTheme="minorHAnsi"/>
        </w:rPr>
      </w:pPr>
      <w:r w:rsidRPr="00C66972">
        <w:rPr>
          <w:rFonts w:eastAsiaTheme="minorHAnsi"/>
        </w:rPr>
        <w:t>Payments that enable injured workers to substantially maintain their living standards if they are unable to work due to a work related injury (also known as weekly payments).</w:t>
      </w:r>
    </w:p>
    <w:p w14:paraId="687F0CD3" w14:textId="646D6B54" w:rsidR="00C66972" w:rsidRPr="00C66972" w:rsidRDefault="00297717" w:rsidP="00735699">
      <w:pPr>
        <w:pStyle w:val="Heading4"/>
        <w:rPr>
          <w:rFonts w:eastAsiaTheme="minorHAnsi"/>
        </w:rPr>
      </w:pPr>
      <w:r>
        <w:rPr>
          <w:rFonts w:eastAsiaTheme="minorHAnsi"/>
        </w:rPr>
        <w:br w:type="column"/>
      </w:r>
      <w:r w:rsidR="00C66972" w:rsidRPr="00C66972">
        <w:rPr>
          <w:rFonts w:eastAsiaTheme="minorHAnsi"/>
        </w:rPr>
        <w:lastRenderedPageBreak/>
        <w:t>Injury</w:t>
      </w:r>
      <w:r w:rsidR="005E71F1">
        <w:rPr>
          <w:rFonts w:eastAsiaTheme="minorHAnsi"/>
        </w:rPr>
        <w:fldChar w:fldCharType="begin"/>
      </w:r>
      <w:r w:rsidR="005E71F1">
        <w:instrText xml:space="preserve"> XE "</w:instrText>
      </w:r>
      <w:r w:rsidR="005E71F1" w:rsidRPr="007D0685">
        <w:instrText>injury:definition</w:instrText>
      </w:r>
      <w:r w:rsidR="005E71F1">
        <w:instrText xml:space="preserve">" </w:instrText>
      </w:r>
      <w:r w:rsidR="005E71F1">
        <w:rPr>
          <w:rFonts w:eastAsiaTheme="minorHAnsi"/>
        </w:rPr>
        <w:fldChar w:fldCharType="end"/>
      </w:r>
    </w:p>
    <w:p w14:paraId="043AD668" w14:textId="77777777" w:rsidR="006A50D4" w:rsidRDefault="00C66972" w:rsidP="00735699">
      <w:pPr>
        <w:rPr>
          <w:rFonts w:eastAsiaTheme="minorHAnsi"/>
        </w:rPr>
      </w:pPr>
      <w:r w:rsidRPr="00C66972">
        <w:rPr>
          <w:rFonts w:eastAsiaTheme="minorHAnsi"/>
        </w:rPr>
        <w:t>Can include a full range of physical injuries, illnesses, psychological conditions and diseases, as well as aggravations, exacerbations and recurrences of existing injuries.</w:t>
      </w:r>
    </w:p>
    <w:p w14:paraId="654E16E9" w14:textId="39516FCD" w:rsidR="00C66972" w:rsidRPr="00C66972" w:rsidRDefault="00C66972" w:rsidP="00735699">
      <w:pPr>
        <w:pStyle w:val="Heading4"/>
        <w:rPr>
          <w:rFonts w:eastAsiaTheme="minorHAnsi"/>
        </w:rPr>
      </w:pPr>
      <w:r w:rsidRPr="00C66972">
        <w:rPr>
          <w:rFonts w:eastAsiaTheme="minorHAnsi"/>
        </w:rPr>
        <w:t>Injury (DVA)</w:t>
      </w:r>
    </w:p>
    <w:p w14:paraId="7FD1D151" w14:textId="77777777" w:rsidR="00C66972" w:rsidRPr="00C66972" w:rsidRDefault="00C66972" w:rsidP="00735699">
      <w:pPr>
        <w:rPr>
          <w:rFonts w:eastAsiaTheme="minorHAnsi"/>
        </w:rPr>
      </w:pPr>
      <w:r w:rsidRPr="00C66972">
        <w:rPr>
          <w:rFonts w:eastAsiaTheme="minorHAnsi"/>
        </w:rPr>
        <w:t>Means any physical or mental injury (including the recurrence of a physical or mental injury) but does not include:</w:t>
      </w:r>
    </w:p>
    <w:p w14:paraId="2B1E4ED3" w14:textId="77777777" w:rsidR="00FB729B" w:rsidRDefault="00C66972" w:rsidP="00F839DB">
      <w:pPr>
        <w:pStyle w:val="ListParagraph"/>
        <w:numPr>
          <w:ilvl w:val="1"/>
          <w:numId w:val="472"/>
        </w:numPr>
        <w:rPr>
          <w:rFonts w:eastAsiaTheme="minorHAnsi"/>
        </w:rPr>
      </w:pPr>
      <w:r w:rsidRPr="00FB729B">
        <w:rPr>
          <w:rFonts w:eastAsiaTheme="minorHAnsi"/>
        </w:rPr>
        <w:t>a disease, or</w:t>
      </w:r>
    </w:p>
    <w:p w14:paraId="5F15B295" w14:textId="46147538" w:rsidR="00C66972" w:rsidRPr="00FB729B" w:rsidRDefault="00C66972" w:rsidP="00F839DB">
      <w:pPr>
        <w:pStyle w:val="ListParagraph"/>
        <w:numPr>
          <w:ilvl w:val="1"/>
          <w:numId w:val="472"/>
        </w:numPr>
        <w:rPr>
          <w:rFonts w:eastAsiaTheme="minorHAnsi"/>
        </w:rPr>
      </w:pPr>
      <w:r w:rsidRPr="00FB729B">
        <w:rPr>
          <w:rFonts w:eastAsiaTheme="minorHAnsi"/>
        </w:rPr>
        <w:t>the aggravation of a physical or mental injury.</w:t>
      </w:r>
    </w:p>
    <w:p w14:paraId="5E70F02B" w14:textId="0B65537E" w:rsidR="00C66972" w:rsidRPr="00C66972" w:rsidRDefault="00C66972" w:rsidP="00735699">
      <w:pPr>
        <w:rPr>
          <w:rFonts w:eastAsiaTheme="minorHAnsi"/>
        </w:rPr>
      </w:pPr>
      <w:r w:rsidRPr="00C66972">
        <w:rPr>
          <w:rFonts w:eastAsiaTheme="minorHAnsi"/>
        </w:rPr>
        <w:t>Instrument of Approval</w:t>
      </w:r>
      <w:r w:rsidR="005E71F1">
        <w:rPr>
          <w:rFonts w:eastAsiaTheme="minorHAnsi"/>
        </w:rPr>
        <w:fldChar w:fldCharType="begin"/>
      </w:r>
      <w:r w:rsidR="005E71F1">
        <w:instrText xml:space="preserve"> XE "</w:instrText>
      </w:r>
      <w:r w:rsidR="005E71F1" w:rsidRPr="001854C8">
        <w:instrText>instrument of approval, defined</w:instrText>
      </w:r>
      <w:r w:rsidR="005E71F1">
        <w:instrText xml:space="preserve">" </w:instrText>
      </w:r>
      <w:r w:rsidR="005E71F1">
        <w:rPr>
          <w:rFonts w:eastAsiaTheme="minorHAnsi"/>
        </w:rPr>
        <w:fldChar w:fldCharType="end"/>
      </w:r>
    </w:p>
    <w:p w14:paraId="11525873" w14:textId="77777777" w:rsidR="006A50D4" w:rsidRDefault="00C66972" w:rsidP="00735699">
      <w:pPr>
        <w:rPr>
          <w:rFonts w:eastAsiaTheme="minorHAnsi"/>
        </w:rPr>
      </w:pPr>
      <w:r w:rsidRPr="00C66972">
        <w:rPr>
          <w:rFonts w:eastAsiaTheme="minorHAnsi"/>
        </w:rPr>
        <w:t>The document issued by the workers’ compensation authority that has approved the workplace rehabilitation provider. This may be called a certificate, agreement or instrument depending on the particular workers’ compensation authority.</w:t>
      </w:r>
    </w:p>
    <w:p w14:paraId="68BFD146" w14:textId="603FF978" w:rsidR="00C66972" w:rsidRPr="00C66972" w:rsidRDefault="00C66972" w:rsidP="00735699">
      <w:pPr>
        <w:pStyle w:val="Heading4"/>
        <w:rPr>
          <w:rFonts w:eastAsiaTheme="minorHAnsi"/>
        </w:rPr>
      </w:pPr>
      <w:r w:rsidRPr="00C66972">
        <w:rPr>
          <w:rFonts w:eastAsiaTheme="minorHAnsi"/>
        </w:rPr>
        <w:t>Levy</w:t>
      </w:r>
      <w:r w:rsidR="00306D40">
        <w:rPr>
          <w:rFonts w:eastAsiaTheme="minorHAnsi"/>
        </w:rPr>
        <w:fldChar w:fldCharType="begin"/>
      </w:r>
      <w:r w:rsidR="00306D40">
        <w:instrText xml:space="preserve"> XE "</w:instrText>
      </w:r>
      <w:r w:rsidR="00306D40" w:rsidRPr="008329D2">
        <w:instrText>levies:definition (NZ) see also premiums</w:instrText>
      </w:r>
      <w:r w:rsidR="00306D40">
        <w:instrText xml:space="preserve">" </w:instrText>
      </w:r>
      <w:r w:rsidR="00306D40">
        <w:rPr>
          <w:rFonts w:eastAsiaTheme="minorHAnsi"/>
        </w:rPr>
        <w:fldChar w:fldCharType="end"/>
      </w:r>
    </w:p>
    <w:p w14:paraId="71A54A94" w14:textId="77777777" w:rsidR="006A50D4" w:rsidRDefault="00C66972" w:rsidP="00735699">
      <w:pPr>
        <w:rPr>
          <w:rFonts w:eastAsiaTheme="minorHAnsi"/>
        </w:rPr>
      </w:pPr>
      <w:r w:rsidRPr="00C66972">
        <w:rPr>
          <w:rFonts w:eastAsiaTheme="minorHAnsi"/>
        </w:rPr>
        <w:t>The term used in New Zealand for Premiums. See Premiums.</w:t>
      </w:r>
    </w:p>
    <w:p w14:paraId="3949245A" w14:textId="1F17DDD1" w:rsidR="00C66972" w:rsidRPr="00C66972" w:rsidRDefault="00C66972" w:rsidP="00735699">
      <w:pPr>
        <w:pStyle w:val="Heading4"/>
        <w:rPr>
          <w:rFonts w:eastAsiaTheme="minorHAnsi"/>
        </w:rPr>
      </w:pPr>
      <w:r w:rsidRPr="00C66972">
        <w:rPr>
          <w:rFonts w:eastAsiaTheme="minorHAnsi"/>
        </w:rPr>
        <w:t>Medical and hospital costs</w:t>
      </w:r>
      <w:r w:rsidR="003B3E5B">
        <w:rPr>
          <w:rFonts w:eastAsiaTheme="minorHAnsi"/>
        </w:rPr>
        <w:t xml:space="preserve"> </w:t>
      </w:r>
      <w:r w:rsidR="003B3E5B">
        <w:rPr>
          <w:rFonts w:eastAsiaTheme="minorHAnsi"/>
        </w:rPr>
        <w:fldChar w:fldCharType="begin"/>
      </w:r>
      <w:r w:rsidR="003B3E5B">
        <w:instrText xml:space="preserve"> XE "</w:instrText>
      </w:r>
      <w:r w:rsidR="003B3E5B" w:rsidRPr="0070088B">
        <w:instrText>medical, hospital and other costs:defined</w:instrText>
      </w:r>
      <w:r w:rsidR="003B3E5B">
        <w:instrText xml:space="preserve">" </w:instrText>
      </w:r>
      <w:r w:rsidR="003B3E5B">
        <w:rPr>
          <w:rFonts w:eastAsiaTheme="minorHAnsi"/>
        </w:rPr>
        <w:fldChar w:fldCharType="end"/>
      </w:r>
    </w:p>
    <w:p w14:paraId="25530E66" w14:textId="77777777" w:rsidR="006A50D4" w:rsidRDefault="00C66972" w:rsidP="00735699">
      <w:pPr>
        <w:rPr>
          <w:rFonts w:eastAsiaTheme="minorHAnsi"/>
        </w:rPr>
      </w:pPr>
      <w:r w:rsidRPr="00C66972">
        <w:rPr>
          <w:rFonts w:eastAsiaTheme="minorHAnsi"/>
        </w:rPr>
        <w:t>Reimbursement of medical and other treatment costs related to workplace injury which can include hospital stays, ambulance transport, pharmaceuticals, aids and appliances, and household help.</w:t>
      </w:r>
    </w:p>
    <w:p w14:paraId="3358115B" w14:textId="6D2AFDAF" w:rsidR="00C66972" w:rsidRPr="00C66972" w:rsidRDefault="00C66972" w:rsidP="00735699">
      <w:pPr>
        <w:pStyle w:val="Heading4"/>
        <w:rPr>
          <w:rFonts w:eastAsiaTheme="minorHAnsi"/>
        </w:rPr>
      </w:pPr>
      <w:r w:rsidRPr="00C66972">
        <w:rPr>
          <w:rFonts w:eastAsiaTheme="minorHAnsi"/>
        </w:rPr>
        <w:t>Multi-jurisdiction employer</w:t>
      </w:r>
      <w:r w:rsidR="0025506E">
        <w:rPr>
          <w:rFonts w:eastAsiaTheme="minorHAnsi"/>
        </w:rPr>
        <w:fldChar w:fldCharType="begin"/>
      </w:r>
      <w:r w:rsidR="0025506E">
        <w:instrText xml:space="preserve"> XE "</w:instrText>
      </w:r>
      <w:r w:rsidR="0025506E" w:rsidRPr="00DC6FB6">
        <w:instrText>employers:multi-jurisdictional</w:instrText>
      </w:r>
      <w:r w:rsidR="0025506E">
        <w:instrText xml:space="preserve">" </w:instrText>
      </w:r>
      <w:r w:rsidR="0025506E">
        <w:rPr>
          <w:rFonts w:eastAsiaTheme="minorHAnsi"/>
        </w:rPr>
        <w:fldChar w:fldCharType="end"/>
      </w:r>
      <w:r w:rsidR="003B3E5B">
        <w:rPr>
          <w:rFonts w:eastAsiaTheme="minorHAnsi"/>
        </w:rPr>
        <w:fldChar w:fldCharType="begin"/>
      </w:r>
      <w:r w:rsidR="003B3E5B">
        <w:instrText xml:space="preserve"> XE "</w:instrText>
      </w:r>
      <w:r w:rsidR="003B3E5B" w:rsidRPr="001854C8">
        <w:instrText>multi-jurisdictional employer, defined</w:instrText>
      </w:r>
      <w:r w:rsidR="003B3E5B">
        <w:instrText xml:space="preserve">" </w:instrText>
      </w:r>
      <w:r w:rsidR="003B3E5B">
        <w:rPr>
          <w:rFonts w:eastAsiaTheme="minorHAnsi"/>
        </w:rPr>
        <w:fldChar w:fldCharType="end"/>
      </w:r>
    </w:p>
    <w:p w14:paraId="2F7323BB" w14:textId="77777777" w:rsidR="006A50D4" w:rsidRDefault="00C66972" w:rsidP="00735699">
      <w:pPr>
        <w:rPr>
          <w:rFonts w:eastAsiaTheme="minorHAnsi"/>
        </w:rPr>
      </w:pPr>
      <w:r w:rsidRPr="00C66972">
        <w:rPr>
          <w:rFonts w:eastAsiaTheme="minorHAnsi"/>
        </w:rPr>
        <w:t>An employer who conducts their business in more than one jurisdiction and has separate workers’ compensation cover in each jurisdiction.</w:t>
      </w:r>
    </w:p>
    <w:p w14:paraId="63A9C817" w14:textId="7E5C2137" w:rsidR="00C66972" w:rsidRPr="00C66972" w:rsidRDefault="00C66972" w:rsidP="00735699">
      <w:pPr>
        <w:pStyle w:val="Heading4"/>
        <w:rPr>
          <w:rFonts w:eastAsiaTheme="minorHAnsi"/>
        </w:rPr>
      </w:pPr>
      <w:r w:rsidRPr="00C66972">
        <w:rPr>
          <w:rFonts w:eastAsiaTheme="minorHAnsi"/>
        </w:rPr>
        <w:t>Net assets</w:t>
      </w:r>
      <w:r w:rsidR="001A701E">
        <w:rPr>
          <w:rFonts w:eastAsiaTheme="minorHAnsi"/>
        </w:rPr>
        <w:fldChar w:fldCharType="begin"/>
      </w:r>
      <w:r w:rsidR="001A701E">
        <w:instrText xml:space="preserve"> XE "</w:instrText>
      </w:r>
      <w:r w:rsidR="001A701E" w:rsidRPr="00722164">
        <w:instrText>schemes funding arrangements:net assets</w:instrText>
      </w:r>
      <w:r w:rsidR="001A701E">
        <w:instrText xml:space="preserve">" </w:instrText>
      </w:r>
      <w:r w:rsidR="001A701E">
        <w:rPr>
          <w:rFonts w:eastAsiaTheme="minorHAnsi"/>
        </w:rPr>
        <w:fldChar w:fldCharType="end"/>
      </w:r>
    </w:p>
    <w:p w14:paraId="68F93FFF" w14:textId="77777777" w:rsidR="006A50D4" w:rsidRDefault="00C66972" w:rsidP="00735699">
      <w:pPr>
        <w:rPr>
          <w:rFonts w:eastAsiaTheme="minorHAnsi"/>
        </w:rPr>
      </w:pPr>
      <w:r w:rsidRPr="00C66972">
        <w:rPr>
          <w:rFonts w:eastAsiaTheme="minorHAnsi"/>
        </w:rPr>
        <w:t>For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the balance sheet claim provisions and for centrally funded schemes, the total current and non-current assets minus the outstanding claims recoveries at the end of each financial year.</w:t>
      </w:r>
    </w:p>
    <w:p w14:paraId="2EF5948A" w14:textId="6F2E9439" w:rsidR="00C66972" w:rsidRPr="00C66972" w:rsidRDefault="00C66972" w:rsidP="00735699">
      <w:pPr>
        <w:pStyle w:val="Heading4"/>
        <w:rPr>
          <w:rFonts w:eastAsiaTheme="minorHAnsi"/>
        </w:rPr>
      </w:pPr>
      <w:r w:rsidRPr="00C66972">
        <w:rPr>
          <w:rFonts w:eastAsiaTheme="minorHAnsi"/>
        </w:rPr>
        <w:t>Net funding ratio</w:t>
      </w:r>
      <w:r w:rsidR="001A701E">
        <w:rPr>
          <w:rFonts w:eastAsiaTheme="minorHAnsi"/>
        </w:rPr>
        <w:fldChar w:fldCharType="begin"/>
      </w:r>
      <w:r w:rsidR="001A701E">
        <w:instrText xml:space="preserve"> XE "</w:instrText>
      </w:r>
      <w:r w:rsidR="001A701E" w:rsidRPr="00227025">
        <w:instrText>schemes funding arrangements:net fund</w:instrText>
      </w:r>
      <w:r w:rsidR="001A701E">
        <w:instrText>ing</w:instrText>
      </w:r>
      <w:r w:rsidR="001A701E" w:rsidRPr="00227025">
        <w:instrText xml:space="preserve"> ratio</w:instrText>
      </w:r>
      <w:r w:rsidR="001A701E">
        <w:instrText xml:space="preserve">" </w:instrText>
      </w:r>
      <w:r w:rsidR="001A701E">
        <w:rPr>
          <w:rFonts w:eastAsiaTheme="minorHAnsi"/>
        </w:rPr>
        <w:fldChar w:fldCharType="end"/>
      </w:r>
    </w:p>
    <w:p w14:paraId="04F03694" w14:textId="77777777" w:rsidR="006A50D4" w:rsidRDefault="00C66972" w:rsidP="00735699">
      <w:pPr>
        <w:rPr>
          <w:rFonts w:eastAsiaTheme="minorHAnsi"/>
        </w:rPr>
      </w:pPr>
      <w:r w:rsidRPr="00C66972">
        <w:rPr>
          <w:rFonts w:eastAsiaTheme="minorHAnsi"/>
        </w:rPr>
        <w:t>Ratio of assets to outstanding liabilities.</w:t>
      </w:r>
    </w:p>
    <w:p w14:paraId="0973E1A6" w14:textId="3D190C0D" w:rsidR="00C66972" w:rsidRPr="00C66972" w:rsidRDefault="00C66972" w:rsidP="00735699">
      <w:pPr>
        <w:pStyle w:val="Heading4"/>
        <w:rPr>
          <w:rFonts w:eastAsiaTheme="minorHAnsi"/>
        </w:rPr>
      </w:pPr>
      <w:r w:rsidRPr="00C66972">
        <w:rPr>
          <w:rFonts w:eastAsiaTheme="minorHAnsi"/>
        </w:rPr>
        <w:t>Net liabilities</w:t>
      </w:r>
      <w:r w:rsidR="001A701E">
        <w:rPr>
          <w:rFonts w:eastAsiaTheme="minorHAnsi"/>
        </w:rPr>
        <w:fldChar w:fldCharType="begin"/>
      </w:r>
      <w:r w:rsidR="001A701E">
        <w:instrText xml:space="preserve"> XE "</w:instrText>
      </w:r>
      <w:r w:rsidR="001A701E" w:rsidRPr="007250AC">
        <w:instrText>schemes funding arrangements:net liabilities</w:instrText>
      </w:r>
      <w:r w:rsidR="001A701E">
        <w:instrText xml:space="preserve">" </w:instrText>
      </w:r>
      <w:r w:rsidR="001A701E">
        <w:rPr>
          <w:rFonts w:eastAsiaTheme="minorHAnsi"/>
        </w:rPr>
        <w:fldChar w:fldCharType="end"/>
      </w:r>
    </w:p>
    <w:p w14:paraId="25360F7E" w14:textId="77777777" w:rsidR="006A50D4" w:rsidRDefault="00C66972" w:rsidP="00735699">
      <w:pPr>
        <w:rPr>
          <w:rFonts w:eastAsiaTheme="minorHAnsi"/>
        </w:rPr>
      </w:pPr>
      <w:r w:rsidRPr="00C66972">
        <w:rPr>
          <w:rFonts w:eastAsiaTheme="minorHAnsi"/>
        </w:rPr>
        <w:t>Centrally funded schemes are the total current and non-current liabilities minus the outstanding claim recoveries at the end of each financial year, and for privately under written schemes, the central estimate of outstanding claims for the scheme at the end of each financial year.</w:t>
      </w:r>
    </w:p>
    <w:p w14:paraId="6622FEA6" w14:textId="0E6A75CE" w:rsidR="00C66972" w:rsidRPr="00C66972" w:rsidRDefault="00C66972" w:rsidP="00735699">
      <w:pPr>
        <w:pStyle w:val="Heading4"/>
        <w:rPr>
          <w:rFonts w:eastAsiaTheme="minorHAnsi"/>
        </w:rPr>
      </w:pPr>
      <w:r w:rsidRPr="00C66972">
        <w:rPr>
          <w:rFonts w:eastAsiaTheme="minorHAnsi"/>
        </w:rPr>
        <w:t>No current work capacity</w:t>
      </w:r>
      <w:r w:rsidR="009F5AD7">
        <w:rPr>
          <w:rFonts w:eastAsiaTheme="minorHAnsi"/>
        </w:rPr>
        <w:fldChar w:fldCharType="begin"/>
      </w:r>
      <w:r w:rsidR="009F5AD7">
        <w:instrText xml:space="preserve"> XE "</w:instrText>
      </w:r>
      <w:r w:rsidR="009F5AD7" w:rsidRPr="00C01E41">
        <w:instrText>current work capacity:no current work capacity, defined</w:instrText>
      </w:r>
      <w:r w:rsidR="009F5AD7">
        <w:instrText xml:space="preserve">" </w:instrText>
      </w:r>
      <w:r w:rsidR="009F5AD7">
        <w:rPr>
          <w:rFonts w:eastAsiaTheme="minorHAnsi"/>
        </w:rPr>
        <w:fldChar w:fldCharType="end"/>
      </w:r>
      <w:r w:rsidR="00A95C3B">
        <w:rPr>
          <w:rFonts w:eastAsiaTheme="minorHAnsi"/>
        </w:rPr>
        <w:t xml:space="preserve"> </w:t>
      </w:r>
      <w:r w:rsidR="00A95C3B">
        <w:rPr>
          <w:rFonts w:eastAsiaTheme="minorHAnsi"/>
        </w:rPr>
        <w:fldChar w:fldCharType="begin"/>
      </w:r>
      <w:r w:rsidR="00A95C3B">
        <w:instrText xml:space="preserve"> XE "</w:instrText>
      </w:r>
      <w:r w:rsidR="00A95C3B" w:rsidRPr="001854C8">
        <w:instrText>no current work capacity, defined</w:instrText>
      </w:r>
      <w:r w:rsidR="00A95C3B">
        <w:instrText xml:space="preserve">" </w:instrText>
      </w:r>
      <w:r w:rsidR="00A95C3B">
        <w:rPr>
          <w:rFonts w:eastAsiaTheme="minorHAnsi"/>
        </w:rPr>
        <w:fldChar w:fldCharType="end"/>
      </w:r>
    </w:p>
    <w:p w14:paraId="7A34AE42" w14:textId="77777777" w:rsidR="006A50D4" w:rsidRDefault="00C66972" w:rsidP="00735699">
      <w:pPr>
        <w:rPr>
          <w:rFonts w:eastAsiaTheme="minorHAnsi"/>
        </w:rPr>
      </w:pPr>
      <w:r w:rsidRPr="00C66972">
        <w:rPr>
          <w:rFonts w:eastAsiaTheme="minorHAnsi"/>
        </w:rPr>
        <w:t>The injured worker is unable to perform any duties in the workplace (compared with totally incapacitated).</w:t>
      </w:r>
    </w:p>
    <w:p w14:paraId="20221AE7" w14:textId="25FD1C55" w:rsidR="00C66972" w:rsidRPr="00C66972" w:rsidRDefault="00C66972" w:rsidP="00735699">
      <w:pPr>
        <w:pStyle w:val="Heading4"/>
        <w:rPr>
          <w:rFonts w:eastAsiaTheme="minorHAnsi"/>
        </w:rPr>
      </w:pPr>
      <w:r w:rsidRPr="00C66972">
        <w:rPr>
          <w:rFonts w:eastAsiaTheme="minorHAnsi"/>
        </w:rPr>
        <w:t>Non-economic loss</w:t>
      </w:r>
      <w:r w:rsidR="00A95C3B">
        <w:rPr>
          <w:rFonts w:eastAsiaTheme="minorHAnsi"/>
        </w:rPr>
        <w:fldChar w:fldCharType="begin"/>
      </w:r>
      <w:r w:rsidR="00A95C3B">
        <w:instrText xml:space="preserve"> XE "</w:instrText>
      </w:r>
      <w:r w:rsidR="00A95C3B" w:rsidRPr="001854C8">
        <w:instrText>non-economic loss, defined</w:instrText>
      </w:r>
      <w:r w:rsidR="00A95C3B">
        <w:instrText xml:space="preserve">" </w:instrText>
      </w:r>
      <w:r w:rsidR="00A95C3B">
        <w:rPr>
          <w:rFonts w:eastAsiaTheme="minorHAnsi"/>
        </w:rPr>
        <w:fldChar w:fldCharType="end"/>
      </w:r>
    </w:p>
    <w:p w14:paraId="03345B45" w14:textId="77777777" w:rsidR="006A50D4" w:rsidRDefault="00C66972" w:rsidP="00735699">
      <w:pPr>
        <w:rPr>
          <w:rFonts w:eastAsiaTheme="minorHAnsi"/>
        </w:rPr>
      </w:pPr>
      <w:r w:rsidRPr="00C66972">
        <w:rPr>
          <w:rFonts w:eastAsiaTheme="minorHAnsi"/>
        </w:rPr>
        <w:t>Measure of the impact of an injury on a worker’s lifestyle, such as pain and suffering, disfigurement and reduced expectation of life, normally associated with permanent impairment.</w:t>
      </w:r>
    </w:p>
    <w:p w14:paraId="4F398C23" w14:textId="520E21D2" w:rsidR="00C66972" w:rsidRPr="00C66972" w:rsidRDefault="00C66972" w:rsidP="00735699">
      <w:pPr>
        <w:pStyle w:val="Heading4"/>
        <w:rPr>
          <w:rFonts w:eastAsiaTheme="minorHAnsi"/>
        </w:rPr>
      </w:pPr>
      <w:r w:rsidRPr="00C66972">
        <w:rPr>
          <w:rFonts w:eastAsiaTheme="minorHAnsi"/>
        </w:rPr>
        <w:t>Partially incapacitated</w:t>
      </w:r>
      <w:r w:rsidR="009915C5">
        <w:rPr>
          <w:rFonts w:eastAsiaTheme="minorHAnsi"/>
        </w:rPr>
        <w:t xml:space="preserve"> </w:t>
      </w:r>
      <w:r w:rsidR="009915C5">
        <w:rPr>
          <w:rFonts w:eastAsiaTheme="minorHAnsi"/>
        </w:rPr>
        <w:fldChar w:fldCharType="begin"/>
      </w:r>
      <w:r w:rsidR="009915C5">
        <w:instrText xml:space="preserve"> XE "</w:instrText>
      </w:r>
      <w:r w:rsidR="009915C5" w:rsidRPr="00692588">
        <w:instrText>incapacity:partially incapacitated, defined</w:instrText>
      </w:r>
      <w:r w:rsidR="009915C5">
        <w:instrText xml:space="preserve">" </w:instrText>
      </w:r>
      <w:r w:rsidR="009915C5">
        <w:rPr>
          <w:rFonts w:eastAsiaTheme="minorHAnsi"/>
        </w:rPr>
        <w:fldChar w:fldCharType="end"/>
      </w:r>
      <w:r w:rsidR="00A95C3B">
        <w:rPr>
          <w:rFonts w:eastAsiaTheme="minorHAnsi"/>
        </w:rPr>
        <w:fldChar w:fldCharType="begin"/>
      </w:r>
      <w:r w:rsidR="00A95C3B">
        <w:instrText xml:space="preserve"> XE "</w:instrText>
      </w:r>
      <w:r w:rsidR="00A95C3B" w:rsidRPr="001854C8">
        <w:instrText>partially incapacitated, defined</w:instrText>
      </w:r>
      <w:r w:rsidR="00A95C3B">
        <w:instrText xml:space="preserve">" </w:instrText>
      </w:r>
      <w:r w:rsidR="00A95C3B">
        <w:rPr>
          <w:rFonts w:eastAsiaTheme="minorHAnsi"/>
        </w:rPr>
        <w:fldChar w:fldCharType="end"/>
      </w:r>
    </w:p>
    <w:p w14:paraId="6F800D12" w14:textId="77777777" w:rsidR="006A50D4" w:rsidRDefault="00C66972" w:rsidP="00735699">
      <w:pPr>
        <w:rPr>
          <w:rFonts w:eastAsiaTheme="minorHAnsi"/>
        </w:rPr>
      </w:pPr>
      <w:r w:rsidRPr="00C66972">
        <w:rPr>
          <w:rFonts w:eastAsiaTheme="minorHAnsi"/>
        </w:rPr>
        <w:t>The worker is able to return to work and perform suitable duties, even if it is not the same job they were previously doing before the injury (compared with current work capacity).</w:t>
      </w:r>
    </w:p>
    <w:p w14:paraId="4873135B" w14:textId="0A9E21B7" w:rsidR="00C66972" w:rsidRPr="00C66972" w:rsidRDefault="00C66972" w:rsidP="00735699">
      <w:pPr>
        <w:pStyle w:val="Heading4"/>
        <w:rPr>
          <w:rFonts w:eastAsiaTheme="minorHAnsi"/>
        </w:rPr>
      </w:pPr>
      <w:r w:rsidRPr="00C66972">
        <w:rPr>
          <w:rFonts w:eastAsiaTheme="minorHAnsi"/>
        </w:rPr>
        <w:t>Permanent impairment payments</w:t>
      </w:r>
      <w:r w:rsidR="00854F23">
        <w:rPr>
          <w:rFonts w:eastAsiaTheme="minorHAnsi"/>
        </w:rPr>
        <w:fldChar w:fldCharType="begin"/>
      </w:r>
      <w:r w:rsidR="00854F23">
        <w:instrText xml:space="preserve"> XE "</w:instrText>
      </w:r>
      <w:r w:rsidR="00854F23" w:rsidRPr="007009BD">
        <w:instrText>benefits:permanent impairment payments</w:instrText>
      </w:r>
      <w:r w:rsidR="00854F23">
        <w:instrText xml:space="preserve">" </w:instrText>
      </w:r>
      <w:r w:rsidR="00854F23">
        <w:rPr>
          <w:rFonts w:eastAsiaTheme="minorHAnsi"/>
        </w:rPr>
        <w:fldChar w:fldCharType="end"/>
      </w:r>
      <w:r w:rsidR="00A95C3B">
        <w:rPr>
          <w:rFonts w:eastAsiaTheme="minorHAnsi"/>
        </w:rPr>
        <w:fldChar w:fldCharType="begin"/>
      </w:r>
      <w:r w:rsidR="00A95C3B">
        <w:instrText xml:space="preserve"> XE "</w:instrText>
      </w:r>
      <w:r w:rsidR="00A95C3B" w:rsidRPr="00D76587">
        <w:instrText>payments:permanent impairment payments</w:instrText>
      </w:r>
      <w:r w:rsidR="00A95C3B">
        <w:instrText xml:space="preserve">" </w:instrText>
      </w:r>
      <w:r w:rsidR="00A95C3B">
        <w:rPr>
          <w:rFonts w:eastAsiaTheme="minorHAnsi"/>
        </w:rPr>
        <w:fldChar w:fldCharType="end"/>
      </w:r>
      <w:r w:rsidR="00A95C3B">
        <w:rPr>
          <w:rFonts w:eastAsiaTheme="minorHAnsi"/>
        </w:rPr>
        <w:fldChar w:fldCharType="begin"/>
      </w:r>
      <w:r w:rsidR="00A95C3B">
        <w:instrText xml:space="preserve"> XE "</w:instrText>
      </w:r>
      <w:r w:rsidR="00A95C3B" w:rsidRPr="009D27A1">
        <w:instrText>permanent impairment:definitions</w:instrText>
      </w:r>
      <w:r w:rsidR="00A95C3B">
        <w:instrText xml:space="preserve">" </w:instrText>
      </w:r>
      <w:r w:rsidR="00A95C3B">
        <w:rPr>
          <w:rFonts w:eastAsiaTheme="minorHAnsi"/>
        </w:rPr>
        <w:fldChar w:fldCharType="end"/>
      </w:r>
    </w:p>
    <w:p w14:paraId="0BB995C8" w14:textId="77777777" w:rsidR="006A50D4" w:rsidRDefault="00C66972" w:rsidP="00735699">
      <w:pPr>
        <w:rPr>
          <w:rFonts w:eastAsiaTheme="minorHAnsi"/>
        </w:rPr>
      </w:pPr>
      <w:r w:rsidRPr="00C66972">
        <w:rPr>
          <w:rFonts w:eastAsiaTheme="minorHAnsi"/>
        </w:rPr>
        <w:t>Payment compensating for the permanent loss of a body part or function, for which there is little expectation of recovery or improvement.</w:t>
      </w:r>
    </w:p>
    <w:p w14:paraId="67AB33CF" w14:textId="1E826717" w:rsidR="00C66972" w:rsidRPr="00C66972" w:rsidRDefault="00C66972" w:rsidP="00735699">
      <w:pPr>
        <w:pStyle w:val="Heading4"/>
        <w:rPr>
          <w:rFonts w:eastAsiaTheme="minorHAnsi"/>
        </w:rPr>
      </w:pPr>
      <w:r w:rsidRPr="00C66972">
        <w:rPr>
          <w:rFonts w:eastAsiaTheme="minorHAnsi"/>
        </w:rPr>
        <w:lastRenderedPageBreak/>
        <w:t>Premiums</w:t>
      </w:r>
      <w:r w:rsidR="005E71F1">
        <w:rPr>
          <w:rFonts w:eastAsiaTheme="minorHAnsi"/>
        </w:rPr>
        <w:fldChar w:fldCharType="begin"/>
      </w:r>
      <w:r w:rsidR="005E71F1">
        <w:instrText xml:space="preserve"> XE "</w:instrText>
      </w:r>
      <w:r w:rsidR="005E71F1" w:rsidRPr="00B032A1">
        <w:instrText>industry premium rates:premiums defined</w:instrText>
      </w:r>
      <w:r w:rsidR="005E71F1">
        <w:instrText xml:space="preserve">" </w:instrText>
      </w:r>
      <w:r w:rsidR="005E71F1">
        <w:rPr>
          <w:rFonts w:eastAsiaTheme="minorHAnsi"/>
        </w:rPr>
        <w:fldChar w:fldCharType="end"/>
      </w:r>
      <w:r w:rsidR="003D18DA">
        <w:rPr>
          <w:rFonts w:eastAsiaTheme="minorHAnsi"/>
        </w:rPr>
        <w:fldChar w:fldCharType="begin"/>
      </w:r>
      <w:r w:rsidR="003D18DA">
        <w:instrText xml:space="preserve"> XE "</w:instrText>
      </w:r>
      <w:r w:rsidR="003D18DA" w:rsidRPr="001F1ABB">
        <w:instrText>premiums:defined</w:instrText>
      </w:r>
      <w:r w:rsidR="003D18DA">
        <w:instrText xml:space="preserve">" </w:instrText>
      </w:r>
      <w:r w:rsidR="003D18DA">
        <w:rPr>
          <w:rFonts w:eastAsiaTheme="minorHAnsi"/>
        </w:rPr>
        <w:fldChar w:fldCharType="end"/>
      </w:r>
    </w:p>
    <w:p w14:paraId="3086D1E6" w14:textId="77777777" w:rsidR="006A50D4" w:rsidRDefault="00C66972" w:rsidP="00735699">
      <w:pPr>
        <w:rPr>
          <w:rFonts w:eastAsiaTheme="minorHAnsi"/>
        </w:rPr>
      </w:pPr>
      <w:r w:rsidRPr="00C66972">
        <w:rPr>
          <w:rFonts w:eastAsiaTheme="minorHAnsi"/>
        </w:rPr>
        <w:t>A percentage of the amount that an employer expects to pay to their workers in a given period paid as premium to a workers’ compensation insurer.</w:t>
      </w:r>
    </w:p>
    <w:p w14:paraId="580D098F" w14:textId="54BB5799" w:rsidR="00C66972" w:rsidRPr="00C66972" w:rsidRDefault="00297717" w:rsidP="00735699">
      <w:pPr>
        <w:pStyle w:val="Heading4"/>
        <w:rPr>
          <w:rFonts w:eastAsiaTheme="minorHAnsi"/>
        </w:rPr>
      </w:pPr>
      <w:r>
        <w:rPr>
          <w:rFonts w:eastAsiaTheme="minorHAnsi"/>
        </w:rPr>
        <w:br w:type="column"/>
      </w:r>
      <w:r w:rsidR="00C66972" w:rsidRPr="00C66972">
        <w:rPr>
          <w:rFonts w:eastAsiaTheme="minorHAnsi"/>
        </w:rPr>
        <w:lastRenderedPageBreak/>
        <w:t>Privately underwritten schemes</w:t>
      </w:r>
    </w:p>
    <w:p w14:paraId="6AA056AE" w14:textId="77777777" w:rsidR="00297717" w:rsidRDefault="00C66972" w:rsidP="00297717">
      <w:pPr>
        <w:rPr>
          <w:rFonts w:eastAsiaTheme="minorHAnsi"/>
        </w:rPr>
      </w:pPr>
      <w:r w:rsidRPr="00C66972">
        <w:rPr>
          <w:rFonts w:eastAsiaTheme="minorHAnsi"/>
        </w:rPr>
        <w:t>Schemes of workers’ compensation where the underwriting function is performed by the private insurers, with varying degrees of government regulation.</w:t>
      </w:r>
    </w:p>
    <w:p w14:paraId="09656C64" w14:textId="242A3F95" w:rsidR="00C66972" w:rsidRPr="00297717" w:rsidRDefault="00C66972" w:rsidP="00297717">
      <w:pPr>
        <w:rPr>
          <w:rFonts w:eastAsiaTheme="minorHAnsi"/>
        </w:rPr>
      </w:pPr>
      <w:r w:rsidRPr="00297717">
        <w:rPr>
          <w:rFonts w:eastAsiaTheme="minorHAnsi"/>
          <w:b/>
        </w:rPr>
        <w:t>Prudential requirements</w:t>
      </w:r>
      <w:r w:rsidR="003D18DA" w:rsidRPr="00297717">
        <w:rPr>
          <w:rFonts w:eastAsiaTheme="minorHAnsi"/>
        </w:rPr>
        <w:fldChar w:fldCharType="begin"/>
      </w:r>
      <w:r w:rsidR="003D18DA" w:rsidRPr="00297717">
        <w:rPr>
          <w:rFonts w:eastAsiaTheme="minorHAnsi"/>
        </w:rPr>
        <w:instrText xml:space="preserve"> XE "prudential requirements (self-insurers)" </w:instrText>
      </w:r>
      <w:r w:rsidR="003D18DA" w:rsidRPr="00297717">
        <w:rPr>
          <w:rFonts w:eastAsiaTheme="minorHAnsi"/>
        </w:rPr>
        <w:fldChar w:fldCharType="end"/>
      </w:r>
      <w:r w:rsidR="000B568E" w:rsidRPr="00297717">
        <w:rPr>
          <w:rFonts w:eastAsiaTheme="minorHAnsi"/>
        </w:rPr>
        <w:fldChar w:fldCharType="begin"/>
      </w:r>
      <w:r w:rsidR="000B568E" w:rsidRPr="00297717">
        <w:rPr>
          <w:rFonts w:eastAsiaTheme="minorHAnsi"/>
        </w:rPr>
        <w:instrText xml:space="preserve"> XE "self-insurer arrangements standards and:prudential requirements" </w:instrText>
      </w:r>
      <w:r w:rsidR="000B568E" w:rsidRPr="00297717">
        <w:rPr>
          <w:rFonts w:eastAsiaTheme="minorHAnsi"/>
        </w:rPr>
        <w:fldChar w:fldCharType="end"/>
      </w:r>
    </w:p>
    <w:p w14:paraId="4CA1C73D" w14:textId="77777777" w:rsidR="006A50D4" w:rsidRDefault="00C66972" w:rsidP="00735699">
      <w:pPr>
        <w:rPr>
          <w:rFonts w:eastAsiaTheme="minorHAnsi"/>
        </w:rPr>
      </w:pPr>
      <w:r w:rsidRPr="00C66972">
        <w:rPr>
          <w:rFonts w:eastAsiaTheme="minorHAnsi"/>
        </w:rPr>
        <w:t>Ensures that private insurers can operate on a fully funded basis to meet all expected compensation payments and the costs of managing claims.</w:t>
      </w:r>
    </w:p>
    <w:p w14:paraId="64D1782C" w14:textId="2EA6B606" w:rsidR="00C66972" w:rsidRPr="00C66972" w:rsidRDefault="00C66972" w:rsidP="00E1145E">
      <w:pPr>
        <w:pStyle w:val="Heading4"/>
        <w:rPr>
          <w:rFonts w:eastAsiaTheme="minorHAnsi"/>
        </w:rPr>
      </w:pPr>
      <w:r w:rsidRPr="00C66972">
        <w:rPr>
          <w:rFonts w:eastAsiaTheme="minorHAnsi"/>
        </w:rPr>
        <w:t>Psychological injury</w:t>
      </w:r>
    </w:p>
    <w:p w14:paraId="52FC10F1" w14:textId="77777777" w:rsidR="00C66972" w:rsidRPr="00C66972" w:rsidRDefault="00C66972" w:rsidP="00C66972">
      <w:pPr>
        <w:spacing w:after="200" w:line="276" w:lineRule="auto"/>
        <w:rPr>
          <w:rFonts w:eastAsiaTheme="minorHAnsi"/>
        </w:rPr>
      </w:pPr>
      <w:r w:rsidRPr="00C66972">
        <w:rPr>
          <w:rFonts w:eastAsiaTheme="minorHAnsi"/>
        </w:rPr>
        <w:t>A range of conditions relating to the functioning of people’s minds.</w:t>
      </w:r>
    </w:p>
    <w:p w14:paraId="2B22C90A" w14:textId="71683066" w:rsidR="00C66972" w:rsidRPr="00C66972" w:rsidRDefault="00C66972" w:rsidP="00735699">
      <w:pPr>
        <w:pStyle w:val="Heading4"/>
        <w:rPr>
          <w:rFonts w:eastAsiaTheme="minorHAnsi"/>
        </w:rPr>
      </w:pPr>
      <w:r w:rsidRPr="00C66972">
        <w:rPr>
          <w:rFonts w:eastAsiaTheme="minorHAnsi"/>
        </w:rPr>
        <w:t>Redemption payment</w:t>
      </w:r>
      <w:r w:rsidR="00306D40">
        <w:rPr>
          <w:rFonts w:eastAsiaTheme="minorHAnsi"/>
        </w:rPr>
        <w:t xml:space="preserve"> </w:t>
      </w:r>
      <w:r w:rsidR="00306D40">
        <w:rPr>
          <w:rFonts w:eastAsiaTheme="minorHAnsi"/>
        </w:rPr>
        <w:fldChar w:fldCharType="begin"/>
      </w:r>
      <w:r w:rsidR="00306D40">
        <w:instrText xml:space="preserve"> XE "</w:instrText>
      </w:r>
      <w:r w:rsidR="00306D40" w:rsidRPr="001854C8">
        <w:instrText>lump sum payments</w:instrText>
      </w:r>
      <w:r w:rsidR="00306D40">
        <w:instrText xml:space="preserve">" </w:instrText>
      </w:r>
      <w:r w:rsidR="00306D40">
        <w:rPr>
          <w:rFonts w:eastAsiaTheme="minorHAnsi"/>
        </w:rPr>
        <w:fldChar w:fldCharType="end"/>
      </w:r>
      <w:r w:rsidR="00A95C3B">
        <w:rPr>
          <w:rFonts w:eastAsiaTheme="minorHAnsi"/>
        </w:rPr>
        <w:fldChar w:fldCharType="begin"/>
      </w:r>
      <w:r w:rsidR="00A95C3B">
        <w:instrText xml:space="preserve"> XE "</w:instrText>
      </w:r>
      <w:r w:rsidR="00A95C3B" w:rsidRPr="00273518">
        <w:instrText>payments:redemption payments, defined</w:instrText>
      </w:r>
      <w:r w:rsidR="00A95C3B">
        <w:instrText xml:space="preserve">" </w:instrText>
      </w:r>
      <w:r w:rsidR="00A95C3B">
        <w:rPr>
          <w:rFonts w:eastAsiaTheme="minorHAnsi"/>
        </w:rPr>
        <w:fldChar w:fldCharType="end"/>
      </w:r>
      <w:r w:rsidR="00E566A9">
        <w:rPr>
          <w:rFonts w:eastAsiaTheme="minorHAnsi"/>
        </w:rPr>
        <w:fldChar w:fldCharType="begin"/>
      </w:r>
      <w:r w:rsidR="00E566A9">
        <w:instrText xml:space="preserve"> XE "</w:instrText>
      </w:r>
      <w:r w:rsidR="00E566A9" w:rsidRPr="001854C8">
        <w:instrText>redemption payment, defined see also settlement of future incapacity benefits</w:instrText>
      </w:r>
      <w:r w:rsidR="00E566A9">
        <w:instrText xml:space="preserve">" </w:instrText>
      </w:r>
      <w:r w:rsidR="00E566A9">
        <w:rPr>
          <w:rFonts w:eastAsiaTheme="minorHAnsi"/>
        </w:rPr>
        <w:fldChar w:fldCharType="end"/>
      </w:r>
      <w:r w:rsidR="007E7520">
        <w:rPr>
          <w:rFonts w:eastAsiaTheme="minorHAnsi"/>
        </w:rPr>
        <w:fldChar w:fldCharType="begin"/>
      </w:r>
      <w:r w:rsidR="007E7520">
        <w:instrText xml:space="preserve"> XE "</w:instrText>
      </w:r>
      <w:r w:rsidR="007E7520" w:rsidRPr="001854C8">
        <w:instrText>settlement of future incapacity benefits</w:instrText>
      </w:r>
      <w:r w:rsidR="007E7520">
        <w:instrText xml:space="preserve">" </w:instrText>
      </w:r>
      <w:r w:rsidR="007E7520">
        <w:rPr>
          <w:rFonts w:eastAsiaTheme="minorHAnsi"/>
        </w:rPr>
        <w:fldChar w:fldCharType="end"/>
      </w:r>
    </w:p>
    <w:p w14:paraId="4CF2D10A" w14:textId="77777777" w:rsidR="006A50D4" w:rsidRDefault="00C66972" w:rsidP="00735699">
      <w:pPr>
        <w:rPr>
          <w:rFonts w:eastAsiaTheme="minorHAnsi"/>
        </w:rPr>
      </w:pPr>
      <w:r w:rsidRPr="00C66972">
        <w:rPr>
          <w:rFonts w:eastAsiaTheme="minorHAnsi"/>
        </w:rPr>
        <w:t>Depending on the particular legislation of a jurisdiction and under certain circumstances, an ongoing liability for specified workers’ compensation entitlements can be redeemed to a lump sum payment. Following payment of the lump sum, liability for those entitlements ceases. See also commutation payment and settlement payment.</w:t>
      </w:r>
    </w:p>
    <w:p w14:paraId="130107FD" w14:textId="75655ECD" w:rsidR="00C66972" w:rsidRPr="00C66972" w:rsidRDefault="00C66972" w:rsidP="00735699">
      <w:pPr>
        <w:pStyle w:val="Heading4"/>
        <w:rPr>
          <w:rFonts w:eastAsiaTheme="minorHAnsi"/>
        </w:rPr>
      </w:pPr>
      <w:r w:rsidRPr="00C66972">
        <w:rPr>
          <w:rFonts w:eastAsiaTheme="minorHAnsi"/>
        </w:rPr>
        <w:t>Rehabilitation</w:t>
      </w:r>
      <w:r w:rsidR="00E566A9">
        <w:rPr>
          <w:rFonts w:eastAsiaTheme="minorHAnsi"/>
        </w:rPr>
        <w:fldChar w:fldCharType="begin"/>
      </w:r>
      <w:r w:rsidR="00E566A9">
        <w:instrText xml:space="preserve"> XE "</w:instrText>
      </w:r>
      <w:r w:rsidR="00E566A9" w:rsidRPr="00333804">
        <w:instrText>rehabilitation:defined</w:instrText>
      </w:r>
      <w:r w:rsidR="00E566A9">
        <w:instrText xml:space="preserve">" </w:instrText>
      </w:r>
      <w:r w:rsidR="00E566A9">
        <w:rPr>
          <w:rFonts w:eastAsiaTheme="minorHAnsi"/>
        </w:rPr>
        <w:fldChar w:fldCharType="end"/>
      </w:r>
      <w:r w:rsidR="00232E14">
        <w:rPr>
          <w:rFonts w:eastAsiaTheme="minorHAnsi"/>
        </w:rPr>
        <w:fldChar w:fldCharType="begin"/>
      </w:r>
      <w:r w:rsidR="00232E14">
        <w:instrText xml:space="preserve"> XE "</w:instrText>
      </w:r>
      <w:r w:rsidR="00232E14" w:rsidRPr="00CA4ADC">
        <w:instrText>return to work:rehabilitation, definitions</w:instrText>
      </w:r>
      <w:r w:rsidR="00232E14">
        <w:instrText xml:space="preserve">" </w:instrText>
      </w:r>
      <w:r w:rsidR="00232E14">
        <w:rPr>
          <w:rFonts w:eastAsiaTheme="minorHAnsi"/>
        </w:rPr>
        <w:fldChar w:fldCharType="end"/>
      </w:r>
    </w:p>
    <w:p w14:paraId="2CF1B37A" w14:textId="77777777" w:rsidR="006A50D4" w:rsidRDefault="00C66972" w:rsidP="00735699">
      <w:pPr>
        <w:rPr>
          <w:rFonts w:eastAsiaTheme="minorHAnsi"/>
        </w:rPr>
      </w:pPr>
      <w:r w:rsidRPr="00C66972">
        <w:rPr>
          <w:rFonts w:eastAsiaTheme="minorHAnsi"/>
        </w:rPr>
        <w:t>The process of assisting workers to recover from work related injury and returning to work which can include medical treatment, retraining, the use of aids and appliances, alterations to workplace and home, and gradual return to full time or part time duties. See return to work.</w:t>
      </w:r>
    </w:p>
    <w:p w14:paraId="6647B553" w14:textId="1A4A3C22" w:rsidR="00C66972" w:rsidRPr="00C66972" w:rsidRDefault="00C66972" w:rsidP="00735699">
      <w:pPr>
        <w:pStyle w:val="Heading4"/>
        <w:rPr>
          <w:rFonts w:eastAsiaTheme="minorHAnsi"/>
        </w:rPr>
      </w:pPr>
      <w:r w:rsidRPr="00C66972">
        <w:rPr>
          <w:rFonts w:eastAsiaTheme="minorHAnsi"/>
        </w:rPr>
        <w:t>Remuneration</w:t>
      </w:r>
      <w:r w:rsidR="00E566A9">
        <w:rPr>
          <w:rFonts w:eastAsiaTheme="minorHAnsi"/>
        </w:rPr>
        <w:fldChar w:fldCharType="begin"/>
      </w:r>
      <w:r w:rsidR="00E566A9">
        <w:instrText xml:space="preserve"> XE "</w:instrText>
      </w:r>
      <w:r w:rsidR="00E566A9" w:rsidRPr="00D93BC5">
        <w:instrText>remuneration:definition</w:instrText>
      </w:r>
      <w:r w:rsidR="00E566A9">
        <w:instrText xml:space="preserve">" </w:instrText>
      </w:r>
      <w:r w:rsidR="00E566A9">
        <w:rPr>
          <w:rFonts w:eastAsiaTheme="minorHAnsi"/>
        </w:rPr>
        <w:fldChar w:fldCharType="end"/>
      </w:r>
    </w:p>
    <w:p w14:paraId="5B46E7FB" w14:textId="77777777" w:rsidR="006A50D4" w:rsidRDefault="00C66972" w:rsidP="00735699">
      <w:pPr>
        <w:rPr>
          <w:rFonts w:eastAsiaTheme="minorHAnsi"/>
        </w:rPr>
      </w:pPr>
      <w:r w:rsidRPr="00C66972">
        <w:rPr>
          <w:rFonts w:eastAsiaTheme="minorHAnsi"/>
        </w:rPr>
        <w:t>The total amount of gross earnings of workers of an employer. See also premiums.</w:t>
      </w:r>
    </w:p>
    <w:p w14:paraId="0242949E" w14:textId="4F7F21F7" w:rsidR="00C66972" w:rsidRPr="00C66972" w:rsidRDefault="00C66972" w:rsidP="00735699">
      <w:pPr>
        <w:pStyle w:val="Heading4"/>
        <w:rPr>
          <w:rFonts w:eastAsiaTheme="minorHAnsi"/>
        </w:rPr>
      </w:pPr>
      <w:r w:rsidRPr="00C66972">
        <w:rPr>
          <w:rFonts w:eastAsiaTheme="minorHAnsi"/>
        </w:rPr>
        <w:t>Return to Work</w:t>
      </w:r>
      <w:r w:rsidR="00232E14">
        <w:rPr>
          <w:rFonts w:eastAsiaTheme="minorHAnsi"/>
        </w:rPr>
        <w:fldChar w:fldCharType="begin"/>
      </w:r>
      <w:r w:rsidR="00232E14">
        <w:instrText xml:space="preserve"> XE "</w:instrText>
      </w:r>
      <w:r w:rsidR="00232E14" w:rsidRPr="00352C62">
        <w:instrText>return to work:defined</w:instrText>
      </w:r>
      <w:r w:rsidR="00232E14">
        <w:instrText xml:space="preserve">" </w:instrText>
      </w:r>
      <w:r w:rsidR="00232E14">
        <w:rPr>
          <w:rFonts w:eastAsiaTheme="minorHAnsi"/>
        </w:rPr>
        <w:fldChar w:fldCharType="end"/>
      </w:r>
    </w:p>
    <w:p w14:paraId="57FDFDEF" w14:textId="77777777" w:rsidR="006A50D4" w:rsidRDefault="00C66972" w:rsidP="00735699">
      <w:pPr>
        <w:rPr>
          <w:rFonts w:eastAsiaTheme="minorHAnsi"/>
        </w:rPr>
      </w:pPr>
      <w:r w:rsidRPr="00C66972">
        <w:rPr>
          <w:rFonts w:eastAsiaTheme="minorHAnsi"/>
        </w:rPr>
        <w:t>The process of employers or other people or organisations helping injured workers to get back to work or stay at work while they recover from an injury. See also rehabilitation.</w:t>
      </w:r>
    </w:p>
    <w:p w14:paraId="354C8CC7" w14:textId="62284498" w:rsidR="00C66972" w:rsidRPr="00C66972" w:rsidRDefault="00E43A0F" w:rsidP="00735699">
      <w:pPr>
        <w:pStyle w:val="Heading4"/>
        <w:rPr>
          <w:rFonts w:eastAsiaTheme="minorHAnsi"/>
        </w:rPr>
      </w:pPr>
      <w:r>
        <w:rPr>
          <w:rFonts w:eastAsiaTheme="minorHAnsi"/>
        </w:rPr>
        <w:t>Self-insurer</w:t>
      </w:r>
      <w:r w:rsidR="000B568E">
        <w:rPr>
          <w:rFonts w:eastAsiaTheme="minorHAnsi"/>
        </w:rPr>
        <w:fldChar w:fldCharType="begin"/>
      </w:r>
      <w:r w:rsidR="000B568E">
        <w:instrText xml:space="preserve"> XE "</w:instrText>
      </w:r>
      <w:r w:rsidR="000B568E" w:rsidRPr="00592390">
        <w:instrText>self-insurer arrangements:self-insurer defined</w:instrText>
      </w:r>
      <w:r w:rsidR="000B568E">
        <w:instrText xml:space="preserve">" </w:instrText>
      </w:r>
      <w:r w:rsidR="000B568E">
        <w:rPr>
          <w:rFonts w:eastAsiaTheme="minorHAnsi"/>
        </w:rPr>
        <w:fldChar w:fldCharType="end"/>
      </w:r>
    </w:p>
    <w:p w14:paraId="14D414F2" w14:textId="77777777" w:rsidR="006A50D4" w:rsidRDefault="00C66972" w:rsidP="00735699">
      <w:pPr>
        <w:rPr>
          <w:rFonts w:eastAsiaTheme="minorHAnsi"/>
        </w:rPr>
      </w:pPr>
      <w:r w:rsidRPr="00C66972">
        <w:rPr>
          <w:rFonts w:eastAsiaTheme="minorHAnsi"/>
        </w:rPr>
        <w:t>Employers who manage their workers’ compensation arrangements themselves without having to pay annual premiums.</w:t>
      </w:r>
    </w:p>
    <w:p w14:paraId="1D76CA36" w14:textId="4603A4BF" w:rsidR="00C66972" w:rsidRPr="00C66972" w:rsidRDefault="00C66972" w:rsidP="00735699">
      <w:pPr>
        <w:pStyle w:val="Heading4"/>
        <w:rPr>
          <w:rFonts w:eastAsiaTheme="minorHAnsi"/>
        </w:rPr>
      </w:pPr>
      <w:r w:rsidRPr="00C66972">
        <w:rPr>
          <w:rFonts w:eastAsiaTheme="minorHAnsi"/>
        </w:rPr>
        <w:t>Serious claims</w:t>
      </w:r>
      <w:r w:rsidR="000B568E">
        <w:rPr>
          <w:rFonts w:eastAsiaTheme="minorHAnsi"/>
        </w:rPr>
        <w:fldChar w:fldCharType="begin"/>
      </w:r>
      <w:r w:rsidR="000B568E">
        <w:instrText xml:space="preserve"> XE "</w:instrText>
      </w:r>
      <w:r w:rsidR="000B568E" w:rsidRPr="001854C8">
        <w:instrText>serious claims, defined</w:instrText>
      </w:r>
      <w:r w:rsidR="000B568E">
        <w:instrText xml:space="preserve">" </w:instrText>
      </w:r>
      <w:r w:rsidR="000B568E">
        <w:rPr>
          <w:rFonts w:eastAsiaTheme="minorHAnsi"/>
        </w:rPr>
        <w:fldChar w:fldCharType="end"/>
      </w:r>
    </w:p>
    <w:p w14:paraId="1CB15C27" w14:textId="77777777" w:rsidR="006A50D4" w:rsidRDefault="00C66972" w:rsidP="00735699">
      <w:pPr>
        <w:rPr>
          <w:rFonts w:eastAsiaTheme="minorHAnsi"/>
        </w:rPr>
      </w:pPr>
      <w:r w:rsidRPr="00C66972">
        <w:rPr>
          <w:rFonts w:eastAsiaTheme="minorHAnsi"/>
        </w:rPr>
        <w:t>Includes all accepted workers’ compensation claims involving temporary incapacity of one or more weeks plus all accepted claims for fatality or permanent incapacity.</w:t>
      </w:r>
    </w:p>
    <w:p w14:paraId="1396DE5A" w14:textId="27344E6C" w:rsidR="00C66972" w:rsidRPr="00C66972" w:rsidRDefault="00C66972" w:rsidP="00735699">
      <w:pPr>
        <w:pStyle w:val="Heading4"/>
        <w:rPr>
          <w:rFonts w:eastAsiaTheme="minorHAnsi"/>
        </w:rPr>
      </w:pPr>
      <w:r w:rsidRPr="00C66972">
        <w:rPr>
          <w:rFonts w:eastAsiaTheme="minorHAnsi"/>
        </w:rPr>
        <w:t>Settlement payment</w:t>
      </w:r>
      <w:r w:rsidR="00A95C3B">
        <w:rPr>
          <w:rFonts w:eastAsiaTheme="minorHAnsi"/>
        </w:rPr>
        <w:fldChar w:fldCharType="begin"/>
      </w:r>
      <w:r w:rsidR="00A95C3B">
        <w:instrText xml:space="preserve"> XE "</w:instrText>
      </w:r>
      <w:r w:rsidR="00A95C3B" w:rsidRPr="001F7B55">
        <w:instrText>payments:settlement payment, defined</w:instrText>
      </w:r>
      <w:r w:rsidR="00A95C3B">
        <w:instrText xml:space="preserve">" </w:instrText>
      </w:r>
      <w:r w:rsidR="00A95C3B">
        <w:rPr>
          <w:rFonts w:eastAsiaTheme="minorHAnsi"/>
        </w:rPr>
        <w:fldChar w:fldCharType="end"/>
      </w:r>
      <w:r w:rsidR="000B568E">
        <w:rPr>
          <w:rFonts w:eastAsiaTheme="minorHAnsi"/>
        </w:rPr>
        <w:fldChar w:fldCharType="begin"/>
      </w:r>
      <w:r w:rsidR="000B568E">
        <w:instrText xml:space="preserve"> XE "</w:instrText>
      </w:r>
      <w:r w:rsidR="000B568E" w:rsidRPr="001854C8">
        <w:instrText>settlement payment, defined</w:instrText>
      </w:r>
      <w:r w:rsidR="000B568E">
        <w:instrText xml:space="preserve">" </w:instrText>
      </w:r>
      <w:r w:rsidR="000B568E">
        <w:rPr>
          <w:rFonts w:eastAsiaTheme="minorHAnsi"/>
        </w:rPr>
        <w:fldChar w:fldCharType="end"/>
      </w:r>
    </w:p>
    <w:p w14:paraId="51BC180E" w14:textId="77777777" w:rsidR="006A50D4" w:rsidRDefault="00C66972" w:rsidP="00735699">
      <w:pPr>
        <w:rPr>
          <w:rFonts w:eastAsiaTheme="minorHAnsi"/>
        </w:rPr>
      </w:pPr>
      <w:r w:rsidRPr="00C66972">
        <w:rPr>
          <w:rFonts w:eastAsiaTheme="minorHAnsi"/>
        </w:rPr>
        <w:t>Depending on the particular legislation of a jurisdiction, and under certain circumstances, an ongoing liability for workers’ compensation entitlements can be settled via a lump sum payment. Following payment of the lump sum liability for those entitlements ceases. See also commutation payment and redemption payment.</w:t>
      </w:r>
    </w:p>
    <w:p w14:paraId="3AEBF4D9" w14:textId="5B29129E" w:rsidR="00C66972" w:rsidRPr="00C66972" w:rsidRDefault="00C66972" w:rsidP="00735699">
      <w:pPr>
        <w:pStyle w:val="Heading4"/>
        <w:rPr>
          <w:rFonts w:eastAsiaTheme="minorHAnsi"/>
        </w:rPr>
      </w:pPr>
      <w:r w:rsidRPr="00C66972">
        <w:rPr>
          <w:rFonts w:eastAsiaTheme="minorHAnsi"/>
        </w:rPr>
        <w:t>State of connection</w:t>
      </w:r>
      <w:r w:rsidR="00CA3CD4">
        <w:rPr>
          <w:rFonts w:eastAsiaTheme="minorHAnsi"/>
        </w:rPr>
        <w:fldChar w:fldCharType="begin"/>
      </w:r>
      <w:r w:rsidR="00CA3CD4">
        <w:instrText xml:space="preserve"> XE "</w:instrText>
      </w:r>
      <w:r w:rsidR="00CA3CD4" w:rsidRPr="001854C8">
        <w:instrText>state of connection, defined</w:instrText>
      </w:r>
      <w:r w:rsidR="00CA3CD4">
        <w:instrText xml:space="preserve">" </w:instrText>
      </w:r>
      <w:r w:rsidR="00CA3CD4">
        <w:rPr>
          <w:rFonts w:eastAsiaTheme="minorHAnsi"/>
        </w:rPr>
        <w:fldChar w:fldCharType="end"/>
      </w:r>
    </w:p>
    <w:p w14:paraId="1BC2C2D2" w14:textId="77777777" w:rsidR="006A50D4" w:rsidRDefault="00C66972" w:rsidP="00735699">
      <w:pPr>
        <w:rPr>
          <w:rFonts w:eastAsiaTheme="minorHAnsi"/>
        </w:rPr>
      </w:pPr>
      <w:r w:rsidRPr="00C66972">
        <w:rPr>
          <w:rFonts w:eastAsiaTheme="minorHAnsi"/>
        </w:rPr>
        <w:t>The jurisdiction decided through applying the test in s5.8, when an injured worker has been working in more than one state or territory.</w:t>
      </w:r>
    </w:p>
    <w:p w14:paraId="38ABD5C7" w14:textId="37F3B710" w:rsidR="00C66972" w:rsidRPr="00C66972" w:rsidRDefault="00C66972" w:rsidP="00735699">
      <w:pPr>
        <w:pStyle w:val="Heading4"/>
        <w:rPr>
          <w:rFonts w:eastAsiaTheme="minorHAnsi"/>
        </w:rPr>
      </w:pPr>
      <w:r w:rsidRPr="00C66972">
        <w:rPr>
          <w:rFonts w:eastAsiaTheme="minorHAnsi"/>
        </w:rPr>
        <w:t>Suitable Duties</w:t>
      </w:r>
      <w:r w:rsidR="00C7036A">
        <w:rPr>
          <w:rFonts w:eastAsiaTheme="minorHAnsi"/>
        </w:rPr>
        <w:t xml:space="preserve"> </w:t>
      </w:r>
      <w:r w:rsidR="00C7036A">
        <w:rPr>
          <w:rFonts w:eastAsiaTheme="minorHAnsi"/>
        </w:rPr>
        <w:fldChar w:fldCharType="begin"/>
      </w:r>
      <w:r w:rsidR="00C7036A">
        <w:instrText xml:space="preserve"> XE "</w:instrText>
      </w:r>
      <w:r w:rsidR="00C7036A" w:rsidRPr="001854C8">
        <w:instrText>duties on return to work (suitable duties)</w:instrText>
      </w:r>
      <w:r w:rsidR="00C7036A">
        <w:instrText xml:space="preserve">" </w:instrText>
      </w:r>
      <w:r w:rsidR="00C7036A">
        <w:rPr>
          <w:rFonts w:eastAsiaTheme="minorHAnsi"/>
        </w:rPr>
        <w:fldChar w:fldCharType="end"/>
      </w:r>
      <w:r w:rsidR="00232E14">
        <w:rPr>
          <w:rFonts w:eastAsiaTheme="minorHAnsi"/>
        </w:rPr>
        <w:fldChar w:fldCharType="begin"/>
      </w:r>
      <w:r w:rsidR="00232E14">
        <w:instrText xml:space="preserve"> XE "</w:instrText>
      </w:r>
      <w:r w:rsidR="00232E14" w:rsidRPr="004D4F1D">
        <w:instrText>return to work:suitable duties</w:instrText>
      </w:r>
      <w:r w:rsidR="00232E14">
        <w:instrText xml:space="preserve">" </w:instrText>
      </w:r>
      <w:r w:rsidR="00232E14">
        <w:rPr>
          <w:rFonts w:eastAsiaTheme="minorHAnsi"/>
        </w:rPr>
        <w:fldChar w:fldCharType="end"/>
      </w:r>
      <w:r w:rsidR="00CA3CD4">
        <w:rPr>
          <w:rFonts w:eastAsiaTheme="minorHAnsi"/>
        </w:rPr>
        <w:fldChar w:fldCharType="begin"/>
      </w:r>
      <w:r w:rsidR="00CA3CD4">
        <w:instrText xml:space="preserve"> XE "</w:instrText>
      </w:r>
      <w:r w:rsidR="00CA3CD4" w:rsidRPr="001854C8">
        <w:instrText>suitable duties (return to work)</w:instrText>
      </w:r>
      <w:r w:rsidR="00CA3CD4">
        <w:instrText xml:space="preserve">" </w:instrText>
      </w:r>
      <w:r w:rsidR="00CA3CD4">
        <w:rPr>
          <w:rFonts w:eastAsiaTheme="minorHAnsi"/>
        </w:rPr>
        <w:fldChar w:fldCharType="end"/>
      </w:r>
    </w:p>
    <w:p w14:paraId="5F1A7B13" w14:textId="77777777" w:rsidR="006A50D4" w:rsidRDefault="00C66972" w:rsidP="00735699">
      <w:pPr>
        <w:rPr>
          <w:rFonts w:eastAsiaTheme="minorHAnsi"/>
        </w:rPr>
      </w:pPr>
      <w:r w:rsidRPr="00C66972">
        <w:rPr>
          <w:rFonts w:eastAsiaTheme="minorHAnsi"/>
        </w:rPr>
        <w:t>Duties for which an injured worker is suited in relation to their capacities at a particular point of time in the workplace rehabilitation service continuum.</w:t>
      </w:r>
    </w:p>
    <w:p w14:paraId="153FE349" w14:textId="19B8BC3F" w:rsidR="00C66972" w:rsidRPr="00C66972" w:rsidRDefault="00C66972" w:rsidP="00735699">
      <w:pPr>
        <w:pStyle w:val="Heading4"/>
        <w:rPr>
          <w:rFonts w:eastAsiaTheme="minorHAnsi"/>
        </w:rPr>
      </w:pPr>
      <w:r w:rsidRPr="00C66972">
        <w:rPr>
          <w:rFonts w:eastAsiaTheme="minorHAnsi"/>
        </w:rPr>
        <w:t>Suitable Work/Employment</w:t>
      </w:r>
      <w:r w:rsidR="00CA3CD4">
        <w:rPr>
          <w:rFonts w:eastAsiaTheme="minorHAnsi"/>
        </w:rPr>
        <w:fldChar w:fldCharType="begin"/>
      </w:r>
      <w:r w:rsidR="00CA3CD4">
        <w:instrText xml:space="preserve"> XE "</w:instrText>
      </w:r>
      <w:r w:rsidR="00CA3CD4" w:rsidRPr="001854C8">
        <w:instrText>suitable work/employment</w:instrText>
      </w:r>
      <w:r w:rsidR="00CA3CD4">
        <w:instrText xml:space="preserve">" </w:instrText>
      </w:r>
      <w:r w:rsidR="00CA3CD4">
        <w:rPr>
          <w:rFonts w:eastAsiaTheme="minorHAnsi"/>
        </w:rPr>
        <w:fldChar w:fldCharType="end"/>
      </w:r>
    </w:p>
    <w:p w14:paraId="46439542" w14:textId="77777777" w:rsidR="006A50D4" w:rsidRDefault="00C66972" w:rsidP="00735699">
      <w:pPr>
        <w:rPr>
          <w:rFonts w:eastAsiaTheme="minorHAnsi"/>
        </w:rPr>
      </w:pPr>
      <w:r w:rsidRPr="00C66972">
        <w:rPr>
          <w:rFonts w:eastAsiaTheme="minorHAnsi"/>
        </w:rPr>
        <w:t>Employment in work for which the worker is suited in relation to the worker’s capacities, age, education, skills, work experience and place of residence.</w:t>
      </w:r>
    </w:p>
    <w:p w14:paraId="2CE66CDC" w14:textId="15F07EF7" w:rsidR="00C66972" w:rsidRPr="00C66972" w:rsidRDefault="00C66972" w:rsidP="00735699">
      <w:pPr>
        <w:pStyle w:val="Heading4"/>
        <w:rPr>
          <w:rFonts w:eastAsiaTheme="minorHAnsi"/>
        </w:rPr>
      </w:pPr>
      <w:r w:rsidRPr="00C66972">
        <w:rPr>
          <w:rFonts w:eastAsiaTheme="minorHAnsi"/>
        </w:rPr>
        <w:lastRenderedPageBreak/>
        <w:t>Threshold test</w:t>
      </w:r>
      <w:r w:rsidR="00BF3F46">
        <w:rPr>
          <w:rFonts w:eastAsiaTheme="minorHAnsi"/>
        </w:rPr>
        <w:fldChar w:fldCharType="begin"/>
      </w:r>
      <w:r w:rsidR="00BF3F46">
        <w:instrText xml:space="preserve"> XE "</w:instrText>
      </w:r>
      <w:r w:rsidR="00BF3F46" w:rsidRPr="00A01FDD">
        <w:rPr>
          <w:rFonts w:eastAsiaTheme="minorHAnsi"/>
        </w:rPr>
        <w:instrText>Threshold test, defined</w:instrText>
      </w:r>
      <w:r w:rsidR="00BF3F46">
        <w:instrText xml:space="preserve">" </w:instrText>
      </w:r>
      <w:r w:rsidR="00BF3F46">
        <w:rPr>
          <w:rFonts w:eastAsiaTheme="minorHAnsi"/>
        </w:rPr>
        <w:fldChar w:fldCharType="end"/>
      </w:r>
    </w:p>
    <w:p w14:paraId="0E17C365" w14:textId="77777777" w:rsidR="006A50D4" w:rsidRDefault="00C66972" w:rsidP="00735699">
      <w:pPr>
        <w:rPr>
          <w:rFonts w:eastAsiaTheme="minorHAnsi"/>
        </w:rPr>
      </w:pPr>
      <w:r w:rsidRPr="00C66972">
        <w:rPr>
          <w:rFonts w:eastAsiaTheme="minorHAnsi"/>
        </w:rPr>
        <w:t>A level of impairment an injured worker must reach.</w:t>
      </w:r>
    </w:p>
    <w:p w14:paraId="396D8FAB" w14:textId="03D5FFF7" w:rsidR="00C66972" w:rsidRPr="00C66972" w:rsidRDefault="00297717" w:rsidP="00735699">
      <w:pPr>
        <w:pStyle w:val="Heading4"/>
        <w:rPr>
          <w:rFonts w:eastAsiaTheme="minorHAnsi"/>
        </w:rPr>
      </w:pPr>
      <w:r>
        <w:rPr>
          <w:rFonts w:eastAsiaTheme="minorHAnsi"/>
        </w:rPr>
        <w:br w:type="column"/>
      </w:r>
      <w:r w:rsidR="00C66972" w:rsidRPr="00C66972">
        <w:rPr>
          <w:rFonts w:eastAsiaTheme="minorHAnsi"/>
        </w:rPr>
        <w:lastRenderedPageBreak/>
        <w:t>Totally incapacitated</w:t>
      </w:r>
      <w:r w:rsidR="00BF3F46">
        <w:rPr>
          <w:rFonts w:eastAsiaTheme="minorHAnsi"/>
        </w:rPr>
        <w:fldChar w:fldCharType="begin"/>
      </w:r>
      <w:r w:rsidR="00BF3F46">
        <w:instrText xml:space="preserve"> XE "</w:instrText>
      </w:r>
      <w:r w:rsidR="00BF3F46" w:rsidRPr="006E5435">
        <w:rPr>
          <w:rFonts w:eastAsiaTheme="minorHAnsi"/>
        </w:rPr>
        <w:instrText>Totally incapacitated, defined</w:instrText>
      </w:r>
      <w:r w:rsidR="00BF3F46">
        <w:instrText xml:space="preserve">" </w:instrText>
      </w:r>
      <w:r w:rsidR="00BF3F46">
        <w:rPr>
          <w:rFonts w:eastAsiaTheme="minorHAnsi"/>
        </w:rPr>
        <w:fldChar w:fldCharType="end"/>
      </w:r>
      <w:r w:rsidR="009915C5">
        <w:rPr>
          <w:rFonts w:eastAsiaTheme="minorHAnsi"/>
        </w:rPr>
        <w:fldChar w:fldCharType="begin"/>
      </w:r>
      <w:r w:rsidR="009915C5">
        <w:instrText xml:space="preserve"> XE "</w:instrText>
      </w:r>
      <w:r w:rsidR="009915C5" w:rsidRPr="0040459D">
        <w:instrText>incapacity:totally incapacitated, defined</w:instrText>
      </w:r>
      <w:r w:rsidR="009915C5">
        <w:instrText xml:space="preserve">" </w:instrText>
      </w:r>
      <w:r w:rsidR="009915C5">
        <w:rPr>
          <w:rFonts w:eastAsiaTheme="minorHAnsi"/>
        </w:rPr>
        <w:fldChar w:fldCharType="end"/>
      </w:r>
    </w:p>
    <w:p w14:paraId="2D9BE76B" w14:textId="77777777" w:rsidR="006A50D4" w:rsidRDefault="00C66972" w:rsidP="00735699">
      <w:pPr>
        <w:rPr>
          <w:rFonts w:eastAsiaTheme="minorHAnsi"/>
        </w:rPr>
      </w:pPr>
      <w:r w:rsidRPr="00C66972">
        <w:rPr>
          <w:rFonts w:eastAsiaTheme="minorHAnsi"/>
        </w:rPr>
        <w:t>The injured worker is unable to perform any duties in the workplace (compared with no current work capacity).</w:t>
      </w:r>
    </w:p>
    <w:p w14:paraId="59386559" w14:textId="43C9491F" w:rsidR="00C66972" w:rsidRPr="00C66972" w:rsidRDefault="00C66972" w:rsidP="00297717">
      <w:pPr>
        <w:pStyle w:val="Heading4"/>
        <w:ind w:left="0" w:firstLine="0"/>
        <w:rPr>
          <w:rFonts w:eastAsiaTheme="minorHAnsi"/>
        </w:rPr>
      </w:pPr>
      <w:r w:rsidRPr="00C66972">
        <w:rPr>
          <w:rFonts w:eastAsiaTheme="minorHAnsi"/>
        </w:rPr>
        <w:t>Types of damages</w:t>
      </w:r>
      <w:r w:rsidR="009F5AD7">
        <w:rPr>
          <w:rFonts w:eastAsiaTheme="minorHAnsi"/>
        </w:rPr>
        <w:fldChar w:fldCharType="begin"/>
      </w:r>
      <w:r w:rsidR="009F5AD7">
        <w:instrText xml:space="preserve"> XE "</w:instrText>
      </w:r>
      <w:r w:rsidR="009F5AD7" w:rsidRPr="009C57D8">
        <w:instrText>damages, types of (defined)</w:instrText>
      </w:r>
      <w:r w:rsidR="009F5AD7">
        <w:instrText xml:space="preserve">" </w:instrText>
      </w:r>
      <w:r w:rsidR="009F5AD7">
        <w:rPr>
          <w:rFonts w:eastAsiaTheme="minorHAnsi"/>
        </w:rPr>
        <w:fldChar w:fldCharType="end"/>
      </w:r>
    </w:p>
    <w:p w14:paraId="7BB34400" w14:textId="77777777" w:rsidR="006A50D4" w:rsidRDefault="00C66972" w:rsidP="00735699">
      <w:pPr>
        <w:rPr>
          <w:rFonts w:eastAsiaTheme="minorHAnsi"/>
        </w:rPr>
      </w:pPr>
      <w:r w:rsidRPr="00C66972">
        <w:rPr>
          <w:rFonts w:eastAsiaTheme="minorHAnsi"/>
        </w:rPr>
        <w:t>Damages that may be suffered by an injured worker and which can include general damages (compensation for pain and suffering), economic loss (compensation for loss of past earnings or future earning capacity), legal costs and medical and hospital costs.</w:t>
      </w:r>
    </w:p>
    <w:p w14:paraId="63105553" w14:textId="5109B00A" w:rsidR="00C66972" w:rsidRPr="00C66972" w:rsidRDefault="00C66972" w:rsidP="00735699">
      <w:pPr>
        <w:pStyle w:val="Heading4"/>
        <w:rPr>
          <w:rFonts w:eastAsiaTheme="minorHAnsi"/>
        </w:rPr>
      </w:pPr>
      <w:r w:rsidRPr="00C66972">
        <w:rPr>
          <w:rFonts w:eastAsiaTheme="minorHAnsi"/>
        </w:rPr>
        <w:t>Underwriting</w:t>
      </w:r>
      <w:r w:rsidR="00395824">
        <w:rPr>
          <w:rFonts w:eastAsiaTheme="minorHAnsi"/>
        </w:rPr>
        <w:fldChar w:fldCharType="begin"/>
      </w:r>
      <w:r w:rsidR="00395824">
        <w:instrText xml:space="preserve"> XE "</w:instrText>
      </w:r>
      <w:r w:rsidR="00395824" w:rsidRPr="00A91813">
        <w:rPr>
          <w:rFonts w:eastAsiaTheme="minorHAnsi"/>
        </w:rPr>
        <w:instrText>Underwriting, defined</w:instrText>
      </w:r>
      <w:r w:rsidR="00395824">
        <w:instrText xml:space="preserve">" </w:instrText>
      </w:r>
      <w:r w:rsidR="00395824">
        <w:rPr>
          <w:rFonts w:eastAsiaTheme="minorHAnsi"/>
        </w:rPr>
        <w:fldChar w:fldCharType="end"/>
      </w:r>
    </w:p>
    <w:p w14:paraId="0AD5F071" w14:textId="77777777" w:rsidR="006A50D4" w:rsidRDefault="00C66972" w:rsidP="00735699">
      <w:pPr>
        <w:rPr>
          <w:rFonts w:eastAsiaTheme="minorHAnsi"/>
        </w:rPr>
      </w:pPr>
      <w:r w:rsidRPr="00C66972">
        <w:rPr>
          <w:rFonts w:eastAsiaTheme="minorHAnsi"/>
        </w:rPr>
        <w:t>The process of writing and signing a policy of insurance.</w:t>
      </w:r>
    </w:p>
    <w:p w14:paraId="7935FCA1" w14:textId="646B7E37" w:rsidR="00C66972" w:rsidRPr="00C66972" w:rsidRDefault="00C66972" w:rsidP="008253E7">
      <w:pPr>
        <w:pStyle w:val="Heading4"/>
        <w:rPr>
          <w:rFonts w:eastAsiaTheme="minorHAnsi"/>
        </w:rPr>
      </w:pPr>
      <w:r w:rsidRPr="00C66972">
        <w:rPr>
          <w:rFonts w:eastAsiaTheme="minorHAnsi"/>
        </w:rPr>
        <w:t>Worker</w:t>
      </w:r>
      <w:r w:rsidR="009F5AD7">
        <w:rPr>
          <w:rFonts w:eastAsiaTheme="minorHAnsi"/>
        </w:rPr>
        <w:fldChar w:fldCharType="begin"/>
      </w:r>
      <w:r w:rsidR="009F5AD7">
        <w:instrText xml:space="preserve"> XE "</w:instrText>
      </w:r>
      <w:r w:rsidR="009F5AD7" w:rsidRPr="00D45877">
        <w:instrText>coverage of workers (type of worker):worker (definition)</w:instrText>
      </w:r>
      <w:r w:rsidR="009F5AD7">
        <w:instrText xml:space="preserve">" </w:instrText>
      </w:r>
      <w:r w:rsidR="009F5AD7">
        <w:rPr>
          <w:rFonts w:eastAsiaTheme="minorHAnsi"/>
        </w:rPr>
        <w:fldChar w:fldCharType="end"/>
      </w:r>
      <w:r w:rsidR="00870A7B">
        <w:rPr>
          <w:rFonts w:eastAsiaTheme="minorHAnsi"/>
        </w:rPr>
        <w:fldChar w:fldCharType="begin"/>
      </w:r>
      <w:r w:rsidR="00870A7B">
        <w:instrText xml:space="preserve"> XE "</w:instrText>
      </w:r>
      <w:r w:rsidR="00870A7B" w:rsidRPr="0078557E">
        <w:instrText>work health and safety requirements and auditing:workers definitions</w:instrText>
      </w:r>
      <w:r w:rsidR="00870A7B">
        <w:instrText xml:space="preserve">" </w:instrText>
      </w:r>
      <w:r w:rsidR="00870A7B">
        <w:rPr>
          <w:rFonts w:eastAsiaTheme="minorHAnsi"/>
        </w:rPr>
        <w:fldChar w:fldCharType="end"/>
      </w:r>
    </w:p>
    <w:p w14:paraId="0E4BF971" w14:textId="77777777" w:rsidR="006A50D4" w:rsidRDefault="00C66972" w:rsidP="008253E7">
      <w:pPr>
        <w:rPr>
          <w:rFonts w:eastAsiaTheme="minorHAnsi"/>
        </w:rPr>
      </w:pPr>
      <w:r w:rsidRPr="00C66972">
        <w:rPr>
          <w:rFonts w:eastAsiaTheme="minorHAnsi"/>
        </w:rPr>
        <w:t>A person who is covered for workers’ compensation benefits.</w:t>
      </w:r>
    </w:p>
    <w:p w14:paraId="00FBC048" w14:textId="1C0F3409" w:rsidR="00C66972" w:rsidRPr="00C66972" w:rsidRDefault="00C66972" w:rsidP="008253E7">
      <w:pPr>
        <w:pStyle w:val="Heading4"/>
        <w:rPr>
          <w:rFonts w:eastAsiaTheme="minorHAnsi"/>
        </w:rPr>
      </w:pPr>
      <w:r w:rsidRPr="00C66972">
        <w:rPr>
          <w:rFonts w:eastAsiaTheme="minorHAnsi"/>
        </w:rPr>
        <w:t>Workers’ compensation</w:t>
      </w:r>
    </w:p>
    <w:p w14:paraId="719A9127" w14:textId="77777777" w:rsidR="006A50D4" w:rsidRDefault="00C66972" w:rsidP="008253E7">
      <w:pPr>
        <w:rPr>
          <w:rFonts w:eastAsiaTheme="minorHAnsi"/>
        </w:rPr>
      </w:pPr>
      <w:r w:rsidRPr="00C66972">
        <w:rPr>
          <w:rFonts w:eastAsiaTheme="minorHAnsi"/>
        </w:rPr>
        <w:t>Financial support to workers who are injured in the course of employment and suffer a consequent loss.</w:t>
      </w:r>
    </w:p>
    <w:p w14:paraId="511E279A" w14:textId="13AD120F" w:rsidR="00C66972" w:rsidRPr="00C66972" w:rsidRDefault="00C66972" w:rsidP="008253E7">
      <w:pPr>
        <w:pStyle w:val="Heading4"/>
        <w:rPr>
          <w:rFonts w:eastAsiaTheme="minorHAnsi"/>
        </w:rPr>
      </w:pPr>
      <w:r w:rsidRPr="00C66972">
        <w:rPr>
          <w:rFonts w:eastAsiaTheme="minorHAnsi"/>
        </w:rPr>
        <w:t xml:space="preserve">Workplace Rehabilitation </w:t>
      </w:r>
      <w:r w:rsidR="00E566A9">
        <w:rPr>
          <w:rFonts w:eastAsiaTheme="minorHAnsi"/>
        </w:rPr>
        <w:fldChar w:fldCharType="begin"/>
      </w:r>
      <w:r w:rsidR="00E566A9">
        <w:instrText xml:space="preserve"> XE "</w:instrText>
      </w:r>
      <w:r w:rsidR="00E566A9" w:rsidRPr="00BD0B74">
        <w:instrText>rehabilitation:workplace rehabilitation, defined</w:instrText>
      </w:r>
      <w:r w:rsidR="00E566A9">
        <w:instrText xml:space="preserve">" </w:instrText>
      </w:r>
      <w:r w:rsidR="00E566A9">
        <w:rPr>
          <w:rFonts w:eastAsiaTheme="minorHAnsi"/>
        </w:rPr>
        <w:fldChar w:fldCharType="end"/>
      </w:r>
      <w:r w:rsidR="00232E14">
        <w:rPr>
          <w:rFonts w:eastAsiaTheme="minorHAnsi"/>
        </w:rPr>
        <w:fldChar w:fldCharType="begin"/>
      </w:r>
      <w:r w:rsidR="00232E14">
        <w:instrText xml:space="preserve"> XE "</w:instrText>
      </w:r>
      <w:r w:rsidR="00232E14" w:rsidRPr="00E848BE">
        <w:instrText>return to work:rehabilitation definitions</w:instrText>
      </w:r>
      <w:r w:rsidR="00232E14">
        <w:instrText xml:space="preserve">" </w:instrText>
      </w:r>
      <w:r w:rsidR="00232E14">
        <w:rPr>
          <w:rFonts w:eastAsiaTheme="minorHAnsi"/>
        </w:rPr>
        <w:fldChar w:fldCharType="end"/>
      </w:r>
    </w:p>
    <w:p w14:paraId="3A724A70" w14:textId="77777777" w:rsidR="006A50D4" w:rsidRDefault="00C66972" w:rsidP="008253E7">
      <w:pPr>
        <w:rPr>
          <w:rFonts w:eastAsiaTheme="minorHAnsi"/>
        </w:rPr>
      </w:pPr>
      <w:r w:rsidRPr="00C66972">
        <w:rPr>
          <w:rFonts w:eastAsiaTheme="minorHAnsi"/>
        </w:rPr>
        <w:t>A managed process involving timely intervention with appropriate and adequate services based on assessed need, aimed at maintaining injured or ill employees in, or returning them to, suitable employment.</w:t>
      </w:r>
    </w:p>
    <w:p w14:paraId="5ACC1272" w14:textId="51BF7EDA" w:rsidR="00C66972" w:rsidRPr="00C66972" w:rsidRDefault="00C66972" w:rsidP="008253E7">
      <w:pPr>
        <w:pStyle w:val="Heading4"/>
        <w:rPr>
          <w:rFonts w:eastAsiaTheme="minorHAnsi"/>
        </w:rPr>
      </w:pPr>
      <w:r w:rsidRPr="00C66972">
        <w:rPr>
          <w:rFonts w:eastAsiaTheme="minorHAnsi"/>
        </w:rPr>
        <w:t>Workplace Rehabilitation Consultant</w:t>
      </w:r>
    </w:p>
    <w:p w14:paraId="517ACCD0" w14:textId="77777777" w:rsidR="006A50D4" w:rsidRDefault="00C66972" w:rsidP="008253E7">
      <w:pPr>
        <w:rPr>
          <w:rFonts w:eastAsiaTheme="minorHAnsi"/>
        </w:rPr>
      </w:pPr>
      <w:r w:rsidRPr="00C66972">
        <w:rPr>
          <w:rFonts w:eastAsiaTheme="minorHAnsi"/>
        </w:rPr>
        <w:t>Suitably qualified health/behavioural science professional employed by a workplace rehabilitation provider to provide workplace rehabilitations services.</w:t>
      </w:r>
    </w:p>
    <w:p w14:paraId="4AE5A267" w14:textId="4D9E6AFA" w:rsidR="00C66972" w:rsidRPr="00C66972" w:rsidRDefault="00C66972" w:rsidP="008253E7">
      <w:pPr>
        <w:pStyle w:val="Heading4"/>
        <w:rPr>
          <w:rFonts w:eastAsiaTheme="minorHAnsi"/>
        </w:rPr>
      </w:pPr>
      <w:r w:rsidRPr="00C66972">
        <w:rPr>
          <w:rFonts w:eastAsiaTheme="minorHAnsi"/>
        </w:rPr>
        <w:t>Workplace Rehabilitation Services</w:t>
      </w:r>
    </w:p>
    <w:p w14:paraId="5C6D7518" w14:textId="77777777" w:rsidR="006A50D4" w:rsidRDefault="00C66972" w:rsidP="008253E7">
      <w:pPr>
        <w:rPr>
          <w:rFonts w:eastAsiaTheme="minorHAnsi"/>
        </w:rPr>
      </w:pPr>
      <w:r w:rsidRPr="00C66972">
        <w:rPr>
          <w:rFonts w:eastAsiaTheme="minorHAnsi"/>
        </w:rPr>
        <w:t xml:space="preserve">The types of services referred to in the Workplace Rehabilitation Model that may assist a worker return to work with the same (pre-injury) employer or with a new employer. </w:t>
      </w:r>
    </w:p>
    <w:p w14:paraId="5B3376FE" w14:textId="6F103927" w:rsidR="00C66972" w:rsidRPr="00C66972" w:rsidRDefault="00C66972" w:rsidP="008253E7">
      <w:pPr>
        <w:pStyle w:val="Heading4"/>
        <w:rPr>
          <w:rFonts w:eastAsiaTheme="minorHAnsi"/>
        </w:rPr>
      </w:pPr>
      <w:r w:rsidRPr="00C66972">
        <w:rPr>
          <w:rFonts w:eastAsiaTheme="minorHAnsi"/>
        </w:rPr>
        <w:t>Workplace Rehabilitation Provider</w:t>
      </w:r>
    </w:p>
    <w:p w14:paraId="0CFD8AC3" w14:textId="77777777" w:rsidR="006A50D4" w:rsidRDefault="00C66972" w:rsidP="008253E7">
      <w:pPr>
        <w:rPr>
          <w:rFonts w:eastAsiaTheme="minorHAnsi"/>
        </w:rPr>
      </w:pPr>
      <w:r w:rsidRPr="00C66972">
        <w:rPr>
          <w:rFonts w:eastAsiaTheme="minorHAnsi"/>
        </w:rPr>
        <w:t>An organisation that has been approved by a workers’ compensation authority to provide workplace rehabilitation services to assist injured workers return to work following a workplace injury. Where appropriate within the context of workplace rehabilitation service provision, a reference to a workplace rehabilitation provider also includes a reference to a workplace rehabilitation consultant.</w:t>
      </w:r>
    </w:p>
    <w:p w14:paraId="322A6BAB" w14:textId="6E31F128" w:rsidR="00C66972" w:rsidRPr="00C66972" w:rsidRDefault="00C66972" w:rsidP="008253E7">
      <w:pPr>
        <w:pStyle w:val="Heading4"/>
        <w:rPr>
          <w:rFonts w:eastAsiaTheme="minorHAnsi"/>
        </w:rPr>
      </w:pPr>
      <w:r w:rsidRPr="00C66972">
        <w:rPr>
          <w:rFonts w:eastAsiaTheme="minorHAnsi"/>
        </w:rPr>
        <w:t>Workers’ Compensation Authority/Workers’ Compensation Authorities</w:t>
      </w:r>
    </w:p>
    <w:p w14:paraId="402E5D3A" w14:textId="77777777" w:rsidR="00A80282" w:rsidRDefault="00C66972" w:rsidP="00292A53">
      <w:pPr>
        <w:rPr>
          <w:rFonts w:eastAsiaTheme="minorHAnsi"/>
        </w:rPr>
      </w:pPr>
      <w:r w:rsidRPr="00C66972">
        <w:rPr>
          <w:rFonts w:eastAsiaTheme="minorHAnsi"/>
        </w:rPr>
        <w:t>The body responsible for workers’ compensation legislation and policy covering designated employers and their employees within their area of legal authority</w:t>
      </w:r>
      <w:bookmarkEnd w:id="312"/>
      <w:r w:rsidRPr="00C66972">
        <w:rPr>
          <w:rFonts w:eastAsiaTheme="minorHAnsi"/>
        </w:rPr>
        <w:t>.</w:t>
      </w:r>
      <w:bookmarkStart w:id="313" w:name="_Toc483227229"/>
    </w:p>
    <w:p w14:paraId="374C2897" w14:textId="1869E2D3" w:rsidR="00C66972" w:rsidRPr="00205CCE" w:rsidRDefault="00A80282" w:rsidP="00205CCE">
      <w:pPr>
        <w:pStyle w:val="Title"/>
      </w:pPr>
      <w:r>
        <w:br w:type="column"/>
      </w:r>
      <w:bookmarkStart w:id="314" w:name="_Toc504654749"/>
      <w:r w:rsidR="00C66972" w:rsidRPr="00205CCE">
        <w:lastRenderedPageBreak/>
        <w:t>Acronyms and abbreviations</w:t>
      </w:r>
      <w:bookmarkEnd w:id="313"/>
      <w:bookmarkEnd w:id="314"/>
      <w:r w:rsidR="00976950" w:rsidRPr="00205CCE">
        <w:fldChar w:fldCharType="begin"/>
      </w:r>
      <w:r w:rsidR="00976950" w:rsidRPr="00205CCE">
        <w:instrText xml:space="preserve"> XE "</w:instrText>
      </w:r>
      <w:r w:rsidR="00976950" w:rsidRPr="00205CCE">
        <w:rPr>
          <w:rStyle w:val="Hyperlink"/>
          <w:color w:val="C00000"/>
          <w:u w:val="none"/>
        </w:rPr>
        <w:instrText>abbreviations</w:instrText>
      </w:r>
      <w:r w:rsidR="00976950" w:rsidRPr="00205CCE">
        <w:instrText xml:space="preserve">" </w:instrText>
      </w:r>
      <w:r w:rsidR="00976950" w:rsidRPr="00205CCE">
        <w:fldChar w:fldCharType="end"/>
      </w:r>
      <w:r w:rsidR="00C66972" w:rsidRPr="00205CCE">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1843"/>
        <w:gridCol w:w="7229"/>
      </w:tblGrid>
      <w:tr w:rsidR="00C66972" w:rsidRPr="00C66972" w14:paraId="11DED11C"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FBE0D55" w14:textId="77777777" w:rsidR="00C66972" w:rsidRPr="00C66972" w:rsidRDefault="00C66972" w:rsidP="00AC483C">
            <w:pPr>
              <w:spacing w:after="200" w:line="276" w:lineRule="auto"/>
              <w:rPr>
                <w:rFonts w:eastAsiaTheme="minorHAnsi"/>
              </w:rPr>
            </w:pPr>
            <w:r w:rsidRPr="00C66972">
              <w:rPr>
                <w:rFonts w:eastAsiaTheme="minorHAnsi"/>
              </w:rPr>
              <w:t>AAT</w:t>
            </w:r>
          </w:p>
        </w:tc>
        <w:tc>
          <w:tcPr>
            <w:tcW w:w="7229" w:type="dxa"/>
            <w:tcBorders>
              <w:top w:val="nil"/>
              <w:left w:val="nil"/>
              <w:bottom w:val="nil"/>
              <w:right w:val="nil"/>
            </w:tcBorders>
            <w:tcMar>
              <w:top w:w="80" w:type="dxa"/>
              <w:left w:w="80" w:type="dxa"/>
              <w:bottom w:w="80" w:type="dxa"/>
              <w:right w:w="80" w:type="dxa"/>
            </w:tcMar>
          </w:tcPr>
          <w:p w14:paraId="391265F9" w14:textId="77777777" w:rsidR="00C66972" w:rsidRPr="00C66972" w:rsidRDefault="00C66972" w:rsidP="00AC483C">
            <w:pPr>
              <w:spacing w:after="200" w:line="276" w:lineRule="auto"/>
              <w:rPr>
                <w:rFonts w:eastAsiaTheme="minorHAnsi"/>
              </w:rPr>
            </w:pPr>
            <w:r w:rsidRPr="00C66972">
              <w:rPr>
                <w:rFonts w:eastAsiaTheme="minorHAnsi"/>
              </w:rPr>
              <w:t>Administrative Appeals Tribunal (Cth)</w:t>
            </w:r>
          </w:p>
        </w:tc>
      </w:tr>
      <w:tr w:rsidR="00C66972" w:rsidRPr="00C66972" w14:paraId="59F4488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C08D5DF" w14:textId="77777777" w:rsidR="00C66972" w:rsidRPr="00C66972" w:rsidRDefault="00C66972" w:rsidP="00AC483C">
            <w:pPr>
              <w:spacing w:after="200" w:line="276" w:lineRule="auto"/>
              <w:rPr>
                <w:rFonts w:eastAsiaTheme="minorHAnsi"/>
              </w:rPr>
            </w:pPr>
            <w:r w:rsidRPr="00C66972">
              <w:rPr>
                <w:rFonts w:eastAsiaTheme="minorHAnsi"/>
              </w:rPr>
              <w:t xml:space="preserve">ABS </w:t>
            </w:r>
          </w:p>
        </w:tc>
        <w:tc>
          <w:tcPr>
            <w:tcW w:w="7229" w:type="dxa"/>
            <w:tcBorders>
              <w:top w:val="nil"/>
              <w:left w:val="nil"/>
              <w:bottom w:val="nil"/>
              <w:right w:val="nil"/>
            </w:tcBorders>
            <w:tcMar>
              <w:top w:w="80" w:type="dxa"/>
              <w:left w:w="80" w:type="dxa"/>
              <w:bottom w:w="80" w:type="dxa"/>
              <w:right w:w="80" w:type="dxa"/>
            </w:tcMar>
          </w:tcPr>
          <w:p w14:paraId="6A01966A" w14:textId="77777777" w:rsidR="00C66972" w:rsidRPr="00C66972" w:rsidRDefault="00C66972" w:rsidP="00AC483C">
            <w:pPr>
              <w:spacing w:after="200" w:line="276" w:lineRule="auto"/>
              <w:rPr>
                <w:rFonts w:eastAsiaTheme="minorHAnsi"/>
              </w:rPr>
            </w:pPr>
            <w:r w:rsidRPr="00C66972">
              <w:rPr>
                <w:rFonts w:eastAsiaTheme="minorHAnsi"/>
              </w:rPr>
              <w:t>Australian Bureau of Statistics</w:t>
            </w:r>
          </w:p>
        </w:tc>
      </w:tr>
      <w:tr w:rsidR="00C66972" w:rsidRPr="00C66972" w14:paraId="183A1DAA"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B8E8191" w14:textId="77777777" w:rsidR="00C66972" w:rsidRPr="00C66972" w:rsidRDefault="00C66972" w:rsidP="00AC483C">
            <w:pPr>
              <w:spacing w:after="200" w:line="276" w:lineRule="auto"/>
              <w:rPr>
                <w:rFonts w:eastAsiaTheme="minorHAnsi"/>
              </w:rPr>
            </w:pPr>
            <w:r w:rsidRPr="00C66972">
              <w:rPr>
                <w:rFonts w:eastAsiaTheme="minorHAnsi"/>
              </w:rPr>
              <w:t>ACA</w:t>
            </w:r>
          </w:p>
        </w:tc>
        <w:tc>
          <w:tcPr>
            <w:tcW w:w="7229" w:type="dxa"/>
            <w:tcBorders>
              <w:top w:val="nil"/>
              <w:left w:val="nil"/>
              <w:bottom w:val="nil"/>
              <w:right w:val="nil"/>
            </w:tcBorders>
            <w:tcMar>
              <w:top w:w="80" w:type="dxa"/>
              <w:left w:w="80" w:type="dxa"/>
              <w:bottom w:w="80" w:type="dxa"/>
              <w:right w:w="80" w:type="dxa"/>
            </w:tcMar>
          </w:tcPr>
          <w:p w14:paraId="750D3F16" w14:textId="77777777" w:rsidR="00C66972" w:rsidRPr="00C66972" w:rsidRDefault="00C66972" w:rsidP="00AC483C">
            <w:pPr>
              <w:spacing w:after="200" w:line="276" w:lineRule="auto"/>
              <w:rPr>
                <w:rFonts w:eastAsiaTheme="minorHAnsi"/>
              </w:rPr>
            </w:pPr>
            <w:r w:rsidRPr="006D5E12">
              <w:rPr>
                <w:rFonts w:eastAsiaTheme="minorHAnsi"/>
                <w:i/>
              </w:rPr>
              <w:t>Accident Compensation Act</w:t>
            </w:r>
            <w:r w:rsidRPr="00C66972">
              <w:rPr>
                <w:rFonts w:eastAsiaTheme="minorHAnsi"/>
              </w:rPr>
              <w:t xml:space="preserve"> (Vic)</w:t>
            </w:r>
          </w:p>
        </w:tc>
      </w:tr>
      <w:tr w:rsidR="00C66972" w:rsidRPr="00C66972" w14:paraId="6CEA520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890C12D" w14:textId="77777777" w:rsidR="00C66972" w:rsidRPr="00C66972" w:rsidRDefault="00C66972" w:rsidP="00AC483C">
            <w:pPr>
              <w:spacing w:after="200" w:line="276" w:lineRule="auto"/>
              <w:rPr>
                <w:rFonts w:eastAsiaTheme="minorHAnsi"/>
              </w:rPr>
            </w:pPr>
            <w:r w:rsidRPr="00C66972">
              <w:rPr>
                <w:rFonts w:eastAsiaTheme="minorHAnsi"/>
              </w:rPr>
              <w:t>ACC</w:t>
            </w:r>
          </w:p>
        </w:tc>
        <w:tc>
          <w:tcPr>
            <w:tcW w:w="7229" w:type="dxa"/>
            <w:tcBorders>
              <w:top w:val="nil"/>
              <w:left w:val="nil"/>
              <w:bottom w:val="nil"/>
              <w:right w:val="nil"/>
            </w:tcBorders>
            <w:tcMar>
              <w:top w:w="80" w:type="dxa"/>
              <w:left w:w="80" w:type="dxa"/>
              <w:bottom w:w="80" w:type="dxa"/>
              <w:right w:w="80" w:type="dxa"/>
            </w:tcMar>
          </w:tcPr>
          <w:p w14:paraId="344F9A97" w14:textId="77777777" w:rsidR="00C66972" w:rsidRPr="00C66972" w:rsidRDefault="00C66972" w:rsidP="00AC483C">
            <w:pPr>
              <w:spacing w:after="200" w:line="276" w:lineRule="auto"/>
              <w:rPr>
                <w:rFonts w:eastAsiaTheme="minorHAnsi"/>
              </w:rPr>
            </w:pPr>
            <w:r w:rsidRPr="00C66972">
              <w:rPr>
                <w:rFonts w:eastAsiaTheme="minorHAnsi"/>
              </w:rPr>
              <w:t>Accident Compensation Corporation (NZ)</w:t>
            </w:r>
          </w:p>
        </w:tc>
      </w:tr>
      <w:tr w:rsidR="00C66972" w:rsidRPr="00C66972" w14:paraId="7448A2B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4596860" w14:textId="77777777" w:rsidR="00C66972" w:rsidRPr="00C66972" w:rsidRDefault="00C66972" w:rsidP="00AC483C">
            <w:pPr>
              <w:spacing w:after="200" w:line="276" w:lineRule="auto"/>
              <w:rPr>
                <w:rFonts w:eastAsiaTheme="minorHAnsi"/>
              </w:rPr>
            </w:pPr>
            <w:r w:rsidRPr="00C66972">
              <w:rPr>
                <w:rFonts w:eastAsiaTheme="minorHAnsi"/>
              </w:rPr>
              <w:t>ACTPS</w:t>
            </w:r>
          </w:p>
        </w:tc>
        <w:tc>
          <w:tcPr>
            <w:tcW w:w="7229" w:type="dxa"/>
            <w:tcBorders>
              <w:top w:val="nil"/>
              <w:left w:val="nil"/>
              <w:bottom w:val="nil"/>
              <w:right w:val="nil"/>
            </w:tcBorders>
            <w:tcMar>
              <w:top w:w="80" w:type="dxa"/>
              <w:left w:w="80" w:type="dxa"/>
              <w:bottom w:w="80" w:type="dxa"/>
              <w:right w:w="80" w:type="dxa"/>
            </w:tcMar>
          </w:tcPr>
          <w:p w14:paraId="25060DB5" w14:textId="77777777" w:rsidR="00C66972" w:rsidRPr="00C66972" w:rsidRDefault="00C66972" w:rsidP="00AC483C">
            <w:pPr>
              <w:spacing w:after="200" w:line="276" w:lineRule="auto"/>
              <w:rPr>
                <w:rFonts w:eastAsiaTheme="minorHAnsi"/>
              </w:rPr>
            </w:pPr>
            <w:r w:rsidRPr="00C66972">
              <w:rPr>
                <w:rFonts w:eastAsiaTheme="minorHAnsi"/>
              </w:rPr>
              <w:t>ACT Public Sector</w:t>
            </w:r>
          </w:p>
        </w:tc>
      </w:tr>
      <w:tr w:rsidR="00C66972" w:rsidRPr="00C66972" w14:paraId="7F3ACD5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196DE4F" w14:textId="77777777" w:rsidR="00C66972" w:rsidRPr="00C66972" w:rsidRDefault="00C66972" w:rsidP="00AC483C">
            <w:pPr>
              <w:spacing w:after="200" w:line="276" w:lineRule="auto"/>
              <w:rPr>
                <w:rFonts w:eastAsiaTheme="minorHAnsi"/>
              </w:rPr>
            </w:pPr>
            <w:r w:rsidRPr="00C66972">
              <w:rPr>
                <w:rFonts w:eastAsiaTheme="minorHAnsi"/>
              </w:rPr>
              <w:t>ADF</w:t>
            </w:r>
          </w:p>
        </w:tc>
        <w:tc>
          <w:tcPr>
            <w:tcW w:w="7229" w:type="dxa"/>
            <w:tcBorders>
              <w:top w:val="nil"/>
              <w:left w:val="nil"/>
              <w:bottom w:val="nil"/>
              <w:right w:val="nil"/>
            </w:tcBorders>
            <w:tcMar>
              <w:top w:w="80" w:type="dxa"/>
              <w:left w:w="80" w:type="dxa"/>
              <w:bottom w:w="80" w:type="dxa"/>
              <w:right w:w="80" w:type="dxa"/>
            </w:tcMar>
          </w:tcPr>
          <w:p w14:paraId="33DB4D8C" w14:textId="77777777" w:rsidR="00C66972" w:rsidRPr="00C66972" w:rsidRDefault="00C66972" w:rsidP="00AC483C">
            <w:pPr>
              <w:spacing w:after="200" w:line="276" w:lineRule="auto"/>
              <w:rPr>
                <w:rFonts w:eastAsiaTheme="minorHAnsi"/>
              </w:rPr>
            </w:pPr>
            <w:r w:rsidRPr="00C66972">
              <w:rPr>
                <w:rFonts w:eastAsiaTheme="minorHAnsi"/>
              </w:rPr>
              <w:t>Australian Defence Force</w:t>
            </w:r>
          </w:p>
        </w:tc>
      </w:tr>
      <w:tr w:rsidR="00C66972" w:rsidRPr="00C66972" w14:paraId="211566F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DE3BE59" w14:textId="77777777" w:rsidR="00C66972" w:rsidRPr="00C66972" w:rsidRDefault="00C66972" w:rsidP="00AC483C">
            <w:pPr>
              <w:spacing w:after="200" w:line="276" w:lineRule="auto"/>
              <w:rPr>
                <w:rFonts w:eastAsiaTheme="minorHAnsi"/>
              </w:rPr>
            </w:pPr>
            <w:r w:rsidRPr="00C66972">
              <w:rPr>
                <w:rFonts w:eastAsiaTheme="minorHAnsi"/>
              </w:rPr>
              <w:t>AE</w:t>
            </w:r>
          </w:p>
        </w:tc>
        <w:tc>
          <w:tcPr>
            <w:tcW w:w="7229" w:type="dxa"/>
            <w:tcBorders>
              <w:top w:val="nil"/>
              <w:left w:val="nil"/>
              <w:bottom w:val="nil"/>
              <w:right w:val="nil"/>
            </w:tcBorders>
            <w:tcMar>
              <w:top w:w="80" w:type="dxa"/>
              <w:left w:w="80" w:type="dxa"/>
              <w:bottom w:w="80" w:type="dxa"/>
              <w:right w:w="80" w:type="dxa"/>
            </w:tcMar>
          </w:tcPr>
          <w:p w14:paraId="750A2409" w14:textId="77777777" w:rsidR="00C66972" w:rsidRPr="00C66972" w:rsidRDefault="00C66972" w:rsidP="00AC483C">
            <w:pPr>
              <w:spacing w:after="200" w:line="276" w:lineRule="auto"/>
              <w:rPr>
                <w:rFonts w:eastAsiaTheme="minorHAnsi"/>
              </w:rPr>
            </w:pPr>
            <w:r w:rsidRPr="00C66972">
              <w:rPr>
                <w:rFonts w:eastAsiaTheme="minorHAnsi"/>
              </w:rPr>
              <w:t>Accredited Employer (NZ)</w:t>
            </w:r>
          </w:p>
        </w:tc>
      </w:tr>
      <w:tr w:rsidR="00C66972" w:rsidRPr="00C66972" w14:paraId="00EAA55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D1B77E1" w14:textId="77777777" w:rsidR="00C66972" w:rsidRPr="00C66972" w:rsidRDefault="00C66972" w:rsidP="00AC483C">
            <w:pPr>
              <w:spacing w:after="200" w:line="276" w:lineRule="auto"/>
              <w:rPr>
                <w:rFonts w:eastAsiaTheme="minorHAnsi"/>
              </w:rPr>
            </w:pPr>
            <w:r w:rsidRPr="00C66972">
              <w:rPr>
                <w:rFonts w:eastAsiaTheme="minorHAnsi"/>
              </w:rPr>
              <w:t>AIMS</w:t>
            </w:r>
          </w:p>
        </w:tc>
        <w:tc>
          <w:tcPr>
            <w:tcW w:w="7229" w:type="dxa"/>
            <w:tcBorders>
              <w:top w:val="nil"/>
              <w:left w:val="nil"/>
              <w:bottom w:val="nil"/>
              <w:right w:val="nil"/>
            </w:tcBorders>
            <w:tcMar>
              <w:top w:w="80" w:type="dxa"/>
              <w:left w:w="80" w:type="dxa"/>
              <w:bottom w:w="80" w:type="dxa"/>
              <w:right w:w="80" w:type="dxa"/>
            </w:tcMar>
          </w:tcPr>
          <w:p w14:paraId="31D2D964" w14:textId="77777777" w:rsidR="00C66972" w:rsidRPr="00C66972" w:rsidRDefault="00C66972" w:rsidP="00AC483C">
            <w:pPr>
              <w:spacing w:after="200" w:line="276" w:lineRule="auto"/>
              <w:rPr>
                <w:rFonts w:eastAsiaTheme="minorHAnsi"/>
              </w:rPr>
            </w:pPr>
            <w:r w:rsidRPr="00C66972">
              <w:rPr>
                <w:rFonts w:eastAsiaTheme="minorHAnsi"/>
              </w:rPr>
              <w:t>ACT WorkCover Information Management System</w:t>
            </w:r>
          </w:p>
        </w:tc>
      </w:tr>
      <w:tr w:rsidR="00C66972" w:rsidRPr="00C66972" w14:paraId="47ACC717"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4D52C61" w14:textId="77777777" w:rsidR="00C66972" w:rsidRPr="00C66972" w:rsidRDefault="00C66972" w:rsidP="00AC483C">
            <w:pPr>
              <w:spacing w:after="200" w:line="276" w:lineRule="auto"/>
              <w:rPr>
                <w:rFonts w:eastAsiaTheme="minorHAnsi"/>
              </w:rPr>
            </w:pPr>
            <w:r w:rsidRPr="00C66972">
              <w:rPr>
                <w:rFonts w:eastAsiaTheme="minorHAnsi"/>
              </w:rPr>
              <w:t>AMA</w:t>
            </w:r>
          </w:p>
        </w:tc>
        <w:tc>
          <w:tcPr>
            <w:tcW w:w="7229" w:type="dxa"/>
            <w:tcBorders>
              <w:top w:val="nil"/>
              <w:left w:val="nil"/>
              <w:bottom w:val="nil"/>
              <w:right w:val="nil"/>
            </w:tcBorders>
            <w:tcMar>
              <w:top w:w="80" w:type="dxa"/>
              <w:left w:w="80" w:type="dxa"/>
              <w:bottom w:w="80" w:type="dxa"/>
              <w:right w:w="80" w:type="dxa"/>
            </w:tcMar>
          </w:tcPr>
          <w:p w14:paraId="41146D2A" w14:textId="77777777" w:rsidR="00C66972" w:rsidRPr="00C66972" w:rsidRDefault="00C66972" w:rsidP="00AC483C">
            <w:pPr>
              <w:spacing w:after="200" w:line="276" w:lineRule="auto"/>
              <w:rPr>
                <w:rFonts w:eastAsiaTheme="minorHAnsi"/>
              </w:rPr>
            </w:pPr>
            <w:r w:rsidRPr="00C66972">
              <w:rPr>
                <w:rFonts w:eastAsiaTheme="minorHAnsi"/>
              </w:rPr>
              <w:t>American Medical Association</w:t>
            </w:r>
            <w:r w:rsidR="00584ACD">
              <w:rPr>
                <w:rFonts w:eastAsiaTheme="minorHAnsi"/>
              </w:rPr>
              <w:fldChar w:fldCharType="begin"/>
            </w:r>
            <w:r w:rsidR="00584ACD">
              <w:instrText xml:space="preserve"> XE "</w:instrText>
            </w:r>
            <w:r w:rsidR="00584ACD" w:rsidRPr="000002A2">
              <w:rPr>
                <w:rFonts w:eastAsia="Calibri"/>
                <w:sz w:val="14"/>
              </w:rPr>
              <w:instrText>American Medical Association</w:instrText>
            </w:r>
            <w:r w:rsidR="00584ACD">
              <w:instrText xml:space="preserve">" </w:instrText>
            </w:r>
            <w:r w:rsidR="00584ACD">
              <w:rPr>
                <w:rFonts w:eastAsiaTheme="minorHAnsi"/>
              </w:rPr>
              <w:fldChar w:fldCharType="end"/>
            </w:r>
          </w:p>
        </w:tc>
      </w:tr>
      <w:tr w:rsidR="00C66972" w:rsidRPr="00C66972" w14:paraId="1771126C"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A5E873C" w14:textId="77777777" w:rsidR="00C66972" w:rsidRPr="00C66972" w:rsidRDefault="00C66972" w:rsidP="00AC483C">
            <w:pPr>
              <w:spacing w:after="200" w:line="276" w:lineRule="auto"/>
              <w:rPr>
                <w:rFonts w:eastAsiaTheme="minorHAnsi"/>
              </w:rPr>
            </w:pPr>
            <w:r w:rsidRPr="00C66972">
              <w:rPr>
                <w:rFonts w:eastAsiaTheme="minorHAnsi"/>
              </w:rPr>
              <w:t>AMS</w:t>
            </w:r>
          </w:p>
        </w:tc>
        <w:tc>
          <w:tcPr>
            <w:tcW w:w="7229" w:type="dxa"/>
            <w:tcBorders>
              <w:top w:val="nil"/>
              <w:left w:val="nil"/>
              <w:bottom w:val="nil"/>
              <w:right w:val="nil"/>
            </w:tcBorders>
            <w:tcMar>
              <w:top w:w="80" w:type="dxa"/>
              <w:left w:w="80" w:type="dxa"/>
              <w:bottom w:w="80" w:type="dxa"/>
              <w:right w:w="80" w:type="dxa"/>
            </w:tcMar>
          </w:tcPr>
          <w:p w14:paraId="2776E662" w14:textId="77777777" w:rsidR="00C66972" w:rsidRPr="00C66972" w:rsidRDefault="00C66972" w:rsidP="00AC483C">
            <w:pPr>
              <w:spacing w:after="200" w:line="276" w:lineRule="auto"/>
              <w:rPr>
                <w:rFonts w:eastAsiaTheme="minorHAnsi"/>
              </w:rPr>
            </w:pPr>
            <w:r w:rsidRPr="00C66972">
              <w:rPr>
                <w:rFonts w:eastAsiaTheme="minorHAnsi"/>
              </w:rPr>
              <w:t>Approved Medical Specialists (NSW)</w:t>
            </w:r>
          </w:p>
        </w:tc>
      </w:tr>
      <w:tr w:rsidR="00C66972" w:rsidRPr="00C66972" w14:paraId="66DCFB38"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67DC8463" w14:textId="77777777" w:rsidR="00C66972" w:rsidRPr="00C66972" w:rsidRDefault="00C66972" w:rsidP="00AC483C">
            <w:pPr>
              <w:spacing w:after="200" w:line="276" w:lineRule="auto"/>
              <w:rPr>
                <w:rFonts w:eastAsiaTheme="minorHAnsi"/>
              </w:rPr>
            </w:pPr>
            <w:r w:rsidRPr="00C66972">
              <w:rPr>
                <w:rFonts w:eastAsiaTheme="minorHAnsi"/>
              </w:rPr>
              <w:t>ANZSIC</w:t>
            </w:r>
          </w:p>
        </w:tc>
        <w:tc>
          <w:tcPr>
            <w:tcW w:w="7229" w:type="dxa"/>
            <w:tcBorders>
              <w:top w:val="nil"/>
              <w:left w:val="nil"/>
              <w:bottom w:val="nil"/>
              <w:right w:val="nil"/>
            </w:tcBorders>
            <w:tcMar>
              <w:top w:w="80" w:type="dxa"/>
              <w:left w:w="80" w:type="dxa"/>
              <w:bottom w:w="80" w:type="dxa"/>
              <w:right w:w="80" w:type="dxa"/>
            </w:tcMar>
          </w:tcPr>
          <w:p w14:paraId="11CFAAED" w14:textId="77777777" w:rsidR="00C66972" w:rsidRPr="00C66972" w:rsidRDefault="00C66972" w:rsidP="00AC483C">
            <w:pPr>
              <w:spacing w:after="200" w:line="276" w:lineRule="auto"/>
              <w:rPr>
                <w:rFonts w:eastAsiaTheme="minorHAnsi"/>
              </w:rPr>
            </w:pPr>
            <w:r w:rsidRPr="00C66972">
              <w:rPr>
                <w:rFonts w:eastAsiaTheme="minorHAnsi"/>
              </w:rPr>
              <w:t xml:space="preserve">Australia and New Zealand Standard Industry Classification </w:t>
            </w:r>
          </w:p>
        </w:tc>
      </w:tr>
      <w:tr w:rsidR="00C66972" w:rsidRPr="00C66972" w14:paraId="5C30D7EE"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69E8B3B" w14:textId="77777777" w:rsidR="00C66972" w:rsidRPr="00C66972" w:rsidRDefault="00C66972" w:rsidP="00AC483C">
            <w:pPr>
              <w:spacing w:after="200" w:line="276" w:lineRule="auto"/>
              <w:rPr>
                <w:rFonts w:eastAsiaTheme="minorHAnsi"/>
              </w:rPr>
            </w:pPr>
            <w:r w:rsidRPr="00C66972">
              <w:rPr>
                <w:rFonts w:eastAsiaTheme="minorHAnsi"/>
              </w:rPr>
              <w:t>ASIC</w:t>
            </w:r>
          </w:p>
        </w:tc>
        <w:tc>
          <w:tcPr>
            <w:tcW w:w="7229" w:type="dxa"/>
            <w:tcBorders>
              <w:top w:val="nil"/>
              <w:left w:val="nil"/>
              <w:bottom w:val="nil"/>
              <w:right w:val="nil"/>
            </w:tcBorders>
            <w:tcMar>
              <w:top w:w="80" w:type="dxa"/>
              <w:left w:w="80" w:type="dxa"/>
              <w:bottom w:w="80" w:type="dxa"/>
              <w:right w:w="80" w:type="dxa"/>
            </w:tcMar>
          </w:tcPr>
          <w:p w14:paraId="4B5021E3" w14:textId="77777777" w:rsidR="00C66972" w:rsidRPr="00C66972" w:rsidRDefault="00C66972" w:rsidP="00AC483C">
            <w:pPr>
              <w:spacing w:after="200" w:line="276" w:lineRule="auto"/>
              <w:rPr>
                <w:rFonts w:eastAsiaTheme="minorHAnsi"/>
              </w:rPr>
            </w:pPr>
            <w:r w:rsidRPr="00C66972">
              <w:rPr>
                <w:rFonts w:eastAsiaTheme="minorHAnsi"/>
              </w:rPr>
              <w:t>Australian Standard Industry Classification</w:t>
            </w:r>
          </w:p>
        </w:tc>
      </w:tr>
      <w:tr w:rsidR="00C66972" w:rsidRPr="00C66972" w14:paraId="23565B00"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58D8B6D4" w14:textId="77777777" w:rsidR="00C66972" w:rsidRPr="00C66972" w:rsidRDefault="00C66972" w:rsidP="00AC483C">
            <w:pPr>
              <w:spacing w:after="200" w:line="276" w:lineRule="auto"/>
              <w:rPr>
                <w:rFonts w:eastAsiaTheme="minorHAnsi"/>
              </w:rPr>
            </w:pPr>
            <w:r w:rsidRPr="00C66972">
              <w:rPr>
                <w:rFonts w:eastAsiaTheme="minorHAnsi"/>
              </w:rPr>
              <w:t xml:space="preserve">AWE </w:t>
            </w:r>
          </w:p>
        </w:tc>
        <w:tc>
          <w:tcPr>
            <w:tcW w:w="7229" w:type="dxa"/>
            <w:tcBorders>
              <w:top w:val="nil"/>
              <w:left w:val="nil"/>
              <w:bottom w:val="nil"/>
              <w:right w:val="nil"/>
            </w:tcBorders>
            <w:tcMar>
              <w:top w:w="80" w:type="dxa"/>
              <w:left w:w="80" w:type="dxa"/>
              <w:bottom w:w="80" w:type="dxa"/>
              <w:right w:w="80" w:type="dxa"/>
            </w:tcMar>
          </w:tcPr>
          <w:p w14:paraId="0CEAB60A" w14:textId="77777777" w:rsidR="00C66972" w:rsidRPr="00C66972" w:rsidRDefault="00C66972" w:rsidP="00AC483C">
            <w:pPr>
              <w:spacing w:after="200" w:line="276" w:lineRule="auto"/>
              <w:rPr>
                <w:rFonts w:eastAsiaTheme="minorHAnsi"/>
              </w:rPr>
            </w:pPr>
            <w:r w:rsidRPr="00C66972">
              <w:rPr>
                <w:rFonts w:eastAsiaTheme="minorHAnsi"/>
              </w:rPr>
              <w:t>Average Weekly Earnings (SA*, NT, ACT)</w:t>
            </w:r>
          </w:p>
        </w:tc>
      </w:tr>
      <w:tr w:rsidR="00C66972" w:rsidRPr="00C66972" w14:paraId="53A80BE9"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2EDDFC6" w14:textId="77777777" w:rsidR="00C66972" w:rsidRPr="00C66972" w:rsidRDefault="00C66972" w:rsidP="00AC483C">
            <w:pPr>
              <w:spacing w:after="200" w:line="276" w:lineRule="auto"/>
              <w:rPr>
                <w:rFonts w:eastAsiaTheme="minorHAnsi"/>
              </w:rPr>
            </w:pPr>
            <w:r w:rsidRPr="00C66972">
              <w:rPr>
                <w:rFonts w:eastAsiaTheme="minorHAnsi"/>
              </w:rPr>
              <w:t>AWOTEFA</w:t>
            </w:r>
          </w:p>
        </w:tc>
        <w:tc>
          <w:tcPr>
            <w:tcW w:w="7229" w:type="dxa"/>
            <w:tcBorders>
              <w:top w:val="nil"/>
              <w:left w:val="nil"/>
              <w:bottom w:val="nil"/>
              <w:right w:val="nil"/>
            </w:tcBorders>
            <w:tcMar>
              <w:top w:w="80" w:type="dxa"/>
              <w:left w:w="80" w:type="dxa"/>
              <w:bottom w:w="80" w:type="dxa"/>
              <w:right w:w="80" w:type="dxa"/>
            </w:tcMar>
          </w:tcPr>
          <w:p w14:paraId="3AAE816D" w14:textId="77777777" w:rsidR="00C66972" w:rsidRPr="00C66972" w:rsidRDefault="00C66972" w:rsidP="00AC483C">
            <w:pPr>
              <w:spacing w:after="200" w:line="276" w:lineRule="auto"/>
              <w:rPr>
                <w:rFonts w:eastAsiaTheme="minorHAnsi"/>
              </w:rPr>
            </w:pPr>
            <w:r w:rsidRPr="00C66972">
              <w:rPr>
                <w:rFonts w:eastAsiaTheme="minorHAnsi"/>
              </w:rPr>
              <w:t>Average Weekly Ordinary Time Earnings of Full-time Adults (Cth)</w:t>
            </w:r>
          </w:p>
        </w:tc>
      </w:tr>
      <w:tr w:rsidR="00C66972" w:rsidRPr="00C66972" w14:paraId="2B66C88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0DDD743" w14:textId="77777777" w:rsidR="00C66972" w:rsidRPr="00C66972" w:rsidRDefault="00C66972" w:rsidP="00AC483C">
            <w:pPr>
              <w:spacing w:after="200" w:line="276" w:lineRule="auto"/>
              <w:rPr>
                <w:rFonts w:eastAsiaTheme="minorHAnsi"/>
              </w:rPr>
            </w:pPr>
            <w:r w:rsidRPr="00C66972">
              <w:rPr>
                <w:rFonts w:eastAsiaTheme="minorHAnsi"/>
              </w:rPr>
              <w:t xml:space="preserve">BHI </w:t>
            </w:r>
          </w:p>
        </w:tc>
        <w:tc>
          <w:tcPr>
            <w:tcW w:w="7229" w:type="dxa"/>
            <w:tcBorders>
              <w:top w:val="nil"/>
              <w:left w:val="nil"/>
              <w:bottom w:val="nil"/>
              <w:right w:val="nil"/>
            </w:tcBorders>
            <w:tcMar>
              <w:top w:w="80" w:type="dxa"/>
              <w:left w:w="80" w:type="dxa"/>
              <w:bottom w:w="80" w:type="dxa"/>
              <w:right w:w="80" w:type="dxa"/>
            </w:tcMar>
          </w:tcPr>
          <w:p w14:paraId="09981B95" w14:textId="77777777" w:rsidR="00C66972" w:rsidRPr="00C66972" w:rsidRDefault="00C66972" w:rsidP="00AC483C">
            <w:pPr>
              <w:spacing w:after="200" w:line="276" w:lineRule="auto"/>
              <w:rPr>
                <w:rFonts w:eastAsiaTheme="minorHAnsi"/>
              </w:rPr>
            </w:pPr>
            <w:r w:rsidRPr="00C66972">
              <w:rPr>
                <w:rFonts w:eastAsiaTheme="minorHAnsi"/>
              </w:rPr>
              <w:t>Binaural Hearing Impairment (Tas)</w:t>
            </w:r>
          </w:p>
        </w:tc>
      </w:tr>
      <w:tr w:rsidR="00C66972" w:rsidRPr="00C66972" w14:paraId="408E9E8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127624C" w14:textId="77777777" w:rsidR="00C66972" w:rsidRPr="00C66972" w:rsidRDefault="00C66972" w:rsidP="00AC483C">
            <w:pPr>
              <w:spacing w:after="200" w:line="276" w:lineRule="auto"/>
              <w:rPr>
                <w:rFonts w:eastAsiaTheme="minorHAnsi"/>
              </w:rPr>
            </w:pPr>
            <w:r w:rsidRPr="00C66972">
              <w:rPr>
                <w:rFonts w:eastAsiaTheme="minorHAnsi"/>
              </w:rPr>
              <w:t xml:space="preserve">CPI </w:t>
            </w:r>
          </w:p>
        </w:tc>
        <w:tc>
          <w:tcPr>
            <w:tcW w:w="7229" w:type="dxa"/>
            <w:tcBorders>
              <w:top w:val="nil"/>
              <w:left w:val="nil"/>
              <w:bottom w:val="nil"/>
              <w:right w:val="nil"/>
            </w:tcBorders>
            <w:tcMar>
              <w:top w:w="80" w:type="dxa"/>
              <w:left w:w="80" w:type="dxa"/>
              <w:bottom w:w="80" w:type="dxa"/>
              <w:right w:w="80" w:type="dxa"/>
            </w:tcMar>
          </w:tcPr>
          <w:p w14:paraId="7EF2B820" w14:textId="77777777" w:rsidR="00C66972" w:rsidRPr="00C66972" w:rsidRDefault="00C66972" w:rsidP="00AC483C">
            <w:pPr>
              <w:spacing w:after="200" w:line="276" w:lineRule="auto"/>
              <w:rPr>
                <w:rFonts w:eastAsiaTheme="minorHAnsi"/>
              </w:rPr>
            </w:pPr>
            <w:r w:rsidRPr="00C66972">
              <w:rPr>
                <w:rFonts w:eastAsiaTheme="minorHAnsi"/>
              </w:rPr>
              <w:t>Consumer Price Index</w:t>
            </w:r>
          </w:p>
        </w:tc>
      </w:tr>
      <w:tr w:rsidR="00C66972" w:rsidRPr="00C66972" w14:paraId="1685D059"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A63B6DF" w14:textId="0414332B" w:rsidR="00B94426" w:rsidRPr="00C66972" w:rsidRDefault="00C66972" w:rsidP="00AC483C">
            <w:pPr>
              <w:spacing w:after="200" w:line="276" w:lineRule="auto"/>
              <w:rPr>
                <w:rFonts w:eastAsiaTheme="minorHAnsi"/>
              </w:rPr>
            </w:pPr>
            <w:r w:rsidRPr="00C66972">
              <w:rPr>
                <w:rFonts w:eastAsiaTheme="minorHAnsi"/>
              </w:rPr>
              <w:t>CPM</w:t>
            </w:r>
          </w:p>
        </w:tc>
        <w:tc>
          <w:tcPr>
            <w:tcW w:w="7229" w:type="dxa"/>
            <w:tcBorders>
              <w:top w:val="nil"/>
              <w:left w:val="nil"/>
              <w:bottom w:val="nil"/>
              <w:right w:val="nil"/>
            </w:tcBorders>
            <w:tcMar>
              <w:top w:w="80" w:type="dxa"/>
              <w:left w:w="80" w:type="dxa"/>
              <w:bottom w:w="80" w:type="dxa"/>
              <w:right w:w="80" w:type="dxa"/>
            </w:tcMar>
          </w:tcPr>
          <w:p w14:paraId="1E6B5418" w14:textId="400A25EE" w:rsidR="00B94426" w:rsidRPr="00C66972" w:rsidRDefault="00C66972" w:rsidP="00AC483C">
            <w:pPr>
              <w:spacing w:after="200" w:line="276" w:lineRule="auto"/>
              <w:rPr>
                <w:rFonts w:eastAsiaTheme="minorHAnsi"/>
              </w:rPr>
            </w:pPr>
            <w:r w:rsidRPr="00C66972">
              <w:rPr>
                <w:rFonts w:eastAsiaTheme="minorHAnsi"/>
              </w:rPr>
              <w:t xml:space="preserve">Comparative Performance Monitoring </w:t>
            </w:r>
          </w:p>
        </w:tc>
      </w:tr>
      <w:tr w:rsidR="001130A4" w:rsidRPr="00C66972" w14:paraId="387D2723"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6DF3AAF" w14:textId="34533ADD" w:rsidR="001130A4" w:rsidRPr="00C66972" w:rsidRDefault="001130A4" w:rsidP="00AC483C">
            <w:pPr>
              <w:spacing w:after="200" w:line="276" w:lineRule="auto"/>
              <w:rPr>
                <w:rFonts w:eastAsiaTheme="minorHAnsi"/>
              </w:rPr>
            </w:pPr>
            <w:r>
              <w:rPr>
                <w:rFonts w:eastAsiaTheme="minorHAnsi"/>
              </w:rPr>
              <w:t>DRCA</w:t>
            </w:r>
          </w:p>
        </w:tc>
        <w:tc>
          <w:tcPr>
            <w:tcW w:w="7229" w:type="dxa"/>
            <w:tcBorders>
              <w:top w:val="nil"/>
              <w:left w:val="nil"/>
              <w:bottom w:val="nil"/>
              <w:right w:val="nil"/>
            </w:tcBorders>
            <w:tcMar>
              <w:top w:w="80" w:type="dxa"/>
              <w:left w:w="80" w:type="dxa"/>
              <w:bottom w:w="80" w:type="dxa"/>
              <w:right w:w="80" w:type="dxa"/>
            </w:tcMar>
          </w:tcPr>
          <w:p w14:paraId="3CDAFF33" w14:textId="7805FF42" w:rsidR="001130A4" w:rsidRPr="00C66972" w:rsidRDefault="001130A4" w:rsidP="00AC483C">
            <w:pPr>
              <w:spacing w:after="200" w:line="276" w:lineRule="auto"/>
              <w:rPr>
                <w:rFonts w:eastAsiaTheme="minorHAnsi"/>
              </w:rPr>
            </w:pPr>
            <w:r w:rsidRPr="006D5E12">
              <w:rPr>
                <w:rFonts w:eastAsiaTheme="minorHAnsi"/>
                <w:i/>
              </w:rPr>
              <w:t>Safety, Rehabilitation and Compensation (Defence-related Claims) Act</w:t>
            </w:r>
            <w:r>
              <w:rPr>
                <w:rFonts w:eastAsiaTheme="minorHAnsi"/>
              </w:rPr>
              <w:t xml:space="preserve"> (Cth)</w:t>
            </w:r>
          </w:p>
        </w:tc>
      </w:tr>
      <w:tr w:rsidR="00C66972" w:rsidRPr="00C66972" w14:paraId="493FFCF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6969F94" w14:textId="77777777" w:rsidR="00C66972" w:rsidRPr="00C66972" w:rsidRDefault="00C66972" w:rsidP="00AC483C">
            <w:pPr>
              <w:spacing w:after="200" w:line="276" w:lineRule="auto"/>
              <w:rPr>
                <w:rFonts w:eastAsiaTheme="minorHAnsi"/>
              </w:rPr>
            </w:pPr>
            <w:r w:rsidRPr="00C66972">
              <w:rPr>
                <w:rFonts w:eastAsiaTheme="minorHAnsi"/>
              </w:rPr>
              <w:t>DPI</w:t>
            </w:r>
          </w:p>
        </w:tc>
        <w:tc>
          <w:tcPr>
            <w:tcW w:w="7229" w:type="dxa"/>
            <w:tcBorders>
              <w:top w:val="nil"/>
              <w:left w:val="nil"/>
              <w:bottom w:val="nil"/>
              <w:right w:val="nil"/>
            </w:tcBorders>
            <w:tcMar>
              <w:top w:w="80" w:type="dxa"/>
              <w:left w:w="80" w:type="dxa"/>
              <w:bottom w:w="80" w:type="dxa"/>
              <w:right w:w="80" w:type="dxa"/>
            </w:tcMar>
          </w:tcPr>
          <w:p w14:paraId="7B74C1E9" w14:textId="77777777" w:rsidR="00C66972" w:rsidRPr="00C66972" w:rsidRDefault="00C66972" w:rsidP="00AC483C">
            <w:pPr>
              <w:spacing w:after="200" w:line="276" w:lineRule="auto"/>
              <w:rPr>
                <w:rFonts w:eastAsiaTheme="minorHAnsi"/>
              </w:rPr>
            </w:pPr>
            <w:r w:rsidRPr="00C66972">
              <w:rPr>
                <w:rFonts w:eastAsiaTheme="minorHAnsi"/>
              </w:rPr>
              <w:t>Degree of Permanent Impairment (Qld)</w:t>
            </w:r>
          </w:p>
        </w:tc>
      </w:tr>
      <w:tr w:rsidR="00C66972" w:rsidRPr="00C66972" w14:paraId="6CBD5137"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6D91468" w14:textId="77777777" w:rsidR="00C66972" w:rsidRPr="00C66972" w:rsidRDefault="00C66972" w:rsidP="00AC483C">
            <w:pPr>
              <w:spacing w:after="200" w:line="276" w:lineRule="auto"/>
              <w:rPr>
                <w:rFonts w:eastAsiaTheme="minorHAnsi"/>
              </w:rPr>
            </w:pPr>
            <w:r w:rsidRPr="00C66972">
              <w:rPr>
                <w:rFonts w:eastAsiaTheme="minorHAnsi"/>
              </w:rPr>
              <w:t>DVA</w:t>
            </w:r>
          </w:p>
        </w:tc>
        <w:tc>
          <w:tcPr>
            <w:tcW w:w="7229" w:type="dxa"/>
            <w:tcBorders>
              <w:top w:val="nil"/>
              <w:left w:val="nil"/>
              <w:bottom w:val="nil"/>
              <w:right w:val="nil"/>
            </w:tcBorders>
            <w:tcMar>
              <w:top w:w="80" w:type="dxa"/>
              <w:left w:w="80" w:type="dxa"/>
              <w:bottom w:w="80" w:type="dxa"/>
              <w:right w:w="80" w:type="dxa"/>
            </w:tcMar>
          </w:tcPr>
          <w:p w14:paraId="40F0B0D9" w14:textId="77777777" w:rsidR="00C66972" w:rsidRPr="00C66972" w:rsidRDefault="00C66972" w:rsidP="00AC483C">
            <w:pPr>
              <w:spacing w:after="200" w:line="276" w:lineRule="auto"/>
              <w:rPr>
                <w:rFonts w:eastAsiaTheme="minorHAnsi"/>
              </w:rPr>
            </w:pPr>
            <w:r w:rsidRPr="00C66972">
              <w:rPr>
                <w:rFonts w:eastAsiaTheme="minorHAnsi"/>
              </w:rPr>
              <w:t>Department of Veterans’ Affairs</w:t>
            </w:r>
          </w:p>
        </w:tc>
      </w:tr>
      <w:tr w:rsidR="00C66972" w:rsidRPr="00C66972" w14:paraId="333CCBD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5E1A9C3" w14:textId="77777777" w:rsidR="00C66972" w:rsidRPr="00C66972" w:rsidRDefault="00C66972" w:rsidP="00AC483C">
            <w:pPr>
              <w:spacing w:after="200" w:line="276" w:lineRule="auto"/>
              <w:rPr>
                <w:rFonts w:eastAsiaTheme="minorHAnsi"/>
              </w:rPr>
            </w:pPr>
            <w:r w:rsidRPr="00C66972">
              <w:rPr>
                <w:rFonts w:eastAsiaTheme="minorHAnsi"/>
              </w:rPr>
              <w:t>GST</w:t>
            </w:r>
          </w:p>
        </w:tc>
        <w:tc>
          <w:tcPr>
            <w:tcW w:w="7229" w:type="dxa"/>
            <w:tcBorders>
              <w:top w:val="nil"/>
              <w:left w:val="nil"/>
              <w:bottom w:val="nil"/>
              <w:right w:val="nil"/>
            </w:tcBorders>
            <w:tcMar>
              <w:top w:w="80" w:type="dxa"/>
              <w:left w:w="80" w:type="dxa"/>
              <w:bottom w:w="80" w:type="dxa"/>
              <w:right w:w="80" w:type="dxa"/>
            </w:tcMar>
          </w:tcPr>
          <w:p w14:paraId="2D3A5E34" w14:textId="77777777" w:rsidR="00C66972" w:rsidRPr="00C66972" w:rsidRDefault="00C66972" w:rsidP="00AC483C">
            <w:pPr>
              <w:spacing w:after="200" w:line="276" w:lineRule="auto"/>
              <w:rPr>
                <w:rFonts w:eastAsiaTheme="minorHAnsi"/>
              </w:rPr>
            </w:pPr>
            <w:r w:rsidRPr="00C66972">
              <w:rPr>
                <w:rFonts w:eastAsiaTheme="minorHAnsi"/>
              </w:rPr>
              <w:t>Goods and Services Tax</w:t>
            </w:r>
          </w:p>
        </w:tc>
      </w:tr>
      <w:tr w:rsidR="00C66972" w:rsidRPr="00C66972" w14:paraId="6258FC4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E6557AA" w14:textId="77777777" w:rsidR="00C66972" w:rsidRPr="00C66972" w:rsidRDefault="00C66972" w:rsidP="00AC483C">
            <w:pPr>
              <w:spacing w:after="200" w:line="276" w:lineRule="auto"/>
              <w:rPr>
                <w:rFonts w:eastAsiaTheme="minorHAnsi"/>
              </w:rPr>
            </w:pPr>
            <w:r w:rsidRPr="00C66972">
              <w:rPr>
                <w:rFonts w:eastAsiaTheme="minorHAnsi"/>
              </w:rPr>
              <w:lastRenderedPageBreak/>
              <w:t>HECS</w:t>
            </w:r>
          </w:p>
        </w:tc>
        <w:tc>
          <w:tcPr>
            <w:tcW w:w="7229" w:type="dxa"/>
            <w:tcBorders>
              <w:top w:val="nil"/>
              <w:left w:val="nil"/>
              <w:bottom w:val="nil"/>
              <w:right w:val="nil"/>
            </w:tcBorders>
            <w:tcMar>
              <w:top w:w="80" w:type="dxa"/>
              <w:left w:w="80" w:type="dxa"/>
              <w:bottom w:w="80" w:type="dxa"/>
              <w:right w:w="80" w:type="dxa"/>
            </w:tcMar>
          </w:tcPr>
          <w:p w14:paraId="50E0FD0F" w14:textId="77777777" w:rsidR="00C66972" w:rsidRPr="00C66972" w:rsidRDefault="00C66972" w:rsidP="00AC483C">
            <w:pPr>
              <w:spacing w:after="200" w:line="276" w:lineRule="auto"/>
              <w:rPr>
                <w:rFonts w:eastAsiaTheme="minorHAnsi"/>
              </w:rPr>
            </w:pPr>
            <w:r w:rsidRPr="00C66972">
              <w:rPr>
                <w:rFonts w:eastAsiaTheme="minorHAnsi"/>
              </w:rPr>
              <w:t>Higher Education Contribution Scheme</w:t>
            </w:r>
          </w:p>
        </w:tc>
      </w:tr>
      <w:tr w:rsidR="00C66972" w:rsidRPr="00C66972" w14:paraId="1ED906D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AD3ACE7" w14:textId="77777777" w:rsidR="00C66972" w:rsidRPr="00C66972" w:rsidRDefault="00C66972" w:rsidP="00AC483C">
            <w:pPr>
              <w:spacing w:after="200" w:line="276" w:lineRule="auto"/>
              <w:rPr>
                <w:rFonts w:eastAsiaTheme="minorHAnsi"/>
              </w:rPr>
            </w:pPr>
            <w:r w:rsidRPr="00C66972">
              <w:rPr>
                <w:rFonts w:eastAsiaTheme="minorHAnsi"/>
              </w:rPr>
              <w:t>HWCA</w:t>
            </w:r>
          </w:p>
        </w:tc>
        <w:tc>
          <w:tcPr>
            <w:tcW w:w="7229" w:type="dxa"/>
            <w:tcBorders>
              <w:top w:val="nil"/>
              <w:left w:val="nil"/>
              <w:bottom w:val="nil"/>
              <w:right w:val="nil"/>
            </w:tcBorders>
            <w:tcMar>
              <w:top w:w="80" w:type="dxa"/>
              <w:left w:w="80" w:type="dxa"/>
              <w:bottom w:w="80" w:type="dxa"/>
              <w:right w:w="80" w:type="dxa"/>
            </w:tcMar>
          </w:tcPr>
          <w:p w14:paraId="759CE3B8" w14:textId="77777777" w:rsidR="00C66972" w:rsidRPr="00C66972" w:rsidRDefault="00C66972" w:rsidP="00AC483C">
            <w:pPr>
              <w:spacing w:after="200" w:line="276" w:lineRule="auto"/>
              <w:rPr>
                <w:rFonts w:eastAsiaTheme="minorHAnsi"/>
              </w:rPr>
            </w:pPr>
            <w:r w:rsidRPr="00C66972">
              <w:rPr>
                <w:rFonts w:eastAsiaTheme="minorHAnsi"/>
              </w:rPr>
              <w:t>Heads of Workers’ Compensation Authorities</w:t>
            </w:r>
          </w:p>
        </w:tc>
      </w:tr>
      <w:tr w:rsidR="00C66972" w:rsidRPr="00C66972" w14:paraId="4A56551E"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6E7A599" w14:textId="77777777" w:rsidR="00C66972" w:rsidRPr="00C66972" w:rsidRDefault="00C66972" w:rsidP="00AC483C">
            <w:pPr>
              <w:spacing w:after="200" w:line="276" w:lineRule="auto"/>
              <w:rPr>
                <w:rFonts w:eastAsiaTheme="minorHAnsi"/>
              </w:rPr>
            </w:pPr>
            <w:r w:rsidRPr="00C66972">
              <w:rPr>
                <w:rFonts w:eastAsiaTheme="minorHAnsi"/>
              </w:rPr>
              <w:t>IPRC Act</w:t>
            </w:r>
          </w:p>
        </w:tc>
        <w:tc>
          <w:tcPr>
            <w:tcW w:w="7229" w:type="dxa"/>
            <w:tcBorders>
              <w:top w:val="nil"/>
              <w:left w:val="nil"/>
              <w:bottom w:val="nil"/>
              <w:right w:val="nil"/>
            </w:tcBorders>
            <w:tcMar>
              <w:top w:w="80" w:type="dxa"/>
              <w:left w:w="80" w:type="dxa"/>
              <w:bottom w:w="80" w:type="dxa"/>
              <w:right w:w="80" w:type="dxa"/>
            </w:tcMar>
          </w:tcPr>
          <w:p w14:paraId="7FC882FE" w14:textId="77777777" w:rsidR="00C66972" w:rsidRPr="00C66972" w:rsidRDefault="00C66972" w:rsidP="00AC483C">
            <w:pPr>
              <w:spacing w:after="200" w:line="276" w:lineRule="auto"/>
              <w:rPr>
                <w:rFonts w:eastAsiaTheme="minorHAnsi"/>
              </w:rPr>
            </w:pPr>
            <w:r w:rsidRPr="006D5E12">
              <w:rPr>
                <w:rFonts w:eastAsiaTheme="minorHAnsi"/>
                <w:i/>
              </w:rPr>
              <w:t>Injury Prevention, Rehabilitation and Compensation Act</w:t>
            </w:r>
            <w:r w:rsidRPr="00C66972">
              <w:rPr>
                <w:rFonts w:eastAsiaTheme="minorHAnsi"/>
              </w:rPr>
              <w:t xml:space="preserve"> (NZ)</w:t>
            </w:r>
          </w:p>
        </w:tc>
      </w:tr>
      <w:tr w:rsidR="00C66972" w:rsidRPr="00C66972" w14:paraId="1134E6A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6D0C29B3" w14:textId="77777777" w:rsidR="00C66972" w:rsidRPr="00C66972" w:rsidRDefault="00C66972" w:rsidP="00AC483C">
            <w:pPr>
              <w:spacing w:after="200" w:line="276" w:lineRule="auto"/>
              <w:rPr>
                <w:rFonts w:eastAsiaTheme="minorHAnsi"/>
              </w:rPr>
            </w:pPr>
            <w:r w:rsidRPr="00C66972">
              <w:rPr>
                <w:rFonts w:eastAsiaTheme="minorHAnsi"/>
              </w:rPr>
              <w:t>IPs</w:t>
            </w:r>
          </w:p>
        </w:tc>
        <w:tc>
          <w:tcPr>
            <w:tcW w:w="7229" w:type="dxa"/>
            <w:tcBorders>
              <w:top w:val="nil"/>
              <w:left w:val="nil"/>
              <w:bottom w:val="nil"/>
              <w:right w:val="nil"/>
            </w:tcBorders>
            <w:tcMar>
              <w:top w:w="80" w:type="dxa"/>
              <w:left w:w="80" w:type="dxa"/>
              <w:bottom w:w="80" w:type="dxa"/>
              <w:right w:w="80" w:type="dxa"/>
            </w:tcMar>
          </w:tcPr>
          <w:p w14:paraId="06A8B503" w14:textId="77777777" w:rsidR="00C66972" w:rsidRPr="00C66972" w:rsidRDefault="00C66972" w:rsidP="00AC483C">
            <w:pPr>
              <w:spacing w:after="200" w:line="276" w:lineRule="auto"/>
              <w:rPr>
                <w:rFonts w:eastAsiaTheme="minorHAnsi"/>
              </w:rPr>
            </w:pPr>
            <w:r w:rsidRPr="00C66972">
              <w:rPr>
                <w:rFonts w:eastAsiaTheme="minorHAnsi"/>
              </w:rPr>
              <w:t>Impairment Points</w:t>
            </w:r>
          </w:p>
        </w:tc>
      </w:tr>
      <w:tr w:rsidR="00C66972" w:rsidRPr="00C66972" w14:paraId="020E4701"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581F8E7" w14:textId="77777777" w:rsidR="00C66972" w:rsidRPr="00C66972" w:rsidRDefault="00C66972" w:rsidP="00AC483C">
            <w:pPr>
              <w:spacing w:after="200" w:line="276" w:lineRule="auto"/>
              <w:rPr>
                <w:rFonts w:eastAsiaTheme="minorHAnsi"/>
              </w:rPr>
            </w:pPr>
            <w:r w:rsidRPr="00C66972">
              <w:rPr>
                <w:rFonts w:eastAsiaTheme="minorHAnsi"/>
              </w:rPr>
              <w:t>JAS-ANZ</w:t>
            </w:r>
          </w:p>
        </w:tc>
        <w:tc>
          <w:tcPr>
            <w:tcW w:w="7229" w:type="dxa"/>
            <w:tcBorders>
              <w:top w:val="nil"/>
              <w:left w:val="nil"/>
              <w:bottom w:val="nil"/>
              <w:right w:val="nil"/>
            </w:tcBorders>
            <w:tcMar>
              <w:top w:w="80" w:type="dxa"/>
              <w:left w:w="80" w:type="dxa"/>
              <w:bottom w:w="80" w:type="dxa"/>
              <w:right w:w="80" w:type="dxa"/>
            </w:tcMar>
          </w:tcPr>
          <w:p w14:paraId="56367408" w14:textId="77777777" w:rsidR="00C66972" w:rsidRPr="00C66972" w:rsidRDefault="00C66972" w:rsidP="00AC483C">
            <w:pPr>
              <w:spacing w:after="200" w:line="276" w:lineRule="auto"/>
              <w:rPr>
                <w:rFonts w:eastAsiaTheme="minorHAnsi"/>
              </w:rPr>
            </w:pPr>
            <w:r w:rsidRPr="00C66972">
              <w:rPr>
                <w:rFonts w:eastAsiaTheme="minorHAnsi"/>
              </w:rPr>
              <w:t>Joint Accreditation System of Australia and New Zealand</w:t>
            </w:r>
          </w:p>
        </w:tc>
      </w:tr>
      <w:tr w:rsidR="00C66972" w:rsidRPr="00C66972" w14:paraId="6B7F8AA1"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8C69AA5" w14:textId="77777777" w:rsidR="00C66972" w:rsidRPr="00C66972" w:rsidRDefault="00C66972" w:rsidP="00AC483C">
            <w:pPr>
              <w:spacing w:after="200" w:line="276" w:lineRule="auto"/>
              <w:rPr>
                <w:rFonts w:eastAsiaTheme="minorHAnsi"/>
              </w:rPr>
            </w:pPr>
            <w:r w:rsidRPr="00C66972">
              <w:rPr>
                <w:rFonts w:eastAsiaTheme="minorHAnsi"/>
              </w:rPr>
              <w:t>MAT</w:t>
            </w:r>
            <w:r w:rsidRPr="00C66972">
              <w:rPr>
                <w:rFonts w:eastAsiaTheme="minorHAnsi"/>
              </w:rPr>
              <w:tab/>
            </w:r>
          </w:p>
        </w:tc>
        <w:tc>
          <w:tcPr>
            <w:tcW w:w="7229" w:type="dxa"/>
            <w:tcBorders>
              <w:top w:val="nil"/>
              <w:left w:val="nil"/>
              <w:bottom w:val="nil"/>
              <w:right w:val="nil"/>
            </w:tcBorders>
            <w:tcMar>
              <w:top w:w="80" w:type="dxa"/>
              <w:left w:w="80" w:type="dxa"/>
              <w:bottom w:w="80" w:type="dxa"/>
              <w:right w:w="80" w:type="dxa"/>
            </w:tcMar>
          </w:tcPr>
          <w:p w14:paraId="7627AF5D" w14:textId="77777777" w:rsidR="00C66972" w:rsidRPr="00C66972" w:rsidRDefault="00C66972" w:rsidP="00AC483C">
            <w:pPr>
              <w:spacing w:after="200" w:line="276" w:lineRule="auto"/>
              <w:rPr>
                <w:rFonts w:eastAsiaTheme="minorHAnsi"/>
              </w:rPr>
            </w:pPr>
            <w:r w:rsidRPr="00C66972">
              <w:rPr>
                <w:rFonts w:eastAsiaTheme="minorHAnsi"/>
              </w:rPr>
              <w:t>Medical Assessment Tribunal</w:t>
            </w:r>
          </w:p>
        </w:tc>
      </w:tr>
      <w:tr w:rsidR="00C66972" w:rsidRPr="00C66972" w14:paraId="1F38B0FD"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6F62878" w14:textId="77777777" w:rsidR="00C66972" w:rsidRPr="00C66972" w:rsidRDefault="00C66972" w:rsidP="00AC483C">
            <w:pPr>
              <w:spacing w:after="200" w:line="276" w:lineRule="auto"/>
              <w:rPr>
                <w:rFonts w:eastAsiaTheme="minorHAnsi"/>
              </w:rPr>
            </w:pPr>
            <w:r w:rsidRPr="00C66972">
              <w:rPr>
                <w:rFonts w:eastAsiaTheme="minorHAnsi"/>
              </w:rPr>
              <w:t xml:space="preserve">MRCA </w:t>
            </w:r>
          </w:p>
        </w:tc>
        <w:tc>
          <w:tcPr>
            <w:tcW w:w="7229" w:type="dxa"/>
            <w:tcBorders>
              <w:top w:val="nil"/>
              <w:left w:val="nil"/>
              <w:bottom w:val="nil"/>
              <w:right w:val="nil"/>
            </w:tcBorders>
            <w:tcMar>
              <w:top w:w="80" w:type="dxa"/>
              <w:left w:w="80" w:type="dxa"/>
              <w:bottom w:w="80" w:type="dxa"/>
              <w:right w:w="80" w:type="dxa"/>
            </w:tcMar>
          </w:tcPr>
          <w:p w14:paraId="7C7B3F4F" w14:textId="77777777" w:rsidR="00C66972" w:rsidRPr="00C66972" w:rsidRDefault="00C66972" w:rsidP="00AC483C">
            <w:pPr>
              <w:spacing w:after="200" w:line="276" w:lineRule="auto"/>
              <w:rPr>
                <w:rFonts w:eastAsiaTheme="minorHAnsi"/>
              </w:rPr>
            </w:pPr>
            <w:r w:rsidRPr="006D5E12">
              <w:rPr>
                <w:rFonts w:eastAsiaTheme="minorHAnsi"/>
                <w:i/>
              </w:rPr>
              <w:t>Military Rehabilitation and Compensation Act</w:t>
            </w:r>
            <w:r w:rsidRPr="00C66972">
              <w:rPr>
                <w:rFonts w:eastAsiaTheme="minorHAnsi"/>
              </w:rPr>
              <w:t xml:space="preserve"> (Cth)</w:t>
            </w:r>
          </w:p>
        </w:tc>
      </w:tr>
      <w:tr w:rsidR="00C66972" w:rsidRPr="00C66972" w14:paraId="48710CFC"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5CEA93FA" w14:textId="77777777" w:rsidR="00C66972" w:rsidRPr="00C66972" w:rsidRDefault="00C66972" w:rsidP="00AC483C">
            <w:pPr>
              <w:spacing w:after="200" w:line="276" w:lineRule="auto"/>
              <w:rPr>
                <w:rFonts w:eastAsiaTheme="minorHAnsi"/>
              </w:rPr>
            </w:pPr>
            <w:r w:rsidRPr="00C66972">
              <w:rPr>
                <w:rFonts w:eastAsiaTheme="minorHAnsi"/>
              </w:rPr>
              <w:t>MRCC</w:t>
            </w:r>
          </w:p>
        </w:tc>
        <w:tc>
          <w:tcPr>
            <w:tcW w:w="7229" w:type="dxa"/>
            <w:tcBorders>
              <w:top w:val="nil"/>
              <w:left w:val="nil"/>
              <w:bottom w:val="nil"/>
              <w:right w:val="nil"/>
            </w:tcBorders>
            <w:tcMar>
              <w:top w:w="80" w:type="dxa"/>
              <w:left w:w="80" w:type="dxa"/>
              <w:bottom w:w="80" w:type="dxa"/>
              <w:right w:w="80" w:type="dxa"/>
            </w:tcMar>
          </w:tcPr>
          <w:p w14:paraId="2E3BD542" w14:textId="29B14417" w:rsidR="00C66972" w:rsidRPr="00C66972" w:rsidRDefault="00C66972" w:rsidP="00AC483C">
            <w:pPr>
              <w:spacing w:after="200" w:line="276" w:lineRule="auto"/>
              <w:rPr>
                <w:rFonts w:eastAsiaTheme="minorHAnsi"/>
              </w:rPr>
            </w:pPr>
            <w:r w:rsidRPr="00C66972">
              <w:rPr>
                <w:rFonts w:eastAsiaTheme="minorHAnsi"/>
              </w:rPr>
              <w:t>Military Rehabilitation and Compensation Commission</w:t>
            </w:r>
            <w:r w:rsidR="003B3E5B">
              <w:rPr>
                <w:rFonts w:eastAsiaTheme="minorHAnsi"/>
              </w:rPr>
              <w:t xml:space="preserve"> </w:t>
            </w:r>
            <w:r w:rsidR="003B3E5B">
              <w:rPr>
                <w:rFonts w:eastAsiaTheme="minorHAnsi"/>
              </w:rPr>
              <w:fldChar w:fldCharType="begin"/>
            </w:r>
            <w:r w:rsidR="003B3E5B">
              <w:instrText xml:space="preserve"> XE "</w:instrText>
            </w:r>
            <w:r w:rsidR="003B3E5B" w:rsidRPr="001854C8">
              <w:instrText>Military Rehabilitation and Compensation Commission</w:instrText>
            </w:r>
            <w:r w:rsidR="003B3E5B">
              <w:instrText xml:space="preserve">" </w:instrText>
            </w:r>
            <w:r w:rsidR="003B3E5B">
              <w:rPr>
                <w:rFonts w:eastAsiaTheme="minorHAnsi"/>
              </w:rPr>
              <w:fldChar w:fldCharType="end"/>
            </w:r>
          </w:p>
        </w:tc>
      </w:tr>
      <w:tr w:rsidR="00C66972" w:rsidRPr="00C66972" w14:paraId="41C68D6D"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40BE861" w14:textId="77777777" w:rsidR="00C66972" w:rsidRPr="00C66972" w:rsidRDefault="00C66972" w:rsidP="00AC483C">
            <w:pPr>
              <w:spacing w:after="200" w:line="276" w:lineRule="auto"/>
              <w:rPr>
                <w:rFonts w:eastAsiaTheme="minorHAnsi"/>
              </w:rPr>
            </w:pPr>
            <w:r w:rsidRPr="00C66972">
              <w:rPr>
                <w:rFonts w:eastAsiaTheme="minorHAnsi"/>
              </w:rPr>
              <w:t>NTPS</w:t>
            </w:r>
          </w:p>
        </w:tc>
        <w:tc>
          <w:tcPr>
            <w:tcW w:w="7229" w:type="dxa"/>
            <w:tcBorders>
              <w:top w:val="nil"/>
              <w:left w:val="nil"/>
              <w:bottom w:val="nil"/>
              <w:right w:val="nil"/>
            </w:tcBorders>
            <w:tcMar>
              <w:top w:w="80" w:type="dxa"/>
              <w:left w:w="80" w:type="dxa"/>
              <w:bottom w:w="80" w:type="dxa"/>
              <w:right w:w="80" w:type="dxa"/>
            </w:tcMar>
          </w:tcPr>
          <w:p w14:paraId="47DE99FE" w14:textId="77777777" w:rsidR="00C66972" w:rsidRPr="00C66972" w:rsidRDefault="00C66972" w:rsidP="00AC483C">
            <w:pPr>
              <w:spacing w:after="200" w:line="276" w:lineRule="auto"/>
              <w:rPr>
                <w:rFonts w:eastAsiaTheme="minorHAnsi"/>
              </w:rPr>
            </w:pPr>
            <w:r w:rsidRPr="00C66972">
              <w:rPr>
                <w:rFonts w:eastAsiaTheme="minorHAnsi"/>
              </w:rPr>
              <w:t>Northern Territory Public Service</w:t>
            </w:r>
          </w:p>
        </w:tc>
      </w:tr>
      <w:tr w:rsidR="00C66972" w:rsidRPr="00C66972" w14:paraId="493335E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92C5481" w14:textId="77777777" w:rsidR="00C66972" w:rsidRPr="00C66972" w:rsidRDefault="00C66972" w:rsidP="00AC483C">
            <w:pPr>
              <w:spacing w:after="200" w:line="276" w:lineRule="auto"/>
              <w:rPr>
                <w:rFonts w:eastAsiaTheme="minorHAnsi"/>
              </w:rPr>
            </w:pPr>
            <w:r w:rsidRPr="00C66972">
              <w:rPr>
                <w:rFonts w:eastAsiaTheme="minorHAnsi"/>
              </w:rPr>
              <w:t>NWE</w:t>
            </w:r>
          </w:p>
        </w:tc>
        <w:tc>
          <w:tcPr>
            <w:tcW w:w="7229" w:type="dxa"/>
            <w:tcBorders>
              <w:top w:val="nil"/>
              <w:left w:val="nil"/>
              <w:bottom w:val="nil"/>
              <w:right w:val="nil"/>
            </w:tcBorders>
            <w:tcMar>
              <w:top w:w="80" w:type="dxa"/>
              <w:left w:w="80" w:type="dxa"/>
              <w:bottom w:w="80" w:type="dxa"/>
              <w:right w:w="80" w:type="dxa"/>
            </w:tcMar>
          </w:tcPr>
          <w:p w14:paraId="34B2C4C3" w14:textId="77777777" w:rsidR="00C66972" w:rsidRPr="00C66972" w:rsidRDefault="00C66972" w:rsidP="00AC483C">
            <w:pPr>
              <w:spacing w:after="200" w:line="276" w:lineRule="auto"/>
              <w:rPr>
                <w:rFonts w:eastAsiaTheme="minorHAnsi"/>
              </w:rPr>
            </w:pPr>
            <w:r w:rsidRPr="00C66972">
              <w:rPr>
                <w:rFonts w:eastAsiaTheme="minorHAnsi"/>
              </w:rPr>
              <w:t>Normal Weekly Earnings (Qld, Tas, NT, Cth)</w:t>
            </w:r>
          </w:p>
        </w:tc>
      </w:tr>
      <w:tr w:rsidR="00C66972" w:rsidRPr="00C66972" w14:paraId="5A095F9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CA76FDA" w14:textId="77777777" w:rsidR="00C66972" w:rsidRPr="00C66972" w:rsidRDefault="00C66972" w:rsidP="00AC483C">
            <w:pPr>
              <w:spacing w:after="200" w:line="276" w:lineRule="auto"/>
              <w:rPr>
                <w:rFonts w:eastAsiaTheme="minorHAnsi"/>
              </w:rPr>
            </w:pPr>
            <w:r w:rsidRPr="00C66972">
              <w:rPr>
                <w:rFonts w:eastAsiaTheme="minorHAnsi"/>
              </w:rPr>
              <w:t>NWE</w:t>
            </w:r>
          </w:p>
        </w:tc>
        <w:tc>
          <w:tcPr>
            <w:tcW w:w="7229" w:type="dxa"/>
            <w:tcBorders>
              <w:top w:val="nil"/>
              <w:left w:val="nil"/>
              <w:bottom w:val="nil"/>
              <w:right w:val="nil"/>
            </w:tcBorders>
            <w:tcMar>
              <w:top w:w="80" w:type="dxa"/>
              <w:left w:w="80" w:type="dxa"/>
              <w:bottom w:w="80" w:type="dxa"/>
              <w:right w:w="80" w:type="dxa"/>
            </w:tcMar>
          </w:tcPr>
          <w:p w14:paraId="4E7AD9FB" w14:textId="77777777" w:rsidR="00C66972" w:rsidRPr="00C66972" w:rsidRDefault="00C66972" w:rsidP="00AC483C">
            <w:pPr>
              <w:spacing w:after="200" w:line="276" w:lineRule="auto"/>
              <w:rPr>
                <w:rFonts w:eastAsiaTheme="minorHAnsi"/>
              </w:rPr>
            </w:pPr>
            <w:r w:rsidRPr="00C66972">
              <w:rPr>
                <w:rFonts w:eastAsiaTheme="minorHAnsi"/>
              </w:rPr>
              <w:t>Notional Weekly Earnings (SA)</w:t>
            </w:r>
          </w:p>
        </w:tc>
      </w:tr>
      <w:tr w:rsidR="00C66972" w:rsidRPr="00C66972" w14:paraId="29802CA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4A49219" w14:textId="77777777" w:rsidR="00C66972" w:rsidRPr="00C66972" w:rsidRDefault="00C66972" w:rsidP="00AC483C">
            <w:pPr>
              <w:spacing w:after="200" w:line="276" w:lineRule="auto"/>
              <w:rPr>
                <w:rFonts w:eastAsiaTheme="minorHAnsi"/>
              </w:rPr>
            </w:pPr>
            <w:r w:rsidRPr="00C66972">
              <w:rPr>
                <w:rFonts w:eastAsiaTheme="minorHAnsi"/>
              </w:rPr>
              <w:t>OHS</w:t>
            </w:r>
          </w:p>
        </w:tc>
        <w:tc>
          <w:tcPr>
            <w:tcW w:w="7229" w:type="dxa"/>
            <w:tcBorders>
              <w:top w:val="nil"/>
              <w:left w:val="nil"/>
              <w:bottom w:val="nil"/>
              <w:right w:val="nil"/>
            </w:tcBorders>
            <w:tcMar>
              <w:top w:w="80" w:type="dxa"/>
              <w:left w:w="80" w:type="dxa"/>
              <w:bottom w:w="80" w:type="dxa"/>
              <w:right w:w="80" w:type="dxa"/>
            </w:tcMar>
          </w:tcPr>
          <w:p w14:paraId="2885A10D" w14:textId="77777777" w:rsidR="00C66972" w:rsidRPr="00C66972" w:rsidRDefault="00C66972" w:rsidP="00AC483C">
            <w:pPr>
              <w:spacing w:after="200" w:line="276" w:lineRule="auto"/>
              <w:rPr>
                <w:rFonts w:eastAsiaTheme="minorHAnsi"/>
              </w:rPr>
            </w:pPr>
            <w:r w:rsidRPr="00C66972">
              <w:rPr>
                <w:rFonts w:eastAsiaTheme="minorHAnsi"/>
              </w:rPr>
              <w:t>Occupational Health and Safety</w:t>
            </w:r>
          </w:p>
        </w:tc>
      </w:tr>
      <w:tr w:rsidR="00C66972" w:rsidRPr="00C66972" w14:paraId="47C63D2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53D5CE8" w14:textId="77777777" w:rsidR="00C66972" w:rsidRPr="00C66972" w:rsidRDefault="00C66972" w:rsidP="00AC483C">
            <w:pPr>
              <w:spacing w:after="200" w:line="276" w:lineRule="auto"/>
              <w:rPr>
                <w:rFonts w:eastAsiaTheme="minorHAnsi"/>
              </w:rPr>
            </w:pPr>
            <w:r w:rsidRPr="00C66972">
              <w:rPr>
                <w:rFonts w:eastAsiaTheme="minorHAnsi"/>
              </w:rPr>
              <w:t>PIAWE</w:t>
            </w:r>
          </w:p>
        </w:tc>
        <w:tc>
          <w:tcPr>
            <w:tcW w:w="7229" w:type="dxa"/>
            <w:tcBorders>
              <w:top w:val="nil"/>
              <w:left w:val="nil"/>
              <w:bottom w:val="nil"/>
              <w:right w:val="nil"/>
            </w:tcBorders>
            <w:tcMar>
              <w:top w:w="80" w:type="dxa"/>
              <w:left w:w="80" w:type="dxa"/>
              <w:bottom w:w="80" w:type="dxa"/>
              <w:right w:w="80" w:type="dxa"/>
            </w:tcMar>
          </w:tcPr>
          <w:p w14:paraId="0E21F525" w14:textId="77777777" w:rsidR="00C66972" w:rsidRPr="00C66972" w:rsidRDefault="00C66972" w:rsidP="00AC483C">
            <w:pPr>
              <w:spacing w:after="200" w:line="276" w:lineRule="auto"/>
              <w:rPr>
                <w:rFonts w:eastAsiaTheme="minorHAnsi"/>
              </w:rPr>
            </w:pPr>
            <w:r w:rsidRPr="00C66972">
              <w:rPr>
                <w:rFonts w:eastAsiaTheme="minorHAnsi"/>
              </w:rPr>
              <w:t>Pre-injury Average Weekly Earnings</w:t>
            </w:r>
          </w:p>
        </w:tc>
      </w:tr>
      <w:tr w:rsidR="00C66972" w:rsidRPr="00C66972" w14:paraId="57A57BB0"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B2490D5" w14:textId="77777777" w:rsidR="00C66972" w:rsidRPr="00C66972" w:rsidRDefault="00C66972" w:rsidP="00AC483C">
            <w:pPr>
              <w:spacing w:after="200" w:line="276" w:lineRule="auto"/>
              <w:rPr>
                <w:rFonts w:eastAsiaTheme="minorHAnsi"/>
              </w:rPr>
            </w:pPr>
            <w:r w:rsidRPr="00C66972">
              <w:rPr>
                <w:rFonts w:eastAsiaTheme="minorHAnsi"/>
              </w:rPr>
              <w:t>PIP</w:t>
            </w:r>
          </w:p>
        </w:tc>
        <w:tc>
          <w:tcPr>
            <w:tcW w:w="7229" w:type="dxa"/>
            <w:tcBorders>
              <w:top w:val="nil"/>
              <w:left w:val="nil"/>
              <w:bottom w:val="nil"/>
              <w:right w:val="nil"/>
            </w:tcBorders>
            <w:tcMar>
              <w:top w:w="80" w:type="dxa"/>
              <w:left w:w="80" w:type="dxa"/>
              <w:bottom w:w="80" w:type="dxa"/>
              <w:right w:w="80" w:type="dxa"/>
            </w:tcMar>
          </w:tcPr>
          <w:p w14:paraId="64D4ED6E" w14:textId="77777777" w:rsidR="00C66972" w:rsidRPr="00C66972" w:rsidRDefault="00C66972" w:rsidP="00AC483C">
            <w:pPr>
              <w:spacing w:after="200" w:line="276" w:lineRule="auto"/>
              <w:rPr>
                <w:rFonts w:eastAsiaTheme="minorHAnsi"/>
              </w:rPr>
            </w:pPr>
            <w:r w:rsidRPr="00C66972">
              <w:rPr>
                <w:rFonts w:eastAsiaTheme="minorHAnsi"/>
              </w:rPr>
              <w:t>Personal Injury Plan (ACT)</w:t>
            </w:r>
          </w:p>
        </w:tc>
      </w:tr>
      <w:tr w:rsidR="00C66972" w:rsidRPr="00C66972" w14:paraId="7135707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286E9E8" w14:textId="77777777" w:rsidR="00C66972" w:rsidRPr="00C66972" w:rsidRDefault="00C66972" w:rsidP="00AC483C">
            <w:pPr>
              <w:spacing w:after="200" w:line="276" w:lineRule="auto"/>
              <w:rPr>
                <w:rFonts w:eastAsiaTheme="minorHAnsi"/>
              </w:rPr>
            </w:pPr>
            <w:r w:rsidRPr="00C66972">
              <w:rPr>
                <w:rFonts w:eastAsiaTheme="minorHAnsi"/>
              </w:rPr>
              <w:t>QOTE</w:t>
            </w:r>
          </w:p>
        </w:tc>
        <w:tc>
          <w:tcPr>
            <w:tcW w:w="7229" w:type="dxa"/>
            <w:tcBorders>
              <w:top w:val="nil"/>
              <w:left w:val="nil"/>
              <w:bottom w:val="nil"/>
              <w:right w:val="nil"/>
            </w:tcBorders>
            <w:tcMar>
              <w:top w:w="80" w:type="dxa"/>
              <w:left w:w="80" w:type="dxa"/>
              <w:bottom w:w="80" w:type="dxa"/>
              <w:right w:w="80" w:type="dxa"/>
            </w:tcMar>
          </w:tcPr>
          <w:p w14:paraId="0CC80A07" w14:textId="77777777" w:rsidR="00C66972" w:rsidRPr="00C66972" w:rsidRDefault="00C66972" w:rsidP="00AC483C">
            <w:pPr>
              <w:spacing w:after="200" w:line="276" w:lineRule="auto"/>
              <w:rPr>
                <w:rFonts w:eastAsiaTheme="minorHAnsi"/>
              </w:rPr>
            </w:pPr>
            <w:r w:rsidRPr="00C66972">
              <w:rPr>
                <w:rFonts w:eastAsiaTheme="minorHAnsi"/>
              </w:rPr>
              <w:t>Queensland Ordinary Time Earnings</w:t>
            </w:r>
          </w:p>
        </w:tc>
      </w:tr>
      <w:tr w:rsidR="00C66972" w:rsidRPr="00C66972" w14:paraId="74205FD1" w14:textId="77777777" w:rsidTr="00C43B2C">
        <w:trPr>
          <w:trHeight w:val="60"/>
        </w:trPr>
        <w:tc>
          <w:tcPr>
            <w:tcW w:w="1843" w:type="dxa"/>
            <w:tcBorders>
              <w:top w:val="nil"/>
              <w:left w:val="nil"/>
              <w:right w:val="nil"/>
            </w:tcBorders>
            <w:tcMar>
              <w:top w:w="80" w:type="dxa"/>
              <w:left w:w="80" w:type="dxa"/>
              <w:bottom w:w="80" w:type="dxa"/>
              <w:right w:w="80" w:type="dxa"/>
            </w:tcMar>
          </w:tcPr>
          <w:p w14:paraId="2A290986" w14:textId="77777777" w:rsidR="00C66972" w:rsidRPr="00C66972" w:rsidRDefault="00C66972" w:rsidP="00AC483C">
            <w:pPr>
              <w:spacing w:after="200" w:line="276" w:lineRule="auto"/>
              <w:rPr>
                <w:rFonts w:eastAsiaTheme="minorHAnsi"/>
              </w:rPr>
            </w:pPr>
            <w:r w:rsidRPr="00C66972">
              <w:rPr>
                <w:rFonts w:eastAsiaTheme="minorHAnsi"/>
              </w:rPr>
              <w:t>RISE</w:t>
            </w:r>
          </w:p>
        </w:tc>
        <w:tc>
          <w:tcPr>
            <w:tcW w:w="7229" w:type="dxa"/>
            <w:tcBorders>
              <w:top w:val="nil"/>
              <w:left w:val="nil"/>
              <w:right w:val="nil"/>
            </w:tcBorders>
            <w:tcMar>
              <w:top w:w="80" w:type="dxa"/>
              <w:left w:w="80" w:type="dxa"/>
              <w:bottom w:w="80" w:type="dxa"/>
              <w:right w:w="80" w:type="dxa"/>
            </w:tcMar>
          </w:tcPr>
          <w:p w14:paraId="035F2523" w14:textId="77777777" w:rsidR="00C66972" w:rsidRPr="00C66972" w:rsidRDefault="00C66972" w:rsidP="00AC483C">
            <w:pPr>
              <w:spacing w:after="200" w:line="276" w:lineRule="auto"/>
              <w:rPr>
                <w:rFonts w:eastAsiaTheme="minorHAnsi"/>
              </w:rPr>
            </w:pPr>
            <w:r w:rsidRPr="00C66972">
              <w:rPr>
                <w:rFonts w:eastAsiaTheme="minorHAnsi"/>
              </w:rPr>
              <w:t>Re-employment Incentive Scheme for Employers (SA)</w:t>
            </w:r>
          </w:p>
        </w:tc>
      </w:tr>
      <w:tr w:rsidR="00C66972" w:rsidRPr="00C66972" w14:paraId="61493A4D" w14:textId="77777777" w:rsidTr="00C43B2C">
        <w:trPr>
          <w:trHeight w:val="60"/>
        </w:trPr>
        <w:tc>
          <w:tcPr>
            <w:tcW w:w="1843" w:type="dxa"/>
            <w:tcMar>
              <w:top w:w="80" w:type="dxa"/>
              <w:left w:w="80" w:type="dxa"/>
              <w:bottom w:w="80" w:type="dxa"/>
              <w:right w:w="80" w:type="dxa"/>
            </w:tcMar>
          </w:tcPr>
          <w:p w14:paraId="1908C64C" w14:textId="77777777" w:rsidR="00C66972" w:rsidRPr="00C66972" w:rsidRDefault="00C66972" w:rsidP="00AC483C">
            <w:pPr>
              <w:spacing w:after="200" w:line="276" w:lineRule="auto"/>
              <w:rPr>
                <w:rFonts w:eastAsiaTheme="minorHAnsi"/>
              </w:rPr>
            </w:pPr>
            <w:r w:rsidRPr="00C66972">
              <w:rPr>
                <w:rFonts w:eastAsiaTheme="minorHAnsi"/>
              </w:rPr>
              <w:t>RTW</w:t>
            </w:r>
          </w:p>
        </w:tc>
        <w:tc>
          <w:tcPr>
            <w:tcW w:w="7229" w:type="dxa"/>
            <w:tcMar>
              <w:top w:w="80" w:type="dxa"/>
              <w:left w:w="80" w:type="dxa"/>
              <w:bottom w:w="80" w:type="dxa"/>
              <w:right w:w="80" w:type="dxa"/>
            </w:tcMar>
          </w:tcPr>
          <w:p w14:paraId="00ABFE59" w14:textId="77777777" w:rsidR="00C66972" w:rsidRPr="00C66972" w:rsidRDefault="00C66972" w:rsidP="00AC483C">
            <w:pPr>
              <w:spacing w:after="200" w:line="276" w:lineRule="auto"/>
              <w:rPr>
                <w:rFonts w:eastAsiaTheme="minorHAnsi"/>
              </w:rPr>
            </w:pPr>
            <w:r w:rsidRPr="00C66972">
              <w:rPr>
                <w:rFonts w:eastAsiaTheme="minorHAnsi"/>
              </w:rPr>
              <w:t>Return to work</w:t>
            </w:r>
          </w:p>
        </w:tc>
      </w:tr>
      <w:tr w:rsidR="00C66972" w:rsidRPr="00C66972" w14:paraId="607FC884" w14:textId="77777777" w:rsidTr="00C43B2C">
        <w:trPr>
          <w:trHeight w:val="60"/>
        </w:trPr>
        <w:tc>
          <w:tcPr>
            <w:tcW w:w="1843" w:type="dxa"/>
            <w:tcMar>
              <w:top w:w="80" w:type="dxa"/>
              <w:left w:w="80" w:type="dxa"/>
              <w:bottom w:w="80" w:type="dxa"/>
              <w:right w:w="80" w:type="dxa"/>
            </w:tcMar>
          </w:tcPr>
          <w:p w14:paraId="4DD05E3F" w14:textId="676E4720" w:rsidR="00C66972" w:rsidRPr="00C66972" w:rsidRDefault="00C66972" w:rsidP="00AC483C">
            <w:pPr>
              <w:spacing w:after="200" w:line="276" w:lineRule="auto"/>
              <w:rPr>
                <w:rFonts w:eastAsiaTheme="minorHAnsi"/>
              </w:rPr>
            </w:pPr>
            <w:r w:rsidRPr="00C66972">
              <w:rPr>
                <w:rFonts w:eastAsiaTheme="minorHAnsi"/>
              </w:rPr>
              <w:t>SIRA</w:t>
            </w:r>
          </w:p>
        </w:tc>
        <w:tc>
          <w:tcPr>
            <w:tcW w:w="7229" w:type="dxa"/>
            <w:tcMar>
              <w:top w:w="80" w:type="dxa"/>
              <w:left w:w="80" w:type="dxa"/>
              <w:bottom w:w="80" w:type="dxa"/>
              <w:right w:w="80" w:type="dxa"/>
            </w:tcMar>
          </w:tcPr>
          <w:p w14:paraId="4F6E9610" w14:textId="0CAB788F" w:rsidR="00C66972" w:rsidRPr="00C66972" w:rsidRDefault="00C66972" w:rsidP="00AC483C">
            <w:pPr>
              <w:spacing w:after="200" w:line="276" w:lineRule="auto"/>
              <w:rPr>
                <w:rFonts w:eastAsiaTheme="minorHAnsi"/>
              </w:rPr>
            </w:pPr>
            <w:r w:rsidRPr="00C66972">
              <w:rPr>
                <w:rFonts w:eastAsiaTheme="minorHAnsi"/>
              </w:rPr>
              <w:t>State Insurance Regulatory Authority (NSW)</w:t>
            </w:r>
          </w:p>
        </w:tc>
      </w:tr>
      <w:tr w:rsidR="00AC483C" w:rsidRPr="00C66972" w14:paraId="7395D882" w14:textId="77777777" w:rsidTr="00C43B2C">
        <w:trPr>
          <w:trHeight w:val="60"/>
        </w:trPr>
        <w:tc>
          <w:tcPr>
            <w:tcW w:w="1843" w:type="dxa"/>
            <w:tcMar>
              <w:top w:w="80" w:type="dxa"/>
              <w:left w:w="80" w:type="dxa"/>
              <w:bottom w:w="80" w:type="dxa"/>
              <w:right w:w="80" w:type="dxa"/>
            </w:tcMar>
          </w:tcPr>
          <w:p w14:paraId="57EB8F42" w14:textId="0A3CC8C2" w:rsidR="00AC483C" w:rsidRPr="00C66972" w:rsidRDefault="00AC483C" w:rsidP="00AC483C">
            <w:pPr>
              <w:spacing w:after="200" w:line="276" w:lineRule="auto"/>
              <w:rPr>
                <w:rFonts w:eastAsiaTheme="minorHAnsi"/>
              </w:rPr>
            </w:pPr>
            <w:r w:rsidRPr="00C66972">
              <w:rPr>
                <w:rFonts w:eastAsiaTheme="minorHAnsi"/>
              </w:rPr>
              <w:t>SRC Act</w:t>
            </w:r>
          </w:p>
        </w:tc>
        <w:tc>
          <w:tcPr>
            <w:tcW w:w="7229" w:type="dxa"/>
            <w:tcMar>
              <w:top w:w="80" w:type="dxa"/>
              <w:left w:w="80" w:type="dxa"/>
              <w:bottom w:w="80" w:type="dxa"/>
              <w:right w:w="80" w:type="dxa"/>
            </w:tcMar>
          </w:tcPr>
          <w:p w14:paraId="02E3ADF9" w14:textId="3B4BD66F" w:rsidR="00AC483C" w:rsidRPr="00C66972" w:rsidRDefault="00AC483C" w:rsidP="00AC483C">
            <w:pPr>
              <w:spacing w:after="200" w:line="276" w:lineRule="auto"/>
              <w:rPr>
                <w:rFonts w:eastAsiaTheme="minorHAnsi"/>
              </w:rPr>
            </w:pPr>
            <w:r w:rsidRPr="006D5E12">
              <w:rPr>
                <w:rFonts w:eastAsiaTheme="minorHAnsi"/>
                <w:i/>
              </w:rPr>
              <w:t>Safety, Rehabilitation and Compensation Act</w:t>
            </w:r>
            <w:r w:rsidRPr="00C66972">
              <w:rPr>
                <w:rFonts w:eastAsiaTheme="minorHAnsi"/>
              </w:rPr>
              <w:t xml:space="preserve"> (Cth)</w:t>
            </w:r>
          </w:p>
        </w:tc>
      </w:tr>
      <w:tr w:rsidR="00C66972" w:rsidRPr="00C66972" w14:paraId="07B4D544" w14:textId="77777777" w:rsidTr="00C43B2C">
        <w:trPr>
          <w:trHeight w:val="60"/>
        </w:trPr>
        <w:tc>
          <w:tcPr>
            <w:tcW w:w="1843" w:type="dxa"/>
            <w:tcBorders>
              <w:left w:val="nil"/>
              <w:bottom w:val="nil"/>
              <w:right w:val="nil"/>
            </w:tcBorders>
            <w:tcMar>
              <w:top w:w="80" w:type="dxa"/>
              <w:left w:w="80" w:type="dxa"/>
              <w:bottom w:w="80" w:type="dxa"/>
              <w:right w:w="80" w:type="dxa"/>
            </w:tcMar>
          </w:tcPr>
          <w:p w14:paraId="213C4E97" w14:textId="77777777" w:rsidR="00C66972" w:rsidRPr="00C66972" w:rsidRDefault="00C66972" w:rsidP="00AC483C">
            <w:pPr>
              <w:spacing w:after="200" w:line="276" w:lineRule="auto"/>
              <w:rPr>
                <w:rFonts w:eastAsiaTheme="minorHAnsi"/>
              </w:rPr>
            </w:pPr>
            <w:r w:rsidRPr="00C66972">
              <w:rPr>
                <w:rFonts w:eastAsiaTheme="minorHAnsi"/>
              </w:rPr>
              <w:t>SRCC</w:t>
            </w:r>
          </w:p>
        </w:tc>
        <w:tc>
          <w:tcPr>
            <w:tcW w:w="7229" w:type="dxa"/>
            <w:tcBorders>
              <w:left w:val="nil"/>
              <w:bottom w:val="nil"/>
              <w:right w:val="nil"/>
            </w:tcBorders>
            <w:tcMar>
              <w:top w:w="80" w:type="dxa"/>
              <w:left w:w="80" w:type="dxa"/>
              <w:bottom w:w="80" w:type="dxa"/>
              <w:right w:w="80" w:type="dxa"/>
            </w:tcMar>
          </w:tcPr>
          <w:p w14:paraId="219FBA25" w14:textId="77777777" w:rsidR="00C66972" w:rsidRPr="00C66972" w:rsidRDefault="00C66972" w:rsidP="00AC483C">
            <w:pPr>
              <w:spacing w:after="200" w:line="276" w:lineRule="auto"/>
              <w:rPr>
                <w:rFonts w:eastAsiaTheme="minorHAnsi"/>
              </w:rPr>
            </w:pPr>
            <w:r w:rsidRPr="00C66972">
              <w:rPr>
                <w:rFonts w:eastAsiaTheme="minorHAnsi"/>
              </w:rPr>
              <w:t>Safety, Rehabilitation and Compensation Commission</w:t>
            </w:r>
          </w:p>
        </w:tc>
      </w:tr>
      <w:tr w:rsidR="00C66972" w:rsidRPr="00C66972" w14:paraId="34E813F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F66518B" w14:textId="77777777" w:rsidR="00C66972" w:rsidRPr="00C66972" w:rsidRDefault="00C66972" w:rsidP="00AC483C">
            <w:pPr>
              <w:spacing w:after="200" w:line="276" w:lineRule="auto"/>
              <w:rPr>
                <w:rFonts w:eastAsiaTheme="minorHAnsi"/>
              </w:rPr>
            </w:pPr>
            <w:r w:rsidRPr="00C66972">
              <w:rPr>
                <w:rFonts w:eastAsiaTheme="minorHAnsi"/>
              </w:rPr>
              <w:t>TAFE</w:t>
            </w:r>
          </w:p>
        </w:tc>
        <w:tc>
          <w:tcPr>
            <w:tcW w:w="7229" w:type="dxa"/>
            <w:tcBorders>
              <w:top w:val="nil"/>
              <w:left w:val="nil"/>
              <w:bottom w:val="nil"/>
              <w:right w:val="nil"/>
            </w:tcBorders>
            <w:tcMar>
              <w:top w:w="80" w:type="dxa"/>
              <w:left w:w="80" w:type="dxa"/>
              <w:bottom w:w="80" w:type="dxa"/>
              <w:right w:w="80" w:type="dxa"/>
            </w:tcMar>
          </w:tcPr>
          <w:p w14:paraId="5353120B" w14:textId="77777777" w:rsidR="00C66972" w:rsidRPr="00C66972" w:rsidRDefault="00C66972" w:rsidP="00AC483C">
            <w:pPr>
              <w:spacing w:after="200" w:line="276" w:lineRule="auto"/>
              <w:rPr>
                <w:rFonts w:eastAsiaTheme="minorHAnsi"/>
              </w:rPr>
            </w:pPr>
            <w:r w:rsidRPr="00C66972">
              <w:rPr>
                <w:rFonts w:eastAsiaTheme="minorHAnsi"/>
              </w:rPr>
              <w:t>Technical and Further Education</w:t>
            </w:r>
          </w:p>
        </w:tc>
      </w:tr>
      <w:tr w:rsidR="00C66972" w:rsidRPr="00C66972" w14:paraId="0704E828"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65236F4" w14:textId="77777777" w:rsidR="00C66972" w:rsidRPr="00C66972" w:rsidRDefault="00C66972" w:rsidP="00AC483C">
            <w:pPr>
              <w:spacing w:after="200" w:line="276" w:lineRule="auto"/>
              <w:rPr>
                <w:rFonts w:eastAsiaTheme="minorHAnsi"/>
              </w:rPr>
            </w:pPr>
            <w:r w:rsidRPr="00C66972">
              <w:rPr>
                <w:rFonts w:eastAsiaTheme="minorHAnsi"/>
              </w:rPr>
              <w:lastRenderedPageBreak/>
              <w:t>TMF</w:t>
            </w:r>
          </w:p>
        </w:tc>
        <w:tc>
          <w:tcPr>
            <w:tcW w:w="7229" w:type="dxa"/>
            <w:tcBorders>
              <w:top w:val="nil"/>
              <w:left w:val="nil"/>
              <w:bottom w:val="nil"/>
              <w:right w:val="nil"/>
            </w:tcBorders>
            <w:tcMar>
              <w:top w:w="80" w:type="dxa"/>
              <w:left w:w="80" w:type="dxa"/>
              <w:bottom w:w="80" w:type="dxa"/>
              <w:right w:w="80" w:type="dxa"/>
            </w:tcMar>
          </w:tcPr>
          <w:p w14:paraId="5B131B23" w14:textId="2C4BF92A" w:rsidR="00C66972" w:rsidRPr="00C66972" w:rsidRDefault="00C66972" w:rsidP="00AC483C">
            <w:pPr>
              <w:spacing w:after="200" w:line="276" w:lineRule="auto"/>
              <w:rPr>
                <w:rFonts w:eastAsiaTheme="minorHAnsi"/>
              </w:rPr>
            </w:pPr>
            <w:r w:rsidRPr="00C66972">
              <w:rPr>
                <w:rFonts w:eastAsiaTheme="minorHAnsi"/>
              </w:rPr>
              <w:t>Treasury Managed Fund</w:t>
            </w:r>
            <w:r w:rsidR="00AE6838">
              <w:rPr>
                <w:rFonts w:eastAsiaTheme="minorHAnsi"/>
              </w:rPr>
              <w:fldChar w:fldCharType="begin"/>
            </w:r>
            <w:r w:rsidR="00AE6838">
              <w:instrText xml:space="preserve"> XE "</w:instrText>
            </w:r>
            <w:r w:rsidR="00AE6838" w:rsidRPr="00AC3644">
              <w:rPr>
                <w:rFonts w:cs="Arial"/>
                <w:color w:val="000000"/>
                <w:sz w:val="14"/>
                <w:szCs w:val="16"/>
                <w:lang w:val="en-GB"/>
              </w:rPr>
              <w:instrText>Treasury Managed Fund (NSW)</w:instrText>
            </w:r>
            <w:r w:rsidR="00AE6838">
              <w:instrText xml:space="preserve">" </w:instrText>
            </w:r>
            <w:r w:rsidR="00AE6838">
              <w:rPr>
                <w:rFonts w:eastAsiaTheme="minorHAnsi"/>
              </w:rPr>
              <w:fldChar w:fldCharType="end"/>
            </w:r>
            <w:r w:rsidRPr="00C66972">
              <w:rPr>
                <w:rFonts w:eastAsiaTheme="minorHAnsi"/>
              </w:rPr>
              <w:t xml:space="preserve"> (NSW)</w:t>
            </w:r>
          </w:p>
        </w:tc>
      </w:tr>
      <w:tr w:rsidR="00C66972" w:rsidRPr="00C66972" w14:paraId="6A9932FE"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624B0339" w14:textId="77777777" w:rsidR="00C66972" w:rsidRPr="00C66972" w:rsidRDefault="00C66972" w:rsidP="00AC483C">
            <w:pPr>
              <w:spacing w:after="200" w:line="276" w:lineRule="auto"/>
              <w:rPr>
                <w:rFonts w:eastAsiaTheme="minorHAnsi"/>
              </w:rPr>
            </w:pPr>
            <w:r w:rsidRPr="00C66972">
              <w:rPr>
                <w:rFonts w:eastAsiaTheme="minorHAnsi"/>
              </w:rPr>
              <w:t>TRMF</w:t>
            </w:r>
          </w:p>
        </w:tc>
        <w:tc>
          <w:tcPr>
            <w:tcW w:w="7229" w:type="dxa"/>
            <w:tcBorders>
              <w:top w:val="nil"/>
              <w:left w:val="nil"/>
              <w:bottom w:val="nil"/>
              <w:right w:val="nil"/>
            </w:tcBorders>
            <w:tcMar>
              <w:top w:w="80" w:type="dxa"/>
              <w:left w:w="80" w:type="dxa"/>
              <w:bottom w:w="80" w:type="dxa"/>
              <w:right w:w="80" w:type="dxa"/>
            </w:tcMar>
          </w:tcPr>
          <w:p w14:paraId="72C7807D" w14:textId="77777777" w:rsidR="00C66972" w:rsidRPr="00C66972" w:rsidRDefault="00C66972" w:rsidP="00AC483C">
            <w:pPr>
              <w:spacing w:after="200" w:line="276" w:lineRule="auto"/>
              <w:rPr>
                <w:rFonts w:eastAsiaTheme="minorHAnsi"/>
              </w:rPr>
            </w:pPr>
            <w:r w:rsidRPr="00C66972">
              <w:rPr>
                <w:rFonts w:eastAsiaTheme="minorHAnsi"/>
              </w:rPr>
              <w:t>Tasmanian Risk Management Fund (Tas)</w:t>
            </w:r>
          </w:p>
        </w:tc>
      </w:tr>
      <w:tr w:rsidR="00C66972" w:rsidRPr="00C66972" w14:paraId="24DD065A"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2463695" w14:textId="77777777" w:rsidR="00C66972" w:rsidRPr="00C66972" w:rsidRDefault="00C66972" w:rsidP="00AC483C">
            <w:pPr>
              <w:spacing w:after="200" w:line="276" w:lineRule="auto"/>
              <w:rPr>
                <w:rFonts w:eastAsiaTheme="minorHAnsi"/>
              </w:rPr>
            </w:pPr>
            <w:r w:rsidRPr="00C66972">
              <w:rPr>
                <w:rFonts w:eastAsiaTheme="minorHAnsi"/>
              </w:rPr>
              <w:t>VEA</w:t>
            </w:r>
          </w:p>
        </w:tc>
        <w:tc>
          <w:tcPr>
            <w:tcW w:w="7229" w:type="dxa"/>
            <w:tcBorders>
              <w:top w:val="nil"/>
              <w:left w:val="nil"/>
              <w:bottom w:val="nil"/>
              <w:right w:val="nil"/>
            </w:tcBorders>
            <w:tcMar>
              <w:top w:w="80" w:type="dxa"/>
              <w:left w:w="80" w:type="dxa"/>
              <w:bottom w:w="80" w:type="dxa"/>
              <w:right w:w="80" w:type="dxa"/>
            </w:tcMar>
          </w:tcPr>
          <w:p w14:paraId="2AA8B2B8" w14:textId="42A5908D" w:rsidR="00C66972" w:rsidRPr="00C66972" w:rsidRDefault="00C66972" w:rsidP="00AC483C">
            <w:pPr>
              <w:spacing w:after="200" w:line="276" w:lineRule="auto"/>
              <w:rPr>
                <w:rFonts w:eastAsiaTheme="minorHAnsi"/>
              </w:rPr>
            </w:pPr>
            <w:r w:rsidRPr="006D5E12">
              <w:rPr>
                <w:rFonts w:eastAsiaTheme="minorHAnsi"/>
                <w:i/>
              </w:rPr>
              <w:t>Veterans’ Entitlement</w:t>
            </w:r>
            <w:r w:rsidR="006D5E12">
              <w:rPr>
                <w:rFonts w:eastAsiaTheme="minorHAnsi"/>
                <w:i/>
              </w:rPr>
              <w:t>s</w:t>
            </w:r>
            <w:r w:rsidRPr="006D5E12">
              <w:rPr>
                <w:rFonts w:eastAsiaTheme="minorHAnsi"/>
                <w:i/>
              </w:rPr>
              <w:t xml:space="preserve"> Act</w:t>
            </w:r>
            <w:r w:rsidRPr="00C66972">
              <w:rPr>
                <w:rFonts w:eastAsiaTheme="minorHAnsi"/>
              </w:rPr>
              <w:t xml:space="preserve"> (Cth)</w:t>
            </w:r>
          </w:p>
        </w:tc>
      </w:tr>
      <w:tr w:rsidR="00C66972" w:rsidRPr="00C66972" w14:paraId="5F7818D0"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E496570" w14:textId="77777777" w:rsidR="00C66972" w:rsidRPr="00C66972" w:rsidRDefault="00C66972" w:rsidP="00AC483C">
            <w:pPr>
              <w:spacing w:after="200" w:line="276" w:lineRule="auto"/>
              <w:rPr>
                <w:rFonts w:eastAsiaTheme="minorHAnsi"/>
              </w:rPr>
            </w:pPr>
            <w:r w:rsidRPr="00C66972">
              <w:rPr>
                <w:rFonts w:eastAsiaTheme="minorHAnsi"/>
              </w:rPr>
              <w:t>VWA</w:t>
            </w:r>
          </w:p>
        </w:tc>
        <w:tc>
          <w:tcPr>
            <w:tcW w:w="7229" w:type="dxa"/>
            <w:tcBorders>
              <w:top w:val="nil"/>
              <w:left w:val="nil"/>
              <w:bottom w:val="nil"/>
              <w:right w:val="nil"/>
            </w:tcBorders>
            <w:tcMar>
              <w:top w:w="80" w:type="dxa"/>
              <w:left w:w="80" w:type="dxa"/>
              <w:bottom w:w="80" w:type="dxa"/>
              <w:right w:w="80" w:type="dxa"/>
            </w:tcMar>
          </w:tcPr>
          <w:p w14:paraId="70C5631C" w14:textId="77777777" w:rsidR="00C66972" w:rsidRPr="00C66972" w:rsidRDefault="00C66972" w:rsidP="00AC483C">
            <w:pPr>
              <w:spacing w:after="200" w:line="276" w:lineRule="auto"/>
              <w:rPr>
                <w:rFonts w:eastAsiaTheme="minorHAnsi"/>
              </w:rPr>
            </w:pPr>
            <w:r w:rsidRPr="00C66972">
              <w:rPr>
                <w:rFonts w:eastAsiaTheme="minorHAnsi"/>
              </w:rPr>
              <w:t>Victorian WorkCover Authority</w:t>
            </w:r>
          </w:p>
        </w:tc>
      </w:tr>
      <w:tr w:rsidR="00C66972" w:rsidRPr="00C66972" w14:paraId="31A4A17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D5CD648" w14:textId="77777777" w:rsidR="00C66972" w:rsidRPr="00C66972" w:rsidRDefault="00C66972" w:rsidP="00AC483C">
            <w:pPr>
              <w:spacing w:after="200" w:line="276" w:lineRule="auto"/>
              <w:rPr>
                <w:rFonts w:eastAsiaTheme="minorHAnsi"/>
              </w:rPr>
            </w:pPr>
            <w:r w:rsidRPr="00C66972">
              <w:rPr>
                <w:rFonts w:eastAsiaTheme="minorHAnsi"/>
              </w:rPr>
              <w:t>WAWE</w:t>
            </w:r>
          </w:p>
        </w:tc>
        <w:tc>
          <w:tcPr>
            <w:tcW w:w="7229" w:type="dxa"/>
            <w:tcBorders>
              <w:top w:val="nil"/>
              <w:left w:val="nil"/>
              <w:bottom w:val="nil"/>
              <w:right w:val="nil"/>
            </w:tcBorders>
            <w:tcMar>
              <w:top w:w="80" w:type="dxa"/>
              <w:left w:w="80" w:type="dxa"/>
              <w:bottom w:w="80" w:type="dxa"/>
              <w:right w:w="80" w:type="dxa"/>
            </w:tcMar>
          </w:tcPr>
          <w:p w14:paraId="0D953F28" w14:textId="77777777" w:rsidR="00C66972" w:rsidRPr="00C66972" w:rsidRDefault="00C66972" w:rsidP="00AC483C">
            <w:pPr>
              <w:spacing w:after="200" w:line="276" w:lineRule="auto"/>
              <w:rPr>
                <w:rFonts w:eastAsiaTheme="minorHAnsi"/>
              </w:rPr>
            </w:pPr>
            <w:r w:rsidRPr="00C66972">
              <w:rPr>
                <w:rFonts w:eastAsiaTheme="minorHAnsi"/>
              </w:rPr>
              <w:t>Workers Average Weekly Earnings (SA)</w:t>
            </w:r>
          </w:p>
        </w:tc>
      </w:tr>
      <w:tr w:rsidR="00C66972" w:rsidRPr="00C66972" w14:paraId="6EEFB64C"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3D269EF" w14:textId="77777777" w:rsidR="00C66972" w:rsidRPr="00C66972" w:rsidRDefault="00C66972" w:rsidP="00AC483C">
            <w:pPr>
              <w:spacing w:after="200" w:line="276" w:lineRule="auto"/>
              <w:rPr>
                <w:rFonts w:eastAsiaTheme="minorHAnsi"/>
              </w:rPr>
            </w:pPr>
            <w:r w:rsidRPr="00C66972">
              <w:rPr>
                <w:rFonts w:eastAsiaTheme="minorHAnsi"/>
              </w:rPr>
              <w:t xml:space="preserve">WCIM Act </w:t>
            </w:r>
          </w:p>
        </w:tc>
        <w:tc>
          <w:tcPr>
            <w:tcW w:w="7229" w:type="dxa"/>
            <w:tcBorders>
              <w:top w:val="nil"/>
              <w:left w:val="nil"/>
              <w:bottom w:val="nil"/>
              <w:right w:val="nil"/>
            </w:tcBorders>
            <w:tcMar>
              <w:top w:w="80" w:type="dxa"/>
              <w:left w:w="80" w:type="dxa"/>
              <w:bottom w:w="80" w:type="dxa"/>
              <w:right w:w="80" w:type="dxa"/>
            </w:tcMar>
          </w:tcPr>
          <w:p w14:paraId="0A36AF4C" w14:textId="77777777" w:rsidR="00C66972" w:rsidRPr="00C66972" w:rsidRDefault="00C66972" w:rsidP="00AC483C">
            <w:pPr>
              <w:spacing w:after="200" w:line="276" w:lineRule="auto"/>
              <w:rPr>
                <w:rFonts w:eastAsiaTheme="minorHAnsi"/>
              </w:rPr>
            </w:pPr>
            <w:r w:rsidRPr="006D5E12">
              <w:rPr>
                <w:rFonts w:eastAsiaTheme="minorHAnsi"/>
                <w:i/>
              </w:rPr>
              <w:t>Workers Compensation and Injury Management Act</w:t>
            </w:r>
            <w:r w:rsidRPr="00C66972">
              <w:rPr>
                <w:rFonts w:eastAsiaTheme="minorHAnsi"/>
              </w:rPr>
              <w:t xml:space="preserve"> (WA)</w:t>
            </w:r>
          </w:p>
        </w:tc>
      </w:tr>
      <w:tr w:rsidR="00C66972" w:rsidRPr="00C66972" w14:paraId="0F78AF08"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D316A95" w14:textId="77777777" w:rsidR="00C66972" w:rsidRPr="00C66972" w:rsidRDefault="00C66972" w:rsidP="00AC483C">
            <w:pPr>
              <w:spacing w:after="200" w:line="276" w:lineRule="auto"/>
              <w:rPr>
                <w:rFonts w:eastAsiaTheme="minorHAnsi"/>
              </w:rPr>
            </w:pPr>
            <w:r w:rsidRPr="00C66972">
              <w:rPr>
                <w:rFonts w:eastAsiaTheme="minorHAnsi"/>
              </w:rPr>
              <w:t>WIC</w:t>
            </w:r>
          </w:p>
        </w:tc>
        <w:tc>
          <w:tcPr>
            <w:tcW w:w="7229" w:type="dxa"/>
            <w:tcBorders>
              <w:top w:val="nil"/>
              <w:left w:val="nil"/>
              <w:bottom w:val="nil"/>
              <w:right w:val="nil"/>
            </w:tcBorders>
            <w:tcMar>
              <w:top w:w="80" w:type="dxa"/>
              <w:left w:w="80" w:type="dxa"/>
              <w:bottom w:w="80" w:type="dxa"/>
              <w:right w:w="80" w:type="dxa"/>
            </w:tcMar>
          </w:tcPr>
          <w:p w14:paraId="6BD2C266" w14:textId="77777777" w:rsidR="00C66972" w:rsidRPr="00C66972" w:rsidRDefault="00C66972" w:rsidP="00AC483C">
            <w:pPr>
              <w:spacing w:after="200" w:line="276" w:lineRule="auto"/>
              <w:rPr>
                <w:rFonts w:eastAsiaTheme="minorHAnsi"/>
              </w:rPr>
            </w:pPr>
            <w:r w:rsidRPr="00C66972">
              <w:rPr>
                <w:rFonts w:eastAsiaTheme="minorHAnsi"/>
              </w:rPr>
              <w:t>WorkCover Industry Classification (NSW, Qld)</w:t>
            </w:r>
          </w:p>
        </w:tc>
      </w:tr>
      <w:tr w:rsidR="00C66972" w:rsidRPr="00C66972" w14:paraId="77446F08"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3DF6FA5" w14:textId="77777777" w:rsidR="00C66972" w:rsidRPr="00C66972" w:rsidRDefault="00C66972" w:rsidP="00AC483C">
            <w:pPr>
              <w:spacing w:after="200" w:line="276" w:lineRule="auto"/>
              <w:rPr>
                <w:rFonts w:eastAsiaTheme="minorHAnsi"/>
              </w:rPr>
            </w:pPr>
            <w:r w:rsidRPr="00C66972">
              <w:rPr>
                <w:rFonts w:eastAsiaTheme="minorHAnsi"/>
              </w:rPr>
              <w:t>WISE</w:t>
            </w:r>
          </w:p>
        </w:tc>
        <w:tc>
          <w:tcPr>
            <w:tcW w:w="7229" w:type="dxa"/>
            <w:tcBorders>
              <w:top w:val="nil"/>
              <w:left w:val="nil"/>
              <w:bottom w:val="nil"/>
              <w:right w:val="nil"/>
            </w:tcBorders>
            <w:tcMar>
              <w:top w:w="80" w:type="dxa"/>
              <w:left w:w="80" w:type="dxa"/>
              <w:bottom w:w="80" w:type="dxa"/>
              <w:right w:w="80" w:type="dxa"/>
            </w:tcMar>
          </w:tcPr>
          <w:p w14:paraId="4DCAC716" w14:textId="77777777" w:rsidR="00C66972" w:rsidRPr="00C66972" w:rsidRDefault="00C66972" w:rsidP="00AC483C">
            <w:pPr>
              <w:spacing w:after="200" w:line="276" w:lineRule="auto"/>
              <w:rPr>
                <w:rFonts w:eastAsiaTheme="minorHAnsi"/>
              </w:rPr>
            </w:pPr>
            <w:r w:rsidRPr="00C66972">
              <w:rPr>
                <w:rFonts w:eastAsiaTheme="minorHAnsi"/>
              </w:rPr>
              <w:t>WorkCover Incentive Scheme for Employers (Vic)</w:t>
            </w:r>
          </w:p>
        </w:tc>
      </w:tr>
      <w:tr w:rsidR="00C66972" w:rsidRPr="00C66972" w14:paraId="4F1712A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7647028" w14:textId="77777777" w:rsidR="00C66972" w:rsidRPr="00C66972" w:rsidRDefault="00C66972" w:rsidP="00AC483C">
            <w:pPr>
              <w:spacing w:after="200" w:line="276" w:lineRule="auto"/>
              <w:rPr>
                <w:rFonts w:eastAsiaTheme="minorHAnsi"/>
              </w:rPr>
            </w:pPr>
            <w:r w:rsidRPr="00C66972">
              <w:rPr>
                <w:rFonts w:eastAsiaTheme="minorHAnsi"/>
              </w:rPr>
              <w:t xml:space="preserve">WPI </w:t>
            </w:r>
          </w:p>
        </w:tc>
        <w:tc>
          <w:tcPr>
            <w:tcW w:w="7229" w:type="dxa"/>
            <w:tcBorders>
              <w:top w:val="nil"/>
              <w:left w:val="nil"/>
              <w:bottom w:val="nil"/>
              <w:right w:val="nil"/>
            </w:tcBorders>
            <w:tcMar>
              <w:top w:w="80" w:type="dxa"/>
              <w:left w:w="80" w:type="dxa"/>
              <w:bottom w:w="80" w:type="dxa"/>
              <w:right w:w="80" w:type="dxa"/>
            </w:tcMar>
          </w:tcPr>
          <w:p w14:paraId="032F77E4" w14:textId="77777777" w:rsidR="00C66972" w:rsidRPr="00C66972" w:rsidRDefault="00C66972" w:rsidP="00AC483C">
            <w:pPr>
              <w:spacing w:after="200" w:line="276" w:lineRule="auto"/>
              <w:rPr>
                <w:rFonts w:eastAsiaTheme="minorHAnsi"/>
              </w:rPr>
            </w:pPr>
            <w:r w:rsidRPr="00C66972">
              <w:rPr>
                <w:rFonts w:eastAsiaTheme="minorHAnsi"/>
              </w:rPr>
              <w:t>Whole Person Impairment (NSW, Vic, WA, Tas, NT, Cth)</w:t>
            </w:r>
          </w:p>
        </w:tc>
      </w:tr>
      <w:tr w:rsidR="00C66972" w:rsidRPr="00C66972" w14:paraId="4E9A4060"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332C285" w14:textId="77777777" w:rsidR="00C66972" w:rsidRPr="00C66972" w:rsidRDefault="00C66972" w:rsidP="00AC483C">
            <w:pPr>
              <w:spacing w:after="200" w:line="276" w:lineRule="auto"/>
              <w:rPr>
                <w:rFonts w:eastAsiaTheme="minorHAnsi"/>
              </w:rPr>
            </w:pPr>
            <w:r w:rsidRPr="00C66972">
              <w:rPr>
                <w:rFonts w:eastAsiaTheme="minorHAnsi"/>
              </w:rPr>
              <w:t>WRC Act</w:t>
            </w:r>
          </w:p>
        </w:tc>
        <w:tc>
          <w:tcPr>
            <w:tcW w:w="7229" w:type="dxa"/>
            <w:tcBorders>
              <w:top w:val="nil"/>
              <w:left w:val="nil"/>
              <w:bottom w:val="nil"/>
              <w:right w:val="nil"/>
            </w:tcBorders>
            <w:tcMar>
              <w:top w:w="80" w:type="dxa"/>
              <w:left w:w="80" w:type="dxa"/>
              <w:bottom w:w="80" w:type="dxa"/>
              <w:right w:w="80" w:type="dxa"/>
            </w:tcMar>
          </w:tcPr>
          <w:p w14:paraId="0D5D47DA" w14:textId="77777777" w:rsidR="00C66972" w:rsidRPr="00C66972" w:rsidRDefault="00C66972" w:rsidP="00AC483C">
            <w:pPr>
              <w:spacing w:after="200" w:line="276" w:lineRule="auto"/>
              <w:rPr>
                <w:rFonts w:eastAsiaTheme="minorHAnsi"/>
              </w:rPr>
            </w:pPr>
            <w:r w:rsidRPr="006D5E12">
              <w:rPr>
                <w:rFonts w:eastAsiaTheme="minorHAnsi"/>
                <w:i/>
              </w:rPr>
              <w:t>Workers’ Rehabilitation and Compensation Act</w:t>
            </w:r>
            <w:r w:rsidRPr="00C66972">
              <w:rPr>
                <w:rFonts w:eastAsiaTheme="minorHAnsi"/>
              </w:rPr>
              <w:t xml:space="preserve"> (SA)</w:t>
            </w:r>
          </w:p>
        </w:tc>
      </w:tr>
      <w:tr w:rsidR="00C66972" w:rsidRPr="00C66972" w14:paraId="1FD55966"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EA475F9" w14:textId="77777777" w:rsidR="00C66972" w:rsidRPr="00C66972" w:rsidRDefault="00C66972" w:rsidP="00AC483C">
            <w:pPr>
              <w:spacing w:after="200" w:line="276" w:lineRule="auto"/>
              <w:rPr>
                <w:rFonts w:eastAsiaTheme="minorHAnsi"/>
              </w:rPr>
            </w:pPr>
            <w:r w:rsidRPr="00C66972">
              <w:rPr>
                <w:rFonts w:eastAsiaTheme="minorHAnsi"/>
              </w:rPr>
              <w:t>WSV</w:t>
            </w:r>
          </w:p>
        </w:tc>
        <w:tc>
          <w:tcPr>
            <w:tcW w:w="7229" w:type="dxa"/>
            <w:tcBorders>
              <w:top w:val="nil"/>
              <w:left w:val="nil"/>
              <w:bottom w:val="nil"/>
              <w:right w:val="nil"/>
            </w:tcBorders>
            <w:tcMar>
              <w:top w:w="80" w:type="dxa"/>
              <w:left w:w="80" w:type="dxa"/>
              <w:bottom w:w="80" w:type="dxa"/>
              <w:right w:w="80" w:type="dxa"/>
            </w:tcMar>
          </w:tcPr>
          <w:p w14:paraId="564E95CA" w14:textId="77777777" w:rsidR="00C66972" w:rsidRPr="00C66972" w:rsidRDefault="00C66972" w:rsidP="00AC483C">
            <w:pPr>
              <w:spacing w:after="200" w:line="276" w:lineRule="auto"/>
              <w:rPr>
                <w:rFonts w:eastAsiaTheme="minorHAnsi"/>
              </w:rPr>
            </w:pPr>
            <w:r w:rsidRPr="00C66972">
              <w:rPr>
                <w:rFonts w:eastAsiaTheme="minorHAnsi"/>
              </w:rPr>
              <w:t>WorkSafe Victoria</w:t>
            </w:r>
          </w:p>
        </w:tc>
      </w:tr>
      <w:tr w:rsidR="00C66972" w:rsidRPr="00C66972" w14:paraId="7EA848D7"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56D370ED" w14:textId="77777777" w:rsidR="00C66972" w:rsidRPr="00C66972" w:rsidRDefault="00C66972" w:rsidP="00C66972">
            <w:pPr>
              <w:spacing w:after="200" w:line="276" w:lineRule="auto"/>
              <w:rPr>
                <w:rFonts w:eastAsiaTheme="minorHAnsi"/>
              </w:rPr>
            </w:pPr>
            <w:r w:rsidRPr="00C66972">
              <w:rPr>
                <w:rFonts w:eastAsiaTheme="minorHAnsi"/>
              </w:rPr>
              <w:t>*state-based statistics</w:t>
            </w:r>
          </w:p>
        </w:tc>
        <w:tc>
          <w:tcPr>
            <w:tcW w:w="7229" w:type="dxa"/>
            <w:tcBorders>
              <w:top w:val="nil"/>
              <w:left w:val="nil"/>
              <w:bottom w:val="nil"/>
              <w:right w:val="nil"/>
            </w:tcBorders>
            <w:tcMar>
              <w:top w:w="80" w:type="dxa"/>
              <w:left w:w="80" w:type="dxa"/>
              <w:bottom w:w="80" w:type="dxa"/>
              <w:right w:w="80" w:type="dxa"/>
            </w:tcMar>
          </w:tcPr>
          <w:p w14:paraId="08A009E5" w14:textId="77777777" w:rsidR="00C66972" w:rsidRPr="00C66972" w:rsidRDefault="00C66972" w:rsidP="00C66972">
            <w:pPr>
              <w:spacing w:after="200" w:line="276" w:lineRule="auto"/>
              <w:rPr>
                <w:rFonts w:eastAsiaTheme="minorHAnsi"/>
              </w:rPr>
            </w:pPr>
          </w:p>
        </w:tc>
      </w:tr>
    </w:tbl>
    <w:p w14:paraId="082D661A" w14:textId="204988E8" w:rsidR="00297717" w:rsidRDefault="00297717" w:rsidP="00DA2E1F">
      <w:pPr>
        <w:rPr>
          <w:rFonts w:ascii="Arial Bold" w:eastAsiaTheme="majorEastAsia" w:hAnsi="Arial Bold" w:cs="Arial"/>
          <w:b/>
          <w:bCs/>
          <w:color w:val="C00000"/>
          <w:kern w:val="28"/>
          <w:sz w:val="36"/>
          <w:szCs w:val="32"/>
          <w:lang w:eastAsia="en-US"/>
        </w:rPr>
      </w:pPr>
      <w:bookmarkStart w:id="315" w:name="_Toc483227230"/>
      <w:bookmarkStart w:id="316" w:name="_Toc497465795"/>
    </w:p>
    <w:p w14:paraId="4015E441" w14:textId="77777777" w:rsidR="00297717" w:rsidRDefault="00297717">
      <w:pPr>
        <w:spacing w:after="200" w:line="276" w:lineRule="auto"/>
        <w:rPr>
          <w:rFonts w:ascii="Arial Bold" w:eastAsiaTheme="majorEastAsia" w:hAnsi="Arial Bold" w:cs="Arial"/>
          <w:b/>
          <w:bCs/>
          <w:color w:val="C00000"/>
          <w:kern w:val="28"/>
          <w:sz w:val="36"/>
          <w:szCs w:val="32"/>
          <w:lang w:eastAsia="en-US"/>
        </w:rPr>
      </w:pPr>
      <w:r>
        <w:rPr>
          <w:rFonts w:ascii="Arial Bold" w:eastAsiaTheme="majorEastAsia" w:hAnsi="Arial Bold" w:cs="Arial"/>
          <w:b/>
          <w:bCs/>
          <w:color w:val="C00000"/>
          <w:kern w:val="28"/>
          <w:sz w:val="36"/>
          <w:szCs w:val="32"/>
          <w:lang w:eastAsia="en-US"/>
        </w:rPr>
        <w:br w:type="page"/>
      </w:r>
    </w:p>
    <w:p w14:paraId="29F46814" w14:textId="77777777" w:rsidR="00DA2E1F" w:rsidRDefault="00DA2E1F" w:rsidP="00B12EFB">
      <w:pPr>
        <w:pStyle w:val="Heading2"/>
        <w:spacing w:after="240"/>
        <w:rPr>
          <w:rFonts w:cs="Arial"/>
          <w:b w:val="0"/>
          <w:bCs/>
          <w:color w:val="C00000"/>
          <w:kern w:val="28"/>
          <w:sz w:val="36"/>
          <w:szCs w:val="32"/>
          <w:lang w:eastAsia="en-US"/>
        </w:rPr>
      </w:pPr>
    </w:p>
    <w:p w14:paraId="4E03676A" w14:textId="6D618B2F" w:rsidR="00E57854" w:rsidRPr="00730368" w:rsidRDefault="00B80B95" w:rsidP="00205CCE">
      <w:pPr>
        <w:pStyle w:val="Title"/>
        <w:rPr>
          <w:rFonts w:ascii="Arial" w:hAnsi="Arial"/>
        </w:rPr>
      </w:pPr>
      <w:bookmarkStart w:id="317" w:name="_Toc504654750"/>
      <w:bookmarkEnd w:id="315"/>
      <w:bookmarkEnd w:id="316"/>
      <w:r w:rsidRPr="00730368">
        <w:rPr>
          <w:rFonts w:ascii="Arial" w:hAnsi="Arial"/>
        </w:rPr>
        <w:t>Index</w:t>
      </w:r>
      <w:bookmarkEnd w:id="317"/>
      <w:r w:rsidR="00E57854" w:rsidRPr="00730368">
        <w:rPr>
          <w:rFonts w:ascii="Arial" w:hAnsi="Arial"/>
        </w:rPr>
        <w:fldChar w:fldCharType="begin"/>
      </w:r>
      <w:r w:rsidR="00E57854" w:rsidRPr="00730368">
        <w:rPr>
          <w:rFonts w:ascii="Arial" w:hAnsi="Arial"/>
        </w:rPr>
        <w:instrText xml:space="preserve"> XE "Northern Territory:for details of coverage and entitlements see specific subject headings" </w:instrText>
      </w:r>
      <w:r w:rsidR="00E57854" w:rsidRPr="00730368">
        <w:rPr>
          <w:rFonts w:ascii="Arial" w:hAnsi="Arial"/>
        </w:rPr>
        <w:fldChar w:fldCharType="end"/>
      </w:r>
    </w:p>
    <w:p w14:paraId="3EC70C84" w14:textId="77777777" w:rsidR="00B74524" w:rsidRDefault="00E57854" w:rsidP="00B80B95">
      <w:pPr>
        <w:contextualSpacing/>
        <w:rPr>
          <w:noProof/>
        </w:rPr>
      </w:pPr>
      <w:r w:rsidRPr="00110C3C">
        <w:rPr>
          <w:rFonts w:eastAsiaTheme="minorHAnsi" w:cs="Arial"/>
        </w:rPr>
        <w:fldChar w:fldCharType="begin"/>
      </w:r>
      <w:r w:rsidRPr="00110C3C">
        <w:rPr>
          <w:rFonts w:cs="Arial"/>
        </w:rPr>
        <w:instrText xml:space="preserve"> XE "payments:see also settlement of future incapacity benefits" \t "" </w:instrText>
      </w:r>
      <w:r w:rsidRPr="00110C3C">
        <w:rPr>
          <w:rFonts w:eastAsiaTheme="minorHAnsi" w:cs="Arial"/>
        </w:rPr>
        <w:fldChar w:fldCharType="end"/>
      </w:r>
      <w:r w:rsidR="00B80B95" w:rsidRPr="00110C3C">
        <w:rPr>
          <w:rFonts w:eastAsiaTheme="minorHAnsi" w:cs="Arial"/>
          <w:u w:val="single"/>
        </w:rPr>
        <w:fldChar w:fldCharType="begin"/>
      </w:r>
      <w:r w:rsidR="00B80B95" w:rsidRPr="00110C3C">
        <w:rPr>
          <w:rFonts w:eastAsiaTheme="minorHAnsi" w:cs="Arial"/>
          <w:u w:val="single"/>
        </w:rPr>
        <w:instrText xml:space="preserve"> INDEX \h "A" \c "2" \z "3081"  \* MERGEFORMAT  \* MERGEFORMAT </w:instrText>
      </w:r>
      <w:r w:rsidR="00B80B95" w:rsidRPr="00110C3C">
        <w:rPr>
          <w:rFonts w:eastAsiaTheme="minorHAnsi" w:cs="Arial"/>
          <w:u w:val="single"/>
        </w:rPr>
        <w:fldChar w:fldCharType="separate"/>
      </w:r>
    </w:p>
    <w:p w14:paraId="5AB1DC95" w14:textId="77777777" w:rsidR="00B74524" w:rsidRDefault="00B74524" w:rsidP="00B80B95">
      <w:pPr>
        <w:contextualSpacing/>
        <w:rPr>
          <w:rFonts w:eastAsiaTheme="minorHAnsi" w:cs="Arial"/>
          <w:noProof/>
          <w:u w:val="single"/>
        </w:rPr>
        <w:sectPr w:rsidR="00B74524" w:rsidSect="00B74524">
          <w:headerReference w:type="first" r:id="rId2248"/>
          <w:type w:val="continuous"/>
          <w:pgSz w:w="11906" w:h="16838"/>
          <w:pgMar w:top="1440" w:right="1440" w:bottom="1440" w:left="1440" w:header="709" w:footer="709" w:gutter="0"/>
          <w:cols w:space="708"/>
          <w:titlePg/>
          <w:docGrid w:linePitch="360"/>
        </w:sectPr>
      </w:pPr>
    </w:p>
    <w:p w14:paraId="74682E9C"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A</w:t>
      </w:r>
    </w:p>
    <w:p w14:paraId="5BD0FD2C" w14:textId="77777777" w:rsidR="00B74524" w:rsidRDefault="00B74524" w:rsidP="00B74524">
      <w:pPr>
        <w:pStyle w:val="Index1"/>
      </w:pPr>
      <w:r w:rsidRPr="00B74524">
        <w:t>abbreviations</w:t>
      </w:r>
      <w:r>
        <w:t>, 286</w:t>
      </w:r>
    </w:p>
    <w:p w14:paraId="7B8D6D67" w14:textId="77777777" w:rsidR="00B74524" w:rsidRDefault="00B74524" w:rsidP="00B74524">
      <w:pPr>
        <w:pStyle w:val="Index1"/>
      </w:pPr>
      <w:r w:rsidRPr="00320039">
        <w:rPr>
          <w:rFonts w:eastAsia="Calibri"/>
        </w:rPr>
        <w:t>accommodation</w:t>
      </w:r>
      <w:r>
        <w:t>, 47, 102, 110, 257</w:t>
      </w:r>
    </w:p>
    <w:p w14:paraId="7BAB0240" w14:textId="77777777" w:rsidR="00B74524" w:rsidRDefault="00B74524" w:rsidP="00B74524">
      <w:pPr>
        <w:pStyle w:val="Index1"/>
      </w:pPr>
      <w:r>
        <w:t>Administrative scheme, defined, 281</w:t>
      </w:r>
    </w:p>
    <w:p w14:paraId="6A823893" w14:textId="77777777" w:rsidR="00B74524" w:rsidRDefault="00B74524" w:rsidP="00B74524">
      <w:pPr>
        <w:pStyle w:val="Index1"/>
      </w:pPr>
      <w:r>
        <w:t>Agencies responsible, 15, 18</w:t>
      </w:r>
    </w:p>
    <w:p w14:paraId="20C14BD3" w14:textId="77777777" w:rsidR="00B74524" w:rsidRDefault="00B74524" w:rsidP="00B74524">
      <w:pPr>
        <w:pStyle w:val="Index1"/>
      </w:pPr>
      <w:r>
        <w:t>Aggravation and acceleration, 71</w:t>
      </w:r>
    </w:p>
    <w:p w14:paraId="3286B120" w14:textId="77777777" w:rsidR="00B74524" w:rsidRDefault="00B74524" w:rsidP="00B74524">
      <w:pPr>
        <w:pStyle w:val="Index1"/>
      </w:pPr>
      <w:r>
        <w:t xml:space="preserve">ailments see diseases. </w:t>
      </w:r>
    </w:p>
    <w:p w14:paraId="7445D96F" w14:textId="77777777" w:rsidR="00B74524" w:rsidRDefault="00B74524" w:rsidP="00B74524">
      <w:pPr>
        <w:pStyle w:val="Index1"/>
      </w:pPr>
      <w:r w:rsidRPr="00320039">
        <w:rPr>
          <w:rFonts w:eastAsia="Calibri"/>
        </w:rPr>
        <w:t>American Medical Association</w:t>
      </w:r>
      <w:r>
        <w:t>, 78, 84, 246, 286</w:t>
      </w:r>
    </w:p>
    <w:p w14:paraId="36B37C19" w14:textId="77777777" w:rsidR="00B74524" w:rsidRDefault="00B74524" w:rsidP="00B74524">
      <w:pPr>
        <w:pStyle w:val="Index1"/>
      </w:pPr>
      <w:r w:rsidRPr="00320039">
        <w:t>Asbestos related Diseases</w:t>
      </w:r>
      <w:r>
        <w:t>, 228</w:t>
      </w:r>
    </w:p>
    <w:p w14:paraId="1EAC9FD4" w14:textId="77777777" w:rsidR="00B74524" w:rsidRDefault="00B74524" w:rsidP="00B74524">
      <w:pPr>
        <w:pStyle w:val="Index1"/>
      </w:pPr>
      <w:r w:rsidRPr="00B74524">
        <w:t>Asbestos Related Diseases</w:t>
      </w:r>
      <w:r>
        <w:t>, 75, 226, 228, 253, 254, 274, 277</w:t>
      </w:r>
    </w:p>
    <w:p w14:paraId="5F7C4C33" w14:textId="77777777" w:rsidR="00B74524" w:rsidRDefault="00B74524" w:rsidP="00B74524">
      <w:pPr>
        <w:pStyle w:val="Index1"/>
      </w:pPr>
      <w:r>
        <w:t>Attendant care, defined, 281</w:t>
      </w:r>
    </w:p>
    <w:p w14:paraId="3E84259B" w14:textId="77777777" w:rsidR="00B74524" w:rsidRDefault="00B74524" w:rsidP="00B74524">
      <w:pPr>
        <w:pStyle w:val="Index1"/>
      </w:pPr>
      <w:r>
        <w:t>Australian Capital Territory</w:t>
      </w:r>
    </w:p>
    <w:p w14:paraId="6EA3866B" w14:textId="77777777" w:rsidR="00B74524" w:rsidRDefault="00B74524">
      <w:pPr>
        <w:pStyle w:val="Index2"/>
        <w:tabs>
          <w:tab w:val="right" w:leader="dot" w:pos="4143"/>
        </w:tabs>
        <w:rPr>
          <w:noProof/>
        </w:rPr>
      </w:pPr>
      <w:r>
        <w:rPr>
          <w:noProof/>
        </w:rPr>
        <w:t>agency responsible, 18</w:t>
      </w:r>
    </w:p>
    <w:p w14:paraId="1268B248" w14:textId="77777777" w:rsidR="00B74524" w:rsidRDefault="00B74524">
      <w:pPr>
        <w:pStyle w:val="Index2"/>
        <w:tabs>
          <w:tab w:val="right" w:leader="dot" w:pos="4143"/>
        </w:tabs>
        <w:rPr>
          <w:noProof/>
        </w:rPr>
      </w:pPr>
      <w:r>
        <w:rPr>
          <w:noProof/>
        </w:rPr>
        <w:t>contacts, 16</w:t>
      </w:r>
    </w:p>
    <w:p w14:paraId="558C2DED" w14:textId="77777777" w:rsidR="00B74524" w:rsidRDefault="00B74524">
      <w:pPr>
        <w:pStyle w:val="Index2"/>
        <w:tabs>
          <w:tab w:val="right" w:leader="dot" w:pos="4143"/>
        </w:tabs>
        <w:rPr>
          <w:noProof/>
        </w:rPr>
      </w:pPr>
      <w:r>
        <w:rPr>
          <w:noProof/>
        </w:rPr>
        <w:t xml:space="preserve">for details of coverage and entitlements see specific subject headings. </w:t>
      </w:r>
    </w:p>
    <w:p w14:paraId="7DCAB8A8" w14:textId="77777777" w:rsidR="00B74524" w:rsidRDefault="00B74524">
      <w:pPr>
        <w:pStyle w:val="Index2"/>
        <w:tabs>
          <w:tab w:val="right" w:leader="dot" w:pos="4143"/>
        </w:tabs>
        <w:rPr>
          <w:noProof/>
        </w:rPr>
      </w:pPr>
      <w:r>
        <w:rPr>
          <w:noProof/>
        </w:rPr>
        <w:t>scheme key features, 20</w:t>
      </w:r>
    </w:p>
    <w:p w14:paraId="651B03E2" w14:textId="77777777" w:rsidR="00B74524" w:rsidRDefault="00B74524">
      <w:pPr>
        <w:pStyle w:val="Index2"/>
        <w:tabs>
          <w:tab w:val="right" w:leader="dot" w:pos="4143"/>
        </w:tabs>
        <w:rPr>
          <w:noProof/>
        </w:rPr>
      </w:pPr>
      <w:r>
        <w:rPr>
          <w:noProof/>
        </w:rPr>
        <w:t>summary of coverage of workers, 23</w:t>
      </w:r>
    </w:p>
    <w:p w14:paraId="5870E2DF" w14:textId="77777777" w:rsidR="00B74524" w:rsidRDefault="00B74524">
      <w:pPr>
        <w:pStyle w:val="Index2"/>
        <w:tabs>
          <w:tab w:val="right" w:leader="dot" w:pos="4143"/>
        </w:tabs>
        <w:rPr>
          <w:noProof/>
        </w:rPr>
      </w:pPr>
      <w:r>
        <w:rPr>
          <w:noProof/>
        </w:rPr>
        <w:t>summary of entitlements, 31–35</w:t>
      </w:r>
    </w:p>
    <w:p w14:paraId="7DBC62D2"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B</w:t>
      </w:r>
    </w:p>
    <w:p w14:paraId="3F27FC03" w14:textId="77777777" w:rsidR="00B74524" w:rsidRDefault="00B74524" w:rsidP="00B74524">
      <w:pPr>
        <w:pStyle w:val="Index1"/>
      </w:pPr>
      <w:r w:rsidRPr="00320039">
        <w:rPr>
          <w:rFonts w:eastAsiaTheme="minorHAnsi"/>
        </w:rPr>
        <w:t>bank guarantees</w:t>
      </w:r>
      <w:r>
        <w:t>, 195, 198, 208</w:t>
      </w:r>
    </w:p>
    <w:p w14:paraId="7BFBE451" w14:textId="77777777" w:rsidR="00B74524" w:rsidRDefault="00B74524" w:rsidP="00B74524">
      <w:pPr>
        <w:pStyle w:val="Index1"/>
      </w:pPr>
      <w:r>
        <w:t>benefits, 99–100</w:t>
      </w:r>
    </w:p>
    <w:p w14:paraId="0972E07B" w14:textId="77777777" w:rsidR="00B74524" w:rsidRDefault="00B74524">
      <w:pPr>
        <w:pStyle w:val="Index2"/>
        <w:tabs>
          <w:tab w:val="right" w:leader="dot" w:pos="4143"/>
        </w:tabs>
        <w:rPr>
          <w:noProof/>
        </w:rPr>
      </w:pPr>
      <w:r>
        <w:rPr>
          <w:noProof/>
        </w:rPr>
        <w:t>common law access, 100, 118, 243</w:t>
      </w:r>
    </w:p>
    <w:p w14:paraId="171A7546" w14:textId="77777777" w:rsidR="00B74524" w:rsidRDefault="00B74524">
      <w:pPr>
        <w:pStyle w:val="Index2"/>
        <w:tabs>
          <w:tab w:val="right" w:leader="dot" w:pos="4143"/>
        </w:tabs>
        <w:rPr>
          <w:noProof/>
        </w:rPr>
      </w:pPr>
      <w:r>
        <w:rPr>
          <w:noProof/>
        </w:rPr>
        <w:t>death entitlements, 34, 99, 122–23</w:t>
      </w:r>
    </w:p>
    <w:p w14:paraId="6D11C6CF" w14:textId="77777777" w:rsidR="00B74524" w:rsidRDefault="00B74524">
      <w:pPr>
        <w:pStyle w:val="Index2"/>
        <w:tabs>
          <w:tab w:val="right" w:leader="dot" w:pos="4143"/>
        </w:tabs>
        <w:rPr>
          <w:noProof/>
        </w:rPr>
      </w:pPr>
      <w:r>
        <w:rPr>
          <w:noProof/>
        </w:rPr>
        <w:t>defined, 281</w:t>
      </w:r>
    </w:p>
    <w:p w14:paraId="5E04DEDF" w14:textId="77777777" w:rsidR="00B74524" w:rsidRDefault="00B74524">
      <w:pPr>
        <w:pStyle w:val="Index2"/>
        <w:tabs>
          <w:tab w:val="right" w:leader="dot" w:pos="4143"/>
        </w:tabs>
        <w:rPr>
          <w:noProof/>
        </w:rPr>
      </w:pPr>
      <w:r>
        <w:rPr>
          <w:noProof/>
        </w:rPr>
        <w:t>dependants/spouse definitions for death benefits, 124–30</w:t>
      </w:r>
    </w:p>
    <w:p w14:paraId="7BE6EB99" w14:textId="77777777" w:rsidR="00B74524" w:rsidRDefault="00B74524">
      <w:pPr>
        <w:pStyle w:val="Index2"/>
        <w:tabs>
          <w:tab w:val="right" w:leader="dot" w:pos="4143"/>
        </w:tabs>
        <w:rPr>
          <w:noProof/>
        </w:rPr>
      </w:pPr>
      <w:r>
        <w:rPr>
          <w:noProof/>
        </w:rPr>
        <w:t>entitlements summary, 31–35</w:t>
      </w:r>
    </w:p>
    <w:p w14:paraId="64E93D92" w14:textId="77777777" w:rsidR="00B74524" w:rsidRDefault="00B74524">
      <w:pPr>
        <w:pStyle w:val="Index2"/>
        <w:tabs>
          <w:tab w:val="right" w:leader="dot" w:pos="4143"/>
        </w:tabs>
        <w:rPr>
          <w:noProof/>
        </w:rPr>
      </w:pPr>
      <w:r>
        <w:rPr>
          <w:noProof/>
        </w:rPr>
        <w:t>income replacement, 99, 101–9</w:t>
      </w:r>
    </w:p>
    <w:p w14:paraId="62EC06F1" w14:textId="77777777" w:rsidR="00B74524" w:rsidRDefault="00B74524">
      <w:pPr>
        <w:pStyle w:val="Index2"/>
        <w:tabs>
          <w:tab w:val="right" w:leader="dot" w:pos="4143"/>
        </w:tabs>
        <w:rPr>
          <w:noProof/>
        </w:rPr>
      </w:pPr>
      <w:r>
        <w:rPr>
          <w:noProof/>
        </w:rPr>
        <w:t>medical, hospital and other costs, 99, 110–17</w:t>
      </w:r>
    </w:p>
    <w:p w14:paraId="13D343E3" w14:textId="77777777" w:rsidR="00B74524" w:rsidRDefault="00B74524">
      <w:pPr>
        <w:pStyle w:val="Index2"/>
        <w:tabs>
          <w:tab w:val="right" w:leader="dot" w:pos="4143"/>
        </w:tabs>
        <w:rPr>
          <w:noProof/>
        </w:rPr>
      </w:pPr>
      <w:r>
        <w:rPr>
          <w:noProof/>
        </w:rPr>
        <w:t>permanent impairment payments, 99, 283</w:t>
      </w:r>
    </w:p>
    <w:p w14:paraId="2AE02A5E" w14:textId="77777777" w:rsidR="00B74524" w:rsidRDefault="00B74524">
      <w:pPr>
        <w:pStyle w:val="Index2"/>
        <w:tabs>
          <w:tab w:val="right" w:leader="dot" w:pos="4143"/>
        </w:tabs>
        <w:rPr>
          <w:noProof/>
        </w:rPr>
      </w:pPr>
      <w:r>
        <w:rPr>
          <w:noProof/>
        </w:rPr>
        <w:t>permenent impairment payments, 118–21</w:t>
      </w:r>
    </w:p>
    <w:p w14:paraId="74C615E3" w14:textId="77777777" w:rsidR="00B74524" w:rsidRDefault="00B74524">
      <w:pPr>
        <w:pStyle w:val="Index2"/>
        <w:tabs>
          <w:tab w:val="right" w:leader="dot" w:pos="4143"/>
        </w:tabs>
        <w:rPr>
          <w:noProof/>
        </w:rPr>
      </w:pPr>
      <w:r>
        <w:rPr>
          <w:noProof/>
        </w:rPr>
        <w:t>settlement of future incapacity benefits, 100</w:t>
      </w:r>
    </w:p>
    <w:p w14:paraId="6E429914" w14:textId="77777777" w:rsidR="00B74524" w:rsidRDefault="00B74524">
      <w:pPr>
        <w:pStyle w:val="Index2"/>
        <w:tabs>
          <w:tab w:val="right" w:leader="dot" w:pos="4143"/>
        </w:tabs>
        <w:rPr>
          <w:noProof/>
        </w:rPr>
      </w:pPr>
      <w:r>
        <w:rPr>
          <w:noProof/>
        </w:rPr>
        <w:t>suspension and cessation of benefits, 100, 135–38</w:t>
      </w:r>
    </w:p>
    <w:p w14:paraId="0BF77899" w14:textId="77777777" w:rsidR="00B74524" w:rsidRDefault="00B74524" w:rsidP="00B74524">
      <w:pPr>
        <w:pStyle w:val="Index1"/>
      </w:pPr>
      <w:r>
        <w:t>biological agents and infectious or parasitic diseases, 276</w:t>
      </w:r>
    </w:p>
    <w:p w14:paraId="2FDA4173" w14:textId="77777777" w:rsidR="00B74524" w:rsidRDefault="00B74524" w:rsidP="00B74524">
      <w:pPr>
        <w:pStyle w:val="Index1"/>
      </w:pPr>
      <w:r>
        <w:t>breaks, injuries during, 26, 71, 73–74</w:t>
      </w:r>
    </w:p>
    <w:p w14:paraId="630DB7A2" w14:textId="77777777" w:rsidR="00B74524" w:rsidRDefault="00B74524" w:rsidP="00B74524">
      <w:pPr>
        <w:pStyle w:val="Index1"/>
      </w:pPr>
      <w:r>
        <w:t>British nuclear tests, 229</w:t>
      </w:r>
    </w:p>
    <w:p w14:paraId="204AC068"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C</w:t>
      </w:r>
    </w:p>
    <w:p w14:paraId="6EC4279A" w14:textId="77777777" w:rsidR="00B74524" w:rsidRDefault="00B74524" w:rsidP="00B74524">
      <w:pPr>
        <w:pStyle w:val="Index1"/>
      </w:pPr>
      <w:r>
        <w:t>cancer</w:t>
      </w:r>
    </w:p>
    <w:p w14:paraId="76302645" w14:textId="77777777" w:rsidR="00B74524" w:rsidRDefault="00B74524">
      <w:pPr>
        <w:pStyle w:val="Index2"/>
        <w:tabs>
          <w:tab w:val="right" w:leader="dot" w:pos="4143"/>
        </w:tabs>
        <w:rPr>
          <w:noProof/>
        </w:rPr>
      </w:pPr>
      <w:r>
        <w:rPr>
          <w:noProof/>
        </w:rPr>
        <w:t>lung cancer (WA), 226</w:t>
      </w:r>
    </w:p>
    <w:p w14:paraId="3039117D" w14:textId="77777777" w:rsidR="00B74524" w:rsidRDefault="00B74524">
      <w:pPr>
        <w:pStyle w:val="Index2"/>
        <w:tabs>
          <w:tab w:val="right" w:leader="dot" w:pos="4143"/>
        </w:tabs>
        <w:rPr>
          <w:noProof/>
        </w:rPr>
      </w:pPr>
      <w:r>
        <w:rPr>
          <w:noProof/>
        </w:rPr>
        <w:t>occupational cancer (table of diseases and cancer-causing agents), 277–80</w:t>
      </w:r>
    </w:p>
    <w:p w14:paraId="1860BBF5" w14:textId="77777777" w:rsidR="00B74524" w:rsidRDefault="00B74524" w:rsidP="00B74524">
      <w:pPr>
        <w:pStyle w:val="Index1"/>
      </w:pPr>
      <w:r>
        <w:t>case management outsourcing, 201</w:t>
      </w:r>
    </w:p>
    <w:p w14:paraId="52176DC9" w14:textId="77777777" w:rsidR="00B74524" w:rsidRDefault="00B74524" w:rsidP="00B74524">
      <w:pPr>
        <w:pStyle w:val="Index1"/>
      </w:pPr>
      <w:r>
        <w:t>Category 1 employers (NSW), 162, 175, 281</w:t>
      </w:r>
    </w:p>
    <w:p w14:paraId="67DB924E" w14:textId="77777777" w:rsidR="00B74524" w:rsidRDefault="00B74524" w:rsidP="00B74524">
      <w:pPr>
        <w:pStyle w:val="Index1"/>
      </w:pPr>
      <w:r w:rsidRPr="00320039">
        <w:rPr>
          <w:rFonts w:eastAsia="Calibri"/>
        </w:rPr>
        <w:t>Category 2 employers (NSW)</w:t>
      </w:r>
      <w:r>
        <w:t>, 175</w:t>
      </w:r>
    </w:p>
    <w:p w14:paraId="6D88B5D1" w14:textId="77777777" w:rsidR="00B74524" w:rsidRDefault="00B74524" w:rsidP="00B74524">
      <w:pPr>
        <w:pStyle w:val="Index1"/>
      </w:pPr>
      <w:r>
        <w:t>centrally funded schemes, 232, 281</w:t>
      </w:r>
    </w:p>
    <w:p w14:paraId="30B3F9F4" w14:textId="77777777" w:rsidR="00B74524" w:rsidRDefault="00B74524" w:rsidP="00B74524">
      <w:pPr>
        <w:pStyle w:val="Index1"/>
      </w:pPr>
      <w:r>
        <w:t>chemical agents, 265–68</w:t>
      </w:r>
    </w:p>
    <w:p w14:paraId="0388D631" w14:textId="77777777" w:rsidR="00B74524" w:rsidRDefault="00B74524" w:rsidP="00B74524">
      <w:pPr>
        <w:pStyle w:val="Index1"/>
      </w:pPr>
      <w:r>
        <w:t>claim submission prescribed time periods, 38–41</w:t>
      </w:r>
    </w:p>
    <w:p w14:paraId="338DD365" w14:textId="77777777" w:rsidR="00B74524" w:rsidRDefault="00B74524" w:rsidP="00B74524">
      <w:pPr>
        <w:pStyle w:val="Index1"/>
      </w:pPr>
      <w:r w:rsidRPr="00320039">
        <w:t>coal industry (NSW)</w:t>
      </w:r>
      <w:r>
        <w:t>, 223, 239</w:t>
      </w:r>
    </w:p>
    <w:p w14:paraId="62F38901" w14:textId="77777777" w:rsidR="00B74524" w:rsidRDefault="00B74524" w:rsidP="00B74524">
      <w:pPr>
        <w:pStyle w:val="Index1"/>
      </w:pPr>
      <w:r>
        <w:t>Comcare</w:t>
      </w:r>
    </w:p>
    <w:p w14:paraId="33DBD7DC" w14:textId="77777777" w:rsidR="00B74524" w:rsidRDefault="00B74524">
      <w:pPr>
        <w:pStyle w:val="Index2"/>
        <w:tabs>
          <w:tab w:val="right" w:leader="dot" w:pos="4143"/>
        </w:tabs>
        <w:rPr>
          <w:noProof/>
        </w:rPr>
      </w:pPr>
      <w:r>
        <w:rPr>
          <w:noProof/>
        </w:rPr>
        <w:t>agencies responsible, 18</w:t>
      </w:r>
    </w:p>
    <w:p w14:paraId="13F4ED5D" w14:textId="77777777" w:rsidR="00B74524" w:rsidRDefault="00B74524">
      <w:pPr>
        <w:pStyle w:val="Index2"/>
        <w:tabs>
          <w:tab w:val="right" w:leader="dot" w:pos="4143"/>
        </w:tabs>
        <w:rPr>
          <w:noProof/>
        </w:rPr>
      </w:pPr>
      <w:r>
        <w:rPr>
          <w:noProof/>
        </w:rPr>
        <w:t>contacts, 17</w:t>
      </w:r>
    </w:p>
    <w:p w14:paraId="3642C57A" w14:textId="77777777" w:rsidR="00B74524" w:rsidRDefault="00B74524">
      <w:pPr>
        <w:pStyle w:val="Index2"/>
        <w:tabs>
          <w:tab w:val="right" w:leader="dot" w:pos="4143"/>
        </w:tabs>
        <w:rPr>
          <w:noProof/>
        </w:rPr>
      </w:pPr>
      <w:r>
        <w:rPr>
          <w:noProof/>
        </w:rPr>
        <w:t>recent developments, 13</w:t>
      </w:r>
    </w:p>
    <w:p w14:paraId="3A9EB81B" w14:textId="77777777" w:rsidR="00B74524" w:rsidRDefault="00B74524">
      <w:pPr>
        <w:pStyle w:val="Index2"/>
        <w:tabs>
          <w:tab w:val="right" w:leader="dot" w:pos="4143"/>
        </w:tabs>
        <w:rPr>
          <w:noProof/>
        </w:rPr>
      </w:pPr>
      <w:r>
        <w:rPr>
          <w:noProof/>
        </w:rPr>
        <w:t>scheme key features, 20</w:t>
      </w:r>
    </w:p>
    <w:p w14:paraId="7609B507" w14:textId="77777777" w:rsidR="00B74524" w:rsidRDefault="00B74524">
      <w:pPr>
        <w:pStyle w:val="Index2"/>
        <w:tabs>
          <w:tab w:val="right" w:leader="dot" w:pos="4143"/>
        </w:tabs>
        <w:rPr>
          <w:noProof/>
        </w:rPr>
      </w:pPr>
      <w:r>
        <w:rPr>
          <w:noProof/>
        </w:rPr>
        <w:t>summary of coverage of workers, 23</w:t>
      </w:r>
    </w:p>
    <w:p w14:paraId="6D72C9D9" w14:textId="77777777" w:rsidR="00B74524" w:rsidRDefault="00B74524">
      <w:pPr>
        <w:pStyle w:val="Index2"/>
        <w:tabs>
          <w:tab w:val="right" w:leader="dot" w:pos="4143"/>
        </w:tabs>
        <w:rPr>
          <w:noProof/>
        </w:rPr>
      </w:pPr>
      <w:r>
        <w:rPr>
          <w:noProof/>
        </w:rPr>
        <w:t>summary of entitlements, 31–35</w:t>
      </w:r>
    </w:p>
    <w:p w14:paraId="67B670DB" w14:textId="77777777" w:rsidR="00B74524" w:rsidRDefault="00B74524" w:rsidP="00B74524">
      <w:pPr>
        <w:pStyle w:val="Index1"/>
      </w:pPr>
      <w:r>
        <w:t>common law access, 100</w:t>
      </w:r>
    </w:p>
    <w:p w14:paraId="5D147878" w14:textId="77777777" w:rsidR="00B74524" w:rsidRDefault="00B74524" w:rsidP="00B74524">
      <w:pPr>
        <w:pStyle w:val="Index1"/>
      </w:pPr>
      <w:r>
        <w:t>Commonwealth of Australia</w:t>
      </w:r>
    </w:p>
    <w:p w14:paraId="755E778C" w14:textId="77777777" w:rsidR="00B74524" w:rsidRDefault="00B74524">
      <w:pPr>
        <w:pStyle w:val="Index2"/>
        <w:tabs>
          <w:tab w:val="right" w:leader="dot" w:pos="4143"/>
        </w:tabs>
        <w:rPr>
          <w:noProof/>
        </w:rPr>
      </w:pPr>
      <w:r>
        <w:rPr>
          <w:noProof/>
        </w:rPr>
        <w:t>schemes history and evolution, 260–62</w:t>
      </w:r>
    </w:p>
    <w:p w14:paraId="441D1B8A" w14:textId="77777777" w:rsidR="00B74524" w:rsidRDefault="00B74524">
      <w:pPr>
        <w:pStyle w:val="Index2"/>
        <w:tabs>
          <w:tab w:val="right" w:leader="dot" w:pos="4143"/>
        </w:tabs>
        <w:rPr>
          <w:noProof/>
        </w:rPr>
      </w:pPr>
      <w:r>
        <w:rPr>
          <w:noProof/>
        </w:rPr>
        <w:t xml:space="preserve">see also Comcare; Department of Veterans' Affairs. </w:t>
      </w:r>
    </w:p>
    <w:p w14:paraId="2BB64358" w14:textId="77777777" w:rsidR="00B74524" w:rsidRDefault="00B74524" w:rsidP="00B74524">
      <w:pPr>
        <w:pStyle w:val="Index1"/>
      </w:pPr>
      <w:r>
        <w:t>commutation payment, defined (see also settlement of future incapacity benefits, 281</w:t>
      </w:r>
    </w:p>
    <w:p w14:paraId="0A424204" w14:textId="77777777" w:rsidR="00B74524" w:rsidRDefault="00B74524" w:rsidP="00B74524">
      <w:pPr>
        <w:pStyle w:val="Index1"/>
      </w:pPr>
      <w:r>
        <w:t xml:space="preserve">commuting see journeys to and from work. </w:t>
      </w:r>
    </w:p>
    <w:p w14:paraId="2AEB4C07" w14:textId="77777777" w:rsidR="00B74524" w:rsidRDefault="00B74524" w:rsidP="00B74524">
      <w:pPr>
        <w:pStyle w:val="Index1"/>
      </w:pPr>
      <w:r>
        <w:t>company structure restraints (self-insurers), 187, 200</w:t>
      </w:r>
    </w:p>
    <w:p w14:paraId="1FD06157" w14:textId="77777777" w:rsidR="00B74524" w:rsidRDefault="00B74524" w:rsidP="00B74524">
      <w:pPr>
        <w:pStyle w:val="Index1"/>
      </w:pPr>
      <w:r>
        <w:t>competitive fund, defined, 281</w:t>
      </w:r>
    </w:p>
    <w:p w14:paraId="1833144F" w14:textId="77777777" w:rsidR="00B74524" w:rsidRDefault="00B74524" w:rsidP="00B74524">
      <w:pPr>
        <w:pStyle w:val="Index1"/>
      </w:pPr>
      <w:r>
        <w:t>compressed or decompressed air, diseases caused by work in, 270</w:t>
      </w:r>
    </w:p>
    <w:p w14:paraId="7A9EDC09" w14:textId="77777777" w:rsidR="00B74524" w:rsidRDefault="00B74524" w:rsidP="00B74524">
      <w:pPr>
        <w:pStyle w:val="Index1"/>
      </w:pPr>
      <w:r>
        <w:t>contacts, 16</w:t>
      </w:r>
    </w:p>
    <w:p w14:paraId="3B6C2E18" w14:textId="77777777" w:rsidR="00B74524" w:rsidRDefault="00B74524" w:rsidP="00B74524">
      <w:pPr>
        <w:pStyle w:val="Index1"/>
      </w:pPr>
      <w:r>
        <w:t>contractors, coverage of, 22–24</w:t>
      </w:r>
    </w:p>
    <w:p w14:paraId="40312D0E" w14:textId="77777777" w:rsidR="00B74524" w:rsidRPr="00B74524" w:rsidRDefault="00B74524" w:rsidP="00B74524">
      <w:pPr>
        <w:pStyle w:val="Index1"/>
      </w:pPr>
      <w:r w:rsidRPr="00B74524">
        <w:t>coverage of workers</w:t>
      </w:r>
    </w:p>
    <w:p w14:paraId="399A3FDD" w14:textId="77777777" w:rsidR="00B74524" w:rsidRDefault="00B74524">
      <w:pPr>
        <w:pStyle w:val="Index2"/>
        <w:tabs>
          <w:tab w:val="right" w:leader="dot" w:pos="4143"/>
        </w:tabs>
        <w:rPr>
          <w:noProof/>
        </w:rPr>
      </w:pPr>
      <w:r>
        <w:rPr>
          <w:noProof/>
        </w:rPr>
        <w:lastRenderedPageBreak/>
        <w:t>definition of injury and relationship to employment, 27–28, 75–77</w:t>
      </w:r>
    </w:p>
    <w:p w14:paraId="6D90C997" w14:textId="77777777" w:rsidR="00B74524" w:rsidRDefault="00B74524">
      <w:pPr>
        <w:pStyle w:val="Index2"/>
        <w:tabs>
          <w:tab w:val="right" w:leader="dot" w:pos="4143"/>
        </w:tabs>
        <w:rPr>
          <w:noProof/>
        </w:rPr>
      </w:pPr>
      <w:r>
        <w:rPr>
          <w:noProof/>
        </w:rPr>
        <w:t>government employers, 68–69</w:t>
      </w:r>
    </w:p>
    <w:p w14:paraId="66928A8F" w14:textId="77777777" w:rsidR="00B74524" w:rsidRDefault="00B74524">
      <w:pPr>
        <w:pStyle w:val="Index2"/>
        <w:tabs>
          <w:tab w:val="right" w:leader="dot" w:pos="4143"/>
        </w:tabs>
        <w:rPr>
          <w:noProof/>
        </w:rPr>
      </w:pPr>
      <w:r>
        <w:rPr>
          <w:noProof/>
        </w:rPr>
        <w:t>guidelines and information sources, 25</w:t>
      </w:r>
    </w:p>
    <w:p w14:paraId="1EDA6E96" w14:textId="77777777" w:rsidR="00B74524" w:rsidRDefault="00B74524">
      <w:pPr>
        <w:pStyle w:val="Index2"/>
        <w:tabs>
          <w:tab w:val="right" w:leader="dot" w:pos="4143"/>
        </w:tabs>
        <w:rPr>
          <w:noProof/>
        </w:rPr>
      </w:pPr>
      <w:r>
        <w:rPr>
          <w:noProof/>
        </w:rPr>
        <w:t>journeys and breaks, 26, 71, 73</w:t>
      </w:r>
    </w:p>
    <w:p w14:paraId="3CD133C7" w14:textId="77777777" w:rsidR="00B74524" w:rsidRDefault="00B74524">
      <w:pPr>
        <w:pStyle w:val="Index2"/>
        <w:tabs>
          <w:tab w:val="right" w:leader="dot" w:pos="4143"/>
        </w:tabs>
        <w:rPr>
          <w:noProof/>
        </w:rPr>
      </w:pPr>
      <w:r w:rsidRPr="00B74524">
        <w:rPr>
          <w:rFonts w:eastAsiaTheme="majorEastAsia" w:cs="Arial"/>
          <w:noProof/>
          <w:spacing w:val="-3"/>
          <w:lang w:eastAsia="en-US"/>
        </w:rPr>
        <w:t>leave while on workers' compensation</w:t>
      </w:r>
      <w:r>
        <w:rPr>
          <w:noProof/>
        </w:rPr>
        <w:t>, 15, 51–52</w:t>
      </w:r>
    </w:p>
    <w:p w14:paraId="40BC377A" w14:textId="77777777" w:rsidR="00B74524" w:rsidRDefault="00B74524">
      <w:pPr>
        <w:pStyle w:val="Index2"/>
        <w:tabs>
          <w:tab w:val="right" w:leader="dot" w:pos="4143"/>
        </w:tabs>
        <w:rPr>
          <w:noProof/>
        </w:rPr>
      </w:pPr>
      <w:r>
        <w:rPr>
          <w:noProof/>
        </w:rPr>
        <w:t>remuneration (definition for the purpose of premuim calculation), 47</w:t>
      </w:r>
    </w:p>
    <w:p w14:paraId="0FA92987" w14:textId="77777777" w:rsidR="00B74524" w:rsidRDefault="00B74524">
      <w:pPr>
        <w:pStyle w:val="Index2"/>
        <w:tabs>
          <w:tab w:val="right" w:leader="dot" w:pos="4143"/>
        </w:tabs>
        <w:rPr>
          <w:noProof/>
        </w:rPr>
      </w:pPr>
      <w:r>
        <w:rPr>
          <w:noProof/>
        </w:rPr>
        <w:t>retirement provisions, 29</w:t>
      </w:r>
    </w:p>
    <w:p w14:paraId="67AACA3A" w14:textId="77777777" w:rsidR="00B74524" w:rsidRDefault="00B74524">
      <w:pPr>
        <w:pStyle w:val="Index2"/>
        <w:tabs>
          <w:tab w:val="right" w:leader="dot" w:pos="4143"/>
        </w:tabs>
        <w:rPr>
          <w:noProof/>
        </w:rPr>
      </w:pPr>
      <w:r>
        <w:rPr>
          <w:noProof/>
        </w:rPr>
        <w:t>summary, 21–24</w:t>
      </w:r>
    </w:p>
    <w:p w14:paraId="1E1CF707" w14:textId="77777777" w:rsidR="00B74524" w:rsidRDefault="00B74524">
      <w:pPr>
        <w:pStyle w:val="Index2"/>
        <w:tabs>
          <w:tab w:val="right" w:leader="dot" w:pos="4143"/>
        </w:tabs>
        <w:rPr>
          <w:noProof/>
        </w:rPr>
      </w:pPr>
      <w:r>
        <w:rPr>
          <w:noProof/>
        </w:rPr>
        <w:t>superannuation and workers' compensation, 54</w:t>
      </w:r>
    </w:p>
    <w:p w14:paraId="583D86DB" w14:textId="77777777" w:rsidR="00B74524" w:rsidRDefault="00B74524">
      <w:pPr>
        <w:pStyle w:val="Index2"/>
        <w:tabs>
          <w:tab w:val="right" w:leader="dot" w:pos="4143"/>
        </w:tabs>
        <w:rPr>
          <w:noProof/>
        </w:rPr>
      </w:pPr>
      <w:r>
        <w:rPr>
          <w:noProof/>
        </w:rPr>
        <w:t>uninsured employers, 49–50, 249</w:t>
      </w:r>
    </w:p>
    <w:p w14:paraId="4B6B6C0E" w14:textId="77777777" w:rsidR="00B74524" w:rsidRDefault="00B74524" w:rsidP="00B74524">
      <w:pPr>
        <w:pStyle w:val="Index1"/>
      </w:pPr>
      <w:r>
        <w:t>coverage of workers (type of worker), 21–24, 56</w:t>
      </w:r>
    </w:p>
    <w:p w14:paraId="731D2F86" w14:textId="77777777" w:rsidR="00B74524" w:rsidRDefault="00B74524">
      <w:pPr>
        <w:pStyle w:val="Index2"/>
        <w:tabs>
          <w:tab w:val="right" w:leader="dot" w:pos="4143"/>
        </w:tabs>
        <w:rPr>
          <w:noProof/>
        </w:rPr>
      </w:pPr>
      <w:r>
        <w:rPr>
          <w:noProof/>
        </w:rPr>
        <w:t>contractors/labour hire workers, 21–24, 57, 59–60</w:t>
      </w:r>
    </w:p>
    <w:p w14:paraId="41B50ABC" w14:textId="77777777" w:rsidR="00B74524" w:rsidRDefault="00B74524">
      <w:pPr>
        <w:pStyle w:val="Index2"/>
        <w:tabs>
          <w:tab w:val="right" w:leader="dot" w:pos="4143"/>
        </w:tabs>
        <w:rPr>
          <w:noProof/>
        </w:rPr>
      </w:pPr>
      <w:r>
        <w:rPr>
          <w:noProof/>
        </w:rPr>
        <w:t>deemed workers, 61–63</w:t>
      </w:r>
    </w:p>
    <w:p w14:paraId="5969AD3B" w14:textId="77777777" w:rsidR="00B74524" w:rsidRDefault="00B74524">
      <w:pPr>
        <w:pStyle w:val="Index2"/>
        <w:tabs>
          <w:tab w:val="right" w:leader="dot" w:pos="4143"/>
        </w:tabs>
        <w:rPr>
          <w:noProof/>
        </w:rPr>
      </w:pPr>
      <w:r w:rsidRPr="00320039">
        <w:rPr>
          <w:rFonts w:eastAsiaTheme="minorHAnsi"/>
          <w:noProof/>
        </w:rPr>
        <w:t>eligibility</w:t>
      </w:r>
      <w:r>
        <w:rPr>
          <w:noProof/>
        </w:rPr>
        <w:t>, 56</w:t>
      </w:r>
    </w:p>
    <w:p w14:paraId="46278F98" w14:textId="77777777" w:rsidR="00B74524" w:rsidRDefault="00B74524">
      <w:pPr>
        <w:pStyle w:val="Index2"/>
        <w:tabs>
          <w:tab w:val="right" w:leader="dot" w:pos="4143"/>
        </w:tabs>
        <w:rPr>
          <w:noProof/>
        </w:rPr>
      </w:pPr>
      <w:r w:rsidRPr="00320039">
        <w:rPr>
          <w:rFonts w:eastAsiaTheme="minorHAnsi"/>
          <w:noProof/>
        </w:rPr>
        <w:t>judges and members of parliament</w:t>
      </w:r>
      <w:r>
        <w:rPr>
          <w:noProof/>
        </w:rPr>
        <w:t>, 56, 70</w:t>
      </w:r>
    </w:p>
    <w:p w14:paraId="76BC87EB" w14:textId="77777777" w:rsidR="00B74524" w:rsidRDefault="00B74524">
      <w:pPr>
        <w:pStyle w:val="Index2"/>
        <w:tabs>
          <w:tab w:val="right" w:leader="dot" w:pos="4143"/>
        </w:tabs>
        <w:rPr>
          <w:noProof/>
        </w:rPr>
      </w:pPr>
      <w:r>
        <w:rPr>
          <w:noProof/>
        </w:rPr>
        <w:t>sportspersons and sporting injuries, 66–67</w:t>
      </w:r>
    </w:p>
    <w:p w14:paraId="39B72A13" w14:textId="77777777" w:rsidR="00B74524" w:rsidRDefault="00B74524">
      <w:pPr>
        <w:pStyle w:val="Index2"/>
        <w:tabs>
          <w:tab w:val="right" w:leader="dot" w:pos="4143"/>
        </w:tabs>
        <w:rPr>
          <w:noProof/>
        </w:rPr>
      </w:pPr>
      <w:r w:rsidRPr="00320039">
        <w:rPr>
          <w:rFonts w:eastAsiaTheme="minorHAnsi"/>
          <w:noProof/>
        </w:rPr>
        <w:t>volunteers</w:t>
      </w:r>
      <w:r>
        <w:rPr>
          <w:noProof/>
        </w:rPr>
        <w:t>, 56</w:t>
      </w:r>
    </w:p>
    <w:p w14:paraId="42D5DD5D" w14:textId="77777777" w:rsidR="00B74524" w:rsidRDefault="00B74524">
      <w:pPr>
        <w:pStyle w:val="Index2"/>
        <w:tabs>
          <w:tab w:val="right" w:leader="dot" w:pos="4143"/>
        </w:tabs>
        <w:rPr>
          <w:noProof/>
        </w:rPr>
      </w:pPr>
      <w:r>
        <w:rPr>
          <w:noProof/>
        </w:rPr>
        <w:t>worker (definition), 56, 27–28, 285</w:t>
      </w:r>
    </w:p>
    <w:p w14:paraId="219A170C" w14:textId="77777777" w:rsidR="00B74524" w:rsidRDefault="00B74524" w:rsidP="00B74524">
      <w:pPr>
        <w:pStyle w:val="Index1"/>
      </w:pPr>
      <w:r>
        <w:t>cross-border provisions, 97</w:t>
      </w:r>
    </w:p>
    <w:p w14:paraId="2F72EE2B" w14:textId="77777777" w:rsidR="00B74524" w:rsidRDefault="00B74524">
      <w:pPr>
        <w:pStyle w:val="Index2"/>
        <w:tabs>
          <w:tab w:val="right" w:leader="dot" w:pos="4143"/>
        </w:tabs>
        <w:rPr>
          <w:noProof/>
        </w:rPr>
      </w:pPr>
      <w:r>
        <w:rPr>
          <w:noProof/>
        </w:rPr>
        <w:t>defined, 281</w:t>
      </w:r>
    </w:p>
    <w:p w14:paraId="6727B40C" w14:textId="77777777" w:rsidR="00B74524" w:rsidRDefault="00B74524">
      <w:pPr>
        <w:pStyle w:val="Index2"/>
        <w:tabs>
          <w:tab w:val="right" w:leader="dot" w:pos="4143"/>
        </w:tabs>
        <w:rPr>
          <w:noProof/>
        </w:rPr>
      </w:pPr>
      <w:r>
        <w:rPr>
          <w:noProof/>
        </w:rPr>
        <w:t>in the Northern Territory, 255</w:t>
      </w:r>
    </w:p>
    <w:p w14:paraId="793314AF" w14:textId="77777777" w:rsidR="00B74524" w:rsidRDefault="00B74524" w:rsidP="00B74524">
      <w:pPr>
        <w:pStyle w:val="Index1"/>
      </w:pPr>
      <w:r>
        <w:t>current work capacity</w:t>
      </w:r>
    </w:p>
    <w:p w14:paraId="37AD8618" w14:textId="77777777" w:rsidR="00B74524" w:rsidRDefault="00B74524">
      <w:pPr>
        <w:pStyle w:val="Index2"/>
        <w:tabs>
          <w:tab w:val="right" w:leader="dot" w:pos="4143"/>
        </w:tabs>
        <w:rPr>
          <w:noProof/>
        </w:rPr>
      </w:pPr>
      <w:r>
        <w:rPr>
          <w:noProof/>
        </w:rPr>
        <w:t>defined, 281</w:t>
      </w:r>
    </w:p>
    <w:p w14:paraId="16FE1EC3" w14:textId="77777777" w:rsidR="00B74524" w:rsidRDefault="00B74524">
      <w:pPr>
        <w:pStyle w:val="Index2"/>
        <w:tabs>
          <w:tab w:val="right" w:leader="dot" w:pos="4143"/>
        </w:tabs>
        <w:rPr>
          <w:noProof/>
        </w:rPr>
      </w:pPr>
      <w:r>
        <w:rPr>
          <w:noProof/>
        </w:rPr>
        <w:t>no current work capacity, defined, 283</w:t>
      </w:r>
    </w:p>
    <w:p w14:paraId="2DEEE2BA"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D</w:t>
      </w:r>
    </w:p>
    <w:p w14:paraId="407CC2C7" w14:textId="77777777" w:rsidR="00B74524" w:rsidRDefault="00B74524" w:rsidP="00B74524">
      <w:pPr>
        <w:pStyle w:val="Index1"/>
      </w:pPr>
      <w:r>
        <w:t>damages, types of (defined), 285</w:t>
      </w:r>
    </w:p>
    <w:p w14:paraId="0D491188" w14:textId="77777777" w:rsidR="00B74524" w:rsidRDefault="00B74524" w:rsidP="00B74524">
      <w:pPr>
        <w:pStyle w:val="Index1"/>
      </w:pPr>
      <w:r>
        <w:t>date of injury, defined, 281</w:t>
      </w:r>
    </w:p>
    <w:p w14:paraId="47323B97" w14:textId="77777777" w:rsidR="00B74524" w:rsidRDefault="00B74524" w:rsidP="00B74524">
      <w:pPr>
        <w:pStyle w:val="Index1"/>
      </w:pPr>
      <w:r>
        <w:t>deafness, 71</w:t>
      </w:r>
    </w:p>
    <w:p w14:paraId="6D24D7A2" w14:textId="77777777" w:rsidR="00B74524" w:rsidRDefault="00B74524" w:rsidP="00B74524">
      <w:pPr>
        <w:pStyle w:val="Index1"/>
      </w:pPr>
      <w:r>
        <w:t>death entitlements, 34, 99, 122–23</w:t>
      </w:r>
    </w:p>
    <w:p w14:paraId="39716281" w14:textId="77777777" w:rsidR="00B74524" w:rsidRDefault="00B74524" w:rsidP="00B74524">
      <w:pPr>
        <w:pStyle w:val="Index1"/>
      </w:pPr>
      <w:r>
        <w:t>deemed workers, 61–63</w:t>
      </w:r>
    </w:p>
    <w:p w14:paraId="4DDCC40E" w14:textId="77777777" w:rsidR="00B74524" w:rsidRDefault="00B74524" w:rsidP="00B74524">
      <w:pPr>
        <w:pStyle w:val="Index1"/>
      </w:pPr>
      <w:r>
        <w:t>definitions, 281–85</w:t>
      </w:r>
    </w:p>
    <w:p w14:paraId="295A3B15" w14:textId="77777777" w:rsidR="00B74524" w:rsidRDefault="00B74524" w:rsidP="00B74524">
      <w:pPr>
        <w:pStyle w:val="Index1"/>
      </w:pPr>
      <w:r>
        <w:t xml:space="preserve">denial of workers compensation see exclusionary provisions. </w:t>
      </w:r>
    </w:p>
    <w:p w14:paraId="059960FC" w14:textId="77777777" w:rsidR="00B74524" w:rsidRDefault="00B74524" w:rsidP="00B74524">
      <w:pPr>
        <w:pStyle w:val="Index1"/>
      </w:pPr>
      <w:r>
        <w:t>Department of Veterans' Affairs</w:t>
      </w:r>
    </w:p>
    <w:p w14:paraId="682A5A8B" w14:textId="77777777" w:rsidR="00B74524" w:rsidRDefault="00B74524">
      <w:pPr>
        <w:pStyle w:val="Index2"/>
        <w:tabs>
          <w:tab w:val="right" w:leader="dot" w:pos="4143"/>
        </w:tabs>
        <w:rPr>
          <w:noProof/>
        </w:rPr>
      </w:pPr>
      <w:r>
        <w:rPr>
          <w:noProof/>
        </w:rPr>
        <w:t>agencies responsible for overseeing workers' compensation, 18</w:t>
      </w:r>
    </w:p>
    <w:p w14:paraId="3BE06CC6" w14:textId="77777777" w:rsidR="00B74524" w:rsidRDefault="00B74524">
      <w:pPr>
        <w:pStyle w:val="Index2"/>
        <w:tabs>
          <w:tab w:val="right" w:leader="dot" w:pos="4143"/>
        </w:tabs>
        <w:rPr>
          <w:noProof/>
        </w:rPr>
      </w:pPr>
      <w:r>
        <w:rPr>
          <w:noProof/>
        </w:rPr>
        <w:t>contacts, 17</w:t>
      </w:r>
    </w:p>
    <w:p w14:paraId="2BB9BF73" w14:textId="77777777" w:rsidR="00B74524" w:rsidRDefault="00B74524">
      <w:pPr>
        <w:pStyle w:val="Index2"/>
        <w:tabs>
          <w:tab w:val="right" w:leader="dot" w:pos="4143"/>
        </w:tabs>
        <w:rPr>
          <w:noProof/>
        </w:rPr>
      </w:pPr>
      <w:r>
        <w:rPr>
          <w:noProof/>
        </w:rPr>
        <w:t xml:space="preserve">for details of coverage and entitlements see specific subject headings. </w:t>
      </w:r>
    </w:p>
    <w:p w14:paraId="0FF25840" w14:textId="77777777" w:rsidR="00B74524" w:rsidRDefault="00B74524">
      <w:pPr>
        <w:pStyle w:val="Index2"/>
        <w:tabs>
          <w:tab w:val="right" w:leader="dot" w:pos="4143"/>
        </w:tabs>
        <w:rPr>
          <w:noProof/>
        </w:rPr>
      </w:pPr>
      <w:r>
        <w:rPr>
          <w:noProof/>
        </w:rPr>
        <w:t>schemes history and evolution, 260</w:t>
      </w:r>
    </w:p>
    <w:p w14:paraId="5F304EF0" w14:textId="77777777" w:rsidR="00B74524" w:rsidRDefault="00B74524">
      <w:pPr>
        <w:pStyle w:val="Index2"/>
        <w:tabs>
          <w:tab w:val="right" w:leader="dot" w:pos="4143"/>
        </w:tabs>
        <w:rPr>
          <w:noProof/>
        </w:rPr>
      </w:pPr>
      <w:r>
        <w:rPr>
          <w:noProof/>
        </w:rPr>
        <w:t>summary of coverage, 24</w:t>
      </w:r>
    </w:p>
    <w:p w14:paraId="5B513629" w14:textId="77777777" w:rsidR="00B74524" w:rsidRDefault="00B74524">
      <w:pPr>
        <w:pStyle w:val="Index2"/>
        <w:tabs>
          <w:tab w:val="right" w:leader="dot" w:pos="4143"/>
        </w:tabs>
        <w:rPr>
          <w:noProof/>
        </w:rPr>
      </w:pPr>
      <w:r>
        <w:rPr>
          <w:noProof/>
        </w:rPr>
        <w:t>summary of entitlements, 31–35</w:t>
      </w:r>
    </w:p>
    <w:p w14:paraId="5597AF17" w14:textId="77777777" w:rsidR="00B74524" w:rsidRDefault="00B74524" w:rsidP="00B74524">
      <w:pPr>
        <w:pStyle w:val="Index1"/>
      </w:pPr>
      <w:r>
        <w:t>dependants definitions for death benefits, 124–30</w:t>
      </w:r>
    </w:p>
    <w:p w14:paraId="3724EA49" w14:textId="77777777" w:rsidR="00B74524" w:rsidRDefault="00B74524" w:rsidP="00B74524">
      <w:pPr>
        <w:pStyle w:val="Index1"/>
      </w:pPr>
      <w:r>
        <w:t>diseases</w:t>
      </w:r>
    </w:p>
    <w:p w14:paraId="1E3CBFB3" w14:textId="77777777" w:rsidR="00B74524" w:rsidRDefault="00B74524">
      <w:pPr>
        <w:pStyle w:val="Index2"/>
        <w:tabs>
          <w:tab w:val="right" w:leader="dot" w:pos="4143"/>
        </w:tabs>
        <w:rPr>
          <w:noProof/>
        </w:rPr>
      </w:pPr>
      <w:r>
        <w:rPr>
          <w:noProof/>
        </w:rPr>
        <w:t>biological agents and infectious or parasitic diseases, 276</w:t>
      </w:r>
    </w:p>
    <w:p w14:paraId="1B92ECF4" w14:textId="77777777" w:rsidR="00B74524" w:rsidRDefault="00B74524">
      <w:pPr>
        <w:pStyle w:val="Index2"/>
        <w:tabs>
          <w:tab w:val="right" w:leader="dot" w:pos="4143"/>
        </w:tabs>
        <w:rPr>
          <w:noProof/>
        </w:rPr>
      </w:pPr>
      <w:r>
        <w:rPr>
          <w:noProof/>
        </w:rPr>
        <w:t>chemical agents, 265–68</w:t>
      </w:r>
    </w:p>
    <w:p w14:paraId="6E990595" w14:textId="77777777" w:rsidR="00B74524" w:rsidRDefault="00B74524">
      <w:pPr>
        <w:pStyle w:val="Index2"/>
        <w:tabs>
          <w:tab w:val="right" w:leader="dot" w:pos="4143"/>
        </w:tabs>
        <w:rPr>
          <w:noProof/>
        </w:rPr>
      </w:pPr>
      <w:r>
        <w:rPr>
          <w:noProof/>
        </w:rPr>
        <w:t>deemed to be caused by work, 265–76</w:t>
      </w:r>
    </w:p>
    <w:p w14:paraId="7F782720" w14:textId="77777777" w:rsidR="00B74524" w:rsidRDefault="00B74524">
      <w:pPr>
        <w:pStyle w:val="Index2"/>
        <w:tabs>
          <w:tab w:val="right" w:leader="dot" w:pos="4143"/>
        </w:tabs>
        <w:rPr>
          <w:noProof/>
        </w:rPr>
      </w:pPr>
      <w:r>
        <w:rPr>
          <w:noProof/>
        </w:rPr>
        <w:t>defined, 71, 282</w:t>
      </w:r>
    </w:p>
    <w:p w14:paraId="3F81FC86" w14:textId="77777777" w:rsidR="00B74524" w:rsidRDefault="00B74524">
      <w:pPr>
        <w:pStyle w:val="Index2"/>
        <w:tabs>
          <w:tab w:val="right" w:leader="dot" w:pos="4143"/>
        </w:tabs>
        <w:rPr>
          <w:noProof/>
        </w:rPr>
      </w:pPr>
      <w:r>
        <w:rPr>
          <w:noProof/>
        </w:rPr>
        <w:t>see also asbestos-related diseases;cancer, 295</w:t>
      </w:r>
    </w:p>
    <w:p w14:paraId="78C16AEE" w14:textId="77777777" w:rsidR="00B74524" w:rsidRDefault="00B74524">
      <w:pPr>
        <w:pStyle w:val="Index2"/>
        <w:tabs>
          <w:tab w:val="right" w:leader="dot" w:pos="4143"/>
        </w:tabs>
        <w:rPr>
          <w:noProof/>
        </w:rPr>
      </w:pPr>
      <w:r>
        <w:rPr>
          <w:noProof/>
        </w:rPr>
        <w:t>occupational cancer (table of diseases and cancer-causing agents), 277–80</w:t>
      </w:r>
    </w:p>
    <w:p w14:paraId="2F302CE4" w14:textId="77777777" w:rsidR="00B74524" w:rsidRDefault="00B74524">
      <w:pPr>
        <w:pStyle w:val="Index2"/>
        <w:tabs>
          <w:tab w:val="right" w:leader="dot" w:pos="4143"/>
        </w:tabs>
        <w:rPr>
          <w:noProof/>
        </w:rPr>
      </w:pPr>
      <w:r>
        <w:rPr>
          <w:noProof/>
        </w:rPr>
        <w:t>occupational diseases caused by agents arising from work activities, 265–68</w:t>
      </w:r>
    </w:p>
    <w:p w14:paraId="6636E731" w14:textId="77777777" w:rsidR="00B74524" w:rsidRDefault="00B74524">
      <w:pPr>
        <w:pStyle w:val="Index2"/>
        <w:tabs>
          <w:tab w:val="right" w:leader="dot" w:pos="4143"/>
        </w:tabs>
        <w:rPr>
          <w:noProof/>
        </w:rPr>
      </w:pPr>
      <w:r>
        <w:rPr>
          <w:noProof/>
        </w:rPr>
        <w:t>physical agents, 271</w:t>
      </w:r>
    </w:p>
    <w:p w14:paraId="63501DC3" w14:textId="77777777" w:rsidR="00B74524" w:rsidRDefault="00B74524" w:rsidP="00B74524">
      <w:pPr>
        <w:pStyle w:val="Index1"/>
      </w:pPr>
      <w:r>
        <w:t>dispute resolution, 44–46, 282</w:t>
      </w:r>
    </w:p>
    <w:p w14:paraId="1392AF50" w14:textId="77777777" w:rsidR="00B74524" w:rsidRDefault="00B74524" w:rsidP="00B74524">
      <w:pPr>
        <w:pStyle w:val="Index1"/>
      </w:pPr>
      <w:r>
        <w:t>dust diseases, 27, 35, 223, 239, 244, 273–75</w:t>
      </w:r>
    </w:p>
    <w:p w14:paraId="7D5C51FF" w14:textId="77777777" w:rsidR="00B74524" w:rsidRDefault="00B74524">
      <w:pPr>
        <w:pStyle w:val="Index2"/>
        <w:tabs>
          <w:tab w:val="right" w:leader="dot" w:pos="4143"/>
        </w:tabs>
        <w:rPr>
          <w:noProof/>
        </w:rPr>
      </w:pPr>
      <w:r>
        <w:rPr>
          <w:noProof/>
        </w:rPr>
        <w:t xml:space="preserve">see also asbestos-related diseases. </w:t>
      </w:r>
    </w:p>
    <w:p w14:paraId="59C29DD8" w14:textId="77777777" w:rsidR="00B74524" w:rsidRDefault="00B74524" w:rsidP="00B74524">
      <w:pPr>
        <w:pStyle w:val="Index1"/>
      </w:pPr>
      <w:r>
        <w:t>duties on return to work (suitable duties), 156–61, 284</w:t>
      </w:r>
    </w:p>
    <w:p w14:paraId="1A2E4B33"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E</w:t>
      </w:r>
    </w:p>
    <w:p w14:paraId="7D07B44C" w14:textId="77777777" w:rsidR="00B74524" w:rsidRDefault="00B74524" w:rsidP="00B74524">
      <w:pPr>
        <w:pStyle w:val="Index1"/>
      </w:pPr>
      <w:r>
        <w:t>emergency service workers</w:t>
      </w:r>
    </w:p>
    <w:p w14:paraId="2B9CC078" w14:textId="77777777" w:rsidR="00B74524" w:rsidRDefault="00B74524">
      <w:pPr>
        <w:pStyle w:val="Index2"/>
        <w:tabs>
          <w:tab w:val="right" w:leader="dot" w:pos="4143"/>
        </w:tabs>
        <w:rPr>
          <w:noProof/>
        </w:rPr>
      </w:pPr>
      <w:r>
        <w:rPr>
          <w:noProof/>
        </w:rPr>
        <w:t>New South Wales, 223</w:t>
      </w:r>
    </w:p>
    <w:p w14:paraId="379094FC" w14:textId="77777777" w:rsidR="00B74524" w:rsidRDefault="00B74524">
      <w:pPr>
        <w:pStyle w:val="Index2"/>
        <w:tabs>
          <w:tab w:val="right" w:leader="dot" w:pos="4143"/>
        </w:tabs>
        <w:rPr>
          <w:noProof/>
        </w:rPr>
      </w:pPr>
      <w:r>
        <w:rPr>
          <w:noProof/>
        </w:rPr>
        <w:t>Victoria, 225</w:t>
      </w:r>
    </w:p>
    <w:p w14:paraId="40B055C6" w14:textId="77777777" w:rsidR="00B74524" w:rsidRDefault="00B74524" w:rsidP="00B74524">
      <w:pPr>
        <w:pStyle w:val="Index1"/>
      </w:pPr>
      <w:r>
        <w:t xml:space="preserve">employees see workers. </w:t>
      </w:r>
    </w:p>
    <w:p w14:paraId="47D758AF" w14:textId="77777777" w:rsidR="00B74524" w:rsidRDefault="00B74524" w:rsidP="00B74524">
      <w:pPr>
        <w:pStyle w:val="Index1"/>
      </w:pPr>
      <w:r>
        <w:t>employer excess, 48</w:t>
      </w:r>
    </w:p>
    <w:p w14:paraId="2B71FD8E" w14:textId="77777777" w:rsidR="00B74524" w:rsidRDefault="00B74524" w:rsidP="00B74524">
      <w:pPr>
        <w:pStyle w:val="Index1"/>
      </w:pPr>
      <w:r w:rsidRPr="00320039">
        <w:t>employers</w:t>
      </w:r>
    </w:p>
    <w:p w14:paraId="4F18EB1B" w14:textId="77777777" w:rsidR="00B74524" w:rsidRDefault="00B74524">
      <w:pPr>
        <w:pStyle w:val="Index2"/>
        <w:tabs>
          <w:tab w:val="right" w:leader="dot" w:pos="4143"/>
        </w:tabs>
        <w:rPr>
          <w:noProof/>
        </w:rPr>
      </w:pPr>
      <w:r>
        <w:rPr>
          <w:noProof/>
        </w:rPr>
        <w:t>Category 1 employers (NSW), 162, 175, 281</w:t>
      </w:r>
    </w:p>
    <w:p w14:paraId="0A003F55" w14:textId="77777777" w:rsidR="00B74524" w:rsidRDefault="00B74524">
      <w:pPr>
        <w:pStyle w:val="Index2"/>
        <w:tabs>
          <w:tab w:val="right" w:leader="dot" w:pos="4143"/>
        </w:tabs>
        <w:rPr>
          <w:noProof/>
        </w:rPr>
      </w:pPr>
      <w:r>
        <w:rPr>
          <w:noProof/>
        </w:rPr>
        <w:t>Category 2 employers (NSW), 175</w:t>
      </w:r>
    </w:p>
    <w:p w14:paraId="468A4F29" w14:textId="77777777" w:rsidR="00B74524" w:rsidRDefault="00B74524">
      <w:pPr>
        <w:pStyle w:val="Index2"/>
        <w:tabs>
          <w:tab w:val="right" w:leader="dot" w:pos="4143"/>
        </w:tabs>
        <w:rPr>
          <w:noProof/>
        </w:rPr>
      </w:pPr>
      <w:r>
        <w:rPr>
          <w:noProof/>
        </w:rPr>
        <w:t>government employers, 68–69</w:t>
      </w:r>
    </w:p>
    <w:p w14:paraId="430BA2F9" w14:textId="77777777" w:rsidR="00B74524" w:rsidRDefault="00B74524">
      <w:pPr>
        <w:pStyle w:val="Index2"/>
        <w:tabs>
          <w:tab w:val="right" w:leader="dot" w:pos="4143"/>
        </w:tabs>
        <w:rPr>
          <w:noProof/>
        </w:rPr>
      </w:pPr>
      <w:r>
        <w:rPr>
          <w:noProof/>
        </w:rPr>
        <w:t>multi-jurisdictional, 283</w:t>
      </w:r>
    </w:p>
    <w:p w14:paraId="30780472" w14:textId="77777777" w:rsidR="00B74524" w:rsidRDefault="00B74524">
      <w:pPr>
        <w:pStyle w:val="Index2"/>
        <w:tabs>
          <w:tab w:val="right" w:leader="dot" w:pos="4143"/>
        </w:tabs>
        <w:rPr>
          <w:noProof/>
        </w:rPr>
      </w:pPr>
      <w:r>
        <w:rPr>
          <w:noProof/>
        </w:rPr>
        <w:t>responsibilities in return to work, 169–73</w:t>
      </w:r>
    </w:p>
    <w:p w14:paraId="074F6907" w14:textId="77777777" w:rsidR="00B74524" w:rsidRDefault="00B74524">
      <w:pPr>
        <w:pStyle w:val="Index2"/>
        <w:tabs>
          <w:tab w:val="right" w:leader="dot" w:pos="4143"/>
        </w:tabs>
        <w:rPr>
          <w:noProof/>
        </w:rPr>
      </w:pPr>
      <w:r>
        <w:rPr>
          <w:noProof/>
        </w:rPr>
        <w:t xml:space="preserve">self-insured, see self-insurer arrangements. </w:t>
      </w:r>
    </w:p>
    <w:p w14:paraId="0C7CDC55" w14:textId="77777777" w:rsidR="00B74524" w:rsidRDefault="00B74524">
      <w:pPr>
        <w:pStyle w:val="Index2"/>
        <w:tabs>
          <w:tab w:val="right" w:leader="dot" w:pos="4143"/>
        </w:tabs>
        <w:rPr>
          <w:noProof/>
        </w:rPr>
      </w:pPr>
      <w:r w:rsidRPr="00B74524">
        <w:rPr>
          <w:rFonts w:eastAsiaTheme="majorEastAsia" w:cs="Arial"/>
          <w:noProof/>
          <w:spacing w:val="-3"/>
          <w:lang w:eastAsia="en-US"/>
        </w:rPr>
        <w:t>uninsured employers</w:t>
      </w:r>
      <w:r>
        <w:rPr>
          <w:noProof/>
        </w:rPr>
        <w:t>, 15, 49–50, 249</w:t>
      </w:r>
    </w:p>
    <w:p w14:paraId="2D1D517E" w14:textId="77777777" w:rsidR="00B74524" w:rsidRDefault="00B74524" w:rsidP="00B74524">
      <w:pPr>
        <w:pStyle w:val="Index1"/>
      </w:pPr>
      <w:r>
        <w:t>employment as a contributing factor to injury, 27–28, 75–77</w:t>
      </w:r>
    </w:p>
    <w:p w14:paraId="58CC137B" w14:textId="77777777" w:rsidR="00B74524" w:rsidRDefault="00B74524" w:rsidP="00B74524">
      <w:pPr>
        <w:pStyle w:val="Index1"/>
      </w:pPr>
      <w:r>
        <w:t>entitlements (summary) see also specific entitlements and benefits, 31–35</w:t>
      </w:r>
    </w:p>
    <w:p w14:paraId="2814452E" w14:textId="77777777" w:rsidR="00B74524" w:rsidRDefault="00B74524" w:rsidP="00B74524">
      <w:pPr>
        <w:pStyle w:val="Index1"/>
      </w:pPr>
      <w:r>
        <w:t>excess of loss requirements, 198–99</w:t>
      </w:r>
    </w:p>
    <w:p w14:paraId="2CAEB3FA" w14:textId="77777777" w:rsidR="00B74524" w:rsidRDefault="00B74524" w:rsidP="00B74524">
      <w:pPr>
        <w:pStyle w:val="Index1"/>
      </w:pPr>
      <w:r>
        <w:t>exclusionary provisions</w:t>
      </w:r>
    </w:p>
    <w:p w14:paraId="453B557D" w14:textId="77777777" w:rsidR="00B74524" w:rsidRDefault="00B74524">
      <w:pPr>
        <w:pStyle w:val="Index2"/>
        <w:tabs>
          <w:tab w:val="right" w:leader="dot" w:pos="4143"/>
        </w:tabs>
        <w:rPr>
          <w:noProof/>
        </w:rPr>
      </w:pPr>
      <w:r>
        <w:rPr>
          <w:noProof/>
        </w:rPr>
        <w:t>general, 88, 89–91</w:t>
      </w:r>
    </w:p>
    <w:p w14:paraId="104B63D2" w14:textId="77777777" w:rsidR="00B74524" w:rsidRDefault="00B74524">
      <w:pPr>
        <w:pStyle w:val="Index2"/>
        <w:tabs>
          <w:tab w:val="right" w:leader="dot" w:pos="4143"/>
        </w:tabs>
        <w:rPr>
          <w:noProof/>
        </w:rPr>
      </w:pPr>
      <w:r>
        <w:rPr>
          <w:noProof/>
        </w:rPr>
        <w:t>psychological injuries, 88, 92–95</w:t>
      </w:r>
    </w:p>
    <w:p w14:paraId="374126BD" w14:textId="77777777" w:rsidR="00B74524" w:rsidRDefault="00B74524" w:rsidP="00B74524">
      <w:pPr>
        <w:pStyle w:val="Index1"/>
      </w:pPr>
      <w:r>
        <w:t>experience-rated premium rates, 239–41</w:t>
      </w:r>
    </w:p>
    <w:p w14:paraId="5977E405"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F</w:t>
      </w:r>
    </w:p>
    <w:p w14:paraId="677378F8" w14:textId="77777777" w:rsidR="00B74524" w:rsidRDefault="00B74524" w:rsidP="00B74524">
      <w:pPr>
        <w:pStyle w:val="Index1"/>
      </w:pPr>
      <w:r w:rsidRPr="00320039">
        <w:rPr>
          <w:rFonts w:eastAsiaTheme="minorHAnsi"/>
        </w:rPr>
        <w:t>firefighters</w:t>
      </w:r>
      <w:r>
        <w:t>, 56, 73, 101, 248, 253, 254, 257, 264, 279</w:t>
      </w:r>
    </w:p>
    <w:p w14:paraId="53F4A42D" w14:textId="77777777" w:rsidR="00B74524" w:rsidRDefault="00B74524" w:rsidP="00B74524">
      <w:pPr>
        <w:pStyle w:val="Index1"/>
      </w:pPr>
      <w:r>
        <w:lastRenderedPageBreak/>
        <w:t>Footwear manufacturing industry premium rates, 237</w:t>
      </w:r>
    </w:p>
    <w:p w14:paraId="6B4B2345" w14:textId="77777777" w:rsidR="00B74524" w:rsidRDefault="00B74524" w:rsidP="00B74524">
      <w:pPr>
        <w:pStyle w:val="Index1"/>
      </w:pPr>
      <w:r>
        <w:t xml:space="preserve">funding see schemes funding arrangements. </w:t>
      </w:r>
    </w:p>
    <w:p w14:paraId="3C94EE80" w14:textId="77777777" w:rsidR="00B74524" w:rsidRDefault="00B74524" w:rsidP="00B74524">
      <w:pPr>
        <w:pStyle w:val="Index1"/>
      </w:pPr>
      <w:r w:rsidRPr="00320039">
        <w:rPr>
          <w:rFonts w:eastAsiaTheme="minorHAnsi"/>
        </w:rPr>
        <w:t>funeral expenses</w:t>
      </w:r>
      <w:r>
        <w:t>, 34, 122, 123, 244, 255</w:t>
      </w:r>
    </w:p>
    <w:p w14:paraId="388E75A6"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G</w:t>
      </w:r>
    </w:p>
    <w:p w14:paraId="4C443047" w14:textId="77777777" w:rsidR="00B74524" w:rsidRDefault="00B74524" w:rsidP="00B74524">
      <w:pPr>
        <w:pStyle w:val="Index1"/>
      </w:pPr>
      <w:r>
        <w:t>glossary, 281–85</w:t>
      </w:r>
    </w:p>
    <w:p w14:paraId="6EFCFEDD" w14:textId="77777777" w:rsidR="00B74524" w:rsidRDefault="00B74524" w:rsidP="00B74524">
      <w:pPr>
        <w:pStyle w:val="Index1"/>
      </w:pPr>
      <w:r>
        <w:t>government employers, 68–69</w:t>
      </w:r>
    </w:p>
    <w:p w14:paraId="7ACA53C6" w14:textId="77777777" w:rsidR="00B74524" w:rsidRDefault="00B74524" w:rsidP="00B74524">
      <w:pPr>
        <w:pStyle w:val="Index1"/>
      </w:pPr>
      <w:r>
        <w:t>guidance material for return to work, 142–45</w:t>
      </w:r>
    </w:p>
    <w:p w14:paraId="3EFCDDEC" w14:textId="77777777" w:rsidR="00B74524" w:rsidRDefault="00B74524" w:rsidP="00B74524">
      <w:pPr>
        <w:pStyle w:val="Index1"/>
      </w:pPr>
      <w:r>
        <w:t>guidelines and information sources on worker coverage, 25</w:t>
      </w:r>
    </w:p>
    <w:p w14:paraId="05DA7E7B" w14:textId="77777777" w:rsidR="00B74524" w:rsidRDefault="00B74524" w:rsidP="00B74524">
      <w:pPr>
        <w:pStyle w:val="Index1"/>
      </w:pPr>
      <w:r w:rsidRPr="00320039">
        <w:rPr>
          <w:rFonts w:eastAsia="Calibri"/>
        </w:rPr>
        <w:t>Guides to the Evaluation of Permanent Impairment (American Medical Association)</w:t>
      </w:r>
      <w:r>
        <w:t>, 84, 85</w:t>
      </w:r>
    </w:p>
    <w:p w14:paraId="2A32DCB2"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H</w:t>
      </w:r>
    </w:p>
    <w:p w14:paraId="7C49725A" w14:textId="77777777" w:rsidR="00B74524" w:rsidRDefault="00B74524" w:rsidP="00B74524">
      <w:pPr>
        <w:pStyle w:val="Index1"/>
      </w:pPr>
      <w:r w:rsidRPr="00320039">
        <w:rPr>
          <w:lang w:val="en-GB"/>
        </w:rPr>
        <w:t>hearing impairment</w:t>
      </w:r>
      <w:r>
        <w:t>, 72, 83, 84, 86</w:t>
      </w:r>
    </w:p>
    <w:p w14:paraId="28B4D0CC" w14:textId="77777777" w:rsidR="00B74524" w:rsidRDefault="00B74524" w:rsidP="00B74524">
      <w:pPr>
        <w:pStyle w:val="Index1"/>
      </w:pPr>
      <w:r>
        <w:t xml:space="preserve">history of workers compensation schemes see schemes history and evolution. </w:t>
      </w:r>
    </w:p>
    <w:p w14:paraId="3BBADD61" w14:textId="77777777" w:rsidR="00B74524" w:rsidRDefault="00B74524" w:rsidP="00B74524">
      <w:pPr>
        <w:pStyle w:val="Index1"/>
      </w:pPr>
      <w:r>
        <w:t>home help, defined, 282</w:t>
      </w:r>
    </w:p>
    <w:p w14:paraId="0ACB9FB8" w14:textId="77777777" w:rsidR="00B74524" w:rsidRDefault="00B74524" w:rsidP="00B74524">
      <w:pPr>
        <w:pStyle w:val="Index1"/>
      </w:pPr>
      <w:r>
        <w:t>home jurisdiction, defined, 282</w:t>
      </w:r>
    </w:p>
    <w:p w14:paraId="40BB0247" w14:textId="77777777" w:rsidR="00B74524" w:rsidRDefault="00B74524" w:rsidP="00B74524">
      <w:pPr>
        <w:pStyle w:val="Index1"/>
      </w:pPr>
      <w:r>
        <w:t xml:space="preserve">hospital entitlement limits see medical, hospital and other costs. </w:t>
      </w:r>
    </w:p>
    <w:p w14:paraId="61532C9E" w14:textId="77777777" w:rsidR="00B74524" w:rsidRDefault="00B74524" w:rsidP="00B74524">
      <w:pPr>
        <w:pStyle w:val="Index1"/>
      </w:pPr>
      <w:r w:rsidRPr="00320039">
        <w:rPr>
          <w:rFonts w:eastAsiaTheme="minorHAnsi"/>
        </w:rPr>
        <w:t>hybrid schemes</w:t>
      </w:r>
      <w:r>
        <w:t>, 232, 234, 282</w:t>
      </w:r>
    </w:p>
    <w:p w14:paraId="4EE38689"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I</w:t>
      </w:r>
    </w:p>
    <w:p w14:paraId="09AD0725" w14:textId="77777777" w:rsidR="00B74524" w:rsidRDefault="00B74524" w:rsidP="00B74524">
      <w:pPr>
        <w:pStyle w:val="Index1"/>
      </w:pPr>
      <w:r>
        <w:t>impairment</w:t>
      </w:r>
    </w:p>
    <w:p w14:paraId="4DF7D3F5" w14:textId="77777777" w:rsidR="00B74524" w:rsidRDefault="00B74524">
      <w:pPr>
        <w:pStyle w:val="Index2"/>
        <w:tabs>
          <w:tab w:val="right" w:leader="dot" w:pos="4143"/>
        </w:tabs>
        <w:rPr>
          <w:noProof/>
        </w:rPr>
      </w:pPr>
      <w:r>
        <w:rPr>
          <w:noProof/>
        </w:rPr>
        <w:t xml:space="preserve">impairment threshold for psychological injury see psychological injuries. , </w:t>
      </w:r>
    </w:p>
    <w:p w14:paraId="378B3CB7" w14:textId="77777777" w:rsidR="00B74524" w:rsidRDefault="00B74524" w:rsidP="00B74524">
      <w:pPr>
        <w:pStyle w:val="Index1"/>
      </w:pPr>
      <w:r>
        <w:t>incapacity</w:t>
      </w:r>
    </w:p>
    <w:p w14:paraId="73A502BB" w14:textId="77777777" w:rsidR="00B74524" w:rsidRDefault="00B74524">
      <w:pPr>
        <w:pStyle w:val="Index2"/>
        <w:tabs>
          <w:tab w:val="right" w:leader="dot" w:pos="4143"/>
        </w:tabs>
        <w:rPr>
          <w:noProof/>
        </w:rPr>
      </w:pPr>
      <w:r>
        <w:rPr>
          <w:noProof/>
        </w:rPr>
        <w:t>benefits settlements, 139</w:t>
      </w:r>
    </w:p>
    <w:p w14:paraId="1C66C05D" w14:textId="77777777" w:rsidR="00B74524" w:rsidRDefault="00B74524">
      <w:pPr>
        <w:pStyle w:val="Index2"/>
        <w:tabs>
          <w:tab w:val="right" w:leader="dot" w:pos="4143"/>
        </w:tabs>
        <w:rPr>
          <w:noProof/>
        </w:rPr>
      </w:pPr>
      <w:r>
        <w:rPr>
          <w:noProof/>
        </w:rPr>
        <w:t>entitlements summary, 31–35</w:t>
      </w:r>
    </w:p>
    <w:p w14:paraId="2CEE7026" w14:textId="77777777" w:rsidR="00B74524" w:rsidRDefault="00B74524">
      <w:pPr>
        <w:pStyle w:val="Index2"/>
        <w:tabs>
          <w:tab w:val="right" w:leader="dot" w:pos="4143"/>
        </w:tabs>
        <w:rPr>
          <w:noProof/>
        </w:rPr>
      </w:pPr>
      <w:r>
        <w:rPr>
          <w:noProof/>
        </w:rPr>
        <w:t>partially incapacitated, defined, 283</w:t>
      </w:r>
    </w:p>
    <w:p w14:paraId="52513CC4" w14:textId="77777777" w:rsidR="00B74524" w:rsidRDefault="00B74524">
      <w:pPr>
        <w:pStyle w:val="Index2"/>
        <w:tabs>
          <w:tab w:val="right" w:leader="dot" w:pos="4143"/>
        </w:tabs>
        <w:rPr>
          <w:noProof/>
        </w:rPr>
      </w:pPr>
      <w:r>
        <w:rPr>
          <w:noProof/>
        </w:rPr>
        <w:t>totally incapacitated, defined, 285</w:t>
      </w:r>
    </w:p>
    <w:p w14:paraId="119518AD" w14:textId="77777777" w:rsidR="00B74524" w:rsidRDefault="00B74524" w:rsidP="00B74524">
      <w:pPr>
        <w:pStyle w:val="Index1"/>
      </w:pPr>
      <w:r>
        <w:t>income replacement, 99, 101–9</w:t>
      </w:r>
    </w:p>
    <w:p w14:paraId="1FE066C9" w14:textId="77777777" w:rsidR="00B74524" w:rsidRDefault="00B74524" w:rsidP="00B74524">
      <w:pPr>
        <w:pStyle w:val="Index1"/>
      </w:pPr>
      <w:r>
        <w:t>industrial deafness, 71, 252</w:t>
      </w:r>
    </w:p>
    <w:p w14:paraId="7ED400DC" w14:textId="77777777" w:rsidR="00B74524" w:rsidRDefault="00B74524" w:rsidP="00B74524">
      <w:pPr>
        <w:pStyle w:val="Index1"/>
      </w:pPr>
      <w:r>
        <w:t>industry classifications, 239</w:t>
      </w:r>
    </w:p>
    <w:p w14:paraId="263201F1" w14:textId="77777777" w:rsidR="00B74524" w:rsidRDefault="00B74524" w:rsidP="00B74524">
      <w:pPr>
        <w:pStyle w:val="Index1"/>
      </w:pPr>
      <w:r>
        <w:t>industry premium rates, 236–38, 240</w:t>
      </w:r>
    </w:p>
    <w:p w14:paraId="67814481" w14:textId="77777777" w:rsidR="00B74524" w:rsidRDefault="00B74524">
      <w:pPr>
        <w:pStyle w:val="Index2"/>
        <w:tabs>
          <w:tab w:val="right" w:leader="dot" w:pos="4143"/>
        </w:tabs>
        <w:rPr>
          <w:noProof/>
        </w:rPr>
      </w:pPr>
      <w:r>
        <w:rPr>
          <w:noProof/>
        </w:rPr>
        <w:t>premiums defined, 283</w:t>
      </w:r>
    </w:p>
    <w:p w14:paraId="652DED6A" w14:textId="77777777" w:rsidR="00B74524" w:rsidRDefault="00B74524" w:rsidP="00B74524">
      <w:pPr>
        <w:pStyle w:val="Index1"/>
      </w:pPr>
      <w:r>
        <w:t>infectious or parasitic diseases, 276</w:t>
      </w:r>
    </w:p>
    <w:p w14:paraId="2DF9F292" w14:textId="77777777" w:rsidR="00B74524" w:rsidRDefault="00B74524" w:rsidP="00B74524">
      <w:pPr>
        <w:pStyle w:val="Index1"/>
      </w:pPr>
      <w:r>
        <w:t>injured workers</w:t>
      </w:r>
    </w:p>
    <w:p w14:paraId="68DB9691" w14:textId="77777777" w:rsidR="00B74524" w:rsidRDefault="00B74524">
      <w:pPr>
        <w:pStyle w:val="Index2"/>
        <w:tabs>
          <w:tab w:val="right" w:leader="dot" w:pos="4143"/>
        </w:tabs>
        <w:rPr>
          <w:noProof/>
        </w:rPr>
      </w:pPr>
      <w:r>
        <w:rPr>
          <w:noProof/>
        </w:rPr>
        <w:t>date of injury, defined, 281</w:t>
      </w:r>
    </w:p>
    <w:p w14:paraId="4B2C161C" w14:textId="77777777" w:rsidR="00B74524" w:rsidRDefault="00B74524">
      <w:pPr>
        <w:pStyle w:val="Index2"/>
        <w:tabs>
          <w:tab w:val="right" w:leader="dot" w:pos="4143"/>
        </w:tabs>
        <w:rPr>
          <w:noProof/>
        </w:rPr>
      </w:pPr>
      <w:r>
        <w:rPr>
          <w:noProof/>
        </w:rPr>
        <w:t>placement incentives see also return to work, 169–73</w:t>
      </w:r>
    </w:p>
    <w:p w14:paraId="75591D6A" w14:textId="77777777" w:rsidR="00B74524" w:rsidRDefault="00B74524" w:rsidP="00B74524">
      <w:pPr>
        <w:pStyle w:val="Index1"/>
      </w:pPr>
      <w:r>
        <w:t>injury</w:t>
      </w:r>
    </w:p>
    <w:p w14:paraId="76CA6543" w14:textId="77777777" w:rsidR="00B74524" w:rsidRDefault="00B74524">
      <w:pPr>
        <w:pStyle w:val="Index2"/>
        <w:tabs>
          <w:tab w:val="right" w:leader="dot" w:pos="4143"/>
        </w:tabs>
        <w:rPr>
          <w:noProof/>
        </w:rPr>
      </w:pPr>
      <w:r>
        <w:rPr>
          <w:noProof/>
        </w:rPr>
        <w:t>aggravation and acceleration of existing injuries, 71</w:t>
      </w:r>
    </w:p>
    <w:p w14:paraId="4D9BC1FC" w14:textId="77777777" w:rsidR="00B74524" w:rsidRDefault="00B74524">
      <w:pPr>
        <w:pStyle w:val="Index2"/>
        <w:tabs>
          <w:tab w:val="right" w:leader="dot" w:pos="4143"/>
        </w:tabs>
        <w:rPr>
          <w:noProof/>
        </w:rPr>
      </w:pPr>
      <w:r>
        <w:rPr>
          <w:noProof/>
        </w:rPr>
        <w:t>definition, 283</w:t>
      </w:r>
    </w:p>
    <w:p w14:paraId="6B6DCA1E" w14:textId="77777777" w:rsidR="00B74524" w:rsidRDefault="00B74524">
      <w:pPr>
        <w:pStyle w:val="Index2"/>
        <w:tabs>
          <w:tab w:val="right" w:leader="dot" w:pos="4143"/>
        </w:tabs>
        <w:rPr>
          <w:noProof/>
        </w:rPr>
      </w:pPr>
      <w:r>
        <w:rPr>
          <w:noProof/>
        </w:rPr>
        <w:t>definition of injury and relationship to employment, 27–28, 71</w:t>
      </w:r>
    </w:p>
    <w:p w14:paraId="6DEFDE7A" w14:textId="77777777" w:rsidR="00B74524" w:rsidRDefault="00B74524">
      <w:pPr>
        <w:pStyle w:val="Index2"/>
        <w:tabs>
          <w:tab w:val="right" w:leader="dot" w:pos="4143"/>
        </w:tabs>
        <w:rPr>
          <w:noProof/>
        </w:rPr>
      </w:pPr>
      <w:r>
        <w:rPr>
          <w:noProof/>
        </w:rPr>
        <w:t>prescribed time periods for notification, 36</w:t>
      </w:r>
    </w:p>
    <w:p w14:paraId="2636D8A5" w14:textId="77777777" w:rsidR="00B74524" w:rsidRDefault="00B74524">
      <w:pPr>
        <w:pStyle w:val="Index2"/>
        <w:tabs>
          <w:tab w:val="right" w:leader="dot" w:pos="4143"/>
        </w:tabs>
        <w:rPr>
          <w:noProof/>
        </w:rPr>
      </w:pPr>
      <w:r>
        <w:rPr>
          <w:noProof/>
        </w:rPr>
        <w:t>sporting injuries, 66–67</w:t>
      </w:r>
    </w:p>
    <w:p w14:paraId="21220231" w14:textId="77777777" w:rsidR="00B74524" w:rsidRDefault="00B74524" w:rsidP="00B74524">
      <w:pPr>
        <w:pStyle w:val="Index1"/>
      </w:pPr>
      <w:r>
        <w:t>Inquiry into the Operation of Queensland's Workers' Compensation Scheme, 248</w:t>
      </w:r>
    </w:p>
    <w:p w14:paraId="30BAD9E2" w14:textId="77777777" w:rsidR="00B74524" w:rsidRDefault="00B74524" w:rsidP="00B74524">
      <w:pPr>
        <w:pStyle w:val="Index1"/>
      </w:pPr>
      <w:r>
        <w:t>instrument of approval, defined, 283</w:t>
      </w:r>
    </w:p>
    <w:p w14:paraId="0B4582E7" w14:textId="77777777" w:rsidR="00B74524" w:rsidRDefault="00B74524" w:rsidP="00B74524">
      <w:pPr>
        <w:pStyle w:val="Index1"/>
      </w:pPr>
      <w:r>
        <w:t>Insurance Assistance Fund (South Australia), 227</w:t>
      </w:r>
    </w:p>
    <w:p w14:paraId="04BB9C8E" w14:textId="77777777" w:rsidR="00B74524" w:rsidRDefault="00B74524" w:rsidP="00B74524">
      <w:pPr>
        <w:pStyle w:val="Index1"/>
      </w:pPr>
      <w:r>
        <w:t>ionizing radiations, 270</w:t>
      </w:r>
    </w:p>
    <w:p w14:paraId="2C71B5C0"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J</w:t>
      </w:r>
    </w:p>
    <w:p w14:paraId="21564923" w14:textId="77777777" w:rsidR="00B74524" w:rsidRDefault="00B74524" w:rsidP="00B74524">
      <w:pPr>
        <w:pStyle w:val="Index1"/>
      </w:pPr>
      <w:r>
        <w:t>journeys to and from work, 26, 71, 73, 259</w:t>
      </w:r>
    </w:p>
    <w:p w14:paraId="06409B03" w14:textId="77777777" w:rsidR="00B74524" w:rsidRDefault="00B74524" w:rsidP="00B74524">
      <w:pPr>
        <w:pStyle w:val="Index1"/>
      </w:pPr>
      <w:r w:rsidRPr="00320039">
        <w:rPr>
          <w:rFonts w:eastAsiaTheme="minorHAnsi"/>
        </w:rPr>
        <w:t>judges</w:t>
      </w:r>
      <w:r>
        <w:t>, 56, 70, 229</w:t>
      </w:r>
    </w:p>
    <w:p w14:paraId="778766A7" w14:textId="77777777" w:rsidR="00B74524" w:rsidRDefault="00B74524" w:rsidP="00B74524">
      <w:pPr>
        <w:pStyle w:val="Index1"/>
      </w:pPr>
      <w:r>
        <w:t>jurisdictions</w:t>
      </w:r>
    </w:p>
    <w:p w14:paraId="207A0716" w14:textId="77777777" w:rsidR="00B74524" w:rsidRDefault="00B74524">
      <w:pPr>
        <w:pStyle w:val="Index2"/>
        <w:tabs>
          <w:tab w:val="right" w:leader="dot" w:pos="4143"/>
        </w:tabs>
        <w:rPr>
          <w:noProof/>
        </w:rPr>
      </w:pPr>
      <w:r>
        <w:rPr>
          <w:noProof/>
        </w:rPr>
        <w:t>contact, 16</w:t>
      </w:r>
    </w:p>
    <w:p w14:paraId="046E988F" w14:textId="77777777" w:rsidR="00B74524" w:rsidRDefault="00B74524">
      <w:pPr>
        <w:pStyle w:val="Index2"/>
        <w:tabs>
          <w:tab w:val="right" w:leader="dot" w:pos="4143"/>
        </w:tabs>
        <w:rPr>
          <w:noProof/>
        </w:rPr>
      </w:pPr>
      <w:r>
        <w:rPr>
          <w:noProof/>
        </w:rPr>
        <w:t>cross-border provisions, 97, 255, 281</w:t>
      </w:r>
    </w:p>
    <w:p w14:paraId="21DF56F4" w14:textId="77777777" w:rsidR="00B74524" w:rsidRDefault="00B74524">
      <w:pPr>
        <w:pStyle w:val="Index2"/>
        <w:tabs>
          <w:tab w:val="right" w:leader="dot" w:pos="4143"/>
        </w:tabs>
        <w:rPr>
          <w:noProof/>
        </w:rPr>
      </w:pPr>
      <w:r>
        <w:rPr>
          <w:noProof/>
        </w:rPr>
        <w:t>responsible agencies, 18</w:t>
      </w:r>
    </w:p>
    <w:p w14:paraId="1017A08A"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K</w:t>
      </w:r>
    </w:p>
    <w:p w14:paraId="75769610" w14:textId="77777777" w:rsidR="00B74524" w:rsidRDefault="00B74524" w:rsidP="00B74524">
      <w:pPr>
        <w:pStyle w:val="Index1"/>
      </w:pPr>
      <w:r>
        <w:t>Key features of schemes, 20</w:t>
      </w:r>
    </w:p>
    <w:p w14:paraId="6167CC09"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L</w:t>
      </w:r>
    </w:p>
    <w:p w14:paraId="660B6895" w14:textId="77777777" w:rsidR="00B74524" w:rsidRDefault="00B74524" w:rsidP="00B74524">
      <w:pPr>
        <w:pStyle w:val="Index1"/>
      </w:pPr>
      <w:r>
        <w:t>labour hire workers, 21–24, 57, 59–60</w:t>
      </w:r>
    </w:p>
    <w:p w14:paraId="5EB80ADF" w14:textId="77777777" w:rsidR="00B74524" w:rsidRDefault="00B74524" w:rsidP="00B74524">
      <w:pPr>
        <w:pStyle w:val="Index1"/>
      </w:pPr>
      <w:r>
        <w:t>leave while on workers' compensation, 51–52</w:t>
      </w:r>
    </w:p>
    <w:p w14:paraId="5585F8AF" w14:textId="77777777" w:rsidR="00B74524" w:rsidRDefault="00B74524" w:rsidP="00B74524">
      <w:pPr>
        <w:pStyle w:val="Index1"/>
      </w:pPr>
      <w:r>
        <w:t>legislation, 219–22</w:t>
      </w:r>
    </w:p>
    <w:p w14:paraId="0FA22C17" w14:textId="77777777" w:rsidR="00B74524" w:rsidRDefault="00B74524">
      <w:pPr>
        <w:pStyle w:val="Index2"/>
        <w:tabs>
          <w:tab w:val="right" w:leader="dot" w:pos="4143"/>
        </w:tabs>
        <w:rPr>
          <w:noProof/>
        </w:rPr>
      </w:pPr>
      <w:r>
        <w:rPr>
          <w:noProof/>
        </w:rPr>
        <w:t>applicable workers compensation legislation, 219–20</w:t>
      </w:r>
    </w:p>
    <w:p w14:paraId="5B823204" w14:textId="77777777" w:rsidR="00B74524" w:rsidRDefault="00B74524">
      <w:pPr>
        <w:pStyle w:val="Index2"/>
        <w:tabs>
          <w:tab w:val="right" w:leader="dot" w:pos="4143"/>
        </w:tabs>
        <w:rPr>
          <w:noProof/>
        </w:rPr>
      </w:pPr>
      <w:r>
        <w:rPr>
          <w:noProof/>
        </w:rPr>
        <w:t>compliance with (self-insurers), 202–5</w:t>
      </w:r>
    </w:p>
    <w:p w14:paraId="2CC59E1E" w14:textId="77777777" w:rsidR="00B74524" w:rsidRDefault="00B74524">
      <w:pPr>
        <w:pStyle w:val="Index2"/>
        <w:tabs>
          <w:tab w:val="right" w:leader="dot" w:pos="4143"/>
        </w:tabs>
        <w:rPr>
          <w:noProof/>
        </w:rPr>
      </w:pPr>
      <w:r>
        <w:rPr>
          <w:noProof/>
        </w:rPr>
        <w:t>prescribed occupational diseases, 265–76, 277–80</w:t>
      </w:r>
    </w:p>
    <w:p w14:paraId="344FB67F" w14:textId="77777777" w:rsidR="00B74524" w:rsidRDefault="00B74524">
      <w:pPr>
        <w:pStyle w:val="Index2"/>
        <w:tabs>
          <w:tab w:val="right" w:leader="dot" w:pos="4143"/>
        </w:tabs>
        <w:rPr>
          <w:noProof/>
        </w:rPr>
      </w:pPr>
      <w:r>
        <w:rPr>
          <w:noProof/>
        </w:rPr>
        <w:t>sections of Acts and guidance material, 142–45</w:t>
      </w:r>
    </w:p>
    <w:p w14:paraId="7118F88E" w14:textId="77777777" w:rsidR="00B74524" w:rsidRDefault="00B74524">
      <w:pPr>
        <w:pStyle w:val="Index2"/>
        <w:tabs>
          <w:tab w:val="right" w:leader="dot" w:pos="4143"/>
        </w:tabs>
        <w:rPr>
          <w:noProof/>
        </w:rPr>
      </w:pPr>
      <w:r>
        <w:rPr>
          <w:noProof/>
        </w:rPr>
        <w:t>transitional provisions, 218</w:t>
      </w:r>
    </w:p>
    <w:p w14:paraId="6604584B" w14:textId="77777777" w:rsidR="00B74524" w:rsidRDefault="00B74524" w:rsidP="00B74524">
      <w:pPr>
        <w:pStyle w:val="Index1"/>
      </w:pPr>
      <w:r>
        <w:t>legislative reviews</w:t>
      </w:r>
    </w:p>
    <w:p w14:paraId="4FBC2710" w14:textId="77777777" w:rsidR="00B74524" w:rsidRDefault="00B74524">
      <w:pPr>
        <w:pStyle w:val="Index2"/>
        <w:tabs>
          <w:tab w:val="right" w:leader="dot" w:pos="4143"/>
        </w:tabs>
        <w:rPr>
          <w:noProof/>
        </w:rPr>
      </w:pPr>
      <w:r>
        <w:rPr>
          <w:noProof/>
        </w:rPr>
        <w:t>Western Australia, 10</w:t>
      </w:r>
    </w:p>
    <w:p w14:paraId="00336749" w14:textId="77777777" w:rsidR="00B74524" w:rsidRDefault="00B74524" w:rsidP="00B74524">
      <w:pPr>
        <w:pStyle w:val="Index1"/>
      </w:pPr>
      <w:r>
        <w:t>levies</w:t>
      </w:r>
    </w:p>
    <w:p w14:paraId="4F0E0029" w14:textId="77777777" w:rsidR="00B74524" w:rsidRDefault="00B74524">
      <w:pPr>
        <w:pStyle w:val="Index2"/>
        <w:tabs>
          <w:tab w:val="right" w:leader="dot" w:pos="4143"/>
        </w:tabs>
        <w:rPr>
          <w:noProof/>
        </w:rPr>
      </w:pPr>
      <w:r>
        <w:rPr>
          <w:noProof/>
        </w:rPr>
        <w:t>definition (NZ) see also premiums, 283</w:t>
      </w:r>
    </w:p>
    <w:p w14:paraId="6728F7EA" w14:textId="77777777" w:rsidR="00B74524" w:rsidRDefault="00B74524">
      <w:pPr>
        <w:pStyle w:val="Index2"/>
        <w:tabs>
          <w:tab w:val="right" w:leader="dot" w:pos="4143"/>
        </w:tabs>
        <w:rPr>
          <w:noProof/>
        </w:rPr>
      </w:pPr>
      <w:r>
        <w:rPr>
          <w:noProof/>
        </w:rPr>
        <w:t>licence surrender and penalties for exiting (self-insurance), 195, 214–16</w:t>
      </w:r>
    </w:p>
    <w:p w14:paraId="29BBBE20" w14:textId="77777777" w:rsidR="00B74524" w:rsidRDefault="00B74524">
      <w:pPr>
        <w:pStyle w:val="Index2"/>
        <w:tabs>
          <w:tab w:val="right" w:leader="dot" w:pos="4143"/>
        </w:tabs>
        <w:rPr>
          <w:noProof/>
        </w:rPr>
      </w:pPr>
      <w:r>
        <w:rPr>
          <w:noProof/>
        </w:rPr>
        <w:t>licences (self-insurance) approval processes, costs and licence, 192–94</w:t>
      </w:r>
    </w:p>
    <w:p w14:paraId="22799D9B" w14:textId="77777777" w:rsidR="00B74524" w:rsidRDefault="00B74524">
      <w:pPr>
        <w:pStyle w:val="Index2"/>
        <w:tabs>
          <w:tab w:val="right" w:leader="dot" w:pos="4143"/>
        </w:tabs>
        <w:rPr>
          <w:noProof/>
        </w:rPr>
      </w:pPr>
      <w:r>
        <w:rPr>
          <w:noProof/>
        </w:rPr>
        <w:t>other ongoing licence requirements, 202–5</w:t>
      </w:r>
    </w:p>
    <w:p w14:paraId="2E9FFDD4" w14:textId="77777777" w:rsidR="00B74524" w:rsidRDefault="00B74524" w:rsidP="00B74524">
      <w:pPr>
        <w:pStyle w:val="Index1"/>
      </w:pPr>
      <w:r>
        <w:t>lump sum payments, 31–35, 281, 284</w:t>
      </w:r>
    </w:p>
    <w:p w14:paraId="4AD98289" w14:textId="77777777" w:rsidR="00B74524" w:rsidRDefault="00B74524" w:rsidP="00B74524">
      <w:pPr>
        <w:pStyle w:val="Index1"/>
      </w:pPr>
      <w:r>
        <w:t>lung cancer, 277–80</w:t>
      </w:r>
    </w:p>
    <w:p w14:paraId="1571976A" w14:textId="77777777" w:rsidR="00B74524" w:rsidRDefault="00B74524">
      <w:pPr>
        <w:pStyle w:val="Index2"/>
        <w:tabs>
          <w:tab w:val="right" w:leader="dot" w:pos="4143"/>
        </w:tabs>
        <w:rPr>
          <w:noProof/>
        </w:rPr>
      </w:pPr>
      <w:r>
        <w:rPr>
          <w:noProof/>
        </w:rPr>
        <w:t>WA, 226</w:t>
      </w:r>
    </w:p>
    <w:p w14:paraId="41CA8896"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lastRenderedPageBreak/>
        <w:t>M</w:t>
      </w:r>
    </w:p>
    <w:p w14:paraId="11E6BC7C" w14:textId="77777777" w:rsidR="00B74524" w:rsidRDefault="00B74524" w:rsidP="00B74524">
      <w:pPr>
        <w:pStyle w:val="Index1"/>
      </w:pPr>
      <w:r>
        <w:t>medical, hospital and other costs</w:t>
      </w:r>
    </w:p>
    <w:p w14:paraId="5BD99A4A" w14:textId="77777777" w:rsidR="00B74524" w:rsidRDefault="00B74524">
      <w:pPr>
        <w:pStyle w:val="Index2"/>
        <w:tabs>
          <w:tab w:val="right" w:leader="dot" w:pos="4143"/>
        </w:tabs>
        <w:rPr>
          <w:noProof/>
        </w:rPr>
      </w:pPr>
      <w:r>
        <w:rPr>
          <w:noProof/>
        </w:rPr>
        <w:t>benefits, 99, 110–17</w:t>
      </w:r>
    </w:p>
    <w:p w14:paraId="46010065" w14:textId="77777777" w:rsidR="00B74524" w:rsidRDefault="00B74524">
      <w:pPr>
        <w:pStyle w:val="Index2"/>
        <w:tabs>
          <w:tab w:val="right" w:leader="dot" w:pos="4143"/>
        </w:tabs>
        <w:rPr>
          <w:noProof/>
        </w:rPr>
      </w:pPr>
      <w:r>
        <w:rPr>
          <w:noProof/>
        </w:rPr>
        <w:t>defined, 283</w:t>
      </w:r>
    </w:p>
    <w:p w14:paraId="2F78F1AB" w14:textId="77777777" w:rsidR="00B74524" w:rsidRDefault="00B74524">
      <w:pPr>
        <w:pStyle w:val="Index2"/>
        <w:tabs>
          <w:tab w:val="right" w:leader="dot" w:pos="4143"/>
        </w:tabs>
        <w:rPr>
          <w:noProof/>
        </w:rPr>
      </w:pPr>
      <w:r>
        <w:rPr>
          <w:noProof/>
        </w:rPr>
        <w:t>entitlement limits, 33</w:t>
      </w:r>
    </w:p>
    <w:p w14:paraId="4DDBF1D4" w14:textId="77777777" w:rsidR="00B74524" w:rsidRDefault="00B74524" w:rsidP="00B74524">
      <w:pPr>
        <w:pStyle w:val="Index1"/>
      </w:pPr>
      <w:r w:rsidRPr="00320039">
        <w:rPr>
          <w:rFonts w:eastAsiaTheme="minorHAnsi"/>
        </w:rPr>
        <w:t>members of parliament</w:t>
      </w:r>
      <w:r>
        <w:t>, 56, 70</w:t>
      </w:r>
    </w:p>
    <w:p w14:paraId="09D94183" w14:textId="77777777" w:rsidR="00B74524" w:rsidRDefault="00B74524" w:rsidP="00B74524">
      <w:pPr>
        <w:pStyle w:val="Index1"/>
      </w:pPr>
      <w:r>
        <w:t>mesothelioma</w:t>
      </w:r>
    </w:p>
    <w:p w14:paraId="6EB2FCDA" w14:textId="77777777" w:rsidR="00B74524" w:rsidRDefault="00B74524">
      <w:pPr>
        <w:pStyle w:val="Index2"/>
        <w:tabs>
          <w:tab w:val="right" w:leader="dot" w:pos="4143"/>
        </w:tabs>
        <w:rPr>
          <w:noProof/>
        </w:rPr>
      </w:pPr>
      <w:r>
        <w:rPr>
          <w:noProof/>
        </w:rPr>
        <w:t>(Commonwealth) see also asbestos-related diseases, 229, 277</w:t>
      </w:r>
    </w:p>
    <w:p w14:paraId="639B3539" w14:textId="77777777" w:rsidR="00B74524" w:rsidRDefault="00B74524" w:rsidP="00B74524">
      <w:pPr>
        <w:pStyle w:val="Index1"/>
      </w:pPr>
      <w:r>
        <w:t>mesothelioma (WA), 226, 277</w:t>
      </w:r>
    </w:p>
    <w:p w14:paraId="5455B9A0" w14:textId="77777777" w:rsidR="00B74524" w:rsidRDefault="00B74524" w:rsidP="00B74524">
      <w:pPr>
        <w:pStyle w:val="Index1"/>
      </w:pPr>
      <w:r>
        <w:t>micro employers (NSW), 169</w:t>
      </w:r>
    </w:p>
    <w:p w14:paraId="77BF1ADE" w14:textId="77777777" w:rsidR="00B74524" w:rsidRDefault="00B74524" w:rsidP="00B74524">
      <w:pPr>
        <w:pStyle w:val="Index1"/>
      </w:pPr>
      <w:r>
        <w:t>Military Rehabilitation and Compensation Commission, 18, 261, 287</w:t>
      </w:r>
    </w:p>
    <w:p w14:paraId="7976BE7E" w14:textId="77777777" w:rsidR="00B74524" w:rsidRDefault="00B74524" w:rsidP="00B74524">
      <w:pPr>
        <w:pStyle w:val="Index1"/>
      </w:pPr>
      <w:r>
        <w:t>Mine Safety Fund, 239</w:t>
      </w:r>
    </w:p>
    <w:p w14:paraId="5B76CDC0" w14:textId="77777777" w:rsidR="00B74524" w:rsidRDefault="00B74524" w:rsidP="00B74524">
      <w:pPr>
        <w:pStyle w:val="Index1"/>
      </w:pPr>
      <w:r>
        <w:t>mining industry (NSW), 223, 239</w:t>
      </w:r>
    </w:p>
    <w:p w14:paraId="77C020D4" w14:textId="77777777" w:rsidR="00B74524" w:rsidRDefault="00B74524" w:rsidP="00B74524">
      <w:pPr>
        <w:pStyle w:val="Index1"/>
      </w:pPr>
      <w:r>
        <w:t>minor schemes, 223–31</w:t>
      </w:r>
    </w:p>
    <w:p w14:paraId="20B85C4E" w14:textId="77777777" w:rsidR="00B74524" w:rsidRDefault="00B74524" w:rsidP="00B74524">
      <w:pPr>
        <w:pStyle w:val="Index1"/>
      </w:pPr>
      <w:r>
        <w:t>multi-jurisdictional employer, defined, 283</w:t>
      </w:r>
    </w:p>
    <w:p w14:paraId="5BB9D667"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N</w:t>
      </w:r>
    </w:p>
    <w:p w14:paraId="036324DC" w14:textId="77777777" w:rsidR="00B74524" w:rsidRDefault="00B74524" w:rsidP="00B74524">
      <w:pPr>
        <w:pStyle w:val="Index1"/>
      </w:pPr>
      <w:r>
        <w:t>National Cross-Border Model, 96</w:t>
      </w:r>
    </w:p>
    <w:p w14:paraId="0D89AD91" w14:textId="77777777" w:rsidR="00B74524" w:rsidRDefault="00B74524" w:rsidP="00B74524">
      <w:pPr>
        <w:pStyle w:val="Index1"/>
      </w:pPr>
      <w:r>
        <w:t>New South Wales</w:t>
      </w:r>
    </w:p>
    <w:p w14:paraId="75D45C81" w14:textId="77777777" w:rsidR="00B74524" w:rsidRDefault="00B74524">
      <w:pPr>
        <w:pStyle w:val="Index2"/>
        <w:tabs>
          <w:tab w:val="right" w:leader="dot" w:pos="4143"/>
        </w:tabs>
        <w:rPr>
          <w:noProof/>
        </w:rPr>
      </w:pPr>
      <w:r>
        <w:rPr>
          <w:noProof/>
        </w:rPr>
        <w:t>agency responsible, 18</w:t>
      </w:r>
    </w:p>
    <w:p w14:paraId="6EEDAFFB" w14:textId="77777777" w:rsidR="00B74524" w:rsidRDefault="00B74524">
      <w:pPr>
        <w:pStyle w:val="Index2"/>
        <w:tabs>
          <w:tab w:val="right" w:leader="dot" w:pos="4143"/>
        </w:tabs>
        <w:rPr>
          <w:noProof/>
        </w:rPr>
      </w:pPr>
      <w:r>
        <w:rPr>
          <w:noProof/>
        </w:rPr>
        <w:t>contacts, 16</w:t>
      </w:r>
    </w:p>
    <w:p w14:paraId="2F851869" w14:textId="77777777" w:rsidR="00B74524" w:rsidRDefault="00B74524">
      <w:pPr>
        <w:pStyle w:val="Index2"/>
        <w:tabs>
          <w:tab w:val="right" w:leader="dot" w:pos="4143"/>
        </w:tabs>
        <w:rPr>
          <w:noProof/>
        </w:rPr>
      </w:pPr>
      <w:r>
        <w:rPr>
          <w:noProof/>
        </w:rPr>
        <w:t>scheme history and evolution, 243–45</w:t>
      </w:r>
    </w:p>
    <w:p w14:paraId="20064119" w14:textId="77777777" w:rsidR="00B74524" w:rsidRDefault="00B74524">
      <w:pPr>
        <w:pStyle w:val="Index2"/>
        <w:tabs>
          <w:tab w:val="right" w:leader="dot" w:pos="4143"/>
        </w:tabs>
        <w:rPr>
          <w:noProof/>
        </w:rPr>
      </w:pPr>
      <w:r>
        <w:rPr>
          <w:noProof/>
        </w:rPr>
        <w:t>scheme key features, 20</w:t>
      </w:r>
    </w:p>
    <w:p w14:paraId="2AFC2477" w14:textId="77777777" w:rsidR="00B74524" w:rsidRDefault="00B74524">
      <w:pPr>
        <w:pStyle w:val="Index2"/>
        <w:tabs>
          <w:tab w:val="right" w:leader="dot" w:pos="4143"/>
        </w:tabs>
        <w:rPr>
          <w:noProof/>
        </w:rPr>
      </w:pPr>
      <w:r>
        <w:rPr>
          <w:noProof/>
        </w:rPr>
        <w:t>summary of coverage of worker, 22</w:t>
      </w:r>
    </w:p>
    <w:p w14:paraId="260FAE8B" w14:textId="77777777" w:rsidR="00B74524" w:rsidRDefault="00B74524">
      <w:pPr>
        <w:pStyle w:val="Index2"/>
        <w:tabs>
          <w:tab w:val="right" w:leader="dot" w:pos="4143"/>
        </w:tabs>
        <w:rPr>
          <w:noProof/>
        </w:rPr>
      </w:pPr>
      <w:r>
        <w:rPr>
          <w:noProof/>
        </w:rPr>
        <w:t>summary of entitlements, 31–35</w:t>
      </w:r>
    </w:p>
    <w:p w14:paraId="42A7BEA5" w14:textId="77777777" w:rsidR="00B74524" w:rsidRDefault="00B74524" w:rsidP="00B74524">
      <w:pPr>
        <w:pStyle w:val="Index1"/>
      </w:pPr>
      <w:r>
        <w:t>New Zealand</w:t>
      </w:r>
    </w:p>
    <w:p w14:paraId="3849A9F7" w14:textId="77777777" w:rsidR="00B74524" w:rsidRDefault="00B74524">
      <w:pPr>
        <w:pStyle w:val="Index2"/>
        <w:tabs>
          <w:tab w:val="right" w:leader="dot" w:pos="4143"/>
        </w:tabs>
        <w:rPr>
          <w:noProof/>
        </w:rPr>
      </w:pPr>
      <w:r>
        <w:rPr>
          <w:noProof/>
        </w:rPr>
        <w:t>agency responsible, 19</w:t>
      </w:r>
    </w:p>
    <w:p w14:paraId="7D0A4364" w14:textId="77777777" w:rsidR="00B74524" w:rsidRDefault="00B74524">
      <w:pPr>
        <w:pStyle w:val="Index2"/>
        <w:tabs>
          <w:tab w:val="right" w:leader="dot" w:pos="4143"/>
        </w:tabs>
        <w:rPr>
          <w:noProof/>
        </w:rPr>
      </w:pPr>
      <w:r>
        <w:rPr>
          <w:noProof/>
        </w:rPr>
        <w:t>contacts, 17</w:t>
      </w:r>
    </w:p>
    <w:p w14:paraId="0DC84B4B" w14:textId="77777777" w:rsidR="00B74524" w:rsidRDefault="00B74524">
      <w:pPr>
        <w:pStyle w:val="Index2"/>
        <w:tabs>
          <w:tab w:val="right" w:leader="dot" w:pos="4143"/>
        </w:tabs>
        <w:rPr>
          <w:noProof/>
        </w:rPr>
      </w:pPr>
      <w:r>
        <w:rPr>
          <w:noProof/>
        </w:rPr>
        <w:t>recent developments, 13, 263</w:t>
      </w:r>
    </w:p>
    <w:p w14:paraId="57FD2861" w14:textId="77777777" w:rsidR="00B74524" w:rsidRDefault="00B74524">
      <w:pPr>
        <w:pStyle w:val="Index2"/>
        <w:tabs>
          <w:tab w:val="right" w:leader="dot" w:pos="4143"/>
        </w:tabs>
        <w:rPr>
          <w:noProof/>
        </w:rPr>
      </w:pPr>
      <w:r>
        <w:rPr>
          <w:noProof/>
        </w:rPr>
        <w:t>scheme history and evolution, 263</w:t>
      </w:r>
    </w:p>
    <w:p w14:paraId="2602EA8E" w14:textId="77777777" w:rsidR="00B74524" w:rsidRDefault="00B74524">
      <w:pPr>
        <w:pStyle w:val="Index2"/>
        <w:tabs>
          <w:tab w:val="right" w:leader="dot" w:pos="4143"/>
        </w:tabs>
        <w:rPr>
          <w:noProof/>
        </w:rPr>
      </w:pPr>
      <w:r>
        <w:rPr>
          <w:noProof/>
        </w:rPr>
        <w:t>scheme key features, 20</w:t>
      </w:r>
    </w:p>
    <w:p w14:paraId="58ED10D7" w14:textId="77777777" w:rsidR="00B74524" w:rsidRDefault="00B74524">
      <w:pPr>
        <w:pStyle w:val="Index2"/>
        <w:tabs>
          <w:tab w:val="right" w:leader="dot" w:pos="4143"/>
        </w:tabs>
        <w:rPr>
          <w:noProof/>
        </w:rPr>
      </w:pPr>
      <w:r>
        <w:rPr>
          <w:noProof/>
        </w:rPr>
        <w:t>summary of coverage of workers, 24</w:t>
      </w:r>
    </w:p>
    <w:p w14:paraId="19ABFE58" w14:textId="77777777" w:rsidR="00B74524" w:rsidRDefault="00B74524">
      <w:pPr>
        <w:pStyle w:val="Index2"/>
        <w:tabs>
          <w:tab w:val="right" w:leader="dot" w:pos="4143"/>
        </w:tabs>
        <w:rPr>
          <w:noProof/>
        </w:rPr>
      </w:pPr>
      <w:r>
        <w:rPr>
          <w:noProof/>
        </w:rPr>
        <w:t>summary of entitlements, 31–35</w:t>
      </w:r>
    </w:p>
    <w:p w14:paraId="76494192" w14:textId="77777777" w:rsidR="00B74524" w:rsidRDefault="00B74524" w:rsidP="00B74524">
      <w:pPr>
        <w:pStyle w:val="Index1"/>
      </w:pPr>
      <w:r>
        <w:t>no current work capacity, defined, 283</w:t>
      </w:r>
    </w:p>
    <w:p w14:paraId="73656271" w14:textId="77777777" w:rsidR="00B74524" w:rsidRDefault="00B74524" w:rsidP="00B74524">
      <w:pPr>
        <w:pStyle w:val="Index1"/>
      </w:pPr>
      <w:r>
        <w:t>noise see also hearing impairment, 269</w:t>
      </w:r>
    </w:p>
    <w:p w14:paraId="137E722E" w14:textId="77777777" w:rsidR="00B74524" w:rsidRDefault="00B74524" w:rsidP="00B74524">
      <w:pPr>
        <w:pStyle w:val="Index1"/>
      </w:pPr>
      <w:r>
        <w:t>non-economic loss, defined, 283</w:t>
      </w:r>
    </w:p>
    <w:p w14:paraId="74EEFC31" w14:textId="77777777" w:rsidR="00B74524" w:rsidRDefault="00B74524" w:rsidP="00B74524">
      <w:pPr>
        <w:pStyle w:val="Index1"/>
      </w:pPr>
      <w:r>
        <w:t>Northern Territory</w:t>
      </w:r>
    </w:p>
    <w:p w14:paraId="0F4DC775" w14:textId="77777777" w:rsidR="00B74524" w:rsidRDefault="00B74524">
      <w:pPr>
        <w:pStyle w:val="Index2"/>
        <w:tabs>
          <w:tab w:val="right" w:leader="dot" w:pos="4143"/>
        </w:tabs>
        <w:rPr>
          <w:noProof/>
        </w:rPr>
      </w:pPr>
      <w:r>
        <w:rPr>
          <w:noProof/>
        </w:rPr>
        <w:t>agency responsible, 18</w:t>
      </w:r>
    </w:p>
    <w:p w14:paraId="35E99D76" w14:textId="77777777" w:rsidR="00B74524" w:rsidRDefault="00B74524">
      <w:pPr>
        <w:pStyle w:val="Index2"/>
        <w:tabs>
          <w:tab w:val="right" w:leader="dot" w:pos="4143"/>
        </w:tabs>
        <w:rPr>
          <w:noProof/>
        </w:rPr>
      </w:pPr>
      <w:r>
        <w:rPr>
          <w:noProof/>
        </w:rPr>
        <w:t>contacts, 16</w:t>
      </w:r>
    </w:p>
    <w:p w14:paraId="5E4A760E" w14:textId="77777777" w:rsidR="00B74524" w:rsidRDefault="00B74524">
      <w:pPr>
        <w:pStyle w:val="Index2"/>
        <w:tabs>
          <w:tab w:val="right" w:leader="dot" w:pos="4143"/>
        </w:tabs>
        <w:rPr>
          <w:noProof/>
        </w:rPr>
      </w:pPr>
      <w:r w:rsidRPr="00320039">
        <w:rPr>
          <w:noProof/>
        </w:rPr>
        <w:t>for details of coverage and entitlements see specific subject headings</w:t>
      </w:r>
      <w:r>
        <w:rPr>
          <w:noProof/>
        </w:rPr>
        <w:t>, 289</w:t>
      </w:r>
    </w:p>
    <w:p w14:paraId="699FEE25" w14:textId="77777777" w:rsidR="00B74524" w:rsidRDefault="00B74524">
      <w:pPr>
        <w:pStyle w:val="Index2"/>
        <w:tabs>
          <w:tab w:val="right" w:leader="dot" w:pos="4143"/>
        </w:tabs>
        <w:rPr>
          <w:noProof/>
        </w:rPr>
      </w:pPr>
      <w:r>
        <w:rPr>
          <w:noProof/>
        </w:rPr>
        <w:t>recent developments, 12, 259</w:t>
      </w:r>
    </w:p>
    <w:p w14:paraId="377FF355" w14:textId="77777777" w:rsidR="00B74524" w:rsidRDefault="00B74524">
      <w:pPr>
        <w:pStyle w:val="Index2"/>
        <w:tabs>
          <w:tab w:val="right" w:leader="dot" w:pos="4143"/>
        </w:tabs>
        <w:rPr>
          <w:noProof/>
        </w:rPr>
      </w:pPr>
      <w:r>
        <w:rPr>
          <w:noProof/>
        </w:rPr>
        <w:t>scheme key features, 20</w:t>
      </w:r>
    </w:p>
    <w:p w14:paraId="42A6E151" w14:textId="77777777" w:rsidR="00B74524" w:rsidRDefault="00B74524">
      <w:pPr>
        <w:pStyle w:val="Index2"/>
        <w:tabs>
          <w:tab w:val="right" w:leader="dot" w:pos="4143"/>
        </w:tabs>
        <w:rPr>
          <w:noProof/>
        </w:rPr>
      </w:pPr>
      <w:r>
        <w:rPr>
          <w:noProof/>
        </w:rPr>
        <w:t>schemes history and evolution, 255–59</w:t>
      </w:r>
    </w:p>
    <w:p w14:paraId="171EA750" w14:textId="77777777" w:rsidR="00B74524" w:rsidRDefault="00B74524">
      <w:pPr>
        <w:pStyle w:val="Index2"/>
        <w:tabs>
          <w:tab w:val="right" w:leader="dot" w:pos="4143"/>
        </w:tabs>
        <w:rPr>
          <w:noProof/>
        </w:rPr>
      </w:pPr>
      <w:r>
        <w:rPr>
          <w:noProof/>
        </w:rPr>
        <w:t>summary of coverage of workers, 23</w:t>
      </w:r>
    </w:p>
    <w:p w14:paraId="0E055519" w14:textId="77777777" w:rsidR="00B74524" w:rsidRDefault="00B74524">
      <w:pPr>
        <w:pStyle w:val="Index2"/>
        <w:tabs>
          <w:tab w:val="right" w:leader="dot" w:pos="4143"/>
        </w:tabs>
        <w:rPr>
          <w:noProof/>
        </w:rPr>
      </w:pPr>
      <w:r>
        <w:rPr>
          <w:noProof/>
        </w:rPr>
        <w:t>summary of entitlements, 31–35</w:t>
      </w:r>
    </w:p>
    <w:p w14:paraId="7D9E59EC"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O</w:t>
      </w:r>
    </w:p>
    <w:p w14:paraId="3EECBBA1" w14:textId="77777777" w:rsidR="00B74524" w:rsidRDefault="00B74524" w:rsidP="00B74524">
      <w:pPr>
        <w:pStyle w:val="Index1"/>
      </w:pPr>
      <w:r>
        <w:t>outsourcing of case management, 201</w:t>
      </w:r>
    </w:p>
    <w:p w14:paraId="1AE6E3EF"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P</w:t>
      </w:r>
    </w:p>
    <w:p w14:paraId="26C31680" w14:textId="77777777" w:rsidR="00B74524" w:rsidRDefault="00B74524" w:rsidP="00B74524">
      <w:pPr>
        <w:pStyle w:val="Index1"/>
      </w:pPr>
      <w:r>
        <w:t>parasitic diseases, 276</w:t>
      </w:r>
    </w:p>
    <w:p w14:paraId="2542FBB3" w14:textId="77777777" w:rsidR="00B74524" w:rsidRDefault="00B74524" w:rsidP="00B74524">
      <w:pPr>
        <w:pStyle w:val="Index1"/>
      </w:pPr>
      <w:r>
        <w:t>partially incapacitated, defined, 283</w:t>
      </w:r>
    </w:p>
    <w:p w14:paraId="15BEDBA5" w14:textId="77777777" w:rsidR="00B74524" w:rsidRDefault="00B74524" w:rsidP="00B74524">
      <w:pPr>
        <w:pStyle w:val="Index1"/>
      </w:pPr>
      <w:r>
        <w:t>payments</w:t>
      </w:r>
    </w:p>
    <w:p w14:paraId="55FD05B5" w14:textId="77777777" w:rsidR="00B74524" w:rsidRDefault="00B74524">
      <w:pPr>
        <w:pStyle w:val="Index2"/>
        <w:tabs>
          <w:tab w:val="right" w:leader="dot" w:pos="4143"/>
        </w:tabs>
        <w:rPr>
          <w:noProof/>
        </w:rPr>
      </w:pPr>
      <w:r>
        <w:rPr>
          <w:noProof/>
        </w:rPr>
        <w:t>commutation payment, defined, 281</w:t>
      </w:r>
    </w:p>
    <w:p w14:paraId="66D0D681" w14:textId="77777777" w:rsidR="00B74524" w:rsidRDefault="00B74524">
      <w:pPr>
        <w:pStyle w:val="Index2"/>
        <w:tabs>
          <w:tab w:val="right" w:leader="dot" w:pos="4143"/>
        </w:tabs>
        <w:rPr>
          <w:noProof/>
        </w:rPr>
      </w:pPr>
      <w:r>
        <w:rPr>
          <w:noProof/>
        </w:rPr>
        <w:t>lump sum payments, 15, 85, 86, 103, 119, 242, 254</w:t>
      </w:r>
    </w:p>
    <w:p w14:paraId="74C20653" w14:textId="77777777" w:rsidR="00B74524" w:rsidRDefault="00B74524">
      <w:pPr>
        <w:pStyle w:val="Index2"/>
        <w:tabs>
          <w:tab w:val="right" w:leader="dot" w:pos="4143"/>
        </w:tabs>
        <w:rPr>
          <w:noProof/>
        </w:rPr>
      </w:pPr>
      <w:r>
        <w:rPr>
          <w:noProof/>
        </w:rPr>
        <w:t>permanent impairment payments, 99, 118–21, 283</w:t>
      </w:r>
    </w:p>
    <w:p w14:paraId="52799AD5" w14:textId="77777777" w:rsidR="00B74524" w:rsidRDefault="00B74524">
      <w:pPr>
        <w:pStyle w:val="Index2"/>
        <w:tabs>
          <w:tab w:val="right" w:leader="dot" w:pos="4143"/>
        </w:tabs>
        <w:rPr>
          <w:noProof/>
        </w:rPr>
      </w:pPr>
      <w:r w:rsidRPr="00B74524">
        <w:rPr>
          <w:rFonts w:eastAsiaTheme="majorEastAsia" w:cs="Arial"/>
          <w:noProof/>
          <w:spacing w:val="-3"/>
          <w:lang w:eastAsia="en-US"/>
        </w:rPr>
        <w:t>prescribed time periods for payments</w:t>
      </w:r>
      <w:r>
        <w:rPr>
          <w:noProof/>
        </w:rPr>
        <w:t>, 15, 42–43</w:t>
      </w:r>
    </w:p>
    <w:p w14:paraId="1E35C0D0" w14:textId="77777777" w:rsidR="00B74524" w:rsidRDefault="00B74524">
      <w:pPr>
        <w:pStyle w:val="Index2"/>
        <w:tabs>
          <w:tab w:val="right" w:leader="dot" w:pos="4143"/>
        </w:tabs>
        <w:rPr>
          <w:noProof/>
        </w:rPr>
      </w:pPr>
      <w:r>
        <w:rPr>
          <w:noProof/>
        </w:rPr>
        <w:t>redemption payments, defined, 284</w:t>
      </w:r>
    </w:p>
    <w:p w14:paraId="0F32A077" w14:textId="77777777" w:rsidR="00B74524" w:rsidRDefault="00B74524">
      <w:pPr>
        <w:pStyle w:val="Index2"/>
        <w:tabs>
          <w:tab w:val="right" w:leader="dot" w:pos="4143"/>
        </w:tabs>
        <w:rPr>
          <w:noProof/>
        </w:rPr>
      </w:pPr>
      <w:r w:rsidRPr="00320039">
        <w:rPr>
          <w:rFonts w:cs="Arial"/>
          <w:noProof/>
        </w:rPr>
        <w:t>see also settlement of future incapacity benefits</w:t>
      </w:r>
      <w:r>
        <w:rPr>
          <w:noProof/>
        </w:rPr>
        <w:t xml:space="preserve">. </w:t>
      </w:r>
    </w:p>
    <w:p w14:paraId="2442B1D9" w14:textId="77777777" w:rsidR="00B74524" w:rsidRDefault="00B74524">
      <w:pPr>
        <w:pStyle w:val="Index2"/>
        <w:tabs>
          <w:tab w:val="right" w:leader="dot" w:pos="4143"/>
        </w:tabs>
        <w:rPr>
          <w:noProof/>
        </w:rPr>
      </w:pPr>
      <w:r>
        <w:rPr>
          <w:noProof/>
        </w:rPr>
        <w:t>settlement payment, defined, 284</w:t>
      </w:r>
    </w:p>
    <w:p w14:paraId="2DADA9A6" w14:textId="77777777" w:rsidR="00B74524" w:rsidRDefault="00B74524" w:rsidP="00B74524">
      <w:pPr>
        <w:pStyle w:val="Index1"/>
      </w:pPr>
      <w:r>
        <w:t>peacekeeping service, 229</w:t>
      </w:r>
    </w:p>
    <w:p w14:paraId="7A521AA5" w14:textId="77777777" w:rsidR="00B74524" w:rsidRDefault="00B74524" w:rsidP="00B74524">
      <w:pPr>
        <w:pStyle w:val="Index1"/>
      </w:pPr>
      <w:r>
        <w:t>pemanent impairment</w:t>
      </w:r>
    </w:p>
    <w:p w14:paraId="3AD527E0" w14:textId="77777777" w:rsidR="00B74524" w:rsidRDefault="00B74524">
      <w:pPr>
        <w:pStyle w:val="Index2"/>
        <w:tabs>
          <w:tab w:val="right" w:leader="dot" w:pos="4143"/>
        </w:tabs>
        <w:rPr>
          <w:noProof/>
        </w:rPr>
      </w:pPr>
      <w:r>
        <w:rPr>
          <w:noProof/>
        </w:rPr>
        <w:t>definitions, 78</w:t>
      </w:r>
    </w:p>
    <w:p w14:paraId="1E6780A3" w14:textId="77777777" w:rsidR="00B74524" w:rsidRDefault="00B74524" w:rsidP="00B74524">
      <w:pPr>
        <w:pStyle w:val="Index1"/>
      </w:pPr>
      <w:r>
        <w:t>penalties for exiting a scheme (self-insurance), 195</w:t>
      </w:r>
    </w:p>
    <w:p w14:paraId="03BEB2E7" w14:textId="77777777" w:rsidR="00B74524" w:rsidRDefault="00B74524" w:rsidP="00B74524">
      <w:pPr>
        <w:pStyle w:val="Index1"/>
      </w:pPr>
      <w:r>
        <w:t>permanent impairment</w:t>
      </w:r>
    </w:p>
    <w:p w14:paraId="45E1F88C" w14:textId="77777777" w:rsidR="00B74524" w:rsidRDefault="00B74524">
      <w:pPr>
        <w:pStyle w:val="Index2"/>
        <w:tabs>
          <w:tab w:val="right" w:leader="dot" w:pos="4143"/>
        </w:tabs>
        <w:rPr>
          <w:noProof/>
        </w:rPr>
      </w:pPr>
      <w:r>
        <w:rPr>
          <w:noProof/>
        </w:rPr>
        <w:t>definitions, 79–81, 283</w:t>
      </w:r>
    </w:p>
    <w:p w14:paraId="0908E848" w14:textId="77777777" w:rsidR="00B74524" w:rsidRDefault="00B74524">
      <w:pPr>
        <w:pStyle w:val="Index2"/>
        <w:tabs>
          <w:tab w:val="right" w:leader="dot" w:pos="4143"/>
        </w:tabs>
        <w:rPr>
          <w:noProof/>
        </w:rPr>
      </w:pPr>
      <w:r>
        <w:rPr>
          <w:noProof/>
        </w:rPr>
        <w:t>guidelines, 78, 82–85</w:t>
      </w:r>
    </w:p>
    <w:p w14:paraId="35C3C855" w14:textId="77777777" w:rsidR="00B74524" w:rsidRDefault="00B74524">
      <w:pPr>
        <w:pStyle w:val="Index2"/>
        <w:tabs>
          <w:tab w:val="right" w:leader="dot" w:pos="4143"/>
        </w:tabs>
        <w:rPr>
          <w:noProof/>
        </w:rPr>
      </w:pPr>
      <w:r>
        <w:rPr>
          <w:noProof/>
        </w:rPr>
        <w:t>payments, 99, 118–21</w:t>
      </w:r>
    </w:p>
    <w:p w14:paraId="32E924DE" w14:textId="77777777" w:rsidR="00B74524" w:rsidRDefault="00B74524">
      <w:pPr>
        <w:pStyle w:val="Index2"/>
        <w:tabs>
          <w:tab w:val="right" w:leader="dot" w:pos="4143"/>
        </w:tabs>
        <w:rPr>
          <w:noProof/>
        </w:rPr>
      </w:pPr>
      <w:r>
        <w:rPr>
          <w:noProof/>
        </w:rPr>
        <w:t>summary of entitlements, 31–35</w:t>
      </w:r>
    </w:p>
    <w:p w14:paraId="35383722" w14:textId="77777777" w:rsidR="00B74524" w:rsidRDefault="00B74524" w:rsidP="00B74524">
      <w:pPr>
        <w:pStyle w:val="Index1"/>
      </w:pPr>
      <w:r>
        <w:t>pre-injury weekly earnings, 31–32</w:t>
      </w:r>
    </w:p>
    <w:p w14:paraId="48A7EF10" w14:textId="77777777" w:rsidR="00B74524" w:rsidRDefault="00B74524" w:rsidP="00B74524">
      <w:pPr>
        <w:pStyle w:val="Index1"/>
      </w:pPr>
      <w:r>
        <w:t>premium rates</w:t>
      </w:r>
    </w:p>
    <w:p w14:paraId="6D8B1F3D" w14:textId="77777777" w:rsidR="00B74524" w:rsidRDefault="00B74524">
      <w:pPr>
        <w:pStyle w:val="Index2"/>
        <w:tabs>
          <w:tab w:val="right" w:leader="dot" w:pos="4143"/>
        </w:tabs>
        <w:rPr>
          <w:noProof/>
        </w:rPr>
      </w:pPr>
      <w:r>
        <w:rPr>
          <w:noProof/>
        </w:rPr>
        <w:t>calculation of industry rates, 240</w:t>
      </w:r>
    </w:p>
    <w:p w14:paraId="0D3A4C9E" w14:textId="77777777" w:rsidR="00B74524" w:rsidRDefault="00B74524">
      <w:pPr>
        <w:pStyle w:val="Index2"/>
        <w:tabs>
          <w:tab w:val="right" w:leader="dot" w:pos="4143"/>
        </w:tabs>
        <w:rPr>
          <w:noProof/>
        </w:rPr>
      </w:pPr>
      <w:r>
        <w:rPr>
          <w:noProof/>
        </w:rPr>
        <w:t>selected industries, 236–38</w:t>
      </w:r>
    </w:p>
    <w:p w14:paraId="1099FAC8" w14:textId="77777777" w:rsidR="00B74524" w:rsidRDefault="00B74524">
      <w:pPr>
        <w:pStyle w:val="Index2"/>
        <w:tabs>
          <w:tab w:val="right" w:leader="dot" w:pos="4143"/>
        </w:tabs>
        <w:rPr>
          <w:noProof/>
        </w:rPr>
      </w:pPr>
      <w:r>
        <w:rPr>
          <w:noProof/>
        </w:rPr>
        <w:t>standardised average premium rates, 235</w:t>
      </w:r>
    </w:p>
    <w:p w14:paraId="7E3672AA" w14:textId="77777777" w:rsidR="00B74524" w:rsidRDefault="00B74524" w:rsidP="00B74524">
      <w:pPr>
        <w:pStyle w:val="Index1"/>
      </w:pPr>
      <w:r>
        <w:t>premiums</w:t>
      </w:r>
    </w:p>
    <w:p w14:paraId="09D9E3D0" w14:textId="77777777" w:rsidR="00B74524" w:rsidRDefault="00B74524">
      <w:pPr>
        <w:pStyle w:val="Index2"/>
        <w:tabs>
          <w:tab w:val="right" w:leader="dot" w:pos="4143"/>
        </w:tabs>
        <w:rPr>
          <w:noProof/>
        </w:rPr>
      </w:pPr>
      <w:r>
        <w:rPr>
          <w:noProof/>
        </w:rPr>
        <w:t>calculation (remuneration definitions), 47</w:t>
      </w:r>
    </w:p>
    <w:p w14:paraId="07056660" w14:textId="77777777" w:rsidR="00B74524" w:rsidRDefault="00B74524">
      <w:pPr>
        <w:pStyle w:val="Index2"/>
        <w:tabs>
          <w:tab w:val="right" w:leader="dot" w:pos="4143"/>
        </w:tabs>
        <w:rPr>
          <w:noProof/>
        </w:rPr>
      </w:pPr>
      <w:r>
        <w:rPr>
          <w:noProof/>
        </w:rPr>
        <w:t>calculation (superannuation inclusion), 54</w:t>
      </w:r>
    </w:p>
    <w:p w14:paraId="7535331C" w14:textId="77777777" w:rsidR="00B74524" w:rsidRDefault="00B74524">
      <w:pPr>
        <w:pStyle w:val="Index2"/>
        <w:tabs>
          <w:tab w:val="right" w:leader="dot" w:pos="4143"/>
        </w:tabs>
        <w:rPr>
          <w:noProof/>
        </w:rPr>
      </w:pPr>
      <w:r>
        <w:rPr>
          <w:noProof/>
        </w:rPr>
        <w:t>defined, 283</w:t>
      </w:r>
    </w:p>
    <w:p w14:paraId="14F6A8E5" w14:textId="77777777" w:rsidR="00B74524" w:rsidRDefault="00B74524" w:rsidP="00B74524">
      <w:pPr>
        <w:pStyle w:val="Index1"/>
      </w:pPr>
      <w:r>
        <w:t>prior conditions, discounting of, 86–87</w:t>
      </w:r>
    </w:p>
    <w:p w14:paraId="55BA0613" w14:textId="77777777" w:rsidR="00B74524" w:rsidRDefault="00B74524" w:rsidP="00B74524">
      <w:pPr>
        <w:pStyle w:val="Index1"/>
      </w:pPr>
      <w:r w:rsidRPr="00320039">
        <w:rPr>
          <w:rFonts w:eastAsiaTheme="minorHAnsi"/>
        </w:rPr>
        <w:t>privately underwritten schemes</w:t>
      </w:r>
      <w:r>
        <w:t>, 232, 234, 283</w:t>
      </w:r>
    </w:p>
    <w:p w14:paraId="5C87D92C" w14:textId="77777777" w:rsidR="00B74524" w:rsidRDefault="00B74524" w:rsidP="00B74524">
      <w:pPr>
        <w:pStyle w:val="Index1"/>
      </w:pPr>
      <w:r>
        <w:t>provisional liability, availability, 40</w:t>
      </w:r>
    </w:p>
    <w:p w14:paraId="62A357C1" w14:textId="77777777" w:rsidR="00B74524" w:rsidRDefault="00B74524" w:rsidP="00B74524">
      <w:pPr>
        <w:pStyle w:val="Index1"/>
      </w:pPr>
      <w:r>
        <w:t>prudential requirements (self-insurers), 189–91, 284</w:t>
      </w:r>
    </w:p>
    <w:p w14:paraId="2F6A8119" w14:textId="77777777" w:rsidR="00B74524" w:rsidRDefault="00B74524" w:rsidP="00B74524">
      <w:pPr>
        <w:pStyle w:val="Index1"/>
      </w:pPr>
      <w:r>
        <w:t>psychological injuries</w:t>
      </w:r>
    </w:p>
    <w:p w14:paraId="23E76AD5" w14:textId="77777777" w:rsidR="00B74524" w:rsidRDefault="00B74524">
      <w:pPr>
        <w:pStyle w:val="Index2"/>
        <w:tabs>
          <w:tab w:val="right" w:leader="dot" w:pos="4143"/>
        </w:tabs>
        <w:rPr>
          <w:noProof/>
        </w:rPr>
      </w:pPr>
      <w:r>
        <w:rPr>
          <w:noProof/>
        </w:rPr>
        <w:lastRenderedPageBreak/>
        <w:t>exclusionary provisions, 88, 92–95</w:t>
      </w:r>
    </w:p>
    <w:p w14:paraId="7FFA438B"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Q</w:t>
      </w:r>
    </w:p>
    <w:p w14:paraId="3EFE275A" w14:textId="77777777" w:rsidR="00B74524" w:rsidRDefault="00B74524" w:rsidP="00B74524">
      <w:pPr>
        <w:pStyle w:val="Index1"/>
      </w:pPr>
      <w:r>
        <w:t>Queensland</w:t>
      </w:r>
    </w:p>
    <w:p w14:paraId="37388B47" w14:textId="77777777" w:rsidR="00B74524" w:rsidRDefault="00B74524">
      <w:pPr>
        <w:pStyle w:val="Index2"/>
        <w:tabs>
          <w:tab w:val="right" w:leader="dot" w:pos="4143"/>
        </w:tabs>
        <w:rPr>
          <w:noProof/>
        </w:rPr>
      </w:pPr>
      <w:r>
        <w:rPr>
          <w:noProof/>
        </w:rPr>
        <w:t>agency responsible, 18</w:t>
      </w:r>
    </w:p>
    <w:p w14:paraId="0F43E5A2" w14:textId="77777777" w:rsidR="00B74524" w:rsidRDefault="00B74524">
      <w:pPr>
        <w:pStyle w:val="Index2"/>
        <w:tabs>
          <w:tab w:val="right" w:leader="dot" w:pos="4143"/>
        </w:tabs>
        <w:rPr>
          <w:noProof/>
        </w:rPr>
      </w:pPr>
      <w:r>
        <w:rPr>
          <w:noProof/>
        </w:rPr>
        <w:t>contacts, 16</w:t>
      </w:r>
    </w:p>
    <w:p w14:paraId="3ACD2C3A" w14:textId="77777777" w:rsidR="00B74524" w:rsidRDefault="00B74524">
      <w:pPr>
        <w:pStyle w:val="Index2"/>
        <w:tabs>
          <w:tab w:val="right" w:leader="dot" w:pos="4143"/>
        </w:tabs>
        <w:rPr>
          <w:noProof/>
        </w:rPr>
      </w:pPr>
      <w:r>
        <w:rPr>
          <w:noProof/>
        </w:rPr>
        <w:t xml:space="preserve">for details of coverage and entitlements see specific subject headings. </w:t>
      </w:r>
    </w:p>
    <w:p w14:paraId="6C2685A2" w14:textId="77777777" w:rsidR="00B74524" w:rsidRDefault="00B74524">
      <w:pPr>
        <w:pStyle w:val="Index2"/>
        <w:tabs>
          <w:tab w:val="right" w:leader="dot" w:pos="4143"/>
        </w:tabs>
        <w:rPr>
          <w:noProof/>
        </w:rPr>
      </w:pPr>
      <w:r>
        <w:rPr>
          <w:noProof/>
        </w:rPr>
        <w:t>recent developments, 10</w:t>
      </w:r>
    </w:p>
    <w:p w14:paraId="1CE18C84" w14:textId="77777777" w:rsidR="00B74524" w:rsidRDefault="00B74524">
      <w:pPr>
        <w:pStyle w:val="Index2"/>
        <w:tabs>
          <w:tab w:val="right" w:leader="dot" w:pos="4143"/>
        </w:tabs>
        <w:rPr>
          <w:noProof/>
        </w:rPr>
      </w:pPr>
      <w:r>
        <w:rPr>
          <w:noProof/>
        </w:rPr>
        <w:t>scheme key features, 20</w:t>
      </w:r>
    </w:p>
    <w:p w14:paraId="13D876C0" w14:textId="77777777" w:rsidR="00B74524" w:rsidRDefault="00B74524">
      <w:pPr>
        <w:pStyle w:val="Index2"/>
        <w:tabs>
          <w:tab w:val="right" w:leader="dot" w:pos="4143"/>
        </w:tabs>
        <w:rPr>
          <w:noProof/>
        </w:rPr>
      </w:pPr>
      <w:r>
        <w:rPr>
          <w:noProof/>
        </w:rPr>
        <w:t>schemes history and evolution, 248</w:t>
      </w:r>
    </w:p>
    <w:p w14:paraId="72507292" w14:textId="77777777" w:rsidR="00B74524" w:rsidRDefault="00B74524">
      <w:pPr>
        <w:pStyle w:val="Index2"/>
        <w:tabs>
          <w:tab w:val="right" w:leader="dot" w:pos="4143"/>
        </w:tabs>
        <w:rPr>
          <w:noProof/>
        </w:rPr>
      </w:pPr>
      <w:r>
        <w:rPr>
          <w:noProof/>
        </w:rPr>
        <w:t>summary of coverage of workers, 22</w:t>
      </w:r>
    </w:p>
    <w:p w14:paraId="13484E8B" w14:textId="77777777" w:rsidR="00B74524" w:rsidRDefault="00B74524">
      <w:pPr>
        <w:pStyle w:val="Index2"/>
        <w:tabs>
          <w:tab w:val="right" w:leader="dot" w:pos="4143"/>
        </w:tabs>
        <w:rPr>
          <w:noProof/>
        </w:rPr>
      </w:pPr>
      <w:r>
        <w:rPr>
          <w:noProof/>
        </w:rPr>
        <w:t>summary of entitlements, 31–35</w:t>
      </w:r>
    </w:p>
    <w:p w14:paraId="57F9D594"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R</w:t>
      </w:r>
    </w:p>
    <w:p w14:paraId="2683799E" w14:textId="77777777" w:rsidR="00B74524" w:rsidRDefault="00B74524" w:rsidP="00B74524">
      <w:pPr>
        <w:pStyle w:val="Index1"/>
      </w:pPr>
      <w:r>
        <w:t>radiation exposure, 218, 229</w:t>
      </w:r>
    </w:p>
    <w:p w14:paraId="1CDD56A0" w14:textId="77777777" w:rsidR="00B74524" w:rsidRDefault="00B74524" w:rsidP="00B74524">
      <w:pPr>
        <w:pStyle w:val="Index1"/>
      </w:pPr>
      <w:r>
        <w:t xml:space="preserve">recent developments see schemes recent developments. </w:t>
      </w:r>
    </w:p>
    <w:p w14:paraId="725102C0" w14:textId="77777777" w:rsidR="00B74524" w:rsidRDefault="00B74524" w:rsidP="00B74524">
      <w:pPr>
        <w:pStyle w:val="Index1"/>
      </w:pPr>
      <w:r>
        <w:t>redemption payment, defined see also settlement of future incapacity benefits, 284</w:t>
      </w:r>
    </w:p>
    <w:p w14:paraId="28E37CA8" w14:textId="77777777" w:rsidR="00B74524" w:rsidRDefault="00B74524" w:rsidP="00B74524">
      <w:pPr>
        <w:pStyle w:val="Index1"/>
      </w:pPr>
      <w:r>
        <w:t>rehabilitation</w:t>
      </w:r>
    </w:p>
    <w:p w14:paraId="3A320B14" w14:textId="77777777" w:rsidR="00B74524" w:rsidRDefault="00B74524">
      <w:pPr>
        <w:pStyle w:val="Index2"/>
        <w:tabs>
          <w:tab w:val="right" w:leader="dot" w:pos="4143"/>
        </w:tabs>
        <w:rPr>
          <w:noProof/>
        </w:rPr>
      </w:pPr>
      <w:r>
        <w:rPr>
          <w:noProof/>
        </w:rPr>
        <w:t>defined, 284</w:t>
      </w:r>
    </w:p>
    <w:p w14:paraId="2CDFD423" w14:textId="77777777" w:rsidR="00B74524" w:rsidRDefault="00B74524">
      <w:pPr>
        <w:pStyle w:val="Index2"/>
        <w:tabs>
          <w:tab w:val="right" w:leader="dot" w:pos="4143"/>
        </w:tabs>
        <w:rPr>
          <w:noProof/>
        </w:rPr>
      </w:pPr>
      <w:r>
        <w:rPr>
          <w:noProof/>
        </w:rPr>
        <w:t>workplace rehabilitation, defined, 285</w:t>
      </w:r>
    </w:p>
    <w:p w14:paraId="21D9FC56" w14:textId="77777777" w:rsidR="00B74524" w:rsidRDefault="00B74524" w:rsidP="00B74524">
      <w:pPr>
        <w:pStyle w:val="Index1"/>
      </w:pPr>
      <w:r>
        <w:t>reinsurance, 190–91</w:t>
      </w:r>
    </w:p>
    <w:p w14:paraId="42B23CDE" w14:textId="77777777" w:rsidR="00B74524" w:rsidRDefault="00B74524" w:rsidP="00B74524">
      <w:pPr>
        <w:pStyle w:val="Index1"/>
      </w:pPr>
      <w:r>
        <w:t>remuneration</w:t>
      </w:r>
    </w:p>
    <w:p w14:paraId="4AD5F161" w14:textId="77777777" w:rsidR="00B74524" w:rsidRDefault="00B74524">
      <w:pPr>
        <w:pStyle w:val="Index2"/>
        <w:tabs>
          <w:tab w:val="right" w:leader="dot" w:pos="4143"/>
        </w:tabs>
        <w:rPr>
          <w:noProof/>
        </w:rPr>
      </w:pPr>
      <w:r>
        <w:rPr>
          <w:noProof/>
        </w:rPr>
        <w:t>definition, 284</w:t>
      </w:r>
    </w:p>
    <w:p w14:paraId="0C9A0330" w14:textId="77777777" w:rsidR="00B74524" w:rsidRDefault="00B74524">
      <w:pPr>
        <w:pStyle w:val="Index2"/>
        <w:tabs>
          <w:tab w:val="right" w:leader="dot" w:pos="4143"/>
        </w:tabs>
        <w:rPr>
          <w:noProof/>
        </w:rPr>
      </w:pPr>
      <w:r>
        <w:rPr>
          <w:noProof/>
        </w:rPr>
        <w:t>definition for the purpose of premium calculation, 47</w:t>
      </w:r>
    </w:p>
    <w:p w14:paraId="0B78FFF7" w14:textId="77777777" w:rsidR="00B74524" w:rsidRDefault="00B74524" w:rsidP="00B74524">
      <w:pPr>
        <w:pStyle w:val="Index1"/>
      </w:pPr>
      <w:r>
        <w:t>reporting requirements for self-insurers, 195, 206–13</w:t>
      </w:r>
    </w:p>
    <w:p w14:paraId="3C004AB2" w14:textId="77777777" w:rsidR="00B74524" w:rsidRDefault="00B74524" w:rsidP="00B74524">
      <w:pPr>
        <w:pStyle w:val="Index1"/>
      </w:pPr>
      <w:r>
        <w:t>rescue workers</w:t>
      </w:r>
    </w:p>
    <w:p w14:paraId="723E6FB2" w14:textId="77777777" w:rsidR="00B74524" w:rsidRDefault="00B74524">
      <w:pPr>
        <w:pStyle w:val="Index2"/>
        <w:tabs>
          <w:tab w:val="right" w:leader="dot" w:pos="4143"/>
        </w:tabs>
        <w:rPr>
          <w:noProof/>
        </w:rPr>
      </w:pPr>
      <w:r>
        <w:rPr>
          <w:noProof/>
        </w:rPr>
        <w:t>New South Wales, 223</w:t>
      </w:r>
    </w:p>
    <w:p w14:paraId="604FE21E" w14:textId="77777777" w:rsidR="00B74524" w:rsidRDefault="00B74524">
      <w:pPr>
        <w:pStyle w:val="Index2"/>
        <w:tabs>
          <w:tab w:val="right" w:leader="dot" w:pos="4143"/>
        </w:tabs>
        <w:rPr>
          <w:noProof/>
        </w:rPr>
      </w:pPr>
      <w:r>
        <w:rPr>
          <w:noProof/>
        </w:rPr>
        <w:t>Victoria, 225</w:t>
      </w:r>
    </w:p>
    <w:p w14:paraId="73A28CCF" w14:textId="77777777" w:rsidR="00B74524" w:rsidRDefault="00B74524" w:rsidP="00B74524">
      <w:pPr>
        <w:pStyle w:val="Index1"/>
      </w:pPr>
      <w:r>
        <w:t>respiratory diseases see also dust diseases, 275, 277–80</w:t>
      </w:r>
    </w:p>
    <w:p w14:paraId="3E00E154" w14:textId="77777777" w:rsidR="00B74524" w:rsidRDefault="00B74524" w:rsidP="00B74524">
      <w:pPr>
        <w:pStyle w:val="Index1"/>
      </w:pPr>
      <w:r>
        <w:t>retirement provisions, 29</w:t>
      </w:r>
    </w:p>
    <w:p w14:paraId="42D11E5F" w14:textId="77777777" w:rsidR="00B74524" w:rsidRDefault="00B74524" w:rsidP="00B74524">
      <w:pPr>
        <w:pStyle w:val="Index1"/>
      </w:pPr>
      <w:r>
        <w:t>return to work, 141–85</w:t>
      </w:r>
    </w:p>
    <w:p w14:paraId="6B86E798" w14:textId="77777777" w:rsidR="00B74524" w:rsidRDefault="00B74524">
      <w:pPr>
        <w:pStyle w:val="Index2"/>
        <w:tabs>
          <w:tab w:val="right" w:leader="dot" w:pos="4143"/>
        </w:tabs>
        <w:rPr>
          <w:noProof/>
        </w:rPr>
      </w:pPr>
      <w:r>
        <w:rPr>
          <w:noProof/>
        </w:rPr>
        <w:t>authority or insurer responsibilities, 172–73</w:t>
      </w:r>
    </w:p>
    <w:p w14:paraId="316F9E31" w14:textId="77777777" w:rsidR="00B74524" w:rsidRDefault="00B74524">
      <w:pPr>
        <w:pStyle w:val="Index2"/>
        <w:tabs>
          <w:tab w:val="right" w:leader="dot" w:pos="4143"/>
        </w:tabs>
        <w:rPr>
          <w:noProof/>
        </w:rPr>
      </w:pPr>
      <w:r>
        <w:rPr>
          <w:noProof/>
        </w:rPr>
        <w:t>defined, 284</w:t>
      </w:r>
    </w:p>
    <w:p w14:paraId="22148DE7" w14:textId="77777777" w:rsidR="00B74524" w:rsidRDefault="00B74524">
      <w:pPr>
        <w:pStyle w:val="Index2"/>
        <w:tabs>
          <w:tab w:val="right" w:leader="dot" w:pos="4143"/>
        </w:tabs>
        <w:rPr>
          <w:noProof/>
        </w:rPr>
      </w:pPr>
      <w:r>
        <w:rPr>
          <w:noProof/>
        </w:rPr>
        <w:t>employer responsibilities, 162–63</w:t>
      </w:r>
    </w:p>
    <w:p w14:paraId="09949111" w14:textId="77777777" w:rsidR="00B74524" w:rsidRDefault="00B74524">
      <w:pPr>
        <w:pStyle w:val="Index2"/>
        <w:tabs>
          <w:tab w:val="right" w:leader="dot" w:pos="4143"/>
        </w:tabs>
        <w:rPr>
          <w:noProof/>
        </w:rPr>
      </w:pPr>
      <w:r>
        <w:rPr>
          <w:noProof/>
        </w:rPr>
        <w:t>employer responsiblities, 156–61</w:t>
      </w:r>
    </w:p>
    <w:p w14:paraId="238DEADB" w14:textId="77777777" w:rsidR="00B74524" w:rsidRDefault="00B74524">
      <w:pPr>
        <w:pStyle w:val="Index2"/>
        <w:tabs>
          <w:tab w:val="right" w:leader="dot" w:pos="4143"/>
        </w:tabs>
        <w:rPr>
          <w:noProof/>
        </w:rPr>
      </w:pPr>
      <w:r>
        <w:rPr>
          <w:noProof/>
        </w:rPr>
        <w:t>guidance material, 142–45</w:t>
      </w:r>
    </w:p>
    <w:p w14:paraId="16779772" w14:textId="77777777" w:rsidR="00B74524" w:rsidRDefault="00B74524">
      <w:pPr>
        <w:pStyle w:val="Index2"/>
        <w:tabs>
          <w:tab w:val="right" w:leader="dot" w:pos="4143"/>
        </w:tabs>
        <w:rPr>
          <w:noProof/>
        </w:rPr>
      </w:pPr>
      <w:r>
        <w:rPr>
          <w:noProof/>
        </w:rPr>
        <w:t>rehabilitation definitions, 285</w:t>
      </w:r>
    </w:p>
    <w:p w14:paraId="04F9B99F" w14:textId="77777777" w:rsidR="00B74524" w:rsidRDefault="00B74524">
      <w:pPr>
        <w:pStyle w:val="Index2"/>
        <w:tabs>
          <w:tab w:val="right" w:leader="dot" w:pos="4143"/>
        </w:tabs>
        <w:rPr>
          <w:noProof/>
        </w:rPr>
      </w:pPr>
      <w:r>
        <w:rPr>
          <w:noProof/>
        </w:rPr>
        <w:t>rehabilitation, definitions, 284</w:t>
      </w:r>
    </w:p>
    <w:p w14:paraId="7B52CDFE" w14:textId="77777777" w:rsidR="00B74524" w:rsidRDefault="00B74524">
      <w:pPr>
        <w:pStyle w:val="Index2"/>
        <w:tabs>
          <w:tab w:val="right" w:leader="dot" w:pos="4143"/>
        </w:tabs>
        <w:rPr>
          <w:noProof/>
        </w:rPr>
      </w:pPr>
      <w:r>
        <w:rPr>
          <w:noProof/>
        </w:rPr>
        <w:t>suitable duties, 156–61, 284</w:t>
      </w:r>
    </w:p>
    <w:p w14:paraId="32B5832F" w14:textId="77777777" w:rsidR="00B74524" w:rsidRDefault="00B74524">
      <w:pPr>
        <w:pStyle w:val="Index2"/>
        <w:tabs>
          <w:tab w:val="right" w:leader="dot" w:pos="4143"/>
        </w:tabs>
        <w:rPr>
          <w:noProof/>
        </w:rPr>
      </w:pPr>
      <w:r>
        <w:rPr>
          <w:noProof/>
        </w:rPr>
        <w:t>worker responsibilities, 164–68</w:t>
      </w:r>
    </w:p>
    <w:p w14:paraId="787669ED" w14:textId="77777777" w:rsidR="00B74524" w:rsidRDefault="00B74524">
      <w:pPr>
        <w:pStyle w:val="Index2"/>
        <w:tabs>
          <w:tab w:val="right" w:leader="dot" w:pos="4143"/>
        </w:tabs>
        <w:rPr>
          <w:noProof/>
        </w:rPr>
      </w:pPr>
      <w:r>
        <w:rPr>
          <w:noProof/>
        </w:rPr>
        <w:t>workplace rehabilitation coordinators, 174–79</w:t>
      </w:r>
    </w:p>
    <w:p w14:paraId="71CAB0B7" w14:textId="77777777" w:rsidR="00B74524" w:rsidRDefault="00B74524">
      <w:pPr>
        <w:pStyle w:val="Index2"/>
        <w:tabs>
          <w:tab w:val="right" w:leader="dot" w:pos="4143"/>
        </w:tabs>
        <w:rPr>
          <w:noProof/>
        </w:rPr>
      </w:pPr>
      <w:r>
        <w:rPr>
          <w:noProof/>
        </w:rPr>
        <w:t>workplace rehabilitation providers, 180–82</w:t>
      </w:r>
    </w:p>
    <w:p w14:paraId="07EA53FF" w14:textId="77777777" w:rsidR="00B74524" w:rsidRDefault="00B74524" w:rsidP="00B74524">
      <w:pPr>
        <w:pStyle w:val="Index1"/>
      </w:pPr>
      <w:r>
        <w:t>return to work plans</w:t>
      </w:r>
    </w:p>
    <w:p w14:paraId="43A50653" w14:textId="77777777" w:rsidR="00B74524" w:rsidRDefault="00B74524">
      <w:pPr>
        <w:pStyle w:val="Index2"/>
        <w:tabs>
          <w:tab w:val="right" w:leader="dot" w:pos="4143"/>
        </w:tabs>
        <w:rPr>
          <w:noProof/>
        </w:rPr>
      </w:pPr>
      <w:r>
        <w:rPr>
          <w:noProof/>
        </w:rPr>
        <w:t>individual return to work plans, 151–55</w:t>
      </w:r>
    </w:p>
    <w:p w14:paraId="2CF069D5" w14:textId="77777777" w:rsidR="00B74524" w:rsidRDefault="00B74524">
      <w:pPr>
        <w:pStyle w:val="Index2"/>
        <w:tabs>
          <w:tab w:val="right" w:leader="dot" w:pos="4143"/>
        </w:tabs>
        <w:rPr>
          <w:noProof/>
        </w:rPr>
      </w:pPr>
      <w:r>
        <w:rPr>
          <w:noProof/>
        </w:rPr>
        <w:t>recent developments (South Australia), 250</w:t>
      </w:r>
    </w:p>
    <w:p w14:paraId="1E18D564" w14:textId="77777777" w:rsidR="00B74524" w:rsidRDefault="00B74524" w:rsidP="00B74524">
      <w:pPr>
        <w:pStyle w:val="Index1"/>
      </w:pPr>
      <w:r>
        <w:t>return to work programs</w:t>
      </w:r>
    </w:p>
    <w:p w14:paraId="39BF1BF8" w14:textId="77777777" w:rsidR="00B74524" w:rsidRDefault="00B74524">
      <w:pPr>
        <w:pStyle w:val="Index2"/>
        <w:tabs>
          <w:tab w:val="right" w:leader="dot" w:pos="4143"/>
        </w:tabs>
        <w:rPr>
          <w:noProof/>
        </w:rPr>
      </w:pPr>
      <w:r>
        <w:rPr>
          <w:noProof/>
        </w:rPr>
        <w:t>injured worker placement incentives, 169–73</w:t>
      </w:r>
    </w:p>
    <w:p w14:paraId="73A0CD3C" w14:textId="77777777" w:rsidR="00B74524" w:rsidRDefault="00B74524">
      <w:pPr>
        <w:pStyle w:val="Index2"/>
        <w:tabs>
          <w:tab w:val="right" w:leader="dot" w:pos="4143"/>
        </w:tabs>
        <w:rPr>
          <w:noProof/>
        </w:rPr>
      </w:pPr>
      <w:r>
        <w:rPr>
          <w:noProof/>
        </w:rPr>
        <w:t>requirements, 146–50</w:t>
      </w:r>
    </w:p>
    <w:p w14:paraId="7AEE7652"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S</w:t>
      </w:r>
    </w:p>
    <w:p w14:paraId="293E2DFD" w14:textId="77777777" w:rsidR="00B74524" w:rsidRDefault="00B74524" w:rsidP="00B74524">
      <w:pPr>
        <w:pStyle w:val="Index1"/>
      </w:pPr>
      <w:r>
        <w:t>scheme administrative arrangements, 218</w:t>
      </w:r>
    </w:p>
    <w:p w14:paraId="517702AC" w14:textId="77777777" w:rsidR="00B74524" w:rsidRDefault="00B74524">
      <w:pPr>
        <w:pStyle w:val="Index2"/>
        <w:tabs>
          <w:tab w:val="right" w:leader="dot" w:pos="4143"/>
        </w:tabs>
        <w:rPr>
          <w:noProof/>
        </w:rPr>
      </w:pPr>
      <w:r>
        <w:rPr>
          <w:noProof/>
        </w:rPr>
        <w:t>applicable legislation, 219–22</w:t>
      </w:r>
    </w:p>
    <w:p w14:paraId="5DAE706D" w14:textId="77777777" w:rsidR="00B74524" w:rsidRDefault="00B74524">
      <w:pPr>
        <w:pStyle w:val="Index2"/>
        <w:tabs>
          <w:tab w:val="right" w:leader="dot" w:pos="4143"/>
        </w:tabs>
        <w:rPr>
          <w:noProof/>
        </w:rPr>
      </w:pPr>
      <w:r>
        <w:rPr>
          <w:noProof/>
        </w:rPr>
        <w:t>minor schemes, 223–31</w:t>
      </w:r>
    </w:p>
    <w:p w14:paraId="081BEDAD" w14:textId="77777777" w:rsidR="00B74524" w:rsidRDefault="00B74524">
      <w:pPr>
        <w:pStyle w:val="Index2"/>
        <w:tabs>
          <w:tab w:val="right" w:leader="dot" w:pos="4143"/>
        </w:tabs>
        <w:rPr>
          <w:noProof/>
        </w:rPr>
      </w:pPr>
      <w:r>
        <w:rPr>
          <w:noProof/>
        </w:rPr>
        <w:t>transitional provisions, 218</w:t>
      </w:r>
    </w:p>
    <w:p w14:paraId="3279C4CA" w14:textId="77777777" w:rsidR="00B74524" w:rsidRDefault="00B74524" w:rsidP="00B74524">
      <w:pPr>
        <w:pStyle w:val="Index1"/>
      </w:pPr>
      <w:r>
        <w:t>schemes funding arrangements, 20, 232</w:t>
      </w:r>
    </w:p>
    <w:p w14:paraId="047F430B" w14:textId="77777777" w:rsidR="00B74524" w:rsidRDefault="00B74524">
      <w:pPr>
        <w:pStyle w:val="Index2"/>
        <w:tabs>
          <w:tab w:val="right" w:leader="dot" w:pos="4143"/>
        </w:tabs>
        <w:rPr>
          <w:noProof/>
        </w:rPr>
      </w:pPr>
      <w:r>
        <w:rPr>
          <w:noProof/>
        </w:rPr>
        <w:t>industry premium rates (% or payroll), 236–38</w:t>
      </w:r>
    </w:p>
    <w:p w14:paraId="213B9F51" w14:textId="77777777" w:rsidR="00B74524" w:rsidRDefault="00B74524">
      <w:pPr>
        <w:pStyle w:val="Index2"/>
        <w:tabs>
          <w:tab w:val="right" w:leader="dot" w:pos="4143"/>
        </w:tabs>
        <w:rPr>
          <w:noProof/>
        </w:rPr>
      </w:pPr>
      <w:r>
        <w:rPr>
          <w:noProof/>
        </w:rPr>
        <w:t>net assets, 232, 283</w:t>
      </w:r>
    </w:p>
    <w:p w14:paraId="075BA140" w14:textId="77777777" w:rsidR="00B74524" w:rsidRDefault="00B74524">
      <w:pPr>
        <w:pStyle w:val="Index2"/>
        <w:tabs>
          <w:tab w:val="right" w:leader="dot" w:pos="4143"/>
        </w:tabs>
        <w:rPr>
          <w:noProof/>
        </w:rPr>
      </w:pPr>
      <w:r>
        <w:rPr>
          <w:noProof/>
        </w:rPr>
        <w:t>net funding ratio, 232, 283</w:t>
      </w:r>
    </w:p>
    <w:p w14:paraId="6145B7EA" w14:textId="77777777" w:rsidR="00B74524" w:rsidRDefault="00B74524">
      <w:pPr>
        <w:pStyle w:val="Index2"/>
        <w:tabs>
          <w:tab w:val="right" w:leader="dot" w:pos="4143"/>
        </w:tabs>
        <w:rPr>
          <w:noProof/>
        </w:rPr>
      </w:pPr>
      <w:r>
        <w:rPr>
          <w:noProof/>
        </w:rPr>
        <w:t>net liabilities, 232, 283</w:t>
      </w:r>
    </w:p>
    <w:p w14:paraId="4AAD7788" w14:textId="77777777" w:rsidR="00B74524" w:rsidRDefault="00B74524">
      <w:pPr>
        <w:pStyle w:val="Index2"/>
        <w:tabs>
          <w:tab w:val="right" w:leader="dot" w:pos="4143"/>
        </w:tabs>
        <w:rPr>
          <w:noProof/>
        </w:rPr>
      </w:pPr>
      <w:r>
        <w:rPr>
          <w:noProof/>
        </w:rPr>
        <w:t>schemes funding positions, 233</w:t>
      </w:r>
    </w:p>
    <w:p w14:paraId="7BCF68FB" w14:textId="77777777" w:rsidR="00B74524" w:rsidRDefault="00B74524" w:rsidP="00B74524">
      <w:pPr>
        <w:pStyle w:val="Index1"/>
      </w:pPr>
      <w:r>
        <w:t>schemes history and evolution, 242–63</w:t>
      </w:r>
    </w:p>
    <w:p w14:paraId="5EFB5773" w14:textId="77777777" w:rsidR="00B74524" w:rsidRDefault="00B74524">
      <w:pPr>
        <w:pStyle w:val="Index2"/>
        <w:tabs>
          <w:tab w:val="right" w:leader="dot" w:pos="4143"/>
        </w:tabs>
        <w:rPr>
          <w:noProof/>
        </w:rPr>
      </w:pPr>
      <w:r>
        <w:rPr>
          <w:noProof/>
        </w:rPr>
        <w:t>Australian Capital Territory, 260</w:t>
      </w:r>
    </w:p>
    <w:p w14:paraId="6B56B0C4" w14:textId="77777777" w:rsidR="00B74524" w:rsidRDefault="00B74524">
      <w:pPr>
        <w:pStyle w:val="Index2"/>
        <w:tabs>
          <w:tab w:val="right" w:leader="dot" w:pos="4143"/>
        </w:tabs>
        <w:rPr>
          <w:noProof/>
        </w:rPr>
      </w:pPr>
      <w:r>
        <w:rPr>
          <w:noProof/>
        </w:rPr>
        <w:t>Commonwealth, 260–62</w:t>
      </w:r>
    </w:p>
    <w:p w14:paraId="77C82ECF" w14:textId="77777777" w:rsidR="00B74524" w:rsidRDefault="00B74524">
      <w:pPr>
        <w:pStyle w:val="Index2"/>
        <w:tabs>
          <w:tab w:val="right" w:leader="dot" w:pos="4143"/>
        </w:tabs>
        <w:rPr>
          <w:noProof/>
        </w:rPr>
      </w:pPr>
      <w:r>
        <w:rPr>
          <w:noProof/>
        </w:rPr>
        <w:t>national perspective, 242–43</w:t>
      </w:r>
    </w:p>
    <w:p w14:paraId="55B8B2B5" w14:textId="77777777" w:rsidR="00B74524" w:rsidRDefault="00B74524">
      <w:pPr>
        <w:pStyle w:val="Index2"/>
        <w:tabs>
          <w:tab w:val="right" w:leader="dot" w:pos="4143"/>
        </w:tabs>
        <w:rPr>
          <w:noProof/>
        </w:rPr>
      </w:pPr>
      <w:r>
        <w:rPr>
          <w:noProof/>
        </w:rPr>
        <w:t>New South Wales, 243–45</w:t>
      </w:r>
    </w:p>
    <w:p w14:paraId="29ACBF2B" w14:textId="77777777" w:rsidR="00B74524" w:rsidRDefault="00B74524">
      <w:pPr>
        <w:pStyle w:val="Index2"/>
        <w:tabs>
          <w:tab w:val="right" w:leader="dot" w:pos="4143"/>
        </w:tabs>
        <w:rPr>
          <w:noProof/>
        </w:rPr>
      </w:pPr>
      <w:r>
        <w:rPr>
          <w:noProof/>
        </w:rPr>
        <w:t>New Zealand, 263</w:t>
      </w:r>
    </w:p>
    <w:p w14:paraId="632EA04C" w14:textId="77777777" w:rsidR="00B74524" w:rsidRDefault="00B74524">
      <w:pPr>
        <w:pStyle w:val="Index2"/>
        <w:tabs>
          <w:tab w:val="right" w:leader="dot" w:pos="4143"/>
        </w:tabs>
        <w:rPr>
          <w:noProof/>
        </w:rPr>
      </w:pPr>
      <w:r>
        <w:rPr>
          <w:noProof/>
        </w:rPr>
        <w:t>Northern Territory, 255–59</w:t>
      </w:r>
    </w:p>
    <w:p w14:paraId="0EC86EFC" w14:textId="77777777" w:rsidR="00B74524" w:rsidRDefault="00B74524">
      <w:pPr>
        <w:pStyle w:val="Index2"/>
        <w:tabs>
          <w:tab w:val="right" w:leader="dot" w:pos="4143"/>
        </w:tabs>
        <w:rPr>
          <w:noProof/>
        </w:rPr>
      </w:pPr>
      <w:r>
        <w:rPr>
          <w:noProof/>
        </w:rPr>
        <w:t>Queensland, 248</w:t>
      </w:r>
    </w:p>
    <w:p w14:paraId="3A567830" w14:textId="77777777" w:rsidR="00B74524" w:rsidRDefault="00B74524">
      <w:pPr>
        <w:pStyle w:val="Index2"/>
        <w:tabs>
          <w:tab w:val="right" w:leader="dot" w:pos="4143"/>
        </w:tabs>
        <w:rPr>
          <w:noProof/>
        </w:rPr>
      </w:pPr>
      <w:r>
        <w:rPr>
          <w:noProof/>
        </w:rPr>
        <w:t>South Australia, 249–51</w:t>
      </w:r>
    </w:p>
    <w:p w14:paraId="224D9D96" w14:textId="77777777" w:rsidR="00B74524" w:rsidRDefault="00B74524">
      <w:pPr>
        <w:pStyle w:val="Index2"/>
        <w:tabs>
          <w:tab w:val="right" w:leader="dot" w:pos="4143"/>
        </w:tabs>
        <w:rPr>
          <w:noProof/>
        </w:rPr>
      </w:pPr>
      <w:r>
        <w:rPr>
          <w:noProof/>
        </w:rPr>
        <w:t>Tasmania, 251–55</w:t>
      </w:r>
    </w:p>
    <w:p w14:paraId="16A3364C" w14:textId="77777777" w:rsidR="00B74524" w:rsidRDefault="00B74524">
      <w:pPr>
        <w:pStyle w:val="Index2"/>
        <w:tabs>
          <w:tab w:val="right" w:leader="dot" w:pos="4143"/>
        </w:tabs>
        <w:rPr>
          <w:noProof/>
        </w:rPr>
      </w:pPr>
      <w:r>
        <w:rPr>
          <w:noProof/>
        </w:rPr>
        <w:t>Victoria, 245–48</w:t>
      </w:r>
    </w:p>
    <w:p w14:paraId="0E66BAEF" w14:textId="77777777" w:rsidR="00B74524" w:rsidRDefault="00B74524">
      <w:pPr>
        <w:pStyle w:val="Index2"/>
        <w:tabs>
          <w:tab w:val="right" w:leader="dot" w:pos="4143"/>
        </w:tabs>
        <w:rPr>
          <w:noProof/>
        </w:rPr>
      </w:pPr>
      <w:r>
        <w:rPr>
          <w:noProof/>
        </w:rPr>
        <w:t>Western Australia, 249</w:t>
      </w:r>
    </w:p>
    <w:p w14:paraId="161E1494" w14:textId="77777777" w:rsidR="00B74524" w:rsidRDefault="00B74524" w:rsidP="00B74524">
      <w:pPr>
        <w:pStyle w:val="Index1"/>
      </w:pPr>
      <w:r>
        <w:t>schemes key features, 20</w:t>
      </w:r>
    </w:p>
    <w:p w14:paraId="1B083C9F" w14:textId="77777777" w:rsidR="00B74524" w:rsidRDefault="00B74524" w:rsidP="00B74524">
      <w:pPr>
        <w:pStyle w:val="Index1"/>
      </w:pPr>
      <w:r>
        <w:t>schemes recent developments</w:t>
      </w:r>
    </w:p>
    <w:p w14:paraId="260A64D9" w14:textId="77777777" w:rsidR="00B74524" w:rsidRDefault="00B74524">
      <w:pPr>
        <w:pStyle w:val="Index2"/>
        <w:tabs>
          <w:tab w:val="right" w:leader="dot" w:pos="4143"/>
        </w:tabs>
        <w:rPr>
          <w:noProof/>
        </w:rPr>
      </w:pPr>
      <w:r>
        <w:rPr>
          <w:noProof/>
        </w:rPr>
        <w:t>Comcare, 13</w:t>
      </w:r>
    </w:p>
    <w:p w14:paraId="77CB9E70" w14:textId="77777777" w:rsidR="00B74524" w:rsidRDefault="00B74524">
      <w:pPr>
        <w:pStyle w:val="Index2"/>
        <w:tabs>
          <w:tab w:val="right" w:leader="dot" w:pos="4143"/>
        </w:tabs>
        <w:rPr>
          <w:noProof/>
        </w:rPr>
      </w:pPr>
      <w:r>
        <w:rPr>
          <w:noProof/>
        </w:rPr>
        <w:t>New Zealand, 13</w:t>
      </w:r>
    </w:p>
    <w:p w14:paraId="598A2513" w14:textId="77777777" w:rsidR="00B74524" w:rsidRDefault="00B74524">
      <w:pPr>
        <w:pStyle w:val="Index2"/>
        <w:tabs>
          <w:tab w:val="right" w:leader="dot" w:pos="4143"/>
        </w:tabs>
        <w:rPr>
          <w:noProof/>
        </w:rPr>
      </w:pPr>
      <w:r>
        <w:rPr>
          <w:noProof/>
        </w:rPr>
        <w:t>Northern Territory, 12</w:t>
      </w:r>
    </w:p>
    <w:p w14:paraId="23BD2372" w14:textId="77777777" w:rsidR="00B74524" w:rsidRDefault="00B74524">
      <w:pPr>
        <w:pStyle w:val="Index2"/>
        <w:tabs>
          <w:tab w:val="right" w:leader="dot" w:pos="4143"/>
        </w:tabs>
        <w:rPr>
          <w:noProof/>
        </w:rPr>
      </w:pPr>
      <w:r>
        <w:rPr>
          <w:noProof/>
        </w:rPr>
        <w:t>Queensland, 10</w:t>
      </w:r>
    </w:p>
    <w:p w14:paraId="2A058237" w14:textId="77777777" w:rsidR="00B74524" w:rsidRDefault="00B74524">
      <w:pPr>
        <w:pStyle w:val="Index2"/>
        <w:tabs>
          <w:tab w:val="right" w:leader="dot" w:pos="4143"/>
        </w:tabs>
        <w:rPr>
          <w:noProof/>
        </w:rPr>
      </w:pPr>
      <w:r>
        <w:rPr>
          <w:noProof/>
        </w:rPr>
        <w:t>South Australia, 11</w:t>
      </w:r>
    </w:p>
    <w:p w14:paraId="30613B7E" w14:textId="77777777" w:rsidR="00B74524" w:rsidRDefault="00B74524">
      <w:pPr>
        <w:pStyle w:val="Index2"/>
        <w:tabs>
          <w:tab w:val="right" w:leader="dot" w:pos="4143"/>
        </w:tabs>
        <w:rPr>
          <w:noProof/>
        </w:rPr>
      </w:pPr>
      <w:r>
        <w:rPr>
          <w:noProof/>
        </w:rPr>
        <w:t>Tasmania, 11</w:t>
      </w:r>
    </w:p>
    <w:p w14:paraId="1D341D81" w14:textId="77777777" w:rsidR="00B74524" w:rsidRDefault="00B74524">
      <w:pPr>
        <w:pStyle w:val="Index2"/>
        <w:tabs>
          <w:tab w:val="right" w:leader="dot" w:pos="4143"/>
        </w:tabs>
        <w:rPr>
          <w:noProof/>
        </w:rPr>
      </w:pPr>
      <w:r>
        <w:rPr>
          <w:noProof/>
        </w:rPr>
        <w:t>Victoria, 9</w:t>
      </w:r>
    </w:p>
    <w:p w14:paraId="735C9156" w14:textId="77777777" w:rsidR="00B74524" w:rsidRDefault="00B74524">
      <w:pPr>
        <w:pStyle w:val="Index2"/>
        <w:tabs>
          <w:tab w:val="right" w:leader="dot" w:pos="4143"/>
        </w:tabs>
        <w:rPr>
          <w:noProof/>
        </w:rPr>
      </w:pPr>
      <w:r>
        <w:rPr>
          <w:noProof/>
        </w:rPr>
        <w:t>Western Australia, 10</w:t>
      </w:r>
    </w:p>
    <w:p w14:paraId="41408847" w14:textId="77777777" w:rsidR="00B74524" w:rsidRDefault="00B74524" w:rsidP="00B74524">
      <w:pPr>
        <w:pStyle w:val="Index1"/>
      </w:pPr>
      <w:r>
        <w:t>school or student volunteers, 225</w:t>
      </w:r>
    </w:p>
    <w:p w14:paraId="63B8E555" w14:textId="77777777" w:rsidR="00B74524" w:rsidRDefault="00B74524" w:rsidP="00B74524">
      <w:pPr>
        <w:pStyle w:val="Index1"/>
      </w:pPr>
      <w:r>
        <w:lastRenderedPageBreak/>
        <w:t>Seacare</w:t>
      </w:r>
    </w:p>
    <w:p w14:paraId="4742CA0A" w14:textId="77777777" w:rsidR="00B74524" w:rsidRDefault="00B74524">
      <w:pPr>
        <w:pStyle w:val="Index2"/>
        <w:tabs>
          <w:tab w:val="right" w:leader="dot" w:pos="4143"/>
        </w:tabs>
        <w:rPr>
          <w:noProof/>
        </w:rPr>
      </w:pPr>
      <w:r>
        <w:rPr>
          <w:noProof/>
        </w:rPr>
        <w:t>agencies responsible, 18</w:t>
      </w:r>
    </w:p>
    <w:p w14:paraId="684DCB81" w14:textId="77777777" w:rsidR="00B74524" w:rsidRDefault="00B74524">
      <w:pPr>
        <w:pStyle w:val="Index2"/>
        <w:tabs>
          <w:tab w:val="right" w:leader="dot" w:pos="4143"/>
        </w:tabs>
        <w:rPr>
          <w:noProof/>
        </w:rPr>
      </w:pPr>
      <w:r>
        <w:rPr>
          <w:noProof/>
        </w:rPr>
        <w:t>contacts, 17</w:t>
      </w:r>
    </w:p>
    <w:p w14:paraId="0B8506F5" w14:textId="77777777" w:rsidR="00B74524" w:rsidRDefault="00B74524">
      <w:pPr>
        <w:pStyle w:val="Index2"/>
        <w:tabs>
          <w:tab w:val="right" w:leader="dot" w:pos="4143"/>
        </w:tabs>
        <w:rPr>
          <w:noProof/>
        </w:rPr>
      </w:pPr>
      <w:r>
        <w:rPr>
          <w:noProof/>
        </w:rPr>
        <w:t xml:space="preserve">for details of coverage and entitlements see specific subject headings. </w:t>
      </w:r>
    </w:p>
    <w:p w14:paraId="0968987C" w14:textId="77777777" w:rsidR="00B74524" w:rsidRDefault="00B74524">
      <w:pPr>
        <w:pStyle w:val="Index2"/>
        <w:tabs>
          <w:tab w:val="right" w:leader="dot" w:pos="4143"/>
        </w:tabs>
        <w:rPr>
          <w:noProof/>
        </w:rPr>
      </w:pPr>
      <w:r>
        <w:rPr>
          <w:noProof/>
        </w:rPr>
        <w:t>scheme history and evolution, 261</w:t>
      </w:r>
    </w:p>
    <w:p w14:paraId="0CAE785C" w14:textId="77777777" w:rsidR="00B74524" w:rsidRDefault="00B74524">
      <w:pPr>
        <w:pStyle w:val="Index2"/>
        <w:tabs>
          <w:tab w:val="right" w:leader="dot" w:pos="4143"/>
        </w:tabs>
        <w:rPr>
          <w:noProof/>
        </w:rPr>
      </w:pPr>
      <w:r>
        <w:rPr>
          <w:noProof/>
        </w:rPr>
        <w:t>summary of coverage, 23</w:t>
      </w:r>
    </w:p>
    <w:p w14:paraId="1C4C1473" w14:textId="77777777" w:rsidR="00B74524" w:rsidRDefault="00B74524">
      <w:pPr>
        <w:pStyle w:val="Index2"/>
        <w:tabs>
          <w:tab w:val="right" w:leader="dot" w:pos="4143"/>
        </w:tabs>
        <w:rPr>
          <w:noProof/>
        </w:rPr>
      </w:pPr>
      <w:r>
        <w:rPr>
          <w:noProof/>
        </w:rPr>
        <w:t>summary of entitlements, 31–35</w:t>
      </w:r>
    </w:p>
    <w:p w14:paraId="2DB94E01" w14:textId="77777777" w:rsidR="00B74524" w:rsidRDefault="00B74524" w:rsidP="00B74524">
      <w:pPr>
        <w:pStyle w:val="Index1"/>
      </w:pPr>
      <w:r>
        <w:t>self-insurer arrangements, 187</w:t>
      </w:r>
    </w:p>
    <w:p w14:paraId="38F2481E" w14:textId="77777777" w:rsidR="00B74524" w:rsidRDefault="00B74524">
      <w:pPr>
        <w:pStyle w:val="Index2"/>
        <w:tabs>
          <w:tab w:val="right" w:leader="dot" w:pos="4143"/>
        </w:tabs>
        <w:rPr>
          <w:noProof/>
        </w:rPr>
      </w:pPr>
      <w:r>
        <w:rPr>
          <w:noProof/>
        </w:rPr>
        <w:t>approval process, costs and licence, 192–94</w:t>
      </w:r>
    </w:p>
    <w:p w14:paraId="41C572E0" w14:textId="77777777" w:rsidR="00B74524" w:rsidRDefault="00B74524">
      <w:pPr>
        <w:pStyle w:val="Index2"/>
        <w:tabs>
          <w:tab w:val="right" w:leader="dot" w:pos="4143"/>
        </w:tabs>
        <w:rPr>
          <w:noProof/>
        </w:rPr>
      </w:pPr>
      <w:r>
        <w:rPr>
          <w:noProof/>
        </w:rPr>
        <w:t>criteria, 189–91</w:t>
      </w:r>
    </w:p>
    <w:p w14:paraId="4ED4DC42" w14:textId="77777777" w:rsidR="00B74524" w:rsidRDefault="00B74524">
      <w:pPr>
        <w:pStyle w:val="Index2"/>
        <w:tabs>
          <w:tab w:val="right" w:leader="dot" w:pos="4143"/>
        </w:tabs>
        <w:rPr>
          <w:noProof/>
        </w:rPr>
      </w:pPr>
      <w:r>
        <w:rPr>
          <w:noProof/>
        </w:rPr>
        <w:t xml:space="preserve">ongoing requirements see self-insurer arrangements standards and performance. </w:t>
      </w:r>
    </w:p>
    <w:p w14:paraId="5712A47F" w14:textId="77777777" w:rsidR="00B74524" w:rsidRDefault="00B74524">
      <w:pPr>
        <w:pStyle w:val="Index2"/>
        <w:tabs>
          <w:tab w:val="right" w:leader="dot" w:pos="4143"/>
        </w:tabs>
        <w:rPr>
          <w:noProof/>
        </w:rPr>
      </w:pPr>
      <w:r>
        <w:rPr>
          <w:noProof/>
        </w:rPr>
        <w:t>recent developments (Queensland), 10</w:t>
      </w:r>
    </w:p>
    <w:p w14:paraId="013D71C9" w14:textId="77777777" w:rsidR="00B74524" w:rsidRDefault="00B74524">
      <w:pPr>
        <w:pStyle w:val="Index2"/>
        <w:tabs>
          <w:tab w:val="right" w:leader="dot" w:pos="4143"/>
        </w:tabs>
        <w:rPr>
          <w:noProof/>
        </w:rPr>
      </w:pPr>
      <w:r>
        <w:rPr>
          <w:noProof/>
        </w:rPr>
        <w:t>self-insurer defined, 284</w:t>
      </w:r>
    </w:p>
    <w:p w14:paraId="2D42D0BC" w14:textId="77777777" w:rsidR="00B74524" w:rsidRDefault="00B74524">
      <w:pPr>
        <w:pStyle w:val="Index2"/>
        <w:tabs>
          <w:tab w:val="right" w:leader="dot" w:pos="4143"/>
        </w:tabs>
        <w:rPr>
          <w:noProof/>
        </w:rPr>
      </w:pPr>
      <w:r>
        <w:rPr>
          <w:noProof/>
        </w:rPr>
        <w:t>workers' compensation and self-insurance caverage, 188</w:t>
      </w:r>
    </w:p>
    <w:p w14:paraId="774E9649" w14:textId="77777777" w:rsidR="00B74524" w:rsidRDefault="00B74524" w:rsidP="00B74524">
      <w:pPr>
        <w:pStyle w:val="Index1"/>
      </w:pPr>
      <w:r>
        <w:t>self-insurer arrangements standards and</w:t>
      </w:r>
    </w:p>
    <w:p w14:paraId="1CE859A2" w14:textId="77777777" w:rsidR="00B74524" w:rsidRDefault="00B74524">
      <w:pPr>
        <w:pStyle w:val="Index2"/>
        <w:tabs>
          <w:tab w:val="right" w:leader="dot" w:pos="4143"/>
        </w:tabs>
        <w:rPr>
          <w:noProof/>
        </w:rPr>
      </w:pPr>
      <w:r>
        <w:rPr>
          <w:noProof/>
        </w:rPr>
        <w:t>company structure, 200, 210</w:t>
      </w:r>
    </w:p>
    <w:p w14:paraId="18C35553" w14:textId="77777777" w:rsidR="00B74524" w:rsidRDefault="00B74524">
      <w:pPr>
        <w:pStyle w:val="Index2"/>
        <w:tabs>
          <w:tab w:val="right" w:leader="dot" w:pos="4143"/>
        </w:tabs>
        <w:rPr>
          <w:noProof/>
        </w:rPr>
      </w:pPr>
      <w:r>
        <w:rPr>
          <w:noProof/>
        </w:rPr>
        <w:t>compliance with legislation, 202–5</w:t>
      </w:r>
    </w:p>
    <w:p w14:paraId="18AD10D8" w14:textId="77777777" w:rsidR="00B74524" w:rsidRDefault="00B74524">
      <w:pPr>
        <w:pStyle w:val="Index2"/>
        <w:tabs>
          <w:tab w:val="right" w:leader="dot" w:pos="4143"/>
        </w:tabs>
        <w:rPr>
          <w:noProof/>
        </w:rPr>
      </w:pPr>
      <w:r>
        <w:rPr>
          <w:noProof/>
        </w:rPr>
        <w:t>other ongoing licence requirements, 202–5</w:t>
      </w:r>
    </w:p>
    <w:p w14:paraId="426BF115" w14:textId="77777777" w:rsidR="00B74524" w:rsidRDefault="00B74524">
      <w:pPr>
        <w:pStyle w:val="Index2"/>
        <w:tabs>
          <w:tab w:val="right" w:leader="dot" w:pos="4143"/>
        </w:tabs>
        <w:rPr>
          <w:noProof/>
        </w:rPr>
      </w:pPr>
      <w:r>
        <w:rPr>
          <w:noProof/>
        </w:rPr>
        <w:t>prudential requirements, 189–91, 284</w:t>
      </w:r>
    </w:p>
    <w:p w14:paraId="420C7876" w14:textId="77777777" w:rsidR="00B74524" w:rsidRDefault="00B74524">
      <w:pPr>
        <w:pStyle w:val="Index2"/>
        <w:tabs>
          <w:tab w:val="right" w:leader="dot" w:pos="4143"/>
        </w:tabs>
        <w:rPr>
          <w:noProof/>
        </w:rPr>
      </w:pPr>
      <w:r>
        <w:rPr>
          <w:noProof/>
        </w:rPr>
        <w:t>reporting requirements, 195, 206–13</w:t>
      </w:r>
    </w:p>
    <w:p w14:paraId="73762BCB" w14:textId="77777777" w:rsidR="00B74524" w:rsidRDefault="00B74524">
      <w:pPr>
        <w:pStyle w:val="Index2"/>
        <w:tabs>
          <w:tab w:val="right" w:leader="dot" w:pos="4143"/>
        </w:tabs>
        <w:rPr>
          <w:noProof/>
        </w:rPr>
      </w:pPr>
      <w:r>
        <w:rPr>
          <w:noProof/>
        </w:rPr>
        <w:t>requirements for surrendering licence and penalties for exiting, 195</w:t>
      </w:r>
    </w:p>
    <w:p w14:paraId="177AFE4A" w14:textId="77777777" w:rsidR="00B74524" w:rsidRDefault="00B74524" w:rsidP="00B74524">
      <w:pPr>
        <w:pStyle w:val="Index1"/>
      </w:pPr>
      <w:r>
        <w:t>self-insurer arrangements standards and performance, 195</w:t>
      </w:r>
    </w:p>
    <w:p w14:paraId="647A13F4" w14:textId="77777777" w:rsidR="00B74524" w:rsidRDefault="00B74524">
      <w:pPr>
        <w:pStyle w:val="Index2"/>
        <w:tabs>
          <w:tab w:val="right" w:leader="dot" w:pos="4143"/>
        </w:tabs>
        <w:rPr>
          <w:noProof/>
        </w:rPr>
      </w:pPr>
      <w:r>
        <w:rPr>
          <w:noProof/>
        </w:rPr>
        <w:t>case management outsourcing, 201</w:t>
      </w:r>
    </w:p>
    <w:p w14:paraId="3A5C64E3" w14:textId="77777777" w:rsidR="00B74524" w:rsidRDefault="00B74524" w:rsidP="00B74524">
      <w:pPr>
        <w:pStyle w:val="Index1"/>
      </w:pPr>
      <w:r>
        <w:t>serious claims, defined, 284</w:t>
      </w:r>
    </w:p>
    <w:p w14:paraId="05972BDD" w14:textId="77777777" w:rsidR="00B74524" w:rsidRDefault="00B74524" w:rsidP="00B74524">
      <w:pPr>
        <w:pStyle w:val="Index1"/>
      </w:pPr>
      <w:r>
        <w:t>settlement of future incapacity benefits, 100, 281, 284</w:t>
      </w:r>
    </w:p>
    <w:p w14:paraId="137A7722" w14:textId="77777777" w:rsidR="00B74524" w:rsidRDefault="00B74524" w:rsidP="00B74524">
      <w:pPr>
        <w:pStyle w:val="Index1"/>
      </w:pPr>
      <w:r>
        <w:t>settlement payment, defined, 284</w:t>
      </w:r>
    </w:p>
    <w:p w14:paraId="5C390F85" w14:textId="77777777" w:rsidR="00B74524" w:rsidRDefault="00B74524" w:rsidP="00B74524">
      <w:pPr>
        <w:pStyle w:val="Index1"/>
      </w:pPr>
      <w:r>
        <w:t>silicosis, 239, 273, 274</w:t>
      </w:r>
    </w:p>
    <w:p w14:paraId="141535B0" w14:textId="77777777" w:rsidR="00B74524" w:rsidRDefault="00B74524" w:rsidP="00B74524">
      <w:pPr>
        <w:pStyle w:val="Index1"/>
      </w:pPr>
      <w:r>
        <w:t>skin diseases, 276</w:t>
      </w:r>
    </w:p>
    <w:p w14:paraId="0CB968A6" w14:textId="77777777" w:rsidR="00B74524" w:rsidRDefault="00B74524" w:rsidP="00B74524">
      <w:pPr>
        <w:pStyle w:val="Index1"/>
      </w:pPr>
      <w:r>
        <w:t>small employers (NSW), 169</w:t>
      </w:r>
    </w:p>
    <w:p w14:paraId="3FF05543" w14:textId="77777777" w:rsidR="00B74524" w:rsidRDefault="00B74524" w:rsidP="00B74524">
      <w:pPr>
        <w:pStyle w:val="Index1"/>
      </w:pPr>
      <w:r>
        <w:t>South Australia</w:t>
      </w:r>
    </w:p>
    <w:p w14:paraId="0203C495" w14:textId="77777777" w:rsidR="00B74524" w:rsidRDefault="00B74524">
      <w:pPr>
        <w:pStyle w:val="Index2"/>
        <w:tabs>
          <w:tab w:val="right" w:leader="dot" w:pos="4143"/>
        </w:tabs>
        <w:rPr>
          <w:noProof/>
        </w:rPr>
      </w:pPr>
      <w:r>
        <w:rPr>
          <w:noProof/>
        </w:rPr>
        <w:t>agency responsible, 18</w:t>
      </w:r>
    </w:p>
    <w:p w14:paraId="6599486A" w14:textId="77777777" w:rsidR="00B74524" w:rsidRDefault="00B74524">
      <w:pPr>
        <w:pStyle w:val="Index2"/>
        <w:tabs>
          <w:tab w:val="right" w:leader="dot" w:pos="4143"/>
        </w:tabs>
        <w:rPr>
          <w:noProof/>
        </w:rPr>
      </w:pPr>
      <w:r>
        <w:rPr>
          <w:noProof/>
        </w:rPr>
        <w:t>contacts, 16</w:t>
      </w:r>
    </w:p>
    <w:p w14:paraId="447C04DE" w14:textId="77777777" w:rsidR="00B74524" w:rsidRDefault="00B74524">
      <w:pPr>
        <w:pStyle w:val="Index2"/>
        <w:tabs>
          <w:tab w:val="right" w:leader="dot" w:pos="4143"/>
        </w:tabs>
        <w:rPr>
          <w:noProof/>
        </w:rPr>
      </w:pPr>
      <w:r>
        <w:rPr>
          <w:noProof/>
        </w:rPr>
        <w:t>for details of coverage and entitlements see specific subject headings, 295</w:t>
      </w:r>
    </w:p>
    <w:p w14:paraId="64D39AE1" w14:textId="77777777" w:rsidR="00B74524" w:rsidRDefault="00B74524">
      <w:pPr>
        <w:pStyle w:val="Index2"/>
        <w:tabs>
          <w:tab w:val="right" w:leader="dot" w:pos="4143"/>
        </w:tabs>
        <w:rPr>
          <w:noProof/>
        </w:rPr>
      </w:pPr>
      <w:r>
        <w:rPr>
          <w:noProof/>
        </w:rPr>
        <w:t>recent developments, 11</w:t>
      </w:r>
    </w:p>
    <w:p w14:paraId="24E98899" w14:textId="77777777" w:rsidR="00B74524" w:rsidRDefault="00B74524">
      <w:pPr>
        <w:pStyle w:val="Index2"/>
        <w:tabs>
          <w:tab w:val="right" w:leader="dot" w:pos="4143"/>
        </w:tabs>
        <w:rPr>
          <w:noProof/>
        </w:rPr>
      </w:pPr>
      <w:r>
        <w:rPr>
          <w:noProof/>
        </w:rPr>
        <w:t>scheme key features, 20</w:t>
      </w:r>
    </w:p>
    <w:p w14:paraId="2E2A2DC6" w14:textId="77777777" w:rsidR="00B74524" w:rsidRDefault="00B74524">
      <w:pPr>
        <w:pStyle w:val="Index2"/>
        <w:tabs>
          <w:tab w:val="right" w:leader="dot" w:pos="4143"/>
        </w:tabs>
        <w:rPr>
          <w:noProof/>
        </w:rPr>
      </w:pPr>
      <w:r>
        <w:rPr>
          <w:noProof/>
        </w:rPr>
        <w:t>summary of coverage of workers, 23</w:t>
      </w:r>
    </w:p>
    <w:p w14:paraId="232AD6C1" w14:textId="77777777" w:rsidR="00B74524" w:rsidRDefault="00B74524">
      <w:pPr>
        <w:pStyle w:val="Index2"/>
        <w:tabs>
          <w:tab w:val="right" w:leader="dot" w:pos="4143"/>
        </w:tabs>
        <w:rPr>
          <w:noProof/>
        </w:rPr>
      </w:pPr>
      <w:r>
        <w:rPr>
          <w:noProof/>
        </w:rPr>
        <w:t>summary of entitlements, 31–35</w:t>
      </w:r>
    </w:p>
    <w:p w14:paraId="3D7D6B14" w14:textId="77777777" w:rsidR="00B74524" w:rsidRDefault="00B74524" w:rsidP="00B74524">
      <w:pPr>
        <w:pStyle w:val="Index1"/>
      </w:pPr>
      <w:r>
        <w:t>special compensation scheme, 223</w:t>
      </w:r>
    </w:p>
    <w:p w14:paraId="0F81A440" w14:textId="77777777" w:rsidR="00B74524" w:rsidRDefault="00B74524">
      <w:pPr>
        <w:pStyle w:val="Index2"/>
        <w:tabs>
          <w:tab w:val="right" w:leader="dot" w:pos="4143"/>
        </w:tabs>
        <w:rPr>
          <w:noProof/>
        </w:rPr>
      </w:pPr>
      <w:r>
        <w:rPr>
          <w:noProof/>
        </w:rPr>
        <w:t>(Commonwealth), 229</w:t>
      </w:r>
    </w:p>
    <w:p w14:paraId="7B86F7C0" w14:textId="77777777" w:rsidR="00B74524" w:rsidRDefault="00B74524" w:rsidP="00B74524">
      <w:pPr>
        <w:pStyle w:val="Index1"/>
      </w:pPr>
      <w:r>
        <w:t>sporting injuries, 66–67</w:t>
      </w:r>
    </w:p>
    <w:p w14:paraId="03DB6C0D" w14:textId="77777777" w:rsidR="00B74524" w:rsidRDefault="00B74524" w:rsidP="00B74524">
      <w:pPr>
        <w:pStyle w:val="Index1"/>
      </w:pPr>
      <w:r w:rsidRPr="00320039">
        <w:rPr>
          <w:rFonts w:eastAsiaTheme="minorHAnsi"/>
        </w:rPr>
        <w:t>sportspersons</w:t>
      </w:r>
      <w:r>
        <w:t>, 56, 66–67</w:t>
      </w:r>
    </w:p>
    <w:p w14:paraId="13CCE666" w14:textId="77777777" w:rsidR="00B74524" w:rsidRDefault="00B74524" w:rsidP="00B74524">
      <w:pPr>
        <w:pStyle w:val="Index1"/>
      </w:pPr>
      <w:r>
        <w:t>spouse definitions for death benefits, 124–30</w:t>
      </w:r>
    </w:p>
    <w:p w14:paraId="36AF88F5" w14:textId="77777777" w:rsidR="00B74524" w:rsidRDefault="00B74524" w:rsidP="00B74524">
      <w:pPr>
        <w:pStyle w:val="Index1"/>
      </w:pPr>
      <w:r>
        <w:t>standardised average premium rates, 235</w:t>
      </w:r>
    </w:p>
    <w:p w14:paraId="0725F7CC" w14:textId="77777777" w:rsidR="00B74524" w:rsidRDefault="00B74524" w:rsidP="00B74524">
      <w:pPr>
        <w:pStyle w:val="Index1"/>
      </w:pPr>
      <w:r>
        <w:t>state of connection, defined, 284</w:t>
      </w:r>
    </w:p>
    <w:p w14:paraId="56A009F3" w14:textId="77777777" w:rsidR="00B74524" w:rsidRDefault="00B74524" w:rsidP="00B74524">
      <w:pPr>
        <w:pStyle w:val="Index1"/>
      </w:pPr>
      <w:r>
        <w:t>statutory reserve fund (South Australia), 227</w:t>
      </w:r>
    </w:p>
    <w:p w14:paraId="54AA9BFF" w14:textId="77777777" w:rsidR="00B74524" w:rsidRDefault="00B74524" w:rsidP="00B74524">
      <w:pPr>
        <w:pStyle w:val="Index1"/>
      </w:pPr>
      <w:r>
        <w:t>suitable duties (return to work), 156–61, 284</w:t>
      </w:r>
    </w:p>
    <w:p w14:paraId="302F74FB" w14:textId="77777777" w:rsidR="00B74524" w:rsidRDefault="00B74524" w:rsidP="00B74524">
      <w:pPr>
        <w:pStyle w:val="Index1"/>
      </w:pPr>
      <w:r>
        <w:t>suitable work/employment, 284</w:t>
      </w:r>
    </w:p>
    <w:p w14:paraId="27A797E1" w14:textId="77777777" w:rsidR="00B74524" w:rsidRDefault="00B74524" w:rsidP="00B74524">
      <w:pPr>
        <w:pStyle w:val="Index1"/>
      </w:pPr>
      <w:r>
        <w:t>superannuation</w:t>
      </w:r>
    </w:p>
    <w:p w14:paraId="637A4C48" w14:textId="77777777" w:rsidR="00B74524" w:rsidRDefault="00B74524">
      <w:pPr>
        <w:pStyle w:val="Index2"/>
        <w:tabs>
          <w:tab w:val="right" w:leader="dot" w:pos="4143"/>
        </w:tabs>
        <w:rPr>
          <w:noProof/>
        </w:rPr>
      </w:pPr>
      <w:r>
        <w:rPr>
          <w:noProof/>
        </w:rPr>
        <w:t>contribution and entitlement benefits, 47</w:t>
      </w:r>
    </w:p>
    <w:p w14:paraId="65CD532D" w14:textId="77777777" w:rsidR="00B74524" w:rsidRDefault="00B74524">
      <w:pPr>
        <w:pStyle w:val="Index2"/>
        <w:tabs>
          <w:tab w:val="right" w:leader="dot" w:pos="4143"/>
        </w:tabs>
        <w:rPr>
          <w:noProof/>
        </w:rPr>
      </w:pPr>
      <w:r>
        <w:rPr>
          <w:noProof/>
        </w:rPr>
        <w:t>included in wages for premium calculations, 54</w:t>
      </w:r>
    </w:p>
    <w:p w14:paraId="10FCCA34" w14:textId="77777777" w:rsidR="00B74524" w:rsidRDefault="00B74524">
      <w:pPr>
        <w:pStyle w:val="Index2"/>
        <w:tabs>
          <w:tab w:val="right" w:leader="dot" w:pos="4143"/>
        </w:tabs>
        <w:rPr>
          <w:noProof/>
        </w:rPr>
      </w:pPr>
      <w:r>
        <w:rPr>
          <w:noProof/>
        </w:rPr>
        <w:t>included with income replacement payments, 54</w:t>
      </w:r>
    </w:p>
    <w:p w14:paraId="4CE5F319" w14:textId="77777777" w:rsidR="00B74524" w:rsidRDefault="00B74524" w:rsidP="00B74524">
      <w:pPr>
        <w:pStyle w:val="Index1"/>
      </w:pPr>
      <w:r>
        <w:t>suspension and cessation of benefits, 100, 135–38</w:t>
      </w:r>
    </w:p>
    <w:p w14:paraId="2CABE77E"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T</w:t>
      </w:r>
    </w:p>
    <w:p w14:paraId="59DC8558" w14:textId="77777777" w:rsidR="00B74524" w:rsidRDefault="00B74524" w:rsidP="00B74524">
      <w:pPr>
        <w:pStyle w:val="Index1"/>
      </w:pPr>
      <w:r>
        <w:t>Tasmania</w:t>
      </w:r>
    </w:p>
    <w:p w14:paraId="7BF46020" w14:textId="77777777" w:rsidR="00B74524" w:rsidRDefault="00B74524">
      <w:pPr>
        <w:pStyle w:val="Index2"/>
        <w:tabs>
          <w:tab w:val="right" w:leader="dot" w:pos="4143"/>
        </w:tabs>
        <w:rPr>
          <w:noProof/>
        </w:rPr>
      </w:pPr>
      <w:r>
        <w:rPr>
          <w:noProof/>
        </w:rPr>
        <w:t>agency responsible, 18</w:t>
      </w:r>
    </w:p>
    <w:p w14:paraId="69189FB0" w14:textId="77777777" w:rsidR="00B74524" w:rsidRDefault="00B74524">
      <w:pPr>
        <w:pStyle w:val="Index2"/>
        <w:tabs>
          <w:tab w:val="right" w:leader="dot" w:pos="4143"/>
        </w:tabs>
        <w:rPr>
          <w:noProof/>
        </w:rPr>
      </w:pPr>
      <w:r>
        <w:rPr>
          <w:noProof/>
        </w:rPr>
        <w:t>contacts, 16</w:t>
      </w:r>
    </w:p>
    <w:p w14:paraId="70B30AB6" w14:textId="77777777" w:rsidR="00B74524" w:rsidRDefault="00B74524">
      <w:pPr>
        <w:pStyle w:val="Index2"/>
        <w:tabs>
          <w:tab w:val="right" w:leader="dot" w:pos="4143"/>
        </w:tabs>
        <w:rPr>
          <w:noProof/>
        </w:rPr>
      </w:pPr>
      <w:r>
        <w:rPr>
          <w:noProof/>
        </w:rPr>
        <w:t xml:space="preserve">for details of coverage and entitlements see specific subject headings. </w:t>
      </w:r>
    </w:p>
    <w:p w14:paraId="1FAED7EA" w14:textId="77777777" w:rsidR="00B74524" w:rsidRDefault="00B74524">
      <w:pPr>
        <w:pStyle w:val="Index2"/>
        <w:tabs>
          <w:tab w:val="right" w:leader="dot" w:pos="4143"/>
        </w:tabs>
        <w:rPr>
          <w:noProof/>
        </w:rPr>
      </w:pPr>
      <w:r>
        <w:rPr>
          <w:noProof/>
        </w:rPr>
        <w:t>recent developments, 11</w:t>
      </w:r>
    </w:p>
    <w:p w14:paraId="119DDFC9" w14:textId="77777777" w:rsidR="00B74524" w:rsidRDefault="00B74524">
      <w:pPr>
        <w:pStyle w:val="Index2"/>
        <w:tabs>
          <w:tab w:val="right" w:leader="dot" w:pos="4143"/>
        </w:tabs>
        <w:rPr>
          <w:noProof/>
        </w:rPr>
      </w:pPr>
      <w:r>
        <w:rPr>
          <w:noProof/>
        </w:rPr>
        <w:t>scheme key features, 20</w:t>
      </w:r>
    </w:p>
    <w:p w14:paraId="709EE933" w14:textId="77777777" w:rsidR="00B74524" w:rsidRDefault="00B74524">
      <w:pPr>
        <w:pStyle w:val="Index2"/>
        <w:tabs>
          <w:tab w:val="right" w:leader="dot" w:pos="4143"/>
        </w:tabs>
        <w:rPr>
          <w:noProof/>
        </w:rPr>
      </w:pPr>
      <w:r>
        <w:rPr>
          <w:noProof/>
        </w:rPr>
        <w:t>schemes history and evolution, 251–55</w:t>
      </w:r>
    </w:p>
    <w:p w14:paraId="1B6538CC" w14:textId="77777777" w:rsidR="00B74524" w:rsidRDefault="00B74524">
      <w:pPr>
        <w:pStyle w:val="Index2"/>
        <w:tabs>
          <w:tab w:val="right" w:leader="dot" w:pos="4143"/>
        </w:tabs>
        <w:rPr>
          <w:noProof/>
        </w:rPr>
      </w:pPr>
      <w:r>
        <w:rPr>
          <w:noProof/>
        </w:rPr>
        <w:t>summary of coverage of workers, 23</w:t>
      </w:r>
    </w:p>
    <w:p w14:paraId="1540B9E9" w14:textId="77777777" w:rsidR="00B74524" w:rsidRDefault="00B74524">
      <w:pPr>
        <w:pStyle w:val="Index2"/>
        <w:tabs>
          <w:tab w:val="right" w:leader="dot" w:pos="4143"/>
        </w:tabs>
        <w:rPr>
          <w:noProof/>
        </w:rPr>
      </w:pPr>
      <w:r>
        <w:rPr>
          <w:noProof/>
        </w:rPr>
        <w:t>summary of entitlements, 31–35</w:t>
      </w:r>
    </w:p>
    <w:p w14:paraId="6F28E447" w14:textId="77777777" w:rsidR="00B74524" w:rsidRDefault="00B74524" w:rsidP="00B74524">
      <w:pPr>
        <w:pStyle w:val="Index1"/>
      </w:pPr>
      <w:r w:rsidRPr="00320039">
        <w:rPr>
          <w:rFonts w:eastAsia="Calibri"/>
        </w:rPr>
        <w:t>Terrorism</w:t>
      </w:r>
      <w:r>
        <w:t>, 210</w:t>
      </w:r>
    </w:p>
    <w:p w14:paraId="0ECA6052" w14:textId="77777777" w:rsidR="00B74524" w:rsidRDefault="00B74524" w:rsidP="00B74524">
      <w:pPr>
        <w:pStyle w:val="Index1"/>
      </w:pPr>
      <w:r w:rsidRPr="00320039">
        <w:rPr>
          <w:rFonts w:eastAsiaTheme="minorHAnsi"/>
        </w:rPr>
        <w:t>Threshold test, defined</w:t>
      </w:r>
      <w:r>
        <w:t>, 284</w:t>
      </w:r>
    </w:p>
    <w:p w14:paraId="04DDEC41" w14:textId="77777777" w:rsidR="00B74524" w:rsidRDefault="00B74524" w:rsidP="00B74524">
      <w:pPr>
        <w:pStyle w:val="Index1"/>
      </w:pPr>
      <w:r w:rsidRPr="00320039">
        <w:rPr>
          <w:rFonts w:eastAsiaTheme="minorHAnsi"/>
        </w:rPr>
        <w:t>Totally incapacitated, defined</w:t>
      </w:r>
      <w:r>
        <w:t>, 285</w:t>
      </w:r>
    </w:p>
    <w:p w14:paraId="50BD3182" w14:textId="77777777" w:rsidR="00B74524" w:rsidRDefault="00B74524" w:rsidP="00B74524">
      <w:pPr>
        <w:pStyle w:val="Index1"/>
      </w:pPr>
      <w:r>
        <w:t xml:space="preserve">travel, work related (see also journeys to and from work). </w:t>
      </w:r>
    </w:p>
    <w:p w14:paraId="05213567" w14:textId="77777777" w:rsidR="00B74524" w:rsidRDefault="00B74524" w:rsidP="00B74524">
      <w:pPr>
        <w:pStyle w:val="Index1"/>
      </w:pPr>
      <w:r w:rsidRPr="00320039">
        <w:rPr>
          <w:lang w:val="en-GB"/>
        </w:rPr>
        <w:t>Treasury Managed Fund (NSW)</w:t>
      </w:r>
      <w:r>
        <w:t>, 68, 70, 188, 223, 287</w:t>
      </w:r>
    </w:p>
    <w:p w14:paraId="660A567B" w14:textId="77777777" w:rsidR="00B74524" w:rsidRDefault="00B74524" w:rsidP="00B74524">
      <w:pPr>
        <w:pStyle w:val="Index1"/>
      </w:pPr>
      <w:r>
        <w:t>tuberculosis, 231, 272, 274, 280</w:t>
      </w:r>
    </w:p>
    <w:p w14:paraId="35A49103"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U</w:t>
      </w:r>
    </w:p>
    <w:p w14:paraId="055C0240" w14:textId="77777777" w:rsidR="00B74524" w:rsidRDefault="00B74524" w:rsidP="00B74524">
      <w:pPr>
        <w:pStyle w:val="Index1"/>
      </w:pPr>
      <w:r w:rsidRPr="00320039">
        <w:rPr>
          <w:rFonts w:eastAsiaTheme="minorHAnsi"/>
        </w:rPr>
        <w:t>Underwriting, defined</w:t>
      </w:r>
      <w:r>
        <w:t>, 285</w:t>
      </w:r>
    </w:p>
    <w:p w14:paraId="35CF02C7" w14:textId="77777777" w:rsidR="00B74524" w:rsidRDefault="00B74524" w:rsidP="00B74524">
      <w:pPr>
        <w:pStyle w:val="Index1"/>
      </w:pPr>
      <w:r w:rsidRPr="00320039">
        <w:t>uninsured employers</w:t>
      </w:r>
      <w:r>
        <w:t>, 15, 49</w:t>
      </w:r>
    </w:p>
    <w:p w14:paraId="61AA689A"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V</w:t>
      </w:r>
    </w:p>
    <w:p w14:paraId="617BD3C1" w14:textId="77777777" w:rsidR="00B74524" w:rsidRDefault="00B74524" w:rsidP="00B74524">
      <w:pPr>
        <w:pStyle w:val="Index1"/>
      </w:pPr>
      <w:r>
        <w:t>vibration, disorders caused by, 270</w:t>
      </w:r>
    </w:p>
    <w:p w14:paraId="66777DF6" w14:textId="77777777" w:rsidR="00B74524" w:rsidRDefault="00B74524" w:rsidP="00B74524">
      <w:pPr>
        <w:pStyle w:val="Index1"/>
      </w:pPr>
      <w:r>
        <w:t>Victoria</w:t>
      </w:r>
    </w:p>
    <w:p w14:paraId="112820F5" w14:textId="77777777" w:rsidR="00B74524" w:rsidRDefault="00B74524">
      <w:pPr>
        <w:pStyle w:val="Index2"/>
        <w:tabs>
          <w:tab w:val="right" w:leader="dot" w:pos="4143"/>
        </w:tabs>
        <w:rPr>
          <w:noProof/>
        </w:rPr>
      </w:pPr>
      <w:r>
        <w:rPr>
          <w:noProof/>
        </w:rPr>
        <w:t>agency responsible, 18</w:t>
      </w:r>
    </w:p>
    <w:p w14:paraId="4B8521A2" w14:textId="77777777" w:rsidR="00B74524" w:rsidRDefault="00B74524">
      <w:pPr>
        <w:pStyle w:val="Index2"/>
        <w:tabs>
          <w:tab w:val="right" w:leader="dot" w:pos="4143"/>
        </w:tabs>
        <w:rPr>
          <w:noProof/>
        </w:rPr>
      </w:pPr>
      <w:r>
        <w:rPr>
          <w:noProof/>
        </w:rPr>
        <w:t>contacts, 16</w:t>
      </w:r>
    </w:p>
    <w:p w14:paraId="4D681A65" w14:textId="77777777" w:rsidR="00B74524" w:rsidRDefault="00B74524">
      <w:pPr>
        <w:pStyle w:val="Index2"/>
        <w:tabs>
          <w:tab w:val="right" w:leader="dot" w:pos="4143"/>
        </w:tabs>
        <w:rPr>
          <w:noProof/>
        </w:rPr>
      </w:pPr>
      <w:r>
        <w:rPr>
          <w:noProof/>
        </w:rPr>
        <w:t xml:space="preserve">for details of coverage and entitlementssee specific subject headings. </w:t>
      </w:r>
    </w:p>
    <w:p w14:paraId="2DC966AA" w14:textId="77777777" w:rsidR="00B74524" w:rsidRDefault="00B74524">
      <w:pPr>
        <w:pStyle w:val="Index2"/>
        <w:tabs>
          <w:tab w:val="right" w:leader="dot" w:pos="4143"/>
        </w:tabs>
        <w:rPr>
          <w:noProof/>
        </w:rPr>
      </w:pPr>
      <w:r>
        <w:rPr>
          <w:noProof/>
        </w:rPr>
        <w:lastRenderedPageBreak/>
        <w:t>recent developments, 9</w:t>
      </w:r>
    </w:p>
    <w:p w14:paraId="227456A9" w14:textId="77777777" w:rsidR="00B74524" w:rsidRDefault="00B74524">
      <w:pPr>
        <w:pStyle w:val="Index2"/>
        <w:tabs>
          <w:tab w:val="right" w:leader="dot" w:pos="4143"/>
        </w:tabs>
        <w:rPr>
          <w:noProof/>
        </w:rPr>
      </w:pPr>
      <w:r>
        <w:rPr>
          <w:noProof/>
        </w:rPr>
        <w:t>scheme key features, 20</w:t>
      </w:r>
    </w:p>
    <w:p w14:paraId="642D4F22" w14:textId="77777777" w:rsidR="00B74524" w:rsidRDefault="00B74524">
      <w:pPr>
        <w:pStyle w:val="Index2"/>
        <w:tabs>
          <w:tab w:val="right" w:leader="dot" w:pos="4143"/>
        </w:tabs>
        <w:rPr>
          <w:noProof/>
        </w:rPr>
      </w:pPr>
      <w:r>
        <w:rPr>
          <w:noProof/>
        </w:rPr>
        <w:t>schemes history and evolution, 245–48</w:t>
      </w:r>
    </w:p>
    <w:p w14:paraId="3941BEF7" w14:textId="77777777" w:rsidR="00B74524" w:rsidRDefault="00B74524">
      <w:pPr>
        <w:pStyle w:val="Index2"/>
        <w:tabs>
          <w:tab w:val="right" w:leader="dot" w:pos="4143"/>
        </w:tabs>
        <w:rPr>
          <w:noProof/>
        </w:rPr>
      </w:pPr>
      <w:r>
        <w:rPr>
          <w:noProof/>
        </w:rPr>
        <w:t>summary of coverage of workers, 22</w:t>
      </w:r>
    </w:p>
    <w:p w14:paraId="2A47EDFC" w14:textId="77777777" w:rsidR="00B74524" w:rsidRDefault="00B74524">
      <w:pPr>
        <w:pStyle w:val="Index2"/>
        <w:tabs>
          <w:tab w:val="right" w:leader="dot" w:pos="4143"/>
        </w:tabs>
        <w:rPr>
          <w:noProof/>
        </w:rPr>
      </w:pPr>
      <w:r>
        <w:rPr>
          <w:noProof/>
        </w:rPr>
        <w:t>summary of entitlements, 31–35</w:t>
      </w:r>
    </w:p>
    <w:p w14:paraId="2481B7BD" w14:textId="77777777" w:rsidR="00B74524" w:rsidRDefault="00B74524" w:rsidP="00B74524">
      <w:pPr>
        <w:pStyle w:val="Index1"/>
      </w:pPr>
      <w:r w:rsidRPr="00320039">
        <w:rPr>
          <w:rFonts w:eastAsiaTheme="minorHAnsi"/>
        </w:rPr>
        <w:t>volunteers, coverage of</w:t>
      </w:r>
      <w:r>
        <w:t>, 56, 64–65, 223, 225</w:t>
      </w:r>
    </w:p>
    <w:p w14:paraId="1F728350" w14:textId="77777777" w:rsidR="00B74524" w:rsidRDefault="00B74524">
      <w:pPr>
        <w:pStyle w:val="IndexHeading"/>
        <w:keepNext/>
        <w:tabs>
          <w:tab w:val="right" w:leader="dot" w:pos="4143"/>
        </w:tabs>
        <w:rPr>
          <w:rFonts w:asciiTheme="minorHAnsi" w:eastAsiaTheme="minorEastAsia" w:hAnsiTheme="minorHAnsi" w:cstheme="minorBidi"/>
          <w:b w:val="0"/>
          <w:bCs w:val="0"/>
          <w:noProof/>
        </w:rPr>
      </w:pPr>
      <w:r>
        <w:rPr>
          <w:noProof/>
        </w:rPr>
        <w:t>W</w:t>
      </w:r>
    </w:p>
    <w:p w14:paraId="072449A4" w14:textId="77777777" w:rsidR="00B74524" w:rsidRDefault="00B74524" w:rsidP="00B74524">
      <w:pPr>
        <w:pStyle w:val="Index1"/>
      </w:pPr>
      <w:r w:rsidRPr="00320039">
        <w:t>water front workers (WA)</w:t>
      </w:r>
      <w:r>
        <w:t>, 226</w:t>
      </w:r>
    </w:p>
    <w:p w14:paraId="1629C730" w14:textId="77777777" w:rsidR="00B74524" w:rsidRDefault="00B74524" w:rsidP="00B74524">
      <w:pPr>
        <w:pStyle w:val="Index1"/>
      </w:pPr>
      <w:r>
        <w:t>weekly earnings, 31–32, 35</w:t>
      </w:r>
    </w:p>
    <w:p w14:paraId="5BCB2F2A" w14:textId="77777777" w:rsidR="00B74524" w:rsidRDefault="00B74524" w:rsidP="00B74524">
      <w:pPr>
        <w:pStyle w:val="Index1"/>
      </w:pPr>
      <w:r>
        <w:t>Western Australia</w:t>
      </w:r>
    </w:p>
    <w:p w14:paraId="1CDD36FA" w14:textId="77777777" w:rsidR="00B74524" w:rsidRDefault="00B74524">
      <w:pPr>
        <w:pStyle w:val="Index2"/>
        <w:tabs>
          <w:tab w:val="right" w:leader="dot" w:pos="4143"/>
        </w:tabs>
        <w:rPr>
          <w:noProof/>
        </w:rPr>
      </w:pPr>
      <w:r>
        <w:rPr>
          <w:noProof/>
        </w:rPr>
        <w:t>agency responsible, 18</w:t>
      </w:r>
    </w:p>
    <w:p w14:paraId="6D92CAB1" w14:textId="77777777" w:rsidR="00B74524" w:rsidRDefault="00B74524">
      <w:pPr>
        <w:pStyle w:val="Index2"/>
        <w:tabs>
          <w:tab w:val="right" w:leader="dot" w:pos="4143"/>
        </w:tabs>
        <w:rPr>
          <w:noProof/>
        </w:rPr>
      </w:pPr>
      <w:r>
        <w:rPr>
          <w:noProof/>
        </w:rPr>
        <w:t>contacts, 16</w:t>
      </w:r>
    </w:p>
    <w:p w14:paraId="3376D925" w14:textId="77777777" w:rsidR="00B74524" w:rsidRDefault="00B74524">
      <w:pPr>
        <w:pStyle w:val="Index2"/>
        <w:tabs>
          <w:tab w:val="right" w:leader="dot" w:pos="4143"/>
        </w:tabs>
        <w:rPr>
          <w:noProof/>
        </w:rPr>
      </w:pPr>
      <w:r>
        <w:rPr>
          <w:noProof/>
        </w:rPr>
        <w:t>recent developments, 10</w:t>
      </w:r>
    </w:p>
    <w:p w14:paraId="71752932" w14:textId="77777777" w:rsidR="00B74524" w:rsidRDefault="00B74524">
      <w:pPr>
        <w:pStyle w:val="Index2"/>
        <w:tabs>
          <w:tab w:val="right" w:leader="dot" w:pos="4143"/>
        </w:tabs>
        <w:rPr>
          <w:noProof/>
        </w:rPr>
      </w:pPr>
      <w:r>
        <w:rPr>
          <w:noProof/>
        </w:rPr>
        <w:t>scheme key features, 20</w:t>
      </w:r>
    </w:p>
    <w:p w14:paraId="36BA4B51" w14:textId="77777777" w:rsidR="00B74524" w:rsidRDefault="00B74524">
      <w:pPr>
        <w:pStyle w:val="Index2"/>
        <w:tabs>
          <w:tab w:val="right" w:leader="dot" w:pos="4143"/>
        </w:tabs>
        <w:rPr>
          <w:noProof/>
        </w:rPr>
      </w:pPr>
      <w:r>
        <w:rPr>
          <w:noProof/>
        </w:rPr>
        <w:t>schemes history and evolution, 249</w:t>
      </w:r>
    </w:p>
    <w:p w14:paraId="23E8287C" w14:textId="77777777" w:rsidR="00B74524" w:rsidRDefault="00B74524">
      <w:pPr>
        <w:pStyle w:val="Index2"/>
        <w:tabs>
          <w:tab w:val="right" w:leader="dot" w:pos="4143"/>
        </w:tabs>
        <w:rPr>
          <w:noProof/>
        </w:rPr>
      </w:pPr>
      <w:r>
        <w:rPr>
          <w:noProof/>
        </w:rPr>
        <w:t>summary of coverage of workers, 22</w:t>
      </w:r>
    </w:p>
    <w:p w14:paraId="1C65F085" w14:textId="77777777" w:rsidR="00B74524" w:rsidRDefault="00B74524">
      <w:pPr>
        <w:pStyle w:val="Index2"/>
        <w:tabs>
          <w:tab w:val="right" w:leader="dot" w:pos="4143"/>
        </w:tabs>
        <w:rPr>
          <w:noProof/>
        </w:rPr>
      </w:pPr>
      <w:r>
        <w:rPr>
          <w:noProof/>
        </w:rPr>
        <w:t>summary of entitlements, 31–35</w:t>
      </w:r>
    </w:p>
    <w:p w14:paraId="0DC8DF22" w14:textId="77777777" w:rsidR="00B74524" w:rsidRDefault="00B74524" w:rsidP="00B74524">
      <w:pPr>
        <w:pStyle w:val="Index1"/>
      </w:pPr>
      <w:r>
        <w:t>work health and safety requirements and auditing, 196–97, 196–97</w:t>
      </w:r>
    </w:p>
    <w:p w14:paraId="6E24D365" w14:textId="77777777" w:rsidR="00B74524" w:rsidRDefault="00B74524">
      <w:pPr>
        <w:pStyle w:val="Index2"/>
        <w:tabs>
          <w:tab w:val="right" w:leader="dot" w:pos="4143"/>
        </w:tabs>
        <w:rPr>
          <w:noProof/>
        </w:rPr>
      </w:pPr>
      <w:r>
        <w:rPr>
          <w:noProof/>
        </w:rPr>
        <w:t>responsibilities in return to work, 164–68</w:t>
      </w:r>
    </w:p>
    <w:p w14:paraId="15CEC4CD" w14:textId="77777777" w:rsidR="00B74524" w:rsidRDefault="00B74524">
      <w:pPr>
        <w:pStyle w:val="Index2"/>
        <w:tabs>
          <w:tab w:val="right" w:leader="dot" w:pos="4143"/>
        </w:tabs>
        <w:rPr>
          <w:noProof/>
        </w:rPr>
      </w:pPr>
      <w:r>
        <w:rPr>
          <w:noProof/>
        </w:rPr>
        <w:t xml:space="preserve">see also coverage of workers. </w:t>
      </w:r>
    </w:p>
    <w:p w14:paraId="3860B0BC" w14:textId="77777777" w:rsidR="00B74524" w:rsidRDefault="00B74524">
      <w:pPr>
        <w:pStyle w:val="Index2"/>
        <w:tabs>
          <w:tab w:val="right" w:leader="dot" w:pos="4143"/>
        </w:tabs>
        <w:rPr>
          <w:noProof/>
        </w:rPr>
      </w:pPr>
      <w:r>
        <w:rPr>
          <w:noProof/>
        </w:rPr>
        <w:t>workers definitions, 27–28, 282, 285</w:t>
      </w:r>
    </w:p>
    <w:p w14:paraId="7068E1FA" w14:textId="77777777" w:rsidR="00B74524" w:rsidRDefault="00B74524">
      <w:pPr>
        <w:pStyle w:val="Index2"/>
        <w:tabs>
          <w:tab w:val="right" w:leader="dot" w:pos="4143"/>
        </w:tabs>
        <w:rPr>
          <w:noProof/>
        </w:rPr>
      </w:pPr>
      <w:r>
        <w:rPr>
          <w:noProof/>
        </w:rPr>
        <w:t>workers, definitions, 56</w:t>
      </w:r>
    </w:p>
    <w:p w14:paraId="02B2312E" w14:textId="77777777" w:rsidR="00B74524" w:rsidRDefault="00B74524" w:rsidP="00B74524">
      <w:pPr>
        <w:pStyle w:val="Index1"/>
      </w:pPr>
      <w:r>
        <w:t>workers (types of workers)</w:t>
      </w:r>
    </w:p>
    <w:p w14:paraId="091560D8" w14:textId="77777777" w:rsidR="00B74524" w:rsidRDefault="00B74524">
      <w:pPr>
        <w:pStyle w:val="Index2"/>
        <w:tabs>
          <w:tab w:val="right" w:leader="dot" w:pos="4143"/>
        </w:tabs>
        <w:rPr>
          <w:noProof/>
        </w:rPr>
      </w:pPr>
      <w:r>
        <w:rPr>
          <w:noProof/>
        </w:rPr>
        <w:t>contractors/labour hire workers, 21–24, 27–28, 59–60</w:t>
      </w:r>
    </w:p>
    <w:p w14:paraId="1430FB9E" w14:textId="77777777" w:rsidR="00B74524" w:rsidRDefault="00B74524">
      <w:pPr>
        <w:pStyle w:val="Index2"/>
        <w:tabs>
          <w:tab w:val="right" w:leader="dot" w:pos="4143"/>
        </w:tabs>
        <w:rPr>
          <w:noProof/>
        </w:rPr>
      </w:pPr>
      <w:r>
        <w:rPr>
          <w:noProof/>
        </w:rPr>
        <w:t>deemed workers, 59</w:t>
      </w:r>
    </w:p>
    <w:p w14:paraId="363188E6" w14:textId="77777777" w:rsidR="00B74524" w:rsidRDefault="00B74524">
      <w:pPr>
        <w:pStyle w:val="Index2"/>
        <w:tabs>
          <w:tab w:val="right" w:leader="dot" w:pos="4143"/>
        </w:tabs>
        <w:rPr>
          <w:noProof/>
        </w:rPr>
      </w:pPr>
      <w:r>
        <w:rPr>
          <w:noProof/>
        </w:rPr>
        <w:t>judges and members of parliament, 70</w:t>
      </w:r>
    </w:p>
    <w:p w14:paraId="255DA61A" w14:textId="77777777" w:rsidR="00B74524" w:rsidRDefault="00B74524">
      <w:pPr>
        <w:pStyle w:val="Index2"/>
        <w:tabs>
          <w:tab w:val="right" w:leader="dot" w:pos="4143"/>
        </w:tabs>
        <w:rPr>
          <w:noProof/>
        </w:rPr>
      </w:pPr>
      <w:r w:rsidRPr="00320039">
        <w:rPr>
          <w:rFonts w:eastAsiaTheme="minorHAnsi"/>
          <w:noProof/>
        </w:rPr>
        <w:t>sportspersons</w:t>
      </w:r>
      <w:r>
        <w:rPr>
          <w:noProof/>
        </w:rPr>
        <w:t>, 56, 66–67</w:t>
      </w:r>
    </w:p>
    <w:p w14:paraId="14B9FAA1" w14:textId="77777777" w:rsidR="00B74524" w:rsidRDefault="00B74524">
      <w:pPr>
        <w:pStyle w:val="Index2"/>
        <w:tabs>
          <w:tab w:val="right" w:leader="dot" w:pos="4143"/>
        </w:tabs>
        <w:rPr>
          <w:noProof/>
        </w:rPr>
      </w:pPr>
      <w:r>
        <w:rPr>
          <w:noProof/>
        </w:rPr>
        <w:t>volunteers, 64–65</w:t>
      </w:r>
    </w:p>
    <w:p w14:paraId="3DD0BB65" w14:textId="77777777" w:rsidR="00B74524" w:rsidRDefault="00B74524" w:rsidP="00B74524">
      <w:pPr>
        <w:pStyle w:val="Index1"/>
      </w:pPr>
      <w:r>
        <w:t>workplace rehabilitation coordinators, 174–79</w:t>
      </w:r>
    </w:p>
    <w:p w14:paraId="0BB1E16B" w14:textId="77777777" w:rsidR="00B74524" w:rsidRDefault="00B74524" w:rsidP="00B74524">
      <w:pPr>
        <w:pStyle w:val="Index1"/>
      </w:pPr>
      <w:r>
        <w:t>workplace rehabilitation providers, 180–82</w:t>
      </w:r>
    </w:p>
    <w:p w14:paraId="4221838A" w14:textId="77777777" w:rsidR="00B74524" w:rsidRDefault="00B74524" w:rsidP="00B74524">
      <w:pPr>
        <w:pStyle w:val="Index1"/>
      </w:pPr>
      <w:r>
        <w:t>work-related travel, 26, 71, 73</w:t>
      </w:r>
    </w:p>
    <w:p w14:paraId="012F997D" w14:textId="1A200D7B" w:rsidR="00B74524" w:rsidRDefault="00B74524" w:rsidP="00B80B95">
      <w:pPr>
        <w:contextualSpacing/>
        <w:rPr>
          <w:rFonts w:eastAsiaTheme="minorHAnsi" w:cs="Arial"/>
          <w:noProof/>
          <w:u w:val="single"/>
        </w:rPr>
        <w:sectPr w:rsidR="00B74524" w:rsidSect="00B74524">
          <w:type w:val="continuous"/>
          <w:pgSz w:w="11906" w:h="16838"/>
          <w:pgMar w:top="1440" w:right="1440" w:bottom="1440" w:left="1440" w:header="709" w:footer="709" w:gutter="0"/>
          <w:cols w:num="2" w:space="720"/>
          <w:titlePg/>
          <w:docGrid w:linePitch="360"/>
        </w:sectPr>
      </w:pPr>
    </w:p>
    <w:p w14:paraId="6F2F99E6" w14:textId="75380548" w:rsidR="00AE6838" w:rsidRDefault="00B80B95" w:rsidP="00B80B95">
      <w:pPr>
        <w:contextualSpacing/>
        <w:rPr>
          <w:rFonts w:eastAsiaTheme="minorHAnsi"/>
          <w:b/>
          <w:u w:val="single"/>
        </w:rPr>
      </w:pPr>
      <w:r w:rsidRPr="00110C3C">
        <w:rPr>
          <w:rFonts w:eastAsiaTheme="minorHAnsi" w:cs="Arial"/>
          <w:u w:val="single"/>
        </w:rPr>
        <w:fldChar w:fldCharType="end"/>
      </w:r>
      <w:r w:rsidR="0025506E" w:rsidRPr="00B80B95">
        <w:rPr>
          <w:rFonts w:eastAsiaTheme="minorHAnsi"/>
          <w:b/>
          <w:u w:val="single"/>
        </w:rPr>
        <w:fldChar w:fldCharType="begin"/>
      </w:r>
      <w:r w:rsidR="0025506E" w:rsidRPr="00B80B95">
        <w:instrText xml:space="preserve"> XE "employers:self-insured, see self-insurer arrangements" \t "" </w:instrText>
      </w:r>
      <w:r w:rsidR="0025506E" w:rsidRPr="00B80B95">
        <w:rPr>
          <w:rFonts w:eastAsiaTheme="minorHAnsi"/>
          <w:b/>
          <w:u w:val="single"/>
        </w:rPr>
        <w:fldChar w:fldCharType="end"/>
      </w:r>
      <w:r w:rsidR="00C7036A" w:rsidRPr="00B80B95">
        <w:rPr>
          <w:rFonts w:eastAsiaTheme="minorHAnsi"/>
          <w:b/>
          <w:u w:val="single"/>
        </w:rPr>
        <w:fldChar w:fldCharType="begin"/>
      </w:r>
      <w:r w:rsidR="00C7036A" w:rsidRPr="00B80B95">
        <w:instrText xml:space="preserve"> XE "employees see workers" \t "" </w:instrText>
      </w:r>
      <w:r w:rsidR="00C7036A" w:rsidRPr="00B80B95">
        <w:rPr>
          <w:rFonts w:eastAsiaTheme="minorHAnsi"/>
          <w:b/>
          <w:u w:val="single"/>
        </w:rPr>
        <w:fldChar w:fldCharType="end"/>
      </w:r>
      <w:r w:rsidR="00E57854" w:rsidRPr="00B80B95">
        <w:rPr>
          <w:rFonts w:eastAsiaTheme="minorHAnsi"/>
        </w:rPr>
        <w:fldChar w:fldCharType="begin"/>
      </w:r>
      <w:r w:rsidR="00E57854" w:rsidRPr="00B80B95">
        <w:instrText xml:space="preserve"> XE "impairment:impairment threshold for psychological injury see psychological injuries" \t "" </w:instrText>
      </w:r>
      <w:r w:rsidR="00E57854" w:rsidRPr="00B80B95">
        <w:rPr>
          <w:rFonts w:eastAsiaTheme="minorHAnsi"/>
        </w:rPr>
        <w:fldChar w:fldCharType="end"/>
      </w:r>
      <w:r w:rsidR="00C7036A" w:rsidRPr="00B80B95">
        <w:rPr>
          <w:rFonts w:eastAsiaTheme="minorHAnsi"/>
          <w:b/>
          <w:u w:val="single"/>
        </w:rPr>
        <w:fldChar w:fldCharType="begin"/>
      </w:r>
      <w:r w:rsidR="00C7036A" w:rsidRPr="00B80B95">
        <w:instrText xml:space="preserve"> XE "dust diseases:see also asbestos-related diseases" \t "" </w:instrText>
      </w:r>
      <w:r w:rsidR="00C7036A" w:rsidRPr="00B80B95">
        <w:rPr>
          <w:rFonts w:eastAsiaTheme="minorHAnsi"/>
          <w:b/>
          <w:u w:val="single"/>
        </w:rPr>
        <w:fldChar w:fldCharType="end"/>
      </w:r>
      <w:r w:rsidR="00C7036A" w:rsidRPr="00B80B95">
        <w:rPr>
          <w:rFonts w:eastAsiaTheme="minorHAnsi"/>
          <w:b/>
          <w:u w:val="single"/>
        </w:rPr>
        <w:fldChar w:fldCharType="begin"/>
      </w:r>
      <w:r w:rsidR="00C7036A" w:rsidRPr="00B80B95">
        <w:instrText xml:space="preserve"> XE "diseases:see also asbestos-related diseases;cancer;dust diseases" </w:instrText>
      </w:r>
      <w:r w:rsidR="00C7036A" w:rsidRPr="00B80B95">
        <w:rPr>
          <w:rFonts w:eastAsiaTheme="minorHAnsi"/>
          <w:b/>
          <w:u w:val="single"/>
        </w:rPr>
        <w:fldChar w:fldCharType="end"/>
      </w:r>
      <w:r w:rsidR="007B3F66" w:rsidRPr="00B80B95">
        <w:rPr>
          <w:rFonts w:eastAsiaTheme="minorHAnsi"/>
          <w:b/>
          <w:u w:val="single"/>
        </w:rPr>
        <w:fldChar w:fldCharType="begin"/>
      </w:r>
      <w:r w:rsidR="007B3F66" w:rsidRPr="00B80B95">
        <w:instrText xml:space="preserve"> XE "Department of Veterans' Affairs:for details of coverage and entitlements see specific subject headings" \t "" </w:instrText>
      </w:r>
      <w:r w:rsidR="007B3F66" w:rsidRPr="00B80B95">
        <w:rPr>
          <w:rFonts w:eastAsiaTheme="minorHAnsi"/>
          <w:b/>
          <w:u w:val="single"/>
        </w:rPr>
        <w:fldChar w:fldCharType="end"/>
      </w:r>
      <w:r w:rsidR="00E57854" w:rsidRPr="00B80B95">
        <w:rPr>
          <w:rFonts w:eastAsiaTheme="minorHAnsi"/>
          <w:b/>
          <w:u w:val="single"/>
        </w:rPr>
        <w:fldChar w:fldCharType="begin"/>
      </w:r>
      <w:r w:rsidR="00E57854" w:rsidRPr="00B80B95">
        <w:instrText xml:space="preserve"> XE "history of workers compensation schemes see schemes history and evolution" \t "" </w:instrText>
      </w:r>
      <w:r w:rsidR="00E57854" w:rsidRPr="00B80B95">
        <w:rPr>
          <w:rFonts w:eastAsiaTheme="minorHAnsi"/>
          <w:b/>
          <w:u w:val="single"/>
        </w:rPr>
        <w:fldChar w:fldCharType="end"/>
      </w:r>
      <w:r w:rsidR="008E6A35" w:rsidRPr="00B80B95">
        <w:rPr>
          <w:rFonts w:eastAsiaTheme="minorHAnsi"/>
          <w:b/>
          <w:u w:val="single"/>
        </w:rPr>
        <w:fldChar w:fldCharType="begin"/>
      </w:r>
      <w:r w:rsidR="008E6A35" w:rsidRPr="00B80B95">
        <w:instrText xml:space="preserve"> XE "denial of workers compensation see exclusionary provisions" \t "" </w:instrText>
      </w:r>
      <w:r w:rsidR="008E6A35" w:rsidRPr="00B80B95">
        <w:rPr>
          <w:rFonts w:eastAsiaTheme="minorHAnsi"/>
          <w:b/>
          <w:u w:val="single"/>
        </w:rPr>
        <w:fldChar w:fldCharType="end"/>
      </w:r>
      <w:r w:rsidR="00CC7EF4" w:rsidRPr="00B80B95">
        <w:rPr>
          <w:rFonts w:eastAsiaTheme="minorHAnsi"/>
          <w:b/>
          <w:u w:val="single"/>
        </w:rPr>
        <w:fldChar w:fldCharType="begin"/>
      </w:r>
      <w:r w:rsidR="00CC7EF4" w:rsidRPr="00B80B95">
        <w:instrText xml:space="preserve"> XE "commuting see journeys to and from work" \t "" </w:instrText>
      </w:r>
      <w:r w:rsidR="00CC7EF4" w:rsidRPr="00B80B95">
        <w:rPr>
          <w:rFonts w:eastAsiaTheme="minorHAnsi"/>
          <w:b/>
          <w:u w:val="single"/>
        </w:rPr>
        <w:fldChar w:fldCharType="end"/>
      </w:r>
      <w:r w:rsidR="0078562E" w:rsidRPr="00B80B95">
        <w:rPr>
          <w:rFonts w:eastAsiaTheme="minorHAnsi"/>
          <w:b/>
          <w:u w:val="single"/>
        </w:rPr>
        <w:fldChar w:fldCharType="begin"/>
      </w:r>
      <w:r w:rsidR="0078562E" w:rsidRPr="00B80B95">
        <w:instrText xml:space="preserve"> XE "Australian Capital Territory:for details of coverage and entitlements see specific subject headings" \t "" </w:instrText>
      </w:r>
      <w:r w:rsidR="0078562E" w:rsidRPr="00B80B95">
        <w:rPr>
          <w:rFonts w:eastAsiaTheme="minorHAnsi"/>
          <w:b/>
          <w:u w:val="single"/>
        </w:rPr>
        <w:fldChar w:fldCharType="end"/>
      </w:r>
      <w:r w:rsidR="00E566A9" w:rsidRPr="00B80B95">
        <w:rPr>
          <w:rFonts w:eastAsiaTheme="minorHAnsi"/>
          <w:b/>
          <w:u w:val="single"/>
        </w:rPr>
        <w:t xml:space="preserve"> </w:t>
      </w:r>
      <w:r w:rsidR="00E566A9" w:rsidRPr="00B80B95">
        <w:rPr>
          <w:rFonts w:eastAsiaTheme="minorHAnsi"/>
          <w:b/>
          <w:u w:val="single"/>
        </w:rPr>
        <w:fldChar w:fldCharType="begin"/>
      </w:r>
      <w:r w:rsidR="00E566A9" w:rsidRPr="00B80B95">
        <w:instrText xml:space="preserve"> XE "recent developments see schemes recent developments" \t "" </w:instrText>
      </w:r>
      <w:r w:rsidR="00E566A9" w:rsidRPr="00B80B95">
        <w:rPr>
          <w:rFonts w:eastAsiaTheme="minorHAnsi"/>
          <w:b/>
          <w:u w:val="single"/>
        </w:rPr>
        <w:fldChar w:fldCharType="end"/>
      </w:r>
      <w:r w:rsidR="0093517C" w:rsidRPr="00B80B95">
        <w:rPr>
          <w:rFonts w:eastAsiaTheme="minorHAnsi"/>
          <w:b/>
          <w:u w:val="single"/>
        </w:rPr>
        <w:fldChar w:fldCharType="begin"/>
      </w:r>
      <w:r w:rsidR="0093517C" w:rsidRPr="00B80B95">
        <w:instrText xml:space="preserve"> XE "Queensland:for details of coverage and entitlements see specific subject headings" \t "" </w:instrText>
      </w:r>
      <w:r w:rsidR="0093517C" w:rsidRPr="00B80B95">
        <w:rPr>
          <w:rFonts w:eastAsiaTheme="minorHAnsi"/>
          <w:b/>
          <w:u w:val="single"/>
        </w:rPr>
        <w:fldChar w:fldCharType="end"/>
      </w:r>
      <w:r w:rsidR="00A41653" w:rsidRPr="00B80B95">
        <w:rPr>
          <w:rFonts w:eastAsiaTheme="minorHAnsi"/>
          <w:b/>
          <w:u w:val="single"/>
        </w:rPr>
        <w:fldChar w:fldCharType="begin"/>
      </w:r>
      <w:r w:rsidR="00A41653" w:rsidRPr="00B80B95">
        <w:instrText xml:space="preserve"> XE "funding see schemes funding arrangements" \t "" </w:instrText>
      </w:r>
      <w:r w:rsidR="00A41653" w:rsidRPr="00B80B95">
        <w:rPr>
          <w:rFonts w:eastAsiaTheme="minorHAnsi"/>
          <w:b/>
          <w:u w:val="single"/>
        </w:rPr>
        <w:fldChar w:fldCharType="end"/>
      </w:r>
      <w:r w:rsidR="00AE6838" w:rsidRPr="00B80B95">
        <w:rPr>
          <w:rFonts w:eastAsiaTheme="minorHAnsi"/>
          <w:b/>
          <w:u w:val="single"/>
        </w:rPr>
        <w:fldChar w:fldCharType="begin"/>
      </w:r>
      <w:r w:rsidR="00AE6838" w:rsidRPr="00B80B95">
        <w:instrText xml:space="preserve"> XE "Tasmania:for details of coverage and entitlements see specific subject headings" \t "" </w:instrText>
      </w:r>
      <w:r w:rsidR="00AE6838" w:rsidRPr="00B80B95">
        <w:rPr>
          <w:rFonts w:eastAsiaTheme="minorHAnsi"/>
          <w:b/>
          <w:u w:val="single"/>
        </w:rPr>
        <w:fldChar w:fldCharType="end"/>
      </w:r>
    </w:p>
    <w:p w14:paraId="76F58A41" w14:textId="6697B5F6" w:rsidR="000A06AE" w:rsidRDefault="000041B6" w:rsidP="003D18DA">
      <w:pPr>
        <w:contextualSpacing/>
        <w:rPr>
          <w:rFonts w:eastAsiaTheme="minorHAnsi"/>
          <w:b/>
          <w:u w:val="single"/>
        </w:rPr>
      </w:pPr>
      <w:r>
        <w:rPr>
          <w:rFonts w:eastAsiaTheme="minorHAnsi"/>
          <w:b/>
          <w:u w:val="single"/>
        </w:rPr>
        <w:fldChar w:fldCharType="begin"/>
      </w:r>
      <w:r>
        <w:instrText xml:space="preserve"> XE "</w:instrText>
      </w:r>
      <w:r w:rsidRPr="004119EB">
        <w:instrText>Victoria:for details of coverage and entitlementssee specific subject headings</w:instrText>
      </w:r>
      <w:r>
        <w:instrText xml:space="preserve">" \t "" </w:instrText>
      </w:r>
      <w:r>
        <w:rPr>
          <w:rFonts w:eastAsiaTheme="minorHAnsi"/>
          <w:b/>
          <w:u w:val="single"/>
        </w:rPr>
        <w:fldChar w:fldCharType="end"/>
      </w:r>
      <w:r w:rsidR="0008303E">
        <w:rPr>
          <w:rFonts w:eastAsiaTheme="minorHAnsi"/>
          <w:b/>
          <w:u w:val="single"/>
        </w:rPr>
        <w:fldChar w:fldCharType="begin"/>
      </w:r>
      <w:r w:rsidR="0008303E">
        <w:instrText xml:space="preserve"> XE "</w:instrText>
      </w:r>
      <w:r w:rsidR="0008303E" w:rsidRPr="003C702B">
        <w:instrText>hospital entitlement limits see medical, hospital and other costs</w:instrText>
      </w:r>
      <w:r w:rsidR="0008303E">
        <w:instrText xml:space="preserve">" \t "" </w:instrText>
      </w:r>
      <w:r w:rsidR="0008303E">
        <w:rPr>
          <w:rFonts w:eastAsiaTheme="minorHAnsi"/>
          <w:b/>
          <w:u w:val="single"/>
        </w:rPr>
        <w:fldChar w:fldCharType="end"/>
      </w:r>
      <w:r w:rsidR="0070573D">
        <w:rPr>
          <w:rFonts w:eastAsiaTheme="minorHAnsi"/>
          <w:b/>
          <w:u w:val="single"/>
        </w:rPr>
        <w:fldChar w:fldCharType="begin"/>
      </w:r>
      <w:r w:rsidR="0070573D">
        <w:instrText xml:space="preserve"> XE "</w:instrText>
      </w:r>
      <w:r w:rsidR="0070573D" w:rsidRPr="0040521F">
        <w:instrText>Commonwealth of Australia:see also Comcare; Department of Veterans' Affairs; Seacare</w:instrText>
      </w:r>
      <w:r w:rsidR="0070573D">
        <w:instrText xml:space="preserve">" \t "" </w:instrText>
      </w:r>
      <w:r w:rsidR="0070573D">
        <w:rPr>
          <w:rFonts w:eastAsiaTheme="minorHAnsi"/>
          <w:b/>
          <w:u w:val="single"/>
        </w:rPr>
        <w:fldChar w:fldCharType="end"/>
      </w:r>
      <w:r w:rsidR="000A06AE">
        <w:rPr>
          <w:rFonts w:eastAsiaTheme="minorHAnsi"/>
          <w:b/>
          <w:u w:val="single"/>
        </w:rPr>
        <w:fldChar w:fldCharType="begin"/>
      </w:r>
      <w:r w:rsidR="000A06AE">
        <w:instrText xml:space="preserve"> XE "</w:instrText>
      </w:r>
      <w:r w:rsidR="000A06AE" w:rsidRPr="00BC61CA">
        <w:instrText>ailments see diseases</w:instrText>
      </w:r>
      <w:r w:rsidR="000A06AE">
        <w:instrText xml:space="preserve">" \t "" </w:instrText>
      </w:r>
      <w:r w:rsidR="000A06AE">
        <w:rPr>
          <w:rFonts w:eastAsiaTheme="minorHAnsi"/>
          <w:b/>
          <w:u w:val="single"/>
        </w:rPr>
        <w:fldChar w:fldCharType="end"/>
      </w:r>
      <w:r w:rsidR="000B568E">
        <w:rPr>
          <w:rFonts w:eastAsiaTheme="minorHAnsi"/>
          <w:b/>
          <w:u w:val="single"/>
        </w:rPr>
        <w:fldChar w:fldCharType="begin"/>
      </w:r>
      <w:r w:rsidR="000B568E">
        <w:instrText xml:space="preserve"> XE "</w:instrText>
      </w:r>
      <w:r w:rsidR="000B568E" w:rsidRPr="00DD30A0">
        <w:instrText>Seacare:for details of coverage and entitlements see specific subject headings</w:instrText>
      </w:r>
      <w:r w:rsidR="000B568E">
        <w:instrText xml:space="preserve">" \t "" </w:instrText>
      </w:r>
      <w:r w:rsidR="000B568E">
        <w:rPr>
          <w:rFonts w:eastAsiaTheme="minorHAnsi"/>
          <w:b/>
          <w:u w:val="single"/>
        </w:rPr>
        <w:fldChar w:fldCharType="end"/>
      </w:r>
      <w:r w:rsidR="007E7520">
        <w:rPr>
          <w:rFonts w:eastAsiaTheme="minorHAnsi"/>
          <w:b/>
          <w:u w:val="single"/>
        </w:rPr>
        <w:fldChar w:fldCharType="begin"/>
      </w:r>
      <w:r w:rsidR="007E7520">
        <w:instrText xml:space="preserve"> XE "</w:instrText>
      </w:r>
      <w:r w:rsidR="007E7520" w:rsidRPr="005F6CF5">
        <w:instrText>South Australia:for details of coverage and entitlements see specific subject headings</w:instrText>
      </w:r>
      <w:r w:rsidR="007E7520">
        <w:instrText xml:space="preserve">" </w:instrText>
      </w:r>
      <w:r w:rsidR="007E7520">
        <w:rPr>
          <w:rFonts w:eastAsiaTheme="minorHAnsi"/>
          <w:b/>
          <w:u w:val="single"/>
        </w:rPr>
        <w:fldChar w:fldCharType="end"/>
      </w:r>
    </w:p>
    <w:p w14:paraId="73E94089" w14:textId="4DE4B0A2" w:rsidR="0008303E" w:rsidRPr="0008303E" w:rsidRDefault="009915C5" w:rsidP="003D18DA">
      <w:pPr>
        <w:contextualSpacing/>
        <w:rPr>
          <w:rFonts w:eastAsiaTheme="minorHAnsi"/>
        </w:rPr>
      </w:pPr>
      <w:r>
        <w:rPr>
          <w:rFonts w:eastAsiaTheme="minorHAnsi"/>
        </w:rPr>
        <w:fldChar w:fldCharType="begin"/>
      </w:r>
      <w:r>
        <w:instrText xml:space="preserve"> XE "</w:instrText>
      </w:r>
      <w:r w:rsidRPr="003739DA">
        <w:instrText>impairment:impairment threshold for psychological injury see psychological injuries</w:instrText>
      </w:r>
      <w:r>
        <w:instrText xml:space="preserve">" \t "" </w:instrText>
      </w:r>
      <w:r>
        <w:rPr>
          <w:rFonts w:eastAsiaTheme="minorHAnsi"/>
        </w:rPr>
        <w:fldChar w:fldCharType="end"/>
      </w:r>
    </w:p>
    <w:sectPr w:rsidR="0008303E" w:rsidRPr="0008303E" w:rsidSect="00B74524">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BF17F" w14:textId="77777777" w:rsidR="00DF3396" w:rsidRDefault="00DF3396" w:rsidP="003411E8">
      <w:r>
        <w:separator/>
      </w:r>
    </w:p>
    <w:p w14:paraId="59DC7066" w14:textId="77777777" w:rsidR="00DF3396" w:rsidRDefault="00DF3396"/>
  </w:endnote>
  <w:endnote w:type="continuationSeparator" w:id="0">
    <w:p w14:paraId="7F961D15" w14:textId="77777777" w:rsidR="00DF3396" w:rsidRDefault="00DF3396" w:rsidP="003411E8">
      <w:r>
        <w:continuationSeparator/>
      </w:r>
    </w:p>
    <w:p w14:paraId="3CE6AA56" w14:textId="77777777" w:rsidR="00DF3396" w:rsidRDefault="00DF3396"/>
  </w:endnote>
  <w:endnote w:type="continuationNotice" w:id="1">
    <w:p w14:paraId="3774218B" w14:textId="77777777" w:rsidR="00DF3396" w:rsidRDefault="00DF3396"/>
    <w:p w14:paraId="7D37ABA2" w14:textId="77777777" w:rsidR="00DF3396" w:rsidRDefault="00DF3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HelveticaNeue ThinExt">
    <w:altName w:val="HelveticaNeue ThinEx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544545"/>
      <w:docPartObj>
        <w:docPartGallery w:val="Page Numbers (Bottom of Page)"/>
        <w:docPartUnique/>
      </w:docPartObj>
    </w:sdtPr>
    <w:sdtEndPr>
      <w:rPr>
        <w:noProof/>
      </w:rPr>
    </w:sdtEndPr>
    <w:sdtContent>
      <w:p w14:paraId="628CC4CB" w14:textId="0F8987F7" w:rsidR="00DF3396" w:rsidRDefault="00DF3396">
        <w:pPr>
          <w:pStyle w:val="Footer"/>
          <w:jc w:val="right"/>
        </w:pPr>
        <w:r>
          <w:fldChar w:fldCharType="begin"/>
        </w:r>
        <w:r>
          <w:instrText xml:space="preserve"> PAGE   \* MERGEFORMAT </w:instrText>
        </w:r>
        <w:r>
          <w:fldChar w:fldCharType="separate"/>
        </w:r>
        <w:r w:rsidR="00A7538C">
          <w:rPr>
            <w:noProof/>
          </w:rPr>
          <w:t>2</w:t>
        </w:r>
        <w:r>
          <w:rPr>
            <w:noProof/>
          </w:rPr>
          <w:fldChar w:fldCharType="end"/>
        </w:r>
      </w:p>
    </w:sdtContent>
  </w:sdt>
  <w:p w14:paraId="1ED9B821" w14:textId="76152137" w:rsidR="00DF3396" w:rsidRDefault="00DF3396" w:rsidP="00B832F3">
    <w:pPr>
      <w:pStyle w:val="Footer"/>
      <w:ind w:left="8447" w:firstLine="4513"/>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1E92D" w14:textId="66F61EEB" w:rsidR="00DF3396" w:rsidRDefault="00DF3396">
    <w:pPr>
      <w:pStyle w:val="Footer"/>
      <w:jc w:val="right"/>
    </w:pPr>
    <w:r>
      <w:t>266</w:t>
    </w:r>
  </w:p>
  <w:p w14:paraId="494A6CFE" w14:textId="77777777" w:rsidR="00DF3396" w:rsidRPr="00510E89" w:rsidRDefault="00DF3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1282C" w14:textId="77777777" w:rsidR="00DF3396" w:rsidRDefault="00DF3396" w:rsidP="003411E8">
      <w:r>
        <w:separator/>
      </w:r>
    </w:p>
    <w:p w14:paraId="463F2030" w14:textId="77777777" w:rsidR="00DF3396" w:rsidRDefault="00DF3396"/>
  </w:footnote>
  <w:footnote w:type="continuationSeparator" w:id="0">
    <w:p w14:paraId="0BFB226F" w14:textId="77777777" w:rsidR="00DF3396" w:rsidRDefault="00DF3396" w:rsidP="003411E8">
      <w:r>
        <w:continuationSeparator/>
      </w:r>
    </w:p>
    <w:p w14:paraId="3C64C694" w14:textId="77777777" w:rsidR="00DF3396" w:rsidRDefault="00DF3396"/>
  </w:footnote>
  <w:footnote w:type="continuationNotice" w:id="1">
    <w:p w14:paraId="353DAC98" w14:textId="77777777" w:rsidR="00DF3396" w:rsidRDefault="00DF3396"/>
    <w:p w14:paraId="1A131040" w14:textId="77777777" w:rsidR="00DF3396" w:rsidRDefault="00DF3396"/>
  </w:footnote>
  <w:footnote w:id="2">
    <w:p w14:paraId="1FDF3D98" w14:textId="3BCEECA2" w:rsidR="00DF3396" w:rsidRPr="00A20A3D" w:rsidRDefault="00DF3396" w:rsidP="00710B26">
      <w:pPr>
        <w:pStyle w:val="FootnoteText"/>
        <w:rPr>
          <w:rFonts w:ascii="Arial" w:hAnsi="Arial" w:cs="Arial"/>
          <w:sz w:val="16"/>
          <w:szCs w:val="16"/>
        </w:rPr>
      </w:pPr>
      <w:r w:rsidRPr="00A20A3D">
        <w:rPr>
          <w:rStyle w:val="FootnoteReference"/>
          <w:rFonts w:ascii="Arial" w:hAnsi="Arial" w:cs="Arial"/>
          <w:szCs w:val="16"/>
        </w:rPr>
        <w:footnoteRef/>
      </w:r>
      <w:r w:rsidRPr="00A20A3D">
        <w:rPr>
          <w:rFonts w:ascii="Arial" w:hAnsi="Arial" w:cs="Arial"/>
          <w:sz w:val="16"/>
          <w:szCs w:val="16"/>
        </w:rPr>
        <w:t xml:space="preserve"> </w:t>
      </w:r>
      <w:hyperlink r:id="rId1" w:tooltip="Safety, Rehabilitation and Compensation Commission website" w:history="1">
        <w:r w:rsidRPr="00A20A3D">
          <w:rPr>
            <w:rStyle w:val="Hyperlink"/>
            <w:rFonts w:ascii="Arial" w:hAnsi="Arial" w:cs="Arial"/>
            <w:sz w:val="16"/>
            <w:szCs w:val="16"/>
          </w:rPr>
          <w:t>http://www.srcc.gov.au/publications/guidance_for_employers2/guidance/licence_compliance_and_performance_model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C8E8" w14:textId="77777777" w:rsidR="00DF3396" w:rsidRDefault="00DF3396" w:rsidP="00883CE4">
    <w:pPr>
      <w:pStyle w:val="Header"/>
      <w:numPr>
        <w:ilvl w:val="0"/>
        <w:numId w:val="0"/>
      </w:numPr>
      <w:ind w:lef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A1301" w14:textId="77777777" w:rsidR="00DF3396" w:rsidRDefault="00DF3396" w:rsidP="000E28C6">
    <w:pPr>
      <w:pStyle w:val="Header"/>
      <w:numPr>
        <w:ilvl w:val="0"/>
        <w:numId w:val="0"/>
      </w:numPr>
      <w:tabs>
        <w:tab w:val="left" w:pos="284"/>
      </w:tabs>
      <w:ind w:lef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1F529" w14:textId="77777777" w:rsidR="00DF3396" w:rsidRDefault="00DF3396" w:rsidP="00E20030">
    <w:pPr>
      <w:pStyle w:val="Header"/>
      <w:numPr>
        <w:ilvl w:val="0"/>
        <w:numId w:val="0"/>
      </w:num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8891E" w14:textId="77777777" w:rsidR="00DF3396" w:rsidRDefault="00DF3396" w:rsidP="000002A2">
    <w:pPr>
      <w:pStyle w:val="Header"/>
      <w:numPr>
        <w:ilvl w:val="0"/>
        <w:numId w:val="0"/>
      </w:numP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C4D"/>
    <w:multiLevelType w:val="hybridMultilevel"/>
    <w:tmpl w:val="15E201EC"/>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AA1623"/>
    <w:multiLevelType w:val="hybridMultilevel"/>
    <w:tmpl w:val="E8BA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30180"/>
    <w:multiLevelType w:val="hybridMultilevel"/>
    <w:tmpl w:val="9EB05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07154A"/>
    <w:multiLevelType w:val="hybridMultilevel"/>
    <w:tmpl w:val="40823530"/>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1B296E"/>
    <w:multiLevelType w:val="hybridMultilevel"/>
    <w:tmpl w:val="8E968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1640D3A"/>
    <w:multiLevelType w:val="hybridMultilevel"/>
    <w:tmpl w:val="EA94CFF4"/>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83269C"/>
    <w:multiLevelType w:val="hybridMultilevel"/>
    <w:tmpl w:val="30BE4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19B516A"/>
    <w:multiLevelType w:val="hybridMultilevel"/>
    <w:tmpl w:val="102A5CA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23B52D3"/>
    <w:multiLevelType w:val="hybridMultilevel"/>
    <w:tmpl w:val="A7DE6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2854AC3"/>
    <w:multiLevelType w:val="hybridMultilevel"/>
    <w:tmpl w:val="94B6A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2A8147F"/>
    <w:multiLevelType w:val="hybridMultilevel"/>
    <w:tmpl w:val="3DE03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B17814"/>
    <w:multiLevelType w:val="hybridMultilevel"/>
    <w:tmpl w:val="9C56384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2DC523E"/>
    <w:multiLevelType w:val="hybridMultilevel"/>
    <w:tmpl w:val="BE320F30"/>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3160E00"/>
    <w:multiLevelType w:val="hybridMultilevel"/>
    <w:tmpl w:val="D12ADF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36152B9"/>
    <w:multiLevelType w:val="hybridMultilevel"/>
    <w:tmpl w:val="9A9E4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917904"/>
    <w:multiLevelType w:val="hybridMultilevel"/>
    <w:tmpl w:val="B3068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CB356C"/>
    <w:multiLevelType w:val="hybridMultilevel"/>
    <w:tmpl w:val="5D68DCAE"/>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3D544E0"/>
    <w:multiLevelType w:val="hybridMultilevel"/>
    <w:tmpl w:val="A89A8534"/>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4D33F19"/>
    <w:multiLevelType w:val="hybridMultilevel"/>
    <w:tmpl w:val="BB02C252"/>
    <w:lvl w:ilvl="0" w:tplc="7EF4B4D0">
      <w:start w:val="1"/>
      <w:numFmt w:val="decimal"/>
      <w:pStyle w:val="numberedfootnotes"/>
      <w:lvlText w:val="%1."/>
      <w:lvlJc w:val="left"/>
      <w:pPr>
        <w:ind w:left="494" w:hanging="360"/>
      </w:pPr>
    </w:lvl>
    <w:lvl w:ilvl="1" w:tplc="0C090019" w:tentative="1">
      <w:start w:val="1"/>
      <w:numFmt w:val="lowerLetter"/>
      <w:lvlText w:val="%2."/>
      <w:lvlJc w:val="left"/>
      <w:pPr>
        <w:ind w:left="1214" w:hanging="360"/>
      </w:pPr>
    </w:lvl>
    <w:lvl w:ilvl="2" w:tplc="0C09001B" w:tentative="1">
      <w:start w:val="1"/>
      <w:numFmt w:val="lowerRoman"/>
      <w:lvlText w:val="%3."/>
      <w:lvlJc w:val="right"/>
      <w:pPr>
        <w:ind w:left="1934" w:hanging="180"/>
      </w:pPr>
    </w:lvl>
    <w:lvl w:ilvl="3" w:tplc="0C09000F" w:tentative="1">
      <w:start w:val="1"/>
      <w:numFmt w:val="decimal"/>
      <w:lvlText w:val="%4."/>
      <w:lvlJc w:val="left"/>
      <w:pPr>
        <w:ind w:left="2654" w:hanging="360"/>
      </w:pPr>
    </w:lvl>
    <w:lvl w:ilvl="4" w:tplc="0C090019" w:tentative="1">
      <w:start w:val="1"/>
      <w:numFmt w:val="lowerLetter"/>
      <w:lvlText w:val="%5."/>
      <w:lvlJc w:val="left"/>
      <w:pPr>
        <w:ind w:left="3374" w:hanging="360"/>
      </w:pPr>
    </w:lvl>
    <w:lvl w:ilvl="5" w:tplc="0C09001B" w:tentative="1">
      <w:start w:val="1"/>
      <w:numFmt w:val="lowerRoman"/>
      <w:lvlText w:val="%6."/>
      <w:lvlJc w:val="right"/>
      <w:pPr>
        <w:ind w:left="4094" w:hanging="180"/>
      </w:pPr>
    </w:lvl>
    <w:lvl w:ilvl="6" w:tplc="0C09000F" w:tentative="1">
      <w:start w:val="1"/>
      <w:numFmt w:val="decimal"/>
      <w:lvlText w:val="%7."/>
      <w:lvlJc w:val="left"/>
      <w:pPr>
        <w:ind w:left="4814" w:hanging="360"/>
      </w:pPr>
    </w:lvl>
    <w:lvl w:ilvl="7" w:tplc="0C090019" w:tentative="1">
      <w:start w:val="1"/>
      <w:numFmt w:val="lowerLetter"/>
      <w:lvlText w:val="%8."/>
      <w:lvlJc w:val="left"/>
      <w:pPr>
        <w:ind w:left="5534" w:hanging="360"/>
      </w:pPr>
    </w:lvl>
    <w:lvl w:ilvl="8" w:tplc="0C09001B" w:tentative="1">
      <w:start w:val="1"/>
      <w:numFmt w:val="lowerRoman"/>
      <w:lvlText w:val="%9."/>
      <w:lvlJc w:val="right"/>
      <w:pPr>
        <w:ind w:left="6254" w:hanging="180"/>
      </w:pPr>
    </w:lvl>
  </w:abstractNum>
  <w:abstractNum w:abstractNumId="19" w15:restartNumberingAfterBreak="0">
    <w:nsid w:val="04EB51D0"/>
    <w:multiLevelType w:val="hybridMultilevel"/>
    <w:tmpl w:val="691E2FC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05152984"/>
    <w:multiLevelType w:val="hybridMultilevel"/>
    <w:tmpl w:val="39200A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5302024"/>
    <w:multiLevelType w:val="hybridMultilevel"/>
    <w:tmpl w:val="C9D8029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05500FA3"/>
    <w:multiLevelType w:val="hybridMultilevel"/>
    <w:tmpl w:val="6AF6FB38"/>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56F2B00"/>
    <w:multiLevelType w:val="hybridMultilevel"/>
    <w:tmpl w:val="D20A6BE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05733B5A"/>
    <w:multiLevelType w:val="hybridMultilevel"/>
    <w:tmpl w:val="00587E4C"/>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05746677"/>
    <w:multiLevelType w:val="hybridMultilevel"/>
    <w:tmpl w:val="3C6E983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6" w15:restartNumberingAfterBreak="0">
    <w:nsid w:val="05914CB9"/>
    <w:multiLevelType w:val="hybridMultilevel"/>
    <w:tmpl w:val="27647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5984E80"/>
    <w:multiLevelType w:val="hybridMultilevel"/>
    <w:tmpl w:val="3D7E6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06202DBF"/>
    <w:multiLevelType w:val="hybridMultilevel"/>
    <w:tmpl w:val="BE0AF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67E415A"/>
    <w:multiLevelType w:val="hybridMultilevel"/>
    <w:tmpl w:val="C334289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069002ED"/>
    <w:multiLevelType w:val="hybridMultilevel"/>
    <w:tmpl w:val="2F008A3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06940A7F"/>
    <w:multiLevelType w:val="hybridMultilevel"/>
    <w:tmpl w:val="88FE1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06970F2B"/>
    <w:multiLevelType w:val="hybridMultilevel"/>
    <w:tmpl w:val="8AF8E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B03A64"/>
    <w:multiLevelType w:val="hybridMultilevel"/>
    <w:tmpl w:val="3D3C7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06C4485E"/>
    <w:multiLevelType w:val="hybridMultilevel"/>
    <w:tmpl w:val="9E4EABB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06D11E49"/>
    <w:multiLevelType w:val="hybridMultilevel"/>
    <w:tmpl w:val="BAF0059C"/>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079C17B8"/>
    <w:multiLevelType w:val="hybridMultilevel"/>
    <w:tmpl w:val="E69C6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07EB660F"/>
    <w:multiLevelType w:val="hybridMultilevel"/>
    <w:tmpl w:val="FA901E04"/>
    <w:lvl w:ilvl="0" w:tplc="2F6EE45E">
      <w:start w:val="1"/>
      <w:numFmt w:val="decimal"/>
      <w:pStyle w:val="Numberedparas"/>
      <w:lvlText w:val="%1."/>
      <w:lvlJc w:val="left"/>
      <w:pPr>
        <w:ind w:left="720" w:hanging="360"/>
      </w:pPr>
    </w:lvl>
    <w:lvl w:ilvl="1" w:tplc="DA3A8C62">
      <w:numFmt w:val="bullet"/>
      <w:lvlText w:val="•"/>
      <w:lvlJc w:val="left"/>
      <w:pPr>
        <w:ind w:left="1440" w:hanging="36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07F31665"/>
    <w:multiLevelType w:val="hybridMultilevel"/>
    <w:tmpl w:val="491C3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080B374E"/>
    <w:multiLevelType w:val="hybridMultilevel"/>
    <w:tmpl w:val="E44827C0"/>
    <w:lvl w:ilvl="0" w:tplc="EC24AF18">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08374634"/>
    <w:multiLevelType w:val="hybridMultilevel"/>
    <w:tmpl w:val="89865550"/>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089B558A"/>
    <w:multiLevelType w:val="hybridMultilevel"/>
    <w:tmpl w:val="A06842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08B067D7"/>
    <w:multiLevelType w:val="hybridMultilevel"/>
    <w:tmpl w:val="F1700F1A"/>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096924EA"/>
    <w:multiLevelType w:val="hybridMultilevel"/>
    <w:tmpl w:val="7FE60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096F1D51"/>
    <w:multiLevelType w:val="hybridMultilevel"/>
    <w:tmpl w:val="ABD6A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09996D4A"/>
    <w:multiLevelType w:val="hybridMultilevel"/>
    <w:tmpl w:val="2A7E8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09E5581D"/>
    <w:multiLevelType w:val="hybridMultilevel"/>
    <w:tmpl w:val="2A4C1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0A225B55"/>
    <w:multiLevelType w:val="hybridMultilevel"/>
    <w:tmpl w:val="5C2EB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0A9538EE"/>
    <w:multiLevelType w:val="hybridMultilevel"/>
    <w:tmpl w:val="4E241E4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0AAB6E50"/>
    <w:multiLevelType w:val="hybridMultilevel"/>
    <w:tmpl w:val="0C489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0AFA4C66"/>
    <w:multiLevelType w:val="hybridMultilevel"/>
    <w:tmpl w:val="CF64E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0B25445D"/>
    <w:multiLevelType w:val="hybridMultilevel"/>
    <w:tmpl w:val="CDEC6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0B6F5C21"/>
    <w:multiLevelType w:val="hybridMultilevel"/>
    <w:tmpl w:val="02B2D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0B8C1F24"/>
    <w:multiLevelType w:val="hybridMultilevel"/>
    <w:tmpl w:val="297608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0B991782"/>
    <w:multiLevelType w:val="hybridMultilevel"/>
    <w:tmpl w:val="7898E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0BC36D62"/>
    <w:multiLevelType w:val="hybridMultilevel"/>
    <w:tmpl w:val="35C41D7A"/>
    <w:lvl w:ilvl="0" w:tplc="1A405938">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0C250C13"/>
    <w:multiLevelType w:val="hybridMultilevel"/>
    <w:tmpl w:val="7B5856A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0C264D10"/>
    <w:multiLevelType w:val="hybridMultilevel"/>
    <w:tmpl w:val="3328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0CB77343"/>
    <w:multiLevelType w:val="hybridMultilevel"/>
    <w:tmpl w:val="00C867AC"/>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0CF95F25"/>
    <w:multiLevelType w:val="hybridMultilevel"/>
    <w:tmpl w:val="D654E8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0D05375A"/>
    <w:multiLevelType w:val="hybridMultilevel"/>
    <w:tmpl w:val="281CFD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0D465B64"/>
    <w:multiLevelType w:val="hybridMultilevel"/>
    <w:tmpl w:val="2D0C9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0D483CAD"/>
    <w:multiLevelType w:val="hybridMultilevel"/>
    <w:tmpl w:val="D6B8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0D7628C4"/>
    <w:multiLevelType w:val="hybridMultilevel"/>
    <w:tmpl w:val="B9BC0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0DAF268E"/>
    <w:multiLevelType w:val="hybridMultilevel"/>
    <w:tmpl w:val="C374BA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0DC73C21"/>
    <w:multiLevelType w:val="hybridMultilevel"/>
    <w:tmpl w:val="D6E00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0DE23DC0"/>
    <w:multiLevelType w:val="hybridMultilevel"/>
    <w:tmpl w:val="B4E41FE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0E741A42"/>
    <w:multiLevelType w:val="hybridMultilevel"/>
    <w:tmpl w:val="0AB62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0E770B3B"/>
    <w:multiLevelType w:val="hybridMultilevel"/>
    <w:tmpl w:val="485A2052"/>
    <w:lvl w:ilvl="0" w:tplc="31747EF8">
      <w:start w:val="1"/>
      <w:numFmt w:val="bullet"/>
      <w:pStyle w:val="Mainbody-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0EF345C3"/>
    <w:multiLevelType w:val="hybridMultilevel"/>
    <w:tmpl w:val="648E03C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0F5F52A4"/>
    <w:multiLevelType w:val="hybridMultilevel"/>
    <w:tmpl w:val="2EE09A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0F8C11AE"/>
    <w:multiLevelType w:val="hybridMultilevel"/>
    <w:tmpl w:val="080E5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0FF13D88"/>
    <w:multiLevelType w:val="hybridMultilevel"/>
    <w:tmpl w:val="7F10F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10333298"/>
    <w:multiLevelType w:val="hybridMultilevel"/>
    <w:tmpl w:val="8516043A"/>
    <w:lvl w:ilvl="0" w:tplc="E7180EA8">
      <w:start w:val="1"/>
      <w:numFmt w:val="bullet"/>
      <w:lvlText w:val="−"/>
      <w:lvlJc w:val="left"/>
      <w:pPr>
        <w:ind w:left="717" w:hanging="360"/>
      </w:pPr>
      <w:rPr>
        <w:rFonts w:ascii="Arial" w:hAnsi="Aria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4" w15:restartNumberingAfterBreak="0">
    <w:nsid w:val="104971C9"/>
    <w:multiLevelType w:val="hybridMultilevel"/>
    <w:tmpl w:val="DEFA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0C931C5"/>
    <w:multiLevelType w:val="hybridMultilevel"/>
    <w:tmpl w:val="E796FD2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10F412A0"/>
    <w:multiLevelType w:val="hybridMultilevel"/>
    <w:tmpl w:val="7F846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111808E7"/>
    <w:multiLevelType w:val="hybridMultilevel"/>
    <w:tmpl w:val="C6263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11215252"/>
    <w:multiLevelType w:val="hybridMultilevel"/>
    <w:tmpl w:val="55982920"/>
    <w:lvl w:ilvl="0" w:tplc="363ACF7A">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117746AA"/>
    <w:multiLevelType w:val="hybridMultilevel"/>
    <w:tmpl w:val="C43E0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12226399"/>
    <w:multiLevelType w:val="hybridMultilevel"/>
    <w:tmpl w:val="43A45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128D6624"/>
    <w:multiLevelType w:val="hybridMultilevel"/>
    <w:tmpl w:val="7C1A6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129935E5"/>
    <w:multiLevelType w:val="hybridMultilevel"/>
    <w:tmpl w:val="383A6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12D363F6"/>
    <w:multiLevelType w:val="hybridMultilevel"/>
    <w:tmpl w:val="CE9E0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12E041E9"/>
    <w:multiLevelType w:val="hybridMultilevel"/>
    <w:tmpl w:val="3B580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12E76274"/>
    <w:multiLevelType w:val="hybridMultilevel"/>
    <w:tmpl w:val="9CB69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13746F51"/>
    <w:multiLevelType w:val="hybridMultilevel"/>
    <w:tmpl w:val="593E1CA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13E43E1B"/>
    <w:multiLevelType w:val="hybridMultilevel"/>
    <w:tmpl w:val="B5A64CD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140F293B"/>
    <w:multiLevelType w:val="hybridMultilevel"/>
    <w:tmpl w:val="C9CC195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141B0F17"/>
    <w:multiLevelType w:val="hybridMultilevel"/>
    <w:tmpl w:val="BB7059F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14426528"/>
    <w:multiLevelType w:val="hybridMultilevel"/>
    <w:tmpl w:val="1E283B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14484EFC"/>
    <w:multiLevelType w:val="hybridMultilevel"/>
    <w:tmpl w:val="5CEC45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14B8180C"/>
    <w:multiLevelType w:val="hybridMultilevel"/>
    <w:tmpl w:val="4AB0932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14D02257"/>
    <w:multiLevelType w:val="hybridMultilevel"/>
    <w:tmpl w:val="7ECA6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150F26CC"/>
    <w:multiLevelType w:val="hybridMultilevel"/>
    <w:tmpl w:val="6F7661A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1558787E"/>
    <w:multiLevelType w:val="hybridMultilevel"/>
    <w:tmpl w:val="C1AC60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15A80D2C"/>
    <w:multiLevelType w:val="hybridMultilevel"/>
    <w:tmpl w:val="E1A284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165867DF"/>
    <w:multiLevelType w:val="hybridMultilevel"/>
    <w:tmpl w:val="4350A95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167415CC"/>
    <w:multiLevelType w:val="hybridMultilevel"/>
    <w:tmpl w:val="06427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16BA1060"/>
    <w:multiLevelType w:val="hybridMultilevel"/>
    <w:tmpl w:val="E3365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16D51A9B"/>
    <w:multiLevelType w:val="hybridMultilevel"/>
    <w:tmpl w:val="8EB2E4BC"/>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16E03B8E"/>
    <w:multiLevelType w:val="hybridMultilevel"/>
    <w:tmpl w:val="3BE07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171E11DC"/>
    <w:multiLevelType w:val="hybridMultilevel"/>
    <w:tmpl w:val="465C9FDA"/>
    <w:lvl w:ilvl="0" w:tplc="0194DC3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17887138"/>
    <w:multiLevelType w:val="hybridMultilevel"/>
    <w:tmpl w:val="F9F24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17902F0A"/>
    <w:multiLevelType w:val="hybridMultilevel"/>
    <w:tmpl w:val="AE5C9CAA"/>
    <w:lvl w:ilvl="0" w:tplc="CEF64DD6">
      <w:start w:val="1"/>
      <w:numFmt w:val="decimal"/>
      <w:pStyle w:val="Table123"/>
      <w:lvlText w:val="(%1)"/>
      <w:lvlJc w:val="left"/>
      <w:pPr>
        <w:ind w:left="360" w:hanging="360"/>
      </w:pPr>
      <w:rPr>
        <w:rFonts w:hint="default"/>
        <w:sz w:val="14"/>
        <w:szCs w:val="1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17931503"/>
    <w:multiLevelType w:val="hybridMultilevel"/>
    <w:tmpl w:val="7EB42EB0"/>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17AE27D7"/>
    <w:multiLevelType w:val="hybridMultilevel"/>
    <w:tmpl w:val="CD549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17D1684E"/>
    <w:multiLevelType w:val="hybridMultilevel"/>
    <w:tmpl w:val="5E847FD2"/>
    <w:lvl w:ilvl="0" w:tplc="AA7E487E">
      <w:start w:val="1"/>
      <w:numFmt w:val="lowerLetter"/>
      <w:lvlText w:val="(%1)"/>
      <w:lvlJc w:val="left"/>
      <w:pPr>
        <w:ind w:left="376" w:hanging="360"/>
      </w:pPr>
      <w:rPr>
        <w:rFonts w:hint="default"/>
      </w:rPr>
    </w:lvl>
    <w:lvl w:ilvl="1" w:tplc="9318A8C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17F019B1"/>
    <w:multiLevelType w:val="hybridMultilevel"/>
    <w:tmpl w:val="A154B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1812201A"/>
    <w:multiLevelType w:val="hybridMultilevel"/>
    <w:tmpl w:val="D9180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186F1471"/>
    <w:multiLevelType w:val="hybridMultilevel"/>
    <w:tmpl w:val="CBEA7ED6"/>
    <w:lvl w:ilvl="0" w:tplc="1EA044AE">
      <w:start w:val="1"/>
      <w:numFmt w:val="decimal"/>
      <w:pStyle w:val="Table123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18912E33"/>
    <w:multiLevelType w:val="hybridMultilevel"/>
    <w:tmpl w:val="333C0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18AD6073"/>
    <w:multiLevelType w:val="hybridMultilevel"/>
    <w:tmpl w:val="90AECD0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18C45475"/>
    <w:multiLevelType w:val="hybridMultilevel"/>
    <w:tmpl w:val="9A8A2F1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18DC6CB0"/>
    <w:multiLevelType w:val="hybridMultilevel"/>
    <w:tmpl w:val="0E9A8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191C7D0D"/>
    <w:multiLevelType w:val="hybridMultilevel"/>
    <w:tmpl w:val="1C787A18"/>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193C59E3"/>
    <w:multiLevelType w:val="hybridMultilevel"/>
    <w:tmpl w:val="0F42AD70"/>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19620871"/>
    <w:multiLevelType w:val="hybridMultilevel"/>
    <w:tmpl w:val="4926CD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197B3B75"/>
    <w:multiLevelType w:val="hybridMultilevel"/>
    <w:tmpl w:val="4926C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15:restartNumberingAfterBreak="0">
    <w:nsid w:val="199472A5"/>
    <w:multiLevelType w:val="hybridMultilevel"/>
    <w:tmpl w:val="FEF0C62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19A33917"/>
    <w:multiLevelType w:val="hybridMultilevel"/>
    <w:tmpl w:val="4B8EF67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19EE6AB4"/>
    <w:multiLevelType w:val="hybridMultilevel"/>
    <w:tmpl w:val="5A7E2346"/>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1A3B0233"/>
    <w:multiLevelType w:val="hybridMultilevel"/>
    <w:tmpl w:val="99363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1A474A9B"/>
    <w:multiLevelType w:val="hybridMultilevel"/>
    <w:tmpl w:val="A88A2B20"/>
    <w:lvl w:ilvl="0" w:tplc="0C090001">
      <w:start w:val="1"/>
      <w:numFmt w:val="bullet"/>
      <w:lvlText w:val=""/>
      <w:lvlJc w:val="left"/>
      <w:pPr>
        <w:ind w:left="360" w:hanging="360"/>
      </w:pPr>
      <w:rPr>
        <w:rFonts w:ascii="Symbol" w:hAnsi="Symbol" w:hint="default"/>
      </w:rPr>
    </w:lvl>
    <w:lvl w:ilvl="1" w:tplc="E59C3EC0">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1A515D20"/>
    <w:multiLevelType w:val="hybridMultilevel"/>
    <w:tmpl w:val="1B12F4D6"/>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1ADD557C"/>
    <w:multiLevelType w:val="hybridMultilevel"/>
    <w:tmpl w:val="71DEAA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B6810FC"/>
    <w:multiLevelType w:val="hybridMultilevel"/>
    <w:tmpl w:val="8DE06CA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1B791F9D"/>
    <w:multiLevelType w:val="hybridMultilevel"/>
    <w:tmpl w:val="164A54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1BB34B45"/>
    <w:multiLevelType w:val="hybridMultilevel"/>
    <w:tmpl w:val="1E6A0C08"/>
    <w:lvl w:ilvl="0" w:tplc="0C09000F">
      <w:start w:val="1"/>
      <w:numFmt w:val="decimal"/>
      <w:lvlText w:val="%1."/>
      <w:lvlJc w:val="left"/>
      <w:pPr>
        <w:ind w:left="376" w:hanging="360"/>
      </w:pPr>
    </w:lvl>
    <w:lvl w:ilvl="1" w:tplc="0C090019" w:tentative="1">
      <w:start w:val="1"/>
      <w:numFmt w:val="lowerLetter"/>
      <w:lvlText w:val="%2."/>
      <w:lvlJc w:val="left"/>
      <w:pPr>
        <w:ind w:left="1096" w:hanging="360"/>
      </w:pPr>
    </w:lvl>
    <w:lvl w:ilvl="2" w:tplc="0C09001B" w:tentative="1">
      <w:start w:val="1"/>
      <w:numFmt w:val="lowerRoman"/>
      <w:lvlText w:val="%3."/>
      <w:lvlJc w:val="right"/>
      <w:pPr>
        <w:ind w:left="1816" w:hanging="180"/>
      </w:pPr>
    </w:lvl>
    <w:lvl w:ilvl="3" w:tplc="0C09000F" w:tentative="1">
      <w:start w:val="1"/>
      <w:numFmt w:val="decimal"/>
      <w:lvlText w:val="%4."/>
      <w:lvlJc w:val="left"/>
      <w:pPr>
        <w:ind w:left="2536" w:hanging="360"/>
      </w:pPr>
    </w:lvl>
    <w:lvl w:ilvl="4" w:tplc="0C090019" w:tentative="1">
      <w:start w:val="1"/>
      <w:numFmt w:val="lowerLetter"/>
      <w:lvlText w:val="%5."/>
      <w:lvlJc w:val="left"/>
      <w:pPr>
        <w:ind w:left="3256" w:hanging="360"/>
      </w:pPr>
    </w:lvl>
    <w:lvl w:ilvl="5" w:tplc="0C09001B" w:tentative="1">
      <w:start w:val="1"/>
      <w:numFmt w:val="lowerRoman"/>
      <w:lvlText w:val="%6."/>
      <w:lvlJc w:val="right"/>
      <w:pPr>
        <w:ind w:left="3976" w:hanging="180"/>
      </w:pPr>
    </w:lvl>
    <w:lvl w:ilvl="6" w:tplc="0C09000F" w:tentative="1">
      <w:start w:val="1"/>
      <w:numFmt w:val="decimal"/>
      <w:lvlText w:val="%7."/>
      <w:lvlJc w:val="left"/>
      <w:pPr>
        <w:ind w:left="4696" w:hanging="360"/>
      </w:pPr>
    </w:lvl>
    <w:lvl w:ilvl="7" w:tplc="0C090019" w:tentative="1">
      <w:start w:val="1"/>
      <w:numFmt w:val="lowerLetter"/>
      <w:lvlText w:val="%8."/>
      <w:lvlJc w:val="left"/>
      <w:pPr>
        <w:ind w:left="5416" w:hanging="360"/>
      </w:pPr>
    </w:lvl>
    <w:lvl w:ilvl="8" w:tplc="0C09001B" w:tentative="1">
      <w:start w:val="1"/>
      <w:numFmt w:val="lowerRoman"/>
      <w:lvlText w:val="%9."/>
      <w:lvlJc w:val="right"/>
      <w:pPr>
        <w:ind w:left="6136" w:hanging="180"/>
      </w:pPr>
    </w:lvl>
  </w:abstractNum>
  <w:abstractNum w:abstractNumId="129" w15:restartNumberingAfterBreak="0">
    <w:nsid w:val="1C4C4362"/>
    <w:multiLevelType w:val="hybridMultilevel"/>
    <w:tmpl w:val="90F20D02"/>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1C4D7662"/>
    <w:multiLevelType w:val="hybridMultilevel"/>
    <w:tmpl w:val="1B6A3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1C870F2B"/>
    <w:multiLevelType w:val="hybridMultilevel"/>
    <w:tmpl w:val="5DF640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1D503DEB"/>
    <w:multiLevelType w:val="hybridMultilevel"/>
    <w:tmpl w:val="A372E37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1D93409C"/>
    <w:multiLevelType w:val="hybridMultilevel"/>
    <w:tmpl w:val="BA0CCC4A"/>
    <w:lvl w:ilvl="0" w:tplc="B1F0F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206693"/>
    <w:multiLevelType w:val="hybridMultilevel"/>
    <w:tmpl w:val="95FEAE48"/>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1E3F7C2F"/>
    <w:multiLevelType w:val="hybridMultilevel"/>
    <w:tmpl w:val="1326EDCA"/>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1E462471"/>
    <w:multiLevelType w:val="hybridMultilevel"/>
    <w:tmpl w:val="254E7594"/>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7" w15:restartNumberingAfterBreak="0">
    <w:nsid w:val="1E6A743D"/>
    <w:multiLevelType w:val="hybridMultilevel"/>
    <w:tmpl w:val="3B885190"/>
    <w:lvl w:ilvl="0" w:tplc="92ECFAE2">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1E752304"/>
    <w:multiLevelType w:val="hybridMultilevel"/>
    <w:tmpl w:val="D25CB0DE"/>
    <w:lvl w:ilvl="0" w:tplc="9FD080F4">
      <w:start w:val="1"/>
      <w:numFmt w:val="lowerRoman"/>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1EA83F48"/>
    <w:multiLevelType w:val="hybridMultilevel"/>
    <w:tmpl w:val="7E527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1F2C21A4"/>
    <w:multiLevelType w:val="hybridMultilevel"/>
    <w:tmpl w:val="67C42B32"/>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1FBA6D02"/>
    <w:multiLevelType w:val="hybridMultilevel"/>
    <w:tmpl w:val="939C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200C2D25"/>
    <w:multiLevelType w:val="hybridMultilevel"/>
    <w:tmpl w:val="660419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15:restartNumberingAfterBreak="0">
    <w:nsid w:val="201A4395"/>
    <w:multiLevelType w:val="hybridMultilevel"/>
    <w:tmpl w:val="83FCE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204E7DE5"/>
    <w:multiLevelType w:val="hybridMultilevel"/>
    <w:tmpl w:val="0B8C7CB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15:restartNumberingAfterBreak="0">
    <w:nsid w:val="20DE13BA"/>
    <w:multiLevelType w:val="hybridMultilevel"/>
    <w:tmpl w:val="6E66C18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15:restartNumberingAfterBreak="0">
    <w:nsid w:val="21B7137A"/>
    <w:multiLevelType w:val="hybridMultilevel"/>
    <w:tmpl w:val="6F1A9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21DA5C9A"/>
    <w:multiLevelType w:val="hybridMultilevel"/>
    <w:tmpl w:val="B2AAC2F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8" w15:restartNumberingAfterBreak="0">
    <w:nsid w:val="21E80153"/>
    <w:multiLevelType w:val="hybridMultilevel"/>
    <w:tmpl w:val="4E349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222E6438"/>
    <w:multiLevelType w:val="hybridMultilevel"/>
    <w:tmpl w:val="1646D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223C0739"/>
    <w:multiLevelType w:val="hybridMultilevel"/>
    <w:tmpl w:val="A9965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22431328"/>
    <w:multiLevelType w:val="hybridMultilevel"/>
    <w:tmpl w:val="3CEA6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225C5AE6"/>
    <w:multiLevelType w:val="hybridMultilevel"/>
    <w:tmpl w:val="2AAE9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22682021"/>
    <w:multiLevelType w:val="hybridMultilevel"/>
    <w:tmpl w:val="EA1828C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4" w15:restartNumberingAfterBreak="0">
    <w:nsid w:val="227055AA"/>
    <w:multiLevelType w:val="hybridMultilevel"/>
    <w:tmpl w:val="31420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22BA7732"/>
    <w:multiLevelType w:val="hybridMultilevel"/>
    <w:tmpl w:val="89C4C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22DD3FB8"/>
    <w:multiLevelType w:val="hybridMultilevel"/>
    <w:tmpl w:val="E6C261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7" w15:restartNumberingAfterBreak="0">
    <w:nsid w:val="238134DC"/>
    <w:multiLevelType w:val="hybridMultilevel"/>
    <w:tmpl w:val="287C831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8" w15:restartNumberingAfterBreak="0">
    <w:nsid w:val="23CD1BB1"/>
    <w:multiLevelType w:val="hybridMultilevel"/>
    <w:tmpl w:val="287C7C8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9" w15:restartNumberingAfterBreak="0">
    <w:nsid w:val="23D4401E"/>
    <w:multiLevelType w:val="hybridMultilevel"/>
    <w:tmpl w:val="EA22CFA4"/>
    <w:lvl w:ilvl="0" w:tplc="0C090017">
      <w:start w:val="1"/>
      <w:numFmt w:val="lowerLetter"/>
      <w:pStyle w:val="newlgetablebulle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0" w15:restartNumberingAfterBreak="0">
    <w:nsid w:val="246B54E4"/>
    <w:multiLevelType w:val="hybridMultilevel"/>
    <w:tmpl w:val="FEE0605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24B86EB1"/>
    <w:multiLevelType w:val="hybridMultilevel"/>
    <w:tmpl w:val="834A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2530655F"/>
    <w:multiLevelType w:val="hybridMultilevel"/>
    <w:tmpl w:val="305A5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253402D3"/>
    <w:multiLevelType w:val="hybridMultilevel"/>
    <w:tmpl w:val="121C112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25AD048B"/>
    <w:multiLevelType w:val="hybridMultilevel"/>
    <w:tmpl w:val="D51E9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25C773AE"/>
    <w:multiLevelType w:val="hybridMultilevel"/>
    <w:tmpl w:val="26608B8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7" w15:restartNumberingAfterBreak="0">
    <w:nsid w:val="25FF6BB5"/>
    <w:multiLevelType w:val="hybridMultilevel"/>
    <w:tmpl w:val="540A7934"/>
    <w:lvl w:ilvl="0" w:tplc="064A7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261063A8"/>
    <w:multiLevelType w:val="hybridMultilevel"/>
    <w:tmpl w:val="DF903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265F36BB"/>
    <w:multiLevelType w:val="hybridMultilevel"/>
    <w:tmpl w:val="FAF63C32"/>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268A311A"/>
    <w:multiLevelType w:val="hybridMultilevel"/>
    <w:tmpl w:val="994A5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269606C3"/>
    <w:multiLevelType w:val="hybridMultilevel"/>
    <w:tmpl w:val="1346A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269E2719"/>
    <w:multiLevelType w:val="hybridMultilevel"/>
    <w:tmpl w:val="6DA6D23A"/>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26A00F0E"/>
    <w:multiLevelType w:val="hybridMultilevel"/>
    <w:tmpl w:val="B17C632E"/>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26DB511C"/>
    <w:multiLevelType w:val="hybridMultilevel"/>
    <w:tmpl w:val="D844477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5" w15:restartNumberingAfterBreak="0">
    <w:nsid w:val="27116B74"/>
    <w:multiLevelType w:val="hybridMultilevel"/>
    <w:tmpl w:val="D3C6CB0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6" w15:restartNumberingAfterBreak="0">
    <w:nsid w:val="27174A4A"/>
    <w:multiLevelType w:val="hybridMultilevel"/>
    <w:tmpl w:val="9856B15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2730278E"/>
    <w:multiLevelType w:val="hybridMultilevel"/>
    <w:tmpl w:val="DC44C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27465AF4"/>
    <w:multiLevelType w:val="hybridMultilevel"/>
    <w:tmpl w:val="9F24B89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9" w15:restartNumberingAfterBreak="0">
    <w:nsid w:val="2761707A"/>
    <w:multiLevelType w:val="hybridMultilevel"/>
    <w:tmpl w:val="21FC3CA2"/>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276467E1"/>
    <w:multiLevelType w:val="hybridMultilevel"/>
    <w:tmpl w:val="467A4C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15:restartNumberingAfterBreak="0">
    <w:nsid w:val="278F58AA"/>
    <w:multiLevelType w:val="hybridMultilevel"/>
    <w:tmpl w:val="6ACC925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27B1638B"/>
    <w:multiLevelType w:val="hybridMultilevel"/>
    <w:tmpl w:val="CB143A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27B75AD4"/>
    <w:multiLevelType w:val="hybridMultilevel"/>
    <w:tmpl w:val="91F4A59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27BB670D"/>
    <w:multiLevelType w:val="hybridMultilevel"/>
    <w:tmpl w:val="C45C7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28144F9C"/>
    <w:multiLevelType w:val="hybridMultilevel"/>
    <w:tmpl w:val="528C2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281972C1"/>
    <w:multiLevelType w:val="hybridMultilevel"/>
    <w:tmpl w:val="09F8B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28A758CB"/>
    <w:multiLevelType w:val="hybridMultilevel"/>
    <w:tmpl w:val="F5AA09CE"/>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8" w15:restartNumberingAfterBreak="0">
    <w:nsid w:val="29490735"/>
    <w:multiLevelType w:val="hybridMultilevel"/>
    <w:tmpl w:val="13621EFE"/>
    <w:lvl w:ilvl="0" w:tplc="BA8C29E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29BD7A2E"/>
    <w:multiLevelType w:val="hybridMultilevel"/>
    <w:tmpl w:val="16B6CDB2"/>
    <w:lvl w:ilvl="0" w:tplc="0C090017">
      <w:start w:val="1"/>
      <w:numFmt w:val="lowerLetter"/>
      <w:lvlText w:val="%1)"/>
      <w:lvlJc w:val="left"/>
      <w:pPr>
        <w:ind w:left="360" w:hanging="360"/>
      </w:pPr>
      <w:rPr>
        <w:rFonts w:hint="default"/>
      </w:rPr>
    </w:lvl>
    <w:lvl w:ilvl="1" w:tplc="1B32B2DA">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0" w15:restartNumberingAfterBreak="0">
    <w:nsid w:val="29E20B25"/>
    <w:multiLevelType w:val="hybridMultilevel"/>
    <w:tmpl w:val="DB0E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2A02569F"/>
    <w:multiLevelType w:val="hybridMultilevel"/>
    <w:tmpl w:val="E41477DC"/>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2" w15:restartNumberingAfterBreak="0">
    <w:nsid w:val="2A10541F"/>
    <w:multiLevelType w:val="hybridMultilevel"/>
    <w:tmpl w:val="8AFC5338"/>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2A192FEE"/>
    <w:multiLevelType w:val="hybridMultilevel"/>
    <w:tmpl w:val="DF1E1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2A617320"/>
    <w:multiLevelType w:val="hybridMultilevel"/>
    <w:tmpl w:val="7340E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2A750D93"/>
    <w:multiLevelType w:val="hybridMultilevel"/>
    <w:tmpl w:val="F376B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2A98339F"/>
    <w:multiLevelType w:val="hybridMultilevel"/>
    <w:tmpl w:val="D20A6BE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7" w15:restartNumberingAfterBreak="0">
    <w:nsid w:val="2AA3592B"/>
    <w:multiLevelType w:val="hybridMultilevel"/>
    <w:tmpl w:val="A2226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2ACB6B10"/>
    <w:multiLevelType w:val="hybridMultilevel"/>
    <w:tmpl w:val="225EB3B8"/>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2AE41D47"/>
    <w:multiLevelType w:val="hybridMultilevel"/>
    <w:tmpl w:val="F7AC1758"/>
    <w:lvl w:ilvl="0" w:tplc="0B063244">
      <w:start w:val="1"/>
      <w:numFmt w:val="bullet"/>
      <w:pStyle w:val="Table-dashpoints"/>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0" w15:restartNumberingAfterBreak="0">
    <w:nsid w:val="2AE6761B"/>
    <w:multiLevelType w:val="hybridMultilevel"/>
    <w:tmpl w:val="1FB8605C"/>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1" w15:restartNumberingAfterBreak="0">
    <w:nsid w:val="2B9A6F9D"/>
    <w:multiLevelType w:val="hybridMultilevel"/>
    <w:tmpl w:val="593E1CA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2" w15:restartNumberingAfterBreak="0">
    <w:nsid w:val="2BA5229F"/>
    <w:multiLevelType w:val="hybridMultilevel"/>
    <w:tmpl w:val="B672DA3C"/>
    <w:lvl w:ilvl="0" w:tplc="EE7EE488">
      <w:start w:val="1"/>
      <w:numFmt w:val="bullet"/>
      <w:pStyle w:val="Bulletnorma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2BE7764F"/>
    <w:multiLevelType w:val="hybridMultilevel"/>
    <w:tmpl w:val="15861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2BFA4BE3"/>
    <w:multiLevelType w:val="hybridMultilevel"/>
    <w:tmpl w:val="FBBAC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2C4C2609"/>
    <w:multiLevelType w:val="hybridMultilevel"/>
    <w:tmpl w:val="CE8E9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2CBB4FEC"/>
    <w:multiLevelType w:val="hybridMultilevel"/>
    <w:tmpl w:val="7EE23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2CF607DF"/>
    <w:multiLevelType w:val="hybridMultilevel"/>
    <w:tmpl w:val="30242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2D2052E5"/>
    <w:multiLevelType w:val="hybridMultilevel"/>
    <w:tmpl w:val="67BCF70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9" w15:restartNumberingAfterBreak="0">
    <w:nsid w:val="2D2F2B13"/>
    <w:multiLevelType w:val="hybridMultilevel"/>
    <w:tmpl w:val="4142E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2D572846"/>
    <w:multiLevelType w:val="hybridMultilevel"/>
    <w:tmpl w:val="4B209B9A"/>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1" w15:restartNumberingAfterBreak="0">
    <w:nsid w:val="2DD746E9"/>
    <w:multiLevelType w:val="hybridMultilevel"/>
    <w:tmpl w:val="FEBC35BA"/>
    <w:lvl w:ilvl="0" w:tplc="78C6C5A8">
      <w:start w:val="1"/>
      <w:numFmt w:val="lowerLetter"/>
      <w:pStyle w:val="Tableabc"/>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2" w15:restartNumberingAfterBreak="0">
    <w:nsid w:val="2DD756CD"/>
    <w:multiLevelType w:val="hybridMultilevel"/>
    <w:tmpl w:val="7EAE5156"/>
    <w:lvl w:ilvl="0" w:tplc="A39291A8">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2E3B3DDF"/>
    <w:multiLevelType w:val="hybridMultilevel"/>
    <w:tmpl w:val="81308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4" w15:restartNumberingAfterBreak="0">
    <w:nsid w:val="2E53630F"/>
    <w:multiLevelType w:val="hybridMultilevel"/>
    <w:tmpl w:val="DEE4825E"/>
    <w:lvl w:ilvl="0" w:tplc="356C028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2ECB547A"/>
    <w:multiLevelType w:val="multilevel"/>
    <w:tmpl w:val="40D0D2B4"/>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720"/>
        </w:tabs>
        <w:ind w:left="720" w:hanging="720"/>
      </w:pPr>
      <w:rPr>
        <w:rFonts w:ascii="Arial" w:hAnsi="Arial" w:hint="default"/>
        <w:b w:val="0"/>
        <w:i w:val="0"/>
        <w:sz w:val="22"/>
        <w:szCs w:val="22"/>
      </w:rPr>
    </w:lvl>
    <w:lvl w:ilvl="2">
      <w:start w:val="1"/>
      <w:numFmt w:val="decimal"/>
      <w:lvlText w:val="%1.%2.%3"/>
      <w:lvlJc w:val="left"/>
      <w:pPr>
        <w:tabs>
          <w:tab w:val="num" w:pos="1440"/>
        </w:tabs>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288"/>
        </w:tabs>
        <w:ind w:left="1288"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2i"/>
      <w:lvlText w:val="(%5)"/>
      <w:lvlJc w:val="left"/>
      <w:pPr>
        <w:tabs>
          <w:tab w:val="num" w:pos="4406"/>
        </w:tabs>
        <w:ind w:left="4406" w:hanging="72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lvlText w:val="(%6)"/>
      <w:lvlJc w:val="left"/>
      <w:pPr>
        <w:tabs>
          <w:tab w:val="num" w:pos="3600"/>
        </w:tabs>
        <w:ind w:left="3600" w:hanging="720"/>
      </w:pPr>
      <w:rPr>
        <w:rFonts w:hint="default"/>
      </w:rPr>
    </w:lvl>
    <w:lvl w:ilvl="6">
      <w:start w:val="1"/>
      <w:numFmt w:val="decimal"/>
      <w:lvlText w:val="(%7)"/>
      <w:lvlJc w:val="left"/>
      <w:pPr>
        <w:tabs>
          <w:tab w:val="num" w:pos="4320"/>
        </w:tabs>
        <w:ind w:left="4321" w:hanging="721"/>
      </w:pPr>
      <w:rPr>
        <w:rFonts w:ascii="Arial" w:hAnsi="Arial" w:hint="default"/>
        <w:b w:val="0"/>
        <w:i w:val="0"/>
        <w:sz w:val="22"/>
        <w:szCs w:val="22"/>
      </w:rPr>
    </w:lvl>
    <w:lvl w:ilvl="7">
      <w:start w:val="1"/>
      <w:numFmt w:val="lowerLetter"/>
      <w:lvlText w:val="%8."/>
      <w:lvlJc w:val="left"/>
      <w:pPr>
        <w:tabs>
          <w:tab w:val="num" w:pos="5040"/>
        </w:tabs>
        <w:ind w:left="5041" w:hanging="720"/>
      </w:pPr>
      <w:rPr>
        <w:rFonts w:hint="default"/>
      </w:rPr>
    </w:lvl>
    <w:lvl w:ilvl="8">
      <w:start w:val="1"/>
      <w:numFmt w:val="decimal"/>
      <w:lvlText w:val="%1.%2.%3.%4.%5.%6.%7.%8.%9."/>
      <w:lvlJc w:val="left"/>
      <w:pPr>
        <w:tabs>
          <w:tab w:val="num" w:pos="5760"/>
        </w:tabs>
        <w:ind w:left="4320" w:hanging="1440"/>
      </w:pPr>
      <w:rPr>
        <w:rFonts w:hint="default"/>
      </w:rPr>
    </w:lvl>
  </w:abstractNum>
  <w:abstractNum w:abstractNumId="216" w15:restartNumberingAfterBreak="0">
    <w:nsid w:val="2EFB0DFF"/>
    <w:multiLevelType w:val="hybridMultilevel"/>
    <w:tmpl w:val="4DEA6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2F4B01BA"/>
    <w:multiLevelType w:val="hybridMultilevel"/>
    <w:tmpl w:val="9ED00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2F545417"/>
    <w:multiLevelType w:val="hybridMultilevel"/>
    <w:tmpl w:val="E2241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2FA923EB"/>
    <w:multiLevelType w:val="hybridMultilevel"/>
    <w:tmpl w:val="358EED8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1" w15:restartNumberingAfterBreak="0">
    <w:nsid w:val="2FE355C9"/>
    <w:multiLevelType w:val="hybridMultilevel"/>
    <w:tmpl w:val="759A036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2" w15:restartNumberingAfterBreak="0">
    <w:nsid w:val="2FED62B9"/>
    <w:multiLevelType w:val="hybridMultilevel"/>
    <w:tmpl w:val="18A85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2FF639B6"/>
    <w:multiLevelType w:val="hybridMultilevel"/>
    <w:tmpl w:val="DB8E594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4" w15:restartNumberingAfterBreak="0">
    <w:nsid w:val="3009097F"/>
    <w:multiLevelType w:val="hybridMultilevel"/>
    <w:tmpl w:val="08F28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5" w15:restartNumberingAfterBreak="0">
    <w:nsid w:val="30515722"/>
    <w:multiLevelType w:val="hybridMultilevel"/>
    <w:tmpl w:val="A816F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6" w15:restartNumberingAfterBreak="0">
    <w:nsid w:val="307409D1"/>
    <w:multiLevelType w:val="hybridMultilevel"/>
    <w:tmpl w:val="8910C032"/>
    <w:lvl w:ilvl="0" w:tplc="EC24AF18">
      <w:start w:val="1"/>
      <w:numFmt w:val="lowerRoman"/>
      <w:lvlText w:val="(%1)"/>
      <w:lvlJc w:val="left"/>
      <w:pPr>
        <w:ind w:left="360" w:hanging="360"/>
      </w:pPr>
      <w:rPr>
        <w:rFonts w:hint="default"/>
      </w:rPr>
    </w:lvl>
    <w:lvl w:ilvl="1" w:tplc="B4A83E1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7" w15:restartNumberingAfterBreak="0">
    <w:nsid w:val="3122344A"/>
    <w:multiLevelType w:val="hybridMultilevel"/>
    <w:tmpl w:val="8F2AB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8" w15:restartNumberingAfterBreak="0">
    <w:nsid w:val="318A4965"/>
    <w:multiLevelType w:val="hybridMultilevel"/>
    <w:tmpl w:val="D51071D4"/>
    <w:lvl w:ilvl="0" w:tplc="EC24AF1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9" w15:restartNumberingAfterBreak="0">
    <w:nsid w:val="319863C5"/>
    <w:multiLevelType w:val="hybridMultilevel"/>
    <w:tmpl w:val="B8504DA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0" w15:restartNumberingAfterBreak="0">
    <w:nsid w:val="31C04744"/>
    <w:multiLevelType w:val="hybridMultilevel"/>
    <w:tmpl w:val="5ED0C06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1" w15:restartNumberingAfterBreak="0">
    <w:nsid w:val="31E85677"/>
    <w:multiLevelType w:val="hybridMultilevel"/>
    <w:tmpl w:val="41DE6E2E"/>
    <w:lvl w:ilvl="0" w:tplc="0C090017">
      <w:start w:val="1"/>
      <w:numFmt w:val="lowerLetter"/>
      <w:lvlText w:val="%1)"/>
      <w:lvlJc w:val="left"/>
      <w:pPr>
        <w:ind w:left="360" w:hanging="360"/>
      </w:pPr>
    </w:lvl>
    <w:lvl w:ilvl="1" w:tplc="593234A8">
      <w:start w:val="1"/>
      <w:numFmt w:val="decimal"/>
      <w:lvlText w:val="%2."/>
      <w:lvlJc w:val="left"/>
      <w:pPr>
        <w:ind w:left="1080" w:hanging="360"/>
      </w:pPr>
      <w:rPr>
        <w:rFonts w:hint="default"/>
      </w:rPr>
    </w:lvl>
    <w:lvl w:ilvl="2" w:tplc="43625C76">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2" w15:restartNumberingAfterBreak="0">
    <w:nsid w:val="321C1FC0"/>
    <w:multiLevelType w:val="hybridMultilevel"/>
    <w:tmpl w:val="68DE846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3" w15:restartNumberingAfterBreak="0">
    <w:nsid w:val="326C1FA7"/>
    <w:multiLevelType w:val="hybridMultilevel"/>
    <w:tmpl w:val="4D88D732"/>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4" w15:restartNumberingAfterBreak="0">
    <w:nsid w:val="329A0A38"/>
    <w:multiLevelType w:val="hybridMultilevel"/>
    <w:tmpl w:val="8C24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32B9329D"/>
    <w:multiLevelType w:val="hybridMultilevel"/>
    <w:tmpl w:val="D90EA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6" w15:restartNumberingAfterBreak="0">
    <w:nsid w:val="32DA1B01"/>
    <w:multiLevelType w:val="hybridMultilevel"/>
    <w:tmpl w:val="818C3A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7" w15:restartNumberingAfterBreak="0">
    <w:nsid w:val="330C21CB"/>
    <w:multiLevelType w:val="hybridMultilevel"/>
    <w:tmpl w:val="3CD4F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8" w15:restartNumberingAfterBreak="0">
    <w:nsid w:val="33283792"/>
    <w:multiLevelType w:val="hybridMultilevel"/>
    <w:tmpl w:val="C3FAE9A6"/>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9" w15:restartNumberingAfterBreak="0">
    <w:nsid w:val="332B3013"/>
    <w:multiLevelType w:val="hybridMultilevel"/>
    <w:tmpl w:val="23A4D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0" w15:restartNumberingAfterBreak="0">
    <w:nsid w:val="338F26CE"/>
    <w:multiLevelType w:val="hybridMultilevel"/>
    <w:tmpl w:val="B2EED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1" w15:restartNumberingAfterBreak="0">
    <w:nsid w:val="339944BD"/>
    <w:multiLevelType w:val="hybridMultilevel"/>
    <w:tmpl w:val="89642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2" w15:restartNumberingAfterBreak="0">
    <w:nsid w:val="33F1637D"/>
    <w:multiLevelType w:val="hybridMultilevel"/>
    <w:tmpl w:val="E13A2C9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15:restartNumberingAfterBreak="0">
    <w:nsid w:val="344A35D8"/>
    <w:multiLevelType w:val="hybridMultilevel"/>
    <w:tmpl w:val="9FA8632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4" w15:restartNumberingAfterBreak="0">
    <w:nsid w:val="345303E2"/>
    <w:multiLevelType w:val="hybridMultilevel"/>
    <w:tmpl w:val="5E6A97C8"/>
    <w:lvl w:ilvl="0" w:tplc="730AA1DC">
      <w:start w:val="1"/>
      <w:numFmt w:val="decimal"/>
      <w:lvlText w:val="%1"/>
      <w:lvlJc w:val="left"/>
      <w:pPr>
        <w:ind w:left="720" w:hanging="360"/>
      </w:pPr>
      <w:rPr>
        <w:rFonts w:ascii="Arial" w:eastAsia="Calibri"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34710642"/>
    <w:multiLevelType w:val="hybridMultilevel"/>
    <w:tmpl w:val="7DC2EB76"/>
    <w:lvl w:ilvl="0" w:tplc="2FA079D6">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15:restartNumberingAfterBreak="0">
    <w:nsid w:val="34C0612D"/>
    <w:multiLevelType w:val="hybridMultilevel"/>
    <w:tmpl w:val="E3DC3526"/>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7" w15:restartNumberingAfterBreak="0">
    <w:nsid w:val="34ED2B0A"/>
    <w:multiLevelType w:val="hybridMultilevel"/>
    <w:tmpl w:val="52BEA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8" w15:restartNumberingAfterBreak="0">
    <w:nsid w:val="34FE2EA3"/>
    <w:multiLevelType w:val="hybridMultilevel"/>
    <w:tmpl w:val="2836091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9" w15:restartNumberingAfterBreak="0">
    <w:nsid w:val="3563597E"/>
    <w:multiLevelType w:val="hybridMultilevel"/>
    <w:tmpl w:val="608A23A0"/>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0" w15:restartNumberingAfterBreak="0">
    <w:nsid w:val="35B821F1"/>
    <w:multiLevelType w:val="hybridMultilevel"/>
    <w:tmpl w:val="6D1682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1" w15:restartNumberingAfterBreak="0">
    <w:nsid w:val="35F3568F"/>
    <w:multiLevelType w:val="hybridMultilevel"/>
    <w:tmpl w:val="459A9F6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2" w15:restartNumberingAfterBreak="0">
    <w:nsid w:val="36785763"/>
    <w:multiLevelType w:val="hybridMultilevel"/>
    <w:tmpl w:val="82A698F6"/>
    <w:lvl w:ilvl="0" w:tplc="36920A1E">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36C262DC"/>
    <w:multiLevelType w:val="hybridMultilevel"/>
    <w:tmpl w:val="D7625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4" w15:restartNumberingAfterBreak="0">
    <w:nsid w:val="37613D46"/>
    <w:multiLevelType w:val="hybridMultilevel"/>
    <w:tmpl w:val="93CA1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5" w15:restartNumberingAfterBreak="0">
    <w:nsid w:val="37852F33"/>
    <w:multiLevelType w:val="hybridMultilevel"/>
    <w:tmpl w:val="084A505E"/>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37B264B1"/>
    <w:multiLevelType w:val="hybridMultilevel"/>
    <w:tmpl w:val="3C54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37B439AF"/>
    <w:multiLevelType w:val="hybridMultilevel"/>
    <w:tmpl w:val="C25843EA"/>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8" w15:restartNumberingAfterBreak="0">
    <w:nsid w:val="38293358"/>
    <w:multiLevelType w:val="hybridMultilevel"/>
    <w:tmpl w:val="2C120AD4"/>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9" w15:restartNumberingAfterBreak="0">
    <w:nsid w:val="38487017"/>
    <w:multiLevelType w:val="hybridMultilevel"/>
    <w:tmpl w:val="B8BA4534"/>
    <w:lvl w:ilvl="0" w:tplc="D720A976">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0" w15:restartNumberingAfterBreak="0">
    <w:nsid w:val="38944ECB"/>
    <w:multiLevelType w:val="hybridMultilevel"/>
    <w:tmpl w:val="248A36E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1" w15:restartNumberingAfterBreak="0">
    <w:nsid w:val="38BD7062"/>
    <w:multiLevelType w:val="hybridMultilevel"/>
    <w:tmpl w:val="001EBC98"/>
    <w:lvl w:ilvl="0" w:tplc="EC24AF18">
      <w:start w:val="1"/>
      <w:numFmt w:val="lowerRoman"/>
      <w:lvlText w:val="(%1)"/>
      <w:lvlJc w:val="left"/>
      <w:pPr>
        <w:ind w:left="720" w:hanging="360"/>
      </w:pPr>
      <w:rPr>
        <w:rFonts w:hint="default"/>
      </w:rPr>
    </w:lvl>
    <w:lvl w:ilvl="1" w:tplc="EC24AF1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2" w15:restartNumberingAfterBreak="0">
    <w:nsid w:val="38DB5638"/>
    <w:multiLevelType w:val="hybridMultilevel"/>
    <w:tmpl w:val="8A78C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3" w15:restartNumberingAfterBreak="0">
    <w:nsid w:val="38E27908"/>
    <w:multiLevelType w:val="hybridMultilevel"/>
    <w:tmpl w:val="389C3B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4" w15:restartNumberingAfterBreak="0">
    <w:nsid w:val="398322D7"/>
    <w:multiLevelType w:val="hybridMultilevel"/>
    <w:tmpl w:val="92D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5" w15:restartNumberingAfterBreak="0">
    <w:nsid w:val="398978BC"/>
    <w:multiLevelType w:val="hybridMultilevel"/>
    <w:tmpl w:val="47921D38"/>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6" w15:restartNumberingAfterBreak="0">
    <w:nsid w:val="398C6AF0"/>
    <w:multiLevelType w:val="hybridMultilevel"/>
    <w:tmpl w:val="01E4E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7" w15:restartNumberingAfterBreak="0">
    <w:nsid w:val="39966F7D"/>
    <w:multiLevelType w:val="hybridMultilevel"/>
    <w:tmpl w:val="25826FE4"/>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8" w15:restartNumberingAfterBreak="0">
    <w:nsid w:val="39CE42F7"/>
    <w:multiLevelType w:val="multilevel"/>
    <w:tmpl w:val="D3DC2B1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9" w15:restartNumberingAfterBreak="0">
    <w:nsid w:val="3A187AA6"/>
    <w:multiLevelType w:val="hybridMultilevel"/>
    <w:tmpl w:val="EF3E9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0" w15:restartNumberingAfterBreak="0">
    <w:nsid w:val="3A8E179C"/>
    <w:multiLevelType w:val="hybridMultilevel"/>
    <w:tmpl w:val="76E00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1" w15:restartNumberingAfterBreak="0">
    <w:nsid w:val="3AA341B2"/>
    <w:multiLevelType w:val="hybridMultilevel"/>
    <w:tmpl w:val="18EA518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2" w15:restartNumberingAfterBreak="0">
    <w:nsid w:val="3AA457F5"/>
    <w:multiLevelType w:val="hybridMultilevel"/>
    <w:tmpl w:val="99606A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3" w15:restartNumberingAfterBreak="0">
    <w:nsid w:val="3AEC2783"/>
    <w:multiLevelType w:val="hybridMultilevel"/>
    <w:tmpl w:val="018808A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4" w15:restartNumberingAfterBreak="0">
    <w:nsid w:val="3B2B19C3"/>
    <w:multiLevelType w:val="hybridMultilevel"/>
    <w:tmpl w:val="3EC45CB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5" w15:restartNumberingAfterBreak="0">
    <w:nsid w:val="3B597F3F"/>
    <w:multiLevelType w:val="hybridMultilevel"/>
    <w:tmpl w:val="D8106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6" w15:restartNumberingAfterBreak="0">
    <w:nsid w:val="3C042756"/>
    <w:multiLevelType w:val="hybridMultilevel"/>
    <w:tmpl w:val="87368A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7" w15:restartNumberingAfterBreak="0">
    <w:nsid w:val="3C345319"/>
    <w:multiLevelType w:val="hybridMultilevel"/>
    <w:tmpl w:val="2FC877E2"/>
    <w:lvl w:ilvl="0" w:tplc="0C090017">
      <w:start w:val="1"/>
      <w:numFmt w:val="lowerLetter"/>
      <w:lvlText w:val="%1)"/>
      <w:lvlJc w:val="left"/>
      <w:pPr>
        <w:ind w:left="360" w:hanging="360"/>
      </w:pPr>
      <w:rPr>
        <w:rFonts w:hint="default"/>
      </w:rPr>
    </w:lvl>
    <w:lvl w:ilvl="1" w:tplc="1B32B2DA">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8" w15:restartNumberingAfterBreak="0">
    <w:nsid w:val="3C6E0338"/>
    <w:multiLevelType w:val="hybridMultilevel"/>
    <w:tmpl w:val="E1C4B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9" w15:restartNumberingAfterBreak="0">
    <w:nsid w:val="3C7D453E"/>
    <w:multiLevelType w:val="hybridMultilevel"/>
    <w:tmpl w:val="3E48DD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0" w15:restartNumberingAfterBreak="0">
    <w:nsid w:val="3CA07DF8"/>
    <w:multiLevelType w:val="hybridMultilevel"/>
    <w:tmpl w:val="630E7FBE"/>
    <w:lvl w:ilvl="0" w:tplc="EC24AF18">
      <w:start w:val="1"/>
      <w:numFmt w:val="lowerRoman"/>
      <w:lvlText w:val="(%1)"/>
      <w:lvlJc w:val="left"/>
      <w:pPr>
        <w:ind w:left="720" w:hanging="360"/>
      </w:pPr>
      <w:rPr>
        <w:rFonts w:hint="default"/>
      </w:rPr>
    </w:lvl>
    <w:lvl w:ilvl="1" w:tplc="EC24AF1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1" w15:restartNumberingAfterBreak="0">
    <w:nsid w:val="3CAF3310"/>
    <w:multiLevelType w:val="hybridMultilevel"/>
    <w:tmpl w:val="5648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2" w15:restartNumberingAfterBreak="0">
    <w:nsid w:val="3CC93D14"/>
    <w:multiLevelType w:val="hybridMultilevel"/>
    <w:tmpl w:val="CADCF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3" w15:restartNumberingAfterBreak="0">
    <w:nsid w:val="3CE54FF0"/>
    <w:multiLevelType w:val="hybridMultilevel"/>
    <w:tmpl w:val="C67E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4" w15:restartNumberingAfterBreak="0">
    <w:nsid w:val="3CF07516"/>
    <w:multiLevelType w:val="hybridMultilevel"/>
    <w:tmpl w:val="C930EDF4"/>
    <w:lvl w:ilvl="0" w:tplc="34CE12C8">
      <w:start w:val="1"/>
      <w:numFmt w:val="lowerRoman"/>
      <w:pStyle w:val="Tableiiiiii"/>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5" w15:restartNumberingAfterBreak="0">
    <w:nsid w:val="3D105A4F"/>
    <w:multiLevelType w:val="hybridMultilevel"/>
    <w:tmpl w:val="D8B2BEDC"/>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6" w15:restartNumberingAfterBreak="0">
    <w:nsid w:val="3D3A153C"/>
    <w:multiLevelType w:val="hybridMultilevel"/>
    <w:tmpl w:val="7EBA0F2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7" w15:restartNumberingAfterBreak="0">
    <w:nsid w:val="3D7D245D"/>
    <w:multiLevelType w:val="hybridMultilevel"/>
    <w:tmpl w:val="7A405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8" w15:restartNumberingAfterBreak="0">
    <w:nsid w:val="3E3403C5"/>
    <w:multiLevelType w:val="hybridMultilevel"/>
    <w:tmpl w:val="0B5081E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9" w15:restartNumberingAfterBreak="0">
    <w:nsid w:val="3E452CE1"/>
    <w:multiLevelType w:val="hybridMultilevel"/>
    <w:tmpl w:val="71F68D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0" w15:restartNumberingAfterBreak="0">
    <w:nsid w:val="3E7F590C"/>
    <w:multiLevelType w:val="hybridMultilevel"/>
    <w:tmpl w:val="E06E86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1" w15:restartNumberingAfterBreak="0">
    <w:nsid w:val="3E9801B8"/>
    <w:multiLevelType w:val="hybridMultilevel"/>
    <w:tmpl w:val="7CB47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2" w15:restartNumberingAfterBreak="0">
    <w:nsid w:val="3EFC145A"/>
    <w:multiLevelType w:val="hybridMultilevel"/>
    <w:tmpl w:val="C18248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3" w15:restartNumberingAfterBreak="0">
    <w:nsid w:val="3F101BF7"/>
    <w:multiLevelType w:val="hybridMultilevel"/>
    <w:tmpl w:val="5D3E7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4" w15:restartNumberingAfterBreak="0">
    <w:nsid w:val="3F1722CF"/>
    <w:multiLevelType w:val="hybridMultilevel"/>
    <w:tmpl w:val="A178E266"/>
    <w:lvl w:ilvl="0" w:tplc="6DACF716">
      <w:start w:val="1"/>
      <w:numFmt w:val="bullet"/>
      <w:pStyle w:val="Header"/>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5" w15:restartNumberingAfterBreak="0">
    <w:nsid w:val="3FC47FD1"/>
    <w:multiLevelType w:val="hybridMultilevel"/>
    <w:tmpl w:val="F4B8CCA8"/>
    <w:lvl w:ilvl="0" w:tplc="C3460064">
      <w:start w:val="1"/>
      <w:numFmt w:val="decimal"/>
      <w:pStyle w:val="NormalNumberedpara"/>
      <w:lvlText w:val="%1."/>
      <w:lvlJc w:val="left"/>
      <w:pPr>
        <w:ind w:left="720" w:hanging="360"/>
      </w:pPr>
      <w:rPr>
        <w:rFonts w:hint="default"/>
      </w:rPr>
    </w:lvl>
    <w:lvl w:ilvl="1" w:tplc="0C090019">
      <w:start w:val="1"/>
      <w:numFmt w:val="lowerLetter"/>
      <w:lvlText w:val="%2."/>
      <w:lvlJc w:val="left"/>
      <w:pPr>
        <w:ind w:left="627"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6" w15:restartNumberingAfterBreak="0">
    <w:nsid w:val="402B6DBB"/>
    <w:multiLevelType w:val="hybridMultilevel"/>
    <w:tmpl w:val="53764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7" w15:restartNumberingAfterBreak="0">
    <w:nsid w:val="40D3186B"/>
    <w:multiLevelType w:val="hybridMultilevel"/>
    <w:tmpl w:val="91B0B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8" w15:restartNumberingAfterBreak="0">
    <w:nsid w:val="41157180"/>
    <w:multiLevelType w:val="hybridMultilevel"/>
    <w:tmpl w:val="0BF29802"/>
    <w:lvl w:ilvl="0" w:tplc="6A3E4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9" w15:restartNumberingAfterBreak="0">
    <w:nsid w:val="413314F3"/>
    <w:multiLevelType w:val="hybridMultilevel"/>
    <w:tmpl w:val="CF2C4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0" w15:restartNumberingAfterBreak="0">
    <w:nsid w:val="414235A9"/>
    <w:multiLevelType w:val="hybridMultilevel"/>
    <w:tmpl w:val="B6EA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41454151"/>
    <w:multiLevelType w:val="hybridMultilevel"/>
    <w:tmpl w:val="9B2ED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2" w15:restartNumberingAfterBreak="0">
    <w:nsid w:val="418B316D"/>
    <w:multiLevelType w:val="hybridMultilevel"/>
    <w:tmpl w:val="560CA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3" w15:restartNumberingAfterBreak="0">
    <w:nsid w:val="41A80DD9"/>
    <w:multiLevelType w:val="hybridMultilevel"/>
    <w:tmpl w:val="1966C30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4" w15:restartNumberingAfterBreak="0">
    <w:nsid w:val="41BF0A5E"/>
    <w:multiLevelType w:val="hybridMultilevel"/>
    <w:tmpl w:val="1A56CF0E"/>
    <w:lvl w:ilvl="0" w:tplc="064A7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5" w15:restartNumberingAfterBreak="0">
    <w:nsid w:val="42050A25"/>
    <w:multiLevelType w:val="hybridMultilevel"/>
    <w:tmpl w:val="80E69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6" w15:restartNumberingAfterBreak="0">
    <w:nsid w:val="420A39A7"/>
    <w:multiLevelType w:val="hybridMultilevel"/>
    <w:tmpl w:val="1E14429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7" w15:restartNumberingAfterBreak="0">
    <w:nsid w:val="421B3ABA"/>
    <w:multiLevelType w:val="hybridMultilevel"/>
    <w:tmpl w:val="332C6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8" w15:restartNumberingAfterBreak="0">
    <w:nsid w:val="421C6A43"/>
    <w:multiLevelType w:val="hybridMultilevel"/>
    <w:tmpl w:val="3C8E7C4E"/>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9" w15:restartNumberingAfterBreak="0">
    <w:nsid w:val="42B56A17"/>
    <w:multiLevelType w:val="hybridMultilevel"/>
    <w:tmpl w:val="9A425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0" w15:restartNumberingAfterBreak="0">
    <w:nsid w:val="42BE3D3A"/>
    <w:multiLevelType w:val="hybridMultilevel"/>
    <w:tmpl w:val="6C522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1" w15:restartNumberingAfterBreak="0">
    <w:nsid w:val="43316F27"/>
    <w:multiLevelType w:val="hybridMultilevel"/>
    <w:tmpl w:val="463497B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2" w15:restartNumberingAfterBreak="0">
    <w:nsid w:val="44397DF9"/>
    <w:multiLevelType w:val="hybridMultilevel"/>
    <w:tmpl w:val="38C68A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3" w15:restartNumberingAfterBreak="0">
    <w:nsid w:val="444A19FC"/>
    <w:multiLevelType w:val="hybridMultilevel"/>
    <w:tmpl w:val="33F25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4" w15:restartNumberingAfterBreak="0">
    <w:nsid w:val="44C8024D"/>
    <w:multiLevelType w:val="hybridMultilevel"/>
    <w:tmpl w:val="6C0A5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5" w15:restartNumberingAfterBreak="0">
    <w:nsid w:val="453A7FE6"/>
    <w:multiLevelType w:val="hybridMultilevel"/>
    <w:tmpl w:val="23641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6" w15:restartNumberingAfterBreak="0">
    <w:nsid w:val="454C4636"/>
    <w:multiLevelType w:val="hybridMultilevel"/>
    <w:tmpl w:val="9762F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7" w15:restartNumberingAfterBreak="0">
    <w:nsid w:val="458076BC"/>
    <w:multiLevelType w:val="hybridMultilevel"/>
    <w:tmpl w:val="60AAC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8" w15:restartNumberingAfterBreak="0">
    <w:nsid w:val="45F33C9F"/>
    <w:multiLevelType w:val="hybridMultilevel"/>
    <w:tmpl w:val="3FB67CD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9" w15:restartNumberingAfterBreak="0">
    <w:nsid w:val="465744FC"/>
    <w:multiLevelType w:val="hybridMultilevel"/>
    <w:tmpl w:val="3BC0C03C"/>
    <w:lvl w:ilvl="0" w:tplc="ABFC6AB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0" w15:restartNumberingAfterBreak="0">
    <w:nsid w:val="46B25498"/>
    <w:multiLevelType w:val="hybridMultilevel"/>
    <w:tmpl w:val="CF28DBA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46C547E3"/>
    <w:multiLevelType w:val="hybridMultilevel"/>
    <w:tmpl w:val="1E7A8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2" w15:restartNumberingAfterBreak="0">
    <w:nsid w:val="46EB638B"/>
    <w:multiLevelType w:val="hybridMultilevel"/>
    <w:tmpl w:val="0D62C5A2"/>
    <w:lvl w:ilvl="0" w:tplc="86FE37E8">
      <w:start w:val="1"/>
      <w:numFmt w:val="lowerRoman"/>
      <w:pStyle w:val="Romannumeralsnumbering"/>
      <w:lvlText w:val="(%1)"/>
      <w:lvlJc w:val="right"/>
      <w:pPr>
        <w:tabs>
          <w:tab w:val="num" w:pos="1109"/>
        </w:tabs>
        <w:ind w:left="1109" w:hanging="180"/>
      </w:pPr>
      <w:rPr>
        <w:rFonts w:cs="Times New Roman" w:hint="default"/>
      </w:rPr>
    </w:lvl>
    <w:lvl w:ilvl="1" w:tplc="0C09000F">
      <w:start w:val="1"/>
      <w:numFmt w:val="decimal"/>
      <w:lvlText w:val="%2."/>
      <w:lvlJc w:val="left"/>
      <w:pPr>
        <w:tabs>
          <w:tab w:val="num" w:pos="2009"/>
        </w:tabs>
        <w:ind w:left="2009" w:hanging="360"/>
      </w:pPr>
      <w:rPr>
        <w:rFonts w:cs="Times New Roman" w:hint="default"/>
      </w:rPr>
    </w:lvl>
    <w:lvl w:ilvl="2" w:tplc="0C09001B">
      <w:start w:val="1"/>
      <w:numFmt w:val="lowerRoman"/>
      <w:lvlText w:val="%3."/>
      <w:lvlJc w:val="right"/>
      <w:pPr>
        <w:tabs>
          <w:tab w:val="num" w:pos="2729"/>
        </w:tabs>
        <w:ind w:left="2729" w:hanging="180"/>
      </w:pPr>
      <w:rPr>
        <w:rFonts w:cs="Times New Roman"/>
      </w:rPr>
    </w:lvl>
    <w:lvl w:ilvl="3" w:tplc="0C09000F">
      <w:start w:val="1"/>
      <w:numFmt w:val="decimal"/>
      <w:lvlText w:val="%4."/>
      <w:lvlJc w:val="left"/>
      <w:pPr>
        <w:tabs>
          <w:tab w:val="num" w:pos="3449"/>
        </w:tabs>
        <w:ind w:left="3449" w:hanging="360"/>
      </w:pPr>
      <w:rPr>
        <w:rFonts w:cs="Times New Roman"/>
      </w:rPr>
    </w:lvl>
    <w:lvl w:ilvl="4" w:tplc="0C090019">
      <w:start w:val="1"/>
      <w:numFmt w:val="lowerLetter"/>
      <w:lvlText w:val="%5."/>
      <w:lvlJc w:val="left"/>
      <w:pPr>
        <w:tabs>
          <w:tab w:val="num" w:pos="4169"/>
        </w:tabs>
        <w:ind w:left="4169" w:hanging="360"/>
      </w:pPr>
      <w:rPr>
        <w:rFonts w:cs="Times New Roman"/>
      </w:rPr>
    </w:lvl>
    <w:lvl w:ilvl="5" w:tplc="0C09001B">
      <w:start w:val="1"/>
      <w:numFmt w:val="lowerRoman"/>
      <w:lvlText w:val="%6."/>
      <w:lvlJc w:val="right"/>
      <w:pPr>
        <w:tabs>
          <w:tab w:val="num" w:pos="4889"/>
        </w:tabs>
        <w:ind w:left="4889" w:hanging="180"/>
      </w:pPr>
      <w:rPr>
        <w:rFonts w:cs="Times New Roman"/>
      </w:rPr>
    </w:lvl>
    <w:lvl w:ilvl="6" w:tplc="0C09000F">
      <w:start w:val="1"/>
      <w:numFmt w:val="decimal"/>
      <w:lvlText w:val="%7."/>
      <w:lvlJc w:val="left"/>
      <w:pPr>
        <w:tabs>
          <w:tab w:val="num" w:pos="5609"/>
        </w:tabs>
        <w:ind w:left="5609" w:hanging="360"/>
      </w:pPr>
      <w:rPr>
        <w:rFonts w:cs="Times New Roman"/>
      </w:rPr>
    </w:lvl>
    <w:lvl w:ilvl="7" w:tplc="0C090019">
      <w:start w:val="1"/>
      <w:numFmt w:val="lowerLetter"/>
      <w:lvlText w:val="%8."/>
      <w:lvlJc w:val="left"/>
      <w:pPr>
        <w:tabs>
          <w:tab w:val="num" w:pos="6329"/>
        </w:tabs>
        <w:ind w:left="6329" w:hanging="360"/>
      </w:pPr>
      <w:rPr>
        <w:rFonts w:cs="Times New Roman"/>
      </w:rPr>
    </w:lvl>
    <w:lvl w:ilvl="8" w:tplc="0C09001B">
      <w:start w:val="1"/>
      <w:numFmt w:val="lowerRoman"/>
      <w:lvlText w:val="%9."/>
      <w:lvlJc w:val="right"/>
      <w:pPr>
        <w:tabs>
          <w:tab w:val="num" w:pos="7049"/>
        </w:tabs>
        <w:ind w:left="7049" w:hanging="180"/>
      </w:pPr>
      <w:rPr>
        <w:rFonts w:cs="Times New Roman"/>
      </w:rPr>
    </w:lvl>
  </w:abstractNum>
  <w:abstractNum w:abstractNumId="323" w15:restartNumberingAfterBreak="0">
    <w:nsid w:val="47264061"/>
    <w:multiLevelType w:val="hybridMultilevel"/>
    <w:tmpl w:val="19982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4" w15:restartNumberingAfterBreak="0">
    <w:nsid w:val="474847ED"/>
    <w:multiLevelType w:val="hybridMultilevel"/>
    <w:tmpl w:val="A3242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5" w15:restartNumberingAfterBreak="0">
    <w:nsid w:val="47833893"/>
    <w:multiLevelType w:val="hybridMultilevel"/>
    <w:tmpl w:val="403A4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6" w15:restartNumberingAfterBreak="0">
    <w:nsid w:val="47AC4B59"/>
    <w:multiLevelType w:val="hybridMultilevel"/>
    <w:tmpl w:val="C114A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7" w15:restartNumberingAfterBreak="0">
    <w:nsid w:val="47B53E65"/>
    <w:multiLevelType w:val="hybridMultilevel"/>
    <w:tmpl w:val="DE8C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8" w15:restartNumberingAfterBreak="0">
    <w:nsid w:val="4859482E"/>
    <w:multiLevelType w:val="hybridMultilevel"/>
    <w:tmpl w:val="98C8B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9" w15:restartNumberingAfterBreak="0">
    <w:nsid w:val="48CB4A64"/>
    <w:multiLevelType w:val="hybridMultilevel"/>
    <w:tmpl w:val="8F82EA2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0" w15:restartNumberingAfterBreak="0">
    <w:nsid w:val="48D27692"/>
    <w:multiLevelType w:val="hybridMultilevel"/>
    <w:tmpl w:val="043CC95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1" w15:restartNumberingAfterBreak="0">
    <w:nsid w:val="48EF4A2F"/>
    <w:multiLevelType w:val="hybridMultilevel"/>
    <w:tmpl w:val="E4589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2" w15:restartNumberingAfterBreak="0">
    <w:nsid w:val="48FB7AEF"/>
    <w:multiLevelType w:val="hybridMultilevel"/>
    <w:tmpl w:val="7BDAB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3" w15:restartNumberingAfterBreak="0">
    <w:nsid w:val="490F1A8D"/>
    <w:multiLevelType w:val="hybridMultilevel"/>
    <w:tmpl w:val="A51485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4" w15:restartNumberingAfterBreak="0">
    <w:nsid w:val="491B5767"/>
    <w:multiLevelType w:val="hybridMultilevel"/>
    <w:tmpl w:val="7624DB04"/>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5" w15:restartNumberingAfterBreak="0">
    <w:nsid w:val="49237D64"/>
    <w:multiLevelType w:val="hybridMultilevel"/>
    <w:tmpl w:val="E9365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6" w15:restartNumberingAfterBreak="0">
    <w:nsid w:val="4929639F"/>
    <w:multiLevelType w:val="hybridMultilevel"/>
    <w:tmpl w:val="40D83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7" w15:restartNumberingAfterBreak="0">
    <w:nsid w:val="499C3490"/>
    <w:multiLevelType w:val="hybridMultilevel"/>
    <w:tmpl w:val="5C50E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8" w15:restartNumberingAfterBreak="0">
    <w:nsid w:val="4AC8126A"/>
    <w:multiLevelType w:val="hybridMultilevel"/>
    <w:tmpl w:val="00E4A08C"/>
    <w:lvl w:ilvl="0" w:tplc="4D7A9A18">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9" w15:restartNumberingAfterBreak="0">
    <w:nsid w:val="4B1D5177"/>
    <w:multiLevelType w:val="hybridMultilevel"/>
    <w:tmpl w:val="C61CD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0" w15:restartNumberingAfterBreak="0">
    <w:nsid w:val="4B3E4A05"/>
    <w:multiLevelType w:val="hybridMultilevel"/>
    <w:tmpl w:val="CE7E3A04"/>
    <w:lvl w:ilvl="0" w:tplc="0C090001">
      <w:start w:val="1"/>
      <w:numFmt w:val="bullet"/>
      <w:lvlText w:val=""/>
      <w:lvlJc w:val="left"/>
      <w:pPr>
        <w:ind w:left="360" w:hanging="360"/>
      </w:pPr>
      <w:rPr>
        <w:rFonts w:ascii="Symbol" w:hAnsi="Symbol" w:hint="default"/>
      </w:rPr>
    </w:lvl>
    <w:lvl w:ilvl="1" w:tplc="1B32B2DA">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1" w15:restartNumberingAfterBreak="0">
    <w:nsid w:val="4B8D2D73"/>
    <w:multiLevelType w:val="hybridMultilevel"/>
    <w:tmpl w:val="979820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2" w15:restartNumberingAfterBreak="0">
    <w:nsid w:val="4BA5459F"/>
    <w:multiLevelType w:val="hybridMultilevel"/>
    <w:tmpl w:val="C1B82302"/>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3" w15:restartNumberingAfterBreak="0">
    <w:nsid w:val="4BC768CD"/>
    <w:multiLevelType w:val="hybridMultilevel"/>
    <w:tmpl w:val="760E80E0"/>
    <w:lvl w:ilvl="0" w:tplc="9E2EC43A">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4" w15:restartNumberingAfterBreak="0">
    <w:nsid w:val="4BFE0123"/>
    <w:multiLevelType w:val="hybridMultilevel"/>
    <w:tmpl w:val="A62A3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5" w15:restartNumberingAfterBreak="0">
    <w:nsid w:val="4C2318F6"/>
    <w:multiLevelType w:val="hybridMultilevel"/>
    <w:tmpl w:val="B1D49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6" w15:restartNumberingAfterBreak="0">
    <w:nsid w:val="4C3E3AAE"/>
    <w:multiLevelType w:val="hybridMultilevel"/>
    <w:tmpl w:val="915E2838"/>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7" w15:restartNumberingAfterBreak="0">
    <w:nsid w:val="4CB32508"/>
    <w:multiLevelType w:val="hybridMultilevel"/>
    <w:tmpl w:val="FA1E1540"/>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8" w15:restartNumberingAfterBreak="0">
    <w:nsid w:val="4D1849FE"/>
    <w:multiLevelType w:val="hybridMultilevel"/>
    <w:tmpl w:val="B254B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9" w15:restartNumberingAfterBreak="0">
    <w:nsid w:val="4D1D0705"/>
    <w:multiLevelType w:val="hybridMultilevel"/>
    <w:tmpl w:val="C32034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0" w15:restartNumberingAfterBreak="0">
    <w:nsid w:val="4D2C4AD4"/>
    <w:multiLevelType w:val="hybridMultilevel"/>
    <w:tmpl w:val="C8145EA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1" w15:restartNumberingAfterBreak="0">
    <w:nsid w:val="4D8106D4"/>
    <w:multiLevelType w:val="hybridMultilevel"/>
    <w:tmpl w:val="29C6F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2" w15:restartNumberingAfterBreak="0">
    <w:nsid w:val="4D8A6922"/>
    <w:multiLevelType w:val="hybridMultilevel"/>
    <w:tmpl w:val="03C02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3" w15:restartNumberingAfterBreak="0">
    <w:nsid w:val="4D9460DB"/>
    <w:multiLevelType w:val="hybridMultilevel"/>
    <w:tmpl w:val="0590A2C6"/>
    <w:lvl w:ilvl="0" w:tplc="55CA773C">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4" w15:restartNumberingAfterBreak="0">
    <w:nsid w:val="4DB31DB6"/>
    <w:multiLevelType w:val="hybridMultilevel"/>
    <w:tmpl w:val="6E424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5" w15:restartNumberingAfterBreak="0">
    <w:nsid w:val="4DBF567B"/>
    <w:multiLevelType w:val="hybridMultilevel"/>
    <w:tmpl w:val="0F9AF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6" w15:restartNumberingAfterBreak="0">
    <w:nsid w:val="4DC6586E"/>
    <w:multiLevelType w:val="hybridMultilevel"/>
    <w:tmpl w:val="7E7A9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7" w15:restartNumberingAfterBreak="0">
    <w:nsid w:val="4E072C4A"/>
    <w:multiLevelType w:val="hybridMultilevel"/>
    <w:tmpl w:val="9E16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8" w15:restartNumberingAfterBreak="0">
    <w:nsid w:val="4E51349D"/>
    <w:multiLevelType w:val="hybridMultilevel"/>
    <w:tmpl w:val="5418B534"/>
    <w:lvl w:ilvl="0" w:tplc="064A7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9" w15:restartNumberingAfterBreak="0">
    <w:nsid w:val="4E973989"/>
    <w:multiLevelType w:val="hybridMultilevel"/>
    <w:tmpl w:val="8034E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0" w15:restartNumberingAfterBreak="0">
    <w:nsid w:val="4F361110"/>
    <w:multiLevelType w:val="hybridMultilevel"/>
    <w:tmpl w:val="BC98CA22"/>
    <w:lvl w:ilvl="0" w:tplc="0C090001">
      <w:start w:val="1"/>
      <w:numFmt w:val="bullet"/>
      <w:lvlText w:val=""/>
      <w:lvlJc w:val="left"/>
      <w:pPr>
        <w:ind w:left="360" w:hanging="360"/>
      </w:pPr>
      <w:rPr>
        <w:rFonts w:ascii="Symbol" w:hAnsi="Symbol" w:hint="default"/>
      </w:rPr>
    </w:lvl>
    <w:lvl w:ilvl="1" w:tplc="579A0EE0">
      <w:start w:val="3"/>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1" w15:restartNumberingAfterBreak="0">
    <w:nsid w:val="4F647D9E"/>
    <w:multiLevelType w:val="hybridMultilevel"/>
    <w:tmpl w:val="01461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2" w15:restartNumberingAfterBreak="0">
    <w:nsid w:val="4F7F1173"/>
    <w:multiLevelType w:val="hybridMultilevel"/>
    <w:tmpl w:val="52BEB0A6"/>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3" w15:restartNumberingAfterBreak="0">
    <w:nsid w:val="4F972975"/>
    <w:multiLevelType w:val="hybridMultilevel"/>
    <w:tmpl w:val="65525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4" w15:restartNumberingAfterBreak="0">
    <w:nsid w:val="4FA54452"/>
    <w:multiLevelType w:val="hybridMultilevel"/>
    <w:tmpl w:val="8B6E83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5" w15:restartNumberingAfterBreak="0">
    <w:nsid w:val="504D5C9B"/>
    <w:multiLevelType w:val="hybridMultilevel"/>
    <w:tmpl w:val="F2763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6" w15:restartNumberingAfterBreak="0">
    <w:nsid w:val="50517C0B"/>
    <w:multiLevelType w:val="hybridMultilevel"/>
    <w:tmpl w:val="310E7112"/>
    <w:lvl w:ilvl="0" w:tplc="6A3E4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7" w15:restartNumberingAfterBreak="0">
    <w:nsid w:val="50C85CEF"/>
    <w:multiLevelType w:val="hybridMultilevel"/>
    <w:tmpl w:val="27F08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8" w15:restartNumberingAfterBreak="0">
    <w:nsid w:val="50F20CB0"/>
    <w:multiLevelType w:val="hybridMultilevel"/>
    <w:tmpl w:val="DB586E3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9" w15:restartNumberingAfterBreak="0">
    <w:nsid w:val="51061951"/>
    <w:multiLevelType w:val="hybridMultilevel"/>
    <w:tmpl w:val="CADA8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0" w15:restartNumberingAfterBreak="0">
    <w:nsid w:val="51074CF5"/>
    <w:multiLevelType w:val="hybridMultilevel"/>
    <w:tmpl w:val="3424B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1" w15:restartNumberingAfterBreak="0">
    <w:nsid w:val="513DA7AE"/>
    <w:multiLevelType w:val="hybridMultilevel"/>
    <w:tmpl w:val="6E5EA1E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2" w15:restartNumberingAfterBreak="0">
    <w:nsid w:val="517A7B07"/>
    <w:multiLevelType w:val="hybridMultilevel"/>
    <w:tmpl w:val="6BD2E99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3" w15:restartNumberingAfterBreak="0">
    <w:nsid w:val="519630F6"/>
    <w:multiLevelType w:val="hybridMultilevel"/>
    <w:tmpl w:val="0B3E9FFE"/>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4" w15:restartNumberingAfterBreak="0">
    <w:nsid w:val="519E6BA2"/>
    <w:multiLevelType w:val="hybridMultilevel"/>
    <w:tmpl w:val="03CE71F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B2D65466">
      <w:start w:val="1"/>
      <w:numFmt w:val="lowerRoman"/>
      <w:lvlText w:val="(%3)"/>
      <w:lvlJc w:val="left"/>
      <w:pPr>
        <w:ind w:left="2340" w:hanging="72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5" w15:restartNumberingAfterBreak="0">
    <w:nsid w:val="51A577BF"/>
    <w:multiLevelType w:val="hybridMultilevel"/>
    <w:tmpl w:val="42FE921E"/>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6" w15:restartNumberingAfterBreak="0">
    <w:nsid w:val="51D21D66"/>
    <w:multiLevelType w:val="hybridMultilevel"/>
    <w:tmpl w:val="1F8A6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7" w15:restartNumberingAfterBreak="0">
    <w:nsid w:val="51EB7D16"/>
    <w:multiLevelType w:val="hybridMultilevel"/>
    <w:tmpl w:val="3B42B0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8" w15:restartNumberingAfterBreak="0">
    <w:nsid w:val="52764516"/>
    <w:multiLevelType w:val="hybridMultilevel"/>
    <w:tmpl w:val="305A6E54"/>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9" w15:restartNumberingAfterBreak="0">
    <w:nsid w:val="52CD47FC"/>
    <w:multiLevelType w:val="hybridMultilevel"/>
    <w:tmpl w:val="D17C3A0C"/>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0" w15:restartNumberingAfterBreak="0">
    <w:nsid w:val="531819E0"/>
    <w:multiLevelType w:val="hybridMultilevel"/>
    <w:tmpl w:val="3350D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1" w15:restartNumberingAfterBreak="0">
    <w:nsid w:val="537152F9"/>
    <w:multiLevelType w:val="hybridMultilevel"/>
    <w:tmpl w:val="8D9AD6B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2" w15:restartNumberingAfterBreak="0">
    <w:nsid w:val="53896342"/>
    <w:multiLevelType w:val="hybridMultilevel"/>
    <w:tmpl w:val="9A9E2CA4"/>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3" w15:restartNumberingAfterBreak="0">
    <w:nsid w:val="5390049D"/>
    <w:multiLevelType w:val="hybridMultilevel"/>
    <w:tmpl w:val="F1FCD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4" w15:restartNumberingAfterBreak="0">
    <w:nsid w:val="539E195D"/>
    <w:multiLevelType w:val="hybridMultilevel"/>
    <w:tmpl w:val="725469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5" w15:restartNumberingAfterBreak="0">
    <w:nsid w:val="53A46FF3"/>
    <w:multiLevelType w:val="hybridMultilevel"/>
    <w:tmpl w:val="21D2F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6" w15:restartNumberingAfterBreak="0">
    <w:nsid w:val="547733E0"/>
    <w:multiLevelType w:val="hybridMultilevel"/>
    <w:tmpl w:val="FD5C6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7" w15:restartNumberingAfterBreak="0">
    <w:nsid w:val="54824DB9"/>
    <w:multiLevelType w:val="hybridMultilevel"/>
    <w:tmpl w:val="2C5C22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8" w15:restartNumberingAfterBreak="0">
    <w:nsid w:val="549B0EE2"/>
    <w:multiLevelType w:val="hybridMultilevel"/>
    <w:tmpl w:val="60A27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9" w15:restartNumberingAfterBreak="0">
    <w:nsid w:val="54A3265D"/>
    <w:multiLevelType w:val="hybridMultilevel"/>
    <w:tmpl w:val="DF5A4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0" w15:restartNumberingAfterBreak="0">
    <w:nsid w:val="54AE60DB"/>
    <w:multiLevelType w:val="hybridMultilevel"/>
    <w:tmpl w:val="607271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1" w15:restartNumberingAfterBreak="0">
    <w:nsid w:val="55612810"/>
    <w:multiLevelType w:val="hybridMultilevel"/>
    <w:tmpl w:val="9F44849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2" w15:restartNumberingAfterBreak="0">
    <w:nsid w:val="556A1D6B"/>
    <w:multiLevelType w:val="hybridMultilevel"/>
    <w:tmpl w:val="8270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3" w15:restartNumberingAfterBreak="0">
    <w:nsid w:val="558A455B"/>
    <w:multiLevelType w:val="hybridMultilevel"/>
    <w:tmpl w:val="01DE2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4" w15:restartNumberingAfterBreak="0">
    <w:nsid w:val="55B96A17"/>
    <w:multiLevelType w:val="hybridMultilevel"/>
    <w:tmpl w:val="2A9E47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5" w15:restartNumberingAfterBreak="0">
    <w:nsid w:val="55C81351"/>
    <w:multiLevelType w:val="hybridMultilevel"/>
    <w:tmpl w:val="8E96B02A"/>
    <w:lvl w:ilvl="0" w:tplc="B748FAFE">
      <w:start w:val="1"/>
      <w:numFmt w:val="lowerRoman"/>
      <w:pStyle w:val="numberedtableparas"/>
      <w:lvlText w:val="(%1)"/>
      <w:lvlJc w:val="left"/>
      <w:pPr>
        <w:ind w:left="360" w:hanging="360"/>
      </w:pPr>
      <w:rPr>
        <w:rFonts w:ascii="Arial" w:eastAsiaTheme="minorEastAsia"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6" w15:restartNumberingAfterBreak="0">
    <w:nsid w:val="55FC60F0"/>
    <w:multiLevelType w:val="hybridMultilevel"/>
    <w:tmpl w:val="2E24871A"/>
    <w:lvl w:ilvl="0" w:tplc="E7180EA8">
      <w:start w:val="1"/>
      <w:numFmt w:val="bullet"/>
      <w:lvlText w:val="−"/>
      <w:lvlJc w:val="left"/>
      <w:pPr>
        <w:ind w:left="360" w:hanging="360"/>
      </w:pPr>
      <w:rPr>
        <w:rFonts w:ascii="Arial" w:hAnsi="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7" w15:restartNumberingAfterBreak="0">
    <w:nsid w:val="56096FEE"/>
    <w:multiLevelType w:val="hybridMultilevel"/>
    <w:tmpl w:val="42203D2E"/>
    <w:lvl w:ilvl="0" w:tplc="5DA85126">
      <w:start w:val="1"/>
      <w:numFmt w:val="lowerRoman"/>
      <w:pStyle w:val="Tableiiiiii7p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8" w15:restartNumberingAfterBreak="0">
    <w:nsid w:val="568866B0"/>
    <w:multiLevelType w:val="hybridMultilevel"/>
    <w:tmpl w:val="D4042A1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9" w15:restartNumberingAfterBreak="0">
    <w:nsid w:val="56E7351A"/>
    <w:multiLevelType w:val="hybridMultilevel"/>
    <w:tmpl w:val="DBD627FC"/>
    <w:lvl w:ilvl="0" w:tplc="0C090003">
      <w:start w:val="1"/>
      <w:numFmt w:val="bullet"/>
      <w:lvlText w:val="o"/>
      <w:lvlJc w:val="left"/>
      <w:pPr>
        <w:ind w:left="1094" w:hanging="360"/>
      </w:pPr>
      <w:rPr>
        <w:rFonts w:ascii="Courier New" w:hAnsi="Courier New" w:cs="Courier New" w:hint="default"/>
      </w:rPr>
    </w:lvl>
    <w:lvl w:ilvl="1" w:tplc="0C090003">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400" w15:restartNumberingAfterBreak="0">
    <w:nsid w:val="56F36609"/>
    <w:multiLevelType w:val="hybridMultilevel"/>
    <w:tmpl w:val="60E0031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1" w15:restartNumberingAfterBreak="0">
    <w:nsid w:val="5700738B"/>
    <w:multiLevelType w:val="hybridMultilevel"/>
    <w:tmpl w:val="F4D65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2" w15:restartNumberingAfterBreak="0">
    <w:nsid w:val="57657C54"/>
    <w:multiLevelType w:val="hybridMultilevel"/>
    <w:tmpl w:val="4654548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3" w15:restartNumberingAfterBreak="0">
    <w:nsid w:val="57867459"/>
    <w:multiLevelType w:val="hybridMultilevel"/>
    <w:tmpl w:val="9086E3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4" w15:restartNumberingAfterBreak="0">
    <w:nsid w:val="5789772A"/>
    <w:multiLevelType w:val="hybridMultilevel"/>
    <w:tmpl w:val="37AE7AD0"/>
    <w:lvl w:ilvl="0" w:tplc="EC24AF18">
      <w:start w:val="1"/>
      <w:numFmt w:val="lowerRoman"/>
      <w:lvlText w:val="(%1)"/>
      <w:lvlJc w:val="left"/>
      <w:pPr>
        <w:ind w:left="360" w:hanging="360"/>
      </w:pPr>
      <w:rPr>
        <w:rFonts w:hint="default"/>
      </w:rPr>
    </w:lvl>
    <w:lvl w:ilvl="1" w:tplc="F292634A">
      <w:start w:val="1"/>
      <w:numFmt w:val="upp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5" w15:restartNumberingAfterBreak="0">
    <w:nsid w:val="57FF11E9"/>
    <w:multiLevelType w:val="hybridMultilevel"/>
    <w:tmpl w:val="6D1682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6" w15:restartNumberingAfterBreak="0">
    <w:nsid w:val="580B71FE"/>
    <w:multiLevelType w:val="hybridMultilevel"/>
    <w:tmpl w:val="AEAA507E"/>
    <w:lvl w:ilvl="0" w:tplc="7ED637C6">
      <w:start w:val="1"/>
      <w:numFmt w:val="bullet"/>
      <w:pStyle w:val="Tablebullet"/>
      <w:lvlText w:val=""/>
      <w:lvlJc w:val="left"/>
      <w:pPr>
        <w:ind w:left="360" w:hanging="360"/>
      </w:pPr>
      <w:rPr>
        <w:rFonts w:ascii="Symbol" w:hAnsi="Symbol" w:hint="default"/>
        <w:color w:val="auto"/>
        <w:sz w:val="14"/>
        <w:szCs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7" w15:restartNumberingAfterBreak="0">
    <w:nsid w:val="58224BEE"/>
    <w:multiLevelType w:val="hybridMultilevel"/>
    <w:tmpl w:val="5EFEC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8" w15:restartNumberingAfterBreak="0">
    <w:nsid w:val="582A0BF3"/>
    <w:multiLevelType w:val="hybridMultilevel"/>
    <w:tmpl w:val="E7EE1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9" w15:restartNumberingAfterBreak="0">
    <w:nsid w:val="58556DB5"/>
    <w:multiLevelType w:val="hybridMultilevel"/>
    <w:tmpl w:val="A342A73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0" w15:restartNumberingAfterBreak="0">
    <w:nsid w:val="58766A02"/>
    <w:multiLevelType w:val="hybridMultilevel"/>
    <w:tmpl w:val="D35E4B9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1" w15:restartNumberingAfterBreak="0">
    <w:nsid w:val="589358FB"/>
    <w:multiLevelType w:val="hybridMultilevel"/>
    <w:tmpl w:val="78C24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2" w15:restartNumberingAfterBreak="0">
    <w:nsid w:val="58EA4224"/>
    <w:multiLevelType w:val="hybridMultilevel"/>
    <w:tmpl w:val="FA4CF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3" w15:restartNumberingAfterBreak="0">
    <w:nsid w:val="598C15BD"/>
    <w:multiLevelType w:val="hybridMultilevel"/>
    <w:tmpl w:val="8B0A6A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4" w15:restartNumberingAfterBreak="0">
    <w:nsid w:val="59E873EB"/>
    <w:multiLevelType w:val="hybridMultilevel"/>
    <w:tmpl w:val="9A10C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5" w15:restartNumberingAfterBreak="0">
    <w:nsid w:val="5A1C3054"/>
    <w:multiLevelType w:val="hybridMultilevel"/>
    <w:tmpl w:val="8D50DBE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6" w15:restartNumberingAfterBreak="0">
    <w:nsid w:val="5A250EB2"/>
    <w:multiLevelType w:val="hybridMultilevel"/>
    <w:tmpl w:val="2EE09A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7" w15:restartNumberingAfterBreak="0">
    <w:nsid w:val="5A263E3A"/>
    <w:multiLevelType w:val="hybridMultilevel"/>
    <w:tmpl w:val="2836091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8" w15:restartNumberingAfterBreak="0">
    <w:nsid w:val="5A6E02CB"/>
    <w:multiLevelType w:val="hybridMultilevel"/>
    <w:tmpl w:val="CEE47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9" w15:restartNumberingAfterBreak="0">
    <w:nsid w:val="5A8D226C"/>
    <w:multiLevelType w:val="hybridMultilevel"/>
    <w:tmpl w:val="E88CD406"/>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0" w15:restartNumberingAfterBreak="0">
    <w:nsid w:val="5AA404E2"/>
    <w:multiLevelType w:val="hybridMultilevel"/>
    <w:tmpl w:val="1368CB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1" w15:restartNumberingAfterBreak="0">
    <w:nsid w:val="5AAD6918"/>
    <w:multiLevelType w:val="hybridMultilevel"/>
    <w:tmpl w:val="D1FA1FAA"/>
    <w:lvl w:ilvl="0" w:tplc="6A3E4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2" w15:restartNumberingAfterBreak="0">
    <w:nsid w:val="5B273759"/>
    <w:multiLevelType w:val="hybridMultilevel"/>
    <w:tmpl w:val="63F4E75E"/>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3" w15:restartNumberingAfterBreak="0">
    <w:nsid w:val="5B656E32"/>
    <w:multiLevelType w:val="hybridMultilevel"/>
    <w:tmpl w:val="A3768154"/>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4" w15:restartNumberingAfterBreak="0">
    <w:nsid w:val="5B7900F1"/>
    <w:multiLevelType w:val="hybridMultilevel"/>
    <w:tmpl w:val="3EC8E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5" w15:restartNumberingAfterBreak="0">
    <w:nsid w:val="5BF45AB2"/>
    <w:multiLevelType w:val="hybridMultilevel"/>
    <w:tmpl w:val="B5EA773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6" w15:restartNumberingAfterBreak="0">
    <w:nsid w:val="5BFB6AAA"/>
    <w:multiLevelType w:val="hybridMultilevel"/>
    <w:tmpl w:val="76FC4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7" w15:restartNumberingAfterBreak="0">
    <w:nsid w:val="5C0D2A1D"/>
    <w:multiLevelType w:val="hybridMultilevel"/>
    <w:tmpl w:val="1EC23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8" w15:restartNumberingAfterBreak="0">
    <w:nsid w:val="5CDE06B3"/>
    <w:multiLevelType w:val="hybridMultilevel"/>
    <w:tmpl w:val="E4BA45D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9" w15:restartNumberingAfterBreak="0">
    <w:nsid w:val="5CE74B4B"/>
    <w:multiLevelType w:val="hybridMultilevel"/>
    <w:tmpl w:val="82F22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0" w15:restartNumberingAfterBreak="0">
    <w:nsid w:val="5D485D03"/>
    <w:multiLevelType w:val="hybridMultilevel"/>
    <w:tmpl w:val="8D766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1" w15:restartNumberingAfterBreak="0">
    <w:nsid w:val="5D5849E8"/>
    <w:multiLevelType w:val="hybridMultilevel"/>
    <w:tmpl w:val="296A0E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2" w15:restartNumberingAfterBreak="0">
    <w:nsid w:val="5D9C7B0D"/>
    <w:multiLevelType w:val="hybridMultilevel"/>
    <w:tmpl w:val="6F7A1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3" w15:restartNumberingAfterBreak="0">
    <w:nsid w:val="5E43689A"/>
    <w:multiLevelType w:val="hybridMultilevel"/>
    <w:tmpl w:val="499E9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4" w15:restartNumberingAfterBreak="0">
    <w:nsid w:val="5EA51DCC"/>
    <w:multiLevelType w:val="hybridMultilevel"/>
    <w:tmpl w:val="90C09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5" w15:restartNumberingAfterBreak="0">
    <w:nsid w:val="5F6E3CE0"/>
    <w:multiLevelType w:val="hybridMultilevel"/>
    <w:tmpl w:val="1936B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12B6EE6"/>
    <w:multiLevelType w:val="hybridMultilevel"/>
    <w:tmpl w:val="7FCAEC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7" w15:restartNumberingAfterBreak="0">
    <w:nsid w:val="612E6ED9"/>
    <w:multiLevelType w:val="hybridMultilevel"/>
    <w:tmpl w:val="DCB6B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8" w15:restartNumberingAfterBreak="0">
    <w:nsid w:val="61431A6A"/>
    <w:multiLevelType w:val="hybridMultilevel"/>
    <w:tmpl w:val="B066B296"/>
    <w:lvl w:ilvl="0" w:tplc="EC24AF18">
      <w:start w:val="1"/>
      <w:numFmt w:val="lowerRoman"/>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9" w15:restartNumberingAfterBreak="0">
    <w:nsid w:val="615D6DAE"/>
    <w:multiLevelType w:val="hybridMultilevel"/>
    <w:tmpl w:val="614C3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0" w15:restartNumberingAfterBreak="0">
    <w:nsid w:val="616C3514"/>
    <w:multiLevelType w:val="hybridMultilevel"/>
    <w:tmpl w:val="4B0C7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1" w15:restartNumberingAfterBreak="0">
    <w:nsid w:val="61E900BA"/>
    <w:multiLevelType w:val="hybridMultilevel"/>
    <w:tmpl w:val="01B4C816"/>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2" w15:restartNumberingAfterBreak="0">
    <w:nsid w:val="62216446"/>
    <w:multiLevelType w:val="hybridMultilevel"/>
    <w:tmpl w:val="2AE88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3" w15:restartNumberingAfterBreak="0">
    <w:nsid w:val="6249570F"/>
    <w:multiLevelType w:val="hybridMultilevel"/>
    <w:tmpl w:val="E44827C0"/>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4" w15:restartNumberingAfterBreak="0">
    <w:nsid w:val="62EC311E"/>
    <w:multiLevelType w:val="hybridMultilevel"/>
    <w:tmpl w:val="0430E9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5" w15:restartNumberingAfterBreak="0">
    <w:nsid w:val="633C42E1"/>
    <w:multiLevelType w:val="hybridMultilevel"/>
    <w:tmpl w:val="E070B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6" w15:restartNumberingAfterBreak="0">
    <w:nsid w:val="633F316A"/>
    <w:multiLevelType w:val="hybridMultilevel"/>
    <w:tmpl w:val="C1C2BA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7" w15:restartNumberingAfterBreak="0">
    <w:nsid w:val="63465307"/>
    <w:multiLevelType w:val="hybridMultilevel"/>
    <w:tmpl w:val="D7E642A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8" w15:restartNumberingAfterBreak="0">
    <w:nsid w:val="636B3A2D"/>
    <w:multiLevelType w:val="hybridMultilevel"/>
    <w:tmpl w:val="08F86742"/>
    <w:lvl w:ilvl="0" w:tplc="9B208A1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9" w15:restartNumberingAfterBreak="0">
    <w:nsid w:val="638F295D"/>
    <w:multiLevelType w:val="hybridMultilevel"/>
    <w:tmpl w:val="5A140986"/>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0" w15:restartNumberingAfterBreak="0">
    <w:nsid w:val="63B438C2"/>
    <w:multiLevelType w:val="hybridMultilevel"/>
    <w:tmpl w:val="E5F6D33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1" w15:restartNumberingAfterBreak="0">
    <w:nsid w:val="63C25FAE"/>
    <w:multiLevelType w:val="hybridMultilevel"/>
    <w:tmpl w:val="C3B23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2" w15:restartNumberingAfterBreak="0">
    <w:nsid w:val="6474046D"/>
    <w:multiLevelType w:val="hybridMultilevel"/>
    <w:tmpl w:val="F80EC436"/>
    <w:lvl w:ilvl="0" w:tplc="A1060046">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3" w15:restartNumberingAfterBreak="0">
    <w:nsid w:val="64AF670C"/>
    <w:multiLevelType w:val="hybridMultilevel"/>
    <w:tmpl w:val="7A707EE4"/>
    <w:lvl w:ilvl="0" w:tplc="7D9C2B16">
      <w:start w:val="1"/>
      <w:numFmt w:val="lowerLetter"/>
      <w:lvlText w:val="%1."/>
      <w:lvlJc w:val="left"/>
      <w:pPr>
        <w:ind w:left="360" w:hanging="360"/>
      </w:pPr>
      <w:rPr>
        <w:rFonts w:ascii="Arial" w:eastAsiaTheme="minorHAnsi"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4" w15:restartNumberingAfterBreak="0">
    <w:nsid w:val="65582AF2"/>
    <w:multiLevelType w:val="hybridMultilevel"/>
    <w:tmpl w:val="CD641B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5" w15:restartNumberingAfterBreak="0">
    <w:nsid w:val="65860763"/>
    <w:multiLevelType w:val="hybridMultilevel"/>
    <w:tmpl w:val="1E9EE5E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6" w15:restartNumberingAfterBreak="0">
    <w:nsid w:val="659A0ACB"/>
    <w:multiLevelType w:val="hybridMultilevel"/>
    <w:tmpl w:val="6D1682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7" w15:restartNumberingAfterBreak="0">
    <w:nsid w:val="65DF78FE"/>
    <w:multiLevelType w:val="hybridMultilevel"/>
    <w:tmpl w:val="57E434AC"/>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8" w15:restartNumberingAfterBreak="0">
    <w:nsid w:val="66132B09"/>
    <w:multiLevelType w:val="hybridMultilevel"/>
    <w:tmpl w:val="00AAB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9" w15:restartNumberingAfterBreak="0">
    <w:nsid w:val="66580184"/>
    <w:multiLevelType w:val="hybridMultilevel"/>
    <w:tmpl w:val="873C689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0" w15:restartNumberingAfterBreak="0">
    <w:nsid w:val="668079AF"/>
    <w:multiLevelType w:val="hybridMultilevel"/>
    <w:tmpl w:val="55561EE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1" w15:restartNumberingAfterBreak="0">
    <w:nsid w:val="66AB78EC"/>
    <w:multiLevelType w:val="hybridMultilevel"/>
    <w:tmpl w:val="8EA28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2" w15:restartNumberingAfterBreak="0">
    <w:nsid w:val="66B206B2"/>
    <w:multiLevelType w:val="hybridMultilevel"/>
    <w:tmpl w:val="049C4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3" w15:restartNumberingAfterBreak="0">
    <w:nsid w:val="66FA56DD"/>
    <w:multiLevelType w:val="hybridMultilevel"/>
    <w:tmpl w:val="DCAE9EF6"/>
    <w:lvl w:ilvl="0" w:tplc="09C08A7A">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4" w15:restartNumberingAfterBreak="0">
    <w:nsid w:val="67074614"/>
    <w:multiLevelType w:val="hybridMultilevel"/>
    <w:tmpl w:val="69767024"/>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5" w15:restartNumberingAfterBreak="0">
    <w:nsid w:val="67086B4D"/>
    <w:multiLevelType w:val="hybridMultilevel"/>
    <w:tmpl w:val="A4E69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6" w15:restartNumberingAfterBreak="0">
    <w:nsid w:val="676C7653"/>
    <w:multiLevelType w:val="hybridMultilevel"/>
    <w:tmpl w:val="DA069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7" w15:restartNumberingAfterBreak="0">
    <w:nsid w:val="67D47D7F"/>
    <w:multiLevelType w:val="hybridMultilevel"/>
    <w:tmpl w:val="3218151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8" w15:restartNumberingAfterBreak="0">
    <w:nsid w:val="68461633"/>
    <w:multiLevelType w:val="hybridMultilevel"/>
    <w:tmpl w:val="814816F8"/>
    <w:lvl w:ilvl="0" w:tplc="974A9D0E">
      <w:start w:val="1"/>
      <w:numFmt w:val="decimal"/>
      <w:pStyle w:val="Numberedpara"/>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69" w15:restartNumberingAfterBreak="0">
    <w:nsid w:val="68780DC9"/>
    <w:multiLevelType w:val="hybridMultilevel"/>
    <w:tmpl w:val="3AF8B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0" w15:restartNumberingAfterBreak="0">
    <w:nsid w:val="689027FA"/>
    <w:multiLevelType w:val="hybridMultilevel"/>
    <w:tmpl w:val="B1C697C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1" w15:restartNumberingAfterBreak="0">
    <w:nsid w:val="68F95434"/>
    <w:multiLevelType w:val="hybridMultilevel"/>
    <w:tmpl w:val="1D7A552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2" w15:restartNumberingAfterBreak="0">
    <w:nsid w:val="68FA1768"/>
    <w:multiLevelType w:val="hybridMultilevel"/>
    <w:tmpl w:val="4D30A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3" w15:restartNumberingAfterBreak="0">
    <w:nsid w:val="69385680"/>
    <w:multiLevelType w:val="hybridMultilevel"/>
    <w:tmpl w:val="6024CD7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4" w15:restartNumberingAfterBreak="0">
    <w:nsid w:val="694B39E0"/>
    <w:multiLevelType w:val="hybridMultilevel"/>
    <w:tmpl w:val="01B01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5" w15:restartNumberingAfterBreak="0">
    <w:nsid w:val="694F4C4B"/>
    <w:multiLevelType w:val="hybridMultilevel"/>
    <w:tmpl w:val="41E66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6" w15:restartNumberingAfterBreak="0">
    <w:nsid w:val="69B764F8"/>
    <w:multiLevelType w:val="hybridMultilevel"/>
    <w:tmpl w:val="A202C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7" w15:restartNumberingAfterBreak="0">
    <w:nsid w:val="69DB3BA6"/>
    <w:multiLevelType w:val="hybridMultilevel"/>
    <w:tmpl w:val="A544A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8" w15:restartNumberingAfterBreak="0">
    <w:nsid w:val="6A5C27E7"/>
    <w:multiLevelType w:val="hybridMultilevel"/>
    <w:tmpl w:val="A556536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9" w15:restartNumberingAfterBreak="0">
    <w:nsid w:val="6A6D16AE"/>
    <w:multiLevelType w:val="multilevel"/>
    <w:tmpl w:val="2C30735E"/>
    <w:lvl w:ilvl="0">
      <w:start w:val="1"/>
      <w:numFmt w:val="bullet"/>
      <w:pStyle w:val="Tabledotpointlist7p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0" w15:restartNumberingAfterBreak="0">
    <w:nsid w:val="6A947585"/>
    <w:multiLevelType w:val="hybridMultilevel"/>
    <w:tmpl w:val="DD024EC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1" w15:restartNumberingAfterBreak="0">
    <w:nsid w:val="6AAA393E"/>
    <w:multiLevelType w:val="hybridMultilevel"/>
    <w:tmpl w:val="8C566800"/>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2" w15:restartNumberingAfterBreak="0">
    <w:nsid w:val="6AF62591"/>
    <w:multiLevelType w:val="hybridMultilevel"/>
    <w:tmpl w:val="C5BA244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3" w15:restartNumberingAfterBreak="0">
    <w:nsid w:val="6B76545C"/>
    <w:multiLevelType w:val="hybridMultilevel"/>
    <w:tmpl w:val="FE221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4" w15:restartNumberingAfterBreak="0">
    <w:nsid w:val="6B9F0514"/>
    <w:multiLevelType w:val="hybridMultilevel"/>
    <w:tmpl w:val="090A1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5" w15:restartNumberingAfterBreak="0">
    <w:nsid w:val="6C611EB9"/>
    <w:multiLevelType w:val="hybridMultilevel"/>
    <w:tmpl w:val="87E4B288"/>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6" w15:restartNumberingAfterBreak="0">
    <w:nsid w:val="6C66486B"/>
    <w:multiLevelType w:val="hybridMultilevel"/>
    <w:tmpl w:val="27AA2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7" w15:restartNumberingAfterBreak="0">
    <w:nsid w:val="6C850B58"/>
    <w:multiLevelType w:val="hybridMultilevel"/>
    <w:tmpl w:val="E200B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8" w15:restartNumberingAfterBreak="0">
    <w:nsid w:val="6CB4750E"/>
    <w:multiLevelType w:val="hybridMultilevel"/>
    <w:tmpl w:val="C7B06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9" w15:restartNumberingAfterBreak="0">
    <w:nsid w:val="6CD2755E"/>
    <w:multiLevelType w:val="hybridMultilevel"/>
    <w:tmpl w:val="AB0C64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0" w15:restartNumberingAfterBreak="0">
    <w:nsid w:val="6CDE4D1D"/>
    <w:multiLevelType w:val="hybridMultilevel"/>
    <w:tmpl w:val="8B50D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1" w15:restartNumberingAfterBreak="0">
    <w:nsid w:val="6DCE4D29"/>
    <w:multiLevelType w:val="hybridMultilevel"/>
    <w:tmpl w:val="B56A1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2" w15:restartNumberingAfterBreak="0">
    <w:nsid w:val="6DEE0FA7"/>
    <w:multiLevelType w:val="hybridMultilevel"/>
    <w:tmpl w:val="87F2C4DE"/>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3" w15:restartNumberingAfterBreak="0">
    <w:nsid w:val="6E200A6D"/>
    <w:multiLevelType w:val="hybridMultilevel"/>
    <w:tmpl w:val="1694A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4" w15:restartNumberingAfterBreak="0">
    <w:nsid w:val="6E5F0981"/>
    <w:multiLevelType w:val="hybridMultilevel"/>
    <w:tmpl w:val="067C3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5" w15:restartNumberingAfterBreak="0">
    <w:nsid w:val="6F142E50"/>
    <w:multiLevelType w:val="hybridMultilevel"/>
    <w:tmpl w:val="F112D50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96" w15:restartNumberingAfterBreak="0">
    <w:nsid w:val="6FA97FD7"/>
    <w:multiLevelType w:val="hybridMultilevel"/>
    <w:tmpl w:val="49A25E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7" w15:restartNumberingAfterBreak="0">
    <w:nsid w:val="71824F28"/>
    <w:multiLevelType w:val="hybridMultilevel"/>
    <w:tmpl w:val="A24CE790"/>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8" w15:restartNumberingAfterBreak="0">
    <w:nsid w:val="71883041"/>
    <w:multiLevelType w:val="hybridMultilevel"/>
    <w:tmpl w:val="5BA2C31A"/>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9" w15:restartNumberingAfterBreak="0">
    <w:nsid w:val="718D7077"/>
    <w:multiLevelType w:val="hybridMultilevel"/>
    <w:tmpl w:val="B22CEA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0" w15:restartNumberingAfterBreak="0">
    <w:nsid w:val="71FF14D0"/>
    <w:multiLevelType w:val="hybridMultilevel"/>
    <w:tmpl w:val="F652332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1" w15:restartNumberingAfterBreak="0">
    <w:nsid w:val="720D2505"/>
    <w:multiLevelType w:val="hybridMultilevel"/>
    <w:tmpl w:val="3FC48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2" w15:restartNumberingAfterBreak="0">
    <w:nsid w:val="729E6A09"/>
    <w:multiLevelType w:val="hybridMultilevel"/>
    <w:tmpl w:val="12D82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3" w15:restartNumberingAfterBreak="0">
    <w:nsid w:val="72AF722C"/>
    <w:multiLevelType w:val="hybridMultilevel"/>
    <w:tmpl w:val="975AC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4" w15:restartNumberingAfterBreak="0">
    <w:nsid w:val="72C67693"/>
    <w:multiLevelType w:val="hybridMultilevel"/>
    <w:tmpl w:val="A4DC073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5" w15:restartNumberingAfterBreak="0">
    <w:nsid w:val="731D62A9"/>
    <w:multiLevelType w:val="hybridMultilevel"/>
    <w:tmpl w:val="C990470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6" w15:restartNumberingAfterBreak="0">
    <w:nsid w:val="739866A5"/>
    <w:multiLevelType w:val="hybridMultilevel"/>
    <w:tmpl w:val="E2A46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7" w15:restartNumberingAfterBreak="0">
    <w:nsid w:val="73A606CA"/>
    <w:multiLevelType w:val="hybridMultilevel"/>
    <w:tmpl w:val="DA407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8" w15:restartNumberingAfterBreak="0">
    <w:nsid w:val="73BE1BB5"/>
    <w:multiLevelType w:val="hybridMultilevel"/>
    <w:tmpl w:val="94FC0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9" w15:restartNumberingAfterBreak="0">
    <w:nsid w:val="73C2357E"/>
    <w:multiLevelType w:val="hybridMultilevel"/>
    <w:tmpl w:val="50820A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0" w15:restartNumberingAfterBreak="0">
    <w:nsid w:val="741A4810"/>
    <w:multiLevelType w:val="hybridMultilevel"/>
    <w:tmpl w:val="ABDEE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1" w15:restartNumberingAfterBreak="0">
    <w:nsid w:val="742E49A0"/>
    <w:multiLevelType w:val="hybridMultilevel"/>
    <w:tmpl w:val="9F52738A"/>
    <w:lvl w:ilvl="0" w:tplc="0C090003">
      <w:start w:val="1"/>
      <w:numFmt w:val="bullet"/>
      <w:lvlText w:val="o"/>
      <w:lvlJc w:val="left"/>
      <w:pPr>
        <w:ind w:left="360" w:hanging="360"/>
      </w:pPr>
      <w:rPr>
        <w:rFonts w:ascii="Courier New" w:hAnsi="Courier New" w:cs="Courier New" w:hint="default"/>
      </w:rPr>
    </w:lvl>
    <w:lvl w:ilvl="1" w:tplc="579A0EE0">
      <w:start w:val="3"/>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2" w15:restartNumberingAfterBreak="0">
    <w:nsid w:val="7455245F"/>
    <w:multiLevelType w:val="hybridMultilevel"/>
    <w:tmpl w:val="38965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3" w15:restartNumberingAfterBreak="0">
    <w:nsid w:val="74576FEC"/>
    <w:multiLevelType w:val="hybridMultilevel"/>
    <w:tmpl w:val="41222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4" w15:restartNumberingAfterBreak="0">
    <w:nsid w:val="7485574B"/>
    <w:multiLevelType w:val="hybridMultilevel"/>
    <w:tmpl w:val="639E2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5" w15:restartNumberingAfterBreak="0">
    <w:nsid w:val="74995685"/>
    <w:multiLevelType w:val="hybridMultilevel"/>
    <w:tmpl w:val="D366A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6" w15:restartNumberingAfterBreak="0">
    <w:nsid w:val="74A82905"/>
    <w:multiLevelType w:val="hybridMultilevel"/>
    <w:tmpl w:val="47725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7" w15:restartNumberingAfterBreak="0">
    <w:nsid w:val="74CD2280"/>
    <w:multiLevelType w:val="hybridMultilevel"/>
    <w:tmpl w:val="CCE86BC0"/>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8" w15:restartNumberingAfterBreak="0">
    <w:nsid w:val="75047721"/>
    <w:multiLevelType w:val="hybridMultilevel"/>
    <w:tmpl w:val="661CD2FC"/>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9" w15:restartNumberingAfterBreak="0">
    <w:nsid w:val="763947D7"/>
    <w:multiLevelType w:val="hybridMultilevel"/>
    <w:tmpl w:val="374CC13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0" w15:restartNumberingAfterBreak="0">
    <w:nsid w:val="7646232F"/>
    <w:multiLevelType w:val="hybridMultilevel"/>
    <w:tmpl w:val="7DAE2220"/>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1" w15:restartNumberingAfterBreak="0">
    <w:nsid w:val="764873B0"/>
    <w:multiLevelType w:val="hybridMultilevel"/>
    <w:tmpl w:val="982A2A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2" w15:restartNumberingAfterBreak="0">
    <w:nsid w:val="764C0662"/>
    <w:multiLevelType w:val="hybridMultilevel"/>
    <w:tmpl w:val="54F8FEE6"/>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3" w15:restartNumberingAfterBreak="0">
    <w:nsid w:val="76AB5DE7"/>
    <w:multiLevelType w:val="hybridMultilevel"/>
    <w:tmpl w:val="2CE267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4" w15:restartNumberingAfterBreak="0">
    <w:nsid w:val="772B00D8"/>
    <w:multiLevelType w:val="hybridMultilevel"/>
    <w:tmpl w:val="4CCA3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5" w15:restartNumberingAfterBreak="0">
    <w:nsid w:val="773A33CC"/>
    <w:multiLevelType w:val="hybridMultilevel"/>
    <w:tmpl w:val="CA08525A"/>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6" w15:restartNumberingAfterBreak="0">
    <w:nsid w:val="776E7C05"/>
    <w:multiLevelType w:val="hybridMultilevel"/>
    <w:tmpl w:val="2CA41BF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27" w15:restartNumberingAfterBreak="0">
    <w:nsid w:val="77827B8B"/>
    <w:multiLevelType w:val="hybridMultilevel"/>
    <w:tmpl w:val="BADE65D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8" w15:restartNumberingAfterBreak="0">
    <w:nsid w:val="77B238B2"/>
    <w:multiLevelType w:val="hybridMultilevel"/>
    <w:tmpl w:val="BCC434C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9" w15:restartNumberingAfterBreak="0">
    <w:nsid w:val="77D035ED"/>
    <w:multiLevelType w:val="hybridMultilevel"/>
    <w:tmpl w:val="BBF08CA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0" w15:restartNumberingAfterBreak="0">
    <w:nsid w:val="78081025"/>
    <w:multiLevelType w:val="hybridMultilevel"/>
    <w:tmpl w:val="08FACB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1" w15:restartNumberingAfterBreak="0">
    <w:nsid w:val="781E751E"/>
    <w:multiLevelType w:val="hybridMultilevel"/>
    <w:tmpl w:val="13726E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2" w15:restartNumberingAfterBreak="0">
    <w:nsid w:val="78907DDE"/>
    <w:multiLevelType w:val="hybridMultilevel"/>
    <w:tmpl w:val="29BA502A"/>
    <w:lvl w:ilvl="0" w:tplc="0C090017">
      <w:start w:val="1"/>
      <w:numFmt w:val="lowerLetter"/>
      <w:lvlText w:val="%1)"/>
      <w:lvlJc w:val="left"/>
      <w:pPr>
        <w:ind w:left="376" w:hanging="360"/>
      </w:pPr>
    </w:lvl>
    <w:lvl w:ilvl="1" w:tplc="9318A8C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3" w15:restartNumberingAfterBreak="0">
    <w:nsid w:val="78BE592F"/>
    <w:multiLevelType w:val="hybridMultilevel"/>
    <w:tmpl w:val="DFFEA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4" w15:restartNumberingAfterBreak="0">
    <w:nsid w:val="793D7262"/>
    <w:multiLevelType w:val="hybridMultilevel"/>
    <w:tmpl w:val="2EF84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5" w15:restartNumberingAfterBreak="0">
    <w:nsid w:val="79C55F4F"/>
    <w:multiLevelType w:val="hybridMultilevel"/>
    <w:tmpl w:val="319C7DC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36" w15:restartNumberingAfterBreak="0">
    <w:nsid w:val="7A305372"/>
    <w:multiLevelType w:val="hybridMultilevel"/>
    <w:tmpl w:val="5E847FD2"/>
    <w:lvl w:ilvl="0" w:tplc="AA7E487E">
      <w:start w:val="1"/>
      <w:numFmt w:val="lowerLetter"/>
      <w:lvlText w:val="(%1)"/>
      <w:lvlJc w:val="left"/>
      <w:pPr>
        <w:ind w:left="376" w:hanging="360"/>
      </w:pPr>
      <w:rPr>
        <w:rFonts w:hint="default"/>
      </w:rPr>
    </w:lvl>
    <w:lvl w:ilvl="1" w:tplc="9318A8C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7" w15:restartNumberingAfterBreak="0">
    <w:nsid w:val="7A380D91"/>
    <w:multiLevelType w:val="hybridMultilevel"/>
    <w:tmpl w:val="FA4E24E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8" w15:restartNumberingAfterBreak="0">
    <w:nsid w:val="7A4A3699"/>
    <w:multiLevelType w:val="hybridMultilevel"/>
    <w:tmpl w:val="BB0C40AE"/>
    <w:lvl w:ilvl="0" w:tplc="AA7E487E">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9" w15:restartNumberingAfterBreak="0">
    <w:nsid w:val="7AAE2C77"/>
    <w:multiLevelType w:val="hybridMultilevel"/>
    <w:tmpl w:val="B0067F1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0" w15:restartNumberingAfterBreak="0">
    <w:nsid w:val="7AAE31CD"/>
    <w:multiLevelType w:val="hybridMultilevel"/>
    <w:tmpl w:val="C8D0928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1" w15:restartNumberingAfterBreak="0">
    <w:nsid w:val="7AAF66B0"/>
    <w:multiLevelType w:val="hybridMultilevel"/>
    <w:tmpl w:val="1568A37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2" w15:restartNumberingAfterBreak="0">
    <w:nsid w:val="7AB07D0D"/>
    <w:multiLevelType w:val="hybridMultilevel"/>
    <w:tmpl w:val="4FD875F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3" w15:restartNumberingAfterBreak="0">
    <w:nsid w:val="7AC80FFE"/>
    <w:multiLevelType w:val="hybridMultilevel"/>
    <w:tmpl w:val="2838474E"/>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4" w15:restartNumberingAfterBreak="0">
    <w:nsid w:val="7AD51246"/>
    <w:multiLevelType w:val="hybridMultilevel"/>
    <w:tmpl w:val="6B588C9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5" w15:restartNumberingAfterBreak="0">
    <w:nsid w:val="7AD75B96"/>
    <w:multiLevelType w:val="hybridMultilevel"/>
    <w:tmpl w:val="094C0630"/>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6" w15:restartNumberingAfterBreak="0">
    <w:nsid w:val="7B263CE7"/>
    <w:multiLevelType w:val="hybridMultilevel"/>
    <w:tmpl w:val="DA8CDA6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7" w15:restartNumberingAfterBreak="0">
    <w:nsid w:val="7B2E56BE"/>
    <w:multiLevelType w:val="hybridMultilevel"/>
    <w:tmpl w:val="41AE305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8" w15:restartNumberingAfterBreak="0">
    <w:nsid w:val="7BD31F76"/>
    <w:multiLevelType w:val="hybridMultilevel"/>
    <w:tmpl w:val="4BB4AE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9" w15:restartNumberingAfterBreak="0">
    <w:nsid w:val="7BDC7CE2"/>
    <w:multiLevelType w:val="hybridMultilevel"/>
    <w:tmpl w:val="C65E7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0" w15:restartNumberingAfterBreak="0">
    <w:nsid w:val="7C285AB1"/>
    <w:multiLevelType w:val="hybridMultilevel"/>
    <w:tmpl w:val="6B6C8A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1" w15:restartNumberingAfterBreak="0">
    <w:nsid w:val="7C565361"/>
    <w:multiLevelType w:val="hybridMultilevel"/>
    <w:tmpl w:val="F008F37A"/>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2" w15:restartNumberingAfterBreak="0">
    <w:nsid w:val="7C5E6CF7"/>
    <w:multiLevelType w:val="hybridMultilevel"/>
    <w:tmpl w:val="F7680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3" w15:restartNumberingAfterBreak="0">
    <w:nsid w:val="7CCF6A14"/>
    <w:multiLevelType w:val="hybridMultilevel"/>
    <w:tmpl w:val="8222EAAE"/>
    <w:lvl w:ilvl="0" w:tplc="EC24AF18">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4" w15:restartNumberingAfterBreak="0">
    <w:nsid w:val="7E08477B"/>
    <w:multiLevelType w:val="hybridMultilevel"/>
    <w:tmpl w:val="77042F4A"/>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5" w15:restartNumberingAfterBreak="0">
    <w:nsid w:val="7E1A0778"/>
    <w:multiLevelType w:val="hybridMultilevel"/>
    <w:tmpl w:val="09789DF0"/>
    <w:lvl w:ilvl="0" w:tplc="1CD6C2AE">
      <w:numFmt w:val="bullet"/>
      <w:pStyle w:val="2ndbullet"/>
      <w:lvlText w:val="-"/>
      <w:lvlJc w:val="left"/>
      <w:pPr>
        <w:ind w:left="800" w:hanging="360"/>
      </w:pPr>
      <w:rPr>
        <w:rFonts w:ascii="Arial" w:eastAsiaTheme="minorEastAsia" w:hAnsi="Arial" w:cs="Aria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556" w15:restartNumberingAfterBreak="0">
    <w:nsid w:val="7E891CA3"/>
    <w:multiLevelType w:val="hybridMultilevel"/>
    <w:tmpl w:val="4C863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7" w15:restartNumberingAfterBreak="0">
    <w:nsid w:val="7E8E5A77"/>
    <w:multiLevelType w:val="hybridMultilevel"/>
    <w:tmpl w:val="51C6B4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8" w15:restartNumberingAfterBreak="0">
    <w:nsid w:val="7EC178B8"/>
    <w:multiLevelType w:val="hybridMultilevel"/>
    <w:tmpl w:val="325EC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9" w15:restartNumberingAfterBreak="0">
    <w:nsid w:val="7FB7748F"/>
    <w:multiLevelType w:val="hybridMultilevel"/>
    <w:tmpl w:val="4ED83C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0" w15:restartNumberingAfterBreak="0">
    <w:nsid w:val="7FC453C4"/>
    <w:multiLevelType w:val="hybridMultilevel"/>
    <w:tmpl w:val="22405506"/>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1" w15:restartNumberingAfterBreak="0">
    <w:nsid w:val="7FE379DD"/>
    <w:multiLevelType w:val="hybridMultilevel"/>
    <w:tmpl w:val="303CF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1"/>
  </w:num>
  <w:num w:numId="2">
    <w:abstractNumId w:val="219"/>
  </w:num>
  <w:num w:numId="3">
    <w:abstractNumId w:val="397"/>
  </w:num>
  <w:num w:numId="4">
    <w:abstractNumId w:val="479"/>
  </w:num>
  <w:num w:numId="5">
    <w:abstractNumId w:val="360"/>
  </w:num>
  <w:num w:numId="6">
    <w:abstractNumId w:val="360"/>
  </w:num>
  <w:num w:numId="7">
    <w:abstractNumId w:val="387"/>
  </w:num>
  <w:num w:numId="8">
    <w:abstractNumId w:val="68"/>
  </w:num>
  <w:num w:numId="9">
    <w:abstractNumId w:val="553"/>
  </w:num>
  <w:num w:numId="10">
    <w:abstractNumId w:val="340"/>
  </w:num>
  <w:num w:numId="11">
    <w:abstractNumId w:val="284"/>
  </w:num>
  <w:num w:numId="12">
    <w:abstractNumId w:val="73"/>
  </w:num>
  <w:num w:numId="13">
    <w:abstractNumId w:val="541"/>
  </w:num>
  <w:num w:numId="14">
    <w:abstractNumId w:val="110"/>
  </w:num>
  <w:num w:numId="15">
    <w:abstractNumId w:val="536"/>
  </w:num>
  <w:num w:numId="16">
    <w:abstractNumId w:val="199"/>
  </w:num>
  <w:num w:numId="17">
    <w:abstractNumId w:val="211"/>
  </w:num>
  <w:num w:numId="18">
    <w:abstractNumId w:val="211"/>
    <w:lvlOverride w:ilvl="0">
      <w:startOverride w:val="1"/>
    </w:lvlOverride>
  </w:num>
  <w:num w:numId="19">
    <w:abstractNumId w:val="104"/>
  </w:num>
  <w:num w:numId="20">
    <w:abstractNumId w:val="104"/>
    <w:lvlOverride w:ilvl="0">
      <w:startOverride w:val="1"/>
    </w:lvlOverride>
  </w:num>
  <w:num w:numId="21">
    <w:abstractNumId w:val="202"/>
  </w:num>
  <w:num w:numId="22">
    <w:abstractNumId w:val="406"/>
  </w:num>
  <w:num w:numId="23">
    <w:abstractNumId w:val="159"/>
  </w:num>
  <w:num w:numId="24">
    <w:abstractNumId w:val="37"/>
  </w:num>
  <w:num w:numId="25">
    <w:abstractNumId w:val="18"/>
  </w:num>
  <w:num w:numId="26">
    <w:abstractNumId w:val="395"/>
  </w:num>
  <w:num w:numId="27">
    <w:abstractNumId w:val="468"/>
  </w:num>
  <w:num w:numId="28">
    <w:abstractNumId w:val="322"/>
  </w:num>
  <w:num w:numId="29">
    <w:abstractNumId w:val="295"/>
  </w:num>
  <w:num w:numId="30">
    <w:abstractNumId w:val="555"/>
  </w:num>
  <w:num w:numId="31">
    <w:abstractNumId w:val="215"/>
  </w:num>
  <w:num w:numId="32">
    <w:abstractNumId w:val="0"/>
  </w:num>
  <w:num w:numId="33">
    <w:abstractNumId w:val="3"/>
  </w:num>
  <w:num w:numId="34">
    <w:abstractNumId w:val="444"/>
  </w:num>
  <w:num w:numId="35">
    <w:abstractNumId w:val="156"/>
  </w:num>
  <w:num w:numId="36">
    <w:abstractNumId w:val="94"/>
  </w:num>
  <w:num w:numId="37">
    <w:abstractNumId w:val="24"/>
  </w:num>
  <w:num w:numId="38">
    <w:abstractNumId w:val="547"/>
  </w:num>
  <w:num w:numId="39">
    <w:abstractNumId w:val="521"/>
  </w:num>
  <w:num w:numId="40">
    <w:abstractNumId w:val="485"/>
  </w:num>
  <w:num w:numId="41">
    <w:abstractNumId w:val="334"/>
  </w:num>
  <w:num w:numId="42">
    <w:abstractNumId w:val="542"/>
  </w:num>
  <w:num w:numId="43">
    <w:abstractNumId w:val="45"/>
  </w:num>
  <w:num w:numId="44">
    <w:abstractNumId w:val="148"/>
  </w:num>
  <w:num w:numId="45">
    <w:abstractNumId w:val="180"/>
  </w:num>
  <w:num w:numId="46">
    <w:abstractNumId w:val="117"/>
  </w:num>
  <w:num w:numId="47">
    <w:abstractNumId w:val="146"/>
  </w:num>
  <w:num w:numId="48">
    <w:abstractNumId w:val="154"/>
  </w:num>
  <w:num w:numId="49">
    <w:abstractNumId w:val="494"/>
  </w:num>
  <w:num w:numId="50">
    <w:abstractNumId w:val="317"/>
  </w:num>
  <w:num w:numId="51">
    <w:abstractNumId w:val="347"/>
  </w:num>
  <w:num w:numId="52">
    <w:abstractNumId w:val="10"/>
  </w:num>
  <w:num w:numId="53">
    <w:abstractNumId w:val="518"/>
  </w:num>
  <w:num w:numId="54">
    <w:abstractNumId w:val="551"/>
  </w:num>
  <w:num w:numId="55">
    <w:abstractNumId w:val="35"/>
  </w:num>
  <w:num w:numId="56">
    <w:abstractNumId w:val="17"/>
  </w:num>
  <w:num w:numId="57">
    <w:abstractNumId w:val="383"/>
  </w:num>
  <w:num w:numId="58">
    <w:abstractNumId w:val="382"/>
  </w:num>
  <w:num w:numId="59">
    <w:abstractNumId w:val="138"/>
  </w:num>
  <w:num w:numId="60">
    <w:abstractNumId w:val="221"/>
  </w:num>
  <w:num w:numId="61">
    <w:abstractNumId w:val="368"/>
  </w:num>
  <w:num w:numId="62">
    <w:abstractNumId w:val="499"/>
  </w:num>
  <w:num w:numId="63">
    <w:abstractNumId w:val="425"/>
  </w:num>
  <w:num w:numId="64">
    <w:abstractNumId w:val="90"/>
  </w:num>
  <w:num w:numId="65">
    <w:abstractNumId w:val="462"/>
  </w:num>
  <w:num w:numId="66">
    <w:abstractNumId w:val="251"/>
  </w:num>
  <w:num w:numId="67">
    <w:abstractNumId w:val="132"/>
  </w:num>
  <w:num w:numId="68">
    <w:abstractNumId w:val="80"/>
  </w:num>
  <w:num w:numId="69">
    <w:abstractNumId w:val="480"/>
  </w:num>
  <w:num w:numId="70">
    <w:abstractNumId w:val="371"/>
  </w:num>
  <w:num w:numId="71">
    <w:abstractNumId w:val="86"/>
  </w:num>
  <w:num w:numId="72">
    <w:abstractNumId w:val="420"/>
  </w:num>
  <w:num w:numId="73">
    <w:abstractNumId w:val="160"/>
  </w:num>
  <w:num w:numId="74">
    <w:abstractNumId w:val="349"/>
  </w:num>
  <w:num w:numId="75">
    <w:abstractNumId w:val="11"/>
  </w:num>
  <w:num w:numId="76">
    <w:abstractNumId w:val="135"/>
  </w:num>
  <w:num w:numId="77">
    <w:abstractNumId w:val="311"/>
  </w:num>
  <w:num w:numId="78">
    <w:abstractNumId w:val="176"/>
  </w:num>
  <w:num w:numId="79">
    <w:abstractNumId w:val="208"/>
  </w:num>
  <w:num w:numId="80">
    <w:abstractNumId w:val="447"/>
  </w:num>
  <w:num w:numId="81">
    <w:abstractNumId w:val="93"/>
  </w:num>
  <w:num w:numId="82">
    <w:abstractNumId w:val="294"/>
  </w:num>
  <w:num w:numId="83">
    <w:abstractNumId w:val="291"/>
  </w:num>
  <w:num w:numId="84">
    <w:abstractNumId w:val="465"/>
  </w:num>
  <w:num w:numId="85">
    <w:abstractNumId w:val="354"/>
  </w:num>
  <w:num w:numId="86">
    <w:abstractNumId w:val="182"/>
  </w:num>
  <w:num w:numId="87">
    <w:abstractNumId w:val="52"/>
  </w:num>
  <w:num w:numId="88">
    <w:abstractNumId w:val="173"/>
  </w:num>
  <w:num w:numId="89">
    <w:abstractNumId w:val="449"/>
  </w:num>
  <w:num w:numId="90">
    <w:abstractNumId w:val="265"/>
  </w:num>
  <w:num w:numId="91">
    <w:abstractNumId w:val="118"/>
  </w:num>
  <w:num w:numId="92">
    <w:abstractNumId w:val="229"/>
  </w:num>
  <w:num w:numId="93">
    <w:abstractNumId w:val="396"/>
  </w:num>
  <w:num w:numId="94">
    <w:abstractNumId w:val="320"/>
  </w:num>
  <w:num w:numId="95">
    <w:abstractNumId w:val="340"/>
  </w:num>
  <w:num w:numId="96">
    <w:abstractNumId w:val="528"/>
  </w:num>
  <w:num w:numId="97">
    <w:abstractNumId w:val="112"/>
  </w:num>
  <w:num w:numId="98">
    <w:abstractNumId w:val="531"/>
  </w:num>
  <w:num w:numId="99">
    <w:abstractNumId w:val="538"/>
  </w:num>
  <w:num w:numId="100">
    <w:abstractNumId w:val="123"/>
  </w:num>
  <w:num w:numId="101">
    <w:abstractNumId w:val="147"/>
  </w:num>
  <w:num w:numId="102">
    <w:abstractNumId w:val="490"/>
  </w:num>
  <w:num w:numId="103">
    <w:abstractNumId w:val="227"/>
  </w:num>
  <w:num w:numId="104">
    <w:abstractNumId w:val="470"/>
  </w:num>
  <w:num w:numId="105">
    <w:abstractNumId w:val="139"/>
  </w:num>
  <w:num w:numId="106">
    <w:abstractNumId w:val="501"/>
  </w:num>
  <w:num w:numId="107">
    <w:abstractNumId w:val="157"/>
  </w:num>
  <w:num w:numId="108">
    <w:abstractNumId w:val="335"/>
  </w:num>
  <w:num w:numId="109">
    <w:abstractNumId w:val="46"/>
  </w:num>
  <w:num w:numId="110">
    <w:abstractNumId w:val="249"/>
  </w:num>
  <w:num w:numId="111">
    <w:abstractNumId w:val="89"/>
  </w:num>
  <w:num w:numId="112">
    <w:abstractNumId w:val="19"/>
  </w:num>
  <w:num w:numId="113">
    <w:abstractNumId w:val="285"/>
  </w:num>
  <w:num w:numId="114">
    <w:abstractNumId w:val="122"/>
  </w:num>
  <w:num w:numId="115">
    <w:abstractNumId w:val="412"/>
  </w:num>
  <w:num w:numId="116">
    <w:abstractNumId w:val="460"/>
  </w:num>
  <w:num w:numId="117">
    <w:abstractNumId w:val="190"/>
  </w:num>
  <w:num w:numId="118">
    <w:abstractNumId w:val="472"/>
  </w:num>
  <w:num w:numId="119">
    <w:abstractNumId w:val="27"/>
  </w:num>
  <w:num w:numId="120">
    <w:abstractNumId w:val="484"/>
  </w:num>
  <w:num w:numId="121">
    <w:abstractNumId w:val="439"/>
  </w:num>
  <w:num w:numId="122">
    <w:abstractNumId w:val="184"/>
  </w:num>
  <w:num w:numId="123">
    <w:abstractNumId w:val="288"/>
  </w:num>
  <w:num w:numId="124">
    <w:abstractNumId w:val="48"/>
  </w:num>
  <w:num w:numId="125">
    <w:abstractNumId w:val="129"/>
  </w:num>
  <w:num w:numId="126">
    <w:abstractNumId w:val="174"/>
  </w:num>
  <w:num w:numId="127">
    <w:abstractNumId w:val="419"/>
  </w:num>
  <w:num w:numId="128">
    <w:abstractNumId w:val="232"/>
  </w:num>
  <w:num w:numId="129">
    <w:abstractNumId w:val="446"/>
  </w:num>
  <w:num w:numId="130">
    <w:abstractNumId w:val="30"/>
  </w:num>
  <w:num w:numId="131">
    <w:abstractNumId w:val="7"/>
  </w:num>
  <w:num w:numId="132">
    <w:abstractNumId w:val="223"/>
  </w:num>
  <w:num w:numId="133">
    <w:abstractNumId w:val="340"/>
  </w:num>
  <w:num w:numId="134">
    <w:abstractNumId w:val="315"/>
  </w:num>
  <w:num w:numId="135">
    <w:abstractNumId w:val="205"/>
  </w:num>
  <w:num w:numId="136">
    <w:abstractNumId w:val="272"/>
  </w:num>
  <w:num w:numId="137">
    <w:abstractNumId w:val="546"/>
  </w:num>
  <w:num w:numId="138">
    <w:abstractNumId w:val="410"/>
  </w:num>
  <w:num w:numId="139">
    <w:abstractNumId w:val="506"/>
  </w:num>
  <w:num w:numId="140">
    <w:abstractNumId w:val="153"/>
  </w:num>
  <w:num w:numId="141">
    <w:abstractNumId w:val="539"/>
  </w:num>
  <w:num w:numId="142">
    <w:abstractNumId w:val="342"/>
  </w:num>
  <w:num w:numId="143">
    <w:abstractNumId w:val="405"/>
  </w:num>
  <w:num w:numId="144">
    <w:abstractNumId w:val="113"/>
  </w:num>
  <w:num w:numId="145">
    <w:abstractNumId w:val="289"/>
  </w:num>
  <w:num w:numId="146">
    <w:abstractNumId w:val="500"/>
  </w:num>
  <w:num w:numId="147">
    <w:abstractNumId w:val="346"/>
  </w:num>
  <w:num w:numId="148">
    <w:abstractNumId w:val="75"/>
  </w:num>
  <w:num w:numId="149">
    <w:abstractNumId w:val="544"/>
  </w:num>
  <w:num w:numId="150">
    <w:abstractNumId w:val="329"/>
  </w:num>
  <w:num w:numId="151">
    <w:abstractNumId w:val="530"/>
  </w:num>
  <w:num w:numId="152">
    <w:abstractNumId w:val="21"/>
  </w:num>
  <w:num w:numId="153">
    <w:abstractNumId w:val="554"/>
  </w:num>
  <w:num w:numId="154">
    <w:abstractNumId w:val="463"/>
  </w:num>
  <w:num w:numId="155">
    <w:abstractNumId w:val="81"/>
  </w:num>
  <w:num w:numId="156">
    <w:abstractNumId w:val="279"/>
  </w:num>
  <w:num w:numId="157">
    <w:abstractNumId w:val="296"/>
  </w:num>
  <w:num w:numId="158">
    <w:abstractNumId w:val="185"/>
  </w:num>
  <w:num w:numId="159">
    <w:abstractNumId w:val="524"/>
  </w:num>
  <w:num w:numId="160">
    <w:abstractNumId w:val="130"/>
  </w:num>
  <w:num w:numId="161">
    <w:abstractNumId w:val="321"/>
  </w:num>
  <w:num w:numId="162">
    <w:abstractNumId w:val="351"/>
  </w:num>
  <w:num w:numId="163">
    <w:abstractNumId w:val="239"/>
  </w:num>
  <w:num w:numId="164">
    <w:abstractNumId w:val="477"/>
  </w:num>
  <w:num w:numId="165">
    <w:abstractNumId w:val="262"/>
  </w:num>
  <w:num w:numId="166">
    <w:abstractNumId w:val="266"/>
  </w:num>
  <w:num w:numId="167">
    <w:abstractNumId w:val="102"/>
  </w:num>
  <w:num w:numId="168">
    <w:abstractNumId w:val="331"/>
  </w:num>
  <w:num w:numId="169">
    <w:abstractNumId w:val="450"/>
  </w:num>
  <w:num w:numId="170">
    <w:abstractNumId w:val="340"/>
    <w:lvlOverride w:ilvl="0">
      <w:startOverride w:val="1"/>
    </w:lvlOverride>
  </w:num>
  <w:num w:numId="171">
    <w:abstractNumId w:val="78"/>
  </w:num>
  <w:num w:numId="172">
    <w:abstractNumId w:val="557"/>
  </w:num>
  <w:num w:numId="173">
    <w:abstractNumId w:val="188"/>
  </w:num>
  <w:num w:numId="174">
    <w:abstractNumId w:val="287"/>
  </w:num>
  <w:num w:numId="175">
    <w:abstractNumId w:val="536"/>
    <w:lvlOverride w:ilvl="0">
      <w:startOverride w:val="1"/>
    </w:lvlOverride>
  </w:num>
  <w:num w:numId="176">
    <w:abstractNumId w:val="340"/>
  </w:num>
  <w:num w:numId="177">
    <w:abstractNumId w:val="100"/>
  </w:num>
  <w:num w:numId="178">
    <w:abstractNumId w:val="245"/>
  </w:num>
  <w:num w:numId="179">
    <w:abstractNumId w:val="121"/>
  </w:num>
  <w:num w:numId="180">
    <w:abstractNumId w:val="31"/>
  </w:num>
  <w:num w:numId="181">
    <w:abstractNumId w:val="340"/>
    <w:lvlOverride w:ilvl="0">
      <w:startOverride w:val="1"/>
    </w:lvlOverride>
  </w:num>
  <w:num w:numId="182">
    <w:abstractNumId w:val="353"/>
  </w:num>
  <w:num w:numId="183">
    <w:abstractNumId w:val="240"/>
  </w:num>
  <w:num w:numId="184">
    <w:abstractNumId w:val="252"/>
  </w:num>
  <w:num w:numId="185">
    <w:abstractNumId w:val="344"/>
  </w:num>
  <w:num w:numId="186">
    <w:abstractNumId w:val="136"/>
  </w:num>
  <w:num w:numId="187">
    <w:abstractNumId w:val="558"/>
  </w:num>
  <w:num w:numId="188">
    <w:abstractNumId w:val="42"/>
  </w:num>
  <w:num w:numId="189">
    <w:abstractNumId w:val="401"/>
  </w:num>
  <w:num w:numId="190">
    <w:abstractNumId w:val="209"/>
  </w:num>
  <w:num w:numId="191">
    <w:abstractNumId w:val="306"/>
  </w:num>
  <w:num w:numId="192">
    <w:abstractNumId w:val="422"/>
  </w:num>
  <w:num w:numId="193">
    <w:abstractNumId w:val="158"/>
  </w:num>
  <w:num w:numId="194">
    <w:abstractNumId w:val="43"/>
  </w:num>
  <w:num w:numId="195">
    <w:abstractNumId w:val="437"/>
  </w:num>
  <w:num w:numId="196">
    <w:abstractNumId w:val="114"/>
  </w:num>
  <w:num w:numId="197">
    <w:abstractNumId w:val="431"/>
  </w:num>
  <w:num w:numId="198">
    <w:abstractNumId w:val="533"/>
  </w:num>
  <w:num w:numId="199">
    <w:abstractNumId w:val="85"/>
  </w:num>
  <w:num w:numId="200">
    <w:abstractNumId w:val="514"/>
  </w:num>
  <w:num w:numId="201">
    <w:abstractNumId w:val="561"/>
  </w:num>
  <w:num w:numId="202">
    <w:abstractNumId w:val="151"/>
  </w:num>
  <w:num w:numId="203">
    <w:abstractNumId w:val="6"/>
  </w:num>
  <w:num w:numId="204">
    <w:abstractNumId w:val="143"/>
  </w:num>
  <w:num w:numId="205">
    <w:abstractNumId w:val="270"/>
  </w:num>
  <w:num w:numId="206">
    <w:abstractNumId w:val="108"/>
  </w:num>
  <w:num w:numId="207">
    <w:abstractNumId w:val="458"/>
  </w:num>
  <w:num w:numId="208">
    <w:abstractNumId w:val="22"/>
  </w:num>
  <w:num w:numId="209">
    <w:abstractNumId w:val="286"/>
  </w:num>
  <w:num w:numId="210">
    <w:abstractNumId w:val="8"/>
  </w:num>
  <w:num w:numId="211">
    <w:abstractNumId w:val="59"/>
  </w:num>
  <w:num w:numId="212">
    <w:abstractNumId w:val="448"/>
  </w:num>
  <w:num w:numId="213">
    <w:abstractNumId w:val="482"/>
  </w:num>
  <w:num w:numId="214">
    <w:abstractNumId w:val="381"/>
  </w:num>
  <w:num w:numId="215">
    <w:abstractNumId w:val="142"/>
  </w:num>
  <w:num w:numId="216">
    <w:abstractNumId w:val="226"/>
  </w:num>
  <w:num w:numId="217">
    <w:abstractNumId w:val="92"/>
  </w:num>
  <w:num w:numId="218">
    <w:abstractNumId w:val="258"/>
  </w:num>
  <w:num w:numId="219">
    <w:abstractNumId w:val="345"/>
  </w:num>
  <w:num w:numId="220">
    <w:abstractNumId w:val="178"/>
  </w:num>
  <w:num w:numId="221">
    <w:abstractNumId w:val="20"/>
  </w:num>
  <w:num w:numId="222">
    <w:abstractNumId w:val="402"/>
  </w:num>
  <w:num w:numId="223">
    <w:abstractNumId w:val="513"/>
  </w:num>
  <w:num w:numId="224">
    <w:abstractNumId w:val="504"/>
  </w:num>
  <w:num w:numId="225">
    <w:abstractNumId w:val="314"/>
  </w:num>
  <w:num w:numId="226">
    <w:abstractNumId w:val="84"/>
  </w:num>
  <w:num w:numId="227">
    <w:abstractNumId w:val="267"/>
  </w:num>
  <w:num w:numId="228">
    <w:abstractNumId w:val="430"/>
  </w:num>
  <w:num w:numId="229">
    <w:abstractNumId w:val="318"/>
  </w:num>
  <w:num w:numId="230">
    <w:abstractNumId w:val="332"/>
  </w:num>
  <w:num w:numId="231">
    <w:abstractNumId w:val="186"/>
  </w:num>
  <w:num w:numId="232">
    <w:abstractNumId w:val="26"/>
  </w:num>
  <w:num w:numId="233">
    <w:abstractNumId w:val="115"/>
  </w:num>
  <w:num w:numId="234">
    <w:abstractNumId w:val="2"/>
  </w:num>
  <w:num w:numId="235">
    <w:abstractNumId w:val="253"/>
  </w:num>
  <w:num w:numId="236">
    <w:abstractNumId w:val="350"/>
  </w:num>
  <w:num w:numId="237">
    <w:abstractNumId w:val="246"/>
  </w:num>
  <w:num w:numId="238">
    <w:abstractNumId w:val="467"/>
  </w:num>
  <w:num w:numId="239">
    <w:abstractNumId w:val="375"/>
  </w:num>
  <w:num w:numId="240">
    <w:abstractNumId w:val="200"/>
  </w:num>
  <w:num w:numId="241">
    <w:abstractNumId w:val="478"/>
  </w:num>
  <w:num w:numId="242">
    <w:abstractNumId w:val="452"/>
  </w:num>
  <w:num w:numId="243">
    <w:abstractNumId w:val="254"/>
  </w:num>
  <w:num w:numId="244">
    <w:abstractNumId w:val="365"/>
  </w:num>
  <w:num w:numId="245">
    <w:abstractNumId w:val="282"/>
  </w:num>
  <w:num w:numId="246">
    <w:abstractNumId w:val="236"/>
  </w:num>
  <w:num w:numId="247">
    <w:abstractNumId w:val="34"/>
  </w:num>
  <w:num w:numId="248">
    <w:abstractNumId w:val="361"/>
  </w:num>
  <w:num w:numId="249">
    <w:abstractNumId w:val="372"/>
  </w:num>
  <w:num w:numId="250">
    <w:abstractNumId w:val="516"/>
  </w:num>
  <w:num w:numId="251">
    <w:abstractNumId w:val="359"/>
  </w:num>
  <w:num w:numId="252">
    <w:abstractNumId w:val="181"/>
  </w:num>
  <w:num w:numId="253">
    <w:abstractNumId w:val="377"/>
  </w:num>
  <w:num w:numId="254">
    <w:abstractNumId w:val="131"/>
  </w:num>
  <w:num w:numId="255">
    <w:abstractNumId w:val="278"/>
  </w:num>
  <w:num w:numId="256">
    <w:abstractNumId w:val="367"/>
  </w:num>
  <w:num w:numId="257">
    <w:abstractNumId w:val="204"/>
  </w:num>
  <w:num w:numId="258">
    <w:abstractNumId w:val="247"/>
  </w:num>
  <w:num w:numId="259">
    <w:abstractNumId w:val="63"/>
  </w:num>
  <w:num w:numId="260">
    <w:abstractNumId w:val="124"/>
  </w:num>
  <w:num w:numId="261">
    <w:abstractNumId w:val="38"/>
  </w:num>
  <w:num w:numId="262">
    <w:abstractNumId w:val="51"/>
  </w:num>
  <w:num w:numId="263">
    <w:abstractNumId w:val="408"/>
  </w:num>
  <w:num w:numId="264">
    <w:abstractNumId w:val="213"/>
  </w:num>
  <w:num w:numId="265">
    <w:abstractNumId w:val="50"/>
  </w:num>
  <w:num w:numId="266">
    <w:abstractNumId w:val="4"/>
  </w:num>
  <w:num w:numId="267">
    <w:abstractNumId w:val="77"/>
  </w:num>
  <w:num w:numId="268">
    <w:abstractNumId w:val="297"/>
  </w:num>
  <w:num w:numId="269">
    <w:abstractNumId w:val="301"/>
  </w:num>
  <w:num w:numId="270">
    <w:abstractNumId w:val="101"/>
  </w:num>
  <w:num w:numId="271">
    <w:abstractNumId w:val="481"/>
  </w:num>
  <w:num w:numId="272">
    <w:abstractNumId w:val="217"/>
  </w:num>
  <w:num w:numId="273">
    <w:abstractNumId w:val="486"/>
  </w:num>
  <w:num w:numId="274">
    <w:abstractNumId w:val="330"/>
  </w:num>
  <w:num w:numId="275">
    <w:abstractNumId w:val="99"/>
  </w:num>
  <w:num w:numId="276">
    <w:abstractNumId w:val="379"/>
  </w:num>
  <w:num w:numId="277">
    <w:abstractNumId w:val="76"/>
  </w:num>
  <w:num w:numId="278">
    <w:abstractNumId w:val="457"/>
  </w:num>
  <w:num w:numId="279">
    <w:abstractNumId w:val="491"/>
  </w:num>
  <w:num w:numId="280">
    <w:abstractNumId w:val="241"/>
  </w:num>
  <w:num w:numId="281">
    <w:abstractNumId w:val="47"/>
  </w:num>
  <w:num w:numId="282">
    <w:abstractNumId w:val="510"/>
  </w:num>
  <w:num w:numId="283">
    <w:abstractNumId w:val="61"/>
  </w:num>
  <w:num w:numId="284">
    <w:abstractNumId w:val="305"/>
  </w:num>
  <w:num w:numId="285">
    <w:abstractNumId w:val="505"/>
  </w:num>
  <w:num w:numId="286">
    <w:abstractNumId w:val="390"/>
  </w:num>
  <w:num w:numId="287">
    <w:abstractNumId w:val="192"/>
  </w:num>
  <w:num w:numId="288">
    <w:abstractNumId w:val="54"/>
  </w:num>
  <w:num w:numId="289">
    <w:abstractNumId w:val="454"/>
  </w:num>
  <w:num w:numId="290">
    <w:abstractNumId w:val="163"/>
  </w:num>
  <w:num w:numId="291">
    <w:abstractNumId w:val="207"/>
  </w:num>
  <w:num w:numId="292">
    <w:abstractNumId w:val="145"/>
  </w:num>
  <w:num w:numId="293">
    <w:abstractNumId w:val="40"/>
  </w:num>
  <w:num w:numId="294">
    <w:abstractNumId w:val="137"/>
  </w:num>
  <w:num w:numId="295">
    <w:abstractNumId w:val="442"/>
  </w:num>
  <w:num w:numId="296">
    <w:abstractNumId w:val="168"/>
  </w:num>
  <w:num w:numId="297">
    <w:abstractNumId w:val="537"/>
  </w:num>
  <w:num w:numId="298">
    <w:abstractNumId w:val="172"/>
  </w:num>
  <w:num w:numId="299">
    <w:abstractNumId w:val="191"/>
  </w:num>
  <w:num w:numId="300">
    <w:abstractNumId w:val="103"/>
  </w:num>
  <w:num w:numId="301">
    <w:abstractNumId w:val="104"/>
  </w:num>
  <w:num w:numId="302">
    <w:abstractNumId w:val="104"/>
    <w:lvlOverride w:ilvl="0">
      <w:startOverride w:val="1"/>
    </w:lvlOverride>
  </w:num>
  <w:num w:numId="303">
    <w:abstractNumId w:val="466"/>
  </w:num>
  <w:num w:numId="304">
    <w:abstractNumId w:val="339"/>
  </w:num>
  <w:num w:numId="305">
    <w:abstractNumId w:val="193"/>
  </w:num>
  <w:num w:numId="306">
    <w:abstractNumId w:val="545"/>
  </w:num>
  <w:num w:numId="307">
    <w:abstractNumId w:val="224"/>
  </w:num>
  <w:num w:numId="308">
    <w:abstractNumId w:val="292"/>
  </w:num>
  <w:num w:numId="309">
    <w:abstractNumId w:val="483"/>
  </w:num>
  <w:num w:numId="310">
    <w:abstractNumId w:val="106"/>
  </w:num>
  <w:num w:numId="311">
    <w:abstractNumId w:val="65"/>
  </w:num>
  <w:num w:numId="312">
    <w:abstractNumId w:val="304"/>
  </w:num>
  <w:num w:numId="313">
    <w:abstractNumId w:val="197"/>
  </w:num>
  <w:num w:numId="314">
    <w:abstractNumId w:val="167"/>
  </w:num>
  <w:num w:numId="315">
    <w:abstractNumId w:val="140"/>
  </w:num>
  <w:num w:numId="316">
    <w:abstractNumId w:val="16"/>
  </w:num>
  <w:num w:numId="317">
    <w:abstractNumId w:val="358"/>
  </w:num>
  <w:num w:numId="318">
    <w:abstractNumId w:val="211"/>
    <w:lvlOverride w:ilvl="0">
      <w:startOverride w:val="1"/>
    </w:lvlOverride>
  </w:num>
  <w:num w:numId="319">
    <w:abstractNumId w:val="404"/>
  </w:num>
  <w:num w:numId="320">
    <w:abstractNumId w:val="343"/>
  </w:num>
  <w:num w:numId="321">
    <w:abstractNumId w:val="378"/>
  </w:num>
  <w:num w:numId="322">
    <w:abstractNumId w:val="179"/>
  </w:num>
  <w:num w:numId="323">
    <w:abstractNumId w:val="5"/>
  </w:num>
  <w:num w:numId="324">
    <w:abstractNumId w:val="255"/>
  </w:num>
  <w:num w:numId="325">
    <w:abstractNumId w:val="409"/>
  </w:num>
  <w:num w:numId="326">
    <w:abstractNumId w:val="540"/>
  </w:num>
  <w:num w:numId="327">
    <w:abstractNumId w:val="126"/>
  </w:num>
  <w:num w:numId="328">
    <w:abstractNumId w:val="492"/>
  </w:num>
  <w:num w:numId="329">
    <w:abstractNumId w:val="548"/>
  </w:num>
  <w:num w:numId="330">
    <w:abstractNumId w:val="242"/>
  </w:num>
  <w:num w:numId="331">
    <w:abstractNumId w:val="373"/>
  </w:num>
  <w:num w:numId="332">
    <w:abstractNumId w:val="230"/>
  </w:num>
  <w:num w:numId="333">
    <w:abstractNumId w:val="543"/>
  </w:num>
  <w:num w:numId="334">
    <w:abstractNumId w:val="198"/>
  </w:num>
  <w:num w:numId="335">
    <w:abstractNumId w:val="519"/>
  </w:num>
  <w:num w:numId="336">
    <w:abstractNumId w:val="496"/>
  </w:num>
  <w:num w:numId="337">
    <w:abstractNumId w:val="471"/>
  </w:num>
  <w:num w:numId="338">
    <w:abstractNumId w:val="529"/>
  </w:num>
  <w:num w:numId="339">
    <w:abstractNumId w:val="58"/>
  </w:num>
  <w:num w:numId="340">
    <w:abstractNumId w:val="497"/>
  </w:num>
  <w:num w:numId="341">
    <w:abstractNumId w:val="517"/>
  </w:num>
  <w:num w:numId="342">
    <w:abstractNumId w:val="56"/>
  </w:num>
  <w:num w:numId="343">
    <w:abstractNumId w:val="164"/>
  </w:num>
  <w:num w:numId="344">
    <w:abstractNumId w:val="210"/>
  </w:num>
  <w:num w:numId="345">
    <w:abstractNumId w:val="398"/>
  </w:num>
  <w:num w:numId="346">
    <w:abstractNumId w:val="455"/>
  </w:num>
  <w:num w:numId="347">
    <w:abstractNumId w:val="525"/>
  </w:num>
  <w:num w:numId="348">
    <w:abstractNumId w:val="88"/>
  </w:num>
  <w:num w:numId="349">
    <w:abstractNumId w:val="177"/>
  </w:num>
  <w:num w:numId="350">
    <w:abstractNumId w:val="14"/>
  </w:num>
  <w:num w:numId="351">
    <w:abstractNumId w:val="411"/>
  </w:num>
  <w:num w:numId="352">
    <w:abstractNumId w:val="475"/>
  </w:num>
  <w:num w:numId="353">
    <w:abstractNumId w:val="71"/>
  </w:num>
  <w:num w:numId="354">
    <w:abstractNumId w:val="206"/>
  </w:num>
  <w:num w:numId="355">
    <w:abstractNumId w:val="556"/>
  </w:num>
  <w:num w:numId="356">
    <w:abstractNumId w:val="512"/>
  </w:num>
  <w:num w:numId="357">
    <w:abstractNumId w:val="474"/>
  </w:num>
  <w:num w:numId="358">
    <w:abstractNumId w:val="469"/>
  </w:num>
  <w:num w:numId="359">
    <w:abstractNumId w:val="498"/>
  </w:num>
  <w:num w:numId="360">
    <w:abstractNumId w:val="364"/>
  </w:num>
  <w:num w:numId="361">
    <w:abstractNumId w:val="98"/>
  </w:num>
  <w:num w:numId="362">
    <w:abstractNumId w:val="493"/>
  </w:num>
  <w:num w:numId="363">
    <w:abstractNumId w:val="116"/>
  </w:num>
  <w:num w:numId="364">
    <w:abstractNumId w:val="507"/>
  </w:num>
  <w:num w:numId="365">
    <w:abstractNumId w:val="144"/>
  </w:num>
  <w:num w:numId="366">
    <w:abstractNumId w:val="280"/>
  </w:num>
  <w:num w:numId="367">
    <w:abstractNumId w:val="261"/>
  </w:num>
  <w:num w:numId="368">
    <w:abstractNumId w:val="91"/>
  </w:num>
  <w:num w:numId="369">
    <w:abstractNumId w:val="49"/>
  </w:num>
  <w:num w:numId="370">
    <w:abstractNumId w:val="218"/>
  </w:num>
  <w:num w:numId="371">
    <w:abstractNumId w:val="32"/>
  </w:num>
  <w:num w:numId="372">
    <w:abstractNumId w:val="220"/>
  </w:num>
  <w:num w:numId="373">
    <w:abstractNumId w:val="69"/>
  </w:num>
  <w:num w:numId="374">
    <w:abstractNumId w:val="440"/>
  </w:num>
  <w:num w:numId="375">
    <w:abstractNumId w:val="235"/>
  </w:num>
  <w:num w:numId="376">
    <w:abstractNumId w:val="33"/>
  </w:num>
  <w:num w:numId="377">
    <w:abstractNumId w:val="28"/>
  </w:num>
  <w:num w:numId="378">
    <w:abstractNumId w:val="36"/>
  </w:num>
  <w:num w:numId="379">
    <w:abstractNumId w:val="57"/>
  </w:num>
  <w:num w:numId="380">
    <w:abstractNumId w:val="104"/>
    <w:lvlOverride w:ilvl="0">
      <w:startOverride w:val="1"/>
    </w:lvlOverride>
  </w:num>
  <w:num w:numId="381">
    <w:abstractNumId w:val="233"/>
  </w:num>
  <w:num w:numId="382">
    <w:abstractNumId w:val="259"/>
  </w:num>
  <w:num w:numId="383">
    <w:abstractNumId w:val="44"/>
  </w:num>
  <w:num w:numId="384">
    <w:abstractNumId w:val="257"/>
  </w:num>
  <w:num w:numId="385">
    <w:abstractNumId w:val="194"/>
  </w:num>
  <w:num w:numId="386">
    <w:abstractNumId w:val="307"/>
  </w:num>
  <w:num w:numId="387">
    <w:abstractNumId w:val="274"/>
  </w:num>
  <w:num w:numId="388">
    <w:abstractNumId w:val="310"/>
  </w:num>
  <w:num w:numId="389">
    <w:abstractNumId w:val="356"/>
  </w:num>
  <w:num w:numId="390">
    <w:abstractNumId w:val="243"/>
  </w:num>
  <w:num w:numId="391">
    <w:abstractNumId w:val="79"/>
  </w:num>
  <w:num w:numId="392">
    <w:abstractNumId w:val="83"/>
  </w:num>
  <w:num w:numId="393">
    <w:abstractNumId w:val="195"/>
  </w:num>
  <w:num w:numId="394">
    <w:abstractNumId w:val="324"/>
  </w:num>
  <w:num w:numId="395">
    <w:abstractNumId w:val="502"/>
  </w:num>
  <w:num w:numId="396">
    <w:abstractNumId w:val="150"/>
  </w:num>
  <w:num w:numId="397">
    <w:abstractNumId w:val="560"/>
  </w:num>
  <w:num w:numId="398">
    <w:abstractNumId w:val="508"/>
  </w:num>
  <w:num w:numId="399">
    <w:abstractNumId w:val="414"/>
  </w:num>
  <w:num w:numId="400">
    <w:abstractNumId w:val="72"/>
  </w:num>
  <w:num w:numId="401">
    <w:abstractNumId w:val="429"/>
  </w:num>
  <w:num w:numId="402">
    <w:abstractNumId w:val="263"/>
  </w:num>
  <w:num w:numId="403">
    <w:abstractNumId w:val="503"/>
  </w:num>
  <w:num w:numId="404">
    <w:abstractNumId w:val="67"/>
  </w:num>
  <w:num w:numId="405">
    <w:abstractNumId w:val="187"/>
  </w:num>
  <w:num w:numId="406">
    <w:abstractNumId w:val="269"/>
  </w:num>
  <w:num w:numId="407">
    <w:abstractNumId w:val="82"/>
  </w:num>
  <w:num w:numId="408">
    <w:abstractNumId w:val="515"/>
  </w:num>
  <w:num w:numId="409">
    <w:abstractNumId w:val="120"/>
  </w:num>
  <w:num w:numId="410">
    <w:abstractNumId w:val="550"/>
  </w:num>
  <w:num w:numId="411">
    <w:abstractNumId w:val="337"/>
  </w:num>
  <w:num w:numId="412">
    <w:abstractNumId w:val="532"/>
  </w:num>
  <w:num w:numId="413">
    <w:abstractNumId w:val="376"/>
  </w:num>
  <w:num w:numId="414">
    <w:abstractNumId w:val="271"/>
  </w:num>
  <w:num w:numId="415">
    <w:abstractNumId w:val="13"/>
  </w:num>
  <w:num w:numId="416">
    <w:abstractNumId w:val="231"/>
  </w:num>
  <w:num w:numId="417">
    <w:abstractNumId w:val="432"/>
  </w:num>
  <w:num w:numId="418">
    <w:abstractNumId w:val="53"/>
  </w:num>
  <w:num w:numId="419">
    <w:abstractNumId w:val="96"/>
  </w:num>
  <w:num w:numId="420">
    <w:abstractNumId w:val="476"/>
  </w:num>
  <w:num w:numId="421">
    <w:abstractNumId w:val="534"/>
  </w:num>
  <w:num w:numId="422">
    <w:abstractNumId w:val="302"/>
  </w:num>
  <w:num w:numId="423">
    <w:abstractNumId w:val="438"/>
  </w:num>
  <w:num w:numId="424">
    <w:abstractNumId w:val="237"/>
  </w:num>
  <w:num w:numId="425">
    <w:abstractNumId w:val="319"/>
  </w:num>
  <w:num w:numId="426">
    <w:abstractNumId w:val="277"/>
  </w:num>
  <w:num w:numId="427">
    <w:abstractNumId w:val="308"/>
  </w:num>
  <w:num w:numId="428">
    <w:abstractNumId w:val="225"/>
  </w:num>
  <w:num w:numId="429">
    <w:abstractNumId w:val="189"/>
  </w:num>
  <w:num w:numId="430">
    <w:abstractNumId w:val="166"/>
  </w:num>
  <w:num w:numId="431">
    <w:abstractNumId w:val="127"/>
  </w:num>
  <w:num w:numId="432">
    <w:abstractNumId w:val="260"/>
  </w:num>
  <w:num w:numId="433">
    <w:abstractNumId w:val="66"/>
  </w:num>
  <w:num w:numId="434">
    <w:abstractNumId w:val="459"/>
  </w:num>
  <w:num w:numId="435">
    <w:abstractNumId w:val="341"/>
  </w:num>
  <w:num w:numId="436">
    <w:abstractNumId w:val="523"/>
  </w:num>
  <w:num w:numId="437">
    <w:abstractNumId w:val="128"/>
  </w:num>
  <w:num w:numId="438">
    <w:abstractNumId w:val="417"/>
  </w:num>
  <w:num w:numId="439">
    <w:abstractNumId w:val="107"/>
  </w:num>
  <w:num w:numId="440">
    <w:abstractNumId w:val="248"/>
  </w:num>
  <w:num w:numId="441">
    <w:abstractNumId w:val="333"/>
  </w:num>
  <w:num w:numId="442">
    <w:abstractNumId w:val="214"/>
  </w:num>
  <w:num w:numId="443">
    <w:abstractNumId w:val="155"/>
  </w:num>
  <w:num w:numId="444">
    <w:abstractNumId w:val="152"/>
  </w:num>
  <w:num w:numId="445">
    <w:abstractNumId w:val="370"/>
  </w:num>
  <w:num w:numId="446">
    <w:abstractNumId w:val="552"/>
  </w:num>
  <w:num w:numId="447">
    <w:abstractNumId w:val="336"/>
  </w:num>
  <w:num w:numId="448">
    <w:abstractNumId w:val="355"/>
  </w:num>
  <w:num w:numId="449">
    <w:abstractNumId w:val="386"/>
  </w:num>
  <w:num w:numId="450">
    <w:abstractNumId w:val="527"/>
  </w:num>
  <w:num w:numId="451">
    <w:abstractNumId w:val="391"/>
  </w:num>
  <w:num w:numId="452">
    <w:abstractNumId w:val="276"/>
  </w:num>
  <w:num w:numId="453">
    <w:abstractNumId w:val="559"/>
  </w:num>
  <w:num w:numId="454">
    <w:abstractNumId w:val="87"/>
  </w:num>
  <w:num w:numId="455">
    <w:abstractNumId w:val="424"/>
  </w:num>
  <w:num w:numId="456">
    <w:abstractNumId w:val="464"/>
  </w:num>
  <w:num w:numId="457">
    <w:abstractNumId w:val="70"/>
  </w:num>
  <w:num w:numId="458">
    <w:abstractNumId w:val="509"/>
  </w:num>
  <w:num w:numId="459">
    <w:abstractNumId w:val="9"/>
  </w:num>
  <w:num w:numId="460">
    <w:abstractNumId w:val="473"/>
  </w:num>
  <w:num w:numId="461">
    <w:abstractNumId w:val="97"/>
  </w:num>
  <w:num w:numId="462">
    <w:abstractNumId w:val="29"/>
  </w:num>
  <w:num w:numId="463">
    <w:abstractNumId w:val="428"/>
  </w:num>
  <w:num w:numId="464">
    <w:abstractNumId w:val="175"/>
  </w:num>
  <w:num w:numId="465">
    <w:abstractNumId w:val="273"/>
  </w:num>
  <w:num w:numId="466">
    <w:abstractNumId w:val="238"/>
  </w:num>
  <w:num w:numId="467">
    <w:abstractNumId w:val="303"/>
  </w:num>
  <w:num w:numId="468">
    <w:abstractNumId w:val="394"/>
  </w:num>
  <w:num w:numId="469">
    <w:abstractNumId w:val="380"/>
  </w:num>
  <w:num w:numId="470">
    <w:abstractNumId w:val="374"/>
  </w:num>
  <w:num w:numId="471">
    <w:abstractNumId w:val="39"/>
  </w:num>
  <w:num w:numId="472">
    <w:abstractNumId w:val="196"/>
  </w:num>
  <w:num w:numId="473">
    <w:abstractNumId w:val="23"/>
  </w:num>
  <w:num w:numId="474">
    <w:abstractNumId w:val="489"/>
  </w:num>
  <w:num w:numId="475">
    <w:abstractNumId w:val="268"/>
  </w:num>
  <w:num w:numId="476">
    <w:abstractNumId w:val="60"/>
  </w:num>
  <w:num w:numId="477">
    <w:abstractNumId w:val="141"/>
  </w:num>
  <w:num w:numId="478">
    <w:abstractNumId w:val="453"/>
  </w:num>
  <w:num w:numId="479">
    <w:abstractNumId w:val="326"/>
  </w:num>
  <w:num w:numId="480">
    <w:abstractNumId w:val="222"/>
  </w:num>
  <w:num w:numId="481">
    <w:abstractNumId w:val="1"/>
  </w:num>
  <w:num w:numId="482">
    <w:abstractNumId w:val="385"/>
  </w:num>
  <w:num w:numId="483">
    <w:abstractNumId w:val="171"/>
  </w:num>
  <w:num w:numId="484">
    <w:abstractNumId w:val="415"/>
  </w:num>
  <w:num w:numId="485">
    <w:abstractNumId w:val="445"/>
  </w:num>
  <w:num w:numId="486">
    <w:abstractNumId w:val="256"/>
  </w:num>
  <w:num w:numId="487">
    <w:abstractNumId w:val="389"/>
  </w:num>
  <w:num w:numId="488">
    <w:abstractNumId w:val="203"/>
  </w:num>
  <w:num w:numId="489">
    <w:abstractNumId w:val="325"/>
  </w:num>
  <w:num w:numId="490">
    <w:abstractNumId w:val="393"/>
  </w:num>
  <w:num w:numId="491">
    <w:abstractNumId w:val="74"/>
  </w:num>
  <w:num w:numId="492">
    <w:abstractNumId w:val="323"/>
  </w:num>
  <w:num w:numId="493">
    <w:abstractNumId w:val="313"/>
  </w:num>
  <w:num w:numId="494">
    <w:abstractNumId w:val="487"/>
  </w:num>
  <w:num w:numId="495">
    <w:abstractNumId w:val="407"/>
  </w:num>
  <w:num w:numId="496">
    <w:abstractNumId w:val="427"/>
  </w:num>
  <w:num w:numId="497">
    <w:abstractNumId w:val="109"/>
  </w:num>
  <w:num w:numId="498">
    <w:abstractNumId w:val="170"/>
  </w:num>
  <w:num w:numId="499">
    <w:abstractNumId w:val="461"/>
  </w:num>
  <w:num w:numId="500">
    <w:abstractNumId w:val="264"/>
  </w:num>
  <w:num w:numId="501">
    <w:abstractNumId w:val="418"/>
  </w:num>
  <w:num w:numId="502">
    <w:abstractNumId w:val="234"/>
  </w:num>
  <w:num w:numId="503">
    <w:abstractNumId w:val="369"/>
  </w:num>
  <w:num w:numId="504">
    <w:abstractNumId w:val="434"/>
  </w:num>
  <w:num w:numId="505">
    <w:abstractNumId w:val="300"/>
  </w:num>
  <w:num w:numId="506">
    <w:abstractNumId w:val="162"/>
  </w:num>
  <w:num w:numId="507">
    <w:abstractNumId w:val="165"/>
  </w:num>
  <w:num w:numId="508">
    <w:abstractNumId w:val="283"/>
  </w:num>
  <w:num w:numId="509">
    <w:abstractNumId w:val="111"/>
  </w:num>
  <w:num w:numId="510">
    <w:abstractNumId w:val="275"/>
  </w:num>
  <w:num w:numId="511">
    <w:abstractNumId w:val="549"/>
  </w:num>
  <w:num w:numId="512">
    <w:abstractNumId w:val="426"/>
  </w:num>
  <w:num w:numId="513">
    <w:abstractNumId w:val="384"/>
  </w:num>
  <w:num w:numId="514">
    <w:abstractNumId w:val="352"/>
  </w:num>
  <w:num w:numId="515">
    <w:abstractNumId w:val="15"/>
  </w:num>
  <w:num w:numId="516">
    <w:abstractNumId w:val="451"/>
  </w:num>
  <w:num w:numId="517">
    <w:abstractNumId w:val="281"/>
  </w:num>
  <w:num w:numId="518">
    <w:abstractNumId w:val="293"/>
  </w:num>
  <w:num w:numId="519">
    <w:abstractNumId w:val="388"/>
  </w:num>
  <w:num w:numId="520">
    <w:abstractNumId w:val="299"/>
  </w:num>
  <w:num w:numId="521">
    <w:abstractNumId w:val="244"/>
  </w:num>
  <w:num w:numId="522">
    <w:abstractNumId w:val="312"/>
  </w:num>
  <w:num w:numId="523">
    <w:abstractNumId w:val="338"/>
  </w:num>
  <w:num w:numId="524">
    <w:abstractNumId w:val="328"/>
  </w:num>
  <w:num w:numId="525">
    <w:abstractNumId w:val="316"/>
  </w:num>
  <w:num w:numId="526">
    <w:abstractNumId w:val="169"/>
  </w:num>
  <w:num w:numId="527">
    <w:abstractNumId w:val="443"/>
  </w:num>
  <w:num w:numId="528">
    <w:abstractNumId w:val="201"/>
  </w:num>
  <w:num w:numId="529">
    <w:abstractNumId w:val="183"/>
  </w:num>
  <w:num w:numId="530">
    <w:abstractNumId w:val="403"/>
  </w:num>
  <w:num w:numId="531">
    <w:abstractNumId w:val="64"/>
  </w:num>
  <w:num w:numId="532">
    <w:abstractNumId w:val="511"/>
  </w:num>
  <w:num w:numId="533">
    <w:abstractNumId w:val="399"/>
  </w:num>
  <w:num w:numId="534">
    <w:abstractNumId w:val="133"/>
  </w:num>
  <w:num w:numId="535">
    <w:abstractNumId w:val="134"/>
  </w:num>
  <w:num w:numId="536">
    <w:abstractNumId w:val="362"/>
  </w:num>
  <w:num w:numId="537">
    <w:abstractNumId w:val="212"/>
  </w:num>
  <w:num w:numId="538">
    <w:abstractNumId w:val="119"/>
  </w:num>
  <w:num w:numId="539">
    <w:abstractNumId w:val="400"/>
  </w:num>
  <w:num w:numId="540">
    <w:abstractNumId w:val="25"/>
  </w:num>
  <w:num w:numId="541">
    <w:abstractNumId w:val="535"/>
  </w:num>
  <w:num w:numId="542">
    <w:abstractNumId w:val="149"/>
  </w:num>
  <w:num w:numId="543">
    <w:abstractNumId w:val="216"/>
  </w:num>
  <w:num w:numId="544">
    <w:abstractNumId w:val="495"/>
  </w:num>
  <w:num w:numId="545">
    <w:abstractNumId w:val="526"/>
  </w:num>
  <w:num w:numId="546">
    <w:abstractNumId w:val="433"/>
  </w:num>
  <w:num w:numId="547">
    <w:abstractNumId w:val="520"/>
  </w:num>
  <w:num w:numId="548">
    <w:abstractNumId w:val="366"/>
  </w:num>
  <w:num w:numId="549">
    <w:abstractNumId w:val="41"/>
  </w:num>
  <w:num w:numId="550">
    <w:abstractNumId w:val="62"/>
  </w:num>
  <w:num w:numId="551">
    <w:abstractNumId w:val="348"/>
  </w:num>
  <w:num w:numId="552">
    <w:abstractNumId w:val="413"/>
  </w:num>
  <w:num w:numId="553">
    <w:abstractNumId w:val="416"/>
  </w:num>
  <w:num w:numId="554">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228"/>
  </w:num>
  <w:num w:numId="556">
    <w:abstractNumId w:val="290"/>
  </w:num>
  <w:num w:numId="557">
    <w:abstractNumId w:val="436"/>
  </w:num>
  <w:num w:numId="558">
    <w:abstractNumId w:val="125"/>
  </w:num>
  <w:num w:numId="559">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55"/>
  </w:num>
  <w:num w:numId="561">
    <w:abstractNumId w:val="12"/>
  </w:num>
  <w:num w:numId="562">
    <w:abstractNumId w:val="423"/>
  </w:num>
  <w:num w:numId="563">
    <w:abstractNumId w:val="522"/>
  </w:num>
  <w:num w:numId="564">
    <w:abstractNumId w:val="298"/>
  </w:num>
  <w:num w:numId="565">
    <w:abstractNumId w:val="421"/>
  </w:num>
  <w:num w:numId="566">
    <w:abstractNumId w:val="441"/>
  </w:num>
  <w:num w:numId="567">
    <w:abstractNumId w:val="357"/>
  </w:num>
  <w:num w:numId="568">
    <w:abstractNumId w:val="488"/>
  </w:num>
  <w:num w:numId="569">
    <w:abstractNumId w:val="105"/>
  </w:num>
  <w:num w:numId="570">
    <w:abstractNumId w:val="363"/>
  </w:num>
  <w:num w:numId="571">
    <w:abstractNumId w:val="327"/>
  </w:num>
  <w:num w:numId="572">
    <w:abstractNumId w:val="309"/>
  </w:num>
  <w:num w:numId="573">
    <w:abstractNumId w:val="392"/>
  </w:num>
  <w:num w:numId="574">
    <w:abstractNumId w:val="435"/>
  </w:num>
  <w:num w:numId="575">
    <w:abstractNumId w:val="95"/>
  </w:num>
  <w:num w:numId="576">
    <w:abstractNumId w:val="456"/>
  </w:num>
  <w:num w:numId="577">
    <w:abstractNumId w:val="250"/>
  </w:num>
  <w:numIdMacAtCleanup w:val="5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180225"/>
  </w:hdrShapeDefaults>
  <w:footnotePr>
    <w:footnote w:id="-1"/>
    <w:footnote w:id="0"/>
    <w:footnote w:id="1"/>
  </w:footnotePr>
  <w:endnotePr>
    <w:endnote w:id="-1"/>
    <w:endnote w:id="0"/>
    <w:endnote w:id="1"/>
  </w:endnotePr>
  <w:compat>
    <w:wpJustification/>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1E8"/>
    <w:rsid w:val="000002A2"/>
    <w:rsid w:val="00001CF4"/>
    <w:rsid w:val="000026F3"/>
    <w:rsid w:val="00002BA9"/>
    <w:rsid w:val="00003366"/>
    <w:rsid w:val="00003EFC"/>
    <w:rsid w:val="000041B6"/>
    <w:rsid w:val="0001216C"/>
    <w:rsid w:val="000150DE"/>
    <w:rsid w:val="000158C8"/>
    <w:rsid w:val="0002179E"/>
    <w:rsid w:val="00021D92"/>
    <w:rsid w:val="00022D13"/>
    <w:rsid w:val="00024906"/>
    <w:rsid w:val="00024DD7"/>
    <w:rsid w:val="00025829"/>
    <w:rsid w:val="000264C0"/>
    <w:rsid w:val="000264D7"/>
    <w:rsid w:val="00026722"/>
    <w:rsid w:val="000268F6"/>
    <w:rsid w:val="000307D5"/>
    <w:rsid w:val="0003141E"/>
    <w:rsid w:val="00031DE7"/>
    <w:rsid w:val="0003416A"/>
    <w:rsid w:val="00034C08"/>
    <w:rsid w:val="00036CB4"/>
    <w:rsid w:val="0003704F"/>
    <w:rsid w:val="000374EB"/>
    <w:rsid w:val="0004065D"/>
    <w:rsid w:val="00040B7A"/>
    <w:rsid w:val="00041991"/>
    <w:rsid w:val="0004457B"/>
    <w:rsid w:val="000445FC"/>
    <w:rsid w:val="000464BF"/>
    <w:rsid w:val="000520CA"/>
    <w:rsid w:val="00052453"/>
    <w:rsid w:val="00052BE5"/>
    <w:rsid w:val="00053139"/>
    <w:rsid w:val="00053239"/>
    <w:rsid w:val="000547CE"/>
    <w:rsid w:val="00054AB4"/>
    <w:rsid w:val="00054B52"/>
    <w:rsid w:val="00057827"/>
    <w:rsid w:val="0006079A"/>
    <w:rsid w:val="0006172E"/>
    <w:rsid w:val="00062787"/>
    <w:rsid w:val="000644C1"/>
    <w:rsid w:val="0006450A"/>
    <w:rsid w:val="00065027"/>
    <w:rsid w:val="000709F5"/>
    <w:rsid w:val="00071171"/>
    <w:rsid w:val="00072D09"/>
    <w:rsid w:val="000747E7"/>
    <w:rsid w:val="00077148"/>
    <w:rsid w:val="0008303E"/>
    <w:rsid w:val="0008404D"/>
    <w:rsid w:val="000840A7"/>
    <w:rsid w:val="000849FA"/>
    <w:rsid w:val="0008503F"/>
    <w:rsid w:val="00085354"/>
    <w:rsid w:val="00086AB9"/>
    <w:rsid w:val="000872E0"/>
    <w:rsid w:val="0009030A"/>
    <w:rsid w:val="00090A0C"/>
    <w:rsid w:val="00091CAF"/>
    <w:rsid w:val="000926A9"/>
    <w:rsid w:val="000927AB"/>
    <w:rsid w:val="00093A04"/>
    <w:rsid w:val="000954E7"/>
    <w:rsid w:val="00095DE9"/>
    <w:rsid w:val="00096133"/>
    <w:rsid w:val="0009675C"/>
    <w:rsid w:val="00096A73"/>
    <w:rsid w:val="00096E76"/>
    <w:rsid w:val="00097660"/>
    <w:rsid w:val="00097C51"/>
    <w:rsid w:val="000A06AE"/>
    <w:rsid w:val="000A1260"/>
    <w:rsid w:val="000A1739"/>
    <w:rsid w:val="000A298D"/>
    <w:rsid w:val="000A2A43"/>
    <w:rsid w:val="000A34EC"/>
    <w:rsid w:val="000A3C5E"/>
    <w:rsid w:val="000A50DD"/>
    <w:rsid w:val="000A5810"/>
    <w:rsid w:val="000A5944"/>
    <w:rsid w:val="000A7038"/>
    <w:rsid w:val="000B02C9"/>
    <w:rsid w:val="000B0BD8"/>
    <w:rsid w:val="000B3499"/>
    <w:rsid w:val="000B48F9"/>
    <w:rsid w:val="000B5608"/>
    <w:rsid w:val="000B568E"/>
    <w:rsid w:val="000B6A5B"/>
    <w:rsid w:val="000B6CF5"/>
    <w:rsid w:val="000B72EE"/>
    <w:rsid w:val="000B7577"/>
    <w:rsid w:val="000B7960"/>
    <w:rsid w:val="000C03B7"/>
    <w:rsid w:val="000C19E6"/>
    <w:rsid w:val="000C4391"/>
    <w:rsid w:val="000C63D9"/>
    <w:rsid w:val="000D051B"/>
    <w:rsid w:val="000D07D9"/>
    <w:rsid w:val="000D1CF6"/>
    <w:rsid w:val="000D3217"/>
    <w:rsid w:val="000D393C"/>
    <w:rsid w:val="000D3C6D"/>
    <w:rsid w:val="000D3CAF"/>
    <w:rsid w:val="000D402E"/>
    <w:rsid w:val="000D7DD3"/>
    <w:rsid w:val="000E1E6D"/>
    <w:rsid w:val="000E28C6"/>
    <w:rsid w:val="000E4173"/>
    <w:rsid w:val="000E5605"/>
    <w:rsid w:val="000E6606"/>
    <w:rsid w:val="000E6EAB"/>
    <w:rsid w:val="000F0208"/>
    <w:rsid w:val="000F2019"/>
    <w:rsid w:val="000F2B30"/>
    <w:rsid w:val="000F44BC"/>
    <w:rsid w:val="000F45CA"/>
    <w:rsid w:val="000F6893"/>
    <w:rsid w:val="000F71B7"/>
    <w:rsid w:val="00101DA8"/>
    <w:rsid w:val="00101E20"/>
    <w:rsid w:val="001021EC"/>
    <w:rsid w:val="00105E73"/>
    <w:rsid w:val="00110C3C"/>
    <w:rsid w:val="00110C56"/>
    <w:rsid w:val="0011140A"/>
    <w:rsid w:val="00112A7D"/>
    <w:rsid w:val="001130A4"/>
    <w:rsid w:val="00113EC3"/>
    <w:rsid w:val="00115D2C"/>
    <w:rsid w:val="00116544"/>
    <w:rsid w:val="00116A75"/>
    <w:rsid w:val="00117500"/>
    <w:rsid w:val="00117F4F"/>
    <w:rsid w:val="0012003E"/>
    <w:rsid w:val="0012183F"/>
    <w:rsid w:val="00124467"/>
    <w:rsid w:val="00124894"/>
    <w:rsid w:val="0013176A"/>
    <w:rsid w:val="00131D5A"/>
    <w:rsid w:val="00134AC7"/>
    <w:rsid w:val="00136987"/>
    <w:rsid w:val="00140225"/>
    <w:rsid w:val="0014074D"/>
    <w:rsid w:val="00140B32"/>
    <w:rsid w:val="00140ED8"/>
    <w:rsid w:val="00141440"/>
    <w:rsid w:val="0014264B"/>
    <w:rsid w:val="00142A1D"/>
    <w:rsid w:val="00145949"/>
    <w:rsid w:val="0014748D"/>
    <w:rsid w:val="00152DA5"/>
    <w:rsid w:val="0015307B"/>
    <w:rsid w:val="00153F5B"/>
    <w:rsid w:val="00155389"/>
    <w:rsid w:val="00156139"/>
    <w:rsid w:val="001568F3"/>
    <w:rsid w:val="00156958"/>
    <w:rsid w:val="001574DE"/>
    <w:rsid w:val="00160B79"/>
    <w:rsid w:val="00161399"/>
    <w:rsid w:val="00161B88"/>
    <w:rsid w:val="00163684"/>
    <w:rsid w:val="00163731"/>
    <w:rsid w:val="0016374D"/>
    <w:rsid w:val="00163791"/>
    <w:rsid w:val="00164BA8"/>
    <w:rsid w:val="00164DBA"/>
    <w:rsid w:val="00164F0A"/>
    <w:rsid w:val="001658B9"/>
    <w:rsid w:val="001663FE"/>
    <w:rsid w:val="001671DA"/>
    <w:rsid w:val="00171A0B"/>
    <w:rsid w:val="0017287F"/>
    <w:rsid w:val="00172AC7"/>
    <w:rsid w:val="0017323B"/>
    <w:rsid w:val="00173E43"/>
    <w:rsid w:val="00173F16"/>
    <w:rsid w:val="001745E8"/>
    <w:rsid w:val="00174650"/>
    <w:rsid w:val="00174954"/>
    <w:rsid w:val="00175ED0"/>
    <w:rsid w:val="001761FA"/>
    <w:rsid w:val="00180BD8"/>
    <w:rsid w:val="00180C09"/>
    <w:rsid w:val="00182CF4"/>
    <w:rsid w:val="00184441"/>
    <w:rsid w:val="0018513C"/>
    <w:rsid w:val="0018532B"/>
    <w:rsid w:val="00185383"/>
    <w:rsid w:val="0018671C"/>
    <w:rsid w:val="00187D1D"/>
    <w:rsid w:val="001917B6"/>
    <w:rsid w:val="00193F72"/>
    <w:rsid w:val="001941A3"/>
    <w:rsid w:val="0019511C"/>
    <w:rsid w:val="00196A9C"/>
    <w:rsid w:val="00197274"/>
    <w:rsid w:val="00197AFB"/>
    <w:rsid w:val="001A1177"/>
    <w:rsid w:val="001A1D8D"/>
    <w:rsid w:val="001A296D"/>
    <w:rsid w:val="001A2F9D"/>
    <w:rsid w:val="001A4008"/>
    <w:rsid w:val="001A4415"/>
    <w:rsid w:val="001A4B97"/>
    <w:rsid w:val="001A52E4"/>
    <w:rsid w:val="001A5C81"/>
    <w:rsid w:val="001A5DC7"/>
    <w:rsid w:val="001A635E"/>
    <w:rsid w:val="001A6CD8"/>
    <w:rsid w:val="001A701E"/>
    <w:rsid w:val="001B0E98"/>
    <w:rsid w:val="001B176A"/>
    <w:rsid w:val="001B31D5"/>
    <w:rsid w:val="001B57A4"/>
    <w:rsid w:val="001B6618"/>
    <w:rsid w:val="001B75CF"/>
    <w:rsid w:val="001C0401"/>
    <w:rsid w:val="001C3881"/>
    <w:rsid w:val="001C3DA4"/>
    <w:rsid w:val="001C4BAC"/>
    <w:rsid w:val="001C517D"/>
    <w:rsid w:val="001C5E59"/>
    <w:rsid w:val="001D10EA"/>
    <w:rsid w:val="001D2A53"/>
    <w:rsid w:val="001D3BDA"/>
    <w:rsid w:val="001D4DB0"/>
    <w:rsid w:val="001D5F0C"/>
    <w:rsid w:val="001D60BD"/>
    <w:rsid w:val="001D6EE0"/>
    <w:rsid w:val="001D7C48"/>
    <w:rsid w:val="001E0A0C"/>
    <w:rsid w:val="001E0C18"/>
    <w:rsid w:val="001E0C80"/>
    <w:rsid w:val="001E1543"/>
    <w:rsid w:val="001E1B56"/>
    <w:rsid w:val="001E2D6F"/>
    <w:rsid w:val="001F0704"/>
    <w:rsid w:val="001F2ADB"/>
    <w:rsid w:val="001F2D00"/>
    <w:rsid w:val="001F2EDD"/>
    <w:rsid w:val="001F34C6"/>
    <w:rsid w:val="001F47B9"/>
    <w:rsid w:val="001F5F0F"/>
    <w:rsid w:val="001F617E"/>
    <w:rsid w:val="0020102B"/>
    <w:rsid w:val="00202D48"/>
    <w:rsid w:val="00203207"/>
    <w:rsid w:val="00205CCE"/>
    <w:rsid w:val="00206088"/>
    <w:rsid w:val="002062CE"/>
    <w:rsid w:val="002067A4"/>
    <w:rsid w:val="00207C9B"/>
    <w:rsid w:val="0021070A"/>
    <w:rsid w:val="002108B6"/>
    <w:rsid w:val="0021186B"/>
    <w:rsid w:val="00211AED"/>
    <w:rsid w:val="00211CD4"/>
    <w:rsid w:val="0021205C"/>
    <w:rsid w:val="00212E7C"/>
    <w:rsid w:val="00213686"/>
    <w:rsid w:val="00216388"/>
    <w:rsid w:val="00217CC2"/>
    <w:rsid w:val="002239E9"/>
    <w:rsid w:val="002276E5"/>
    <w:rsid w:val="00227ACD"/>
    <w:rsid w:val="00227B85"/>
    <w:rsid w:val="00232E14"/>
    <w:rsid w:val="00232F3B"/>
    <w:rsid w:val="0023561D"/>
    <w:rsid w:val="00235BC6"/>
    <w:rsid w:val="0023692B"/>
    <w:rsid w:val="002409A0"/>
    <w:rsid w:val="00240AAB"/>
    <w:rsid w:val="00243F6D"/>
    <w:rsid w:val="00245845"/>
    <w:rsid w:val="00246D8C"/>
    <w:rsid w:val="00247917"/>
    <w:rsid w:val="00247D54"/>
    <w:rsid w:val="00250686"/>
    <w:rsid w:val="00250866"/>
    <w:rsid w:val="00251855"/>
    <w:rsid w:val="0025506E"/>
    <w:rsid w:val="00255100"/>
    <w:rsid w:val="00257215"/>
    <w:rsid w:val="00260E77"/>
    <w:rsid w:val="0026417C"/>
    <w:rsid w:val="0026591E"/>
    <w:rsid w:val="00265952"/>
    <w:rsid w:val="00270031"/>
    <w:rsid w:val="002705A7"/>
    <w:rsid w:val="0027143B"/>
    <w:rsid w:val="002733A4"/>
    <w:rsid w:val="00274285"/>
    <w:rsid w:val="00274476"/>
    <w:rsid w:val="002766FD"/>
    <w:rsid w:val="00276B83"/>
    <w:rsid w:val="00276C51"/>
    <w:rsid w:val="0027739E"/>
    <w:rsid w:val="00280390"/>
    <w:rsid w:val="002807C4"/>
    <w:rsid w:val="00280A43"/>
    <w:rsid w:val="00280B67"/>
    <w:rsid w:val="00281CE2"/>
    <w:rsid w:val="00281E99"/>
    <w:rsid w:val="002826AB"/>
    <w:rsid w:val="00282F0D"/>
    <w:rsid w:val="002849B2"/>
    <w:rsid w:val="00285430"/>
    <w:rsid w:val="002902BC"/>
    <w:rsid w:val="002915A1"/>
    <w:rsid w:val="00292A53"/>
    <w:rsid w:val="00292D03"/>
    <w:rsid w:val="00293392"/>
    <w:rsid w:val="002950E0"/>
    <w:rsid w:val="00297717"/>
    <w:rsid w:val="002A2242"/>
    <w:rsid w:val="002A28CF"/>
    <w:rsid w:val="002A3822"/>
    <w:rsid w:val="002A3CF9"/>
    <w:rsid w:val="002A484F"/>
    <w:rsid w:val="002A549E"/>
    <w:rsid w:val="002A5723"/>
    <w:rsid w:val="002A5E50"/>
    <w:rsid w:val="002A62A3"/>
    <w:rsid w:val="002B2B84"/>
    <w:rsid w:val="002B3287"/>
    <w:rsid w:val="002B4700"/>
    <w:rsid w:val="002B4D71"/>
    <w:rsid w:val="002B5943"/>
    <w:rsid w:val="002B5D4A"/>
    <w:rsid w:val="002B6B33"/>
    <w:rsid w:val="002C05DA"/>
    <w:rsid w:val="002C086D"/>
    <w:rsid w:val="002C0BA2"/>
    <w:rsid w:val="002C49AB"/>
    <w:rsid w:val="002C5DA8"/>
    <w:rsid w:val="002C6162"/>
    <w:rsid w:val="002C662B"/>
    <w:rsid w:val="002C6EA9"/>
    <w:rsid w:val="002D0BBD"/>
    <w:rsid w:val="002D0BDE"/>
    <w:rsid w:val="002D1FF5"/>
    <w:rsid w:val="002D3C2A"/>
    <w:rsid w:val="002D3DAA"/>
    <w:rsid w:val="002D6DEE"/>
    <w:rsid w:val="002D752B"/>
    <w:rsid w:val="002D7531"/>
    <w:rsid w:val="002D7B90"/>
    <w:rsid w:val="002E029B"/>
    <w:rsid w:val="002E0EC2"/>
    <w:rsid w:val="002E206B"/>
    <w:rsid w:val="002E3F0A"/>
    <w:rsid w:val="002E4905"/>
    <w:rsid w:val="002E5D2E"/>
    <w:rsid w:val="002E6D82"/>
    <w:rsid w:val="002E7180"/>
    <w:rsid w:val="002E7A63"/>
    <w:rsid w:val="002F03D4"/>
    <w:rsid w:val="002F0EB4"/>
    <w:rsid w:val="002F1F9A"/>
    <w:rsid w:val="002F5E51"/>
    <w:rsid w:val="002F5E68"/>
    <w:rsid w:val="002F665E"/>
    <w:rsid w:val="002F6674"/>
    <w:rsid w:val="0030016D"/>
    <w:rsid w:val="00301155"/>
    <w:rsid w:val="0030198A"/>
    <w:rsid w:val="00301C21"/>
    <w:rsid w:val="00302375"/>
    <w:rsid w:val="003035F0"/>
    <w:rsid w:val="00303B19"/>
    <w:rsid w:val="0030605A"/>
    <w:rsid w:val="00306D40"/>
    <w:rsid w:val="003079A2"/>
    <w:rsid w:val="003112C5"/>
    <w:rsid w:val="003150A4"/>
    <w:rsid w:val="003155C3"/>
    <w:rsid w:val="00315AD4"/>
    <w:rsid w:val="00317E23"/>
    <w:rsid w:val="00323798"/>
    <w:rsid w:val="00323913"/>
    <w:rsid w:val="00323A77"/>
    <w:rsid w:val="003257A7"/>
    <w:rsid w:val="00325F05"/>
    <w:rsid w:val="00326350"/>
    <w:rsid w:val="00326DC7"/>
    <w:rsid w:val="00330699"/>
    <w:rsid w:val="0033158B"/>
    <w:rsid w:val="003322E1"/>
    <w:rsid w:val="00334D4B"/>
    <w:rsid w:val="003361BC"/>
    <w:rsid w:val="003403E4"/>
    <w:rsid w:val="003411E8"/>
    <w:rsid w:val="0034184F"/>
    <w:rsid w:val="00341A37"/>
    <w:rsid w:val="0034289F"/>
    <w:rsid w:val="003437E5"/>
    <w:rsid w:val="00344E82"/>
    <w:rsid w:val="00344F9F"/>
    <w:rsid w:val="003463FF"/>
    <w:rsid w:val="003464A0"/>
    <w:rsid w:val="003477B3"/>
    <w:rsid w:val="00347D0D"/>
    <w:rsid w:val="0035009B"/>
    <w:rsid w:val="003502A6"/>
    <w:rsid w:val="00350C59"/>
    <w:rsid w:val="00352143"/>
    <w:rsid w:val="00352D17"/>
    <w:rsid w:val="00353117"/>
    <w:rsid w:val="00353435"/>
    <w:rsid w:val="00353642"/>
    <w:rsid w:val="00353FBF"/>
    <w:rsid w:val="003563DE"/>
    <w:rsid w:val="0035643A"/>
    <w:rsid w:val="00356CE3"/>
    <w:rsid w:val="00356D48"/>
    <w:rsid w:val="003571AC"/>
    <w:rsid w:val="00357F60"/>
    <w:rsid w:val="003609EF"/>
    <w:rsid w:val="00361505"/>
    <w:rsid w:val="0036213E"/>
    <w:rsid w:val="00362851"/>
    <w:rsid w:val="00362F96"/>
    <w:rsid w:val="00365B5C"/>
    <w:rsid w:val="00365F53"/>
    <w:rsid w:val="00366A5A"/>
    <w:rsid w:val="00367415"/>
    <w:rsid w:val="0036793D"/>
    <w:rsid w:val="00367B31"/>
    <w:rsid w:val="00370259"/>
    <w:rsid w:val="00370396"/>
    <w:rsid w:val="00371D77"/>
    <w:rsid w:val="00372C79"/>
    <w:rsid w:val="00373889"/>
    <w:rsid w:val="003752A7"/>
    <w:rsid w:val="003762FC"/>
    <w:rsid w:val="00376626"/>
    <w:rsid w:val="00377FF5"/>
    <w:rsid w:val="00380455"/>
    <w:rsid w:val="00382803"/>
    <w:rsid w:val="003865DD"/>
    <w:rsid w:val="00386FD5"/>
    <w:rsid w:val="00387D38"/>
    <w:rsid w:val="0039384D"/>
    <w:rsid w:val="00394AA3"/>
    <w:rsid w:val="00394C01"/>
    <w:rsid w:val="00395824"/>
    <w:rsid w:val="00396422"/>
    <w:rsid w:val="00396555"/>
    <w:rsid w:val="00396A2E"/>
    <w:rsid w:val="0039798F"/>
    <w:rsid w:val="003A1EC9"/>
    <w:rsid w:val="003A380D"/>
    <w:rsid w:val="003A51B2"/>
    <w:rsid w:val="003A75BA"/>
    <w:rsid w:val="003A7F4F"/>
    <w:rsid w:val="003B129C"/>
    <w:rsid w:val="003B2809"/>
    <w:rsid w:val="003B2998"/>
    <w:rsid w:val="003B3799"/>
    <w:rsid w:val="003B3E5B"/>
    <w:rsid w:val="003B4385"/>
    <w:rsid w:val="003B6967"/>
    <w:rsid w:val="003B7E1F"/>
    <w:rsid w:val="003C1AC1"/>
    <w:rsid w:val="003C1CE1"/>
    <w:rsid w:val="003C32BC"/>
    <w:rsid w:val="003C4CD5"/>
    <w:rsid w:val="003C5307"/>
    <w:rsid w:val="003C63A5"/>
    <w:rsid w:val="003C77F4"/>
    <w:rsid w:val="003D18DA"/>
    <w:rsid w:val="003D29AB"/>
    <w:rsid w:val="003D2F4A"/>
    <w:rsid w:val="003D2FCB"/>
    <w:rsid w:val="003D361E"/>
    <w:rsid w:val="003D5796"/>
    <w:rsid w:val="003D589E"/>
    <w:rsid w:val="003D67CE"/>
    <w:rsid w:val="003D7723"/>
    <w:rsid w:val="003E0A80"/>
    <w:rsid w:val="003E26EA"/>
    <w:rsid w:val="003E4D71"/>
    <w:rsid w:val="003F0FFD"/>
    <w:rsid w:val="003F12BA"/>
    <w:rsid w:val="003F2196"/>
    <w:rsid w:val="003F3DE3"/>
    <w:rsid w:val="003F5CAC"/>
    <w:rsid w:val="003F5D7A"/>
    <w:rsid w:val="003F5F1D"/>
    <w:rsid w:val="004017D0"/>
    <w:rsid w:val="00402887"/>
    <w:rsid w:val="00402AD3"/>
    <w:rsid w:val="00404309"/>
    <w:rsid w:val="0040442D"/>
    <w:rsid w:val="00406F00"/>
    <w:rsid w:val="004071AB"/>
    <w:rsid w:val="00407BA4"/>
    <w:rsid w:val="00407CB2"/>
    <w:rsid w:val="00413461"/>
    <w:rsid w:val="00414640"/>
    <w:rsid w:val="00416D07"/>
    <w:rsid w:val="00420B51"/>
    <w:rsid w:val="00420CDC"/>
    <w:rsid w:val="00420E76"/>
    <w:rsid w:val="00422203"/>
    <w:rsid w:val="004254A6"/>
    <w:rsid w:val="00425F09"/>
    <w:rsid w:val="00427925"/>
    <w:rsid w:val="00427CC9"/>
    <w:rsid w:val="0043102E"/>
    <w:rsid w:val="004310B9"/>
    <w:rsid w:val="0043215F"/>
    <w:rsid w:val="00433337"/>
    <w:rsid w:val="0043356B"/>
    <w:rsid w:val="00435F2B"/>
    <w:rsid w:val="00436F87"/>
    <w:rsid w:val="0044075D"/>
    <w:rsid w:val="004418FB"/>
    <w:rsid w:val="0044198D"/>
    <w:rsid w:val="00441EC1"/>
    <w:rsid w:val="004447E3"/>
    <w:rsid w:val="004448E3"/>
    <w:rsid w:val="00446F72"/>
    <w:rsid w:val="00453073"/>
    <w:rsid w:val="0045528C"/>
    <w:rsid w:val="004553CB"/>
    <w:rsid w:val="00456C2E"/>
    <w:rsid w:val="00460122"/>
    <w:rsid w:val="00460FB4"/>
    <w:rsid w:val="004641FD"/>
    <w:rsid w:val="00464707"/>
    <w:rsid w:val="004659C4"/>
    <w:rsid w:val="00465BE7"/>
    <w:rsid w:val="00466121"/>
    <w:rsid w:val="00466205"/>
    <w:rsid w:val="00466D2D"/>
    <w:rsid w:val="00470A8A"/>
    <w:rsid w:val="00473084"/>
    <w:rsid w:val="00474534"/>
    <w:rsid w:val="00475C13"/>
    <w:rsid w:val="004761CF"/>
    <w:rsid w:val="00477A75"/>
    <w:rsid w:val="0048347D"/>
    <w:rsid w:val="00483BE1"/>
    <w:rsid w:val="00484773"/>
    <w:rsid w:val="00484C0F"/>
    <w:rsid w:val="0048564E"/>
    <w:rsid w:val="0048609F"/>
    <w:rsid w:val="004862CF"/>
    <w:rsid w:val="00486B6D"/>
    <w:rsid w:val="00486C09"/>
    <w:rsid w:val="00486CD2"/>
    <w:rsid w:val="00487DA2"/>
    <w:rsid w:val="0049238E"/>
    <w:rsid w:val="00492659"/>
    <w:rsid w:val="00492CC7"/>
    <w:rsid w:val="00494930"/>
    <w:rsid w:val="004A09E3"/>
    <w:rsid w:val="004A2B7B"/>
    <w:rsid w:val="004A5205"/>
    <w:rsid w:val="004A523C"/>
    <w:rsid w:val="004A6385"/>
    <w:rsid w:val="004B0C36"/>
    <w:rsid w:val="004B1B53"/>
    <w:rsid w:val="004B2039"/>
    <w:rsid w:val="004B218C"/>
    <w:rsid w:val="004B22FF"/>
    <w:rsid w:val="004B499F"/>
    <w:rsid w:val="004B4B7F"/>
    <w:rsid w:val="004B600D"/>
    <w:rsid w:val="004C06C3"/>
    <w:rsid w:val="004C0761"/>
    <w:rsid w:val="004C237A"/>
    <w:rsid w:val="004C3063"/>
    <w:rsid w:val="004C3717"/>
    <w:rsid w:val="004C3A5C"/>
    <w:rsid w:val="004C4EB2"/>
    <w:rsid w:val="004C6CE1"/>
    <w:rsid w:val="004C71D9"/>
    <w:rsid w:val="004C7AF5"/>
    <w:rsid w:val="004D110F"/>
    <w:rsid w:val="004D1D69"/>
    <w:rsid w:val="004D25DF"/>
    <w:rsid w:val="004D39D0"/>
    <w:rsid w:val="004D3B20"/>
    <w:rsid w:val="004D3EBB"/>
    <w:rsid w:val="004D42B3"/>
    <w:rsid w:val="004D45B5"/>
    <w:rsid w:val="004D4C9F"/>
    <w:rsid w:val="004D500A"/>
    <w:rsid w:val="004E0E3F"/>
    <w:rsid w:val="004F177A"/>
    <w:rsid w:val="004F1865"/>
    <w:rsid w:val="004F1B2B"/>
    <w:rsid w:val="004F360B"/>
    <w:rsid w:val="004F378D"/>
    <w:rsid w:val="004F5DD0"/>
    <w:rsid w:val="004F6642"/>
    <w:rsid w:val="00500C87"/>
    <w:rsid w:val="00500F06"/>
    <w:rsid w:val="005018E1"/>
    <w:rsid w:val="00502245"/>
    <w:rsid w:val="005025D6"/>
    <w:rsid w:val="0050264F"/>
    <w:rsid w:val="0050326F"/>
    <w:rsid w:val="005047C9"/>
    <w:rsid w:val="00505885"/>
    <w:rsid w:val="00506358"/>
    <w:rsid w:val="005106E9"/>
    <w:rsid w:val="00510776"/>
    <w:rsid w:val="00510E89"/>
    <w:rsid w:val="005113D0"/>
    <w:rsid w:val="00512560"/>
    <w:rsid w:val="00512701"/>
    <w:rsid w:val="00512918"/>
    <w:rsid w:val="00512C9E"/>
    <w:rsid w:val="00512D6A"/>
    <w:rsid w:val="00515850"/>
    <w:rsid w:val="0052183E"/>
    <w:rsid w:val="005225D2"/>
    <w:rsid w:val="00522B6B"/>
    <w:rsid w:val="00523A25"/>
    <w:rsid w:val="005261DE"/>
    <w:rsid w:val="005303F4"/>
    <w:rsid w:val="00530452"/>
    <w:rsid w:val="00531225"/>
    <w:rsid w:val="00531976"/>
    <w:rsid w:val="005342F6"/>
    <w:rsid w:val="005348D7"/>
    <w:rsid w:val="005355FE"/>
    <w:rsid w:val="00537299"/>
    <w:rsid w:val="0053780E"/>
    <w:rsid w:val="0054021C"/>
    <w:rsid w:val="0054138C"/>
    <w:rsid w:val="00541CC4"/>
    <w:rsid w:val="00542532"/>
    <w:rsid w:val="00543691"/>
    <w:rsid w:val="00543FDE"/>
    <w:rsid w:val="00547A28"/>
    <w:rsid w:val="0055064A"/>
    <w:rsid w:val="00550A60"/>
    <w:rsid w:val="00550A69"/>
    <w:rsid w:val="00550BF7"/>
    <w:rsid w:val="00552340"/>
    <w:rsid w:val="00553DD4"/>
    <w:rsid w:val="00554A2F"/>
    <w:rsid w:val="0055564D"/>
    <w:rsid w:val="0055589C"/>
    <w:rsid w:val="005608B2"/>
    <w:rsid w:val="00560954"/>
    <w:rsid w:val="0056439C"/>
    <w:rsid w:val="00565D14"/>
    <w:rsid w:val="00566CDE"/>
    <w:rsid w:val="00567C47"/>
    <w:rsid w:val="00570147"/>
    <w:rsid w:val="00570B9E"/>
    <w:rsid w:val="00570C99"/>
    <w:rsid w:val="005725E6"/>
    <w:rsid w:val="005778B0"/>
    <w:rsid w:val="005779EC"/>
    <w:rsid w:val="00581785"/>
    <w:rsid w:val="00584132"/>
    <w:rsid w:val="00584856"/>
    <w:rsid w:val="00584ACD"/>
    <w:rsid w:val="00587AD1"/>
    <w:rsid w:val="00590B90"/>
    <w:rsid w:val="00590D27"/>
    <w:rsid w:val="00591890"/>
    <w:rsid w:val="00591899"/>
    <w:rsid w:val="00593415"/>
    <w:rsid w:val="00593EF5"/>
    <w:rsid w:val="00595C69"/>
    <w:rsid w:val="00595D64"/>
    <w:rsid w:val="00596DAD"/>
    <w:rsid w:val="005A0F70"/>
    <w:rsid w:val="005A1111"/>
    <w:rsid w:val="005A1614"/>
    <w:rsid w:val="005A18C2"/>
    <w:rsid w:val="005A5EA0"/>
    <w:rsid w:val="005A67A3"/>
    <w:rsid w:val="005A6FB5"/>
    <w:rsid w:val="005B0FDE"/>
    <w:rsid w:val="005B2F5C"/>
    <w:rsid w:val="005B4BE3"/>
    <w:rsid w:val="005C1956"/>
    <w:rsid w:val="005C1BDA"/>
    <w:rsid w:val="005C3BDF"/>
    <w:rsid w:val="005C483E"/>
    <w:rsid w:val="005C5852"/>
    <w:rsid w:val="005C5C26"/>
    <w:rsid w:val="005C7179"/>
    <w:rsid w:val="005D0128"/>
    <w:rsid w:val="005D0604"/>
    <w:rsid w:val="005D07F3"/>
    <w:rsid w:val="005D19AC"/>
    <w:rsid w:val="005D2EA4"/>
    <w:rsid w:val="005D53E6"/>
    <w:rsid w:val="005D575E"/>
    <w:rsid w:val="005D5A86"/>
    <w:rsid w:val="005D78C7"/>
    <w:rsid w:val="005E0044"/>
    <w:rsid w:val="005E0B03"/>
    <w:rsid w:val="005E1376"/>
    <w:rsid w:val="005E16FB"/>
    <w:rsid w:val="005E19CC"/>
    <w:rsid w:val="005E1DF3"/>
    <w:rsid w:val="005E47A7"/>
    <w:rsid w:val="005E611B"/>
    <w:rsid w:val="005E66E4"/>
    <w:rsid w:val="005E6851"/>
    <w:rsid w:val="005E71F1"/>
    <w:rsid w:val="005E7482"/>
    <w:rsid w:val="005E75D2"/>
    <w:rsid w:val="005F0002"/>
    <w:rsid w:val="005F05FB"/>
    <w:rsid w:val="005F153B"/>
    <w:rsid w:val="005F156D"/>
    <w:rsid w:val="005F3FB1"/>
    <w:rsid w:val="005F4BBF"/>
    <w:rsid w:val="005F533C"/>
    <w:rsid w:val="005F61F1"/>
    <w:rsid w:val="005F7071"/>
    <w:rsid w:val="005F7410"/>
    <w:rsid w:val="006023E2"/>
    <w:rsid w:val="00603924"/>
    <w:rsid w:val="00604D9E"/>
    <w:rsid w:val="006108E5"/>
    <w:rsid w:val="006119DA"/>
    <w:rsid w:val="00611FE4"/>
    <w:rsid w:val="006124B8"/>
    <w:rsid w:val="00613E70"/>
    <w:rsid w:val="006140ED"/>
    <w:rsid w:val="0061455C"/>
    <w:rsid w:val="00614657"/>
    <w:rsid w:val="0062634C"/>
    <w:rsid w:val="006268AF"/>
    <w:rsid w:val="00626FBD"/>
    <w:rsid w:val="006270B3"/>
    <w:rsid w:val="0062712E"/>
    <w:rsid w:val="00627169"/>
    <w:rsid w:val="00627B5A"/>
    <w:rsid w:val="00627C2C"/>
    <w:rsid w:val="0063233F"/>
    <w:rsid w:val="0063571A"/>
    <w:rsid w:val="006362F3"/>
    <w:rsid w:val="0063717A"/>
    <w:rsid w:val="00640E79"/>
    <w:rsid w:val="00641566"/>
    <w:rsid w:val="00643774"/>
    <w:rsid w:val="006439E4"/>
    <w:rsid w:val="006443D2"/>
    <w:rsid w:val="00645F3C"/>
    <w:rsid w:val="0064607D"/>
    <w:rsid w:val="00647122"/>
    <w:rsid w:val="00647ABD"/>
    <w:rsid w:val="00647C8C"/>
    <w:rsid w:val="00647F09"/>
    <w:rsid w:val="00651D51"/>
    <w:rsid w:val="006525BC"/>
    <w:rsid w:val="0065353F"/>
    <w:rsid w:val="00654365"/>
    <w:rsid w:val="00654573"/>
    <w:rsid w:val="00657FFB"/>
    <w:rsid w:val="00661739"/>
    <w:rsid w:val="0066194C"/>
    <w:rsid w:val="006628F0"/>
    <w:rsid w:val="00662C41"/>
    <w:rsid w:val="00664874"/>
    <w:rsid w:val="006648B8"/>
    <w:rsid w:val="00666A4F"/>
    <w:rsid w:val="00667353"/>
    <w:rsid w:val="0067010E"/>
    <w:rsid w:val="00670B0F"/>
    <w:rsid w:val="00671957"/>
    <w:rsid w:val="00671BA9"/>
    <w:rsid w:val="00672B00"/>
    <w:rsid w:val="006733F4"/>
    <w:rsid w:val="0067405C"/>
    <w:rsid w:val="00674301"/>
    <w:rsid w:val="0067740B"/>
    <w:rsid w:val="00681628"/>
    <w:rsid w:val="00681D75"/>
    <w:rsid w:val="00685652"/>
    <w:rsid w:val="00691843"/>
    <w:rsid w:val="00692DB2"/>
    <w:rsid w:val="00693066"/>
    <w:rsid w:val="006937E7"/>
    <w:rsid w:val="00693A31"/>
    <w:rsid w:val="00694E59"/>
    <w:rsid w:val="00696D64"/>
    <w:rsid w:val="00697004"/>
    <w:rsid w:val="0069713B"/>
    <w:rsid w:val="00697313"/>
    <w:rsid w:val="006A0044"/>
    <w:rsid w:val="006A05EA"/>
    <w:rsid w:val="006A0A64"/>
    <w:rsid w:val="006A3B9A"/>
    <w:rsid w:val="006A3D58"/>
    <w:rsid w:val="006A466B"/>
    <w:rsid w:val="006A50D4"/>
    <w:rsid w:val="006A50FD"/>
    <w:rsid w:val="006A5A5E"/>
    <w:rsid w:val="006A7D57"/>
    <w:rsid w:val="006B1971"/>
    <w:rsid w:val="006B1DC6"/>
    <w:rsid w:val="006B3365"/>
    <w:rsid w:val="006B4704"/>
    <w:rsid w:val="006C1EA0"/>
    <w:rsid w:val="006C2409"/>
    <w:rsid w:val="006C2A6A"/>
    <w:rsid w:val="006C38F7"/>
    <w:rsid w:val="006C5749"/>
    <w:rsid w:val="006C5923"/>
    <w:rsid w:val="006C5AE4"/>
    <w:rsid w:val="006C5F8F"/>
    <w:rsid w:val="006C770C"/>
    <w:rsid w:val="006D1B3D"/>
    <w:rsid w:val="006D1DE9"/>
    <w:rsid w:val="006D2087"/>
    <w:rsid w:val="006D2544"/>
    <w:rsid w:val="006D2FDA"/>
    <w:rsid w:val="006D343B"/>
    <w:rsid w:val="006D3C1E"/>
    <w:rsid w:val="006D5AC9"/>
    <w:rsid w:val="006D5E12"/>
    <w:rsid w:val="006D6FF8"/>
    <w:rsid w:val="006E06B7"/>
    <w:rsid w:val="006E2FCD"/>
    <w:rsid w:val="006E3C64"/>
    <w:rsid w:val="006E6699"/>
    <w:rsid w:val="006E6D49"/>
    <w:rsid w:val="006E7A50"/>
    <w:rsid w:val="006F0DF9"/>
    <w:rsid w:val="006F0E78"/>
    <w:rsid w:val="006F17FC"/>
    <w:rsid w:val="006F1FB5"/>
    <w:rsid w:val="006F2751"/>
    <w:rsid w:val="006F35DB"/>
    <w:rsid w:val="007003E4"/>
    <w:rsid w:val="007008D2"/>
    <w:rsid w:val="00702B2E"/>
    <w:rsid w:val="00702BEF"/>
    <w:rsid w:val="00702D6D"/>
    <w:rsid w:val="007039A1"/>
    <w:rsid w:val="00703C45"/>
    <w:rsid w:val="0070573D"/>
    <w:rsid w:val="00710B26"/>
    <w:rsid w:val="00712C2A"/>
    <w:rsid w:val="00713331"/>
    <w:rsid w:val="0071499A"/>
    <w:rsid w:val="007173C4"/>
    <w:rsid w:val="00717AC5"/>
    <w:rsid w:val="00717F15"/>
    <w:rsid w:val="007228F6"/>
    <w:rsid w:val="00722D12"/>
    <w:rsid w:val="007239A5"/>
    <w:rsid w:val="007300BD"/>
    <w:rsid w:val="00730368"/>
    <w:rsid w:val="007306D7"/>
    <w:rsid w:val="007307F2"/>
    <w:rsid w:val="00731820"/>
    <w:rsid w:val="00735699"/>
    <w:rsid w:val="00735BF5"/>
    <w:rsid w:val="00735FF9"/>
    <w:rsid w:val="007364A3"/>
    <w:rsid w:val="00737431"/>
    <w:rsid w:val="007413C2"/>
    <w:rsid w:val="00741E2B"/>
    <w:rsid w:val="00743B62"/>
    <w:rsid w:val="00746222"/>
    <w:rsid w:val="0074635F"/>
    <w:rsid w:val="0074778E"/>
    <w:rsid w:val="00747A82"/>
    <w:rsid w:val="0075034A"/>
    <w:rsid w:val="0075330E"/>
    <w:rsid w:val="00753875"/>
    <w:rsid w:val="00754514"/>
    <w:rsid w:val="00755522"/>
    <w:rsid w:val="007559D6"/>
    <w:rsid w:val="00756B11"/>
    <w:rsid w:val="00761136"/>
    <w:rsid w:val="007611D7"/>
    <w:rsid w:val="00762F09"/>
    <w:rsid w:val="00763F46"/>
    <w:rsid w:val="00764A6F"/>
    <w:rsid w:val="007670EA"/>
    <w:rsid w:val="0077013A"/>
    <w:rsid w:val="00770573"/>
    <w:rsid w:val="0077068C"/>
    <w:rsid w:val="00770B4B"/>
    <w:rsid w:val="00772275"/>
    <w:rsid w:val="00772587"/>
    <w:rsid w:val="00774E55"/>
    <w:rsid w:val="0077500F"/>
    <w:rsid w:val="0077599B"/>
    <w:rsid w:val="00775B21"/>
    <w:rsid w:val="007769A7"/>
    <w:rsid w:val="00780EAA"/>
    <w:rsid w:val="00781924"/>
    <w:rsid w:val="00783FC3"/>
    <w:rsid w:val="0078477A"/>
    <w:rsid w:val="00784E48"/>
    <w:rsid w:val="0078562E"/>
    <w:rsid w:val="00785AA9"/>
    <w:rsid w:val="00786A03"/>
    <w:rsid w:val="00787405"/>
    <w:rsid w:val="00791093"/>
    <w:rsid w:val="007918B3"/>
    <w:rsid w:val="00793D90"/>
    <w:rsid w:val="00794673"/>
    <w:rsid w:val="00795087"/>
    <w:rsid w:val="00795559"/>
    <w:rsid w:val="007955CC"/>
    <w:rsid w:val="00795CBF"/>
    <w:rsid w:val="007A0BC2"/>
    <w:rsid w:val="007A1995"/>
    <w:rsid w:val="007A1B12"/>
    <w:rsid w:val="007A1F70"/>
    <w:rsid w:val="007A30BF"/>
    <w:rsid w:val="007A3336"/>
    <w:rsid w:val="007A47EC"/>
    <w:rsid w:val="007A52F9"/>
    <w:rsid w:val="007A6841"/>
    <w:rsid w:val="007A7EFA"/>
    <w:rsid w:val="007B094E"/>
    <w:rsid w:val="007B2AB9"/>
    <w:rsid w:val="007B353C"/>
    <w:rsid w:val="007B3F66"/>
    <w:rsid w:val="007B6C0B"/>
    <w:rsid w:val="007B7EE2"/>
    <w:rsid w:val="007C1CB3"/>
    <w:rsid w:val="007C1F5E"/>
    <w:rsid w:val="007C3873"/>
    <w:rsid w:val="007C3D41"/>
    <w:rsid w:val="007C4199"/>
    <w:rsid w:val="007C66D6"/>
    <w:rsid w:val="007D119B"/>
    <w:rsid w:val="007D4024"/>
    <w:rsid w:val="007D47E6"/>
    <w:rsid w:val="007D65C8"/>
    <w:rsid w:val="007D6BEB"/>
    <w:rsid w:val="007E0C71"/>
    <w:rsid w:val="007E1187"/>
    <w:rsid w:val="007E22F0"/>
    <w:rsid w:val="007E35F8"/>
    <w:rsid w:val="007E44D6"/>
    <w:rsid w:val="007E4BDA"/>
    <w:rsid w:val="007E4D67"/>
    <w:rsid w:val="007E4D7A"/>
    <w:rsid w:val="007E70AF"/>
    <w:rsid w:val="007E73DD"/>
    <w:rsid w:val="007E7520"/>
    <w:rsid w:val="007E7640"/>
    <w:rsid w:val="007F03B6"/>
    <w:rsid w:val="007F0B00"/>
    <w:rsid w:val="007F295B"/>
    <w:rsid w:val="007F3983"/>
    <w:rsid w:val="007F3B79"/>
    <w:rsid w:val="007F4572"/>
    <w:rsid w:val="007F6DE5"/>
    <w:rsid w:val="007F7B80"/>
    <w:rsid w:val="008006D0"/>
    <w:rsid w:val="00801153"/>
    <w:rsid w:val="0080222E"/>
    <w:rsid w:val="008029EF"/>
    <w:rsid w:val="008031EA"/>
    <w:rsid w:val="008034D8"/>
    <w:rsid w:val="00803CA0"/>
    <w:rsid w:val="0080500C"/>
    <w:rsid w:val="00806295"/>
    <w:rsid w:val="008067A6"/>
    <w:rsid w:val="00807423"/>
    <w:rsid w:val="00810E9C"/>
    <w:rsid w:val="008111CD"/>
    <w:rsid w:val="00813F1C"/>
    <w:rsid w:val="008141B2"/>
    <w:rsid w:val="00815E42"/>
    <w:rsid w:val="0081676F"/>
    <w:rsid w:val="00817C57"/>
    <w:rsid w:val="0082088A"/>
    <w:rsid w:val="00821900"/>
    <w:rsid w:val="008234C5"/>
    <w:rsid w:val="0082448D"/>
    <w:rsid w:val="008253E7"/>
    <w:rsid w:val="00826CC8"/>
    <w:rsid w:val="008278E3"/>
    <w:rsid w:val="00827D10"/>
    <w:rsid w:val="0083055B"/>
    <w:rsid w:val="00831290"/>
    <w:rsid w:val="00834BBE"/>
    <w:rsid w:val="008352C5"/>
    <w:rsid w:val="0083696F"/>
    <w:rsid w:val="00836CBF"/>
    <w:rsid w:val="008373BF"/>
    <w:rsid w:val="00837662"/>
    <w:rsid w:val="0084023A"/>
    <w:rsid w:val="00841C63"/>
    <w:rsid w:val="008423AD"/>
    <w:rsid w:val="008446BB"/>
    <w:rsid w:val="008447E1"/>
    <w:rsid w:val="0084535B"/>
    <w:rsid w:val="00845D68"/>
    <w:rsid w:val="00845D6D"/>
    <w:rsid w:val="008512A2"/>
    <w:rsid w:val="00851CCB"/>
    <w:rsid w:val="00851F52"/>
    <w:rsid w:val="00854206"/>
    <w:rsid w:val="00854AFF"/>
    <w:rsid w:val="00854F23"/>
    <w:rsid w:val="00856236"/>
    <w:rsid w:val="00860D1E"/>
    <w:rsid w:val="008614F2"/>
    <w:rsid w:val="008619E4"/>
    <w:rsid w:val="008638B4"/>
    <w:rsid w:val="00866CE9"/>
    <w:rsid w:val="00867F19"/>
    <w:rsid w:val="00870A7B"/>
    <w:rsid w:val="0087245A"/>
    <w:rsid w:val="008737E6"/>
    <w:rsid w:val="00873882"/>
    <w:rsid w:val="0087672E"/>
    <w:rsid w:val="00877426"/>
    <w:rsid w:val="0087756F"/>
    <w:rsid w:val="00877954"/>
    <w:rsid w:val="00877B78"/>
    <w:rsid w:val="008813AC"/>
    <w:rsid w:val="0088184F"/>
    <w:rsid w:val="00882D5F"/>
    <w:rsid w:val="00883CE4"/>
    <w:rsid w:val="008842D1"/>
    <w:rsid w:val="00884689"/>
    <w:rsid w:val="008850C4"/>
    <w:rsid w:val="00885F3B"/>
    <w:rsid w:val="00886185"/>
    <w:rsid w:val="0089069C"/>
    <w:rsid w:val="00891695"/>
    <w:rsid w:val="00891A8F"/>
    <w:rsid w:val="0089526A"/>
    <w:rsid w:val="00896D80"/>
    <w:rsid w:val="008A04C0"/>
    <w:rsid w:val="008A391E"/>
    <w:rsid w:val="008A450A"/>
    <w:rsid w:val="008A5420"/>
    <w:rsid w:val="008A55AB"/>
    <w:rsid w:val="008A5C2E"/>
    <w:rsid w:val="008A74BF"/>
    <w:rsid w:val="008A7E8C"/>
    <w:rsid w:val="008B0970"/>
    <w:rsid w:val="008B0BF1"/>
    <w:rsid w:val="008B0DC2"/>
    <w:rsid w:val="008B12F0"/>
    <w:rsid w:val="008B18B8"/>
    <w:rsid w:val="008B24D1"/>
    <w:rsid w:val="008B3283"/>
    <w:rsid w:val="008B54E4"/>
    <w:rsid w:val="008B575F"/>
    <w:rsid w:val="008B59C5"/>
    <w:rsid w:val="008B64CA"/>
    <w:rsid w:val="008B655B"/>
    <w:rsid w:val="008B68BD"/>
    <w:rsid w:val="008B6F9F"/>
    <w:rsid w:val="008C0876"/>
    <w:rsid w:val="008C0E65"/>
    <w:rsid w:val="008C2359"/>
    <w:rsid w:val="008C3844"/>
    <w:rsid w:val="008C4398"/>
    <w:rsid w:val="008C7298"/>
    <w:rsid w:val="008D08DF"/>
    <w:rsid w:val="008D1A4B"/>
    <w:rsid w:val="008D1E7A"/>
    <w:rsid w:val="008D22A0"/>
    <w:rsid w:val="008D2E79"/>
    <w:rsid w:val="008D5B61"/>
    <w:rsid w:val="008D7200"/>
    <w:rsid w:val="008E0835"/>
    <w:rsid w:val="008E0B65"/>
    <w:rsid w:val="008E0BC4"/>
    <w:rsid w:val="008E0E81"/>
    <w:rsid w:val="008E1757"/>
    <w:rsid w:val="008E38E1"/>
    <w:rsid w:val="008E5756"/>
    <w:rsid w:val="008E5AF5"/>
    <w:rsid w:val="008E63C4"/>
    <w:rsid w:val="008E6A35"/>
    <w:rsid w:val="008F0293"/>
    <w:rsid w:val="008F0C7D"/>
    <w:rsid w:val="008F17CC"/>
    <w:rsid w:val="008F2092"/>
    <w:rsid w:val="008F21FC"/>
    <w:rsid w:val="008F333D"/>
    <w:rsid w:val="008F3A71"/>
    <w:rsid w:val="008F516E"/>
    <w:rsid w:val="008F6EE3"/>
    <w:rsid w:val="008F7037"/>
    <w:rsid w:val="008F7064"/>
    <w:rsid w:val="008F7A23"/>
    <w:rsid w:val="00901B1B"/>
    <w:rsid w:val="00901F86"/>
    <w:rsid w:val="00903340"/>
    <w:rsid w:val="00903EEF"/>
    <w:rsid w:val="0090403B"/>
    <w:rsid w:val="0090531A"/>
    <w:rsid w:val="00906893"/>
    <w:rsid w:val="009146AE"/>
    <w:rsid w:val="00914D5C"/>
    <w:rsid w:val="0091503C"/>
    <w:rsid w:val="00915A7A"/>
    <w:rsid w:val="00916725"/>
    <w:rsid w:val="00920CBC"/>
    <w:rsid w:val="00921B9A"/>
    <w:rsid w:val="00922480"/>
    <w:rsid w:val="00923E0E"/>
    <w:rsid w:val="00923F12"/>
    <w:rsid w:val="0092475C"/>
    <w:rsid w:val="00924800"/>
    <w:rsid w:val="00926E18"/>
    <w:rsid w:val="0093111D"/>
    <w:rsid w:val="009311ED"/>
    <w:rsid w:val="009312B9"/>
    <w:rsid w:val="00932B27"/>
    <w:rsid w:val="00932D29"/>
    <w:rsid w:val="0093305E"/>
    <w:rsid w:val="0093315C"/>
    <w:rsid w:val="00934DCE"/>
    <w:rsid w:val="0093517C"/>
    <w:rsid w:val="0093523D"/>
    <w:rsid w:val="00936B79"/>
    <w:rsid w:val="00937370"/>
    <w:rsid w:val="00937CA0"/>
    <w:rsid w:val="009408F8"/>
    <w:rsid w:val="00940A9B"/>
    <w:rsid w:val="00940F68"/>
    <w:rsid w:val="00943989"/>
    <w:rsid w:val="00943FC7"/>
    <w:rsid w:val="00945540"/>
    <w:rsid w:val="00945754"/>
    <w:rsid w:val="00945C76"/>
    <w:rsid w:val="00946A98"/>
    <w:rsid w:val="0094778B"/>
    <w:rsid w:val="009500F6"/>
    <w:rsid w:val="009515B3"/>
    <w:rsid w:val="00951FDA"/>
    <w:rsid w:val="00957045"/>
    <w:rsid w:val="009600D4"/>
    <w:rsid w:val="00961404"/>
    <w:rsid w:val="0096198D"/>
    <w:rsid w:val="00962B0A"/>
    <w:rsid w:val="00963F4E"/>
    <w:rsid w:val="009641C0"/>
    <w:rsid w:val="00964831"/>
    <w:rsid w:val="009650EC"/>
    <w:rsid w:val="00966708"/>
    <w:rsid w:val="009668E0"/>
    <w:rsid w:val="009672E7"/>
    <w:rsid w:val="00967387"/>
    <w:rsid w:val="00970A43"/>
    <w:rsid w:val="00972A39"/>
    <w:rsid w:val="009739D1"/>
    <w:rsid w:val="00973A2B"/>
    <w:rsid w:val="00974E9B"/>
    <w:rsid w:val="00974EA0"/>
    <w:rsid w:val="009767E1"/>
    <w:rsid w:val="00976950"/>
    <w:rsid w:val="009771DA"/>
    <w:rsid w:val="00977671"/>
    <w:rsid w:val="009858E0"/>
    <w:rsid w:val="00985FB1"/>
    <w:rsid w:val="00987403"/>
    <w:rsid w:val="00990B13"/>
    <w:rsid w:val="00990F0F"/>
    <w:rsid w:val="009915C5"/>
    <w:rsid w:val="00991EF1"/>
    <w:rsid w:val="0099292D"/>
    <w:rsid w:val="00995647"/>
    <w:rsid w:val="00996200"/>
    <w:rsid w:val="0099663D"/>
    <w:rsid w:val="0099742D"/>
    <w:rsid w:val="009A0E9B"/>
    <w:rsid w:val="009A1E32"/>
    <w:rsid w:val="009A320F"/>
    <w:rsid w:val="009A347A"/>
    <w:rsid w:val="009A3D99"/>
    <w:rsid w:val="009A4D9D"/>
    <w:rsid w:val="009A63AF"/>
    <w:rsid w:val="009A647B"/>
    <w:rsid w:val="009A6850"/>
    <w:rsid w:val="009A6C61"/>
    <w:rsid w:val="009B1FE7"/>
    <w:rsid w:val="009B2441"/>
    <w:rsid w:val="009B2A37"/>
    <w:rsid w:val="009B2BE6"/>
    <w:rsid w:val="009B4AE3"/>
    <w:rsid w:val="009B58A5"/>
    <w:rsid w:val="009B5CE0"/>
    <w:rsid w:val="009B6A72"/>
    <w:rsid w:val="009B783B"/>
    <w:rsid w:val="009B7D2D"/>
    <w:rsid w:val="009B7F44"/>
    <w:rsid w:val="009C0B82"/>
    <w:rsid w:val="009C2BCB"/>
    <w:rsid w:val="009C2E8A"/>
    <w:rsid w:val="009C3AFF"/>
    <w:rsid w:val="009C3C74"/>
    <w:rsid w:val="009C4FA3"/>
    <w:rsid w:val="009D0C4C"/>
    <w:rsid w:val="009D50B0"/>
    <w:rsid w:val="009D57B8"/>
    <w:rsid w:val="009D62A8"/>
    <w:rsid w:val="009D7327"/>
    <w:rsid w:val="009D78A9"/>
    <w:rsid w:val="009E0E76"/>
    <w:rsid w:val="009E15D4"/>
    <w:rsid w:val="009E1927"/>
    <w:rsid w:val="009E2601"/>
    <w:rsid w:val="009E266C"/>
    <w:rsid w:val="009E2912"/>
    <w:rsid w:val="009E3113"/>
    <w:rsid w:val="009E39E6"/>
    <w:rsid w:val="009E4AA1"/>
    <w:rsid w:val="009E5223"/>
    <w:rsid w:val="009E62E1"/>
    <w:rsid w:val="009E6E59"/>
    <w:rsid w:val="009F1DE8"/>
    <w:rsid w:val="009F2581"/>
    <w:rsid w:val="009F384D"/>
    <w:rsid w:val="009F54AF"/>
    <w:rsid w:val="009F59E5"/>
    <w:rsid w:val="009F5AD7"/>
    <w:rsid w:val="009F5BE3"/>
    <w:rsid w:val="00A00052"/>
    <w:rsid w:val="00A02157"/>
    <w:rsid w:val="00A02E8F"/>
    <w:rsid w:val="00A03B2F"/>
    <w:rsid w:val="00A04487"/>
    <w:rsid w:val="00A05A5E"/>
    <w:rsid w:val="00A1027E"/>
    <w:rsid w:val="00A1226A"/>
    <w:rsid w:val="00A12CD6"/>
    <w:rsid w:val="00A132E1"/>
    <w:rsid w:val="00A13CF4"/>
    <w:rsid w:val="00A13D2C"/>
    <w:rsid w:val="00A16BFD"/>
    <w:rsid w:val="00A17E71"/>
    <w:rsid w:val="00A200D7"/>
    <w:rsid w:val="00A2030D"/>
    <w:rsid w:val="00A20A3D"/>
    <w:rsid w:val="00A20D04"/>
    <w:rsid w:val="00A21CE3"/>
    <w:rsid w:val="00A2222E"/>
    <w:rsid w:val="00A23A16"/>
    <w:rsid w:val="00A25A27"/>
    <w:rsid w:val="00A25C15"/>
    <w:rsid w:val="00A277DE"/>
    <w:rsid w:val="00A3046A"/>
    <w:rsid w:val="00A30558"/>
    <w:rsid w:val="00A33F75"/>
    <w:rsid w:val="00A3704E"/>
    <w:rsid w:val="00A37B95"/>
    <w:rsid w:val="00A37E29"/>
    <w:rsid w:val="00A37EB0"/>
    <w:rsid w:val="00A41653"/>
    <w:rsid w:val="00A41E18"/>
    <w:rsid w:val="00A4264C"/>
    <w:rsid w:val="00A4295A"/>
    <w:rsid w:val="00A4322B"/>
    <w:rsid w:val="00A44CAF"/>
    <w:rsid w:val="00A45106"/>
    <w:rsid w:val="00A4568C"/>
    <w:rsid w:val="00A4576B"/>
    <w:rsid w:val="00A475FF"/>
    <w:rsid w:val="00A47624"/>
    <w:rsid w:val="00A479B2"/>
    <w:rsid w:val="00A47D8D"/>
    <w:rsid w:val="00A50168"/>
    <w:rsid w:val="00A5155F"/>
    <w:rsid w:val="00A51AED"/>
    <w:rsid w:val="00A51EF9"/>
    <w:rsid w:val="00A53193"/>
    <w:rsid w:val="00A54B14"/>
    <w:rsid w:val="00A54D3B"/>
    <w:rsid w:val="00A5564F"/>
    <w:rsid w:val="00A569B5"/>
    <w:rsid w:val="00A56ABF"/>
    <w:rsid w:val="00A61E5E"/>
    <w:rsid w:val="00A627D5"/>
    <w:rsid w:val="00A630B7"/>
    <w:rsid w:val="00A64F30"/>
    <w:rsid w:val="00A65B73"/>
    <w:rsid w:val="00A662E7"/>
    <w:rsid w:val="00A70F93"/>
    <w:rsid w:val="00A71D21"/>
    <w:rsid w:val="00A724E3"/>
    <w:rsid w:val="00A7254E"/>
    <w:rsid w:val="00A7538C"/>
    <w:rsid w:val="00A759B3"/>
    <w:rsid w:val="00A75BCC"/>
    <w:rsid w:val="00A76698"/>
    <w:rsid w:val="00A80282"/>
    <w:rsid w:val="00A8099B"/>
    <w:rsid w:val="00A80E4D"/>
    <w:rsid w:val="00A82D9A"/>
    <w:rsid w:val="00A84B72"/>
    <w:rsid w:val="00A86183"/>
    <w:rsid w:val="00A864A5"/>
    <w:rsid w:val="00A865B6"/>
    <w:rsid w:val="00A86AF8"/>
    <w:rsid w:val="00A86C32"/>
    <w:rsid w:val="00A871A1"/>
    <w:rsid w:val="00A87402"/>
    <w:rsid w:val="00A87BB8"/>
    <w:rsid w:val="00A908F7"/>
    <w:rsid w:val="00A90F2A"/>
    <w:rsid w:val="00A93872"/>
    <w:rsid w:val="00A93AA7"/>
    <w:rsid w:val="00A941F8"/>
    <w:rsid w:val="00A958E9"/>
    <w:rsid w:val="00A95C3B"/>
    <w:rsid w:val="00A96259"/>
    <w:rsid w:val="00A96455"/>
    <w:rsid w:val="00A96929"/>
    <w:rsid w:val="00AA0ED1"/>
    <w:rsid w:val="00AA3166"/>
    <w:rsid w:val="00AA42F2"/>
    <w:rsid w:val="00AA4585"/>
    <w:rsid w:val="00AA4648"/>
    <w:rsid w:val="00AA609F"/>
    <w:rsid w:val="00AA7E62"/>
    <w:rsid w:val="00AB0531"/>
    <w:rsid w:val="00AB2237"/>
    <w:rsid w:val="00AB2638"/>
    <w:rsid w:val="00AB512E"/>
    <w:rsid w:val="00AB5267"/>
    <w:rsid w:val="00AB55E0"/>
    <w:rsid w:val="00AB613F"/>
    <w:rsid w:val="00AB7377"/>
    <w:rsid w:val="00AC0A99"/>
    <w:rsid w:val="00AC2471"/>
    <w:rsid w:val="00AC2BC5"/>
    <w:rsid w:val="00AC43CC"/>
    <w:rsid w:val="00AC44D2"/>
    <w:rsid w:val="00AC483C"/>
    <w:rsid w:val="00AC50CB"/>
    <w:rsid w:val="00AC5AB6"/>
    <w:rsid w:val="00AC74D4"/>
    <w:rsid w:val="00AC7669"/>
    <w:rsid w:val="00AC7B0B"/>
    <w:rsid w:val="00AC7BB6"/>
    <w:rsid w:val="00AD02C2"/>
    <w:rsid w:val="00AD1A0C"/>
    <w:rsid w:val="00AD2C3B"/>
    <w:rsid w:val="00AD3863"/>
    <w:rsid w:val="00AD4DC5"/>
    <w:rsid w:val="00AD5848"/>
    <w:rsid w:val="00AD59AC"/>
    <w:rsid w:val="00AD5D3E"/>
    <w:rsid w:val="00AD6367"/>
    <w:rsid w:val="00AD7528"/>
    <w:rsid w:val="00AE07F6"/>
    <w:rsid w:val="00AE2013"/>
    <w:rsid w:val="00AE20BE"/>
    <w:rsid w:val="00AE4565"/>
    <w:rsid w:val="00AE466D"/>
    <w:rsid w:val="00AE6838"/>
    <w:rsid w:val="00AE6B13"/>
    <w:rsid w:val="00AE78C0"/>
    <w:rsid w:val="00AF04A7"/>
    <w:rsid w:val="00AF0674"/>
    <w:rsid w:val="00AF06A1"/>
    <w:rsid w:val="00AF080C"/>
    <w:rsid w:val="00AF0F2D"/>
    <w:rsid w:val="00AF2784"/>
    <w:rsid w:val="00AF441D"/>
    <w:rsid w:val="00B010AA"/>
    <w:rsid w:val="00B017CF"/>
    <w:rsid w:val="00B01E0E"/>
    <w:rsid w:val="00B03525"/>
    <w:rsid w:val="00B03F13"/>
    <w:rsid w:val="00B044E6"/>
    <w:rsid w:val="00B072A5"/>
    <w:rsid w:val="00B1153D"/>
    <w:rsid w:val="00B116D9"/>
    <w:rsid w:val="00B11BBE"/>
    <w:rsid w:val="00B124FF"/>
    <w:rsid w:val="00B12501"/>
    <w:rsid w:val="00B12EFB"/>
    <w:rsid w:val="00B133B3"/>
    <w:rsid w:val="00B133F2"/>
    <w:rsid w:val="00B13FAB"/>
    <w:rsid w:val="00B140A5"/>
    <w:rsid w:val="00B1490B"/>
    <w:rsid w:val="00B14B4E"/>
    <w:rsid w:val="00B166BF"/>
    <w:rsid w:val="00B17910"/>
    <w:rsid w:val="00B17E1F"/>
    <w:rsid w:val="00B17EFA"/>
    <w:rsid w:val="00B21723"/>
    <w:rsid w:val="00B2173F"/>
    <w:rsid w:val="00B22357"/>
    <w:rsid w:val="00B230A9"/>
    <w:rsid w:val="00B2471E"/>
    <w:rsid w:val="00B26D71"/>
    <w:rsid w:val="00B27717"/>
    <w:rsid w:val="00B30841"/>
    <w:rsid w:val="00B311C7"/>
    <w:rsid w:val="00B32B40"/>
    <w:rsid w:val="00B3394B"/>
    <w:rsid w:val="00B34DB8"/>
    <w:rsid w:val="00B357A6"/>
    <w:rsid w:val="00B41E11"/>
    <w:rsid w:val="00B4319E"/>
    <w:rsid w:val="00B434FE"/>
    <w:rsid w:val="00B461BC"/>
    <w:rsid w:val="00B462B2"/>
    <w:rsid w:val="00B46F63"/>
    <w:rsid w:val="00B47768"/>
    <w:rsid w:val="00B5145B"/>
    <w:rsid w:val="00B5255A"/>
    <w:rsid w:val="00B52BD8"/>
    <w:rsid w:val="00B53968"/>
    <w:rsid w:val="00B53A65"/>
    <w:rsid w:val="00B55023"/>
    <w:rsid w:val="00B563BC"/>
    <w:rsid w:val="00B565FC"/>
    <w:rsid w:val="00B61072"/>
    <w:rsid w:val="00B63B87"/>
    <w:rsid w:val="00B63E9C"/>
    <w:rsid w:val="00B63EF9"/>
    <w:rsid w:val="00B64F53"/>
    <w:rsid w:val="00B653B7"/>
    <w:rsid w:val="00B656F7"/>
    <w:rsid w:val="00B67093"/>
    <w:rsid w:val="00B673CF"/>
    <w:rsid w:val="00B70D9A"/>
    <w:rsid w:val="00B72599"/>
    <w:rsid w:val="00B7310F"/>
    <w:rsid w:val="00B74524"/>
    <w:rsid w:val="00B747D9"/>
    <w:rsid w:val="00B75CA0"/>
    <w:rsid w:val="00B75F08"/>
    <w:rsid w:val="00B7616C"/>
    <w:rsid w:val="00B7673F"/>
    <w:rsid w:val="00B7730B"/>
    <w:rsid w:val="00B7738B"/>
    <w:rsid w:val="00B77777"/>
    <w:rsid w:val="00B8010A"/>
    <w:rsid w:val="00B80691"/>
    <w:rsid w:val="00B80B95"/>
    <w:rsid w:val="00B832F3"/>
    <w:rsid w:val="00B8340D"/>
    <w:rsid w:val="00B83D9F"/>
    <w:rsid w:val="00B86193"/>
    <w:rsid w:val="00B871AE"/>
    <w:rsid w:val="00B92CCE"/>
    <w:rsid w:val="00B94426"/>
    <w:rsid w:val="00B95BCE"/>
    <w:rsid w:val="00B975BF"/>
    <w:rsid w:val="00BA06AB"/>
    <w:rsid w:val="00BA10FF"/>
    <w:rsid w:val="00BA1995"/>
    <w:rsid w:val="00BA2654"/>
    <w:rsid w:val="00BA3A64"/>
    <w:rsid w:val="00BA612C"/>
    <w:rsid w:val="00BA6173"/>
    <w:rsid w:val="00BA6F60"/>
    <w:rsid w:val="00BA7F06"/>
    <w:rsid w:val="00BB0A12"/>
    <w:rsid w:val="00BB2FB2"/>
    <w:rsid w:val="00BB3C4A"/>
    <w:rsid w:val="00BB412D"/>
    <w:rsid w:val="00BB4F03"/>
    <w:rsid w:val="00BB4F09"/>
    <w:rsid w:val="00BB5CD3"/>
    <w:rsid w:val="00BB65AB"/>
    <w:rsid w:val="00BC09D4"/>
    <w:rsid w:val="00BC0F54"/>
    <w:rsid w:val="00BC1E88"/>
    <w:rsid w:val="00BC2D04"/>
    <w:rsid w:val="00BC2D34"/>
    <w:rsid w:val="00BC3017"/>
    <w:rsid w:val="00BC6279"/>
    <w:rsid w:val="00BC6D23"/>
    <w:rsid w:val="00BD1A25"/>
    <w:rsid w:val="00BD207B"/>
    <w:rsid w:val="00BD285C"/>
    <w:rsid w:val="00BD29EF"/>
    <w:rsid w:val="00BD36AC"/>
    <w:rsid w:val="00BD3711"/>
    <w:rsid w:val="00BD3DE2"/>
    <w:rsid w:val="00BD59BF"/>
    <w:rsid w:val="00BD7205"/>
    <w:rsid w:val="00BE0756"/>
    <w:rsid w:val="00BE14DB"/>
    <w:rsid w:val="00BE16CB"/>
    <w:rsid w:val="00BE1B25"/>
    <w:rsid w:val="00BE1BE8"/>
    <w:rsid w:val="00BE265D"/>
    <w:rsid w:val="00BE34AA"/>
    <w:rsid w:val="00BE3CC9"/>
    <w:rsid w:val="00BE3D11"/>
    <w:rsid w:val="00BE4935"/>
    <w:rsid w:val="00BE5221"/>
    <w:rsid w:val="00BE5948"/>
    <w:rsid w:val="00BE5AB6"/>
    <w:rsid w:val="00BE773B"/>
    <w:rsid w:val="00BF05F3"/>
    <w:rsid w:val="00BF0A9A"/>
    <w:rsid w:val="00BF2E98"/>
    <w:rsid w:val="00BF3F46"/>
    <w:rsid w:val="00BF43A5"/>
    <w:rsid w:val="00BF5260"/>
    <w:rsid w:val="00BF5D00"/>
    <w:rsid w:val="00BF67DD"/>
    <w:rsid w:val="00BF7CB4"/>
    <w:rsid w:val="00C00292"/>
    <w:rsid w:val="00C01689"/>
    <w:rsid w:val="00C02A4F"/>
    <w:rsid w:val="00C0501B"/>
    <w:rsid w:val="00C07BFE"/>
    <w:rsid w:val="00C07E45"/>
    <w:rsid w:val="00C10ADA"/>
    <w:rsid w:val="00C116FD"/>
    <w:rsid w:val="00C12CEE"/>
    <w:rsid w:val="00C166BF"/>
    <w:rsid w:val="00C16C5D"/>
    <w:rsid w:val="00C1725F"/>
    <w:rsid w:val="00C17AFB"/>
    <w:rsid w:val="00C202D7"/>
    <w:rsid w:val="00C20945"/>
    <w:rsid w:val="00C221C1"/>
    <w:rsid w:val="00C225E8"/>
    <w:rsid w:val="00C2268A"/>
    <w:rsid w:val="00C2299F"/>
    <w:rsid w:val="00C22C63"/>
    <w:rsid w:val="00C23E2F"/>
    <w:rsid w:val="00C24671"/>
    <w:rsid w:val="00C2752D"/>
    <w:rsid w:val="00C30F93"/>
    <w:rsid w:val="00C31F6D"/>
    <w:rsid w:val="00C337F9"/>
    <w:rsid w:val="00C33BB9"/>
    <w:rsid w:val="00C3455D"/>
    <w:rsid w:val="00C36035"/>
    <w:rsid w:val="00C3751B"/>
    <w:rsid w:val="00C379F4"/>
    <w:rsid w:val="00C37BCB"/>
    <w:rsid w:val="00C407E1"/>
    <w:rsid w:val="00C40CAC"/>
    <w:rsid w:val="00C41BF5"/>
    <w:rsid w:val="00C42FCF"/>
    <w:rsid w:val="00C43B2C"/>
    <w:rsid w:val="00C43B46"/>
    <w:rsid w:val="00C43DCB"/>
    <w:rsid w:val="00C44D5D"/>
    <w:rsid w:val="00C45950"/>
    <w:rsid w:val="00C461E1"/>
    <w:rsid w:val="00C4681E"/>
    <w:rsid w:val="00C4788D"/>
    <w:rsid w:val="00C47CAE"/>
    <w:rsid w:val="00C50144"/>
    <w:rsid w:val="00C50539"/>
    <w:rsid w:val="00C50806"/>
    <w:rsid w:val="00C5178A"/>
    <w:rsid w:val="00C51C39"/>
    <w:rsid w:val="00C5207F"/>
    <w:rsid w:val="00C54278"/>
    <w:rsid w:val="00C556A1"/>
    <w:rsid w:val="00C55833"/>
    <w:rsid w:val="00C56EEE"/>
    <w:rsid w:val="00C57F30"/>
    <w:rsid w:val="00C61885"/>
    <w:rsid w:val="00C61C0E"/>
    <w:rsid w:val="00C64A2B"/>
    <w:rsid w:val="00C65744"/>
    <w:rsid w:val="00C65EB9"/>
    <w:rsid w:val="00C66769"/>
    <w:rsid w:val="00C66972"/>
    <w:rsid w:val="00C66A78"/>
    <w:rsid w:val="00C66BCF"/>
    <w:rsid w:val="00C67C0C"/>
    <w:rsid w:val="00C7036A"/>
    <w:rsid w:val="00C709C9"/>
    <w:rsid w:val="00C70A25"/>
    <w:rsid w:val="00C70AD7"/>
    <w:rsid w:val="00C73375"/>
    <w:rsid w:val="00C748F6"/>
    <w:rsid w:val="00C77B65"/>
    <w:rsid w:val="00C806CE"/>
    <w:rsid w:val="00C80E88"/>
    <w:rsid w:val="00C80F74"/>
    <w:rsid w:val="00C81F2D"/>
    <w:rsid w:val="00C8219B"/>
    <w:rsid w:val="00C82A26"/>
    <w:rsid w:val="00C8605D"/>
    <w:rsid w:val="00C86613"/>
    <w:rsid w:val="00C86CA0"/>
    <w:rsid w:val="00C878CA"/>
    <w:rsid w:val="00C87F14"/>
    <w:rsid w:val="00C900D4"/>
    <w:rsid w:val="00C91AB4"/>
    <w:rsid w:val="00C9227A"/>
    <w:rsid w:val="00C92CD2"/>
    <w:rsid w:val="00C93BE6"/>
    <w:rsid w:val="00C94202"/>
    <w:rsid w:val="00C9488D"/>
    <w:rsid w:val="00C955DE"/>
    <w:rsid w:val="00C96A6B"/>
    <w:rsid w:val="00C97ABE"/>
    <w:rsid w:val="00CA11BD"/>
    <w:rsid w:val="00CA1B61"/>
    <w:rsid w:val="00CA1C28"/>
    <w:rsid w:val="00CA27AD"/>
    <w:rsid w:val="00CA2B01"/>
    <w:rsid w:val="00CA3453"/>
    <w:rsid w:val="00CA3CD4"/>
    <w:rsid w:val="00CA64EF"/>
    <w:rsid w:val="00CA78F5"/>
    <w:rsid w:val="00CB0CAB"/>
    <w:rsid w:val="00CB1DC2"/>
    <w:rsid w:val="00CB575E"/>
    <w:rsid w:val="00CB58F3"/>
    <w:rsid w:val="00CB6E84"/>
    <w:rsid w:val="00CB6FD8"/>
    <w:rsid w:val="00CB7D91"/>
    <w:rsid w:val="00CC0D1E"/>
    <w:rsid w:val="00CC15A2"/>
    <w:rsid w:val="00CC415A"/>
    <w:rsid w:val="00CC4D59"/>
    <w:rsid w:val="00CC7EF4"/>
    <w:rsid w:val="00CD038B"/>
    <w:rsid w:val="00CD2D79"/>
    <w:rsid w:val="00CD3138"/>
    <w:rsid w:val="00CD3526"/>
    <w:rsid w:val="00CD36F1"/>
    <w:rsid w:val="00CD5072"/>
    <w:rsid w:val="00CD6144"/>
    <w:rsid w:val="00CE0969"/>
    <w:rsid w:val="00CE2E16"/>
    <w:rsid w:val="00CE30D5"/>
    <w:rsid w:val="00CE476E"/>
    <w:rsid w:val="00CE49D9"/>
    <w:rsid w:val="00CE546B"/>
    <w:rsid w:val="00CF00CF"/>
    <w:rsid w:val="00CF07C9"/>
    <w:rsid w:val="00CF0AF3"/>
    <w:rsid w:val="00CF1656"/>
    <w:rsid w:val="00CF5D3F"/>
    <w:rsid w:val="00CF6A7F"/>
    <w:rsid w:val="00D03329"/>
    <w:rsid w:val="00D046C6"/>
    <w:rsid w:val="00D04D03"/>
    <w:rsid w:val="00D05411"/>
    <w:rsid w:val="00D069A1"/>
    <w:rsid w:val="00D1075B"/>
    <w:rsid w:val="00D13366"/>
    <w:rsid w:val="00D13B53"/>
    <w:rsid w:val="00D14462"/>
    <w:rsid w:val="00D15CB9"/>
    <w:rsid w:val="00D170E0"/>
    <w:rsid w:val="00D22109"/>
    <w:rsid w:val="00D221F0"/>
    <w:rsid w:val="00D22B57"/>
    <w:rsid w:val="00D239FD"/>
    <w:rsid w:val="00D30E92"/>
    <w:rsid w:val="00D32BDA"/>
    <w:rsid w:val="00D335B8"/>
    <w:rsid w:val="00D362E1"/>
    <w:rsid w:val="00D4010D"/>
    <w:rsid w:val="00D41327"/>
    <w:rsid w:val="00D413F6"/>
    <w:rsid w:val="00D41D16"/>
    <w:rsid w:val="00D4237E"/>
    <w:rsid w:val="00D42A45"/>
    <w:rsid w:val="00D449E3"/>
    <w:rsid w:val="00D44D37"/>
    <w:rsid w:val="00D44DB7"/>
    <w:rsid w:val="00D45052"/>
    <w:rsid w:val="00D457C8"/>
    <w:rsid w:val="00D470E4"/>
    <w:rsid w:val="00D47853"/>
    <w:rsid w:val="00D505C2"/>
    <w:rsid w:val="00D52A61"/>
    <w:rsid w:val="00D52E47"/>
    <w:rsid w:val="00D532EE"/>
    <w:rsid w:val="00D552BE"/>
    <w:rsid w:val="00D5544D"/>
    <w:rsid w:val="00D55DE0"/>
    <w:rsid w:val="00D56ED9"/>
    <w:rsid w:val="00D57A63"/>
    <w:rsid w:val="00D60313"/>
    <w:rsid w:val="00D60E53"/>
    <w:rsid w:val="00D62BFB"/>
    <w:rsid w:val="00D63EC1"/>
    <w:rsid w:val="00D64E89"/>
    <w:rsid w:val="00D66E7E"/>
    <w:rsid w:val="00D67265"/>
    <w:rsid w:val="00D678FD"/>
    <w:rsid w:val="00D7029F"/>
    <w:rsid w:val="00D70696"/>
    <w:rsid w:val="00D70CDE"/>
    <w:rsid w:val="00D712B3"/>
    <w:rsid w:val="00D73D0A"/>
    <w:rsid w:val="00D74082"/>
    <w:rsid w:val="00D83B93"/>
    <w:rsid w:val="00D840CF"/>
    <w:rsid w:val="00D844AC"/>
    <w:rsid w:val="00D8484E"/>
    <w:rsid w:val="00D868BA"/>
    <w:rsid w:val="00D9075D"/>
    <w:rsid w:val="00D938CD"/>
    <w:rsid w:val="00D959BD"/>
    <w:rsid w:val="00D95B30"/>
    <w:rsid w:val="00D960E3"/>
    <w:rsid w:val="00D9612A"/>
    <w:rsid w:val="00DA291C"/>
    <w:rsid w:val="00DA2E1F"/>
    <w:rsid w:val="00DA3301"/>
    <w:rsid w:val="00DA4626"/>
    <w:rsid w:val="00DA58A3"/>
    <w:rsid w:val="00DA6564"/>
    <w:rsid w:val="00DB052A"/>
    <w:rsid w:val="00DB1C39"/>
    <w:rsid w:val="00DB1DD1"/>
    <w:rsid w:val="00DB2A21"/>
    <w:rsid w:val="00DB52B2"/>
    <w:rsid w:val="00DB5678"/>
    <w:rsid w:val="00DB5870"/>
    <w:rsid w:val="00DB7584"/>
    <w:rsid w:val="00DB7658"/>
    <w:rsid w:val="00DC01BF"/>
    <w:rsid w:val="00DC0E27"/>
    <w:rsid w:val="00DC0FCE"/>
    <w:rsid w:val="00DC144A"/>
    <w:rsid w:val="00DC2BD2"/>
    <w:rsid w:val="00DC45CF"/>
    <w:rsid w:val="00DC553A"/>
    <w:rsid w:val="00DC5A5A"/>
    <w:rsid w:val="00DC5ACF"/>
    <w:rsid w:val="00DC5FCF"/>
    <w:rsid w:val="00DC688E"/>
    <w:rsid w:val="00DC7F13"/>
    <w:rsid w:val="00DD0592"/>
    <w:rsid w:val="00DD0D68"/>
    <w:rsid w:val="00DD11DA"/>
    <w:rsid w:val="00DD22FB"/>
    <w:rsid w:val="00DD2474"/>
    <w:rsid w:val="00DD34D4"/>
    <w:rsid w:val="00DD6659"/>
    <w:rsid w:val="00DD7859"/>
    <w:rsid w:val="00DE031B"/>
    <w:rsid w:val="00DE12E0"/>
    <w:rsid w:val="00DE2C2F"/>
    <w:rsid w:val="00DE4EC4"/>
    <w:rsid w:val="00DE5CC4"/>
    <w:rsid w:val="00DE7933"/>
    <w:rsid w:val="00DF0A00"/>
    <w:rsid w:val="00DF255B"/>
    <w:rsid w:val="00DF3396"/>
    <w:rsid w:val="00DF35F2"/>
    <w:rsid w:val="00DF5481"/>
    <w:rsid w:val="00DF744C"/>
    <w:rsid w:val="00E01069"/>
    <w:rsid w:val="00E01D0F"/>
    <w:rsid w:val="00E01D9D"/>
    <w:rsid w:val="00E025DE"/>
    <w:rsid w:val="00E02A31"/>
    <w:rsid w:val="00E05E30"/>
    <w:rsid w:val="00E0674A"/>
    <w:rsid w:val="00E06AA4"/>
    <w:rsid w:val="00E070B7"/>
    <w:rsid w:val="00E1145E"/>
    <w:rsid w:val="00E13D9F"/>
    <w:rsid w:val="00E16C87"/>
    <w:rsid w:val="00E175E3"/>
    <w:rsid w:val="00E20030"/>
    <w:rsid w:val="00E20FA6"/>
    <w:rsid w:val="00E23C9E"/>
    <w:rsid w:val="00E23DA7"/>
    <w:rsid w:val="00E260B9"/>
    <w:rsid w:val="00E26905"/>
    <w:rsid w:val="00E27C40"/>
    <w:rsid w:val="00E27FB8"/>
    <w:rsid w:val="00E30988"/>
    <w:rsid w:val="00E32E61"/>
    <w:rsid w:val="00E34F40"/>
    <w:rsid w:val="00E367E1"/>
    <w:rsid w:val="00E368CE"/>
    <w:rsid w:val="00E374EA"/>
    <w:rsid w:val="00E37A0D"/>
    <w:rsid w:val="00E37E41"/>
    <w:rsid w:val="00E40650"/>
    <w:rsid w:val="00E41D31"/>
    <w:rsid w:val="00E424E0"/>
    <w:rsid w:val="00E4348B"/>
    <w:rsid w:val="00E43A0F"/>
    <w:rsid w:val="00E43A25"/>
    <w:rsid w:val="00E45CBB"/>
    <w:rsid w:val="00E46A02"/>
    <w:rsid w:val="00E47A17"/>
    <w:rsid w:val="00E5023E"/>
    <w:rsid w:val="00E53701"/>
    <w:rsid w:val="00E5428D"/>
    <w:rsid w:val="00E5567B"/>
    <w:rsid w:val="00E566A9"/>
    <w:rsid w:val="00E56CE7"/>
    <w:rsid w:val="00E57854"/>
    <w:rsid w:val="00E57F2A"/>
    <w:rsid w:val="00E6225E"/>
    <w:rsid w:val="00E645F7"/>
    <w:rsid w:val="00E64A99"/>
    <w:rsid w:val="00E66FB8"/>
    <w:rsid w:val="00E7010B"/>
    <w:rsid w:val="00E75042"/>
    <w:rsid w:val="00E754C1"/>
    <w:rsid w:val="00E76B54"/>
    <w:rsid w:val="00E770C2"/>
    <w:rsid w:val="00E80A28"/>
    <w:rsid w:val="00E80FC6"/>
    <w:rsid w:val="00E81F36"/>
    <w:rsid w:val="00E857B6"/>
    <w:rsid w:val="00E86052"/>
    <w:rsid w:val="00E860AE"/>
    <w:rsid w:val="00E864A2"/>
    <w:rsid w:val="00E86A2F"/>
    <w:rsid w:val="00E904B6"/>
    <w:rsid w:val="00E9222E"/>
    <w:rsid w:val="00E95BD7"/>
    <w:rsid w:val="00E95F53"/>
    <w:rsid w:val="00E96F8C"/>
    <w:rsid w:val="00EA0ECE"/>
    <w:rsid w:val="00EA1126"/>
    <w:rsid w:val="00EA14CD"/>
    <w:rsid w:val="00EA2F67"/>
    <w:rsid w:val="00EA3150"/>
    <w:rsid w:val="00EA37E9"/>
    <w:rsid w:val="00EA4D53"/>
    <w:rsid w:val="00EA5E24"/>
    <w:rsid w:val="00EA5FFB"/>
    <w:rsid w:val="00EA62EF"/>
    <w:rsid w:val="00EB003D"/>
    <w:rsid w:val="00EB13D8"/>
    <w:rsid w:val="00EB14A9"/>
    <w:rsid w:val="00EB23D3"/>
    <w:rsid w:val="00EB7B35"/>
    <w:rsid w:val="00EC3CBF"/>
    <w:rsid w:val="00EC4FBD"/>
    <w:rsid w:val="00EC625C"/>
    <w:rsid w:val="00EC66A3"/>
    <w:rsid w:val="00EC6C55"/>
    <w:rsid w:val="00EC6DDB"/>
    <w:rsid w:val="00EC7B53"/>
    <w:rsid w:val="00EC7D3A"/>
    <w:rsid w:val="00ED01F2"/>
    <w:rsid w:val="00ED089D"/>
    <w:rsid w:val="00ED0F63"/>
    <w:rsid w:val="00ED1468"/>
    <w:rsid w:val="00ED16CB"/>
    <w:rsid w:val="00ED1A55"/>
    <w:rsid w:val="00ED3CAA"/>
    <w:rsid w:val="00ED4EEE"/>
    <w:rsid w:val="00ED63C0"/>
    <w:rsid w:val="00ED76DA"/>
    <w:rsid w:val="00ED7D12"/>
    <w:rsid w:val="00ED7D45"/>
    <w:rsid w:val="00EE0548"/>
    <w:rsid w:val="00EE1D4E"/>
    <w:rsid w:val="00EE2F42"/>
    <w:rsid w:val="00EE3051"/>
    <w:rsid w:val="00EE51BE"/>
    <w:rsid w:val="00EE64B6"/>
    <w:rsid w:val="00EE7768"/>
    <w:rsid w:val="00EF0F77"/>
    <w:rsid w:val="00EF0F80"/>
    <w:rsid w:val="00EF1E77"/>
    <w:rsid w:val="00EF260F"/>
    <w:rsid w:val="00EF3078"/>
    <w:rsid w:val="00EF456A"/>
    <w:rsid w:val="00EF4831"/>
    <w:rsid w:val="00EF5DBF"/>
    <w:rsid w:val="00EF6585"/>
    <w:rsid w:val="00EF68EF"/>
    <w:rsid w:val="00EF6EB9"/>
    <w:rsid w:val="00F00490"/>
    <w:rsid w:val="00F01EE8"/>
    <w:rsid w:val="00F026F2"/>
    <w:rsid w:val="00F03BA5"/>
    <w:rsid w:val="00F04381"/>
    <w:rsid w:val="00F04C7E"/>
    <w:rsid w:val="00F06D44"/>
    <w:rsid w:val="00F10134"/>
    <w:rsid w:val="00F1077D"/>
    <w:rsid w:val="00F11C5C"/>
    <w:rsid w:val="00F14096"/>
    <w:rsid w:val="00F14B37"/>
    <w:rsid w:val="00F14F26"/>
    <w:rsid w:val="00F15C82"/>
    <w:rsid w:val="00F165CF"/>
    <w:rsid w:val="00F1686F"/>
    <w:rsid w:val="00F172F9"/>
    <w:rsid w:val="00F20191"/>
    <w:rsid w:val="00F201CE"/>
    <w:rsid w:val="00F2057D"/>
    <w:rsid w:val="00F205EA"/>
    <w:rsid w:val="00F21061"/>
    <w:rsid w:val="00F21C51"/>
    <w:rsid w:val="00F22381"/>
    <w:rsid w:val="00F22E49"/>
    <w:rsid w:val="00F247E9"/>
    <w:rsid w:val="00F2485C"/>
    <w:rsid w:val="00F24C61"/>
    <w:rsid w:val="00F2568E"/>
    <w:rsid w:val="00F25DE5"/>
    <w:rsid w:val="00F264D0"/>
    <w:rsid w:val="00F27407"/>
    <w:rsid w:val="00F3005F"/>
    <w:rsid w:val="00F301C4"/>
    <w:rsid w:val="00F30633"/>
    <w:rsid w:val="00F30FD6"/>
    <w:rsid w:val="00F329AE"/>
    <w:rsid w:val="00F3406F"/>
    <w:rsid w:val="00F358E7"/>
    <w:rsid w:val="00F3703A"/>
    <w:rsid w:val="00F37ACC"/>
    <w:rsid w:val="00F429E6"/>
    <w:rsid w:val="00F468D9"/>
    <w:rsid w:val="00F47F31"/>
    <w:rsid w:val="00F51BFF"/>
    <w:rsid w:val="00F52730"/>
    <w:rsid w:val="00F530D5"/>
    <w:rsid w:val="00F5337D"/>
    <w:rsid w:val="00F53CCE"/>
    <w:rsid w:val="00F558D9"/>
    <w:rsid w:val="00F55FC6"/>
    <w:rsid w:val="00F578BD"/>
    <w:rsid w:val="00F6068C"/>
    <w:rsid w:val="00F60D57"/>
    <w:rsid w:val="00F63298"/>
    <w:rsid w:val="00F66868"/>
    <w:rsid w:val="00F70D53"/>
    <w:rsid w:val="00F7275E"/>
    <w:rsid w:val="00F73250"/>
    <w:rsid w:val="00F7346A"/>
    <w:rsid w:val="00F73604"/>
    <w:rsid w:val="00F73AE7"/>
    <w:rsid w:val="00F73B77"/>
    <w:rsid w:val="00F75475"/>
    <w:rsid w:val="00F80628"/>
    <w:rsid w:val="00F81142"/>
    <w:rsid w:val="00F813AE"/>
    <w:rsid w:val="00F81B48"/>
    <w:rsid w:val="00F81B7B"/>
    <w:rsid w:val="00F83044"/>
    <w:rsid w:val="00F839DB"/>
    <w:rsid w:val="00F84383"/>
    <w:rsid w:val="00F848F5"/>
    <w:rsid w:val="00F8493E"/>
    <w:rsid w:val="00F849D2"/>
    <w:rsid w:val="00F84CCD"/>
    <w:rsid w:val="00F84F43"/>
    <w:rsid w:val="00F86BEA"/>
    <w:rsid w:val="00F90303"/>
    <w:rsid w:val="00F91353"/>
    <w:rsid w:val="00F93E94"/>
    <w:rsid w:val="00F93ECD"/>
    <w:rsid w:val="00F97913"/>
    <w:rsid w:val="00FA04D5"/>
    <w:rsid w:val="00FA0B82"/>
    <w:rsid w:val="00FA12A6"/>
    <w:rsid w:val="00FA151B"/>
    <w:rsid w:val="00FA2384"/>
    <w:rsid w:val="00FA28B7"/>
    <w:rsid w:val="00FA4EA0"/>
    <w:rsid w:val="00FA51C6"/>
    <w:rsid w:val="00FA6670"/>
    <w:rsid w:val="00FA78D9"/>
    <w:rsid w:val="00FA7C94"/>
    <w:rsid w:val="00FB022C"/>
    <w:rsid w:val="00FB06DB"/>
    <w:rsid w:val="00FB273A"/>
    <w:rsid w:val="00FB2F19"/>
    <w:rsid w:val="00FB38CB"/>
    <w:rsid w:val="00FB4C0A"/>
    <w:rsid w:val="00FB729B"/>
    <w:rsid w:val="00FC0C3B"/>
    <w:rsid w:val="00FC22A8"/>
    <w:rsid w:val="00FD0090"/>
    <w:rsid w:val="00FD151D"/>
    <w:rsid w:val="00FD4CD1"/>
    <w:rsid w:val="00FD5A2E"/>
    <w:rsid w:val="00FD5F86"/>
    <w:rsid w:val="00FD6114"/>
    <w:rsid w:val="00FE27BB"/>
    <w:rsid w:val="00FE386E"/>
    <w:rsid w:val="00FE3A37"/>
    <w:rsid w:val="00FE4E6B"/>
    <w:rsid w:val="00FE584F"/>
    <w:rsid w:val="00FE5A07"/>
    <w:rsid w:val="00FE6DF8"/>
    <w:rsid w:val="00FE7154"/>
    <w:rsid w:val="00FF014F"/>
    <w:rsid w:val="00FF0226"/>
    <w:rsid w:val="00FF0650"/>
    <w:rsid w:val="00FF07F7"/>
    <w:rsid w:val="00FF1B40"/>
    <w:rsid w:val="00FF1D4B"/>
    <w:rsid w:val="00FF2A05"/>
    <w:rsid w:val="00FF2F34"/>
    <w:rsid w:val="00FF51AA"/>
    <w:rsid w:val="00FF6376"/>
    <w:rsid w:val="00FF68C4"/>
    <w:rsid w:val="00FF7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68DC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D505C2"/>
    <w:pPr>
      <w:spacing w:after="12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6A50D4"/>
    <w:pPr>
      <w:keepNext/>
      <w:spacing w:before="240"/>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
    <w:qFormat/>
    <w:rsid w:val="006A50D4"/>
    <w:pPr>
      <w:overflowPunct w:val="0"/>
      <w:autoSpaceDE w:val="0"/>
      <w:autoSpaceDN w:val="0"/>
      <w:adjustRightInd w:val="0"/>
      <w:spacing w:before="120"/>
      <w:ind w:left="357" w:hanging="357"/>
      <w:textAlignment w:val="baseline"/>
      <w:outlineLvl w:val="3"/>
    </w:pPr>
    <w:rPr>
      <w:rFonts w:ascii="Arial Bold" w:eastAsiaTheme="majorEastAsia" w:hAnsi="Arial Bold" w:cstheme="majorBidi"/>
      <w:b/>
      <w:spacing w:val="-3"/>
      <w:szCs w:val="22"/>
      <w:lang w:eastAsia="en-US"/>
    </w:rPr>
  </w:style>
  <w:style w:type="paragraph" w:styleId="Heading5">
    <w:name w:val="heading 5"/>
    <w:basedOn w:val="Normal"/>
    <w:next w:val="Normal"/>
    <w:link w:val="Heading5Char"/>
    <w:uiPriority w:val="9"/>
    <w:unhideWhenUsed/>
    <w:qFormat/>
    <w:rsid w:val="00C66972"/>
    <w:pPr>
      <w:keepNext/>
      <w:keepLines/>
      <w:spacing w:before="200" w:afterAutospacing="1"/>
      <w:outlineLvl w:val="4"/>
    </w:pPr>
    <w:rPr>
      <w:rFonts w:eastAsiaTheme="majorEastAsia" w:cstheme="majorBidi"/>
      <w:b/>
      <w:sz w:val="22"/>
      <w:szCs w:val="22"/>
      <w:lang w:val="en-GB"/>
    </w:rPr>
  </w:style>
  <w:style w:type="paragraph" w:styleId="Heading6">
    <w:name w:val="heading 6"/>
    <w:aliases w:val="CR level 7"/>
    <w:basedOn w:val="Normal"/>
    <w:next w:val="Normal"/>
    <w:link w:val="Heading6Char"/>
    <w:uiPriority w:val="9"/>
    <w:unhideWhenUsed/>
    <w:qFormat/>
    <w:rsid w:val="00C66972"/>
    <w:pPr>
      <w:keepNext/>
      <w:keepLines/>
      <w:spacing w:before="200" w:afterAutospacing="1"/>
      <w:outlineLvl w:val="5"/>
    </w:pPr>
    <w:rPr>
      <w:rFonts w:asciiTheme="majorHAnsi" w:eastAsiaTheme="majorEastAsia" w:hAnsiTheme="majorHAnsi" w:cstheme="majorBidi"/>
      <w:b/>
      <w:i/>
      <w:i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6A50D4"/>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
    <w:rsid w:val="006A50D4"/>
    <w:rPr>
      <w:rFonts w:ascii="Arial Bold" w:eastAsiaTheme="majorEastAsia" w:hAnsi="Arial Bold" w:cstheme="majorBidi"/>
      <w:b/>
      <w:spacing w:val="-3"/>
      <w:sz w:val="20"/>
    </w:rPr>
  </w:style>
  <w:style w:type="paragraph" w:styleId="Title">
    <w:name w:val="Title"/>
    <w:aliases w:val="SWA Title"/>
    <w:basedOn w:val="Normal"/>
    <w:link w:val="TitleChar"/>
    <w:uiPriority w:val="10"/>
    <w:qFormat/>
    <w:rsid w:val="00B747D9"/>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B747D9"/>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numPr>
        <w:numId w:val="82"/>
      </w:num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66E7E"/>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1"/>
      </w:numPr>
      <w:spacing w:before="36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basedOn w:val="Heading3"/>
    <w:link w:val="SWATableheaderChar"/>
    <w:qFormat/>
    <w:rsid w:val="00DD0D68"/>
    <w:pPr>
      <w:pageBreakBefore/>
    </w:pPr>
    <w:rPr>
      <w:rFonts w:ascii="Arial" w:hAnsi="Arial"/>
      <w:color w:val="AF1E2D"/>
      <w:spacing w:val="-3"/>
    </w:rPr>
  </w:style>
  <w:style w:type="character" w:customStyle="1" w:styleId="SWATableheaderChar">
    <w:name w:val="SWA Table header Char"/>
    <w:basedOn w:val="Heading4Char"/>
    <w:link w:val="SWATableheader"/>
    <w:rsid w:val="00DD0D68"/>
    <w:rPr>
      <w:rFonts w:ascii="Arial" w:eastAsiaTheme="majorEastAsia" w:hAnsi="Arial" w:cstheme="majorBidi"/>
      <w:b/>
      <w:color w:val="AF1E2D"/>
      <w:spacing w:val="-3"/>
      <w:sz w:val="20"/>
      <w:szCs w:val="20"/>
    </w:rPr>
  </w:style>
  <w:style w:type="paragraph" w:customStyle="1" w:styleId="SWASectionnumberingheading">
    <w:name w:val="SWA Section numbering heading"/>
    <w:basedOn w:val="Heading1"/>
    <w:next w:val="Normal"/>
    <w:qFormat/>
    <w:rsid w:val="002E029B"/>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93A04"/>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link w:val="TOC1Char"/>
    <w:autoRedefine/>
    <w:uiPriority w:val="39"/>
    <w:unhideWhenUsed/>
    <w:qFormat/>
    <w:rsid w:val="005B4BE3"/>
    <w:pPr>
      <w:tabs>
        <w:tab w:val="right" w:leader="dot" w:pos="9016"/>
      </w:tabs>
      <w:spacing w:after="100"/>
    </w:pPr>
    <w:rPr>
      <w:noProof/>
    </w:rPr>
  </w:style>
  <w:style w:type="paragraph" w:styleId="TOC2">
    <w:name w:val="toc 2"/>
    <w:basedOn w:val="Normal"/>
    <w:next w:val="Normal"/>
    <w:link w:val="TOC2Char"/>
    <w:autoRedefine/>
    <w:uiPriority w:val="39"/>
    <w:unhideWhenUsed/>
    <w:qFormat/>
    <w:rsid w:val="00C65EB9"/>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DD0D68"/>
    <w:pPr>
      <w:pageBreakBefore w:val="0"/>
      <w:spacing w:after="120"/>
    </w:pPr>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DD0D68"/>
    <w:rPr>
      <w:rFonts w:ascii="Arial" w:eastAsiaTheme="majorEastAsia" w:hAnsi="Arial" w:cstheme="majorBidi"/>
      <w:b/>
      <w:color w:val="AF1E2D"/>
      <w:spacing w:val="-3"/>
      <w:sz w:val="14"/>
      <w:szCs w:val="14"/>
    </w:rPr>
  </w:style>
  <w:style w:type="paragraph" w:customStyle="1" w:styleId="SWASectiontitle">
    <w:name w:val="SWA Section title"/>
    <w:basedOn w:val="Heading1"/>
    <w:link w:val="SWASectiontitleChar"/>
    <w:qFormat/>
    <w:rsid w:val="007B353C"/>
    <w:pPr>
      <w:pageBreakBefore/>
      <w:spacing w:before="6000"/>
      <w:jc w:val="right"/>
    </w:pPr>
    <w:rPr>
      <w:rFonts w:eastAsiaTheme="minorHAnsi"/>
      <w:color w:val="C00000"/>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uiPriority w:val="99"/>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7B353C"/>
    <w:rPr>
      <w:rFonts w:ascii="Arial Bold" w:eastAsiaTheme="majorEastAsia" w:hAnsi="Arial Bold" w:cs="Arial"/>
      <w:b/>
      <w:bCs w:val="0"/>
      <w:color w:val="C00000"/>
      <w:kern w:val="32"/>
      <w:sz w:val="96"/>
      <w:szCs w:val="96"/>
      <w:lang w:eastAsia="en-AU"/>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Heading5Char">
    <w:name w:val="Heading 5 Char"/>
    <w:basedOn w:val="DefaultParagraphFont"/>
    <w:link w:val="Heading5"/>
    <w:uiPriority w:val="9"/>
    <w:rsid w:val="00C66972"/>
    <w:rPr>
      <w:rFonts w:ascii="Arial" w:eastAsiaTheme="majorEastAsia" w:hAnsi="Arial" w:cstheme="majorBidi"/>
      <w:b/>
      <w:lang w:val="en-GB" w:eastAsia="en-AU"/>
    </w:rPr>
  </w:style>
  <w:style w:type="character" w:customStyle="1" w:styleId="Heading6Char">
    <w:name w:val="Heading 6 Char"/>
    <w:aliases w:val="CR level 7 Char"/>
    <w:basedOn w:val="DefaultParagraphFont"/>
    <w:link w:val="Heading6"/>
    <w:uiPriority w:val="9"/>
    <w:rsid w:val="00C66972"/>
    <w:rPr>
      <w:rFonts w:asciiTheme="majorHAnsi" w:eastAsiaTheme="majorEastAsia" w:hAnsiTheme="majorHAnsi" w:cstheme="majorBidi"/>
      <w:b/>
      <w:i/>
      <w:iCs/>
      <w:lang w:val="en-GB" w:eastAsia="en-AU"/>
    </w:rPr>
  </w:style>
  <w:style w:type="paragraph" w:customStyle="1" w:styleId="Printversion">
    <w:name w:val="Print version"/>
    <w:basedOn w:val="Normal"/>
    <w:link w:val="PrintversionChar"/>
    <w:qFormat/>
    <w:rsid w:val="00C66972"/>
    <w:pPr>
      <w:spacing w:before="2040" w:after="240" w:line="276" w:lineRule="auto"/>
      <w:jc w:val="center"/>
    </w:pPr>
    <w:rPr>
      <w:rFonts w:eastAsiaTheme="minorHAnsi" w:cs="Arial"/>
      <w:sz w:val="22"/>
      <w:szCs w:val="22"/>
      <w:lang w:eastAsia="en-US"/>
    </w:rPr>
  </w:style>
  <w:style w:type="character" w:customStyle="1" w:styleId="PrintversionChar">
    <w:name w:val="Print version Char"/>
    <w:basedOn w:val="DefaultParagraphFont"/>
    <w:link w:val="Printversion"/>
    <w:rsid w:val="00C66972"/>
    <w:rPr>
      <w:rFonts w:ascii="Arial" w:hAnsi="Arial" w:cs="Arial"/>
    </w:rPr>
  </w:style>
  <w:style w:type="paragraph" w:customStyle="1" w:styleId="Mainbodytext">
    <w:name w:val="Main body text"/>
    <w:basedOn w:val="Normal"/>
    <w:link w:val="MainbodytextChar"/>
    <w:qFormat/>
    <w:rsid w:val="00C66972"/>
    <w:pPr>
      <w:spacing w:before="240" w:after="240"/>
    </w:pPr>
    <w:rPr>
      <w:rFonts w:eastAsiaTheme="minorHAnsi" w:cs="Arial"/>
      <w:sz w:val="22"/>
      <w:szCs w:val="22"/>
      <w:lang w:eastAsia="en-US"/>
    </w:rPr>
  </w:style>
  <w:style w:type="character" w:customStyle="1" w:styleId="MainbodytextChar">
    <w:name w:val="Main body text Char"/>
    <w:basedOn w:val="DefaultParagraphFont"/>
    <w:link w:val="Mainbodytext"/>
    <w:rsid w:val="00C66972"/>
    <w:rPr>
      <w:rFonts w:ascii="Arial" w:hAnsi="Arial" w:cs="Arial"/>
    </w:rPr>
  </w:style>
  <w:style w:type="paragraph" w:customStyle="1" w:styleId="Tableheading">
    <w:name w:val="Table heading"/>
    <w:basedOn w:val="Normal"/>
    <w:link w:val="TableheadingChar"/>
    <w:qFormat/>
    <w:rsid w:val="00C66972"/>
    <w:rPr>
      <w:rFonts w:eastAsiaTheme="minorHAnsi" w:cs="Arial"/>
      <w:b/>
      <w:sz w:val="22"/>
      <w:szCs w:val="22"/>
      <w:lang w:eastAsia="en-US"/>
    </w:rPr>
  </w:style>
  <w:style w:type="character" w:customStyle="1" w:styleId="TableheadingChar">
    <w:name w:val="Table heading Char"/>
    <w:basedOn w:val="DefaultParagraphFont"/>
    <w:link w:val="Tableheading"/>
    <w:rsid w:val="00C66972"/>
    <w:rPr>
      <w:rFonts w:ascii="Arial" w:hAnsi="Arial" w:cs="Arial"/>
      <w:b/>
    </w:rPr>
  </w:style>
  <w:style w:type="paragraph" w:customStyle="1" w:styleId="Table11row">
    <w:name w:val="Table 11 row"/>
    <w:basedOn w:val="Normal"/>
    <w:link w:val="Table11rowChar"/>
    <w:qFormat/>
    <w:rsid w:val="00C66972"/>
    <w:rPr>
      <w:rFonts w:eastAsiaTheme="minorHAnsi" w:cs="Arial"/>
      <w:color w:val="FFFFFF" w:themeColor="background1"/>
      <w:sz w:val="22"/>
      <w:szCs w:val="22"/>
      <w:lang w:eastAsia="en-US"/>
    </w:rPr>
  </w:style>
  <w:style w:type="character" w:customStyle="1" w:styleId="Table11rowChar">
    <w:name w:val="Table 11 row Char"/>
    <w:basedOn w:val="DefaultParagraphFont"/>
    <w:link w:val="Table11row"/>
    <w:rsid w:val="00C66972"/>
    <w:rPr>
      <w:rFonts w:ascii="Arial" w:hAnsi="Arial" w:cs="Arial"/>
      <w:color w:val="FFFFFF" w:themeColor="background1"/>
    </w:rPr>
  </w:style>
  <w:style w:type="paragraph" w:customStyle="1" w:styleId="Table-11row">
    <w:name w:val="Table - 11 row"/>
    <w:basedOn w:val="Normal"/>
    <w:link w:val="Table-11rowChar"/>
    <w:rsid w:val="00C66972"/>
    <w:rPr>
      <w:rFonts w:eastAsiaTheme="minorHAnsi" w:cs="Arial"/>
      <w:color w:val="FFFFFF" w:themeColor="background1"/>
      <w:sz w:val="22"/>
      <w:szCs w:val="22"/>
      <w:lang w:eastAsia="en-US"/>
    </w:rPr>
  </w:style>
  <w:style w:type="character" w:customStyle="1" w:styleId="Table-11rowChar">
    <w:name w:val="Table - 11 row Char"/>
    <w:basedOn w:val="Table11rowChar"/>
    <w:link w:val="Table-11row"/>
    <w:rsid w:val="00C66972"/>
    <w:rPr>
      <w:rFonts w:ascii="Arial" w:hAnsi="Arial" w:cs="Arial"/>
      <w:color w:val="FFFFFF" w:themeColor="background1"/>
    </w:rPr>
  </w:style>
  <w:style w:type="paragraph" w:customStyle="1" w:styleId="Tabletext">
    <w:name w:val="Table text"/>
    <w:basedOn w:val="Normal"/>
    <w:link w:val="TabletextChar"/>
    <w:uiPriority w:val="99"/>
    <w:qFormat/>
    <w:rsid w:val="00C66972"/>
    <w:pPr>
      <w:spacing w:before="240" w:afterAutospacing="1"/>
    </w:pPr>
    <w:rPr>
      <w:rFonts w:eastAsiaTheme="minorEastAsia" w:cs="Arial"/>
      <w:color w:val="000000" w:themeColor="text1"/>
      <w:sz w:val="14"/>
      <w:szCs w:val="16"/>
      <w:lang w:val="en-GB"/>
    </w:rPr>
  </w:style>
  <w:style w:type="character" w:customStyle="1" w:styleId="TabletextChar">
    <w:name w:val="Table text Char"/>
    <w:basedOn w:val="DefaultParagraphFont"/>
    <w:link w:val="Tabletext"/>
    <w:uiPriority w:val="99"/>
    <w:rsid w:val="00C66972"/>
    <w:rPr>
      <w:rFonts w:ascii="Arial" w:eastAsiaTheme="minorEastAsia" w:hAnsi="Arial" w:cs="Arial"/>
      <w:color w:val="000000" w:themeColor="text1"/>
      <w:sz w:val="14"/>
      <w:szCs w:val="16"/>
      <w:lang w:val="en-GB" w:eastAsia="en-AU"/>
    </w:rPr>
  </w:style>
  <w:style w:type="paragraph" w:customStyle="1" w:styleId="Table7pttext">
    <w:name w:val="Table 7 pt text"/>
    <w:basedOn w:val="Normal"/>
    <w:link w:val="Table7pttextChar"/>
    <w:qFormat/>
    <w:rsid w:val="00C556A1"/>
    <w:rPr>
      <w:rFonts w:eastAsiaTheme="minorHAnsi" w:cs="Arial"/>
      <w:sz w:val="14"/>
      <w:szCs w:val="14"/>
      <w:lang w:eastAsia="en-US"/>
    </w:rPr>
  </w:style>
  <w:style w:type="character" w:customStyle="1" w:styleId="Table7pttextChar">
    <w:name w:val="Table 7 pt text Char"/>
    <w:basedOn w:val="DefaultParagraphFont"/>
    <w:link w:val="Table7pttext"/>
    <w:rsid w:val="00C556A1"/>
    <w:rPr>
      <w:rFonts w:ascii="Arial" w:hAnsi="Arial" w:cs="Arial"/>
      <w:sz w:val="14"/>
      <w:szCs w:val="14"/>
    </w:rPr>
  </w:style>
  <w:style w:type="paragraph" w:customStyle="1" w:styleId="TableColumn1bold">
    <w:name w:val="Table Column 1 bold"/>
    <w:basedOn w:val="Normal"/>
    <w:link w:val="TableColumn1boldChar"/>
    <w:qFormat/>
    <w:rsid w:val="00693066"/>
    <w:rPr>
      <w:rFonts w:eastAsiaTheme="minorHAnsi" w:cs="Arial"/>
      <w:b/>
      <w:sz w:val="16"/>
      <w:szCs w:val="16"/>
      <w:lang w:eastAsia="en-US"/>
    </w:rPr>
  </w:style>
  <w:style w:type="character" w:customStyle="1" w:styleId="TableColumn1boldChar">
    <w:name w:val="Table Column 1 bold Char"/>
    <w:basedOn w:val="DefaultParagraphFont"/>
    <w:link w:val="TableColumn1bold"/>
    <w:rsid w:val="00693066"/>
    <w:rPr>
      <w:rFonts w:ascii="Arial" w:hAnsi="Arial" w:cs="Arial"/>
      <w:b/>
      <w:sz w:val="16"/>
      <w:szCs w:val="16"/>
    </w:rPr>
  </w:style>
  <w:style w:type="paragraph" w:customStyle="1" w:styleId="Tableheaderrow">
    <w:name w:val="Table header row"/>
    <w:basedOn w:val="Table-11row"/>
    <w:link w:val="TableheaderrowChar"/>
    <w:qFormat/>
    <w:rsid w:val="00C66972"/>
    <w:rPr>
      <w:b/>
      <w:sz w:val="18"/>
      <w:szCs w:val="18"/>
    </w:rPr>
  </w:style>
  <w:style w:type="character" w:customStyle="1" w:styleId="TableheaderrowChar">
    <w:name w:val="Table header row Char"/>
    <w:basedOn w:val="Table-11rowChar"/>
    <w:link w:val="Tableheaderrow"/>
    <w:rsid w:val="00C66972"/>
    <w:rPr>
      <w:rFonts w:ascii="Arial" w:hAnsi="Arial" w:cs="Arial"/>
      <w:b/>
      <w:color w:val="FFFFFF" w:themeColor="background1"/>
      <w:sz w:val="18"/>
      <w:szCs w:val="18"/>
    </w:rPr>
  </w:style>
  <w:style w:type="paragraph" w:customStyle="1" w:styleId="Tableabc7pt">
    <w:name w:val="Table a)b)c) 7 pt"/>
    <w:basedOn w:val="ListParagraph"/>
    <w:link w:val="Tableabc7ptChar"/>
    <w:qFormat/>
    <w:rsid w:val="00C66972"/>
    <w:pPr>
      <w:overflowPunct/>
      <w:autoSpaceDE/>
      <w:autoSpaceDN/>
      <w:adjustRightInd/>
      <w:spacing w:before="120"/>
      <w:ind w:left="0"/>
      <w:contextualSpacing/>
      <w:textAlignment w:val="auto"/>
    </w:pPr>
    <w:rPr>
      <w:rFonts w:cs="Arial"/>
      <w:sz w:val="14"/>
      <w:szCs w:val="14"/>
    </w:rPr>
  </w:style>
  <w:style w:type="character" w:customStyle="1" w:styleId="Tableabc7ptChar">
    <w:name w:val="Table a)b)c) 7 pt Char"/>
    <w:basedOn w:val="ListParagraphChar"/>
    <w:link w:val="Tableabc7pt"/>
    <w:rsid w:val="00C66972"/>
    <w:rPr>
      <w:rFonts w:ascii="Arial" w:eastAsia="Times New Roman" w:hAnsi="Arial" w:cs="Arial"/>
      <w:sz w:val="14"/>
      <w:szCs w:val="14"/>
      <w:lang w:eastAsia="en-AU"/>
    </w:rPr>
  </w:style>
  <w:style w:type="paragraph" w:customStyle="1" w:styleId="Tableiiiiii7pt">
    <w:name w:val="Table i)ii)iii) 7 pt"/>
    <w:basedOn w:val="ListParagraph"/>
    <w:link w:val="Tableiiiiii7ptChar"/>
    <w:qFormat/>
    <w:rsid w:val="00C66972"/>
    <w:pPr>
      <w:numPr>
        <w:numId w:val="3"/>
      </w:numPr>
      <w:overflowPunct/>
      <w:autoSpaceDE/>
      <w:autoSpaceDN/>
      <w:adjustRightInd/>
      <w:spacing w:before="240" w:after="280"/>
      <w:ind w:left="357" w:hanging="357"/>
      <w:contextualSpacing/>
      <w:textAlignment w:val="auto"/>
    </w:pPr>
    <w:rPr>
      <w:rFonts w:cs="Arial"/>
      <w:sz w:val="14"/>
      <w:szCs w:val="14"/>
    </w:rPr>
  </w:style>
  <w:style w:type="character" w:customStyle="1" w:styleId="Tableiiiiii7ptChar">
    <w:name w:val="Table i)ii)iii) 7 pt Char"/>
    <w:basedOn w:val="ListParagraphChar"/>
    <w:link w:val="Tableiiiiii7pt"/>
    <w:rsid w:val="00C66972"/>
    <w:rPr>
      <w:rFonts w:ascii="Arial" w:eastAsia="Times New Roman" w:hAnsi="Arial" w:cs="Arial"/>
      <w:sz w:val="14"/>
      <w:szCs w:val="14"/>
      <w:lang w:eastAsia="en-AU"/>
    </w:rPr>
  </w:style>
  <w:style w:type="paragraph" w:customStyle="1" w:styleId="Tabledotpointlist7pt">
    <w:name w:val="Table dot point list 7 pt"/>
    <w:basedOn w:val="ListParagraph"/>
    <w:link w:val="Tabledotpointlist7ptChar"/>
    <w:qFormat/>
    <w:rsid w:val="00C66972"/>
    <w:pPr>
      <w:numPr>
        <w:numId w:val="4"/>
      </w:numPr>
      <w:overflowPunct/>
      <w:autoSpaceDE/>
      <w:autoSpaceDN/>
      <w:adjustRightInd/>
      <w:contextualSpacing/>
      <w:textAlignment w:val="auto"/>
    </w:pPr>
    <w:rPr>
      <w:rFonts w:cs="Arial"/>
      <w:sz w:val="14"/>
      <w:szCs w:val="14"/>
    </w:rPr>
  </w:style>
  <w:style w:type="character" w:customStyle="1" w:styleId="Tabledotpointlist7ptChar">
    <w:name w:val="Table dot point list 7 pt Char"/>
    <w:basedOn w:val="ListParagraphChar"/>
    <w:link w:val="Tabledotpointlist7pt"/>
    <w:rsid w:val="00C66972"/>
    <w:rPr>
      <w:rFonts w:ascii="Arial" w:eastAsia="Times New Roman" w:hAnsi="Arial" w:cs="Arial"/>
      <w:sz w:val="14"/>
      <w:szCs w:val="14"/>
      <w:lang w:eastAsia="en-AU"/>
    </w:rPr>
  </w:style>
  <w:style w:type="paragraph" w:customStyle="1" w:styleId="lgetabletxt">
    <w:name w:val="lge table txt"/>
    <w:basedOn w:val="Tabletext"/>
    <w:link w:val="lgetabletxtChar"/>
    <w:uiPriority w:val="99"/>
    <w:qFormat/>
    <w:rsid w:val="00C66972"/>
    <w:pPr>
      <w:spacing w:before="0" w:after="40"/>
    </w:pPr>
  </w:style>
  <w:style w:type="character" w:customStyle="1" w:styleId="lgetabletxtChar">
    <w:name w:val="lge table txt Char"/>
    <w:basedOn w:val="TabletextChar"/>
    <w:link w:val="lgetabletxt"/>
    <w:uiPriority w:val="99"/>
    <w:rsid w:val="00C66972"/>
    <w:rPr>
      <w:rFonts w:ascii="Arial" w:eastAsiaTheme="minorEastAsia" w:hAnsi="Arial" w:cs="Arial"/>
      <w:color w:val="000000" w:themeColor="text1"/>
      <w:sz w:val="14"/>
      <w:szCs w:val="16"/>
      <w:lang w:val="en-GB" w:eastAsia="en-AU"/>
    </w:rPr>
  </w:style>
  <w:style w:type="paragraph" w:customStyle="1" w:styleId="Table1230">
    <w:name w:val="Table 1)2)3)"/>
    <w:basedOn w:val="Tableabc7pt"/>
    <w:link w:val="Table123Char"/>
    <w:qFormat/>
    <w:rsid w:val="00C66972"/>
    <w:pPr>
      <w:numPr>
        <w:numId w:val="14"/>
      </w:numPr>
      <w:tabs>
        <w:tab w:val="num" w:pos="360"/>
      </w:tabs>
    </w:pPr>
  </w:style>
  <w:style w:type="character" w:customStyle="1" w:styleId="Table123Char">
    <w:name w:val="Table 1)2)3) Char"/>
    <w:basedOn w:val="Tableabc7ptChar"/>
    <w:link w:val="Table1230"/>
    <w:rsid w:val="00C66972"/>
    <w:rPr>
      <w:rFonts w:ascii="Arial" w:eastAsia="Times New Roman" w:hAnsi="Arial" w:cs="Arial"/>
      <w:sz w:val="14"/>
      <w:szCs w:val="14"/>
      <w:lang w:eastAsia="en-AU"/>
    </w:rPr>
  </w:style>
  <w:style w:type="paragraph" w:customStyle="1" w:styleId="Mainbody-dotpoint">
    <w:name w:val="Main body - dot point"/>
    <w:basedOn w:val="Mainbodytext"/>
    <w:link w:val="Mainbody-dotpointChar"/>
    <w:qFormat/>
    <w:rsid w:val="00C66972"/>
    <w:pPr>
      <w:numPr>
        <w:numId w:val="8"/>
      </w:numPr>
    </w:pPr>
  </w:style>
  <w:style w:type="character" w:customStyle="1" w:styleId="Mainbody-dotpointChar">
    <w:name w:val="Main body - dot point Char"/>
    <w:basedOn w:val="MainbodytextChar"/>
    <w:link w:val="Mainbody-dotpoint"/>
    <w:rsid w:val="00C66972"/>
    <w:rPr>
      <w:rFonts w:ascii="Arial" w:hAnsi="Arial" w:cs="Arial"/>
    </w:rPr>
  </w:style>
  <w:style w:type="paragraph" w:customStyle="1" w:styleId="Tablenolist">
    <w:name w:val="Table no. list"/>
    <w:basedOn w:val="Tabledotpointlist7pt"/>
    <w:link w:val="TablenolistChar"/>
    <w:qFormat/>
    <w:rsid w:val="00C66972"/>
    <w:pPr>
      <w:numPr>
        <w:numId w:val="0"/>
      </w:numPr>
    </w:pPr>
  </w:style>
  <w:style w:type="character" w:customStyle="1" w:styleId="TablenolistChar">
    <w:name w:val="Table no. list Char"/>
    <w:basedOn w:val="Tabledotpointlist7ptChar"/>
    <w:link w:val="Tablenolist"/>
    <w:rsid w:val="00C66972"/>
    <w:rPr>
      <w:rFonts w:ascii="Arial" w:eastAsia="Times New Roman" w:hAnsi="Arial" w:cs="Arial"/>
      <w:sz w:val="14"/>
      <w:szCs w:val="14"/>
      <w:lang w:eastAsia="en-AU"/>
    </w:rPr>
  </w:style>
  <w:style w:type="paragraph" w:customStyle="1" w:styleId="Tableiiiiii">
    <w:name w:val="Table (i)(ii)(iii)"/>
    <w:basedOn w:val="lgetabletxt"/>
    <w:link w:val="TableiiiiiiChar"/>
    <w:qFormat/>
    <w:rsid w:val="00C66972"/>
    <w:pPr>
      <w:numPr>
        <w:numId w:val="11"/>
      </w:numPr>
    </w:pPr>
  </w:style>
  <w:style w:type="character" w:customStyle="1" w:styleId="TableiiiiiiChar">
    <w:name w:val="Table (i)(ii)(iii) Char"/>
    <w:basedOn w:val="lgetabletxtChar"/>
    <w:link w:val="Tableiiiiii"/>
    <w:rsid w:val="00C66972"/>
    <w:rPr>
      <w:rFonts w:ascii="Arial" w:eastAsiaTheme="minorEastAsia" w:hAnsi="Arial" w:cs="Arial"/>
      <w:color w:val="000000" w:themeColor="text1"/>
      <w:sz w:val="14"/>
      <w:szCs w:val="16"/>
      <w:lang w:val="en-GB" w:eastAsia="en-AU"/>
    </w:rPr>
  </w:style>
  <w:style w:type="paragraph" w:customStyle="1" w:styleId="Table1231">
    <w:name w:val="Table 1.2.3."/>
    <w:basedOn w:val="Table1230"/>
    <w:link w:val="Table123Char0"/>
    <w:qFormat/>
    <w:rsid w:val="00C66972"/>
    <w:pPr>
      <w:numPr>
        <w:numId w:val="0"/>
      </w:numPr>
    </w:pPr>
  </w:style>
  <w:style w:type="character" w:customStyle="1" w:styleId="Table123Char0">
    <w:name w:val="Table 1.2.3. Char"/>
    <w:basedOn w:val="Table123Char"/>
    <w:link w:val="Table1231"/>
    <w:rsid w:val="00C66972"/>
    <w:rPr>
      <w:rFonts w:ascii="Arial" w:eastAsia="Times New Roman" w:hAnsi="Arial" w:cs="Arial"/>
      <w:sz w:val="14"/>
      <w:szCs w:val="14"/>
      <w:lang w:eastAsia="en-AU"/>
    </w:rPr>
  </w:style>
  <w:style w:type="paragraph" w:customStyle="1" w:styleId="Mainbodyportraittext">
    <w:name w:val="Main body portrait text"/>
    <w:basedOn w:val="Mainbodytext"/>
    <w:link w:val="MainbodyportraittextChar"/>
    <w:qFormat/>
    <w:rsid w:val="00C66972"/>
  </w:style>
  <w:style w:type="character" w:customStyle="1" w:styleId="MainbodyportraittextChar">
    <w:name w:val="Main body portrait text Char"/>
    <w:basedOn w:val="MainbodytextChar"/>
    <w:link w:val="Mainbodyportraittext"/>
    <w:rsid w:val="00C66972"/>
    <w:rPr>
      <w:rFonts w:ascii="Arial" w:hAnsi="Arial" w:cs="Arial"/>
    </w:rPr>
  </w:style>
  <w:style w:type="paragraph" w:customStyle="1" w:styleId="Table-dashpoints">
    <w:name w:val="Table - dash points"/>
    <w:basedOn w:val="lgetabletxt"/>
    <w:link w:val="Table-dashpointsChar"/>
    <w:qFormat/>
    <w:rsid w:val="00C66972"/>
    <w:pPr>
      <w:numPr>
        <w:numId w:val="16"/>
      </w:numPr>
    </w:pPr>
  </w:style>
  <w:style w:type="character" w:customStyle="1" w:styleId="Table-dashpointsChar">
    <w:name w:val="Table - dash points Char"/>
    <w:basedOn w:val="lgetabletxtChar"/>
    <w:link w:val="Table-dashpoints"/>
    <w:rsid w:val="00C66972"/>
    <w:rPr>
      <w:rFonts w:ascii="Arial" w:eastAsiaTheme="minorEastAsia" w:hAnsi="Arial" w:cs="Arial"/>
      <w:color w:val="000000" w:themeColor="text1"/>
      <w:sz w:val="14"/>
      <w:szCs w:val="16"/>
      <w:lang w:val="en-GB" w:eastAsia="en-AU"/>
    </w:rPr>
  </w:style>
  <w:style w:type="paragraph" w:customStyle="1" w:styleId="Tableabc">
    <w:name w:val="Table (a)(b)(c)"/>
    <w:basedOn w:val="lgetabletxt"/>
    <w:link w:val="TableabcChar"/>
    <w:qFormat/>
    <w:rsid w:val="00C66972"/>
    <w:pPr>
      <w:numPr>
        <w:numId w:val="17"/>
      </w:numPr>
    </w:pPr>
  </w:style>
  <w:style w:type="character" w:customStyle="1" w:styleId="TableabcChar">
    <w:name w:val="Table (a)(b)(c) Char"/>
    <w:basedOn w:val="lgetabletxtChar"/>
    <w:link w:val="Tableabc"/>
    <w:rsid w:val="00C66972"/>
    <w:rPr>
      <w:rFonts w:ascii="Arial" w:eastAsiaTheme="minorEastAsia" w:hAnsi="Arial" w:cs="Arial"/>
      <w:color w:val="000000" w:themeColor="text1"/>
      <w:sz w:val="14"/>
      <w:szCs w:val="16"/>
      <w:lang w:val="en-GB" w:eastAsia="en-AU"/>
    </w:rPr>
  </w:style>
  <w:style w:type="paragraph" w:customStyle="1" w:styleId="Table123">
    <w:name w:val="Table (1)(2)(3)"/>
    <w:basedOn w:val="lgetabletxt"/>
    <w:link w:val="Table123Char1"/>
    <w:qFormat/>
    <w:rsid w:val="00C66972"/>
    <w:pPr>
      <w:numPr>
        <w:numId w:val="301"/>
      </w:numPr>
    </w:pPr>
  </w:style>
  <w:style w:type="character" w:customStyle="1" w:styleId="Table123Char1">
    <w:name w:val="Table (1)(2)(3) Char"/>
    <w:basedOn w:val="lgetabletxtChar"/>
    <w:link w:val="Table123"/>
    <w:rsid w:val="00C66972"/>
    <w:rPr>
      <w:rFonts w:ascii="Arial" w:eastAsiaTheme="minorEastAsia" w:hAnsi="Arial" w:cs="Arial"/>
      <w:color w:val="000000" w:themeColor="text1"/>
      <w:sz w:val="14"/>
      <w:szCs w:val="16"/>
      <w:lang w:val="en-GB" w:eastAsia="en-AU"/>
    </w:rPr>
  </w:style>
  <w:style w:type="paragraph" w:customStyle="1" w:styleId="Bulletnormal">
    <w:name w:val="Bullet normal"/>
    <w:basedOn w:val="ListParagraph"/>
    <w:link w:val="BulletnormalChar"/>
    <w:qFormat/>
    <w:rsid w:val="00C66972"/>
    <w:pPr>
      <w:numPr>
        <w:numId w:val="21"/>
      </w:numPr>
      <w:overflowPunct/>
      <w:autoSpaceDE/>
      <w:autoSpaceDN/>
      <w:adjustRightInd/>
      <w:spacing w:before="240" w:after="100" w:afterAutospacing="1" w:line="360" w:lineRule="auto"/>
      <w:ind w:left="714" w:hanging="357"/>
      <w:contextualSpacing/>
      <w:textAlignment w:val="auto"/>
    </w:pPr>
    <w:rPr>
      <w:rFonts w:cs="Arial"/>
    </w:rPr>
  </w:style>
  <w:style w:type="character" w:customStyle="1" w:styleId="BulletnormalChar">
    <w:name w:val="Bullet normal Char"/>
    <w:basedOn w:val="ListParagraphChar"/>
    <w:link w:val="Bulletnormal"/>
    <w:rsid w:val="00C66972"/>
    <w:rPr>
      <w:rFonts w:ascii="Arial" w:eastAsia="Times New Roman" w:hAnsi="Arial" w:cs="Arial"/>
      <w:sz w:val="20"/>
      <w:szCs w:val="20"/>
      <w:lang w:eastAsia="en-AU"/>
    </w:rPr>
  </w:style>
  <w:style w:type="paragraph" w:customStyle="1" w:styleId="Columnheadings">
    <w:name w:val="Column headings"/>
    <w:basedOn w:val="Normal"/>
    <w:link w:val="ColumnheadingsChar"/>
    <w:uiPriority w:val="99"/>
    <w:qFormat/>
    <w:rsid w:val="00C66972"/>
    <w:pPr>
      <w:spacing w:before="240" w:afterAutospacing="1"/>
    </w:pPr>
    <w:rPr>
      <w:rFonts w:eastAsiaTheme="minorEastAsia" w:cs="Arial"/>
      <w:b/>
      <w:color w:val="000000" w:themeColor="text1"/>
      <w:sz w:val="18"/>
      <w:szCs w:val="20"/>
      <w:lang w:val="en-GB"/>
    </w:rPr>
  </w:style>
  <w:style w:type="character" w:customStyle="1" w:styleId="ColumnheadingsChar">
    <w:name w:val="Column headings Char"/>
    <w:basedOn w:val="DefaultParagraphFont"/>
    <w:link w:val="Columnheadings"/>
    <w:uiPriority w:val="99"/>
    <w:rsid w:val="00C66972"/>
    <w:rPr>
      <w:rFonts w:ascii="Arial" w:eastAsiaTheme="minorEastAsia" w:hAnsi="Arial" w:cs="Arial"/>
      <w:b/>
      <w:color w:val="000000" w:themeColor="text1"/>
      <w:sz w:val="18"/>
      <w:szCs w:val="20"/>
      <w:lang w:val="en-GB" w:eastAsia="en-AU"/>
    </w:rPr>
  </w:style>
  <w:style w:type="paragraph" w:customStyle="1" w:styleId="Rowheadings">
    <w:name w:val="Row headings"/>
    <w:basedOn w:val="Tabletext"/>
    <w:link w:val="RowheadingsChar"/>
    <w:uiPriority w:val="99"/>
    <w:qFormat/>
    <w:rsid w:val="00C66972"/>
    <w:rPr>
      <w:b/>
      <w:sz w:val="16"/>
      <w:szCs w:val="18"/>
      <w:lang w:val="en-US"/>
    </w:rPr>
  </w:style>
  <w:style w:type="character" w:customStyle="1" w:styleId="RowheadingsChar">
    <w:name w:val="Row headings Char"/>
    <w:basedOn w:val="TabletextChar"/>
    <w:link w:val="Rowheadings"/>
    <w:uiPriority w:val="99"/>
    <w:rsid w:val="00C66972"/>
    <w:rPr>
      <w:rFonts w:ascii="Arial" w:eastAsiaTheme="minorEastAsia" w:hAnsi="Arial" w:cs="Arial"/>
      <w:b/>
      <w:color w:val="000000" w:themeColor="text1"/>
      <w:sz w:val="16"/>
      <w:szCs w:val="18"/>
      <w:lang w:val="en-US" w:eastAsia="en-AU"/>
    </w:rPr>
  </w:style>
  <w:style w:type="paragraph" w:customStyle="1" w:styleId="Tablebullet">
    <w:name w:val="Table bullet"/>
    <w:basedOn w:val="Normal"/>
    <w:link w:val="TablebulletChar"/>
    <w:uiPriority w:val="99"/>
    <w:qFormat/>
    <w:rsid w:val="00C66972"/>
    <w:pPr>
      <w:numPr>
        <w:numId w:val="22"/>
      </w:numPr>
      <w:spacing w:before="240" w:afterAutospacing="1"/>
    </w:pPr>
    <w:rPr>
      <w:rFonts w:eastAsiaTheme="minorEastAsia" w:cs="Arial"/>
      <w:color w:val="000000" w:themeColor="text1"/>
      <w:sz w:val="14"/>
      <w:szCs w:val="16"/>
      <w:lang w:val="en-GB"/>
    </w:rPr>
  </w:style>
  <w:style w:type="character" w:customStyle="1" w:styleId="TablebulletChar">
    <w:name w:val="Table bullet Char"/>
    <w:basedOn w:val="DefaultParagraphFont"/>
    <w:link w:val="Tablebullet"/>
    <w:uiPriority w:val="99"/>
    <w:rsid w:val="00C66972"/>
    <w:rPr>
      <w:rFonts w:ascii="Arial" w:eastAsiaTheme="minorEastAsia" w:hAnsi="Arial" w:cs="Arial"/>
      <w:color w:val="000000" w:themeColor="text1"/>
      <w:sz w:val="14"/>
      <w:szCs w:val="16"/>
      <w:lang w:val="en-GB" w:eastAsia="en-AU"/>
    </w:rPr>
  </w:style>
  <w:style w:type="paragraph" w:styleId="CommentText">
    <w:name w:val="annotation text"/>
    <w:basedOn w:val="Normal"/>
    <w:link w:val="CommentTextChar"/>
    <w:uiPriority w:val="99"/>
    <w:rsid w:val="00C66972"/>
    <w:pPr>
      <w:spacing w:before="240" w:after="200" w:afterAutospacing="1" w:line="276" w:lineRule="auto"/>
    </w:pPr>
    <w:rPr>
      <w:rFonts w:ascii="Calibri" w:eastAsia="Calibri" w:hAnsi="Calibri"/>
      <w:szCs w:val="20"/>
      <w:lang w:eastAsia="en-US"/>
    </w:rPr>
  </w:style>
  <w:style w:type="character" w:customStyle="1" w:styleId="CommentTextChar">
    <w:name w:val="Comment Text Char"/>
    <w:basedOn w:val="DefaultParagraphFont"/>
    <w:link w:val="CommentText"/>
    <w:uiPriority w:val="99"/>
    <w:rsid w:val="00C66972"/>
    <w:rPr>
      <w:rFonts w:ascii="Calibri" w:eastAsia="Calibri" w:hAnsi="Calibri" w:cs="Times New Roman"/>
      <w:sz w:val="20"/>
      <w:szCs w:val="20"/>
    </w:rPr>
  </w:style>
  <w:style w:type="paragraph" w:styleId="PlainText">
    <w:name w:val="Plain Text"/>
    <w:basedOn w:val="Normal"/>
    <w:link w:val="PlainTextChar"/>
    <w:uiPriority w:val="99"/>
    <w:unhideWhenUsed/>
    <w:rsid w:val="00C66972"/>
    <w:pPr>
      <w:spacing w:before="240" w:afterAutospacing="1"/>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C66972"/>
    <w:rPr>
      <w:rFonts w:ascii="Calibri" w:hAnsi="Calibri"/>
      <w:szCs w:val="21"/>
    </w:rPr>
  </w:style>
  <w:style w:type="paragraph" w:customStyle="1" w:styleId="NoParagraphStyle">
    <w:name w:val="[No Paragraph Style]"/>
    <w:rsid w:val="00C66972"/>
    <w:pPr>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en-AU"/>
    </w:rPr>
  </w:style>
  <w:style w:type="paragraph" w:customStyle="1" w:styleId="BodyText1">
    <w:name w:val="Body Text1"/>
    <w:basedOn w:val="Normal"/>
    <w:next w:val="Normal"/>
    <w:link w:val="BodyText1Char"/>
    <w:uiPriority w:val="99"/>
    <w:rsid w:val="00C66972"/>
    <w:pPr>
      <w:spacing w:before="240" w:after="100" w:afterAutospacing="1"/>
    </w:pPr>
    <w:rPr>
      <w:rFonts w:eastAsiaTheme="minorEastAsia" w:cs="Arial"/>
      <w:color w:val="000000" w:themeColor="text1"/>
      <w:sz w:val="22"/>
      <w:szCs w:val="22"/>
      <w:lang w:val="en-US"/>
    </w:rPr>
  </w:style>
  <w:style w:type="character" w:customStyle="1" w:styleId="BodyText1Char">
    <w:name w:val="Body Text1 Char"/>
    <w:basedOn w:val="DefaultParagraphFont"/>
    <w:link w:val="BodyText1"/>
    <w:uiPriority w:val="99"/>
    <w:rsid w:val="00C66972"/>
    <w:rPr>
      <w:rFonts w:ascii="Arial" w:eastAsiaTheme="minorEastAsia" w:hAnsi="Arial" w:cs="Arial"/>
      <w:color w:val="000000" w:themeColor="text1"/>
      <w:lang w:val="en-US" w:eastAsia="en-AU"/>
    </w:rPr>
  </w:style>
  <w:style w:type="paragraph" w:customStyle="1" w:styleId="DotPoints">
    <w:name w:val="Dot Points"/>
    <w:basedOn w:val="Normal"/>
    <w:uiPriority w:val="99"/>
    <w:rsid w:val="00C66972"/>
    <w:pPr>
      <w:tabs>
        <w:tab w:val="left" w:pos="560"/>
      </w:tabs>
      <w:spacing w:before="240" w:after="100" w:afterAutospacing="1" w:line="264" w:lineRule="atLeast"/>
      <w:ind w:left="567" w:hanging="283"/>
    </w:pPr>
    <w:rPr>
      <w:rFonts w:eastAsiaTheme="minorEastAsia" w:cs="Arial"/>
      <w:color w:val="000000" w:themeColor="text1"/>
      <w:sz w:val="22"/>
      <w:szCs w:val="22"/>
      <w:lang w:val="en-GB"/>
    </w:rPr>
  </w:style>
  <w:style w:type="paragraph" w:styleId="BodyText2">
    <w:name w:val="Body Text 2"/>
    <w:basedOn w:val="Normal"/>
    <w:link w:val="BodyText2Char"/>
    <w:uiPriority w:val="99"/>
    <w:rsid w:val="00C66972"/>
    <w:pPr>
      <w:spacing w:before="240" w:after="100" w:afterAutospacing="1" w:line="264" w:lineRule="atLeast"/>
      <w:ind w:left="720"/>
    </w:pPr>
    <w:rPr>
      <w:rFonts w:eastAsiaTheme="minorEastAsia" w:cs="Arial"/>
      <w:color w:val="000000" w:themeColor="text1"/>
      <w:sz w:val="22"/>
      <w:szCs w:val="22"/>
      <w:lang w:val="en-GB"/>
    </w:rPr>
  </w:style>
  <w:style w:type="character" w:customStyle="1" w:styleId="BodyText2Char">
    <w:name w:val="Body Text 2 Char"/>
    <w:basedOn w:val="DefaultParagraphFont"/>
    <w:link w:val="BodyText2"/>
    <w:uiPriority w:val="99"/>
    <w:rsid w:val="00C66972"/>
    <w:rPr>
      <w:rFonts w:ascii="Arial" w:eastAsiaTheme="minorEastAsia" w:hAnsi="Arial" w:cs="Arial"/>
      <w:color w:val="000000" w:themeColor="text1"/>
      <w:lang w:val="en-GB" w:eastAsia="en-AU"/>
    </w:rPr>
  </w:style>
  <w:style w:type="character" w:customStyle="1" w:styleId="TOC1Char">
    <w:name w:val="TOC 1 Char"/>
    <w:basedOn w:val="DefaultParagraphFont"/>
    <w:link w:val="TOC1"/>
    <w:uiPriority w:val="39"/>
    <w:rsid w:val="005B4BE3"/>
    <w:rPr>
      <w:rFonts w:ascii="Arial" w:eastAsia="Times New Roman" w:hAnsi="Arial" w:cs="Times New Roman"/>
      <w:noProof/>
      <w:sz w:val="20"/>
      <w:szCs w:val="24"/>
      <w:lang w:eastAsia="en-AU"/>
    </w:rPr>
  </w:style>
  <w:style w:type="character" w:customStyle="1" w:styleId="TOC2Char">
    <w:name w:val="TOC 2 Char"/>
    <w:basedOn w:val="TOC1Char"/>
    <w:link w:val="TOC2"/>
    <w:uiPriority w:val="39"/>
    <w:rsid w:val="00C66972"/>
    <w:rPr>
      <w:rFonts w:ascii="Arial" w:eastAsia="Times New Roman" w:hAnsi="Arial" w:cs="Times New Roman"/>
      <w:noProof/>
      <w:sz w:val="20"/>
      <w:szCs w:val="24"/>
      <w:lang w:eastAsia="en-AU"/>
    </w:rPr>
  </w:style>
  <w:style w:type="paragraph" w:customStyle="1" w:styleId="FigureName">
    <w:name w:val="Figure Name"/>
    <w:basedOn w:val="NoParagraphStyle"/>
    <w:uiPriority w:val="99"/>
    <w:rsid w:val="00C66972"/>
    <w:pPr>
      <w:spacing w:line="220" w:lineRule="atLeast"/>
    </w:pPr>
    <w:rPr>
      <w:rFonts w:ascii="Arial" w:hAnsi="Arial" w:cs="Arial"/>
      <w:b/>
      <w:bCs/>
      <w:sz w:val="20"/>
      <w:szCs w:val="20"/>
    </w:rPr>
  </w:style>
  <w:style w:type="paragraph" w:customStyle="1" w:styleId="Footnote">
    <w:name w:val="Footnote"/>
    <w:basedOn w:val="Normal"/>
    <w:uiPriority w:val="99"/>
    <w:rsid w:val="00C66972"/>
    <w:pPr>
      <w:spacing w:before="240" w:after="100" w:afterAutospacing="1" w:line="180" w:lineRule="atLeast"/>
    </w:pPr>
    <w:rPr>
      <w:rFonts w:eastAsiaTheme="minorEastAsia" w:cs="Arial"/>
      <w:i/>
      <w:iCs/>
      <w:color w:val="000000" w:themeColor="text1"/>
      <w:sz w:val="16"/>
      <w:szCs w:val="16"/>
      <w:lang w:val="en-GB"/>
    </w:rPr>
  </w:style>
  <w:style w:type="paragraph" w:customStyle="1" w:styleId="Tablenumber">
    <w:name w:val="Table number"/>
    <w:basedOn w:val="BodyText1"/>
    <w:uiPriority w:val="99"/>
    <w:rsid w:val="00C66972"/>
    <w:pPr>
      <w:spacing w:after="227" w:line="160" w:lineRule="atLeast"/>
      <w:jc w:val="right"/>
    </w:pPr>
    <w:rPr>
      <w:sz w:val="16"/>
      <w:szCs w:val="16"/>
      <w:lang w:val="en-GB"/>
    </w:rPr>
  </w:style>
  <w:style w:type="paragraph" w:customStyle="1" w:styleId="Tablecolumnheadings">
    <w:name w:val="Table column headings"/>
    <w:basedOn w:val="Tablenumber"/>
    <w:uiPriority w:val="99"/>
    <w:rsid w:val="00C66972"/>
    <w:pPr>
      <w:jc w:val="center"/>
    </w:pPr>
    <w:rPr>
      <w:b/>
      <w:bCs/>
      <w:sz w:val="20"/>
      <w:szCs w:val="20"/>
    </w:rPr>
  </w:style>
  <w:style w:type="paragraph" w:customStyle="1" w:styleId="Tablestubheadings">
    <w:name w:val="Table stub headings"/>
    <w:basedOn w:val="Tablecolumnheadings"/>
    <w:uiPriority w:val="99"/>
    <w:rsid w:val="00C66972"/>
    <w:pPr>
      <w:jc w:val="left"/>
    </w:pPr>
    <w:rPr>
      <w:sz w:val="18"/>
      <w:szCs w:val="18"/>
    </w:rPr>
  </w:style>
  <w:style w:type="paragraph" w:customStyle="1" w:styleId="Tablestubheadingsbold">
    <w:name w:val="Table stub headings bold"/>
    <w:basedOn w:val="Tablestubheadings"/>
    <w:uiPriority w:val="99"/>
    <w:rsid w:val="00C66972"/>
  </w:style>
  <w:style w:type="paragraph" w:customStyle="1" w:styleId="Tablenumberbold">
    <w:name w:val="Table number bold"/>
    <w:basedOn w:val="Tablenumber"/>
    <w:uiPriority w:val="99"/>
    <w:rsid w:val="00C66972"/>
    <w:rPr>
      <w:b/>
      <w:bCs/>
    </w:rPr>
  </w:style>
  <w:style w:type="paragraph" w:customStyle="1" w:styleId="TableName">
    <w:name w:val="Table Name"/>
    <w:basedOn w:val="FigureName"/>
    <w:uiPriority w:val="99"/>
    <w:rsid w:val="00C66972"/>
  </w:style>
  <w:style w:type="paragraph" w:styleId="Subtitle">
    <w:name w:val="Subtitle"/>
    <w:basedOn w:val="Normal"/>
    <w:next w:val="Normal"/>
    <w:link w:val="SubtitleChar"/>
    <w:uiPriority w:val="11"/>
    <w:qFormat/>
    <w:rsid w:val="00C66972"/>
    <w:pPr>
      <w:numPr>
        <w:ilvl w:val="1"/>
      </w:numPr>
      <w:spacing w:before="240" w:after="100" w:afterAutospacing="1"/>
    </w:pPr>
    <w:rPr>
      <w:rFonts w:asciiTheme="majorHAnsi" w:eastAsiaTheme="majorEastAsia" w:hAnsiTheme="majorHAnsi" w:cstheme="majorBidi"/>
      <w:i/>
      <w:iCs/>
      <w:color w:val="4F81BD" w:themeColor="accent1"/>
      <w:spacing w:val="15"/>
      <w:sz w:val="24"/>
      <w:lang w:val="en-GB"/>
    </w:rPr>
  </w:style>
  <w:style w:type="character" w:customStyle="1" w:styleId="SubtitleChar">
    <w:name w:val="Subtitle Char"/>
    <w:basedOn w:val="DefaultParagraphFont"/>
    <w:link w:val="Subtitle"/>
    <w:uiPriority w:val="11"/>
    <w:rsid w:val="00C66972"/>
    <w:rPr>
      <w:rFonts w:asciiTheme="majorHAnsi" w:eastAsiaTheme="majorEastAsia" w:hAnsiTheme="majorHAnsi" w:cstheme="majorBidi"/>
      <w:i/>
      <w:iCs/>
      <w:color w:val="4F81BD" w:themeColor="accent1"/>
      <w:spacing w:val="15"/>
      <w:sz w:val="24"/>
      <w:szCs w:val="24"/>
      <w:lang w:val="en-GB" w:eastAsia="en-AU"/>
    </w:rPr>
  </w:style>
  <w:style w:type="paragraph" w:customStyle="1" w:styleId="Tablewafer">
    <w:name w:val="Table wafer"/>
    <w:basedOn w:val="Tablestubheadings"/>
    <w:uiPriority w:val="99"/>
    <w:rsid w:val="00C66972"/>
    <w:pPr>
      <w:jc w:val="center"/>
    </w:pPr>
  </w:style>
  <w:style w:type="paragraph" w:styleId="Caption">
    <w:name w:val="caption"/>
    <w:basedOn w:val="Normal"/>
    <w:next w:val="Normal"/>
    <w:uiPriority w:val="35"/>
    <w:unhideWhenUsed/>
    <w:rsid w:val="00C66972"/>
    <w:pPr>
      <w:spacing w:before="240" w:after="100" w:afterAutospacing="1"/>
    </w:pPr>
    <w:rPr>
      <w:rFonts w:eastAsiaTheme="minorEastAsia" w:cs="Arial"/>
      <w:b/>
      <w:bCs/>
      <w:color w:val="4F81BD" w:themeColor="accent1"/>
      <w:sz w:val="18"/>
      <w:szCs w:val="18"/>
      <w:lang w:val="en-GB"/>
    </w:rPr>
  </w:style>
  <w:style w:type="paragraph" w:customStyle="1" w:styleId="Bullettpara">
    <w:name w:val="Bullett para"/>
    <w:basedOn w:val="BodyText1"/>
    <w:uiPriority w:val="99"/>
    <w:rsid w:val="00C66972"/>
    <w:pPr>
      <w:spacing w:after="57" w:line="264" w:lineRule="atLeast"/>
      <w:ind w:left="1701" w:hanging="283"/>
    </w:pPr>
  </w:style>
  <w:style w:type="character" w:customStyle="1" w:styleId="Chapternumber">
    <w:name w:val="Chapter number"/>
    <w:uiPriority w:val="99"/>
    <w:rsid w:val="00C66972"/>
    <w:rPr>
      <w:rFonts w:ascii="Arial" w:hAnsi="Arial" w:cs="Arial"/>
      <w:b/>
      <w:bCs/>
      <w:color w:val="C41230"/>
      <w:spacing w:val="0"/>
      <w:position w:val="0"/>
      <w:sz w:val="144"/>
      <w:szCs w:val="144"/>
      <w:vertAlign w:val="baseline"/>
    </w:rPr>
  </w:style>
  <w:style w:type="paragraph" w:customStyle="1" w:styleId="TOCTitle">
    <w:name w:val="TOC Title"/>
    <w:basedOn w:val="Normal"/>
    <w:uiPriority w:val="99"/>
    <w:rsid w:val="00C66972"/>
    <w:pPr>
      <w:spacing w:before="240" w:after="360" w:afterAutospacing="1"/>
    </w:pPr>
    <w:rPr>
      <w:rFonts w:eastAsiaTheme="minorEastAsia" w:cs="Arial"/>
      <w:color w:val="339E35"/>
      <w:sz w:val="60"/>
      <w:szCs w:val="60"/>
      <w:lang w:val="en-GB"/>
    </w:rPr>
  </w:style>
  <w:style w:type="paragraph" w:customStyle="1" w:styleId="ToCStyle1">
    <w:name w:val="ToC Style 1"/>
    <w:basedOn w:val="Heading4"/>
    <w:uiPriority w:val="99"/>
    <w:rsid w:val="00C66972"/>
    <w:pPr>
      <w:tabs>
        <w:tab w:val="left" w:pos="283"/>
        <w:tab w:val="right" w:pos="7937"/>
      </w:tabs>
      <w:overflowPunct/>
      <w:autoSpaceDE/>
      <w:autoSpaceDN/>
      <w:adjustRightInd/>
      <w:spacing w:before="57" w:after="57" w:afterAutospacing="1"/>
      <w:ind w:left="0" w:firstLine="0"/>
      <w:textAlignment w:val="auto"/>
      <w:outlineLvl w:val="9"/>
    </w:pPr>
    <w:rPr>
      <w:rFonts w:eastAsiaTheme="minorHAnsi" w:cs="Arial"/>
      <w:bCs/>
      <w:color w:val="000000"/>
      <w:spacing w:val="0"/>
      <w:sz w:val="26"/>
      <w:szCs w:val="26"/>
      <w:lang w:val="en-GB" w:eastAsia="en-AU"/>
    </w:rPr>
  </w:style>
  <w:style w:type="paragraph" w:customStyle="1" w:styleId="TableNumberTableformating">
    <w:name w:val="Table Number (Table formating)"/>
    <w:basedOn w:val="NoParagraphStyle"/>
    <w:uiPriority w:val="99"/>
    <w:rsid w:val="00C66972"/>
    <w:pPr>
      <w:suppressAutoHyphens/>
    </w:pPr>
    <w:rPr>
      <w:rFonts w:ascii="Arial" w:hAnsi="Arial" w:cs="Arial"/>
      <w:sz w:val="16"/>
      <w:szCs w:val="16"/>
    </w:rPr>
  </w:style>
  <w:style w:type="paragraph" w:customStyle="1" w:styleId="Tabletitlefullwidth">
    <w:name w:val="Table title full width"/>
    <w:basedOn w:val="NoParagraphStyle"/>
    <w:uiPriority w:val="99"/>
    <w:rsid w:val="00C66972"/>
    <w:pPr>
      <w:keepNext/>
      <w:tabs>
        <w:tab w:val="left" w:pos="1134"/>
      </w:tabs>
      <w:suppressAutoHyphens/>
      <w:spacing w:before="170" w:after="57" w:line="220" w:lineRule="atLeast"/>
      <w:ind w:left="850" w:hanging="850"/>
    </w:pPr>
    <w:rPr>
      <w:rFonts w:ascii="Arial" w:hAnsi="Arial" w:cs="Arial"/>
      <w:b/>
      <w:bCs/>
      <w:color w:val="001E5B"/>
      <w:sz w:val="20"/>
      <w:szCs w:val="20"/>
    </w:rPr>
  </w:style>
  <w:style w:type="paragraph" w:customStyle="1" w:styleId="TablestubheadingTableformating">
    <w:name w:val="Table stub heading (Table formating)"/>
    <w:basedOn w:val="Normal"/>
    <w:uiPriority w:val="99"/>
    <w:rsid w:val="00C66972"/>
    <w:pPr>
      <w:spacing w:before="240" w:afterAutospacing="1" w:line="160" w:lineRule="atLeast"/>
      <w:ind w:left="113" w:hanging="113"/>
    </w:pPr>
    <w:rPr>
      <w:rFonts w:eastAsiaTheme="minorEastAsia" w:cs="Arial"/>
      <w:b/>
      <w:bCs/>
      <w:color w:val="000000" w:themeColor="text1"/>
      <w:sz w:val="18"/>
      <w:szCs w:val="18"/>
      <w:lang w:val="en-US"/>
    </w:rPr>
  </w:style>
  <w:style w:type="paragraph" w:customStyle="1" w:styleId="TablecolumnheadersTableformating">
    <w:name w:val="Table column headers (Table formating)"/>
    <w:basedOn w:val="NoParagraphStyle"/>
    <w:uiPriority w:val="99"/>
    <w:rsid w:val="00C66972"/>
    <w:pPr>
      <w:suppressAutoHyphens/>
      <w:spacing w:line="180" w:lineRule="atLeast"/>
      <w:jc w:val="right"/>
    </w:pPr>
    <w:rPr>
      <w:rFonts w:ascii="Arial" w:hAnsi="Arial" w:cs="Arial"/>
      <w:b/>
      <w:bCs/>
      <w:sz w:val="18"/>
      <w:szCs w:val="18"/>
      <w:lang w:val="en-US"/>
    </w:rPr>
  </w:style>
  <w:style w:type="paragraph" w:customStyle="1" w:styleId="Tablefootnote-fullwidthTableformating">
    <w:name w:val="Table footnote - full width (Table formating)"/>
    <w:basedOn w:val="TablestubheadingTableformating"/>
    <w:uiPriority w:val="99"/>
    <w:rsid w:val="00C66972"/>
    <w:pPr>
      <w:spacing w:after="170"/>
    </w:pPr>
    <w:rPr>
      <w:sz w:val="14"/>
      <w:szCs w:val="14"/>
    </w:rPr>
  </w:style>
  <w:style w:type="paragraph" w:customStyle="1" w:styleId="Chaptertitle">
    <w:name w:val="Chapter title"/>
    <w:basedOn w:val="BodyText1"/>
    <w:next w:val="BodyText1"/>
    <w:uiPriority w:val="99"/>
    <w:rsid w:val="00C66972"/>
    <w:pPr>
      <w:tabs>
        <w:tab w:val="left" w:pos="1417"/>
      </w:tabs>
      <w:spacing w:line="480" w:lineRule="atLeast"/>
    </w:pPr>
    <w:rPr>
      <w:b/>
      <w:bCs/>
      <w:color w:val="C41230"/>
      <w:position w:val="68"/>
      <w:sz w:val="48"/>
      <w:szCs w:val="48"/>
    </w:rPr>
  </w:style>
  <w:style w:type="paragraph" w:styleId="TOC4">
    <w:name w:val="toc 4"/>
    <w:basedOn w:val="Normal"/>
    <w:next w:val="Normal"/>
    <w:autoRedefine/>
    <w:uiPriority w:val="39"/>
    <w:unhideWhenUsed/>
    <w:rsid w:val="00C66972"/>
    <w:pPr>
      <w:spacing w:before="240" w:after="100" w:afterAutospacing="1"/>
      <w:ind w:left="660"/>
    </w:pPr>
    <w:rPr>
      <w:rFonts w:eastAsiaTheme="minorEastAsia" w:cs="Arial"/>
      <w:color w:val="000000" w:themeColor="text1"/>
      <w:sz w:val="22"/>
      <w:szCs w:val="22"/>
      <w:lang w:val="en-GB"/>
    </w:rPr>
  </w:style>
  <w:style w:type="paragraph" w:styleId="TOC5">
    <w:name w:val="toc 5"/>
    <w:basedOn w:val="Normal"/>
    <w:next w:val="Normal"/>
    <w:autoRedefine/>
    <w:uiPriority w:val="39"/>
    <w:unhideWhenUsed/>
    <w:rsid w:val="00C66972"/>
    <w:pPr>
      <w:spacing w:before="240" w:after="100" w:afterAutospacing="1"/>
      <w:ind w:left="880"/>
    </w:pPr>
    <w:rPr>
      <w:rFonts w:eastAsiaTheme="minorEastAsia" w:cs="Arial"/>
      <w:color w:val="000000" w:themeColor="text1"/>
      <w:sz w:val="22"/>
      <w:szCs w:val="22"/>
      <w:lang w:val="en-GB"/>
    </w:rPr>
  </w:style>
  <w:style w:type="paragraph" w:styleId="TOC6">
    <w:name w:val="toc 6"/>
    <w:basedOn w:val="Normal"/>
    <w:next w:val="Normal"/>
    <w:autoRedefine/>
    <w:uiPriority w:val="39"/>
    <w:unhideWhenUsed/>
    <w:rsid w:val="00C66972"/>
    <w:pPr>
      <w:spacing w:before="240" w:after="100" w:afterAutospacing="1"/>
      <w:ind w:left="1100"/>
    </w:pPr>
    <w:rPr>
      <w:rFonts w:eastAsiaTheme="minorEastAsia" w:cs="Arial"/>
      <w:color w:val="000000" w:themeColor="text1"/>
      <w:sz w:val="22"/>
      <w:szCs w:val="22"/>
      <w:lang w:val="en-GB"/>
    </w:rPr>
  </w:style>
  <w:style w:type="paragraph" w:styleId="TOC7">
    <w:name w:val="toc 7"/>
    <w:basedOn w:val="Normal"/>
    <w:next w:val="Normal"/>
    <w:autoRedefine/>
    <w:uiPriority w:val="39"/>
    <w:unhideWhenUsed/>
    <w:rsid w:val="00C66972"/>
    <w:pPr>
      <w:spacing w:before="240" w:after="100" w:afterAutospacing="1"/>
      <w:ind w:left="1320"/>
    </w:pPr>
    <w:rPr>
      <w:rFonts w:eastAsiaTheme="minorEastAsia" w:cs="Arial"/>
      <w:color w:val="000000" w:themeColor="text1"/>
      <w:sz w:val="22"/>
      <w:szCs w:val="22"/>
      <w:lang w:val="en-GB"/>
    </w:rPr>
  </w:style>
  <w:style w:type="paragraph" w:styleId="TOC9">
    <w:name w:val="toc 9"/>
    <w:basedOn w:val="Normal"/>
    <w:next w:val="Normal"/>
    <w:autoRedefine/>
    <w:uiPriority w:val="39"/>
    <w:unhideWhenUsed/>
    <w:rsid w:val="00C66972"/>
    <w:pPr>
      <w:spacing w:before="240" w:after="100" w:afterAutospacing="1"/>
      <w:ind w:left="1760"/>
    </w:pPr>
    <w:rPr>
      <w:rFonts w:eastAsiaTheme="minorEastAsia" w:cs="Arial"/>
      <w:color w:val="000000" w:themeColor="text1"/>
      <w:sz w:val="22"/>
      <w:szCs w:val="22"/>
      <w:lang w:val="en-GB"/>
    </w:rPr>
  </w:style>
  <w:style w:type="character" w:styleId="BookTitle">
    <w:name w:val="Book Title"/>
    <w:basedOn w:val="DefaultParagraphFont"/>
    <w:uiPriority w:val="33"/>
    <w:qFormat/>
    <w:rsid w:val="00C66972"/>
    <w:rPr>
      <w:b/>
      <w:bCs/>
      <w:smallCaps/>
      <w:spacing w:val="5"/>
    </w:rPr>
  </w:style>
  <w:style w:type="paragraph" w:customStyle="1" w:styleId="Numberedparas">
    <w:name w:val="Numbered paras"/>
    <w:basedOn w:val="BodyText1"/>
    <w:link w:val="NumberedparasChar"/>
    <w:uiPriority w:val="99"/>
    <w:qFormat/>
    <w:rsid w:val="00C66972"/>
    <w:pPr>
      <w:numPr>
        <w:numId w:val="24"/>
      </w:numPr>
      <w:ind w:left="714" w:hanging="357"/>
    </w:pPr>
  </w:style>
  <w:style w:type="character" w:customStyle="1" w:styleId="NumberedparasChar">
    <w:name w:val="Numbered paras Char"/>
    <w:basedOn w:val="BodyText1Char"/>
    <w:link w:val="Numberedparas"/>
    <w:uiPriority w:val="99"/>
    <w:rsid w:val="00C66972"/>
    <w:rPr>
      <w:rFonts w:ascii="Arial" w:eastAsiaTheme="minorEastAsia" w:hAnsi="Arial" w:cs="Arial"/>
      <w:color w:val="000000" w:themeColor="text1"/>
      <w:lang w:val="en-US" w:eastAsia="en-AU"/>
    </w:rPr>
  </w:style>
  <w:style w:type="paragraph" w:customStyle="1" w:styleId="Subchaptertitles">
    <w:name w:val="Sub chapter titles"/>
    <w:basedOn w:val="BodyText1"/>
    <w:link w:val="SubchaptertitlesChar"/>
    <w:qFormat/>
    <w:rsid w:val="00C66972"/>
    <w:rPr>
      <w:bCs/>
    </w:rPr>
  </w:style>
  <w:style w:type="character" w:customStyle="1" w:styleId="SubchaptertitlesChar">
    <w:name w:val="Sub chapter titles Char"/>
    <w:basedOn w:val="BodyText1Char"/>
    <w:link w:val="Subchaptertitles"/>
    <w:rsid w:val="00C66972"/>
    <w:rPr>
      <w:rFonts w:ascii="Arial" w:eastAsiaTheme="minorEastAsia" w:hAnsi="Arial" w:cs="Arial"/>
      <w:bCs/>
      <w:color w:val="000000" w:themeColor="text1"/>
      <w:lang w:val="en-US" w:eastAsia="en-AU"/>
    </w:rPr>
  </w:style>
  <w:style w:type="paragraph" w:customStyle="1" w:styleId="HyperlinksTabletext">
    <w:name w:val="Hyperlinks Table text"/>
    <w:basedOn w:val="Normal"/>
    <w:link w:val="HyperlinksTabletextChar"/>
    <w:qFormat/>
    <w:rsid w:val="00C66972"/>
    <w:pPr>
      <w:spacing w:before="240" w:afterAutospacing="1"/>
    </w:pPr>
    <w:rPr>
      <w:rFonts w:eastAsiaTheme="minorEastAsia" w:cs="Arial"/>
      <w:color w:val="000000" w:themeColor="text1"/>
      <w:sz w:val="14"/>
      <w:szCs w:val="22"/>
      <w:lang w:val="en-GB"/>
    </w:rPr>
  </w:style>
  <w:style w:type="character" w:customStyle="1" w:styleId="HyperlinksTabletextChar">
    <w:name w:val="Hyperlinks Table text Char"/>
    <w:basedOn w:val="DefaultParagraphFont"/>
    <w:link w:val="HyperlinksTabletext"/>
    <w:rsid w:val="00C66972"/>
    <w:rPr>
      <w:rFonts w:ascii="Arial" w:eastAsiaTheme="minorEastAsia" w:hAnsi="Arial" w:cs="Arial"/>
      <w:color w:val="000000" w:themeColor="text1"/>
      <w:sz w:val="14"/>
      <w:lang w:val="en-GB" w:eastAsia="en-AU"/>
    </w:rPr>
  </w:style>
  <w:style w:type="paragraph" w:customStyle="1" w:styleId="TableFootnotes">
    <w:name w:val="Table Footnotes"/>
    <w:basedOn w:val="TOC2"/>
    <w:link w:val="TableFootnotesChar"/>
    <w:qFormat/>
    <w:rsid w:val="00C66972"/>
    <w:pPr>
      <w:tabs>
        <w:tab w:val="right" w:leader="dot" w:pos="8220"/>
      </w:tabs>
      <w:spacing w:after="0" w:afterAutospacing="1"/>
      <w:ind w:left="0"/>
    </w:pPr>
    <w:rPr>
      <w:rFonts w:eastAsiaTheme="minorEastAsia" w:cs="Arial"/>
      <w:color w:val="17365D" w:themeColor="text2" w:themeShade="BF"/>
      <w:sz w:val="14"/>
      <w:szCs w:val="14"/>
      <w:lang w:val="en-GB"/>
    </w:rPr>
  </w:style>
  <w:style w:type="character" w:customStyle="1" w:styleId="TableFootnotesChar">
    <w:name w:val="Table Footnotes Char"/>
    <w:basedOn w:val="TOC2Char"/>
    <w:link w:val="TableFootnotes"/>
    <w:rsid w:val="00C66972"/>
    <w:rPr>
      <w:rFonts w:ascii="Arial" w:eastAsiaTheme="minorEastAsia" w:hAnsi="Arial" w:cs="Arial"/>
      <w:noProof/>
      <w:color w:val="17365D" w:themeColor="text2" w:themeShade="BF"/>
      <w:sz w:val="14"/>
      <w:szCs w:val="14"/>
      <w:lang w:val="en-GB" w:eastAsia="en-AU"/>
    </w:rPr>
  </w:style>
  <w:style w:type="paragraph" w:customStyle="1" w:styleId="numberedfootnotes">
    <w:name w:val="numbered footnotes"/>
    <w:basedOn w:val="TableFootnotes"/>
    <w:link w:val="numberedfootnotesChar"/>
    <w:qFormat/>
    <w:rsid w:val="00C66972"/>
    <w:pPr>
      <w:numPr>
        <w:numId w:val="25"/>
      </w:numPr>
    </w:pPr>
  </w:style>
  <w:style w:type="character" w:customStyle="1" w:styleId="numberedfootnotesChar">
    <w:name w:val="numbered footnotes Char"/>
    <w:basedOn w:val="TableFootnotesChar"/>
    <w:link w:val="numberedfootnotes"/>
    <w:rsid w:val="00C66972"/>
    <w:rPr>
      <w:rFonts w:ascii="Arial" w:eastAsiaTheme="minorEastAsia" w:hAnsi="Arial" w:cs="Arial"/>
      <w:noProof/>
      <w:color w:val="17365D" w:themeColor="text2" w:themeShade="BF"/>
      <w:sz w:val="14"/>
      <w:szCs w:val="14"/>
      <w:lang w:val="en-GB" w:eastAsia="en-AU"/>
    </w:rPr>
  </w:style>
  <w:style w:type="paragraph" w:customStyle="1" w:styleId="numberedtableparas">
    <w:name w:val="numbered table paras"/>
    <w:basedOn w:val="lgetabletxt"/>
    <w:link w:val="numberedtableparasChar"/>
    <w:qFormat/>
    <w:rsid w:val="00C66972"/>
    <w:pPr>
      <w:numPr>
        <w:numId w:val="26"/>
      </w:numPr>
      <w:tabs>
        <w:tab w:val="left" w:pos="142"/>
        <w:tab w:val="left" w:pos="170"/>
        <w:tab w:val="left" w:pos="227"/>
      </w:tabs>
      <w:spacing w:before="240"/>
    </w:pPr>
    <w:rPr>
      <w:sz w:val="16"/>
    </w:rPr>
  </w:style>
  <w:style w:type="character" w:customStyle="1" w:styleId="numberedtableparasChar">
    <w:name w:val="numbered table paras Char"/>
    <w:basedOn w:val="lgetabletxtChar"/>
    <w:link w:val="numberedtableparas"/>
    <w:rsid w:val="00C66972"/>
    <w:rPr>
      <w:rFonts w:ascii="Arial" w:eastAsiaTheme="minorEastAsia" w:hAnsi="Arial" w:cs="Arial"/>
      <w:color w:val="000000" w:themeColor="text1"/>
      <w:sz w:val="16"/>
      <w:szCs w:val="16"/>
      <w:lang w:val="en-GB" w:eastAsia="en-AU"/>
    </w:rPr>
  </w:style>
  <w:style w:type="character" w:styleId="CommentReference">
    <w:name w:val="annotation reference"/>
    <w:basedOn w:val="DefaultParagraphFont"/>
    <w:uiPriority w:val="99"/>
    <w:rsid w:val="00C66972"/>
    <w:rPr>
      <w:rFonts w:cs="Times New Roman"/>
      <w:sz w:val="16"/>
      <w:szCs w:val="16"/>
    </w:rPr>
  </w:style>
  <w:style w:type="paragraph" w:styleId="FootnoteText">
    <w:name w:val="footnote text"/>
    <w:basedOn w:val="Normal"/>
    <w:link w:val="FootnoteTextChar"/>
    <w:uiPriority w:val="99"/>
    <w:unhideWhenUsed/>
    <w:rsid w:val="00A20A3D"/>
    <w:pPr>
      <w:spacing w:before="120" w:after="100" w:afterAutospacing="1"/>
    </w:pPr>
    <w:rPr>
      <w:rFonts w:ascii="Calibri" w:hAnsi="Calibri" w:cs="Calibri"/>
      <w:szCs w:val="20"/>
    </w:rPr>
  </w:style>
  <w:style w:type="character" w:customStyle="1" w:styleId="FootnoteTextChar">
    <w:name w:val="Footnote Text Char"/>
    <w:basedOn w:val="DefaultParagraphFont"/>
    <w:link w:val="FootnoteText"/>
    <w:uiPriority w:val="99"/>
    <w:rsid w:val="00A20A3D"/>
    <w:rPr>
      <w:rFonts w:ascii="Calibri" w:eastAsia="Times New Roman" w:hAnsi="Calibri" w:cs="Calibri"/>
      <w:sz w:val="20"/>
      <w:szCs w:val="20"/>
      <w:lang w:eastAsia="en-AU"/>
    </w:rPr>
  </w:style>
  <w:style w:type="paragraph" w:customStyle="1" w:styleId="Default">
    <w:name w:val="Default"/>
    <w:basedOn w:val="Normal"/>
    <w:rsid w:val="00C66972"/>
    <w:pPr>
      <w:spacing w:before="240" w:afterAutospacing="1"/>
    </w:pPr>
    <w:rPr>
      <w:rFonts w:cs="Arial"/>
      <w:color w:val="000000" w:themeColor="text1"/>
      <w:sz w:val="24"/>
    </w:rPr>
  </w:style>
  <w:style w:type="paragraph" w:customStyle="1" w:styleId="leftparagraph">
    <w:name w:val="leftparagraph"/>
    <w:basedOn w:val="Normal"/>
    <w:rsid w:val="00C66972"/>
    <w:pPr>
      <w:spacing w:before="160" w:after="200" w:afterAutospacing="1"/>
      <w:ind w:left="340"/>
    </w:pPr>
    <w:rPr>
      <w:rFonts w:ascii="Times New Roman" w:hAnsi="Times New Roman"/>
      <w:sz w:val="24"/>
    </w:rPr>
  </w:style>
  <w:style w:type="paragraph" w:customStyle="1" w:styleId="portalbodytext">
    <w:name w:val="portalbodytext"/>
    <w:basedOn w:val="Normal"/>
    <w:rsid w:val="00C66972"/>
    <w:pPr>
      <w:spacing w:before="100" w:beforeAutospacing="1" w:after="100" w:afterAutospacing="1"/>
    </w:pPr>
    <w:rPr>
      <w:rFonts w:ascii="Times New Roman" w:hAnsi="Times New Roman"/>
      <w:sz w:val="24"/>
    </w:rPr>
  </w:style>
  <w:style w:type="paragraph" w:customStyle="1" w:styleId="lgetablebullet">
    <w:name w:val="lge table bullet"/>
    <w:basedOn w:val="lgetabletxt"/>
    <w:link w:val="lgetablebulletChar"/>
    <w:uiPriority w:val="99"/>
    <w:rsid w:val="00C66972"/>
    <w:pPr>
      <w:spacing w:before="240"/>
      <w:ind w:left="113" w:hanging="113"/>
    </w:pPr>
    <w:rPr>
      <w:sz w:val="16"/>
    </w:rPr>
  </w:style>
  <w:style w:type="character" w:customStyle="1" w:styleId="lgetablebulletChar">
    <w:name w:val="lge table bullet Char"/>
    <w:basedOn w:val="lgetabletxtChar"/>
    <w:link w:val="lgetablebullet"/>
    <w:uiPriority w:val="99"/>
    <w:rsid w:val="00C66972"/>
    <w:rPr>
      <w:rFonts w:ascii="Arial" w:eastAsiaTheme="minorEastAsia" w:hAnsi="Arial" w:cs="Arial"/>
      <w:color w:val="000000" w:themeColor="text1"/>
      <w:sz w:val="16"/>
      <w:szCs w:val="16"/>
      <w:lang w:val="en-GB" w:eastAsia="en-AU"/>
    </w:rPr>
  </w:style>
  <w:style w:type="paragraph" w:customStyle="1" w:styleId="newlgetablebullet">
    <w:name w:val="new lge table bullet"/>
    <w:basedOn w:val="Tablebullet"/>
    <w:link w:val="newlgetablebulletChar"/>
    <w:uiPriority w:val="99"/>
    <w:qFormat/>
    <w:rsid w:val="00C66972"/>
    <w:pPr>
      <w:numPr>
        <w:numId w:val="23"/>
      </w:numPr>
    </w:pPr>
    <w:rPr>
      <w:sz w:val="16"/>
    </w:rPr>
  </w:style>
  <w:style w:type="character" w:customStyle="1" w:styleId="newlgetablebulletChar">
    <w:name w:val="new lge table bullet Char"/>
    <w:basedOn w:val="TablebulletChar"/>
    <w:link w:val="newlgetablebullet"/>
    <w:uiPriority w:val="99"/>
    <w:rsid w:val="00C66972"/>
    <w:rPr>
      <w:rFonts w:ascii="Arial" w:eastAsiaTheme="minorEastAsia" w:hAnsi="Arial" w:cs="Arial"/>
      <w:color w:val="000000" w:themeColor="text1"/>
      <w:sz w:val="16"/>
      <w:szCs w:val="16"/>
      <w:lang w:val="en-GB" w:eastAsia="en-AU"/>
    </w:rPr>
  </w:style>
  <w:style w:type="paragraph" w:styleId="BodyText3">
    <w:name w:val="Body Text 3"/>
    <w:basedOn w:val="Normal"/>
    <w:link w:val="BodyText3Char"/>
    <w:uiPriority w:val="99"/>
    <w:semiHidden/>
    <w:unhideWhenUsed/>
    <w:rsid w:val="00C66972"/>
    <w:pPr>
      <w:spacing w:before="240" w:afterAutospacing="1"/>
    </w:pPr>
    <w:rPr>
      <w:rFonts w:eastAsiaTheme="minorEastAsia" w:cs="Arial"/>
      <w:color w:val="000000" w:themeColor="text1"/>
      <w:sz w:val="16"/>
      <w:szCs w:val="16"/>
      <w:lang w:val="en-GB"/>
    </w:rPr>
  </w:style>
  <w:style w:type="character" w:customStyle="1" w:styleId="BodyText3Char">
    <w:name w:val="Body Text 3 Char"/>
    <w:basedOn w:val="DefaultParagraphFont"/>
    <w:link w:val="BodyText3"/>
    <w:uiPriority w:val="99"/>
    <w:semiHidden/>
    <w:rsid w:val="00C66972"/>
    <w:rPr>
      <w:rFonts w:ascii="Arial" w:eastAsiaTheme="minorEastAsia" w:hAnsi="Arial" w:cs="Arial"/>
      <w:color w:val="000000" w:themeColor="text1"/>
      <w:sz w:val="16"/>
      <w:szCs w:val="16"/>
      <w:lang w:val="en-GB" w:eastAsia="en-AU"/>
    </w:rPr>
  </w:style>
  <w:style w:type="paragraph" w:customStyle="1" w:styleId="Numberedpara">
    <w:name w:val="Numbered para"/>
    <w:basedOn w:val="BodyText3"/>
    <w:link w:val="NumberedparaChar"/>
    <w:qFormat/>
    <w:rsid w:val="00C66972"/>
    <w:pPr>
      <w:numPr>
        <w:numId w:val="27"/>
      </w:numPr>
      <w:spacing w:after="0"/>
    </w:pPr>
    <w:rPr>
      <w:i/>
    </w:rPr>
  </w:style>
  <w:style w:type="character" w:customStyle="1" w:styleId="NumberedparaChar">
    <w:name w:val="Numbered para Char"/>
    <w:basedOn w:val="BodyText3Char"/>
    <w:link w:val="Numberedpara"/>
    <w:rsid w:val="00C66972"/>
    <w:rPr>
      <w:rFonts w:ascii="Arial" w:eastAsiaTheme="minorEastAsia" w:hAnsi="Arial" w:cs="Arial"/>
      <w:i/>
      <w:color w:val="000000" w:themeColor="text1"/>
      <w:sz w:val="16"/>
      <w:szCs w:val="16"/>
      <w:lang w:val="en-GB" w:eastAsia="en-AU"/>
    </w:rPr>
  </w:style>
  <w:style w:type="character" w:customStyle="1" w:styleId="A0">
    <w:name w:val="A0"/>
    <w:uiPriority w:val="99"/>
    <w:rsid w:val="00C66972"/>
    <w:rPr>
      <w:rFonts w:cs="HelveticaNeue ThinExt"/>
      <w:color w:val="000000"/>
      <w:sz w:val="22"/>
      <w:szCs w:val="22"/>
    </w:rPr>
  </w:style>
  <w:style w:type="paragraph" w:styleId="NormalWeb">
    <w:name w:val="Normal (Web)"/>
    <w:basedOn w:val="Normal"/>
    <w:uiPriority w:val="99"/>
    <w:unhideWhenUsed/>
    <w:rsid w:val="00C66972"/>
    <w:pPr>
      <w:spacing w:before="100" w:beforeAutospacing="1" w:after="100" w:afterAutospacing="1"/>
    </w:pPr>
    <w:rPr>
      <w:rFonts w:ascii="Times New Roman" w:hAnsi="Times New Roman"/>
      <w:sz w:val="24"/>
    </w:rPr>
  </w:style>
  <w:style w:type="paragraph" w:styleId="BodyText">
    <w:name w:val="Body Text"/>
    <w:basedOn w:val="Normal"/>
    <w:link w:val="BodyTextChar"/>
    <w:uiPriority w:val="99"/>
    <w:rsid w:val="00C66972"/>
    <w:pPr>
      <w:spacing w:before="240" w:afterAutospacing="1" w:line="276" w:lineRule="auto"/>
    </w:pPr>
    <w:rPr>
      <w:rFonts w:ascii="Calibri" w:hAnsi="Calibri"/>
      <w:sz w:val="22"/>
      <w:szCs w:val="22"/>
    </w:rPr>
  </w:style>
  <w:style w:type="character" w:customStyle="1" w:styleId="BodyTextChar">
    <w:name w:val="Body Text Char"/>
    <w:basedOn w:val="DefaultParagraphFont"/>
    <w:link w:val="BodyText"/>
    <w:uiPriority w:val="99"/>
    <w:rsid w:val="00C66972"/>
    <w:rPr>
      <w:rFonts w:ascii="Calibri" w:eastAsia="Times New Roman" w:hAnsi="Calibri" w:cs="Times New Roman"/>
      <w:lang w:eastAsia="en-AU"/>
    </w:rPr>
  </w:style>
  <w:style w:type="character" w:customStyle="1" w:styleId="ParagraphChar">
    <w:name w:val="Paragraph Char"/>
    <w:link w:val="Paragraph"/>
    <w:uiPriority w:val="99"/>
    <w:locked/>
    <w:rsid w:val="00C66972"/>
    <w:rPr>
      <w:rFonts w:ascii="Helvetica" w:hAnsi="Helvetica"/>
      <w:sz w:val="24"/>
    </w:rPr>
  </w:style>
  <w:style w:type="paragraph" w:customStyle="1" w:styleId="Paragraph">
    <w:name w:val="Paragraph"/>
    <w:basedOn w:val="Normal"/>
    <w:link w:val="ParagraphChar"/>
    <w:uiPriority w:val="99"/>
    <w:rsid w:val="00C66972"/>
    <w:pPr>
      <w:widowControl w:val="0"/>
      <w:spacing w:before="240" w:after="240" w:afterAutospacing="1"/>
      <w:ind w:left="1667" w:hanging="567"/>
    </w:pPr>
    <w:rPr>
      <w:rFonts w:ascii="Helvetica" w:eastAsiaTheme="minorHAnsi" w:hAnsi="Helvetica" w:cstheme="minorBidi"/>
      <w:sz w:val="24"/>
      <w:szCs w:val="22"/>
      <w:lang w:eastAsia="en-US"/>
    </w:rPr>
  </w:style>
  <w:style w:type="paragraph" w:customStyle="1" w:styleId="2ndbulletpara">
    <w:name w:val="2nd bullet para"/>
    <w:basedOn w:val="Bulletnormal"/>
    <w:link w:val="2ndbulletparaChar"/>
    <w:rsid w:val="00C66972"/>
    <w:pPr>
      <w:numPr>
        <w:numId w:val="0"/>
      </w:numPr>
      <w:spacing w:after="20" w:line="264" w:lineRule="auto"/>
      <w:ind w:left="1647" w:hanging="360"/>
      <w:contextualSpacing w:val="0"/>
    </w:pPr>
    <w:rPr>
      <w:rFonts w:eastAsiaTheme="minorEastAsia"/>
      <w:color w:val="000000" w:themeColor="text1"/>
      <w:lang w:val="en-GB"/>
    </w:rPr>
  </w:style>
  <w:style w:type="character" w:customStyle="1" w:styleId="2ndbulletparaChar">
    <w:name w:val="2nd bullet para Char"/>
    <w:basedOn w:val="BulletnormalChar"/>
    <w:link w:val="2ndbulletpara"/>
    <w:rsid w:val="00C66972"/>
    <w:rPr>
      <w:rFonts w:ascii="Arial" w:eastAsiaTheme="minorEastAsia" w:hAnsi="Arial" w:cs="Arial"/>
      <w:color w:val="000000" w:themeColor="text1"/>
      <w:sz w:val="20"/>
      <w:szCs w:val="20"/>
      <w:lang w:val="en-GB" w:eastAsia="en-AU"/>
    </w:rPr>
  </w:style>
  <w:style w:type="paragraph" w:customStyle="1" w:styleId="NormalNumberedpara">
    <w:name w:val="Normal Numbered para"/>
    <w:basedOn w:val="BodyText1"/>
    <w:link w:val="NormalNumberedparaChar"/>
    <w:uiPriority w:val="99"/>
    <w:qFormat/>
    <w:rsid w:val="00C66972"/>
    <w:pPr>
      <w:numPr>
        <w:numId w:val="29"/>
      </w:numPr>
      <w:ind w:left="357" w:hanging="357"/>
    </w:pPr>
  </w:style>
  <w:style w:type="character" w:customStyle="1" w:styleId="NormalNumberedparaChar">
    <w:name w:val="Normal Numbered para Char"/>
    <w:basedOn w:val="BodyText1Char"/>
    <w:link w:val="NormalNumberedpara"/>
    <w:uiPriority w:val="99"/>
    <w:rsid w:val="00C66972"/>
    <w:rPr>
      <w:rFonts w:ascii="Arial" w:eastAsiaTheme="minorEastAsia" w:hAnsi="Arial" w:cs="Arial"/>
      <w:color w:val="000000" w:themeColor="text1"/>
      <w:lang w:val="en-US" w:eastAsia="en-AU"/>
    </w:rPr>
  </w:style>
  <w:style w:type="paragraph" w:customStyle="1" w:styleId="Romannumeralsnumbering">
    <w:name w:val="Roman numerals numbering"/>
    <w:basedOn w:val="Paragraph"/>
    <w:link w:val="RomannumeralsnumberingChar"/>
    <w:qFormat/>
    <w:rsid w:val="00C66972"/>
    <w:pPr>
      <w:numPr>
        <w:numId w:val="28"/>
      </w:numPr>
      <w:tabs>
        <w:tab w:val="num" w:pos="900"/>
      </w:tabs>
      <w:spacing w:before="40" w:after="40"/>
      <w:ind w:left="1088" w:hanging="181"/>
    </w:pPr>
    <w:rPr>
      <w:rFonts w:ascii="Arial" w:hAnsi="Arial" w:cs="Arial"/>
    </w:rPr>
  </w:style>
  <w:style w:type="character" w:customStyle="1" w:styleId="RomannumeralsnumberingChar">
    <w:name w:val="Roman numerals numbering Char"/>
    <w:basedOn w:val="ParagraphChar"/>
    <w:link w:val="Romannumeralsnumbering"/>
    <w:rsid w:val="00C66972"/>
    <w:rPr>
      <w:rFonts w:ascii="Arial" w:hAnsi="Arial" w:cs="Arial"/>
      <w:sz w:val="24"/>
    </w:rPr>
  </w:style>
  <w:style w:type="character" w:customStyle="1" w:styleId="CommentSubjectChar">
    <w:name w:val="Comment Subject Char"/>
    <w:basedOn w:val="CommentTextChar"/>
    <w:link w:val="CommentSubject"/>
    <w:uiPriority w:val="99"/>
    <w:semiHidden/>
    <w:rsid w:val="00C66972"/>
    <w:rPr>
      <w:rFonts w:ascii="Calibri" w:eastAsiaTheme="minorEastAsia" w:hAnsi="Calibri" w:cs="Arial"/>
      <w:b/>
      <w:bCs/>
      <w:color w:val="000000"/>
      <w:sz w:val="20"/>
      <w:szCs w:val="20"/>
      <w:lang w:val="en-GB"/>
    </w:rPr>
  </w:style>
  <w:style w:type="paragraph" w:styleId="CommentSubject">
    <w:name w:val="annotation subject"/>
    <w:basedOn w:val="CommentText"/>
    <w:next w:val="CommentText"/>
    <w:link w:val="CommentSubjectChar"/>
    <w:uiPriority w:val="99"/>
    <w:semiHidden/>
    <w:unhideWhenUsed/>
    <w:rsid w:val="00C66972"/>
    <w:pPr>
      <w:suppressAutoHyphens/>
      <w:autoSpaceDE w:val="0"/>
      <w:autoSpaceDN w:val="0"/>
      <w:adjustRightInd w:val="0"/>
      <w:spacing w:after="40" w:line="240" w:lineRule="auto"/>
      <w:textAlignment w:val="center"/>
    </w:pPr>
    <w:rPr>
      <w:rFonts w:eastAsiaTheme="minorEastAsia" w:cs="Arial"/>
      <w:b/>
      <w:bCs/>
      <w:color w:val="000000"/>
      <w:lang w:val="en-GB"/>
    </w:rPr>
  </w:style>
  <w:style w:type="character" w:customStyle="1" w:styleId="CommentSubjectChar1">
    <w:name w:val="Comment Subject Char1"/>
    <w:basedOn w:val="CommentTextChar"/>
    <w:uiPriority w:val="99"/>
    <w:semiHidden/>
    <w:rsid w:val="00C66972"/>
    <w:rPr>
      <w:rFonts w:ascii="Calibri" w:eastAsia="Calibri" w:hAnsi="Calibri" w:cs="Times New Roman"/>
      <w:b/>
      <w:bCs/>
      <w:sz w:val="20"/>
      <w:szCs w:val="20"/>
    </w:rPr>
  </w:style>
  <w:style w:type="paragraph" w:customStyle="1" w:styleId="Indentedpara">
    <w:name w:val="Indented para"/>
    <w:basedOn w:val="Normal"/>
    <w:link w:val="IndentedparaChar"/>
    <w:qFormat/>
    <w:rsid w:val="00C66972"/>
    <w:pPr>
      <w:spacing w:before="120" w:after="100" w:afterAutospacing="1"/>
      <w:ind w:left="1134"/>
    </w:pPr>
    <w:rPr>
      <w:rFonts w:eastAsiaTheme="minorEastAsia" w:cs="Arial"/>
      <w:color w:val="000000" w:themeColor="text1"/>
      <w:sz w:val="22"/>
      <w:szCs w:val="22"/>
      <w:lang w:val="en-GB"/>
    </w:rPr>
  </w:style>
  <w:style w:type="character" w:customStyle="1" w:styleId="IndentedparaChar">
    <w:name w:val="Indented para Char"/>
    <w:basedOn w:val="DefaultParagraphFont"/>
    <w:link w:val="Indentedpara"/>
    <w:rsid w:val="00C66972"/>
    <w:rPr>
      <w:rFonts w:ascii="Arial" w:eastAsiaTheme="minorEastAsia" w:hAnsi="Arial" w:cs="Arial"/>
      <w:color w:val="000000" w:themeColor="text1"/>
      <w:lang w:val="en-GB" w:eastAsia="en-AU"/>
    </w:rPr>
  </w:style>
  <w:style w:type="paragraph" w:customStyle="1" w:styleId="Comparisonlevel7">
    <w:name w:val="Comparison level 7"/>
    <w:basedOn w:val="Heading6"/>
    <w:link w:val="Comparisonlevel7Char"/>
    <w:qFormat/>
    <w:rsid w:val="00C66972"/>
  </w:style>
  <w:style w:type="character" w:customStyle="1" w:styleId="Comparisonlevel7Char">
    <w:name w:val="Comparison level 7 Char"/>
    <w:basedOn w:val="Heading6Char"/>
    <w:link w:val="Comparisonlevel7"/>
    <w:rsid w:val="00C66972"/>
    <w:rPr>
      <w:rFonts w:asciiTheme="majorHAnsi" w:eastAsiaTheme="majorEastAsia" w:hAnsiTheme="majorHAnsi" w:cstheme="majorBidi"/>
      <w:b/>
      <w:i/>
      <w:iCs/>
      <w:lang w:val="en-GB" w:eastAsia="en-AU"/>
    </w:rPr>
  </w:style>
  <w:style w:type="paragraph" w:customStyle="1" w:styleId="2ndbullet">
    <w:name w:val="2nd bullet"/>
    <w:basedOn w:val="Bulletnormal"/>
    <w:link w:val="2ndbulletChar"/>
    <w:qFormat/>
    <w:rsid w:val="00C66972"/>
    <w:pPr>
      <w:numPr>
        <w:numId w:val="30"/>
      </w:numPr>
      <w:spacing w:after="20" w:line="264" w:lineRule="auto"/>
      <w:contextualSpacing w:val="0"/>
    </w:pPr>
    <w:rPr>
      <w:rFonts w:eastAsiaTheme="minorEastAsia"/>
      <w:color w:val="000000" w:themeColor="text1"/>
      <w:lang w:val="en-US"/>
    </w:rPr>
  </w:style>
  <w:style w:type="character" w:customStyle="1" w:styleId="2ndbulletChar">
    <w:name w:val="2nd bullet Char"/>
    <w:basedOn w:val="BulletnormalChar"/>
    <w:link w:val="2ndbullet"/>
    <w:rsid w:val="00C66972"/>
    <w:rPr>
      <w:rFonts w:ascii="Arial" w:eastAsiaTheme="minorEastAsia" w:hAnsi="Arial" w:cs="Arial"/>
      <w:color w:val="000000" w:themeColor="text1"/>
      <w:sz w:val="20"/>
      <w:szCs w:val="20"/>
      <w:lang w:val="en-US" w:eastAsia="en-AU"/>
    </w:rPr>
  </w:style>
  <w:style w:type="character" w:customStyle="1" w:styleId="st1">
    <w:name w:val="st1"/>
    <w:basedOn w:val="DefaultParagraphFont"/>
    <w:rsid w:val="00C66972"/>
  </w:style>
  <w:style w:type="paragraph" w:customStyle="1" w:styleId="Table2ndbullet">
    <w:name w:val="Table 2nd bullet"/>
    <w:basedOn w:val="2ndbullet"/>
    <w:link w:val="Table2ndbulletChar"/>
    <w:qFormat/>
    <w:rsid w:val="00C66972"/>
    <w:pPr>
      <w:spacing w:line="240" w:lineRule="auto"/>
      <w:ind w:left="226" w:hanging="113"/>
    </w:pPr>
    <w:rPr>
      <w:sz w:val="16"/>
    </w:rPr>
  </w:style>
  <w:style w:type="character" w:customStyle="1" w:styleId="Table2ndbulletChar">
    <w:name w:val="Table 2nd bullet Char"/>
    <w:basedOn w:val="2ndbulletChar"/>
    <w:link w:val="Table2ndbullet"/>
    <w:rsid w:val="00C66972"/>
    <w:rPr>
      <w:rFonts w:ascii="Arial" w:eastAsiaTheme="minorEastAsia" w:hAnsi="Arial" w:cs="Arial"/>
      <w:color w:val="000000" w:themeColor="text1"/>
      <w:sz w:val="16"/>
      <w:szCs w:val="20"/>
      <w:lang w:val="en-US" w:eastAsia="en-AU"/>
    </w:rPr>
  </w:style>
  <w:style w:type="paragraph" w:customStyle="1" w:styleId="Romantable">
    <w:name w:val="Roman table"/>
    <w:basedOn w:val="numberedtableparas"/>
    <w:link w:val="RomantableChar"/>
    <w:qFormat/>
    <w:rsid w:val="00C66972"/>
  </w:style>
  <w:style w:type="character" w:customStyle="1" w:styleId="RomantableChar">
    <w:name w:val="Roman table Char"/>
    <w:basedOn w:val="numberedtableparasChar"/>
    <w:link w:val="Romantable"/>
    <w:rsid w:val="00C66972"/>
    <w:rPr>
      <w:rFonts w:ascii="Arial" w:eastAsiaTheme="minorEastAsia" w:hAnsi="Arial" w:cs="Arial"/>
      <w:color w:val="000000" w:themeColor="text1"/>
      <w:sz w:val="16"/>
      <w:szCs w:val="16"/>
      <w:lang w:val="en-GB" w:eastAsia="en-AU"/>
    </w:rPr>
  </w:style>
  <w:style w:type="character" w:customStyle="1" w:styleId="docpdf1">
    <w:name w:val="docpdf1"/>
    <w:basedOn w:val="DefaultParagraphFont"/>
    <w:rsid w:val="00C66972"/>
    <w:rPr>
      <w:vanish w:val="0"/>
      <w:webHidden w:val="0"/>
      <w:specVanish w:val="0"/>
    </w:rPr>
  </w:style>
  <w:style w:type="paragraph" w:customStyle="1" w:styleId="labelledlabel1">
    <w:name w:val="labelled label1"/>
    <w:basedOn w:val="Normal"/>
    <w:uiPriority w:val="99"/>
    <w:rsid w:val="00C66972"/>
    <w:pPr>
      <w:spacing w:before="240" w:afterAutospacing="1" w:line="288" w:lineRule="atLeast"/>
    </w:pPr>
    <w:rPr>
      <w:rFonts w:ascii="Times New Roman" w:hAnsi="Times New Roman"/>
      <w:color w:val="000000" w:themeColor="text1"/>
      <w:sz w:val="24"/>
      <w:lang w:val="en-GB" w:eastAsia="en-GB"/>
    </w:rPr>
  </w:style>
  <w:style w:type="paragraph" w:customStyle="1" w:styleId="Separator">
    <w:name w:val="Separator"/>
    <w:uiPriority w:val="99"/>
    <w:rsid w:val="00C66972"/>
    <w:pPr>
      <w:keepNext/>
      <w:widowControl w:val="0"/>
      <w:autoSpaceDE w:val="0"/>
      <w:autoSpaceDN w:val="0"/>
      <w:adjustRightInd w:val="0"/>
      <w:spacing w:after="0" w:line="240" w:lineRule="auto"/>
    </w:pPr>
    <w:rPr>
      <w:rFonts w:ascii="Arial" w:eastAsiaTheme="minorEastAsia" w:hAnsi="Arial" w:cs="Arial"/>
      <w:sz w:val="24"/>
      <w:szCs w:val="24"/>
      <w:lang w:eastAsia="en-AU"/>
    </w:rPr>
  </w:style>
  <w:style w:type="paragraph" w:customStyle="1" w:styleId="Main">
    <w:name w:val="Main"/>
    <w:uiPriority w:val="99"/>
    <w:rsid w:val="00C66972"/>
    <w:pPr>
      <w:keepLines/>
      <w:widowControl w:val="0"/>
      <w:autoSpaceDE w:val="0"/>
      <w:autoSpaceDN w:val="0"/>
      <w:adjustRightInd w:val="0"/>
      <w:spacing w:after="0" w:line="240" w:lineRule="atLeast"/>
      <w:ind w:left="113" w:hanging="113"/>
    </w:pPr>
    <w:rPr>
      <w:rFonts w:ascii="Arial" w:eastAsiaTheme="minorEastAsia" w:hAnsi="Arial" w:cs="Arial"/>
      <w:i/>
      <w:iCs/>
      <w:sz w:val="20"/>
      <w:szCs w:val="20"/>
      <w:lang w:eastAsia="en-AU"/>
    </w:rPr>
  </w:style>
  <w:style w:type="paragraph" w:customStyle="1" w:styleId="Sub1">
    <w:name w:val="Sub1"/>
    <w:uiPriority w:val="99"/>
    <w:rsid w:val="00C66972"/>
    <w:pPr>
      <w:keepLines/>
      <w:widowControl w:val="0"/>
      <w:autoSpaceDE w:val="0"/>
      <w:autoSpaceDN w:val="0"/>
      <w:adjustRightInd w:val="0"/>
      <w:spacing w:after="0" w:line="240" w:lineRule="atLeast"/>
      <w:ind w:left="340" w:hanging="113"/>
    </w:pPr>
    <w:rPr>
      <w:rFonts w:ascii="Arial" w:eastAsiaTheme="minorEastAsia" w:hAnsi="Arial" w:cs="Arial"/>
      <w:lang w:eastAsia="en-AU"/>
    </w:rPr>
  </w:style>
  <w:style w:type="paragraph" w:customStyle="1" w:styleId="shortt">
    <w:name w:val="shortt"/>
    <w:basedOn w:val="Normal"/>
    <w:rsid w:val="00C66972"/>
    <w:pPr>
      <w:spacing w:before="100" w:beforeAutospacing="1" w:after="100" w:afterAutospacing="1"/>
    </w:pPr>
    <w:rPr>
      <w:rFonts w:ascii="Times New Roman" w:hAnsi="Times New Roman"/>
      <w:sz w:val="24"/>
    </w:rPr>
  </w:style>
  <w:style w:type="paragraph" w:customStyle="1" w:styleId="2i">
    <w:name w:val="2(i)"/>
    <w:basedOn w:val="Normal"/>
    <w:link w:val="2iChar"/>
    <w:qFormat/>
    <w:rsid w:val="00C66972"/>
    <w:pPr>
      <w:numPr>
        <w:ilvl w:val="4"/>
        <w:numId w:val="31"/>
      </w:numPr>
      <w:tabs>
        <w:tab w:val="clear" w:pos="4406"/>
        <w:tab w:val="left" w:pos="1843"/>
        <w:tab w:val="num" w:pos="2880"/>
      </w:tabs>
      <w:spacing w:before="240" w:after="240" w:afterAutospacing="1"/>
      <w:ind w:left="2880"/>
    </w:pPr>
    <w:rPr>
      <w:sz w:val="22"/>
      <w:szCs w:val="22"/>
      <w:lang w:eastAsia="en-US"/>
    </w:rPr>
  </w:style>
  <w:style w:type="character" w:customStyle="1" w:styleId="2iChar">
    <w:name w:val="2(i) Char"/>
    <w:basedOn w:val="DefaultParagraphFont"/>
    <w:link w:val="2i"/>
    <w:rsid w:val="00C66972"/>
    <w:rPr>
      <w:rFonts w:ascii="Arial" w:eastAsia="Times New Roman" w:hAnsi="Arial" w:cs="Times New Roman"/>
    </w:rPr>
  </w:style>
  <w:style w:type="character" w:customStyle="1" w:styleId="apple-converted-space">
    <w:name w:val="apple-converted-space"/>
    <w:basedOn w:val="DefaultParagraphFont"/>
    <w:rsid w:val="00C66972"/>
  </w:style>
  <w:style w:type="character" w:styleId="FootnoteReference">
    <w:name w:val="footnote reference"/>
    <w:basedOn w:val="DefaultParagraphFont"/>
    <w:uiPriority w:val="99"/>
    <w:semiHidden/>
    <w:unhideWhenUsed/>
    <w:rsid w:val="00C66972"/>
    <w:rPr>
      <w:vertAlign w:val="superscript"/>
    </w:rPr>
  </w:style>
  <w:style w:type="paragraph" w:styleId="Index1">
    <w:name w:val="index 1"/>
    <w:basedOn w:val="Normal"/>
    <w:next w:val="Normal"/>
    <w:autoRedefine/>
    <w:uiPriority w:val="99"/>
    <w:unhideWhenUsed/>
    <w:rsid w:val="00B74524"/>
    <w:pPr>
      <w:tabs>
        <w:tab w:val="right" w:leader="dot" w:pos="4143"/>
      </w:tabs>
      <w:ind w:left="200" w:hanging="200"/>
    </w:pPr>
    <w:rPr>
      <w:rFonts w:eastAsiaTheme="majorEastAsia" w:cs="Arial"/>
      <w:noProof/>
      <w:spacing w:val="-3"/>
      <w:sz w:val="18"/>
      <w:szCs w:val="18"/>
      <w:lang w:eastAsia="en-US"/>
    </w:rPr>
  </w:style>
  <w:style w:type="paragraph" w:styleId="Index2">
    <w:name w:val="index 2"/>
    <w:basedOn w:val="Normal"/>
    <w:next w:val="Normal"/>
    <w:autoRedefine/>
    <w:uiPriority w:val="99"/>
    <w:unhideWhenUsed/>
    <w:rsid w:val="00D22B57"/>
    <w:pPr>
      <w:ind w:left="400" w:hanging="200"/>
    </w:pPr>
    <w:rPr>
      <w:rFonts w:cstheme="minorHAnsi"/>
      <w:sz w:val="18"/>
      <w:szCs w:val="18"/>
    </w:rPr>
  </w:style>
  <w:style w:type="paragraph" w:styleId="Index3">
    <w:name w:val="index 3"/>
    <w:basedOn w:val="Normal"/>
    <w:next w:val="Normal"/>
    <w:autoRedefine/>
    <w:uiPriority w:val="99"/>
    <w:unhideWhenUsed/>
    <w:rsid w:val="00D22B57"/>
    <w:pPr>
      <w:ind w:left="600" w:hanging="200"/>
    </w:pPr>
    <w:rPr>
      <w:rFonts w:cstheme="minorHAnsi"/>
      <w:sz w:val="18"/>
      <w:szCs w:val="18"/>
    </w:rPr>
  </w:style>
  <w:style w:type="paragraph" w:styleId="Index4">
    <w:name w:val="index 4"/>
    <w:basedOn w:val="Normal"/>
    <w:next w:val="Normal"/>
    <w:autoRedefine/>
    <w:uiPriority w:val="99"/>
    <w:unhideWhenUsed/>
    <w:rsid w:val="00BF0A9A"/>
    <w:pPr>
      <w:ind w:left="800" w:hanging="200"/>
    </w:pPr>
    <w:rPr>
      <w:rFonts w:asciiTheme="minorHAnsi" w:hAnsiTheme="minorHAnsi" w:cstheme="minorHAnsi"/>
      <w:sz w:val="18"/>
      <w:szCs w:val="18"/>
    </w:rPr>
  </w:style>
  <w:style w:type="paragraph" w:styleId="Index5">
    <w:name w:val="index 5"/>
    <w:basedOn w:val="Normal"/>
    <w:next w:val="Normal"/>
    <w:autoRedefine/>
    <w:uiPriority w:val="99"/>
    <w:unhideWhenUsed/>
    <w:rsid w:val="00BF0A9A"/>
    <w:pPr>
      <w:ind w:left="1000" w:hanging="200"/>
    </w:pPr>
    <w:rPr>
      <w:rFonts w:asciiTheme="minorHAnsi" w:hAnsiTheme="minorHAnsi" w:cstheme="minorHAnsi"/>
      <w:sz w:val="18"/>
      <w:szCs w:val="18"/>
    </w:rPr>
  </w:style>
  <w:style w:type="paragraph" w:styleId="Index6">
    <w:name w:val="index 6"/>
    <w:basedOn w:val="Normal"/>
    <w:next w:val="Normal"/>
    <w:autoRedefine/>
    <w:uiPriority w:val="99"/>
    <w:unhideWhenUsed/>
    <w:rsid w:val="00BF0A9A"/>
    <w:pPr>
      <w:ind w:left="1200" w:hanging="200"/>
    </w:pPr>
    <w:rPr>
      <w:rFonts w:asciiTheme="minorHAnsi" w:hAnsiTheme="minorHAnsi" w:cstheme="minorHAnsi"/>
      <w:sz w:val="18"/>
      <w:szCs w:val="18"/>
    </w:rPr>
  </w:style>
  <w:style w:type="paragraph" w:styleId="Index7">
    <w:name w:val="index 7"/>
    <w:basedOn w:val="Normal"/>
    <w:next w:val="Normal"/>
    <w:autoRedefine/>
    <w:uiPriority w:val="99"/>
    <w:unhideWhenUsed/>
    <w:rsid w:val="00BF0A9A"/>
    <w:pPr>
      <w:ind w:left="1400" w:hanging="200"/>
    </w:pPr>
    <w:rPr>
      <w:rFonts w:asciiTheme="minorHAnsi" w:hAnsiTheme="minorHAnsi" w:cstheme="minorHAnsi"/>
      <w:sz w:val="18"/>
      <w:szCs w:val="18"/>
    </w:rPr>
  </w:style>
  <w:style w:type="paragraph" w:styleId="Index8">
    <w:name w:val="index 8"/>
    <w:basedOn w:val="Normal"/>
    <w:next w:val="Normal"/>
    <w:autoRedefine/>
    <w:uiPriority w:val="99"/>
    <w:unhideWhenUsed/>
    <w:rsid w:val="00BF0A9A"/>
    <w:pPr>
      <w:ind w:left="1600" w:hanging="200"/>
    </w:pPr>
    <w:rPr>
      <w:rFonts w:asciiTheme="minorHAnsi" w:hAnsiTheme="minorHAnsi" w:cstheme="minorHAnsi"/>
      <w:sz w:val="18"/>
      <w:szCs w:val="18"/>
    </w:rPr>
  </w:style>
  <w:style w:type="paragraph" w:styleId="Index9">
    <w:name w:val="index 9"/>
    <w:basedOn w:val="Normal"/>
    <w:next w:val="Normal"/>
    <w:autoRedefine/>
    <w:uiPriority w:val="99"/>
    <w:unhideWhenUsed/>
    <w:rsid w:val="00BF0A9A"/>
    <w:pPr>
      <w:ind w:left="1800" w:hanging="200"/>
    </w:pPr>
    <w:rPr>
      <w:rFonts w:asciiTheme="minorHAnsi" w:hAnsiTheme="minorHAnsi" w:cstheme="minorHAnsi"/>
      <w:sz w:val="18"/>
      <w:szCs w:val="18"/>
    </w:rPr>
  </w:style>
  <w:style w:type="paragraph" w:styleId="IndexHeading">
    <w:name w:val="index heading"/>
    <w:basedOn w:val="Normal"/>
    <w:next w:val="Index1"/>
    <w:uiPriority w:val="99"/>
    <w:unhideWhenUsed/>
    <w:rsid w:val="00C65EB9"/>
    <w:pPr>
      <w:spacing w:before="240"/>
      <w:ind w:left="140"/>
    </w:pPr>
    <w:rPr>
      <w:rFonts w:asciiTheme="majorHAnsi" w:hAnsiTheme="majorHAnsi"/>
      <w:b/>
      <w:bCs/>
      <w:sz w:val="28"/>
      <w:szCs w:val="28"/>
    </w:rPr>
  </w:style>
  <w:style w:type="paragraph" w:styleId="Revision">
    <w:name w:val="Revision"/>
    <w:hidden/>
    <w:uiPriority w:val="99"/>
    <w:semiHidden/>
    <w:rsid w:val="00DB5678"/>
    <w:pPr>
      <w:spacing w:after="0" w:line="240" w:lineRule="auto"/>
    </w:pPr>
    <w:rPr>
      <w:rFonts w:ascii="Arial" w:eastAsia="Times New Roman" w:hAnsi="Arial" w:cs="Times New Roman"/>
      <w:sz w:val="20"/>
      <w:szCs w:val="24"/>
      <w:lang w:eastAsia="en-AU"/>
    </w:rPr>
  </w:style>
  <w:style w:type="paragraph" w:customStyle="1" w:styleId="SWAappendixdates">
    <w:name w:val="SWA appendix dates"/>
    <w:basedOn w:val="SWATableheader"/>
    <w:qFormat/>
    <w:rsid w:val="00E75042"/>
    <w:pPr>
      <w:pageBreakBefore w:val="0"/>
    </w:pPr>
  </w:style>
  <w:style w:type="table" w:styleId="LightShading-Accent3">
    <w:name w:val="Light Shading Accent 3"/>
    <w:basedOn w:val="TableNormal"/>
    <w:uiPriority w:val="60"/>
    <w:rsid w:val="00B13FA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20381">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austlii.edu.au/cgi-bin/viewdb/au/legis/vic/consol_act/wiraca2013484/s127.html" TargetMode="External"/><Relationship Id="rId1827" Type="http://schemas.openxmlformats.org/officeDocument/2006/relationships/hyperlink" Target="http://www.thelaw.tas.gov.au/tocview/content.w3p;cond=;doc_id=4%2B%2B1988%2BGS143E%40EN%2B20151224140000;histon=;inforequest=;prompt=;rec=;term=" TargetMode="External"/><Relationship Id="rId21" Type="http://schemas.openxmlformats.org/officeDocument/2006/relationships/header" Target="header3.xml"/><Relationship Id="rId2089" Type="http://schemas.openxmlformats.org/officeDocument/2006/relationships/hyperlink" Target="https://www.worksafe.qld.gov.au/forms-and-resources/statistics/data-hub/data-specifications" TargetMode="External"/><Relationship Id="rId170" Type="http://schemas.openxmlformats.org/officeDocument/2006/relationships/hyperlink" Target="http://www8.austlii.edu.au/cgi-bin/viewdoc/au/legis/cth/consol_act/sracca1988512/s6.html" TargetMode="External"/><Relationship Id="rId268" Type="http://schemas.openxmlformats.org/officeDocument/2006/relationships/hyperlink" Target="http://www.thelaw.tas.gov.au/tocview/content.w3p;cond=;doc_id=4%2B%2B1988%2BGS75%40EN%2B20151223090000;histon=;inforequest=;prompt=;rec=;term=" TargetMode="External"/><Relationship Id="rId475" Type="http://schemas.openxmlformats.org/officeDocument/2006/relationships/hyperlink" Target="http://www8.austlii.edu.au/cgi-bin/viewdoc/au/legis/nt/consol_act/rtwa207/s72.html" TargetMode="External"/><Relationship Id="rId682" Type="http://schemas.openxmlformats.org/officeDocument/2006/relationships/hyperlink" Target="http://www8.austlii.edu.au/cgi-bin/viewdoc/au/legis/cth/consol_act/mraca2004397/s8.html" TargetMode="External"/><Relationship Id="rId2156" Type="http://schemas.openxmlformats.org/officeDocument/2006/relationships/hyperlink" Target="http://www5.austlii.edu.au/au/legis/vic/consol_act/wca1958255/index.html" TargetMode="External"/><Relationship Id="rId128" Type="http://schemas.openxmlformats.org/officeDocument/2006/relationships/hyperlink" Target="http://www.dva.gov.au/esa/wizard?execution=e1s1" TargetMode="External"/><Relationship Id="rId335" Type="http://schemas.openxmlformats.org/officeDocument/2006/relationships/hyperlink" Target="http://www.austlii.edu.au/au/legis/sa/consol_act/rtwa2014207/s30.html" TargetMode="External"/><Relationship Id="rId542" Type="http://schemas.openxmlformats.org/officeDocument/2006/relationships/hyperlink" Target="http://www8.austlii.edu.au/cgi-bin/viewdoc/au/legis/cth/consol_act/sraca1988368/s116.html" TargetMode="External"/><Relationship Id="rId987" Type="http://schemas.openxmlformats.org/officeDocument/2006/relationships/hyperlink" Target="http://www.legislation.govt.nz/act/public/2001/0049/latest/DLM100693.html" TargetMode="External"/><Relationship Id="rId1172" Type="http://schemas.openxmlformats.org/officeDocument/2006/relationships/hyperlink" Target="http://www8.austlii.edu.au/cgi-bin/viewdoc/au/legis/cth/consol_act/sraca1988368/s16.html" TargetMode="External"/><Relationship Id="rId2016" Type="http://schemas.openxmlformats.org/officeDocument/2006/relationships/hyperlink" Target="http://www.austlii.edu.au/cgi-bin/viewdb/au/legis/vic/consol_act/wiraca2013484/s388.html" TargetMode="External"/><Relationship Id="rId2223" Type="http://schemas.openxmlformats.org/officeDocument/2006/relationships/hyperlink" Target="http://www5.austlii.edu.au/au/legis/nsw/consol_act/wcda1942388/sch1.html" TargetMode="External"/><Relationship Id="rId402" Type="http://schemas.openxmlformats.org/officeDocument/2006/relationships/hyperlink" Target="http://www8.austlii.edu.au/cgi-bin/viewdoc/au/legis/nsw/consol_act/wimawca1998540/s69.html" TargetMode="External"/><Relationship Id="rId847" Type="http://schemas.openxmlformats.org/officeDocument/2006/relationships/hyperlink" Target="http://www8.austlii.edu.au/cgi-bin/viewdoc/au/legis/cth/consol_act/sraca1992381/s39.html" TargetMode="External"/><Relationship Id="rId1032" Type="http://schemas.openxmlformats.org/officeDocument/2006/relationships/hyperlink" Target="http://www8.austlii.edu.au/cgi-bin/viewdoc/au/legis/nt/consol_act/rtwa207/s65.html" TargetMode="External"/><Relationship Id="rId1477" Type="http://schemas.openxmlformats.org/officeDocument/2006/relationships/hyperlink" Target="http://www.austlii.edu.au/au/legis/sa/consol_act/rtwa2014207/s53.html" TargetMode="External"/><Relationship Id="rId1684" Type="http://schemas.openxmlformats.org/officeDocument/2006/relationships/hyperlink" Target="https://www.legislation.sa.gov.au/LZ/C/R/Return%20to%20Work%20Regulations%202015.aspx" TargetMode="External"/><Relationship Id="rId1891" Type="http://schemas.openxmlformats.org/officeDocument/2006/relationships/hyperlink" Target="http://www.austlii.edu.au/cgi-bin/viewdb/au/legis/nsw/consol_act/wimawca1998540/s43.html" TargetMode="External"/><Relationship Id="rId707" Type="http://schemas.openxmlformats.org/officeDocument/2006/relationships/hyperlink" Target="http://www8.austlii.edu.au/cgi-bin/viewdoc/au/legis/act/consol_act/wca1951255/s177.html" TargetMode="External"/><Relationship Id="rId914" Type="http://schemas.openxmlformats.org/officeDocument/2006/relationships/hyperlink" Target="http://www8.austlii.edu.au/cgi-bin/viewdoc/au/legis/nt/consol_act/rtwa207/s65a.html" TargetMode="External"/><Relationship Id="rId1337" Type="http://schemas.openxmlformats.org/officeDocument/2006/relationships/hyperlink" Target="http://www.austlii.edu.au/cgi-bin/viewdb/au/legis/cth/consol_act/sracca1988512/s17.html" TargetMode="External"/><Relationship Id="rId1544" Type="http://schemas.openxmlformats.org/officeDocument/2006/relationships/hyperlink" Target="https://prod.wsvdigital.com.au/sites/default/files/2018-06/ISBN-Ministerial-direction-return-to-work-direction-no-1-2010-2010-06.pdf" TargetMode="External"/><Relationship Id="rId1751" Type="http://schemas.openxmlformats.org/officeDocument/2006/relationships/hyperlink" Target="http://classic.austlii.edu.au/au/legis/nsw/consol_reg/wcr2016346/s39.html" TargetMode="External"/><Relationship Id="rId1989" Type="http://schemas.openxmlformats.org/officeDocument/2006/relationships/hyperlink" Target="http://www.legislation.govt.nz/act/public/2001/0049/latest/link.aspx?id=DLM101419" TargetMode="External"/><Relationship Id="rId43" Type="http://schemas.openxmlformats.org/officeDocument/2006/relationships/hyperlink" Target="mailto:seacare@comcare.gov.au" TargetMode="External"/><Relationship Id="rId1404" Type="http://schemas.openxmlformats.org/officeDocument/2006/relationships/hyperlink" Target="http://www.austlii.edu.au/cgi-bin/viewdb/au/legis/wa/consol_act/wcaima1981445/s62.html" TargetMode="External"/><Relationship Id="rId1611" Type="http://schemas.openxmlformats.org/officeDocument/2006/relationships/hyperlink" Target="http://www.austlii.edu.au/cgi-bin/viewdb/au/legis/cth/consol_act/sraca1992381/s50.html" TargetMode="External"/><Relationship Id="rId1849" Type="http://schemas.openxmlformats.org/officeDocument/2006/relationships/hyperlink" Target="http://www.austlii.edu.au/cgi-bin/viewdb/au/legis/cth/consol_act/sraca1988368/s37.html" TargetMode="External"/><Relationship Id="rId192" Type="http://schemas.openxmlformats.org/officeDocument/2006/relationships/hyperlink" Target="http://www.thelaw.tas.gov.au/tocview/index.w3p;cond=ALL;doc_id=4%2B%2B1988%2BAT%40EN%2B20150327100000;histon=;prompt=;rec=;term=Workers%20Rehabilitation" TargetMode="External"/><Relationship Id="rId1709" Type="http://schemas.openxmlformats.org/officeDocument/2006/relationships/hyperlink" Target="http://www.austlii.edu.au/cgi-bin/viewdb/au/legis/cth/consol_act/mraca2004397/s5.html" TargetMode="External"/><Relationship Id="rId1916" Type="http://schemas.openxmlformats.org/officeDocument/2006/relationships/hyperlink" Target="https://prod.wsvdigital.com.au/sites/default/files/2018-06/ISBN-Return-to-work-coordination-basics-2013-09_0.pdf" TargetMode="External"/><Relationship Id="rId497" Type="http://schemas.openxmlformats.org/officeDocument/2006/relationships/hyperlink" Target="http://www.austlii.edu.au/au/legis/sa/consol_act/rtwa2014207/s34.html" TargetMode="External"/><Relationship Id="rId2080" Type="http://schemas.openxmlformats.org/officeDocument/2006/relationships/hyperlink" Target="http://www.thelaw.tas.gov.au/tocview/content.w3p;cond=;doc_id=4%2B%2B1988%2BGS112%40EN%2B20160104090000;histon=;inforequest=;prompt=;rec=230;term=" TargetMode="External"/><Relationship Id="rId2178" Type="http://schemas.openxmlformats.org/officeDocument/2006/relationships/hyperlink" Target="https://www.rtwsa.com/" TargetMode="External"/><Relationship Id="rId357" Type="http://schemas.openxmlformats.org/officeDocument/2006/relationships/hyperlink" Target="http://www8.austlii.edu.au/cgi-bin/viewdoc/au/legis/nsw/consol_act/wimawca1998540/s280.html" TargetMode="External"/><Relationship Id="rId1194" Type="http://schemas.openxmlformats.org/officeDocument/2006/relationships/hyperlink" Target="http://www8.austlii.edu.au/cgi-bin/viewdoc/au/legis/cth/consol_act/sracca1988512/s29.html" TargetMode="External"/><Relationship Id="rId2038" Type="http://schemas.openxmlformats.org/officeDocument/2006/relationships/hyperlink" Target="http://www.austlii.edu.au/cgi-bin/viewdb/au/legis/nt/consol_act/rtwa207/s121a.html" TargetMode="External"/><Relationship Id="rId217" Type="http://schemas.openxmlformats.org/officeDocument/2006/relationships/hyperlink" Target="http://www8.austlii.edu.au/cgi-bin/viewdoc/au/legis/cth/consol_act/mraca2004397/s30.html" TargetMode="External"/><Relationship Id="rId564" Type="http://schemas.openxmlformats.org/officeDocument/2006/relationships/hyperlink" Target="http://www8.austlii.edu.au/cgi-bin/viewdoc/au/legis/wa/consol_act/wcaima1981445/s5.html" TargetMode="External"/><Relationship Id="rId771" Type="http://schemas.openxmlformats.org/officeDocument/2006/relationships/hyperlink" Target="http://www8.austlii.edu.au/cgi-bin/viewdoc/au/legis/nsw/consol_act/wca1987255/s11.html" TargetMode="External"/><Relationship Id="rId869" Type="http://schemas.openxmlformats.org/officeDocument/2006/relationships/hyperlink" Target="http://www8.austlii.edu.au/cgi-bin/viewdoc/au/legis/act/consol_reg/wcr2002346/s5.html" TargetMode="External"/><Relationship Id="rId1499" Type="http://schemas.openxmlformats.org/officeDocument/2006/relationships/hyperlink" Target="http://www.austlii.edu.au/cgi-bin/viewdb/au/legis/vic/consol_act/wiraca2013484/s105.html" TargetMode="External"/><Relationship Id="rId2245" Type="http://schemas.openxmlformats.org/officeDocument/2006/relationships/hyperlink" Target="http://www.legislation.govt.nz/act/public/2001/0049/latest/link.aspx?id=DLM100926" TargetMode="External"/><Relationship Id="rId424" Type="http://schemas.openxmlformats.org/officeDocument/2006/relationships/hyperlink" Target="http://www.austlii.edu.au/cgi-bin/viewdb/au/legis/vic/consol_act/wiraca2013484/s296.html" TargetMode="External"/><Relationship Id="rId631" Type="http://schemas.openxmlformats.org/officeDocument/2006/relationships/hyperlink" Target="http://www8.austlii.edu.au/cgi-bin/viewdoc/au/legis/wa/consol_act/wcaima1981445/s7.html" TargetMode="External"/><Relationship Id="rId729" Type="http://schemas.openxmlformats.org/officeDocument/2006/relationships/hyperlink" Target="http://www8.austlii.edu.au/cgi-bin/viewdoc/au/legis/cth/consol_act/sraca1992381/s39.html" TargetMode="External"/><Relationship Id="rId1054" Type="http://schemas.openxmlformats.org/officeDocument/2006/relationships/hyperlink" Target="http://www8.austlii.edu.au/cgi-bin/viewdoc/au/legis/cth/consol_act/sraca1988368/s21.html" TargetMode="External"/><Relationship Id="rId1261" Type="http://schemas.openxmlformats.org/officeDocument/2006/relationships/hyperlink" Target="http://www8.austlii.edu.au/cgi-bin/viewdoc/au/legis/wa/consol_act/wcaima1981445/sch1.html" TargetMode="External"/><Relationship Id="rId1359" Type="http://schemas.openxmlformats.org/officeDocument/2006/relationships/hyperlink" Target="http://www.austlii.edu.au/cgi-bin/viewdb/au/legis/sa/consol_act/rtwa2014207/s75.html" TargetMode="External"/><Relationship Id="rId2105" Type="http://schemas.openxmlformats.org/officeDocument/2006/relationships/hyperlink" Target="http://www.austlii.edu.au/cgi-bin/viewdb/au/legis/vic/consol_act/wiraca2013484/s406.html" TargetMode="External"/><Relationship Id="rId936" Type="http://schemas.openxmlformats.org/officeDocument/2006/relationships/hyperlink" Target="http://www8.austlii.edu.au/cgi-bin/viewdoc/au/legis/cth/consol_act/mraca2004397/s32.html" TargetMode="External"/><Relationship Id="rId1121" Type="http://schemas.openxmlformats.org/officeDocument/2006/relationships/hyperlink" Target="https://www.legislation.qld.gov.au/view/html/inforce/current/sl-2014-0189" TargetMode="External"/><Relationship Id="rId1219" Type="http://schemas.openxmlformats.org/officeDocument/2006/relationships/hyperlink" Target="https://www.legislation.qld.gov.au/view/html/inforce/current/act-2003-027" TargetMode="External"/><Relationship Id="rId1566" Type="http://schemas.openxmlformats.org/officeDocument/2006/relationships/hyperlink" Target="http://www.austlii.edu.au/cgi-bin/viewdb/au/legis/sa/consol_act/rtwa2014207/s26.html" TargetMode="External"/><Relationship Id="rId1773" Type="http://schemas.openxmlformats.org/officeDocument/2006/relationships/hyperlink" Target="http://www.austlii.edu.au/cgi-bin/viewdb/au/legis/cth/consol_act/sraca1988368/s36.html" TargetMode="External"/><Relationship Id="rId1980" Type="http://schemas.openxmlformats.org/officeDocument/2006/relationships/hyperlink" Target="http://www.austlii.edu.au/cgi-bin/viewdb/au/legis/wa/consol_act/wcaima1981445/s155c.html" TargetMode="External"/><Relationship Id="rId65" Type="http://schemas.openxmlformats.org/officeDocument/2006/relationships/hyperlink" Target="http://www.qirc.qld.gov.au/aboutus/aboutus_info/index.htm" TargetMode="External"/><Relationship Id="rId1426" Type="http://schemas.openxmlformats.org/officeDocument/2006/relationships/hyperlink" Target="http://www.thelaw.tas.gov.au/tocview/content.w3p;cond=;doc_id=4%2B%2B1988%2BGS82%40EN%2B20151224080000;histon=;inforequest=;prompt=;rec=;term=" TargetMode="External"/><Relationship Id="rId1633" Type="http://schemas.openxmlformats.org/officeDocument/2006/relationships/hyperlink" Target="https://www.worksafe.vic.gov.au/resources/important-return-work-information-template" TargetMode="External"/><Relationship Id="rId1840" Type="http://schemas.openxmlformats.org/officeDocument/2006/relationships/hyperlink" Target="http://www.austlii.edu.au/cgi-bin/viewdb/au/legis/act/consol_act/wca1951255/s102.html" TargetMode="External"/><Relationship Id="rId1700" Type="http://schemas.openxmlformats.org/officeDocument/2006/relationships/hyperlink" Target="http://www.austlii.edu.au/cgi-bin/viewdb/au/legis/cth/consol_act/sraca1988368/s37.html" TargetMode="External"/><Relationship Id="rId1938" Type="http://schemas.openxmlformats.org/officeDocument/2006/relationships/hyperlink" Target="http://www.thelaw.tas.gov.au/tocview/content.w3p;cond=;doc_id=4%2B%2B1988%2BGS143D%40EN%2B20151224140000;histon=;inforequest=;prompt=;rec=;term=" TargetMode="External"/><Relationship Id="rId281" Type="http://schemas.openxmlformats.org/officeDocument/2006/relationships/hyperlink" Target="http://www.austlii.edu.au/cgi-bin/sinodisp/au/legis/sa/consol_act/rtwa2014207/index.html" TargetMode="External"/><Relationship Id="rId141" Type="http://schemas.openxmlformats.org/officeDocument/2006/relationships/hyperlink" Target="https://www.legislation.qld.gov.au/view/html/inforce/current/act-2003-027" TargetMode="External"/><Relationship Id="rId379" Type="http://schemas.openxmlformats.org/officeDocument/2006/relationships/hyperlink" Target="http://www8.austlii.edu.au/cgi-bin/viewdoc/au/legis/wa/consol_act/wcaima1981445/s21.html" TargetMode="External"/><Relationship Id="rId586" Type="http://schemas.openxmlformats.org/officeDocument/2006/relationships/hyperlink" Target="http://www8.austlii.edu.au/cgi-bin/viewdoc/au/legis/vic/num_act/wiraca201367o2013530/s3.html" TargetMode="External"/><Relationship Id="rId793" Type="http://schemas.openxmlformats.org/officeDocument/2006/relationships/hyperlink" Target="http://www.austlii.edu.au/au/legis/sa/consol_act/rtwa2014207/s7.html" TargetMode="External"/><Relationship Id="rId7" Type="http://schemas.openxmlformats.org/officeDocument/2006/relationships/endnotes" Target="endnotes.xml"/><Relationship Id="rId239" Type="http://schemas.openxmlformats.org/officeDocument/2006/relationships/hyperlink" Target="http://www.austlii.edu.au/au/legis/sa/consol_act/rtwa2014207/s44.html" TargetMode="External"/><Relationship Id="rId446" Type="http://schemas.openxmlformats.org/officeDocument/2006/relationships/hyperlink" Target="https://www.legislation.sa.gov.au/LZ/C/A/RETURN%20TO%20WORK%20ACT%202014/CURRENT/2014.16.UN.PDF" TargetMode="External"/><Relationship Id="rId653" Type="http://schemas.openxmlformats.org/officeDocument/2006/relationships/hyperlink" Target="http://www.thelaw.tas.gov.au/tocview/content.w3p;cond=;doc_id=4%2B%2B1988%2BGS6B%40EN%2B20151223090000;histon=;inforequest=;prompt=;rec=;term=" TargetMode="External"/><Relationship Id="rId1076" Type="http://schemas.openxmlformats.org/officeDocument/2006/relationships/hyperlink" Target="http://www8.austlii.edu.au/cgi-bin/viewdoc/au/legis/cth/consol_act/sracca1988512/s19.html" TargetMode="External"/><Relationship Id="rId1283" Type="http://schemas.openxmlformats.org/officeDocument/2006/relationships/hyperlink" Target="http://www8.austlii.edu.au/cgi-bin/viewdoc/au/legis/cth/consol_act/sraca1988368/s18.html" TargetMode="External"/><Relationship Id="rId1490" Type="http://schemas.openxmlformats.org/officeDocument/2006/relationships/hyperlink" Target="http://www.austlii.edu.au/cgi-bin/viewdb/au/legis/vic/consol_act/wiraca2013484/s96.html" TargetMode="External"/><Relationship Id="rId2127" Type="http://schemas.openxmlformats.org/officeDocument/2006/relationships/hyperlink" Target="http://www.legislation.nsw.gov.au/maintop/view/inforce/act+83+1987+cd+0+N" TargetMode="External"/><Relationship Id="rId306" Type="http://schemas.openxmlformats.org/officeDocument/2006/relationships/hyperlink" Target="http://www.thelaw.tas.gov.au/tocview/content.w3p;cond=;doc_id=4%2B%2B1988%2BGS32%40EN%2B20151223090000;histon=;inforequest=;prompt=;rec=;term=" TargetMode="External"/><Relationship Id="rId860" Type="http://schemas.openxmlformats.org/officeDocument/2006/relationships/hyperlink" Target="http://www8.austlii.edu.au/cgi-bin/viewdoc/au/legis/vic/num_act/wiraca201367o2013530/s68.html" TargetMode="External"/><Relationship Id="rId958" Type="http://schemas.openxmlformats.org/officeDocument/2006/relationships/hyperlink" Target="http://www8.austlii.edu.au/cgi-bin/viewdoc/au/legis/nsw/consol_act/wca1987255/s65a.html" TargetMode="External"/><Relationship Id="rId1143" Type="http://schemas.openxmlformats.org/officeDocument/2006/relationships/hyperlink" Target="http://www8.austlii.edu.au/cgi-bin/viewdoc/au/legis/wa/consol_act/wcaima1981445/sch1.html" TargetMode="External"/><Relationship Id="rId1588" Type="http://schemas.openxmlformats.org/officeDocument/2006/relationships/hyperlink" Target="http://www.worksafe.nt.gov.au/PDF%20Conversion/return-to-work-plan.pdf" TargetMode="External"/><Relationship Id="rId1795" Type="http://schemas.openxmlformats.org/officeDocument/2006/relationships/hyperlink" Target="http://www.austlii.edu.au/cgi-bin/viewdb/au/legis/vic/consol_act/wiraca2013484/s114.html" TargetMode="External"/><Relationship Id="rId87" Type="http://schemas.openxmlformats.org/officeDocument/2006/relationships/hyperlink" Target="http://www.acc.co.nz/" TargetMode="External"/><Relationship Id="rId513" Type="http://schemas.openxmlformats.org/officeDocument/2006/relationships/hyperlink" Target="http://www8.austlii.edu.au/cgi-bin/viewdoc/au/legis/wa/consol_act/wcaima1981445/s174.html" TargetMode="External"/><Relationship Id="rId720" Type="http://schemas.openxmlformats.org/officeDocument/2006/relationships/hyperlink" Target="http://www8.austlii.edu.au/cgi-bin/viewdoc/au/legis/vic/num_act/wiraca201367o2013530/s213.html" TargetMode="External"/><Relationship Id="rId818" Type="http://schemas.openxmlformats.org/officeDocument/2006/relationships/hyperlink" Target="http://www8.austlii.edu.au/cgi-bin/viewdoc/au/legis/cth/consol_act/mraca2004397/s30.html" TargetMode="External"/><Relationship Id="rId1350" Type="http://schemas.openxmlformats.org/officeDocument/2006/relationships/hyperlink" Target="http://www.austlii.edu.au/cgi-bin/viewdb/au/legis/vic/consol_act/wiraca2013484/s325.html" TargetMode="External"/><Relationship Id="rId1448" Type="http://schemas.openxmlformats.org/officeDocument/2006/relationships/hyperlink" Target="http://www.austlii.edu.au/cgi-bin/viewdb/au/legis/cth/consol_act/sraca1992381/s50.html" TargetMode="External"/><Relationship Id="rId1655" Type="http://schemas.openxmlformats.org/officeDocument/2006/relationships/hyperlink" Target="http://www.austlii.edu.au/cgi-bin/viewdb/au/legis/nt/consol_act/rtwa207/s75a.html" TargetMode="External"/><Relationship Id="rId1003" Type="http://schemas.openxmlformats.org/officeDocument/2006/relationships/hyperlink" Target="http://www8.austlii.edu.au/cgi-bin/viewdb/au/legis/vic/num_act/wiraca201367o2013530/" TargetMode="External"/><Relationship Id="rId1210" Type="http://schemas.openxmlformats.org/officeDocument/2006/relationships/hyperlink" Target="http://www8.austlii.edu.au/cgi-bin/viewdoc/au/legis/vic/num_act/wiraca201367o2013530/s160.html" TargetMode="External"/><Relationship Id="rId1308" Type="http://schemas.openxmlformats.org/officeDocument/2006/relationships/hyperlink" Target="https://www.legislation.qld.gov.au/view/html/inforce/current/act-2003-027" TargetMode="External"/><Relationship Id="rId1862" Type="http://schemas.openxmlformats.org/officeDocument/2006/relationships/hyperlink" Target="http://www.austlii.edu.au/cgi-bin/viewdb/au/legis/cth/consol_act/sracca1988512/s37.html" TargetMode="External"/><Relationship Id="rId1515" Type="http://schemas.openxmlformats.org/officeDocument/2006/relationships/hyperlink" Target="http://www.austlii.edu.au/cgi-bin/viewdb/au/legis/vic/consol_act/wiraca2013484/s121.html" TargetMode="External"/><Relationship Id="rId1722" Type="http://schemas.openxmlformats.org/officeDocument/2006/relationships/hyperlink" Target="https://www.legislation.qld.gov.au/view/html/inforce/current/act-2003-027" TargetMode="External"/><Relationship Id="rId14" Type="http://schemas.openxmlformats.org/officeDocument/2006/relationships/header" Target="header2.xml"/><Relationship Id="rId2191" Type="http://schemas.openxmlformats.org/officeDocument/2006/relationships/hyperlink" Target="https://www.rtwsa.com/insurance/insurance-with-us/premium-calculations/industry-classifications-and-rates" TargetMode="External"/><Relationship Id="rId163" Type="http://schemas.openxmlformats.org/officeDocument/2006/relationships/hyperlink" Target="http://www8.austlii.edu.au/cgi-bin/viewdoc/au/legis/cth/consol_act/sraca1992381/s9.html" TargetMode="External"/><Relationship Id="rId370" Type="http://schemas.openxmlformats.org/officeDocument/2006/relationships/hyperlink" Target="http://www8.austlii.edu.au/cgi-bin/viewdoc/au/legis/cth/consol_act/sraca1988368/s108e.html" TargetMode="External"/><Relationship Id="rId2051" Type="http://schemas.openxmlformats.org/officeDocument/2006/relationships/hyperlink" Target="http://www.austlii.edu.au/cgi-bin/viewdb/au/legis/vic/consol_act/wiraca2013484/s393.html" TargetMode="External"/><Relationship Id="rId230" Type="http://schemas.openxmlformats.org/officeDocument/2006/relationships/hyperlink" Target="http://www.legislation.govt.nz/act/public/2001/0049/latest/DLM100918.html" TargetMode="External"/><Relationship Id="rId468" Type="http://schemas.openxmlformats.org/officeDocument/2006/relationships/hyperlink" Target="http://www.thelaw.tas.gov.au/tocview/content.w3p;cond=;doc_id=4%2B%2B1988%2BGS63%40EN%2B20151223090000;histon=;inforequest=;prompt=;rec=;term=" TargetMode="External"/><Relationship Id="rId675" Type="http://schemas.openxmlformats.org/officeDocument/2006/relationships/hyperlink" Target="http://www8.austlii.edu.au/cgi-bin/viewdoc/au/legis/act/consol_act/wca1951255/s19.html" TargetMode="External"/><Relationship Id="rId882" Type="http://schemas.openxmlformats.org/officeDocument/2006/relationships/hyperlink" Target="http://www8.austlii.edu.au/cgi-bin/viewdoc/au/legis/cth/consol_act/sracca1988512/s28.html" TargetMode="External"/><Relationship Id="rId1098" Type="http://schemas.openxmlformats.org/officeDocument/2006/relationships/hyperlink" Target="http://www8.austlii.edu.au/cgi-bin/viewdoc/au/legis/nsw/consol_act/wca1987255/s61.html" TargetMode="External"/><Relationship Id="rId2149" Type="http://schemas.openxmlformats.org/officeDocument/2006/relationships/hyperlink" Target="http://www.comlaw.gov.au/Series/C2004A01285" TargetMode="External"/><Relationship Id="rId328" Type="http://schemas.openxmlformats.org/officeDocument/2006/relationships/hyperlink" Target="http://www8.austlii.edu.au/cgi-bin/viewdoc/au/legis/cth/consol_act/sraca1992381/s63.html" TargetMode="External"/><Relationship Id="rId535" Type="http://schemas.openxmlformats.org/officeDocument/2006/relationships/hyperlink" Target="http://www8.austlii.edu.au/cgi-bin/viewdoc/au/legis/wa/consol_act/wcaima1981445/s80.html" TargetMode="External"/><Relationship Id="rId742" Type="http://schemas.openxmlformats.org/officeDocument/2006/relationships/hyperlink" Target="http://www8.austlii.edu.au/cgi-bin/viewdoc/au/legis/cth/consol_act/sraca1988368/s6.html" TargetMode="External"/><Relationship Id="rId1165" Type="http://schemas.openxmlformats.org/officeDocument/2006/relationships/hyperlink" Target="http://www8.austlii.edu.au/cgi-bin/viewdoc/au/legis/nt/consol_act/rtwa207/s78.html" TargetMode="External"/><Relationship Id="rId1372" Type="http://schemas.openxmlformats.org/officeDocument/2006/relationships/hyperlink" Target="http://www.austlii.edu.au/cgi-bin/viewdb/au/legis/cth/consol_act/sraca1992381/s39.html" TargetMode="External"/><Relationship Id="rId2009" Type="http://schemas.openxmlformats.org/officeDocument/2006/relationships/hyperlink" Target="http://www5.austlii.edu.au/au/legis/act/consol_reg/wcr2002346/" TargetMode="External"/><Relationship Id="rId2216" Type="http://schemas.openxmlformats.org/officeDocument/2006/relationships/hyperlink" Target="http://classic.austlii.edu.au/au/legis/nsw/consol_reg/wcr2016346/sch1.html" TargetMode="External"/><Relationship Id="rId602" Type="http://schemas.openxmlformats.org/officeDocument/2006/relationships/hyperlink" Target="http://www8.austlii.edu.au/cgi-bin/viewdoc/au/legis/cth/consol_act/mraca2004397/s7a.html" TargetMode="External"/><Relationship Id="rId1025" Type="http://schemas.openxmlformats.org/officeDocument/2006/relationships/hyperlink" Target="http://www.thelaw.tas.gov.au/tocview/content.w3p;cond=;doc_id=4%2B%2B1988%2BGS69%40EN%2B20160104150000;histon=;inforequest=;prompt=;rec=;term=" TargetMode="External"/><Relationship Id="rId1232" Type="http://schemas.openxmlformats.org/officeDocument/2006/relationships/hyperlink" Target="http://www8.austlii.edu.au/cgi-bin/viewdoc/au/legis/tas/consol_act/wraca1988400/s71.html" TargetMode="External"/><Relationship Id="rId1677" Type="http://schemas.openxmlformats.org/officeDocument/2006/relationships/hyperlink" Target="http://www.austlii.edu.au/cgi-bin/viewdb/au/legis/wa/consol_act/wcaima1981445/s155c.html" TargetMode="External"/><Relationship Id="rId1884" Type="http://schemas.openxmlformats.org/officeDocument/2006/relationships/hyperlink" Target="http://www.austlii.edu.au/cgi-bin/viewdb/au/legis/nt/consol_act/rtwa207/s76.html" TargetMode="External"/><Relationship Id="rId907" Type="http://schemas.openxmlformats.org/officeDocument/2006/relationships/hyperlink" Target="https://www.legislation.qld.gov.au/view/html/inforce/current/act-2003-027" TargetMode="External"/><Relationship Id="rId1537" Type="http://schemas.openxmlformats.org/officeDocument/2006/relationships/hyperlink" Target="https://www.worksafe.vic.gov.au/resources/compliance-codes-return-work-compliance-codes-explained" TargetMode="External"/><Relationship Id="rId1744" Type="http://schemas.openxmlformats.org/officeDocument/2006/relationships/hyperlink" Target="http://www.austlii.edu.au/cgi-bin/viewdb/au/legis/cth/consol_act/sraca1988368/s40.html" TargetMode="External"/><Relationship Id="rId1951" Type="http://schemas.openxmlformats.org/officeDocument/2006/relationships/hyperlink" Target="http://www.comcare.gov.au/recovery/rehabilitation/rehabilitation_providers/rehabilitation_providers_-_how_to_get_approved_and_operate_as_a_wrp" TargetMode="External"/><Relationship Id="rId36" Type="http://schemas.openxmlformats.org/officeDocument/2006/relationships/hyperlink" Target="http://www.worksafe.nt.gov.au/" TargetMode="External"/><Relationship Id="rId1604" Type="http://schemas.openxmlformats.org/officeDocument/2006/relationships/hyperlink" Target="http://www.comcare.gov.au/Forms_and_Publications/publications/services/e-guidance_modules/rehabilitation_case_management_-_first_steps" TargetMode="External"/><Relationship Id="rId185" Type="http://schemas.openxmlformats.org/officeDocument/2006/relationships/hyperlink" Target="https://www.legislation.qld.gov.au/view/html/inforce/current/act-2003-027" TargetMode="External"/><Relationship Id="rId1811" Type="http://schemas.openxmlformats.org/officeDocument/2006/relationships/hyperlink" Target="http://www.austlii.edu.au/cgi-bin/viewdb/au/legis/wa/consol_act/wcaima1981445/s59.html" TargetMode="External"/><Relationship Id="rId1909" Type="http://schemas.openxmlformats.org/officeDocument/2006/relationships/hyperlink" Target="http://www.austlii.edu.au/cgi-bin/viewdb/au/legis/cth/consol_act/sraca1992381/s50.html" TargetMode="External"/><Relationship Id="rId392" Type="http://schemas.openxmlformats.org/officeDocument/2006/relationships/hyperlink" Target="https://www.legislation.qld.gov.au/view/html/inforce/current/act-2003-027" TargetMode="External"/><Relationship Id="rId697" Type="http://schemas.openxmlformats.org/officeDocument/2006/relationships/hyperlink" Target="http://www8.austlii.edu.au/cgi-bin/viewdoc/au/legis/wa/consol_act/wcaima1981445/s5.html" TargetMode="External"/><Relationship Id="rId2073" Type="http://schemas.openxmlformats.org/officeDocument/2006/relationships/hyperlink" Target="http://www.austlii.edu.au/cgi-bin/viewdb/au/legis/wa/consol_act/wcaima1981445/s165.html" TargetMode="External"/><Relationship Id="rId252" Type="http://schemas.openxmlformats.org/officeDocument/2006/relationships/hyperlink" Target="http://www.thelaw.tas.gov.au/tocview/content.w3p;cond=;doc_id=4%2B%2B1988%2BGS69B%40EN%2B20151223090000;histon=;inforequest=;prompt=;rec=;term=" TargetMode="External"/><Relationship Id="rId1187" Type="http://schemas.openxmlformats.org/officeDocument/2006/relationships/hyperlink" Target="http://www8.austlii.edu.au/cgi-bin/viewdoc/au/legis/cth/consol_act/mraca2004397/s270.html" TargetMode="External"/><Relationship Id="rId2140" Type="http://schemas.openxmlformats.org/officeDocument/2006/relationships/hyperlink" Target="https://www.legislation.sa.gov.au/index.aspx" TargetMode="External"/><Relationship Id="rId112" Type="http://schemas.openxmlformats.org/officeDocument/2006/relationships/hyperlink" Target="http://www.worksafe.vic.gov.au/wps/wcm/connect/wsinternet/WorkSafe/Home/insurance-and-premiums/contractors-and-workers/" TargetMode="External"/><Relationship Id="rId557" Type="http://schemas.openxmlformats.org/officeDocument/2006/relationships/hyperlink" Target="http://www.thelaw.tas.gov.au/tocview/content.w3p;cond=;doc_id=4%2B%2B1988%2BGS96A%40EN%2B20151223090000;histon=;inforequest=;prompt=;rec=;term=" TargetMode="External"/><Relationship Id="rId764" Type="http://schemas.openxmlformats.org/officeDocument/2006/relationships/hyperlink" Target="http://www.austlii.edu.au/au/legis/sa/consol_act/rtwa2014207/s7.htmlhttp:/www.austlii.edu.au/au/legis/sa/consol_act/rtwa2014207/s7.html" TargetMode="External"/><Relationship Id="rId971" Type="http://schemas.openxmlformats.org/officeDocument/2006/relationships/hyperlink" Target="http://www8.austlii.edu.au/cgi-bin/viewdoc/au/legis/act/consol_act/wca1951255/s4.html" TargetMode="External"/><Relationship Id="rId1394" Type="http://schemas.openxmlformats.org/officeDocument/2006/relationships/hyperlink" Target="http://www.austlii.edu.au/cgi-bin/viewdb/au/legis/vic/consol_act/wiraca2013484/s177.html" TargetMode="External"/><Relationship Id="rId1699" Type="http://schemas.openxmlformats.org/officeDocument/2006/relationships/hyperlink" Target="http://www.austlii.edu.au/cgi-bin/viewdb/au/legis/cth/consol_act/sraca1988368/s37.html" TargetMode="External"/><Relationship Id="rId2000" Type="http://schemas.openxmlformats.org/officeDocument/2006/relationships/hyperlink" Target="https://www.legislation.qld.gov.au/view/html/inforce/current/act-2003-027" TargetMode="External"/><Relationship Id="rId2238" Type="http://schemas.openxmlformats.org/officeDocument/2006/relationships/hyperlink" Target="http://www.austlii.edu.au/cgi-bin/viewdb/au/legis/tas/consol_act/wraca1988400/sch4.html" TargetMode="External"/><Relationship Id="rId417" Type="http://schemas.openxmlformats.org/officeDocument/2006/relationships/hyperlink" Target="http://www8.austlii.edu.au/cgi-bin/viewdoc/au/legis/nt/consol_act/rtwa207/s85.html" TargetMode="External"/><Relationship Id="rId624" Type="http://schemas.openxmlformats.org/officeDocument/2006/relationships/hyperlink" Target="http://www8.austlii.edu.au/cgi-bin/viewdoc/au/legis/wa/consol_act/wcaima1981445/s5.html" TargetMode="External"/><Relationship Id="rId831" Type="http://schemas.openxmlformats.org/officeDocument/2006/relationships/hyperlink" Target="https://www.legislation.qld.gov.au/view/html/inforce/current/act-2003-027" TargetMode="External"/><Relationship Id="rId1047" Type="http://schemas.openxmlformats.org/officeDocument/2006/relationships/hyperlink" Target="http://www8.austlii.edu.au/cgi-bin/viewdoc/au/legis/cth/consol_act/sraca1988368/s19.html" TargetMode="External"/><Relationship Id="rId1254" Type="http://schemas.openxmlformats.org/officeDocument/2006/relationships/hyperlink" Target="http://www8.austlii.edu.au/cgi-bin/viewdoc/au/legis/vic/num_act/wiraca201367o2013530/s224.html" TargetMode="External"/><Relationship Id="rId1461" Type="http://schemas.openxmlformats.org/officeDocument/2006/relationships/hyperlink" Target="http://www.austlii.edu.au/cgi-bin/viewdb/au/legis/cth/consol_act/sracca1988512/s36.html" TargetMode="External"/><Relationship Id="rId929" Type="http://schemas.openxmlformats.org/officeDocument/2006/relationships/hyperlink" Target="http://www8.austlii.edu.au/cgi-bin/viewdoc/au/legis/cth/consol_act/sraca1992381/s38.html" TargetMode="External"/><Relationship Id="rId1114" Type="http://schemas.openxmlformats.org/officeDocument/2006/relationships/hyperlink" Target="https://www.legislation.qld.gov.au/view/html/inforce/current/sl-2014-0189" TargetMode="External"/><Relationship Id="rId1321" Type="http://schemas.openxmlformats.org/officeDocument/2006/relationships/hyperlink" Target="http://www.thelaw.tas.gov.au/tocview/content.w3p;cond=;doc_id=4%2B%2B1988%2BGS3%40EN%2B20151224080000;histon=;inforequest=;prompt=;rec=;term=" TargetMode="External"/><Relationship Id="rId1559" Type="http://schemas.openxmlformats.org/officeDocument/2006/relationships/hyperlink" Target="http://www.austlii.edu.au/cgi-bin/viewdb/au/legis/sa/consol_act/rtwa2014207/s13.html" TargetMode="External"/><Relationship Id="rId1766" Type="http://schemas.openxmlformats.org/officeDocument/2006/relationships/hyperlink" Target="http://www.austlii.edu.au/au/legis/sa/consol_act/rtwa2014207/s18.html" TargetMode="External"/><Relationship Id="rId1973" Type="http://schemas.openxmlformats.org/officeDocument/2006/relationships/hyperlink" Target="http://www.legislation.govt.nz/act/public/2001/0049/latest/link.aspx?id=DLM101438" TargetMode="External"/><Relationship Id="rId58"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1419" Type="http://schemas.openxmlformats.org/officeDocument/2006/relationships/hyperlink" Target="http://www.austlii.edu.au/cgi-bin/viewdb/au/legis/sa/consol_act/rtwa2014207/s46.html" TargetMode="External"/><Relationship Id="rId1626" Type="http://schemas.openxmlformats.org/officeDocument/2006/relationships/hyperlink" Target="http://classic.austlii.edu.au/au/legis/nsw/consol_reg/wcr2016346/s18.html" TargetMode="External"/><Relationship Id="rId1833" Type="http://schemas.openxmlformats.org/officeDocument/2006/relationships/hyperlink" Target="http://www.thelaw.tas.gov.au/tocview/content.w3p;cond=;doc_id=4%2B%2B1988%2BGS143J%40EN%2B20151224140000;histon=;inforequest=;prompt=;rec=;term=" TargetMode="External"/><Relationship Id="rId1900" Type="http://schemas.openxmlformats.org/officeDocument/2006/relationships/hyperlink" Target="http://www.thelaw.tas.gov.au/tocview/content.w3p;cond=;doc_id=4%2B%2B1988%2BGS142%40EN%2B20151224140000;histon=;inforequest=;prompt=;rec=;term=" TargetMode="External"/><Relationship Id="rId2095" Type="http://schemas.openxmlformats.org/officeDocument/2006/relationships/hyperlink" Target="http://www.worksafe.nt.gov.au/Pages/default.aspx" TargetMode="External"/><Relationship Id="rId274" Type="http://schemas.openxmlformats.org/officeDocument/2006/relationships/hyperlink" Target="http://www8.austlii.edu.au/cgi-bin/viewdoc/au/legis/nsw/consol_act/wimawca1998540/s44.html" TargetMode="External"/><Relationship Id="rId481" Type="http://schemas.openxmlformats.org/officeDocument/2006/relationships/hyperlink" Target="http://www8.austlii.edu.au/cgi-bin/viewdoc/au/legis/cth/consol_act/mraca2004397/s350.html" TargetMode="External"/><Relationship Id="rId2162" Type="http://schemas.openxmlformats.org/officeDocument/2006/relationships/hyperlink" Target="http://www.austlii.edu.au/cgi-bin/viewdb/au/legis/nt/consol_act/rtwa207/" TargetMode="External"/><Relationship Id="rId134" Type="http://schemas.openxmlformats.org/officeDocument/2006/relationships/hyperlink" Target="http://www8.austlii.edu.au/cgi-bin/viewdoc/au/legis/vic/num_act/wiraca201367o2013530/s46.html" TargetMode="External"/><Relationship Id="rId579" Type="http://schemas.openxmlformats.org/officeDocument/2006/relationships/hyperlink" Target="http://www8.austlii.edu.au/cgi-bin/viewdoc/au/legis/cth/consol_act/sraca1992381/s4.html" TargetMode="External"/><Relationship Id="rId786" Type="http://schemas.openxmlformats.org/officeDocument/2006/relationships/hyperlink" Target="https://www.legislation.qld.gov.au/view/html/inforce/current/act-2003-027" TargetMode="External"/><Relationship Id="rId993" Type="http://schemas.openxmlformats.org/officeDocument/2006/relationships/hyperlink" Target="http://www8.austlii.edu.au/cgi-bin/viewdoc/au/legis/nsw/consol_act/wca1987255/s87ea.html" TargetMode="External"/><Relationship Id="rId341" Type="http://schemas.openxmlformats.org/officeDocument/2006/relationships/hyperlink" Target="https://www.legislation.qld.gov.au/view/html/inforce/current/act-2003-027" TargetMode="External"/><Relationship Id="rId439" Type="http://schemas.openxmlformats.org/officeDocument/2006/relationships/hyperlink" Target="https://www.legislation.qld.gov.au/view/html/inforce/current/act-2003-027" TargetMode="External"/><Relationship Id="rId646" Type="http://schemas.openxmlformats.org/officeDocument/2006/relationships/hyperlink" Target="http://www.thelaw.tas.gov.au/tocview/content.w3p;cond=;doc_id=4%2B%2B1988%2BGS4C%40EN%2B20151223090000;histon=;inforequest=;prompt=;rec=;term=" TargetMode="External"/><Relationship Id="rId1069" Type="http://schemas.openxmlformats.org/officeDocument/2006/relationships/hyperlink" Target="http://www8.austlii.edu.au/cgi-bin/viewdoc/au/legis/cth/consol_act/mraca2004397/s131.html" TargetMode="External"/><Relationship Id="rId1276" Type="http://schemas.openxmlformats.org/officeDocument/2006/relationships/hyperlink" Target="http://www8.austlii.edu.au/cgi-bin/viewdoc/au/legis/nt/consol_act/rtwa207/s62.html" TargetMode="External"/><Relationship Id="rId1483" Type="http://schemas.openxmlformats.org/officeDocument/2006/relationships/hyperlink" Target="http://www.austlii.edu.au/cgi-bin/viewdb/au/legis/cth/consol_act/sraca1992381/s44.html" TargetMode="External"/><Relationship Id="rId2022" Type="http://schemas.openxmlformats.org/officeDocument/2006/relationships/hyperlink" Target="https://www.legislation.qld.gov.au/view/html/inforce/current/act-2003-027" TargetMode="External"/><Relationship Id="rId201" Type="http://schemas.openxmlformats.org/officeDocument/2006/relationships/hyperlink" Target="http://www8.austlii.edu.au/cgi-bin/viewdoc/au/legis/nt/consol_act/rtwa207/s3a.html" TargetMode="External"/><Relationship Id="rId506" Type="http://schemas.openxmlformats.org/officeDocument/2006/relationships/hyperlink" Target="http://www8.austlii.edu.au/cgi-bin/viewdoc/au/legis/nsw/consol_act/wca1987255/s145.html" TargetMode="External"/><Relationship Id="rId853" Type="http://schemas.openxmlformats.org/officeDocument/2006/relationships/hyperlink" Target="http://www8.austlii.edu.au/cgi-bin/viewdoc/au/legis/cth/consol_act/mraca2004397/s68.html" TargetMode="External"/><Relationship Id="rId1136" Type="http://schemas.openxmlformats.org/officeDocument/2006/relationships/hyperlink" Target="https://www.legislation.qld.gov.au/view/html/inforce/current/act-2003-027" TargetMode="External"/><Relationship Id="rId1690" Type="http://schemas.openxmlformats.org/officeDocument/2006/relationships/hyperlink" Target="http://www.workcover.tas.gov.au/__data/assets/pdf_file/0005/162815/G-020-Guide-for-RTW-and-IM-plans.pdf" TargetMode="External"/><Relationship Id="rId1788" Type="http://schemas.openxmlformats.org/officeDocument/2006/relationships/hyperlink" Target="http://www.austlii.edu.au/cgi-bin/viewdb/au/legis/nsw/consol_act/wca1987255/s57.html" TargetMode="External"/><Relationship Id="rId1995" Type="http://schemas.openxmlformats.org/officeDocument/2006/relationships/hyperlink" Target="https://www.legislation.qld.gov.au/view/html/inforce/current/act-2003-027" TargetMode="External"/><Relationship Id="rId713" Type="http://schemas.openxmlformats.org/officeDocument/2006/relationships/hyperlink" Target="http://www8.austlii.edu.au/cgi-bin/viewdoc/au/legis/vic/num_act/wiraca201367o2013530/sch1.html" TargetMode="External"/><Relationship Id="rId920" Type="http://schemas.openxmlformats.org/officeDocument/2006/relationships/hyperlink" Target="http://www8.austlii.edu.au/cgi-bin/viewdoc/au/legis/act/consol_act/wca1951255/s84.html" TargetMode="External"/><Relationship Id="rId1343" Type="http://schemas.openxmlformats.org/officeDocument/2006/relationships/hyperlink" Target="http://www.legislation.govt.nz/act/public/2001/0049/latest/link.aspx?id=DLM101404" TargetMode="External"/><Relationship Id="rId1550" Type="http://schemas.openxmlformats.org/officeDocument/2006/relationships/hyperlink" Target="https://www.worksafe.qld.gov.au/__data/assets/pdf_file/0009/76806/Guidelines-for-standard-for-rehabilitation-second-edition.pdf" TargetMode="External"/><Relationship Id="rId1648" Type="http://schemas.openxmlformats.org/officeDocument/2006/relationships/hyperlink" Target="http://www.austlii.edu.au/cgi-bin/viewdb/au/legis/sa/consol_act/rtwa2014207/s25.html" TargetMode="External"/><Relationship Id="rId1203" Type="http://schemas.openxmlformats.org/officeDocument/2006/relationships/hyperlink" Target="http://www8.austlii.edu.au/cgi-bin/viewdoc/au/legis/cth/consol_act/sracca1988512/s16.html" TargetMode="External"/><Relationship Id="rId1410" Type="http://schemas.openxmlformats.org/officeDocument/2006/relationships/hyperlink" Target="http://www.austlii.edu.au/cgi-bin/viewdb/au/legis/sa/consol_act/rtwa2014207/s48.html" TargetMode="External"/><Relationship Id="rId1508" Type="http://schemas.openxmlformats.org/officeDocument/2006/relationships/hyperlink" Target="http://www.austlii.edu.au/cgi-bin/viewdb/au/legis/vic/consol_act/wiraca2013484/s114.html" TargetMode="External"/><Relationship Id="rId1855" Type="http://schemas.openxmlformats.org/officeDocument/2006/relationships/hyperlink" Target="http://www.austlii.edu.au/cgi-bin/viewdb/au/legis/cth/consol_act/sraca1988368/s19.html" TargetMode="External"/><Relationship Id="rId1715" Type="http://schemas.openxmlformats.org/officeDocument/2006/relationships/hyperlink" Target="http://www.austlii.edu.au/cgi-bin/viewdb/au/legis/nsw/consol_act/wimawca1998540/s49.html" TargetMode="External"/><Relationship Id="rId1922" Type="http://schemas.openxmlformats.org/officeDocument/2006/relationships/hyperlink" Target="https://www.legislation.qld.gov.au/view/html/inforce/current/act-2003-027" TargetMode="External"/><Relationship Id="rId296" Type="http://schemas.openxmlformats.org/officeDocument/2006/relationships/hyperlink" Target="http://www8.austlii.edu.au/cgi-bin/viewdoc/au/legis/nsw/consol_act/wimawca1998540/s261.html" TargetMode="External"/><Relationship Id="rId2184" Type="http://schemas.openxmlformats.org/officeDocument/2006/relationships/hyperlink" Target="https://www.comcare.gov.au/" TargetMode="External"/><Relationship Id="rId156" Type="http://schemas.openxmlformats.org/officeDocument/2006/relationships/hyperlink" Target="http://www8.austlii.edu.au/cgi-bin/viewdoc/au/legis/act/consol_act/wca1951255/s36.html" TargetMode="External"/><Relationship Id="rId363" Type="http://schemas.openxmlformats.org/officeDocument/2006/relationships/hyperlink" Target="http://www.austlii.edu.au/au/legis/sa/consol_act/rtwa2014207/s31.html" TargetMode="External"/><Relationship Id="rId570" Type="http://schemas.openxmlformats.org/officeDocument/2006/relationships/hyperlink" Target="http://www8.austlii.edu.au/cgi-bin/viewdoc/au/legis/tas/consol_act/wraca1988400/s3.html" TargetMode="External"/><Relationship Id="rId2044" Type="http://schemas.openxmlformats.org/officeDocument/2006/relationships/hyperlink" Target="https://www.legislation.qld.gov.au/view/html/inforce/current/act-2003-027" TargetMode="External"/><Relationship Id="rId223" Type="http://schemas.openxmlformats.org/officeDocument/2006/relationships/hyperlink" Target="http://www.comlaw.gov.au/Series/C2004A01285" TargetMode="External"/><Relationship Id="rId430" Type="http://schemas.openxmlformats.org/officeDocument/2006/relationships/hyperlink" Target="http://www8.austlii.edu.au/cgi-bin/viewdoc/au/legis/vic/num_act/wiraca201367o2013530/s578.html" TargetMode="External"/><Relationship Id="rId668" Type="http://schemas.openxmlformats.org/officeDocument/2006/relationships/hyperlink" Target="http://www8.austlii.edu.au/cgi-bin/viewdoc/au/legis/act/consol_act/wca1951255/s14.html" TargetMode="External"/><Relationship Id="rId875" Type="http://schemas.openxmlformats.org/officeDocument/2006/relationships/hyperlink" Target="http://www8.austlii.edu.au/cgi-bin/viewdoc/au/legis/cth/consol_act/sraca1992381/s42.html" TargetMode="External"/><Relationship Id="rId1060" Type="http://schemas.openxmlformats.org/officeDocument/2006/relationships/hyperlink" Target="http://www8.austlii.edu.au/cgi-bin/viewdoc/au/legis/cth/consol_act/sraca1992381/s31.html" TargetMode="External"/><Relationship Id="rId1298" Type="http://schemas.openxmlformats.org/officeDocument/2006/relationships/hyperlink" Target="http://www8.austlii.edu.au/cgi-bin/viewdoc/au/legis/cth/consol_act/mraca2004397/s256.html" TargetMode="External"/><Relationship Id="rId2111" Type="http://schemas.openxmlformats.org/officeDocument/2006/relationships/hyperlink" Target="https://www.legislation.qld.gov.au/view/html/inforce/current/act-2003-027" TargetMode="External"/><Relationship Id="rId528" Type="http://schemas.openxmlformats.org/officeDocument/2006/relationships/hyperlink" Target="http://www8.austlii.edu.au/cgi-bin/viewdoc/au/legis/act/consol_act/wca1951255/s149.html" TargetMode="External"/><Relationship Id="rId735" Type="http://schemas.openxmlformats.org/officeDocument/2006/relationships/hyperlink" Target="http://www8.austlii.edu.au/cgi-bin/viewdoc/au/legis/vic/num_act/wiraca201367o2013530/s46.html" TargetMode="External"/><Relationship Id="rId942" Type="http://schemas.openxmlformats.org/officeDocument/2006/relationships/hyperlink" Target="http://www8.austlii.edu.au/cgi-bin/viewdoc/au/legis/cth/consol_act/sracca1988512/s5a.html" TargetMode="External"/><Relationship Id="rId1158" Type="http://schemas.openxmlformats.org/officeDocument/2006/relationships/hyperlink" Target="http://www.thelaw.tas.gov.au/tocview/content.w3p;cond=;doc_id=4%2B%2B1988%2BGS75%40EN%2B20151224080000;histon=;inforequest=;prompt=;rec=;term=" TargetMode="External"/><Relationship Id="rId1365" Type="http://schemas.openxmlformats.org/officeDocument/2006/relationships/hyperlink" Target="http://www.austlii.edu.au/cgi-bin/viewdb/au/legis/cth/consol_act/sraca1988368/s24.html" TargetMode="External"/><Relationship Id="rId1572" Type="http://schemas.openxmlformats.org/officeDocument/2006/relationships/hyperlink" Target="http://www.austlii.edu.au/cgi-bin/viewdb/au/legis/tas/consol_act/wraca1988400/" TargetMode="External"/><Relationship Id="rId2209" Type="http://schemas.openxmlformats.org/officeDocument/2006/relationships/hyperlink" Target="http://classic.austlii.edu.au/au/legis/nsw/consol_reg/wcr2016346/sch1.html" TargetMode="External"/><Relationship Id="rId1018" Type="http://schemas.openxmlformats.org/officeDocument/2006/relationships/hyperlink" Target="http://www.austlii.edu.au/au/legis/sa/consol_act/rtwa2014207/s5.html" TargetMode="External"/><Relationship Id="rId1225" Type="http://schemas.openxmlformats.org/officeDocument/2006/relationships/hyperlink" Target="http://www.workcover.wa.gov.au/workers/understanding-your-rights-obligations-entitlements/settlements/" TargetMode="External"/><Relationship Id="rId1432" Type="http://schemas.openxmlformats.org/officeDocument/2006/relationships/hyperlink" Target="http://www.austlii.edu.au/cgi-bin/viewdb/au/legis/nt/consol_act/rtwa207/s69.html" TargetMode="External"/><Relationship Id="rId1877" Type="http://schemas.openxmlformats.org/officeDocument/2006/relationships/hyperlink" Target="https://www.sira.nsw.gov.au/theres-been-an-injury/im-an-employer-helping-my-worker-recover/help-for-micro-employers" TargetMode="External"/><Relationship Id="rId71" Type="http://schemas.openxmlformats.org/officeDocument/2006/relationships/hyperlink" Target="http://www.austlii.edu.au/au/legis/sa/consol_act/rtwcosaa1994530/" TargetMode="External"/><Relationship Id="rId802" Type="http://schemas.openxmlformats.org/officeDocument/2006/relationships/hyperlink" Target="http://www8.austlii.edu.au/cgi-bin/viewdoc/au/legis/nt/consol_act/rtwa207/s4.html" TargetMode="External"/><Relationship Id="rId1737" Type="http://schemas.openxmlformats.org/officeDocument/2006/relationships/hyperlink" Target="http://www.austlii.edu.au/cgi-bin/viewdb/au/legis/nt/consol_act/rtwa207/s65c.html" TargetMode="External"/><Relationship Id="rId1944" Type="http://schemas.openxmlformats.org/officeDocument/2006/relationships/hyperlink" Target="http://www5.austlii.edu.au/au/legis/wa/consol_reg/wcaimr1982554/s44.html" TargetMode="External"/><Relationship Id="rId29" Type="http://schemas.openxmlformats.org/officeDocument/2006/relationships/hyperlink" Target="http://www.workcover.wa.gov.au/" TargetMode="External"/><Relationship Id="rId178" Type="http://schemas.openxmlformats.org/officeDocument/2006/relationships/hyperlink" Target="http://www8.austlii.edu.au/cgi-bin/viewdoc/au/legis/nsw/consol_act/wca1987255/s4.html" TargetMode="External"/><Relationship Id="rId1804" Type="http://schemas.openxmlformats.org/officeDocument/2006/relationships/hyperlink" Target="https://www.legislation.qld.gov.au/view/html/inforce/current/act-2003-027" TargetMode="External"/><Relationship Id="rId385" Type="http://schemas.openxmlformats.org/officeDocument/2006/relationships/hyperlink" Target="http://www8.austlii.edu.au/cgi-bin/viewdoc/au/legis/cth/consol_act/sraca1988368/s7.html" TargetMode="External"/><Relationship Id="rId592" Type="http://schemas.openxmlformats.org/officeDocument/2006/relationships/hyperlink" Target="http://www.rtwsa.com/search?query=Labour+Hire" TargetMode="External"/><Relationship Id="rId2066" Type="http://schemas.openxmlformats.org/officeDocument/2006/relationships/hyperlink" Target="http://www.austlii.edu.au/au/legis/sa/consol_act/rtwa2014207/s129.html" TargetMode="External"/><Relationship Id="rId245" Type="http://schemas.openxmlformats.org/officeDocument/2006/relationships/hyperlink" Target="http://www.legislation.act.gov.au/a/1951-2/current/pdf/1951-2.pdf" TargetMode="External"/><Relationship Id="rId452" Type="http://schemas.openxmlformats.org/officeDocument/2006/relationships/hyperlink" Target="https://www.legislation.sa.gov.au/LZ/C/A/RETURN%20TO%20WORK%20ACT%202014/CURRENT/2014.16.UN.PDF" TargetMode="External"/><Relationship Id="rId897" Type="http://schemas.openxmlformats.org/officeDocument/2006/relationships/hyperlink" Target="http://www8.austlii.edu.au/cgi-bin/viewdoc/au/legis/vic/num_act/wiraca201367o2013530/s42.html" TargetMode="External"/><Relationship Id="rId1082" Type="http://schemas.openxmlformats.org/officeDocument/2006/relationships/hyperlink" Target="http://www8.austlii.edu.au/cgi-bin/viewdoc/au/legis/cth/consol_act/sracca1988512/s30.html" TargetMode="External"/><Relationship Id="rId2133" Type="http://schemas.openxmlformats.org/officeDocument/2006/relationships/hyperlink" Target="https://www.legislation.qld.gov.au/view/html/inforce/current/act-2003-027" TargetMode="External"/><Relationship Id="rId105" Type="http://schemas.openxmlformats.org/officeDocument/2006/relationships/hyperlink" Target="http://www8.austlii.edu.au/cgi-bin/viewdoc/au/legis/act/consol_act/wca1951255/s8.html" TargetMode="External"/><Relationship Id="rId312" Type="http://schemas.openxmlformats.org/officeDocument/2006/relationships/hyperlink" Target="http://www8.austlii.edu.au/cgi-bin/viewdoc/au/legis/cth/consol_act/sraca1988368/s54.html" TargetMode="External"/><Relationship Id="rId757" Type="http://schemas.openxmlformats.org/officeDocument/2006/relationships/hyperlink" Target="http://www8.austlii.edu.au/cgi-bin/viewdoc/au/legis/cth/consol_act/sraca1992381/s9.html" TargetMode="External"/><Relationship Id="rId964" Type="http://schemas.openxmlformats.org/officeDocument/2006/relationships/hyperlink" Target="https://www.worksafe.qld.gov.au/medical/resources/guidelines-evaluation-permanent-impairment" TargetMode="External"/><Relationship Id="rId1387" Type="http://schemas.openxmlformats.org/officeDocument/2006/relationships/hyperlink" Target="http://www.austlii.edu.au/cgi-bin/viewdb/au/legis/nsw/consol_act/wimawca1998540/s120.html" TargetMode="External"/><Relationship Id="rId1594" Type="http://schemas.openxmlformats.org/officeDocument/2006/relationships/hyperlink" Target="http://www.austlii.edu.au/cgi-bin/viewdb/au/legis/cth/consol_act/sraca1988368/s37.html" TargetMode="External"/><Relationship Id="rId2200" Type="http://schemas.openxmlformats.org/officeDocument/2006/relationships/hyperlink" Target="http://www.comlaw.gov.au/Series/C2004A04525" TargetMode="External"/><Relationship Id="rId93" Type="http://schemas.openxmlformats.org/officeDocument/2006/relationships/hyperlink" Target="http://www8.austlii.edu.au/cgi-bin/viewdoc/au/legis/vic/num_act/wiraca201367o2013530/s3.html" TargetMode="External"/><Relationship Id="rId617" Type="http://schemas.openxmlformats.org/officeDocument/2006/relationships/hyperlink" Target="http://www8.austlii.edu.au/cgi-bin/viewdoc/au/legis/vic/num_act/wiraca201367o2013530/sch1.html" TargetMode="External"/><Relationship Id="rId824" Type="http://schemas.openxmlformats.org/officeDocument/2006/relationships/hyperlink" Target="http://www8.austlii.edu.au/cgi-bin/viewdoc/au/legis/cth/consol_act/mraca2004397/s30.html" TargetMode="External"/><Relationship Id="rId1247" Type="http://schemas.openxmlformats.org/officeDocument/2006/relationships/hyperlink" Target="http://www8.austlii.edu.au/cgi-bin/viewdoc/au/legis/nsw/consol_act/wca1987255/s25.html" TargetMode="External"/><Relationship Id="rId1454" Type="http://schemas.openxmlformats.org/officeDocument/2006/relationships/hyperlink" Target="http://www.austlii.edu.au/cgi-bin/viewdb/au/legis/cth/consol_act/mraca2004397/s329.html" TargetMode="External"/><Relationship Id="rId1661" Type="http://schemas.openxmlformats.org/officeDocument/2006/relationships/hyperlink" Target="http://www.austlii.edu.au/cgi-bin/viewdb/au/legis/act/consol_act/wca1951255/s109.html" TargetMode="External"/><Relationship Id="rId1899" Type="http://schemas.openxmlformats.org/officeDocument/2006/relationships/hyperlink" Target="http://www.austlii.edu.au/cgi-bin/viewdb/au/legis/wa/consol_act/wcaima1981445/s157.html" TargetMode="External"/><Relationship Id="rId1107" Type="http://schemas.openxmlformats.org/officeDocument/2006/relationships/hyperlink" Target="http://www8.austlii.edu.au/cgi-bin/viewdoc/au/legis/vic/num_act/wiraca201367o2013530/s232.html" TargetMode="External"/><Relationship Id="rId1314" Type="http://schemas.openxmlformats.org/officeDocument/2006/relationships/hyperlink" Target="http://www.austlii.edu.au/cgi-bin/viewdb/au/legis/wa/consol_act/wcaima1981445/s5.html" TargetMode="External"/><Relationship Id="rId1521" Type="http://schemas.openxmlformats.org/officeDocument/2006/relationships/hyperlink" Target="http://www.austlii.edu.au/cgi-bin/viewdb/au/legis/vic/consol_act/wiraca2013484/s127.html" TargetMode="External"/><Relationship Id="rId1759" Type="http://schemas.openxmlformats.org/officeDocument/2006/relationships/hyperlink" Target="http://www.austlii.edu.au/cgi-bin/viewdb/au/legis/nsw/consol_act/wca1987255/s174.html" TargetMode="External"/><Relationship Id="rId1966" Type="http://schemas.openxmlformats.org/officeDocument/2006/relationships/hyperlink" Target="http://www.worksafe.nt.gov.au/WorkersCompensation/Documents/nt-supplement-to-guide.pdf" TargetMode="External"/><Relationship Id="rId1619" Type="http://schemas.openxmlformats.org/officeDocument/2006/relationships/hyperlink" Target="http://www.austlii.edu.au/cgi-bin/viewdb/au/legis/nsw/consol_act/wimawca1998540/s52.html" TargetMode="External"/><Relationship Id="rId1826" Type="http://schemas.openxmlformats.org/officeDocument/2006/relationships/hyperlink" Target="http://www.thelaw.tas.gov.au/tocview/content.w3p;cond=;doc_id=4%2B%2B1988%2BGS143N%40EN%2B20151224140000;histon=;inforequest=;prompt=;rec=;term=" TargetMode="External"/><Relationship Id="rId20" Type="http://schemas.openxmlformats.org/officeDocument/2006/relationships/hyperlink" Target="https://www.workcover.wa.gov.au/content/uploads/2014/09/December-2017-WA-Guidelines-web-New-dual-logo.pdf" TargetMode="External"/><Relationship Id="rId2088" Type="http://schemas.openxmlformats.org/officeDocument/2006/relationships/hyperlink" Target="http://www.austlii.edu.au/au/legis/sa/consol_reg/rtwr2015316/sch3.html" TargetMode="External"/><Relationship Id="rId267" Type="http://schemas.openxmlformats.org/officeDocument/2006/relationships/hyperlink" Target="http://www.austlii.edu.au/au/legis/sa/consol_act/rtwa2014207/s33.html" TargetMode="External"/><Relationship Id="rId474" Type="http://schemas.openxmlformats.org/officeDocument/2006/relationships/hyperlink" Target="http://www8.austlii.edu.au/cgi-bin/viewdoc/au/legis/nt/consol_act/rtwa207/s103j.html" TargetMode="External"/><Relationship Id="rId2155" Type="http://schemas.openxmlformats.org/officeDocument/2006/relationships/hyperlink" Target="http://www.legislation.vic.gov.au/domino/Web_notes/LDMS/LTObject_Store/LTObjSt1.nsf/d1a8d8a9bed958efca25761600042ef5/5a128355b007195cca2577610017bf79/$FILE/93-50a067.pdf" TargetMode="External"/><Relationship Id="rId127" Type="http://schemas.openxmlformats.org/officeDocument/2006/relationships/hyperlink" Target="http://www.seacare.gov.au/compensation/coverage" TargetMode="External"/><Relationship Id="rId681" Type="http://schemas.openxmlformats.org/officeDocument/2006/relationships/hyperlink" Target="http://www8.austlii.edu.au/cgi-bin/viewdoc/au/legis/cth/consol_act/mraca2004397/s7a.html" TargetMode="External"/><Relationship Id="rId779" Type="http://schemas.openxmlformats.org/officeDocument/2006/relationships/hyperlink" Target="http://www.legislation.nsw.gov.au/" TargetMode="External"/><Relationship Id="rId986" Type="http://schemas.openxmlformats.org/officeDocument/2006/relationships/hyperlink" Target="http://www.legislation.govt.nz/act/public/2001/0049/latest/DLM1671503.html" TargetMode="External"/><Relationship Id="rId334" Type="http://schemas.openxmlformats.org/officeDocument/2006/relationships/hyperlink" Target="http://www8.austlii.edu.au/cgi-bin/viewdoc/au/legis/wa/consol_act/wcaima1981445/s57a.html" TargetMode="External"/><Relationship Id="rId541" Type="http://schemas.openxmlformats.org/officeDocument/2006/relationships/hyperlink" Target="http://www8.austlii.edu.au/cgi-bin/viewdoc/au/legis/act/consol_act/wca1951255/s46.html" TargetMode="External"/><Relationship Id="rId639" Type="http://schemas.openxmlformats.org/officeDocument/2006/relationships/hyperlink" Target="http://www.austlii.edu.au/au/legis/sa/consol_act/rtwa2014207/s175.html" TargetMode="External"/><Relationship Id="rId1171" Type="http://schemas.openxmlformats.org/officeDocument/2006/relationships/hyperlink" Target="http://www8.austlii.edu.au/cgi-bin/viewdoc/au/legis/act/consol_act/wca1951255/s70.html" TargetMode="External"/><Relationship Id="rId1269" Type="http://schemas.openxmlformats.org/officeDocument/2006/relationships/hyperlink" Target="http://www.thelaw.tas.gov.au/tocview/content.w3p;cond=;doc_id=4%2B%2B1988%2BGS75%40EN%2B20151224080000;histon=;inforequest=;prompt=;rec=;term=" TargetMode="External"/><Relationship Id="rId1476" Type="http://schemas.openxmlformats.org/officeDocument/2006/relationships/hyperlink" Target="http://www.austlii.edu.au/cgi-bin/viewdb/au/legis/wa/consol_act/wcaima1981445/s67.html" TargetMode="External"/><Relationship Id="rId2015" Type="http://schemas.openxmlformats.org/officeDocument/2006/relationships/hyperlink" Target="http://www.austlii.edu.au/cgi-bin/viewdb/au/legis/vic/consol_act/wiraca2013484/s380.html" TargetMode="External"/><Relationship Id="rId2222" Type="http://schemas.openxmlformats.org/officeDocument/2006/relationships/hyperlink" Target="http://www5.austlii.edu.au/au/legis/nsw/consol_act/wcda1942388/sch1.html" TargetMode="External"/><Relationship Id="rId401" Type="http://schemas.openxmlformats.org/officeDocument/2006/relationships/hyperlink" Target="http://www.legislation.govt.nz/act/public/2001/0049/latest/DLM100934.html" TargetMode="External"/><Relationship Id="rId846" Type="http://schemas.openxmlformats.org/officeDocument/2006/relationships/hyperlink" Target="http://www8.austlii.edu.au/cgi-bin/viewdoc/au/legis/cth/consol_act/sraca1992381/s3.html" TargetMode="External"/><Relationship Id="rId1031" Type="http://schemas.openxmlformats.org/officeDocument/2006/relationships/hyperlink" Target="http://www8.austlii.edu.au/cgi-bin/viewdoc/au/legis/nt/consol_act/rtwa207/s65.html" TargetMode="External"/><Relationship Id="rId1129" Type="http://schemas.openxmlformats.org/officeDocument/2006/relationships/hyperlink" Target="https://www.legislation.qld.gov.au/view/html/inforce/current/act-2003-027" TargetMode="External"/><Relationship Id="rId1683" Type="http://schemas.openxmlformats.org/officeDocument/2006/relationships/hyperlink" Target="https://www.legislation.sa.gov.au/LZ/C/R/Return%20to%20Work%20Regulations%202015.aspx" TargetMode="External"/><Relationship Id="rId1890" Type="http://schemas.openxmlformats.org/officeDocument/2006/relationships/hyperlink" Target="http://www.austlii.edu.au/cgi-bin/viewdb/au/legis/nsw/consol_act/wimawca1998540/s43.html" TargetMode="External"/><Relationship Id="rId1988" Type="http://schemas.openxmlformats.org/officeDocument/2006/relationships/hyperlink" Target="http://www.austlii.edu.au/cgi-bin/viewdb/au/legis/act/consol_act/wca1951255/s97.html" TargetMode="External"/><Relationship Id="rId706" Type="http://schemas.openxmlformats.org/officeDocument/2006/relationships/hyperlink" Target="http://www8.austlii.edu.au/cgi-bin/viewdoc/au/legis/act/consol_act/wca1951255/s84.html" TargetMode="External"/><Relationship Id="rId913" Type="http://schemas.openxmlformats.org/officeDocument/2006/relationships/hyperlink" Target="http://www8.austlii.edu.au/cgi-bin/viewdoc/au/legis/nt/consol_act/rtwa207/s60.html" TargetMode="External"/><Relationship Id="rId1336" Type="http://schemas.openxmlformats.org/officeDocument/2006/relationships/hyperlink" Target="http://www.austlii.edu.au/cgi-bin/viewdb/au/legis/cth/consol_act/mraca2004397/s262.html" TargetMode="External"/><Relationship Id="rId1543" Type="http://schemas.openxmlformats.org/officeDocument/2006/relationships/hyperlink" Target="https://www.worksafe.vic.gov.au/resources/return-work-obligations-information-employers" TargetMode="External"/><Relationship Id="rId1750" Type="http://schemas.openxmlformats.org/officeDocument/2006/relationships/hyperlink" Target="http://www.austlii.edu.au/cgi-bin/viewdb/au/legis/nsw/consol_act/wimawca1998540/s231.html" TargetMode="External"/><Relationship Id="rId42" Type="http://schemas.openxmlformats.org/officeDocument/2006/relationships/hyperlink" Target="http://www.comcare.gov.au/" TargetMode="External"/><Relationship Id="rId1403" Type="http://schemas.openxmlformats.org/officeDocument/2006/relationships/hyperlink" Target="http://www.austlii.edu.au/cgi-bin/viewdb/au/legis/wa/consol_act/wcaima1981445/s60.html" TargetMode="External"/><Relationship Id="rId1610" Type="http://schemas.openxmlformats.org/officeDocument/2006/relationships/hyperlink" Target="http://www.austlii.edu.au/cgi-bin/viewdb/au/legis/cth/consol_act/sraca1992381/s49.html" TargetMode="External"/><Relationship Id="rId1848" Type="http://schemas.openxmlformats.org/officeDocument/2006/relationships/hyperlink" Target="http://www.austlii.edu.au/cgi-bin/viewdb/au/legis/cth/consol_act/sraca1988368/s37.html" TargetMode="External"/><Relationship Id="rId191" Type="http://schemas.openxmlformats.org/officeDocument/2006/relationships/hyperlink" Target="http://www5.austlii.edu.au/au/legis/sa/consol_act/rtwa2014207/s7.html" TargetMode="External"/><Relationship Id="rId1708" Type="http://schemas.openxmlformats.org/officeDocument/2006/relationships/hyperlink" Target="http://www.austlii.edu.au/cgi-bin/viewdb/au/legis/cth/consol_act/mraca2004397/s5.html" TargetMode="External"/><Relationship Id="rId1915" Type="http://schemas.openxmlformats.org/officeDocument/2006/relationships/hyperlink" Target="https://prod.wsvdigital.com.au/sites/default/files/2018-06/ISBN-Return-to-work-coordinators-information-for-employers-2013-09.pdf" TargetMode="External"/><Relationship Id="rId289" Type="http://schemas.openxmlformats.org/officeDocument/2006/relationships/hyperlink" Target="http://www8.austlii.edu.au/cgi-bin/viewdoc/au/legis/act/consol_act/wca1951255/s93.html" TargetMode="External"/><Relationship Id="rId496" Type="http://schemas.openxmlformats.org/officeDocument/2006/relationships/hyperlink" Target="https://www.legislation.qld.gov.au/view/html/inforce/current/act-2003-027" TargetMode="External"/><Relationship Id="rId2177" Type="http://schemas.openxmlformats.org/officeDocument/2006/relationships/hyperlink" Target="http://www.austlii.edu.au/cgi-bin/viewdoc/au/legis/wa/consol_act/wcaima1981445/s33.html" TargetMode="External"/><Relationship Id="rId149" Type="http://schemas.openxmlformats.org/officeDocument/2006/relationships/hyperlink" Target="http://www8.austlii.edu.au/cgi-bin/viewdoc/au/legis/tas/consol_act/wraca1988400/s25.html" TargetMode="External"/><Relationship Id="rId356" Type="http://schemas.openxmlformats.org/officeDocument/2006/relationships/hyperlink" Target="http://www8.austlii.edu.au/cgi-bin/viewdoc/au/legis/nsw/consol_act/wimawca1998540/s274.html" TargetMode="External"/><Relationship Id="rId563" Type="http://schemas.openxmlformats.org/officeDocument/2006/relationships/hyperlink" Target="https://www.legislation.qld.gov.au/view/html/inforce/current/act-2003-027" TargetMode="External"/><Relationship Id="rId770" Type="http://schemas.openxmlformats.org/officeDocument/2006/relationships/hyperlink" Target="http://www.legislation.govt.nz/act/public/2001/0049/latest/DLM100918.html" TargetMode="External"/><Relationship Id="rId1193" Type="http://schemas.openxmlformats.org/officeDocument/2006/relationships/hyperlink" Target="http://www8.austlii.edu.au/cgi-bin/viewdoc/au/legis/cth/consol_act/sracca1988512/s29.html" TargetMode="External"/><Relationship Id="rId2037" Type="http://schemas.openxmlformats.org/officeDocument/2006/relationships/hyperlink" Target="http://www.austlii.edu.au/cgi-bin/viewdb/au/legis/nt/consol_act/rtwa207/s120.html" TargetMode="External"/><Relationship Id="rId2244" Type="http://schemas.openxmlformats.org/officeDocument/2006/relationships/hyperlink" Target="https://www.legislation.gov.au/Details/F2009B00136" TargetMode="External"/><Relationship Id="rId216" Type="http://schemas.openxmlformats.org/officeDocument/2006/relationships/hyperlink" Target="http://www8.austlii.edu.au/cgi-bin/viewdoc/au/legis/cth/consol_act/mraca2004397/s29.html" TargetMode="External"/><Relationship Id="rId423" Type="http://schemas.openxmlformats.org/officeDocument/2006/relationships/hyperlink" Target="http://www8.austlii.edu.au/cgi-bin/viewdoc/au/legis/vic/num_act/wiraca201367o2013530/s294.html" TargetMode="External"/><Relationship Id="rId868" Type="http://schemas.openxmlformats.org/officeDocument/2006/relationships/hyperlink" Target="http://www8.austlii.edu.au/cgi-bin/viewdoc/au/legis/nt/consol_act/rtwa207/s70.html" TargetMode="External"/><Relationship Id="rId1053" Type="http://schemas.openxmlformats.org/officeDocument/2006/relationships/hyperlink" Target="http://www8.austlii.edu.au/cgi-bin/viewdoc/au/legis/cth/consol_act/sraca1988368/s20.html" TargetMode="External"/><Relationship Id="rId1260" Type="http://schemas.openxmlformats.org/officeDocument/2006/relationships/hyperlink" Target="http://www8.austlii.edu.au/cgi-bin/viewdoc/au/legis/wa/consol_act/wcaima1981445/sch1.html" TargetMode="External"/><Relationship Id="rId1498" Type="http://schemas.openxmlformats.org/officeDocument/2006/relationships/hyperlink" Target="http://www.austlii.edu.au/cgi-bin/viewdb/au/legis/vic/consol_act/wiraca2013484/s104.html" TargetMode="External"/><Relationship Id="rId2104" Type="http://schemas.openxmlformats.org/officeDocument/2006/relationships/hyperlink" Target="http://www.austlii.edu.au/cgi-bin/viewdb/au/legis/vic/consol_act/wiraca2013484/s405.html" TargetMode="External"/><Relationship Id="rId630" Type="http://schemas.openxmlformats.org/officeDocument/2006/relationships/hyperlink" Target="http://www8.austlii.edu.au/cgi-bin/viewdoc/au/legis/wa/consol_act/wcaima1981445/s10.html" TargetMode="External"/><Relationship Id="rId728" Type="http://schemas.openxmlformats.org/officeDocument/2006/relationships/hyperlink" Target="http://www8.austlii.edu.au/cgi-bin/viewdoc/au/legis/cth/consol_act/sraca1988368/s24.html" TargetMode="External"/><Relationship Id="rId935" Type="http://schemas.openxmlformats.org/officeDocument/2006/relationships/hyperlink" Target="http://www8.austlii.edu.au/cgi-bin/viewdoc/au/legis/cth/consol_act/sraca1992381/s9.html" TargetMode="External"/><Relationship Id="rId1358" Type="http://schemas.openxmlformats.org/officeDocument/2006/relationships/hyperlink" Target="http://www.austlii.edu.au/cgi-bin/viewdb/au/legis/wa/consol_act/wcaima1981445/s93k.html" TargetMode="External"/><Relationship Id="rId1565" Type="http://schemas.openxmlformats.org/officeDocument/2006/relationships/hyperlink" Target="http://www.austlii.edu.au/cgi-bin/viewdb/au/legis/sa/consol_act/rtwa2014207/s25.html" TargetMode="External"/><Relationship Id="rId1772" Type="http://schemas.openxmlformats.org/officeDocument/2006/relationships/hyperlink" Target="http://www.thelaw.tas.gov.au/tocview/content.w3p;cond=;doc_id=4%2B%2B1988%2BGS143P%40EN%2B20151224140000;histon=;inforequest=;prompt=;rec=;term=" TargetMode="External"/><Relationship Id="rId64" Type="http://schemas.openxmlformats.org/officeDocument/2006/relationships/hyperlink" Target="http://www.courts.qld.gov.au/courts/magistrates-court" TargetMode="External"/><Relationship Id="rId1120" Type="http://schemas.openxmlformats.org/officeDocument/2006/relationships/hyperlink" Target="https://www.legislation.qld.gov.au/view/html/inforce/current/act-2003-027" TargetMode="External"/><Relationship Id="rId1218" Type="http://schemas.openxmlformats.org/officeDocument/2006/relationships/hyperlink" Target="https://www.legislation.qld.gov.au/view/html/inforce/current/act-2003-027" TargetMode="External"/><Relationship Id="rId1425" Type="http://schemas.openxmlformats.org/officeDocument/2006/relationships/hyperlink" Target="http://www.thelaw.tas.gov.au/tocview/content.w3p;cond=;doc_id=4%2B%2B1988%2BGS143E%40EN%2B20151224080000;histon=;inforequest=;prompt=;rec=;term=" TargetMode="External"/><Relationship Id="rId1632" Type="http://schemas.openxmlformats.org/officeDocument/2006/relationships/hyperlink" Target="https://prod.wsvdigital.com.au/sites/default/files/2018-06/ISBN-Compliance-code-3-of-4-return-to-work-information-2014-07.pdf" TargetMode="External"/><Relationship Id="rId1937" Type="http://schemas.openxmlformats.org/officeDocument/2006/relationships/hyperlink" Target="http://www.thelaw.tas.gov.au/tocview/content.w3p;cond=;doc_id=4%2B%2B1988%2BGS143B%40EN%2B20151224140000;histon=;inforequest=;prompt=;rec=;term=" TargetMode="External"/><Relationship Id="rId2199" Type="http://schemas.openxmlformats.org/officeDocument/2006/relationships/hyperlink" Target="https://worksafe.tas.gov.au/__data/assets/pdf_file/0007/393856/Asbestos-Comp-A-Guide-2017.pdf" TargetMode="External"/><Relationship Id="rId280" Type="http://schemas.openxmlformats.org/officeDocument/2006/relationships/hyperlink" Target="http://www8.austlii.edu.au/cgi-bin/viewdoc/au/legis/wa/consol_act/wcaima1981445/s57a.html" TargetMode="External"/><Relationship Id="rId140" Type="http://schemas.openxmlformats.org/officeDocument/2006/relationships/hyperlink" Target="https://www.legislation.qld.gov.au/view/html/inforce/current/act-2003-027" TargetMode="External"/><Relationship Id="rId378" Type="http://schemas.openxmlformats.org/officeDocument/2006/relationships/hyperlink" Target="https://www.legislation.qld.gov.au/view/html/inforce/current/act-2003-027" TargetMode="External"/><Relationship Id="rId585" Type="http://schemas.openxmlformats.org/officeDocument/2006/relationships/hyperlink" Target="http://www8.austlii.edu.au/cgi-bin/viewdoc/au/legis/vic/num_act/wiraca201367o2013530/sch1.html" TargetMode="External"/><Relationship Id="rId792" Type="http://schemas.openxmlformats.org/officeDocument/2006/relationships/hyperlink" Target="http://www.austlii.edu.au/au/legis/sa/consol_act/rtwa2014207/s7.html" TargetMode="External"/><Relationship Id="rId2059" Type="http://schemas.openxmlformats.org/officeDocument/2006/relationships/hyperlink" Target="https://www.rtwsa.com/__data/assets/pdf_file/0004/52996/Self-insured-code-of-conduct.pdf" TargetMode="External"/><Relationship Id="rId6" Type="http://schemas.openxmlformats.org/officeDocument/2006/relationships/footnotes" Target="footnotes.xml"/><Relationship Id="rId238" Type="http://schemas.openxmlformats.org/officeDocument/2006/relationships/hyperlink" Target="https://www.legislation.gov.au/Series/C2004A04121" TargetMode="External"/><Relationship Id="rId445" Type="http://schemas.openxmlformats.org/officeDocument/2006/relationships/hyperlink" Target="https://www.legislation.sa.gov.au/LZ/C/A/RETURN%20TO%20WORK%20ACT%202014/CURRENT/2014.16.UN.PDF" TargetMode="External"/><Relationship Id="rId652" Type="http://schemas.openxmlformats.org/officeDocument/2006/relationships/hyperlink" Target="http://www.thelaw.tas.gov.au/tocview/content.w3p;cond=;doc_id=4%2B%2B1988%2BGS4E%40EN%2B20151223090000;histon=;inforequest=;prompt=;rec=;term=" TargetMode="External"/><Relationship Id="rId1075" Type="http://schemas.openxmlformats.org/officeDocument/2006/relationships/hyperlink" Target="http://www8.austlii.edu.au/cgi-bin/viewdoc/au/legis/cth/consol_act/sracca1988512/s19.html" TargetMode="External"/><Relationship Id="rId1282" Type="http://schemas.openxmlformats.org/officeDocument/2006/relationships/hyperlink" Target="http://www8.austlii.edu.au/cgi-bin/viewdoc/au/legis/cth/consol_act/sraca1988368/s17.html" TargetMode="External"/><Relationship Id="rId2126" Type="http://schemas.openxmlformats.org/officeDocument/2006/relationships/hyperlink" Target="http://www.legislation.nsw.gov.au/maintop/view/inforce/act+14+1942+cd+0+N" TargetMode="External"/><Relationship Id="rId305" Type="http://schemas.openxmlformats.org/officeDocument/2006/relationships/hyperlink" Target="http://www.austlii.edu.au/au/legis/sa/consol_act/rtwa2014207/s30.html" TargetMode="External"/><Relationship Id="rId512" Type="http://schemas.openxmlformats.org/officeDocument/2006/relationships/hyperlink" Target="https://www.legislation.qld.gov.au/view/html/inforce/current/act-2003-027" TargetMode="External"/><Relationship Id="rId957" Type="http://schemas.openxmlformats.org/officeDocument/2006/relationships/hyperlink" Target="http://www8.austlii.edu.au/cgi-bin/viewdoc/au/legis/nsw/consol_act/wimawca1998540/s322.html" TargetMode="External"/><Relationship Id="rId1142" Type="http://schemas.openxmlformats.org/officeDocument/2006/relationships/hyperlink" Target="http://www8.austlii.edu.au/cgi-bin/viewdoc/au/legis/wa/consol_act/wcaima1981445/sch1.html" TargetMode="External"/><Relationship Id="rId1587" Type="http://schemas.openxmlformats.org/officeDocument/2006/relationships/hyperlink" Target="http://www.worksafe.nt.gov.au/PDF%20Conversion/rehabilitation-information-for-employers.pdf" TargetMode="External"/><Relationship Id="rId1794" Type="http://schemas.openxmlformats.org/officeDocument/2006/relationships/hyperlink" Target="http://www.austlii.edu.au/cgi-bin/viewdb/au/legis/vic/consol_act/wiraca2013484/s113.html" TargetMode="External"/><Relationship Id="rId86" Type="http://schemas.openxmlformats.org/officeDocument/2006/relationships/hyperlink" Target="http://www.dol.govt.nz/" TargetMode="External"/><Relationship Id="rId817" Type="http://schemas.openxmlformats.org/officeDocument/2006/relationships/hyperlink" Target="http://www8.austlii.edu.au/cgi-bin/viewdoc/au/legis/cth/consol_act/mraca2004397/s29.html" TargetMode="External"/><Relationship Id="rId1002" Type="http://schemas.openxmlformats.org/officeDocument/2006/relationships/hyperlink" Target="http://www8.austlii.edu.au/cgi-bin/viewdoc/au/legis/vic/num_act/wiraca201367o2013530/s164.html" TargetMode="External"/><Relationship Id="rId1447" Type="http://schemas.openxmlformats.org/officeDocument/2006/relationships/hyperlink" Target="http://www.austlii.edu.au/cgi-bin/viewdb/au/legis/cth/consol_act/sraca1992381/s49.html" TargetMode="External"/><Relationship Id="rId1654" Type="http://schemas.openxmlformats.org/officeDocument/2006/relationships/hyperlink" Target="http://www.workcover.tas.gov.au/insurance/injury_management_programs" TargetMode="External"/><Relationship Id="rId1861" Type="http://schemas.openxmlformats.org/officeDocument/2006/relationships/hyperlink" Target="http://www.austlii.edu.au/cgi-bin/viewdb/au/legis/cth/consol_act/mraca2004397/s52.html" TargetMode="External"/><Relationship Id="rId1307" Type="http://schemas.openxmlformats.org/officeDocument/2006/relationships/hyperlink" Target="https://www.legislation.qld.gov.au/view/html/inforce/current/act-2003-027" TargetMode="External"/><Relationship Id="rId1514" Type="http://schemas.openxmlformats.org/officeDocument/2006/relationships/hyperlink" Target="http://www.austlii.edu.au/cgi-bin/viewdb/au/legis/vic/consol_act/wiraca2013484/s120.html" TargetMode="External"/><Relationship Id="rId1721" Type="http://schemas.openxmlformats.org/officeDocument/2006/relationships/hyperlink" Target="http://www.austlii.edu.au/cgi-bin/viewdb/au/legis/vic/consol_act/wiraca2013484/s101.html" TargetMode="External"/><Relationship Id="rId1959" Type="http://schemas.openxmlformats.org/officeDocument/2006/relationships/hyperlink" Target="https://www.worksafe.qld.gov.au/__data/assets/pdf_file/0009/76806/Guidelines-for-standard-for-rehabilitation-second-edition.pdf" TargetMode="External"/><Relationship Id="rId13" Type="http://schemas.openxmlformats.org/officeDocument/2006/relationships/footer" Target="footer1.xml"/><Relationship Id="rId1819" Type="http://schemas.openxmlformats.org/officeDocument/2006/relationships/hyperlink" Target="http://www.austlii.edu.au/au/legis/sa/consol_act/rtwa2014207/s48.html" TargetMode="External"/><Relationship Id="rId2190" Type="http://schemas.openxmlformats.org/officeDocument/2006/relationships/hyperlink" Target="https://www.cmtedd.act.gov.au/__data/assets/pdf_file/0020/1065008/work-comp-suggested-reasonable-premium-rates-2017-18.pdf" TargetMode="External"/><Relationship Id="rId162" Type="http://schemas.openxmlformats.org/officeDocument/2006/relationships/hyperlink" Target="http://www8.austlii.edu.au/cgi-bin/viewdoc/au/legis/cth/consol_act/sraca1992381/s9.html" TargetMode="External"/><Relationship Id="rId467" Type="http://schemas.openxmlformats.org/officeDocument/2006/relationships/hyperlink" Target="http://www8.austlii.edu.au/cgi-bin/viewdoc/au/legis/tas/consol_act/wraca1988400/s49.html" TargetMode="External"/><Relationship Id="rId1097" Type="http://schemas.openxmlformats.org/officeDocument/2006/relationships/hyperlink" Target="http://www8.austlii.edu.au/cgi-bin/viewdoc/au/legis/nsw/consol_act/wca1987255/s59a.html" TargetMode="External"/><Relationship Id="rId2050" Type="http://schemas.openxmlformats.org/officeDocument/2006/relationships/hyperlink" Target="http://www.workcover.tas.gov.au/insurance/self_insurers/guidelines_for_self_insurers/workcover_surveillance_audits" TargetMode="External"/><Relationship Id="rId2148" Type="http://schemas.openxmlformats.org/officeDocument/2006/relationships/hyperlink" Target="https://www.legislation.gov.au/Series/C2004A04525" TargetMode="External"/><Relationship Id="rId674" Type="http://schemas.openxmlformats.org/officeDocument/2006/relationships/hyperlink" Target="http://www8.austlii.edu.au/cgi-bin/viewdoc/au/legis/act/consol_act/wca1951255/s18.html" TargetMode="External"/><Relationship Id="rId881" Type="http://schemas.openxmlformats.org/officeDocument/2006/relationships/hyperlink" Target="http://www8.austlii.edu.au/cgi-bin/viewdoc/au/legis/cth/consol_act/sracca1988512/s28.html" TargetMode="External"/><Relationship Id="rId979" Type="http://schemas.openxmlformats.org/officeDocument/2006/relationships/hyperlink" Target="http://www8.austlii.edu.au/cgi-bin/viewdoc/au/legis/cth/consol_act/sracca1988512/s5a.html" TargetMode="External"/><Relationship Id="rId327" Type="http://schemas.openxmlformats.org/officeDocument/2006/relationships/hyperlink" Target="http://www8.austlii.edu.au/cgi-bin/viewdoc/au/legis/cth/consol_act/sraca1988368/s54.html" TargetMode="External"/><Relationship Id="rId534" Type="http://schemas.openxmlformats.org/officeDocument/2006/relationships/hyperlink" Target="https://www.legislation.qld.gov.au/view/html/inforce/current/act-2003-027" TargetMode="External"/><Relationship Id="rId741" Type="http://schemas.openxmlformats.org/officeDocument/2006/relationships/hyperlink" Target="http://www8.austlii.edu.au/cgi-bin/viewdoc/au/legis/act/consol_act/wca1951255/s36.html" TargetMode="External"/><Relationship Id="rId839" Type="http://schemas.openxmlformats.org/officeDocument/2006/relationships/hyperlink" Target="http://www8.austlii.edu.au/cgi-bin/viewdoc/au/legis/nt/consol_act/rtwa207/s70.html" TargetMode="External"/><Relationship Id="rId1164" Type="http://schemas.openxmlformats.org/officeDocument/2006/relationships/hyperlink" Target="http://www8.austlii.edu.au/cgi-bin/viewdoc/au/legis/nt/consol_act/rtwa207/s73.html" TargetMode="External"/><Relationship Id="rId1371" Type="http://schemas.openxmlformats.org/officeDocument/2006/relationships/hyperlink" Target="http://www.austlii.edu.au/cgi-bin/viewdb/au/legis/cth/consol_act/sraca1992381/s55.html" TargetMode="External"/><Relationship Id="rId1469"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2008" Type="http://schemas.openxmlformats.org/officeDocument/2006/relationships/hyperlink" Target="http://www.austlii.edu.au/cgi-bin/viewdb/au/legis/nt/consol_act/rtwa207/s119.html" TargetMode="External"/><Relationship Id="rId2215" Type="http://schemas.openxmlformats.org/officeDocument/2006/relationships/hyperlink" Target="http://www.austlii.edu.au/cgi-bin/viewdb/au/legis/wa/consol_act/wcaima1981445/s31f.html" TargetMode="External"/><Relationship Id="rId601" Type="http://schemas.openxmlformats.org/officeDocument/2006/relationships/hyperlink" Target="http://www8.austlii.edu.au/cgi-bin/viewdoc/au/legis/cth/consol_act/sracca1988512/s5.html" TargetMode="External"/><Relationship Id="rId1024" Type="http://schemas.openxmlformats.org/officeDocument/2006/relationships/hyperlink" Target="http://www.thelaw.tas.gov.au/tocview/content.w3p;cond=;doc_id=4%2B%2B1988%2BGS69B%40EN%2B20151224080000;histon=;inforequest=;prompt=;rec=;term=" TargetMode="External"/><Relationship Id="rId1231" Type="http://schemas.openxmlformats.org/officeDocument/2006/relationships/hyperlink" Target="http://www8.austlii.edu.au/cgi-bin/viewdoc/au/legis/tas/consol_act/wraca1988400/s138ab.html" TargetMode="External"/><Relationship Id="rId1676" Type="http://schemas.openxmlformats.org/officeDocument/2006/relationships/hyperlink" Target="https://www.worksafe.qld.gov.au/__data/assets/pdf_file/0009/76806/Guidelines-for-standard-for-rehabilitation-second-edition.pdf" TargetMode="External"/><Relationship Id="rId1883" Type="http://schemas.openxmlformats.org/officeDocument/2006/relationships/hyperlink" Target="http://www.austlii.edu.au/cgi-bin/viewdb/au/legis/nt/consol_act/rtwa207/s76.html" TargetMode="External"/><Relationship Id="rId906" Type="http://schemas.openxmlformats.org/officeDocument/2006/relationships/hyperlink" Target="https://www.legislation.qld.gov.au/view/html/inforce/current/act-2003-027" TargetMode="External"/><Relationship Id="rId1329" Type="http://schemas.openxmlformats.org/officeDocument/2006/relationships/hyperlink" Target="http://www.comlaw.gov.au/comlaw/Legislation/Act1.nsf/0/05E450CC650CC645CA25751F0076E7DE?OpenDocument" TargetMode="External"/><Relationship Id="rId1536" Type="http://schemas.openxmlformats.org/officeDocument/2006/relationships/hyperlink" Target="https://www.worksafe.vic.gov.au/resources/suitable-employment-injured-workers-step-step-guide-assessing-suitable-employment" TargetMode="External"/><Relationship Id="rId1743" Type="http://schemas.openxmlformats.org/officeDocument/2006/relationships/hyperlink" Target="http://www.austlii.edu.au/cgi-bin/viewdb/au/legis/cth/consol_act/sraca1988368/s4.html" TargetMode="External"/><Relationship Id="rId1950" Type="http://schemas.openxmlformats.org/officeDocument/2006/relationships/hyperlink" Target="http://www.worksafe.nt.gov.au/WorkersCompensation/RehabilitationProviders/Pages/default.aspx" TargetMode="External"/><Relationship Id="rId35" Type="http://schemas.openxmlformats.org/officeDocument/2006/relationships/hyperlink" Target="mailto:ntworksafe@nt.gov.au" TargetMode="External"/><Relationship Id="rId1603" Type="http://schemas.openxmlformats.org/officeDocument/2006/relationships/hyperlink" Target="http://www.comcare.gov.au/Forms_and_Publications/publications/services/injury_management/injury_management/infographic_back_to_work,_back_to_team" TargetMode="External"/><Relationship Id="rId1810" Type="http://schemas.openxmlformats.org/officeDocument/2006/relationships/hyperlink" Target="http://www.workcover.wa.gov.au/employers/return-to-work/" TargetMode="External"/><Relationship Id="rId184" Type="http://schemas.openxmlformats.org/officeDocument/2006/relationships/hyperlink" Target="https://www.legislation.qld.gov.au/view/html/inforce/current/act-2003-027" TargetMode="External"/><Relationship Id="rId391" Type="http://schemas.openxmlformats.org/officeDocument/2006/relationships/hyperlink" Target="http://www8.austlii.edu.au/cgi-bin/viewdoc/au/legis/vic/num_act/wiraca201367o2013530/s179.html" TargetMode="External"/><Relationship Id="rId1908" Type="http://schemas.openxmlformats.org/officeDocument/2006/relationships/hyperlink" Target="http://www.austlii.edu.au/cgi-bin/viewdb/au/legis/cth/consol_act/sraca1988368/s41.html" TargetMode="External"/><Relationship Id="rId2072" Type="http://schemas.openxmlformats.org/officeDocument/2006/relationships/hyperlink" Target="https://www.legislation.qld.gov.au/view/html/inforce/current/act-2003-027" TargetMode="External"/><Relationship Id="rId251" Type="http://schemas.openxmlformats.org/officeDocument/2006/relationships/hyperlink" Target="http://www8.austlii.edu.au/cgi-bin/viewdoc/au/legis/tas/consol_act/wraca1988400/s70.html" TargetMode="External"/><Relationship Id="rId489" Type="http://schemas.openxmlformats.org/officeDocument/2006/relationships/hyperlink" Target="http://www.workcover.wa.gov.au/content/uploads/2014/09/Guide-for-employers-2017.pdf" TargetMode="External"/><Relationship Id="rId696" Type="http://schemas.openxmlformats.org/officeDocument/2006/relationships/hyperlink" Target="http://www8.austlii.edu.au/cgi-bin/viewdoc/au/legis/wa/consol_act/wcaima1981445/s11.html" TargetMode="External"/><Relationship Id="rId349" Type="http://schemas.openxmlformats.org/officeDocument/2006/relationships/hyperlink" Target="http://www8.austlii.edu.au/cgi-bin/viewdoc/au/legis/nsw/consol_act/wimawca1998540/s267.html" TargetMode="External"/><Relationship Id="rId556" Type="http://schemas.openxmlformats.org/officeDocument/2006/relationships/hyperlink" Target="http://www8.austlii.edu.au/cgi-bin/viewdoc/au/legis/vic/num_act/wiraca201367o2013530/s168.html" TargetMode="External"/><Relationship Id="rId763" Type="http://schemas.openxmlformats.org/officeDocument/2006/relationships/hyperlink" Target="https://www.legislation.qld.gov.au/view/html/inforce/current/act-2003-027" TargetMode="External"/><Relationship Id="rId1186" Type="http://schemas.openxmlformats.org/officeDocument/2006/relationships/hyperlink" Target="http://www8.austlii.edu.au/cgi-bin/viewdoc/au/legis/cth/consol_act/sraca1992381/s28.html" TargetMode="External"/><Relationship Id="rId1393" Type="http://schemas.openxmlformats.org/officeDocument/2006/relationships/hyperlink" Target="http://www.austlii.edu.au/cgi-bin/viewdb/au/legis/vic/consol_act/wiraca2013484/s175.html" TargetMode="External"/><Relationship Id="rId2237" Type="http://schemas.openxmlformats.org/officeDocument/2006/relationships/hyperlink" Target="http://www.austlii.edu.au/cgi-bin/viewdb/au/legis/sa/consol_act/rtwa2014207/sch2.html" TargetMode="External"/><Relationship Id="rId111" Type="http://schemas.openxmlformats.org/officeDocument/2006/relationships/hyperlink" Target="http://workerstatus.workcover.nsw.gov.au/" TargetMode="External"/><Relationship Id="rId209" Type="http://schemas.openxmlformats.org/officeDocument/2006/relationships/hyperlink" Target="http://www.comlaw.gov.au/Series/C2004A03668" TargetMode="External"/><Relationship Id="rId416" Type="http://schemas.openxmlformats.org/officeDocument/2006/relationships/hyperlink" Target="http://www.thelaw.tas.gov.au/tocview/content.w3p;cond=;doc_id=4%2B%2B1988%2BGS77AB%40EN%2B20151223090000;histon=;inforequest=;prompt=;rec=;term=" TargetMode="External"/><Relationship Id="rId970" Type="http://schemas.openxmlformats.org/officeDocument/2006/relationships/hyperlink" Target="http://www8.austlii.edu.au/cgi-bin/viewdoc/au/legis/nt/consol_act/rtwa207/s3.html" TargetMode="External"/><Relationship Id="rId1046" Type="http://schemas.openxmlformats.org/officeDocument/2006/relationships/hyperlink" Target="http://www8.austlii.edu.au/cgi-bin/viewdoc/au/legis/act/consol_act/wca1951255/s42.html" TargetMode="External"/><Relationship Id="rId1253" Type="http://schemas.openxmlformats.org/officeDocument/2006/relationships/hyperlink" Target="http://www8.austlii.edu.au/cgi-bin/viewdoc/au/legis/vic/num_act/wiraca201367o2013530/s224.html" TargetMode="External"/><Relationship Id="rId1698" Type="http://schemas.openxmlformats.org/officeDocument/2006/relationships/hyperlink" Target="http://www.austlii.edu.au/cgi-bin/viewdb/au/legis/cth/consol_act/sraca1988368/s37.html" TargetMode="External"/><Relationship Id="rId623" Type="http://schemas.openxmlformats.org/officeDocument/2006/relationships/hyperlink" Target="http://www8.austlii.edu.au/cgi-bin/viewdoc/au/legis/wa/consol_act/wcaima1981445/s5.html" TargetMode="External"/><Relationship Id="rId830" Type="http://schemas.openxmlformats.org/officeDocument/2006/relationships/hyperlink" Target="https://www.legislation.qld.gov.au/view/html/inforce/current/act-2003-027" TargetMode="External"/><Relationship Id="rId928" Type="http://schemas.openxmlformats.org/officeDocument/2006/relationships/hyperlink" Target="http://www8.austlii.edu.au/cgi-bin/viewdoc/au/legis/cth/consol_act/sraca1988368/s6.html" TargetMode="External"/><Relationship Id="rId1460" Type="http://schemas.openxmlformats.org/officeDocument/2006/relationships/hyperlink" Target="http://www.austlii.edu.au/cgi-bin/viewdb/au/legis/cth/consol_act/sracca1988512/s57.html" TargetMode="External"/><Relationship Id="rId1558" Type="http://schemas.openxmlformats.org/officeDocument/2006/relationships/hyperlink" Target="http://www.austlii.edu.au/cgi-bin/viewdb/au/legis/sa/consol_act/rtwa2014207/s3.html" TargetMode="External"/><Relationship Id="rId1765" Type="http://schemas.openxmlformats.org/officeDocument/2006/relationships/hyperlink" Target="https://www.legislation.qld.gov.au/view/html/inforce/current/act-2003-027" TargetMode="External"/><Relationship Id="rId57" Type="http://schemas.openxmlformats.org/officeDocument/2006/relationships/hyperlink" Target="https://www.worksafe.vic.gov.au/" TargetMode="External"/><Relationship Id="rId1113" Type="http://schemas.openxmlformats.org/officeDocument/2006/relationships/hyperlink" Target="https://www.legislation.qld.gov.au/view/html/inforce/current/act-2003-027" TargetMode="External"/><Relationship Id="rId1320" Type="http://schemas.openxmlformats.org/officeDocument/2006/relationships/hyperlink" Target="http://www.thelaw.tas.gov.au/tocview/content.w3p;cond=;doc_id=4%2B%2B1988%2BGS65%40EN%2B20151224080000;histon=;inforequest=;prompt=;rec=;term=" TargetMode="External"/><Relationship Id="rId1418" Type="http://schemas.openxmlformats.org/officeDocument/2006/relationships/hyperlink" Target="http://www.austlii.edu.au/cgi-bin/viewdb/au/legis/sa/consol_act/rtwa2014207/s193.html" TargetMode="External"/><Relationship Id="rId1972" Type="http://schemas.openxmlformats.org/officeDocument/2006/relationships/hyperlink" Target="http://www.comcare.gov.au/recovery/rehabilitation/rehabilitation_providers/Directory_of_ARP" TargetMode="External"/><Relationship Id="rId1625" Type="http://schemas.openxmlformats.org/officeDocument/2006/relationships/hyperlink" Target="http://classic.austlii.edu.au/au/legis/nsw/consol_reg/wcr2016346/s17.html" TargetMode="External"/><Relationship Id="rId1832" Type="http://schemas.openxmlformats.org/officeDocument/2006/relationships/hyperlink" Target="http://www.thelaw.tas.gov.au/tocview/content.w3p;cond=;doc_id=4%2B%2B1988%2BGS143N%40EN%2B20151224140000;histon=;inforequest=;prompt=;rec=;term=" TargetMode="External"/><Relationship Id="rId2094" Type="http://schemas.openxmlformats.org/officeDocument/2006/relationships/hyperlink" Target="http://www.workcover.tas.gov.au/" TargetMode="External"/><Relationship Id="rId273" Type="http://schemas.openxmlformats.org/officeDocument/2006/relationships/hyperlink" Target="http://www8.austlii.edu.au/cgi-bin/viewdoc/au/legis/nsw/consol_act/wimawca1998540/s44.html" TargetMode="External"/><Relationship Id="rId480" Type="http://schemas.openxmlformats.org/officeDocument/2006/relationships/hyperlink" Target="http://www8.austlii.edu.au/cgi-bin/viewdoc/au/legis/cth/consol_act/sraca1992381/s88.html" TargetMode="External"/><Relationship Id="rId2161" Type="http://schemas.openxmlformats.org/officeDocument/2006/relationships/hyperlink" Target="http://www.austlii.edu.au/cgi-bin/viewdb/au/legis/tas/num_act/wdrfa195445o1954439/" TargetMode="External"/><Relationship Id="rId133" Type="http://schemas.openxmlformats.org/officeDocument/2006/relationships/hyperlink" Target="http://www8.austlii.edu.au/cgi-bin/viewdoc/au/legis/nsw/consol_act/wca1987255/s11.html" TargetMode="External"/><Relationship Id="rId340" Type="http://schemas.openxmlformats.org/officeDocument/2006/relationships/hyperlink" Target="http://www8.austlii.edu.au/cgi-bin/viewdoc/au/legis/nsw/consol_act/wimawca1998540/s264.html" TargetMode="External"/><Relationship Id="rId578" Type="http://schemas.openxmlformats.org/officeDocument/2006/relationships/hyperlink" Target="http://www8.austlii.edu.au/cgi-bin/viewdoc/au/legis/cth/consol_act/sraca1988368/s5.html" TargetMode="External"/><Relationship Id="rId785" Type="http://schemas.openxmlformats.org/officeDocument/2006/relationships/hyperlink" Target="http://www8.austlii.edu.au/cgi-bin/viewdoc/au/legis/vic/num_act/wiraca201367o2013530/s40.html" TargetMode="External"/><Relationship Id="rId992" Type="http://schemas.openxmlformats.org/officeDocument/2006/relationships/hyperlink" Target="http://www8.austlii.edu.au/cgi-bin/viewdoc/au/legis/nsw/consol_act/wca1987255/s38.html" TargetMode="External"/><Relationship Id="rId2021" Type="http://schemas.openxmlformats.org/officeDocument/2006/relationships/hyperlink" Target="http://www.austlii.edu.au/cgi-bin/viewdb/au/legis/qld/consol_act/wcara2003400/s71.html" TargetMode="External"/><Relationship Id="rId200" Type="http://schemas.openxmlformats.org/officeDocument/2006/relationships/hyperlink" Target="http://www8.austlii.edu.au/cgi-bin/viewdoc/au/legis/nt/consol_act/rtwa207/s4.html" TargetMode="External"/><Relationship Id="rId438" Type="http://schemas.openxmlformats.org/officeDocument/2006/relationships/hyperlink" Target="https://www.legislation.qld.gov.au/view/html/inforce/current/act-2003-027" TargetMode="External"/><Relationship Id="rId645" Type="http://schemas.openxmlformats.org/officeDocument/2006/relationships/hyperlink" Target="http://www.thelaw.tas.gov.au/tocview/content.w3p;cond=;doc_id=4%2B%2B1988%2BGS25%40EN%2B20151223090000;histon=;inforequest=;prompt=;rec=;term=" TargetMode="External"/><Relationship Id="rId852" Type="http://schemas.openxmlformats.org/officeDocument/2006/relationships/hyperlink" Target="http://www8.austlii.edu.au/cgi-bin/viewdoc/au/legis/cth/consol_act/mraca2004397/s73.html" TargetMode="External"/><Relationship Id="rId1068" Type="http://schemas.openxmlformats.org/officeDocument/2006/relationships/hyperlink" Target="http://www8.austlii.edu.au/cgi-bin/viewdoc/au/legis/cth/consol_act/sraca1992381/s44.html" TargetMode="External"/><Relationship Id="rId1275" Type="http://schemas.openxmlformats.org/officeDocument/2006/relationships/hyperlink" Target="http://www8.austlii.edu.au/cgi-bin/viewdoc/au/legis/nt/consol_act/rtwa207/s62.html" TargetMode="External"/><Relationship Id="rId1482" Type="http://schemas.openxmlformats.org/officeDocument/2006/relationships/hyperlink" Target="http://www.austlii.edu.au/cgi-bin/viewdb/au/legis/cth/consol_act/sraca1988368/s30.html" TargetMode="External"/><Relationship Id="rId2119" Type="http://schemas.openxmlformats.org/officeDocument/2006/relationships/hyperlink" Target="http://www.austlii.edu.au/cgi-bin/viewdb/au/legis/sa/consol_reg/rtwr2015316/s62.html" TargetMode="External"/><Relationship Id="rId505" Type="http://schemas.openxmlformats.org/officeDocument/2006/relationships/hyperlink" Target="http://www8.austlii.edu.au/cgi-bin/viewdoc/au/legis/nsw/consol_act/wca1987255/s140.html" TargetMode="External"/><Relationship Id="rId712" Type="http://schemas.openxmlformats.org/officeDocument/2006/relationships/hyperlink" Target="http://www.sro.tas.gov.au/domino/dtf/dtf.nsf/v-trmf/home" TargetMode="External"/><Relationship Id="rId1135" Type="http://schemas.openxmlformats.org/officeDocument/2006/relationships/hyperlink" Target="http://www8.austlii.edu.au/cgi-bin/viewdoc/au/legis/qld/consol_act/wcara2003400/s232k.html" TargetMode="External"/><Relationship Id="rId1342" Type="http://schemas.openxmlformats.org/officeDocument/2006/relationships/hyperlink" Target="http://www.austlii.edu.au/cgi-bin/viewdb/au/legis/cth/consol_act/mraca2004397/s5.html" TargetMode="External"/><Relationship Id="rId1787" Type="http://schemas.openxmlformats.org/officeDocument/2006/relationships/hyperlink" Target="http://www.austlii.edu.au/cgi-bin/viewdb/au/legis/nsw/consol_act/wimawca1998540/s48.html" TargetMode="External"/><Relationship Id="rId1994" Type="http://schemas.openxmlformats.org/officeDocument/2006/relationships/hyperlink" Target="https://www.legislation.qld.gov.au/view/html/inforce/current/act-2003-027" TargetMode="External"/><Relationship Id="rId79" Type="http://schemas.openxmlformats.org/officeDocument/2006/relationships/hyperlink" Target="http://www.legislation.act.gov.au/a/1951-2/default.asp" TargetMode="External"/><Relationship Id="rId1202" Type="http://schemas.openxmlformats.org/officeDocument/2006/relationships/hyperlink" Target="http://www8.austlii.edu.au/cgi-bin/viewdoc/au/legis/cth/consol_act/sracca1988512/s39.html" TargetMode="External"/><Relationship Id="rId1647" Type="http://schemas.openxmlformats.org/officeDocument/2006/relationships/hyperlink" Target="http://www.austlii.edu.au/cgi-bin/viewdb/au/legis/sa/consol_act/rtwa2014207/s25.html" TargetMode="External"/><Relationship Id="rId1854" Type="http://schemas.openxmlformats.org/officeDocument/2006/relationships/hyperlink" Target="http://www.austlii.edu.au/cgi-bin/viewdb/au/legis/cth/consol_act/sraca1988368/s36.html" TargetMode="External"/><Relationship Id="rId1507" Type="http://schemas.openxmlformats.org/officeDocument/2006/relationships/hyperlink" Target="http://www.austlii.edu.au/cgi-bin/viewdb/au/legis/vic/consol_act/wiraca2013484/s113.html" TargetMode="External"/><Relationship Id="rId1714" Type="http://schemas.openxmlformats.org/officeDocument/2006/relationships/hyperlink" Target="http://www.austlii.edu.au/cgi-bin/viewdb/au/legis/nsw/consol_act/wca1987255/s32a.html" TargetMode="External"/><Relationship Id="rId295" Type="http://schemas.openxmlformats.org/officeDocument/2006/relationships/hyperlink" Target="http://www8.austlii.edu.au/cgi-bin/viewdoc/au/legis/nsw/consol_act/wimawca1998540/s261.html" TargetMode="External"/><Relationship Id="rId1921" Type="http://schemas.openxmlformats.org/officeDocument/2006/relationships/hyperlink" Target="https://www.legislation.qld.gov.au/view/html/inforce/current/sl-2014-0189" TargetMode="External"/><Relationship Id="rId2183" Type="http://schemas.openxmlformats.org/officeDocument/2006/relationships/hyperlink" Target="http://www.austlii.edu.au/cgi-bin/viewdb/au/legis/sa/consol_act/rtwa2014207/sch9.html" TargetMode="External"/><Relationship Id="rId155" Type="http://schemas.openxmlformats.org/officeDocument/2006/relationships/hyperlink" Target="http://www8.austlii.edu.au/cgi-bin/viewdoc/au/legis/act/consol_act/wca1951255/s36.html" TargetMode="External"/><Relationship Id="rId362" Type="http://schemas.openxmlformats.org/officeDocument/2006/relationships/hyperlink" Target="http://www8.austlii.edu.au/cgi-bin/viewdoc/au/legis/wa/consol_act/wcaima1981445/s57a.html" TargetMode="External"/><Relationship Id="rId1297" Type="http://schemas.openxmlformats.org/officeDocument/2006/relationships/hyperlink" Target="http://www8.austlii.edu.au/cgi-bin/viewdoc/au/legis/cth/consol_act/mraca2004397/s243.html" TargetMode="External"/><Relationship Id="rId2043" Type="http://schemas.openxmlformats.org/officeDocument/2006/relationships/hyperlink" Target="https://www.legislation.qld.gov.au/view/html/inforce/current/act-2003-027" TargetMode="External"/><Relationship Id="rId2250" Type="http://schemas.openxmlformats.org/officeDocument/2006/relationships/theme" Target="theme/theme1.xml"/><Relationship Id="rId222" Type="http://schemas.openxmlformats.org/officeDocument/2006/relationships/hyperlink" Target="http://www.comlaw.gov.au/Series/C2004A03668" TargetMode="External"/><Relationship Id="rId667" Type="http://schemas.openxmlformats.org/officeDocument/2006/relationships/hyperlink" Target="http://www8.austlii.edu.au/cgi-bin/viewdoc/au/legis/act/consol_act/wca1951255/s13.html" TargetMode="External"/><Relationship Id="rId874" Type="http://schemas.openxmlformats.org/officeDocument/2006/relationships/hyperlink" Target="http://www8.austlii.edu.au/cgi-bin/viewdoc/au/legis/cth/consol_act/sraca1992381/s3.html" TargetMode="External"/><Relationship Id="rId2110" Type="http://schemas.openxmlformats.org/officeDocument/2006/relationships/hyperlink" Target="https://www.legislation.qld.gov.au/view/html/inforce/current/act-2003-027" TargetMode="External"/><Relationship Id="rId527" Type="http://schemas.openxmlformats.org/officeDocument/2006/relationships/hyperlink" Target="http://www8.austlii.edu.au/cgi-bin/viewdoc/au/legis/act/consol_act/wca1951255/s166a.html" TargetMode="External"/><Relationship Id="rId734" Type="http://schemas.openxmlformats.org/officeDocument/2006/relationships/hyperlink" Target="http://www8.austlii.edu.au/cgi-bin/viewdoc/au/legis/nsw/consol_act/wca1987255/sch6.html" TargetMode="External"/><Relationship Id="rId941" Type="http://schemas.openxmlformats.org/officeDocument/2006/relationships/hyperlink" Target="http://www8.austlii.edu.au/cgi-bin/viewdoc/au/legis/cth/consol_act/sracca1988512/s23.html" TargetMode="External"/><Relationship Id="rId1157" Type="http://schemas.openxmlformats.org/officeDocument/2006/relationships/hyperlink" Target="http://www.thelaw.tas.gov.au/tocview/content.w3p;cond=;doc_id=4%2B%2B1988%2BGS75%40EN%2B20151224080000;histon=;inforequest=;prompt=;rec=;term=" TargetMode="External"/><Relationship Id="rId1364" Type="http://schemas.openxmlformats.org/officeDocument/2006/relationships/hyperlink" Target="http://www.thelaw.tas.gov.au/tocview/content.w3p;cond=;doc_id=4%2B%2B1988%2BGS71%40EN%2B20151224080000;histon=;inforequest=;prompt=;rec=;term=" TargetMode="External"/><Relationship Id="rId1571" Type="http://schemas.openxmlformats.org/officeDocument/2006/relationships/hyperlink" Target="https://www.rtwsa.com/insurance/employer-services/return-to-work-coordinators" TargetMode="External"/><Relationship Id="rId2208" Type="http://schemas.openxmlformats.org/officeDocument/2006/relationships/hyperlink" Target="http://classic.austlii.edu.au/au/legis/nsw/consol_reg/wcr2016346/sch1.html" TargetMode="External"/><Relationship Id="rId70" Type="http://schemas.openxmlformats.org/officeDocument/2006/relationships/hyperlink" Target="https://www.legislation.sa.gov.au/LZ/C/A/RETURN%20TO%20WORK%20ACT%202014/CURRENT/2014.16.UN.PDF" TargetMode="External"/><Relationship Id="rId801" Type="http://schemas.openxmlformats.org/officeDocument/2006/relationships/hyperlink" Target="http://notes.nt.gov.au/dcm/legislat/legislat.nsf/d989974724db65b1482561cf0017cbd2/1896749cd435e71869257dc10014eca1?OpenDocument" TargetMode="External"/><Relationship Id="rId1017" Type="http://schemas.openxmlformats.org/officeDocument/2006/relationships/hyperlink" Target="http://www8.austlii.edu.au/cgi-bin/viewdoc/au/legis/sa/consol_act/rtwa2014207/s5.html" TargetMode="External"/><Relationship Id="rId1224" Type="http://schemas.openxmlformats.org/officeDocument/2006/relationships/hyperlink" Target="https://www.workcover.wa.gov.au/resources/rates-fees-payments/" TargetMode="External"/><Relationship Id="rId1431" Type="http://schemas.openxmlformats.org/officeDocument/2006/relationships/hyperlink" Target="http://www.austlii.edu.au/cgi-bin/viewdb/au/legis/nt/consol_act/rtwa207/s91.html" TargetMode="External"/><Relationship Id="rId1669" Type="http://schemas.openxmlformats.org/officeDocument/2006/relationships/hyperlink" Target="http://www.austlii.edu.au/cgi-bin/viewdb/au/legis/vic/consol_act/wiraca2013484/s104.html" TargetMode="External"/><Relationship Id="rId1876" Type="http://schemas.openxmlformats.org/officeDocument/2006/relationships/hyperlink" Target="http://www.sira.nsw.gov.au/workers-compensation/help-with-getting-back-to-work/assistance-for-micro-employers" TargetMode="External"/><Relationship Id="rId1529" Type="http://schemas.openxmlformats.org/officeDocument/2006/relationships/hyperlink" Target="http://www.austlii.edu.au/cgi-bin/viewdb/au/legis/vic/consol_act/wiraca2013484/s610.html" TargetMode="External"/><Relationship Id="rId1736" Type="http://schemas.openxmlformats.org/officeDocument/2006/relationships/hyperlink" Target="http://www.austlii.edu.au/cgi-bin/viewdb/au/legis/nt/consol_act/rtwa207/s75a.html" TargetMode="External"/><Relationship Id="rId1943" Type="http://schemas.openxmlformats.org/officeDocument/2006/relationships/hyperlink" Target="http://www.worksafe.vic.gov.au/health-professionals/information-for-occupational-rehabilitation-providers" TargetMode="External"/><Relationship Id="rId28" Type="http://schemas.openxmlformats.org/officeDocument/2006/relationships/hyperlink" Target="mailto:kevin.gillingham@workcover.wa.gov.au" TargetMode="External"/><Relationship Id="rId1803" Type="http://schemas.openxmlformats.org/officeDocument/2006/relationships/hyperlink" Target="https://www.legislation.qld.gov.au/view/html/inforce/current/act-2003-027" TargetMode="External"/><Relationship Id="rId177" Type="http://schemas.openxmlformats.org/officeDocument/2006/relationships/hyperlink" Target="http://www.legislation.nsw.gov.au/" TargetMode="External"/><Relationship Id="rId384" Type="http://schemas.openxmlformats.org/officeDocument/2006/relationships/hyperlink" Target="http://www8.austlii.edu.au/cgi-bin/viewdoc/au/legis/act/consol_act/wca1951255/s38.html" TargetMode="External"/><Relationship Id="rId591" Type="http://schemas.openxmlformats.org/officeDocument/2006/relationships/hyperlink" Target="http://www.austlii.edu.au/au/legis/sa/consol_act/rtwa2014207/s4.html" TargetMode="External"/><Relationship Id="rId2065" Type="http://schemas.openxmlformats.org/officeDocument/2006/relationships/hyperlink" Target="http://www.austlii.edu.au/cgi-bin/viewdb/au/legis/vic/consol_act/wiraca2013484/s376.html" TargetMode="External"/><Relationship Id="rId244" Type="http://schemas.openxmlformats.org/officeDocument/2006/relationships/hyperlink" Target="http://www.legislation.act.gov.au/a/1951-2/current/pdf/1951-2.pdf" TargetMode="External"/><Relationship Id="rId689" Type="http://schemas.openxmlformats.org/officeDocument/2006/relationships/hyperlink" Target="http://www.thelaw.tas.gov.au/tocview/content.w3p;cond=;doc_id=4%2B%2B1988%2BGS6A%40EN%2B20151223090000;histon=;inforequest=;prompt=;rec=;term=" TargetMode="External"/><Relationship Id="rId896" Type="http://schemas.openxmlformats.org/officeDocument/2006/relationships/hyperlink" Target="http://www8.austlii.edu.au/cgi-bin/viewdoc/au/legis/vic/num_act/wiraca201367o2013530/s40.html" TargetMode="External"/><Relationship Id="rId1081" Type="http://schemas.openxmlformats.org/officeDocument/2006/relationships/hyperlink" Target="http://www8.austlii.edu.au/cgi-bin/viewdoc/au/legis/cth/consol_act/mraca2004397/s138.html'" TargetMode="External"/><Relationship Id="rId451" Type="http://schemas.openxmlformats.org/officeDocument/2006/relationships/hyperlink" Target="https://www.legislation.sa.gov.au/LZ/C/A/RETURN%20TO%20WORK%20ACT%202014/CURRENT/2014.16.UN.PDFhttps:/www.legislation.sa.gov.au/LZ/C/A/RETURN%20TO%20WORK%20ACT%202014/CURRENT/2014.16.UN.PDF" TargetMode="External"/><Relationship Id="rId549" Type="http://schemas.openxmlformats.org/officeDocument/2006/relationships/hyperlink" Target="http://www8.austlii.edu.au/cgi-bin/viewdoc/au/legis/wa/consol_act/wcaima1981445/s80.html" TargetMode="External"/><Relationship Id="rId756" Type="http://schemas.openxmlformats.org/officeDocument/2006/relationships/hyperlink" Target="http://www8.austlii.edu.au/cgi-bin/viewdoc/au/legis/cth/consol_act/sraca1988368/s6.html" TargetMode="External"/><Relationship Id="rId1179" Type="http://schemas.openxmlformats.org/officeDocument/2006/relationships/hyperlink" Target="http://www8.austlii.edu.au/cgi-bin/viewdoc/au/legis/cth/consol_act/sraca1988368/s16.html" TargetMode="External"/><Relationship Id="rId1386" Type="http://schemas.openxmlformats.org/officeDocument/2006/relationships/hyperlink" Target="http://www.austlii.edu.au/cgi-bin/viewdb/au/legis/nsw/consol_act/wimawca1998540/s119.html" TargetMode="External"/><Relationship Id="rId1593" Type="http://schemas.openxmlformats.org/officeDocument/2006/relationships/hyperlink" Target="http://www.austlii.edu.au/cgi-bin/viewdb/au/legis/cth/consol_act/sraca1988368/s36.html" TargetMode="External"/><Relationship Id="rId2132" Type="http://schemas.openxmlformats.org/officeDocument/2006/relationships/hyperlink" Target="http://www.legislation.vic.gov.au/" TargetMode="External"/><Relationship Id="rId104" Type="http://schemas.openxmlformats.org/officeDocument/2006/relationships/hyperlink" Target="http://www8.austlii.edu.au/cgi-bin/viewdoc/au/legis/act/consol_act/wca1951255/s8.html" TargetMode="External"/><Relationship Id="rId311" Type="http://schemas.openxmlformats.org/officeDocument/2006/relationships/hyperlink" Target="http://www8.austlii.edu.au/cgi-bin/viewdoc/au/legis/act/consol_act/wca1951255/s120.html" TargetMode="External"/><Relationship Id="rId409" Type="http://schemas.openxmlformats.org/officeDocument/2006/relationships/hyperlink" Target="https://www.legislation.qld.gov.au/view/html/inforce/current/act-2003-027" TargetMode="External"/><Relationship Id="rId963" Type="http://schemas.openxmlformats.org/officeDocument/2006/relationships/hyperlink" Target="https://www.legislation.qld.gov.au/view/html/inforce/current/act-2003-027" TargetMode="External"/><Relationship Id="rId1039" Type="http://schemas.openxmlformats.org/officeDocument/2006/relationships/hyperlink" Target="http://www8.austlii.edu.au/cgi-bin/viewdoc/au/legis/act/consol_act/wca1951255/s39.html" TargetMode="External"/><Relationship Id="rId1246" Type="http://schemas.openxmlformats.org/officeDocument/2006/relationships/hyperlink" Target="http://www8.austlii.edu.au/cgi-bin/viewdoc/au/legis/nsw/consol_act/wca1987255/s25.html" TargetMode="External"/><Relationship Id="rId1898" Type="http://schemas.openxmlformats.org/officeDocument/2006/relationships/hyperlink" Target="http://www.austlii.edu.au/cgi-bin/viewdb/au/legis/wa/consol_act/wcaima1981445/s155d.html" TargetMode="External"/><Relationship Id="rId92" Type="http://schemas.openxmlformats.org/officeDocument/2006/relationships/hyperlink" Target="http://www.austlii.edu.au/cgi-bin/viewdb/au/legis/vic/consol_act/wiraca2013484/sch1.html" TargetMode="External"/><Relationship Id="rId616" Type="http://schemas.openxmlformats.org/officeDocument/2006/relationships/hyperlink" Target="http://www8.austlii.edu.au/cgi-bin/viewdoc/au/legis/vic/num_act/wiraca201367o2013530/sch1.html" TargetMode="External"/><Relationship Id="rId823" Type="http://schemas.openxmlformats.org/officeDocument/2006/relationships/hyperlink" Target="http://www8.austlii.edu.au/cgi-bin/viewdoc/au/legis/cth/consol_act/mraca2004397/s27.html" TargetMode="External"/><Relationship Id="rId1453" Type="http://schemas.openxmlformats.org/officeDocument/2006/relationships/hyperlink" Target="http://www.austlii.edu.au/cgi-bin/viewdb/au/legis/cth/consol_act/mraca2004397/s52.html" TargetMode="External"/><Relationship Id="rId1660" Type="http://schemas.openxmlformats.org/officeDocument/2006/relationships/hyperlink" Target="http://www.austlii.edu.au/cgi-bin/viewdb/au/legis/act/consol_act/wca1951255/s109.html" TargetMode="External"/><Relationship Id="rId1758" Type="http://schemas.openxmlformats.org/officeDocument/2006/relationships/hyperlink" Target="http://classic.austlii.edu.au/au/legis/nsw/consol_reg/wcr2016346/s40.html" TargetMode="External"/><Relationship Id="rId1106" Type="http://schemas.openxmlformats.org/officeDocument/2006/relationships/hyperlink" Target="http://www8.austlii.edu.au/cgi-bin/viewdoc/au/legis/vic/num_act/wiraca201367o2013530/s224.html" TargetMode="External"/><Relationship Id="rId1313" Type="http://schemas.openxmlformats.org/officeDocument/2006/relationships/hyperlink" Target="http://www.austlii.edu.au/cgi-bin/viewdb/au/legis/wa/consol_act/wcaima1981445/s5.html" TargetMode="External"/><Relationship Id="rId1520" Type="http://schemas.openxmlformats.org/officeDocument/2006/relationships/hyperlink" Target="http://www.austlii.edu.au/cgi-bin/viewdb/au/legis/vic/consol_act/wiraca2013484/s126.html" TargetMode="External"/><Relationship Id="rId1965" Type="http://schemas.openxmlformats.org/officeDocument/2006/relationships/hyperlink" Target="http://www.austlii.edu.au/cgi-bin/viewdb/au/legis/tas/consol_act/wraca1988400/s75.html" TargetMode="External"/><Relationship Id="rId1618" Type="http://schemas.openxmlformats.org/officeDocument/2006/relationships/hyperlink" Target="http://www.legislation.govt.nz/act/public/2001/0049/latest/DLM99494.html" TargetMode="External"/><Relationship Id="rId1825" Type="http://schemas.openxmlformats.org/officeDocument/2006/relationships/hyperlink" Target="http://www.thelaw.tas.gov.au/tocview/content.w3p;cond=;doc_id=4%2B%2B1988%2BGS143E%40EN%2B20151224140000;histon=;inforequest=;prompt=;rec=;term=" TargetMode="External"/><Relationship Id="rId199" Type="http://schemas.openxmlformats.org/officeDocument/2006/relationships/hyperlink" Target="http://www8.austlii.edu.au/cgi-bin/viewdoc/au/legis/nt/consol_act/rtwa207/s4.html" TargetMode="External"/><Relationship Id="rId2087" Type="http://schemas.openxmlformats.org/officeDocument/2006/relationships/hyperlink" Target="http://www.austlii.edu.au/cgi-bin/viewdb/au/legis/cth/consol_act/sraca1988368/s73a.html" TargetMode="External"/><Relationship Id="rId266" Type="http://schemas.openxmlformats.org/officeDocument/2006/relationships/hyperlink" Target="http://www.austlii.edu.au/au/legis/sa/consol_act/rtwa2014207/s33.html" TargetMode="External"/><Relationship Id="rId473" Type="http://schemas.openxmlformats.org/officeDocument/2006/relationships/hyperlink" Target="http://www8.austlii.edu.au/cgi-bin/viewdoc/au/legis/nt/consol_act/rtwa207/s116.html" TargetMode="External"/><Relationship Id="rId680" Type="http://schemas.openxmlformats.org/officeDocument/2006/relationships/hyperlink" Target="http://www8.austlii.edu.au/cgi-bin/viewdoc/au/legis/cth/consol_act/sraca1988368/s5.html" TargetMode="External"/><Relationship Id="rId2154" Type="http://schemas.openxmlformats.org/officeDocument/2006/relationships/hyperlink" Target="http://www.legislation.vic.gov.au/domino/Web_Notes/LDMS/LTObject_Store/ltobjst9.nsf/DDE300B846EED9C7CA257616000A3571/DCD2583A0A17AE1BCA258088007C633F/$FILE/85-10191aa206%20authorised.pdf" TargetMode="External"/><Relationship Id="rId30" Type="http://schemas.openxmlformats.org/officeDocument/2006/relationships/hyperlink" Target="mailto:sally.burridge@rtwsa.com" TargetMode="External"/><Relationship Id="rId126" Type="http://schemas.openxmlformats.org/officeDocument/2006/relationships/hyperlink" Target="http://www.comcare.gov.au/claims_and_benefits/can_i_claim" TargetMode="External"/><Relationship Id="rId333" Type="http://schemas.openxmlformats.org/officeDocument/2006/relationships/hyperlink" Target="http://www8.austlii.edu.au/cgi-bin/viewdoc/au/legis/vic/num_act/wiraca201367o2013530/s73.html" TargetMode="External"/><Relationship Id="rId540" Type="http://schemas.openxmlformats.org/officeDocument/2006/relationships/hyperlink" Target="http://www8.austlii.edu.au/cgi-bin/viewdoc/au/legis/nt/consol_act/rtwa207/s130.html" TargetMode="External"/><Relationship Id="rId778" Type="http://schemas.openxmlformats.org/officeDocument/2006/relationships/hyperlink" Target="http://www8.austlii.edu.au/cgi-bin/viewdoc/au/legis/cth/consol_act/mraca2004397/s27.html" TargetMode="External"/><Relationship Id="rId985" Type="http://schemas.openxmlformats.org/officeDocument/2006/relationships/hyperlink" Target="http://www.legislation.govt.nz/act/public/2001/0049/latest/DLM100910.html" TargetMode="External"/><Relationship Id="rId1170" Type="http://schemas.openxmlformats.org/officeDocument/2006/relationships/hyperlink" Target="http://www8.austlii.edu.au/cgi-bin/viewdoc/au/legis/act/consol_act/wca1951255/s70.html" TargetMode="External"/><Relationship Id="rId1629" Type="http://schemas.openxmlformats.org/officeDocument/2006/relationships/hyperlink" Target="http://www.austlii.edu.au/cgi-bin/viewdb/au/legis/vic/consol_act/wiraca2013484/" TargetMode="External"/><Relationship Id="rId1836" Type="http://schemas.openxmlformats.org/officeDocument/2006/relationships/hyperlink" Target="http://www.austlii.edu.au/cgi-bin/viewdb/au/legis/nt/consol_act/rtwa207/s75b.html" TargetMode="External"/><Relationship Id="rId2014" Type="http://schemas.openxmlformats.org/officeDocument/2006/relationships/hyperlink" Target="http://www.austlii.edu.au/cgi-bin/viewdb/au/legis/vic/consol_act/wiraca2013484/s388.html" TargetMode="External"/><Relationship Id="rId2221" Type="http://schemas.openxmlformats.org/officeDocument/2006/relationships/hyperlink" Target="http://www5.austlii.edu.au/au/legis/nsw/consol_act/wcda1942388/sch1.html" TargetMode="External"/><Relationship Id="rId638" Type="http://schemas.openxmlformats.org/officeDocument/2006/relationships/hyperlink" Target="http://www.austlii.edu.au/au/legis/sa/consol_reg/rtwr2015316/s5.html" TargetMode="External"/><Relationship Id="rId845" Type="http://schemas.openxmlformats.org/officeDocument/2006/relationships/hyperlink" Target="http://www8.austlii.edu.au/cgi-bin/viewdoc/au/legis/cth/consol_act/sraca1992381/s3.html" TargetMode="External"/><Relationship Id="rId1030" Type="http://schemas.openxmlformats.org/officeDocument/2006/relationships/hyperlink" Target="http://www8.austlii.edu.au/cgi-bin/viewdoc/au/legis/nt/consol_act/rtwa207/s65.html" TargetMode="External"/><Relationship Id="rId1268" Type="http://schemas.openxmlformats.org/officeDocument/2006/relationships/hyperlink" Target="http://www.thelaw.tas.gov.au/tocview/content.w3p;cond=;doc_id=4%2B%2B1988%2BGS67A%40EN%2B20151224080000;histon=;inforequest=;prompt=;rec=;term=" TargetMode="External"/><Relationship Id="rId1475" Type="http://schemas.openxmlformats.org/officeDocument/2006/relationships/hyperlink" Target="https://www.legislation.qld.gov.au/view/html/inforce/current/act-2003-027" TargetMode="External"/><Relationship Id="rId1682" Type="http://schemas.openxmlformats.org/officeDocument/2006/relationships/hyperlink" Target="http://www.austlii.edu.au/cgi-bin/viewdb/au/legis/sa/consol_act/rtwa2014207/s25.html" TargetMode="External"/><Relationship Id="rId1903" Type="http://schemas.openxmlformats.org/officeDocument/2006/relationships/hyperlink" Target="http://www.austlii.edu.au/cgi-bin/viewdb/au/legis/nt/consol_act/rtwa207/s75a.html" TargetMode="External"/><Relationship Id="rId2098" Type="http://schemas.openxmlformats.org/officeDocument/2006/relationships/hyperlink" Target="http://www.austlii.edu.au/cgi-bin/viewdb/au/legis/vic/consol_act/wiraca2013484/s384.html" TargetMode="External"/><Relationship Id="rId277" Type="http://schemas.openxmlformats.org/officeDocument/2006/relationships/hyperlink" Target="https://www.legislation.qld.gov.au/view/html/inforce/current/act-2003-027" TargetMode="External"/><Relationship Id="rId400" Type="http://schemas.openxmlformats.org/officeDocument/2006/relationships/hyperlink" Target="http://www.legislation.govt.nz/act/public/2001/0049/latest/DLM101449.html" TargetMode="External"/><Relationship Id="rId484" Type="http://schemas.openxmlformats.org/officeDocument/2006/relationships/hyperlink" Target="http://www8.austlii.edu.au/cgi-bin/viewdoc/au/legis/cth/consol_act/sracca1988512/s64.html" TargetMode="External"/><Relationship Id="rId705" Type="http://schemas.openxmlformats.org/officeDocument/2006/relationships/hyperlink" Target="http://www8.austlii.edu.au/cgi-bin/viewdoc/au/legis/nt/consol_reg/rtwr316/s3a.html" TargetMode="External"/><Relationship Id="rId1128" Type="http://schemas.openxmlformats.org/officeDocument/2006/relationships/hyperlink" Target="https://www.legislation.qld.gov.au/view/html/inforce/current/act-2003-027" TargetMode="External"/><Relationship Id="rId1335" Type="http://schemas.openxmlformats.org/officeDocument/2006/relationships/hyperlink" Target="http://www.austlii.edu.au/cgi-bin/viewdb/au/legis/cth/consol_act/mraca2004397/s251.html" TargetMode="External"/><Relationship Id="rId1542" Type="http://schemas.openxmlformats.org/officeDocument/2006/relationships/hyperlink" Target="https://prod.wsvdigital.com.au/sites/default/files/2018-06/ISBN-Compliance-code-4-of-4-cooperating-with-labour-hire-employers-rtw-2014-07.pdf" TargetMode="External"/><Relationship Id="rId1987" Type="http://schemas.openxmlformats.org/officeDocument/2006/relationships/hyperlink" Target="http://www.austlii.edu.au/cgi-bin/viewdb/au/legis/act/consol_act/wca1951255/s96.html" TargetMode="External"/><Relationship Id="rId2165" Type="http://schemas.openxmlformats.org/officeDocument/2006/relationships/hyperlink" Target="http://www.comlaw.gov.au/Details/C2004C00777" TargetMode="External"/><Relationship Id="rId137" Type="http://schemas.openxmlformats.org/officeDocument/2006/relationships/hyperlink" Target="http://www8.austlii.edu.au/cgi-bin/viewdoc/au/legis/vic/num_act/wiraca201367o2013530/s46.html" TargetMode="External"/><Relationship Id="rId344" Type="http://schemas.openxmlformats.org/officeDocument/2006/relationships/hyperlink" Target="http://www8.austlii.edu.au/cgi-bin/viewdoc/au/legis/cth/consol_act/sraca1992381/s67.html" TargetMode="External"/><Relationship Id="rId691" Type="http://schemas.openxmlformats.org/officeDocument/2006/relationships/hyperlink" Target="http://www.thelaw.tas.gov.au/tocview/content.w3p;cond=;doc_id=4%2B%2B1988%2BGS6%40EN%2B20151223090000;histon=;inforequest=;prompt=;rec=;term=" TargetMode="External"/><Relationship Id="rId789" Type="http://schemas.openxmlformats.org/officeDocument/2006/relationships/hyperlink" Target="http://www8.austlii.edu.au/cgi-bin/viewdoc/au/legis/wa/consol_act/wcaima1981445/s5.html" TargetMode="External"/><Relationship Id="rId912" Type="http://schemas.openxmlformats.org/officeDocument/2006/relationships/hyperlink" Target="http://www8.austlii.edu.au/cgi-bin/viewdoc/au/legis/nt/consol_act/rtwa207/s57.html" TargetMode="External"/><Relationship Id="rId996" Type="http://schemas.openxmlformats.org/officeDocument/2006/relationships/hyperlink" Target="http://www8.austlii.edu.au/cgi-bin/viewdoc/au/legis/vic/num_act/wiraca201367o2013530/s162.html" TargetMode="External"/><Relationship Id="rId1847" Type="http://schemas.openxmlformats.org/officeDocument/2006/relationships/hyperlink" Target="http://www.austlii.edu.au/cgi-bin/viewdb/au/legis/act/consol_act/wca1951255/s113.html" TargetMode="External"/><Relationship Id="rId2025" Type="http://schemas.openxmlformats.org/officeDocument/2006/relationships/hyperlink" Target="https://www.legislation.qld.gov.au/view/html/inforce/current/act-2003-027" TargetMode="External"/><Relationship Id="rId41" Type="http://schemas.openxmlformats.org/officeDocument/2006/relationships/hyperlink" Target="mailto:seyram.tawia@comcare.gov.au" TargetMode="External"/><Relationship Id="rId551" Type="http://schemas.openxmlformats.org/officeDocument/2006/relationships/hyperlink" Target="http://www.thelaw.tas.gov.au/tocview/content.w3p;cond=;doc_id=4%2B%2B1988%2BGS84%40EN%2B20151223090000;histon=;inforequest=;prompt=;rec=;term=" TargetMode="External"/><Relationship Id="rId649" Type="http://schemas.openxmlformats.org/officeDocument/2006/relationships/hyperlink" Target="http://www.thelaw.tas.gov.au/tocview/content.w3p;cond=;doc_id=4%2B%2B1988%2BGS4DC%40EN%2B20151223090000;histon=;inforequest=;prompt=;rec=;term=" TargetMode="External"/><Relationship Id="rId856" Type="http://schemas.openxmlformats.org/officeDocument/2006/relationships/hyperlink" Target="http://www8.austlii.edu.au/cgi-bin/viewdoc/au/legis/cth/consol_act/sracca1988512/s24.html" TargetMode="External"/><Relationship Id="rId1181" Type="http://schemas.openxmlformats.org/officeDocument/2006/relationships/hyperlink" Target="http://www8.austlii.edu.au/cgi-bin/viewdoc/au/legis/cth/consol_act/sraca1992381/s43.html" TargetMode="External"/><Relationship Id="rId1279" Type="http://schemas.openxmlformats.org/officeDocument/2006/relationships/hyperlink" Target="http://www8.austlii.edu.au/cgi-bin/viewdoc/au/legis/act/consol_act/wca1951255/s77.html" TargetMode="External"/><Relationship Id="rId1402" Type="http://schemas.openxmlformats.org/officeDocument/2006/relationships/hyperlink" Target="http://www.austlii.edu.au/cgi-bin/viewdb/au/legis/wa/consol_act/wcaima1981445/s72b.html" TargetMode="External"/><Relationship Id="rId1486" Type="http://schemas.openxmlformats.org/officeDocument/2006/relationships/hyperlink" Target="http://www.austlii.edu.au/cgi-bin/viewdb/au/legis/nsw/consol_act/wimawca1998540/" TargetMode="External"/><Relationship Id="rId1707" Type="http://schemas.openxmlformats.org/officeDocument/2006/relationships/hyperlink" Target="http://www.austlii.edu.au/cgi-bin/viewdb/au/legis/cth/consol_act/sracca1988512/s37.html" TargetMode="External"/><Relationship Id="rId2232" Type="http://schemas.openxmlformats.org/officeDocument/2006/relationships/hyperlink" Target="http://classic.austlii.edu.au/au/legis/nsw/consol_reg/wcr2016346/sch1.html" TargetMode="External"/><Relationship Id="rId190" Type="http://schemas.openxmlformats.org/officeDocument/2006/relationships/hyperlink" Target="http://www5.austlii.edu.au/au/legis/sa/consol_act/rtwa2014207/s7.html" TargetMode="External"/><Relationship Id="rId204" Type="http://schemas.openxmlformats.org/officeDocument/2006/relationships/hyperlink" Target="http://www8.austlii.edu.au/cgi-bin/viewdoc/au/legis/nt/consol_act/rtwa207/s4.html" TargetMode="External"/><Relationship Id="rId288" Type="http://schemas.openxmlformats.org/officeDocument/2006/relationships/hyperlink" Target="http://www8.austlii.edu.au/cgi-bin/viewdoc/au/legis/nt/consol_act/rtwa207/s81.html" TargetMode="External"/><Relationship Id="rId411" Type="http://schemas.openxmlformats.org/officeDocument/2006/relationships/hyperlink" Target="http://www8.austlii.edu.au/cgi-bin/viewdoc/au/legis/nsw/consol_act/wimawca1998540/s279.html" TargetMode="External"/><Relationship Id="rId509" Type="http://schemas.openxmlformats.org/officeDocument/2006/relationships/hyperlink" Target="http://www8.austlii.edu.au/cgi-bin/viewdoc/au/legis/vic/num_act/wiraca201367o2013530/s71.html" TargetMode="External"/><Relationship Id="rId1041" Type="http://schemas.openxmlformats.org/officeDocument/2006/relationships/hyperlink" Target="http://www8.austlii.edu.au/cgi-bin/viewdoc/au/legis/act/consol_act/wca1951255/s41.html" TargetMode="External"/><Relationship Id="rId1139" Type="http://schemas.openxmlformats.org/officeDocument/2006/relationships/hyperlink" Target="https://www.legislation.qld.gov.au/view/html/inforce/current/act-2003-027" TargetMode="External"/><Relationship Id="rId1346" Type="http://schemas.openxmlformats.org/officeDocument/2006/relationships/hyperlink" Target="http://www.austlii.edu.au/cgi-bin/viewdb/au/legis/nsw/consol_act/wca1987255/s151ad.html" TargetMode="External"/><Relationship Id="rId1693" Type="http://schemas.openxmlformats.org/officeDocument/2006/relationships/hyperlink" Target="http://www.worksafe.nt.gov.au/PDF%20Conversion/return-to-work-plan.pdf" TargetMode="External"/><Relationship Id="rId1914" Type="http://schemas.openxmlformats.org/officeDocument/2006/relationships/hyperlink" Target="http://www.austlii.edu.au/cgi-bin/viewdb/au/legis/vic/consol_act/wiraca2013484/s106.html" TargetMode="External"/><Relationship Id="rId1998" Type="http://schemas.openxmlformats.org/officeDocument/2006/relationships/hyperlink" Target="https://www.legislation.qld.gov.au/view/html/inforce/current/act-2003-027" TargetMode="External"/><Relationship Id="rId495" Type="http://schemas.openxmlformats.org/officeDocument/2006/relationships/hyperlink" Target="http://www8.austlii.edu.au/cgi-bin/viewdoc/au/legis/vic/num_act/wiraca201367o2013530/s72.html" TargetMode="External"/><Relationship Id="rId716" Type="http://schemas.openxmlformats.org/officeDocument/2006/relationships/hyperlink" Target="http://www8.austlii.edu.au/cgi-bin/viewdoc/au/legis/nsw/consol_act/wca1987255/s66.html" TargetMode="External"/><Relationship Id="rId923" Type="http://schemas.openxmlformats.org/officeDocument/2006/relationships/hyperlink" Target="http://www8.austlii.edu.au/cgi-bin/viewdoc/au/legis/cth/consol_act/sraca1988368/s5a.html" TargetMode="External"/><Relationship Id="rId1553" Type="http://schemas.openxmlformats.org/officeDocument/2006/relationships/hyperlink" Target="https://www.workcover.wa.gov.au/resources/forms-publications/employer-forms/" TargetMode="External"/><Relationship Id="rId1760" Type="http://schemas.openxmlformats.org/officeDocument/2006/relationships/hyperlink" Target="http://www.austlii.edu.au/cgi-bin/viewdb/au/legis/nsw/consol_act/wimawca1998540/s264.html" TargetMode="External"/><Relationship Id="rId1858" Type="http://schemas.openxmlformats.org/officeDocument/2006/relationships/hyperlink" Target="http://www.austlii.edu.au/cgi-bin/viewdb/au/legis/cth/consol_act/sraca1992381/s49.html" TargetMode="External"/><Relationship Id="rId2176" Type="http://schemas.openxmlformats.org/officeDocument/2006/relationships/hyperlink" Target="http://www.legislation.vic.gov.au/" TargetMode="External"/><Relationship Id="rId52" Type="http://schemas.openxmlformats.org/officeDocument/2006/relationships/hyperlink" Target="http://www.sira.nsw.gov.au/" TargetMode="External"/><Relationship Id="rId148" Type="http://schemas.openxmlformats.org/officeDocument/2006/relationships/hyperlink" Target="http://www8.austlii.edu.au/cgi-bin/viewdoc/au/legis/tas/consol_act/wraca1988400/s25.html" TargetMode="External"/><Relationship Id="rId355" Type="http://schemas.openxmlformats.org/officeDocument/2006/relationships/hyperlink" Target="http://www8.austlii.edu.au/cgi-bin/viewdoc/au/legis/nt/consol_act/rtwa207/s85.html" TargetMode="External"/><Relationship Id="rId562" Type="http://schemas.openxmlformats.org/officeDocument/2006/relationships/hyperlink" Target="http://www8.austlii.edu.au/cgi-bin/viewdoc/au/legis/vic/num_act/wiraca201367o2013530/s3.html" TargetMode="External"/><Relationship Id="rId1192" Type="http://schemas.openxmlformats.org/officeDocument/2006/relationships/hyperlink" Target="http://www8.austlii.edu.au/cgi-bin/viewdoc/au/legis/cth/consol_act/sracca1988512/s29.html" TargetMode="External"/><Relationship Id="rId1206" Type="http://schemas.openxmlformats.org/officeDocument/2006/relationships/hyperlink" Target="http://www.legislation.govt.nz/act/public/2001/0049/latest/DLM104801.html" TargetMode="External"/><Relationship Id="rId1413" Type="http://schemas.openxmlformats.org/officeDocument/2006/relationships/hyperlink" Target="http://www.austlii.edu.au/cgi-bin/viewdb/au/legis/sa/consol_act/rtwa2014207/s48.html" TargetMode="External"/><Relationship Id="rId1620" Type="http://schemas.openxmlformats.org/officeDocument/2006/relationships/hyperlink" Target="http://classic.austlii.edu.au/au/legis/nsw/consol_reg/wcr2016346/s11.html" TargetMode="External"/><Relationship Id="rId2036" Type="http://schemas.openxmlformats.org/officeDocument/2006/relationships/hyperlink" Target="http://www.workcover.tas.gov.au/__data/assets/pdf_file/0003/212088/SI-1_How_to_apply_for_a_permit_to_insure_self-insurer.pdf" TargetMode="External"/><Relationship Id="rId2243" Type="http://schemas.openxmlformats.org/officeDocument/2006/relationships/hyperlink" Target="http://www.austlii.edu.au/cgi-bin/viewdb/au/legis/cth/consol_act/sraca1992381/s10.html" TargetMode="External"/><Relationship Id="rId215" Type="http://schemas.openxmlformats.org/officeDocument/2006/relationships/hyperlink" Target="http://www8.austlii.edu.au/cgi-bin/viewdoc/au/legis/cth/consol_act/mraca2004397/s29.html" TargetMode="External"/><Relationship Id="rId422" Type="http://schemas.openxmlformats.org/officeDocument/2006/relationships/hyperlink" Target="http://www8.austlii.edu.au/cgi-bin/viewdoc/au/legis/vic/num_act/wiraca201367o2013530/s284.html" TargetMode="External"/><Relationship Id="rId867" Type="http://schemas.openxmlformats.org/officeDocument/2006/relationships/hyperlink" Target="http://www.worksafe.nt.gov.au/PDF%20Conversion/nt-guidelines-for-the-evaluation-of-permanent-impairment.pdf" TargetMode="External"/><Relationship Id="rId1052" Type="http://schemas.openxmlformats.org/officeDocument/2006/relationships/hyperlink" Target="http://www8.austlii.edu.au/cgi-bin/viewdoc/au/legis/cth/consol_act/sraca1988368/s19.html" TargetMode="External"/><Relationship Id="rId1497" Type="http://schemas.openxmlformats.org/officeDocument/2006/relationships/hyperlink" Target="http://www.austlii.edu.au/cgi-bin/viewdb/au/legis/vic/consol_act/wiraca2013484/s103.html" TargetMode="External"/><Relationship Id="rId1718" Type="http://schemas.openxmlformats.org/officeDocument/2006/relationships/hyperlink" Target="http://www.austlii.edu.au/cgi-bin/viewdb/au/legis/nsw/consol_act/wca1987255/s248.html" TargetMode="External"/><Relationship Id="rId1925" Type="http://schemas.openxmlformats.org/officeDocument/2006/relationships/hyperlink" Target="http://www.austlii.edu.au/cgi-bin/viewdb/au/legis/sa/consol_act/rtwa2014207/s26.html" TargetMode="External"/><Relationship Id="rId2103" Type="http://schemas.openxmlformats.org/officeDocument/2006/relationships/hyperlink" Target="http://www.austlii.edu.au/cgi-bin/viewdb/au/legis/vic/consol_act/wiraca2013484/s404.html" TargetMode="External"/><Relationship Id="rId299" Type="http://schemas.openxmlformats.org/officeDocument/2006/relationships/hyperlink" Target="https://www.legislation.qld.gov.au/view/html/inforce/current/act-2003-027" TargetMode="External"/><Relationship Id="rId727" Type="http://schemas.openxmlformats.org/officeDocument/2006/relationships/hyperlink" Target="http://www8.austlii.edu.au/cgi-bin/viewdoc/au/legis/act/consol_act/wca1951255/s64.html" TargetMode="External"/><Relationship Id="rId934" Type="http://schemas.openxmlformats.org/officeDocument/2006/relationships/hyperlink" Target="http://www8.austlii.edu.au/cgi-bin/viewdoc/au/legis/cth/consol_act/sraca1992381/s10.html" TargetMode="External"/><Relationship Id="rId1357" Type="http://schemas.openxmlformats.org/officeDocument/2006/relationships/hyperlink" Target="https://www.legislation.qld.gov.au/view/html/inforce/current/act-2003-027" TargetMode="External"/><Relationship Id="rId1564" Type="http://schemas.openxmlformats.org/officeDocument/2006/relationships/hyperlink" Target="http://www.austlii.edu.au/cgi-bin/viewdb/au/legis/sa/consol_act/rtwa2014207/s24.html" TargetMode="External"/><Relationship Id="rId1771" Type="http://schemas.openxmlformats.org/officeDocument/2006/relationships/hyperlink" Target="http://www.thelaw.tas.gov.au/tocview/content.w3p;cond=;doc_id=4%2B%2B1988%2BGS143E%40EN%2B20151224140000;histon=;inforequest=;prompt=;rec=;term=" TargetMode="External"/><Relationship Id="rId2187" Type="http://schemas.openxmlformats.org/officeDocument/2006/relationships/hyperlink" Target="http://www.gazette.vic.gov.au/gazette/Gazettes2017/GG2017S154.pdf" TargetMode="External"/><Relationship Id="rId63" Type="http://schemas.openxmlformats.org/officeDocument/2006/relationships/hyperlink" Target="http://www.qirc.qld.gov.au/" TargetMode="External"/><Relationship Id="rId159" Type="http://schemas.openxmlformats.org/officeDocument/2006/relationships/hyperlink" Target="http://www8.austlii.edu.au/cgi-bin/viewdoc/au/legis/cth/consol_act/sraca1988368/s6.html" TargetMode="External"/><Relationship Id="rId366" Type="http://schemas.openxmlformats.org/officeDocument/2006/relationships/hyperlink" Target="http://www8.austlii.edu.au/cgi-bin/viewdoc/au/legis/nt/consol_act/rtwa207/s85.html" TargetMode="External"/><Relationship Id="rId573" Type="http://schemas.openxmlformats.org/officeDocument/2006/relationships/hyperlink" Target="http://www8.austlii.edu.au/cgi-bin/viewdoc/au/legis/act/consol_act/wca1951255/s8.html" TargetMode="External"/><Relationship Id="rId780" Type="http://schemas.openxmlformats.org/officeDocument/2006/relationships/hyperlink" Target="http://www8.austlii.edu.au/cgi-bin/viewdoc/au/legis/nsw/consol_act/wca1987255/s4.html" TargetMode="External"/><Relationship Id="rId1217" Type="http://schemas.openxmlformats.org/officeDocument/2006/relationships/hyperlink" Target="https://www.legislation.qld.gov.au/view/html/inforce/current/act-2003-027" TargetMode="External"/><Relationship Id="rId1424" Type="http://schemas.openxmlformats.org/officeDocument/2006/relationships/hyperlink" Target="http://www.thelaw.tas.gov.au/tocview/content.w3p;cond=;doc_id=4%2B%2B1988%2BGS143E%40EN%2B20151224080000;histon=;inforequest=;prompt=;rec=;term=" TargetMode="External"/><Relationship Id="rId1631" Type="http://schemas.openxmlformats.org/officeDocument/2006/relationships/hyperlink" Target="http://www.austlii.edu.au/cgi-bin/viewdb/au/legis/vic/consol_act/wiraca2013484/s118.html" TargetMode="External"/><Relationship Id="rId1869" Type="http://schemas.openxmlformats.org/officeDocument/2006/relationships/hyperlink" Target="http://www.legislation.govt.nz/act/public/2001/0049/latest/link.aspx?id=DLM101409" TargetMode="External"/><Relationship Id="rId2047" Type="http://schemas.openxmlformats.org/officeDocument/2006/relationships/hyperlink" Target="http://www.austlii.edu.au/au/legis/sa/consol_act/rtwa2014207/s129.html" TargetMode="External"/><Relationship Id="rId226" Type="http://schemas.openxmlformats.org/officeDocument/2006/relationships/hyperlink" Target="http://www.comlaw.gov.au/Series/C2004A01285" TargetMode="External"/><Relationship Id="rId433" Type="http://schemas.openxmlformats.org/officeDocument/2006/relationships/hyperlink" Target="https://www.legislation.qld.gov.au/view/html/inforce/current/act-2003-027" TargetMode="External"/><Relationship Id="rId878" Type="http://schemas.openxmlformats.org/officeDocument/2006/relationships/hyperlink" Target="http://www8.austlii.edu.au/cgi-bin/viewdoc/au/legis/cth/consol_act/mraca2004397/s5.html" TargetMode="External"/><Relationship Id="rId1063" Type="http://schemas.openxmlformats.org/officeDocument/2006/relationships/hyperlink" Target="http://www8.austlii.edu.au/cgi-bin/viewdoc/au/legis/cth/consol_act/sraca1992381/s31.html" TargetMode="External"/><Relationship Id="rId1270" Type="http://schemas.openxmlformats.org/officeDocument/2006/relationships/hyperlink" Target="http://www.thelaw.tas.gov.au/tocview/content.w3p;cond=;doc_id=%2B69%2B2011%2BGS21%40EN%2B20151224100000;histon=;inforequest=;prompt=;rec=;term=" TargetMode="External"/><Relationship Id="rId1729" Type="http://schemas.openxmlformats.org/officeDocument/2006/relationships/hyperlink" Target="http://www.austlii.edu.au/cgi-bin/viewdb/au/legis/wa/consol_act/wcaima1981445/s84ab.html" TargetMode="External"/><Relationship Id="rId1936" Type="http://schemas.openxmlformats.org/officeDocument/2006/relationships/hyperlink" Target="http://www.thelaw.tas.gov.au/tocview/index.w3p;cond=;doc_id=4%2B%2B1988%2BAT%40EN%2B20150402110000;histon=;prompt=;rec=;term=" TargetMode="External"/><Relationship Id="rId2114" Type="http://schemas.openxmlformats.org/officeDocument/2006/relationships/hyperlink" Target="https://www.legislation.qld.gov.au/view/html/inforce/current/act-2003-027" TargetMode="External"/><Relationship Id="rId640" Type="http://schemas.openxmlformats.org/officeDocument/2006/relationships/hyperlink" Target="http://www.thelaw.tas.gov.au/tocview/content.w3p;cond=;doc_id=4%2B%2B1988%2BGS4B%40EN%2B20151223090000;histon=;inforequest=;prompt=;rec=;term=" TargetMode="External"/><Relationship Id="rId738" Type="http://schemas.openxmlformats.org/officeDocument/2006/relationships/hyperlink" Target="http://www.austlii.edu.au/au/legis/sa/consol_act/rtwa2014207/s7.htmlhttp:/www.austlii.edu.au/au/legis/sa/consol_act/rtwa2014207/s7.html" TargetMode="External"/><Relationship Id="rId945" Type="http://schemas.openxmlformats.org/officeDocument/2006/relationships/hyperlink" Target="http://www8.austlii.edu.au/cgi-bin/viewdoc/au/legis/cth/consol_act/sracca1988512/s14.html" TargetMode="External"/><Relationship Id="rId1368" Type="http://schemas.openxmlformats.org/officeDocument/2006/relationships/hyperlink" Target="http://www.austlii.edu.au/cgi-bin/viewdb/au/legis/cth/consol_act/sraca1988368/s24.html" TargetMode="External"/><Relationship Id="rId1575" Type="http://schemas.openxmlformats.org/officeDocument/2006/relationships/hyperlink" Target="http://worksafe.tas.gov.au/__data/assets/pdf_file/0003/301809/IS-015-Preparing-IM-plans.pdf" TargetMode="External"/><Relationship Id="rId1782" Type="http://schemas.openxmlformats.org/officeDocument/2006/relationships/hyperlink" Target="http://www.austlii.edu.au/cgi-bin/viewdb/au/legis/nsw/consol_act/wimawca1998540/s47.html" TargetMode="External"/><Relationship Id="rId2198" Type="http://schemas.openxmlformats.org/officeDocument/2006/relationships/hyperlink" Target="https://worksafe.tas.gov.au/__data/assets/pdf_file/0008/393857/Asbestos-Comp-DL.pdf" TargetMode="External"/><Relationship Id="rId74" Type="http://schemas.openxmlformats.org/officeDocument/2006/relationships/hyperlink" Target="http://www.worksafe.tas.gov.au/home" TargetMode="External"/><Relationship Id="rId377" Type="http://schemas.openxmlformats.org/officeDocument/2006/relationships/hyperlink" Target="http://www8.austlii.edu.au/cgi-bin/viewdoc/au/legis/vic/num_act/wiraca201367o2013530/s160.html" TargetMode="External"/><Relationship Id="rId500" Type="http://schemas.openxmlformats.org/officeDocument/2006/relationships/hyperlink" Target="http://www8.austlii.edu.au/cgi-bin/viewdoc/au/legis/nt/consol_act/rtwa207/s56.html" TargetMode="External"/><Relationship Id="rId584" Type="http://schemas.openxmlformats.org/officeDocument/2006/relationships/hyperlink" Target="http://www8.austlii.edu.au/cgi-bin/viewdoc/au/legis/nsw/consol_act/wimawca1998540/sch1.html" TargetMode="External"/><Relationship Id="rId805" Type="http://schemas.openxmlformats.org/officeDocument/2006/relationships/hyperlink" Target="http://www8.austlii.edu.au/cgi-bin/viewdoc/au/legis/nt/consol_act/rtwa207/s4.html" TargetMode="External"/><Relationship Id="rId1130" Type="http://schemas.openxmlformats.org/officeDocument/2006/relationships/hyperlink" Target="https://www.legislation.qld.gov.au/view/html/inforce/current/act-2003-027" TargetMode="External"/><Relationship Id="rId1228" Type="http://schemas.openxmlformats.org/officeDocument/2006/relationships/hyperlink" Target="http://www8.austlii.edu.au/cgi-bin/viewdoc/au/legis/sa/consol_act/rtwa2014207/s28.html" TargetMode="External"/><Relationship Id="rId1435" Type="http://schemas.openxmlformats.org/officeDocument/2006/relationships/hyperlink" Target="http://www.austlii.edu.au/cgi-bin/viewdb/au/legis/act/consol_act/wca1951255/s113.html" TargetMode="External"/><Relationship Id="rId2058" Type="http://schemas.openxmlformats.org/officeDocument/2006/relationships/hyperlink" Target="http://www.austlii.edu.au/au/legis/sa/consol_reg/rtwr2015316/sch3.html" TargetMode="External"/><Relationship Id="rId5" Type="http://schemas.openxmlformats.org/officeDocument/2006/relationships/webSettings" Target="webSettings.xml"/><Relationship Id="rId237" Type="http://schemas.openxmlformats.org/officeDocument/2006/relationships/hyperlink" Target="https://www.legislation.wa.gov.au/legislation/statutes.nsf/law_a915.html" TargetMode="External"/><Relationship Id="rId791" Type="http://schemas.openxmlformats.org/officeDocument/2006/relationships/hyperlink" Target="http://www.austlii.edu.au/au/legis/sa/consol_act/rtwa2014207/s7.html" TargetMode="External"/><Relationship Id="rId889" Type="http://schemas.openxmlformats.org/officeDocument/2006/relationships/hyperlink" Target="http://www.thelaw.tas.gov.au/tocview/content.w3p;cond=;doc_id=4%2B%2B1988%2BGS71%40EN%2B20151223090000;histon=;inforequest=;prompt=;rec=;term=" TargetMode="External"/><Relationship Id="rId1074" Type="http://schemas.openxmlformats.org/officeDocument/2006/relationships/hyperlink" Target="http://www8.austlii.edu.au/cgi-bin/viewdoc/au/legis/cth/consol_act/sracca1988512/s19.html" TargetMode="External"/><Relationship Id="rId1642" Type="http://schemas.openxmlformats.org/officeDocument/2006/relationships/hyperlink" Target="http://www.austlii.edu.au/cgi-bin/viewdb/au/legis/sa/consol_act/rtwa2014207/s26.html" TargetMode="External"/><Relationship Id="rId1947" Type="http://schemas.openxmlformats.org/officeDocument/2006/relationships/hyperlink" Target="https://www.google.com.au/url?sa=t&amp;rct=j&amp;q=&amp;esrc=s&amp;source=web&amp;cd=1&amp;cad=rja&amp;uact=8&amp;ved=0ahUKEwjdg9n7jKDSAhXDTrwKHZ6gBBUQFggbMAA&amp;url=https%3A%2F%2Fwww.rtwsa.com%2Fmedia%2Fdocuments%2Ffee-schedules%2FReturn-to-work-services-fee-schedule.DOCX&amp;usg=AFQjCNFR1-byHsI3l9Lwhz3RskPkObUYPg" TargetMode="External"/><Relationship Id="rId444" Type="http://schemas.openxmlformats.org/officeDocument/2006/relationships/hyperlink" Target="http://www.workcover.wa.gov.au/resources/forms-publications/arbitration-rules-forms/" TargetMode="External"/><Relationship Id="rId651" Type="http://schemas.openxmlformats.org/officeDocument/2006/relationships/hyperlink" Target="http://www.thelaw.tas.gov.au/tocview/content.w3p;cond=;doc_id=4%2B%2B1988%2BGS4D%40EN%2B20151223090000;histon=;inforequest=;prompt=;rec=;term=" TargetMode="External"/><Relationship Id="rId749" Type="http://schemas.openxmlformats.org/officeDocument/2006/relationships/hyperlink" Target="http://www8.austlii.edu.au/cgi-bin/viewdoc/au/legis/vic/num_act/wiraca201367o2013530/s46.html" TargetMode="External"/><Relationship Id="rId1281" Type="http://schemas.openxmlformats.org/officeDocument/2006/relationships/hyperlink" Target="http://www8.austlii.edu.au/cgi-bin/viewdoc/au/legis/cth/consol_act/sraca1988368/s17.html" TargetMode="External"/><Relationship Id="rId1379" Type="http://schemas.openxmlformats.org/officeDocument/2006/relationships/hyperlink" Target="http://www.austlii.edu.au/cgi-bin/viewdb/au/legis/cth/consol_act/sracca1988512/s27.html" TargetMode="External"/><Relationship Id="rId1502" Type="http://schemas.openxmlformats.org/officeDocument/2006/relationships/hyperlink" Target="http://www.austlii.edu.au/cgi-bin/viewdb/au/legis/vic/consol_act/wiraca2013484/s108.html" TargetMode="External"/><Relationship Id="rId1586" Type="http://schemas.openxmlformats.org/officeDocument/2006/relationships/hyperlink" Target="http://www.austlii.edu.au/cgi-bin/viewdb/au/legis/nt/consol_act/rtwa207/s50.html" TargetMode="External"/><Relationship Id="rId1807" Type="http://schemas.openxmlformats.org/officeDocument/2006/relationships/hyperlink" Target="http://www.austlii.edu.au/cgi-bin/viewdb/au/legis/wa/consol_act/wcaima1981445/s64.html" TargetMode="External"/><Relationship Id="rId2125" Type="http://schemas.openxmlformats.org/officeDocument/2006/relationships/hyperlink" Target="http://www.legislation.nsw.gov.au/maintop/view/inforce/act+86+1998+cd+0+N" TargetMode="External"/><Relationship Id="rId290" Type="http://schemas.openxmlformats.org/officeDocument/2006/relationships/hyperlink" Target="http://www8.austlii.edu.au/cgi-bin/viewdoc/au/legis/act/consol_act/wca1951255/s93.html" TargetMode="External"/><Relationship Id="rId304" Type="http://schemas.openxmlformats.org/officeDocument/2006/relationships/hyperlink" Target="http://www.austlii.edu.au/au/legis/sa/consol_act/rtwa2014207/s30.html" TargetMode="External"/><Relationship Id="rId388" Type="http://schemas.openxmlformats.org/officeDocument/2006/relationships/hyperlink" Target="http://www8.austlii.edu.au/cgi-bin/viewdoc/au/legis/cth/consol_act/sraca1992381/s10.html" TargetMode="External"/><Relationship Id="rId511" Type="http://schemas.openxmlformats.org/officeDocument/2006/relationships/hyperlink" Target="http://www8.austlii.edu.au/cgi-bin/viewdoc/au/legis/vic/num_act/wiraca201367o2013530/s488.html" TargetMode="External"/><Relationship Id="rId609" Type="http://schemas.openxmlformats.org/officeDocument/2006/relationships/hyperlink" Target="http://www8.austlii.edu.au/cgi-bin/viewdoc/au/legis/vic/num_act/wiraca201367o2013530/sch1.html" TargetMode="External"/><Relationship Id="rId956" Type="http://schemas.openxmlformats.org/officeDocument/2006/relationships/hyperlink" Target="http://www8.austlii.edu.au/cgi-bin/viewdoc/au/legis/nsw/consol_act/wimawca1998540/s322.html" TargetMode="External"/><Relationship Id="rId1141" Type="http://schemas.openxmlformats.org/officeDocument/2006/relationships/hyperlink" Target="http://www8.austlii.edu.au/cgi-bin/viewdoc/au/legis/wa/consol_act/wcaima1981445/sch1.html" TargetMode="External"/><Relationship Id="rId1239" Type="http://schemas.openxmlformats.org/officeDocument/2006/relationships/hyperlink" Target="http://www.austlii.edu.au/cgi-bin/viewdb/au/legis/cth/consol_act/mraca2004397/s404.html" TargetMode="External"/><Relationship Id="rId1793" Type="http://schemas.openxmlformats.org/officeDocument/2006/relationships/hyperlink" Target="http://www.austlii.edu.au/cgi-bin/viewdb/au/legis/vic/consol_act/wiraca2013484/s112.html" TargetMode="External"/><Relationship Id="rId2069" Type="http://schemas.openxmlformats.org/officeDocument/2006/relationships/hyperlink" Target="http://www.austlii.edu.au/cgi-bin/viewdb/au/legis/cth/consol_act/sraca1988368/s108b.html" TargetMode="External"/><Relationship Id="rId85" Type="http://schemas.openxmlformats.org/officeDocument/2006/relationships/hyperlink" Target="http://www.austlii.edu.au/cgi-bin/viewdb/au/legis/cth/consol_act/mraca2004397/" TargetMode="External"/><Relationship Id="rId150" Type="http://schemas.openxmlformats.org/officeDocument/2006/relationships/hyperlink" Target="http://www8.austlii.edu.au/cgi-bin/viewdoc/au/legis/tas/consol_act/wraca1988400/s25.html" TargetMode="External"/><Relationship Id="rId595" Type="http://schemas.openxmlformats.org/officeDocument/2006/relationships/hyperlink" Target="http://www.thelaw.tas.gov.au/tocview/content.w3p;cond=;doc_id=4%2B%2B1988%2BGS4DB%40EN%2B20151223090000;histon=;inforequest=;prompt=;rec=;term=" TargetMode="External"/><Relationship Id="rId816" Type="http://schemas.openxmlformats.org/officeDocument/2006/relationships/hyperlink" Target="http://www8.austlii.edu.au/cgi-bin/viewdoc/au/legis/cth/consol_act/mraca2004397/s29.html" TargetMode="External"/><Relationship Id="rId1001" Type="http://schemas.openxmlformats.org/officeDocument/2006/relationships/hyperlink" Target="http://www8.austlii.edu.au/cgi-bin/viewdoc/au/legis/vic/num_act/wiraca201367o2013530/s165.html" TargetMode="External"/><Relationship Id="rId1446" Type="http://schemas.openxmlformats.org/officeDocument/2006/relationships/hyperlink" Target="http://www.austlii.edu.au/cgi-bin/viewdb/au/legis/cth/consol_act/sraca1988368/s23.html" TargetMode="External"/><Relationship Id="rId1653" Type="http://schemas.openxmlformats.org/officeDocument/2006/relationships/hyperlink" Target="http://www.thelaw.tas.gov.au/tocview/content.w3p;cond=;doc_id=4%2B%2B1988%2BGS142%40EN%2B20151224080000;histon=;inforequest=;prompt=;rec=;term=" TargetMode="External"/><Relationship Id="rId1860" Type="http://schemas.openxmlformats.org/officeDocument/2006/relationships/hyperlink" Target="http://www.austlii.edu.au/cgi-bin/viewdb/au/legis/cth/consol_act/sraca1992381/s32.html" TargetMode="External"/><Relationship Id="rId248" Type="http://schemas.openxmlformats.org/officeDocument/2006/relationships/hyperlink" Target="http://www8.austlii.edu.au/cgi-bin/viewdoc/au/legis/cth/consol_act/mraca2004397/s121.html" TargetMode="External"/><Relationship Id="rId455" Type="http://schemas.openxmlformats.org/officeDocument/2006/relationships/hyperlink" Target="https://www.legislation.sa.gov.au/LZ/C/A/SOUTH%20AUSTRALIAN%20EMPLOYMENT%20TRIBUNAL%20ACT%202014/CURRENT/2014.17.UN.PDF" TargetMode="External"/><Relationship Id="rId662" Type="http://schemas.openxmlformats.org/officeDocument/2006/relationships/hyperlink" Target="http://www8.austlii.edu.au/cgi-bin/viewdoc/au/legis/nt/consol_act/rtwa207/s3.html" TargetMode="External"/><Relationship Id="rId1085" Type="http://schemas.openxmlformats.org/officeDocument/2006/relationships/hyperlink" Target="http://www.legislation.govt.nz/act/public/2001/0049/latest/DLM104840.html" TargetMode="External"/><Relationship Id="rId1292" Type="http://schemas.openxmlformats.org/officeDocument/2006/relationships/hyperlink" Target="http://www8.austlii.edu.au/cgi-bin/viewdoc/au/legis/cth/consol_act/mraca2004397/s267.html" TargetMode="External"/><Relationship Id="rId1306" Type="http://schemas.openxmlformats.org/officeDocument/2006/relationships/hyperlink" Target="https://www.legislation.qld.gov.au/view/html/inforce/current/act-2003-027" TargetMode="External"/><Relationship Id="rId1513" Type="http://schemas.openxmlformats.org/officeDocument/2006/relationships/hyperlink" Target="http://www.austlii.edu.au/cgi-bin/viewdb/au/legis/vic/consol_act/wiraca2013484/s119.html" TargetMode="External"/><Relationship Id="rId1720" Type="http://schemas.openxmlformats.org/officeDocument/2006/relationships/hyperlink" Target="http://www.austlii.edu.au/cgi-bin/viewdb/au/legis/vic/consol_act/wiraca2013484/s96.html" TargetMode="External"/><Relationship Id="rId1958" Type="http://schemas.openxmlformats.org/officeDocument/2006/relationships/hyperlink" Target="https://www.worksafe.vic.gov.au/resources/occupational-rehabilitation-fee-schedule-expanded" TargetMode="External"/><Relationship Id="rId2136" Type="http://schemas.openxmlformats.org/officeDocument/2006/relationships/hyperlink" Target="https://www.legislation.qld.gov.au/view/html/inforce/current/sl-2014-0189/lh" TargetMode="External"/><Relationship Id="rId12" Type="http://schemas.openxmlformats.org/officeDocument/2006/relationships/header" Target="header1.xml"/><Relationship Id="rId108" Type="http://schemas.openxmlformats.org/officeDocument/2006/relationships/hyperlink" Target="http://www8.austlii.edu.au/cgi-bin/viewdoc/au/legis/cth/consol_act/mraca2004397/s5.html" TargetMode="External"/><Relationship Id="rId315" Type="http://schemas.openxmlformats.org/officeDocument/2006/relationships/hyperlink" Target="http://www8.austlii.edu.au/cgi-bin/viewdoc/au/legis/cth/consol_act/sracca1988512/s53.html" TargetMode="External"/><Relationship Id="rId522" Type="http://schemas.openxmlformats.org/officeDocument/2006/relationships/hyperlink" Target="http://www8.austlii.edu.au/cgi-bin/viewdoc/au/legis/nt/consol_act/rtwa207/s162.html" TargetMode="External"/><Relationship Id="rId967" Type="http://schemas.openxmlformats.org/officeDocument/2006/relationships/hyperlink" Target="http://www.austlii.edu.au/au/legis/sa/consol_act/rtwa2014207/s7.html" TargetMode="External"/><Relationship Id="rId1152" Type="http://schemas.openxmlformats.org/officeDocument/2006/relationships/hyperlink" Target="http://www.thelaw.tas.gov.au/tocview/content.w3p;cond=;doc_id=4%2B%2B1988%2BGS75%40EN%2B20151224080000;histon=;inforequest=;prompt=;rec=;term=" TargetMode="External"/><Relationship Id="rId1597" Type="http://schemas.openxmlformats.org/officeDocument/2006/relationships/hyperlink" Target="http://www.austlii.edu.au/cgi-bin/viewdb/au/legis/cth/consol_act/sraca1988368/s40.html" TargetMode="External"/><Relationship Id="rId1818" Type="http://schemas.openxmlformats.org/officeDocument/2006/relationships/hyperlink" Target="http://www.austlii.edu.au/cgi-bin/viewdb/au/legis/sa/consol_act/rtwa2014207/s31.html" TargetMode="External"/><Relationship Id="rId2203" Type="http://schemas.openxmlformats.org/officeDocument/2006/relationships/hyperlink" Target="http://classic.austlii.edu.au/au/legis/nsw/consol_reg/wcr2016346/sch1.html" TargetMode="External"/><Relationship Id="rId96" Type="http://schemas.openxmlformats.org/officeDocument/2006/relationships/hyperlink" Target="http://www.austlii.edu.au/au/legis/sa/consol_act/rtwa2014207/s4.html" TargetMode="External"/><Relationship Id="rId161" Type="http://schemas.openxmlformats.org/officeDocument/2006/relationships/hyperlink" Target="http://www8.austlii.edu.au/cgi-bin/viewdoc/au/legis/cth/consol_act/sraca1992381/s9.html" TargetMode="External"/><Relationship Id="rId399" Type="http://schemas.openxmlformats.org/officeDocument/2006/relationships/hyperlink" Target="http://www8.austlii.edu.au/cgi-bin/viewdoc/au/legis/cth/consol_act/sraca1992381/s130.html" TargetMode="External"/><Relationship Id="rId827" Type="http://schemas.openxmlformats.org/officeDocument/2006/relationships/hyperlink" Target="http://www.legislation.govt.nz/act/public/2001/0049/latest/DLM100687.html" TargetMode="External"/><Relationship Id="rId1012" Type="http://schemas.openxmlformats.org/officeDocument/2006/relationships/hyperlink" Target="http://www8.austlii.edu.au/cgi-bin/viewdoc/au/legis/wa/consol_act/wcaima1981445/sch1.html" TargetMode="External"/><Relationship Id="rId1457" Type="http://schemas.openxmlformats.org/officeDocument/2006/relationships/hyperlink" Target="http://www.austlii.edu.au/cgi-bin/viewdb/au/legis/cth/consol_act/mraca2004397/s330.html" TargetMode="External"/><Relationship Id="rId1664" Type="http://schemas.openxmlformats.org/officeDocument/2006/relationships/hyperlink" Target="http://www.austlii.edu.au/cgi-bin/viewdb/au/legis/nsw/consol_act/wimawca1998540/s45.html" TargetMode="External"/><Relationship Id="rId1871" Type="http://schemas.openxmlformats.org/officeDocument/2006/relationships/hyperlink" Target="http://www.legislation.govt.nz/act/public/2001/0049/latest/link.aspx?id=DLM101409" TargetMode="External"/><Relationship Id="rId259" Type="http://schemas.openxmlformats.org/officeDocument/2006/relationships/hyperlink" Target="https://www.legislation.sa.gov.au/LZ/C/A/RETURN%20TO%20WORK%20ACT%202014/CURRENT/2014.16.UN.PDF" TargetMode="External"/><Relationship Id="rId466" Type="http://schemas.openxmlformats.org/officeDocument/2006/relationships/hyperlink" Target="http://www8.austlii.edu.au/cgi-bin/viewdoc/au/legis/tas/consol_act/wraca1988400/s44.html" TargetMode="External"/><Relationship Id="rId673" Type="http://schemas.openxmlformats.org/officeDocument/2006/relationships/hyperlink" Target="http://www8.austlii.edu.au/cgi-bin/viewdoc/au/legis/act/consol_act/wca1951255/s17a.html" TargetMode="External"/><Relationship Id="rId880" Type="http://schemas.openxmlformats.org/officeDocument/2006/relationships/hyperlink" Target="http://www8.austlii.edu.au/cgi-bin/viewdoc/au/legis/cth/consol_act/sracca1988512/s4.html" TargetMode="External"/><Relationship Id="rId1096" Type="http://schemas.openxmlformats.org/officeDocument/2006/relationships/hyperlink" Target="http://www8.austlii.edu.au/cgi-bin/viewdoc/au/legis/nsw/consol_act/wca1987255/s59.html" TargetMode="External"/><Relationship Id="rId1317" Type="http://schemas.openxmlformats.org/officeDocument/2006/relationships/hyperlink" Target="http://www.austlii.edu.au/cgi-bin/viewdb/au/legis/tas/consol_act/wraca1988400/s67.html" TargetMode="External"/><Relationship Id="rId1524" Type="http://schemas.openxmlformats.org/officeDocument/2006/relationships/hyperlink" Target="http://www.austlii.edu.au/cgi-bin/viewdb/au/legis/vic/consol_act/wiraca2013484/s127.html" TargetMode="External"/><Relationship Id="rId1731" Type="http://schemas.openxmlformats.org/officeDocument/2006/relationships/hyperlink" Target="http://www.austlii.edu.au/cgi-bin/viewdb/au/legis/sa/consol_act/rtwa2014207/s25.html" TargetMode="External"/><Relationship Id="rId1969" Type="http://schemas.openxmlformats.org/officeDocument/2006/relationships/hyperlink" Target="http://www.comlaw.gov.au/Details/F2012L02075/Download" TargetMode="External"/><Relationship Id="rId2147" Type="http://schemas.openxmlformats.org/officeDocument/2006/relationships/hyperlink" Target="https://www.legislation.gov.au/Series/C2004A03668" TargetMode="External"/><Relationship Id="rId23" Type="http://schemas.openxmlformats.org/officeDocument/2006/relationships/hyperlink" Target="http://www.sira.nsw.gov.au/" TargetMode="External"/><Relationship Id="rId119" Type="http://schemas.openxmlformats.org/officeDocument/2006/relationships/hyperlink" Target="http://www.thelaw.tas.gov.au/tocview/content.w3p;cond=;doc_id=4%2B%2B1988%2BGS4C%40EN%2B20150327100000;histon=;inforequest=;prompt=;rec=;term=" TargetMode="External"/><Relationship Id="rId326" Type="http://schemas.openxmlformats.org/officeDocument/2006/relationships/hyperlink" Target="http://www8.austlii.edu.au/cgi-bin/viewdoc/au/legis/nt/consol_act/rtwa207/s82.html" TargetMode="External"/><Relationship Id="rId533" Type="http://schemas.openxmlformats.org/officeDocument/2006/relationships/hyperlink" Target="http://www8.austlii.edu.au/cgi-bin/viewdoc/au/legis/vic/num_act/wiraca201367o2013530/s174.html" TargetMode="External"/><Relationship Id="rId978" Type="http://schemas.openxmlformats.org/officeDocument/2006/relationships/hyperlink" Target="http://www8.austlii.edu.au/cgi-bin/viewdoc/au/legis/cth/consol_act/sraca1992381/s10.html" TargetMode="External"/><Relationship Id="rId1163" Type="http://schemas.openxmlformats.org/officeDocument/2006/relationships/hyperlink" Target="http://www.thelaw.tas.gov.au/tocview/content.w3p;cond=;doc_id=4%2B%2B1988%2BGS75%40EN%2B20151224080000;histon=;inforequest=;prompt=;rec=;term=" TargetMode="External"/><Relationship Id="rId1370" Type="http://schemas.openxmlformats.org/officeDocument/2006/relationships/hyperlink" Target="http://www.austlii.edu.au/cgi-bin/viewdb/au/legis/cth/consol_act/sraca1992381/s55.html" TargetMode="External"/><Relationship Id="rId1829" Type="http://schemas.openxmlformats.org/officeDocument/2006/relationships/hyperlink" Target="http://www.thelaw.tas.gov.au/tocview/content.w3p;cond=;doc_id=4%2B%2B1988%2BGS90C%40EN%2B20151224140000;histon=;inforequest=;prompt=;rec=;term=" TargetMode="External"/><Relationship Id="rId2007" Type="http://schemas.openxmlformats.org/officeDocument/2006/relationships/hyperlink" Target="http://www.austlii.edu.au/cgi-bin/viewdb/au/legis/nt/consol_act/rtwa207/s120.html" TargetMode="External"/><Relationship Id="rId2214" Type="http://schemas.openxmlformats.org/officeDocument/2006/relationships/hyperlink" Target="http://www.thelaw.tas.gov.au/tocview/content.w3p;cond=;doc_id=4%2B%2B1988%2BGS25%40EN%2B20160104090000;histon=;inforequest=;prompt=;rec=;term=" TargetMode="External"/><Relationship Id="rId740" Type="http://schemas.openxmlformats.org/officeDocument/2006/relationships/hyperlink" Target="http://www8.austlii.edu.au/cgi-bin/viewdoc/au/legis/nt/consol_act/rtwa207/s4.html" TargetMode="External"/><Relationship Id="rId838" Type="http://schemas.openxmlformats.org/officeDocument/2006/relationships/hyperlink" Target="http://www.workcover.tas.gov.au/__data/assets/pdf_file/0006/184920/Guidelines_for_the_Assessment_of_Permanent_Impairment_Version_3.pdf" TargetMode="External"/><Relationship Id="rId1023" Type="http://schemas.openxmlformats.org/officeDocument/2006/relationships/hyperlink" Target="http://www8.austlii.edu.au/cgi-bin/viewdoc/au/legis/sa/consol_act/rtwa2014207/s53.html" TargetMode="External"/><Relationship Id="rId1468"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1675" Type="http://schemas.openxmlformats.org/officeDocument/2006/relationships/hyperlink" Target="https://www.legislation.qld.gov.au/view/html/inforce/current/act-2003-027" TargetMode="External"/><Relationship Id="rId1882" Type="http://schemas.openxmlformats.org/officeDocument/2006/relationships/hyperlink" Target="http://www.austlii.edu.au/cgi-bin/viewdb/au/legis/nt/consol_act/rtwa207/s75a.html" TargetMode="External"/><Relationship Id="rId172" Type="http://schemas.openxmlformats.org/officeDocument/2006/relationships/hyperlink" Target="http://www8.austlii.edu.au/cgi-bin/viewdoc/au/legis/cth/consol_act/sracca1988512/s6.html" TargetMode="External"/><Relationship Id="rId477" Type="http://schemas.openxmlformats.org/officeDocument/2006/relationships/hyperlink" Target="http://www8.austlii.edu.au/cgi-bin/viewdoc/au/legis/cth/consol_act/sraca1988368/s62.html" TargetMode="External"/><Relationship Id="rId600" Type="http://schemas.openxmlformats.org/officeDocument/2006/relationships/hyperlink" Target="http://www8.austlii.edu.au/cgi-bin/viewdoc/au/legis/cth/consol_act/mraca2004397/s8.html" TargetMode="External"/><Relationship Id="rId684" Type="http://schemas.openxmlformats.org/officeDocument/2006/relationships/hyperlink" Target="http://www.legislation.govt.nz/act/public/2001/0049/latest/DLM100103.html" TargetMode="External"/><Relationship Id="rId1230" Type="http://schemas.openxmlformats.org/officeDocument/2006/relationships/hyperlink" Target="http://www8.austlii.edu.au/cgi-bin/viewdoc/au/legis/tas/consol_act/wraca1988400/s3.html" TargetMode="External"/><Relationship Id="rId1328" Type="http://schemas.openxmlformats.org/officeDocument/2006/relationships/hyperlink" Target="http://www.austlii.edu.au/cgi-bin/viewdb/au/legis/cth/consol_act/sraca1988368/s4.html" TargetMode="External"/><Relationship Id="rId1535" Type="http://schemas.openxmlformats.org/officeDocument/2006/relationships/hyperlink" Target="https://prod.wsvdigital.com.au/sites/default/files/2018-06/FOR-Return-to-work-arrangements-2017-03_0.pdf" TargetMode="External"/><Relationship Id="rId2060" Type="http://schemas.openxmlformats.org/officeDocument/2006/relationships/hyperlink" Target="http://www.workcover.tas.gov.au/insurance/self_insurers/guidelines_for_self_insurers/providing_a_financial_undertaking" TargetMode="External"/><Relationship Id="rId2158" Type="http://schemas.openxmlformats.org/officeDocument/2006/relationships/hyperlink" Target="https://www.legislation.wa.gov.au/legislation/statutes.nsf/law_a915.html" TargetMode="External"/><Relationship Id="rId337" Type="http://schemas.openxmlformats.org/officeDocument/2006/relationships/hyperlink" Target="http://www.thelaw.tas.gov.au/tocview/content.w3p;cond=;doc_id=4%2B%2B1988%2BGS36%40EN%2B20151223090000;histon=;inforequest=;prompt=;rec=;term=" TargetMode="External"/><Relationship Id="rId891" Type="http://schemas.openxmlformats.org/officeDocument/2006/relationships/hyperlink" Target="http://www.thelaw.tas.gov.au/tocview/content.w3p;cond=;doc_id=4%2B%2B1988%2BGS71%40EN%2B20151223090000;histon=;inforequest=;prompt=;rec=;term=" TargetMode="External"/><Relationship Id="rId905" Type="http://schemas.openxmlformats.org/officeDocument/2006/relationships/hyperlink" Target="https://www.legislation.qld.gov.au/view/html/inforce/current/act-2003-027" TargetMode="External"/><Relationship Id="rId989" Type="http://schemas.openxmlformats.org/officeDocument/2006/relationships/hyperlink" Target="http://www.austlii.edu.au/au/legis/sa/consol_act/rtwa2014207/s10.html" TargetMode="External"/><Relationship Id="rId1742" Type="http://schemas.openxmlformats.org/officeDocument/2006/relationships/hyperlink" Target="http://www.austlii.edu.au/cgi-bin/viewdb/au/legis/act/consol_act/wca1951255/s106.html" TargetMode="External"/><Relationship Id="rId2018" Type="http://schemas.openxmlformats.org/officeDocument/2006/relationships/hyperlink" Target="http://www.austlii.edu.au/cgi-bin/viewdb/au/legis/vic/consol_act/wiraca2013484/s382.html" TargetMode="External"/><Relationship Id="rId34" Type="http://schemas.openxmlformats.org/officeDocument/2006/relationships/hyperlink" Target="mailto:bevan.pratt@nt.gov.au" TargetMode="External"/><Relationship Id="rId544" Type="http://schemas.openxmlformats.org/officeDocument/2006/relationships/hyperlink" Target="http://www8.austlii.edu.au/cgi-bin/viewdoc/au/legis/cth/consol_act/sraca1988368/s22.html" TargetMode="External"/><Relationship Id="rId751" Type="http://schemas.openxmlformats.org/officeDocument/2006/relationships/hyperlink" Target="http://www8.austlii.edu.au/cgi-bin/viewdoc/au/legis/wa/consol_act/wcaima1981445/s19.html" TargetMode="External"/><Relationship Id="rId849" Type="http://schemas.openxmlformats.org/officeDocument/2006/relationships/hyperlink" Target="http://www8.austlii.edu.au/cgi-bin/viewdoc/au/legis/cth/consol_act/mraca2004397/s5.html" TargetMode="External"/><Relationship Id="rId1174" Type="http://schemas.openxmlformats.org/officeDocument/2006/relationships/hyperlink" Target="http://www8.austlii.edu.au/cgi-bin/viewdoc/au/legis/cth/consol_act/sraca1988368/s29.html" TargetMode="External"/><Relationship Id="rId1381" Type="http://schemas.openxmlformats.org/officeDocument/2006/relationships/hyperlink" Target="http://www.austlii.edu.au/cgi-bin/viewdb/au/legis/nsw/consol_act/wimawca1998540/s270.html" TargetMode="External"/><Relationship Id="rId1479" Type="http://schemas.openxmlformats.org/officeDocument/2006/relationships/hyperlink" Target="http://www.austlii.edu.au/cgi-bin/viewdb/au/legis/nt/consol_act/rtwa207/s78a.html" TargetMode="External"/><Relationship Id="rId1602" Type="http://schemas.openxmlformats.org/officeDocument/2006/relationships/hyperlink" Target="http://www.comcare.gov.au/Forms_and_Publications/publications/services/injury_management/injury_management/barriers_to_return_to_work" TargetMode="External"/><Relationship Id="rId1686" Type="http://schemas.openxmlformats.org/officeDocument/2006/relationships/hyperlink" Target="http://www.austlii.edu.au/cgi-bin/viewdb/au/legis/tas/consol_act/wraca1988400/s143e.html" TargetMode="External"/><Relationship Id="rId2225" Type="http://schemas.openxmlformats.org/officeDocument/2006/relationships/hyperlink" Target="http://www5.austlii.edu.au/au/legis/nsw/consol_act/wcda1942388/sch1.html" TargetMode="External"/><Relationship Id="rId183"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390" Type="http://schemas.openxmlformats.org/officeDocument/2006/relationships/hyperlink" Target="http://www8.austlii.edu.au/cgi-bin/viewdoc/au/legis/nsw/consol_act/wimawca1998540/s74a.html" TargetMode="External"/><Relationship Id="rId404" Type="http://schemas.openxmlformats.org/officeDocument/2006/relationships/hyperlink" Target="https://www.legislation.qld.gov.au/view/html/inforce/current/act-2003-027" TargetMode="External"/><Relationship Id="rId611" Type="http://schemas.openxmlformats.org/officeDocument/2006/relationships/hyperlink" Target="http://www8.austlii.edu.au/cgi-bin/viewdoc/au/legis/vic/num_act/wiraca201367o2013530/sch1.html" TargetMode="External"/><Relationship Id="rId1034" Type="http://schemas.openxmlformats.org/officeDocument/2006/relationships/hyperlink" Target="http://www8.austlii.edu.au/cgi-bin/viewdoc/au/legis/nt/consol_act/rtwa207/s65.html" TargetMode="External"/><Relationship Id="rId1241" Type="http://schemas.openxmlformats.org/officeDocument/2006/relationships/hyperlink" Target="http://www.austlii.edu.au/cgi-bin/viewdb/au/legis/cth/consol_act/mraca2004397/s258.html" TargetMode="External"/><Relationship Id="rId1339" Type="http://schemas.openxmlformats.org/officeDocument/2006/relationships/hyperlink" Target="http://www.austlii.edu.au/cgi-bin/viewdb/au/legis/cth/consol_act/mraca2004397/s5.html" TargetMode="External"/><Relationship Id="rId1893" Type="http://schemas.openxmlformats.org/officeDocument/2006/relationships/hyperlink" Target="http://www.austlii.edu.au/cgi-bin/viewdb/au/legis/nsw/consol_act/wimawca1998540/s267.html" TargetMode="External"/><Relationship Id="rId1907" Type="http://schemas.openxmlformats.org/officeDocument/2006/relationships/hyperlink" Target="http://www.austlii.edu.au/cgi-bin/viewdb/au/legis/cth/consol_act/sraca1988368/s38.html" TargetMode="External"/><Relationship Id="rId2071" Type="http://schemas.openxmlformats.org/officeDocument/2006/relationships/hyperlink" Target="https://www.legislation.qld.gov.au/view/html/inforce/current/act-2003-027" TargetMode="External"/><Relationship Id="rId250" Type="http://schemas.openxmlformats.org/officeDocument/2006/relationships/hyperlink" Target="http://www.legislation.govt.nz/act/public/2001/0049/latest/DLM105404.html" TargetMode="External"/><Relationship Id="rId488" Type="http://schemas.openxmlformats.org/officeDocument/2006/relationships/hyperlink" Target="https://www.worksafe.qld.gov.au/__data/assets/pdf_file/0007/3040/Wages-definition-manual.pdf" TargetMode="External"/><Relationship Id="rId695" Type="http://schemas.openxmlformats.org/officeDocument/2006/relationships/hyperlink" Target="https://www.legislation.qld.gov.au/view/html/inforce/current/act-2003-027" TargetMode="External"/><Relationship Id="rId709" Type="http://schemas.openxmlformats.org/officeDocument/2006/relationships/hyperlink" Target="http://www.austlii.edu.au/au/legis/sa/consol_act/rtwa2014207/s130.html" TargetMode="External"/><Relationship Id="rId916" Type="http://schemas.openxmlformats.org/officeDocument/2006/relationships/hyperlink" Target="http://www8.austlii.edu.au/cgi-bin/viewdoc/au/legis/act/consol_act/wca1951255/s82.html" TargetMode="External"/><Relationship Id="rId1101" Type="http://schemas.openxmlformats.org/officeDocument/2006/relationships/hyperlink" Target="https://www.worksafe.vic.gov.au/pages/injury-and-claims/online-claims-manual" TargetMode="External"/><Relationship Id="rId1546" Type="http://schemas.openxmlformats.org/officeDocument/2006/relationships/hyperlink" Target="https://www.worksafe.vic.gov.au/return-to-work" TargetMode="External"/><Relationship Id="rId1753" Type="http://schemas.openxmlformats.org/officeDocument/2006/relationships/hyperlink" Target="http://www.austlii.edu.au/cgi-bin/viewdb/au/legis/nsw/consol_act/wimawca1998540/s49.html" TargetMode="External"/><Relationship Id="rId1960" Type="http://schemas.openxmlformats.org/officeDocument/2006/relationships/hyperlink" Target="https://www.worksafe.qld.gov.au/service-providers/allied-health-fees" TargetMode="External"/><Relationship Id="rId2169" Type="http://schemas.openxmlformats.org/officeDocument/2006/relationships/hyperlink" Target="http://www5.austlii.edu.au/au/legis/nsw/consol_act/wcda1942388/sch1.html" TargetMode="External"/><Relationship Id="rId45" Type="http://schemas.openxmlformats.org/officeDocument/2006/relationships/hyperlink" Target="mailto:fiona.tuckwell@dva.gov.au" TargetMode="External"/><Relationship Id="rId110" Type="http://schemas.openxmlformats.org/officeDocument/2006/relationships/hyperlink" Target="http://www.legislation.govt.nz/act/public/2001/0049/latest/DLM100103.html" TargetMode="External"/><Relationship Id="rId348" Type="http://schemas.openxmlformats.org/officeDocument/2006/relationships/hyperlink" Target="http://www8.austlii.edu.au/cgi-bin/viewdoc/au/legis/nt/consol_act/rtwa207/s84.html" TargetMode="External"/><Relationship Id="rId555" Type="http://schemas.openxmlformats.org/officeDocument/2006/relationships/hyperlink" Target="http://www8.austlii.edu.au/cgi-bin/viewdoc/au/legis/cth/consol_act/sraca1992381/s137.html" TargetMode="External"/><Relationship Id="rId762" Type="http://schemas.openxmlformats.org/officeDocument/2006/relationships/hyperlink" Target="http://www8.austlii.edu.au/cgi-bin/viewdoc/au/legis/vic/num_act/wiraca201367o2013530/s46.html" TargetMode="External"/><Relationship Id="rId1185" Type="http://schemas.openxmlformats.org/officeDocument/2006/relationships/hyperlink" Target="http://www8.austlii.edu.au/cgi-bin/viewdoc/au/legis/cth/consol_act/sraca1992381/s51.html" TargetMode="External"/><Relationship Id="rId1392" Type="http://schemas.openxmlformats.org/officeDocument/2006/relationships/hyperlink" Target="http://www.austlii.edu.au/cgi-bin/viewdb/au/legis/vic/consol_act/wiraca2013484/s116.html" TargetMode="External"/><Relationship Id="rId1406" Type="http://schemas.openxmlformats.org/officeDocument/2006/relationships/hyperlink" Target="http://www.austlii.edu.au/cgi-bin/viewdb/au/legis/wa/consol_act/wcaima1981445/s182l.html" TargetMode="External"/><Relationship Id="rId1613" Type="http://schemas.openxmlformats.org/officeDocument/2006/relationships/hyperlink" Target="http://www.austlii.edu.au/cgi-bin/viewdb/au/legis/cth/consol_act/sraca1992381/s52.html" TargetMode="External"/><Relationship Id="rId1820" Type="http://schemas.openxmlformats.org/officeDocument/2006/relationships/hyperlink" Target="http://www.austlii.edu.au/au/legis/sa/consol_act/rtwa2014207/s48.html" TargetMode="External"/><Relationship Id="rId2029" Type="http://schemas.openxmlformats.org/officeDocument/2006/relationships/hyperlink" Target="https://www.rtwsa.com/__data/assets/pdf_file/0004/52996/Self-insured-code-of-conduct.pdf" TargetMode="External"/><Relationship Id="rId2236" Type="http://schemas.openxmlformats.org/officeDocument/2006/relationships/hyperlink" Target="http://www.austlii.edu.au/cgi-bin/viewdb/au/legis/wa/consol_act/wcaima1981445/sch3.html" TargetMode="External"/><Relationship Id="rId194" Type="http://schemas.openxmlformats.org/officeDocument/2006/relationships/hyperlink" Target="http://www.thelaw.tas.gov.au/tocview/index.w3p;cond=ALL;doc_id=4%2B%2B1988%2BAT%40EN%2B20150327100000;histon=;prompt=;rec=;term=Workers%20Rehabilitation" TargetMode="External"/><Relationship Id="rId208" Type="http://schemas.openxmlformats.org/officeDocument/2006/relationships/hyperlink" Target="http://www.comlaw.gov.au/Series/C2004A03668" TargetMode="External"/><Relationship Id="rId415" Type="http://schemas.openxmlformats.org/officeDocument/2006/relationships/hyperlink" Target="http://www.thelaw.tas.gov.au/tocview/content.w3p;cond=;doc_id=4%2B%2B1988%2BGS77AA%40EN%2B20151223090000;histon=;inforequest=;prompt=;rec=;term=" TargetMode="External"/><Relationship Id="rId622" Type="http://schemas.openxmlformats.org/officeDocument/2006/relationships/hyperlink" Target="https://www.legislation.qld.gov.au/view/html/inforce/current/act-2003-027" TargetMode="External"/><Relationship Id="rId1045" Type="http://schemas.openxmlformats.org/officeDocument/2006/relationships/hyperlink" Target="http://www8.austlii.edu.au/cgi-bin/viewdoc/au/legis/act/consol_act/wca1951255/s36g.html" TargetMode="External"/><Relationship Id="rId1252" Type="http://schemas.openxmlformats.org/officeDocument/2006/relationships/hyperlink" Target="http://www8.austlii.edu.au/cgi-bin/viewdoc/au/legis/vic/num_act/wiraca201367o2013530/s241.html" TargetMode="External"/><Relationship Id="rId1697" Type="http://schemas.openxmlformats.org/officeDocument/2006/relationships/hyperlink" Target="http://www.austlii.edu.au/cgi-bin/viewdb/au/legis/cth/consol_act/sraca1988368/s4.html" TargetMode="External"/><Relationship Id="rId1918" Type="http://schemas.openxmlformats.org/officeDocument/2006/relationships/hyperlink" Target="https://prod.wsvdigital.com.au/sites/default/files/2018-06/ISBN-Provider-application-for-approval-to-conduct-role-of-a-return-to-work-coordinator-training-program-2013-08.pdf" TargetMode="External"/><Relationship Id="rId2082" Type="http://schemas.openxmlformats.org/officeDocument/2006/relationships/hyperlink" Target="http://www.workcover.tas.gov.au/__data/assets/pdf_file/0005/276494/Permit_Conditions_Version_5_November_2013.pdf" TargetMode="External"/><Relationship Id="rId261" Type="http://schemas.openxmlformats.org/officeDocument/2006/relationships/hyperlink" Target="http://www.thelaw.tas.gov.au/tocview/content.w3p;cond=;doc_id=4%2B%2B1988%2BGS69B%40EN%2B20151223090000;histon=;inforequest=;prompt=;rec=;term=" TargetMode="External"/><Relationship Id="rId499" Type="http://schemas.openxmlformats.org/officeDocument/2006/relationships/hyperlink" Target="http://www.thelaw.tas.gov.au/tocview/content.w3p;cond=;doc_id=4%2B%2B1988%2BGS97%40EN%2B20151223090000;histon=;inforequest=;prompt=;rec=;term=" TargetMode="External"/><Relationship Id="rId927" Type="http://schemas.openxmlformats.org/officeDocument/2006/relationships/hyperlink" Target="http://www8.austlii.edu.au/cgi-bin/viewdoc/au/legis/cth/consol_act/sraca1988368/s14.html" TargetMode="External"/><Relationship Id="rId1112" Type="http://schemas.openxmlformats.org/officeDocument/2006/relationships/hyperlink" Target="https://www.legislation.qld.gov.au/view/html/inforce/current/act-2003-027" TargetMode="External"/><Relationship Id="rId1557" Type="http://schemas.openxmlformats.org/officeDocument/2006/relationships/hyperlink" Target="http://www.workcover.wa.gov.au/health-providers/workplace-rehabilitation-providers/" TargetMode="External"/><Relationship Id="rId1764" Type="http://schemas.openxmlformats.org/officeDocument/2006/relationships/hyperlink" Target="http://www.austlii.edu.au/cgi-bin/viewdb/au/legis/vic/consol_act/wiraca2013484/s118.html" TargetMode="External"/><Relationship Id="rId1971" Type="http://schemas.openxmlformats.org/officeDocument/2006/relationships/hyperlink" Target="http://www.austlii.edu.au/cgi-bin/viewdb/au/legis/cth/consol_act/sracca1988512/s41.html" TargetMode="External"/><Relationship Id="rId56" Type="http://schemas.openxmlformats.org/officeDocument/2006/relationships/hyperlink" Target="https://www.worksafe.vic.gov.au/" TargetMode="External"/><Relationship Id="rId359" Type="http://schemas.openxmlformats.org/officeDocument/2006/relationships/hyperlink" Target="http://www8.austlii.edu.au/cgi-bin/viewdoc/au/legis/nsw/consol_act/wimawca1998540/s279.html" TargetMode="External"/><Relationship Id="rId566" Type="http://schemas.openxmlformats.org/officeDocument/2006/relationships/hyperlink" Target="http://www.workcover.wa.gov.au/content/uploads/2014/Documents/Health%20providers/AMS/Publication_Technical-Note-on-Contractors-workers-compensation.pdf" TargetMode="External"/><Relationship Id="rId773" Type="http://schemas.openxmlformats.org/officeDocument/2006/relationships/hyperlink" Target="https://www.legislation.qld.gov.au/view/html/inforce/current/act-2003-027" TargetMode="External"/><Relationship Id="rId1196" Type="http://schemas.openxmlformats.org/officeDocument/2006/relationships/hyperlink" Target="http://www8.austlii.edu.au/cgi-bin/viewdoc/au/legis/cth/consol_act/mraca2004397/s215.html" TargetMode="External"/><Relationship Id="rId1417" Type="http://schemas.openxmlformats.org/officeDocument/2006/relationships/hyperlink" Target="http://www.austlii.edu.au/cgi-bin/viewdb/au/legis/sa/consol_act/rtwa2014207/s48.html" TargetMode="External"/><Relationship Id="rId1624" Type="http://schemas.openxmlformats.org/officeDocument/2006/relationships/hyperlink" Target="http://www.austlii.edu.au/cgi-bin/viewdb/au/legis/nsw/consol_act/wimawca1998540/s52.html" TargetMode="External"/><Relationship Id="rId1831" Type="http://schemas.openxmlformats.org/officeDocument/2006/relationships/hyperlink" Target="http://www.thelaw.tas.gov.au/tocview/content.w3p;cond=;doc_id=4%2B%2B1988%2BGS90C%40EN%2B20151224140000;histon=;inforequest=;prompt=;rec=;term=" TargetMode="External"/><Relationship Id="rId2247" Type="http://schemas.openxmlformats.org/officeDocument/2006/relationships/hyperlink" Target="http://www.legislation.govt.nz/act/public/2001/0049/latest/link.aspx?id=DLM105458" TargetMode="External"/><Relationship Id="rId121" Type="http://schemas.openxmlformats.org/officeDocument/2006/relationships/hyperlink" Target="http://www8.austlii.edu.au/cgi-bin/viewdoc/au/legis/act/consol_act/wca1951255/s8.html" TargetMode="External"/><Relationship Id="rId219" Type="http://schemas.openxmlformats.org/officeDocument/2006/relationships/hyperlink" Target="http://www8.austlii.edu.au/cgi-bin/viewdoc/au/legis/cth/consol_act/sracca1988512/s5a.html" TargetMode="External"/><Relationship Id="rId426" Type="http://schemas.openxmlformats.org/officeDocument/2006/relationships/hyperlink" Target="http://www8.austlii.edu.au/cgi-bin/viewdoc/au/legis/vic/num_act/wiraca201367o2013530/s273.html" TargetMode="External"/><Relationship Id="rId633" Type="http://schemas.openxmlformats.org/officeDocument/2006/relationships/hyperlink" Target="http://www8.austlii.edu.au/cgi-bin/viewdoc/au/legis/wa/consol_act/wcaima1981445/s14.html" TargetMode="External"/><Relationship Id="rId980" Type="http://schemas.openxmlformats.org/officeDocument/2006/relationships/hyperlink" Target="http://www8.austlii.edu.au/cgi-bin/viewdoc/au/legis/cth/consol_act/sracca1988512/s5a.html" TargetMode="External"/><Relationship Id="rId1056" Type="http://schemas.openxmlformats.org/officeDocument/2006/relationships/hyperlink" Target="http://www.austlii.edu.au/cgi-bin/viewdb/au/legis/cth/consol_act/sraca1988368/s23.html" TargetMode="External"/><Relationship Id="rId1263" Type="http://schemas.openxmlformats.org/officeDocument/2006/relationships/hyperlink" Target="http://www.austlii.edu.au/au/legis/sa/consol_act/rtwa2014207/s59.html" TargetMode="External"/><Relationship Id="rId1929" Type="http://schemas.openxmlformats.org/officeDocument/2006/relationships/hyperlink" Target="http://www.thelaw.tas.gov.au/tocview/content.w3p;cond=;doc_id=4%2B%2B1988%2BGS143B%40EN%2B20151224140000;histon=;inforequest=;prompt=;rec=;term=" TargetMode="External"/><Relationship Id="rId2093" Type="http://schemas.openxmlformats.org/officeDocument/2006/relationships/hyperlink" Target="http://www.rtwsa.com/__data/assets/pdf_file/0004/52996/Self-insured-code-of-conduct.pdf" TargetMode="External"/><Relationship Id="rId2107" Type="http://schemas.openxmlformats.org/officeDocument/2006/relationships/hyperlink" Target="http://www.austlii.edu.au/cgi-bin/viewdb/au/legis/vic/consol_act/wiraca2013484/s408.html" TargetMode="External"/><Relationship Id="rId840" Type="http://schemas.openxmlformats.org/officeDocument/2006/relationships/hyperlink" Target="http://www.worksafe.nt.gov.au/WorkersCompensation/Pages/Permanent-Impairment.aspx" TargetMode="External"/><Relationship Id="rId938" Type="http://schemas.openxmlformats.org/officeDocument/2006/relationships/hyperlink" Target="http://www8.austlii.edu.au/cgi-bin/viewdoc/au/legis/cth/consol_act/mraca2004397/s34.html" TargetMode="External"/><Relationship Id="rId1470"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1568" Type="http://schemas.openxmlformats.org/officeDocument/2006/relationships/hyperlink" Target="http://www.austlii.edu.au/cgi-bin/viewdb/au/legis/sa/consol_act/rtwa2014207/s52.html" TargetMode="External"/><Relationship Id="rId1775" Type="http://schemas.openxmlformats.org/officeDocument/2006/relationships/hyperlink" Target="http://www.austlii.edu.au/cgi-bin/viewdb/au/legis/cth/consol_act/sraca1988368/s37.html" TargetMode="External"/><Relationship Id="rId67" Type="http://schemas.openxmlformats.org/officeDocument/2006/relationships/hyperlink" Target="http://www.slp.wa.gov.au/legislation/statutes.nsf/main_mrtitle_1090_homepage.html" TargetMode="External"/><Relationship Id="rId272" Type="http://schemas.openxmlformats.org/officeDocument/2006/relationships/hyperlink" Target="http://www8.austlii.edu.au/cgi-bin/viewdoc/au/legis/nsw/consol_act/wimawca1998540/s44.html" TargetMode="External"/><Relationship Id="rId577" Type="http://schemas.openxmlformats.org/officeDocument/2006/relationships/hyperlink" Target="http://www8.austlii.edu.au/cgi-bin/viewdoc/au/legis/cth/consol_act/sraca1988368/s4.html" TargetMode="External"/><Relationship Id="rId700" Type="http://schemas.openxmlformats.org/officeDocument/2006/relationships/hyperlink" Target="http://www.austlii.edu.au/au/legis/sa/consol_act/rtwa2014207/s69.html" TargetMode="External"/><Relationship Id="rId1123" Type="http://schemas.openxmlformats.org/officeDocument/2006/relationships/hyperlink" Target="https://www.legislation.qld.gov.au/view/html/inforce/current/act-2003-027" TargetMode="External"/><Relationship Id="rId1330" Type="http://schemas.openxmlformats.org/officeDocument/2006/relationships/hyperlink" Target="http://www.austlii.edu.au/cgi-bin/viewdb/au/legis/cth/consol_act/sraca1992381/s29.html" TargetMode="External"/><Relationship Id="rId1428" Type="http://schemas.openxmlformats.org/officeDocument/2006/relationships/hyperlink" Target="http://www.austlii.edu.au/cgi-bin/viewdb/au/legis/nt/consol_act/rtwa207/s75b.html" TargetMode="External"/><Relationship Id="rId1635" Type="http://schemas.openxmlformats.org/officeDocument/2006/relationships/hyperlink" Target="https://www.legislation.qld.gov.au/view/html/inforce/current/act-2003-027" TargetMode="External"/><Relationship Id="rId1982" Type="http://schemas.openxmlformats.org/officeDocument/2006/relationships/hyperlink" Target="http://www.austlii.edu.au/au/legis/sa/consol_act/rtwa2014207/s25.html" TargetMode="External"/><Relationship Id="rId2160" Type="http://schemas.openxmlformats.org/officeDocument/2006/relationships/hyperlink" Target="http://www5.austlii.edu.au/au/legis/sa/consol_reg/rtwr2015316/index.html" TargetMode="External"/><Relationship Id="rId132" Type="http://schemas.openxmlformats.org/officeDocument/2006/relationships/hyperlink" Target="http://www8.austlii.edu.au/cgi-bin/viewdoc/au/legis/nsw/consol_act/wca1987255/s11.html" TargetMode="External"/><Relationship Id="rId784" Type="http://schemas.openxmlformats.org/officeDocument/2006/relationships/hyperlink" Target="http://www8.austlii.edu.au/cgi-bin/viewdoc/au/legis/vic/num_act/wiraca201367o2013530/s40.html" TargetMode="External"/><Relationship Id="rId991" Type="http://schemas.openxmlformats.org/officeDocument/2006/relationships/hyperlink" Target="http://www.sira.nsw.gov.au/__data/assets/pdf_file/0010/68599/continuation-weekly-payments-130-weeks-form.pdf" TargetMode="External"/><Relationship Id="rId1067" Type="http://schemas.openxmlformats.org/officeDocument/2006/relationships/hyperlink" Target="http://www.austlii.edu.au/cgi-bin/viewdb/au/legis/cth/consol_act/sraca1992381/s38.html" TargetMode="External"/><Relationship Id="rId1842" Type="http://schemas.openxmlformats.org/officeDocument/2006/relationships/hyperlink" Target="http://www.austlii.edu.au/cgi-bin/viewdb/au/legis/act/consol_act/wca1951255/s101.html" TargetMode="External"/><Relationship Id="rId2020" Type="http://schemas.openxmlformats.org/officeDocument/2006/relationships/hyperlink" Target="https://www.legislation.qld.gov.au/view/html/inforce/current/act-2003-027" TargetMode="External"/><Relationship Id="rId437" Type="http://schemas.openxmlformats.org/officeDocument/2006/relationships/hyperlink" Target="https://www.legislation.qld.gov.au/view/html/inforce/current/act-2003-027" TargetMode="External"/><Relationship Id="rId644" Type="http://schemas.openxmlformats.org/officeDocument/2006/relationships/hyperlink" Target="http://www.thelaw.tas.gov.au/tocview/content.w3p;cond=;doc_id=4%2B%2B1988%2BGS6%40EN%2B20151223090000;histon=;inforequest=;prompt=;rec=;term=" TargetMode="External"/><Relationship Id="rId851" Type="http://schemas.openxmlformats.org/officeDocument/2006/relationships/hyperlink" Target="http://www8.austlii.edu.au/cgi-bin/viewdoc/au/legis/cth/consol_act/sracca1988512/s4.html" TargetMode="External"/><Relationship Id="rId1274" Type="http://schemas.openxmlformats.org/officeDocument/2006/relationships/hyperlink" Target="http://www8.austlii.edu.au/cgi-bin/viewdoc/au/legis/nt/consol_act/rtwa207/s63.html" TargetMode="External"/><Relationship Id="rId1481" Type="http://schemas.openxmlformats.org/officeDocument/2006/relationships/hyperlink" Target="http://www.austlii.edu.au/cgi-bin/viewdb/au/legis/act/consol_act/wca1951255/s138.html" TargetMode="External"/><Relationship Id="rId1579" Type="http://schemas.openxmlformats.org/officeDocument/2006/relationships/hyperlink" Target="http://www.workcover.tas.gov.au/__data/assets/word_doc/0007/276775/Workplace_Rehabilitation_Provider_-_Tasmanian_additional_requirements_to_operate.docx" TargetMode="External"/><Relationship Id="rId1702" Type="http://schemas.openxmlformats.org/officeDocument/2006/relationships/hyperlink" Target="http://www.austlii.edu.au/cgi-bin/viewdb/au/legis/cth/consol_act/sraca1992381/s49.html" TargetMode="External"/><Relationship Id="rId2118" Type="http://schemas.openxmlformats.org/officeDocument/2006/relationships/hyperlink" Target="http://www.austlii.edu.au/cgi-bin/viewdb/au/legis/sa/consol_act/rtwa2014207/s167.html" TargetMode="External"/><Relationship Id="rId283" Type="http://schemas.openxmlformats.org/officeDocument/2006/relationships/hyperlink" Target="http://www.thelaw.tas.gov.au/tocview/content.w3p;cond=;doc_id=4%2B%2B1988%2BGS32%40EN%2B20151223090000;histon=;inforequest=;prompt=;rec=;term=" TargetMode="External"/><Relationship Id="rId490" Type="http://schemas.openxmlformats.org/officeDocument/2006/relationships/hyperlink" Target="https://www.rtwsa.com/search?query=remuneration" TargetMode="External"/><Relationship Id="rId504" Type="http://schemas.openxmlformats.org/officeDocument/2006/relationships/hyperlink" Target="http://www.thelaw.tas.gov.au/tocview/content.w3p;cond=;doc_id=4%2B%2B1988%2BGS97%40EN%2B20151223090000;histon=;inforequest=;prompt=;rec=;term=" TargetMode="External"/><Relationship Id="rId711" Type="http://schemas.openxmlformats.org/officeDocument/2006/relationships/hyperlink" Target="http://www.thelaw.tas.gov.au/tocview/content.w3p;cond=;doc_id=4%2B%2B1988%2BGS114%40EN%2B20151223090000;histon=;inforequest=;prompt=;rec=;term=" TargetMode="External"/><Relationship Id="rId949" Type="http://schemas.openxmlformats.org/officeDocument/2006/relationships/hyperlink" Target="http://www.legislation.govt.nz/act/public/2001/0049/latest/DLM100687.html" TargetMode="External"/><Relationship Id="rId1134" Type="http://schemas.openxmlformats.org/officeDocument/2006/relationships/hyperlink" Target="https://www.legislation.qld.gov.au/view/html/inforce/current/act-2003-027" TargetMode="External"/><Relationship Id="rId1341" Type="http://schemas.openxmlformats.org/officeDocument/2006/relationships/hyperlink" Target="http://www.austlii.edu.au/cgi-bin/viewdb/au/legis/cth/consol_act/sracca1988512/s4.html" TargetMode="External"/><Relationship Id="rId1786" Type="http://schemas.openxmlformats.org/officeDocument/2006/relationships/hyperlink" Target="http://www.austlii.edu.au/cgi-bin/viewdb/au/legis/nsw/consol_act/wimawca1998540/s119.html" TargetMode="External"/><Relationship Id="rId1993" Type="http://schemas.openxmlformats.org/officeDocument/2006/relationships/hyperlink" Target="https://www.legislation.qld.gov.au/view/html/inforce/current/act-2003-027" TargetMode="External"/><Relationship Id="rId2171" Type="http://schemas.openxmlformats.org/officeDocument/2006/relationships/hyperlink" Target="http://www.legislation.nsw.gov.au/" TargetMode="External"/><Relationship Id="rId78" Type="http://schemas.openxmlformats.org/officeDocument/2006/relationships/hyperlink" Target="http://www.cmd.act.gov.au/" TargetMode="External"/><Relationship Id="rId143" Type="http://schemas.openxmlformats.org/officeDocument/2006/relationships/hyperlink" Target="http://www8.austlii.edu.au/cgi-bin/viewdoc/au/legis/wa/consol_act/wcaima1981445/s19.html" TargetMode="External"/><Relationship Id="rId350" Type="http://schemas.openxmlformats.org/officeDocument/2006/relationships/hyperlink" Target="http://www8.austlii.edu.au/cgi-bin/viewdoc/au/legis/nsw/consol_act/wimawca1998540/s280.html" TargetMode="External"/><Relationship Id="rId588" Type="http://schemas.openxmlformats.org/officeDocument/2006/relationships/hyperlink" Target="https://www.worksafe.qld.gov.au/insurance/which-insurance-product-is-right-for-you/accident-insurance/who-should-i-cover/worker-determination-from-1-July-2013" TargetMode="External"/><Relationship Id="rId795" Type="http://schemas.openxmlformats.org/officeDocument/2006/relationships/hyperlink" Target="http://www.thelaw.tas.gov.au/tocview/content.w3p;cond=;doc_id=4%2B%2B1988%2BGS25%40EN%2B20151223090000;histon=;inforequest=;prompt=;rec=;term=" TargetMode="External"/><Relationship Id="rId809" Type="http://schemas.openxmlformats.org/officeDocument/2006/relationships/hyperlink" Target="http://www8.austlii.edu.au/cgi-bin/viewdoc/au/legis/cth/consol_act/sraca1988368/s5a.html" TargetMode="External"/><Relationship Id="rId1201" Type="http://schemas.openxmlformats.org/officeDocument/2006/relationships/hyperlink" Target="http://www8.austlii.edu.au/cgi-bin/viewdoc/au/legis/cth/consol_act/mraca2004397/s212.html" TargetMode="External"/><Relationship Id="rId1439" Type="http://schemas.openxmlformats.org/officeDocument/2006/relationships/hyperlink" Target="http://www.austlii.edu.au/cgi-bin/viewdb/au/legis/cth/consol_act/sraca1988368/s37.html" TargetMode="External"/><Relationship Id="rId1646" Type="http://schemas.openxmlformats.org/officeDocument/2006/relationships/hyperlink" Target="http://www.austlii.edu.au/cgi-bin/viewdb/au/legis/sa/consol_act/rtwa2014207/s25.html" TargetMode="External"/><Relationship Id="rId1853" Type="http://schemas.openxmlformats.org/officeDocument/2006/relationships/hyperlink" Target="http://www.austlii.edu.au/cgi-bin/viewdb/au/legis/cth/consol_act/sraca1988368/s36.html" TargetMode="External"/><Relationship Id="rId2031" Type="http://schemas.openxmlformats.org/officeDocument/2006/relationships/hyperlink" Target="http://www.austlii.edu.au/au/legis/sa/consol_reg/rtwr2015316/s53.html" TargetMode="External"/><Relationship Id="rId9" Type="http://schemas.openxmlformats.org/officeDocument/2006/relationships/image" Target="media/image2.png"/><Relationship Id="rId210" Type="http://schemas.openxmlformats.org/officeDocument/2006/relationships/hyperlink" Target="http://www.comlaw.gov.au/Series/C2004A03668" TargetMode="External"/><Relationship Id="rId448" Type="http://schemas.openxmlformats.org/officeDocument/2006/relationships/hyperlink" Target="https://www.legislation.sa.gov.au/LZ/C/A/RETURN%20TO%20WORK%20ACT%202014/CURRENT/2014.16.UN.PDF" TargetMode="External"/><Relationship Id="rId655" Type="http://schemas.openxmlformats.org/officeDocument/2006/relationships/hyperlink" Target="http://www8.austlii.edu.au/cgi-bin/viewdoc/au/legis/nt/consol_act/rtwa207/s3.html" TargetMode="External"/><Relationship Id="rId862" Type="http://schemas.openxmlformats.org/officeDocument/2006/relationships/hyperlink" Target="http://www8.austlii.edu.au/cgi-bin/viewdoc/au/legis/wa/consol_act/wcaima1981445/s146r.html" TargetMode="External"/><Relationship Id="rId1078" Type="http://schemas.openxmlformats.org/officeDocument/2006/relationships/hyperlink" Target="http://www8.austlii.edu.au/cgi-bin/viewdoc/au/legis/cth/consol_act/sracca1988512/s20.html" TargetMode="External"/><Relationship Id="rId1285" Type="http://schemas.openxmlformats.org/officeDocument/2006/relationships/hyperlink" Target="http://www8.austlii.edu.au/cgi-bin/viewdoc/au/legis/cth/consol_act/sraca1992381/s29.html" TargetMode="External"/><Relationship Id="rId1492" Type="http://schemas.openxmlformats.org/officeDocument/2006/relationships/hyperlink" Target="http://www.austlii.edu.au/cgi-bin/viewdb/au/legis/vic/consol_act/wiraca2013484/s98.html" TargetMode="External"/><Relationship Id="rId1506" Type="http://schemas.openxmlformats.org/officeDocument/2006/relationships/hyperlink" Target="http://www.austlii.edu.au/cgi-bin/viewdb/au/legis/vic/consol_act/wiraca2013484/s112.html" TargetMode="External"/><Relationship Id="rId1713" Type="http://schemas.openxmlformats.org/officeDocument/2006/relationships/hyperlink" Target="http://www.legislation.govt.nz/act/public/2001/0049/latest/link.aspx?id=DLM101433" TargetMode="External"/><Relationship Id="rId1920" Type="http://schemas.openxmlformats.org/officeDocument/2006/relationships/hyperlink" Target="https://www.legislation.qld.gov.au/view/html/inforce/current/act-2003-027" TargetMode="External"/><Relationship Id="rId2129" Type="http://schemas.openxmlformats.org/officeDocument/2006/relationships/hyperlink" Target="http://www.legislation.vic.gov.au/" TargetMode="External"/><Relationship Id="rId294" Type="http://schemas.openxmlformats.org/officeDocument/2006/relationships/hyperlink" Target="http://www.legislation.govt.nz/act/public/2001/0049/latest/DLM100979.html" TargetMode="External"/><Relationship Id="rId308" Type="http://schemas.openxmlformats.org/officeDocument/2006/relationships/hyperlink" Target="http://www8.austlii.edu.au/cgi-bin/viewdoc/au/legis/nt/consol_act/rtwa207/s182.html" TargetMode="External"/><Relationship Id="rId515" Type="http://schemas.openxmlformats.org/officeDocument/2006/relationships/hyperlink" Target="http://www8.austlii.edu.au/cgi-bin/viewdoc/au/legis/wa/consol_act/wcaima1981445/s174aa.html" TargetMode="External"/><Relationship Id="rId722" Type="http://schemas.openxmlformats.org/officeDocument/2006/relationships/hyperlink" Target="http://www8.austlii.edu.au/cgi-bin/viewdoc/au/legis/wa/consol_act/wcaima1981445/s24a.html" TargetMode="External"/><Relationship Id="rId1145" Type="http://schemas.openxmlformats.org/officeDocument/2006/relationships/hyperlink" Target="http://www.austlii.edu.au/au/legis/sa/consol_act/rtwa2014207/s7.html" TargetMode="External"/><Relationship Id="rId1352" Type="http://schemas.openxmlformats.org/officeDocument/2006/relationships/hyperlink" Target="http://www.austlii.edu.au/cgi-bin/viewdb/au/legis/vic/consol_act/wiraca2013484/s340.html" TargetMode="External"/><Relationship Id="rId1797" Type="http://schemas.openxmlformats.org/officeDocument/2006/relationships/hyperlink" Target="https://www.legislation.qld.gov.au/view/html/inforce/current/act-2003-027" TargetMode="External"/><Relationship Id="rId2182" Type="http://schemas.openxmlformats.org/officeDocument/2006/relationships/hyperlink" Target="http://classic.austlii.edu.au/au/legis/sa/repealed_act/wraca1986400/index.html" TargetMode="External"/><Relationship Id="rId89" Type="http://schemas.openxmlformats.org/officeDocument/2006/relationships/hyperlink" Target="http://www8.austlii.edu.au/cgi-bin/viewdoc/au/legis/nsw/consol_act/wimawca1998540/s4.html" TargetMode="External"/><Relationship Id="rId154" Type="http://schemas.openxmlformats.org/officeDocument/2006/relationships/hyperlink" Target="http://www8.austlii.edu.au/cgi-bin/viewdoc/au/legis/nt/consol_act/rtwa207/s4.html" TargetMode="External"/><Relationship Id="rId361" Type="http://schemas.openxmlformats.org/officeDocument/2006/relationships/hyperlink" Target="https://www.legislation.qld.gov.au/view/html/inforce/current/act-2003-027" TargetMode="External"/><Relationship Id="rId599" Type="http://schemas.openxmlformats.org/officeDocument/2006/relationships/hyperlink" Target="http://www8.austlii.edu.au/cgi-bin/viewdoc/au/legis/cth/consol_act/mraca2004397/s7a.html" TargetMode="External"/><Relationship Id="rId1005" Type="http://schemas.openxmlformats.org/officeDocument/2006/relationships/hyperlink" Target="https://www.legislation.qld.gov.au/view/html/inforce/current/act-2003-027" TargetMode="External"/><Relationship Id="rId1212" Type="http://schemas.openxmlformats.org/officeDocument/2006/relationships/hyperlink" Target="https://www.legislation.qld.gov.au/view/html/inforce/current/act-2003-027" TargetMode="External"/><Relationship Id="rId1657" Type="http://schemas.openxmlformats.org/officeDocument/2006/relationships/hyperlink" Target="http://www.worksafe.nt.gov.au/PDF%20Conversion/return-to-work-plan.pdf" TargetMode="External"/><Relationship Id="rId1864" Type="http://schemas.openxmlformats.org/officeDocument/2006/relationships/hyperlink" Target="http://www.austlii.edu.au/cgi-bin/viewdb/au/legis/cth/consol_act/sracca1988512/s36.html" TargetMode="External"/><Relationship Id="rId2042" Type="http://schemas.openxmlformats.org/officeDocument/2006/relationships/hyperlink" Target="https://www.legislation.qld.gov.au/view/html/inforce/current/act-2011-018" TargetMode="External"/><Relationship Id="rId459" Type="http://schemas.openxmlformats.org/officeDocument/2006/relationships/hyperlink" Target="https://www.legislation.sa.gov.au/LZ/C/A/RETURN%20TO%20WORK%20ACT%202014.aspx" TargetMode="External"/><Relationship Id="rId666" Type="http://schemas.openxmlformats.org/officeDocument/2006/relationships/hyperlink" Target="http://www8.austlii.edu.au/cgi-bin/viewdoc/au/legis/act/consol_act/wca1951255/s11.html" TargetMode="External"/><Relationship Id="rId873" Type="http://schemas.openxmlformats.org/officeDocument/2006/relationships/hyperlink" Target="http://www8.austlii.edu.au/cgi-bin/viewdoc/au/legis/cth/consol_act/sraca1988368/s28.html" TargetMode="External"/><Relationship Id="rId1089" Type="http://schemas.openxmlformats.org/officeDocument/2006/relationships/hyperlink" Target="http://www8.austlii.edu.au/cgi-bin/viewdoc/au/legis/nsw/consol_act/wca1987255/s59.html" TargetMode="External"/><Relationship Id="rId1296" Type="http://schemas.openxmlformats.org/officeDocument/2006/relationships/hyperlink" Target="http://www8.austlii.edu.au/cgi-bin/viewdoc/au/legis/cth/consol_act/mraca2004397/s258.html" TargetMode="External"/><Relationship Id="rId1517" Type="http://schemas.openxmlformats.org/officeDocument/2006/relationships/hyperlink" Target="http://www.austlii.edu.au/cgi-bin/viewdb/au/legis/vic/consol_act/wiraca2013484/s123.html" TargetMode="External"/><Relationship Id="rId1724" Type="http://schemas.openxmlformats.org/officeDocument/2006/relationships/hyperlink" Target="https://www.legislation.qld.gov.au/view/html/inforce/current/act-2003-027" TargetMode="External"/><Relationship Id="rId16" Type="http://schemas.openxmlformats.org/officeDocument/2006/relationships/image" Target="media/image3.jpeg"/><Relationship Id="rId221" Type="http://schemas.openxmlformats.org/officeDocument/2006/relationships/hyperlink" Target="http://www.comlaw.gov.au/Series/C2004A03668" TargetMode="External"/><Relationship Id="rId319" Type="http://schemas.openxmlformats.org/officeDocument/2006/relationships/hyperlink" Target="http://www8.austlii.edu.au/cgi-bin/viewdoc/au/legis/nsw/consol_act/wimawca1998540/s44.html" TargetMode="External"/><Relationship Id="rId526" Type="http://schemas.openxmlformats.org/officeDocument/2006/relationships/hyperlink" Target="http://www8.austlii.edu.au/cgi-bin/viewdoc/au/legis/nt/consol_act/rtwa207/s172.html" TargetMode="External"/><Relationship Id="rId1156" Type="http://schemas.openxmlformats.org/officeDocument/2006/relationships/hyperlink" Target="http://www.thelaw.tas.gov.au/tocview/content.w3p;cond=;doc_id=4%2B%2B1988%2BGS74%40EN%2B20151224080000;histon=;inforequest=;prompt=;rec=;term=" TargetMode="External"/><Relationship Id="rId1363" Type="http://schemas.openxmlformats.org/officeDocument/2006/relationships/hyperlink" Target="http://www.thelaw.tas.gov.au/tocview/content.w3p;cond=;doc_id=4%2B%2B1988%2BGS138AB%40EN%2B20151224080000;histon=;inforequest=;prompt=;rec=;term=" TargetMode="External"/><Relationship Id="rId1931" Type="http://schemas.openxmlformats.org/officeDocument/2006/relationships/hyperlink" Target="http://www.legislation.tas.gov.au/tocview/content.w3p;cond=;doc_id=4%2B%2B1988%2BGS143B%40Gs1%40EN%2B20110207140000;histon=;prompt=;rec=302;term=" TargetMode="External"/><Relationship Id="rId2207" Type="http://schemas.openxmlformats.org/officeDocument/2006/relationships/hyperlink" Target="http://classic.austlii.edu.au/au/legis/nsw/consol_reg/wcr2016346/sch1.html" TargetMode="External"/><Relationship Id="rId733" Type="http://schemas.openxmlformats.org/officeDocument/2006/relationships/hyperlink" Target="http://www8.austlii.edu.au/cgi-bin/viewdoc/au/legis/nsw/consol_act/wca1987255/s10.html" TargetMode="External"/><Relationship Id="rId940" Type="http://schemas.openxmlformats.org/officeDocument/2006/relationships/hyperlink" Target="http://www8.austlii.edu.au/cgi-bin/viewdoc/au/legis/cth/consol_act/mraca2004397/s36.html" TargetMode="External"/><Relationship Id="rId1016" Type="http://schemas.openxmlformats.org/officeDocument/2006/relationships/hyperlink" Target="http://www8.austlii.edu.au/cgi-bin/viewdoc/au/legis/wa/consol_act/wcaima1981445/s67.html" TargetMode="External"/><Relationship Id="rId1570" Type="http://schemas.openxmlformats.org/officeDocument/2006/relationships/hyperlink" Target="https://www.rtwsa.com/claims/returning-to-work/return-to-work-plan" TargetMode="External"/><Relationship Id="rId1668" Type="http://schemas.openxmlformats.org/officeDocument/2006/relationships/hyperlink" Target="http://www.austlii.edu.au/cgi-bin/viewdb/au/legis/vic/consol_act/wiraca2013484/s103.html" TargetMode="External"/><Relationship Id="rId1875" Type="http://schemas.openxmlformats.org/officeDocument/2006/relationships/hyperlink" Target="http://www.sira.nsw.gov.au/workers-compensation/help-with-getting-back-to-work/training" TargetMode="External"/><Relationship Id="rId2193" Type="http://schemas.openxmlformats.org/officeDocument/2006/relationships/hyperlink" Target="https://www.worksafe.qld.gov.au/__data/assets/pdf_file/0020/8057/Queensland-Government-Gazette.pdf" TargetMode="External"/><Relationship Id="rId165" Type="http://schemas.openxmlformats.org/officeDocument/2006/relationships/hyperlink" Target="http://www8.austlii.edu.au/cgi-bin/viewdoc/au/legis/cth/consol_act/mraca2004397/s27.html" TargetMode="External"/><Relationship Id="rId372" Type="http://schemas.openxmlformats.org/officeDocument/2006/relationships/hyperlink" Target="http://www8.austlii.edu.au/cgi-bin/viewdoc/au/legis/cth/consol_act/sraca1992381/s73.html" TargetMode="External"/><Relationship Id="rId677" Type="http://schemas.openxmlformats.org/officeDocument/2006/relationships/hyperlink" Target="http://www8.austlii.edu.au/cgi-bin/viewdoc/au/legis/cth/consol_act/sraca1988368/s5.html" TargetMode="External"/><Relationship Id="rId800" Type="http://schemas.openxmlformats.org/officeDocument/2006/relationships/hyperlink" Target="http://www8.austlii.edu.au/cgi-bin/viewdoc/au/legis/nt/consol_act/rtwa207/s4.html" TargetMode="External"/><Relationship Id="rId1223" Type="http://schemas.openxmlformats.org/officeDocument/2006/relationships/hyperlink" Target="http://www.workcover.wa.gov.au/workers/understanding-your-rights-obligations-entitlements/receiving-compensation/expenses/" TargetMode="External"/><Relationship Id="rId1430" Type="http://schemas.openxmlformats.org/officeDocument/2006/relationships/hyperlink" Target="http://www.austlii.edu.au/cgi-bin/viewdb/au/legis/nt/consol_act/rtwa207/s69.html" TargetMode="External"/><Relationship Id="rId1528" Type="http://schemas.openxmlformats.org/officeDocument/2006/relationships/hyperlink" Target="http://www.austlii.edu.au/cgi-bin/viewdb/au/legis/vic/consol_act/wiraca2013484/s609.html" TargetMode="External"/><Relationship Id="rId2053" Type="http://schemas.openxmlformats.org/officeDocument/2006/relationships/hyperlink" Target="http://www.austlii.edu.au/cgi-bin/viewdb/au/legis/vic/consol_act/wiraca2013484/s393.html" TargetMode="External"/><Relationship Id="rId232" Type="http://schemas.openxmlformats.org/officeDocument/2006/relationships/hyperlink" Target="http://www.comlaw.gov.au/Series/C2004A04121" TargetMode="External"/><Relationship Id="rId884" Type="http://schemas.openxmlformats.org/officeDocument/2006/relationships/hyperlink" Target="http://www.austlii.edu.au/cgi-bin/viewdoc/au/legis/cth/consol_act/sraca1988368/s28.html" TargetMode="External"/><Relationship Id="rId1735" Type="http://schemas.openxmlformats.org/officeDocument/2006/relationships/hyperlink" Target="http://www.thelaw.tas.gov.au/tocview/content.w3p;cond=;doc_id=4%2B%2B1988%2BGS143L%40EN%2B20151224140000;histon=;inforequest=;prompt=;rec=;term=" TargetMode="External"/><Relationship Id="rId1942" Type="http://schemas.openxmlformats.org/officeDocument/2006/relationships/hyperlink" Target="http://www.austlii.edu.au/cgi-bin/viewdb/au/legis/vic/consol_act/wiraca2013484/s3.html" TargetMode="External"/><Relationship Id="rId2120" Type="http://schemas.openxmlformats.org/officeDocument/2006/relationships/hyperlink" Target="http://www.workcover.tas.gov.au/insurance/self_insurers/guidelines_for_self_insurers/how_to_apply_to_cease_being_a_permit_holder" TargetMode="External"/><Relationship Id="rId27" Type="http://schemas.openxmlformats.org/officeDocument/2006/relationships/hyperlink" Target="http://www.worksafe.qld.gov.au/" TargetMode="External"/><Relationship Id="rId537" Type="http://schemas.openxmlformats.org/officeDocument/2006/relationships/hyperlink" Target="http://www.austlii.edu.au/au/legis/sa/consol_act/rtwa2014207/s50.html" TargetMode="External"/><Relationship Id="rId744" Type="http://schemas.openxmlformats.org/officeDocument/2006/relationships/hyperlink" Target="http://www8.austlii.edu.au/cgi-bin/viewdoc/au/legis/cth/consol_act/mraca2004397/s27.html" TargetMode="External"/><Relationship Id="rId951" Type="http://schemas.openxmlformats.org/officeDocument/2006/relationships/hyperlink" Target="http://www.legislation.govt.nz/act/public/2001/0049/latest/DLM101487.html" TargetMode="External"/><Relationship Id="rId1167" Type="http://schemas.openxmlformats.org/officeDocument/2006/relationships/hyperlink" Target="http://www8.austlii.edu.au/cgi-bin/viewdoc/au/legis/nt/consol_act/rtwa207/s78.html" TargetMode="External"/><Relationship Id="rId1374" Type="http://schemas.openxmlformats.org/officeDocument/2006/relationships/hyperlink" Target="http://www.austlii.edu.au/cgi-bin/viewdb/au/legis/cth/consol_act/mraca2004397/s389.html" TargetMode="External"/><Relationship Id="rId1581" Type="http://schemas.openxmlformats.org/officeDocument/2006/relationships/hyperlink" Target="http://www.workcover.tas.gov.au/home" TargetMode="External"/><Relationship Id="rId1679" Type="http://schemas.openxmlformats.org/officeDocument/2006/relationships/hyperlink" Target="http://www.workcover.wa.gov.au/content/uploads/2014/09/Guide-for-employers-2017.pdf" TargetMode="External"/><Relationship Id="rId1802" Type="http://schemas.openxmlformats.org/officeDocument/2006/relationships/hyperlink" Target="http://classic.austlii.edu.au/au/legis/qld/consol_reg/wcarr2014491/s106.html" TargetMode="External"/><Relationship Id="rId2218" Type="http://schemas.openxmlformats.org/officeDocument/2006/relationships/hyperlink" Target="http://www.austlii.edu.au/cgi-bin/viewdb/au/legis/wa/consol_act/wcaima1981445/s31f.html" TargetMode="External"/><Relationship Id="rId80" Type="http://schemas.openxmlformats.org/officeDocument/2006/relationships/hyperlink" Target="http://www.comcare.gov.au/" TargetMode="External"/><Relationship Id="rId176" Type="http://schemas.openxmlformats.org/officeDocument/2006/relationships/hyperlink" Target="http://www.legislation.govt.nz/act/public/2001/0049/latest/DLM100918.html" TargetMode="External"/><Relationship Id="rId383" Type="http://schemas.openxmlformats.org/officeDocument/2006/relationships/hyperlink" Target="http://www8.austlii.edu.au/cgi-bin/viewdoc/au/legis/nt/consol_act/rtwa207/s64.html" TargetMode="External"/><Relationship Id="rId590" Type="http://schemas.openxmlformats.org/officeDocument/2006/relationships/hyperlink" Target="http://www.austlii.edu.au/au/legis/sa/consol_reg/rtwr2015316/s5.html" TargetMode="External"/><Relationship Id="rId604" Type="http://schemas.openxmlformats.org/officeDocument/2006/relationships/hyperlink" Target="http://www8.austlii.edu.au/cgi-bin/viewdoc/au/legis/nsw/consol_act/wimawca1998540/sch1.html" TargetMode="External"/><Relationship Id="rId811" Type="http://schemas.openxmlformats.org/officeDocument/2006/relationships/hyperlink" Target="http://www8.austlii.edu.au/cgi-bin/viewdoc/au/legis/cth/consol_act/sraca1988368/s5b.html" TargetMode="External"/><Relationship Id="rId1027" Type="http://schemas.openxmlformats.org/officeDocument/2006/relationships/hyperlink" Target="http://www8.austlii.edu.au/cgi-bin/viewdoc/au/legis/tas/consol_act/wraca1988400/s132a.html" TargetMode="External"/><Relationship Id="rId1234" Type="http://schemas.openxmlformats.org/officeDocument/2006/relationships/hyperlink" Target="http://www.austlii.edu.au/cgi-bin/viewdb/au/legis/cth/consol_act/sraca1992381/s27.html" TargetMode="External"/><Relationship Id="rId1441" Type="http://schemas.openxmlformats.org/officeDocument/2006/relationships/hyperlink" Target="http://www.austlii.edu.au/cgi-bin/viewdb/au/legis/cth/consol_act/sraca1988368/s36.html" TargetMode="External"/><Relationship Id="rId1886" Type="http://schemas.openxmlformats.org/officeDocument/2006/relationships/hyperlink" Target="http://www.austlii.edu.au/cgi-bin/viewdb/au/legis/act/consol_act/wca1951255/s108.html" TargetMode="External"/><Relationship Id="rId2064" Type="http://schemas.openxmlformats.org/officeDocument/2006/relationships/hyperlink" Target="http://www.austlii.edu.au/cgi-bin/viewdb/au/legis/vic/consol_act/wiraca2013484/s376.html" TargetMode="External"/><Relationship Id="rId243" Type="http://schemas.openxmlformats.org/officeDocument/2006/relationships/hyperlink" Target="http://www.legislation.act.gov.au/a/1951-2/current/pdf/1951-2.pdf" TargetMode="External"/><Relationship Id="rId450" Type="http://schemas.openxmlformats.org/officeDocument/2006/relationships/hyperlink" Target="https://www.legislation.sa.gov.au/LZ/C/A/SOUTH%20AUSTRALIAN%20EMPLOYMENT%20TRIBUNAL%20ACT%202014.aspx" TargetMode="External"/><Relationship Id="rId688" Type="http://schemas.openxmlformats.org/officeDocument/2006/relationships/hyperlink" Target="http://www.austlii.edu.au/au/legis/sa/consol_reg/rtwr2015316/s69.html" TargetMode="External"/><Relationship Id="rId895" Type="http://schemas.openxmlformats.org/officeDocument/2006/relationships/hyperlink" Target="http://www8.austlii.edu.au/cgi-bin/viewdoc/au/legis/nsw/consol_act/wca1987255/s14.html" TargetMode="External"/><Relationship Id="rId909" Type="http://schemas.openxmlformats.org/officeDocument/2006/relationships/hyperlink" Target="http://www8.austlii.edu.au/cgi-bin/viewdoc/au/legis/wa/consol_act/wcaima1981445/s11.html" TargetMode="External"/><Relationship Id="rId1080" Type="http://schemas.openxmlformats.org/officeDocument/2006/relationships/hyperlink" Target="http://www8.austlii.edu.au/cgi-bin/viewdoc/au/legis/cth/consol_act/sracca1988512/s21a.html" TargetMode="External"/><Relationship Id="rId1301" Type="http://schemas.openxmlformats.org/officeDocument/2006/relationships/hyperlink" Target="http://www.austlii.edu.au/cgi-bin/viewdb/au/legis/nsw/consol_act/wca1987255/s25.html" TargetMode="External"/><Relationship Id="rId1539" Type="http://schemas.openxmlformats.org/officeDocument/2006/relationships/hyperlink" Target="https://prod.wsvdigital.com.au/sites/default/files/2018-06/ISBN-Compliance-code-1-of-4-providing-employment-planning-consultation-rtw-2014-07.pdf" TargetMode="External"/><Relationship Id="rId1746" Type="http://schemas.openxmlformats.org/officeDocument/2006/relationships/hyperlink" Target="http://www.austlii.edu.au/cgi-bin/viewdb/au/legis/cth/consol_act/sraca1992381/s3.html" TargetMode="External"/><Relationship Id="rId1953" Type="http://schemas.openxmlformats.org/officeDocument/2006/relationships/hyperlink" Target="http://www.austlii.edu.au/cgi-bin/viewdb/au/legis/cth/consol_act/sraca1992381/s48.html" TargetMode="External"/><Relationship Id="rId2131" Type="http://schemas.openxmlformats.org/officeDocument/2006/relationships/hyperlink" Target="http://www.legislation.vic.gov.au/domino/Web_Notes/LDMS/LTObject_Store/ltobjst10.nsf/DDE300B846EED9C7CA257616000A3571/9728B19A178DC9D5CA2581A800022D63/$FILE/85-10191aa210%20authorised.pdf" TargetMode="External"/><Relationship Id="rId38" Type="http://schemas.openxmlformats.org/officeDocument/2006/relationships/hyperlink" Target="mailto:michael.young@act.gov.au" TargetMode="External"/><Relationship Id="rId103" Type="http://schemas.openxmlformats.org/officeDocument/2006/relationships/hyperlink" Target="http://www8.austlii.edu.au/cgi-bin/viewdoc/au/legis/act/consol_act/wca1951255/s8.html" TargetMode="External"/><Relationship Id="rId310" Type="http://schemas.openxmlformats.org/officeDocument/2006/relationships/hyperlink" Target="http://www8.austlii.edu.au/cgi-bin/viewdoc/au/legis/act/consol_act/wca1951255/s120.html" TargetMode="External"/><Relationship Id="rId548" Type="http://schemas.openxmlformats.org/officeDocument/2006/relationships/hyperlink" Target="http://www8.austlii.edu.au/cgi-bin/viewdoc/au/legis/vic/num_act/wiraca201367o2013530/s185.html" TargetMode="External"/><Relationship Id="rId755" Type="http://schemas.openxmlformats.org/officeDocument/2006/relationships/hyperlink" Target="http://www8.austlii.edu.au/cgi-bin/viewdoc/au/legis/act/consol_act/wca1951255/s36.html" TargetMode="External"/><Relationship Id="rId962" Type="http://schemas.openxmlformats.org/officeDocument/2006/relationships/hyperlink" Target="https://www.legislation.qld.gov.au/view/html/inforce/current/act-2003-027" TargetMode="External"/><Relationship Id="rId1178" Type="http://schemas.openxmlformats.org/officeDocument/2006/relationships/hyperlink" Target="http://www8.austlii.edu.au/cgi-bin/viewdoc/au/legis/cth/consol_act/sraca1988368/s39.html" TargetMode="External"/><Relationship Id="rId1385" Type="http://schemas.openxmlformats.org/officeDocument/2006/relationships/hyperlink" Target="http://www.austlii.edu.au/cgi-bin/viewdb/au/legis/nsw/consol_act/wca1987255/s39.html" TargetMode="External"/><Relationship Id="rId1592" Type="http://schemas.openxmlformats.org/officeDocument/2006/relationships/hyperlink" Target="http://www.austlii.edu.au/cgi-bin/viewdb/au/legis/cth/consol_act/sraca1988368/" TargetMode="External"/><Relationship Id="rId1606" Type="http://schemas.openxmlformats.org/officeDocument/2006/relationships/hyperlink" Target="http://www.comcare.gov.au/Forms_and_Publications/publications/services/injury_management/injury_management/suit_empl_guid_for_rehab_case_mans" TargetMode="External"/><Relationship Id="rId1813" Type="http://schemas.openxmlformats.org/officeDocument/2006/relationships/hyperlink" Target="http://www.austlii.edu.au/au/legis/sa/consol_act/rtwa2014207/s48.html" TargetMode="External"/><Relationship Id="rId2229" Type="http://schemas.openxmlformats.org/officeDocument/2006/relationships/hyperlink" Target="http://www.austlii.edu.au/cgi-bin/viewdb/au/legis/cth/consol_act/sraca1988368/s7.html" TargetMode="External"/><Relationship Id="rId91" Type="http://schemas.openxmlformats.org/officeDocument/2006/relationships/hyperlink" Target="http://www.austlii.edu.au/cgi-bin/viewdb/au/legis/vic/consol_act/wiraca2013484/s3.html" TargetMode="External"/><Relationship Id="rId187" Type="http://schemas.openxmlformats.org/officeDocument/2006/relationships/hyperlink" Target="http://www8.austlii.edu.au/cgi-bin/viewdoc/au/legis/wa/consol_act/wcaima1981445/s5.html" TargetMode="External"/><Relationship Id="rId394" Type="http://schemas.openxmlformats.org/officeDocument/2006/relationships/hyperlink" Target="http://www8.austlii.edu.au/cgi-bin/viewdoc/au/legis/wa/consol_act/wcaima1981445/s57a.html" TargetMode="External"/><Relationship Id="rId408" Type="http://schemas.openxmlformats.org/officeDocument/2006/relationships/hyperlink" Target="http://www8.austlii.edu.au/cgi-bin/viewdoc/au/legis/vic/num_act/wiraca201367o2013530/s20.html" TargetMode="External"/><Relationship Id="rId615" Type="http://schemas.openxmlformats.org/officeDocument/2006/relationships/hyperlink" Target="http://www8.austlii.edu.au/cgi-bin/viewdoc/au/legis/vic/num_act/wiraca201367o2013530/sch1.html" TargetMode="External"/><Relationship Id="rId822" Type="http://schemas.openxmlformats.org/officeDocument/2006/relationships/hyperlink" Target="http://www8.austlii.edu.au/cgi-bin/viewdoc/au/legis/cth/consol_act/mraca2004397/s27.html" TargetMode="External"/><Relationship Id="rId1038" Type="http://schemas.openxmlformats.org/officeDocument/2006/relationships/hyperlink" Target="http://www8.austlii.edu.au/cgi-bin/viewdoc/au/legis/nt/consol_act/rtwa207/s78a.html" TargetMode="External"/><Relationship Id="rId1245" Type="http://schemas.openxmlformats.org/officeDocument/2006/relationships/hyperlink" Target="http://www.austlii.edu.au/cgi-bin/viewdb/au/legis/cth/consol_act/mraca2004397/s204.html" TargetMode="External"/><Relationship Id="rId1452" Type="http://schemas.openxmlformats.org/officeDocument/2006/relationships/hyperlink" Target="http://www.austlii.edu.au/cgi-bin/viewdb/au/legis/cth/consol_act/mraca2004397/s50.html" TargetMode="External"/><Relationship Id="rId1897" Type="http://schemas.openxmlformats.org/officeDocument/2006/relationships/hyperlink" Target="https://www.legislation.qld.gov.au/view/html/inforce/current/act-2003-027" TargetMode="External"/><Relationship Id="rId2075" Type="http://schemas.openxmlformats.org/officeDocument/2006/relationships/hyperlink" Target="http://www.austlii.edu.au/au/legis/sa/consol_act/rtwa2014207/s129.html" TargetMode="External"/><Relationship Id="rId254" Type="http://schemas.openxmlformats.org/officeDocument/2006/relationships/hyperlink" Target="http://www.thelaw.tas.gov.au/tocview/content.w3p;cond=;doc_id=4%2B%2B1988%2BGS69B%40EN%2B20151223090000;histon=;inforequest=;prompt=;rec=;term=" TargetMode="External"/><Relationship Id="rId699" Type="http://schemas.openxmlformats.org/officeDocument/2006/relationships/hyperlink" Target="http://www8.austlii.edu.au/cgi-bin/viewdoc/au/legis/wa/consol_act/wcaima1981445/s11a.html" TargetMode="External"/><Relationship Id="rId1091" Type="http://schemas.openxmlformats.org/officeDocument/2006/relationships/hyperlink" Target="http://www8.austlii.edu.au/cgi-bin/viewdoc/au/legis/nsw/consol_act/wca1987255/s60a.html" TargetMode="External"/><Relationship Id="rId1105" Type="http://schemas.openxmlformats.org/officeDocument/2006/relationships/hyperlink" Target="http://www8.austlii.edu.au/cgi-bin/viewdoc/au/legis/vic/num_act/wiraca201367o2013530/s231.html" TargetMode="External"/><Relationship Id="rId1312" Type="http://schemas.openxmlformats.org/officeDocument/2006/relationships/hyperlink" Target="http://www.austlii.edu.au/cgi-bin/viewdb/au/legis/wa/consol_act/wcaima1981445/s5.html" TargetMode="External"/><Relationship Id="rId1757" Type="http://schemas.openxmlformats.org/officeDocument/2006/relationships/hyperlink" Target="http://www.austlii.edu.au/cgi-bin/viewdb/au/legis/nsw/consol_act/wimawca1998540/s256.html" TargetMode="External"/><Relationship Id="rId1964" Type="http://schemas.openxmlformats.org/officeDocument/2006/relationships/hyperlink" Target="https://www.rtwsa.com/publications/fee-schedules" TargetMode="External"/><Relationship Id="rId49" Type="http://schemas.openxmlformats.org/officeDocument/2006/relationships/hyperlink" Target="http://www.sira.nsw.gov.au/" TargetMode="External"/><Relationship Id="rId114" Type="http://schemas.openxmlformats.org/officeDocument/2006/relationships/hyperlink" Target="https://www.worksafe.qld.gov.au/insurance/which-insurance-product-is-right-for-you/accident-insurance/who-should-i-cover/worker-determination-from-1-July-2013" TargetMode="External"/><Relationship Id="rId461" Type="http://schemas.openxmlformats.org/officeDocument/2006/relationships/hyperlink" Target="http://www.thelaw.tas.gov.au/tocview/content.w3p;cond=;doc_id=4%2B%2B1988%2BHPV%40HD2%40EN%2B20151223090000;histon=;inforequest=;prompt=;rec=78;term=" TargetMode="External"/><Relationship Id="rId559" Type="http://schemas.openxmlformats.org/officeDocument/2006/relationships/hyperlink" Target="http://www8.austlii.edu.au/cgi-bin/viewdoc/au/legis/nsw/consol_act/wimawca1998540/s4.html" TargetMode="External"/><Relationship Id="rId766" Type="http://schemas.openxmlformats.org/officeDocument/2006/relationships/hyperlink" Target="http://www8.austlii.edu.au/cgi-bin/viewdoc/au/legis/nt/consol_act/rtwa207/s4.html" TargetMode="External"/><Relationship Id="rId1189" Type="http://schemas.openxmlformats.org/officeDocument/2006/relationships/hyperlink" Target="http://www8.austlii.edu.au/cgi-bin/viewdoc/au/legis/cth/consol_act/sracca1988512/s16.html" TargetMode="External"/><Relationship Id="rId1396" Type="http://schemas.openxmlformats.org/officeDocument/2006/relationships/hyperlink" Target="https://www.legislation.qld.gov.au/view/html/inforce/current/act-2003-027" TargetMode="External"/><Relationship Id="rId1617" Type="http://schemas.openxmlformats.org/officeDocument/2006/relationships/hyperlink" Target="http://www.dva.gov.au/health-and-wellbeing/rehabilitation" TargetMode="External"/><Relationship Id="rId1824" Type="http://schemas.openxmlformats.org/officeDocument/2006/relationships/hyperlink" Target="http://www.thelaw.tas.gov.au/tocview/content.w3p;cond=;doc_id=4%2B%2B1988%2BGS143G%40EN%2B20151224140000;histon=;inforequest=;prompt=;rec=;term=" TargetMode="External"/><Relationship Id="rId2142" Type="http://schemas.openxmlformats.org/officeDocument/2006/relationships/hyperlink" Target="https://legislation.nt.gov.au/en/Legislation/RETURN-TO-WORK-ACT" TargetMode="External"/><Relationship Id="rId198" Type="http://schemas.openxmlformats.org/officeDocument/2006/relationships/hyperlink" Target="http://www8.austlii.edu.au/cgi-bin/viewdoc/au/legis/nt/consol_act/rtwa207/s4.html" TargetMode="External"/><Relationship Id="rId321" Type="http://schemas.openxmlformats.org/officeDocument/2006/relationships/hyperlink" Target="http://www8.austlii.edu.au/cgi-bin/viewdoc/au/legis/vic/num_act/wiraca201367o2013530/s29.html" TargetMode="External"/><Relationship Id="rId419" Type="http://schemas.openxmlformats.org/officeDocument/2006/relationships/hyperlink" Target="https://www.legislation.nsw.gov.au/~/view/act/1942/14/sec8i" TargetMode="External"/><Relationship Id="rId626" Type="http://schemas.openxmlformats.org/officeDocument/2006/relationships/hyperlink" Target="http://www8.austlii.edu.au/cgi-bin/viewdoc/au/legis/wa/consol_act/wcaima1981445/s5.html" TargetMode="External"/><Relationship Id="rId973" Type="http://schemas.openxmlformats.org/officeDocument/2006/relationships/hyperlink" Target="http://www8.austlii.edu.au/cgi-bin/viewdoc/au/legis/cth/consol_act/sraca1988368/s5a.html" TargetMode="External"/><Relationship Id="rId1049" Type="http://schemas.openxmlformats.org/officeDocument/2006/relationships/hyperlink" Target="http://www8.austlii.edu.au/cgi-bin/viewdoc/au/legis/cth/consol_act/sraca1988368/s19.html" TargetMode="External"/><Relationship Id="rId1256" Type="http://schemas.openxmlformats.org/officeDocument/2006/relationships/hyperlink" Target="https://www.legislation.qld.gov.au/view/html/inforce/current/act-2003-027" TargetMode="External"/><Relationship Id="rId2002" Type="http://schemas.openxmlformats.org/officeDocument/2006/relationships/hyperlink" Target="http://www.austlii.edu.au/cgi-bin/viewdb/au/legis/wa/consol_act/wcaima1981445/s164.html" TargetMode="External"/><Relationship Id="rId2086" Type="http://schemas.openxmlformats.org/officeDocument/2006/relationships/hyperlink" Target="http://www.austlii.edu.au/cgi-bin/viewdb/au/legis/nt/consol_act/rtwa207/s122.html" TargetMode="External"/><Relationship Id="rId833" Type="http://schemas.openxmlformats.org/officeDocument/2006/relationships/hyperlink" Target="https://www.worksafe.qld.gov.au/medical/resources/guidelines-evaluation-permanent-impairment" TargetMode="External"/><Relationship Id="rId1116" Type="http://schemas.openxmlformats.org/officeDocument/2006/relationships/hyperlink" Target="https://www.legislation.qld.gov.au/view/html/inforce/current/act-2003-027" TargetMode="External"/><Relationship Id="rId1463" Type="http://schemas.openxmlformats.org/officeDocument/2006/relationships/hyperlink" Target="http://www.austlii.edu.au/cgi-bin/viewdb/au/legis/cth/consol_act/sracca1988512/s16.html" TargetMode="External"/><Relationship Id="rId1670" Type="http://schemas.openxmlformats.org/officeDocument/2006/relationships/hyperlink" Target="http://www.austlii.edu.au/cgi-bin/viewdb/au/legis/vic/consol_act/wiraca2013484/s96.html" TargetMode="External"/><Relationship Id="rId1768" Type="http://schemas.openxmlformats.org/officeDocument/2006/relationships/hyperlink" Target="http://www.thelaw.tas.gov.au/tocview/content.w3p;cond=;doc_id=4%2B%2B1988%2BGS143A%40EN%2B20151224140000;histon=;inforequest=;prompt=;rec=;term=" TargetMode="External"/><Relationship Id="rId265" Type="http://schemas.openxmlformats.org/officeDocument/2006/relationships/hyperlink" Target="http://www8.austlii.edu.au/cgi-bin/viewdoc/au/legis/nsw/consol_act/wca1987255/s59a.html" TargetMode="External"/><Relationship Id="rId472" Type="http://schemas.openxmlformats.org/officeDocument/2006/relationships/hyperlink" Target="http://www8.austlii.edu.au/cgi-bin/viewdoc/au/legis/nt/consol_act/rtwa207/s115.html" TargetMode="External"/><Relationship Id="rId900" Type="http://schemas.openxmlformats.org/officeDocument/2006/relationships/hyperlink" Target="http://www8.austlii.edu.au/cgi-bin/viewdoc/au/legis/vic/num_act/wiraca201367o2013530/s40.html" TargetMode="External"/><Relationship Id="rId1323" Type="http://schemas.openxmlformats.org/officeDocument/2006/relationships/hyperlink" Target="http://www.austlii.edu.au/cgi-bin/viewdb/au/legis/act/consol_act/wca1951255/s77.html" TargetMode="External"/><Relationship Id="rId1530" Type="http://schemas.openxmlformats.org/officeDocument/2006/relationships/hyperlink" Target="https://www.worksafe.vic.gov.au/resources/labour-hire-and-return-work-information-employers" TargetMode="External"/><Relationship Id="rId1628" Type="http://schemas.openxmlformats.org/officeDocument/2006/relationships/hyperlink" Target="http://www.sira.nsw.gov.au/resources-library/workers-compensation-resources/publications/help-with-getting-people-back-to-work/standard-return-to-work-program" TargetMode="External"/><Relationship Id="rId1975" Type="http://schemas.openxmlformats.org/officeDocument/2006/relationships/hyperlink" Target="http://www.sira.nsw.gov.au/resources-library/workers-compensation-resources/publications/help-with-getting-people-back-to-work/guidelines-for-workplace-return-to-work-programs" TargetMode="External"/><Relationship Id="rId2153" Type="http://schemas.openxmlformats.org/officeDocument/2006/relationships/hyperlink" Target="http://www.austlii.edu.au/cgi-bin/viewdb/au/legis/nsw/consol_act/wca1987255/sch6.html" TargetMode="External"/><Relationship Id="rId125" Type="http://schemas.openxmlformats.org/officeDocument/2006/relationships/hyperlink" Target="https://www.accesscanberra.act.gov.au/app/answers/detail/a_id/3437" TargetMode="External"/><Relationship Id="rId332" Type="http://schemas.openxmlformats.org/officeDocument/2006/relationships/hyperlink" Target="http://www8.austlii.edu.au/cgi-bin/viewdoc/au/legis/nsw/consol_act/wimawca1998540/s264.html" TargetMode="External"/><Relationship Id="rId777" Type="http://schemas.openxmlformats.org/officeDocument/2006/relationships/hyperlink" Target="http://www8.austlii.edu.au/cgi-bin/viewdoc/au/legis/cth/consol_act/sraca1992381/s9.html" TargetMode="External"/><Relationship Id="rId984" Type="http://schemas.openxmlformats.org/officeDocument/2006/relationships/hyperlink" Target="http://www.comcare.gov.au/Forms_and_Publications/publications/services/claims/claims/guide_to_assess_of_the_degree_of_perm_impair" TargetMode="External"/><Relationship Id="rId1835" Type="http://schemas.openxmlformats.org/officeDocument/2006/relationships/hyperlink" Target="http://www.austlii.edu.au/cgi-bin/viewdb/au/legis/nt/consol_act/rtwa207/s75b.html" TargetMode="External"/><Relationship Id="rId2013" Type="http://schemas.openxmlformats.org/officeDocument/2006/relationships/hyperlink" Target="http://www.austlii.edu.au/cgi-bin/viewdb/au/legis/vic/consol_act/wiraca2013484/s375.html" TargetMode="External"/><Relationship Id="rId2220" Type="http://schemas.openxmlformats.org/officeDocument/2006/relationships/hyperlink" Target="http://www5.austlii.edu.au/au/legis/nsw/consol_act/wcda1942388/sch1.html" TargetMode="External"/><Relationship Id="rId637" Type="http://schemas.openxmlformats.org/officeDocument/2006/relationships/hyperlink" Target="http://www.austlii.edu.au/au/legis/sa/consol_act/rtwa2014207/s4.html" TargetMode="External"/><Relationship Id="rId844" Type="http://schemas.openxmlformats.org/officeDocument/2006/relationships/hyperlink" Target="http://www8.austlii.edu.au/cgi-bin/viewdoc/au/legis/cth/consol_act/sraca1988368/s24.html" TargetMode="External"/><Relationship Id="rId1267" Type="http://schemas.openxmlformats.org/officeDocument/2006/relationships/hyperlink" Target="http://www.thelaw.tas.gov.au/tocview/content.w3p;cond=;doc_id=4%2B%2B1988%2BGS67%40EN%2B20151224080000;histon=;inforequest=;prompt=;rec=;term=" TargetMode="External"/><Relationship Id="rId1474" Type="http://schemas.openxmlformats.org/officeDocument/2006/relationships/hyperlink" Target="http://www.austlii.edu.au/cgi-bin/viewdb/au/legis/vic/consol_act/wiraca2013484/" TargetMode="External"/><Relationship Id="rId1681" Type="http://schemas.openxmlformats.org/officeDocument/2006/relationships/hyperlink" Target="http://www.austlii.edu.au/cgi-bin/viewdb/au/legis/sa/consol_act/rtwa2014207/s25.html" TargetMode="External"/><Relationship Id="rId1902" Type="http://schemas.openxmlformats.org/officeDocument/2006/relationships/hyperlink" Target="http://www.thelaw.tas.gov.au/tocview/content.w3p;cond=;doc_id=4%2B%2B1988%2BGS143P%40EN%2B20151224140000;histon=;inforequest=;prompt=;rec=;term=" TargetMode="External"/><Relationship Id="rId2097" Type="http://schemas.openxmlformats.org/officeDocument/2006/relationships/hyperlink" Target="http://www.austlii.edu.au/au/legis/sa/consol_reg/rtwr2015316/sch3.html" TargetMode="External"/><Relationship Id="rId276" Type="http://schemas.openxmlformats.org/officeDocument/2006/relationships/hyperlink" Target="http://www8.austlii.edu.au/cgi-bin/viewdoc/au/legis/vic/num_act/wiraca201367o2013530/s18.html" TargetMode="External"/><Relationship Id="rId483" Type="http://schemas.openxmlformats.org/officeDocument/2006/relationships/hyperlink" Target="http://www8.austlii.edu.au/cgi-bin/viewdoc/au/legis/cth/consol_act/sracca1988512/s62.html" TargetMode="External"/><Relationship Id="rId690" Type="http://schemas.openxmlformats.org/officeDocument/2006/relationships/hyperlink" Target="http://www.thelaw.tas.gov.au/tocview/content.w3p;cond=;doc_id=4%2B%2B1988%2BGS5%40EN%2B20151223090000;histon=;inforequest=;prompt=;rec=;term=" TargetMode="External"/><Relationship Id="rId704" Type="http://schemas.openxmlformats.org/officeDocument/2006/relationships/hyperlink" Target="http://www8.austlii.edu.au/cgi-bin/viewdoc/au/legis/nt/consol_act/rtwa207/s3.html" TargetMode="External"/><Relationship Id="rId911" Type="http://schemas.openxmlformats.org/officeDocument/2006/relationships/hyperlink" Target="http://www8.austlii.edu.au/cgi-bin/viewdoc/au/legis/tas/consol_act/wraca1988400/s25.html" TargetMode="External"/><Relationship Id="rId1127" Type="http://schemas.openxmlformats.org/officeDocument/2006/relationships/hyperlink" Target="https://www.legislation.qld.gov.au/view/html/inforce/current/act-2003-027" TargetMode="External"/><Relationship Id="rId1334" Type="http://schemas.openxmlformats.org/officeDocument/2006/relationships/hyperlink" Target="http://www.austlii.edu.au/cgi-bin/viewdb/au/legis/cth/consol_act/mraca2004397/s233.html" TargetMode="External"/><Relationship Id="rId1541" Type="http://schemas.openxmlformats.org/officeDocument/2006/relationships/hyperlink" Target="https://prod.wsvdigital.com.au/sites/default/files/2018-06/ISBN-Compliance-code-3-of-4-return-to-work-information-2014-07.pdf" TargetMode="External"/><Relationship Id="rId1779" Type="http://schemas.openxmlformats.org/officeDocument/2006/relationships/hyperlink" Target="http://www.austlii.edu.au/cgi-bin/viewdb/au/legis/cth/consol_act/sraca1992381/s50.html" TargetMode="External"/><Relationship Id="rId1986" Type="http://schemas.openxmlformats.org/officeDocument/2006/relationships/hyperlink" Target="http://www.austlii.edu.au/cgi-bin/viewdb/au/legis/nt/consol_act/rtwa207/s75a.html" TargetMode="External"/><Relationship Id="rId2164" Type="http://schemas.openxmlformats.org/officeDocument/2006/relationships/hyperlink" Target="http://www.austlii.edu.au/cgi-bin/viewdb/au/legis/cth/consol_act/sraca1992381/" TargetMode="External"/><Relationship Id="rId40" Type="http://schemas.openxmlformats.org/officeDocument/2006/relationships/hyperlink" Target="http://www.cmd.act.gov.au/" TargetMode="External"/><Relationship Id="rId136" Type="http://schemas.openxmlformats.org/officeDocument/2006/relationships/hyperlink" Target="http://www8.austlii.edu.au/cgi-bin/viewdoc/au/legis/vic/num_act/wiraca201367o2013530/s46.html" TargetMode="External"/><Relationship Id="rId343" Type="http://schemas.openxmlformats.org/officeDocument/2006/relationships/hyperlink" Target="http://www8.austlii.edu.au/cgi-bin/viewdoc/au/legis/cth/consol_act/sraca1988368/s58.html" TargetMode="External"/><Relationship Id="rId550" Type="http://schemas.openxmlformats.org/officeDocument/2006/relationships/hyperlink" Target="http://www.austlii.edu.au/au/legis/sa/consol_act/rtwa2014207/s50.html" TargetMode="External"/><Relationship Id="rId788" Type="http://schemas.openxmlformats.org/officeDocument/2006/relationships/hyperlink" Target="https://www.legislation.qld.gov.au/view/html/inforce/current/act-2003-027" TargetMode="External"/><Relationship Id="rId995" Type="http://schemas.openxmlformats.org/officeDocument/2006/relationships/hyperlink" Target="http://www8.austlii.edu.au/cgi-bin/viewdoc/au/legis/vic/num_act/wiraca201367o2013530/s161.html" TargetMode="External"/><Relationship Id="rId1180" Type="http://schemas.openxmlformats.org/officeDocument/2006/relationships/hyperlink" Target="http://www8.austlii.edu.au/cgi-bin/viewdoc/au/legis/cth/consol_act/sraca1992381/s28.html" TargetMode="External"/><Relationship Id="rId1401" Type="http://schemas.openxmlformats.org/officeDocument/2006/relationships/hyperlink" Target="http://www.austlii.edu.au/cgi-bin/viewdb/au/legis/wa/consol_act/wcaima1981445/s72a.html" TargetMode="External"/><Relationship Id="rId1639" Type="http://schemas.openxmlformats.org/officeDocument/2006/relationships/hyperlink" Target="http://www.austlii.edu.au/cgi-bin/viewdb/au/legis/wa/consol_act/wcaima1981445/s155b.html" TargetMode="External"/><Relationship Id="rId1846" Type="http://schemas.openxmlformats.org/officeDocument/2006/relationships/hyperlink" Target="http://www.austlii.edu.au/cgi-bin/viewdb/au/legis/act/consol_act/wca1951255/s113.html" TargetMode="External"/><Relationship Id="rId2024" Type="http://schemas.openxmlformats.org/officeDocument/2006/relationships/hyperlink" Target="https://www.legislation.qld.gov.au/view/html/inforce/current/sl-2014-0189" TargetMode="External"/><Relationship Id="rId2231" Type="http://schemas.openxmlformats.org/officeDocument/2006/relationships/hyperlink" Target="http://www.austlii.edu.au/cgi-bin/viewdb/au/legis/cth/consol_act/sraca1988368/s7.html" TargetMode="External"/><Relationship Id="rId203" Type="http://schemas.openxmlformats.org/officeDocument/2006/relationships/hyperlink" Target="http://www8.austlii.edu.au/cgi-bin/viewdoc/au/legis/nt/consol_act/rtwa207/s58.html" TargetMode="External"/><Relationship Id="rId648" Type="http://schemas.openxmlformats.org/officeDocument/2006/relationships/hyperlink" Target="http://www.thelaw.tas.gov.au/tocview/content.w3p;cond=;doc_id=4%2B%2B1988%2BGS4DB%40EN%2B20151223090000;histon=;inforequest=;prompt=;rec=;term=" TargetMode="External"/><Relationship Id="rId855" Type="http://schemas.openxmlformats.org/officeDocument/2006/relationships/hyperlink" Target="http://www8.austlii.edu.au/cgi-bin/viewdoc/au/legis/cth/consol_act/mraca2004397/s71.html" TargetMode="External"/><Relationship Id="rId1040" Type="http://schemas.openxmlformats.org/officeDocument/2006/relationships/hyperlink" Target="http://www8.austlii.edu.au/cgi-bin/viewdoc/au/legis/act/consol_act/wca1951255/s39.html" TargetMode="External"/><Relationship Id="rId1278" Type="http://schemas.openxmlformats.org/officeDocument/2006/relationships/hyperlink" Target="http://www8.austlii.edu.au/cgi-bin/viewdoc/au/legis/act/consol_act/wca1951255/s77.html" TargetMode="External"/><Relationship Id="rId1485" Type="http://schemas.openxmlformats.org/officeDocument/2006/relationships/hyperlink" Target="http://www.austlii.edu.au/cgi-bin/viewdb/au/legis/cth/consol_act/sracca1988512/s30.html" TargetMode="External"/><Relationship Id="rId1692" Type="http://schemas.openxmlformats.org/officeDocument/2006/relationships/hyperlink" Target="http://www.austlii.edu.au/cgi-bin/viewdb/au/legis/nt/consol_act/rtwa207/s75a.html" TargetMode="External"/><Relationship Id="rId1706" Type="http://schemas.openxmlformats.org/officeDocument/2006/relationships/hyperlink" Target="http://www.austlii.edu.au/cgi-bin/viewdb/au/legis/cth/consol_act/mraca2004397/s51.html" TargetMode="External"/><Relationship Id="rId1913" Type="http://schemas.openxmlformats.org/officeDocument/2006/relationships/hyperlink" Target="http://www.austlii.edu.au/cgi-bin/viewdb/au/legis/vic/consol_act/wiraca2013484/s106.html" TargetMode="External"/><Relationship Id="rId287" Type="http://schemas.openxmlformats.org/officeDocument/2006/relationships/hyperlink" Target="http://www8.austlii.edu.au/cgi-bin/viewdoc/au/legis/nt/consol_act/rtwa207/s84.html" TargetMode="External"/><Relationship Id="rId410" Type="http://schemas.openxmlformats.org/officeDocument/2006/relationships/hyperlink" Target="http://www.thelaw.tas.gov.au/tocview/content.w3p;cond=;doc_id=4%2B%2B1988%2BGS76A%40EN%2B20151223090000;histon=;inforequest=;prompt=;rec=;term=" TargetMode="External"/><Relationship Id="rId494" Type="http://schemas.openxmlformats.org/officeDocument/2006/relationships/hyperlink" Target="http://www8.austlii.edu.au/cgi-bin/viewdoc/au/legis/nsw/consol_act/wca1987255/s160.html" TargetMode="External"/><Relationship Id="rId508" Type="http://schemas.openxmlformats.org/officeDocument/2006/relationships/hyperlink" Target="http://www8.austlii.edu.au/cgi-bin/viewdoc/au/legis/vic/num_act/wiraca201367o2013530/s70.html" TargetMode="External"/><Relationship Id="rId715" Type="http://schemas.openxmlformats.org/officeDocument/2006/relationships/hyperlink" Target="http://www8.austlii.edu.au/cgi-bin/viewdoc/au/legis/cth/consol_act/sraca1988368/s5.html" TargetMode="External"/><Relationship Id="rId922" Type="http://schemas.openxmlformats.org/officeDocument/2006/relationships/hyperlink" Target="http://www8.austlii.edu.au/cgi-bin/viewdoc/au/legis/cth/consol_act/sraca1988368/s5a.html" TargetMode="External"/><Relationship Id="rId1138" Type="http://schemas.openxmlformats.org/officeDocument/2006/relationships/hyperlink" Target="https://www.legislation.qld.gov.au/view/html/inforce/current/act-2003-027" TargetMode="External"/><Relationship Id="rId1345" Type="http://schemas.openxmlformats.org/officeDocument/2006/relationships/hyperlink" Target="http://www.legislation.govt.nz/act/public/2001/0049/latest/link.aspx?id=DLM100670" TargetMode="External"/><Relationship Id="rId1552" Type="http://schemas.openxmlformats.org/officeDocument/2006/relationships/hyperlink" Target="https://www.legislation.wa.gov.au/legislation/statutes.nsf/law_s37545.html" TargetMode="External"/><Relationship Id="rId1997" Type="http://schemas.openxmlformats.org/officeDocument/2006/relationships/hyperlink" Target="https://www.legislation.qld.gov.au/view/html/inforce/current/act-2003-027" TargetMode="External"/><Relationship Id="rId2175" Type="http://schemas.openxmlformats.org/officeDocument/2006/relationships/hyperlink" Target="http://www.legislation.vic.gov.au/" TargetMode="External"/><Relationship Id="rId147" Type="http://schemas.openxmlformats.org/officeDocument/2006/relationships/hyperlink" Target="http://www8.austlii.edu.au/cgi-bin/viewdoc/au/legis/tas/consol_act/wraca1988400/s25.html" TargetMode="External"/><Relationship Id="rId354" Type="http://schemas.openxmlformats.org/officeDocument/2006/relationships/hyperlink" Target="http://www.thelaw.tas.gov.au/tocview/content.w3p;cond=;doc_id=4%2B%2B1988%2BGS81AA%40EN%2B20151223090000;histon=;inforequest=;prompt=;rec=;term=" TargetMode="External"/><Relationship Id="rId799" Type="http://schemas.openxmlformats.org/officeDocument/2006/relationships/hyperlink" Target="http://www8.austlii.edu.au/cgi-bin/viewdoc/au/legis/nt/consol_act/rtwa207/s3a.html" TargetMode="External"/><Relationship Id="rId1191" Type="http://schemas.openxmlformats.org/officeDocument/2006/relationships/hyperlink" Target="http://www8.austlii.edu.au/cgi-bin/viewdoc/au/legis/cth/consol_act/mraca2004397/s218.html" TargetMode="External"/><Relationship Id="rId1205" Type="http://schemas.openxmlformats.org/officeDocument/2006/relationships/hyperlink" Target="http://www.legislation.govt.nz/act/public/2001/0049/latest/DLM104597.html" TargetMode="External"/><Relationship Id="rId1857" Type="http://schemas.openxmlformats.org/officeDocument/2006/relationships/hyperlink" Target="http://www.austlii.edu.au/cgi-bin/viewdb/au/legis/cth/consol_act/sraca1992381/s50.html" TargetMode="External"/><Relationship Id="rId2035" Type="http://schemas.openxmlformats.org/officeDocument/2006/relationships/hyperlink" Target="http://www.workcover.tas.gov.au/__data/assets/pdf_file/0005/276494/Permit_Conditions_Version_5_November_2013.pdf" TargetMode="External"/><Relationship Id="rId51" Type="http://schemas.openxmlformats.org/officeDocument/2006/relationships/hyperlink" Target="http://www.legislation.nsw.gov.au/fullhtml/inforce/act+70+1987+FIRST+0+N" TargetMode="External"/><Relationship Id="rId561" Type="http://schemas.openxmlformats.org/officeDocument/2006/relationships/hyperlink" Target="http://www8.austlii.edu.au/cgi-bin/viewdoc/au/legis/nsw/consol_act/wimawca1998540/s5.html" TargetMode="External"/><Relationship Id="rId659" Type="http://schemas.openxmlformats.org/officeDocument/2006/relationships/hyperlink" Target="http://www8.austlii.edu.au/cgi-bin/viewdoc/au/legis/nt/consol_reg/rtwr316/s3a.html" TargetMode="External"/><Relationship Id="rId866" Type="http://schemas.openxmlformats.org/officeDocument/2006/relationships/hyperlink" Target="http://www.thelaw.tas.gov.au/tocview/content.w3p;cond=;doc_id=4%2B%2B1988%2BGS72%40EN%2B20151223090000;histon=;inforequest=;prompt=;rec=;term=" TargetMode="External"/><Relationship Id="rId1289" Type="http://schemas.openxmlformats.org/officeDocument/2006/relationships/hyperlink" Target="http://www8.austlii.edu.au/cgi-bin/viewdoc/au/legis/cth/consol_act/mraca2004397/s252.html" TargetMode="External"/><Relationship Id="rId1412" Type="http://schemas.openxmlformats.org/officeDocument/2006/relationships/hyperlink" Target="http://www.austlii.edu.au/cgi-bin/viewdb/au/legis/sa/consol_act/rtwa2014207/s48.html" TargetMode="External"/><Relationship Id="rId1496" Type="http://schemas.openxmlformats.org/officeDocument/2006/relationships/hyperlink" Target="http://www.austlii.edu.au/cgi-bin/viewdb/au/legis/vic/consol_act/wiraca2013484/s102.html" TargetMode="External"/><Relationship Id="rId1717" Type="http://schemas.openxmlformats.org/officeDocument/2006/relationships/hyperlink" Target="http://www.austlii.edu.au/cgi-bin/viewdb/au/legis/nsw/consol_act/wca1987255/s247.html" TargetMode="External"/><Relationship Id="rId1924" Type="http://schemas.openxmlformats.org/officeDocument/2006/relationships/hyperlink" Target="https://www.legislation.qld.gov.au/view/html/inforce/current/act-1954-003" TargetMode="External"/><Relationship Id="rId2242" Type="http://schemas.openxmlformats.org/officeDocument/2006/relationships/hyperlink" Target="https://www.legislation.gov.au/Details/F2007L01983" TargetMode="External"/><Relationship Id="rId214" Type="http://schemas.openxmlformats.org/officeDocument/2006/relationships/hyperlink" Target="http://www8.austlii.edu.au/cgi-bin/viewdoc/au/legis/cth/consol_act/mraca2004397/s27.html" TargetMode="External"/><Relationship Id="rId298" Type="http://schemas.openxmlformats.org/officeDocument/2006/relationships/hyperlink" Target="http://www8.austlii.edu.au/cgi-bin/viewdoc/au/legis/vic/num_act/wiraca201367o2013530/s20.html" TargetMode="External"/><Relationship Id="rId421" Type="http://schemas.openxmlformats.org/officeDocument/2006/relationships/hyperlink" Target="http://www8.austlii.edu.au/cgi-bin/viewdoc/au/legis/vic/num_act/wiraca201367o2013530/s282.html" TargetMode="External"/><Relationship Id="rId519" Type="http://schemas.openxmlformats.org/officeDocument/2006/relationships/hyperlink" Target="http://www.thelaw.tas.gov.au/tocview/content.w3p;cond=;doc_id=4%2B%2B1988%2BGS127%40EN%2B20151223090000;histon=;inforequest=;prompt=;rec=;term=" TargetMode="External"/><Relationship Id="rId1051" Type="http://schemas.openxmlformats.org/officeDocument/2006/relationships/hyperlink" Target="http://www8.austlii.edu.au/cgi-bin/viewdoc/au/legis/cth/consol_act/sraca1988368/s19.html" TargetMode="External"/><Relationship Id="rId1149" Type="http://schemas.openxmlformats.org/officeDocument/2006/relationships/hyperlink" Target="http://www.austlii.edu.au/au/legis/sa/consol_act/rtwa2014207/s33.html" TargetMode="External"/><Relationship Id="rId1356" Type="http://schemas.openxmlformats.org/officeDocument/2006/relationships/hyperlink" Target="https://www.legislation.qld.gov.au/view/html/inforce/current/act-2003-027" TargetMode="External"/><Relationship Id="rId2102" Type="http://schemas.openxmlformats.org/officeDocument/2006/relationships/hyperlink" Target="http://www.austlii.edu.au/cgi-bin/viewdb/au/legis/vic/consol_act/wiraca2013484/s403.html" TargetMode="External"/><Relationship Id="rId158" Type="http://schemas.openxmlformats.org/officeDocument/2006/relationships/hyperlink" Target="http://www8.austlii.edu.au/cgi-bin/viewdoc/au/legis/cth/consol_act/sraca1988368/s6.html" TargetMode="External"/><Relationship Id="rId726" Type="http://schemas.openxmlformats.org/officeDocument/2006/relationships/hyperlink" Target="http://www8.austlii.edu.au/cgi-bin/viewdoc/au/legis/nt/consol_act/rtwa207/s70.html" TargetMode="External"/><Relationship Id="rId933" Type="http://schemas.openxmlformats.org/officeDocument/2006/relationships/hyperlink" Target="http://www8.austlii.edu.au/cgi-bin/viewdoc/au/legis/cth/consol_act/sraca1992381/s26.html" TargetMode="External"/><Relationship Id="rId1009" Type="http://schemas.openxmlformats.org/officeDocument/2006/relationships/hyperlink" Target="https://www.legislation.qld.gov.au/view/html/inforce/current/act-2003-027" TargetMode="External"/><Relationship Id="rId1563" Type="http://schemas.openxmlformats.org/officeDocument/2006/relationships/hyperlink" Target="http://www.austlii.edu.au/cgi-bin/viewdb/au/legis/sa/consol_act/rtwa2014207/s23.html" TargetMode="External"/><Relationship Id="rId1770" Type="http://schemas.openxmlformats.org/officeDocument/2006/relationships/hyperlink" Target="http://www.thelaw.tas.gov.au/tocview/content.w3p;cond=;doc_id=4%2B%2B1988%2BGS143D%40EN%2B20151224140000;histon=;inforequest=;prompt=;rec=;term=" TargetMode="External"/><Relationship Id="rId1868" Type="http://schemas.openxmlformats.org/officeDocument/2006/relationships/hyperlink" Target="http://www.austlii.edu.au/cgi-bin/viewdb/au/legis/cth/consol_act/sracca1988512/s36.html" TargetMode="External"/><Relationship Id="rId2186" Type="http://schemas.openxmlformats.org/officeDocument/2006/relationships/hyperlink" Target="https://www.safeworkaustralia.gov.au/doc/comparative-performance-monitoring-report-19th-edition-part-3" TargetMode="External"/><Relationship Id="rId62" Type="http://schemas.openxmlformats.org/officeDocument/2006/relationships/hyperlink" Target="https://www.worksafe.qld.gov.au/rehab-and-claims/reviews-and-appeals" TargetMode="External"/><Relationship Id="rId365" Type="http://schemas.openxmlformats.org/officeDocument/2006/relationships/hyperlink" Target="http://www.thelaw.tas.gov.au/tocview/content.w3p;cond=;doc_id=4%2B%2B1988%2BGS81AB%40EN%2B20151223090000;histon=;inforequest=;prompt=;rec=;term=" TargetMode="External"/><Relationship Id="rId572" Type="http://schemas.openxmlformats.org/officeDocument/2006/relationships/hyperlink" Target="http://www8.austlii.edu.au/cgi-bin/viewdoc/au/legis/nt/consol_act/rtwa207/s3.html" TargetMode="External"/><Relationship Id="rId1216" Type="http://schemas.openxmlformats.org/officeDocument/2006/relationships/hyperlink" Target="https://www.legislation.qld.gov.au/view/html/inforce/current/act-2003-027" TargetMode="External"/><Relationship Id="rId1423" Type="http://schemas.openxmlformats.org/officeDocument/2006/relationships/hyperlink" Target="http://www.austlii.edu.au/cgi-bin/viewdb/au/legis/tas/consol_act/wraca1988400/s86.html" TargetMode="External"/><Relationship Id="rId1630" Type="http://schemas.openxmlformats.org/officeDocument/2006/relationships/hyperlink" Target="http://www.austlii.edu.au/cgi-bin/viewdb/au/legis/vic/consol_act/wiraca2013484/s106.html" TargetMode="External"/><Relationship Id="rId2046" Type="http://schemas.openxmlformats.org/officeDocument/2006/relationships/hyperlink" Target="http://www.commerce.wa.gov.au/worksafe" TargetMode="External"/><Relationship Id="rId225" Type="http://schemas.openxmlformats.org/officeDocument/2006/relationships/hyperlink" Target="http://www8.austlii.edu.au/cgi-bin/viewdoc/au/legis/cth/consol_act/mraca2004397/s27.html" TargetMode="External"/><Relationship Id="rId432" Type="http://schemas.openxmlformats.org/officeDocument/2006/relationships/hyperlink" Target="https://www.legislation.qld.gov.au/view/html/inforce/current/act-2003-027" TargetMode="External"/><Relationship Id="rId877" Type="http://schemas.openxmlformats.org/officeDocument/2006/relationships/hyperlink" Target="http://www8.austlii.edu.au/cgi-bin/viewdoc/au/legis/cth/consol_act/sraca1992381/s42.html" TargetMode="External"/><Relationship Id="rId1062" Type="http://schemas.openxmlformats.org/officeDocument/2006/relationships/hyperlink" Target="http://www8.austlii.edu.au/cgi-bin/viewdoc/au/legis/cth/consol_act/sraca1992381/s31.html" TargetMode="External"/><Relationship Id="rId1728" Type="http://schemas.openxmlformats.org/officeDocument/2006/relationships/hyperlink" Target="http://www.austlii.edu.au/cgi-bin/viewdb/au/legis/wa/consol_act/wcaima1981445/s84aa.html" TargetMode="External"/><Relationship Id="rId1935" Type="http://schemas.openxmlformats.org/officeDocument/2006/relationships/hyperlink" Target="http://www.thelaw.tas.gov.au/tocview/content.w3p;cond=;doc_id=4%2B%2B1988%2BGS143D%40EN%2B20151224140000;histon=;inforequest=;prompt=;rec=;term=" TargetMode="External"/><Relationship Id="rId2113" Type="http://schemas.openxmlformats.org/officeDocument/2006/relationships/hyperlink" Target="https://www.legislation.qld.gov.au/view/html/inforce/current/act-2003-027" TargetMode="External"/><Relationship Id="rId737" Type="http://schemas.openxmlformats.org/officeDocument/2006/relationships/hyperlink" Target="http://www8.austlii.edu.au/cgi-bin/viewdoc/au/legis/wa/consol_act/wcaima1981445/s19.html" TargetMode="External"/><Relationship Id="rId944" Type="http://schemas.openxmlformats.org/officeDocument/2006/relationships/hyperlink" Target="http://www8.austlii.edu.au/cgi-bin/viewdoc/au/legis/cth/consol_act/sracca1988512/s7.html" TargetMode="External"/><Relationship Id="rId1367" Type="http://schemas.openxmlformats.org/officeDocument/2006/relationships/hyperlink" Target="http://www.austlii.edu.au/cgi-bin/viewdb/au/legis/cth/consol_act/sraca1988368/s45.html" TargetMode="External"/><Relationship Id="rId1574" Type="http://schemas.openxmlformats.org/officeDocument/2006/relationships/hyperlink" Target="http://worksafe.tas.gov.au/__data/assets/pdf_file/0013/301810/IS-016-RTW-plans.pdf" TargetMode="External"/><Relationship Id="rId1781" Type="http://schemas.openxmlformats.org/officeDocument/2006/relationships/hyperlink" Target="http://www.legislation.govt.nz/act/public/2001/0049/latest/link.aspx?id=DLM101407" TargetMode="External"/><Relationship Id="rId2197" Type="http://schemas.openxmlformats.org/officeDocument/2006/relationships/hyperlink" Target="http://www.worksafe.tas.gov.au/safety/safety_subjects/subject/asbestos_safety" TargetMode="External"/><Relationship Id="rId73" Type="http://schemas.openxmlformats.org/officeDocument/2006/relationships/hyperlink" Target="http://www.justice.tas.gov.au/" TargetMode="External"/><Relationship Id="rId169" Type="http://schemas.openxmlformats.org/officeDocument/2006/relationships/hyperlink" Target="http://www8.austlii.edu.au/cgi-bin/viewdoc/au/legis/cth/consol_act/mraca2004397/s35.html" TargetMode="External"/><Relationship Id="rId376" Type="http://schemas.openxmlformats.org/officeDocument/2006/relationships/hyperlink" Target="http://www8.austlii.edu.au/cgi-bin/viewdoc/au/legis/nsw/consol_act/wca1987255/s33.html" TargetMode="External"/><Relationship Id="rId583" Type="http://schemas.openxmlformats.org/officeDocument/2006/relationships/hyperlink" Target="http://www8.austlii.edu.au/cgi-bin/viewdoc/au/legis/nsw/consol_act/wimawca1998540/sch1.html" TargetMode="External"/><Relationship Id="rId790" Type="http://schemas.openxmlformats.org/officeDocument/2006/relationships/hyperlink" Target="http://www8.austlii.edu.au/cgi-bin/viewdoc/au/legis/wa/consol_act/wcaima1981445/s5.html" TargetMode="External"/><Relationship Id="rId804" Type="http://schemas.openxmlformats.org/officeDocument/2006/relationships/hyperlink" Target="http://www8.austlii.edu.au/cgi-bin/viewdoc/au/legis/nt/consol_act/rtwa207/s3.html" TargetMode="External"/><Relationship Id="rId1227" Type="http://schemas.openxmlformats.org/officeDocument/2006/relationships/hyperlink" Target="https://www.rtwsa.com/search?query=schedule+of+sums" TargetMode="External"/><Relationship Id="rId1434" Type="http://schemas.openxmlformats.org/officeDocument/2006/relationships/hyperlink" Target="http://www.austlii.edu.au/cgi-bin/viewdb/au/legis/nt/consol_act/rtwa207/s65b.html" TargetMode="External"/><Relationship Id="rId1641" Type="http://schemas.openxmlformats.org/officeDocument/2006/relationships/hyperlink" Target="http://www.austlii.edu.au/cgi-bin/viewdb/au/legis/sa/consol_act/rtwa2014207/s26.html" TargetMode="External"/><Relationship Id="rId1879" Type="http://schemas.openxmlformats.org/officeDocument/2006/relationships/hyperlink" Target="https://www.worksafe.vic.gov.au/resources/worksafe-incentive-scheme-employers-wise-information-employers" TargetMode="External"/><Relationship Id="rId2057" Type="http://schemas.openxmlformats.org/officeDocument/2006/relationships/hyperlink" Target="https://www.rtwsa.com/__data/assets/pdf_file/0004/52996/Self-insured-code-of-conduct.pdf" TargetMode="External"/><Relationship Id="rId4" Type="http://schemas.openxmlformats.org/officeDocument/2006/relationships/settings" Target="settings.xml"/><Relationship Id="rId236" Type="http://schemas.openxmlformats.org/officeDocument/2006/relationships/hyperlink" Target="http://www8.austlii.edu.au/cgi-bin/viewdoc/au/legis/vic/num_act/wiraca201367o2013530/s170.html" TargetMode="External"/><Relationship Id="rId443" Type="http://schemas.openxmlformats.org/officeDocument/2006/relationships/hyperlink" Target="http://www.workcover.wa.gov.au/content/uploads/2014/09/2017-Arbitration-brochure-web-version.pdf" TargetMode="External"/><Relationship Id="rId650" Type="http://schemas.openxmlformats.org/officeDocument/2006/relationships/hyperlink" Target="http://www.thelaw.tas.gov.au/tocview/content.w3p;cond=;doc_id=4%2B%2B1988%2BGS3%40EN%2B20151223090000;histon=;inforequest=;prompt=;rec=;term=" TargetMode="External"/><Relationship Id="rId888" Type="http://schemas.openxmlformats.org/officeDocument/2006/relationships/hyperlink" Target="http://www8.austlii.edu.au/cgi-bin/viewdoc/au/legis/sa/consol_act/rtwa2014207/s122.html" TargetMode="External"/><Relationship Id="rId1073" Type="http://schemas.openxmlformats.org/officeDocument/2006/relationships/hyperlink" Target="http://www8.austlii.edu.au/cgi-bin/viewdoc/au/legis/cth/consol_act/sracca1988512/s19.html" TargetMode="External"/><Relationship Id="rId1280" Type="http://schemas.openxmlformats.org/officeDocument/2006/relationships/hyperlink" Target="http://www8.austlii.edu.au/cgi-bin/viewdoc/au/legis/cth/consol_act/sraca1988368/s17.html" TargetMode="External"/><Relationship Id="rId1501" Type="http://schemas.openxmlformats.org/officeDocument/2006/relationships/hyperlink" Target="http://www.austlii.edu.au/cgi-bin/viewdb/au/legis/vic/consol_act/wiraca2013484/s107.html" TargetMode="External"/><Relationship Id="rId1739" Type="http://schemas.openxmlformats.org/officeDocument/2006/relationships/hyperlink" Target="http://www.austlii.edu.au/cgi-bin/viewdb/au/legis/act/consol_act/wca1951255/s105.html" TargetMode="External"/><Relationship Id="rId1946" Type="http://schemas.openxmlformats.org/officeDocument/2006/relationships/hyperlink" Target="http://www.hwca.org.au/wp-content/uploads/2016/08/1-Guide-Nationally-Consistent-Approval-Framework-for-Workplace-Rehabi....pdf" TargetMode="External"/><Relationship Id="rId2124" Type="http://schemas.openxmlformats.org/officeDocument/2006/relationships/hyperlink" Target="https://www.legislation.qld.gov.au/view/html/repealed/current/act-1996-075" TargetMode="External"/><Relationship Id="rId303" Type="http://schemas.openxmlformats.org/officeDocument/2006/relationships/hyperlink" Target="http://www8.austlii.edu.au/cgi-bin/viewdoc/au/legis/wa/consol_act/wcaima1981445/s178.html" TargetMode="External"/><Relationship Id="rId748" Type="http://schemas.openxmlformats.org/officeDocument/2006/relationships/hyperlink" Target="http://www8.austlii.edu.au/cgi-bin/viewdoc/au/legis/nsw/consol_act/wca1987255/s4.html" TargetMode="External"/><Relationship Id="rId955" Type="http://schemas.openxmlformats.org/officeDocument/2006/relationships/hyperlink" Target="http://www8.austlii.edu.au/cgi-bin/viewdoc/au/legis/nsw/consol_act/wca1987255/s11a.html" TargetMode="External"/><Relationship Id="rId1140" Type="http://schemas.openxmlformats.org/officeDocument/2006/relationships/hyperlink" Target="http://www8.austlii.edu.au/cgi-bin/viewdoc/au/legis/wa/consol_act/wcaima1981445/sch1.html" TargetMode="External"/><Relationship Id="rId1378" Type="http://schemas.openxmlformats.org/officeDocument/2006/relationships/hyperlink" Target="http://www.austlii.edu.au/cgi-bin/viewdb/au/legis/cth/consol_act/sracca1988512/s24.html" TargetMode="External"/><Relationship Id="rId1585" Type="http://schemas.openxmlformats.org/officeDocument/2006/relationships/hyperlink" Target="http://www.austlii.edu.au/cgi-bin/viewdb/au/legis/nt/consol_act/rtwa207/s75b.html" TargetMode="External"/><Relationship Id="rId1792" Type="http://schemas.openxmlformats.org/officeDocument/2006/relationships/hyperlink" Target="http://www.austlii.edu.au/cgi-bin/viewdb/au/legis/vic/consol_act/wiraca2013484/s115.html" TargetMode="External"/><Relationship Id="rId1806" Type="http://schemas.openxmlformats.org/officeDocument/2006/relationships/hyperlink" Target="http://www.austlii.edu.au/cgi-bin/viewdb/au/legis/wa/consol_act/wcaima1981445/s72b.html" TargetMode="External"/><Relationship Id="rId84" Type="http://schemas.openxmlformats.org/officeDocument/2006/relationships/hyperlink" Target="https://www.legislation.gov.au/Details/C2017C00335" TargetMode="External"/><Relationship Id="rId387" Type="http://schemas.openxmlformats.org/officeDocument/2006/relationships/hyperlink" Target="http://www8.austlii.edu.au/cgi-bin/viewdoc/au/legis/cth/consol_act/sraca1992381/s31.html" TargetMode="External"/><Relationship Id="rId510" Type="http://schemas.openxmlformats.org/officeDocument/2006/relationships/hyperlink" Target="http://www8.austlii.edu.au/cgi-bin/viewdb/au/legis/vic/num_act/wiraca201367o2013530/" TargetMode="External"/><Relationship Id="rId594" Type="http://schemas.openxmlformats.org/officeDocument/2006/relationships/hyperlink" Target="http://www.thelaw.tas.gov.au/tocview/content.w3p;cond=;doc_id=4%2B%2B1988%2BGS4DA%40EN%2B20151223090000;histon=;inforequest=;prompt=;rec=;term=" TargetMode="External"/><Relationship Id="rId608" Type="http://schemas.openxmlformats.org/officeDocument/2006/relationships/hyperlink" Target="http://www8.austlii.edu.au/cgi-bin/viewdoc/au/legis/vic/num_act/wiraca201367o2013530/sch1.html" TargetMode="External"/><Relationship Id="rId815" Type="http://schemas.openxmlformats.org/officeDocument/2006/relationships/hyperlink" Target="http://www8.austlii.edu.au/cgi-bin/viewdoc/au/legis/cth/consol_act/mraca2004397/s27.html" TargetMode="External"/><Relationship Id="rId1238" Type="http://schemas.openxmlformats.org/officeDocument/2006/relationships/hyperlink" Target="http://www.austlii.edu.au/cgi-bin/viewdb/au/legis/cth/consol_act/mraca2004397/s78.html" TargetMode="External"/><Relationship Id="rId1445" Type="http://schemas.openxmlformats.org/officeDocument/2006/relationships/hyperlink" Target="http://www.austlii.edu.au/cgi-bin/viewdb/au/legis/cth/consol_act/sraca1988368/s58.html" TargetMode="External"/><Relationship Id="rId1652" Type="http://schemas.openxmlformats.org/officeDocument/2006/relationships/hyperlink" Target="http://www.thelaw.tas.gov.au/tocview/content.w3p;cond=;doc_id=4%2B%2B1988%2BGS143%40EN%2B20151224080000;histon=;inforequest=;prompt=;rec=;term=" TargetMode="External"/><Relationship Id="rId2068" Type="http://schemas.openxmlformats.org/officeDocument/2006/relationships/hyperlink" Target="https://www.legislation.qld.gov.au/view/html/inforce/current/act-2003-027" TargetMode="External"/><Relationship Id="rId247" Type="http://schemas.openxmlformats.org/officeDocument/2006/relationships/hyperlink" Target="http://www.comlaw.gov.au/Details/C2014C00600" TargetMode="External"/><Relationship Id="rId899" Type="http://schemas.openxmlformats.org/officeDocument/2006/relationships/hyperlink" Target="http://www8.austlii.edu.au/cgi-bin/viewdoc/au/legis/vic/num_act/wiraca201367o2013530/s44.html" TargetMode="External"/><Relationship Id="rId1000" Type="http://schemas.openxmlformats.org/officeDocument/2006/relationships/hyperlink" Target="http://www8.austlii.edu.au/cgi-bin/viewdoc/au/legis/vic/num_act/wiraca201367o2013530/s163.html" TargetMode="External"/><Relationship Id="rId1084" Type="http://schemas.openxmlformats.org/officeDocument/2006/relationships/hyperlink" Target="http://www.legislation.govt.nz/act/public/2001/0049/latest/DLM104833.html" TargetMode="External"/><Relationship Id="rId1305" Type="http://schemas.openxmlformats.org/officeDocument/2006/relationships/hyperlink" Target="http://www.austlii.edu.au/cgi-bin/viewdb/au/legis/vic/consol_act/wiraca2013484/s3.html" TargetMode="External"/><Relationship Id="rId1957" Type="http://schemas.openxmlformats.org/officeDocument/2006/relationships/hyperlink" Target="https://www.worksafe.vic.gov.au/resources/occupational-rehabilitation-services-registered-provider-fee-schedule-2018" TargetMode="External"/><Relationship Id="rId107" Type="http://schemas.openxmlformats.org/officeDocument/2006/relationships/hyperlink" Target="http://www8.austlii.edu.au/cgi-bin/viewdoc/au/legis/cth/consol_act/sraca1992381/s4.html" TargetMode="External"/><Relationship Id="rId454" Type="http://schemas.openxmlformats.org/officeDocument/2006/relationships/hyperlink" Target="https://www.legislation.sa.gov.au/LZ/C/A/SOUTH%20AUSTRALIAN%20EMPLOYMENT%20TRIBUNAL%20ACT%202014/CURRENT/2014.17.UN.PDF" TargetMode="External"/><Relationship Id="rId661" Type="http://schemas.openxmlformats.org/officeDocument/2006/relationships/hyperlink" Target="http://www8.austlii.edu.au/cgi-bin/viewdoc/au/legis/nt/consol_act/rtwa207/s3.html" TargetMode="External"/><Relationship Id="rId759" Type="http://schemas.openxmlformats.org/officeDocument/2006/relationships/hyperlink" Target="http://www8.austlii.edu.au/cgi-bin/viewdoc/au/legis/cth/consol_act/mraca2004397/s35.html" TargetMode="External"/><Relationship Id="rId966" Type="http://schemas.openxmlformats.org/officeDocument/2006/relationships/hyperlink" Target="http://www8.austlii.edu.au/cgi-bin/viewdoc/au/legis/sa/consol_act/rtwa2014207/s7.html" TargetMode="External"/><Relationship Id="rId1291" Type="http://schemas.openxmlformats.org/officeDocument/2006/relationships/hyperlink" Target="http://www8.austlii.edu.au/cgi-bin/viewdoc/au/legis/cth/consol_act/mraca2004397/s247.html" TargetMode="External"/><Relationship Id="rId1389" Type="http://schemas.openxmlformats.org/officeDocument/2006/relationships/hyperlink" Target="http://www.austlii.edu.au/cgi-bin/viewdb/au/legis/nsw/consol_act/wimawca1998540/s48.html" TargetMode="External"/><Relationship Id="rId1512" Type="http://schemas.openxmlformats.org/officeDocument/2006/relationships/hyperlink" Target="http://www.austlii.edu.au/cgi-bin/viewdb/au/legis/vic/consol_act/wiraca2013484/s118.html" TargetMode="External"/><Relationship Id="rId1596" Type="http://schemas.openxmlformats.org/officeDocument/2006/relationships/hyperlink" Target="http://www.austlii.edu.au/cgi-bin/viewdb/au/legis/cth/consol_act/sraca1988368/s39.html" TargetMode="External"/><Relationship Id="rId1817" Type="http://schemas.openxmlformats.org/officeDocument/2006/relationships/hyperlink" Target="http://www.austlii.edu.au/au/legis/sa/consol_act/rtwa2014207/s48.html" TargetMode="External"/><Relationship Id="rId2135" Type="http://schemas.openxmlformats.org/officeDocument/2006/relationships/hyperlink" Target="https://www.legislation.qld.gov.au/view/html/inforce/current/act-2003-027/lh" TargetMode="External"/><Relationship Id="rId11" Type="http://schemas.openxmlformats.org/officeDocument/2006/relationships/hyperlink" Target="mailto:info@swa.gov.au" TargetMode="External"/><Relationship Id="rId314" Type="http://schemas.openxmlformats.org/officeDocument/2006/relationships/hyperlink" Target="http://www8.austlii.edu.au/cgi-bin/viewdoc/au/legis/cth/consol_act/mraca2004397/s319.html" TargetMode="External"/><Relationship Id="rId398" Type="http://schemas.openxmlformats.org/officeDocument/2006/relationships/hyperlink" Target="http://www8.austlii.edu.au/cgi-bin/viewdoc/au/legis/act/consol_act/wca1951255/s38.html" TargetMode="External"/><Relationship Id="rId521" Type="http://schemas.openxmlformats.org/officeDocument/2006/relationships/hyperlink" Target="http://www.thelaw.tas.gov.au/tocview/content.w3p;cond=;doc_id=4%2B%2B1988%2BGS97%40EN%2B20151223090000;histon=;inforequest=;prompt=;rec=;term=" TargetMode="External"/><Relationship Id="rId619" Type="http://schemas.openxmlformats.org/officeDocument/2006/relationships/hyperlink" Target="https://www.legislation.qld.gov.au/view/html/inforce/current/act-2003-027" TargetMode="External"/><Relationship Id="rId1151" Type="http://schemas.openxmlformats.org/officeDocument/2006/relationships/hyperlink" Target="http://www.thelaw.tas.gov.au/tocview/content.w3p;cond=;doc_id=4%2B%2B1988%2BGS75%40EN%2B20151224080000;histon=;inforequest=;prompt=;rec=;term=" TargetMode="External"/><Relationship Id="rId1249" Type="http://schemas.openxmlformats.org/officeDocument/2006/relationships/hyperlink" Target="http://www8.austlii.edu.au/cgi-bin/viewdoc/au/legis/nsw/consol_act/wca1987255/s28.html" TargetMode="External"/><Relationship Id="rId2079" Type="http://schemas.openxmlformats.org/officeDocument/2006/relationships/hyperlink" Target="http://www.austlii.edu.au/cgi-bin/viewdb/au/legis/tas/consol_act/wraca1988400/s107.html" TargetMode="External"/><Relationship Id="rId2202" Type="http://schemas.openxmlformats.org/officeDocument/2006/relationships/hyperlink" Target="https://www.comlaw.gov.au/Details/C2015A00051" TargetMode="External"/><Relationship Id="rId95" Type="http://schemas.openxmlformats.org/officeDocument/2006/relationships/hyperlink" Target="http://www.austlii.edu.au/cgi-bin/viewdb/au/legis/wa/consol_act/wcaima1981445/s5.html" TargetMode="External"/><Relationship Id="rId160" Type="http://schemas.openxmlformats.org/officeDocument/2006/relationships/hyperlink" Target="http://www8.austlii.edu.au/cgi-bin/viewdoc/au/legis/cth/consol_act/sraca1988368/s6.html" TargetMode="External"/><Relationship Id="rId826" Type="http://schemas.openxmlformats.org/officeDocument/2006/relationships/hyperlink" Target="http://www.legislation.govt.nz/act/public/2001/0049/latest/DLM100918.html" TargetMode="External"/><Relationship Id="rId1011" Type="http://schemas.openxmlformats.org/officeDocument/2006/relationships/hyperlink" Target="https://www.legislation.qld.gov.au/view/html/inforce/current/act-2003-027" TargetMode="External"/><Relationship Id="rId1109" Type="http://schemas.openxmlformats.org/officeDocument/2006/relationships/hyperlink" Target="https://www.legislation.qld.gov.au/view/html/inforce/current/act-2003-027" TargetMode="External"/><Relationship Id="rId1456" Type="http://schemas.openxmlformats.org/officeDocument/2006/relationships/hyperlink" Target="http://www.austlii.edu.au/cgi-bin/viewdb/au/legis/cth/consol_act/mraca2004397/s122.html" TargetMode="External"/><Relationship Id="rId1663" Type="http://schemas.openxmlformats.org/officeDocument/2006/relationships/hyperlink" Target="http://www.seacare.gov.au/forms_and_publications/published_information/our_services/Rehabilitation/rehabilitation/a_best_prac_guide_seafarers_rehab_rtw" TargetMode="External"/><Relationship Id="rId1870" Type="http://schemas.openxmlformats.org/officeDocument/2006/relationships/hyperlink" Target="http://www.legislation.govt.nz/act/public/2001/0049/latest/link.aspx?id=DLM101409" TargetMode="External"/><Relationship Id="rId1968" Type="http://schemas.openxmlformats.org/officeDocument/2006/relationships/hyperlink" Target="http://www.comcare.gov.au/Forms_and_Publications/publications/services/injury_management/injury_management/criteria_and_operational_standards_for_workplace_rehabilitation_providers_2015" TargetMode="External"/><Relationship Id="rId258" Type="http://schemas.openxmlformats.org/officeDocument/2006/relationships/hyperlink" Target="http://www.austlii.edu.au/au/legis/sa/consol_act/rtwa2014207/s41.html" TargetMode="External"/><Relationship Id="rId465" Type="http://schemas.openxmlformats.org/officeDocument/2006/relationships/hyperlink" Target="http://www.thelaw.tas.gov.au/tocview/content.w3p;cond=;doc_id=4%2B%2B1988%2BHPV%40HD3%40EN%2B20151223090000;histon=;inforequest=;prompt=;rec=93;term=" TargetMode="External"/><Relationship Id="rId672" Type="http://schemas.openxmlformats.org/officeDocument/2006/relationships/hyperlink" Target="http://www8.austlii.edu.au/cgi-bin/viewdoc/au/legis/act/consol_act/wca1951255/s17.html" TargetMode="External"/><Relationship Id="rId1095" Type="http://schemas.openxmlformats.org/officeDocument/2006/relationships/hyperlink" Target="http://www8.austlii.edu.au/cgi-bin/viewdoc/au/legis/nsw/consol_act/wca1987255/s60aa.html" TargetMode="External"/><Relationship Id="rId1316" Type="http://schemas.openxmlformats.org/officeDocument/2006/relationships/hyperlink" Target="http://www.austlii.edu.au/au/legis/sa/consol_act/rtwa2014207/s4.html" TargetMode="External"/><Relationship Id="rId1523" Type="http://schemas.openxmlformats.org/officeDocument/2006/relationships/hyperlink" Target="http://www.austlii.edu.au/cgi-bin/viewdb/au/legis/vic/consol_act/wiraca2013484/s127.html" TargetMode="External"/><Relationship Id="rId1730" Type="http://schemas.openxmlformats.org/officeDocument/2006/relationships/hyperlink" Target="http://www.austlii.edu.au/cgi-bin/viewdb/au/legis/sa/consol_act/rtwa2014207/s4.html" TargetMode="External"/><Relationship Id="rId2146" Type="http://schemas.openxmlformats.org/officeDocument/2006/relationships/hyperlink" Target="http://www.legislation.act.gov.au/a/default.asp" TargetMode="External"/><Relationship Id="rId22" Type="http://schemas.openxmlformats.org/officeDocument/2006/relationships/hyperlink" Target="mailto:nicholas.cobb@sira.nsw.gov.au" TargetMode="External"/><Relationship Id="rId118" Type="http://schemas.openxmlformats.org/officeDocument/2006/relationships/hyperlink" Target="http://www.thelaw.tas.gov.au/tocview/content.w3p;cond=;doc_id=4%2B%2B1988%2BGS4B%40EN%2B20150327100000;histon=;inforequest=;prompt=;rec=;term=" TargetMode="External"/><Relationship Id="rId325" Type="http://schemas.openxmlformats.org/officeDocument/2006/relationships/hyperlink" Target="http://www8.austlii.edu.au/cgi-bin/viewdoc/au/legis/nt/consol_act/rtwa207/s82.html" TargetMode="External"/><Relationship Id="rId532" Type="http://schemas.openxmlformats.org/officeDocument/2006/relationships/hyperlink" Target="http://www8.austlii.edu.au/cgi-bin/viewdoc/au/legis/nsw/consol_act/wca1987255/s49.html" TargetMode="External"/><Relationship Id="rId977" Type="http://schemas.openxmlformats.org/officeDocument/2006/relationships/hyperlink" Target="http://www8.austlii.edu.au/cgi-bin/viewdoc/au/legis/cth/consol_act/sraca1992381/s26.html" TargetMode="External"/><Relationship Id="rId1162" Type="http://schemas.openxmlformats.org/officeDocument/2006/relationships/hyperlink" Target="http://www.thelaw.tas.gov.au/tocview/content.w3p;cond=;doc_id=4%2B%2B1988%2BGS75%40EN%2B20151224080000;histon=;inforequest=;prompt=;rec=;term=" TargetMode="External"/><Relationship Id="rId1828" Type="http://schemas.openxmlformats.org/officeDocument/2006/relationships/hyperlink" Target="http://www.thelaw.tas.gov.au/tocview/content.w3p;cond=;doc_id=4%2B%2B1988%2BGS90A%40EN%2B20151224140000;histon=;inforequest=;prompt=;rec=;term=" TargetMode="External"/><Relationship Id="rId2006" Type="http://schemas.openxmlformats.org/officeDocument/2006/relationships/hyperlink" Target="http://www.austlii.edu.au/cgi-bin/viewdb/au/legis/nt/consol_act/rtwa207/s119.html" TargetMode="External"/><Relationship Id="rId2213" Type="http://schemas.openxmlformats.org/officeDocument/2006/relationships/hyperlink" Target="http://classic.austlii.edu.au/au/legis/nsw/consol_reg/wcr2016346/sch1.html" TargetMode="External"/><Relationship Id="rId171" Type="http://schemas.openxmlformats.org/officeDocument/2006/relationships/hyperlink" Target="http://www8.austlii.edu.au/cgi-bin/viewdoc/au/legis/cth/consol_act/mraca2004397/s27.html" TargetMode="External"/><Relationship Id="rId837" Type="http://schemas.openxmlformats.org/officeDocument/2006/relationships/hyperlink" Target="https://www.rtwsa.com/media/documents/Impairment-assessment-guidelines.pdf" TargetMode="External"/><Relationship Id="rId1022" Type="http://schemas.openxmlformats.org/officeDocument/2006/relationships/hyperlink" Target="http://www8.austlii.edu.au/cgi-bin/viewdoc/au/legis/sa/consol_act/rtwa2014207/s41.html" TargetMode="External"/><Relationship Id="rId1467" Type="http://schemas.openxmlformats.org/officeDocument/2006/relationships/hyperlink" Target="http://www.legislation.govt.nz/act/public/2001/0049/latest/link.aspx?id=DLM101482" TargetMode="External"/><Relationship Id="rId1674" Type="http://schemas.openxmlformats.org/officeDocument/2006/relationships/hyperlink" Target="https://www.legislation.qld.gov.au/view/html/inforce/current/act-2003-027" TargetMode="External"/><Relationship Id="rId1881" Type="http://schemas.openxmlformats.org/officeDocument/2006/relationships/hyperlink" Target="https://www.rtwsa.com/claims/returning-to-work/re-employment-incentive-scheme-for-employers-rise" TargetMode="External"/><Relationship Id="rId269" Type="http://schemas.openxmlformats.org/officeDocument/2006/relationships/hyperlink" Target="http://www.thelaw.tas.gov.au/tocview/content.w3p;cond=;doc_id=4%2B%2B1988%2BGS67A%40EN%2B20151223090000;histon=;inforequest=;prompt=;rec=;term=" TargetMode="External"/><Relationship Id="rId476" Type="http://schemas.openxmlformats.org/officeDocument/2006/relationships/hyperlink" Target="http://www8.austlii.edu.au/cgi-bin/viewdoc/au/legis/nt/consol_act/rtwa207/s72.html" TargetMode="External"/><Relationship Id="rId683" Type="http://schemas.openxmlformats.org/officeDocument/2006/relationships/hyperlink" Target="http://www8.austlii.edu.au/cgi-bin/viewdoc/au/legis/cth/consol_act/sracca1988512/s5.html" TargetMode="External"/><Relationship Id="rId890" Type="http://schemas.openxmlformats.org/officeDocument/2006/relationships/hyperlink" Target="http://www.thelaw.tas.gov.au/tocview/content.w3p;cond=;doc_id=4%2B%2B1988%2BGS71%40EN%2B20151223090000;histon=;inforequest=;prompt=;rec=;term=" TargetMode="External"/><Relationship Id="rId904" Type="http://schemas.openxmlformats.org/officeDocument/2006/relationships/hyperlink" Target="https://www.legislation.qld.gov.au/view/html/inforce/current/act-2003-027" TargetMode="External"/><Relationship Id="rId1327" Type="http://schemas.openxmlformats.org/officeDocument/2006/relationships/hyperlink" Target="http://www.austlii.edu.au/cgi-bin/viewdb/au/legis/cth/consol_act/sraca1988368/s4.html" TargetMode="External"/><Relationship Id="rId1534" Type="http://schemas.openxmlformats.org/officeDocument/2006/relationships/hyperlink" Target="https://www.worksafe.vic.gov.au/resources/what-do-if-worker-injured-guide-employers" TargetMode="External"/><Relationship Id="rId1741" Type="http://schemas.openxmlformats.org/officeDocument/2006/relationships/hyperlink" Target="http://www.austlii.edu.au/cgi-bin/viewdb/au/legis/act/consol_act/wca1951255/s113.html" TargetMode="External"/><Relationship Id="rId1979" Type="http://schemas.openxmlformats.org/officeDocument/2006/relationships/hyperlink" Target="https://www.legislation.qld.gov.au/view/html/inforce/current/act-2003-027" TargetMode="External"/><Relationship Id="rId2157" Type="http://schemas.openxmlformats.org/officeDocument/2006/relationships/hyperlink" Target="https://www.legislation.qld.gov.au/view/html/repealed/current/act-1996-075" TargetMode="External"/><Relationship Id="rId33" Type="http://schemas.openxmlformats.org/officeDocument/2006/relationships/hyperlink" Target="http://www.worksafe.tas.gov.au/" TargetMode="External"/><Relationship Id="rId129" Type="http://schemas.openxmlformats.org/officeDocument/2006/relationships/hyperlink" Target="http://www.legislation.govt.nz/act/public/2001/0049/latest/DLM99494.html" TargetMode="External"/><Relationship Id="rId336" Type="http://schemas.openxmlformats.org/officeDocument/2006/relationships/hyperlink" Target="http://www.thelaw.tas.gov.au/tocview/content.w3p;cond=;doc_id=4%2B%2B1988%2BGS36%40EN%2B20151223090000;histon=;inforequest=;prompt=;rec=;term=" TargetMode="External"/><Relationship Id="rId543" Type="http://schemas.openxmlformats.org/officeDocument/2006/relationships/hyperlink" Target="http://www8.austlii.edu.au/cgi-bin/viewdoc/au/legis/cth/consol_act/sraca1988368/s19.html" TargetMode="External"/><Relationship Id="rId988" Type="http://schemas.openxmlformats.org/officeDocument/2006/relationships/hyperlink" Target="https://www.worksafe.vic.gov.au/resources/premium-guideline-interstate-workers" TargetMode="External"/><Relationship Id="rId1173" Type="http://schemas.openxmlformats.org/officeDocument/2006/relationships/hyperlink" Target="http://www8.austlii.edu.au/cgi-bin/viewdoc/au/legis/cth/consol_act/sraca1988368/s29.html" TargetMode="External"/><Relationship Id="rId1380" Type="http://schemas.openxmlformats.org/officeDocument/2006/relationships/hyperlink" Target="http://www.austlii.edu.au/cgi-bin/viewdb/au/legis/nsw/consol_act/wca1987255/s151a.html" TargetMode="External"/><Relationship Id="rId1601" Type="http://schemas.openxmlformats.org/officeDocument/2006/relationships/hyperlink" Target="http://www.comcare.gov.au/Forms_and_Publications/publications/services/injury_management/injury_management/rehabilitation_guidelines_for_employers" TargetMode="External"/><Relationship Id="rId1839" Type="http://schemas.openxmlformats.org/officeDocument/2006/relationships/hyperlink" Target="http://www.austlii.edu.au/cgi-bin/viewdb/au/legis/act/consol_act/wca1951255/s101.html" TargetMode="External"/><Relationship Id="rId2017" Type="http://schemas.openxmlformats.org/officeDocument/2006/relationships/hyperlink" Target="http://www5.austlii.edu.au/au/legis/vic/num_reg/wiracr2014n41o2014674/s14.html" TargetMode="External"/><Relationship Id="rId2224" Type="http://schemas.openxmlformats.org/officeDocument/2006/relationships/hyperlink" Target="http://www5.austlii.edu.au/au/legis/nsw/consol_act/wcda1942388/sch1.html" TargetMode="External"/><Relationship Id="rId182"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403" Type="http://schemas.openxmlformats.org/officeDocument/2006/relationships/hyperlink" Target="http://www8.austlii.edu.au/cgi-bin/viewdoc/au/legis/vic/num_act/wiraca201367o2013530/s179.html" TargetMode="External"/><Relationship Id="rId750" Type="http://schemas.openxmlformats.org/officeDocument/2006/relationships/hyperlink" Target="https://www.legislation.qld.gov.au/view/html/inforce/current/act-2003-027" TargetMode="External"/><Relationship Id="rId848" Type="http://schemas.openxmlformats.org/officeDocument/2006/relationships/hyperlink" Target="http://www8.austlii.edu.au/cgi-bin/viewdoc/au/legis/cth/consol_act/mraca2004397/s68.html" TargetMode="External"/><Relationship Id="rId1033" Type="http://schemas.openxmlformats.org/officeDocument/2006/relationships/hyperlink" Target="http://www8.austlii.edu.au/cgi-bin/viewdoc/au/legis/nt/consol_act/rtwa207/s65.html" TargetMode="External"/><Relationship Id="rId1478" Type="http://schemas.openxmlformats.org/officeDocument/2006/relationships/hyperlink" Target="http://www.thelaw.tas.gov.au/tocview/content.w3p;cond=;doc_id=4%2B%2B1988%2BGS132A%40EN%2B20151224080000;histon=;inforequest=;prompt=;rec=;term=" TargetMode="External"/><Relationship Id="rId1685" Type="http://schemas.openxmlformats.org/officeDocument/2006/relationships/hyperlink" Target="http://www.austlii.edu.au/cgi-bin/viewdb/au/legis/tas/consol_act/wraca1988400/s143e.html" TargetMode="External"/><Relationship Id="rId1892" Type="http://schemas.openxmlformats.org/officeDocument/2006/relationships/hyperlink" Target="http://www.austlii.edu.au/cgi-bin/viewdb/au/legis/nsw/consol_act/wimawca1998540/s45.html" TargetMode="External"/><Relationship Id="rId1906" Type="http://schemas.openxmlformats.org/officeDocument/2006/relationships/hyperlink" Target="http://www.austlii.edu.au/cgi-bin/viewdb/au/legis/act/consol_act/wca1951255/s88.html" TargetMode="External"/><Relationship Id="rId487" Type="http://schemas.openxmlformats.org/officeDocument/2006/relationships/hyperlink" Target="http://www.vwa.vic.gov.au/insurance-and-premiums/determining-your-remuneration" TargetMode="External"/><Relationship Id="rId610" Type="http://schemas.openxmlformats.org/officeDocument/2006/relationships/hyperlink" Target="http://www8.austlii.edu.au/cgi-bin/viewdoc/au/legis/vic/num_act/wiraca201367o2013530/sch1.html" TargetMode="External"/><Relationship Id="rId694" Type="http://schemas.openxmlformats.org/officeDocument/2006/relationships/hyperlink" Target="http://www8.austlii.edu.au/cgi-bin/viewdoc/au/legis/vic/num_act/wiraca201367o2013530/sch1.html" TargetMode="External"/><Relationship Id="rId708" Type="http://schemas.openxmlformats.org/officeDocument/2006/relationships/hyperlink" Target="http://www8.austlii.edu.au/cgi-bin/viewdoc/au/legis/vic/num_act/wiraca201367o2013530/s376.html" TargetMode="External"/><Relationship Id="rId915" Type="http://schemas.openxmlformats.org/officeDocument/2006/relationships/hyperlink" Target="http://www8.austlii.edu.au/cgi-bin/viewdoc/au/legis/act/consol_act/wca1951255/s82.html" TargetMode="External"/><Relationship Id="rId1240" Type="http://schemas.openxmlformats.org/officeDocument/2006/relationships/hyperlink" Target="http://www.austlii.edu.au/cgi-bin/viewdb/au/legis/cth/consol_act/mraca2004397/s80.html" TargetMode="External"/><Relationship Id="rId1338" Type="http://schemas.openxmlformats.org/officeDocument/2006/relationships/hyperlink" Target="http://www.austlii.edu.au/cgi-bin/viewdb/au/legis/cth/consol_act/mraca2004397/s15.html" TargetMode="External"/><Relationship Id="rId1545" Type="http://schemas.openxmlformats.org/officeDocument/2006/relationships/hyperlink" Target="https://prod.wsvdigital.com.au/sites/default/files/2018-06/ISBN-Return-to-work-inspectors-information-2013-07.pdf" TargetMode="External"/><Relationship Id="rId2070" Type="http://schemas.openxmlformats.org/officeDocument/2006/relationships/hyperlink" Target="http://www.austlii.edu.au/cgi-bin/viewdb/au/legis/cth/consol_act/sraca1988368/s108b.html" TargetMode="External"/><Relationship Id="rId2168" Type="http://schemas.openxmlformats.org/officeDocument/2006/relationships/hyperlink" Target="http://www5.austlii.edu.au/au/legis/nsw/consol_act/wcda1942388/sch1.html" TargetMode="External"/><Relationship Id="rId347" Type="http://schemas.openxmlformats.org/officeDocument/2006/relationships/hyperlink" Target="http://www.thelaw.tas.gov.au/tocview/content.w3p;cond=;doc_id=4%2B%2B1988%2BGS36%40EN%2B20151223090000;histon=;inforequest=;prompt=;rec=;term=" TargetMode="External"/><Relationship Id="rId999" Type="http://schemas.openxmlformats.org/officeDocument/2006/relationships/hyperlink" Target="http://www8.austlii.edu.au/cgi-bin/viewdoc/au/legis/vic/num_act/wiraca201367o2013530/s157.html" TargetMode="External"/><Relationship Id="rId1100" Type="http://schemas.openxmlformats.org/officeDocument/2006/relationships/hyperlink" Target="http://www8.austlii.edu.au/cgi-bin/viewdoc/au/legis/vic/num_act/wiraca201367o2013530/s223.html" TargetMode="External"/><Relationship Id="rId1184" Type="http://schemas.openxmlformats.org/officeDocument/2006/relationships/hyperlink" Target="http://www8.austlii.edu.au/cgi-bin/viewdoc/au/legis/cth/consol_act/sraca1992381/s43.html" TargetMode="External"/><Relationship Id="rId1405" Type="http://schemas.openxmlformats.org/officeDocument/2006/relationships/hyperlink" Target="http://www.austlii.edu.au/cgi-bin/viewdb/au/legis/wa/consol_act/wcaima1981445/s63.html" TargetMode="External"/><Relationship Id="rId1752" Type="http://schemas.openxmlformats.org/officeDocument/2006/relationships/hyperlink" Target="http://www.austlii.edu.au/cgi-bin/viewdb/au/legis/nsw/consol_act/wimawca1998540/s46.html" TargetMode="External"/><Relationship Id="rId2028" Type="http://schemas.openxmlformats.org/officeDocument/2006/relationships/hyperlink" Target="http://www.austlii.edu.au/cgi-bin/viewdb/au/legis/wa/consol_act/wcaima1981445/s165.html" TargetMode="External"/><Relationship Id="rId44" Type="http://schemas.openxmlformats.org/officeDocument/2006/relationships/hyperlink" Target="http://www.seacare.gov.au/" TargetMode="External"/><Relationship Id="rId554" Type="http://schemas.openxmlformats.org/officeDocument/2006/relationships/hyperlink" Target="http://www8.austlii.edu.au/cgi-bin/viewdoc/au/legis/cth/consol_act/sraca1988368/s116.html" TargetMode="External"/><Relationship Id="rId761" Type="http://schemas.openxmlformats.org/officeDocument/2006/relationships/hyperlink" Target="http://www8.austlii.edu.au/cgi-bin/viewdoc/au/legis/nsw/consol_act/wca1987255/s11.html" TargetMode="External"/><Relationship Id="rId859" Type="http://schemas.openxmlformats.org/officeDocument/2006/relationships/hyperlink" Target="http://www8.austlii.edu.au/cgi-bin/viewdoc/au/legis/vic/num_act/wiraca201367o2013530/s66.html" TargetMode="External"/><Relationship Id="rId1391" Type="http://schemas.openxmlformats.org/officeDocument/2006/relationships/hyperlink" Target="http://www.austlii.edu.au/cgi-bin/viewdb/au/legis/vic/consol_act/wiraca2013484/s27.html" TargetMode="External"/><Relationship Id="rId1489" Type="http://schemas.openxmlformats.org/officeDocument/2006/relationships/hyperlink" Target="http://www.austlii.edu.au/cgi-bin/viewdoc/au/legis/vic/consol_act/wiraca2013484/s17.html" TargetMode="External"/><Relationship Id="rId1612" Type="http://schemas.openxmlformats.org/officeDocument/2006/relationships/hyperlink" Target="http://www.austlii.edu.au/cgi-bin/viewdb/au/legis/cth/consol_act/sraca1992381/s51.html" TargetMode="External"/><Relationship Id="rId1696" Type="http://schemas.openxmlformats.org/officeDocument/2006/relationships/hyperlink" Target="http://www.austlii.edu.au/cgi-bin/viewdb/au/legis/act/consol_act/wca1951255/s99a.html" TargetMode="External"/><Relationship Id="rId1917" Type="http://schemas.openxmlformats.org/officeDocument/2006/relationships/hyperlink" Target="https://www.worksafe.vic.gov.au/resources/return-work-coordinator-training-calendar" TargetMode="External"/><Relationship Id="rId2235" Type="http://schemas.openxmlformats.org/officeDocument/2006/relationships/hyperlink" Target="http://gazette.slv.vic.gov.au/view.cgi?year=1985&amp;class=general&amp;page_num=3401&amp;state=V&amp;classNum=G92&amp;id=" TargetMode="External"/><Relationship Id="rId193" Type="http://schemas.openxmlformats.org/officeDocument/2006/relationships/hyperlink" Target="http://www.thelaw.tas.gov.au/tocview/index.w3p;cond=ALL;doc_id=4%2B%2B1988%2BAT%40EN%2B20150327100000;histon=;prompt=;rec=;term=Workers%20Rehabilitation" TargetMode="External"/><Relationship Id="rId207" Type="http://schemas.openxmlformats.org/officeDocument/2006/relationships/hyperlink" Target="http://www.legislation.act.gov.au/a/1951-2/current/pdf/1951-2.pdf" TargetMode="External"/><Relationship Id="rId414" Type="http://schemas.openxmlformats.org/officeDocument/2006/relationships/hyperlink" Target="https://www.legislation.qld.gov.au/view/html/inforce/current/act-2003-027" TargetMode="External"/><Relationship Id="rId498" Type="http://schemas.openxmlformats.org/officeDocument/2006/relationships/hyperlink" Target="http://www.austlii.edu.au/au/legis/sa/consol_act/rtwa2014207/s64.html" TargetMode="External"/><Relationship Id="rId621" Type="http://schemas.openxmlformats.org/officeDocument/2006/relationships/hyperlink" Target="https://www.legislation.qld.gov.au/view/html/inforce/current/act-2003-027" TargetMode="External"/><Relationship Id="rId1044" Type="http://schemas.openxmlformats.org/officeDocument/2006/relationships/hyperlink" Target="http://www8.austlii.edu.au/cgi-bin/viewdoc/au/legis/act/consol_act/wca1951255/s41.html" TargetMode="External"/><Relationship Id="rId1251" Type="http://schemas.openxmlformats.org/officeDocument/2006/relationships/hyperlink" Target="http://www8.austlii.edu.au/cgi-bin/viewdoc/au/legis/vic/num_act/wiraca201367o2013530/s237.html" TargetMode="External"/><Relationship Id="rId1349" Type="http://schemas.openxmlformats.org/officeDocument/2006/relationships/hyperlink" Target="http://www.austlii.edu.au/cgi-bin/viewdb/au/legis/vic/consol_act/wiraca2013484/s347.html" TargetMode="External"/><Relationship Id="rId2081" Type="http://schemas.openxmlformats.org/officeDocument/2006/relationships/hyperlink" Target="http://www.thelaw.tas.gov.au/tocview/content.w3p;cond=;doc_id=4%2B%2B1988%2BGS112%40Gs3%40EN%2B20160104090000;histon=;inforequest=;prompt=;rec=230;term=" TargetMode="External"/><Relationship Id="rId2179" Type="http://schemas.openxmlformats.org/officeDocument/2006/relationships/hyperlink" Target="http://classic.austlii.edu.au/au/legis/sa/repealed_act/wraca1986400/index.html" TargetMode="External"/><Relationship Id="rId260" Type="http://schemas.openxmlformats.org/officeDocument/2006/relationships/hyperlink" Target="http://www.austlii.edu.au/au/legis/sa/consol_act/rtwa2014207/s39.html" TargetMode="External"/><Relationship Id="rId719" Type="http://schemas.openxmlformats.org/officeDocument/2006/relationships/hyperlink" Target="http://www8.austlii.edu.au/cgi-bin/viewdoc/au/legis/vic/num_act/wiraca201367o2013530/s211.html" TargetMode="External"/><Relationship Id="rId926" Type="http://schemas.openxmlformats.org/officeDocument/2006/relationships/hyperlink" Target="http://www8.austlii.edu.au/cgi-bin/viewdoc/au/legis/cth/consol_act/sraca1988368/s14.html" TargetMode="External"/><Relationship Id="rId1111" Type="http://schemas.openxmlformats.org/officeDocument/2006/relationships/hyperlink" Target="https://www.worksafe.qld.gov.au/service-providers/medical-fees" TargetMode="External"/><Relationship Id="rId1556" Type="http://schemas.openxmlformats.org/officeDocument/2006/relationships/hyperlink" Target="http://www.workcover.wa.gov.au/employers/return-to-work/" TargetMode="External"/><Relationship Id="rId1763" Type="http://schemas.openxmlformats.org/officeDocument/2006/relationships/hyperlink" Target="http://www.austlii.edu.au/cgi-bin/viewdb/au/legis/vic/consol_act/wiraca2013484/s109.html" TargetMode="External"/><Relationship Id="rId1970" Type="http://schemas.openxmlformats.org/officeDocument/2006/relationships/hyperlink" Target="http://www.comlaw.gov.au/Details/F2009L04329" TargetMode="External"/><Relationship Id="rId55" Type="http://schemas.openxmlformats.org/officeDocument/2006/relationships/hyperlink" Target="http://www.vwa.vic.gov.au/" TargetMode="External"/><Relationship Id="rId120" Type="http://schemas.openxmlformats.org/officeDocument/2006/relationships/hyperlink" Target="https://www.ato.gov.au/Calculators-and-tools/Employee-or-contractor/" TargetMode="External"/><Relationship Id="rId358" Type="http://schemas.openxmlformats.org/officeDocument/2006/relationships/hyperlink" Target="http://www8.austlii.edu.au/cgi-bin/viewdoc/au/legis/nsw/consol_act/wimawca1998540/s274.html" TargetMode="External"/><Relationship Id="rId565" Type="http://schemas.openxmlformats.org/officeDocument/2006/relationships/hyperlink" Target="http://www.workcover.wa.gov.au/content/uploads/2014/09/Guide-for-employers-2017.pdf" TargetMode="External"/><Relationship Id="rId772" Type="http://schemas.openxmlformats.org/officeDocument/2006/relationships/hyperlink" Target="http://www8.austlii.edu.au/cgi-bin/viewdoc/au/legis/vic/num_act/wiraca201367o2013530/s46.html" TargetMode="External"/><Relationship Id="rId1195" Type="http://schemas.openxmlformats.org/officeDocument/2006/relationships/hyperlink" Target="http://www8.austlii.edu.au/cgi-bin/viewdoc/au/legis/cth/consol_act/mraca2004397/s216.html" TargetMode="External"/><Relationship Id="rId1209" Type="http://schemas.openxmlformats.org/officeDocument/2006/relationships/hyperlink" Target="http://www8.austlii.edu.au/cgi-bin/viewdoc/au/legis/vic/num_act/wiraca201367o2013530/s217.html" TargetMode="External"/><Relationship Id="rId1416" Type="http://schemas.openxmlformats.org/officeDocument/2006/relationships/hyperlink" Target="http://www.austlii.edu.au/cgi-bin/viewdb/au/legis/sa/consol_act/rtwa2014207/s48.html" TargetMode="External"/><Relationship Id="rId1623" Type="http://schemas.openxmlformats.org/officeDocument/2006/relationships/hyperlink" Target="http://classic.austlii.edu.au/au/legis/nsw/consol_reg/wcr2016346/s21.html" TargetMode="External"/><Relationship Id="rId1830" Type="http://schemas.openxmlformats.org/officeDocument/2006/relationships/hyperlink" Target="http://www.thelaw.tas.gov.au/tocview/content.w3p;cond=;doc_id=4%2B%2B1988%2BGS90A%40EN%2B20151224140000;histon=;inforequest=;prompt=;rec=;term=" TargetMode="External"/><Relationship Id="rId2039" Type="http://schemas.openxmlformats.org/officeDocument/2006/relationships/hyperlink" Target="http://www.austlii.edu.au/cgi-bin/viewdb/au/legis/cth/consol_act/sraca1988368/s102.html" TargetMode="External"/><Relationship Id="rId2246" Type="http://schemas.openxmlformats.org/officeDocument/2006/relationships/hyperlink" Target="http://www.legislation.govt.nz/act/public/2001/0049/latest/link.aspx?id=DLM100989" TargetMode="External"/><Relationship Id="rId218" Type="http://schemas.openxmlformats.org/officeDocument/2006/relationships/hyperlink" Target="http://www.comlaw.gov.au/Series/C2004A01285" TargetMode="External"/><Relationship Id="rId425" Type="http://schemas.openxmlformats.org/officeDocument/2006/relationships/hyperlink" Target="http://www8.austlii.edu.au/cgi-bin/viewdoc/au/legis/vic/num_act/wiraca201367o2013530/s299.html" TargetMode="External"/><Relationship Id="rId632" Type="http://schemas.openxmlformats.org/officeDocument/2006/relationships/hyperlink" Target="http://www8.austlii.edu.au/cgi-bin/viewdoc/au/legis/wa/consol_act/wcaima1981445/s11a.html" TargetMode="External"/><Relationship Id="rId1055" Type="http://schemas.openxmlformats.org/officeDocument/2006/relationships/hyperlink" Target="http://www8.austlii.edu.au/cgi-bin/viewdoc/au/legis/cth/consol_act/sraca1988368/s21a.html" TargetMode="External"/><Relationship Id="rId1262" Type="http://schemas.openxmlformats.org/officeDocument/2006/relationships/hyperlink" Target="http://www.austlii.edu.au/au/legis/sa/consol_act/rtwa2014207/s59.html" TargetMode="External"/><Relationship Id="rId1928" Type="http://schemas.openxmlformats.org/officeDocument/2006/relationships/hyperlink" Target="https://www.rtwsa.com/insurance/employer-services/return-to-work-coordinators/training" TargetMode="External"/><Relationship Id="rId2092" Type="http://schemas.openxmlformats.org/officeDocument/2006/relationships/hyperlink" Target="http://www.austlii.edu.au/au/legis/sa/consol_reg/rtwr2015316/sch3.html" TargetMode="External"/><Relationship Id="rId2106" Type="http://schemas.openxmlformats.org/officeDocument/2006/relationships/hyperlink" Target="http://www.austlii.edu.au/cgi-bin/viewdb/au/legis/vic/consol_act/wiraca2013484/s407.html" TargetMode="External"/><Relationship Id="rId271" Type="http://schemas.openxmlformats.org/officeDocument/2006/relationships/hyperlink" Target="http://www8.austlii.edu.au/cgi-bin/viewdoc/au/legis/nsw/consol_act/wimawca1998540/s44.html" TargetMode="External"/><Relationship Id="rId937" Type="http://schemas.openxmlformats.org/officeDocument/2006/relationships/hyperlink" Target="http://www8.austlii.edu.au/cgi-bin/viewdoc/au/legis/cth/consol_act/mraca2004397/s33.html" TargetMode="External"/><Relationship Id="rId1122" Type="http://schemas.openxmlformats.org/officeDocument/2006/relationships/hyperlink" Target="https://www.worksafe.qld.gov.au/service-providers/allied-health-fees" TargetMode="External"/><Relationship Id="rId1567" Type="http://schemas.openxmlformats.org/officeDocument/2006/relationships/hyperlink" Target="http://www.austlii.edu.au/cgi-bin/viewdb/au/legis/sa/consol_act/rtwa2014207/s43.html" TargetMode="External"/><Relationship Id="rId1774" Type="http://schemas.openxmlformats.org/officeDocument/2006/relationships/hyperlink" Target="http://www.austlii.edu.au/cgi-bin/viewdb/au/legis/cth/consol_act/sraca1988368/s36.html" TargetMode="External"/><Relationship Id="rId1981" Type="http://schemas.openxmlformats.org/officeDocument/2006/relationships/hyperlink" Target="http://www.austlii.edu.au/au/legis/sa/consol_act/rtwa2014207/s25.html" TargetMode="External"/><Relationship Id="rId66" Type="http://schemas.openxmlformats.org/officeDocument/2006/relationships/hyperlink" Target="http://www.workcover.wa.gov.au/Default.htm" TargetMode="External"/><Relationship Id="rId131" Type="http://schemas.openxmlformats.org/officeDocument/2006/relationships/hyperlink" Target="http://www8.austlii.edu.au/cgi-bin/viewdoc/au/legis/nsw/consol_act/wca1987255/s4.html" TargetMode="External"/><Relationship Id="rId369" Type="http://schemas.openxmlformats.org/officeDocument/2006/relationships/hyperlink" Target="http://www8.austlii.edu.au/cgi-bin/viewdoc/au/legis/cth/consol_act/sraca1988368/s69.html" TargetMode="External"/><Relationship Id="rId576" Type="http://schemas.openxmlformats.org/officeDocument/2006/relationships/hyperlink" Target="http://www8.austlii.edu.au/cgi-bin/viewdoc/au/legis/act/consol_act/wca1951255/s8.html" TargetMode="External"/><Relationship Id="rId783" Type="http://schemas.openxmlformats.org/officeDocument/2006/relationships/hyperlink" Target="http://www8.austlii.edu.au/cgi-bin/viewdoc/au/legis/vic/num_act/wiraca201367o2013530/s39.html" TargetMode="External"/><Relationship Id="rId990" Type="http://schemas.openxmlformats.org/officeDocument/2006/relationships/hyperlink" Target="http://www8.austlii.edu.au/cgi-bin/viewdoc/au/legis/nsw/consol_act/wca1987255/s38.html" TargetMode="External"/><Relationship Id="rId1427" Type="http://schemas.openxmlformats.org/officeDocument/2006/relationships/hyperlink" Target="http://www.austlii.edu.au/cgi-bin/viewdb/au/legis/nt/consol_act/rtwa207/s75b.html" TargetMode="External"/><Relationship Id="rId1634" Type="http://schemas.openxmlformats.org/officeDocument/2006/relationships/hyperlink" Target="https://www.legislation.qld.gov.au/view/html/inforce/current/act-2003-027" TargetMode="External"/><Relationship Id="rId1841" Type="http://schemas.openxmlformats.org/officeDocument/2006/relationships/hyperlink" Target="http://www.austlii.edu.au/cgi-bin/viewdb/au/legis/act/consol_act/wca1951255/s113.html" TargetMode="External"/><Relationship Id="rId229" Type="http://schemas.openxmlformats.org/officeDocument/2006/relationships/hyperlink" Target="http://www.comlaw.gov.au/Series/C2004A03668" TargetMode="External"/><Relationship Id="rId436" Type="http://schemas.openxmlformats.org/officeDocument/2006/relationships/hyperlink" Target="https://www.legislation.qld.gov.au/view/html/inforce/current/act-2003-027" TargetMode="External"/><Relationship Id="rId643" Type="http://schemas.openxmlformats.org/officeDocument/2006/relationships/hyperlink" Target="http://www.thelaw.tas.gov.au/tocview/content.w3p;cond=;doc_id=4%2B%2B1988%2BGS5%40EN%2B20151223090000;histon=;inforequest=;prompt=;rec=;term=" TargetMode="External"/><Relationship Id="rId1066" Type="http://schemas.openxmlformats.org/officeDocument/2006/relationships/hyperlink" Target="http://www.austlii.edu.au/cgi-bin/viewdb/au/legis/cth/consol_act/sraca1992381/s38.html" TargetMode="External"/><Relationship Id="rId1273" Type="http://schemas.openxmlformats.org/officeDocument/2006/relationships/hyperlink" Target="http://www8.austlii.edu.au/cgi-bin/viewdoc/au/legis/nt/consol_act/rtwa207/s62.html" TargetMode="External"/><Relationship Id="rId1480" Type="http://schemas.openxmlformats.org/officeDocument/2006/relationships/hyperlink" Target="http://www.austlii.edu.au/cgi-bin/viewdb/au/legis/act/consol_act/wca1951255/s137.html" TargetMode="External"/><Relationship Id="rId1939" Type="http://schemas.openxmlformats.org/officeDocument/2006/relationships/hyperlink" Target="https://www.legislation.gov.au/Details/F2012L01121" TargetMode="External"/><Relationship Id="rId2117" Type="http://schemas.openxmlformats.org/officeDocument/2006/relationships/hyperlink" Target="http://www.austlii.edu.au/cgi-bin/viewdb/au/legis/sa/consol_act/rtwa2014207/s167.html" TargetMode="External"/><Relationship Id="rId850" Type="http://schemas.openxmlformats.org/officeDocument/2006/relationships/hyperlink" Target="http://www8.austlii.edu.au/cgi-bin/viewdoc/au/legis/cth/consol_act/sracca1988512/s4.html" TargetMode="External"/><Relationship Id="rId948" Type="http://schemas.openxmlformats.org/officeDocument/2006/relationships/hyperlink" Target="http://www8.austlii.edu.au/cgi-bin/viewdoc/au/legis/cth/consol_act/sracca1988512/s6.html" TargetMode="External"/><Relationship Id="rId1133" Type="http://schemas.openxmlformats.org/officeDocument/2006/relationships/hyperlink" Target="https://www.legislation.qld.gov.au/view/html/inforce/current/act-2003-027" TargetMode="External"/><Relationship Id="rId1578" Type="http://schemas.openxmlformats.org/officeDocument/2006/relationships/hyperlink" Target="http://www.workcover.tas.gov.au/insurance/injury_management_programs" TargetMode="External"/><Relationship Id="rId1701" Type="http://schemas.openxmlformats.org/officeDocument/2006/relationships/hyperlink" Target="http://www.austlii.edu.au/cgi-bin/viewdb/au/legis/cth/consol_act/sraca1992381/s50.html" TargetMode="External"/><Relationship Id="rId1785" Type="http://schemas.openxmlformats.org/officeDocument/2006/relationships/hyperlink" Target="http://www.austlii.edu.au/cgi-bin/viewdb/au/legis/nsw/consol_act/wimawca1998540/s94.html" TargetMode="External"/><Relationship Id="rId1992" Type="http://schemas.openxmlformats.org/officeDocument/2006/relationships/hyperlink" Target="https://www.legislation.qld.gov.au/view/html/inforce/current/act-2003-027" TargetMode="External"/><Relationship Id="rId77" Type="http://schemas.openxmlformats.org/officeDocument/2006/relationships/hyperlink" Target="https://legislation.nt.gov.au/Legislation/RETURN-TO-WORK-ACT" TargetMode="External"/><Relationship Id="rId282" Type="http://schemas.openxmlformats.org/officeDocument/2006/relationships/hyperlink" Target="http://www.austlii.edu.au/au/legis/sa/consol_act/rtwa2014207/s16.html" TargetMode="External"/><Relationship Id="rId503" Type="http://schemas.openxmlformats.org/officeDocument/2006/relationships/hyperlink" Target="http://www8.austlii.edu.au/cgi-bin/viewdoc/au/legis/sa/consol_act/rtwa2014207/s64.html" TargetMode="External"/><Relationship Id="rId587" Type="http://schemas.openxmlformats.org/officeDocument/2006/relationships/hyperlink" Target="http://www.worksafe.qld.gov.au/__data/assets/pdf_file/0020/43076/who-is-a-worker-employer-guidance.pdf" TargetMode="External"/><Relationship Id="rId710" Type="http://schemas.openxmlformats.org/officeDocument/2006/relationships/hyperlink" Target="http://www.thelaw.tas.gov.au/tocview/content.w3p;cond=;doc_id=4%2B%2B1988%2BGS97%40EN%2B20151223090000;histon=;inforequest=;prompt=;rec=;term=" TargetMode="External"/><Relationship Id="rId808" Type="http://schemas.openxmlformats.org/officeDocument/2006/relationships/hyperlink" Target="http://www8.austlii.edu.au/cgi-bin/viewdoc/au/legis/act/consol_act/wca1951255/s31.html" TargetMode="External"/><Relationship Id="rId1340" Type="http://schemas.openxmlformats.org/officeDocument/2006/relationships/hyperlink" Target="http://www.austlii.edu.au/cgi-bin/viewdb/au/legis/cth/consol_act/sracca1988512/s4.html" TargetMode="External"/><Relationship Id="rId1438" Type="http://schemas.openxmlformats.org/officeDocument/2006/relationships/hyperlink" Target="http://www.austlii.edu.au/cgi-bin/viewdb/au/legis/cth/consol_act/sraca1988368/s36.html" TargetMode="External"/><Relationship Id="rId1645" Type="http://schemas.openxmlformats.org/officeDocument/2006/relationships/hyperlink" Target="http://www.austlii.edu.au/cgi-bin/viewdb/au/legis/sa/consol_act/rtwa2014207/s25.html" TargetMode="External"/><Relationship Id="rId2170" Type="http://schemas.openxmlformats.org/officeDocument/2006/relationships/hyperlink" Target="http://www.coalservices.com.au/" TargetMode="External"/><Relationship Id="rId8" Type="http://schemas.openxmlformats.org/officeDocument/2006/relationships/image" Target="media/image1.jpeg"/><Relationship Id="rId142" Type="http://schemas.openxmlformats.org/officeDocument/2006/relationships/hyperlink" Target="http://www8.austlii.edu.au/cgi-bin/viewdoc/au/legis/wa/consol_act/wcaima1981445/s19.html" TargetMode="External"/><Relationship Id="rId447" Type="http://schemas.openxmlformats.org/officeDocument/2006/relationships/hyperlink" Target="https://www.legislation.sa.gov.au/LZ/C/A/RETURN%20TO%20WORK%20ACT%202014/CURRENT/2014.16.UN.PDF" TargetMode="External"/><Relationship Id="rId794" Type="http://schemas.openxmlformats.org/officeDocument/2006/relationships/hyperlink" Target="http://www.thelaw.tas.gov.au/tocview/content.w3p;cond=;doc_id=4%2B%2B1988%2BGS3%40EN%2B20151223090000;histon=;inforequest=;prompt=;rec=;term=" TargetMode="External"/><Relationship Id="rId1077" Type="http://schemas.openxmlformats.org/officeDocument/2006/relationships/hyperlink" Target="http://www8.austlii.edu.au/cgi-bin/viewdoc/au/legis/cth/consol_act/sracca1988512/s19.html" TargetMode="External"/><Relationship Id="rId1200" Type="http://schemas.openxmlformats.org/officeDocument/2006/relationships/hyperlink" Target="http://www8.austlii.edu.au/cgi-bin/viewdoc/au/legis/cth/consol_act/mraca2004397/s56.html" TargetMode="External"/><Relationship Id="rId1852" Type="http://schemas.openxmlformats.org/officeDocument/2006/relationships/hyperlink" Target="http://www.austlii.edu.au/cgi-bin/viewdb/au/legis/cth/consol_act/sraca1988368/s36.html" TargetMode="External"/><Relationship Id="rId2030" Type="http://schemas.openxmlformats.org/officeDocument/2006/relationships/hyperlink" Target="http://www.austlii.edu.au/au/legis/sa/consol_act/rtwa2014207/s129.html" TargetMode="External"/><Relationship Id="rId2128" Type="http://schemas.openxmlformats.org/officeDocument/2006/relationships/hyperlink" Target="http://www.legislation.nsw.gov.au/maintop/view/inforce/act+19+2015+cd+0+N" TargetMode="External"/><Relationship Id="rId654" Type="http://schemas.openxmlformats.org/officeDocument/2006/relationships/hyperlink" Target="http://www8.austlii.edu.au/cgi-bin/viewdoc/au/legis/nt/consol_act/rtwa207/s3.html" TargetMode="External"/><Relationship Id="rId861" Type="http://schemas.openxmlformats.org/officeDocument/2006/relationships/hyperlink" Target="https://www.worksafe.qld.gov.au/medical/resources/guidelines-evaluation-permanent-impairment" TargetMode="External"/><Relationship Id="rId959" Type="http://schemas.openxmlformats.org/officeDocument/2006/relationships/hyperlink" Target="http://www8.austlii.edu.au/cgi-bin/viewdoc/au/legis/vic/num_act/wiraca201367o2013530/s40.html" TargetMode="External"/><Relationship Id="rId1284" Type="http://schemas.openxmlformats.org/officeDocument/2006/relationships/hyperlink" Target="http://www8.austlii.edu.au/cgi-bin/viewdoc/au/legis/cth/consol_act/sraca1992381/s29.html" TargetMode="External"/><Relationship Id="rId1491" Type="http://schemas.openxmlformats.org/officeDocument/2006/relationships/hyperlink" Target="http://www.austlii.edu.au/cgi-bin/viewdb/au/legis/vic/consol_act/wiraca2013484/s97.html" TargetMode="External"/><Relationship Id="rId1505" Type="http://schemas.openxmlformats.org/officeDocument/2006/relationships/hyperlink" Target="http://www.austlii.edu.au/cgi-bin/viewdb/au/legis/vic/consol_act/wiraca2013484/s111.html" TargetMode="External"/><Relationship Id="rId1589" Type="http://schemas.openxmlformats.org/officeDocument/2006/relationships/hyperlink" Target="http://www.legislation.act.gov.au/a/1951-2/20090408-39304/pdf/1951-2.pdf" TargetMode="External"/><Relationship Id="rId1712" Type="http://schemas.openxmlformats.org/officeDocument/2006/relationships/hyperlink" Target="http://www.legislation.govt.nz/act/public/2001/0049/latest/link.aspx?id=DLM101406" TargetMode="External"/><Relationship Id="rId293" Type="http://schemas.openxmlformats.org/officeDocument/2006/relationships/hyperlink" Target="http://www8.austlii.edu.au/cgi-bin/viewdoc/au/legis/cth/consol_act/sracca1988512/s53.html" TargetMode="External"/><Relationship Id="rId307" Type="http://schemas.openxmlformats.org/officeDocument/2006/relationships/hyperlink" Target="http://www.thelaw.tas.gov.au/tocview/content.w3p;cond=;doc_id=4%2B%2B1988%2BGS38%40EN%2B20151223090000;histon=;inforequest=;prompt=;rec=;term=" TargetMode="External"/><Relationship Id="rId514" Type="http://schemas.openxmlformats.org/officeDocument/2006/relationships/hyperlink" Target="http://www8.austlii.edu.au/cgi-bin/viewdoc/au/legis/wa/consol_act/wcaima1981445/s170.html" TargetMode="External"/><Relationship Id="rId721" Type="http://schemas.openxmlformats.org/officeDocument/2006/relationships/hyperlink" Target="https://www.legislation.qld.gov.au/view/html/inforce/current/act-2003-027" TargetMode="External"/><Relationship Id="rId1144" Type="http://schemas.openxmlformats.org/officeDocument/2006/relationships/hyperlink" Target="http://www.austlii.edu.au/au/legis/sa/consol_act/rtwa2014207/s7.html" TargetMode="External"/><Relationship Id="rId1351" Type="http://schemas.openxmlformats.org/officeDocument/2006/relationships/hyperlink" Target="http://www.austlii.edu.au/cgi-bin/viewdb/au/legis/vic/consol_act/wiraca2013484/s340.html" TargetMode="External"/><Relationship Id="rId1449" Type="http://schemas.openxmlformats.org/officeDocument/2006/relationships/hyperlink" Target="http://www.austlii.edu.au/cgi-bin/viewdb/au/legis/cth/consol_act/sraca1992381/s66.html" TargetMode="External"/><Relationship Id="rId1796" Type="http://schemas.openxmlformats.org/officeDocument/2006/relationships/hyperlink" Target="http://www.austlii.edu.au/cgi-bin/viewdb/au/legis/vic/consol_act/wiraca2013484/s117.html" TargetMode="External"/><Relationship Id="rId2181" Type="http://schemas.openxmlformats.org/officeDocument/2006/relationships/hyperlink" Target="https://www.rtwsa.com/" TargetMode="External"/><Relationship Id="rId88" Type="http://schemas.openxmlformats.org/officeDocument/2006/relationships/hyperlink" Target="http://www.legislation.govt.nz/act/public/2001/0049/latest/DLM99494.html" TargetMode="External"/><Relationship Id="rId153" Type="http://schemas.openxmlformats.org/officeDocument/2006/relationships/hyperlink" Target="http://www8.austlii.edu.au/cgi-bin/viewdoc/au/legis/nt/consol_act/rtwa207/s4.html" TargetMode="External"/><Relationship Id="rId360" Type="http://schemas.openxmlformats.org/officeDocument/2006/relationships/hyperlink" Target="http://www8.austlii.edu.au/cgi-bin/viewdoc/au/legis/vic/num_act/wiraca201367o2013530/s75.html" TargetMode="External"/><Relationship Id="rId598" Type="http://schemas.openxmlformats.org/officeDocument/2006/relationships/hyperlink" Target="http://www8.austlii.edu.au/cgi-bin/viewdoc/au/legis/nt/consol_act/rtwa207/s3.html" TargetMode="External"/><Relationship Id="rId819" Type="http://schemas.openxmlformats.org/officeDocument/2006/relationships/hyperlink" Target="http://www8.austlii.edu.au/cgi-bin/viewdoc/au/legis/cth/consol_act/sracca1988512/s5a.html" TargetMode="External"/><Relationship Id="rId1004" Type="http://schemas.openxmlformats.org/officeDocument/2006/relationships/hyperlink" Target="http://www8.austlii.edu.au/cgi-bin/viewdoc/au/legis/vic/num_act/wiraca201367o2013530/s152.html" TargetMode="External"/><Relationship Id="rId1211" Type="http://schemas.openxmlformats.org/officeDocument/2006/relationships/hyperlink" Target="http://www8.austlii.edu.au/cgi-bin/viewdoc/au/legis/vic/num_act/wiraca201367o2013530/s224.html" TargetMode="External"/><Relationship Id="rId1656" Type="http://schemas.openxmlformats.org/officeDocument/2006/relationships/hyperlink" Target="http://www.austlii.edu.au/cgi-bin/viewdb/au/legis/nt/consol_act/rtwa207/s75a.html" TargetMode="External"/><Relationship Id="rId1863" Type="http://schemas.openxmlformats.org/officeDocument/2006/relationships/hyperlink" Target="http://www.austlii.edu.au/cgi-bin/viewdb/au/legis/cth/consol_act/mraca2004397/s50.html" TargetMode="External"/><Relationship Id="rId2041" Type="http://schemas.openxmlformats.org/officeDocument/2006/relationships/hyperlink" Target="https://www.legislation.qld.gov.au/view/html/inforce/current/act-2003-027" TargetMode="External"/><Relationship Id="rId220" Type="http://schemas.openxmlformats.org/officeDocument/2006/relationships/hyperlink" Target="http://www8.austlii.edu.au/cgi-bin/viewdoc/au/legis/cth/consol_act/sracca1988512/s5b.html" TargetMode="External"/><Relationship Id="rId458" Type="http://schemas.openxmlformats.org/officeDocument/2006/relationships/hyperlink" Target="https://www.legislation.sa.gov.au/LZ/C/A/RETURN%20TO%20WORK%20ACT%202014/CURRENT/2014.16.UN.PDF" TargetMode="External"/><Relationship Id="rId665" Type="http://schemas.openxmlformats.org/officeDocument/2006/relationships/hyperlink" Target="http://www8.austlii.edu.au/cgi-bin/viewdoc/au/legis/act/consol_act/wca1951255/s10.html" TargetMode="External"/><Relationship Id="rId872" Type="http://schemas.openxmlformats.org/officeDocument/2006/relationships/hyperlink" Target="http://www8.austlii.edu.au/cgi-bin/viewdoc/au/legis/cth/consol_act/sraca1988368/s28.html" TargetMode="External"/><Relationship Id="rId1088" Type="http://schemas.openxmlformats.org/officeDocument/2006/relationships/hyperlink" Target="http://www.legislation.govt.nz/act/public/2001/0049/latest/DLM2508257.html" TargetMode="External"/><Relationship Id="rId1295" Type="http://schemas.openxmlformats.org/officeDocument/2006/relationships/hyperlink" Target="http://www8.austlii.edu.au/cgi-bin/viewdoc/au/legis/cth/consol_act/mraca2004397/s240.html" TargetMode="External"/><Relationship Id="rId1309" Type="http://schemas.openxmlformats.org/officeDocument/2006/relationships/hyperlink" Target="https://www.legislation.qld.gov.au/view/html/inforce/current/act-1954-003" TargetMode="External"/><Relationship Id="rId1516" Type="http://schemas.openxmlformats.org/officeDocument/2006/relationships/hyperlink" Target="http://www.austlii.edu.au/cgi-bin/viewdb/au/legis/vic/consol_act/wiraca2013484/s122.html" TargetMode="External"/><Relationship Id="rId1723" Type="http://schemas.openxmlformats.org/officeDocument/2006/relationships/hyperlink" Target="https://www.legislation.qld.gov.au/view/html/inforce/current/act-2003-027" TargetMode="External"/><Relationship Id="rId1930" Type="http://schemas.openxmlformats.org/officeDocument/2006/relationships/hyperlink" Target="http://www.legislation.tas.gov.au/tocview/content.w3p;cond=;doc_id=4%2B%2B1988%2BGS143%40Gs4%40EN%2B20110207140000;histon=;prompt=;rec=299;term=" TargetMode="External"/><Relationship Id="rId2139" Type="http://schemas.openxmlformats.org/officeDocument/2006/relationships/hyperlink" Target="http://www.austlii.edu.au/au/legis/sa/consol_act/rtwa2014207/index.html" TargetMode="External"/><Relationship Id="rId15" Type="http://schemas.openxmlformats.org/officeDocument/2006/relationships/footer" Target="footer2.xml"/><Relationship Id="rId318" Type="http://schemas.openxmlformats.org/officeDocument/2006/relationships/hyperlink" Target="http://www8.austlii.edu.au/cgi-bin/viewdoc/au/legis/nsw/consol_act/wimawca1998540/s254.html" TargetMode="External"/><Relationship Id="rId525" Type="http://schemas.openxmlformats.org/officeDocument/2006/relationships/hyperlink" Target="http://www8.austlii.edu.au/cgi-bin/viewdoc/au/legis/nt/consol_act/rtwa207/s172.html" TargetMode="External"/><Relationship Id="rId732" Type="http://schemas.openxmlformats.org/officeDocument/2006/relationships/hyperlink" Target="http://www.legislation.govt.nz/act/public/2001/0049/latest/DLM100910.html" TargetMode="External"/><Relationship Id="rId1155" Type="http://schemas.openxmlformats.org/officeDocument/2006/relationships/hyperlink" Target="http://www.thelaw.tas.gov.au/tocview/content.w3p;cond=;doc_id=4%2B%2B1988%2BGS75%40EN%2B20151224080000;histon=;inforequest=;prompt=;rec=;term=" TargetMode="External"/><Relationship Id="rId1362" Type="http://schemas.openxmlformats.org/officeDocument/2006/relationships/hyperlink" Target="http://www.austlii.edu.au/cgi-bin/viewdb/au/legis/tas/consol_act/wraca1988400/" TargetMode="External"/><Relationship Id="rId2192" Type="http://schemas.openxmlformats.org/officeDocument/2006/relationships/hyperlink" Target="https://www.workcover.tas.gov.au/insurance/suggested_premium_rates" TargetMode="External"/><Relationship Id="rId2206" Type="http://schemas.openxmlformats.org/officeDocument/2006/relationships/hyperlink" Target="http://classic.austlii.edu.au/au/legis/nsw/consol_reg/wcr2016346/sch1.html" TargetMode="External"/><Relationship Id="rId99" Type="http://schemas.openxmlformats.org/officeDocument/2006/relationships/hyperlink" Target="http://www8.austlii.edu.au/cgi-bin/viewdoc/au/legis/tas/consol_act/wraca1988400/s3.html" TargetMode="External"/><Relationship Id="rId164" Type="http://schemas.openxmlformats.org/officeDocument/2006/relationships/hyperlink" Target="http://www8.austlii.edu.au/cgi-bin/viewdoc/au/legis/cth/consol_act/sraca1992381/s9.html" TargetMode="External"/><Relationship Id="rId371" Type="http://schemas.openxmlformats.org/officeDocument/2006/relationships/hyperlink" Target="http://www8.austlii.edu.au/cgi-bin/viewdoc/au/legis/cth/consol_act/sraca1992381/s72.html" TargetMode="External"/><Relationship Id="rId1015" Type="http://schemas.openxmlformats.org/officeDocument/2006/relationships/hyperlink" Target="http://www8.austlii.edu.au/cgi-bin/viewdoc/au/legis/wa/consol_act/wcaima1981445/sch1.html" TargetMode="External"/><Relationship Id="rId1222" Type="http://schemas.openxmlformats.org/officeDocument/2006/relationships/hyperlink" Target="http://www.workcover.wa.gov.au/content/uploads/2014/09/Workers-Guide-2017-Web-version.pdf" TargetMode="External"/><Relationship Id="rId1667" Type="http://schemas.openxmlformats.org/officeDocument/2006/relationships/hyperlink" Target="https://www.sira.nsw.gov.au/theres-been-an-injury/im-an-employer-helping-my-worker-recover/suitable-work" TargetMode="External"/><Relationship Id="rId1874" Type="http://schemas.openxmlformats.org/officeDocument/2006/relationships/hyperlink" Target="http://www.sira.nsw.gov.au/workers-compensation/help-with-getting-back-to-work/equipment-modification" TargetMode="External"/><Relationship Id="rId2052" Type="http://schemas.openxmlformats.org/officeDocument/2006/relationships/hyperlink" Target="http://www.austlii.edu.au/cgi-bin/viewdb/au/legis/vic/consol_act/wiraca2013484/s380.html" TargetMode="External"/><Relationship Id="rId469" Type="http://schemas.openxmlformats.org/officeDocument/2006/relationships/hyperlink" Target="http://www.thelaw.tas.gov.au/tocview/content.w3p;cond=;doc_id=4%2B%2B1988%2BGS49%40EN%2B20151223090000;histon=;inforequest=;prompt=;rec=;term=" TargetMode="External"/><Relationship Id="rId676" Type="http://schemas.openxmlformats.org/officeDocument/2006/relationships/hyperlink" Target="http://www8.austlii.edu.au/cgi-bin/viewdoc/au/legis/cth/consol_act/sraca1988368/s5.html" TargetMode="External"/><Relationship Id="rId883" Type="http://schemas.openxmlformats.org/officeDocument/2006/relationships/hyperlink" Target="http://www8.austlii.edu.au/cgi-bin/viewdoc/au/legis/cth/consol_act/sracca1988512/s28.html" TargetMode="External"/><Relationship Id="rId1099" Type="http://schemas.openxmlformats.org/officeDocument/2006/relationships/hyperlink" Target="http://www8.austlii.edu.au/cgi-bin/viewdoc/au/legis/vic/num_act/wiraca201367o2013530/s224.html" TargetMode="External"/><Relationship Id="rId1527" Type="http://schemas.openxmlformats.org/officeDocument/2006/relationships/hyperlink" Target="http://www.austlii.edu.au/cgi-bin/viewdb/au/legis/vic/consol_act/wiraca2013484/s575.html" TargetMode="External"/><Relationship Id="rId1734" Type="http://schemas.openxmlformats.org/officeDocument/2006/relationships/hyperlink" Target="http://www.thelaw.tas.gov.au/tocview/content.w3p;cond=;doc_id=4%2B%2B1988%2BGS143L%40EN%2B20151224140000;histon=;inforequest=;prompt=;rec=;term=" TargetMode="External"/><Relationship Id="rId1941" Type="http://schemas.openxmlformats.org/officeDocument/2006/relationships/hyperlink" Target="http://www.dva.gov.au/health-and-wellbeing/rehabilitation/dvas-rehabilitation-process" TargetMode="External"/><Relationship Id="rId26" Type="http://schemas.openxmlformats.org/officeDocument/2006/relationships/hyperlink" Target="mailto:janene.hillhouse@oir.qld.gov.au" TargetMode="External"/><Relationship Id="rId231" Type="http://schemas.openxmlformats.org/officeDocument/2006/relationships/hyperlink" Target="http://www.legislation.govt.nz/act/public/2001/0049/latest/DLM100918.html" TargetMode="External"/><Relationship Id="rId329" Type="http://schemas.openxmlformats.org/officeDocument/2006/relationships/hyperlink" Target="http://www8.austlii.edu.au/cgi-bin/viewdoc/au/legis/cth/consol_act/mraca2004397/s319.html" TargetMode="External"/><Relationship Id="rId536" Type="http://schemas.openxmlformats.org/officeDocument/2006/relationships/hyperlink" Target="http://www8.austlii.edu.au/cgi-bin/viewdoc/au/legis/wa/consol_act/wcaima1981445/s80.html" TargetMode="External"/><Relationship Id="rId1166" Type="http://schemas.openxmlformats.org/officeDocument/2006/relationships/hyperlink" Target="http://www8.austlii.edu.au/cgi-bin/viewdoc/au/legis/nt/consol_act/rtwa207/s78.html" TargetMode="External"/><Relationship Id="rId1373" Type="http://schemas.openxmlformats.org/officeDocument/2006/relationships/hyperlink" Target="http://www.austlii.edu.au/cgi-bin/viewdb/au/legis/cth/consol_act/sraca1992381/s41.html" TargetMode="External"/><Relationship Id="rId2217" Type="http://schemas.openxmlformats.org/officeDocument/2006/relationships/hyperlink" Target="http://classic.austlii.edu.au/au/legis/nsw/consol_reg/wcr2016346/sch1.html" TargetMode="External"/><Relationship Id="rId175" Type="http://schemas.openxmlformats.org/officeDocument/2006/relationships/hyperlink" Target="http://www.legislation.govt.nz/act/public/2001/0049/latest/DLM100918.html" TargetMode="External"/><Relationship Id="rId743" Type="http://schemas.openxmlformats.org/officeDocument/2006/relationships/hyperlink" Target="http://www8.austlii.edu.au/cgi-bin/viewdoc/au/legis/cth/consol_act/sraca1992381/s9.html" TargetMode="External"/><Relationship Id="rId950" Type="http://schemas.openxmlformats.org/officeDocument/2006/relationships/hyperlink" Target="http://www.legislation.govt.nz/act/public/2001/0049/latest/DLM100910.html" TargetMode="External"/><Relationship Id="rId1026" Type="http://schemas.openxmlformats.org/officeDocument/2006/relationships/hyperlink" Target="http://www.thelaw.tas.gov.au/tocview/content.w3p;cond=;doc_id=4%2B%2B1988%2BGS69B%40EN%2B20160104150000;histon=;inforequest=;prompt=;rec=;term=" TargetMode="External"/><Relationship Id="rId1580" Type="http://schemas.openxmlformats.org/officeDocument/2006/relationships/hyperlink" Target="http://www.workcover.tas.gov.au/resources" TargetMode="External"/><Relationship Id="rId1678" Type="http://schemas.openxmlformats.org/officeDocument/2006/relationships/hyperlink" Target="http://www.austlii.edu.au/cgi-bin/viewdb/au/legis/wa/consol_act/wcaima1981445/s155c.html" TargetMode="External"/><Relationship Id="rId1801" Type="http://schemas.openxmlformats.org/officeDocument/2006/relationships/hyperlink" Target="https://www.legislation.qld.gov.au/view/html/inforce/current/act-2003-027" TargetMode="External"/><Relationship Id="rId1885" Type="http://schemas.openxmlformats.org/officeDocument/2006/relationships/hyperlink" Target="http://www.worksafe.nt.gov.au/PDF%20Conversion/rehabilitation-information-for-employers.pdf" TargetMode="External"/><Relationship Id="rId382" Type="http://schemas.openxmlformats.org/officeDocument/2006/relationships/hyperlink" Target="http://www.thelaw.tas.gov.au/tocview/content.w3p;cond=;doc_id=4%2B%2B1988%2BGS81%40EN%2B20151223090000;histon=;inforequest=;prompt=;rec=;term=" TargetMode="External"/><Relationship Id="rId603" Type="http://schemas.openxmlformats.org/officeDocument/2006/relationships/hyperlink" Target="http://www8.austlii.edu.au/cgi-bin/viewdoc/au/legis/cth/consol_act/mraca2004397/s8.html" TargetMode="External"/><Relationship Id="rId687" Type="http://schemas.openxmlformats.org/officeDocument/2006/relationships/hyperlink" Target="http://www.austlii.edu.au/au/legis/sa/consol_act/rtwa2014207/sch1.html" TargetMode="External"/><Relationship Id="rId810" Type="http://schemas.openxmlformats.org/officeDocument/2006/relationships/hyperlink" Target="http://www8.austlii.edu.au/cgi-bin/viewdoc/au/legis/cth/consol_act/sraca1988368/s5b.html" TargetMode="External"/><Relationship Id="rId908" Type="http://schemas.openxmlformats.org/officeDocument/2006/relationships/hyperlink" Target="http://www8.austlii.edu.au/cgi-bin/viewdoc/au/legis/wa/consol_act/wcaima1981445/s22.html" TargetMode="External"/><Relationship Id="rId1233" Type="http://schemas.openxmlformats.org/officeDocument/2006/relationships/hyperlink" Target="http://www.austlii.edu.au/cgi-bin/viewdb/au/legis/cth/consol_act/sraca1992381/s24.html" TargetMode="External"/><Relationship Id="rId1440" Type="http://schemas.openxmlformats.org/officeDocument/2006/relationships/hyperlink" Target="http://www.austlii.edu.au/cgi-bin/viewdb/au/legis/cth/consol_act/sraca1988368/s57.html" TargetMode="External"/><Relationship Id="rId1538" Type="http://schemas.openxmlformats.org/officeDocument/2006/relationships/hyperlink" Target="https://www.worksafe.vic.gov.au/resources/return-work-coordinators-information-employers" TargetMode="External"/><Relationship Id="rId2063" Type="http://schemas.openxmlformats.org/officeDocument/2006/relationships/hyperlink" Target="http://www.austlii.edu.au/cgi-bin/viewdb/au/legis/nsw/consol_act/wca1987255/s210.html" TargetMode="External"/><Relationship Id="rId242" Type="http://schemas.openxmlformats.org/officeDocument/2006/relationships/hyperlink" Target="http://www.legislation.act.gov.au/a/1951-2/current/pdf/1951-2.pdf" TargetMode="External"/><Relationship Id="rId894" Type="http://schemas.openxmlformats.org/officeDocument/2006/relationships/hyperlink" Target="http://www8.austlii.edu.au/cgi-bin/viewdoc/au/legis/nsw/consol_act/wca1987255/s14.html" TargetMode="External"/><Relationship Id="rId1177" Type="http://schemas.openxmlformats.org/officeDocument/2006/relationships/hyperlink" Target="http://www8.austlii.edu.au/cgi-bin/viewdoc/au/legis/cth/consol_act/sraca1988368/s29.html" TargetMode="External"/><Relationship Id="rId1300" Type="http://schemas.openxmlformats.org/officeDocument/2006/relationships/hyperlink" Target="http://www.austlii.edu.au/cgi-bin/viewdb/au/legis/nsw/consol_act/wca1987255/s4.html" TargetMode="External"/><Relationship Id="rId1745" Type="http://schemas.openxmlformats.org/officeDocument/2006/relationships/hyperlink" Target="http://www.austlii.edu.au/cgi-bin/viewdb/au/legis/cth/consol_act/sraca1988368/s40.html" TargetMode="External"/><Relationship Id="rId1952" Type="http://schemas.openxmlformats.org/officeDocument/2006/relationships/hyperlink" Target="http://www.hwca.org.au/" TargetMode="External"/><Relationship Id="rId2130"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37" Type="http://schemas.openxmlformats.org/officeDocument/2006/relationships/hyperlink" Target="mailto:worksafe@act.gov.au" TargetMode="External"/><Relationship Id="rId102" Type="http://schemas.openxmlformats.org/officeDocument/2006/relationships/hyperlink" Target="http://www8.austlii.edu.au/cgi-bin/viewdoc/au/legis/nt/consol_act/rtwa207/s3.html" TargetMode="External"/><Relationship Id="rId547" Type="http://schemas.openxmlformats.org/officeDocument/2006/relationships/hyperlink" Target="http://www8.austlii.edu.au/cgi-bin/viewdoc/au/legis/nsw/consol_act/wca1987255/s49.html" TargetMode="External"/><Relationship Id="rId754" Type="http://schemas.openxmlformats.org/officeDocument/2006/relationships/hyperlink" Target="http://www8.austlii.edu.au/cgi-bin/viewdoc/au/legis/nt/consol_act/rtwa207/s4.html" TargetMode="External"/><Relationship Id="rId961" Type="http://schemas.openxmlformats.org/officeDocument/2006/relationships/hyperlink" Target="http://www8.austlii.edu.au/cgi-bin/viewdoc/au/legis/vic/num_act/wiraca201367o2013530/s40.html" TargetMode="External"/><Relationship Id="rId1384" Type="http://schemas.openxmlformats.org/officeDocument/2006/relationships/hyperlink" Target="http://www.austlii.edu.au/cgi-bin/viewdb/au/legis/nsw/consol_act/wca1987255/s44b.html" TargetMode="External"/><Relationship Id="rId1591" Type="http://schemas.openxmlformats.org/officeDocument/2006/relationships/hyperlink" Target="http://www.austlii.edu.au/cgi-bin/viewdb/au/legis/cth/consol_act/sraca1988368/" TargetMode="External"/><Relationship Id="rId1605" Type="http://schemas.openxmlformats.org/officeDocument/2006/relationships/hyperlink" Target="http://www.comcare.gov.au/Forms_and_Publications/publications/services/injury_management/injury_management/ret_to_work_easy_ref_guide" TargetMode="External"/><Relationship Id="rId1689" Type="http://schemas.openxmlformats.org/officeDocument/2006/relationships/hyperlink" Target="http://worksafe.tas.gov.au/__data/assets/pdf_file/0013/301810/IS-016-RTW-plans.pdf" TargetMode="External"/><Relationship Id="rId1812" Type="http://schemas.openxmlformats.org/officeDocument/2006/relationships/hyperlink" Target="http://www.austlii.edu.au/au/legis/sa/consol_act/rtwa2014207/s25.html" TargetMode="External"/><Relationship Id="rId2228" Type="http://schemas.openxmlformats.org/officeDocument/2006/relationships/hyperlink" Target="http://www.austlii.edu.au/au/legis/sa/consol_act/rtwa2014207/sch9.html" TargetMode="External"/><Relationship Id="rId90" Type="http://schemas.openxmlformats.org/officeDocument/2006/relationships/hyperlink" Target="http://www8.austlii.edu.au/cgi-bin/viewdoc/au/legis/nsw/consol_act/wimawca1998540/s5.html" TargetMode="External"/><Relationship Id="rId186" Type="http://schemas.openxmlformats.org/officeDocument/2006/relationships/hyperlink" Target="https://www.legislation.qld.gov.au/view/html/inforce/current/act-2003-027" TargetMode="External"/><Relationship Id="rId393" Type="http://schemas.openxmlformats.org/officeDocument/2006/relationships/hyperlink" Target="https://www.legislation.qld.gov.au/view/html/inforce/current/act-2003-027" TargetMode="External"/><Relationship Id="rId407" Type="http://schemas.openxmlformats.org/officeDocument/2006/relationships/hyperlink" Target="http://www8.austlii.edu.au/cgi-bin/viewdoc/au/legis/act/consol_act/wca1951255/s126.html" TargetMode="External"/><Relationship Id="rId614" Type="http://schemas.openxmlformats.org/officeDocument/2006/relationships/hyperlink" Target="http://www8.austlii.edu.au/cgi-bin/viewdoc/au/legis/vic/num_act/wiraca201367o2013530/sch1.html" TargetMode="External"/><Relationship Id="rId821" Type="http://schemas.openxmlformats.org/officeDocument/2006/relationships/hyperlink" Target="http://www8.austlii.edu.au/cgi-bin/viewdoc/au/legis/cth/consol_act/mraca2004397/s27.html" TargetMode="External"/><Relationship Id="rId1037" Type="http://schemas.openxmlformats.org/officeDocument/2006/relationships/hyperlink" Target="http://www8.austlii.edu.au/cgi-bin/viewdoc/au/legis/nt/consol_act/rtwa207/s65.html" TargetMode="External"/><Relationship Id="rId1244" Type="http://schemas.openxmlformats.org/officeDocument/2006/relationships/hyperlink" Target="http://www.austlii.edu.au/cgi-bin/viewdb/au/legis/cth/consol_act/mraca2004397/s82.html" TargetMode="External"/><Relationship Id="rId1451" Type="http://schemas.openxmlformats.org/officeDocument/2006/relationships/hyperlink" Target="http://www.austlii.edu.au/cgi-bin/viewdb/au/legis/cth/consol_act/sraca1992381/s67.html" TargetMode="External"/><Relationship Id="rId1896" Type="http://schemas.openxmlformats.org/officeDocument/2006/relationships/hyperlink" Target="http://www.austlii.edu.au/cgi-bin/viewdb/au/legis/vic/consol_act/wiraca2013484/s104.html" TargetMode="External"/><Relationship Id="rId2074" Type="http://schemas.openxmlformats.org/officeDocument/2006/relationships/hyperlink" Target="http://www.austlii.edu.au/cgi-bin/viewdb/au/legis/wa/consol_act/wcaima1981445/s166.html" TargetMode="External"/><Relationship Id="rId253" Type="http://schemas.openxmlformats.org/officeDocument/2006/relationships/hyperlink" Target="http://www.thelaw.tas.gov.au/tocview/content.w3p;cond=;doc_id=4%2B%2B1988%2BGS69B%40EN%2B20151223090000;histon=;inforequest=;prompt=;rec=;term=" TargetMode="External"/><Relationship Id="rId460" Type="http://schemas.openxmlformats.org/officeDocument/2006/relationships/hyperlink" Target="https://www.legislation.sa.gov.au/LZ/C/A/RETURN%20TO%20WORK%20ACT%202014/CURRENT/2014.16.UN.PDF" TargetMode="External"/><Relationship Id="rId698" Type="http://schemas.openxmlformats.org/officeDocument/2006/relationships/hyperlink" Target="http://www8.austlii.edu.au/cgi-bin/viewdoc/au/legis/wa/consol_act/wcaima1981445/s11a.html" TargetMode="External"/><Relationship Id="rId919" Type="http://schemas.openxmlformats.org/officeDocument/2006/relationships/hyperlink" Target="http://www8.austlii.edu.au/cgi-bin/viewdoc/au/legis/act/consol_act/wca1951255/s83.html" TargetMode="External"/><Relationship Id="rId1090" Type="http://schemas.openxmlformats.org/officeDocument/2006/relationships/hyperlink" Target="http://www8.austlii.edu.au/cgi-bin/viewdoc/au/legis/nsw/consol_act/wca1987255/s60.html" TargetMode="External"/><Relationship Id="rId1104" Type="http://schemas.openxmlformats.org/officeDocument/2006/relationships/hyperlink" Target="http://www8.austlii.edu.au/cgi-bin/viewdoc/au/legis/vic/num_act/wiraca201367o2013530/s224.html" TargetMode="External"/><Relationship Id="rId1311" Type="http://schemas.openxmlformats.org/officeDocument/2006/relationships/hyperlink" Target="http://www.austlii.edu.au/cgi-bin/viewdb/au/legis/wa/consol_act/wcaima1981445/s5.html" TargetMode="External"/><Relationship Id="rId1549" Type="http://schemas.openxmlformats.org/officeDocument/2006/relationships/hyperlink" Target="https://www.legislation.qld.gov.au/view/html/inforce/current/sl-2014-0189" TargetMode="External"/><Relationship Id="rId1756" Type="http://schemas.openxmlformats.org/officeDocument/2006/relationships/hyperlink" Target="http://www.austlii.edu.au/cgi-bin/viewdb/au/legis/nsw/consol_act/wimawca1998540/s261.html" TargetMode="External"/><Relationship Id="rId1963" Type="http://schemas.openxmlformats.org/officeDocument/2006/relationships/hyperlink" Target="http://www.workcover.wa.gov.au/resources/rates-fees-payments/" TargetMode="External"/><Relationship Id="rId2141" Type="http://schemas.openxmlformats.org/officeDocument/2006/relationships/hyperlink" Target="https://www.legislation.tas.gov.au/view/html/inforce/2014-07-01/act-1988-004" TargetMode="External"/><Relationship Id="rId48" Type="http://schemas.openxmlformats.org/officeDocument/2006/relationships/hyperlink" Target="http://www.acc.co.nz/" TargetMode="External"/><Relationship Id="rId113" Type="http://schemas.openxmlformats.org/officeDocument/2006/relationships/hyperlink" Target="http://www.worksafe.vic.gov.au/wps/wcm/connect/wsinternet/WorkSafe/Home/injury-and-claims/your-rights-and-responsibilities/worker-rights-and-responsibilities/" TargetMode="External"/><Relationship Id="rId320" Type="http://schemas.openxmlformats.org/officeDocument/2006/relationships/hyperlink" Target="http://www8.austlii.edu.au/cgi-bin/viewdoc/au/legis/vic/num_act/wiraca201367o2013530/s20.html" TargetMode="External"/><Relationship Id="rId558" Type="http://schemas.openxmlformats.org/officeDocument/2006/relationships/hyperlink" Target="http://www.thelaw.tas.gov.au/tocview/content.w3p;cond=;doc_id=4%2B%2B1988%2BGS69%40EN%2B20151223090000;histon=;inforequest=;prompt=;rec=;term=" TargetMode="External"/><Relationship Id="rId765" Type="http://schemas.openxmlformats.org/officeDocument/2006/relationships/hyperlink" Target="http://www8.austlii.edu.au/cgi-bin/viewdoc/au/legis/tas/consol_act/wraca1988400/s25.html" TargetMode="External"/><Relationship Id="rId972" Type="http://schemas.openxmlformats.org/officeDocument/2006/relationships/hyperlink" Target="http://www8.austlii.edu.au/cgi-bin/viewdoc/au/legis/cth/consol_act/sraca1988368/s5a.html" TargetMode="External"/><Relationship Id="rId1188" Type="http://schemas.openxmlformats.org/officeDocument/2006/relationships/hyperlink" Target="http://www8.austlii.edu.au/cgi-bin/viewdoc/au/legis/cth/consol_act/mraca2004397/s278.html" TargetMode="External"/><Relationship Id="rId1395" Type="http://schemas.openxmlformats.org/officeDocument/2006/relationships/hyperlink" Target="https://www.legislation.qld.gov.au/view/html/inforce/current/act-2003-027" TargetMode="External"/><Relationship Id="rId1409" Type="http://schemas.openxmlformats.org/officeDocument/2006/relationships/hyperlink" Target="http://www.austlii.edu.au/cgi-bin/viewdb/au/legis/sa/consol_act/rtwa2014207/s48.html" TargetMode="External"/><Relationship Id="rId1616" Type="http://schemas.openxmlformats.org/officeDocument/2006/relationships/hyperlink" Target="http://www.austlii.edu.au/cgi-bin/viewdb/au/legis/cth/consol_act/sracca1988512/" TargetMode="External"/><Relationship Id="rId1823" Type="http://schemas.openxmlformats.org/officeDocument/2006/relationships/hyperlink" Target="http://www.austlii.edu.au/au/legis/sa/consol_act/rtwa2014207/s51.html" TargetMode="External"/><Relationship Id="rId2001" Type="http://schemas.openxmlformats.org/officeDocument/2006/relationships/hyperlink" Target="https://www.legislation.qld.gov.au/view/html/inforce/current/act-2003-027" TargetMode="External"/><Relationship Id="rId2239" Type="http://schemas.openxmlformats.org/officeDocument/2006/relationships/hyperlink" Target="http://www5.austlii.edu.au/au/legis/sa/consol_reg/rtwr2015316/sch2.html" TargetMode="External"/><Relationship Id="rId197" Type="http://schemas.openxmlformats.org/officeDocument/2006/relationships/hyperlink" Target="http://www8.austlii.edu.au/cgi-bin/viewdoc/au/legis/nt/consol_act/rtwa207/s4.html" TargetMode="External"/><Relationship Id="rId418" Type="http://schemas.openxmlformats.org/officeDocument/2006/relationships/hyperlink" Target="http://www8.austlii.edu.au/cgi-bin/viewdoc/au/legis/act/consol_act/wca1951255/s90.html" TargetMode="External"/><Relationship Id="rId625" Type="http://schemas.openxmlformats.org/officeDocument/2006/relationships/hyperlink" Target="http://www8.austlii.edu.au/cgi-bin/viewdoc/au/legis/wa/consol_act/wcaima1981445/s5.html" TargetMode="External"/><Relationship Id="rId832" Type="http://schemas.openxmlformats.org/officeDocument/2006/relationships/hyperlink" Target="https://www.legislation.qld.gov.au/view/html/inforce/current/act-2003-027" TargetMode="External"/><Relationship Id="rId1048" Type="http://schemas.openxmlformats.org/officeDocument/2006/relationships/hyperlink" Target="http://www8.austlii.edu.au/cgi-bin/viewdoc/au/legis/cth/consol_act/sraca1988368/s19.html" TargetMode="External"/><Relationship Id="rId1255" Type="http://schemas.openxmlformats.org/officeDocument/2006/relationships/hyperlink" Target="https://www.legislation.qld.gov.au/view/html/inforce/current/act-2003-027" TargetMode="External"/><Relationship Id="rId1462" Type="http://schemas.openxmlformats.org/officeDocument/2006/relationships/hyperlink" Target="http://www.austlii.edu.au/cgi-bin/viewdb/au/legis/cth/consol_act/sracca1988512/s37.html" TargetMode="External"/><Relationship Id="rId2085" Type="http://schemas.openxmlformats.org/officeDocument/2006/relationships/hyperlink" Target="http://www.austlii.edu.au/cgi-bin/viewdb/au/legis/nt/consol_act/rtwa207/s119.html" TargetMode="External"/><Relationship Id="rId264" Type="http://schemas.openxmlformats.org/officeDocument/2006/relationships/hyperlink" Target="http://www8.austlii.edu.au/cgi-bin/viewdoc/au/legis/nsw/consol_act/wca1987255/s59a.html" TargetMode="External"/><Relationship Id="rId471" Type="http://schemas.openxmlformats.org/officeDocument/2006/relationships/hyperlink" Target="http://www8.austlii.edu.au/cgi-bin/viewdb/au/legis/nt/consol_act/rtwa207/" TargetMode="External"/><Relationship Id="rId1115" Type="http://schemas.openxmlformats.org/officeDocument/2006/relationships/hyperlink" Target="https://www.legislation.qld.gov.au/view/html/inforce/current/act-2003-027" TargetMode="External"/><Relationship Id="rId1322" Type="http://schemas.openxmlformats.org/officeDocument/2006/relationships/hyperlink" Target="http://www.austlii.edu.au/cgi-bin/viewdb/au/legis/nt/consol_act/rtwa207/s49.html" TargetMode="External"/><Relationship Id="rId1767" Type="http://schemas.openxmlformats.org/officeDocument/2006/relationships/hyperlink" Target="http://www.austlii.edu.au/au/legis/sa/consol_act/rtwa2014207/s52.html" TargetMode="External"/><Relationship Id="rId1974" Type="http://schemas.openxmlformats.org/officeDocument/2006/relationships/hyperlink" Target="http://www.austlii.edu.au/cgi-bin/viewdb/au/legis/nsw/consol_act/wimawca1998540/s43.html" TargetMode="External"/><Relationship Id="rId2152" Type="http://schemas.openxmlformats.org/officeDocument/2006/relationships/hyperlink" Target="http://www.austlii.edu.au/cgi-bin/viewdb/au/legis/nsw/consol_act/wca1987255/sch6.html" TargetMode="External"/><Relationship Id="rId59" Type="http://schemas.openxmlformats.org/officeDocument/2006/relationships/hyperlink" Target="http://www.oir.qld.gov.au/" TargetMode="External"/><Relationship Id="rId124" Type="http://schemas.openxmlformats.org/officeDocument/2006/relationships/hyperlink" Target="http://www8.austlii.edu.au/cgi-bin/viewdoc/au/legis/act/consol_act/wca1951255/s8.html" TargetMode="External"/><Relationship Id="rId569" Type="http://schemas.openxmlformats.org/officeDocument/2006/relationships/hyperlink" Target="http://www.austlii.edu.au/au/legis/sa/consol_reg/rtwr2015316/s69.html" TargetMode="External"/><Relationship Id="rId776" Type="http://schemas.openxmlformats.org/officeDocument/2006/relationships/hyperlink" Target="http://www8.austlii.edu.au/cgi-bin/viewdoc/au/legis/cth/consol_act/sraca1988368/s6.html" TargetMode="External"/><Relationship Id="rId983" Type="http://schemas.openxmlformats.org/officeDocument/2006/relationships/hyperlink" Target="https://www.comlaw.gov.au/Series/F2015L01144" TargetMode="External"/><Relationship Id="rId1199" Type="http://schemas.openxmlformats.org/officeDocument/2006/relationships/hyperlink" Target="http://www8.austlii.edu.au/cgi-bin/viewdoc/au/legis/cth/consol_act/mraca2004397/s226.html" TargetMode="External"/><Relationship Id="rId1627" Type="http://schemas.openxmlformats.org/officeDocument/2006/relationships/hyperlink" Target="http://www.sira.nsw.gov.au/resources-library/workers-compensation-resources/publications/help-with-getting-people-back-to-work/guidelines-for-workplace-return-to-work-programs" TargetMode="External"/><Relationship Id="rId1834" Type="http://schemas.openxmlformats.org/officeDocument/2006/relationships/hyperlink" Target="http://www.austlii.edu.au/cgi-bin/viewdb/au/legis/nt/consol_act/rtwa207/s75b.html" TargetMode="External"/><Relationship Id="rId331" Type="http://schemas.openxmlformats.org/officeDocument/2006/relationships/hyperlink" Target="http://www8.austlii.edu.au/cgi-bin/viewdoc/au/legis/vic/num_act/wiraca201367o2013530/s21.html" TargetMode="External"/><Relationship Id="rId429" Type="http://schemas.openxmlformats.org/officeDocument/2006/relationships/hyperlink" Target="http://www8.austlii.edu.au/cgi-bin/viewdoc/au/legis/vic/num_act/wiraca201367o2013530/s266.html" TargetMode="External"/><Relationship Id="rId636" Type="http://schemas.openxmlformats.org/officeDocument/2006/relationships/hyperlink" Target="http://www.workcover.wa.gov.au/content/uploads/2014/09/Guide-for-employers-2017.pdf" TargetMode="External"/><Relationship Id="rId1059" Type="http://schemas.openxmlformats.org/officeDocument/2006/relationships/hyperlink" Target="http://www8.austlii.edu.au/cgi-bin/viewdoc/au/legis/cth/consol_act/sraca1988368/s137.html" TargetMode="External"/><Relationship Id="rId1266" Type="http://schemas.openxmlformats.org/officeDocument/2006/relationships/hyperlink" Target="http://www8.austlii.edu.au/cgi-bin/viewdoc/au/legis/sa/consol_act/rtwa2014207/s62.html" TargetMode="External"/><Relationship Id="rId1473" Type="http://schemas.openxmlformats.org/officeDocument/2006/relationships/hyperlink" Target="http://www.austlii.edu.au/cgi-bin/viewdb/au/legis/nsw/consol_act/wca1987255/" TargetMode="External"/><Relationship Id="rId2012" Type="http://schemas.openxmlformats.org/officeDocument/2006/relationships/hyperlink" Target="http://www5.austlii.edu.au/au/legis/nsw/consol_act/wcda1942388/s6.html" TargetMode="External"/><Relationship Id="rId2096" Type="http://schemas.openxmlformats.org/officeDocument/2006/relationships/hyperlink" Target="http://www.worksafe.act.gov.au/health_safety" TargetMode="External"/><Relationship Id="rId843" Type="http://schemas.openxmlformats.org/officeDocument/2006/relationships/hyperlink" Target="http://www8.austlii.edu.au/cgi-bin/viewdoc/au/legis/cth/consol_act/sraca1988368/s4.html" TargetMode="External"/><Relationship Id="rId1126" Type="http://schemas.openxmlformats.org/officeDocument/2006/relationships/hyperlink" Target="https://www.worksafe.qld.gov.au/service-providers/allied-health-fees" TargetMode="External"/><Relationship Id="rId1680" Type="http://schemas.openxmlformats.org/officeDocument/2006/relationships/hyperlink" Target="http://www.austlii.edu.au/cgi-bin/viewdb/au/legis/sa/consol_act/rtwa2014207/s25.html" TargetMode="External"/><Relationship Id="rId1778" Type="http://schemas.openxmlformats.org/officeDocument/2006/relationships/hyperlink" Target="http://www.austlii.edu.au/cgi-bin/viewdb/au/legis/cth/consol_act/sraca1992381/s49.html" TargetMode="External"/><Relationship Id="rId1901" Type="http://schemas.openxmlformats.org/officeDocument/2006/relationships/hyperlink" Target="http://www.thelaw.tas.gov.au/tocview/content.w3p;cond=;doc_id=4%2B%2B1988%2BGS143B%40EN%2B20151224140000;histon=;inforequest=;prompt=;rec=;term=" TargetMode="External"/><Relationship Id="rId1985" Type="http://schemas.openxmlformats.org/officeDocument/2006/relationships/hyperlink" Target="http://www.thelaw.tas.gov.au/tocview/content.w3p;cond=;doc_id=4%2B%2B1988%2BGS143E%40EN%2B20160104090000;histon=;inforequest=;prompt=;rec=;term=" TargetMode="External"/><Relationship Id="rId275" Type="http://schemas.openxmlformats.org/officeDocument/2006/relationships/hyperlink" Target="http://www8.austlii.edu.au/cgi-bin/viewdoc/au/legis/vic/num_act/wiraca201367o2013530/s18.html" TargetMode="External"/><Relationship Id="rId482" Type="http://schemas.openxmlformats.org/officeDocument/2006/relationships/hyperlink" Target="http://www8.austlii.edu.au/cgi-bin/viewdoc/au/legis/cth/consol_act/mraca2004397/s353.html" TargetMode="External"/><Relationship Id="rId703" Type="http://schemas.openxmlformats.org/officeDocument/2006/relationships/hyperlink" Target="http://www.thelaw.tas.gov.au/tocview/content.w3p;cond=;doc_id=4%2B%2B1988%2BGS4DC%40EN%2B20151223090000;histon=;inforequest=;prompt=;rec=;term=" TargetMode="External"/><Relationship Id="rId910" Type="http://schemas.openxmlformats.org/officeDocument/2006/relationships/hyperlink" Target="http://www8.austlii.edu.au/cgi-bin/viewdoc/au/legis/sa/consol_act/rtwa2014207/s8.html" TargetMode="External"/><Relationship Id="rId1333" Type="http://schemas.openxmlformats.org/officeDocument/2006/relationships/hyperlink" Target="https://www.legislation.gov.au/Details/C2008A00144" TargetMode="External"/><Relationship Id="rId1540" Type="http://schemas.openxmlformats.org/officeDocument/2006/relationships/hyperlink" Target="https://prod.wsvdigital.com.au/sites/default/files/2018-06/ISBN-Compliance-code-2-of-4-return-to-work-coordinators-2014-07.pdf" TargetMode="External"/><Relationship Id="rId1638" Type="http://schemas.openxmlformats.org/officeDocument/2006/relationships/hyperlink" Target="http://www.austlii.edu.au/cgi-bin/viewdb/au/legis/wa/consol_act/wcaima1981445/s155b.html" TargetMode="External"/><Relationship Id="rId2163" Type="http://schemas.openxmlformats.org/officeDocument/2006/relationships/hyperlink" Target="http://www.austlii.edu.au/cgi-bin/viewdb/au/legis/cth/consol_act/sraca1988368/" TargetMode="External"/><Relationship Id="rId135" Type="http://schemas.openxmlformats.org/officeDocument/2006/relationships/hyperlink" Target="http://www8.austlii.edu.au/cgi-bin/viewdoc/au/legis/vic/num_act/wiraca201367o2013530/s46.html" TargetMode="External"/><Relationship Id="rId342" Type="http://schemas.openxmlformats.org/officeDocument/2006/relationships/hyperlink" Target="http://www8.austlii.edu.au/cgi-bin/viewdoc/au/legis/act/consol_act/wca1951255/s126.html" TargetMode="External"/><Relationship Id="rId787" Type="http://schemas.openxmlformats.org/officeDocument/2006/relationships/hyperlink" Target="https://www.legislation.qld.gov.au/view/html/inforce/current/act-2003-027" TargetMode="External"/><Relationship Id="rId994" Type="http://schemas.openxmlformats.org/officeDocument/2006/relationships/hyperlink" Target="http://www8.austlii.edu.au/cgi-bin/viewdoc/au/legis/nsw/consol_act/wca1987255/s87f.html" TargetMode="External"/><Relationship Id="rId1400" Type="http://schemas.openxmlformats.org/officeDocument/2006/relationships/hyperlink" Target="http://www.austlii.edu.au/cgi-bin/viewdb/au/legis/wa/consol_act/wcaima1981445/s72.html" TargetMode="External"/><Relationship Id="rId1845" Type="http://schemas.openxmlformats.org/officeDocument/2006/relationships/hyperlink" Target="http://www.austlii.edu.au/cgi-bin/viewdb/au/legis/act/consol_act/wca1951255/s104.html" TargetMode="External"/><Relationship Id="rId2023" Type="http://schemas.openxmlformats.org/officeDocument/2006/relationships/hyperlink" Target="https://www.legislation.qld.gov.au/view/html/inforce/current/act-2003-027" TargetMode="External"/><Relationship Id="rId2230" Type="http://schemas.openxmlformats.org/officeDocument/2006/relationships/hyperlink" Target="http://www.austlii.edu.au/cgi-bin/viewdb/au/legis/cth/consol_act/sraca1988368/s7.html" TargetMode="External"/><Relationship Id="rId202" Type="http://schemas.openxmlformats.org/officeDocument/2006/relationships/hyperlink" Target="http://www8.austlii.edu.au/cgi-bin/viewdoc/au/legis/nt/consol_act/rtwa207/s3.html" TargetMode="External"/><Relationship Id="rId647" Type="http://schemas.openxmlformats.org/officeDocument/2006/relationships/hyperlink" Target="http://www.thelaw.tas.gov.au/tocview/content.w3p;cond=;doc_id=4%2B%2B1988%2BGS4DA%40EN%2B20151223090000;histon=;inforequest=;prompt=;rec=;term=" TargetMode="External"/><Relationship Id="rId854" Type="http://schemas.openxmlformats.org/officeDocument/2006/relationships/hyperlink" Target="http://www8.austlii.edu.au/cgi-bin/viewdoc/au/legis/cth/consol_act/mraca2004397/s71.html" TargetMode="External"/><Relationship Id="rId1277" Type="http://schemas.openxmlformats.org/officeDocument/2006/relationships/hyperlink" Target="http://www8.austlii.edu.au/cgi-bin/viewdoc/au/legis/act/consol_act/wca1951255/s77.html" TargetMode="External"/><Relationship Id="rId1484" Type="http://schemas.openxmlformats.org/officeDocument/2006/relationships/hyperlink" Target="http://www.austlii.edu.au/cgi-bin/viewdb/au/legis/cth/consol_act/mraca2004397/s138.html" TargetMode="External"/><Relationship Id="rId1691" Type="http://schemas.openxmlformats.org/officeDocument/2006/relationships/hyperlink" Target="http://www.austlii.edu.au/cgi-bin/viewdb/au/legis/tas/consol_act/wraca1988400/s143e.html" TargetMode="External"/><Relationship Id="rId1705" Type="http://schemas.openxmlformats.org/officeDocument/2006/relationships/hyperlink" Target="http://www.austlii.edu.au/cgi-bin/viewdb/au/legis/cth/consol_act/sracca1988512/s41a.html" TargetMode="External"/><Relationship Id="rId1912" Type="http://schemas.openxmlformats.org/officeDocument/2006/relationships/hyperlink" Target="http://classic.austlii.edu.au/au/legis/nsw/consol_reg/wcr2016346/s24.html" TargetMode="External"/><Relationship Id="rId286" Type="http://schemas.openxmlformats.org/officeDocument/2006/relationships/hyperlink" Target="http://www8.austlii.edu.au/cgi-bin/viewdoc/au/legis/nt/consol_act/rtwa207/s80.html" TargetMode="External"/><Relationship Id="rId493" Type="http://schemas.openxmlformats.org/officeDocument/2006/relationships/hyperlink" Target="https://www.accesscanberra.act.gov.au/app/answers/detail/a_id/3652" TargetMode="External"/><Relationship Id="rId507" Type="http://schemas.openxmlformats.org/officeDocument/2006/relationships/hyperlink" Target="http://www8.austlii.edu.au/cgi-bin/viewdoc/au/legis/nsw/consol_act/wca1987255/s155.html" TargetMode="External"/><Relationship Id="rId714" Type="http://schemas.openxmlformats.org/officeDocument/2006/relationships/hyperlink" Target="http://www8.austlii.edu.au/cgi-bin/viewdoc/au/legis/cth/consol_act/sraca1988368/s5.html" TargetMode="External"/><Relationship Id="rId921" Type="http://schemas.openxmlformats.org/officeDocument/2006/relationships/hyperlink" Target="http://www8.austlii.edu.au/cgi-bin/viewdoc/au/legis/cth/consol_act/sraca1988368/s23.html" TargetMode="External"/><Relationship Id="rId1137" Type="http://schemas.openxmlformats.org/officeDocument/2006/relationships/hyperlink" Target="https://www.legislation.qld.gov.au/view/html/inforce/current/act-2003-027" TargetMode="External"/><Relationship Id="rId1344" Type="http://schemas.openxmlformats.org/officeDocument/2006/relationships/hyperlink" Target="http://www.legislation.govt.nz/act/public/2001/0049/latest/link.aspx?id=DLM100663" TargetMode="External"/><Relationship Id="rId1551" Type="http://schemas.openxmlformats.org/officeDocument/2006/relationships/hyperlink" Target="http://www.workcover.wa.gov.au/content/uploads/2014/09/2017-Injury-Management-Guide.pdf" TargetMode="External"/><Relationship Id="rId1789" Type="http://schemas.openxmlformats.org/officeDocument/2006/relationships/hyperlink" Target="http://www.austlii.edu.au/cgi-bin/viewdb/au/legis/nsw/consol_act/wimawca1998540/s44.html" TargetMode="External"/><Relationship Id="rId1996" Type="http://schemas.openxmlformats.org/officeDocument/2006/relationships/hyperlink" Target="https://www.legislation.qld.gov.au/view/html/inforce/current/act-2003-027" TargetMode="External"/><Relationship Id="rId2174" Type="http://schemas.openxmlformats.org/officeDocument/2006/relationships/hyperlink" Target="https://www.icare.nsw.gov.au/government-agencies/our-funds-and-schemes/treasury-managed-fund/" TargetMode="External"/><Relationship Id="rId50" Type="http://schemas.openxmlformats.org/officeDocument/2006/relationships/hyperlink" Target="http://www.legislation.nsw.gov.au/fullhtml/inforce/act+86+1998+FIRST+0+N" TargetMode="External"/><Relationship Id="rId146" Type="http://schemas.openxmlformats.org/officeDocument/2006/relationships/hyperlink" Target="http://www8.austlii.edu.au/cgi-bin/viewdoc/au/legis/sa/consol_act/rtwa2014207/s5.html" TargetMode="External"/><Relationship Id="rId353" Type="http://schemas.openxmlformats.org/officeDocument/2006/relationships/hyperlink" Target="http://www.thelaw.tas.gov.au/tocview/content.w3p;cond=;doc_id=4%2B%2B1988%2BGS81%40EN%2B20151223090000;histon=;inforequest=;prompt=;rec=;term=" TargetMode="External"/><Relationship Id="rId560" Type="http://schemas.openxmlformats.org/officeDocument/2006/relationships/hyperlink" Target="http://www8.austlii.edu.au/cgi-bin/viewdoc/au/legis/nsw/consol_act/wimawca1998540/s4.html" TargetMode="External"/><Relationship Id="rId798" Type="http://schemas.openxmlformats.org/officeDocument/2006/relationships/hyperlink" Target="http://www8.austlii.edu.au/cgi-bin/viewdoc/au/legis/tas/consol_act/wraca1988400/s3.html" TargetMode="External"/><Relationship Id="rId1190" Type="http://schemas.openxmlformats.org/officeDocument/2006/relationships/hyperlink" Target="http://www8.austlii.edu.au/cgi-bin/viewdoc/au/legis/cth/consol_act/mraca2004397/s219.html" TargetMode="External"/><Relationship Id="rId1204" Type="http://schemas.openxmlformats.org/officeDocument/2006/relationships/hyperlink" Target="http://www.legislation.govt.nz/act/public/2001/0049/latest/DLM104544.html" TargetMode="External"/><Relationship Id="rId1411" Type="http://schemas.openxmlformats.org/officeDocument/2006/relationships/hyperlink" Target="http://www.austlii.edu.au/cgi-bin/viewdb/au/legis/sa/consol_act/rtwa2014207/s48.html" TargetMode="External"/><Relationship Id="rId1649" Type="http://schemas.openxmlformats.org/officeDocument/2006/relationships/hyperlink" Target="http://www5.austlii.edu.au/au/legis/sa/consol_reg/rtwr2015316/s15.html" TargetMode="External"/><Relationship Id="rId1856" Type="http://schemas.openxmlformats.org/officeDocument/2006/relationships/hyperlink" Target="http://www.austlii.edu.au/cgi-bin/viewdb/au/legis/cth/consol_act/sraca1992381/s50.html" TargetMode="External"/><Relationship Id="rId2034" Type="http://schemas.openxmlformats.org/officeDocument/2006/relationships/hyperlink" Target="http://www.thelaw.tas.gov.au/tocview/content.w3p;cond=;doc_id=4%2B%2B1988%2BGS104%40EN%2B20160104090000;histon=;inforequest=;prompt=;rec=;term=" TargetMode="External"/><Relationship Id="rId2241" Type="http://schemas.openxmlformats.org/officeDocument/2006/relationships/hyperlink" Target="http://www.austlii.edu.au/cgi-bin/viewdb/au/legis/cth/consol_act/sraca1988368/s7.html" TargetMode="External"/><Relationship Id="rId213" Type="http://schemas.openxmlformats.org/officeDocument/2006/relationships/hyperlink" Target="http://www8.austlii.edu.au/cgi-bin/viewdoc/au/legis/cth/consol_act/sraca1992381/s3.html" TargetMode="External"/><Relationship Id="rId420" Type="http://schemas.openxmlformats.org/officeDocument/2006/relationships/hyperlink" Target="http://www8.austlii.edu.au/cgi-bin/viewdoc/au/legis/vic/num_act/wiraca201367o2013530/s273.html" TargetMode="External"/><Relationship Id="rId658" Type="http://schemas.openxmlformats.org/officeDocument/2006/relationships/hyperlink" Target="http://www8.austlii.edu.au/cgi-bin/viewdoc/au/legis/nt/consol_act/rtwa207/s3.html" TargetMode="External"/><Relationship Id="rId865" Type="http://schemas.openxmlformats.org/officeDocument/2006/relationships/hyperlink" Target="http://www.workcover.tas.gov.au/__data/assets/pdf_file/0006/184920/Guidelines_for_the_Assessment_of_Permanent_Impairment_Version_3.pdf" TargetMode="External"/><Relationship Id="rId1050" Type="http://schemas.openxmlformats.org/officeDocument/2006/relationships/hyperlink" Target="http://www8.austlii.edu.au/cgi-bin/viewdoc/au/legis/cth/consol_act/sraca1988368/s19.html" TargetMode="External"/><Relationship Id="rId1288" Type="http://schemas.openxmlformats.org/officeDocument/2006/relationships/hyperlink" Target="http://www8.austlii.edu.au/cgi-bin/viewdoc/au/legis/cth/consol_act/mraca2004397/s263.html" TargetMode="External"/><Relationship Id="rId1495" Type="http://schemas.openxmlformats.org/officeDocument/2006/relationships/hyperlink" Target="http://www.austlii.edu.au/cgi-bin/viewdb/au/legis/vic/consol_act/wiraca2013484/s101.html" TargetMode="External"/><Relationship Id="rId1509" Type="http://schemas.openxmlformats.org/officeDocument/2006/relationships/hyperlink" Target="http://www.austlii.edu.au/cgi-bin/viewdb/au/legis/vic/consol_act/wiraca2013484/s115.html" TargetMode="External"/><Relationship Id="rId1716" Type="http://schemas.openxmlformats.org/officeDocument/2006/relationships/hyperlink" Target="http://www.austlii.edu.au/cgi-bin/viewdb/au/legis/nsw/consol_act/wimawca1998540/s41a.html" TargetMode="External"/><Relationship Id="rId1923" Type="http://schemas.openxmlformats.org/officeDocument/2006/relationships/hyperlink" Target="https://www.legislation.qld.gov.au/view/html/inforce/current/act-2003-027" TargetMode="External"/><Relationship Id="rId2101" Type="http://schemas.openxmlformats.org/officeDocument/2006/relationships/hyperlink" Target="http://www.austlii.edu.au/cgi-bin/viewdb/au/legis/nsw/consol_act/wca1987255/s208aa.html" TargetMode="External"/><Relationship Id="rId297" Type="http://schemas.openxmlformats.org/officeDocument/2006/relationships/hyperlink" Target="http://www8.austlii.edu.au/cgi-bin/viewdoc/au/legis/nsw/consol_act/wimawca1998540/s261.html" TargetMode="External"/><Relationship Id="rId518" Type="http://schemas.openxmlformats.org/officeDocument/2006/relationships/hyperlink" Target="http://www.thelaw.tas.gov.au/tocview/content.w3p;cond=;doc_id=4%2B%2B1988%2BGS126%40EN%2B20151223090000;histon=;inforequest=;prompt=;rec=;term=" TargetMode="External"/><Relationship Id="rId725" Type="http://schemas.openxmlformats.org/officeDocument/2006/relationships/hyperlink" Target="http://www8.austlii.edu.au/cgi-bin/viewdoc/au/legis/tas/consol_act/wraca1988400/s72a.html" TargetMode="External"/><Relationship Id="rId932" Type="http://schemas.openxmlformats.org/officeDocument/2006/relationships/hyperlink" Target="http://www8.austlii.edu.au/cgi-bin/viewdoc/au/legis/cth/consol_act/sraca1992381/s12.html" TargetMode="External"/><Relationship Id="rId1148" Type="http://schemas.openxmlformats.org/officeDocument/2006/relationships/hyperlink" Target="http://www.austlii.edu.au/au/legis/sa/consol_act/rtwa2014207/s7.html" TargetMode="External"/><Relationship Id="rId1355" Type="http://schemas.openxmlformats.org/officeDocument/2006/relationships/hyperlink" Target="https://www.legislation.qld.gov.au/view/html/inforce/current/act-2003-027" TargetMode="External"/><Relationship Id="rId1562" Type="http://schemas.openxmlformats.org/officeDocument/2006/relationships/hyperlink" Target="http://www.austlii.edu.au/cgi-bin/viewdb/au/legis/sa/consol_act/rtwa2014207/s18.html" TargetMode="External"/><Relationship Id="rId2185" Type="http://schemas.openxmlformats.org/officeDocument/2006/relationships/hyperlink" Target="http://www.dva.gov.au/about-dva/statistics-about-veteran-population" TargetMode="External"/><Relationship Id="rId157" Type="http://schemas.openxmlformats.org/officeDocument/2006/relationships/hyperlink" Target="http://www8.austlii.edu.au/cgi-bin/viewdoc/au/legis/cth/consol_act/sraca1988368/s6.html" TargetMode="External"/><Relationship Id="rId364" Type="http://schemas.openxmlformats.org/officeDocument/2006/relationships/hyperlink" Target="http://www.thelaw.tas.gov.au/tocview/content.w3p;cond=;doc_id=4%2B%2B1988%2BGS81A%40EN%2B20151223090000;histon=;inforequest=;prompt=;rec=;term=" TargetMode="External"/><Relationship Id="rId1008" Type="http://schemas.openxmlformats.org/officeDocument/2006/relationships/hyperlink" Target="https://www.legislation.qld.gov.au/view/html/inforce/current/act-2003-027" TargetMode="External"/><Relationship Id="rId1215" Type="http://schemas.openxmlformats.org/officeDocument/2006/relationships/hyperlink" Target="https://www.legislation.qld.gov.au/view/html/inforce/current/act-2003-027" TargetMode="External"/><Relationship Id="rId1422" Type="http://schemas.openxmlformats.org/officeDocument/2006/relationships/hyperlink" Target="http://www.thelaw.tas.gov.au/tocview/content.w3p;cond=;doc_id=4%2B%2B1988%2BGS90C%40EN%2B20151224080000;histon=;inforequest=;prompt=;rec=;term=" TargetMode="External"/><Relationship Id="rId1867" Type="http://schemas.openxmlformats.org/officeDocument/2006/relationships/hyperlink" Target="http://www.austlii.edu.au/cgi-bin/viewdb/au/legis/cth/consol_act/sracca1988512/s36.html" TargetMode="External"/><Relationship Id="rId2045" Type="http://schemas.openxmlformats.org/officeDocument/2006/relationships/hyperlink" Target="https://www.legislation.wa.gov.au/legislation/statutes.nsf/law_a555.html" TargetMode="External"/><Relationship Id="rId61" Type="http://schemas.openxmlformats.org/officeDocument/2006/relationships/hyperlink" Target="https://www.legislation.qld.gov.au/view/html/inforce/current/act-2003-027" TargetMode="External"/><Relationship Id="rId571" Type="http://schemas.openxmlformats.org/officeDocument/2006/relationships/hyperlink" Target="http://www.thelaw.tas.gov.au/tocview/content.w3p;cond=;doc_id=4%2B%2B1988%2BGS4%40EN%2B20151223090000;histon=;inforequest=;prompt=;rec=;term=" TargetMode="External"/><Relationship Id="rId669" Type="http://schemas.openxmlformats.org/officeDocument/2006/relationships/hyperlink" Target="http://www8.austlii.edu.au/cgi-bin/viewdoc/au/legis/act/consol_act/wca1951255/s15.html" TargetMode="External"/><Relationship Id="rId876" Type="http://schemas.openxmlformats.org/officeDocument/2006/relationships/hyperlink" Target="http://www8.austlii.edu.au/cgi-bin/viewdoc/au/legis/cth/consol_act/sraca1992381/s42.html" TargetMode="External"/><Relationship Id="rId1299" Type="http://schemas.openxmlformats.org/officeDocument/2006/relationships/hyperlink" Target="http://www.austlii.edu.au/cgi-bin/viewdb/au/legis/nsw/consol_act/wca1987255/s25.html" TargetMode="External"/><Relationship Id="rId1727" Type="http://schemas.openxmlformats.org/officeDocument/2006/relationships/hyperlink" Target="http://www.austlii.edu.au/cgi-bin/viewdb/au/legis/wa/consol_act/wcaima1981445/s84ab.html" TargetMode="External"/><Relationship Id="rId1934" Type="http://schemas.openxmlformats.org/officeDocument/2006/relationships/hyperlink" Target="http://www.legislation.tas.gov.au/tocview/content.w3p;cond=;doc_id=4%2B%2B1988%2BGS143%40Gs6%40EN%2B20110207140000;histon=;prompt=;rec=299;term=" TargetMode="External"/><Relationship Id="rId19" Type="http://schemas.openxmlformats.org/officeDocument/2006/relationships/hyperlink" Target="http://www.comlaw.gov.au/Details/C2014C00790" TargetMode="External"/><Relationship Id="rId224" Type="http://schemas.openxmlformats.org/officeDocument/2006/relationships/hyperlink" Target="http://www8.austlii.edu.au/cgi-bin/viewdoc/au/legis/cth/consol_act/mraca2004397/s27.html" TargetMode="External"/><Relationship Id="rId431" Type="http://schemas.openxmlformats.org/officeDocument/2006/relationships/hyperlink" Target="http://www8.austlii.edu.au/cgi-bin/viewdoc/au/legis/vic/num_act/wiraca201367o2013530/s313.html" TargetMode="External"/><Relationship Id="rId529" Type="http://schemas.openxmlformats.org/officeDocument/2006/relationships/hyperlink" Target="http://www8.austlii.edu.au/cgi-bin/viewdoc/au/legis/cth/consol_act/sraca1992381/s93.html" TargetMode="External"/><Relationship Id="rId736" Type="http://schemas.openxmlformats.org/officeDocument/2006/relationships/hyperlink" Target="https://www.legislation.qld.gov.au/view/html/inforce/current/act-2003-027" TargetMode="External"/><Relationship Id="rId1061" Type="http://schemas.openxmlformats.org/officeDocument/2006/relationships/hyperlink" Target="http://www8.austlii.edu.au/cgi-bin/viewdoc/au/legis/cth/consol_act/sraca1992381/s31.html" TargetMode="External"/><Relationship Id="rId1159" Type="http://schemas.openxmlformats.org/officeDocument/2006/relationships/hyperlink" Target="http://www.thelaw.tas.gov.au/tocview/content.w3p;cond=;doc_id=4%2B%2B1988%2BGS74%40EN%2B20151224080000;histon=;inforequest=;prompt=;rec=;term=" TargetMode="External"/><Relationship Id="rId1366" Type="http://schemas.openxmlformats.org/officeDocument/2006/relationships/hyperlink" Target="http://www.austlii.edu.au/cgi-bin/viewdb/au/legis/cth/consol_act/sraca1988368/s45.html" TargetMode="External"/><Relationship Id="rId2112" Type="http://schemas.openxmlformats.org/officeDocument/2006/relationships/hyperlink" Target="https://www.legislation.qld.gov.au/view/html/inforce/current/act-2003-027" TargetMode="External"/><Relationship Id="rId2196" Type="http://schemas.openxmlformats.org/officeDocument/2006/relationships/hyperlink" Target="https://www.rtwsa.com/insurance/insurance-with-us/premium-calculations/industry-classifications-and-rates" TargetMode="External"/><Relationship Id="rId168" Type="http://schemas.openxmlformats.org/officeDocument/2006/relationships/hyperlink" Target="http://www8.austlii.edu.au/cgi-bin/viewdoc/au/legis/cth/consol_act/mraca2004397/s27.html" TargetMode="External"/><Relationship Id="rId943" Type="http://schemas.openxmlformats.org/officeDocument/2006/relationships/hyperlink" Target="http://www8.austlii.edu.au/cgi-bin/viewdoc/au/legis/cth/consol_act/sracca1988512/s5a.html" TargetMode="External"/><Relationship Id="rId1019" Type="http://schemas.openxmlformats.org/officeDocument/2006/relationships/hyperlink" Target="http://www8.austlii.edu.au/cgi-bin/viewdoc/au/legis/sa/consol_act/rtwa2014207/s4.html" TargetMode="External"/><Relationship Id="rId1573" Type="http://schemas.openxmlformats.org/officeDocument/2006/relationships/hyperlink" Target="http://www.workcover.tas.gov.au/__data/assets/pdf_file/0003/165432/Helping_people_return_to_work.pdf" TargetMode="External"/><Relationship Id="rId1780" Type="http://schemas.openxmlformats.org/officeDocument/2006/relationships/hyperlink" Target="http://www.austlii.edu.au/cgi-bin/viewdb/au/legis/cth/consol_act/sraca1992381/s50.html" TargetMode="External"/><Relationship Id="rId1878" Type="http://schemas.openxmlformats.org/officeDocument/2006/relationships/hyperlink" Target="https://www.worksafe.vic.gov.au/program-worksafe-incentive-scheme-employers-wise" TargetMode="External"/><Relationship Id="rId72" Type="http://schemas.openxmlformats.org/officeDocument/2006/relationships/hyperlink" Target="http://www.austlii.edu.au/au/legis/sa/consol_act/saeta2014422/" TargetMode="External"/><Relationship Id="rId375" Type="http://schemas.openxmlformats.org/officeDocument/2006/relationships/hyperlink" Target="http://www.legislation.govt.nz/act/public/2001/0049/latest/DLM100984.html" TargetMode="External"/><Relationship Id="rId582" Type="http://schemas.openxmlformats.org/officeDocument/2006/relationships/hyperlink" Target="http://www.legislation.govt.nz/act/public/2001/0049/latest/DLM100103.html" TargetMode="External"/><Relationship Id="rId803" Type="http://schemas.openxmlformats.org/officeDocument/2006/relationships/hyperlink" Target="http://www8.austlii.edu.au/cgi-bin/viewdoc/au/legis/nt/consol_act/rtwa207/s3a.html" TargetMode="External"/><Relationship Id="rId1226" Type="http://schemas.openxmlformats.org/officeDocument/2006/relationships/hyperlink" Target="http://www8.austlii.edu.au/cgi-bin/viewdb/au/legis/sa/consol_act/rtwa2014207/" TargetMode="External"/><Relationship Id="rId1433" Type="http://schemas.openxmlformats.org/officeDocument/2006/relationships/hyperlink" Target="http://www.austlii.edu.au/cgi-bin/viewdb/au/legis/nt/consol_act/rtwa207/s65a.html" TargetMode="External"/><Relationship Id="rId1640" Type="http://schemas.openxmlformats.org/officeDocument/2006/relationships/hyperlink" Target="https://www.legislation.wa.gov.au/legislation/statutes.nsf/law_s37545.html" TargetMode="External"/><Relationship Id="rId1738" Type="http://schemas.openxmlformats.org/officeDocument/2006/relationships/hyperlink" Target="http://www.austlii.edu.au/cgi-bin/viewdb/au/legis/nt/consol_act/rtwa207/s65c.html" TargetMode="External"/><Relationship Id="rId2056" Type="http://schemas.openxmlformats.org/officeDocument/2006/relationships/hyperlink" Target="http://www.austlii.edu.au/au/legis/sa/consol_reg/rtwr2015316/sch3.html" TargetMode="External"/><Relationship Id="rId3" Type="http://schemas.openxmlformats.org/officeDocument/2006/relationships/styles" Target="styles.xml"/><Relationship Id="rId235" Type="http://schemas.openxmlformats.org/officeDocument/2006/relationships/hyperlink" Target="http://www8.austlii.edu.au/cgi-bin/viewdoc/au/legis/vic/num_act/wiraca201367o2013530/s169.html" TargetMode="External"/><Relationship Id="rId442" Type="http://schemas.openxmlformats.org/officeDocument/2006/relationships/hyperlink" Target="http://www.workcover.wa.gov.au/resources/forms-publications/conciliation-rules-forms/" TargetMode="External"/><Relationship Id="rId887" Type="http://schemas.openxmlformats.org/officeDocument/2006/relationships/hyperlink" Target="https://www.rtwsa.com/media/documents/Impairment-assessment-guidelines.pdf" TargetMode="External"/><Relationship Id="rId1072" Type="http://schemas.openxmlformats.org/officeDocument/2006/relationships/hyperlink" Target="http://www8.austlii.edu.au/cgi-bin/viewdoc/au/legis/cth/consol_act/sracca1988512/s19.html" TargetMode="External"/><Relationship Id="rId1500" Type="http://schemas.openxmlformats.org/officeDocument/2006/relationships/hyperlink" Target="http://www.austlii.edu.au/cgi-bin/viewdb/au/legis/vic/consol_act/wiraca2013484/s106.html" TargetMode="External"/><Relationship Id="rId1945" Type="http://schemas.openxmlformats.org/officeDocument/2006/relationships/hyperlink" Target="http://www.workcover.wa.gov.au/health-providers/workplace-rehabilitation-providers/" TargetMode="External"/><Relationship Id="rId2123" Type="http://schemas.openxmlformats.org/officeDocument/2006/relationships/hyperlink" Target="https://www.legislation.qld.gov.au/view/html/repealed/current/act-1990-110" TargetMode="External"/><Relationship Id="rId302" Type="http://schemas.openxmlformats.org/officeDocument/2006/relationships/hyperlink" Target="http://www8.austlii.edu.au/cgi-bin/viewdoc/au/legis/wa/consol_act/wcaima1981445/s178.html" TargetMode="External"/><Relationship Id="rId747" Type="http://schemas.openxmlformats.org/officeDocument/2006/relationships/hyperlink" Target="http://www.legislation.govt.nz/act/public/2001/0049/latest/DLM100918.html" TargetMode="External"/><Relationship Id="rId954" Type="http://schemas.openxmlformats.org/officeDocument/2006/relationships/hyperlink" Target="http://www.legislation.govt.nz/act/public/2001/0049/latest/DLM101498.html" TargetMode="External"/><Relationship Id="rId1377" Type="http://schemas.openxmlformats.org/officeDocument/2006/relationships/hyperlink" Target="http://www.austlii.edu.au/cgi-bin/viewdb/au/legis/cth/consol_act/sracca1988512/s45.html" TargetMode="External"/><Relationship Id="rId1584" Type="http://schemas.openxmlformats.org/officeDocument/2006/relationships/hyperlink" Target="http://www.austlii.edu.au/cgi-bin/viewdb/au/legis/nt/consol_act/rtwa207/s75a.html" TargetMode="External"/><Relationship Id="rId1791" Type="http://schemas.openxmlformats.org/officeDocument/2006/relationships/hyperlink" Target="http://www.austlii.edu.au/cgi-bin/viewdb/au/legis/vic/consol_act/wiraca2013484/s114.html" TargetMode="External"/><Relationship Id="rId1805" Type="http://schemas.openxmlformats.org/officeDocument/2006/relationships/hyperlink" Target="https://www.legislation.qld.gov.au/view/html/inforce/current/act-2003-027" TargetMode="External"/><Relationship Id="rId83" Type="http://schemas.openxmlformats.org/officeDocument/2006/relationships/hyperlink" Target="http://www.dva.gov.au/" TargetMode="External"/><Relationship Id="rId179" Type="http://schemas.openxmlformats.org/officeDocument/2006/relationships/hyperlink" Target="http://www8.austlii.edu.au/cgi-bin/viewdoc/au/legis/nsw/consol_act/wca1987255/s9a.html" TargetMode="External"/><Relationship Id="rId386" Type="http://schemas.openxmlformats.org/officeDocument/2006/relationships/hyperlink" Target="http://www8.austlii.edu.au/cgi-bin/viewdoc/au/legis/cth/consol_act/sraca1992381/s31.html" TargetMode="External"/><Relationship Id="rId593" Type="http://schemas.openxmlformats.org/officeDocument/2006/relationships/hyperlink" Target="http://www.thelaw.tas.gov.au/tocview/content.w3p;cond=;doc_id=4%2B%2B1988%2BGS4B%40EN%2B20151223090000;histon=;inforequest=;prompt=;rec=;term=" TargetMode="External"/><Relationship Id="rId607" Type="http://schemas.openxmlformats.org/officeDocument/2006/relationships/hyperlink" Target="http://www8.austlii.edu.au/cgi-bin/viewdoc/au/legis/vic/num_act/wiraca201367o2013530/sch1.html" TargetMode="External"/><Relationship Id="rId814" Type="http://schemas.openxmlformats.org/officeDocument/2006/relationships/hyperlink" Target="http://www8.austlii.edu.au/cgi-bin/viewdoc/au/legis/cth/consol_act/sraca1992381/s3.html" TargetMode="External"/><Relationship Id="rId1237" Type="http://schemas.openxmlformats.org/officeDocument/2006/relationships/hyperlink" Target="http://www.austlii.edu.au/cgi-bin/viewdoc/au/legis/cth/consol_act/mraca2004397/s74.html" TargetMode="External"/><Relationship Id="rId1444" Type="http://schemas.openxmlformats.org/officeDocument/2006/relationships/hyperlink" Target="http://www.austlii.edu.au/cgi-bin/viewdb/au/legis/cth/consol_act/sraca1988368/s50.html" TargetMode="External"/><Relationship Id="rId1651" Type="http://schemas.openxmlformats.org/officeDocument/2006/relationships/hyperlink" Target="http://www.thelaw.tas.gov.au/tocview/content.w3p;cond=;doc_id=4%2B%2B1988%2BGS142%40EN%2B20151224080000;histon=;inforequest=;prompt=;rec=;term=" TargetMode="External"/><Relationship Id="rId1889" Type="http://schemas.openxmlformats.org/officeDocument/2006/relationships/hyperlink" Target="http://www.austlii.edu.au/cgi-bin/viewdb/au/legis/nsw/consol_act/wimawca1998540/s43.html" TargetMode="External"/><Relationship Id="rId2067" Type="http://schemas.openxmlformats.org/officeDocument/2006/relationships/hyperlink" Target="http://www.austlii.edu.au/cgi-bin/viewdb/au/legis/vic/consol_act/wiraca2013484/s392.html" TargetMode="External"/><Relationship Id="rId246" Type="http://schemas.openxmlformats.org/officeDocument/2006/relationships/hyperlink" Target="http://www.comlaw.gov.au/Series/C2004A03668" TargetMode="External"/><Relationship Id="rId453" Type="http://schemas.openxmlformats.org/officeDocument/2006/relationships/hyperlink" Target="https://www.legislation.sa.gov.au/LZ/C/A/SOUTH%20AUSTRALIAN%20EMPLOYMENT%20TRIBUNAL%20ACT%202014/CURRENT/2014.17.UN.PDF" TargetMode="External"/><Relationship Id="rId660" Type="http://schemas.openxmlformats.org/officeDocument/2006/relationships/hyperlink" Target="http://www8.austlii.edu.au/cgi-bin/viewdoc/au/legis/nt/consol_act/rtwa207/s3.html" TargetMode="External"/><Relationship Id="rId898" Type="http://schemas.openxmlformats.org/officeDocument/2006/relationships/hyperlink" Target="http://www8.austlii.edu.au/cgi-bin/viewdoc/au/legis/vic/num_act/wiraca201367o2013530/s43.html" TargetMode="External"/><Relationship Id="rId1083" Type="http://schemas.openxmlformats.org/officeDocument/2006/relationships/hyperlink" Target="http://www8.austlii.edu.au/cgi-bin/viewdoc/au/legis/cth/consol_act/sracca1988512/s137.html" TargetMode="External"/><Relationship Id="rId1290" Type="http://schemas.openxmlformats.org/officeDocument/2006/relationships/hyperlink" Target="http://www8.austlii.edu.au/cgi-bin/viewdoc/au/legis/cth/consol_act/mraca2004397/s254.html" TargetMode="External"/><Relationship Id="rId1304" Type="http://schemas.openxmlformats.org/officeDocument/2006/relationships/hyperlink" Target="http://www.austlii.edu.au/cgi-bin/viewdb/au/legis/vic/consol_act/wiraca2013484/s234.html" TargetMode="External"/><Relationship Id="rId1511" Type="http://schemas.openxmlformats.org/officeDocument/2006/relationships/hyperlink" Target="http://www.austlii.edu.au/cgi-bin/viewdb/au/legis/vic/consol_act/wiraca2013484/s117.html" TargetMode="External"/><Relationship Id="rId1749" Type="http://schemas.openxmlformats.org/officeDocument/2006/relationships/hyperlink" Target="http://www.austlii.edu.au/cgi-bin/viewdb/au/legis/cth/consol_act/sracca1988512/s4.html" TargetMode="External"/><Relationship Id="rId1956" Type="http://schemas.openxmlformats.org/officeDocument/2006/relationships/hyperlink" Target="https://www.sira.nsw.gov.au/resources-library/workers-compensation-resources/publications/help-with-getting-people-back-to-work/nsw-supplement-to-the-guide-nationally-consistent-approval-framework-for-workplace-rehabilitation-providers" TargetMode="External"/><Relationship Id="rId2134" Type="http://schemas.openxmlformats.org/officeDocument/2006/relationships/hyperlink" Target="https://www.legislation.qld.gov.au/view/html/inforce/current/sl-2014-0189" TargetMode="External"/><Relationship Id="rId106" Type="http://schemas.openxmlformats.org/officeDocument/2006/relationships/hyperlink" Target="http://www8.austlii.edu.au/cgi-bin/viewdoc/au/legis/act/consol_act/wca1951255/s8.html" TargetMode="External"/><Relationship Id="rId313" Type="http://schemas.openxmlformats.org/officeDocument/2006/relationships/hyperlink" Target="http://www8.austlii.edu.au/cgi-bin/viewdoc/au/legis/cth/consol_act/sraca1992381/s63.html" TargetMode="External"/><Relationship Id="rId758" Type="http://schemas.openxmlformats.org/officeDocument/2006/relationships/hyperlink" Target="http://www8.austlii.edu.au/cgi-bin/viewdoc/au/legis/cth/consol_act/mraca2004397/s27.html" TargetMode="External"/><Relationship Id="rId965" Type="http://schemas.openxmlformats.org/officeDocument/2006/relationships/hyperlink" Target="http://www8.austlii.edu.au/cgi-bin/viewdoc/au/legis/wa/consol_act/wcaima1981445/s5.html" TargetMode="External"/><Relationship Id="rId1150" Type="http://schemas.openxmlformats.org/officeDocument/2006/relationships/hyperlink" Target="http://www.austlii.edu.au/au/legis/sa/consol_act/rtwa2014207/s33.html" TargetMode="External"/><Relationship Id="rId1388" Type="http://schemas.openxmlformats.org/officeDocument/2006/relationships/hyperlink" Target="http://www.austlii.edu.au/cgi-bin/viewdb/au/legis/nsw/consol_act/wca1987255/s44a.html" TargetMode="External"/><Relationship Id="rId1595" Type="http://schemas.openxmlformats.org/officeDocument/2006/relationships/hyperlink" Target="http://www.austlii.edu.au/cgi-bin/viewdb/au/legis/cth/consol_act/sraca1988368/s38.html" TargetMode="External"/><Relationship Id="rId1609" Type="http://schemas.openxmlformats.org/officeDocument/2006/relationships/hyperlink" Target="http://www.austlii.edu.au/cgi-bin/viewdb/au/legis/cth/consol_act/sraca1992381/s48.html" TargetMode="External"/><Relationship Id="rId1816" Type="http://schemas.openxmlformats.org/officeDocument/2006/relationships/hyperlink" Target="http://www.austlii.edu.au/au/legis/sa/consol_act/rtwa2014207/s48.html" TargetMode="External"/><Relationship Id="rId10" Type="http://schemas.openxmlformats.org/officeDocument/2006/relationships/hyperlink" Target="http://creativecommons.org/licenses/by/3.0/au/deed.enhttps://creativecommons.org/licenses/by/4.0/" TargetMode="External"/><Relationship Id="rId94" Type="http://schemas.openxmlformats.org/officeDocument/2006/relationships/hyperlink" Target="https://www.legislation.qld.gov.au/view/html/inforce/current/act-2003-027" TargetMode="External"/><Relationship Id="rId397" Type="http://schemas.openxmlformats.org/officeDocument/2006/relationships/hyperlink" Target="http://www8.austlii.edu.au/cgi-bin/viewdoc/au/legis/nt/consol_act/rtwa207/s85.html" TargetMode="External"/><Relationship Id="rId520" Type="http://schemas.openxmlformats.org/officeDocument/2006/relationships/hyperlink" Target="http://www.thelaw.tas.gov.au/tocview/content.w3p;cond=;doc_id=4%2B%2B1988%2BGS130%40EN%2B20151223090000;histon=;inforequest=;prompt=;rec=;term=" TargetMode="External"/><Relationship Id="rId618" Type="http://schemas.openxmlformats.org/officeDocument/2006/relationships/hyperlink" Target="http://www8.austlii.edu.au/cgi-bin/viewdoc/au/legis/vic/num_act/wiraca201367o2013530/sch1.html" TargetMode="External"/><Relationship Id="rId825" Type="http://schemas.openxmlformats.org/officeDocument/2006/relationships/hyperlink" Target="http://www8.austlii.edu.au/cgi-bin/viewdoc/au/legis/cth/consol_act/sracca1988512/s5b.html" TargetMode="External"/><Relationship Id="rId1248" Type="http://schemas.openxmlformats.org/officeDocument/2006/relationships/hyperlink" Target="http://www8.austlii.edu.au/cgi-bin/viewdoc/au/legis/nsw/consol_act/wca1987255/s26.html" TargetMode="External"/><Relationship Id="rId1455" Type="http://schemas.openxmlformats.org/officeDocument/2006/relationships/hyperlink" Target="http://www.austlii.edu.au/cgi-bin/viewdb/au/legis/cth/consol_act/mraca2004397/s397.html" TargetMode="External"/><Relationship Id="rId1662" Type="http://schemas.openxmlformats.org/officeDocument/2006/relationships/hyperlink" Target="http://www.austlii.edu.au/cgi-bin/viewdb/au/legis/cth/consol_act/sraca1988368/s41.html" TargetMode="External"/><Relationship Id="rId2078" Type="http://schemas.openxmlformats.org/officeDocument/2006/relationships/hyperlink" Target="https://www.legislation.tas.gov.au/view/html/inforce/current/act-1988-004" TargetMode="External"/><Relationship Id="rId2201" Type="http://schemas.openxmlformats.org/officeDocument/2006/relationships/hyperlink" Target="http://www.comlaw.gov.au/Series/C2004A04686" TargetMode="External"/><Relationship Id="rId257" Type="http://schemas.openxmlformats.org/officeDocument/2006/relationships/hyperlink" Target="http://www8.austlii.edu.au/cgi-bin/viewdoc/au/legis/nsw/consol_act/wca1987255/s38.html" TargetMode="External"/><Relationship Id="rId464" Type="http://schemas.openxmlformats.org/officeDocument/2006/relationships/hyperlink" Target="http://www8.austlii.edu.au/cgi-bin/viewdoc/au/legis/tas/consol_act/wraca1988400/s42n.html" TargetMode="External"/><Relationship Id="rId1010" Type="http://schemas.openxmlformats.org/officeDocument/2006/relationships/hyperlink" Target="https://www.legislation.qld.gov.au/view/html/inforce/current/act-2003-027" TargetMode="External"/><Relationship Id="rId1094" Type="http://schemas.openxmlformats.org/officeDocument/2006/relationships/hyperlink" Target="http://www8.austlii.edu.au/cgi-bin/viewdoc/au/legis/nsw/consol_act/wca1987255/s63.html" TargetMode="External"/><Relationship Id="rId1108" Type="http://schemas.openxmlformats.org/officeDocument/2006/relationships/hyperlink" Target="http://www8.austlii.edu.au/cgi-bin/viewdoc/au/legis/vic/num_act/wiraca201367o2013530/s224.html" TargetMode="External"/><Relationship Id="rId1315" Type="http://schemas.openxmlformats.org/officeDocument/2006/relationships/hyperlink" Target="http://www.austlii.edu.au/au/legis/sa/consol_act/rtwa2014207/s4.html" TargetMode="External"/><Relationship Id="rId1967" Type="http://schemas.openxmlformats.org/officeDocument/2006/relationships/hyperlink" Target="http://www.hwca.org.au/documents/Guide%20-%20Nationally%20Consistent%20Approval%20Framework%20for%20Workplace%20Rehabilitation%20Providers.pdf" TargetMode="External"/><Relationship Id="rId2145" Type="http://schemas.openxmlformats.org/officeDocument/2006/relationships/hyperlink" Target="https://legislation.nt.gov.au/LegislationPortal/Historical-Acts-and-Subordinate-Legislation" TargetMode="External"/><Relationship Id="rId117" Type="http://schemas.openxmlformats.org/officeDocument/2006/relationships/hyperlink" Target="https://www.rtwsa.com/insurance/insurance-with-us/premium-calculations/who-is-a-worker" TargetMode="External"/><Relationship Id="rId671" Type="http://schemas.openxmlformats.org/officeDocument/2006/relationships/hyperlink" Target="http://www8.austlii.edu.au/cgi-bin/viewdoc/au/legis/act/consol_act/wca1951255/s16a.html" TargetMode="External"/><Relationship Id="rId769" Type="http://schemas.openxmlformats.org/officeDocument/2006/relationships/hyperlink" Target="http://www8.austlii.edu.au/cgi-bin/viewdoc/au/legis/cth/consol_act/mraca2004397/s27.html" TargetMode="External"/><Relationship Id="rId976" Type="http://schemas.openxmlformats.org/officeDocument/2006/relationships/hyperlink" Target="http://www8.austlii.edu.au/cgi-bin/viewdoc/au/legis/cth/consol_act/sraca1992381/s3.html" TargetMode="External"/><Relationship Id="rId1399" Type="http://schemas.openxmlformats.org/officeDocument/2006/relationships/hyperlink" Target="https://www.legislation.qld.gov.au/view/html/inforce/current/act-2003-027" TargetMode="External"/><Relationship Id="rId324" Type="http://schemas.openxmlformats.org/officeDocument/2006/relationships/hyperlink" Target="http://www.thelaw.tas.gov.au/tocview/content.w3p;cond=;doc_id=4%2B%2B1988%2BGS35%40EN%2B20151223090000;histon=;inforequest=;prompt=;rec=;term=" TargetMode="External"/><Relationship Id="rId531" Type="http://schemas.openxmlformats.org/officeDocument/2006/relationships/hyperlink" Target="http://www8.austlii.edu.au/cgi-bin/viewdb/au/legis/cth/consol_act/sraca1992381/" TargetMode="External"/><Relationship Id="rId629" Type="http://schemas.openxmlformats.org/officeDocument/2006/relationships/hyperlink" Target="http://www8.austlii.edu.au/cgi-bin/viewdoc/au/legis/wa/consol_act/wcaima1981445/s9.html" TargetMode="External"/><Relationship Id="rId1161" Type="http://schemas.openxmlformats.org/officeDocument/2006/relationships/hyperlink" Target="http://www.thelaw.tas.gov.au/tocview/content.w3p;cond=;doc_id=4%2B%2B1988%2BGS75%40EN%2B20151224080000;histon=;inforequest=;prompt=;rec=;term=" TargetMode="External"/><Relationship Id="rId1259" Type="http://schemas.openxmlformats.org/officeDocument/2006/relationships/hyperlink" Target="https://www.legislation.qld.gov.au/view/html/inforce/current/act-2003-027" TargetMode="External"/><Relationship Id="rId1466" Type="http://schemas.openxmlformats.org/officeDocument/2006/relationships/hyperlink" Target="http://www.austlii.edu.au/cgi-bin/viewdb/au/legis/cth/consol_act/sracca1988512/s23.html" TargetMode="External"/><Relationship Id="rId2005" Type="http://schemas.openxmlformats.org/officeDocument/2006/relationships/hyperlink" Target="http://www.austlii.edu.au/cgi-bin/viewdb/au/legis/tas/consol_act/wraca1988400/s105.html" TargetMode="External"/><Relationship Id="rId2212" Type="http://schemas.openxmlformats.org/officeDocument/2006/relationships/hyperlink" Target="http://classic.austlii.edu.au/au/legis/nsw/consol_reg/wcr2016346/sch1.html" TargetMode="External"/><Relationship Id="rId836" Type="http://schemas.openxmlformats.org/officeDocument/2006/relationships/hyperlink" Target="http://www.workcover.wa.gov.au/content/uploads/2014/09/December-2017-WA-Guidelines-web-New-dual-logo.pdf" TargetMode="External"/><Relationship Id="rId1021" Type="http://schemas.openxmlformats.org/officeDocument/2006/relationships/hyperlink" Target="http://www8.austlii.edu.au/cgi-bin/viewdoc/au/legis/sa/consol_act/rtwa2014207/s41.html" TargetMode="External"/><Relationship Id="rId1119" Type="http://schemas.openxmlformats.org/officeDocument/2006/relationships/hyperlink" Target="https://www.legislation.qld.gov.au/view/html/inforce/current/act-2003-027" TargetMode="External"/><Relationship Id="rId1673" Type="http://schemas.openxmlformats.org/officeDocument/2006/relationships/hyperlink" Target="https://www.worksafe.vic.gov.au/documents/search?queries_title_query=return+to+work+compliance+code+1+providing+employment+planning+and+consultation+about+return+to+work" TargetMode="External"/><Relationship Id="rId1880" Type="http://schemas.openxmlformats.org/officeDocument/2006/relationships/hyperlink" Target="https://www.worksafe.qld.gov.au/rehab-and-claims/stay-at-work-return-to-work/how-to-return-to-work/host-placement" TargetMode="External"/><Relationship Id="rId1978" Type="http://schemas.openxmlformats.org/officeDocument/2006/relationships/hyperlink" Target="http://www.austlii.edu.au/cgi-bin/viewdb/au/legis/vic/consol_act/wiraca2013484/s103.html" TargetMode="External"/><Relationship Id="rId903" Type="http://schemas.openxmlformats.org/officeDocument/2006/relationships/hyperlink" Target="http://www8.austlii.edu.au/cgi-bin/viewdoc/au/legis/vic/num_act/wiraca201367o2013530/s41.html" TargetMode="External"/><Relationship Id="rId1326" Type="http://schemas.openxmlformats.org/officeDocument/2006/relationships/hyperlink" Target="http://www.austlii.edu.au/cgi-bin/viewdb/au/legis/cth/consol_act/sraca1988368/s17.html" TargetMode="External"/><Relationship Id="rId1533" Type="http://schemas.openxmlformats.org/officeDocument/2006/relationships/hyperlink" Target="https://www.worksafe.vic.gov.au/resources/steps-resolving-return-work-issues" TargetMode="External"/><Relationship Id="rId1740" Type="http://schemas.openxmlformats.org/officeDocument/2006/relationships/hyperlink" Target="http://www.austlii.edu.au/cgi-bin/viewdb/au/legis/act/consol_act/wca1951255/s106.html" TargetMode="External"/><Relationship Id="rId32" Type="http://schemas.openxmlformats.org/officeDocument/2006/relationships/hyperlink" Target="mailto:mark.cocker@justice.tas.gov.au" TargetMode="External"/><Relationship Id="rId1600" Type="http://schemas.openxmlformats.org/officeDocument/2006/relationships/hyperlink" Target="http://www.comcare.gov.au/Forms_and_Publications/publications/services/injury_management/injury_management/early_interv_to_supp_psych_health_wellbeing" TargetMode="External"/><Relationship Id="rId1838" Type="http://schemas.openxmlformats.org/officeDocument/2006/relationships/hyperlink" Target="http://www.austlii.edu.au/cgi-bin/viewdb/au/legis/act/consol_act/wca1951255/s113.html" TargetMode="External"/><Relationship Id="rId181"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1905" Type="http://schemas.openxmlformats.org/officeDocument/2006/relationships/hyperlink" Target="http://www.austlii.edu.au/cgi-bin/viewdb/au/legis/act/consol_act/wca1951255/s108.html" TargetMode="External"/><Relationship Id="rId279" Type="http://schemas.openxmlformats.org/officeDocument/2006/relationships/hyperlink" Target="http://www8.austlii.edu.au/cgi-bin/viewdoc/au/legis/wa/consol_act/wcaima1981445/s178.html" TargetMode="External"/><Relationship Id="rId486" Type="http://schemas.openxmlformats.org/officeDocument/2006/relationships/hyperlink" Target="https://www.worksafe.vic.gov.au/resources/your-workcover-insurance-guide-employers" TargetMode="External"/><Relationship Id="rId693" Type="http://schemas.openxmlformats.org/officeDocument/2006/relationships/hyperlink" Target="http://www8.austlii.edu.au/cgi-bin/viewdoc/au/legis/act/consol_act/wca1951255/s17a.html" TargetMode="External"/><Relationship Id="rId2167" Type="http://schemas.openxmlformats.org/officeDocument/2006/relationships/hyperlink" Target="http://legislation.knowledge-basket.co.nz/gpacts/maps/acts_a.html" TargetMode="External"/><Relationship Id="rId139" Type="http://schemas.openxmlformats.org/officeDocument/2006/relationships/hyperlink" Target="https://www.legislation.qld.gov.au/view/html/inforce/current/act-2003-027" TargetMode="External"/><Relationship Id="rId346" Type="http://schemas.openxmlformats.org/officeDocument/2006/relationships/hyperlink" Target="http://www8.austlii.edu.au/cgi-bin/viewdoc/au/legis/wa/consol_act/wcaima1981445/s57c.html" TargetMode="External"/><Relationship Id="rId553" Type="http://schemas.openxmlformats.org/officeDocument/2006/relationships/hyperlink" Target="http://www8.austlii.edu.au/cgi-bin/viewdoc/au/legis/nt/consol_act/rtwa207/s130.html" TargetMode="External"/><Relationship Id="rId760" Type="http://schemas.openxmlformats.org/officeDocument/2006/relationships/hyperlink" Target="http://www.legislation.govt.nz/act/public/2001/0049/latest/DLM100918.html" TargetMode="External"/><Relationship Id="rId998" Type="http://schemas.openxmlformats.org/officeDocument/2006/relationships/hyperlink" Target="http://www8.austlii.edu.au/cgi-bin/viewdoc/au/legis/vic/num_act/wiraca201367o2013530/s153.html" TargetMode="External"/><Relationship Id="rId1183" Type="http://schemas.openxmlformats.org/officeDocument/2006/relationships/hyperlink" Target="http://www8.austlii.edu.au/cgi-bin/viewdoc/au/legis/cth/consol_act/sraca1992381/s43.html" TargetMode="External"/><Relationship Id="rId1390" Type="http://schemas.openxmlformats.org/officeDocument/2006/relationships/hyperlink" Target="http://www.austlii.edu.au/cgi-bin/viewdb/au/legis/nsw/consol_act/wca1987255/s53.html" TargetMode="External"/><Relationship Id="rId2027" Type="http://schemas.openxmlformats.org/officeDocument/2006/relationships/hyperlink" Target="https://www.legislation.qld.gov.au/view/html/inforce/current/act-2003-027" TargetMode="External"/><Relationship Id="rId2234" Type="http://schemas.openxmlformats.org/officeDocument/2006/relationships/hyperlink" Target="http://www.austlii.edu.au/cgi-bin/viewdb/au/legis/vic/consol_act/wiraca2013484/s51.html" TargetMode="External"/><Relationship Id="rId206" Type="http://schemas.openxmlformats.org/officeDocument/2006/relationships/hyperlink" Target="http://www.legislation.act.gov.au/a/1951-2/current/pdf/1951-2.pdf" TargetMode="External"/><Relationship Id="rId413" Type="http://schemas.openxmlformats.org/officeDocument/2006/relationships/hyperlink" Target="http://www8.austlii.edu.au/cgi-bin/viewdoc/au/legis/vic/num_act/wiraca201367o2013530/s75.html" TargetMode="External"/><Relationship Id="rId858" Type="http://schemas.openxmlformats.org/officeDocument/2006/relationships/hyperlink" Target="http://www8.austlii.edu.au/cgi-bin/viewdoc/au/legis/vic/num_act/wiraca201367o2013530/s64.html" TargetMode="External"/><Relationship Id="rId1043" Type="http://schemas.openxmlformats.org/officeDocument/2006/relationships/hyperlink" Target="http://www8.austlii.edu.au/cgi-bin/viewdoc/au/legis/act/consol_act/wca1951255/s42.html" TargetMode="External"/><Relationship Id="rId1488" Type="http://schemas.openxmlformats.org/officeDocument/2006/relationships/hyperlink" Target="http://www.sira.nsw.gov.au/resources-library/workers-compensation-resources/publications/help-with-getting-people-back-to-work/guidelines-for-workplace-return-to-work-programs-may-2017" TargetMode="External"/><Relationship Id="rId1695" Type="http://schemas.openxmlformats.org/officeDocument/2006/relationships/hyperlink" Target="http://www.austlii.edu.au/cgi-bin/viewdb/au/legis/act/consol_act/wca1951255/s97.html" TargetMode="External"/><Relationship Id="rId620" Type="http://schemas.openxmlformats.org/officeDocument/2006/relationships/hyperlink" Target="https://www.legislation.qld.gov.au/view/html/inforce/current/act-2003-027" TargetMode="External"/><Relationship Id="rId718" Type="http://schemas.openxmlformats.org/officeDocument/2006/relationships/hyperlink" Target="http://www8.austlii.edu.au/cgi-bin/viewdoc/au/legis/vic/num_act/wiraca201367o2013530/s62.html" TargetMode="External"/><Relationship Id="rId925" Type="http://schemas.openxmlformats.org/officeDocument/2006/relationships/hyperlink" Target="http://www8.austlii.edu.au/cgi-bin/viewdoc/au/legis/cth/consol_act/sraca1988368/s14.html" TargetMode="External"/><Relationship Id="rId1250" Type="http://schemas.openxmlformats.org/officeDocument/2006/relationships/hyperlink" Target="http://www8.austlii.edu.au/cgi-bin/viewdoc/au/legis/vic/num_act/wiraca201367o2013530/s236.html" TargetMode="External"/><Relationship Id="rId1348" Type="http://schemas.openxmlformats.org/officeDocument/2006/relationships/hyperlink" Target="http://www.austlii.edu.au/cgi-bin/viewdb/au/legis/nsw/consol_act/wca1987255/s151ad.html" TargetMode="External"/><Relationship Id="rId1555" Type="http://schemas.openxmlformats.org/officeDocument/2006/relationships/hyperlink" Target="http://www.workcover.wa.gov.au/workers/returning-to-work/" TargetMode="External"/><Relationship Id="rId1762" Type="http://schemas.openxmlformats.org/officeDocument/2006/relationships/hyperlink" Target="http://www.austlii.edu.au/cgi-bin/viewdb/au/legis/vic/consol_act/wiraca2013484/s106.html" TargetMode="External"/><Relationship Id="rId1110" Type="http://schemas.openxmlformats.org/officeDocument/2006/relationships/hyperlink" Target="https://www.legislation.qld.gov.au/view/html/inforce/current/act-2003-027" TargetMode="External"/><Relationship Id="rId1208" Type="http://schemas.openxmlformats.org/officeDocument/2006/relationships/hyperlink" Target="http://www8.austlii.edu.au/cgi-bin/viewdoc/au/legis/nsw/consol_act/wca1987255/s66.html" TargetMode="External"/><Relationship Id="rId1415" Type="http://schemas.openxmlformats.org/officeDocument/2006/relationships/hyperlink" Target="http://www.austlii.edu.au/cgi-bin/viewdb/au/legis/sa/consol_act/rtwa2014207/s48.html" TargetMode="External"/><Relationship Id="rId54" Type="http://schemas.openxmlformats.org/officeDocument/2006/relationships/hyperlink" Target="http://wiro.nsw.gov.au/" TargetMode="External"/><Relationship Id="rId1622" Type="http://schemas.openxmlformats.org/officeDocument/2006/relationships/hyperlink" Target="http://www.austlii.edu.au/cgi-bin/viewdb/au/legis/nsw/consol_act/wimawca1998540/s52.html" TargetMode="External"/><Relationship Id="rId1927" Type="http://schemas.openxmlformats.org/officeDocument/2006/relationships/hyperlink" Target="http://www.austlii.edu.au/au/legis/sa/consol_reg/rtwr2015316/s18.html" TargetMode="External"/><Relationship Id="rId2091" Type="http://schemas.openxmlformats.org/officeDocument/2006/relationships/hyperlink" Target="https://www.workcover.wa.gov.au/service-providers/self-insurers/" TargetMode="External"/><Relationship Id="rId2189" Type="http://schemas.openxmlformats.org/officeDocument/2006/relationships/hyperlink" Target="https://www.workcover.wa.gov.au/resources/rates-fees-payments/" TargetMode="External"/><Relationship Id="rId270" Type="http://schemas.openxmlformats.org/officeDocument/2006/relationships/hyperlink" Target="http://www8.austlii.edu.au/cgi-bin/viewdoc/au/legis/tas/consol_act/wraca1988400/s70.html" TargetMode="External"/><Relationship Id="rId130" Type="http://schemas.openxmlformats.org/officeDocument/2006/relationships/hyperlink" Target="http://www8.austlii.edu.au/cgi-bin/viewdoc/au/legis/nsw/consol_act/wca1987255/s10.html" TargetMode="External"/><Relationship Id="rId368" Type="http://schemas.openxmlformats.org/officeDocument/2006/relationships/hyperlink" Target="http://www8.austlii.edu.au/cgi-bin/viewdoc/au/legis/act/consol_act/wca1951255/s128.html" TargetMode="External"/><Relationship Id="rId575" Type="http://schemas.openxmlformats.org/officeDocument/2006/relationships/hyperlink" Target="http://www8.austlii.edu.au/cgi-bin/viewdoc/au/legis/act/consol_act/wca1951255/s8.html" TargetMode="External"/><Relationship Id="rId782" Type="http://schemas.openxmlformats.org/officeDocument/2006/relationships/hyperlink" Target="http://www8.austlii.edu.au/cgi-bin/viewdoc/au/legis/nsw/consol_act/wimawca1998540/s4.html" TargetMode="External"/><Relationship Id="rId2049" Type="http://schemas.openxmlformats.org/officeDocument/2006/relationships/hyperlink" Target="http://www.workcover.tas.gov.au/insurance/self_insurers/guidelines_for_self_insurers/conducting_the_annual_self-assessment_of_your_whs_management_system" TargetMode="External"/><Relationship Id="rId228" Type="http://schemas.openxmlformats.org/officeDocument/2006/relationships/hyperlink" Target="http://www8.austlii.edu.au/cgi-bin/viewdoc/au/legis/cth/consol_act/mraca2004397/s30.html" TargetMode="External"/><Relationship Id="rId435" Type="http://schemas.openxmlformats.org/officeDocument/2006/relationships/hyperlink" Target="https://www.legislation.qld.gov.au/view/html/inforce/current/act-2003-027" TargetMode="External"/><Relationship Id="rId642" Type="http://schemas.openxmlformats.org/officeDocument/2006/relationships/hyperlink" Target="http://www.thelaw.tas.gov.au/tocview/content.w3p;cond=;doc_id=4%2B%2B1988%2BGS6A%40EN%2B20151223090000;histon=;inforequest=;prompt=;rec=;term=" TargetMode="External"/><Relationship Id="rId1065" Type="http://schemas.openxmlformats.org/officeDocument/2006/relationships/hyperlink" Target="http://www8.austlii.edu.au/cgi-bin/viewdoc/au/legis/cth/consol_act/sraca1992381/s31.html" TargetMode="External"/><Relationship Id="rId1272" Type="http://schemas.openxmlformats.org/officeDocument/2006/relationships/hyperlink" Target="http://www.thelaw.tas.gov.au/tocview/content.w3p;cond=;doc_id=%2B69%2B2011%2BGS21%40EN%2B20151224100000;histon=;inforequest=;prompt=;rec=;term=" TargetMode="External"/><Relationship Id="rId2116" Type="http://schemas.openxmlformats.org/officeDocument/2006/relationships/hyperlink" Target="http://www.austlii.edu.au/cgi-bin/viewdb/au/legis/wa/consol_act/wcaima1981445/s160.html" TargetMode="External"/><Relationship Id="rId502" Type="http://schemas.openxmlformats.org/officeDocument/2006/relationships/hyperlink" Target="http://www.legislation.govt.nz/act/public/2001/0049/latest/DLM101449.html" TargetMode="External"/><Relationship Id="rId947" Type="http://schemas.openxmlformats.org/officeDocument/2006/relationships/hyperlink" Target="http://www8.austlii.edu.au/cgi-bin/viewdoc/au/legis/cth/consol_act/sracca1988512/s14.html" TargetMode="External"/><Relationship Id="rId1132" Type="http://schemas.openxmlformats.org/officeDocument/2006/relationships/hyperlink" Target="https://www.legislation.qld.gov.au/view/html/inforce/current/act-2003-027" TargetMode="External"/><Relationship Id="rId1577" Type="http://schemas.openxmlformats.org/officeDocument/2006/relationships/hyperlink" Target="http://www.workcover.tas.gov.au/__data/assets/pdf_file/0011/164855/GB256_Role_of_Rehab_provider.pdf" TargetMode="External"/><Relationship Id="rId1784" Type="http://schemas.openxmlformats.org/officeDocument/2006/relationships/hyperlink" Target="http://www.austlii.edu.au/cgi-bin/viewdb/au/legis/nsw/consol_act/wimawca1998540/s47.html" TargetMode="External"/><Relationship Id="rId1991" Type="http://schemas.openxmlformats.org/officeDocument/2006/relationships/hyperlink" Target="http://www.austlii.edu.au/cgi-bin/viewdb/au/legis/vic/consol_act/wiraca2013484/s379.html" TargetMode="External"/><Relationship Id="rId76" Type="http://schemas.openxmlformats.org/officeDocument/2006/relationships/hyperlink" Target="http://www.worksafe.nt.gov.au/home.aspx" TargetMode="External"/><Relationship Id="rId807" Type="http://schemas.openxmlformats.org/officeDocument/2006/relationships/hyperlink" Target="http://www8.austlii.edu.au/cgi-bin/viewdoc/au/legis/act/consol_act/wca1951255/s31.html" TargetMode="External"/><Relationship Id="rId1437" Type="http://schemas.openxmlformats.org/officeDocument/2006/relationships/hyperlink" Target="http://www.austlii.edu.au/cgi-bin/viewdb/au/legis/act/consol_act/wca1951255/s83.html" TargetMode="External"/><Relationship Id="rId1644" Type="http://schemas.openxmlformats.org/officeDocument/2006/relationships/hyperlink" Target="http://www5.austlii.edu.au/au/legis/sa/consol_reg/rtwr2015316/s18.html" TargetMode="External"/><Relationship Id="rId1851" Type="http://schemas.openxmlformats.org/officeDocument/2006/relationships/hyperlink" Target="http://www.austlii.edu.au/cgi-bin/viewdb/au/legis/cth/consol_act/sraca1988368/s36.html" TargetMode="External"/><Relationship Id="rId1504" Type="http://schemas.openxmlformats.org/officeDocument/2006/relationships/hyperlink" Target="http://www.austlii.edu.au/cgi-bin/viewdb/au/legis/vic/consol_act/wiraca2013484/s110.html" TargetMode="External"/><Relationship Id="rId1711" Type="http://schemas.openxmlformats.org/officeDocument/2006/relationships/hyperlink" Target="http://www.dva.gov.au/health-and-wellbeing/rehabilitation" TargetMode="External"/><Relationship Id="rId1949" Type="http://schemas.openxmlformats.org/officeDocument/2006/relationships/hyperlink" Target="http://www.thelaw.tas.gov.au/tocview/content.w3p;cond=;doc_id=4%2B%2B1988%2BGS77A%40EN%2B20151224140000;histon=;inforequest=;prompt=;rec=;term=" TargetMode="External"/><Relationship Id="rId292" Type="http://schemas.openxmlformats.org/officeDocument/2006/relationships/hyperlink" Target="http://www8.austlii.edu.au/cgi-bin/viewdoc/au/legis/cth/consol_act/sraca1992381/s62.html" TargetMode="External"/><Relationship Id="rId1809" Type="http://schemas.openxmlformats.org/officeDocument/2006/relationships/hyperlink" Target="http://www.workcover.wa.gov.au/workers/returning-to-work/" TargetMode="External"/><Relationship Id="rId597" Type="http://schemas.openxmlformats.org/officeDocument/2006/relationships/hyperlink" Target="http://www.thelaw.tas.gov.au/tocview/content.w3p;cond=;doc_id=4%2B%2B1988%2BGS4DC%40EN%2B20151223090000;histon=;inforequest=;prompt=;rec=;term=" TargetMode="External"/><Relationship Id="rId2180" Type="http://schemas.openxmlformats.org/officeDocument/2006/relationships/hyperlink" Target="http://www.austlii.edu.au/cgi-bin/viewdb/au/legis/sa/consol_act/rtwa2014207/sch9.html" TargetMode="External"/><Relationship Id="rId152" Type="http://schemas.openxmlformats.org/officeDocument/2006/relationships/hyperlink" Target="http://www8.austlii.edu.au/cgi-bin/viewdoc/au/legis/nt/consol_act/rtwa207/s4.html" TargetMode="External"/><Relationship Id="rId457" Type="http://schemas.openxmlformats.org/officeDocument/2006/relationships/hyperlink" Target="https://www.legislation.sa.gov.au/LZ/C/A/SOUTH%20AUSTRALIAN%20EMPLOYMENT%20TRIBUNAL%20ACT%202014/CURRENT/2014.17.UN.PDF" TargetMode="External"/><Relationship Id="rId1087" Type="http://schemas.openxmlformats.org/officeDocument/2006/relationships/hyperlink" Target="http://www.legislation.govt.nz/act/public/2001/0049/latest/DLM104840.html" TargetMode="External"/><Relationship Id="rId1294" Type="http://schemas.openxmlformats.org/officeDocument/2006/relationships/hyperlink" Target="http://www8.austlii.edu.au/cgi-bin/viewdoc/au/legis/cth/consol_act/mraca2004397/s302.html" TargetMode="External"/><Relationship Id="rId2040" Type="http://schemas.openxmlformats.org/officeDocument/2006/relationships/hyperlink" Target="https://www.legislation.qld.gov.au/view/html/inforce/current/act-2003-027" TargetMode="External"/><Relationship Id="rId2138" Type="http://schemas.openxmlformats.org/officeDocument/2006/relationships/hyperlink" Target="https://www.legislation.wa.gov.au/legislation/statutes.nsf/law_a915_currencies.html" TargetMode="External"/><Relationship Id="rId664" Type="http://schemas.openxmlformats.org/officeDocument/2006/relationships/hyperlink" Target="http://www8.austlii.edu.au/cgi-bin/viewdoc/au/legis/nt/consol_reg/rtwr316/s3a.html" TargetMode="External"/><Relationship Id="rId871" Type="http://schemas.openxmlformats.org/officeDocument/2006/relationships/hyperlink" Target="http://www8.austlii.edu.au/cgi-bin/viewdoc/au/legis/cth/consol_act/sraca1988368/s28.html" TargetMode="External"/><Relationship Id="rId969" Type="http://schemas.openxmlformats.org/officeDocument/2006/relationships/hyperlink" Target="http://www8.austlii.edu.au/cgi-bin/viewdoc/au/legis/nt/consol_act/rtwa207/s3a.html" TargetMode="External"/><Relationship Id="rId1599" Type="http://schemas.openxmlformats.org/officeDocument/2006/relationships/hyperlink" Target="http://www.austlii.edu.au/cgi-bin/viewdb/au/legis/cth/consol_act/sraca1988368/s41a.html" TargetMode="External"/><Relationship Id="rId317" Type="http://schemas.openxmlformats.org/officeDocument/2006/relationships/hyperlink" Target="http://www8.austlii.edu.au/cgi-bin/viewdoc/au/legis/nsw/consol_act/wimawca1998540/s44.html" TargetMode="External"/><Relationship Id="rId524" Type="http://schemas.openxmlformats.org/officeDocument/2006/relationships/hyperlink" Target="http://www8.austlii.edu.au/cgi-bin/viewdoc/au/legis/nt/consol_act/rtwa207/s85.html" TargetMode="External"/><Relationship Id="rId731" Type="http://schemas.openxmlformats.org/officeDocument/2006/relationships/hyperlink" Target="http://www8.austlii.edu.au/cgi-bin/viewdoc/au/legis/cth/consol_act/sracca1988512/s24.html" TargetMode="External"/><Relationship Id="rId1154" Type="http://schemas.openxmlformats.org/officeDocument/2006/relationships/hyperlink" Target="http://www.thelaw.tas.gov.au/tocview/content.w3p;cond=;doc_id=4%2B%2B1988%2BGS75%40EN%2B20151224080000;histon=;inforequest=;prompt=;rec=;term=" TargetMode="External"/><Relationship Id="rId1361" Type="http://schemas.openxmlformats.org/officeDocument/2006/relationships/hyperlink" Target="http://www.thelaw.tas.gov.au/tocview/content.w3p;cond=;doc_id=4%2B%2B1988%2BHPX%40EN%2B20151224080000;histon=;inforequest=;prompt=;rec=267;term=" TargetMode="External"/><Relationship Id="rId1459" Type="http://schemas.openxmlformats.org/officeDocument/2006/relationships/hyperlink" Target="http://www.austlii.edu.au/cgi-bin/viewdb/au/legis/cth/consol_act/sracca1988512/s37.html" TargetMode="External"/><Relationship Id="rId2205" Type="http://schemas.openxmlformats.org/officeDocument/2006/relationships/hyperlink" Target="http://classic.austlii.edu.au/au/legis/nsw/consol_reg/wcr2016346/sch1.html" TargetMode="External"/><Relationship Id="rId98" Type="http://schemas.openxmlformats.org/officeDocument/2006/relationships/hyperlink" Target="http://www.austlii.edu.au/au/legis/sa/consol_act/rtwa2014207/s4.html" TargetMode="External"/><Relationship Id="rId829" Type="http://schemas.openxmlformats.org/officeDocument/2006/relationships/hyperlink" Target="http://www8.austlii.edu.au/cgi-bin/viewdoc/au/legis/vic/num_act/wiraca201367o2013530/s54.html" TargetMode="External"/><Relationship Id="rId1014" Type="http://schemas.openxmlformats.org/officeDocument/2006/relationships/hyperlink" Target="http://www8.austlii.edu.au/cgi-bin/viewdoc/au/legis/wa/consol_act/wcaima1981445/sch1.html" TargetMode="External"/><Relationship Id="rId1221" Type="http://schemas.openxmlformats.org/officeDocument/2006/relationships/hyperlink" Target="http://www8.austlii.edu.au/cgi-bin/viewdoc/au/legis/qld/consol_act/wcara2003400/s76.html" TargetMode="External"/><Relationship Id="rId1666" Type="http://schemas.openxmlformats.org/officeDocument/2006/relationships/hyperlink" Target="http://www.sira.nsw.gov.au/consultations/review-of-the-guidelines-for-workplace-return-to-work-programs" TargetMode="External"/><Relationship Id="rId1873" Type="http://schemas.openxmlformats.org/officeDocument/2006/relationships/hyperlink" Target="http://www.sira.nsw.gov.au/workers-compensation/help-with-getting-back-to-work/jobcover-placement-program" TargetMode="External"/><Relationship Id="rId1319" Type="http://schemas.openxmlformats.org/officeDocument/2006/relationships/hyperlink" Target="http://www.thelaw.tas.gov.au/tocview/content.w3p;cond=;doc_id=4%2B%2B1988%2BGS65%40EN%2B20151224080000;histon=;inforequest=;prompt=;rec=;term=" TargetMode="External"/><Relationship Id="rId1526" Type="http://schemas.openxmlformats.org/officeDocument/2006/relationships/hyperlink" Target="http://www.austlii.edu.au/cgi-bin/viewdb/au/legis/vic/consol_act/wiraca2013484/s224.html" TargetMode="External"/><Relationship Id="rId1733" Type="http://schemas.openxmlformats.org/officeDocument/2006/relationships/hyperlink" Target="http://www.thelaw.tas.gov.au/tocview/content.w3p;cond=;doc_id=4%2B%2B1988%2BGS143M%40EN%2B20151224140000;histon=;inforequest=;prompt=;rec=;term=" TargetMode="External"/><Relationship Id="rId1940" Type="http://schemas.openxmlformats.org/officeDocument/2006/relationships/hyperlink" Target="http://www.comcare.gov.au/recovery/rehabilitation/capability_products" TargetMode="External"/><Relationship Id="rId25" Type="http://schemas.openxmlformats.org/officeDocument/2006/relationships/hyperlink" Target="http://www.worksafe.vic.gov.au/" TargetMode="External"/><Relationship Id="rId1800" Type="http://schemas.openxmlformats.org/officeDocument/2006/relationships/hyperlink" Target="https://www.legislation.qld.gov.au/view/html/inforce/current/act-2003-027" TargetMode="External"/><Relationship Id="rId174" Type="http://schemas.openxmlformats.org/officeDocument/2006/relationships/hyperlink" Target="http://www.legislation.govt.nz/act/public/2001/0049/latest/DLM100918.html" TargetMode="External"/><Relationship Id="rId381" Type="http://schemas.openxmlformats.org/officeDocument/2006/relationships/hyperlink" Target="https://www.legislation.sa.gov.au/LZ/C/A/RETURN%20TO%20WORK%20ACT%202014/CURRENT/2014.16.UN.PDF" TargetMode="External"/><Relationship Id="rId2062" Type="http://schemas.openxmlformats.org/officeDocument/2006/relationships/hyperlink" Target="http://www.workcover.tas.gov.au/insurance/self_insurers/guidelines_for_self_insurers/securing_an_excess_of_loss_policy" TargetMode="External"/><Relationship Id="rId241" Type="http://schemas.openxmlformats.org/officeDocument/2006/relationships/hyperlink" Target="http://www8.austlii.edu.au/cgi-bin/viewdoc/au/legis/nt/consol_act/rtwa207/s65.html" TargetMode="External"/><Relationship Id="rId479" Type="http://schemas.openxmlformats.org/officeDocument/2006/relationships/hyperlink" Target="http://www.austlii.edu.au/cgi-bin/viewdb/au/legis/cth/consol_act/sraca1992381/s78.html" TargetMode="External"/><Relationship Id="rId686" Type="http://schemas.openxmlformats.org/officeDocument/2006/relationships/hyperlink" Target="http://www8.austlii.edu.au/cgi-bin/viewdoc/au/legis/nsw/consol_act/wimawca1998540/sch1.html" TargetMode="External"/><Relationship Id="rId893" Type="http://schemas.openxmlformats.org/officeDocument/2006/relationships/hyperlink" Target="http://www8.austlii.edu.au/cgi-bin/viewdoc/au/legis/nsw/consol_act/wca1987255/s9b.html" TargetMode="External"/><Relationship Id="rId339" Type="http://schemas.openxmlformats.org/officeDocument/2006/relationships/hyperlink" Target="http://www8.austlii.edu.au/cgi-bin/viewdoc/au/legis/act/consol_act/wca1951255/s126.html" TargetMode="External"/><Relationship Id="rId546" Type="http://schemas.openxmlformats.org/officeDocument/2006/relationships/hyperlink" Target="http://www8.austlii.edu.au/cgi-bin/viewdoc/au/legis/cth/consol_act/sraca1992381/s137.html" TargetMode="External"/><Relationship Id="rId753" Type="http://schemas.openxmlformats.org/officeDocument/2006/relationships/hyperlink" Target="http://www8.austlii.edu.au/cgi-bin/viewdoc/au/legis/tas/consol_act/wraca1988400/s25.html" TargetMode="External"/><Relationship Id="rId1176" Type="http://schemas.openxmlformats.org/officeDocument/2006/relationships/hyperlink" Target="http://www8.austlii.edu.au/cgi-bin/viewdoc/au/legis/cth/consol_act/sraca1988368/s29.html" TargetMode="External"/><Relationship Id="rId1383" Type="http://schemas.openxmlformats.org/officeDocument/2006/relationships/hyperlink" Target="http://www.austlii.edu.au/cgi-bin/viewdb/au/legis/nsw/consol_act/wimawca1998540/s270.html" TargetMode="External"/><Relationship Id="rId2227" Type="http://schemas.openxmlformats.org/officeDocument/2006/relationships/hyperlink" Target="http://classic.austlii.edu.au/au/legis/nsw/consol_reg/wcr2016346/sch1.html" TargetMode="External"/><Relationship Id="rId101" Type="http://schemas.openxmlformats.org/officeDocument/2006/relationships/hyperlink" Target="http://www8.austlii.edu.au/cgi-bin/viewdoc/au/legis/tas/consol_act/wraca1988400/s4b.html" TargetMode="External"/><Relationship Id="rId406" Type="http://schemas.openxmlformats.org/officeDocument/2006/relationships/hyperlink" Target="http://www8.austlii.edu.au/cgi-bin/viewdoc/au/legis/nt/consol_act/rtwa207/s88.html" TargetMode="External"/><Relationship Id="rId960" Type="http://schemas.openxmlformats.org/officeDocument/2006/relationships/hyperlink" Target="http://www8.austlii.edu.au/cgi-bin/viewdoc/au/legis/vic/num_act/wiraca201367o2013530/s40.html" TargetMode="External"/><Relationship Id="rId1036" Type="http://schemas.openxmlformats.org/officeDocument/2006/relationships/hyperlink" Target="http://www8.austlii.edu.au/cgi-bin/viewdoc/au/legis/nt/consol_act/rtwa207/s65.html" TargetMode="External"/><Relationship Id="rId1243" Type="http://schemas.openxmlformats.org/officeDocument/2006/relationships/hyperlink" Target="http://www.austlii.edu.au/cgi-bin/viewdb/au/legis/cth/consol_act/mraca2004397/s281.html" TargetMode="External"/><Relationship Id="rId1590" Type="http://schemas.openxmlformats.org/officeDocument/2006/relationships/hyperlink" Target="http://www.legislation.act.gov.au/a/1951-2/20090408-39304/pdf/1951-2.pdf" TargetMode="External"/><Relationship Id="rId1688" Type="http://schemas.openxmlformats.org/officeDocument/2006/relationships/hyperlink" Target="http://worksafe.tas.gov.au/__data/assets/pdf_file/0003/301809/IS-015-Preparing-IM-plans.pdf" TargetMode="External"/><Relationship Id="rId1895" Type="http://schemas.openxmlformats.org/officeDocument/2006/relationships/hyperlink" Target="http://www.austlii.edu.au/cgi-bin/viewdb/au/legis/nsw/consol_act/wimawca1998540/s45.html" TargetMode="External"/><Relationship Id="rId613" Type="http://schemas.openxmlformats.org/officeDocument/2006/relationships/hyperlink" Target="http://www8.austlii.edu.au/cgi-bin/viewdoc/au/legis/vic/num_act/wiraca201367o2013530/sch1.html" TargetMode="External"/><Relationship Id="rId820" Type="http://schemas.openxmlformats.org/officeDocument/2006/relationships/hyperlink" Target="http://www8.austlii.edu.au/cgi-bin/viewdoc/au/legis/cth/consol_act/sracca1988512/s5b.html" TargetMode="External"/><Relationship Id="rId918" Type="http://schemas.openxmlformats.org/officeDocument/2006/relationships/hyperlink" Target="http://www8.austlii.edu.au/cgi-bin/viewdoc/au/legis/act/consol_act/wca1951255/s82.html" TargetMode="External"/><Relationship Id="rId1450" Type="http://schemas.openxmlformats.org/officeDocument/2006/relationships/hyperlink" Target="http://www.austlii.edu.au/cgi-bin/viewdb/au/legis/cth/consol_act/sraca1992381/s59.html" TargetMode="External"/><Relationship Id="rId1548" Type="http://schemas.openxmlformats.org/officeDocument/2006/relationships/hyperlink" Target="https://www.legislation.qld.gov.au/view/html/inforce/current/act-2003-027" TargetMode="External"/><Relationship Id="rId1755" Type="http://schemas.openxmlformats.org/officeDocument/2006/relationships/hyperlink" Target="http://www.austlii.edu.au/cgi-bin/viewdb/au/legis/nsw/consol_act/wimawca1998540/s44.html" TargetMode="External"/><Relationship Id="rId1103" Type="http://schemas.openxmlformats.org/officeDocument/2006/relationships/hyperlink" Target="http://www8.austlii.edu.au/cgi-bin/viewdoc/au/legis/vic/num_act/wiraca201367o2013530/s3.html" TargetMode="External"/><Relationship Id="rId1310" Type="http://schemas.openxmlformats.org/officeDocument/2006/relationships/hyperlink" Target="https://www.legislation.qld.gov.au/view/html/inforce/current/act-2003-027" TargetMode="External"/><Relationship Id="rId1408" Type="http://schemas.openxmlformats.org/officeDocument/2006/relationships/hyperlink" Target="http://www.austlii.edu.au/cgi-bin/viewdb/au/legis/sa/consol_act/rtwa2014207/s48.html" TargetMode="External"/><Relationship Id="rId1962" Type="http://schemas.openxmlformats.org/officeDocument/2006/relationships/hyperlink" Target="http://www.hwca.org.au/wp-content/uploads/2016/08/1-Guide-Nationally-Consistent-Approval-Framework-for-Workplace-Rehabi....pdf" TargetMode="External"/><Relationship Id="rId47" Type="http://schemas.openxmlformats.org/officeDocument/2006/relationships/hyperlink" Target="mailto:emma.powell@acc.co.nz" TargetMode="External"/><Relationship Id="rId1615" Type="http://schemas.openxmlformats.org/officeDocument/2006/relationships/hyperlink" Target="http://www.austlii.edu.au/cgi-bin/viewdb/au/legis/cth/consol_act/mraca2004397/" TargetMode="External"/><Relationship Id="rId1822" Type="http://schemas.openxmlformats.org/officeDocument/2006/relationships/hyperlink" Target="http://www.austlii.edu.au/au/legis/sa/consol_act/rtwa2014207/s16.html" TargetMode="External"/><Relationship Id="rId196" Type="http://schemas.openxmlformats.org/officeDocument/2006/relationships/hyperlink" Target="http://www8.austlii.edu.au/cgi-bin/viewdoc/au/legis/nt/consol_act/rtwa207/s3a.html" TargetMode="External"/><Relationship Id="rId2084" Type="http://schemas.openxmlformats.org/officeDocument/2006/relationships/hyperlink" Target="http://www.austlii.edu.au/cgi-bin/viewdb/au/legis/nt/consol_act/rtwa207/s124.html" TargetMode="External"/><Relationship Id="rId263" Type="http://schemas.openxmlformats.org/officeDocument/2006/relationships/hyperlink" Target="http://www.austlii.edu.au/au/legis/sa/consol_act/rtwa2014207/s58.html" TargetMode="External"/><Relationship Id="rId470" Type="http://schemas.openxmlformats.org/officeDocument/2006/relationships/hyperlink" Target="http://www8.austlii.edu.au/cgi-bin/viewdb/au/legis/nt/consol_act/rtwa207/" TargetMode="External"/><Relationship Id="rId2151" Type="http://schemas.openxmlformats.org/officeDocument/2006/relationships/hyperlink" Target="http://www.legislation.govt.nz/act/public/2001/0049/latest/DLM2729540.html" TargetMode="External"/><Relationship Id="rId123" Type="http://schemas.openxmlformats.org/officeDocument/2006/relationships/hyperlink" Target="http://www8.austlii.edu.au/cgi-bin/viewdoc/au/legis/act/consol_act/wca1951255/s8.html" TargetMode="External"/><Relationship Id="rId330" Type="http://schemas.openxmlformats.org/officeDocument/2006/relationships/hyperlink" Target="http://www8.austlii.edu.au/cgi-bin/viewdoc/au/legis/cth/consol_act/sracca1988512/s54.html" TargetMode="External"/><Relationship Id="rId568" Type="http://schemas.openxmlformats.org/officeDocument/2006/relationships/hyperlink" Target="http://www.austlii.edu.au/au/legis/sa/consol_reg/rtwr2015316/s5.htmlhttp:/www.austlii.edu.au/au/legis/sa/consol_reg/rtwr2015316/s5.html" TargetMode="External"/><Relationship Id="rId775" Type="http://schemas.openxmlformats.org/officeDocument/2006/relationships/hyperlink" Target="http://www8.austlii.edu.au/cgi-bin/viewdoc/au/legis/nt/consol_act/rtwa207/s4.html" TargetMode="External"/><Relationship Id="rId982" Type="http://schemas.openxmlformats.org/officeDocument/2006/relationships/hyperlink" Target="http://www8.austlii.edu.au/cgi-bin/viewdoc/au/legis/cth/consol_act/sracca1988512/s7.html" TargetMode="External"/><Relationship Id="rId1198" Type="http://schemas.openxmlformats.org/officeDocument/2006/relationships/hyperlink" Target="http://www8.austlii.edu.au/cgi-bin/viewdoc/au/legis/cth/consol_act/sracca1988512/s29.html" TargetMode="External"/><Relationship Id="rId2011" Type="http://schemas.openxmlformats.org/officeDocument/2006/relationships/hyperlink" Target="http://www.austlii.edu.au/cgi-bin/viewdb/au/legis/nsw/consol_act/wimawca1998540/s39.html" TargetMode="External"/><Relationship Id="rId2249" Type="http://schemas.openxmlformats.org/officeDocument/2006/relationships/fontTable" Target="fontTable.xml"/><Relationship Id="rId428" Type="http://schemas.openxmlformats.org/officeDocument/2006/relationships/hyperlink" Target="http://www8.austlii.edu.au/cgi-bin/viewdoc/au/legis/vic/num_act/wiraca201367o2013530/s264.html" TargetMode="External"/><Relationship Id="rId635" Type="http://schemas.openxmlformats.org/officeDocument/2006/relationships/hyperlink" Target="http://www8.austlii.edu.au/cgi-bin/viewdoc/au/legis/wa/consol_act/wcaima1981445/s10a.html" TargetMode="External"/><Relationship Id="rId842" Type="http://schemas.openxmlformats.org/officeDocument/2006/relationships/hyperlink" Target="http://www8.austlii.edu.au/cgi-bin/viewdoc/au/legis/cth/consol_act/sraca1988368/s4.html" TargetMode="External"/><Relationship Id="rId1058" Type="http://schemas.openxmlformats.org/officeDocument/2006/relationships/hyperlink" Target="http://www8.austlii.edu.au/cgi-bin/viewdoc/au/legis/cth/consol_act/sraca1988368/s30.html" TargetMode="External"/><Relationship Id="rId1265" Type="http://schemas.openxmlformats.org/officeDocument/2006/relationships/hyperlink" Target="http://www.austlii.edu.au/au/legis/sa/consol_act/rtwa2014207/s59.html" TargetMode="External"/><Relationship Id="rId1472"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2109" Type="http://schemas.openxmlformats.org/officeDocument/2006/relationships/hyperlink" Target="https://www.legislation.qld.gov.au/view/html/inforce/current/act-2003-027" TargetMode="External"/><Relationship Id="rId702" Type="http://schemas.openxmlformats.org/officeDocument/2006/relationships/hyperlink" Target="http://www.thelaw.tas.gov.au/tocview/content.w3p;cond=;doc_id=4%2B%2B1988%2BGS7%40EN%2B20151223090000;histon=;inforequest=;prompt=;rec=;term=" TargetMode="External"/><Relationship Id="rId1125" Type="http://schemas.openxmlformats.org/officeDocument/2006/relationships/hyperlink" Target="http://www8.austlii.edu.au/cgi-bin/viewdoc/au/legis/qld/consol_act/wcara2003400/s232k.html" TargetMode="External"/><Relationship Id="rId1332" Type="http://schemas.openxmlformats.org/officeDocument/2006/relationships/hyperlink" Target="http://www.austlii.edu.au/cgi-bin/viewdb/au/legis/cth/consol_act/sraca1992381/s3.html" TargetMode="External"/><Relationship Id="rId1777" Type="http://schemas.openxmlformats.org/officeDocument/2006/relationships/hyperlink" Target="http://www.austlii.edu.au/cgi-bin/viewdb/au/legis/cth/consol_act/sraca1992381/s49.html" TargetMode="External"/><Relationship Id="rId1984" Type="http://schemas.openxmlformats.org/officeDocument/2006/relationships/hyperlink" Target="http://www.thelaw.tas.gov.au/tocview/content.w3p;cond=;doc_id=4%2B%2B1988%2BGS143E%40EN%2B20160104090000;histon=;inforequest=;prompt=;rec=;term=" TargetMode="External"/><Relationship Id="rId69" Type="http://schemas.openxmlformats.org/officeDocument/2006/relationships/hyperlink" Target="http://www.rtwsa.com/" TargetMode="External"/><Relationship Id="rId1637" Type="http://schemas.openxmlformats.org/officeDocument/2006/relationships/hyperlink" Target="http://www.austlii.edu.au/cgi-bin/viewdb/au/legis/wa/consol_act/wcaima1981445/s155b.html" TargetMode="External"/><Relationship Id="rId1844" Type="http://schemas.openxmlformats.org/officeDocument/2006/relationships/hyperlink" Target="http://www.austlii.edu.au/cgi-bin/viewdb/au/legis/act/consol_act/wca1951255/s113.html" TargetMode="External"/><Relationship Id="rId1704" Type="http://schemas.openxmlformats.org/officeDocument/2006/relationships/hyperlink" Target="http://www.austlii.edu.au/cgi-bin/viewdb/au/legis/cth/consol_act/mraca2004397/s39.html" TargetMode="External"/><Relationship Id="rId285" Type="http://schemas.openxmlformats.org/officeDocument/2006/relationships/hyperlink" Target="http://www.thelaw.tas.gov.au/tocview/content.w3p;cond=;doc_id=4%2B%2B1988%2BGS36%40EN%2B20151223090000;histon=;inforequest=;prompt=;rec=;term=" TargetMode="External"/><Relationship Id="rId1911" Type="http://schemas.openxmlformats.org/officeDocument/2006/relationships/hyperlink" Target="http://classic.austlii.edu.au/au/legis/nsw/consol_reg/wcr2016346/s23.html" TargetMode="External"/><Relationship Id="rId492" Type="http://schemas.openxmlformats.org/officeDocument/2006/relationships/hyperlink" Target="http://www.austlii.edu.au/cgi-bin/viewdoc/au/legis/nt/consol_reg/rtwr316/sch3.html" TargetMode="External"/><Relationship Id="rId797" Type="http://schemas.openxmlformats.org/officeDocument/2006/relationships/hyperlink" Target="http://www8.austlii.edu.au/cgi-bin/viewdoc/au/legis/tas/consol_act/wraca1988400/s3.html" TargetMode="External"/><Relationship Id="rId2173" Type="http://schemas.openxmlformats.org/officeDocument/2006/relationships/hyperlink" Target="http://www.legislation.nsw.gov.au/" TargetMode="External"/><Relationship Id="rId145" Type="http://schemas.openxmlformats.org/officeDocument/2006/relationships/hyperlink" Target="http://www8.austlii.edu.au/cgi-bin/viewdoc/au/legis/sa/consol_act/rtwa2014207/s7.html" TargetMode="External"/><Relationship Id="rId352" Type="http://schemas.openxmlformats.org/officeDocument/2006/relationships/hyperlink" Target="http://www.austlii.edu.au/au/legis/sa/consol_act/rtwa2014207/s32.html" TargetMode="External"/><Relationship Id="rId1287" Type="http://schemas.openxmlformats.org/officeDocument/2006/relationships/hyperlink" Target="http://www8.austlii.edu.au/cgi-bin/viewdoc/au/legis/cth/consol_act/sraca1992381/s30.html" TargetMode="External"/><Relationship Id="rId2033" Type="http://schemas.openxmlformats.org/officeDocument/2006/relationships/hyperlink" Target="http://www.rtwsa.com/__data/assets/pdf_file/0004/52996/Self-insured-code-of-conduct.pdf" TargetMode="External"/><Relationship Id="rId2240" Type="http://schemas.openxmlformats.org/officeDocument/2006/relationships/hyperlink" Target="http://www5.austlii.edu.au/au/legis/act/consol_reg/wcr2002346/sch1.html" TargetMode="External"/><Relationship Id="rId212" Type="http://schemas.openxmlformats.org/officeDocument/2006/relationships/hyperlink" Target="http://www8.austlii.edu.au/cgi-bin/viewdoc/au/legis/cth/consol_act/sraca1992381/s3.html" TargetMode="External"/><Relationship Id="rId657" Type="http://schemas.openxmlformats.org/officeDocument/2006/relationships/hyperlink" Target="http://www8.austlii.edu.au/cgi-bin/viewdoc/au/legis/nt/consol_reg/rtwr316/s3a.html" TargetMode="External"/><Relationship Id="rId864" Type="http://schemas.openxmlformats.org/officeDocument/2006/relationships/hyperlink" Target="http://www.austlii.edu.au/au/legis/sa/consol_act/rtwa2014207/s22.html" TargetMode="External"/><Relationship Id="rId1494" Type="http://schemas.openxmlformats.org/officeDocument/2006/relationships/hyperlink" Target="http://www.austlii.edu.au/cgi-bin/viewdb/au/legis/vic/consol_act/wiraca2013484/s100.html" TargetMode="External"/><Relationship Id="rId1799" Type="http://schemas.openxmlformats.org/officeDocument/2006/relationships/hyperlink" Target="https://www.legislation.qld.gov.au/view/html/inforce/current/act-2003-027" TargetMode="External"/><Relationship Id="rId2100" Type="http://schemas.openxmlformats.org/officeDocument/2006/relationships/hyperlink" Target="http://www.austlii.edu.au/cgi-bin/viewdb/au/legis/nsw/consol_act/wca1987255/s213.html" TargetMode="External"/><Relationship Id="rId517" Type="http://schemas.openxmlformats.org/officeDocument/2006/relationships/hyperlink" Target="http://www.thelaw.tas.gov.au/tocview/content.w3p;cond=;doc_id=4%2B%2B1988%2BGS121%40EN%2B20151223090000;histon=;inforequest=;prompt=;rec=;term=" TargetMode="External"/><Relationship Id="rId724" Type="http://schemas.openxmlformats.org/officeDocument/2006/relationships/hyperlink" Target="http://www8.austlii.edu.au/cgi-bin/viewdoc/au/legis/sa/consol_act/rtwa2014207/s58.html" TargetMode="External"/><Relationship Id="rId931" Type="http://schemas.openxmlformats.org/officeDocument/2006/relationships/hyperlink" Target="http://www8.austlii.edu.au/cgi-bin/viewdoc/au/legis/cth/consol_act/sraca1992381/s3.html" TargetMode="External"/><Relationship Id="rId1147" Type="http://schemas.openxmlformats.org/officeDocument/2006/relationships/hyperlink" Target="http://www.austlii.edu.au/au/legis/sa/consol_act/rtwa2014207/s24.html" TargetMode="External"/><Relationship Id="rId1354" Type="http://schemas.openxmlformats.org/officeDocument/2006/relationships/hyperlink" Target="http://www.austlii.edu.au/cgi-bin/viewdb/au/legis/vic/consol_act/wiraca2013484/s340.html" TargetMode="External"/><Relationship Id="rId1561" Type="http://schemas.openxmlformats.org/officeDocument/2006/relationships/hyperlink" Target="http://www.austlii.edu.au/cgi-bin/viewdb/au/legis/sa/consol_act/rtwa2014207/s17.html" TargetMode="External"/><Relationship Id="rId60" Type="http://schemas.openxmlformats.org/officeDocument/2006/relationships/hyperlink" Target="https://www.worksafe.qld.gov.au/insurance" TargetMode="External"/><Relationship Id="rId1007" Type="http://schemas.openxmlformats.org/officeDocument/2006/relationships/hyperlink" Target="https://www.legislation.qld.gov.au/view/html/inforce/current/act-2003-027" TargetMode="External"/><Relationship Id="rId1214" Type="http://schemas.openxmlformats.org/officeDocument/2006/relationships/hyperlink" Target="https://www.legislation.qld.gov.au/view/html/inforce/current/act-2003-027" TargetMode="External"/><Relationship Id="rId1421" Type="http://schemas.openxmlformats.org/officeDocument/2006/relationships/hyperlink" Target="http://www.austlii.edu.au/cgi-bin/viewdb/au/legis/sa/consol_act/rtwa2014207/s51.html" TargetMode="External"/><Relationship Id="rId1659" Type="http://schemas.openxmlformats.org/officeDocument/2006/relationships/hyperlink" Target="http://www.austlii.edu.au/cgi-bin/viewdb/au/legis/act/consol_act/wca1951255/s109.html" TargetMode="External"/><Relationship Id="rId1866" Type="http://schemas.openxmlformats.org/officeDocument/2006/relationships/hyperlink" Target="http://www.austlii.edu.au/cgi-bin/viewdb/au/legis/cth/consol_act/sracca1988512/s36.html" TargetMode="External"/><Relationship Id="rId1519" Type="http://schemas.openxmlformats.org/officeDocument/2006/relationships/hyperlink" Target="http://www.austlii.edu.au/cgi-bin/viewdb/au/legis/vic/consol_act/wiraca2013484/s125.html" TargetMode="External"/><Relationship Id="rId1726" Type="http://schemas.openxmlformats.org/officeDocument/2006/relationships/hyperlink" Target="http://www.austlii.edu.au/cgi-bin/viewdb/au/legis/wa/consol_act/wcaima1981445/s84aa.html" TargetMode="External"/><Relationship Id="rId1933" Type="http://schemas.openxmlformats.org/officeDocument/2006/relationships/hyperlink" Target="http://www.legislation.tas.gov.au/tocview/content.w3p;cond=;doc_id=4%2B%2B1988%2BGS143%40Gs5%40EN%2B20110207140000;histon=;prompt=;rec=299;term=" TargetMode="External"/><Relationship Id="rId18" Type="http://schemas.openxmlformats.org/officeDocument/2006/relationships/hyperlink" Target="http://www.comlaw.gov.au/Details/C2014C00600" TargetMode="External"/><Relationship Id="rId2195" Type="http://schemas.openxmlformats.org/officeDocument/2006/relationships/hyperlink" Target="http://www.legislation.nsw.gov.au/maintop/view/inforce/act+116+2005+cd+0+N" TargetMode="External"/><Relationship Id="rId167" Type="http://schemas.openxmlformats.org/officeDocument/2006/relationships/hyperlink" Target="http://www8.austlii.edu.au/cgi-bin/viewdoc/au/legis/cth/consol_act/sracca1988512/s6.html" TargetMode="External"/><Relationship Id="rId374" Type="http://schemas.openxmlformats.org/officeDocument/2006/relationships/hyperlink" Target="http://www.legislation.govt.nz/act/public/2001/0049/latest/DLM100983.html" TargetMode="External"/><Relationship Id="rId581" Type="http://schemas.openxmlformats.org/officeDocument/2006/relationships/hyperlink" Target="http://www8.austlii.edu.au/cgi-bin/viewdoc/au/legis/cth/consol_act/sracca1988512/s5.html" TargetMode="External"/><Relationship Id="rId2055" Type="http://schemas.openxmlformats.org/officeDocument/2006/relationships/hyperlink" Target="https://www.legislation.qld.gov.au/view/html/inforce/current/act-2003-027" TargetMode="External"/><Relationship Id="rId234" Type="http://schemas.openxmlformats.org/officeDocument/2006/relationships/hyperlink" Target="http://www8.austlii.edu.au/cgi-bin/viewdoc/au/legis/vic/num_act/wiraca201367o2013530/s171.html" TargetMode="External"/><Relationship Id="rId679" Type="http://schemas.openxmlformats.org/officeDocument/2006/relationships/hyperlink" Target="http://www8.austlii.edu.au/cgi-bin/viewdoc/au/legis/cth/consol_act/sraca1988368/s5.html" TargetMode="External"/><Relationship Id="rId886" Type="http://schemas.openxmlformats.org/officeDocument/2006/relationships/hyperlink" Target="https://www.legislation.qld.gov.au/view/html/inforce/current/act-2003-027" TargetMode="External"/><Relationship Id="rId2" Type="http://schemas.openxmlformats.org/officeDocument/2006/relationships/numbering" Target="numbering.xml"/><Relationship Id="rId441" Type="http://schemas.openxmlformats.org/officeDocument/2006/relationships/hyperlink" Target="http://www.workcover.wa.gov.au/content/uploads/2014/09/2017-Conciliation-Brochure-web-version.pdf" TargetMode="External"/><Relationship Id="rId539" Type="http://schemas.openxmlformats.org/officeDocument/2006/relationships/hyperlink" Target="http://www.thelaw.tas.gov.au/tocview/content.w3p;cond=;doc_id=4%2B%2B1988%2BGS84B%40EN%2B20151223090000;histon=;inforequest=;prompt=;rec=;term=" TargetMode="External"/><Relationship Id="rId746" Type="http://schemas.openxmlformats.org/officeDocument/2006/relationships/hyperlink" Target="http://www8.austlii.edu.au/cgi-bin/viewdoc/au/legis/cth/consol_act/sracca1988512/s6.html" TargetMode="External"/><Relationship Id="rId1071" Type="http://schemas.openxmlformats.org/officeDocument/2006/relationships/hyperlink" Target="http://www8.austlii.edu.au/cgi-bin/viewdoc/au/legis/cth/consol_act/mraca2004397/s179.html" TargetMode="External"/><Relationship Id="rId1169" Type="http://schemas.openxmlformats.org/officeDocument/2006/relationships/hyperlink" Target="http://www8.austlii.edu.au/cgi-bin/viewdoc/au/legis/act/consol_act/wca1951255/s70.html" TargetMode="External"/><Relationship Id="rId1376" Type="http://schemas.openxmlformats.org/officeDocument/2006/relationships/hyperlink" Target="http://www.austlii.edu.au/cgi-bin/viewdb/au/legis/cth/consol_act/mraca2004397/s389.html" TargetMode="External"/><Relationship Id="rId1583" Type="http://schemas.openxmlformats.org/officeDocument/2006/relationships/hyperlink" Target="http://www.austlii.edu.au/cgi-bin/viewdb/au/legis/nt/consol_act/rtwa207/s75a.html" TargetMode="External"/><Relationship Id="rId2122" Type="http://schemas.openxmlformats.org/officeDocument/2006/relationships/hyperlink" Target="https://digitalcollections.qut.edu.au/3197/1/qsr_workers_compensation_act_1916-1982_31may82.pdf" TargetMode="External"/><Relationship Id="rId301" Type="http://schemas.openxmlformats.org/officeDocument/2006/relationships/hyperlink" Target="https://www.legislation.qld.gov.au/view/html/inforce/current/act-2003-027" TargetMode="External"/><Relationship Id="rId953" Type="http://schemas.openxmlformats.org/officeDocument/2006/relationships/hyperlink" Target="http://www.legislation.govt.nz/act/public/2001/0049/latest/DLM101492.html" TargetMode="External"/><Relationship Id="rId1029" Type="http://schemas.openxmlformats.org/officeDocument/2006/relationships/hyperlink" Target="http://www8.austlii.edu.au/cgi-bin/viewdoc/au/legis/nt/consol_act/rtwa207/s49a.html" TargetMode="External"/><Relationship Id="rId1236" Type="http://schemas.openxmlformats.org/officeDocument/2006/relationships/hyperlink" Target="http://www.austlii.edu.au/cgi-bin/viewdoc/au/legis/cth/consol_act/sraca1992381/s41.html" TargetMode="External"/><Relationship Id="rId1790" Type="http://schemas.openxmlformats.org/officeDocument/2006/relationships/hyperlink" Target="http://www.austlii.edu.au/cgi-bin/viewdb/au/legis/vic/consol_act/wiraca2013484/s111.html" TargetMode="External"/><Relationship Id="rId1888" Type="http://schemas.openxmlformats.org/officeDocument/2006/relationships/hyperlink" Target="http://clik.dva.gov.au/rehabilitation-policy-library/9-vocational-rehabilitation/910-employer-incentives" TargetMode="External"/><Relationship Id="rId82" Type="http://schemas.openxmlformats.org/officeDocument/2006/relationships/hyperlink" Target="http://www.comlaw.gov.au/Series/C2004A04525" TargetMode="External"/><Relationship Id="rId606" Type="http://schemas.openxmlformats.org/officeDocument/2006/relationships/hyperlink" Target="http://www8.austlii.edu.au/cgi-bin/viewdoc/au/legis/vic/num_act/wiraca201367o2013530/sch1.html" TargetMode="External"/><Relationship Id="rId813" Type="http://schemas.openxmlformats.org/officeDocument/2006/relationships/hyperlink" Target="http://www8.austlii.edu.au/cgi-bin/viewdoc/au/legis/cth/consol_act/sraca1992381/s3.html" TargetMode="External"/><Relationship Id="rId1443" Type="http://schemas.openxmlformats.org/officeDocument/2006/relationships/hyperlink" Target="http://www.austlii.edu.au/cgi-bin/viewdb/au/legis/cth/consol_act/sraca1988368/s16.html" TargetMode="External"/><Relationship Id="rId1650" Type="http://schemas.openxmlformats.org/officeDocument/2006/relationships/hyperlink" Target="https://www.rtwsa.com/insurance/employer-services/return-to-work-coordinators" TargetMode="External"/><Relationship Id="rId1748" Type="http://schemas.openxmlformats.org/officeDocument/2006/relationships/hyperlink" Target="http://www.austlii.edu.au/cgi-bin/viewdb/au/legis/cth/consol_act/mraca2004397/s5.html" TargetMode="External"/><Relationship Id="rId1303" Type="http://schemas.openxmlformats.org/officeDocument/2006/relationships/hyperlink" Target="http://www.austlii.edu.au/cgi-bin/viewdb/au/legis/vic/consol_act/wiraca2013484/s3.html" TargetMode="External"/><Relationship Id="rId1510" Type="http://schemas.openxmlformats.org/officeDocument/2006/relationships/hyperlink" Target="http://www.austlii.edu.au/cgi-bin/viewdb/au/legis/vic/consol_act/wiraca2013484/s116.html" TargetMode="External"/><Relationship Id="rId1955" Type="http://schemas.openxmlformats.org/officeDocument/2006/relationships/hyperlink" Target="https://www.sira.nsw.gov.au/resources-library/workers-compensation-resources/publications/help-with-getting-people-back-to-work/nsw-supplement-to-the-guide-nationally-consistent-approval-framework-for-workplace-rehabilitation-providers" TargetMode="External"/><Relationship Id="rId1608" Type="http://schemas.openxmlformats.org/officeDocument/2006/relationships/hyperlink" Target="http://www.comcare.gov.au/Forms_and_Publications/publications/services/injury_management/injury_management/working_for_recovery" TargetMode="External"/><Relationship Id="rId1815" Type="http://schemas.openxmlformats.org/officeDocument/2006/relationships/hyperlink" Target="http://www.austlii.edu.au/au/legis/sa/consol_act/rtwa2014207/s48.html" TargetMode="External"/><Relationship Id="rId189" Type="http://schemas.openxmlformats.org/officeDocument/2006/relationships/hyperlink" Target="http://www5.austlii.edu.au/au/legis/sa/consol_act/rtwa2014207/s7.html" TargetMode="External"/><Relationship Id="rId396" Type="http://schemas.openxmlformats.org/officeDocument/2006/relationships/hyperlink" Target="http://www.thelaw.tas.gov.au/tocview/content.w3p;cond=;doc_id=4%2B%2B1988%2BGS81%40EN%2B20151223090000;histon=;inforequest=;prompt=;rec=;term=" TargetMode="External"/><Relationship Id="rId2077" Type="http://schemas.openxmlformats.org/officeDocument/2006/relationships/hyperlink" Target="http://www.austlii.edu.au/cgi-bin/viewdb/au/legis/tas/consol_act/wraca1988400/s107.html" TargetMode="External"/><Relationship Id="rId256" Type="http://schemas.openxmlformats.org/officeDocument/2006/relationships/hyperlink" Target="http://www.thelaw.tas.gov.au/tocview/content.w3p;cond=;doc_id=4%2B%2B1988%2BGS69B%40Gs2%40EN%2B20151223090000;histon=;inforequest=;prompt=;rec=140;term=" TargetMode="External"/><Relationship Id="rId463" Type="http://schemas.openxmlformats.org/officeDocument/2006/relationships/hyperlink" Target="http://www8.austlii.edu.au/cgi-bin/viewdoc/au/legis/tas/consol_act/wraca1988400/s42e.html" TargetMode="External"/><Relationship Id="rId670" Type="http://schemas.openxmlformats.org/officeDocument/2006/relationships/hyperlink" Target="http://www8.austlii.edu.au/cgi-bin/viewdoc/au/legis/act/consol_act/wca1951255/s16.html" TargetMode="External"/><Relationship Id="rId1093" Type="http://schemas.openxmlformats.org/officeDocument/2006/relationships/hyperlink" Target="http://www8.austlii.edu.au/cgi-bin/viewdoc/au/legis/nsw/consol_act/wca1987255/s62.html" TargetMode="External"/><Relationship Id="rId2144" Type="http://schemas.openxmlformats.org/officeDocument/2006/relationships/hyperlink" Target="https://legislation.nt.gov.au/Pages/~/link.aspx?_id=C683534A3E0C40DC956881E889BCD270&amp;amp;_z=z" TargetMode="External"/><Relationship Id="rId116" Type="http://schemas.openxmlformats.org/officeDocument/2006/relationships/hyperlink" Target="http://www.workcover.wa.gov.au/content/uploads/2014/Documents/Health%20providers/AMS/Publication_Technical-Note-on-Contractors-workers-compensation.pdf" TargetMode="External"/><Relationship Id="rId323" Type="http://schemas.openxmlformats.org/officeDocument/2006/relationships/hyperlink" Target="http://www.thelaw.tas.gov.au/tocview/content.w3p;cond=;doc_id=4%2B%2B1988%2BGS34%40EN%2B20151223090000;histon=;inforequest=;prompt=;rec=;term=" TargetMode="External"/><Relationship Id="rId530" Type="http://schemas.openxmlformats.org/officeDocument/2006/relationships/hyperlink" Target="http://www8.austlii.edu.au/cgi-bin/viewdoc/au/legis/cth/consol_act/sraca1992381/s43.html" TargetMode="External"/><Relationship Id="rId768" Type="http://schemas.openxmlformats.org/officeDocument/2006/relationships/hyperlink" Target="http://www8.austlii.edu.au/cgi-bin/viewdoc/au/legis/cth/consol_act/sraca1992381/s9.html" TargetMode="External"/><Relationship Id="rId975" Type="http://schemas.openxmlformats.org/officeDocument/2006/relationships/hyperlink" Target="http://www8.austlii.edu.au/cgi-bin/viewdoc/au/legis/cth/consol_act/sraca1988368/s7.html" TargetMode="External"/><Relationship Id="rId1160" Type="http://schemas.openxmlformats.org/officeDocument/2006/relationships/hyperlink" Target="http://www.thelaw.tas.gov.au/tocview/content.w3p;cond=;doc_id=4%2B%2B1988%2BGS75%40EN%2B20151224080000;histon=;inforequest=;prompt=;rec=;term=" TargetMode="External"/><Relationship Id="rId1398" Type="http://schemas.openxmlformats.org/officeDocument/2006/relationships/hyperlink" Target="https://www.legislation.qld.gov.au/view/html/inforce/current/act-2003-027" TargetMode="External"/><Relationship Id="rId2004" Type="http://schemas.openxmlformats.org/officeDocument/2006/relationships/hyperlink" Target="http://www.austlii.edu.au/cgi-bin/viewdb/au/legis/tas/consol_act/wraca1988400/s105.html" TargetMode="External"/><Relationship Id="rId2211" Type="http://schemas.openxmlformats.org/officeDocument/2006/relationships/hyperlink" Target="http://classic.austlii.edu.au/au/legis/nsw/consol_reg/wcr2016346/sch1.html" TargetMode="External"/><Relationship Id="rId628" Type="http://schemas.openxmlformats.org/officeDocument/2006/relationships/hyperlink" Target="http://www8.austlii.edu.au/cgi-bin/viewdoc/au/legis/wa/consol_act/wcaima1981445/s8.html" TargetMode="External"/><Relationship Id="rId835" Type="http://schemas.openxmlformats.org/officeDocument/2006/relationships/hyperlink" Target="http://www8.austlii.edu.au/cgi-bin/viewdoc/au/legis/wa/consol_act/wcaima1981445/s146a.html" TargetMode="External"/><Relationship Id="rId1258" Type="http://schemas.openxmlformats.org/officeDocument/2006/relationships/hyperlink" Target="https://www.legislation.qld.gov.au/view/html/inforce/current/act-2003-027" TargetMode="External"/><Relationship Id="rId1465" Type="http://schemas.openxmlformats.org/officeDocument/2006/relationships/hyperlink" Target="http://www.austlii.edu.au/cgi-bin/viewdb/au/legis/cth/consol_act/sracca1988512/s58.html" TargetMode="External"/><Relationship Id="rId1672" Type="http://schemas.openxmlformats.org/officeDocument/2006/relationships/hyperlink" Target="http://www.austlii.edu.au/cgi-bin/viewdb/au/legis/vic/consol_act/wiraca2013484/s25.html" TargetMode="External"/><Relationship Id="rId1020" Type="http://schemas.openxmlformats.org/officeDocument/2006/relationships/hyperlink" Target="http://www8.austlii.edu.au/cgi-bin/viewdoc/au/legis/sa/consol_act/rtwa2014207/s40.html" TargetMode="External"/><Relationship Id="rId1118" Type="http://schemas.openxmlformats.org/officeDocument/2006/relationships/hyperlink" Target="https://www.legislation.qld.gov.au/view/html/inforce/current/act-2003-027" TargetMode="External"/><Relationship Id="rId1325" Type="http://schemas.openxmlformats.org/officeDocument/2006/relationships/hyperlink" Target="http://www.austlii.edu.au/cgi-bin/viewdb/au/legis/act/consol_act/la2001133/s169.html" TargetMode="External"/><Relationship Id="rId1532" Type="http://schemas.openxmlformats.org/officeDocument/2006/relationships/hyperlink" Target="https://www.worksafe.vic.gov.au/resources/returning-work-guide-injured-workers" TargetMode="External"/><Relationship Id="rId1977" Type="http://schemas.openxmlformats.org/officeDocument/2006/relationships/hyperlink" Target="http://www.austlii.edu.au/cgi-bin/viewdb/au/legis/vic/consol_act/wiraca2013484/s104.html" TargetMode="External"/><Relationship Id="rId902" Type="http://schemas.openxmlformats.org/officeDocument/2006/relationships/hyperlink" Target="http://www8.austlii.edu.au/cgi-bin/viewdb/au/legis/vic/num_act/wiraca201367o2013530/" TargetMode="External"/><Relationship Id="rId1837" Type="http://schemas.openxmlformats.org/officeDocument/2006/relationships/hyperlink" Target="http://www.austlii.edu.au/cgi-bin/viewdb/au/legis/nt/consol_act/rtwa207/s90.html" TargetMode="External"/><Relationship Id="rId31" Type="http://schemas.openxmlformats.org/officeDocument/2006/relationships/hyperlink" Target="http://www.rtwsa.com/" TargetMode="External"/><Relationship Id="rId2099" Type="http://schemas.openxmlformats.org/officeDocument/2006/relationships/hyperlink" Target="http://www.austlii.edu.au/cgi-bin/viewdb/au/legis/nsw/consol_act/wca1987255/s216.html" TargetMode="External"/><Relationship Id="rId180" Type="http://schemas.openxmlformats.org/officeDocument/2006/relationships/hyperlink" Target="http://www8.austlii.edu.au/cgi-bin/viewdoc/au/legis/nsw/consol_act/wimawca1998540/s4.html" TargetMode="External"/><Relationship Id="rId278" Type="http://schemas.openxmlformats.org/officeDocument/2006/relationships/hyperlink" Target="http://www8.austlii.edu.au/cgi-bin/viewdoc/au/legis/wa/consol_act/wcaima1981445/s178.html" TargetMode="External"/><Relationship Id="rId1904" Type="http://schemas.openxmlformats.org/officeDocument/2006/relationships/hyperlink" Target="http://www.austlii.edu.au/cgi-bin/viewdb/au/legis/act/consol_act/wca1951255/s108.html" TargetMode="External"/><Relationship Id="rId485" Type="http://schemas.openxmlformats.org/officeDocument/2006/relationships/hyperlink" Target="https://www.sira.nsw.gov.au/search?query=Wages+Definition+Manual" TargetMode="External"/><Relationship Id="rId692" Type="http://schemas.openxmlformats.org/officeDocument/2006/relationships/hyperlink" Target="http://www.thelaw.tas.gov.au/tocview/content.w3p;cond=;doc_id=4%2B%2B1988%2BGS6B%40EN%2B20151223090000;histon=;inforequest=;prompt=;rec=;term=" TargetMode="External"/><Relationship Id="rId2166" Type="http://schemas.openxmlformats.org/officeDocument/2006/relationships/hyperlink" Target="http://www.comlaw.gov.au/Series/C2004A01286" TargetMode="External"/><Relationship Id="rId138" Type="http://schemas.openxmlformats.org/officeDocument/2006/relationships/hyperlink" Target="https://www.legislation.qld.gov.au/view/html/inforce/current/act-2003-027" TargetMode="External"/><Relationship Id="rId345" Type="http://schemas.openxmlformats.org/officeDocument/2006/relationships/hyperlink" Target="http://www.legislation.govt.nz/act/public/2001/0049/latest/DLM100983.html" TargetMode="External"/><Relationship Id="rId552" Type="http://schemas.openxmlformats.org/officeDocument/2006/relationships/hyperlink" Target="http://www.thelaw.tas.gov.au/tocview/content.w3p;cond=;doc_id=4%2B%2B1988%2BGS84B%40EN%2B20151223090000;histon=;inforequest=;prompt=;rec=;term=" TargetMode="External"/><Relationship Id="rId997" Type="http://schemas.openxmlformats.org/officeDocument/2006/relationships/hyperlink" Target="http://www8.austlii.edu.au/cgi-bin/viewdoc/au/legis/vic/num_act/wiraca201367o2013530/s152.html" TargetMode="External"/><Relationship Id="rId1182" Type="http://schemas.openxmlformats.org/officeDocument/2006/relationships/hyperlink" Target="http://www8.austlii.edu.au/cgi-bin/viewdoc/au/legis/cth/consol_act/sraca1992381/s43.html" TargetMode="External"/><Relationship Id="rId2026" Type="http://schemas.openxmlformats.org/officeDocument/2006/relationships/hyperlink" Target="https://www.legislation.qld.gov.au/view/html/inforce/current/sl-2014-0189" TargetMode="External"/><Relationship Id="rId2233" Type="http://schemas.openxmlformats.org/officeDocument/2006/relationships/hyperlink" Target="http://www5.austlii.edu.au/au/legis/nsw/consol_act/wcda1942388/sch1.html" TargetMode="External"/><Relationship Id="rId205" Type="http://schemas.openxmlformats.org/officeDocument/2006/relationships/hyperlink" Target="http://www.legislation.act.gov.au/a/1951-2/current/pdf/1951-2.pdf" TargetMode="External"/><Relationship Id="rId412" Type="http://schemas.openxmlformats.org/officeDocument/2006/relationships/hyperlink" Target="http://www8.austlii.edu.au/cgi-bin/viewdoc/au/legis/nsw/consol_act/wimawca1998540/s280.html" TargetMode="External"/><Relationship Id="rId857" Type="http://schemas.openxmlformats.org/officeDocument/2006/relationships/hyperlink" Target="http://www8.austlii.edu.au/cgi-bin/viewdoc/au/legis/nsw/consol_act/wimawca1998540/s376.html" TargetMode="External"/><Relationship Id="rId1042" Type="http://schemas.openxmlformats.org/officeDocument/2006/relationships/hyperlink" Target="http://www8.austlii.edu.au/cgi-bin/viewdoc/au/legis/act/consol_act/wca1951255/s42.html" TargetMode="External"/><Relationship Id="rId1487" Type="http://schemas.openxmlformats.org/officeDocument/2006/relationships/hyperlink" Target="https://www.sira.nsw.gov.au/haveyoubeeninjured/start" TargetMode="External"/><Relationship Id="rId1694" Type="http://schemas.openxmlformats.org/officeDocument/2006/relationships/hyperlink" Target="http://www.austlii.edu.au/cgi-bin/viewdb/au/legis/act/consol_act/wca1951255/s97.html" TargetMode="External"/><Relationship Id="rId717" Type="http://schemas.openxmlformats.org/officeDocument/2006/relationships/hyperlink" Target="http://www8.austlii.edu.au/cgi-bin/viewdoc/au/legis/vic/num_act/wiraca201367o2013530/s61.html" TargetMode="External"/><Relationship Id="rId924" Type="http://schemas.openxmlformats.org/officeDocument/2006/relationships/hyperlink" Target="http://www8.austlii.edu.au/cgi-bin/viewdoc/au/legis/cth/consol_act/sraca1988368/s7.html" TargetMode="External"/><Relationship Id="rId1347" Type="http://schemas.openxmlformats.org/officeDocument/2006/relationships/hyperlink" Target="http://www.austlii.edu.au/cgi-bin/viewdb/au/legis/nsw/consol_act/wca1987255/s151ad.html" TargetMode="External"/><Relationship Id="rId1554" Type="http://schemas.openxmlformats.org/officeDocument/2006/relationships/hyperlink" Target="http://www.hwca.org.au/wp-content/uploads/2016/08/1-Guide-Nationally-Consistent-Approval-Framework-for-Workplace-Rehabi....pdf" TargetMode="External"/><Relationship Id="rId1761" Type="http://schemas.openxmlformats.org/officeDocument/2006/relationships/hyperlink" Target="http://www.austlii.edu.au/cgi-bin/viewdb/au/legis/vic/consol_act/wiraca2013484/s105.html" TargetMode="External"/><Relationship Id="rId1999" Type="http://schemas.openxmlformats.org/officeDocument/2006/relationships/hyperlink" Target="https://www.legislation.qld.gov.au/view/html/inforce/current/act-2003-027" TargetMode="External"/><Relationship Id="rId53" Type="http://schemas.openxmlformats.org/officeDocument/2006/relationships/hyperlink" Target="http://www.wcc.nsw.gov.au/Pages/Default.aspx" TargetMode="External"/><Relationship Id="rId1207" Type="http://schemas.openxmlformats.org/officeDocument/2006/relationships/hyperlink" Target="http://www8.austlii.edu.au/cgi-bin/viewdoc/au/legis/nsw/consol_act/wca1987255/s66.html" TargetMode="External"/><Relationship Id="rId1414" Type="http://schemas.openxmlformats.org/officeDocument/2006/relationships/hyperlink" Target="http://www.austlii.edu.au/cgi-bin/viewdb/au/legis/sa/consol_act/rtwa2014207/s48.html" TargetMode="External"/><Relationship Id="rId1621" Type="http://schemas.openxmlformats.org/officeDocument/2006/relationships/hyperlink" Target="http://classic.austlii.edu.au/au/legis/nsw/consol_reg/wcr2016346/s11.html" TargetMode="External"/><Relationship Id="rId1859" Type="http://schemas.openxmlformats.org/officeDocument/2006/relationships/hyperlink" Target="http://www.austlii.edu.au/cgi-bin/viewdb/au/legis/cth/consol_act/sraca1992381/s49.html" TargetMode="External"/><Relationship Id="rId1719" Type="http://schemas.openxmlformats.org/officeDocument/2006/relationships/hyperlink" Target="http://www.austlii.edu.au/cgi-bin/viewdb/au/legis/vic/consol_act/wiraca2013484/s3.html" TargetMode="External"/><Relationship Id="rId1926" Type="http://schemas.openxmlformats.org/officeDocument/2006/relationships/hyperlink" Target="http://www.austlii.edu.au/cgi-bin/viewdb/au/legis/sa/consol_act/rtwa2014207/s26.html" TargetMode="External"/><Relationship Id="rId2090" Type="http://schemas.openxmlformats.org/officeDocument/2006/relationships/hyperlink" Target="http://www.workcover.wa.gov.au/content/uploads/2014/Documents/Service%20providers/Insurers/Publication_Insurer_Approved-SelfInsurer-Performance-Indicators.pdf" TargetMode="External"/><Relationship Id="rId2188" Type="http://schemas.openxmlformats.org/officeDocument/2006/relationships/hyperlink" Target="https://www.worksafe.qld.gov.au/__data/assets/pdf_file/0020/8057/Queensland-Government-Gazette.pdf" TargetMode="External"/><Relationship Id="rId367" Type="http://schemas.openxmlformats.org/officeDocument/2006/relationships/hyperlink" Target="http://www8.austlii.edu.au/cgi-bin/viewdoc/au/legis/nt/consol_act/rtwa207/s87.html" TargetMode="External"/><Relationship Id="rId574" Type="http://schemas.openxmlformats.org/officeDocument/2006/relationships/hyperlink" Target="http://www8.austlii.edu.au/cgi-bin/viewdoc/au/legis/act/consol_act/wca1951255/s8.html" TargetMode="External"/><Relationship Id="rId2048" Type="http://schemas.openxmlformats.org/officeDocument/2006/relationships/hyperlink" Target="http://www.rtwsa.com/__data/assets/pdf_file/0004/52996/Self-insured-code-of-conduct.pdf" TargetMode="External"/><Relationship Id="rId227" Type="http://schemas.openxmlformats.org/officeDocument/2006/relationships/hyperlink" Target="http://www8.austlii.edu.au/cgi-bin/viewdoc/au/legis/cth/consol_act/mraca2004397/s27.html" TargetMode="External"/><Relationship Id="rId781" Type="http://schemas.openxmlformats.org/officeDocument/2006/relationships/hyperlink" Target="http://www8.austlii.edu.au/cgi-bin/viewdoc/au/legis/nsw/consol_act/wca1987255/s9a.html" TargetMode="External"/><Relationship Id="rId879" Type="http://schemas.openxmlformats.org/officeDocument/2006/relationships/hyperlink" Target="http://www8.austlii.edu.au/cgi-bin/viewdoc/au/legis/cth/consol_act/mraca2004397/s67.html" TargetMode="External"/><Relationship Id="rId434" Type="http://schemas.openxmlformats.org/officeDocument/2006/relationships/hyperlink" Target="https://www.legislation.qld.gov.au/view/html/inforce/current/act-2003-027" TargetMode="External"/><Relationship Id="rId641" Type="http://schemas.openxmlformats.org/officeDocument/2006/relationships/hyperlink" Target="http://www.thelaw.tas.gov.au/tocview/content.w3p;cond=;doc_id=4%2B%2B1988%2BGS4A%40EN%2B20151223090000;histon=;inforequest=;prompt=;rec=;term=" TargetMode="External"/><Relationship Id="rId739" Type="http://schemas.openxmlformats.org/officeDocument/2006/relationships/hyperlink" Target="http://www.thelaw.tas.gov.au/tocview/content.w3p;cond=;doc_id=4%2B%2B1988%2BGS25%40EN%2B20151223090000;histon=;inforequest=;prompt=;rec=;term=" TargetMode="External"/><Relationship Id="rId1064" Type="http://schemas.openxmlformats.org/officeDocument/2006/relationships/hyperlink" Target="http://www8.austlii.edu.au/cgi-bin/viewdoc/au/legis/cth/consol_act/sraca1992381/s31.html" TargetMode="External"/><Relationship Id="rId1271" Type="http://schemas.openxmlformats.org/officeDocument/2006/relationships/hyperlink" Target="http://www.thelaw.tas.gov.au/tocview/content.w3p;cond=;doc_id=4%2B%2B1988%2BGS75%40EN%2B20151224080000;histon=;inforequest=;prompt=;rec=;term=" TargetMode="External"/><Relationship Id="rId1369" Type="http://schemas.openxmlformats.org/officeDocument/2006/relationships/hyperlink" Target="http://www.austlii.edu.au/cgi-bin/viewdb/au/legis/cth/consol_act/sraca1988368/s27.html" TargetMode="External"/><Relationship Id="rId1576" Type="http://schemas.openxmlformats.org/officeDocument/2006/relationships/hyperlink" Target="http://www.workcover.tas.gov.au/__data/assets/pdf_file/0008/164564/The_Role_of_the_Primary_Treating_Medical_Practitioner_GB257.pdf" TargetMode="External"/><Relationship Id="rId2115" Type="http://schemas.openxmlformats.org/officeDocument/2006/relationships/hyperlink" Target="https://www.legislation.qld.gov.au/view/html/inforce/current/act-2003-027" TargetMode="External"/><Relationship Id="rId501" Type="http://schemas.openxmlformats.org/officeDocument/2006/relationships/hyperlink" Target="http://www8.austlii.edu.au/cgi-bin/viewdoc/au/legis/act/consol_act/wca1951255/s95.html" TargetMode="External"/><Relationship Id="rId946" Type="http://schemas.openxmlformats.org/officeDocument/2006/relationships/hyperlink" Target="http://www8.austlii.edu.au/cgi-bin/viewdoc/au/legis/cth/consol_act/sracca1988512/s14.html" TargetMode="External"/><Relationship Id="rId1131" Type="http://schemas.openxmlformats.org/officeDocument/2006/relationships/hyperlink" Target="https://www.legislation.qld.gov.au/view/html/inforce/current/act-2003-027" TargetMode="External"/><Relationship Id="rId1229" Type="http://schemas.openxmlformats.org/officeDocument/2006/relationships/hyperlink" Target="http://www8.austlii.edu.au/cgi-bin/viewdoc/au/legis/sa/consol_act/rtwa2014207/s72.html" TargetMode="External"/><Relationship Id="rId1783" Type="http://schemas.openxmlformats.org/officeDocument/2006/relationships/hyperlink" Target="http://www.austlii.edu.au/cgi-bin/viewdb/au/legis/nsw/consol_act/wimawca1998540/s47.html" TargetMode="External"/><Relationship Id="rId1990" Type="http://schemas.openxmlformats.org/officeDocument/2006/relationships/hyperlink" Target="http://www.austlii.edu.au/cgi-bin/viewdb/au/legis/nsw/consol_act/wca1987255/" TargetMode="External"/><Relationship Id="rId75" Type="http://schemas.openxmlformats.org/officeDocument/2006/relationships/hyperlink" Target="https://www.legislation.tas.gov.au/view/html/inforce/current/act-1988-004" TargetMode="External"/><Relationship Id="rId806" Type="http://schemas.openxmlformats.org/officeDocument/2006/relationships/hyperlink" Target="http://www8.austlii.edu.au/cgi-bin/viewdoc/au/legis/act/consol_act/wca1951255/s4.html" TargetMode="External"/><Relationship Id="rId1436" Type="http://schemas.openxmlformats.org/officeDocument/2006/relationships/hyperlink" Target="http://www.austlii.edu.au/cgi-bin/viewdb/au/legis/act/consol_act/wca1951255/s44.html" TargetMode="External"/><Relationship Id="rId1643" Type="http://schemas.openxmlformats.org/officeDocument/2006/relationships/hyperlink" Target="http://www.austlii.edu.au/cgi-bin/viewdb/au/legis/sa/consol_act/rtwa2014207/s147.html" TargetMode="External"/><Relationship Id="rId1850" Type="http://schemas.openxmlformats.org/officeDocument/2006/relationships/hyperlink" Target="http://www.austlii.edu.au/cgi-bin/viewdb/au/legis/cth/consol_act/sraca1988368/s36.html" TargetMode="External"/><Relationship Id="rId1503" Type="http://schemas.openxmlformats.org/officeDocument/2006/relationships/hyperlink" Target="http://www.austlii.edu.au/cgi-bin/viewdb/au/legis/vic/consol_act/wiraca2013484/s109.html" TargetMode="External"/><Relationship Id="rId1710" Type="http://schemas.openxmlformats.org/officeDocument/2006/relationships/hyperlink" Target="http://www.austlii.edu.au/cgi-bin/viewdb/au/legis/cth/consol_act/sracca1988512/s4.html" TargetMode="External"/><Relationship Id="rId1948" Type="http://schemas.openxmlformats.org/officeDocument/2006/relationships/hyperlink" Target="http://www.thelaw.tas.gov.au/tocview/content.w3p;cond=;doc_id=4%2B%2B1988%2BGS3%40EN%2B20151224140000;histon=;inforequest=;prompt=;rec=;term=" TargetMode="External"/><Relationship Id="rId291" Type="http://schemas.openxmlformats.org/officeDocument/2006/relationships/hyperlink" Target="http://www8.austlii.edu.au/cgi-bin/viewdoc/au/legis/cth/consol_act/sraca1988368/s53.html" TargetMode="External"/><Relationship Id="rId1808" Type="http://schemas.openxmlformats.org/officeDocument/2006/relationships/hyperlink" Target="http://www.austlii.edu.au/cgi-bin/viewdb/au/legis/wa/consol_act/wcaima1981445/s65.html" TargetMode="External"/><Relationship Id="rId151" Type="http://schemas.openxmlformats.org/officeDocument/2006/relationships/hyperlink" Target="http://www8.austlii.edu.au/cgi-bin/viewdoc/au/legis/nt/consol_act/rtwa207/s4.html" TargetMode="External"/><Relationship Id="rId389" Type="http://schemas.openxmlformats.org/officeDocument/2006/relationships/hyperlink" Target="http://www8.austlii.edu.au/cgi-bin/viewdoc/au/legis/nsw/consol_act/wimawca1998540/s267.html" TargetMode="External"/><Relationship Id="rId596" Type="http://schemas.openxmlformats.org/officeDocument/2006/relationships/hyperlink" Target="http://www.thelaw.tas.gov.au/tocview/content.w3p;cond=;doc_id=4%2B%2B1988%2BGS4C%40EN%2B20151223090000;histon=;inforequest=;prompt=;rec=;term=" TargetMode="External"/><Relationship Id="rId249" Type="http://schemas.openxmlformats.org/officeDocument/2006/relationships/hyperlink" Target="http://www.comlaw.gov.au/Series/C2004A03668" TargetMode="External"/><Relationship Id="rId456" Type="http://schemas.openxmlformats.org/officeDocument/2006/relationships/hyperlink" Target="https://www.legislation.sa.gov.au/LZ/C/A/SOUTH%20AUSTRALIAN%20EMPLOYMENT%20TRIBUNAL%20ACT%202014/CURRENT/2014.17.UN.PDF" TargetMode="External"/><Relationship Id="rId663" Type="http://schemas.openxmlformats.org/officeDocument/2006/relationships/hyperlink" Target="http://www8.austlii.edu.au/cgi-bin/viewdoc/au/legis/nt/consol_act/rtwa207/s3.html" TargetMode="External"/><Relationship Id="rId870" Type="http://schemas.openxmlformats.org/officeDocument/2006/relationships/hyperlink" Target="http://www8.austlii.edu.au/cgi-bin/viewdoc/au/legis/cth/consol_act/sraca1988368/s4.html" TargetMode="External"/><Relationship Id="rId1086" Type="http://schemas.openxmlformats.org/officeDocument/2006/relationships/hyperlink" Target="http://www.legislation.govt.nz/act/public/2001/0049/latest/DLM104833.html" TargetMode="External"/><Relationship Id="rId1293" Type="http://schemas.openxmlformats.org/officeDocument/2006/relationships/hyperlink" Target="http://www8.austlii.edu.au/cgi-bin/viewdoc/au/legis/cth/consol_act/mraca2004397/s284.html" TargetMode="External"/><Relationship Id="rId2137" Type="http://schemas.openxmlformats.org/officeDocument/2006/relationships/hyperlink" Target="https://www.legislation.wa.gov.au/legislation/statutes.nsf/law_a915.html" TargetMode="External"/><Relationship Id="rId109" Type="http://schemas.openxmlformats.org/officeDocument/2006/relationships/hyperlink" Target="http://www8.austlii.edu.au/cgi-bin/viewdoc/au/legis/cth/consol_act/sracca1988512/s5.html" TargetMode="External"/><Relationship Id="rId316" Type="http://schemas.openxmlformats.org/officeDocument/2006/relationships/hyperlink" Target="http://www.legislation.govt.nz/act/public/2001/0049/latest/DLM100979.html" TargetMode="External"/><Relationship Id="rId523" Type="http://schemas.openxmlformats.org/officeDocument/2006/relationships/hyperlink" Target="http://www8.austlii.edu.au/cgi-bin/viewdoc/au/legis/nt/consol_act/rtwa207/s84.html" TargetMode="External"/><Relationship Id="rId968" Type="http://schemas.openxmlformats.org/officeDocument/2006/relationships/hyperlink" Target="http://www.thelaw.tas.gov.au/tocview/content.w3p;cond=;doc_id=4%2B%2B1988%2BGS25%40EN%2B20151223090000;histon=;inforequest=;prompt=;rec=;term=" TargetMode="External"/><Relationship Id="rId1153" Type="http://schemas.openxmlformats.org/officeDocument/2006/relationships/hyperlink" Target="http://www.thelaw.tas.gov.au/tocview/content.w3p;cond=;doc_id=4%2B%2B1988%2BGS74%40EN%2B20151224080000;histon=;inforequest=;prompt=;rec=;term=" TargetMode="External"/><Relationship Id="rId1598" Type="http://schemas.openxmlformats.org/officeDocument/2006/relationships/hyperlink" Target="http://www.austlii.edu.au/cgi-bin/viewdb/au/legis/cth/consol_act/sraca1988368/s41.html" TargetMode="External"/><Relationship Id="rId2204" Type="http://schemas.openxmlformats.org/officeDocument/2006/relationships/hyperlink" Target="http://classic.austlii.edu.au/au/legis/nsw/consol_reg/wcr2016346/sch1.html" TargetMode="External"/><Relationship Id="rId97" Type="http://schemas.openxmlformats.org/officeDocument/2006/relationships/hyperlink" Target="http://www.austlii.edu.au/au/legis/sa/consol_reg/rtwr2015316/s5.html" TargetMode="External"/><Relationship Id="rId730" Type="http://schemas.openxmlformats.org/officeDocument/2006/relationships/hyperlink" Target="http://www8.austlii.edu.au/cgi-bin/viewdoc/au/legis/cth/consol_act/mraca2004397/s69.html" TargetMode="External"/><Relationship Id="rId828" Type="http://schemas.openxmlformats.org/officeDocument/2006/relationships/hyperlink" Target="http://www8.austlii.edu.au/cgi-bin/viewdoc/au/legis/vic/num_act/wiraca201367o2013530/s55.html" TargetMode="External"/><Relationship Id="rId1013" Type="http://schemas.openxmlformats.org/officeDocument/2006/relationships/hyperlink" Target="http://www8.austlii.edu.au/cgi-bin/viewdoc/au/legis/wa/consol_act/wcaima1981445/sch1.html" TargetMode="External"/><Relationship Id="rId1360" Type="http://schemas.openxmlformats.org/officeDocument/2006/relationships/hyperlink" Target="http://www.austlii.edu.au/cgi-bin/viewdb/au/legis/sa/consol_act/rtwa2014207/s71.html" TargetMode="External"/><Relationship Id="rId1458" Type="http://schemas.openxmlformats.org/officeDocument/2006/relationships/hyperlink" Target="http://www.austlii.edu.au/cgi-bin/viewdb/au/legis/cth/consol_act/sracca1988512/s36.html" TargetMode="External"/><Relationship Id="rId1665" Type="http://schemas.openxmlformats.org/officeDocument/2006/relationships/hyperlink" Target="http://www.austlii.edu.au/cgi-bin/viewdb/au/legis/nsw/consol_act/wimawca1998540/s45.html" TargetMode="External"/><Relationship Id="rId1872" Type="http://schemas.openxmlformats.org/officeDocument/2006/relationships/hyperlink" Target="http://www.legislation.govt.nz/act/public/2001/0049/latest/link.aspx?id=DLM101409" TargetMode="External"/><Relationship Id="rId1220" Type="http://schemas.openxmlformats.org/officeDocument/2006/relationships/hyperlink" Target="https://www.legislation.qld.gov.au/view/html/inforce/current/act-2003-027" TargetMode="External"/><Relationship Id="rId1318" Type="http://schemas.openxmlformats.org/officeDocument/2006/relationships/hyperlink" Target="http://www.thelaw.tas.gov.au/tocview/content.w3p;cond=;doc_id=4%2B%2B1988%2BGS3%40EN%2B20151224080000;histon=;inforequest=;prompt=;rec=;term=" TargetMode="External"/><Relationship Id="rId1525" Type="http://schemas.openxmlformats.org/officeDocument/2006/relationships/hyperlink" Target="http://www.austlii.edu.au/cgi-bin/viewdb/au/legis/vic/consol_act/wiraca2013484/s222.html" TargetMode="External"/><Relationship Id="rId1732" Type="http://schemas.openxmlformats.org/officeDocument/2006/relationships/hyperlink" Target="http://www.austlii.edu.au/au/legis/sa/consol_act/rtwa2014207/s18.html" TargetMode="External"/><Relationship Id="rId24" Type="http://schemas.openxmlformats.org/officeDocument/2006/relationships/hyperlink" Target="mailto:alyse_rankin@worksafe.vic.gov.au" TargetMode="External"/><Relationship Id="rId173" Type="http://schemas.openxmlformats.org/officeDocument/2006/relationships/hyperlink" Target="http://www8.austlii.edu.au/cgi-bin/viewdoc/au/legis/cth/consol_act/mraca2004397/s27.html" TargetMode="External"/><Relationship Id="rId380" Type="http://schemas.openxmlformats.org/officeDocument/2006/relationships/hyperlink" Target="http://www8.austlii.edu.au/cgi-bin/viewdoc/au/legis/wa/consol_act/wcaima1981445/s18.html" TargetMode="External"/><Relationship Id="rId2061" Type="http://schemas.openxmlformats.org/officeDocument/2006/relationships/hyperlink" Target="http://www.workcover.tas.gov.au/insurance/self_insurers/guidelines_for_self_insurers/how_the_financial_undertaking_is_determined" TargetMode="External"/><Relationship Id="rId240" Type="http://schemas.openxmlformats.org/officeDocument/2006/relationships/hyperlink" Target="http://www8.austlii.edu.au/cgi-bin/viewdoc/au/legis/tas/consol_act/wraca1988400/s87.html" TargetMode="External"/><Relationship Id="rId478" Type="http://schemas.openxmlformats.org/officeDocument/2006/relationships/hyperlink" Target="http://www8.austlii.edu.au/cgi-bin/viewdoc/au/legis/cth/consol_act/sraca1988368/s64.html" TargetMode="External"/><Relationship Id="rId685" Type="http://schemas.openxmlformats.org/officeDocument/2006/relationships/hyperlink" Target="http://www8.austlii.edu.au/cgi-bin/viewdoc/au/legis/nsw/consol_act/wimawca1998540/sch1.html" TargetMode="External"/><Relationship Id="rId892" Type="http://schemas.openxmlformats.org/officeDocument/2006/relationships/hyperlink" Target="http://www.thelaw.tas.gov.au/tocview/content.w3p;cond=;doc_id=4%2B%2B1988%2BGS72A%40EN%2B20151223090000;histon=;inforequest=;prompt=;rec=;term=" TargetMode="External"/><Relationship Id="rId2159" Type="http://schemas.openxmlformats.org/officeDocument/2006/relationships/hyperlink" Target="http://www.austlii.edu.au/au/legis/sa/consol_act/rtwa2014207/index.html" TargetMode="External"/><Relationship Id="rId100" Type="http://schemas.openxmlformats.org/officeDocument/2006/relationships/hyperlink" Target="http://www8.austlii.edu.au/cgi-bin/viewdoc/au/legis/tas/consol_act/wraca1988400/s4.html" TargetMode="External"/><Relationship Id="rId338" Type="http://schemas.openxmlformats.org/officeDocument/2006/relationships/hyperlink" Target="http://www8.austlii.edu.au/cgi-bin/viewdoc/au/legis/nt/consol_act/rtwa207/s84.html" TargetMode="External"/><Relationship Id="rId545" Type="http://schemas.openxmlformats.org/officeDocument/2006/relationships/hyperlink" Target="http://www8.austlii.edu.au/cgi-bin/viewdoc/au/legis/cth/consol_act/sraca1992381/s137.html" TargetMode="External"/><Relationship Id="rId752" Type="http://schemas.openxmlformats.org/officeDocument/2006/relationships/hyperlink" Target="http://www.austlii.edu.au/au/legis/sa/consol_act/rtwa2014207/s7.htmlhttp:/www.austlii.edu.au/au/legis/sa/consol_act/rtwa2014207/s7.html" TargetMode="External"/><Relationship Id="rId1175" Type="http://schemas.openxmlformats.org/officeDocument/2006/relationships/hyperlink" Target="http://www8.austlii.edu.au/cgi-bin/viewdoc/au/legis/cth/consol_act/sraca1988368/s29.html" TargetMode="External"/><Relationship Id="rId1382" Type="http://schemas.openxmlformats.org/officeDocument/2006/relationships/hyperlink" Target="http://www.austlii.edu.au/cgi-bin/viewdb/au/legis/nsw/consol_act/wca1987255/s44b.html" TargetMode="External"/><Relationship Id="rId2019" Type="http://schemas.openxmlformats.org/officeDocument/2006/relationships/hyperlink" Target="https://www.legislation.qld.gov.au/view/html/inforce/current/act-2003-027" TargetMode="External"/><Relationship Id="rId2226" Type="http://schemas.openxmlformats.org/officeDocument/2006/relationships/hyperlink" Target="http://www5.austlii.edu.au/au/legis/nsw/consol_act/wcda1942388/sch1.html" TargetMode="External"/><Relationship Id="rId405" Type="http://schemas.openxmlformats.org/officeDocument/2006/relationships/hyperlink" Target="http://www8.austlii.edu.au/cgi-bin/viewdoc/au/legis/nt/consol_act/rtwa207/s85.html" TargetMode="External"/><Relationship Id="rId612" Type="http://schemas.openxmlformats.org/officeDocument/2006/relationships/hyperlink" Target="http://www8.austlii.edu.au/cgi-bin/viewdoc/au/legis/vic/num_act/wiraca201367o2013530/sch1.html" TargetMode="External"/><Relationship Id="rId1035" Type="http://schemas.openxmlformats.org/officeDocument/2006/relationships/hyperlink" Target="http://www8.austlii.edu.au/cgi-bin/viewdoc/au/legis/nt/consol_act/rtwa207/s3.html" TargetMode="External"/><Relationship Id="rId1242" Type="http://schemas.openxmlformats.org/officeDocument/2006/relationships/hyperlink" Target="http://www.austlii.edu.au/cgi-bin/viewdb/au/legis/cth/consol_act/mraca2004397/s223.html" TargetMode="External"/><Relationship Id="rId1687" Type="http://schemas.openxmlformats.org/officeDocument/2006/relationships/hyperlink" Target="http://worksafe.tas.gov.au/__data/assets/pdf_file/0013/301810/IS-016-RTW-plans.pdf" TargetMode="External"/><Relationship Id="rId1894" Type="http://schemas.openxmlformats.org/officeDocument/2006/relationships/hyperlink" Target="http://www.austlii.edu.au/cgi-bin/viewdb/au/legis/nsw/consol_act/wimawca1998540/s45.html" TargetMode="External"/><Relationship Id="rId917" Type="http://schemas.openxmlformats.org/officeDocument/2006/relationships/hyperlink" Target="http://www8.austlii.edu.au/cgi-bin/viewdoc/au/legis/act/consol_act/wca1951255/s82.html" TargetMode="External"/><Relationship Id="rId1102" Type="http://schemas.openxmlformats.org/officeDocument/2006/relationships/hyperlink" Target="http://www8.austlii.edu.au/cgi-bin/viewdoc/au/legis/vic/num_act/wiraca201367o2013530/s3.html" TargetMode="External"/><Relationship Id="rId1547" Type="http://schemas.openxmlformats.org/officeDocument/2006/relationships/hyperlink" Target="https://www.legislation.qld.gov.au/view/html/inforce/current/act-2003-027" TargetMode="External"/><Relationship Id="rId1754" Type="http://schemas.openxmlformats.org/officeDocument/2006/relationships/hyperlink" Target="http://classic.austlii.edu.au/au/legis/nsw/consol_reg/wcr2016346/s16.html" TargetMode="External"/><Relationship Id="rId1961" Type="http://schemas.openxmlformats.org/officeDocument/2006/relationships/hyperlink" Target="http://www.workcover.wa.gov.au/content/uploads/2014/Documents/Health%20providers/WRPs/Publication_WRP_Service-Provision-and-Service-Descriptions-Standards-for-Approved-WRP.pdf" TargetMode="External"/><Relationship Id="rId46" Type="http://schemas.openxmlformats.org/officeDocument/2006/relationships/hyperlink" Target="http://www.dva.gov.au/" TargetMode="External"/><Relationship Id="rId1407" Type="http://schemas.openxmlformats.org/officeDocument/2006/relationships/hyperlink" Target="http://www.austlii.edu.au/cgi-bin/viewdb/au/legis/sa/consol_act/rtwa2014207/s48.html" TargetMode="External"/><Relationship Id="rId1614" Type="http://schemas.openxmlformats.org/officeDocument/2006/relationships/hyperlink" Target="http://www.seacare.gov.au/forms_and_publications/published_information/our_services/Rehabilitation/rehabilitation/a_best_prac_guide_seafarers_rehab_rtw" TargetMode="External"/><Relationship Id="rId1821" Type="http://schemas.openxmlformats.org/officeDocument/2006/relationships/hyperlink" Target="http://www.austlii.edu.au/au/legis/sa/consol_act/rtwa2014207/s48.html" TargetMode="External"/><Relationship Id="rId195" Type="http://schemas.openxmlformats.org/officeDocument/2006/relationships/hyperlink" Target="http://www.thelaw.tas.gov.au/tocview/index.w3p;cond=ALL;doc_id=4%2B%2B1988%2BAT%40EN%2B20150327100000;histon=;prompt=;rec=;term=Workers%20Rehabilitation" TargetMode="External"/><Relationship Id="rId1919" Type="http://schemas.openxmlformats.org/officeDocument/2006/relationships/hyperlink" Target="https://www.worksafe.vic.gov.au/resources/return-work-coordinator-training-calendar" TargetMode="External"/><Relationship Id="rId2083" Type="http://schemas.openxmlformats.org/officeDocument/2006/relationships/hyperlink" Target="http://www.workcover.tas.gov.au/insurance/self_insurers" TargetMode="External"/><Relationship Id="rId262" Type="http://schemas.openxmlformats.org/officeDocument/2006/relationships/hyperlink" Target="http://www.austlii.edu.au/au/legis/sa/consol_act/rtwa2014207/s55.html" TargetMode="External"/><Relationship Id="rId567" Type="http://schemas.openxmlformats.org/officeDocument/2006/relationships/hyperlink" Target="http://www8.austlii.edu.au/cgi-bin/viewdoc/au/legis/sa/consol_act/rtwa2014207/s4.html" TargetMode="External"/><Relationship Id="rId1197" Type="http://schemas.openxmlformats.org/officeDocument/2006/relationships/hyperlink" Target="http://www8.austlii.edu.au/cgi-bin/viewdoc/au/legis/cth/consol_act/sracca1988512/s29.html" TargetMode="External"/><Relationship Id="rId2150" Type="http://schemas.openxmlformats.org/officeDocument/2006/relationships/hyperlink" Target="http://legislation.govt.nz/act/public/2016/0073/latest/DLM6514118.html" TargetMode="External"/><Relationship Id="rId2248" Type="http://schemas.openxmlformats.org/officeDocument/2006/relationships/header" Target="header4.xml"/><Relationship Id="rId122" Type="http://schemas.openxmlformats.org/officeDocument/2006/relationships/hyperlink" Target="http://www8.austlii.edu.au/cgi-bin/viewdoc/au/legis/act/consol_act/wca1951255/s8.html" TargetMode="External"/><Relationship Id="rId774" Type="http://schemas.openxmlformats.org/officeDocument/2006/relationships/hyperlink" Target="http://www8.austlii.edu.au/cgi-bin/viewdoc/au/legis/tas/consol_act/wraca1988400/s25.html" TargetMode="External"/><Relationship Id="rId981" Type="http://schemas.openxmlformats.org/officeDocument/2006/relationships/hyperlink" Target="http://www8.austlii.edu.au/cgi-bin/viewdoc/au/legis/cth/consol_act/sracca1988512/s14.html" TargetMode="External"/><Relationship Id="rId1057" Type="http://schemas.openxmlformats.org/officeDocument/2006/relationships/hyperlink" Target="http://www.austlii.edu.au/cgi-bin/viewdb/au/legis/cth/consol_act/sraca1988368/s23.html" TargetMode="External"/><Relationship Id="rId2010" Type="http://schemas.openxmlformats.org/officeDocument/2006/relationships/hyperlink" Target="http://www.legislation.govt.nz/act/public/2001/0049/latest/link.aspx?id=DLM102439" TargetMode="External"/><Relationship Id="rId427" Type="http://schemas.openxmlformats.org/officeDocument/2006/relationships/hyperlink" Target="http://www8.austlii.edu.au/cgi-bin/viewdoc/au/legis/vic/num_act/wiraca201367o2013530/s294.html" TargetMode="External"/><Relationship Id="rId634" Type="http://schemas.openxmlformats.org/officeDocument/2006/relationships/hyperlink" Target="http://www8.austlii.edu.au/cgi-bin/viewdoc/au/legis/wa/consol_act/wcaima1981445/s175aa.html" TargetMode="External"/><Relationship Id="rId841" Type="http://schemas.openxmlformats.org/officeDocument/2006/relationships/hyperlink" Target="http://www8.austlii.edu.au/cgi-bin/viewdoc/au/legis/act/consol_act/wca1951255/s51.html" TargetMode="External"/><Relationship Id="rId1264" Type="http://schemas.openxmlformats.org/officeDocument/2006/relationships/hyperlink" Target="http://www.austlii.edu.au/au/legis/sa/consol_act/rtwa2014207/s59.html" TargetMode="External"/><Relationship Id="rId1471"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1569" Type="http://schemas.openxmlformats.org/officeDocument/2006/relationships/hyperlink" Target="http://classic.austlii.edu.au/au/legis/sa/consol_reg/rtwr2015316/" TargetMode="External"/><Relationship Id="rId2108" Type="http://schemas.openxmlformats.org/officeDocument/2006/relationships/hyperlink" Target="http://www.austlii.edu.au/cgi-bin/viewdb/au/legis/vic/consol_act/wiraca2013484/s408.html" TargetMode="External"/><Relationship Id="rId701" Type="http://schemas.openxmlformats.org/officeDocument/2006/relationships/hyperlink" Target="https://www.rtwsa.com/media/documents/Schedule-of-sums.docx" TargetMode="External"/><Relationship Id="rId939" Type="http://schemas.openxmlformats.org/officeDocument/2006/relationships/hyperlink" Target="http://www8.austlii.edu.au/cgi-bin/viewdoc/au/legis/cth/consol_act/mraca2004397/s35.html" TargetMode="External"/><Relationship Id="rId1124" Type="http://schemas.openxmlformats.org/officeDocument/2006/relationships/hyperlink" Target="https://www.legislation.qld.gov.au/view/html/inforce/current/sl-2014-0189" TargetMode="External"/><Relationship Id="rId1331" Type="http://schemas.openxmlformats.org/officeDocument/2006/relationships/hyperlink" Target="http://www.austlii.edu.au/cgi-bin/viewdb/au/legis/cth/consol_act/sraca1992381/s15.html" TargetMode="External"/><Relationship Id="rId1776" Type="http://schemas.openxmlformats.org/officeDocument/2006/relationships/hyperlink" Target="http://www.austlii.edu.au/cgi-bin/viewdb/au/legis/cth/consol_act/sraca1988368/s37.html" TargetMode="External"/><Relationship Id="rId1983" Type="http://schemas.openxmlformats.org/officeDocument/2006/relationships/hyperlink" Target="http://www.thelaw.tas.gov.au/tocview/content.w3p;cond=;doc_id=4%2B%2B1988%2BGS143C%40EN%2B20151224140000;histon=;inforequest=;prompt=;rec=;term=" TargetMode="External"/><Relationship Id="rId68" Type="http://schemas.openxmlformats.org/officeDocument/2006/relationships/hyperlink" Target="http://www.rtwsa.com/" TargetMode="External"/><Relationship Id="rId1429" Type="http://schemas.openxmlformats.org/officeDocument/2006/relationships/hyperlink" Target="http://www.austlii.edu.au/cgi-bin/viewdb/au/legis/nt/consol_act/rtwa207/s68.html" TargetMode="External"/><Relationship Id="rId1636" Type="http://schemas.openxmlformats.org/officeDocument/2006/relationships/hyperlink" Target="https://www.worksafe.qld.gov.au/__data/assets/pdf_file/0003/77124/new-p-and-p-document1.pdf" TargetMode="External"/><Relationship Id="rId1843" Type="http://schemas.openxmlformats.org/officeDocument/2006/relationships/hyperlink" Target="http://www.austlii.edu.au/cgi-bin/viewdb/au/legis/act/consol_act/wca1951255/s113.html" TargetMode="External"/><Relationship Id="rId1703" Type="http://schemas.openxmlformats.org/officeDocument/2006/relationships/hyperlink" Target="http://www.comcare.gov.au/__data/assets/pdf_file/0009/12042/Seacare-Rehab_RTW.pdf" TargetMode="External"/><Relationship Id="rId1910" Type="http://schemas.openxmlformats.org/officeDocument/2006/relationships/hyperlink" Target="http://www.legislation.govt.nz/act/public/2001/0049/latest/link.aspx?id=DLM101406" TargetMode="External"/><Relationship Id="rId284" Type="http://schemas.openxmlformats.org/officeDocument/2006/relationships/hyperlink" Target="http://www.thelaw.tas.gov.au/tocview/content.w3p;cond=;doc_id=4%2B%2B1988%2BGS143A%40EN%2B20151223090000;histon=;inforequest=;prompt=;rec=;term=" TargetMode="External"/><Relationship Id="rId491" Type="http://schemas.openxmlformats.org/officeDocument/2006/relationships/hyperlink" Target="http://www.wst.tas.gov.au/__data/assets/pdf_file/0008/81674/gb118v4guide.pdf" TargetMode="External"/><Relationship Id="rId2172" Type="http://schemas.openxmlformats.org/officeDocument/2006/relationships/hyperlink" Target="https://www.legislation.gov.au/Series/C2004A00818" TargetMode="External"/><Relationship Id="rId144" Type="http://schemas.openxmlformats.org/officeDocument/2006/relationships/hyperlink" Target="http://www8.austlii.edu.au/cgi-bin/viewdoc/au/legis/sa/consol_act/rtwa2014207/s7.html" TargetMode="External"/><Relationship Id="rId589" Type="http://schemas.openxmlformats.org/officeDocument/2006/relationships/hyperlink" Target="http://www.austlii.edu.au/au/legis/sa/consol_act/rtwa2014207/s4.html" TargetMode="External"/><Relationship Id="rId796" Type="http://schemas.openxmlformats.org/officeDocument/2006/relationships/hyperlink" Target="http://www.thelaw.tas.gov.au/tocview/content.w3p;cond=;doc_id=4%2B%2B1988%2BGS25%40EN%2B20151223090000;histon=;inforequest=;prompt=;rec=;term=" TargetMode="External"/><Relationship Id="rId351" Type="http://schemas.openxmlformats.org/officeDocument/2006/relationships/hyperlink" Target="http://www8.austlii.edu.au/cgi-bin/viewdoc/au/legis/vic/num_act/wiraca201367o2013530/s243.html" TargetMode="External"/><Relationship Id="rId449" Type="http://schemas.openxmlformats.org/officeDocument/2006/relationships/hyperlink" Target="https://www.legislation.sa.gov.au/LZ/C/A/RETURN%20TO%20WORK%20ACT%202014/CURRENT/2014.16.UN.PDF" TargetMode="External"/><Relationship Id="rId656" Type="http://schemas.openxmlformats.org/officeDocument/2006/relationships/hyperlink" Target="http://www8.austlii.edu.au/cgi-bin/viewdoc/au/legis/nt/consol_reg/rtwr316/s3a.html" TargetMode="External"/><Relationship Id="rId863" Type="http://schemas.openxmlformats.org/officeDocument/2006/relationships/hyperlink" Target="https://www.rtwsa.com/media/documents/Impairment-assessment-guidelines.pdf" TargetMode="External"/><Relationship Id="rId1079" Type="http://schemas.openxmlformats.org/officeDocument/2006/relationships/hyperlink" Target="http://www8.austlii.edu.au/cgi-bin/viewdoc/au/legis/cth/consol_act/sracca1988512/s21.html" TargetMode="External"/><Relationship Id="rId1286" Type="http://schemas.openxmlformats.org/officeDocument/2006/relationships/hyperlink" Target="http://www8.austlii.edu.au/cgi-bin/viewdoc/au/legis/cth/consol_act/sraca1992381/s29.html" TargetMode="External"/><Relationship Id="rId1493" Type="http://schemas.openxmlformats.org/officeDocument/2006/relationships/hyperlink" Target="http://www.austlii.edu.au/cgi-bin/viewdb/au/legis/vic/consol_act/wiraca2013484/s99.html" TargetMode="External"/><Relationship Id="rId2032" Type="http://schemas.openxmlformats.org/officeDocument/2006/relationships/hyperlink" Target="http://www.austlii.edu.au/cgi-bin/viewdb/au/legis/sa/consol_act/rtwa2014207/s129.html" TargetMode="External"/><Relationship Id="rId211" Type="http://schemas.openxmlformats.org/officeDocument/2006/relationships/hyperlink" Target="http://www8.austlii.edu.au/cgi-bin/viewdoc/au/legis/cth/consol_act/sraca1992381/s3.html" TargetMode="External"/><Relationship Id="rId309" Type="http://schemas.openxmlformats.org/officeDocument/2006/relationships/hyperlink" Target="http://www8.austlii.edu.au/cgi-bin/viewdoc/au/legis/nt/consol_act/rtwa207/s182.html" TargetMode="External"/><Relationship Id="rId516" Type="http://schemas.openxmlformats.org/officeDocument/2006/relationships/hyperlink" Target="http://www.austlii.edu.au/au/legis/sa/consol_act/rtwa2014207/s154.html" TargetMode="External"/><Relationship Id="rId1146" Type="http://schemas.openxmlformats.org/officeDocument/2006/relationships/hyperlink" Target="http://www.austlii.edu.au/au/legis/sa/consol_act/rtwa2014207/s7.html" TargetMode="External"/><Relationship Id="rId1798" Type="http://schemas.openxmlformats.org/officeDocument/2006/relationships/hyperlink" Target="https://www.legislation.qld.gov.au/view/html/inforce/current/act-2003-027" TargetMode="External"/><Relationship Id="rId723" Type="http://schemas.openxmlformats.org/officeDocument/2006/relationships/hyperlink" Target="http://www8.austlii.edu.au/cgi-bin/viewdoc/au/legis/wa/consol_act/wcaima1981445/s24a.html" TargetMode="External"/><Relationship Id="rId930" Type="http://schemas.openxmlformats.org/officeDocument/2006/relationships/hyperlink" Target="http://www8.austlii.edu.au/cgi-bin/viewdoc/au/legis/cth/consol_act/sraca1992381/s26.html" TargetMode="External"/><Relationship Id="rId1006" Type="http://schemas.openxmlformats.org/officeDocument/2006/relationships/hyperlink" Target="https://www.legislation.qld.gov.au/view/html/inforce/current/act-2003-027" TargetMode="External"/><Relationship Id="rId1353" Type="http://schemas.openxmlformats.org/officeDocument/2006/relationships/hyperlink" Target="http://www.austlii.edu.au/cgi-bin/viewdb/au/legis/vic/consol_act/wiraca2013484/s340.html" TargetMode="External"/><Relationship Id="rId1560" Type="http://schemas.openxmlformats.org/officeDocument/2006/relationships/hyperlink" Target="http://www.austlii.edu.au/cgi-bin/viewdb/au/legis/sa/consol_act/rtwa2014207/s15.html" TargetMode="External"/><Relationship Id="rId1658" Type="http://schemas.openxmlformats.org/officeDocument/2006/relationships/hyperlink" Target="http://www.austlii.edu.au/cgi-bin/viewdb/au/legis/act/consol_act/wca1951255/s109.html" TargetMode="External"/><Relationship Id="rId1865" Type="http://schemas.openxmlformats.org/officeDocument/2006/relationships/hyperlink" Target="http://www.austlii.edu.au/cgi-bin/viewdb/au/legis/cth/consol_act/sracca1988512/s36.html" TargetMode="External"/><Relationship Id="rId1213" Type="http://schemas.openxmlformats.org/officeDocument/2006/relationships/hyperlink" Target="https://www.legislation.qld.gov.au/view/html/inforce/current/act-2003-027" TargetMode="External"/><Relationship Id="rId1420" Type="http://schemas.openxmlformats.org/officeDocument/2006/relationships/hyperlink" Target="http://www.austlii.edu.au/cgi-bin/viewdb/au/legis/sa/consol_act/rtwa2014207/s46.html" TargetMode="External"/><Relationship Id="rId1518" Type="http://schemas.openxmlformats.org/officeDocument/2006/relationships/hyperlink" Target="http://www.austlii.edu.au/cgi-bin/viewdb/au/legis/vic/consol_act/wiraca2013484/s124.html" TargetMode="External"/><Relationship Id="rId1725" Type="http://schemas.openxmlformats.org/officeDocument/2006/relationships/hyperlink" Target="https://www.legislation.qld.gov.au/view/html/inforce/current/act-2003-027" TargetMode="External"/><Relationship Id="rId1932" Type="http://schemas.openxmlformats.org/officeDocument/2006/relationships/hyperlink" Target="http://www.legislation.tas.gov.au/tocview/content.w3p;cond=;doc_id=4%2B%2B1988%2BGS143B%40Gs2%40EN%2B20110207140000;histon=;prompt=;rec=302;term=" TargetMode="External"/><Relationship Id="rId17" Type="http://schemas.openxmlformats.org/officeDocument/2006/relationships/hyperlink" Target="http://www.comlaw.gov.au/Series/C2004A03668" TargetMode="External"/><Relationship Id="rId2194" Type="http://schemas.openxmlformats.org/officeDocument/2006/relationships/hyperlink" Target="https://www.cmtedd.act.gov.au/treasury/private/wc-suggested-reasonable-rates" TargetMode="External"/><Relationship Id="rId166" Type="http://schemas.openxmlformats.org/officeDocument/2006/relationships/hyperlink" Target="http://www8.austlii.edu.au/cgi-bin/viewdoc/au/legis/cth/consol_act/mraca2004397/s35.html" TargetMode="External"/><Relationship Id="rId373" Type="http://schemas.openxmlformats.org/officeDocument/2006/relationships/hyperlink" Target="http://www8.austlii.edu.au/cgi-bin/viewdoc/au/legis/cth/consol_act/sraca1992381/s73a.html" TargetMode="External"/><Relationship Id="rId580" Type="http://schemas.openxmlformats.org/officeDocument/2006/relationships/hyperlink" Target="http://www8.austlii.edu.au/cgi-bin/viewdoc/au/legis/cth/consol_act/mraca2004397/s5.html" TargetMode="External"/><Relationship Id="rId2054" Type="http://schemas.openxmlformats.org/officeDocument/2006/relationships/hyperlink" Target="https://www.legislation.qld.gov.au/view/html/inforce/current/act-2003-027" TargetMode="External"/><Relationship Id="rId1" Type="http://schemas.openxmlformats.org/officeDocument/2006/relationships/customXml" Target="../customXml/item1.xml"/><Relationship Id="rId233" Type="http://schemas.openxmlformats.org/officeDocument/2006/relationships/hyperlink" Target="http://www8.austlii.edu.au/cgi-bin/viewdoc/au/legis/nsw/consol_act/wca1987255/s52.html" TargetMode="External"/><Relationship Id="rId440" Type="http://schemas.openxmlformats.org/officeDocument/2006/relationships/hyperlink" Target="https://www.workcover.wa.gov.au/content/uploads/2014/09/2017-What-happens-if-there-is-a-dispute-Web-version.pdf" TargetMode="External"/><Relationship Id="rId678" Type="http://schemas.openxmlformats.org/officeDocument/2006/relationships/hyperlink" Target="http://www8.austlii.edu.au/cgi-bin/viewdoc/au/legis/cth/consol_act/sraca1988368/s5.html" TargetMode="External"/><Relationship Id="rId885" Type="http://schemas.openxmlformats.org/officeDocument/2006/relationships/hyperlink" Target="https://www.legislation.gov.au/Series/F2015L01144" TargetMode="External"/><Relationship Id="rId1070" Type="http://schemas.openxmlformats.org/officeDocument/2006/relationships/hyperlink" Target="http://www8.austlii.edu.au/cgi-bin/viewdoc/au/legis/cth/consol_act/mraca2004397/s131.html" TargetMode="External"/><Relationship Id="rId2121" Type="http://schemas.openxmlformats.org/officeDocument/2006/relationships/hyperlink" Target="http://www5.austlii.edu.au/au/legis/act/consol_reg/wcr2002346/s94.html" TargetMode="External"/><Relationship Id="rId300" Type="http://schemas.openxmlformats.org/officeDocument/2006/relationships/hyperlink" Target="https://www.legislation.qld.gov.au/view/html/inforce/current/act-2003-027" TargetMode="External"/><Relationship Id="rId538" Type="http://schemas.openxmlformats.org/officeDocument/2006/relationships/hyperlink" Target="http://www.thelaw.tas.gov.au/tocview/content.w3p;cond=;doc_id=4%2B%2B1988%2BGS84%40EN%2B20151223090000;histon=;inforequest=;prompt=;rec=;term=" TargetMode="External"/><Relationship Id="rId745" Type="http://schemas.openxmlformats.org/officeDocument/2006/relationships/hyperlink" Target="http://www8.austlii.edu.au/cgi-bin/viewdoc/au/legis/cth/consol_act/mraca2004397/s35.html" TargetMode="External"/><Relationship Id="rId952" Type="http://schemas.openxmlformats.org/officeDocument/2006/relationships/hyperlink" Target="http://www.legislation.govt.nz/act/public/2001/0049/latest/DLM101489.html" TargetMode="External"/><Relationship Id="rId1168" Type="http://schemas.openxmlformats.org/officeDocument/2006/relationships/hyperlink" Target="http://www8.austlii.edu.au/cgi-bin/viewdoc/au/legis/act/consol_act/wca1951255/s70.html" TargetMode="External"/><Relationship Id="rId1375" Type="http://schemas.openxmlformats.org/officeDocument/2006/relationships/hyperlink" Target="http://www.austlii.edu.au/cgi-bin/viewdb/au/legis/cth/consol_act/sracca1988512/s45.html" TargetMode="External"/><Relationship Id="rId1582" Type="http://schemas.openxmlformats.org/officeDocument/2006/relationships/hyperlink" Target="http://www.austlii.edu.au/cgi-bin/viewdb/au/legis/nt/consol_act/rtwa207/s75a.html" TargetMode="External"/><Relationship Id="rId2219" Type="http://schemas.openxmlformats.org/officeDocument/2006/relationships/hyperlink" Target="http://www5.austlii.edu.au/au/legis/nsw/consol_act/wcda1942388/sch1.html" TargetMode="External"/><Relationship Id="rId81" Type="http://schemas.openxmlformats.org/officeDocument/2006/relationships/hyperlink" Target="http://www.comlaw.gov.au/Details/C2012C00059" TargetMode="External"/><Relationship Id="rId605" Type="http://schemas.openxmlformats.org/officeDocument/2006/relationships/hyperlink" Target="http://www8.austlii.edu.au/cgi-bin/viewdoc/au/legis/vic/num_act/wiraca201367o2013530/sch1.html" TargetMode="External"/><Relationship Id="rId812" Type="http://schemas.openxmlformats.org/officeDocument/2006/relationships/hyperlink" Target="http://www8.austlii.edu.au/cgi-bin/viewdoc/au/legis/cth/consol_act/sraca1992381/s3.html" TargetMode="External"/><Relationship Id="rId1028" Type="http://schemas.openxmlformats.org/officeDocument/2006/relationships/hyperlink" Target="http://www8.austlii.edu.au/cgi-bin/viewdoc/au/legis/nt/consol_act/rtwa207/s49a.html" TargetMode="External"/><Relationship Id="rId1235" Type="http://schemas.openxmlformats.org/officeDocument/2006/relationships/hyperlink" Target="http://www.austlii.edu.au/cgi-bin/viewdoc/au/legis/cth/consol_act/sraca1992381/s39.html" TargetMode="External"/><Relationship Id="rId1442" Type="http://schemas.openxmlformats.org/officeDocument/2006/relationships/hyperlink" Target="http://www.austlii.edu.au/cgi-bin/viewdb/au/legis/cth/consol_act/sraca1988368/s37.html" TargetMode="External"/><Relationship Id="rId1887" Type="http://schemas.openxmlformats.org/officeDocument/2006/relationships/hyperlink" Target="http://www.comcare.gov.au/Forms_and_Publications/publications/services/injury_management/injury_management/work_trial_guide_rehab_case_man" TargetMode="External"/><Relationship Id="rId1302" Type="http://schemas.openxmlformats.org/officeDocument/2006/relationships/hyperlink" Target="http://www.austlii.edu.au/cgi-bin/viewdb/au/legis/nsw/consol_act/wca1987255/s29.html" TargetMode="External"/><Relationship Id="rId1747" Type="http://schemas.openxmlformats.org/officeDocument/2006/relationships/hyperlink" Target="http://www.austlii.edu.au/cgi-bin/viewdb/au/legis/cth/consol_act/sraca1992381/s52.html" TargetMode="External"/><Relationship Id="rId1954" Type="http://schemas.openxmlformats.org/officeDocument/2006/relationships/hyperlink" Target="http://www.dva.gov.au/rehabilitation/providers/Pages/Rehabilitationproviders.aspx" TargetMode="External"/><Relationship Id="rId39" Type="http://schemas.openxmlformats.org/officeDocument/2006/relationships/hyperlink" Target="http://www.worksafe.act.gov.au/" TargetMode="External"/><Relationship Id="rId1607" Type="http://schemas.openxmlformats.org/officeDocument/2006/relationships/hyperlink" Target="http://www.comcare.gov.au/Forms_and_Publications/publications/services/injury_management/injury_management/work_trial_guide_rehab_case_man" TargetMode="External"/><Relationship Id="rId1814" Type="http://schemas.openxmlformats.org/officeDocument/2006/relationships/hyperlink" Target="http://www.austlii.edu.au/au/legis/sa/consol_act/rtwa2014207/s48.html" TargetMode="External"/><Relationship Id="rId188" Type="http://schemas.openxmlformats.org/officeDocument/2006/relationships/hyperlink" Target="http://www8.austlii.edu.au/cgi-bin/viewdoc/au/legis/wa/consol_act/wcaima1981445/s5.html" TargetMode="External"/><Relationship Id="rId395" Type="http://schemas.openxmlformats.org/officeDocument/2006/relationships/hyperlink" Target="https://www.legislation.sa.gov.au/LZ/C/A/RETURN%20TO%20WORK%20ACT%202014/CURRENT/2014.16.UN.PDF" TargetMode="External"/><Relationship Id="rId2076" Type="http://schemas.openxmlformats.org/officeDocument/2006/relationships/hyperlink" Target="https://www.rtwsa.com/__data/assets/pdf_file/0004/52996/Self-insured-code-of-conduct.pdf" TargetMode="External"/><Relationship Id="rId255" Type="http://schemas.openxmlformats.org/officeDocument/2006/relationships/hyperlink" Target="http://www.thelaw.tas.gov.au/tocview/content.w3p;cond=;doc_id=4%2B%2B1988%2BGS69B%40EN%2B20151223090000;histon=;inforequest=;prompt=;rec=;term=" TargetMode="External"/><Relationship Id="rId462" Type="http://schemas.openxmlformats.org/officeDocument/2006/relationships/hyperlink" Target="http://www8.austlii.edu.au/cgi-bin/viewdoc/au/legis/tas/consol_act/wraca1988400/s42d.html" TargetMode="External"/><Relationship Id="rId1092" Type="http://schemas.openxmlformats.org/officeDocument/2006/relationships/hyperlink" Target="http://www8.austlii.edu.au/cgi-bin/viewdoc/au/legis/nsw/consol_act/wca1987255/s61.html" TargetMode="External"/><Relationship Id="rId1397" Type="http://schemas.openxmlformats.org/officeDocument/2006/relationships/hyperlink" Target="https://www.legislation.qld.gov.au/view/html/inforce/current/act-2003-027" TargetMode="External"/><Relationship Id="rId2143" Type="http://schemas.openxmlformats.org/officeDocument/2006/relationships/hyperlink" Target="https://legislation.nt.gov.au/Pages/~/link.aspx?_id=851E0AF7C3244D029FCFE18FD8B708C4&amp;amp;_z=z" TargetMode="External"/><Relationship Id="rId115" Type="http://schemas.openxmlformats.org/officeDocument/2006/relationships/hyperlink" Target="http://www.workcover.wa.gov.au/content/uploads/2014/09/Guide-for-employers-2017.pdf" TargetMode="External"/><Relationship Id="rId322" Type="http://schemas.openxmlformats.org/officeDocument/2006/relationships/hyperlink" Target="http://www.austlii.edu.au/au/legis/sa/consol_act/rtwa2014207/s30.html" TargetMode="External"/><Relationship Id="rId767" Type="http://schemas.openxmlformats.org/officeDocument/2006/relationships/hyperlink" Target="http://www8.austlii.edu.au/cgi-bin/viewdoc/au/legis/cth/consol_act/sraca1988368/s6.html" TargetMode="External"/><Relationship Id="rId974" Type="http://schemas.openxmlformats.org/officeDocument/2006/relationships/hyperlink" Target="http://www8.austlii.edu.au/cgi-bin/viewdoc/au/legis/cth/consol_act/sraca1988368/s14.html" TargetMode="External"/><Relationship Id="rId2003" Type="http://schemas.openxmlformats.org/officeDocument/2006/relationships/hyperlink" Target="http://www.austlii.edu.au/cgi-bin/viewdb/au/legis/wa/consol_act/wcaima1981445/s165.html" TargetMode="External"/><Relationship Id="rId2210" Type="http://schemas.openxmlformats.org/officeDocument/2006/relationships/hyperlink" Target="http://www.thelaw.tas.gov.au/tocview/content.w3p;cond=;doc_id=4%2B%2B1988%2BGS72A%40EN%2B20160104090000;histon=;inforequest=;prompt=;rec=;term=" TargetMode="External"/><Relationship Id="rId627" Type="http://schemas.openxmlformats.org/officeDocument/2006/relationships/hyperlink" Target="http://www8.austlii.edu.au/cgi-bin/viewdoc/au/legis/wa/consol_act/wcaima1981445/s5.html" TargetMode="External"/><Relationship Id="rId834" Type="http://schemas.openxmlformats.org/officeDocument/2006/relationships/hyperlink" Target="https://www.legislation.qld.gov.au/view/html/inforce/current/sl-2014-0189" TargetMode="External"/><Relationship Id="rId1257" Type="http://schemas.openxmlformats.org/officeDocument/2006/relationships/hyperlink" Target="https://www.legislation.qld.gov.au/view/html/inforce/current/act-2003-027" TargetMode="External"/><Relationship Id="rId1464" Type="http://schemas.openxmlformats.org/officeDocument/2006/relationships/hyperlink" Target="http://www.austlii.edu.au/cgi-bin/viewdb/au/legis/cth/consol_act/sracca1988512/s50.html" TargetMode="External"/><Relationship Id="rId1671" Type="http://schemas.openxmlformats.org/officeDocument/2006/relationships/hyperlink" Target="http://www.austlii.edu.au/cgi-bin/viewdb/au/legis/vic/consol_act/wiraca2013484/s25.html" TargetMode="External"/><Relationship Id="rId901" Type="http://schemas.openxmlformats.org/officeDocument/2006/relationships/hyperlink" Target="http://www8.austlii.edu.au/cgi-bin/viewdoc/au/legis/vic/num_act/wiraca201367o2013530/s40.html" TargetMode="External"/><Relationship Id="rId1117" Type="http://schemas.openxmlformats.org/officeDocument/2006/relationships/hyperlink" Target="https://www.legislation.qld.gov.au/view/html/inforce/current/act-2003-027" TargetMode="External"/><Relationship Id="rId1324" Type="http://schemas.openxmlformats.org/officeDocument/2006/relationships/hyperlink" Target="http://www.austlii.edu.au/cgi-bin/viewdb/au/legis/act/consol_act/la2001133/s169.html" TargetMode="External"/><Relationship Id="rId1531" Type="http://schemas.openxmlformats.org/officeDocument/2006/relationships/hyperlink" Target="https://www.worksafe.vic.gov.au/resources/return-work-coordination-basics-you-need-know" TargetMode="External"/><Relationship Id="rId1769" Type="http://schemas.openxmlformats.org/officeDocument/2006/relationships/hyperlink" Target="http://www.austlii.edu.au/cgi-bin/viewdb/au/legis/tas/consol_act/wraca1988400/s143b.html" TargetMode="External"/><Relationship Id="rId1976" Type="http://schemas.openxmlformats.org/officeDocument/2006/relationships/hyperlink" Target="http://www.austlii.edu.au/cgi-bin/viewdb/au/legis/vic/consol_act/wiraca2013484/s104.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rcc.gov.au/publications/guidance_for_employers2/guidance/licence_compliance_and_performance_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2008A-73D6-4F7C-84B0-945B164E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66DF9896.dotm</Template>
  <TotalTime>0</TotalTime>
  <Pages>313</Pages>
  <Words>161002</Words>
  <Characters>917715</Characters>
  <Application>Microsoft Office Word</Application>
  <DocSecurity>0</DocSecurity>
  <Lines>7647</Lines>
  <Paragraphs>2153</Paragraphs>
  <ScaleCrop>false</ScaleCrop>
  <Company/>
  <LinksUpToDate>false</LinksUpToDate>
  <CharactersWithSpaces>1076564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2018-12-19T04:42:00Z</dcterms:created>
  <dcterms:modified xsi:type="dcterms:W3CDTF">2018-12-19T04:42:00Z</dcterms:modified>
</cp:coreProperties>
</file>